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7599F" w:rsidRPr="00F01347" w14:paraId="52B5B84A" w14:textId="2A48356F" w:rsidTr="002444E4">
        <w:tc>
          <w:tcPr>
            <w:tcW w:w="4675" w:type="dxa"/>
          </w:tcPr>
          <w:p w14:paraId="60C3CDA9" w14:textId="77777777" w:rsidR="00D7599F" w:rsidRPr="00F01347" w:rsidRDefault="00D7599F" w:rsidP="00D7599F">
            <w:pPr>
              <w:pStyle w:val="CABEZA"/>
              <w:rPr>
                <w:rFonts w:ascii="Verdana" w:hAnsi="Verdana" w:cs="Times New Roman"/>
                <w:sz w:val="16"/>
                <w:szCs w:val="16"/>
              </w:rPr>
            </w:pPr>
            <w:r w:rsidRPr="00F01347">
              <w:rPr>
                <w:rFonts w:ascii="Verdana" w:hAnsi="Verdana" w:cs="Times New Roman"/>
                <w:sz w:val="16"/>
                <w:szCs w:val="16"/>
              </w:rPr>
              <w:t>SECRETARIA DE SALUD</w:t>
            </w:r>
          </w:p>
        </w:tc>
        <w:tc>
          <w:tcPr>
            <w:tcW w:w="4675" w:type="dxa"/>
          </w:tcPr>
          <w:p w14:paraId="2F36A0D7" w14:textId="4536725C" w:rsidR="00D7599F" w:rsidRPr="00F01347" w:rsidRDefault="00D7599F" w:rsidP="00D7599F">
            <w:pPr>
              <w:pStyle w:val="CABEZA"/>
              <w:rPr>
                <w:rFonts w:ascii="Verdana" w:hAnsi="Verdana" w:cs="Times New Roman"/>
                <w:sz w:val="16"/>
                <w:szCs w:val="16"/>
                <w:lang w:val="en-US"/>
              </w:rPr>
            </w:pPr>
            <w:r w:rsidRPr="00F01347">
              <w:rPr>
                <w:rFonts w:ascii="Verdana" w:hAnsi="Verdana" w:cs="Times New Roman"/>
                <w:sz w:val="16"/>
                <w:szCs w:val="16"/>
                <w:lang w:val="en-US"/>
              </w:rPr>
              <w:t>SECRETARY</w:t>
            </w:r>
            <w:r w:rsidR="002444E4" w:rsidRPr="00F01347">
              <w:rPr>
                <w:rFonts w:ascii="Verdana" w:hAnsi="Verdana" w:cs="Times New Roman"/>
                <w:sz w:val="16"/>
                <w:szCs w:val="16"/>
                <w:lang w:val="en-US"/>
              </w:rPr>
              <w:t xml:space="preserve"> OF HEALTH</w:t>
            </w:r>
          </w:p>
        </w:tc>
      </w:tr>
      <w:tr w:rsidR="00D7599F" w:rsidRPr="00F01347" w14:paraId="653C0DA2" w14:textId="08F750C7" w:rsidTr="002444E4">
        <w:tc>
          <w:tcPr>
            <w:tcW w:w="4675" w:type="dxa"/>
          </w:tcPr>
          <w:p w14:paraId="206BDE4E" w14:textId="77777777" w:rsidR="00D7599F" w:rsidRPr="00F01347" w:rsidRDefault="00D7599F" w:rsidP="00D7599F">
            <w:pPr>
              <w:pStyle w:val="Titulo1"/>
              <w:pBdr>
                <w:bottom w:val="none" w:sz="0" w:space="0" w:color="auto"/>
              </w:pBdr>
              <w:rPr>
                <w:rFonts w:ascii="Verdana" w:hAnsi="Verdana" w:cs="Times New Roman"/>
                <w:sz w:val="16"/>
                <w:szCs w:val="16"/>
                <w:lang w:val="es-ES_tradnl"/>
              </w:rPr>
            </w:pPr>
            <w:r w:rsidRPr="00F01347">
              <w:rPr>
                <w:rFonts w:ascii="Verdana" w:hAnsi="Verdana" w:cs="Times New Roman"/>
                <w:sz w:val="16"/>
                <w:szCs w:val="16"/>
              </w:rPr>
              <w:t>NORMA Oficial Mexicana NOM-127-SSA1-2021, Agua para uso y consumo humano. Límites permisibles de la calidad del agua.</w:t>
            </w:r>
          </w:p>
        </w:tc>
        <w:tc>
          <w:tcPr>
            <w:tcW w:w="4675" w:type="dxa"/>
          </w:tcPr>
          <w:p w14:paraId="12E2A2A9" w14:textId="7FB4F0AF" w:rsidR="00D7599F" w:rsidRPr="00F01347" w:rsidRDefault="002444E4" w:rsidP="00D7599F">
            <w:pPr>
              <w:pStyle w:val="Titulo1"/>
              <w:pBdr>
                <w:bottom w:val="none" w:sz="0" w:space="0" w:color="auto"/>
              </w:pBdr>
              <w:rPr>
                <w:rFonts w:ascii="Verdana" w:hAnsi="Verdana" w:cs="Times New Roman"/>
                <w:sz w:val="16"/>
                <w:szCs w:val="16"/>
                <w:lang w:val="en-US"/>
              </w:rPr>
            </w:pPr>
            <w:r w:rsidRPr="00F01347">
              <w:rPr>
                <w:rFonts w:ascii="Verdana" w:hAnsi="Verdana" w:cs="Times New Roman"/>
                <w:sz w:val="16"/>
                <w:szCs w:val="16"/>
                <w:lang w:val="en-US"/>
              </w:rPr>
              <w:t>Official Mexican Standard</w:t>
            </w:r>
            <w:r w:rsidR="00D7599F" w:rsidRPr="00F01347">
              <w:rPr>
                <w:rFonts w:ascii="Verdana" w:hAnsi="Verdana" w:cs="Times New Roman"/>
                <w:sz w:val="16"/>
                <w:szCs w:val="16"/>
                <w:lang w:val="en-US"/>
              </w:rPr>
              <w:t xml:space="preserve"> NOM-127-SSA1-2021, Water for human use and consumption. Permissible limits of water quality.</w:t>
            </w:r>
            <w:r w:rsidR="003E1BA9" w:rsidRPr="00F01347">
              <w:rPr>
                <w:rFonts w:ascii="Verdana" w:hAnsi="Verdana" w:cs="Times New Roman"/>
                <w:sz w:val="16"/>
                <w:szCs w:val="16"/>
                <w:lang w:val="en-US"/>
              </w:rPr>
              <w:t xml:space="preserve"> </w:t>
            </w:r>
          </w:p>
        </w:tc>
      </w:tr>
      <w:tr w:rsidR="003E1BA9" w:rsidRPr="00F01347" w14:paraId="75970DD0" w14:textId="77777777" w:rsidTr="002444E4">
        <w:tc>
          <w:tcPr>
            <w:tcW w:w="4675" w:type="dxa"/>
          </w:tcPr>
          <w:p w14:paraId="27B9558E" w14:textId="77777777" w:rsidR="003E1BA9" w:rsidRPr="00F01347" w:rsidRDefault="003E1BA9" w:rsidP="00D7599F">
            <w:pPr>
              <w:pStyle w:val="Titulo1"/>
              <w:pBdr>
                <w:bottom w:val="none" w:sz="0" w:space="0" w:color="auto"/>
              </w:pBdr>
              <w:rPr>
                <w:rFonts w:ascii="Verdana" w:hAnsi="Verdana" w:cs="Times New Roman"/>
                <w:sz w:val="16"/>
                <w:szCs w:val="16"/>
                <w:lang w:val="en-US"/>
              </w:rPr>
            </w:pPr>
          </w:p>
        </w:tc>
        <w:tc>
          <w:tcPr>
            <w:tcW w:w="4675" w:type="dxa"/>
          </w:tcPr>
          <w:p w14:paraId="0C13FB29" w14:textId="77777777" w:rsidR="003E1BA9" w:rsidRPr="00F01347" w:rsidRDefault="003E1BA9" w:rsidP="00D7599F">
            <w:pPr>
              <w:pStyle w:val="Titulo1"/>
              <w:pBdr>
                <w:bottom w:val="none" w:sz="0" w:space="0" w:color="auto"/>
              </w:pBdr>
              <w:rPr>
                <w:rFonts w:ascii="Verdana" w:hAnsi="Verdana" w:cs="Times New Roman"/>
                <w:sz w:val="16"/>
                <w:szCs w:val="16"/>
                <w:lang w:val="en-US"/>
              </w:rPr>
            </w:pPr>
          </w:p>
        </w:tc>
      </w:tr>
      <w:tr w:rsidR="00D7599F" w:rsidRPr="00F01347" w14:paraId="7F6DE99B" w14:textId="1E40F353" w:rsidTr="002444E4">
        <w:tc>
          <w:tcPr>
            <w:tcW w:w="4675" w:type="dxa"/>
          </w:tcPr>
          <w:p w14:paraId="4BE3DBA3" w14:textId="410DD1DC" w:rsidR="00D7599F" w:rsidRPr="00F01347" w:rsidRDefault="00D7599F" w:rsidP="00D7599F">
            <w:pPr>
              <w:pStyle w:val="Titulo2"/>
              <w:pBdr>
                <w:top w:val="none" w:sz="0" w:space="0" w:color="auto"/>
              </w:pBdr>
              <w:rPr>
                <w:rFonts w:ascii="Verdana" w:hAnsi="Verdana"/>
                <w:sz w:val="16"/>
                <w:szCs w:val="16"/>
              </w:rPr>
            </w:pPr>
            <w:r w:rsidRPr="00F01347">
              <w:rPr>
                <w:rFonts w:ascii="Verdana" w:hAnsi="Verdana"/>
                <w:sz w:val="16"/>
                <w:szCs w:val="16"/>
              </w:rPr>
              <w:t xml:space="preserve">Al margen un sello con el Escudo Nacional, que dice: Estados Unidos </w:t>
            </w:r>
            <w:r w:rsidR="005A6284" w:rsidRPr="00F01347">
              <w:rPr>
                <w:rFonts w:ascii="Verdana" w:hAnsi="Verdana"/>
                <w:sz w:val="16"/>
                <w:szCs w:val="16"/>
              </w:rPr>
              <w:t>Mexicanos. -</w:t>
            </w:r>
            <w:r w:rsidRPr="00F01347">
              <w:rPr>
                <w:rFonts w:ascii="Verdana" w:hAnsi="Verdana"/>
                <w:sz w:val="16"/>
                <w:szCs w:val="16"/>
              </w:rPr>
              <w:t xml:space="preserve"> SALUD.- Secretaría de Salud.</w:t>
            </w:r>
          </w:p>
        </w:tc>
        <w:tc>
          <w:tcPr>
            <w:tcW w:w="4675" w:type="dxa"/>
          </w:tcPr>
          <w:p w14:paraId="3CC38AFF" w14:textId="442C5F92" w:rsidR="00D7599F" w:rsidRPr="00F01347" w:rsidRDefault="003E1BA9" w:rsidP="00D7599F">
            <w:pPr>
              <w:pStyle w:val="Titulo2"/>
              <w:pBdr>
                <w:top w:val="none" w:sz="0" w:space="0" w:color="auto"/>
              </w:pBdr>
              <w:rPr>
                <w:rFonts w:ascii="Verdana" w:hAnsi="Verdana"/>
                <w:sz w:val="16"/>
                <w:szCs w:val="16"/>
                <w:lang w:val="en-US"/>
              </w:rPr>
            </w:pPr>
            <w:r w:rsidRPr="00F01347">
              <w:rPr>
                <w:rFonts w:ascii="Verdana" w:hAnsi="Verdana"/>
                <w:sz w:val="16"/>
                <w:szCs w:val="16"/>
                <w:lang w:val="en-US"/>
              </w:rPr>
              <w:t xml:space="preserve">In the margin a stamp with the National Seal, which reads: United Mexican States. - </w:t>
            </w:r>
            <w:r w:rsidR="00F01347" w:rsidRPr="00F01347">
              <w:rPr>
                <w:rFonts w:ascii="Verdana" w:hAnsi="Verdana"/>
                <w:sz w:val="16"/>
                <w:szCs w:val="16"/>
                <w:lang w:val="en-US"/>
              </w:rPr>
              <w:t>HEALTH. -</w:t>
            </w:r>
            <w:r w:rsidR="00D7599F" w:rsidRPr="00F01347">
              <w:rPr>
                <w:rFonts w:ascii="Verdana" w:hAnsi="Verdana"/>
                <w:sz w:val="16"/>
                <w:szCs w:val="16"/>
                <w:lang w:val="en-US"/>
              </w:rPr>
              <w:t xml:space="preserve"> </w:t>
            </w:r>
            <w:r w:rsidRPr="00F01347">
              <w:rPr>
                <w:rFonts w:ascii="Verdana" w:hAnsi="Verdana"/>
                <w:sz w:val="16"/>
                <w:szCs w:val="16"/>
                <w:lang w:val="en-US"/>
              </w:rPr>
              <w:t>Secretary</w:t>
            </w:r>
            <w:r w:rsidR="00D7599F" w:rsidRPr="00F01347">
              <w:rPr>
                <w:rFonts w:ascii="Verdana" w:hAnsi="Verdana"/>
                <w:sz w:val="16"/>
                <w:szCs w:val="16"/>
                <w:lang w:val="en-US"/>
              </w:rPr>
              <w:t xml:space="preserve"> of Health.</w:t>
            </w:r>
          </w:p>
        </w:tc>
      </w:tr>
      <w:tr w:rsidR="003E1BA9" w:rsidRPr="00F01347" w14:paraId="178405E9" w14:textId="77777777" w:rsidTr="002444E4">
        <w:tc>
          <w:tcPr>
            <w:tcW w:w="4675" w:type="dxa"/>
          </w:tcPr>
          <w:p w14:paraId="42D289E5" w14:textId="77777777" w:rsidR="003E1BA9" w:rsidRPr="00F01347" w:rsidRDefault="003E1BA9" w:rsidP="00D7599F">
            <w:pPr>
              <w:pStyle w:val="Titulo2"/>
              <w:pBdr>
                <w:top w:val="none" w:sz="0" w:space="0" w:color="auto"/>
              </w:pBdr>
              <w:rPr>
                <w:rFonts w:ascii="Verdana" w:hAnsi="Verdana"/>
                <w:sz w:val="16"/>
                <w:szCs w:val="16"/>
                <w:lang w:val="en-US"/>
              </w:rPr>
            </w:pPr>
          </w:p>
        </w:tc>
        <w:tc>
          <w:tcPr>
            <w:tcW w:w="4675" w:type="dxa"/>
          </w:tcPr>
          <w:p w14:paraId="2200E5FE" w14:textId="77777777" w:rsidR="003E1BA9" w:rsidRPr="00F01347" w:rsidRDefault="003E1BA9" w:rsidP="00D7599F">
            <w:pPr>
              <w:pStyle w:val="Titulo2"/>
              <w:pBdr>
                <w:top w:val="none" w:sz="0" w:space="0" w:color="auto"/>
              </w:pBdr>
              <w:rPr>
                <w:rFonts w:ascii="Verdana" w:hAnsi="Verdana"/>
                <w:sz w:val="16"/>
                <w:szCs w:val="16"/>
                <w:lang w:val="en-US"/>
              </w:rPr>
            </w:pPr>
          </w:p>
        </w:tc>
      </w:tr>
      <w:tr w:rsidR="00D7599F" w:rsidRPr="00F01347" w14:paraId="6255E967" w14:textId="30C67057" w:rsidTr="002444E4">
        <w:tc>
          <w:tcPr>
            <w:tcW w:w="4675" w:type="dxa"/>
          </w:tcPr>
          <w:p w14:paraId="36A7E701" w14:textId="77777777" w:rsidR="00D7599F" w:rsidRPr="00F01347" w:rsidRDefault="00D7599F" w:rsidP="00D7599F">
            <w:pPr>
              <w:pStyle w:val="texto0"/>
              <w:spacing w:line="218" w:lineRule="exact"/>
              <w:ind w:firstLine="0"/>
              <w:rPr>
                <w:rFonts w:ascii="Verdana" w:hAnsi="Verdana"/>
                <w:b/>
                <w:color w:val="000000"/>
                <w:sz w:val="16"/>
                <w:szCs w:val="16"/>
              </w:rPr>
            </w:pPr>
            <w:r w:rsidRPr="00F01347">
              <w:rPr>
                <w:rFonts w:ascii="Verdana" w:hAnsi="Verdana"/>
                <w:b/>
                <w:color w:val="000000"/>
                <w:sz w:val="16"/>
                <w:szCs w:val="16"/>
              </w:rPr>
              <w:t>ALEJANDRO ERNESTO SVARCH PÉREZ</w:t>
            </w:r>
            <w:r w:rsidRPr="00F01347">
              <w:rPr>
                <w:rFonts w:ascii="Verdana" w:hAnsi="Verdana"/>
                <w:color w:val="000000"/>
                <w:sz w:val="16"/>
                <w:szCs w:val="16"/>
              </w:rPr>
              <w:t>, Comisionado Federal para la Protección contra Riesgos Sanitarios y Presidente del Comité Consultivo Nacional de Normalización de Regulación y Fomento Sanitario, con fundamento en lo dispuesto por los artículos 39 de la Ley Orgánica de la Administración Pública Federal; 4 de la Ley Federal de Procedimiento Administrativo; 3o, fracción XIII, 13, apartado A, fracción I, 17 bis, fracciones II y III, 116, 118, fracción II y 119, fracción II de la Ley General de Salud; 38, fracción II, 40, fracción I, 43 y 47, fracción IV de la Ley Federal sobre Metrología y Normalización; 28 del Reglamento de la Ley Federal sobre Metrología y Normalización; 209 a 213, 214, fracciones I, II, III y V, 215 a 225 y 227 del Reglamento de la Ley General de Salud en Materia de Control Sanitario de Actividades, Establecimientos, Productos y Servicios; así como 3, fracciones I, incisos n), o) y s), y II, 10, fracción IV del Reglamento de la Comisión Federal para la Protección contra Riesgos Sanitarios y,</w:t>
            </w:r>
          </w:p>
        </w:tc>
        <w:tc>
          <w:tcPr>
            <w:tcW w:w="4675" w:type="dxa"/>
          </w:tcPr>
          <w:p w14:paraId="47D0928C" w14:textId="394000D8" w:rsidR="00D7599F" w:rsidRPr="00F01347" w:rsidRDefault="00D7599F" w:rsidP="00D7599F">
            <w:pPr>
              <w:pStyle w:val="texto0"/>
              <w:spacing w:line="218" w:lineRule="exact"/>
              <w:ind w:firstLine="0"/>
              <w:rPr>
                <w:rFonts w:ascii="Verdana" w:hAnsi="Verdana"/>
                <w:bCs/>
                <w:color w:val="000000"/>
                <w:sz w:val="16"/>
                <w:szCs w:val="16"/>
                <w:lang w:val="en-US"/>
              </w:rPr>
            </w:pPr>
            <w:r w:rsidRPr="00F01347">
              <w:rPr>
                <w:rFonts w:ascii="Verdana" w:hAnsi="Verdana"/>
                <w:b/>
                <w:color w:val="000000"/>
                <w:sz w:val="16"/>
                <w:szCs w:val="16"/>
                <w:lang w:val="en-US"/>
              </w:rPr>
              <w:t>ALEJANDRO ERNESTO SVARCH PÉREZ</w:t>
            </w:r>
            <w:r w:rsidR="003E1BA9" w:rsidRPr="00F01347">
              <w:rPr>
                <w:rFonts w:ascii="Verdana" w:hAnsi="Verdana"/>
                <w:bCs/>
                <w:color w:val="000000"/>
                <w:sz w:val="16"/>
                <w:szCs w:val="16"/>
                <w:lang w:val="en-US"/>
              </w:rPr>
              <w:t>,</w:t>
            </w:r>
            <w:r w:rsidRPr="00F01347">
              <w:rPr>
                <w:rFonts w:ascii="Verdana" w:hAnsi="Verdana"/>
                <w:color w:val="000000"/>
                <w:sz w:val="16"/>
                <w:szCs w:val="16"/>
                <w:lang w:val="en-US"/>
              </w:rPr>
              <w:t xml:space="preserve"> Federal Commissioner for the Protection against Health Risks and President of the National </w:t>
            </w:r>
            <w:r w:rsidR="003E1BA9" w:rsidRPr="00F01347">
              <w:rPr>
                <w:rFonts w:ascii="Verdana" w:hAnsi="Verdana"/>
                <w:color w:val="000000"/>
                <w:sz w:val="16"/>
                <w:szCs w:val="16"/>
                <w:lang w:val="en-US"/>
              </w:rPr>
              <w:t>Consultative Committee</w:t>
            </w:r>
            <w:r w:rsidRPr="00F01347">
              <w:rPr>
                <w:rFonts w:ascii="Verdana" w:hAnsi="Verdana"/>
                <w:color w:val="000000"/>
                <w:sz w:val="16"/>
                <w:szCs w:val="16"/>
                <w:lang w:val="en-US"/>
              </w:rPr>
              <w:t xml:space="preserve"> for Standardization of Health Regulation and Promotion, based on the provisions of articles 39 of the Organic Law of the Federal Public Administration; 4 of the Federal Law of Administrative Procedure; 3, section XIII, 13, section A, section I, 17 bis, sections II and III, 116, 118, section II and 119, section II of the </w:t>
            </w:r>
            <w:r w:rsidR="003E1BA9" w:rsidRPr="00F01347">
              <w:rPr>
                <w:rFonts w:ascii="Verdana" w:hAnsi="Verdana"/>
                <w:color w:val="000000"/>
                <w:sz w:val="16"/>
                <w:szCs w:val="16"/>
                <w:lang w:val="en-US"/>
              </w:rPr>
              <w:t>General Law of Health</w:t>
            </w:r>
            <w:r w:rsidRPr="00F01347">
              <w:rPr>
                <w:rFonts w:ascii="Verdana" w:hAnsi="Verdana"/>
                <w:color w:val="000000"/>
                <w:sz w:val="16"/>
                <w:szCs w:val="16"/>
                <w:lang w:val="en-US"/>
              </w:rPr>
              <w:t xml:space="preserve">; 38, section II, 40, section I, 43 and 47, section IV of the Federal Law on Metrology and Standardization; 28 of the Regulation of the Federal Law on Metrology and Standardization; 209 to 213, 214, sections I, II, III and V, 215 to 225 and 227 of the Regulation of the </w:t>
            </w:r>
            <w:r w:rsidR="003E1BA9" w:rsidRPr="00F01347">
              <w:rPr>
                <w:rFonts w:ascii="Verdana" w:hAnsi="Verdana"/>
                <w:color w:val="000000"/>
                <w:sz w:val="16"/>
                <w:szCs w:val="16"/>
                <w:lang w:val="en-US"/>
              </w:rPr>
              <w:t>General Law of Health</w:t>
            </w:r>
            <w:r w:rsidRPr="00F01347">
              <w:rPr>
                <w:rFonts w:ascii="Verdana" w:hAnsi="Verdana"/>
                <w:color w:val="000000"/>
                <w:sz w:val="16"/>
                <w:szCs w:val="16"/>
                <w:lang w:val="en-US"/>
              </w:rPr>
              <w:t xml:space="preserve"> on </w:t>
            </w:r>
            <w:r w:rsidR="003E1BA9" w:rsidRPr="00F01347">
              <w:rPr>
                <w:rFonts w:ascii="Verdana" w:hAnsi="Verdana"/>
                <w:color w:val="000000"/>
                <w:sz w:val="16"/>
                <w:szCs w:val="16"/>
                <w:lang w:val="en-US"/>
              </w:rPr>
              <w:t>Sanitary</w:t>
            </w:r>
            <w:r w:rsidRPr="00F01347">
              <w:rPr>
                <w:rFonts w:ascii="Verdana" w:hAnsi="Verdana"/>
                <w:color w:val="000000"/>
                <w:sz w:val="16"/>
                <w:szCs w:val="16"/>
                <w:lang w:val="en-US"/>
              </w:rPr>
              <w:t xml:space="preserve"> Control of Activities, Establishments, Products and Services; as well as 3, sections I, sections n), o) and s), and II, 10, section IV of the Regulation of the Federal Commission for the Protection against Health Risks and,</w:t>
            </w:r>
          </w:p>
        </w:tc>
      </w:tr>
      <w:tr w:rsidR="00D7599F" w:rsidRPr="00F01347" w14:paraId="2321AF54" w14:textId="67D36A64" w:rsidTr="002444E4">
        <w:tc>
          <w:tcPr>
            <w:tcW w:w="4675" w:type="dxa"/>
          </w:tcPr>
          <w:p w14:paraId="14E7FEAB" w14:textId="77777777" w:rsidR="00D7599F" w:rsidRPr="00F01347" w:rsidRDefault="00D7599F" w:rsidP="00D7599F">
            <w:pPr>
              <w:pStyle w:val="ANOTACION"/>
              <w:spacing w:line="218" w:lineRule="exact"/>
              <w:rPr>
                <w:rFonts w:ascii="Verdana" w:hAnsi="Verdana"/>
                <w:sz w:val="16"/>
                <w:szCs w:val="16"/>
              </w:rPr>
            </w:pPr>
            <w:r w:rsidRPr="00F01347">
              <w:rPr>
                <w:rFonts w:ascii="Verdana" w:hAnsi="Verdana"/>
                <w:sz w:val="16"/>
                <w:szCs w:val="16"/>
              </w:rPr>
              <w:t>CONSIDERANDO</w:t>
            </w:r>
          </w:p>
        </w:tc>
        <w:tc>
          <w:tcPr>
            <w:tcW w:w="4675" w:type="dxa"/>
          </w:tcPr>
          <w:p w14:paraId="34A57457" w14:textId="6B5F2032" w:rsidR="00D7599F" w:rsidRPr="00F01347" w:rsidRDefault="00D7599F" w:rsidP="00D7599F">
            <w:pPr>
              <w:pStyle w:val="ANOTACION"/>
              <w:spacing w:line="218" w:lineRule="exact"/>
              <w:rPr>
                <w:rFonts w:ascii="Verdana" w:hAnsi="Verdana"/>
                <w:sz w:val="16"/>
                <w:szCs w:val="16"/>
                <w:lang w:val="en-US"/>
              </w:rPr>
            </w:pPr>
            <w:r w:rsidRPr="00F01347">
              <w:rPr>
                <w:rFonts w:ascii="Verdana" w:hAnsi="Verdana"/>
                <w:sz w:val="16"/>
                <w:szCs w:val="16"/>
                <w:lang w:val="en-US"/>
              </w:rPr>
              <w:t>CONSIDERING</w:t>
            </w:r>
          </w:p>
        </w:tc>
      </w:tr>
      <w:tr w:rsidR="00D7599F" w:rsidRPr="00F01347" w14:paraId="3B870F4C" w14:textId="11D058AF" w:rsidTr="002444E4">
        <w:tc>
          <w:tcPr>
            <w:tcW w:w="4675" w:type="dxa"/>
          </w:tcPr>
          <w:p w14:paraId="5E4FEEBF" w14:textId="77777777" w:rsidR="00D7599F" w:rsidRPr="00F01347" w:rsidRDefault="00D7599F" w:rsidP="00D7599F">
            <w:pPr>
              <w:pStyle w:val="texto0"/>
              <w:spacing w:line="218" w:lineRule="exact"/>
              <w:ind w:firstLine="0"/>
              <w:rPr>
                <w:rFonts w:ascii="Verdana" w:hAnsi="Verdana"/>
                <w:sz w:val="16"/>
                <w:szCs w:val="16"/>
              </w:rPr>
            </w:pPr>
            <w:r w:rsidRPr="00F01347">
              <w:rPr>
                <w:rFonts w:ascii="Verdana" w:hAnsi="Verdana"/>
                <w:sz w:val="16"/>
                <w:szCs w:val="16"/>
              </w:rPr>
              <w:t>Que en cumplimiento a lo previsto en el artículo 46, fracción I de la Ley Federal sobre Metrología y Normalización, el 28 de junio de 2017, el Comité Consultivo Nacional de Normalización de Regulación y Fomento Sanitario, aprobó el anteproyecto de la presente Norma;</w:t>
            </w:r>
          </w:p>
        </w:tc>
        <w:tc>
          <w:tcPr>
            <w:tcW w:w="4675" w:type="dxa"/>
          </w:tcPr>
          <w:p w14:paraId="00E6E98D" w14:textId="0936BD9C" w:rsidR="00D7599F" w:rsidRPr="00F01347" w:rsidRDefault="00D7599F" w:rsidP="00D7599F">
            <w:pPr>
              <w:pStyle w:val="texto0"/>
              <w:spacing w:line="218" w:lineRule="exact"/>
              <w:ind w:firstLine="0"/>
              <w:rPr>
                <w:rFonts w:ascii="Verdana" w:hAnsi="Verdana"/>
                <w:sz w:val="16"/>
                <w:szCs w:val="16"/>
                <w:lang w:val="en-US"/>
              </w:rPr>
            </w:pPr>
            <w:r w:rsidRPr="00F01347">
              <w:rPr>
                <w:rFonts w:ascii="Verdana" w:hAnsi="Verdana"/>
                <w:sz w:val="16"/>
                <w:szCs w:val="16"/>
                <w:lang w:val="en-US"/>
              </w:rPr>
              <w:t xml:space="preserve">That in compliance with the provisions of article 46, section I of the Federal Law on Metrology and Standardization, on June 28, 2017, the National </w:t>
            </w:r>
            <w:r w:rsidR="003E1BA9" w:rsidRPr="00F01347">
              <w:rPr>
                <w:rFonts w:ascii="Verdana" w:hAnsi="Verdana"/>
                <w:sz w:val="16"/>
                <w:szCs w:val="16"/>
                <w:lang w:val="en-US"/>
              </w:rPr>
              <w:t>Consultative Committee</w:t>
            </w:r>
            <w:r w:rsidRPr="00F01347">
              <w:rPr>
                <w:rFonts w:ascii="Verdana" w:hAnsi="Verdana"/>
                <w:sz w:val="16"/>
                <w:szCs w:val="16"/>
                <w:lang w:val="en-US"/>
              </w:rPr>
              <w:t xml:space="preserve"> for Standardization of </w:t>
            </w:r>
            <w:r w:rsidR="003E1BA9" w:rsidRPr="00F01347">
              <w:rPr>
                <w:rFonts w:ascii="Verdana" w:hAnsi="Verdana"/>
                <w:sz w:val="16"/>
                <w:szCs w:val="16"/>
                <w:lang w:val="en-US"/>
              </w:rPr>
              <w:t>Sanitary</w:t>
            </w:r>
            <w:r w:rsidRPr="00F01347">
              <w:rPr>
                <w:rFonts w:ascii="Verdana" w:hAnsi="Verdana"/>
                <w:sz w:val="16"/>
                <w:szCs w:val="16"/>
                <w:lang w:val="en-US"/>
              </w:rPr>
              <w:t xml:space="preserve"> Regulation and Promotion, approved the preliminary </w:t>
            </w:r>
            <w:r w:rsidR="003E1BA9" w:rsidRPr="00F01347">
              <w:rPr>
                <w:rFonts w:ascii="Verdana" w:hAnsi="Verdana"/>
                <w:sz w:val="16"/>
                <w:szCs w:val="16"/>
                <w:lang w:val="en-US"/>
              </w:rPr>
              <w:t>Pre-project</w:t>
            </w:r>
            <w:r w:rsidRPr="00F01347">
              <w:rPr>
                <w:rFonts w:ascii="Verdana" w:hAnsi="Verdana"/>
                <w:sz w:val="16"/>
                <w:szCs w:val="16"/>
                <w:lang w:val="en-US"/>
              </w:rPr>
              <w:t xml:space="preserve"> of this Standard;</w:t>
            </w:r>
          </w:p>
        </w:tc>
      </w:tr>
      <w:tr w:rsidR="003E1BA9" w:rsidRPr="00F01347" w14:paraId="3F9CDFD5" w14:textId="77777777" w:rsidTr="002444E4">
        <w:tc>
          <w:tcPr>
            <w:tcW w:w="4675" w:type="dxa"/>
          </w:tcPr>
          <w:p w14:paraId="2B2746C0" w14:textId="77777777" w:rsidR="003E1BA9" w:rsidRPr="00F01347" w:rsidRDefault="003E1BA9" w:rsidP="00D7599F">
            <w:pPr>
              <w:pStyle w:val="texto0"/>
              <w:spacing w:line="218" w:lineRule="exact"/>
              <w:ind w:firstLine="0"/>
              <w:rPr>
                <w:rFonts w:ascii="Verdana" w:hAnsi="Verdana"/>
                <w:sz w:val="16"/>
                <w:szCs w:val="16"/>
                <w:lang w:val="en-US"/>
              </w:rPr>
            </w:pPr>
          </w:p>
        </w:tc>
        <w:tc>
          <w:tcPr>
            <w:tcW w:w="4675" w:type="dxa"/>
          </w:tcPr>
          <w:p w14:paraId="1CD201D4" w14:textId="77777777" w:rsidR="003E1BA9" w:rsidRPr="00F01347" w:rsidRDefault="003E1BA9" w:rsidP="00D7599F">
            <w:pPr>
              <w:pStyle w:val="texto0"/>
              <w:spacing w:line="218" w:lineRule="exact"/>
              <w:ind w:firstLine="0"/>
              <w:rPr>
                <w:rFonts w:ascii="Verdana" w:hAnsi="Verdana"/>
                <w:sz w:val="16"/>
                <w:szCs w:val="16"/>
                <w:lang w:val="en-US"/>
              </w:rPr>
            </w:pPr>
          </w:p>
        </w:tc>
      </w:tr>
      <w:tr w:rsidR="00D7599F" w:rsidRPr="00F01347" w14:paraId="2D633C9E" w14:textId="693BB47B" w:rsidTr="002444E4">
        <w:tc>
          <w:tcPr>
            <w:tcW w:w="4675" w:type="dxa"/>
          </w:tcPr>
          <w:p w14:paraId="47629E64" w14:textId="77777777" w:rsidR="00D7599F" w:rsidRPr="00F01347" w:rsidRDefault="00D7599F" w:rsidP="00D7599F">
            <w:pPr>
              <w:pStyle w:val="texto0"/>
              <w:spacing w:line="218" w:lineRule="exact"/>
              <w:ind w:firstLine="0"/>
              <w:rPr>
                <w:rFonts w:ascii="Verdana" w:hAnsi="Verdana"/>
                <w:sz w:val="16"/>
                <w:szCs w:val="16"/>
              </w:rPr>
            </w:pPr>
            <w:r w:rsidRPr="00F01347">
              <w:rPr>
                <w:rFonts w:ascii="Verdana" w:hAnsi="Verdana"/>
                <w:sz w:val="16"/>
                <w:szCs w:val="16"/>
              </w:rPr>
              <w:t xml:space="preserve">Que con fecha 6 de diciembre de 2019, en cumplimiento a lo previsto en el artículo 47, fracción I de la Ley Federal sobre Metrología y Normalización, se publicó en el Diario Oficial de la Federación, el Proyecto de Norma Oficial Mexicana PROY-NOM-127-SSA1-2017, Agua para uso y consumo humano. Límites permisibles de la calidad del agua, a efecto de </w:t>
            </w:r>
            <w:proofErr w:type="gramStart"/>
            <w:r w:rsidRPr="00F01347">
              <w:rPr>
                <w:rFonts w:ascii="Verdana" w:hAnsi="Verdana"/>
                <w:sz w:val="16"/>
                <w:szCs w:val="16"/>
              </w:rPr>
              <w:t>que</w:t>
            </w:r>
            <w:proofErr w:type="gramEnd"/>
            <w:r w:rsidRPr="00F01347">
              <w:rPr>
                <w:rFonts w:ascii="Verdana" w:hAnsi="Verdana"/>
                <w:sz w:val="16"/>
                <w:szCs w:val="16"/>
              </w:rPr>
              <w:t xml:space="preserve"> dentro de los sesenta días naturales posteriores a dicha publicación, los interesados presentaran sus comentarios al Comité Consultivo Nacional de Normalización de Regulación y Fomento Sanitario;</w:t>
            </w:r>
          </w:p>
        </w:tc>
        <w:tc>
          <w:tcPr>
            <w:tcW w:w="4675" w:type="dxa"/>
          </w:tcPr>
          <w:p w14:paraId="3287CFAB" w14:textId="75F0503B" w:rsidR="00D7599F" w:rsidRPr="00F01347" w:rsidRDefault="00D7599F" w:rsidP="00D7599F">
            <w:pPr>
              <w:pStyle w:val="texto0"/>
              <w:spacing w:line="218" w:lineRule="exact"/>
              <w:ind w:firstLine="0"/>
              <w:rPr>
                <w:rFonts w:ascii="Verdana" w:hAnsi="Verdana"/>
                <w:sz w:val="16"/>
                <w:szCs w:val="16"/>
                <w:lang w:val="en-US"/>
              </w:rPr>
            </w:pPr>
            <w:r w:rsidRPr="00F01347">
              <w:rPr>
                <w:rFonts w:ascii="Verdana" w:hAnsi="Verdana"/>
                <w:sz w:val="16"/>
                <w:szCs w:val="16"/>
                <w:lang w:val="en-US"/>
              </w:rPr>
              <w:t xml:space="preserve">That on December 6, 2019, in compliance with the provisions of article 47, section I of the Federal Law on Metrology and Standardization, the </w:t>
            </w:r>
            <w:r w:rsidR="003E1BA9" w:rsidRPr="00F01347">
              <w:rPr>
                <w:rFonts w:ascii="Verdana" w:hAnsi="Verdana"/>
                <w:sz w:val="16"/>
                <w:szCs w:val="16"/>
                <w:lang w:val="en-US"/>
              </w:rPr>
              <w:t>Project of</w:t>
            </w:r>
            <w:r w:rsidRPr="00F01347">
              <w:rPr>
                <w:rFonts w:ascii="Verdana" w:hAnsi="Verdana"/>
                <w:sz w:val="16"/>
                <w:szCs w:val="16"/>
                <w:lang w:val="en-US"/>
              </w:rPr>
              <w:t xml:space="preserve"> Official Mexican Standard PROY-NOM-127-SSA1-2017, Water for human use and consumption. Permissible limits of water quality,</w:t>
            </w:r>
            <w:r w:rsidR="003E1BA9" w:rsidRPr="00F01347">
              <w:rPr>
                <w:rFonts w:ascii="Verdana" w:hAnsi="Verdana"/>
                <w:sz w:val="16"/>
                <w:szCs w:val="16"/>
                <w:lang w:val="en-US"/>
              </w:rPr>
              <w:t xml:space="preserve"> was published in the Official Daily of the Federation (DOF)</w:t>
            </w:r>
            <w:r w:rsidRPr="00F01347">
              <w:rPr>
                <w:rFonts w:ascii="Verdana" w:hAnsi="Verdana"/>
                <w:sz w:val="16"/>
                <w:szCs w:val="16"/>
                <w:lang w:val="en-US"/>
              </w:rPr>
              <w:t xml:space="preserve"> so that within sixty calendar days after said publication, interested parties </w:t>
            </w:r>
            <w:r w:rsidR="003E1BA9" w:rsidRPr="00F01347">
              <w:rPr>
                <w:rFonts w:ascii="Verdana" w:hAnsi="Verdana"/>
                <w:sz w:val="16"/>
                <w:szCs w:val="16"/>
                <w:lang w:val="en-US"/>
              </w:rPr>
              <w:t>might</w:t>
            </w:r>
            <w:r w:rsidRPr="00F01347">
              <w:rPr>
                <w:rFonts w:ascii="Verdana" w:hAnsi="Verdana"/>
                <w:sz w:val="16"/>
                <w:szCs w:val="16"/>
                <w:lang w:val="en-US"/>
              </w:rPr>
              <w:t xml:space="preserve"> present their comments to the National </w:t>
            </w:r>
            <w:r w:rsidR="003E1BA9" w:rsidRPr="00F01347">
              <w:rPr>
                <w:rFonts w:ascii="Verdana" w:hAnsi="Verdana"/>
                <w:sz w:val="16"/>
                <w:szCs w:val="16"/>
                <w:lang w:val="en-US"/>
              </w:rPr>
              <w:t>Consultative Committee</w:t>
            </w:r>
            <w:r w:rsidRPr="00F01347">
              <w:rPr>
                <w:rFonts w:ascii="Verdana" w:hAnsi="Verdana"/>
                <w:sz w:val="16"/>
                <w:szCs w:val="16"/>
                <w:lang w:val="en-US"/>
              </w:rPr>
              <w:t xml:space="preserve"> for Standardization of </w:t>
            </w:r>
            <w:r w:rsidR="003E1BA9" w:rsidRPr="00F01347">
              <w:rPr>
                <w:rFonts w:ascii="Verdana" w:hAnsi="Verdana"/>
                <w:sz w:val="16"/>
                <w:szCs w:val="16"/>
                <w:lang w:val="en-US"/>
              </w:rPr>
              <w:t>Sanitary</w:t>
            </w:r>
            <w:r w:rsidRPr="00F01347">
              <w:rPr>
                <w:rFonts w:ascii="Verdana" w:hAnsi="Verdana"/>
                <w:sz w:val="16"/>
                <w:szCs w:val="16"/>
                <w:lang w:val="en-US"/>
              </w:rPr>
              <w:t xml:space="preserve"> Regulation and Promotion;</w:t>
            </w:r>
          </w:p>
        </w:tc>
      </w:tr>
      <w:tr w:rsidR="003E1BA9" w:rsidRPr="00F01347" w14:paraId="11421AEA" w14:textId="77777777" w:rsidTr="002444E4">
        <w:tc>
          <w:tcPr>
            <w:tcW w:w="4675" w:type="dxa"/>
          </w:tcPr>
          <w:p w14:paraId="4105130B" w14:textId="77777777" w:rsidR="003E1BA9" w:rsidRPr="00F01347" w:rsidRDefault="003E1BA9" w:rsidP="00D7599F">
            <w:pPr>
              <w:pStyle w:val="texto0"/>
              <w:spacing w:line="218" w:lineRule="exact"/>
              <w:ind w:firstLine="0"/>
              <w:rPr>
                <w:rFonts w:ascii="Verdana" w:hAnsi="Verdana"/>
                <w:sz w:val="16"/>
                <w:szCs w:val="16"/>
                <w:lang w:val="en-US"/>
              </w:rPr>
            </w:pPr>
          </w:p>
        </w:tc>
        <w:tc>
          <w:tcPr>
            <w:tcW w:w="4675" w:type="dxa"/>
          </w:tcPr>
          <w:p w14:paraId="7AB873DF" w14:textId="77777777" w:rsidR="003E1BA9" w:rsidRPr="00F01347" w:rsidRDefault="003E1BA9" w:rsidP="00D7599F">
            <w:pPr>
              <w:pStyle w:val="texto0"/>
              <w:spacing w:line="218" w:lineRule="exact"/>
              <w:ind w:firstLine="0"/>
              <w:rPr>
                <w:rFonts w:ascii="Verdana" w:hAnsi="Verdana"/>
                <w:sz w:val="16"/>
                <w:szCs w:val="16"/>
                <w:lang w:val="en-US"/>
              </w:rPr>
            </w:pPr>
          </w:p>
        </w:tc>
      </w:tr>
      <w:tr w:rsidR="00D7599F" w:rsidRPr="00F01347" w14:paraId="0CE604FC" w14:textId="3EF28296" w:rsidTr="002444E4">
        <w:tc>
          <w:tcPr>
            <w:tcW w:w="4675" w:type="dxa"/>
          </w:tcPr>
          <w:p w14:paraId="53194E84" w14:textId="77777777" w:rsidR="00D7599F" w:rsidRPr="00F01347" w:rsidRDefault="00D7599F" w:rsidP="00D7599F">
            <w:pPr>
              <w:pStyle w:val="texto0"/>
              <w:spacing w:line="218" w:lineRule="exact"/>
              <w:ind w:firstLine="0"/>
              <w:rPr>
                <w:rFonts w:ascii="Verdana" w:hAnsi="Verdana"/>
                <w:sz w:val="16"/>
                <w:szCs w:val="16"/>
              </w:rPr>
            </w:pPr>
            <w:proofErr w:type="gramStart"/>
            <w:r w:rsidRPr="00F01347">
              <w:rPr>
                <w:rFonts w:ascii="Verdana" w:hAnsi="Verdana"/>
                <w:sz w:val="16"/>
                <w:szCs w:val="16"/>
              </w:rPr>
              <w:t>Que</w:t>
            </w:r>
            <w:proofErr w:type="gramEnd"/>
            <w:r w:rsidRPr="00F01347">
              <w:rPr>
                <w:rFonts w:ascii="Verdana" w:hAnsi="Verdana"/>
                <w:sz w:val="16"/>
                <w:szCs w:val="16"/>
              </w:rPr>
              <w:t xml:space="preserve"> con fecha previa, fueron publicadas en el Diario Oficial de la Federación, las respuestas a los comentarios recibidos por el mencionado Comité, en </w:t>
            </w:r>
            <w:r w:rsidRPr="00F01347">
              <w:rPr>
                <w:rFonts w:ascii="Verdana" w:hAnsi="Verdana"/>
                <w:sz w:val="16"/>
                <w:szCs w:val="16"/>
              </w:rPr>
              <w:lastRenderedPageBreak/>
              <w:t>términos del artículo 47, fracción III de la Ley Federal sobre Metrología y Normalización;</w:t>
            </w:r>
          </w:p>
        </w:tc>
        <w:tc>
          <w:tcPr>
            <w:tcW w:w="4675" w:type="dxa"/>
          </w:tcPr>
          <w:p w14:paraId="7888912D" w14:textId="161D980D" w:rsidR="00D7599F" w:rsidRPr="00F01347" w:rsidRDefault="00D7599F" w:rsidP="00D7599F">
            <w:pPr>
              <w:pStyle w:val="texto0"/>
              <w:spacing w:line="218" w:lineRule="exact"/>
              <w:ind w:firstLine="0"/>
              <w:rPr>
                <w:rFonts w:ascii="Verdana" w:hAnsi="Verdana"/>
                <w:sz w:val="16"/>
                <w:szCs w:val="16"/>
                <w:lang w:val="en-US"/>
              </w:rPr>
            </w:pPr>
            <w:r w:rsidRPr="00F01347">
              <w:rPr>
                <w:rFonts w:ascii="Verdana" w:hAnsi="Verdana"/>
                <w:sz w:val="16"/>
                <w:szCs w:val="16"/>
                <w:lang w:val="en-US"/>
              </w:rPr>
              <w:lastRenderedPageBreak/>
              <w:t xml:space="preserve">That on a </w:t>
            </w:r>
            <w:r w:rsidR="003E1BA9" w:rsidRPr="00F01347">
              <w:rPr>
                <w:rFonts w:ascii="Verdana" w:hAnsi="Verdana"/>
                <w:sz w:val="16"/>
                <w:szCs w:val="16"/>
                <w:lang w:val="en-US"/>
              </w:rPr>
              <w:t>later</w:t>
            </w:r>
            <w:r w:rsidRPr="00F01347">
              <w:rPr>
                <w:rFonts w:ascii="Verdana" w:hAnsi="Verdana"/>
                <w:sz w:val="16"/>
                <w:szCs w:val="16"/>
                <w:lang w:val="en-US"/>
              </w:rPr>
              <w:t xml:space="preserve"> date, the responses to the comments received by the </w:t>
            </w:r>
            <w:proofErr w:type="gramStart"/>
            <w:r w:rsidRPr="00F01347">
              <w:rPr>
                <w:rFonts w:ascii="Verdana" w:hAnsi="Verdana"/>
                <w:sz w:val="16"/>
                <w:szCs w:val="16"/>
                <w:lang w:val="en-US"/>
              </w:rPr>
              <w:t>aforementioned Committee</w:t>
            </w:r>
            <w:proofErr w:type="gramEnd"/>
            <w:r w:rsidRPr="00F01347">
              <w:rPr>
                <w:rFonts w:ascii="Verdana" w:hAnsi="Verdana"/>
                <w:sz w:val="16"/>
                <w:szCs w:val="16"/>
                <w:lang w:val="en-US"/>
              </w:rPr>
              <w:t xml:space="preserve"> were published in the Official </w:t>
            </w:r>
            <w:r w:rsidR="003E1BA9" w:rsidRPr="00F01347">
              <w:rPr>
                <w:rFonts w:ascii="Verdana" w:hAnsi="Verdana"/>
                <w:sz w:val="16"/>
                <w:szCs w:val="16"/>
                <w:lang w:val="en-US"/>
              </w:rPr>
              <w:t>Daily</w:t>
            </w:r>
            <w:r w:rsidRPr="00F01347">
              <w:rPr>
                <w:rFonts w:ascii="Verdana" w:hAnsi="Verdana"/>
                <w:sz w:val="16"/>
                <w:szCs w:val="16"/>
                <w:lang w:val="en-US"/>
              </w:rPr>
              <w:t xml:space="preserve"> of the Federation, </w:t>
            </w:r>
            <w:r w:rsidR="003E1BA9" w:rsidRPr="00F01347">
              <w:rPr>
                <w:rFonts w:ascii="Verdana" w:hAnsi="Verdana"/>
                <w:sz w:val="16"/>
                <w:szCs w:val="16"/>
                <w:lang w:val="en-US"/>
              </w:rPr>
              <w:t xml:space="preserve">under </w:t>
            </w:r>
            <w:r w:rsidR="003E1BA9" w:rsidRPr="00F01347">
              <w:rPr>
                <w:rFonts w:ascii="Verdana" w:hAnsi="Verdana"/>
                <w:sz w:val="16"/>
                <w:szCs w:val="16"/>
                <w:lang w:val="en-US"/>
              </w:rPr>
              <w:lastRenderedPageBreak/>
              <w:t>the</w:t>
            </w:r>
            <w:r w:rsidRPr="00F01347">
              <w:rPr>
                <w:rFonts w:ascii="Verdana" w:hAnsi="Verdana"/>
                <w:sz w:val="16"/>
                <w:szCs w:val="16"/>
                <w:lang w:val="en-US"/>
              </w:rPr>
              <w:t xml:space="preserve"> terms of article 47, section III of the Federal Law on Metrology and Standardization;</w:t>
            </w:r>
          </w:p>
        </w:tc>
      </w:tr>
      <w:tr w:rsidR="003E1BA9" w:rsidRPr="00F01347" w14:paraId="18AB8E06" w14:textId="77777777" w:rsidTr="002444E4">
        <w:tc>
          <w:tcPr>
            <w:tcW w:w="4675" w:type="dxa"/>
          </w:tcPr>
          <w:p w14:paraId="5952BF9D" w14:textId="77777777" w:rsidR="003E1BA9" w:rsidRPr="00F01347" w:rsidRDefault="003E1BA9" w:rsidP="00D7599F">
            <w:pPr>
              <w:pStyle w:val="texto0"/>
              <w:spacing w:line="218" w:lineRule="exact"/>
              <w:ind w:firstLine="0"/>
              <w:rPr>
                <w:rFonts w:ascii="Verdana" w:hAnsi="Verdana"/>
                <w:sz w:val="16"/>
                <w:szCs w:val="16"/>
                <w:lang w:val="en-US"/>
              </w:rPr>
            </w:pPr>
          </w:p>
        </w:tc>
        <w:tc>
          <w:tcPr>
            <w:tcW w:w="4675" w:type="dxa"/>
          </w:tcPr>
          <w:p w14:paraId="568DCAD7" w14:textId="77777777" w:rsidR="003E1BA9" w:rsidRPr="00F01347" w:rsidRDefault="003E1BA9" w:rsidP="00D7599F">
            <w:pPr>
              <w:pStyle w:val="texto0"/>
              <w:spacing w:line="218" w:lineRule="exact"/>
              <w:ind w:firstLine="0"/>
              <w:rPr>
                <w:rFonts w:ascii="Verdana" w:hAnsi="Verdana"/>
                <w:sz w:val="16"/>
                <w:szCs w:val="16"/>
                <w:lang w:val="en-US"/>
              </w:rPr>
            </w:pPr>
          </w:p>
        </w:tc>
      </w:tr>
      <w:tr w:rsidR="00D7599F" w:rsidRPr="00F01347" w14:paraId="6632C704" w14:textId="296D52F8" w:rsidTr="002444E4">
        <w:tc>
          <w:tcPr>
            <w:tcW w:w="4675" w:type="dxa"/>
          </w:tcPr>
          <w:p w14:paraId="6F59E1A7" w14:textId="77777777" w:rsidR="00D7599F" w:rsidRPr="00F01347" w:rsidRDefault="00D7599F" w:rsidP="00D7599F">
            <w:pPr>
              <w:pStyle w:val="texto0"/>
              <w:spacing w:line="218" w:lineRule="exact"/>
              <w:ind w:firstLine="0"/>
              <w:rPr>
                <w:rFonts w:ascii="Verdana" w:hAnsi="Verdana"/>
                <w:sz w:val="16"/>
                <w:szCs w:val="16"/>
              </w:rPr>
            </w:pPr>
            <w:r w:rsidRPr="00F01347">
              <w:rPr>
                <w:rFonts w:ascii="Verdana" w:hAnsi="Verdana"/>
                <w:sz w:val="16"/>
                <w:szCs w:val="16"/>
              </w:rPr>
              <w:t>Que con fecha 24 de agosto del 2021, el Comité Consultivo Nacional de Normalización de Regulación y Fomento Sanitario aprobó la presente Norma Oficial Mexicana;</w:t>
            </w:r>
          </w:p>
        </w:tc>
        <w:tc>
          <w:tcPr>
            <w:tcW w:w="4675" w:type="dxa"/>
          </w:tcPr>
          <w:p w14:paraId="6214AD1D" w14:textId="376D0342" w:rsidR="00D7599F" w:rsidRPr="00F01347" w:rsidRDefault="00D7599F" w:rsidP="00D7599F">
            <w:pPr>
              <w:pStyle w:val="texto0"/>
              <w:spacing w:line="218" w:lineRule="exact"/>
              <w:ind w:firstLine="0"/>
              <w:rPr>
                <w:rFonts w:ascii="Verdana" w:hAnsi="Verdana"/>
                <w:sz w:val="16"/>
                <w:szCs w:val="16"/>
                <w:lang w:val="en-US"/>
              </w:rPr>
            </w:pPr>
            <w:r w:rsidRPr="00F01347">
              <w:rPr>
                <w:rFonts w:ascii="Verdana" w:hAnsi="Verdana"/>
                <w:sz w:val="16"/>
                <w:szCs w:val="16"/>
                <w:lang w:val="en-US"/>
              </w:rPr>
              <w:t xml:space="preserve">That on August 24, 2021, the National </w:t>
            </w:r>
            <w:r w:rsidR="003E1BA9" w:rsidRPr="00F01347">
              <w:rPr>
                <w:rFonts w:ascii="Verdana" w:hAnsi="Verdana"/>
                <w:sz w:val="16"/>
                <w:szCs w:val="16"/>
                <w:lang w:val="en-US"/>
              </w:rPr>
              <w:t>Consultative Committee</w:t>
            </w:r>
            <w:r w:rsidRPr="00F01347">
              <w:rPr>
                <w:rFonts w:ascii="Verdana" w:hAnsi="Verdana"/>
                <w:sz w:val="16"/>
                <w:szCs w:val="16"/>
                <w:lang w:val="en-US"/>
              </w:rPr>
              <w:t xml:space="preserve"> for Standardization of </w:t>
            </w:r>
            <w:r w:rsidR="003E1BA9" w:rsidRPr="00F01347">
              <w:rPr>
                <w:rFonts w:ascii="Verdana" w:hAnsi="Verdana"/>
                <w:sz w:val="16"/>
                <w:szCs w:val="16"/>
                <w:lang w:val="en-US"/>
              </w:rPr>
              <w:t>Sanitary</w:t>
            </w:r>
            <w:r w:rsidRPr="00F01347">
              <w:rPr>
                <w:rFonts w:ascii="Verdana" w:hAnsi="Verdana"/>
                <w:sz w:val="16"/>
                <w:szCs w:val="16"/>
                <w:lang w:val="en-US"/>
              </w:rPr>
              <w:t xml:space="preserve"> Regulation and Promotion approved this Official Mexican Standard;</w:t>
            </w:r>
          </w:p>
        </w:tc>
      </w:tr>
      <w:tr w:rsidR="00D7599F" w:rsidRPr="00F01347" w14:paraId="243D393F" w14:textId="0B54BCE5" w:rsidTr="002444E4">
        <w:tc>
          <w:tcPr>
            <w:tcW w:w="4675" w:type="dxa"/>
          </w:tcPr>
          <w:p w14:paraId="4509CE54" w14:textId="77777777" w:rsidR="00D7599F" w:rsidRPr="00F01347" w:rsidRDefault="00D7599F" w:rsidP="00D7599F">
            <w:pPr>
              <w:pStyle w:val="texto0"/>
              <w:spacing w:line="218" w:lineRule="exact"/>
              <w:ind w:firstLine="0"/>
              <w:rPr>
                <w:rFonts w:ascii="Verdana" w:hAnsi="Verdana"/>
                <w:sz w:val="16"/>
                <w:szCs w:val="16"/>
              </w:rPr>
            </w:pPr>
            <w:r w:rsidRPr="00F01347">
              <w:rPr>
                <w:rFonts w:ascii="Verdana" w:hAnsi="Verdana"/>
                <w:sz w:val="16"/>
                <w:szCs w:val="16"/>
              </w:rPr>
              <w:t>Que la Secretaría de Salud ha dado cumplimiento a lo establecido en el artículo 78 de la Ley General de Mejora Regulatoria, con la reserva por la desregulación de la reducción analítica de la materia prima para la elaboración de dispositivos médicos obtenidos de la publicación de la NOM-241-SSA1-2021, Buenas Prácticas de Fabricación de Dispositivos publicada en el Diario Oficial de la Federación el 17 de diciembre de 2021, lo cual  se desglosa en el Análisis de Impacto Regulatorio correspondiente; y</w:t>
            </w:r>
          </w:p>
        </w:tc>
        <w:tc>
          <w:tcPr>
            <w:tcW w:w="4675" w:type="dxa"/>
          </w:tcPr>
          <w:p w14:paraId="4CDF4A73" w14:textId="16B4B92A" w:rsidR="00D7599F" w:rsidRPr="00F01347" w:rsidRDefault="00D7599F" w:rsidP="00D7599F">
            <w:pPr>
              <w:pStyle w:val="texto0"/>
              <w:spacing w:line="218" w:lineRule="exact"/>
              <w:ind w:firstLine="0"/>
              <w:rPr>
                <w:rFonts w:ascii="Verdana" w:hAnsi="Verdana"/>
                <w:sz w:val="16"/>
                <w:szCs w:val="16"/>
                <w:lang w:val="en-US"/>
              </w:rPr>
            </w:pPr>
            <w:r w:rsidRPr="00F01347">
              <w:rPr>
                <w:rFonts w:ascii="Verdana" w:hAnsi="Verdana"/>
                <w:sz w:val="16"/>
                <w:szCs w:val="16"/>
                <w:lang w:val="en-US"/>
              </w:rPr>
              <w:t xml:space="preserve">That the </w:t>
            </w:r>
            <w:r w:rsidR="003E1BA9" w:rsidRPr="00F01347">
              <w:rPr>
                <w:rFonts w:ascii="Verdana" w:hAnsi="Verdana"/>
                <w:sz w:val="16"/>
                <w:szCs w:val="16"/>
                <w:lang w:val="en-US"/>
              </w:rPr>
              <w:t>Secretary</w:t>
            </w:r>
            <w:r w:rsidRPr="00F01347">
              <w:rPr>
                <w:rFonts w:ascii="Verdana" w:hAnsi="Verdana"/>
                <w:sz w:val="16"/>
                <w:szCs w:val="16"/>
                <w:lang w:val="en-US"/>
              </w:rPr>
              <w:t xml:space="preserve"> of Health has complied with the provisions of article 78 of the General Law of Regulatory Improvement, with the reservation for the deregulation of the analytical reduction of raw materials for the production of medical devices obtained from the publication of the NOM-241-SSA1-2021, Good Manufacturing Practices </w:t>
            </w:r>
            <w:r w:rsidR="003E1BA9" w:rsidRPr="00F01347">
              <w:rPr>
                <w:rFonts w:ascii="Verdana" w:hAnsi="Verdana"/>
                <w:sz w:val="16"/>
                <w:szCs w:val="16"/>
                <w:lang w:val="en-US"/>
              </w:rPr>
              <w:t xml:space="preserve">for Devices, </w:t>
            </w:r>
            <w:r w:rsidRPr="00F01347">
              <w:rPr>
                <w:rFonts w:ascii="Verdana" w:hAnsi="Verdana"/>
                <w:sz w:val="16"/>
                <w:szCs w:val="16"/>
                <w:lang w:val="en-US"/>
              </w:rPr>
              <w:t xml:space="preserve">published in the Official </w:t>
            </w:r>
            <w:r w:rsidR="003E1BA9" w:rsidRPr="00F01347">
              <w:rPr>
                <w:rFonts w:ascii="Verdana" w:hAnsi="Verdana"/>
                <w:sz w:val="16"/>
                <w:szCs w:val="16"/>
                <w:lang w:val="en-US"/>
              </w:rPr>
              <w:t>Daily</w:t>
            </w:r>
            <w:r w:rsidRPr="00F01347">
              <w:rPr>
                <w:rFonts w:ascii="Verdana" w:hAnsi="Verdana"/>
                <w:sz w:val="16"/>
                <w:szCs w:val="16"/>
                <w:lang w:val="en-US"/>
              </w:rPr>
              <w:t xml:space="preserve"> of the Federation on December 17, 2021, which is broken down in the corresponding Regulatory Impact Analysis; and</w:t>
            </w:r>
          </w:p>
        </w:tc>
      </w:tr>
      <w:tr w:rsidR="003E1BA9" w:rsidRPr="00F01347" w14:paraId="48BAF77C" w14:textId="77777777" w:rsidTr="002444E4">
        <w:tc>
          <w:tcPr>
            <w:tcW w:w="4675" w:type="dxa"/>
          </w:tcPr>
          <w:p w14:paraId="284E95E4" w14:textId="77777777" w:rsidR="003E1BA9" w:rsidRPr="00F01347" w:rsidRDefault="003E1BA9" w:rsidP="00D7599F">
            <w:pPr>
              <w:pStyle w:val="texto0"/>
              <w:spacing w:line="218" w:lineRule="exact"/>
              <w:ind w:firstLine="0"/>
              <w:rPr>
                <w:rFonts w:ascii="Verdana" w:hAnsi="Verdana"/>
                <w:sz w:val="16"/>
                <w:szCs w:val="16"/>
                <w:lang w:val="en-US"/>
              </w:rPr>
            </w:pPr>
          </w:p>
        </w:tc>
        <w:tc>
          <w:tcPr>
            <w:tcW w:w="4675" w:type="dxa"/>
          </w:tcPr>
          <w:p w14:paraId="69D919AD" w14:textId="77777777" w:rsidR="003E1BA9" w:rsidRPr="00F01347" w:rsidRDefault="003E1BA9" w:rsidP="00D7599F">
            <w:pPr>
              <w:pStyle w:val="texto0"/>
              <w:spacing w:line="218" w:lineRule="exact"/>
              <w:ind w:firstLine="0"/>
              <w:rPr>
                <w:rFonts w:ascii="Verdana" w:hAnsi="Verdana"/>
                <w:sz w:val="16"/>
                <w:szCs w:val="16"/>
                <w:lang w:val="en-US"/>
              </w:rPr>
            </w:pPr>
          </w:p>
        </w:tc>
      </w:tr>
      <w:tr w:rsidR="00D7599F" w:rsidRPr="00F01347" w14:paraId="69A49674" w14:textId="3CC2661C" w:rsidTr="002444E4">
        <w:tc>
          <w:tcPr>
            <w:tcW w:w="4675" w:type="dxa"/>
          </w:tcPr>
          <w:p w14:paraId="5BC9D95C" w14:textId="77777777" w:rsidR="00D7599F" w:rsidRPr="00F01347" w:rsidRDefault="00D7599F" w:rsidP="00D7599F">
            <w:pPr>
              <w:pStyle w:val="texto0"/>
              <w:spacing w:line="218" w:lineRule="exact"/>
              <w:ind w:firstLine="0"/>
              <w:rPr>
                <w:rFonts w:ascii="Verdana" w:hAnsi="Verdana"/>
                <w:sz w:val="16"/>
                <w:szCs w:val="16"/>
              </w:rPr>
            </w:pPr>
            <w:proofErr w:type="gramStart"/>
            <w:r w:rsidRPr="00F01347">
              <w:rPr>
                <w:rFonts w:ascii="Verdana" w:hAnsi="Verdana"/>
                <w:sz w:val="16"/>
                <w:szCs w:val="16"/>
              </w:rPr>
              <w:t>Que</w:t>
            </w:r>
            <w:proofErr w:type="gramEnd"/>
            <w:r w:rsidRPr="00F01347">
              <w:rPr>
                <w:rFonts w:ascii="Verdana" w:hAnsi="Verdana"/>
                <w:sz w:val="16"/>
                <w:szCs w:val="16"/>
              </w:rPr>
              <w:t xml:space="preserve"> en atención a las anteriores consideraciones, he tenido a bien expedir y ordenar la publicación en el Diario Oficial de la Federación, de la</w:t>
            </w:r>
          </w:p>
        </w:tc>
        <w:tc>
          <w:tcPr>
            <w:tcW w:w="4675" w:type="dxa"/>
          </w:tcPr>
          <w:p w14:paraId="08D423AE" w14:textId="0AB1A9DA" w:rsidR="00D7599F" w:rsidRPr="00F01347" w:rsidRDefault="00D7599F" w:rsidP="00D7599F">
            <w:pPr>
              <w:pStyle w:val="texto0"/>
              <w:spacing w:line="218" w:lineRule="exact"/>
              <w:ind w:firstLine="0"/>
              <w:rPr>
                <w:rFonts w:ascii="Verdana" w:hAnsi="Verdana"/>
                <w:sz w:val="16"/>
                <w:szCs w:val="16"/>
                <w:lang w:val="en-US"/>
              </w:rPr>
            </w:pPr>
            <w:r w:rsidRPr="00F01347">
              <w:rPr>
                <w:rFonts w:ascii="Verdana" w:hAnsi="Verdana"/>
                <w:sz w:val="16"/>
                <w:szCs w:val="16"/>
                <w:lang w:val="en-US"/>
              </w:rPr>
              <w:t xml:space="preserve">That in response to the above considerations, I have seen fit to issue and order the publication in the Official </w:t>
            </w:r>
            <w:r w:rsidR="003E1BA9" w:rsidRPr="00F01347">
              <w:rPr>
                <w:rFonts w:ascii="Verdana" w:hAnsi="Verdana"/>
                <w:sz w:val="16"/>
                <w:szCs w:val="16"/>
                <w:lang w:val="en-US"/>
              </w:rPr>
              <w:t>Daily</w:t>
            </w:r>
            <w:r w:rsidRPr="00F01347">
              <w:rPr>
                <w:rFonts w:ascii="Verdana" w:hAnsi="Verdana"/>
                <w:sz w:val="16"/>
                <w:szCs w:val="16"/>
                <w:lang w:val="en-US"/>
              </w:rPr>
              <w:t xml:space="preserve"> of the Federation, of the</w:t>
            </w:r>
          </w:p>
        </w:tc>
      </w:tr>
      <w:tr w:rsidR="00D7599F" w:rsidRPr="00F01347" w14:paraId="5696226A" w14:textId="74917FD0" w:rsidTr="002444E4">
        <w:tc>
          <w:tcPr>
            <w:tcW w:w="4675" w:type="dxa"/>
          </w:tcPr>
          <w:p w14:paraId="6A2CDFE4" w14:textId="77777777" w:rsidR="00D7599F" w:rsidRPr="00F01347" w:rsidRDefault="00D7599F" w:rsidP="00D7599F">
            <w:pPr>
              <w:pStyle w:val="ANOTACION"/>
              <w:spacing w:line="218" w:lineRule="exact"/>
              <w:rPr>
                <w:rFonts w:ascii="Verdana" w:hAnsi="Verdana"/>
                <w:sz w:val="16"/>
                <w:szCs w:val="16"/>
              </w:rPr>
            </w:pPr>
            <w:r w:rsidRPr="00F01347">
              <w:rPr>
                <w:rFonts w:ascii="Verdana" w:hAnsi="Verdana"/>
                <w:sz w:val="16"/>
                <w:szCs w:val="16"/>
              </w:rPr>
              <w:t>NORMA OFICIAL MEXICANA NOM-127-SSA1-2021, AGUA PARA USO Y CONSUMO HUMANO.  LÍMITES PERMISIBLES DE LA CALIDAD DEL AGUA</w:t>
            </w:r>
          </w:p>
        </w:tc>
        <w:tc>
          <w:tcPr>
            <w:tcW w:w="4675" w:type="dxa"/>
          </w:tcPr>
          <w:p w14:paraId="0CE146C0" w14:textId="3B735BFA" w:rsidR="00D7599F" w:rsidRPr="00F01347" w:rsidRDefault="00D7599F" w:rsidP="00D7599F">
            <w:pPr>
              <w:pStyle w:val="ANOTACION"/>
              <w:spacing w:line="218" w:lineRule="exact"/>
              <w:rPr>
                <w:rFonts w:ascii="Verdana" w:hAnsi="Verdana"/>
                <w:sz w:val="16"/>
                <w:szCs w:val="16"/>
                <w:lang w:val="en-US"/>
              </w:rPr>
            </w:pPr>
            <w:r w:rsidRPr="00F01347">
              <w:rPr>
                <w:rFonts w:ascii="Verdana" w:hAnsi="Verdana"/>
                <w:sz w:val="16"/>
                <w:szCs w:val="16"/>
                <w:lang w:val="en-US"/>
              </w:rPr>
              <w:t>OFFICIAL MEXICAN STANDARD NOM-127-SSA1-2021, WATER FOR HUMAN USE AND CONSUMPTION. PERMISSIBLE LIMITS OF WATER QUALITY</w:t>
            </w:r>
          </w:p>
        </w:tc>
      </w:tr>
      <w:tr w:rsidR="00D7599F" w:rsidRPr="00F01347" w14:paraId="6D107C1A" w14:textId="56C35FBB" w:rsidTr="002444E4">
        <w:tc>
          <w:tcPr>
            <w:tcW w:w="4675" w:type="dxa"/>
          </w:tcPr>
          <w:p w14:paraId="58B32E9F" w14:textId="77777777" w:rsidR="00D7599F" w:rsidRPr="00F01347" w:rsidRDefault="00D7599F" w:rsidP="00D7599F">
            <w:pPr>
              <w:pStyle w:val="ANOTACION"/>
              <w:rPr>
                <w:rFonts w:ascii="Verdana" w:hAnsi="Verdana"/>
                <w:sz w:val="16"/>
                <w:szCs w:val="16"/>
              </w:rPr>
            </w:pPr>
            <w:r w:rsidRPr="00F01347">
              <w:rPr>
                <w:rFonts w:ascii="Verdana" w:hAnsi="Verdana"/>
                <w:sz w:val="16"/>
                <w:szCs w:val="16"/>
              </w:rPr>
              <w:t>PREFACIO</w:t>
            </w:r>
          </w:p>
        </w:tc>
        <w:tc>
          <w:tcPr>
            <w:tcW w:w="4675" w:type="dxa"/>
          </w:tcPr>
          <w:p w14:paraId="203C743C" w14:textId="539C4835" w:rsidR="00D7599F" w:rsidRPr="00F01347" w:rsidRDefault="00D7599F" w:rsidP="00D7599F">
            <w:pPr>
              <w:pStyle w:val="ANOTACION"/>
              <w:rPr>
                <w:rFonts w:ascii="Verdana" w:hAnsi="Verdana"/>
                <w:sz w:val="16"/>
                <w:szCs w:val="16"/>
                <w:lang w:val="en-US"/>
              </w:rPr>
            </w:pPr>
            <w:r w:rsidRPr="00F01347">
              <w:rPr>
                <w:rFonts w:ascii="Verdana" w:hAnsi="Verdana"/>
                <w:sz w:val="16"/>
                <w:szCs w:val="16"/>
                <w:lang w:val="en-US"/>
              </w:rPr>
              <w:t>PREFACE</w:t>
            </w:r>
          </w:p>
        </w:tc>
      </w:tr>
      <w:tr w:rsidR="00D7599F" w:rsidRPr="00F01347" w14:paraId="3F12B51C" w14:textId="562CD8B6" w:rsidTr="002444E4">
        <w:tc>
          <w:tcPr>
            <w:tcW w:w="4675" w:type="dxa"/>
          </w:tcPr>
          <w:p w14:paraId="2C75D254" w14:textId="77777777" w:rsidR="00D7599F" w:rsidRPr="00F01347" w:rsidRDefault="00D7599F" w:rsidP="00D7599F">
            <w:pPr>
              <w:pStyle w:val="texto0"/>
              <w:spacing w:line="228" w:lineRule="exact"/>
              <w:ind w:firstLine="0"/>
              <w:rPr>
                <w:rFonts w:ascii="Verdana" w:hAnsi="Verdana"/>
                <w:color w:val="000000"/>
                <w:sz w:val="16"/>
                <w:szCs w:val="16"/>
              </w:rPr>
            </w:pPr>
            <w:r w:rsidRPr="00F01347">
              <w:rPr>
                <w:rFonts w:ascii="Verdana" w:hAnsi="Verdana"/>
                <w:color w:val="000000"/>
                <w:sz w:val="16"/>
                <w:szCs w:val="16"/>
              </w:rPr>
              <w:t>En la elaboración de esta Norma participaron:</w:t>
            </w:r>
          </w:p>
        </w:tc>
        <w:tc>
          <w:tcPr>
            <w:tcW w:w="4675" w:type="dxa"/>
          </w:tcPr>
          <w:p w14:paraId="1182A153" w14:textId="2D8AF08C" w:rsidR="00D7599F" w:rsidRPr="00F01347" w:rsidRDefault="00D7599F" w:rsidP="00D7599F">
            <w:pPr>
              <w:pStyle w:val="texto0"/>
              <w:spacing w:line="228" w:lineRule="exact"/>
              <w:ind w:firstLine="0"/>
              <w:rPr>
                <w:rFonts w:ascii="Verdana" w:hAnsi="Verdana"/>
                <w:color w:val="000000"/>
                <w:sz w:val="16"/>
                <w:szCs w:val="16"/>
                <w:lang w:val="en-US"/>
              </w:rPr>
            </w:pPr>
            <w:r w:rsidRPr="00F01347">
              <w:rPr>
                <w:rFonts w:ascii="Verdana" w:hAnsi="Verdana"/>
                <w:color w:val="000000"/>
                <w:sz w:val="16"/>
                <w:szCs w:val="16"/>
                <w:lang w:val="en-US"/>
              </w:rPr>
              <w:t>The following participated in the preparation of this Standard:</w:t>
            </w:r>
          </w:p>
        </w:tc>
      </w:tr>
      <w:tr w:rsidR="00D7599F" w:rsidRPr="00F01347" w14:paraId="58C218FA" w14:textId="0BA3C4BC" w:rsidTr="002444E4">
        <w:tc>
          <w:tcPr>
            <w:tcW w:w="4675" w:type="dxa"/>
          </w:tcPr>
          <w:p w14:paraId="4BBACFC8"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SECRETARÍA DE SALUD</w:t>
            </w:r>
          </w:p>
        </w:tc>
        <w:tc>
          <w:tcPr>
            <w:tcW w:w="4675" w:type="dxa"/>
          </w:tcPr>
          <w:p w14:paraId="24BF19D8" w14:textId="7EF3E79E"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SECRETARY</w:t>
            </w:r>
            <w:r w:rsidR="003E1BA9" w:rsidRPr="00F01347">
              <w:rPr>
                <w:rFonts w:ascii="Verdana" w:hAnsi="Verdana"/>
                <w:color w:val="000000"/>
                <w:sz w:val="16"/>
                <w:szCs w:val="16"/>
                <w:lang w:val="en-US"/>
              </w:rPr>
              <w:t xml:space="preserve"> OF HEALTH</w:t>
            </w:r>
          </w:p>
        </w:tc>
      </w:tr>
      <w:tr w:rsidR="00D7599F" w:rsidRPr="00F01347" w14:paraId="587E2C29" w14:textId="13EB2D13" w:rsidTr="002444E4">
        <w:tc>
          <w:tcPr>
            <w:tcW w:w="4675" w:type="dxa"/>
          </w:tcPr>
          <w:p w14:paraId="2945092F" w14:textId="77777777" w:rsidR="00D7599F" w:rsidRPr="00F01347" w:rsidRDefault="00D7599F" w:rsidP="00D7599F">
            <w:pPr>
              <w:pStyle w:val="texto0"/>
              <w:spacing w:line="228" w:lineRule="exact"/>
              <w:ind w:firstLine="0"/>
              <w:rPr>
                <w:rFonts w:ascii="Verdana" w:hAnsi="Verdana"/>
                <w:color w:val="000000"/>
                <w:sz w:val="16"/>
                <w:szCs w:val="16"/>
              </w:rPr>
            </w:pPr>
            <w:r w:rsidRPr="00F01347">
              <w:rPr>
                <w:rFonts w:ascii="Verdana" w:hAnsi="Verdana"/>
                <w:color w:val="000000"/>
                <w:sz w:val="16"/>
                <w:szCs w:val="16"/>
              </w:rPr>
              <w:t>Comisión Federal para la Protección contra Riesgos Sanitarios</w:t>
            </w:r>
          </w:p>
        </w:tc>
        <w:tc>
          <w:tcPr>
            <w:tcW w:w="4675" w:type="dxa"/>
          </w:tcPr>
          <w:p w14:paraId="402CE96D" w14:textId="5EF4126F" w:rsidR="00D7599F" w:rsidRPr="00F01347" w:rsidRDefault="00D7599F" w:rsidP="00D7599F">
            <w:pPr>
              <w:pStyle w:val="texto0"/>
              <w:spacing w:line="228" w:lineRule="exact"/>
              <w:ind w:firstLine="0"/>
              <w:rPr>
                <w:rFonts w:ascii="Verdana" w:hAnsi="Verdana"/>
                <w:color w:val="000000"/>
                <w:sz w:val="16"/>
                <w:szCs w:val="16"/>
                <w:lang w:val="en-US"/>
              </w:rPr>
            </w:pPr>
            <w:r w:rsidRPr="00F01347">
              <w:rPr>
                <w:rFonts w:ascii="Verdana" w:hAnsi="Verdana"/>
                <w:color w:val="000000"/>
                <w:sz w:val="16"/>
                <w:szCs w:val="16"/>
                <w:lang w:val="en-US"/>
              </w:rPr>
              <w:t>Federal Commission for the Protection against Health Risks</w:t>
            </w:r>
          </w:p>
        </w:tc>
      </w:tr>
      <w:tr w:rsidR="00D7599F" w:rsidRPr="00F01347" w14:paraId="39ABA052" w14:textId="774D6971" w:rsidTr="002444E4">
        <w:tc>
          <w:tcPr>
            <w:tcW w:w="4675" w:type="dxa"/>
          </w:tcPr>
          <w:p w14:paraId="7B7103CC"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SECRETARÍA DE MEDIO AMBIENTE Y RECURSOS NATURALES</w:t>
            </w:r>
          </w:p>
        </w:tc>
        <w:tc>
          <w:tcPr>
            <w:tcW w:w="4675" w:type="dxa"/>
          </w:tcPr>
          <w:p w14:paraId="6FD307D0" w14:textId="2E4112CB" w:rsidR="00D7599F" w:rsidRPr="00F01347" w:rsidRDefault="003E1BA9"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SECRETARY</w:t>
            </w:r>
            <w:r w:rsidR="00D7599F" w:rsidRPr="00F01347">
              <w:rPr>
                <w:rFonts w:ascii="Verdana" w:hAnsi="Verdana"/>
                <w:color w:val="000000"/>
                <w:sz w:val="16"/>
                <w:szCs w:val="16"/>
                <w:lang w:val="en-US"/>
              </w:rPr>
              <w:t xml:space="preserve"> OF ENVIRONMENT AND NATURAL RESOURCES</w:t>
            </w:r>
          </w:p>
        </w:tc>
      </w:tr>
      <w:tr w:rsidR="00D7599F" w:rsidRPr="00F01347" w14:paraId="0B4DC9AE" w14:textId="757FB0F8" w:rsidTr="002444E4">
        <w:tc>
          <w:tcPr>
            <w:tcW w:w="4675" w:type="dxa"/>
          </w:tcPr>
          <w:p w14:paraId="08324355"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Comisión Nacional del Agua</w:t>
            </w:r>
          </w:p>
        </w:tc>
        <w:tc>
          <w:tcPr>
            <w:tcW w:w="4675" w:type="dxa"/>
          </w:tcPr>
          <w:p w14:paraId="3EB5119B" w14:textId="1A533A71"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National Water </w:t>
            </w:r>
            <w:r w:rsidR="00F01347" w:rsidRPr="00F01347">
              <w:rPr>
                <w:rFonts w:ascii="Verdana" w:hAnsi="Verdana"/>
                <w:color w:val="000000"/>
                <w:sz w:val="16"/>
                <w:szCs w:val="16"/>
                <w:lang w:val="en-US"/>
              </w:rPr>
              <w:t>Commission</w:t>
            </w:r>
          </w:p>
        </w:tc>
      </w:tr>
      <w:tr w:rsidR="00D7599F" w:rsidRPr="00F01347" w14:paraId="008014F0" w14:textId="38983174" w:rsidTr="002444E4">
        <w:tc>
          <w:tcPr>
            <w:tcW w:w="4675" w:type="dxa"/>
          </w:tcPr>
          <w:p w14:paraId="423EDBB9" w14:textId="77777777" w:rsidR="00D7599F" w:rsidRPr="00F01347" w:rsidRDefault="00D7599F" w:rsidP="00D7599F">
            <w:pPr>
              <w:pStyle w:val="texto0"/>
              <w:spacing w:line="228" w:lineRule="exact"/>
              <w:ind w:firstLine="0"/>
              <w:rPr>
                <w:rFonts w:ascii="Verdana" w:hAnsi="Verdana"/>
                <w:color w:val="000000"/>
                <w:sz w:val="16"/>
                <w:szCs w:val="16"/>
              </w:rPr>
            </w:pPr>
            <w:r w:rsidRPr="00F01347">
              <w:rPr>
                <w:rFonts w:ascii="Verdana" w:hAnsi="Verdana"/>
                <w:color w:val="000000"/>
                <w:sz w:val="16"/>
                <w:szCs w:val="16"/>
              </w:rPr>
              <w:t>Instituto Mexicano de Tecnología del Agua</w:t>
            </w:r>
          </w:p>
        </w:tc>
        <w:tc>
          <w:tcPr>
            <w:tcW w:w="4675" w:type="dxa"/>
          </w:tcPr>
          <w:p w14:paraId="41AE1425" w14:textId="463FBF68" w:rsidR="00D7599F" w:rsidRPr="00F01347" w:rsidRDefault="00D7599F" w:rsidP="00D7599F">
            <w:pPr>
              <w:pStyle w:val="texto0"/>
              <w:spacing w:line="228" w:lineRule="exact"/>
              <w:ind w:firstLine="0"/>
              <w:rPr>
                <w:rFonts w:ascii="Verdana" w:hAnsi="Verdana"/>
                <w:color w:val="000000"/>
                <w:sz w:val="16"/>
                <w:szCs w:val="16"/>
                <w:lang w:val="en-US"/>
              </w:rPr>
            </w:pPr>
            <w:r w:rsidRPr="00F01347">
              <w:rPr>
                <w:rFonts w:ascii="Verdana" w:hAnsi="Verdana"/>
                <w:color w:val="000000"/>
                <w:sz w:val="16"/>
                <w:szCs w:val="16"/>
                <w:lang w:val="en-US"/>
              </w:rPr>
              <w:t>Mexican Institute of Water Technology</w:t>
            </w:r>
          </w:p>
        </w:tc>
      </w:tr>
      <w:tr w:rsidR="00D7599F" w:rsidRPr="00F01347" w14:paraId="1463C16F" w14:textId="2BE32EB7" w:rsidTr="002444E4">
        <w:tc>
          <w:tcPr>
            <w:tcW w:w="4675" w:type="dxa"/>
          </w:tcPr>
          <w:p w14:paraId="4CAFEEAA"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SECRETARÍA DE ENERGÍA</w:t>
            </w:r>
          </w:p>
        </w:tc>
        <w:tc>
          <w:tcPr>
            <w:tcW w:w="4675" w:type="dxa"/>
          </w:tcPr>
          <w:p w14:paraId="4583FA99" w14:textId="169EC057"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SECRETARY OF ENERGY</w:t>
            </w:r>
          </w:p>
        </w:tc>
      </w:tr>
      <w:tr w:rsidR="00D7599F" w:rsidRPr="00F01347" w14:paraId="77E78121" w14:textId="529C04B0" w:rsidTr="002444E4">
        <w:tc>
          <w:tcPr>
            <w:tcW w:w="4675" w:type="dxa"/>
          </w:tcPr>
          <w:p w14:paraId="52007DD0" w14:textId="77777777" w:rsidR="00D7599F" w:rsidRPr="00F01347" w:rsidRDefault="00D7599F" w:rsidP="00D7599F">
            <w:pPr>
              <w:pStyle w:val="texto0"/>
              <w:spacing w:line="228" w:lineRule="exact"/>
              <w:ind w:firstLine="0"/>
              <w:rPr>
                <w:rFonts w:ascii="Verdana" w:hAnsi="Verdana"/>
                <w:color w:val="000000"/>
                <w:sz w:val="16"/>
                <w:szCs w:val="16"/>
              </w:rPr>
            </w:pPr>
            <w:r w:rsidRPr="00F01347">
              <w:rPr>
                <w:rFonts w:ascii="Verdana" w:hAnsi="Verdana"/>
                <w:color w:val="000000"/>
                <w:sz w:val="16"/>
                <w:szCs w:val="16"/>
              </w:rPr>
              <w:t>Comisión Nacional de Seguridad Nuclear y Salvaguardias</w:t>
            </w:r>
          </w:p>
        </w:tc>
        <w:tc>
          <w:tcPr>
            <w:tcW w:w="4675" w:type="dxa"/>
          </w:tcPr>
          <w:p w14:paraId="466CB1E6" w14:textId="63458EFD" w:rsidR="00D7599F" w:rsidRPr="00F01347" w:rsidRDefault="00D7599F" w:rsidP="00D7599F">
            <w:pPr>
              <w:pStyle w:val="texto0"/>
              <w:spacing w:line="228" w:lineRule="exact"/>
              <w:ind w:firstLine="0"/>
              <w:rPr>
                <w:rFonts w:ascii="Verdana" w:hAnsi="Verdana"/>
                <w:color w:val="000000"/>
                <w:sz w:val="16"/>
                <w:szCs w:val="16"/>
                <w:lang w:val="en-US"/>
              </w:rPr>
            </w:pPr>
            <w:r w:rsidRPr="00F01347">
              <w:rPr>
                <w:rFonts w:ascii="Verdana" w:hAnsi="Verdana"/>
                <w:color w:val="000000"/>
                <w:sz w:val="16"/>
                <w:szCs w:val="16"/>
                <w:lang w:val="en-US"/>
              </w:rPr>
              <w:t>National Commission for Nuclear Safety and Safeguards</w:t>
            </w:r>
          </w:p>
        </w:tc>
      </w:tr>
      <w:tr w:rsidR="00D7599F" w:rsidRPr="00F01347" w14:paraId="69A8AF69" w14:textId="627A53A3" w:rsidTr="002444E4">
        <w:tc>
          <w:tcPr>
            <w:tcW w:w="4675" w:type="dxa"/>
          </w:tcPr>
          <w:p w14:paraId="0751D6C3"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SISTEMA DE AGUAS DE LA CIUDAD DE MÉXICO</w:t>
            </w:r>
          </w:p>
        </w:tc>
        <w:tc>
          <w:tcPr>
            <w:tcW w:w="4675" w:type="dxa"/>
          </w:tcPr>
          <w:p w14:paraId="09E78476" w14:textId="7E8B6163"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MEXICO CITY WATER SYSTEM</w:t>
            </w:r>
          </w:p>
        </w:tc>
      </w:tr>
      <w:tr w:rsidR="00D7599F" w:rsidRPr="00F01347" w14:paraId="43233409" w14:textId="0D58FE81" w:rsidTr="002444E4">
        <w:tc>
          <w:tcPr>
            <w:tcW w:w="4675" w:type="dxa"/>
          </w:tcPr>
          <w:p w14:paraId="075E2E4F" w14:textId="77777777" w:rsidR="00D7599F" w:rsidRPr="00F01347" w:rsidRDefault="00D7599F" w:rsidP="00D7599F">
            <w:pPr>
              <w:pStyle w:val="texto0"/>
              <w:spacing w:line="228" w:lineRule="exact"/>
              <w:ind w:firstLine="0"/>
              <w:rPr>
                <w:rFonts w:ascii="Verdana" w:hAnsi="Verdana"/>
                <w:color w:val="000000"/>
                <w:sz w:val="16"/>
                <w:szCs w:val="16"/>
              </w:rPr>
            </w:pPr>
            <w:r w:rsidRPr="00F01347">
              <w:rPr>
                <w:rFonts w:ascii="Verdana" w:hAnsi="Verdana"/>
                <w:color w:val="000000"/>
                <w:sz w:val="16"/>
                <w:szCs w:val="16"/>
              </w:rPr>
              <w:t>Subdirección de Control de la Calidad del Agua</w:t>
            </w:r>
          </w:p>
        </w:tc>
        <w:tc>
          <w:tcPr>
            <w:tcW w:w="4675" w:type="dxa"/>
          </w:tcPr>
          <w:p w14:paraId="2A285575" w14:textId="05F5C6E3" w:rsidR="00D7599F" w:rsidRPr="00F01347" w:rsidRDefault="003E1BA9" w:rsidP="00D7599F">
            <w:pPr>
              <w:pStyle w:val="texto0"/>
              <w:spacing w:line="228" w:lineRule="exact"/>
              <w:ind w:firstLine="0"/>
              <w:rPr>
                <w:rFonts w:ascii="Verdana" w:hAnsi="Verdana"/>
                <w:color w:val="000000"/>
                <w:sz w:val="16"/>
                <w:szCs w:val="16"/>
                <w:lang w:val="en-US"/>
              </w:rPr>
            </w:pPr>
            <w:r w:rsidRPr="00F01347">
              <w:rPr>
                <w:rFonts w:ascii="Verdana" w:hAnsi="Verdana"/>
                <w:color w:val="000000"/>
                <w:sz w:val="16"/>
                <w:szCs w:val="16"/>
                <w:lang w:val="en-US"/>
              </w:rPr>
              <w:t>Sub</w:t>
            </w:r>
            <w:r w:rsidR="00F01347">
              <w:rPr>
                <w:rFonts w:ascii="Verdana" w:hAnsi="Verdana"/>
                <w:color w:val="000000"/>
                <w:sz w:val="16"/>
                <w:szCs w:val="16"/>
                <w:lang w:val="en-US"/>
              </w:rPr>
              <w:t>-</w:t>
            </w:r>
            <w:r w:rsidRPr="00F01347">
              <w:rPr>
                <w:rFonts w:ascii="Verdana" w:hAnsi="Verdana"/>
                <w:color w:val="000000"/>
                <w:sz w:val="16"/>
                <w:szCs w:val="16"/>
                <w:lang w:val="en-US"/>
              </w:rPr>
              <w:t xml:space="preserve">directorate of </w:t>
            </w:r>
            <w:r w:rsidR="00D7599F" w:rsidRPr="00F01347">
              <w:rPr>
                <w:rFonts w:ascii="Verdana" w:hAnsi="Verdana"/>
                <w:color w:val="000000"/>
                <w:sz w:val="16"/>
                <w:szCs w:val="16"/>
                <w:lang w:val="en-US"/>
              </w:rPr>
              <w:t xml:space="preserve">Water Quality Control </w:t>
            </w:r>
          </w:p>
        </w:tc>
      </w:tr>
      <w:tr w:rsidR="00D7599F" w:rsidRPr="00F01347" w14:paraId="0CE726EC" w14:textId="05317E91" w:rsidTr="002444E4">
        <w:tc>
          <w:tcPr>
            <w:tcW w:w="4675" w:type="dxa"/>
          </w:tcPr>
          <w:p w14:paraId="389024F9"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COMISIÓN DEL AGUA DEL ESTADO DE MÉXICO</w:t>
            </w:r>
          </w:p>
        </w:tc>
        <w:tc>
          <w:tcPr>
            <w:tcW w:w="4675" w:type="dxa"/>
          </w:tcPr>
          <w:p w14:paraId="56D130C7" w14:textId="38CEF579"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WATER COMMISSION OF THE STATE OF MEXICO</w:t>
            </w:r>
          </w:p>
        </w:tc>
      </w:tr>
      <w:tr w:rsidR="00D7599F" w:rsidRPr="00F01347" w14:paraId="414584A9" w14:textId="34BC9F3D" w:rsidTr="002444E4">
        <w:tc>
          <w:tcPr>
            <w:tcW w:w="4675" w:type="dxa"/>
          </w:tcPr>
          <w:p w14:paraId="1ACCE3A2" w14:textId="77777777" w:rsidR="00D7599F" w:rsidRPr="00F01347" w:rsidRDefault="00D7599F" w:rsidP="00D7599F">
            <w:pPr>
              <w:pStyle w:val="texto0"/>
              <w:spacing w:line="218" w:lineRule="exact"/>
              <w:ind w:firstLine="0"/>
              <w:rPr>
                <w:rFonts w:ascii="Verdana" w:hAnsi="Verdana"/>
                <w:color w:val="000000"/>
                <w:sz w:val="16"/>
                <w:szCs w:val="16"/>
              </w:rPr>
            </w:pPr>
            <w:r w:rsidRPr="00F01347">
              <w:rPr>
                <w:rFonts w:ascii="Verdana" w:hAnsi="Verdana"/>
                <w:color w:val="000000"/>
                <w:sz w:val="16"/>
                <w:szCs w:val="16"/>
              </w:rPr>
              <w:t>Departamento del Laboratorio del Agua</w:t>
            </w:r>
          </w:p>
        </w:tc>
        <w:tc>
          <w:tcPr>
            <w:tcW w:w="4675" w:type="dxa"/>
          </w:tcPr>
          <w:p w14:paraId="4335B7EF" w14:textId="76ABF108" w:rsidR="00D7599F" w:rsidRPr="00F01347" w:rsidRDefault="00D7599F" w:rsidP="00D7599F">
            <w:pPr>
              <w:pStyle w:val="texto0"/>
              <w:spacing w:line="218" w:lineRule="exact"/>
              <w:ind w:firstLine="0"/>
              <w:rPr>
                <w:rFonts w:ascii="Verdana" w:hAnsi="Verdana"/>
                <w:color w:val="000000"/>
                <w:sz w:val="16"/>
                <w:szCs w:val="16"/>
                <w:lang w:val="en-US"/>
              </w:rPr>
            </w:pPr>
            <w:r w:rsidRPr="00F01347">
              <w:rPr>
                <w:rFonts w:ascii="Verdana" w:hAnsi="Verdana"/>
                <w:color w:val="000000"/>
                <w:sz w:val="16"/>
                <w:szCs w:val="16"/>
                <w:lang w:val="en-US"/>
              </w:rPr>
              <w:t>Water Laboratory Department</w:t>
            </w:r>
          </w:p>
        </w:tc>
      </w:tr>
      <w:tr w:rsidR="00D7599F" w:rsidRPr="00F01347" w14:paraId="2EA8439F" w14:textId="28F01811" w:rsidTr="002444E4">
        <w:tc>
          <w:tcPr>
            <w:tcW w:w="4675" w:type="dxa"/>
          </w:tcPr>
          <w:p w14:paraId="22FF13D3"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SERVICIOS DE AGUA Y DRENAJE DE MONTERREY, I.P.D.</w:t>
            </w:r>
          </w:p>
        </w:tc>
        <w:tc>
          <w:tcPr>
            <w:tcW w:w="4675" w:type="dxa"/>
          </w:tcPr>
          <w:p w14:paraId="1DD8140D" w14:textId="3D4AA416"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WATER AND DRAINAGE SERVICES OF MONTERREY, IPD</w:t>
            </w:r>
          </w:p>
        </w:tc>
      </w:tr>
      <w:tr w:rsidR="00D7599F" w:rsidRPr="00F01347" w14:paraId="3D37AD7A" w14:textId="797F46B5" w:rsidTr="002444E4">
        <w:tc>
          <w:tcPr>
            <w:tcW w:w="4675" w:type="dxa"/>
          </w:tcPr>
          <w:p w14:paraId="0836E68F" w14:textId="77777777" w:rsidR="00D7599F" w:rsidRPr="00F01347" w:rsidRDefault="00D7599F" w:rsidP="00D7599F">
            <w:pPr>
              <w:pStyle w:val="texto0"/>
              <w:spacing w:line="218" w:lineRule="exact"/>
              <w:ind w:firstLine="0"/>
              <w:rPr>
                <w:rFonts w:ascii="Verdana" w:hAnsi="Verdana"/>
                <w:color w:val="000000"/>
                <w:sz w:val="16"/>
                <w:szCs w:val="16"/>
              </w:rPr>
            </w:pPr>
            <w:r w:rsidRPr="00F01347">
              <w:rPr>
                <w:rFonts w:ascii="Verdana" w:hAnsi="Verdana"/>
                <w:color w:val="000000"/>
                <w:sz w:val="16"/>
                <w:szCs w:val="16"/>
              </w:rPr>
              <w:t>Laboratorio Central de Calidad de Aguas</w:t>
            </w:r>
          </w:p>
        </w:tc>
        <w:tc>
          <w:tcPr>
            <w:tcW w:w="4675" w:type="dxa"/>
          </w:tcPr>
          <w:p w14:paraId="22C887E4" w14:textId="7385B449" w:rsidR="00D7599F" w:rsidRPr="00F01347" w:rsidRDefault="00D7599F" w:rsidP="00D7599F">
            <w:pPr>
              <w:pStyle w:val="texto0"/>
              <w:spacing w:line="218" w:lineRule="exact"/>
              <w:ind w:firstLine="0"/>
              <w:rPr>
                <w:rFonts w:ascii="Verdana" w:hAnsi="Verdana"/>
                <w:color w:val="000000"/>
                <w:sz w:val="16"/>
                <w:szCs w:val="16"/>
                <w:lang w:val="en-US"/>
              </w:rPr>
            </w:pPr>
            <w:r w:rsidRPr="00F01347">
              <w:rPr>
                <w:rFonts w:ascii="Verdana" w:hAnsi="Verdana"/>
                <w:color w:val="000000"/>
                <w:sz w:val="16"/>
                <w:szCs w:val="16"/>
                <w:lang w:val="en-US"/>
              </w:rPr>
              <w:t>Central Water Quality Laboratory</w:t>
            </w:r>
          </w:p>
        </w:tc>
      </w:tr>
      <w:tr w:rsidR="00D7599F" w:rsidRPr="00F01347" w14:paraId="533D014C" w14:textId="7B24BC1F" w:rsidTr="002444E4">
        <w:tc>
          <w:tcPr>
            <w:tcW w:w="4675" w:type="dxa"/>
          </w:tcPr>
          <w:p w14:paraId="1C06FDA2" w14:textId="77777777" w:rsidR="00D7599F" w:rsidRPr="00F01347" w:rsidRDefault="00D7599F" w:rsidP="00D7599F">
            <w:pPr>
              <w:pStyle w:val="texto0"/>
              <w:spacing w:after="0" w:line="228" w:lineRule="exact"/>
              <w:ind w:firstLine="0"/>
              <w:rPr>
                <w:rFonts w:ascii="Verdana" w:hAnsi="Verdana"/>
                <w:sz w:val="16"/>
                <w:szCs w:val="16"/>
              </w:rPr>
            </w:pPr>
            <w:r w:rsidRPr="00F01347">
              <w:rPr>
                <w:rFonts w:ascii="Verdana" w:hAnsi="Verdana"/>
                <w:sz w:val="16"/>
                <w:szCs w:val="16"/>
              </w:rPr>
              <w:t>ORGANIZACIÓN MUNDIAL DE LA SALUD</w:t>
            </w:r>
          </w:p>
        </w:tc>
        <w:tc>
          <w:tcPr>
            <w:tcW w:w="4675" w:type="dxa"/>
          </w:tcPr>
          <w:p w14:paraId="4B51F80C" w14:textId="6B623B9E" w:rsidR="00D7599F" w:rsidRPr="00F01347" w:rsidRDefault="00D7599F" w:rsidP="00D7599F">
            <w:pPr>
              <w:pStyle w:val="texto0"/>
              <w:spacing w:after="0" w:line="228" w:lineRule="exact"/>
              <w:ind w:firstLine="0"/>
              <w:rPr>
                <w:rFonts w:ascii="Verdana" w:hAnsi="Verdana"/>
                <w:sz w:val="16"/>
                <w:szCs w:val="16"/>
                <w:lang w:val="en-US"/>
              </w:rPr>
            </w:pPr>
            <w:r w:rsidRPr="00F01347">
              <w:rPr>
                <w:rFonts w:ascii="Verdana" w:hAnsi="Verdana"/>
                <w:sz w:val="16"/>
                <w:szCs w:val="16"/>
                <w:lang w:val="en-US"/>
              </w:rPr>
              <w:t>WORLD HEALTH ORGANIZATION</w:t>
            </w:r>
          </w:p>
        </w:tc>
      </w:tr>
      <w:tr w:rsidR="00D7599F" w:rsidRPr="00F01347" w14:paraId="32298218" w14:textId="7C76A5E5" w:rsidTr="002444E4">
        <w:tc>
          <w:tcPr>
            <w:tcW w:w="4675" w:type="dxa"/>
          </w:tcPr>
          <w:p w14:paraId="6667AB75" w14:textId="77777777" w:rsidR="00D7599F" w:rsidRPr="00F01347" w:rsidRDefault="00D7599F" w:rsidP="00D7599F">
            <w:pPr>
              <w:pStyle w:val="texto0"/>
              <w:spacing w:line="218" w:lineRule="exact"/>
              <w:ind w:firstLine="0"/>
              <w:rPr>
                <w:rFonts w:ascii="Verdana" w:hAnsi="Verdana"/>
                <w:sz w:val="16"/>
                <w:szCs w:val="16"/>
              </w:rPr>
            </w:pPr>
            <w:r w:rsidRPr="00F01347">
              <w:rPr>
                <w:rFonts w:ascii="Verdana" w:hAnsi="Verdana"/>
                <w:sz w:val="16"/>
                <w:szCs w:val="16"/>
              </w:rPr>
              <w:t>Organización Panamericana de la Salud</w:t>
            </w:r>
          </w:p>
        </w:tc>
        <w:tc>
          <w:tcPr>
            <w:tcW w:w="4675" w:type="dxa"/>
          </w:tcPr>
          <w:p w14:paraId="6EC7397A" w14:textId="32961A34" w:rsidR="00D7599F" w:rsidRPr="00F01347" w:rsidRDefault="00D7599F" w:rsidP="00D7599F">
            <w:pPr>
              <w:pStyle w:val="texto0"/>
              <w:spacing w:line="218" w:lineRule="exact"/>
              <w:ind w:firstLine="0"/>
              <w:rPr>
                <w:rFonts w:ascii="Verdana" w:hAnsi="Verdana"/>
                <w:sz w:val="16"/>
                <w:szCs w:val="16"/>
                <w:lang w:val="en-US"/>
              </w:rPr>
            </w:pPr>
            <w:r w:rsidRPr="00F01347">
              <w:rPr>
                <w:rFonts w:ascii="Verdana" w:hAnsi="Verdana"/>
                <w:sz w:val="16"/>
                <w:szCs w:val="16"/>
                <w:lang w:val="en-US"/>
              </w:rPr>
              <w:t>Pan American Health Organization</w:t>
            </w:r>
          </w:p>
        </w:tc>
      </w:tr>
      <w:tr w:rsidR="00D7599F" w:rsidRPr="00F01347" w14:paraId="645135DF" w14:textId="18B90764" w:rsidTr="002444E4">
        <w:tc>
          <w:tcPr>
            <w:tcW w:w="4675" w:type="dxa"/>
          </w:tcPr>
          <w:p w14:paraId="7D709D58" w14:textId="77777777" w:rsidR="00D7599F" w:rsidRPr="00F01347" w:rsidRDefault="00D7599F" w:rsidP="00D7599F">
            <w:pPr>
              <w:pStyle w:val="texto0"/>
              <w:spacing w:after="0" w:line="228" w:lineRule="exact"/>
              <w:ind w:firstLine="0"/>
              <w:rPr>
                <w:rFonts w:ascii="Verdana" w:hAnsi="Verdana"/>
                <w:sz w:val="16"/>
                <w:szCs w:val="16"/>
              </w:rPr>
            </w:pPr>
            <w:r w:rsidRPr="00F01347">
              <w:rPr>
                <w:rFonts w:ascii="Verdana" w:hAnsi="Verdana"/>
                <w:color w:val="000000"/>
                <w:sz w:val="16"/>
                <w:szCs w:val="16"/>
              </w:rPr>
              <w:t>UNIVERSIDAD NACIONAL AUTÓNOMA DE MÉXICO</w:t>
            </w:r>
          </w:p>
        </w:tc>
        <w:tc>
          <w:tcPr>
            <w:tcW w:w="4675" w:type="dxa"/>
          </w:tcPr>
          <w:p w14:paraId="0D5D5302" w14:textId="437815D5"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NATIONAL AUTONOMOUS UNIVERSITY OF MEXICO</w:t>
            </w:r>
          </w:p>
        </w:tc>
      </w:tr>
      <w:tr w:rsidR="00D7599F" w:rsidRPr="00F01347" w14:paraId="208C991B" w14:textId="3803831E" w:rsidTr="002444E4">
        <w:tc>
          <w:tcPr>
            <w:tcW w:w="4675" w:type="dxa"/>
          </w:tcPr>
          <w:p w14:paraId="1A8CA46D"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Instituto de Ecología</w:t>
            </w:r>
          </w:p>
        </w:tc>
        <w:tc>
          <w:tcPr>
            <w:tcW w:w="4675" w:type="dxa"/>
          </w:tcPr>
          <w:p w14:paraId="79C9EF0F" w14:textId="70EA5728"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Institute of Ecology</w:t>
            </w:r>
          </w:p>
        </w:tc>
      </w:tr>
      <w:tr w:rsidR="00D7599F" w:rsidRPr="00F01347" w14:paraId="6FCBFB96" w14:textId="5185A056" w:rsidTr="002444E4">
        <w:tc>
          <w:tcPr>
            <w:tcW w:w="4675" w:type="dxa"/>
          </w:tcPr>
          <w:p w14:paraId="4CDA5A6E" w14:textId="77777777" w:rsidR="00D7599F" w:rsidRPr="00F01347" w:rsidRDefault="00D7599F" w:rsidP="00D7599F">
            <w:pPr>
              <w:pStyle w:val="texto0"/>
              <w:spacing w:line="218" w:lineRule="exact"/>
              <w:ind w:firstLine="0"/>
              <w:rPr>
                <w:rFonts w:ascii="Verdana" w:hAnsi="Verdana"/>
                <w:color w:val="000000"/>
                <w:sz w:val="16"/>
                <w:szCs w:val="16"/>
              </w:rPr>
            </w:pPr>
            <w:r w:rsidRPr="00F01347">
              <w:rPr>
                <w:rFonts w:ascii="Verdana" w:hAnsi="Verdana"/>
                <w:color w:val="000000"/>
                <w:sz w:val="16"/>
                <w:szCs w:val="16"/>
              </w:rPr>
              <w:lastRenderedPageBreak/>
              <w:t>Laboratorio Nacional de Ciencias de la Sostenibilidad</w:t>
            </w:r>
          </w:p>
        </w:tc>
        <w:tc>
          <w:tcPr>
            <w:tcW w:w="4675" w:type="dxa"/>
          </w:tcPr>
          <w:p w14:paraId="0E64EA92" w14:textId="691E7E02" w:rsidR="00D7599F" w:rsidRPr="00F01347" w:rsidRDefault="00D7599F" w:rsidP="00D7599F">
            <w:pPr>
              <w:pStyle w:val="texto0"/>
              <w:spacing w:line="218" w:lineRule="exact"/>
              <w:ind w:firstLine="0"/>
              <w:rPr>
                <w:rFonts w:ascii="Verdana" w:hAnsi="Verdana"/>
                <w:color w:val="000000"/>
                <w:sz w:val="16"/>
                <w:szCs w:val="16"/>
                <w:lang w:val="en-US"/>
              </w:rPr>
            </w:pPr>
            <w:r w:rsidRPr="00F01347">
              <w:rPr>
                <w:rFonts w:ascii="Verdana" w:hAnsi="Verdana"/>
                <w:color w:val="000000"/>
                <w:sz w:val="16"/>
                <w:szCs w:val="16"/>
                <w:lang w:val="en-US"/>
              </w:rPr>
              <w:t>National Laboratory for Sustainability Sciences</w:t>
            </w:r>
          </w:p>
        </w:tc>
      </w:tr>
      <w:tr w:rsidR="00D7599F" w:rsidRPr="00F01347" w14:paraId="5AE699BA" w14:textId="70D55981" w:rsidTr="002444E4">
        <w:tc>
          <w:tcPr>
            <w:tcW w:w="4675" w:type="dxa"/>
          </w:tcPr>
          <w:p w14:paraId="7F7F8A39" w14:textId="77777777" w:rsidR="00D7599F" w:rsidRPr="00F01347" w:rsidRDefault="00D7599F" w:rsidP="00D7599F">
            <w:pPr>
              <w:pStyle w:val="texto0"/>
              <w:spacing w:after="0" w:line="228" w:lineRule="exact"/>
              <w:ind w:firstLine="0"/>
              <w:rPr>
                <w:rFonts w:ascii="Verdana" w:hAnsi="Verdana"/>
                <w:sz w:val="16"/>
                <w:szCs w:val="16"/>
              </w:rPr>
            </w:pPr>
            <w:r w:rsidRPr="00F01347">
              <w:rPr>
                <w:rFonts w:ascii="Verdana" w:hAnsi="Verdana"/>
                <w:color w:val="000000"/>
                <w:sz w:val="16"/>
                <w:szCs w:val="16"/>
              </w:rPr>
              <w:t>INSTITUTO POLITÉCNICO NACIONAL</w:t>
            </w:r>
          </w:p>
        </w:tc>
        <w:tc>
          <w:tcPr>
            <w:tcW w:w="4675" w:type="dxa"/>
          </w:tcPr>
          <w:p w14:paraId="43D7AE43" w14:textId="51D502E5"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NATIONAL POLYTECHNIC INSTITUTE</w:t>
            </w:r>
          </w:p>
        </w:tc>
      </w:tr>
      <w:tr w:rsidR="00D7599F" w:rsidRPr="00F01347" w14:paraId="4B0A50AD" w14:textId="453BCB2E" w:rsidTr="002444E4">
        <w:tc>
          <w:tcPr>
            <w:tcW w:w="4675" w:type="dxa"/>
          </w:tcPr>
          <w:p w14:paraId="5BA4597F" w14:textId="77777777" w:rsidR="00D7599F" w:rsidRPr="00F01347" w:rsidRDefault="00D7599F" w:rsidP="00D7599F">
            <w:pPr>
              <w:pStyle w:val="texto0"/>
              <w:spacing w:line="218" w:lineRule="exact"/>
              <w:ind w:firstLine="0"/>
              <w:rPr>
                <w:rFonts w:ascii="Verdana" w:hAnsi="Verdana"/>
                <w:color w:val="000000"/>
                <w:sz w:val="16"/>
                <w:szCs w:val="16"/>
              </w:rPr>
            </w:pPr>
            <w:r w:rsidRPr="00F01347">
              <w:rPr>
                <w:rFonts w:ascii="Verdana" w:hAnsi="Verdana"/>
                <w:color w:val="000000"/>
                <w:sz w:val="16"/>
                <w:szCs w:val="16"/>
              </w:rPr>
              <w:t>Escuela Nacional de Ciencias Biológicas</w:t>
            </w:r>
          </w:p>
        </w:tc>
        <w:tc>
          <w:tcPr>
            <w:tcW w:w="4675" w:type="dxa"/>
          </w:tcPr>
          <w:p w14:paraId="21EE6A72" w14:textId="73DCE1CE" w:rsidR="00D7599F" w:rsidRPr="00F01347" w:rsidRDefault="00D7599F" w:rsidP="00D7599F">
            <w:pPr>
              <w:pStyle w:val="texto0"/>
              <w:spacing w:line="218" w:lineRule="exact"/>
              <w:ind w:firstLine="0"/>
              <w:rPr>
                <w:rFonts w:ascii="Verdana" w:hAnsi="Verdana"/>
                <w:color w:val="000000"/>
                <w:sz w:val="16"/>
                <w:szCs w:val="16"/>
                <w:lang w:val="en-US"/>
              </w:rPr>
            </w:pPr>
            <w:r w:rsidRPr="00F01347">
              <w:rPr>
                <w:rFonts w:ascii="Verdana" w:hAnsi="Verdana"/>
                <w:color w:val="000000"/>
                <w:sz w:val="16"/>
                <w:szCs w:val="16"/>
                <w:lang w:val="en-US"/>
              </w:rPr>
              <w:t>National School of Biological Sciences</w:t>
            </w:r>
          </w:p>
        </w:tc>
      </w:tr>
      <w:tr w:rsidR="00D7599F" w:rsidRPr="00F01347" w14:paraId="724E29A8" w14:textId="201EF3A7" w:rsidTr="002444E4">
        <w:tc>
          <w:tcPr>
            <w:tcW w:w="4675" w:type="dxa"/>
          </w:tcPr>
          <w:p w14:paraId="65C5DA22"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UNIVERSIDAD AUTÓNOMA DE SAN LUIS POTOSÍ</w:t>
            </w:r>
          </w:p>
        </w:tc>
        <w:tc>
          <w:tcPr>
            <w:tcW w:w="4675" w:type="dxa"/>
          </w:tcPr>
          <w:p w14:paraId="5E7602B7" w14:textId="7BCF9B23"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AUTONOMOUS UNIVERSITY OF SAN LUIS POTOSÍ</w:t>
            </w:r>
          </w:p>
        </w:tc>
      </w:tr>
      <w:tr w:rsidR="00D7599F" w:rsidRPr="00F01347" w14:paraId="2D8A5671" w14:textId="5221BDBB" w:rsidTr="002444E4">
        <w:tc>
          <w:tcPr>
            <w:tcW w:w="4675" w:type="dxa"/>
          </w:tcPr>
          <w:p w14:paraId="3BA11408"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Centro de Investigación Aplicada en Ambiente y Salud</w:t>
            </w:r>
          </w:p>
        </w:tc>
        <w:tc>
          <w:tcPr>
            <w:tcW w:w="4675" w:type="dxa"/>
          </w:tcPr>
          <w:p w14:paraId="73788B64" w14:textId="667F7EEE"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Center for Applied Research in Environment and Health</w:t>
            </w:r>
          </w:p>
        </w:tc>
      </w:tr>
      <w:tr w:rsidR="00D7599F" w:rsidRPr="00F01347" w14:paraId="6B736587" w14:textId="39066E83" w:rsidTr="002444E4">
        <w:tc>
          <w:tcPr>
            <w:tcW w:w="4675" w:type="dxa"/>
          </w:tcPr>
          <w:p w14:paraId="2F22F73B"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Confederación de Cámaras Industriales de los Estados Unidos Mexicanos</w:t>
            </w:r>
          </w:p>
        </w:tc>
        <w:tc>
          <w:tcPr>
            <w:tcW w:w="4675" w:type="dxa"/>
          </w:tcPr>
          <w:p w14:paraId="46CA5E19" w14:textId="44355BFC"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Confederation of Industrial Chambers of the United Mexican States</w:t>
            </w:r>
          </w:p>
        </w:tc>
      </w:tr>
      <w:tr w:rsidR="00D7599F" w:rsidRPr="00F01347" w14:paraId="4BDD03AD" w14:textId="33808E70" w:rsidTr="002444E4">
        <w:tc>
          <w:tcPr>
            <w:tcW w:w="4675" w:type="dxa"/>
          </w:tcPr>
          <w:p w14:paraId="450AD6BE"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Confederación Patronal de la República Mexicana</w:t>
            </w:r>
          </w:p>
        </w:tc>
        <w:tc>
          <w:tcPr>
            <w:tcW w:w="4675" w:type="dxa"/>
          </w:tcPr>
          <w:p w14:paraId="65E51E4D" w14:textId="4E169F20"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Employers' Confederation of the Mexican Republic</w:t>
            </w:r>
          </w:p>
        </w:tc>
      </w:tr>
      <w:tr w:rsidR="00D7599F" w:rsidRPr="00F01347" w14:paraId="315426A3" w14:textId="50C02745" w:rsidTr="002444E4">
        <w:tc>
          <w:tcPr>
            <w:tcW w:w="4675" w:type="dxa"/>
          </w:tcPr>
          <w:p w14:paraId="78E2D6B7"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Cámara Nacional de la Industria de Transformación</w:t>
            </w:r>
          </w:p>
        </w:tc>
        <w:tc>
          <w:tcPr>
            <w:tcW w:w="4675" w:type="dxa"/>
          </w:tcPr>
          <w:p w14:paraId="76AF52C3" w14:textId="54E35A87"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National Chamber of the Transformation Industry</w:t>
            </w:r>
          </w:p>
        </w:tc>
      </w:tr>
      <w:tr w:rsidR="00D7599F" w:rsidRPr="00F01347" w14:paraId="3526CD0D" w14:textId="35410E65" w:rsidTr="002444E4">
        <w:tc>
          <w:tcPr>
            <w:tcW w:w="4675" w:type="dxa"/>
          </w:tcPr>
          <w:p w14:paraId="045B144F"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Asociación Nacional de Empresas de Agua y Saneamiento de México, A.C.</w:t>
            </w:r>
          </w:p>
        </w:tc>
        <w:tc>
          <w:tcPr>
            <w:tcW w:w="4675" w:type="dxa"/>
          </w:tcPr>
          <w:p w14:paraId="1BD20C17" w14:textId="3114C6F5"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National Association of Water and Sanitation Companies of Mexico, AC</w:t>
            </w:r>
          </w:p>
        </w:tc>
      </w:tr>
      <w:tr w:rsidR="00D7599F" w:rsidRPr="00F01347" w14:paraId="75F672D8" w14:textId="0A36E6D2" w:rsidTr="002444E4">
        <w:tc>
          <w:tcPr>
            <w:tcW w:w="4675" w:type="dxa"/>
          </w:tcPr>
          <w:p w14:paraId="2C9547F6" w14:textId="77777777" w:rsidR="00D7599F" w:rsidRPr="00F01347" w:rsidRDefault="00D7599F" w:rsidP="00D7599F">
            <w:pPr>
              <w:pStyle w:val="texto0"/>
              <w:spacing w:after="0" w:line="228" w:lineRule="exact"/>
              <w:ind w:firstLine="0"/>
              <w:rPr>
                <w:rFonts w:ascii="Verdana" w:hAnsi="Verdana"/>
                <w:color w:val="000000"/>
                <w:sz w:val="16"/>
                <w:szCs w:val="16"/>
              </w:rPr>
            </w:pPr>
            <w:r w:rsidRPr="00F01347">
              <w:rPr>
                <w:rFonts w:ascii="Verdana" w:hAnsi="Verdana"/>
                <w:color w:val="000000"/>
                <w:sz w:val="16"/>
                <w:szCs w:val="16"/>
              </w:rPr>
              <w:t>Laboratorios ABC Química Investigación y Análisis, S.A. de C.V.</w:t>
            </w:r>
          </w:p>
        </w:tc>
        <w:tc>
          <w:tcPr>
            <w:tcW w:w="4675" w:type="dxa"/>
          </w:tcPr>
          <w:p w14:paraId="7741CDFE" w14:textId="05217DA6" w:rsidR="00D7599F" w:rsidRPr="00F01347" w:rsidRDefault="00D7599F" w:rsidP="00D7599F">
            <w:pPr>
              <w:pStyle w:val="texto0"/>
              <w:spacing w:after="0" w:line="228" w:lineRule="exact"/>
              <w:ind w:firstLine="0"/>
              <w:rPr>
                <w:rFonts w:ascii="Verdana" w:hAnsi="Verdana"/>
                <w:color w:val="000000"/>
                <w:sz w:val="16"/>
                <w:szCs w:val="16"/>
                <w:lang w:val="en-US"/>
              </w:rPr>
            </w:pPr>
            <w:r w:rsidRPr="00F01347">
              <w:rPr>
                <w:rFonts w:ascii="Verdana" w:hAnsi="Verdana"/>
                <w:color w:val="000000"/>
                <w:sz w:val="16"/>
                <w:szCs w:val="16"/>
                <w:lang w:val="en-US"/>
              </w:rPr>
              <w:t>ABC Chemical Research and Analysis Laboratories, SA de CV</w:t>
            </w:r>
          </w:p>
        </w:tc>
      </w:tr>
      <w:tr w:rsidR="00D7599F" w:rsidRPr="00F01347" w14:paraId="52AA1DFA" w14:textId="4A9F932D" w:rsidTr="002444E4">
        <w:tc>
          <w:tcPr>
            <w:tcW w:w="4675" w:type="dxa"/>
          </w:tcPr>
          <w:p w14:paraId="0AA0B771" w14:textId="77777777" w:rsidR="00D7599F" w:rsidRPr="00F01347" w:rsidRDefault="00D7599F" w:rsidP="00D7599F">
            <w:pPr>
              <w:pStyle w:val="texto0"/>
              <w:spacing w:line="218" w:lineRule="exact"/>
              <w:ind w:firstLine="0"/>
              <w:rPr>
                <w:rFonts w:ascii="Verdana" w:hAnsi="Verdana"/>
                <w:color w:val="000000"/>
                <w:sz w:val="16"/>
                <w:szCs w:val="16"/>
              </w:rPr>
            </w:pPr>
            <w:r w:rsidRPr="00F01347">
              <w:rPr>
                <w:rFonts w:ascii="Verdana" w:hAnsi="Verdana"/>
                <w:color w:val="000000"/>
                <w:sz w:val="16"/>
                <w:szCs w:val="16"/>
              </w:rPr>
              <w:t>Laboratorios de Especialidades Inmunológicas, S.A. de C.V.</w:t>
            </w:r>
          </w:p>
        </w:tc>
        <w:tc>
          <w:tcPr>
            <w:tcW w:w="4675" w:type="dxa"/>
          </w:tcPr>
          <w:p w14:paraId="66DDF957" w14:textId="70DDF835" w:rsidR="00D7599F" w:rsidRPr="00F01347" w:rsidRDefault="00D7599F" w:rsidP="00D7599F">
            <w:pPr>
              <w:pStyle w:val="texto0"/>
              <w:spacing w:line="218" w:lineRule="exact"/>
              <w:ind w:firstLine="0"/>
              <w:rPr>
                <w:rFonts w:ascii="Verdana" w:hAnsi="Verdana"/>
                <w:color w:val="000000"/>
                <w:sz w:val="16"/>
                <w:szCs w:val="16"/>
                <w:lang w:val="en-US"/>
              </w:rPr>
            </w:pPr>
            <w:r w:rsidRPr="00F01347">
              <w:rPr>
                <w:rFonts w:ascii="Verdana" w:hAnsi="Verdana"/>
                <w:color w:val="000000"/>
                <w:sz w:val="16"/>
                <w:szCs w:val="16"/>
                <w:lang w:val="en-US"/>
              </w:rPr>
              <w:t>Immunological Specialties Laboratories, SA de CV</w:t>
            </w:r>
          </w:p>
        </w:tc>
      </w:tr>
      <w:tr w:rsidR="003E1BA9" w:rsidRPr="00F01347" w14:paraId="7F5326FD" w14:textId="77777777" w:rsidTr="002444E4">
        <w:tc>
          <w:tcPr>
            <w:tcW w:w="4675" w:type="dxa"/>
          </w:tcPr>
          <w:p w14:paraId="2EAEF0EC" w14:textId="07E23C1B" w:rsidR="003E1BA9" w:rsidRPr="00F01347" w:rsidRDefault="003E1BA9" w:rsidP="003E1BA9">
            <w:pPr>
              <w:pStyle w:val="ANOTACION"/>
              <w:spacing w:line="218" w:lineRule="exact"/>
              <w:rPr>
                <w:rFonts w:ascii="Verdana" w:hAnsi="Verdana"/>
                <w:sz w:val="16"/>
                <w:szCs w:val="16"/>
              </w:rPr>
            </w:pPr>
            <w:r w:rsidRPr="00F01347">
              <w:rPr>
                <w:rFonts w:ascii="Verdana" w:hAnsi="Verdana"/>
                <w:sz w:val="16"/>
                <w:szCs w:val="16"/>
              </w:rPr>
              <w:t>NORMA OFICIAL MEXICANA NOM-127-SSA1-2021, AGUA PARA USO Y CONSUMO HUMANO.  LÍMITES PERMISIBLES DE LA CALIDAD DEL AGUA</w:t>
            </w:r>
          </w:p>
        </w:tc>
        <w:tc>
          <w:tcPr>
            <w:tcW w:w="4675" w:type="dxa"/>
          </w:tcPr>
          <w:p w14:paraId="085D5359" w14:textId="0D287F99" w:rsidR="003E1BA9" w:rsidRPr="00F01347" w:rsidRDefault="003E1BA9" w:rsidP="003E1BA9">
            <w:pPr>
              <w:pStyle w:val="ANOTACION"/>
              <w:spacing w:line="218" w:lineRule="exact"/>
              <w:rPr>
                <w:rFonts w:ascii="Verdana" w:hAnsi="Verdana"/>
                <w:sz w:val="16"/>
                <w:szCs w:val="16"/>
                <w:lang w:val="en-US"/>
              </w:rPr>
            </w:pPr>
            <w:r w:rsidRPr="00F01347">
              <w:rPr>
                <w:rFonts w:ascii="Verdana" w:hAnsi="Verdana"/>
                <w:sz w:val="16"/>
                <w:szCs w:val="16"/>
                <w:lang w:val="en-US"/>
              </w:rPr>
              <w:t>OFFICIAL MEXICAN STANDARD NOM-127-SSA1-2021, WATER FOR HUMAN USE AND CONSUMPTION. PERMISSIBLE LIMITS OF WATER QUALITY</w:t>
            </w:r>
          </w:p>
        </w:tc>
      </w:tr>
      <w:tr w:rsidR="003E1BA9" w:rsidRPr="00F01347" w14:paraId="1591E238" w14:textId="5B3047CC" w:rsidTr="002444E4">
        <w:tc>
          <w:tcPr>
            <w:tcW w:w="4675" w:type="dxa"/>
          </w:tcPr>
          <w:p w14:paraId="634CD4F0" w14:textId="77777777" w:rsidR="003E1BA9" w:rsidRPr="00F01347" w:rsidRDefault="003E1BA9" w:rsidP="003E1BA9">
            <w:pPr>
              <w:pStyle w:val="ANOTACION"/>
              <w:spacing w:line="218" w:lineRule="exact"/>
              <w:rPr>
                <w:rFonts w:ascii="Verdana" w:hAnsi="Verdana"/>
                <w:sz w:val="16"/>
                <w:szCs w:val="16"/>
              </w:rPr>
            </w:pPr>
            <w:r w:rsidRPr="00F01347">
              <w:rPr>
                <w:rFonts w:ascii="Verdana" w:hAnsi="Verdana"/>
                <w:sz w:val="16"/>
                <w:szCs w:val="16"/>
              </w:rPr>
              <w:t>ÍNDICE</w:t>
            </w:r>
          </w:p>
        </w:tc>
        <w:tc>
          <w:tcPr>
            <w:tcW w:w="4675" w:type="dxa"/>
          </w:tcPr>
          <w:p w14:paraId="663F35F9" w14:textId="0E87FE38" w:rsidR="003E1BA9" w:rsidRPr="00F01347" w:rsidRDefault="003E1BA9" w:rsidP="003E1BA9">
            <w:pPr>
              <w:pStyle w:val="ANOTACION"/>
              <w:spacing w:line="218" w:lineRule="exact"/>
              <w:rPr>
                <w:rFonts w:ascii="Verdana" w:hAnsi="Verdana"/>
                <w:sz w:val="16"/>
                <w:szCs w:val="16"/>
                <w:lang w:val="en-US"/>
              </w:rPr>
            </w:pPr>
            <w:r w:rsidRPr="00F01347">
              <w:rPr>
                <w:rFonts w:ascii="Verdana" w:hAnsi="Verdana"/>
                <w:sz w:val="16"/>
                <w:szCs w:val="16"/>
                <w:lang w:val="en-US"/>
              </w:rPr>
              <w:t>INDEX</w:t>
            </w:r>
          </w:p>
        </w:tc>
      </w:tr>
      <w:tr w:rsidR="003E1BA9" w:rsidRPr="00F01347" w14:paraId="533CC720" w14:textId="3BC013B6" w:rsidTr="002444E4">
        <w:tc>
          <w:tcPr>
            <w:tcW w:w="4675" w:type="dxa"/>
          </w:tcPr>
          <w:p w14:paraId="18A02875" w14:textId="77777777"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b/>
                <w:sz w:val="16"/>
                <w:szCs w:val="16"/>
                <w:lang w:val="es-ES_tradnl"/>
              </w:rPr>
              <w:t>0.</w:t>
            </w:r>
            <w:r w:rsidRPr="00F01347">
              <w:rPr>
                <w:rFonts w:ascii="Verdana" w:hAnsi="Verdana"/>
                <w:b/>
                <w:sz w:val="16"/>
                <w:szCs w:val="16"/>
                <w:lang w:val="es-ES_tradnl"/>
              </w:rPr>
              <w:tab/>
            </w:r>
            <w:r w:rsidRPr="00F01347">
              <w:rPr>
                <w:rFonts w:ascii="Verdana" w:hAnsi="Verdana"/>
                <w:sz w:val="16"/>
                <w:szCs w:val="16"/>
                <w:lang w:val="es-ES_tradnl"/>
              </w:rPr>
              <w:t>Introducción.</w:t>
            </w:r>
          </w:p>
        </w:tc>
        <w:tc>
          <w:tcPr>
            <w:tcW w:w="4675" w:type="dxa"/>
          </w:tcPr>
          <w:p w14:paraId="52C1005D" w14:textId="123072A7"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0. </w:t>
            </w:r>
            <w:r w:rsidRPr="00F01347">
              <w:rPr>
                <w:rFonts w:ascii="Verdana" w:hAnsi="Verdana"/>
                <w:b/>
                <w:sz w:val="16"/>
                <w:szCs w:val="16"/>
                <w:lang w:val="en-US"/>
              </w:rPr>
              <w:tab/>
            </w:r>
            <w:r w:rsidRPr="00F01347">
              <w:rPr>
                <w:rFonts w:ascii="Verdana" w:hAnsi="Verdana"/>
                <w:sz w:val="16"/>
                <w:szCs w:val="16"/>
                <w:lang w:val="en-US"/>
              </w:rPr>
              <w:t>Introduction.</w:t>
            </w:r>
          </w:p>
        </w:tc>
      </w:tr>
      <w:tr w:rsidR="003E1BA9" w:rsidRPr="00F01347" w14:paraId="440D1B5B" w14:textId="5715348A" w:rsidTr="002444E4">
        <w:tc>
          <w:tcPr>
            <w:tcW w:w="4675" w:type="dxa"/>
          </w:tcPr>
          <w:p w14:paraId="5DB0006C" w14:textId="77777777"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b/>
                <w:sz w:val="16"/>
                <w:szCs w:val="16"/>
                <w:lang w:val="es-ES_tradnl"/>
              </w:rPr>
              <w:t>1.</w:t>
            </w:r>
            <w:r w:rsidRPr="00F01347">
              <w:rPr>
                <w:rFonts w:ascii="Verdana" w:hAnsi="Verdana"/>
                <w:b/>
                <w:sz w:val="16"/>
                <w:szCs w:val="16"/>
                <w:lang w:val="es-ES_tradnl"/>
              </w:rPr>
              <w:tab/>
            </w:r>
            <w:r w:rsidRPr="00F01347">
              <w:rPr>
                <w:rFonts w:ascii="Verdana" w:hAnsi="Verdana"/>
                <w:sz w:val="16"/>
                <w:szCs w:val="16"/>
                <w:lang w:val="es-ES_tradnl"/>
              </w:rPr>
              <w:t>Objetivo y campo de aplicación.</w:t>
            </w:r>
          </w:p>
        </w:tc>
        <w:tc>
          <w:tcPr>
            <w:tcW w:w="4675" w:type="dxa"/>
          </w:tcPr>
          <w:p w14:paraId="638D873E" w14:textId="67AB2F02"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1. </w:t>
            </w:r>
            <w:r w:rsidRPr="00F01347">
              <w:rPr>
                <w:rFonts w:ascii="Verdana" w:hAnsi="Verdana"/>
                <w:b/>
                <w:sz w:val="16"/>
                <w:szCs w:val="16"/>
                <w:lang w:val="en-US"/>
              </w:rPr>
              <w:tab/>
            </w:r>
            <w:r w:rsidRPr="00F01347">
              <w:rPr>
                <w:rFonts w:ascii="Verdana" w:hAnsi="Verdana"/>
                <w:sz w:val="16"/>
                <w:szCs w:val="16"/>
                <w:lang w:val="en-US"/>
              </w:rPr>
              <w:t>Objective and field of application.</w:t>
            </w:r>
          </w:p>
        </w:tc>
      </w:tr>
      <w:tr w:rsidR="003E1BA9" w:rsidRPr="00F01347" w14:paraId="230DA11E" w14:textId="1F07E946" w:rsidTr="002444E4">
        <w:tc>
          <w:tcPr>
            <w:tcW w:w="4675" w:type="dxa"/>
          </w:tcPr>
          <w:p w14:paraId="45DF5005" w14:textId="77777777"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b/>
                <w:sz w:val="16"/>
                <w:szCs w:val="16"/>
                <w:lang w:val="es-ES_tradnl"/>
              </w:rPr>
              <w:t>2.</w:t>
            </w:r>
            <w:r w:rsidRPr="00F01347">
              <w:rPr>
                <w:rFonts w:ascii="Verdana" w:hAnsi="Verdana"/>
                <w:b/>
                <w:sz w:val="16"/>
                <w:szCs w:val="16"/>
                <w:lang w:val="es-ES_tradnl"/>
              </w:rPr>
              <w:tab/>
            </w:r>
            <w:r w:rsidRPr="00F01347">
              <w:rPr>
                <w:rFonts w:ascii="Verdana" w:hAnsi="Verdana"/>
                <w:sz w:val="16"/>
                <w:szCs w:val="16"/>
                <w:lang w:val="es-ES_tradnl"/>
              </w:rPr>
              <w:t>Referencias normativas.</w:t>
            </w:r>
          </w:p>
        </w:tc>
        <w:tc>
          <w:tcPr>
            <w:tcW w:w="4675" w:type="dxa"/>
          </w:tcPr>
          <w:p w14:paraId="0D8CDE4D" w14:textId="453BBC75"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2. </w:t>
            </w:r>
            <w:r w:rsidRPr="00F01347">
              <w:rPr>
                <w:rFonts w:ascii="Verdana" w:hAnsi="Verdana"/>
                <w:b/>
                <w:sz w:val="16"/>
                <w:szCs w:val="16"/>
                <w:lang w:val="en-US"/>
              </w:rPr>
              <w:tab/>
            </w:r>
            <w:r w:rsidRPr="00F01347">
              <w:rPr>
                <w:rFonts w:ascii="Verdana" w:hAnsi="Verdana"/>
                <w:sz w:val="16"/>
                <w:szCs w:val="16"/>
                <w:lang w:val="en-US"/>
              </w:rPr>
              <w:t>Legislative references.</w:t>
            </w:r>
          </w:p>
        </w:tc>
      </w:tr>
      <w:tr w:rsidR="003E1BA9" w:rsidRPr="00F01347" w14:paraId="32CCA23F" w14:textId="40A5BFEB" w:rsidTr="002444E4">
        <w:tc>
          <w:tcPr>
            <w:tcW w:w="4675" w:type="dxa"/>
          </w:tcPr>
          <w:p w14:paraId="5CEAB272" w14:textId="77777777"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b/>
                <w:sz w:val="16"/>
                <w:szCs w:val="16"/>
                <w:lang w:val="es-ES_tradnl"/>
              </w:rPr>
              <w:t>3.</w:t>
            </w:r>
            <w:r w:rsidRPr="00F01347">
              <w:rPr>
                <w:rFonts w:ascii="Verdana" w:hAnsi="Verdana"/>
                <w:b/>
                <w:sz w:val="16"/>
                <w:szCs w:val="16"/>
                <w:lang w:val="es-ES_tradnl"/>
              </w:rPr>
              <w:tab/>
            </w:r>
            <w:r w:rsidRPr="00F01347">
              <w:rPr>
                <w:rFonts w:ascii="Verdana" w:hAnsi="Verdana"/>
                <w:sz w:val="16"/>
                <w:szCs w:val="16"/>
                <w:lang w:val="es-ES_tradnl"/>
              </w:rPr>
              <w:t>Términos y definiciones.</w:t>
            </w:r>
          </w:p>
        </w:tc>
        <w:tc>
          <w:tcPr>
            <w:tcW w:w="4675" w:type="dxa"/>
          </w:tcPr>
          <w:p w14:paraId="31C0624E" w14:textId="3B603912"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3. </w:t>
            </w:r>
            <w:r w:rsidRPr="00F01347">
              <w:rPr>
                <w:rFonts w:ascii="Verdana" w:hAnsi="Verdana"/>
                <w:b/>
                <w:sz w:val="16"/>
                <w:szCs w:val="16"/>
                <w:lang w:val="en-US"/>
              </w:rPr>
              <w:tab/>
            </w:r>
            <w:r w:rsidRPr="00F01347">
              <w:rPr>
                <w:rFonts w:ascii="Verdana" w:hAnsi="Verdana"/>
                <w:sz w:val="16"/>
                <w:szCs w:val="16"/>
                <w:lang w:val="en-US"/>
              </w:rPr>
              <w:t>Terms and definitions.</w:t>
            </w:r>
          </w:p>
        </w:tc>
      </w:tr>
      <w:tr w:rsidR="003E1BA9" w:rsidRPr="00F01347" w14:paraId="131E80CB" w14:textId="65FCD031" w:rsidTr="002444E4">
        <w:tc>
          <w:tcPr>
            <w:tcW w:w="4675" w:type="dxa"/>
          </w:tcPr>
          <w:p w14:paraId="6F7914C3" w14:textId="77777777"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b/>
                <w:sz w:val="16"/>
                <w:szCs w:val="16"/>
                <w:lang w:val="es-ES_tradnl"/>
              </w:rPr>
              <w:t>4.</w:t>
            </w:r>
            <w:r w:rsidRPr="00F01347">
              <w:rPr>
                <w:rFonts w:ascii="Verdana" w:hAnsi="Verdana"/>
                <w:sz w:val="16"/>
                <w:szCs w:val="16"/>
                <w:lang w:val="es-ES_tradnl"/>
              </w:rPr>
              <w:tab/>
              <w:t>Símbolos y términos abreviados.</w:t>
            </w:r>
          </w:p>
        </w:tc>
        <w:tc>
          <w:tcPr>
            <w:tcW w:w="4675" w:type="dxa"/>
          </w:tcPr>
          <w:p w14:paraId="2ECBD798" w14:textId="757A45B9"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4. </w:t>
            </w:r>
            <w:r w:rsidRPr="00F01347">
              <w:rPr>
                <w:rFonts w:ascii="Verdana" w:hAnsi="Verdana"/>
                <w:sz w:val="16"/>
                <w:szCs w:val="16"/>
                <w:lang w:val="en-US"/>
              </w:rPr>
              <w:tab/>
              <w:t>Symbols and abbreviated terms.</w:t>
            </w:r>
          </w:p>
        </w:tc>
      </w:tr>
      <w:tr w:rsidR="003E1BA9" w:rsidRPr="00F01347" w14:paraId="670E67EA" w14:textId="7FF3EF36" w:rsidTr="002444E4">
        <w:tc>
          <w:tcPr>
            <w:tcW w:w="4675" w:type="dxa"/>
          </w:tcPr>
          <w:p w14:paraId="143F9A48" w14:textId="77777777"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b/>
                <w:sz w:val="16"/>
                <w:szCs w:val="16"/>
                <w:lang w:val="es-ES_tradnl"/>
              </w:rPr>
              <w:t>5.</w:t>
            </w:r>
            <w:r w:rsidRPr="00F01347">
              <w:rPr>
                <w:rFonts w:ascii="Verdana" w:hAnsi="Verdana"/>
                <w:b/>
                <w:sz w:val="16"/>
                <w:szCs w:val="16"/>
                <w:lang w:val="es-ES_tradnl"/>
              </w:rPr>
              <w:tab/>
            </w:r>
            <w:r w:rsidRPr="00F01347">
              <w:rPr>
                <w:rFonts w:ascii="Verdana" w:hAnsi="Verdana"/>
                <w:sz w:val="16"/>
                <w:szCs w:val="16"/>
                <w:lang w:val="es-ES_tradnl"/>
              </w:rPr>
              <w:t>Especificaciones sanitarias.</w:t>
            </w:r>
          </w:p>
        </w:tc>
        <w:tc>
          <w:tcPr>
            <w:tcW w:w="4675" w:type="dxa"/>
          </w:tcPr>
          <w:p w14:paraId="4C2CE0B4" w14:textId="6ED1B068"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5. </w:t>
            </w:r>
            <w:r w:rsidRPr="00F01347">
              <w:rPr>
                <w:rFonts w:ascii="Verdana" w:hAnsi="Verdana"/>
                <w:b/>
                <w:sz w:val="16"/>
                <w:szCs w:val="16"/>
                <w:lang w:val="en-US"/>
              </w:rPr>
              <w:tab/>
            </w:r>
            <w:r w:rsidRPr="00F01347">
              <w:rPr>
                <w:rFonts w:ascii="Verdana" w:hAnsi="Verdana"/>
                <w:sz w:val="16"/>
                <w:szCs w:val="16"/>
                <w:lang w:val="en-US"/>
              </w:rPr>
              <w:t>Sanitary specifications.</w:t>
            </w:r>
          </w:p>
        </w:tc>
      </w:tr>
      <w:tr w:rsidR="003E1BA9" w:rsidRPr="00F01347" w14:paraId="7E1E3254" w14:textId="1059967B" w:rsidTr="002444E4">
        <w:tc>
          <w:tcPr>
            <w:tcW w:w="4675" w:type="dxa"/>
          </w:tcPr>
          <w:p w14:paraId="2EB558D8" w14:textId="77777777"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b/>
                <w:sz w:val="16"/>
                <w:szCs w:val="16"/>
                <w:lang w:val="es-ES_tradnl"/>
              </w:rPr>
              <w:t>6.</w:t>
            </w:r>
            <w:r w:rsidRPr="00F01347">
              <w:rPr>
                <w:rFonts w:ascii="Verdana" w:hAnsi="Verdana"/>
                <w:b/>
                <w:sz w:val="16"/>
                <w:szCs w:val="16"/>
                <w:lang w:val="es-ES_tradnl"/>
              </w:rPr>
              <w:tab/>
            </w:r>
            <w:r w:rsidRPr="00F01347">
              <w:rPr>
                <w:rFonts w:ascii="Verdana" w:hAnsi="Verdana"/>
                <w:sz w:val="16"/>
                <w:szCs w:val="16"/>
                <w:lang w:val="es-ES_tradnl"/>
              </w:rPr>
              <w:t>Métodos de prueba.</w:t>
            </w:r>
          </w:p>
        </w:tc>
        <w:tc>
          <w:tcPr>
            <w:tcW w:w="4675" w:type="dxa"/>
          </w:tcPr>
          <w:p w14:paraId="57EEAF25" w14:textId="7D697CB0"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6. </w:t>
            </w:r>
            <w:r w:rsidRPr="00F01347">
              <w:rPr>
                <w:rFonts w:ascii="Verdana" w:hAnsi="Verdana"/>
                <w:b/>
                <w:sz w:val="16"/>
                <w:szCs w:val="16"/>
                <w:lang w:val="en-US"/>
              </w:rPr>
              <w:tab/>
            </w:r>
            <w:r w:rsidRPr="00F01347">
              <w:rPr>
                <w:rFonts w:ascii="Verdana" w:hAnsi="Verdana"/>
                <w:sz w:val="16"/>
                <w:szCs w:val="16"/>
                <w:lang w:val="en-US"/>
              </w:rPr>
              <w:t>Test methods.</w:t>
            </w:r>
          </w:p>
        </w:tc>
      </w:tr>
      <w:tr w:rsidR="003E1BA9" w:rsidRPr="00F01347" w14:paraId="5C90F906" w14:textId="7C600D07" w:rsidTr="002444E4">
        <w:tc>
          <w:tcPr>
            <w:tcW w:w="4675" w:type="dxa"/>
          </w:tcPr>
          <w:p w14:paraId="677DB4E1" w14:textId="77777777"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b/>
                <w:sz w:val="16"/>
                <w:szCs w:val="16"/>
                <w:lang w:val="es-ES_tradnl"/>
              </w:rPr>
              <w:t>7.</w:t>
            </w:r>
            <w:r w:rsidRPr="00F01347">
              <w:rPr>
                <w:rFonts w:ascii="Verdana" w:hAnsi="Verdana"/>
                <w:b/>
                <w:sz w:val="16"/>
                <w:szCs w:val="16"/>
                <w:lang w:val="es-ES_tradnl"/>
              </w:rPr>
              <w:tab/>
            </w:r>
            <w:r w:rsidRPr="00F01347">
              <w:rPr>
                <w:rFonts w:ascii="Verdana" w:hAnsi="Verdana"/>
                <w:sz w:val="16"/>
                <w:szCs w:val="16"/>
                <w:lang w:val="es-ES_tradnl"/>
              </w:rPr>
              <w:t>Concordancia con normas internacionales.</w:t>
            </w:r>
          </w:p>
        </w:tc>
        <w:tc>
          <w:tcPr>
            <w:tcW w:w="4675" w:type="dxa"/>
          </w:tcPr>
          <w:p w14:paraId="0BE0B0EB" w14:textId="52E17654"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7. </w:t>
            </w:r>
            <w:r w:rsidRPr="00F01347">
              <w:rPr>
                <w:rFonts w:ascii="Verdana" w:hAnsi="Verdana"/>
                <w:b/>
                <w:sz w:val="16"/>
                <w:szCs w:val="16"/>
                <w:lang w:val="en-US"/>
              </w:rPr>
              <w:tab/>
            </w:r>
            <w:r w:rsidRPr="00F01347">
              <w:rPr>
                <w:rFonts w:ascii="Verdana" w:hAnsi="Verdana"/>
                <w:sz w:val="16"/>
                <w:szCs w:val="16"/>
                <w:lang w:val="en-US"/>
              </w:rPr>
              <w:t>Concordance with international standards.</w:t>
            </w:r>
          </w:p>
        </w:tc>
      </w:tr>
      <w:tr w:rsidR="003E1BA9" w:rsidRPr="00F01347" w14:paraId="7706A90B" w14:textId="75E2A1D9" w:rsidTr="002444E4">
        <w:tc>
          <w:tcPr>
            <w:tcW w:w="4675" w:type="dxa"/>
          </w:tcPr>
          <w:p w14:paraId="40AE3A7D" w14:textId="77777777"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b/>
                <w:sz w:val="16"/>
                <w:szCs w:val="16"/>
                <w:lang w:val="es-ES_tradnl"/>
              </w:rPr>
              <w:t>8.</w:t>
            </w:r>
            <w:r w:rsidRPr="00F01347">
              <w:rPr>
                <w:rFonts w:ascii="Verdana" w:hAnsi="Verdana"/>
                <w:sz w:val="16"/>
                <w:szCs w:val="16"/>
                <w:lang w:val="es-ES_tradnl"/>
              </w:rPr>
              <w:t xml:space="preserve"> </w:t>
            </w:r>
            <w:r w:rsidRPr="00F01347">
              <w:rPr>
                <w:rFonts w:ascii="Verdana" w:hAnsi="Verdana"/>
                <w:sz w:val="16"/>
                <w:szCs w:val="16"/>
                <w:lang w:val="es-ES_tradnl"/>
              </w:rPr>
              <w:tab/>
              <w:t>Procedimiento de evaluación de la conformidad.</w:t>
            </w:r>
          </w:p>
        </w:tc>
        <w:tc>
          <w:tcPr>
            <w:tcW w:w="4675" w:type="dxa"/>
          </w:tcPr>
          <w:p w14:paraId="12680842" w14:textId="183352D6"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b/>
                <w:sz w:val="16"/>
                <w:szCs w:val="16"/>
                <w:lang w:val="en-US"/>
              </w:rPr>
              <w:t>8.</w:t>
            </w:r>
            <w:r w:rsidRPr="00F01347">
              <w:rPr>
                <w:rFonts w:ascii="Verdana" w:hAnsi="Verdana"/>
                <w:sz w:val="16"/>
                <w:szCs w:val="16"/>
                <w:lang w:val="en-US"/>
              </w:rPr>
              <w:t xml:space="preserve"> </w:t>
            </w:r>
            <w:r w:rsidRPr="00F01347">
              <w:rPr>
                <w:rFonts w:ascii="Verdana" w:hAnsi="Verdana"/>
                <w:sz w:val="16"/>
                <w:szCs w:val="16"/>
                <w:lang w:val="en-US"/>
              </w:rPr>
              <w:tab/>
              <w:t>Procedure for the Evaluation of Conformity.</w:t>
            </w:r>
          </w:p>
        </w:tc>
      </w:tr>
      <w:tr w:rsidR="003E1BA9" w:rsidRPr="00F01347" w14:paraId="12E20BA7" w14:textId="7B822262" w:rsidTr="002444E4">
        <w:tc>
          <w:tcPr>
            <w:tcW w:w="4675" w:type="dxa"/>
          </w:tcPr>
          <w:p w14:paraId="559010D1" w14:textId="77777777"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b/>
                <w:sz w:val="16"/>
                <w:szCs w:val="16"/>
                <w:lang w:val="es-ES_tradnl"/>
              </w:rPr>
              <w:t>9.</w:t>
            </w:r>
            <w:r w:rsidRPr="00F01347">
              <w:rPr>
                <w:rFonts w:ascii="Verdana" w:hAnsi="Verdana"/>
                <w:b/>
                <w:sz w:val="16"/>
                <w:szCs w:val="16"/>
                <w:lang w:val="es-ES_tradnl"/>
              </w:rPr>
              <w:tab/>
            </w:r>
            <w:r w:rsidRPr="00F01347">
              <w:rPr>
                <w:rFonts w:ascii="Verdana" w:hAnsi="Verdana"/>
                <w:sz w:val="16"/>
                <w:szCs w:val="16"/>
                <w:lang w:val="es-ES_tradnl"/>
              </w:rPr>
              <w:t>Bibliografía.</w:t>
            </w:r>
          </w:p>
        </w:tc>
        <w:tc>
          <w:tcPr>
            <w:tcW w:w="4675" w:type="dxa"/>
          </w:tcPr>
          <w:p w14:paraId="4A6E0B14" w14:textId="4DF02A24"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9. </w:t>
            </w:r>
            <w:r w:rsidRPr="00F01347">
              <w:rPr>
                <w:rFonts w:ascii="Verdana" w:hAnsi="Verdana"/>
                <w:b/>
                <w:sz w:val="16"/>
                <w:szCs w:val="16"/>
                <w:lang w:val="en-US"/>
              </w:rPr>
              <w:tab/>
            </w:r>
            <w:r w:rsidRPr="00F01347">
              <w:rPr>
                <w:rFonts w:ascii="Verdana" w:hAnsi="Verdana"/>
                <w:sz w:val="16"/>
                <w:szCs w:val="16"/>
                <w:lang w:val="en-US"/>
              </w:rPr>
              <w:t>Bibliography.</w:t>
            </w:r>
          </w:p>
        </w:tc>
      </w:tr>
      <w:tr w:rsidR="003E1BA9" w:rsidRPr="00F01347" w14:paraId="7DAE9E95" w14:textId="36D7B039" w:rsidTr="002444E4">
        <w:tc>
          <w:tcPr>
            <w:tcW w:w="4675" w:type="dxa"/>
          </w:tcPr>
          <w:p w14:paraId="04E5C476" w14:textId="77777777"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b/>
                <w:sz w:val="16"/>
                <w:szCs w:val="16"/>
                <w:lang w:val="es-ES_tradnl"/>
              </w:rPr>
              <w:t>10.</w:t>
            </w:r>
            <w:r w:rsidRPr="00F01347">
              <w:rPr>
                <w:rFonts w:ascii="Verdana" w:hAnsi="Verdana"/>
                <w:b/>
                <w:sz w:val="16"/>
                <w:szCs w:val="16"/>
                <w:lang w:val="es-ES_tradnl"/>
              </w:rPr>
              <w:tab/>
            </w:r>
            <w:r w:rsidRPr="00F01347">
              <w:rPr>
                <w:rFonts w:ascii="Verdana" w:hAnsi="Verdana"/>
                <w:sz w:val="16"/>
                <w:szCs w:val="16"/>
                <w:lang w:val="es-ES_tradnl"/>
              </w:rPr>
              <w:t>Observancia de la Norma.</w:t>
            </w:r>
          </w:p>
        </w:tc>
        <w:tc>
          <w:tcPr>
            <w:tcW w:w="4675" w:type="dxa"/>
          </w:tcPr>
          <w:p w14:paraId="0B903EE5" w14:textId="118D7DC6"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10. </w:t>
            </w:r>
            <w:r w:rsidRPr="00F01347">
              <w:rPr>
                <w:rFonts w:ascii="Verdana" w:hAnsi="Verdana"/>
                <w:b/>
                <w:sz w:val="16"/>
                <w:szCs w:val="16"/>
                <w:lang w:val="en-US"/>
              </w:rPr>
              <w:tab/>
            </w:r>
            <w:r w:rsidRPr="00F01347">
              <w:rPr>
                <w:rFonts w:ascii="Verdana" w:hAnsi="Verdana"/>
                <w:sz w:val="16"/>
                <w:szCs w:val="16"/>
                <w:lang w:val="en-US"/>
              </w:rPr>
              <w:t>Observance of the Standard.</w:t>
            </w:r>
          </w:p>
        </w:tc>
      </w:tr>
      <w:tr w:rsidR="003E1BA9" w:rsidRPr="00F01347" w14:paraId="2ED10FF1" w14:textId="5849B7BC" w:rsidTr="002444E4">
        <w:tc>
          <w:tcPr>
            <w:tcW w:w="4675" w:type="dxa"/>
          </w:tcPr>
          <w:p w14:paraId="2F06B16B" w14:textId="77777777"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b/>
                <w:sz w:val="16"/>
                <w:szCs w:val="16"/>
                <w:lang w:val="es-ES_tradnl"/>
              </w:rPr>
              <w:t>11.</w:t>
            </w:r>
            <w:r w:rsidRPr="00F01347">
              <w:rPr>
                <w:rFonts w:ascii="Verdana" w:hAnsi="Verdana"/>
                <w:b/>
                <w:sz w:val="16"/>
                <w:szCs w:val="16"/>
                <w:lang w:val="es-ES_tradnl"/>
              </w:rPr>
              <w:tab/>
            </w:r>
            <w:r w:rsidRPr="00F01347">
              <w:rPr>
                <w:rFonts w:ascii="Verdana" w:hAnsi="Verdana"/>
                <w:sz w:val="16"/>
                <w:szCs w:val="16"/>
                <w:lang w:val="es-ES_tradnl"/>
              </w:rPr>
              <w:t>Vigencia.</w:t>
            </w:r>
          </w:p>
        </w:tc>
        <w:tc>
          <w:tcPr>
            <w:tcW w:w="4675" w:type="dxa"/>
          </w:tcPr>
          <w:p w14:paraId="1F1A875B" w14:textId="7C1ECE79"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11. </w:t>
            </w:r>
            <w:r w:rsidRPr="00F01347">
              <w:rPr>
                <w:rFonts w:ascii="Verdana" w:hAnsi="Verdana"/>
                <w:b/>
                <w:sz w:val="16"/>
                <w:szCs w:val="16"/>
                <w:lang w:val="en-US"/>
              </w:rPr>
              <w:tab/>
            </w:r>
            <w:r w:rsidRPr="00F01347">
              <w:rPr>
                <w:rFonts w:ascii="Verdana" w:hAnsi="Verdana"/>
                <w:sz w:val="16"/>
                <w:szCs w:val="16"/>
                <w:lang w:val="en-US"/>
              </w:rPr>
              <w:t>Validity.</w:t>
            </w:r>
          </w:p>
        </w:tc>
      </w:tr>
      <w:tr w:rsidR="003E1BA9" w:rsidRPr="00F01347" w14:paraId="0A76FF22" w14:textId="4C2C1A1D" w:rsidTr="002444E4">
        <w:tc>
          <w:tcPr>
            <w:tcW w:w="4675" w:type="dxa"/>
          </w:tcPr>
          <w:p w14:paraId="255D61A0" w14:textId="40DBB108"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sz w:val="16"/>
                <w:szCs w:val="16"/>
                <w:lang w:val="es-ES_tradnl"/>
              </w:rPr>
              <w:t>Apéndice A Normativo. Parámetros que conforman los grupos de compuestos orgánicos sintéticos.</w:t>
            </w:r>
          </w:p>
        </w:tc>
        <w:tc>
          <w:tcPr>
            <w:tcW w:w="4675" w:type="dxa"/>
          </w:tcPr>
          <w:p w14:paraId="52F2A4E6" w14:textId="03FD9B6F"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sz w:val="16"/>
                <w:szCs w:val="16"/>
                <w:lang w:val="en-US"/>
              </w:rPr>
              <w:t>Regulatory Appendix A. Parameters that make up the groups of synthetic organic compounds.</w:t>
            </w:r>
          </w:p>
        </w:tc>
      </w:tr>
      <w:tr w:rsidR="003E1BA9" w:rsidRPr="00F01347" w14:paraId="6AA9C7D4" w14:textId="178BA2E6" w:rsidTr="002444E4">
        <w:tc>
          <w:tcPr>
            <w:tcW w:w="4675" w:type="dxa"/>
          </w:tcPr>
          <w:p w14:paraId="1226842F" w14:textId="47234D15"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sz w:val="16"/>
                <w:szCs w:val="16"/>
                <w:lang w:val="es-ES_tradnl"/>
              </w:rPr>
              <w:t>Apéndice B Normativo. Métodos de prueba.</w:t>
            </w:r>
          </w:p>
        </w:tc>
        <w:tc>
          <w:tcPr>
            <w:tcW w:w="4675" w:type="dxa"/>
          </w:tcPr>
          <w:p w14:paraId="62F504A7" w14:textId="3340B3F0" w:rsidR="003E1BA9" w:rsidRPr="00F01347" w:rsidRDefault="003E1BA9" w:rsidP="003E1BA9">
            <w:pPr>
              <w:pStyle w:val="texto0"/>
              <w:spacing w:line="218" w:lineRule="exact"/>
              <w:ind w:firstLine="0"/>
              <w:rPr>
                <w:rFonts w:ascii="Verdana" w:hAnsi="Verdana"/>
                <w:sz w:val="16"/>
                <w:szCs w:val="16"/>
                <w:lang w:val="en-US"/>
              </w:rPr>
            </w:pPr>
            <w:r w:rsidRPr="00F01347">
              <w:rPr>
                <w:rFonts w:ascii="Verdana" w:hAnsi="Verdana"/>
                <w:sz w:val="16"/>
                <w:szCs w:val="16"/>
                <w:lang w:val="en-US"/>
              </w:rPr>
              <w:t>Regulatory Appendix B. Test methods.</w:t>
            </w:r>
          </w:p>
        </w:tc>
      </w:tr>
      <w:tr w:rsidR="003E1BA9" w:rsidRPr="00F01347" w14:paraId="2C344F88" w14:textId="25FF03BF" w:rsidTr="002444E4">
        <w:tc>
          <w:tcPr>
            <w:tcW w:w="4675" w:type="dxa"/>
          </w:tcPr>
          <w:p w14:paraId="0E63F82B" w14:textId="3050FBEA"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sz w:val="16"/>
                <w:szCs w:val="16"/>
                <w:lang w:val="es-ES_tradnl"/>
              </w:rPr>
              <w:t>Apéndice C Informativo. Procesos propuestos para la potabilización del agua.</w:t>
            </w:r>
          </w:p>
        </w:tc>
        <w:tc>
          <w:tcPr>
            <w:tcW w:w="4675" w:type="dxa"/>
          </w:tcPr>
          <w:p w14:paraId="433F6D62" w14:textId="5443C405"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sz w:val="16"/>
                <w:szCs w:val="16"/>
                <w:lang w:val="en-US"/>
              </w:rPr>
              <w:t>Informative Appendix C. Proposed processes for water purification.</w:t>
            </w:r>
          </w:p>
        </w:tc>
      </w:tr>
      <w:tr w:rsidR="003E1BA9" w:rsidRPr="00F01347" w14:paraId="2644BB9C" w14:textId="6948AE72" w:rsidTr="002444E4">
        <w:tc>
          <w:tcPr>
            <w:tcW w:w="4675" w:type="dxa"/>
          </w:tcPr>
          <w:p w14:paraId="6DDBD9F0" w14:textId="77777777" w:rsidR="003E1BA9" w:rsidRPr="00F01347" w:rsidRDefault="003E1BA9" w:rsidP="003E1BA9">
            <w:pPr>
              <w:pStyle w:val="texto0"/>
              <w:spacing w:line="218" w:lineRule="exact"/>
              <w:ind w:firstLine="0"/>
              <w:rPr>
                <w:rFonts w:ascii="Verdana" w:hAnsi="Verdana"/>
                <w:b/>
                <w:sz w:val="16"/>
                <w:szCs w:val="16"/>
                <w:lang w:val="es-ES_tradnl"/>
              </w:rPr>
            </w:pPr>
            <w:r w:rsidRPr="00F01347">
              <w:rPr>
                <w:rFonts w:ascii="Verdana" w:hAnsi="Verdana"/>
                <w:b/>
                <w:sz w:val="16"/>
                <w:szCs w:val="16"/>
                <w:lang w:val="es-ES_tradnl"/>
              </w:rPr>
              <w:t>0. Introducción</w:t>
            </w:r>
          </w:p>
        </w:tc>
        <w:tc>
          <w:tcPr>
            <w:tcW w:w="4675" w:type="dxa"/>
          </w:tcPr>
          <w:p w14:paraId="2459318B" w14:textId="60425288" w:rsidR="003E1BA9" w:rsidRPr="00F01347" w:rsidRDefault="003E1BA9" w:rsidP="003E1BA9">
            <w:pPr>
              <w:pStyle w:val="texto0"/>
              <w:spacing w:line="218" w:lineRule="exact"/>
              <w:ind w:firstLine="0"/>
              <w:rPr>
                <w:rFonts w:ascii="Verdana" w:hAnsi="Verdana"/>
                <w:b/>
                <w:sz w:val="16"/>
                <w:szCs w:val="16"/>
                <w:lang w:val="en-US"/>
              </w:rPr>
            </w:pPr>
            <w:r w:rsidRPr="00F01347">
              <w:rPr>
                <w:rFonts w:ascii="Verdana" w:hAnsi="Verdana"/>
                <w:b/>
                <w:sz w:val="16"/>
                <w:szCs w:val="16"/>
                <w:lang w:val="en-US"/>
              </w:rPr>
              <w:t>0. Introduction</w:t>
            </w:r>
          </w:p>
        </w:tc>
      </w:tr>
      <w:tr w:rsidR="003E1BA9" w:rsidRPr="00F01347" w14:paraId="21C113C1" w14:textId="0E7C1F20" w:rsidTr="002444E4">
        <w:tc>
          <w:tcPr>
            <w:tcW w:w="4675" w:type="dxa"/>
          </w:tcPr>
          <w:p w14:paraId="35DE070B" w14:textId="77777777" w:rsidR="003E1BA9" w:rsidRPr="00F01347" w:rsidRDefault="003E1BA9" w:rsidP="003E1BA9">
            <w:pPr>
              <w:pStyle w:val="texto0"/>
              <w:spacing w:line="218" w:lineRule="exact"/>
              <w:ind w:firstLine="0"/>
              <w:rPr>
                <w:rFonts w:ascii="Verdana" w:hAnsi="Verdana"/>
                <w:sz w:val="16"/>
                <w:szCs w:val="16"/>
                <w:lang w:val="es-ES_tradnl"/>
              </w:rPr>
            </w:pPr>
            <w:r w:rsidRPr="00F01347">
              <w:rPr>
                <w:rFonts w:ascii="Verdana" w:hAnsi="Verdana"/>
                <w:sz w:val="16"/>
                <w:szCs w:val="16"/>
                <w:lang w:val="es-ES_tradnl"/>
              </w:rPr>
              <w:t xml:space="preserve">El </w:t>
            </w:r>
            <w:r w:rsidRPr="00F01347">
              <w:rPr>
                <w:rFonts w:ascii="Verdana" w:hAnsi="Verdana"/>
                <w:color w:val="000000"/>
                <w:sz w:val="16"/>
                <w:szCs w:val="16"/>
                <w:lang w:val="es-ES"/>
              </w:rPr>
              <w:t>abastecimiento</w:t>
            </w:r>
            <w:r w:rsidRPr="00F01347">
              <w:rPr>
                <w:rFonts w:ascii="Verdana" w:hAnsi="Verdana"/>
                <w:sz w:val="16"/>
                <w:szCs w:val="16"/>
                <w:lang w:val="es-ES_tradnl"/>
              </w:rPr>
              <w:t xml:space="preserve"> de agua para uso y consumo humano con calidad adecuada es fundamental para prevenir y evitar la transmisión de enfermedades relacionadas con el agua, para lo cual se requiere establecer y mantener actualizados los límites permisibles en cuanto a sus características físicas, químicas, microbiológicas, y radiactivas, con el fin de asegurar y preservar la calidad </w:t>
            </w:r>
            <w:r w:rsidRPr="00F01347">
              <w:rPr>
                <w:rFonts w:ascii="Verdana" w:hAnsi="Verdana"/>
                <w:sz w:val="16"/>
                <w:szCs w:val="16"/>
                <w:lang w:val="es-ES_tradnl"/>
              </w:rPr>
              <w:lastRenderedPageBreak/>
              <w:t>del agua que se entrega al consumidor por los sistemas de abastecimiento de agua públicos y privados.</w:t>
            </w:r>
          </w:p>
        </w:tc>
        <w:tc>
          <w:tcPr>
            <w:tcW w:w="4675" w:type="dxa"/>
          </w:tcPr>
          <w:p w14:paraId="4AC2D847" w14:textId="1D9B89D7" w:rsidR="003E1BA9" w:rsidRPr="00F01347" w:rsidRDefault="003E1BA9" w:rsidP="003E1BA9">
            <w:pPr>
              <w:pStyle w:val="texto0"/>
              <w:spacing w:line="218" w:lineRule="exact"/>
              <w:ind w:firstLine="0"/>
              <w:rPr>
                <w:rFonts w:ascii="Verdana" w:hAnsi="Verdana"/>
                <w:sz w:val="16"/>
                <w:szCs w:val="16"/>
                <w:lang w:val="en-US"/>
              </w:rPr>
            </w:pPr>
            <w:r w:rsidRPr="00F01347">
              <w:rPr>
                <w:rFonts w:ascii="Verdana" w:hAnsi="Verdana"/>
                <w:sz w:val="16"/>
                <w:szCs w:val="16"/>
                <w:lang w:val="en-US"/>
              </w:rPr>
              <w:lastRenderedPageBreak/>
              <w:t xml:space="preserve">The </w:t>
            </w:r>
            <w:r w:rsidRPr="00F01347">
              <w:rPr>
                <w:rFonts w:ascii="Verdana" w:hAnsi="Verdana"/>
                <w:color w:val="000000"/>
                <w:sz w:val="16"/>
                <w:szCs w:val="16"/>
                <w:lang w:val="en-US"/>
              </w:rPr>
              <w:t xml:space="preserve">supply </w:t>
            </w:r>
            <w:r w:rsidRPr="00F01347">
              <w:rPr>
                <w:rFonts w:ascii="Verdana" w:hAnsi="Verdana"/>
                <w:sz w:val="16"/>
                <w:szCs w:val="16"/>
                <w:lang w:val="en-US"/>
              </w:rPr>
              <w:t xml:space="preserve">of water for human use and consumption with adequate quality is essential to prevent and avoid the transmission of water-related diseases, for which it is necessary to establish and keep updated the permissible limits in terms of their physical, chemical, microbiological, and radioactive characteristics, </w:t>
            </w: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ensure and preserve the quality of the water </w:t>
            </w:r>
            <w:r w:rsidRPr="00F01347">
              <w:rPr>
                <w:rFonts w:ascii="Verdana" w:hAnsi="Verdana"/>
                <w:sz w:val="16"/>
                <w:szCs w:val="16"/>
                <w:lang w:val="en-US"/>
              </w:rPr>
              <w:lastRenderedPageBreak/>
              <w:t>delivered to the consumer by public and private water supply systems.</w:t>
            </w:r>
          </w:p>
        </w:tc>
      </w:tr>
      <w:tr w:rsidR="003E1BA9" w:rsidRPr="00F01347" w14:paraId="61CB45E2" w14:textId="774A1220" w:rsidTr="002444E4">
        <w:tc>
          <w:tcPr>
            <w:tcW w:w="4675" w:type="dxa"/>
          </w:tcPr>
          <w:p w14:paraId="071F9607" w14:textId="77777777" w:rsidR="003E1BA9" w:rsidRPr="00F01347" w:rsidRDefault="003E1BA9" w:rsidP="003E1BA9">
            <w:pPr>
              <w:pStyle w:val="texto0"/>
              <w:ind w:firstLine="0"/>
              <w:rPr>
                <w:rFonts w:ascii="Verdana" w:hAnsi="Verdana"/>
                <w:sz w:val="16"/>
                <w:szCs w:val="16"/>
                <w:lang w:val="es-ES_tradnl"/>
              </w:rPr>
            </w:pPr>
            <w:r w:rsidRPr="00F01347">
              <w:rPr>
                <w:rFonts w:ascii="Verdana" w:hAnsi="Verdana"/>
                <w:sz w:val="16"/>
                <w:szCs w:val="16"/>
                <w:lang w:val="es-ES_tradnl"/>
              </w:rPr>
              <w:lastRenderedPageBreak/>
              <w:t>Por tales razones la Secretaría de Salud, propone la emisión de la presente Norma Oficial Mexicana, con la finalidad de establecer un eficaz control sanitario del agua que se somete a tratamientos de potabilización a efecto de hacerla apta para uso y consumo humano, acorde a las necesidades actuales.</w:t>
            </w:r>
          </w:p>
        </w:tc>
        <w:tc>
          <w:tcPr>
            <w:tcW w:w="4675" w:type="dxa"/>
          </w:tcPr>
          <w:p w14:paraId="6FA64125" w14:textId="5F1910E7" w:rsidR="003E1BA9" w:rsidRPr="00F01347" w:rsidRDefault="003E1BA9" w:rsidP="003E1BA9">
            <w:pPr>
              <w:pStyle w:val="texto0"/>
              <w:ind w:firstLine="0"/>
              <w:rPr>
                <w:rFonts w:ascii="Verdana" w:hAnsi="Verdana"/>
                <w:sz w:val="16"/>
                <w:szCs w:val="16"/>
                <w:lang w:val="en-US"/>
              </w:rPr>
            </w:pPr>
            <w:r w:rsidRPr="00F01347">
              <w:rPr>
                <w:rFonts w:ascii="Verdana" w:hAnsi="Verdana"/>
                <w:sz w:val="16"/>
                <w:szCs w:val="16"/>
                <w:lang w:val="en-US"/>
              </w:rPr>
              <w:t xml:space="preserve">For these reasons, the Secretary of Health proposes the issuance of this Official Mexican Standard, with the purpose of establishing effective sanitary control of the water that undergoes purification treatments </w:t>
            </w: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make it suitable for human use and consumption, in accordance with the actual needs.</w:t>
            </w:r>
          </w:p>
        </w:tc>
      </w:tr>
      <w:tr w:rsidR="003E1BA9" w:rsidRPr="00F01347" w14:paraId="44CE5E52" w14:textId="05395A8B" w:rsidTr="002444E4">
        <w:tc>
          <w:tcPr>
            <w:tcW w:w="4675" w:type="dxa"/>
          </w:tcPr>
          <w:p w14:paraId="4E44E9E9" w14:textId="77777777" w:rsidR="003E1BA9" w:rsidRPr="00F01347" w:rsidRDefault="003E1BA9" w:rsidP="003E1BA9">
            <w:pPr>
              <w:pStyle w:val="texto0"/>
              <w:spacing w:line="223" w:lineRule="exact"/>
              <w:ind w:firstLine="0"/>
              <w:rPr>
                <w:rFonts w:ascii="Verdana" w:hAnsi="Verdana"/>
                <w:b/>
                <w:color w:val="000000"/>
                <w:sz w:val="16"/>
                <w:szCs w:val="16"/>
                <w:lang w:val="es-ES"/>
              </w:rPr>
            </w:pPr>
            <w:r w:rsidRPr="00F01347">
              <w:rPr>
                <w:rFonts w:ascii="Verdana" w:hAnsi="Verdana"/>
                <w:b/>
                <w:color w:val="000000"/>
                <w:sz w:val="16"/>
                <w:szCs w:val="16"/>
                <w:lang w:val="es-ES"/>
              </w:rPr>
              <w:t>1. Objetivo y campo de aplicación</w:t>
            </w:r>
          </w:p>
        </w:tc>
        <w:tc>
          <w:tcPr>
            <w:tcW w:w="4675" w:type="dxa"/>
          </w:tcPr>
          <w:p w14:paraId="04533508" w14:textId="73435018" w:rsidR="003E1BA9" w:rsidRPr="00F01347" w:rsidRDefault="003E1BA9" w:rsidP="003E1BA9">
            <w:pPr>
              <w:pStyle w:val="texto0"/>
              <w:spacing w:line="223" w:lineRule="exact"/>
              <w:ind w:firstLine="0"/>
              <w:rPr>
                <w:rFonts w:ascii="Verdana" w:hAnsi="Verdana"/>
                <w:b/>
                <w:color w:val="000000"/>
                <w:sz w:val="16"/>
                <w:szCs w:val="16"/>
                <w:lang w:val="en-US"/>
              </w:rPr>
            </w:pPr>
            <w:r w:rsidRPr="00F01347">
              <w:rPr>
                <w:rFonts w:ascii="Verdana" w:hAnsi="Verdana"/>
                <w:b/>
                <w:color w:val="000000"/>
                <w:sz w:val="16"/>
                <w:szCs w:val="16"/>
                <w:lang w:val="en-US"/>
              </w:rPr>
              <w:t>1. Objective and field of application</w:t>
            </w:r>
          </w:p>
        </w:tc>
      </w:tr>
      <w:tr w:rsidR="003E1BA9" w:rsidRPr="00F01347" w14:paraId="304E4987" w14:textId="0BA63816" w:rsidTr="002444E4">
        <w:tc>
          <w:tcPr>
            <w:tcW w:w="4675" w:type="dxa"/>
          </w:tcPr>
          <w:p w14:paraId="3C053EFD" w14:textId="77777777" w:rsidR="003E1BA9" w:rsidRPr="00F01347" w:rsidRDefault="003E1BA9" w:rsidP="003E1BA9">
            <w:pPr>
              <w:pStyle w:val="texto0"/>
              <w:spacing w:line="223" w:lineRule="exact"/>
              <w:ind w:firstLine="0"/>
              <w:rPr>
                <w:rFonts w:ascii="Verdana" w:hAnsi="Verdana"/>
                <w:color w:val="000000"/>
                <w:sz w:val="16"/>
                <w:szCs w:val="16"/>
                <w:lang w:val="es-ES"/>
              </w:rPr>
            </w:pPr>
            <w:r w:rsidRPr="00F01347">
              <w:rPr>
                <w:rFonts w:ascii="Verdana" w:hAnsi="Verdana"/>
                <w:b/>
                <w:color w:val="000000"/>
                <w:sz w:val="16"/>
                <w:szCs w:val="16"/>
                <w:lang w:val="es-ES"/>
              </w:rPr>
              <w:t>1.1</w:t>
            </w:r>
            <w:r w:rsidRPr="00F01347">
              <w:rPr>
                <w:rFonts w:ascii="Verdana" w:hAnsi="Verdana"/>
                <w:color w:val="000000"/>
                <w:sz w:val="16"/>
                <w:szCs w:val="16"/>
                <w:lang w:val="es-ES"/>
              </w:rPr>
              <w:t xml:space="preserve"> Esta Norma establece los límites permisibles de calidad que debe cumplir el agua para uso y consumo humano.</w:t>
            </w:r>
          </w:p>
        </w:tc>
        <w:tc>
          <w:tcPr>
            <w:tcW w:w="4675" w:type="dxa"/>
          </w:tcPr>
          <w:p w14:paraId="02C24BA2" w14:textId="78649237" w:rsidR="003E1BA9" w:rsidRPr="00F01347" w:rsidRDefault="003E1BA9" w:rsidP="003E1BA9">
            <w:pPr>
              <w:pStyle w:val="texto0"/>
              <w:spacing w:line="223"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1.1 </w:t>
            </w:r>
            <w:r w:rsidRPr="00F01347">
              <w:rPr>
                <w:rFonts w:ascii="Verdana" w:hAnsi="Verdana"/>
                <w:color w:val="000000"/>
                <w:sz w:val="16"/>
                <w:szCs w:val="16"/>
                <w:lang w:val="en-US"/>
              </w:rPr>
              <w:t>This Standard establishes the permissible quality limits that water must meet for human use and consumption.</w:t>
            </w:r>
          </w:p>
        </w:tc>
      </w:tr>
      <w:tr w:rsidR="003E1BA9" w:rsidRPr="00F01347" w14:paraId="0B2BF6F5" w14:textId="671D47E8" w:rsidTr="002444E4">
        <w:tc>
          <w:tcPr>
            <w:tcW w:w="4675" w:type="dxa"/>
          </w:tcPr>
          <w:p w14:paraId="46677CCF" w14:textId="77777777" w:rsidR="003E1BA9" w:rsidRPr="00F01347" w:rsidRDefault="003E1BA9" w:rsidP="003E1BA9">
            <w:pPr>
              <w:pStyle w:val="texto0"/>
              <w:spacing w:line="223" w:lineRule="exact"/>
              <w:ind w:firstLine="0"/>
              <w:rPr>
                <w:rFonts w:ascii="Verdana" w:hAnsi="Verdana"/>
                <w:color w:val="000000"/>
                <w:sz w:val="16"/>
                <w:szCs w:val="16"/>
                <w:lang w:val="es-ES"/>
              </w:rPr>
            </w:pPr>
            <w:r w:rsidRPr="00F01347">
              <w:rPr>
                <w:rFonts w:ascii="Verdana" w:hAnsi="Verdana"/>
                <w:b/>
                <w:sz w:val="16"/>
                <w:szCs w:val="16"/>
                <w:lang w:val="es-ES_tradnl"/>
              </w:rPr>
              <w:t xml:space="preserve">1.2 </w:t>
            </w:r>
            <w:r w:rsidRPr="00F01347">
              <w:rPr>
                <w:rFonts w:ascii="Verdana" w:hAnsi="Verdana"/>
                <w:sz w:val="16"/>
                <w:szCs w:val="16"/>
                <w:lang w:val="es-ES_tradnl"/>
              </w:rPr>
              <w:t>Esta Norma es de observancia obligatoria en el territorio nacional para los organismos responsables de los sistemas de abastecimiento de agua públicos y privados.</w:t>
            </w:r>
          </w:p>
        </w:tc>
        <w:tc>
          <w:tcPr>
            <w:tcW w:w="4675" w:type="dxa"/>
          </w:tcPr>
          <w:p w14:paraId="695C8BA9" w14:textId="454A3E98" w:rsidR="003E1BA9" w:rsidRPr="00F01347" w:rsidRDefault="003E1BA9"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 xml:space="preserve">1.2 </w:t>
            </w:r>
            <w:r w:rsidRPr="00F01347">
              <w:rPr>
                <w:rFonts w:ascii="Verdana" w:hAnsi="Verdana"/>
                <w:sz w:val="16"/>
                <w:szCs w:val="16"/>
                <w:lang w:val="en-US"/>
              </w:rPr>
              <w:t>This Standard is mandatory in the national territory for the organizations responsible for public and private water supply systems.</w:t>
            </w:r>
          </w:p>
        </w:tc>
      </w:tr>
      <w:tr w:rsidR="003E1BA9" w:rsidRPr="00F01347" w14:paraId="14083E58" w14:textId="2014EEAF" w:rsidTr="002444E4">
        <w:tc>
          <w:tcPr>
            <w:tcW w:w="4675" w:type="dxa"/>
          </w:tcPr>
          <w:p w14:paraId="30ADBBBE" w14:textId="77777777" w:rsidR="003E1BA9" w:rsidRPr="00F01347" w:rsidRDefault="003E1BA9" w:rsidP="003E1BA9">
            <w:pPr>
              <w:pStyle w:val="texto0"/>
              <w:spacing w:line="223" w:lineRule="exact"/>
              <w:ind w:firstLine="0"/>
              <w:rPr>
                <w:rFonts w:ascii="Verdana" w:hAnsi="Verdana"/>
                <w:color w:val="000000"/>
                <w:sz w:val="16"/>
                <w:szCs w:val="16"/>
                <w:lang w:val="es-ES"/>
              </w:rPr>
            </w:pPr>
            <w:r w:rsidRPr="00F01347">
              <w:rPr>
                <w:rFonts w:ascii="Verdana" w:hAnsi="Verdana"/>
                <w:b/>
                <w:color w:val="000000"/>
                <w:sz w:val="16"/>
                <w:szCs w:val="16"/>
                <w:lang w:val="es-ES"/>
              </w:rPr>
              <w:t>1.3</w:t>
            </w:r>
            <w:r w:rsidRPr="00F01347">
              <w:rPr>
                <w:rFonts w:ascii="Verdana" w:hAnsi="Verdana"/>
                <w:color w:val="000000"/>
                <w:sz w:val="16"/>
                <w:szCs w:val="16"/>
                <w:lang w:val="es-ES"/>
              </w:rPr>
              <w:t xml:space="preserve"> Esta Norma no es aplicable para aguas residuales tratadas.</w:t>
            </w:r>
          </w:p>
        </w:tc>
        <w:tc>
          <w:tcPr>
            <w:tcW w:w="4675" w:type="dxa"/>
          </w:tcPr>
          <w:p w14:paraId="5E156F1D" w14:textId="4C501560" w:rsidR="003E1BA9" w:rsidRPr="00F01347" w:rsidRDefault="003E1BA9" w:rsidP="003E1BA9">
            <w:pPr>
              <w:pStyle w:val="texto0"/>
              <w:spacing w:line="223"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1.3 </w:t>
            </w:r>
            <w:r w:rsidRPr="00F01347">
              <w:rPr>
                <w:rFonts w:ascii="Verdana" w:hAnsi="Verdana"/>
                <w:color w:val="000000"/>
                <w:sz w:val="16"/>
                <w:szCs w:val="16"/>
                <w:lang w:val="en-US"/>
              </w:rPr>
              <w:t>This Standard is not applicable to treated wastewater.</w:t>
            </w:r>
          </w:p>
        </w:tc>
      </w:tr>
      <w:tr w:rsidR="003E1BA9" w:rsidRPr="00F01347" w14:paraId="5EE5FB88" w14:textId="34AFC3A6" w:rsidTr="002444E4">
        <w:tc>
          <w:tcPr>
            <w:tcW w:w="4675" w:type="dxa"/>
          </w:tcPr>
          <w:p w14:paraId="1B4C730A" w14:textId="77777777" w:rsidR="003E1BA9" w:rsidRPr="00F01347" w:rsidRDefault="003E1BA9" w:rsidP="003E1BA9">
            <w:pPr>
              <w:pStyle w:val="texto0"/>
              <w:spacing w:line="223" w:lineRule="exact"/>
              <w:ind w:firstLine="0"/>
              <w:rPr>
                <w:rFonts w:ascii="Verdana" w:hAnsi="Verdana"/>
                <w:b/>
                <w:color w:val="000000"/>
                <w:sz w:val="16"/>
                <w:szCs w:val="16"/>
                <w:lang w:val="es-ES_tradnl"/>
              </w:rPr>
            </w:pPr>
            <w:r w:rsidRPr="00F01347">
              <w:rPr>
                <w:rFonts w:ascii="Verdana" w:hAnsi="Verdana"/>
                <w:b/>
                <w:color w:val="000000"/>
                <w:sz w:val="16"/>
                <w:szCs w:val="16"/>
                <w:lang w:val="es-ES_tradnl"/>
              </w:rPr>
              <w:t>2. Referencias normativas</w:t>
            </w:r>
          </w:p>
        </w:tc>
        <w:tc>
          <w:tcPr>
            <w:tcW w:w="4675" w:type="dxa"/>
          </w:tcPr>
          <w:p w14:paraId="55F19976" w14:textId="6FF61EBB" w:rsidR="003E1BA9" w:rsidRPr="00F01347" w:rsidRDefault="003E1BA9" w:rsidP="003E1BA9">
            <w:pPr>
              <w:pStyle w:val="texto0"/>
              <w:spacing w:line="223"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2. </w:t>
            </w:r>
            <w:r w:rsidR="00D34569" w:rsidRPr="00F01347">
              <w:rPr>
                <w:rFonts w:ascii="Verdana" w:hAnsi="Verdana"/>
                <w:b/>
                <w:color w:val="000000"/>
                <w:sz w:val="16"/>
                <w:szCs w:val="16"/>
                <w:lang w:val="en-US"/>
              </w:rPr>
              <w:t>Legislative</w:t>
            </w:r>
            <w:r w:rsidRPr="00F01347">
              <w:rPr>
                <w:rFonts w:ascii="Verdana" w:hAnsi="Verdana"/>
                <w:b/>
                <w:color w:val="000000"/>
                <w:sz w:val="16"/>
                <w:szCs w:val="16"/>
                <w:lang w:val="en-US"/>
              </w:rPr>
              <w:t xml:space="preserve"> references</w:t>
            </w:r>
          </w:p>
        </w:tc>
      </w:tr>
      <w:tr w:rsidR="003E1BA9" w:rsidRPr="00F01347" w14:paraId="782A74C7" w14:textId="2819ADFC" w:rsidTr="002444E4">
        <w:tc>
          <w:tcPr>
            <w:tcW w:w="4675" w:type="dxa"/>
          </w:tcPr>
          <w:p w14:paraId="37EF7363" w14:textId="77777777" w:rsidR="003E1BA9" w:rsidRPr="00F01347" w:rsidRDefault="003E1BA9" w:rsidP="003E1BA9">
            <w:pPr>
              <w:pStyle w:val="texto0"/>
              <w:spacing w:line="223" w:lineRule="exact"/>
              <w:ind w:firstLine="0"/>
              <w:rPr>
                <w:rFonts w:ascii="Verdana" w:hAnsi="Verdana"/>
                <w:color w:val="000000"/>
                <w:sz w:val="16"/>
                <w:szCs w:val="16"/>
              </w:rPr>
            </w:pPr>
            <w:r w:rsidRPr="00F01347">
              <w:rPr>
                <w:rFonts w:ascii="Verdana" w:hAnsi="Verdana"/>
                <w:color w:val="000000"/>
                <w:sz w:val="16"/>
                <w:szCs w:val="16"/>
                <w:lang w:val="es-ES_tradnl"/>
              </w:rPr>
              <w:t>Para la correcta aplicación de esta Norma, es necesario consultar las siguientes normas oficiales mexicanas o las que las sustituyan:</w:t>
            </w:r>
          </w:p>
        </w:tc>
        <w:tc>
          <w:tcPr>
            <w:tcW w:w="4675" w:type="dxa"/>
          </w:tcPr>
          <w:p w14:paraId="7C345F01" w14:textId="33E0AC75" w:rsidR="003E1BA9" w:rsidRPr="00F01347" w:rsidRDefault="003E1BA9" w:rsidP="003E1BA9">
            <w:pPr>
              <w:pStyle w:val="texto0"/>
              <w:spacing w:line="223" w:lineRule="exact"/>
              <w:ind w:firstLine="0"/>
              <w:rPr>
                <w:rFonts w:ascii="Verdana" w:hAnsi="Verdana"/>
                <w:color w:val="000000"/>
                <w:sz w:val="16"/>
                <w:szCs w:val="16"/>
                <w:lang w:val="en-US"/>
              </w:rPr>
            </w:pPr>
            <w:r w:rsidRPr="00F01347">
              <w:rPr>
                <w:rFonts w:ascii="Verdana" w:hAnsi="Verdana"/>
                <w:color w:val="000000"/>
                <w:sz w:val="16"/>
                <w:szCs w:val="16"/>
                <w:lang w:val="en-US"/>
              </w:rPr>
              <w:t>For the correct application of this Standard, it is necessary to consult the following official Mexican standards or those that replace them:</w:t>
            </w:r>
          </w:p>
        </w:tc>
      </w:tr>
      <w:tr w:rsidR="003E1BA9" w:rsidRPr="00F01347" w14:paraId="1126BFA5" w14:textId="724DE403" w:rsidTr="002444E4">
        <w:tc>
          <w:tcPr>
            <w:tcW w:w="4675" w:type="dxa"/>
          </w:tcPr>
          <w:p w14:paraId="0FCEF201" w14:textId="77777777" w:rsidR="003E1BA9" w:rsidRPr="00F01347" w:rsidRDefault="003E1BA9" w:rsidP="003E1BA9">
            <w:pPr>
              <w:pStyle w:val="texto0"/>
              <w:spacing w:line="223" w:lineRule="exact"/>
              <w:ind w:firstLine="0"/>
              <w:rPr>
                <w:rFonts w:ascii="Verdana" w:hAnsi="Verdana"/>
                <w:color w:val="000000"/>
                <w:sz w:val="16"/>
                <w:szCs w:val="16"/>
                <w:lang w:val="es-ES_tradnl"/>
              </w:rPr>
            </w:pPr>
            <w:r w:rsidRPr="00F01347">
              <w:rPr>
                <w:rFonts w:ascii="Verdana" w:hAnsi="Verdana"/>
                <w:b/>
                <w:color w:val="000000"/>
                <w:sz w:val="16"/>
                <w:szCs w:val="16"/>
                <w:lang w:val="es-ES_tradnl"/>
              </w:rPr>
              <w:t>2.1</w:t>
            </w:r>
            <w:r w:rsidRPr="00F01347">
              <w:rPr>
                <w:rFonts w:ascii="Verdana" w:hAnsi="Verdana"/>
                <w:color w:val="000000"/>
                <w:sz w:val="16"/>
                <w:szCs w:val="16"/>
                <w:lang w:val="es-ES_tradnl"/>
              </w:rPr>
              <w:t xml:space="preserve"> Norma Oficial Mexicana NOM-008-SCFI-2002, Sistema General de Unidades de Medida.</w:t>
            </w:r>
          </w:p>
        </w:tc>
        <w:tc>
          <w:tcPr>
            <w:tcW w:w="4675" w:type="dxa"/>
          </w:tcPr>
          <w:p w14:paraId="31313190" w14:textId="49252D87" w:rsidR="003E1BA9" w:rsidRPr="00F01347" w:rsidRDefault="003E1BA9" w:rsidP="003E1BA9">
            <w:pPr>
              <w:pStyle w:val="texto0"/>
              <w:spacing w:line="223"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2.1 </w:t>
            </w:r>
            <w:r w:rsidRPr="00F01347">
              <w:rPr>
                <w:rFonts w:ascii="Verdana" w:hAnsi="Verdana"/>
                <w:color w:val="000000"/>
                <w:sz w:val="16"/>
                <w:szCs w:val="16"/>
                <w:lang w:val="en-US"/>
              </w:rPr>
              <w:t xml:space="preserve">Official Mexican Standard NOM-008-SCFI-2002, General System of </w:t>
            </w:r>
            <w:r w:rsidR="00D34569" w:rsidRPr="00F01347">
              <w:rPr>
                <w:rFonts w:ascii="Verdana" w:hAnsi="Verdana"/>
                <w:color w:val="000000"/>
                <w:sz w:val="16"/>
                <w:szCs w:val="16"/>
                <w:lang w:val="en-US"/>
              </w:rPr>
              <w:t xml:space="preserve">Units of </w:t>
            </w:r>
            <w:r w:rsidRPr="00F01347">
              <w:rPr>
                <w:rFonts w:ascii="Verdana" w:hAnsi="Verdana"/>
                <w:color w:val="000000"/>
                <w:sz w:val="16"/>
                <w:szCs w:val="16"/>
                <w:lang w:val="en-US"/>
              </w:rPr>
              <w:t>Measurement.</w:t>
            </w:r>
          </w:p>
        </w:tc>
      </w:tr>
      <w:tr w:rsidR="003E1BA9" w:rsidRPr="00F01347" w14:paraId="1CDBE1CF" w14:textId="447AC727" w:rsidTr="002444E4">
        <w:tc>
          <w:tcPr>
            <w:tcW w:w="4675" w:type="dxa"/>
          </w:tcPr>
          <w:p w14:paraId="1692E806" w14:textId="77777777" w:rsidR="003E1BA9" w:rsidRPr="00F01347" w:rsidRDefault="003E1BA9" w:rsidP="003E1BA9">
            <w:pPr>
              <w:pStyle w:val="texto0"/>
              <w:spacing w:line="223" w:lineRule="exact"/>
              <w:ind w:firstLine="0"/>
              <w:rPr>
                <w:rFonts w:ascii="Verdana" w:hAnsi="Verdana"/>
                <w:sz w:val="16"/>
                <w:szCs w:val="16"/>
              </w:rPr>
            </w:pPr>
            <w:r w:rsidRPr="00F01347">
              <w:rPr>
                <w:rFonts w:ascii="Verdana" w:hAnsi="Verdana"/>
                <w:b/>
                <w:color w:val="000000"/>
                <w:sz w:val="16"/>
                <w:szCs w:val="16"/>
                <w:lang w:val="es-ES_tradnl"/>
              </w:rPr>
              <w:t>2.2</w:t>
            </w:r>
            <w:r w:rsidRPr="00F01347">
              <w:rPr>
                <w:rFonts w:ascii="Verdana" w:hAnsi="Verdana"/>
                <w:color w:val="000000"/>
                <w:sz w:val="16"/>
                <w:szCs w:val="16"/>
                <w:lang w:val="es-ES_tradnl"/>
              </w:rPr>
              <w:t xml:space="preserve"> Norma Oficial Mexicana </w:t>
            </w:r>
            <w:r w:rsidRPr="00F01347">
              <w:rPr>
                <w:rFonts w:ascii="Verdana" w:hAnsi="Verdana"/>
                <w:sz w:val="16"/>
                <w:szCs w:val="16"/>
                <w:lang w:val="es-ES_tradnl"/>
              </w:rPr>
              <w:t xml:space="preserve">NOM-117-SSA1-1994, </w:t>
            </w:r>
            <w:r w:rsidRPr="00F01347">
              <w:rPr>
                <w:rFonts w:ascii="Verdana" w:hAnsi="Verdana"/>
                <w:sz w:val="16"/>
                <w:szCs w:val="16"/>
              </w:rPr>
              <w:t>Bienes y servicios. Método de prueba para la determinación de cadmio, arsénico, plomo, estaño, cobre, fierro, zinc y mercurio en alimentos, agua potable y agua purificada por espectrometría de absorción atómica.</w:t>
            </w:r>
          </w:p>
        </w:tc>
        <w:tc>
          <w:tcPr>
            <w:tcW w:w="4675" w:type="dxa"/>
          </w:tcPr>
          <w:p w14:paraId="35370720" w14:textId="6294AFDC" w:rsidR="003E1BA9" w:rsidRPr="00F01347" w:rsidRDefault="003E1BA9" w:rsidP="003E1BA9">
            <w:pPr>
              <w:pStyle w:val="texto0"/>
              <w:spacing w:line="223"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2.2 </w:t>
            </w:r>
            <w:r w:rsidRPr="00F01347">
              <w:rPr>
                <w:rFonts w:ascii="Verdana" w:hAnsi="Verdana"/>
                <w:color w:val="000000"/>
                <w:sz w:val="16"/>
                <w:szCs w:val="16"/>
                <w:lang w:val="en-US"/>
              </w:rPr>
              <w:t xml:space="preserve">Official Mexican Standard </w:t>
            </w:r>
            <w:r w:rsidRPr="00F01347">
              <w:rPr>
                <w:rFonts w:ascii="Verdana" w:hAnsi="Verdana"/>
                <w:sz w:val="16"/>
                <w:szCs w:val="16"/>
                <w:lang w:val="en-US"/>
              </w:rPr>
              <w:t xml:space="preserve">NOM-117-SSA1-1994, Goods and services. Test method for the determination of cadmium, arsenic, lead, tin, copper, iron, </w:t>
            </w:r>
            <w:proofErr w:type="gramStart"/>
            <w:r w:rsidRPr="00F01347">
              <w:rPr>
                <w:rFonts w:ascii="Verdana" w:hAnsi="Verdana"/>
                <w:sz w:val="16"/>
                <w:szCs w:val="16"/>
                <w:lang w:val="en-US"/>
              </w:rPr>
              <w:t>zinc</w:t>
            </w:r>
            <w:proofErr w:type="gramEnd"/>
            <w:r w:rsidRPr="00F01347">
              <w:rPr>
                <w:rFonts w:ascii="Verdana" w:hAnsi="Verdana"/>
                <w:sz w:val="16"/>
                <w:szCs w:val="16"/>
                <w:lang w:val="en-US"/>
              </w:rPr>
              <w:t xml:space="preserve"> and mercury in food, drinking water and purified water by atomic absorption spectrometry.</w:t>
            </w:r>
          </w:p>
        </w:tc>
      </w:tr>
      <w:tr w:rsidR="003E1BA9" w:rsidRPr="00F01347" w14:paraId="54F6958F" w14:textId="33CE0804" w:rsidTr="002444E4">
        <w:tc>
          <w:tcPr>
            <w:tcW w:w="4675" w:type="dxa"/>
          </w:tcPr>
          <w:p w14:paraId="3A727B72" w14:textId="77777777" w:rsidR="003E1BA9" w:rsidRPr="00F01347" w:rsidRDefault="003E1BA9" w:rsidP="003E1BA9">
            <w:pPr>
              <w:pStyle w:val="texto0"/>
              <w:spacing w:line="223" w:lineRule="exact"/>
              <w:ind w:firstLine="0"/>
              <w:rPr>
                <w:rFonts w:ascii="Verdana" w:hAnsi="Verdana"/>
                <w:color w:val="000000"/>
                <w:sz w:val="16"/>
                <w:szCs w:val="16"/>
                <w:lang w:val="es-ES_tradnl"/>
              </w:rPr>
            </w:pPr>
            <w:r w:rsidRPr="00F01347">
              <w:rPr>
                <w:rFonts w:ascii="Verdana" w:hAnsi="Verdana"/>
                <w:b/>
                <w:sz w:val="16"/>
                <w:szCs w:val="16"/>
              </w:rPr>
              <w:t>2.3</w:t>
            </w:r>
            <w:r w:rsidRPr="00F01347">
              <w:rPr>
                <w:rFonts w:ascii="Verdana" w:hAnsi="Verdana"/>
                <w:sz w:val="16"/>
                <w:szCs w:val="16"/>
              </w:rPr>
              <w:t xml:space="preserve"> </w:t>
            </w:r>
            <w:r w:rsidRPr="00F01347">
              <w:rPr>
                <w:rFonts w:ascii="Verdana" w:hAnsi="Verdana"/>
                <w:color w:val="000000"/>
                <w:sz w:val="16"/>
                <w:szCs w:val="16"/>
                <w:lang w:val="es-ES_tradnl"/>
              </w:rPr>
              <w:t xml:space="preserve">Norma Oficial Mexicana </w:t>
            </w:r>
            <w:r w:rsidRPr="00F01347">
              <w:rPr>
                <w:rFonts w:ascii="Verdana" w:hAnsi="Verdana"/>
                <w:sz w:val="16"/>
                <w:szCs w:val="16"/>
              </w:rPr>
              <w:t>NOM-179-SSA1-2020, Agua para uso y consumo humano. Control de la calidad del agua distribuida por los sistemas de abastecimiento de agua.</w:t>
            </w:r>
          </w:p>
        </w:tc>
        <w:tc>
          <w:tcPr>
            <w:tcW w:w="4675" w:type="dxa"/>
          </w:tcPr>
          <w:p w14:paraId="02163E26" w14:textId="3D85D0CC" w:rsidR="003E1BA9" w:rsidRPr="00F01347" w:rsidRDefault="003E1BA9"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23</w:t>
            </w:r>
            <w:r w:rsidRPr="00F01347">
              <w:rPr>
                <w:rFonts w:ascii="Verdana" w:hAnsi="Verdana"/>
                <w:sz w:val="16"/>
                <w:szCs w:val="16"/>
                <w:lang w:val="en-US"/>
              </w:rPr>
              <w:t xml:space="preserve"> </w:t>
            </w:r>
            <w:r w:rsidR="00F2280D" w:rsidRPr="00F01347">
              <w:rPr>
                <w:rFonts w:ascii="Verdana" w:hAnsi="Verdana"/>
                <w:color w:val="000000"/>
                <w:sz w:val="16"/>
                <w:szCs w:val="16"/>
                <w:lang w:val="en-US"/>
              </w:rPr>
              <w:t>Official Mexican Standard</w:t>
            </w:r>
            <w:r w:rsidRPr="00F01347">
              <w:rPr>
                <w:rFonts w:ascii="Verdana" w:hAnsi="Verdana"/>
                <w:color w:val="000000"/>
                <w:sz w:val="16"/>
                <w:szCs w:val="16"/>
                <w:lang w:val="en-US"/>
              </w:rPr>
              <w:t xml:space="preserve"> </w:t>
            </w:r>
            <w:r w:rsidRPr="00F01347">
              <w:rPr>
                <w:rFonts w:ascii="Verdana" w:hAnsi="Verdana"/>
                <w:sz w:val="16"/>
                <w:szCs w:val="16"/>
                <w:lang w:val="en-US"/>
              </w:rPr>
              <w:t>NOM-179-SSA1-2020, Water for human use and consumption. Control of the quality of water distributed by water supply systems.</w:t>
            </w:r>
          </w:p>
        </w:tc>
      </w:tr>
      <w:tr w:rsidR="003E1BA9" w:rsidRPr="00F01347" w14:paraId="7DE3CF97" w14:textId="17CAD432" w:rsidTr="002444E4">
        <w:tc>
          <w:tcPr>
            <w:tcW w:w="4675" w:type="dxa"/>
          </w:tcPr>
          <w:p w14:paraId="12D4844A" w14:textId="77777777" w:rsidR="003E1BA9" w:rsidRPr="00F01347" w:rsidRDefault="003E1BA9" w:rsidP="003E1BA9">
            <w:pPr>
              <w:pStyle w:val="texto0"/>
              <w:spacing w:line="223" w:lineRule="exact"/>
              <w:ind w:firstLine="0"/>
              <w:rPr>
                <w:rFonts w:ascii="Verdana" w:hAnsi="Verdana"/>
                <w:color w:val="000000"/>
                <w:sz w:val="16"/>
                <w:szCs w:val="16"/>
                <w:lang w:val="es-ES_tradnl"/>
              </w:rPr>
            </w:pPr>
            <w:r w:rsidRPr="00F01347">
              <w:rPr>
                <w:rFonts w:ascii="Verdana" w:hAnsi="Verdana"/>
                <w:b/>
                <w:color w:val="000000"/>
                <w:sz w:val="16"/>
                <w:szCs w:val="16"/>
                <w:lang w:val="es-ES_tradnl"/>
              </w:rPr>
              <w:t>2.4</w:t>
            </w:r>
            <w:r w:rsidRPr="00F01347">
              <w:rPr>
                <w:rFonts w:ascii="Verdana" w:hAnsi="Verdana"/>
                <w:color w:val="000000"/>
                <w:sz w:val="16"/>
                <w:szCs w:val="16"/>
                <w:lang w:val="es-ES_tradnl"/>
              </w:rPr>
              <w:t xml:space="preserve"> Norma Oficial Mexicana </w:t>
            </w:r>
            <w:r w:rsidRPr="00F01347">
              <w:rPr>
                <w:rFonts w:ascii="Verdana" w:hAnsi="Verdana"/>
                <w:sz w:val="16"/>
                <w:szCs w:val="16"/>
                <w:lang w:val="es-ES_tradnl"/>
              </w:rPr>
              <w:t xml:space="preserve">NOM-201-SSA1-2015, </w:t>
            </w:r>
            <w:r w:rsidRPr="00F01347">
              <w:rPr>
                <w:rFonts w:ascii="Verdana" w:hAnsi="Verdana"/>
                <w:sz w:val="16"/>
                <w:szCs w:val="16"/>
              </w:rPr>
              <w:t>Productos y servicios. Agua y hielo para consumo humano, envasados y a granel. Especificaciones sanitarias.</w:t>
            </w:r>
          </w:p>
        </w:tc>
        <w:tc>
          <w:tcPr>
            <w:tcW w:w="4675" w:type="dxa"/>
          </w:tcPr>
          <w:p w14:paraId="5B3B39D6" w14:textId="070CE443" w:rsidR="003E1BA9" w:rsidRPr="00F01347" w:rsidRDefault="003E1BA9" w:rsidP="003E1BA9">
            <w:pPr>
              <w:pStyle w:val="texto0"/>
              <w:spacing w:line="223"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2.4 </w:t>
            </w:r>
            <w:r w:rsidRPr="00F01347">
              <w:rPr>
                <w:rFonts w:ascii="Verdana" w:hAnsi="Verdana"/>
                <w:color w:val="000000"/>
                <w:sz w:val="16"/>
                <w:szCs w:val="16"/>
                <w:lang w:val="en-US"/>
              </w:rPr>
              <w:t xml:space="preserve">Official Mexican Standard </w:t>
            </w:r>
            <w:r w:rsidRPr="00F01347">
              <w:rPr>
                <w:rFonts w:ascii="Verdana" w:hAnsi="Verdana"/>
                <w:sz w:val="16"/>
                <w:szCs w:val="16"/>
                <w:lang w:val="en-US"/>
              </w:rPr>
              <w:t>NOM-201-SSA1-2015, Products and services. Water and ice for human consumption, packaged and in bulk. Sanitary specifications.</w:t>
            </w:r>
          </w:p>
        </w:tc>
      </w:tr>
      <w:tr w:rsidR="003E1BA9" w:rsidRPr="00F01347" w14:paraId="371611F6" w14:textId="7F1AF328" w:rsidTr="002444E4">
        <w:tc>
          <w:tcPr>
            <w:tcW w:w="4675" w:type="dxa"/>
          </w:tcPr>
          <w:p w14:paraId="279FC35A" w14:textId="77777777" w:rsidR="003E1BA9" w:rsidRPr="00F01347" w:rsidRDefault="003E1BA9" w:rsidP="003E1BA9">
            <w:pPr>
              <w:pStyle w:val="texto0"/>
              <w:spacing w:line="223" w:lineRule="exact"/>
              <w:ind w:firstLine="0"/>
              <w:rPr>
                <w:rFonts w:ascii="Verdana" w:hAnsi="Verdana"/>
                <w:sz w:val="16"/>
                <w:szCs w:val="16"/>
                <w:lang w:val="es-ES_tradnl"/>
              </w:rPr>
            </w:pPr>
            <w:r w:rsidRPr="00F01347">
              <w:rPr>
                <w:rFonts w:ascii="Verdana" w:hAnsi="Verdana"/>
                <w:b/>
                <w:color w:val="000000"/>
                <w:sz w:val="16"/>
                <w:szCs w:val="16"/>
                <w:lang w:val="es-ES_tradnl"/>
              </w:rPr>
              <w:t>2.5</w:t>
            </w:r>
            <w:r w:rsidRPr="00F01347">
              <w:rPr>
                <w:rFonts w:ascii="Verdana" w:hAnsi="Verdana"/>
                <w:color w:val="000000"/>
                <w:sz w:val="16"/>
                <w:szCs w:val="16"/>
                <w:lang w:val="es-ES_tradnl"/>
              </w:rPr>
              <w:t xml:space="preserve"> Norma Oficial Mexicana</w:t>
            </w:r>
            <w:r w:rsidRPr="00F01347">
              <w:rPr>
                <w:rFonts w:ascii="Verdana" w:hAnsi="Verdana"/>
                <w:sz w:val="16"/>
                <w:szCs w:val="16"/>
                <w:lang w:val="es-ES_tradnl"/>
              </w:rPr>
              <w:t xml:space="preserve"> NOM-210-SSA1-2014, Productos y servicios. Métodos de prueba microbiológicos. Determinación de microorganismos indicadores. Determinación de microorganismos patógenos.</w:t>
            </w:r>
          </w:p>
        </w:tc>
        <w:tc>
          <w:tcPr>
            <w:tcW w:w="4675" w:type="dxa"/>
          </w:tcPr>
          <w:p w14:paraId="47EF3241" w14:textId="149D98DD" w:rsidR="003E1BA9" w:rsidRPr="00F01347" w:rsidRDefault="003E1BA9" w:rsidP="003E1BA9">
            <w:pPr>
              <w:pStyle w:val="texto0"/>
              <w:spacing w:line="223"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2.5 </w:t>
            </w:r>
            <w:r w:rsidRPr="00F01347">
              <w:rPr>
                <w:rFonts w:ascii="Verdana" w:hAnsi="Verdana"/>
                <w:color w:val="000000"/>
                <w:sz w:val="16"/>
                <w:szCs w:val="16"/>
                <w:lang w:val="en-US"/>
              </w:rPr>
              <w:t xml:space="preserve">Official Mexican Standard </w:t>
            </w:r>
            <w:r w:rsidRPr="00F01347">
              <w:rPr>
                <w:rFonts w:ascii="Verdana" w:hAnsi="Verdana"/>
                <w:sz w:val="16"/>
                <w:szCs w:val="16"/>
                <w:lang w:val="en-US"/>
              </w:rPr>
              <w:t>NOM-210-SSA1-2014, Products and services. Microbiological test methods. Determination of indicator microorganisms. Determination of pathogenic microorganisms.</w:t>
            </w:r>
          </w:p>
        </w:tc>
      </w:tr>
      <w:tr w:rsidR="003E1BA9" w:rsidRPr="00F01347" w14:paraId="16DB3AAE" w14:textId="0B0D6D72" w:rsidTr="002444E4">
        <w:tc>
          <w:tcPr>
            <w:tcW w:w="4675" w:type="dxa"/>
          </w:tcPr>
          <w:p w14:paraId="64BBE208" w14:textId="77777777" w:rsidR="003E1BA9" w:rsidRPr="00F01347" w:rsidRDefault="003E1BA9" w:rsidP="003E1BA9">
            <w:pPr>
              <w:pStyle w:val="texto0"/>
              <w:spacing w:line="223" w:lineRule="exact"/>
              <w:ind w:firstLine="0"/>
              <w:rPr>
                <w:rFonts w:ascii="Verdana" w:hAnsi="Verdana"/>
                <w:b/>
                <w:sz w:val="16"/>
                <w:szCs w:val="16"/>
                <w:lang w:val="es-ES_tradnl"/>
              </w:rPr>
            </w:pPr>
            <w:r w:rsidRPr="00F01347">
              <w:rPr>
                <w:rFonts w:ascii="Verdana" w:hAnsi="Verdana"/>
                <w:b/>
                <w:sz w:val="16"/>
                <w:szCs w:val="16"/>
                <w:lang w:val="es-ES_tradnl"/>
              </w:rPr>
              <w:t>3. Términos y definiciones</w:t>
            </w:r>
          </w:p>
        </w:tc>
        <w:tc>
          <w:tcPr>
            <w:tcW w:w="4675" w:type="dxa"/>
          </w:tcPr>
          <w:p w14:paraId="1D2C7573" w14:textId="7CFE0470" w:rsidR="003E1BA9" w:rsidRPr="00F01347" w:rsidRDefault="003E1BA9"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3. Terms and definitions</w:t>
            </w:r>
          </w:p>
        </w:tc>
      </w:tr>
      <w:tr w:rsidR="003E1BA9" w:rsidRPr="00F01347" w14:paraId="4C2C02C1" w14:textId="503F09FA" w:rsidTr="002444E4">
        <w:tc>
          <w:tcPr>
            <w:tcW w:w="4675" w:type="dxa"/>
          </w:tcPr>
          <w:p w14:paraId="7366DCA8" w14:textId="77777777" w:rsidR="003E1BA9" w:rsidRPr="00F01347" w:rsidRDefault="003E1BA9" w:rsidP="003E1BA9">
            <w:pPr>
              <w:pStyle w:val="texto0"/>
              <w:spacing w:line="223" w:lineRule="exact"/>
              <w:ind w:firstLine="0"/>
              <w:rPr>
                <w:rFonts w:ascii="Verdana" w:hAnsi="Verdana"/>
                <w:b/>
                <w:sz w:val="16"/>
                <w:szCs w:val="16"/>
              </w:rPr>
            </w:pPr>
            <w:r w:rsidRPr="00F01347">
              <w:rPr>
                <w:rFonts w:ascii="Verdana" w:hAnsi="Verdana"/>
                <w:sz w:val="16"/>
                <w:szCs w:val="16"/>
              </w:rPr>
              <w:t>Para los propósitos de esta Norma, se aplican los términos y definiciones siguientes</w:t>
            </w:r>
            <w:r w:rsidRPr="00F01347">
              <w:rPr>
                <w:rFonts w:ascii="Verdana" w:hAnsi="Verdana"/>
                <w:b/>
                <w:sz w:val="16"/>
                <w:szCs w:val="16"/>
              </w:rPr>
              <w:t>:</w:t>
            </w:r>
          </w:p>
        </w:tc>
        <w:tc>
          <w:tcPr>
            <w:tcW w:w="4675" w:type="dxa"/>
          </w:tcPr>
          <w:p w14:paraId="1D6E8939" w14:textId="51A7E997" w:rsidR="003E1BA9" w:rsidRPr="00F01347" w:rsidRDefault="003E1BA9" w:rsidP="003E1BA9">
            <w:pPr>
              <w:pStyle w:val="texto0"/>
              <w:spacing w:line="223" w:lineRule="exact"/>
              <w:ind w:firstLine="0"/>
              <w:rPr>
                <w:rFonts w:ascii="Verdana" w:hAnsi="Verdana"/>
                <w:sz w:val="16"/>
                <w:szCs w:val="16"/>
                <w:lang w:val="en-US"/>
              </w:rPr>
            </w:pPr>
            <w:r w:rsidRPr="00F01347">
              <w:rPr>
                <w:rFonts w:ascii="Verdana" w:hAnsi="Verdana"/>
                <w:sz w:val="16"/>
                <w:szCs w:val="16"/>
                <w:lang w:val="en-US"/>
              </w:rPr>
              <w:t>For the purposes of this Standard, the following terms and definitions apply</w:t>
            </w:r>
            <w:r w:rsidRPr="00F01347">
              <w:rPr>
                <w:rFonts w:ascii="Verdana" w:hAnsi="Verdana"/>
                <w:b/>
                <w:sz w:val="16"/>
                <w:szCs w:val="16"/>
                <w:lang w:val="en-US"/>
              </w:rPr>
              <w:t>:</w:t>
            </w:r>
          </w:p>
        </w:tc>
      </w:tr>
      <w:tr w:rsidR="003E1BA9" w:rsidRPr="00F01347" w14:paraId="785871A7" w14:textId="71112E3D" w:rsidTr="002444E4">
        <w:tc>
          <w:tcPr>
            <w:tcW w:w="4675" w:type="dxa"/>
          </w:tcPr>
          <w:p w14:paraId="4F728B57" w14:textId="77777777" w:rsidR="003E1BA9" w:rsidRPr="00F01347" w:rsidRDefault="003E1BA9" w:rsidP="003E1BA9">
            <w:pPr>
              <w:pStyle w:val="texto0"/>
              <w:spacing w:line="223" w:lineRule="exact"/>
              <w:ind w:firstLine="0"/>
              <w:rPr>
                <w:rFonts w:ascii="Verdana" w:hAnsi="Verdana"/>
                <w:sz w:val="16"/>
                <w:szCs w:val="16"/>
                <w:lang w:val="es-ES_tradnl"/>
              </w:rPr>
            </w:pPr>
            <w:r w:rsidRPr="00F01347">
              <w:rPr>
                <w:rFonts w:ascii="Verdana" w:hAnsi="Verdana"/>
                <w:b/>
                <w:sz w:val="16"/>
                <w:szCs w:val="16"/>
                <w:lang w:val="es-ES_tradnl"/>
              </w:rPr>
              <w:t>3.1 Agua para uso y consumo humano,</w:t>
            </w:r>
            <w:r w:rsidRPr="00F01347">
              <w:rPr>
                <w:rFonts w:ascii="Verdana" w:hAnsi="Verdana"/>
                <w:sz w:val="16"/>
                <w:szCs w:val="16"/>
                <w:lang w:val="es-ES_tradnl"/>
              </w:rPr>
              <w:t xml:space="preserve"> a toda aquella que no causa efectos nocivos a la salud y que no presenta propiedades objetables o contaminantes en concentraciones fuera de los límites permisibles y que no proviene de aguas residuales tratadas.</w:t>
            </w:r>
          </w:p>
        </w:tc>
        <w:tc>
          <w:tcPr>
            <w:tcW w:w="4675" w:type="dxa"/>
          </w:tcPr>
          <w:p w14:paraId="3B27D56B" w14:textId="0874CFD2" w:rsidR="003E1BA9" w:rsidRPr="00F01347" w:rsidRDefault="003E1BA9"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 xml:space="preserve">3.1 Water for human use and consumption, </w:t>
            </w:r>
            <w:r w:rsidRPr="00F01347">
              <w:rPr>
                <w:rFonts w:ascii="Verdana" w:hAnsi="Verdana"/>
                <w:sz w:val="16"/>
                <w:szCs w:val="16"/>
                <w:lang w:val="en-US"/>
              </w:rPr>
              <w:t>any water that does not cause harmful effects to health and that does not present objectionable or polluting properties in concentrations outside the permissible limits and that does not come from treated wastewater.</w:t>
            </w:r>
          </w:p>
        </w:tc>
      </w:tr>
      <w:tr w:rsidR="003E1BA9" w:rsidRPr="00F01347" w14:paraId="32CBFA43" w14:textId="0BCDE3EE" w:rsidTr="002444E4">
        <w:tc>
          <w:tcPr>
            <w:tcW w:w="4675" w:type="dxa"/>
          </w:tcPr>
          <w:p w14:paraId="740D06D4" w14:textId="77777777" w:rsidR="003E1BA9" w:rsidRPr="00F01347" w:rsidRDefault="003E1BA9" w:rsidP="003E1BA9">
            <w:pPr>
              <w:pStyle w:val="texto0"/>
              <w:spacing w:line="223" w:lineRule="exact"/>
              <w:ind w:firstLine="0"/>
              <w:rPr>
                <w:rFonts w:ascii="Verdana" w:hAnsi="Verdana"/>
                <w:sz w:val="16"/>
                <w:szCs w:val="16"/>
                <w:lang w:val="es-ES_tradnl"/>
              </w:rPr>
            </w:pPr>
            <w:r w:rsidRPr="00F01347">
              <w:rPr>
                <w:rFonts w:ascii="Verdana" w:hAnsi="Verdana"/>
                <w:b/>
                <w:sz w:val="16"/>
                <w:szCs w:val="16"/>
                <w:lang w:val="es-ES_tradnl"/>
              </w:rPr>
              <w:lastRenderedPageBreak/>
              <w:t>3.2 Aguas residuales,</w:t>
            </w:r>
            <w:r w:rsidRPr="00F01347">
              <w:rPr>
                <w:rFonts w:ascii="Verdana" w:hAnsi="Verdana"/>
                <w:sz w:val="16"/>
                <w:szCs w:val="16"/>
                <w:lang w:val="es-ES_tradnl"/>
              </w:rPr>
              <w:t xml:space="preserve"> a las de composición variada, provenientes de las descargas de usos público, urbano, doméstico, industrial, comercial, de servicios, agrícola, pecuario, de las plantas de tratamiento y en general, de cualquier uso, así como la mezcla de ellas.</w:t>
            </w:r>
          </w:p>
        </w:tc>
        <w:tc>
          <w:tcPr>
            <w:tcW w:w="4675" w:type="dxa"/>
          </w:tcPr>
          <w:p w14:paraId="74ADE078" w14:textId="0C7E3F46" w:rsidR="003E1BA9" w:rsidRPr="00F01347" w:rsidRDefault="00F01347"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3.2 Wastewaters</w:t>
            </w:r>
            <w:r w:rsidR="003E1BA9" w:rsidRPr="00F01347">
              <w:rPr>
                <w:rFonts w:ascii="Verdana" w:hAnsi="Verdana"/>
                <w:b/>
                <w:sz w:val="16"/>
                <w:szCs w:val="16"/>
                <w:lang w:val="en-US"/>
              </w:rPr>
              <w:t xml:space="preserve"> </w:t>
            </w:r>
            <w:r w:rsidR="003E1BA9" w:rsidRPr="00F01347">
              <w:rPr>
                <w:rFonts w:ascii="Verdana" w:hAnsi="Verdana"/>
                <w:sz w:val="16"/>
                <w:szCs w:val="16"/>
                <w:lang w:val="en-US"/>
              </w:rPr>
              <w:t>of varied composition, from discharges from public, urban, domestic, industrial, commercial, services, agricultural, livestock, treatment plants and in general, from any use, as well as the mixture of them.</w:t>
            </w:r>
          </w:p>
        </w:tc>
      </w:tr>
      <w:tr w:rsidR="003E1BA9" w:rsidRPr="00F01347" w14:paraId="572C9D6F" w14:textId="4857ED06" w:rsidTr="002444E4">
        <w:tc>
          <w:tcPr>
            <w:tcW w:w="4675" w:type="dxa"/>
          </w:tcPr>
          <w:p w14:paraId="564CB0EF" w14:textId="77777777" w:rsidR="003E1BA9" w:rsidRPr="00F01347" w:rsidRDefault="003E1BA9" w:rsidP="003E1BA9">
            <w:pPr>
              <w:pStyle w:val="texto0"/>
              <w:spacing w:line="223" w:lineRule="exact"/>
              <w:ind w:firstLine="0"/>
              <w:rPr>
                <w:rFonts w:ascii="Verdana" w:hAnsi="Verdana"/>
                <w:sz w:val="16"/>
                <w:szCs w:val="16"/>
                <w:lang w:val="es-ES_tradnl"/>
              </w:rPr>
            </w:pPr>
            <w:r w:rsidRPr="00F01347">
              <w:rPr>
                <w:rFonts w:ascii="Verdana" w:hAnsi="Verdana"/>
                <w:b/>
                <w:sz w:val="16"/>
                <w:szCs w:val="16"/>
                <w:lang w:val="es-ES_tradnl"/>
              </w:rPr>
              <w:t xml:space="preserve">3.3 Agua superficial, </w:t>
            </w:r>
            <w:r w:rsidRPr="00F01347">
              <w:rPr>
                <w:rFonts w:ascii="Verdana" w:hAnsi="Verdana"/>
                <w:sz w:val="16"/>
                <w:szCs w:val="16"/>
                <w:lang w:val="es-ES_tradnl"/>
              </w:rPr>
              <w:t>a la que fluye sobre la superficie del suelo a través de arroyos, canales y ríos, o que se almacene en lagos, embalses, ya sean naturales o artificiales.</w:t>
            </w:r>
          </w:p>
        </w:tc>
        <w:tc>
          <w:tcPr>
            <w:tcW w:w="4675" w:type="dxa"/>
          </w:tcPr>
          <w:p w14:paraId="702CCC6E" w14:textId="27962AED" w:rsidR="003E1BA9" w:rsidRPr="00F01347" w:rsidRDefault="003E1BA9"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 xml:space="preserve">3.3 Surface water, </w:t>
            </w:r>
            <w:r w:rsidRPr="00F01347">
              <w:rPr>
                <w:rFonts w:ascii="Verdana" w:hAnsi="Verdana"/>
                <w:sz w:val="16"/>
                <w:szCs w:val="16"/>
                <w:lang w:val="en-US"/>
              </w:rPr>
              <w:t xml:space="preserve">which flows over the surface of the ground through streams, </w:t>
            </w:r>
            <w:r w:rsidR="00A66C5B" w:rsidRPr="00F01347">
              <w:rPr>
                <w:rFonts w:ascii="Verdana" w:hAnsi="Verdana"/>
                <w:sz w:val="16"/>
                <w:szCs w:val="16"/>
                <w:lang w:val="en-US"/>
              </w:rPr>
              <w:t>canals,</w:t>
            </w:r>
            <w:r w:rsidRPr="00F01347">
              <w:rPr>
                <w:rFonts w:ascii="Verdana" w:hAnsi="Verdana"/>
                <w:sz w:val="16"/>
                <w:szCs w:val="16"/>
                <w:lang w:val="en-US"/>
              </w:rPr>
              <w:t xml:space="preserve"> and rivers, or is stored in lakes, reservoirs, whether natural or artificial.</w:t>
            </w:r>
          </w:p>
        </w:tc>
      </w:tr>
      <w:tr w:rsidR="003E1BA9" w:rsidRPr="00F01347" w14:paraId="5D0CCC4E" w14:textId="01A97E61" w:rsidTr="002444E4">
        <w:tc>
          <w:tcPr>
            <w:tcW w:w="4675" w:type="dxa"/>
          </w:tcPr>
          <w:p w14:paraId="65A098A5" w14:textId="77777777" w:rsidR="003E1BA9" w:rsidRPr="00F01347" w:rsidRDefault="003E1BA9" w:rsidP="003E1BA9">
            <w:pPr>
              <w:pStyle w:val="texto0"/>
              <w:spacing w:line="223" w:lineRule="exact"/>
              <w:ind w:firstLine="0"/>
              <w:rPr>
                <w:rFonts w:ascii="Verdana" w:hAnsi="Verdana"/>
                <w:sz w:val="16"/>
                <w:szCs w:val="16"/>
                <w:lang w:val="es-ES_tradnl"/>
              </w:rPr>
            </w:pPr>
            <w:r w:rsidRPr="00F01347">
              <w:rPr>
                <w:rFonts w:ascii="Verdana" w:hAnsi="Verdana"/>
                <w:b/>
                <w:sz w:val="16"/>
                <w:szCs w:val="16"/>
                <w:lang w:val="es-ES_tradnl"/>
              </w:rPr>
              <w:t>3.4 Brote</w:t>
            </w:r>
            <w:r w:rsidRPr="00F01347">
              <w:rPr>
                <w:rFonts w:ascii="Verdana" w:hAnsi="Verdana"/>
                <w:sz w:val="16"/>
                <w:szCs w:val="16"/>
                <w:lang w:val="es-ES_tradnl"/>
              </w:rPr>
              <w:t>, a la ocurrencia de dos o más casos asociados epidemiológicamente entre sí. La existencia de un caso único bajo vigilancia especial en un área donde no existía el padecimiento se considera también como brote.</w:t>
            </w:r>
          </w:p>
        </w:tc>
        <w:tc>
          <w:tcPr>
            <w:tcW w:w="4675" w:type="dxa"/>
          </w:tcPr>
          <w:p w14:paraId="5E621392" w14:textId="5BBBA463" w:rsidR="003E1BA9" w:rsidRPr="00F01347" w:rsidRDefault="003E1BA9"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3.4 Outbreak,</w:t>
            </w:r>
            <w:r w:rsidRPr="00F01347">
              <w:rPr>
                <w:rFonts w:ascii="Verdana" w:hAnsi="Verdana"/>
                <w:sz w:val="16"/>
                <w:szCs w:val="16"/>
                <w:lang w:val="en-US"/>
              </w:rPr>
              <w:t xml:space="preserve"> the occurrence of two or more cases epidemiologically associated with each other. The existence of a single case under special surveillance in an area where the disease did not exist is also considered an outbreak.</w:t>
            </w:r>
          </w:p>
        </w:tc>
      </w:tr>
      <w:tr w:rsidR="003E1BA9" w:rsidRPr="00F01347" w14:paraId="4D781A24" w14:textId="78D58B15" w:rsidTr="002444E4">
        <w:tc>
          <w:tcPr>
            <w:tcW w:w="4675" w:type="dxa"/>
          </w:tcPr>
          <w:p w14:paraId="4F06A86C" w14:textId="77777777" w:rsidR="003E1BA9" w:rsidRPr="00F01347" w:rsidRDefault="003E1BA9" w:rsidP="003E1BA9">
            <w:pPr>
              <w:pStyle w:val="texto0"/>
              <w:spacing w:line="223" w:lineRule="exact"/>
              <w:ind w:firstLine="0"/>
              <w:rPr>
                <w:rFonts w:ascii="Verdana" w:hAnsi="Verdana"/>
                <w:sz w:val="16"/>
                <w:szCs w:val="16"/>
                <w:lang w:val="es-ES_tradnl"/>
              </w:rPr>
            </w:pPr>
            <w:r w:rsidRPr="00F01347">
              <w:rPr>
                <w:rFonts w:ascii="Verdana" w:hAnsi="Verdana"/>
                <w:b/>
                <w:sz w:val="16"/>
                <w:szCs w:val="16"/>
                <w:lang w:val="es-ES_tradnl"/>
              </w:rPr>
              <w:t>3.5 Coliforme termotolerante</w:t>
            </w:r>
            <w:r w:rsidRPr="00F01347">
              <w:rPr>
                <w:rFonts w:ascii="Verdana" w:hAnsi="Verdana"/>
                <w:sz w:val="16"/>
                <w:szCs w:val="16"/>
                <w:lang w:val="es-ES_tradnl"/>
              </w:rPr>
              <w:t>, tradicionalmente llamados coliformes fecales, los cuales se identifican por su capacidad de fermentar la lactosa con producción de gas a 44.5°C en 24 h.</w:t>
            </w:r>
          </w:p>
        </w:tc>
        <w:tc>
          <w:tcPr>
            <w:tcW w:w="4675" w:type="dxa"/>
          </w:tcPr>
          <w:p w14:paraId="33459A44" w14:textId="7A3D2BC6" w:rsidR="003E1BA9" w:rsidRPr="00F01347" w:rsidRDefault="003E1BA9"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Thermotolerant coliform,</w:t>
            </w:r>
            <w:r w:rsidRPr="00F01347">
              <w:rPr>
                <w:rFonts w:ascii="Verdana" w:hAnsi="Verdana"/>
                <w:sz w:val="16"/>
                <w:szCs w:val="16"/>
                <w:lang w:val="en-US"/>
              </w:rPr>
              <w:t xml:space="preserve"> traditionally called fecal coliforms, which are identified by their ability to ferment lactose with gas production at 44.5°C in 24 hours.</w:t>
            </w:r>
          </w:p>
        </w:tc>
      </w:tr>
      <w:tr w:rsidR="003E1BA9" w:rsidRPr="00F01347" w14:paraId="092A0891" w14:textId="226382F4" w:rsidTr="002444E4">
        <w:tc>
          <w:tcPr>
            <w:tcW w:w="4675" w:type="dxa"/>
          </w:tcPr>
          <w:p w14:paraId="138FA7EE" w14:textId="77777777" w:rsidR="003E1BA9" w:rsidRPr="00F01347" w:rsidRDefault="003E1BA9" w:rsidP="003E1BA9">
            <w:pPr>
              <w:pStyle w:val="texto0"/>
              <w:spacing w:line="223" w:lineRule="exact"/>
              <w:ind w:firstLine="0"/>
              <w:rPr>
                <w:rFonts w:ascii="Verdana" w:hAnsi="Verdana"/>
                <w:sz w:val="16"/>
                <w:szCs w:val="16"/>
                <w:lang w:val="es-ES_tradnl"/>
              </w:rPr>
            </w:pPr>
            <w:r w:rsidRPr="00F01347">
              <w:rPr>
                <w:rFonts w:ascii="Verdana" w:hAnsi="Verdana"/>
                <w:b/>
                <w:sz w:val="16"/>
                <w:szCs w:val="16"/>
                <w:lang w:val="es-ES_tradnl"/>
              </w:rPr>
              <w:t xml:space="preserve">3.6 Compuestos orgánicos halogenados </w:t>
            </w:r>
            <w:proofErr w:type="spellStart"/>
            <w:r w:rsidRPr="00F01347">
              <w:rPr>
                <w:rFonts w:ascii="Verdana" w:hAnsi="Verdana"/>
                <w:b/>
                <w:sz w:val="16"/>
                <w:szCs w:val="16"/>
                <w:lang w:val="es-ES_tradnl"/>
              </w:rPr>
              <w:t>adsorbibles</w:t>
            </w:r>
            <w:proofErr w:type="spellEnd"/>
            <w:r w:rsidRPr="00F01347">
              <w:rPr>
                <w:rFonts w:ascii="Verdana" w:hAnsi="Verdana"/>
                <w:b/>
                <w:sz w:val="16"/>
                <w:szCs w:val="16"/>
                <w:lang w:val="es-ES_tradnl"/>
              </w:rPr>
              <w:t xml:space="preserve"> fijos, </w:t>
            </w:r>
            <w:r w:rsidRPr="00F01347">
              <w:rPr>
                <w:rFonts w:ascii="Verdana" w:hAnsi="Verdana"/>
                <w:sz w:val="16"/>
                <w:szCs w:val="16"/>
                <w:lang w:val="es-ES_tradnl"/>
              </w:rPr>
              <w:t>al grupo de parámetros analíticos que comprende compuestos orgánicos con halógenos que no son volátiles.</w:t>
            </w:r>
          </w:p>
        </w:tc>
        <w:tc>
          <w:tcPr>
            <w:tcW w:w="4675" w:type="dxa"/>
          </w:tcPr>
          <w:p w14:paraId="5EA394F8" w14:textId="01AF5313" w:rsidR="003E1BA9" w:rsidRPr="00F01347" w:rsidRDefault="00F01347"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3.6 Fixed</w:t>
            </w:r>
            <w:r w:rsidR="008C4483" w:rsidRPr="00F01347">
              <w:rPr>
                <w:rFonts w:ascii="Verdana" w:hAnsi="Verdana"/>
                <w:b/>
                <w:sz w:val="16"/>
                <w:szCs w:val="16"/>
                <w:lang w:val="en-US"/>
              </w:rPr>
              <w:t xml:space="preserve"> a</w:t>
            </w:r>
            <w:r w:rsidR="003E1BA9" w:rsidRPr="00F01347">
              <w:rPr>
                <w:rFonts w:ascii="Verdana" w:hAnsi="Verdana"/>
                <w:b/>
                <w:sz w:val="16"/>
                <w:szCs w:val="16"/>
                <w:lang w:val="en-US"/>
              </w:rPr>
              <w:t xml:space="preserve">dsorbable halogenated organic compounds, </w:t>
            </w:r>
            <w:r w:rsidR="003E1BA9" w:rsidRPr="00F01347">
              <w:rPr>
                <w:rFonts w:ascii="Verdana" w:hAnsi="Verdana"/>
                <w:sz w:val="16"/>
                <w:szCs w:val="16"/>
                <w:lang w:val="en-US"/>
              </w:rPr>
              <w:t>to the group of analytical parameters that includes organic compounds with halogens that are not volatile.</w:t>
            </w:r>
          </w:p>
        </w:tc>
      </w:tr>
      <w:tr w:rsidR="003E1BA9" w:rsidRPr="00F01347" w14:paraId="441EAFDC" w14:textId="328BB008" w:rsidTr="002444E4">
        <w:tc>
          <w:tcPr>
            <w:tcW w:w="4675" w:type="dxa"/>
          </w:tcPr>
          <w:p w14:paraId="2C975182" w14:textId="77777777" w:rsidR="003E1BA9" w:rsidRPr="00F01347" w:rsidRDefault="003E1BA9" w:rsidP="003E1BA9">
            <w:pPr>
              <w:pStyle w:val="texto0"/>
              <w:spacing w:line="223" w:lineRule="exact"/>
              <w:ind w:firstLine="0"/>
              <w:rPr>
                <w:rFonts w:ascii="Verdana" w:hAnsi="Verdana"/>
                <w:sz w:val="16"/>
                <w:szCs w:val="16"/>
                <w:lang w:val="es-ES_tradnl"/>
              </w:rPr>
            </w:pPr>
            <w:r w:rsidRPr="00F01347">
              <w:rPr>
                <w:rFonts w:ascii="Verdana" w:hAnsi="Verdana"/>
                <w:b/>
                <w:sz w:val="16"/>
                <w:szCs w:val="16"/>
                <w:lang w:val="es-ES_tradnl"/>
              </w:rPr>
              <w:t xml:space="preserve">3.7 Compuestos orgánicos halogenados </w:t>
            </w:r>
            <w:proofErr w:type="spellStart"/>
            <w:r w:rsidRPr="00F01347">
              <w:rPr>
                <w:rFonts w:ascii="Verdana" w:hAnsi="Verdana"/>
                <w:b/>
                <w:sz w:val="16"/>
                <w:szCs w:val="16"/>
                <w:lang w:val="es-ES_tradnl"/>
              </w:rPr>
              <w:t>adsorbibles</w:t>
            </w:r>
            <w:proofErr w:type="spellEnd"/>
            <w:r w:rsidRPr="00F01347">
              <w:rPr>
                <w:rFonts w:ascii="Verdana" w:hAnsi="Verdana"/>
                <w:b/>
                <w:sz w:val="16"/>
                <w:szCs w:val="16"/>
                <w:lang w:val="es-ES_tradnl"/>
              </w:rPr>
              <w:t xml:space="preserve"> purgables,</w:t>
            </w:r>
            <w:r w:rsidRPr="00F01347">
              <w:rPr>
                <w:rFonts w:ascii="Verdana" w:hAnsi="Verdana"/>
                <w:sz w:val="16"/>
                <w:szCs w:val="16"/>
                <w:lang w:val="es-ES_tradnl"/>
              </w:rPr>
              <w:t xml:space="preserve"> al grupo de parámetros analíticos que comprende compuestos orgánicos con halógenos que son volátiles.</w:t>
            </w:r>
          </w:p>
        </w:tc>
        <w:tc>
          <w:tcPr>
            <w:tcW w:w="4675" w:type="dxa"/>
          </w:tcPr>
          <w:p w14:paraId="33ECEEBC" w14:textId="09D5BC25" w:rsidR="003E1BA9" w:rsidRPr="00F01347" w:rsidRDefault="008C4483"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 xml:space="preserve">3.7 </w:t>
            </w:r>
            <w:r w:rsidR="00F01347" w:rsidRPr="00F01347">
              <w:rPr>
                <w:rFonts w:ascii="Verdana" w:hAnsi="Verdana"/>
                <w:b/>
                <w:sz w:val="16"/>
                <w:szCs w:val="16"/>
                <w:lang w:val="en-US"/>
              </w:rPr>
              <w:t>Purgeable</w:t>
            </w:r>
            <w:r w:rsidRPr="00F01347">
              <w:rPr>
                <w:rFonts w:ascii="Verdana" w:hAnsi="Verdana"/>
                <w:b/>
                <w:sz w:val="16"/>
                <w:szCs w:val="16"/>
                <w:lang w:val="en-US"/>
              </w:rPr>
              <w:t xml:space="preserve"> a</w:t>
            </w:r>
            <w:r w:rsidR="003E1BA9" w:rsidRPr="00F01347">
              <w:rPr>
                <w:rFonts w:ascii="Verdana" w:hAnsi="Verdana"/>
                <w:b/>
                <w:sz w:val="16"/>
                <w:szCs w:val="16"/>
                <w:lang w:val="en-US"/>
              </w:rPr>
              <w:t xml:space="preserve">dsorbable halogenated organic compounds, </w:t>
            </w:r>
            <w:r w:rsidR="003E1BA9" w:rsidRPr="00F01347">
              <w:rPr>
                <w:rFonts w:ascii="Verdana" w:hAnsi="Verdana"/>
                <w:sz w:val="16"/>
                <w:szCs w:val="16"/>
                <w:lang w:val="en-US"/>
              </w:rPr>
              <w:t>to the group of analytical parameters that includes organic compounds with halogens that are volatile.</w:t>
            </w:r>
          </w:p>
        </w:tc>
      </w:tr>
      <w:tr w:rsidR="003E1BA9" w:rsidRPr="00F01347" w14:paraId="7A19F5CA" w14:textId="5BF1CD69" w:rsidTr="002444E4">
        <w:tc>
          <w:tcPr>
            <w:tcW w:w="4675" w:type="dxa"/>
          </w:tcPr>
          <w:p w14:paraId="684D5746" w14:textId="77777777" w:rsidR="003E1BA9" w:rsidRPr="00F01347" w:rsidRDefault="003E1BA9" w:rsidP="003E1BA9">
            <w:pPr>
              <w:pStyle w:val="texto0"/>
              <w:spacing w:line="223" w:lineRule="exact"/>
              <w:ind w:firstLine="0"/>
              <w:rPr>
                <w:rFonts w:ascii="Verdana" w:hAnsi="Verdana"/>
                <w:sz w:val="16"/>
                <w:szCs w:val="16"/>
                <w:lang w:val="es-ES_tradnl"/>
              </w:rPr>
            </w:pPr>
            <w:r w:rsidRPr="00F01347">
              <w:rPr>
                <w:rFonts w:ascii="Verdana" w:hAnsi="Verdana"/>
                <w:b/>
                <w:sz w:val="16"/>
                <w:szCs w:val="16"/>
                <w:lang w:val="es-ES_tradnl"/>
              </w:rPr>
              <w:t xml:space="preserve">3.8 Compuestos orgánicos no halogenados, </w:t>
            </w:r>
            <w:r w:rsidRPr="00F01347">
              <w:rPr>
                <w:rFonts w:ascii="Verdana" w:hAnsi="Verdana"/>
                <w:sz w:val="16"/>
                <w:szCs w:val="16"/>
                <w:lang w:val="es-ES_tradnl"/>
              </w:rPr>
              <w:t xml:space="preserve">al grupo de parámetros analíticos que comprende compuestos orgánicos </w:t>
            </w:r>
            <w:proofErr w:type="spellStart"/>
            <w:r w:rsidRPr="00F01347">
              <w:rPr>
                <w:rFonts w:ascii="Verdana" w:hAnsi="Verdana"/>
                <w:sz w:val="16"/>
                <w:szCs w:val="16"/>
                <w:lang w:val="es-ES_tradnl"/>
              </w:rPr>
              <w:t>semivolátiles</w:t>
            </w:r>
            <w:proofErr w:type="spellEnd"/>
            <w:r w:rsidRPr="00F01347">
              <w:rPr>
                <w:rFonts w:ascii="Verdana" w:hAnsi="Verdana"/>
                <w:sz w:val="16"/>
                <w:szCs w:val="16"/>
                <w:lang w:val="es-ES_tradnl"/>
              </w:rPr>
              <w:t xml:space="preserve"> sin halógenos.</w:t>
            </w:r>
          </w:p>
        </w:tc>
        <w:tc>
          <w:tcPr>
            <w:tcW w:w="4675" w:type="dxa"/>
          </w:tcPr>
          <w:p w14:paraId="66622DA1" w14:textId="5B841F5A" w:rsidR="003E1BA9" w:rsidRPr="00F01347" w:rsidRDefault="003E1BA9"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 xml:space="preserve">3.8 </w:t>
            </w:r>
            <w:proofErr w:type="gramStart"/>
            <w:r w:rsidR="00F01347">
              <w:rPr>
                <w:rFonts w:ascii="Verdana" w:hAnsi="Verdana"/>
                <w:b/>
                <w:sz w:val="16"/>
                <w:szCs w:val="16"/>
                <w:lang w:val="en-US"/>
              </w:rPr>
              <w:t>N</w:t>
            </w:r>
            <w:r w:rsidR="00F01347" w:rsidRPr="00F01347">
              <w:rPr>
                <w:rFonts w:ascii="Verdana" w:hAnsi="Verdana"/>
                <w:b/>
                <w:sz w:val="16"/>
                <w:szCs w:val="16"/>
                <w:lang w:val="en-US"/>
              </w:rPr>
              <w:t>on-halogenated</w:t>
            </w:r>
            <w:proofErr w:type="gramEnd"/>
            <w:r w:rsidRPr="00F01347">
              <w:rPr>
                <w:rFonts w:ascii="Verdana" w:hAnsi="Verdana"/>
                <w:b/>
                <w:sz w:val="16"/>
                <w:szCs w:val="16"/>
                <w:lang w:val="en-US"/>
              </w:rPr>
              <w:t xml:space="preserve"> organic compounds, </w:t>
            </w:r>
            <w:r w:rsidRPr="00F01347">
              <w:rPr>
                <w:rFonts w:ascii="Verdana" w:hAnsi="Verdana"/>
                <w:sz w:val="16"/>
                <w:szCs w:val="16"/>
                <w:lang w:val="en-US"/>
              </w:rPr>
              <w:t>to the group of analytical parameters that includes semivolatile organic compounds without halogens.</w:t>
            </w:r>
          </w:p>
        </w:tc>
      </w:tr>
      <w:tr w:rsidR="003E1BA9" w:rsidRPr="00F01347" w14:paraId="357926FD" w14:textId="606C8974" w:rsidTr="002444E4">
        <w:tc>
          <w:tcPr>
            <w:tcW w:w="4675" w:type="dxa"/>
          </w:tcPr>
          <w:p w14:paraId="50F72CA9" w14:textId="77777777" w:rsidR="003E1BA9" w:rsidRPr="00F01347" w:rsidRDefault="003E1BA9" w:rsidP="003E1BA9">
            <w:pPr>
              <w:pStyle w:val="texto0"/>
              <w:spacing w:line="223" w:lineRule="exact"/>
              <w:ind w:firstLine="0"/>
              <w:rPr>
                <w:rFonts w:ascii="Verdana" w:hAnsi="Verdana"/>
                <w:b/>
                <w:sz w:val="16"/>
                <w:szCs w:val="16"/>
                <w:lang w:val="es-ES_tradnl"/>
              </w:rPr>
            </w:pPr>
            <w:r w:rsidRPr="00F01347">
              <w:rPr>
                <w:rFonts w:ascii="Verdana" w:hAnsi="Verdana"/>
                <w:b/>
                <w:sz w:val="16"/>
                <w:szCs w:val="16"/>
                <w:lang w:val="es-ES_tradnl"/>
              </w:rPr>
              <w:t xml:space="preserve">3.9 Desinfección, </w:t>
            </w:r>
            <w:r w:rsidRPr="00F01347">
              <w:rPr>
                <w:rFonts w:ascii="Verdana" w:hAnsi="Verdana"/>
                <w:sz w:val="16"/>
                <w:szCs w:val="16"/>
                <w:lang w:val="es-ES_tradnl"/>
              </w:rPr>
              <w:t>al proceso físico y/o químico utilizado para la eliminación, inactivación o destrucción de microorganismos patógenos en el agua.</w:t>
            </w:r>
          </w:p>
        </w:tc>
        <w:tc>
          <w:tcPr>
            <w:tcW w:w="4675" w:type="dxa"/>
          </w:tcPr>
          <w:p w14:paraId="3EE2045A" w14:textId="26B00F82" w:rsidR="003E1BA9" w:rsidRPr="00F01347" w:rsidRDefault="003E1BA9"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 xml:space="preserve">3.9 Disinfection, </w:t>
            </w:r>
            <w:r w:rsidRPr="00F01347">
              <w:rPr>
                <w:rFonts w:ascii="Verdana" w:hAnsi="Verdana"/>
                <w:sz w:val="16"/>
                <w:szCs w:val="16"/>
                <w:lang w:val="en-US"/>
              </w:rPr>
              <w:t xml:space="preserve">the physical and/or chemical process used for the elimination, </w:t>
            </w:r>
            <w:r w:rsidR="00C874C6" w:rsidRPr="00F01347">
              <w:rPr>
                <w:rFonts w:ascii="Verdana" w:hAnsi="Verdana"/>
                <w:sz w:val="16"/>
                <w:szCs w:val="16"/>
                <w:lang w:val="en-US"/>
              </w:rPr>
              <w:t>inactivation,</w:t>
            </w:r>
            <w:r w:rsidRPr="00F01347">
              <w:rPr>
                <w:rFonts w:ascii="Verdana" w:hAnsi="Verdana"/>
                <w:sz w:val="16"/>
                <w:szCs w:val="16"/>
                <w:lang w:val="en-US"/>
              </w:rPr>
              <w:t xml:space="preserve"> or destruction of pathogenic microorganisms in water.</w:t>
            </w:r>
          </w:p>
        </w:tc>
      </w:tr>
      <w:tr w:rsidR="003E1BA9" w:rsidRPr="00F01347" w14:paraId="48EAD043" w14:textId="48A671C7" w:rsidTr="002444E4">
        <w:tc>
          <w:tcPr>
            <w:tcW w:w="4675" w:type="dxa"/>
          </w:tcPr>
          <w:p w14:paraId="03D9785A" w14:textId="77777777" w:rsidR="003E1BA9" w:rsidRPr="00F01347" w:rsidRDefault="003E1BA9" w:rsidP="003E1BA9">
            <w:pPr>
              <w:pStyle w:val="texto0"/>
              <w:spacing w:line="223" w:lineRule="exact"/>
              <w:ind w:firstLine="0"/>
              <w:rPr>
                <w:rFonts w:ascii="Verdana" w:hAnsi="Verdana"/>
                <w:sz w:val="16"/>
                <w:szCs w:val="16"/>
                <w:lang w:val="es-ES"/>
              </w:rPr>
            </w:pPr>
            <w:r w:rsidRPr="00F01347">
              <w:rPr>
                <w:rFonts w:ascii="Verdana" w:hAnsi="Verdana"/>
                <w:b/>
                <w:sz w:val="16"/>
                <w:szCs w:val="16"/>
                <w:lang w:val="es-ES_tradnl"/>
              </w:rPr>
              <w:t xml:space="preserve">3.10 </w:t>
            </w:r>
            <w:r w:rsidRPr="00F01347">
              <w:rPr>
                <w:rFonts w:ascii="Verdana" w:hAnsi="Verdana"/>
                <w:b/>
                <w:sz w:val="16"/>
                <w:szCs w:val="16"/>
                <w:lang w:val="es-ES"/>
              </w:rPr>
              <w:t>Emergencia,</w:t>
            </w:r>
            <w:r w:rsidRPr="00F01347">
              <w:rPr>
                <w:rFonts w:ascii="Verdana" w:hAnsi="Verdana"/>
                <w:sz w:val="16"/>
                <w:szCs w:val="16"/>
                <w:lang w:val="es-ES"/>
              </w:rPr>
              <w:t xml:space="preserve"> a cualquier incidente o accidente en los componentes del sistema de abastecimiento de agua, que dé lugar a alteraciones en la calidad del agua que represente un riesgo a la salud de la población.</w:t>
            </w:r>
          </w:p>
        </w:tc>
        <w:tc>
          <w:tcPr>
            <w:tcW w:w="4675" w:type="dxa"/>
          </w:tcPr>
          <w:p w14:paraId="3467B3F7" w14:textId="684E047B" w:rsidR="003E1BA9" w:rsidRPr="00F01347" w:rsidRDefault="003E1BA9"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 xml:space="preserve">3.10 Emergency, </w:t>
            </w:r>
            <w:r w:rsidRPr="00F01347">
              <w:rPr>
                <w:rFonts w:ascii="Verdana" w:hAnsi="Verdana"/>
                <w:sz w:val="16"/>
                <w:szCs w:val="16"/>
                <w:lang w:val="en-US"/>
              </w:rPr>
              <w:t>any incident or accident in the components of the water supply system, which gives rise to alterations in the quality of the water that represents a risk to the health of the population.</w:t>
            </w:r>
          </w:p>
        </w:tc>
      </w:tr>
      <w:tr w:rsidR="003E1BA9" w:rsidRPr="00F01347" w14:paraId="267CDF9D" w14:textId="304ACB46" w:rsidTr="002444E4">
        <w:tc>
          <w:tcPr>
            <w:tcW w:w="4675" w:type="dxa"/>
          </w:tcPr>
          <w:p w14:paraId="734483B0" w14:textId="77777777" w:rsidR="003E1BA9" w:rsidRPr="00F01347" w:rsidRDefault="003E1BA9" w:rsidP="003E1BA9">
            <w:pPr>
              <w:pStyle w:val="texto0"/>
              <w:spacing w:line="223" w:lineRule="exact"/>
              <w:ind w:firstLine="0"/>
              <w:rPr>
                <w:rFonts w:ascii="Verdana" w:hAnsi="Verdana"/>
                <w:sz w:val="16"/>
                <w:szCs w:val="16"/>
                <w:lang w:val="es-ES_tradnl"/>
              </w:rPr>
            </w:pPr>
            <w:r w:rsidRPr="00F01347">
              <w:rPr>
                <w:rFonts w:ascii="Verdana" w:hAnsi="Verdana"/>
                <w:b/>
                <w:sz w:val="16"/>
                <w:szCs w:val="16"/>
                <w:lang w:val="es-ES_tradnl"/>
              </w:rPr>
              <w:t>3.11 Límite permisible,</w:t>
            </w:r>
            <w:r w:rsidRPr="00F01347">
              <w:rPr>
                <w:rFonts w:ascii="Verdana" w:hAnsi="Verdana"/>
                <w:sz w:val="16"/>
                <w:szCs w:val="16"/>
                <w:lang w:val="es-ES_tradnl"/>
              </w:rPr>
              <w:t xml:space="preserve"> al valor máximo o intervalo de valores establecidos para los parámetros físicos, químicos, microbiológicos o radiactivos, que no deben excederse en el agua para uso y consumo humano.</w:t>
            </w:r>
          </w:p>
        </w:tc>
        <w:tc>
          <w:tcPr>
            <w:tcW w:w="4675" w:type="dxa"/>
          </w:tcPr>
          <w:p w14:paraId="406514FF" w14:textId="6CB1110D" w:rsidR="003E1BA9" w:rsidRPr="00F01347" w:rsidRDefault="003E1BA9"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 xml:space="preserve">3.11 Permissible limit, </w:t>
            </w:r>
            <w:r w:rsidRPr="00F01347">
              <w:rPr>
                <w:rFonts w:ascii="Verdana" w:hAnsi="Verdana"/>
                <w:sz w:val="16"/>
                <w:szCs w:val="16"/>
                <w:lang w:val="en-US"/>
              </w:rPr>
              <w:t xml:space="preserve">the maximum value or range of values established for physical, chemical, </w:t>
            </w:r>
            <w:r w:rsidR="00C874C6" w:rsidRPr="00F01347">
              <w:rPr>
                <w:rFonts w:ascii="Verdana" w:hAnsi="Verdana"/>
                <w:sz w:val="16"/>
                <w:szCs w:val="16"/>
                <w:lang w:val="en-US"/>
              </w:rPr>
              <w:t>microbiological,</w:t>
            </w:r>
            <w:r w:rsidRPr="00F01347">
              <w:rPr>
                <w:rFonts w:ascii="Verdana" w:hAnsi="Verdana"/>
                <w:sz w:val="16"/>
                <w:szCs w:val="16"/>
                <w:lang w:val="en-US"/>
              </w:rPr>
              <w:t xml:space="preserve"> or radioactive parameters, which should not be exceeded in water for human use and consumption.</w:t>
            </w:r>
          </w:p>
        </w:tc>
      </w:tr>
      <w:tr w:rsidR="003E1BA9" w:rsidRPr="00F01347" w14:paraId="25E92A58" w14:textId="705A3F80" w:rsidTr="002444E4">
        <w:tc>
          <w:tcPr>
            <w:tcW w:w="4675" w:type="dxa"/>
          </w:tcPr>
          <w:p w14:paraId="1F9B5A6F" w14:textId="77777777" w:rsidR="003E1BA9" w:rsidRPr="00F01347" w:rsidRDefault="003E1BA9" w:rsidP="003E1BA9">
            <w:pPr>
              <w:pStyle w:val="texto0"/>
              <w:spacing w:line="223" w:lineRule="exact"/>
              <w:ind w:firstLine="0"/>
              <w:rPr>
                <w:rFonts w:ascii="Verdana" w:hAnsi="Verdana"/>
                <w:sz w:val="16"/>
                <w:szCs w:val="16"/>
              </w:rPr>
            </w:pPr>
            <w:r w:rsidRPr="00F01347">
              <w:rPr>
                <w:rFonts w:ascii="Verdana" w:hAnsi="Verdana"/>
                <w:b/>
                <w:sz w:val="16"/>
                <w:szCs w:val="16"/>
              </w:rPr>
              <w:t xml:space="preserve">3.12 Método de prueba, </w:t>
            </w:r>
            <w:r w:rsidRPr="00F01347">
              <w:rPr>
                <w:rFonts w:ascii="Verdana" w:hAnsi="Verdana"/>
                <w:sz w:val="16"/>
                <w:szCs w:val="16"/>
              </w:rPr>
              <w:t>al procedimiento analítico utilizado en el laboratorio para comprobar que el agua satisface las especificaciones de esta Norma.</w:t>
            </w:r>
          </w:p>
        </w:tc>
        <w:tc>
          <w:tcPr>
            <w:tcW w:w="4675" w:type="dxa"/>
          </w:tcPr>
          <w:p w14:paraId="5142FE42" w14:textId="19093CD0" w:rsidR="003E1BA9" w:rsidRPr="00F01347" w:rsidRDefault="003E1BA9" w:rsidP="003E1BA9">
            <w:pPr>
              <w:pStyle w:val="texto0"/>
              <w:spacing w:line="223" w:lineRule="exact"/>
              <w:ind w:firstLine="0"/>
              <w:rPr>
                <w:rFonts w:ascii="Verdana" w:hAnsi="Verdana"/>
                <w:b/>
                <w:sz w:val="16"/>
                <w:szCs w:val="16"/>
                <w:lang w:val="en-US"/>
              </w:rPr>
            </w:pPr>
            <w:r w:rsidRPr="00F01347">
              <w:rPr>
                <w:rFonts w:ascii="Verdana" w:hAnsi="Verdana"/>
                <w:b/>
                <w:sz w:val="16"/>
                <w:szCs w:val="16"/>
                <w:lang w:val="en-US"/>
              </w:rPr>
              <w:t xml:space="preserve">3.12 Test method, </w:t>
            </w:r>
            <w:r w:rsidRPr="00F01347">
              <w:rPr>
                <w:rFonts w:ascii="Verdana" w:hAnsi="Verdana"/>
                <w:sz w:val="16"/>
                <w:szCs w:val="16"/>
                <w:lang w:val="en-US"/>
              </w:rPr>
              <w:t>the analytical procedure used in the laboratory to verify that the water meets the specifications of this Standard.</w:t>
            </w:r>
          </w:p>
        </w:tc>
      </w:tr>
      <w:tr w:rsidR="003E1BA9" w:rsidRPr="00F01347" w14:paraId="0C4DB56E" w14:textId="78F51C71" w:rsidTr="002444E4">
        <w:tc>
          <w:tcPr>
            <w:tcW w:w="4675" w:type="dxa"/>
          </w:tcPr>
          <w:p w14:paraId="7D0A3986" w14:textId="77777777" w:rsidR="003E1BA9" w:rsidRPr="00F01347" w:rsidRDefault="003E1BA9" w:rsidP="003E1BA9">
            <w:pPr>
              <w:pStyle w:val="texto0"/>
              <w:spacing w:line="220" w:lineRule="exact"/>
              <w:ind w:firstLine="0"/>
              <w:rPr>
                <w:rFonts w:ascii="Verdana" w:hAnsi="Verdana"/>
                <w:sz w:val="16"/>
                <w:szCs w:val="16"/>
                <w:lang w:val="es-ES_tradnl"/>
              </w:rPr>
            </w:pPr>
            <w:r w:rsidRPr="00F01347">
              <w:rPr>
                <w:rFonts w:ascii="Verdana" w:hAnsi="Verdana"/>
                <w:b/>
                <w:sz w:val="16"/>
                <w:szCs w:val="16"/>
                <w:lang w:val="es-ES_tradnl"/>
              </w:rPr>
              <w:t>3.13 Organismo responsable,</w:t>
            </w:r>
            <w:r w:rsidRPr="00F01347">
              <w:rPr>
                <w:rFonts w:ascii="Verdana" w:hAnsi="Verdana"/>
                <w:sz w:val="16"/>
                <w:szCs w:val="16"/>
                <w:lang w:val="es-ES_tradnl"/>
              </w:rPr>
              <w:t xml:space="preserve"> </w:t>
            </w:r>
            <w:r w:rsidRPr="00F01347">
              <w:rPr>
                <w:rFonts w:ascii="Verdana" w:hAnsi="Verdana"/>
                <w:sz w:val="16"/>
                <w:szCs w:val="16"/>
              </w:rPr>
              <w:t xml:space="preserve">a la instancia encargada de operar, mantener y administrar el sistema de abastecimiento de agua con el fin de asegurar y preservar la calidad del agua que se entrega al consumidor por los sistemas de abastecimiento de agua públicos y privados, estableciendo un eficaz control sanitario del agua sometiéndola a tratamientos </w:t>
            </w:r>
            <w:r w:rsidRPr="00F01347">
              <w:rPr>
                <w:rFonts w:ascii="Verdana" w:hAnsi="Verdana"/>
                <w:sz w:val="16"/>
                <w:szCs w:val="16"/>
              </w:rPr>
              <w:lastRenderedPageBreak/>
              <w:t>de potabilización a efecto de hacerla y mantenerla apta para uso y consumo humano.</w:t>
            </w:r>
          </w:p>
        </w:tc>
        <w:tc>
          <w:tcPr>
            <w:tcW w:w="4675" w:type="dxa"/>
          </w:tcPr>
          <w:p w14:paraId="6E51067F" w14:textId="4EA49968" w:rsidR="003E1BA9" w:rsidRPr="00F01347" w:rsidRDefault="003E1BA9" w:rsidP="003E1BA9">
            <w:pPr>
              <w:pStyle w:val="texto0"/>
              <w:spacing w:line="220" w:lineRule="exact"/>
              <w:ind w:firstLine="0"/>
              <w:rPr>
                <w:rFonts w:ascii="Verdana" w:hAnsi="Verdana"/>
                <w:b/>
                <w:sz w:val="16"/>
                <w:szCs w:val="16"/>
                <w:lang w:val="en-US"/>
              </w:rPr>
            </w:pPr>
            <w:r w:rsidRPr="00F01347">
              <w:rPr>
                <w:rFonts w:ascii="Verdana" w:hAnsi="Verdana"/>
                <w:b/>
                <w:sz w:val="16"/>
                <w:szCs w:val="16"/>
                <w:lang w:val="en-US"/>
              </w:rPr>
              <w:lastRenderedPageBreak/>
              <w:t>3.13 Responsible body,</w:t>
            </w:r>
            <w:r w:rsidRPr="00F01347">
              <w:rPr>
                <w:rFonts w:ascii="Verdana" w:hAnsi="Verdana"/>
                <w:sz w:val="16"/>
                <w:szCs w:val="16"/>
                <w:lang w:val="en-US"/>
              </w:rPr>
              <w:t xml:space="preserve"> to the entity in charge of operating, </w:t>
            </w:r>
            <w:r w:rsidR="00C874C6" w:rsidRPr="00F01347">
              <w:rPr>
                <w:rFonts w:ascii="Verdana" w:hAnsi="Verdana"/>
                <w:sz w:val="16"/>
                <w:szCs w:val="16"/>
                <w:lang w:val="en-US"/>
              </w:rPr>
              <w:t>maintaining,</w:t>
            </w:r>
            <w:r w:rsidRPr="00F01347">
              <w:rPr>
                <w:rFonts w:ascii="Verdana" w:hAnsi="Verdana"/>
                <w:sz w:val="16"/>
                <w:szCs w:val="16"/>
                <w:lang w:val="en-US"/>
              </w:rPr>
              <w:t xml:space="preserve"> and managing the water supply system </w:t>
            </w: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ensure and preserve the quality of the water delivered to the consumer by public and private water supply systems, establishing effective sanitary control of the water</w:t>
            </w:r>
            <w:r w:rsidR="002E4568" w:rsidRPr="00F01347">
              <w:rPr>
                <w:rFonts w:ascii="Verdana" w:hAnsi="Verdana"/>
                <w:sz w:val="16"/>
                <w:szCs w:val="16"/>
                <w:lang w:val="en-US"/>
              </w:rPr>
              <w:t>,</w:t>
            </w:r>
            <w:r w:rsidRPr="00F01347">
              <w:rPr>
                <w:rFonts w:ascii="Verdana" w:hAnsi="Verdana"/>
                <w:sz w:val="16"/>
                <w:szCs w:val="16"/>
                <w:lang w:val="en-US"/>
              </w:rPr>
              <w:t xml:space="preserve"> subjecting it to purification treatments in order to make it</w:t>
            </w:r>
            <w:r w:rsidR="002E4568" w:rsidRPr="00F01347">
              <w:rPr>
                <w:rFonts w:ascii="Verdana" w:hAnsi="Verdana"/>
                <w:sz w:val="16"/>
                <w:szCs w:val="16"/>
                <w:lang w:val="en-US"/>
              </w:rPr>
              <w:t xml:space="preserve"> suitable</w:t>
            </w:r>
            <w:r w:rsidRPr="00F01347">
              <w:rPr>
                <w:rFonts w:ascii="Verdana" w:hAnsi="Verdana"/>
                <w:sz w:val="16"/>
                <w:szCs w:val="16"/>
                <w:lang w:val="en-US"/>
              </w:rPr>
              <w:t xml:space="preserve"> and keep it suitable for human use and consumption.</w:t>
            </w:r>
          </w:p>
        </w:tc>
      </w:tr>
      <w:tr w:rsidR="003E1BA9" w:rsidRPr="00F01347" w14:paraId="5D80BCE8" w14:textId="289D775B" w:rsidTr="002444E4">
        <w:tc>
          <w:tcPr>
            <w:tcW w:w="4675" w:type="dxa"/>
          </w:tcPr>
          <w:p w14:paraId="1C35F83B" w14:textId="77777777" w:rsidR="003E1BA9" w:rsidRPr="00F01347" w:rsidRDefault="003E1BA9" w:rsidP="003E1BA9">
            <w:pPr>
              <w:pStyle w:val="texto0"/>
              <w:spacing w:line="220" w:lineRule="exact"/>
              <w:ind w:firstLine="0"/>
              <w:rPr>
                <w:rFonts w:ascii="Verdana" w:hAnsi="Verdana"/>
                <w:sz w:val="16"/>
                <w:szCs w:val="16"/>
                <w:lang w:val="es-ES_tradnl"/>
              </w:rPr>
            </w:pPr>
            <w:r w:rsidRPr="00F01347">
              <w:rPr>
                <w:rFonts w:ascii="Verdana" w:hAnsi="Verdana"/>
                <w:b/>
                <w:sz w:val="16"/>
                <w:szCs w:val="16"/>
                <w:lang w:val="es-ES_tradnl"/>
              </w:rPr>
              <w:t xml:space="preserve">3.14 Potabilización, </w:t>
            </w:r>
            <w:r w:rsidRPr="00F01347">
              <w:rPr>
                <w:rFonts w:ascii="Verdana" w:hAnsi="Verdana"/>
                <w:sz w:val="16"/>
                <w:szCs w:val="16"/>
                <w:lang w:val="es-ES_tradnl"/>
              </w:rPr>
              <w:t>al conjunto de operaciones y procesos, físicos, químicos y biológicos que se aplican al agua en los sistemas de abastecimiento de agua, a fin de hacerla apta para uso y consumo humano.</w:t>
            </w:r>
          </w:p>
        </w:tc>
        <w:tc>
          <w:tcPr>
            <w:tcW w:w="4675" w:type="dxa"/>
          </w:tcPr>
          <w:p w14:paraId="3BF8B6D9" w14:textId="68E63140" w:rsidR="003E1BA9" w:rsidRPr="00F01347" w:rsidRDefault="003E1BA9" w:rsidP="003E1BA9">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3.14 Purification, </w:t>
            </w:r>
            <w:r w:rsidRPr="00F01347">
              <w:rPr>
                <w:rFonts w:ascii="Verdana" w:hAnsi="Verdana"/>
                <w:sz w:val="16"/>
                <w:szCs w:val="16"/>
                <w:lang w:val="en-US"/>
              </w:rPr>
              <w:t xml:space="preserve">the set of physical, </w:t>
            </w:r>
            <w:r w:rsidR="002E4568" w:rsidRPr="00F01347">
              <w:rPr>
                <w:rFonts w:ascii="Verdana" w:hAnsi="Verdana"/>
                <w:sz w:val="16"/>
                <w:szCs w:val="16"/>
                <w:lang w:val="en-US"/>
              </w:rPr>
              <w:t>chemical,</w:t>
            </w:r>
            <w:r w:rsidRPr="00F01347">
              <w:rPr>
                <w:rFonts w:ascii="Verdana" w:hAnsi="Verdana"/>
                <w:sz w:val="16"/>
                <w:szCs w:val="16"/>
                <w:lang w:val="en-US"/>
              </w:rPr>
              <w:t xml:space="preserve"> and biological operations and processes that are applied to water in water supply systems, </w:t>
            </w: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make it suitable for human use and consumption.</w:t>
            </w:r>
          </w:p>
        </w:tc>
      </w:tr>
      <w:tr w:rsidR="003E1BA9" w:rsidRPr="00F01347" w14:paraId="4A6302E0" w14:textId="7E1A2040" w:rsidTr="002444E4">
        <w:tc>
          <w:tcPr>
            <w:tcW w:w="4675" w:type="dxa"/>
          </w:tcPr>
          <w:p w14:paraId="2EDC0971" w14:textId="77777777" w:rsidR="003E1BA9" w:rsidRPr="00F01347" w:rsidRDefault="003E1BA9" w:rsidP="003E1BA9">
            <w:pPr>
              <w:pStyle w:val="texto0"/>
              <w:spacing w:after="86" w:line="220" w:lineRule="exact"/>
              <w:ind w:firstLine="0"/>
              <w:rPr>
                <w:rFonts w:ascii="Verdana" w:hAnsi="Verdana"/>
                <w:sz w:val="16"/>
                <w:szCs w:val="16"/>
                <w:lang w:val="es-ES_tradnl"/>
              </w:rPr>
            </w:pPr>
            <w:r w:rsidRPr="00F01347">
              <w:rPr>
                <w:rFonts w:ascii="Verdana" w:hAnsi="Verdana"/>
                <w:b/>
                <w:sz w:val="16"/>
                <w:szCs w:val="16"/>
                <w:lang w:val="es-ES_tradnl"/>
              </w:rPr>
              <w:t xml:space="preserve">3.15 Sistema de abastecimiento de agua, </w:t>
            </w:r>
            <w:r w:rsidRPr="00F01347">
              <w:rPr>
                <w:rFonts w:ascii="Verdana" w:hAnsi="Verdana"/>
                <w:sz w:val="16"/>
                <w:szCs w:val="16"/>
                <w:lang w:val="es-ES_tradnl"/>
              </w:rPr>
              <w:t>al conjunto intercomunicado o interconectado de fuentes, obras de captación, plantas potabilizadoras, tanques de almacenamiento y regulación, líneas de conducción y distribución, incluyendo vehículo cisterna que abastece de agua para uso y consumo humano, sean de propiedad pública o privada.</w:t>
            </w:r>
          </w:p>
        </w:tc>
        <w:tc>
          <w:tcPr>
            <w:tcW w:w="4675" w:type="dxa"/>
          </w:tcPr>
          <w:p w14:paraId="4B54344E" w14:textId="612A2697" w:rsidR="003E1BA9" w:rsidRPr="00F01347" w:rsidRDefault="003E1BA9" w:rsidP="003E1BA9">
            <w:pPr>
              <w:pStyle w:val="texto0"/>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3.15 Water supply system, </w:t>
            </w:r>
            <w:r w:rsidRPr="00F01347">
              <w:rPr>
                <w:rFonts w:ascii="Verdana" w:hAnsi="Verdana"/>
                <w:sz w:val="16"/>
                <w:szCs w:val="16"/>
                <w:lang w:val="en-US"/>
              </w:rPr>
              <w:t xml:space="preserve">the interconnected or interconnected set of sources, collection works, water treatment plants, storage and regulation tanks, </w:t>
            </w:r>
            <w:r w:rsidR="002B0A0E" w:rsidRPr="00F01347">
              <w:rPr>
                <w:rFonts w:ascii="Verdana" w:hAnsi="Verdana"/>
                <w:sz w:val="16"/>
                <w:szCs w:val="16"/>
                <w:lang w:val="en-US"/>
              </w:rPr>
              <w:t>conduction,</w:t>
            </w:r>
            <w:r w:rsidRPr="00F01347">
              <w:rPr>
                <w:rFonts w:ascii="Verdana" w:hAnsi="Verdana"/>
                <w:sz w:val="16"/>
                <w:szCs w:val="16"/>
                <w:lang w:val="en-US"/>
              </w:rPr>
              <w:t xml:space="preserve"> and distribution lines, including tanker vehicles that supply water for human use and consumption, are owned public or private.</w:t>
            </w:r>
          </w:p>
        </w:tc>
      </w:tr>
      <w:tr w:rsidR="003E1BA9" w:rsidRPr="00F01347" w14:paraId="5D88FAF6" w14:textId="2282323E" w:rsidTr="002444E4">
        <w:tc>
          <w:tcPr>
            <w:tcW w:w="4675" w:type="dxa"/>
          </w:tcPr>
          <w:p w14:paraId="53722883" w14:textId="77777777" w:rsidR="003E1BA9" w:rsidRPr="00F01347" w:rsidRDefault="003E1BA9" w:rsidP="003E1BA9">
            <w:pPr>
              <w:pStyle w:val="texto0"/>
              <w:spacing w:after="86" w:line="220" w:lineRule="exact"/>
              <w:ind w:firstLine="0"/>
              <w:rPr>
                <w:rFonts w:ascii="Verdana" w:hAnsi="Verdana"/>
                <w:b/>
                <w:sz w:val="16"/>
                <w:szCs w:val="16"/>
                <w:lang w:val="es-ES_tradnl"/>
              </w:rPr>
            </w:pPr>
            <w:r w:rsidRPr="00F01347">
              <w:rPr>
                <w:rFonts w:ascii="Verdana" w:hAnsi="Verdana"/>
                <w:b/>
                <w:sz w:val="16"/>
                <w:szCs w:val="16"/>
                <w:lang w:val="es-ES_tradnl"/>
              </w:rPr>
              <w:t>4. Símbolos y términos abreviados</w:t>
            </w:r>
          </w:p>
        </w:tc>
        <w:tc>
          <w:tcPr>
            <w:tcW w:w="4675" w:type="dxa"/>
          </w:tcPr>
          <w:p w14:paraId="77CE3B1A" w14:textId="7FE71852" w:rsidR="003E1BA9" w:rsidRPr="00F01347" w:rsidRDefault="003E1BA9" w:rsidP="003E1BA9">
            <w:pPr>
              <w:pStyle w:val="texto0"/>
              <w:spacing w:after="86" w:line="220" w:lineRule="exact"/>
              <w:ind w:firstLine="0"/>
              <w:rPr>
                <w:rFonts w:ascii="Verdana" w:hAnsi="Verdana"/>
                <w:b/>
                <w:sz w:val="16"/>
                <w:szCs w:val="16"/>
                <w:lang w:val="en-US"/>
              </w:rPr>
            </w:pPr>
            <w:r w:rsidRPr="00F01347">
              <w:rPr>
                <w:rFonts w:ascii="Verdana" w:hAnsi="Verdana"/>
                <w:b/>
                <w:sz w:val="16"/>
                <w:szCs w:val="16"/>
                <w:lang w:val="en-US"/>
              </w:rPr>
              <w:t>4. Symbols and abbreviated terms</w:t>
            </w:r>
          </w:p>
        </w:tc>
      </w:tr>
      <w:tr w:rsidR="003E1BA9" w:rsidRPr="00F01347" w14:paraId="75EDB698" w14:textId="7D7AC72C" w:rsidTr="002444E4">
        <w:tc>
          <w:tcPr>
            <w:tcW w:w="4675" w:type="dxa"/>
          </w:tcPr>
          <w:p w14:paraId="6B10933F" w14:textId="77777777" w:rsidR="003E1BA9" w:rsidRPr="00F01347" w:rsidRDefault="003E1BA9" w:rsidP="003E1BA9">
            <w:pPr>
              <w:pStyle w:val="texto0"/>
              <w:spacing w:after="86" w:line="220" w:lineRule="exact"/>
              <w:ind w:firstLine="0"/>
              <w:rPr>
                <w:rFonts w:ascii="Verdana" w:hAnsi="Verdana"/>
                <w:sz w:val="16"/>
                <w:szCs w:val="16"/>
                <w:lang w:val="es-ES_tradnl"/>
              </w:rPr>
            </w:pPr>
            <w:r w:rsidRPr="00F01347">
              <w:rPr>
                <w:rFonts w:ascii="Verdana" w:hAnsi="Verdana"/>
                <w:sz w:val="16"/>
                <w:szCs w:val="16"/>
                <w:lang w:val="es-ES_tradnl"/>
              </w:rPr>
              <w:t>Cuando en esta Norma se haga referencia a los siguientes símbolos y abreviaturas, se entiende por:</w:t>
            </w:r>
          </w:p>
        </w:tc>
        <w:tc>
          <w:tcPr>
            <w:tcW w:w="4675" w:type="dxa"/>
          </w:tcPr>
          <w:p w14:paraId="6A37E7AE" w14:textId="5F9D1146" w:rsidR="003E1BA9" w:rsidRPr="00F01347" w:rsidRDefault="003E1BA9" w:rsidP="003E1BA9">
            <w:pPr>
              <w:pStyle w:val="texto0"/>
              <w:spacing w:after="86" w:line="220" w:lineRule="exact"/>
              <w:ind w:firstLine="0"/>
              <w:rPr>
                <w:rFonts w:ascii="Verdana" w:hAnsi="Verdana"/>
                <w:sz w:val="16"/>
                <w:szCs w:val="16"/>
                <w:lang w:val="en-US"/>
              </w:rPr>
            </w:pPr>
            <w:r w:rsidRPr="00F01347">
              <w:rPr>
                <w:rFonts w:ascii="Verdana" w:hAnsi="Verdana"/>
                <w:sz w:val="16"/>
                <w:szCs w:val="16"/>
                <w:lang w:val="en-US"/>
              </w:rPr>
              <w:t>When reference is made to the following symbols and abbreviations in this Standard, it is understood as:</w:t>
            </w:r>
          </w:p>
        </w:tc>
      </w:tr>
      <w:tr w:rsidR="003E1BA9" w:rsidRPr="00F01347" w14:paraId="25524CE2" w14:textId="477B61BE" w:rsidTr="002444E4">
        <w:tc>
          <w:tcPr>
            <w:tcW w:w="4675" w:type="dxa"/>
          </w:tcPr>
          <w:p w14:paraId="3B82D5D6" w14:textId="77777777" w:rsidR="003E1BA9" w:rsidRPr="00F01347" w:rsidRDefault="003E1BA9" w:rsidP="003E1BA9">
            <w:pPr>
              <w:pStyle w:val="texto0"/>
              <w:tabs>
                <w:tab w:val="left" w:pos="900"/>
              </w:tabs>
              <w:spacing w:after="86" w:line="220" w:lineRule="exact"/>
              <w:ind w:firstLine="0"/>
              <w:rPr>
                <w:rFonts w:ascii="Verdana" w:hAnsi="Verdana"/>
                <w:sz w:val="16"/>
                <w:szCs w:val="16"/>
              </w:rPr>
            </w:pPr>
            <w:r w:rsidRPr="00F01347">
              <w:rPr>
                <w:rFonts w:ascii="Verdana" w:hAnsi="Verdana"/>
                <w:b/>
                <w:sz w:val="16"/>
                <w:szCs w:val="16"/>
                <w:lang w:val="es-ES_tradnl"/>
              </w:rPr>
              <w:t>4.1</w:t>
            </w:r>
            <w:r w:rsidRPr="00F01347">
              <w:rPr>
                <w:rFonts w:ascii="Verdana" w:hAnsi="Verdana"/>
                <w:sz w:val="16"/>
                <w:szCs w:val="16"/>
                <w:lang w:val="es-ES_tradnl"/>
              </w:rPr>
              <w:tab/>
            </w:r>
            <w:r w:rsidRPr="00F01347">
              <w:rPr>
                <w:rFonts w:ascii="Verdana" w:hAnsi="Verdana"/>
                <w:sz w:val="16"/>
                <w:szCs w:val="16"/>
              </w:rPr>
              <w:t>Bq</w:t>
            </w:r>
            <w:r w:rsidRPr="00F01347">
              <w:rPr>
                <w:rFonts w:ascii="Verdana" w:hAnsi="Verdana"/>
                <w:sz w:val="16"/>
                <w:szCs w:val="16"/>
              </w:rPr>
              <w:tab/>
              <w:t>becquerel</w:t>
            </w:r>
          </w:p>
        </w:tc>
        <w:tc>
          <w:tcPr>
            <w:tcW w:w="4675" w:type="dxa"/>
          </w:tcPr>
          <w:p w14:paraId="6361A2F8" w14:textId="27ACA4A4"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4.1 </w:t>
            </w:r>
            <w:r w:rsidRPr="00F01347">
              <w:rPr>
                <w:rFonts w:ascii="Verdana" w:hAnsi="Verdana"/>
                <w:sz w:val="16"/>
                <w:szCs w:val="16"/>
                <w:lang w:val="en-US"/>
              </w:rPr>
              <w:tab/>
            </w:r>
            <w:proofErr w:type="spellStart"/>
            <w:r w:rsidRPr="00F01347">
              <w:rPr>
                <w:rFonts w:ascii="Verdana" w:hAnsi="Verdana"/>
                <w:sz w:val="16"/>
                <w:szCs w:val="16"/>
                <w:lang w:val="en-US"/>
              </w:rPr>
              <w:t>Bq</w:t>
            </w:r>
            <w:proofErr w:type="spellEnd"/>
            <w:r w:rsidRPr="00F01347">
              <w:rPr>
                <w:rFonts w:ascii="Verdana" w:hAnsi="Verdana"/>
                <w:sz w:val="16"/>
                <w:szCs w:val="16"/>
                <w:lang w:val="en-US"/>
              </w:rPr>
              <w:t xml:space="preserve"> </w:t>
            </w:r>
            <w:r w:rsidRPr="00F01347">
              <w:rPr>
                <w:rFonts w:ascii="Verdana" w:hAnsi="Verdana"/>
                <w:sz w:val="16"/>
                <w:szCs w:val="16"/>
                <w:lang w:val="en-US"/>
              </w:rPr>
              <w:tab/>
              <w:t>becquerel</w:t>
            </w:r>
          </w:p>
        </w:tc>
      </w:tr>
      <w:tr w:rsidR="003E1BA9" w:rsidRPr="00F01347" w14:paraId="2B41566D" w14:textId="37A4969F" w:rsidTr="002444E4">
        <w:tc>
          <w:tcPr>
            <w:tcW w:w="4675" w:type="dxa"/>
          </w:tcPr>
          <w:p w14:paraId="615C4148" w14:textId="77777777" w:rsidR="003E1BA9" w:rsidRPr="00F01347" w:rsidRDefault="003E1BA9" w:rsidP="003E1BA9">
            <w:pPr>
              <w:pStyle w:val="texto0"/>
              <w:tabs>
                <w:tab w:val="left" w:pos="900"/>
              </w:tabs>
              <w:spacing w:after="86" w:line="220" w:lineRule="exact"/>
              <w:ind w:firstLine="0"/>
              <w:rPr>
                <w:rFonts w:ascii="Verdana" w:hAnsi="Verdana"/>
                <w:b/>
                <w:sz w:val="16"/>
                <w:szCs w:val="16"/>
                <w:lang w:val="es-ES_tradnl"/>
              </w:rPr>
            </w:pPr>
            <w:r w:rsidRPr="00F01347">
              <w:rPr>
                <w:rFonts w:ascii="Verdana" w:hAnsi="Verdana"/>
                <w:b/>
                <w:sz w:val="16"/>
                <w:szCs w:val="16"/>
              </w:rPr>
              <w:t>4.2</w:t>
            </w:r>
            <w:r w:rsidRPr="00F01347">
              <w:rPr>
                <w:rFonts w:ascii="Verdana" w:hAnsi="Verdana"/>
                <w:b/>
                <w:sz w:val="16"/>
                <w:szCs w:val="16"/>
              </w:rPr>
              <w:tab/>
            </w:r>
            <w:r w:rsidRPr="00F01347">
              <w:rPr>
                <w:rFonts w:ascii="Verdana" w:hAnsi="Verdana"/>
                <w:sz w:val="16"/>
                <w:szCs w:val="16"/>
              </w:rPr>
              <w:t>Bq/L</w:t>
            </w:r>
            <w:r w:rsidRPr="00F01347">
              <w:rPr>
                <w:rFonts w:ascii="Verdana" w:hAnsi="Verdana"/>
                <w:sz w:val="16"/>
                <w:szCs w:val="16"/>
              </w:rPr>
              <w:tab/>
              <w:t>becquerel por Litro</w:t>
            </w:r>
          </w:p>
        </w:tc>
        <w:tc>
          <w:tcPr>
            <w:tcW w:w="4675" w:type="dxa"/>
          </w:tcPr>
          <w:p w14:paraId="40333438" w14:textId="2534E4DF"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4.2 </w:t>
            </w:r>
            <w:r w:rsidRPr="00F01347">
              <w:rPr>
                <w:rFonts w:ascii="Verdana" w:hAnsi="Verdana"/>
                <w:b/>
                <w:sz w:val="16"/>
                <w:szCs w:val="16"/>
                <w:lang w:val="en-US"/>
              </w:rPr>
              <w:tab/>
            </w:r>
            <w:proofErr w:type="spellStart"/>
            <w:r w:rsidRPr="00F01347">
              <w:rPr>
                <w:rFonts w:ascii="Verdana" w:hAnsi="Verdana"/>
                <w:sz w:val="16"/>
                <w:szCs w:val="16"/>
                <w:lang w:val="en-US"/>
              </w:rPr>
              <w:t>Bq</w:t>
            </w:r>
            <w:proofErr w:type="spellEnd"/>
            <w:r w:rsidRPr="00F01347">
              <w:rPr>
                <w:rFonts w:ascii="Verdana" w:hAnsi="Verdana"/>
                <w:sz w:val="16"/>
                <w:szCs w:val="16"/>
                <w:lang w:val="en-US"/>
              </w:rPr>
              <w:t xml:space="preserve">/L </w:t>
            </w:r>
            <w:r w:rsidRPr="00F01347">
              <w:rPr>
                <w:rFonts w:ascii="Verdana" w:hAnsi="Verdana"/>
                <w:sz w:val="16"/>
                <w:szCs w:val="16"/>
                <w:lang w:val="en-US"/>
              </w:rPr>
              <w:tab/>
              <w:t>becquerel per Liter</w:t>
            </w:r>
          </w:p>
        </w:tc>
      </w:tr>
      <w:tr w:rsidR="003E1BA9" w:rsidRPr="00F01347" w14:paraId="24F824D2" w14:textId="34736CED" w:rsidTr="002444E4">
        <w:tc>
          <w:tcPr>
            <w:tcW w:w="4675" w:type="dxa"/>
          </w:tcPr>
          <w:p w14:paraId="049D6353" w14:textId="13B471FE"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4.3</w:t>
            </w:r>
            <w:r w:rsidRPr="00F01347">
              <w:rPr>
                <w:rFonts w:ascii="Verdana" w:hAnsi="Verdana"/>
                <w:sz w:val="16"/>
                <w:szCs w:val="16"/>
                <w:lang w:val="es-ES_tradnl"/>
              </w:rPr>
              <w:tab/>
              <w:t>CaCO</w:t>
            </w:r>
            <w:proofErr w:type="gramStart"/>
            <w:r w:rsidRPr="00F01347">
              <w:rPr>
                <w:rFonts w:ascii="Verdana" w:hAnsi="Verdana"/>
                <w:b/>
                <w:color w:val="000000"/>
                <w:sz w:val="16"/>
                <w:szCs w:val="16"/>
                <w:vertAlign w:val="subscript"/>
                <w:lang w:val="es-ES_tradnl"/>
              </w:rPr>
              <w:t>3</w:t>
            </w:r>
            <w:r w:rsidR="00F01347">
              <w:rPr>
                <w:rFonts w:ascii="Verdana" w:hAnsi="Verdana"/>
                <w:b/>
                <w:color w:val="000000"/>
                <w:sz w:val="16"/>
                <w:szCs w:val="16"/>
                <w:vertAlign w:val="subscript"/>
                <w:lang w:val="es-ES_tradnl"/>
              </w:rPr>
              <w:t xml:space="preserve">  </w:t>
            </w:r>
            <w:r w:rsidRPr="00F01347">
              <w:rPr>
                <w:rFonts w:ascii="Verdana" w:hAnsi="Verdana"/>
                <w:sz w:val="16"/>
                <w:szCs w:val="16"/>
                <w:lang w:val="es-ES_tradnl"/>
              </w:rPr>
              <w:t>carbonato</w:t>
            </w:r>
            <w:proofErr w:type="gramEnd"/>
            <w:r w:rsidRPr="00F01347">
              <w:rPr>
                <w:rFonts w:ascii="Verdana" w:hAnsi="Verdana"/>
                <w:sz w:val="16"/>
                <w:szCs w:val="16"/>
                <w:lang w:val="es-ES_tradnl"/>
              </w:rPr>
              <w:t xml:space="preserve"> de calcio</w:t>
            </w:r>
          </w:p>
        </w:tc>
        <w:tc>
          <w:tcPr>
            <w:tcW w:w="4675" w:type="dxa"/>
          </w:tcPr>
          <w:p w14:paraId="4B269CDC" w14:textId="0C85D33A"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4.3 </w:t>
            </w:r>
            <w:r w:rsidRPr="00F01347">
              <w:rPr>
                <w:rFonts w:ascii="Verdana" w:hAnsi="Verdana"/>
                <w:sz w:val="16"/>
                <w:szCs w:val="16"/>
                <w:lang w:val="en-US"/>
              </w:rPr>
              <w:tab/>
              <w:t>CaCO</w:t>
            </w:r>
            <w:proofErr w:type="gramStart"/>
            <w:r w:rsidRPr="00F01347">
              <w:rPr>
                <w:rFonts w:ascii="Verdana" w:hAnsi="Verdana"/>
                <w:b/>
                <w:color w:val="000000"/>
                <w:sz w:val="16"/>
                <w:szCs w:val="16"/>
                <w:vertAlign w:val="subscript"/>
                <w:lang w:val="en-US"/>
              </w:rPr>
              <w:t>3</w:t>
            </w:r>
            <w:r w:rsidR="00F01347">
              <w:rPr>
                <w:rFonts w:ascii="Verdana" w:hAnsi="Verdana"/>
                <w:b/>
                <w:color w:val="000000"/>
                <w:sz w:val="16"/>
                <w:szCs w:val="16"/>
                <w:vertAlign w:val="subscript"/>
                <w:lang w:val="en-US"/>
              </w:rPr>
              <w:t xml:space="preserve"> </w:t>
            </w:r>
            <w:r w:rsidRPr="00F01347">
              <w:rPr>
                <w:rFonts w:ascii="Verdana" w:hAnsi="Verdana"/>
                <w:b/>
                <w:color w:val="000000"/>
                <w:sz w:val="16"/>
                <w:szCs w:val="16"/>
                <w:vertAlign w:val="subscript"/>
                <w:lang w:val="en-US"/>
              </w:rPr>
              <w:t xml:space="preserve"> </w:t>
            </w:r>
            <w:r w:rsidRPr="00F01347">
              <w:rPr>
                <w:rFonts w:ascii="Verdana" w:hAnsi="Verdana"/>
                <w:sz w:val="16"/>
                <w:szCs w:val="16"/>
                <w:lang w:val="en-US"/>
              </w:rPr>
              <w:t>calcium</w:t>
            </w:r>
            <w:proofErr w:type="gramEnd"/>
            <w:r w:rsidRPr="00F01347">
              <w:rPr>
                <w:rFonts w:ascii="Verdana" w:hAnsi="Verdana"/>
                <w:sz w:val="16"/>
                <w:szCs w:val="16"/>
                <w:lang w:val="en-US"/>
              </w:rPr>
              <w:t xml:space="preserve"> carbonate</w:t>
            </w:r>
          </w:p>
        </w:tc>
      </w:tr>
      <w:tr w:rsidR="003E1BA9" w:rsidRPr="00F01347" w14:paraId="20D1936B" w14:textId="17A1F533" w:rsidTr="002444E4">
        <w:tc>
          <w:tcPr>
            <w:tcW w:w="4675" w:type="dxa"/>
          </w:tcPr>
          <w:p w14:paraId="5EA95292" w14:textId="77777777" w:rsidR="003E1BA9" w:rsidRPr="00F01347" w:rsidRDefault="003E1BA9" w:rsidP="003E1BA9">
            <w:pPr>
              <w:pStyle w:val="texto0"/>
              <w:tabs>
                <w:tab w:val="left" w:pos="900"/>
              </w:tabs>
              <w:spacing w:after="86" w:line="220" w:lineRule="exact"/>
              <w:ind w:firstLine="0"/>
              <w:rPr>
                <w:rFonts w:ascii="Verdana" w:hAnsi="Verdana"/>
                <w:sz w:val="16"/>
                <w:szCs w:val="16"/>
              </w:rPr>
            </w:pPr>
            <w:r w:rsidRPr="00F01347">
              <w:rPr>
                <w:rFonts w:ascii="Verdana" w:hAnsi="Verdana"/>
                <w:b/>
                <w:sz w:val="16"/>
                <w:szCs w:val="16"/>
                <w:lang w:val="es-ES_tradnl"/>
              </w:rPr>
              <w:t>4</w:t>
            </w:r>
            <w:r w:rsidRPr="00F01347">
              <w:rPr>
                <w:rFonts w:ascii="Verdana" w:hAnsi="Verdana"/>
                <w:b/>
                <w:sz w:val="16"/>
                <w:szCs w:val="16"/>
              </w:rPr>
              <w:t xml:space="preserve">.4 </w:t>
            </w:r>
            <w:r w:rsidRPr="00F01347">
              <w:rPr>
                <w:rFonts w:ascii="Verdana" w:hAnsi="Verdana"/>
                <w:b/>
                <w:sz w:val="16"/>
                <w:szCs w:val="16"/>
              </w:rPr>
              <w:tab/>
            </w:r>
            <w:r w:rsidRPr="00F01347">
              <w:rPr>
                <w:rFonts w:ascii="Verdana" w:hAnsi="Verdana"/>
                <w:sz w:val="16"/>
                <w:szCs w:val="16"/>
              </w:rPr>
              <w:t>DDT</w:t>
            </w:r>
            <w:r w:rsidRPr="00F01347">
              <w:rPr>
                <w:rFonts w:ascii="Verdana" w:hAnsi="Verdana"/>
                <w:sz w:val="16"/>
                <w:szCs w:val="16"/>
              </w:rPr>
              <w:tab/>
            </w:r>
            <w:proofErr w:type="spellStart"/>
            <w:r w:rsidRPr="00F01347">
              <w:rPr>
                <w:rFonts w:ascii="Verdana" w:hAnsi="Verdana"/>
                <w:sz w:val="16"/>
                <w:szCs w:val="16"/>
              </w:rPr>
              <w:t>diclorodifeniltricloroetano</w:t>
            </w:r>
            <w:proofErr w:type="spellEnd"/>
          </w:p>
        </w:tc>
        <w:tc>
          <w:tcPr>
            <w:tcW w:w="4675" w:type="dxa"/>
          </w:tcPr>
          <w:p w14:paraId="3B485B07" w14:textId="7E6AC787"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4.4 </w:t>
            </w:r>
            <w:r w:rsidRPr="00F01347">
              <w:rPr>
                <w:rFonts w:ascii="Verdana" w:hAnsi="Verdana"/>
                <w:b/>
                <w:sz w:val="16"/>
                <w:szCs w:val="16"/>
                <w:lang w:val="en-US"/>
              </w:rPr>
              <w:tab/>
            </w:r>
            <w:r w:rsidRPr="00F01347">
              <w:rPr>
                <w:rFonts w:ascii="Verdana" w:hAnsi="Verdana"/>
                <w:sz w:val="16"/>
                <w:szCs w:val="16"/>
                <w:lang w:val="en-US"/>
              </w:rPr>
              <w:t xml:space="preserve">DDT </w:t>
            </w:r>
            <w:r w:rsidRPr="00F01347">
              <w:rPr>
                <w:rFonts w:ascii="Verdana" w:hAnsi="Verdana"/>
                <w:sz w:val="16"/>
                <w:szCs w:val="16"/>
                <w:lang w:val="en-US"/>
              </w:rPr>
              <w:tab/>
              <w:t>dichlorodiphenyltrichloroethane</w:t>
            </w:r>
          </w:p>
        </w:tc>
      </w:tr>
      <w:tr w:rsidR="003E1BA9" w:rsidRPr="00F01347" w14:paraId="63AB3D52" w14:textId="44FF3618" w:rsidTr="002444E4">
        <w:tc>
          <w:tcPr>
            <w:tcW w:w="4675" w:type="dxa"/>
          </w:tcPr>
          <w:p w14:paraId="23112453" w14:textId="77777777" w:rsidR="003E1BA9" w:rsidRPr="00F01347" w:rsidRDefault="003E1BA9" w:rsidP="003E1BA9">
            <w:pPr>
              <w:pStyle w:val="texto0"/>
              <w:tabs>
                <w:tab w:val="left" w:pos="900"/>
              </w:tabs>
              <w:spacing w:after="86" w:line="220" w:lineRule="exact"/>
              <w:ind w:firstLine="0"/>
              <w:rPr>
                <w:rFonts w:ascii="Verdana" w:hAnsi="Verdana"/>
                <w:sz w:val="16"/>
                <w:szCs w:val="16"/>
              </w:rPr>
            </w:pPr>
            <w:r w:rsidRPr="00F01347">
              <w:rPr>
                <w:rFonts w:ascii="Verdana" w:hAnsi="Verdana"/>
                <w:b/>
                <w:sz w:val="16"/>
                <w:szCs w:val="16"/>
              </w:rPr>
              <w:t>4.5</w:t>
            </w:r>
            <w:r w:rsidRPr="00F01347">
              <w:rPr>
                <w:rFonts w:ascii="Verdana" w:hAnsi="Verdana"/>
                <w:sz w:val="16"/>
                <w:szCs w:val="16"/>
              </w:rPr>
              <w:tab/>
              <w:t>Di</w:t>
            </w:r>
            <w:r w:rsidRPr="00F01347">
              <w:rPr>
                <w:rFonts w:ascii="Verdana" w:hAnsi="Verdana"/>
                <w:sz w:val="16"/>
                <w:szCs w:val="16"/>
              </w:rPr>
              <w:tab/>
              <w:t>prefijo en nomenclatura química que indica que el sustituyente se encuentra dos veces</w:t>
            </w:r>
          </w:p>
        </w:tc>
        <w:tc>
          <w:tcPr>
            <w:tcW w:w="4675" w:type="dxa"/>
          </w:tcPr>
          <w:p w14:paraId="0DCB167B" w14:textId="01FB5069"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4.5 </w:t>
            </w:r>
            <w:r w:rsidRPr="00F01347">
              <w:rPr>
                <w:rFonts w:ascii="Verdana" w:hAnsi="Verdana"/>
                <w:sz w:val="16"/>
                <w:szCs w:val="16"/>
                <w:lang w:val="en-US"/>
              </w:rPr>
              <w:tab/>
              <w:t>Di</w:t>
            </w:r>
            <w:r w:rsidR="002B0A0E" w:rsidRPr="00F01347">
              <w:rPr>
                <w:rFonts w:ascii="Verdana" w:hAnsi="Verdana"/>
                <w:sz w:val="16"/>
                <w:szCs w:val="16"/>
                <w:lang w:val="en-US"/>
              </w:rPr>
              <w:t xml:space="preserve"> </w:t>
            </w:r>
            <w:r w:rsidRPr="00F01347">
              <w:rPr>
                <w:rFonts w:ascii="Verdana" w:hAnsi="Verdana"/>
                <w:sz w:val="16"/>
                <w:szCs w:val="16"/>
                <w:lang w:val="en-US"/>
              </w:rPr>
              <w:t>prefix in chemical nomenclature indicating that the substituent occurs twice</w:t>
            </w:r>
          </w:p>
        </w:tc>
      </w:tr>
      <w:tr w:rsidR="003E1BA9" w:rsidRPr="00F01347" w14:paraId="625B86F9" w14:textId="1E7E066A" w:rsidTr="002444E4">
        <w:tc>
          <w:tcPr>
            <w:tcW w:w="4675" w:type="dxa"/>
          </w:tcPr>
          <w:p w14:paraId="3B5C6355" w14:textId="77777777" w:rsidR="003E1BA9" w:rsidRPr="00F01347" w:rsidRDefault="003E1BA9" w:rsidP="003E1BA9">
            <w:pPr>
              <w:pStyle w:val="texto0"/>
              <w:tabs>
                <w:tab w:val="left" w:pos="900"/>
              </w:tabs>
              <w:spacing w:after="86" w:line="220" w:lineRule="exact"/>
              <w:ind w:firstLine="0"/>
              <w:rPr>
                <w:rFonts w:ascii="Verdana" w:hAnsi="Verdana"/>
                <w:i/>
                <w:sz w:val="16"/>
                <w:szCs w:val="16"/>
              </w:rPr>
            </w:pPr>
            <w:r w:rsidRPr="00F01347">
              <w:rPr>
                <w:rFonts w:ascii="Verdana" w:hAnsi="Verdana"/>
                <w:b/>
                <w:sz w:val="16"/>
                <w:szCs w:val="16"/>
              </w:rPr>
              <w:t>4.6</w:t>
            </w:r>
            <w:r w:rsidRPr="00F01347">
              <w:rPr>
                <w:rFonts w:ascii="Verdana" w:hAnsi="Verdana"/>
                <w:b/>
                <w:sz w:val="16"/>
                <w:szCs w:val="16"/>
              </w:rPr>
              <w:tab/>
            </w:r>
            <w:r w:rsidRPr="00F01347">
              <w:rPr>
                <w:rFonts w:ascii="Verdana" w:hAnsi="Verdana"/>
                <w:i/>
                <w:sz w:val="16"/>
                <w:szCs w:val="16"/>
              </w:rPr>
              <w:t xml:space="preserve">E. </w:t>
            </w:r>
            <w:proofErr w:type="spellStart"/>
            <w:r w:rsidRPr="00F01347">
              <w:rPr>
                <w:rFonts w:ascii="Verdana" w:hAnsi="Verdana"/>
                <w:i/>
                <w:sz w:val="16"/>
                <w:szCs w:val="16"/>
              </w:rPr>
              <w:t>coli</w:t>
            </w:r>
            <w:proofErr w:type="spellEnd"/>
            <w:r w:rsidRPr="00F01347">
              <w:rPr>
                <w:rFonts w:ascii="Verdana" w:hAnsi="Verdana"/>
                <w:sz w:val="16"/>
                <w:szCs w:val="16"/>
              </w:rPr>
              <w:tab/>
            </w:r>
            <w:proofErr w:type="spellStart"/>
            <w:r w:rsidRPr="00F01347">
              <w:rPr>
                <w:rFonts w:ascii="Verdana" w:hAnsi="Verdana"/>
                <w:i/>
                <w:sz w:val="16"/>
                <w:szCs w:val="16"/>
              </w:rPr>
              <w:t>Escherichia</w:t>
            </w:r>
            <w:proofErr w:type="spellEnd"/>
            <w:r w:rsidRPr="00F01347">
              <w:rPr>
                <w:rFonts w:ascii="Verdana" w:hAnsi="Verdana"/>
                <w:i/>
                <w:sz w:val="16"/>
                <w:szCs w:val="16"/>
              </w:rPr>
              <w:t xml:space="preserve"> </w:t>
            </w:r>
            <w:proofErr w:type="spellStart"/>
            <w:r w:rsidRPr="00F01347">
              <w:rPr>
                <w:rFonts w:ascii="Verdana" w:hAnsi="Verdana"/>
                <w:i/>
                <w:sz w:val="16"/>
                <w:szCs w:val="16"/>
              </w:rPr>
              <w:t>coli</w:t>
            </w:r>
            <w:proofErr w:type="spellEnd"/>
          </w:p>
        </w:tc>
        <w:tc>
          <w:tcPr>
            <w:tcW w:w="4675" w:type="dxa"/>
          </w:tcPr>
          <w:p w14:paraId="63C8D298" w14:textId="76B3A3CC"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4.6 </w:t>
            </w:r>
            <w:r w:rsidRPr="00F01347">
              <w:rPr>
                <w:rFonts w:ascii="Verdana" w:hAnsi="Verdana"/>
                <w:b/>
                <w:sz w:val="16"/>
                <w:szCs w:val="16"/>
                <w:lang w:val="en-US"/>
              </w:rPr>
              <w:tab/>
            </w:r>
            <w:r w:rsidRPr="00F01347">
              <w:rPr>
                <w:rFonts w:ascii="Verdana" w:hAnsi="Verdana"/>
                <w:i/>
                <w:sz w:val="16"/>
                <w:szCs w:val="16"/>
                <w:lang w:val="en-US"/>
              </w:rPr>
              <w:t>E. coli Escherichia coli</w:t>
            </w:r>
          </w:p>
        </w:tc>
      </w:tr>
      <w:tr w:rsidR="003E1BA9" w:rsidRPr="00F01347" w14:paraId="36DE702F" w14:textId="7E0B070F" w:rsidTr="002444E4">
        <w:tc>
          <w:tcPr>
            <w:tcW w:w="4675" w:type="dxa"/>
          </w:tcPr>
          <w:p w14:paraId="6C55E927" w14:textId="77777777" w:rsidR="003E1BA9" w:rsidRPr="00F01347" w:rsidRDefault="003E1BA9" w:rsidP="003E1BA9">
            <w:pPr>
              <w:pStyle w:val="texto0"/>
              <w:tabs>
                <w:tab w:val="left" w:pos="900"/>
              </w:tabs>
              <w:spacing w:after="86" w:line="220" w:lineRule="exact"/>
              <w:ind w:firstLine="0"/>
              <w:rPr>
                <w:rFonts w:ascii="Verdana" w:hAnsi="Verdana"/>
                <w:b/>
                <w:sz w:val="16"/>
                <w:szCs w:val="16"/>
              </w:rPr>
            </w:pPr>
            <w:r w:rsidRPr="00F01347">
              <w:rPr>
                <w:rFonts w:ascii="Verdana" w:hAnsi="Verdana"/>
                <w:b/>
                <w:sz w:val="16"/>
                <w:szCs w:val="16"/>
              </w:rPr>
              <w:t>4.7</w:t>
            </w:r>
            <w:r w:rsidRPr="00F01347">
              <w:rPr>
                <w:rFonts w:ascii="Verdana" w:hAnsi="Verdana"/>
                <w:b/>
                <w:sz w:val="16"/>
                <w:szCs w:val="16"/>
              </w:rPr>
              <w:tab/>
            </w:r>
            <w:r w:rsidRPr="00F01347">
              <w:rPr>
                <w:rFonts w:ascii="Verdana" w:hAnsi="Verdana"/>
                <w:sz w:val="16"/>
                <w:szCs w:val="16"/>
              </w:rPr>
              <w:t>F</w:t>
            </w:r>
            <w:r w:rsidRPr="00F01347">
              <w:rPr>
                <w:rFonts w:ascii="Verdana" w:hAnsi="Verdana"/>
                <w:position w:val="6"/>
                <w:sz w:val="16"/>
                <w:szCs w:val="16"/>
              </w:rPr>
              <w:t>-</w:t>
            </w:r>
            <w:r w:rsidRPr="00F01347">
              <w:rPr>
                <w:rFonts w:ascii="Verdana" w:hAnsi="Verdana"/>
                <w:sz w:val="16"/>
                <w:szCs w:val="16"/>
              </w:rPr>
              <w:tab/>
            </w:r>
            <w:proofErr w:type="spellStart"/>
            <w:r w:rsidRPr="00F01347">
              <w:rPr>
                <w:rFonts w:ascii="Verdana" w:hAnsi="Verdana"/>
                <w:sz w:val="16"/>
                <w:szCs w:val="16"/>
              </w:rPr>
              <w:t>ión</w:t>
            </w:r>
            <w:proofErr w:type="spellEnd"/>
            <w:r w:rsidRPr="00F01347">
              <w:rPr>
                <w:rFonts w:ascii="Verdana" w:hAnsi="Verdana"/>
                <w:sz w:val="16"/>
                <w:szCs w:val="16"/>
              </w:rPr>
              <w:t xml:space="preserve"> fluoruro</w:t>
            </w:r>
          </w:p>
        </w:tc>
        <w:tc>
          <w:tcPr>
            <w:tcW w:w="4675" w:type="dxa"/>
          </w:tcPr>
          <w:p w14:paraId="081AC064" w14:textId="656D9A9F"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4.7 </w:t>
            </w:r>
            <w:r w:rsidRPr="00F01347">
              <w:rPr>
                <w:rFonts w:ascii="Verdana" w:hAnsi="Verdana"/>
                <w:b/>
                <w:sz w:val="16"/>
                <w:szCs w:val="16"/>
                <w:lang w:val="en-US"/>
              </w:rPr>
              <w:tab/>
            </w:r>
            <w:r w:rsidRPr="00F01347">
              <w:rPr>
                <w:rFonts w:ascii="Verdana" w:hAnsi="Verdana"/>
                <w:sz w:val="16"/>
                <w:szCs w:val="16"/>
                <w:lang w:val="en-US"/>
              </w:rPr>
              <w:t>F</w:t>
            </w:r>
            <w:r w:rsidRPr="00F01347">
              <w:rPr>
                <w:rFonts w:ascii="Verdana" w:hAnsi="Verdana"/>
                <w:position w:val="6"/>
                <w:sz w:val="16"/>
                <w:szCs w:val="16"/>
                <w:lang w:val="en-US"/>
              </w:rPr>
              <w:t xml:space="preserve">- </w:t>
            </w:r>
            <w:r w:rsidRPr="00F01347">
              <w:rPr>
                <w:rFonts w:ascii="Verdana" w:hAnsi="Verdana"/>
                <w:sz w:val="16"/>
                <w:szCs w:val="16"/>
                <w:lang w:val="en-US"/>
              </w:rPr>
              <w:tab/>
              <w:t>fluoride ion</w:t>
            </w:r>
          </w:p>
        </w:tc>
      </w:tr>
      <w:tr w:rsidR="003E1BA9" w:rsidRPr="00F01347" w14:paraId="418F3294" w14:textId="616090DD" w:rsidTr="002444E4">
        <w:tc>
          <w:tcPr>
            <w:tcW w:w="4675" w:type="dxa"/>
          </w:tcPr>
          <w:p w14:paraId="0E828E06" w14:textId="77777777" w:rsidR="003E1BA9" w:rsidRPr="00F01347" w:rsidRDefault="003E1BA9" w:rsidP="003E1BA9">
            <w:pPr>
              <w:pStyle w:val="texto0"/>
              <w:tabs>
                <w:tab w:val="left" w:pos="900"/>
              </w:tabs>
              <w:spacing w:after="86" w:line="220" w:lineRule="exact"/>
              <w:ind w:firstLine="0"/>
              <w:rPr>
                <w:rFonts w:ascii="Verdana" w:hAnsi="Verdana"/>
                <w:sz w:val="16"/>
                <w:szCs w:val="16"/>
              </w:rPr>
            </w:pPr>
            <w:r w:rsidRPr="00F01347">
              <w:rPr>
                <w:rFonts w:ascii="Verdana" w:hAnsi="Verdana"/>
                <w:b/>
                <w:sz w:val="16"/>
                <w:szCs w:val="16"/>
              </w:rPr>
              <w:t>4.8</w:t>
            </w:r>
            <w:r w:rsidRPr="00F01347">
              <w:rPr>
                <w:rFonts w:ascii="Verdana" w:hAnsi="Verdana"/>
                <w:b/>
                <w:sz w:val="16"/>
                <w:szCs w:val="16"/>
              </w:rPr>
              <w:tab/>
            </w:r>
            <w:r w:rsidRPr="00F01347">
              <w:rPr>
                <w:rFonts w:ascii="Verdana" w:hAnsi="Verdana"/>
                <w:sz w:val="16"/>
                <w:szCs w:val="16"/>
              </w:rPr>
              <w:t>L</w:t>
            </w:r>
            <w:r w:rsidRPr="00F01347">
              <w:rPr>
                <w:rFonts w:ascii="Verdana" w:hAnsi="Verdana"/>
                <w:sz w:val="16"/>
                <w:szCs w:val="16"/>
              </w:rPr>
              <w:tab/>
              <w:t>litro</w:t>
            </w:r>
          </w:p>
        </w:tc>
        <w:tc>
          <w:tcPr>
            <w:tcW w:w="4675" w:type="dxa"/>
          </w:tcPr>
          <w:p w14:paraId="50A250F7" w14:textId="31DC20D9"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4.8 </w:t>
            </w:r>
            <w:r w:rsidRPr="00F01347">
              <w:rPr>
                <w:rFonts w:ascii="Verdana" w:hAnsi="Verdana"/>
                <w:b/>
                <w:sz w:val="16"/>
                <w:szCs w:val="16"/>
                <w:lang w:val="en-US"/>
              </w:rPr>
              <w:tab/>
            </w:r>
            <w:r w:rsidRPr="00F01347">
              <w:rPr>
                <w:rFonts w:ascii="Verdana" w:hAnsi="Verdana"/>
                <w:sz w:val="16"/>
                <w:szCs w:val="16"/>
                <w:lang w:val="en-US"/>
              </w:rPr>
              <w:t xml:space="preserve">L </w:t>
            </w:r>
            <w:r w:rsidRPr="00F01347">
              <w:rPr>
                <w:rFonts w:ascii="Verdana" w:hAnsi="Verdana"/>
                <w:sz w:val="16"/>
                <w:szCs w:val="16"/>
                <w:lang w:val="en-US"/>
              </w:rPr>
              <w:tab/>
              <w:t>liter</w:t>
            </w:r>
          </w:p>
        </w:tc>
      </w:tr>
      <w:tr w:rsidR="003E1BA9" w:rsidRPr="00F01347" w14:paraId="28822185" w14:textId="293E9C3A" w:rsidTr="002444E4">
        <w:tc>
          <w:tcPr>
            <w:tcW w:w="4675" w:type="dxa"/>
          </w:tcPr>
          <w:p w14:paraId="2D942CA9" w14:textId="77777777"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4.9</w:t>
            </w:r>
            <w:r w:rsidRPr="00F01347">
              <w:rPr>
                <w:rFonts w:ascii="Verdana" w:hAnsi="Verdana"/>
                <w:b/>
                <w:sz w:val="16"/>
                <w:szCs w:val="16"/>
                <w:lang w:val="es-ES_tradnl"/>
              </w:rPr>
              <w:tab/>
            </w:r>
            <w:r w:rsidRPr="00F01347">
              <w:rPr>
                <w:rFonts w:ascii="Verdana" w:hAnsi="Verdana"/>
                <w:sz w:val="16"/>
                <w:szCs w:val="16"/>
                <w:lang w:val="es-ES_tradnl"/>
              </w:rPr>
              <w:t>LR</w:t>
            </w:r>
            <w:r w:rsidRPr="00F01347">
              <w:rPr>
                <w:rFonts w:ascii="Verdana" w:hAnsi="Verdana"/>
                <w:sz w:val="16"/>
                <w:szCs w:val="16"/>
                <w:lang w:val="es-ES_tradnl"/>
              </w:rPr>
              <w:tab/>
              <w:t>levo-rotativo</w:t>
            </w:r>
          </w:p>
        </w:tc>
        <w:tc>
          <w:tcPr>
            <w:tcW w:w="4675" w:type="dxa"/>
          </w:tcPr>
          <w:p w14:paraId="61FC363C" w14:textId="64E4F47B"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4.9 </w:t>
            </w:r>
            <w:r w:rsidRPr="00F01347">
              <w:rPr>
                <w:rFonts w:ascii="Verdana" w:hAnsi="Verdana"/>
                <w:b/>
                <w:sz w:val="16"/>
                <w:szCs w:val="16"/>
                <w:lang w:val="en-US"/>
              </w:rPr>
              <w:tab/>
            </w:r>
            <w:r w:rsidRPr="00F01347">
              <w:rPr>
                <w:rFonts w:ascii="Verdana" w:hAnsi="Verdana"/>
                <w:sz w:val="16"/>
                <w:szCs w:val="16"/>
                <w:lang w:val="en-US"/>
              </w:rPr>
              <w:t xml:space="preserve">LR </w:t>
            </w:r>
            <w:r w:rsidRPr="00F01347">
              <w:rPr>
                <w:rFonts w:ascii="Verdana" w:hAnsi="Verdana"/>
                <w:sz w:val="16"/>
                <w:szCs w:val="16"/>
                <w:lang w:val="en-US"/>
              </w:rPr>
              <w:tab/>
            </w:r>
            <w:proofErr w:type="spellStart"/>
            <w:r w:rsidRPr="00F01347">
              <w:rPr>
                <w:rFonts w:ascii="Verdana" w:hAnsi="Verdana"/>
                <w:sz w:val="16"/>
                <w:szCs w:val="16"/>
                <w:lang w:val="en-US"/>
              </w:rPr>
              <w:t>levo</w:t>
            </w:r>
            <w:proofErr w:type="spellEnd"/>
            <w:r w:rsidRPr="00F01347">
              <w:rPr>
                <w:rFonts w:ascii="Verdana" w:hAnsi="Verdana"/>
                <w:sz w:val="16"/>
                <w:szCs w:val="16"/>
                <w:lang w:val="en-US"/>
              </w:rPr>
              <w:t>-rotary</w:t>
            </w:r>
          </w:p>
        </w:tc>
      </w:tr>
      <w:tr w:rsidR="003E1BA9" w:rsidRPr="00F01347" w14:paraId="4DE79E3F" w14:textId="5B5C8453" w:rsidTr="002444E4">
        <w:tc>
          <w:tcPr>
            <w:tcW w:w="4675" w:type="dxa"/>
          </w:tcPr>
          <w:p w14:paraId="234CA1CB" w14:textId="77777777" w:rsidR="003E1BA9" w:rsidRPr="00F01347" w:rsidRDefault="003E1BA9" w:rsidP="003E1BA9">
            <w:pPr>
              <w:pStyle w:val="texto0"/>
              <w:tabs>
                <w:tab w:val="left" w:pos="900"/>
              </w:tabs>
              <w:spacing w:after="86" w:line="220" w:lineRule="exact"/>
              <w:ind w:firstLine="0"/>
              <w:rPr>
                <w:rFonts w:ascii="Verdana" w:hAnsi="Verdana"/>
                <w:sz w:val="16"/>
                <w:szCs w:val="16"/>
              </w:rPr>
            </w:pPr>
            <w:r w:rsidRPr="00F01347">
              <w:rPr>
                <w:rFonts w:ascii="Verdana" w:hAnsi="Verdana"/>
                <w:b/>
                <w:sz w:val="16"/>
                <w:szCs w:val="16"/>
                <w:lang w:val="es-ES_tradnl"/>
              </w:rPr>
              <w:t>4.10</w:t>
            </w:r>
            <w:r w:rsidRPr="00F01347">
              <w:rPr>
                <w:rFonts w:ascii="Verdana" w:hAnsi="Verdana"/>
                <w:b/>
                <w:sz w:val="16"/>
                <w:szCs w:val="16"/>
                <w:lang w:val="es-ES_tradnl"/>
              </w:rPr>
              <w:tab/>
            </w:r>
            <w:r w:rsidRPr="00F01347">
              <w:rPr>
                <w:rFonts w:ascii="Verdana" w:hAnsi="Verdana"/>
                <w:sz w:val="16"/>
                <w:szCs w:val="16"/>
                <w:lang w:val="es-ES_tradnl"/>
              </w:rPr>
              <w:t>mg</w:t>
            </w:r>
            <w:r w:rsidRPr="00F01347">
              <w:rPr>
                <w:rFonts w:ascii="Verdana" w:hAnsi="Verdana"/>
                <w:sz w:val="16"/>
                <w:szCs w:val="16"/>
                <w:lang w:val="es-ES_tradnl"/>
              </w:rPr>
              <w:tab/>
              <w:t>miligramo</w:t>
            </w:r>
          </w:p>
        </w:tc>
        <w:tc>
          <w:tcPr>
            <w:tcW w:w="4675" w:type="dxa"/>
          </w:tcPr>
          <w:p w14:paraId="074D4F9A" w14:textId="3E83EFBF"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4.10 </w:t>
            </w:r>
            <w:r w:rsidRPr="00F01347">
              <w:rPr>
                <w:rFonts w:ascii="Verdana" w:hAnsi="Verdana"/>
                <w:b/>
                <w:sz w:val="16"/>
                <w:szCs w:val="16"/>
                <w:lang w:val="en-US"/>
              </w:rPr>
              <w:tab/>
            </w:r>
            <w:r w:rsidRPr="00F01347">
              <w:rPr>
                <w:rFonts w:ascii="Verdana" w:hAnsi="Verdana"/>
                <w:sz w:val="16"/>
                <w:szCs w:val="16"/>
                <w:lang w:val="en-US"/>
              </w:rPr>
              <w:t xml:space="preserve">mg </w:t>
            </w:r>
            <w:r w:rsidRPr="00F01347">
              <w:rPr>
                <w:rFonts w:ascii="Verdana" w:hAnsi="Verdana"/>
                <w:sz w:val="16"/>
                <w:szCs w:val="16"/>
                <w:lang w:val="en-US"/>
              </w:rPr>
              <w:tab/>
              <w:t>milligram</w:t>
            </w:r>
          </w:p>
        </w:tc>
      </w:tr>
      <w:tr w:rsidR="003E1BA9" w:rsidRPr="00F01347" w14:paraId="4BF875AD" w14:textId="5A858136" w:rsidTr="002444E4">
        <w:tc>
          <w:tcPr>
            <w:tcW w:w="4675" w:type="dxa"/>
          </w:tcPr>
          <w:p w14:paraId="49AEA4E3" w14:textId="77777777"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4.11</w:t>
            </w:r>
            <w:r w:rsidRPr="00F01347">
              <w:rPr>
                <w:rFonts w:ascii="Verdana" w:hAnsi="Verdana"/>
                <w:b/>
                <w:sz w:val="16"/>
                <w:szCs w:val="16"/>
                <w:lang w:val="es-ES_tradnl"/>
              </w:rPr>
              <w:tab/>
            </w:r>
            <w:proofErr w:type="spellStart"/>
            <w:r w:rsidRPr="00F01347">
              <w:rPr>
                <w:rFonts w:ascii="Verdana" w:hAnsi="Verdana"/>
                <w:sz w:val="16"/>
                <w:szCs w:val="16"/>
                <w:lang w:val="es-ES_tradnl"/>
              </w:rPr>
              <w:t>mL</w:t>
            </w:r>
            <w:proofErr w:type="spellEnd"/>
            <w:r w:rsidRPr="00F01347">
              <w:rPr>
                <w:rFonts w:ascii="Verdana" w:hAnsi="Verdana"/>
                <w:sz w:val="16"/>
                <w:szCs w:val="16"/>
                <w:lang w:val="es-ES_tradnl"/>
              </w:rPr>
              <w:tab/>
              <w:t>mililitro</w:t>
            </w:r>
          </w:p>
        </w:tc>
        <w:tc>
          <w:tcPr>
            <w:tcW w:w="4675" w:type="dxa"/>
          </w:tcPr>
          <w:p w14:paraId="4EBAD0C7" w14:textId="66913CCA"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4.11 </w:t>
            </w:r>
            <w:r w:rsidRPr="00F01347">
              <w:rPr>
                <w:rFonts w:ascii="Verdana" w:hAnsi="Verdana"/>
                <w:b/>
                <w:sz w:val="16"/>
                <w:szCs w:val="16"/>
                <w:lang w:val="en-US"/>
              </w:rPr>
              <w:tab/>
            </w:r>
            <w:r w:rsidRPr="00F01347">
              <w:rPr>
                <w:rFonts w:ascii="Verdana" w:hAnsi="Verdana"/>
                <w:sz w:val="16"/>
                <w:szCs w:val="16"/>
                <w:lang w:val="en-US"/>
              </w:rPr>
              <w:t xml:space="preserve">mL </w:t>
            </w:r>
            <w:r w:rsidRPr="00F01347">
              <w:rPr>
                <w:rFonts w:ascii="Verdana" w:hAnsi="Verdana"/>
                <w:sz w:val="16"/>
                <w:szCs w:val="16"/>
                <w:lang w:val="en-US"/>
              </w:rPr>
              <w:tab/>
              <w:t>milliliter</w:t>
            </w:r>
          </w:p>
        </w:tc>
      </w:tr>
      <w:tr w:rsidR="003E1BA9" w:rsidRPr="00F01347" w14:paraId="18DC7F33" w14:textId="5DCB622B" w:rsidTr="002444E4">
        <w:tc>
          <w:tcPr>
            <w:tcW w:w="4675" w:type="dxa"/>
          </w:tcPr>
          <w:p w14:paraId="15C74631" w14:textId="77777777"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4.12</w:t>
            </w:r>
            <w:r w:rsidRPr="00F01347">
              <w:rPr>
                <w:rFonts w:ascii="Verdana" w:hAnsi="Verdana"/>
                <w:b/>
                <w:sz w:val="16"/>
                <w:szCs w:val="16"/>
                <w:lang w:val="es-ES_tradnl"/>
              </w:rPr>
              <w:tab/>
            </w:r>
            <w:r w:rsidRPr="00F01347">
              <w:rPr>
                <w:rFonts w:ascii="Verdana" w:hAnsi="Verdana"/>
                <w:sz w:val="16"/>
                <w:szCs w:val="16"/>
              </w:rPr>
              <w:t>µg</w:t>
            </w:r>
            <w:r w:rsidRPr="00F01347">
              <w:rPr>
                <w:rFonts w:ascii="Verdana" w:hAnsi="Verdana"/>
                <w:sz w:val="16"/>
                <w:szCs w:val="16"/>
              </w:rPr>
              <w:tab/>
              <w:t>microgramo</w:t>
            </w:r>
          </w:p>
        </w:tc>
        <w:tc>
          <w:tcPr>
            <w:tcW w:w="4675" w:type="dxa"/>
          </w:tcPr>
          <w:p w14:paraId="5E8203A8" w14:textId="6CD5F962"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4.12 </w:t>
            </w:r>
            <w:r w:rsidRPr="00F01347">
              <w:rPr>
                <w:rFonts w:ascii="Verdana" w:hAnsi="Verdana"/>
                <w:b/>
                <w:sz w:val="16"/>
                <w:szCs w:val="16"/>
                <w:lang w:val="en-US"/>
              </w:rPr>
              <w:tab/>
            </w:r>
            <w:r w:rsidRPr="00F01347">
              <w:rPr>
                <w:rFonts w:ascii="Verdana" w:hAnsi="Verdana"/>
                <w:sz w:val="16"/>
                <w:szCs w:val="16"/>
                <w:lang w:val="en-US"/>
              </w:rPr>
              <w:t xml:space="preserve">µg </w:t>
            </w:r>
            <w:r w:rsidRPr="00F01347">
              <w:rPr>
                <w:rFonts w:ascii="Verdana" w:hAnsi="Verdana"/>
                <w:sz w:val="16"/>
                <w:szCs w:val="16"/>
                <w:lang w:val="en-US"/>
              </w:rPr>
              <w:tab/>
              <w:t>microgram</w:t>
            </w:r>
          </w:p>
        </w:tc>
      </w:tr>
      <w:tr w:rsidR="003E1BA9" w:rsidRPr="00F01347" w14:paraId="072CDDFC" w14:textId="035F28A0" w:rsidTr="002444E4">
        <w:tc>
          <w:tcPr>
            <w:tcW w:w="4675" w:type="dxa"/>
          </w:tcPr>
          <w:p w14:paraId="5E08803F" w14:textId="77777777"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4.13</w:t>
            </w:r>
            <w:r w:rsidRPr="00F01347">
              <w:rPr>
                <w:rFonts w:ascii="Verdana" w:hAnsi="Verdana"/>
                <w:b/>
                <w:sz w:val="16"/>
                <w:szCs w:val="16"/>
                <w:lang w:val="es-ES_tradnl"/>
              </w:rPr>
              <w:tab/>
            </w:r>
            <w:r w:rsidRPr="00F01347">
              <w:rPr>
                <w:rFonts w:ascii="Verdana" w:hAnsi="Verdana"/>
                <w:sz w:val="16"/>
                <w:szCs w:val="16"/>
                <w:lang w:val="es-ES_tradnl"/>
              </w:rPr>
              <w:t>NMP</w:t>
            </w:r>
            <w:r w:rsidRPr="00F01347">
              <w:rPr>
                <w:rFonts w:ascii="Verdana" w:hAnsi="Verdana"/>
                <w:sz w:val="16"/>
                <w:szCs w:val="16"/>
                <w:lang w:val="es-ES_tradnl"/>
              </w:rPr>
              <w:tab/>
              <w:t>número más probable</w:t>
            </w:r>
          </w:p>
        </w:tc>
        <w:tc>
          <w:tcPr>
            <w:tcW w:w="4675" w:type="dxa"/>
          </w:tcPr>
          <w:p w14:paraId="74A627BC" w14:textId="67CD02EF"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4.13 </w:t>
            </w:r>
            <w:r w:rsidRPr="00F01347">
              <w:rPr>
                <w:rFonts w:ascii="Verdana" w:hAnsi="Verdana"/>
                <w:b/>
                <w:sz w:val="16"/>
                <w:szCs w:val="16"/>
                <w:lang w:val="en-US"/>
              </w:rPr>
              <w:tab/>
            </w:r>
            <w:r w:rsidRPr="00F01347">
              <w:rPr>
                <w:rFonts w:ascii="Verdana" w:hAnsi="Verdana"/>
                <w:sz w:val="16"/>
                <w:szCs w:val="16"/>
                <w:lang w:val="en-US"/>
              </w:rPr>
              <w:t xml:space="preserve">NMP </w:t>
            </w:r>
            <w:r w:rsidRPr="00F01347">
              <w:rPr>
                <w:rFonts w:ascii="Verdana" w:hAnsi="Verdana"/>
                <w:sz w:val="16"/>
                <w:szCs w:val="16"/>
                <w:lang w:val="en-US"/>
              </w:rPr>
              <w:tab/>
              <w:t>most probable number</w:t>
            </w:r>
          </w:p>
        </w:tc>
      </w:tr>
      <w:tr w:rsidR="003E1BA9" w:rsidRPr="00F01347" w14:paraId="212158D1" w14:textId="7B1781F7" w:rsidTr="002444E4">
        <w:tc>
          <w:tcPr>
            <w:tcW w:w="4675" w:type="dxa"/>
          </w:tcPr>
          <w:p w14:paraId="5F4CD201" w14:textId="77777777"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4.14</w:t>
            </w:r>
            <w:r w:rsidRPr="00F01347">
              <w:rPr>
                <w:rFonts w:ascii="Verdana" w:hAnsi="Verdana"/>
                <w:sz w:val="16"/>
                <w:szCs w:val="16"/>
                <w:lang w:val="es-ES_tradnl"/>
              </w:rPr>
              <w:tab/>
              <w:t>N-NO</w:t>
            </w:r>
            <w:r w:rsidRPr="00F01347">
              <w:rPr>
                <w:rFonts w:ascii="Verdana" w:hAnsi="Verdana"/>
                <w:sz w:val="16"/>
                <w:szCs w:val="16"/>
                <w:vertAlign w:val="subscript"/>
                <w:lang w:val="es-ES_tradnl"/>
              </w:rPr>
              <w:t>3</w:t>
            </w:r>
            <w:r w:rsidRPr="00F01347">
              <w:rPr>
                <w:rFonts w:ascii="Verdana" w:hAnsi="Verdana"/>
                <w:sz w:val="16"/>
                <w:szCs w:val="16"/>
                <w:vertAlign w:val="superscript"/>
                <w:lang w:val="es-ES_tradnl"/>
              </w:rPr>
              <w:t>-</w:t>
            </w:r>
            <w:r w:rsidRPr="00F01347">
              <w:rPr>
                <w:rFonts w:ascii="Verdana" w:hAnsi="Verdana"/>
                <w:sz w:val="16"/>
                <w:szCs w:val="16"/>
                <w:lang w:val="es-ES_tradnl"/>
              </w:rPr>
              <w:tab/>
              <w:t>nitrógeno de nitratos</w:t>
            </w:r>
          </w:p>
        </w:tc>
        <w:tc>
          <w:tcPr>
            <w:tcW w:w="4675" w:type="dxa"/>
          </w:tcPr>
          <w:p w14:paraId="4FE1CE0D" w14:textId="4DE9F10F"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4.14 </w:t>
            </w:r>
            <w:r w:rsidRPr="00F01347">
              <w:rPr>
                <w:rFonts w:ascii="Verdana" w:hAnsi="Verdana"/>
                <w:sz w:val="16"/>
                <w:szCs w:val="16"/>
                <w:lang w:val="en-US"/>
              </w:rPr>
              <w:tab/>
              <w:t>N-NO</w:t>
            </w:r>
            <w:r w:rsidRPr="00F01347">
              <w:rPr>
                <w:rFonts w:ascii="Verdana" w:hAnsi="Verdana"/>
                <w:sz w:val="16"/>
                <w:szCs w:val="16"/>
                <w:vertAlign w:val="subscript"/>
                <w:lang w:val="en-US"/>
              </w:rPr>
              <w:t xml:space="preserve">3 </w:t>
            </w:r>
            <w:r w:rsidRPr="00F01347">
              <w:rPr>
                <w:rFonts w:ascii="Verdana" w:hAnsi="Verdana"/>
                <w:sz w:val="16"/>
                <w:szCs w:val="16"/>
                <w:vertAlign w:val="superscript"/>
                <w:lang w:val="en-US"/>
              </w:rPr>
              <w:t xml:space="preserve">- </w:t>
            </w:r>
            <w:r w:rsidRPr="00F01347">
              <w:rPr>
                <w:rFonts w:ascii="Verdana" w:hAnsi="Verdana"/>
                <w:sz w:val="16"/>
                <w:szCs w:val="16"/>
                <w:lang w:val="en-US"/>
              </w:rPr>
              <w:tab/>
              <w:t>nitrogen from nitrates</w:t>
            </w:r>
          </w:p>
        </w:tc>
      </w:tr>
      <w:tr w:rsidR="003E1BA9" w:rsidRPr="00F01347" w14:paraId="4D2EDC61" w14:textId="2575CF10" w:rsidTr="002444E4">
        <w:tc>
          <w:tcPr>
            <w:tcW w:w="4675" w:type="dxa"/>
          </w:tcPr>
          <w:p w14:paraId="17590559" w14:textId="77777777"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4.15</w:t>
            </w:r>
            <w:r w:rsidRPr="00F01347">
              <w:rPr>
                <w:rFonts w:ascii="Verdana" w:hAnsi="Verdana"/>
                <w:sz w:val="16"/>
                <w:szCs w:val="16"/>
                <w:lang w:val="es-ES_tradnl"/>
              </w:rPr>
              <w:tab/>
              <w:t>N-NO</w:t>
            </w:r>
            <w:r w:rsidRPr="00F01347">
              <w:rPr>
                <w:rFonts w:ascii="Verdana" w:hAnsi="Verdana"/>
                <w:sz w:val="16"/>
                <w:szCs w:val="16"/>
                <w:vertAlign w:val="subscript"/>
                <w:lang w:val="es-ES_tradnl"/>
              </w:rPr>
              <w:t>2</w:t>
            </w:r>
            <w:r w:rsidRPr="00F01347">
              <w:rPr>
                <w:rFonts w:ascii="Verdana" w:hAnsi="Verdana"/>
                <w:sz w:val="16"/>
                <w:szCs w:val="16"/>
                <w:vertAlign w:val="superscript"/>
                <w:lang w:val="es-ES_tradnl"/>
              </w:rPr>
              <w:t>-</w:t>
            </w:r>
            <w:r w:rsidRPr="00F01347">
              <w:rPr>
                <w:rFonts w:ascii="Verdana" w:hAnsi="Verdana"/>
                <w:sz w:val="16"/>
                <w:szCs w:val="16"/>
                <w:lang w:val="es-ES_tradnl"/>
              </w:rPr>
              <w:tab/>
              <w:t>nitrógeno de nitritos</w:t>
            </w:r>
          </w:p>
        </w:tc>
        <w:tc>
          <w:tcPr>
            <w:tcW w:w="4675" w:type="dxa"/>
          </w:tcPr>
          <w:p w14:paraId="33956A09" w14:textId="22D1A88A"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4.15 </w:t>
            </w:r>
            <w:r w:rsidRPr="00F01347">
              <w:rPr>
                <w:rFonts w:ascii="Verdana" w:hAnsi="Verdana"/>
                <w:sz w:val="16"/>
                <w:szCs w:val="16"/>
                <w:lang w:val="en-US"/>
              </w:rPr>
              <w:tab/>
              <w:t>N-NO</w:t>
            </w:r>
            <w:r w:rsidRPr="00F01347">
              <w:rPr>
                <w:rFonts w:ascii="Verdana" w:hAnsi="Verdana"/>
                <w:sz w:val="16"/>
                <w:szCs w:val="16"/>
                <w:vertAlign w:val="subscript"/>
                <w:lang w:val="en-US"/>
              </w:rPr>
              <w:t xml:space="preserve">2 </w:t>
            </w:r>
            <w:r w:rsidRPr="00F01347">
              <w:rPr>
                <w:rFonts w:ascii="Verdana" w:hAnsi="Verdana"/>
                <w:sz w:val="16"/>
                <w:szCs w:val="16"/>
                <w:vertAlign w:val="superscript"/>
                <w:lang w:val="en-US"/>
              </w:rPr>
              <w:t xml:space="preserve">- </w:t>
            </w:r>
            <w:r w:rsidRPr="00F01347">
              <w:rPr>
                <w:rFonts w:ascii="Verdana" w:hAnsi="Verdana"/>
                <w:sz w:val="16"/>
                <w:szCs w:val="16"/>
                <w:lang w:val="en-US"/>
              </w:rPr>
              <w:tab/>
              <w:t>nitrogen from nitrites</w:t>
            </w:r>
          </w:p>
        </w:tc>
      </w:tr>
      <w:tr w:rsidR="003E1BA9" w:rsidRPr="00F01347" w14:paraId="5E60DC1B" w14:textId="7207E98A" w:rsidTr="002444E4">
        <w:tc>
          <w:tcPr>
            <w:tcW w:w="4675" w:type="dxa"/>
          </w:tcPr>
          <w:p w14:paraId="19C96628" w14:textId="77777777"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4.16</w:t>
            </w:r>
            <w:r w:rsidRPr="00F01347">
              <w:rPr>
                <w:rFonts w:ascii="Verdana" w:hAnsi="Verdana"/>
                <w:sz w:val="16"/>
                <w:szCs w:val="16"/>
                <w:lang w:val="es-ES_tradnl"/>
              </w:rPr>
              <w:tab/>
            </w:r>
            <w:r w:rsidRPr="00F01347">
              <w:rPr>
                <w:rFonts w:ascii="Verdana" w:hAnsi="Verdana"/>
                <w:sz w:val="16"/>
                <w:szCs w:val="16"/>
              </w:rPr>
              <w:t>N-NH</w:t>
            </w:r>
            <w:r w:rsidRPr="00F01347">
              <w:rPr>
                <w:rFonts w:ascii="Verdana" w:hAnsi="Verdana"/>
                <w:sz w:val="16"/>
                <w:szCs w:val="16"/>
                <w:vertAlign w:val="subscript"/>
              </w:rPr>
              <w:t>3</w:t>
            </w:r>
            <w:r w:rsidRPr="00F01347">
              <w:rPr>
                <w:rFonts w:ascii="Verdana" w:hAnsi="Verdana"/>
                <w:sz w:val="16"/>
                <w:szCs w:val="16"/>
                <w:vertAlign w:val="subscript"/>
              </w:rPr>
              <w:tab/>
            </w:r>
            <w:r w:rsidRPr="00F01347">
              <w:rPr>
                <w:rFonts w:ascii="Verdana" w:hAnsi="Verdana"/>
                <w:sz w:val="16"/>
                <w:szCs w:val="16"/>
              </w:rPr>
              <w:t>nitrógeno amoniacal</w:t>
            </w:r>
          </w:p>
        </w:tc>
        <w:tc>
          <w:tcPr>
            <w:tcW w:w="4675" w:type="dxa"/>
          </w:tcPr>
          <w:p w14:paraId="34975AAE" w14:textId="603B72AC"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4.16 </w:t>
            </w:r>
            <w:r w:rsidRPr="00F01347">
              <w:rPr>
                <w:rFonts w:ascii="Verdana" w:hAnsi="Verdana"/>
                <w:sz w:val="16"/>
                <w:szCs w:val="16"/>
                <w:lang w:val="en-US"/>
              </w:rPr>
              <w:tab/>
              <w:t>N-NH</w:t>
            </w:r>
            <w:r w:rsidRPr="00F01347">
              <w:rPr>
                <w:rFonts w:ascii="Verdana" w:hAnsi="Verdana"/>
                <w:sz w:val="16"/>
                <w:szCs w:val="16"/>
                <w:vertAlign w:val="subscript"/>
                <w:lang w:val="en-US"/>
              </w:rPr>
              <w:t xml:space="preserve">3 </w:t>
            </w:r>
            <w:r w:rsidRPr="00F01347">
              <w:rPr>
                <w:rFonts w:ascii="Verdana" w:hAnsi="Verdana"/>
                <w:sz w:val="16"/>
                <w:szCs w:val="16"/>
                <w:vertAlign w:val="subscript"/>
                <w:lang w:val="en-US"/>
              </w:rPr>
              <w:tab/>
            </w:r>
            <w:r w:rsidRPr="00F01347">
              <w:rPr>
                <w:rFonts w:ascii="Verdana" w:hAnsi="Verdana"/>
                <w:sz w:val="16"/>
                <w:szCs w:val="16"/>
                <w:lang w:val="en-US"/>
              </w:rPr>
              <w:t>ammoniacal nitrogen</w:t>
            </w:r>
          </w:p>
        </w:tc>
      </w:tr>
      <w:tr w:rsidR="003E1BA9" w:rsidRPr="00F01347" w14:paraId="322FE572" w14:textId="7F9C2A0A" w:rsidTr="002444E4">
        <w:tc>
          <w:tcPr>
            <w:tcW w:w="4675" w:type="dxa"/>
          </w:tcPr>
          <w:p w14:paraId="44E8CDE7" w14:textId="77777777"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4.17</w:t>
            </w:r>
            <w:r w:rsidRPr="00F01347">
              <w:rPr>
                <w:rFonts w:ascii="Verdana" w:hAnsi="Verdana"/>
                <w:b/>
                <w:sz w:val="16"/>
                <w:szCs w:val="16"/>
                <w:lang w:val="es-ES_tradnl"/>
              </w:rPr>
              <w:tab/>
            </w:r>
            <w:r w:rsidRPr="00F01347">
              <w:rPr>
                <w:rFonts w:ascii="Verdana" w:hAnsi="Verdana"/>
                <w:sz w:val="16"/>
                <w:szCs w:val="16"/>
                <w:lang w:val="es-ES_tradnl"/>
              </w:rPr>
              <w:t>pH</w:t>
            </w:r>
            <w:r w:rsidRPr="00F01347">
              <w:rPr>
                <w:rFonts w:ascii="Verdana" w:hAnsi="Verdana"/>
                <w:sz w:val="16"/>
                <w:szCs w:val="16"/>
                <w:lang w:val="es-ES_tradnl"/>
              </w:rPr>
              <w:tab/>
              <w:t>potencial de hidrógeno</w:t>
            </w:r>
          </w:p>
        </w:tc>
        <w:tc>
          <w:tcPr>
            <w:tcW w:w="4675" w:type="dxa"/>
          </w:tcPr>
          <w:p w14:paraId="2505B45A" w14:textId="08AE4A4C"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4.17 </w:t>
            </w:r>
            <w:r w:rsidRPr="00F01347">
              <w:rPr>
                <w:rFonts w:ascii="Verdana" w:hAnsi="Verdana"/>
                <w:b/>
                <w:sz w:val="16"/>
                <w:szCs w:val="16"/>
                <w:lang w:val="en-US"/>
              </w:rPr>
              <w:tab/>
            </w:r>
            <w:r w:rsidRPr="00F01347">
              <w:rPr>
                <w:rFonts w:ascii="Verdana" w:hAnsi="Verdana"/>
                <w:sz w:val="16"/>
                <w:szCs w:val="16"/>
                <w:lang w:val="en-US"/>
              </w:rPr>
              <w:t xml:space="preserve">pH </w:t>
            </w:r>
            <w:r w:rsidRPr="00F01347">
              <w:rPr>
                <w:rFonts w:ascii="Verdana" w:hAnsi="Verdana"/>
                <w:sz w:val="16"/>
                <w:szCs w:val="16"/>
                <w:lang w:val="en-US"/>
              </w:rPr>
              <w:tab/>
              <w:t>potential of hydrogen</w:t>
            </w:r>
          </w:p>
        </w:tc>
      </w:tr>
      <w:tr w:rsidR="003E1BA9" w:rsidRPr="00F01347" w14:paraId="016D59B5" w14:textId="76B93A2B" w:rsidTr="002444E4">
        <w:tc>
          <w:tcPr>
            <w:tcW w:w="4675" w:type="dxa"/>
          </w:tcPr>
          <w:p w14:paraId="728207AD" w14:textId="77777777" w:rsidR="003E1BA9" w:rsidRPr="00F01347" w:rsidRDefault="003E1BA9" w:rsidP="003E1BA9">
            <w:pPr>
              <w:pStyle w:val="texto0"/>
              <w:tabs>
                <w:tab w:val="left" w:pos="900"/>
              </w:tabs>
              <w:spacing w:after="86" w:line="220" w:lineRule="exact"/>
              <w:ind w:firstLine="0"/>
              <w:rPr>
                <w:rFonts w:ascii="Verdana" w:hAnsi="Verdana"/>
                <w:b/>
                <w:sz w:val="16"/>
                <w:szCs w:val="16"/>
                <w:lang w:val="es-ES_tradnl"/>
              </w:rPr>
            </w:pPr>
            <w:r w:rsidRPr="00F01347">
              <w:rPr>
                <w:rFonts w:ascii="Verdana" w:hAnsi="Verdana"/>
                <w:b/>
                <w:sz w:val="16"/>
                <w:szCs w:val="16"/>
                <w:lang w:val="es-ES_tradnl"/>
              </w:rPr>
              <w:t>4.18</w:t>
            </w:r>
            <w:r w:rsidRPr="00F01347">
              <w:rPr>
                <w:rFonts w:ascii="Verdana" w:hAnsi="Verdana"/>
                <w:b/>
                <w:sz w:val="16"/>
                <w:szCs w:val="16"/>
                <w:lang w:val="es-ES_tradnl"/>
              </w:rPr>
              <w:tab/>
            </w:r>
            <w:r w:rsidRPr="00F01347">
              <w:rPr>
                <w:rFonts w:ascii="Verdana" w:hAnsi="Verdana"/>
                <w:sz w:val="16"/>
                <w:szCs w:val="16"/>
                <w:lang w:val="es-ES_tradnl"/>
              </w:rPr>
              <w:t>SO</w:t>
            </w:r>
            <w:r w:rsidRPr="00F01347">
              <w:rPr>
                <w:rFonts w:ascii="Verdana" w:hAnsi="Verdana"/>
                <w:sz w:val="16"/>
                <w:szCs w:val="16"/>
                <w:vertAlign w:val="subscript"/>
                <w:lang w:val="es-ES_tradnl"/>
              </w:rPr>
              <w:t>4</w:t>
            </w:r>
            <w:r w:rsidRPr="00F01347">
              <w:rPr>
                <w:rFonts w:ascii="Verdana" w:hAnsi="Verdana"/>
                <w:sz w:val="16"/>
                <w:szCs w:val="16"/>
                <w:vertAlign w:val="superscript"/>
                <w:lang w:val="es-ES_tradnl"/>
              </w:rPr>
              <w:t>=</w:t>
            </w:r>
            <w:r w:rsidRPr="00F01347">
              <w:rPr>
                <w:rFonts w:ascii="Verdana" w:hAnsi="Verdana"/>
                <w:sz w:val="16"/>
                <w:szCs w:val="16"/>
                <w:lang w:val="es-ES_tradnl"/>
              </w:rPr>
              <w:tab/>
              <w:t>sulfatos</w:t>
            </w:r>
          </w:p>
        </w:tc>
        <w:tc>
          <w:tcPr>
            <w:tcW w:w="4675" w:type="dxa"/>
          </w:tcPr>
          <w:p w14:paraId="3AF98A31" w14:textId="63AB27B2"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4.18 </w:t>
            </w:r>
            <w:r w:rsidRPr="00F01347">
              <w:rPr>
                <w:rFonts w:ascii="Verdana" w:hAnsi="Verdana"/>
                <w:b/>
                <w:sz w:val="16"/>
                <w:szCs w:val="16"/>
                <w:lang w:val="en-US"/>
              </w:rPr>
              <w:tab/>
            </w:r>
            <w:r w:rsidRPr="00F01347">
              <w:rPr>
                <w:rFonts w:ascii="Verdana" w:hAnsi="Verdana"/>
                <w:sz w:val="16"/>
                <w:szCs w:val="16"/>
                <w:lang w:val="en-US"/>
              </w:rPr>
              <w:t>SO</w:t>
            </w:r>
            <w:r w:rsidRPr="00F01347">
              <w:rPr>
                <w:rFonts w:ascii="Verdana" w:hAnsi="Verdana"/>
                <w:sz w:val="16"/>
                <w:szCs w:val="16"/>
                <w:vertAlign w:val="subscript"/>
                <w:lang w:val="en-US"/>
              </w:rPr>
              <w:t xml:space="preserve">4 </w:t>
            </w:r>
            <w:r w:rsidRPr="00F01347">
              <w:rPr>
                <w:rFonts w:ascii="Verdana" w:hAnsi="Verdana"/>
                <w:sz w:val="16"/>
                <w:szCs w:val="16"/>
                <w:vertAlign w:val="superscript"/>
                <w:lang w:val="en-US"/>
              </w:rPr>
              <w:t xml:space="preserve">= </w:t>
            </w:r>
            <w:r w:rsidRPr="00F01347">
              <w:rPr>
                <w:rFonts w:ascii="Verdana" w:hAnsi="Verdana"/>
                <w:sz w:val="16"/>
                <w:szCs w:val="16"/>
                <w:lang w:val="en-US"/>
              </w:rPr>
              <w:tab/>
              <w:t>sulfates</w:t>
            </w:r>
          </w:p>
        </w:tc>
      </w:tr>
      <w:tr w:rsidR="003E1BA9" w:rsidRPr="00F01347" w14:paraId="23BCA21B" w14:textId="0F4947F6" w:rsidTr="002444E4">
        <w:tc>
          <w:tcPr>
            <w:tcW w:w="4675" w:type="dxa"/>
          </w:tcPr>
          <w:p w14:paraId="5B1730EC" w14:textId="77777777"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4.19</w:t>
            </w:r>
            <w:r w:rsidRPr="00F01347">
              <w:rPr>
                <w:rFonts w:ascii="Verdana" w:hAnsi="Verdana"/>
                <w:sz w:val="16"/>
                <w:szCs w:val="16"/>
                <w:lang w:val="es-ES_tradnl"/>
              </w:rPr>
              <w:tab/>
              <w:t>UC</w:t>
            </w:r>
            <w:r w:rsidRPr="00F01347">
              <w:rPr>
                <w:rFonts w:ascii="Verdana" w:hAnsi="Verdana"/>
                <w:sz w:val="16"/>
                <w:szCs w:val="16"/>
                <w:lang w:val="es-ES_tradnl"/>
              </w:rPr>
              <w:tab/>
              <w:t>unidades de color</w:t>
            </w:r>
          </w:p>
        </w:tc>
        <w:tc>
          <w:tcPr>
            <w:tcW w:w="4675" w:type="dxa"/>
          </w:tcPr>
          <w:p w14:paraId="095A5567" w14:textId="3249EB2C"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4.19 </w:t>
            </w:r>
            <w:r w:rsidRPr="00F01347">
              <w:rPr>
                <w:rFonts w:ascii="Verdana" w:hAnsi="Verdana"/>
                <w:sz w:val="16"/>
                <w:szCs w:val="16"/>
                <w:lang w:val="en-US"/>
              </w:rPr>
              <w:tab/>
              <w:t>UC</w:t>
            </w:r>
            <w:r w:rsidR="002E329F" w:rsidRPr="00F01347">
              <w:rPr>
                <w:rFonts w:ascii="Verdana" w:hAnsi="Verdana"/>
                <w:sz w:val="16"/>
                <w:szCs w:val="16"/>
                <w:lang w:val="en-US"/>
              </w:rPr>
              <w:t xml:space="preserve">     </w:t>
            </w:r>
            <w:r w:rsidRPr="00F01347">
              <w:rPr>
                <w:rFonts w:ascii="Verdana" w:hAnsi="Verdana"/>
                <w:sz w:val="16"/>
                <w:szCs w:val="16"/>
                <w:lang w:val="en-US"/>
              </w:rPr>
              <w:t>color units</w:t>
            </w:r>
          </w:p>
        </w:tc>
      </w:tr>
      <w:tr w:rsidR="003E1BA9" w:rsidRPr="00F01347" w14:paraId="21FC407D" w14:textId="5416D561" w:rsidTr="002444E4">
        <w:tc>
          <w:tcPr>
            <w:tcW w:w="4675" w:type="dxa"/>
          </w:tcPr>
          <w:p w14:paraId="16A3B8FB" w14:textId="77777777"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4.20</w:t>
            </w:r>
            <w:r w:rsidRPr="00F01347">
              <w:rPr>
                <w:rFonts w:ascii="Verdana" w:hAnsi="Verdana"/>
                <w:b/>
                <w:sz w:val="16"/>
                <w:szCs w:val="16"/>
                <w:lang w:val="es-ES_tradnl"/>
              </w:rPr>
              <w:tab/>
            </w:r>
            <w:r w:rsidRPr="00F01347">
              <w:rPr>
                <w:rFonts w:ascii="Verdana" w:hAnsi="Verdana"/>
                <w:sz w:val="16"/>
                <w:szCs w:val="16"/>
                <w:lang w:val="es-ES_tradnl"/>
              </w:rPr>
              <w:t>UFC</w:t>
            </w:r>
            <w:r w:rsidRPr="00F01347">
              <w:rPr>
                <w:rFonts w:ascii="Verdana" w:hAnsi="Verdana"/>
                <w:sz w:val="16"/>
                <w:szCs w:val="16"/>
                <w:lang w:val="es-ES_tradnl"/>
              </w:rPr>
              <w:tab/>
              <w:t>unidades formadoras de colonias</w:t>
            </w:r>
          </w:p>
        </w:tc>
        <w:tc>
          <w:tcPr>
            <w:tcW w:w="4675" w:type="dxa"/>
          </w:tcPr>
          <w:p w14:paraId="0B04D850" w14:textId="04873338"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4.20 </w:t>
            </w:r>
            <w:r w:rsidRPr="00F01347">
              <w:rPr>
                <w:rFonts w:ascii="Verdana" w:hAnsi="Verdana"/>
                <w:b/>
                <w:sz w:val="16"/>
                <w:szCs w:val="16"/>
                <w:lang w:val="en-US"/>
              </w:rPr>
              <w:tab/>
            </w:r>
            <w:r w:rsidRPr="00F01347">
              <w:rPr>
                <w:rFonts w:ascii="Verdana" w:hAnsi="Verdana"/>
                <w:sz w:val="16"/>
                <w:szCs w:val="16"/>
                <w:lang w:val="en-US"/>
              </w:rPr>
              <w:t xml:space="preserve">CFU </w:t>
            </w:r>
            <w:r w:rsidRPr="00F01347">
              <w:rPr>
                <w:rFonts w:ascii="Verdana" w:hAnsi="Verdana"/>
                <w:sz w:val="16"/>
                <w:szCs w:val="16"/>
                <w:lang w:val="en-US"/>
              </w:rPr>
              <w:tab/>
              <w:t>colony forming units</w:t>
            </w:r>
          </w:p>
        </w:tc>
      </w:tr>
      <w:tr w:rsidR="003E1BA9" w:rsidRPr="00F01347" w14:paraId="4D63C7CC" w14:textId="4D6D46BD" w:rsidTr="002444E4">
        <w:tc>
          <w:tcPr>
            <w:tcW w:w="4675" w:type="dxa"/>
          </w:tcPr>
          <w:p w14:paraId="6542C3F0" w14:textId="77777777"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4.21</w:t>
            </w:r>
            <w:r w:rsidRPr="00F01347">
              <w:rPr>
                <w:rFonts w:ascii="Verdana" w:hAnsi="Verdana"/>
                <w:b/>
                <w:sz w:val="16"/>
                <w:szCs w:val="16"/>
                <w:lang w:val="es-ES_tradnl"/>
              </w:rPr>
              <w:tab/>
            </w:r>
            <w:r w:rsidRPr="00F01347">
              <w:rPr>
                <w:rFonts w:ascii="Verdana" w:hAnsi="Verdana"/>
                <w:sz w:val="16"/>
                <w:szCs w:val="16"/>
                <w:lang w:val="es-ES_tradnl"/>
              </w:rPr>
              <w:t>UNT</w:t>
            </w:r>
            <w:r w:rsidRPr="00F01347">
              <w:rPr>
                <w:rFonts w:ascii="Verdana" w:hAnsi="Verdana"/>
                <w:sz w:val="16"/>
                <w:szCs w:val="16"/>
                <w:lang w:val="es-ES_tradnl"/>
              </w:rPr>
              <w:tab/>
              <w:t>unidades nefelométricas de turbiedad</w:t>
            </w:r>
          </w:p>
        </w:tc>
        <w:tc>
          <w:tcPr>
            <w:tcW w:w="4675" w:type="dxa"/>
          </w:tcPr>
          <w:p w14:paraId="743F94CD" w14:textId="51C4AA48"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4.21 </w:t>
            </w:r>
            <w:r w:rsidRPr="00F01347">
              <w:rPr>
                <w:rFonts w:ascii="Verdana" w:hAnsi="Verdana"/>
                <w:b/>
                <w:sz w:val="16"/>
                <w:szCs w:val="16"/>
                <w:lang w:val="en-US"/>
              </w:rPr>
              <w:tab/>
            </w:r>
            <w:r w:rsidRPr="00F01347">
              <w:rPr>
                <w:rFonts w:ascii="Verdana" w:hAnsi="Verdana"/>
                <w:sz w:val="16"/>
                <w:szCs w:val="16"/>
                <w:lang w:val="en-US"/>
              </w:rPr>
              <w:t xml:space="preserve">NTU </w:t>
            </w:r>
            <w:r w:rsidRPr="00F01347">
              <w:rPr>
                <w:rFonts w:ascii="Verdana" w:hAnsi="Verdana"/>
                <w:sz w:val="16"/>
                <w:szCs w:val="16"/>
                <w:lang w:val="en-US"/>
              </w:rPr>
              <w:tab/>
              <w:t>nephelometric turbidity units</w:t>
            </w:r>
          </w:p>
        </w:tc>
      </w:tr>
      <w:tr w:rsidR="003E1BA9" w:rsidRPr="00F01347" w14:paraId="50F90703" w14:textId="28FD306F" w:rsidTr="002444E4">
        <w:tc>
          <w:tcPr>
            <w:tcW w:w="4675" w:type="dxa"/>
          </w:tcPr>
          <w:p w14:paraId="07F4AF62" w14:textId="77777777" w:rsidR="003E1BA9" w:rsidRPr="00F01347" w:rsidRDefault="003E1BA9" w:rsidP="003E1BA9">
            <w:pPr>
              <w:pStyle w:val="texto0"/>
              <w:tabs>
                <w:tab w:val="left" w:pos="900"/>
              </w:tabs>
              <w:spacing w:after="86" w:line="220" w:lineRule="exact"/>
              <w:ind w:firstLine="0"/>
              <w:rPr>
                <w:rFonts w:ascii="Verdana" w:hAnsi="Verdana"/>
                <w:sz w:val="16"/>
                <w:szCs w:val="16"/>
              </w:rPr>
            </w:pPr>
            <w:r w:rsidRPr="00F01347">
              <w:rPr>
                <w:rFonts w:ascii="Verdana" w:hAnsi="Verdana"/>
                <w:b/>
                <w:sz w:val="16"/>
                <w:szCs w:val="16"/>
              </w:rPr>
              <w:t>4.22</w:t>
            </w:r>
            <w:r w:rsidRPr="00F01347">
              <w:rPr>
                <w:rFonts w:ascii="Verdana" w:hAnsi="Verdana"/>
                <w:b/>
                <w:sz w:val="16"/>
                <w:szCs w:val="16"/>
              </w:rPr>
              <w:tab/>
            </w:r>
            <w:r w:rsidRPr="00F01347">
              <w:rPr>
                <w:rFonts w:ascii="Verdana" w:hAnsi="Verdana"/>
                <w:sz w:val="16"/>
                <w:szCs w:val="16"/>
              </w:rPr>
              <w:t>2,4-D</w:t>
            </w:r>
            <w:r w:rsidRPr="00F01347">
              <w:rPr>
                <w:rFonts w:ascii="Verdana" w:hAnsi="Verdana"/>
                <w:sz w:val="16"/>
                <w:szCs w:val="16"/>
              </w:rPr>
              <w:tab/>
              <w:t>ácido 2,4-diclorofenoxiacético</w:t>
            </w:r>
          </w:p>
        </w:tc>
        <w:tc>
          <w:tcPr>
            <w:tcW w:w="4675" w:type="dxa"/>
          </w:tcPr>
          <w:p w14:paraId="1437D4F0" w14:textId="38D1B0E9"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4.22 </w:t>
            </w:r>
            <w:r w:rsidRPr="00F01347">
              <w:rPr>
                <w:rFonts w:ascii="Verdana" w:hAnsi="Verdana"/>
                <w:b/>
                <w:sz w:val="16"/>
                <w:szCs w:val="16"/>
                <w:lang w:val="en-US"/>
              </w:rPr>
              <w:tab/>
            </w:r>
            <w:r w:rsidRPr="00F01347">
              <w:rPr>
                <w:rFonts w:ascii="Verdana" w:hAnsi="Verdana"/>
                <w:sz w:val="16"/>
                <w:szCs w:val="16"/>
                <w:lang w:val="en-US"/>
              </w:rPr>
              <w:t>2,4-D 2,4-dichlorophenoxyacetic acid</w:t>
            </w:r>
          </w:p>
        </w:tc>
      </w:tr>
      <w:tr w:rsidR="003E1BA9" w:rsidRPr="00F01347" w14:paraId="0E1001DF" w14:textId="0BFA8991" w:rsidTr="002444E4">
        <w:tc>
          <w:tcPr>
            <w:tcW w:w="4675" w:type="dxa"/>
          </w:tcPr>
          <w:p w14:paraId="7C8ED1B5" w14:textId="77777777" w:rsidR="003E1BA9" w:rsidRPr="00F01347" w:rsidRDefault="003E1BA9" w:rsidP="003E1BA9">
            <w:pPr>
              <w:pStyle w:val="texto0"/>
              <w:tabs>
                <w:tab w:val="left" w:pos="900"/>
              </w:tabs>
              <w:spacing w:after="86" w:line="220" w:lineRule="exact"/>
              <w:ind w:firstLine="0"/>
              <w:rPr>
                <w:rFonts w:ascii="Verdana" w:hAnsi="Verdana"/>
                <w:sz w:val="16"/>
                <w:szCs w:val="16"/>
              </w:rPr>
            </w:pPr>
            <w:r w:rsidRPr="00F01347">
              <w:rPr>
                <w:rFonts w:ascii="Verdana" w:hAnsi="Verdana"/>
                <w:b/>
                <w:sz w:val="16"/>
                <w:szCs w:val="16"/>
              </w:rPr>
              <w:t>4.23</w:t>
            </w:r>
            <w:r w:rsidRPr="00F01347">
              <w:rPr>
                <w:rFonts w:ascii="Verdana" w:hAnsi="Verdana"/>
                <w:b/>
                <w:sz w:val="16"/>
                <w:szCs w:val="16"/>
              </w:rPr>
              <w:tab/>
            </w:r>
            <w:r w:rsidRPr="00F01347">
              <w:rPr>
                <w:rFonts w:ascii="Verdana" w:hAnsi="Verdana"/>
                <w:sz w:val="16"/>
                <w:szCs w:val="16"/>
              </w:rPr>
              <w:t>2,4-DB</w:t>
            </w:r>
            <w:r w:rsidRPr="00F01347">
              <w:rPr>
                <w:rFonts w:ascii="Verdana" w:hAnsi="Verdana"/>
                <w:sz w:val="16"/>
                <w:szCs w:val="16"/>
              </w:rPr>
              <w:tab/>
              <w:t>ácido 2,4-diclorofenoxibutírico</w:t>
            </w:r>
          </w:p>
        </w:tc>
        <w:tc>
          <w:tcPr>
            <w:tcW w:w="4675" w:type="dxa"/>
          </w:tcPr>
          <w:p w14:paraId="257C36C0" w14:textId="5F7CAABE"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4.23 </w:t>
            </w:r>
            <w:r w:rsidRPr="00F01347">
              <w:rPr>
                <w:rFonts w:ascii="Verdana" w:hAnsi="Verdana"/>
                <w:b/>
                <w:sz w:val="16"/>
                <w:szCs w:val="16"/>
                <w:lang w:val="en-US"/>
              </w:rPr>
              <w:tab/>
            </w:r>
            <w:r w:rsidRPr="00F01347">
              <w:rPr>
                <w:rFonts w:ascii="Verdana" w:hAnsi="Verdana"/>
                <w:sz w:val="16"/>
                <w:szCs w:val="16"/>
                <w:lang w:val="en-US"/>
              </w:rPr>
              <w:t>2,4-DB 2,4-dichlorophenoxybutyric acid</w:t>
            </w:r>
          </w:p>
        </w:tc>
      </w:tr>
      <w:tr w:rsidR="003E1BA9" w:rsidRPr="00F01347" w14:paraId="6D18424A" w14:textId="3504BD18" w:rsidTr="002444E4">
        <w:tc>
          <w:tcPr>
            <w:tcW w:w="4675" w:type="dxa"/>
          </w:tcPr>
          <w:p w14:paraId="172477E5" w14:textId="77777777"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4.24</w:t>
            </w:r>
            <w:r w:rsidRPr="00F01347">
              <w:rPr>
                <w:rFonts w:ascii="Verdana" w:hAnsi="Verdana"/>
                <w:b/>
                <w:sz w:val="16"/>
                <w:szCs w:val="16"/>
                <w:lang w:val="es-ES_tradnl"/>
              </w:rPr>
              <w:tab/>
            </w:r>
            <w:r w:rsidRPr="00F01347">
              <w:rPr>
                <w:rFonts w:ascii="Verdana" w:hAnsi="Verdana"/>
                <w:sz w:val="16"/>
                <w:szCs w:val="16"/>
                <w:lang w:val="es-ES_tradnl"/>
              </w:rPr>
              <w:t>2,4,5-T</w:t>
            </w:r>
            <w:r w:rsidRPr="00F01347">
              <w:rPr>
                <w:rFonts w:ascii="Verdana" w:hAnsi="Verdana"/>
                <w:sz w:val="16"/>
                <w:szCs w:val="16"/>
                <w:lang w:val="es-ES_tradnl"/>
              </w:rPr>
              <w:tab/>
              <w:t xml:space="preserve">ácido 2,4,5 </w:t>
            </w:r>
            <w:proofErr w:type="spellStart"/>
            <w:r w:rsidRPr="00F01347">
              <w:rPr>
                <w:rFonts w:ascii="Verdana" w:hAnsi="Verdana"/>
                <w:sz w:val="16"/>
                <w:szCs w:val="16"/>
                <w:lang w:val="es-ES_tradnl"/>
              </w:rPr>
              <w:t>triclorofenoxiacético</w:t>
            </w:r>
            <w:proofErr w:type="spellEnd"/>
          </w:p>
        </w:tc>
        <w:tc>
          <w:tcPr>
            <w:tcW w:w="4675" w:type="dxa"/>
          </w:tcPr>
          <w:p w14:paraId="11D72441" w14:textId="4CAF1B88"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4.24 </w:t>
            </w:r>
            <w:r w:rsidRPr="00F01347">
              <w:rPr>
                <w:rFonts w:ascii="Verdana" w:hAnsi="Verdana"/>
                <w:b/>
                <w:sz w:val="16"/>
                <w:szCs w:val="16"/>
                <w:lang w:val="en-US"/>
              </w:rPr>
              <w:tab/>
            </w:r>
            <w:r w:rsidRPr="00F01347">
              <w:rPr>
                <w:rFonts w:ascii="Verdana" w:hAnsi="Verdana"/>
                <w:sz w:val="16"/>
                <w:szCs w:val="16"/>
                <w:lang w:val="en-US"/>
              </w:rPr>
              <w:t xml:space="preserve">2,4,5-T 2,4,5 </w:t>
            </w:r>
            <w:proofErr w:type="spellStart"/>
            <w:r w:rsidRPr="00F01347">
              <w:rPr>
                <w:rFonts w:ascii="Verdana" w:hAnsi="Verdana"/>
                <w:sz w:val="16"/>
                <w:szCs w:val="16"/>
                <w:lang w:val="en-US"/>
              </w:rPr>
              <w:t>trichlorophenoxyacetic</w:t>
            </w:r>
            <w:proofErr w:type="spellEnd"/>
            <w:r w:rsidRPr="00F01347">
              <w:rPr>
                <w:rFonts w:ascii="Verdana" w:hAnsi="Verdana"/>
                <w:sz w:val="16"/>
                <w:szCs w:val="16"/>
                <w:lang w:val="en-US"/>
              </w:rPr>
              <w:t xml:space="preserve"> acid</w:t>
            </w:r>
          </w:p>
        </w:tc>
      </w:tr>
      <w:tr w:rsidR="003E1BA9" w:rsidRPr="00F01347" w14:paraId="50154362" w14:textId="2659D4EA" w:rsidTr="002444E4">
        <w:tc>
          <w:tcPr>
            <w:tcW w:w="4675" w:type="dxa"/>
          </w:tcPr>
          <w:p w14:paraId="56B3F044" w14:textId="3CB9E1B5"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t>4.25</w:t>
            </w:r>
            <w:r w:rsidRPr="00F01347">
              <w:rPr>
                <w:rFonts w:ascii="Verdana" w:hAnsi="Verdana"/>
                <w:sz w:val="16"/>
                <w:szCs w:val="16"/>
                <w:lang w:val="es-ES_tradnl"/>
              </w:rPr>
              <w:tab/>
              <w:t>2,4,5-TP</w:t>
            </w:r>
            <w:r w:rsidR="00F01347">
              <w:rPr>
                <w:rFonts w:ascii="Verdana" w:hAnsi="Verdana"/>
                <w:sz w:val="16"/>
                <w:szCs w:val="16"/>
                <w:lang w:val="es-ES_tradnl"/>
              </w:rPr>
              <w:t xml:space="preserve"> </w:t>
            </w:r>
            <w:r w:rsidRPr="00F01347">
              <w:rPr>
                <w:rFonts w:ascii="Verdana" w:hAnsi="Verdana"/>
                <w:sz w:val="16"/>
                <w:szCs w:val="16"/>
                <w:lang w:val="es-ES_tradnl"/>
              </w:rPr>
              <w:t>ácido</w:t>
            </w:r>
            <w:r w:rsidR="00F01347">
              <w:rPr>
                <w:rFonts w:ascii="Verdana" w:hAnsi="Verdana"/>
                <w:sz w:val="16"/>
                <w:szCs w:val="16"/>
                <w:lang w:val="es-ES_tradnl"/>
              </w:rPr>
              <w:t xml:space="preserve"> </w:t>
            </w:r>
            <w:r w:rsidRPr="00F01347">
              <w:rPr>
                <w:rFonts w:ascii="Verdana" w:hAnsi="Verdana"/>
                <w:sz w:val="16"/>
                <w:szCs w:val="16"/>
                <w:lang w:val="es-ES_tradnl"/>
              </w:rPr>
              <w:t>2,4,5-triclorofenoxi propiónico</w:t>
            </w:r>
          </w:p>
        </w:tc>
        <w:tc>
          <w:tcPr>
            <w:tcW w:w="4675" w:type="dxa"/>
          </w:tcPr>
          <w:p w14:paraId="5F49EE3F" w14:textId="67213919"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4.25 </w:t>
            </w:r>
            <w:r w:rsidRPr="00F01347">
              <w:rPr>
                <w:rFonts w:ascii="Verdana" w:hAnsi="Verdana"/>
                <w:sz w:val="16"/>
                <w:szCs w:val="16"/>
                <w:lang w:val="en-US"/>
              </w:rPr>
              <w:tab/>
              <w:t>2,4,5-TP2,4,5-trichlorophenoxy propionic acid</w:t>
            </w:r>
          </w:p>
        </w:tc>
      </w:tr>
      <w:tr w:rsidR="003E1BA9" w:rsidRPr="00F01347" w14:paraId="1BE1F21C" w14:textId="63B0EC37" w:rsidTr="002444E4">
        <w:tc>
          <w:tcPr>
            <w:tcW w:w="4675" w:type="dxa"/>
          </w:tcPr>
          <w:p w14:paraId="5AC6E8E8" w14:textId="77777777" w:rsidR="003E1BA9" w:rsidRPr="00F01347" w:rsidRDefault="003E1BA9" w:rsidP="003E1BA9">
            <w:pPr>
              <w:pStyle w:val="texto0"/>
              <w:tabs>
                <w:tab w:val="left" w:pos="900"/>
              </w:tabs>
              <w:spacing w:after="86" w:line="220" w:lineRule="exact"/>
              <w:ind w:firstLine="0"/>
              <w:rPr>
                <w:rFonts w:ascii="Verdana" w:hAnsi="Verdana"/>
                <w:sz w:val="16"/>
                <w:szCs w:val="16"/>
                <w:lang w:val="es-ES_tradnl"/>
              </w:rPr>
            </w:pPr>
            <w:r w:rsidRPr="00F01347">
              <w:rPr>
                <w:rFonts w:ascii="Verdana" w:hAnsi="Verdana"/>
                <w:b/>
                <w:sz w:val="16"/>
                <w:szCs w:val="16"/>
                <w:lang w:val="es-ES_tradnl"/>
              </w:rPr>
              <w:lastRenderedPageBreak/>
              <w:t>4.26</w:t>
            </w:r>
            <w:r w:rsidRPr="00F01347">
              <w:rPr>
                <w:rFonts w:ascii="Verdana" w:hAnsi="Verdana"/>
                <w:b/>
                <w:sz w:val="16"/>
                <w:szCs w:val="16"/>
                <w:lang w:val="es-ES_tradnl"/>
              </w:rPr>
              <w:tab/>
            </w:r>
            <w:r w:rsidRPr="00F01347">
              <w:rPr>
                <w:rFonts w:ascii="Verdana" w:hAnsi="Verdana"/>
                <w:sz w:val="16"/>
                <w:szCs w:val="16"/>
                <w:lang w:val="es-ES_tradnl"/>
              </w:rPr>
              <w:t>&lt;</w:t>
            </w:r>
            <w:r w:rsidRPr="00F01347">
              <w:rPr>
                <w:rFonts w:ascii="Verdana" w:hAnsi="Verdana"/>
                <w:sz w:val="16"/>
                <w:szCs w:val="16"/>
                <w:lang w:val="es-ES_tradnl"/>
              </w:rPr>
              <w:tab/>
              <w:t>menor que</w:t>
            </w:r>
          </w:p>
        </w:tc>
        <w:tc>
          <w:tcPr>
            <w:tcW w:w="4675" w:type="dxa"/>
          </w:tcPr>
          <w:p w14:paraId="1562E1E9" w14:textId="00986E38" w:rsidR="003E1BA9" w:rsidRPr="00F01347" w:rsidRDefault="003E1BA9" w:rsidP="003E1BA9">
            <w:pPr>
              <w:pStyle w:val="texto0"/>
              <w:tabs>
                <w:tab w:val="left" w:pos="900"/>
              </w:tabs>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4.26 </w:t>
            </w:r>
            <w:r w:rsidRPr="00F01347">
              <w:rPr>
                <w:rFonts w:ascii="Verdana" w:hAnsi="Verdana"/>
                <w:b/>
                <w:sz w:val="16"/>
                <w:szCs w:val="16"/>
                <w:lang w:val="en-US"/>
              </w:rPr>
              <w:tab/>
            </w:r>
            <w:r w:rsidRPr="00F01347">
              <w:rPr>
                <w:rFonts w:ascii="Verdana" w:hAnsi="Verdana"/>
                <w:sz w:val="16"/>
                <w:szCs w:val="16"/>
                <w:lang w:val="en-US"/>
              </w:rPr>
              <w:t xml:space="preserve">&lt; </w:t>
            </w:r>
            <w:r w:rsidRPr="00F01347">
              <w:rPr>
                <w:rFonts w:ascii="Verdana" w:hAnsi="Verdana"/>
                <w:sz w:val="16"/>
                <w:szCs w:val="16"/>
                <w:lang w:val="en-US"/>
              </w:rPr>
              <w:tab/>
              <w:t>less than</w:t>
            </w:r>
          </w:p>
        </w:tc>
      </w:tr>
      <w:tr w:rsidR="003E1BA9" w:rsidRPr="00F01347" w14:paraId="393A4CB8" w14:textId="50B854D2" w:rsidTr="002444E4">
        <w:tc>
          <w:tcPr>
            <w:tcW w:w="4675" w:type="dxa"/>
          </w:tcPr>
          <w:p w14:paraId="4611F03E" w14:textId="77777777" w:rsidR="003E1BA9" w:rsidRPr="00F01347" w:rsidRDefault="003E1BA9" w:rsidP="003E1BA9">
            <w:pPr>
              <w:pStyle w:val="texto0"/>
              <w:spacing w:after="86" w:line="220" w:lineRule="exact"/>
              <w:ind w:firstLine="0"/>
              <w:rPr>
                <w:rFonts w:ascii="Verdana" w:hAnsi="Verdana"/>
                <w:b/>
                <w:sz w:val="16"/>
                <w:szCs w:val="16"/>
                <w:lang w:val="es-ES_tradnl"/>
              </w:rPr>
            </w:pPr>
            <w:r w:rsidRPr="00F01347">
              <w:rPr>
                <w:rFonts w:ascii="Verdana" w:hAnsi="Verdana"/>
                <w:b/>
                <w:sz w:val="16"/>
                <w:szCs w:val="16"/>
                <w:lang w:val="es-ES_tradnl"/>
              </w:rPr>
              <w:t>5. Especificaciones sanitarias</w:t>
            </w:r>
          </w:p>
        </w:tc>
        <w:tc>
          <w:tcPr>
            <w:tcW w:w="4675" w:type="dxa"/>
          </w:tcPr>
          <w:p w14:paraId="4A9AE484" w14:textId="72C910AA" w:rsidR="003E1BA9" w:rsidRPr="00F01347" w:rsidRDefault="003E1BA9" w:rsidP="003E1BA9">
            <w:pPr>
              <w:pStyle w:val="texto0"/>
              <w:spacing w:after="86" w:line="220" w:lineRule="exact"/>
              <w:ind w:firstLine="0"/>
              <w:rPr>
                <w:rFonts w:ascii="Verdana" w:hAnsi="Verdana"/>
                <w:b/>
                <w:sz w:val="16"/>
                <w:szCs w:val="16"/>
                <w:lang w:val="en-US"/>
              </w:rPr>
            </w:pPr>
            <w:r w:rsidRPr="00F01347">
              <w:rPr>
                <w:rFonts w:ascii="Verdana" w:hAnsi="Verdana"/>
                <w:b/>
                <w:sz w:val="16"/>
                <w:szCs w:val="16"/>
                <w:lang w:val="en-US"/>
              </w:rPr>
              <w:t>5. Sanitary specifications</w:t>
            </w:r>
          </w:p>
        </w:tc>
      </w:tr>
      <w:tr w:rsidR="003E1BA9" w:rsidRPr="00F01347" w14:paraId="273E420C" w14:textId="44EC592D" w:rsidTr="002444E4">
        <w:tc>
          <w:tcPr>
            <w:tcW w:w="4675" w:type="dxa"/>
          </w:tcPr>
          <w:p w14:paraId="0C9E12A7" w14:textId="77777777" w:rsidR="003E1BA9" w:rsidRPr="00F01347" w:rsidRDefault="003E1BA9" w:rsidP="003E1BA9">
            <w:pPr>
              <w:pStyle w:val="texto0"/>
              <w:spacing w:after="86" w:line="220" w:lineRule="exact"/>
              <w:ind w:firstLine="0"/>
              <w:rPr>
                <w:rFonts w:ascii="Verdana" w:hAnsi="Verdana"/>
                <w:sz w:val="16"/>
                <w:szCs w:val="16"/>
                <w:lang w:val="es-ES_tradnl"/>
              </w:rPr>
            </w:pPr>
            <w:r w:rsidRPr="00F01347">
              <w:rPr>
                <w:rFonts w:ascii="Verdana" w:hAnsi="Verdana"/>
                <w:sz w:val="16"/>
                <w:szCs w:val="16"/>
                <w:lang w:val="es-ES_tradnl"/>
              </w:rPr>
              <w:t>El agua para uso y consumo humano de los sistemas de abastecimiento debe cumplir con las siguientes especificaciones:</w:t>
            </w:r>
          </w:p>
        </w:tc>
        <w:tc>
          <w:tcPr>
            <w:tcW w:w="4675" w:type="dxa"/>
          </w:tcPr>
          <w:p w14:paraId="3A25ED7D" w14:textId="26913E0D" w:rsidR="003E1BA9" w:rsidRPr="00F01347" w:rsidRDefault="003E1BA9" w:rsidP="003E1BA9">
            <w:pPr>
              <w:pStyle w:val="texto0"/>
              <w:spacing w:after="86" w:line="220" w:lineRule="exact"/>
              <w:ind w:firstLine="0"/>
              <w:rPr>
                <w:rFonts w:ascii="Verdana" w:hAnsi="Verdana"/>
                <w:sz w:val="16"/>
                <w:szCs w:val="16"/>
                <w:lang w:val="en-US"/>
              </w:rPr>
            </w:pPr>
            <w:r w:rsidRPr="00F01347">
              <w:rPr>
                <w:rFonts w:ascii="Verdana" w:hAnsi="Verdana"/>
                <w:sz w:val="16"/>
                <w:szCs w:val="16"/>
                <w:lang w:val="en-US"/>
              </w:rPr>
              <w:t>Water for human use and consumption from supply systems must meet the following specifications:</w:t>
            </w:r>
          </w:p>
        </w:tc>
      </w:tr>
      <w:tr w:rsidR="003E1BA9" w:rsidRPr="00F01347" w14:paraId="1EEEC9FD" w14:textId="65F99E59" w:rsidTr="002444E4">
        <w:tc>
          <w:tcPr>
            <w:tcW w:w="4675" w:type="dxa"/>
          </w:tcPr>
          <w:p w14:paraId="1A7894BD" w14:textId="77777777" w:rsidR="003E1BA9" w:rsidRPr="00F01347" w:rsidRDefault="003E1BA9" w:rsidP="003E1BA9">
            <w:pPr>
              <w:pStyle w:val="texto0"/>
              <w:spacing w:after="86" w:line="220" w:lineRule="exact"/>
              <w:ind w:firstLine="0"/>
              <w:rPr>
                <w:rFonts w:ascii="Verdana" w:hAnsi="Verdana"/>
                <w:sz w:val="16"/>
                <w:szCs w:val="16"/>
                <w:lang w:val="es-ES_tradnl"/>
              </w:rPr>
            </w:pPr>
            <w:r w:rsidRPr="00F01347">
              <w:rPr>
                <w:rFonts w:ascii="Verdana" w:hAnsi="Verdana"/>
                <w:b/>
                <w:sz w:val="16"/>
                <w:szCs w:val="16"/>
                <w:lang w:val="es-ES_tradnl"/>
              </w:rPr>
              <w:t>5.1</w:t>
            </w:r>
            <w:r w:rsidRPr="00F01347">
              <w:rPr>
                <w:rFonts w:ascii="Verdana" w:hAnsi="Verdana"/>
                <w:sz w:val="16"/>
                <w:szCs w:val="16"/>
                <w:lang w:val="es-ES_tradnl"/>
              </w:rPr>
              <w:t xml:space="preserve"> El agua de los sistemas de abastecimiento no debe tener como fuente de abastecimiento agua residual tratada.</w:t>
            </w:r>
          </w:p>
        </w:tc>
        <w:tc>
          <w:tcPr>
            <w:tcW w:w="4675" w:type="dxa"/>
          </w:tcPr>
          <w:p w14:paraId="343CA05D" w14:textId="2D063424" w:rsidR="003E1BA9" w:rsidRPr="00F01347" w:rsidRDefault="003E1BA9" w:rsidP="003E1BA9">
            <w:pPr>
              <w:pStyle w:val="texto0"/>
              <w:spacing w:after="86" w:line="220" w:lineRule="exact"/>
              <w:ind w:firstLine="0"/>
              <w:rPr>
                <w:rFonts w:ascii="Verdana" w:hAnsi="Verdana"/>
                <w:b/>
                <w:sz w:val="16"/>
                <w:szCs w:val="16"/>
                <w:lang w:val="en-US"/>
              </w:rPr>
            </w:pPr>
            <w:r w:rsidRPr="00F01347">
              <w:rPr>
                <w:rFonts w:ascii="Verdana" w:hAnsi="Verdana"/>
                <w:b/>
                <w:sz w:val="16"/>
                <w:szCs w:val="16"/>
                <w:lang w:val="en-US"/>
              </w:rPr>
              <w:t xml:space="preserve">5.1 </w:t>
            </w:r>
            <w:r w:rsidRPr="00F01347">
              <w:rPr>
                <w:rFonts w:ascii="Verdana" w:hAnsi="Verdana"/>
                <w:sz w:val="16"/>
                <w:szCs w:val="16"/>
                <w:lang w:val="en-US"/>
              </w:rPr>
              <w:t>The water in the supply systems must not have treated wastewater as its source of supply.</w:t>
            </w:r>
          </w:p>
        </w:tc>
      </w:tr>
      <w:tr w:rsidR="003E1BA9" w:rsidRPr="00F01347" w14:paraId="0D1D4594" w14:textId="477D2609" w:rsidTr="002444E4">
        <w:tc>
          <w:tcPr>
            <w:tcW w:w="4675" w:type="dxa"/>
          </w:tcPr>
          <w:p w14:paraId="49C7B2A5" w14:textId="77777777" w:rsidR="003E1BA9" w:rsidRPr="00F01347" w:rsidRDefault="003E1BA9" w:rsidP="003E1BA9">
            <w:pPr>
              <w:pStyle w:val="texto0"/>
              <w:ind w:firstLine="0"/>
              <w:rPr>
                <w:rFonts w:ascii="Verdana" w:hAnsi="Verdana"/>
                <w:sz w:val="16"/>
                <w:szCs w:val="16"/>
                <w:lang w:val="es-ES_tradnl"/>
              </w:rPr>
            </w:pPr>
            <w:r w:rsidRPr="00F01347">
              <w:rPr>
                <w:rFonts w:ascii="Verdana" w:hAnsi="Verdana"/>
                <w:b/>
                <w:sz w:val="16"/>
                <w:szCs w:val="16"/>
                <w:lang w:val="es-ES_tradnl"/>
              </w:rPr>
              <w:t>5.2</w:t>
            </w:r>
            <w:r w:rsidRPr="00F01347">
              <w:rPr>
                <w:rFonts w:ascii="Verdana" w:hAnsi="Verdana"/>
                <w:sz w:val="16"/>
                <w:szCs w:val="16"/>
                <w:lang w:val="es-ES_tradnl"/>
              </w:rPr>
              <w:t xml:space="preserve"> Físicas:</w:t>
            </w:r>
          </w:p>
        </w:tc>
        <w:tc>
          <w:tcPr>
            <w:tcW w:w="4675" w:type="dxa"/>
          </w:tcPr>
          <w:p w14:paraId="272906CE" w14:textId="2C0F5C68" w:rsidR="003E1BA9" w:rsidRPr="00F01347" w:rsidRDefault="003E1BA9" w:rsidP="003E1BA9">
            <w:pPr>
              <w:pStyle w:val="texto0"/>
              <w:ind w:firstLine="0"/>
              <w:rPr>
                <w:rFonts w:ascii="Verdana" w:hAnsi="Verdana"/>
                <w:b/>
                <w:sz w:val="16"/>
                <w:szCs w:val="16"/>
                <w:lang w:val="en-US"/>
              </w:rPr>
            </w:pPr>
            <w:r w:rsidRPr="00F01347">
              <w:rPr>
                <w:rFonts w:ascii="Verdana" w:hAnsi="Verdana"/>
                <w:b/>
                <w:sz w:val="16"/>
                <w:szCs w:val="16"/>
                <w:lang w:val="en-US"/>
              </w:rPr>
              <w:t xml:space="preserve">5.2 </w:t>
            </w:r>
            <w:r w:rsidRPr="00F01347">
              <w:rPr>
                <w:rFonts w:ascii="Verdana" w:hAnsi="Verdana"/>
                <w:sz w:val="16"/>
                <w:szCs w:val="16"/>
                <w:lang w:val="en-US"/>
              </w:rPr>
              <w:t>Physic</w:t>
            </w:r>
            <w:r w:rsidR="006C17CB" w:rsidRPr="00F01347">
              <w:rPr>
                <w:rFonts w:ascii="Verdana" w:hAnsi="Verdana"/>
                <w:sz w:val="16"/>
                <w:szCs w:val="16"/>
                <w:lang w:val="en-US"/>
              </w:rPr>
              <w:t>al</w:t>
            </w:r>
            <w:r w:rsidRPr="00F01347">
              <w:rPr>
                <w:rFonts w:ascii="Verdana" w:hAnsi="Verdana"/>
                <w:sz w:val="16"/>
                <w:szCs w:val="16"/>
                <w:lang w:val="en-US"/>
              </w:rPr>
              <w:t>:</w:t>
            </w:r>
          </w:p>
        </w:tc>
      </w:tr>
    </w:tbl>
    <w:p w14:paraId="7D7BA80F" w14:textId="77777777" w:rsidR="007F1602" w:rsidRPr="00F01347" w:rsidRDefault="007F1602" w:rsidP="003A601B">
      <w:pPr>
        <w:pStyle w:val="texto0"/>
        <w:spacing w:after="80"/>
        <w:ind w:firstLine="0"/>
        <w:jc w:val="center"/>
        <w:rPr>
          <w:rFonts w:ascii="Verdana" w:hAnsi="Verdana"/>
          <w:b/>
          <w:color w:val="000000"/>
          <w:sz w:val="16"/>
          <w:szCs w:val="16"/>
        </w:rPr>
      </w:pPr>
    </w:p>
    <w:p w14:paraId="109A354F" w14:textId="0BEB4003" w:rsidR="00A74CDF" w:rsidRPr="00F01347" w:rsidRDefault="00A74CDF" w:rsidP="003A601B">
      <w:pPr>
        <w:pStyle w:val="texto0"/>
        <w:spacing w:after="80"/>
        <w:ind w:firstLine="0"/>
        <w:jc w:val="center"/>
        <w:rPr>
          <w:rFonts w:ascii="Verdana" w:hAnsi="Verdana"/>
          <w:b/>
          <w:color w:val="000000"/>
          <w:sz w:val="16"/>
          <w:szCs w:val="16"/>
        </w:rPr>
      </w:pPr>
      <w:r w:rsidRPr="00F01347">
        <w:rPr>
          <w:rFonts w:ascii="Verdana" w:hAnsi="Verdana"/>
          <w:b/>
          <w:color w:val="000000"/>
          <w:sz w:val="16"/>
          <w:szCs w:val="16"/>
        </w:rPr>
        <w:t>Tabla 1 - Especificaciones sanitarias físicas</w:t>
      </w:r>
    </w:p>
    <w:tbl>
      <w:tblPr>
        <w:tblW w:w="8712" w:type="dxa"/>
        <w:jc w:val="center"/>
        <w:tblLayout w:type="fixed"/>
        <w:tblCellMar>
          <w:left w:w="70" w:type="dxa"/>
          <w:right w:w="70" w:type="dxa"/>
        </w:tblCellMar>
        <w:tblLook w:val="0000" w:firstRow="0" w:lastRow="0" w:firstColumn="0" w:lastColumn="0" w:noHBand="0" w:noVBand="0"/>
      </w:tblPr>
      <w:tblGrid>
        <w:gridCol w:w="2185"/>
        <w:gridCol w:w="2340"/>
        <w:gridCol w:w="4187"/>
      </w:tblGrid>
      <w:tr w:rsidR="00A74CDF" w:rsidRPr="00F01347" w14:paraId="28534A6F" w14:textId="77777777">
        <w:trPr>
          <w:trHeight w:val="20"/>
          <w:jc w:val="center"/>
        </w:trPr>
        <w:tc>
          <w:tcPr>
            <w:tcW w:w="2185" w:type="dxa"/>
            <w:tcBorders>
              <w:top w:val="single" w:sz="6" w:space="0" w:color="auto"/>
              <w:left w:val="single" w:sz="6" w:space="0" w:color="auto"/>
              <w:bottom w:val="single" w:sz="6" w:space="0" w:color="auto"/>
              <w:right w:val="single" w:sz="6" w:space="0" w:color="auto"/>
            </w:tcBorders>
            <w:noWrap/>
          </w:tcPr>
          <w:p w14:paraId="06FBBEF7" w14:textId="77777777" w:rsidR="00A74CDF" w:rsidRPr="00F01347" w:rsidRDefault="00A74CDF" w:rsidP="003A601B">
            <w:pPr>
              <w:pStyle w:val="texto0"/>
              <w:spacing w:after="80"/>
              <w:ind w:firstLine="0"/>
              <w:jc w:val="center"/>
              <w:rPr>
                <w:rFonts w:ascii="Verdana" w:hAnsi="Verdana"/>
                <w:b/>
                <w:color w:val="000000"/>
                <w:sz w:val="16"/>
                <w:szCs w:val="16"/>
              </w:rPr>
            </w:pPr>
            <w:r w:rsidRPr="00F01347">
              <w:rPr>
                <w:rFonts w:ascii="Verdana" w:hAnsi="Verdana"/>
                <w:b/>
                <w:color w:val="000000"/>
                <w:sz w:val="16"/>
                <w:szCs w:val="16"/>
              </w:rPr>
              <w:t>Parámetros</w:t>
            </w:r>
          </w:p>
        </w:tc>
        <w:tc>
          <w:tcPr>
            <w:tcW w:w="2340" w:type="dxa"/>
            <w:tcBorders>
              <w:top w:val="single" w:sz="6" w:space="0" w:color="auto"/>
              <w:left w:val="single" w:sz="6" w:space="0" w:color="auto"/>
              <w:bottom w:val="single" w:sz="6" w:space="0" w:color="auto"/>
              <w:right w:val="single" w:sz="6" w:space="0" w:color="auto"/>
            </w:tcBorders>
          </w:tcPr>
          <w:p w14:paraId="02D9C41B" w14:textId="77777777" w:rsidR="00A74CDF" w:rsidRPr="00F01347" w:rsidRDefault="00A74CDF" w:rsidP="003A601B">
            <w:pPr>
              <w:pStyle w:val="texto0"/>
              <w:spacing w:after="80"/>
              <w:ind w:firstLine="0"/>
              <w:jc w:val="center"/>
              <w:rPr>
                <w:rFonts w:ascii="Verdana" w:hAnsi="Verdana"/>
                <w:b/>
                <w:color w:val="000000"/>
                <w:sz w:val="16"/>
                <w:szCs w:val="16"/>
              </w:rPr>
            </w:pPr>
            <w:r w:rsidRPr="00F01347">
              <w:rPr>
                <w:rFonts w:ascii="Verdana" w:hAnsi="Verdana"/>
                <w:b/>
                <w:color w:val="000000"/>
                <w:sz w:val="16"/>
                <w:szCs w:val="16"/>
              </w:rPr>
              <w:t>Límite permisible</w:t>
            </w:r>
          </w:p>
        </w:tc>
        <w:tc>
          <w:tcPr>
            <w:tcW w:w="4187" w:type="dxa"/>
            <w:tcBorders>
              <w:top w:val="single" w:sz="6" w:space="0" w:color="auto"/>
              <w:left w:val="single" w:sz="6" w:space="0" w:color="auto"/>
              <w:bottom w:val="single" w:sz="6" w:space="0" w:color="auto"/>
              <w:right w:val="single" w:sz="6" w:space="0" w:color="auto"/>
            </w:tcBorders>
          </w:tcPr>
          <w:p w14:paraId="7744E006" w14:textId="77777777" w:rsidR="00A74CDF" w:rsidRPr="00F01347" w:rsidRDefault="00A74CDF" w:rsidP="003A601B">
            <w:pPr>
              <w:pStyle w:val="texto0"/>
              <w:spacing w:after="80"/>
              <w:ind w:firstLine="0"/>
              <w:jc w:val="center"/>
              <w:rPr>
                <w:rFonts w:ascii="Verdana" w:hAnsi="Verdana"/>
                <w:b/>
                <w:color w:val="000000"/>
                <w:sz w:val="16"/>
                <w:szCs w:val="16"/>
              </w:rPr>
            </w:pPr>
            <w:r w:rsidRPr="00F01347">
              <w:rPr>
                <w:rFonts w:ascii="Verdana" w:hAnsi="Verdana"/>
                <w:b/>
                <w:color w:val="000000"/>
                <w:sz w:val="16"/>
                <w:szCs w:val="16"/>
              </w:rPr>
              <w:t>Unidades</w:t>
            </w:r>
          </w:p>
        </w:tc>
      </w:tr>
      <w:tr w:rsidR="00A74CDF" w:rsidRPr="00F01347" w14:paraId="1553CEE2" w14:textId="77777777">
        <w:trPr>
          <w:trHeight w:val="20"/>
          <w:jc w:val="center"/>
        </w:trPr>
        <w:tc>
          <w:tcPr>
            <w:tcW w:w="2185" w:type="dxa"/>
            <w:tcBorders>
              <w:top w:val="single" w:sz="6" w:space="0" w:color="auto"/>
              <w:left w:val="single" w:sz="6" w:space="0" w:color="auto"/>
              <w:bottom w:val="single" w:sz="6" w:space="0" w:color="auto"/>
              <w:right w:val="single" w:sz="6" w:space="0" w:color="auto"/>
            </w:tcBorders>
          </w:tcPr>
          <w:p w14:paraId="1E5B3F4C" w14:textId="77777777" w:rsidR="00A74CDF" w:rsidRPr="00F01347" w:rsidRDefault="00A74CDF" w:rsidP="003A601B">
            <w:pPr>
              <w:pStyle w:val="texto0"/>
              <w:spacing w:after="80"/>
              <w:ind w:firstLine="0"/>
              <w:rPr>
                <w:rFonts w:ascii="Verdana" w:hAnsi="Verdana"/>
                <w:color w:val="000000"/>
                <w:sz w:val="16"/>
                <w:szCs w:val="16"/>
              </w:rPr>
            </w:pPr>
            <w:r w:rsidRPr="00F01347">
              <w:rPr>
                <w:rFonts w:ascii="Verdana" w:hAnsi="Verdana"/>
                <w:color w:val="000000"/>
                <w:sz w:val="16"/>
                <w:szCs w:val="16"/>
              </w:rPr>
              <w:t xml:space="preserve">Turbiedad </w:t>
            </w:r>
            <w:r w:rsidRPr="00F01347">
              <w:rPr>
                <w:rFonts w:ascii="Verdana" w:hAnsi="Verdana"/>
                <w:color w:val="000000"/>
                <w:sz w:val="16"/>
                <w:szCs w:val="16"/>
                <w:vertAlign w:val="superscript"/>
              </w:rPr>
              <w:t>a</w:t>
            </w:r>
          </w:p>
        </w:tc>
        <w:tc>
          <w:tcPr>
            <w:tcW w:w="2340" w:type="dxa"/>
            <w:tcBorders>
              <w:top w:val="single" w:sz="6" w:space="0" w:color="auto"/>
              <w:left w:val="single" w:sz="6" w:space="0" w:color="auto"/>
              <w:bottom w:val="single" w:sz="6" w:space="0" w:color="auto"/>
              <w:right w:val="single" w:sz="6" w:space="0" w:color="auto"/>
            </w:tcBorders>
          </w:tcPr>
          <w:p w14:paraId="2D97F837" w14:textId="77777777" w:rsidR="00A74CDF" w:rsidRPr="00F01347" w:rsidRDefault="00A74CDF" w:rsidP="003A601B">
            <w:pPr>
              <w:pStyle w:val="texto0"/>
              <w:spacing w:after="80"/>
              <w:ind w:firstLine="0"/>
              <w:jc w:val="center"/>
              <w:rPr>
                <w:rFonts w:ascii="Verdana" w:hAnsi="Verdana"/>
                <w:color w:val="000000"/>
                <w:sz w:val="16"/>
                <w:szCs w:val="16"/>
              </w:rPr>
            </w:pPr>
            <w:r w:rsidRPr="00F01347">
              <w:rPr>
                <w:rFonts w:ascii="Verdana" w:hAnsi="Verdana"/>
                <w:color w:val="000000"/>
                <w:sz w:val="16"/>
                <w:szCs w:val="16"/>
              </w:rPr>
              <w:t>4.0</w:t>
            </w:r>
          </w:p>
        </w:tc>
        <w:tc>
          <w:tcPr>
            <w:tcW w:w="4187" w:type="dxa"/>
            <w:tcBorders>
              <w:top w:val="single" w:sz="6" w:space="0" w:color="auto"/>
              <w:left w:val="single" w:sz="6" w:space="0" w:color="auto"/>
              <w:bottom w:val="single" w:sz="6" w:space="0" w:color="auto"/>
              <w:right w:val="single" w:sz="6" w:space="0" w:color="auto"/>
            </w:tcBorders>
          </w:tcPr>
          <w:p w14:paraId="3A1A12E6" w14:textId="77777777" w:rsidR="00A74CDF" w:rsidRPr="00F01347" w:rsidRDefault="00A74CDF" w:rsidP="003A601B">
            <w:pPr>
              <w:pStyle w:val="texto0"/>
              <w:spacing w:after="80"/>
              <w:ind w:firstLine="0"/>
              <w:jc w:val="center"/>
              <w:rPr>
                <w:rFonts w:ascii="Verdana" w:hAnsi="Verdana"/>
                <w:color w:val="000000"/>
                <w:sz w:val="16"/>
                <w:szCs w:val="16"/>
              </w:rPr>
            </w:pPr>
            <w:r w:rsidRPr="00F01347">
              <w:rPr>
                <w:rFonts w:ascii="Verdana" w:hAnsi="Verdana"/>
                <w:color w:val="000000"/>
                <w:sz w:val="16"/>
                <w:szCs w:val="16"/>
              </w:rPr>
              <w:t>UNT</w:t>
            </w:r>
          </w:p>
        </w:tc>
      </w:tr>
      <w:tr w:rsidR="00A74CDF" w:rsidRPr="00F01347" w14:paraId="0B439089" w14:textId="77777777">
        <w:trPr>
          <w:trHeight w:val="20"/>
          <w:jc w:val="center"/>
        </w:trPr>
        <w:tc>
          <w:tcPr>
            <w:tcW w:w="2185" w:type="dxa"/>
            <w:tcBorders>
              <w:top w:val="single" w:sz="6" w:space="0" w:color="auto"/>
              <w:left w:val="single" w:sz="6" w:space="0" w:color="auto"/>
              <w:bottom w:val="single" w:sz="6" w:space="0" w:color="auto"/>
              <w:right w:val="single" w:sz="6" w:space="0" w:color="auto"/>
            </w:tcBorders>
          </w:tcPr>
          <w:p w14:paraId="4B3478F6" w14:textId="77777777" w:rsidR="00A74CDF" w:rsidRPr="00F01347" w:rsidRDefault="00A74CDF" w:rsidP="003A601B">
            <w:pPr>
              <w:pStyle w:val="texto0"/>
              <w:spacing w:after="80"/>
              <w:ind w:firstLine="0"/>
              <w:rPr>
                <w:rFonts w:ascii="Verdana" w:hAnsi="Verdana"/>
                <w:b/>
                <w:color w:val="000000"/>
                <w:sz w:val="16"/>
                <w:szCs w:val="16"/>
              </w:rPr>
            </w:pPr>
            <w:r w:rsidRPr="00F01347">
              <w:rPr>
                <w:rFonts w:ascii="Verdana" w:hAnsi="Verdana"/>
                <w:color w:val="000000"/>
                <w:sz w:val="16"/>
                <w:szCs w:val="16"/>
              </w:rPr>
              <w:t>pH</w:t>
            </w:r>
          </w:p>
        </w:tc>
        <w:tc>
          <w:tcPr>
            <w:tcW w:w="2340" w:type="dxa"/>
            <w:tcBorders>
              <w:top w:val="single" w:sz="6" w:space="0" w:color="auto"/>
              <w:left w:val="single" w:sz="6" w:space="0" w:color="auto"/>
              <w:bottom w:val="single" w:sz="6" w:space="0" w:color="auto"/>
              <w:right w:val="single" w:sz="6" w:space="0" w:color="auto"/>
            </w:tcBorders>
          </w:tcPr>
          <w:p w14:paraId="37114C6F" w14:textId="77777777" w:rsidR="00A74CDF" w:rsidRPr="00F01347" w:rsidRDefault="00A74CDF" w:rsidP="003A601B">
            <w:pPr>
              <w:pStyle w:val="texto0"/>
              <w:spacing w:after="80"/>
              <w:ind w:firstLine="0"/>
              <w:jc w:val="center"/>
              <w:rPr>
                <w:rFonts w:ascii="Verdana" w:hAnsi="Verdana"/>
                <w:b/>
                <w:color w:val="000000"/>
                <w:sz w:val="16"/>
                <w:szCs w:val="16"/>
              </w:rPr>
            </w:pPr>
            <w:r w:rsidRPr="00F01347">
              <w:rPr>
                <w:rFonts w:ascii="Verdana" w:hAnsi="Verdana"/>
                <w:color w:val="000000"/>
                <w:sz w:val="16"/>
                <w:szCs w:val="16"/>
              </w:rPr>
              <w:t>6.5 a 8.5</w:t>
            </w:r>
          </w:p>
        </w:tc>
        <w:tc>
          <w:tcPr>
            <w:tcW w:w="4187" w:type="dxa"/>
            <w:tcBorders>
              <w:top w:val="single" w:sz="6" w:space="0" w:color="auto"/>
              <w:left w:val="single" w:sz="6" w:space="0" w:color="auto"/>
              <w:bottom w:val="single" w:sz="6" w:space="0" w:color="auto"/>
              <w:right w:val="single" w:sz="6" w:space="0" w:color="auto"/>
            </w:tcBorders>
          </w:tcPr>
          <w:p w14:paraId="2DAE1AB6" w14:textId="77777777" w:rsidR="00A74CDF" w:rsidRPr="00F01347" w:rsidRDefault="00A74CDF" w:rsidP="003A601B">
            <w:pPr>
              <w:pStyle w:val="texto0"/>
              <w:spacing w:after="80"/>
              <w:ind w:firstLine="0"/>
              <w:jc w:val="center"/>
              <w:rPr>
                <w:rFonts w:ascii="Verdana" w:hAnsi="Verdana"/>
                <w:color w:val="000000"/>
                <w:sz w:val="16"/>
                <w:szCs w:val="16"/>
              </w:rPr>
            </w:pPr>
            <w:r w:rsidRPr="00F01347">
              <w:rPr>
                <w:rFonts w:ascii="Verdana" w:hAnsi="Verdana"/>
                <w:color w:val="000000"/>
                <w:sz w:val="16"/>
                <w:szCs w:val="16"/>
              </w:rPr>
              <w:t>Unidades de pH</w:t>
            </w:r>
          </w:p>
        </w:tc>
      </w:tr>
      <w:tr w:rsidR="00A74CDF" w:rsidRPr="00F01347" w14:paraId="35680EB5" w14:textId="77777777">
        <w:trPr>
          <w:trHeight w:val="20"/>
          <w:jc w:val="center"/>
        </w:trPr>
        <w:tc>
          <w:tcPr>
            <w:tcW w:w="2185" w:type="dxa"/>
            <w:tcBorders>
              <w:top w:val="single" w:sz="6" w:space="0" w:color="auto"/>
              <w:left w:val="single" w:sz="6" w:space="0" w:color="auto"/>
              <w:bottom w:val="single" w:sz="6" w:space="0" w:color="auto"/>
              <w:right w:val="single" w:sz="6" w:space="0" w:color="auto"/>
            </w:tcBorders>
          </w:tcPr>
          <w:p w14:paraId="3A0C9822" w14:textId="77777777" w:rsidR="00A74CDF" w:rsidRPr="00F01347" w:rsidRDefault="00A74CDF" w:rsidP="003A601B">
            <w:pPr>
              <w:pStyle w:val="texto0"/>
              <w:spacing w:after="80"/>
              <w:ind w:firstLine="0"/>
              <w:rPr>
                <w:rFonts w:ascii="Verdana" w:hAnsi="Verdana"/>
                <w:color w:val="000000"/>
                <w:sz w:val="16"/>
                <w:szCs w:val="16"/>
              </w:rPr>
            </w:pPr>
            <w:r w:rsidRPr="00F01347">
              <w:rPr>
                <w:rFonts w:ascii="Verdana" w:hAnsi="Verdana"/>
                <w:color w:val="000000"/>
                <w:sz w:val="16"/>
                <w:szCs w:val="16"/>
              </w:rPr>
              <w:t>Color Verdadero</w:t>
            </w:r>
          </w:p>
        </w:tc>
        <w:tc>
          <w:tcPr>
            <w:tcW w:w="2340" w:type="dxa"/>
            <w:tcBorders>
              <w:top w:val="single" w:sz="6" w:space="0" w:color="auto"/>
              <w:left w:val="single" w:sz="6" w:space="0" w:color="auto"/>
              <w:bottom w:val="single" w:sz="6" w:space="0" w:color="auto"/>
              <w:right w:val="single" w:sz="6" w:space="0" w:color="auto"/>
            </w:tcBorders>
          </w:tcPr>
          <w:p w14:paraId="10352B51" w14:textId="77777777" w:rsidR="00A74CDF" w:rsidRPr="00F01347" w:rsidRDefault="00A74CDF" w:rsidP="003A601B">
            <w:pPr>
              <w:pStyle w:val="texto0"/>
              <w:spacing w:after="80"/>
              <w:ind w:firstLine="0"/>
              <w:jc w:val="center"/>
              <w:rPr>
                <w:rFonts w:ascii="Verdana" w:hAnsi="Verdana"/>
                <w:color w:val="000000"/>
                <w:sz w:val="16"/>
                <w:szCs w:val="16"/>
              </w:rPr>
            </w:pPr>
            <w:r w:rsidRPr="00F01347">
              <w:rPr>
                <w:rFonts w:ascii="Verdana" w:hAnsi="Verdana"/>
                <w:color w:val="000000"/>
                <w:sz w:val="16"/>
                <w:szCs w:val="16"/>
              </w:rPr>
              <w:t>15</w:t>
            </w:r>
          </w:p>
        </w:tc>
        <w:tc>
          <w:tcPr>
            <w:tcW w:w="4187" w:type="dxa"/>
            <w:tcBorders>
              <w:top w:val="single" w:sz="6" w:space="0" w:color="auto"/>
              <w:left w:val="single" w:sz="6" w:space="0" w:color="auto"/>
              <w:bottom w:val="single" w:sz="6" w:space="0" w:color="auto"/>
              <w:right w:val="single" w:sz="6" w:space="0" w:color="auto"/>
            </w:tcBorders>
          </w:tcPr>
          <w:p w14:paraId="62CB8988" w14:textId="77777777" w:rsidR="00A74CDF" w:rsidRPr="00F01347" w:rsidRDefault="00A74CDF" w:rsidP="003A601B">
            <w:pPr>
              <w:pStyle w:val="texto0"/>
              <w:spacing w:after="80"/>
              <w:ind w:firstLine="0"/>
              <w:jc w:val="center"/>
              <w:rPr>
                <w:rFonts w:ascii="Verdana" w:hAnsi="Verdana"/>
                <w:color w:val="000000"/>
                <w:sz w:val="16"/>
                <w:szCs w:val="16"/>
              </w:rPr>
            </w:pPr>
            <w:r w:rsidRPr="00F01347">
              <w:rPr>
                <w:rFonts w:ascii="Verdana" w:hAnsi="Verdana"/>
                <w:color w:val="000000"/>
                <w:sz w:val="16"/>
                <w:szCs w:val="16"/>
              </w:rPr>
              <w:t>UC</w:t>
            </w:r>
          </w:p>
        </w:tc>
      </w:tr>
      <w:tr w:rsidR="00A74CDF" w:rsidRPr="00F01347" w14:paraId="19C2163D" w14:textId="77777777">
        <w:trPr>
          <w:trHeight w:val="20"/>
          <w:jc w:val="center"/>
        </w:trPr>
        <w:tc>
          <w:tcPr>
            <w:tcW w:w="8712" w:type="dxa"/>
            <w:gridSpan w:val="3"/>
            <w:tcBorders>
              <w:top w:val="single" w:sz="6" w:space="0" w:color="auto"/>
            </w:tcBorders>
          </w:tcPr>
          <w:p w14:paraId="74090999" w14:textId="77777777" w:rsidR="00A74CDF" w:rsidRPr="00F01347" w:rsidRDefault="00A74CDF" w:rsidP="003A601B">
            <w:pPr>
              <w:pStyle w:val="texto0"/>
              <w:spacing w:after="80"/>
              <w:ind w:firstLine="0"/>
              <w:rPr>
                <w:rFonts w:ascii="Verdana" w:hAnsi="Verdana"/>
                <w:color w:val="000000"/>
                <w:sz w:val="16"/>
                <w:szCs w:val="16"/>
              </w:rPr>
            </w:pPr>
            <w:r w:rsidRPr="00F01347">
              <w:rPr>
                <w:rFonts w:ascii="Verdana" w:hAnsi="Verdana"/>
                <w:color w:val="000000"/>
                <w:sz w:val="16"/>
                <w:szCs w:val="16"/>
                <w:vertAlign w:val="superscript"/>
              </w:rPr>
              <w:t>a</w:t>
            </w:r>
            <w:r w:rsidRPr="00F01347">
              <w:rPr>
                <w:rFonts w:ascii="Verdana" w:hAnsi="Verdana"/>
                <w:color w:val="000000"/>
                <w:sz w:val="16"/>
                <w:szCs w:val="16"/>
              </w:rPr>
              <w:t xml:space="preserve"> El límite permisible para Turbiedad será de 3.0 UNT a partir del segundo año posterior a la entrada en vigor de la presente Norma.</w:t>
            </w:r>
          </w:p>
        </w:tc>
      </w:tr>
    </w:tbl>
    <w:p w14:paraId="45DBEC1D" w14:textId="2BAF1DA6" w:rsidR="00A74CDF" w:rsidRPr="00F01347" w:rsidRDefault="00A74CDF" w:rsidP="003A601B">
      <w:pPr>
        <w:pStyle w:val="texto0"/>
        <w:spacing w:after="80"/>
        <w:rPr>
          <w:rFonts w:ascii="Verdana" w:hAnsi="Verdana"/>
          <w:sz w:val="16"/>
          <w:szCs w:val="16"/>
          <w:lang w:val="es-ES_tradnl"/>
        </w:rPr>
      </w:pPr>
    </w:p>
    <w:p w14:paraId="08AA1DC2" w14:textId="77777777" w:rsidR="00761CDC" w:rsidRPr="00F01347" w:rsidRDefault="00761CDC" w:rsidP="00761CDC">
      <w:pPr>
        <w:pStyle w:val="texto0"/>
        <w:spacing w:after="80"/>
        <w:ind w:firstLine="0"/>
        <w:jc w:val="center"/>
        <w:rPr>
          <w:rFonts w:ascii="Verdana" w:hAnsi="Verdana"/>
          <w:b/>
          <w:color w:val="000000"/>
          <w:sz w:val="16"/>
          <w:szCs w:val="16"/>
          <w:lang w:val="en-US"/>
        </w:rPr>
      </w:pPr>
      <w:r w:rsidRPr="00F01347">
        <w:rPr>
          <w:rFonts w:ascii="Verdana" w:hAnsi="Verdana"/>
          <w:b/>
          <w:color w:val="000000"/>
          <w:sz w:val="16"/>
          <w:szCs w:val="16"/>
          <w:lang w:val="en-US"/>
        </w:rPr>
        <w:t>Table 1 - Physical sanitary specifications</w:t>
      </w:r>
    </w:p>
    <w:tbl>
      <w:tblPr>
        <w:tblW w:w="8715" w:type="dxa"/>
        <w:jc w:val="center"/>
        <w:tblLayout w:type="fixed"/>
        <w:tblCellMar>
          <w:left w:w="70" w:type="dxa"/>
          <w:right w:w="70" w:type="dxa"/>
        </w:tblCellMar>
        <w:tblLook w:val="04A0" w:firstRow="1" w:lastRow="0" w:firstColumn="1" w:lastColumn="0" w:noHBand="0" w:noVBand="1"/>
      </w:tblPr>
      <w:tblGrid>
        <w:gridCol w:w="2186"/>
        <w:gridCol w:w="2341"/>
        <w:gridCol w:w="4188"/>
      </w:tblGrid>
      <w:tr w:rsidR="00761CDC" w:rsidRPr="00F01347" w14:paraId="7CC2D64A" w14:textId="77777777" w:rsidTr="00761CDC">
        <w:trPr>
          <w:trHeight w:val="20"/>
          <w:jc w:val="center"/>
        </w:trPr>
        <w:tc>
          <w:tcPr>
            <w:tcW w:w="2185" w:type="dxa"/>
            <w:tcBorders>
              <w:top w:val="single" w:sz="6" w:space="0" w:color="auto"/>
              <w:left w:val="single" w:sz="6" w:space="0" w:color="auto"/>
              <w:bottom w:val="single" w:sz="6" w:space="0" w:color="auto"/>
              <w:right w:val="single" w:sz="6" w:space="0" w:color="auto"/>
            </w:tcBorders>
            <w:noWrap/>
            <w:hideMark/>
          </w:tcPr>
          <w:p w14:paraId="014444C4" w14:textId="77777777" w:rsidR="00761CDC" w:rsidRPr="00F01347" w:rsidRDefault="00761CDC">
            <w:pPr>
              <w:pStyle w:val="texto0"/>
              <w:spacing w:after="80"/>
              <w:ind w:firstLine="0"/>
              <w:jc w:val="center"/>
              <w:rPr>
                <w:rFonts w:ascii="Verdana" w:hAnsi="Verdana"/>
                <w:b/>
                <w:color w:val="000000"/>
                <w:sz w:val="16"/>
                <w:szCs w:val="16"/>
                <w:lang w:val="en-US"/>
              </w:rPr>
            </w:pPr>
            <w:r w:rsidRPr="00F01347">
              <w:rPr>
                <w:rFonts w:ascii="Verdana" w:hAnsi="Verdana"/>
                <w:b/>
                <w:color w:val="000000"/>
                <w:sz w:val="16"/>
                <w:szCs w:val="16"/>
                <w:lang w:val="en-US"/>
              </w:rPr>
              <w:t>Parameters</w:t>
            </w:r>
          </w:p>
        </w:tc>
        <w:tc>
          <w:tcPr>
            <w:tcW w:w="2340" w:type="dxa"/>
            <w:tcBorders>
              <w:top w:val="single" w:sz="6" w:space="0" w:color="auto"/>
              <w:left w:val="single" w:sz="6" w:space="0" w:color="auto"/>
              <w:bottom w:val="single" w:sz="6" w:space="0" w:color="auto"/>
              <w:right w:val="single" w:sz="6" w:space="0" w:color="auto"/>
            </w:tcBorders>
            <w:hideMark/>
          </w:tcPr>
          <w:p w14:paraId="330EC9E7" w14:textId="77777777" w:rsidR="00761CDC" w:rsidRPr="00F01347" w:rsidRDefault="00761CDC">
            <w:pPr>
              <w:pStyle w:val="texto0"/>
              <w:spacing w:after="80"/>
              <w:ind w:firstLine="0"/>
              <w:jc w:val="center"/>
              <w:rPr>
                <w:rFonts w:ascii="Verdana" w:hAnsi="Verdana"/>
                <w:b/>
                <w:color w:val="000000"/>
                <w:sz w:val="16"/>
                <w:szCs w:val="16"/>
                <w:lang w:val="en-US"/>
              </w:rPr>
            </w:pPr>
            <w:r w:rsidRPr="00F01347">
              <w:rPr>
                <w:rFonts w:ascii="Verdana" w:hAnsi="Verdana"/>
                <w:b/>
                <w:color w:val="000000"/>
                <w:sz w:val="16"/>
                <w:szCs w:val="16"/>
                <w:lang w:val="en-US"/>
              </w:rPr>
              <w:t>Permissible limit</w:t>
            </w:r>
          </w:p>
        </w:tc>
        <w:tc>
          <w:tcPr>
            <w:tcW w:w="4187" w:type="dxa"/>
            <w:tcBorders>
              <w:top w:val="single" w:sz="6" w:space="0" w:color="auto"/>
              <w:left w:val="single" w:sz="6" w:space="0" w:color="auto"/>
              <w:bottom w:val="single" w:sz="6" w:space="0" w:color="auto"/>
              <w:right w:val="single" w:sz="6" w:space="0" w:color="auto"/>
            </w:tcBorders>
            <w:hideMark/>
          </w:tcPr>
          <w:p w14:paraId="59646D52" w14:textId="77777777" w:rsidR="00761CDC" w:rsidRPr="00F01347" w:rsidRDefault="00761CDC">
            <w:pPr>
              <w:pStyle w:val="texto0"/>
              <w:spacing w:after="80"/>
              <w:ind w:firstLine="0"/>
              <w:jc w:val="center"/>
              <w:rPr>
                <w:rFonts w:ascii="Verdana" w:hAnsi="Verdana"/>
                <w:b/>
                <w:color w:val="000000"/>
                <w:sz w:val="16"/>
                <w:szCs w:val="16"/>
                <w:lang w:val="en-US"/>
              </w:rPr>
            </w:pPr>
            <w:r w:rsidRPr="00F01347">
              <w:rPr>
                <w:rFonts w:ascii="Verdana" w:hAnsi="Verdana"/>
                <w:b/>
                <w:color w:val="000000"/>
                <w:sz w:val="16"/>
                <w:szCs w:val="16"/>
                <w:lang w:val="en-US"/>
              </w:rPr>
              <w:t>Units</w:t>
            </w:r>
          </w:p>
        </w:tc>
      </w:tr>
      <w:tr w:rsidR="00761CDC" w:rsidRPr="00F01347" w14:paraId="4AEBE4DA" w14:textId="77777777" w:rsidTr="00761CDC">
        <w:trPr>
          <w:trHeight w:val="20"/>
          <w:jc w:val="center"/>
        </w:trPr>
        <w:tc>
          <w:tcPr>
            <w:tcW w:w="2185" w:type="dxa"/>
            <w:tcBorders>
              <w:top w:val="single" w:sz="6" w:space="0" w:color="auto"/>
              <w:left w:val="single" w:sz="6" w:space="0" w:color="auto"/>
              <w:bottom w:val="single" w:sz="6" w:space="0" w:color="auto"/>
              <w:right w:val="single" w:sz="6" w:space="0" w:color="auto"/>
            </w:tcBorders>
            <w:hideMark/>
          </w:tcPr>
          <w:p w14:paraId="59A3C1D4" w14:textId="3E89FD47" w:rsidR="00761CDC" w:rsidRPr="00F01347" w:rsidRDefault="00761CDC">
            <w:pPr>
              <w:pStyle w:val="texto0"/>
              <w:spacing w:after="80"/>
              <w:ind w:firstLine="0"/>
              <w:rPr>
                <w:rFonts w:ascii="Verdana" w:hAnsi="Verdana"/>
                <w:color w:val="000000"/>
                <w:sz w:val="16"/>
                <w:szCs w:val="16"/>
                <w:lang w:val="en-US"/>
              </w:rPr>
            </w:pPr>
            <w:r w:rsidRPr="00F01347">
              <w:rPr>
                <w:rFonts w:ascii="Verdana" w:hAnsi="Verdana"/>
                <w:color w:val="000000"/>
                <w:sz w:val="16"/>
                <w:szCs w:val="16"/>
                <w:lang w:val="en-US"/>
              </w:rPr>
              <w:t>Turbidity</w:t>
            </w:r>
            <w:r w:rsidRPr="00F01347">
              <w:rPr>
                <w:rFonts w:ascii="Verdana" w:hAnsi="Verdana"/>
                <w:color w:val="000000"/>
                <w:sz w:val="16"/>
                <w:szCs w:val="16"/>
                <w:vertAlign w:val="superscript"/>
                <w:lang w:val="en-US"/>
              </w:rPr>
              <w:t>a</w:t>
            </w:r>
          </w:p>
        </w:tc>
        <w:tc>
          <w:tcPr>
            <w:tcW w:w="2340" w:type="dxa"/>
            <w:tcBorders>
              <w:top w:val="single" w:sz="6" w:space="0" w:color="auto"/>
              <w:left w:val="single" w:sz="6" w:space="0" w:color="auto"/>
              <w:bottom w:val="single" w:sz="6" w:space="0" w:color="auto"/>
              <w:right w:val="single" w:sz="6" w:space="0" w:color="auto"/>
            </w:tcBorders>
            <w:hideMark/>
          </w:tcPr>
          <w:p w14:paraId="7A4FC00C" w14:textId="77777777" w:rsidR="00761CDC" w:rsidRPr="00F01347" w:rsidRDefault="00761CDC">
            <w:pPr>
              <w:pStyle w:val="texto0"/>
              <w:spacing w:after="80"/>
              <w:ind w:firstLine="0"/>
              <w:jc w:val="center"/>
              <w:rPr>
                <w:rFonts w:ascii="Verdana" w:hAnsi="Verdana"/>
                <w:color w:val="000000"/>
                <w:sz w:val="16"/>
                <w:szCs w:val="16"/>
                <w:lang w:val="en-US"/>
              </w:rPr>
            </w:pPr>
            <w:r w:rsidRPr="00F01347">
              <w:rPr>
                <w:rFonts w:ascii="Verdana" w:hAnsi="Verdana"/>
                <w:color w:val="000000"/>
                <w:sz w:val="16"/>
                <w:szCs w:val="16"/>
                <w:lang w:val="en-US"/>
              </w:rPr>
              <w:t>4.0</w:t>
            </w:r>
          </w:p>
        </w:tc>
        <w:tc>
          <w:tcPr>
            <w:tcW w:w="4187" w:type="dxa"/>
            <w:tcBorders>
              <w:top w:val="single" w:sz="6" w:space="0" w:color="auto"/>
              <w:left w:val="single" w:sz="6" w:space="0" w:color="auto"/>
              <w:bottom w:val="single" w:sz="6" w:space="0" w:color="auto"/>
              <w:right w:val="single" w:sz="6" w:space="0" w:color="auto"/>
            </w:tcBorders>
            <w:hideMark/>
          </w:tcPr>
          <w:p w14:paraId="60878AFD" w14:textId="77777777" w:rsidR="00761CDC" w:rsidRPr="00F01347" w:rsidRDefault="00761CDC">
            <w:pPr>
              <w:pStyle w:val="texto0"/>
              <w:spacing w:after="80"/>
              <w:ind w:firstLine="0"/>
              <w:jc w:val="center"/>
              <w:rPr>
                <w:rFonts w:ascii="Verdana" w:hAnsi="Verdana"/>
                <w:color w:val="000000"/>
                <w:sz w:val="16"/>
                <w:szCs w:val="16"/>
                <w:lang w:val="en-US"/>
              </w:rPr>
            </w:pPr>
            <w:r w:rsidRPr="00F01347">
              <w:rPr>
                <w:rFonts w:ascii="Verdana" w:hAnsi="Verdana"/>
                <w:color w:val="000000"/>
                <w:sz w:val="16"/>
                <w:szCs w:val="16"/>
                <w:lang w:val="en-US"/>
              </w:rPr>
              <w:t>UNT</w:t>
            </w:r>
          </w:p>
        </w:tc>
      </w:tr>
      <w:tr w:rsidR="00761CDC" w:rsidRPr="00F01347" w14:paraId="7CD10804" w14:textId="77777777" w:rsidTr="00761CDC">
        <w:trPr>
          <w:trHeight w:val="20"/>
          <w:jc w:val="center"/>
        </w:trPr>
        <w:tc>
          <w:tcPr>
            <w:tcW w:w="2185" w:type="dxa"/>
            <w:tcBorders>
              <w:top w:val="single" w:sz="6" w:space="0" w:color="auto"/>
              <w:left w:val="single" w:sz="6" w:space="0" w:color="auto"/>
              <w:bottom w:val="single" w:sz="6" w:space="0" w:color="auto"/>
              <w:right w:val="single" w:sz="6" w:space="0" w:color="auto"/>
            </w:tcBorders>
            <w:hideMark/>
          </w:tcPr>
          <w:p w14:paraId="56B749F9" w14:textId="77777777" w:rsidR="00761CDC" w:rsidRPr="00F01347" w:rsidRDefault="00761CDC">
            <w:pPr>
              <w:pStyle w:val="texto0"/>
              <w:spacing w:after="80"/>
              <w:ind w:firstLine="0"/>
              <w:rPr>
                <w:rFonts w:ascii="Verdana" w:hAnsi="Verdana"/>
                <w:b/>
                <w:color w:val="000000"/>
                <w:sz w:val="16"/>
                <w:szCs w:val="16"/>
                <w:lang w:val="en-US"/>
              </w:rPr>
            </w:pPr>
            <w:r w:rsidRPr="00F01347">
              <w:rPr>
                <w:rFonts w:ascii="Verdana" w:hAnsi="Verdana"/>
                <w:color w:val="000000"/>
                <w:sz w:val="16"/>
                <w:szCs w:val="16"/>
                <w:lang w:val="en-US"/>
              </w:rPr>
              <w:t>pH</w:t>
            </w:r>
          </w:p>
        </w:tc>
        <w:tc>
          <w:tcPr>
            <w:tcW w:w="2340" w:type="dxa"/>
            <w:tcBorders>
              <w:top w:val="single" w:sz="6" w:space="0" w:color="auto"/>
              <w:left w:val="single" w:sz="6" w:space="0" w:color="auto"/>
              <w:bottom w:val="single" w:sz="6" w:space="0" w:color="auto"/>
              <w:right w:val="single" w:sz="6" w:space="0" w:color="auto"/>
            </w:tcBorders>
            <w:hideMark/>
          </w:tcPr>
          <w:p w14:paraId="509DB9EF" w14:textId="77777777" w:rsidR="00761CDC" w:rsidRPr="00F01347" w:rsidRDefault="00761CDC">
            <w:pPr>
              <w:pStyle w:val="texto0"/>
              <w:spacing w:after="80"/>
              <w:ind w:firstLine="0"/>
              <w:jc w:val="center"/>
              <w:rPr>
                <w:rFonts w:ascii="Verdana" w:hAnsi="Verdana"/>
                <w:b/>
                <w:color w:val="000000"/>
                <w:sz w:val="16"/>
                <w:szCs w:val="16"/>
                <w:lang w:val="en-US"/>
              </w:rPr>
            </w:pPr>
            <w:r w:rsidRPr="00F01347">
              <w:rPr>
                <w:rFonts w:ascii="Verdana" w:hAnsi="Verdana"/>
                <w:color w:val="000000"/>
                <w:sz w:val="16"/>
                <w:szCs w:val="16"/>
                <w:lang w:val="en-US"/>
              </w:rPr>
              <w:t>6.5 to 8.5</w:t>
            </w:r>
          </w:p>
        </w:tc>
        <w:tc>
          <w:tcPr>
            <w:tcW w:w="4187" w:type="dxa"/>
            <w:tcBorders>
              <w:top w:val="single" w:sz="6" w:space="0" w:color="auto"/>
              <w:left w:val="single" w:sz="6" w:space="0" w:color="auto"/>
              <w:bottom w:val="single" w:sz="6" w:space="0" w:color="auto"/>
              <w:right w:val="single" w:sz="6" w:space="0" w:color="auto"/>
            </w:tcBorders>
            <w:hideMark/>
          </w:tcPr>
          <w:p w14:paraId="4DF2F5EB" w14:textId="77777777" w:rsidR="00761CDC" w:rsidRPr="00F01347" w:rsidRDefault="00761CDC">
            <w:pPr>
              <w:pStyle w:val="texto0"/>
              <w:spacing w:after="80"/>
              <w:ind w:firstLine="0"/>
              <w:jc w:val="center"/>
              <w:rPr>
                <w:rFonts w:ascii="Verdana" w:hAnsi="Verdana"/>
                <w:color w:val="000000"/>
                <w:sz w:val="16"/>
                <w:szCs w:val="16"/>
                <w:lang w:val="en-US"/>
              </w:rPr>
            </w:pPr>
            <w:r w:rsidRPr="00F01347">
              <w:rPr>
                <w:rFonts w:ascii="Verdana" w:hAnsi="Verdana"/>
                <w:color w:val="000000"/>
                <w:sz w:val="16"/>
                <w:szCs w:val="16"/>
                <w:lang w:val="en-US"/>
              </w:rPr>
              <w:t>pH units</w:t>
            </w:r>
          </w:p>
        </w:tc>
      </w:tr>
      <w:tr w:rsidR="00761CDC" w:rsidRPr="00F01347" w14:paraId="6E353040" w14:textId="77777777" w:rsidTr="00761CDC">
        <w:trPr>
          <w:trHeight w:val="20"/>
          <w:jc w:val="center"/>
        </w:trPr>
        <w:tc>
          <w:tcPr>
            <w:tcW w:w="2185" w:type="dxa"/>
            <w:tcBorders>
              <w:top w:val="single" w:sz="6" w:space="0" w:color="auto"/>
              <w:left w:val="single" w:sz="6" w:space="0" w:color="auto"/>
              <w:bottom w:val="single" w:sz="6" w:space="0" w:color="auto"/>
              <w:right w:val="single" w:sz="6" w:space="0" w:color="auto"/>
            </w:tcBorders>
            <w:hideMark/>
          </w:tcPr>
          <w:p w14:paraId="7A2D84E0" w14:textId="77777777" w:rsidR="00761CDC" w:rsidRPr="00F01347" w:rsidRDefault="00761CDC">
            <w:pPr>
              <w:pStyle w:val="texto0"/>
              <w:spacing w:after="80"/>
              <w:ind w:firstLine="0"/>
              <w:rPr>
                <w:rFonts w:ascii="Verdana" w:hAnsi="Verdana"/>
                <w:color w:val="000000"/>
                <w:sz w:val="16"/>
                <w:szCs w:val="16"/>
                <w:lang w:val="en-US"/>
              </w:rPr>
            </w:pPr>
            <w:r w:rsidRPr="00F01347">
              <w:rPr>
                <w:rFonts w:ascii="Verdana" w:hAnsi="Verdana"/>
                <w:color w:val="000000"/>
                <w:sz w:val="16"/>
                <w:szCs w:val="16"/>
                <w:lang w:val="en-US"/>
              </w:rPr>
              <w:t>True Color</w:t>
            </w:r>
          </w:p>
        </w:tc>
        <w:tc>
          <w:tcPr>
            <w:tcW w:w="2340" w:type="dxa"/>
            <w:tcBorders>
              <w:top w:val="single" w:sz="6" w:space="0" w:color="auto"/>
              <w:left w:val="single" w:sz="6" w:space="0" w:color="auto"/>
              <w:bottom w:val="single" w:sz="6" w:space="0" w:color="auto"/>
              <w:right w:val="single" w:sz="6" w:space="0" w:color="auto"/>
            </w:tcBorders>
            <w:hideMark/>
          </w:tcPr>
          <w:p w14:paraId="3F4F764B" w14:textId="66BB307F" w:rsidR="00761CDC" w:rsidRPr="00F01347" w:rsidRDefault="006C17CB">
            <w:pPr>
              <w:pStyle w:val="texto0"/>
              <w:spacing w:after="80"/>
              <w:ind w:firstLine="0"/>
              <w:jc w:val="center"/>
              <w:rPr>
                <w:rFonts w:ascii="Verdana" w:hAnsi="Verdana"/>
                <w:color w:val="000000"/>
                <w:sz w:val="16"/>
                <w:szCs w:val="16"/>
                <w:lang w:val="en-US"/>
              </w:rPr>
            </w:pPr>
            <w:r w:rsidRPr="00F01347">
              <w:rPr>
                <w:rFonts w:ascii="Verdana" w:hAnsi="Verdana"/>
                <w:color w:val="000000"/>
                <w:sz w:val="16"/>
                <w:szCs w:val="16"/>
                <w:lang w:val="en-US"/>
              </w:rPr>
              <w:t>15</w:t>
            </w:r>
          </w:p>
        </w:tc>
        <w:tc>
          <w:tcPr>
            <w:tcW w:w="4187" w:type="dxa"/>
            <w:tcBorders>
              <w:top w:val="single" w:sz="6" w:space="0" w:color="auto"/>
              <w:left w:val="single" w:sz="6" w:space="0" w:color="auto"/>
              <w:bottom w:val="single" w:sz="6" w:space="0" w:color="auto"/>
              <w:right w:val="single" w:sz="6" w:space="0" w:color="auto"/>
            </w:tcBorders>
            <w:hideMark/>
          </w:tcPr>
          <w:p w14:paraId="6679EAE5" w14:textId="77777777" w:rsidR="00761CDC" w:rsidRPr="00F01347" w:rsidRDefault="00761CDC">
            <w:pPr>
              <w:pStyle w:val="texto0"/>
              <w:spacing w:after="80"/>
              <w:ind w:firstLine="0"/>
              <w:jc w:val="center"/>
              <w:rPr>
                <w:rFonts w:ascii="Verdana" w:hAnsi="Verdana"/>
                <w:color w:val="000000"/>
                <w:sz w:val="16"/>
                <w:szCs w:val="16"/>
                <w:lang w:val="en-US"/>
              </w:rPr>
            </w:pPr>
            <w:r w:rsidRPr="00F01347">
              <w:rPr>
                <w:rFonts w:ascii="Verdana" w:hAnsi="Verdana"/>
                <w:color w:val="000000"/>
                <w:sz w:val="16"/>
                <w:szCs w:val="16"/>
                <w:lang w:val="en-US"/>
              </w:rPr>
              <w:t>U.C.</w:t>
            </w:r>
          </w:p>
        </w:tc>
      </w:tr>
      <w:tr w:rsidR="00761CDC" w:rsidRPr="00F01347" w14:paraId="669F9987" w14:textId="77777777" w:rsidTr="00761CDC">
        <w:trPr>
          <w:trHeight w:val="20"/>
          <w:jc w:val="center"/>
        </w:trPr>
        <w:tc>
          <w:tcPr>
            <w:tcW w:w="8712" w:type="dxa"/>
            <w:gridSpan w:val="3"/>
            <w:tcBorders>
              <w:top w:val="single" w:sz="6" w:space="0" w:color="auto"/>
              <w:left w:val="nil"/>
              <w:bottom w:val="nil"/>
              <w:right w:val="nil"/>
            </w:tcBorders>
            <w:hideMark/>
          </w:tcPr>
          <w:p w14:paraId="0988F805" w14:textId="77777777" w:rsidR="00761CDC" w:rsidRPr="00F01347" w:rsidRDefault="00761CDC">
            <w:pPr>
              <w:pStyle w:val="texto0"/>
              <w:spacing w:after="80"/>
              <w:ind w:firstLine="0"/>
              <w:rPr>
                <w:rFonts w:ascii="Verdana" w:hAnsi="Verdana"/>
                <w:color w:val="000000"/>
                <w:sz w:val="16"/>
                <w:szCs w:val="16"/>
                <w:lang w:val="en-US"/>
              </w:rPr>
            </w:pPr>
            <w:proofErr w:type="spellStart"/>
            <w:r w:rsidRPr="00F01347">
              <w:rPr>
                <w:rFonts w:ascii="Verdana" w:hAnsi="Verdana"/>
                <w:color w:val="000000"/>
                <w:sz w:val="16"/>
                <w:szCs w:val="16"/>
                <w:vertAlign w:val="superscript"/>
                <w:lang w:val="en-US"/>
              </w:rPr>
              <w:t>a</w:t>
            </w:r>
            <w:proofErr w:type="spellEnd"/>
            <w:r w:rsidRPr="00F01347">
              <w:rPr>
                <w:rFonts w:ascii="Verdana" w:hAnsi="Verdana"/>
                <w:color w:val="000000"/>
                <w:sz w:val="16"/>
                <w:szCs w:val="16"/>
                <w:vertAlign w:val="superscript"/>
                <w:lang w:val="en-US"/>
              </w:rPr>
              <w:t xml:space="preserve"> </w:t>
            </w:r>
            <w:proofErr w:type="gramStart"/>
            <w:r w:rsidRPr="00F01347">
              <w:rPr>
                <w:rFonts w:ascii="Verdana" w:hAnsi="Verdana"/>
                <w:color w:val="000000"/>
                <w:sz w:val="16"/>
                <w:szCs w:val="16"/>
                <w:lang w:val="en-US"/>
              </w:rPr>
              <w:t>The</w:t>
            </w:r>
            <w:proofErr w:type="gramEnd"/>
            <w:r w:rsidRPr="00F01347">
              <w:rPr>
                <w:rFonts w:ascii="Verdana" w:hAnsi="Verdana"/>
                <w:color w:val="000000"/>
                <w:sz w:val="16"/>
                <w:szCs w:val="16"/>
                <w:lang w:val="en-US"/>
              </w:rPr>
              <w:t xml:space="preserve"> permissible limit for Turbidity will be 3.0 UNT from the second year after the entry into force of this Standard.</w:t>
            </w:r>
          </w:p>
        </w:tc>
      </w:tr>
    </w:tbl>
    <w:p w14:paraId="204CB8C5" w14:textId="77777777" w:rsidR="00761CDC" w:rsidRPr="00F01347" w:rsidRDefault="00761CDC" w:rsidP="003A601B">
      <w:pPr>
        <w:pStyle w:val="texto0"/>
        <w:spacing w:after="8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551FE492" w14:textId="77777777" w:rsidTr="001F36DF">
        <w:tc>
          <w:tcPr>
            <w:tcW w:w="4675" w:type="dxa"/>
          </w:tcPr>
          <w:p w14:paraId="027AE4FF" w14:textId="78113175" w:rsidR="00204B58" w:rsidRPr="00F01347" w:rsidRDefault="00204B58" w:rsidP="003A601B">
            <w:pPr>
              <w:pStyle w:val="texto0"/>
              <w:spacing w:after="80"/>
              <w:ind w:firstLine="0"/>
              <w:rPr>
                <w:rFonts w:ascii="Verdana" w:hAnsi="Verdana"/>
                <w:sz w:val="16"/>
                <w:szCs w:val="16"/>
                <w:lang w:val="es-ES_tradnl"/>
              </w:rPr>
            </w:pPr>
            <w:r w:rsidRPr="00F01347">
              <w:rPr>
                <w:rFonts w:ascii="Verdana" w:hAnsi="Verdana"/>
                <w:b/>
                <w:sz w:val="16"/>
                <w:szCs w:val="16"/>
                <w:lang w:val="es-ES_tradnl"/>
              </w:rPr>
              <w:t xml:space="preserve">5.3 </w:t>
            </w:r>
            <w:r w:rsidRPr="00F01347">
              <w:rPr>
                <w:rFonts w:ascii="Verdana" w:hAnsi="Verdana"/>
                <w:sz w:val="16"/>
                <w:szCs w:val="16"/>
                <w:lang w:val="es-ES_tradnl"/>
              </w:rPr>
              <w:t>Químicas:</w:t>
            </w:r>
          </w:p>
        </w:tc>
        <w:tc>
          <w:tcPr>
            <w:tcW w:w="4675" w:type="dxa"/>
          </w:tcPr>
          <w:p w14:paraId="3FAFC4DB" w14:textId="6DA9E721" w:rsidR="00204B58" w:rsidRPr="00F01347" w:rsidRDefault="00761CDC" w:rsidP="003A601B">
            <w:pPr>
              <w:pStyle w:val="texto0"/>
              <w:spacing w:after="80"/>
              <w:ind w:firstLine="0"/>
              <w:rPr>
                <w:rFonts w:ascii="Verdana" w:hAnsi="Verdana"/>
                <w:sz w:val="16"/>
                <w:szCs w:val="16"/>
                <w:lang w:val="en-US"/>
              </w:rPr>
            </w:pPr>
            <w:r w:rsidRPr="00F01347">
              <w:rPr>
                <w:rFonts w:ascii="Verdana" w:hAnsi="Verdana"/>
                <w:b/>
                <w:sz w:val="16"/>
                <w:szCs w:val="16"/>
                <w:lang w:val="en-US"/>
              </w:rPr>
              <w:t xml:space="preserve">5.3 </w:t>
            </w:r>
            <w:r w:rsidRPr="00F01347">
              <w:rPr>
                <w:rFonts w:ascii="Verdana" w:hAnsi="Verdana"/>
                <w:sz w:val="16"/>
                <w:szCs w:val="16"/>
                <w:lang w:val="en-US"/>
              </w:rPr>
              <w:t>Chemicals:</w:t>
            </w:r>
          </w:p>
        </w:tc>
      </w:tr>
    </w:tbl>
    <w:p w14:paraId="42D812D4" w14:textId="77777777" w:rsidR="00204B58" w:rsidRPr="00F01347" w:rsidRDefault="00204B58" w:rsidP="003A601B">
      <w:pPr>
        <w:pStyle w:val="texto0"/>
        <w:spacing w:after="80"/>
        <w:rPr>
          <w:rFonts w:ascii="Verdana" w:hAnsi="Verdana"/>
          <w:sz w:val="16"/>
          <w:szCs w:val="16"/>
          <w:lang w:val="es-ES_tradnl"/>
        </w:rPr>
      </w:pPr>
    </w:p>
    <w:p w14:paraId="20FDF917" w14:textId="77777777" w:rsidR="00A74CDF" w:rsidRPr="00F01347" w:rsidRDefault="00A74CDF" w:rsidP="003A601B">
      <w:pPr>
        <w:pStyle w:val="texto0"/>
        <w:spacing w:after="80"/>
        <w:ind w:firstLine="0"/>
        <w:jc w:val="center"/>
        <w:rPr>
          <w:rFonts w:ascii="Verdana" w:hAnsi="Verdana"/>
          <w:b/>
          <w:color w:val="000000"/>
          <w:sz w:val="16"/>
          <w:szCs w:val="16"/>
        </w:rPr>
      </w:pPr>
      <w:r w:rsidRPr="00F01347">
        <w:rPr>
          <w:rFonts w:ascii="Verdana" w:hAnsi="Verdana"/>
          <w:b/>
          <w:color w:val="000000"/>
          <w:sz w:val="16"/>
          <w:szCs w:val="16"/>
        </w:rPr>
        <w:t>Tabla 2 - Especificaciones sanitarias químicas</w:t>
      </w:r>
    </w:p>
    <w:tbl>
      <w:tblPr>
        <w:tblW w:w="8712" w:type="dxa"/>
        <w:jc w:val="center"/>
        <w:tblLayout w:type="fixed"/>
        <w:tblCellMar>
          <w:left w:w="70" w:type="dxa"/>
          <w:right w:w="70" w:type="dxa"/>
        </w:tblCellMar>
        <w:tblLook w:val="0000" w:firstRow="0" w:lastRow="0" w:firstColumn="0" w:lastColumn="0" w:noHBand="0" w:noVBand="0"/>
      </w:tblPr>
      <w:tblGrid>
        <w:gridCol w:w="3734"/>
        <w:gridCol w:w="2112"/>
        <w:gridCol w:w="2866"/>
      </w:tblGrid>
      <w:tr w:rsidR="00A74CDF" w:rsidRPr="00F01347" w14:paraId="6A64D8D6" w14:textId="77777777">
        <w:trPr>
          <w:trHeight w:val="20"/>
          <w:jc w:val="center"/>
        </w:trPr>
        <w:tc>
          <w:tcPr>
            <w:tcW w:w="3734" w:type="dxa"/>
            <w:tcBorders>
              <w:top w:val="single" w:sz="6" w:space="0" w:color="auto"/>
              <w:left w:val="single" w:sz="6" w:space="0" w:color="auto"/>
              <w:bottom w:val="single" w:sz="6" w:space="0" w:color="auto"/>
              <w:right w:val="single" w:sz="6" w:space="0" w:color="auto"/>
            </w:tcBorders>
            <w:noWrap/>
          </w:tcPr>
          <w:p w14:paraId="4A49B80E" w14:textId="77777777" w:rsidR="00A74CDF" w:rsidRPr="00F01347" w:rsidRDefault="00A74CDF" w:rsidP="003A601B">
            <w:pPr>
              <w:pStyle w:val="texto0"/>
              <w:spacing w:before="40" w:after="40" w:line="200" w:lineRule="exact"/>
              <w:ind w:firstLine="0"/>
              <w:jc w:val="center"/>
              <w:rPr>
                <w:rFonts w:ascii="Verdana" w:hAnsi="Verdana"/>
                <w:b/>
                <w:color w:val="000000"/>
                <w:sz w:val="16"/>
                <w:szCs w:val="16"/>
              </w:rPr>
            </w:pPr>
            <w:r w:rsidRPr="00F01347">
              <w:rPr>
                <w:rFonts w:ascii="Verdana" w:hAnsi="Verdana"/>
                <w:b/>
                <w:color w:val="000000"/>
                <w:sz w:val="16"/>
                <w:szCs w:val="16"/>
              </w:rPr>
              <w:t>Parámetros</w:t>
            </w:r>
          </w:p>
        </w:tc>
        <w:tc>
          <w:tcPr>
            <w:tcW w:w="2112" w:type="dxa"/>
            <w:tcBorders>
              <w:top w:val="single" w:sz="6" w:space="0" w:color="auto"/>
              <w:left w:val="single" w:sz="6" w:space="0" w:color="auto"/>
              <w:bottom w:val="single" w:sz="6" w:space="0" w:color="auto"/>
              <w:right w:val="single" w:sz="6" w:space="0" w:color="auto"/>
            </w:tcBorders>
          </w:tcPr>
          <w:p w14:paraId="0926BC9E" w14:textId="77777777" w:rsidR="00A74CDF" w:rsidRPr="00F01347" w:rsidRDefault="00A74CDF" w:rsidP="003A601B">
            <w:pPr>
              <w:pStyle w:val="texto0"/>
              <w:spacing w:before="40" w:after="40" w:line="200" w:lineRule="exact"/>
              <w:ind w:firstLine="0"/>
              <w:jc w:val="center"/>
              <w:rPr>
                <w:rFonts w:ascii="Verdana" w:hAnsi="Verdana"/>
                <w:b/>
                <w:color w:val="000000"/>
                <w:sz w:val="16"/>
                <w:szCs w:val="16"/>
              </w:rPr>
            </w:pPr>
            <w:r w:rsidRPr="00F01347">
              <w:rPr>
                <w:rFonts w:ascii="Verdana" w:hAnsi="Verdana"/>
                <w:b/>
                <w:color w:val="000000"/>
                <w:sz w:val="16"/>
                <w:szCs w:val="16"/>
              </w:rPr>
              <w:t>Límite permisible</w:t>
            </w:r>
          </w:p>
        </w:tc>
        <w:tc>
          <w:tcPr>
            <w:tcW w:w="2866" w:type="dxa"/>
            <w:tcBorders>
              <w:top w:val="single" w:sz="6" w:space="0" w:color="auto"/>
              <w:left w:val="single" w:sz="6" w:space="0" w:color="auto"/>
              <w:bottom w:val="single" w:sz="6" w:space="0" w:color="auto"/>
              <w:right w:val="single" w:sz="6" w:space="0" w:color="auto"/>
            </w:tcBorders>
          </w:tcPr>
          <w:p w14:paraId="2E1EB079" w14:textId="77777777" w:rsidR="00A74CDF" w:rsidRPr="00F01347" w:rsidRDefault="00A74CDF" w:rsidP="003A601B">
            <w:pPr>
              <w:pStyle w:val="texto0"/>
              <w:spacing w:before="40" w:after="40" w:line="200" w:lineRule="exact"/>
              <w:ind w:firstLine="0"/>
              <w:jc w:val="center"/>
              <w:rPr>
                <w:rFonts w:ascii="Verdana" w:hAnsi="Verdana"/>
                <w:b/>
                <w:color w:val="000000"/>
                <w:sz w:val="16"/>
                <w:szCs w:val="16"/>
              </w:rPr>
            </w:pPr>
            <w:r w:rsidRPr="00F01347">
              <w:rPr>
                <w:rFonts w:ascii="Verdana" w:hAnsi="Verdana"/>
                <w:b/>
                <w:color w:val="000000"/>
                <w:sz w:val="16"/>
                <w:szCs w:val="16"/>
              </w:rPr>
              <w:t>Unidades</w:t>
            </w:r>
          </w:p>
        </w:tc>
      </w:tr>
      <w:tr w:rsidR="00A74CDF" w:rsidRPr="00F01347" w14:paraId="0A230BE4" w14:textId="77777777">
        <w:trPr>
          <w:trHeight w:val="20"/>
          <w:jc w:val="center"/>
        </w:trPr>
        <w:tc>
          <w:tcPr>
            <w:tcW w:w="3734" w:type="dxa"/>
            <w:tcBorders>
              <w:top w:val="single" w:sz="6" w:space="0" w:color="auto"/>
              <w:left w:val="single" w:sz="6" w:space="0" w:color="auto"/>
              <w:bottom w:val="single" w:sz="6" w:space="0" w:color="auto"/>
              <w:right w:val="single" w:sz="6" w:space="0" w:color="auto"/>
            </w:tcBorders>
          </w:tcPr>
          <w:p w14:paraId="39DF8380" w14:textId="77777777" w:rsidR="00A74CDF" w:rsidRPr="00F01347" w:rsidRDefault="00A74CDF" w:rsidP="003A601B">
            <w:pPr>
              <w:pStyle w:val="texto0"/>
              <w:spacing w:before="40" w:after="40" w:line="200" w:lineRule="exact"/>
              <w:ind w:firstLine="0"/>
              <w:rPr>
                <w:rFonts w:ascii="Verdana" w:hAnsi="Verdana"/>
                <w:color w:val="000000"/>
                <w:sz w:val="16"/>
                <w:szCs w:val="16"/>
              </w:rPr>
            </w:pPr>
            <w:r w:rsidRPr="00F01347">
              <w:rPr>
                <w:rFonts w:ascii="Verdana" w:hAnsi="Verdana"/>
                <w:color w:val="000000"/>
                <w:sz w:val="16"/>
                <w:szCs w:val="16"/>
              </w:rPr>
              <w:t>Cianuros totales</w:t>
            </w:r>
          </w:p>
        </w:tc>
        <w:tc>
          <w:tcPr>
            <w:tcW w:w="2112" w:type="dxa"/>
            <w:tcBorders>
              <w:top w:val="single" w:sz="6" w:space="0" w:color="auto"/>
              <w:left w:val="single" w:sz="6" w:space="0" w:color="auto"/>
              <w:bottom w:val="single" w:sz="6" w:space="0" w:color="auto"/>
              <w:right w:val="single" w:sz="6" w:space="0" w:color="auto"/>
            </w:tcBorders>
          </w:tcPr>
          <w:p w14:paraId="4EC4A5B5" w14:textId="77777777" w:rsidR="00A74CDF" w:rsidRPr="00F01347" w:rsidRDefault="00A74CDF" w:rsidP="003A601B">
            <w:pPr>
              <w:pStyle w:val="texto0"/>
              <w:spacing w:before="40" w:after="40" w:line="200" w:lineRule="exact"/>
              <w:ind w:firstLine="0"/>
              <w:jc w:val="center"/>
              <w:rPr>
                <w:rFonts w:ascii="Verdana" w:hAnsi="Verdana"/>
                <w:color w:val="000000"/>
                <w:sz w:val="16"/>
                <w:szCs w:val="16"/>
              </w:rPr>
            </w:pPr>
            <w:r w:rsidRPr="00F01347">
              <w:rPr>
                <w:rFonts w:ascii="Verdana" w:hAnsi="Verdana"/>
                <w:color w:val="000000"/>
                <w:sz w:val="16"/>
                <w:szCs w:val="16"/>
              </w:rPr>
              <w:t>0.07</w:t>
            </w:r>
          </w:p>
        </w:tc>
        <w:tc>
          <w:tcPr>
            <w:tcW w:w="2866" w:type="dxa"/>
            <w:tcBorders>
              <w:top w:val="single" w:sz="6" w:space="0" w:color="auto"/>
              <w:left w:val="single" w:sz="6" w:space="0" w:color="auto"/>
              <w:bottom w:val="single" w:sz="6" w:space="0" w:color="auto"/>
              <w:right w:val="single" w:sz="6" w:space="0" w:color="auto"/>
            </w:tcBorders>
          </w:tcPr>
          <w:p w14:paraId="6915F348" w14:textId="77777777" w:rsidR="00A74CDF" w:rsidRPr="00F01347" w:rsidRDefault="00A74CDF" w:rsidP="003A601B">
            <w:pPr>
              <w:pStyle w:val="texto0"/>
              <w:spacing w:before="40" w:after="40" w:line="200"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189414F3" w14:textId="77777777">
        <w:trPr>
          <w:trHeight w:val="20"/>
          <w:jc w:val="center"/>
        </w:trPr>
        <w:tc>
          <w:tcPr>
            <w:tcW w:w="3734" w:type="dxa"/>
            <w:tcBorders>
              <w:top w:val="single" w:sz="6" w:space="0" w:color="auto"/>
              <w:left w:val="single" w:sz="6" w:space="0" w:color="auto"/>
              <w:bottom w:val="single" w:sz="6" w:space="0" w:color="auto"/>
              <w:right w:val="single" w:sz="6" w:space="0" w:color="auto"/>
            </w:tcBorders>
          </w:tcPr>
          <w:p w14:paraId="7D8BF188" w14:textId="77777777" w:rsidR="00A74CDF" w:rsidRPr="00F01347" w:rsidRDefault="00A74CDF" w:rsidP="003A601B">
            <w:pPr>
              <w:pStyle w:val="texto0"/>
              <w:spacing w:before="40" w:after="40" w:line="200" w:lineRule="exact"/>
              <w:ind w:firstLine="0"/>
              <w:rPr>
                <w:rFonts w:ascii="Verdana" w:hAnsi="Verdana"/>
                <w:color w:val="000000"/>
                <w:sz w:val="16"/>
                <w:szCs w:val="16"/>
              </w:rPr>
            </w:pPr>
            <w:r w:rsidRPr="00F01347">
              <w:rPr>
                <w:rFonts w:ascii="Verdana" w:hAnsi="Verdana"/>
                <w:color w:val="000000"/>
                <w:sz w:val="16"/>
                <w:szCs w:val="16"/>
              </w:rPr>
              <w:t>Dureza total como CaCO</w:t>
            </w:r>
            <w:r w:rsidRPr="00F01347">
              <w:rPr>
                <w:rFonts w:ascii="Verdana" w:hAnsi="Verdana"/>
                <w:color w:val="000000"/>
                <w:sz w:val="16"/>
                <w:szCs w:val="16"/>
                <w:vertAlign w:val="subscript"/>
              </w:rPr>
              <w:t>3</w:t>
            </w:r>
          </w:p>
        </w:tc>
        <w:tc>
          <w:tcPr>
            <w:tcW w:w="2112" w:type="dxa"/>
            <w:tcBorders>
              <w:top w:val="single" w:sz="6" w:space="0" w:color="auto"/>
              <w:left w:val="single" w:sz="6" w:space="0" w:color="auto"/>
              <w:bottom w:val="single" w:sz="6" w:space="0" w:color="auto"/>
              <w:right w:val="single" w:sz="6" w:space="0" w:color="auto"/>
            </w:tcBorders>
          </w:tcPr>
          <w:p w14:paraId="7CBDE816" w14:textId="77777777" w:rsidR="00A74CDF" w:rsidRPr="00F01347" w:rsidRDefault="00A74CDF" w:rsidP="003A601B">
            <w:pPr>
              <w:pStyle w:val="texto0"/>
              <w:spacing w:before="40" w:after="40" w:line="200" w:lineRule="exact"/>
              <w:ind w:firstLine="0"/>
              <w:jc w:val="center"/>
              <w:rPr>
                <w:rFonts w:ascii="Verdana" w:hAnsi="Verdana"/>
                <w:color w:val="000000"/>
                <w:sz w:val="16"/>
                <w:szCs w:val="16"/>
              </w:rPr>
            </w:pPr>
            <w:r w:rsidRPr="00F01347">
              <w:rPr>
                <w:rFonts w:ascii="Verdana" w:hAnsi="Verdana"/>
                <w:color w:val="000000"/>
                <w:sz w:val="16"/>
                <w:szCs w:val="16"/>
              </w:rPr>
              <w:t>500.00</w:t>
            </w:r>
          </w:p>
        </w:tc>
        <w:tc>
          <w:tcPr>
            <w:tcW w:w="2866" w:type="dxa"/>
            <w:tcBorders>
              <w:top w:val="single" w:sz="6" w:space="0" w:color="auto"/>
              <w:left w:val="single" w:sz="6" w:space="0" w:color="auto"/>
              <w:bottom w:val="single" w:sz="6" w:space="0" w:color="auto"/>
              <w:right w:val="single" w:sz="6" w:space="0" w:color="auto"/>
            </w:tcBorders>
          </w:tcPr>
          <w:p w14:paraId="1C7D9399" w14:textId="77777777" w:rsidR="00A74CDF" w:rsidRPr="00F01347" w:rsidRDefault="00A74CDF" w:rsidP="003A601B">
            <w:pPr>
              <w:pStyle w:val="texto0"/>
              <w:spacing w:before="40" w:after="40" w:line="200"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25DD9F6A" w14:textId="77777777">
        <w:trPr>
          <w:trHeight w:val="20"/>
          <w:jc w:val="center"/>
        </w:trPr>
        <w:tc>
          <w:tcPr>
            <w:tcW w:w="3734" w:type="dxa"/>
            <w:tcBorders>
              <w:top w:val="single" w:sz="6" w:space="0" w:color="auto"/>
              <w:left w:val="single" w:sz="6" w:space="0" w:color="auto"/>
              <w:bottom w:val="single" w:sz="6" w:space="0" w:color="auto"/>
              <w:right w:val="single" w:sz="6" w:space="0" w:color="auto"/>
            </w:tcBorders>
          </w:tcPr>
          <w:p w14:paraId="03F462E2" w14:textId="77777777" w:rsidR="00A74CDF" w:rsidRPr="00F01347" w:rsidRDefault="00A74CDF" w:rsidP="003A601B">
            <w:pPr>
              <w:pStyle w:val="texto0"/>
              <w:spacing w:before="40" w:after="40" w:line="200" w:lineRule="exact"/>
              <w:ind w:firstLine="0"/>
              <w:rPr>
                <w:rFonts w:ascii="Verdana" w:hAnsi="Verdana"/>
                <w:sz w:val="16"/>
                <w:szCs w:val="16"/>
              </w:rPr>
            </w:pPr>
            <w:r w:rsidRPr="00F01347">
              <w:rPr>
                <w:rFonts w:ascii="Verdana" w:hAnsi="Verdana"/>
                <w:sz w:val="16"/>
                <w:szCs w:val="16"/>
              </w:rPr>
              <w:t>Fluoruros como F</w:t>
            </w:r>
            <w:r w:rsidRPr="00F01347">
              <w:rPr>
                <w:rFonts w:ascii="Verdana" w:hAnsi="Verdana"/>
                <w:sz w:val="16"/>
                <w:szCs w:val="16"/>
                <w:vertAlign w:val="superscript"/>
              </w:rPr>
              <w:t>- a</w:t>
            </w:r>
          </w:p>
        </w:tc>
        <w:tc>
          <w:tcPr>
            <w:tcW w:w="2112" w:type="dxa"/>
            <w:tcBorders>
              <w:top w:val="single" w:sz="6" w:space="0" w:color="auto"/>
              <w:left w:val="single" w:sz="6" w:space="0" w:color="auto"/>
              <w:bottom w:val="single" w:sz="6" w:space="0" w:color="auto"/>
              <w:right w:val="single" w:sz="6" w:space="0" w:color="auto"/>
            </w:tcBorders>
          </w:tcPr>
          <w:p w14:paraId="518218D8"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1.50</w:t>
            </w:r>
          </w:p>
        </w:tc>
        <w:tc>
          <w:tcPr>
            <w:tcW w:w="2866" w:type="dxa"/>
            <w:tcBorders>
              <w:top w:val="single" w:sz="6" w:space="0" w:color="auto"/>
              <w:left w:val="single" w:sz="6" w:space="0" w:color="auto"/>
              <w:bottom w:val="single" w:sz="6" w:space="0" w:color="auto"/>
              <w:right w:val="single" w:sz="6" w:space="0" w:color="auto"/>
            </w:tcBorders>
          </w:tcPr>
          <w:p w14:paraId="06FFFEC6"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mg/L</w:t>
            </w:r>
          </w:p>
        </w:tc>
      </w:tr>
      <w:tr w:rsidR="00A74CDF" w:rsidRPr="00F01347" w14:paraId="4691E316" w14:textId="77777777">
        <w:trPr>
          <w:trHeight w:val="20"/>
          <w:jc w:val="center"/>
        </w:trPr>
        <w:tc>
          <w:tcPr>
            <w:tcW w:w="3734" w:type="dxa"/>
            <w:tcBorders>
              <w:top w:val="single" w:sz="6" w:space="0" w:color="auto"/>
              <w:left w:val="single" w:sz="6" w:space="0" w:color="auto"/>
              <w:bottom w:val="single" w:sz="6" w:space="0" w:color="auto"/>
              <w:right w:val="single" w:sz="6" w:space="0" w:color="auto"/>
            </w:tcBorders>
          </w:tcPr>
          <w:p w14:paraId="423962CD" w14:textId="77777777" w:rsidR="00A74CDF" w:rsidRPr="00F01347" w:rsidRDefault="00A74CDF" w:rsidP="003A601B">
            <w:pPr>
              <w:pStyle w:val="texto0"/>
              <w:spacing w:before="40" w:after="40" w:line="200" w:lineRule="exact"/>
              <w:ind w:firstLine="0"/>
              <w:rPr>
                <w:rFonts w:ascii="Verdana" w:hAnsi="Verdana"/>
                <w:sz w:val="16"/>
                <w:szCs w:val="16"/>
              </w:rPr>
            </w:pPr>
            <w:r w:rsidRPr="00F01347">
              <w:rPr>
                <w:rFonts w:ascii="Verdana" w:hAnsi="Verdana"/>
                <w:sz w:val="16"/>
                <w:szCs w:val="16"/>
              </w:rPr>
              <w:t>Nitrógeno amoniacal (N-NH</w:t>
            </w:r>
            <w:r w:rsidRPr="00F01347">
              <w:rPr>
                <w:rFonts w:ascii="Verdana" w:hAnsi="Verdana"/>
                <w:sz w:val="16"/>
                <w:szCs w:val="16"/>
                <w:vertAlign w:val="subscript"/>
              </w:rPr>
              <w:t>3</w:t>
            </w:r>
            <w:r w:rsidRPr="00F01347">
              <w:rPr>
                <w:rFonts w:ascii="Verdana" w:hAnsi="Verdana"/>
                <w:sz w:val="16"/>
                <w:szCs w:val="16"/>
              </w:rPr>
              <w:t>)</w:t>
            </w:r>
          </w:p>
        </w:tc>
        <w:tc>
          <w:tcPr>
            <w:tcW w:w="2112" w:type="dxa"/>
            <w:tcBorders>
              <w:top w:val="single" w:sz="6" w:space="0" w:color="auto"/>
              <w:left w:val="single" w:sz="6" w:space="0" w:color="auto"/>
              <w:bottom w:val="single" w:sz="6" w:space="0" w:color="auto"/>
              <w:right w:val="single" w:sz="6" w:space="0" w:color="auto"/>
            </w:tcBorders>
          </w:tcPr>
          <w:p w14:paraId="2E901C47"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0.50</w:t>
            </w:r>
          </w:p>
        </w:tc>
        <w:tc>
          <w:tcPr>
            <w:tcW w:w="2866" w:type="dxa"/>
            <w:tcBorders>
              <w:top w:val="single" w:sz="6" w:space="0" w:color="auto"/>
              <w:left w:val="single" w:sz="6" w:space="0" w:color="auto"/>
              <w:bottom w:val="single" w:sz="6" w:space="0" w:color="auto"/>
              <w:right w:val="single" w:sz="6" w:space="0" w:color="auto"/>
            </w:tcBorders>
          </w:tcPr>
          <w:p w14:paraId="6999A668"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mg/L</w:t>
            </w:r>
          </w:p>
        </w:tc>
      </w:tr>
      <w:tr w:rsidR="00A74CDF" w:rsidRPr="00F01347" w14:paraId="3E1FBB01" w14:textId="77777777">
        <w:trPr>
          <w:trHeight w:val="20"/>
          <w:jc w:val="center"/>
        </w:trPr>
        <w:tc>
          <w:tcPr>
            <w:tcW w:w="3734" w:type="dxa"/>
            <w:tcBorders>
              <w:top w:val="single" w:sz="6" w:space="0" w:color="auto"/>
              <w:left w:val="single" w:sz="6" w:space="0" w:color="auto"/>
              <w:bottom w:val="single" w:sz="6" w:space="0" w:color="auto"/>
              <w:right w:val="single" w:sz="6" w:space="0" w:color="auto"/>
            </w:tcBorders>
          </w:tcPr>
          <w:p w14:paraId="65C18DC5" w14:textId="77777777" w:rsidR="00A74CDF" w:rsidRPr="00F01347" w:rsidRDefault="00A74CDF" w:rsidP="003A601B">
            <w:pPr>
              <w:pStyle w:val="texto0"/>
              <w:spacing w:before="40" w:after="40" w:line="200" w:lineRule="exact"/>
              <w:ind w:firstLine="0"/>
              <w:rPr>
                <w:rFonts w:ascii="Verdana" w:hAnsi="Verdana"/>
                <w:sz w:val="16"/>
                <w:szCs w:val="16"/>
              </w:rPr>
            </w:pPr>
            <w:r w:rsidRPr="00F01347">
              <w:rPr>
                <w:rFonts w:ascii="Verdana" w:hAnsi="Verdana"/>
                <w:sz w:val="16"/>
                <w:szCs w:val="16"/>
              </w:rPr>
              <w:t>Nitrógeno de nitratos (N-NO</w:t>
            </w:r>
            <w:r w:rsidRPr="00F01347">
              <w:rPr>
                <w:rFonts w:ascii="Verdana" w:hAnsi="Verdana"/>
                <w:sz w:val="16"/>
                <w:szCs w:val="16"/>
                <w:vertAlign w:val="subscript"/>
              </w:rPr>
              <w:t>3</w:t>
            </w:r>
            <w:r w:rsidRPr="00F01347">
              <w:rPr>
                <w:rFonts w:ascii="Verdana" w:hAnsi="Verdana"/>
                <w:sz w:val="16"/>
                <w:szCs w:val="16"/>
                <w:vertAlign w:val="superscript"/>
              </w:rPr>
              <w:t>-</w:t>
            </w:r>
            <w:r w:rsidRPr="00F01347">
              <w:rPr>
                <w:rFonts w:ascii="Verdana" w:hAnsi="Verdana"/>
                <w:sz w:val="16"/>
                <w:szCs w:val="16"/>
              </w:rPr>
              <w:t>)</w:t>
            </w:r>
          </w:p>
        </w:tc>
        <w:tc>
          <w:tcPr>
            <w:tcW w:w="2112" w:type="dxa"/>
            <w:tcBorders>
              <w:top w:val="single" w:sz="6" w:space="0" w:color="auto"/>
              <w:left w:val="single" w:sz="6" w:space="0" w:color="auto"/>
              <w:bottom w:val="single" w:sz="6" w:space="0" w:color="auto"/>
              <w:right w:val="single" w:sz="6" w:space="0" w:color="auto"/>
            </w:tcBorders>
          </w:tcPr>
          <w:p w14:paraId="4D68A30B"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11.00</w:t>
            </w:r>
          </w:p>
        </w:tc>
        <w:tc>
          <w:tcPr>
            <w:tcW w:w="2866" w:type="dxa"/>
            <w:tcBorders>
              <w:top w:val="single" w:sz="6" w:space="0" w:color="auto"/>
              <w:left w:val="single" w:sz="6" w:space="0" w:color="auto"/>
              <w:bottom w:val="single" w:sz="6" w:space="0" w:color="auto"/>
              <w:right w:val="single" w:sz="6" w:space="0" w:color="auto"/>
            </w:tcBorders>
          </w:tcPr>
          <w:p w14:paraId="4243CD17"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mg/L</w:t>
            </w:r>
          </w:p>
        </w:tc>
      </w:tr>
      <w:tr w:rsidR="00A74CDF" w:rsidRPr="00F01347" w14:paraId="0A690057" w14:textId="77777777">
        <w:trPr>
          <w:trHeight w:val="20"/>
          <w:jc w:val="center"/>
        </w:trPr>
        <w:tc>
          <w:tcPr>
            <w:tcW w:w="3734" w:type="dxa"/>
            <w:tcBorders>
              <w:top w:val="single" w:sz="6" w:space="0" w:color="auto"/>
              <w:left w:val="single" w:sz="6" w:space="0" w:color="auto"/>
              <w:bottom w:val="single" w:sz="6" w:space="0" w:color="auto"/>
              <w:right w:val="single" w:sz="6" w:space="0" w:color="auto"/>
            </w:tcBorders>
          </w:tcPr>
          <w:p w14:paraId="6255F26C" w14:textId="77777777" w:rsidR="00A74CDF" w:rsidRPr="00F01347" w:rsidRDefault="00A74CDF" w:rsidP="003A601B">
            <w:pPr>
              <w:pStyle w:val="texto0"/>
              <w:spacing w:before="40" w:after="40" w:line="200" w:lineRule="exact"/>
              <w:ind w:firstLine="0"/>
              <w:rPr>
                <w:rFonts w:ascii="Verdana" w:hAnsi="Verdana"/>
                <w:sz w:val="16"/>
                <w:szCs w:val="16"/>
              </w:rPr>
            </w:pPr>
            <w:r w:rsidRPr="00F01347">
              <w:rPr>
                <w:rFonts w:ascii="Verdana" w:hAnsi="Verdana"/>
                <w:sz w:val="16"/>
                <w:szCs w:val="16"/>
              </w:rPr>
              <w:t>Nitrógeno de nitritos (N-NO</w:t>
            </w:r>
            <w:r w:rsidRPr="00F01347">
              <w:rPr>
                <w:rFonts w:ascii="Verdana" w:hAnsi="Verdana"/>
                <w:sz w:val="16"/>
                <w:szCs w:val="16"/>
                <w:vertAlign w:val="subscript"/>
              </w:rPr>
              <w:t>2</w:t>
            </w:r>
            <w:r w:rsidRPr="00F01347">
              <w:rPr>
                <w:rFonts w:ascii="Verdana" w:hAnsi="Verdana"/>
                <w:sz w:val="16"/>
                <w:szCs w:val="16"/>
                <w:vertAlign w:val="superscript"/>
              </w:rPr>
              <w:t>-</w:t>
            </w:r>
            <w:r w:rsidRPr="00F01347">
              <w:rPr>
                <w:rFonts w:ascii="Verdana" w:hAnsi="Verdana"/>
                <w:sz w:val="16"/>
                <w:szCs w:val="16"/>
              </w:rPr>
              <w:t>)</w:t>
            </w:r>
          </w:p>
        </w:tc>
        <w:tc>
          <w:tcPr>
            <w:tcW w:w="2112" w:type="dxa"/>
            <w:tcBorders>
              <w:top w:val="single" w:sz="6" w:space="0" w:color="auto"/>
              <w:left w:val="single" w:sz="6" w:space="0" w:color="auto"/>
              <w:bottom w:val="single" w:sz="6" w:space="0" w:color="auto"/>
              <w:right w:val="single" w:sz="6" w:space="0" w:color="auto"/>
            </w:tcBorders>
          </w:tcPr>
          <w:p w14:paraId="16420A01"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0.90</w:t>
            </w:r>
          </w:p>
        </w:tc>
        <w:tc>
          <w:tcPr>
            <w:tcW w:w="2866" w:type="dxa"/>
            <w:tcBorders>
              <w:top w:val="single" w:sz="6" w:space="0" w:color="auto"/>
              <w:left w:val="single" w:sz="6" w:space="0" w:color="auto"/>
              <w:bottom w:val="single" w:sz="6" w:space="0" w:color="auto"/>
              <w:right w:val="single" w:sz="6" w:space="0" w:color="auto"/>
            </w:tcBorders>
          </w:tcPr>
          <w:p w14:paraId="7E8689FF"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mg/L</w:t>
            </w:r>
          </w:p>
        </w:tc>
      </w:tr>
      <w:tr w:rsidR="00A74CDF" w:rsidRPr="00F01347" w14:paraId="7CC1F461" w14:textId="77777777">
        <w:trPr>
          <w:trHeight w:val="20"/>
          <w:jc w:val="center"/>
        </w:trPr>
        <w:tc>
          <w:tcPr>
            <w:tcW w:w="3734" w:type="dxa"/>
            <w:tcBorders>
              <w:top w:val="single" w:sz="6" w:space="0" w:color="auto"/>
              <w:left w:val="single" w:sz="6" w:space="0" w:color="auto"/>
              <w:bottom w:val="single" w:sz="6" w:space="0" w:color="auto"/>
              <w:right w:val="single" w:sz="6" w:space="0" w:color="auto"/>
            </w:tcBorders>
          </w:tcPr>
          <w:p w14:paraId="793EB117" w14:textId="77777777" w:rsidR="00A74CDF" w:rsidRPr="00F01347" w:rsidRDefault="00A74CDF" w:rsidP="003A601B">
            <w:pPr>
              <w:pStyle w:val="texto0"/>
              <w:spacing w:before="40" w:after="40" w:line="200" w:lineRule="exact"/>
              <w:ind w:firstLine="0"/>
              <w:rPr>
                <w:rFonts w:ascii="Verdana" w:hAnsi="Verdana"/>
                <w:sz w:val="16"/>
                <w:szCs w:val="16"/>
              </w:rPr>
            </w:pPr>
            <w:r w:rsidRPr="00F01347">
              <w:rPr>
                <w:rFonts w:ascii="Verdana" w:hAnsi="Verdana"/>
                <w:sz w:val="16"/>
                <w:szCs w:val="16"/>
              </w:rPr>
              <w:t>Sólidos disueltos totales</w:t>
            </w:r>
          </w:p>
        </w:tc>
        <w:tc>
          <w:tcPr>
            <w:tcW w:w="2112" w:type="dxa"/>
            <w:tcBorders>
              <w:top w:val="single" w:sz="6" w:space="0" w:color="auto"/>
              <w:left w:val="single" w:sz="6" w:space="0" w:color="auto"/>
              <w:bottom w:val="single" w:sz="6" w:space="0" w:color="auto"/>
              <w:right w:val="single" w:sz="6" w:space="0" w:color="auto"/>
            </w:tcBorders>
          </w:tcPr>
          <w:p w14:paraId="751CB4FD"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1000.00</w:t>
            </w:r>
          </w:p>
        </w:tc>
        <w:tc>
          <w:tcPr>
            <w:tcW w:w="2866" w:type="dxa"/>
            <w:tcBorders>
              <w:top w:val="single" w:sz="6" w:space="0" w:color="auto"/>
              <w:left w:val="single" w:sz="6" w:space="0" w:color="auto"/>
              <w:bottom w:val="single" w:sz="6" w:space="0" w:color="auto"/>
              <w:right w:val="single" w:sz="6" w:space="0" w:color="auto"/>
            </w:tcBorders>
          </w:tcPr>
          <w:p w14:paraId="69585501"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mg/L</w:t>
            </w:r>
          </w:p>
        </w:tc>
      </w:tr>
      <w:tr w:rsidR="00A74CDF" w:rsidRPr="00F01347" w14:paraId="1A1D4866" w14:textId="77777777">
        <w:trPr>
          <w:trHeight w:val="20"/>
          <w:jc w:val="center"/>
        </w:trPr>
        <w:tc>
          <w:tcPr>
            <w:tcW w:w="3734" w:type="dxa"/>
            <w:tcBorders>
              <w:top w:val="single" w:sz="6" w:space="0" w:color="auto"/>
              <w:left w:val="single" w:sz="6" w:space="0" w:color="auto"/>
              <w:bottom w:val="single" w:sz="6" w:space="0" w:color="auto"/>
              <w:right w:val="single" w:sz="6" w:space="0" w:color="auto"/>
            </w:tcBorders>
          </w:tcPr>
          <w:p w14:paraId="37C93875" w14:textId="77777777" w:rsidR="00A74CDF" w:rsidRPr="00F01347" w:rsidRDefault="00A74CDF" w:rsidP="003A601B">
            <w:pPr>
              <w:pStyle w:val="texto0"/>
              <w:spacing w:before="40" w:after="40" w:line="200" w:lineRule="exact"/>
              <w:ind w:firstLine="0"/>
              <w:rPr>
                <w:rFonts w:ascii="Verdana" w:hAnsi="Verdana"/>
                <w:sz w:val="16"/>
                <w:szCs w:val="16"/>
              </w:rPr>
            </w:pPr>
            <w:r w:rsidRPr="00F01347">
              <w:rPr>
                <w:rFonts w:ascii="Verdana" w:hAnsi="Verdana"/>
                <w:sz w:val="16"/>
                <w:szCs w:val="16"/>
              </w:rPr>
              <w:t>Sulfatos (SO</w:t>
            </w:r>
            <w:r w:rsidRPr="00F01347">
              <w:rPr>
                <w:rFonts w:ascii="Verdana" w:hAnsi="Verdana"/>
                <w:sz w:val="16"/>
                <w:szCs w:val="16"/>
                <w:vertAlign w:val="subscript"/>
              </w:rPr>
              <w:t>4</w:t>
            </w:r>
            <w:r w:rsidRPr="00F01347">
              <w:rPr>
                <w:rFonts w:ascii="Verdana" w:hAnsi="Verdana"/>
                <w:sz w:val="16"/>
                <w:szCs w:val="16"/>
                <w:vertAlign w:val="superscript"/>
              </w:rPr>
              <w:t>=</w:t>
            </w:r>
            <w:r w:rsidRPr="00F01347">
              <w:rPr>
                <w:rFonts w:ascii="Verdana" w:hAnsi="Verdana"/>
                <w:sz w:val="16"/>
                <w:szCs w:val="16"/>
              </w:rPr>
              <w:t>)</w:t>
            </w:r>
          </w:p>
        </w:tc>
        <w:tc>
          <w:tcPr>
            <w:tcW w:w="2112" w:type="dxa"/>
            <w:tcBorders>
              <w:top w:val="single" w:sz="6" w:space="0" w:color="auto"/>
              <w:left w:val="single" w:sz="6" w:space="0" w:color="auto"/>
              <w:bottom w:val="single" w:sz="6" w:space="0" w:color="auto"/>
              <w:right w:val="single" w:sz="6" w:space="0" w:color="auto"/>
            </w:tcBorders>
          </w:tcPr>
          <w:p w14:paraId="3D87A6DD"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400.00</w:t>
            </w:r>
          </w:p>
        </w:tc>
        <w:tc>
          <w:tcPr>
            <w:tcW w:w="2866" w:type="dxa"/>
            <w:tcBorders>
              <w:top w:val="single" w:sz="6" w:space="0" w:color="auto"/>
              <w:left w:val="single" w:sz="6" w:space="0" w:color="auto"/>
              <w:bottom w:val="single" w:sz="6" w:space="0" w:color="auto"/>
              <w:right w:val="single" w:sz="6" w:space="0" w:color="auto"/>
            </w:tcBorders>
          </w:tcPr>
          <w:p w14:paraId="18193545"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mg/L</w:t>
            </w:r>
          </w:p>
        </w:tc>
      </w:tr>
      <w:tr w:rsidR="00A74CDF" w:rsidRPr="00F01347" w14:paraId="642372A0" w14:textId="77777777">
        <w:trPr>
          <w:trHeight w:val="20"/>
          <w:jc w:val="center"/>
        </w:trPr>
        <w:tc>
          <w:tcPr>
            <w:tcW w:w="3734" w:type="dxa"/>
            <w:tcBorders>
              <w:top w:val="single" w:sz="6" w:space="0" w:color="auto"/>
              <w:left w:val="single" w:sz="6" w:space="0" w:color="auto"/>
              <w:bottom w:val="single" w:sz="6" w:space="0" w:color="auto"/>
              <w:right w:val="single" w:sz="6" w:space="0" w:color="auto"/>
            </w:tcBorders>
          </w:tcPr>
          <w:p w14:paraId="706F2A99" w14:textId="77777777" w:rsidR="00A74CDF" w:rsidRPr="00F01347" w:rsidRDefault="00A74CDF" w:rsidP="003A601B">
            <w:pPr>
              <w:pStyle w:val="texto0"/>
              <w:spacing w:before="40" w:after="40" w:line="200" w:lineRule="exact"/>
              <w:ind w:firstLine="0"/>
              <w:rPr>
                <w:rFonts w:ascii="Verdana" w:hAnsi="Verdana"/>
                <w:sz w:val="16"/>
                <w:szCs w:val="16"/>
              </w:rPr>
            </w:pPr>
            <w:r w:rsidRPr="00F01347">
              <w:rPr>
                <w:rFonts w:ascii="Verdana" w:hAnsi="Verdana"/>
                <w:sz w:val="16"/>
                <w:szCs w:val="16"/>
              </w:rPr>
              <w:t>Sustancias activas al azul de metileno</w:t>
            </w:r>
          </w:p>
        </w:tc>
        <w:tc>
          <w:tcPr>
            <w:tcW w:w="2112" w:type="dxa"/>
            <w:tcBorders>
              <w:top w:val="single" w:sz="6" w:space="0" w:color="auto"/>
              <w:left w:val="single" w:sz="6" w:space="0" w:color="auto"/>
              <w:bottom w:val="single" w:sz="6" w:space="0" w:color="auto"/>
              <w:right w:val="single" w:sz="6" w:space="0" w:color="auto"/>
            </w:tcBorders>
          </w:tcPr>
          <w:p w14:paraId="73C21C9A"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0.50</w:t>
            </w:r>
          </w:p>
        </w:tc>
        <w:tc>
          <w:tcPr>
            <w:tcW w:w="2866" w:type="dxa"/>
            <w:tcBorders>
              <w:top w:val="single" w:sz="6" w:space="0" w:color="auto"/>
              <w:left w:val="single" w:sz="6" w:space="0" w:color="auto"/>
              <w:bottom w:val="single" w:sz="6" w:space="0" w:color="auto"/>
              <w:right w:val="single" w:sz="6" w:space="0" w:color="auto"/>
            </w:tcBorders>
          </w:tcPr>
          <w:p w14:paraId="78D024DF"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mg/L</w:t>
            </w:r>
          </w:p>
        </w:tc>
      </w:tr>
      <w:tr w:rsidR="00A74CDF" w:rsidRPr="00F01347" w14:paraId="49756C4C" w14:textId="77777777">
        <w:trPr>
          <w:trHeight w:val="20"/>
          <w:jc w:val="center"/>
        </w:trPr>
        <w:tc>
          <w:tcPr>
            <w:tcW w:w="8712" w:type="dxa"/>
            <w:gridSpan w:val="3"/>
            <w:tcBorders>
              <w:top w:val="single" w:sz="6" w:space="0" w:color="auto"/>
            </w:tcBorders>
          </w:tcPr>
          <w:p w14:paraId="3EF14874" w14:textId="77777777" w:rsidR="00A74CDF" w:rsidRPr="00F01347" w:rsidRDefault="00A74CDF" w:rsidP="003A601B">
            <w:pPr>
              <w:pStyle w:val="texto0"/>
              <w:spacing w:before="40" w:after="40" w:line="200" w:lineRule="exact"/>
              <w:ind w:firstLine="0"/>
              <w:rPr>
                <w:rFonts w:ascii="Verdana" w:hAnsi="Verdana"/>
                <w:sz w:val="16"/>
                <w:szCs w:val="16"/>
              </w:rPr>
            </w:pPr>
            <w:r w:rsidRPr="00F01347">
              <w:rPr>
                <w:rFonts w:ascii="Verdana" w:hAnsi="Verdana"/>
                <w:sz w:val="16"/>
                <w:szCs w:val="16"/>
                <w:vertAlign w:val="superscript"/>
              </w:rPr>
              <w:t>a</w:t>
            </w:r>
            <w:r w:rsidRPr="00F01347">
              <w:rPr>
                <w:rFonts w:ascii="Verdana" w:hAnsi="Verdana"/>
                <w:sz w:val="16"/>
                <w:szCs w:val="16"/>
              </w:rPr>
              <w:t xml:space="preserve"> El límite permisible para fluoruros será de 1.50 mg/L para todas las localidades y se ajustará de conformidad con la tabla de cumplimiento gradual Tabla 3 de este inciso 5.3</w:t>
            </w:r>
          </w:p>
        </w:tc>
      </w:tr>
    </w:tbl>
    <w:p w14:paraId="1E4C87B6" w14:textId="77777777" w:rsidR="001F36DF" w:rsidRPr="00F01347" w:rsidRDefault="001F36DF" w:rsidP="00761CDC">
      <w:pPr>
        <w:pStyle w:val="texto0"/>
        <w:spacing w:after="80"/>
        <w:ind w:firstLine="0"/>
        <w:jc w:val="center"/>
        <w:rPr>
          <w:rFonts w:ascii="Verdana" w:hAnsi="Verdana"/>
          <w:b/>
          <w:color w:val="000000"/>
          <w:sz w:val="16"/>
          <w:szCs w:val="16"/>
        </w:rPr>
      </w:pPr>
    </w:p>
    <w:p w14:paraId="389C140D" w14:textId="6761642A" w:rsidR="00761CDC" w:rsidRPr="00F01347" w:rsidRDefault="00761CDC" w:rsidP="00761CDC">
      <w:pPr>
        <w:pStyle w:val="texto0"/>
        <w:spacing w:after="80"/>
        <w:ind w:firstLine="0"/>
        <w:jc w:val="center"/>
        <w:rPr>
          <w:rFonts w:ascii="Verdana" w:hAnsi="Verdana"/>
          <w:b/>
          <w:color w:val="000000"/>
          <w:sz w:val="16"/>
          <w:szCs w:val="16"/>
          <w:lang w:val="en-US"/>
        </w:rPr>
      </w:pPr>
      <w:r w:rsidRPr="00F01347">
        <w:rPr>
          <w:rFonts w:ascii="Verdana" w:hAnsi="Verdana"/>
          <w:b/>
          <w:color w:val="000000"/>
          <w:sz w:val="16"/>
          <w:szCs w:val="16"/>
          <w:lang w:val="en-US"/>
        </w:rPr>
        <w:lastRenderedPageBreak/>
        <w:t>Table 2 - Chemical sanitary specifications</w:t>
      </w:r>
    </w:p>
    <w:tbl>
      <w:tblPr>
        <w:tblW w:w="8715" w:type="dxa"/>
        <w:jc w:val="center"/>
        <w:tblLayout w:type="fixed"/>
        <w:tblCellMar>
          <w:left w:w="70" w:type="dxa"/>
          <w:right w:w="70" w:type="dxa"/>
        </w:tblCellMar>
        <w:tblLook w:val="04A0" w:firstRow="1" w:lastRow="0" w:firstColumn="1" w:lastColumn="0" w:noHBand="0" w:noVBand="1"/>
      </w:tblPr>
      <w:tblGrid>
        <w:gridCol w:w="3735"/>
        <w:gridCol w:w="2113"/>
        <w:gridCol w:w="2867"/>
      </w:tblGrid>
      <w:tr w:rsidR="00761CDC" w:rsidRPr="00F01347" w14:paraId="4DA72776" w14:textId="77777777" w:rsidTr="00761CDC">
        <w:trPr>
          <w:trHeight w:val="20"/>
          <w:jc w:val="center"/>
        </w:trPr>
        <w:tc>
          <w:tcPr>
            <w:tcW w:w="3734" w:type="dxa"/>
            <w:tcBorders>
              <w:top w:val="single" w:sz="6" w:space="0" w:color="auto"/>
              <w:left w:val="single" w:sz="6" w:space="0" w:color="auto"/>
              <w:bottom w:val="single" w:sz="6" w:space="0" w:color="auto"/>
              <w:right w:val="single" w:sz="6" w:space="0" w:color="auto"/>
            </w:tcBorders>
            <w:noWrap/>
            <w:hideMark/>
          </w:tcPr>
          <w:p w14:paraId="56B9FC41" w14:textId="77777777" w:rsidR="00761CDC" w:rsidRPr="00F01347" w:rsidRDefault="00761CDC">
            <w:pPr>
              <w:pStyle w:val="texto0"/>
              <w:spacing w:before="40" w:after="40" w:line="200"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Parameters</w:t>
            </w:r>
          </w:p>
        </w:tc>
        <w:tc>
          <w:tcPr>
            <w:tcW w:w="2112" w:type="dxa"/>
            <w:tcBorders>
              <w:top w:val="single" w:sz="6" w:space="0" w:color="auto"/>
              <w:left w:val="single" w:sz="6" w:space="0" w:color="auto"/>
              <w:bottom w:val="single" w:sz="6" w:space="0" w:color="auto"/>
              <w:right w:val="single" w:sz="6" w:space="0" w:color="auto"/>
            </w:tcBorders>
            <w:hideMark/>
          </w:tcPr>
          <w:p w14:paraId="380F3908" w14:textId="77777777" w:rsidR="00761CDC" w:rsidRPr="00F01347" w:rsidRDefault="00761CDC">
            <w:pPr>
              <w:pStyle w:val="texto0"/>
              <w:spacing w:before="40" w:after="40" w:line="200"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Permissible limit</w:t>
            </w:r>
          </w:p>
        </w:tc>
        <w:tc>
          <w:tcPr>
            <w:tcW w:w="2866" w:type="dxa"/>
            <w:tcBorders>
              <w:top w:val="single" w:sz="6" w:space="0" w:color="auto"/>
              <w:left w:val="single" w:sz="6" w:space="0" w:color="auto"/>
              <w:bottom w:val="single" w:sz="6" w:space="0" w:color="auto"/>
              <w:right w:val="single" w:sz="6" w:space="0" w:color="auto"/>
            </w:tcBorders>
            <w:hideMark/>
          </w:tcPr>
          <w:p w14:paraId="3B0BC591" w14:textId="77777777" w:rsidR="00761CDC" w:rsidRPr="00F01347" w:rsidRDefault="00761CDC">
            <w:pPr>
              <w:pStyle w:val="texto0"/>
              <w:spacing w:before="40" w:after="40" w:line="200"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Units</w:t>
            </w:r>
          </w:p>
        </w:tc>
      </w:tr>
      <w:tr w:rsidR="00761CDC" w:rsidRPr="00F01347" w14:paraId="44B7EB35" w14:textId="77777777" w:rsidTr="00761CDC">
        <w:trPr>
          <w:trHeight w:val="20"/>
          <w:jc w:val="center"/>
        </w:trPr>
        <w:tc>
          <w:tcPr>
            <w:tcW w:w="3734" w:type="dxa"/>
            <w:tcBorders>
              <w:top w:val="single" w:sz="6" w:space="0" w:color="auto"/>
              <w:left w:val="single" w:sz="6" w:space="0" w:color="auto"/>
              <w:bottom w:val="single" w:sz="6" w:space="0" w:color="auto"/>
              <w:right w:val="single" w:sz="6" w:space="0" w:color="auto"/>
            </w:tcBorders>
            <w:hideMark/>
          </w:tcPr>
          <w:p w14:paraId="20A1C744" w14:textId="77777777" w:rsidR="00761CDC" w:rsidRPr="00F01347" w:rsidRDefault="00761CDC">
            <w:pPr>
              <w:pStyle w:val="texto0"/>
              <w:spacing w:before="40" w:after="40" w:line="200" w:lineRule="exact"/>
              <w:ind w:firstLine="0"/>
              <w:rPr>
                <w:rFonts w:ascii="Verdana" w:hAnsi="Verdana"/>
                <w:color w:val="000000"/>
                <w:sz w:val="16"/>
                <w:szCs w:val="16"/>
                <w:lang w:val="en-US"/>
              </w:rPr>
            </w:pPr>
            <w:r w:rsidRPr="00F01347">
              <w:rPr>
                <w:rFonts w:ascii="Verdana" w:hAnsi="Verdana"/>
                <w:color w:val="000000"/>
                <w:sz w:val="16"/>
                <w:szCs w:val="16"/>
                <w:lang w:val="en-US"/>
              </w:rPr>
              <w:t>Total cyanides</w:t>
            </w:r>
          </w:p>
        </w:tc>
        <w:tc>
          <w:tcPr>
            <w:tcW w:w="2112" w:type="dxa"/>
            <w:tcBorders>
              <w:top w:val="single" w:sz="6" w:space="0" w:color="auto"/>
              <w:left w:val="single" w:sz="6" w:space="0" w:color="auto"/>
              <w:bottom w:val="single" w:sz="6" w:space="0" w:color="auto"/>
              <w:right w:val="single" w:sz="6" w:space="0" w:color="auto"/>
            </w:tcBorders>
            <w:hideMark/>
          </w:tcPr>
          <w:p w14:paraId="796636AB" w14:textId="77777777" w:rsidR="00761CDC" w:rsidRPr="00F01347" w:rsidRDefault="00761CDC">
            <w:pPr>
              <w:pStyle w:val="texto0"/>
              <w:spacing w:before="40" w:after="40" w:line="20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0.07</w:t>
            </w:r>
          </w:p>
        </w:tc>
        <w:tc>
          <w:tcPr>
            <w:tcW w:w="2866" w:type="dxa"/>
            <w:tcBorders>
              <w:top w:val="single" w:sz="6" w:space="0" w:color="auto"/>
              <w:left w:val="single" w:sz="6" w:space="0" w:color="auto"/>
              <w:bottom w:val="single" w:sz="6" w:space="0" w:color="auto"/>
              <w:right w:val="single" w:sz="6" w:space="0" w:color="auto"/>
            </w:tcBorders>
            <w:hideMark/>
          </w:tcPr>
          <w:p w14:paraId="614C3C73" w14:textId="77777777" w:rsidR="00761CDC" w:rsidRPr="00F01347" w:rsidRDefault="00761CDC">
            <w:pPr>
              <w:pStyle w:val="texto0"/>
              <w:spacing w:before="40" w:after="40" w:line="20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761CDC" w:rsidRPr="00F01347" w14:paraId="5965C1EC" w14:textId="77777777" w:rsidTr="00761CDC">
        <w:trPr>
          <w:trHeight w:val="20"/>
          <w:jc w:val="center"/>
        </w:trPr>
        <w:tc>
          <w:tcPr>
            <w:tcW w:w="3734" w:type="dxa"/>
            <w:tcBorders>
              <w:top w:val="single" w:sz="6" w:space="0" w:color="auto"/>
              <w:left w:val="single" w:sz="6" w:space="0" w:color="auto"/>
              <w:bottom w:val="single" w:sz="6" w:space="0" w:color="auto"/>
              <w:right w:val="single" w:sz="6" w:space="0" w:color="auto"/>
            </w:tcBorders>
            <w:hideMark/>
          </w:tcPr>
          <w:p w14:paraId="5EC72B84" w14:textId="39501B4E" w:rsidR="00761CDC" w:rsidRPr="00F01347" w:rsidRDefault="00761CDC">
            <w:pPr>
              <w:pStyle w:val="texto0"/>
              <w:spacing w:before="40" w:after="40" w:line="200" w:lineRule="exact"/>
              <w:ind w:firstLine="0"/>
              <w:rPr>
                <w:rFonts w:ascii="Verdana" w:hAnsi="Verdana"/>
                <w:color w:val="000000"/>
                <w:sz w:val="16"/>
                <w:szCs w:val="16"/>
                <w:lang w:val="en-US"/>
              </w:rPr>
            </w:pPr>
            <w:r w:rsidRPr="00F01347">
              <w:rPr>
                <w:rFonts w:ascii="Verdana" w:hAnsi="Verdana"/>
                <w:color w:val="000000"/>
                <w:sz w:val="16"/>
                <w:szCs w:val="16"/>
                <w:lang w:val="en-US"/>
              </w:rPr>
              <w:t>Total hardness as CaCO</w:t>
            </w:r>
            <w:r w:rsidRPr="00F01347">
              <w:rPr>
                <w:rFonts w:ascii="Verdana" w:hAnsi="Verdana"/>
                <w:color w:val="000000"/>
                <w:sz w:val="16"/>
                <w:szCs w:val="16"/>
                <w:vertAlign w:val="subscript"/>
                <w:lang w:val="en-US"/>
              </w:rPr>
              <w:t>3</w:t>
            </w:r>
          </w:p>
        </w:tc>
        <w:tc>
          <w:tcPr>
            <w:tcW w:w="2112" w:type="dxa"/>
            <w:tcBorders>
              <w:top w:val="single" w:sz="6" w:space="0" w:color="auto"/>
              <w:left w:val="single" w:sz="6" w:space="0" w:color="auto"/>
              <w:bottom w:val="single" w:sz="6" w:space="0" w:color="auto"/>
              <w:right w:val="single" w:sz="6" w:space="0" w:color="auto"/>
            </w:tcBorders>
            <w:hideMark/>
          </w:tcPr>
          <w:p w14:paraId="19DD49F0" w14:textId="77777777" w:rsidR="00761CDC" w:rsidRPr="00F01347" w:rsidRDefault="00761CDC">
            <w:pPr>
              <w:pStyle w:val="texto0"/>
              <w:spacing w:before="40" w:after="40" w:line="20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500.00</w:t>
            </w:r>
          </w:p>
        </w:tc>
        <w:tc>
          <w:tcPr>
            <w:tcW w:w="2866" w:type="dxa"/>
            <w:tcBorders>
              <w:top w:val="single" w:sz="6" w:space="0" w:color="auto"/>
              <w:left w:val="single" w:sz="6" w:space="0" w:color="auto"/>
              <w:bottom w:val="single" w:sz="6" w:space="0" w:color="auto"/>
              <w:right w:val="single" w:sz="6" w:space="0" w:color="auto"/>
            </w:tcBorders>
            <w:hideMark/>
          </w:tcPr>
          <w:p w14:paraId="596A2DA4" w14:textId="77777777" w:rsidR="00761CDC" w:rsidRPr="00F01347" w:rsidRDefault="00761CDC">
            <w:pPr>
              <w:pStyle w:val="texto0"/>
              <w:spacing w:before="40" w:after="40" w:line="20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761CDC" w:rsidRPr="00F01347" w14:paraId="0C6DDEEB" w14:textId="77777777" w:rsidTr="00761CDC">
        <w:trPr>
          <w:trHeight w:val="20"/>
          <w:jc w:val="center"/>
        </w:trPr>
        <w:tc>
          <w:tcPr>
            <w:tcW w:w="3734" w:type="dxa"/>
            <w:tcBorders>
              <w:top w:val="single" w:sz="6" w:space="0" w:color="auto"/>
              <w:left w:val="single" w:sz="6" w:space="0" w:color="auto"/>
              <w:bottom w:val="single" w:sz="6" w:space="0" w:color="auto"/>
              <w:right w:val="single" w:sz="6" w:space="0" w:color="auto"/>
            </w:tcBorders>
            <w:hideMark/>
          </w:tcPr>
          <w:p w14:paraId="2FCD504E" w14:textId="2B759EFF" w:rsidR="00761CDC" w:rsidRPr="00F01347" w:rsidRDefault="00761CDC">
            <w:pPr>
              <w:pStyle w:val="texto0"/>
              <w:spacing w:before="40" w:after="40" w:line="200" w:lineRule="exact"/>
              <w:ind w:firstLine="0"/>
              <w:rPr>
                <w:rFonts w:ascii="Verdana" w:hAnsi="Verdana"/>
                <w:sz w:val="16"/>
                <w:szCs w:val="16"/>
                <w:lang w:val="en-US"/>
              </w:rPr>
            </w:pPr>
            <w:r w:rsidRPr="00F01347">
              <w:rPr>
                <w:rFonts w:ascii="Verdana" w:hAnsi="Verdana"/>
                <w:sz w:val="16"/>
                <w:szCs w:val="16"/>
                <w:lang w:val="en-US"/>
              </w:rPr>
              <w:t>Fluorides such as F</w:t>
            </w:r>
            <w:r w:rsidRPr="00F01347">
              <w:rPr>
                <w:rFonts w:ascii="Verdana" w:hAnsi="Verdana"/>
                <w:sz w:val="16"/>
                <w:szCs w:val="16"/>
                <w:vertAlign w:val="superscript"/>
                <w:lang w:val="en-US"/>
              </w:rPr>
              <w:t xml:space="preserve"> a</w:t>
            </w:r>
          </w:p>
        </w:tc>
        <w:tc>
          <w:tcPr>
            <w:tcW w:w="2112" w:type="dxa"/>
            <w:tcBorders>
              <w:top w:val="single" w:sz="6" w:space="0" w:color="auto"/>
              <w:left w:val="single" w:sz="6" w:space="0" w:color="auto"/>
              <w:bottom w:val="single" w:sz="6" w:space="0" w:color="auto"/>
              <w:right w:val="single" w:sz="6" w:space="0" w:color="auto"/>
            </w:tcBorders>
            <w:hideMark/>
          </w:tcPr>
          <w:p w14:paraId="728E8471"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1.50</w:t>
            </w:r>
          </w:p>
        </w:tc>
        <w:tc>
          <w:tcPr>
            <w:tcW w:w="2866" w:type="dxa"/>
            <w:tcBorders>
              <w:top w:val="single" w:sz="6" w:space="0" w:color="auto"/>
              <w:left w:val="single" w:sz="6" w:space="0" w:color="auto"/>
              <w:bottom w:val="single" w:sz="6" w:space="0" w:color="auto"/>
              <w:right w:val="single" w:sz="6" w:space="0" w:color="auto"/>
            </w:tcBorders>
            <w:hideMark/>
          </w:tcPr>
          <w:p w14:paraId="607BE786"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mg/L</w:t>
            </w:r>
          </w:p>
        </w:tc>
      </w:tr>
      <w:tr w:rsidR="00761CDC" w:rsidRPr="00F01347" w14:paraId="40E6D9B8" w14:textId="77777777" w:rsidTr="00761CDC">
        <w:trPr>
          <w:trHeight w:val="20"/>
          <w:jc w:val="center"/>
        </w:trPr>
        <w:tc>
          <w:tcPr>
            <w:tcW w:w="3734" w:type="dxa"/>
            <w:tcBorders>
              <w:top w:val="single" w:sz="6" w:space="0" w:color="auto"/>
              <w:left w:val="single" w:sz="6" w:space="0" w:color="auto"/>
              <w:bottom w:val="single" w:sz="6" w:space="0" w:color="auto"/>
              <w:right w:val="single" w:sz="6" w:space="0" w:color="auto"/>
            </w:tcBorders>
            <w:hideMark/>
          </w:tcPr>
          <w:p w14:paraId="6E0D8BAD" w14:textId="34A8EA54" w:rsidR="00761CDC" w:rsidRPr="00F01347" w:rsidRDefault="00761CDC">
            <w:pPr>
              <w:pStyle w:val="texto0"/>
              <w:spacing w:before="40" w:after="40" w:line="200" w:lineRule="exact"/>
              <w:ind w:firstLine="0"/>
              <w:rPr>
                <w:rFonts w:ascii="Verdana" w:hAnsi="Verdana"/>
                <w:sz w:val="16"/>
                <w:szCs w:val="16"/>
                <w:lang w:val="en-US"/>
              </w:rPr>
            </w:pPr>
            <w:r w:rsidRPr="00F01347">
              <w:rPr>
                <w:rFonts w:ascii="Verdana" w:hAnsi="Verdana"/>
                <w:sz w:val="16"/>
                <w:szCs w:val="16"/>
                <w:lang w:val="en-US"/>
              </w:rPr>
              <w:t>Ammoniacal nitrogen (N-NH</w:t>
            </w:r>
            <w:r w:rsidRPr="00F01347">
              <w:rPr>
                <w:rFonts w:ascii="Verdana" w:hAnsi="Verdana"/>
                <w:sz w:val="16"/>
                <w:szCs w:val="16"/>
                <w:vertAlign w:val="subscript"/>
                <w:lang w:val="en-US"/>
              </w:rPr>
              <w:t>3</w:t>
            </w:r>
            <w:r w:rsidRPr="00F01347">
              <w:rPr>
                <w:rFonts w:ascii="Verdana" w:hAnsi="Verdana"/>
                <w:sz w:val="16"/>
                <w:szCs w:val="16"/>
                <w:lang w:val="en-US"/>
              </w:rPr>
              <w:t>)</w:t>
            </w:r>
          </w:p>
        </w:tc>
        <w:tc>
          <w:tcPr>
            <w:tcW w:w="2112" w:type="dxa"/>
            <w:tcBorders>
              <w:top w:val="single" w:sz="6" w:space="0" w:color="auto"/>
              <w:left w:val="single" w:sz="6" w:space="0" w:color="auto"/>
              <w:bottom w:val="single" w:sz="6" w:space="0" w:color="auto"/>
              <w:right w:val="single" w:sz="6" w:space="0" w:color="auto"/>
            </w:tcBorders>
            <w:hideMark/>
          </w:tcPr>
          <w:p w14:paraId="18B44F6E"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0.50</w:t>
            </w:r>
          </w:p>
        </w:tc>
        <w:tc>
          <w:tcPr>
            <w:tcW w:w="2866" w:type="dxa"/>
            <w:tcBorders>
              <w:top w:val="single" w:sz="6" w:space="0" w:color="auto"/>
              <w:left w:val="single" w:sz="6" w:space="0" w:color="auto"/>
              <w:bottom w:val="single" w:sz="6" w:space="0" w:color="auto"/>
              <w:right w:val="single" w:sz="6" w:space="0" w:color="auto"/>
            </w:tcBorders>
            <w:hideMark/>
          </w:tcPr>
          <w:p w14:paraId="5857F1DF"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mg/L</w:t>
            </w:r>
          </w:p>
        </w:tc>
      </w:tr>
      <w:tr w:rsidR="00761CDC" w:rsidRPr="00F01347" w14:paraId="4B726D29" w14:textId="77777777" w:rsidTr="00761CDC">
        <w:trPr>
          <w:trHeight w:val="20"/>
          <w:jc w:val="center"/>
        </w:trPr>
        <w:tc>
          <w:tcPr>
            <w:tcW w:w="3734" w:type="dxa"/>
            <w:tcBorders>
              <w:top w:val="single" w:sz="6" w:space="0" w:color="auto"/>
              <w:left w:val="single" w:sz="6" w:space="0" w:color="auto"/>
              <w:bottom w:val="single" w:sz="6" w:space="0" w:color="auto"/>
              <w:right w:val="single" w:sz="6" w:space="0" w:color="auto"/>
            </w:tcBorders>
            <w:hideMark/>
          </w:tcPr>
          <w:p w14:paraId="733B3C49" w14:textId="61A29131" w:rsidR="00761CDC" w:rsidRPr="00F01347" w:rsidRDefault="00761CDC">
            <w:pPr>
              <w:pStyle w:val="texto0"/>
              <w:spacing w:before="40" w:after="40" w:line="200" w:lineRule="exact"/>
              <w:ind w:firstLine="0"/>
              <w:rPr>
                <w:rFonts w:ascii="Verdana" w:hAnsi="Verdana"/>
                <w:sz w:val="16"/>
                <w:szCs w:val="16"/>
                <w:lang w:val="en-US"/>
              </w:rPr>
            </w:pPr>
            <w:r w:rsidRPr="00F01347">
              <w:rPr>
                <w:rFonts w:ascii="Verdana" w:hAnsi="Verdana"/>
                <w:sz w:val="16"/>
                <w:szCs w:val="16"/>
                <w:lang w:val="en-US"/>
              </w:rPr>
              <w:t>Nitrogen from nitrates (N-NO</w:t>
            </w:r>
            <w:r w:rsidRPr="00F01347">
              <w:rPr>
                <w:rFonts w:ascii="Verdana" w:hAnsi="Verdana"/>
                <w:sz w:val="16"/>
                <w:szCs w:val="16"/>
                <w:vertAlign w:val="subscript"/>
                <w:lang w:val="en-US"/>
              </w:rPr>
              <w:t>3</w:t>
            </w:r>
            <w:r w:rsidRPr="00F01347">
              <w:rPr>
                <w:rFonts w:ascii="Verdana" w:hAnsi="Verdana"/>
                <w:sz w:val="16"/>
                <w:szCs w:val="16"/>
                <w:lang w:val="en-US"/>
              </w:rPr>
              <w:t>)</w:t>
            </w:r>
          </w:p>
        </w:tc>
        <w:tc>
          <w:tcPr>
            <w:tcW w:w="2112" w:type="dxa"/>
            <w:tcBorders>
              <w:top w:val="single" w:sz="6" w:space="0" w:color="auto"/>
              <w:left w:val="single" w:sz="6" w:space="0" w:color="auto"/>
              <w:bottom w:val="single" w:sz="6" w:space="0" w:color="auto"/>
              <w:right w:val="single" w:sz="6" w:space="0" w:color="auto"/>
            </w:tcBorders>
            <w:hideMark/>
          </w:tcPr>
          <w:p w14:paraId="4284B18F"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11.00</w:t>
            </w:r>
          </w:p>
        </w:tc>
        <w:tc>
          <w:tcPr>
            <w:tcW w:w="2866" w:type="dxa"/>
            <w:tcBorders>
              <w:top w:val="single" w:sz="6" w:space="0" w:color="auto"/>
              <w:left w:val="single" w:sz="6" w:space="0" w:color="auto"/>
              <w:bottom w:val="single" w:sz="6" w:space="0" w:color="auto"/>
              <w:right w:val="single" w:sz="6" w:space="0" w:color="auto"/>
            </w:tcBorders>
            <w:hideMark/>
          </w:tcPr>
          <w:p w14:paraId="779C8A4C"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mg/L</w:t>
            </w:r>
          </w:p>
        </w:tc>
      </w:tr>
      <w:tr w:rsidR="00761CDC" w:rsidRPr="00F01347" w14:paraId="7093D541" w14:textId="77777777" w:rsidTr="00761CDC">
        <w:trPr>
          <w:trHeight w:val="20"/>
          <w:jc w:val="center"/>
        </w:trPr>
        <w:tc>
          <w:tcPr>
            <w:tcW w:w="3734" w:type="dxa"/>
            <w:tcBorders>
              <w:top w:val="single" w:sz="6" w:space="0" w:color="auto"/>
              <w:left w:val="single" w:sz="6" w:space="0" w:color="auto"/>
              <w:bottom w:val="single" w:sz="6" w:space="0" w:color="auto"/>
              <w:right w:val="single" w:sz="6" w:space="0" w:color="auto"/>
            </w:tcBorders>
            <w:hideMark/>
          </w:tcPr>
          <w:p w14:paraId="7FD298EE" w14:textId="7F16946E" w:rsidR="00761CDC" w:rsidRPr="00F01347" w:rsidRDefault="00761CDC">
            <w:pPr>
              <w:pStyle w:val="texto0"/>
              <w:spacing w:before="40" w:after="40" w:line="200" w:lineRule="exact"/>
              <w:ind w:firstLine="0"/>
              <w:rPr>
                <w:rFonts w:ascii="Verdana" w:hAnsi="Verdana"/>
                <w:sz w:val="16"/>
                <w:szCs w:val="16"/>
                <w:lang w:val="en-US"/>
              </w:rPr>
            </w:pPr>
            <w:r w:rsidRPr="00F01347">
              <w:rPr>
                <w:rFonts w:ascii="Verdana" w:hAnsi="Verdana"/>
                <w:sz w:val="16"/>
                <w:szCs w:val="16"/>
                <w:lang w:val="en-US"/>
              </w:rPr>
              <w:t>Nitrogen from nitrites (N-NO</w:t>
            </w:r>
            <w:r w:rsidRPr="00F01347">
              <w:rPr>
                <w:rFonts w:ascii="Verdana" w:hAnsi="Verdana"/>
                <w:sz w:val="16"/>
                <w:szCs w:val="16"/>
                <w:vertAlign w:val="subscript"/>
                <w:lang w:val="en-US"/>
              </w:rPr>
              <w:t>2</w:t>
            </w:r>
            <w:r w:rsidRPr="00F01347">
              <w:rPr>
                <w:rFonts w:ascii="Verdana" w:hAnsi="Verdana"/>
                <w:sz w:val="16"/>
                <w:szCs w:val="16"/>
                <w:lang w:val="en-US"/>
              </w:rPr>
              <w:t>)</w:t>
            </w:r>
          </w:p>
        </w:tc>
        <w:tc>
          <w:tcPr>
            <w:tcW w:w="2112" w:type="dxa"/>
            <w:tcBorders>
              <w:top w:val="single" w:sz="6" w:space="0" w:color="auto"/>
              <w:left w:val="single" w:sz="6" w:space="0" w:color="auto"/>
              <w:bottom w:val="single" w:sz="6" w:space="0" w:color="auto"/>
              <w:right w:val="single" w:sz="6" w:space="0" w:color="auto"/>
            </w:tcBorders>
            <w:hideMark/>
          </w:tcPr>
          <w:p w14:paraId="4D41D6E6"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0.90</w:t>
            </w:r>
          </w:p>
        </w:tc>
        <w:tc>
          <w:tcPr>
            <w:tcW w:w="2866" w:type="dxa"/>
            <w:tcBorders>
              <w:top w:val="single" w:sz="6" w:space="0" w:color="auto"/>
              <w:left w:val="single" w:sz="6" w:space="0" w:color="auto"/>
              <w:bottom w:val="single" w:sz="6" w:space="0" w:color="auto"/>
              <w:right w:val="single" w:sz="6" w:space="0" w:color="auto"/>
            </w:tcBorders>
            <w:hideMark/>
          </w:tcPr>
          <w:p w14:paraId="71DE19E2"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mg/L</w:t>
            </w:r>
          </w:p>
        </w:tc>
      </w:tr>
      <w:tr w:rsidR="00761CDC" w:rsidRPr="00F01347" w14:paraId="03B2E295" w14:textId="77777777" w:rsidTr="00761CDC">
        <w:trPr>
          <w:trHeight w:val="20"/>
          <w:jc w:val="center"/>
        </w:trPr>
        <w:tc>
          <w:tcPr>
            <w:tcW w:w="3734" w:type="dxa"/>
            <w:tcBorders>
              <w:top w:val="single" w:sz="6" w:space="0" w:color="auto"/>
              <w:left w:val="single" w:sz="6" w:space="0" w:color="auto"/>
              <w:bottom w:val="single" w:sz="6" w:space="0" w:color="auto"/>
              <w:right w:val="single" w:sz="6" w:space="0" w:color="auto"/>
            </w:tcBorders>
            <w:hideMark/>
          </w:tcPr>
          <w:p w14:paraId="72691D04" w14:textId="77777777" w:rsidR="00761CDC" w:rsidRPr="00F01347" w:rsidRDefault="00761CDC">
            <w:pPr>
              <w:pStyle w:val="texto0"/>
              <w:spacing w:before="40" w:after="40" w:line="200" w:lineRule="exact"/>
              <w:ind w:firstLine="0"/>
              <w:rPr>
                <w:rFonts w:ascii="Verdana" w:hAnsi="Verdana"/>
                <w:sz w:val="16"/>
                <w:szCs w:val="16"/>
                <w:lang w:val="en-US"/>
              </w:rPr>
            </w:pPr>
            <w:r w:rsidRPr="00F01347">
              <w:rPr>
                <w:rFonts w:ascii="Verdana" w:hAnsi="Verdana"/>
                <w:sz w:val="16"/>
                <w:szCs w:val="16"/>
                <w:lang w:val="en-US"/>
              </w:rPr>
              <w:t>Total dissolved solids</w:t>
            </w:r>
          </w:p>
        </w:tc>
        <w:tc>
          <w:tcPr>
            <w:tcW w:w="2112" w:type="dxa"/>
            <w:tcBorders>
              <w:top w:val="single" w:sz="6" w:space="0" w:color="auto"/>
              <w:left w:val="single" w:sz="6" w:space="0" w:color="auto"/>
              <w:bottom w:val="single" w:sz="6" w:space="0" w:color="auto"/>
              <w:right w:val="single" w:sz="6" w:space="0" w:color="auto"/>
            </w:tcBorders>
            <w:hideMark/>
          </w:tcPr>
          <w:p w14:paraId="458B0CC7"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1000.00</w:t>
            </w:r>
          </w:p>
        </w:tc>
        <w:tc>
          <w:tcPr>
            <w:tcW w:w="2866" w:type="dxa"/>
            <w:tcBorders>
              <w:top w:val="single" w:sz="6" w:space="0" w:color="auto"/>
              <w:left w:val="single" w:sz="6" w:space="0" w:color="auto"/>
              <w:bottom w:val="single" w:sz="6" w:space="0" w:color="auto"/>
              <w:right w:val="single" w:sz="6" w:space="0" w:color="auto"/>
            </w:tcBorders>
            <w:hideMark/>
          </w:tcPr>
          <w:p w14:paraId="0275FE8C"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mg/L</w:t>
            </w:r>
          </w:p>
        </w:tc>
      </w:tr>
      <w:tr w:rsidR="00761CDC" w:rsidRPr="00F01347" w14:paraId="793D3B20" w14:textId="77777777" w:rsidTr="00761CDC">
        <w:trPr>
          <w:trHeight w:val="20"/>
          <w:jc w:val="center"/>
        </w:trPr>
        <w:tc>
          <w:tcPr>
            <w:tcW w:w="3734" w:type="dxa"/>
            <w:tcBorders>
              <w:top w:val="single" w:sz="6" w:space="0" w:color="auto"/>
              <w:left w:val="single" w:sz="6" w:space="0" w:color="auto"/>
              <w:bottom w:val="single" w:sz="6" w:space="0" w:color="auto"/>
              <w:right w:val="single" w:sz="6" w:space="0" w:color="auto"/>
            </w:tcBorders>
            <w:hideMark/>
          </w:tcPr>
          <w:p w14:paraId="00AB1792" w14:textId="62F9CBAC" w:rsidR="00761CDC" w:rsidRPr="00F01347" w:rsidRDefault="00761CDC">
            <w:pPr>
              <w:pStyle w:val="texto0"/>
              <w:spacing w:before="40" w:after="40" w:line="200" w:lineRule="exact"/>
              <w:ind w:firstLine="0"/>
              <w:rPr>
                <w:rFonts w:ascii="Verdana" w:hAnsi="Verdana"/>
                <w:sz w:val="16"/>
                <w:szCs w:val="16"/>
                <w:lang w:val="en-US"/>
              </w:rPr>
            </w:pPr>
            <w:r w:rsidRPr="00F01347">
              <w:rPr>
                <w:rFonts w:ascii="Verdana" w:hAnsi="Verdana"/>
                <w:sz w:val="16"/>
                <w:szCs w:val="16"/>
                <w:lang w:val="en-US"/>
              </w:rPr>
              <w:t>Sulfates (SO</w:t>
            </w:r>
            <w:r w:rsidRPr="00F01347">
              <w:rPr>
                <w:rFonts w:ascii="Verdana" w:hAnsi="Verdana"/>
                <w:sz w:val="16"/>
                <w:szCs w:val="16"/>
                <w:vertAlign w:val="subscript"/>
                <w:lang w:val="en-US"/>
              </w:rPr>
              <w:t xml:space="preserve">4 </w:t>
            </w:r>
            <w:r w:rsidRPr="00F01347">
              <w:rPr>
                <w:rFonts w:ascii="Verdana" w:hAnsi="Verdana"/>
                <w:sz w:val="16"/>
                <w:szCs w:val="16"/>
                <w:vertAlign w:val="superscript"/>
                <w:lang w:val="en-US"/>
              </w:rPr>
              <w:t>=</w:t>
            </w:r>
            <w:r w:rsidRPr="00F01347">
              <w:rPr>
                <w:rFonts w:ascii="Verdana" w:hAnsi="Verdana"/>
                <w:sz w:val="16"/>
                <w:szCs w:val="16"/>
                <w:lang w:val="en-US"/>
              </w:rPr>
              <w:t>)</w:t>
            </w:r>
          </w:p>
        </w:tc>
        <w:tc>
          <w:tcPr>
            <w:tcW w:w="2112" w:type="dxa"/>
            <w:tcBorders>
              <w:top w:val="single" w:sz="6" w:space="0" w:color="auto"/>
              <w:left w:val="single" w:sz="6" w:space="0" w:color="auto"/>
              <w:bottom w:val="single" w:sz="6" w:space="0" w:color="auto"/>
              <w:right w:val="single" w:sz="6" w:space="0" w:color="auto"/>
            </w:tcBorders>
            <w:hideMark/>
          </w:tcPr>
          <w:p w14:paraId="3EB3F14E"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400.00</w:t>
            </w:r>
          </w:p>
        </w:tc>
        <w:tc>
          <w:tcPr>
            <w:tcW w:w="2866" w:type="dxa"/>
            <w:tcBorders>
              <w:top w:val="single" w:sz="6" w:space="0" w:color="auto"/>
              <w:left w:val="single" w:sz="6" w:space="0" w:color="auto"/>
              <w:bottom w:val="single" w:sz="6" w:space="0" w:color="auto"/>
              <w:right w:val="single" w:sz="6" w:space="0" w:color="auto"/>
            </w:tcBorders>
            <w:hideMark/>
          </w:tcPr>
          <w:p w14:paraId="183D0D8B"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mg/L</w:t>
            </w:r>
          </w:p>
        </w:tc>
      </w:tr>
      <w:tr w:rsidR="00761CDC" w:rsidRPr="00F01347" w14:paraId="2F18EA5A" w14:textId="77777777" w:rsidTr="00761CDC">
        <w:trPr>
          <w:trHeight w:val="20"/>
          <w:jc w:val="center"/>
        </w:trPr>
        <w:tc>
          <w:tcPr>
            <w:tcW w:w="3734" w:type="dxa"/>
            <w:tcBorders>
              <w:top w:val="single" w:sz="6" w:space="0" w:color="auto"/>
              <w:left w:val="single" w:sz="6" w:space="0" w:color="auto"/>
              <w:bottom w:val="single" w:sz="6" w:space="0" w:color="auto"/>
              <w:right w:val="single" w:sz="6" w:space="0" w:color="auto"/>
            </w:tcBorders>
            <w:hideMark/>
          </w:tcPr>
          <w:p w14:paraId="3D122C37" w14:textId="77777777" w:rsidR="00761CDC" w:rsidRPr="00F01347" w:rsidRDefault="00761CDC">
            <w:pPr>
              <w:pStyle w:val="texto0"/>
              <w:spacing w:before="40" w:after="40" w:line="200" w:lineRule="exact"/>
              <w:ind w:firstLine="0"/>
              <w:rPr>
                <w:rFonts w:ascii="Verdana" w:hAnsi="Verdana"/>
                <w:sz w:val="16"/>
                <w:szCs w:val="16"/>
                <w:lang w:val="en-US"/>
              </w:rPr>
            </w:pPr>
            <w:r w:rsidRPr="00F01347">
              <w:rPr>
                <w:rFonts w:ascii="Verdana" w:hAnsi="Verdana"/>
                <w:sz w:val="16"/>
                <w:szCs w:val="16"/>
                <w:lang w:val="en-US"/>
              </w:rPr>
              <w:t>Methylene blue active substances</w:t>
            </w:r>
          </w:p>
        </w:tc>
        <w:tc>
          <w:tcPr>
            <w:tcW w:w="2112" w:type="dxa"/>
            <w:tcBorders>
              <w:top w:val="single" w:sz="6" w:space="0" w:color="auto"/>
              <w:left w:val="single" w:sz="6" w:space="0" w:color="auto"/>
              <w:bottom w:val="single" w:sz="6" w:space="0" w:color="auto"/>
              <w:right w:val="single" w:sz="6" w:space="0" w:color="auto"/>
            </w:tcBorders>
            <w:hideMark/>
          </w:tcPr>
          <w:p w14:paraId="7D3721E7"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0.50</w:t>
            </w:r>
          </w:p>
        </w:tc>
        <w:tc>
          <w:tcPr>
            <w:tcW w:w="2866" w:type="dxa"/>
            <w:tcBorders>
              <w:top w:val="single" w:sz="6" w:space="0" w:color="auto"/>
              <w:left w:val="single" w:sz="6" w:space="0" w:color="auto"/>
              <w:bottom w:val="single" w:sz="6" w:space="0" w:color="auto"/>
              <w:right w:val="single" w:sz="6" w:space="0" w:color="auto"/>
            </w:tcBorders>
            <w:hideMark/>
          </w:tcPr>
          <w:p w14:paraId="471C98A6" w14:textId="77777777" w:rsidR="00761CDC" w:rsidRPr="00F01347" w:rsidRDefault="00761CDC">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mg/L</w:t>
            </w:r>
          </w:p>
        </w:tc>
      </w:tr>
      <w:tr w:rsidR="00761CDC" w:rsidRPr="00F01347" w14:paraId="512FF84B" w14:textId="77777777" w:rsidTr="00761CDC">
        <w:trPr>
          <w:trHeight w:val="20"/>
          <w:jc w:val="center"/>
        </w:trPr>
        <w:tc>
          <w:tcPr>
            <w:tcW w:w="8712" w:type="dxa"/>
            <w:gridSpan w:val="3"/>
            <w:tcBorders>
              <w:top w:val="single" w:sz="6" w:space="0" w:color="auto"/>
              <w:left w:val="nil"/>
              <w:bottom w:val="nil"/>
              <w:right w:val="nil"/>
            </w:tcBorders>
            <w:hideMark/>
          </w:tcPr>
          <w:p w14:paraId="69E35490" w14:textId="240771D5" w:rsidR="00761CDC" w:rsidRPr="00F01347" w:rsidRDefault="00761CDC">
            <w:pPr>
              <w:pStyle w:val="texto0"/>
              <w:spacing w:before="40" w:after="40" w:line="200" w:lineRule="exact"/>
              <w:ind w:firstLine="0"/>
              <w:rPr>
                <w:rFonts w:ascii="Verdana" w:hAnsi="Verdana"/>
                <w:sz w:val="16"/>
                <w:szCs w:val="16"/>
                <w:lang w:val="en-US"/>
              </w:rPr>
            </w:pPr>
            <w:proofErr w:type="spellStart"/>
            <w:r w:rsidRPr="00F01347">
              <w:rPr>
                <w:rFonts w:ascii="Verdana" w:hAnsi="Verdana"/>
                <w:sz w:val="16"/>
                <w:szCs w:val="16"/>
                <w:vertAlign w:val="superscript"/>
                <w:lang w:val="en-US"/>
              </w:rPr>
              <w:t>a</w:t>
            </w:r>
            <w:proofErr w:type="spellEnd"/>
            <w:r w:rsidRPr="00F01347">
              <w:rPr>
                <w:rFonts w:ascii="Verdana" w:hAnsi="Verdana"/>
                <w:sz w:val="16"/>
                <w:szCs w:val="16"/>
                <w:vertAlign w:val="superscript"/>
                <w:lang w:val="en-US"/>
              </w:rPr>
              <w:t xml:space="preserve"> </w:t>
            </w:r>
            <w:proofErr w:type="gramStart"/>
            <w:r w:rsidRPr="00F01347">
              <w:rPr>
                <w:rFonts w:ascii="Verdana" w:hAnsi="Verdana"/>
                <w:sz w:val="16"/>
                <w:szCs w:val="16"/>
                <w:lang w:val="en-US"/>
              </w:rPr>
              <w:t>The</w:t>
            </w:r>
            <w:proofErr w:type="gramEnd"/>
            <w:r w:rsidRPr="00F01347">
              <w:rPr>
                <w:rFonts w:ascii="Verdana" w:hAnsi="Verdana"/>
                <w:sz w:val="16"/>
                <w:szCs w:val="16"/>
                <w:lang w:val="en-US"/>
              </w:rPr>
              <w:t xml:space="preserve"> permissible limit for fluorides will be 1.50 mg/L for all locations and will be adjusted in accordance with the gradual compliance Table 3 of this subsection 5.3</w:t>
            </w:r>
          </w:p>
        </w:tc>
      </w:tr>
    </w:tbl>
    <w:p w14:paraId="7D9D45CF" w14:textId="77777777" w:rsidR="00A74CDF" w:rsidRPr="00F01347" w:rsidRDefault="00A74CDF" w:rsidP="003A601B">
      <w:pPr>
        <w:pStyle w:val="texto0"/>
        <w:spacing w:after="80"/>
        <w:jc w:val="center"/>
        <w:rPr>
          <w:rFonts w:ascii="Verdana" w:hAnsi="Verdana"/>
          <w:b/>
          <w:sz w:val="16"/>
          <w:szCs w:val="16"/>
          <w:lang w:val="es-ES_tradnl"/>
        </w:rPr>
      </w:pPr>
      <w:r w:rsidRPr="00F01347">
        <w:rPr>
          <w:rFonts w:ascii="Verdana" w:hAnsi="Verdana"/>
          <w:b/>
          <w:sz w:val="16"/>
          <w:szCs w:val="16"/>
        </w:rPr>
        <w:t xml:space="preserve">Tabla 3 - </w:t>
      </w:r>
      <w:r w:rsidRPr="00F01347">
        <w:rPr>
          <w:rFonts w:ascii="Verdana" w:hAnsi="Verdana"/>
          <w:b/>
          <w:sz w:val="16"/>
          <w:szCs w:val="16"/>
          <w:lang w:val="es-ES_tradnl"/>
        </w:rPr>
        <w:t>Tabla de cumplimiento gradual para fluoruro</w:t>
      </w:r>
    </w:p>
    <w:tbl>
      <w:tblPr>
        <w:tblW w:w="8712" w:type="dxa"/>
        <w:jc w:val="center"/>
        <w:tblLayout w:type="fixed"/>
        <w:tblCellMar>
          <w:left w:w="70" w:type="dxa"/>
          <w:right w:w="70" w:type="dxa"/>
        </w:tblCellMar>
        <w:tblLook w:val="0000" w:firstRow="0" w:lastRow="0" w:firstColumn="0" w:lastColumn="0" w:noHBand="0" w:noVBand="0"/>
      </w:tblPr>
      <w:tblGrid>
        <w:gridCol w:w="3047"/>
        <w:gridCol w:w="1933"/>
        <w:gridCol w:w="1811"/>
        <w:gridCol w:w="1921"/>
      </w:tblGrid>
      <w:tr w:rsidR="00A74CDF" w:rsidRPr="00F01347" w14:paraId="5A0420A9" w14:textId="77777777">
        <w:trPr>
          <w:trHeight w:val="20"/>
          <w:jc w:val="center"/>
        </w:trPr>
        <w:tc>
          <w:tcPr>
            <w:tcW w:w="3027" w:type="dxa"/>
            <w:tcBorders>
              <w:top w:val="single" w:sz="6" w:space="0" w:color="auto"/>
              <w:left w:val="single" w:sz="6" w:space="0" w:color="auto"/>
              <w:bottom w:val="single" w:sz="6" w:space="0" w:color="auto"/>
              <w:right w:val="single" w:sz="6" w:space="0" w:color="auto"/>
            </w:tcBorders>
            <w:shd w:val="clear" w:color="000000" w:fill="FFFFFF"/>
            <w:noWrap/>
          </w:tcPr>
          <w:p w14:paraId="158C0E03" w14:textId="77777777" w:rsidR="00A74CDF" w:rsidRPr="00F01347" w:rsidRDefault="00A74CDF" w:rsidP="003A601B">
            <w:pPr>
              <w:pStyle w:val="texto0"/>
              <w:spacing w:before="40" w:after="40" w:line="200" w:lineRule="exact"/>
              <w:ind w:firstLine="0"/>
              <w:jc w:val="center"/>
              <w:rPr>
                <w:rFonts w:ascii="Verdana" w:hAnsi="Verdana"/>
                <w:b/>
                <w:sz w:val="16"/>
                <w:szCs w:val="16"/>
              </w:rPr>
            </w:pPr>
            <w:r w:rsidRPr="00F01347">
              <w:rPr>
                <w:rFonts w:ascii="Verdana" w:hAnsi="Verdana"/>
                <w:b/>
                <w:sz w:val="16"/>
                <w:szCs w:val="16"/>
              </w:rPr>
              <w:t>Localidad</w:t>
            </w:r>
          </w:p>
        </w:tc>
        <w:tc>
          <w:tcPr>
            <w:tcW w:w="1921" w:type="dxa"/>
            <w:tcBorders>
              <w:top w:val="single" w:sz="6" w:space="0" w:color="auto"/>
              <w:left w:val="single" w:sz="6" w:space="0" w:color="auto"/>
              <w:bottom w:val="single" w:sz="6" w:space="0" w:color="auto"/>
              <w:right w:val="single" w:sz="6" w:space="0" w:color="auto"/>
            </w:tcBorders>
            <w:shd w:val="clear" w:color="000000" w:fill="FFFFFF"/>
          </w:tcPr>
          <w:p w14:paraId="39024DA6" w14:textId="77777777" w:rsidR="00A74CDF" w:rsidRPr="00F01347" w:rsidRDefault="00A74CDF" w:rsidP="003A601B">
            <w:pPr>
              <w:pStyle w:val="texto0"/>
              <w:spacing w:before="40" w:after="40" w:line="200" w:lineRule="exact"/>
              <w:ind w:firstLine="0"/>
              <w:jc w:val="center"/>
              <w:rPr>
                <w:rFonts w:ascii="Verdana" w:hAnsi="Verdana"/>
                <w:b/>
                <w:sz w:val="16"/>
                <w:szCs w:val="16"/>
              </w:rPr>
            </w:pPr>
            <w:r w:rsidRPr="00F01347">
              <w:rPr>
                <w:rFonts w:ascii="Verdana" w:hAnsi="Verdana"/>
                <w:b/>
                <w:sz w:val="16"/>
                <w:szCs w:val="16"/>
              </w:rPr>
              <w:t>Año</w:t>
            </w:r>
          </w:p>
        </w:tc>
        <w:tc>
          <w:tcPr>
            <w:tcW w:w="1800" w:type="dxa"/>
            <w:tcBorders>
              <w:top w:val="single" w:sz="6" w:space="0" w:color="auto"/>
              <w:left w:val="single" w:sz="6" w:space="0" w:color="auto"/>
              <w:bottom w:val="single" w:sz="6" w:space="0" w:color="auto"/>
              <w:right w:val="single" w:sz="6" w:space="0" w:color="auto"/>
            </w:tcBorders>
            <w:shd w:val="clear" w:color="000000" w:fill="FFFFFF"/>
          </w:tcPr>
          <w:p w14:paraId="2869BADD"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b/>
                <w:color w:val="000000"/>
                <w:sz w:val="16"/>
                <w:szCs w:val="16"/>
              </w:rPr>
              <w:t>Límite permisible</w:t>
            </w:r>
          </w:p>
        </w:tc>
        <w:tc>
          <w:tcPr>
            <w:tcW w:w="1909" w:type="dxa"/>
            <w:tcBorders>
              <w:top w:val="single" w:sz="6" w:space="0" w:color="auto"/>
              <w:left w:val="single" w:sz="6" w:space="0" w:color="auto"/>
              <w:bottom w:val="single" w:sz="6" w:space="0" w:color="auto"/>
              <w:right w:val="single" w:sz="6" w:space="0" w:color="auto"/>
            </w:tcBorders>
            <w:shd w:val="clear" w:color="000000" w:fill="FFFFFF"/>
          </w:tcPr>
          <w:p w14:paraId="7B3276CA"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b/>
                <w:color w:val="000000"/>
                <w:sz w:val="16"/>
                <w:szCs w:val="16"/>
              </w:rPr>
              <w:t>Unidades</w:t>
            </w:r>
          </w:p>
        </w:tc>
      </w:tr>
      <w:tr w:rsidR="00A74CDF" w:rsidRPr="00F01347" w14:paraId="583FB14D" w14:textId="77777777">
        <w:trPr>
          <w:trHeight w:val="20"/>
          <w:jc w:val="center"/>
        </w:trPr>
        <w:tc>
          <w:tcPr>
            <w:tcW w:w="3027" w:type="dxa"/>
            <w:tcBorders>
              <w:top w:val="single" w:sz="6" w:space="0" w:color="auto"/>
              <w:left w:val="single" w:sz="6" w:space="0" w:color="auto"/>
              <w:bottom w:val="single" w:sz="6" w:space="0" w:color="auto"/>
              <w:right w:val="single" w:sz="6" w:space="0" w:color="auto"/>
            </w:tcBorders>
            <w:shd w:val="clear" w:color="000000" w:fill="FFFFFF"/>
          </w:tcPr>
          <w:p w14:paraId="6B65E835" w14:textId="77777777" w:rsidR="00A74CDF" w:rsidRPr="00F01347" w:rsidRDefault="00A74CDF" w:rsidP="003A601B">
            <w:pPr>
              <w:pStyle w:val="texto0"/>
              <w:spacing w:before="40" w:after="40" w:line="200" w:lineRule="exact"/>
              <w:ind w:firstLine="0"/>
              <w:rPr>
                <w:rFonts w:ascii="Verdana" w:hAnsi="Verdana"/>
                <w:sz w:val="16"/>
                <w:szCs w:val="16"/>
              </w:rPr>
            </w:pPr>
            <w:r w:rsidRPr="00F01347">
              <w:rPr>
                <w:rFonts w:ascii="Verdana" w:hAnsi="Verdana"/>
                <w:sz w:val="16"/>
                <w:szCs w:val="16"/>
              </w:rPr>
              <w:t>Mayor de 500,000 habitantes</w:t>
            </w:r>
          </w:p>
        </w:tc>
        <w:tc>
          <w:tcPr>
            <w:tcW w:w="1921" w:type="dxa"/>
            <w:tcBorders>
              <w:top w:val="single" w:sz="6" w:space="0" w:color="auto"/>
              <w:left w:val="single" w:sz="6" w:space="0" w:color="auto"/>
              <w:bottom w:val="single" w:sz="6" w:space="0" w:color="auto"/>
              <w:right w:val="single" w:sz="6" w:space="0" w:color="auto"/>
            </w:tcBorders>
            <w:shd w:val="clear" w:color="000000" w:fill="FFFFFF"/>
            <w:vAlign w:val="center"/>
          </w:tcPr>
          <w:p w14:paraId="3F8A19E9"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Un año posterior a la entrada en vigor de la presente Norma</w:t>
            </w:r>
          </w:p>
        </w:tc>
        <w:tc>
          <w:tcPr>
            <w:tcW w:w="1800" w:type="dxa"/>
            <w:tcBorders>
              <w:top w:val="single" w:sz="6" w:space="0" w:color="auto"/>
              <w:left w:val="single" w:sz="6" w:space="0" w:color="auto"/>
              <w:bottom w:val="single" w:sz="6" w:space="0" w:color="auto"/>
              <w:right w:val="single" w:sz="6" w:space="0" w:color="auto"/>
            </w:tcBorders>
            <w:shd w:val="clear" w:color="000000" w:fill="FFFFFF"/>
          </w:tcPr>
          <w:p w14:paraId="3010E5C6"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1.0</w:t>
            </w:r>
          </w:p>
        </w:tc>
        <w:tc>
          <w:tcPr>
            <w:tcW w:w="1909" w:type="dxa"/>
            <w:tcBorders>
              <w:top w:val="single" w:sz="6" w:space="0" w:color="auto"/>
              <w:left w:val="single" w:sz="6" w:space="0" w:color="auto"/>
              <w:bottom w:val="single" w:sz="6" w:space="0" w:color="auto"/>
              <w:right w:val="single" w:sz="6" w:space="0" w:color="auto"/>
            </w:tcBorders>
            <w:shd w:val="clear" w:color="000000" w:fill="FFFFFF"/>
          </w:tcPr>
          <w:p w14:paraId="134BA683"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mg/L</w:t>
            </w:r>
          </w:p>
        </w:tc>
      </w:tr>
      <w:tr w:rsidR="00A74CDF" w:rsidRPr="00F01347" w14:paraId="2E7FCFC9" w14:textId="77777777">
        <w:trPr>
          <w:trHeight w:val="20"/>
          <w:jc w:val="center"/>
        </w:trPr>
        <w:tc>
          <w:tcPr>
            <w:tcW w:w="3027" w:type="dxa"/>
            <w:tcBorders>
              <w:top w:val="single" w:sz="6" w:space="0" w:color="auto"/>
              <w:left w:val="single" w:sz="6" w:space="0" w:color="auto"/>
              <w:bottom w:val="single" w:sz="6" w:space="0" w:color="auto"/>
              <w:right w:val="single" w:sz="6" w:space="0" w:color="auto"/>
            </w:tcBorders>
            <w:shd w:val="clear" w:color="000000" w:fill="FFFFFF"/>
          </w:tcPr>
          <w:p w14:paraId="1E81BC47" w14:textId="77777777" w:rsidR="00A74CDF" w:rsidRPr="00F01347" w:rsidRDefault="00A74CDF" w:rsidP="003A601B">
            <w:pPr>
              <w:pStyle w:val="texto0"/>
              <w:spacing w:before="40" w:after="40" w:line="200" w:lineRule="exact"/>
              <w:ind w:firstLine="0"/>
              <w:rPr>
                <w:rFonts w:ascii="Verdana" w:hAnsi="Verdana"/>
                <w:sz w:val="16"/>
                <w:szCs w:val="16"/>
              </w:rPr>
            </w:pPr>
            <w:r w:rsidRPr="00F01347">
              <w:rPr>
                <w:rFonts w:ascii="Verdana" w:hAnsi="Verdana"/>
                <w:sz w:val="16"/>
                <w:szCs w:val="16"/>
              </w:rPr>
              <w:t>Entre 50,000 y 499,999 habitantes</w:t>
            </w:r>
          </w:p>
        </w:tc>
        <w:tc>
          <w:tcPr>
            <w:tcW w:w="1921" w:type="dxa"/>
            <w:tcBorders>
              <w:top w:val="single" w:sz="6" w:space="0" w:color="auto"/>
              <w:left w:val="single" w:sz="6" w:space="0" w:color="auto"/>
              <w:bottom w:val="single" w:sz="6" w:space="0" w:color="auto"/>
              <w:right w:val="single" w:sz="6" w:space="0" w:color="auto"/>
            </w:tcBorders>
            <w:shd w:val="clear" w:color="000000" w:fill="FFFFFF"/>
            <w:vAlign w:val="center"/>
          </w:tcPr>
          <w:p w14:paraId="7220B972"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Tres años posterior a la entrada en vigor de la presente Norma</w:t>
            </w:r>
          </w:p>
        </w:tc>
        <w:tc>
          <w:tcPr>
            <w:tcW w:w="1800" w:type="dxa"/>
            <w:tcBorders>
              <w:top w:val="single" w:sz="6" w:space="0" w:color="auto"/>
              <w:left w:val="single" w:sz="6" w:space="0" w:color="auto"/>
              <w:bottom w:val="single" w:sz="6" w:space="0" w:color="auto"/>
              <w:right w:val="single" w:sz="6" w:space="0" w:color="auto"/>
            </w:tcBorders>
            <w:shd w:val="clear" w:color="000000" w:fill="FFFFFF"/>
          </w:tcPr>
          <w:p w14:paraId="6C773975"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1.0</w:t>
            </w:r>
          </w:p>
        </w:tc>
        <w:tc>
          <w:tcPr>
            <w:tcW w:w="1909" w:type="dxa"/>
            <w:tcBorders>
              <w:top w:val="single" w:sz="6" w:space="0" w:color="auto"/>
              <w:left w:val="single" w:sz="6" w:space="0" w:color="auto"/>
              <w:bottom w:val="single" w:sz="6" w:space="0" w:color="auto"/>
              <w:right w:val="single" w:sz="6" w:space="0" w:color="auto"/>
            </w:tcBorders>
            <w:shd w:val="clear" w:color="000000" w:fill="FFFFFF"/>
          </w:tcPr>
          <w:p w14:paraId="34E41ED6"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mg/L</w:t>
            </w:r>
          </w:p>
        </w:tc>
      </w:tr>
      <w:tr w:rsidR="00A74CDF" w:rsidRPr="00F01347" w14:paraId="34908C15" w14:textId="77777777">
        <w:trPr>
          <w:trHeight w:val="20"/>
          <w:jc w:val="center"/>
        </w:trPr>
        <w:tc>
          <w:tcPr>
            <w:tcW w:w="3027" w:type="dxa"/>
            <w:tcBorders>
              <w:top w:val="single" w:sz="6" w:space="0" w:color="auto"/>
              <w:left w:val="single" w:sz="6" w:space="0" w:color="auto"/>
              <w:bottom w:val="single" w:sz="6" w:space="0" w:color="auto"/>
              <w:right w:val="single" w:sz="6" w:space="0" w:color="auto"/>
            </w:tcBorders>
            <w:shd w:val="clear" w:color="000000" w:fill="FFFFFF"/>
          </w:tcPr>
          <w:p w14:paraId="785315E7" w14:textId="77777777" w:rsidR="00A74CDF" w:rsidRPr="00F01347" w:rsidRDefault="00A74CDF" w:rsidP="003A601B">
            <w:pPr>
              <w:pStyle w:val="texto0"/>
              <w:spacing w:before="40" w:after="40" w:line="200" w:lineRule="exact"/>
              <w:ind w:firstLine="0"/>
              <w:rPr>
                <w:rFonts w:ascii="Verdana" w:hAnsi="Verdana"/>
                <w:sz w:val="16"/>
                <w:szCs w:val="16"/>
              </w:rPr>
            </w:pPr>
            <w:r w:rsidRPr="00F01347">
              <w:rPr>
                <w:rFonts w:ascii="Verdana" w:hAnsi="Verdana"/>
                <w:sz w:val="16"/>
                <w:szCs w:val="16"/>
              </w:rPr>
              <w:t>Menor de 50,000 habitantes</w:t>
            </w:r>
          </w:p>
        </w:tc>
        <w:tc>
          <w:tcPr>
            <w:tcW w:w="1921" w:type="dxa"/>
            <w:tcBorders>
              <w:top w:val="single" w:sz="6" w:space="0" w:color="auto"/>
              <w:left w:val="single" w:sz="6" w:space="0" w:color="auto"/>
              <w:bottom w:val="single" w:sz="6" w:space="0" w:color="auto"/>
              <w:right w:val="single" w:sz="6" w:space="0" w:color="auto"/>
            </w:tcBorders>
            <w:shd w:val="clear" w:color="000000" w:fill="FFFFFF"/>
            <w:vAlign w:val="center"/>
          </w:tcPr>
          <w:p w14:paraId="267C2E7D"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Seis años posterior a la entrada en vigor de la presente Norma</w:t>
            </w:r>
          </w:p>
        </w:tc>
        <w:tc>
          <w:tcPr>
            <w:tcW w:w="1800" w:type="dxa"/>
            <w:tcBorders>
              <w:top w:val="single" w:sz="6" w:space="0" w:color="auto"/>
              <w:left w:val="single" w:sz="6" w:space="0" w:color="auto"/>
              <w:bottom w:val="single" w:sz="6" w:space="0" w:color="auto"/>
              <w:right w:val="single" w:sz="6" w:space="0" w:color="auto"/>
            </w:tcBorders>
            <w:shd w:val="clear" w:color="000000" w:fill="FFFFFF"/>
          </w:tcPr>
          <w:p w14:paraId="051036B9"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1.0</w:t>
            </w:r>
          </w:p>
        </w:tc>
        <w:tc>
          <w:tcPr>
            <w:tcW w:w="1909" w:type="dxa"/>
            <w:tcBorders>
              <w:top w:val="single" w:sz="6" w:space="0" w:color="auto"/>
              <w:left w:val="single" w:sz="6" w:space="0" w:color="auto"/>
              <w:bottom w:val="single" w:sz="6" w:space="0" w:color="auto"/>
              <w:right w:val="single" w:sz="6" w:space="0" w:color="auto"/>
            </w:tcBorders>
            <w:shd w:val="clear" w:color="000000" w:fill="FFFFFF"/>
          </w:tcPr>
          <w:p w14:paraId="5A100B5B" w14:textId="77777777" w:rsidR="00A74CDF" w:rsidRPr="00F01347" w:rsidRDefault="00A74CDF" w:rsidP="003A601B">
            <w:pPr>
              <w:pStyle w:val="texto0"/>
              <w:spacing w:before="40" w:after="40" w:line="200" w:lineRule="exact"/>
              <w:ind w:firstLine="0"/>
              <w:jc w:val="center"/>
              <w:rPr>
                <w:rFonts w:ascii="Verdana" w:hAnsi="Verdana"/>
                <w:sz w:val="16"/>
                <w:szCs w:val="16"/>
              </w:rPr>
            </w:pPr>
            <w:r w:rsidRPr="00F01347">
              <w:rPr>
                <w:rFonts w:ascii="Verdana" w:hAnsi="Verdana"/>
                <w:sz w:val="16"/>
                <w:szCs w:val="16"/>
              </w:rPr>
              <w:t>mg/L</w:t>
            </w:r>
          </w:p>
        </w:tc>
      </w:tr>
    </w:tbl>
    <w:p w14:paraId="1CDD11FD" w14:textId="77777777" w:rsidR="004E12B3" w:rsidRPr="00F01347" w:rsidRDefault="004E12B3" w:rsidP="004E12B3">
      <w:pPr>
        <w:pStyle w:val="texto0"/>
        <w:spacing w:after="80"/>
        <w:jc w:val="center"/>
        <w:rPr>
          <w:rFonts w:ascii="Verdana" w:hAnsi="Verdana"/>
          <w:b/>
          <w:sz w:val="16"/>
          <w:szCs w:val="16"/>
          <w:lang w:val="en-US"/>
        </w:rPr>
      </w:pPr>
      <w:r w:rsidRPr="00F01347">
        <w:rPr>
          <w:rFonts w:ascii="Verdana" w:hAnsi="Verdana"/>
          <w:b/>
          <w:sz w:val="16"/>
          <w:szCs w:val="16"/>
          <w:lang w:val="en-US"/>
        </w:rPr>
        <w:t>Table 3 - Graded Compliance Table for Fluoride</w:t>
      </w:r>
    </w:p>
    <w:tbl>
      <w:tblPr>
        <w:tblW w:w="8715" w:type="dxa"/>
        <w:jc w:val="center"/>
        <w:tblLayout w:type="fixed"/>
        <w:tblCellMar>
          <w:left w:w="70" w:type="dxa"/>
          <w:right w:w="70" w:type="dxa"/>
        </w:tblCellMar>
        <w:tblLook w:val="04A0" w:firstRow="1" w:lastRow="0" w:firstColumn="1" w:lastColumn="0" w:noHBand="0" w:noVBand="1"/>
      </w:tblPr>
      <w:tblGrid>
        <w:gridCol w:w="3047"/>
        <w:gridCol w:w="1934"/>
        <w:gridCol w:w="1812"/>
        <w:gridCol w:w="1922"/>
      </w:tblGrid>
      <w:tr w:rsidR="004E12B3" w:rsidRPr="00F01347" w14:paraId="471D3772" w14:textId="77777777" w:rsidTr="004E12B3">
        <w:trPr>
          <w:trHeight w:val="20"/>
          <w:jc w:val="center"/>
        </w:trPr>
        <w:tc>
          <w:tcPr>
            <w:tcW w:w="3027" w:type="dxa"/>
            <w:tcBorders>
              <w:top w:val="single" w:sz="6" w:space="0" w:color="auto"/>
              <w:left w:val="single" w:sz="6" w:space="0" w:color="auto"/>
              <w:bottom w:val="single" w:sz="6" w:space="0" w:color="auto"/>
              <w:right w:val="single" w:sz="6" w:space="0" w:color="auto"/>
            </w:tcBorders>
            <w:shd w:val="clear" w:color="auto" w:fill="FFFFFF"/>
            <w:noWrap/>
            <w:hideMark/>
          </w:tcPr>
          <w:p w14:paraId="6807E6C8" w14:textId="77777777" w:rsidR="004E12B3" w:rsidRPr="00F01347" w:rsidRDefault="004E12B3">
            <w:pPr>
              <w:pStyle w:val="texto0"/>
              <w:spacing w:before="40" w:after="40" w:line="200" w:lineRule="exact"/>
              <w:ind w:firstLine="0"/>
              <w:jc w:val="center"/>
              <w:rPr>
                <w:rFonts w:ascii="Verdana" w:hAnsi="Verdana"/>
                <w:b/>
                <w:sz w:val="16"/>
                <w:szCs w:val="16"/>
                <w:lang w:val="en-US"/>
              </w:rPr>
            </w:pPr>
            <w:r w:rsidRPr="00F01347">
              <w:rPr>
                <w:rFonts w:ascii="Verdana" w:hAnsi="Verdana"/>
                <w:b/>
                <w:sz w:val="16"/>
                <w:szCs w:val="16"/>
                <w:lang w:val="en-US"/>
              </w:rPr>
              <w:t>Location</w:t>
            </w:r>
          </w:p>
        </w:tc>
        <w:tc>
          <w:tcPr>
            <w:tcW w:w="1921" w:type="dxa"/>
            <w:tcBorders>
              <w:top w:val="single" w:sz="6" w:space="0" w:color="auto"/>
              <w:left w:val="single" w:sz="6" w:space="0" w:color="auto"/>
              <w:bottom w:val="single" w:sz="6" w:space="0" w:color="auto"/>
              <w:right w:val="single" w:sz="6" w:space="0" w:color="auto"/>
            </w:tcBorders>
            <w:shd w:val="clear" w:color="auto" w:fill="FFFFFF"/>
            <w:hideMark/>
          </w:tcPr>
          <w:p w14:paraId="122D78A0" w14:textId="77777777" w:rsidR="004E12B3" w:rsidRPr="00F01347" w:rsidRDefault="004E12B3">
            <w:pPr>
              <w:pStyle w:val="texto0"/>
              <w:spacing w:before="40" w:after="40" w:line="200" w:lineRule="exact"/>
              <w:ind w:firstLine="0"/>
              <w:jc w:val="center"/>
              <w:rPr>
                <w:rFonts w:ascii="Verdana" w:hAnsi="Verdana"/>
                <w:b/>
                <w:sz w:val="16"/>
                <w:szCs w:val="16"/>
                <w:lang w:val="en-US"/>
              </w:rPr>
            </w:pPr>
            <w:r w:rsidRPr="00F01347">
              <w:rPr>
                <w:rFonts w:ascii="Verdana" w:hAnsi="Verdana"/>
                <w:b/>
                <w:sz w:val="16"/>
                <w:szCs w:val="16"/>
                <w:lang w:val="en-US"/>
              </w:rPr>
              <w:t>Year</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14:paraId="7579502A" w14:textId="77777777" w:rsidR="004E12B3" w:rsidRPr="00F01347" w:rsidRDefault="004E12B3">
            <w:pPr>
              <w:pStyle w:val="texto0"/>
              <w:spacing w:before="40" w:after="40" w:line="200" w:lineRule="exact"/>
              <w:ind w:firstLine="0"/>
              <w:jc w:val="center"/>
              <w:rPr>
                <w:rFonts w:ascii="Verdana" w:hAnsi="Verdana"/>
                <w:sz w:val="16"/>
                <w:szCs w:val="16"/>
                <w:lang w:val="en-US"/>
              </w:rPr>
            </w:pPr>
            <w:r w:rsidRPr="00F01347">
              <w:rPr>
                <w:rFonts w:ascii="Verdana" w:hAnsi="Verdana"/>
                <w:b/>
                <w:color w:val="000000"/>
                <w:sz w:val="16"/>
                <w:szCs w:val="16"/>
                <w:lang w:val="en-US"/>
              </w:rPr>
              <w:t>Permissible limit</w:t>
            </w:r>
          </w:p>
        </w:tc>
        <w:tc>
          <w:tcPr>
            <w:tcW w:w="1909" w:type="dxa"/>
            <w:tcBorders>
              <w:top w:val="single" w:sz="6" w:space="0" w:color="auto"/>
              <w:left w:val="single" w:sz="6" w:space="0" w:color="auto"/>
              <w:bottom w:val="single" w:sz="6" w:space="0" w:color="auto"/>
              <w:right w:val="single" w:sz="6" w:space="0" w:color="auto"/>
            </w:tcBorders>
            <w:shd w:val="clear" w:color="auto" w:fill="FFFFFF"/>
            <w:hideMark/>
          </w:tcPr>
          <w:p w14:paraId="4A054462" w14:textId="77777777" w:rsidR="004E12B3" w:rsidRPr="00F01347" w:rsidRDefault="004E12B3">
            <w:pPr>
              <w:pStyle w:val="texto0"/>
              <w:spacing w:before="40" w:after="40" w:line="200" w:lineRule="exact"/>
              <w:ind w:firstLine="0"/>
              <w:jc w:val="center"/>
              <w:rPr>
                <w:rFonts w:ascii="Verdana" w:hAnsi="Verdana"/>
                <w:sz w:val="16"/>
                <w:szCs w:val="16"/>
                <w:lang w:val="en-US"/>
              </w:rPr>
            </w:pPr>
            <w:r w:rsidRPr="00F01347">
              <w:rPr>
                <w:rFonts w:ascii="Verdana" w:hAnsi="Verdana"/>
                <w:b/>
                <w:color w:val="000000"/>
                <w:sz w:val="16"/>
                <w:szCs w:val="16"/>
                <w:lang w:val="en-US"/>
              </w:rPr>
              <w:t>Units</w:t>
            </w:r>
          </w:p>
        </w:tc>
      </w:tr>
      <w:tr w:rsidR="004E12B3" w:rsidRPr="00F01347" w14:paraId="0065EA2F" w14:textId="77777777" w:rsidTr="004E12B3">
        <w:trPr>
          <w:trHeight w:val="20"/>
          <w:jc w:val="center"/>
        </w:trPr>
        <w:tc>
          <w:tcPr>
            <w:tcW w:w="3027" w:type="dxa"/>
            <w:tcBorders>
              <w:top w:val="single" w:sz="6" w:space="0" w:color="auto"/>
              <w:left w:val="single" w:sz="6" w:space="0" w:color="auto"/>
              <w:bottom w:val="single" w:sz="6" w:space="0" w:color="auto"/>
              <w:right w:val="single" w:sz="6" w:space="0" w:color="auto"/>
            </w:tcBorders>
            <w:shd w:val="clear" w:color="auto" w:fill="FFFFFF"/>
            <w:hideMark/>
          </w:tcPr>
          <w:p w14:paraId="46E4F412" w14:textId="77777777" w:rsidR="004E12B3" w:rsidRPr="00F01347" w:rsidRDefault="004E12B3">
            <w:pPr>
              <w:pStyle w:val="texto0"/>
              <w:spacing w:before="40" w:after="40" w:line="200" w:lineRule="exact"/>
              <w:ind w:firstLine="0"/>
              <w:rPr>
                <w:rFonts w:ascii="Verdana" w:hAnsi="Verdana"/>
                <w:sz w:val="16"/>
                <w:szCs w:val="16"/>
                <w:lang w:val="en-US"/>
              </w:rPr>
            </w:pPr>
            <w:r w:rsidRPr="00F01347">
              <w:rPr>
                <w:rFonts w:ascii="Verdana" w:hAnsi="Verdana"/>
                <w:sz w:val="16"/>
                <w:szCs w:val="16"/>
                <w:lang w:val="en-US"/>
              </w:rPr>
              <w:t>Greater than 500,000 inhabitants</w:t>
            </w:r>
          </w:p>
        </w:tc>
        <w:tc>
          <w:tcPr>
            <w:tcW w:w="192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742058" w14:textId="77777777" w:rsidR="004E12B3" w:rsidRPr="00F01347" w:rsidRDefault="004E12B3">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One year after the entry into force of this Standard</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14:paraId="7A09A695" w14:textId="77777777" w:rsidR="004E12B3" w:rsidRPr="00F01347" w:rsidRDefault="004E12B3">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1.0</w:t>
            </w:r>
          </w:p>
        </w:tc>
        <w:tc>
          <w:tcPr>
            <w:tcW w:w="1909" w:type="dxa"/>
            <w:tcBorders>
              <w:top w:val="single" w:sz="6" w:space="0" w:color="auto"/>
              <w:left w:val="single" w:sz="6" w:space="0" w:color="auto"/>
              <w:bottom w:val="single" w:sz="6" w:space="0" w:color="auto"/>
              <w:right w:val="single" w:sz="6" w:space="0" w:color="auto"/>
            </w:tcBorders>
            <w:shd w:val="clear" w:color="auto" w:fill="FFFFFF"/>
            <w:hideMark/>
          </w:tcPr>
          <w:p w14:paraId="5F48A16E" w14:textId="77777777" w:rsidR="004E12B3" w:rsidRPr="00F01347" w:rsidRDefault="004E12B3">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mg/L</w:t>
            </w:r>
          </w:p>
        </w:tc>
      </w:tr>
      <w:tr w:rsidR="004E12B3" w:rsidRPr="00F01347" w14:paraId="4835ACFE" w14:textId="77777777" w:rsidTr="004E12B3">
        <w:trPr>
          <w:trHeight w:val="20"/>
          <w:jc w:val="center"/>
        </w:trPr>
        <w:tc>
          <w:tcPr>
            <w:tcW w:w="3027" w:type="dxa"/>
            <w:tcBorders>
              <w:top w:val="single" w:sz="6" w:space="0" w:color="auto"/>
              <w:left w:val="single" w:sz="6" w:space="0" w:color="auto"/>
              <w:bottom w:val="single" w:sz="6" w:space="0" w:color="auto"/>
              <w:right w:val="single" w:sz="6" w:space="0" w:color="auto"/>
            </w:tcBorders>
            <w:shd w:val="clear" w:color="auto" w:fill="FFFFFF"/>
            <w:hideMark/>
          </w:tcPr>
          <w:p w14:paraId="60D5ABCB" w14:textId="77777777" w:rsidR="004E12B3" w:rsidRPr="00F01347" w:rsidRDefault="004E12B3">
            <w:pPr>
              <w:pStyle w:val="texto0"/>
              <w:spacing w:before="40" w:after="40" w:line="200" w:lineRule="exact"/>
              <w:ind w:firstLine="0"/>
              <w:rPr>
                <w:rFonts w:ascii="Verdana" w:hAnsi="Verdana"/>
                <w:sz w:val="16"/>
                <w:szCs w:val="16"/>
                <w:lang w:val="en-US"/>
              </w:rPr>
            </w:pPr>
            <w:r w:rsidRPr="00F01347">
              <w:rPr>
                <w:rFonts w:ascii="Verdana" w:hAnsi="Verdana"/>
                <w:sz w:val="16"/>
                <w:szCs w:val="16"/>
                <w:lang w:val="en-US"/>
              </w:rPr>
              <w:t>Between 50,000 and 499,999 inhabitants</w:t>
            </w:r>
          </w:p>
        </w:tc>
        <w:tc>
          <w:tcPr>
            <w:tcW w:w="192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2C76B9" w14:textId="77777777" w:rsidR="004E12B3" w:rsidRPr="00F01347" w:rsidRDefault="004E12B3">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Three years after the entry into force of this Standard</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14:paraId="44D34F41" w14:textId="77777777" w:rsidR="004E12B3" w:rsidRPr="00F01347" w:rsidRDefault="004E12B3">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1.0</w:t>
            </w:r>
          </w:p>
        </w:tc>
        <w:tc>
          <w:tcPr>
            <w:tcW w:w="1909" w:type="dxa"/>
            <w:tcBorders>
              <w:top w:val="single" w:sz="6" w:space="0" w:color="auto"/>
              <w:left w:val="single" w:sz="6" w:space="0" w:color="auto"/>
              <w:bottom w:val="single" w:sz="6" w:space="0" w:color="auto"/>
              <w:right w:val="single" w:sz="6" w:space="0" w:color="auto"/>
            </w:tcBorders>
            <w:shd w:val="clear" w:color="auto" w:fill="FFFFFF"/>
            <w:hideMark/>
          </w:tcPr>
          <w:p w14:paraId="7994455B" w14:textId="77777777" w:rsidR="004E12B3" w:rsidRPr="00F01347" w:rsidRDefault="004E12B3">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mg/L</w:t>
            </w:r>
          </w:p>
        </w:tc>
      </w:tr>
      <w:tr w:rsidR="004E12B3" w:rsidRPr="00F01347" w14:paraId="4E815FD8" w14:textId="77777777" w:rsidTr="004E12B3">
        <w:trPr>
          <w:trHeight w:val="20"/>
          <w:jc w:val="center"/>
        </w:trPr>
        <w:tc>
          <w:tcPr>
            <w:tcW w:w="3027" w:type="dxa"/>
            <w:tcBorders>
              <w:top w:val="single" w:sz="6" w:space="0" w:color="auto"/>
              <w:left w:val="single" w:sz="6" w:space="0" w:color="auto"/>
              <w:bottom w:val="single" w:sz="6" w:space="0" w:color="auto"/>
              <w:right w:val="single" w:sz="6" w:space="0" w:color="auto"/>
            </w:tcBorders>
            <w:shd w:val="clear" w:color="auto" w:fill="FFFFFF"/>
            <w:hideMark/>
          </w:tcPr>
          <w:p w14:paraId="4E3A6CB5" w14:textId="77777777" w:rsidR="004E12B3" w:rsidRPr="00F01347" w:rsidRDefault="004E12B3">
            <w:pPr>
              <w:pStyle w:val="texto0"/>
              <w:spacing w:before="40" w:after="40" w:line="200" w:lineRule="exact"/>
              <w:ind w:firstLine="0"/>
              <w:rPr>
                <w:rFonts w:ascii="Verdana" w:hAnsi="Verdana"/>
                <w:sz w:val="16"/>
                <w:szCs w:val="16"/>
                <w:lang w:val="en-US"/>
              </w:rPr>
            </w:pPr>
            <w:r w:rsidRPr="00F01347">
              <w:rPr>
                <w:rFonts w:ascii="Verdana" w:hAnsi="Verdana"/>
                <w:sz w:val="16"/>
                <w:szCs w:val="16"/>
                <w:lang w:val="en-US"/>
              </w:rPr>
              <w:t>Less than 50,000 inhabitants</w:t>
            </w:r>
          </w:p>
        </w:tc>
        <w:tc>
          <w:tcPr>
            <w:tcW w:w="192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692CD4" w14:textId="77777777" w:rsidR="004E12B3" w:rsidRPr="00F01347" w:rsidRDefault="004E12B3">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Six years after the entry into force of this Standard</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14:paraId="07E98907" w14:textId="77777777" w:rsidR="004E12B3" w:rsidRPr="00F01347" w:rsidRDefault="004E12B3">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1.0</w:t>
            </w:r>
          </w:p>
        </w:tc>
        <w:tc>
          <w:tcPr>
            <w:tcW w:w="1909" w:type="dxa"/>
            <w:tcBorders>
              <w:top w:val="single" w:sz="6" w:space="0" w:color="auto"/>
              <w:left w:val="single" w:sz="6" w:space="0" w:color="auto"/>
              <w:bottom w:val="single" w:sz="6" w:space="0" w:color="auto"/>
              <w:right w:val="single" w:sz="6" w:space="0" w:color="auto"/>
            </w:tcBorders>
            <w:shd w:val="clear" w:color="auto" w:fill="FFFFFF"/>
            <w:hideMark/>
          </w:tcPr>
          <w:p w14:paraId="253A7403" w14:textId="77777777" w:rsidR="004E12B3" w:rsidRPr="00F01347" w:rsidRDefault="004E12B3">
            <w:pPr>
              <w:pStyle w:val="texto0"/>
              <w:spacing w:before="40" w:after="40" w:line="200" w:lineRule="exact"/>
              <w:ind w:firstLine="0"/>
              <w:jc w:val="center"/>
              <w:rPr>
                <w:rFonts w:ascii="Verdana" w:hAnsi="Verdana"/>
                <w:sz w:val="16"/>
                <w:szCs w:val="16"/>
                <w:lang w:val="en-US"/>
              </w:rPr>
            </w:pPr>
            <w:r w:rsidRPr="00F01347">
              <w:rPr>
                <w:rFonts w:ascii="Verdana" w:hAnsi="Verdana"/>
                <w:sz w:val="16"/>
                <w:szCs w:val="16"/>
                <w:lang w:val="en-US"/>
              </w:rPr>
              <w:t>mg/L</w:t>
            </w:r>
          </w:p>
        </w:tc>
      </w:tr>
    </w:tbl>
    <w:p w14:paraId="5A64CBE3" w14:textId="77777777" w:rsidR="004E12B3" w:rsidRPr="00F01347" w:rsidRDefault="004E12B3" w:rsidP="003A601B">
      <w:pPr>
        <w:pStyle w:val="texto0"/>
        <w:spacing w:after="80"/>
        <w:rPr>
          <w:rFonts w:ascii="Verdana" w:hAnsi="Verdana"/>
          <w:b/>
          <w:sz w:val="16"/>
          <w:szCs w:val="16"/>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5D6ACF13" w14:textId="77777777" w:rsidTr="008A640F">
        <w:tc>
          <w:tcPr>
            <w:tcW w:w="4675" w:type="dxa"/>
          </w:tcPr>
          <w:p w14:paraId="6D3A7488" w14:textId="5FAA90F7" w:rsidR="00204B58" w:rsidRPr="00F01347" w:rsidRDefault="00204B58" w:rsidP="00204B58">
            <w:pPr>
              <w:pStyle w:val="texto0"/>
              <w:spacing w:after="80"/>
              <w:rPr>
                <w:rFonts w:ascii="Verdana" w:hAnsi="Verdana"/>
                <w:sz w:val="16"/>
                <w:szCs w:val="16"/>
                <w:lang w:val="es-ES_tradnl"/>
              </w:rPr>
            </w:pPr>
            <w:r w:rsidRPr="00F01347">
              <w:rPr>
                <w:rFonts w:ascii="Verdana" w:hAnsi="Verdana"/>
                <w:b/>
                <w:sz w:val="16"/>
                <w:szCs w:val="16"/>
                <w:lang w:val="es-ES_tradnl"/>
              </w:rPr>
              <w:t xml:space="preserve">5.4 </w:t>
            </w:r>
            <w:r w:rsidRPr="00F01347">
              <w:rPr>
                <w:rFonts w:ascii="Verdana" w:hAnsi="Verdana"/>
                <w:sz w:val="16"/>
                <w:szCs w:val="16"/>
                <w:lang w:val="es-ES_tradnl"/>
              </w:rPr>
              <w:t>Metales y metaloides:</w:t>
            </w:r>
          </w:p>
        </w:tc>
        <w:tc>
          <w:tcPr>
            <w:tcW w:w="4675" w:type="dxa"/>
          </w:tcPr>
          <w:p w14:paraId="76956C5B" w14:textId="5F94D342" w:rsidR="00204B58" w:rsidRPr="00F01347" w:rsidRDefault="004E12B3" w:rsidP="003A601B">
            <w:pPr>
              <w:pStyle w:val="texto0"/>
              <w:spacing w:after="80"/>
              <w:ind w:firstLine="0"/>
              <w:rPr>
                <w:rFonts w:ascii="Verdana" w:hAnsi="Verdana"/>
                <w:b/>
                <w:sz w:val="16"/>
                <w:szCs w:val="16"/>
                <w:lang w:val="en-US"/>
              </w:rPr>
            </w:pPr>
            <w:r w:rsidRPr="00F01347">
              <w:rPr>
                <w:rFonts w:ascii="Verdana" w:hAnsi="Verdana"/>
                <w:b/>
                <w:sz w:val="16"/>
                <w:szCs w:val="16"/>
                <w:lang w:val="en-US"/>
              </w:rPr>
              <w:t xml:space="preserve">5.4 </w:t>
            </w:r>
            <w:r w:rsidRPr="00F01347">
              <w:rPr>
                <w:rFonts w:ascii="Verdana" w:hAnsi="Verdana"/>
                <w:sz w:val="16"/>
                <w:szCs w:val="16"/>
                <w:lang w:val="en-US"/>
              </w:rPr>
              <w:t>Metals and metalloids:</w:t>
            </w:r>
          </w:p>
        </w:tc>
      </w:tr>
    </w:tbl>
    <w:p w14:paraId="02A5F7E2" w14:textId="77777777" w:rsidR="00204B58" w:rsidRPr="00F01347" w:rsidRDefault="00204B58" w:rsidP="003A601B">
      <w:pPr>
        <w:pStyle w:val="texto0"/>
        <w:spacing w:after="80"/>
        <w:rPr>
          <w:rFonts w:ascii="Verdana" w:hAnsi="Verdana"/>
          <w:b/>
          <w:sz w:val="16"/>
          <w:szCs w:val="16"/>
          <w:lang w:val="es-ES_tradnl"/>
        </w:rPr>
      </w:pPr>
    </w:p>
    <w:p w14:paraId="6CC102E3" w14:textId="77777777" w:rsidR="00A74CDF" w:rsidRPr="00F01347" w:rsidRDefault="00A74CDF" w:rsidP="003A601B">
      <w:pPr>
        <w:pStyle w:val="texto0"/>
        <w:spacing w:after="80"/>
        <w:ind w:firstLine="0"/>
        <w:jc w:val="center"/>
        <w:rPr>
          <w:rFonts w:ascii="Verdana" w:hAnsi="Verdana"/>
          <w:b/>
          <w:color w:val="000000"/>
          <w:sz w:val="16"/>
          <w:szCs w:val="16"/>
        </w:rPr>
      </w:pPr>
      <w:r w:rsidRPr="00F01347">
        <w:rPr>
          <w:rFonts w:ascii="Verdana" w:hAnsi="Verdana"/>
          <w:b/>
          <w:sz w:val="16"/>
          <w:szCs w:val="16"/>
        </w:rPr>
        <w:t xml:space="preserve">Tabla 4 - </w:t>
      </w:r>
      <w:r w:rsidRPr="00F01347">
        <w:rPr>
          <w:rFonts w:ascii="Verdana" w:hAnsi="Verdana"/>
          <w:b/>
          <w:color w:val="000000"/>
          <w:sz w:val="16"/>
          <w:szCs w:val="16"/>
        </w:rPr>
        <w:t>Especificaciones sanitarias de metales y metaloides</w:t>
      </w:r>
    </w:p>
    <w:tbl>
      <w:tblPr>
        <w:tblW w:w="8712" w:type="dxa"/>
        <w:jc w:val="center"/>
        <w:tblLayout w:type="fixed"/>
        <w:tblCellMar>
          <w:left w:w="70" w:type="dxa"/>
          <w:right w:w="70" w:type="dxa"/>
        </w:tblCellMar>
        <w:tblLook w:val="0000" w:firstRow="0" w:lastRow="0" w:firstColumn="0" w:lastColumn="0" w:noHBand="0" w:noVBand="0"/>
      </w:tblPr>
      <w:tblGrid>
        <w:gridCol w:w="3737"/>
        <w:gridCol w:w="2377"/>
        <w:gridCol w:w="2598"/>
      </w:tblGrid>
      <w:tr w:rsidR="00A74CDF" w:rsidRPr="00F01347" w14:paraId="4C86A28E" w14:textId="77777777">
        <w:trPr>
          <w:trHeight w:val="20"/>
          <w:jc w:val="center"/>
        </w:trPr>
        <w:tc>
          <w:tcPr>
            <w:tcW w:w="3737" w:type="dxa"/>
            <w:tcBorders>
              <w:top w:val="single" w:sz="6" w:space="0" w:color="auto"/>
              <w:left w:val="single" w:sz="6" w:space="0" w:color="auto"/>
              <w:bottom w:val="single" w:sz="6" w:space="0" w:color="auto"/>
              <w:right w:val="single" w:sz="6" w:space="0" w:color="auto"/>
            </w:tcBorders>
            <w:noWrap/>
          </w:tcPr>
          <w:p w14:paraId="4398B72D" w14:textId="77777777" w:rsidR="00A74CDF" w:rsidRPr="00F01347" w:rsidRDefault="00A74CDF" w:rsidP="003A601B">
            <w:pPr>
              <w:pStyle w:val="texto0"/>
              <w:spacing w:before="40" w:after="40" w:line="206" w:lineRule="exact"/>
              <w:ind w:firstLine="0"/>
              <w:jc w:val="center"/>
              <w:rPr>
                <w:rFonts w:ascii="Verdana" w:hAnsi="Verdana"/>
                <w:b/>
                <w:color w:val="000000"/>
                <w:sz w:val="16"/>
                <w:szCs w:val="16"/>
              </w:rPr>
            </w:pPr>
            <w:r w:rsidRPr="00F01347">
              <w:rPr>
                <w:rFonts w:ascii="Verdana" w:hAnsi="Verdana"/>
                <w:b/>
                <w:color w:val="000000"/>
                <w:sz w:val="16"/>
                <w:szCs w:val="16"/>
              </w:rPr>
              <w:t>Parámetros</w:t>
            </w:r>
          </w:p>
        </w:tc>
        <w:tc>
          <w:tcPr>
            <w:tcW w:w="2377" w:type="dxa"/>
            <w:tcBorders>
              <w:top w:val="single" w:sz="6" w:space="0" w:color="auto"/>
              <w:left w:val="single" w:sz="6" w:space="0" w:color="auto"/>
              <w:bottom w:val="single" w:sz="6" w:space="0" w:color="auto"/>
              <w:right w:val="single" w:sz="6" w:space="0" w:color="auto"/>
            </w:tcBorders>
          </w:tcPr>
          <w:p w14:paraId="54B804CD" w14:textId="77777777" w:rsidR="00A74CDF" w:rsidRPr="00F01347" w:rsidRDefault="00A74CDF" w:rsidP="003A601B">
            <w:pPr>
              <w:pStyle w:val="texto0"/>
              <w:spacing w:before="40" w:after="40" w:line="206" w:lineRule="exact"/>
              <w:ind w:firstLine="0"/>
              <w:jc w:val="center"/>
              <w:rPr>
                <w:rFonts w:ascii="Verdana" w:hAnsi="Verdana"/>
                <w:b/>
                <w:color w:val="000000"/>
                <w:sz w:val="16"/>
                <w:szCs w:val="16"/>
              </w:rPr>
            </w:pPr>
            <w:r w:rsidRPr="00F01347">
              <w:rPr>
                <w:rFonts w:ascii="Verdana" w:hAnsi="Verdana"/>
                <w:b/>
                <w:color w:val="000000"/>
                <w:sz w:val="16"/>
                <w:szCs w:val="16"/>
              </w:rPr>
              <w:t>Límite permisible</w:t>
            </w:r>
          </w:p>
        </w:tc>
        <w:tc>
          <w:tcPr>
            <w:tcW w:w="2598" w:type="dxa"/>
            <w:tcBorders>
              <w:top w:val="single" w:sz="6" w:space="0" w:color="auto"/>
              <w:left w:val="single" w:sz="6" w:space="0" w:color="auto"/>
              <w:bottom w:val="single" w:sz="6" w:space="0" w:color="auto"/>
              <w:right w:val="single" w:sz="6" w:space="0" w:color="auto"/>
            </w:tcBorders>
          </w:tcPr>
          <w:p w14:paraId="329D02F1" w14:textId="77777777" w:rsidR="00A74CDF" w:rsidRPr="00F01347" w:rsidRDefault="00A74CDF" w:rsidP="003A601B">
            <w:pPr>
              <w:pStyle w:val="texto0"/>
              <w:spacing w:before="40" w:after="40" w:line="206" w:lineRule="exact"/>
              <w:ind w:firstLine="0"/>
              <w:jc w:val="center"/>
              <w:rPr>
                <w:rFonts w:ascii="Verdana" w:hAnsi="Verdana"/>
                <w:b/>
                <w:color w:val="000000"/>
                <w:sz w:val="16"/>
                <w:szCs w:val="16"/>
              </w:rPr>
            </w:pPr>
            <w:r w:rsidRPr="00F01347">
              <w:rPr>
                <w:rFonts w:ascii="Verdana" w:hAnsi="Verdana"/>
                <w:b/>
                <w:color w:val="000000"/>
                <w:sz w:val="16"/>
                <w:szCs w:val="16"/>
              </w:rPr>
              <w:t>Unidades</w:t>
            </w:r>
          </w:p>
        </w:tc>
      </w:tr>
      <w:tr w:rsidR="00A74CDF" w:rsidRPr="00F01347" w14:paraId="69C3CA46" w14:textId="77777777">
        <w:trPr>
          <w:trHeight w:val="20"/>
          <w:jc w:val="center"/>
        </w:trPr>
        <w:tc>
          <w:tcPr>
            <w:tcW w:w="3737" w:type="dxa"/>
            <w:tcBorders>
              <w:top w:val="single" w:sz="6" w:space="0" w:color="auto"/>
              <w:left w:val="single" w:sz="6" w:space="0" w:color="auto"/>
              <w:bottom w:val="single" w:sz="6" w:space="0" w:color="auto"/>
              <w:right w:val="single" w:sz="6" w:space="0" w:color="auto"/>
            </w:tcBorders>
          </w:tcPr>
          <w:p w14:paraId="6416F49B"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Aluminio</w:t>
            </w:r>
          </w:p>
        </w:tc>
        <w:tc>
          <w:tcPr>
            <w:tcW w:w="2377" w:type="dxa"/>
            <w:tcBorders>
              <w:top w:val="single" w:sz="6" w:space="0" w:color="auto"/>
              <w:left w:val="single" w:sz="6" w:space="0" w:color="auto"/>
              <w:bottom w:val="single" w:sz="6" w:space="0" w:color="auto"/>
              <w:right w:val="single" w:sz="6" w:space="0" w:color="auto"/>
            </w:tcBorders>
          </w:tcPr>
          <w:p w14:paraId="5FB2C209"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0.20</w:t>
            </w:r>
          </w:p>
        </w:tc>
        <w:tc>
          <w:tcPr>
            <w:tcW w:w="2598" w:type="dxa"/>
            <w:tcBorders>
              <w:top w:val="single" w:sz="6" w:space="0" w:color="auto"/>
              <w:left w:val="single" w:sz="6" w:space="0" w:color="auto"/>
              <w:bottom w:val="single" w:sz="6" w:space="0" w:color="auto"/>
              <w:right w:val="single" w:sz="6" w:space="0" w:color="auto"/>
            </w:tcBorders>
          </w:tcPr>
          <w:p w14:paraId="67CACA67"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2456F859" w14:textId="77777777">
        <w:trPr>
          <w:trHeight w:val="20"/>
          <w:jc w:val="center"/>
        </w:trPr>
        <w:tc>
          <w:tcPr>
            <w:tcW w:w="3737" w:type="dxa"/>
            <w:tcBorders>
              <w:top w:val="single" w:sz="6" w:space="0" w:color="auto"/>
              <w:left w:val="single" w:sz="6" w:space="0" w:color="auto"/>
              <w:bottom w:val="single" w:sz="6" w:space="0" w:color="auto"/>
              <w:right w:val="single" w:sz="6" w:space="0" w:color="auto"/>
            </w:tcBorders>
          </w:tcPr>
          <w:p w14:paraId="1733DF1C"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 xml:space="preserve">Arsénico </w:t>
            </w:r>
            <w:r w:rsidRPr="00F01347">
              <w:rPr>
                <w:rFonts w:ascii="Verdana" w:hAnsi="Verdana"/>
                <w:color w:val="000000"/>
                <w:sz w:val="16"/>
                <w:szCs w:val="16"/>
                <w:vertAlign w:val="superscript"/>
              </w:rPr>
              <w:t>a</w:t>
            </w:r>
          </w:p>
        </w:tc>
        <w:tc>
          <w:tcPr>
            <w:tcW w:w="2377" w:type="dxa"/>
            <w:tcBorders>
              <w:top w:val="single" w:sz="6" w:space="0" w:color="auto"/>
              <w:left w:val="single" w:sz="6" w:space="0" w:color="auto"/>
              <w:bottom w:val="single" w:sz="6" w:space="0" w:color="auto"/>
              <w:right w:val="single" w:sz="6" w:space="0" w:color="auto"/>
            </w:tcBorders>
          </w:tcPr>
          <w:p w14:paraId="3C02FC6E" w14:textId="77777777" w:rsidR="00A74CDF" w:rsidRPr="00F01347" w:rsidRDefault="00A74CDF" w:rsidP="003A601B">
            <w:pPr>
              <w:pStyle w:val="texto0"/>
              <w:spacing w:before="40" w:after="40" w:line="206" w:lineRule="exact"/>
              <w:ind w:firstLine="0"/>
              <w:jc w:val="center"/>
              <w:rPr>
                <w:rFonts w:ascii="Verdana" w:hAnsi="Verdana"/>
                <w:sz w:val="16"/>
                <w:szCs w:val="16"/>
              </w:rPr>
            </w:pPr>
            <w:r w:rsidRPr="00F01347">
              <w:rPr>
                <w:rFonts w:ascii="Verdana" w:hAnsi="Verdana"/>
                <w:color w:val="000000"/>
                <w:sz w:val="16"/>
                <w:szCs w:val="16"/>
              </w:rPr>
              <w:t>0.025</w:t>
            </w:r>
          </w:p>
        </w:tc>
        <w:tc>
          <w:tcPr>
            <w:tcW w:w="2598" w:type="dxa"/>
            <w:tcBorders>
              <w:top w:val="single" w:sz="6" w:space="0" w:color="auto"/>
              <w:left w:val="single" w:sz="6" w:space="0" w:color="auto"/>
              <w:bottom w:val="single" w:sz="6" w:space="0" w:color="auto"/>
              <w:right w:val="single" w:sz="6" w:space="0" w:color="auto"/>
            </w:tcBorders>
          </w:tcPr>
          <w:p w14:paraId="599AD7D5"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78C6C93B" w14:textId="77777777">
        <w:trPr>
          <w:trHeight w:val="20"/>
          <w:jc w:val="center"/>
        </w:trPr>
        <w:tc>
          <w:tcPr>
            <w:tcW w:w="3737" w:type="dxa"/>
            <w:tcBorders>
              <w:top w:val="single" w:sz="6" w:space="0" w:color="auto"/>
              <w:left w:val="single" w:sz="6" w:space="0" w:color="auto"/>
              <w:bottom w:val="single" w:sz="6" w:space="0" w:color="auto"/>
              <w:right w:val="single" w:sz="6" w:space="0" w:color="auto"/>
            </w:tcBorders>
          </w:tcPr>
          <w:p w14:paraId="37822C60"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Bario</w:t>
            </w:r>
          </w:p>
        </w:tc>
        <w:tc>
          <w:tcPr>
            <w:tcW w:w="2377" w:type="dxa"/>
            <w:tcBorders>
              <w:top w:val="single" w:sz="6" w:space="0" w:color="auto"/>
              <w:left w:val="single" w:sz="6" w:space="0" w:color="auto"/>
              <w:bottom w:val="single" w:sz="6" w:space="0" w:color="auto"/>
              <w:right w:val="single" w:sz="6" w:space="0" w:color="auto"/>
            </w:tcBorders>
          </w:tcPr>
          <w:p w14:paraId="17ED21A4" w14:textId="77777777" w:rsidR="00A74CDF" w:rsidRPr="00F01347" w:rsidRDefault="00A74CDF" w:rsidP="003A601B">
            <w:pPr>
              <w:pStyle w:val="texto0"/>
              <w:spacing w:before="40" w:after="40" w:line="206" w:lineRule="exact"/>
              <w:ind w:firstLine="0"/>
              <w:jc w:val="center"/>
              <w:rPr>
                <w:rFonts w:ascii="Verdana" w:hAnsi="Verdana"/>
                <w:sz w:val="16"/>
                <w:szCs w:val="16"/>
              </w:rPr>
            </w:pPr>
            <w:r w:rsidRPr="00F01347">
              <w:rPr>
                <w:rFonts w:ascii="Verdana" w:hAnsi="Verdana"/>
                <w:color w:val="000000"/>
                <w:sz w:val="16"/>
                <w:szCs w:val="16"/>
              </w:rPr>
              <w:t>1.3</w:t>
            </w:r>
          </w:p>
        </w:tc>
        <w:tc>
          <w:tcPr>
            <w:tcW w:w="2598" w:type="dxa"/>
            <w:tcBorders>
              <w:top w:val="single" w:sz="6" w:space="0" w:color="auto"/>
              <w:left w:val="single" w:sz="6" w:space="0" w:color="auto"/>
              <w:bottom w:val="single" w:sz="6" w:space="0" w:color="auto"/>
              <w:right w:val="single" w:sz="6" w:space="0" w:color="auto"/>
            </w:tcBorders>
          </w:tcPr>
          <w:p w14:paraId="7F303DFB"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67C3AC82" w14:textId="77777777">
        <w:trPr>
          <w:trHeight w:val="20"/>
          <w:jc w:val="center"/>
        </w:trPr>
        <w:tc>
          <w:tcPr>
            <w:tcW w:w="3737" w:type="dxa"/>
            <w:tcBorders>
              <w:top w:val="single" w:sz="6" w:space="0" w:color="auto"/>
              <w:left w:val="single" w:sz="6" w:space="0" w:color="auto"/>
              <w:bottom w:val="single" w:sz="6" w:space="0" w:color="auto"/>
              <w:right w:val="single" w:sz="6" w:space="0" w:color="auto"/>
            </w:tcBorders>
          </w:tcPr>
          <w:p w14:paraId="7D22D0CB"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 xml:space="preserve">Cadmio </w:t>
            </w:r>
            <w:r w:rsidRPr="00F01347">
              <w:rPr>
                <w:rFonts w:ascii="Verdana" w:hAnsi="Verdana"/>
                <w:color w:val="000000"/>
                <w:sz w:val="16"/>
                <w:szCs w:val="16"/>
                <w:vertAlign w:val="superscript"/>
              </w:rPr>
              <w:t>b</w:t>
            </w:r>
          </w:p>
        </w:tc>
        <w:tc>
          <w:tcPr>
            <w:tcW w:w="2377" w:type="dxa"/>
            <w:tcBorders>
              <w:top w:val="single" w:sz="6" w:space="0" w:color="auto"/>
              <w:left w:val="single" w:sz="6" w:space="0" w:color="auto"/>
              <w:bottom w:val="single" w:sz="6" w:space="0" w:color="auto"/>
              <w:right w:val="single" w:sz="6" w:space="0" w:color="auto"/>
            </w:tcBorders>
          </w:tcPr>
          <w:p w14:paraId="3BB0FF65" w14:textId="77777777" w:rsidR="00A74CDF" w:rsidRPr="00F01347" w:rsidRDefault="00A74CDF" w:rsidP="003A601B">
            <w:pPr>
              <w:pStyle w:val="texto0"/>
              <w:spacing w:before="40" w:after="40" w:line="206" w:lineRule="exact"/>
              <w:ind w:firstLine="0"/>
              <w:jc w:val="center"/>
              <w:rPr>
                <w:rFonts w:ascii="Verdana" w:hAnsi="Verdana"/>
                <w:sz w:val="16"/>
                <w:szCs w:val="16"/>
              </w:rPr>
            </w:pPr>
            <w:r w:rsidRPr="00F01347">
              <w:rPr>
                <w:rFonts w:ascii="Verdana" w:hAnsi="Verdana"/>
                <w:color w:val="000000"/>
                <w:sz w:val="16"/>
                <w:szCs w:val="16"/>
              </w:rPr>
              <w:t>0.005</w:t>
            </w:r>
          </w:p>
        </w:tc>
        <w:tc>
          <w:tcPr>
            <w:tcW w:w="2598" w:type="dxa"/>
            <w:tcBorders>
              <w:top w:val="single" w:sz="6" w:space="0" w:color="auto"/>
              <w:left w:val="single" w:sz="6" w:space="0" w:color="auto"/>
              <w:bottom w:val="single" w:sz="6" w:space="0" w:color="auto"/>
              <w:right w:val="single" w:sz="6" w:space="0" w:color="auto"/>
            </w:tcBorders>
          </w:tcPr>
          <w:p w14:paraId="1042A514"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3C30DCFD" w14:textId="77777777">
        <w:trPr>
          <w:trHeight w:val="20"/>
          <w:jc w:val="center"/>
        </w:trPr>
        <w:tc>
          <w:tcPr>
            <w:tcW w:w="3737" w:type="dxa"/>
            <w:tcBorders>
              <w:top w:val="single" w:sz="6" w:space="0" w:color="auto"/>
              <w:left w:val="single" w:sz="6" w:space="0" w:color="auto"/>
              <w:bottom w:val="single" w:sz="6" w:space="0" w:color="auto"/>
              <w:right w:val="single" w:sz="6" w:space="0" w:color="auto"/>
            </w:tcBorders>
          </w:tcPr>
          <w:p w14:paraId="58BDD290"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Cobre</w:t>
            </w:r>
          </w:p>
        </w:tc>
        <w:tc>
          <w:tcPr>
            <w:tcW w:w="2377" w:type="dxa"/>
            <w:tcBorders>
              <w:top w:val="single" w:sz="6" w:space="0" w:color="auto"/>
              <w:left w:val="single" w:sz="6" w:space="0" w:color="auto"/>
              <w:bottom w:val="single" w:sz="6" w:space="0" w:color="auto"/>
              <w:right w:val="single" w:sz="6" w:space="0" w:color="auto"/>
            </w:tcBorders>
          </w:tcPr>
          <w:p w14:paraId="0543C844" w14:textId="77777777" w:rsidR="00A74CDF" w:rsidRPr="00F01347" w:rsidRDefault="00A74CDF" w:rsidP="003A601B">
            <w:pPr>
              <w:pStyle w:val="texto0"/>
              <w:spacing w:before="40" w:after="40" w:line="206" w:lineRule="exact"/>
              <w:ind w:firstLine="0"/>
              <w:jc w:val="center"/>
              <w:rPr>
                <w:rFonts w:ascii="Verdana" w:hAnsi="Verdana"/>
                <w:sz w:val="16"/>
                <w:szCs w:val="16"/>
              </w:rPr>
            </w:pPr>
            <w:r w:rsidRPr="00F01347">
              <w:rPr>
                <w:rFonts w:ascii="Verdana" w:hAnsi="Verdana"/>
                <w:color w:val="000000"/>
                <w:sz w:val="16"/>
                <w:szCs w:val="16"/>
              </w:rPr>
              <w:t>2.00</w:t>
            </w:r>
          </w:p>
        </w:tc>
        <w:tc>
          <w:tcPr>
            <w:tcW w:w="2598" w:type="dxa"/>
            <w:tcBorders>
              <w:top w:val="single" w:sz="6" w:space="0" w:color="auto"/>
              <w:left w:val="single" w:sz="6" w:space="0" w:color="auto"/>
              <w:bottom w:val="single" w:sz="6" w:space="0" w:color="auto"/>
              <w:right w:val="single" w:sz="6" w:space="0" w:color="auto"/>
            </w:tcBorders>
          </w:tcPr>
          <w:p w14:paraId="1466860A"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53C01556" w14:textId="77777777">
        <w:trPr>
          <w:trHeight w:val="20"/>
          <w:jc w:val="center"/>
        </w:trPr>
        <w:tc>
          <w:tcPr>
            <w:tcW w:w="3737" w:type="dxa"/>
            <w:tcBorders>
              <w:top w:val="single" w:sz="6" w:space="0" w:color="auto"/>
              <w:left w:val="single" w:sz="6" w:space="0" w:color="auto"/>
              <w:bottom w:val="single" w:sz="6" w:space="0" w:color="auto"/>
              <w:right w:val="single" w:sz="6" w:space="0" w:color="auto"/>
            </w:tcBorders>
          </w:tcPr>
          <w:p w14:paraId="399AA7F5"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lastRenderedPageBreak/>
              <w:t>Cromo total</w:t>
            </w:r>
          </w:p>
        </w:tc>
        <w:tc>
          <w:tcPr>
            <w:tcW w:w="2377" w:type="dxa"/>
            <w:tcBorders>
              <w:top w:val="single" w:sz="6" w:space="0" w:color="auto"/>
              <w:left w:val="single" w:sz="6" w:space="0" w:color="auto"/>
              <w:bottom w:val="single" w:sz="6" w:space="0" w:color="auto"/>
              <w:right w:val="single" w:sz="6" w:space="0" w:color="auto"/>
            </w:tcBorders>
          </w:tcPr>
          <w:p w14:paraId="7D2A37DE" w14:textId="77777777" w:rsidR="00A74CDF" w:rsidRPr="00F01347" w:rsidRDefault="00A74CDF" w:rsidP="003A601B">
            <w:pPr>
              <w:pStyle w:val="texto0"/>
              <w:spacing w:before="40" w:after="40" w:line="206" w:lineRule="exact"/>
              <w:ind w:firstLine="0"/>
              <w:jc w:val="center"/>
              <w:rPr>
                <w:rFonts w:ascii="Verdana" w:hAnsi="Verdana"/>
                <w:sz w:val="16"/>
                <w:szCs w:val="16"/>
              </w:rPr>
            </w:pPr>
            <w:r w:rsidRPr="00F01347">
              <w:rPr>
                <w:rFonts w:ascii="Verdana" w:hAnsi="Verdana"/>
                <w:color w:val="000000"/>
                <w:sz w:val="16"/>
                <w:szCs w:val="16"/>
              </w:rPr>
              <w:t>0.05</w:t>
            </w:r>
          </w:p>
        </w:tc>
        <w:tc>
          <w:tcPr>
            <w:tcW w:w="2598" w:type="dxa"/>
            <w:tcBorders>
              <w:top w:val="single" w:sz="6" w:space="0" w:color="auto"/>
              <w:left w:val="single" w:sz="6" w:space="0" w:color="auto"/>
              <w:bottom w:val="single" w:sz="6" w:space="0" w:color="auto"/>
              <w:right w:val="single" w:sz="6" w:space="0" w:color="auto"/>
            </w:tcBorders>
          </w:tcPr>
          <w:p w14:paraId="57AE45FE"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781F6F85" w14:textId="77777777">
        <w:trPr>
          <w:trHeight w:val="20"/>
          <w:jc w:val="center"/>
        </w:trPr>
        <w:tc>
          <w:tcPr>
            <w:tcW w:w="3737" w:type="dxa"/>
            <w:tcBorders>
              <w:top w:val="single" w:sz="6" w:space="0" w:color="auto"/>
              <w:left w:val="single" w:sz="6" w:space="0" w:color="auto"/>
              <w:bottom w:val="single" w:sz="6" w:space="0" w:color="auto"/>
              <w:right w:val="single" w:sz="6" w:space="0" w:color="auto"/>
            </w:tcBorders>
          </w:tcPr>
          <w:p w14:paraId="0AFF6BF2"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Hierro</w:t>
            </w:r>
          </w:p>
        </w:tc>
        <w:tc>
          <w:tcPr>
            <w:tcW w:w="2377" w:type="dxa"/>
            <w:tcBorders>
              <w:top w:val="single" w:sz="6" w:space="0" w:color="auto"/>
              <w:left w:val="single" w:sz="6" w:space="0" w:color="auto"/>
              <w:bottom w:val="single" w:sz="6" w:space="0" w:color="auto"/>
              <w:right w:val="single" w:sz="6" w:space="0" w:color="auto"/>
            </w:tcBorders>
          </w:tcPr>
          <w:p w14:paraId="03DCE561" w14:textId="77777777" w:rsidR="00A74CDF" w:rsidRPr="00F01347" w:rsidRDefault="00A74CDF" w:rsidP="003A601B">
            <w:pPr>
              <w:pStyle w:val="texto0"/>
              <w:spacing w:before="40" w:after="40" w:line="206" w:lineRule="exact"/>
              <w:ind w:firstLine="0"/>
              <w:jc w:val="center"/>
              <w:rPr>
                <w:rFonts w:ascii="Verdana" w:hAnsi="Verdana"/>
                <w:sz w:val="16"/>
                <w:szCs w:val="16"/>
              </w:rPr>
            </w:pPr>
            <w:r w:rsidRPr="00F01347">
              <w:rPr>
                <w:rFonts w:ascii="Verdana" w:hAnsi="Verdana"/>
                <w:color w:val="000000"/>
                <w:sz w:val="16"/>
                <w:szCs w:val="16"/>
              </w:rPr>
              <w:t>0.30</w:t>
            </w:r>
          </w:p>
        </w:tc>
        <w:tc>
          <w:tcPr>
            <w:tcW w:w="2598" w:type="dxa"/>
            <w:tcBorders>
              <w:top w:val="single" w:sz="6" w:space="0" w:color="auto"/>
              <w:left w:val="single" w:sz="6" w:space="0" w:color="auto"/>
              <w:bottom w:val="single" w:sz="6" w:space="0" w:color="auto"/>
              <w:right w:val="single" w:sz="6" w:space="0" w:color="auto"/>
            </w:tcBorders>
          </w:tcPr>
          <w:p w14:paraId="4C587222"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34BF56E7" w14:textId="77777777">
        <w:trPr>
          <w:trHeight w:val="20"/>
          <w:jc w:val="center"/>
        </w:trPr>
        <w:tc>
          <w:tcPr>
            <w:tcW w:w="3737" w:type="dxa"/>
            <w:tcBorders>
              <w:top w:val="single" w:sz="6" w:space="0" w:color="auto"/>
              <w:left w:val="single" w:sz="6" w:space="0" w:color="auto"/>
              <w:bottom w:val="single" w:sz="6" w:space="0" w:color="auto"/>
              <w:right w:val="single" w:sz="6" w:space="0" w:color="auto"/>
            </w:tcBorders>
          </w:tcPr>
          <w:p w14:paraId="6906341B"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Manganeso</w:t>
            </w:r>
          </w:p>
        </w:tc>
        <w:tc>
          <w:tcPr>
            <w:tcW w:w="2377" w:type="dxa"/>
            <w:tcBorders>
              <w:top w:val="single" w:sz="6" w:space="0" w:color="auto"/>
              <w:left w:val="single" w:sz="6" w:space="0" w:color="auto"/>
              <w:bottom w:val="single" w:sz="6" w:space="0" w:color="auto"/>
              <w:right w:val="single" w:sz="6" w:space="0" w:color="auto"/>
            </w:tcBorders>
          </w:tcPr>
          <w:p w14:paraId="2E09D424" w14:textId="77777777" w:rsidR="00A74CDF" w:rsidRPr="00F01347" w:rsidRDefault="00A74CDF" w:rsidP="003A601B">
            <w:pPr>
              <w:pStyle w:val="texto0"/>
              <w:spacing w:before="40" w:after="40" w:line="206" w:lineRule="exact"/>
              <w:ind w:firstLine="0"/>
              <w:jc w:val="center"/>
              <w:rPr>
                <w:rFonts w:ascii="Verdana" w:hAnsi="Verdana"/>
                <w:sz w:val="16"/>
                <w:szCs w:val="16"/>
              </w:rPr>
            </w:pPr>
            <w:r w:rsidRPr="00F01347">
              <w:rPr>
                <w:rFonts w:ascii="Verdana" w:hAnsi="Verdana"/>
                <w:color w:val="000000"/>
                <w:sz w:val="16"/>
                <w:szCs w:val="16"/>
              </w:rPr>
              <w:t>0.15</w:t>
            </w:r>
          </w:p>
        </w:tc>
        <w:tc>
          <w:tcPr>
            <w:tcW w:w="2598" w:type="dxa"/>
            <w:tcBorders>
              <w:top w:val="single" w:sz="6" w:space="0" w:color="auto"/>
              <w:left w:val="single" w:sz="6" w:space="0" w:color="auto"/>
              <w:bottom w:val="single" w:sz="6" w:space="0" w:color="auto"/>
              <w:right w:val="single" w:sz="6" w:space="0" w:color="auto"/>
            </w:tcBorders>
          </w:tcPr>
          <w:p w14:paraId="4A1C24DF"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7935AF14" w14:textId="77777777">
        <w:trPr>
          <w:trHeight w:val="20"/>
          <w:jc w:val="center"/>
        </w:trPr>
        <w:tc>
          <w:tcPr>
            <w:tcW w:w="3737" w:type="dxa"/>
            <w:tcBorders>
              <w:top w:val="single" w:sz="6" w:space="0" w:color="auto"/>
              <w:left w:val="single" w:sz="6" w:space="0" w:color="auto"/>
              <w:bottom w:val="single" w:sz="6" w:space="0" w:color="auto"/>
              <w:right w:val="single" w:sz="6" w:space="0" w:color="auto"/>
            </w:tcBorders>
          </w:tcPr>
          <w:p w14:paraId="2B75B83B"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Mercurio</w:t>
            </w:r>
          </w:p>
        </w:tc>
        <w:tc>
          <w:tcPr>
            <w:tcW w:w="2377" w:type="dxa"/>
            <w:tcBorders>
              <w:top w:val="single" w:sz="6" w:space="0" w:color="auto"/>
              <w:left w:val="single" w:sz="6" w:space="0" w:color="auto"/>
              <w:bottom w:val="single" w:sz="6" w:space="0" w:color="auto"/>
              <w:right w:val="single" w:sz="6" w:space="0" w:color="auto"/>
            </w:tcBorders>
          </w:tcPr>
          <w:p w14:paraId="5E2980E1" w14:textId="77777777" w:rsidR="00A74CDF" w:rsidRPr="00F01347" w:rsidRDefault="00A74CDF" w:rsidP="003A601B">
            <w:pPr>
              <w:pStyle w:val="texto0"/>
              <w:spacing w:before="40" w:after="40" w:line="206" w:lineRule="exact"/>
              <w:ind w:firstLine="0"/>
              <w:jc w:val="center"/>
              <w:rPr>
                <w:rFonts w:ascii="Verdana" w:hAnsi="Verdana"/>
                <w:sz w:val="16"/>
                <w:szCs w:val="16"/>
              </w:rPr>
            </w:pPr>
            <w:r w:rsidRPr="00F01347">
              <w:rPr>
                <w:rFonts w:ascii="Verdana" w:hAnsi="Verdana"/>
                <w:color w:val="000000"/>
                <w:sz w:val="16"/>
                <w:szCs w:val="16"/>
              </w:rPr>
              <w:t>0.006</w:t>
            </w:r>
          </w:p>
        </w:tc>
        <w:tc>
          <w:tcPr>
            <w:tcW w:w="2598" w:type="dxa"/>
            <w:tcBorders>
              <w:top w:val="single" w:sz="6" w:space="0" w:color="auto"/>
              <w:left w:val="single" w:sz="6" w:space="0" w:color="auto"/>
              <w:bottom w:val="single" w:sz="6" w:space="0" w:color="auto"/>
              <w:right w:val="single" w:sz="6" w:space="0" w:color="auto"/>
            </w:tcBorders>
          </w:tcPr>
          <w:p w14:paraId="79422295"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4F46F8E0" w14:textId="77777777">
        <w:trPr>
          <w:trHeight w:val="20"/>
          <w:jc w:val="center"/>
        </w:trPr>
        <w:tc>
          <w:tcPr>
            <w:tcW w:w="3737" w:type="dxa"/>
            <w:tcBorders>
              <w:top w:val="single" w:sz="6" w:space="0" w:color="auto"/>
              <w:left w:val="single" w:sz="6" w:space="0" w:color="auto"/>
              <w:bottom w:val="single" w:sz="6" w:space="0" w:color="auto"/>
              <w:right w:val="single" w:sz="6" w:space="0" w:color="auto"/>
            </w:tcBorders>
          </w:tcPr>
          <w:p w14:paraId="1B8A8356" w14:textId="77777777" w:rsidR="00A74CDF" w:rsidRPr="00F01347" w:rsidRDefault="00A74CDF" w:rsidP="003A601B">
            <w:pPr>
              <w:pStyle w:val="texto0"/>
              <w:spacing w:before="40" w:after="40" w:line="206" w:lineRule="exact"/>
              <w:ind w:firstLine="0"/>
              <w:jc w:val="center"/>
              <w:rPr>
                <w:rFonts w:ascii="Verdana" w:hAnsi="Verdana"/>
                <w:sz w:val="16"/>
                <w:szCs w:val="16"/>
              </w:rPr>
            </w:pPr>
            <w:r w:rsidRPr="00F01347">
              <w:rPr>
                <w:rFonts w:ascii="Verdana" w:hAnsi="Verdana"/>
                <w:sz w:val="16"/>
                <w:szCs w:val="16"/>
              </w:rPr>
              <w:t>Níquel</w:t>
            </w:r>
          </w:p>
        </w:tc>
        <w:tc>
          <w:tcPr>
            <w:tcW w:w="2377" w:type="dxa"/>
            <w:tcBorders>
              <w:top w:val="single" w:sz="6" w:space="0" w:color="auto"/>
              <w:left w:val="single" w:sz="6" w:space="0" w:color="auto"/>
              <w:bottom w:val="single" w:sz="6" w:space="0" w:color="auto"/>
              <w:right w:val="single" w:sz="6" w:space="0" w:color="auto"/>
            </w:tcBorders>
          </w:tcPr>
          <w:p w14:paraId="2BDD3177" w14:textId="77777777" w:rsidR="00A74CDF" w:rsidRPr="00F01347" w:rsidRDefault="00A74CDF" w:rsidP="003A601B">
            <w:pPr>
              <w:pStyle w:val="texto0"/>
              <w:spacing w:before="40" w:after="40" w:line="206" w:lineRule="exact"/>
              <w:ind w:firstLine="0"/>
              <w:jc w:val="center"/>
              <w:rPr>
                <w:rFonts w:ascii="Verdana" w:hAnsi="Verdana"/>
                <w:sz w:val="16"/>
                <w:szCs w:val="16"/>
              </w:rPr>
            </w:pPr>
            <w:r w:rsidRPr="00F01347">
              <w:rPr>
                <w:rFonts w:ascii="Verdana" w:hAnsi="Verdana"/>
                <w:sz w:val="16"/>
                <w:szCs w:val="16"/>
              </w:rPr>
              <w:t>0.07</w:t>
            </w:r>
          </w:p>
        </w:tc>
        <w:tc>
          <w:tcPr>
            <w:tcW w:w="2598" w:type="dxa"/>
            <w:tcBorders>
              <w:top w:val="single" w:sz="6" w:space="0" w:color="auto"/>
              <w:left w:val="single" w:sz="6" w:space="0" w:color="auto"/>
              <w:bottom w:val="single" w:sz="6" w:space="0" w:color="auto"/>
              <w:right w:val="single" w:sz="6" w:space="0" w:color="auto"/>
            </w:tcBorders>
          </w:tcPr>
          <w:p w14:paraId="5FBF770C" w14:textId="77777777" w:rsidR="00A74CDF" w:rsidRPr="00F01347" w:rsidRDefault="00A74CDF" w:rsidP="003A601B">
            <w:pPr>
              <w:pStyle w:val="texto0"/>
              <w:spacing w:before="40" w:after="40" w:line="206" w:lineRule="exact"/>
              <w:ind w:firstLine="0"/>
              <w:jc w:val="center"/>
              <w:rPr>
                <w:rFonts w:ascii="Verdana" w:hAnsi="Verdana"/>
                <w:sz w:val="16"/>
                <w:szCs w:val="16"/>
              </w:rPr>
            </w:pPr>
            <w:r w:rsidRPr="00F01347">
              <w:rPr>
                <w:rFonts w:ascii="Verdana" w:hAnsi="Verdana"/>
                <w:color w:val="000000"/>
                <w:sz w:val="16"/>
                <w:szCs w:val="16"/>
              </w:rPr>
              <w:t>mg/L</w:t>
            </w:r>
          </w:p>
        </w:tc>
      </w:tr>
      <w:tr w:rsidR="00A74CDF" w:rsidRPr="00F01347" w14:paraId="143A66D0" w14:textId="77777777">
        <w:trPr>
          <w:trHeight w:val="20"/>
          <w:jc w:val="center"/>
        </w:trPr>
        <w:tc>
          <w:tcPr>
            <w:tcW w:w="3737" w:type="dxa"/>
            <w:tcBorders>
              <w:top w:val="single" w:sz="6" w:space="0" w:color="auto"/>
              <w:left w:val="single" w:sz="6" w:space="0" w:color="auto"/>
              <w:bottom w:val="single" w:sz="6" w:space="0" w:color="auto"/>
              <w:right w:val="single" w:sz="6" w:space="0" w:color="auto"/>
            </w:tcBorders>
          </w:tcPr>
          <w:p w14:paraId="70C68A54"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Plomo</w:t>
            </w:r>
          </w:p>
        </w:tc>
        <w:tc>
          <w:tcPr>
            <w:tcW w:w="2377" w:type="dxa"/>
            <w:tcBorders>
              <w:top w:val="single" w:sz="6" w:space="0" w:color="auto"/>
              <w:left w:val="single" w:sz="6" w:space="0" w:color="auto"/>
              <w:bottom w:val="single" w:sz="6" w:space="0" w:color="auto"/>
              <w:right w:val="single" w:sz="6" w:space="0" w:color="auto"/>
            </w:tcBorders>
          </w:tcPr>
          <w:p w14:paraId="0BB5BA5F" w14:textId="77777777" w:rsidR="00A74CDF" w:rsidRPr="00F01347" w:rsidRDefault="00A74CDF" w:rsidP="003A601B">
            <w:pPr>
              <w:pStyle w:val="texto0"/>
              <w:spacing w:before="40" w:after="40" w:line="206" w:lineRule="exact"/>
              <w:ind w:firstLine="0"/>
              <w:jc w:val="center"/>
              <w:rPr>
                <w:rFonts w:ascii="Verdana" w:hAnsi="Verdana"/>
                <w:sz w:val="16"/>
                <w:szCs w:val="16"/>
              </w:rPr>
            </w:pPr>
            <w:r w:rsidRPr="00F01347">
              <w:rPr>
                <w:rFonts w:ascii="Verdana" w:hAnsi="Verdana"/>
                <w:color w:val="000000"/>
                <w:sz w:val="16"/>
                <w:szCs w:val="16"/>
              </w:rPr>
              <w:t>0.01</w:t>
            </w:r>
          </w:p>
        </w:tc>
        <w:tc>
          <w:tcPr>
            <w:tcW w:w="2598" w:type="dxa"/>
            <w:tcBorders>
              <w:top w:val="single" w:sz="6" w:space="0" w:color="auto"/>
              <w:left w:val="single" w:sz="6" w:space="0" w:color="auto"/>
              <w:bottom w:val="single" w:sz="6" w:space="0" w:color="auto"/>
              <w:right w:val="single" w:sz="6" w:space="0" w:color="auto"/>
            </w:tcBorders>
          </w:tcPr>
          <w:p w14:paraId="55BB79BF"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6A6E5884" w14:textId="77777777">
        <w:trPr>
          <w:trHeight w:val="20"/>
          <w:jc w:val="center"/>
        </w:trPr>
        <w:tc>
          <w:tcPr>
            <w:tcW w:w="3737" w:type="dxa"/>
            <w:tcBorders>
              <w:top w:val="single" w:sz="6" w:space="0" w:color="auto"/>
              <w:left w:val="single" w:sz="6" w:space="0" w:color="auto"/>
              <w:bottom w:val="single" w:sz="6" w:space="0" w:color="auto"/>
              <w:right w:val="single" w:sz="6" w:space="0" w:color="auto"/>
            </w:tcBorders>
          </w:tcPr>
          <w:p w14:paraId="1F86E58C"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Selenio</w:t>
            </w:r>
          </w:p>
        </w:tc>
        <w:tc>
          <w:tcPr>
            <w:tcW w:w="2377" w:type="dxa"/>
            <w:tcBorders>
              <w:top w:val="single" w:sz="6" w:space="0" w:color="auto"/>
              <w:left w:val="single" w:sz="6" w:space="0" w:color="auto"/>
              <w:bottom w:val="single" w:sz="6" w:space="0" w:color="auto"/>
              <w:right w:val="single" w:sz="6" w:space="0" w:color="auto"/>
            </w:tcBorders>
          </w:tcPr>
          <w:p w14:paraId="1520F73D" w14:textId="77777777" w:rsidR="00A74CDF" w:rsidRPr="00F01347" w:rsidRDefault="00A74CDF" w:rsidP="003A601B">
            <w:pPr>
              <w:pStyle w:val="texto0"/>
              <w:spacing w:before="40" w:after="40" w:line="206" w:lineRule="exact"/>
              <w:ind w:firstLine="0"/>
              <w:jc w:val="center"/>
              <w:rPr>
                <w:rFonts w:ascii="Verdana" w:hAnsi="Verdana"/>
                <w:sz w:val="16"/>
                <w:szCs w:val="16"/>
              </w:rPr>
            </w:pPr>
            <w:r w:rsidRPr="00F01347">
              <w:rPr>
                <w:rFonts w:ascii="Verdana" w:hAnsi="Verdana"/>
                <w:color w:val="000000"/>
                <w:sz w:val="16"/>
                <w:szCs w:val="16"/>
              </w:rPr>
              <w:t>0.04</w:t>
            </w:r>
          </w:p>
        </w:tc>
        <w:tc>
          <w:tcPr>
            <w:tcW w:w="2598" w:type="dxa"/>
            <w:tcBorders>
              <w:top w:val="single" w:sz="6" w:space="0" w:color="auto"/>
              <w:left w:val="single" w:sz="6" w:space="0" w:color="auto"/>
              <w:bottom w:val="single" w:sz="6" w:space="0" w:color="auto"/>
              <w:right w:val="single" w:sz="6" w:space="0" w:color="auto"/>
            </w:tcBorders>
          </w:tcPr>
          <w:p w14:paraId="2CB9AEA9" w14:textId="77777777" w:rsidR="00A74CDF" w:rsidRPr="00F01347" w:rsidRDefault="00A74CDF" w:rsidP="003A601B">
            <w:pPr>
              <w:pStyle w:val="texto0"/>
              <w:spacing w:before="40" w:after="40" w:line="206"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02329C9F" w14:textId="77777777">
        <w:trPr>
          <w:trHeight w:val="20"/>
          <w:jc w:val="center"/>
        </w:trPr>
        <w:tc>
          <w:tcPr>
            <w:tcW w:w="8712" w:type="dxa"/>
            <w:gridSpan w:val="3"/>
            <w:tcBorders>
              <w:top w:val="single" w:sz="6" w:space="0" w:color="auto"/>
            </w:tcBorders>
          </w:tcPr>
          <w:p w14:paraId="2646B8F7" w14:textId="77777777" w:rsidR="00A74CDF" w:rsidRPr="00F01347" w:rsidRDefault="00A74CDF" w:rsidP="003A601B">
            <w:pPr>
              <w:pStyle w:val="texto0"/>
              <w:spacing w:before="40" w:after="40" w:line="206" w:lineRule="exact"/>
              <w:ind w:firstLine="0"/>
              <w:rPr>
                <w:rFonts w:ascii="Verdana" w:hAnsi="Verdana"/>
                <w:color w:val="000000"/>
                <w:sz w:val="16"/>
                <w:szCs w:val="16"/>
              </w:rPr>
            </w:pPr>
            <w:r w:rsidRPr="00F01347">
              <w:rPr>
                <w:rFonts w:ascii="Verdana" w:hAnsi="Verdana"/>
                <w:color w:val="000000"/>
                <w:sz w:val="16"/>
                <w:szCs w:val="16"/>
              </w:rPr>
              <w:t xml:space="preserve">NOTA 1 </w:t>
            </w:r>
            <w:r w:rsidRPr="00F01347">
              <w:rPr>
                <w:rFonts w:ascii="Verdana" w:hAnsi="Verdana"/>
                <w:sz w:val="16"/>
                <w:szCs w:val="16"/>
              </w:rPr>
              <w:t>Los límites permisibles de metales y metaloides se refieren a su concentración total en el agua, la cual incluye los suspendidos y los disueltos.</w:t>
            </w:r>
          </w:p>
        </w:tc>
      </w:tr>
      <w:tr w:rsidR="00A74CDF" w:rsidRPr="00F01347" w14:paraId="600828EB" w14:textId="77777777">
        <w:trPr>
          <w:trHeight w:val="20"/>
          <w:jc w:val="center"/>
        </w:trPr>
        <w:tc>
          <w:tcPr>
            <w:tcW w:w="8712" w:type="dxa"/>
            <w:gridSpan w:val="3"/>
          </w:tcPr>
          <w:p w14:paraId="6AAF3EC6" w14:textId="77777777" w:rsidR="00A74CDF" w:rsidRPr="00F01347" w:rsidRDefault="00A74CDF" w:rsidP="003A601B">
            <w:pPr>
              <w:pStyle w:val="texto0"/>
              <w:spacing w:before="40" w:after="40" w:line="206" w:lineRule="exact"/>
              <w:ind w:firstLine="0"/>
              <w:rPr>
                <w:rFonts w:ascii="Verdana" w:hAnsi="Verdana"/>
                <w:color w:val="000000"/>
                <w:sz w:val="16"/>
                <w:szCs w:val="16"/>
              </w:rPr>
            </w:pPr>
            <w:r w:rsidRPr="00F01347">
              <w:rPr>
                <w:rFonts w:ascii="Verdana" w:hAnsi="Verdana"/>
                <w:color w:val="000000"/>
                <w:sz w:val="16"/>
                <w:szCs w:val="16"/>
                <w:vertAlign w:val="superscript"/>
              </w:rPr>
              <w:t>a</w:t>
            </w:r>
            <w:r w:rsidRPr="00F01347">
              <w:rPr>
                <w:rFonts w:ascii="Verdana" w:hAnsi="Verdana"/>
                <w:color w:val="000000"/>
                <w:sz w:val="16"/>
                <w:szCs w:val="16"/>
              </w:rPr>
              <w:t xml:space="preserve"> </w:t>
            </w:r>
            <w:r w:rsidRPr="00F01347">
              <w:rPr>
                <w:rFonts w:ascii="Verdana" w:hAnsi="Verdana"/>
                <w:sz w:val="16"/>
                <w:szCs w:val="16"/>
              </w:rPr>
              <w:t>El límite permisible para arsénico será de 0.025 mg/L para todas las localidades y se ajustará de conformidad con la tabla de cumplimiento gradual Tabla 5 de este inciso 5.4.</w:t>
            </w:r>
          </w:p>
        </w:tc>
      </w:tr>
      <w:tr w:rsidR="00A74CDF" w:rsidRPr="00F01347" w14:paraId="62429B50" w14:textId="77777777">
        <w:trPr>
          <w:trHeight w:val="20"/>
          <w:jc w:val="center"/>
        </w:trPr>
        <w:tc>
          <w:tcPr>
            <w:tcW w:w="8712" w:type="dxa"/>
            <w:gridSpan w:val="3"/>
          </w:tcPr>
          <w:p w14:paraId="34169AEF" w14:textId="77777777" w:rsidR="00A74CDF" w:rsidRPr="00F01347" w:rsidRDefault="00A74CDF" w:rsidP="003A601B">
            <w:pPr>
              <w:pStyle w:val="texto0"/>
              <w:spacing w:before="40" w:after="40" w:line="206" w:lineRule="exact"/>
              <w:ind w:firstLine="0"/>
              <w:rPr>
                <w:rFonts w:ascii="Verdana" w:hAnsi="Verdana"/>
                <w:color w:val="000000"/>
                <w:sz w:val="16"/>
                <w:szCs w:val="16"/>
              </w:rPr>
            </w:pPr>
            <w:r w:rsidRPr="00F01347">
              <w:rPr>
                <w:rFonts w:ascii="Verdana" w:hAnsi="Verdana"/>
                <w:color w:val="000000"/>
                <w:sz w:val="16"/>
                <w:szCs w:val="16"/>
                <w:vertAlign w:val="superscript"/>
              </w:rPr>
              <w:t>b</w:t>
            </w:r>
            <w:r w:rsidRPr="00F01347">
              <w:rPr>
                <w:rFonts w:ascii="Verdana" w:hAnsi="Verdana"/>
                <w:color w:val="000000"/>
                <w:sz w:val="16"/>
                <w:szCs w:val="16"/>
              </w:rPr>
              <w:t xml:space="preserve"> </w:t>
            </w:r>
            <w:r w:rsidRPr="00F01347">
              <w:rPr>
                <w:rFonts w:ascii="Verdana" w:hAnsi="Verdana"/>
                <w:sz w:val="16"/>
                <w:szCs w:val="16"/>
              </w:rPr>
              <w:t>El límite permisible para cadmio será de 0.005 mg/L para todas las localidades y se ajustará de conformidad con la tabla de cumplimiento gradual Tabla 5 de este inciso 5.4.</w:t>
            </w:r>
          </w:p>
        </w:tc>
      </w:tr>
    </w:tbl>
    <w:p w14:paraId="5708A9FC" w14:textId="77777777" w:rsidR="004E12B3" w:rsidRPr="00F01347" w:rsidRDefault="004E12B3" w:rsidP="004E12B3">
      <w:pPr>
        <w:pStyle w:val="texto0"/>
        <w:spacing w:after="80"/>
        <w:ind w:firstLine="0"/>
        <w:jc w:val="center"/>
        <w:rPr>
          <w:rFonts w:ascii="Verdana" w:hAnsi="Verdana"/>
          <w:b/>
          <w:color w:val="000000"/>
          <w:sz w:val="16"/>
          <w:szCs w:val="16"/>
          <w:lang w:val="en-US"/>
        </w:rPr>
      </w:pPr>
      <w:r w:rsidRPr="00F01347">
        <w:rPr>
          <w:rFonts w:ascii="Verdana" w:hAnsi="Verdana"/>
          <w:b/>
          <w:sz w:val="16"/>
          <w:szCs w:val="16"/>
          <w:lang w:val="en-US"/>
        </w:rPr>
        <w:t xml:space="preserve">Table 4 - </w:t>
      </w:r>
      <w:r w:rsidRPr="00F01347">
        <w:rPr>
          <w:rFonts w:ascii="Verdana" w:hAnsi="Verdana"/>
          <w:b/>
          <w:color w:val="000000"/>
          <w:sz w:val="16"/>
          <w:szCs w:val="16"/>
          <w:lang w:val="en-US"/>
        </w:rPr>
        <w:t>Sanitary specifications of metals and metalloids</w:t>
      </w:r>
    </w:p>
    <w:tbl>
      <w:tblPr>
        <w:tblW w:w="8715" w:type="dxa"/>
        <w:jc w:val="center"/>
        <w:tblLayout w:type="fixed"/>
        <w:tblCellMar>
          <w:left w:w="70" w:type="dxa"/>
          <w:right w:w="70" w:type="dxa"/>
        </w:tblCellMar>
        <w:tblLook w:val="04A0" w:firstRow="1" w:lastRow="0" w:firstColumn="1" w:lastColumn="0" w:noHBand="0" w:noVBand="1"/>
      </w:tblPr>
      <w:tblGrid>
        <w:gridCol w:w="3738"/>
        <w:gridCol w:w="2378"/>
        <w:gridCol w:w="2599"/>
      </w:tblGrid>
      <w:tr w:rsidR="004E12B3" w:rsidRPr="00F01347" w14:paraId="0CAD17CB" w14:textId="77777777" w:rsidTr="004E12B3">
        <w:trPr>
          <w:trHeight w:val="20"/>
          <w:jc w:val="center"/>
        </w:trPr>
        <w:tc>
          <w:tcPr>
            <w:tcW w:w="3737" w:type="dxa"/>
            <w:tcBorders>
              <w:top w:val="single" w:sz="6" w:space="0" w:color="auto"/>
              <w:left w:val="single" w:sz="6" w:space="0" w:color="auto"/>
              <w:bottom w:val="single" w:sz="6" w:space="0" w:color="auto"/>
              <w:right w:val="single" w:sz="6" w:space="0" w:color="auto"/>
            </w:tcBorders>
            <w:noWrap/>
            <w:hideMark/>
          </w:tcPr>
          <w:p w14:paraId="026E0EAE" w14:textId="77777777" w:rsidR="004E12B3" w:rsidRPr="00F01347" w:rsidRDefault="004E12B3">
            <w:pPr>
              <w:pStyle w:val="texto0"/>
              <w:spacing w:before="40" w:after="40" w:line="206"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Parameters</w:t>
            </w:r>
          </w:p>
        </w:tc>
        <w:tc>
          <w:tcPr>
            <w:tcW w:w="2377" w:type="dxa"/>
            <w:tcBorders>
              <w:top w:val="single" w:sz="6" w:space="0" w:color="auto"/>
              <w:left w:val="single" w:sz="6" w:space="0" w:color="auto"/>
              <w:bottom w:val="single" w:sz="6" w:space="0" w:color="auto"/>
              <w:right w:val="single" w:sz="6" w:space="0" w:color="auto"/>
            </w:tcBorders>
            <w:hideMark/>
          </w:tcPr>
          <w:p w14:paraId="5335CC6D" w14:textId="77777777" w:rsidR="004E12B3" w:rsidRPr="00F01347" w:rsidRDefault="004E12B3">
            <w:pPr>
              <w:pStyle w:val="texto0"/>
              <w:spacing w:before="40" w:after="40" w:line="206"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Permissible limit</w:t>
            </w:r>
          </w:p>
        </w:tc>
        <w:tc>
          <w:tcPr>
            <w:tcW w:w="2598" w:type="dxa"/>
            <w:tcBorders>
              <w:top w:val="single" w:sz="6" w:space="0" w:color="auto"/>
              <w:left w:val="single" w:sz="6" w:space="0" w:color="auto"/>
              <w:bottom w:val="single" w:sz="6" w:space="0" w:color="auto"/>
              <w:right w:val="single" w:sz="6" w:space="0" w:color="auto"/>
            </w:tcBorders>
            <w:hideMark/>
          </w:tcPr>
          <w:p w14:paraId="51F059AD" w14:textId="77777777" w:rsidR="004E12B3" w:rsidRPr="00F01347" w:rsidRDefault="004E12B3">
            <w:pPr>
              <w:pStyle w:val="texto0"/>
              <w:spacing w:before="40" w:after="40" w:line="206"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Units</w:t>
            </w:r>
          </w:p>
        </w:tc>
      </w:tr>
      <w:tr w:rsidR="004E12B3" w:rsidRPr="00F01347" w14:paraId="151FFA33" w14:textId="77777777" w:rsidTr="004E12B3">
        <w:trPr>
          <w:trHeight w:val="20"/>
          <w:jc w:val="center"/>
        </w:trPr>
        <w:tc>
          <w:tcPr>
            <w:tcW w:w="3737" w:type="dxa"/>
            <w:tcBorders>
              <w:top w:val="single" w:sz="6" w:space="0" w:color="auto"/>
              <w:left w:val="single" w:sz="6" w:space="0" w:color="auto"/>
              <w:bottom w:val="single" w:sz="6" w:space="0" w:color="auto"/>
              <w:right w:val="single" w:sz="6" w:space="0" w:color="auto"/>
            </w:tcBorders>
            <w:hideMark/>
          </w:tcPr>
          <w:p w14:paraId="67768755"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Aluminum</w:t>
            </w:r>
          </w:p>
        </w:tc>
        <w:tc>
          <w:tcPr>
            <w:tcW w:w="2377" w:type="dxa"/>
            <w:tcBorders>
              <w:top w:val="single" w:sz="6" w:space="0" w:color="auto"/>
              <w:left w:val="single" w:sz="6" w:space="0" w:color="auto"/>
              <w:bottom w:val="single" w:sz="6" w:space="0" w:color="auto"/>
              <w:right w:val="single" w:sz="6" w:space="0" w:color="auto"/>
            </w:tcBorders>
            <w:hideMark/>
          </w:tcPr>
          <w:p w14:paraId="4932B7BF"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0.20</w:t>
            </w:r>
          </w:p>
        </w:tc>
        <w:tc>
          <w:tcPr>
            <w:tcW w:w="2598" w:type="dxa"/>
            <w:tcBorders>
              <w:top w:val="single" w:sz="6" w:space="0" w:color="auto"/>
              <w:left w:val="single" w:sz="6" w:space="0" w:color="auto"/>
              <w:bottom w:val="single" w:sz="6" w:space="0" w:color="auto"/>
              <w:right w:val="single" w:sz="6" w:space="0" w:color="auto"/>
            </w:tcBorders>
            <w:hideMark/>
          </w:tcPr>
          <w:p w14:paraId="39BFFB7F"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4E12B3" w:rsidRPr="00F01347" w14:paraId="7397009F" w14:textId="77777777" w:rsidTr="004E12B3">
        <w:trPr>
          <w:trHeight w:val="20"/>
          <w:jc w:val="center"/>
        </w:trPr>
        <w:tc>
          <w:tcPr>
            <w:tcW w:w="3737" w:type="dxa"/>
            <w:tcBorders>
              <w:top w:val="single" w:sz="6" w:space="0" w:color="auto"/>
              <w:left w:val="single" w:sz="6" w:space="0" w:color="auto"/>
              <w:bottom w:val="single" w:sz="6" w:space="0" w:color="auto"/>
              <w:right w:val="single" w:sz="6" w:space="0" w:color="auto"/>
            </w:tcBorders>
            <w:hideMark/>
          </w:tcPr>
          <w:p w14:paraId="06CE3FD0" w14:textId="070E2CE5"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arsenic </w:t>
            </w:r>
            <w:r w:rsidR="008A640F" w:rsidRPr="00F01347">
              <w:rPr>
                <w:rFonts w:ascii="Verdana" w:hAnsi="Verdana"/>
                <w:color w:val="000000"/>
                <w:sz w:val="16"/>
                <w:szCs w:val="16"/>
                <w:vertAlign w:val="superscript"/>
                <w:lang w:val="en-US"/>
              </w:rPr>
              <w:t>a</w:t>
            </w:r>
          </w:p>
        </w:tc>
        <w:tc>
          <w:tcPr>
            <w:tcW w:w="2377" w:type="dxa"/>
            <w:tcBorders>
              <w:top w:val="single" w:sz="6" w:space="0" w:color="auto"/>
              <w:left w:val="single" w:sz="6" w:space="0" w:color="auto"/>
              <w:bottom w:val="single" w:sz="6" w:space="0" w:color="auto"/>
              <w:right w:val="single" w:sz="6" w:space="0" w:color="auto"/>
            </w:tcBorders>
            <w:hideMark/>
          </w:tcPr>
          <w:p w14:paraId="3172B467" w14:textId="77777777" w:rsidR="004E12B3" w:rsidRPr="00F01347" w:rsidRDefault="004E12B3">
            <w:pPr>
              <w:pStyle w:val="texto0"/>
              <w:spacing w:before="40" w:after="40" w:line="206" w:lineRule="exact"/>
              <w:ind w:firstLine="0"/>
              <w:jc w:val="center"/>
              <w:rPr>
                <w:rFonts w:ascii="Verdana" w:hAnsi="Verdana"/>
                <w:sz w:val="16"/>
                <w:szCs w:val="16"/>
                <w:lang w:val="en-US"/>
              </w:rPr>
            </w:pPr>
            <w:r w:rsidRPr="00F01347">
              <w:rPr>
                <w:rFonts w:ascii="Verdana" w:hAnsi="Verdana"/>
                <w:color w:val="000000"/>
                <w:sz w:val="16"/>
                <w:szCs w:val="16"/>
                <w:lang w:val="en-US"/>
              </w:rPr>
              <w:t>0.025</w:t>
            </w:r>
          </w:p>
        </w:tc>
        <w:tc>
          <w:tcPr>
            <w:tcW w:w="2598" w:type="dxa"/>
            <w:tcBorders>
              <w:top w:val="single" w:sz="6" w:space="0" w:color="auto"/>
              <w:left w:val="single" w:sz="6" w:space="0" w:color="auto"/>
              <w:bottom w:val="single" w:sz="6" w:space="0" w:color="auto"/>
              <w:right w:val="single" w:sz="6" w:space="0" w:color="auto"/>
            </w:tcBorders>
            <w:hideMark/>
          </w:tcPr>
          <w:p w14:paraId="187FA2D8"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4E12B3" w:rsidRPr="00F01347" w14:paraId="60AE69E5" w14:textId="77777777" w:rsidTr="004E12B3">
        <w:trPr>
          <w:trHeight w:val="20"/>
          <w:jc w:val="center"/>
        </w:trPr>
        <w:tc>
          <w:tcPr>
            <w:tcW w:w="3737" w:type="dxa"/>
            <w:tcBorders>
              <w:top w:val="single" w:sz="6" w:space="0" w:color="auto"/>
              <w:left w:val="single" w:sz="6" w:space="0" w:color="auto"/>
              <w:bottom w:val="single" w:sz="6" w:space="0" w:color="auto"/>
              <w:right w:val="single" w:sz="6" w:space="0" w:color="auto"/>
            </w:tcBorders>
            <w:hideMark/>
          </w:tcPr>
          <w:p w14:paraId="02FFD0E5"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Barium</w:t>
            </w:r>
          </w:p>
        </w:tc>
        <w:tc>
          <w:tcPr>
            <w:tcW w:w="2377" w:type="dxa"/>
            <w:tcBorders>
              <w:top w:val="single" w:sz="6" w:space="0" w:color="auto"/>
              <w:left w:val="single" w:sz="6" w:space="0" w:color="auto"/>
              <w:bottom w:val="single" w:sz="6" w:space="0" w:color="auto"/>
              <w:right w:val="single" w:sz="6" w:space="0" w:color="auto"/>
            </w:tcBorders>
            <w:hideMark/>
          </w:tcPr>
          <w:p w14:paraId="2AFDA1DB" w14:textId="77777777" w:rsidR="004E12B3" w:rsidRPr="00F01347" w:rsidRDefault="004E12B3">
            <w:pPr>
              <w:pStyle w:val="texto0"/>
              <w:spacing w:before="40" w:after="40" w:line="206" w:lineRule="exact"/>
              <w:ind w:firstLine="0"/>
              <w:jc w:val="center"/>
              <w:rPr>
                <w:rFonts w:ascii="Verdana" w:hAnsi="Verdana"/>
                <w:sz w:val="16"/>
                <w:szCs w:val="16"/>
                <w:lang w:val="en-US"/>
              </w:rPr>
            </w:pPr>
            <w:r w:rsidRPr="00F01347">
              <w:rPr>
                <w:rFonts w:ascii="Verdana" w:hAnsi="Verdana"/>
                <w:color w:val="000000"/>
                <w:sz w:val="16"/>
                <w:szCs w:val="16"/>
                <w:lang w:val="en-US"/>
              </w:rPr>
              <w:t>1.3</w:t>
            </w:r>
          </w:p>
        </w:tc>
        <w:tc>
          <w:tcPr>
            <w:tcW w:w="2598" w:type="dxa"/>
            <w:tcBorders>
              <w:top w:val="single" w:sz="6" w:space="0" w:color="auto"/>
              <w:left w:val="single" w:sz="6" w:space="0" w:color="auto"/>
              <w:bottom w:val="single" w:sz="6" w:space="0" w:color="auto"/>
              <w:right w:val="single" w:sz="6" w:space="0" w:color="auto"/>
            </w:tcBorders>
            <w:hideMark/>
          </w:tcPr>
          <w:p w14:paraId="5F371F08"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4E12B3" w:rsidRPr="00F01347" w14:paraId="795EDE69" w14:textId="77777777" w:rsidTr="004E12B3">
        <w:trPr>
          <w:trHeight w:val="20"/>
          <w:jc w:val="center"/>
        </w:trPr>
        <w:tc>
          <w:tcPr>
            <w:tcW w:w="3737" w:type="dxa"/>
            <w:tcBorders>
              <w:top w:val="single" w:sz="6" w:space="0" w:color="auto"/>
              <w:left w:val="single" w:sz="6" w:space="0" w:color="auto"/>
              <w:bottom w:val="single" w:sz="6" w:space="0" w:color="auto"/>
              <w:right w:val="single" w:sz="6" w:space="0" w:color="auto"/>
            </w:tcBorders>
            <w:hideMark/>
          </w:tcPr>
          <w:p w14:paraId="1E2156ED"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Cadmium </w:t>
            </w:r>
            <w:r w:rsidRPr="00F01347">
              <w:rPr>
                <w:rFonts w:ascii="Verdana" w:hAnsi="Verdana"/>
                <w:color w:val="000000"/>
                <w:sz w:val="16"/>
                <w:szCs w:val="16"/>
                <w:vertAlign w:val="superscript"/>
                <w:lang w:val="en-US"/>
              </w:rPr>
              <w:t>b</w:t>
            </w:r>
          </w:p>
        </w:tc>
        <w:tc>
          <w:tcPr>
            <w:tcW w:w="2377" w:type="dxa"/>
            <w:tcBorders>
              <w:top w:val="single" w:sz="6" w:space="0" w:color="auto"/>
              <w:left w:val="single" w:sz="6" w:space="0" w:color="auto"/>
              <w:bottom w:val="single" w:sz="6" w:space="0" w:color="auto"/>
              <w:right w:val="single" w:sz="6" w:space="0" w:color="auto"/>
            </w:tcBorders>
            <w:hideMark/>
          </w:tcPr>
          <w:p w14:paraId="001088AF" w14:textId="77777777" w:rsidR="004E12B3" w:rsidRPr="00F01347" w:rsidRDefault="004E12B3">
            <w:pPr>
              <w:pStyle w:val="texto0"/>
              <w:spacing w:before="40" w:after="40" w:line="206" w:lineRule="exact"/>
              <w:ind w:firstLine="0"/>
              <w:jc w:val="center"/>
              <w:rPr>
                <w:rFonts w:ascii="Verdana" w:hAnsi="Verdana"/>
                <w:sz w:val="16"/>
                <w:szCs w:val="16"/>
                <w:lang w:val="en-US"/>
              </w:rPr>
            </w:pPr>
            <w:r w:rsidRPr="00F01347">
              <w:rPr>
                <w:rFonts w:ascii="Verdana" w:hAnsi="Verdana"/>
                <w:color w:val="000000"/>
                <w:sz w:val="16"/>
                <w:szCs w:val="16"/>
                <w:lang w:val="en-US"/>
              </w:rPr>
              <w:t>0.005</w:t>
            </w:r>
          </w:p>
        </w:tc>
        <w:tc>
          <w:tcPr>
            <w:tcW w:w="2598" w:type="dxa"/>
            <w:tcBorders>
              <w:top w:val="single" w:sz="6" w:space="0" w:color="auto"/>
              <w:left w:val="single" w:sz="6" w:space="0" w:color="auto"/>
              <w:bottom w:val="single" w:sz="6" w:space="0" w:color="auto"/>
              <w:right w:val="single" w:sz="6" w:space="0" w:color="auto"/>
            </w:tcBorders>
            <w:hideMark/>
          </w:tcPr>
          <w:p w14:paraId="15585919"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4E12B3" w:rsidRPr="00F01347" w14:paraId="1A0FAD41" w14:textId="77777777" w:rsidTr="004E12B3">
        <w:trPr>
          <w:trHeight w:val="20"/>
          <w:jc w:val="center"/>
        </w:trPr>
        <w:tc>
          <w:tcPr>
            <w:tcW w:w="3737" w:type="dxa"/>
            <w:tcBorders>
              <w:top w:val="single" w:sz="6" w:space="0" w:color="auto"/>
              <w:left w:val="single" w:sz="6" w:space="0" w:color="auto"/>
              <w:bottom w:val="single" w:sz="6" w:space="0" w:color="auto"/>
              <w:right w:val="single" w:sz="6" w:space="0" w:color="auto"/>
            </w:tcBorders>
            <w:hideMark/>
          </w:tcPr>
          <w:p w14:paraId="478750D5"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Copper</w:t>
            </w:r>
          </w:p>
        </w:tc>
        <w:tc>
          <w:tcPr>
            <w:tcW w:w="2377" w:type="dxa"/>
            <w:tcBorders>
              <w:top w:val="single" w:sz="6" w:space="0" w:color="auto"/>
              <w:left w:val="single" w:sz="6" w:space="0" w:color="auto"/>
              <w:bottom w:val="single" w:sz="6" w:space="0" w:color="auto"/>
              <w:right w:val="single" w:sz="6" w:space="0" w:color="auto"/>
            </w:tcBorders>
            <w:hideMark/>
          </w:tcPr>
          <w:p w14:paraId="2D34D85E" w14:textId="77777777" w:rsidR="004E12B3" w:rsidRPr="00F01347" w:rsidRDefault="004E12B3">
            <w:pPr>
              <w:pStyle w:val="texto0"/>
              <w:spacing w:before="40" w:after="40" w:line="206" w:lineRule="exact"/>
              <w:ind w:firstLine="0"/>
              <w:jc w:val="center"/>
              <w:rPr>
                <w:rFonts w:ascii="Verdana" w:hAnsi="Verdana"/>
                <w:sz w:val="16"/>
                <w:szCs w:val="16"/>
                <w:lang w:val="en-US"/>
              </w:rPr>
            </w:pPr>
            <w:r w:rsidRPr="00F01347">
              <w:rPr>
                <w:rFonts w:ascii="Verdana" w:hAnsi="Verdana"/>
                <w:color w:val="000000"/>
                <w:sz w:val="16"/>
                <w:szCs w:val="16"/>
                <w:lang w:val="en-US"/>
              </w:rPr>
              <w:t>2.00</w:t>
            </w:r>
          </w:p>
        </w:tc>
        <w:tc>
          <w:tcPr>
            <w:tcW w:w="2598" w:type="dxa"/>
            <w:tcBorders>
              <w:top w:val="single" w:sz="6" w:space="0" w:color="auto"/>
              <w:left w:val="single" w:sz="6" w:space="0" w:color="auto"/>
              <w:bottom w:val="single" w:sz="6" w:space="0" w:color="auto"/>
              <w:right w:val="single" w:sz="6" w:space="0" w:color="auto"/>
            </w:tcBorders>
            <w:hideMark/>
          </w:tcPr>
          <w:p w14:paraId="5F5D5195"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4E12B3" w:rsidRPr="00F01347" w14:paraId="1AB8E134" w14:textId="77777777" w:rsidTr="004E12B3">
        <w:trPr>
          <w:trHeight w:val="20"/>
          <w:jc w:val="center"/>
        </w:trPr>
        <w:tc>
          <w:tcPr>
            <w:tcW w:w="3737" w:type="dxa"/>
            <w:tcBorders>
              <w:top w:val="single" w:sz="6" w:space="0" w:color="auto"/>
              <w:left w:val="single" w:sz="6" w:space="0" w:color="auto"/>
              <w:bottom w:val="single" w:sz="6" w:space="0" w:color="auto"/>
              <w:right w:val="single" w:sz="6" w:space="0" w:color="auto"/>
            </w:tcBorders>
            <w:hideMark/>
          </w:tcPr>
          <w:p w14:paraId="66764E35"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Full chrome</w:t>
            </w:r>
          </w:p>
        </w:tc>
        <w:tc>
          <w:tcPr>
            <w:tcW w:w="2377" w:type="dxa"/>
            <w:tcBorders>
              <w:top w:val="single" w:sz="6" w:space="0" w:color="auto"/>
              <w:left w:val="single" w:sz="6" w:space="0" w:color="auto"/>
              <w:bottom w:val="single" w:sz="6" w:space="0" w:color="auto"/>
              <w:right w:val="single" w:sz="6" w:space="0" w:color="auto"/>
            </w:tcBorders>
            <w:hideMark/>
          </w:tcPr>
          <w:p w14:paraId="63A33EEA" w14:textId="77777777" w:rsidR="004E12B3" w:rsidRPr="00F01347" w:rsidRDefault="004E12B3">
            <w:pPr>
              <w:pStyle w:val="texto0"/>
              <w:spacing w:before="40" w:after="40" w:line="206" w:lineRule="exact"/>
              <w:ind w:firstLine="0"/>
              <w:jc w:val="center"/>
              <w:rPr>
                <w:rFonts w:ascii="Verdana" w:hAnsi="Verdana"/>
                <w:sz w:val="16"/>
                <w:szCs w:val="16"/>
                <w:lang w:val="en-US"/>
              </w:rPr>
            </w:pPr>
            <w:r w:rsidRPr="00F01347">
              <w:rPr>
                <w:rFonts w:ascii="Verdana" w:hAnsi="Verdana"/>
                <w:color w:val="000000"/>
                <w:sz w:val="16"/>
                <w:szCs w:val="16"/>
                <w:lang w:val="en-US"/>
              </w:rPr>
              <w:t>0.05</w:t>
            </w:r>
          </w:p>
        </w:tc>
        <w:tc>
          <w:tcPr>
            <w:tcW w:w="2598" w:type="dxa"/>
            <w:tcBorders>
              <w:top w:val="single" w:sz="6" w:space="0" w:color="auto"/>
              <w:left w:val="single" w:sz="6" w:space="0" w:color="auto"/>
              <w:bottom w:val="single" w:sz="6" w:space="0" w:color="auto"/>
              <w:right w:val="single" w:sz="6" w:space="0" w:color="auto"/>
            </w:tcBorders>
            <w:hideMark/>
          </w:tcPr>
          <w:p w14:paraId="08B173EC"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4E12B3" w:rsidRPr="00F01347" w14:paraId="1D5F8111" w14:textId="77777777" w:rsidTr="004E12B3">
        <w:trPr>
          <w:trHeight w:val="20"/>
          <w:jc w:val="center"/>
        </w:trPr>
        <w:tc>
          <w:tcPr>
            <w:tcW w:w="3737" w:type="dxa"/>
            <w:tcBorders>
              <w:top w:val="single" w:sz="6" w:space="0" w:color="auto"/>
              <w:left w:val="single" w:sz="6" w:space="0" w:color="auto"/>
              <w:bottom w:val="single" w:sz="6" w:space="0" w:color="auto"/>
              <w:right w:val="single" w:sz="6" w:space="0" w:color="auto"/>
            </w:tcBorders>
            <w:hideMark/>
          </w:tcPr>
          <w:p w14:paraId="41A451C5"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Iron</w:t>
            </w:r>
          </w:p>
        </w:tc>
        <w:tc>
          <w:tcPr>
            <w:tcW w:w="2377" w:type="dxa"/>
            <w:tcBorders>
              <w:top w:val="single" w:sz="6" w:space="0" w:color="auto"/>
              <w:left w:val="single" w:sz="6" w:space="0" w:color="auto"/>
              <w:bottom w:val="single" w:sz="6" w:space="0" w:color="auto"/>
              <w:right w:val="single" w:sz="6" w:space="0" w:color="auto"/>
            </w:tcBorders>
            <w:hideMark/>
          </w:tcPr>
          <w:p w14:paraId="57E1D027" w14:textId="77777777" w:rsidR="004E12B3" w:rsidRPr="00F01347" w:rsidRDefault="004E12B3">
            <w:pPr>
              <w:pStyle w:val="texto0"/>
              <w:spacing w:before="40" w:after="40" w:line="206" w:lineRule="exact"/>
              <w:ind w:firstLine="0"/>
              <w:jc w:val="center"/>
              <w:rPr>
                <w:rFonts w:ascii="Verdana" w:hAnsi="Verdana"/>
                <w:sz w:val="16"/>
                <w:szCs w:val="16"/>
                <w:lang w:val="en-US"/>
              </w:rPr>
            </w:pPr>
            <w:r w:rsidRPr="00F01347">
              <w:rPr>
                <w:rFonts w:ascii="Verdana" w:hAnsi="Verdana"/>
                <w:color w:val="000000"/>
                <w:sz w:val="16"/>
                <w:szCs w:val="16"/>
                <w:lang w:val="en-US"/>
              </w:rPr>
              <w:t>0.30</w:t>
            </w:r>
          </w:p>
        </w:tc>
        <w:tc>
          <w:tcPr>
            <w:tcW w:w="2598" w:type="dxa"/>
            <w:tcBorders>
              <w:top w:val="single" w:sz="6" w:space="0" w:color="auto"/>
              <w:left w:val="single" w:sz="6" w:space="0" w:color="auto"/>
              <w:bottom w:val="single" w:sz="6" w:space="0" w:color="auto"/>
              <w:right w:val="single" w:sz="6" w:space="0" w:color="auto"/>
            </w:tcBorders>
            <w:hideMark/>
          </w:tcPr>
          <w:p w14:paraId="0CFB3CFE"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4E12B3" w:rsidRPr="00F01347" w14:paraId="530CE5FF" w14:textId="77777777" w:rsidTr="004E12B3">
        <w:trPr>
          <w:trHeight w:val="20"/>
          <w:jc w:val="center"/>
        </w:trPr>
        <w:tc>
          <w:tcPr>
            <w:tcW w:w="3737" w:type="dxa"/>
            <w:tcBorders>
              <w:top w:val="single" w:sz="6" w:space="0" w:color="auto"/>
              <w:left w:val="single" w:sz="6" w:space="0" w:color="auto"/>
              <w:bottom w:val="single" w:sz="6" w:space="0" w:color="auto"/>
              <w:right w:val="single" w:sz="6" w:space="0" w:color="auto"/>
            </w:tcBorders>
            <w:hideMark/>
          </w:tcPr>
          <w:p w14:paraId="73E723C4"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Manganese</w:t>
            </w:r>
          </w:p>
        </w:tc>
        <w:tc>
          <w:tcPr>
            <w:tcW w:w="2377" w:type="dxa"/>
            <w:tcBorders>
              <w:top w:val="single" w:sz="6" w:space="0" w:color="auto"/>
              <w:left w:val="single" w:sz="6" w:space="0" w:color="auto"/>
              <w:bottom w:val="single" w:sz="6" w:space="0" w:color="auto"/>
              <w:right w:val="single" w:sz="6" w:space="0" w:color="auto"/>
            </w:tcBorders>
            <w:hideMark/>
          </w:tcPr>
          <w:p w14:paraId="0554180F" w14:textId="77777777" w:rsidR="004E12B3" w:rsidRPr="00F01347" w:rsidRDefault="004E12B3">
            <w:pPr>
              <w:pStyle w:val="texto0"/>
              <w:spacing w:before="40" w:after="40" w:line="206" w:lineRule="exact"/>
              <w:ind w:firstLine="0"/>
              <w:jc w:val="center"/>
              <w:rPr>
                <w:rFonts w:ascii="Verdana" w:hAnsi="Verdana"/>
                <w:sz w:val="16"/>
                <w:szCs w:val="16"/>
                <w:lang w:val="en-US"/>
              </w:rPr>
            </w:pPr>
            <w:r w:rsidRPr="00F01347">
              <w:rPr>
                <w:rFonts w:ascii="Verdana" w:hAnsi="Verdana"/>
                <w:color w:val="000000"/>
                <w:sz w:val="16"/>
                <w:szCs w:val="16"/>
                <w:lang w:val="en-US"/>
              </w:rPr>
              <w:t>0.15</w:t>
            </w:r>
          </w:p>
        </w:tc>
        <w:tc>
          <w:tcPr>
            <w:tcW w:w="2598" w:type="dxa"/>
            <w:tcBorders>
              <w:top w:val="single" w:sz="6" w:space="0" w:color="auto"/>
              <w:left w:val="single" w:sz="6" w:space="0" w:color="auto"/>
              <w:bottom w:val="single" w:sz="6" w:space="0" w:color="auto"/>
              <w:right w:val="single" w:sz="6" w:space="0" w:color="auto"/>
            </w:tcBorders>
            <w:hideMark/>
          </w:tcPr>
          <w:p w14:paraId="062BA2B0"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4E12B3" w:rsidRPr="00F01347" w14:paraId="63747EB4" w14:textId="77777777" w:rsidTr="004E12B3">
        <w:trPr>
          <w:trHeight w:val="20"/>
          <w:jc w:val="center"/>
        </w:trPr>
        <w:tc>
          <w:tcPr>
            <w:tcW w:w="3737" w:type="dxa"/>
            <w:tcBorders>
              <w:top w:val="single" w:sz="6" w:space="0" w:color="auto"/>
              <w:left w:val="single" w:sz="6" w:space="0" w:color="auto"/>
              <w:bottom w:val="single" w:sz="6" w:space="0" w:color="auto"/>
              <w:right w:val="single" w:sz="6" w:space="0" w:color="auto"/>
            </w:tcBorders>
            <w:hideMark/>
          </w:tcPr>
          <w:p w14:paraId="30E039FC"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Mercury</w:t>
            </w:r>
          </w:p>
        </w:tc>
        <w:tc>
          <w:tcPr>
            <w:tcW w:w="2377" w:type="dxa"/>
            <w:tcBorders>
              <w:top w:val="single" w:sz="6" w:space="0" w:color="auto"/>
              <w:left w:val="single" w:sz="6" w:space="0" w:color="auto"/>
              <w:bottom w:val="single" w:sz="6" w:space="0" w:color="auto"/>
              <w:right w:val="single" w:sz="6" w:space="0" w:color="auto"/>
            </w:tcBorders>
            <w:hideMark/>
          </w:tcPr>
          <w:p w14:paraId="251D43ED" w14:textId="77777777" w:rsidR="004E12B3" w:rsidRPr="00F01347" w:rsidRDefault="004E12B3">
            <w:pPr>
              <w:pStyle w:val="texto0"/>
              <w:spacing w:before="40" w:after="40" w:line="206" w:lineRule="exact"/>
              <w:ind w:firstLine="0"/>
              <w:jc w:val="center"/>
              <w:rPr>
                <w:rFonts w:ascii="Verdana" w:hAnsi="Verdana"/>
                <w:sz w:val="16"/>
                <w:szCs w:val="16"/>
                <w:lang w:val="en-US"/>
              </w:rPr>
            </w:pPr>
            <w:r w:rsidRPr="00F01347">
              <w:rPr>
                <w:rFonts w:ascii="Verdana" w:hAnsi="Verdana"/>
                <w:color w:val="000000"/>
                <w:sz w:val="16"/>
                <w:szCs w:val="16"/>
                <w:lang w:val="en-US"/>
              </w:rPr>
              <w:t>0.006</w:t>
            </w:r>
          </w:p>
        </w:tc>
        <w:tc>
          <w:tcPr>
            <w:tcW w:w="2598" w:type="dxa"/>
            <w:tcBorders>
              <w:top w:val="single" w:sz="6" w:space="0" w:color="auto"/>
              <w:left w:val="single" w:sz="6" w:space="0" w:color="auto"/>
              <w:bottom w:val="single" w:sz="6" w:space="0" w:color="auto"/>
              <w:right w:val="single" w:sz="6" w:space="0" w:color="auto"/>
            </w:tcBorders>
            <w:hideMark/>
          </w:tcPr>
          <w:p w14:paraId="6EC3AA98"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4E12B3" w:rsidRPr="00F01347" w14:paraId="056AA61C" w14:textId="77777777" w:rsidTr="004E12B3">
        <w:trPr>
          <w:trHeight w:val="20"/>
          <w:jc w:val="center"/>
        </w:trPr>
        <w:tc>
          <w:tcPr>
            <w:tcW w:w="3737" w:type="dxa"/>
            <w:tcBorders>
              <w:top w:val="single" w:sz="6" w:space="0" w:color="auto"/>
              <w:left w:val="single" w:sz="6" w:space="0" w:color="auto"/>
              <w:bottom w:val="single" w:sz="6" w:space="0" w:color="auto"/>
              <w:right w:val="single" w:sz="6" w:space="0" w:color="auto"/>
            </w:tcBorders>
            <w:hideMark/>
          </w:tcPr>
          <w:p w14:paraId="072DB867" w14:textId="77777777" w:rsidR="004E12B3" w:rsidRPr="00F01347" w:rsidRDefault="004E12B3">
            <w:pPr>
              <w:pStyle w:val="texto0"/>
              <w:spacing w:before="40" w:after="40" w:line="206" w:lineRule="exact"/>
              <w:ind w:firstLine="0"/>
              <w:jc w:val="center"/>
              <w:rPr>
                <w:rFonts w:ascii="Verdana" w:hAnsi="Verdana"/>
                <w:sz w:val="16"/>
                <w:szCs w:val="16"/>
                <w:lang w:val="en-US"/>
              </w:rPr>
            </w:pPr>
            <w:r w:rsidRPr="00F01347">
              <w:rPr>
                <w:rFonts w:ascii="Verdana" w:hAnsi="Verdana"/>
                <w:sz w:val="16"/>
                <w:szCs w:val="16"/>
                <w:lang w:val="en-US"/>
              </w:rPr>
              <w:t>Nickel</w:t>
            </w:r>
          </w:p>
        </w:tc>
        <w:tc>
          <w:tcPr>
            <w:tcW w:w="2377" w:type="dxa"/>
            <w:tcBorders>
              <w:top w:val="single" w:sz="6" w:space="0" w:color="auto"/>
              <w:left w:val="single" w:sz="6" w:space="0" w:color="auto"/>
              <w:bottom w:val="single" w:sz="6" w:space="0" w:color="auto"/>
              <w:right w:val="single" w:sz="6" w:space="0" w:color="auto"/>
            </w:tcBorders>
            <w:hideMark/>
          </w:tcPr>
          <w:p w14:paraId="0008084F" w14:textId="77777777" w:rsidR="004E12B3" w:rsidRPr="00F01347" w:rsidRDefault="004E12B3">
            <w:pPr>
              <w:pStyle w:val="texto0"/>
              <w:spacing w:before="40" w:after="40" w:line="206" w:lineRule="exact"/>
              <w:ind w:firstLine="0"/>
              <w:jc w:val="center"/>
              <w:rPr>
                <w:rFonts w:ascii="Verdana" w:hAnsi="Verdana"/>
                <w:sz w:val="16"/>
                <w:szCs w:val="16"/>
                <w:lang w:val="en-US"/>
              </w:rPr>
            </w:pPr>
            <w:r w:rsidRPr="00F01347">
              <w:rPr>
                <w:rFonts w:ascii="Verdana" w:hAnsi="Verdana"/>
                <w:sz w:val="16"/>
                <w:szCs w:val="16"/>
                <w:lang w:val="en-US"/>
              </w:rPr>
              <w:t>0.07</w:t>
            </w:r>
          </w:p>
        </w:tc>
        <w:tc>
          <w:tcPr>
            <w:tcW w:w="2598" w:type="dxa"/>
            <w:tcBorders>
              <w:top w:val="single" w:sz="6" w:space="0" w:color="auto"/>
              <w:left w:val="single" w:sz="6" w:space="0" w:color="auto"/>
              <w:bottom w:val="single" w:sz="6" w:space="0" w:color="auto"/>
              <w:right w:val="single" w:sz="6" w:space="0" w:color="auto"/>
            </w:tcBorders>
            <w:hideMark/>
          </w:tcPr>
          <w:p w14:paraId="4F337DB7" w14:textId="77777777" w:rsidR="004E12B3" w:rsidRPr="00F01347" w:rsidRDefault="004E12B3">
            <w:pPr>
              <w:pStyle w:val="texto0"/>
              <w:spacing w:before="40" w:after="40" w:line="206" w:lineRule="exact"/>
              <w:ind w:firstLine="0"/>
              <w:jc w:val="center"/>
              <w:rPr>
                <w:rFonts w:ascii="Verdana" w:hAnsi="Verdana"/>
                <w:sz w:val="16"/>
                <w:szCs w:val="16"/>
                <w:lang w:val="en-US"/>
              </w:rPr>
            </w:pPr>
            <w:r w:rsidRPr="00F01347">
              <w:rPr>
                <w:rFonts w:ascii="Verdana" w:hAnsi="Verdana"/>
                <w:color w:val="000000"/>
                <w:sz w:val="16"/>
                <w:szCs w:val="16"/>
                <w:lang w:val="en-US"/>
              </w:rPr>
              <w:t>mg/L</w:t>
            </w:r>
          </w:p>
        </w:tc>
      </w:tr>
      <w:tr w:rsidR="004E12B3" w:rsidRPr="00F01347" w14:paraId="6530F929" w14:textId="77777777" w:rsidTr="004E12B3">
        <w:trPr>
          <w:trHeight w:val="20"/>
          <w:jc w:val="center"/>
        </w:trPr>
        <w:tc>
          <w:tcPr>
            <w:tcW w:w="3737" w:type="dxa"/>
            <w:tcBorders>
              <w:top w:val="single" w:sz="6" w:space="0" w:color="auto"/>
              <w:left w:val="single" w:sz="6" w:space="0" w:color="auto"/>
              <w:bottom w:val="single" w:sz="6" w:space="0" w:color="auto"/>
              <w:right w:val="single" w:sz="6" w:space="0" w:color="auto"/>
            </w:tcBorders>
            <w:hideMark/>
          </w:tcPr>
          <w:p w14:paraId="67732C01"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Lead</w:t>
            </w:r>
          </w:p>
        </w:tc>
        <w:tc>
          <w:tcPr>
            <w:tcW w:w="2377" w:type="dxa"/>
            <w:tcBorders>
              <w:top w:val="single" w:sz="6" w:space="0" w:color="auto"/>
              <w:left w:val="single" w:sz="6" w:space="0" w:color="auto"/>
              <w:bottom w:val="single" w:sz="6" w:space="0" w:color="auto"/>
              <w:right w:val="single" w:sz="6" w:space="0" w:color="auto"/>
            </w:tcBorders>
            <w:hideMark/>
          </w:tcPr>
          <w:p w14:paraId="486C062B" w14:textId="77777777" w:rsidR="004E12B3" w:rsidRPr="00F01347" w:rsidRDefault="004E12B3">
            <w:pPr>
              <w:pStyle w:val="texto0"/>
              <w:spacing w:before="40" w:after="40" w:line="206" w:lineRule="exact"/>
              <w:ind w:firstLine="0"/>
              <w:jc w:val="center"/>
              <w:rPr>
                <w:rFonts w:ascii="Verdana" w:hAnsi="Verdana"/>
                <w:sz w:val="16"/>
                <w:szCs w:val="16"/>
                <w:lang w:val="en-US"/>
              </w:rPr>
            </w:pPr>
            <w:r w:rsidRPr="00F01347">
              <w:rPr>
                <w:rFonts w:ascii="Verdana" w:hAnsi="Verdana"/>
                <w:color w:val="000000"/>
                <w:sz w:val="16"/>
                <w:szCs w:val="16"/>
                <w:lang w:val="en-US"/>
              </w:rPr>
              <w:t>0.01</w:t>
            </w:r>
          </w:p>
        </w:tc>
        <w:tc>
          <w:tcPr>
            <w:tcW w:w="2598" w:type="dxa"/>
            <w:tcBorders>
              <w:top w:val="single" w:sz="6" w:space="0" w:color="auto"/>
              <w:left w:val="single" w:sz="6" w:space="0" w:color="auto"/>
              <w:bottom w:val="single" w:sz="6" w:space="0" w:color="auto"/>
              <w:right w:val="single" w:sz="6" w:space="0" w:color="auto"/>
            </w:tcBorders>
            <w:hideMark/>
          </w:tcPr>
          <w:p w14:paraId="7335775C"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4E12B3" w:rsidRPr="00F01347" w14:paraId="6AAD5E45" w14:textId="77777777" w:rsidTr="004E12B3">
        <w:trPr>
          <w:trHeight w:val="20"/>
          <w:jc w:val="center"/>
        </w:trPr>
        <w:tc>
          <w:tcPr>
            <w:tcW w:w="3737" w:type="dxa"/>
            <w:tcBorders>
              <w:top w:val="single" w:sz="6" w:space="0" w:color="auto"/>
              <w:left w:val="single" w:sz="6" w:space="0" w:color="auto"/>
              <w:bottom w:val="single" w:sz="6" w:space="0" w:color="auto"/>
              <w:right w:val="single" w:sz="6" w:space="0" w:color="auto"/>
            </w:tcBorders>
            <w:hideMark/>
          </w:tcPr>
          <w:p w14:paraId="22D373BC"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Selenium</w:t>
            </w:r>
          </w:p>
        </w:tc>
        <w:tc>
          <w:tcPr>
            <w:tcW w:w="2377" w:type="dxa"/>
            <w:tcBorders>
              <w:top w:val="single" w:sz="6" w:space="0" w:color="auto"/>
              <w:left w:val="single" w:sz="6" w:space="0" w:color="auto"/>
              <w:bottom w:val="single" w:sz="6" w:space="0" w:color="auto"/>
              <w:right w:val="single" w:sz="6" w:space="0" w:color="auto"/>
            </w:tcBorders>
            <w:hideMark/>
          </w:tcPr>
          <w:p w14:paraId="250BC4F8" w14:textId="77777777" w:rsidR="004E12B3" w:rsidRPr="00F01347" w:rsidRDefault="004E12B3">
            <w:pPr>
              <w:pStyle w:val="texto0"/>
              <w:spacing w:before="40" w:after="40" w:line="206" w:lineRule="exact"/>
              <w:ind w:firstLine="0"/>
              <w:jc w:val="center"/>
              <w:rPr>
                <w:rFonts w:ascii="Verdana" w:hAnsi="Verdana"/>
                <w:sz w:val="16"/>
                <w:szCs w:val="16"/>
                <w:lang w:val="en-US"/>
              </w:rPr>
            </w:pPr>
            <w:r w:rsidRPr="00F01347">
              <w:rPr>
                <w:rFonts w:ascii="Verdana" w:hAnsi="Verdana"/>
                <w:color w:val="000000"/>
                <w:sz w:val="16"/>
                <w:szCs w:val="16"/>
                <w:lang w:val="en-US"/>
              </w:rPr>
              <w:t>0.04</w:t>
            </w:r>
          </w:p>
        </w:tc>
        <w:tc>
          <w:tcPr>
            <w:tcW w:w="2598" w:type="dxa"/>
            <w:tcBorders>
              <w:top w:val="single" w:sz="6" w:space="0" w:color="auto"/>
              <w:left w:val="single" w:sz="6" w:space="0" w:color="auto"/>
              <w:bottom w:val="single" w:sz="6" w:space="0" w:color="auto"/>
              <w:right w:val="single" w:sz="6" w:space="0" w:color="auto"/>
            </w:tcBorders>
            <w:hideMark/>
          </w:tcPr>
          <w:p w14:paraId="4F90377C" w14:textId="77777777" w:rsidR="004E12B3" w:rsidRPr="00F01347" w:rsidRDefault="004E12B3">
            <w:pPr>
              <w:pStyle w:val="texto0"/>
              <w:spacing w:before="40" w:after="40" w:line="20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4E12B3" w:rsidRPr="00F01347" w14:paraId="49E42A0D" w14:textId="77777777" w:rsidTr="004E12B3">
        <w:trPr>
          <w:trHeight w:val="20"/>
          <w:jc w:val="center"/>
        </w:trPr>
        <w:tc>
          <w:tcPr>
            <w:tcW w:w="8712" w:type="dxa"/>
            <w:gridSpan w:val="3"/>
            <w:tcBorders>
              <w:top w:val="single" w:sz="6" w:space="0" w:color="auto"/>
              <w:left w:val="nil"/>
              <w:bottom w:val="nil"/>
              <w:right w:val="nil"/>
            </w:tcBorders>
            <w:hideMark/>
          </w:tcPr>
          <w:p w14:paraId="18066F2F" w14:textId="77777777" w:rsidR="004E12B3" w:rsidRPr="00F01347" w:rsidRDefault="004E12B3">
            <w:pPr>
              <w:pStyle w:val="texto0"/>
              <w:spacing w:before="40" w:after="40" w:line="206"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NOTE 1 </w:t>
            </w:r>
            <w:r w:rsidRPr="00F01347">
              <w:rPr>
                <w:rFonts w:ascii="Verdana" w:hAnsi="Verdana"/>
                <w:sz w:val="16"/>
                <w:szCs w:val="16"/>
                <w:lang w:val="en-US"/>
              </w:rPr>
              <w:t>The permissible limits of metals and metalloids refer to their total concentration in water, which includes those suspended and dissolved.</w:t>
            </w:r>
          </w:p>
        </w:tc>
      </w:tr>
      <w:tr w:rsidR="004E12B3" w:rsidRPr="00F01347" w14:paraId="6FFFAFD3" w14:textId="77777777" w:rsidTr="004E12B3">
        <w:trPr>
          <w:trHeight w:val="20"/>
          <w:jc w:val="center"/>
        </w:trPr>
        <w:tc>
          <w:tcPr>
            <w:tcW w:w="8712" w:type="dxa"/>
            <w:gridSpan w:val="3"/>
            <w:hideMark/>
          </w:tcPr>
          <w:p w14:paraId="512E159B" w14:textId="4D02ECB6" w:rsidR="004E12B3" w:rsidRPr="00F01347" w:rsidRDefault="001733A9">
            <w:pPr>
              <w:pStyle w:val="texto0"/>
              <w:spacing w:before="40" w:after="40" w:line="206" w:lineRule="exact"/>
              <w:ind w:firstLine="0"/>
              <w:rPr>
                <w:rFonts w:ascii="Verdana" w:hAnsi="Verdana"/>
                <w:color w:val="000000"/>
                <w:sz w:val="16"/>
                <w:szCs w:val="16"/>
                <w:lang w:val="en-US"/>
              </w:rPr>
            </w:pPr>
            <w:proofErr w:type="spellStart"/>
            <w:r w:rsidRPr="00F01347">
              <w:rPr>
                <w:rFonts w:ascii="Verdana" w:hAnsi="Verdana"/>
                <w:color w:val="000000"/>
                <w:sz w:val="16"/>
                <w:szCs w:val="16"/>
                <w:vertAlign w:val="superscript"/>
                <w:lang w:val="en-US"/>
              </w:rPr>
              <w:t>a</w:t>
            </w:r>
            <w:proofErr w:type="spellEnd"/>
            <w:r w:rsidR="004E12B3" w:rsidRPr="00F01347">
              <w:rPr>
                <w:rFonts w:ascii="Verdana" w:hAnsi="Verdana"/>
                <w:color w:val="000000"/>
                <w:sz w:val="16"/>
                <w:szCs w:val="16"/>
                <w:lang w:val="en-US"/>
              </w:rPr>
              <w:t xml:space="preserve"> </w:t>
            </w:r>
            <w:proofErr w:type="gramStart"/>
            <w:r w:rsidR="004E12B3" w:rsidRPr="00F01347">
              <w:rPr>
                <w:rFonts w:ascii="Verdana" w:hAnsi="Verdana"/>
                <w:sz w:val="16"/>
                <w:szCs w:val="16"/>
                <w:lang w:val="en-US"/>
              </w:rPr>
              <w:t>The</w:t>
            </w:r>
            <w:proofErr w:type="gramEnd"/>
            <w:r w:rsidR="004E12B3" w:rsidRPr="00F01347">
              <w:rPr>
                <w:rFonts w:ascii="Verdana" w:hAnsi="Verdana"/>
                <w:sz w:val="16"/>
                <w:szCs w:val="16"/>
                <w:lang w:val="en-US"/>
              </w:rPr>
              <w:t xml:space="preserve"> permissible limit for arsenic will be 0.025 mg/L for all locations and will be adjusted in accordance with the gradual compliance Table 5 of this subsection 5.4.</w:t>
            </w:r>
          </w:p>
        </w:tc>
      </w:tr>
      <w:tr w:rsidR="004E12B3" w:rsidRPr="00F01347" w14:paraId="5E29778C" w14:textId="77777777" w:rsidTr="004E12B3">
        <w:trPr>
          <w:trHeight w:val="20"/>
          <w:jc w:val="center"/>
        </w:trPr>
        <w:tc>
          <w:tcPr>
            <w:tcW w:w="8712" w:type="dxa"/>
            <w:gridSpan w:val="3"/>
            <w:hideMark/>
          </w:tcPr>
          <w:p w14:paraId="3F092DA9" w14:textId="043FD391" w:rsidR="004E12B3" w:rsidRPr="00F01347" w:rsidRDefault="004E12B3">
            <w:pPr>
              <w:pStyle w:val="texto0"/>
              <w:spacing w:before="40" w:after="40" w:line="206" w:lineRule="exact"/>
              <w:ind w:firstLine="0"/>
              <w:rPr>
                <w:rFonts w:ascii="Verdana" w:hAnsi="Verdana"/>
                <w:color w:val="000000"/>
                <w:sz w:val="16"/>
                <w:szCs w:val="16"/>
                <w:lang w:val="en-US"/>
              </w:rPr>
            </w:pPr>
            <w:r w:rsidRPr="00F01347">
              <w:rPr>
                <w:rFonts w:ascii="Verdana" w:hAnsi="Verdana"/>
                <w:color w:val="000000"/>
                <w:sz w:val="16"/>
                <w:szCs w:val="16"/>
                <w:vertAlign w:val="superscript"/>
                <w:lang w:val="en-US"/>
              </w:rPr>
              <w:t>b</w:t>
            </w:r>
            <w:r w:rsidRPr="00F01347">
              <w:rPr>
                <w:rFonts w:ascii="Verdana" w:hAnsi="Verdana"/>
                <w:color w:val="000000"/>
                <w:sz w:val="16"/>
                <w:szCs w:val="16"/>
                <w:lang w:val="en-US"/>
              </w:rPr>
              <w:t xml:space="preserve"> </w:t>
            </w:r>
            <w:proofErr w:type="gramStart"/>
            <w:r w:rsidRPr="00F01347">
              <w:rPr>
                <w:rFonts w:ascii="Verdana" w:hAnsi="Verdana"/>
                <w:sz w:val="16"/>
                <w:szCs w:val="16"/>
                <w:lang w:val="en-US"/>
              </w:rPr>
              <w:t>The</w:t>
            </w:r>
            <w:proofErr w:type="gramEnd"/>
            <w:r w:rsidRPr="00F01347">
              <w:rPr>
                <w:rFonts w:ascii="Verdana" w:hAnsi="Verdana"/>
                <w:sz w:val="16"/>
                <w:szCs w:val="16"/>
                <w:lang w:val="en-US"/>
              </w:rPr>
              <w:t xml:space="preserve"> permissible limit for cadmium will be 0.005 mg/L for all locations and will be adjusted in accordance with the gradual compliance Table 5 of this subsection 5.4.</w:t>
            </w:r>
          </w:p>
        </w:tc>
      </w:tr>
    </w:tbl>
    <w:p w14:paraId="06200DC3" w14:textId="77777777" w:rsidR="004E12B3" w:rsidRPr="00F01347" w:rsidRDefault="004E12B3" w:rsidP="003A601B">
      <w:pPr>
        <w:pStyle w:val="texto0"/>
        <w:spacing w:line="226" w:lineRule="exact"/>
        <w:ind w:firstLine="0"/>
        <w:jc w:val="center"/>
        <w:rPr>
          <w:rFonts w:ascii="Verdana" w:hAnsi="Verdana"/>
          <w:b/>
          <w:sz w:val="16"/>
          <w:szCs w:val="16"/>
          <w:lang w:val="en-US"/>
        </w:rPr>
      </w:pPr>
    </w:p>
    <w:p w14:paraId="304D39C2" w14:textId="2D882F38" w:rsidR="00A74CDF" w:rsidRPr="00F01347" w:rsidRDefault="00A74CDF" w:rsidP="003A601B">
      <w:pPr>
        <w:pStyle w:val="texto0"/>
        <w:spacing w:line="226" w:lineRule="exact"/>
        <w:ind w:firstLine="0"/>
        <w:jc w:val="center"/>
        <w:rPr>
          <w:rFonts w:ascii="Verdana" w:hAnsi="Verdana"/>
          <w:b/>
          <w:sz w:val="16"/>
          <w:szCs w:val="16"/>
        </w:rPr>
      </w:pPr>
      <w:r w:rsidRPr="00F01347">
        <w:rPr>
          <w:rFonts w:ascii="Verdana" w:hAnsi="Verdana"/>
          <w:b/>
          <w:sz w:val="16"/>
          <w:szCs w:val="16"/>
        </w:rPr>
        <w:t xml:space="preserve">Tabla 5 - </w:t>
      </w:r>
      <w:r w:rsidRPr="00F01347">
        <w:rPr>
          <w:rFonts w:ascii="Verdana" w:hAnsi="Verdana"/>
          <w:b/>
          <w:sz w:val="16"/>
          <w:szCs w:val="16"/>
          <w:lang w:val="es-ES_tradnl"/>
        </w:rPr>
        <w:t>Tabla de cumplimiento gradual para arsénico y cadmio</w:t>
      </w:r>
    </w:p>
    <w:tbl>
      <w:tblPr>
        <w:tblW w:w="8712" w:type="dxa"/>
        <w:jc w:val="center"/>
        <w:tblLayout w:type="fixed"/>
        <w:tblCellMar>
          <w:left w:w="70" w:type="dxa"/>
          <w:right w:w="70" w:type="dxa"/>
        </w:tblCellMar>
        <w:tblLook w:val="0000" w:firstRow="0" w:lastRow="0" w:firstColumn="0" w:lastColumn="0" w:noHBand="0" w:noVBand="0"/>
      </w:tblPr>
      <w:tblGrid>
        <w:gridCol w:w="2629"/>
        <w:gridCol w:w="1446"/>
        <w:gridCol w:w="1620"/>
        <w:gridCol w:w="1440"/>
        <w:gridCol w:w="1577"/>
      </w:tblGrid>
      <w:tr w:rsidR="00A74CDF" w:rsidRPr="00F01347" w14:paraId="3FA554BC" w14:textId="77777777">
        <w:trPr>
          <w:trHeight w:val="20"/>
          <w:jc w:val="center"/>
        </w:trPr>
        <w:tc>
          <w:tcPr>
            <w:tcW w:w="2629" w:type="dxa"/>
            <w:tcBorders>
              <w:top w:val="single" w:sz="6" w:space="0" w:color="auto"/>
              <w:left w:val="single" w:sz="6" w:space="0" w:color="auto"/>
              <w:bottom w:val="single" w:sz="6" w:space="0" w:color="auto"/>
              <w:right w:val="single" w:sz="6" w:space="0" w:color="auto"/>
            </w:tcBorders>
            <w:shd w:val="clear" w:color="000000" w:fill="FFFFFF"/>
            <w:noWrap/>
          </w:tcPr>
          <w:p w14:paraId="1DAD9E52" w14:textId="77777777" w:rsidR="00A74CDF" w:rsidRPr="00F01347" w:rsidRDefault="00A74CDF" w:rsidP="003A601B">
            <w:pPr>
              <w:pStyle w:val="texto0"/>
              <w:spacing w:before="40" w:after="40" w:line="250" w:lineRule="exact"/>
              <w:ind w:firstLine="0"/>
              <w:jc w:val="center"/>
              <w:rPr>
                <w:rFonts w:ascii="Verdana" w:hAnsi="Verdana"/>
                <w:b/>
                <w:sz w:val="16"/>
                <w:szCs w:val="16"/>
              </w:rPr>
            </w:pPr>
            <w:r w:rsidRPr="00F01347">
              <w:rPr>
                <w:rFonts w:ascii="Verdana" w:hAnsi="Verdana"/>
                <w:b/>
                <w:sz w:val="16"/>
                <w:szCs w:val="16"/>
              </w:rPr>
              <w:t>Localidad</w:t>
            </w:r>
          </w:p>
        </w:tc>
        <w:tc>
          <w:tcPr>
            <w:tcW w:w="1446" w:type="dxa"/>
            <w:tcBorders>
              <w:top w:val="single" w:sz="6" w:space="0" w:color="auto"/>
              <w:left w:val="single" w:sz="6" w:space="0" w:color="auto"/>
              <w:bottom w:val="single" w:sz="6" w:space="0" w:color="auto"/>
              <w:right w:val="single" w:sz="6" w:space="0" w:color="auto"/>
            </w:tcBorders>
            <w:shd w:val="clear" w:color="000000" w:fill="FFFFFF"/>
          </w:tcPr>
          <w:p w14:paraId="289F7746" w14:textId="77777777" w:rsidR="00A74CDF" w:rsidRPr="00F01347" w:rsidRDefault="00A74CDF" w:rsidP="003A601B">
            <w:pPr>
              <w:pStyle w:val="texto0"/>
              <w:spacing w:before="40" w:after="40" w:line="250" w:lineRule="exact"/>
              <w:ind w:firstLine="0"/>
              <w:jc w:val="center"/>
              <w:rPr>
                <w:rFonts w:ascii="Verdana" w:hAnsi="Verdana"/>
                <w:b/>
                <w:sz w:val="16"/>
                <w:szCs w:val="16"/>
              </w:rPr>
            </w:pPr>
            <w:r w:rsidRPr="00F01347">
              <w:rPr>
                <w:rFonts w:ascii="Verdana" w:hAnsi="Verdana"/>
                <w:b/>
                <w:sz w:val="16"/>
                <w:szCs w:val="16"/>
              </w:rPr>
              <w:t>Año</w:t>
            </w:r>
          </w:p>
        </w:tc>
        <w:tc>
          <w:tcPr>
            <w:tcW w:w="1620" w:type="dxa"/>
            <w:tcBorders>
              <w:top w:val="single" w:sz="6" w:space="0" w:color="auto"/>
              <w:left w:val="single" w:sz="6" w:space="0" w:color="auto"/>
              <w:bottom w:val="single" w:sz="6" w:space="0" w:color="auto"/>
              <w:right w:val="single" w:sz="6" w:space="0" w:color="auto"/>
            </w:tcBorders>
            <w:shd w:val="clear" w:color="000000" w:fill="FFFFFF"/>
          </w:tcPr>
          <w:p w14:paraId="08AF76D9"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b/>
                <w:color w:val="000000"/>
                <w:sz w:val="16"/>
                <w:szCs w:val="16"/>
              </w:rPr>
              <w:t>Límite permisible de arsénico</w:t>
            </w:r>
          </w:p>
        </w:tc>
        <w:tc>
          <w:tcPr>
            <w:tcW w:w="1440" w:type="dxa"/>
            <w:tcBorders>
              <w:top w:val="single" w:sz="6" w:space="0" w:color="auto"/>
              <w:left w:val="single" w:sz="6" w:space="0" w:color="auto"/>
              <w:bottom w:val="single" w:sz="6" w:space="0" w:color="auto"/>
              <w:right w:val="single" w:sz="6" w:space="0" w:color="auto"/>
            </w:tcBorders>
            <w:shd w:val="clear" w:color="000000" w:fill="FFFFFF"/>
          </w:tcPr>
          <w:p w14:paraId="4E6F2212"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b/>
                <w:color w:val="000000"/>
                <w:sz w:val="16"/>
                <w:szCs w:val="16"/>
              </w:rPr>
              <w:t>Límite permisible de cadmio</w:t>
            </w:r>
          </w:p>
        </w:tc>
        <w:tc>
          <w:tcPr>
            <w:tcW w:w="1577" w:type="dxa"/>
            <w:tcBorders>
              <w:top w:val="single" w:sz="6" w:space="0" w:color="auto"/>
              <w:left w:val="single" w:sz="6" w:space="0" w:color="auto"/>
              <w:bottom w:val="single" w:sz="6" w:space="0" w:color="auto"/>
              <w:right w:val="single" w:sz="6" w:space="0" w:color="auto"/>
            </w:tcBorders>
            <w:shd w:val="clear" w:color="000000" w:fill="FFFFFF"/>
          </w:tcPr>
          <w:p w14:paraId="187AF212" w14:textId="77777777" w:rsidR="00A74CDF" w:rsidRPr="00F01347" w:rsidRDefault="00A74CDF" w:rsidP="003A601B">
            <w:pPr>
              <w:pStyle w:val="texto0"/>
              <w:spacing w:before="40" w:after="40" w:line="250" w:lineRule="exact"/>
              <w:ind w:firstLine="0"/>
              <w:jc w:val="center"/>
              <w:rPr>
                <w:rFonts w:ascii="Verdana" w:hAnsi="Verdana"/>
                <w:b/>
                <w:color w:val="000000"/>
                <w:sz w:val="16"/>
                <w:szCs w:val="16"/>
              </w:rPr>
            </w:pPr>
            <w:r w:rsidRPr="00F01347">
              <w:rPr>
                <w:rFonts w:ascii="Verdana" w:hAnsi="Verdana"/>
                <w:b/>
                <w:color w:val="000000"/>
                <w:sz w:val="16"/>
                <w:szCs w:val="16"/>
              </w:rPr>
              <w:t>Unidades para arsénico y cadmio</w:t>
            </w:r>
          </w:p>
        </w:tc>
      </w:tr>
      <w:tr w:rsidR="00A74CDF" w:rsidRPr="00F01347" w14:paraId="402A625E" w14:textId="77777777">
        <w:trPr>
          <w:trHeight w:val="20"/>
          <w:jc w:val="center"/>
        </w:trPr>
        <w:tc>
          <w:tcPr>
            <w:tcW w:w="2629" w:type="dxa"/>
            <w:tcBorders>
              <w:top w:val="single" w:sz="6" w:space="0" w:color="auto"/>
              <w:left w:val="single" w:sz="6" w:space="0" w:color="auto"/>
              <w:bottom w:val="single" w:sz="6" w:space="0" w:color="auto"/>
              <w:right w:val="single" w:sz="6" w:space="0" w:color="auto"/>
            </w:tcBorders>
            <w:shd w:val="clear" w:color="000000" w:fill="FFFFFF"/>
          </w:tcPr>
          <w:p w14:paraId="44B092FA" w14:textId="77777777" w:rsidR="00A74CDF" w:rsidRPr="00F01347" w:rsidRDefault="00A74CDF" w:rsidP="003A601B">
            <w:pPr>
              <w:pStyle w:val="texto0"/>
              <w:spacing w:before="40" w:after="40" w:line="250" w:lineRule="exact"/>
              <w:ind w:firstLine="0"/>
              <w:rPr>
                <w:rFonts w:ascii="Verdana" w:hAnsi="Verdana"/>
                <w:sz w:val="16"/>
                <w:szCs w:val="16"/>
              </w:rPr>
            </w:pPr>
            <w:r w:rsidRPr="00F01347">
              <w:rPr>
                <w:rFonts w:ascii="Verdana" w:hAnsi="Verdana"/>
                <w:sz w:val="16"/>
                <w:szCs w:val="16"/>
              </w:rPr>
              <w:t>Mayor de 500,000 habitantes</w:t>
            </w:r>
          </w:p>
        </w:tc>
        <w:tc>
          <w:tcPr>
            <w:tcW w:w="1446" w:type="dxa"/>
            <w:tcBorders>
              <w:top w:val="single" w:sz="6" w:space="0" w:color="auto"/>
              <w:left w:val="single" w:sz="6" w:space="0" w:color="auto"/>
              <w:bottom w:val="single" w:sz="6" w:space="0" w:color="auto"/>
              <w:right w:val="single" w:sz="6" w:space="0" w:color="auto"/>
            </w:tcBorders>
            <w:shd w:val="clear" w:color="000000" w:fill="FFFFFF"/>
            <w:vAlign w:val="center"/>
          </w:tcPr>
          <w:p w14:paraId="45036320"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sz w:val="16"/>
                <w:szCs w:val="16"/>
              </w:rPr>
              <w:t>Un año posterior a la entrada en vigor de la presente Norma</w:t>
            </w:r>
          </w:p>
        </w:tc>
        <w:tc>
          <w:tcPr>
            <w:tcW w:w="1620" w:type="dxa"/>
            <w:tcBorders>
              <w:top w:val="single" w:sz="6" w:space="0" w:color="auto"/>
              <w:left w:val="single" w:sz="6" w:space="0" w:color="auto"/>
              <w:bottom w:val="single" w:sz="6" w:space="0" w:color="auto"/>
              <w:right w:val="single" w:sz="6" w:space="0" w:color="auto"/>
            </w:tcBorders>
            <w:shd w:val="clear" w:color="000000" w:fill="FFFFFF"/>
          </w:tcPr>
          <w:p w14:paraId="2DFEA874"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color w:val="000000"/>
                <w:sz w:val="16"/>
                <w:szCs w:val="16"/>
              </w:rPr>
              <w:t>0.01</w:t>
            </w:r>
          </w:p>
        </w:tc>
        <w:tc>
          <w:tcPr>
            <w:tcW w:w="1440" w:type="dxa"/>
            <w:tcBorders>
              <w:top w:val="single" w:sz="6" w:space="0" w:color="auto"/>
              <w:left w:val="single" w:sz="6" w:space="0" w:color="auto"/>
              <w:bottom w:val="single" w:sz="6" w:space="0" w:color="auto"/>
              <w:right w:val="single" w:sz="6" w:space="0" w:color="auto"/>
            </w:tcBorders>
            <w:shd w:val="clear" w:color="000000" w:fill="FFFFFF"/>
          </w:tcPr>
          <w:p w14:paraId="1D913E36"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color w:val="000000"/>
                <w:sz w:val="16"/>
                <w:szCs w:val="16"/>
              </w:rPr>
              <w:t>0.003</w:t>
            </w:r>
          </w:p>
        </w:tc>
        <w:tc>
          <w:tcPr>
            <w:tcW w:w="1577" w:type="dxa"/>
            <w:tcBorders>
              <w:top w:val="single" w:sz="6" w:space="0" w:color="auto"/>
              <w:left w:val="single" w:sz="6" w:space="0" w:color="auto"/>
              <w:bottom w:val="single" w:sz="6" w:space="0" w:color="auto"/>
              <w:right w:val="single" w:sz="6" w:space="0" w:color="auto"/>
            </w:tcBorders>
            <w:shd w:val="clear" w:color="000000" w:fill="FFFFFF"/>
          </w:tcPr>
          <w:p w14:paraId="680C6FD0" w14:textId="77777777" w:rsidR="00A74CDF" w:rsidRPr="00F01347" w:rsidRDefault="00A74CDF" w:rsidP="003A601B">
            <w:pPr>
              <w:pStyle w:val="texto0"/>
              <w:spacing w:before="40" w:after="40" w:line="250"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4B142ED9" w14:textId="77777777">
        <w:trPr>
          <w:trHeight w:val="20"/>
          <w:jc w:val="center"/>
        </w:trPr>
        <w:tc>
          <w:tcPr>
            <w:tcW w:w="2629" w:type="dxa"/>
            <w:tcBorders>
              <w:top w:val="single" w:sz="6" w:space="0" w:color="auto"/>
              <w:left w:val="single" w:sz="6" w:space="0" w:color="auto"/>
              <w:bottom w:val="single" w:sz="6" w:space="0" w:color="auto"/>
              <w:right w:val="single" w:sz="6" w:space="0" w:color="auto"/>
            </w:tcBorders>
            <w:shd w:val="clear" w:color="000000" w:fill="FFFFFF"/>
          </w:tcPr>
          <w:p w14:paraId="350C87E4" w14:textId="77777777" w:rsidR="00A74CDF" w:rsidRPr="00F01347" w:rsidRDefault="00A74CDF" w:rsidP="003A601B">
            <w:pPr>
              <w:pStyle w:val="texto0"/>
              <w:spacing w:before="40" w:after="40" w:line="250" w:lineRule="exact"/>
              <w:ind w:firstLine="0"/>
              <w:rPr>
                <w:rFonts w:ascii="Verdana" w:hAnsi="Verdana"/>
                <w:sz w:val="16"/>
                <w:szCs w:val="16"/>
              </w:rPr>
            </w:pPr>
            <w:r w:rsidRPr="00F01347">
              <w:rPr>
                <w:rFonts w:ascii="Verdana" w:hAnsi="Verdana"/>
                <w:sz w:val="16"/>
                <w:szCs w:val="16"/>
              </w:rPr>
              <w:lastRenderedPageBreak/>
              <w:t>Entre 50,000 y 499,999 habitantes</w:t>
            </w:r>
          </w:p>
        </w:tc>
        <w:tc>
          <w:tcPr>
            <w:tcW w:w="1446" w:type="dxa"/>
            <w:tcBorders>
              <w:top w:val="single" w:sz="6" w:space="0" w:color="auto"/>
              <w:left w:val="single" w:sz="6" w:space="0" w:color="auto"/>
              <w:bottom w:val="single" w:sz="6" w:space="0" w:color="auto"/>
              <w:right w:val="single" w:sz="6" w:space="0" w:color="auto"/>
            </w:tcBorders>
            <w:shd w:val="clear" w:color="000000" w:fill="FFFFFF"/>
            <w:vAlign w:val="center"/>
          </w:tcPr>
          <w:p w14:paraId="3CC60434"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sz w:val="16"/>
                <w:szCs w:val="16"/>
              </w:rPr>
              <w:t>Tres años posterior a la entrada en vigor de la presente Norma</w:t>
            </w:r>
          </w:p>
        </w:tc>
        <w:tc>
          <w:tcPr>
            <w:tcW w:w="1620" w:type="dxa"/>
            <w:tcBorders>
              <w:top w:val="single" w:sz="6" w:space="0" w:color="auto"/>
              <w:left w:val="single" w:sz="6" w:space="0" w:color="auto"/>
              <w:bottom w:val="single" w:sz="6" w:space="0" w:color="auto"/>
              <w:right w:val="single" w:sz="6" w:space="0" w:color="auto"/>
            </w:tcBorders>
            <w:shd w:val="clear" w:color="000000" w:fill="FFFFFF"/>
          </w:tcPr>
          <w:p w14:paraId="139C1895"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color w:val="000000"/>
                <w:sz w:val="16"/>
                <w:szCs w:val="16"/>
              </w:rPr>
              <w:t>0.01</w:t>
            </w:r>
          </w:p>
        </w:tc>
        <w:tc>
          <w:tcPr>
            <w:tcW w:w="1440" w:type="dxa"/>
            <w:tcBorders>
              <w:top w:val="single" w:sz="6" w:space="0" w:color="auto"/>
              <w:left w:val="single" w:sz="6" w:space="0" w:color="auto"/>
              <w:bottom w:val="single" w:sz="6" w:space="0" w:color="auto"/>
              <w:right w:val="single" w:sz="6" w:space="0" w:color="auto"/>
            </w:tcBorders>
            <w:shd w:val="clear" w:color="000000" w:fill="FFFFFF"/>
          </w:tcPr>
          <w:p w14:paraId="6667CFDD"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color w:val="000000"/>
                <w:sz w:val="16"/>
                <w:szCs w:val="16"/>
              </w:rPr>
              <w:t>0.003</w:t>
            </w:r>
          </w:p>
        </w:tc>
        <w:tc>
          <w:tcPr>
            <w:tcW w:w="1577" w:type="dxa"/>
            <w:tcBorders>
              <w:top w:val="single" w:sz="6" w:space="0" w:color="auto"/>
              <w:left w:val="single" w:sz="6" w:space="0" w:color="auto"/>
              <w:bottom w:val="single" w:sz="6" w:space="0" w:color="auto"/>
              <w:right w:val="single" w:sz="6" w:space="0" w:color="auto"/>
            </w:tcBorders>
            <w:shd w:val="clear" w:color="000000" w:fill="FFFFFF"/>
          </w:tcPr>
          <w:p w14:paraId="379E32EB" w14:textId="77777777" w:rsidR="00A74CDF" w:rsidRPr="00F01347" w:rsidRDefault="00A74CDF" w:rsidP="003A601B">
            <w:pPr>
              <w:pStyle w:val="texto0"/>
              <w:spacing w:before="40" w:after="40" w:line="250"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6796D708" w14:textId="77777777">
        <w:trPr>
          <w:trHeight w:val="20"/>
          <w:jc w:val="center"/>
        </w:trPr>
        <w:tc>
          <w:tcPr>
            <w:tcW w:w="2629" w:type="dxa"/>
            <w:tcBorders>
              <w:top w:val="single" w:sz="6" w:space="0" w:color="auto"/>
              <w:left w:val="single" w:sz="6" w:space="0" w:color="auto"/>
              <w:bottom w:val="single" w:sz="6" w:space="0" w:color="auto"/>
              <w:right w:val="single" w:sz="6" w:space="0" w:color="auto"/>
            </w:tcBorders>
            <w:shd w:val="clear" w:color="000000" w:fill="FFFFFF"/>
          </w:tcPr>
          <w:p w14:paraId="60560DA0" w14:textId="77777777" w:rsidR="00A74CDF" w:rsidRPr="00F01347" w:rsidRDefault="00A74CDF" w:rsidP="003A601B">
            <w:pPr>
              <w:pStyle w:val="texto0"/>
              <w:spacing w:before="40" w:after="40" w:line="250" w:lineRule="exact"/>
              <w:ind w:firstLine="0"/>
              <w:rPr>
                <w:rFonts w:ascii="Verdana" w:hAnsi="Verdana"/>
                <w:sz w:val="16"/>
                <w:szCs w:val="16"/>
              </w:rPr>
            </w:pPr>
            <w:r w:rsidRPr="00F01347">
              <w:rPr>
                <w:rFonts w:ascii="Verdana" w:hAnsi="Verdana"/>
                <w:sz w:val="16"/>
                <w:szCs w:val="16"/>
              </w:rPr>
              <w:t>Menor de 50,000 habitantes</w:t>
            </w:r>
          </w:p>
        </w:tc>
        <w:tc>
          <w:tcPr>
            <w:tcW w:w="1446" w:type="dxa"/>
            <w:tcBorders>
              <w:top w:val="single" w:sz="6" w:space="0" w:color="auto"/>
              <w:left w:val="single" w:sz="6" w:space="0" w:color="auto"/>
              <w:bottom w:val="single" w:sz="6" w:space="0" w:color="auto"/>
              <w:right w:val="single" w:sz="6" w:space="0" w:color="auto"/>
            </w:tcBorders>
            <w:shd w:val="clear" w:color="000000" w:fill="FFFFFF"/>
            <w:vAlign w:val="center"/>
          </w:tcPr>
          <w:p w14:paraId="6055A850"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sz w:val="16"/>
                <w:szCs w:val="16"/>
              </w:rPr>
              <w:t>Seis años posterior a la entrada en vigor de la presente Norma</w:t>
            </w:r>
          </w:p>
        </w:tc>
        <w:tc>
          <w:tcPr>
            <w:tcW w:w="1620" w:type="dxa"/>
            <w:tcBorders>
              <w:top w:val="single" w:sz="6" w:space="0" w:color="auto"/>
              <w:left w:val="single" w:sz="6" w:space="0" w:color="auto"/>
              <w:bottom w:val="single" w:sz="6" w:space="0" w:color="auto"/>
              <w:right w:val="single" w:sz="6" w:space="0" w:color="auto"/>
            </w:tcBorders>
            <w:shd w:val="clear" w:color="000000" w:fill="FFFFFF"/>
          </w:tcPr>
          <w:p w14:paraId="5126E233"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color w:val="000000"/>
                <w:sz w:val="16"/>
                <w:szCs w:val="16"/>
              </w:rPr>
              <w:t>0.01</w:t>
            </w:r>
          </w:p>
        </w:tc>
        <w:tc>
          <w:tcPr>
            <w:tcW w:w="1440" w:type="dxa"/>
            <w:tcBorders>
              <w:top w:val="single" w:sz="6" w:space="0" w:color="auto"/>
              <w:left w:val="single" w:sz="6" w:space="0" w:color="auto"/>
              <w:bottom w:val="single" w:sz="6" w:space="0" w:color="auto"/>
              <w:right w:val="single" w:sz="6" w:space="0" w:color="auto"/>
            </w:tcBorders>
            <w:shd w:val="clear" w:color="000000" w:fill="FFFFFF"/>
          </w:tcPr>
          <w:p w14:paraId="5BC08FE6"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color w:val="000000"/>
                <w:sz w:val="16"/>
                <w:szCs w:val="16"/>
              </w:rPr>
              <w:t>0.003</w:t>
            </w:r>
          </w:p>
        </w:tc>
        <w:tc>
          <w:tcPr>
            <w:tcW w:w="1577" w:type="dxa"/>
            <w:tcBorders>
              <w:top w:val="single" w:sz="6" w:space="0" w:color="auto"/>
              <w:left w:val="single" w:sz="6" w:space="0" w:color="auto"/>
              <w:bottom w:val="single" w:sz="6" w:space="0" w:color="auto"/>
              <w:right w:val="single" w:sz="6" w:space="0" w:color="auto"/>
            </w:tcBorders>
            <w:shd w:val="clear" w:color="000000" w:fill="FFFFFF"/>
          </w:tcPr>
          <w:p w14:paraId="055D4E70" w14:textId="77777777" w:rsidR="00A74CDF" w:rsidRPr="00F01347" w:rsidRDefault="00A74CDF" w:rsidP="003A601B">
            <w:pPr>
              <w:pStyle w:val="texto0"/>
              <w:spacing w:before="40" w:after="40" w:line="250" w:lineRule="exact"/>
              <w:ind w:firstLine="0"/>
              <w:jc w:val="center"/>
              <w:rPr>
                <w:rFonts w:ascii="Verdana" w:hAnsi="Verdana"/>
                <w:color w:val="000000"/>
                <w:sz w:val="16"/>
                <w:szCs w:val="16"/>
              </w:rPr>
            </w:pPr>
            <w:r w:rsidRPr="00F01347">
              <w:rPr>
                <w:rFonts w:ascii="Verdana" w:hAnsi="Verdana"/>
                <w:color w:val="000000"/>
                <w:sz w:val="16"/>
                <w:szCs w:val="16"/>
              </w:rPr>
              <w:t>mg/L</w:t>
            </w:r>
          </w:p>
        </w:tc>
      </w:tr>
    </w:tbl>
    <w:p w14:paraId="20C43E87" w14:textId="77777777" w:rsidR="00A74CDF" w:rsidRPr="00F01347" w:rsidRDefault="00A74CDF" w:rsidP="003A601B">
      <w:pPr>
        <w:pStyle w:val="texto0"/>
        <w:spacing w:line="226" w:lineRule="exact"/>
        <w:rPr>
          <w:rFonts w:ascii="Verdana" w:hAnsi="Verdana"/>
          <w:b/>
          <w:sz w:val="16"/>
          <w:szCs w:val="16"/>
          <w:lang w:val="es-ES_tradnl"/>
        </w:rPr>
      </w:pPr>
    </w:p>
    <w:p w14:paraId="440B3773" w14:textId="77777777" w:rsidR="00204B58" w:rsidRPr="00F01347" w:rsidRDefault="00204B58" w:rsidP="003A601B">
      <w:pPr>
        <w:pStyle w:val="texto0"/>
        <w:spacing w:line="226" w:lineRule="exact"/>
        <w:rPr>
          <w:rFonts w:ascii="Verdana" w:hAnsi="Verdana"/>
          <w:b/>
          <w:sz w:val="16"/>
          <w:szCs w:val="16"/>
          <w:lang w:val="es-ES_tradnl"/>
        </w:rPr>
      </w:pPr>
    </w:p>
    <w:p w14:paraId="4AFC12AE" w14:textId="77777777" w:rsidR="004E12B3" w:rsidRPr="00F01347" w:rsidRDefault="004E12B3" w:rsidP="004E12B3">
      <w:pPr>
        <w:pStyle w:val="texto0"/>
        <w:spacing w:line="226" w:lineRule="exact"/>
        <w:ind w:firstLine="0"/>
        <w:jc w:val="center"/>
        <w:rPr>
          <w:rFonts w:ascii="Verdana" w:hAnsi="Verdana"/>
          <w:b/>
          <w:sz w:val="16"/>
          <w:szCs w:val="16"/>
          <w:lang w:val="en-US"/>
        </w:rPr>
      </w:pPr>
      <w:r w:rsidRPr="00F01347">
        <w:rPr>
          <w:rFonts w:ascii="Verdana" w:hAnsi="Verdana"/>
          <w:b/>
          <w:sz w:val="16"/>
          <w:szCs w:val="16"/>
          <w:lang w:val="en-US"/>
        </w:rPr>
        <w:t>Table 5 - Phased Compliance Table for Arsenic and Cadmium</w:t>
      </w:r>
    </w:p>
    <w:tbl>
      <w:tblPr>
        <w:tblW w:w="8715" w:type="dxa"/>
        <w:jc w:val="center"/>
        <w:tblLayout w:type="fixed"/>
        <w:tblCellMar>
          <w:left w:w="70" w:type="dxa"/>
          <w:right w:w="70" w:type="dxa"/>
        </w:tblCellMar>
        <w:tblLook w:val="04A0" w:firstRow="1" w:lastRow="0" w:firstColumn="1" w:lastColumn="0" w:noHBand="0" w:noVBand="1"/>
      </w:tblPr>
      <w:tblGrid>
        <w:gridCol w:w="2630"/>
        <w:gridCol w:w="1446"/>
        <w:gridCol w:w="1621"/>
        <w:gridCol w:w="1440"/>
        <w:gridCol w:w="1578"/>
      </w:tblGrid>
      <w:tr w:rsidR="004E12B3" w:rsidRPr="00F01347" w14:paraId="53ED5ACD" w14:textId="77777777" w:rsidTr="004E12B3">
        <w:trPr>
          <w:trHeight w:val="20"/>
          <w:jc w:val="center"/>
        </w:trPr>
        <w:tc>
          <w:tcPr>
            <w:tcW w:w="2629" w:type="dxa"/>
            <w:tcBorders>
              <w:top w:val="single" w:sz="6" w:space="0" w:color="auto"/>
              <w:left w:val="single" w:sz="6" w:space="0" w:color="auto"/>
              <w:bottom w:val="single" w:sz="6" w:space="0" w:color="auto"/>
              <w:right w:val="single" w:sz="6" w:space="0" w:color="auto"/>
            </w:tcBorders>
            <w:shd w:val="clear" w:color="auto" w:fill="FFFFFF"/>
            <w:noWrap/>
            <w:hideMark/>
          </w:tcPr>
          <w:p w14:paraId="43657B3F" w14:textId="77777777" w:rsidR="004E12B3" w:rsidRPr="00F01347" w:rsidRDefault="004E12B3">
            <w:pPr>
              <w:pStyle w:val="texto0"/>
              <w:spacing w:before="40" w:after="40" w:line="250" w:lineRule="exact"/>
              <w:ind w:firstLine="0"/>
              <w:jc w:val="center"/>
              <w:rPr>
                <w:rFonts w:ascii="Verdana" w:hAnsi="Verdana"/>
                <w:b/>
                <w:sz w:val="16"/>
                <w:szCs w:val="16"/>
                <w:lang w:val="en-US"/>
              </w:rPr>
            </w:pPr>
            <w:r w:rsidRPr="00F01347">
              <w:rPr>
                <w:rFonts w:ascii="Verdana" w:hAnsi="Verdana"/>
                <w:b/>
                <w:sz w:val="16"/>
                <w:szCs w:val="16"/>
                <w:lang w:val="en-US"/>
              </w:rPr>
              <w:t>Location</w:t>
            </w:r>
          </w:p>
        </w:tc>
        <w:tc>
          <w:tcPr>
            <w:tcW w:w="1446" w:type="dxa"/>
            <w:tcBorders>
              <w:top w:val="single" w:sz="6" w:space="0" w:color="auto"/>
              <w:left w:val="single" w:sz="6" w:space="0" w:color="auto"/>
              <w:bottom w:val="single" w:sz="6" w:space="0" w:color="auto"/>
              <w:right w:val="single" w:sz="6" w:space="0" w:color="auto"/>
            </w:tcBorders>
            <w:shd w:val="clear" w:color="auto" w:fill="FFFFFF"/>
            <w:hideMark/>
          </w:tcPr>
          <w:p w14:paraId="2735F827" w14:textId="77777777" w:rsidR="004E12B3" w:rsidRPr="00F01347" w:rsidRDefault="004E12B3">
            <w:pPr>
              <w:pStyle w:val="texto0"/>
              <w:spacing w:before="40" w:after="40" w:line="250" w:lineRule="exact"/>
              <w:ind w:firstLine="0"/>
              <w:jc w:val="center"/>
              <w:rPr>
                <w:rFonts w:ascii="Verdana" w:hAnsi="Verdana"/>
                <w:b/>
                <w:sz w:val="16"/>
                <w:szCs w:val="16"/>
                <w:lang w:val="en-US"/>
              </w:rPr>
            </w:pPr>
            <w:r w:rsidRPr="00F01347">
              <w:rPr>
                <w:rFonts w:ascii="Verdana" w:hAnsi="Verdana"/>
                <w:b/>
                <w:sz w:val="16"/>
                <w:szCs w:val="16"/>
                <w:lang w:val="en-US"/>
              </w:rPr>
              <w:t>Year</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5C7DC8F5"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b/>
                <w:color w:val="000000"/>
                <w:sz w:val="16"/>
                <w:szCs w:val="16"/>
                <w:lang w:val="en-US"/>
              </w:rPr>
              <w:t>Permissible limit of arsenic</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60934235"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b/>
                <w:color w:val="000000"/>
                <w:sz w:val="16"/>
                <w:szCs w:val="16"/>
                <w:lang w:val="en-US"/>
              </w:rPr>
              <w:t>Permissible limit of cadmium</w:t>
            </w:r>
          </w:p>
        </w:tc>
        <w:tc>
          <w:tcPr>
            <w:tcW w:w="1577" w:type="dxa"/>
            <w:tcBorders>
              <w:top w:val="single" w:sz="6" w:space="0" w:color="auto"/>
              <w:left w:val="single" w:sz="6" w:space="0" w:color="auto"/>
              <w:bottom w:val="single" w:sz="6" w:space="0" w:color="auto"/>
              <w:right w:val="single" w:sz="6" w:space="0" w:color="auto"/>
            </w:tcBorders>
            <w:shd w:val="clear" w:color="auto" w:fill="FFFFFF"/>
            <w:hideMark/>
          </w:tcPr>
          <w:p w14:paraId="0C5FD7FA" w14:textId="77777777" w:rsidR="004E12B3" w:rsidRPr="00F01347" w:rsidRDefault="004E12B3">
            <w:pPr>
              <w:pStyle w:val="texto0"/>
              <w:spacing w:before="40" w:after="40" w:line="250"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Units for arsenic and cadmium</w:t>
            </w:r>
          </w:p>
        </w:tc>
      </w:tr>
      <w:tr w:rsidR="004E12B3" w:rsidRPr="00F01347" w14:paraId="330BF913" w14:textId="77777777" w:rsidTr="004E12B3">
        <w:trPr>
          <w:trHeight w:val="20"/>
          <w:jc w:val="center"/>
        </w:trPr>
        <w:tc>
          <w:tcPr>
            <w:tcW w:w="2629" w:type="dxa"/>
            <w:tcBorders>
              <w:top w:val="single" w:sz="6" w:space="0" w:color="auto"/>
              <w:left w:val="single" w:sz="6" w:space="0" w:color="auto"/>
              <w:bottom w:val="single" w:sz="6" w:space="0" w:color="auto"/>
              <w:right w:val="single" w:sz="6" w:space="0" w:color="auto"/>
            </w:tcBorders>
            <w:shd w:val="clear" w:color="auto" w:fill="FFFFFF"/>
            <w:hideMark/>
          </w:tcPr>
          <w:p w14:paraId="53C1412A" w14:textId="77777777" w:rsidR="004E12B3" w:rsidRPr="00F01347" w:rsidRDefault="004E12B3">
            <w:pPr>
              <w:pStyle w:val="texto0"/>
              <w:spacing w:before="40" w:after="40" w:line="250" w:lineRule="exact"/>
              <w:ind w:firstLine="0"/>
              <w:rPr>
                <w:rFonts w:ascii="Verdana" w:hAnsi="Verdana"/>
                <w:sz w:val="16"/>
                <w:szCs w:val="16"/>
                <w:lang w:val="en-US"/>
              </w:rPr>
            </w:pPr>
            <w:r w:rsidRPr="00F01347">
              <w:rPr>
                <w:rFonts w:ascii="Verdana" w:hAnsi="Verdana"/>
                <w:sz w:val="16"/>
                <w:szCs w:val="16"/>
                <w:lang w:val="en-US"/>
              </w:rPr>
              <w:t>Greater than 500,000 inhabitants</w:t>
            </w:r>
          </w:p>
        </w:tc>
        <w:tc>
          <w:tcPr>
            <w:tcW w:w="144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EDC82B"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sz w:val="16"/>
                <w:szCs w:val="16"/>
                <w:lang w:val="en-US"/>
              </w:rPr>
              <w:t>One year after the entry into force of this Standard</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3824E047"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color w:val="000000"/>
                <w:sz w:val="16"/>
                <w:szCs w:val="16"/>
                <w:lang w:val="en-US"/>
              </w:rPr>
              <w:t>0.01</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79BCE8A5"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color w:val="000000"/>
                <w:sz w:val="16"/>
                <w:szCs w:val="16"/>
                <w:lang w:val="en-US"/>
              </w:rPr>
              <w:t>0.003</w:t>
            </w:r>
          </w:p>
        </w:tc>
        <w:tc>
          <w:tcPr>
            <w:tcW w:w="1577" w:type="dxa"/>
            <w:tcBorders>
              <w:top w:val="single" w:sz="6" w:space="0" w:color="auto"/>
              <w:left w:val="single" w:sz="6" w:space="0" w:color="auto"/>
              <w:bottom w:val="single" w:sz="6" w:space="0" w:color="auto"/>
              <w:right w:val="single" w:sz="6" w:space="0" w:color="auto"/>
            </w:tcBorders>
            <w:shd w:val="clear" w:color="auto" w:fill="FFFFFF"/>
            <w:hideMark/>
          </w:tcPr>
          <w:p w14:paraId="5F35EE83" w14:textId="77777777" w:rsidR="004E12B3" w:rsidRPr="00F01347" w:rsidRDefault="004E12B3">
            <w:pPr>
              <w:pStyle w:val="texto0"/>
              <w:spacing w:before="40" w:after="40" w:line="25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4E12B3" w:rsidRPr="00F01347" w14:paraId="6E2445FC" w14:textId="77777777" w:rsidTr="004E12B3">
        <w:trPr>
          <w:trHeight w:val="20"/>
          <w:jc w:val="center"/>
        </w:trPr>
        <w:tc>
          <w:tcPr>
            <w:tcW w:w="2629" w:type="dxa"/>
            <w:tcBorders>
              <w:top w:val="single" w:sz="6" w:space="0" w:color="auto"/>
              <w:left w:val="single" w:sz="6" w:space="0" w:color="auto"/>
              <w:bottom w:val="single" w:sz="6" w:space="0" w:color="auto"/>
              <w:right w:val="single" w:sz="6" w:space="0" w:color="auto"/>
            </w:tcBorders>
            <w:shd w:val="clear" w:color="auto" w:fill="FFFFFF"/>
            <w:hideMark/>
          </w:tcPr>
          <w:p w14:paraId="6D5F0D70" w14:textId="77777777" w:rsidR="004E12B3" w:rsidRPr="00F01347" w:rsidRDefault="004E12B3">
            <w:pPr>
              <w:pStyle w:val="texto0"/>
              <w:spacing w:before="40" w:after="40" w:line="250" w:lineRule="exact"/>
              <w:ind w:firstLine="0"/>
              <w:rPr>
                <w:rFonts w:ascii="Verdana" w:hAnsi="Verdana"/>
                <w:sz w:val="16"/>
                <w:szCs w:val="16"/>
                <w:lang w:val="en-US"/>
              </w:rPr>
            </w:pPr>
            <w:r w:rsidRPr="00F01347">
              <w:rPr>
                <w:rFonts w:ascii="Verdana" w:hAnsi="Verdana"/>
                <w:sz w:val="16"/>
                <w:szCs w:val="16"/>
                <w:lang w:val="en-US"/>
              </w:rPr>
              <w:t>Between 50,000 and 499,999 inhabitants</w:t>
            </w:r>
          </w:p>
        </w:tc>
        <w:tc>
          <w:tcPr>
            <w:tcW w:w="144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938316"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sz w:val="16"/>
                <w:szCs w:val="16"/>
                <w:lang w:val="en-US"/>
              </w:rPr>
              <w:t>Three years after the entry into force of this Standard</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2018D782"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color w:val="000000"/>
                <w:sz w:val="16"/>
                <w:szCs w:val="16"/>
                <w:lang w:val="en-US"/>
              </w:rPr>
              <w:t>0.01</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74105B15"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color w:val="000000"/>
                <w:sz w:val="16"/>
                <w:szCs w:val="16"/>
                <w:lang w:val="en-US"/>
              </w:rPr>
              <w:t>0.003</w:t>
            </w:r>
          </w:p>
        </w:tc>
        <w:tc>
          <w:tcPr>
            <w:tcW w:w="1577" w:type="dxa"/>
            <w:tcBorders>
              <w:top w:val="single" w:sz="6" w:space="0" w:color="auto"/>
              <w:left w:val="single" w:sz="6" w:space="0" w:color="auto"/>
              <w:bottom w:val="single" w:sz="6" w:space="0" w:color="auto"/>
              <w:right w:val="single" w:sz="6" w:space="0" w:color="auto"/>
            </w:tcBorders>
            <w:shd w:val="clear" w:color="auto" w:fill="FFFFFF"/>
            <w:hideMark/>
          </w:tcPr>
          <w:p w14:paraId="3283320F" w14:textId="77777777" w:rsidR="004E12B3" w:rsidRPr="00F01347" w:rsidRDefault="004E12B3">
            <w:pPr>
              <w:pStyle w:val="texto0"/>
              <w:spacing w:before="40" w:after="40" w:line="25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4E12B3" w:rsidRPr="00F01347" w14:paraId="15BDB81F" w14:textId="77777777" w:rsidTr="004E12B3">
        <w:trPr>
          <w:trHeight w:val="20"/>
          <w:jc w:val="center"/>
        </w:trPr>
        <w:tc>
          <w:tcPr>
            <w:tcW w:w="2629" w:type="dxa"/>
            <w:tcBorders>
              <w:top w:val="single" w:sz="6" w:space="0" w:color="auto"/>
              <w:left w:val="single" w:sz="6" w:space="0" w:color="auto"/>
              <w:bottom w:val="single" w:sz="6" w:space="0" w:color="auto"/>
              <w:right w:val="single" w:sz="6" w:space="0" w:color="auto"/>
            </w:tcBorders>
            <w:shd w:val="clear" w:color="auto" w:fill="FFFFFF"/>
            <w:hideMark/>
          </w:tcPr>
          <w:p w14:paraId="009DBAE7" w14:textId="77777777" w:rsidR="004E12B3" w:rsidRPr="00F01347" w:rsidRDefault="004E12B3">
            <w:pPr>
              <w:pStyle w:val="texto0"/>
              <w:spacing w:before="40" w:after="40" w:line="250" w:lineRule="exact"/>
              <w:ind w:firstLine="0"/>
              <w:rPr>
                <w:rFonts w:ascii="Verdana" w:hAnsi="Verdana"/>
                <w:sz w:val="16"/>
                <w:szCs w:val="16"/>
                <w:lang w:val="en-US"/>
              </w:rPr>
            </w:pPr>
            <w:r w:rsidRPr="00F01347">
              <w:rPr>
                <w:rFonts w:ascii="Verdana" w:hAnsi="Verdana"/>
                <w:sz w:val="16"/>
                <w:szCs w:val="16"/>
                <w:lang w:val="en-US"/>
              </w:rPr>
              <w:t>Less than 50,000 inhabitants</w:t>
            </w:r>
          </w:p>
        </w:tc>
        <w:tc>
          <w:tcPr>
            <w:tcW w:w="144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17E831"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sz w:val="16"/>
                <w:szCs w:val="16"/>
                <w:lang w:val="en-US"/>
              </w:rPr>
              <w:t>Six years after the entry into force of this Standard</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36336317"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color w:val="000000"/>
                <w:sz w:val="16"/>
                <w:szCs w:val="16"/>
                <w:lang w:val="en-US"/>
              </w:rPr>
              <w:t>0.01</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6C6D2CA4"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color w:val="000000"/>
                <w:sz w:val="16"/>
                <w:szCs w:val="16"/>
                <w:lang w:val="en-US"/>
              </w:rPr>
              <w:t>0.003</w:t>
            </w:r>
          </w:p>
        </w:tc>
        <w:tc>
          <w:tcPr>
            <w:tcW w:w="1577" w:type="dxa"/>
            <w:tcBorders>
              <w:top w:val="single" w:sz="6" w:space="0" w:color="auto"/>
              <w:left w:val="single" w:sz="6" w:space="0" w:color="auto"/>
              <w:bottom w:val="single" w:sz="6" w:space="0" w:color="auto"/>
              <w:right w:val="single" w:sz="6" w:space="0" w:color="auto"/>
            </w:tcBorders>
            <w:shd w:val="clear" w:color="auto" w:fill="FFFFFF"/>
            <w:hideMark/>
          </w:tcPr>
          <w:p w14:paraId="33566DC4" w14:textId="77777777" w:rsidR="004E12B3" w:rsidRPr="00F01347" w:rsidRDefault="004E12B3">
            <w:pPr>
              <w:pStyle w:val="texto0"/>
              <w:spacing w:before="40" w:after="40" w:line="25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bl>
    <w:p w14:paraId="2A4D2E6B" w14:textId="77777777" w:rsidR="004E12B3" w:rsidRPr="00F01347" w:rsidRDefault="004E12B3" w:rsidP="004E12B3">
      <w:pPr>
        <w:pStyle w:val="texto0"/>
        <w:spacing w:line="226" w:lineRule="exact"/>
        <w:rPr>
          <w:rFonts w:ascii="Verdana" w:hAnsi="Verdana"/>
          <w:b/>
          <w:sz w:val="16"/>
          <w:szCs w:val="16"/>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35F37C0F" w14:textId="77777777" w:rsidTr="00427618">
        <w:tc>
          <w:tcPr>
            <w:tcW w:w="4675" w:type="dxa"/>
          </w:tcPr>
          <w:p w14:paraId="6E0F538F" w14:textId="0F40D775" w:rsidR="00204B58" w:rsidRPr="00F01347" w:rsidRDefault="00204B58" w:rsidP="00204B58">
            <w:pPr>
              <w:pStyle w:val="texto0"/>
              <w:spacing w:line="226" w:lineRule="exact"/>
              <w:ind w:firstLine="0"/>
              <w:rPr>
                <w:rFonts w:ascii="Verdana" w:hAnsi="Verdana"/>
                <w:b/>
                <w:sz w:val="16"/>
                <w:szCs w:val="16"/>
                <w:lang w:val="es-ES_tradnl"/>
              </w:rPr>
            </w:pPr>
            <w:r w:rsidRPr="00F01347">
              <w:rPr>
                <w:rFonts w:ascii="Verdana" w:hAnsi="Verdana"/>
                <w:b/>
                <w:sz w:val="16"/>
                <w:szCs w:val="16"/>
                <w:lang w:val="es-ES_tradnl"/>
              </w:rPr>
              <w:t>5.5</w:t>
            </w:r>
            <w:r w:rsidRPr="00F01347">
              <w:rPr>
                <w:rFonts w:ascii="Verdana" w:hAnsi="Verdana"/>
                <w:sz w:val="16"/>
                <w:szCs w:val="16"/>
                <w:lang w:val="es-ES_tradnl"/>
              </w:rPr>
              <w:t xml:space="preserve"> Microbiológicas:</w:t>
            </w:r>
          </w:p>
        </w:tc>
        <w:tc>
          <w:tcPr>
            <w:tcW w:w="4675" w:type="dxa"/>
          </w:tcPr>
          <w:p w14:paraId="5D0578AD" w14:textId="05D04759" w:rsidR="00204B58" w:rsidRPr="00F01347" w:rsidRDefault="00427618" w:rsidP="003A601B">
            <w:pPr>
              <w:pStyle w:val="texto0"/>
              <w:spacing w:line="226" w:lineRule="exact"/>
              <w:ind w:firstLine="0"/>
              <w:rPr>
                <w:rFonts w:ascii="Verdana" w:hAnsi="Verdana"/>
                <w:b/>
                <w:sz w:val="16"/>
                <w:szCs w:val="16"/>
                <w:lang w:val="es-ES_tradnl"/>
              </w:rPr>
            </w:pPr>
            <w:r w:rsidRPr="00F01347">
              <w:rPr>
                <w:rFonts w:ascii="Verdana" w:hAnsi="Verdana"/>
                <w:b/>
                <w:sz w:val="16"/>
                <w:szCs w:val="16"/>
                <w:lang w:val="es-ES_tradnl"/>
              </w:rPr>
              <w:t xml:space="preserve">5.5 </w:t>
            </w:r>
            <w:proofErr w:type="spellStart"/>
            <w:r w:rsidRPr="00F01347">
              <w:rPr>
                <w:rFonts w:ascii="Verdana" w:hAnsi="Verdana"/>
                <w:sz w:val="16"/>
                <w:szCs w:val="16"/>
                <w:lang w:val="es-ES_tradnl"/>
              </w:rPr>
              <w:t>Microbiological</w:t>
            </w:r>
            <w:proofErr w:type="spellEnd"/>
            <w:r w:rsidRPr="00F01347">
              <w:rPr>
                <w:rFonts w:ascii="Verdana" w:hAnsi="Verdana"/>
                <w:sz w:val="16"/>
                <w:szCs w:val="16"/>
                <w:lang w:val="es-ES_tradnl"/>
              </w:rPr>
              <w:t>:</w:t>
            </w:r>
          </w:p>
        </w:tc>
      </w:tr>
    </w:tbl>
    <w:p w14:paraId="4D5513E9" w14:textId="77777777" w:rsidR="00204B58" w:rsidRPr="00F01347" w:rsidRDefault="00204B58" w:rsidP="003A601B">
      <w:pPr>
        <w:pStyle w:val="texto0"/>
        <w:spacing w:line="226" w:lineRule="exact"/>
        <w:rPr>
          <w:rFonts w:ascii="Verdana" w:hAnsi="Verdana"/>
          <w:b/>
          <w:sz w:val="16"/>
          <w:szCs w:val="16"/>
          <w:lang w:val="es-ES_tradnl"/>
        </w:rPr>
      </w:pPr>
    </w:p>
    <w:p w14:paraId="374E839A" w14:textId="77777777" w:rsidR="00A74CDF" w:rsidRPr="00F01347" w:rsidRDefault="00A74CDF" w:rsidP="003A601B">
      <w:pPr>
        <w:pStyle w:val="texto0"/>
        <w:spacing w:line="226" w:lineRule="exact"/>
        <w:ind w:firstLine="0"/>
        <w:jc w:val="center"/>
        <w:rPr>
          <w:rFonts w:ascii="Verdana" w:hAnsi="Verdana"/>
          <w:b/>
          <w:color w:val="000000"/>
          <w:sz w:val="16"/>
          <w:szCs w:val="16"/>
        </w:rPr>
      </w:pPr>
      <w:r w:rsidRPr="00F01347">
        <w:rPr>
          <w:rFonts w:ascii="Verdana" w:hAnsi="Verdana"/>
          <w:b/>
          <w:sz w:val="16"/>
          <w:szCs w:val="16"/>
        </w:rPr>
        <w:t xml:space="preserve">Tabla 6 - </w:t>
      </w:r>
      <w:r w:rsidRPr="00F01347">
        <w:rPr>
          <w:rFonts w:ascii="Verdana" w:hAnsi="Verdana"/>
          <w:b/>
          <w:color w:val="000000"/>
          <w:sz w:val="16"/>
          <w:szCs w:val="16"/>
        </w:rPr>
        <w:t>Especificaciones sanitarias microbiológicas</w:t>
      </w:r>
    </w:p>
    <w:tbl>
      <w:tblPr>
        <w:tblW w:w="8712" w:type="dxa"/>
        <w:jc w:val="center"/>
        <w:tblLayout w:type="fixed"/>
        <w:tblCellMar>
          <w:left w:w="70" w:type="dxa"/>
          <w:right w:w="70" w:type="dxa"/>
        </w:tblCellMar>
        <w:tblLook w:val="0000" w:firstRow="0" w:lastRow="0" w:firstColumn="0" w:lastColumn="0" w:noHBand="0" w:noVBand="0"/>
      </w:tblPr>
      <w:tblGrid>
        <w:gridCol w:w="3259"/>
        <w:gridCol w:w="2906"/>
        <w:gridCol w:w="2547"/>
      </w:tblGrid>
      <w:tr w:rsidR="00A74CDF" w:rsidRPr="00F01347" w14:paraId="42254901" w14:textId="77777777">
        <w:trPr>
          <w:trHeight w:val="20"/>
          <w:jc w:val="center"/>
        </w:trPr>
        <w:tc>
          <w:tcPr>
            <w:tcW w:w="3259" w:type="dxa"/>
            <w:tcBorders>
              <w:top w:val="single" w:sz="6" w:space="0" w:color="auto"/>
              <w:left w:val="single" w:sz="6" w:space="0" w:color="auto"/>
              <w:bottom w:val="single" w:sz="6" w:space="0" w:color="auto"/>
              <w:right w:val="single" w:sz="6" w:space="0" w:color="auto"/>
            </w:tcBorders>
            <w:shd w:val="clear" w:color="auto" w:fill="auto"/>
            <w:noWrap/>
          </w:tcPr>
          <w:p w14:paraId="5A1B77F8" w14:textId="77777777" w:rsidR="00A74CDF" w:rsidRPr="00F01347" w:rsidRDefault="00A74CDF" w:rsidP="003A601B">
            <w:pPr>
              <w:pStyle w:val="texto0"/>
              <w:spacing w:before="40" w:after="40" w:line="250" w:lineRule="exact"/>
              <w:ind w:firstLine="0"/>
              <w:jc w:val="center"/>
              <w:rPr>
                <w:rFonts w:ascii="Verdana" w:hAnsi="Verdana"/>
                <w:b/>
                <w:color w:val="000000"/>
                <w:sz w:val="16"/>
                <w:szCs w:val="16"/>
              </w:rPr>
            </w:pPr>
            <w:r w:rsidRPr="00F01347">
              <w:rPr>
                <w:rFonts w:ascii="Verdana" w:hAnsi="Verdana"/>
                <w:b/>
                <w:color w:val="000000"/>
                <w:sz w:val="16"/>
                <w:szCs w:val="16"/>
              </w:rPr>
              <w:t>Parámetros</w:t>
            </w:r>
          </w:p>
        </w:tc>
        <w:tc>
          <w:tcPr>
            <w:tcW w:w="2906" w:type="dxa"/>
            <w:tcBorders>
              <w:top w:val="single" w:sz="6" w:space="0" w:color="auto"/>
              <w:left w:val="single" w:sz="6" w:space="0" w:color="auto"/>
              <w:bottom w:val="single" w:sz="6" w:space="0" w:color="auto"/>
              <w:right w:val="single" w:sz="6" w:space="0" w:color="auto"/>
            </w:tcBorders>
            <w:shd w:val="clear" w:color="auto" w:fill="auto"/>
          </w:tcPr>
          <w:p w14:paraId="6AD65ACE" w14:textId="77777777" w:rsidR="00A74CDF" w:rsidRPr="00F01347" w:rsidRDefault="00A74CDF" w:rsidP="003A601B">
            <w:pPr>
              <w:pStyle w:val="texto0"/>
              <w:spacing w:before="40" w:after="40" w:line="250" w:lineRule="exact"/>
              <w:ind w:firstLine="0"/>
              <w:jc w:val="center"/>
              <w:rPr>
                <w:rFonts w:ascii="Verdana" w:hAnsi="Verdana"/>
                <w:b/>
                <w:color w:val="000000"/>
                <w:sz w:val="16"/>
                <w:szCs w:val="16"/>
              </w:rPr>
            </w:pPr>
            <w:r w:rsidRPr="00F01347">
              <w:rPr>
                <w:rFonts w:ascii="Verdana" w:hAnsi="Verdana"/>
                <w:b/>
                <w:color w:val="000000"/>
                <w:sz w:val="16"/>
                <w:szCs w:val="16"/>
              </w:rPr>
              <w:t>Límite permisible</w:t>
            </w:r>
          </w:p>
        </w:tc>
        <w:tc>
          <w:tcPr>
            <w:tcW w:w="2547" w:type="dxa"/>
            <w:tcBorders>
              <w:top w:val="single" w:sz="6" w:space="0" w:color="auto"/>
              <w:left w:val="single" w:sz="6" w:space="0" w:color="auto"/>
              <w:bottom w:val="single" w:sz="6" w:space="0" w:color="auto"/>
              <w:right w:val="single" w:sz="6" w:space="0" w:color="auto"/>
            </w:tcBorders>
            <w:shd w:val="clear" w:color="auto" w:fill="auto"/>
          </w:tcPr>
          <w:p w14:paraId="3C667863" w14:textId="77777777" w:rsidR="00A74CDF" w:rsidRPr="00F01347" w:rsidRDefault="00A74CDF" w:rsidP="003A601B">
            <w:pPr>
              <w:pStyle w:val="texto0"/>
              <w:spacing w:before="40" w:after="40" w:line="250" w:lineRule="exact"/>
              <w:ind w:firstLine="0"/>
              <w:jc w:val="center"/>
              <w:rPr>
                <w:rFonts w:ascii="Verdana" w:hAnsi="Verdana"/>
                <w:b/>
                <w:color w:val="000000"/>
                <w:sz w:val="16"/>
                <w:szCs w:val="16"/>
              </w:rPr>
            </w:pPr>
            <w:r w:rsidRPr="00F01347">
              <w:rPr>
                <w:rFonts w:ascii="Verdana" w:hAnsi="Verdana"/>
                <w:b/>
                <w:color w:val="000000"/>
                <w:sz w:val="16"/>
                <w:szCs w:val="16"/>
              </w:rPr>
              <w:t>Unidades</w:t>
            </w:r>
          </w:p>
        </w:tc>
      </w:tr>
      <w:tr w:rsidR="00A74CDF" w:rsidRPr="00F01347" w14:paraId="3B7545C8" w14:textId="77777777">
        <w:trPr>
          <w:trHeight w:val="20"/>
          <w:jc w:val="center"/>
        </w:trPr>
        <w:tc>
          <w:tcPr>
            <w:tcW w:w="3259" w:type="dxa"/>
            <w:vMerge w:val="restart"/>
            <w:tcBorders>
              <w:top w:val="single" w:sz="6" w:space="0" w:color="auto"/>
              <w:left w:val="single" w:sz="6" w:space="0" w:color="auto"/>
              <w:right w:val="single" w:sz="6" w:space="0" w:color="auto"/>
            </w:tcBorders>
            <w:shd w:val="clear" w:color="auto" w:fill="auto"/>
            <w:vAlign w:val="center"/>
          </w:tcPr>
          <w:p w14:paraId="2B6E7971" w14:textId="77777777" w:rsidR="00A74CDF" w:rsidRPr="00F01347" w:rsidRDefault="00A74CDF" w:rsidP="003A601B">
            <w:pPr>
              <w:pStyle w:val="texto0"/>
              <w:spacing w:before="40" w:after="40" w:line="250" w:lineRule="exact"/>
              <w:ind w:firstLine="0"/>
              <w:rPr>
                <w:rFonts w:ascii="Verdana" w:hAnsi="Verdana"/>
                <w:i/>
                <w:sz w:val="16"/>
                <w:szCs w:val="16"/>
                <w:lang w:val="pt-BR"/>
              </w:rPr>
            </w:pPr>
            <w:r w:rsidRPr="00F01347">
              <w:rPr>
                <w:rFonts w:ascii="Verdana" w:hAnsi="Verdana"/>
                <w:i/>
                <w:sz w:val="16"/>
                <w:szCs w:val="16"/>
                <w:lang w:val="pt-BR"/>
              </w:rPr>
              <w:t xml:space="preserve">E. coli </w:t>
            </w:r>
            <w:r w:rsidRPr="00F01347">
              <w:rPr>
                <w:rFonts w:ascii="Verdana" w:hAnsi="Verdana"/>
                <w:sz w:val="16"/>
                <w:szCs w:val="16"/>
                <w:lang w:val="pt-BR"/>
              </w:rPr>
              <w:t>o Coliformes termotolerantes</w:t>
            </w:r>
          </w:p>
        </w:tc>
        <w:tc>
          <w:tcPr>
            <w:tcW w:w="2906" w:type="dxa"/>
            <w:tcBorders>
              <w:top w:val="single" w:sz="6" w:space="0" w:color="auto"/>
              <w:left w:val="single" w:sz="6" w:space="0" w:color="auto"/>
              <w:bottom w:val="single" w:sz="6" w:space="0" w:color="auto"/>
              <w:right w:val="single" w:sz="6" w:space="0" w:color="auto"/>
            </w:tcBorders>
            <w:shd w:val="clear" w:color="auto" w:fill="auto"/>
          </w:tcPr>
          <w:p w14:paraId="4835A1DE"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color w:val="000000"/>
                <w:sz w:val="16"/>
                <w:szCs w:val="16"/>
              </w:rPr>
              <w:t xml:space="preserve">&lt;1.1 </w:t>
            </w:r>
            <w:proofErr w:type="spellStart"/>
            <w:r w:rsidRPr="00F01347">
              <w:rPr>
                <w:rFonts w:ascii="Verdana" w:hAnsi="Verdana"/>
                <w:color w:val="000000"/>
                <w:sz w:val="16"/>
                <w:szCs w:val="16"/>
              </w:rPr>
              <w:t>ó</w:t>
            </w:r>
            <w:proofErr w:type="spellEnd"/>
            <w:r w:rsidRPr="00F01347">
              <w:rPr>
                <w:rFonts w:ascii="Verdana" w:hAnsi="Verdana"/>
                <w:color w:val="000000"/>
                <w:sz w:val="16"/>
                <w:szCs w:val="16"/>
              </w:rPr>
              <w:t xml:space="preserve"> No detectable</w:t>
            </w:r>
          </w:p>
        </w:tc>
        <w:tc>
          <w:tcPr>
            <w:tcW w:w="2547" w:type="dxa"/>
            <w:tcBorders>
              <w:top w:val="single" w:sz="6" w:space="0" w:color="auto"/>
              <w:left w:val="single" w:sz="6" w:space="0" w:color="auto"/>
              <w:bottom w:val="single" w:sz="6" w:space="0" w:color="auto"/>
              <w:right w:val="single" w:sz="6" w:space="0" w:color="auto"/>
            </w:tcBorders>
            <w:shd w:val="clear" w:color="auto" w:fill="auto"/>
          </w:tcPr>
          <w:p w14:paraId="4C8F95DE"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sz w:val="16"/>
                <w:szCs w:val="16"/>
              </w:rPr>
              <w:t xml:space="preserve">NMP/100 </w:t>
            </w:r>
            <w:proofErr w:type="spellStart"/>
            <w:r w:rsidRPr="00F01347">
              <w:rPr>
                <w:rFonts w:ascii="Verdana" w:hAnsi="Verdana"/>
                <w:sz w:val="16"/>
                <w:szCs w:val="16"/>
              </w:rPr>
              <w:t>mL</w:t>
            </w:r>
            <w:proofErr w:type="spellEnd"/>
          </w:p>
        </w:tc>
      </w:tr>
      <w:tr w:rsidR="00A74CDF" w:rsidRPr="00F01347" w14:paraId="6A7F19BE" w14:textId="77777777">
        <w:trPr>
          <w:trHeight w:val="20"/>
          <w:jc w:val="center"/>
        </w:trPr>
        <w:tc>
          <w:tcPr>
            <w:tcW w:w="3259" w:type="dxa"/>
            <w:vMerge/>
            <w:tcBorders>
              <w:left w:val="single" w:sz="6" w:space="0" w:color="auto"/>
              <w:right w:val="single" w:sz="6" w:space="0" w:color="auto"/>
            </w:tcBorders>
            <w:shd w:val="clear" w:color="auto" w:fill="auto"/>
          </w:tcPr>
          <w:p w14:paraId="1D02E539" w14:textId="77777777" w:rsidR="00A74CDF" w:rsidRPr="00F01347" w:rsidRDefault="00A74CDF" w:rsidP="003A601B">
            <w:pPr>
              <w:pStyle w:val="texto0"/>
              <w:spacing w:before="40" w:after="40" w:line="250" w:lineRule="exact"/>
              <w:ind w:firstLine="0"/>
              <w:rPr>
                <w:rFonts w:ascii="Verdana" w:hAnsi="Verdana"/>
                <w:i/>
                <w:sz w:val="16"/>
                <w:szCs w:val="16"/>
                <w:lang w:val="pt-BR"/>
              </w:rPr>
            </w:pPr>
          </w:p>
        </w:tc>
        <w:tc>
          <w:tcPr>
            <w:tcW w:w="2906" w:type="dxa"/>
            <w:tcBorders>
              <w:top w:val="single" w:sz="6" w:space="0" w:color="auto"/>
              <w:left w:val="single" w:sz="6" w:space="0" w:color="auto"/>
              <w:bottom w:val="single" w:sz="6" w:space="0" w:color="auto"/>
              <w:right w:val="single" w:sz="6" w:space="0" w:color="auto"/>
            </w:tcBorders>
            <w:shd w:val="clear" w:color="auto" w:fill="auto"/>
          </w:tcPr>
          <w:p w14:paraId="13206DD6"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color w:val="000000"/>
                <w:sz w:val="16"/>
                <w:szCs w:val="16"/>
              </w:rPr>
              <w:t>&lt;1</w:t>
            </w:r>
          </w:p>
        </w:tc>
        <w:tc>
          <w:tcPr>
            <w:tcW w:w="2547" w:type="dxa"/>
            <w:tcBorders>
              <w:top w:val="single" w:sz="6" w:space="0" w:color="auto"/>
              <w:left w:val="single" w:sz="6" w:space="0" w:color="auto"/>
              <w:bottom w:val="single" w:sz="6" w:space="0" w:color="auto"/>
              <w:right w:val="single" w:sz="6" w:space="0" w:color="auto"/>
            </w:tcBorders>
            <w:shd w:val="clear" w:color="auto" w:fill="auto"/>
          </w:tcPr>
          <w:p w14:paraId="5E227213"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sz w:val="16"/>
                <w:szCs w:val="16"/>
              </w:rPr>
              <w:t xml:space="preserve">UFC/100 </w:t>
            </w:r>
            <w:proofErr w:type="spellStart"/>
            <w:r w:rsidRPr="00F01347">
              <w:rPr>
                <w:rFonts w:ascii="Verdana" w:hAnsi="Verdana"/>
                <w:sz w:val="16"/>
                <w:szCs w:val="16"/>
              </w:rPr>
              <w:t>mL</w:t>
            </w:r>
            <w:proofErr w:type="spellEnd"/>
          </w:p>
        </w:tc>
      </w:tr>
      <w:tr w:rsidR="00A74CDF" w:rsidRPr="00F01347" w14:paraId="7449910D" w14:textId="77777777">
        <w:trPr>
          <w:trHeight w:val="20"/>
          <w:jc w:val="center"/>
        </w:trPr>
        <w:tc>
          <w:tcPr>
            <w:tcW w:w="3259" w:type="dxa"/>
            <w:vMerge/>
            <w:tcBorders>
              <w:left w:val="single" w:sz="6" w:space="0" w:color="auto"/>
              <w:bottom w:val="single" w:sz="6" w:space="0" w:color="auto"/>
              <w:right w:val="single" w:sz="6" w:space="0" w:color="auto"/>
            </w:tcBorders>
            <w:shd w:val="clear" w:color="auto" w:fill="auto"/>
          </w:tcPr>
          <w:p w14:paraId="290B7BDF" w14:textId="77777777" w:rsidR="00A74CDF" w:rsidRPr="00F01347" w:rsidRDefault="00A74CDF" w:rsidP="003A601B">
            <w:pPr>
              <w:pStyle w:val="texto0"/>
              <w:spacing w:before="40" w:after="40" w:line="250" w:lineRule="exact"/>
              <w:ind w:firstLine="0"/>
              <w:rPr>
                <w:rFonts w:ascii="Verdana" w:hAnsi="Verdana"/>
                <w:i/>
                <w:sz w:val="16"/>
                <w:szCs w:val="16"/>
                <w:lang w:val="pt-BR"/>
              </w:rPr>
            </w:pPr>
          </w:p>
        </w:tc>
        <w:tc>
          <w:tcPr>
            <w:tcW w:w="2906" w:type="dxa"/>
            <w:tcBorders>
              <w:top w:val="single" w:sz="6" w:space="0" w:color="auto"/>
              <w:left w:val="single" w:sz="6" w:space="0" w:color="auto"/>
              <w:bottom w:val="single" w:sz="6" w:space="0" w:color="auto"/>
              <w:right w:val="single" w:sz="6" w:space="0" w:color="auto"/>
            </w:tcBorders>
            <w:shd w:val="clear" w:color="auto" w:fill="auto"/>
          </w:tcPr>
          <w:p w14:paraId="389BD86E"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color w:val="000000"/>
                <w:sz w:val="16"/>
                <w:szCs w:val="16"/>
              </w:rPr>
              <w:t>Ausencia</w:t>
            </w:r>
          </w:p>
        </w:tc>
        <w:tc>
          <w:tcPr>
            <w:tcW w:w="2547" w:type="dxa"/>
            <w:tcBorders>
              <w:top w:val="single" w:sz="6" w:space="0" w:color="auto"/>
              <w:left w:val="single" w:sz="6" w:space="0" w:color="auto"/>
              <w:bottom w:val="single" w:sz="6" w:space="0" w:color="auto"/>
              <w:right w:val="single" w:sz="6" w:space="0" w:color="auto"/>
            </w:tcBorders>
            <w:shd w:val="clear" w:color="auto" w:fill="auto"/>
          </w:tcPr>
          <w:p w14:paraId="4DCAB333"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sz w:val="16"/>
                <w:szCs w:val="16"/>
              </w:rPr>
              <w:t>Ausencia o Presencia/100mL</w:t>
            </w:r>
          </w:p>
        </w:tc>
      </w:tr>
      <w:tr w:rsidR="00A74CDF" w:rsidRPr="00F01347" w14:paraId="365313EF" w14:textId="77777777">
        <w:trPr>
          <w:trHeight w:val="20"/>
          <w:jc w:val="center"/>
        </w:trPr>
        <w:tc>
          <w:tcPr>
            <w:tcW w:w="3259" w:type="dxa"/>
            <w:tcBorders>
              <w:top w:val="single" w:sz="6" w:space="0" w:color="auto"/>
              <w:left w:val="single" w:sz="6" w:space="0" w:color="auto"/>
              <w:bottom w:val="single" w:sz="6" w:space="0" w:color="auto"/>
              <w:right w:val="single" w:sz="6" w:space="0" w:color="auto"/>
            </w:tcBorders>
            <w:shd w:val="clear" w:color="auto" w:fill="auto"/>
          </w:tcPr>
          <w:p w14:paraId="454EA4A5" w14:textId="77777777" w:rsidR="00A74CDF" w:rsidRPr="00F01347" w:rsidRDefault="00A74CDF" w:rsidP="003A601B">
            <w:pPr>
              <w:pStyle w:val="texto0"/>
              <w:spacing w:before="40" w:after="40" w:line="250" w:lineRule="exact"/>
              <w:ind w:firstLine="0"/>
              <w:rPr>
                <w:rFonts w:ascii="Verdana" w:hAnsi="Verdana"/>
                <w:i/>
                <w:sz w:val="16"/>
                <w:szCs w:val="16"/>
              </w:rPr>
            </w:pP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p>
        </w:tc>
        <w:tc>
          <w:tcPr>
            <w:tcW w:w="2906" w:type="dxa"/>
            <w:tcBorders>
              <w:top w:val="single" w:sz="6" w:space="0" w:color="auto"/>
              <w:left w:val="single" w:sz="6" w:space="0" w:color="auto"/>
              <w:bottom w:val="single" w:sz="6" w:space="0" w:color="auto"/>
              <w:right w:val="single" w:sz="6" w:space="0" w:color="auto"/>
            </w:tcBorders>
            <w:shd w:val="clear" w:color="auto" w:fill="auto"/>
          </w:tcPr>
          <w:p w14:paraId="750F30C5"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color w:val="000000"/>
                <w:sz w:val="16"/>
                <w:szCs w:val="16"/>
              </w:rPr>
              <w:t>Ausencia</w:t>
            </w:r>
          </w:p>
        </w:tc>
        <w:tc>
          <w:tcPr>
            <w:tcW w:w="2547" w:type="dxa"/>
            <w:tcBorders>
              <w:top w:val="single" w:sz="6" w:space="0" w:color="auto"/>
              <w:left w:val="single" w:sz="6" w:space="0" w:color="auto"/>
              <w:bottom w:val="single" w:sz="6" w:space="0" w:color="auto"/>
              <w:right w:val="single" w:sz="6" w:space="0" w:color="auto"/>
            </w:tcBorders>
            <w:shd w:val="clear" w:color="auto" w:fill="auto"/>
          </w:tcPr>
          <w:p w14:paraId="62CEE5CF" w14:textId="77777777" w:rsidR="00A74CDF" w:rsidRPr="00F01347" w:rsidRDefault="00A74CDF" w:rsidP="003A601B">
            <w:pPr>
              <w:pStyle w:val="texto0"/>
              <w:spacing w:before="40" w:after="40" w:line="250" w:lineRule="exact"/>
              <w:ind w:firstLine="0"/>
              <w:jc w:val="center"/>
              <w:rPr>
                <w:rFonts w:ascii="Verdana" w:hAnsi="Verdana"/>
                <w:sz w:val="16"/>
                <w:szCs w:val="16"/>
              </w:rPr>
            </w:pPr>
            <w:r w:rsidRPr="00F01347">
              <w:rPr>
                <w:rFonts w:ascii="Verdana" w:hAnsi="Verdana"/>
                <w:sz w:val="16"/>
                <w:szCs w:val="16"/>
              </w:rPr>
              <w:t>Quistes/20L</w:t>
            </w:r>
          </w:p>
        </w:tc>
      </w:tr>
      <w:tr w:rsidR="00A74CDF" w:rsidRPr="00F01347" w14:paraId="5FA7090A" w14:textId="77777777">
        <w:trPr>
          <w:trHeight w:val="20"/>
          <w:jc w:val="center"/>
        </w:trPr>
        <w:tc>
          <w:tcPr>
            <w:tcW w:w="8712" w:type="dxa"/>
            <w:gridSpan w:val="3"/>
            <w:tcBorders>
              <w:top w:val="single" w:sz="6" w:space="0" w:color="auto"/>
            </w:tcBorders>
            <w:shd w:val="clear" w:color="auto" w:fill="auto"/>
          </w:tcPr>
          <w:p w14:paraId="2C309A95" w14:textId="77777777" w:rsidR="00A74CDF" w:rsidRPr="00F01347" w:rsidRDefault="00A74CDF" w:rsidP="003A601B">
            <w:pPr>
              <w:pStyle w:val="texto0"/>
              <w:spacing w:before="40" w:after="40" w:line="226" w:lineRule="exact"/>
              <w:ind w:firstLine="0"/>
              <w:rPr>
                <w:rFonts w:ascii="Verdana" w:hAnsi="Verdana"/>
                <w:sz w:val="16"/>
                <w:szCs w:val="16"/>
              </w:rPr>
            </w:pPr>
            <w:r w:rsidRPr="00F01347">
              <w:rPr>
                <w:rFonts w:ascii="Verdana" w:hAnsi="Verdana"/>
                <w:color w:val="000000"/>
                <w:sz w:val="16"/>
                <w:szCs w:val="16"/>
              </w:rPr>
              <w:t xml:space="preserve">NOTA 1 </w:t>
            </w:r>
            <w:r w:rsidRPr="00F01347">
              <w:rPr>
                <w:rFonts w:ascii="Verdana" w:hAnsi="Verdana"/>
                <w:sz w:val="16"/>
                <w:szCs w:val="16"/>
                <w:lang w:val="es-ES_tradnl"/>
              </w:rPr>
              <w:t>El organismo responsable debe seleccionar uno de los dos parámetros para su análisis</w:t>
            </w:r>
            <w:r w:rsidRPr="00F01347">
              <w:rPr>
                <w:rFonts w:ascii="Verdana" w:hAnsi="Verdana"/>
                <w:i/>
                <w:sz w:val="16"/>
                <w:szCs w:val="16"/>
                <w:lang w:val="es-ES_tradnl"/>
              </w:rPr>
              <w:t xml:space="preserve">: E. </w:t>
            </w:r>
            <w:proofErr w:type="spellStart"/>
            <w:r w:rsidRPr="00F01347">
              <w:rPr>
                <w:rFonts w:ascii="Verdana" w:hAnsi="Verdana"/>
                <w:i/>
                <w:sz w:val="16"/>
                <w:szCs w:val="16"/>
                <w:lang w:val="es-ES_tradnl"/>
              </w:rPr>
              <w:t>coli</w:t>
            </w:r>
            <w:proofErr w:type="spellEnd"/>
            <w:r w:rsidRPr="00F01347">
              <w:rPr>
                <w:rFonts w:ascii="Verdana" w:hAnsi="Verdana"/>
                <w:i/>
                <w:sz w:val="16"/>
                <w:szCs w:val="16"/>
                <w:lang w:val="es-ES_tradnl"/>
              </w:rPr>
              <w:t xml:space="preserve"> o</w:t>
            </w:r>
            <w:r w:rsidRPr="00F01347">
              <w:rPr>
                <w:rFonts w:ascii="Verdana" w:hAnsi="Verdana"/>
                <w:sz w:val="16"/>
                <w:szCs w:val="16"/>
                <w:lang w:val="es-ES_tradnl"/>
              </w:rPr>
              <w:t xml:space="preserve"> coliformes </w:t>
            </w:r>
            <w:proofErr w:type="spellStart"/>
            <w:r w:rsidRPr="00F01347">
              <w:rPr>
                <w:rFonts w:ascii="Verdana" w:hAnsi="Verdana"/>
                <w:sz w:val="16"/>
                <w:szCs w:val="16"/>
                <w:lang w:val="es-ES_tradnl"/>
              </w:rPr>
              <w:t>termotolerantes</w:t>
            </w:r>
            <w:proofErr w:type="spellEnd"/>
            <w:r w:rsidRPr="00F01347">
              <w:rPr>
                <w:rFonts w:ascii="Verdana" w:hAnsi="Verdana"/>
                <w:sz w:val="16"/>
                <w:szCs w:val="16"/>
                <w:lang w:val="es-ES_tradnl"/>
              </w:rPr>
              <w:t xml:space="preserve"> (coliformes fecales).</w:t>
            </w:r>
          </w:p>
        </w:tc>
      </w:tr>
      <w:tr w:rsidR="00A74CDF" w:rsidRPr="00F01347" w14:paraId="34842C0D" w14:textId="77777777">
        <w:trPr>
          <w:trHeight w:val="20"/>
          <w:jc w:val="center"/>
        </w:trPr>
        <w:tc>
          <w:tcPr>
            <w:tcW w:w="8712" w:type="dxa"/>
            <w:gridSpan w:val="3"/>
            <w:shd w:val="clear" w:color="auto" w:fill="auto"/>
          </w:tcPr>
          <w:p w14:paraId="2612A657" w14:textId="77777777" w:rsidR="00A74CDF" w:rsidRPr="00F01347" w:rsidRDefault="00A74CDF" w:rsidP="003A601B">
            <w:pPr>
              <w:pStyle w:val="texto0"/>
              <w:spacing w:before="40" w:after="40" w:line="226" w:lineRule="exact"/>
              <w:ind w:firstLine="0"/>
              <w:rPr>
                <w:rFonts w:ascii="Verdana" w:hAnsi="Verdana"/>
                <w:color w:val="000000"/>
                <w:sz w:val="16"/>
                <w:szCs w:val="16"/>
                <w:lang w:val="es-ES_tradnl"/>
              </w:rPr>
            </w:pPr>
            <w:r w:rsidRPr="00F01347">
              <w:rPr>
                <w:rFonts w:ascii="Verdana" w:hAnsi="Verdana"/>
                <w:sz w:val="16"/>
                <w:szCs w:val="16"/>
                <w:lang w:val="es-ES_tradnl"/>
              </w:rPr>
              <w:t>NOTA 2 Las unidades de medida (NMP/100mL; UFC/100mL; Ausencia o Presencia/100mL) corresponden a los tres métodos de prueba aceptados para el cumplimiento de esta Norma.</w:t>
            </w:r>
          </w:p>
        </w:tc>
      </w:tr>
      <w:tr w:rsidR="00A74CDF" w:rsidRPr="00F01347" w14:paraId="4460C141" w14:textId="77777777">
        <w:trPr>
          <w:trHeight w:val="20"/>
          <w:jc w:val="center"/>
        </w:trPr>
        <w:tc>
          <w:tcPr>
            <w:tcW w:w="8712" w:type="dxa"/>
            <w:gridSpan w:val="3"/>
            <w:shd w:val="clear" w:color="auto" w:fill="auto"/>
          </w:tcPr>
          <w:p w14:paraId="4D9ABD66" w14:textId="77777777" w:rsidR="00A74CDF" w:rsidRPr="00F01347" w:rsidRDefault="00A74CDF" w:rsidP="003A601B">
            <w:pPr>
              <w:pStyle w:val="texto0"/>
              <w:spacing w:before="40" w:after="40" w:line="226" w:lineRule="exact"/>
              <w:ind w:firstLine="0"/>
              <w:rPr>
                <w:rFonts w:ascii="Verdana" w:hAnsi="Verdana"/>
                <w:sz w:val="16"/>
                <w:szCs w:val="16"/>
                <w:lang w:val="es-ES_tradnl"/>
              </w:rPr>
            </w:pPr>
            <w:r w:rsidRPr="00F01347">
              <w:rPr>
                <w:rFonts w:ascii="Verdana" w:hAnsi="Verdana"/>
                <w:sz w:val="16"/>
                <w:szCs w:val="16"/>
                <w:lang w:val="es-ES_tradnl"/>
              </w:rPr>
              <w:t xml:space="preserve">NOTA 3 </w:t>
            </w:r>
            <w:proofErr w:type="spellStart"/>
            <w:r w:rsidRPr="00F01347">
              <w:rPr>
                <w:rFonts w:ascii="Verdana" w:hAnsi="Verdana"/>
                <w:i/>
                <w:sz w:val="16"/>
                <w:szCs w:val="16"/>
                <w:lang w:val="es-ES_tradnl"/>
              </w:rPr>
              <w:t>Giardia</w:t>
            </w:r>
            <w:proofErr w:type="spellEnd"/>
            <w:r w:rsidRPr="00F01347">
              <w:rPr>
                <w:rFonts w:ascii="Verdana" w:hAnsi="Verdana"/>
                <w:i/>
                <w:sz w:val="16"/>
                <w:szCs w:val="16"/>
                <w:lang w:val="es-ES_tradnl"/>
              </w:rPr>
              <w:t xml:space="preserve"> </w:t>
            </w:r>
            <w:proofErr w:type="spellStart"/>
            <w:r w:rsidRPr="00F01347">
              <w:rPr>
                <w:rFonts w:ascii="Verdana" w:hAnsi="Verdana"/>
                <w:i/>
                <w:sz w:val="16"/>
                <w:szCs w:val="16"/>
                <w:lang w:val="es-ES_tradnl"/>
              </w:rPr>
              <w:t>lamblia</w:t>
            </w:r>
            <w:proofErr w:type="spellEnd"/>
            <w:r w:rsidRPr="00F01347">
              <w:rPr>
                <w:rFonts w:ascii="Verdana" w:hAnsi="Verdana"/>
                <w:sz w:val="16"/>
                <w:szCs w:val="16"/>
                <w:lang w:val="es-ES_tradnl"/>
              </w:rPr>
              <w:t xml:space="preserve"> debe determinarse sólo en caso de que el agua provenga de fuente superficial o que la fuente tenga influencia de agua superficial.</w:t>
            </w:r>
          </w:p>
        </w:tc>
      </w:tr>
    </w:tbl>
    <w:p w14:paraId="4EE2B43A" w14:textId="77777777" w:rsidR="00A74CDF" w:rsidRPr="00F01347" w:rsidRDefault="00A74CDF" w:rsidP="003A601B">
      <w:pPr>
        <w:pStyle w:val="texto0"/>
        <w:spacing w:after="60"/>
        <w:rPr>
          <w:rFonts w:ascii="Verdana" w:hAnsi="Verdana"/>
          <w:b/>
          <w:sz w:val="16"/>
          <w:szCs w:val="16"/>
          <w:lang w:val="es-ES_tradnl"/>
        </w:rPr>
      </w:pPr>
    </w:p>
    <w:p w14:paraId="1A5F7FFD" w14:textId="77777777" w:rsidR="004E12B3" w:rsidRPr="00F01347" w:rsidRDefault="004E12B3" w:rsidP="004E12B3">
      <w:pPr>
        <w:pStyle w:val="texto0"/>
        <w:spacing w:line="226" w:lineRule="exact"/>
        <w:ind w:firstLine="0"/>
        <w:jc w:val="center"/>
        <w:rPr>
          <w:rFonts w:ascii="Verdana" w:hAnsi="Verdana"/>
          <w:b/>
          <w:color w:val="000000"/>
          <w:sz w:val="16"/>
          <w:szCs w:val="16"/>
          <w:lang w:val="en-US"/>
        </w:rPr>
      </w:pPr>
      <w:r w:rsidRPr="00F01347">
        <w:rPr>
          <w:rFonts w:ascii="Verdana" w:hAnsi="Verdana"/>
          <w:b/>
          <w:sz w:val="16"/>
          <w:szCs w:val="16"/>
          <w:lang w:val="en-US"/>
        </w:rPr>
        <w:lastRenderedPageBreak/>
        <w:t xml:space="preserve">Table 6 - </w:t>
      </w:r>
      <w:r w:rsidRPr="00F01347">
        <w:rPr>
          <w:rFonts w:ascii="Verdana" w:hAnsi="Verdana"/>
          <w:b/>
          <w:color w:val="000000"/>
          <w:sz w:val="16"/>
          <w:szCs w:val="16"/>
          <w:lang w:val="en-US"/>
        </w:rPr>
        <w:t>Microbiological health specifications</w:t>
      </w:r>
    </w:p>
    <w:tbl>
      <w:tblPr>
        <w:tblW w:w="8715" w:type="dxa"/>
        <w:jc w:val="center"/>
        <w:tblLayout w:type="fixed"/>
        <w:tblCellMar>
          <w:left w:w="70" w:type="dxa"/>
          <w:right w:w="70" w:type="dxa"/>
        </w:tblCellMar>
        <w:tblLook w:val="04A0" w:firstRow="1" w:lastRow="0" w:firstColumn="1" w:lastColumn="0" w:noHBand="0" w:noVBand="1"/>
      </w:tblPr>
      <w:tblGrid>
        <w:gridCol w:w="3260"/>
        <w:gridCol w:w="2907"/>
        <w:gridCol w:w="2548"/>
      </w:tblGrid>
      <w:tr w:rsidR="004E12B3" w:rsidRPr="00F01347" w14:paraId="5706A0E8" w14:textId="77777777" w:rsidTr="004E12B3">
        <w:trPr>
          <w:trHeight w:val="20"/>
          <w:jc w:val="center"/>
        </w:trPr>
        <w:tc>
          <w:tcPr>
            <w:tcW w:w="3259" w:type="dxa"/>
            <w:tcBorders>
              <w:top w:val="single" w:sz="6" w:space="0" w:color="auto"/>
              <w:left w:val="single" w:sz="6" w:space="0" w:color="auto"/>
              <w:bottom w:val="single" w:sz="6" w:space="0" w:color="auto"/>
              <w:right w:val="single" w:sz="6" w:space="0" w:color="auto"/>
            </w:tcBorders>
            <w:noWrap/>
            <w:hideMark/>
          </w:tcPr>
          <w:p w14:paraId="5CBDCA80" w14:textId="77777777" w:rsidR="004E12B3" w:rsidRPr="00F01347" w:rsidRDefault="004E12B3">
            <w:pPr>
              <w:pStyle w:val="texto0"/>
              <w:spacing w:before="40" w:after="40" w:line="250"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Parameters</w:t>
            </w:r>
          </w:p>
        </w:tc>
        <w:tc>
          <w:tcPr>
            <w:tcW w:w="2906" w:type="dxa"/>
            <w:tcBorders>
              <w:top w:val="single" w:sz="6" w:space="0" w:color="auto"/>
              <w:left w:val="single" w:sz="6" w:space="0" w:color="auto"/>
              <w:bottom w:val="single" w:sz="6" w:space="0" w:color="auto"/>
              <w:right w:val="single" w:sz="6" w:space="0" w:color="auto"/>
            </w:tcBorders>
            <w:hideMark/>
          </w:tcPr>
          <w:p w14:paraId="780E762D" w14:textId="77777777" w:rsidR="004E12B3" w:rsidRPr="00F01347" w:rsidRDefault="004E12B3">
            <w:pPr>
              <w:pStyle w:val="texto0"/>
              <w:spacing w:before="40" w:after="40" w:line="250"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Permissible limit</w:t>
            </w:r>
          </w:p>
        </w:tc>
        <w:tc>
          <w:tcPr>
            <w:tcW w:w="2547" w:type="dxa"/>
            <w:tcBorders>
              <w:top w:val="single" w:sz="6" w:space="0" w:color="auto"/>
              <w:left w:val="single" w:sz="6" w:space="0" w:color="auto"/>
              <w:bottom w:val="single" w:sz="6" w:space="0" w:color="auto"/>
              <w:right w:val="single" w:sz="6" w:space="0" w:color="auto"/>
            </w:tcBorders>
            <w:hideMark/>
          </w:tcPr>
          <w:p w14:paraId="5DD888D8" w14:textId="77777777" w:rsidR="004E12B3" w:rsidRPr="00F01347" w:rsidRDefault="004E12B3">
            <w:pPr>
              <w:pStyle w:val="texto0"/>
              <w:spacing w:before="40" w:after="40" w:line="250"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Units</w:t>
            </w:r>
          </w:p>
        </w:tc>
      </w:tr>
      <w:tr w:rsidR="004E12B3" w:rsidRPr="00F01347" w14:paraId="25A3B326" w14:textId="77777777" w:rsidTr="004E12B3">
        <w:trPr>
          <w:trHeight w:val="20"/>
          <w:jc w:val="center"/>
        </w:trPr>
        <w:tc>
          <w:tcPr>
            <w:tcW w:w="3259" w:type="dxa"/>
            <w:vMerge w:val="restart"/>
            <w:tcBorders>
              <w:top w:val="single" w:sz="6" w:space="0" w:color="auto"/>
              <w:left w:val="single" w:sz="6" w:space="0" w:color="auto"/>
              <w:bottom w:val="single" w:sz="6" w:space="0" w:color="auto"/>
              <w:right w:val="single" w:sz="6" w:space="0" w:color="auto"/>
            </w:tcBorders>
            <w:vAlign w:val="center"/>
            <w:hideMark/>
          </w:tcPr>
          <w:p w14:paraId="3457C756" w14:textId="77777777" w:rsidR="004E12B3" w:rsidRPr="00F01347" w:rsidRDefault="004E12B3">
            <w:pPr>
              <w:pStyle w:val="texto0"/>
              <w:spacing w:before="40" w:after="40" w:line="250" w:lineRule="exact"/>
              <w:ind w:firstLine="0"/>
              <w:rPr>
                <w:rFonts w:ascii="Verdana" w:hAnsi="Verdana"/>
                <w:i/>
                <w:sz w:val="16"/>
                <w:szCs w:val="16"/>
                <w:lang w:val="en-US"/>
              </w:rPr>
            </w:pPr>
            <w:r w:rsidRPr="00F01347">
              <w:rPr>
                <w:rFonts w:ascii="Verdana" w:hAnsi="Verdana"/>
                <w:i/>
                <w:sz w:val="16"/>
                <w:szCs w:val="16"/>
                <w:lang w:val="en-US"/>
              </w:rPr>
              <w:t xml:space="preserve">E. coli </w:t>
            </w:r>
            <w:r w:rsidRPr="00F01347">
              <w:rPr>
                <w:rFonts w:ascii="Verdana" w:hAnsi="Verdana"/>
                <w:sz w:val="16"/>
                <w:szCs w:val="16"/>
                <w:lang w:val="en-US"/>
              </w:rPr>
              <w:t>or thermotolerant coliforms</w:t>
            </w:r>
          </w:p>
        </w:tc>
        <w:tc>
          <w:tcPr>
            <w:tcW w:w="2906" w:type="dxa"/>
            <w:tcBorders>
              <w:top w:val="single" w:sz="6" w:space="0" w:color="auto"/>
              <w:left w:val="single" w:sz="6" w:space="0" w:color="auto"/>
              <w:bottom w:val="single" w:sz="6" w:space="0" w:color="auto"/>
              <w:right w:val="single" w:sz="6" w:space="0" w:color="auto"/>
            </w:tcBorders>
            <w:hideMark/>
          </w:tcPr>
          <w:p w14:paraId="26870D07"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color w:val="000000"/>
                <w:sz w:val="16"/>
                <w:szCs w:val="16"/>
                <w:lang w:val="en-US"/>
              </w:rPr>
              <w:t xml:space="preserve">&lt;1.1 or </w:t>
            </w:r>
            <w:proofErr w:type="gramStart"/>
            <w:r w:rsidRPr="00F01347">
              <w:rPr>
                <w:rFonts w:ascii="Verdana" w:hAnsi="Verdana"/>
                <w:color w:val="000000"/>
                <w:sz w:val="16"/>
                <w:szCs w:val="16"/>
                <w:lang w:val="en-US"/>
              </w:rPr>
              <w:t>Not</w:t>
            </w:r>
            <w:proofErr w:type="gramEnd"/>
            <w:r w:rsidRPr="00F01347">
              <w:rPr>
                <w:rFonts w:ascii="Verdana" w:hAnsi="Verdana"/>
                <w:color w:val="000000"/>
                <w:sz w:val="16"/>
                <w:szCs w:val="16"/>
                <w:lang w:val="en-US"/>
              </w:rPr>
              <w:t xml:space="preserve"> detectable</w:t>
            </w:r>
          </w:p>
        </w:tc>
        <w:tc>
          <w:tcPr>
            <w:tcW w:w="2547" w:type="dxa"/>
            <w:tcBorders>
              <w:top w:val="single" w:sz="6" w:space="0" w:color="auto"/>
              <w:left w:val="single" w:sz="6" w:space="0" w:color="auto"/>
              <w:bottom w:val="single" w:sz="6" w:space="0" w:color="auto"/>
              <w:right w:val="single" w:sz="6" w:space="0" w:color="auto"/>
            </w:tcBorders>
            <w:hideMark/>
          </w:tcPr>
          <w:p w14:paraId="260B96C4"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sz w:val="16"/>
                <w:szCs w:val="16"/>
                <w:lang w:val="en-US"/>
              </w:rPr>
              <w:t>NMP/100 mL</w:t>
            </w:r>
          </w:p>
        </w:tc>
      </w:tr>
      <w:tr w:rsidR="004E12B3" w:rsidRPr="00F01347" w14:paraId="4FD66C7D" w14:textId="77777777" w:rsidTr="004E12B3">
        <w:trPr>
          <w:trHeight w:val="20"/>
          <w:jc w:val="center"/>
        </w:trPr>
        <w:tc>
          <w:tcPr>
            <w:tcW w:w="8712" w:type="dxa"/>
            <w:vMerge/>
            <w:tcBorders>
              <w:top w:val="single" w:sz="6" w:space="0" w:color="auto"/>
              <w:left w:val="single" w:sz="6" w:space="0" w:color="auto"/>
              <w:bottom w:val="single" w:sz="6" w:space="0" w:color="auto"/>
              <w:right w:val="single" w:sz="6" w:space="0" w:color="auto"/>
            </w:tcBorders>
            <w:vAlign w:val="center"/>
            <w:hideMark/>
          </w:tcPr>
          <w:p w14:paraId="141C7965" w14:textId="77777777" w:rsidR="004E12B3" w:rsidRPr="00F01347" w:rsidRDefault="004E12B3">
            <w:pPr>
              <w:rPr>
                <w:rFonts w:ascii="Verdana" w:hAnsi="Verdana" w:cs="Arial"/>
                <w:i/>
                <w:sz w:val="16"/>
                <w:szCs w:val="16"/>
                <w:lang w:val="en-US"/>
              </w:rPr>
            </w:pPr>
          </w:p>
        </w:tc>
        <w:tc>
          <w:tcPr>
            <w:tcW w:w="2906" w:type="dxa"/>
            <w:tcBorders>
              <w:top w:val="single" w:sz="6" w:space="0" w:color="auto"/>
              <w:left w:val="single" w:sz="6" w:space="0" w:color="auto"/>
              <w:bottom w:val="single" w:sz="6" w:space="0" w:color="auto"/>
              <w:right w:val="single" w:sz="6" w:space="0" w:color="auto"/>
            </w:tcBorders>
            <w:hideMark/>
          </w:tcPr>
          <w:p w14:paraId="2369E133"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color w:val="000000"/>
                <w:sz w:val="16"/>
                <w:szCs w:val="16"/>
                <w:lang w:val="en-US"/>
              </w:rPr>
              <w:t>&lt;1</w:t>
            </w:r>
          </w:p>
        </w:tc>
        <w:tc>
          <w:tcPr>
            <w:tcW w:w="2547" w:type="dxa"/>
            <w:tcBorders>
              <w:top w:val="single" w:sz="6" w:space="0" w:color="auto"/>
              <w:left w:val="single" w:sz="6" w:space="0" w:color="auto"/>
              <w:bottom w:val="single" w:sz="6" w:space="0" w:color="auto"/>
              <w:right w:val="single" w:sz="6" w:space="0" w:color="auto"/>
            </w:tcBorders>
            <w:hideMark/>
          </w:tcPr>
          <w:p w14:paraId="2FF11C46"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sz w:val="16"/>
                <w:szCs w:val="16"/>
                <w:lang w:val="en-US"/>
              </w:rPr>
              <w:t>CFU/100 mL</w:t>
            </w:r>
          </w:p>
        </w:tc>
      </w:tr>
      <w:tr w:rsidR="004E12B3" w:rsidRPr="00F01347" w14:paraId="41695CBA" w14:textId="77777777" w:rsidTr="004E12B3">
        <w:trPr>
          <w:trHeight w:val="20"/>
          <w:jc w:val="center"/>
        </w:trPr>
        <w:tc>
          <w:tcPr>
            <w:tcW w:w="8712" w:type="dxa"/>
            <w:vMerge/>
            <w:tcBorders>
              <w:top w:val="single" w:sz="6" w:space="0" w:color="auto"/>
              <w:left w:val="single" w:sz="6" w:space="0" w:color="auto"/>
              <w:bottom w:val="single" w:sz="6" w:space="0" w:color="auto"/>
              <w:right w:val="single" w:sz="6" w:space="0" w:color="auto"/>
            </w:tcBorders>
            <w:vAlign w:val="center"/>
            <w:hideMark/>
          </w:tcPr>
          <w:p w14:paraId="700CE70D" w14:textId="77777777" w:rsidR="004E12B3" w:rsidRPr="00F01347" w:rsidRDefault="004E12B3">
            <w:pPr>
              <w:rPr>
                <w:rFonts w:ascii="Verdana" w:hAnsi="Verdana" w:cs="Arial"/>
                <w:i/>
                <w:sz w:val="16"/>
                <w:szCs w:val="16"/>
                <w:lang w:val="en-US"/>
              </w:rPr>
            </w:pPr>
          </w:p>
        </w:tc>
        <w:tc>
          <w:tcPr>
            <w:tcW w:w="2906" w:type="dxa"/>
            <w:tcBorders>
              <w:top w:val="single" w:sz="6" w:space="0" w:color="auto"/>
              <w:left w:val="single" w:sz="6" w:space="0" w:color="auto"/>
              <w:bottom w:val="single" w:sz="6" w:space="0" w:color="auto"/>
              <w:right w:val="single" w:sz="6" w:space="0" w:color="auto"/>
            </w:tcBorders>
            <w:hideMark/>
          </w:tcPr>
          <w:p w14:paraId="3A08D04A"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color w:val="000000"/>
                <w:sz w:val="16"/>
                <w:szCs w:val="16"/>
                <w:lang w:val="en-US"/>
              </w:rPr>
              <w:t>Absence</w:t>
            </w:r>
          </w:p>
        </w:tc>
        <w:tc>
          <w:tcPr>
            <w:tcW w:w="2547" w:type="dxa"/>
            <w:tcBorders>
              <w:top w:val="single" w:sz="6" w:space="0" w:color="auto"/>
              <w:left w:val="single" w:sz="6" w:space="0" w:color="auto"/>
              <w:bottom w:val="single" w:sz="6" w:space="0" w:color="auto"/>
              <w:right w:val="single" w:sz="6" w:space="0" w:color="auto"/>
            </w:tcBorders>
            <w:hideMark/>
          </w:tcPr>
          <w:p w14:paraId="7F2B7661"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sz w:val="16"/>
                <w:szCs w:val="16"/>
                <w:lang w:val="en-US"/>
              </w:rPr>
              <w:t>Absence or Presence/100mL</w:t>
            </w:r>
          </w:p>
        </w:tc>
      </w:tr>
      <w:tr w:rsidR="004E12B3" w:rsidRPr="00F01347" w14:paraId="7AC8022F" w14:textId="77777777" w:rsidTr="004E12B3">
        <w:trPr>
          <w:trHeight w:val="20"/>
          <w:jc w:val="center"/>
        </w:trPr>
        <w:tc>
          <w:tcPr>
            <w:tcW w:w="3259" w:type="dxa"/>
            <w:tcBorders>
              <w:top w:val="single" w:sz="6" w:space="0" w:color="auto"/>
              <w:left w:val="single" w:sz="6" w:space="0" w:color="auto"/>
              <w:bottom w:val="single" w:sz="6" w:space="0" w:color="auto"/>
              <w:right w:val="single" w:sz="6" w:space="0" w:color="auto"/>
            </w:tcBorders>
            <w:hideMark/>
          </w:tcPr>
          <w:p w14:paraId="02171E38" w14:textId="77777777" w:rsidR="004E12B3" w:rsidRPr="00F01347" w:rsidRDefault="004E12B3">
            <w:pPr>
              <w:pStyle w:val="texto0"/>
              <w:spacing w:before="40" w:after="40" w:line="250" w:lineRule="exact"/>
              <w:ind w:firstLine="0"/>
              <w:rPr>
                <w:rFonts w:ascii="Verdana" w:hAnsi="Verdana"/>
                <w:i/>
                <w:sz w:val="16"/>
                <w:szCs w:val="16"/>
                <w:lang w:val="en-US"/>
              </w:rPr>
            </w:pPr>
            <w:r w:rsidRPr="00F01347">
              <w:rPr>
                <w:rFonts w:ascii="Verdana" w:hAnsi="Verdana"/>
                <w:i/>
                <w:sz w:val="16"/>
                <w:szCs w:val="16"/>
                <w:lang w:val="en-US"/>
              </w:rPr>
              <w:t>Giardia lamblia</w:t>
            </w:r>
          </w:p>
        </w:tc>
        <w:tc>
          <w:tcPr>
            <w:tcW w:w="2906" w:type="dxa"/>
            <w:tcBorders>
              <w:top w:val="single" w:sz="6" w:space="0" w:color="auto"/>
              <w:left w:val="single" w:sz="6" w:space="0" w:color="auto"/>
              <w:bottom w:val="single" w:sz="6" w:space="0" w:color="auto"/>
              <w:right w:val="single" w:sz="6" w:space="0" w:color="auto"/>
            </w:tcBorders>
            <w:hideMark/>
          </w:tcPr>
          <w:p w14:paraId="4BEF0B3B"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color w:val="000000"/>
                <w:sz w:val="16"/>
                <w:szCs w:val="16"/>
                <w:lang w:val="en-US"/>
              </w:rPr>
              <w:t>Absence</w:t>
            </w:r>
          </w:p>
        </w:tc>
        <w:tc>
          <w:tcPr>
            <w:tcW w:w="2547" w:type="dxa"/>
            <w:tcBorders>
              <w:top w:val="single" w:sz="6" w:space="0" w:color="auto"/>
              <w:left w:val="single" w:sz="6" w:space="0" w:color="auto"/>
              <w:bottom w:val="single" w:sz="6" w:space="0" w:color="auto"/>
              <w:right w:val="single" w:sz="6" w:space="0" w:color="auto"/>
            </w:tcBorders>
            <w:hideMark/>
          </w:tcPr>
          <w:p w14:paraId="2C8EBBD1" w14:textId="77777777" w:rsidR="004E12B3" w:rsidRPr="00F01347" w:rsidRDefault="004E12B3">
            <w:pPr>
              <w:pStyle w:val="texto0"/>
              <w:spacing w:before="40" w:after="40" w:line="250" w:lineRule="exact"/>
              <w:ind w:firstLine="0"/>
              <w:jc w:val="center"/>
              <w:rPr>
                <w:rFonts w:ascii="Verdana" w:hAnsi="Verdana"/>
                <w:sz w:val="16"/>
                <w:szCs w:val="16"/>
                <w:lang w:val="en-US"/>
              </w:rPr>
            </w:pPr>
            <w:r w:rsidRPr="00F01347">
              <w:rPr>
                <w:rFonts w:ascii="Verdana" w:hAnsi="Verdana"/>
                <w:sz w:val="16"/>
                <w:szCs w:val="16"/>
                <w:lang w:val="en-US"/>
              </w:rPr>
              <w:t>Cysts/20L</w:t>
            </w:r>
          </w:p>
        </w:tc>
      </w:tr>
      <w:tr w:rsidR="004E12B3" w:rsidRPr="00F01347" w14:paraId="7AB898C6" w14:textId="77777777" w:rsidTr="004E12B3">
        <w:trPr>
          <w:trHeight w:val="20"/>
          <w:jc w:val="center"/>
        </w:trPr>
        <w:tc>
          <w:tcPr>
            <w:tcW w:w="8712" w:type="dxa"/>
            <w:gridSpan w:val="3"/>
            <w:tcBorders>
              <w:top w:val="single" w:sz="6" w:space="0" w:color="auto"/>
              <w:left w:val="nil"/>
              <w:bottom w:val="nil"/>
              <w:right w:val="nil"/>
            </w:tcBorders>
            <w:hideMark/>
          </w:tcPr>
          <w:p w14:paraId="6608CD4B" w14:textId="35C8BC54" w:rsidR="004E12B3" w:rsidRPr="00F01347" w:rsidRDefault="004E12B3">
            <w:pPr>
              <w:pStyle w:val="texto0"/>
              <w:spacing w:before="40" w:after="40" w:line="226" w:lineRule="exact"/>
              <w:ind w:firstLine="0"/>
              <w:rPr>
                <w:rFonts w:ascii="Verdana" w:hAnsi="Verdana"/>
                <w:sz w:val="16"/>
                <w:szCs w:val="16"/>
                <w:lang w:val="en-US"/>
              </w:rPr>
            </w:pPr>
            <w:r w:rsidRPr="00F01347">
              <w:rPr>
                <w:rFonts w:ascii="Verdana" w:hAnsi="Verdana"/>
                <w:color w:val="000000"/>
                <w:sz w:val="16"/>
                <w:szCs w:val="16"/>
                <w:lang w:val="en-US"/>
              </w:rPr>
              <w:t xml:space="preserve">NOTE 1 </w:t>
            </w:r>
            <w:r w:rsidRPr="00F01347">
              <w:rPr>
                <w:rFonts w:ascii="Verdana" w:hAnsi="Verdana"/>
                <w:sz w:val="16"/>
                <w:szCs w:val="16"/>
                <w:lang w:val="en-US"/>
              </w:rPr>
              <w:t>The responsible body must select one of the two parameters for analysis</w:t>
            </w:r>
            <w:r w:rsidRPr="00F01347">
              <w:rPr>
                <w:rFonts w:ascii="Verdana" w:hAnsi="Verdana"/>
                <w:i/>
                <w:sz w:val="16"/>
                <w:szCs w:val="16"/>
                <w:lang w:val="en-US"/>
              </w:rPr>
              <w:t xml:space="preserve">: E. coli or </w:t>
            </w:r>
            <w:r w:rsidRPr="00F01347">
              <w:rPr>
                <w:rFonts w:ascii="Verdana" w:hAnsi="Verdana"/>
                <w:sz w:val="16"/>
                <w:szCs w:val="16"/>
                <w:lang w:val="en-US"/>
              </w:rPr>
              <w:t>thermotolerant coliforms (fecal coliforms).</w:t>
            </w:r>
          </w:p>
        </w:tc>
      </w:tr>
      <w:tr w:rsidR="004E12B3" w:rsidRPr="00F01347" w14:paraId="596FE79D" w14:textId="77777777" w:rsidTr="004E12B3">
        <w:trPr>
          <w:trHeight w:val="20"/>
          <w:jc w:val="center"/>
        </w:trPr>
        <w:tc>
          <w:tcPr>
            <w:tcW w:w="8712" w:type="dxa"/>
            <w:gridSpan w:val="3"/>
            <w:hideMark/>
          </w:tcPr>
          <w:p w14:paraId="16C9DEAA" w14:textId="77777777" w:rsidR="004E12B3" w:rsidRPr="00F01347" w:rsidRDefault="004E12B3">
            <w:pPr>
              <w:pStyle w:val="texto0"/>
              <w:spacing w:before="40" w:after="40" w:line="226" w:lineRule="exact"/>
              <w:ind w:firstLine="0"/>
              <w:rPr>
                <w:rFonts w:ascii="Verdana" w:hAnsi="Verdana"/>
                <w:color w:val="000000"/>
                <w:sz w:val="16"/>
                <w:szCs w:val="16"/>
                <w:lang w:val="en-US"/>
              </w:rPr>
            </w:pPr>
            <w:r w:rsidRPr="00F01347">
              <w:rPr>
                <w:rFonts w:ascii="Verdana" w:hAnsi="Verdana"/>
                <w:sz w:val="16"/>
                <w:szCs w:val="16"/>
                <w:lang w:val="en-US"/>
              </w:rPr>
              <w:t>NOTE 2 The units of measurement (NMP/100mL; CFU/100mL; Absence or Presence/100mL) correspond to the three test methods accepted for compliance with this Standard.</w:t>
            </w:r>
          </w:p>
        </w:tc>
      </w:tr>
      <w:tr w:rsidR="004E12B3" w:rsidRPr="00F01347" w14:paraId="0E29353F" w14:textId="77777777" w:rsidTr="004E12B3">
        <w:trPr>
          <w:trHeight w:val="20"/>
          <w:jc w:val="center"/>
        </w:trPr>
        <w:tc>
          <w:tcPr>
            <w:tcW w:w="8712" w:type="dxa"/>
            <w:gridSpan w:val="3"/>
            <w:hideMark/>
          </w:tcPr>
          <w:p w14:paraId="3515534B" w14:textId="77777777" w:rsidR="004E12B3" w:rsidRPr="00F01347" w:rsidRDefault="004E12B3">
            <w:pPr>
              <w:pStyle w:val="texto0"/>
              <w:spacing w:before="40" w:after="40" w:line="226" w:lineRule="exact"/>
              <w:ind w:firstLine="0"/>
              <w:rPr>
                <w:rFonts w:ascii="Verdana" w:hAnsi="Verdana"/>
                <w:sz w:val="16"/>
                <w:szCs w:val="16"/>
                <w:lang w:val="en-US"/>
              </w:rPr>
            </w:pPr>
            <w:r w:rsidRPr="00F01347">
              <w:rPr>
                <w:rFonts w:ascii="Verdana" w:hAnsi="Verdana"/>
                <w:sz w:val="16"/>
                <w:szCs w:val="16"/>
                <w:lang w:val="en-US"/>
              </w:rPr>
              <w:t xml:space="preserve">NOTE 3 </w:t>
            </w:r>
            <w:r w:rsidRPr="00F01347">
              <w:rPr>
                <w:rFonts w:ascii="Verdana" w:hAnsi="Verdana"/>
                <w:i/>
                <w:sz w:val="16"/>
                <w:szCs w:val="16"/>
                <w:lang w:val="en-US"/>
              </w:rPr>
              <w:t xml:space="preserve">Giardia lamblia </w:t>
            </w:r>
            <w:r w:rsidRPr="00F01347">
              <w:rPr>
                <w:rFonts w:ascii="Verdana" w:hAnsi="Verdana"/>
                <w:sz w:val="16"/>
                <w:szCs w:val="16"/>
                <w:lang w:val="en-US"/>
              </w:rPr>
              <w:t>should be determined only if the water comes from a surface source or if the source is influenced by surface water.</w:t>
            </w:r>
          </w:p>
        </w:tc>
      </w:tr>
    </w:tbl>
    <w:p w14:paraId="38CA461D" w14:textId="77777777" w:rsidR="004E12B3" w:rsidRPr="00F01347" w:rsidRDefault="004E12B3" w:rsidP="003A601B">
      <w:pPr>
        <w:pStyle w:val="texto0"/>
        <w:spacing w:after="6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1ACDB4B7" w14:textId="77777777" w:rsidTr="00427618">
        <w:tc>
          <w:tcPr>
            <w:tcW w:w="4675" w:type="dxa"/>
          </w:tcPr>
          <w:p w14:paraId="6429B25A" w14:textId="62A5B6AC" w:rsidR="00204B58" w:rsidRPr="00F01347" w:rsidRDefault="00204B58" w:rsidP="003A601B">
            <w:pPr>
              <w:pStyle w:val="texto0"/>
              <w:spacing w:after="60"/>
              <w:ind w:firstLine="0"/>
              <w:rPr>
                <w:rFonts w:ascii="Verdana" w:hAnsi="Verdana"/>
                <w:sz w:val="16"/>
                <w:szCs w:val="16"/>
                <w:lang w:val="es-ES_tradnl"/>
              </w:rPr>
            </w:pPr>
            <w:r w:rsidRPr="00F01347">
              <w:rPr>
                <w:rFonts w:ascii="Verdana" w:hAnsi="Verdana"/>
                <w:b/>
                <w:sz w:val="16"/>
                <w:szCs w:val="16"/>
                <w:lang w:val="es-ES_tradnl"/>
              </w:rPr>
              <w:t>5.6</w:t>
            </w:r>
            <w:r w:rsidRPr="00F01347">
              <w:rPr>
                <w:rFonts w:ascii="Verdana" w:hAnsi="Verdana"/>
                <w:sz w:val="16"/>
                <w:szCs w:val="16"/>
                <w:lang w:val="es-ES_tradnl"/>
              </w:rPr>
              <w:t xml:space="preserve"> </w:t>
            </w:r>
            <w:proofErr w:type="spellStart"/>
            <w:r w:rsidRPr="00F01347">
              <w:rPr>
                <w:rFonts w:ascii="Verdana" w:hAnsi="Verdana"/>
                <w:sz w:val="16"/>
                <w:szCs w:val="16"/>
                <w:lang w:val="es-ES_tradnl"/>
              </w:rPr>
              <w:t>Fitotoxinas</w:t>
            </w:r>
            <w:proofErr w:type="spellEnd"/>
            <w:r w:rsidRPr="00F01347">
              <w:rPr>
                <w:rFonts w:ascii="Verdana" w:hAnsi="Verdana"/>
                <w:sz w:val="16"/>
                <w:szCs w:val="16"/>
                <w:lang w:val="es-ES_tradnl"/>
              </w:rPr>
              <w:t>:</w:t>
            </w:r>
          </w:p>
        </w:tc>
        <w:tc>
          <w:tcPr>
            <w:tcW w:w="4675" w:type="dxa"/>
          </w:tcPr>
          <w:p w14:paraId="2EAC15D1" w14:textId="0E10568F" w:rsidR="00204B58" w:rsidRPr="00F01347" w:rsidRDefault="004E12B3" w:rsidP="003A601B">
            <w:pPr>
              <w:pStyle w:val="texto0"/>
              <w:spacing w:after="60"/>
              <w:ind w:firstLine="0"/>
              <w:rPr>
                <w:rFonts w:ascii="Verdana" w:hAnsi="Verdana"/>
                <w:b/>
                <w:sz w:val="16"/>
                <w:szCs w:val="16"/>
                <w:lang w:val="en-US"/>
              </w:rPr>
            </w:pPr>
            <w:r w:rsidRPr="00F01347">
              <w:rPr>
                <w:rFonts w:ascii="Verdana" w:hAnsi="Verdana"/>
                <w:b/>
                <w:sz w:val="16"/>
                <w:szCs w:val="16"/>
                <w:lang w:val="en-US"/>
              </w:rPr>
              <w:t>5.6</w:t>
            </w:r>
            <w:r w:rsidRPr="00F01347">
              <w:rPr>
                <w:rFonts w:ascii="Verdana" w:hAnsi="Verdana"/>
                <w:sz w:val="16"/>
                <w:szCs w:val="16"/>
                <w:lang w:val="en-US"/>
              </w:rPr>
              <w:t xml:space="preserve"> Phytotoxins</w:t>
            </w:r>
            <w:r w:rsidR="00762084" w:rsidRPr="00F01347">
              <w:rPr>
                <w:rFonts w:ascii="Verdana" w:hAnsi="Verdana"/>
                <w:sz w:val="16"/>
                <w:szCs w:val="16"/>
                <w:lang w:val="en-US"/>
              </w:rPr>
              <w:t>:</w:t>
            </w:r>
          </w:p>
        </w:tc>
      </w:tr>
    </w:tbl>
    <w:p w14:paraId="4A53C55C" w14:textId="77777777" w:rsidR="00204B58" w:rsidRPr="00F01347" w:rsidRDefault="00204B58" w:rsidP="003A601B">
      <w:pPr>
        <w:pStyle w:val="texto0"/>
        <w:spacing w:after="60"/>
        <w:rPr>
          <w:rFonts w:ascii="Verdana" w:hAnsi="Verdana"/>
          <w:b/>
          <w:sz w:val="16"/>
          <w:szCs w:val="16"/>
          <w:lang w:val="es-ES_tradnl"/>
        </w:rPr>
      </w:pPr>
    </w:p>
    <w:p w14:paraId="40C6A248" w14:textId="77777777" w:rsidR="00A74CDF" w:rsidRPr="00F01347" w:rsidRDefault="00A74CDF" w:rsidP="003A601B">
      <w:pPr>
        <w:pStyle w:val="texto0"/>
        <w:spacing w:after="60"/>
        <w:ind w:firstLine="0"/>
        <w:jc w:val="center"/>
        <w:rPr>
          <w:rFonts w:ascii="Verdana" w:hAnsi="Verdana"/>
          <w:b/>
          <w:color w:val="000000"/>
          <w:sz w:val="16"/>
          <w:szCs w:val="16"/>
        </w:rPr>
      </w:pPr>
      <w:r w:rsidRPr="00F01347">
        <w:rPr>
          <w:rFonts w:ascii="Verdana" w:hAnsi="Verdana"/>
          <w:b/>
          <w:sz w:val="16"/>
          <w:szCs w:val="16"/>
        </w:rPr>
        <w:t xml:space="preserve">Tabla 7 - </w:t>
      </w:r>
      <w:r w:rsidRPr="00F01347">
        <w:rPr>
          <w:rFonts w:ascii="Verdana" w:hAnsi="Verdana"/>
          <w:b/>
          <w:color w:val="000000"/>
          <w:sz w:val="16"/>
          <w:szCs w:val="16"/>
        </w:rPr>
        <w:t xml:space="preserve">Especificaciones sanitarias de </w:t>
      </w:r>
      <w:proofErr w:type="spellStart"/>
      <w:r w:rsidRPr="00F01347">
        <w:rPr>
          <w:rFonts w:ascii="Verdana" w:hAnsi="Verdana"/>
          <w:b/>
          <w:color w:val="000000"/>
          <w:sz w:val="16"/>
          <w:szCs w:val="16"/>
        </w:rPr>
        <w:t>fitotoxinas</w:t>
      </w:r>
      <w:proofErr w:type="spellEnd"/>
    </w:p>
    <w:tbl>
      <w:tblPr>
        <w:tblW w:w="8712" w:type="dxa"/>
        <w:jc w:val="center"/>
        <w:tblLayout w:type="fixed"/>
        <w:tblCellMar>
          <w:left w:w="70" w:type="dxa"/>
          <w:right w:w="70" w:type="dxa"/>
        </w:tblCellMar>
        <w:tblLook w:val="0000" w:firstRow="0" w:lastRow="0" w:firstColumn="0" w:lastColumn="0" w:noHBand="0" w:noVBand="0"/>
      </w:tblPr>
      <w:tblGrid>
        <w:gridCol w:w="3226"/>
        <w:gridCol w:w="2938"/>
        <w:gridCol w:w="2548"/>
      </w:tblGrid>
      <w:tr w:rsidR="00A74CDF" w:rsidRPr="00F01347" w14:paraId="519AA71C" w14:textId="77777777">
        <w:trPr>
          <w:trHeight w:val="20"/>
          <w:jc w:val="center"/>
        </w:trPr>
        <w:tc>
          <w:tcPr>
            <w:tcW w:w="3226" w:type="dxa"/>
            <w:tcBorders>
              <w:top w:val="single" w:sz="6" w:space="0" w:color="auto"/>
              <w:left w:val="single" w:sz="6" w:space="0" w:color="auto"/>
              <w:bottom w:val="single" w:sz="6" w:space="0" w:color="auto"/>
              <w:right w:val="single" w:sz="6" w:space="0" w:color="auto"/>
            </w:tcBorders>
            <w:noWrap/>
          </w:tcPr>
          <w:p w14:paraId="1F4C7143" w14:textId="77777777" w:rsidR="00A74CDF" w:rsidRPr="00F01347" w:rsidRDefault="00A74CDF" w:rsidP="003A601B">
            <w:pPr>
              <w:pStyle w:val="texto0"/>
              <w:spacing w:before="40" w:after="40" w:line="226" w:lineRule="exact"/>
              <w:ind w:firstLine="0"/>
              <w:jc w:val="center"/>
              <w:rPr>
                <w:rFonts w:ascii="Verdana" w:hAnsi="Verdana"/>
                <w:b/>
                <w:color w:val="000000"/>
                <w:sz w:val="16"/>
                <w:szCs w:val="16"/>
              </w:rPr>
            </w:pPr>
            <w:r w:rsidRPr="00F01347">
              <w:rPr>
                <w:rFonts w:ascii="Verdana" w:hAnsi="Verdana"/>
                <w:b/>
                <w:color w:val="000000"/>
                <w:sz w:val="16"/>
                <w:szCs w:val="16"/>
              </w:rPr>
              <w:t>Parámetros</w:t>
            </w:r>
          </w:p>
        </w:tc>
        <w:tc>
          <w:tcPr>
            <w:tcW w:w="2938" w:type="dxa"/>
            <w:tcBorders>
              <w:top w:val="single" w:sz="6" w:space="0" w:color="auto"/>
              <w:left w:val="single" w:sz="6" w:space="0" w:color="auto"/>
              <w:bottom w:val="single" w:sz="6" w:space="0" w:color="auto"/>
              <w:right w:val="single" w:sz="6" w:space="0" w:color="auto"/>
            </w:tcBorders>
          </w:tcPr>
          <w:p w14:paraId="52A1C74B" w14:textId="77777777" w:rsidR="00A74CDF" w:rsidRPr="00F01347" w:rsidRDefault="00A74CDF" w:rsidP="003A601B">
            <w:pPr>
              <w:pStyle w:val="texto0"/>
              <w:spacing w:before="40" w:after="40" w:line="226" w:lineRule="exact"/>
              <w:ind w:firstLine="0"/>
              <w:jc w:val="center"/>
              <w:rPr>
                <w:rFonts w:ascii="Verdana" w:hAnsi="Verdana"/>
                <w:b/>
                <w:color w:val="000000"/>
                <w:sz w:val="16"/>
                <w:szCs w:val="16"/>
              </w:rPr>
            </w:pPr>
            <w:r w:rsidRPr="00F01347">
              <w:rPr>
                <w:rFonts w:ascii="Verdana" w:hAnsi="Verdana"/>
                <w:b/>
                <w:color w:val="000000"/>
                <w:sz w:val="16"/>
                <w:szCs w:val="16"/>
              </w:rPr>
              <w:t>Límite permisible</w:t>
            </w:r>
          </w:p>
        </w:tc>
        <w:tc>
          <w:tcPr>
            <w:tcW w:w="2548" w:type="dxa"/>
            <w:tcBorders>
              <w:top w:val="single" w:sz="6" w:space="0" w:color="auto"/>
              <w:left w:val="single" w:sz="6" w:space="0" w:color="auto"/>
              <w:bottom w:val="single" w:sz="6" w:space="0" w:color="auto"/>
              <w:right w:val="single" w:sz="6" w:space="0" w:color="auto"/>
            </w:tcBorders>
          </w:tcPr>
          <w:p w14:paraId="23676BAE" w14:textId="77777777" w:rsidR="00A74CDF" w:rsidRPr="00F01347" w:rsidRDefault="00A74CDF" w:rsidP="003A601B">
            <w:pPr>
              <w:pStyle w:val="texto0"/>
              <w:spacing w:before="40" w:after="40" w:line="226" w:lineRule="exact"/>
              <w:ind w:firstLine="0"/>
              <w:jc w:val="center"/>
              <w:rPr>
                <w:rFonts w:ascii="Verdana" w:hAnsi="Verdana"/>
                <w:b/>
                <w:color w:val="000000"/>
                <w:sz w:val="16"/>
                <w:szCs w:val="16"/>
              </w:rPr>
            </w:pPr>
            <w:r w:rsidRPr="00F01347">
              <w:rPr>
                <w:rFonts w:ascii="Verdana" w:hAnsi="Verdana"/>
                <w:b/>
                <w:color w:val="000000"/>
                <w:sz w:val="16"/>
                <w:szCs w:val="16"/>
              </w:rPr>
              <w:t>Unidades</w:t>
            </w:r>
          </w:p>
        </w:tc>
      </w:tr>
      <w:tr w:rsidR="00A74CDF" w:rsidRPr="00F01347" w14:paraId="042F5F66" w14:textId="77777777">
        <w:trPr>
          <w:trHeight w:val="20"/>
          <w:jc w:val="center"/>
        </w:trPr>
        <w:tc>
          <w:tcPr>
            <w:tcW w:w="3226" w:type="dxa"/>
            <w:tcBorders>
              <w:top w:val="single" w:sz="6" w:space="0" w:color="auto"/>
              <w:left w:val="single" w:sz="6" w:space="0" w:color="auto"/>
              <w:bottom w:val="single" w:sz="6" w:space="0" w:color="auto"/>
              <w:right w:val="single" w:sz="6" w:space="0" w:color="auto"/>
            </w:tcBorders>
          </w:tcPr>
          <w:p w14:paraId="3509C027" w14:textId="77777777" w:rsidR="00A74CDF" w:rsidRPr="00F01347" w:rsidRDefault="00A74CDF" w:rsidP="003A601B">
            <w:pPr>
              <w:pStyle w:val="texto0"/>
              <w:spacing w:before="40" w:after="40" w:line="226" w:lineRule="exact"/>
              <w:ind w:firstLine="0"/>
              <w:rPr>
                <w:rFonts w:ascii="Verdana" w:hAnsi="Verdana"/>
                <w:color w:val="000000"/>
                <w:sz w:val="16"/>
                <w:szCs w:val="16"/>
              </w:rPr>
            </w:pPr>
            <w:proofErr w:type="spellStart"/>
            <w:r w:rsidRPr="00F01347">
              <w:rPr>
                <w:rFonts w:ascii="Verdana" w:hAnsi="Verdana"/>
                <w:color w:val="000000"/>
                <w:sz w:val="16"/>
                <w:szCs w:val="16"/>
              </w:rPr>
              <w:t>Microcistina</w:t>
            </w:r>
            <w:proofErr w:type="spellEnd"/>
            <w:r w:rsidRPr="00F01347">
              <w:rPr>
                <w:rFonts w:ascii="Verdana" w:hAnsi="Verdana"/>
                <w:color w:val="000000"/>
                <w:sz w:val="16"/>
                <w:szCs w:val="16"/>
              </w:rPr>
              <w:t>-LR</w:t>
            </w:r>
          </w:p>
        </w:tc>
        <w:tc>
          <w:tcPr>
            <w:tcW w:w="2938" w:type="dxa"/>
            <w:tcBorders>
              <w:top w:val="single" w:sz="6" w:space="0" w:color="auto"/>
              <w:left w:val="single" w:sz="6" w:space="0" w:color="auto"/>
              <w:bottom w:val="single" w:sz="6" w:space="0" w:color="auto"/>
              <w:right w:val="single" w:sz="6" w:space="0" w:color="auto"/>
            </w:tcBorders>
          </w:tcPr>
          <w:p w14:paraId="521D6FFC" w14:textId="77777777" w:rsidR="00A74CDF" w:rsidRPr="00F01347" w:rsidRDefault="00A74CDF" w:rsidP="003A601B">
            <w:pPr>
              <w:pStyle w:val="texto0"/>
              <w:spacing w:before="40" w:after="40" w:line="226" w:lineRule="exact"/>
              <w:ind w:firstLine="0"/>
              <w:jc w:val="center"/>
              <w:rPr>
                <w:rFonts w:ascii="Verdana" w:hAnsi="Verdana"/>
                <w:color w:val="000000"/>
                <w:sz w:val="16"/>
                <w:szCs w:val="16"/>
              </w:rPr>
            </w:pPr>
            <w:r w:rsidRPr="00F01347">
              <w:rPr>
                <w:rFonts w:ascii="Verdana" w:hAnsi="Verdana"/>
                <w:color w:val="000000"/>
                <w:sz w:val="16"/>
                <w:szCs w:val="16"/>
              </w:rPr>
              <w:t>1.0</w:t>
            </w:r>
          </w:p>
        </w:tc>
        <w:tc>
          <w:tcPr>
            <w:tcW w:w="2548" w:type="dxa"/>
            <w:tcBorders>
              <w:top w:val="single" w:sz="6" w:space="0" w:color="auto"/>
              <w:left w:val="single" w:sz="6" w:space="0" w:color="auto"/>
              <w:bottom w:val="single" w:sz="6" w:space="0" w:color="auto"/>
              <w:right w:val="single" w:sz="6" w:space="0" w:color="auto"/>
            </w:tcBorders>
          </w:tcPr>
          <w:p w14:paraId="4E5DEBE4" w14:textId="77777777" w:rsidR="00A74CDF" w:rsidRPr="00F01347" w:rsidRDefault="00A74CDF" w:rsidP="003A601B">
            <w:pPr>
              <w:pStyle w:val="texto0"/>
              <w:spacing w:before="40" w:after="40" w:line="226" w:lineRule="exact"/>
              <w:ind w:firstLine="0"/>
              <w:jc w:val="center"/>
              <w:rPr>
                <w:rFonts w:ascii="Verdana" w:hAnsi="Verdana"/>
                <w:color w:val="000000"/>
                <w:sz w:val="16"/>
                <w:szCs w:val="16"/>
              </w:rPr>
            </w:pPr>
            <w:r w:rsidRPr="00F01347">
              <w:rPr>
                <w:rFonts w:ascii="Verdana" w:hAnsi="Verdana"/>
                <w:color w:val="000000"/>
                <w:sz w:val="16"/>
                <w:szCs w:val="16"/>
              </w:rPr>
              <w:t>µg/L</w:t>
            </w:r>
          </w:p>
        </w:tc>
      </w:tr>
      <w:tr w:rsidR="00A74CDF" w:rsidRPr="00F01347" w14:paraId="4186795E" w14:textId="77777777">
        <w:trPr>
          <w:trHeight w:val="20"/>
          <w:jc w:val="center"/>
        </w:trPr>
        <w:tc>
          <w:tcPr>
            <w:tcW w:w="8712" w:type="dxa"/>
            <w:gridSpan w:val="3"/>
            <w:tcBorders>
              <w:top w:val="single" w:sz="6" w:space="0" w:color="auto"/>
            </w:tcBorders>
          </w:tcPr>
          <w:p w14:paraId="286B902B" w14:textId="77777777" w:rsidR="00A74CDF" w:rsidRPr="00F01347" w:rsidRDefault="00A74CDF" w:rsidP="003A601B">
            <w:pPr>
              <w:pStyle w:val="texto0"/>
              <w:spacing w:before="40" w:after="40" w:line="226" w:lineRule="exact"/>
              <w:ind w:firstLine="0"/>
              <w:rPr>
                <w:rFonts w:ascii="Verdana" w:hAnsi="Verdana"/>
                <w:color w:val="000000"/>
                <w:sz w:val="16"/>
                <w:szCs w:val="16"/>
              </w:rPr>
            </w:pPr>
            <w:r w:rsidRPr="00F01347">
              <w:rPr>
                <w:rFonts w:ascii="Verdana" w:hAnsi="Verdana"/>
                <w:sz w:val="16"/>
                <w:szCs w:val="16"/>
              </w:rPr>
              <w:t xml:space="preserve">NOTA 1 La </w:t>
            </w:r>
            <w:proofErr w:type="spellStart"/>
            <w:r w:rsidRPr="00F01347">
              <w:rPr>
                <w:rFonts w:ascii="Verdana" w:hAnsi="Verdana"/>
                <w:sz w:val="16"/>
                <w:szCs w:val="16"/>
              </w:rPr>
              <w:t>microcistina</w:t>
            </w:r>
            <w:proofErr w:type="spellEnd"/>
            <w:r w:rsidRPr="00F01347">
              <w:rPr>
                <w:rFonts w:ascii="Verdana" w:hAnsi="Verdana"/>
                <w:sz w:val="16"/>
                <w:szCs w:val="16"/>
              </w:rPr>
              <w:t>-LR se debe determinar cuando el agua proviene de una fuente superficial.</w:t>
            </w:r>
          </w:p>
        </w:tc>
      </w:tr>
    </w:tbl>
    <w:p w14:paraId="5EEAEA61" w14:textId="77777777" w:rsidR="00A74CDF" w:rsidRPr="00F01347" w:rsidRDefault="00A74CDF" w:rsidP="003A601B">
      <w:pPr>
        <w:pStyle w:val="texto0"/>
        <w:rPr>
          <w:rFonts w:ascii="Verdana" w:hAnsi="Verdana"/>
          <w:b/>
          <w:sz w:val="16"/>
          <w:szCs w:val="16"/>
          <w:lang w:val="es-ES_tradnl"/>
        </w:rPr>
      </w:pPr>
    </w:p>
    <w:p w14:paraId="694196D1" w14:textId="77777777" w:rsidR="006836D5" w:rsidRPr="00F01347" w:rsidRDefault="006836D5" w:rsidP="006836D5">
      <w:pPr>
        <w:pStyle w:val="texto0"/>
        <w:spacing w:after="60"/>
        <w:ind w:firstLine="0"/>
        <w:jc w:val="center"/>
        <w:rPr>
          <w:rFonts w:ascii="Verdana" w:hAnsi="Verdana"/>
          <w:b/>
          <w:color w:val="000000"/>
          <w:sz w:val="16"/>
          <w:szCs w:val="16"/>
          <w:lang w:val="en-US"/>
        </w:rPr>
      </w:pPr>
      <w:r w:rsidRPr="00F01347">
        <w:rPr>
          <w:rFonts w:ascii="Verdana" w:hAnsi="Verdana"/>
          <w:b/>
          <w:sz w:val="16"/>
          <w:szCs w:val="16"/>
          <w:lang w:val="en-US"/>
        </w:rPr>
        <w:t xml:space="preserve">Table 7 - </w:t>
      </w:r>
      <w:r w:rsidRPr="00F01347">
        <w:rPr>
          <w:rFonts w:ascii="Verdana" w:hAnsi="Verdana"/>
          <w:b/>
          <w:color w:val="000000"/>
          <w:sz w:val="16"/>
          <w:szCs w:val="16"/>
          <w:lang w:val="en-US"/>
        </w:rPr>
        <w:t>Health specifications for phytotoxins</w:t>
      </w:r>
    </w:p>
    <w:tbl>
      <w:tblPr>
        <w:tblW w:w="8715" w:type="dxa"/>
        <w:jc w:val="center"/>
        <w:tblLayout w:type="fixed"/>
        <w:tblCellMar>
          <w:left w:w="70" w:type="dxa"/>
          <w:right w:w="70" w:type="dxa"/>
        </w:tblCellMar>
        <w:tblLook w:val="04A0" w:firstRow="1" w:lastRow="0" w:firstColumn="1" w:lastColumn="0" w:noHBand="0" w:noVBand="1"/>
      </w:tblPr>
      <w:tblGrid>
        <w:gridCol w:w="3227"/>
        <w:gridCol w:w="2939"/>
        <w:gridCol w:w="2549"/>
      </w:tblGrid>
      <w:tr w:rsidR="006836D5" w:rsidRPr="00F01347" w14:paraId="20B7928D" w14:textId="77777777" w:rsidTr="006836D5">
        <w:trPr>
          <w:trHeight w:val="20"/>
          <w:jc w:val="center"/>
        </w:trPr>
        <w:tc>
          <w:tcPr>
            <w:tcW w:w="3226" w:type="dxa"/>
            <w:tcBorders>
              <w:top w:val="single" w:sz="6" w:space="0" w:color="auto"/>
              <w:left w:val="single" w:sz="6" w:space="0" w:color="auto"/>
              <w:bottom w:val="single" w:sz="6" w:space="0" w:color="auto"/>
              <w:right w:val="single" w:sz="6" w:space="0" w:color="auto"/>
            </w:tcBorders>
            <w:noWrap/>
            <w:hideMark/>
          </w:tcPr>
          <w:p w14:paraId="1443B7DB" w14:textId="77777777" w:rsidR="006836D5" w:rsidRPr="00F01347" w:rsidRDefault="006836D5">
            <w:pPr>
              <w:pStyle w:val="texto0"/>
              <w:spacing w:before="40" w:after="40" w:line="226"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Parameters</w:t>
            </w:r>
          </w:p>
        </w:tc>
        <w:tc>
          <w:tcPr>
            <w:tcW w:w="2938" w:type="dxa"/>
            <w:tcBorders>
              <w:top w:val="single" w:sz="6" w:space="0" w:color="auto"/>
              <w:left w:val="single" w:sz="6" w:space="0" w:color="auto"/>
              <w:bottom w:val="single" w:sz="6" w:space="0" w:color="auto"/>
              <w:right w:val="single" w:sz="6" w:space="0" w:color="auto"/>
            </w:tcBorders>
            <w:hideMark/>
          </w:tcPr>
          <w:p w14:paraId="04F0FD91" w14:textId="77777777" w:rsidR="006836D5" w:rsidRPr="00F01347" w:rsidRDefault="006836D5">
            <w:pPr>
              <w:pStyle w:val="texto0"/>
              <w:spacing w:before="40" w:after="40" w:line="226"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Permissible limit</w:t>
            </w:r>
          </w:p>
        </w:tc>
        <w:tc>
          <w:tcPr>
            <w:tcW w:w="2548" w:type="dxa"/>
            <w:tcBorders>
              <w:top w:val="single" w:sz="6" w:space="0" w:color="auto"/>
              <w:left w:val="single" w:sz="6" w:space="0" w:color="auto"/>
              <w:bottom w:val="single" w:sz="6" w:space="0" w:color="auto"/>
              <w:right w:val="single" w:sz="6" w:space="0" w:color="auto"/>
            </w:tcBorders>
            <w:hideMark/>
          </w:tcPr>
          <w:p w14:paraId="2C3C4F36" w14:textId="77777777" w:rsidR="006836D5" w:rsidRPr="00F01347" w:rsidRDefault="006836D5">
            <w:pPr>
              <w:pStyle w:val="texto0"/>
              <w:spacing w:before="40" w:after="40" w:line="226"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Units</w:t>
            </w:r>
          </w:p>
        </w:tc>
      </w:tr>
      <w:tr w:rsidR="006836D5" w:rsidRPr="00F01347" w14:paraId="4A639407" w14:textId="77777777" w:rsidTr="006836D5">
        <w:trPr>
          <w:trHeight w:val="20"/>
          <w:jc w:val="center"/>
        </w:trPr>
        <w:tc>
          <w:tcPr>
            <w:tcW w:w="3226" w:type="dxa"/>
            <w:tcBorders>
              <w:top w:val="single" w:sz="6" w:space="0" w:color="auto"/>
              <w:left w:val="single" w:sz="6" w:space="0" w:color="auto"/>
              <w:bottom w:val="single" w:sz="6" w:space="0" w:color="auto"/>
              <w:right w:val="single" w:sz="6" w:space="0" w:color="auto"/>
            </w:tcBorders>
            <w:hideMark/>
          </w:tcPr>
          <w:p w14:paraId="3D7DED16" w14:textId="77777777" w:rsidR="006836D5" w:rsidRPr="00F01347" w:rsidRDefault="006836D5">
            <w:pPr>
              <w:pStyle w:val="texto0"/>
              <w:spacing w:before="40" w:after="40" w:line="226" w:lineRule="exact"/>
              <w:ind w:firstLine="0"/>
              <w:rPr>
                <w:rFonts w:ascii="Verdana" w:hAnsi="Verdana"/>
                <w:color w:val="000000"/>
                <w:sz w:val="16"/>
                <w:szCs w:val="16"/>
                <w:lang w:val="en-US"/>
              </w:rPr>
            </w:pPr>
            <w:r w:rsidRPr="00F01347">
              <w:rPr>
                <w:rFonts w:ascii="Verdana" w:hAnsi="Verdana"/>
                <w:color w:val="000000"/>
                <w:sz w:val="16"/>
                <w:szCs w:val="16"/>
                <w:lang w:val="en-US"/>
              </w:rPr>
              <w:t>Microcystin -LR</w:t>
            </w:r>
          </w:p>
        </w:tc>
        <w:tc>
          <w:tcPr>
            <w:tcW w:w="2938" w:type="dxa"/>
            <w:tcBorders>
              <w:top w:val="single" w:sz="6" w:space="0" w:color="auto"/>
              <w:left w:val="single" w:sz="6" w:space="0" w:color="auto"/>
              <w:bottom w:val="single" w:sz="6" w:space="0" w:color="auto"/>
              <w:right w:val="single" w:sz="6" w:space="0" w:color="auto"/>
            </w:tcBorders>
            <w:hideMark/>
          </w:tcPr>
          <w:p w14:paraId="22FD31DF" w14:textId="77777777" w:rsidR="006836D5" w:rsidRPr="00F01347" w:rsidRDefault="006836D5">
            <w:pPr>
              <w:pStyle w:val="texto0"/>
              <w:spacing w:before="40" w:after="40"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1.0</w:t>
            </w:r>
          </w:p>
        </w:tc>
        <w:tc>
          <w:tcPr>
            <w:tcW w:w="2548" w:type="dxa"/>
            <w:tcBorders>
              <w:top w:val="single" w:sz="6" w:space="0" w:color="auto"/>
              <w:left w:val="single" w:sz="6" w:space="0" w:color="auto"/>
              <w:bottom w:val="single" w:sz="6" w:space="0" w:color="auto"/>
              <w:right w:val="single" w:sz="6" w:space="0" w:color="auto"/>
            </w:tcBorders>
            <w:hideMark/>
          </w:tcPr>
          <w:p w14:paraId="666EF96C" w14:textId="77777777" w:rsidR="006836D5" w:rsidRPr="00F01347" w:rsidRDefault="006836D5">
            <w:pPr>
              <w:pStyle w:val="texto0"/>
              <w:spacing w:before="40" w:after="40"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µg/L</w:t>
            </w:r>
          </w:p>
        </w:tc>
      </w:tr>
      <w:tr w:rsidR="006836D5" w:rsidRPr="00F01347" w14:paraId="57CAC2C1" w14:textId="77777777" w:rsidTr="006836D5">
        <w:trPr>
          <w:trHeight w:val="20"/>
          <w:jc w:val="center"/>
        </w:trPr>
        <w:tc>
          <w:tcPr>
            <w:tcW w:w="8712" w:type="dxa"/>
            <w:gridSpan w:val="3"/>
            <w:tcBorders>
              <w:top w:val="single" w:sz="6" w:space="0" w:color="auto"/>
              <w:left w:val="nil"/>
              <w:bottom w:val="nil"/>
              <w:right w:val="nil"/>
            </w:tcBorders>
            <w:hideMark/>
          </w:tcPr>
          <w:p w14:paraId="6932AAAE" w14:textId="77777777" w:rsidR="006836D5" w:rsidRPr="00F01347" w:rsidRDefault="006836D5">
            <w:pPr>
              <w:pStyle w:val="texto0"/>
              <w:spacing w:before="40" w:after="40" w:line="226" w:lineRule="exact"/>
              <w:ind w:firstLine="0"/>
              <w:rPr>
                <w:rFonts w:ascii="Verdana" w:hAnsi="Verdana"/>
                <w:color w:val="000000"/>
                <w:sz w:val="16"/>
                <w:szCs w:val="16"/>
                <w:lang w:val="en-US"/>
              </w:rPr>
            </w:pPr>
            <w:r w:rsidRPr="00F01347">
              <w:rPr>
                <w:rFonts w:ascii="Verdana" w:hAnsi="Verdana"/>
                <w:sz w:val="16"/>
                <w:szCs w:val="16"/>
                <w:lang w:val="en-US"/>
              </w:rPr>
              <w:t>NOTE 1 Microcystin -LR should be determined when water comes from a surface source.</w:t>
            </w:r>
          </w:p>
        </w:tc>
      </w:tr>
    </w:tbl>
    <w:p w14:paraId="4B74CFA4" w14:textId="77777777" w:rsidR="00204B58" w:rsidRPr="00F01347" w:rsidRDefault="00204B58" w:rsidP="003A601B">
      <w:pPr>
        <w:pStyle w:val="texto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07B66796" w14:textId="77777777" w:rsidTr="009F0A49">
        <w:tc>
          <w:tcPr>
            <w:tcW w:w="4675" w:type="dxa"/>
          </w:tcPr>
          <w:p w14:paraId="3EB31A3C" w14:textId="523B1443" w:rsidR="00204B58" w:rsidRPr="00F01347" w:rsidRDefault="00204B58" w:rsidP="00204B58">
            <w:pPr>
              <w:pStyle w:val="texto0"/>
              <w:ind w:firstLine="0"/>
              <w:rPr>
                <w:rFonts w:ascii="Verdana" w:hAnsi="Verdana"/>
                <w:sz w:val="16"/>
                <w:szCs w:val="16"/>
                <w:lang w:val="es-ES_tradnl"/>
              </w:rPr>
            </w:pPr>
            <w:r w:rsidRPr="00F01347">
              <w:rPr>
                <w:rFonts w:ascii="Verdana" w:hAnsi="Verdana"/>
                <w:b/>
                <w:sz w:val="16"/>
                <w:szCs w:val="16"/>
                <w:lang w:val="es-ES_tradnl"/>
              </w:rPr>
              <w:t>5.7</w:t>
            </w:r>
            <w:r w:rsidRPr="00F01347">
              <w:rPr>
                <w:rFonts w:ascii="Verdana" w:hAnsi="Verdana"/>
                <w:sz w:val="16"/>
                <w:szCs w:val="16"/>
                <w:lang w:val="es-ES_tradnl"/>
              </w:rPr>
              <w:t xml:space="preserve"> Radiactividad:</w:t>
            </w:r>
          </w:p>
        </w:tc>
        <w:tc>
          <w:tcPr>
            <w:tcW w:w="4675" w:type="dxa"/>
          </w:tcPr>
          <w:p w14:paraId="780234F4" w14:textId="65154618" w:rsidR="00204B58" w:rsidRPr="00F01347" w:rsidRDefault="006836D5" w:rsidP="003A601B">
            <w:pPr>
              <w:pStyle w:val="texto0"/>
              <w:ind w:firstLine="0"/>
              <w:rPr>
                <w:rFonts w:ascii="Verdana" w:hAnsi="Verdana"/>
                <w:b/>
                <w:sz w:val="16"/>
                <w:szCs w:val="16"/>
                <w:lang w:val="en-US"/>
              </w:rPr>
            </w:pPr>
            <w:r w:rsidRPr="00F01347">
              <w:rPr>
                <w:rFonts w:ascii="Verdana" w:hAnsi="Verdana"/>
                <w:b/>
                <w:sz w:val="16"/>
                <w:szCs w:val="16"/>
                <w:lang w:val="en-US"/>
              </w:rPr>
              <w:t xml:space="preserve">5.7 </w:t>
            </w:r>
            <w:r w:rsidRPr="00F01347">
              <w:rPr>
                <w:rFonts w:ascii="Verdana" w:hAnsi="Verdana"/>
                <w:sz w:val="16"/>
                <w:szCs w:val="16"/>
                <w:lang w:val="en-US"/>
              </w:rPr>
              <w:t>Radioactivity:</w:t>
            </w:r>
          </w:p>
        </w:tc>
      </w:tr>
    </w:tbl>
    <w:p w14:paraId="71DA6123" w14:textId="77777777" w:rsidR="00204B58" w:rsidRPr="00F01347" w:rsidRDefault="00204B58" w:rsidP="003A601B">
      <w:pPr>
        <w:pStyle w:val="texto0"/>
        <w:rPr>
          <w:rFonts w:ascii="Verdana" w:hAnsi="Verdana"/>
          <w:b/>
          <w:sz w:val="16"/>
          <w:szCs w:val="16"/>
          <w:lang w:val="es-ES_tradnl"/>
        </w:rPr>
      </w:pPr>
    </w:p>
    <w:p w14:paraId="14E1E8A6"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sz w:val="16"/>
          <w:szCs w:val="16"/>
        </w:rPr>
        <w:t xml:space="preserve">Tabla 8 - </w:t>
      </w:r>
      <w:r w:rsidRPr="00F01347">
        <w:rPr>
          <w:rFonts w:ascii="Verdana" w:hAnsi="Verdana"/>
          <w:b/>
          <w:color w:val="000000"/>
          <w:sz w:val="16"/>
          <w:szCs w:val="16"/>
        </w:rPr>
        <w:t>Especificaciones sanitarias de radiactividad</w:t>
      </w:r>
    </w:p>
    <w:tbl>
      <w:tblPr>
        <w:tblW w:w="8712" w:type="dxa"/>
        <w:jc w:val="center"/>
        <w:tblLayout w:type="fixed"/>
        <w:tblCellMar>
          <w:left w:w="70" w:type="dxa"/>
          <w:right w:w="70" w:type="dxa"/>
        </w:tblCellMar>
        <w:tblLook w:val="0000" w:firstRow="0" w:lastRow="0" w:firstColumn="0" w:lastColumn="0" w:noHBand="0" w:noVBand="0"/>
      </w:tblPr>
      <w:tblGrid>
        <w:gridCol w:w="3181"/>
        <w:gridCol w:w="3009"/>
        <w:gridCol w:w="2522"/>
      </w:tblGrid>
      <w:tr w:rsidR="00A74CDF" w:rsidRPr="00F01347" w14:paraId="7F645046" w14:textId="77777777">
        <w:trPr>
          <w:trHeight w:val="20"/>
          <w:jc w:val="center"/>
        </w:trPr>
        <w:tc>
          <w:tcPr>
            <w:tcW w:w="3181" w:type="dxa"/>
            <w:tcBorders>
              <w:top w:val="single" w:sz="6" w:space="0" w:color="auto"/>
              <w:left w:val="single" w:sz="6" w:space="0" w:color="auto"/>
              <w:bottom w:val="single" w:sz="6" w:space="0" w:color="auto"/>
              <w:right w:val="single" w:sz="6" w:space="0" w:color="auto"/>
            </w:tcBorders>
            <w:noWrap/>
          </w:tcPr>
          <w:p w14:paraId="39A6EB37" w14:textId="77777777" w:rsidR="00A74CDF" w:rsidRPr="00F01347" w:rsidRDefault="00A74CDF" w:rsidP="003A601B">
            <w:pPr>
              <w:pStyle w:val="texto0"/>
              <w:spacing w:before="40" w:after="40" w:line="226" w:lineRule="exact"/>
              <w:ind w:firstLine="0"/>
              <w:jc w:val="center"/>
              <w:rPr>
                <w:rFonts w:ascii="Verdana" w:hAnsi="Verdana"/>
                <w:b/>
                <w:color w:val="000000"/>
                <w:sz w:val="16"/>
                <w:szCs w:val="16"/>
              </w:rPr>
            </w:pPr>
            <w:r w:rsidRPr="00F01347">
              <w:rPr>
                <w:rFonts w:ascii="Verdana" w:hAnsi="Verdana"/>
                <w:b/>
                <w:color w:val="000000"/>
                <w:sz w:val="16"/>
                <w:szCs w:val="16"/>
              </w:rPr>
              <w:t>Parámetros</w:t>
            </w:r>
          </w:p>
        </w:tc>
        <w:tc>
          <w:tcPr>
            <w:tcW w:w="3009" w:type="dxa"/>
            <w:tcBorders>
              <w:top w:val="single" w:sz="6" w:space="0" w:color="auto"/>
              <w:left w:val="single" w:sz="6" w:space="0" w:color="auto"/>
              <w:bottom w:val="single" w:sz="6" w:space="0" w:color="auto"/>
              <w:right w:val="single" w:sz="6" w:space="0" w:color="auto"/>
            </w:tcBorders>
          </w:tcPr>
          <w:p w14:paraId="539A7EB0" w14:textId="77777777" w:rsidR="00A74CDF" w:rsidRPr="00F01347" w:rsidRDefault="00A74CDF" w:rsidP="003A601B">
            <w:pPr>
              <w:pStyle w:val="texto0"/>
              <w:spacing w:before="40" w:after="40" w:line="226" w:lineRule="exact"/>
              <w:ind w:firstLine="0"/>
              <w:jc w:val="center"/>
              <w:rPr>
                <w:rFonts w:ascii="Verdana" w:hAnsi="Verdana"/>
                <w:b/>
                <w:color w:val="000000"/>
                <w:sz w:val="16"/>
                <w:szCs w:val="16"/>
              </w:rPr>
            </w:pPr>
            <w:r w:rsidRPr="00F01347">
              <w:rPr>
                <w:rFonts w:ascii="Verdana" w:hAnsi="Verdana"/>
                <w:b/>
                <w:color w:val="000000"/>
                <w:sz w:val="16"/>
                <w:szCs w:val="16"/>
              </w:rPr>
              <w:t>Límite permisible</w:t>
            </w:r>
          </w:p>
        </w:tc>
        <w:tc>
          <w:tcPr>
            <w:tcW w:w="2522" w:type="dxa"/>
            <w:tcBorders>
              <w:top w:val="single" w:sz="6" w:space="0" w:color="auto"/>
              <w:left w:val="single" w:sz="6" w:space="0" w:color="auto"/>
              <w:bottom w:val="single" w:sz="6" w:space="0" w:color="auto"/>
              <w:right w:val="single" w:sz="6" w:space="0" w:color="auto"/>
            </w:tcBorders>
          </w:tcPr>
          <w:p w14:paraId="68FAFA61" w14:textId="77777777" w:rsidR="00A74CDF" w:rsidRPr="00F01347" w:rsidRDefault="00A74CDF" w:rsidP="003A601B">
            <w:pPr>
              <w:pStyle w:val="texto0"/>
              <w:spacing w:before="40" w:after="40" w:line="226" w:lineRule="exact"/>
              <w:ind w:firstLine="0"/>
              <w:jc w:val="center"/>
              <w:rPr>
                <w:rFonts w:ascii="Verdana" w:hAnsi="Verdana"/>
                <w:b/>
                <w:color w:val="000000"/>
                <w:sz w:val="16"/>
                <w:szCs w:val="16"/>
              </w:rPr>
            </w:pPr>
            <w:r w:rsidRPr="00F01347">
              <w:rPr>
                <w:rFonts w:ascii="Verdana" w:hAnsi="Verdana"/>
                <w:b/>
                <w:color w:val="000000"/>
                <w:sz w:val="16"/>
                <w:szCs w:val="16"/>
              </w:rPr>
              <w:t>Unidades</w:t>
            </w:r>
          </w:p>
        </w:tc>
      </w:tr>
      <w:tr w:rsidR="00A74CDF" w:rsidRPr="00F01347" w14:paraId="53567CDC" w14:textId="77777777">
        <w:trPr>
          <w:trHeight w:val="20"/>
          <w:jc w:val="center"/>
        </w:trPr>
        <w:tc>
          <w:tcPr>
            <w:tcW w:w="3181" w:type="dxa"/>
            <w:tcBorders>
              <w:top w:val="single" w:sz="6" w:space="0" w:color="auto"/>
              <w:left w:val="single" w:sz="6" w:space="0" w:color="auto"/>
              <w:bottom w:val="single" w:sz="6" w:space="0" w:color="auto"/>
              <w:right w:val="single" w:sz="6" w:space="0" w:color="auto"/>
            </w:tcBorders>
          </w:tcPr>
          <w:p w14:paraId="466882FE" w14:textId="77777777" w:rsidR="00A74CDF" w:rsidRPr="00F01347" w:rsidRDefault="00A74CDF" w:rsidP="003A601B">
            <w:pPr>
              <w:pStyle w:val="texto0"/>
              <w:spacing w:before="40" w:after="40" w:line="226" w:lineRule="exact"/>
              <w:ind w:firstLine="0"/>
              <w:rPr>
                <w:rFonts w:ascii="Verdana" w:hAnsi="Verdana"/>
                <w:color w:val="000000"/>
                <w:sz w:val="16"/>
                <w:szCs w:val="16"/>
              </w:rPr>
            </w:pPr>
            <w:r w:rsidRPr="00F01347">
              <w:rPr>
                <w:rFonts w:ascii="Verdana" w:hAnsi="Verdana"/>
                <w:color w:val="000000"/>
                <w:sz w:val="16"/>
                <w:szCs w:val="16"/>
              </w:rPr>
              <w:t>Radiactividad alfa total</w:t>
            </w:r>
          </w:p>
        </w:tc>
        <w:tc>
          <w:tcPr>
            <w:tcW w:w="3009" w:type="dxa"/>
            <w:tcBorders>
              <w:top w:val="single" w:sz="6" w:space="0" w:color="auto"/>
              <w:left w:val="single" w:sz="6" w:space="0" w:color="auto"/>
              <w:bottom w:val="single" w:sz="6" w:space="0" w:color="auto"/>
              <w:right w:val="single" w:sz="6" w:space="0" w:color="auto"/>
            </w:tcBorders>
          </w:tcPr>
          <w:p w14:paraId="327623F7" w14:textId="77777777" w:rsidR="00A74CDF" w:rsidRPr="00F01347" w:rsidRDefault="00A74CDF" w:rsidP="003A601B">
            <w:pPr>
              <w:pStyle w:val="texto0"/>
              <w:spacing w:before="40" w:after="40" w:line="226" w:lineRule="exact"/>
              <w:ind w:firstLine="0"/>
              <w:jc w:val="center"/>
              <w:rPr>
                <w:rFonts w:ascii="Verdana" w:hAnsi="Verdana"/>
                <w:color w:val="000000"/>
                <w:sz w:val="16"/>
                <w:szCs w:val="16"/>
              </w:rPr>
            </w:pPr>
            <w:r w:rsidRPr="00F01347">
              <w:rPr>
                <w:rFonts w:ascii="Verdana" w:hAnsi="Verdana"/>
                <w:color w:val="000000"/>
                <w:sz w:val="16"/>
                <w:szCs w:val="16"/>
              </w:rPr>
              <w:t>0.5</w:t>
            </w:r>
          </w:p>
        </w:tc>
        <w:tc>
          <w:tcPr>
            <w:tcW w:w="2522" w:type="dxa"/>
            <w:tcBorders>
              <w:top w:val="single" w:sz="6" w:space="0" w:color="auto"/>
              <w:left w:val="single" w:sz="6" w:space="0" w:color="auto"/>
              <w:bottom w:val="single" w:sz="6" w:space="0" w:color="auto"/>
              <w:right w:val="single" w:sz="6" w:space="0" w:color="auto"/>
            </w:tcBorders>
          </w:tcPr>
          <w:p w14:paraId="794E7E76" w14:textId="77777777" w:rsidR="00A74CDF" w:rsidRPr="00F01347" w:rsidRDefault="00A74CDF" w:rsidP="003A601B">
            <w:pPr>
              <w:pStyle w:val="texto0"/>
              <w:spacing w:before="40" w:after="40" w:line="226" w:lineRule="exact"/>
              <w:ind w:firstLine="0"/>
              <w:jc w:val="center"/>
              <w:rPr>
                <w:rFonts w:ascii="Verdana" w:hAnsi="Verdana"/>
                <w:color w:val="000000"/>
                <w:sz w:val="16"/>
                <w:szCs w:val="16"/>
              </w:rPr>
            </w:pPr>
            <w:r w:rsidRPr="00F01347">
              <w:rPr>
                <w:rFonts w:ascii="Verdana" w:hAnsi="Verdana"/>
                <w:color w:val="000000"/>
                <w:sz w:val="16"/>
                <w:szCs w:val="16"/>
              </w:rPr>
              <w:t>Bq/L</w:t>
            </w:r>
          </w:p>
        </w:tc>
      </w:tr>
      <w:tr w:rsidR="00A74CDF" w:rsidRPr="00F01347" w14:paraId="02E7EEFA" w14:textId="77777777">
        <w:trPr>
          <w:trHeight w:val="20"/>
          <w:jc w:val="center"/>
        </w:trPr>
        <w:tc>
          <w:tcPr>
            <w:tcW w:w="3181" w:type="dxa"/>
            <w:tcBorders>
              <w:top w:val="single" w:sz="6" w:space="0" w:color="auto"/>
              <w:left w:val="single" w:sz="6" w:space="0" w:color="auto"/>
              <w:bottom w:val="single" w:sz="6" w:space="0" w:color="auto"/>
              <w:right w:val="single" w:sz="6" w:space="0" w:color="auto"/>
            </w:tcBorders>
          </w:tcPr>
          <w:p w14:paraId="3800F7D6" w14:textId="77777777" w:rsidR="00A74CDF" w:rsidRPr="00F01347" w:rsidRDefault="00A74CDF" w:rsidP="003A601B">
            <w:pPr>
              <w:pStyle w:val="texto0"/>
              <w:spacing w:before="40" w:after="40" w:line="226" w:lineRule="exact"/>
              <w:ind w:firstLine="0"/>
              <w:rPr>
                <w:rFonts w:ascii="Verdana" w:hAnsi="Verdana"/>
                <w:color w:val="000000"/>
                <w:sz w:val="16"/>
                <w:szCs w:val="16"/>
              </w:rPr>
            </w:pPr>
            <w:r w:rsidRPr="00F01347">
              <w:rPr>
                <w:rFonts w:ascii="Verdana" w:hAnsi="Verdana"/>
                <w:color w:val="000000"/>
                <w:sz w:val="16"/>
                <w:szCs w:val="16"/>
              </w:rPr>
              <w:t xml:space="preserve">Radiactividad beta total </w:t>
            </w:r>
          </w:p>
        </w:tc>
        <w:tc>
          <w:tcPr>
            <w:tcW w:w="3009" w:type="dxa"/>
            <w:tcBorders>
              <w:top w:val="single" w:sz="6" w:space="0" w:color="auto"/>
              <w:left w:val="single" w:sz="6" w:space="0" w:color="auto"/>
              <w:bottom w:val="single" w:sz="6" w:space="0" w:color="auto"/>
              <w:right w:val="single" w:sz="6" w:space="0" w:color="auto"/>
            </w:tcBorders>
          </w:tcPr>
          <w:p w14:paraId="1830A682" w14:textId="77777777" w:rsidR="00A74CDF" w:rsidRPr="00F01347" w:rsidRDefault="00A74CDF" w:rsidP="003A601B">
            <w:pPr>
              <w:pStyle w:val="texto0"/>
              <w:spacing w:before="40" w:after="40" w:line="226" w:lineRule="exact"/>
              <w:ind w:firstLine="0"/>
              <w:jc w:val="center"/>
              <w:rPr>
                <w:rFonts w:ascii="Verdana" w:hAnsi="Verdana"/>
                <w:color w:val="000000"/>
                <w:sz w:val="16"/>
                <w:szCs w:val="16"/>
              </w:rPr>
            </w:pPr>
            <w:r w:rsidRPr="00F01347">
              <w:rPr>
                <w:rFonts w:ascii="Verdana" w:hAnsi="Verdana"/>
                <w:color w:val="000000"/>
                <w:sz w:val="16"/>
                <w:szCs w:val="16"/>
              </w:rPr>
              <w:t>1.0</w:t>
            </w:r>
          </w:p>
        </w:tc>
        <w:tc>
          <w:tcPr>
            <w:tcW w:w="2522" w:type="dxa"/>
            <w:tcBorders>
              <w:top w:val="single" w:sz="6" w:space="0" w:color="auto"/>
              <w:left w:val="single" w:sz="6" w:space="0" w:color="auto"/>
              <w:bottom w:val="single" w:sz="6" w:space="0" w:color="auto"/>
              <w:right w:val="single" w:sz="6" w:space="0" w:color="auto"/>
            </w:tcBorders>
          </w:tcPr>
          <w:p w14:paraId="1D7093EF" w14:textId="77777777" w:rsidR="00A74CDF" w:rsidRPr="00F01347" w:rsidRDefault="00A74CDF" w:rsidP="003A601B">
            <w:pPr>
              <w:pStyle w:val="texto0"/>
              <w:spacing w:before="40" w:after="40" w:line="226" w:lineRule="exact"/>
              <w:ind w:firstLine="0"/>
              <w:jc w:val="center"/>
              <w:rPr>
                <w:rFonts w:ascii="Verdana" w:hAnsi="Verdana"/>
                <w:color w:val="000000"/>
                <w:sz w:val="16"/>
                <w:szCs w:val="16"/>
              </w:rPr>
            </w:pPr>
            <w:r w:rsidRPr="00F01347">
              <w:rPr>
                <w:rFonts w:ascii="Verdana" w:hAnsi="Verdana"/>
                <w:color w:val="000000"/>
                <w:sz w:val="16"/>
                <w:szCs w:val="16"/>
              </w:rPr>
              <w:t>Bq/L</w:t>
            </w:r>
          </w:p>
        </w:tc>
      </w:tr>
    </w:tbl>
    <w:p w14:paraId="2D2BEB78" w14:textId="77777777" w:rsidR="00204B58" w:rsidRPr="00F01347" w:rsidRDefault="00204B58" w:rsidP="003A601B">
      <w:pPr>
        <w:pStyle w:val="texto0"/>
        <w:spacing w:after="60" w:line="240" w:lineRule="exact"/>
        <w:rPr>
          <w:rFonts w:ascii="Verdana" w:hAnsi="Verdana"/>
          <w:b/>
          <w:sz w:val="16"/>
          <w:szCs w:val="16"/>
          <w:lang w:val="es-ES_tradnl"/>
        </w:rPr>
      </w:pPr>
    </w:p>
    <w:p w14:paraId="304AAE58" w14:textId="77777777" w:rsidR="006836D5" w:rsidRPr="00F01347" w:rsidRDefault="006836D5" w:rsidP="006836D5">
      <w:pPr>
        <w:pStyle w:val="texto0"/>
        <w:ind w:firstLine="0"/>
        <w:jc w:val="center"/>
        <w:rPr>
          <w:rFonts w:ascii="Verdana" w:hAnsi="Verdana"/>
          <w:b/>
          <w:color w:val="000000"/>
          <w:sz w:val="16"/>
          <w:szCs w:val="16"/>
          <w:lang w:val="en-US"/>
        </w:rPr>
      </w:pPr>
      <w:r w:rsidRPr="00F01347">
        <w:rPr>
          <w:rFonts w:ascii="Verdana" w:hAnsi="Verdana"/>
          <w:b/>
          <w:sz w:val="16"/>
          <w:szCs w:val="16"/>
          <w:lang w:val="en-US"/>
        </w:rPr>
        <w:t xml:space="preserve">Table 8 - </w:t>
      </w:r>
      <w:r w:rsidRPr="00F01347">
        <w:rPr>
          <w:rFonts w:ascii="Verdana" w:hAnsi="Verdana"/>
          <w:b/>
          <w:color w:val="000000"/>
          <w:sz w:val="16"/>
          <w:szCs w:val="16"/>
          <w:lang w:val="en-US"/>
        </w:rPr>
        <w:t>Health radioactivity specifications</w:t>
      </w:r>
    </w:p>
    <w:tbl>
      <w:tblPr>
        <w:tblW w:w="8715" w:type="dxa"/>
        <w:jc w:val="center"/>
        <w:tblLayout w:type="fixed"/>
        <w:tblCellMar>
          <w:left w:w="70" w:type="dxa"/>
          <w:right w:w="70" w:type="dxa"/>
        </w:tblCellMar>
        <w:tblLook w:val="04A0" w:firstRow="1" w:lastRow="0" w:firstColumn="1" w:lastColumn="0" w:noHBand="0" w:noVBand="1"/>
      </w:tblPr>
      <w:tblGrid>
        <w:gridCol w:w="3182"/>
        <w:gridCol w:w="3010"/>
        <w:gridCol w:w="2523"/>
      </w:tblGrid>
      <w:tr w:rsidR="006836D5" w:rsidRPr="00F01347" w14:paraId="59168D55" w14:textId="77777777" w:rsidTr="006836D5">
        <w:trPr>
          <w:trHeight w:val="20"/>
          <w:jc w:val="center"/>
        </w:trPr>
        <w:tc>
          <w:tcPr>
            <w:tcW w:w="3181" w:type="dxa"/>
            <w:tcBorders>
              <w:top w:val="single" w:sz="6" w:space="0" w:color="auto"/>
              <w:left w:val="single" w:sz="6" w:space="0" w:color="auto"/>
              <w:bottom w:val="single" w:sz="6" w:space="0" w:color="auto"/>
              <w:right w:val="single" w:sz="6" w:space="0" w:color="auto"/>
            </w:tcBorders>
            <w:noWrap/>
            <w:hideMark/>
          </w:tcPr>
          <w:p w14:paraId="3C0F3206" w14:textId="77777777" w:rsidR="006836D5" w:rsidRPr="00F01347" w:rsidRDefault="006836D5">
            <w:pPr>
              <w:pStyle w:val="texto0"/>
              <w:spacing w:before="40" w:after="40" w:line="226"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Parameters</w:t>
            </w:r>
          </w:p>
        </w:tc>
        <w:tc>
          <w:tcPr>
            <w:tcW w:w="3009" w:type="dxa"/>
            <w:tcBorders>
              <w:top w:val="single" w:sz="6" w:space="0" w:color="auto"/>
              <w:left w:val="single" w:sz="6" w:space="0" w:color="auto"/>
              <w:bottom w:val="single" w:sz="6" w:space="0" w:color="auto"/>
              <w:right w:val="single" w:sz="6" w:space="0" w:color="auto"/>
            </w:tcBorders>
            <w:hideMark/>
          </w:tcPr>
          <w:p w14:paraId="2DFED1AB" w14:textId="77777777" w:rsidR="006836D5" w:rsidRPr="00F01347" w:rsidRDefault="006836D5">
            <w:pPr>
              <w:pStyle w:val="texto0"/>
              <w:spacing w:before="40" w:after="40" w:line="226"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Permissible limit</w:t>
            </w:r>
          </w:p>
        </w:tc>
        <w:tc>
          <w:tcPr>
            <w:tcW w:w="2522" w:type="dxa"/>
            <w:tcBorders>
              <w:top w:val="single" w:sz="6" w:space="0" w:color="auto"/>
              <w:left w:val="single" w:sz="6" w:space="0" w:color="auto"/>
              <w:bottom w:val="single" w:sz="6" w:space="0" w:color="auto"/>
              <w:right w:val="single" w:sz="6" w:space="0" w:color="auto"/>
            </w:tcBorders>
            <w:hideMark/>
          </w:tcPr>
          <w:p w14:paraId="23BE5D85" w14:textId="77777777" w:rsidR="006836D5" w:rsidRPr="00F01347" w:rsidRDefault="006836D5">
            <w:pPr>
              <w:pStyle w:val="texto0"/>
              <w:spacing w:before="40" w:after="40" w:line="226"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Units</w:t>
            </w:r>
          </w:p>
        </w:tc>
      </w:tr>
      <w:tr w:rsidR="006836D5" w:rsidRPr="00F01347" w14:paraId="171D008A" w14:textId="77777777" w:rsidTr="006836D5">
        <w:trPr>
          <w:trHeight w:val="20"/>
          <w:jc w:val="center"/>
        </w:trPr>
        <w:tc>
          <w:tcPr>
            <w:tcW w:w="3181" w:type="dxa"/>
            <w:tcBorders>
              <w:top w:val="single" w:sz="6" w:space="0" w:color="auto"/>
              <w:left w:val="single" w:sz="6" w:space="0" w:color="auto"/>
              <w:bottom w:val="single" w:sz="6" w:space="0" w:color="auto"/>
              <w:right w:val="single" w:sz="6" w:space="0" w:color="auto"/>
            </w:tcBorders>
            <w:hideMark/>
          </w:tcPr>
          <w:p w14:paraId="5138E3CC" w14:textId="77777777" w:rsidR="006836D5" w:rsidRPr="00F01347" w:rsidRDefault="006836D5">
            <w:pPr>
              <w:pStyle w:val="texto0"/>
              <w:spacing w:before="40" w:after="40" w:line="226" w:lineRule="exact"/>
              <w:ind w:firstLine="0"/>
              <w:rPr>
                <w:rFonts w:ascii="Verdana" w:hAnsi="Verdana"/>
                <w:color w:val="000000"/>
                <w:sz w:val="16"/>
                <w:szCs w:val="16"/>
                <w:lang w:val="en-US"/>
              </w:rPr>
            </w:pPr>
            <w:r w:rsidRPr="00F01347">
              <w:rPr>
                <w:rFonts w:ascii="Verdana" w:hAnsi="Verdana"/>
                <w:color w:val="000000"/>
                <w:sz w:val="16"/>
                <w:szCs w:val="16"/>
                <w:lang w:val="en-US"/>
              </w:rPr>
              <w:t>Total alpha radioactivity</w:t>
            </w:r>
          </w:p>
        </w:tc>
        <w:tc>
          <w:tcPr>
            <w:tcW w:w="3009" w:type="dxa"/>
            <w:tcBorders>
              <w:top w:val="single" w:sz="6" w:space="0" w:color="auto"/>
              <w:left w:val="single" w:sz="6" w:space="0" w:color="auto"/>
              <w:bottom w:val="single" w:sz="6" w:space="0" w:color="auto"/>
              <w:right w:val="single" w:sz="6" w:space="0" w:color="auto"/>
            </w:tcBorders>
            <w:hideMark/>
          </w:tcPr>
          <w:p w14:paraId="0E87F4DC" w14:textId="77777777" w:rsidR="006836D5" w:rsidRPr="00F01347" w:rsidRDefault="006836D5">
            <w:pPr>
              <w:pStyle w:val="texto0"/>
              <w:spacing w:before="40" w:after="40"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0.5</w:t>
            </w:r>
          </w:p>
        </w:tc>
        <w:tc>
          <w:tcPr>
            <w:tcW w:w="2522" w:type="dxa"/>
            <w:tcBorders>
              <w:top w:val="single" w:sz="6" w:space="0" w:color="auto"/>
              <w:left w:val="single" w:sz="6" w:space="0" w:color="auto"/>
              <w:bottom w:val="single" w:sz="6" w:space="0" w:color="auto"/>
              <w:right w:val="single" w:sz="6" w:space="0" w:color="auto"/>
            </w:tcBorders>
            <w:hideMark/>
          </w:tcPr>
          <w:p w14:paraId="10C9570B" w14:textId="77777777" w:rsidR="006836D5" w:rsidRPr="00F01347" w:rsidRDefault="006836D5">
            <w:pPr>
              <w:pStyle w:val="texto0"/>
              <w:spacing w:before="40" w:after="40" w:line="226" w:lineRule="exact"/>
              <w:ind w:firstLine="0"/>
              <w:jc w:val="center"/>
              <w:rPr>
                <w:rFonts w:ascii="Verdana" w:hAnsi="Verdana"/>
                <w:color w:val="000000"/>
                <w:sz w:val="16"/>
                <w:szCs w:val="16"/>
                <w:lang w:val="en-US"/>
              </w:rPr>
            </w:pPr>
            <w:proofErr w:type="spellStart"/>
            <w:r w:rsidRPr="00F01347">
              <w:rPr>
                <w:rFonts w:ascii="Verdana" w:hAnsi="Verdana"/>
                <w:color w:val="000000"/>
                <w:sz w:val="16"/>
                <w:szCs w:val="16"/>
                <w:lang w:val="en-US"/>
              </w:rPr>
              <w:t>Bq</w:t>
            </w:r>
            <w:proofErr w:type="spellEnd"/>
            <w:r w:rsidRPr="00F01347">
              <w:rPr>
                <w:rFonts w:ascii="Verdana" w:hAnsi="Verdana"/>
                <w:color w:val="000000"/>
                <w:sz w:val="16"/>
                <w:szCs w:val="16"/>
                <w:lang w:val="en-US"/>
              </w:rPr>
              <w:t>/L</w:t>
            </w:r>
          </w:p>
        </w:tc>
      </w:tr>
      <w:tr w:rsidR="006836D5" w:rsidRPr="00F01347" w14:paraId="741C06F7" w14:textId="77777777" w:rsidTr="006836D5">
        <w:trPr>
          <w:trHeight w:val="20"/>
          <w:jc w:val="center"/>
        </w:trPr>
        <w:tc>
          <w:tcPr>
            <w:tcW w:w="3181" w:type="dxa"/>
            <w:tcBorders>
              <w:top w:val="single" w:sz="6" w:space="0" w:color="auto"/>
              <w:left w:val="single" w:sz="6" w:space="0" w:color="auto"/>
              <w:bottom w:val="single" w:sz="6" w:space="0" w:color="auto"/>
              <w:right w:val="single" w:sz="6" w:space="0" w:color="auto"/>
            </w:tcBorders>
            <w:hideMark/>
          </w:tcPr>
          <w:p w14:paraId="4EAA62CF" w14:textId="77777777" w:rsidR="006836D5" w:rsidRPr="00F01347" w:rsidRDefault="006836D5">
            <w:pPr>
              <w:pStyle w:val="texto0"/>
              <w:spacing w:before="40" w:after="40" w:line="226" w:lineRule="exact"/>
              <w:ind w:firstLine="0"/>
              <w:rPr>
                <w:rFonts w:ascii="Verdana" w:hAnsi="Verdana"/>
                <w:color w:val="000000"/>
                <w:sz w:val="16"/>
                <w:szCs w:val="16"/>
                <w:lang w:val="en-US"/>
              </w:rPr>
            </w:pPr>
            <w:r w:rsidRPr="00F01347">
              <w:rPr>
                <w:rFonts w:ascii="Verdana" w:hAnsi="Verdana"/>
                <w:color w:val="000000"/>
                <w:sz w:val="16"/>
                <w:szCs w:val="16"/>
                <w:lang w:val="en-US"/>
              </w:rPr>
              <w:t>Total beta radioactivity</w:t>
            </w:r>
          </w:p>
        </w:tc>
        <w:tc>
          <w:tcPr>
            <w:tcW w:w="3009" w:type="dxa"/>
            <w:tcBorders>
              <w:top w:val="single" w:sz="6" w:space="0" w:color="auto"/>
              <w:left w:val="single" w:sz="6" w:space="0" w:color="auto"/>
              <w:bottom w:val="single" w:sz="6" w:space="0" w:color="auto"/>
              <w:right w:val="single" w:sz="6" w:space="0" w:color="auto"/>
            </w:tcBorders>
            <w:hideMark/>
          </w:tcPr>
          <w:p w14:paraId="799D6D45" w14:textId="77777777" w:rsidR="006836D5" w:rsidRPr="00F01347" w:rsidRDefault="006836D5">
            <w:pPr>
              <w:pStyle w:val="texto0"/>
              <w:spacing w:before="40" w:after="40"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1.0</w:t>
            </w:r>
          </w:p>
        </w:tc>
        <w:tc>
          <w:tcPr>
            <w:tcW w:w="2522" w:type="dxa"/>
            <w:tcBorders>
              <w:top w:val="single" w:sz="6" w:space="0" w:color="auto"/>
              <w:left w:val="single" w:sz="6" w:space="0" w:color="auto"/>
              <w:bottom w:val="single" w:sz="6" w:space="0" w:color="auto"/>
              <w:right w:val="single" w:sz="6" w:space="0" w:color="auto"/>
            </w:tcBorders>
            <w:hideMark/>
          </w:tcPr>
          <w:p w14:paraId="2775FA9C" w14:textId="77777777" w:rsidR="006836D5" w:rsidRPr="00F01347" w:rsidRDefault="006836D5">
            <w:pPr>
              <w:pStyle w:val="texto0"/>
              <w:spacing w:before="40" w:after="40" w:line="226" w:lineRule="exact"/>
              <w:ind w:firstLine="0"/>
              <w:jc w:val="center"/>
              <w:rPr>
                <w:rFonts w:ascii="Verdana" w:hAnsi="Verdana"/>
                <w:color w:val="000000"/>
                <w:sz w:val="16"/>
                <w:szCs w:val="16"/>
                <w:lang w:val="en-US"/>
              </w:rPr>
            </w:pPr>
            <w:proofErr w:type="spellStart"/>
            <w:r w:rsidRPr="00F01347">
              <w:rPr>
                <w:rFonts w:ascii="Verdana" w:hAnsi="Verdana"/>
                <w:color w:val="000000"/>
                <w:sz w:val="16"/>
                <w:szCs w:val="16"/>
                <w:lang w:val="en-US"/>
              </w:rPr>
              <w:t>Bq</w:t>
            </w:r>
            <w:proofErr w:type="spellEnd"/>
            <w:r w:rsidRPr="00F01347">
              <w:rPr>
                <w:rFonts w:ascii="Verdana" w:hAnsi="Verdana"/>
                <w:color w:val="000000"/>
                <w:sz w:val="16"/>
                <w:szCs w:val="16"/>
                <w:lang w:val="en-US"/>
              </w:rPr>
              <w:t>/L</w:t>
            </w:r>
          </w:p>
        </w:tc>
      </w:tr>
    </w:tbl>
    <w:p w14:paraId="724418D4" w14:textId="77777777" w:rsidR="006836D5" w:rsidRPr="00F01347" w:rsidRDefault="006836D5" w:rsidP="006836D5">
      <w:pPr>
        <w:pStyle w:val="texto0"/>
        <w:spacing w:after="60" w:line="240" w:lineRule="exact"/>
        <w:rPr>
          <w:rFonts w:ascii="Verdana" w:hAnsi="Verdana"/>
          <w:b/>
          <w:sz w:val="16"/>
          <w:szCs w:val="16"/>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836D5" w:rsidRPr="00F01347" w14:paraId="2375286B" w14:textId="15CA0D99" w:rsidTr="007A725C">
        <w:tc>
          <w:tcPr>
            <w:tcW w:w="4675" w:type="dxa"/>
          </w:tcPr>
          <w:p w14:paraId="45D1FA1E" w14:textId="77777777" w:rsidR="006836D5" w:rsidRPr="00F01347" w:rsidRDefault="006836D5" w:rsidP="006836D5">
            <w:pPr>
              <w:pStyle w:val="texto0"/>
              <w:spacing w:after="60" w:line="240" w:lineRule="exact"/>
              <w:ind w:firstLine="0"/>
              <w:rPr>
                <w:rFonts w:ascii="Verdana" w:hAnsi="Verdana"/>
                <w:sz w:val="16"/>
                <w:szCs w:val="16"/>
                <w:lang w:val="es-ES_tradnl"/>
              </w:rPr>
            </w:pPr>
            <w:r w:rsidRPr="00F01347">
              <w:rPr>
                <w:rFonts w:ascii="Verdana" w:hAnsi="Verdana"/>
                <w:b/>
                <w:sz w:val="16"/>
                <w:szCs w:val="16"/>
                <w:lang w:val="es-ES_tradnl"/>
              </w:rPr>
              <w:t>5.8</w:t>
            </w:r>
            <w:r w:rsidRPr="00F01347">
              <w:rPr>
                <w:rFonts w:ascii="Verdana" w:hAnsi="Verdana"/>
                <w:sz w:val="16"/>
                <w:szCs w:val="16"/>
                <w:lang w:val="es-ES_tradnl"/>
              </w:rPr>
              <w:t xml:space="preserve"> Residuales de la desinfección:</w:t>
            </w:r>
          </w:p>
        </w:tc>
        <w:tc>
          <w:tcPr>
            <w:tcW w:w="4675" w:type="dxa"/>
          </w:tcPr>
          <w:p w14:paraId="03787436" w14:textId="678C0679" w:rsidR="006836D5" w:rsidRPr="00F01347" w:rsidRDefault="006836D5" w:rsidP="006836D5">
            <w:pPr>
              <w:pStyle w:val="texto0"/>
              <w:spacing w:after="60" w:line="240" w:lineRule="exact"/>
              <w:ind w:firstLine="0"/>
              <w:rPr>
                <w:rFonts w:ascii="Verdana" w:hAnsi="Verdana"/>
                <w:b/>
                <w:sz w:val="16"/>
                <w:szCs w:val="16"/>
                <w:lang w:val="en-US"/>
              </w:rPr>
            </w:pPr>
            <w:r w:rsidRPr="00F01347">
              <w:rPr>
                <w:rFonts w:ascii="Verdana" w:hAnsi="Verdana"/>
                <w:b/>
                <w:sz w:val="16"/>
                <w:szCs w:val="16"/>
                <w:lang w:val="en-US"/>
              </w:rPr>
              <w:t xml:space="preserve">5.8 </w:t>
            </w:r>
            <w:r w:rsidR="007A725C" w:rsidRPr="00F01347">
              <w:rPr>
                <w:rFonts w:ascii="Verdana" w:hAnsi="Verdana"/>
                <w:sz w:val="16"/>
                <w:szCs w:val="16"/>
                <w:lang w:val="en-US"/>
              </w:rPr>
              <w:t>R</w:t>
            </w:r>
            <w:r w:rsidRPr="00F01347">
              <w:rPr>
                <w:rFonts w:ascii="Verdana" w:hAnsi="Verdana"/>
                <w:sz w:val="16"/>
                <w:szCs w:val="16"/>
                <w:lang w:val="en-US"/>
              </w:rPr>
              <w:t>esiduals</w:t>
            </w:r>
            <w:r w:rsidR="007A725C" w:rsidRPr="00F01347">
              <w:rPr>
                <w:rFonts w:ascii="Verdana" w:hAnsi="Verdana"/>
                <w:sz w:val="16"/>
                <w:szCs w:val="16"/>
                <w:lang w:val="en-US"/>
              </w:rPr>
              <w:t xml:space="preserve"> from disinfection</w:t>
            </w:r>
            <w:r w:rsidRPr="00F01347">
              <w:rPr>
                <w:rFonts w:ascii="Verdana" w:hAnsi="Verdana"/>
                <w:sz w:val="16"/>
                <w:szCs w:val="16"/>
                <w:lang w:val="en-US"/>
              </w:rPr>
              <w:t>:</w:t>
            </w:r>
          </w:p>
        </w:tc>
      </w:tr>
      <w:tr w:rsidR="006836D5" w:rsidRPr="00F01347" w14:paraId="66DCD1A8" w14:textId="5B490CA8" w:rsidTr="007A725C">
        <w:tc>
          <w:tcPr>
            <w:tcW w:w="4675" w:type="dxa"/>
          </w:tcPr>
          <w:p w14:paraId="609C4A57" w14:textId="77777777" w:rsidR="006836D5" w:rsidRPr="00F01347" w:rsidRDefault="006836D5" w:rsidP="006836D5">
            <w:pPr>
              <w:pStyle w:val="texto0"/>
              <w:spacing w:after="60" w:line="240" w:lineRule="exact"/>
              <w:ind w:firstLine="0"/>
              <w:rPr>
                <w:rFonts w:ascii="Verdana" w:hAnsi="Verdana"/>
                <w:sz w:val="16"/>
                <w:szCs w:val="16"/>
                <w:lang w:val="es-ES_tradnl"/>
              </w:rPr>
            </w:pPr>
            <w:r w:rsidRPr="00F01347">
              <w:rPr>
                <w:rFonts w:ascii="Verdana" w:hAnsi="Verdana"/>
                <w:b/>
                <w:sz w:val="16"/>
                <w:szCs w:val="16"/>
                <w:lang w:val="es-ES_tradnl"/>
              </w:rPr>
              <w:t>5.8.1</w:t>
            </w:r>
            <w:r w:rsidRPr="00F01347">
              <w:rPr>
                <w:rFonts w:ascii="Verdana" w:hAnsi="Verdana"/>
                <w:sz w:val="16"/>
                <w:szCs w:val="16"/>
                <w:lang w:val="es-ES_tradnl"/>
              </w:rPr>
              <w:t xml:space="preserve"> Si para la desinfección del agua se utiliza algún compuesto de cloro (hipoclorito de sodio o de calcio, gas cloro o dióxido de cloro) debe medirse cloro residual libre.</w:t>
            </w:r>
          </w:p>
        </w:tc>
        <w:tc>
          <w:tcPr>
            <w:tcW w:w="4675" w:type="dxa"/>
          </w:tcPr>
          <w:p w14:paraId="1C7779BA" w14:textId="20A4AECA" w:rsidR="006836D5" w:rsidRPr="00F01347" w:rsidRDefault="006836D5" w:rsidP="006836D5">
            <w:pPr>
              <w:pStyle w:val="texto0"/>
              <w:spacing w:after="60" w:line="240" w:lineRule="exact"/>
              <w:ind w:firstLine="0"/>
              <w:rPr>
                <w:rFonts w:ascii="Verdana" w:hAnsi="Verdana"/>
                <w:b/>
                <w:sz w:val="16"/>
                <w:szCs w:val="16"/>
                <w:lang w:val="en-US"/>
              </w:rPr>
            </w:pPr>
            <w:r w:rsidRPr="00F01347">
              <w:rPr>
                <w:rFonts w:ascii="Verdana" w:hAnsi="Verdana"/>
                <w:b/>
                <w:sz w:val="16"/>
                <w:szCs w:val="16"/>
                <w:lang w:val="en-US"/>
              </w:rPr>
              <w:t xml:space="preserve">5.8.1 </w:t>
            </w:r>
            <w:r w:rsidRPr="00F01347">
              <w:rPr>
                <w:rFonts w:ascii="Verdana" w:hAnsi="Verdana"/>
                <w:sz w:val="16"/>
                <w:szCs w:val="16"/>
                <w:lang w:val="en-US"/>
              </w:rPr>
              <w:t>If any chlorine compound (sodium or calcium hypochlorite, chlorine gas or chlorine dioxide) is used for water disinfection, free residual chlorine must be measured.</w:t>
            </w:r>
          </w:p>
        </w:tc>
      </w:tr>
      <w:tr w:rsidR="006836D5" w:rsidRPr="00F01347" w14:paraId="57D4298F" w14:textId="0978EFCE" w:rsidTr="007A725C">
        <w:tc>
          <w:tcPr>
            <w:tcW w:w="4675" w:type="dxa"/>
          </w:tcPr>
          <w:p w14:paraId="40640302" w14:textId="77777777" w:rsidR="006836D5" w:rsidRPr="00F01347" w:rsidRDefault="006836D5" w:rsidP="006836D5">
            <w:pPr>
              <w:pStyle w:val="texto0"/>
              <w:spacing w:after="60" w:line="240" w:lineRule="exact"/>
              <w:ind w:firstLine="0"/>
              <w:rPr>
                <w:rFonts w:ascii="Verdana" w:hAnsi="Verdana"/>
                <w:sz w:val="16"/>
                <w:szCs w:val="16"/>
                <w:lang w:val="es-ES_tradnl"/>
              </w:rPr>
            </w:pPr>
            <w:r w:rsidRPr="00F01347">
              <w:rPr>
                <w:rFonts w:ascii="Verdana" w:hAnsi="Verdana"/>
                <w:b/>
                <w:sz w:val="16"/>
                <w:szCs w:val="16"/>
                <w:lang w:val="es-ES_tradnl"/>
              </w:rPr>
              <w:lastRenderedPageBreak/>
              <w:t>5.8.2</w:t>
            </w:r>
            <w:r w:rsidRPr="00F01347">
              <w:rPr>
                <w:rFonts w:ascii="Verdana" w:hAnsi="Verdana"/>
                <w:sz w:val="16"/>
                <w:szCs w:val="16"/>
                <w:lang w:val="es-ES_tradnl"/>
              </w:rPr>
              <w:t xml:space="preserve"> Si para la desinfección del agua se utiliza yodo debe medirse yodo residual libre.</w:t>
            </w:r>
          </w:p>
        </w:tc>
        <w:tc>
          <w:tcPr>
            <w:tcW w:w="4675" w:type="dxa"/>
          </w:tcPr>
          <w:p w14:paraId="7F94574C" w14:textId="68D2300E" w:rsidR="006836D5" w:rsidRPr="00F01347" w:rsidRDefault="006836D5" w:rsidP="006836D5">
            <w:pPr>
              <w:pStyle w:val="texto0"/>
              <w:spacing w:after="60" w:line="240" w:lineRule="exact"/>
              <w:ind w:firstLine="0"/>
              <w:rPr>
                <w:rFonts w:ascii="Verdana" w:hAnsi="Verdana"/>
                <w:b/>
                <w:sz w:val="16"/>
                <w:szCs w:val="16"/>
                <w:lang w:val="en-US"/>
              </w:rPr>
            </w:pPr>
            <w:r w:rsidRPr="00F01347">
              <w:rPr>
                <w:rFonts w:ascii="Verdana" w:hAnsi="Verdana"/>
                <w:b/>
                <w:sz w:val="16"/>
                <w:szCs w:val="16"/>
                <w:lang w:val="en-US"/>
              </w:rPr>
              <w:t xml:space="preserve">5.8.2 </w:t>
            </w:r>
            <w:r w:rsidRPr="00F01347">
              <w:rPr>
                <w:rFonts w:ascii="Verdana" w:hAnsi="Verdana"/>
                <w:sz w:val="16"/>
                <w:szCs w:val="16"/>
                <w:lang w:val="en-US"/>
              </w:rPr>
              <w:t>If iodine is used for water disinfection, free residual iodine must be measured.</w:t>
            </w:r>
          </w:p>
        </w:tc>
      </w:tr>
      <w:tr w:rsidR="006836D5" w:rsidRPr="00F01347" w14:paraId="3DAB7FEA" w14:textId="1B6E0032" w:rsidTr="007A725C">
        <w:tc>
          <w:tcPr>
            <w:tcW w:w="4675" w:type="dxa"/>
          </w:tcPr>
          <w:p w14:paraId="014B37E2" w14:textId="77777777" w:rsidR="006836D5" w:rsidRPr="00F01347" w:rsidRDefault="006836D5" w:rsidP="006836D5">
            <w:pPr>
              <w:pStyle w:val="texto0"/>
              <w:spacing w:after="60" w:line="240" w:lineRule="exact"/>
              <w:ind w:firstLine="0"/>
              <w:rPr>
                <w:rFonts w:ascii="Verdana" w:hAnsi="Verdana"/>
                <w:sz w:val="16"/>
                <w:szCs w:val="16"/>
                <w:lang w:val="es-ES_tradnl"/>
              </w:rPr>
            </w:pPr>
            <w:r w:rsidRPr="00F01347">
              <w:rPr>
                <w:rFonts w:ascii="Verdana" w:hAnsi="Verdana"/>
                <w:b/>
                <w:sz w:val="16"/>
                <w:szCs w:val="16"/>
                <w:lang w:val="es-ES_tradnl"/>
              </w:rPr>
              <w:t>5.8.3</w:t>
            </w:r>
            <w:r w:rsidRPr="00F01347">
              <w:rPr>
                <w:rFonts w:ascii="Verdana" w:hAnsi="Verdana"/>
                <w:sz w:val="16"/>
                <w:szCs w:val="16"/>
                <w:lang w:val="es-ES_tradnl"/>
              </w:rPr>
              <w:t xml:space="preserve"> Si para la desinfección del agua se utiliza cualquier forma de plata debe medirse plata total.</w:t>
            </w:r>
          </w:p>
        </w:tc>
        <w:tc>
          <w:tcPr>
            <w:tcW w:w="4675" w:type="dxa"/>
          </w:tcPr>
          <w:p w14:paraId="660A2CC4" w14:textId="628A7D86" w:rsidR="006836D5" w:rsidRPr="00F01347" w:rsidRDefault="006836D5" w:rsidP="006836D5">
            <w:pPr>
              <w:pStyle w:val="texto0"/>
              <w:spacing w:after="60" w:line="240" w:lineRule="exact"/>
              <w:ind w:firstLine="0"/>
              <w:rPr>
                <w:rFonts w:ascii="Verdana" w:hAnsi="Verdana"/>
                <w:b/>
                <w:sz w:val="16"/>
                <w:szCs w:val="16"/>
                <w:lang w:val="en-US"/>
              </w:rPr>
            </w:pPr>
            <w:r w:rsidRPr="00F01347">
              <w:rPr>
                <w:rFonts w:ascii="Verdana" w:hAnsi="Verdana"/>
                <w:b/>
                <w:sz w:val="16"/>
                <w:szCs w:val="16"/>
                <w:lang w:val="en-US"/>
              </w:rPr>
              <w:t xml:space="preserve">5.8.3 </w:t>
            </w:r>
            <w:r w:rsidRPr="00F01347">
              <w:rPr>
                <w:rFonts w:ascii="Verdana" w:hAnsi="Verdana"/>
                <w:sz w:val="16"/>
                <w:szCs w:val="16"/>
                <w:lang w:val="en-US"/>
              </w:rPr>
              <w:t>If any form of silver is used for water disinfection, total silver must be measured.</w:t>
            </w:r>
          </w:p>
        </w:tc>
      </w:tr>
    </w:tbl>
    <w:p w14:paraId="6FA92B95" w14:textId="77777777" w:rsidR="00745CB1" w:rsidRPr="00F01347" w:rsidRDefault="00745CB1" w:rsidP="003A601B">
      <w:pPr>
        <w:pStyle w:val="texto0"/>
        <w:spacing w:line="240" w:lineRule="exact"/>
        <w:ind w:firstLine="0"/>
        <w:jc w:val="center"/>
        <w:rPr>
          <w:rFonts w:ascii="Verdana" w:hAnsi="Verdana"/>
          <w:b/>
          <w:sz w:val="16"/>
          <w:szCs w:val="16"/>
          <w:lang w:val="en-US"/>
        </w:rPr>
      </w:pPr>
    </w:p>
    <w:p w14:paraId="74372D9A" w14:textId="23D9A55A" w:rsidR="00A74CDF" w:rsidRPr="00F01347" w:rsidRDefault="00A74CDF" w:rsidP="003A601B">
      <w:pPr>
        <w:pStyle w:val="texto0"/>
        <w:spacing w:line="240" w:lineRule="exact"/>
        <w:ind w:firstLine="0"/>
        <w:jc w:val="center"/>
        <w:rPr>
          <w:rFonts w:ascii="Verdana" w:hAnsi="Verdana"/>
          <w:b/>
          <w:color w:val="000000"/>
          <w:sz w:val="16"/>
          <w:szCs w:val="16"/>
        </w:rPr>
      </w:pPr>
      <w:r w:rsidRPr="00F01347">
        <w:rPr>
          <w:rFonts w:ascii="Verdana" w:hAnsi="Verdana"/>
          <w:b/>
          <w:sz w:val="16"/>
          <w:szCs w:val="16"/>
        </w:rPr>
        <w:t xml:space="preserve">Tabla 9 - </w:t>
      </w:r>
      <w:r w:rsidRPr="00F01347">
        <w:rPr>
          <w:rFonts w:ascii="Verdana" w:hAnsi="Verdana"/>
          <w:b/>
          <w:color w:val="000000"/>
          <w:sz w:val="16"/>
          <w:szCs w:val="16"/>
        </w:rPr>
        <w:t>Especificaciones sanitarias de residuales de la desinfección</w:t>
      </w:r>
    </w:p>
    <w:tbl>
      <w:tblPr>
        <w:tblW w:w="8712" w:type="dxa"/>
        <w:jc w:val="center"/>
        <w:tblLayout w:type="fixed"/>
        <w:tblCellMar>
          <w:left w:w="70" w:type="dxa"/>
          <w:right w:w="70" w:type="dxa"/>
        </w:tblCellMar>
        <w:tblLook w:val="0000" w:firstRow="0" w:lastRow="0" w:firstColumn="0" w:lastColumn="0" w:noHBand="0" w:noVBand="0"/>
      </w:tblPr>
      <w:tblGrid>
        <w:gridCol w:w="3101"/>
        <w:gridCol w:w="3075"/>
        <w:gridCol w:w="2536"/>
      </w:tblGrid>
      <w:tr w:rsidR="00A74CDF" w:rsidRPr="00F01347" w14:paraId="51C30F39" w14:textId="77777777">
        <w:trPr>
          <w:trHeight w:val="20"/>
          <w:jc w:val="center"/>
        </w:trPr>
        <w:tc>
          <w:tcPr>
            <w:tcW w:w="3101" w:type="dxa"/>
            <w:tcBorders>
              <w:top w:val="single" w:sz="6" w:space="0" w:color="auto"/>
              <w:left w:val="single" w:sz="6" w:space="0" w:color="auto"/>
              <w:bottom w:val="single" w:sz="6" w:space="0" w:color="auto"/>
              <w:right w:val="single" w:sz="6" w:space="0" w:color="auto"/>
            </w:tcBorders>
            <w:noWrap/>
          </w:tcPr>
          <w:p w14:paraId="03DD54CD" w14:textId="77777777" w:rsidR="00A74CDF" w:rsidRPr="00F01347" w:rsidRDefault="00A74CDF" w:rsidP="003A601B">
            <w:pPr>
              <w:pStyle w:val="texto0"/>
              <w:spacing w:line="220" w:lineRule="exact"/>
              <w:ind w:firstLine="0"/>
              <w:jc w:val="center"/>
              <w:rPr>
                <w:rFonts w:ascii="Verdana" w:hAnsi="Verdana"/>
                <w:b/>
                <w:color w:val="000000"/>
                <w:sz w:val="16"/>
                <w:szCs w:val="16"/>
              </w:rPr>
            </w:pPr>
            <w:r w:rsidRPr="00F01347">
              <w:rPr>
                <w:rFonts w:ascii="Verdana" w:hAnsi="Verdana"/>
                <w:b/>
                <w:color w:val="000000"/>
                <w:sz w:val="16"/>
                <w:szCs w:val="16"/>
              </w:rPr>
              <w:t>Parámetros</w:t>
            </w:r>
          </w:p>
        </w:tc>
        <w:tc>
          <w:tcPr>
            <w:tcW w:w="3075" w:type="dxa"/>
            <w:tcBorders>
              <w:top w:val="single" w:sz="6" w:space="0" w:color="auto"/>
              <w:left w:val="single" w:sz="6" w:space="0" w:color="auto"/>
              <w:bottom w:val="single" w:sz="6" w:space="0" w:color="auto"/>
              <w:right w:val="single" w:sz="6" w:space="0" w:color="auto"/>
            </w:tcBorders>
          </w:tcPr>
          <w:p w14:paraId="5D0AE6A8" w14:textId="77777777" w:rsidR="00A74CDF" w:rsidRPr="00F01347" w:rsidRDefault="00A74CDF" w:rsidP="003A601B">
            <w:pPr>
              <w:pStyle w:val="texto0"/>
              <w:spacing w:line="220" w:lineRule="exact"/>
              <w:ind w:firstLine="0"/>
              <w:jc w:val="center"/>
              <w:rPr>
                <w:rFonts w:ascii="Verdana" w:hAnsi="Verdana"/>
                <w:b/>
                <w:color w:val="000000"/>
                <w:sz w:val="16"/>
                <w:szCs w:val="16"/>
              </w:rPr>
            </w:pPr>
            <w:r w:rsidRPr="00F01347">
              <w:rPr>
                <w:rFonts w:ascii="Verdana" w:hAnsi="Verdana"/>
                <w:b/>
                <w:color w:val="000000"/>
                <w:sz w:val="16"/>
                <w:szCs w:val="16"/>
              </w:rPr>
              <w:t>Límite permisible</w:t>
            </w:r>
          </w:p>
        </w:tc>
        <w:tc>
          <w:tcPr>
            <w:tcW w:w="2536" w:type="dxa"/>
            <w:tcBorders>
              <w:top w:val="single" w:sz="6" w:space="0" w:color="auto"/>
              <w:left w:val="single" w:sz="6" w:space="0" w:color="auto"/>
              <w:bottom w:val="single" w:sz="6" w:space="0" w:color="auto"/>
              <w:right w:val="single" w:sz="6" w:space="0" w:color="auto"/>
            </w:tcBorders>
          </w:tcPr>
          <w:p w14:paraId="063F9EFD" w14:textId="77777777" w:rsidR="00A74CDF" w:rsidRPr="00F01347" w:rsidRDefault="00A74CDF" w:rsidP="003A601B">
            <w:pPr>
              <w:pStyle w:val="texto0"/>
              <w:spacing w:line="220" w:lineRule="exact"/>
              <w:ind w:firstLine="0"/>
              <w:jc w:val="center"/>
              <w:rPr>
                <w:rFonts w:ascii="Verdana" w:hAnsi="Verdana"/>
                <w:b/>
                <w:color w:val="000000"/>
                <w:sz w:val="16"/>
                <w:szCs w:val="16"/>
              </w:rPr>
            </w:pPr>
            <w:r w:rsidRPr="00F01347">
              <w:rPr>
                <w:rFonts w:ascii="Verdana" w:hAnsi="Verdana"/>
                <w:b/>
                <w:color w:val="000000"/>
                <w:sz w:val="16"/>
                <w:szCs w:val="16"/>
              </w:rPr>
              <w:t>Unidades</w:t>
            </w:r>
          </w:p>
        </w:tc>
      </w:tr>
      <w:tr w:rsidR="00A74CDF" w:rsidRPr="00F01347" w14:paraId="540BD3D3" w14:textId="77777777">
        <w:trPr>
          <w:trHeight w:val="20"/>
          <w:jc w:val="center"/>
        </w:trPr>
        <w:tc>
          <w:tcPr>
            <w:tcW w:w="3101" w:type="dxa"/>
            <w:tcBorders>
              <w:top w:val="single" w:sz="6" w:space="0" w:color="auto"/>
              <w:left w:val="single" w:sz="6" w:space="0" w:color="auto"/>
              <w:bottom w:val="single" w:sz="6" w:space="0" w:color="auto"/>
              <w:right w:val="single" w:sz="6" w:space="0" w:color="auto"/>
            </w:tcBorders>
          </w:tcPr>
          <w:p w14:paraId="432BEA34" w14:textId="77777777" w:rsidR="00A74CDF" w:rsidRPr="00F01347" w:rsidRDefault="00A74CDF" w:rsidP="003A601B">
            <w:pPr>
              <w:pStyle w:val="texto0"/>
              <w:spacing w:line="220" w:lineRule="exact"/>
              <w:ind w:firstLine="0"/>
              <w:rPr>
                <w:rFonts w:ascii="Verdana" w:hAnsi="Verdana"/>
                <w:color w:val="000000"/>
                <w:sz w:val="16"/>
                <w:szCs w:val="16"/>
              </w:rPr>
            </w:pPr>
            <w:r w:rsidRPr="00F01347">
              <w:rPr>
                <w:rFonts w:ascii="Verdana" w:hAnsi="Verdana"/>
                <w:color w:val="000000"/>
                <w:sz w:val="16"/>
                <w:szCs w:val="16"/>
              </w:rPr>
              <w:t>Cloro residual libre</w:t>
            </w:r>
          </w:p>
        </w:tc>
        <w:tc>
          <w:tcPr>
            <w:tcW w:w="3075" w:type="dxa"/>
            <w:tcBorders>
              <w:top w:val="single" w:sz="6" w:space="0" w:color="auto"/>
              <w:left w:val="single" w:sz="6" w:space="0" w:color="auto"/>
              <w:bottom w:val="single" w:sz="6" w:space="0" w:color="auto"/>
              <w:right w:val="single" w:sz="6" w:space="0" w:color="auto"/>
            </w:tcBorders>
          </w:tcPr>
          <w:p w14:paraId="06C4A755" w14:textId="77777777" w:rsidR="00A74CDF" w:rsidRPr="00F01347" w:rsidRDefault="00A74CDF" w:rsidP="003A601B">
            <w:pPr>
              <w:pStyle w:val="texto0"/>
              <w:spacing w:line="220" w:lineRule="exact"/>
              <w:ind w:firstLine="0"/>
              <w:jc w:val="center"/>
              <w:rPr>
                <w:rFonts w:ascii="Verdana" w:hAnsi="Verdana"/>
                <w:color w:val="000000"/>
                <w:sz w:val="16"/>
                <w:szCs w:val="16"/>
              </w:rPr>
            </w:pPr>
            <w:r w:rsidRPr="00F01347">
              <w:rPr>
                <w:rFonts w:ascii="Verdana" w:hAnsi="Verdana"/>
                <w:color w:val="000000"/>
                <w:sz w:val="16"/>
                <w:szCs w:val="16"/>
              </w:rPr>
              <w:t>0.2 a 1.5</w:t>
            </w:r>
          </w:p>
        </w:tc>
        <w:tc>
          <w:tcPr>
            <w:tcW w:w="2536" w:type="dxa"/>
            <w:tcBorders>
              <w:top w:val="single" w:sz="6" w:space="0" w:color="auto"/>
              <w:left w:val="single" w:sz="6" w:space="0" w:color="auto"/>
              <w:bottom w:val="single" w:sz="6" w:space="0" w:color="auto"/>
              <w:right w:val="single" w:sz="6" w:space="0" w:color="auto"/>
            </w:tcBorders>
          </w:tcPr>
          <w:p w14:paraId="41542492" w14:textId="77777777" w:rsidR="00A74CDF" w:rsidRPr="00F01347" w:rsidRDefault="00A74CDF" w:rsidP="003A601B">
            <w:pPr>
              <w:pStyle w:val="texto0"/>
              <w:spacing w:line="220"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184C41BF" w14:textId="77777777">
        <w:trPr>
          <w:trHeight w:val="20"/>
          <w:jc w:val="center"/>
        </w:trPr>
        <w:tc>
          <w:tcPr>
            <w:tcW w:w="3101" w:type="dxa"/>
            <w:tcBorders>
              <w:top w:val="single" w:sz="6" w:space="0" w:color="auto"/>
              <w:left w:val="single" w:sz="6" w:space="0" w:color="auto"/>
              <w:bottom w:val="single" w:sz="6" w:space="0" w:color="auto"/>
              <w:right w:val="single" w:sz="6" w:space="0" w:color="auto"/>
            </w:tcBorders>
          </w:tcPr>
          <w:p w14:paraId="64CA16DF" w14:textId="77777777" w:rsidR="00A74CDF" w:rsidRPr="00F01347" w:rsidRDefault="00A74CDF" w:rsidP="003A601B">
            <w:pPr>
              <w:pStyle w:val="texto0"/>
              <w:spacing w:line="220" w:lineRule="exact"/>
              <w:ind w:firstLine="0"/>
              <w:rPr>
                <w:rFonts w:ascii="Verdana" w:hAnsi="Verdana"/>
                <w:color w:val="000000"/>
                <w:sz w:val="16"/>
                <w:szCs w:val="16"/>
              </w:rPr>
            </w:pPr>
            <w:r w:rsidRPr="00F01347">
              <w:rPr>
                <w:rFonts w:ascii="Verdana" w:hAnsi="Verdana"/>
                <w:color w:val="000000"/>
                <w:sz w:val="16"/>
                <w:szCs w:val="16"/>
              </w:rPr>
              <w:t>Yodo residual libre</w:t>
            </w:r>
          </w:p>
        </w:tc>
        <w:tc>
          <w:tcPr>
            <w:tcW w:w="3075" w:type="dxa"/>
            <w:tcBorders>
              <w:top w:val="single" w:sz="6" w:space="0" w:color="auto"/>
              <w:left w:val="single" w:sz="6" w:space="0" w:color="auto"/>
              <w:bottom w:val="single" w:sz="6" w:space="0" w:color="auto"/>
              <w:right w:val="single" w:sz="6" w:space="0" w:color="auto"/>
            </w:tcBorders>
          </w:tcPr>
          <w:p w14:paraId="37DC6552" w14:textId="77777777" w:rsidR="00A74CDF" w:rsidRPr="00F01347" w:rsidRDefault="00A74CDF" w:rsidP="003A601B">
            <w:pPr>
              <w:pStyle w:val="texto0"/>
              <w:spacing w:line="220" w:lineRule="exact"/>
              <w:ind w:firstLine="0"/>
              <w:jc w:val="center"/>
              <w:rPr>
                <w:rFonts w:ascii="Verdana" w:hAnsi="Verdana"/>
                <w:color w:val="000000"/>
                <w:sz w:val="16"/>
                <w:szCs w:val="16"/>
              </w:rPr>
            </w:pPr>
            <w:r w:rsidRPr="00F01347">
              <w:rPr>
                <w:rFonts w:ascii="Verdana" w:hAnsi="Verdana"/>
                <w:color w:val="000000"/>
                <w:sz w:val="16"/>
                <w:szCs w:val="16"/>
              </w:rPr>
              <w:t>0.2 a 1.5</w:t>
            </w:r>
          </w:p>
        </w:tc>
        <w:tc>
          <w:tcPr>
            <w:tcW w:w="2536" w:type="dxa"/>
            <w:tcBorders>
              <w:top w:val="single" w:sz="6" w:space="0" w:color="auto"/>
              <w:left w:val="single" w:sz="6" w:space="0" w:color="auto"/>
              <w:bottom w:val="single" w:sz="6" w:space="0" w:color="auto"/>
              <w:right w:val="single" w:sz="6" w:space="0" w:color="auto"/>
            </w:tcBorders>
          </w:tcPr>
          <w:p w14:paraId="1D27BB61" w14:textId="77777777" w:rsidR="00A74CDF" w:rsidRPr="00F01347" w:rsidRDefault="00A74CDF" w:rsidP="003A601B">
            <w:pPr>
              <w:pStyle w:val="texto0"/>
              <w:spacing w:line="220" w:lineRule="exact"/>
              <w:ind w:firstLine="0"/>
              <w:jc w:val="center"/>
              <w:rPr>
                <w:rFonts w:ascii="Verdana" w:hAnsi="Verdana"/>
                <w:color w:val="000000"/>
                <w:sz w:val="16"/>
                <w:szCs w:val="16"/>
              </w:rPr>
            </w:pPr>
            <w:r w:rsidRPr="00F01347">
              <w:rPr>
                <w:rFonts w:ascii="Verdana" w:hAnsi="Verdana"/>
                <w:color w:val="000000"/>
                <w:sz w:val="16"/>
                <w:szCs w:val="16"/>
              </w:rPr>
              <w:t>mg/L</w:t>
            </w:r>
          </w:p>
        </w:tc>
      </w:tr>
      <w:tr w:rsidR="00A74CDF" w:rsidRPr="00F01347" w14:paraId="3331F6BC" w14:textId="77777777">
        <w:trPr>
          <w:trHeight w:val="20"/>
          <w:jc w:val="center"/>
        </w:trPr>
        <w:tc>
          <w:tcPr>
            <w:tcW w:w="3101" w:type="dxa"/>
            <w:tcBorders>
              <w:top w:val="single" w:sz="6" w:space="0" w:color="auto"/>
              <w:left w:val="single" w:sz="6" w:space="0" w:color="auto"/>
              <w:bottom w:val="single" w:sz="6" w:space="0" w:color="auto"/>
              <w:right w:val="single" w:sz="6" w:space="0" w:color="auto"/>
            </w:tcBorders>
          </w:tcPr>
          <w:p w14:paraId="4082F721" w14:textId="77777777" w:rsidR="00A74CDF" w:rsidRPr="00F01347" w:rsidRDefault="00A74CDF" w:rsidP="003A601B">
            <w:pPr>
              <w:pStyle w:val="texto0"/>
              <w:spacing w:line="220" w:lineRule="exact"/>
              <w:ind w:firstLine="0"/>
              <w:rPr>
                <w:rFonts w:ascii="Verdana" w:hAnsi="Verdana"/>
                <w:color w:val="000000"/>
                <w:sz w:val="16"/>
                <w:szCs w:val="16"/>
              </w:rPr>
            </w:pPr>
            <w:r w:rsidRPr="00F01347">
              <w:rPr>
                <w:rFonts w:ascii="Verdana" w:hAnsi="Verdana"/>
                <w:color w:val="000000"/>
                <w:sz w:val="16"/>
                <w:szCs w:val="16"/>
              </w:rPr>
              <w:t>Plata total</w:t>
            </w:r>
          </w:p>
        </w:tc>
        <w:tc>
          <w:tcPr>
            <w:tcW w:w="3075" w:type="dxa"/>
            <w:tcBorders>
              <w:top w:val="single" w:sz="6" w:space="0" w:color="auto"/>
              <w:left w:val="single" w:sz="6" w:space="0" w:color="auto"/>
              <w:bottom w:val="single" w:sz="6" w:space="0" w:color="auto"/>
              <w:right w:val="single" w:sz="6" w:space="0" w:color="auto"/>
            </w:tcBorders>
          </w:tcPr>
          <w:p w14:paraId="7B4F9669" w14:textId="77777777" w:rsidR="00A74CDF" w:rsidRPr="00F01347" w:rsidRDefault="00A74CDF" w:rsidP="003A601B">
            <w:pPr>
              <w:pStyle w:val="texto0"/>
              <w:spacing w:line="220" w:lineRule="exact"/>
              <w:ind w:firstLine="0"/>
              <w:jc w:val="center"/>
              <w:rPr>
                <w:rFonts w:ascii="Verdana" w:hAnsi="Verdana"/>
                <w:color w:val="000000"/>
                <w:sz w:val="16"/>
                <w:szCs w:val="16"/>
              </w:rPr>
            </w:pPr>
            <w:r w:rsidRPr="00F01347">
              <w:rPr>
                <w:rFonts w:ascii="Verdana" w:hAnsi="Verdana"/>
                <w:color w:val="000000"/>
                <w:sz w:val="16"/>
                <w:szCs w:val="16"/>
              </w:rPr>
              <w:t>0.05 a 0.1</w:t>
            </w:r>
          </w:p>
        </w:tc>
        <w:tc>
          <w:tcPr>
            <w:tcW w:w="2536" w:type="dxa"/>
            <w:tcBorders>
              <w:top w:val="single" w:sz="6" w:space="0" w:color="auto"/>
              <w:left w:val="single" w:sz="6" w:space="0" w:color="auto"/>
              <w:bottom w:val="single" w:sz="6" w:space="0" w:color="auto"/>
              <w:right w:val="single" w:sz="6" w:space="0" w:color="auto"/>
            </w:tcBorders>
          </w:tcPr>
          <w:p w14:paraId="374A29CA" w14:textId="77777777" w:rsidR="00A74CDF" w:rsidRPr="00F01347" w:rsidRDefault="00A74CDF" w:rsidP="003A601B">
            <w:pPr>
              <w:pStyle w:val="texto0"/>
              <w:spacing w:line="220" w:lineRule="exact"/>
              <w:ind w:firstLine="0"/>
              <w:jc w:val="center"/>
              <w:rPr>
                <w:rFonts w:ascii="Verdana" w:hAnsi="Verdana"/>
                <w:color w:val="000000"/>
                <w:sz w:val="16"/>
                <w:szCs w:val="16"/>
              </w:rPr>
            </w:pPr>
            <w:r w:rsidRPr="00F01347">
              <w:rPr>
                <w:rFonts w:ascii="Verdana" w:hAnsi="Verdana"/>
                <w:color w:val="000000"/>
                <w:sz w:val="16"/>
                <w:szCs w:val="16"/>
              </w:rPr>
              <w:t>mg/L</w:t>
            </w:r>
          </w:p>
        </w:tc>
      </w:tr>
    </w:tbl>
    <w:p w14:paraId="1ED367A9" w14:textId="77777777" w:rsidR="00A74CDF" w:rsidRPr="00F01347" w:rsidRDefault="00A74CDF" w:rsidP="003A601B">
      <w:pPr>
        <w:pStyle w:val="Texto"/>
        <w:rPr>
          <w:rFonts w:ascii="Verdana" w:hAnsi="Verdana"/>
          <w:sz w:val="16"/>
          <w:szCs w:val="16"/>
          <w:lang w:val="es-ES_tradnl"/>
        </w:rPr>
      </w:pPr>
    </w:p>
    <w:p w14:paraId="77CB6BE7" w14:textId="11EC9364" w:rsidR="00901A92" w:rsidRPr="00F01347" w:rsidRDefault="00901A92" w:rsidP="00901A92">
      <w:pPr>
        <w:pStyle w:val="texto0"/>
        <w:spacing w:line="240" w:lineRule="exact"/>
        <w:ind w:firstLine="0"/>
        <w:jc w:val="center"/>
        <w:rPr>
          <w:rFonts w:ascii="Verdana" w:hAnsi="Verdana"/>
          <w:b/>
          <w:color w:val="000000"/>
          <w:sz w:val="16"/>
          <w:szCs w:val="16"/>
          <w:lang w:val="en-US"/>
        </w:rPr>
      </w:pPr>
      <w:r w:rsidRPr="00F01347">
        <w:rPr>
          <w:rFonts w:ascii="Verdana" w:hAnsi="Verdana"/>
          <w:b/>
          <w:sz w:val="16"/>
          <w:szCs w:val="16"/>
          <w:lang w:val="en-US"/>
        </w:rPr>
        <w:t xml:space="preserve">Table 9 - </w:t>
      </w:r>
      <w:r w:rsidRPr="00F01347">
        <w:rPr>
          <w:rFonts w:ascii="Verdana" w:hAnsi="Verdana"/>
          <w:b/>
          <w:color w:val="000000"/>
          <w:sz w:val="16"/>
          <w:szCs w:val="16"/>
          <w:lang w:val="en-US"/>
        </w:rPr>
        <w:t>Sanitary specifications for residuals</w:t>
      </w:r>
      <w:r w:rsidR="00745CB1" w:rsidRPr="00F01347">
        <w:rPr>
          <w:rFonts w:ascii="Verdana" w:hAnsi="Verdana"/>
          <w:b/>
          <w:color w:val="000000"/>
          <w:sz w:val="16"/>
          <w:szCs w:val="16"/>
          <w:lang w:val="en-US"/>
        </w:rPr>
        <w:t xml:space="preserve"> from disinfection</w:t>
      </w:r>
    </w:p>
    <w:tbl>
      <w:tblPr>
        <w:tblW w:w="8715" w:type="dxa"/>
        <w:jc w:val="center"/>
        <w:tblLayout w:type="fixed"/>
        <w:tblCellMar>
          <w:left w:w="70" w:type="dxa"/>
          <w:right w:w="70" w:type="dxa"/>
        </w:tblCellMar>
        <w:tblLook w:val="04A0" w:firstRow="1" w:lastRow="0" w:firstColumn="1" w:lastColumn="0" w:noHBand="0" w:noVBand="1"/>
      </w:tblPr>
      <w:tblGrid>
        <w:gridCol w:w="3102"/>
        <w:gridCol w:w="3076"/>
        <w:gridCol w:w="2537"/>
      </w:tblGrid>
      <w:tr w:rsidR="00901A92" w:rsidRPr="00F01347" w14:paraId="19682CFF" w14:textId="77777777" w:rsidTr="00901A92">
        <w:trPr>
          <w:trHeight w:val="20"/>
          <w:jc w:val="center"/>
        </w:trPr>
        <w:tc>
          <w:tcPr>
            <w:tcW w:w="3101" w:type="dxa"/>
            <w:tcBorders>
              <w:top w:val="single" w:sz="6" w:space="0" w:color="auto"/>
              <w:left w:val="single" w:sz="6" w:space="0" w:color="auto"/>
              <w:bottom w:val="single" w:sz="6" w:space="0" w:color="auto"/>
              <w:right w:val="single" w:sz="6" w:space="0" w:color="auto"/>
            </w:tcBorders>
            <w:noWrap/>
            <w:hideMark/>
          </w:tcPr>
          <w:p w14:paraId="51F764B1" w14:textId="77777777" w:rsidR="00901A92" w:rsidRPr="00F01347" w:rsidRDefault="00901A92">
            <w:pPr>
              <w:pStyle w:val="texto0"/>
              <w:spacing w:line="220"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Parameters</w:t>
            </w:r>
          </w:p>
        </w:tc>
        <w:tc>
          <w:tcPr>
            <w:tcW w:w="3075" w:type="dxa"/>
            <w:tcBorders>
              <w:top w:val="single" w:sz="6" w:space="0" w:color="auto"/>
              <w:left w:val="single" w:sz="6" w:space="0" w:color="auto"/>
              <w:bottom w:val="single" w:sz="6" w:space="0" w:color="auto"/>
              <w:right w:val="single" w:sz="6" w:space="0" w:color="auto"/>
            </w:tcBorders>
            <w:hideMark/>
          </w:tcPr>
          <w:p w14:paraId="1ADECA2C" w14:textId="77777777" w:rsidR="00901A92" w:rsidRPr="00F01347" w:rsidRDefault="00901A92">
            <w:pPr>
              <w:pStyle w:val="texto0"/>
              <w:spacing w:line="220"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Permissible limit</w:t>
            </w:r>
          </w:p>
        </w:tc>
        <w:tc>
          <w:tcPr>
            <w:tcW w:w="2536" w:type="dxa"/>
            <w:tcBorders>
              <w:top w:val="single" w:sz="6" w:space="0" w:color="auto"/>
              <w:left w:val="single" w:sz="6" w:space="0" w:color="auto"/>
              <w:bottom w:val="single" w:sz="6" w:space="0" w:color="auto"/>
              <w:right w:val="single" w:sz="6" w:space="0" w:color="auto"/>
            </w:tcBorders>
            <w:hideMark/>
          </w:tcPr>
          <w:p w14:paraId="6FFEB4BA" w14:textId="77777777" w:rsidR="00901A92" w:rsidRPr="00F01347" w:rsidRDefault="00901A92">
            <w:pPr>
              <w:pStyle w:val="texto0"/>
              <w:spacing w:line="220"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Units</w:t>
            </w:r>
          </w:p>
        </w:tc>
      </w:tr>
      <w:tr w:rsidR="00901A92" w:rsidRPr="00F01347" w14:paraId="61C4DD5F" w14:textId="77777777" w:rsidTr="00901A92">
        <w:trPr>
          <w:trHeight w:val="20"/>
          <w:jc w:val="center"/>
        </w:trPr>
        <w:tc>
          <w:tcPr>
            <w:tcW w:w="3101" w:type="dxa"/>
            <w:tcBorders>
              <w:top w:val="single" w:sz="6" w:space="0" w:color="auto"/>
              <w:left w:val="single" w:sz="6" w:space="0" w:color="auto"/>
              <w:bottom w:val="single" w:sz="6" w:space="0" w:color="auto"/>
              <w:right w:val="single" w:sz="6" w:space="0" w:color="auto"/>
            </w:tcBorders>
            <w:hideMark/>
          </w:tcPr>
          <w:p w14:paraId="4C92FBFE" w14:textId="77777777" w:rsidR="00901A92" w:rsidRPr="00F01347" w:rsidRDefault="00901A92">
            <w:pPr>
              <w:pStyle w:val="texto0"/>
              <w:spacing w:line="220" w:lineRule="exact"/>
              <w:ind w:firstLine="0"/>
              <w:rPr>
                <w:rFonts w:ascii="Verdana" w:hAnsi="Verdana"/>
                <w:color w:val="000000"/>
                <w:sz w:val="16"/>
                <w:szCs w:val="16"/>
                <w:lang w:val="en-US"/>
              </w:rPr>
            </w:pPr>
            <w:r w:rsidRPr="00F01347">
              <w:rPr>
                <w:rFonts w:ascii="Verdana" w:hAnsi="Verdana"/>
                <w:color w:val="000000"/>
                <w:sz w:val="16"/>
                <w:szCs w:val="16"/>
                <w:lang w:val="en-US"/>
              </w:rPr>
              <w:t>free residual chlorine</w:t>
            </w:r>
          </w:p>
        </w:tc>
        <w:tc>
          <w:tcPr>
            <w:tcW w:w="3075" w:type="dxa"/>
            <w:tcBorders>
              <w:top w:val="single" w:sz="6" w:space="0" w:color="auto"/>
              <w:left w:val="single" w:sz="6" w:space="0" w:color="auto"/>
              <w:bottom w:val="single" w:sz="6" w:space="0" w:color="auto"/>
              <w:right w:val="single" w:sz="6" w:space="0" w:color="auto"/>
            </w:tcBorders>
            <w:hideMark/>
          </w:tcPr>
          <w:p w14:paraId="3DDA1272" w14:textId="77777777" w:rsidR="00901A92" w:rsidRPr="00F01347" w:rsidRDefault="00901A92">
            <w:pPr>
              <w:pStyle w:val="texto0"/>
              <w:spacing w:line="22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0.2 to 1.5</w:t>
            </w:r>
          </w:p>
        </w:tc>
        <w:tc>
          <w:tcPr>
            <w:tcW w:w="2536" w:type="dxa"/>
            <w:tcBorders>
              <w:top w:val="single" w:sz="6" w:space="0" w:color="auto"/>
              <w:left w:val="single" w:sz="6" w:space="0" w:color="auto"/>
              <w:bottom w:val="single" w:sz="6" w:space="0" w:color="auto"/>
              <w:right w:val="single" w:sz="6" w:space="0" w:color="auto"/>
            </w:tcBorders>
            <w:hideMark/>
          </w:tcPr>
          <w:p w14:paraId="72026AB7" w14:textId="77777777" w:rsidR="00901A92" w:rsidRPr="00F01347" w:rsidRDefault="00901A92">
            <w:pPr>
              <w:pStyle w:val="texto0"/>
              <w:spacing w:line="22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901A92" w:rsidRPr="00F01347" w14:paraId="48613E68" w14:textId="77777777" w:rsidTr="00901A92">
        <w:trPr>
          <w:trHeight w:val="20"/>
          <w:jc w:val="center"/>
        </w:trPr>
        <w:tc>
          <w:tcPr>
            <w:tcW w:w="3101" w:type="dxa"/>
            <w:tcBorders>
              <w:top w:val="single" w:sz="6" w:space="0" w:color="auto"/>
              <w:left w:val="single" w:sz="6" w:space="0" w:color="auto"/>
              <w:bottom w:val="single" w:sz="6" w:space="0" w:color="auto"/>
              <w:right w:val="single" w:sz="6" w:space="0" w:color="auto"/>
            </w:tcBorders>
            <w:hideMark/>
          </w:tcPr>
          <w:p w14:paraId="586D7F1F" w14:textId="77777777" w:rsidR="00901A92" w:rsidRPr="00F01347" w:rsidRDefault="00901A92">
            <w:pPr>
              <w:pStyle w:val="texto0"/>
              <w:spacing w:line="220" w:lineRule="exact"/>
              <w:ind w:firstLine="0"/>
              <w:rPr>
                <w:rFonts w:ascii="Verdana" w:hAnsi="Verdana"/>
                <w:color w:val="000000"/>
                <w:sz w:val="16"/>
                <w:szCs w:val="16"/>
                <w:lang w:val="en-US"/>
              </w:rPr>
            </w:pPr>
            <w:r w:rsidRPr="00F01347">
              <w:rPr>
                <w:rFonts w:ascii="Verdana" w:hAnsi="Verdana"/>
                <w:color w:val="000000"/>
                <w:sz w:val="16"/>
                <w:szCs w:val="16"/>
                <w:lang w:val="en-US"/>
              </w:rPr>
              <w:t>free residual iodine</w:t>
            </w:r>
          </w:p>
        </w:tc>
        <w:tc>
          <w:tcPr>
            <w:tcW w:w="3075" w:type="dxa"/>
            <w:tcBorders>
              <w:top w:val="single" w:sz="6" w:space="0" w:color="auto"/>
              <w:left w:val="single" w:sz="6" w:space="0" w:color="auto"/>
              <w:bottom w:val="single" w:sz="6" w:space="0" w:color="auto"/>
              <w:right w:val="single" w:sz="6" w:space="0" w:color="auto"/>
            </w:tcBorders>
            <w:hideMark/>
          </w:tcPr>
          <w:p w14:paraId="7BB29A88" w14:textId="77777777" w:rsidR="00901A92" w:rsidRPr="00F01347" w:rsidRDefault="00901A92">
            <w:pPr>
              <w:pStyle w:val="texto0"/>
              <w:spacing w:line="22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0.2 to 1.5</w:t>
            </w:r>
          </w:p>
        </w:tc>
        <w:tc>
          <w:tcPr>
            <w:tcW w:w="2536" w:type="dxa"/>
            <w:tcBorders>
              <w:top w:val="single" w:sz="6" w:space="0" w:color="auto"/>
              <w:left w:val="single" w:sz="6" w:space="0" w:color="auto"/>
              <w:bottom w:val="single" w:sz="6" w:space="0" w:color="auto"/>
              <w:right w:val="single" w:sz="6" w:space="0" w:color="auto"/>
            </w:tcBorders>
            <w:hideMark/>
          </w:tcPr>
          <w:p w14:paraId="0DDF3E2F" w14:textId="77777777" w:rsidR="00901A92" w:rsidRPr="00F01347" w:rsidRDefault="00901A92">
            <w:pPr>
              <w:pStyle w:val="texto0"/>
              <w:spacing w:line="22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r w:rsidR="00901A92" w:rsidRPr="00F01347" w14:paraId="4AED048E" w14:textId="77777777" w:rsidTr="00901A92">
        <w:trPr>
          <w:trHeight w:val="20"/>
          <w:jc w:val="center"/>
        </w:trPr>
        <w:tc>
          <w:tcPr>
            <w:tcW w:w="3101" w:type="dxa"/>
            <w:tcBorders>
              <w:top w:val="single" w:sz="6" w:space="0" w:color="auto"/>
              <w:left w:val="single" w:sz="6" w:space="0" w:color="auto"/>
              <w:bottom w:val="single" w:sz="6" w:space="0" w:color="auto"/>
              <w:right w:val="single" w:sz="6" w:space="0" w:color="auto"/>
            </w:tcBorders>
            <w:hideMark/>
          </w:tcPr>
          <w:p w14:paraId="55A3F180" w14:textId="77777777" w:rsidR="00901A92" w:rsidRPr="00F01347" w:rsidRDefault="00901A92">
            <w:pPr>
              <w:pStyle w:val="texto0"/>
              <w:spacing w:line="220" w:lineRule="exact"/>
              <w:ind w:firstLine="0"/>
              <w:rPr>
                <w:rFonts w:ascii="Verdana" w:hAnsi="Verdana"/>
                <w:color w:val="000000"/>
                <w:sz w:val="16"/>
                <w:szCs w:val="16"/>
                <w:lang w:val="en-US"/>
              </w:rPr>
            </w:pPr>
            <w:r w:rsidRPr="00F01347">
              <w:rPr>
                <w:rFonts w:ascii="Verdana" w:hAnsi="Verdana"/>
                <w:color w:val="000000"/>
                <w:sz w:val="16"/>
                <w:szCs w:val="16"/>
                <w:lang w:val="en-US"/>
              </w:rPr>
              <w:t>Total silver</w:t>
            </w:r>
          </w:p>
        </w:tc>
        <w:tc>
          <w:tcPr>
            <w:tcW w:w="3075" w:type="dxa"/>
            <w:tcBorders>
              <w:top w:val="single" w:sz="6" w:space="0" w:color="auto"/>
              <w:left w:val="single" w:sz="6" w:space="0" w:color="auto"/>
              <w:bottom w:val="single" w:sz="6" w:space="0" w:color="auto"/>
              <w:right w:val="single" w:sz="6" w:space="0" w:color="auto"/>
            </w:tcBorders>
            <w:hideMark/>
          </w:tcPr>
          <w:p w14:paraId="0D748D8D" w14:textId="77777777" w:rsidR="00901A92" w:rsidRPr="00F01347" w:rsidRDefault="00901A92">
            <w:pPr>
              <w:pStyle w:val="texto0"/>
              <w:spacing w:line="22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0.05 to 0.1</w:t>
            </w:r>
          </w:p>
        </w:tc>
        <w:tc>
          <w:tcPr>
            <w:tcW w:w="2536" w:type="dxa"/>
            <w:tcBorders>
              <w:top w:val="single" w:sz="6" w:space="0" w:color="auto"/>
              <w:left w:val="single" w:sz="6" w:space="0" w:color="auto"/>
              <w:bottom w:val="single" w:sz="6" w:space="0" w:color="auto"/>
              <w:right w:val="single" w:sz="6" w:space="0" w:color="auto"/>
            </w:tcBorders>
            <w:hideMark/>
          </w:tcPr>
          <w:p w14:paraId="4B6709BA" w14:textId="77777777" w:rsidR="00901A92" w:rsidRPr="00F01347" w:rsidRDefault="00901A92">
            <w:pPr>
              <w:pStyle w:val="texto0"/>
              <w:spacing w:line="22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mg/L</w:t>
            </w:r>
          </w:p>
        </w:tc>
      </w:tr>
    </w:tbl>
    <w:p w14:paraId="01D48937" w14:textId="77777777" w:rsidR="00901A92" w:rsidRPr="00F01347" w:rsidRDefault="00901A92" w:rsidP="00901A92">
      <w:pPr>
        <w:pStyle w:val="Texto"/>
        <w:rPr>
          <w:rFonts w:ascii="Verdana" w:hAnsi="Verdana"/>
          <w:sz w:val="16"/>
          <w:szCs w:val="16"/>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01A92" w:rsidRPr="00F01347" w14:paraId="1F4495AE" w14:textId="4BB2A4EE" w:rsidTr="00745CB1">
        <w:tc>
          <w:tcPr>
            <w:tcW w:w="4675" w:type="dxa"/>
          </w:tcPr>
          <w:p w14:paraId="7546269F" w14:textId="77777777" w:rsidR="00901A92" w:rsidRPr="00F01347" w:rsidRDefault="00901A92" w:rsidP="00901A92">
            <w:pPr>
              <w:pStyle w:val="texto0"/>
              <w:spacing w:after="60" w:line="240" w:lineRule="exact"/>
              <w:ind w:firstLine="0"/>
              <w:rPr>
                <w:rFonts w:ascii="Verdana" w:hAnsi="Verdana"/>
                <w:sz w:val="16"/>
                <w:szCs w:val="16"/>
              </w:rPr>
            </w:pPr>
            <w:r w:rsidRPr="00F01347">
              <w:rPr>
                <w:rFonts w:ascii="Verdana" w:hAnsi="Verdana"/>
                <w:b/>
                <w:sz w:val="16"/>
                <w:szCs w:val="16"/>
                <w:lang w:val="es-ES_tradnl"/>
              </w:rPr>
              <w:t>5.8.4</w:t>
            </w:r>
            <w:r w:rsidRPr="00F01347">
              <w:rPr>
                <w:rFonts w:ascii="Verdana" w:hAnsi="Verdana"/>
                <w:sz w:val="16"/>
                <w:szCs w:val="16"/>
                <w:lang w:val="es-ES_tradnl"/>
              </w:rPr>
              <w:t xml:space="preserve"> La Secretaría de Salud determinará si un agente diferente a los establecidos en la Tabla 9 puede ser utilizado para la desinfección de agua para uso y consumo humano.</w:t>
            </w:r>
          </w:p>
        </w:tc>
        <w:tc>
          <w:tcPr>
            <w:tcW w:w="4675" w:type="dxa"/>
          </w:tcPr>
          <w:p w14:paraId="1F6E1FF2" w14:textId="22CC0C6F" w:rsidR="00901A92" w:rsidRPr="00F01347" w:rsidRDefault="00901A92" w:rsidP="00901A92">
            <w:pPr>
              <w:pStyle w:val="texto0"/>
              <w:spacing w:after="60" w:line="240" w:lineRule="exact"/>
              <w:ind w:firstLine="0"/>
              <w:rPr>
                <w:rFonts w:ascii="Verdana" w:hAnsi="Verdana"/>
                <w:b/>
                <w:sz w:val="16"/>
                <w:szCs w:val="16"/>
                <w:lang w:val="en-US"/>
              </w:rPr>
            </w:pPr>
            <w:r w:rsidRPr="00F01347">
              <w:rPr>
                <w:rFonts w:ascii="Verdana" w:hAnsi="Verdana"/>
                <w:b/>
                <w:sz w:val="16"/>
                <w:szCs w:val="16"/>
                <w:lang w:val="en-US"/>
              </w:rPr>
              <w:t xml:space="preserve">5.8.4 </w:t>
            </w:r>
            <w:r w:rsidRPr="00F01347">
              <w:rPr>
                <w:rFonts w:ascii="Verdana" w:hAnsi="Verdana"/>
                <w:sz w:val="16"/>
                <w:szCs w:val="16"/>
                <w:lang w:val="en-US"/>
              </w:rPr>
              <w:t xml:space="preserve">The </w:t>
            </w:r>
            <w:r w:rsidR="003E1BA9" w:rsidRPr="00F01347">
              <w:rPr>
                <w:rFonts w:ascii="Verdana" w:hAnsi="Verdana"/>
                <w:sz w:val="16"/>
                <w:szCs w:val="16"/>
                <w:lang w:val="en-US"/>
              </w:rPr>
              <w:t>Secretary</w:t>
            </w:r>
            <w:r w:rsidRPr="00F01347">
              <w:rPr>
                <w:rFonts w:ascii="Verdana" w:hAnsi="Verdana"/>
                <w:sz w:val="16"/>
                <w:szCs w:val="16"/>
                <w:lang w:val="en-US"/>
              </w:rPr>
              <w:t xml:space="preserve"> of Health will determine if an agent other than those established in Table 9 can be used for the disinfection of water for human use and consumption.</w:t>
            </w:r>
          </w:p>
        </w:tc>
      </w:tr>
      <w:tr w:rsidR="00901A92" w:rsidRPr="00F01347" w14:paraId="137B1C9D" w14:textId="6A2ED1C9" w:rsidTr="00745CB1">
        <w:tc>
          <w:tcPr>
            <w:tcW w:w="4675" w:type="dxa"/>
          </w:tcPr>
          <w:p w14:paraId="252EE7B0" w14:textId="77777777" w:rsidR="00901A92" w:rsidRPr="00F01347" w:rsidRDefault="00901A92" w:rsidP="00901A92">
            <w:pPr>
              <w:pStyle w:val="texto0"/>
              <w:spacing w:after="60" w:line="240" w:lineRule="exact"/>
              <w:ind w:firstLine="0"/>
              <w:rPr>
                <w:rFonts w:ascii="Verdana" w:hAnsi="Verdana"/>
                <w:sz w:val="16"/>
                <w:szCs w:val="16"/>
                <w:lang w:val="es-ES_tradnl"/>
              </w:rPr>
            </w:pPr>
            <w:r w:rsidRPr="00F01347">
              <w:rPr>
                <w:rFonts w:ascii="Verdana" w:hAnsi="Verdana"/>
                <w:b/>
                <w:sz w:val="16"/>
                <w:szCs w:val="16"/>
                <w:lang w:val="es-ES_tradnl"/>
              </w:rPr>
              <w:t>5.8.5</w:t>
            </w:r>
            <w:r w:rsidRPr="00F01347">
              <w:rPr>
                <w:rFonts w:ascii="Verdana" w:hAnsi="Verdana"/>
                <w:sz w:val="16"/>
                <w:szCs w:val="16"/>
                <w:lang w:val="es-ES_tradnl"/>
              </w:rPr>
              <w:t xml:space="preserve"> En caso de un brote, para garantizar la protección a la población, la Secretaría de Salud determinará el agente desinfectante del agua y el intervalo de concentración de los residuales de desinfección.</w:t>
            </w:r>
          </w:p>
        </w:tc>
        <w:tc>
          <w:tcPr>
            <w:tcW w:w="4675" w:type="dxa"/>
          </w:tcPr>
          <w:p w14:paraId="2132F033" w14:textId="3EB8C6A6" w:rsidR="00901A92" w:rsidRPr="00F01347" w:rsidRDefault="00901A92" w:rsidP="00901A92">
            <w:pPr>
              <w:pStyle w:val="texto0"/>
              <w:spacing w:after="60" w:line="240" w:lineRule="exact"/>
              <w:ind w:firstLine="0"/>
              <w:rPr>
                <w:rFonts w:ascii="Verdana" w:hAnsi="Verdana"/>
                <w:b/>
                <w:sz w:val="16"/>
                <w:szCs w:val="16"/>
                <w:lang w:val="en-US"/>
              </w:rPr>
            </w:pPr>
            <w:r w:rsidRPr="00F01347">
              <w:rPr>
                <w:rFonts w:ascii="Verdana" w:hAnsi="Verdana"/>
                <w:b/>
                <w:sz w:val="16"/>
                <w:szCs w:val="16"/>
                <w:lang w:val="en-US"/>
              </w:rPr>
              <w:t xml:space="preserve">5.8.5 </w:t>
            </w:r>
            <w:r w:rsidRPr="00F01347">
              <w:rPr>
                <w:rFonts w:ascii="Verdana" w:hAnsi="Verdana"/>
                <w:sz w:val="16"/>
                <w:szCs w:val="16"/>
                <w:lang w:val="en-US"/>
              </w:rPr>
              <w:t xml:space="preserve">In the event of an outbreak, to guarantee the protection of the population, the </w:t>
            </w:r>
            <w:r w:rsidR="003E1BA9" w:rsidRPr="00F01347">
              <w:rPr>
                <w:rFonts w:ascii="Verdana" w:hAnsi="Verdana"/>
                <w:sz w:val="16"/>
                <w:szCs w:val="16"/>
                <w:lang w:val="en-US"/>
              </w:rPr>
              <w:t>Secretary</w:t>
            </w:r>
            <w:r w:rsidRPr="00F01347">
              <w:rPr>
                <w:rFonts w:ascii="Verdana" w:hAnsi="Verdana"/>
                <w:sz w:val="16"/>
                <w:szCs w:val="16"/>
                <w:lang w:val="en-US"/>
              </w:rPr>
              <w:t xml:space="preserve"> of Health will determine the disinfectant agent in the water and the concentration range of the disinfection residuals.</w:t>
            </w:r>
          </w:p>
        </w:tc>
      </w:tr>
      <w:tr w:rsidR="00901A92" w:rsidRPr="00F01347" w14:paraId="6B294209" w14:textId="4B36D4E1" w:rsidTr="00745CB1">
        <w:tc>
          <w:tcPr>
            <w:tcW w:w="4675" w:type="dxa"/>
          </w:tcPr>
          <w:p w14:paraId="7505660F" w14:textId="77777777" w:rsidR="00901A92" w:rsidRPr="00F01347" w:rsidRDefault="00901A92" w:rsidP="00901A92">
            <w:pPr>
              <w:pStyle w:val="texto0"/>
              <w:spacing w:after="60" w:line="240" w:lineRule="exact"/>
              <w:ind w:firstLine="0"/>
              <w:rPr>
                <w:rFonts w:ascii="Verdana" w:hAnsi="Verdana"/>
                <w:sz w:val="16"/>
                <w:szCs w:val="16"/>
                <w:lang w:val="es-ES_tradnl"/>
              </w:rPr>
            </w:pPr>
            <w:r w:rsidRPr="00F01347">
              <w:rPr>
                <w:rFonts w:ascii="Verdana" w:hAnsi="Verdana"/>
                <w:b/>
                <w:sz w:val="16"/>
                <w:szCs w:val="16"/>
                <w:lang w:val="es-ES_tradnl"/>
              </w:rPr>
              <w:t>5.9</w:t>
            </w:r>
            <w:r w:rsidRPr="00F01347">
              <w:rPr>
                <w:rFonts w:ascii="Verdana" w:hAnsi="Verdana"/>
                <w:sz w:val="16"/>
                <w:szCs w:val="16"/>
                <w:lang w:val="es-ES_tradnl"/>
              </w:rPr>
              <w:t xml:space="preserve"> Subproductos de la desinfección.</w:t>
            </w:r>
          </w:p>
        </w:tc>
        <w:tc>
          <w:tcPr>
            <w:tcW w:w="4675" w:type="dxa"/>
          </w:tcPr>
          <w:p w14:paraId="1191943B" w14:textId="38572C9D" w:rsidR="00901A92" w:rsidRPr="00F01347" w:rsidRDefault="00901A92" w:rsidP="00901A92">
            <w:pPr>
              <w:pStyle w:val="texto0"/>
              <w:spacing w:after="60" w:line="240" w:lineRule="exact"/>
              <w:ind w:firstLine="0"/>
              <w:rPr>
                <w:rFonts w:ascii="Verdana" w:hAnsi="Verdana"/>
                <w:b/>
                <w:sz w:val="16"/>
                <w:szCs w:val="16"/>
                <w:lang w:val="en-US"/>
              </w:rPr>
            </w:pPr>
            <w:r w:rsidRPr="00F01347">
              <w:rPr>
                <w:rFonts w:ascii="Verdana" w:hAnsi="Verdana"/>
                <w:b/>
                <w:sz w:val="16"/>
                <w:szCs w:val="16"/>
                <w:lang w:val="en-US"/>
              </w:rPr>
              <w:t xml:space="preserve">5.9 </w:t>
            </w:r>
            <w:r w:rsidRPr="00F01347">
              <w:rPr>
                <w:rFonts w:ascii="Verdana" w:hAnsi="Verdana"/>
                <w:sz w:val="16"/>
                <w:szCs w:val="16"/>
                <w:lang w:val="en-US"/>
              </w:rPr>
              <w:t>Disinfection byproducts.</w:t>
            </w:r>
          </w:p>
        </w:tc>
      </w:tr>
      <w:tr w:rsidR="00901A92" w:rsidRPr="00F01347" w14:paraId="658DB304" w14:textId="687F23D7" w:rsidTr="00745CB1">
        <w:tc>
          <w:tcPr>
            <w:tcW w:w="4675" w:type="dxa"/>
          </w:tcPr>
          <w:p w14:paraId="28D74563" w14:textId="77777777" w:rsidR="00901A92" w:rsidRPr="00F01347" w:rsidRDefault="00901A92" w:rsidP="00901A92">
            <w:pPr>
              <w:pStyle w:val="texto0"/>
              <w:spacing w:after="60" w:line="240" w:lineRule="exact"/>
              <w:ind w:firstLine="0"/>
              <w:rPr>
                <w:rFonts w:ascii="Verdana" w:hAnsi="Verdana"/>
                <w:sz w:val="16"/>
                <w:szCs w:val="16"/>
                <w:lang w:val="es-ES_tradnl"/>
              </w:rPr>
            </w:pPr>
            <w:r w:rsidRPr="00F01347">
              <w:rPr>
                <w:rFonts w:ascii="Verdana" w:hAnsi="Verdana"/>
                <w:b/>
                <w:sz w:val="16"/>
                <w:szCs w:val="16"/>
                <w:lang w:val="es-ES_tradnl"/>
              </w:rPr>
              <w:t xml:space="preserve">5.9.1 </w:t>
            </w:r>
            <w:r w:rsidRPr="00F01347">
              <w:rPr>
                <w:rFonts w:ascii="Verdana" w:hAnsi="Verdana"/>
                <w:sz w:val="16"/>
                <w:szCs w:val="16"/>
                <w:lang w:val="es-ES_tradnl"/>
              </w:rPr>
              <w:t xml:space="preserve">Si el agua se desinfecta con algún compuesto de cloro se deben medir los subproductos de la desinfección: trihalometanos y ácidos </w:t>
            </w:r>
            <w:proofErr w:type="spellStart"/>
            <w:r w:rsidRPr="00F01347">
              <w:rPr>
                <w:rFonts w:ascii="Verdana" w:hAnsi="Verdana"/>
                <w:sz w:val="16"/>
                <w:szCs w:val="16"/>
                <w:lang w:val="es-ES_tradnl"/>
              </w:rPr>
              <w:t>haloacéticos</w:t>
            </w:r>
            <w:proofErr w:type="spellEnd"/>
            <w:r w:rsidRPr="00F01347">
              <w:rPr>
                <w:rFonts w:ascii="Verdana" w:hAnsi="Verdana"/>
                <w:sz w:val="16"/>
                <w:szCs w:val="16"/>
                <w:lang w:val="es-ES_tradnl"/>
              </w:rPr>
              <w:t>, de conformidad con lo establecido en las Tablas 10 y 11 de esta Norma.</w:t>
            </w:r>
          </w:p>
        </w:tc>
        <w:tc>
          <w:tcPr>
            <w:tcW w:w="4675" w:type="dxa"/>
          </w:tcPr>
          <w:p w14:paraId="708ED3E2" w14:textId="5DD5E4B6" w:rsidR="00901A92" w:rsidRPr="00F01347" w:rsidRDefault="00901A92" w:rsidP="00901A92">
            <w:pPr>
              <w:pStyle w:val="texto0"/>
              <w:spacing w:after="60" w:line="240" w:lineRule="exact"/>
              <w:ind w:firstLine="0"/>
              <w:rPr>
                <w:rFonts w:ascii="Verdana" w:hAnsi="Verdana"/>
                <w:b/>
                <w:sz w:val="16"/>
                <w:szCs w:val="16"/>
                <w:lang w:val="en-US"/>
              </w:rPr>
            </w:pPr>
            <w:r w:rsidRPr="00F01347">
              <w:rPr>
                <w:rFonts w:ascii="Verdana" w:hAnsi="Verdana"/>
                <w:b/>
                <w:sz w:val="16"/>
                <w:szCs w:val="16"/>
                <w:lang w:val="en-US"/>
              </w:rPr>
              <w:t xml:space="preserve">5.9.1 </w:t>
            </w:r>
            <w:r w:rsidRPr="00F01347">
              <w:rPr>
                <w:rFonts w:ascii="Verdana" w:hAnsi="Verdana"/>
                <w:sz w:val="16"/>
                <w:szCs w:val="16"/>
                <w:lang w:val="en-US"/>
              </w:rPr>
              <w:t xml:space="preserve">If the water is disinfected with a chlorine compound, the disinfection byproducts must be measured: trihalomethanes and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acids</w:t>
            </w:r>
            <w:r w:rsidR="003E1BA9" w:rsidRPr="00F01347">
              <w:rPr>
                <w:rFonts w:ascii="Verdana" w:hAnsi="Verdana"/>
                <w:sz w:val="16"/>
                <w:szCs w:val="16"/>
                <w:lang w:val="en-US"/>
              </w:rPr>
              <w:t>,</w:t>
            </w:r>
            <w:r w:rsidRPr="00F01347">
              <w:rPr>
                <w:rFonts w:ascii="Verdana" w:hAnsi="Verdana"/>
                <w:sz w:val="16"/>
                <w:szCs w:val="16"/>
                <w:lang w:val="en-US"/>
              </w:rPr>
              <w:t xml:space="preserve"> in accordance with the provisions of Tables 10 and 11 of this Standard.</w:t>
            </w:r>
          </w:p>
        </w:tc>
      </w:tr>
    </w:tbl>
    <w:p w14:paraId="441A76AE" w14:textId="77777777" w:rsidR="00901A92" w:rsidRPr="00F01347" w:rsidRDefault="00901A92" w:rsidP="003A601B">
      <w:pPr>
        <w:pStyle w:val="texto0"/>
        <w:spacing w:line="240" w:lineRule="exact"/>
        <w:ind w:firstLine="0"/>
        <w:jc w:val="center"/>
        <w:rPr>
          <w:rFonts w:ascii="Verdana" w:hAnsi="Verdana"/>
          <w:b/>
          <w:sz w:val="16"/>
          <w:szCs w:val="16"/>
          <w:lang w:val="en-US"/>
        </w:rPr>
      </w:pPr>
    </w:p>
    <w:p w14:paraId="6229A602" w14:textId="4DB8C2EA" w:rsidR="00A74CDF" w:rsidRPr="00F01347" w:rsidRDefault="00A74CDF" w:rsidP="003A601B">
      <w:pPr>
        <w:pStyle w:val="texto0"/>
        <w:spacing w:line="240" w:lineRule="exact"/>
        <w:ind w:firstLine="0"/>
        <w:jc w:val="center"/>
        <w:rPr>
          <w:rFonts w:ascii="Verdana" w:hAnsi="Verdana"/>
          <w:b/>
          <w:color w:val="000000"/>
          <w:sz w:val="16"/>
          <w:szCs w:val="16"/>
        </w:rPr>
      </w:pPr>
      <w:r w:rsidRPr="00F01347">
        <w:rPr>
          <w:rFonts w:ascii="Verdana" w:hAnsi="Verdana"/>
          <w:b/>
          <w:sz w:val="16"/>
          <w:szCs w:val="16"/>
        </w:rPr>
        <w:t xml:space="preserve">Tabla 10 - </w:t>
      </w:r>
      <w:r w:rsidRPr="00F01347">
        <w:rPr>
          <w:rFonts w:ascii="Verdana" w:hAnsi="Verdana"/>
          <w:b/>
          <w:color w:val="000000"/>
          <w:sz w:val="16"/>
          <w:szCs w:val="16"/>
        </w:rPr>
        <w:t>Especificaciones sanitarias de subproductos de la desinfección - trihalometanos</w:t>
      </w:r>
    </w:p>
    <w:tbl>
      <w:tblPr>
        <w:tblW w:w="8712" w:type="dxa"/>
        <w:jc w:val="center"/>
        <w:tblLayout w:type="fixed"/>
        <w:tblCellMar>
          <w:left w:w="70" w:type="dxa"/>
          <w:right w:w="70" w:type="dxa"/>
        </w:tblCellMar>
        <w:tblLook w:val="0000" w:firstRow="0" w:lastRow="0" w:firstColumn="0" w:lastColumn="0" w:noHBand="0" w:noVBand="0"/>
      </w:tblPr>
      <w:tblGrid>
        <w:gridCol w:w="3104"/>
        <w:gridCol w:w="3065"/>
        <w:gridCol w:w="2543"/>
      </w:tblGrid>
      <w:tr w:rsidR="00A74CDF" w:rsidRPr="00F01347" w14:paraId="0A32DC51" w14:textId="77777777">
        <w:trPr>
          <w:trHeight w:val="20"/>
          <w:jc w:val="center"/>
        </w:trPr>
        <w:tc>
          <w:tcPr>
            <w:tcW w:w="3104" w:type="dxa"/>
            <w:tcBorders>
              <w:top w:val="single" w:sz="6" w:space="0" w:color="auto"/>
              <w:left w:val="single" w:sz="6" w:space="0" w:color="auto"/>
              <w:bottom w:val="single" w:sz="6" w:space="0" w:color="auto"/>
              <w:right w:val="single" w:sz="6" w:space="0" w:color="auto"/>
            </w:tcBorders>
            <w:noWrap/>
          </w:tcPr>
          <w:p w14:paraId="72D286FF" w14:textId="77777777" w:rsidR="00A74CDF" w:rsidRPr="00F01347" w:rsidRDefault="00A74CDF" w:rsidP="003A601B">
            <w:pPr>
              <w:pStyle w:val="texto0"/>
              <w:spacing w:line="220" w:lineRule="exact"/>
              <w:ind w:firstLine="0"/>
              <w:jc w:val="center"/>
              <w:rPr>
                <w:rFonts w:ascii="Verdana" w:hAnsi="Verdana"/>
                <w:b/>
                <w:color w:val="000000"/>
                <w:sz w:val="16"/>
                <w:szCs w:val="16"/>
              </w:rPr>
            </w:pPr>
            <w:r w:rsidRPr="00F01347">
              <w:rPr>
                <w:rFonts w:ascii="Verdana" w:hAnsi="Verdana"/>
                <w:b/>
                <w:color w:val="000000"/>
                <w:sz w:val="16"/>
                <w:szCs w:val="16"/>
              </w:rPr>
              <w:t>Parámetros</w:t>
            </w:r>
          </w:p>
        </w:tc>
        <w:tc>
          <w:tcPr>
            <w:tcW w:w="3065" w:type="dxa"/>
            <w:tcBorders>
              <w:top w:val="single" w:sz="6" w:space="0" w:color="auto"/>
              <w:left w:val="single" w:sz="6" w:space="0" w:color="auto"/>
              <w:bottom w:val="single" w:sz="6" w:space="0" w:color="auto"/>
              <w:right w:val="single" w:sz="6" w:space="0" w:color="auto"/>
            </w:tcBorders>
          </w:tcPr>
          <w:p w14:paraId="1191D089" w14:textId="77777777" w:rsidR="00A74CDF" w:rsidRPr="00F01347" w:rsidRDefault="00A74CDF" w:rsidP="003A601B">
            <w:pPr>
              <w:pStyle w:val="texto0"/>
              <w:spacing w:line="220" w:lineRule="exact"/>
              <w:ind w:firstLine="0"/>
              <w:jc w:val="center"/>
              <w:rPr>
                <w:rFonts w:ascii="Verdana" w:hAnsi="Verdana"/>
                <w:b/>
                <w:color w:val="000000"/>
                <w:sz w:val="16"/>
                <w:szCs w:val="16"/>
              </w:rPr>
            </w:pPr>
            <w:r w:rsidRPr="00F01347">
              <w:rPr>
                <w:rFonts w:ascii="Verdana" w:hAnsi="Verdana"/>
                <w:b/>
                <w:color w:val="000000"/>
                <w:sz w:val="16"/>
                <w:szCs w:val="16"/>
              </w:rPr>
              <w:t>Límite permisible</w:t>
            </w:r>
          </w:p>
        </w:tc>
        <w:tc>
          <w:tcPr>
            <w:tcW w:w="2543" w:type="dxa"/>
            <w:tcBorders>
              <w:top w:val="single" w:sz="6" w:space="0" w:color="auto"/>
              <w:left w:val="single" w:sz="6" w:space="0" w:color="auto"/>
              <w:bottom w:val="single" w:sz="6" w:space="0" w:color="auto"/>
              <w:right w:val="single" w:sz="6" w:space="0" w:color="auto"/>
            </w:tcBorders>
          </w:tcPr>
          <w:p w14:paraId="21F9E0D4" w14:textId="77777777" w:rsidR="00A74CDF" w:rsidRPr="00F01347" w:rsidRDefault="00A74CDF" w:rsidP="003A601B">
            <w:pPr>
              <w:pStyle w:val="texto0"/>
              <w:spacing w:line="220" w:lineRule="exact"/>
              <w:ind w:firstLine="0"/>
              <w:jc w:val="center"/>
              <w:rPr>
                <w:rFonts w:ascii="Verdana" w:hAnsi="Verdana"/>
                <w:b/>
                <w:color w:val="000000"/>
                <w:sz w:val="16"/>
                <w:szCs w:val="16"/>
              </w:rPr>
            </w:pPr>
            <w:r w:rsidRPr="00F01347">
              <w:rPr>
                <w:rFonts w:ascii="Verdana" w:hAnsi="Verdana"/>
                <w:b/>
                <w:color w:val="000000"/>
                <w:sz w:val="16"/>
                <w:szCs w:val="16"/>
              </w:rPr>
              <w:t>Unidades</w:t>
            </w:r>
          </w:p>
        </w:tc>
      </w:tr>
      <w:tr w:rsidR="00A74CDF" w:rsidRPr="00F01347" w14:paraId="59BCA762" w14:textId="77777777">
        <w:trPr>
          <w:trHeight w:val="20"/>
          <w:jc w:val="center"/>
        </w:trPr>
        <w:tc>
          <w:tcPr>
            <w:tcW w:w="3104" w:type="dxa"/>
            <w:tcBorders>
              <w:top w:val="single" w:sz="6" w:space="0" w:color="auto"/>
              <w:left w:val="single" w:sz="6" w:space="0" w:color="auto"/>
              <w:bottom w:val="single" w:sz="6" w:space="0" w:color="auto"/>
              <w:right w:val="single" w:sz="6" w:space="0" w:color="auto"/>
            </w:tcBorders>
          </w:tcPr>
          <w:p w14:paraId="5C3AC4D9" w14:textId="77777777" w:rsidR="00A74CDF" w:rsidRPr="00F01347" w:rsidRDefault="00A74CDF" w:rsidP="003A601B">
            <w:pPr>
              <w:pStyle w:val="texto0"/>
              <w:spacing w:line="220" w:lineRule="exact"/>
              <w:ind w:firstLine="0"/>
              <w:rPr>
                <w:rFonts w:ascii="Verdana" w:hAnsi="Verdana"/>
                <w:sz w:val="16"/>
                <w:szCs w:val="16"/>
              </w:rPr>
            </w:pPr>
            <w:proofErr w:type="spellStart"/>
            <w:r w:rsidRPr="00F01347">
              <w:rPr>
                <w:rFonts w:ascii="Verdana" w:hAnsi="Verdana"/>
                <w:sz w:val="16"/>
                <w:szCs w:val="16"/>
              </w:rPr>
              <w:t>Bromodiclorometano</w:t>
            </w:r>
            <w:proofErr w:type="spellEnd"/>
          </w:p>
        </w:tc>
        <w:tc>
          <w:tcPr>
            <w:tcW w:w="3065" w:type="dxa"/>
            <w:tcBorders>
              <w:top w:val="single" w:sz="6" w:space="0" w:color="auto"/>
              <w:left w:val="single" w:sz="6" w:space="0" w:color="auto"/>
              <w:bottom w:val="single" w:sz="6" w:space="0" w:color="auto"/>
              <w:right w:val="single" w:sz="6" w:space="0" w:color="auto"/>
            </w:tcBorders>
          </w:tcPr>
          <w:p w14:paraId="559EA63A"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60</w:t>
            </w:r>
          </w:p>
        </w:tc>
        <w:tc>
          <w:tcPr>
            <w:tcW w:w="2543" w:type="dxa"/>
            <w:tcBorders>
              <w:top w:val="single" w:sz="6" w:space="0" w:color="auto"/>
              <w:left w:val="single" w:sz="6" w:space="0" w:color="auto"/>
              <w:bottom w:val="single" w:sz="6" w:space="0" w:color="auto"/>
              <w:right w:val="single" w:sz="6" w:space="0" w:color="auto"/>
            </w:tcBorders>
          </w:tcPr>
          <w:p w14:paraId="425BE067"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1EFF035C" w14:textId="77777777">
        <w:trPr>
          <w:trHeight w:val="20"/>
          <w:jc w:val="center"/>
        </w:trPr>
        <w:tc>
          <w:tcPr>
            <w:tcW w:w="3104" w:type="dxa"/>
            <w:tcBorders>
              <w:top w:val="single" w:sz="6" w:space="0" w:color="auto"/>
              <w:left w:val="single" w:sz="6" w:space="0" w:color="auto"/>
              <w:bottom w:val="single" w:sz="6" w:space="0" w:color="auto"/>
              <w:right w:val="single" w:sz="6" w:space="0" w:color="auto"/>
            </w:tcBorders>
          </w:tcPr>
          <w:p w14:paraId="356E3DE2" w14:textId="77777777" w:rsidR="00A74CDF" w:rsidRPr="00F01347" w:rsidRDefault="00A74CDF" w:rsidP="003A601B">
            <w:pPr>
              <w:pStyle w:val="texto0"/>
              <w:spacing w:line="220" w:lineRule="exact"/>
              <w:ind w:firstLine="0"/>
              <w:rPr>
                <w:rFonts w:ascii="Verdana" w:hAnsi="Verdana"/>
                <w:sz w:val="16"/>
                <w:szCs w:val="16"/>
              </w:rPr>
            </w:pPr>
            <w:proofErr w:type="spellStart"/>
            <w:r w:rsidRPr="00F01347">
              <w:rPr>
                <w:rFonts w:ascii="Verdana" w:hAnsi="Verdana"/>
                <w:sz w:val="16"/>
                <w:szCs w:val="16"/>
              </w:rPr>
              <w:t>Bromoformo</w:t>
            </w:r>
            <w:proofErr w:type="spellEnd"/>
          </w:p>
        </w:tc>
        <w:tc>
          <w:tcPr>
            <w:tcW w:w="3065" w:type="dxa"/>
            <w:tcBorders>
              <w:top w:val="single" w:sz="6" w:space="0" w:color="auto"/>
              <w:left w:val="single" w:sz="6" w:space="0" w:color="auto"/>
              <w:bottom w:val="single" w:sz="6" w:space="0" w:color="auto"/>
              <w:right w:val="single" w:sz="6" w:space="0" w:color="auto"/>
            </w:tcBorders>
          </w:tcPr>
          <w:p w14:paraId="6148D46D"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100</w:t>
            </w:r>
          </w:p>
        </w:tc>
        <w:tc>
          <w:tcPr>
            <w:tcW w:w="2543" w:type="dxa"/>
            <w:tcBorders>
              <w:top w:val="single" w:sz="6" w:space="0" w:color="auto"/>
              <w:left w:val="single" w:sz="6" w:space="0" w:color="auto"/>
              <w:bottom w:val="single" w:sz="6" w:space="0" w:color="auto"/>
              <w:right w:val="single" w:sz="6" w:space="0" w:color="auto"/>
            </w:tcBorders>
          </w:tcPr>
          <w:p w14:paraId="420A44D2"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016075FE" w14:textId="77777777">
        <w:trPr>
          <w:trHeight w:val="20"/>
          <w:jc w:val="center"/>
        </w:trPr>
        <w:tc>
          <w:tcPr>
            <w:tcW w:w="3104" w:type="dxa"/>
            <w:tcBorders>
              <w:top w:val="single" w:sz="6" w:space="0" w:color="auto"/>
              <w:left w:val="single" w:sz="6" w:space="0" w:color="auto"/>
              <w:bottom w:val="single" w:sz="6" w:space="0" w:color="auto"/>
              <w:right w:val="single" w:sz="6" w:space="0" w:color="auto"/>
            </w:tcBorders>
          </w:tcPr>
          <w:p w14:paraId="38309672" w14:textId="77777777" w:rsidR="00A74CDF" w:rsidRPr="00F01347" w:rsidRDefault="00A74CDF" w:rsidP="003A601B">
            <w:pPr>
              <w:pStyle w:val="texto0"/>
              <w:spacing w:line="220" w:lineRule="exact"/>
              <w:ind w:firstLine="0"/>
              <w:rPr>
                <w:rFonts w:ascii="Verdana" w:hAnsi="Verdana"/>
                <w:sz w:val="16"/>
                <w:szCs w:val="16"/>
              </w:rPr>
            </w:pPr>
            <w:r w:rsidRPr="00F01347">
              <w:rPr>
                <w:rFonts w:ascii="Verdana" w:hAnsi="Verdana"/>
                <w:sz w:val="16"/>
                <w:szCs w:val="16"/>
              </w:rPr>
              <w:t>Cloroformo</w:t>
            </w:r>
          </w:p>
        </w:tc>
        <w:tc>
          <w:tcPr>
            <w:tcW w:w="3065" w:type="dxa"/>
            <w:tcBorders>
              <w:top w:val="single" w:sz="6" w:space="0" w:color="auto"/>
              <w:left w:val="single" w:sz="6" w:space="0" w:color="auto"/>
              <w:bottom w:val="single" w:sz="6" w:space="0" w:color="auto"/>
              <w:right w:val="single" w:sz="6" w:space="0" w:color="auto"/>
            </w:tcBorders>
          </w:tcPr>
          <w:p w14:paraId="3B086BD4"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300</w:t>
            </w:r>
          </w:p>
        </w:tc>
        <w:tc>
          <w:tcPr>
            <w:tcW w:w="2543" w:type="dxa"/>
            <w:tcBorders>
              <w:top w:val="single" w:sz="6" w:space="0" w:color="auto"/>
              <w:left w:val="single" w:sz="6" w:space="0" w:color="auto"/>
              <w:bottom w:val="single" w:sz="6" w:space="0" w:color="auto"/>
              <w:right w:val="single" w:sz="6" w:space="0" w:color="auto"/>
            </w:tcBorders>
          </w:tcPr>
          <w:p w14:paraId="4D1D8ABE"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365FECBE" w14:textId="77777777">
        <w:trPr>
          <w:trHeight w:val="20"/>
          <w:jc w:val="center"/>
        </w:trPr>
        <w:tc>
          <w:tcPr>
            <w:tcW w:w="3104" w:type="dxa"/>
            <w:tcBorders>
              <w:top w:val="single" w:sz="6" w:space="0" w:color="auto"/>
              <w:left w:val="single" w:sz="6" w:space="0" w:color="auto"/>
              <w:bottom w:val="single" w:sz="6" w:space="0" w:color="auto"/>
              <w:right w:val="single" w:sz="6" w:space="0" w:color="auto"/>
            </w:tcBorders>
          </w:tcPr>
          <w:p w14:paraId="6C9B3204" w14:textId="77777777" w:rsidR="00A74CDF" w:rsidRPr="00F01347" w:rsidRDefault="00A74CDF" w:rsidP="003A601B">
            <w:pPr>
              <w:pStyle w:val="texto0"/>
              <w:spacing w:line="220" w:lineRule="exact"/>
              <w:ind w:firstLine="0"/>
              <w:rPr>
                <w:rFonts w:ascii="Verdana" w:hAnsi="Verdana"/>
                <w:sz w:val="16"/>
                <w:szCs w:val="16"/>
              </w:rPr>
            </w:pPr>
            <w:proofErr w:type="spellStart"/>
            <w:r w:rsidRPr="00F01347">
              <w:rPr>
                <w:rFonts w:ascii="Verdana" w:hAnsi="Verdana"/>
                <w:sz w:val="16"/>
                <w:szCs w:val="16"/>
              </w:rPr>
              <w:t>Dibromoclorometano</w:t>
            </w:r>
            <w:proofErr w:type="spellEnd"/>
          </w:p>
        </w:tc>
        <w:tc>
          <w:tcPr>
            <w:tcW w:w="3065" w:type="dxa"/>
            <w:tcBorders>
              <w:top w:val="single" w:sz="6" w:space="0" w:color="auto"/>
              <w:left w:val="single" w:sz="6" w:space="0" w:color="auto"/>
              <w:bottom w:val="single" w:sz="6" w:space="0" w:color="auto"/>
              <w:right w:val="single" w:sz="6" w:space="0" w:color="auto"/>
            </w:tcBorders>
          </w:tcPr>
          <w:p w14:paraId="18DAABC2"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100</w:t>
            </w:r>
          </w:p>
        </w:tc>
        <w:tc>
          <w:tcPr>
            <w:tcW w:w="2543" w:type="dxa"/>
            <w:tcBorders>
              <w:top w:val="single" w:sz="6" w:space="0" w:color="auto"/>
              <w:left w:val="single" w:sz="6" w:space="0" w:color="auto"/>
              <w:bottom w:val="single" w:sz="6" w:space="0" w:color="auto"/>
              <w:right w:val="single" w:sz="6" w:space="0" w:color="auto"/>
            </w:tcBorders>
          </w:tcPr>
          <w:p w14:paraId="17FBEA80"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µg/L</w:t>
            </w:r>
          </w:p>
        </w:tc>
      </w:tr>
    </w:tbl>
    <w:p w14:paraId="4CDE2FEC" w14:textId="77777777" w:rsidR="00745CB1" w:rsidRPr="00F01347" w:rsidRDefault="00745CB1" w:rsidP="00633B0E">
      <w:pPr>
        <w:pStyle w:val="texto0"/>
        <w:spacing w:line="240" w:lineRule="exact"/>
        <w:ind w:firstLine="0"/>
        <w:jc w:val="center"/>
        <w:rPr>
          <w:rFonts w:ascii="Verdana" w:hAnsi="Verdana"/>
          <w:b/>
          <w:sz w:val="16"/>
          <w:szCs w:val="16"/>
          <w:lang w:val="en-US"/>
        </w:rPr>
      </w:pPr>
    </w:p>
    <w:p w14:paraId="49390A58" w14:textId="3B79DB48" w:rsidR="00633B0E" w:rsidRPr="00F01347" w:rsidRDefault="00633B0E" w:rsidP="00633B0E">
      <w:pPr>
        <w:pStyle w:val="texto0"/>
        <w:spacing w:line="240" w:lineRule="exact"/>
        <w:ind w:firstLine="0"/>
        <w:jc w:val="center"/>
        <w:rPr>
          <w:rFonts w:ascii="Verdana" w:hAnsi="Verdana"/>
          <w:b/>
          <w:color w:val="000000"/>
          <w:sz w:val="16"/>
          <w:szCs w:val="16"/>
          <w:lang w:val="en-US"/>
        </w:rPr>
      </w:pPr>
      <w:r w:rsidRPr="00F01347">
        <w:rPr>
          <w:rFonts w:ascii="Verdana" w:hAnsi="Verdana"/>
          <w:b/>
          <w:sz w:val="16"/>
          <w:szCs w:val="16"/>
          <w:lang w:val="en-US"/>
        </w:rPr>
        <w:lastRenderedPageBreak/>
        <w:t xml:space="preserve">Table 10 - </w:t>
      </w:r>
      <w:r w:rsidRPr="00F01347">
        <w:rPr>
          <w:rFonts w:ascii="Verdana" w:hAnsi="Verdana"/>
          <w:b/>
          <w:color w:val="000000"/>
          <w:sz w:val="16"/>
          <w:szCs w:val="16"/>
          <w:lang w:val="en-US"/>
        </w:rPr>
        <w:t>Sanitary specifications for disinfection byproducts - trihalomethanes</w:t>
      </w:r>
    </w:p>
    <w:tbl>
      <w:tblPr>
        <w:tblW w:w="8715" w:type="dxa"/>
        <w:jc w:val="center"/>
        <w:tblLayout w:type="fixed"/>
        <w:tblCellMar>
          <w:left w:w="70" w:type="dxa"/>
          <w:right w:w="70" w:type="dxa"/>
        </w:tblCellMar>
        <w:tblLook w:val="04A0" w:firstRow="1" w:lastRow="0" w:firstColumn="1" w:lastColumn="0" w:noHBand="0" w:noVBand="1"/>
      </w:tblPr>
      <w:tblGrid>
        <w:gridCol w:w="3105"/>
        <w:gridCol w:w="3066"/>
        <w:gridCol w:w="2544"/>
      </w:tblGrid>
      <w:tr w:rsidR="00633B0E" w:rsidRPr="00F01347" w14:paraId="1A8870AC" w14:textId="77777777" w:rsidTr="00633B0E">
        <w:trPr>
          <w:trHeight w:val="20"/>
          <w:jc w:val="center"/>
        </w:trPr>
        <w:tc>
          <w:tcPr>
            <w:tcW w:w="3104" w:type="dxa"/>
            <w:tcBorders>
              <w:top w:val="single" w:sz="6" w:space="0" w:color="auto"/>
              <w:left w:val="single" w:sz="6" w:space="0" w:color="auto"/>
              <w:bottom w:val="single" w:sz="6" w:space="0" w:color="auto"/>
              <w:right w:val="single" w:sz="6" w:space="0" w:color="auto"/>
            </w:tcBorders>
            <w:noWrap/>
            <w:hideMark/>
          </w:tcPr>
          <w:p w14:paraId="2C4EAC8F" w14:textId="77777777" w:rsidR="00633B0E" w:rsidRPr="00F01347" w:rsidRDefault="00633B0E">
            <w:pPr>
              <w:pStyle w:val="texto0"/>
              <w:spacing w:line="220"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Parameters</w:t>
            </w:r>
          </w:p>
        </w:tc>
        <w:tc>
          <w:tcPr>
            <w:tcW w:w="3065" w:type="dxa"/>
            <w:tcBorders>
              <w:top w:val="single" w:sz="6" w:space="0" w:color="auto"/>
              <w:left w:val="single" w:sz="6" w:space="0" w:color="auto"/>
              <w:bottom w:val="single" w:sz="6" w:space="0" w:color="auto"/>
              <w:right w:val="single" w:sz="6" w:space="0" w:color="auto"/>
            </w:tcBorders>
            <w:hideMark/>
          </w:tcPr>
          <w:p w14:paraId="613EB493" w14:textId="77777777" w:rsidR="00633B0E" w:rsidRPr="00F01347" w:rsidRDefault="00633B0E">
            <w:pPr>
              <w:pStyle w:val="texto0"/>
              <w:spacing w:line="220"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Permissible limit</w:t>
            </w:r>
          </w:p>
        </w:tc>
        <w:tc>
          <w:tcPr>
            <w:tcW w:w="2543" w:type="dxa"/>
            <w:tcBorders>
              <w:top w:val="single" w:sz="6" w:space="0" w:color="auto"/>
              <w:left w:val="single" w:sz="6" w:space="0" w:color="auto"/>
              <w:bottom w:val="single" w:sz="6" w:space="0" w:color="auto"/>
              <w:right w:val="single" w:sz="6" w:space="0" w:color="auto"/>
            </w:tcBorders>
            <w:hideMark/>
          </w:tcPr>
          <w:p w14:paraId="3DA2684F" w14:textId="77777777" w:rsidR="00633B0E" w:rsidRPr="00F01347" w:rsidRDefault="00633B0E">
            <w:pPr>
              <w:pStyle w:val="texto0"/>
              <w:spacing w:line="220"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Units</w:t>
            </w:r>
          </w:p>
        </w:tc>
      </w:tr>
      <w:tr w:rsidR="00633B0E" w:rsidRPr="00F01347" w14:paraId="4085E79E" w14:textId="77777777" w:rsidTr="00633B0E">
        <w:trPr>
          <w:trHeight w:val="20"/>
          <w:jc w:val="center"/>
        </w:trPr>
        <w:tc>
          <w:tcPr>
            <w:tcW w:w="3104" w:type="dxa"/>
            <w:tcBorders>
              <w:top w:val="single" w:sz="6" w:space="0" w:color="auto"/>
              <w:left w:val="single" w:sz="6" w:space="0" w:color="auto"/>
              <w:bottom w:val="single" w:sz="6" w:space="0" w:color="auto"/>
              <w:right w:val="single" w:sz="6" w:space="0" w:color="auto"/>
            </w:tcBorders>
            <w:hideMark/>
          </w:tcPr>
          <w:p w14:paraId="7F574561" w14:textId="77777777" w:rsidR="00633B0E" w:rsidRPr="00F01347" w:rsidRDefault="00633B0E">
            <w:pPr>
              <w:pStyle w:val="texto0"/>
              <w:spacing w:line="220" w:lineRule="exact"/>
              <w:ind w:firstLine="0"/>
              <w:rPr>
                <w:rFonts w:ascii="Verdana" w:hAnsi="Verdana"/>
                <w:sz w:val="16"/>
                <w:szCs w:val="16"/>
                <w:lang w:val="en-US"/>
              </w:rPr>
            </w:pPr>
            <w:r w:rsidRPr="00F01347">
              <w:rPr>
                <w:rFonts w:ascii="Verdana" w:hAnsi="Verdana"/>
                <w:sz w:val="16"/>
                <w:szCs w:val="16"/>
                <w:lang w:val="en-US"/>
              </w:rPr>
              <w:t>Bromodichloromethane</w:t>
            </w:r>
          </w:p>
        </w:tc>
        <w:tc>
          <w:tcPr>
            <w:tcW w:w="3065" w:type="dxa"/>
            <w:tcBorders>
              <w:top w:val="single" w:sz="6" w:space="0" w:color="auto"/>
              <w:left w:val="single" w:sz="6" w:space="0" w:color="auto"/>
              <w:bottom w:val="single" w:sz="6" w:space="0" w:color="auto"/>
              <w:right w:val="single" w:sz="6" w:space="0" w:color="auto"/>
            </w:tcBorders>
            <w:hideMark/>
          </w:tcPr>
          <w:p w14:paraId="520DA4B4" w14:textId="77777777" w:rsidR="00633B0E" w:rsidRPr="00F01347" w:rsidRDefault="00633B0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60</w:t>
            </w:r>
          </w:p>
        </w:tc>
        <w:tc>
          <w:tcPr>
            <w:tcW w:w="2543" w:type="dxa"/>
            <w:tcBorders>
              <w:top w:val="single" w:sz="6" w:space="0" w:color="auto"/>
              <w:left w:val="single" w:sz="6" w:space="0" w:color="auto"/>
              <w:bottom w:val="single" w:sz="6" w:space="0" w:color="auto"/>
              <w:right w:val="single" w:sz="6" w:space="0" w:color="auto"/>
            </w:tcBorders>
            <w:hideMark/>
          </w:tcPr>
          <w:p w14:paraId="70748101" w14:textId="77777777" w:rsidR="00633B0E" w:rsidRPr="00F01347" w:rsidRDefault="00633B0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µg/L</w:t>
            </w:r>
          </w:p>
        </w:tc>
      </w:tr>
      <w:tr w:rsidR="00633B0E" w:rsidRPr="00F01347" w14:paraId="6A112296" w14:textId="77777777" w:rsidTr="00633B0E">
        <w:trPr>
          <w:trHeight w:val="20"/>
          <w:jc w:val="center"/>
        </w:trPr>
        <w:tc>
          <w:tcPr>
            <w:tcW w:w="3104" w:type="dxa"/>
            <w:tcBorders>
              <w:top w:val="single" w:sz="6" w:space="0" w:color="auto"/>
              <w:left w:val="single" w:sz="6" w:space="0" w:color="auto"/>
              <w:bottom w:val="single" w:sz="6" w:space="0" w:color="auto"/>
              <w:right w:val="single" w:sz="6" w:space="0" w:color="auto"/>
            </w:tcBorders>
            <w:hideMark/>
          </w:tcPr>
          <w:p w14:paraId="6C1373BC" w14:textId="77777777" w:rsidR="00633B0E" w:rsidRPr="00F01347" w:rsidRDefault="00633B0E">
            <w:pPr>
              <w:pStyle w:val="texto0"/>
              <w:spacing w:line="220" w:lineRule="exact"/>
              <w:ind w:firstLine="0"/>
              <w:rPr>
                <w:rFonts w:ascii="Verdana" w:hAnsi="Verdana"/>
                <w:sz w:val="16"/>
                <w:szCs w:val="16"/>
                <w:lang w:val="en-US"/>
              </w:rPr>
            </w:pPr>
            <w:r w:rsidRPr="00F01347">
              <w:rPr>
                <w:rFonts w:ascii="Verdana" w:hAnsi="Verdana"/>
                <w:sz w:val="16"/>
                <w:szCs w:val="16"/>
                <w:lang w:val="en-US"/>
              </w:rPr>
              <w:t>Bromoform</w:t>
            </w:r>
          </w:p>
        </w:tc>
        <w:tc>
          <w:tcPr>
            <w:tcW w:w="3065" w:type="dxa"/>
            <w:tcBorders>
              <w:top w:val="single" w:sz="6" w:space="0" w:color="auto"/>
              <w:left w:val="single" w:sz="6" w:space="0" w:color="auto"/>
              <w:bottom w:val="single" w:sz="6" w:space="0" w:color="auto"/>
              <w:right w:val="single" w:sz="6" w:space="0" w:color="auto"/>
            </w:tcBorders>
            <w:hideMark/>
          </w:tcPr>
          <w:p w14:paraId="414BDD3F" w14:textId="77777777" w:rsidR="00633B0E" w:rsidRPr="00F01347" w:rsidRDefault="00633B0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100</w:t>
            </w:r>
          </w:p>
        </w:tc>
        <w:tc>
          <w:tcPr>
            <w:tcW w:w="2543" w:type="dxa"/>
            <w:tcBorders>
              <w:top w:val="single" w:sz="6" w:space="0" w:color="auto"/>
              <w:left w:val="single" w:sz="6" w:space="0" w:color="auto"/>
              <w:bottom w:val="single" w:sz="6" w:space="0" w:color="auto"/>
              <w:right w:val="single" w:sz="6" w:space="0" w:color="auto"/>
            </w:tcBorders>
            <w:hideMark/>
          </w:tcPr>
          <w:p w14:paraId="16738DBC" w14:textId="77777777" w:rsidR="00633B0E" w:rsidRPr="00F01347" w:rsidRDefault="00633B0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µg/L</w:t>
            </w:r>
          </w:p>
        </w:tc>
      </w:tr>
      <w:tr w:rsidR="00633B0E" w:rsidRPr="00F01347" w14:paraId="094F67B0" w14:textId="77777777" w:rsidTr="00633B0E">
        <w:trPr>
          <w:trHeight w:val="20"/>
          <w:jc w:val="center"/>
        </w:trPr>
        <w:tc>
          <w:tcPr>
            <w:tcW w:w="3104" w:type="dxa"/>
            <w:tcBorders>
              <w:top w:val="single" w:sz="6" w:space="0" w:color="auto"/>
              <w:left w:val="single" w:sz="6" w:space="0" w:color="auto"/>
              <w:bottom w:val="single" w:sz="6" w:space="0" w:color="auto"/>
              <w:right w:val="single" w:sz="6" w:space="0" w:color="auto"/>
            </w:tcBorders>
            <w:hideMark/>
          </w:tcPr>
          <w:p w14:paraId="2E68C4A9" w14:textId="77777777" w:rsidR="00633B0E" w:rsidRPr="00F01347" w:rsidRDefault="00633B0E">
            <w:pPr>
              <w:pStyle w:val="texto0"/>
              <w:spacing w:line="220" w:lineRule="exact"/>
              <w:ind w:firstLine="0"/>
              <w:rPr>
                <w:rFonts w:ascii="Verdana" w:hAnsi="Verdana"/>
                <w:sz w:val="16"/>
                <w:szCs w:val="16"/>
                <w:lang w:val="en-US"/>
              </w:rPr>
            </w:pPr>
            <w:r w:rsidRPr="00F01347">
              <w:rPr>
                <w:rFonts w:ascii="Verdana" w:hAnsi="Verdana"/>
                <w:sz w:val="16"/>
                <w:szCs w:val="16"/>
                <w:lang w:val="en-US"/>
              </w:rPr>
              <w:t>Chloroform</w:t>
            </w:r>
          </w:p>
        </w:tc>
        <w:tc>
          <w:tcPr>
            <w:tcW w:w="3065" w:type="dxa"/>
            <w:tcBorders>
              <w:top w:val="single" w:sz="6" w:space="0" w:color="auto"/>
              <w:left w:val="single" w:sz="6" w:space="0" w:color="auto"/>
              <w:bottom w:val="single" w:sz="6" w:space="0" w:color="auto"/>
              <w:right w:val="single" w:sz="6" w:space="0" w:color="auto"/>
            </w:tcBorders>
            <w:hideMark/>
          </w:tcPr>
          <w:p w14:paraId="044D5E04" w14:textId="77777777" w:rsidR="00633B0E" w:rsidRPr="00F01347" w:rsidRDefault="00633B0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300</w:t>
            </w:r>
          </w:p>
        </w:tc>
        <w:tc>
          <w:tcPr>
            <w:tcW w:w="2543" w:type="dxa"/>
            <w:tcBorders>
              <w:top w:val="single" w:sz="6" w:space="0" w:color="auto"/>
              <w:left w:val="single" w:sz="6" w:space="0" w:color="auto"/>
              <w:bottom w:val="single" w:sz="6" w:space="0" w:color="auto"/>
              <w:right w:val="single" w:sz="6" w:space="0" w:color="auto"/>
            </w:tcBorders>
            <w:hideMark/>
          </w:tcPr>
          <w:p w14:paraId="271C7208" w14:textId="77777777" w:rsidR="00633B0E" w:rsidRPr="00F01347" w:rsidRDefault="00633B0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µg/L</w:t>
            </w:r>
          </w:p>
        </w:tc>
      </w:tr>
      <w:tr w:rsidR="00633B0E" w:rsidRPr="00F01347" w14:paraId="1E120077" w14:textId="77777777" w:rsidTr="00633B0E">
        <w:trPr>
          <w:trHeight w:val="20"/>
          <w:jc w:val="center"/>
        </w:trPr>
        <w:tc>
          <w:tcPr>
            <w:tcW w:w="3104" w:type="dxa"/>
            <w:tcBorders>
              <w:top w:val="single" w:sz="6" w:space="0" w:color="auto"/>
              <w:left w:val="single" w:sz="6" w:space="0" w:color="auto"/>
              <w:bottom w:val="single" w:sz="6" w:space="0" w:color="auto"/>
              <w:right w:val="single" w:sz="6" w:space="0" w:color="auto"/>
            </w:tcBorders>
            <w:hideMark/>
          </w:tcPr>
          <w:p w14:paraId="4649890E" w14:textId="77777777" w:rsidR="00633B0E" w:rsidRPr="00F01347" w:rsidRDefault="00633B0E">
            <w:pPr>
              <w:pStyle w:val="texto0"/>
              <w:spacing w:line="220" w:lineRule="exact"/>
              <w:ind w:firstLine="0"/>
              <w:rPr>
                <w:rFonts w:ascii="Verdana" w:hAnsi="Verdana"/>
                <w:sz w:val="16"/>
                <w:szCs w:val="16"/>
                <w:lang w:val="en-US"/>
              </w:rPr>
            </w:pPr>
            <w:r w:rsidRPr="00F01347">
              <w:rPr>
                <w:rFonts w:ascii="Verdana" w:hAnsi="Verdana"/>
                <w:sz w:val="16"/>
                <w:szCs w:val="16"/>
                <w:lang w:val="en-US"/>
              </w:rPr>
              <w:t>Dibromochloromethane</w:t>
            </w:r>
          </w:p>
        </w:tc>
        <w:tc>
          <w:tcPr>
            <w:tcW w:w="3065" w:type="dxa"/>
            <w:tcBorders>
              <w:top w:val="single" w:sz="6" w:space="0" w:color="auto"/>
              <w:left w:val="single" w:sz="6" w:space="0" w:color="auto"/>
              <w:bottom w:val="single" w:sz="6" w:space="0" w:color="auto"/>
              <w:right w:val="single" w:sz="6" w:space="0" w:color="auto"/>
            </w:tcBorders>
            <w:hideMark/>
          </w:tcPr>
          <w:p w14:paraId="0E1BA7D2" w14:textId="77777777" w:rsidR="00633B0E" w:rsidRPr="00F01347" w:rsidRDefault="00633B0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100</w:t>
            </w:r>
          </w:p>
        </w:tc>
        <w:tc>
          <w:tcPr>
            <w:tcW w:w="2543" w:type="dxa"/>
            <w:tcBorders>
              <w:top w:val="single" w:sz="6" w:space="0" w:color="auto"/>
              <w:left w:val="single" w:sz="6" w:space="0" w:color="auto"/>
              <w:bottom w:val="single" w:sz="6" w:space="0" w:color="auto"/>
              <w:right w:val="single" w:sz="6" w:space="0" w:color="auto"/>
            </w:tcBorders>
            <w:hideMark/>
          </w:tcPr>
          <w:p w14:paraId="5601CC93" w14:textId="77777777" w:rsidR="00633B0E" w:rsidRPr="00F01347" w:rsidRDefault="00633B0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µg/L</w:t>
            </w:r>
          </w:p>
        </w:tc>
      </w:tr>
    </w:tbl>
    <w:p w14:paraId="33A89FA3" w14:textId="77777777" w:rsidR="00633B0E" w:rsidRPr="00F01347" w:rsidRDefault="00633B0E" w:rsidP="00633B0E">
      <w:pPr>
        <w:pStyle w:val="Texto"/>
        <w:rPr>
          <w:rFonts w:ascii="Verdana" w:hAnsi="Verdana"/>
          <w:sz w:val="16"/>
          <w:szCs w:val="16"/>
          <w:lang w:val="es-MX"/>
        </w:rPr>
      </w:pPr>
    </w:p>
    <w:p w14:paraId="3222835F"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b/>
          <w:sz w:val="16"/>
          <w:szCs w:val="16"/>
        </w:rPr>
        <w:t xml:space="preserve">Tabla 11 - </w:t>
      </w:r>
      <w:r w:rsidRPr="00F01347">
        <w:rPr>
          <w:rFonts w:ascii="Verdana" w:hAnsi="Verdana"/>
          <w:b/>
          <w:color w:val="000000"/>
          <w:sz w:val="16"/>
          <w:szCs w:val="16"/>
        </w:rPr>
        <w:t xml:space="preserve">Especificaciones sanitarias de subproductos de la desinfección - </w:t>
      </w:r>
      <w:r w:rsidRPr="00F01347">
        <w:rPr>
          <w:rFonts w:ascii="Verdana" w:hAnsi="Verdana"/>
          <w:b/>
          <w:sz w:val="16"/>
          <w:szCs w:val="16"/>
        </w:rPr>
        <w:t xml:space="preserve">ácidos </w:t>
      </w:r>
      <w:proofErr w:type="spellStart"/>
      <w:r w:rsidRPr="00F01347">
        <w:rPr>
          <w:rFonts w:ascii="Verdana" w:hAnsi="Verdana"/>
          <w:b/>
          <w:sz w:val="16"/>
          <w:szCs w:val="16"/>
        </w:rPr>
        <w:t>haloacéticos</w:t>
      </w:r>
      <w:proofErr w:type="spellEnd"/>
    </w:p>
    <w:tbl>
      <w:tblPr>
        <w:tblW w:w="8712" w:type="dxa"/>
        <w:jc w:val="center"/>
        <w:tblLayout w:type="fixed"/>
        <w:tblCellMar>
          <w:left w:w="70" w:type="dxa"/>
          <w:right w:w="70" w:type="dxa"/>
        </w:tblCellMar>
        <w:tblLook w:val="0000" w:firstRow="0" w:lastRow="0" w:firstColumn="0" w:lastColumn="0" w:noHBand="0" w:noVBand="0"/>
      </w:tblPr>
      <w:tblGrid>
        <w:gridCol w:w="3104"/>
        <w:gridCol w:w="3065"/>
        <w:gridCol w:w="8"/>
        <w:gridCol w:w="2535"/>
      </w:tblGrid>
      <w:tr w:rsidR="00A74CDF" w:rsidRPr="00F01347" w14:paraId="4DC93DBB" w14:textId="77777777">
        <w:trPr>
          <w:trHeight w:val="20"/>
          <w:jc w:val="center"/>
        </w:trPr>
        <w:tc>
          <w:tcPr>
            <w:tcW w:w="3104" w:type="dxa"/>
            <w:tcBorders>
              <w:top w:val="single" w:sz="6" w:space="0" w:color="auto"/>
              <w:left w:val="single" w:sz="6" w:space="0" w:color="auto"/>
              <w:bottom w:val="single" w:sz="6" w:space="0" w:color="auto"/>
              <w:right w:val="single" w:sz="6" w:space="0" w:color="auto"/>
            </w:tcBorders>
            <w:noWrap/>
          </w:tcPr>
          <w:p w14:paraId="7116A734" w14:textId="77777777" w:rsidR="00A74CDF" w:rsidRPr="00F01347" w:rsidRDefault="00A74CDF" w:rsidP="003A601B">
            <w:pPr>
              <w:pStyle w:val="texto0"/>
              <w:spacing w:after="60" w:line="240" w:lineRule="exact"/>
              <w:ind w:firstLine="0"/>
              <w:jc w:val="center"/>
              <w:rPr>
                <w:rFonts w:ascii="Verdana" w:hAnsi="Verdana"/>
                <w:b/>
                <w:sz w:val="16"/>
                <w:szCs w:val="16"/>
              </w:rPr>
            </w:pPr>
            <w:r w:rsidRPr="00F01347">
              <w:rPr>
                <w:rFonts w:ascii="Verdana" w:hAnsi="Verdana"/>
                <w:b/>
                <w:color w:val="000000"/>
                <w:sz w:val="16"/>
                <w:szCs w:val="16"/>
              </w:rPr>
              <w:t>Parámetros</w:t>
            </w:r>
          </w:p>
        </w:tc>
        <w:tc>
          <w:tcPr>
            <w:tcW w:w="3073" w:type="dxa"/>
            <w:gridSpan w:val="2"/>
            <w:tcBorders>
              <w:top w:val="single" w:sz="6" w:space="0" w:color="auto"/>
              <w:left w:val="single" w:sz="6" w:space="0" w:color="auto"/>
              <w:bottom w:val="single" w:sz="6" w:space="0" w:color="auto"/>
              <w:right w:val="single" w:sz="6" w:space="0" w:color="auto"/>
            </w:tcBorders>
          </w:tcPr>
          <w:p w14:paraId="0D1971FA" w14:textId="77777777" w:rsidR="00A74CDF" w:rsidRPr="00F01347" w:rsidRDefault="00A74CDF" w:rsidP="003A601B">
            <w:pPr>
              <w:pStyle w:val="texto0"/>
              <w:spacing w:after="60" w:line="240" w:lineRule="exact"/>
              <w:ind w:firstLine="0"/>
              <w:jc w:val="center"/>
              <w:rPr>
                <w:rFonts w:ascii="Verdana" w:hAnsi="Verdana"/>
                <w:b/>
                <w:sz w:val="16"/>
                <w:szCs w:val="16"/>
              </w:rPr>
            </w:pPr>
            <w:r w:rsidRPr="00F01347">
              <w:rPr>
                <w:rFonts w:ascii="Verdana" w:hAnsi="Verdana"/>
                <w:b/>
                <w:color w:val="000000"/>
                <w:sz w:val="16"/>
                <w:szCs w:val="16"/>
              </w:rPr>
              <w:t>Límite permisible</w:t>
            </w:r>
          </w:p>
        </w:tc>
        <w:tc>
          <w:tcPr>
            <w:tcW w:w="2535" w:type="dxa"/>
            <w:tcBorders>
              <w:top w:val="single" w:sz="6" w:space="0" w:color="auto"/>
              <w:left w:val="single" w:sz="6" w:space="0" w:color="auto"/>
              <w:bottom w:val="single" w:sz="6" w:space="0" w:color="auto"/>
              <w:right w:val="single" w:sz="6" w:space="0" w:color="auto"/>
            </w:tcBorders>
          </w:tcPr>
          <w:p w14:paraId="24362F81" w14:textId="77777777" w:rsidR="00A74CDF" w:rsidRPr="00F01347" w:rsidRDefault="00A74CDF" w:rsidP="003A601B">
            <w:pPr>
              <w:pStyle w:val="texto0"/>
              <w:spacing w:after="60" w:line="240" w:lineRule="exact"/>
              <w:ind w:firstLine="0"/>
              <w:jc w:val="center"/>
              <w:rPr>
                <w:rFonts w:ascii="Verdana" w:hAnsi="Verdana"/>
                <w:b/>
                <w:sz w:val="16"/>
                <w:szCs w:val="16"/>
              </w:rPr>
            </w:pPr>
            <w:r w:rsidRPr="00F01347">
              <w:rPr>
                <w:rFonts w:ascii="Verdana" w:hAnsi="Verdana"/>
                <w:b/>
                <w:color w:val="000000"/>
                <w:sz w:val="16"/>
                <w:szCs w:val="16"/>
              </w:rPr>
              <w:t>Unidades</w:t>
            </w:r>
          </w:p>
        </w:tc>
      </w:tr>
      <w:tr w:rsidR="00A74CDF" w:rsidRPr="00F01347" w14:paraId="2C45C819" w14:textId="77777777">
        <w:trPr>
          <w:trHeight w:val="20"/>
          <w:jc w:val="center"/>
        </w:trPr>
        <w:tc>
          <w:tcPr>
            <w:tcW w:w="3104" w:type="dxa"/>
            <w:tcBorders>
              <w:top w:val="single" w:sz="6" w:space="0" w:color="auto"/>
              <w:left w:val="single" w:sz="6" w:space="0" w:color="auto"/>
              <w:bottom w:val="single" w:sz="6" w:space="0" w:color="auto"/>
              <w:right w:val="single" w:sz="6" w:space="0" w:color="auto"/>
            </w:tcBorders>
          </w:tcPr>
          <w:p w14:paraId="3C520EEB" w14:textId="77777777" w:rsidR="00A74CDF" w:rsidRPr="00F01347" w:rsidRDefault="00A74CDF" w:rsidP="003A601B">
            <w:pPr>
              <w:pStyle w:val="texto0"/>
              <w:spacing w:after="60" w:line="240" w:lineRule="exact"/>
              <w:ind w:firstLine="0"/>
              <w:rPr>
                <w:rFonts w:ascii="Verdana" w:hAnsi="Verdana"/>
                <w:sz w:val="16"/>
                <w:szCs w:val="16"/>
              </w:rPr>
            </w:pPr>
            <w:r w:rsidRPr="00F01347">
              <w:rPr>
                <w:rFonts w:ascii="Verdana" w:hAnsi="Verdana"/>
                <w:sz w:val="16"/>
                <w:szCs w:val="16"/>
              </w:rPr>
              <w:t xml:space="preserve">Ácido </w:t>
            </w:r>
            <w:proofErr w:type="spellStart"/>
            <w:r w:rsidRPr="00F01347">
              <w:rPr>
                <w:rFonts w:ascii="Verdana" w:hAnsi="Verdana"/>
                <w:sz w:val="16"/>
                <w:szCs w:val="16"/>
              </w:rPr>
              <w:t>cloroacético</w:t>
            </w:r>
            <w:proofErr w:type="spellEnd"/>
          </w:p>
        </w:tc>
        <w:tc>
          <w:tcPr>
            <w:tcW w:w="3065" w:type="dxa"/>
            <w:tcBorders>
              <w:top w:val="single" w:sz="6" w:space="0" w:color="auto"/>
              <w:left w:val="single" w:sz="6" w:space="0" w:color="auto"/>
              <w:bottom w:val="single" w:sz="6" w:space="0" w:color="auto"/>
              <w:right w:val="single" w:sz="6" w:space="0" w:color="auto"/>
            </w:tcBorders>
          </w:tcPr>
          <w:p w14:paraId="33131AFF" w14:textId="77777777" w:rsidR="00A74CDF" w:rsidRPr="00F01347" w:rsidRDefault="00A74CDF" w:rsidP="003A601B">
            <w:pPr>
              <w:pStyle w:val="texto0"/>
              <w:spacing w:after="60" w:line="240" w:lineRule="exact"/>
              <w:ind w:firstLine="0"/>
              <w:jc w:val="center"/>
              <w:rPr>
                <w:rFonts w:ascii="Verdana" w:hAnsi="Verdana"/>
                <w:sz w:val="16"/>
                <w:szCs w:val="16"/>
              </w:rPr>
            </w:pPr>
            <w:r w:rsidRPr="00F01347">
              <w:rPr>
                <w:rFonts w:ascii="Verdana" w:hAnsi="Verdana"/>
                <w:sz w:val="16"/>
                <w:szCs w:val="16"/>
              </w:rPr>
              <w:t>20</w:t>
            </w:r>
          </w:p>
        </w:tc>
        <w:tc>
          <w:tcPr>
            <w:tcW w:w="2543" w:type="dxa"/>
            <w:gridSpan w:val="2"/>
            <w:tcBorders>
              <w:top w:val="single" w:sz="6" w:space="0" w:color="auto"/>
              <w:left w:val="single" w:sz="6" w:space="0" w:color="auto"/>
              <w:bottom w:val="single" w:sz="6" w:space="0" w:color="auto"/>
              <w:right w:val="single" w:sz="6" w:space="0" w:color="auto"/>
            </w:tcBorders>
          </w:tcPr>
          <w:p w14:paraId="7EFF895E" w14:textId="77777777" w:rsidR="00A74CDF" w:rsidRPr="00F01347" w:rsidRDefault="00A74CDF" w:rsidP="003A601B">
            <w:pPr>
              <w:pStyle w:val="texto0"/>
              <w:spacing w:after="60" w:line="240"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47FE03BF" w14:textId="77777777">
        <w:trPr>
          <w:trHeight w:val="20"/>
          <w:jc w:val="center"/>
        </w:trPr>
        <w:tc>
          <w:tcPr>
            <w:tcW w:w="3104" w:type="dxa"/>
            <w:tcBorders>
              <w:top w:val="single" w:sz="6" w:space="0" w:color="auto"/>
              <w:left w:val="single" w:sz="6" w:space="0" w:color="auto"/>
              <w:bottom w:val="single" w:sz="6" w:space="0" w:color="auto"/>
              <w:right w:val="single" w:sz="6" w:space="0" w:color="auto"/>
            </w:tcBorders>
          </w:tcPr>
          <w:p w14:paraId="0C1A1EC2" w14:textId="77777777" w:rsidR="00A74CDF" w:rsidRPr="00F01347" w:rsidRDefault="00A74CDF" w:rsidP="003A601B">
            <w:pPr>
              <w:pStyle w:val="texto0"/>
              <w:spacing w:after="60" w:line="240" w:lineRule="exact"/>
              <w:ind w:firstLine="0"/>
              <w:rPr>
                <w:rFonts w:ascii="Verdana" w:hAnsi="Verdana"/>
                <w:sz w:val="16"/>
                <w:szCs w:val="16"/>
              </w:rPr>
            </w:pPr>
            <w:r w:rsidRPr="00F01347">
              <w:rPr>
                <w:rFonts w:ascii="Verdana" w:hAnsi="Verdana"/>
                <w:sz w:val="16"/>
                <w:szCs w:val="16"/>
              </w:rPr>
              <w:t xml:space="preserve">Ácido </w:t>
            </w:r>
            <w:proofErr w:type="spellStart"/>
            <w:r w:rsidRPr="00F01347">
              <w:rPr>
                <w:rFonts w:ascii="Verdana" w:hAnsi="Verdana"/>
                <w:sz w:val="16"/>
                <w:szCs w:val="16"/>
              </w:rPr>
              <w:t>dicloroacético</w:t>
            </w:r>
            <w:proofErr w:type="spellEnd"/>
          </w:p>
        </w:tc>
        <w:tc>
          <w:tcPr>
            <w:tcW w:w="3065" w:type="dxa"/>
            <w:tcBorders>
              <w:top w:val="single" w:sz="6" w:space="0" w:color="auto"/>
              <w:left w:val="single" w:sz="6" w:space="0" w:color="auto"/>
              <w:bottom w:val="single" w:sz="6" w:space="0" w:color="auto"/>
              <w:right w:val="single" w:sz="6" w:space="0" w:color="auto"/>
            </w:tcBorders>
          </w:tcPr>
          <w:p w14:paraId="611AAA61" w14:textId="77777777" w:rsidR="00A74CDF" w:rsidRPr="00F01347" w:rsidRDefault="00A74CDF" w:rsidP="003A601B">
            <w:pPr>
              <w:pStyle w:val="texto0"/>
              <w:spacing w:after="60" w:line="240" w:lineRule="exact"/>
              <w:ind w:firstLine="0"/>
              <w:jc w:val="center"/>
              <w:rPr>
                <w:rFonts w:ascii="Verdana" w:hAnsi="Verdana"/>
                <w:sz w:val="16"/>
                <w:szCs w:val="16"/>
              </w:rPr>
            </w:pPr>
            <w:r w:rsidRPr="00F01347">
              <w:rPr>
                <w:rFonts w:ascii="Verdana" w:hAnsi="Verdana"/>
                <w:sz w:val="16"/>
                <w:szCs w:val="16"/>
              </w:rPr>
              <w:t>50</w:t>
            </w:r>
          </w:p>
        </w:tc>
        <w:tc>
          <w:tcPr>
            <w:tcW w:w="2543" w:type="dxa"/>
            <w:gridSpan w:val="2"/>
            <w:tcBorders>
              <w:top w:val="single" w:sz="6" w:space="0" w:color="auto"/>
              <w:left w:val="single" w:sz="6" w:space="0" w:color="auto"/>
              <w:bottom w:val="single" w:sz="6" w:space="0" w:color="auto"/>
              <w:right w:val="single" w:sz="6" w:space="0" w:color="auto"/>
            </w:tcBorders>
          </w:tcPr>
          <w:p w14:paraId="57072407" w14:textId="77777777" w:rsidR="00A74CDF" w:rsidRPr="00F01347" w:rsidRDefault="00A74CDF" w:rsidP="003A601B">
            <w:pPr>
              <w:pStyle w:val="texto0"/>
              <w:spacing w:after="60" w:line="240"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003A0FA7" w14:textId="77777777">
        <w:trPr>
          <w:trHeight w:val="20"/>
          <w:jc w:val="center"/>
        </w:trPr>
        <w:tc>
          <w:tcPr>
            <w:tcW w:w="3104" w:type="dxa"/>
            <w:tcBorders>
              <w:top w:val="single" w:sz="6" w:space="0" w:color="auto"/>
              <w:left w:val="single" w:sz="6" w:space="0" w:color="auto"/>
              <w:bottom w:val="single" w:sz="6" w:space="0" w:color="auto"/>
              <w:right w:val="single" w:sz="6" w:space="0" w:color="auto"/>
            </w:tcBorders>
          </w:tcPr>
          <w:p w14:paraId="76E2A31B" w14:textId="77777777" w:rsidR="00A74CDF" w:rsidRPr="00F01347" w:rsidRDefault="00A74CDF" w:rsidP="003A601B">
            <w:pPr>
              <w:pStyle w:val="texto0"/>
              <w:spacing w:after="60" w:line="240" w:lineRule="exact"/>
              <w:ind w:firstLine="0"/>
              <w:rPr>
                <w:rFonts w:ascii="Verdana" w:hAnsi="Verdana"/>
                <w:sz w:val="16"/>
                <w:szCs w:val="16"/>
              </w:rPr>
            </w:pPr>
            <w:r w:rsidRPr="00F01347">
              <w:rPr>
                <w:rFonts w:ascii="Verdana" w:hAnsi="Verdana"/>
                <w:sz w:val="16"/>
                <w:szCs w:val="16"/>
              </w:rPr>
              <w:t>Ácido tricloroacético</w:t>
            </w:r>
          </w:p>
        </w:tc>
        <w:tc>
          <w:tcPr>
            <w:tcW w:w="3065" w:type="dxa"/>
            <w:tcBorders>
              <w:top w:val="single" w:sz="6" w:space="0" w:color="auto"/>
              <w:left w:val="single" w:sz="6" w:space="0" w:color="auto"/>
              <w:bottom w:val="single" w:sz="6" w:space="0" w:color="auto"/>
              <w:right w:val="single" w:sz="6" w:space="0" w:color="auto"/>
            </w:tcBorders>
          </w:tcPr>
          <w:p w14:paraId="6F983226" w14:textId="77777777" w:rsidR="00A74CDF" w:rsidRPr="00F01347" w:rsidRDefault="00A74CDF" w:rsidP="003A601B">
            <w:pPr>
              <w:pStyle w:val="texto0"/>
              <w:spacing w:after="60" w:line="240" w:lineRule="exact"/>
              <w:ind w:firstLine="0"/>
              <w:jc w:val="center"/>
              <w:rPr>
                <w:rFonts w:ascii="Verdana" w:hAnsi="Verdana"/>
                <w:sz w:val="16"/>
                <w:szCs w:val="16"/>
              </w:rPr>
            </w:pPr>
            <w:r w:rsidRPr="00F01347">
              <w:rPr>
                <w:rFonts w:ascii="Verdana" w:hAnsi="Verdana"/>
                <w:sz w:val="16"/>
                <w:szCs w:val="16"/>
              </w:rPr>
              <w:t>200</w:t>
            </w:r>
          </w:p>
        </w:tc>
        <w:tc>
          <w:tcPr>
            <w:tcW w:w="2543" w:type="dxa"/>
            <w:gridSpan w:val="2"/>
            <w:tcBorders>
              <w:top w:val="single" w:sz="6" w:space="0" w:color="auto"/>
              <w:left w:val="single" w:sz="6" w:space="0" w:color="auto"/>
              <w:bottom w:val="single" w:sz="6" w:space="0" w:color="auto"/>
              <w:right w:val="single" w:sz="6" w:space="0" w:color="auto"/>
            </w:tcBorders>
          </w:tcPr>
          <w:p w14:paraId="3CC8D903" w14:textId="77777777" w:rsidR="00A74CDF" w:rsidRPr="00F01347" w:rsidRDefault="00A74CDF" w:rsidP="003A601B">
            <w:pPr>
              <w:pStyle w:val="texto0"/>
              <w:spacing w:after="60" w:line="240" w:lineRule="exact"/>
              <w:ind w:firstLine="0"/>
              <w:jc w:val="center"/>
              <w:rPr>
                <w:rFonts w:ascii="Verdana" w:hAnsi="Verdana"/>
                <w:sz w:val="16"/>
                <w:szCs w:val="16"/>
              </w:rPr>
            </w:pPr>
            <w:r w:rsidRPr="00F01347">
              <w:rPr>
                <w:rFonts w:ascii="Verdana" w:hAnsi="Verdana"/>
                <w:sz w:val="16"/>
                <w:szCs w:val="16"/>
              </w:rPr>
              <w:t>µg/L</w:t>
            </w:r>
          </w:p>
        </w:tc>
      </w:tr>
    </w:tbl>
    <w:p w14:paraId="4E7718B0" w14:textId="77777777" w:rsidR="00A74CDF" w:rsidRDefault="00A74CDF" w:rsidP="003A601B">
      <w:pPr>
        <w:pStyle w:val="Texto"/>
        <w:rPr>
          <w:rFonts w:ascii="Verdana" w:hAnsi="Verdana"/>
          <w:sz w:val="16"/>
          <w:szCs w:val="16"/>
          <w:lang w:val="es-ES_tradnl"/>
        </w:rPr>
      </w:pPr>
    </w:p>
    <w:p w14:paraId="08903033" w14:textId="77777777" w:rsidR="008D190D" w:rsidRPr="00F01347" w:rsidRDefault="008D190D" w:rsidP="003A601B">
      <w:pPr>
        <w:pStyle w:val="Texto"/>
        <w:rPr>
          <w:rFonts w:ascii="Verdana" w:hAnsi="Verdana"/>
          <w:sz w:val="16"/>
          <w:szCs w:val="16"/>
          <w:lang w:val="es-ES_tradnl"/>
        </w:rPr>
      </w:pPr>
    </w:p>
    <w:p w14:paraId="70BEBC1A" w14:textId="77777777" w:rsidR="008D190D" w:rsidRDefault="00633B0E" w:rsidP="00633B0E">
      <w:pPr>
        <w:pStyle w:val="texto0"/>
        <w:spacing w:line="240" w:lineRule="exact"/>
        <w:ind w:firstLine="0"/>
        <w:jc w:val="center"/>
        <w:rPr>
          <w:rFonts w:ascii="Verdana" w:hAnsi="Verdana"/>
          <w:b/>
          <w:sz w:val="16"/>
          <w:szCs w:val="16"/>
          <w:lang w:val="en-US"/>
        </w:rPr>
      </w:pPr>
      <w:r w:rsidRPr="00F01347">
        <w:rPr>
          <w:rFonts w:ascii="Verdana" w:hAnsi="Verdana"/>
          <w:b/>
          <w:sz w:val="16"/>
          <w:szCs w:val="16"/>
          <w:lang w:val="en-US"/>
        </w:rPr>
        <w:t>Table 11</w:t>
      </w:r>
    </w:p>
    <w:p w14:paraId="65CD06CC" w14:textId="7D9C503A" w:rsidR="00633B0E" w:rsidRPr="00F01347" w:rsidRDefault="00633B0E" w:rsidP="00633B0E">
      <w:pPr>
        <w:pStyle w:val="texto0"/>
        <w:spacing w:line="240" w:lineRule="exact"/>
        <w:ind w:firstLine="0"/>
        <w:jc w:val="center"/>
        <w:rPr>
          <w:rFonts w:ascii="Verdana" w:hAnsi="Verdana"/>
          <w:sz w:val="16"/>
          <w:szCs w:val="16"/>
          <w:lang w:val="en-US"/>
        </w:rPr>
      </w:pPr>
      <w:r w:rsidRPr="00F01347">
        <w:rPr>
          <w:rFonts w:ascii="Verdana" w:hAnsi="Verdana"/>
          <w:b/>
          <w:sz w:val="16"/>
          <w:szCs w:val="16"/>
          <w:lang w:val="en-US"/>
        </w:rPr>
        <w:t xml:space="preserve"> - </w:t>
      </w:r>
      <w:r w:rsidRPr="00F01347">
        <w:rPr>
          <w:rFonts w:ascii="Verdana" w:hAnsi="Verdana"/>
          <w:b/>
          <w:color w:val="000000"/>
          <w:sz w:val="16"/>
          <w:szCs w:val="16"/>
          <w:lang w:val="en-US"/>
        </w:rPr>
        <w:t xml:space="preserve">Sanitary specifications for disinfection byproducts - </w:t>
      </w:r>
      <w:proofErr w:type="spellStart"/>
      <w:r w:rsidRPr="00F01347">
        <w:rPr>
          <w:rFonts w:ascii="Verdana" w:hAnsi="Verdana"/>
          <w:b/>
          <w:sz w:val="16"/>
          <w:szCs w:val="16"/>
          <w:lang w:val="en-US"/>
        </w:rPr>
        <w:t>haloacetic</w:t>
      </w:r>
      <w:proofErr w:type="spellEnd"/>
      <w:r w:rsidRPr="00F01347">
        <w:rPr>
          <w:rFonts w:ascii="Verdana" w:hAnsi="Verdana"/>
          <w:b/>
          <w:sz w:val="16"/>
          <w:szCs w:val="16"/>
          <w:lang w:val="en-US"/>
        </w:rPr>
        <w:t xml:space="preserve"> acids</w:t>
      </w:r>
    </w:p>
    <w:tbl>
      <w:tblPr>
        <w:tblW w:w="8715" w:type="dxa"/>
        <w:jc w:val="center"/>
        <w:tblLayout w:type="fixed"/>
        <w:tblCellMar>
          <w:left w:w="70" w:type="dxa"/>
          <w:right w:w="70" w:type="dxa"/>
        </w:tblCellMar>
        <w:tblLook w:val="04A0" w:firstRow="1" w:lastRow="0" w:firstColumn="1" w:lastColumn="0" w:noHBand="0" w:noVBand="1"/>
      </w:tblPr>
      <w:tblGrid>
        <w:gridCol w:w="3105"/>
        <w:gridCol w:w="3066"/>
        <w:gridCol w:w="8"/>
        <w:gridCol w:w="2536"/>
      </w:tblGrid>
      <w:tr w:rsidR="00633B0E" w:rsidRPr="00F01347" w14:paraId="1D1406C9" w14:textId="77777777" w:rsidTr="00633B0E">
        <w:trPr>
          <w:trHeight w:val="20"/>
          <w:jc w:val="center"/>
        </w:trPr>
        <w:tc>
          <w:tcPr>
            <w:tcW w:w="3104" w:type="dxa"/>
            <w:tcBorders>
              <w:top w:val="single" w:sz="6" w:space="0" w:color="auto"/>
              <w:left w:val="single" w:sz="6" w:space="0" w:color="auto"/>
              <w:bottom w:val="single" w:sz="6" w:space="0" w:color="auto"/>
              <w:right w:val="single" w:sz="6" w:space="0" w:color="auto"/>
            </w:tcBorders>
            <w:noWrap/>
            <w:hideMark/>
          </w:tcPr>
          <w:p w14:paraId="058AA065" w14:textId="77777777" w:rsidR="00633B0E" w:rsidRPr="00F01347" w:rsidRDefault="00633B0E">
            <w:pPr>
              <w:pStyle w:val="texto0"/>
              <w:spacing w:after="60" w:line="240" w:lineRule="exact"/>
              <w:ind w:firstLine="0"/>
              <w:jc w:val="center"/>
              <w:rPr>
                <w:rFonts w:ascii="Verdana" w:hAnsi="Verdana"/>
                <w:b/>
                <w:sz w:val="16"/>
                <w:szCs w:val="16"/>
                <w:lang w:val="en-US"/>
              </w:rPr>
            </w:pPr>
            <w:r w:rsidRPr="00F01347">
              <w:rPr>
                <w:rFonts w:ascii="Verdana" w:hAnsi="Verdana"/>
                <w:b/>
                <w:color w:val="000000"/>
                <w:sz w:val="16"/>
                <w:szCs w:val="16"/>
                <w:lang w:val="en-US"/>
              </w:rPr>
              <w:t>Parameters</w:t>
            </w:r>
          </w:p>
        </w:tc>
        <w:tc>
          <w:tcPr>
            <w:tcW w:w="3073" w:type="dxa"/>
            <w:gridSpan w:val="2"/>
            <w:tcBorders>
              <w:top w:val="single" w:sz="6" w:space="0" w:color="auto"/>
              <w:left w:val="single" w:sz="6" w:space="0" w:color="auto"/>
              <w:bottom w:val="single" w:sz="6" w:space="0" w:color="auto"/>
              <w:right w:val="single" w:sz="6" w:space="0" w:color="auto"/>
            </w:tcBorders>
            <w:hideMark/>
          </w:tcPr>
          <w:p w14:paraId="323805D4" w14:textId="77777777" w:rsidR="00633B0E" w:rsidRPr="00F01347" w:rsidRDefault="00633B0E">
            <w:pPr>
              <w:pStyle w:val="texto0"/>
              <w:spacing w:after="60" w:line="240" w:lineRule="exact"/>
              <w:ind w:firstLine="0"/>
              <w:jc w:val="center"/>
              <w:rPr>
                <w:rFonts w:ascii="Verdana" w:hAnsi="Verdana"/>
                <w:b/>
                <w:sz w:val="16"/>
                <w:szCs w:val="16"/>
                <w:lang w:val="en-US"/>
              </w:rPr>
            </w:pPr>
            <w:r w:rsidRPr="00F01347">
              <w:rPr>
                <w:rFonts w:ascii="Verdana" w:hAnsi="Verdana"/>
                <w:b/>
                <w:color w:val="000000"/>
                <w:sz w:val="16"/>
                <w:szCs w:val="16"/>
                <w:lang w:val="en-US"/>
              </w:rPr>
              <w:t>Permissible limit</w:t>
            </w:r>
          </w:p>
        </w:tc>
        <w:tc>
          <w:tcPr>
            <w:tcW w:w="2535" w:type="dxa"/>
            <w:tcBorders>
              <w:top w:val="single" w:sz="6" w:space="0" w:color="auto"/>
              <w:left w:val="single" w:sz="6" w:space="0" w:color="auto"/>
              <w:bottom w:val="single" w:sz="6" w:space="0" w:color="auto"/>
              <w:right w:val="single" w:sz="6" w:space="0" w:color="auto"/>
            </w:tcBorders>
            <w:hideMark/>
          </w:tcPr>
          <w:p w14:paraId="2A446644" w14:textId="77777777" w:rsidR="00633B0E" w:rsidRPr="00F01347" w:rsidRDefault="00633B0E">
            <w:pPr>
              <w:pStyle w:val="texto0"/>
              <w:spacing w:after="60" w:line="240" w:lineRule="exact"/>
              <w:ind w:firstLine="0"/>
              <w:jc w:val="center"/>
              <w:rPr>
                <w:rFonts w:ascii="Verdana" w:hAnsi="Verdana"/>
                <w:b/>
                <w:sz w:val="16"/>
                <w:szCs w:val="16"/>
                <w:lang w:val="en-US"/>
              </w:rPr>
            </w:pPr>
            <w:r w:rsidRPr="00F01347">
              <w:rPr>
                <w:rFonts w:ascii="Verdana" w:hAnsi="Verdana"/>
                <w:b/>
                <w:color w:val="000000"/>
                <w:sz w:val="16"/>
                <w:szCs w:val="16"/>
                <w:lang w:val="en-US"/>
              </w:rPr>
              <w:t>Units</w:t>
            </w:r>
          </w:p>
        </w:tc>
      </w:tr>
      <w:tr w:rsidR="00633B0E" w:rsidRPr="00F01347" w14:paraId="2F94E2CD" w14:textId="77777777" w:rsidTr="00633B0E">
        <w:trPr>
          <w:trHeight w:val="20"/>
          <w:jc w:val="center"/>
        </w:trPr>
        <w:tc>
          <w:tcPr>
            <w:tcW w:w="3104" w:type="dxa"/>
            <w:tcBorders>
              <w:top w:val="single" w:sz="6" w:space="0" w:color="auto"/>
              <w:left w:val="single" w:sz="6" w:space="0" w:color="auto"/>
              <w:bottom w:val="single" w:sz="6" w:space="0" w:color="auto"/>
              <w:right w:val="single" w:sz="6" w:space="0" w:color="auto"/>
            </w:tcBorders>
            <w:hideMark/>
          </w:tcPr>
          <w:p w14:paraId="24551CD2" w14:textId="77777777" w:rsidR="00633B0E" w:rsidRPr="00F01347" w:rsidRDefault="00633B0E">
            <w:pPr>
              <w:pStyle w:val="texto0"/>
              <w:spacing w:after="60" w:line="240" w:lineRule="exact"/>
              <w:ind w:firstLine="0"/>
              <w:rPr>
                <w:rFonts w:ascii="Verdana" w:hAnsi="Verdana"/>
                <w:sz w:val="16"/>
                <w:szCs w:val="16"/>
                <w:lang w:val="en-US"/>
              </w:rPr>
            </w:pPr>
            <w:r w:rsidRPr="00F01347">
              <w:rPr>
                <w:rFonts w:ascii="Verdana" w:hAnsi="Verdana"/>
                <w:sz w:val="16"/>
                <w:szCs w:val="16"/>
                <w:lang w:val="en-US"/>
              </w:rPr>
              <w:t>Chloroacetic acid</w:t>
            </w:r>
          </w:p>
        </w:tc>
        <w:tc>
          <w:tcPr>
            <w:tcW w:w="3065" w:type="dxa"/>
            <w:tcBorders>
              <w:top w:val="single" w:sz="6" w:space="0" w:color="auto"/>
              <w:left w:val="single" w:sz="6" w:space="0" w:color="auto"/>
              <w:bottom w:val="single" w:sz="6" w:space="0" w:color="auto"/>
              <w:right w:val="single" w:sz="6" w:space="0" w:color="auto"/>
            </w:tcBorders>
            <w:hideMark/>
          </w:tcPr>
          <w:p w14:paraId="703F68EC" w14:textId="7F6889B9" w:rsidR="00633B0E" w:rsidRPr="00F01347" w:rsidRDefault="00745CB1">
            <w:pPr>
              <w:pStyle w:val="texto0"/>
              <w:spacing w:after="60" w:line="240" w:lineRule="exact"/>
              <w:ind w:firstLine="0"/>
              <w:jc w:val="center"/>
              <w:rPr>
                <w:rFonts w:ascii="Verdana" w:hAnsi="Verdana"/>
                <w:sz w:val="16"/>
                <w:szCs w:val="16"/>
                <w:lang w:val="en-US"/>
              </w:rPr>
            </w:pPr>
            <w:r w:rsidRPr="00F01347">
              <w:rPr>
                <w:rFonts w:ascii="Verdana" w:hAnsi="Verdana"/>
                <w:sz w:val="16"/>
                <w:szCs w:val="16"/>
                <w:lang w:val="en-US"/>
              </w:rPr>
              <w:t>20</w:t>
            </w:r>
          </w:p>
        </w:tc>
        <w:tc>
          <w:tcPr>
            <w:tcW w:w="2543" w:type="dxa"/>
            <w:gridSpan w:val="2"/>
            <w:tcBorders>
              <w:top w:val="single" w:sz="6" w:space="0" w:color="auto"/>
              <w:left w:val="single" w:sz="6" w:space="0" w:color="auto"/>
              <w:bottom w:val="single" w:sz="6" w:space="0" w:color="auto"/>
              <w:right w:val="single" w:sz="6" w:space="0" w:color="auto"/>
            </w:tcBorders>
            <w:hideMark/>
          </w:tcPr>
          <w:p w14:paraId="4BA90E42" w14:textId="77777777" w:rsidR="00633B0E" w:rsidRPr="00F01347" w:rsidRDefault="00633B0E">
            <w:pPr>
              <w:pStyle w:val="texto0"/>
              <w:spacing w:after="60" w:line="240" w:lineRule="exact"/>
              <w:ind w:firstLine="0"/>
              <w:jc w:val="center"/>
              <w:rPr>
                <w:rFonts w:ascii="Verdana" w:hAnsi="Verdana"/>
                <w:sz w:val="16"/>
                <w:szCs w:val="16"/>
                <w:lang w:val="en-US"/>
              </w:rPr>
            </w:pPr>
            <w:r w:rsidRPr="00F01347">
              <w:rPr>
                <w:rFonts w:ascii="Verdana" w:hAnsi="Verdana"/>
                <w:sz w:val="16"/>
                <w:szCs w:val="16"/>
                <w:lang w:val="en-US"/>
              </w:rPr>
              <w:t>µg/L</w:t>
            </w:r>
          </w:p>
        </w:tc>
      </w:tr>
      <w:tr w:rsidR="00633B0E" w:rsidRPr="00F01347" w14:paraId="02597500" w14:textId="77777777" w:rsidTr="00633B0E">
        <w:trPr>
          <w:trHeight w:val="20"/>
          <w:jc w:val="center"/>
        </w:trPr>
        <w:tc>
          <w:tcPr>
            <w:tcW w:w="3104" w:type="dxa"/>
            <w:tcBorders>
              <w:top w:val="single" w:sz="6" w:space="0" w:color="auto"/>
              <w:left w:val="single" w:sz="6" w:space="0" w:color="auto"/>
              <w:bottom w:val="single" w:sz="6" w:space="0" w:color="auto"/>
              <w:right w:val="single" w:sz="6" w:space="0" w:color="auto"/>
            </w:tcBorders>
            <w:hideMark/>
          </w:tcPr>
          <w:p w14:paraId="7DCDB0BB" w14:textId="60B46B6A" w:rsidR="00633B0E" w:rsidRPr="00F01347" w:rsidRDefault="00745CB1">
            <w:pPr>
              <w:pStyle w:val="texto0"/>
              <w:spacing w:after="60" w:line="240" w:lineRule="exact"/>
              <w:ind w:firstLine="0"/>
              <w:rPr>
                <w:rFonts w:ascii="Verdana" w:hAnsi="Verdana"/>
                <w:sz w:val="16"/>
                <w:szCs w:val="16"/>
                <w:lang w:val="en-US"/>
              </w:rPr>
            </w:pPr>
            <w:r w:rsidRPr="00F01347">
              <w:rPr>
                <w:rFonts w:ascii="Verdana" w:hAnsi="Verdana"/>
                <w:sz w:val="16"/>
                <w:szCs w:val="16"/>
                <w:lang w:val="en-US"/>
              </w:rPr>
              <w:t>D</w:t>
            </w:r>
            <w:r w:rsidR="00633B0E" w:rsidRPr="00F01347">
              <w:rPr>
                <w:rFonts w:ascii="Verdana" w:hAnsi="Verdana"/>
                <w:sz w:val="16"/>
                <w:szCs w:val="16"/>
                <w:lang w:val="en-US"/>
              </w:rPr>
              <w:t>ichloroacetic acid</w:t>
            </w:r>
          </w:p>
        </w:tc>
        <w:tc>
          <w:tcPr>
            <w:tcW w:w="3065" w:type="dxa"/>
            <w:tcBorders>
              <w:top w:val="single" w:sz="6" w:space="0" w:color="auto"/>
              <w:left w:val="single" w:sz="6" w:space="0" w:color="auto"/>
              <w:bottom w:val="single" w:sz="6" w:space="0" w:color="auto"/>
              <w:right w:val="single" w:sz="6" w:space="0" w:color="auto"/>
            </w:tcBorders>
            <w:hideMark/>
          </w:tcPr>
          <w:p w14:paraId="5701E31A" w14:textId="0DCF2440" w:rsidR="00633B0E" w:rsidRPr="00F01347" w:rsidRDefault="00745CB1">
            <w:pPr>
              <w:pStyle w:val="texto0"/>
              <w:spacing w:after="60" w:line="240" w:lineRule="exact"/>
              <w:ind w:firstLine="0"/>
              <w:jc w:val="center"/>
              <w:rPr>
                <w:rFonts w:ascii="Verdana" w:hAnsi="Verdana"/>
                <w:sz w:val="16"/>
                <w:szCs w:val="16"/>
                <w:lang w:val="en-US"/>
              </w:rPr>
            </w:pPr>
            <w:r w:rsidRPr="00F01347">
              <w:rPr>
                <w:rFonts w:ascii="Verdana" w:hAnsi="Verdana"/>
                <w:sz w:val="16"/>
                <w:szCs w:val="16"/>
                <w:lang w:val="en-US"/>
              </w:rPr>
              <w:t>50</w:t>
            </w:r>
          </w:p>
        </w:tc>
        <w:tc>
          <w:tcPr>
            <w:tcW w:w="2543" w:type="dxa"/>
            <w:gridSpan w:val="2"/>
            <w:tcBorders>
              <w:top w:val="single" w:sz="6" w:space="0" w:color="auto"/>
              <w:left w:val="single" w:sz="6" w:space="0" w:color="auto"/>
              <w:bottom w:val="single" w:sz="6" w:space="0" w:color="auto"/>
              <w:right w:val="single" w:sz="6" w:space="0" w:color="auto"/>
            </w:tcBorders>
            <w:hideMark/>
          </w:tcPr>
          <w:p w14:paraId="7E724F4F" w14:textId="77777777" w:rsidR="00633B0E" w:rsidRPr="00F01347" w:rsidRDefault="00633B0E">
            <w:pPr>
              <w:pStyle w:val="texto0"/>
              <w:spacing w:after="60" w:line="240" w:lineRule="exact"/>
              <w:ind w:firstLine="0"/>
              <w:jc w:val="center"/>
              <w:rPr>
                <w:rFonts w:ascii="Verdana" w:hAnsi="Verdana"/>
                <w:sz w:val="16"/>
                <w:szCs w:val="16"/>
                <w:lang w:val="en-US"/>
              </w:rPr>
            </w:pPr>
            <w:r w:rsidRPr="00F01347">
              <w:rPr>
                <w:rFonts w:ascii="Verdana" w:hAnsi="Verdana"/>
                <w:sz w:val="16"/>
                <w:szCs w:val="16"/>
                <w:lang w:val="en-US"/>
              </w:rPr>
              <w:t>µg/L</w:t>
            </w:r>
          </w:p>
        </w:tc>
      </w:tr>
      <w:tr w:rsidR="00633B0E" w:rsidRPr="00F01347" w14:paraId="347195A3" w14:textId="77777777" w:rsidTr="00633B0E">
        <w:trPr>
          <w:trHeight w:val="20"/>
          <w:jc w:val="center"/>
        </w:trPr>
        <w:tc>
          <w:tcPr>
            <w:tcW w:w="3104" w:type="dxa"/>
            <w:tcBorders>
              <w:top w:val="single" w:sz="6" w:space="0" w:color="auto"/>
              <w:left w:val="single" w:sz="6" w:space="0" w:color="auto"/>
              <w:bottom w:val="single" w:sz="6" w:space="0" w:color="auto"/>
              <w:right w:val="single" w:sz="6" w:space="0" w:color="auto"/>
            </w:tcBorders>
            <w:hideMark/>
          </w:tcPr>
          <w:p w14:paraId="3CEA38AC" w14:textId="77777777" w:rsidR="00633B0E" w:rsidRPr="00F01347" w:rsidRDefault="00633B0E">
            <w:pPr>
              <w:pStyle w:val="texto0"/>
              <w:spacing w:after="60" w:line="240" w:lineRule="exact"/>
              <w:ind w:firstLine="0"/>
              <w:rPr>
                <w:rFonts w:ascii="Verdana" w:hAnsi="Verdana"/>
                <w:sz w:val="16"/>
                <w:szCs w:val="16"/>
                <w:lang w:val="en-US"/>
              </w:rPr>
            </w:pPr>
            <w:r w:rsidRPr="00F01347">
              <w:rPr>
                <w:rFonts w:ascii="Verdana" w:hAnsi="Verdana"/>
                <w:sz w:val="16"/>
                <w:szCs w:val="16"/>
                <w:lang w:val="en-US"/>
              </w:rPr>
              <w:t>Trichloroacetic acid</w:t>
            </w:r>
          </w:p>
        </w:tc>
        <w:tc>
          <w:tcPr>
            <w:tcW w:w="3065" w:type="dxa"/>
            <w:tcBorders>
              <w:top w:val="single" w:sz="6" w:space="0" w:color="auto"/>
              <w:left w:val="single" w:sz="6" w:space="0" w:color="auto"/>
              <w:bottom w:val="single" w:sz="6" w:space="0" w:color="auto"/>
              <w:right w:val="single" w:sz="6" w:space="0" w:color="auto"/>
            </w:tcBorders>
            <w:hideMark/>
          </w:tcPr>
          <w:p w14:paraId="008CF6C2" w14:textId="77777777" w:rsidR="00633B0E" w:rsidRPr="00F01347" w:rsidRDefault="00633B0E">
            <w:pPr>
              <w:pStyle w:val="texto0"/>
              <w:spacing w:after="60" w:line="240" w:lineRule="exact"/>
              <w:ind w:firstLine="0"/>
              <w:jc w:val="center"/>
              <w:rPr>
                <w:rFonts w:ascii="Verdana" w:hAnsi="Verdana"/>
                <w:sz w:val="16"/>
                <w:szCs w:val="16"/>
                <w:lang w:val="en-US"/>
              </w:rPr>
            </w:pPr>
            <w:r w:rsidRPr="00F01347">
              <w:rPr>
                <w:rFonts w:ascii="Verdana" w:hAnsi="Verdana"/>
                <w:sz w:val="16"/>
                <w:szCs w:val="16"/>
                <w:lang w:val="en-US"/>
              </w:rPr>
              <w:t>200</w:t>
            </w:r>
          </w:p>
        </w:tc>
        <w:tc>
          <w:tcPr>
            <w:tcW w:w="2543" w:type="dxa"/>
            <w:gridSpan w:val="2"/>
            <w:tcBorders>
              <w:top w:val="single" w:sz="6" w:space="0" w:color="auto"/>
              <w:left w:val="single" w:sz="6" w:space="0" w:color="auto"/>
              <w:bottom w:val="single" w:sz="6" w:space="0" w:color="auto"/>
              <w:right w:val="single" w:sz="6" w:space="0" w:color="auto"/>
            </w:tcBorders>
            <w:hideMark/>
          </w:tcPr>
          <w:p w14:paraId="3AE3138B" w14:textId="77777777" w:rsidR="00633B0E" w:rsidRPr="00F01347" w:rsidRDefault="00633B0E">
            <w:pPr>
              <w:pStyle w:val="texto0"/>
              <w:spacing w:after="60" w:line="240" w:lineRule="exact"/>
              <w:ind w:firstLine="0"/>
              <w:jc w:val="center"/>
              <w:rPr>
                <w:rFonts w:ascii="Verdana" w:hAnsi="Verdana"/>
                <w:sz w:val="16"/>
                <w:szCs w:val="16"/>
                <w:lang w:val="en-US"/>
              </w:rPr>
            </w:pPr>
            <w:r w:rsidRPr="00F01347">
              <w:rPr>
                <w:rFonts w:ascii="Verdana" w:hAnsi="Verdana"/>
                <w:sz w:val="16"/>
                <w:szCs w:val="16"/>
                <w:lang w:val="en-US"/>
              </w:rPr>
              <w:t>µg/L</w:t>
            </w:r>
          </w:p>
        </w:tc>
      </w:tr>
    </w:tbl>
    <w:p w14:paraId="048660DD" w14:textId="77777777" w:rsidR="00633B0E" w:rsidRPr="00F01347" w:rsidRDefault="00633B0E" w:rsidP="00633B0E">
      <w:pPr>
        <w:pStyle w:val="Texto"/>
        <w:rPr>
          <w:rFonts w:ascii="Verdana" w:hAnsi="Verdana"/>
          <w:sz w:val="16"/>
          <w:szCs w:val="16"/>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292B1F66" w14:textId="77777777" w:rsidTr="00745CB1">
        <w:tc>
          <w:tcPr>
            <w:tcW w:w="4675" w:type="dxa"/>
          </w:tcPr>
          <w:p w14:paraId="76710175" w14:textId="63EB56BD" w:rsidR="00204B58" w:rsidRPr="00F01347" w:rsidRDefault="00204B58" w:rsidP="003A601B">
            <w:pPr>
              <w:pStyle w:val="texto0"/>
              <w:spacing w:after="60" w:line="240" w:lineRule="exact"/>
              <w:ind w:firstLine="0"/>
              <w:rPr>
                <w:rFonts w:ascii="Verdana" w:hAnsi="Verdana"/>
                <w:sz w:val="16"/>
                <w:szCs w:val="16"/>
                <w:lang w:val="es-ES_tradnl"/>
              </w:rPr>
            </w:pPr>
            <w:r w:rsidRPr="00F01347">
              <w:rPr>
                <w:rFonts w:ascii="Verdana" w:hAnsi="Verdana"/>
                <w:b/>
                <w:sz w:val="16"/>
                <w:szCs w:val="16"/>
                <w:lang w:val="es-ES_tradnl"/>
              </w:rPr>
              <w:t>5.9.2</w:t>
            </w:r>
            <w:r w:rsidRPr="00F01347">
              <w:rPr>
                <w:rFonts w:ascii="Verdana" w:hAnsi="Verdana"/>
                <w:sz w:val="16"/>
                <w:szCs w:val="16"/>
                <w:lang w:val="es-ES_tradnl"/>
              </w:rPr>
              <w:t xml:space="preserve"> Si el agua se desinfecta con ozono, se deben medir los subproductos de la desinfección: aniones y carbonilos, de conformidad con lo establecido en las Tablas 12 y 13 de esta Norma.</w:t>
            </w:r>
          </w:p>
        </w:tc>
        <w:tc>
          <w:tcPr>
            <w:tcW w:w="4675" w:type="dxa"/>
          </w:tcPr>
          <w:p w14:paraId="6851E781" w14:textId="3D451D4C" w:rsidR="00204B58" w:rsidRPr="00F01347" w:rsidRDefault="00633B0E" w:rsidP="003A601B">
            <w:pPr>
              <w:pStyle w:val="texto0"/>
              <w:spacing w:after="60" w:line="240" w:lineRule="exact"/>
              <w:ind w:firstLine="0"/>
              <w:rPr>
                <w:rFonts w:ascii="Verdana" w:hAnsi="Verdana"/>
                <w:sz w:val="16"/>
                <w:szCs w:val="16"/>
                <w:lang w:val="en-US"/>
              </w:rPr>
            </w:pPr>
            <w:r w:rsidRPr="00F01347">
              <w:rPr>
                <w:rFonts w:ascii="Verdana" w:hAnsi="Verdana"/>
                <w:b/>
                <w:sz w:val="16"/>
                <w:szCs w:val="16"/>
                <w:lang w:val="en-US"/>
              </w:rPr>
              <w:t xml:space="preserve">5.9.2 </w:t>
            </w:r>
            <w:r w:rsidRPr="00F01347">
              <w:rPr>
                <w:rFonts w:ascii="Verdana" w:hAnsi="Verdana"/>
                <w:sz w:val="16"/>
                <w:szCs w:val="16"/>
                <w:lang w:val="en-US"/>
              </w:rPr>
              <w:t>If the water is disinfected with ozone, the byproducts of disinfection must be measured: anions and carbonyls, in accordance with the provisions of Tables 12 and 13 of this Standard.</w:t>
            </w:r>
          </w:p>
        </w:tc>
      </w:tr>
    </w:tbl>
    <w:p w14:paraId="58E0CE83" w14:textId="77777777" w:rsidR="00204B58" w:rsidRPr="00F01347" w:rsidRDefault="00204B58" w:rsidP="003A601B">
      <w:pPr>
        <w:pStyle w:val="texto0"/>
        <w:spacing w:after="60" w:line="240" w:lineRule="exact"/>
        <w:rPr>
          <w:rFonts w:ascii="Verdana" w:hAnsi="Verdana"/>
          <w:sz w:val="16"/>
          <w:szCs w:val="16"/>
          <w:lang w:val="en-US"/>
        </w:rPr>
      </w:pPr>
    </w:p>
    <w:p w14:paraId="3C3F7229" w14:textId="77777777" w:rsidR="00A74CDF" w:rsidRPr="00F01347" w:rsidRDefault="00A74CDF" w:rsidP="003A601B">
      <w:pPr>
        <w:pStyle w:val="texto0"/>
        <w:spacing w:after="80" w:line="240" w:lineRule="exact"/>
        <w:ind w:firstLine="0"/>
        <w:jc w:val="center"/>
        <w:rPr>
          <w:rFonts w:ascii="Verdana" w:hAnsi="Verdana"/>
          <w:sz w:val="16"/>
          <w:szCs w:val="16"/>
        </w:rPr>
      </w:pPr>
      <w:r w:rsidRPr="00F01347">
        <w:rPr>
          <w:rFonts w:ascii="Verdana" w:hAnsi="Verdana"/>
          <w:b/>
          <w:sz w:val="16"/>
          <w:szCs w:val="16"/>
        </w:rPr>
        <w:t xml:space="preserve">Tabla 12 - </w:t>
      </w:r>
      <w:r w:rsidRPr="00F01347">
        <w:rPr>
          <w:rFonts w:ascii="Verdana" w:hAnsi="Verdana"/>
          <w:b/>
          <w:color w:val="000000"/>
          <w:sz w:val="16"/>
          <w:szCs w:val="16"/>
        </w:rPr>
        <w:t xml:space="preserve">Especificaciones sanitarias de subproductos de la desinfección - </w:t>
      </w:r>
      <w:r w:rsidRPr="00F01347">
        <w:rPr>
          <w:rFonts w:ascii="Verdana" w:hAnsi="Verdana"/>
          <w:b/>
          <w:sz w:val="16"/>
          <w:szCs w:val="16"/>
        </w:rPr>
        <w:t>aniones</w:t>
      </w:r>
    </w:p>
    <w:tbl>
      <w:tblPr>
        <w:tblW w:w="8712" w:type="dxa"/>
        <w:jc w:val="center"/>
        <w:tblLayout w:type="fixed"/>
        <w:tblCellMar>
          <w:left w:w="70" w:type="dxa"/>
          <w:right w:w="70" w:type="dxa"/>
        </w:tblCellMar>
        <w:tblLook w:val="0000" w:firstRow="0" w:lastRow="0" w:firstColumn="0" w:lastColumn="0" w:noHBand="0" w:noVBand="0"/>
      </w:tblPr>
      <w:tblGrid>
        <w:gridCol w:w="3102"/>
        <w:gridCol w:w="3065"/>
        <w:gridCol w:w="2545"/>
      </w:tblGrid>
      <w:tr w:rsidR="00A74CDF" w:rsidRPr="00F01347" w14:paraId="51DE1D9D" w14:textId="77777777">
        <w:trPr>
          <w:trHeight w:val="20"/>
          <w:jc w:val="center"/>
        </w:trPr>
        <w:tc>
          <w:tcPr>
            <w:tcW w:w="3102" w:type="dxa"/>
            <w:tcBorders>
              <w:top w:val="single" w:sz="6" w:space="0" w:color="auto"/>
              <w:left w:val="single" w:sz="6" w:space="0" w:color="auto"/>
              <w:bottom w:val="single" w:sz="6" w:space="0" w:color="auto"/>
              <w:right w:val="single" w:sz="6" w:space="0" w:color="auto"/>
            </w:tcBorders>
            <w:noWrap/>
          </w:tcPr>
          <w:p w14:paraId="690B6523" w14:textId="77777777" w:rsidR="00A74CDF" w:rsidRPr="00F01347" w:rsidRDefault="00A74CDF" w:rsidP="003A601B">
            <w:pPr>
              <w:pStyle w:val="texto0"/>
              <w:spacing w:after="80" w:line="240" w:lineRule="exact"/>
              <w:ind w:firstLine="0"/>
              <w:jc w:val="center"/>
              <w:rPr>
                <w:rFonts w:ascii="Verdana" w:hAnsi="Verdana"/>
                <w:b/>
                <w:sz w:val="16"/>
                <w:szCs w:val="16"/>
              </w:rPr>
            </w:pPr>
            <w:r w:rsidRPr="00F01347">
              <w:rPr>
                <w:rFonts w:ascii="Verdana" w:hAnsi="Verdana"/>
                <w:b/>
                <w:color w:val="000000"/>
                <w:sz w:val="16"/>
                <w:szCs w:val="16"/>
              </w:rPr>
              <w:t>Parámetros</w:t>
            </w:r>
          </w:p>
        </w:tc>
        <w:tc>
          <w:tcPr>
            <w:tcW w:w="3065" w:type="dxa"/>
            <w:tcBorders>
              <w:top w:val="single" w:sz="6" w:space="0" w:color="auto"/>
              <w:left w:val="single" w:sz="6" w:space="0" w:color="auto"/>
              <w:bottom w:val="single" w:sz="6" w:space="0" w:color="auto"/>
              <w:right w:val="single" w:sz="6" w:space="0" w:color="auto"/>
            </w:tcBorders>
          </w:tcPr>
          <w:p w14:paraId="7533CC2C" w14:textId="77777777" w:rsidR="00A74CDF" w:rsidRPr="00F01347" w:rsidRDefault="00A74CDF" w:rsidP="003A601B">
            <w:pPr>
              <w:pStyle w:val="texto0"/>
              <w:spacing w:after="80" w:line="240" w:lineRule="exact"/>
              <w:ind w:firstLine="0"/>
              <w:jc w:val="center"/>
              <w:rPr>
                <w:rFonts w:ascii="Verdana" w:hAnsi="Verdana"/>
                <w:b/>
                <w:sz w:val="16"/>
                <w:szCs w:val="16"/>
              </w:rPr>
            </w:pPr>
            <w:r w:rsidRPr="00F01347">
              <w:rPr>
                <w:rFonts w:ascii="Verdana" w:hAnsi="Verdana"/>
                <w:b/>
                <w:color w:val="000000"/>
                <w:sz w:val="16"/>
                <w:szCs w:val="16"/>
              </w:rPr>
              <w:t>Límite permisible</w:t>
            </w:r>
          </w:p>
        </w:tc>
        <w:tc>
          <w:tcPr>
            <w:tcW w:w="2545" w:type="dxa"/>
            <w:tcBorders>
              <w:top w:val="single" w:sz="6" w:space="0" w:color="auto"/>
              <w:left w:val="single" w:sz="6" w:space="0" w:color="auto"/>
              <w:bottom w:val="single" w:sz="6" w:space="0" w:color="auto"/>
              <w:right w:val="single" w:sz="6" w:space="0" w:color="auto"/>
            </w:tcBorders>
          </w:tcPr>
          <w:p w14:paraId="5F2CB9BB" w14:textId="77777777" w:rsidR="00A74CDF" w:rsidRPr="00F01347" w:rsidRDefault="00A74CDF" w:rsidP="003A601B">
            <w:pPr>
              <w:pStyle w:val="texto0"/>
              <w:spacing w:after="80" w:line="240" w:lineRule="exact"/>
              <w:ind w:firstLine="0"/>
              <w:jc w:val="center"/>
              <w:rPr>
                <w:rFonts w:ascii="Verdana" w:hAnsi="Verdana"/>
                <w:b/>
                <w:sz w:val="16"/>
                <w:szCs w:val="16"/>
              </w:rPr>
            </w:pPr>
            <w:r w:rsidRPr="00F01347">
              <w:rPr>
                <w:rFonts w:ascii="Verdana" w:hAnsi="Verdana"/>
                <w:b/>
                <w:color w:val="000000"/>
                <w:sz w:val="16"/>
                <w:szCs w:val="16"/>
              </w:rPr>
              <w:t>Unidades</w:t>
            </w:r>
          </w:p>
        </w:tc>
      </w:tr>
      <w:tr w:rsidR="00A74CDF" w:rsidRPr="00F01347" w14:paraId="6AE233E3" w14:textId="77777777">
        <w:trPr>
          <w:trHeight w:val="20"/>
          <w:jc w:val="center"/>
        </w:trPr>
        <w:tc>
          <w:tcPr>
            <w:tcW w:w="3102" w:type="dxa"/>
            <w:tcBorders>
              <w:top w:val="single" w:sz="6" w:space="0" w:color="auto"/>
              <w:left w:val="single" w:sz="6" w:space="0" w:color="auto"/>
              <w:bottom w:val="single" w:sz="6" w:space="0" w:color="auto"/>
              <w:right w:val="single" w:sz="6" w:space="0" w:color="auto"/>
            </w:tcBorders>
          </w:tcPr>
          <w:p w14:paraId="5122F257" w14:textId="77777777" w:rsidR="00A74CDF" w:rsidRPr="00F01347" w:rsidRDefault="00A74CDF" w:rsidP="003A601B">
            <w:pPr>
              <w:pStyle w:val="texto0"/>
              <w:spacing w:after="80" w:line="240" w:lineRule="exact"/>
              <w:ind w:firstLine="0"/>
              <w:rPr>
                <w:rFonts w:ascii="Verdana" w:hAnsi="Verdana"/>
                <w:sz w:val="16"/>
                <w:szCs w:val="16"/>
              </w:rPr>
            </w:pPr>
            <w:r w:rsidRPr="00F01347">
              <w:rPr>
                <w:rFonts w:ascii="Verdana" w:hAnsi="Verdana"/>
                <w:sz w:val="16"/>
                <w:szCs w:val="16"/>
              </w:rPr>
              <w:t>Bromatos</w:t>
            </w:r>
          </w:p>
        </w:tc>
        <w:tc>
          <w:tcPr>
            <w:tcW w:w="3065" w:type="dxa"/>
            <w:tcBorders>
              <w:top w:val="single" w:sz="6" w:space="0" w:color="auto"/>
              <w:left w:val="single" w:sz="6" w:space="0" w:color="auto"/>
              <w:bottom w:val="single" w:sz="6" w:space="0" w:color="auto"/>
              <w:right w:val="single" w:sz="6" w:space="0" w:color="auto"/>
            </w:tcBorders>
          </w:tcPr>
          <w:p w14:paraId="44B7D96F" w14:textId="77777777" w:rsidR="00A74CDF" w:rsidRPr="00F01347" w:rsidRDefault="00A74CDF" w:rsidP="003A601B">
            <w:pPr>
              <w:pStyle w:val="texto0"/>
              <w:spacing w:after="80" w:line="240" w:lineRule="exact"/>
              <w:ind w:firstLine="0"/>
              <w:jc w:val="center"/>
              <w:rPr>
                <w:rFonts w:ascii="Verdana" w:hAnsi="Verdana"/>
                <w:sz w:val="16"/>
                <w:szCs w:val="16"/>
              </w:rPr>
            </w:pPr>
            <w:r w:rsidRPr="00F01347">
              <w:rPr>
                <w:rFonts w:ascii="Verdana" w:hAnsi="Verdana"/>
                <w:sz w:val="16"/>
                <w:szCs w:val="16"/>
              </w:rPr>
              <w:t>10</w:t>
            </w:r>
          </w:p>
        </w:tc>
        <w:tc>
          <w:tcPr>
            <w:tcW w:w="2545" w:type="dxa"/>
            <w:tcBorders>
              <w:top w:val="single" w:sz="6" w:space="0" w:color="auto"/>
              <w:left w:val="single" w:sz="6" w:space="0" w:color="auto"/>
              <w:bottom w:val="single" w:sz="6" w:space="0" w:color="auto"/>
              <w:right w:val="single" w:sz="6" w:space="0" w:color="auto"/>
            </w:tcBorders>
          </w:tcPr>
          <w:p w14:paraId="5C1D4B64" w14:textId="77777777" w:rsidR="00A74CDF" w:rsidRPr="00F01347" w:rsidRDefault="00A74CDF" w:rsidP="003A601B">
            <w:pPr>
              <w:pStyle w:val="texto0"/>
              <w:spacing w:after="80" w:line="240"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39E4E818" w14:textId="77777777">
        <w:trPr>
          <w:trHeight w:val="20"/>
          <w:jc w:val="center"/>
        </w:trPr>
        <w:tc>
          <w:tcPr>
            <w:tcW w:w="3102" w:type="dxa"/>
            <w:tcBorders>
              <w:top w:val="single" w:sz="6" w:space="0" w:color="auto"/>
              <w:left w:val="single" w:sz="6" w:space="0" w:color="auto"/>
              <w:bottom w:val="single" w:sz="6" w:space="0" w:color="auto"/>
              <w:right w:val="single" w:sz="6" w:space="0" w:color="auto"/>
            </w:tcBorders>
          </w:tcPr>
          <w:p w14:paraId="02ED6F46" w14:textId="77777777" w:rsidR="00A74CDF" w:rsidRPr="00F01347" w:rsidRDefault="00A74CDF" w:rsidP="003A601B">
            <w:pPr>
              <w:pStyle w:val="texto0"/>
              <w:spacing w:after="80" w:line="240" w:lineRule="exact"/>
              <w:ind w:firstLine="0"/>
              <w:rPr>
                <w:rFonts w:ascii="Verdana" w:hAnsi="Verdana"/>
                <w:sz w:val="16"/>
                <w:szCs w:val="16"/>
              </w:rPr>
            </w:pPr>
            <w:r w:rsidRPr="00F01347">
              <w:rPr>
                <w:rFonts w:ascii="Verdana" w:hAnsi="Verdana"/>
                <w:sz w:val="16"/>
                <w:szCs w:val="16"/>
              </w:rPr>
              <w:t>Cloratos</w:t>
            </w:r>
          </w:p>
        </w:tc>
        <w:tc>
          <w:tcPr>
            <w:tcW w:w="3065" w:type="dxa"/>
            <w:tcBorders>
              <w:top w:val="single" w:sz="6" w:space="0" w:color="auto"/>
              <w:left w:val="single" w:sz="6" w:space="0" w:color="auto"/>
              <w:bottom w:val="single" w:sz="6" w:space="0" w:color="auto"/>
              <w:right w:val="single" w:sz="6" w:space="0" w:color="auto"/>
            </w:tcBorders>
          </w:tcPr>
          <w:p w14:paraId="69D281CE" w14:textId="77777777" w:rsidR="00A74CDF" w:rsidRPr="00F01347" w:rsidRDefault="00A74CDF" w:rsidP="003A601B">
            <w:pPr>
              <w:pStyle w:val="texto0"/>
              <w:spacing w:after="80" w:line="240" w:lineRule="exact"/>
              <w:ind w:firstLine="0"/>
              <w:jc w:val="center"/>
              <w:rPr>
                <w:rFonts w:ascii="Verdana" w:hAnsi="Verdana"/>
                <w:sz w:val="16"/>
                <w:szCs w:val="16"/>
              </w:rPr>
            </w:pPr>
            <w:r w:rsidRPr="00F01347">
              <w:rPr>
                <w:rFonts w:ascii="Verdana" w:hAnsi="Verdana"/>
                <w:sz w:val="16"/>
                <w:szCs w:val="16"/>
              </w:rPr>
              <w:t>700</w:t>
            </w:r>
          </w:p>
        </w:tc>
        <w:tc>
          <w:tcPr>
            <w:tcW w:w="2545" w:type="dxa"/>
            <w:tcBorders>
              <w:top w:val="single" w:sz="6" w:space="0" w:color="auto"/>
              <w:left w:val="single" w:sz="6" w:space="0" w:color="auto"/>
              <w:bottom w:val="single" w:sz="6" w:space="0" w:color="auto"/>
              <w:right w:val="single" w:sz="6" w:space="0" w:color="auto"/>
            </w:tcBorders>
          </w:tcPr>
          <w:p w14:paraId="4BCAB093" w14:textId="77777777" w:rsidR="00A74CDF" w:rsidRPr="00F01347" w:rsidRDefault="00A74CDF" w:rsidP="003A601B">
            <w:pPr>
              <w:pStyle w:val="texto0"/>
              <w:spacing w:after="80" w:line="240"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70B3ABEE" w14:textId="77777777">
        <w:trPr>
          <w:trHeight w:val="20"/>
          <w:jc w:val="center"/>
        </w:trPr>
        <w:tc>
          <w:tcPr>
            <w:tcW w:w="3102" w:type="dxa"/>
            <w:tcBorders>
              <w:top w:val="single" w:sz="6" w:space="0" w:color="auto"/>
              <w:left w:val="single" w:sz="6" w:space="0" w:color="auto"/>
              <w:bottom w:val="single" w:sz="6" w:space="0" w:color="auto"/>
              <w:right w:val="single" w:sz="6" w:space="0" w:color="auto"/>
            </w:tcBorders>
          </w:tcPr>
          <w:p w14:paraId="1DA8C1C1" w14:textId="77777777" w:rsidR="00A74CDF" w:rsidRPr="00F01347" w:rsidRDefault="00A74CDF" w:rsidP="003A601B">
            <w:pPr>
              <w:pStyle w:val="texto0"/>
              <w:spacing w:after="80" w:line="240" w:lineRule="exact"/>
              <w:ind w:firstLine="0"/>
              <w:rPr>
                <w:rFonts w:ascii="Verdana" w:hAnsi="Verdana"/>
                <w:sz w:val="16"/>
                <w:szCs w:val="16"/>
              </w:rPr>
            </w:pPr>
            <w:r w:rsidRPr="00F01347">
              <w:rPr>
                <w:rFonts w:ascii="Verdana" w:hAnsi="Verdana"/>
                <w:sz w:val="16"/>
                <w:szCs w:val="16"/>
              </w:rPr>
              <w:t>Cloritos</w:t>
            </w:r>
          </w:p>
        </w:tc>
        <w:tc>
          <w:tcPr>
            <w:tcW w:w="3065" w:type="dxa"/>
            <w:tcBorders>
              <w:top w:val="single" w:sz="6" w:space="0" w:color="auto"/>
              <w:left w:val="single" w:sz="6" w:space="0" w:color="auto"/>
              <w:bottom w:val="single" w:sz="6" w:space="0" w:color="auto"/>
              <w:right w:val="single" w:sz="6" w:space="0" w:color="auto"/>
            </w:tcBorders>
          </w:tcPr>
          <w:p w14:paraId="6E1DC534" w14:textId="77777777" w:rsidR="00A74CDF" w:rsidRPr="00F01347" w:rsidRDefault="00A74CDF" w:rsidP="003A601B">
            <w:pPr>
              <w:pStyle w:val="texto0"/>
              <w:spacing w:after="80" w:line="240" w:lineRule="exact"/>
              <w:ind w:firstLine="0"/>
              <w:jc w:val="center"/>
              <w:rPr>
                <w:rFonts w:ascii="Verdana" w:hAnsi="Verdana"/>
                <w:sz w:val="16"/>
                <w:szCs w:val="16"/>
              </w:rPr>
            </w:pPr>
            <w:r w:rsidRPr="00F01347">
              <w:rPr>
                <w:rFonts w:ascii="Verdana" w:hAnsi="Verdana"/>
                <w:sz w:val="16"/>
                <w:szCs w:val="16"/>
              </w:rPr>
              <w:t>700</w:t>
            </w:r>
          </w:p>
        </w:tc>
        <w:tc>
          <w:tcPr>
            <w:tcW w:w="2545" w:type="dxa"/>
            <w:tcBorders>
              <w:top w:val="single" w:sz="6" w:space="0" w:color="auto"/>
              <w:left w:val="single" w:sz="6" w:space="0" w:color="auto"/>
              <w:bottom w:val="single" w:sz="6" w:space="0" w:color="auto"/>
              <w:right w:val="single" w:sz="6" w:space="0" w:color="auto"/>
            </w:tcBorders>
          </w:tcPr>
          <w:p w14:paraId="07234FA9" w14:textId="77777777" w:rsidR="00A74CDF" w:rsidRPr="00F01347" w:rsidRDefault="00A74CDF" w:rsidP="003A601B">
            <w:pPr>
              <w:pStyle w:val="texto0"/>
              <w:spacing w:after="80" w:line="240" w:lineRule="exact"/>
              <w:ind w:firstLine="0"/>
              <w:jc w:val="center"/>
              <w:rPr>
                <w:rFonts w:ascii="Verdana" w:hAnsi="Verdana"/>
                <w:sz w:val="16"/>
                <w:szCs w:val="16"/>
              </w:rPr>
            </w:pPr>
            <w:r w:rsidRPr="00F01347">
              <w:rPr>
                <w:rFonts w:ascii="Verdana" w:hAnsi="Verdana"/>
                <w:sz w:val="16"/>
                <w:szCs w:val="16"/>
              </w:rPr>
              <w:t>µg/L</w:t>
            </w:r>
          </w:p>
        </w:tc>
      </w:tr>
    </w:tbl>
    <w:p w14:paraId="37D7C9BD" w14:textId="77777777" w:rsidR="00A74CDF" w:rsidRPr="00F01347" w:rsidRDefault="00A74CDF" w:rsidP="003A601B">
      <w:pPr>
        <w:pStyle w:val="Texto"/>
        <w:rPr>
          <w:rFonts w:ascii="Verdana" w:hAnsi="Verdana"/>
          <w:sz w:val="16"/>
          <w:szCs w:val="16"/>
        </w:rPr>
      </w:pPr>
    </w:p>
    <w:p w14:paraId="7E43E3BF" w14:textId="77777777" w:rsidR="00633B0E" w:rsidRPr="00F01347" w:rsidRDefault="00633B0E" w:rsidP="00633B0E">
      <w:pPr>
        <w:pStyle w:val="texto0"/>
        <w:spacing w:after="80" w:line="240" w:lineRule="exact"/>
        <w:ind w:firstLine="0"/>
        <w:jc w:val="center"/>
        <w:rPr>
          <w:rFonts w:ascii="Verdana" w:hAnsi="Verdana"/>
          <w:sz w:val="16"/>
          <w:szCs w:val="16"/>
          <w:lang w:val="en-US"/>
        </w:rPr>
      </w:pPr>
      <w:r w:rsidRPr="00F01347">
        <w:rPr>
          <w:rFonts w:ascii="Verdana" w:hAnsi="Verdana"/>
          <w:b/>
          <w:sz w:val="16"/>
          <w:szCs w:val="16"/>
          <w:lang w:val="en-US"/>
        </w:rPr>
        <w:t xml:space="preserve">Table 12 - </w:t>
      </w:r>
      <w:r w:rsidRPr="00F01347">
        <w:rPr>
          <w:rFonts w:ascii="Verdana" w:hAnsi="Verdana"/>
          <w:b/>
          <w:color w:val="000000"/>
          <w:sz w:val="16"/>
          <w:szCs w:val="16"/>
          <w:lang w:val="en-US"/>
        </w:rPr>
        <w:t xml:space="preserve">Sanitary specifications for disinfection byproducts - </w:t>
      </w:r>
      <w:r w:rsidRPr="00F01347">
        <w:rPr>
          <w:rFonts w:ascii="Verdana" w:hAnsi="Verdana"/>
          <w:b/>
          <w:sz w:val="16"/>
          <w:szCs w:val="16"/>
          <w:lang w:val="en-US"/>
        </w:rPr>
        <w:t>anions</w:t>
      </w:r>
    </w:p>
    <w:tbl>
      <w:tblPr>
        <w:tblW w:w="8715" w:type="dxa"/>
        <w:jc w:val="center"/>
        <w:tblLayout w:type="fixed"/>
        <w:tblCellMar>
          <w:left w:w="70" w:type="dxa"/>
          <w:right w:w="70" w:type="dxa"/>
        </w:tblCellMar>
        <w:tblLook w:val="04A0" w:firstRow="1" w:lastRow="0" w:firstColumn="1" w:lastColumn="0" w:noHBand="0" w:noVBand="1"/>
      </w:tblPr>
      <w:tblGrid>
        <w:gridCol w:w="3103"/>
        <w:gridCol w:w="3066"/>
        <w:gridCol w:w="2546"/>
      </w:tblGrid>
      <w:tr w:rsidR="00633B0E" w:rsidRPr="00F01347" w14:paraId="31A2C417" w14:textId="77777777" w:rsidTr="00633B0E">
        <w:trPr>
          <w:trHeight w:val="20"/>
          <w:jc w:val="center"/>
        </w:trPr>
        <w:tc>
          <w:tcPr>
            <w:tcW w:w="3102" w:type="dxa"/>
            <w:tcBorders>
              <w:top w:val="single" w:sz="6" w:space="0" w:color="auto"/>
              <w:left w:val="single" w:sz="6" w:space="0" w:color="auto"/>
              <w:bottom w:val="single" w:sz="6" w:space="0" w:color="auto"/>
              <w:right w:val="single" w:sz="6" w:space="0" w:color="auto"/>
            </w:tcBorders>
            <w:noWrap/>
            <w:hideMark/>
          </w:tcPr>
          <w:p w14:paraId="0D8504AF" w14:textId="77777777" w:rsidR="00633B0E" w:rsidRPr="00F01347" w:rsidRDefault="00633B0E">
            <w:pPr>
              <w:pStyle w:val="texto0"/>
              <w:spacing w:after="80" w:line="240" w:lineRule="exact"/>
              <w:ind w:firstLine="0"/>
              <w:jc w:val="center"/>
              <w:rPr>
                <w:rFonts w:ascii="Verdana" w:hAnsi="Verdana"/>
                <w:b/>
                <w:sz w:val="16"/>
                <w:szCs w:val="16"/>
                <w:lang w:val="en-US"/>
              </w:rPr>
            </w:pPr>
            <w:r w:rsidRPr="00F01347">
              <w:rPr>
                <w:rFonts w:ascii="Verdana" w:hAnsi="Verdana"/>
                <w:b/>
                <w:color w:val="000000"/>
                <w:sz w:val="16"/>
                <w:szCs w:val="16"/>
                <w:lang w:val="en-US"/>
              </w:rPr>
              <w:t>Parameters</w:t>
            </w:r>
          </w:p>
        </w:tc>
        <w:tc>
          <w:tcPr>
            <w:tcW w:w="3065" w:type="dxa"/>
            <w:tcBorders>
              <w:top w:val="single" w:sz="6" w:space="0" w:color="auto"/>
              <w:left w:val="single" w:sz="6" w:space="0" w:color="auto"/>
              <w:bottom w:val="single" w:sz="6" w:space="0" w:color="auto"/>
              <w:right w:val="single" w:sz="6" w:space="0" w:color="auto"/>
            </w:tcBorders>
            <w:hideMark/>
          </w:tcPr>
          <w:p w14:paraId="43116F70" w14:textId="77777777" w:rsidR="00633B0E" w:rsidRPr="00F01347" w:rsidRDefault="00633B0E">
            <w:pPr>
              <w:pStyle w:val="texto0"/>
              <w:spacing w:after="80" w:line="240" w:lineRule="exact"/>
              <w:ind w:firstLine="0"/>
              <w:jc w:val="center"/>
              <w:rPr>
                <w:rFonts w:ascii="Verdana" w:hAnsi="Verdana"/>
                <w:b/>
                <w:sz w:val="16"/>
                <w:szCs w:val="16"/>
                <w:lang w:val="en-US"/>
              </w:rPr>
            </w:pPr>
            <w:r w:rsidRPr="00F01347">
              <w:rPr>
                <w:rFonts w:ascii="Verdana" w:hAnsi="Verdana"/>
                <w:b/>
                <w:color w:val="000000"/>
                <w:sz w:val="16"/>
                <w:szCs w:val="16"/>
                <w:lang w:val="en-US"/>
              </w:rPr>
              <w:t>Permissible limit</w:t>
            </w:r>
          </w:p>
        </w:tc>
        <w:tc>
          <w:tcPr>
            <w:tcW w:w="2545" w:type="dxa"/>
            <w:tcBorders>
              <w:top w:val="single" w:sz="6" w:space="0" w:color="auto"/>
              <w:left w:val="single" w:sz="6" w:space="0" w:color="auto"/>
              <w:bottom w:val="single" w:sz="6" w:space="0" w:color="auto"/>
              <w:right w:val="single" w:sz="6" w:space="0" w:color="auto"/>
            </w:tcBorders>
            <w:hideMark/>
          </w:tcPr>
          <w:p w14:paraId="0EECE891" w14:textId="77777777" w:rsidR="00633B0E" w:rsidRPr="00F01347" w:rsidRDefault="00633B0E">
            <w:pPr>
              <w:pStyle w:val="texto0"/>
              <w:spacing w:after="80" w:line="240" w:lineRule="exact"/>
              <w:ind w:firstLine="0"/>
              <w:jc w:val="center"/>
              <w:rPr>
                <w:rFonts w:ascii="Verdana" w:hAnsi="Verdana"/>
                <w:b/>
                <w:sz w:val="16"/>
                <w:szCs w:val="16"/>
                <w:lang w:val="en-US"/>
              </w:rPr>
            </w:pPr>
            <w:r w:rsidRPr="00F01347">
              <w:rPr>
                <w:rFonts w:ascii="Verdana" w:hAnsi="Verdana"/>
                <w:b/>
                <w:color w:val="000000"/>
                <w:sz w:val="16"/>
                <w:szCs w:val="16"/>
                <w:lang w:val="en-US"/>
              </w:rPr>
              <w:t>Units</w:t>
            </w:r>
          </w:p>
        </w:tc>
      </w:tr>
      <w:tr w:rsidR="00633B0E" w:rsidRPr="00F01347" w14:paraId="6EB1302B" w14:textId="77777777" w:rsidTr="00633B0E">
        <w:trPr>
          <w:trHeight w:val="20"/>
          <w:jc w:val="center"/>
        </w:trPr>
        <w:tc>
          <w:tcPr>
            <w:tcW w:w="3102" w:type="dxa"/>
            <w:tcBorders>
              <w:top w:val="single" w:sz="6" w:space="0" w:color="auto"/>
              <w:left w:val="single" w:sz="6" w:space="0" w:color="auto"/>
              <w:bottom w:val="single" w:sz="6" w:space="0" w:color="auto"/>
              <w:right w:val="single" w:sz="6" w:space="0" w:color="auto"/>
            </w:tcBorders>
            <w:hideMark/>
          </w:tcPr>
          <w:p w14:paraId="4C496FC9" w14:textId="77777777" w:rsidR="00633B0E" w:rsidRPr="00F01347" w:rsidRDefault="00633B0E">
            <w:pPr>
              <w:pStyle w:val="texto0"/>
              <w:spacing w:after="80" w:line="240" w:lineRule="exact"/>
              <w:ind w:firstLine="0"/>
              <w:rPr>
                <w:rFonts w:ascii="Verdana" w:hAnsi="Verdana"/>
                <w:sz w:val="16"/>
                <w:szCs w:val="16"/>
                <w:lang w:val="en-US"/>
              </w:rPr>
            </w:pPr>
            <w:r w:rsidRPr="00F01347">
              <w:rPr>
                <w:rFonts w:ascii="Verdana" w:hAnsi="Verdana"/>
                <w:sz w:val="16"/>
                <w:szCs w:val="16"/>
                <w:lang w:val="en-US"/>
              </w:rPr>
              <w:t>Bromates</w:t>
            </w:r>
          </w:p>
        </w:tc>
        <w:tc>
          <w:tcPr>
            <w:tcW w:w="3065" w:type="dxa"/>
            <w:tcBorders>
              <w:top w:val="single" w:sz="6" w:space="0" w:color="auto"/>
              <w:left w:val="single" w:sz="6" w:space="0" w:color="auto"/>
              <w:bottom w:val="single" w:sz="6" w:space="0" w:color="auto"/>
              <w:right w:val="single" w:sz="6" w:space="0" w:color="auto"/>
            </w:tcBorders>
            <w:hideMark/>
          </w:tcPr>
          <w:p w14:paraId="38524C29" w14:textId="77777777" w:rsidR="00633B0E" w:rsidRPr="00F01347" w:rsidRDefault="00633B0E">
            <w:pPr>
              <w:pStyle w:val="texto0"/>
              <w:spacing w:after="80" w:line="240" w:lineRule="exact"/>
              <w:ind w:firstLine="0"/>
              <w:jc w:val="center"/>
              <w:rPr>
                <w:rFonts w:ascii="Verdana" w:hAnsi="Verdana"/>
                <w:sz w:val="16"/>
                <w:szCs w:val="16"/>
                <w:lang w:val="en-US"/>
              </w:rPr>
            </w:pPr>
            <w:r w:rsidRPr="00F01347">
              <w:rPr>
                <w:rFonts w:ascii="Verdana" w:hAnsi="Verdana"/>
                <w:sz w:val="16"/>
                <w:szCs w:val="16"/>
                <w:lang w:val="en-US"/>
              </w:rPr>
              <w:t>10</w:t>
            </w:r>
          </w:p>
        </w:tc>
        <w:tc>
          <w:tcPr>
            <w:tcW w:w="2545" w:type="dxa"/>
            <w:tcBorders>
              <w:top w:val="single" w:sz="6" w:space="0" w:color="auto"/>
              <w:left w:val="single" w:sz="6" w:space="0" w:color="auto"/>
              <w:bottom w:val="single" w:sz="6" w:space="0" w:color="auto"/>
              <w:right w:val="single" w:sz="6" w:space="0" w:color="auto"/>
            </w:tcBorders>
            <w:hideMark/>
          </w:tcPr>
          <w:p w14:paraId="48408814" w14:textId="77777777" w:rsidR="00633B0E" w:rsidRPr="00F01347" w:rsidRDefault="00633B0E">
            <w:pPr>
              <w:pStyle w:val="texto0"/>
              <w:spacing w:after="80" w:line="240" w:lineRule="exact"/>
              <w:ind w:firstLine="0"/>
              <w:jc w:val="center"/>
              <w:rPr>
                <w:rFonts w:ascii="Verdana" w:hAnsi="Verdana"/>
                <w:sz w:val="16"/>
                <w:szCs w:val="16"/>
                <w:lang w:val="en-US"/>
              </w:rPr>
            </w:pPr>
            <w:r w:rsidRPr="00F01347">
              <w:rPr>
                <w:rFonts w:ascii="Verdana" w:hAnsi="Verdana"/>
                <w:sz w:val="16"/>
                <w:szCs w:val="16"/>
                <w:lang w:val="en-US"/>
              </w:rPr>
              <w:t>µg/L</w:t>
            </w:r>
          </w:p>
        </w:tc>
      </w:tr>
      <w:tr w:rsidR="00633B0E" w:rsidRPr="00F01347" w14:paraId="2F1E3159" w14:textId="77777777" w:rsidTr="00633B0E">
        <w:trPr>
          <w:trHeight w:val="20"/>
          <w:jc w:val="center"/>
        </w:trPr>
        <w:tc>
          <w:tcPr>
            <w:tcW w:w="3102" w:type="dxa"/>
            <w:tcBorders>
              <w:top w:val="single" w:sz="6" w:space="0" w:color="auto"/>
              <w:left w:val="single" w:sz="6" w:space="0" w:color="auto"/>
              <w:bottom w:val="single" w:sz="6" w:space="0" w:color="auto"/>
              <w:right w:val="single" w:sz="6" w:space="0" w:color="auto"/>
            </w:tcBorders>
            <w:hideMark/>
          </w:tcPr>
          <w:p w14:paraId="1E91D7B6" w14:textId="77777777" w:rsidR="00633B0E" w:rsidRPr="00F01347" w:rsidRDefault="00633B0E">
            <w:pPr>
              <w:pStyle w:val="texto0"/>
              <w:spacing w:after="80" w:line="240" w:lineRule="exact"/>
              <w:ind w:firstLine="0"/>
              <w:rPr>
                <w:rFonts w:ascii="Verdana" w:hAnsi="Verdana"/>
                <w:sz w:val="16"/>
                <w:szCs w:val="16"/>
                <w:lang w:val="en-US"/>
              </w:rPr>
            </w:pPr>
            <w:r w:rsidRPr="00F01347">
              <w:rPr>
                <w:rFonts w:ascii="Verdana" w:hAnsi="Verdana"/>
                <w:sz w:val="16"/>
                <w:szCs w:val="16"/>
                <w:lang w:val="en-US"/>
              </w:rPr>
              <w:t>Chlorates</w:t>
            </w:r>
          </w:p>
        </w:tc>
        <w:tc>
          <w:tcPr>
            <w:tcW w:w="3065" w:type="dxa"/>
            <w:tcBorders>
              <w:top w:val="single" w:sz="6" w:space="0" w:color="auto"/>
              <w:left w:val="single" w:sz="6" w:space="0" w:color="auto"/>
              <w:bottom w:val="single" w:sz="6" w:space="0" w:color="auto"/>
              <w:right w:val="single" w:sz="6" w:space="0" w:color="auto"/>
            </w:tcBorders>
            <w:hideMark/>
          </w:tcPr>
          <w:p w14:paraId="5C0D1EC8" w14:textId="77777777" w:rsidR="00633B0E" w:rsidRPr="00F01347" w:rsidRDefault="00633B0E">
            <w:pPr>
              <w:pStyle w:val="texto0"/>
              <w:spacing w:after="80" w:line="240" w:lineRule="exact"/>
              <w:ind w:firstLine="0"/>
              <w:jc w:val="center"/>
              <w:rPr>
                <w:rFonts w:ascii="Verdana" w:hAnsi="Verdana"/>
                <w:sz w:val="16"/>
                <w:szCs w:val="16"/>
                <w:lang w:val="en-US"/>
              </w:rPr>
            </w:pPr>
            <w:r w:rsidRPr="00F01347">
              <w:rPr>
                <w:rFonts w:ascii="Verdana" w:hAnsi="Verdana"/>
                <w:sz w:val="16"/>
                <w:szCs w:val="16"/>
                <w:lang w:val="en-US"/>
              </w:rPr>
              <w:t>700</w:t>
            </w:r>
          </w:p>
        </w:tc>
        <w:tc>
          <w:tcPr>
            <w:tcW w:w="2545" w:type="dxa"/>
            <w:tcBorders>
              <w:top w:val="single" w:sz="6" w:space="0" w:color="auto"/>
              <w:left w:val="single" w:sz="6" w:space="0" w:color="auto"/>
              <w:bottom w:val="single" w:sz="6" w:space="0" w:color="auto"/>
              <w:right w:val="single" w:sz="6" w:space="0" w:color="auto"/>
            </w:tcBorders>
            <w:hideMark/>
          </w:tcPr>
          <w:p w14:paraId="7E62CB4C" w14:textId="77777777" w:rsidR="00633B0E" w:rsidRPr="00F01347" w:rsidRDefault="00633B0E">
            <w:pPr>
              <w:pStyle w:val="texto0"/>
              <w:spacing w:after="80" w:line="240" w:lineRule="exact"/>
              <w:ind w:firstLine="0"/>
              <w:jc w:val="center"/>
              <w:rPr>
                <w:rFonts w:ascii="Verdana" w:hAnsi="Verdana"/>
                <w:sz w:val="16"/>
                <w:szCs w:val="16"/>
                <w:lang w:val="en-US"/>
              </w:rPr>
            </w:pPr>
            <w:r w:rsidRPr="00F01347">
              <w:rPr>
                <w:rFonts w:ascii="Verdana" w:hAnsi="Verdana"/>
                <w:sz w:val="16"/>
                <w:szCs w:val="16"/>
                <w:lang w:val="en-US"/>
              </w:rPr>
              <w:t>µg/L</w:t>
            </w:r>
          </w:p>
        </w:tc>
      </w:tr>
      <w:tr w:rsidR="00633B0E" w:rsidRPr="00F01347" w14:paraId="031FF04D" w14:textId="77777777" w:rsidTr="00633B0E">
        <w:trPr>
          <w:trHeight w:val="20"/>
          <w:jc w:val="center"/>
        </w:trPr>
        <w:tc>
          <w:tcPr>
            <w:tcW w:w="3102" w:type="dxa"/>
            <w:tcBorders>
              <w:top w:val="single" w:sz="6" w:space="0" w:color="auto"/>
              <w:left w:val="single" w:sz="6" w:space="0" w:color="auto"/>
              <w:bottom w:val="single" w:sz="6" w:space="0" w:color="auto"/>
              <w:right w:val="single" w:sz="6" w:space="0" w:color="auto"/>
            </w:tcBorders>
            <w:hideMark/>
          </w:tcPr>
          <w:p w14:paraId="3457FE39" w14:textId="77777777" w:rsidR="00633B0E" w:rsidRPr="00F01347" w:rsidRDefault="00633B0E">
            <w:pPr>
              <w:pStyle w:val="texto0"/>
              <w:spacing w:after="80" w:line="240" w:lineRule="exact"/>
              <w:ind w:firstLine="0"/>
              <w:rPr>
                <w:rFonts w:ascii="Verdana" w:hAnsi="Verdana"/>
                <w:sz w:val="16"/>
                <w:szCs w:val="16"/>
                <w:lang w:val="en-US"/>
              </w:rPr>
            </w:pPr>
            <w:r w:rsidRPr="00F01347">
              <w:rPr>
                <w:rFonts w:ascii="Verdana" w:hAnsi="Verdana"/>
                <w:sz w:val="16"/>
                <w:szCs w:val="16"/>
                <w:lang w:val="en-US"/>
              </w:rPr>
              <w:t>Chlorites</w:t>
            </w:r>
          </w:p>
        </w:tc>
        <w:tc>
          <w:tcPr>
            <w:tcW w:w="3065" w:type="dxa"/>
            <w:tcBorders>
              <w:top w:val="single" w:sz="6" w:space="0" w:color="auto"/>
              <w:left w:val="single" w:sz="6" w:space="0" w:color="auto"/>
              <w:bottom w:val="single" w:sz="6" w:space="0" w:color="auto"/>
              <w:right w:val="single" w:sz="6" w:space="0" w:color="auto"/>
            </w:tcBorders>
            <w:hideMark/>
          </w:tcPr>
          <w:p w14:paraId="2EC090D9" w14:textId="77777777" w:rsidR="00633B0E" w:rsidRPr="00F01347" w:rsidRDefault="00633B0E">
            <w:pPr>
              <w:pStyle w:val="texto0"/>
              <w:spacing w:after="80" w:line="240" w:lineRule="exact"/>
              <w:ind w:firstLine="0"/>
              <w:jc w:val="center"/>
              <w:rPr>
                <w:rFonts w:ascii="Verdana" w:hAnsi="Verdana"/>
                <w:sz w:val="16"/>
                <w:szCs w:val="16"/>
                <w:lang w:val="en-US"/>
              </w:rPr>
            </w:pPr>
            <w:r w:rsidRPr="00F01347">
              <w:rPr>
                <w:rFonts w:ascii="Verdana" w:hAnsi="Verdana"/>
                <w:sz w:val="16"/>
                <w:szCs w:val="16"/>
                <w:lang w:val="en-US"/>
              </w:rPr>
              <w:t>700</w:t>
            </w:r>
          </w:p>
        </w:tc>
        <w:tc>
          <w:tcPr>
            <w:tcW w:w="2545" w:type="dxa"/>
            <w:tcBorders>
              <w:top w:val="single" w:sz="6" w:space="0" w:color="auto"/>
              <w:left w:val="single" w:sz="6" w:space="0" w:color="auto"/>
              <w:bottom w:val="single" w:sz="6" w:space="0" w:color="auto"/>
              <w:right w:val="single" w:sz="6" w:space="0" w:color="auto"/>
            </w:tcBorders>
            <w:hideMark/>
          </w:tcPr>
          <w:p w14:paraId="2C819AE4" w14:textId="77777777" w:rsidR="00633B0E" w:rsidRPr="00F01347" w:rsidRDefault="00633B0E">
            <w:pPr>
              <w:pStyle w:val="texto0"/>
              <w:spacing w:after="80" w:line="240" w:lineRule="exact"/>
              <w:ind w:firstLine="0"/>
              <w:jc w:val="center"/>
              <w:rPr>
                <w:rFonts w:ascii="Verdana" w:hAnsi="Verdana"/>
                <w:sz w:val="16"/>
                <w:szCs w:val="16"/>
                <w:lang w:val="en-US"/>
              </w:rPr>
            </w:pPr>
            <w:r w:rsidRPr="00F01347">
              <w:rPr>
                <w:rFonts w:ascii="Verdana" w:hAnsi="Verdana"/>
                <w:sz w:val="16"/>
                <w:szCs w:val="16"/>
                <w:lang w:val="en-US"/>
              </w:rPr>
              <w:t>µg/L</w:t>
            </w:r>
          </w:p>
        </w:tc>
      </w:tr>
    </w:tbl>
    <w:p w14:paraId="7B527AC8" w14:textId="77777777" w:rsidR="00633B0E" w:rsidRPr="00F01347" w:rsidRDefault="00633B0E" w:rsidP="00633B0E">
      <w:pPr>
        <w:pStyle w:val="Texto"/>
        <w:rPr>
          <w:rFonts w:ascii="Verdana" w:hAnsi="Verdana"/>
          <w:sz w:val="16"/>
          <w:szCs w:val="16"/>
          <w:lang w:val="es-MX"/>
        </w:rPr>
      </w:pPr>
    </w:p>
    <w:p w14:paraId="6C63304C" w14:textId="77777777" w:rsidR="00A74CDF" w:rsidRPr="00F01347" w:rsidRDefault="00A74CDF" w:rsidP="003A601B">
      <w:pPr>
        <w:pStyle w:val="texto0"/>
        <w:spacing w:after="60" w:line="240" w:lineRule="exact"/>
        <w:ind w:firstLine="0"/>
        <w:jc w:val="center"/>
        <w:rPr>
          <w:rFonts w:ascii="Verdana" w:hAnsi="Verdana"/>
          <w:sz w:val="16"/>
          <w:szCs w:val="16"/>
        </w:rPr>
      </w:pPr>
      <w:r w:rsidRPr="00F01347">
        <w:rPr>
          <w:rFonts w:ascii="Verdana" w:hAnsi="Verdana"/>
          <w:b/>
          <w:sz w:val="16"/>
          <w:szCs w:val="16"/>
        </w:rPr>
        <w:t xml:space="preserve">Tabla 13 - </w:t>
      </w:r>
      <w:r w:rsidRPr="00F01347">
        <w:rPr>
          <w:rFonts w:ascii="Verdana" w:hAnsi="Verdana"/>
          <w:b/>
          <w:color w:val="000000"/>
          <w:sz w:val="16"/>
          <w:szCs w:val="16"/>
        </w:rPr>
        <w:t xml:space="preserve">Especificaciones sanitarias de subproductos de la desinfección - </w:t>
      </w:r>
      <w:r w:rsidRPr="00F01347">
        <w:rPr>
          <w:rFonts w:ascii="Verdana" w:hAnsi="Verdana"/>
          <w:b/>
          <w:sz w:val="16"/>
          <w:szCs w:val="16"/>
        </w:rPr>
        <w:t>carbonilos</w:t>
      </w:r>
    </w:p>
    <w:tbl>
      <w:tblPr>
        <w:tblW w:w="8712" w:type="dxa"/>
        <w:jc w:val="center"/>
        <w:tblCellMar>
          <w:left w:w="70" w:type="dxa"/>
          <w:right w:w="70" w:type="dxa"/>
        </w:tblCellMar>
        <w:tblLook w:val="0000" w:firstRow="0" w:lastRow="0" w:firstColumn="0" w:lastColumn="0" w:noHBand="0" w:noVBand="0"/>
      </w:tblPr>
      <w:tblGrid>
        <w:gridCol w:w="3103"/>
        <w:gridCol w:w="3066"/>
        <w:gridCol w:w="2543"/>
      </w:tblGrid>
      <w:tr w:rsidR="00A74CDF" w:rsidRPr="00F01347" w14:paraId="68B99613" w14:textId="77777777">
        <w:trPr>
          <w:cantSplit/>
          <w:trHeight w:val="20"/>
          <w:jc w:val="center"/>
        </w:trPr>
        <w:tc>
          <w:tcPr>
            <w:tcW w:w="3103" w:type="dxa"/>
            <w:tcBorders>
              <w:top w:val="single" w:sz="6" w:space="0" w:color="auto"/>
              <w:left w:val="single" w:sz="6" w:space="0" w:color="auto"/>
              <w:bottom w:val="single" w:sz="6" w:space="0" w:color="auto"/>
              <w:right w:val="single" w:sz="6" w:space="0" w:color="auto"/>
            </w:tcBorders>
          </w:tcPr>
          <w:p w14:paraId="3440CF3E" w14:textId="77777777" w:rsidR="00A74CDF" w:rsidRPr="00F01347" w:rsidRDefault="00A74CDF" w:rsidP="006A0C4D">
            <w:pPr>
              <w:pStyle w:val="texto0"/>
              <w:spacing w:after="60" w:line="240" w:lineRule="exact"/>
              <w:ind w:firstLine="0"/>
              <w:jc w:val="center"/>
              <w:rPr>
                <w:rFonts w:ascii="Verdana" w:hAnsi="Verdana"/>
                <w:b/>
                <w:sz w:val="16"/>
                <w:szCs w:val="16"/>
              </w:rPr>
            </w:pPr>
            <w:r w:rsidRPr="00F01347">
              <w:rPr>
                <w:rFonts w:ascii="Verdana" w:hAnsi="Verdana"/>
                <w:b/>
                <w:color w:val="000000"/>
                <w:sz w:val="16"/>
                <w:szCs w:val="16"/>
              </w:rPr>
              <w:t>Parámetros</w:t>
            </w:r>
          </w:p>
        </w:tc>
        <w:tc>
          <w:tcPr>
            <w:tcW w:w="3066" w:type="dxa"/>
            <w:tcBorders>
              <w:top w:val="single" w:sz="6" w:space="0" w:color="auto"/>
              <w:left w:val="single" w:sz="6" w:space="0" w:color="auto"/>
              <w:bottom w:val="single" w:sz="6" w:space="0" w:color="auto"/>
              <w:right w:val="single" w:sz="6" w:space="0" w:color="auto"/>
            </w:tcBorders>
          </w:tcPr>
          <w:p w14:paraId="355B4C46" w14:textId="77777777" w:rsidR="00A74CDF" w:rsidRPr="00F01347" w:rsidRDefault="00A74CDF" w:rsidP="006A0C4D">
            <w:pPr>
              <w:pStyle w:val="texto0"/>
              <w:spacing w:after="60" w:line="240" w:lineRule="exact"/>
              <w:ind w:firstLine="0"/>
              <w:jc w:val="center"/>
              <w:rPr>
                <w:rFonts w:ascii="Verdana" w:hAnsi="Verdana"/>
                <w:b/>
                <w:sz w:val="16"/>
                <w:szCs w:val="16"/>
              </w:rPr>
            </w:pPr>
            <w:r w:rsidRPr="00F01347">
              <w:rPr>
                <w:rFonts w:ascii="Verdana" w:hAnsi="Verdana"/>
                <w:b/>
                <w:color w:val="000000"/>
                <w:sz w:val="16"/>
                <w:szCs w:val="16"/>
              </w:rPr>
              <w:t>Límite permisible</w:t>
            </w:r>
          </w:p>
        </w:tc>
        <w:tc>
          <w:tcPr>
            <w:tcW w:w="2543" w:type="dxa"/>
            <w:tcBorders>
              <w:top w:val="single" w:sz="6" w:space="0" w:color="auto"/>
              <w:left w:val="single" w:sz="6" w:space="0" w:color="auto"/>
              <w:bottom w:val="single" w:sz="6" w:space="0" w:color="auto"/>
              <w:right w:val="single" w:sz="6" w:space="0" w:color="auto"/>
            </w:tcBorders>
          </w:tcPr>
          <w:p w14:paraId="0A89EF9A" w14:textId="77777777" w:rsidR="00A74CDF" w:rsidRPr="00F01347" w:rsidRDefault="00A74CDF" w:rsidP="006A0C4D">
            <w:pPr>
              <w:pStyle w:val="texto0"/>
              <w:spacing w:after="60" w:line="240" w:lineRule="exact"/>
              <w:ind w:firstLine="0"/>
              <w:jc w:val="center"/>
              <w:rPr>
                <w:rFonts w:ascii="Verdana" w:hAnsi="Verdana"/>
                <w:b/>
                <w:sz w:val="16"/>
                <w:szCs w:val="16"/>
              </w:rPr>
            </w:pPr>
            <w:r w:rsidRPr="00F01347">
              <w:rPr>
                <w:rFonts w:ascii="Verdana" w:hAnsi="Verdana"/>
                <w:b/>
                <w:color w:val="000000"/>
                <w:sz w:val="16"/>
                <w:szCs w:val="16"/>
              </w:rPr>
              <w:t>Unidades</w:t>
            </w:r>
          </w:p>
        </w:tc>
      </w:tr>
      <w:tr w:rsidR="00A74CDF" w:rsidRPr="00F01347" w14:paraId="700C099D" w14:textId="77777777">
        <w:trPr>
          <w:cantSplit/>
          <w:trHeight w:val="20"/>
          <w:jc w:val="center"/>
        </w:trPr>
        <w:tc>
          <w:tcPr>
            <w:tcW w:w="3103" w:type="dxa"/>
            <w:tcBorders>
              <w:top w:val="single" w:sz="6" w:space="0" w:color="auto"/>
              <w:left w:val="single" w:sz="6" w:space="0" w:color="auto"/>
              <w:bottom w:val="single" w:sz="6" w:space="0" w:color="auto"/>
              <w:right w:val="single" w:sz="6" w:space="0" w:color="auto"/>
            </w:tcBorders>
          </w:tcPr>
          <w:p w14:paraId="32BF3A69" w14:textId="77777777" w:rsidR="00A74CDF" w:rsidRPr="00F01347" w:rsidRDefault="00A74CDF" w:rsidP="006A0C4D">
            <w:pPr>
              <w:pStyle w:val="texto0"/>
              <w:spacing w:after="60" w:line="240" w:lineRule="exact"/>
              <w:ind w:firstLine="0"/>
              <w:rPr>
                <w:rFonts w:ascii="Verdana" w:hAnsi="Verdana"/>
                <w:sz w:val="16"/>
                <w:szCs w:val="16"/>
              </w:rPr>
            </w:pPr>
            <w:r w:rsidRPr="00F01347">
              <w:rPr>
                <w:rFonts w:ascii="Verdana" w:hAnsi="Verdana"/>
                <w:sz w:val="16"/>
                <w:szCs w:val="16"/>
              </w:rPr>
              <w:t>Formaldehído</w:t>
            </w:r>
          </w:p>
        </w:tc>
        <w:tc>
          <w:tcPr>
            <w:tcW w:w="3066" w:type="dxa"/>
            <w:tcBorders>
              <w:top w:val="single" w:sz="6" w:space="0" w:color="auto"/>
              <w:left w:val="single" w:sz="6" w:space="0" w:color="auto"/>
              <w:bottom w:val="single" w:sz="6" w:space="0" w:color="auto"/>
              <w:right w:val="single" w:sz="6" w:space="0" w:color="auto"/>
            </w:tcBorders>
          </w:tcPr>
          <w:p w14:paraId="6D308A03" w14:textId="77777777" w:rsidR="00A74CDF" w:rsidRPr="00F01347" w:rsidRDefault="00A74CDF" w:rsidP="006A0C4D">
            <w:pPr>
              <w:pStyle w:val="texto0"/>
              <w:spacing w:after="60" w:line="240" w:lineRule="exact"/>
              <w:ind w:firstLine="0"/>
              <w:jc w:val="center"/>
              <w:rPr>
                <w:rFonts w:ascii="Verdana" w:hAnsi="Verdana"/>
                <w:sz w:val="16"/>
                <w:szCs w:val="16"/>
              </w:rPr>
            </w:pPr>
            <w:r w:rsidRPr="00F01347">
              <w:rPr>
                <w:rFonts w:ascii="Verdana" w:hAnsi="Verdana"/>
                <w:sz w:val="16"/>
                <w:szCs w:val="16"/>
              </w:rPr>
              <w:t>900</w:t>
            </w:r>
          </w:p>
        </w:tc>
        <w:tc>
          <w:tcPr>
            <w:tcW w:w="2543" w:type="dxa"/>
            <w:tcBorders>
              <w:top w:val="single" w:sz="6" w:space="0" w:color="auto"/>
              <w:left w:val="single" w:sz="6" w:space="0" w:color="auto"/>
              <w:bottom w:val="single" w:sz="6" w:space="0" w:color="auto"/>
              <w:right w:val="single" w:sz="6" w:space="0" w:color="auto"/>
            </w:tcBorders>
          </w:tcPr>
          <w:p w14:paraId="7A2B73F2" w14:textId="77777777" w:rsidR="00A74CDF" w:rsidRPr="00F01347" w:rsidRDefault="00A74CDF" w:rsidP="006A0C4D">
            <w:pPr>
              <w:pStyle w:val="texto0"/>
              <w:spacing w:after="60" w:line="240" w:lineRule="exact"/>
              <w:ind w:firstLine="0"/>
              <w:jc w:val="center"/>
              <w:rPr>
                <w:rFonts w:ascii="Verdana" w:hAnsi="Verdana"/>
                <w:sz w:val="16"/>
                <w:szCs w:val="16"/>
              </w:rPr>
            </w:pPr>
            <w:r w:rsidRPr="00F01347">
              <w:rPr>
                <w:rFonts w:ascii="Verdana" w:hAnsi="Verdana"/>
                <w:sz w:val="16"/>
                <w:szCs w:val="16"/>
              </w:rPr>
              <w:t>µg/L</w:t>
            </w:r>
          </w:p>
        </w:tc>
      </w:tr>
    </w:tbl>
    <w:p w14:paraId="3F8F6F9F" w14:textId="77777777" w:rsidR="00204B58" w:rsidRPr="00F01347" w:rsidRDefault="00204B58" w:rsidP="003A601B">
      <w:pPr>
        <w:pStyle w:val="texto0"/>
        <w:spacing w:after="60" w:line="227" w:lineRule="exact"/>
        <w:rPr>
          <w:rFonts w:ascii="Verdana" w:hAnsi="Verdana"/>
          <w:b/>
          <w:sz w:val="16"/>
          <w:szCs w:val="16"/>
          <w:lang w:val="es-ES_tradnl"/>
        </w:rPr>
      </w:pPr>
    </w:p>
    <w:p w14:paraId="00C17ECF" w14:textId="77777777" w:rsidR="00633B0E" w:rsidRPr="00F01347" w:rsidRDefault="00633B0E" w:rsidP="00633B0E">
      <w:pPr>
        <w:pStyle w:val="texto0"/>
        <w:spacing w:after="60" w:line="240" w:lineRule="exact"/>
        <w:ind w:firstLine="0"/>
        <w:jc w:val="center"/>
        <w:rPr>
          <w:rFonts w:ascii="Verdana" w:hAnsi="Verdana"/>
          <w:sz w:val="16"/>
          <w:szCs w:val="16"/>
          <w:lang w:val="en-US"/>
        </w:rPr>
      </w:pPr>
      <w:r w:rsidRPr="00F01347">
        <w:rPr>
          <w:rFonts w:ascii="Verdana" w:hAnsi="Verdana"/>
          <w:b/>
          <w:sz w:val="16"/>
          <w:szCs w:val="16"/>
          <w:lang w:val="en-US"/>
        </w:rPr>
        <w:lastRenderedPageBreak/>
        <w:t xml:space="preserve">Table 13 - </w:t>
      </w:r>
      <w:r w:rsidRPr="00F01347">
        <w:rPr>
          <w:rFonts w:ascii="Verdana" w:hAnsi="Verdana"/>
          <w:b/>
          <w:color w:val="000000"/>
          <w:sz w:val="16"/>
          <w:szCs w:val="16"/>
          <w:lang w:val="en-US"/>
        </w:rPr>
        <w:t xml:space="preserve">Sanitary specifications of disinfection byproducts - </w:t>
      </w:r>
      <w:r w:rsidRPr="00F01347">
        <w:rPr>
          <w:rFonts w:ascii="Verdana" w:hAnsi="Verdana"/>
          <w:b/>
          <w:sz w:val="16"/>
          <w:szCs w:val="16"/>
          <w:lang w:val="en-US"/>
        </w:rPr>
        <w:t>carbonyls</w:t>
      </w:r>
    </w:p>
    <w:tbl>
      <w:tblPr>
        <w:tblW w:w="8712" w:type="dxa"/>
        <w:jc w:val="center"/>
        <w:tblCellMar>
          <w:left w:w="70" w:type="dxa"/>
          <w:right w:w="70" w:type="dxa"/>
        </w:tblCellMar>
        <w:tblLook w:val="04A0" w:firstRow="1" w:lastRow="0" w:firstColumn="1" w:lastColumn="0" w:noHBand="0" w:noVBand="1"/>
      </w:tblPr>
      <w:tblGrid>
        <w:gridCol w:w="3103"/>
        <w:gridCol w:w="3066"/>
        <w:gridCol w:w="2543"/>
      </w:tblGrid>
      <w:tr w:rsidR="00633B0E" w:rsidRPr="00F01347" w14:paraId="52337CD5" w14:textId="77777777" w:rsidTr="00633B0E">
        <w:trPr>
          <w:cantSplit/>
          <w:trHeight w:val="20"/>
          <w:jc w:val="center"/>
        </w:trPr>
        <w:tc>
          <w:tcPr>
            <w:tcW w:w="3103" w:type="dxa"/>
            <w:tcBorders>
              <w:top w:val="single" w:sz="6" w:space="0" w:color="auto"/>
              <w:left w:val="single" w:sz="6" w:space="0" w:color="auto"/>
              <w:bottom w:val="single" w:sz="6" w:space="0" w:color="auto"/>
              <w:right w:val="single" w:sz="6" w:space="0" w:color="auto"/>
            </w:tcBorders>
            <w:hideMark/>
          </w:tcPr>
          <w:p w14:paraId="1A2A85F2" w14:textId="77777777" w:rsidR="00633B0E" w:rsidRPr="00F01347" w:rsidRDefault="00633B0E">
            <w:pPr>
              <w:pStyle w:val="texto0"/>
              <w:spacing w:after="60" w:line="240" w:lineRule="exact"/>
              <w:ind w:firstLine="0"/>
              <w:jc w:val="center"/>
              <w:rPr>
                <w:rFonts w:ascii="Verdana" w:hAnsi="Verdana"/>
                <w:b/>
                <w:sz w:val="16"/>
                <w:szCs w:val="16"/>
                <w:lang w:val="en-US"/>
              </w:rPr>
            </w:pPr>
            <w:r w:rsidRPr="00F01347">
              <w:rPr>
                <w:rFonts w:ascii="Verdana" w:hAnsi="Verdana"/>
                <w:b/>
                <w:color w:val="000000"/>
                <w:sz w:val="16"/>
                <w:szCs w:val="16"/>
                <w:lang w:val="en-US"/>
              </w:rPr>
              <w:t>Parameters</w:t>
            </w:r>
          </w:p>
        </w:tc>
        <w:tc>
          <w:tcPr>
            <w:tcW w:w="3066" w:type="dxa"/>
            <w:tcBorders>
              <w:top w:val="single" w:sz="6" w:space="0" w:color="auto"/>
              <w:left w:val="single" w:sz="6" w:space="0" w:color="auto"/>
              <w:bottom w:val="single" w:sz="6" w:space="0" w:color="auto"/>
              <w:right w:val="single" w:sz="6" w:space="0" w:color="auto"/>
            </w:tcBorders>
            <w:hideMark/>
          </w:tcPr>
          <w:p w14:paraId="6C6157F9" w14:textId="77777777" w:rsidR="00633B0E" w:rsidRPr="00F01347" w:rsidRDefault="00633B0E">
            <w:pPr>
              <w:pStyle w:val="texto0"/>
              <w:spacing w:after="60" w:line="240" w:lineRule="exact"/>
              <w:ind w:firstLine="0"/>
              <w:jc w:val="center"/>
              <w:rPr>
                <w:rFonts w:ascii="Verdana" w:hAnsi="Verdana"/>
                <w:b/>
                <w:sz w:val="16"/>
                <w:szCs w:val="16"/>
                <w:lang w:val="en-US"/>
              </w:rPr>
            </w:pPr>
            <w:r w:rsidRPr="00F01347">
              <w:rPr>
                <w:rFonts w:ascii="Verdana" w:hAnsi="Verdana"/>
                <w:b/>
                <w:color w:val="000000"/>
                <w:sz w:val="16"/>
                <w:szCs w:val="16"/>
                <w:lang w:val="en-US"/>
              </w:rPr>
              <w:t>Permissible limit</w:t>
            </w:r>
          </w:p>
        </w:tc>
        <w:tc>
          <w:tcPr>
            <w:tcW w:w="2543" w:type="dxa"/>
            <w:tcBorders>
              <w:top w:val="single" w:sz="6" w:space="0" w:color="auto"/>
              <w:left w:val="single" w:sz="6" w:space="0" w:color="auto"/>
              <w:bottom w:val="single" w:sz="6" w:space="0" w:color="auto"/>
              <w:right w:val="single" w:sz="6" w:space="0" w:color="auto"/>
            </w:tcBorders>
            <w:hideMark/>
          </w:tcPr>
          <w:p w14:paraId="6D78E699" w14:textId="77777777" w:rsidR="00633B0E" w:rsidRPr="00F01347" w:rsidRDefault="00633B0E">
            <w:pPr>
              <w:pStyle w:val="texto0"/>
              <w:spacing w:after="60" w:line="240" w:lineRule="exact"/>
              <w:ind w:firstLine="0"/>
              <w:jc w:val="center"/>
              <w:rPr>
                <w:rFonts w:ascii="Verdana" w:hAnsi="Verdana"/>
                <w:b/>
                <w:sz w:val="16"/>
                <w:szCs w:val="16"/>
                <w:lang w:val="en-US"/>
              </w:rPr>
            </w:pPr>
            <w:r w:rsidRPr="00F01347">
              <w:rPr>
                <w:rFonts w:ascii="Verdana" w:hAnsi="Verdana"/>
                <w:b/>
                <w:color w:val="000000"/>
                <w:sz w:val="16"/>
                <w:szCs w:val="16"/>
                <w:lang w:val="en-US"/>
              </w:rPr>
              <w:t>Units</w:t>
            </w:r>
          </w:p>
        </w:tc>
      </w:tr>
      <w:tr w:rsidR="00633B0E" w:rsidRPr="00F01347" w14:paraId="08E2542B" w14:textId="77777777" w:rsidTr="00633B0E">
        <w:trPr>
          <w:cantSplit/>
          <w:trHeight w:val="20"/>
          <w:jc w:val="center"/>
        </w:trPr>
        <w:tc>
          <w:tcPr>
            <w:tcW w:w="3103" w:type="dxa"/>
            <w:tcBorders>
              <w:top w:val="single" w:sz="6" w:space="0" w:color="auto"/>
              <w:left w:val="single" w:sz="6" w:space="0" w:color="auto"/>
              <w:bottom w:val="single" w:sz="6" w:space="0" w:color="auto"/>
              <w:right w:val="single" w:sz="6" w:space="0" w:color="auto"/>
            </w:tcBorders>
            <w:hideMark/>
          </w:tcPr>
          <w:p w14:paraId="1C48DDF5" w14:textId="77777777" w:rsidR="00633B0E" w:rsidRPr="00F01347" w:rsidRDefault="00633B0E">
            <w:pPr>
              <w:pStyle w:val="texto0"/>
              <w:spacing w:after="60" w:line="240" w:lineRule="exact"/>
              <w:ind w:firstLine="0"/>
              <w:rPr>
                <w:rFonts w:ascii="Verdana" w:hAnsi="Verdana"/>
                <w:sz w:val="16"/>
                <w:szCs w:val="16"/>
                <w:lang w:val="en-US"/>
              </w:rPr>
            </w:pPr>
            <w:r w:rsidRPr="00F01347">
              <w:rPr>
                <w:rFonts w:ascii="Verdana" w:hAnsi="Verdana"/>
                <w:sz w:val="16"/>
                <w:szCs w:val="16"/>
                <w:lang w:val="en-US"/>
              </w:rPr>
              <w:t>Formaldehyde</w:t>
            </w:r>
          </w:p>
        </w:tc>
        <w:tc>
          <w:tcPr>
            <w:tcW w:w="3066" w:type="dxa"/>
            <w:tcBorders>
              <w:top w:val="single" w:sz="6" w:space="0" w:color="auto"/>
              <w:left w:val="single" w:sz="6" w:space="0" w:color="auto"/>
              <w:bottom w:val="single" w:sz="6" w:space="0" w:color="auto"/>
              <w:right w:val="single" w:sz="6" w:space="0" w:color="auto"/>
            </w:tcBorders>
            <w:hideMark/>
          </w:tcPr>
          <w:p w14:paraId="3277CD08" w14:textId="77777777" w:rsidR="00633B0E" w:rsidRPr="00F01347" w:rsidRDefault="00633B0E">
            <w:pPr>
              <w:pStyle w:val="texto0"/>
              <w:spacing w:after="60" w:line="240" w:lineRule="exact"/>
              <w:ind w:firstLine="0"/>
              <w:jc w:val="center"/>
              <w:rPr>
                <w:rFonts w:ascii="Verdana" w:hAnsi="Verdana"/>
                <w:sz w:val="16"/>
                <w:szCs w:val="16"/>
                <w:lang w:val="en-US"/>
              </w:rPr>
            </w:pPr>
            <w:r w:rsidRPr="00F01347">
              <w:rPr>
                <w:rFonts w:ascii="Verdana" w:hAnsi="Verdana"/>
                <w:sz w:val="16"/>
                <w:szCs w:val="16"/>
                <w:lang w:val="en-US"/>
              </w:rPr>
              <w:t>900</w:t>
            </w:r>
          </w:p>
        </w:tc>
        <w:tc>
          <w:tcPr>
            <w:tcW w:w="2543" w:type="dxa"/>
            <w:tcBorders>
              <w:top w:val="single" w:sz="6" w:space="0" w:color="auto"/>
              <w:left w:val="single" w:sz="6" w:space="0" w:color="auto"/>
              <w:bottom w:val="single" w:sz="6" w:space="0" w:color="auto"/>
              <w:right w:val="single" w:sz="6" w:space="0" w:color="auto"/>
            </w:tcBorders>
            <w:hideMark/>
          </w:tcPr>
          <w:p w14:paraId="39017B42" w14:textId="77777777" w:rsidR="00633B0E" w:rsidRPr="00F01347" w:rsidRDefault="00633B0E">
            <w:pPr>
              <w:pStyle w:val="texto0"/>
              <w:spacing w:after="60" w:line="240" w:lineRule="exact"/>
              <w:ind w:firstLine="0"/>
              <w:jc w:val="center"/>
              <w:rPr>
                <w:rFonts w:ascii="Verdana" w:hAnsi="Verdana"/>
                <w:sz w:val="16"/>
                <w:szCs w:val="16"/>
                <w:lang w:val="en-US"/>
              </w:rPr>
            </w:pPr>
            <w:r w:rsidRPr="00F01347">
              <w:rPr>
                <w:rFonts w:ascii="Verdana" w:hAnsi="Verdana"/>
                <w:sz w:val="16"/>
                <w:szCs w:val="16"/>
                <w:lang w:val="en-US"/>
              </w:rPr>
              <w:t>µg/L</w:t>
            </w:r>
          </w:p>
        </w:tc>
      </w:tr>
    </w:tbl>
    <w:p w14:paraId="140DA6F4" w14:textId="77777777" w:rsidR="00633B0E" w:rsidRPr="00F01347" w:rsidRDefault="00633B0E" w:rsidP="003A601B">
      <w:pPr>
        <w:pStyle w:val="texto0"/>
        <w:spacing w:after="60" w:line="227" w:lineRule="exact"/>
        <w:rPr>
          <w:rFonts w:ascii="Verdana" w:hAnsi="Verdana"/>
          <w:b/>
          <w:sz w:val="16"/>
          <w:szCs w:val="16"/>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6086D21D" w14:textId="77777777" w:rsidTr="00564CCB">
        <w:tc>
          <w:tcPr>
            <w:tcW w:w="4675" w:type="dxa"/>
          </w:tcPr>
          <w:p w14:paraId="38C76FC4" w14:textId="488EB8C3" w:rsidR="00204B58" w:rsidRPr="00F01347" w:rsidRDefault="00204B58" w:rsidP="00204B58">
            <w:pPr>
              <w:pStyle w:val="texto0"/>
              <w:spacing w:after="60" w:line="227" w:lineRule="exact"/>
              <w:ind w:firstLine="0"/>
              <w:rPr>
                <w:rFonts w:ascii="Verdana" w:hAnsi="Verdana"/>
                <w:sz w:val="16"/>
                <w:szCs w:val="16"/>
                <w:lang w:val="es-ES_tradnl"/>
              </w:rPr>
            </w:pPr>
            <w:r w:rsidRPr="00F01347">
              <w:rPr>
                <w:rFonts w:ascii="Verdana" w:hAnsi="Verdana"/>
                <w:b/>
                <w:sz w:val="16"/>
                <w:szCs w:val="16"/>
                <w:lang w:val="es-ES_tradnl"/>
              </w:rPr>
              <w:t>5.10</w:t>
            </w:r>
            <w:r w:rsidRPr="00F01347">
              <w:rPr>
                <w:rFonts w:ascii="Verdana" w:hAnsi="Verdana"/>
                <w:sz w:val="16"/>
                <w:szCs w:val="16"/>
                <w:lang w:val="es-ES_tradnl"/>
              </w:rPr>
              <w:t xml:space="preserve"> Compuestos orgánicos sintéticos:</w:t>
            </w:r>
          </w:p>
        </w:tc>
        <w:tc>
          <w:tcPr>
            <w:tcW w:w="4675" w:type="dxa"/>
          </w:tcPr>
          <w:p w14:paraId="56178CF1" w14:textId="08343BE7" w:rsidR="00204B58" w:rsidRPr="00F01347" w:rsidRDefault="00633B0E" w:rsidP="003A601B">
            <w:pPr>
              <w:pStyle w:val="texto0"/>
              <w:spacing w:after="60" w:line="227" w:lineRule="exact"/>
              <w:ind w:firstLine="0"/>
              <w:rPr>
                <w:rFonts w:ascii="Verdana" w:hAnsi="Verdana"/>
                <w:b/>
                <w:sz w:val="16"/>
                <w:szCs w:val="16"/>
                <w:lang w:val="en-US"/>
              </w:rPr>
            </w:pPr>
            <w:r w:rsidRPr="00F01347">
              <w:rPr>
                <w:rFonts w:ascii="Verdana" w:hAnsi="Verdana"/>
                <w:b/>
                <w:sz w:val="16"/>
                <w:szCs w:val="16"/>
                <w:lang w:val="en-US"/>
              </w:rPr>
              <w:t xml:space="preserve">5.10 </w:t>
            </w:r>
            <w:r w:rsidRPr="00F01347">
              <w:rPr>
                <w:rFonts w:ascii="Verdana" w:hAnsi="Verdana"/>
                <w:sz w:val="16"/>
                <w:szCs w:val="16"/>
                <w:lang w:val="en-US"/>
              </w:rPr>
              <w:t>Synthetic organic compounds:</w:t>
            </w:r>
          </w:p>
        </w:tc>
      </w:tr>
    </w:tbl>
    <w:p w14:paraId="073FDF6A" w14:textId="77777777" w:rsidR="00204B58" w:rsidRPr="00F01347" w:rsidRDefault="00204B58" w:rsidP="003A601B">
      <w:pPr>
        <w:pStyle w:val="texto0"/>
        <w:spacing w:after="60" w:line="227" w:lineRule="exact"/>
        <w:rPr>
          <w:rFonts w:ascii="Verdana" w:hAnsi="Verdana"/>
          <w:b/>
          <w:sz w:val="16"/>
          <w:szCs w:val="16"/>
          <w:lang w:val="es-ES_tradnl"/>
        </w:rPr>
      </w:pPr>
    </w:p>
    <w:p w14:paraId="7763078F" w14:textId="77777777" w:rsidR="00A74CDF" w:rsidRPr="00F01347" w:rsidRDefault="00A74CDF" w:rsidP="003A601B">
      <w:pPr>
        <w:pStyle w:val="texto0"/>
        <w:spacing w:after="60" w:line="227" w:lineRule="exact"/>
        <w:ind w:firstLine="0"/>
        <w:jc w:val="center"/>
        <w:rPr>
          <w:rFonts w:ascii="Verdana" w:hAnsi="Verdana"/>
          <w:b/>
          <w:sz w:val="16"/>
          <w:szCs w:val="16"/>
        </w:rPr>
      </w:pPr>
      <w:r w:rsidRPr="00F01347">
        <w:rPr>
          <w:rFonts w:ascii="Verdana" w:hAnsi="Verdana"/>
          <w:b/>
          <w:sz w:val="16"/>
          <w:szCs w:val="16"/>
        </w:rPr>
        <w:t xml:space="preserve">Tabla 14 - </w:t>
      </w:r>
      <w:r w:rsidRPr="00F01347">
        <w:rPr>
          <w:rFonts w:ascii="Verdana" w:hAnsi="Verdana"/>
          <w:b/>
          <w:color w:val="000000"/>
          <w:sz w:val="16"/>
          <w:szCs w:val="16"/>
        </w:rPr>
        <w:t>Especificaciones sanitarias de compuestos orgánicos sintéticos</w:t>
      </w:r>
    </w:p>
    <w:tbl>
      <w:tblPr>
        <w:tblW w:w="8712" w:type="dxa"/>
        <w:jc w:val="center"/>
        <w:tblLayout w:type="fixed"/>
        <w:tblCellMar>
          <w:left w:w="72" w:type="dxa"/>
          <w:right w:w="72" w:type="dxa"/>
        </w:tblCellMar>
        <w:tblLook w:val="0000" w:firstRow="0" w:lastRow="0" w:firstColumn="0" w:lastColumn="0" w:noHBand="0" w:noVBand="0"/>
      </w:tblPr>
      <w:tblGrid>
        <w:gridCol w:w="2365"/>
        <w:gridCol w:w="3150"/>
        <w:gridCol w:w="1754"/>
        <w:gridCol w:w="1443"/>
      </w:tblGrid>
      <w:tr w:rsidR="00A74CDF" w:rsidRPr="00F01347" w14:paraId="22936925" w14:textId="77777777">
        <w:trPr>
          <w:trHeight w:val="20"/>
          <w:jc w:val="center"/>
        </w:trPr>
        <w:tc>
          <w:tcPr>
            <w:tcW w:w="5515" w:type="dxa"/>
            <w:gridSpan w:val="2"/>
            <w:tcBorders>
              <w:top w:val="single" w:sz="6" w:space="0" w:color="auto"/>
              <w:left w:val="single" w:sz="6" w:space="0" w:color="auto"/>
              <w:bottom w:val="single" w:sz="6" w:space="0" w:color="auto"/>
              <w:right w:val="single" w:sz="6" w:space="0" w:color="auto"/>
            </w:tcBorders>
            <w:noWrap/>
            <w:vAlign w:val="center"/>
          </w:tcPr>
          <w:p w14:paraId="2D25E8E5" w14:textId="77777777" w:rsidR="00A74CDF" w:rsidRPr="00F01347" w:rsidRDefault="00A74CDF" w:rsidP="003A601B">
            <w:pPr>
              <w:pStyle w:val="texto0"/>
              <w:spacing w:after="60" w:line="227" w:lineRule="exact"/>
              <w:ind w:firstLine="0"/>
              <w:jc w:val="center"/>
              <w:rPr>
                <w:rFonts w:ascii="Verdana" w:hAnsi="Verdana"/>
                <w:b/>
                <w:sz w:val="16"/>
                <w:szCs w:val="16"/>
              </w:rPr>
            </w:pPr>
            <w:r w:rsidRPr="00F01347">
              <w:rPr>
                <w:rFonts w:ascii="Verdana" w:hAnsi="Verdana"/>
                <w:b/>
                <w:color w:val="000000"/>
                <w:sz w:val="16"/>
                <w:szCs w:val="16"/>
              </w:rPr>
              <w:t>Parámetros</w:t>
            </w:r>
          </w:p>
        </w:tc>
        <w:tc>
          <w:tcPr>
            <w:tcW w:w="1754" w:type="dxa"/>
            <w:tcBorders>
              <w:top w:val="single" w:sz="6" w:space="0" w:color="auto"/>
              <w:left w:val="single" w:sz="6" w:space="0" w:color="auto"/>
              <w:bottom w:val="single" w:sz="6" w:space="0" w:color="auto"/>
              <w:right w:val="single" w:sz="6" w:space="0" w:color="auto"/>
            </w:tcBorders>
            <w:vAlign w:val="center"/>
          </w:tcPr>
          <w:p w14:paraId="22645B0E" w14:textId="77777777" w:rsidR="00A74CDF" w:rsidRPr="00F01347" w:rsidRDefault="00A74CDF" w:rsidP="003A601B">
            <w:pPr>
              <w:pStyle w:val="texto0"/>
              <w:spacing w:after="60" w:line="227" w:lineRule="exact"/>
              <w:ind w:firstLine="0"/>
              <w:jc w:val="center"/>
              <w:rPr>
                <w:rFonts w:ascii="Verdana" w:hAnsi="Verdana"/>
                <w:b/>
                <w:sz w:val="16"/>
                <w:szCs w:val="16"/>
              </w:rPr>
            </w:pPr>
            <w:r w:rsidRPr="00F01347">
              <w:rPr>
                <w:rFonts w:ascii="Verdana" w:hAnsi="Verdana"/>
                <w:b/>
                <w:color w:val="000000"/>
                <w:sz w:val="16"/>
                <w:szCs w:val="16"/>
              </w:rPr>
              <w:t>Límite permisible</w:t>
            </w:r>
          </w:p>
        </w:tc>
        <w:tc>
          <w:tcPr>
            <w:tcW w:w="1443" w:type="dxa"/>
            <w:tcBorders>
              <w:top w:val="single" w:sz="6" w:space="0" w:color="auto"/>
              <w:left w:val="single" w:sz="6" w:space="0" w:color="auto"/>
              <w:bottom w:val="single" w:sz="6" w:space="0" w:color="auto"/>
              <w:right w:val="single" w:sz="6" w:space="0" w:color="auto"/>
            </w:tcBorders>
            <w:vAlign w:val="center"/>
          </w:tcPr>
          <w:p w14:paraId="7F05F4F5" w14:textId="77777777" w:rsidR="00A74CDF" w:rsidRPr="00F01347" w:rsidRDefault="00A74CDF" w:rsidP="003A601B">
            <w:pPr>
              <w:pStyle w:val="texto0"/>
              <w:spacing w:after="60" w:line="227" w:lineRule="exact"/>
              <w:ind w:firstLine="0"/>
              <w:jc w:val="center"/>
              <w:rPr>
                <w:rFonts w:ascii="Verdana" w:hAnsi="Verdana"/>
                <w:b/>
                <w:sz w:val="16"/>
                <w:szCs w:val="16"/>
              </w:rPr>
            </w:pPr>
            <w:r w:rsidRPr="00F01347">
              <w:rPr>
                <w:rFonts w:ascii="Verdana" w:hAnsi="Verdana"/>
                <w:b/>
                <w:color w:val="000000"/>
                <w:sz w:val="16"/>
                <w:szCs w:val="16"/>
              </w:rPr>
              <w:t>Unidades</w:t>
            </w:r>
          </w:p>
        </w:tc>
      </w:tr>
      <w:tr w:rsidR="00A74CDF" w:rsidRPr="00F01347" w14:paraId="719CE2E0" w14:textId="77777777">
        <w:trPr>
          <w:trHeight w:val="20"/>
          <w:jc w:val="center"/>
        </w:trPr>
        <w:tc>
          <w:tcPr>
            <w:tcW w:w="5515" w:type="dxa"/>
            <w:gridSpan w:val="2"/>
            <w:tcBorders>
              <w:top w:val="single" w:sz="6" w:space="0" w:color="auto"/>
              <w:left w:val="single" w:sz="6" w:space="0" w:color="auto"/>
              <w:bottom w:val="single" w:sz="6" w:space="0" w:color="auto"/>
              <w:right w:val="single" w:sz="6" w:space="0" w:color="auto"/>
            </w:tcBorders>
            <w:vAlign w:val="center"/>
          </w:tcPr>
          <w:p w14:paraId="0C3579F3" w14:textId="77777777" w:rsidR="00A74CDF" w:rsidRPr="00F01347" w:rsidRDefault="00A74CDF" w:rsidP="003A601B">
            <w:pPr>
              <w:pStyle w:val="texto0"/>
              <w:spacing w:after="60" w:line="227" w:lineRule="exact"/>
              <w:ind w:firstLine="0"/>
              <w:rPr>
                <w:rFonts w:ascii="Verdana" w:hAnsi="Verdana"/>
                <w:sz w:val="16"/>
                <w:szCs w:val="16"/>
              </w:rPr>
            </w:pPr>
            <w:r w:rsidRPr="00F01347">
              <w:rPr>
                <w:rFonts w:ascii="Verdana" w:hAnsi="Verdana"/>
                <w:sz w:val="16"/>
                <w:szCs w:val="16"/>
              </w:rPr>
              <w:t xml:space="preserve">Compuestos orgánicos halogenados </w:t>
            </w:r>
            <w:proofErr w:type="spellStart"/>
            <w:r w:rsidRPr="00F01347">
              <w:rPr>
                <w:rFonts w:ascii="Verdana" w:hAnsi="Verdana"/>
                <w:sz w:val="16"/>
                <w:szCs w:val="16"/>
              </w:rPr>
              <w:t>adsorbibles</w:t>
            </w:r>
            <w:proofErr w:type="spellEnd"/>
            <w:r w:rsidRPr="00F01347">
              <w:rPr>
                <w:rFonts w:ascii="Verdana" w:hAnsi="Verdana"/>
                <w:sz w:val="16"/>
                <w:szCs w:val="16"/>
              </w:rPr>
              <w:t xml:space="preserve"> fijos</w:t>
            </w:r>
          </w:p>
        </w:tc>
        <w:tc>
          <w:tcPr>
            <w:tcW w:w="1754" w:type="dxa"/>
            <w:tcBorders>
              <w:top w:val="single" w:sz="6" w:space="0" w:color="auto"/>
              <w:left w:val="single" w:sz="6" w:space="0" w:color="auto"/>
              <w:bottom w:val="single" w:sz="6" w:space="0" w:color="auto"/>
              <w:right w:val="single" w:sz="6" w:space="0" w:color="auto"/>
            </w:tcBorders>
            <w:vAlign w:val="center"/>
          </w:tcPr>
          <w:p w14:paraId="7A941A05"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0.01</w:t>
            </w:r>
          </w:p>
        </w:tc>
        <w:tc>
          <w:tcPr>
            <w:tcW w:w="1443" w:type="dxa"/>
            <w:tcBorders>
              <w:top w:val="single" w:sz="6" w:space="0" w:color="auto"/>
              <w:left w:val="single" w:sz="6" w:space="0" w:color="auto"/>
              <w:bottom w:val="single" w:sz="6" w:space="0" w:color="auto"/>
              <w:right w:val="single" w:sz="6" w:space="0" w:color="auto"/>
            </w:tcBorders>
            <w:vAlign w:val="center"/>
          </w:tcPr>
          <w:p w14:paraId="1EB71B3E"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mg/L</w:t>
            </w:r>
          </w:p>
        </w:tc>
      </w:tr>
      <w:tr w:rsidR="00A74CDF" w:rsidRPr="00F01347" w14:paraId="03D5273B" w14:textId="77777777">
        <w:trPr>
          <w:trHeight w:val="20"/>
          <w:jc w:val="center"/>
        </w:trPr>
        <w:tc>
          <w:tcPr>
            <w:tcW w:w="5515" w:type="dxa"/>
            <w:gridSpan w:val="2"/>
            <w:tcBorders>
              <w:top w:val="single" w:sz="6" w:space="0" w:color="auto"/>
              <w:left w:val="single" w:sz="6" w:space="0" w:color="auto"/>
              <w:bottom w:val="single" w:sz="6" w:space="0" w:color="auto"/>
              <w:right w:val="single" w:sz="6" w:space="0" w:color="auto"/>
            </w:tcBorders>
            <w:vAlign w:val="center"/>
          </w:tcPr>
          <w:p w14:paraId="2AB8A4E9" w14:textId="77777777" w:rsidR="00A74CDF" w:rsidRPr="00F01347" w:rsidRDefault="00A74CDF" w:rsidP="003A601B">
            <w:pPr>
              <w:pStyle w:val="texto0"/>
              <w:spacing w:after="60" w:line="227" w:lineRule="exact"/>
              <w:ind w:firstLine="0"/>
              <w:rPr>
                <w:rFonts w:ascii="Verdana" w:hAnsi="Verdana"/>
                <w:sz w:val="16"/>
                <w:szCs w:val="16"/>
              </w:rPr>
            </w:pPr>
            <w:r w:rsidRPr="00F01347">
              <w:rPr>
                <w:rFonts w:ascii="Verdana" w:hAnsi="Verdana"/>
                <w:sz w:val="16"/>
                <w:szCs w:val="16"/>
              </w:rPr>
              <w:t>Compuestos orgánicos no halogenados</w:t>
            </w:r>
          </w:p>
        </w:tc>
        <w:tc>
          <w:tcPr>
            <w:tcW w:w="1754" w:type="dxa"/>
            <w:tcBorders>
              <w:top w:val="single" w:sz="6" w:space="0" w:color="auto"/>
              <w:left w:val="single" w:sz="6" w:space="0" w:color="auto"/>
              <w:bottom w:val="single" w:sz="6" w:space="0" w:color="auto"/>
              <w:right w:val="single" w:sz="6" w:space="0" w:color="auto"/>
            </w:tcBorders>
            <w:vAlign w:val="center"/>
          </w:tcPr>
          <w:p w14:paraId="089B4A1A"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0.025</w:t>
            </w:r>
          </w:p>
        </w:tc>
        <w:tc>
          <w:tcPr>
            <w:tcW w:w="1443" w:type="dxa"/>
            <w:tcBorders>
              <w:top w:val="single" w:sz="6" w:space="0" w:color="auto"/>
              <w:left w:val="single" w:sz="6" w:space="0" w:color="auto"/>
              <w:bottom w:val="single" w:sz="6" w:space="0" w:color="auto"/>
              <w:right w:val="single" w:sz="6" w:space="0" w:color="auto"/>
            </w:tcBorders>
            <w:vAlign w:val="center"/>
          </w:tcPr>
          <w:p w14:paraId="4876778D"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mg/L</w:t>
            </w:r>
          </w:p>
        </w:tc>
      </w:tr>
      <w:tr w:rsidR="00A74CDF" w:rsidRPr="00F01347" w14:paraId="33BF4EB3" w14:textId="77777777">
        <w:trPr>
          <w:trHeight w:val="20"/>
          <w:jc w:val="center"/>
        </w:trPr>
        <w:tc>
          <w:tcPr>
            <w:tcW w:w="5515" w:type="dxa"/>
            <w:gridSpan w:val="2"/>
            <w:tcBorders>
              <w:top w:val="single" w:sz="6" w:space="0" w:color="auto"/>
              <w:left w:val="single" w:sz="6" w:space="0" w:color="auto"/>
              <w:bottom w:val="single" w:sz="6" w:space="0" w:color="auto"/>
              <w:right w:val="single" w:sz="6" w:space="0" w:color="auto"/>
            </w:tcBorders>
            <w:vAlign w:val="center"/>
          </w:tcPr>
          <w:p w14:paraId="234EAF18" w14:textId="77777777" w:rsidR="00A74CDF" w:rsidRPr="00F01347" w:rsidRDefault="00A74CDF" w:rsidP="003A601B">
            <w:pPr>
              <w:pStyle w:val="texto0"/>
              <w:spacing w:after="60" w:line="227" w:lineRule="exact"/>
              <w:ind w:firstLine="0"/>
              <w:rPr>
                <w:rFonts w:ascii="Verdana" w:hAnsi="Verdana"/>
                <w:sz w:val="16"/>
                <w:szCs w:val="16"/>
              </w:rPr>
            </w:pPr>
            <w:r w:rsidRPr="00F01347">
              <w:rPr>
                <w:rFonts w:ascii="Verdana" w:hAnsi="Verdana"/>
                <w:sz w:val="16"/>
                <w:szCs w:val="16"/>
              </w:rPr>
              <w:t xml:space="preserve">Compuestos orgánicos halogenados </w:t>
            </w:r>
            <w:proofErr w:type="spellStart"/>
            <w:r w:rsidRPr="00F01347">
              <w:rPr>
                <w:rFonts w:ascii="Verdana" w:hAnsi="Verdana"/>
                <w:sz w:val="16"/>
                <w:szCs w:val="16"/>
              </w:rPr>
              <w:t>adsorbibles</w:t>
            </w:r>
            <w:proofErr w:type="spellEnd"/>
            <w:r w:rsidRPr="00F01347">
              <w:rPr>
                <w:rFonts w:ascii="Verdana" w:hAnsi="Verdana"/>
                <w:sz w:val="16"/>
                <w:szCs w:val="16"/>
              </w:rPr>
              <w:t xml:space="preserve"> purgables</w:t>
            </w:r>
          </w:p>
        </w:tc>
        <w:tc>
          <w:tcPr>
            <w:tcW w:w="1754" w:type="dxa"/>
            <w:tcBorders>
              <w:top w:val="single" w:sz="6" w:space="0" w:color="auto"/>
              <w:left w:val="single" w:sz="6" w:space="0" w:color="auto"/>
              <w:bottom w:val="single" w:sz="6" w:space="0" w:color="auto"/>
              <w:right w:val="single" w:sz="6" w:space="0" w:color="auto"/>
            </w:tcBorders>
            <w:vAlign w:val="center"/>
          </w:tcPr>
          <w:p w14:paraId="1C9FE916"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0.005</w:t>
            </w:r>
          </w:p>
        </w:tc>
        <w:tc>
          <w:tcPr>
            <w:tcW w:w="1443" w:type="dxa"/>
            <w:tcBorders>
              <w:top w:val="single" w:sz="6" w:space="0" w:color="auto"/>
              <w:left w:val="single" w:sz="6" w:space="0" w:color="auto"/>
              <w:bottom w:val="single" w:sz="6" w:space="0" w:color="auto"/>
              <w:right w:val="single" w:sz="6" w:space="0" w:color="auto"/>
            </w:tcBorders>
            <w:vAlign w:val="center"/>
          </w:tcPr>
          <w:p w14:paraId="3DBDC1C4"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mg/L</w:t>
            </w:r>
          </w:p>
        </w:tc>
      </w:tr>
      <w:tr w:rsidR="00A74CDF" w:rsidRPr="00F01347" w14:paraId="5808D42C" w14:textId="77777777">
        <w:trPr>
          <w:trHeight w:val="20"/>
          <w:jc w:val="center"/>
        </w:trPr>
        <w:tc>
          <w:tcPr>
            <w:tcW w:w="2365" w:type="dxa"/>
            <w:vMerge w:val="restart"/>
            <w:tcBorders>
              <w:top w:val="single" w:sz="6" w:space="0" w:color="auto"/>
              <w:left w:val="single" w:sz="6" w:space="0" w:color="auto"/>
              <w:right w:val="single" w:sz="6" w:space="0" w:color="auto"/>
            </w:tcBorders>
            <w:vAlign w:val="center"/>
          </w:tcPr>
          <w:p w14:paraId="4D3B0257"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Compuestos orgánicos volátiles no halogenados</w:t>
            </w:r>
          </w:p>
        </w:tc>
        <w:tc>
          <w:tcPr>
            <w:tcW w:w="3150" w:type="dxa"/>
            <w:tcBorders>
              <w:top w:val="single" w:sz="6" w:space="0" w:color="auto"/>
              <w:left w:val="single" w:sz="6" w:space="0" w:color="auto"/>
              <w:bottom w:val="single" w:sz="6" w:space="0" w:color="auto"/>
              <w:right w:val="single" w:sz="6" w:space="0" w:color="auto"/>
            </w:tcBorders>
            <w:vAlign w:val="center"/>
          </w:tcPr>
          <w:p w14:paraId="6BD5B139"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Benceno</w:t>
            </w:r>
          </w:p>
        </w:tc>
        <w:tc>
          <w:tcPr>
            <w:tcW w:w="1754" w:type="dxa"/>
            <w:tcBorders>
              <w:top w:val="single" w:sz="6" w:space="0" w:color="auto"/>
              <w:left w:val="single" w:sz="6" w:space="0" w:color="auto"/>
              <w:bottom w:val="single" w:sz="6" w:space="0" w:color="auto"/>
              <w:right w:val="single" w:sz="6" w:space="0" w:color="auto"/>
            </w:tcBorders>
            <w:vAlign w:val="center"/>
          </w:tcPr>
          <w:p w14:paraId="7FFCCDF1"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10</w:t>
            </w:r>
          </w:p>
        </w:tc>
        <w:tc>
          <w:tcPr>
            <w:tcW w:w="1443" w:type="dxa"/>
            <w:tcBorders>
              <w:top w:val="single" w:sz="6" w:space="0" w:color="auto"/>
              <w:left w:val="single" w:sz="6" w:space="0" w:color="auto"/>
              <w:bottom w:val="single" w:sz="6" w:space="0" w:color="auto"/>
              <w:right w:val="single" w:sz="6" w:space="0" w:color="auto"/>
            </w:tcBorders>
            <w:vAlign w:val="center"/>
          </w:tcPr>
          <w:p w14:paraId="207588AB"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6539B6F6" w14:textId="77777777">
        <w:trPr>
          <w:trHeight w:val="20"/>
          <w:jc w:val="center"/>
        </w:trPr>
        <w:tc>
          <w:tcPr>
            <w:tcW w:w="2365" w:type="dxa"/>
            <w:vMerge/>
            <w:tcBorders>
              <w:left w:val="single" w:sz="6" w:space="0" w:color="auto"/>
              <w:right w:val="single" w:sz="6" w:space="0" w:color="auto"/>
            </w:tcBorders>
            <w:vAlign w:val="center"/>
          </w:tcPr>
          <w:p w14:paraId="65C083D5" w14:textId="77777777" w:rsidR="00A74CDF" w:rsidRPr="00F01347" w:rsidRDefault="00A74CDF" w:rsidP="003A601B">
            <w:pPr>
              <w:pStyle w:val="texto0"/>
              <w:spacing w:after="60" w:line="227" w:lineRule="exact"/>
              <w:ind w:firstLine="0"/>
              <w:jc w:val="center"/>
              <w:rPr>
                <w:rFonts w:ascii="Verdana" w:hAnsi="Verdana"/>
                <w:sz w:val="16"/>
                <w:szCs w:val="16"/>
              </w:rPr>
            </w:pPr>
          </w:p>
        </w:tc>
        <w:tc>
          <w:tcPr>
            <w:tcW w:w="3150" w:type="dxa"/>
            <w:tcBorders>
              <w:top w:val="single" w:sz="6" w:space="0" w:color="auto"/>
              <w:left w:val="single" w:sz="6" w:space="0" w:color="auto"/>
              <w:bottom w:val="single" w:sz="6" w:space="0" w:color="auto"/>
              <w:right w:val="single" w:sz="6" w:space="0" w:color="auto"/>
            </w:tcBorders>
            <w:vAlign w:val="center"/>
          </w:tcPr>
          <w:p w14:paraId="258E7924"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Estireno</w:t>
            </w:r>
          </w:p>
        </w:tc>
        <w:tc>
          <w:tcPr>
            <w:tcW w:w="1754" w:type="dxa"/>
            <w:tcBorders>
              <w:top w:val="single" w:sz="6" w:space="0" w:color="auto"/>
              <w:left w:val="single" w:sz="6" w:space="0" w:color="auto"/>
              <w:bottom w:val="single" w:sz="6" w:space="0" w:color="auto"/>
              <w:right w:val="single" w:sz="6" w:space="0" w:color="auto"/>
            </w:tcBorders>
            <w:vAlign w:val="center"/>
          </w:tcPr>
          <w:p w14:paraId="65CA3018"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20</w:t>
            </w:r>
          </w:p>
        </w:tc>
        <w:tc>
          <w:tcPr>
            <w:tcW w:w="1443" w:type="dxa"/>
            <w:tcBorders>
              <w:top w:val="single" w:sz="6" w:space="0" w:color="auto"/>
              <w:left w:val="single" w:sz="6" w:space="0" w:color="auto"/>
              <w:bottom w:val="single" w:sz="6" w:space="0" w:color="auto"/>
              <w:right w:val="single" w:sz="6" w:space="0" w:color="auto"/>
            </w:tcBorders>
            <w:vAlign w:val="center"/>
          </w:tcPr>
          <w:p w14:paraId="18A3F6A4"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3DEC819B" w14:textId="77777777">
        <w:trPr>
          <w:trHeight w:val="20"/>
          <w:jc w:val="center"/>
        </w:trPr>
        <w:tc>
          <w:tcPr>
            <w:tcW w:w="2365" w:type="dxa"/>
            <w:vMerge/>
            <w:tcBorders>
              <w:left w:val="single" w:sz="6" w:space="0" w:color="auto"/>
              <w:right w:val="single" w:sz="6" w:space="0" w:color="auto"/>
            </w:tcBorders>
            <w:vAlign w:val="center"/>
          </w:tcPr>
          <w:p w14:paraId="722CDCD9" w14:textId="77777777" w:rsidR="00A74CDF" w:rsidRPr="00F01347" w:rsidRDefault="00A74CDF" w:rsidP="003A601B">
            <w:pPr>
              <w:pStyle w:val="texto0"/>
              <w:spacing w:after="60" w:line="227" w:lineRule="exact"/>
              <w:ind w:firstLine="0"/>
              <w:jc w:val="center"/>
              <w:rPr>
                <w:rFonts w:ascii="Verdana" w:hAnsi="Verdana"/>
                <w:sz w:val="16"/>
                <w:szCs w:val="16"/>
              </w:rPr>
            </w:pPr>
          </w:p>
        </w:tc>
        <w:tc>
          <w:tcPr>
            <w:tcW w:w="3150" w:type="dxa"/>
            <w:tcBorders>
              <w:top w:val="single" w:sz="6" w:space="0" w:color="auto"/>
              <w:left w:val="single" w:sz="6" w:space="0" w:color="auto"/>
              <w:bottom w:val="single" w:sz="6" w:space="0" w:color="auto"/>
              <w:right w:val="single" w:sz="6" w:space="0" w:color="auto"/>
            </w:tcBorders>
            <w:vAlign w:val="center"/>
          </w:tcPr>
          <w:p w14:paraId="3E2156BC"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Etilbenceno</w:t>
            </w:r>
          </w:p>
        </w:tc>
        <w:tc>
          <w:tcPr>
            <w:tcW w:w="1754" w:type="dxa"/>
            <w:tcBorders>
              <w:top w:val="single" w:sz="6" w:space="0" w:color="auto"/>
              <w:left w:val="single" w:sz="6" w:space="0" w:color="auto"/>
              <w:bottom w:val="single" w:sz="6" w:space="0" w:color="auto"/>
              <w:right w:val="single" w:sz="6" w:space="0" w:color="auto"/>
            </w:tcBorders>
            <w:vAlign w:val="center"/>
          </w:tcPr>
          <w:p w14:paraId="20094556"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300</w:t>
            </w:r>
          </w:p>
        </w:tc>
        <w:tc>
          <w:tcPr>
            <w:tcW w:w="1443" w:type="dxa"/>
            <w:tcBorders>
              <w:top w:val="single" w:sz="6" w:space="0" w:color="auto"/>
              <w:left w:val="single" w:sz="6" w:space="0" w:color="auto"/>
              <w:bottom w:val="single" w:sz="6" w:space="0" w:color="auto"/>
              <w:right w:val="single" w:sz="6" w:space="0" w:color="auto"/>
            </w:tcBorders>
            <w:vAlign w:val="center"/>
          </w:tcPr>
          <w:p w14:paraId="1EB5C252"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3434600C" w14:textId="77777777">
        <w:trPr>
          <w:trHeight w:val="20"/>
          <w:jc w:val="center"/>
        </w:trPr>
        <w:tc>
          <w:tcPr>
            <w:tcW w:w="2365" w:type="dxa"/>
            <w:vMerge/>
            <w:tcBorders>
              <w:left w:val="single" w:sz="6" w:space="0" w:color="auto"/>
              <w:right w:val="single" w:sz="6" w:space="0" w:color="auto"/>
            </w:tcBorders>
            <w:vAlign w:val="center"/>
          </w:tcPr>
          <w:p w14:paraId="3534EB87" w14:textId="77777777" w:rsidR="00A74CDF" w:rsidRPr="00F01347" w:rsidRDefault="00A74CDF" w:rsidP="003A601B">
            <w:pPr>
              <w:pStyle w:val="texto0"/>
              <w:spacing w:after="60" w:line="227" w:lineRule="exact"/>
              <w:ind w:firstLine="0"/>
              <w:jc w:val="center"/>
              <w:rPr>
                <w:rFonts w:ascii="Verdana" w:hAnsi="Verdana"/>
                <w:sz w:val="16"/>
                <w:szCs w:val="16"/>
              </w:rPr>
            </w:pPr>
          </w:p>
        </w:tc>
        <w:tc>
          <w:tcPr>
            <w:tcW w:w="3150" w:type="dxa"/>
            <w:tcBorders>
              <w:top w:val="single" w:sz="6" w:space="0" w:color="auto"/>
              <w:left w:val="single" w:sz="6" w:space="0" w:color="auto"/>
              <w:bottom w:val="single" w:sz="6" w:space="0" w:color="auto"/>
              <w:right w:val="single" w:sz="6" w:space="0" w:color="auto"/>
            </w:tcBorders>
            <w:vAlign w:val="center"/>
          </w:tcPr>
          <w:p w14:paraId="4A3C7A2D"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Tolueno</w:t>
            </w:r>
          </w:p>
        </w:tc>
        <w:tc>
          <w:tcPr>
            <w:tcW w:w="1754" w:type="dxa"/>
            <w:tcBorders>
              <w:top w:val="single" w:sz="6" w:space="0" w:color="auto"/>
              <w:left w:val="single" w:sz="6" w:space="0" w:color="auto"/>
              <w:bottom w:val="single" w:sz="6" w:space="0" w:color="auto"/>
              <w:right w:val="single" w:sz="6" w:space="0" w:color="auto"/>
            </w:tcBorders>
            <w:vAlign w:val="center"/>
          </w:tcPr>
          <w:p w14:paraId="0D27EBEA"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700</w:t>
            </w:r>
          </w:p>
        </w:tc>
        <w:tc>
          <w:tcPr>
            <w:tcW w:w="1443" w:type="dxa"/>
            <w:tcBorders>
              <w:top w:val="single" w:sz="6" w:space="0" w:color="auto"/>
              <w:left w:val="single" w:sz="6" w:space="0" w:color="auto"/>
              <w:bottom w:val="single" w:sz="6" w:space="0" w:color="auto"/>
              <w:right w:val="single" w:sz="6" w:space="0" w:color="auto"/>
            </w:tcBorders>
            <w:vAlign w:val="center"/>
          </w:tcPr>
          <w:p w14:paraId="4F922222"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4CC631F6" w14:textId="77777777">
        <w:trPr>
          <w:trHeight w:val="20"/>
          <w:jc w:val="center"/>
        </w:trPr>
        <w:tc>
          <w:tcPr>
            <w:tcW w:w="2365" w:type="dxa"/>
            <w:vMerge/>
            <w:tcBorders>
              <w:left w:val="single" w:sz="6" w:space="0" w:color="auto"/>
              <w:bottom w:val="single" w:sz="6" w:space="0" w:color="auto"/>
              <w:right w:val="single" w:sz="6" w:space="0" w:color="auto"/>
            </w:tcBorders>
            <w:vAlign w:val="center"/>
          </w:tcPr>
          <w:p w14:paraId="58558333" w14:textId="77777777" w:rsidR="00A74CDF" w:rsidRPr="00F01347" w:rsidRDefault="00A74CDF" w:rsidP="003A601B">
            <w:pPr>
              <w:pStyle w:val="texto0"/>
              <w:spacing w:after="60" w:line="227" w:lineRule="exact"/>
              <w:ind w:firstLine="0"/>
              <w:jc w:val="center"/>
              <w:rPr>
                <w:rFonts w:ascii="Verdana" w:hAnsi="Verdana"/>
                <w:sz w:val="16"/>
                <w:szCs w:val="16"/>
              </w:rPr>
            </w:pPr>
          </w:p>
        </w:tc>
        <w:tc>
          <w:tcPr>
            <w:tcW w:w="3150" w:type="dxa"/>
            <w:tcBorders>
              <w:top w:val="single" w:sz="6" w:space="0" w:color="auto"/>
              <w:left w:val="single" w:sz="6" w:space="0" w:color="auto"/>
              <w:bottom w:val="single" w:sz="6" w:space="0" w:color="auto"/>
              <w:right w:val="single" w:sz="6" w:space="0" w:color="auto"/>
            </w:tcBorders>
            <w:vAlign w:val="center"/>
          </w:tcPr>
          <w:p w14:paraId="6397295F"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Xilenos</w:t>
            </w:r>
          </w:p>
          <w:p w14:paraId="391B064B"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 xml:space="preserve">(suma de </w:t>
            </w:r>
            <w:proofErr w:type="gramStart"/>
            <w:r w:rsidRPr="00F01347">
              <w:rPr>
                <w:rFonts w:ascii="Verdana" w:hAnsi="Verdana"/>
                <w:sz w:val="16"/>
                <w:szCs w:val="16"/>
              </w:rPr>
              <w:t>isómeros orto</w:t>
            </w:r>
            <w:proofErr w:type="gramEnd"/>
            <w:r w:rsidRPr="00F01347">
              <w:rPr>
                <w:rFonts w:ascii="Verdana" w:hAnsi="Verdana"/>
                <w:sz w:val="16"/>
                <w:szCs w:val="16"/>
              </w:rPr>
              <w:t>, meta y para)</w:t>
            </w:r>
          </w:p>
        </w:tc>
        <w:tc>
          <w:tcPr>
            <w:tcW w:w="1754" w:type="dxa"/>
            <w:tcBorders>
              <w:top w:val="single" w:sz="6" w:space="0" w:color="auto"/>
              <w:left w:val="single" w:sz="6" w:space="0" w:color="auto"/>
              <w:bottom w:val="single" w:sz="6" w:space="0" w:color="auto"/>
              <w:right w:val="single" w:sz="6" w:space="0" w:color="auto"/>
            </w:tcBorders>
            <w:vAlign w:val="center"/>
          </w:tcPr>
          <w:p w14:paraId="5CCD2A7C"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500</w:t>
            </w:r>
          </w:p>
        </w:tc>
        <w:tc>
          <w:tcPr>
            <w:tcW w:w="1443" w:type="dxa"/>
            <w:tcBorders>
              <w:top w:val="single" w:sz="6" w:space="0" w:color="auto"/>
              <w:left w:val="single" w:sz="6" w:space="0" w:color="auto"/>
              <w:bottom w:val="single" w:sz="6" w:space="0" w:color="auto"/>
              <w:right w:val="single" w:sz="6" w:space="0" w:color="auto"/>
            </w:tcBorders>
            <w:vAlign w:val="center"/>
          </w:tcPr>
          <w:p w14:paraId="45E3BC93" w14:textId="77777777" w:rsidR="00A74CDF" w:rsidRPr="00F01347" w:rsidRDefault="00A74CDF" w:rsidP="003A601B">
            <w:pPr>
              <w:pStyle w:val="texto0"/>
              <w:spacing w:after="60" w:line="227" w:lineRule="exact"/>
              <w:ind w:firstLine="0"/>
              <w:jc w:val="center"/>
              <w:rPr>
                <w:rFonts w:ascii="Verdana" w:hAnsi="Verdana"/>
                <w:sz w:val="16"/>
                <w:szCs w:val="16"/>
              </w:rPr>
            </w:pPr>
            <w:r w:rsidRPr="00F01347">
              <w:rPr>
                <w:rFonts w:ascii="Verdana" w:hAnsi="Verdana"/>
                <w:sz w:val="16"/>
                <w:szCs w:val="16"/>
              </w:rPr>
              <w:t>µg/L</w:t>
            </w:r>
          </w:p>
        </w:tc>
      </w:tr>
    </w:tbl>
    <w:p w14:paraId="6A778D0C" w14:textId="77777777" w:rsidR="00A74CDF" w:rsidRPr="00F01347" w:rsidRDefault="00A74CDF" w:rsidP="003A601B">
      <w:pPr>
        <w:pStyle w:val="texto0"/>
        <w:spacing w:after="60" w:line="227" w:lineRule="exact"/>
        <w:rPr>
          <w:rFonts w:ascii="Verdana" w:hAnsi="Verdana"/>
          <w:b/>
          <w:sz w:val="16"/>
          <w:szCs w:val="16"/>
          <w:lang w:val="es-ES_tradnl"/>
        </w:rPr>
      </w:pPr>
    </w:p>
    <w:p w14:paraId="11172493" w14:textId="77777777" w:rsidR="00633B0E" w:rsidRPr="00F01347" w:rsidRDefault="00633B0E" w:rsidP="00633B0E">
      <w:pPr>
        <w:pStyle w:val="texto0"/>
        <w:spacing w:after="60" w:line="227" w:lineRule="exact"/>
        <w:ind w:firstLine="0"/>
        <w:jc w:val="center"/>
        <w:rPr>
          <w:rFonts w:ascii="Verdana" w:hAnsi="Verdana"/>
          <w:b/>
          <w:sz w:val="16"/>
          <w:szCs w:val="16"/>
          <w:lang w:val="en-US"/>
        </w:rPr>
      </w:pPr>
      <w:r w:rsidRPr="00F01347">
        <w:rPr>
          <w:rFonts w:ascii="Verdana" w:hAnsi="Verdana"/>
          <w:b/>
          <w:sz w:val="16"/>
          <w:szCs w:val="16"/>
          <w:lang w:val="en-US"/>
        </w:rPr>
        <w:t xml:space="preserve">Table 14 - </w:t>
      </w:r>
      <w:r w:rsidRPr="00F01347">
        <w:rPr>
          <w:rFonts w:ascii="Verdana" w:hAnsi="Verdana"/>
          <w:b/>
          <w:color w:val="000000"/>
          <w:sz w:val="16"/>
          <w:szCs w:val="16"/>
          <w:lang w:val="en-US"/>
        </w:rPr>
        <w:t>Sanitary specifications of synthetic organic compounds</w:t>
      </w:r>
    </w:p>
    <w:tbl>
      <w:tblPr>
        <w:tblW w:w="8715" w:type="dxa"/>
        <w:jc w:val="center"/>
        <w:tblLayout w:type="fixed"/>
        <w:tblCellMar>
          <w:left w:w="72" w:type="dxa"/>
          <w:right w:w="72" w:type="dxa"/>
        </w:tblCellMar>
        <w:tblLook w:val="04A0" w:firstRow="1" w:lastRow="0" w:firstColumn="1" w:lastColumn="0" w:noHBand="0" w:noVBand="1"/>
      </w:tblPr>
      <w:tblGrid>
        <w:gridCol w:w="2366"/>
        <w:gridCol w:w="3151"/>
        <w:gridCol w:w="1755"/>
        <w:gridCol w:w="1443"/>
      </w:tblGrid>
      <w:tr w:rsidR="00633B0E" w:rsidRPr="00F01347" w14:paraId="0F5F996E" w14:textId="77777777" w:rsidTr="00633B0E">
        <w:trPr>
          <w:trHeight w:val="20"/>
          <w:jc w:val="center"/>
        </w:trPr>
        <w:tc>
          <w:tcPr>
            <w:tcW w:w="5515" w:type="dxa"/>
            <w:gridSpan w:val="2"/>
            <w:tcBorders>
              <w:top w:val="single" w:sz="6" w:space="0" w:color="auto"/>
              <w:left w:val="single" w:sz="6" w:space="0" w:color="auto"/>
              <w:bottom w:val="single" w:sz="6" w:space="0" w:color="auto"/>
              <w:right w:val="single" w:sz="6" w:space="0" w:color="auto"/>
            </w:tcBorders>
            <w:noWrap/>
            <w:vAlign w:val="center"/>
            <w:hideMark/>
          </w:tcPr>
          <w:p w14:paraId="3FE2D313" w14:textId="77777777" w:rsidR="00633B0E" w:rsidRPr="00F01347" w:rsidRDefault="00633B0E">
            <w:pPr>
              <w:pStyle w:val="texto0"/>
              <w:spacing w:after="60" w:line="227" w:lineRule="exact"/>
              <w:ind w:firstLine="0"/>
              <w:jc w:val="center"/>
              <w:rPr>
                <w:rFonts w:ascii="Verdana" w:hAnsi="Verdana"/>
                <w:b/>
                <w:sz w:val="16"/>
                <w:szCs w:val="16"/>
                <w:lang w:val="en-US"/>
              </w:rPr>
            </w:pPr>
            <w:r w:rsidRPr="00F01347">
              <w:rPr>
                <w:rFonts w:ascii="Verdana" w:hAnsi="Verdana"/>
                <w:b/>
                <w:color w:val="000000"/>
                <w:sz w:val="16"/>
                <w:szCs w:val="16"/>
                <w:lang w:val="en-US"/>
              </w:rPr>
              <w:t>Parameters</w:t>
            </w:r>
          </w:p>
        </w:tc>
        <w:tc>
          <w:tcPr>
            <w:tcW w:w="1754" w:type="dxa"/>
            <w:tcBorders>
              <w:top w:val="single" w:sz="6" w:space="0" w:color="auto"/>
              <w:left w:val="single" w:sz="6" w:space="0" w:color="auto"/>
              <w:bottom w:val="single" w:sz="6" w:space="0" w:color="auto"/>
              <w:right w:val="single" w:sz="6" w:space="0" w:color="auto"/>
            </w:tcBorders>
            <w:vAlign w:val="center"/>
            <w:hideMark/>
          </w:tcPr>
          <w:p w14:paraId="7BC8582A" w14:textId="77777777" w:rsidR="00633B0E" w:rsidRPr="00F01347" w:rsidRDefault="00633B0E">
            <w:pPr>
              <w:pStyle w:val="texto0"/>
              <w:spacing w:after="60" w:line="227" w:lineRule="exact"/>
              <w:ind w:firstLine="0"/>
              <w:jc w:val="center"/>
              <w:rPr>
                <w:rFonts w:ascii="Verdana" w:hAnsi="Verdana"/>
                <w:b/>
                <w:sz w:val="16"/>
                <w:szCs w:val="16"/>
                <w:lang w:val="en-US"/>
              </w:rPr>
            </w:pPr>
            <w:r w:rsidRPr="00F01347">
              <w:rPr>
                <w:rFonts w:ascii="Verdana" w:hAnsi="Verdana"/>
                <w:b/>
                <w:color w:val="000000"/>
                <w:sz w:val="16"/>
                <w:szCs w:val="16"/>
                <w:lang w:val="en-US"/>
              </w:rPr>
              <w:t>Permissible limit</w:t>
            </w:r>
          </w:p>
        </w:tc>
        <w:tc>
          <w:tcPr>
            <w:tcW w:w="1443" w:type="dxa"/>
            <w:tcBorders>
              <w:top w:val="single" w:sz="6" w:space="0" w:color="auto"/>
              <w:left w:val="single" w:sz="6" w:space="0" w:color="auto"/>
              <w:bottom w:val="single" w:sz="6" w:space="0" w:color="auto"/>
              <w:right w:val="single" w:sz="6" w:space="0" w:color="auto"/>
            </w:tcBorders>
            <w:vAlign w:val="center"/>
            <w:hideMark/>
          </w:tcPr>
          <w:p w14:paraId="4FEB4269" w14:textId="77777777" w:rsidR="00633B0E" w:rsidRPr="00F01347" w:rsidRDefault="00633B0E">
            <w:pPr>
              <w:pStyle w:val="texto0"/>
              <w:spacing w:after="60" w:line="227" w:lineRule="exact"/>
              <w:ind w:firstLine="0"/>
              <w:jc w:val="center"/>
              <w:rPr>
                <w:rFonts w:ascii="Verdana" w:hAnsi="Verdana"/>
                <w:b/>
                <w:sz w:val="16"/>
                <w:szCs w:val="16"/>
                <w:lang w:val="en-US"/>
              </w:rPr>
            </w:pPr>
            <w:r w:rsidRPr="00F01347">
              <w:rPr>
                <w:rFonts w:ascii="Verdana" w:hAnsi="Verdana"/>
                <w:b/>
                <w:color w:val="000000"/>
                <w:sz w:val="16"/>
                <w:szCs w:val="16"/>
                <w:lang w:val="en-US"/>
              </w:rPr>
              <w:t>Units</w:t>
            </w:r>
          </w:p>
        </w:tc>
      </w:tr>
      <w:tr w:rsidR="00633B0E" w:rsidRPr="00F01347" w14:paraId="00F13FEE" w14:textId="77777777" w:rsidTr="00633B0E">
        <w:trPr>
          <w:trHeight w:val="20"/>
          <w:jc w:val="center"/>
        </w:trPr>
        <w:tc>
          <w:tcPr>
            <w:tcW w:w="5515" w:type="dxa"/>
            <w:gridSpan w:val="2"/>
            <w:tcBorders>
              <w:top w:val="single" w:sz="6" w:space="0" w:color="auto"/>
              <w:left w:val="single" w:sz="6" w:space="0" w:color="auto"/>
              <w:bottom w:val="single" w:sz="6" w:space="0" w:color="auto"/>
              <w:right w:val="single" w:sz="6" w:space="0" w:color="auto"/>
            </w:tcBorders>
            <w:vAlign w:val="center"/>
            <w:hideMark/>
          </w:tcPr>
          <w:p w14:paraId="618DB7EC" w14:textId="77777777" w:rsidR="00633B0E" w:rsidRPr="00F01347" w:rsidRDefault="00633B0E">
            <w:pPr>
              <w:pStyle w:val="texto0"/>
              <w:spacing w:after="60" w:line="227" w:lineRule="exact"/>
              <w:ind w:firstLine="0"/>
              <w:rPr>
                <w:rFonts w:ascii="Verdana" w:hAnsi="Verdana"/>
                <w:sz w:val="16"/>
                <w:szCs w:val="16"/>
                <w:lang w:val="en-US"/>
              </w:rPr>
            </w:pPr>
            <w:r w:rsidRPr="00F01347">
              <w:rPr>
                <w:rFonts w:ascii="Verdana" w:hAnsi="Verdana"/>
                <w:sz w:val="16"/>
                <w:szCs w:val="16"/>
                <w:lang w:val="en-US"/>
              </w:rPr>
              <w:t>adsorbable halogenated organic compounds</w:t>
            </w:r>
          </w:p>
        </w:tc>
        <w:tc>
          <w:tcPr>
            <w:tcW w:w="1754" w:type="dxa"/>
            <w:tcBorders>
              <w:top w:val="single" w:sz="6" w:space="0" w:color="auto"/>
              <w:left w:val="single" w:sz="6" w:space="0" w:color="auto"/>
              <w:bottom w:val="single" w:sz="6" w:space="0" w:color="auto"/>
              <w:right w:val="single" w:sz="6" w:space="0" w:color="auto"/>
            </w:tcBorders>
            <w:vAlign w:val="center"/>
            <w:hideMark/>
          </w:tcPr>
          <w:p w14:paraId="14D5C3F6"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0.01</w:t>
            </w:r>
          </w:p>
        </w:tc>
        <w:tc>
          <w:tcPr>
            <w:tcW w:w="1443" w:type="dxa"/>
            <w:tcBorders>
              <w:top w:val="single" w:sz="6" w:space="0" w:color="auto"/>
              <w:left w:val="single" w:sz="6" w:space="0" w:color="auto"/>
              <w:bottom w:val="single" w:sz="6" w:space="0" w:color="auto"/>
              <w:right w:val="single" w:sz="6" w:space="0" w:color="auto"/>
            </w:tcBorders>
            <w:vAlign w:val="center"/>
            <w:hideMark/>
          </w:tcPr>
          <w:p w14:paraId="67CB6512"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mg/L</w:t>
            </w:r>
          </w:p>
        </w:tc>
      </w:tr>
      <w:tr w:rsidR="00633B0E" w:rsidRPr="00F01347" w14:paraId="4CADD8A6" w14:textId="77777777" w:rsidTr="00633B0E">
        <w:trPr>
          <w:trHeight w:val="20"/>
          <w:jc w:val="center"/>
        </w:trPr>
        <w:tc>
          <w:tcPr>
            <w:tcW w:w="5515" w:type="dxa"/>
            <w:gridSpan w:val="2"/>
            <w:tcBorders>
              <w:top w:val="single" w:sz="6" w:space="0" w:color="auto"/>
              <w:left w:val="single" w:sz="6" w:space="0" w:color="auto"/>
              <w:bottom w:val="single" w:sz="6" w:space="0" w:color="auto"/>
              <w:right w:val="single" w:sz="6" w:space="0" w:color="auto"/>
            </w:tcBorders>
            <w:vAlign w:val="center"/>
            <w:hideMark/>
          </w:tcPr>
          <w:p w14:paraId="422E3F83" w14:textId="77777777" w:rsidR="00633B0E" w:rsidRPr="00F01347" w:rsidRDefault="00633B0E">
            <w:pPr>
              <w:pStyle w:val="texto0"/>
              <w:spacing w:after="60" w:line="227" w:lineRule="exact"/>
              <w:ind w:firstLine="0"/>
              <w:rPr>
                <w:rFonts w:ascii="Verdana" w:hAnsi="Verdana"/>
                <w:sz w:val="16"/>
                <w:szCs w:val="16"/>
                <w:lang w:val="en-US"/>
              </w:rPr>
            </w:pPr>
            <w:r w:rsidRPr="00F01347">
              <w:rPr>
                <w:rFonts w:ascii="Verdana" w:hAnsi="Verdana"/>
                <w:sz w:val="16"/>
                <w:szCs w:val="16"/>
                <w:lang w:val="en-US"/>
              </w:rPr>
              <w:t>Non-halogenated organic compounds</w:t>
            </w:r>
          </w:p>
        </w:tc>
        <w:tc>
          <w:tcPr>
            <w:tcW w:w="1754" w:type="dxa"/>
            <w:tcBorders>
              <w:top w:val="single" w:sz="6" w:space="0" w:color="auto"/>
              <w:left w:val="single" w:sz="6" w:space="0" w:color="auto"/>
              <w:bottom w:val="single" w:sz="6" w:space="0" w:color="auto"/>
              <w:right w:val="single" w:sz="6" w:space="0" w:color="auto"/>
            </w:tcBorders>
            <w:vAlign w:val="center"/>
            <w:hideMark/>
          </w:tcPr>
          <w:p w14:paraId="03476B52"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0.025</w:t>
            </w:r>
          </w:p>
        </w:tc>
        <w:tc>
          <w:tcPr>
            <w:tcW w:w="1443" w:type="dxa"/>
            <w:tcBorders>
              <w:top w:val="single" w:sz="6" w:space="0" w:color="auto"/>
              <w:left w:val="single" w:sz="6" w:space="0" w:color="auto"/>
              <w:bottom w:val="single" w:sz="6" w:space="0" w:color="auto"/>
              <w:right w:val="single" w:sz="6" w:space="0" w:color="auto"/>
            </w:tcBorders>
            <w:vAlign w:val="center"/>
            <w:hideMark/>
          </w:tcPr>
          <w:p w14:paraId="65ECE8DA"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mg/L</w:t>
            </w:r>
          </w:p>
        </w:tc>
      </w:tr>
      <w:tr w:rsidR="00633B0E" w:rsidRPr="00F01347" w14:paraId="1D3DE67E" w14:textId="77777777" w:rsidTr="00633B0E">
        <w:trPr>
          <w:trHeight w:val="20"/>
          <w:jc w:val="center"/>
        </w:trPr>
        <w:tc>
          <w:tcPr>
            <w:tcW w:w="5515" w:type="dxa"/>
            <w:gridSpan w:val="2"/>
            <w:tcBorders>
              <w:top w:val="single" w:sz="6" w:space="0" w:color="auto"/>
              <w:left w:val="single" w:sz="6" w:space="0" w:color="auto"/>
              <w:bottom w:val="single" w:sz="6" w:space="0" w:color="auto"/>
              <w:right w:val="single" w:sz="6" w:space="0" w:color="auto"/>
            </w:tcBorders>
            <w:vAlign w:val="center"/>
            <w:hideMark/>
          </w:tcPr>
          <w:p w14:paraId="445D46E6" w14:textId="04764136" w:rsidR="00633B0E" w:rsidRPr="00F01347" w:rsidRDefault="00633B0E">
            <w:pPr>
              <w:pStyle w:val="texto0"/>
              <w:spacing w:after="60" w:line="227" w:lineRule="exact"/>
              <w:ind w:firstLine="0"/>
              <w:rPr>
                <w:rFonts w:ascii="Verdana" w:hAnsi="Verdana"/>
                <w:sz w:val="16"/>
                <w:szCs w:val="16"/>
                <w:lang w:val="en-US"/>
              </w:rPr>
            </w:pPr>
            <w:r w:rsidRPr="00F01347">
              <w:rPr>
                <w:rFonts w:ascii="Verdana" w:hAnsi="Verdana"/>
                <w:sz w:val="16"/>
                <w:szCs w:val="16"/>
                <w:lang w:val="en-US"/>
              </w:rPr>
              <w:t>Purg</w:t>
            </w:r>
            <w:r w:rsidR="008D190D">
              <w:rPr>
                <w:rFonts w:ascii="Verdana" w:hAnsi="Verdana"/>
                <w:sz w:val="16"/>
                <w:szCs w:val="16"/>
                <w:lang w:val="en-US"/>
              </w:rPr>
              <w:t>e</w:t>
            </w:r>
            <w:r w:rsidRPr="00F01347">
              <w:rPr>
                <w:rFonts w:ascii="Verdana" w:hAnsi="Verdana"/>
                <w:sz w:val="16"/>
                <w:szCs w:val="16"/>
                <w:lang w:val="en-US"/>
              </w:rPr>
              <w:t>able adsorbable halogenated organic compounds</w:t>
            </w:r>
          </w:p>
        </w:tc>
        <w:tc>
          <w:tcPr>
            <w:tcW w:w="1754" w:type="dxa"/>
            <w:tcBorders>
              <w:top w:val="single" w:sz="6" w:space="0" w:color="auto"/>
              <w:left w:val="single" w:sz="6" w:space="0" w:color="auto"/>
              <w:bottom w:val="single" w:sz="6" w:space="0" w:color="auto"/>
              <w:right w:val="single" w:sz="6" w:space="0" w:color="auto"/>
            </w:tcBorders>
            <w:vAlign w:val="center"/>
            <w:hideMark/>
          </w:tcPr>
          <w:p w14:paraId="4975C34A"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0.005</w:t>
            </w:r>
          </w:p>
        </w:tc>
        <w:tc>
          <w:tcPr>
            <w:tcW w:w="1443" w:type="dxa"/>
            <w:tcBorders>
              <w:top w:val="single" w:sz="6" w:space="0" w:color="auto"/>
              <w:left w:val="single" w:sz="6" w:space="0" w:color="auto"/>
              <w:bottom w:val="single" w:sz="6" w:space="0" w:color="auto"/>
              <w:right w:val="single" w:sz="6" w:space="0" w:color="auto"/>
            </w:tcBorders>
            <w:vAlign w:val="center"/>
            <w:hideMark/>
          </w:tcPr>
          <w:p w14:paraId="45D1D0A3"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mg/L</w:t>
            </w:r>
          </w:p>
        </w:tc>
      </w:tr>
      <w:tr w:rsidR="00633B0E" w:rsidRPr="00F01347" w14:paraId="55582BB1" w14:textId="77777777" w:rsidTr="00633B0E">
        <w:trPr>
          <w:trHeight w:val="20"/>
          <w:jc w:val="center"/>
        </w:trPr>
        <w:tc>
          <w:tcPr>
            <w:tcW w:w="2365" w:type="dxa"/>
            <w:vMerge w:val="restart"/>
            <w:tcBorders>
              <w:top w:val="single" w:sz="6" w:space="0" w:color="auto"/>
              <w:left w:val="single" w:sz="6" w:space="0" w:color="auto"/>
              <w:bottom w:val="single" w:sz="6" w:space="0" w:color="auto"/>
              <w:right w:val="single" w:sz="6" w:space="0" w:color="auto"/>
            </w:tcBorders>
            <w:vAlign w:val="center"/>
            <w:hideMark/>
          </w:tcPr>
          <w:p w14:paraId="6AC02B1D"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Non-halogenated volatile organic compounds</w:t>
            </w:r>
          </w:p>
        </w:tc>
        <w:tc>
          <w:tcPr>
            <w:tcW w:w="3150" w:type="dxa"/>
            <w:tcBorders>
              <w:top w:val="single" w:sz="6" w:space="0" w:color="auto"/>
              <w:left w:val="single" w:sz="6" w:space="0" w:color="auto"/>
              <w:bottom w:val="single" w:sz="6" w:space="0" w:color="auto"/>
              <w:right w:val="single" w:sz="6" w:space="0" w:color="auto"/>
            </w:tcBorders>
            <w:vAlign w:val="center"/>
            <w:hideMark/>
          </w:tcPr>
          <w:p w14:paraId="6942F257"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Benzene</w:t>
            </w:r>
          </w:p>
        </w:tc>
        <w:tc>
          <w:tcPr>
            <w:tcW w:w="1754" w:type="dxa"/>
            <w:tcBorders>
              <w:top w:val="single" w:sz="6" w:space="0" w:color="auto"/>
              <w:left w:val="single" w:sz="6" w:space="0" w:color="auto"/>
              <w:bottom w:val="single" w:sz="6" w:space="0" w:color="auto"/>
              <w:right w:val="single" w:sz="6" w:space="0" w:color="auto"/>
            </w:tcBorders>
            <w:vAlign w:val="center"/>
            <w:hideMark/>
          </w:tcPr>
          <w:p w14:paraId="4857E8A5"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10</w:t>
            </w:r>
          </w:p>
        </w:tc>
        <w:tc>
          <w:tcPr>
            <w:tcW w:w="1443" w:type="dxa"/>
            <w:tcBorders>
              <w:top w:val="single" w:sz="6" w:space="0" w:color="auto"/>
              <w:left w:val="single" w:sz="6" w:space="0" w:color="auto"/>
              <w:bottom w:val="single" w:sz="6" w:space="0" w:color="auto"/>
              <w:right w:val="single" w:sz="6" w:space="0" w:color="auto"/>
            </w:tcBorders>
            <w:vAlign w:val="center"/>
            <w:hideMark/>
          </w:tcPr>
          <w:p w14:paraId="6F84D123"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µg/L</w:t>
            </w:r>
          </w:p>
        </w:tc>
      </w:tr>
      <w:tr w:rsidR="00633B0E" w:rsidRPr="00F01347" w14:paraId="4BC47458" w14:textId="77777777" w:rsidTr="00633B0E">
        <w:trPr>
          <w:trHeight w:val="20"/>
          <w:jc w:val="center"/>
        </w:trPr>
        <w:tc>
          <w:tcPr>
            <w:tcW w:w="5515" w:type="dxa"/>
            <w:vMerge/>
            <w:tcBorders>
              <w:top w:val="single" w:sz="6" w:space="0" w:color="auto"/>
              <w:left w:val="single" w:sz="6" w:space="0" w:color="auto"/>
              <w:bottom w:val="single" w:sz="6" w:space="0" w:color="auto"/>
              <w:right w:val="single" w:sz="6" w:space="0" w:color="auto"/>
            </w:tcBorders>
            <w:vAlign w:val="center"/>
            <w:hideMark/>
          </w:tcPr>
          <w:p w14:paraId="3291086F" w14:textId="77777777" w:rsidR="00633B0E" w:rsidRPr="00F01347" w:rsidRDefault="00633B0E">
            <w:pPr>
              <w:rPr>
                <w:rFonts w:ascii="Verdana" w:hAnsi="Verdana" w:cs="Arial"/>
                <w:sz w:val="16"/>
                <w:szCs w:val="16"/>
                <w:lang w:val="en-US"/>
              </w:rPr>
            </w:pPr>
          </w:p>
        </w:tc>
        <w:tc>
          <w:tcPr>
            <w:tcW w:w="3150" w:type="dxa"/>
            <w:tcBorders>
              <w:top w:val="single" w:sz="6" w:space="0" w:color="auto"/>
              <w:left w:val="single" w:sz="6" w:space="0" w:color="auto"/>
              <w:bottom w:val="single" w:sz="6" w:space="0" w:color="auto"/>
              <w:right w:val="single" w:sz="6" w:space="0" w:color="auto"/>
            </w:tcBorders>
            <w:vAlign w:val="center"/>
            <w:hideMark/>
          </w:tcPr>
          <w:p w14:paraId="00FD49B8"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Styrene</w:t>
            </w:r>
          </w:p>
        </w:tc>
        <w:tc>
          <w:tcPr>
            <w:tcW w:w="1754" w:type="dxa"/>
            <w:tcBorders>
              <w:top w:val="single" w:sz="6" w:space="0" w:color="auto"/>
              <w:left w:val="single" w:sz="6" w:space="0" w:color="auto"/>
              <w:bottom w:val="single" w:sz="6" w:space="0" w:color="auto"/>
              <w:right w:val="single" w:sz="6" w:space="0" w:color="auto"/>
            </w:tcBorders>
            <w:vAlign w:val="center"/>
            <w:hideMark/>
          </w:tcPr>
          <w:p w14:paraId="1001BE96" w14:textId="6AFA228E" w:rsidR="00633B0E" w:rsidRPr="00F01347" w:rsidRDefault="00564CCB">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20</w:t>
            </w:r>
          </w:p>
        </w:tc>
        <w:tc>
          <w:tcPr>
            <w:tcW w:w="1443" w:type="dxa"/>
            <w:tcBorders>
              <w:top w:val="single" w:sz="6" w:space="0" w:color="auto"/>
              <w:left w:val="single" w:sz="6" w:space="0" w:color="auto"/>
              <w:bottom w:val="single" w:sz="6" w:space="0" w:color="auto"/>
              <w:right w:val="single" w:sz="6" w:space="0" w:color="auto"/>
            </w:tcBorders>
            <w:vAlign w:val="center"/>
            <w:hideMark/>
          </w:tcPr>
          <w:p w14:paraId="2DF93073"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µg/L</w:t>
            </w:r>
          </w:p>
        </w:tc>
      </w:tr>
      <w:tr w:rsidR="00633B0E" w:rsidRPr="00F01347" w14:paraId="52164A3E" w14:textId="77777777" w:rsidTr="00633B0E">
        <w:trPr>
          <w:trHeight w:val="20"/>
          <w:jc w:val="center"/>
        </w:trPr>
        <w:tc>
          <w:tcPr>
            <w:tcW w:w="5515" w:type="dxa"/>
            <w:vMerge/>
            <w:tcBorders>
              <w:top w:val="single" w:sz="6" w:space="0" w:color="auto"/>
              <w:left w:val="single" w:sz="6" w:space="0" w:color="auto"/>
              <w:bottom w:val="single" w:sz="6" w:space="0" w:color="auto"/>
              <w:right w:val="single" w:sz="6" w:space="0" w:color="auto"/>
            </w:tcBorders>
            <w:vAlign w:val="center"/>
            <w:hideMark/>
          </w:tcPr>
          <w:p w14:paraId="4AB03DE1" w14:textId="77777777" w:rsidR="00633B0E" w:rsidRPr="00F01347" w:rsidRDefault="00633B0E">
            <w:pPr>
              <w:rPr>
                <w:rFonts w:ascii="Verdana" w:hAnsi="Verdana" w:cs="Arial"/>
                <w:sz w:val="16"/>
                <w:szCs w:val="16"/>
                <w:lang w:val="en-US"/>
              </w:rPr>
            </w:pPr>
          </w:p>
        </w:tc>
        <w:tc>
          <w:tcPr>
            <w:tcW w:w="3150" w:type="dxa"/>
            <w:tcBorders>
              <w:top w:val="single" w:sz="6" w:space="0" w:color="auto"/>
              <w:left w:val="single" w:sz="6" w:space="0" w:color="auto"/>
              <w:bottom w:val="single" w:sz="6" w:space="0" w:color="auto"/>
              <w:right w:val="single" w:sz="6" w:space="0" w:color="auto"/>
            </w:tcBorders>
            <w:vAlign w:val="center"/>
            <w:hideMark/>
          </w:tcPr>
          <w:p w14:paraId="6642C417"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Ethylbenzene</w:t>
            </w:r>
          </w:p>
        </w:tc>
        <w:tc>
          <w:tcPr>
            <w:tcW w:w="1754" w:type="dxa"/>
            <w:tcBorders>
              <w:top w:val="single" w:sz="6" w:space="0" w:color="auto"/>
              <w:left w:val="single" w:sz="6" w:space="0" w:color="auto"/>
              <w:bottom w:val="single" w:sz="6" w:space="0" w:color="auto"/>
              <w:right w:val="single" w:sz="6" w:space="0" w:color="auto"/>
            </w:tcBorders>
            <w:vAlign w:val="center"/>
            <w:hideMark/>
          </w:tcPr>
          <w:p w14:paraId="2A69A104"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300</w:t>
            </w:r>
          </w:p>
        </w:tc>
        <w:tc>
          <w:tcPr>
            <w:tcW w:w="1443" w:type="dxa"/>
            <w:tcBorders>
              <w:top w:val="single" w:sz="6" w:space="0" w:color="auto"/>
              <w:left w:val="single" w:sz="6" w:space="0" w:color="auto"/>
              <w:bottom w:val="single" w:sz="6" w:space="0" w:color="auto"/>
              <w:right w:val="single" w:sz="6" w:space="0" w:color="auto"/>
            </w:tcBorders>
            <w:vAlign w:val="center"/>
            <w:hideMark/>
          </w:tcPr>
          <w:p w14:paraId="3152D731"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µg/L</w:t>
            </w:r>
          </w:p>
        </w:tc>
      </w:tr>
      <w:tr w:rsidR="00633B0E" w:rsidRPr="00F01347" w14:paraId="6AF8FBD3" w14:textId="77777777" w:rsidTr="00633B0E">
        <w:trPr>
          <w:trHeight w:val="20"/>
          <w:jc w:val="center"/>
        </w:trPr>
        <w:tc>
          <w:tcPr>
            <w:tcW w:w="5515" w:type="dxa"/>
            <w:vMerge/>
            <w:tcBorders>
              <w:top w:val="single" w:sz="6" w:space="0" w:color="auto"/>
              <w:left w:val="single" w:sz="6" w:space="0" w:color="auto"/>
              <w:bottom w:val="single" w:sz="6" w:space="0" w:color="auto"/>
              <w:right w:val="single" w:sz="6" w:space="0" w:color="auto"/>
            </w:tcBorders>
            <w:vAlign w:val="center"/>
            <w:hideMark/>
          </w:tcPr>
          <w:p w14:paraId="3C2B0564" w14:textId="77777777" w:rsidR="00633B0E" w:rsidRPr="00F01347" w:rsidRDefault="00633B0E">
            <w:pPr>
              <w:rPr>
                <w:rFonts w:ascii="Verdana" w:hAnsi="Verdana" w:cs="Arial"/>
                <w:sz w:val="16"/>
                <w:szCs w:val="16"/>
                <w:lang w:val="en-US"/>
              </w:rPr>
            </w:pPr>
          </w:p>
        </w:tc>
        <w:tc>
          <w:tcPr>
            <w:tcW w:w="3150" w:type="dxa"/>
            <w:tcBorders>
              <w:top w:val="single" w:sz="6" w:space="0" w:color="auto"/>
              <w:left w:val="single" w:sz="6" w:space="0" w:color="auto"/>
              <w:bottom w:val="single" w:sz="6" w:space="0" w:color="auto"/>
              <w:right w:val="single" w:sz="6" w:space="0" w:color="auto"/>
            </w:tcBorders>
            <w:vAlign w:val="center"/>
            <w:hideMark/>
          </w:tcPr>
          <w:p w14:paraId="597A9123"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Toluene</w:t>
            </w:r>
          </w:p>
        </w:tc>
        <w:tc>
          <w:tcPr>
            <w:tcW w:w="1754" w:type="dxa"/>
            <w:tcBorders>
              <w:top w:val="single" w:sz="6" w:space="0" w:color="auto"/>
              <w:left w:val="single" w:sz="6" w:space="0" w:color="auto"/>
              <w:bottom w:val="single" w:sz="6" w:space="0" w:color="auto"/>
              <w:right w:val="single" w:sz="6" w:space="0" w:color="auto"/>
            </w:tcBorders>
            <w:vAlign w:val="center"/>
            <w:hideMark/>
          </w:tcPr>
          <w:p w14:paraId="4E1ED450"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700</w:t>
            </w:r>
          </w:p>
        </w:tc>
        <w:tc>
          <w:tcPr>
            <w:tcW w:w="1443" w:type="dxa"/>
            <w:tcBorders>
              <w:top w:val="single" w:sz="6" w:space="0" w:color="auto"/>
              <w:left w:val="single" w:sz="6" w:space="0" w:color="auto"/>
              <w:bottom w:val="single" w:sz="6" w:space="0" w:color="auto"/>
              <w:right w:val="single" w:sz="6" w:space="0" w:color="auto"/>
            </w:tcBorders>
            <w:vAlign w:val="center"/>
            <w:hideMark/>
          </w:tcPr>
          <w:p w14:paraId="0FC3F0C9"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µg/L</w:t>
            </w:r>
          </w:p>
        </w:tc>
      </w:tr>
      <w:tr w:rsidR="00633B0E" w:rsidRPr="00F01347" w14:paraId="2FDCD079" w14:textId="77777777" w:rsidTr="00633B0E">
        <w:trPr>
          <w:trHeight w:val="20"/>
          <w:jc w:val="center"/>
        </w:trPr>
        <w:tc>
          <w:tcPr>
            <w:tcW w:w="5515" w:type="dxa"/>
            <w:vMerge/>
            <w:tcBorders>
              <w:top w:val="single" w:sz="6" w:space="0" w:color="auto"/>
              <w:left w:val="single" w:sz="6" w:space="0" w:color="auto"/>
              <w:bottom w:val="single" w:sz="6" w:space="0" w:color="auto"/>
              <w:right w:val="single" w:sz="6" w:space="0" w:color="auto"/>
            </w:tcBorders>
            <w:vAlign w:val="center"/>
            <w:hideMark/>
          </w:tcPr>
          <w:p w14:paraId="6CE1BF51" w14:textId="77777777" w:rsidR="00633B0E" w:rsidRPr="00F01347" w:rsidRDefault="00633B0E">
            <w:pPr>
              <w:rPr>
                <w:rFonts w:ascii="Verdana" w:hAnsi="Verdana" w:cs="Arial"/>
                <w:sz w:val="16"/>
                <w:szCs w:val="16"/>
                <w:lang w:val="en-US"/>
              </w:rPr>
            </w:pPr>
          </w:p>
        </w:tc>
        <w:tc>
          <w:tcPr>
            <w:tcW w:w="3150" w:type="dxa"/>
            <w:tcBorders>
              <w:top w:val="single" w:sz="6" w:space="0" w:color="auto"/>
              <w:left w:val="single" w:sz="6" w:space="0" w:color="auto"/>
              <w:bottom w:val="single" w:sz="6" w:space="0" w:color="auto"/>
              <w:right w:val="single" w:sz="6" w:space="0" w:color="auto"/>
            </w:tcBorders>
            <w:vAlign w:val="center"/>
            <w:hideMark/>
          </w:tcPr>
          <w:p w14:paraId="2B757565"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Xylenes</w:t>
            </w:r>
          </w:p>
          <w:p w14:paraId="54257DFB" w14:textId="21F8B4C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(sum of ortho</w:t>
            </w:r>
            <w:r w:rsidR="003E1BA9" w:rsidRPr="00F01347">
              <w:rPr>
                <w:rFonts w:ascii="Verdana" w:hAnsi="Verdana"/>
                <w:sz w:val="16"/>
                <w:szCs w:val="16"/>
                <w:lang w:val="en-US"/>
              </w:rPr>
              <w:t>,</w:t>
            </w:r>
            <w:r w:rsidRPr="00F01347">
              <w:rPr>
                <w:rFonts w:ascii="Verdana" w:hAnsi="Verdana"/>
                <w:sz w:val="16"/>
                <w:szCs w:val="16"/>
                <w:lang w:val="en-US"/>
              </w:rPr>
              <w:t xml:space="preserve"> meta and para isomers)</w:t>
            </w:r>
          </w:p>
        </w:tc>
        <w:tc>
          <w:tcPr>
            <w:tcW w:w="1754" w:type="dxa"/>
            <w:tcBorders>
              <w:top w:val="single" w:sz="6" w:space="0" w:color="auto"/>
              <w:left w:val="single" w:sz="6" w:space="0" w:color="auto"/>
              <w:bottom w:val="single" w:sz="6" w:space="0" w:color="auto"/>
              <w:right w:val="single" w:sz="6" w:space="0" w:color="auto"/>
            </w:tcBorders>
            <w:vAlign w:val="center"/>
            <w:hideMark/>
          </w:tcPr>
          <w:p w14:paraId="3D5EDB4D"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500</w:t>
            </w:r>
          </w:p>
        </w:tc>
        <w:tc>
          <w:tcPr>
            <w:tcW w:w="1443" w:type="dxa"/>
            <w:tcBorders>
              <w:top w:val="single" w:sz="6" w:space="0" w:color="auto"/>
              <w:left w:val="single" w:sz="6" w:space="0" w:color="auto"/>
              <w:bottom w:val="single" w:sz="6" w:space="0" w:color="auto"/>
              <w:right w:val="single" w:sz="6" w:space="0" w:color="auto"/>
            </w:tcBorders>
            <w:vAlign w:val="center"/>
            <w:hideMark/>
          </w:tcPr>
          <w:p w14:paraId="7B0FFFFF" w14:textId="77777777" w:rsidR="00633B0E" w:rsidRPr="00F01347" w:rsidRDefault="00633B0E">
            <w:pPr>
              <w:pStyle w:val="texto0"/>
              <w:spacing w:after="60" w:line="227" w:lineRule="exact"/>
              <w:ind w:firstLine="0"/>
              <w:jc w:val="center"/>
              <w:rPr>
                <w:rFonts w:ascii="Verdana" w:hAnsi="Verdana"/>
                <w:sz w:val="16"/>
                <w:szCs w:val="16"/>
                <w:lang w:val="en-US"/>
              </w:rPr>
            </w:pPr>
            <w:r w:rsidRPr="00F01347">
              <w:rPr>
                <w:rFonts w:ascii="Verdana" w:hAnsi="Verdana"/>
                <w:sz w:val="16"/>
                <w:szCs w:val="16"/>
                <w:lang w:val="en-US"/>
              </w:rPr>
              <w:t>µg/L</w:t>
            </w:r>
          </w:p>
        </w:tc>
      </w:tr>
    </w:tbl>
    <w:p w14:paraId="45368F18" w14:textId="77777777" w:rsidR="00633B0E" w:rsidRPr="00F01347" w:rsidRDefault="00633B0E" w:rsidP="00633B0E">
      <w:pPr>
        <w:pStyle w:val="texto0"/>
        <w:spacing w:after="60" w:line="227" w:lineRule="exact"/>
        <w:rPr>
          <w:rFonts w:ascii="Verdana" w:hAnsi="Verdana"/>
          <w:b/>
          <w:sz w:val="16"/>
          <w:szCs w:val="16"/>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C9619D" w:rsidRPr="00F01347" w14:paraId="6A9A83DC" w14:textId="1AC08446" w:rsidTr="00B96966">
        <w:tc>
          <w:tcPr>
            <w:tcW w:w="4675" w:type="dxa"/>
          </w:tcPr>
          <w:p w14:paraId="2130DCFC" w14:textId="77777777" w:rsidR="00C9619D" w:rsidRPr="00F01347" w:rsidRDefault="00C9619D" w:rsidP="00C9619D">
            <w:pPr>
              <w:pStyle w:val="texto0"/>
              <w:spacing w:after="100"/>
              <w:ind w:firstLine="0"/>
              <w:rPr>
                <w:rFonts w:ascii="Verdana" w:hAnsi="Verdana"/>
                <w:sz w:val="16"/>
                <w:szCs w:val="16"/>
                <w:lang w:val="es-ES_tradnl"/>
              </w:rPr>
            </w:pPr>
            <w:r w:rsidRPr="00F01347">
              <w:rPr>
                <w:rFonts w:ascii="Verdana" w:hAnsi="Verdana"/>
                <w:b/>
                <w:sz w:val="16"/>
                <w:szCs w:val="16"/>
                <w:lang w:val="es-ES_tradnl"/>
              </w:rPr>
              <w:t>5.10.1</w:t>
            </w:r>
            <w:r w:rsidRPr="00F01347">
              <w:rPr>
                <w:rFonts w:ascii="Verdana" w:hAnsi="Verdana"/>
                <w:sz w:val="16"/>
                <w:szCs w:val="16"/>
                <w:lang w:val="es-ES_tradnl"/>
              </w:rPr>
              <w:t xml:space="preserve"> En caso de sobrepasar alguno de los límites permisibles de los grupos de compuestos orgánicos sintéticos de la Tabla 14 de esta Norma, el organismo responsable deberá analizar los compuestos orgánicos asociados establecidos en el Apéndice A Normativo de esta Norma correspondientes al grupo de compuestos orgánicos sintéticos que sobrepase el límite permisible.</w:t>
            </w:r>
          </w:p>
        </w:tc>
        <w:tc>
          <w:tcPr>
            <w:tcW w:w="4675" w:type="dxa"/>
          </w:tcPr>
          <w:p w14:paraId="669F407A" w14:textId="0F02102E"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5.10.1 </w:t>
            </w:r>
            <w:r w:rsidRPr="00F01347">
              <w:rPr>
                <w:rFonts w:ascii="Verdana" w:hAnsi="Verdana"/>
                <w:sz w:val="16"/>
                <w:szCs w:val="16"/>
                <w:lang w:val="en-US"/>
              </w:rPr>
              <w:t xml:space="preserve">If any of the permissible limits of the groups of synthetic organic compounds in Table 14 of this Standard are exceeded, the responsible </w:t>
            </w:r>
            <w:r w:rsidR="00B96966" w:rsidRPr="00F01347">
              <w:rPr>
                <w:rFonts w:ascii="Verdana" w:hAnsi="Verdana"/>
                <w:sz w:val="16"/>
                <w:szCs w:val="16"/>
                <w:lang w:val="en-US"/>
              </w:rPr>
              <w:t>entity</w:t>
            </w:r>
            <w:r w:rsidRPr="00F01347">
              <w:rPr>
                <w:rFonts w:ascii="Verdana" w:hAnsi="Verdana"/>
                <w:sz w:val="16"/>
                <w:szCs w:val="16"/>
                <w:lang w:val="en-US"/>
              </w:rPr>
              <w:t xml:space="preserve"> must analyze the associated organic compounds established in Regulatory Appendix A of this Standard corresponding to the group of </w:t>
            </w:r>
            <w:r w:rsidR="00B96966" w:rsidRPr="00F01347">
              <w:rPr>
                <w:rFonts w:ascii="Verdana" w:hAnsi="Verdana"/>
                <w:sz w:val="16"/>
                <w:szCs w:val="16"/>
                <w:lang w:val="en-US"/>
              </w:rPr>
              <w:t xml:space="preserve">synthetic organic </w:t>
            </w:r>
            <w:r w:rsidRPr="00F01347">
              <w:rPr>
                <w:rFonts w:ascii="Verdana" w:hAnsi="Verdana"/>
                <w:sz w:val="16"/>
                <w:szCs w:val="16"/>
                <w:lang w:val="en-US"/>
              </w:rPr>
              <w:t>compounds that exceed the permissible limit.</w:t>
            </w:r>
          </w:p>
        </w:tc>
      </w:tr>
      <w:tr w:rsidR="00C9619D" w:rsidRPr="00F01347" w14:paraId="4BABC933" w14:textId="35097EC0" w:rsidTr="00B96966">
        <w:tc>
          <w:tcPr>
            <w:tcW w:w="4675" w:type="dxa"/>
          </w:tcPr>
          <w:p w14:paraId="44C16E28" w14:textId="77777777" w:rsidR="00C9619D" w:rsidRPr="00F01347" w:rsidRDefault="00C9619D" w:rsidP="00C9619D">
            <w:pPr>
              <w:pStyle w:val="texto0"/>
              <w:spacing w:after="100"/>
              <w:ind w:firstLine="0"/>
              <w:rPr>
                <w:rFonts w:ascii="Verdana" w:hAnsi="Verdana"/>
                <w:sz w:val="16"/>
                <w:szCs w:val="16"/>
                <w:lang w:val="es-ES"/>
              </w:rPr>
            </w:pPr>
            <w:r w:rsidRPr="00F01347">
              <w:rPr>
                <w:rFonts w:ascii="Verdana" w:hAnsi="Verdana"/>
                <w:b/>
                <w:sz w:val="16"/>
                <w:szCs w:val="16"/>
                <w:lang w:val="es-ES"/>
              </w:rPr>
              <w:t>5.11</w:t>
            </w:r>
            <w:r w:rsidRPr="00F01347">
              <w:rPr>
                <w:rFonts w:ascii="Verdana" w:hAnsi="Verdana"/>
                <w:sz w:val="16"/>
                <w:szCs w:val="16"/>
                <w:lang w:val="es-ES"/>
              </w:rPr>
              <w:t xml:space="preserve"> Cuando se excedan los límites permisibles expuestos en este Capítulo, se deben aplicar los procesos de tratamiento adecuados para su remoción, entre los cuales puede aplicar el que corresponda, de los referidos en el Apéndice C Informativo de esta Norma o cualquier otro que sea efectivo para la remoción del contaminante.</w:t>
            </w:r>
          </w:p>
        </w:tc>
        <w:tc>
          <w:tcPr>
            <w:tcW w:w="4675" w:type="dxa"/>
          </w:tcPr>
          <w:p w14:paraId="48505FE5" w14:textId="44969093"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5.11 </w:t>
            </w:r>
            <w:r w:rsidRPr="00F01347">
              <w:rPr>
                <w:rFonts w:ascii="Verdana" w:hAnsi="Verdana"/>
                <w:sz w:val="16"/>
                <w:szCs w:val="16"/>
                <w:lang w:val="en-US"/>
              </w:rPr>
              <w:t>When the permissible limits set forth in this Chapter are exceeded, the appropriate treatment processes must be applied for their removal, among which the corresponding one may be applied, such as those referred to in Informative Appendix C of this Standard or any other that is effective. for the removal of the contaminant.</w:t>
            </w:r>
          </w:p>
        </w:tc>
      </w:tr>
      <w:tr w:rsidR="00C9619D" w:rsidRPr="00F01347" w14:paraId="31FC2E02" w14:textId="63EA6023" w:rsidTr="00B96966">
        <w:tc>
          <w:tcPr>
            <w:tcW w:w="4675" w:type="dxa"/>
          </w:tcPr>
          <w:p w14:paraId="18528D1C" w14:textId="77777777" w:rsidR="00C9619D" w:rsidRPr="00F01347" w:rsidRDefault="00C9619D" w:rsidP="00C9619D">
            <w:pPr>
              <w:pStyle w:val="texto0"/>
              <w:spacing w:after="100"/>
              <w:ind w:firstLine="0"/>
              <w:rPr>
                <w:rFonts w:ascii="Verdana" w:hAnsi="Verdana"/>
                <w:sz w:val="16"/>
                <w:szCs w:val="16"/>
                <w:lang w:val="es-ES_tradnl"/>
              </w:rPr>
            </w:pPr>
            <w:r w:rsidRPr="00F01347">
              <w:rPr>
                <w:rFonts w:ascii="Verdana" w:hAnsi="Verdana"/>
                <w:b/>
                <w:sz w:val="16"/>
                <w:szCs w:val="16"/>
                <w:lang w:val="es-ES"/>
              </w:rPr>
              <w:lastRenderedPageBreak/>
              <w:t>5.12</w:t>
            </w:r>
            <w:r w:rsidRPr="00F01347">
              <w:rPr>
                <w:rFonts w:ascii="Verdana" w:hAnsi="Verdana"/>
                <w:sz w:val="16"/>
                <w:szCs w:val="16"/>
                <w:lang w:val="es-ES_tradnl"/>
              </w:rPr>
              <w:t xml:space="preserve"> En caso de alguna emergencia (ver inciso 3.9 de esta Norma), la Secretaría de Salud definirá los parámetros y límites aplicables al agua destinada para uso y consumo humano, conforme a lo dispuesto por el artículo 116 de la Ley General de Salud.</w:t>
            </w:r>
          </w:p>
        </w:tc>
        <w:tc>
          <w:tcPr>
            <w:tcW w:w="4675" w:type="dxa"/>
          </w:tcPr>
          <w:p w14:paraId="31770FEF" w14:textId="4DACBADF"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5.12 </w:t>
            </w:r>
            <w:r w:rsidRPr="00F01347">
              <w:rPr>
                <w:rFonts w:ascii="Verdana" w:hAnsi="Verdana"/>
                <w:sz w:val="16"/>
                <w:szCs w:val="16"/>
                <w:lang w:val="en-US"/>
              </w:rPr>
              <w:t xml:space="preserve">In the event of an emergency (see section 3.9 of this Standard), the </w:t>
            </w:r>
            <w:r w:rsidR="003E1BA9" w:rsidRPr="00F01347">
              <w:rPr>
                <w:rFonts w:ascii="Verdana" w:hAnsi="Verdana"/>
                <w:sz w:val="16"/>
                <w:szCs w:val="16"/>
                <w:lang w:val="en-US"/>
              </w:rPr>
              <w:t>Secretary</w:t>
            </w:r>
            <w:r w:rsidRPr="00F01347">
              <w:rPr>
                <w:rFonts w:ascii="Verdana" w:hAnsi="Verdana"/>
                <w:sz w:val="16"/>
                <w:szCs w:val="16"/>
                <w:lang w:val="en-US"/>
              </w:rPr>
              <w:t xml:space="preserve"> of Health will define the parameters and limits applicable to water intended for human use and consumption, in accordance with the provisions of article 116 of the </w:t>
            </w:r>
            <w:r w:rsidR="003E1BA9" w:rsidRPr="00F01347">
              <w:rPr>
                <w:rFonts w:ascii="Verdana" w:hAnsi="Verdana"/>
                <w:sz w:val="16"/>
                <w:szCs w:val="16"/>
                <w:lang w:val="en-US"/>
              </w:rPr>
              <w:t>General Law of Health</w:t>
            </w:r>
            <w:r w:rsidRPr="00F01347">
              <w:rPr>
                <w:rFonts w:ascii="Verdana" w:hAnsi="Verdana"/>
                <w:sz w:val="16"/>
                <w:szCs w:val="16"/>
                <w:lang w:val="en-US"/>
              </w:rPr>
              <w:t>.</w:t>
            </w:r>
          </w:p>
        </w:tc>
      </w:tr>
      <w:tr w:rsidR="00C9619D" w:rsidRPr="00F01347" w14:paraId="21A5F6CC" w14:textId="49BAC5A3" w:rsidTr="00B96966">
        <w:tc>
          <w:tcPr>
            <w:tcW w:w="4675" w:type="dxa"/>
          </w:tcPr>
          <w:p w14:paraId="327DDD77" w14:textId="77777777" w:rsidR="00C9619D" w:rsidRPr="00F01347" w:rsidRDefault="00C9619D" w:rsidP="00C9619D">
            <w:pPr>
              <w:pStyle w:val="texto0"/>
              <w:spacing w:after="100"/>
              <w:ind w:firstLine="0"/>
              <w:rPr>
                <w:rFonts w:ascii="Verdana" w:hAnsi="Verdana"/>
                <w:b/>
                <w:sz w:val="16"/>
                <w:szCs w:val="16"/>
              </w:rPr>
            </w:pPr>
            <w:r w:rsidRPr="00F01347">
              <w:rPr>
                <w:rFonts w:ascii="Verdana" w:hAnsi="Verdana"/>
                <w:b/>
                <w:sz w:val="16"/>
                <w:szCs w:val="16"/>
              </w:rPr>
              <w:t>6. Métodos de prueba</w:t>
            </w:r>
          </w:p>
        </w:tc>
        <w:tc>
          <w:tcPr>
            <w:tcW w:w="4675" w:type="dxa"/>
          </w:tcPr>
          <w:p w14:paraId="1D3CD7C2" w14:textId="146D2331"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6. Test methods</w:t>
            </w:r>
          </w:p>
        </w:tc>
      </w:tr>
      <w:tr w:rsidR="00C9619D" w:rsidRPr="00F01347" w14:paraId="660A94DD" w14:textId="1F812311" w:rsidTr="00B96966">
        <w:tc>
          <w:tcPr>
            <w:tcW w:w="4675" w:type="dxa"/>
          </w:tcPr>
          <w:p w14:paraId="76F9BE68" w14:textId="77777777" w:rsidR="00C9619D" w:rsidRPr="00F01347" w:rsidRDefault="00C9619D" w:rsidP="00C9619D">
            <w:pPr>
              <w:pStyle w:val="texto0"/>
              <w:spacing w:after="100"/>
              <w:ind w:firstLine="0"/>
              <w:rPr>
                <w:rFonts w:ascii="Verdana" w:hAnsi="Verdana"/>
                <w:sz w:val="16"/>
                <w:szCs w:val="16"/>
                <w:lang w:val="es-ES_tradnl"/>
              </w:rPr>
            </w:pPr>
            <w:r w:rsidRPr="00F01347">
              <w:rPr>
                <w:rFonts w:ascii="Verdana" w:hAnsi="Verdana"/>
                <w:b/>
                <w:sz w:val="16"/>
                <w:szCs w:val="16"/>
              </w:rPr>
              <w:t>6</w:t>
            </w:r>
            <w:r w:rsidRPr="00F01347">
              <w:rPr>
                <w:rFonts w:ascii="Verdana" w:hAnsi="Verdana"/>
                <w:b/>
                <w:sz w:val="16"/>
                <w:szCs w:val="16"/>
                <w:lang w:val="es-ES_tradnl"/>
              </w:rPr>
              <w:t xml:space="preserve">.1 </w:t>
            </w:r>
            <w:r w:rsidRPr="00F01347">
              <w:rPr>
                <w:rFonts w:ascii="Verdana" w:hAnsi="Verdana"/>
                <w:sz w:val="16"/>
                <w:szCs w:val="16"/>
                <w:lang w:val="es-ES_tradnl"/>
              </w:rPr>
              <w:t>Para la determinación de las especificaciones fisicoquímicas de agua, se deben aplicar los métodos que establecen las normas oficiales mexicanas citadas en los puntos 2.2 y 2.3 del Capítulo de Referencias normativas o los establecidos en el Apéndice B Normativo, Métodos de prueba de esta Norma.</w:t>
            </w:r>
          </w:p>
        </w:tc>
        <w:tc>
          <w:tcPr>
            <w:tcW w:w="4675" w:type="dxa"/>
          </w:tcPr>
          <w:p w14:paraId="382AF6A7" w14:textId="6F0D1005"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6.1 </w:t>
            </w:r>
            <w:r w:rsidR="008B3AF7" w:rsidRPr="00F01347">
              <w:rPr>
                <w:rFonts w:ascii="Verdana" w:hAnsi="Verdana"/>
                <w:bCs/>
                <w:sz w:val="16"/>
                <w:szCs w:val="16"/>
                <w:lang w:val="en-US"/>
              </w:rPr>
              <w:t>In order to</w:t>
            </w:r>
            <w:r w:rsidRPr="00F01347">
              <w:rPr>
                <w:rFonts w:ascii="Verdana" w:hAnsi="Verdana"/>
                <w:bCs/>
                <w:sz w:val="16"/>
                <w:szCs w:val="16"/>
                <w:lang w:val="en-US"/>
              </w:rPr>
              <w:t xml:space="preserve"> determine the physicochemical specifications of water,</w:t>
            </w:r>
            <w:r w:rsidRPr="00F01347">
              <w:rPr>
                <w:rFonts w:ascii="Verdana" w:hAnsi="Verdana"/>
                <w:b/>
                <w:sz w:val="16"/>
                <w:szCs w:val="16"/>
                <w:lang w:val="en-US"/>
              </w:rPr>
              <w:t xml:space="preserve"> </w:t>
            </w:r>
            <w:r w:rsidRPr="00F01347">
              <w:rPr>
                <w:rFonts w:ascii="Verdana" w:hAnsi="Verdana"/>
                <w:sz w:val="16"/>
                <w:szCs w:val="16"/>
                <w:lang w:val="en-US"/>
              </w:rPr>
              <w:t xml:space="preserve">the methods established by the </w:t>
            </w:r>
            <w:r w:rsidR="008B3AF7" w:rsidRPr="00F01347">
              <w:rPr>
                <w:rFonts w:ascii="Verdana" w:hAnsi="Verdana"/>
                <w:sz w:val="16"/>
                <w:szCs w:val="16"/>
                <w:lang w:val="en-US"/>
              </w:rPr>
              <w:t>O</w:t>
            </w:r>
            <w:r w:rsidRPr="00F01347">
              <w:rPr>
                <w:rFonts w:ascii="Verdana" w:hAnsi="Verdana"/>
                <w:sz w:val="16"/>
                <w:szCs w:val="16"/>
                <w:lang w:val="en-US"/>
              </w:rPr>
              <w:t xml:space="preserve">fficial Mexican standards cited in points 2.2 and 2.3 of the </w:t>
            </w:r>
            <w:r w:rsidR="00F25F0C" w:rsidRPr="00F01347">
              <w:rPr>
                <w:rFonts w:ascii="Verdana" w:hAnsi="Verdana"/>
                <w:sz w:val="16"/>
                <w:szCs w:val="16"/>
                <w:lang w:val="en-US"/>
              </w:rPr>
              <w:t>Legislative</w:t>
            </w:r>
            <w:r w:rsidRPr="00F01347">
              <w:rPr>
                <w:rFonts w:ascii="Verdana" w:hAnsi="Verdana"/>
                <w:sz w:val="16"/>
                <w:szCs w:val="16"/>
                <w:lang w:val="en-US"/>
              </w:rPr>
              <w:t xml:space="preserve"> References Chapter or those established in Normative Appendix B, Test Methods of this </w:t>
            </w:r>
            <w:r w:rsidR="008B3AF7" w:rsidRPr="00F01347">
              <w:rPr>
                <w:rFonts w:ascii="Verdana" w:hAnsi="Verdana"/>
                <w:sz w:val="16"/>
                <w:szCs w:val="16"/>
                <w:lang w:val="en-US"/>
              </w:rPr>
              <w:t>Standard</w:t>
            </w:r>
            <w:r w:rsidRPr="00F01347">
              <w:rPr>
                <w:rFonts w:ascii="Verdana" w:hAnsi="Verdana"/>
                <w:sz w:val="16"/>
                <w:szCs w:val="16"/>
                <w:lang w:val="en-US"/>
              </w:rPr>
              <w:t xml:space="preserve">, </w:t>
            </w:r>
            <w:r w:rsidRPr="00F01347">
              <w:rPr>
                <w:rFonts w:ascii="Verdana" w:hAnsi="Verdana"/>
                <w:bCs/>
                <w:sz w:val="16"/>
                <w:szCs w:val="16"/>
                <w:lang w:val="en-US"/>
              </w:rPr>
              <w:t>must</w:t>
            </w:r>
            <w:r w:rsidRPr="00F01347">
              <w:rPr>
                <w:rFonts w:ascii="Verdana" w:hAnsi="Verdana"/>
                <w:b/>
                <w:sz w:val="16"/>
                <w:szCs w:val="16"/>
                <w:lang w:val="en-US"/>
              </w:rPr>
              <w:t xml:space="preserve"> </w:t>
            </w:r>
            <w:r w:rsidRPr="00F01347">
              <w:rPr>
                <w:rFonts w:ascii="Verdana" w:hAnsi="Verdana"/>
                <w:sz w:val="16"/>
                <w:szCs w:val="16"/>
                <w:lang w:val="en-US"/>
              </w:rPr>
              <w:t>be applied.</w:t>
            </w:r>
          </w:p>
        </w:tc>
      </w:tr>
      <w:tr w:rsidR="00C9619D" w:rsidRPr="00F01347" w14:paraId="2A34C61F" w14:textId="1F5B84DD" w:rsidTr="00B96966">
        <w:tc>
          <w:tcPr>
            <w:tcW w:w="4675" w:type="dxa"/>
          </w:tcPr>
          <w:p w14:paraId="3EFDD081" w14:textId="77777777" w:rsidR="00C9619D" w:rsidRPr="00F01347" w:rsidRDefault="00C9619D" w:rsidP="00C9619D">
            <w:pPr>
              <w:pStyle w:val="texto0"/>
              <w:spacing w:after="100"/>
              <w:ind w:firstLine="0"/>
              <w:rPr>
                <w:rFonts w:ascii="Verdana" w:hAnsi="Verdana"/>
                <w:sz w:val="16"/>
                <w:szCs w:val="16"/>
                <w:lang w:val="es-ES_tradnl"/>
              </w:rPr>
            </w:pPr>
            <w:r w:rsidRPr="00F01347">
              <w:rPr>
                <w:rFonts w:ascii="Verdana" w:hAnsi="Verdana"/>
                <w:b/>
                <w:sz w:val="16"/>
                <w:szCs w:val="16"/>
                <w:lang w:val="es-ES_tradnl"/>
              </w:rPr>
              <w:t xml:space="preserve">6.2 </w:t>
            </w:r>
            <w:r w:rsidRPr="00F01347">
              <w:rPr>
                <w:rFonts w:ascii="Verdana" w:hAnsi="Verdana"/>
                <w:sz w:val="16"/>
                <w:szCs w:val="16"/>
                <w:lang w:val="es-ES_tradnl"/>
              </w:rPr>
              <w:t>Para la determinación de las especificaciones microbiológicas de agua, se deben aplicar los métodos de prueba que establece la norma oficial mexicana citada en el punto 2.3 y 2.4 del Capítulo de Referencias normativas o los establecidos en el Apéndice B Normativo Métodos de prueba de esta Norma.</w:t>
            </w:r>
          </w:p>
        </w:tc>
        <w:tc>
          <w:tcPr>
            <w:tcW w:w="4675" w:type="dxa"/>
          </w:tcPr>
          <w:p w14:paraId="1504DE0A" w14:textId="632C7B7D"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6.2 </w:t>
            </w:r>
            <w:r w:rsidRPr="00F01347">
              <w:rPr>
                <w:rFonts w:ascii="Verdana" w:hAnsi="Verdana"/>
                <w:sz w:val="16"/>
                <w:szCs w:val="16"/>
                <w:lang w:val="en-US"/>
              </w:rPr>
              <w:t xml:space="preserve">To determine the microbiological specifications of water, the test methods established by the </w:t>
            </w:r>
            <w:r w:rsidR="00F25F0C" w:rsidRPr="00F01347">
              <w:rPr>
                <w:rFonts w:ascii="Verdana" w:hAnsi="Verdana"/>
                <w:sz w:val="16"/>
                <w:szCs w:val="16"/>
                <w:lang w:val="en-US"/>
              </w:rPr>
              <w:t>Official Mexican Standards</w:t>
            </w:r>
            <w:r w:rsidRPr="00F01347">
              <w:rPr>
                <w:rFonts w:ascii="Verdana" w:hAnsi="Verdana"/>
                <w:sz w:val="16"/>
                <w:szCs w:val="16"/>
                <w:lang w:val="en-US"/>
              </w:rPr>
              <w:t xml:space="preserve"> cited in point 2.3 and 2.4 of the </w:t>
            </w:r>
            <w:r w:rsidR="00F25F0C" w:rsidRPr="00F01347">
              <w:rPr>
                <w:rFonts w:ascii="Verdana" w:hAnsi="Verdana"/>
                <w:sz w:val="16"/>
                <w:szCs w:val="16"/>
                <w:lang w:val="en-US"/>
              </w:rPr>
              <w:t>Legislative</w:t>
            </w:r>
            <w:r w:rsidRPr="00F01347">
              <w:rPr>
                <w:rFonts w:ascii="Verdana" w:hAnsi="Verdana"/>
                <w:sz w:val="16"/>
                <w:szCs w:val="16"/>
                <w:lang w:val="en-US"/>
              </w:rPr>
              <w:t xml:space="preserve"> References Chapter or those established in Normative Appendix B Test Methods of this Standard must be applied.</w:t>
            </w:r>
          </w:p>
        </w:tc>
      </w:tr>
      <w:tr w:rsidR="00C9619D" w:rsidRPr="00F01347" w14:paraId="5B901F60" w14:textId="4A13F22E" w:rsidTr="00B96966">
        <w:tc>
          <w:tcPr>
            <w:tcW w:w="4675" w:type="dxa"/>
          </w:tcPr>
          <w:p w14:paraId="45A16442" w14:textId="77777777" w:rsidR="00C9619D" w:rsidRPr="00F01347" w:rsidRDefault="00C9619D" w:rsidP="00C9619D">
            <w:pPr>
              <w:pStyle w:val="texto0"/>
              <w:spacing w:after="100"/>
              <w:ind w:firstLine="0"/>
              <w:rPr>
                <w:rFonts w:ascii="Verdana" w:hAnsi="Verdana"/>
                <w:b/>
                <w:sz w:val="16"/>
                <w:szCs w:val="16"/>
              </w:rPr>
            </w:pPr>
            <w:r w:rsidRPr="00F01347">
              <w:rPr>
                <w:rFonts w:ascii="Verdana" w:hAnsi="Verdana"/>
                <w:b/>
                <w:sz w:val="16"/>
                <w:szCs w:val="16"/>
              </w:rPr>
              <w:t>7. Concordancia con normas internacionales</w:t>
            </w:r>
          </w:p>
        </w:tc>
        <w:tc>
          <w:tcPr>
            <w:tcW w:w="4675" w:type="dxa"/>
          </w:tcPr>
          <w:p w14:paraId="7A3EAB52" w14:textId="24085B26"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7. Concordance with international standards</w:t>
            </w:r>
          </w:p>
        </w:tc>
      </w:tr>
      <w:tr w:rsidR="00C9619D" w:rsidRPr="00F01347" w14:paraId="6ED1B52E" w14:textId="2F5625BA" w:rsidTr="00B96966">
        <w:tc>
          <w:tcPr>
            <w:tcW w:w="4675" w:type="dxa"/>
          </w:tcPr>
          <w:p w14:paraId="43109931" w14:textId="77777777" w:rsidR="00C9619D" w:rsidRPr="00F01347" w:rsidRDefault="00C9619D" w:rsidP="00C9619D">
            <w:pPr>
              <w:pStyle w:val="texto0"/>
              <w:spacing w:after="100"/>
              <w:ind w:firstLine="0"/>
              <w:rPr>
                <w:rFonts w:ascii="Verdana" w:hAnsi="Verdana"/>
                <w:sz w:val="16"/>
                <w:szCs w:val="16"/>
                <w:lang w:val="es-ES"/>
              </w:rPr>
            </w:pPr>
            <w:r w:rsidRPr="00F01347">
              <w:rPr>
                <w:rFonts w:ascii="Verdana" w:hAnsi="Verdana"/>
                <w:sz w:val="16"/>
                <w:szCs w:val="16"/>
                <w:lang w:val="es-ES"/>
              </w:rPr>
              <w:t>Esta Norma no es concordante con ninguna Norma Internacional.</w:t>
            </w:r>
          </w:p>
        </w:tc>
        <w:tc>
          <w:tcPr>
            <w:tcW w:w="4675" w:type="dxa"/>
          </w:tcPr>
          <w:p w14:paraId="16F22F5C" w14:textId="14644ED5" w:rsidR="00C9619D" w:rsidRPr="00F01347" w:rsidRDefault="00C9619D" w:rsidP="00C9619D">
            <w:pPr>
              <w:pStyle w:val="texto0"/>
              <w:spacing w:after="100"/>
              <w:ind w:firstLine="0"/>
              <w:rPr>
                <w:rFonts w:ascii="Verdana" w:hAnsi="Verdana"/>
                <w:sz w:val="16"/>
                <w:szCs w:val="16"/>
                <w:lang w:val="en-US"/>
              </w:rPr>
            </w:pPr>
            <w:r w:rsidRPr="00F01347">
              <w:rPr>
                <w:rFonts w:ascii="Verdana" w:hAnsi="Verdana"/>
                <w:sz w:val="16"/>
                <w:szCs w:val="16"/>
                <w:lang w:val="en-US"/>
              </w:rPr>
              <w:t xml:space="preserve">This Standard </w:t>
            </w:r>
            <w:r w:rsidR="00F25F0C" w:rsidRPr="00F01347">
              <w:rPr>
                <w:rFonts w:ascii="Verdana" w:hAnsi="Verdana"/>
                <w:sz w:val="16"/>
                <w:szCs w:val="16"/>
                <w:lang w:val="en-US"/>
              </w:rPr>
              <w:t>does not concord</w:t>
            </w:r>
            <w:r w:rsidRPr="00F01347">
              <w:rPr>
                <w:rFonts w:ascii="Verdana" w:hAnsi="Verdana"/>
                <w:sz w:val="16"/>
                <w:szCs w:val="16"/>
                <w:lang w:val="en-US"/>
              </w:rPr>
              <w:t xml:space="preserve"> with any International Standard.</w:t>
            </w:r>
          </w:p>
        </w:tc>
      </w:tr>
      <w:tr w:rsidR="00C9619D" w:rsidRPr="00F01347" w14:paraId="42763731" w14:textId="3441C509" w:rsidTr="00B96966">
        <w:tc>
          <w:tcPr>
            <w:tcW w:w="4675" w:type="dxa"/>
          </w:tcPr>
          <w:p w14:paraId="7E209161" w14:textId="77777777" w:rsidR="00C9619D" w:rsidRPr="00F01347" w:rsidRDefault="00C9619D" w:rsidP="00C9619D">
            <w:pPr>
              <w:pStyle w:val="texto0"/>
              <w:spacing w:after="100"/>
              <w:ind w:firstLine="0"/>
              <w:rPr>
                <w:rFonts w:ascii="Verdana" w:hAnsi="Verdana"/>
                <w:b/>
                <w:sz w:val="16"/>
                <w:szCs w:val="16"/>
              </w:rPr>
            </w:pPr>
            <w:r w:rsidRPr="00F01347">
              <w:rPr>
                <w:rFonts w:ascii="Verdana" w:hAnsi="Verdana"/>
                <w:b/>
                <w:sz w:val="16"/>
                <w:szCs w:val="16"/>
              </w:rPr>
              <w:t>8. Procedimiento de evaluación de la conformidad</w:t>
            </w:r>
          </w:p>
        </w:tc>
        <w:tc>
          <w:tcPr>
            <w:tcW w:w="4675" w:type="dxa"/>
          </w:tcPr>
          <w:p w14:paraId="5A30B3C6" w14:textId="64639849"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8. </w:t>
            </w:r>
            <w:r w:rsidR="00F25F0C" w:rsidRPr="00F01347">
              <w:rPr>
                <w:rFonts w:ascii="Verdana" w:hAnsi="Verdana"/>
                <w:b/>
                <w:sz w:val="16"/>
                <w:szCs w:val="16"/>
                <w:lang w:val="en-US"/>
              </w:rPr>
              <w:t>Procedure for the Evaluation of Conformity</w:t>
            </w:r>
          </w:p>
        </w:tc>
      </w:tr>
      <w:tr w:rsidR="00C9619D" w:rsidRPr="00F01347" w14:paraId="6CE8BB5F" w14:textId="566EA3F1" w:rsidTr="00B96966">
        <w:tc>
          <w:tcPr>
            <w:tcW w:w="4675" w:type="dxa"/>
          </w:tcPr>
          <w:p w14:paraId="4C301D81" w14:textId="77777777" w:rsidR="00C9619D" w:rsidRPr="00F01347" w:rsidRDefault="00C9619D" w:rsidP="00C9619D">
            <w:pPr>
              <w:pStyle w:val="texto0"/>
              <w:spacing w:after="100"/>
              <w:ind w:firstLine="0"/>
              <w:rPr>
                <w:rFonts w:ascii="Verdana" w:hAnsi="Verdana"/>
                <w:sz w:val="16"/>
                <w:szCs w:val="16"/>
              </w:rPr>
            </w:pPr>
            <w:r w:rsidRPr="00F01347">
              <w:rPr>
                <w:rFonts w:ascii="Verdana" w:hAnsi="Verdana"/>
                <w:sz w:val="16"/>
                <w:szCs w:val="16"/>
              </w:rPr>
              <w:t>La evaluación de la conformidad podrá ser solicitada a instancia de parte por el responsable sanitario, el representante legal o la persona que tenga las facultades para ello, ante la autoridad competente o las personas acreditadas y autorizadas para tales efectos.</w:t>
            </w:r>
          </w:p>
        </w:tc>
        <w:tc>
          <w:tcPr>
            <w:tcW w:w="4675" w:type="dxa"/>
          </w:tcPr>
          <w:p w14:paraId="6D94471D" w14:textId="46772CC7" w:rsidR="00C9619D" w:rsidRPr="00F01347" w:rsidRDefault="00C9619D" w:rsidP="00C9619D">
            <w:pPr>
              <w:pStyle w:val="texto0"/>
              <w:spacing w:after="100"/>
              <w:ind w:firstLine="0"/>
              <w:rPr>
                <w:rFonts w:ascii="Verdana" w:hAnsi="Verdana"/>
                <w:sz w:val="16"/>
                <w:szCs w:val="16"/>
                <w:lang w:val="en-US"/>
              </w:rPr>
            </w:pPr>
            <w:r w:rsidRPr="00F01347">
              <w:rPr>
                <w:rFonts w:ascii="Verdana" w:hAnsi="Verdana"/>
                <w:sz w:val="16"/>
                <w:szCs w:val="16"/>
                <w:lang w:val="en-US"/>
              </w:rPr>
              <w:t xml:space="preserve">The evaluation of conformity may be requested at the request of the </w:t>
            </w:r>
            <w:r w:rsidR="00F25F0C" w:rsidRPr="00F01347">
              <w:rPr>
                <w:rFonts w:ascii="Verdana" w:hAnsi="Verdana"/>
                <w:sz w:val="16"/>
                <w:szCs w:val="16"/>
                <w:lang w:val="en-US"/>
              </w:rPr>
              <w:t>responsible sanitary</w:t>
            </w:r>
            <w:r w:rsidRPr="00F01347">
              <w:rPr>
                <w:rFonts w:ascii="Verdana" w:hAnsi="Verdana"/>
                <w:sz w:val="16"/>
                <w:szCs w:val="16"/>
                <w:lang w:val="en-US"/>
              </w:rPr>
              <w:t xml:space="preserve"> person, the legal representative or the person who has the powers to do </w:t>
            </w:r>
            <w:proofErr w:type="gramStart"/>
            <w:r w:rsidRPr="00F01347">
              <w:rPr>
                <w:rFonts w:ascii="Verdana" w:hAnsi="Verdana"/>
                <w:sz w:val="16"/>
                <w:szCs w:val="16"/>
                <w:lang w:val="en-US"/>
              </w:rPr>
              <w:t>so, before</w:t>
            </w:r>
            <w:proofErr w:type="gramEnd"/>
            <w:r w:rsidRPr="00F01347">
              <w:rPr>
                <w:rFonts w:ascii="Verdana" w:hAnsi="Verdana"/>
                <w:sz w:val="16"/>
                <w:szCs w:val="16"/>
                <w:lang w:val="en-US"/>
              </w:rPr>
              <w:t xml:space="preserve"> the </w:t>
            </w:r>
            <w:r w:rsidR="007F2355" w:rsidRPr="00F01347">
              <w:rPr>
                <w:rFonts w:ascii="Verdana" w:hAnsi="Verdana"/>
                <w:sz w:val="16"/>
                <w:szCs w:val="16"/>
                <w:lang w:val="en-US"/>
              </w:rPr>
              <w:t>appropriate authority</w:t>
            </w:r>
            <w:r w:rsidRPr="00F01347">
              <w:rPr>
                <w:rFonts w:ascii="Verdana" w:hAnsi="Verdana"/>
                <w:sz w:val="16"/>
                <w:szCs w:val="16"/>
                <w:lang w:val="en-US"/>
              </w:rPr>
              <w:t xml:space="preserve"> or persons accredited and authorized for such purposes.</w:t>
            </w:r>
          </w:p>
        </w:tc>
      </w:tr>
      <w:tr w:rsidR="00C9619D" w:rsidRPr="00F01347" w14:paraId="56F2F1EB" w14:textId="6B1BA68A" w:rsidTr="00B96966">
        <w:tc>
          <w:tcPr>
            <w:tcW w:w="4675" w:type="dxa"/>
          </w:tcPr>
          <w:p w14:paraId="37691FBA" w14:textId="77777777"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9. </w:t>
            </w:r>
            <w:proofErr w:type="spellStart"/>
            <w:r w:rsidRPr="00F01347">
              <w:rPr>
                <w:rFonts w:ascii="Verdana" w:hAnsi="Verdana"/>
                <w:b/>
                <w:sz w:val="16"/>
                <w:szCs w:val="16"/>
                <w:lang w:val="en-US"/>
              </w:rPr>
              <w:t>Bibliografía</w:t>
            </w:r>
            <w:proofErr w:type="spellEnd"/>
          </w:p>
        </w:tc>
        <w:tc>
          <w:tcPr>
            <w:tcW w:w="4675" w:type="dxa"/>
          </w:tcPr>
          <w:p w14:paraId="1ED0EA0E" w14:textId="2FA89F0E"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9. Bibliography</w:t>
            </w:r>
          </w:p>
        </w:tc>
      </w:tr>
      <w:tr w:rsidR="00C9619D" w:rsidRPr="00F01347" w14:paraId="0FCB57A0" w14:textId="01D151B3" w:rsidTr="00B96966">
        <w:tc>
          <w:tcPr>
            <w:tcW w:w="4675" w:type="dxa"/>
          </w:tcPr>
          <w:p w14:paraId="4137ABEC" w14:textId="77777777" w:rsidR="00C9619D" w:rsidRPr="00F01347" w:rsidRDefault="00C9619D" w:rsidP="00C9619D">
            <w:pPr>
              <w:pStyle w:val="texto0"/>
              <w:spacing w:after="100"/>
              <w:ind w:firstLine="0"/>
              <w:rPr>
                <w:rFonts w:ascii="Verdana" w:hAnsi="Verdana"/>
                <w:sz w:val="16"/>
                <w:szCs w:val="16"/>
                <w:lang w:val="en-US"/>
              </w:rPr>
            </w:pPr>
            <w:r w:rsidRPr="00F01347">
              <w:rPr>
                <w:rFonts w:ascii="Verdana" w:hAnsi="Verdana"/>
                <w:b/>
                <w:sz w:val="16"/>
                <w:szCs w:val="16"/>
                <w:lang w:val="en-US"/>
              </w:rPr>
              <w:t xml:space="preserve">9.1 </w:t>
            </w:r>
            <w:r w:rsidRPr="00F01347">
              <w:rPr>
                <w:rFonts w:ascii="Verdana" w:hAnsi="Verdana"/>
                <w:sz w:val="16"/>
                <w:szCs w:val="16"/>
                <w:lang w:val="en-US"/>
              </w:rPr>
              <w:t>American Public Health Association (2012). Standard Methods for the Examination of Water and Wastewater, 22nd Edition. Washington D.C. EUA.</w:t>
            </w:r>
          </w:p>
        </w:tc>
        <w:tc>
          <w:tcPr>
            <w:tcW w:w="4675" w:type="dxa"/>
          </w:tcPr>
          <w:p w14:paraId="5637F513" w14:textId="7399515D"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9.1 </w:t>
            </w:r>
            <w:r w:rsidRPr="00F01347">
              <w:rPr>
                <w:rFonts w:ascii="Verdana" w:hAnsi="Verdana"/>
                <w:sz w:val="16"/>
                <w:szCs w:val="16"/>
                <w:lang w:val="en-US"/>
              </w:rPr>
              <w:t>American Public Health Association (2012). Standard Methods for the Examination of Water and Wastewater, 22nd Edition. Washington D</w:t>
            </w:r>
            <w:r w:rsidR="007F2355" w:rsidRPr="00F01347">
              <w:rPr>
                <w:rFonts w:ascii="Verdana" w:hAnsi="Verdana"/>
                <w:sz w:val="16"/>
                <w:szCs w:val="16"/>
                <w:lang w:val="en-US"/>
              </w:rPr>
              <w:t>.</w:t>
            </w:r>
            <w:r w:rsidRPr="00F01347">
              <w:rPr>
                <w:rFonts w:ascii="Verdana" w:hAnsi="Verdana"/>
                <w:sz w:val="16"/>
                <w:szCs w:val="16"/>
                <w:lang w:val="en-US"/>
              </w:rPr>
              <w:t>C</w:t>
            </w:r>
            <w:r w:rsidR="007F2355" w:rsidRPr="00F01347">
              <w:rPr>
                <w:rFonts w:ascii="Verdana" w:hAnsi="Verdana"/>
                <w:sz w:val="16"/>
                <w:szCs w:val="16"/>
                <w:lang w:val="en-US"/>
              </w:rPr>
              <w:t>.</w:t>
            </w:r>
            <w:r w:rsidRPr="00F01347">
              <w:rPr>
                <w:rFonts w:ascii="Verdana" w:hAnsi="Verdana"/>
                <w:sz w:val="16"/>
                <w:szCs w:val="16"/>
                <w:lang w:val="en-US"/>
              </w:rPr>
              <w:t xml:space="preserve"> USA.</w:t>
            </w:r>
          </w:p>
        </w:tc>
      </w:tr>
      <w:tr w:rsidR="00C9619D" w:rsidRPr="00F01347" w14:paraId="59ECD7C3" w14:textId="4389D1AD" w:rsidTr="00B96966">
        <w:tc>
          <w:tcPr>
            <w:tcW w:w="4675" w:type="dxa"/>
          </w:tcPr>
          <w:p w14:paraId="06ED5544" w14:textId="77777777" w:rsidR="00C9619D" w:rsidRPr="00F01347" w:rsidRDefault="00C9619D" w:rsidP="00C9619D">
            <w:pPr>
              <w:pStyle w:val="texto0"/>
              <w:spacing w:after="100"/>
              <w:ind w:firstLine="0"/>
              <w:rPr>
                <w:rFonts w:ascii="Verdana" w:hAnsi="Verdana"/>
                <w:sz w:val="16"/>
                <w:szCs w:val="16"/>
                <w:lang w:val="en-US"/>
              </w:rPr>
            </w:pPr>
            <w:r w:rsidRPr="00F01347">
              <w:rPr>
                <w:rFonts w:ascii="Verdana" w:hAnsi="Verdana"/>
                <w:b/>
                <w:sz w:val="16"/>
                <w:szCs w:val="16"/>
                <w:lang w:val="en-US"/>
              </w:rPr>
              <w:t>9.2</w:t>
            </w:r>
            <w:r w:rsidRPr="00F01347">
              <w:rPr>
                <w:rFonts w:ascii="Verdana" w:hAnsi="Verdana"/>
                <w:sz w:val="16"/>
                <w:szCs w:val="16"/>
                <w:lang w:val="en-US"/>
              </w:rPr>
              <w:t xml:space="preserve"> American Water Works Association (2000). Water Quality and Treatment: A Handbook of Community Water Supplies, 5th Edition, McGraw Hill Inc, USA.</w:t>
            </w:r>
          </w:p>
        </w:tc>
        <w:tc>
          <w:tcPr>
            <w:tcW w:w="4675" w:type="dxa"/>
          </w:tcPr>
          <w:p w14:paraId="193DA933" w14:textId="2EB17508"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9.2 </w:t>
            </w:r>
            <w:r w:rsidRPr="00F01347">
              <w:rPr>
                <w:rFonts w:ascii="Verdana" w:hAnsi="Verdana"/>
                <w:sz w:val="16"/>
                <w:szCs w:val="16"/>
                <w:lang w:val="en-US"/>
              </w:rPr>
              <w:t>American Water Works Association (2000). Water Quality and Treatment: A Handbook of Community Water Supplies, 5th Edition, McGraw Hill Inc, USA.</w:t>
            </w:r>
          </w:p>
        </w:tc>
      </w:tr>
      <w:tr w:rsidR="00C9619D" w:rsidRPr="00F01347" w14:paraId="15D6E8E1" w14:textId="151761BA" w:rsidTr="00B96966">
        <w:tc>
          <w:tcPr>
            <w:tcW w:w="4675" w:type="dxa"/>
          </w:tcPr>
          <w:p w14:paraId="6E1E274F" w14:textId="77777777" w:rsidR="00C9619D" w:rsidRPr="00F01347" w:rsidRDefault="00C9619D" w:rsidP="00C9619D">
            <w:pPr>
              <w:pStyle w:val="texto0"/>
              <w:spacing w:after="100"/>
              <w:ind w:firstLine="0"/>
              <w:rPr>
                <w:rFonts w:ascii="Verdana" w:hAnsi="Verdana"/>
                <w:sz w:val="16"/>
                <w:szCs w:val="16"/>
              </w:rPr>
            </w:pPr>
            <w:r w:rsidRPr="00F01347">
              <w:rPr>
                <w:rFonts w:ascii="Verdana" w:hAnsi="Verdana"/>
                <w:b/>
                <w:sz w:val="16"/>
                <w:szCs w:val="16"/>
              </w:rPr>
              <w:t>9.3</w:t>
            </w:r>
            <w:r w:rsidRPr="00F01347">
              <w:rPr>
                <w:rFonts w:ascii="Verdana" w:hAnsi="Verdana"/>
                <w:sz w:val="16"/>
                <w:szCs w:val="16"/>
              </w:rPr>
              <w:t xml:space="preserve"> Betancourt-Lineares, A., Irigoyen-Camacho, ME., Mejía-González, A., Zepeda-Zepeda, M. &amp; Sánchez-Pérez, L. (2013). Prevalencia de </w:t>
            </w:r>
            <w:proofErr w:type="spellStart"/>
            <w:r w:rsidRPr="00F01347">
              <w:rPr>
                <w:rFonts w:ascii="Verdana" w:hAnsi="Verdana"/>
                <w:sz w:val="16"/>
                <w:szCs w:val="16"/>
              </w:rPr>
              <w:t>Fluorósis</w:t>
            </w:r>
            <w:proofErr w:type="spellEnd"/>
            <w:r w:rsidRPr="00F01347">
              <w:rPr>
                <w:rFonts w:ascii="Verdana" w:hAnsi="Verdana"/>
                <w:sz w:val="16"/>
                <w:szCs w:val="16"/>
              </w:rPr>
              <w:t xml:space="preserve"> Dental en Localidades Mexicanas Ubicadas en 27 Estados y el DF. A Seis Años de la Publicación de la Norma Oficial Mexicana para la </w:t>
            </w:r>
            <w:proofErr w:type="spellStart"/>
            <w:r w:rsidRPr="00F01347">
              <w:rPr>
                <w:rFonts w:ascii="Verdana" w:hAnsi="Verdana"/>
                <w:sz w:val="16"/>
                <w:szCs w:val="16"/>
              </w:rPr>
              <w:t>Fluoruración</w:t>
            </w:r>
            <w:proofErr w:type="spellEnd"/>
            <w:r w:rsidRPr="00F01347">
              <w:rPr>
                <w:rFonts w:ascii="Verdana" w:hAnsi="Verdana"/>
                <w:sz w:val="16"/>
                <w:szCs w:val="16"/>
              </w:rPr>
              <w:t xml:space="preserve"> de la Sal. Revista de Investigación Clínica. 65, (3) 23, </w:t>
            </w:r>
            <w:proofErr w:type="spellStart"/>
            <w:r w:rsidRPr="00F01347">
              <w:rPr>
                <w:rFonts w:ascii="Verdana" w:hAnsi="Verdana"/>
                <w:sz w:val="16"/>
                <w:szCs w:val="16"/>
              </w:rPr>
              <w:t>pp</w:t>
            </w:r>
            <w:proofErr w:type="spellEnd"/>
            <w:r w:rsidRPr="00F01347">
              <w:rPr>
                <w:rFonts w:ascii="Verdana" w:hAnsi="Verdana"/>
                <w:sz w:val="16"/>
                <w:szCs w:val="16"/>
              </w:rPr>
              <w:t xml:space="preserve"> 7-24.</w:t>
            </w:r>
          </w:p>
        </w:tc>
        <w:tc>
          <w:tcPr>
            <w:tcW w:w="4675" w:type="dxa"/>
          </w:tcPr>
          <w:p w14:paraId="3D0CE999" w14:textId="35B67120" w:rsidR="00C9619D" w:rsidRPr="00F01347" w:rsidRDefault="00C9619D" w:rsidP="00C9619D">
            <w:pPr>
              <w:pStyle w:val="texto0"/>
              <w:spacing w:after="100"/>
              <w:ind w:firstLine="0"/>
              <w:rPr>
                <w:rFonts w:ascii="Verdana" w:hAnsi="Verdana"/>
                <w:b/>
                <w:sz w:val="16"/>
                <w:szCs w:val="16"/>
              </w:rPr>
            </w:pPr>
            <w:r w:rsidRPr="00F01347">
              <w:rPr>
                <w:rFonts w:ascii="Verdana" w:hAnsi="Verdana"/>
                <w:b/>
                <w:sz w:val="16"/>
                <w:szCs w:val="16"/>
              </w:rPr>
              <w:t xml:space="preserve">9.3 </w:t>
            </w:r>
            <w:r w:rsidRPr="00F01347">
              <w:rPr>
                <w:rFonts w:ascii="Verdana" w:hAnsi="Verdana"/>
                <w:sz w:val="16"/>
                <w:szCs w:val="16"/>
              </w:rPr>
              <w:t xml:space="preserve">Betancourt-Lineares, A., Irigoyen-Camacho, ME., Mejía-González, A., Zepeda-Zepeda, M. &amp; Sánchez-Pérez, L. (2013). </w:t>
            </w:r>
            <w:r w:rsidRPr="00F01347">
              <w:rPr>
                <w:rFonts w:ascii="Verdana" w:hAnsi="Verdana"/>
                <w:sz w:val="16"/>
                <w:szCs w:val="16"/>
                <w:lang w:val="en-US"/>
              </w:rPr>
              <w:t>Prevalence of Dental Fluorosis in Mexican Localities Located in 27 States and the DF. Six Years After the Publication of the Official Mexican Standard for Salt Fluoridation</w:t>
            </w:r>
            <w:r w:rsidR="003E1BA9" w:rsidRPr="00F01347">
              <w:rPr>
                <w:rFonts w:ascii="Verdana" w:hAnsi="Verdana"/>
                <w:sz w:val="16"/>
                <w:szCs w:val="16"/>
                <w:lang w:val="en-US"/>
              </w:rPr>
              <w:t>.</w:t>
            </w:r>
            <w:r w:rsidRPr="00F01347">
              <w:rPr>
                <w:rFonts w:ascii="Verdana" w:hAnsi="Verdana"/>
                <w:sz w:val="16"/>
                <w:szCs w:val="16"/>
                <w:lang w:val="en-US"/>
              </w:rPr>
              <w:t xml:space="preserve"> </w:t>
            </w:r>
            <w:proofErr w:type="spellStart"/>
            <w:r w:rsidRPr="00F01347">
              <w:rPr>
                <w:rFonts w:ascii="Verdana" w:hAnsi="Verdana"/>
                <w:sz w:val="16"/>
                <w:szCs w:val="16"/>
              </w:rPr>
              <w:t>Journal</w:t>
            </w:r>
            <w:proofErr w:type="spellEnd"/>
            <w:r w:rsidRPr="00F01347">
              <w:rPr>
                <w:rFonts w:ascii="Verdana" w:hAnsi="Verdana"/>
                <w:sz w:val="16"/>
                <w:szCs w:val="16"/>
              </w:rPr>
              <w:t xml:space="preserve"> </w:t>
            </w:r>
            <w:proofErr w:type="spellStart"/>
            <w:r w:rsidRPr="00F01347">
              <w:rPr>
                <w:rFonts w:ascii="Verdana" w:hAnsi="Verdana"/>
                <w:sz w:val="16"/>
                <w:szCs w:val="16"/>
              </w:rPr>
              <w:t>of</w:t>
            </w:r>
            <w:proofErr w:type="spellEnd"/>
            <w:r w:rsidRPr="00F01347">
              <w:rPr>
                <w:rFonts w:ascii="Verdana" w:hAnsi="Verdana"/>
                <w:sz w:val="16"/>
                <w:szCs w:val="16"/>
              </w:rPr>
              <w:t xml:space="preserve"> </w:t>
            </w:r>
            <w:proofErr w:type="spellStart"/>
            <w:r w:rsidRPr="00F01347">
              <w:rPr>
                <w:rFonts w:ascii="Verdana" w:hAnsi="Verdana"/>
                <w:sz w:val="16"/>
                <w:szCs w:val="16"/>
              </w:rPr>
              <w:t>Clinical</w:t>
            </w:r>
            <w:proofErr w:type="spellEnd"/>
            <w:r w:rsidRPr="00F01347">
              <w:rPr>
                <w:rFonts w:ascii="Verdana" w:hAnsi="Verdana"/>
                <w:sz w:val="16"/>
                <w:szCs w:val="16"/>
              </w:rPr>
              <w:t xml:space="preserve"> </w:t>
            </w:r>
            <w:proofErr w:type="spellStart"/>
            <w:r w:rsidRPr="00F01347">
              <w:rPr>
                <w:rFonts w:ascii="Verdana" w:hAnsi="Verdana"/>
                <w:sz w:val="16"/>
                <w:szCs w:val="16"/>
              </w:rPr>
              <w:t>Research</w:t>
            </w:r>
            <w:proofErr w:type="spellEnd"/>
            <w:r w:rsidRPr="00F01347">
              <w:rPr>
                <w:rFonts w:ascii="Verdana" w:hAnsi="Verdana"/>
                <w:sz w:val="16"/>
                <w:szCs w:val="16"/>
              </w:rPr>
              <w:t xml:space="preserve">. 65, (3) 23, </w:t>
            </w:r>
            <w:proofErr w:type="spellStart"/>
            <w:r w:rsidRPr="00F01347">
              <w:rPr>
                <w:rFonts w:ascii="Verdana" w:hAnsi="Verdana"/>
                <w:sz w:val="16"/>
                <w:szCs w:val="16"/>
              </w:rPr>
              <w:t>p</w:t>
            </w:r>
            <w:r w:rsidR="00B3467A" w:rsidRPr="00F01347">
              <w:rPr>
                <w:rFonts w:ascii="Verdana" w:hAnsi="Verdana"/>
                <w:sz w:val="16"/>
                <w:szCs w:val="16"/>
              </w:rPr>
              <w:t>ages</w:t>
            </w:r>
            <w:proofErr w:type="spellEnd"/>
            <w:r w:rsidRPr="00F01347">
              <w:rPr>
                <w:rFonts w:ascii="Verdana" w:hAnsi="Verdana"/>
                <w:sz w:val="16"/>
                <w:szCs w:val="16"/>
              </w:rPr>
              <w:t xml:space="preserve"> 7-24.</w:t>
            </w:r>
          </w:p>
        </w:tc>
      </w:tr>
      <w:tr w:rsidR="00C9619D" w:rsidRPr="00F01347" w14:paraId="468A4EA2" w14:textId="788180FA" w:rsidTr="00B96966">
        <w:tc>
          <w:tcPr>
            <w:tcW w:w="4675" w:type="dxa"/>
          </w:tcPr>
          <w:p w14:paraId="70B0B7DB" w14:textId="77777777" w:rsidR="00C9619D" w:rsidRPr="00F01347" w:rsidRDefault="00C9619D" w:rsidP="00C9619D">
            <w:pPr>
              <w:pStyle w:val="texto0"/>
              <w:spacing w:after="100"/>
              <w:ind w:firstLine="0"/>
              <w:rPr>
                <w:rFonts w:ascii="Verdana" w:hAnsi="Verdana"/>
                <w:sz w:val="16"/>
                <w:szCs w:val="16"/>
              </w:rPr>
            </w:pPr>
            <w:r w:rsidRPr="00F01347">
              <w:rPr>
                <w:rFonts w:ascii="Verdana" w:hAnsi="Verdana"/>
                <w:b/>
                <w:sz w:val="16"/>
                <w:szCs w:val="16"/>
              </w:rPr>
              <w:t xml:space="preserve">9.4 </w:t>
            </w:r>
            <w:r w:rsidRPr="00F01347">
              <w:rPr>
                <w:rFonts w:ascii="Verdana" w:hAnsi="Verdana"/>
                <w:sz w:val="16"/>
                <w:szCs w:val="16"/>
              </w:rPr>
              <w:t xml:space="preserve">Bocanegra-Salazar, M., Landín-Rodríguez, LE. &amp; </w:t>
            </w:r>
            <w:proofErr w:type="spellStart"/>
            <w:r w:rsidRPr="00F01347">
              <w:rPr>
                <w:rFonts w:ascii="Verdana" w:hAnsi="Verdana"/>
                <w:sz w:val="16"/>
                <w:szCs w:val="16"/>
              </w:rPr>
              <w:t>Ortíz</w:t>
            </w:r>
            <w:proofErr w:type="spellEnd"/>
            <w:r w:rsidRPr="00F01347">
              <w:rPr>
                <w:rFonts w:ascii="Verdana" w:hAnsi="Verdana"/>
                <w:sz w:val="16"/>
                <w:szCs w:val="16"/>
              </w:rPr>
              <w:t>-Pérez, MD. (2006). Tesis: Evaluación de la Contaminación por Flúor y Arsénico en el Agua de Pozo para Consumo Humano de las Zonas Centro, Altiplano y media del Estado de San Luis Potosí. Universidad Autónoma de San Luis Potosí.</w:t>
            </w:r>
          </w:p>
        </w:tc>
        <w:tc>
          <w:tcPr>
            <w:tcW w:w="4675" w:type="dxa"/>
          </w:tcPr>
          <w:p w14:paraId="1B3DDD53" w14:textId="7D79A1C7" w:rsidR="00C9619D" w:rsidRPr="00F01347" w:rsidRDefault="00C9619D" w:rsidP="00C9619D">
            <w:pPr>
              <w:pStyle w:val="texto0"/>
              <w:spacing w:after="100"/>
              <w:ind w:firstLine="0"/>
              <w:rPr>
                <w:rFonts w:ascii="Verdana" w:hAnsi="Verdana"/>
                <w:b/>
                <w:sz w:val="16"/>
                <w:szCs w:val="16"/>
              </w:rPr>
            </w:pPr>
            <w:r w:rsidRPr="00F01347">
              <w:rPr>
                <w:rFonts w:ascii="Verdana" w:hAnsi="Verdana"/>
                <w:b/>
                <w:sz w:val="16"/>
                <w:szCs w:val="16"/>
              </w:rPr>
              <w:t xml:space="preserve">9.4 </w:t>
            </w:r>
            <w:r w:rsidRPr="00F01347">
              <w:rPr>
                <w:rFonts w:ascii="Verdana" w:hAnsi="Verdana"/>
                <w:sz w:val="16"/>
                <w:szCs w:val="16"/>
              </w:rPr>
              <w:t xml:space="preserve">Bocanegra-Salazar, M., Landín-Rodríguez, LE. </w:t>
            </w:r>
            <w:r w:rsidRPr="00F01347">
              <w:rPr>
                <w:rFonts w:ascii="Verdana" w:hAnsi="Verdana"/>
                <w:sz w:val="16"/>
                <w:szCs w:val="16"/>
                <w:lang w:val="en-US"/>
              </w:rPr>
              <w:t xml:space="preserve">&amp; Ortíz -Pérez, MD. (2006). Thesis: Evaluation of Fluorine and Arsenic Contamination in Well Water for Human Consumption in the Central, Altiplano and Middle Zones of the State of San Luis Potosí. </w:t>
            </w:r>
            <w:proofErr w:type="spellStart"/>
            <w:r w:rsidRPr="00F01347">
              <w:rPr>
                <w:rFonts w:ascii="Verdana" w:hAnsi="Verdana"/>
                <w:sz w:val="16"/>
                <w:szCs w:val="16"/>
              </w:rPr>
              <w:t>Autonomous</w:t>
            </w:r>
            <w:proofErr w:type="spellEnd"/>
            <w:r w:rsidRPr="00F01347">
              <w:rPr>
                <w:rFonts w:ascii="Verdana" w:hAnsi="Verdana"/>
                <w:sz w:val="16"/>
                <w:szCs w:val="16"/>
              </w:rPr>
              <w:t xml:space="preserve"> </w:t>
            </w:r>
            <w:proofErr w:type="spellStart"/>
            <w:r w:rsidRPr="00F01347">
              <w:rPr>
                <w:rFonts w:ascii="Verdana" w:hAnsi="Verdana"/>
                <w:sz w:val="16"/>
                <w:szCs w:val="16"/>
              </w:rPr>
              <w:t>University</w:t>
            </w:r>
            <w:proofErr w:type="spellEnd"/>
            <w:r w:rsidRPr="00F01347">
              <w:rPr>
                <w:rFonts w:ascii="Verdana" w:hAnsi="Verdana"/>
                <w:sz w:val="16"/>
                <w:szCs w:val="16"/>
              </w:rPr>
              <w:t xml:space="preserve"> </w:t>
            </w:r>
            <w:proofErr w:type="spellStart"/>
            <w:r w:rsidRPr="00F01347">
              <w:rPr>
                <w:rFonts w:ascii="Verdana" w:hAnsi="Verdana"/>
                <w:sz w:val="16"/>
                <w:szCs w:val="16"/>
              </w:rPr>
              <w:t>of</w:t>
            </w:r>
            <w:proofErr w:type="spellEnd"/>
            <w:r w:rsidRPr="00F01347">
              <w:rPr>
                <w:rFonts w:ascii="Verdana" w:hAnsi="Verdana"/>
                <w:sz w:val="16"/>
                <w:szCs w:val="16"/>
              </w:rPr>
              <w:t xml:space="preserve"> San Luis Potosí.</w:t>
            </w:r>
          </w:p>
        </w:tc>
      </w:tr>
      <w:tr w:rsidR="00C9619D" w:rsidRPr="00F01347" w14:paraId="2C74203F" w14:textId="3E12492B" w:rsidTr="00B96966">
        <w:tc>
          <w:tcPr>
            <w:tcW w:w="4675" w:type="dxa"/>
          </w:tcPr>
          <w:p w14:paraId="42F78347" w14:textId="77777777" w:rsidR="00C9619D" w:rsidRPr="00F01347" w:rsidRDefault="00C9619D" w:rsidP="00C9619D">
            <w:pPr>
              <w:pStyle w:val="texto0"/>
              <w:spacing w:after="100"/>
              <w:ind w:firstLine="0"/>
              <w:rPr>
                <w:rFonts w:ascii="Verdana" w:hAnsi="Verdana"/>
                <w:sz w:val="16"/>
                <w:szCs w:val="16"/>
              </w:rPr>
            </w:pPr>
            <w:r w:rsidRPr="00F01347">
              <w:rPr>
                <w:rFonts w:ascii="Verdana" w:hAnsi="Verdana"/>
                <w:b/>
                <w:sz w:val="16"/>
                <w:szCs w:val="16"/>
              </w:rPr>
              <w:t>9.5</w:t>
            </w:r>
            <w:r w:rsidRPr="00F01347">
              <w:rPr>
                <w:rFonts w:ascii="Verdana" w:hAnsi="Verdana"/>
                <w:sz w:val="16"/>
                <w:szCs w:val="16"/>
                <w:lang w:val="es-ES_tradnl"/>
              </w:rPr>
              <w:t xml:space="preserve"> </w:t>
            </w:r>
            <w:r w:rsidRPr="00F01347">
              <w:rPr>
                <w:rFonts w:ascii="Verdana" w:hAnsi="Verdana"/>
                <w:sz w:val="16"/>
                <w:szCs w:val="16"/>
              </w:rPr>
              <w:t>Comisión Nacional del Agua (2015). Manual de Agua Potable, Alcantarillado y Saneamiento (Mapas).</w:t>
            </w:r>
          </w:p>
        </w:tc>
        <w:tc>
          <w:tcPr>
            <w:tcW w:w="4675" w:type="dxa"/>
          </w:tcPr>
          <w:p w14:paraId="5E8DD507" w14:textId="3E4053D7"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9.5</w:t>
            </w:r>
            <w:r w:rsidRPr="00F01347">
              <w:rPr>
                <w:rFonts w:ascii="Verdana" w:hAnsi="Verdana"/>
                <w:sz w:val="16"/>
                <w:szCs w:val="16"/>
                <w:lang w:val="en-US"/>
              </w:rPr>
              <w:t xml:space="preserve"> National Water Commission (2015). Drinking Water, Sewage and Sanitation Manual (Maps).</w:t>
            </w:r>
          </w:p>
        </w:tc>
      </w:tr>
      <w:tr w:rsidR="00C9619D" w:rsidRPr="00F01347" w14:paraId="43B4771F" w14:textId="1C3F9A47" w:rsidTr="00B96966">
        <w:tc>
          <w:tcPr>
            <w:tcW w:w="4675" w:type="dxa"/>
          </w:tcPr>
          <w:p w14:paraId="7E05E879" w14:textId="77777777" w:rsidR="00C9619D" w:rsidRPr="00F01347" w:rsidRDefault="00C9619D" w:rsidP="00C9619D">
            <w:pPr>
              <w:pStyle w:val="texto0"/>
              <w:spacing w:after="100"/>
              <w:ind w:firstLine="0"/>
              <w:rPr>
                <w:rFonts w:ascii="Verdana" w:hAnsi="Verdana"/>
                <w:sz w:val="16"/>
                <w:szCs w:val="16"/>
              </w:rPr>
            </w:pPr>
            <w:r w:rsidRPr="00F01347">
              <w:rPr>
                <w:rFonts w:ascii="Verdana" w:hAnsi="Verdana"/>
                <w:b/>
                <w:sz w:val="16"/>
                <w:szCs w:val="16"/>
              </w:rPr>
              <w:t xml:space="preserve">9.6 </w:t>
            </w:r>
            <w:r w:rsidRPr="00F01347">
              <w:rPr>
                <w:rFonts w:ascii="Verdana" w:hAnsi="Verdana"/>
                <w:sz w:val="16"/>
                <w:szCs w:val="16"/>
              </w:rPr>
              <w:t>Programa de las Naciones Unidas para el Medio Ambiente. 2001. Convenio de Estocolmo sobre Contaminantes Orgánicos Persistentes. UNEP.</w:t>
            </w:r>
          </w:p>
        </w:tc>
        <w:tc>
          <w:tcPr>
            <w:tcW w:w="4675" w:type="dxa"/>
          </w:tcPr>
          <w:p w14:paraId="4F0E618B" w14:textId="44DD4562" w:rsidR="00C9619D" w:rsidRPr="00F01347" w:rsidRDefault="00C9619D" w:rsidP="00C9619D">
            <w:pPr>
              <w:pStyle w:val="texto0"/>
              <w:spacing w:after="100"/>
              <w:ind w:firstLine="0"/>
              <w:rPr>
                <w:rFonts w:ascii="Verdana" w:hAnsi="Verdana"/>
                <w:b/>
                <w:sz w:val="16"/>
                <w:szCs w:val="16"/>
              </w:rPr>
            </w:pPr>
            <w:r w:rsidRPr="00F01347">
              <w:rPr>
                <w:rFonts w:ascii="Verdana" w:hAnsi="Verdana"/>
                <w:b/>
                <w:sz w:val="16"/>
                <w:szCs w:val="16"/>
                <w:lang w:val="en-US"/>
              </w:rPr>
              <w:t xml:space="preserve">9.6 </w:t>
            </w:r>
            <w:r w:rsidRPr="00F01347">
              <w:rPr>
                <w:rFonts w:ascii="Verdana" w:hAnsi="Verdana"/>
                <w:sz w:val="16"/>
                <w:szCs w:val="16"/>
                <w:lang w:val="en-US"/>
              </w:rPr>
              <w:t xml:space="preserve">United Nations Environment </w:t>
            </w:r>
            <w:proofErr w:type="spellStart"/>
            <w:r w:rsidRPr="00F01347">
              <w:rPr>
                <w:rFonts w:ascii="Verdana" w:hAnsi="Verdana"/>
                <w:sz w:val="16"/>
                <w:szCs w:val="16"/>
                <w:lang w:val="en-US"/>
              </w:rPr>
              <w:t>Programme</w:t>
            </w:r>
            <w:proofErr w:type="spellEnd"/>
            <w:r w:rsidRPr="00F01347">
              <w:rPr>
                <w:rFonts w:ascii="Verdana" w:hAnsi="Verdana"/>
                <w:sz w:val="16"/>
                <w:szCs w:val="16"/>
                <w:lang w:val="en-US"/>
              </w:rPr>
              <w:t>. 2001. Stockholm Convention on Persistent Organic Pollutants. UNEP.</w:t>
            </w:r>
          </w:p>
        </w:tc>
      </w:tr>
      <w:tr w:rsidR="00C9619D" w:rsidRPr="00F01347" w14:paraId="3808BB27" w14:textId="572713B8" w:rsidTr="00B96966">
        <w:tc>
          <w:tcPr>
            <w:tcW w:w="4675" w:type="dxa"/>
          </w:tcPr>
          <w:p w14:paraId="7D4AC231" w14:textId="77777777" w:rsidR="00C9619D" w:rsidRPr="00F01347" w:rsidRDefault="00C9619D" w:rsidP="00C9619D">
            <w:pPr>
              <w:pStyle w:val="texto0"/>
              <w:spacing w:after="100"/>
              <w:ind w:firstLine="0"/>
              <w:rPr>
                <w:rFonts w:ascii="Verdana" w:hAnsi="Verdana"/>
                <w:sz w:val="16"/>
                <w:szCs w:val="16"/>
                <w:lang w:val="en-US"/>
              </w:rPr>
            </w:pPr>
            <w:r w:rsidRPr="00F01347">
              <w:rPr>
                <w:rFonts w:ascii="Verdana" w:hAnsi="Verdana"/>
                <w:b/>
                <w:sz w:val="16"/>
                <w:szCs w:val="16"/>
                <w:lang w:val="en-US"/>
              </w:rPr>
              <w:lastRenderedPageBreak/>
              <w:t>9.7</w:t>
            </w:r>
            <w:r w:rsidRPr="00F01347">
              <w:rPr>
                <w:rFonts w:ascii="Verdana" w:hAnsi="Verdana"/>
                <w:sz w:val="16"/>
                <w:szCs w:val="16"/>
                <w:lang w:val="en-US"/>
              </w:rPr>
              <w:t xml:space="preserve"> Das K, Mondal NK. (2016). Dental fluorosis and urinary fluoride concentration as a reflection of fluoride exposure and its impact on IQ level and BMI of children of </w:t>
            </w:r>
            <w:proofErr w:type="spellStart"/>
            <w:r w:rsidRPr="00F01347">
              <w:rPr>
                <w:rFonts w:ascii="Verdana" w:hAnsi="Verdana"/>
                <w:sz w:val="16"/>
                <w:szCs w:val="16"/>
                <w:lang w:val="en-US"/>
              </w:rPr>
              <w:t>Laxmisagar</w:t>
            </w:r>
            <w:proofErr w:type="spellEnd"/>
            <w:r w:rsidRPr="00F01347">
              <w:rPr>
                <w:rFonts w:ascii="Verdana" w:hAnsi="Verdana"/>
                <w:sz w:val="16"/>
                <w:szCs w:val="16"/>
                <w:lang w:val="en-US"/>
              </w:rPr>
              <w:t xml:space="preserve">, </w:t>
            </w:r>
            <w:proofErr w:type="spellStart"/>
            <w:r w:rsidRPr="00F01347">
              <w:rPr>
                <w:rFonts w:ascii="Verdana" w:hAnsi="Verdana"/>
                <w:sz w:val="16"/>
                <w:szCs w:val="16"/>
                <w:lang w:val="en-US"/>
              </w:rPr>
              <w:t>Simlapal</w:t>
            </w:r>
            <w:proofErr w:type="spellEnd"/>
            <w:r w:rsidRPr="00F01347">
              <w:rPr>
                <w:rFonts w:ascii="Verdana" w:hAnsi="Verdana"/>
                <w:sz w:val="16"/>
                <w:szCs w:val="16"/>
                <w:lang w:val="en-US"/>
              </w:rPr>
              <w:t xml:space="preserve"> Block of Bankura District, W.B., India. Environmental Monitoring &amp; Assessment 188(4):218.</w:t>
            </w:r>
          </w:p>
        </w:tc>
        <w:tc>
          <w:tcPr>
            <w:tcW w:w="4675" w:type="dxa"/>
          </w:tcPr>
          <w:p w14:paraId="112C5675" w14:textId="623E514D"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9.7 </w:t>
            </w:r>
            <w:r w:rsidRPr="00F01347">
              <w:rPr>
                <w:rFonts w:ascii="Verdana" w:hAnsi="Verdana"/>
                <w:sz w:val="16"/>
                <w:szCs w:val="16"/>
                <w:lang w:val="en-US"/>
              </w:rPr>
              <w:t xml:space="preserve">Das K, Mondal NK. (2016). Dental fluorosis and urinary fluoride concentration as a reflection of fluoride exposure and its impact on IQ level and BMI of children of </w:t>
            </w:r>
            <w:proofErr w:type="spellStart"/>
            <w:r w:rsidRPr="00F01347">
              <w:rPr>
                <w:rFonts w:ascii="Verdana" w:hAnsi="Verdana"/>
                <w:sz w:val="16"/>
                <w:szCs w:val="16"/>
                <w:lang w:val="en-US"/>
              </w:rPr>
              <w:t>Laxmisagar</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w:t>
            </w:r>
            <w:proofErr w:type="spellStart"/>
            <w:r w:rsidRPr="00F01347">
              <w:rPr>
                <w:rFonts w:ascii="Verdana" w:hAnsi="Verdana"/>
                <w:sz w:val="16"/>
                <w:szCs w:val="16"/>
                <w:lang w:val="en-US"/>
              </w:rPr>
              <w:t>Simlapal</w:t>
            </w:r>
            <w:proofErr w:type="spellEnd"/>
            <w:r w:rsidRPr="00F01347">
              <w:rPr>
                <w:rFonts w:ascii="Verdana" w:hAnsi="Verdana"/>
                <w:sz w:val="16"/>
                <w:szCs w:val="16"/>
                <w:lang w:val="en-US"/>
              </w:rPr>
              <w:t xml:space="preserve"> Block of Bankura District, WB, India. Environmental Monitoring &amp; Assessment 188(4):218.</w:t>
            </w:r>
          </w:p>
        </w:tc>
      </w:tr>
      <w:tr w:rsidR="00C9619D" w:rsidRPr="00F01347" w14:paraId="29ACC3C0" w14:textId="74B02DAB" w:rsidTr="00B96966">
        <w:tc>
          <w:tcPr>
            <w:tcW w:w="4675" w:type="dxa"/>
          </w:tcPr>
          <w:p w14:paraId="420089A1" w14:textId="77777777" w:rsidR="00C9619D" w:rsidRPr="00F01347" w:rsidRDefault="00C9619D" w:rsidP="00C9619D">
            <w:pPr>
              <w:pStyle w:val="texto0"/>
              <w:spacing w:after="100"/>
              <w:ind w:firstLine="0"/>
              <w:rPr>
                <w:rFonts w:ascii="Verdana" w:hAnsi="Verdana"/>
                <w:sz w:val="16"/>
                <w:szCs w:val="16"/>
                <w:lang w:val="en-US"/>
              </w:rPr>
            </w:pPr>
            <w:r w:rsidRPr="00F01347">
              <w:rPr>
                <w:rFonts w:ascii="Verdana" w:hAnsi="Verdana"/>
                <w:b/>
                <w:sz w:val="16"/>
                <w:szCs w:val="16"/>
                <w:lang w:val="en-US"/>
              </w:rPr>
              <w:t>9.8</w:t>
            </w:r>
            <w:r w:rsidRPr="00F01347">
              <w:rPr>
                <w:rFonts w:ascii="Verdana" w:hAnsi="Verdana"/>
                <w:sz w:val="16"/>
                <w:szCs w:val="16"/>
                <w:lang w:val="en-US"/>
              </w:rPr>
              <w:t xml:space="preserve"> Environmental Protection Agency (2010). Guidelines for Design of Small Public Ground Water Systems. Fourth Edition. Division of drinking and groundwater. Ohio. p76.</w:t>
            </w:r>
          </w:p>
        </w:tc>
        <w:tc>
          <w:tcPr>
            <w:tcW w:w="4675" w:type="dxa"/>
          </w:tcPr>
          <w:p w14:paraId="25D4E9F7" w14:textId="19D39A6B"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9.8 </w:t>
            </w:r>
            <w:r w:rsidRPr="00F01347">
              <w:rPr>
                <w:rFonts w:ascii="Verdana" w:hAnsi="Verdana"/>
                <w:sz w:val="16"/>
                <w:szCs w:val="16"/>
                <w:lang w:val="en-US"/>
              </w:rPr>
              <w:t xml:space="preserve">Environmental Protection Agency (2010). Guidelines for Design of Small Public Ground Water Systems. Fourth Edition. Division of drinking and groundwater. Ohio. </w:t>
            </w:r>
            <w:r w:rsidR="00B3467A" w:rsidRPr="00F01347">
              <w:rPr>
                <w:rFonts w:ascii="Verdana" w:hAnsi="Verdana"/>
                <w:sz w:val="16"/>
                <w:szCs w:val="16"/>
                <w:lang w:val="en-US"/>
              </w:rPr>
              <w:t xml:space="preserve">Page </w:t>
            </w:r>
            <w:r w:rsidRPr="00F01347">
              <w:rPr>
                <w:rFonts w:ascii="Verdana" w:hAnsi="Verdana"/>
                <w:sz w:val="16"/>
                <w:szCs w:val="16"/>
                <w:lang w:val="en-US"/>
              </w:rPr>
              <w:t>76.</w:t>
            </w:r>
          </w:p>
        </w:tc>
      </w:tr>
      <w:tr w:rsidR="00C9619D" w:rsidRPr="00F01347" w14:paraId="659E3160" w14:textId="11F88C97" w:rsidTr="00B96966">
        <w:tc>
          <w:tcPr>
            <w:tcW w:w="4675" w:type="dxa"/>
          </w:tcPr>
          <w:p w14:paraId="63DE638E" w14:textId="77777777" w:rsidR="00C9619D" w:rsidRPr="00F01347" w:rsidRDefault="00C9619D" w:rsidP="00C9619D">
            <w:pPr>
              <w:pStyle w:val="texto0"/>
              <w:spacing w:after="100"/>
              <w:ind w:firstLine="0"/>
              <w:rPr>
                <w:rFonts w:ascii="Verdana" w:hAnsi="Verdana"/>
                <w:sz w:val="16"/>
                <w:szCs w:val="16"/>
                <w:lang w:val="en-US"/>
              </w:rPr>
            </w:pPr>
            <w:r w:rsidRPr="00F01347">
              <w:rPr>
                <w:rFonts w:ascii="Verdana" w:hAnsi="Verdana"/>
                <w:b/>
                <w:sz w:val="16"/>
                <w:szCs w:val="16"/>
              </w:rPr>
              <w:t>9.9</w:t>
            </w:r>
            <w:r w:rsidRPr="00F01347">
              <w:rPr>
                <w:rFonts w:ascii="Verdana" w:hAnsi="Verdana"/>
                <w:sz w:val="16"/>
                <w:szCs w:val="16"/>
              </w:rPr>
              <w:t xml:space="preserve"> Hurtado-Jiménez, R. &amp; Gardea-</w:t>
            </w:r>
            <w:proofErr w:type="spellStart"/>
            <w:r w:rsidRPr="00F01347">
              <w:rPr>
                <w:rFonts w:ascii="Verdana" w:hAnsi="Verdana"/>
                <w:sz w:val="16"/>
                <w:szCs w:val="16"/>
              </w:rPr>
              <w:t>Torresdey</w:t>
            </w:r>
            <w:proofErr w:type="spellEnd"/>
            <w:r w:rsidRPr="00F01347">
              <w:rPr>
                <w:rFonts w:ascii="Verdana" w:hAnsi="Verdana"/>
                <w:sz w:val="16"/>
                <w:szCs w:val="16"/>
              </w:rPr>
              <w:t xml:space="preserve">, JL. </w:t>
            </w:r>
            <w:r w:rsidRPr="00F01347">
              <w:rPr>
                <w:rFonts w:ascii="Verdana" w:hAnsi="Verdana"/>
                <w:sz w:val="16"/>
                <w:szCs w:val="16"/>
                <w:lang w:val="en-US"/>
              </w:rPr>
              <w:t xml:space="preserve">(2006). Arsenic in Drinking Water in the Los Altos de Jalisco Region of Mexico. Rev. </w:t>
            </w:r>
            <w:proofErr w:type="spellStart"/>
            <w:r w:rsidRPr="00F01347">
              <w:rPr>
                <w:rFonts w:ascii="Verdana" w:hAnsi="Verdana"/>
                <w:sz w:val="16"/>
                <w:szCs w:val="16"/>
                <w:lang w:val="en-US"/>
              </w:rPr>
              <w:t>Panam</w:t>
            </w:r>
            <w:proofErr w:type="spellEnd"/>
            <w:r w:rsidRPr="00F01347">
              <w:rPr>
                <w:rFonts w:ascii="Verdana" w:hAnsi="Verdana"/>
                <w:sz w:val="16"/>
                <w:szCs w:val="16"/>
                <w:lang w:val="en-US"/>
              </w:rPr>
              <w:t xml:space="preserve">. Salud </w:t>
            </w:r>
            <w:proofErr w:type="spellStart"/>
            <w:r w:rsidRPr="00F01347">
              <w:rPr>
                <w:rFonts w:ascii="Verdana" w:hAnsi="Verdana"/>
                <w:sz w:val="16"/>
                <w:szCs w:val="16"/>
                <w:lang w:val="en-US"/>
              </w:rPr>
              <w:t>Pública</w:t>
            </w:r>
            <w:proofErr w:type="spellEnd"/>
            <w:r w:rsidRPr="00F01347">
              <w:rPr>
                <w:rFonts w:ascii="Verdana" w:hAnsi="Verdana"/>
                <w:sz w:val="16"/>
                <w:szCs w:val="16"/>
                <w:lang w:val="en-US"/>
              </w:rPr>
              <w:t>. 20, (4): pp 236–47.</w:t>
            </w:r>
          </w:p>
        </w:tc>
        <w:tc>
          <w:tcPr>
            <w:tcW w:w="4675" w:type="dxa"/>
          </w:tcPr>
          <w:p w14:paraId="073629F7" w14:textId="232CA673"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rPr>
              <w:t xml:space="preserve">9.9 </w:t>
            </w:r>
            <w:r w:rsidRPr="00F01347">
              <w:rPr>
                <w:rFonts w:ascii="Verdana" w:hAnsi="Verdana"/>
                <w:sz w:val="16"/>
                <w:szCs w:val="16"/>
              </w:rPr>
              <w:t xml:space="preserve">Hurtado-Jiménez, R. &amp; Gardea- </w:t>
            </w:r>
            <w:proofErr w:type="spellStart"/>
            <w:r w:rsidRPr="00F01347">
              <w:rPr>
                <w:rFonts w:ascii="Verdana" w:hAnsi="Verdana"/>
                <w:sz w:val="16"/>
                <w:szCs w:val="16"/>
              </w:rPr>
              <w:t>Torresdey</w:t>
            </w:r>
            <w:proofErr w:type="spellEnd"/>
            <w:r w:rsidR="003E1BA9" w:rsidRPr="00F01347">
              <w:rPr>
                <w:rFonts w:ascii="Verdana" w:hAnsi="Verdana"/>
                <w:sz w:val="16"/>
                <w:szCs w:val="16"/>
              </w:rPr>
              <w:t>,</w:t>
            </w:r>
            <w:r w:rsidRPr="00F01347">
              <w:rPr>
                <w:rFonts w:ascii="Verdana" w:hAnsi="Verdana"/>
                <w:sz w:val="16"/>
                <w:szCs w:val="16"/>
              </w:rPr>
              <w:t xml:space="preserve"> JL. </w:t>
            </w:r>
            <w:r w:rsidRPr="00F01347">
              <w:rPr>
                <w:rFonts w:ascii="Verdana" w:hAnsi="Verdana"/>
                <w:sz w:val="16"/>
                <w:szCs w:val="16"/>
                <w:lang w:val="en-US"/>
              </w:rPr>
              <w:t xml:space="preserve">(2006). Arsenic in Drinking Water in the Los Altos de Jalisco Region of Mexico. Rev. </w:t>
            </w:r>
            <w:proofErr w:type="spellStart"/>
            <w:r w:rsidRPr="00F01347">
              <w:rPr>
                <w:rFonts w:ascii="Verdana" w:hAnsi="Verdana"/>
                <w:sz w:val="16"/>
                <w:szCs w:val="16"/>
                <w:lang w:val="en-US"/>
              </w:rPr>
              <w:t>Panam</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Public Health</w:t>
            </w:r>
            <w:r w:rsidR="003E1BA9" w:rsidRPr="00F01347">
              <w:rPr>
                <w:rFonts w:ascii="Verdana" w:hAnsi="Verdana"/>
                <w:sz w:val="16"/>
                <w:szCs w:val="16"/>
                <w:lang w:val="en-US"/>
              </w:rPr>
              <w:t>.</w:t>
            </w:r>
            <w:r w:rsidRPr="00F01347">
              <w:rPr>
                <w:rFonts w:ascii="Verdana" w:hAnsi="Verdana"/>
                <w:sz w:val="16"/>
                <w:szCs w:val="16"/>
                <w:lang w:val="en-US"/>
              </w:rPr>
              <w:t xml:space="preserve"> 20, (4): p</w:t>
            </w:r>
            <w:r w:rsidR="00B3467A" w:rsidRPr="00F01347">
              <w:rPr>
                <w:rFonts w:ascii="Verdana" w:hAnsi="Verdana"/>
                <w:sz w:val="16"/>
                <w:szCs w:val="16"/>
                <w:lang w:val="en-US"/>
              </w:rPr>
              <w:t>ages</w:t>
            </w:r>
            <w:r w:rsidRPr="00F01347">
              <w:rPr>
                <w:rFonts w:ascii="Verdana" w:hAnsi="Verdana"/>
                <w:sz w:val="16"/>
                <w:szCs w:val="16"/>
                <w:lang w:val="en-US"/>
              </w:rPr>
              <w:t xml:space="preserve"> 236–47.</w:t>
            </w:r>
          </w:p>
        </w:tc>
      </w:tr>
      <w:tr w:rsidR="00C9619D" w:rsidRPr="00F01347" w14:paraId="22E8F10C" w14:textId="09B6F407" w:rsidTr="00B96966">
        <w:tc>
          <w:tcPr>
            <w:tcW w:w="4675" w:type="dxa"/>
          </w:tcPr>
          <w:p w14:paraId="00D91435" w14:textId="77777777" w:rsidR="00C9619D" w:rsidRPr="00F01347" w:rsidRDefault="00C9619D" w:rsidP="00C9619D">
            <w:pPr>
              <w:pStyle w:val="texto0"/>
              <w:spacing w:after="100"/>
              <w:ind w:firstLine="0"/>
              <w:rPr>
                <w:rFonts w:ascii="Verdana" w:hAnsi="Verdana"/>
                <w:sz w:val="16"/>
                <w:szCs w:val="16"/>
              </w:rPr>
            </w:pPr>
            <w:r w:rsidRPr="00F01347">
              <w:rPr>
                <w:rFonts w:ascii="Verdana" w:hAnsi="Verdana"/>
                <w:b/>
                <w:sz w:val="16"/>
                <w:szCs w:val="16"/>
                <w:lang w:val="en-US"/>
              </w:rPr>
              <w:t>9.10</w:t>
            </w:r>
            <w:r w:rsidRPr="00F01347">
              <w:rPr>
                <w:rFonts w:ascii="Verdana" w:hAnsi="Verdana"/>
                <w:sz w:val="16"/>
                <w:szCs w:val="16"/>
                <w:lang w:val="en-US"/>
              </w:rPr>
              <w:t xml:space="preserve"> Khan SA, et al. (2015). Relationship between dental fluorosis and intelligence quotient of school going children in and around Lucknow district: a cross-sectional study. </w:t>
            </w:r>
            <w:proofErr w:type="spellStart"/>
            <w:r w:rsidRPr="00F01347">
              <w:rPr>
                <w:rFonts w:ascii="Verdana" w:hAnsi="Verdana"/>
                <w:sz w:val="16"/>
                <w:szCs w:val="16"/>
              </w:rPr>
              <w:t>Journal</w:t>
            </w:r>
            <w:proofErr w:type="spellEnd"/>
            <w:r w:rsidRPr="00F01347">
              <w:rPr>
                <w:rFonts w:ascii="Verdana" w:hAnsi="Verdana"/>
                <w:sz w:val="16"/>
                <w:szCs w:val="16"/>
              </w:rPr>
              <w:t xml:space="preserve"> </w:t>
            </w:r>
            <w:proofErr w:type="spellStart"/>
            <w:r w:rsidRPr="00F01347">
              <w:rPr>
                <w:rFonts w:ascii="Verdana" w:hAnsi="Verdana"/>
                <w:sz w:val="16"/>
                <w:szCs w:val="16"/>
              </w:rPr>
              <w:t>of</w:t>
            </w:r>
            <w:proofErr w:type="spellEnd"/>
            <w:r w:rsidRPr="00F01347">
              <w:rPr>
                <w:rFonts w:ascii="Verdana" w:hAnsi="Verdana"/>
                <w:sz w:val="16"/>
                <w:szCs w:val="16"/>
              </w:rPr>
              <w:t xml:space="preserve"> </w:t>
            </w:r>
            <w:proofErr w:type="spellStart"/>
            <w:r w:rsidRPr="00F01347">
              <w:rPr>
                <w:rFonts w:ascii="Verdana" w:hAnsi="Verdana"/>
                <w:sz w:val="16"/>
                <w:szCs w:val="16"/>
              </w:rPr>
              <w:t>Clinical</w:t>
            </w:r>
            <w:proofErr w:type="spellEnd"/>
            <w:r w:rsidRPr="00F01347">
              <w:rPr>
                <w:rFonts w:ascii="Verdana" w:hAnsi="Verdana"/>
                <w:sz w:val="16"/>
                <w:szCs w:val="16"/>
              </w:rPr>
              <w:t xml:space="preserve"> &amp; </w:t>
            </w:r>
            <w:proofErr w:type="spellStart"/>
            <w:r w:rsidRPr="00F01347">
              <w:rPr>
                <w:rFonts w:ascii="Verdana" w:hAnsi="Verdana"/>
                <w:sz w:val="16"/>
                <w:szCs w:val="16"/>
              </w:rPr>
              <w:t>Diagnostic</w:t>
            </w:r>
            <w:proofErr w:type="spellEnd"/>
            <w:r w:rsidRPr="00F01347">
              <w:rPr>
                <w:rFonts w:ascii="Verdana" w:hAnsi="Verdana"/>
                <w:sz w:val="16"/>
                <w:szCs w:val="16"/>
              </w:rPr>
              <w:t xml:space="preserve"> </w:t>
            </w:r>
            <w:proofErr w:type="spellStart"/>
            <w:r w:rsidRPr="00F01347">
              <w:rPr>
                <w:rFonts w:ascii="Verdana" w:hAnsi="Verdana"/>
                <w:sz w:val="16"/>
                <w:szCs w:val="16"/>
              </w:rPr>
              <w:t>Research</w:t>
            </w:r>
            <w:proofErr w:type="spellEnd"/>
            <w:r w:rsidRPr="00F01347">
              <w:rPr>
                <w:rFonts w:ascii="Verdana" w:hAnsi="Verdana"/>
                <w:sz w:val="16"/>
                <w:szCs w:val="16"/>
              </w:rPr>
              <w:t xml:space="preserve"> 9(11</w:t>
            </w:r>
            <w:proofErr w:type="gramStart"/>
            <w:r w:rsidRPr="00F01347">
              <w:rPr>
                <w:rFonts w:ascii="Verdana" w:hAnsi="Verdana"/>
                <w:sz w:val="16"/>
                <w:szCs w:val="16"/>
              </w:rPr>
              <w:t>):ZC</w:t>
            </w:r>
            <w:proofErr w:type="gramEnd"/>
            <w:r w:rsidRPr="00F01347">
              <w:rPr>
                <w:rFonts w:ascii="Verdana" w:hAnsi="Verdana"/>
                <w:sz w:val="16"/>
                <w:szCs w:val="16"/>
              </w:rPr>
              <w:t>10-15.</w:t>
            </w:r>
          </w:p>
        </w:tc>
        <w:tc>
          <w:tcPr>
            <w:tcW w:w="4675" w:type="dxa"/>
          </w:tcPr>
          <w:p w14:paraId="4ABC74BA" w14:textId="02FA52B0"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9.10 </w:t>
            </w:r>
            <w:r w:rsidRPr="00F01347">
              <w:rPr>
                <w:rFonts w:ascii="Verdana" w:hAnsi="Verdana"/>
                <w:sz w:val="16"/>
                <w:szCs w:val="16"/>
                <w:lang w:val="en-US"/>
              </w:rPr>
              <w:t xml:space="preserve">Khan SA, et al. (2015). Relationship between dental fluorosis and intelligence quotient of school going children in and around Lucknow district: a cross-sectional study. </w:t>
            </w:r>
            <w:proofErr w:type="spellStart"/>
            <w:r w:rsidRPr="00F01347">
              <w:rPr>
                <w:rFonts w:ascii="Verdana" w:hAnsi="Verdana"/>
                <w:sz w:val="16"/>
                <w:szCs w:val="16"/>
              </w:rPr>
              <w:t>Journal</w:t>
            </w:r>
            <w:proofErr w:type="spellEnd"/>
            <w:r w:rsidRPr="00F01347">
              <w:rPr>
                <w:rFonts w:ascii="Verdana" w:hAnsi="Verdana"/>
                <w:sz w:val="16"/>
                <w:szCs w:val="16"/>
              </w:rPr>
              <w:t xml:space="preserve"> </w:t>
            </w:r>
            <w:proofErr w:type="spellStart"/>
            <w:r w:rsidRPr="00F01347">
              <w:rPr>
                <w:rFonts w:ascii="Verdana" w:hAnsi="Verdana"/>
                <w:sz w:val="16"/>
                <w:szCs w:val="16"/>
              </w:rPr>
              <w:t>of</w:t>
            </w:r>
            <w:proofErr w:type="spellEnd"/>
            <w:r w:rsidRPr="00F01347">
              <w:rPr>
                <w:rFonts w:ascii="Verdana" w:hAnsi="Verdana"/>
                <w:sz w:val="16"/>
                <w:szCs w:val="16"/>
              </w:rPr>
              <w:t xml:space="preserve"> </w:t>
            </w:r>
            <w:proofErr w:type="spellStart"/>
            <w:r w:rsidRPr="00F01347">
              <w:rPr>
                <w:rFonts w:ascii="Verdana" w:hAnsi="Verdana"/>
                <w:sz w:val="16"/>
                <w:szCs w:val="16"/>
              </w:rPr>
              <w:t>Clinical</w:t>
            </w:r>
            <w:proofErr w:type="spellEnd"/>
            <w:r w:rsidRPr="00F01347">
              <w:rPr>
                <w:rFonts w:ascii="Verdana" w:hAnsi="Verdana"/>
                <w:sz w:val="16"/>
                <w:szCs w:val="16"/>
              </w:rPr>
              <w:t xml:space="preserve"> &amp; </w:t>
            </w:r>
            <w:proofErr w:type="spellStart"/>
            <w:r w:rsidRPr="00F01347">
              <w:rPr>
                <w:rFonts w:ascii="Verdana" w:hAnsi="Verdana"/>
                <w:sz w:val="16"/>
                <w:szCs w:val="16"/>
              </w:rPr>
              <w:t>Diagnostic</w:t>
            </w:r>
            <w:proofErr w:type="spellEnd"/>
            <w:r w:rsidRPr="00F01347">
              <w:rPr>
                <w:rFonts w:ascii="Verdana" w:hAnsi="Verdana"/>
                <w:sz w:val="16"/>
                <w:szCs w:val="16"/>
              </w:rPr>
              <w:t xml:space="preserve"> </w:t>
            </w:r>
            <w:proofErr w:type="spellStart"/>
            <w:r w:rsidRPr="00F01347">
              <w:rPr>
                <w:rFonts w:ascii="Verdana" w:hAnsi="Verdana"/>
                <w:sz w:val="16"/>
                <w:szCs w:val="16"/>
              </w:rPr>
              <w:t>Research</w:t>
            </w:r>
            <w:proofErr w:type="spellEnd"/>
            <w:r w:rsidRPr="00F01347">
              <w:rPr>
                <w:rFonts w:ascii="Verdana" w:hAnsi="Verdana"/>
                <w:sz w:val="16"/>
                <w:szCs w:val="16"/>
              </w:rPr>
              <w:t xml:space="preserve"> 9(11</w:t>
            </w:r>
            <w:proofErr w:type="gramStart"/>
            <w:r w:rsidRPr="00F01347">
              <w:rPr>
                <w:rFonts w:ascii="Verdana" w:hAnsi="Verdana"/>
                <w:sz w:val="16"/>
                <w:szCs w:val="16"/>
              </w:rPr>
              <w:t>):ZC</w:t>
            </w:r>
            <w:proofErr w:type="gramEnd"/>
            <w:r w:rsidRPr="00F01347">
              <w:rPr>
                <w:rFonts w:ascii="Verdana" w:hAnsi="Verdana"/>
                <w:sz w:val="16"/>
                <w:szCs w:val="16"/>
              </w:rPr>
              <w:t xml:space="preserve"> 10-15.</w:t>
            </w:r>
          </w:p>
        </w:tc>
      </w:tr>
      <w:tr w:rsidR="00C9619D" w:rsidRPr="00F01347" w14:paraId="4D924C10" w14:textId="0597F4EB" w:rsidTr="00B96966">
        <w:tc>
          <w:tcPr>
            <w:tcW w:w="4675" w:type="dxa"/>
          </w:tcPr>
          <w:p w14:paraId="5D743140" w14:textId="77777777" w:rsidR="00C9619D" w:rsidRPr="00F01347" w:rsidRDefault="00C9619D" w:rsidP="00C9619D">
            <w:pPr>
              <w:pStyle w:val="texto0"/>
              <w:spacing w:after="100"/>
              <w:ind w:firstLine="0"/>
              <w:rPr>
                <w:rFonts w:ascii="Verdana" w:hAnsi="Verdana"/>
                <w:sz w:val="16"/>
                <w:szCs w:val="16"/>
              </w:rPr>
            </w:pPr>
            <w:r w:rsidRPr="00F01347">
              <w:rPr>
                <w:rFonts w:ascii="Verdana" w:hAnsi="Verdana"/>
                <w:b/>
                <w:sz w:val="16"/>
                <w:szCs w:val="16"/>
              </w:rPr>
              <w:t>9.11</w:t>
            </w:r>
            <w:r w:rsidRPr="00F01347">
              <w:rPr>
                <w:rFonts w:ascii="Verdana" w:hAnsi="Verdana"/>
                <w:sz w:val="16"/>
                <w:szCs w:val="16"/>
              </w:rPr>
              <w:t xml:space="preserve"> Ley de Aguas Nacionales.</w:t>
            </w:r>
          </w:p>
        </w:tc>
        <w:tc>
          <w:tcPr>
            <w:tcW w:w="4675" w:type="dxa"/>
          </w:tcPr>
          <w:p w14:paraId="319B9511" w14:textId="16B0EEA5" w:rsidR="00C9619D" w:rsidRPr="00F01347" w:rsidRDefault="00C9619D" w:rsidP="00C9619D">
            <w:pPr>
              <w:pStyle w:val="texto0"/>
              <w:spacing w:after="100"/>
              <w:ind w:firstLine="0"/>
              <w:rPr>
                <w:rFonts w:ascii="Verdana" w:hAnsi="Verdana"/>
                <w:b/>
                <w:sz w:val="16"/>
                <w:szCs w:val="16"/>
              </w:rPr>
            </w:pPr>
            <w:r w:rsidRPr="00F01347">
              <w:rPr>
                <w:rFonts w:ascii="Verdana" w:hAnsi="Verdana"/>
                <w:b/>
                <w:sz w:val="16"/>
                <w:szCs w:val="16"/>
              </w:rPr>
              <w:t xml:space="preserve">9.11 </w:t>
            </w:r>
            <w:proofErr w:type="spellStart"/>
            <w:r w:rsidR="00B3467A" w:rsidRPr="00F01347">
              <w:rPr>
                <w:rFonts w:ascii="Verdana" w:hAnsi="Verdana"/>
                <w:sz w:val="16"/>
                <w:szCs w:val="16"/>
              </w:rPr>
              <w:t>National</w:t>
            </w:r>
            <w:proofErr w:type="spellEnd"/>
            <w:r w:rsidR="00B3467A" w:rsidRPr="00F01347">
              <w:rPr>
                <w:rFonts w:ascii="Verdana" w:hAnsi="Verdana"/>
                <w:sz w:val="16"/>
                <w:szCs w:val="16"/>
              </w:rPr>
              <w:t xml:space="preserve"> </w:t>
            </w:r>
            <w:proofErr w:type="spellStart"/>
            <w:r w:rsidR="00B3467A" w:rsidRPr="00F01347">
              <w:rPr>
                <w:rFonts w:ascii="Verdana" w:hAnsi="Verdana"/>
                <w:sz w:val="16"/>
                <w:szCs w:val="16"/>
              </w:rPr>
              <w:t>Law</w:t>
            </w:r>
            <w:proofErr w:type="spellEnd"/>
            <w:r w:rsidR="00B3467A" w:rsidRPr="00F01347">
              <w:rPr>
                <w:rFonts w:ascii="Verdana" w:hAnsi="Verdana"/>
                <w:sz w:val="16"/>
                <w:szCs w:val="16"/>
              </w:rPr>
              <w:t xml:space="preserve"> </w:t>
            </w:r>
            <w:proofErr w:type="spellStart"/>
            <w:r w:rsidR="00B3467A" w:rsidRPr="00F01347">
              <w:rPr>
                <w:rFonts w:ascii="Verdana" w:hAnsi="Verdana"/>
                <w:sz w:val="16"/>
                <w:szCs w:val="16"/>
              </w:rPr>
              <w:t>of</w:t>
            </w:r>
            <w:proofErr w:type="spellEnd"/>
            <w:r w:rsidR="00B3467A" w:rsidRPr="00F01347">
              <w:rPr>
                <w:rFonts w:ascii="Verdana" w:hAnsi="Verdana"/>
                <w:sz w:val="16"/>
                <w:szCs w:val="16"/>
              </w:rPr>
              <w:t xml:space="preserve"> Waters</w:t>
            </w:r>
            <w:r w:rsidRPr="00F01347">
              <w:rPr>
                <w:rFonts w:ascii="Verdana" w:hAnsi="Verdana"/>
                <w:sz w:val="16"/>
                <w:szCs w:val="16"/>
              </w:rPr>
              <w:t>.</w:t>
            </w:r>
          </w:p>
        </w:tc>
      </w:tr>
      <w:tr w:rsidR="00C9619D" w:rsidRPr="00F01347" w14:paraId="51F1FC9B" w14:textId="50698EAB" w:rsidTr="00B96966">
        <w:tc>
          <w:tcPr>
            <w:tcW w:w="4675" w:type="dxa"/>
          </w:tcPr>
          <w:p w14:paraId="007CE1E0" w14:textId="77777777" w:rsidR="00C9619D" w:rsidRPr="00F01347" w:rsidRDefault="00C9619D" w:rsidP="00C9619D">
            <w:pPr>
              <w:pStyle w:val="texto0"/>
              <w:spacing w:after="100"/>
              <w:ind w:firstLine="0"/>
              <w:rPr>
                <w:rFonts w:ascii="Verdana" w:hAnsi="Verdana"/>
                <w:sz w:val="16"/>
                <w:szCs w:val="16"/>
                <w:lang w:val="en-US"/>
              </w:rPr>
            </w:pPr>
            <w:r w:rsidRPr="00F01347">
              <w:rPr>
                <w:rFonts w:ascii="Verdana" w:hAnsi="Verdana"/>
                <w:b/>
                <w:sz w:val="16"/>
                <w:szCs w:val="16"/>
              </w:rPr>
              <w:t>9.12</w:t>
            </w:r>
            <w:r w:rsidRPr="00F01347">
              <w:rPr>
                <w:rFonts w:ascii="Verdana" w:hAnsi="Verdana"/>
                <w:sz w:val="16"/>
                <w:szCs w:val="16"/>
              </w:rPr>
              <w:t xml:space="preserve"> Loyola-Rodríguez, JP., Pozos-Guillén AJ., Hernández-Guerrero, JC. &amp; Hernández-Sierra JF. (2000). Fluorosis en Dentición Temporal en un Área con </w:t>
            </w:r>
            <w:proofErr w:type="spellStart"/>
            <w:r w:rsidRPr="00F01347">
              <w:rPr>
                <w:rFonts w:ascii="Verdana" w:hAnsi="Verdana"/>
                <w:sz w:val="16"/>
                <w:szCs w:val="16"/>
              </w:rPr>
              <w:t>Hidrofluorosis</w:t>
            </w:r>
            <w:proofErr w:type="spellEnd"/>
            <w:r w:rsidRPr="00F01347">
              <w:rPr>
                <w:rFonts w:ascii="Verdana" w:hAnsi="Verdana"/>
                <w:sz w:val="16"/>
                <w:szCs w:val="16"/>
              </w:rPr>
              <w:t xml:space="preserve"> Endémica. </w:t>
            </w:r>
            <w:r w:rsidRPr="00F01347">
              <w:rPr>
                <w:rFonts w:ascii="Verdana" w:hAnsi="Verdana"/>
                <w:sz w:val="16"/>
                <w:szCs w:val="16"/>
                <w:lang w:val="en-US"/>
              </w:rPr>
              <w:t xml:space="preserve">Salud </w:t>
            </w:r>
            <w:proofErr w:type="spellStart"/>
            <w:r w:rsidRPr="00F01347">
              <w:rPr>
                <w:rFonts w:ascii="Verdana" w:hAnsi="Verdana"/>
                <w:sz w:val="16"/>
                <w:szCs w:val="16"/>
                <w:lang w:val="en-US"/>
              </w:rPr>
              <w:t>Pública</w:t>
            </w:r>
            <w:proofErr w:type="spellEnd"/>
            <w:r w:rsidRPr="00F01347">
              <w:rPr>
                <w:rFonts w:ascii="Verdana" w:hAnsi="Verdana"/>
                <w:sz w:val="16"/>
                <w:szCs w:val="16"/>
                <w:lang w:val="en-US"/>
              </w:rPr>
              <w:t xml:space="preserve"> de México. </w:t>
            </w:r>
            <w:proofErr w:type="gramStart"/>
            <w:r w:rsidRPr="00F01347">
              <w:rPr>
                <w:rFonts w:ascii="Verdana" w:hAnsi="Verdana"/>
                <w:sz w:val="16"/>
                <w:szCs w:val="16"/>
                <w:lang w:val="en-US"/>
              </w:rPr>
              <w:t>42,  pp</w:t>
            </w:r>
            <w:proofErr w:type="gramEnd"/>
            <w:r w:rsidRPr="00F01347">
              <w:rPr>
                <w:rFonts w:ascii="Verdana" w:hAnsi="Verdana"/>
                <w:sz w:val="16"/>
                <w:szCs w:val="16"/>
                <w:lang w:val="en-US"/>
              </w:rPr>
              <w:t xml:space="preserve"> 194-200.</w:t>
            </w:r>
          </w:p>
        </w:tc>
        <w:tc>
          <w:tcPr>
            <w:tcW w:w="4675" w:type="dxa"/>
          </w:tcPr>
          <w:p w14:paraId="7C93107B" w14:textId="2943B907" w:rsidR="00C9619D" w:rsidRPr="00F01347" w:rsidRDefault="00C9619D" w:rsidP="00C9619D">
            <w:pPr>
              <w:pStyle w:val="texto0"/>
              <w:spacing w:after="100"/>
              <w:ind w:firstLine="0"/>
              <w:rPr>
                <w:rFonts w:ascii="Verdana" w:hAnsi="Verdana"/>
                <w:b/>
                <w:sz w:val="16"/>
                <w:szCs w:val="16"/>
              </w:rPr>
            </w:pPr>
            <w:r w:rsidRPr="00F01347">
              <w:rPr>
                <w:rFonts w:ascii="Verdana" w:hAnsi="Verdana"/>
                <w:b/>
                <w:sz w:val="16"/>
                <w:szCs w:val="16"/>
              </w:rPr>
              <w:t xml:space="preserve">9.12 </w:t>
            </w:r>
            <w:r w:rsidRPr="00F01347">
              <w:rPr>
                <w:rFonts w:ascii="Verdana" w:hAnsi="Verdana"/>
                <w:sz w:val="16"/>
                <w:szCs w:val="16"/>
              </w:rPr>
              <w:t xml:space="preserve">Loyola-Rodríguez, JP., Pozos-Guillén AJ., Hernández-Guerrero, JC. </w:t>
            </w:r>
            <w:r w:rsidRPr="00F01347">
              <w:rPr>
                <w:rFonts w:ascii="Verdana" w:hAnsi="Verdana"/>
                <w:sz w:val="16"/>
                <w:szCs w:val="16"/>
                <w:lang w:val="en-US"/>
              </w:rPr>
              <w:t xml:space="preserve">&amp; Hernández-Sierra JF. (2000). Fluorosis in Primary Dentition in an Area with Endemic </w:t>
            </w:r>
            <w:proofErr w:type="spellStart"/>
            <w:r w:rsidRPr="00F01347">
              <w:rPr>
                <w:rFonts w:ascii="Verdana" w:hAnsi="Verdana"/>
                <w:sz w:val="16"/>
                <w:szCs w:val="16"/>
                <w:lang w:val="en-US"/>
              </w:rPr>
              <w:t>Hydrofluorosis</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Public Health of Mexico. 42, p</w:t>
            </w:r>
            <w:r w:rsidR="00B3467A" w:rsidRPr="00F01347">
              <w:rPr>
                <w:rFonts w:ascii="Verdana" w:hAnsi="Verdana"/>
                <w:sz w:val="16"/>
                <w:szCs w:val="16"/>
                <w:lang w:val="en-US"/>
              </w:rPr>
              <w:t>ages</w:t>
            </w:r>
            <w:r w:rsidRPr="00F01347">
              <w:rPr>
                <w:rFonts w:ascii="Verdana" w:hAnsi="Verdana"/>
                <w:sz w:val="16"/>
                <w:szCs w:val="16"/>
                <w:lang w:val="en-US"/>
              </w:rPr>
              <w:t xml:space="preserve"> 194-200.</w:t>
            </w:r>
          </w:p>
        </w:tc>
      </w:tr>
      <w:tr w:rsidR="00C9619D" w:rsidRPr="00F01347" w14:paraId="549B0A28" w14:textId="705FCCB1" w:rsidTr="00B96966">
        <w:tc>
          <w:tcPr>
            <w:tcW w:w="4675" w:type="dxa"/>
          </w:tcPr>
          <w:p w14:paraId="4B74A2EC" w14:textId="77777777" w:rsidR="00C9619D" w:rsidRPr="00F01347" w:rsidRDefault="00C9619D" w:rsidP="00C9619D">
            <w:pPr>
              <w:pStyle w:val="texto0"/>
              <w:spacing w:after="100"/>
              <w:ind w:firstLine="0"/>
              <w:rPr>
                <w:rFonts w:ascii="Verdana" w:hAnsi="Verdana"/>
                <w:sz w:val="16"/>
                <w:szCs w:val="16"/>
                <w:lang w:val="en-US"/>
              </w:rPr>
            </w:pPr>
            <w:r w:rsidRPr="00F01347">
              <w:rPr>
                <w:rFonts w:ascii="Verdana" w:hAnsi="Verdana"/>
                <w:b/>
                <w:sz w:val="16"/>
                <w:szCs w:val="16"/>
                <w:lang w:val="en-US"/>
              </w:rPr>
              <w:t>9.13</w:t>
            </w:r>
            <w:r w:rsidRPr="00F01347">
              <w:rPr>
                <w:rFonts w:ascii="Verdana" w:hAnsi="Verdana"/>
                <w:sz w:val="16"/>
                <w:szCs w:val="16"/>
                <w:lang w:val="en-US"/>
              </w:rPr>
              <w:t xml:space="preserve"> Mondal D, et al. (2016). Inferring the fluoride </w:t>
            </w:r>
            <w:proofErr w:type="spellStart"/>
            <w:r w:rsidRPr="00F01347">
              <w:rPr>
                <w:rFonts w:ascii="Verdana" w:hAnsi="Verdana"/>
                <w:sz w:val="16"/>
                <w:szCs w:val="16"/>
                <w:lang w:val="en-US"/>
              </w:rPr>
              <w:t>hydrogeochemistry</w:t>
            </w:r>
            <w:proofErr w:type="spellEnd"/>
            <w:r w:rsidRPr="00F01347">
              <w:rPr>
                <w:rFonts w:ascii="Verdana" w:hAnsi="Verdana"/>
                <w:sz w:val="16"/>
                <w:szCs w:val="16"/>
                <w:lang w:val="en-US"/>
              </w:rPr>
              <w:t xml:space="preserve"> and effect of consuming fluoride-contaminated drinking water on human health in some endemic areas of Birbhum district, West Bengal. Environmental Geochemistry &amp; Health 38(2):557-76.</w:t>
            </w:r>
          </w:p>
        </w:tc>
        <w:tc>
          <w:tcPr>
            <w:tcW w:w="4675" w:type="dxa"/>
          </w:tcPr>
          <w:p w14:paraId="263C9E02" w14:textId="240919D4"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9.13 </w:t>
            </w:r>
            <w:r w:rsidRPr="00F01347">
              <w:rPr>
                <w:rFonts w:ascii="Verdana" w:hAnsi="Verdana"/>
                <w:sz w:val="16"/>
                <w:szCs w:val="16"/>
                <w:lang w:val="en-US"/>
              </w:rPr>
              <w:t xml:space="preserve">Mondal D, et al. (2016). Inferring the fluoride </w:t>
            </w:r>
            <w:proofErr w:type="spellStart"/>
            <w:r w:rsidRPr="00F01347">
              <w:rPr>
                <w:rFonts w:ascii="Verdana" w:hAnsi="Verdana"/>
                <w:sz w:val="16"/>
                <w:szCs w:val="16"/>
                <w:lang w:val="en-US"/>
              </w:rPr>
              <w:t>hydrogeochemistry</w:t>
            </w:r>
            <w:proofErr w:type="spellEnd"/>
            <w:r w:rsidRPr="00F01347">
              <w:rPr>
                <w:rFonts w:ascii="Verdana" w:hAnsi="Verdana"/>
                <w:sz w:val="16"/>
                <w:szCs w:val="16"/>
                <w:lang w:val="en-US"/>
              </w:rPr>
              <w:t xml:space="preserve"> and effect of consuming fluoride-contaminated drinking water on human health in some endemic areas of Birbhum district, West Bengal. Environmental Geochemistry &amp; Health 38(2):557-76.</w:t>
            </w:r>
          </w:p>
        </w:tc>
      </w:tr>
      <w:tr w:rsidR="00C9619D" w:rsidRPr="00F01347" w14:paraId="1600ED1E" w14:textId="1907CDFF" w:rsidTr="00B96966">
        <w:tc>
          <w:tcPr>
            <w:tcW w:w="4675" w:type="dxa"/>
          </w:tcPr>
          <w:p w14:paraId="5AE172E0" w14:textId="77777777" w:rsidR="00C9619D" w:rsidRPr="00F01347" w:rsidRDefault="00C9619D" w:rsidP="00C9619D">
            <w:pPr>
              <w:pStyle w:val="texto0"/>
              <w:spacing w:after="100"/>
              <w:ind w:firstLine="0"/>
              <w:rPr>
                <w:rFonts w:ascii="Verdana" w:hAnsi="Verdana"/>
                <w:sz w:val="16"/>
                <w:szCs w:val="16"/>
              </w:rPr>
            </w:pPr>
            <w:r w:rsidRPr="00F01347">
              <w:rPr>
                <w:rFonts w:ascii="Verdana" w:hAnsi="Verdana"/>
                <w:b/>
                <w:sz w:val="16"/>
                <w:szCs w:val="16"/>
              </w:rPr>
              <w:t>9.14</w:t>
            </w:r>
            <w:r w:rsidRPr="00F01347">
              <w:rPr>
                <w:rFonts w:ascii="Verdana" w:hAnsi="Verdana"/>
                <w:sz w:val="16"/>
                <w:szCs w:val="16"/>
              </w:rPr>
              <w:t xml:space="preserve"> Norma Oficial Mexicana NOM-017-SSA2-2012. </w:t>
            </w:r>
            <w:r w:rsidRPr="00F01347">
              <w:rPr>
                <w:rFonts w:ascii="Verdana" w:hAnsi="Verdana"/>
                <w:sz w:val="16"/>
                <w:szCs w:val="16"/>
                <w:lang w:val="en-US"/>
              </w:rPr>
              <w:t xml:space="preserve">Para la </w:t>
            </w:r>
            <w:proofErr w:type="spellStart"/>
            <w:r w:rsidRPr="00F01347">
              <w:rPr>
                <w:rFonts w:ascii="Verdana" w:hAnsi="Verdana"/>
                <w:sz w:val="16"/>
                <w:szCs w:val="16"/>
                <w:lang w:val="en-US"/>
              </w:rPr>
              <w:t>Vigilancia</w:t>
            </w:r>
            <w:proofErr w:type="spellEnd"/>
            <w:r w:rsidRPr="00F01347">
              <w:rPr>
                <w:rFonts w:ascii="Verdana" w:hAnsi="Verdana"/>
                <w:sz w:val="16"/>
                <w:szCs w:val="16"/>
                <w:lang w:val="en-US"/>
              </w:rPr>
              <w:t xml:space="preserve"> </w:t>
            </w:r>
            <w:proofErr w:type="spellStart"/>
            <w:r w:rsidRPr="00F01347">
              <w:rPr>
                <w:rFonts w:ascii="Verdana" w:hAnsi="Verdana"/>
                <w:sz w:val="16"/>
                <w:szCs w:val="16"/>
                <w:lang w:val="en-US"/>
              </w:rPr>
              <w:t>Epidemiológ</w:t>
            </w:r>
            <w:r w:rsidRPr="00F01347">
              <w:rPr>
                <w:rFonts w:ascii="Verdana" w:hAnsi="Verdana"/>
                <w:sz w:val="16"/>
                <w:szCs w:val="16"/>
              </w:rPr>
              <w:t>ica</w:t>
            </w:r>
            <w:proofErr w:type="spellEnd"/>
            <w:r w:rsidRPr="00F01347">
              <w:rPr>
                <w:rFonts w:ascii="Verdana" w:hAnsi="Verdana"/>
                <w:sz w:val="16"/>
                <w:szCs w:val="16"/>
              </w:rPr>
              <w:t>.</w:t>
            </w:r>
          </w:p>
        </w:tc>
        <w:tc>
          <w:tcPr>
            <w:tcW w:w="4675" w:type="dxa"/>
          </w:tcPr>
          <w:p w14:paraId="5B7676D1" w14:textId="1A190B1B"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9.14 </w:t>
            </w:r>
            <w:r w:rsidRPr="00F01347">
              <w:rPr>
                <w:rFonts w:ascii="Verdana" w:hAnsi="Verdana"/>
                <w:sz w:val="16"/>
                <w:szCs w:val="16"/>
                <w:lang w:val="en-US"/>
              </w:rPr>
              <w:t xml:space="preserve">Official Mexican Standard NOM-017-SSA2-2012. For </w:t>
            </w:r>
            <w:r w:rsidR="00B3467A" w:rsidRPr="00F01347">
              <w:rPr>
                <w:rFonts w:ascii="Verdana" w:hAnsi="Verdana"/>
                <w:sz w:val="16"/>
                <w:szCs w:val="16"/>
                <w:lang w:val="en-US"/>
              </w:rPr>
              <w:t xml:space="preserve">Epidemiological </w:t>
            </w:r>
            <w:r w:rsidRPr="00F01347">
              <w:rPr>
                <w:rFonts w:ascii="Verdana" w:hAnsi="Verdana"/>
                <w:sz w:val="16"/>
                <w:szCs w:val="16"/>
                <w:lang w:val="en-US"/>
              </w:rPr>
              <w:t>Surveillance</w:t>
            </w:r>
            <w:r w:rsidR="003E1BA9" w:rsidRPr="00F01347">
              <w:rPr>
                <w:rFonts w:ascii="Verdana" w:hAnsi="Verdana"/>
                <w:sz w:val="16"/>
                <w:szCs w:val="16"/>
                <w:lang w:val="en-US"/>
              </w:rPr>
              <w:t>.</w:t>
            </w:r>
            <w:r w:rsidRPr="00F01347">
              <w:rPr>
                <w:rFonts w:ascii="Verdana" w:hAnsi="Verdana"/>
                <w:sz w:val="16"/>
                <w:szCs w:val="16"/>
              </w:rPr>
              <w:t xml:space="preserve"> _</w:t>
            </w:r>
          </w:p>
        </w:tc>
      </w:tr>
      <w:tr w:rsidR="00C9619D" w:rsidRPr="00F01347" w14:paraId="4AAC832E" w14:textId="0D39387F" w:rsidTr="00B96966">
        <w:tc>
          <w:tcPr>
            <w:tcW w:w="4675" w:type="dxa"/>
          </w:tcPr>
          <w:p w14:paraId="3C956766" w14:textId="67AF592F" w:rsidR="00C9619D" w:rsidRPr="00F01347" w:rsidRDefault="0078057A" w:rsidP="00C9619D">
            <w:pPr>
              <w:pStyle w:val="texto0"/>
              <w:spacing w:after="100"/>
              <w:ind w:firstLine="0"/>
              <w:rPr>
                <w:rFonts w:ascii="Verdana" w:hAnsi="Verdana"/>
                <w:sz w:val="16"/>
                <w:szCs w:val="16"/>
              </w:rPr>
            </w:pPr>
            <w:hyperlink r:id="rId8" w:history="1">
              <w:r w:rsidR="00B3467A" w:rsidRPr="00F01347">
                <w:rPr>
                  <w:rStyle w:val="Hyperlink"/>
                  <w:rFonts w:ascii="Verdana" w:hAnsi="Verdana"/>
                  <w:sz w:val="16"/>
                  <w:szCs w:val="16"/>
                </w:rPr>
                <w:t>http://dof.gob.mx/nota_detalle.php?codigo=5288225&amp;fecha=19/02/2013</w:t>
              </w:r>
            </w:hyperlink>
            <w:r w:rsidR="00B3467A" w:rsidRPr="00F01347">
              <w:rPr>
                <w:rFonts w:ascii="Verdana" w:hAnsi="Verdana"/>
                <w:sz w:val="16"/>
                <w:szCs w:val="16"/>
              </w:rPr>
              <w:t xml:space="preserve"> </w:t>
            </w:r>
          </w:p>
        </w:tc>
        <w:tc>
          <w:tcPr>
            <w:tcW w:w="4675" w:type="dxa"/>
          </w:tcPr>
          <w:p w14:paraId="6739266B" w14:textId="090562D7" w:rsidR="00C9619D" w:rsidRPr="00F01347" w:rsidRDefault="0078057A" w:rsidP="00C9619D">
            <w:pPr>
              <w:pStyle w:val="texto0"/>
              <w:spacing w:after="100"/>
              <w:ind w:firstLine="0"/>
              <w:rPr>
                <w:rFonts w:ascii="Verdana" w:hAnsi="Verdana"/>
                <w:sz w:val="16"/>
                <w:szCs w:val="16"/>
              </w:rPr>
            </w:pPr>
            <w:hyperlink r:id="rId9" w:history="1">
              <w:r w:rsidR="00B3467A" w:rsidRPr="00F01347">
                <w:rPr>
                  <w:rStyle w:val="Hyperlink"/>
                  <w:rFonts w:ascii="Verdana" w:hAnsi="Verdana"/>
                  <w:sz w:val="16"/>
                  <w:szCs w:val="16"/>
                </w:rPr>
                <w:t>http://dof.gob.mx/nota_detalle.php?codigo=5288225&amp;fecha=02/19/2013</w:t>
              </w:r>
            </w:hyperlink>
            <w:r w:rsidR="00B3467A" w:rsidRPr="00F01347">
              <w:rPr>
                <w:rFonts w:ascii="Verdana" w:hAnsi="Verdana"/>
                <w:sz w:val="16"/>
                <w:szCs w:val="16"/>
              </w:rPr>
              <w:t xml:space="preserve"> </w:t>
            </w:r>
          </w:p>
        </w:tc>
      </w:tr>
      <w:tr w:rsidR="00C9619D" w:rsidRPr="00F01347" w14:paraId="1997E050" w14:textId="33D6E890" w:rsidTr="00B96966">
        <w:tc>
          <w:tcPr>
            <w:tcW w:w="4675" w:type="dxa"/>
          </w:tcPr>
          <w:p w14:paraId="57314E5B" w14:textId="77777777" w:rsidR="00C9619D" w:rsidRPr="00F01347" w:rsidRDefault="00C9619D" w:rsidP="00C9619D">
            <w:pPr>
              <w:pStyle w:val="texto0"/>
              <w:spacing w:after="100"/>
              <w:ind w:firstLine="0"/>
              <w:rPr>
                <w:rFonts w:ascii="Verdana" w:hAnsi="Verdana"/>
                <w:sz w:val="16"/>
                <w:szCs w:val="16"/>
              </w:rPr>
            </w:pPr>
            <w:r w:rsidRPr="00F01347">
              <w:rPr>
                <w:rFonts w:ascii="Verdana" w:hAnsi="Verdana"/>
                <w:b/>
                <w:sz w:val="16"/>
                <w:szCs w:val="16"/>
              </w:rPr>
              <w:t>9.15</w:t>
            </w:r>
            <w:r w:rsidRPr="00F01347">
              <w:rPr>
                <w:rFonts w:ascii="Verdana" w:hAnsi="Verdana"/>
                <w:sz w:val="16"/>
                <w:szCs w:val="16"/>
              </w:rPr>
              <w:t xml:space="preserve"> Panduro Rivera, MG. (2015). Evaluación de la Calidad del Agua Ante la Enfermedad Renal Crónica en la Zona Oriente de Michoacán. Tesis Maestro de Maestría. Centro de Investigación y Asistencia en Tecnología y Diseño del Estado de Jalisco, AC.</w:t>
            </w:r>
          </w:p>
        </w:tc>
        <w:tc>
          <w:tcPr>
            <w:tcW w:w="4675" w:type="dxa"/>
          </w:tcPr>
          <w:p w14:paraId="56A4A67E" w14:textId="66949A77"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9.15 </w:t>
            </w:r>
            <w:r w:rsidRPr="00F01347">
              <w:rPr>
                <w:rFonts w:ascii="Verdana" w:hAnsi="Verdana"/>
                <w:sz w:val="16"/>
                <w:szCs w:val="16"/>
                <w:lang w:val="en-US"/>
              </w:rPr>
              <w:t>Panduro Rivera, MG. (2015). Evaluation of Water Quality in the Face of Chronic Kidney Disease in the Eastern Zone of Michoacán. Master's Thesis. Center for Research and Assistance in Technology and Design of the State of Jalisco, AC.</w:t>
            </w:r>
          </w:p>
        </w:tc>
      </w:tr>
      <w:tr w:rsidR="00C9619D" w:rsidRPr="00F01347" w14:paraId="7792FBE3" w14:textId="7A8AC7FB" w:rsidTr="00B96966">
        <w:tc>
          <w:tcPr>
            <w:tcW w:w="4675" w:type="dxa"/>
          </w:tcPr>
          <w:p w14:paraId="72851C13" w14:textId="77777777" w:rsidR="00C9619D" w:rsidRPr="00F01347" w:rsidRDefault="00C9619D" w:rsidP="00C9619D">
            <w:pPr>
              <w:pStyle w:val="texto0"/>
              <w:spacing w:after="100"/>
              <w:ind w:firstLine="0"/>
              <w:rPr>
                <w:rFonts w:ascii="Verdana" w:hAnsi="Verdana"/>
                <w:sz w:val="16"/>
                <w:szCs w:val="16"/>
                <w:lang w:val="en-US"/>
              </w:rPr>
            </w:pPr>
            <w:r w:rsidRPr="00F01347">
              <w:rPr>
                <w:rFonts w:ascii="Verdana" w:hAnsi="Verdana"/>
                <w:b/>
                <w:sz w:val="16"/>
                <w:szCs w:val="16"/>
                <w:lang w:val="en-US"/>
              </w:rPr>
              <w:t>9.16</w:t>
            </w:r>
            <w:r w:rsidRPr="00F01347">
              <w:rPr>
                <w:rFonts w:ascii="Verdana" w:hAnsi="Verdana"/>
                <w:sz w:val="16"/>
                <w:szCs w:val="16"/>
                <w:lang w:val="en-US"/>
              </w:rPr>
              <w:t xml:space="preserve"> Sebastian ST, Sunitha S. 2015. A cross-sectional study to assess the intelligence quotient (IQ) of school going children aged 10-12 years in villages of Mysore district, India with different fluoride levels. Journal of the Indian Society of Pedodontics and Preventive Dentistry 33(4):307-11.</w:t>
            </w:r>
          </w:p>
        </w:tc>
        <w:tc>
          <w:tcPr>
            <w:tcW w:w="4675" w:type="dxa"/>
          </w:tcPr>
          <w:p w14:paraId="3926E16B" w14:textId="6DF6B4C6"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9.16 </w:t>
            </w:r>
            <w:r w:rsidRPr="00F01347">
              <w:rPr>
                <w:rFonts w:ascii="Verdana" w:hAnsi="Verdana"/>
                <w:sz w:val="16"/>
                <w:szCs w:val="16"/>
                <w:lang w:val="en-US"/>
              </w:rPr>
              <w:t>Sebastian ST, Sunitha S. 2015. A cross-sectional study to assess the intelligence quotient (IQ) of school going children aged 10-12 years in villages of Mysore district, India with different fluoride levels. Journal of the Indian Society of Pedodontics and Preventive Dentistry 33(4):307-11.</w:t>
            </w:r>
          </w:p>
        </w:tc>
      </w:tr>
      <w:tr w:rsidR="00C9619D" w:rsidRPr="00F01347" w14:paraId="1D589D99" w14:textId="30E9CE76" w:rsidTr="00B96966">
        <w:tc>
          <w:tcPr>
            <w:tcW w:w="4675" w:type="dxa"/>
          </w:tcPr>
          <w:p w14:paraId="5CD61E63" w14:textId="77777777" w:rsidR="00C9619D" w:rsidRPr="00F01347" w:rsidRDefault="00C9619D" w:rsidP="00C9619D">
            <w:pPr>
              <w:pStyle w:val="texto0"/>
              <w:spacing w:after="100"/>
              <w:ind w:firstLine="0"/>
              <w:rPr>
                <w:rFonts w:ascii="Verdana" w:hAnsi="Verdana"/>
                <w:sz w:val="16"/>
                <w:szCs w:val="16"/>
              </w:rPr>
            </w:pPr>
            <w:r w:rsidRPr="00F01347">
              <w:rPr>
                <w:rFonts w:ascii="Verdana" w:hAnsi="Verdana"/>
                <w:b/>
                <w:sz w:val="16"/>
                <w:szCs w:val="16"/>
              </w:rPr>
              <w:t>9.17</w:t>
            </w:r>
            <w:r w:rsidRPr="00F01347">
              <w:rPr>
                <w:rFonts w:ascii="Verdana" w:hAnsi="Verdana"/>
                <w:sz w:val="16"/>
                <w:szCs w:val="16"/>
              </w:rPr>
              <w:t xml:space="preserve"> Secretaría de Salud (2012). Manual de Procedimientos Estandarizados para la Vigilancia Epidemiológica de las Patologías Bucales.</w:t>
            </w:r>
          </w:p>
        </w:tc>
        <w:tc>
          <w:tcPr>
            <w:tcW w:w="4675" w:type="dxa"/>
          </w:tcPr>
          <w:p w14:paraId="14A23F9D" w14:textId="5A561DDB"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9.17 </w:t>
            </w:r>
            <w:r w:rsidR="003E1BA9" w:rsidRPr="00F01347">
              <w:rPr>
                <w:rFonts w:ascii="Verdana" w:hAnsi="Verdana"/>
                <w:sz w:val="16"/>
                <w:szCs w:val="16"/>
                <w:lang w:val="en-US"/>
              </w:rPr>
              <w:t>Secretary</w:t>
            </w:r>
            <w:r w:rsidRPr="00F01347">
              <w:rPr>
                <w:rFonts w:ascii="Verdana" w:hAnsi="Verdana"/>
                <w:sz w:val="16"/>
                <w:szCs w:val="16"/>
                <w:lang w:val="en-US"/>
              </w:rPr>
              <w:t xml:space="preserve"> of Health (2012). Manual of Standardized Procedures for Epidemiological Surveillance of Oral Pathologies.</w:t>
            </w:r>
          </w:p>
        </w:tc>
      </w:tr>
      <w:tr w:rsidR="00C9619D" w:rsidRPr="00F01347" w14:paraId="5E48463E" w14:textId="49CF78FD" w:rsidTr="00B96966">
        <w:tc>
          <w:tcPr>
            <w:tcW w:w="4675" w:type="dxa"/>
          </w:tcPr>
          <w:p w14:paraId="6BA2C40E" w14:textId="32638A70" w:rsidR="00C9619D" w:rsidRPr="00F01347" w:rsidRDefault="0078057A" w:rsidP="00C9619D">
            <w:pPr>
              <w:pStyle w:val="texto0"/>
              <w:spacing w:after="100"/>
              <w:ind w:firstLine="0"/>
              <w:rPr>
                <w:rFonts w:ascii="Verdana" w:hAnsi="Verdana"/>
                <w:sz w:val="16"/>
                <w:szCs w:val="16"/>
                <w:lang w:val="en-US"/>
              </w:rPr>
            </w:pPr>
            <w:hyperlink r:id="rId10" w:history="1">
              <w:r w:rsidR="00B3467A" w:rsidRPr="00F01347">
                <w:rPr>
                  <w:rStyle w:val="Hyperlink"/>
                  <w:rFonts w:ascii="Verdana" w:hAnsi="Verdana"/>
                  <w:sz w:val="16"/>
                  <w:szCs w:val="16"/>
                  <w:lang w:val="en-US"/>
                </w:rPr>
                <w:t>http://www.cenaprece.salud.gob.mx/programas/interior/saludbucal/descargas/pdf/20_2012_Manual_PatBucales_vFinal.pdf</w:t>
              </w:r>
            </w:hyperlink>
            <w:r w:rsidR="00B3467A" w:rsidRPr="00F01347">
              <w:rPr>
                <w:rFonts w:ascii="Verdana" w:hAnsi="Verdana"/>
                <w:sz w:val="16"/>
                <w:szCs w:val="16"/>
                <w:lang w:val="en-US"/>
              </w:rPr>
              <w:t xml:space="preserve"> </w:t>
            </w:r>
          </w:p>
        </w:tc>
        <w:tc>
          <w:tcPr>
            <w:tcW w:w="4675" w:type="dxa"/>
          </w:tcPr>
          <w:p w14:paraId="37615156" w14:textId="499CA453" w:rsidR="00C9619D" w:rsidRPr="00F01347" w:rsidRDefault="0078057A" w:rsidP="00C9619D">
            <w:pPr>
              <w:pStyle w:val="texto0"/>
              <w:spacing w:after="100"/>
              <w:ind w:firstLine="0"/>
              <w:rPr>
                <w:rFonts w:ascii="Verdana" w:hAnsi="Verdana"/>
                <w:sz w:val="16"/>
                <w:szCs w:val="16"/>
                <w:lang w:val="en-US"/>
              </w:rPr>
            </w:pPr>
            <w:hyperlink r:id="rId11" w:history="1">
              <w:r w:rsidR="00B3467A" w:rsidRPr="00F01347">
                <w:rPr>
                  <w:rStyle w:val="Hyperlink"/>
                  <w:rFonts w:ascii="Verdana" w:hAnsi="Verdana"/>
                  <w:sz w:val="16"/>
                  <w:szCs w:val="16"/>
                  <w:lang w:val="en-US"/>
                </w:rPr>
                <w:t>http://www.cenaprece.salud.gob.mx/programas/interior/saludbucal/descargas/pdf/20_2012_Manual_PatBucales_vFinal.pdf</w:t>
              </w:r>
            </w:hyperlink>
            <w:r w:rsidR="00B3467A" w:rsidRPr="00F01347">
              <w:rPr>
                <w:rFonts w:ascii="Verdana" w:hAnsi="Verdana"/>
                <w:sz w:val="16"/>
                <w:szCs w:val="16"/>
                <w:lang w:val="en-US"/>
              </w:rPr>
              <w:t xml:space="preserve"> </w:t>
            </w:r>
          </w:p>
        </w:tc>
      </w:tr>
      <w:tr w:rsidR="00C9619D" w:rsidRPr="00F01347" w14:paraId="5C06DC1F" w14:textId="4F927A2A" w:rsidTr="00B96966">
        <w:tc>
          <w:tcPr>
            <w:tcW w:w="4675" w:type="dxa"/>
          </w:tcPr>
          <w:p w14:paraId="15BBADCA" w14:textId="77777777" w:rsidR="00C9619D" w:rsidRPr="00F01347" w:rsidRDefault="00C9619D" w:rsidP="00C9619D">
            <w:pPr>
              <w:pStyle w:val="texto0"/>
              <w:spacing w:after="100"/>
              <w:ind w:firstLine="0"/>
              <w:rPr>
                <w:rFonts w:ascii="Verdana" w:hAnsi="Verdana"/>
                <w:sz w:val="16"/>
                <w:szCs w:val="16"/>
              </w:rPr>
            </w:pPr>
            <w:r w:rsidRPr="00F01347">
              <w:rPr>
                <w:rFonts w:ascii="Verdana" w:hAnsi="Verdana"/>
                <w:b/>
                <w:sz w:val="16"/>
                <w:szCs w:val="16"/>
                <w:lang w:val="en-US"/>
              </w:rPr>
              <w:lastRenderedPageBreak/>
              <w:t>9.18</w:t>
            </w:r>
            <w:r w:rsidRPr="00F01347">
              <w:rPr>
                <w:rFonts w:ascii="Verdana" w:hAnsi="Verdana"/>
                <w:sz w:val="16"/>
                <w:szCs w:val="16"/>
                <w:lang w:val="en-US"/>
              </w:rPr>
              <w:t xml:space="preserve"> World Health Organization (2017). Guidelines for Drinking-Water Quality. </w:t>
            </w:r>
            <w:r w:rsidRPr="00F01347">
              <w:rPr>
                <w:rFonts w:ascii="Verdana" w:hAnsi="Verdana"/>
                <w:sz w:val="16"/>
                <w:szCs w:val="16"/>
              </w:rPr>
              <w:t xml:space="preserve">4a edición incorporando el primer </w:t>
            </w:r>
            <w:proofErr w:type="spellStart"/>
            <w:r w:rsidRPr="00F01347">
              <w:rPr>
                <w:rFonts w:ascii="Verdana" w:hAnsi="Verdana"/>
                <w:sz w:val="16"/>
                <w:szCs w:val="16"/>
              </w:rPr>
              <w:t>addendum</w:t>
            </w:r>
            <w:proofErr w:type="spellEnd"/>
            <w:r w:rsidRPr="00F01347">
              <w:rPr>
                <w:rFonts w:ascii="Verdana" w:hAnsi="Verdana"/>
                <w:sz w:val="16"/>
                <w:szCs w:val="16"/>
              </w:rPr>
              <w:t>.</w:t>
            </w:r>
          </w:p>
        </w:tc>
        <w:tc>
          <w:tcPr>
            <w:tcW w:w="4675" w:type="dxa"/>
          </w:tcPr>
          <w:p w14:paraId="41658628" w14:textId="1D8A1F0E"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 xml:space="preserve">9.18 </w:t>
            </w:r>
            <w:r w:rsidRPr="00F01347">
              <w:rPr>
                <w:rFonts w:ascii="Verdana" w:hAnsi="Verdana"/>
                <w:sz w:val="16"/>
                <w:szCs w:val="16"/>
                <w:lang w:val="en-US"/>
              </w:rPr>
              <w:t xml:space="preserve">World Health Organization (2017). Guidelines for Drinking-Water Quality. </w:t>
            </w:r>
            <w:r w:rsidRPr="00F01347">
              <w:rPr>
                <w:rFonts w:ascii="Verdana" w:hAnsi="Verdana"/>
                <w:sz w:val="16"/>
                <w:szCs w:val="16"/>
              </w:rPr>
              <w:t xml:space="preserve">4th </w:t>
            </w:r>
            <w:proofErr w:type="spellStart"/>
            <w:r w:rsidRPr="00F01347">
              <w:rPr>
                <w:rFonts w:ascii="Verdana" w:hAnsi="Verdana"/>
                <w:sz w:val="16"/>
                <w:szCs w:val="16"/>
              </w:rPr>
              <w:t>edition</w:t>
            </w:r>
            <w:proofErr w:type="spellEnd"/>
            <w:r w:rsidRPr="00F01347">
              <w:rPr>
                <w:rFonts w:ascii="Verdana" w:hAnsi="Verdana"/>
                <w:sz w:val="16"/>
                <w:szCs w:val="16"/>
              </w:rPr>
              <w:t xml:space="preserve"> </w:t>
            </w:r>
            <w:proofErr w:type="spellStart"/>
            <w:r w:rsidRPr="00F01347">
              <w:rPr>
                <w:rFonts w:ascii="Verdana" w:hAnsi="Verdana"/>
                <w:sz w:val="16"/>
                <w:szCs w:val="16"/>
              </w:rPr>
              <w:t>incorporating</w:t>
            </w:r>
            <w:proofErr w:type="spellEnd"/>
            <w:r w:rsidRPr="00F01347">
              <w:rPr>
                <w:rFonts w:ascii="Verdana" w:hAnsi="Verdana"/>
                <w:sz w:val="16"/>
                <w:szCs w:val="16"/>
              </w:rPr>
              <w:t xml:space="preserve"> </w:t>
            </w:r>
            <w:proofErr w:type="spellStart"/>
            <w:r w:rsidRPr="00F01347">
              <w:rPr>
                <w:rFonts w:ascii="Verdana" w:hAnsi="Verdana"/>
                <w:sz w:val="16"/>
                <w:szCs w:val="16"/>
              </w:rPr>
              <w:t>the</w:t>
            </w:r>
            <w:proofErr w:type="spellEnd"/>
            <w:r w:rsidRPr="00F01347">
              <w:rPr>
                <w:rFonts w:ascii="Verdana" w:hAnsi="Verdana"/>
                <w:sz w:val="16"/>
                <w:szCs w:val="16"/>
              </w:rPr>
              <w:t xml:space="preserve"> </w:t>
            </w:r>
            <w:proofErr w:type="spellStart"/>
            <w:r w:rsidRPr="00F01347">
              <w:rPr>
                <w:rFonts w:ascii="Verdana" w:hAnsi="Verdana"/>
                <w:sz w:val="16"/>
                <w:szCs w:val="16"/>
              </w:rPr>
              <w:t>first</w:t>
            </w:r>
            <w:proofErr w:type="spellEnd"/>
            <w:r w:rsidRPr="00F01347">
              <w:rPr>
                <w:rFonts w:ascii="Verdana" w:hAnsi="Verdana"/>
                <w:sz w:val="16"/>
                <w:szCs w:val="16"/>
              </w:rPr>
              <w:t xml:space="preserve"> </w:t>
            </w:r>
            <w:proofErr w:type="spellStart"/>
            <w:r w:rsidRPr="00F01347">
              <w:rPr>
                <w:rFonts w:ascii="Verdana" w:hAnsi="Verdana"/>
                <w:sz w:val="16"/>
                <w:szCs w:val="16"/>
              </w:rPr>
              <w:t>addendum</w:t>
            </w:r>
            <w:proofErr w:type="spellEnd"/>
            <w:r w:rsidR="003E1BA9" w:rsidRPr="00F01347">
              <w:rPr>
                <w:rFonts w:ascii="Verdana" w:hAnsi="Verdana"/>
                <w:sz w:val="16"/>
                <w:szCs w:val="16"/>
              </w:rPr>
              <w:t>.</w:t>
            </w:r>
          </w:p>
        </w:tc>
      </w:tr>
      <w:tr w:rsidR="00C9619D" w:rsidRPr="00F01347" w14:paraId="02F169A2" w14:textId="4EBA0FFE" w:rsidTr="00B96966">
        <w:tc>
          <w:tcPr>
            <w:tcW w:w="4675" w:type="dxa"/>
          </w:tcPr>
          <w:p w14:paraId="0E3784E1" w14:textId="77777777" w:rsidR="00C9619D" w:rsidRPr="00F01347" w:rsidRDefault="00C9619D" w:rsidP="00C9619D">
            <w:pPr>
              <w:pStyle w:val="texto0"/>
              <w:spacing w:after="100"/>
              <w:ind w:firstLine="0"/>
              <w:rPr>
                <w:rFonts w:ascii="Verdana" w:hAnsi="Verdana"/>
                <w:sz w:val="16"/>
                <w:szCs w:val="16"/>
              </w:rPr>
            </w:pPr>
            <w:r w:rsidRPr="00F01347">
              <w:rPr>
                <w:rFonts w:ascii="Verdana" w:hAnsi="Verdana"/>
                <w:b/>
                <w:sz w:val="16"/>
                <w:szCs w:val="16"/>
              </w:rPr>
              <w:t>9.19</w:t>
            </w:r>
            <w:r w:rsidRPr="00F01347">
              <w:rPr>
                <w:rFonts w:ascii="Verdana" w:hAnsi="Verdana"/>
                <w:sz w:val="16"/>
                <w:szCs w:val="16"/>
              </w:rPr>
              <w:t xml:space="preserve"> </w:t>
            </w:r>
            <w:proofErr w:type="spellStart"/>
            <w:r w:rsidRPr="00F01347">
              <w:rPr>
                <w:rFonts w:ascii="Verdana" w:hAnsi="Verdana"/>
                <w:sz w:val="16"/>
                <w:szCs w:val="16"/>
              </w:rPr>
              <w:t>World</w:t>
            </w:r>
            <w:proofErr w:type="spellEnd"/>
            <w:r w:rsidRPr="00F01347">
              <w:rPr>
                <w:rFonts w:ascii="Verdana" w:hAnsi="Verdana"/>
                <w:sz w:val="16"/>
                <w:szCs w:val="16"/>
              </w:rPr>
              <w:t xml:space="preserve"> </w:t>
            </w:r>
            <w:proofErr w:type="spellStart"/>
            <w:r w:rsidRPr="00F01347">
              <w:rPr>
                <w:rFonts w:ascii="Verdana" w:hAnsi="Verdana"/>
                <w:sz w:val="16"/>
                <w:szCs w:val="16"/>
              </w:rPr>
              <w:t>Health</w:t>
            </w:r>
            <w:proofErr w:type="spellEnd"/>
            <w:r w:rsidRPr="00F01347">
              <w:rPr>
                <w:rFonts w:ascii="Verdana" w:hAnsi="Verdana"/>
                <w:sz w:val="16"/>
                <w:szCs w:val="16"/>
              </w:rPr>
              <w:t xml:space="preserve"> </w:t>
            </w:r>
            <w:proofErr w:type="spellStart"/>
            <w:r w:rsidRPr="00F01347">
              <w:rPr>
                <w:rFonts w:ascii="Verdana" w:hAnsi="Verdana"/>
                <w:sz w:val="16"/>
                <w:szCs w:val="16"/>
              </w:rPr>
              <w:t>Organization</w:t>
            </w:r>
            <w:proofErr w:type="spellEnd"/>
            <w:r w:rsidRPr="00F01347">
              <w:rPr>
                <w:rFonts w:ascii="Verdana" w:hAnsi="Verdana"/>
                <w:sz w:val="16"/>
                <w:szCs w:val="16"/>
              </w:rPr>
              <w:t xml:space="preserve"> (2010). Diez sustancias químicas que constituyen una preocupación para la salud pública.</w:t>
            </w:r>
          </w:p>
        </w:tc>
        <w:tc>
          <w:tcPr>
            <w:tcW w:w="4675" w:type="dxa"/>
          </w:tcPr>
          <w:p w14:paraId="53047204" w14:textId="3A3FB855" w:rsidR="00C9619D" w:rsidRPr="00F01347" w:rsidRDefault="00C9619D" w:rsidP="00C9619D">
            <w:pPr>
              <w:pStyle w:val="texto0"/>
              <w:spacing w:after="100"/>
              <w:ind w:firstLine="0"/>
              <w:rPr>
                <w:rFonts w:ascii="Verdana" w:hAnsi="Verdana"/>
                <w:b/>
                <w:sz w:val="16"/>
                <w:szCs w:val="16"/>
                <w:lang w:val="en-US"/>
              </w:rPr>
            </w:pPr>
            <w:r w:rsidRPr="00F01347">
              <w:rPr>
                <w:rFonts w:ascii="Verdana" w:hAnsi="Verdana"/>
                <w:b/>
                <w:sz w:val="16"/>
                <w:szCs w:val="16"/>
                <w:lang w:val="en-US"/>
              </w:rPr>
              <w:t>9.19</w:t>
            </w:r>
            <w:r w:rsidRPr="00F01347">
              <w:rPr>
                <w:rFonts w:ascii="Verdana" w:hAnsi="Verdana"/>
                <w:sz w:val="16"/>
                <w:szCs w:val="16"/>
                <w:lang w:val="en-US"/>
              </w:rPr>
              <w:t xml:space="preserve"> World Health Organization (2010). Ten chemicals that constitute a public health concern.</w:t>
            </w:r>
          </w:p>
        </w:tc>
      </w:tr>
      <w:tr w:rsidR="00C9619D" w:rsidRPr="00F01347" w14:paraId="55E868DC" w14:textId="11141DBE" w:rsidTr="00B96966">
        <w:tc>
          <w:tcPr>
            <w:tcW w:w="4675" w:type="dxa"/>
          </w:tcPr>
          <w:p w14:paraId="026E20AE" w14:textId="3BF0913D" w:rsidR="00C9619D" w:rsidRPr="00F01347" w:rsidRDefault="0078057A" w:rsidP="00C9619D">
            <w:pPr>
              <w:pStyle w:val="texto0"/>
              <w:spacing w:after="100"/>
              <w:ind w:firstLine="0"/>
              <w:rPr>
                <w:rFonts w:ascii="Verdana" w:hAnsi="Verdana"/>
                <w:sz w:val="16"/>
                <w:szCs w:val="16"/>
                <w:lang w:val="en-US"/>
              </w:rPr>
            </w:pPr>
            <w:hyperlink r:id="rId12" w:history="1">
              <w:r w:rsidR="00B3467A" w:rsidRPr="00F01347">
                <w:rPr>
                  <w:rStyle w:val="Hyperlink"/>
                  <w:rFonts w:ascii="Verdana" w:hAnsi="Verdana"/>
                  <w:sz w:val="16"/>
                  <w:szCs w:val="16"/>
                  <w:lang w:val="en-US"/>
                </w:rPr>
                <w:t>http://www.who.int/ipcs/assessment/public_health/chemicals_phc/es/</w:t>
              </w:r>
            </w:hyperlink>
            <w:r w:rsidR="00B3467A" w:rsidRPr="00F01347">
              <w:rPr>
                <w:rFonts w:ascii="Verdana" w:hAnsi="Verdana"/>
                <w:sz w:val="16"/>
                <w:szCs w:val="16"/>
                <w:lang w:val="en-US"/>
              </w:rPr>
              <w:t xml:space="preserve"> </w:t>
            </w:r>
          </w:p>
        </w:tc>
        <w:tc>
          <w:tcPr>
            <w:tcW w:w="4675" w:type="dxa"/>
          </w:tcPr>
          <w:p w14:paraId="4BC5B666" w14:textId="5B0EB99A" w:rsidR="00C9619D" w:rsidRPr="00F01347" w:rsidRDefault="0078057A" w:rsidP="00C9619D">
            <w:pPr>
              <w:pStyle w:val="texto0"/>
              <w:spacing w:after="100"/>
              <w:ind w:firstLine="0"/>
              <w:rPr>
                <w:rFonts w:ascii="Verdana" w:hAnsi="Verdana"/>
                <w:sz w:val="16"/>
                <w:szCs w:val="16"/>
                <w:lang w:val="en-US"/>
              </w:rPr>
            </w:pPr>
            <w:hyperlink r:id="rId13" w:history="1">
              <w:r w:rsidR="00B3467A" w:rsidRPr="00F01347">
                <w:rPr>
                  <w:rStyle w:val="Hyperlink"/>
                  <w:rFonts w:ascii="Verdana" w:hAnsi="Verdana"/>
                  <w:sz w:val="16"/>
                  <w:szCs w:val="16"/>
                  <w:lang w:val="en-US"/>
                </w:rPr>
                <w:t>http://www.who.int/ipcs/assessment/public_health/chemicals_phc/es/</w:t>
              </w:r>
            </w:hyperlink>
            <w:r w:rsidR="00B3467A" w:rsidRPr="00F01347">
              <w:rPr>
                <w:rFonts w:ascii="Verdana" w:hAnsi="Verdana"/>
                <w:sz w:val="16"/>
                <w:szCs w:val="16"/>
                <w:lang w:val="en-US"/>
              </w:rPr>
              <w:t xml:space="preserve"> </w:t>
            </w:r>
          </w:p>
        </w:tc>
      </w:tr>
      <w:tr w:rsidR="00C9619D" w:rsidRPr="00F01347" w14:paraId="6BD9662E" w14:textId="06E9899D" w:rsidTr="00B96966">
        <w:tc>
          <w:tcPr>
            <w:tcW w:w="4675" w:type="dxa"/>
          </w:tcPr>
          <w:p w14:paraId="500BB2DB" w14:textId="77777777" w:rsidR="00C9619D" w:rsidRPr="00F01347" w:rsidRDefault="00C9619D" w:rsidP="00C9619D">
            <w:pPr>
              <w:pStyle w:val="texto0"/>
              <w:spacing w:after="100"/>
              <w:ind w:firstLine="0"/>
              <w:rPr>
                <w:rFonts w:ascii="Verdana" w:hAnsi="Verdana"/>
                <w:b/>
                <w:sz w:val="16"/>
                <w:szCs w:val="16"/>
                <w:lang w:val="es-ES_tradnl"/>
              </w:rPr>
            </w:pPr>
            <w:r w:rsidRPr="00F01347">
              <w:rPr>
                <w:rFonts w:ascii="Verdana" w:hAnsi="Verdana"/>
                <w:b/>
                <w:sz w:val="16"/>
                <w:szCs w:val="16"/>
              </w:rPr>
              <w:t>10</w:t>
            </w:r>
            <w:r w:rsidRPr="00F01347">
              <w:rPr>
                <w:rFonts w:ascii="Verdana" w:hAnsi="Verdana"/>
                <w:b/>
                <w:sz w:val="16"/>
                <w:szCs w:val="16"/>
                <w:lang w:val="es-ES_tradnl"/>
              </w:rPr>
              <w:t>. Observancia de la Norma</w:t>
            </w:r>
          </w:p>
        </w:tc>
        <w:tc>
          <w:tcPr>
            <w:tcW w:w="4675" w:type="dxa"/>
          </w:tcPr>
          <w:p w14:paraId="4850F47F" w14:textId="5C9A38DA" w:rsidR="00C9619D" w:rsidRPr="008D190D" w:rsidRDefault="00C9619D" w:rsidP="00C9619D">
            <w:pPr>
              <w:pStyle w:val="texto0"/>
              <w:spacing w:after="100"/>
              <w:ind w:firstLine="0"/>
              <w:rPr>
                <w:rFonts w:ascii="Verdana" w:hAnsi="Verdana"/>
                <w:b/>
                <w:sz w:val="16"/>
                <w:szCs w:val="16"/>
                <w:lang w:val="en-US"/>
              </w:rPr>
            </w:pPr>
            <w:r w:rsidRPr="008D190D">
              <w:rPr>
                <w:rFonts w:ascii="Verdana" w:hAnsi="Verdana"/>
                <w:b/>
                <w:sz w:val="16"/>
                <w:szCs w:val="16"/>
                <w:lang w:val="en-US"/>
              </w:rPr>
              <w:t>10</w:t>
            </w:r>
            <w:r w:rsidR="003E1BA9" w:rsidRPr="008D190D">
              <w:rPr>
                <w:rFonts w:ascii="Verdana" w:hAnsi="Verdana"/>
                <w:b/>
                <w:sz w:val="16"/>
                <w:szCs w:val="16"/>
                <w:lang w:val="en-US"/>
              </w:rPr>
              <w:t>.</w:t>
            </w:r>
            <w:r w:rsidRPr="008D190D">
              <w:rPr>
                <w:rFonts w:ascii="Verdana" w:hAnsi="Verdana"/>
                <w:b/>
                <w:sz w:val="16"/>
                <w:szCs w:val="16"/>
                <w:lang w:val="en-US"/>
              </w:rPr>
              <w:t xml:space="preserve"> </w:t>
            </w:r>
            <w:r w:rsidR="00B3467A" w:rsidRPr="008D190D">
              <w:rPr>
                <w:rFonts w:ascii="Verdana" w:hAnsi="Verdana"/>
                <w:b/>
                <w:sz w:val="16"/>
                <w:szCs w:val="16"/>
                <w:lang w:val="en-US"/>
              </w:rPr>
              <w:t>Observance of</w:t>
            </w:r>
            <w:r w:rsidRPr="008D190D">
              <w:rPr>
                <w:rFonts w:ascii="Verdana" w:hAnsi="Verdana"/>
                <w:b/>
                <w:sz w:val="16"/>
                <w:szCs w:val="16"/>
                <w:lang w:val="en-US"/>
              </w:rPr>
              <w:t xml:space="preserve"> the Standard</w:t>
            </w:r>
          </w:p>
        </w:tc>
      </w:tr>
      <w:tr w:rsidR="00C9619D" w:rsidRPr="00F01347" w14:paraId="2A3B8F9F" w14:textId="5F87835A" w:rsidTr="00B96966">
        <w:tc>
          <w:tcPr>
            <w:tcW w:w="4675" w:type="dxa"/>
          </w:tcPr>
          <w:p w14:paraId="0E31DEC3" w14:textId="77777777" w:rsidR="00C9619D" w:rsidRPr="00F01347" w:rsidRDefault="00C9619D" w:rsidP="00C9619D">
            <w:pPr>
              <w:pStyle w:val="texto0"/>
              <w:spacing w:after="100"/>
              <w:ind w:firstLine="0"/>
              <w:rPr>
                <w:rFonts w:ascii="Verdana" w:hAnsi="Verdana"/>
                <w:b/>
                <w:sz w:val="16"/>
                <w:szCs w:val="16"/>
                <w:lang w:val="es-ES_tradnl"/>
              </w:rPr>
            </w:pPr>
            <w:r w:rsidRPr="00F01347">
              <w:rPr>
                <w:rFonts w:ascii="Verdana" w:hAnsi="Verdana"/>
                <w:sz w:val="16"/>
                <w:szCs w:val="16"/>
                <w:lang w:val="es-ES_tradnl"/>
              </w:rPr>
              <w:t>La vigilancia del cumplimiento de esta Norma corresponde a la Secretaría de Salud a través de la Comisión Federal para la Protección contra Riesgos Sanitarios y a los gobiernos de las entidades federativas, en sus respectivos ámbitos de competencia.</w:t>
            </w:r>
          </w:p>
        </w:tc>
        <w:tc>
          <w:tcPr>
            <w:tcW w:w="4675" w:type="dxa"/>
          </w:tcPr>
          <w:p w14:paraId="6CC6F267" w14:textId="2D2634FA" w:rsidR="00C9619D" w:rsidRPr="008D190D" w:rsidRDefault="00C9619D" w:rsidP="00C9619D">
            <w:pPr>
              <w:pStyle w:val="texto0"/>
              <w:spacing w:after="100"/>
              <w:ind w:firstLine="0"/>
              <w:rPr>
                <w:rFonts w:ascii="Verdana" w:hAnsi="Verdana"/>
                <w:sz w:val="16"/>
                <w:szCs w:val="16"/>
                <w:lang w:val="en-US"/>
              </w:rPr>
            </w:pPr>
            <w:r w:rsidRPr="008D190D">
              <w:rPr>
                <w:rFonts w:ascii="Verdana" w:hAnsi="Verdana"/>
                <w:sz w:val="16"/>
                <w:szCs w:val="16"/>
                <w:lang w:val="en-US"/>
              </w:rPr>
              <w:t xml:space="preserve">Monitoring compliance with this Standard corresponds to the </w:t>
            </w:r>
            <w:r w:rsidR="003E1BA9" w:rsidRPr="008D190D">
              <w:rPr>
                <w:rFonts w:ascii="Verdana" w:hAnsi="Verdana"/>
                <w:sz w:val="16"/>
                <w:szCs w:val="16"/>
                <w:lang w:val="en-US"/>
              </w:rPr>
              <w:t>Secretary</w:t>
            </w:r>
            <w:r w:rsidRPr="008D190D">
              <w:rPr>
                <w:rFonts w:ascii="Verdana" w:hAnsi="Verdana"/>
                <w:sz w:val="16"/>
                <w:szCs w:val="16"/>
                <w:lang w:val="en-US"/>
              </w:rPr>
              <w:t xml:space="preserve"> of Health through the Federal Commission for the Protection against Health Risks and to the governments of the </w:t>
            </w:r>
            <w:r w:rsidR="00B3467A" w:rsidRPr="008D190D">
              <w:rPr>
                <w:rFonts w:ascii="Verdana" w:hAnsi="Verdana"/>
                <w:sz w:val="16"/>
                <w:szCs w:val="16"/>
                <w:lang w:val="en-US"/>
              </w:rPr>
              <w:t>states</w:t>
            </w:r>
            <w:r w:rsidRPr="008D190D">
              <w:rPr>
                <w:rFonts w:ascii="Verdana" w:hAnsi="Verdana"/>
                <w:sz w:val="16"/>
                <w:szCs w:val="16"/>
                <w:lang w:val="en-US"/>
              </w:rPr>
              <w:t xml:space="preserve">, in their respective areas of </w:t>
            </w:r>
            <w:r w:rsidR="00B3467A" w:rsidRPr="008D190D">
              <w:rPr>
                <w:rFonts w:ascii="Verdana" w:hAnsi="Verdana"/>
                <w:sz w:val="16"/>
                <w:szCs w:val="16"/>
                <w:lang w:val="en-US"/>
              </w:rPr>
              <w:t>authority</w:t>
            </w:r>
            <w:r w:rsidRPr="008D190D">
              <w:rPr>
                <w:rFonts w:ascii="Verdana" w:hAnsi="Verdana"/>
                <w:sz w:val="16"/>
                <w:szCs w:val="16"/>
                <w:lang w:val="en-US"/>
              </w:rPr>
              <w:t>.</w:t>
            </w:r>
          </w:p>
        </w:tc>
      </w:tr>
      <w:tr w:rsidR="00C9619D" w:rsidRPr="00F01347" w14:paraId="37285769" w14:textId="69F12453" w:rsidTr="00B96966">
        <w:tc>
          <w:tcPr>
            <w:tcW w:w="4675" w:type="dxa"/>
          </w:tcPr>
          <w:p w14:paraId="4A0183C1" w14:textId="77777777" w:rsidR="00C9619D" w:rsidRPr="00F01347" w:rsidRDefault="00C9619D" w:rsidP="00C9619D">
            <w:pPr>
              <w:pStyle w:val="texto0"/>
              <w:spacing w:after="100"/>
              <w:ind w:firstLine="0"/>
              <w:rPr>
                <w:rFonts w:ascii="Verdana" w:hAnsi="Verdana"/>
                <w:b/>
                <w:sz w:val="16"/>
                <w:szCs w:val="16"/>
                <w:lang w:val="es-ES_tradnl"/>
              </w:rPr>
            </w:pPr>
            <w:r w:rsidRPr="00F01347">
              <w:rPr>
                <w:rFonts w:ascii="Verdana" w:hAnsi="Verdana"/>
                <w:b/>
                <w:sz w:val="16"/>
                <w:szCs w:val="16"/>
                <w:lang w:val="es-ES_tradnl"/>
              </w:rPr>
              <w:t>11. Vigencia</w:t>
            </w:r>
          </w:p>
        </w:tc>
        <w:tc>
          <w:tcPr>
            <w:tcW w:w="4675" w:type="dxa"/>
          </w:tcPr>
          <w:p w14:paraId="630B736C" w14:textId="5DD415BA" w:rsidR="00C9619D" w:rsidRPr="008D190D" w:rsidRDefault="00C9619D" w:rsidP="00C9619D">
            <w:pPr>
              <w:pStyle w:val="texto0"/>
              <w:spacing w:after="100"/>
              <w:ind w:firstLine="0"/>
              <w:rPr>
                <w:rFonts w:ascii="Verdana" w:hAnsi="Verdana"/>
                <w:b/>
                <w:sz w:val="16"/>
                <w:szCs w:val="16"/>
                <w:lang w:val="en-US"/>
              </w:rPr>
            </w:pPr>
            <w:r w:rsidRPr="008D190D">
              <w:rPr>
                <w:rFonts w:ascii="Verdana" w:hAnsi="Verdana"/>
                <w:b/>
                <w:sz w:val="16"/>
                <w:szCs w:val="16"/>
                <w:lang w:val="en-US"/>
              </w:rPr>
              <w:t>11. Validity</w:t>
            </w:r>
          </w:p>
        </w:tc>
      </w:tr>
      <w:tr w:rsidR="00C9619D" w:rsidRPr="00F01347" w14:paraId="2ED7108B" w14:textId="1E8564D3" w:rsidTr="00B96966">
        <w:tc>
          <w:tcPr>
            <w:tcW w:w="4675" w:type="dxa"/>
          </w:tcPr>
          <w:p w14:paraId="21AE17E2" w14:textId="77777777" w:rsidR="00C9619D" w:rsidRPr="00F01347" w:rsidRDefault="00C9619D" w:rsidP="00C9619D">
            <w:pPr>
              <w:pStyle w:val="texto0"/>
              <w:spacing w:after="100"/>
              <w:ind w:firstLine="0"/>
              <w:rPr>
                <w:rFonts w:ascii="Verdana" w:hAnsi="Verdana"/>
                <w:sz w:val="16"/>
                <w:szCs w:val="16"/>
                <w:lang w:val="es-ES"/>
              </w:rPr>
            </w:pPr>
            <w:r w:rsidRPr="00F01347">
              <w:rPr>
                <w:rFonts w:ascii="Verdana" w:hAnsi="Verdana"/>
                <w:sz w:val="16"/>
                <w:szCs w:val="16"/>
                <w:lang w:val="es-ES"/>
              </w:rPr>
              <w:t>Esta Norma entrará en vigor a los 360 días naturales contados a partir del día siguiente de su publicación en el Diario Oficial de la Federación.</w:t>
            </w:r>
          </w:p>
        </w:tc>
        <w:tc>
          <w:tcPr>
            <w:tcW w:w="4675" w:type="dxa"/>
          </w:tcPr>
          <w:p w14:paraId="7E79C79E" w14:textId="5EDAF801" w:rsidR="00C9619D" w:rsidRPr="00F01347" w:rsidRDefault="00C9619D" w:rsidP="00C9619D">
            <w:pPr>
              <w:pStyle w:val="texto0"/>
              <w:spacing w:after="100"/>
              <w:ind w:firstLine="0"/>
              <w:rPr>
                <w:rFonts w:ascii="Verdana" w:hAnsi="Verdana"/>
                <w:sz w:val="16"/>
                <w:szCs w:val="16"/>
                <w:lang w:val="en-US"/>
              </w:rPr>
            </w:pPr>
            <w:r w:rsidRPr="00F01347">
              <w:rPr>
                <w:rFonts w:ascii="Verdana" w:hAnsi="Verdana"/>
                <w:sz w:val="16"/>
                <w:szCs w:val="16"/>
                <w:lang w:val="en-US"/>
              </w:rPr>
              <w:t xml:space="preserve">This Standard will come into force 360 calendar days from the day following its publication in the Official </w:t>
            </w:r>
            <w:r w:rsidR="003E1BA9" w:rsidRPr="00F01347">
              <w:rPr>
                <w:rFonts w:ascii="Verdana" w:hAnsi="Verdana"/>
                <w:sz w:val="16"/>
                <w:szCs w:val="16"/>
                <w:lang w:val="en-US"/>
              </w:rPr>
              <w:t>Daily</w:t>
            </w:r>
            <w:r w:rsidRPr="00F01347">
              <w:rPr>
                <w:rFonts w:ascii="Verdana" w:hAnsi="Verdana"/>
                <w:sz w:val="16"/>
                <w:szCs w:val="16"/>
                <w:lang w:val="en-US"/>
              </w:rPr>
              <w:t xml:space="preserve"> of the Federation.</w:t>
            </w:r>
          </w:p>
        </w:tc>
      </w:tr>
      <w:tr w:rsidR="00C9619D" w:rsidRPr="00F01347" w14:paraId="73B01C98" w14:textId="13CD2CC1" w:rsidTr="00B96966">
        <w:tc>
          <w:tcPr>
            <w:tcW w:w="4675" w:type="dxa"/>
          </w:tcPr>
          <w:p w14:paraId="0BA27D5D" w14:textId="77777777" w:rsidR="00C9619D" w:rsidRPr="00F01347" w:rsidRDefault="00C9619D" w:rsidP="00C9619D">
            <w:pPr>
              <w:pStyle w:val="ANOTACION"/>
              <w:spacing w:after="100" w:line="216" w:lineRule="exact"/>
              <w:rPr>
                <w:rFonts w:ascii="Verdana" w:hAnsi="Verdana"/>
                <w:sz w:val="16"/>
                <w:szCs w:val="16"/>
              </w:rPr>
            </w:pPr>
            <w:r w:rsidRPr="00F01347">
              <w:rPr>
                <w:rFonts w:ascii="Verdana" w:hAnsi="Verdana"/>
                <w:sz w:val="16"/>
                <w:szCs w:val="16"/>
              </w:rPr>
              <w:t>TRANSITORIO</w:t>
            </w:r>
          </w:p>
        </w:tc>
        <w:tc>
          <w:tcPr>
            <w:tcW w:w="4675" w:type="dxa"/>
          </w:tcPr>
          <w:p w14:paraId="413AAE79" w14:textId="105A9A2D" w:rsidR="00C9619D" w:rsidRPr="00F01347" w:rsidRDefault="00C9619D" w:rsidP="00C9619D">
            <w:pPr>
              <w:pStyle w:val="ANOTACION"/>
              <w:spacing w:after="100" w:line="216" w:lineRule="exact"/>
              <w:rPr>
                <w:rFonts w:ascii="Verdana" w:hAnsi="Verdana"/>
                <w:sz w:val="16"/>
                <w:szCs w:val="16"/>
              </w:rPr>
            </w:pPr>
            <w:r w:rsidRPr="00F01347">
              <w:rPr>
                <w:rFonts w:ascii="Verdana" w:hAnsi="Verdana"/>
                <w:sz w:val="16"/>
                <w:szCs w:val="16"/>
              </w:rPr>
              <w:t>TRANSI</w:t>
            </w:r>
            <w:r w:rsidR="00B3467A" w:rsidRPr="00F01347">
              <w:rPr>
                <w:rFonts w:ascii="Verdana" w:hAnsi="Verdana"/>
                <w:sz w:val="16"/>
                <w:szCs w:val="16"/>
              </w:rPr>
              <w:t>TIONAL ARTICLES</w:t>
            </w:r>
          </w:p>
        </w:tc>
      </w:tr>
      <w:tr w:rsidR="00C9619D" w:rsidRPr="00F01347" w14:paraId="010ED0A6" w14:textId="767430A5" w:rsidTr="00B96966">
        <w:tc>
          <w:tcPr>
            <w:tcW w:w="4675" w:type="dxa"/>
          </w:tcPr>
          <w:p w14:paraId="4645DBD2" w14:textId="77777777" w:rsidR="00C9619D" w:rsidRPr="00F01347" w:rsidRDefault="00C9619D" w:rsidP="00C9619D">
            <w:pPr>
              <w:pStyle w:val="texto0"/>
              <w:spacing w:after="100"/>
              <w:ind w:firstLine="0"/>
              <w:rPr>
                <w:rFonts w:ascii="Verdana" w:hAnsi="Verdana"/>
                <w:sz w:val="16"/>
                <w:szCs w:val="16"/>
              </w:rPr>
            </w:pPr>
            <w:proofErr w:type="gramStart"/>
            <w:r w:rsidRPr="00F01347">
              <w:rPr>
                <w:rFonts w:ascii="Verdana" w:hAnsi="Verdana"/>
                <w:b/>
                <w:sz w:val="16"/>
                <w:szCs w:val="16"/>
                <w:lang w:val="es-ES_tradnl"/>
              </w:rPr>
              <w:t>ÚNICO.-</w:t>
            </w:r>
            <w:proofErr w:type="gramEnd"/>
            <w:r w:rsidRPr="00F01347">
              <w:rPr>
                <w:rFonts w:ascii="Verdana" w:hAnsi="Verdana"/>
                <w:sz w:val="16"/>
                <w:szCs w:val="16"/>
                <w:lang w:val="es-ES_tradnl"/>
              </w:rPr>
              <w:t xml:space="preserve"> La entrada en vigor de la presente Norma, deja sin efectos a la </w:t>
            </w:r>
            <w:r w:rsidRPr="00F01347">
              <w:rPr>
                <w:rFonts w:ascii="Verdana" w:hAnsi="Verdana"/>
                <w:sz w:val="16"/>
                <w:szCs w:val="16"/>
                <w:lang w:val="es-ES"/>
              </w:rPr>
              <w:t>Modificación a la Norma Oficial Mexicana NOM-127-SSA1-1994, Salud Ambiental. Agua para uso y consumo humano. Límites permisibles de calidad y tratamientos a que debe someterse el agua para su potabilización, publicada en el Diario Oficial de la Federación el 22 de noviembre de 2000.</w:t>
            </w:r>
          </w:p>
        </w:tc>
        <w:tc>
          <w:tcPr>
            <w:tcW w:w="4675" w:type="dxa"/>
          </w:tcPr>
          <w:p w14:paraId="627B2DF7" w14:textId="0C308242" w:rsidR="00C9619D" w:rsidRPr="00F01347" w:rsidRDefault="00C9619D" w:rsidP="00C9619D">
            <w:pPr>
              <w:pStyle w:val="texto0"/>
              <w:spacing w:after="100"/>
              <w:ind w:firstLine="0"/>
              <w:rPr>
                <w:rFonts w:ascii="Verdana" w:hAnsi="Verdana"/>
                <w:b/>
                <w:sz w:val="16"/>
                <w:szCs w:val="16"/>
                <w:lang w:val="en-US"/>
              </w:rPr>
            </w:pPr>
            <w:proofErr w:type="gramStart"/>
            <w:r w:rsidRPr="00F01347">
              <w:rPr>
                <w:rFonts w:ascii="Verdana" w:hAnsi="Verdana"/>
                <w:b/>
                <w:sz w:val="16"/>
                <w:szCs w:val="16"/>
                <w:lang w:val="en-US"/>
              </w:rPr>
              <w:t>SOLE.-</w:t>
            </w:r>
            <w:proofErr w:type="gramEnd"/>
            <w:r w:rsidRPr="00F01347">
              <w:rPr>
                <w:rFonts w:ascii="Verdana" w:hAnsi="Verdana"/>
                <w:b/>
                <w:sz w:val="16"/>
                <w:szCs w:val="16"/>
                <w:lang w:val="en-US"/>
              </w:rPr>
              <w:t xml:space="preserve"> </w:t>
            </w:r>
            <w:r w:rsidRPr="00F01347">
              <w:rPr>
                <w:rFonts w:ascii="Verdana" w:hAnsi="Verdana"/>
                <w:sz w:val="16"/>
                <w:szCs w:val="16"/>
                <w:lang w:val="en-US"/>
              </w:rPr>
              <w:t xml:space="preserve">The entry into force of this Standard leaves without effect the Modification to the Official Mexican Standard NOM-127-SSA1-1994, Environmental Health. Water for human use and consumption. Permissible limits of quality and treatments to which water must be subjected for its purification, published in the Official </w:t>
            </w:r>
            <w:r w:rsidR="003E1BA9" w:rsidRPr="00F01347">
              <w:rPr>
                <w:rFonts w:ascii="Verdana" w:hAnsi="Verdana"/>
                <w:sz w:val="16"/>
                <w:szCs w:val="16"/>
                <w:lang w:val="en-US"/>
              </w:rPr>
              <w:t>Daily</w:t>
            </w:r>
            <w:r w:rsidRPr="00F01347">
              <w:rPr>
                <w:rFonts w:ascii="Verdana" w:hAnsi="Verdana"/>
                <w:sz w:val="16"/>
                <w:szCs w:val="16"/>
                <w:lang w:val="en-US"/>
              </w:rPr>
              <w:t xml:space="preserve"> of the Federation on November 22, 2000.</w:t>
            </w:r>
          </w:p>
        </w:tc>
      </w:tr>
      <w:tr w:rsidR="00C9619D" w:rsidRPr="00F01347" w14:paraId="7ED4ACD6" w14:textId="78C1C471" w:rsidTr="00B96966">
        <w:tc>
          <w:tcPr>
            <w:tcW w:w="4675" w:type="dxa"/>
          </w:tcPr>
          <w:p w14:paraId="30671D1D" w14:textId="77777777" w:rsidR="00C9619D" w:rsidRPr="00F01347" w:rsidRDefault="00C9619D" w:rsidP="00C9619D">
            <w:pPr>
              <w:pStyle w:val="texto0"/>
              <w:spacing w:after="100"/>
              <w:ind w:firstLine="0"/>
              <w:rPr>
                <w:rFonts w:ascii="Verdana" w:hAnsi="Verdana"/>
                <w:sz w:val="16"/>
                <w:szCs w:val="16"/>
              </w:rPr>
            </w:pPr>
            <w:r w:rsidRPr="00F01347">
              <w:rPr>
                <w:rFonts w:ascii="Verdana" w:hAnsi="Verdana"/>
                <w:sz w:val="16"/>
                <w:szCs w:val="16"/>
              </w:rPr>
              <w:t xml:space="preserve">Ciudad de México, a 16 de marzo de 2022.- El Comisionado Federal para la Protección contra Riesgos Sanitarios y Presidente del Comité Consultivo Nacional de Normalización de Regulación y Fomento Sanitario, </w:t>
            </w:r>
            <w:r w:rsidRPr="00F01347">
              <w:rPr>
                <w:rFonts w:ascii="Verdana" w:hAnsi="Verdana"/>
                <w:b/>
                <w:sz w:val="16"/>
                <w:szCs w:val="16"/>
              </w:rPr>
              <w:t xml:space="preserve">Alejandro Ernesto </w:t>
            </w:r>
            <w:proofErr w:type="spellStart"/>
            <w:r w:rsidRPr="00F01347">
              <w:rPr>
                <w:rFonts w:ascii="Verdana" w:hAnsi="Verdana"/>
                <w:b/>
                <w:sz w:val="16"/>
                <w:szCs w:val="16"/>
              </w:rPr>
              <w:t>Svarch</w:t>
            </w:r>
            <w:proofErr w:type="spellEnd"/>
            <w:r w:rsidRPr="00F01347">
              <w:rPr>
                <w:rFonts w:ascii="Verdana" w:hAnsi="Verdana"/>
                <w:b/>
                <w:sz w:val="16"/>
                <w:szCs w:val="16"/>
              </w:rPr>
              <w:t xml:space="preserve"> </w:t>
            </w:r>
            <w:proofErr w:type="gramStart"/>
            <w:r w:rsidRPr="00F01347">
              <w:rPr>
                <w:rFonts w:ascii="Verdana" w:hAnsi="Verdana"/>
                <w:b/>
                <w:sz w:val="16"/>
                <w:szCs w:val="16"/>
              </w:rPr>
              <w:t>Pérez</w:t>
            </w:r>
            <w:r w:rsidRPr="00F01347">
              <w:rPr>
                <w:rFonts w:ascii="Verdana" w:hAnsi="Verdana"/>
                <w:sz w:val="16"/>
                <w:szCs w:val="16"/>
              </w:rPr>
              <w:t>.-</w:t>
            </w:r>
            <w:proofErr w:type="gramEnd"/>
            <w:r w:rsidRPr="00F01347">
              <w:rPr>
                <w:rFonts w:ascii="Verdana" w:hAnsi="Verdana"/>
                <w:sz w:val="16"/>
                <w:szCs w:val="16"/>
              </w:rPr>
              <w:t xml:space="preserve"> Rúbrica.</w:t>
            </w:r>
          </w:p>
        </w:tc>
        <w:tc>
          <w:tcPr>
            <w:tcW w:w="4675" w:type="dxa"/>
          </w:tcPr>
          <w:p w14:paraId="3C9A2221" w14:textId="710B3A6E" w:rsidR="00C9619D" w:rsidRPr="00F01347" w:rsidRDefault="00C9619D" w:rsidP="00C9619D">
            <w:pPr>
              <w:pStyle w:val="texto0"/>
              <w:spacing w:after="100"/>
              <w:ind w:firstLine="0"/>
              <w:rPr>
                <w:rFonts w:ascii="Verdana" w:hAnsi="Verdana"/>
                <w:sz w:val="16"/>
                <w:szCs w:val="16"/>
              </w:rPr>
            </w:pPr>
            <w:r w:rsidRPr="00F01347">
              <w:rPr>
                <w:rFonts w:ascii="Verdana" w:hAnsi="Verdana"/>
                <w:sz w:val="16"/>
                <w:szCs w:val="16"/>
                <w:lang w:val="en-US"/>
              </w:rPr>
              <w:t xml:space="preserve">Mexico City, March 16, 2022.- The Federal Commissioner for Protection against Health Risks and President of the National </w:t>
            </w:r>
            <w:r w:rsidR="003E1BA9" w:rsidRPr="00F01347">
              <w:rPr>
                <w:rFonts w:ascii="Verdana" w:hAnsi="Verdana"/>
                <w:sz w:val="16"/>
                <w:szCs w:val="16"/>
                <w:lang w:val="en-US"/>
              </w:rPr>
              <w:t>Consultative Committee</w:t>
            </w:r>
            <w:r w:rsidRPr="00F01347">
              <w:rPr>
                <w:rFonts w:ascii="Verdana" w:hAnsi="Verdana"/>
                <w:sz w:val="16"/>
                <w:szCs w:val="16"/>
                <w:lang w:val="en-US"/>
              </w:rPr>
              <w:t xml:space="preserve"> for Standardization of Health Regulation and Promotion, Alejandro </w:t>
            </w:r>
            <w:r w:rsidRPr="00F01347">
              <w:rPr>
                <w:rFonts w:ascii="Verdana" w:hAnsi="Verdana"/>
                <w:b/>
                <w:sz w:val="16"/>
                <w:szCs w:val="16"/>
                <w:lang w:val="en-US"/>
              </w:rPr>
              <w:t xml:space="preserve">Ernesto </w:t>
            </w:r>
            <w:proofErr w:type="spellStart"/>
            <w:r w:rsidRPr="00F01347">
              <w:rPr>
                <w:rFonts w:ascii="Verdana" w:hAnsi="Verdana"/>
                <w:b/>
                <w:sz w:val="16"/>
                <w:szCs w:val="16"/>
                <w:lang w:val="en-US"/>
              </w:rPr>
              <w:t>Svarch</w:t>
            </w:r>
            <w:proofErr w:type="spellEnd"/>
            <w:r w:rsidRPr="00F01347">
              <w:rPr>
                <w:rFonts w:ascii="Verdana" w:hAnsi="Verdana"/>
                <w:b/>
                <w:sz w:val="16"/>
                <w:szCs w:val="16"/>
                <w:lang w:val="en-US"/>
              </w:rPr>
              <w:t xml:space="preserve"> </w:t>
            </w:r>
            <w:proofErr w:type="gramStart"/>
            <w:r w:rsidRPr="00F01347">
              <w:rPr>
                <w:rFonts w:ascii="Verdana" w:hAnsi="Verdana"/>
                <w:b/>
                <w:sz w:val="16"/>
                <w:szCs w:val="16"/>
                <w:lang w:val="en-US"/>
              </w:rPr>
              <w:t>Pérez</w:t>
            </w:r>
            <w:r w:rsidR="003E1BA9" w:rsidRPr="00F01347">
              <w:rPr>
                <w:rFonts w:ascii="Verdana" w:hAnsi="Verdana"/>
                <w:b/>
                <w:sz w:val="16"/>
                <w:szCs w:val="16"/>
                <w:lang w:val="en-US"/>
              </w:rPr>
              <w:t>.</w:t>
            </w:r>
            <w:r w:rsidRPr="00F01347">
              <w:rPr>
                <w:rFonts w:ascii="Verdana" w:hAnsi="Verdana"/>
                <w:sz w:val="16"/>
                <w:szCs w:val="16"/>
                <w:lang w:val="en-US"/>
              </w:rPr>
              <w:t>-</w:t>
            </w:r>
            <w:proofErr w:type="gramEnd"/>
            <w:r w:rsidRPr="00F01347">
              <w:rPr>
                <w:rFonts w:ascii="Verdana" w:hAnsi="Verdana"/>
                <w:sz w:val="16"/>
                <w:szCs w:val="16"/>
                <w:lang w:val="en-US"/>
              </w:rPr>
              <w:t xml:space="preserve"> </w:t>
            </w:r>
            <w:proofErr w:type="spellStart"/>
            <w:r w:rsidR="00B3467A" w:rsidRPr="00F01347">
              <w:rPr>
                <w:rFonts w:ascii="Verdana" w:hAnsi="Verdana"/>
                <w:sz w:val="16"/>
                <w:szCs w:val="16"/>
              </w:rPr>
              <w:t>Signed</w:t>
            </w:r>
            <w:proofErr w:type="spellEnd"/>
            <w:r w:rsidRPr="00F01347">
              <w:rPr>
                <w:rFonts w:ascii="Verdana" w:hAnsi="Verdana"/>
                <w:sz w:val="16"/>
                <w:szCs w:val="16"/>
              </w:rPr>
              <w:t>.</w:t>
            </w:r>
          </w:p>
        </w:tc>
      </w:tr>
    </w:tbl>
    <w:p w14:paraId="06B8D77F" w14:textId="77777777" w:rsidR="00204B58" w:rsidRPr="00F01347" w:rsidRDefault="00204B58" w:rsidP="003A601B">
      <w:pPr>
        <w:pStyle w:val="ANOTACION"/>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4BD23B3C" w14:textId="36E6143C" w:rsidTr="00B3467A">
        <w:tc>
          <w:tcPr>
            <w:tcW w:w="4675" w:type="dxa"/>
          </w:tcPr>
          <w:p w14:paraId="1E73640E" w14:textId="77777777" w:rsidR="00204B58" w:rsidRPr="00F01347" w:rsidRDefault="00204B58" w:rsidP="002E702A">
            <w:pPr>
              <w:pStyle w:val="ANOTACION"/>
              <w:rPr>
                <w:rFonts w:ascii="Verdana" w:hAnsi="Verdana"/>
                <w:sz w:val="16"/>
                <w:szCs w:val="16"/>
              </w:rPr>
            </w:pPr>
            <w:r w:rsidRPr="00F01347">
              <w:rPr>
                <w:rFonts w:ascii="Verdana" w:hAnsi="Verdana"/>
                <w:sz w:val="16"/>
                <w:szCs w:val="16"/>
              </w:rPr>
              <w:t>APÉNDICE A</w:t>
            </w:r>
          </w:p>
        </w:tc>
        <w:tc>
          <w:tcPr>
            <w:tcW w:w="4675" w:type="dxa"/>
          </w:tcPr>
          <w:p w14:paraId="33A31C16" w14:textId="695ED6EA" w:rsidR="00204B58" w:rsidRPr="00F01347" w:rsidRDefault="007C6EA3" w:rsidP="002E702A">
            <w:pPr>
              <w:pStyle w:val="ANOTACION"/>
              <w:rPr>
                <w:rFonts w:ascii="Verdana" w:hAnsi="Verdana"/>
                <w:sz w:val="16"/>
                <w:szCs w:val="16"/>
              </w:rPr>
            </w:pPr>
            <w:r w:rsidRPr="00F01347">
              <w:rPr>
                <w:rFonts w:ascii="Verdana" w:hAnsi="Verdana"/>
                <w:sz w:val="16"/>
                <w:szCs w:val="16"/>
              </w:rPr>
              <w:t>APPENDIX A</w:t>
            </w:r>
          </w:p>
        </w:tc>
      </w:tr>
      <w:tr w:rsidR="00204B58" w:rsidRPr="00F01347" w14:paraId="7535AF02" w14:textId="4516FF00" w:rsidTr="00B3467A">
        <w:tc>
          <w:tcPr>
            <w:tcW w:w="4675" w:type="dxa"/>
          </w:tcPr>
          <w:p w14:paraId="5B3757F1" w14:textId="77777777" w:rsidR="00204B58" w:rsidRPr="00F01347" w:rsidRDefault="00204B58" w:rsidP="002E702A">
            <w:pPr>
              <w:pStyle w:val="texto0"/>
              <w:ind w:firstLine="0"/>
              <w:jc w:val="center"/>
              <w:rPr>
                <w:rFonts w:ascii="Verdana" w:hAnsi="Verdana"/>
                <w:b/>
                <w:sz w:val="16"/>
                <w:szCs w:val="16"/>
                <w:lang w:val="es-ES_tradnl"/>
              </w:rPr>
            </w:pPr>
            <w:r w:rsidRPr="00F01347">
              <w:rPr>
                <w:rFonts w:ascii="Verdana" w:hAnsi="Verdana"/>
                <w:b/>
                <w:sz w:val="16"/>
                <w:szCs w:val="16"/>
                <w:lang w:val="es-ES_tradnl"/>
              </w:rPr>
              <w:t>NORMATIVO</w:t>
            </w:r>
          </w:p>
        </w:tc>
        <w:tc>
          <w:tcPr>
            <w:tcW w:w="4675" w:type="dxa"/>
          </w:tcPr>
          <w:p w14:paraId="1E417FFD" w14:textId="1ACE33A8" w:rsidR="00204B58" w:rsidRPr="00F01347" w:rsidRDefault="00B3467A" w:rsidP="002E702A">
            <w:pPr>
              <w:pStyle w:val="texto0"/>
              <w:ind w:firstLine="0"/>
              <w:jc w:val="center"/>
              <w:rPr>
                <w:rFonts w:ascii="Verdana" w:hAnsi="Verdana"/>
                <w:b/>
                <w:sz w:val="16"/>
                <w:szCs w:val="16"/>
                <w:lang w:val="es-ES_tradnl"/>
              </w:rPr>
            </w:pPr>
            <w:r w:rsidRPr="00F01347">
              <w:rPr>
                <w:rFonts w:ascii="Verdana" w:hAnsi="Verdana"/>
                <w:b/>
                <w:sz w:val="16"/>
                <w:szCs w:val="16"/>
                <w:lang w:val="es-ES_tradnl"/>
              </w:rPr>
              <w:t>OBLIGATORY</w:t>
            </w:r>
          </w:p>
        </w:tc>
      </w:tr>
      <w:tr w:rsidR="00204B58" w:rsidRPr="00F01347" w14:paraId="23A653A0" w14:textId="1AB6CC51" w:rsidTr="00B3467A">
        <w:tc>
          <w:tcPr>
            <w:tcW w:w="4675" w:type="dxa"/>
          </w:tcPr>
          <w:p w14:paraId="2787E699" w14:textId="77777777" w:rsidR="00204B58" w:rsidRPr="00F01347" w:rsidRDefault="00204B58" w:rsidP="002E702A">
            <w:pPr>
              <w:pStyle w:val="texto0"/>
              <w:ind w:firstLine="0"/>
              <w:jc w:val="center"/>
              <w:rPr>
                <w:rFonts w:ascii="Verdana" w:hAnsi="Verdana"/>
                <w:b/>
                <w:sz w:val="16"/>
                <w:szCs w:val="16"/>
              </w:rPr>
            </w:pPr>
            <w:r w:rsidRPr="00F01347">
              <w:rPr>
                <w:rFonts w:ascii="Verdana" w:hAnsi="Verdana"/>
                <w:b/>
                <w:sz w:val="16"/>
                <w:szCs w:val="16"/>
                <w:lang w:val="es-ES_tradnl"/>
              </w:rPr>
              <w:t>Parámetros que conforman los grupos de compuestos orgánicos sintéticos</w:t>
            </w:r>
          </w:p>
        </w:tc>
        <w:tc>
          <w:tcPr>
            <w:tcW w:w="4675" w:type="dxa"/>
          </w:tcPr>
          <w:p w14:paraId="71C910B8" w14:textId="446E2283" w:rsidR="00204B58" w:rsidRPr="00F01347" w:rsidRDefault="008E0FA9" w:rsidP="002E702A">
            <w:pPr>
              <w:pStyle w:val="texto0"/>
              <w:ind w:firstLine="0"/>
              <w:jc w:val="center"/>
              <w:rPr>
                <w:rFonts w:ascii="Verdana" w:hAnsi="Verdana"/>
                <w:b/>
                <w:sz w:val="16"/>
                <w:szCs w:val="16"/>
                <w:lang w:val="en-US"/>
              </w:rPr>
            </w:pPr>
            <w:r w:rsidRPr="00F01347">
              <w:rPr>
                <w:rFonts w:ascii="Verdana" w:hAnsi="Verdana"/>
                <w:b/>
                <w:sz w:val="16"/>
                <w:szCs w:val="16"/>
                <w:lang w:val="en-US"/>
              </w:rPr>
              <w:t>Parameters that make up the groups of synthetic organic compounds</w:t>
            </w:r>
          </w:p>
        </w:tc>
      </w:tr>
    </w:tbl>
    <w:p w14:paraId="0817FF97" w14:textId="77777777" w:rsidR="00204B58" w:rsidRPr="00F01347" w:rsidRDefault="00204B58" w:rsidP="003A601B">
      <w:pPr>
        <w:pStyle w:val="texto0"/>
        <w:ind w:firstLine="0"/>
        <w:jc w:val="center"/>
        <w:rPr>
          <w:rFonts w:ascii="Verdana" w:hAnsi="Verdana"/>
          <w:b/>
          <w:sz w:val="16"/>
          <w:szCs w:val="16"/>
          <w:lang w:val="en-US"/>
        </w:rPr>
      </w:pPr>
    </w:p>
    <w:p w14:paraId="5A29704D"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sz w:val="16"/>
          <w:szCs w:val="16"/>
        </w:rPr>
        <w:t xml:space="preserve">Tabla A.1 Límites permisibles de compuestos orgánicos halogenados </w:t>
      </w:r>
      <w:proofErr w:type="spellStart"/>
      <w:r w:rsidRPr="00F01347">
        <w:rPr>
          <w:rFonts w:ascii="Verdana" w:hAnsi="Verdana"/>
          <w:b/>
          <w:sz w:val="16"/>
          <w:szCs w:val="16"/>
        </w:rPr>
        <w:t>a</w:t>
      </w:r>
      <w:r w:rsidRPr="00F01347">
        <w:rPr>
          <w:rFonts w:ascii="Verdana" w:hAnsi="Verdana"/>
          <w:b/>
          <w:color w:val="000000"/>
          <w:sz w:val="16"/>
          <w:szCs w:val="16"/>
        </w:rPr>
        <w:t>dsorbibles</w:t>
      </w:r>
      <w:proofErr w:type="spellEnd"/>
      <w:r w:rsidRPr="00F01347">
        <w:rPr>
          <w:rFonts w:ascii="Verdana" w:hAnsi="Verdana"/>
          <w:b/>
          <w:color w:val="000000"/>
          <w:sz w:val="16"/>
          <w:szCs w:val="16"/>
        </w:rPr>
        <w:t xml:space="preserve"> fijos</w:t>
      </w:r>
    </w:p>
    <w:tbl>
      <w:tblPr>
        <w:tblW w:w="8712" w:type="dxa"/>
        <w:tblInd w:w="144" w:type="dxa"/>
        <w:tblLayout w:type="fixed"/>
        <w:tblCellMar>
          <w:left w:w="70" w:type="dxa"/>
          <w:right w:w="70" w:type="dxa"/>
        </w:tblCellMar>
        <w:tblLook w:val="0000" w:firstRow="0" w:lastRow="0" w:firstColumn="0" w:lastColumn="0" w:noHBand="0" w:noVBand="0"/>
      </w:tblPr>
      <w:tblGrid>
        <w:gridCol w:w="3104"/>
        <w:gridCol w:w="3065"/>
        <w:gridCol w:w="2543"/>
      </w:tblGrid>
      <w:tr w:rsidR="00A74CDF" w:rsidRPr="00F01347" w14:paraId="445C05E5" w14:textId="77777777">
        <w:trPr>
          <w:trHeight w:val="144"/>
        </w:trPr>
        <w:tc>
          <w:tcPr>
            <w:tcW w:w="3104" w:type="dxa"/>
            <w:tcBorders>
              <w:top w:val="single" w:sz="6" w:space="0" w:color="auto"/>
              <w:left w:val="single" w:sz="6" w:space="0" w:color="auto"/>
              <w:bottom w:val="single" w:sz="6" w:space="0" w:color="auto"/>
              <w:right w:val="single" w:sz="6" w:space="0" w:color="auto"/>
            </w:tcBorders>
            <w:noWrap/>
          </w:tcPr>
          <w:p w14:paraId="02C61FBB" w14:textId="77777777" w:rsidR="00A74CDF" w:rsidRPr="00F01347" w:rsidRDefault="00A74CDF" w:rsidP="003A601B">
            <w:pPr>
              <w:pStyle w:val="texto0"/>
              <w:spacing w:line="296" w:lineRule="exact"/>
              <w:ind w:firstLine="0"/>
              <w:jc w:val="center"/>
              <w:rPr>
                <w:rFonts w:ascii="Verdana" w:hAnsi="Verdana"/>
                <w:b/>
                <w:color w:val="000000"/>
                <w:sz w:val="16"/>
                <w:szCs w:val="16"/>
              </w:rPr>
            </w:pPr>
            <w:r w:rsidRPr="00F01347">
              <w:rPr>
                <w:rFonts w:ascii="Verdana" w:hAnsi="Verdana"/>
                <w:b/>
                <w:color w:val="000000"/>
                <w:sz w:val="16"/>
                <w:szCs w:val="16"/>
              </w:rPr>
              <w:t>Parámetros</w:t>
            </w:r>
          </w:p>
        </w:tc>
        <w:tc>
          <w:tcPr>
            <w:tcW w:w="3065" w:type="dxa"/>
            <w:tcBorders>
              <w:top w:val="single" w:sz="6" w:space="0" w:color="auto"/>
              <w:left w:val="single" w:sz="6" w:space="0" w:color="auto"/>
              <w:bottom w:val="single" w:sz="6" w:space="0" w:color="auto"/>
              <w:right w:val="single" w:sz="6" w:space="0" w:color="auto"/>
            </w:tcBorders>
          </w:tcPr>
          <w:p w14:paraId="05BBEFAD" w14:textId="77777777" w:rsidR="00A74CDF" w:rsidRPr="00F01347" w:rsidRDefault="00A74CDF" w:rsidP="003A601B">
            <w:pPr>
              <w:pStyle w:val="texto0"/>
              <w:spacing w:line="296" w:lineRule="exact"/>
              <w:ind w:firstLine="0"/>
              <w:jc w:val="center"/>
              <w:rPr>
                <w:rFonts w:ascii="Verdana" w:hAnsi="Verdana"/>
                <w:b/>
                <w:color w:val="000000"/>
                <w:sz w:val="16"/>
                <w:szCs w:val="16"/>
              </w:rPr>
            </w:pPr>
            <w:r w:rsidRPr="00F01347">
              <w:rPr>
                <w:rFonts w:ascii="Verdana" w:hAnsi="Verdana"/>
                <w:b/>
                <w:color w:val="000000"/>
                <w:sz w:val="16"/>
                <w:szCs w:val="16"/>
              </w:rPr>
              <w:t>Límite permisible</w:t>
            </w:r>
          </w:p>
        </w:tc>
        <w:tc>
          <w:tcPr>
            <w:tcW w:w="2543" w:type="dxa"/>
            <w:tcBorders>
              <w:top w:val="single" w:sz="6" w:space="0" w:color="auto"/>
              <w:left w:val="single" w:sz="6" w:space="0" w:color="auto"/>
              <w:bottom w:val="single" w:sz="6" w:space="0" w:color="auto"/>
              <w:right w:val="single" w:sz="6" w:space="0" w:color="auto"/>
            </w:tcBorders>
          </w:tcPr>
          <w:p w14:paraId="15E66FCF" w14:textId="77777777" w:rsidR="00A74CDF" w:rsidRPr="00F01347" w:rsidRDefault="00A74CDF" w:rsidP="003A601B">
            <w:pPr>
              <w:pStyle w:val="texto0"/>
              <w:spacing w:line="296" w:lineRule="exact"/>
              <w:ind w:firstLine="0"/>
              <w:jc w:val="center"/>
              <w:rPr>
                <w:rFonts w:ascii="Verdana" w:hAnsi="Verdana"/>
                <w:b/>
                <w:color w:val="000000"/>
                <w:sz w:val="16"/>
                <w:szCs w:val="16"/>
              </w:rPr>
            </w:pPr>
            <w:r w:rsidRPr="00F01347">
              <w:rPr>
                <w:rFonts w:ascii="Verdana" w:hAnsi="Verdana"/>
                <w:b/>
                <w:color w:val="000000"/>
                <w:sz w:val="16"/>
                <w:szCs w:val="16"/>
              </w:rPr>
              <w:t>Unidades</w:t>
            </w:r>
          </w:p>
        </w:tc>
      </w:tr>
      <w:tr w:rsidR="00A74CDF" w:rsidRPr="00F01347" w14:paraId="54D525D5" w14:textId="77777777">
        <w:trPr>
          <w:trHeight w:val="144"/>
        </w:trPr>
        <w:tc>
          <w:tcPr>
            <w:tcW w:w="8712" w:type="dxa"/>
            <w:gridSpan w:val="3"/>
            <w:tcBorders>
              <w:top w:val="single" w:sz="6" w:space="0" w:color="auto"/>
              <w:left w:val="single" w:sz="6" w:space="0" w:color="auto"/>
              <w:bottom w:val="single" w:sz="6" w:space="0" w:color="auto"/>
              <w:right w:val="single" w:sz="6" w:space="0" w:color="auto"/>
            </w:tcBorders>
          </w:tcPr>
          <w:p w14:paraId="195B0B81" w14:textId="77777777" w:rsidR="00A74CDF" w:rsidRPr="00F01347" w:rsidRDefault="00A74CDF" w:rsidP="003A601B">
            <w:pPr>
              <w:pStyle w:val="texto0"/>
              <w:spacing w:line="296" w:lineRule="exact"/>
              <w:ind w:firstLine="0"/>
              <w:rPr>
                <w:rFonts w:ascii="Verdana" w:hAnsi="Verdana"/>
                <w:sz w:val="16"/>
                <w:szCs w:val="16"/>
              </w:rPr>
            </w:pPr>
            <w:r w:rsidRPr="00F01347">
              <w:rPr>
                <w:rFonts w:ascii="Verdana" w:hAnsi="Verdana"/>
                <w:b/>
                <w:sz w:val="16"/>
                <w:szCs w:val="16"/>
              </w:rPr>
              <w:t>COMPUESTOS ORGANICOS SEMIVOLATILES CLORADOS</w:t>
            </w:r>
          </w:p>
        </w:tc>
      </w:tr>
      <w:tr w:rsidR="00A74CDF" w:rsidRPr="00F01347" w14:paraId="6049B4E8"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101951A5" w14:textId="77777777" w:rsidR="00A74CDF" w:rsidRPr="00F01347" w:rsidRDefault="00A74CDF" w:rsidP="003A601B">
            <w:pPr>
              <w:pStyle w:val="texto0"/>
              <w:spacing w:line="296" w:lineRule="exact"/>
              <w:ind w:firstLine="0"/>
              <w:rPr>
                <w:rFonts w:ascii="Verdana" w:hAnsi="Verdana"/>
                <w:sz w:val="16"/>
                <w:szCs w:val="16"/>
              </w:rPr>
            </w:pPr>
            <w:proofErr w:type="spellStart"/>
            <w:r w:rsidRPr="00F01347">
              <w:rPr>
                <w:rFonts w:ascii="Verdana" w:hAnsi="Verdana"/>
                <w:sz w:val="16"/>
                <w:szCs w:val="16"/>
              </w:rPr>
              <w:t>Hexaclorobutadieno</w:t>
            </w:r>
            <w:proofErr w:type="spellEnd"/>
          </w:p>
        </w:tc>
        <w:tc>
          <w:tcPr>
            <w:tcW w:w="3065" w:type="dxa"/>
            <w:tcBorders>
              <w:top w:val="single" w:sz="6" w:space="0" w:color="auto"/>
              <w:left w:val="single" w:sz="6" w:space="0" w:color="auto"/>
              <w:bottom w:val="single" w:sz="6" w:space="0" w:color="auto"/>
              <w:right w:val="single" w:sz="6" w:space="0" w:color="auto"/>
            </w:tcBorders>
          </w:tcPr>
          <w:p w14:paraId="365DE4AF"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0.60</w:t>
            </w:r>
          </w:p>
        </w:tc>
        <w:tc>
          <w:tcPr>
            <w:tcW w:w="2543" w:type="dxa"/>
            <w:tcBorders>
              <w:top w:val="single" w:sz="6" w:space="0" w:color="auto"/>
              <w:left w:val="single" w:sz="6" w:space="0" w:color="auto"/>
              <w:bottom w:val="single" w:sz="6" w:space="0" w:color="auto"/>
              <w:right w:val="single" w:sz="6" w:space="0" w:color="auto"/>
            </w:tcBorders>
          </w:tcPr>
          <w:p w14:paraId="4B1ADAD3"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582621DB"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06AE0379" w14:textId="77777777" w:rsidR="00A74CDF" w:rsidRPr="00F01347" w:rsidRDefault="00A74CDF" w:rsidP="003A601B">
            <w:pPr>
              <w:pStyle w:val="texto0"/>
              <w:spacing w:line="296" w:lineRule="exact"/>
              <w:ind w:firstLine="0"/>
              <w:rPr>
                <w:rFonts w:ascii="Verdana" w:hAnsi="Verdana"/>
                <w:sz w:val="16"/>
                <w:szCs w:val="16"/>
              </w:rPr>
            </w:pPr>
            <w:proofErr w:type="spellStart"/>
            <w:r w:rsidRPr="00F01347">
              <w:rPr>
                <w:rFonts w:ascii="Verdana" w:hAnsi="Verdana"/>
                <w:sz w:val="16"/>
                <w:szCs w:val="16"/>
              </w:rPr>
              <w:t>Pentaclorofenol</w:t>
            </w:r>
            <w:proofErr w:type="spellEnd"/>
          </w:p>
        </w:tc>
        <w:tc>
          <w:tcPr>
            <w:tcW w:w="3065" w:type="dxa"/>
            <w:tcBorders>
              <w:top w:val="single" w:sz="6" w:space="0" w:color="auto"/>
              <w:left w:val="single" w:sz="6" w:space="0" w:color="auto"/>
              <w:bottom w:val="single" w:sz="6" w:space="0" w:color="auto"/>
              <w:right w:val="single" w:sz="6" w:space="0" w:color="auto"/>
            </w:tcBorders>
          </w:tcPr>
          <w:p w14:paraId="5CC7EE9B"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9.0</w:t>
            </w:r>
          </w:p>
        </w:tc>
        <w:tc>
          <w:tcPr>
            <w:tcW w:w="2543" w:type="dxa"/>
            <w:tcBorders>
              <w:top w:val="single" w:sz="6" w:space="0" w:color="auto"/>
              <w:left w:val="single" w:sz="6" w:space="0" w:color="auto"/>
              <w:bottom w:val="single" w:sz="6" w:space="0" w:color="auto"/>
              <w:right w:val="single" w:sz="6" w:space="0" w:color="auto"/>
            </w:tcBorders>
          </w:tcPr>
          <w:p w14:paraId="7D198C3E"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6D10B3F8"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49EDA7CC" w14:textId="77777777" w:rsidR="00A74CDF" w:rsidRPr="00F01347" w:rsidRDefault="00A74CDF" w:rsidP="003A601B">
            <w:pPr>
              <w:pStyle w:val="texto0"/>
              <w:spacing w:line="296" w:lineRule="exact"/>
              <w:ind w:firstLine="0"/>
              <w:rPr>
                <w:rFonts w:ascii="Verdana" w:hAnsi="Verdana"/>
                <w:sz w:val="16"/>
                <w:szCs w:val="16"/>
              </w:rPr>
            </w:pPr>
            <w:r w:rsidRPr="00F01347">
              <w:rPr>
                <w:rFonts w:ascii="Verdana" w:hAnsi="Verdana"/>
                <w:sz w:val="16"/>
                <w:szCs w:val="16"/>
              </w:rPr>
              <w:t xml:space="preserve">2,4,6 </w:t>
            </w:r>
            <w:proofErr w:type="spellStart"/>
            <w:r w:rsidRPr="00F01347">
              <w:rPr>
                <w:rFonts w:ascii="Verdana" w:hAnsi="Verdana"/>
                <w:sz w:val="16"/>
                <w:szCs w:val="16"/>
              </w:rPr>
              <w:t>Triclorofenol</w:t>
            </w:r>
            <w:proofErr w:type="spellEnd"/>
          </w:p>
        </w:tc>
        <w:tc>
          <w:tcPr>
            <w:tcW w:w="3065" w:type="dxa"/>
            <w:tcBorders>
              <w:top w:val="single" w:sz="6" w:space="0" w:color="auto"/>
              <w:left w:val="single" w:sz="6" w:space="0" w:color="auto"/>
              <w:bottom w:val="single" w:sz="6" w:space="0" w:color="auto"/>
              <w:right w:val="single" w:sz="6" w:space="0" w:color="auto"/>
            </w:tcBorders>
          </w:tcPr>
          <w:p w14:paraId="3D4B23C3"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200</w:t>
            </w:r>
          </w:p>
        </w:tc>
        <w:tc>
          <w:tcPr>
            <w:tcW w:w="2543" w:type="dxa"/>
            <w:tcBorders>
              <w:top w:val="single" w:sz="6" w:space="0" w:color="auto"/>
              <w:left w:val="single" w:sz="6" w:space="0" w:color="auto"/>
              <w:bottom w:val="single" w:sz="6" w:space="0" w:color="auto"/>
              <w:right w:val="single" w:sz="6" w:space="0" w:color="auto"/>
            </w:tcBorders>
          </w:tcPr>
          <w:p w14:paraId="06A7C3D7"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602F7A6D"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34D51905" w14:textId="77777777" w:rsidR="00A74CDF" w:rsidRPr="00F01347" w:rsidRDefault="00A74CDF" w:rsidP="003A601B">
            <w:pPr>
              <w:pStyle w:val="texto0"/>
              <w:spacing w:line="296" w:lineRule="exact"/>
              <w:ind w:firstLine="0"/>
              <w:rPr>
                <w:rFonts w:ascii="Verdana" w:hAnsi="Verdana"/>
                <w:sz w:val="16"/>
                <w:szCs w:val="16"/>
              </w:rPr>
            </w:pPr>
            <w:proofErr w:type="spellStart"/>
            <w:r w:rsidRPr="00F01347">
              <w:rPr>
                <w:rFonts w:ascii="Verdana" w:hAnsi="Verdana"/>
                <w:sz w:val="16"/>
                <w:szCs w:val="16"/>
              </w:rPr>
              <w:t>Epiclorohidrina</w:t>
            </w:r>
            <w:proofErr w:type="spellEnd"/>
          </w:p>
        </w:tc>
        <w:tc>
          <w:tcPr>
            <w:tcW w:w="3065" w:type="dxa"/>
            <w:tcBorders>
              <w:top w:val="single" w:sz="6" w:space="0" w:color="auto"/>
              <w:left w:val="single" w:sz="6" w:space="0" w:color="auto"/>
              <w:bottom w:val="single" w:sz="6" w:space="0" w:color="auto"/>
              <w:right w:val="single" w:sz="6" w:space="0" w:color="auto"/>
            </w:tcBorders>
          </w:tcPr>
          <w:p w14:paraId="6E2DAC41"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0.40</w:t>
            </w:r>
          </w:p>
        </w:tc>
        <w:tc>
          <w:tcPr>
            <w:tcW w:w="2543" w:type="dxa"/>
            <w:tcBorders>
              <w:top w:val="single" w:sz="6" w:space="0" w:color="auto"/>
              <w:left w:val="single" w:sz="6" w:space="0" w:color="auto"/>
              <w:bottom w:val="single" w:sz="6" w:space="0" w:color="auto"/>
              <w:right w:val="single" w:sz="6" w:space="0" w:color="auto"/>
            </w:tcBorders>
          </w:tcPr>
          <w:p w14:paraId="693638D7"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665765D3" w14:textId="77777777">
        <w:trPr>
          <w:trHeight w:val="144"/>
        </w:trPr>
        <w:tc>
          <w:tcPr>
            <w:tcW w:w="8712" w:type="dxa"/>
            <w:gridSpan w:val="3"/>
            <w:tcBorders>
              <w:top w:val="single" w:sz="6" w:space="0" w:color="auto"/>
              <w:left w:val="single" w:sz="6" w:space="0" w:color="auto"/>
              <w:bottom w:val="single" w:sz="6" w:space="0" w:color="auto"/>
              <w:right w:val="single" w:sz="6" w:space="0" w:color="auto"/>
            </w:tcBorders>
          </w:tcPr>
          <w:p w14:paraId="18789E23" w14:textId="77777777" w:rsidR="00A74CDF" w:rsidRPr="00F01347" w:rsidRDefault="00A74CDF" w:rsidP="003A601B">
            <w:pPr>
              <w:pStyle w:val="texto0"/>
              <w:spacing w:line="296" w:lineRule="exact"/>
              <w:ind w:firstLine="0"/>
              <w:rPr>
                <w:rFonts w:ascii="Verdana" w:hAnsi="Verdana"/>
                <w:sz w:val="16"/>
                <w:szCs w:val="16"/>
              </w:rPr>
            </w:pPr>
            <w:r w:rsidRPr="00F01347">
              <w:rPr>
                <w:rFonts w:ascii="Verdana" w:hAnsi="Verdana"/>
                <w:b/>
                <w:sz w:val="16"/>
                <w:szCs w:val="16"/>
              </w:rPr>
              <w:lastRenderedPageBreak/>
              <w:t>PLAGUICIDAS CLORADOS</w:t>
            </w:r>
          </w:p>
        </w:tc>
      </w:tr>
      <w:tr w:rsidR="00A74CDF" w:rsidRPr="00F01347" w14:paraId="3F1822DC"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41EA49EF" w14:textId="77777777" w:rsidR="00A74CDF" w:rsidRPr="00F01347" w:rsidRDefault="00A74CDF" w:rsidP="003A601B">
            <w:pPr>
              <w:pStyle w:val="texto0"/>
              <w:spacing w:line="296" w:lineRule="exact"/>
              <w:ind w:firstLine="0"/>
              <w:rPr>
                <w:rFonts w:ascii="Verdana" w:hAnsi="Verdana"/>
                <w:sz w:val="16"/>
                <w:szCs w:val="16"/>
              </w:rPr>
            </w:pPr>
            <w:proofErr w:type="spellStart"/>
            <w:r w:rsidRPr="00F01347">
              <w:rPr>
                <w:rFonts w:ascii="Verdana" w:hAnsi="Verdana"/>
                <w:sz w:val="16"/>
                <w:szCs w:val="16"/>
              </w:rPr>
              <w:t>Alacloro</w:t>
            </w:r>
            <w:proofErr w:type="spellEnd"/>
          </w:p>
        </w:tc>
        <w:tc>
          <w:tcPr>
            <w:tcW w:w="3065" w:type="dxa"/>
            <w:tcBorders>
              <w:top w:val="single" w:sz="6" w:space="0" w:color="auto"/>
              <w:left w:val="single" w:sz="6" w:space="0" w:color="auto"/>
              <w:bottom w:val="single" w:sz="6" w:space="0" w:color="auto"/>
              <w:right w:val="single" w:sz="6" w:space="0" w:color="auto"/>
            </w:tcBorders>
          </w:tcPr>
          <w:p w14:paraId="54234072"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20</w:t>
            </w:r>
          </w:p>
        </w:tc>
        <w:tc>
          <w:tcPr>
            <w:tcW w:w="2543" w:type="dxa"/>
            <w:tcBorders>
              <w:top w:val="single" w:sz="6" w:space="0" w:color="auto"/>
              <w:left w:val="single" w:sz="6" w:space="0" w:color="auto"/>
              <w:bottom w:val="single" w:sz="6" w:space="0" w:color="auto"/>
              <w:right w:val="single" w:sz="6" w:space="0" w:color="auto"/>
            </w:tcBorders>
          </w:tcPr>
          <w:p w14:paraId="676C4175"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6776F272"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1BFE2758" w14:textId="77777777" w:rsidR="00A74CDF" w:rsidRPr="00F01347" w:rsidRDefault="00A74CDF" w:rsidP="003A601B">
            <w:pPr>
              <w:pStyle w:val="texto0"/>
              <w:spacing w:line="296" w:lineRule="exact"/>
              <w:ind w:firstLine="0"/>
              <w:rPr>
                <w:rFonts w:ascii="Verdana" w:hAnsi="Verdana"/>
                <w:sz w:val="16"/>
                <w:szCs w:val="16"/>
              </w:rPr>
            </w:pPr>
            <w:r w:rsidRPr="00F01347">
              <w:rPr>
                <w:rFonts w:ascii="Verdana" w:hAnsi="Verdana"/>
                <w:sz w:val="16"/>
                <w:szCs w:val="16"/>
              </w:rPr>
              <w:t xml:space="preserve">Combinación Aldrin + </w:t>
            </w:r>
            <w:proofErr w:type="spellStart"/>
            <w:r w:rsidRPr="00F01347">
              <w:rPr>
                <w:rFonts w:ascii="Verdana" w:hAnsi="Verdana"/>
                <w:sz w:val="16"/>
                <w:szCs w:val="16"/>
              </w:rPr>
              <w:t>Dieldrin</w:t>
            </w:r>
            <w:proofErr w:type="spellEnd"/>
          </w:p>
        </w:tc>
        <w:tc>
          <w:tcPr>
            <w:tcW w:w="3065" w:type="dxa"/>
            <w:tcBorders>
              <w:top w:val="single" w:sz="6" w:space="0" w:color="auto"/>
              <w:left w:val="single" w:sz="6" w:space="0" w:color="auto"/>
              <w:bottom w:val="single" w:sz="6" w:space="0" w:color="auto"/>
              <w:right w:val="single" w:sz="6" w:space="0" w:color="auto"/>
            </w:tcBorders>
          </w:tcPr>
          <w:p w14:paraId="00381125"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0.03</w:t>
            </w:r>
          </w:p>
        </w:tc>
        <w:tc>
          <w:tcPr>
            <w:tcW w:w="2543" w:type="dxa"/>
            <w:tcBorders>
              <w:top w:val="single" w:sz="6" w:space="0" w:color="auto"/>
              <w:left w:val="single" w:sz="6" w:space="0" w:color="auto"/>
              <w:bottom w:val="single" w:sz="6" w:space="0" w:color="auto"/>
              <w:right w:val="single" w:sz="6" w:space="0" w:color="auto"/>
            </w:tcBorders>
          </w:tcPr>
          <w:p w14:paraId="01F6786F"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26354FB4"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593FE980" w14:textId="77777777" w:rsidR="00A74CDF" w:rsidRPr="00F01347" w:rsidRDefault="00A74CDF" w:rsidP="003A601B">
            <w:pPr>
              <w:pStyle w:val="texto0"/>
              <w:spacing w:line="296" w:lineRule="exact"/>
              <w:ind w:firstLine="0"/>
              <w:rPr>
                <w:rFonts w:ascii="Verdana" w:hAnsi="Verdana"/>
                <w:sz w:val="16"/>
                <w:szCs w:val="16"/>
              </w:rPr>
            </w:pPr>
            <w:r w:rsidRPr="00F01347">
              <w:rPr>
                <w:rFonts w:ascii="Verdana" w:hAnsi="Verdana"/>
                <w:sz w:val="16"/>
                <w:szCs w:val="16"/>
              </w:rPr>
              <w:t>Atrazina</w:t>
            </w:r>
          </w:p>
        </w:tc>
        <w:tc>
          <w:tcPr>
            <w:tcW w:w="3065" w:type="dxa"/>
            <w:tcBorders>
              <w:top w:val="single" w:sz="6" w:space="0" w:color="auto"/>
              <w:left w:val="single" w:sz="6" w:space="0" w:color="auto"/>
              <w:bottom w:val="single" w:sz="6" w:space="0" w:color="auto"/>
              <w:right w:val="single" w:sz="6" w:space="0" w:color="auto"/>
            </w:tcBorders>
          </w:tcPr>
          <w:p w14:paraId="03EDB536"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100</w:t>
            </w:r>
          </w:p>
        </w:tc>
        <w:tc>
          <w:tcPr>
            <w:tcW w:w="2543" w:type="dxa"/>
            <w:tcBorders>
              <w:top w:val="single" w:sz="6" w:space="0" w:color="auto"/>
              <w:left w:val="single" w:sz="6" w:space="0" w:color="auto"/>
              <w:bottom w:val="single" w:sz="6" w:space="0" w:color="auto"/>
              <w:right w:val="single" w:sz="6" w:space="0" w:color="auto"/>
            </w:tcBorders>
          </w:tcPr>
          <w:p w14:paraId="514D86B3"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089575F7"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663F7B96" w14:textId="77777777" w:rsidR="00A74CDF" w:rsidRPr="00F01347" w:rsidRDefault="00A74CDF" w:rsidP="003A601B">
            <w:pPr>
              <w:pStyle w:val="texto0"/>
              <w:spacing w:line="296" w:lineRule="exact"/>
              <w:ind w:firstLine="0"/>
              <w:rPr>
                <w:rFonts w:ascii="Verdana" w:hAnsi="Verdana"/>
                <w:sz w:val="16"/>
                <w:szCs w:val="16"/>
              </w:rPr>
            </w:pPr>
            <w:proofErr w:type="spellStart"/>
            <w:r w:rsidRPr="00F01347">
              <w:rPr>
                <w:rFonts w:ascii="Verdana" w:hAnsi="Verdana"/>
                <w:sz w:val="16"/>
                <w:szCs w:val="16"/>
              </w:rPr>
              <w:t>Clordano</w:t>
            </w:r>
            <w:proofErr w:type="spellEnd"/>
            <w:r w:rsidRPr="00F01347">
              <w:rPr>
                <w:rFonts w:ascii="Verdana" w:hAnsi="Verdana"/>
                <w:sz w:val="16"/>
                <w:szCs w:val="16"/>
              </w:rPr>
              <w:t xml:space="preserve"> (total de isómeros)</w:t>
            </w:r>
          </w:p>
        </w:tc>
        <w:tc>
          <w:tcPr>
            <w:tcW w:w="3065" w:type="dxa"/>
            <w:tcBorders>
              <w:top w:val="single" w:sz="6" w:space="0" w:color="auto"/>
              <w:left w:val="single" w:sz="6" w:space="0" w:color="auto"/>
              <w:bottom w:val="single" w:sz="6" w:space="0" w:color="auto"/>
              <w:right w:val="single" w:sz="6" w:space="0" w:color="auto"/>
            </w:tcBorders>
          </w:tcPr>
          <w:p w14:paraId="2C752979"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0.20</w:t>
            </w:r>
          </w:p>
        </w:tc>
        <w:tc>
          <w:tcPr>
            <w:tcW w:w="2543" w:type="dxa"/>
            <w:tcBorders>
              <w:top w:val="single" w:sz="6" w:space="0" w:color="auto"/>
              <w:left w:val="single" w:sz="6" w:space="0" w:color="auto"/>
              <w:bottom w:val="single" w:sz="6" w:space="0" w:color="auto"/>
              <w:right w:val="single" w:sz="6" w:space="0" w:color="auto"/>
            </w:tcBorders>
          </w:tcPr>
          <w:p w14:paraId="25C4C3BA"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45607A2A"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68DB2B77" w14:textId="77777777" w:rsidR="00A74CDF" w:rsidRPr="00F01347" w:rsidRDefault="00A74CDF" w:rsidP="003A601B">
            <w:pPr>
              <w:pStyle w:val="texto0"/>
              <w:spacing w:line="296" w:lineRule="exact"/>
              <w:ind w:firstLine="0"/>
              <w:rPr>
                <w:rFonts w:ascii="Verdana" w:hAnsi="Verdana"/>
                <w:sz w:val="16"/>
                <w:szCs w:val="16"/>
              </w:rPr>
            </w:pPr>
            <w:proofErr w:type="spellStart"/>
            <w:r w:rsidRPr="00F01347">
              <w:rPr>
                <w:rFonts w:ascii="Verdana" w:hAnsi="Verdana"/>
                <w:sz w:val="16"/>
                <w:szCs w:val="16"/>
              </w:rPr>
              <w:t>Cianazina</w:t>
            </w:r>
            <w:proofErr w:type="spellEnd"/>
          </w:p>
        </w:tc>
        <w:tc>
          <w:tcPr>
            <w:tcW w:w="3065" w:type="dxa"/>
            <w:tcBorders>
              <w:top w:val="single" w:sz="6" w:space="0" w:color="auto"/>
              <w:left w:val="single" w:sz="6" w:space="0" w:color="auto"/>
              <w:bottom w:val="single" w:sz="6" w:space="0" w:color="auto"/>
              <w:right w:val="single" w:sz="6" w:space="0" w:color="auto"/>
            </w:tcBorders>
          </w:tcPr>
          <w:p w14:paraId="3B1F70E9"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0.60</w:t>
            </w:r>
          </w:p>
        </w:tc>
        <w:tc>
          <w:tcPr>
            <w:tcW w:w="2543" w:type="dxa"/>
            <w:tcBorders>
              <w:top w:val="single" w:sz="6" w:space="0" w:color="auto"/>
              <w:left w:val="single" w:sz="6" w:space="0" w:color="auto"/>
              <w:bottom w:val="single" w:sz="6" w:space="0" w:color="auto"/>
              <w:right w:val="single" w:sz="6" w:space="0" w:color="auto"/>
            </w:tcBorders>
          </w:tcPr>
          <w:p w14:paraId="403B7E13"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595B4FD4"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213B803E" w14:textId="77777777" w:rsidR="00A74CDF" w:rsidRPr="00F01347" w:rsidRDefault="00A74CDF" w:rsidP="003A601B">
            <w:pPr>
              <w:pStyle w:val="texto0"/>
              <w:spacing w:line="296" w:lineRule="exact"/>
              <w:ind w:firstLine="0"/>
              <w:rPr>
                <w:rFonts w:ascii="Verdana" w:hAnsi="Verdana"/>
                <w:sz w:val="16"/>
                <w:szCs w:val="16"/>
              </w:rPr>
            </w:pPr>
            <w:r w:rsidRPr="00F01347">
              <w:rPr>
                <w:rFonts w:ascii="Verdana" w:hAnsi="Verdana"/>
                <w:sz w:val="16"/>
                <w:szCs w:val="16"/>
              </w:rPr>
              <w:t>DDT y metabolitos</w:t>
            </w:r>
          </w:p>
        </w:tc>
        <w:tc>
          <w:tcPr>
            <w:tcW w:w="3065" w:type="dxa"/>
            <w:tcBorders>
              <w:top w:val="single" w:sz="6" w:space="0" w:color="auto"/>
              <w:left w:val="single" w:sz="6" w:space="0" w:color="auto"/>
              <w:bottom w:val="single" w:sz="6" w:space="0" w:color="auto"/>
              <w:right w:val="single" w:sz="6" w:space="0" w:color="auto"/>
            </w:tcBorders>
          </w:tcPr>
          <w:p w14:paraId="02B37BFB"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1.0</w:t>
            </w:r>
          </w:p>
        </w:tc>
        <w:tc>
          <w:tcPr>
            <w:tcW w:w="2543" w:type="dxa"/>
            <w:tcBorders>
              <w:top w:val="single" w:sz="6" w:space="0" w:color="auto"/>
              <w:left w:val="single" w:sz="6" w:space="0" w:color="auto"/>
              <w:bottom w:val="single" w:sz="6" w:space="0" w:color="auto"/>
              <w:right w:val="single" w:sz="6" w:space="0" w:color="auto"/>
            </w:tcBorders>
          </w:tcPr>
          <w:p w14:paraId="3AA7FB2A"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350E4053"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1F125321" w14:textId="77777777" w:rsidR="00A74CDF" w:rsidRPr="00F01347" w:rsidRDefault="00A74CDF" w:rsidP="003A601B">
            <w:pPr>
              <w:pStyle w:val="texto0"/>
              <w:spacing w:line="296" w:lineRule="exact"/>
              <w:ind w:firstLine="0"/>
              <w:rPr>
                <w:rFonts w:ascii="Verdana" w:hAnsi="Verdana"/>
                <w:sz w:val="16"/>
                <w:szCs w:val="16"/>
              </w:rPr>
            </w:pPr>
            <w:proofErr w:type="spellStart"/>
            <w:r w:rsidRPr="00F01347">
              <w:rPr>
                <w:rFonts w:ascii="Verdana" w:hAnsi="Verdana"/>
                <w:sz w:val="16"/>
                <w:szCs w:val="16"/>
              </w:rPr>
              <w:t>Endrin</w:t>
            </w:r>
            <w:proofErr w:type="spellEnd"/>
          </w:p>
        </w:tc>
        <w:tc>
          <w:tcPr>
            <w:tcW w:w="3065" w:type="dxa"/>
            <w:tcBorders>
              <w:top w:val="single" w:sz="6" w:space="0" w:color="auto"/>
              <w:left w:val="single" w:sz="6" w:space="0" w:color="auto"/>
              <w:bottom w:val="single" w:sz="6" w:space="0" w:color="auto"/>
              <w:right w:val="single" w:sz="6" w:space="0" w:color="auto"/>
            </w:tcBorders>
          </w:tcPr>
          <w:p w14:paraId="1D0BEE09"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0.60</w:t>
            </w:r>
          </w:p>
        </w:tc>
        <w:tc>
          <w:tcPr>
            <w:tcW w:w="2543" w:type="dxa"/>
            <w:tcBorders>
              <w:top w:val="single" w:sz="6" w:space="0" w:color="auto"/>
              <w:left w:val="single" w:sz="6" w:space="0" w:color="auto"/>
              <w:bottom w:val="single" w:sz="6" w:space="0" w:color="auto"/>
              <w:right w:val="single" w:sz="6" w:space="0" w:color="auto"/>
            </w:tcBorders>
          </w:tcPr>
          <w:p w14:paraId="6DB788F6"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0D8A4545"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7EC68CD6" w14:textId="77777777" w:rsidR="00A74CDF" w:rsidRPr="00F01347" w:rsidRDefault="00A74CDF" w:rsidP="003A601B">
            <w:pPr>
              <w:pStyle w:val="texto0"/>
              <w:spacing w:line="304" w:lineRule="exact"/>
              <w:ind w:firstLine="0"/>
              <w:rPr>
                <w:rFonts w:ascii="Verdana" w:hAnsi="Verdana"/>
                <w:sz w:val="16"/>
                <w:szCs w:val="16"/>
              </w:rPr>
            </w:pPr>
            <w:r w:rsidRPr="00F01347">
              <w:rPr>
                <w:rFonts w:ascii="Verdana" w:hAnsi="Verdana"/>
                <w:sz w:val="16"/>
                <w:szCs w:val="16"/>
              </w:rPr>
              <w:t>Lindano</w:t>
            </w:r>
          </w:p>
        </w:tc>
        <w:tc>
          <w:tcPr>
            <w:tcW w:w="3065" w:type="dxa"/>
            <w:tcBorders>
              <w:top w:val="single" w:sz="6" w:space="0" w:color="auto"/>
              <w:left w:val="single" w:sz="6" w:space="0" w:color="auto"/>
              <w:bottom w:val="single" w:sz="6" w:space="0" w:color="auto"/>
              <w:right w:val="single" w:sz="6" w:space="0" w:color="auto"/>
            </w:tcBorders>
          </w:tcPr>
          <w:p w14:paraId="2215E208"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2.0</w:t>
            </w:r>
          </w:p>
        </w:tc>
        <w:tc>
          <w:tcPr>
            <w:tcW w:w="2543" w:type="dxa"/>
            <w:tcBorders>
              <w:top w:val="single" w:sz="6" w:space="0" w:color="auto"/>
              <w:left w:val="single" w:sz="6" w:space="0" w:color="auto"/>
              <w:bottom w:val="single" w:sz="6" w:space="0" w:color="auto"/>
              <w:right w:val="single" w:sz="6" w:space="0" w:color="auto"/>
            </w:tcBorders>
          </w:tcPr>
          <w:p w14:paraId="3C8D2326"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56228C52"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0C902117" w14:textId="77777777" w:rsidR="00A74CDF" w:rsidRPr="00F01347" w:rsidRDefault="00A74CDF" w:rsidP="003A601B">
            <w:pPr>
              <w:pStyle w:val="texto0"/>
              <w:spacing w:line="304" w:lineRule="exact"/>
              <w:ind w:firstLine="0"/>
              <w:rPr>
                <w:rFonts w:ascii="Verdana" w:hAnsi="Verdana"/>
                <w:sz w:val="16"/>
                <w:szCs w:val="16"/>
              </w:rPr>
            </w:pPr>
            <w:proofErr w:type="spellStart"/>
            <w:r w:rsidRPr="00F01347">
              <w:rPr>
                <w:rFonts w:ascii="Verdana" w:hAnsi="Verdana"/>
                <w:sz w:val="16"/>
                <w:szCs w:val="16"/>
              </w:rPr>
              <w:t>Metolacloro</w:t>
            </w:r>
            <w:proofErr w:type="spellEnd"/>
          </w:p>
        </w:tc>
        <w:tc>
          <w:tcPr>
            <w:tcW w:w="3065" w:type="dxa"/>
            <w:tcBorders>
              <w:top w:val="single" w:sz="6" w:space="0" w:color="auto"/>
              <w:left w:val="single" w:sz="6" w:space="0" w:color="auto"/>
              <w:bottom w:val="single" w:sz="6" w:space="0" w:color="auto"/>
              <w:right w:val="single" w:sz="6" w:space="0" w:color="auto"/>
            </w:tcBorders>
          </w:tcPr>
          <w:p w14:paraId="10522B9A"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10</w:t>
            </w:r>
          </w:p>
        </w:tc>
        <w:tc>
          <w:tcPr>
            <w:tcW w:w="2543" w:type="dxa"/>
            <w:tcBorders>
              <w:top w:val="single" w:sz="6" w:space="0" w:color="auto"/>
              <w:left w:val="single" w:sz="6" w:space="0" w:color="auto"/>
              <w:bottom w:val="single" w:sz="6" w:space="0" w:color="auto"/>
              <w:right w:val="single" w:sz="6" w:space="0" w:color="auto"/>
            </w:tcBorders>
          </w:tcPr>
          <w:p w14:paraId="3B5F67EC"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154A511F"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066DF97D" w14:textId="77777777" w:rsidR="00A74CDF" w:rsidRPr="00F01347" w:rsidRDefault="00A74CDF" w:rsidP="003A601B">
            <w:pPr>
              <w:pStyle w:val="texto0"/>
              <w:spacing w:line="304" w:lineRule="exact"/>
              <w:ind w:firstLine="0"/>
              <w:rPr>
                <w:rFonts w:ascii="Verdana" w:hAnsi="Verdana"/>
                <w:sz w:val="16"/>
                <w:szCs w:val="16"/>
              </w:rPr>
            </w:pPr>
            <w:proofErr w:type="spellStart"/>
            <w:r w:rsidRPr="00F01347">
              <w:rPr>
                <w:rFonts w:ascii="Verdana" w:hAnsi="Verdana"/>
                <w:sz w:val="16"/>
                <w:szCs w:val="16"/>
              </w:rPr>
              <w:t>Metoxicloro</w:t>
            </w:r>
            <w:proofErr w:type="spellEnd"/>
          </w:p>
        </w:tc>
        <w:tc>
          <w:tcPr>
            <w:tcW w:w="3065" w:type="dxa"/>
            <w:tcBorders>
              <w:top w:val="single" w:sz="6" w:space="0" w:color="auto"/>
              <w:left w:val="single" w:sz="6" w:space="0" w:color="auto"/>
              <w:bottom w:val="single" w:sz="6" w:space="0" w:color="auto"/>
              <w:right w:val="single" w:sz="6" w:space="0" w:color="auto"/>
            </w:tcBorders>
          </w:tcPr>
          <w:p w14:paraId="4408DFC4"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20</w:t>
            </w:r>
          </w:p>
        </w:tc>
        <w:tc>
          <w:tcPr>
            <w:tcW w:w="2543" w:type="dxa"/>
            <w:tcBorders>
              <w:top w:val="single" w:sz="6" w:space="0" w:color="auto"/>
              <w:left w:val="single" w:sz="6" w:space="0" w:color="auto"/>
              <w:bottom w:val="single" w:sz="6" w:space="0" w:color="auto"/>
              <w:right w:val="single" w:sz="6" w:space="0" w:color="auto"/>
            </w:tcBorders>
          </w:tcPr>
          <w:p w14:paraId="237D3440"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615370EB"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5F16CBE1" w14:textId="77777777" w:rsidR="00A74CDF" w:rsidRPr="00F01347" w:rsidRDefault="00A74CDF" w:rsidP="003A601B">
            <w:pPr>
              <w:pStyle w:val="texto0"/>
              <w:spacing w:line="304" w:lineRule="exact"/>
              <w:ind w:firstLine="0"/>
              <w:rPr>
                <w:rFonts w:ascii="Verdana" w:hAnsi="Verdana"/>
                <w:sz w:val="16"/>
                <w:szCs w:val="16"/>
              </w:rPr>
            </w:pPr>
            <w:proofErr w:type="spellStart"/>
            <w:r w:rsidRPr="00F01347">
              <w:rPr>
                <w:rFonts w:ascii="Verdana" w:hAnsi="Verdana"/>
                <w:sz w:val="16"/>
                <w:szCs w:val="16"/>
              </w:rPr>
              <w:t>Pendimetalina</w:t>
            </w:r>
            <w:proofErr w:type="spellEnd"/>
          </w:p>
        </w:tc>
        <w:tc>
          <w:tcPr>
            <w:tcW w:w="3065" w:type="dxa"/>
            <w:tcBorders>
              <w:top w:val="single" w:sz="6" w:space="0" w:color="auto"/>
              <w:left w:val="single" w:sz="6" w:space="0" w:color="auto"/>
              <w:bottom w:val="single" w:sz="6" w:space="0" w:color="auto"/>
              <w:right w:val="single" w:sz="6" w:space="0" w:color="auto"/>
            </w:tcBorders>
          </w:tcPr>
          <w:p w14:paraId="08986ABB"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20</w:t>
            </w:r>
          </w:p>
        </w:tc>
        <w:tc>
          <w:tcPr>
            <w:tcW w:w="2543" w:type="dxa"/>
            <w:tcBorders>
              <w:top w:val="single" w:sz="6" w:space="0" w:color="auto"/>
              <w:left w:val="single" w:sz="6" w:space="0" w:color="auto"/>
              <w:bottom w:val="single" w:sz="6" w:space="0" w:color="auto"/>
              <w:right w:val="single" w:sz="6" w:space="0" w:color="auto"/>
            </w:tcBorders>
          </w:tcPr>
          <w:p w14:paraId="5A43424D"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5C591C9A"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591FC541" w14:textId="77777777" w:rsidR="00A74CDF" w:rsidRPr="00F01347" w:rsidRDefault="00A74CDF" w:rsidP="003A601B">
            <w:pPr>
              <w:pStyle w:val="texto0"/>
              <w:spacing w:line="304" w:lineRule="exact"/>
              <w:ind w:firstLine="0"/>
              <w:rPr>
                <w:rFonts w:ascii="Verdana" w:hAnsi="Verdana"/>
                <w:sz w:val="16"/>
                <w:szCs w:val="16"/>
              </w:rPr>
            </w:pPr>
            <w:proofErr w:type="spellStart"/>
            <w:r w:rsidRPr="00F01347">
              <w:rPr>
                <w:rFonts w:ascii="Verdana" w:hAnsi="Verdana"/>
                <w:sz w:val="16"/>
                <w:szCs w:val="16"/>
              </w:rPr>
              <w:t>Terbutilazina</w:t>
            </w:r>
            <w:proofErr w:type="spellEnd"/>
            <w:r w:rsidRPr="00F01347">
              <w:rPr>
                <w:rFonts w:ascii="Verdana" w:hAnsi="Verdana"/>
                <w:sz w:val="16"/>
                <w:szCs w:val="16"/>
              </w:rPr>
              <w:t xml:space="preserve"> </w:t>
            </w:r>
          </w:p>
        </w:tc>
        <w:tc>
          <w:tcPr>
            <w:tcW w:w="3065" w:type="dxa"/>
            <w:tcBorders>
              <w:top w:val="single" w:sz="6" w:space="0" w:color="auto"/>
              <w:left w:val="single" w:sz="6" w:space="0" w:color="auto"/>
              <w:bottom w:val="single" w:sz="6" w:space="0" w:color="auto"/>
              <w:right w:val="single" w:sz="6" w:space="0" w:color="auto"/>
            </w:tcBorders>
          </w:tcPr>
          <w:p w14:paraId="32DF3F4E"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7.0</w:t>
            </w:r>
          </w:p>
        </w:tc>
        <w:tc>
          <w:tcPr>
            <w:tcW w:w="2543" w:type="dxa"/>
            <w:tcBorders>
              <w:top w:val="single" w:sz="6" w:space="0" w:color="auto"/>
              <w:left w:val="single" w:sz="6" w:space="0" w:color="auto"/>
              <w:bottom w:val="single" w:sz="6" w:space="0" w:color="auto"/>
              <w:right w:val="single" w:sz="6" w:space="0" w:color="auto"/>
            </w:tcBorders>
          </w:tcPr>
          <w:p w14:paraId="398C745E"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0C792AC3"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61AB33B5" w14:textId="77777777" w:rsidR="00A74CDF" w:rsidRPr="00F01347" w:rsidRDefault="00A74CDF" w:rsidP="003A601B">
            <w:pPr>
              <w:pStyle w:val="texto0"/>
              <w:spacing w:line="304" w:lineRule="exact"/>
              <w:ind w:firstLine="0"/>
              <w:rPr>
                <w:rFonts w:ascii="Verdana" w:hAnsi="Verdana"/>
                <w:sz w:val="16"/>
                <w:szCs w:val="16"/>
              </w:rPr>
            </w:pPr>
            <w:proofErr w:type="spellStart"/>
            <w:r w:rsidRPr="00F01347">
              <w:rPr>
                <w:rFonts w:ascii="Verdana" w:hAnsi="Verdana"/>
                <w:sz w:val="16"/>
                <w:szCs w:val="16"/>
              </w:rPr>
              <w:t>Trifluralina</w:t>
            </w:r>
            <w:proofErr w:type="spellEnd"/>
          </w:p>
        </w:tc>
        <w:tc>
          <w:tcPr>
            <w:tcW w:w="3065" w:type="dxa"/>
            <w:tcBorders>
              <w:top w:val="single" w:sz="6" w:space="0" w:color="auto"/>
              <w:left w:val="single" w:sz="6" w:space="0" w:color="auto"/>
              <w:bottom w:val="single" w:sz="6" w:space="0" w:color="auto"/>
              <w:right w:val="single" w:sz="6" w:space="0" w:color="auto"/>
            </w:tcBorders>
          </w:tcPr>
          <w:p w14:paraId="7FEB98F1"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20</w:t>
            </w:r>
          </w:p>
        </w:tc>
        <w:tc>
          <w:tcPr>
            <w:tcW w:w="2543" w:type="dxa"/>
            <w:tcBorders>
              <w:top w:val="single" w:sz="6" w:space="0" w:color="auto"/>
              <w:left w:val="single" w:sz="6" w:space="0" w:color="auto"/>
              <w:bottom w:val="single" w:sz="6" w:space="0" w:color="auto"/>
              <w:right w:val="single" w:sz="6" w:space="0" w:color="auto"/>
            </w:tcBorders>
          </w:tcPr>
          <w:p w14:paraId="0C574EDD"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47CD479B" w14:textId="77777777">
        <w:trPr>
          <w:trHeight w:val="144"/>
        </w:trPr>
        <w:tc>
          <w:tcPr>
            <w:tcW w:w="8712" w:type="dxa"/>
            <w:gridSpan w:val="3"/>
            <w:tcBorders>
              <w:top w:val="single" w:sz="6" w:space="0" w:color="auto"/>
              <w:left w:val="single" w:sz="6" w:space="0" w:color="auto"/>
              <w:bottom w:val="single" w:sz="6" w:space="0" w:color="auto"/>
              <w:right w:val="single" w:sz="6" w:space="0" w:color="auto"/>
            </w:tcBorders>
          </w:tcPr>
          <w:p w14:paraId="1F6A3057" w14:textId="77777777" w:rsidR="00A74CDF" w:rsidRPr="00F01347" w:rsidRDefault="00A74CDF" w:rsidP="003A601B">
            <w:pPr>
              <w:pStyle w:val="texto0"/>
              <w:spacing w:line="304" w:lineRule="exact"/>
              <w:ind w:firstLine="0"/>
              <w:rPr>
                <w:rFonts w:ascii="Verdana" w:hAnsi="Verdana"/>
                <w:b/>
                <w:sz w:val="16"/>
                <w:szCs w:val="16"/>
              </w:rPr>
            </w:pPr>
            <w:r w:rsidRPr="00F01347">
              <w:rPr>
                <w:rFonts w:ascii="Verdana" w:hAnsi="Verdana"/>
                <w:b/>
                <w:sz w:val="16"/>
                <w:szCs w:val="16"/>
              </w:rPr>
              <w:t>HERBICIDAS CLORADOS</w:t>
            </w:r>
          </w:p>
        </w:tc>
      </w:tr>
      <w:tr w:rsidR="00A74CDF" w:rsidRPr="00F01347" w14:paraId="1B836078"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2940E285" w14:textId="77777777" w:rsidR="00A74CDF" w:rsidRPr="00F01347" w:rsidRDefault="00A74CDF" w:rsidP="003A601B">
            <w:pPr>
              <w:pStyle w:val="texto0"/>
              <w:spacing w:line="304" w:lineRule="exact"/>
              <w:ind w:firstLine="0"/>
              <w:rPr>
                <w:rFonts w:ascii="Verdana" w:hAnsi="Verdana"/>
                <w:sz w:val="16"/>
                <w:szCs w:val="16"/>
              </w:rPr>
            </w:pPr>
            <w:r w:rsidRPr="00F01347">
              <w:rPr>
                <w:rFonts w:ascii="Verdana" w:hAnsi="Verdana"/>
                <w:sz w:val="16"/>
                <w:szCs w:val="16"/>
              </w:rPr>
              <w:t>2,4-D</w:t>
            </w:r>
          </w:p>
        </w:tc>
        <w:tc>
          <w:tcPr>
            <w:tcW w:w="3065" w:type="dxa"/>
            <w:tcBorders>
              <w:top w:val="single" w:sz="6" w:space="0" w:color="auto"/>
              <w:left w:val="single" w:sz="6" w:space="0" w:color="auto"/>
              <w:bottom w:val="single" w:sz="6" w:space="0" w:color="auto"/>
              <w:right w:val="single" w:sz="6" w:space="0" w:color="auto"/>
            </w:tcBorders>
          </w:tcPr>
          <w:p w14:paraId="393EE0A8"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30</w:t>
            </w:r>
          </w:p>
        </w:tc>
        <w:tc>
          <w:tcPr>
            <w:tcW w:w="2543" w:type="dxa"/>
            <w:tcBorders>
              <w:top w:val="single" w:sz="6" w:space="0" w:color="auto"/>
              <w:left w:val="single" w:sz="6" w:space="0" w:color="auto"/>
              <w:bottom w:val="single" w:sz="6" w:space="0" w:color="auto"/>
              <w:right w:val="single" w:sz="6" w:space="0" w:color="auto"/>
            </w:tcBorders>
          </w:tcPr>
          <w:p w14:paraId="3C3D6CCA"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1BE09B11"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1A18A254" w14:textId="77777777" w:rsidR="00A74CDF" w:rsidRPr="00F01347" w:rsidRDefault="00A74CDF" w:rsidP="003A601B">
            <w:pPr>
              <w:pStyle w:val="texto0"/>
              <w:spacing w:line="304" w:lineRule="exact"/>
              <w:ind w:firstLine="0"/>
              <w:rPr>
                <w:rFonts w:ascii="Verdana" w:hAnsi="Verdana"/>
                <w:sz w:val="16"/>
                <w:szCs w:val="16"/>
              </w:rPr>
            </w:pPr>
            <w:r w:rsidRPr="00F01347">
              <w:rPr>
                <w:rFonts w:ascii="Verdana" w:hAnsi="Verdana"/>
                <w:sz w:val="16"/>
                <w:szCs w:val="16"/>
              </w:rPr>
              <w:t xml:space="preserve">2,4,5-T </w:t>
            </w:r>
          </w:p>
        </w:tc>
        <w:tc>
          <w:tcPr>
            <w:tcW w:w="3065" w:type="dxa"/>
            <w:tcBorders>
              <w:top w:val="single" w:sz="6" w:space="0" w:color="auto"/>
              <w:left w:val="single" w:sz="6" w:space="0" w:color="auto"/>
              <w:bottom w:val="single" w:sz="6" w:space="0" w:color="auto"/>
              <w:right w:val="single" w:sz="6" w:space="0" w:color="auto"/>
            </w:tcBorders>
          </w:tcPr>
          <w:p w14:paraId="3E1835F9"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9.0</w:t>
            </w:r>
          </w:p>
        </w:tc>
        <w:tc>
          <w:tcPr>
            <w:tcW w:w="2543" w:type="dxa"/>
            <w:tcBorders>
              <w:top w:val="single" w:sz="6" w:space="0" w:color="auto"/>
              <w:left w:val="single" w:sz="6" w:space="0" w:color="auto"/>
              <w:bottom w:val="single" w:sz="6" w:space="0" w:color="auto"/>
              <w:right w:val="single" w:sz="6" w:space="0" w:color="auto"/>
            </w:tcBorders>
          </w:tcPr>
          <w:p w14:paraId="41DB79E8"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57D7111E"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12A9903A" w14:textId="77777777" w:rsidR="00A74CDF" w:rsidRPr="00F01347" w:rsidRDefault="00A74CDF" w:rsidP="003A601B">
            <w:pPr>
              <w:pStyle w:val="texto0"/>
              <w:spacing w:line="304" w:lineRule="exact"/>
              <w:ind w:firstLine="0"/>
              <w:rPr>
                <w:rFonts w:ascii="Verdana" w:hAnsi="Verdana"/>
                <w:sz w:val="16"/>
                <w:szCs w:val="16"/>
              </w:rPr>
            </w:pPr>
            <w:r w:rsidRPr="00F01347">
              <w:rPr>
                <w:rFonts w:ascii="Verdana" w:hAnsi="Verdana"/>
                <w:sz w:val="16"/>
                <w:szCs w:val="16"/>
              </w:rPr>
              <w:t xml:space="preserve">2,4,5-TP </w:t>
            </w:r>
          </w:p>
        </w:tc>
        <w:tc>
          <w:tcPr>
            <w:tcW w:w="3065" w:type="dxa"/>
            <w:tcBorders>
              <w:top w:val="single" w:sz="6" w:space="0" w:color="auto"/>
              <w:left w:val="single" w:sz="6" w:space="0" w:color="auto"/>
              <w:bottom w:val="single" w:sz="6" w:space="0" w:color="auto"/>
              <w:right w:val="single" w:sz="6" w:space="0" w:color="auto"/>
            </w:tcBorders>
          </w:tcPr>
          <w:p w14:paraId="0E0ECBA1"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9.0</w:t>
            </w:r>
          </w:p>
        </w:tc>
        <w:tc>
          <w:tcPr>
            <w:tcW w:w="2543" w:type="dxa"/>
            <w:tcBorders>
              <w:top w:val="single" w:sz="6" w:space="0" w:color="auto"/>
              <w:left w:val="single" w:sz="6" w:space="0" w:color="auto"/>
              <w:bottom w:val="single" w:sz="6" w:space="0" w:color="auto"/>
              <w:right w:val="single" w:sz="6" w:space="0" w:color="auto"/>
            </w:tcBorders>
          </w:tcPr>
          <w:p w14:paraId="68A688B2"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6FAA796F"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70B8A0C9" w14:textId="77777777" w:rsidR="00A74CDF" w:rsidRPr="00F01347" w:rsidRDefault="00A74CDF" w:rsidP="003A601B">
            <w:pPr>
              <w:pStyle w:val="texto0"/>
              <w:spacing w:line="304" w:lineRule="exact"/>
              <w:ind w:firstLine="0"/>
              <w:rPr>
                <w:rFonts w:ascii="Verdana" w:hAnsi="Verdana"/>
                <w:sz w:val="16"/>
                <w:szCs w:val="16"/>
              </w:rPr>
            </w:pPr>
            <w:r w:rsidRPr="00F01347">
              <w:rPr>
                <w:rFonts w:ascii="Verdana" w:hAnsi="Verdana"/>
                <w:sz w:val="16"/>
                <w:szCs w:val="16"/>
              </w:rPr>
              <w:t xml:space="preserve">2,4-DB </w:t>
            </w:r>
          </w:p>
        </w:tc>
        <w:tc>
          <w:tcPr>
            <w:tcW w:w="3065" w:type="dxa"/>
            <w:tcBorders>
              <w:top w:val="single" w:sz="6" w:space="0" w:color="auto"/>
              <w:left w:val="single" w:sz="6" w:space="0" w:color="auto"/>
              <w:bottom w:val="single" w:sz="6" w:space="0" w:color="auto"/>
              <w:right w:val="single" w:sz="6" w:space="0" w:color="auto"/>
            </w:tcBorders>
          </w:tcPr>
          <w:p w14:paraId="75FD26A4"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90</w:t>
            </w:r>
          </w:p>
        </w:tc>
        <w:tc>
          <w:tcPr>
            <w:tcW w:w="2543" w:type="dxa"/>
            <w:tcBorders>
              <w:top w:val="single" w:sz="6" w:space="0" w:color="auto"/>
              <w:left w:val="single" w:sz="6" w:space="0" w:color="auto"/>
              <w:bottom w:val="single" w:sz="6" w:space="0" w:color="auto"/>
              <w:right w:val="single" w:sz="6" w:space="0" w:color="auto"/>
            </w:tcBorders>
          </w:tcPr>
          <w:p w14:paraId="0BC069E0" w14:textId="77777777" w:rsidR="00A74CDF" w:rsidRPr="00F01347" w:rsidRDefault="00A74CDF" w:rsidP="003A601B">
            <w:pPr>
              <w:pStyle w:val="texto0"/>
              <w:spacing w:line="304"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328A2014"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7A0186F7" w14:textId="77777777" w:rsidR="00A74CDF" w:rsidRPr="00F01347" w:rsidRDefault="00A74CDF" w:rsidP="003A601B">
            <w:pPr>
              <w:pStyle w:val="texto0"/>
              <w:spacing w:line="296" w:lineRule="exact"/>
              <w:ind w:firstLine="0"/>
              <w:rPr>
                <w:rFonts w:ascii="Verdana" w:hAnsi="Verdana"/>
                <w:sz w:val="16"/>
                <w:szCs w:val="16"/>
              </w:rPr>
            </w:pPr>
            <w:proofErr w:type="spellStart"/>
            <w:r w:rsidRPr="00F01347">
              <w:rPr>
                <w:rFonts w:ascii="Verdana" w:hAnsi="Verdana"/>
                <w:sz w:val="16"/>
                <w:szCs w:val="16"/>
              </w:rPr>
              <w:t>Diclorprop</w:t>
            </w:r>
            <w:proofErr w:type="spellEnd"/>
            <w:r w:rsidRPr="00F01347">
              <w:rPr>
                <w:rFonts w:ascii="Verdana" w:hAnsi="Verdana"/>
                <w:sz w:val="16"/>
                <w:szCs w:val="16"/>
              </w:rPr>
              <w:t xml:space="preserve"> </w:t>
            </w:r>
          </w:p>
        </w:tc>
        <w:tc>
          <w:tcPr>
            <w:tcW w:w="3065" w:type="dxa"/>
            <w:tcBorders>
              <w:top w:val="single" w:sz="6" w:space="0" w:color="auto"/>
              <w:left w:val="single" w:sz="6" w:space="0" w:color="auto"/>
              <w:bottom w:val="single" w:sz="6" w:space="0" w:color="auto"/>
              <w:right w:val="single" w:sz="6" w:space="0" w:color="auto"/>
            </w:tcBorders>
          </w:tcPr>
          <w:p w14:paraId="27A3A473"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100</w:t>
            </w:r>
          </w:p>
        </w:tc>
        <w:tc>
          <w:tcPr>
            <w:tcW w:w="2543" w:type="dxa"/>
            <w:tcBorders>
              <w:top w:val="single" w:sz="6" w:space="0" w:color="auto"/>
              <w:left w:val="single" w:sz="6" w:space="0" w:color="auto"/>
              <w:bottom w:val="single" w:sz="6" w:space="0" w:color="auto"/>
              <w:right w:val="single" w:sz="6" w:space="0" w:color="auto"/>
            </w:tcBorders>
          </w:tcPr>
          <w:p w14:paraId="4BE886D9"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2E5BBFB1"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77FD72A8" w14:textId="77777777" w:rsidR="00A74CDF" w:rsidRPr="00F01347" w:rsidRDefault="00A74CDF" w:rsidP="003A601B">
            <w:pPr>
              <w:pStyle w:val="texto0"/>
              <w:spacing w:line="296" w:lineRule="exact"/>
              <w:ind w:firstLine="0"/>
              <w:rPr>
                <w:rFonts w:ascii="Verdana" w:hAnsi="Verdana"/>
                <w:sz w:val="16"/>
                <w:szCs w:val="16"/>
              </w:rPr>
            </w:pPr>
            <w:proofErr w:type="spellStart"/>
            <w:r w:rsidRPr="00F01347">
              <w:rPr>
                <w:rFonts w:ascii="Verdana" w:hAnsi="Verdana"/>
                <w:sz w:val="16"/>
                <w:szCs w:val="16"/>
              </w:rPr>
              <w:t>Mecoprop</w:t>
            </w:r>
            <w:proofErr w:type="spellEnd"/>
            <w:r w:rsidRPr="00F01347">
              <w:rPr>
                <w:rFonts w:ascii="Verdana" w:hAnsi="Verdana"/>
                <w:sz w:val="16"/>
                <w:szCs w:val="16"/>
              </w:rPr>
              <w:t xml:space="preserve"> </w:t>
            </w:r>
          </w:p>
        </w:tc>
        <w:tc>
          <w:tcPr>
            <w:tcW w:w="3065" w:type="dxa"/>
            <w:tcBorders>
              <w:top w:val="single" w:sz="6" w:space="0" w:color="auto"/>
              <w:left w:val="single" w:sz="6" w:space="0" w:color="auto"/>
              <w:bottom w:val="single" w:sz="6" w:space="0" w:color="auto"/>
              <w:right w:val="single" w:sz="6" w:space="0" w:color="auto"/>
            </w:tcBorders>
          </w:tcPr>
          <w:p w14:paraId="51249D9A"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10</w:t>
            </w:r>
          </w:p>
        </w:tc>
        <w:tc>
          <w:tcPr>
            <w:tcW w:w="2543" w:type="dxa"/>
            <w:tcBorders>
              <w:top w:val="single" w:sz="6" w:space="0" w:color="auto"/>
              <w:left w:val="single" w:sz="6" w:space="0" w:color="auto"/>
              <w:bottom w:val="single" w:sz="6" w:space="0" w:color="auto"/>
              <w:right w:val="single" w:sz="6" w:space="0" w:color="auto"/>
            </w:tcBorders>
          </w:tcPr>
          <w:p w14:paraId="04BEFF7B"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r w:rsidR="00A74CDF" w:rsidRPr="00F01347" w14:paraId="70F46D0B" w14:textId="77777777">
        <w:trPr>
          <w:trHeight w:val="144"/>
        </w:trPr>
        <w:tc>
          <w:tcPr>
            <w:tcW w:w="8712" w:type="dxa"/>
            <w:gridSpan w:val="3"/>
            <w:tcBorders>
              <w:top w:val="single" w:sz="6" w:space="0" w:color="auto"/>
              <w:left w:val="single" w:sz="6" w:space="0" w:color="auto"/>
              <w:bottom w:val="single" w:sz="6" w:space="0" w:color="auto"/>
              <w:right w:val="single" w:sz="6" w:space="0" w:color="auto"/>
            </w:tcBorders>
          </w:tcPr>
          <w:p w14:paraId="10D5B103" w14:textId="77777777" w:rsidR="00A74CDF" w:rsidRPr="00F01347" w:rsidRDefault="00A74CDF" w:rsidP="003A601B">
            <w:pPr>
              <w:pStyle w:val="texto0"/>
              <w:spacing w:line="296" w:lineRule="exact"/>
              <w:ind w:firstLine="0"/>
              <w:rPr>
                <w:rFonts w:ascii="Verdana" w:hAnsi="Verdana"/>
                <w:b/>
                <w:sz w:val="16"/>
                <w:szCs w:val="16"/>
              </w:rPr>
            </w:pPr>
            <w:r w:rsidRPr="00F01347">
              <w:rPr>
                <w:rFonts w:ascii="Verdana" w:hAnsi="Verdana"/>
                <w:b/>
                <w:sz w:val="16"/>
                <w:szCs w:val="16"/>
              </w:rPr>
              <w:t>PLAGUICIDAS CLORADOS DERIVADOS DE UREA</w:t>
            </w:r>
          </w:p>
        </w:tc>
      </w:tr>
      <w:tr w:rsidR="00A74CDF" w:rsidRPr="00F01347" w14:paraId="32A617BD" w14:textId="77777777">
        <w:trPr>
          <w:trHeight w:val="144"/>
        </w:trPr>
        <w:tc>
          <w:tcPr>
            <w:tcW w:w="3104" w:type="dxa"/>
            <w:tcBorders>
              <w:top w:val="single" w:sz="6" w:space="0" w:color="auto"/>
              <w:left w:val="single" w:sz="6" w:space="0" w:color="auto"/>
              <w:bottom w:val="single" w:sz="6" w:space="0" w:color="auto"/>
              <w:right w:val="single" w:sz="6" w:space="0" w:color="auto"/>
            </w:tcBorders>
          </w:tcPr>
          <w:p w14:paraId="6C083E99" w14:textId="77777777" w:rsidR="00A74CDF" w:rsidRPr="00F01347" w:rsidRDefault="00A74CDF" w:rsidP="003A601B">
            <w:pPr>
              <w:pStyle w:val="texto0"/>
              <w:spacing w:line="296" w:lineRule="exact"/>
              <w:ind w:firstLine="0"/>
              <w:rPr>
                <w:rFonts w:ascii="Verdana" w:hAnsi="Verdana"/>
                <w:sz w:val="16"/>
                <w:szCs w:val="16"/>
              </w:rPr>
            </w:pPr>
            <w:proofErr w:type="spellStart"/>
            <w:r w:rsidRPr="00F01347">
              <w:rPr>
                <w:rFonts w:ascii="Verdana" w:hAnsi="Verdana"/>
                <w:sz w:val="16"/>
                <w:szCs w:val="16"/>
              </w:rPr>
              <w:t>Clorotoluron</w:t>
            </w:r>
            <w:proofErr w:type="spellEnd"/>
          </w:p>
        </w:tc>
        <w:tc>
          <w:tcPr>
            <w:tcW w:w="3065" w:type="dxa"/>
            <w:tcBorders>
              <w:top w:val="single" w:sz="6" w:space="0" w:color="auto"/>
              <w:left w:val="single" w:sz="6" w:space="0" w:color="auto"/>
              <w:bottom w:val="single" w:sz="6" w:space="0" w:color="auto"/>
              <w:right w:val="single" w:sz="6" w:space="0" w:color="auto"/>
            </w:tcBorders>
          </w:tcPr>
          <w:p w14:paraId="13565A50"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30</w:t>
            </w:r>
          </w:p>
        </w:tc>
        <w:tc>
          <w:tcPr>
            <w:tcW w:w="2543" w:type="dxa"/>
            <w:tcBorders>
              <w:top w:val="single" w:sz="6" w:space="0" w:color="auto"/>
              <w:left w:val="single" w:sz="6" w:space="0" w:color="auto"/>
              <w:bottom w:val="single" w:sz="6" w:space="0" w:color="auto"/>
              <w:right w:val="single" w:sz="6" w:space="0" w:color="auto"/>
            </w:tcBorders>
          </w:tcPr>
          <w:p w14:paraId="72D363BC" w14:textId="77777777" w:rsidR="00A74CDF" w:rsidRPr="00F01347" w:rsidRDefault="00A74CDF" w:rsidP="003A601B">
            <w:pPr>
              <w:pStyle w:val="texto0"/>
              <w:spacing w:line="296" w:lineRule="exact"/>
              <w:ind w:firstLine="0"/>
              <w:jc w:val="center"/>
              <w:rPr>
                <w:rFonts w:ascii="Verdana" w:hAnsi="Verdana"/>
                <w:sz w:val="16"/>
                <w:szCs w:val="16"/>
              </w:rPr>
            </w:pPr>
            <w:r w:rsidRPr="00F01347">
              <w:rPr>
                <w:rFonts w:ascii="Verdana" w:hAnsi="Verdana"/>
                <w:sz w:val="16"/>
                <w:szCs w:val="16"/>
              </w:rPr>
              <w:t>µg/L</w:t>
            </w:r>
          </w:p>
        </w:tc>
      </w:tr>
    </w:tbl>
    <w:p w14:paraId="3837F2A9" w14:textId="77777777" w:rsidR="008E0FA9" w:rsidRPr="00F01347" w:rsidRDefault="008E0FA9" w:rsidP="003A601B">
      <w:pPr>
        <w:pStyle w:val="texto0"/>
        <w:spacing w:line="254" w:lineRule="exact"/>
        <w:ind w:firstLine="0"/>
        <w:jc w:val="center"/>
        <w:rPr>
          <w:rFonts w:ascii="Verdana" w:hAnsi="Verdana"/>
          <w:b/>
          <w:sz w:val="16"/>
          <w:szCs w:val="16"/>
          <w:lang w:val="es-ES_tradnl"/>
        </w:rPr>
      </w:pPr>
    </w:p>
    <w:p w14:paraId="6A71D732" w14:textId="77777777" w:rsidR="008E0FA9" w:rsidRPr="00F01347" w:rsidRDefault="008E0FA9" w:rsidP="008E0FA9">
      <w:pPr>
        <w:pStyle w:val="texto0"/>
        <w:ind w:firstLine="0"/>
        <w:jc w:val="center"/>
        <w:rPr>
          <w:rFonts w:ascii="Verdana" w:hAnsi="Verdana"/>
          <w:b/>
          <w:color w:val="000000"/>
          <w:sz w:val="16"/>
          <w:szCs w:val="16"/>
          <w:lang w:val="en-US"/>
        </w:rPr>
      </w:pPr>
      <w:r w:rsidRPr="00F01347">
        <w:rPr>
          <w:rFonts w:ascii="Verdana" w:hAnsi="Verdana"/>
          <w:b/>
          <w:sz w:val="16"/>
          <w:szCs w:val="16"/>
          <w:lang w:val="en-US"/>
        </w:rPr>
        <w:t xml:space="preserve">Table A.1 Permissible limits of halogenated organic compounds to </w:t>
      </w:r>
      <w:r w:rsidRPr="00F01347">
        <w:rPr>
          <w:rFonts w:ascii="Verdana" w:hAnsi="Verdana"/>
          <w:b/>
          <w:color w:val="000000"/>
          <w:sz w:val="16"/>
          <w:szCs w:val="16"/>
          <w:lang w:val="en-US"/>
        </w:rPr>
        <w:t xml:space="preserve">fixed </w:t>
      </w:r>
      <w:proofErr w:type="spellStart"/>
      <w:proofErr w:type="gramStart"/>
      <w:r w:rsidRPr="00F01347">
        <w:rPr>
          <w:rFonts w:ascii="Verdana" w:hAnsi="Verdana"/>
          <w:b/>
          <w:color w:val="000000"/>
          <w:sz w:val="16"/>
          <w:szCs w:val="16"/>
          <w:lang w:val="en-US"/>
        </w:rPr>
        <w:t>sorbables</w:t>
      </w:r>
      <w:proofErr w:type="spellEnd"/>
      <w:proofErr w:type="gramEnd"/>
    </w:p>
    <w:tbl>
      <w:tblPr>
        <w:tblW w:w="8715" w:type="dxa"/>
        <w:tblInd w:w="144" w:type="dxa"/>
        <w:tblLayout w:type="fixed"/>
        <w:tblCellMar>
          <w:left w:w="70" w:type="dxa"/>
          <w:right w:w="70" w:type="dxa"/>
        </w:tblCellMar>
        <w:tblLook w:val="04A0" w:firstRow="1" w:lastRow="0" w:firstColumn="1" w:lastColumn="0" w:noHBand="0" w:noVBand="1"/>
      </w:tblPr>
      <w:tblGrid>
        <w:gridCol w:w="3105"/>
        <w:gridCol w:w="3066"/>
        <w:gridCol w:w="2544"/>
      </w:tblGrid>
      <w:tr w:rsidR="008E0FA9" w:rsidRPr="00F01347" w14:paraId="6A2C9A37"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noWrap/>
            <w:hideMark/>
          </w:tcPr>
          <w:p w14:paraId="2C597BB2" w14:textId="77777777" w:rsidR="008E0FA9" w:rsidRPr="00F01347" w:rsidRDefault="008E0FA9">
            <w:pPr>
              <w:pStyle w:val="texto0"/>
              <w:spacing w:line="296"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Parameters</w:t>
            </w:r>
          </w:p>
        </w:tc>
        <w:tc>
          <w:tcPr>
            <w:tcW w:w="3065" w:type="dxa"/>
            <w:tcBorders>
              <w:top w:val="single" w:sz="6" w:space="0" w:color="auto"/>
              <w:left w:val="single" w:sz="6" w:space="0" w:color="auto"/>
              <w:bottom w:val="single" w:sz="6" w:space="0" w:color="auto"/>
              <w:right w:val="single" w:sz="6" w:space="0" w:color="auto"/>
            </w:tcBorders>
            <w:hideMark/>
          </w:tcPr>
          <w:p w14:paraId="7FEB3008" w14:textId="77777777" w:rsidR="008E0FA9" w:rsidRPr="00F01347" w:rsidRDefault="008E0FA9">
            <w:pPr>
              <w:pStyle w:val="texto0"/>
              <w:spacing w:line="296"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Permissible limit</w:t>
            </w:r>
          </w:p>
        </w:tc>
        <w:tc>
          <w:tcPr>
            <w:tcW w:w="2543" w:type="dxa"/>
            <w:tcBorders>
              <w:top w:val="single" w:sz="6" w:space="0" w:color="auto"/>
              <w:left w:val="single" w:sz="6" w:space="0" w:color="auto"/>
              <w:bottom w:val="single" w:sz="6" w:space="0" w:color="auto"/>
              <w:right w:val="single" w:sz="6" w:space="0" w:color="auto"/>
            </w:tcBorders>
            <w:hideMark/>
          </w:tcPr>
          <w:p w14:paraId="7C9E90F9" w14:textId="77777777" w:rsidR="008E0FA9" w:rsidRPr="00F01347" w:rsidRDefault="008E0FA9">
            <w:pPr>
              <w:pStyle w:val="texto0"/>
              <w:spacing w:line="296"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Units</w:t>
            </w:r>
          </w:p>
        </w:tc>
      </w:tr>
      <w:tr w:rsidR="008E0FA9" w:rsidRPr="00F01347" w14:paraId="44EDC3D7" w14:textId="77777777" w:rsidTr="008E0FA9">
        <w:trPr>
          <w:trHeight w:val="144"/>
        </w:trPr>
        <w:tc>
          <w:tcPr>
            <w:tcW w:w="8712" w:type="dxa"/>
            <w:gridSpan w:val="3"/>
            <w:tcBorders>
              <w:top w:val="single" w:sz="6" w:space="0" w:color="auto"/>
              <w:left w:val="single" w:sz="6" w:space="0" w:color="auto"/>
              <w:bottom w:val="single" w:sz="6" w:space="0" w:color="auto"/>
              <w:right w:val="single" w:sz="6" w:space="0" w:color="auto"/>
            </w:tcBorders>
            <w:hideMark/>
          </w:tcPr>
          <w:p w14:paraId="4C251043" w14:textId="77777777" w:rsidR="008E0FA9" w:rsidRPr="00F01347" w:rsidRDefault="008E0FA9">
            <w:pPr>
              <w:pStyle w:val="texto0"/>
              <w:spacing w:line="296" w:lineRule="exact"/>
              <w:ind w:firstLine="0"/>
              <w:rPr>
                <w:rFonts w:ascii="Verdana" w:hAnsi="Verdana"/>
                <w:sz w:val="16"/>
                <w:szCs w:val="16"/>
                <w:lang w:val="en-US"/>
              </w:rPr>
            </w:pPr>
            <w:r w:rsidRPr="00F01347">
              <w:rPr>
                <w:rFonts w:ascii="Verdana" w:hAnsi="Verdana"/>
                <w:b/>
                <w:sz w:val="16"/>
                <w:szCs w:val="16"/>
                <w:lang w:val="en-US"/>
              </w:rPr>
              <w:t>CHLORINATED SEMIVOLATILE ORGANIC COMPOUNDS</w:t>
            </w:r>
          </w:p>
        </w:tc>
      </w:tr>
      <w:tr w:rsidR="008E0FA9" w:rsidRPr="00F01347" w14:paraId="5FF87E1D"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707EDF5A" w14:textId="77777777" w:rsidR="008E0FA9" w:rsidRPr="00F01347" w:rsidRDefault="008E0FA9">
            <w:pPr>
              <w:pStyle w:val="texto0"/>
              <w:spacing w:line="296" w:lineRule="exact"/>
              <w:ind w:firstLine="0"/>
              <w:rPr>
                <w:rFonts w:ascii="Verdana" w:hAnsi="Verdana"/>
                <w:sz w:val="16"/>
                <w:szCs w:val="16"/>
                <w:lang w:val="en-US"/>
              </w:rPr>
            </w:pPr>
            <w:r w:rsidRPr="00F01347">
              <w:rPr>
                <w:rFonts w:ascii="Verdana" w:hAnsi="Verdana"/>
                <w:sz w:val="16"/>
                <w:szCs w:val="16"/>
                <w:lang w:val="en-US"/>
              </w:rPr>
              <w:t>Hexachlorobutadiene</w:t>
            </w:r>
          </w:p>
        </w:tc>
        <w:tc>
          <w:tcPr>
            <w:tcW w:w="3065" w:type="dxa"/>
            <w:tcBorders>
              <w:top w:val="single" w:sz="6" w:space="0" w:color="auto"/>
              <w:left w:val="single" w:sz="6" w:space="0" w:color="auto"/>
              <w:bottom w:val="single" w:sz="6" w:space="0" w:color="auto"/>
              <w:right w:val="single" w:sz="6" w:space="0" w:color="auto"/>
            </w:tcBorders>
            <w:hideMark/>
          </w:tcPr>
          <w:p w14:paraId="4E4B6E24"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0.60</w:t>
            </w:r>
          </w:p>
        </w:tc>
        <w:tc>
          <w:tcPr>
            <w:tcW w:w="2543" w:type="dxa"/>
            <w:tcBorders>
              <w:top w:val="single" w:sz="6" w:space="0" w:color="auto"/>
              <w:left w:val="single" w:sz="6" w:space="0" w:color="auto"/>
              <w:bottom w:val="single" w:sz="6" w:space="0" w:color="auto"/>
              <w:right w:val="single" w:sz="6" w:space="0" w:color="auto"/>
            </w:tcBorders>
            <w:hideMark/>
          </w:tcPr>
          <w:p w14:paraId="3ECD2B07"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023206EB"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5B0AFED1" w14:textId="77777777" w:rsidR="008E0FA9" w:rsidRPr="00F01347" w:rsidRDefault="008E0FA9">
            <w:pPr>
              <w:pStyle w:val="texto0"/>
              <w:spacing w:line="296" w:lineRule="exact"/>
              <w:ind w:firstLine="0"/>
              <w:rPr>
                <w:rFonts w:ascii="Verdana" w:hAnsi="Verdana"/>
                <w:sz w:val="16"/>
                <w:szCs w:val="16"/>
                <w:lang w:val="en-US"/>
              </w:rPr>
            </w:pPr>
            <w:r w:rsidRPr="00F01347">
              <w:rPr>
                <w:rFonts w:ascii="Verdana" w:hAnsi="Verdana"/>
                <w:sz w:val="16"/>
                <w:szCs w:val="16"/>
                <w:lang w:val="en-US"/>
              </w:rPr>
              <w:t>Pentachlorophenol</w:t>
            </w:r>
          </w:p>
        </w:tc>
        <w:tc>
          <w:tcPr>
            <w:tcW w:w="3065" w:type="dxa"/>
            <w:tcBorders>
              <w:top w:val="single" w:sz="6" w:space="0" w:color="auto"/>
              <w:left w:val="single" w:sz="6" w:space="0" w:color="auto"/>
              <w:bottom w:val="single" w:sz="6" w:space="0" w:color="auto"/>
              <w:right w:val="single" w:sz="6" w:space="0" w:color="auto"/>
            </w:tcBorders>
            <w:hideMark/>
          </w:tcPr>
          <w:p w14:paraId="4FDE816D"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9.0</w:t>
            </w:r>
          </w:p>
        </w:tc>
        <w:tc>
          <w:tcPr>
            <w:tcW w:w="2543" w:type="dxa"/>
            <w:tcBorders>
              <w:top w:val="single" w:sz="6" w:space="0" w:color="auto"/>
              <w:left w:val="single" w:sz="6" w:space="0" w:color="auto"/>
              <w:bottom w:val="single" w:sz="6" w:space="0" w:color="auto"/>
              <w:right w:val="single" w:sz="6" w:space="0" w:color="auto"/>
            </w:tcBorders>
            <w:hideMark/>
          </w:tcPr>
          <w:p w14:paraId="261802D9"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7F32BCF6"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54400ECE" w14:textId="77777777" w:rsidR="008E0FA9" w:rsidRPr="00F01347" w:rsidRDefault="008E0FA9">
            <w:pPr>
              <w:pStyle w:val="texto0"/>
              <w:spacing w:line="296" w:lineRule="exact"/>
              <w:ind w:firstLine="0"/>
              <w:rPr>
                <w:rFonts w:ascii="Verdana" w:hAnsi="Verdana"/>
                <w:sz w:val="16"/>
                <w:szCs w:val="16"/>
                <w:lang w:val="en-US"/>
              </w:rPr>
            </w:pPr>
            <w:r w:rsidRPr="00F01347">
              <w:rPr>
                <w:rFonts w:ascii="Verdana" w:hAnsi="Verdana"/>
                <w:sz w:val="16"/>
                <w:szCs w:val="16"/>
                <w:lang w:val="en-US"/>
              </w:rPr>
              <w:t>2,4,6 Trichlorophenol</w:t>
            </w:r>
          </w:p>
        </w:tc>
        <w:tc>
          <w:tcPr>
            <w:tcW w:w="3065" w:type="dxa"/>
            <w:tcBorders>
              <w:top w:val="single" w:sz="6" w:space="0" w:color="auto"/>
              <w:left w:val="single" w:sz="6" w:space="0" w:color="auto"/>
              <w:bottom w:val="single" w:sz="6" w:space="0" w:color="auto"/>
              <w:right w:val="single" w:sz="6" w:space="0" w:color="auto"/>
            </w:tcBorders>
            <w:hideMark/>
          </w:tcPr>
          <w:p w14:paraId="3884DFD6"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200</w:t>
            </w:r>
          </w:p>
        </w:tc>
        <w:tc>
          <w:tcPr>
            <w:tcW w:w="2543" w:type="dxa"/>
            <w:tcBorders>
              <w:top w:val="single" w:sz="6" w:space="0" w:color="auto"/>
              <w:left w:val="single" w:sz="6" w:space="0" w:color="auto"/>
              <w:bottom w:val="single" w:sz="6" w:space="0" w:color="auto"/>
              <w:right w:val="single" w:sz="6" w:space="0" w:color="auto"/>
            </w:tcBorders>
            <w:hideMark/>
          </w:tcPr>
          <w:p w14:paraId="5C8BEDE8"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40CAE6F0"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588827D8" w14:textId="77777777" w:rsidR="008E0FA9" w:rsidRPr="00F01347" w:rsidRDefault="008E0FA9">
            <w:pPr>
              <w:pStyle w:val="texto0"/>
              <w:spacing w:line="296" w:lineRule="exact"/>
              <w:ind w:firstLine="0"/>
              <w:rPr>
                <w:rFonts w:ascii="Verdana" w:hAnsi="Verdana"/>
                <w:sz w:val="16"/>
                <w:szCs w:val="16"/>
                <w:lang w:val="en-US"/>
              </w:rPr>
            </w:pPr>
            <w:r w:rsidRPr="00F01347">
              <w:rPr>
                <w:rFonts w:ascii="Verdana" w:hAnsi="Verdana"/>
                <w:sz w:val="16"/>
                <w:szCs w:val="16"/>
                <w:lang w:val="en-US"/>
              </w:rPr>
              <w:t>Epichlorohydrin</w:t>
            </w:r>
          </w:p>
        </w:tc>
        <w:tc>
          <w:tcPr>
            <w:tcW w:w="3065" w:type="dxa"/>
            <w:tcBorders>
              <w:top w:val="single" w:sz="6" w:space="0" w:color="auto"/>
              <w:left w:val="single" w:sz="6" w:space="0" w:color="auto"/>
              <w:bottom w:val="single" w:sz="6" w:space="0" w:color="auto"/>
              <w:right w:val="single" w:sz="6" w:space="0" w:color="auto"/>
            </w:tcBorders>
            <w:hideMark/>
          </w:tcPr>
          <w:p w14:paraId="7A6D7AAF"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0.40</w:t>
            </w:r>
          </w:p>
        </w:tc>
        <w:tc>
          <w:tcPr>
            <w:tcW w:w="2543" w:type="dxa"/>
            <w:tcBorders>
              <w:top w:val="single" w:sz="6" w:space="0" w:color="auto"/>
              <w:left w:val="single" w:sz="6" w:space="0" w:color="auto"/>
              <w:bottom w:val="single" w:sz="6" w:space="0" w:color="auto"/>
              <w:right w:val="single" w:sz="6" w:space="0" w:color="auto"/>
            </w:tcBorders>
            <w:hideMark/>
          </w:tcPr>
          <w:p w14:paraId="55087705"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008A7A1B" w14:textId="77777777" w:rsidTr="008E0FA9">
        <w:trPr>
          <w:trHeight w:val="144"/>
        </w:trPr>
        <w:tc>
          <w:tcPr>
            <w:tcW w:w="8712" w:type="dxa"/>
            <w:gridSpan w:val="3"/>
            <w:tcBorders>
              <w:top w:val="single" w:sz="6" w:space="0" w:color="auto"/>
              <w:left w:val="single" w:sz="6" w:space="0" w:color="auto"/>
              <w:bottom w:val="single" w:sz="6" w:space="0" w:color="auto"/>
              <w:right w:val="single" w:sz="6" w:space="0" w:color="auto"/>
            </w:tcBorders>
            <w:hideMark/>
          </w:tcPr>
          <w:p w14:paraId="430A6326" w14:textId="77777777" w:rsidR="008E0FA9" w:rsidRPr="00F01347" w:rsidRDefault="008E0FA9">
            <w:pPr>
              <w:pStyle w:val="texto0"/>
              <w:spacing w:line="296" w:lineRule="exact"/>
              <w:ind w:firstLine="0"/>
              <w:rPr>
                <w:rFonts w:ascii="Verdana" w:hAnsi="Verdana"/>
                <w:sz w:val="16"/>
                <w:szCs w:val="16"/>
                <w:lang w:val="en-US"/>
              </w:rPr>
            </w:pPr>
            <w:r w:rsidRPr="00F01347">
              <w:rPr>
                <w:rFonts w:ascii="Verdana" w:hAnsi="Verdana"/>
                <w:b/>
                <w:sz w:val="16"/>
                <w:szCs w:val="16"/>
                <w:lang w:val="en-US"/>
              </w:rPr>
              <w:lastRenderedPageBreak/>
              <w:t>CHLORINATED PESTICIDES</w:t>
            </w:r>
          </w:p>
        </w:tc>
      </w:tr>
      <w:tr w:rsidR="008E0FA9" w:rsidRPr="00F01347" w14:paraId="79313E8D"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5B7B145B" w14:textId="77777777" w:rsidR="008E0FA9" w:rsidRPr="00F01347" w:rsidRDefault="008E0FA9">
            <w:pPr>
              <w:pStyle w:val="texto0"/>
              <w:spacing w:line="296" w:lineRule="exact"/>
              <w:ind w:firstLine="0"/>
              <w:rPr>
                <w:rFonts w:ascii="Verdana" w:hAnsi="Verdana"/>
                <w:sz w:val="16"/>
                <w:szCs w:val="16"/>
                <w:lang w:val="en-US"/>
              </w:rPr>
            </w:pPr>
            <w:r w:rsidRPr="00F01347">
              <w:rPr>
                <w:rFonts w:ascii="Verdana" w:hAnsi="Verdana"/>
                <w:sz w:val="16"/>
                <w:szCs w:val="16"/>
                <w:lang w:val="en-US"/>
              </w:rPr>
              <w:t>Alachlor</w:t>
            </w:r>
          </w:p>
        </w:tc>
        <w:tc>
          <w:tcPr>
            <w:tcW w:w="3065" w:type="dxa"/>
            <w:tcBorders>
              <w:top w:val="single" w:sz="6" w:space="0" w:color="auto"/>
              <w:left w:val="single" w:sz="6" w:space="0" w:color="auto"/>
              <w:bottom w:val="single" w:sz="6" w:space="0" w:color="auto"/>
              <w:right w:val="single" w:sz="6" w:space="0" w:color="auto"/>
            </w:tcBorders>
            <w:hideMark/>
          </w:tcPr>
          <w:p w14:paraId="1BC8C9E5" w14:textId="4111B7AB" w:rsidR="008E0FA9" w:rsidRPr="00F01347" w:rsidRDefault="00B3467A">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20</w:t>
            </w:r>
          </w:p>
        </w:tc>
        <w:tc>
          <w:tcPr>
            <w:tcW w:w="2543" w:type="dxa"/>
            <w:tcBorders>
              <w:top w:val="single" w:sz="6" w:space="0" w:color="auto"/>
              <w:left w:val="single" w:sz="6" w:space="0" w:color="auto"/>
              <w:bottom w:val="single" w:sz="6" w:space="0" w:color="auto"/>
              <w:right w:val="single" w:sz="6" w:space="0" w:color="auto"/>
            </w:tcBorders>
            <w:hideMark/>
          </w:tcPr>
          <w:p w14:paraId="00F6052D"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3A23CADA"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713991B2" w14:textId="77777777" w:rsidR="008E0FA9" w:rsidRPr="00F01347" w:rsidRDefault="008E0FA9">
            <w:pPr>
              <w:pStyle w:val="texto0"/>
              <w:spacing w:line="296" w:lineRule="exact"/>
              <w:ind w:firstLine="0"/>
              <w:rPr>
                <w:rFonts w:ascii="Verdana" w:hAnsi="Verdana"/>
                <w:sz w:val="16"/>
                <w:szCs w:val="16"/>
                <w:lang w:val="en-US"/>
              </w:rPr>
            </w:pPr>
            <w:r w:rsidRPr="00F01347">
              <w:rPr>
                <w:rFonts w:ascii="Verdana" w:hAnsi="Verdana"/>
                <w:sz w:val="16"/>
                <w:szCs w:val="16"/>
                <w:lang w:val="en-US"/>
              </w:rPr>
              <w:t>Aldrin + Dieldrin combination</w:t>
            </w:r>
          </w:p>
        </w:tc>
        <w:tc>
          <w:tcPr>
            <w:tcW w:w="3065" w:type="dxa"/>
            <w:tcBorders>
              <w:top w:val="single" w:sz="6" w:space="0" w:color="auto"/>
              <w:left w:val="single" w:sz="6" w:space="0" w:color="auto"/>
              <w:bottom w:val="single" w:sz="6" w:space="0" w:color="auto"/>
              <w:right w:val="single" w:sz="6" w:space="0" w:color="auto"/>
            </w:tcBorders>
            <w:hideMark/>
          </w:tcPr>
          <w:p w14:paraId="48974363"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0.03</w:t>
            </w:r>
          </w:p>
        </w:tc>
        <w:tc>
          <w:tcPr>
            <w:tcW w:w="2543" w:type="dxa"/>
            <w:tcBorders>
              <w:top w:val="single" w:sz="6" w:space="0" w:color="auto"/>
              <w:left w:val="single" w:sz="6" w:space="0" w:color="auto"/>
              <w:bottom w:val="single" w:sz="6" w:space="0" w:color="auto"/>
              <w:right w:val="single" w:sz="6" w:space="0" w:color="auto"/>
            </w:tcBorders>
            <w:hideMark/>
          </w:tcPr>
          <w:p w14:paraId="6E011231"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66A2E3E7"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0A29DA26" w14:textId="77777777" w:rsidR="008E0FA9" w:rsidRPr="00F01347" w:rsidRDefault="008E0FA9">
            <w:pPr>
              <w:pStyle w:val="texto0"/>
              <w:spacing w:line="296" w:lineRule="exact"/>
              <w:ind w:firstLine="0"/>
              <w:rPr>
                <w:rFonts w:ascii="Verdana" w:hAnsi="Verdana"/>
                <w:sz w:val="16"/>
                <w:szCs w:val="16"/>
                <w:lang w:val="en-US"/>
              </w:rPr>
            </w:pPr>
            <w:r w:rsidRPr="00F01347">
              <w:rPr>
                <w:rFonts w:ascii="Verdana" w:hAnsi="Verdana"/>
                <w:sz w:val="16"/>
                <w:szCs w:val="16"/>
                <w:lang w:val="en-US"/>
              </w:rPr>
              <w:t>Atrazine</w:t>
            </w:r>
          </w:p>
        </w:tc>
        <w:tc>
          <w:tcPr>
            <w:tcW w:w="3065" w:type="dxa"/>
            <w:tcBorders>
              <w:top w:val="single" w:sz="6" w:space="0" w:color="auto"/>
              <w:left w:val="single" w:sz="6" w:space="0" w:color="auto"/>
              <w:bottom w:val="single" w:sz="6" w:space="0" w:color="auto"/>
              <w:right w:val="single" w:sz="6" w:space="0" w:color="auto"/>
            </w:tcBorders>
            <w:hideMark/>
          </w:tcPr>
          <w:p w14:paraId="02A2AC31"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100</w:t>
            </w:r>
          </w:p>
        </w:tc>
        <w:tc>
          <w:tcPr>
            <w:tcW w:w="2543" w:type="dxa"/>
            <w:tcBorders>
              <w:top w:val="single" w:sz="6" w:space="0" w:color="auto"/>
              <w:left w:val="single" w:sz="6" w:space="0" w:color="auto"/>
              <w:bottom w:val="single" w:sz="6" w:space="0" w:color="auto"/>
              <w:right w:val="single" w:sz="6" w:space="0" w:color="auto"/>
            </w:tcBorders>
            <w:hideMark/>
          </w:tcPr>
          <w:p w14:paraId="35B472BF"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1927E79F"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120DEF96" w14:textId="77777777" w:rsidR="008E0FA9" w:rsidRPr="00F01347" w:rsidRDefault="008E0FA9">
            <w:pPr>
              <w:pStyle w:val="texto0"/>
              <w:spacing w:line="296" w:lineRule="exact"/>
              <w:ind w:firstLine="0"/>
              <w:rPr>
                <w:rFonts w:ascii="Verdana" w:hAnsi="Verdana"/>
                <w:sz w:val="16"/>
                <w:szCs w:val="16"/>
                <w:lang w:val="en-US"/>
              </w:rPr>
            </w:pPr>
            <w:r w:rsidRPr="00F01347">
              <w:rPr>
                <w:rFonts w:ascii="Verdana" w:hAnsi="Verdana"/>
                <w:sz w:val="16"/>
                <w:szCs w:val="16"/>
                <w:lang w:val="en-US"/>
              </w:rPr>
              <w:t>Chlordane (total isomers)</w:t>
            </w:r>
          </w:p>
        </w:tc>
        <w:tc>
          <w:tcPr>
            <w:tcW w:w="3065" w:type="dxa"/>
            <w:tcBorders>
              <w:top w:val="single" w:sz="6" w:space="0" w:color="auto"/>
              <w:left w:val="single" w:sz="6" w:space="0" w:color="auto"/>
              <w:bottom w:val="single" w:sz="6" w:space="0" w:color="auto"/>
              <w:right w:val="single" w:sz="6" w:space="0" w:color="auto"/>
            </w:tcBorders>
            <w:hideMark/>
          </w:tcPr>
          <w:p w14:paraId="3BACF8BA"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0.20</w:t>
            </w:r>
          </w:p>
        </w:tc>
        <w:tc>
          <w:tcPr>
            <w:tcW w:w="2543" w:type="dxa"/>
            <w:tcBorders>
              <w:top w:val="single" w:sz="6" w:space="0" w:color="auto"/>
              <w:left w:val="single" w:sz="6" w:space="0" w:color="auto"/>
              <w:bottom w:val="single" w:sz="6" w:space="0" w:color="auto"/>
              <w:right w:val="single" w:sz="6" w:space="0" w:color="auto"/>
            </w:tcBorders>
            <w:hideMark/>
          </w:tcPr>
          <w:p w14:paraId="75CEC9FD"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51BB5FC0"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2AED8A37" w14:textId="77777777" w:rsidR="008E0FA9" w:rsidRPr="00F01347" w:rsidRDefault="008E0FA9">
            <w:pPr>
              <w:pStyle w:val="texto0"/>
              <w:spacing w:line="296" w:lineRule="exact"/>
              <w:ind w:firstLine="0"/>
              <w:rPr>
                <w:rFonts w:ascii="Verdana" w:hAnsi="Verdana"/>
                <w:sz w:val="16"/>
                <w:szCs w:val="16"/>
                <w:lang w:val="en-US"/>
              </w:rPr>
            </w:pPr>
            <w:proofErr w:type="spellStart"/>
            <w:r w:rsidRPr="00F01347">
              <w:rPr>
                <w:rFonts w:ascii="Verdana" w:hAnsi="Verdana"/>
                <w:sz w:val="16"/>
                <w:szCs w:val="16"/>
                <w:lang w:val="en-US"/>
              </w:rPr>
              <w:t>Cyanazine</w:t>
            </w:r>
            <w:proofErr w:type="spellEnd"/>
          </w:p>
        </w:tc>
        <w:tc>
          <w:tcPr>
            <w:tcW w:w="3065" w:type="dxa"/>
            <w:tcBorders>
              <w:top w:val="single" w:sz="6" w:space="0" w:color="auto"/>
              <w:left w:val="single" w:sz="6" w:space="0" w:color="auto"/>
              <w:bottom w:val="single" w:sz="6" w:space="0" w:color="auto"/>
              <w:right w:val="single" w:sz="6" w:space="0" w:color="auto"/>
            </w:tcBorders>
            <w:hideMark/>
          </w:tcPr>
          <w:p w14:paraId="75DC3672"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0.60</w:t>
            </w:r>
          </w:p>
        </w:tc>
        <w:tc>
          <w:tcPr>
            <w:tcW w:w="2543" w:type="dxa"/>
            <w:tcBorders>
              <w:top w:val="single" w:sz="6" w:space="0" w:color="auto"/>
              <w:left w:val="single" w:sz="6" w:space="0" w:color="auto"/>
              <w:bottom w:val="single" w:sz="6" w:space="0" w:color="auto"/>
              <w:right w:val="single" w:sz="6" w:space="0" w:color="auto"/>
            </w:tcBorders>
            <w:hideMark/>
          </w:tcPr>
          <w:p w14:paraId="1C21A4C8"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63645E2C"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1C553373" w14:textId="77777777" w:rsidR="008E0FA9" w:rsidRPr="00F01347" w:rsidRDefault="008E0FA9">
            <w:pPr>
              <w:pStyle w:val="texto0"/>
              <w:spacing w:line="296" w:lineRule="exact"/>
              <w:ind w:firstLine="0"/>
              <w:rPr>
                <w:rFonts w:ascii="Verdana" w:hAnsi="Verdana"/>
                <w:sz w:val="16"/>
                <w:szCs w:val="16"/>
                <w:lang w:val="en-US"/>
              </w:rPr>
            </w:pPr>
            <w:r w:rsidRPr="00F01347">
              <w:rPr>
                <w:rFonts w:ascii="Verdana" w:hAnsi="Verdana"/>
                <w:sz w:val="16"/>
                <w:szCs w:val="16"/>
                <w:lang w:val="en-US"/>
              </w:rPr>
              <w:t>DDT and metabolites</w:t>
            </w:r>
          </w:p>
        </w:tc>
        <w:tc>
          <w:tcPr>
            <w:tcW w:w="3065" w:type="dxa"/>
            <w:tcBorders>
              <w:top w:val="single" w:sz="6" w:space="0" w:color="auto"/>
              <w:left w:val="single" w:sz="6" w:space="0" w:color="auto"/>
              <w:bottom w:val="single" w:sz="6" w:space="0" w:color="auto"/>
              <w:right w:val="single" w:sz="6" w:space="0" w:color="auto"/>
            </w:tcBorders>
            <w:hideMark/>
          </w:tcPr>
          <w:p w14:paraId="0BA38F6F"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1.0</w:t>
            </w:r>
          </w:p>
        </w:tc>
        <w:tc>
          <w:tcPr>
            <w:tcW w:w="2543" w:type="dxa"/>
            <w:tcBorders>
              <w:top w:val="single" w:sz="6" w:space="0" w:color="auto"/>
              <w:left w:val="single" w:sz="6" w:space="0" w:color="auto"/>
              <w:bottom w:val="single" w:sz="6" w:space="0" w:color="auto"/>
              <w:right w:val="single" w:sz="6" w:space="0" w:color="auto"/>
            </w:tcBorders>
            <w:hideMark/>
          </w:tcPr>
          <w:p w14:paraId="1CC241D6"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65DF987D"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1C7D9700" w14:textId="77777777" w:rsidR="008E0FA9" w:rsidRPr="00F01347" w:rsidRDefault="008E0FA9">
            <w:pPr>
              <w:pStyle w:val="texto0"/>
              <w:spacing w:line="296" w:lineRule="exact"/>
              <w:ind w:firstLine="0"/>
              <w:rPr>
                <w:rFonts w:ascii="Verdana" w:hAnsi="Verdana"/>
                <w:sz w:val="16"/>
                <w:szCs w:val="16"/>
                <w:lang w:val="en-US"/>
              </w:rPr>
            </w:pPr>
            <w:r w:rsidRPr="00F01347">
              <w:rPr>
                <w:rFonts w:ascii="Verdana" w:hAnsi="Verdana"/>
                <w:sz w:val="16"/>
                <w:szCs w:val="16"/>
                <w:lang w:val="en-US"/>
              </w:rPr>
              <w:t>Endrin</w:t>
            </w:r>
          </w:p>
        </w:tc>
        <w:tc>
          <w:tcPr>
            <w:tcW w:w="3065" w:type="dxa"/>
            <w:tcBorders>
              <w:top w:val="single" w:sz="6" w:space="0" w:color="auto"/>
              <w:left w:val="single" w:sz="6" w:space="0" w:color="auto"/>
              <w:bottom w:val="single" w:sz="6" w:space="0" w:color="auto"/>
              <w:right w:val="single" w:sz="6" w:space="0" w:color="auto"/>
            </w:tcBorders>
            <w:hideMark/>
          </w:tcPr>
          <w:p w14:paraId="1916ACC0"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0.60</w:t>
            </w:r>
          </w:p>
        </w:tc>
        <w:tc>
          <w:tcPr>
            <w:tcW w:w="2543" w:type="dxa"/>
            <w:tcBorders>
              <w:top w:val="single" w:sz="6" w:space="0" w:color="auto"/>
              <w:left w:val="single" w:sz="6" w:space="0" w:color="auto"/>
              <w:bottom w:val="single" w:sz="6" w:space="0" w:color="auto"/>
              <w:right w:val="single" w:sz="6" w:space="0" w:color="auto"/>
            </w:tcBorders>
            <w:hideMark/>
          </w:tcPr>
          <w:p w14:paraId="15EDFBBF"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6CEB508F"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4DE9E5E6" w14:textId="77777777" w:rsidR="008E0FA9" w:rsidRPr="00F01347" w:rsidRDefault="008E0FA9">
            <w:pPr>
              <w:pStyle w:val="texto0"/>
              <w:spacing w:line="304" w:lineRule="exact"/>
              <w:ind w:firstLine="0"/>
              <w:rPr>
                <w:rFonts w:ascii="Verdana" w:hAnsi="Verdana"/>
                <w:sz w:val="16"/>
                <w:szCs w:val="16"/>
                <w:lang w:val="en-US"/>
              </w:rPr>
            </w:pPr>
            <w:r w:rsidRPr="00F01347">
              <w:rPr>
                <w:rFonts w:ascii="Verdana" w:hAnsi="Verdana"/>
                <w:sz w:val="16"/>
                <w:szCs w:val="16"/>
                <w:lang w:val="en-US"/>
              </w:rPr>
              <w:t>Lindane</w:t>
            </w:r>
          </w:p>
        </w:tc>
        <w:tc>
          <w:tcPr>
            <w:tcW w:w="3065" w:type="dxa"/>
            <w:tcBorders>
              <w:top w:val="single" w:sz="6" w:space="0" w:color="auto"/>
              <w:left w:val="single" w:sz="6" w:space="0" w:color="auto"/>
              <w:bottom w:val="single" w:sz="6" w:space="0" w:color="auto"/>
              <w:right w:val="single" w:sz="6" w:space="0" w:color="auto"/>
            </w:tcBorders>
            <w:hideMark/>
          </w:tcPr>
          <w:p w14:paraId="21259760"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2.0</w:t>
            </w:r>
          </w:p>
        </w:tc>
        <w:tc>
          <w:tcPr>
            <w:tcW w:w="2543" w:type="dxa"/>
            <w:tcBorders>
              <w:top w:val="single" w:sz="6" w:space="0" w:color="auto"/>
              <w:left w:val="single" w:sz="6" w:space="0" w:color="auto"/>
              <w:bottom w:val="single" w:sz="6" w:space="0" w:color="auto"/>
              <w:right w:val="single" w:sz="6" w:space="0" w:color="auto"/>
            </w:tcBorders>
            <w:hideMark/>
          </w:tcPr>
          <w:p w14:paraId="3A2D0A27"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3B99FF82"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1A7E685A" w14:textId="77777777" w:rsidR="008E0FA9" w:rsidRPr="00F01347" w:rsidRDefault="008E0FA9">
            <w:pPr>
              <w:pStyle w:val="texto0"/>
              <w:spacing w:line="304" w:lineRule="exact"/>
              <w:ind w:firstLine="0"/>
              <w:rPr>
                <w:rFonts w:ascii="Verdana" w:hAnsi="Verdana"/>
                <w:sz w:val="16"/>
                <w:szCs w:val="16"/>
                <w:lang w:val="en-US"/>
              </w:rPr>
            </w:pPr>
            <w:r w:rsidRPr="00F01347">
              <w:rPr>
                <w:rFonts w:ascii="Verdana" w:hAnsi="Verdana"/>
                <w:sz w:val="16"/>
                <w:szCs w:val="16"/>
                <w:lang w:val="en-US"/>
              </w:rPr>
              <w:t>Metolachlor</w:t>
            </w:r>
          </w:p>
        </w:tc>
        <w:tc>
          <w:tcPr>
            <w:tcW w:w="3065" w:type="dxa"/>
            <w:tcBorders>
              <w:top w:val="single" w:sz="6" w:space="0" w:color="auto"/>
              <w:left w:val="single" w:sz="6" w:space="0" w:color="auto"/>
              <w:bottom w:val="single" w:sz="6" w:space="0" w:color="auto"/>
              <w:right w:val="single" w:sz="6" w:space="0" w:color="auto"/>
            </w:tcBorders>
            <w:hideMark/>
          </w:tcPr>
          <w:p w14:paraId="7E75F578"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10</w:t>
            </w:r>
          </w:p>
        </w:tc>
        <w:tc>
          <w:tcPr>
            <w:tcW w:w="2543" w:type="dxa"/>
            <w:tcBorders>
              <w:top w:val="single" w:sz="6" w:space="0" w:color="auto"/>
              <w:left w:val="single" w:sz="6" w:space="0" w:color="auto"/>
              <w:bottom w:val="single" w:sz="6" w:space="0" w:color="auto"/>
              <w:right w:val="single" w:sz="6" w:space="0" w:color="auto"/>
            </w:tcBorders>
            <w:hideMark/>
          </w:tcPr>
          <w:p w14:paraId="0E570651"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1C2EADB9"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1DEBECE7" w14:textId="77777777" w:rsidR="008E0FA9" w:rsidRPr="00F01347" w:rsidRDefault="008E0FA9">
            <w:pPr>
              <w:pStyle w:val="texto0"/>
              <w:spacing w:line="304" w:lineRule="exact"/>
              <w:ind w:firstLine="0"/>
              <w:rPr>
                <w:rFonts w:ascii="Verdana" w:hAnsi="Verdana"/>
                <w:sz w:val="16"/>
                <w:szCs w:val="16"/>
                <w:lang w:val="en-US"/>
              </w:rPr>
            </w:pPr>
            <w:proofErr w:type="spellStart"/>
            <w:r w:rsidRPr="00F01347">
              <w:rPr>
                <w:rFonts w:ascii="Verdana" w:hAnsi="Verdana"/>
                <w:sz w:val="16"/>
                <w:szCs w:val="16"/>
                <w:lang w:val="en-US"/>
              </w:rPr>
              <w:t>Methoxychlor</w:t>
            </w:r>
            <w:proofErr w:type="spellEnd"/>
          </w:p>
        </w:tc>
        <w:tc>
          <w:tcPr>
            <w:tcW w:w="3065" w:type="dxa"/>
            <w:tcBorders>
              <w:top w:val="single" w:sz="6" w:space="0" w:color="auto"/>
              <w:left w:val="single" w:sz="6" w:space="0" w:color="auto"/>
              <w:bottom w:val="single" w:sz="6" w:space="0" w:color="auto"/>
              <w:right w:val="single" w:sz="6" w:space="0" w:color="auto"/>
            </w:tcBorders>
            <w:hideMark/>
          </w:tcPr>
          <w:p w14:paraId="7EEC291D" w14:textId="198A84A7" w:rsidR="008E0FA9" w:rsidRPr="00F01347" w:rsidRDefault="00B3467A">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20</w:t>
            </w:r>
          </w:p>
        </w:tc>
        <w:tc>
          <w:tcPr>
            <w:tcW w:w="2543" w:type="dxa"/>
            <w:tcBorders>
              <w:top w:val="single" w:sz="6" w:space="0" w:color="auto"/>
              <w:left w:val="single" w:sz="6" w:space="0" w:color="auto"/>
              <w:bottom w:val="single" w:sz="6" w:space="0" w:color="auto"/>
              <w:right w:val="single" w:sz="6" w:space="0" w:color="auto"/>
            </w:tcBorders>
            <w:hideMark/>
          </w:tcPr>
          <w:p w14:paraId="44F23D83"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31392042"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45CB5199" w14:textId="77777777" w:rsidR="008E0FA9" w:rsidRPr="00F01347" w:rsidRDefault="008E0FA9">
            <w:pPr>
              <w:pStyle w:val="texto0"/>
              <w:spacing w:line="304" w:lineRule="exact"/>
              <w:ind w:firstLine="0"/>
              <w:rPr>
                <w:rFonts w:ascii="Verdana" w:hAnsi="Verdana"/>
                <w:sz w:val="16"/>
                <w:szCs w:val="16"/>
                <w:lang w:val="en-US"/>
              </w:rPr>
            </w:pPr>
            <w:r w:rsidRPr="00F01347">
              <w:rPr>
                <w:rFonts w:ascii="Verdana" w:hAnsi="Verdana"/>
                <w:sz w:val="16"/>
                <w:szCs w:val="16"/>
                <w:lang w:val="en-US"/>
              </w:rPr>
              <w:t>Pendimethalin</w:t>
            </w:r>
          </w:p>
        </w:tc>
        <w:tc>
          <w:tcPr>
            <w:tcW w:w="3065" w:type="dxa"/>
            <w:tcBorders>
              <w:top w:val="single" w:sz="6" w:space="0" w:color="auto"/>
              <w:left w:val="single" w:sz="6" w:space="0" w:color="auto"/>
              <w:bottom w:val="single" w:sz="6" w:space="0" w:color="auto"/>
              <w:right w:val="single" w:sz="6" w:space="0" w:color="auto"/>
            </w:tcBorders>
            <w:hideMark/>
          </w:tcPr>
          <w:p w14:paraId="240627AF" w14:textId="58B59317" w:rsidR="008E0FA9" w:rsidRPr="00F01347" w:rsidRDefault="00B3467A">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20</w:t>
            </w:r>
          </w:p>
        </w:tc>
        <w:tc>
          <w:tcPr>
            <w:tcW w:w="2543" w:type="dxa"/>
            <w:tcBorders>
              <w:top w:val="single" w:sz="6" w:space="0" w:color="auto"/>
              <w:left w:val="single" w:sz="6" w:space="0" w:color="auto"/>
              <w:bottom w:val="single" w:sz="6" w:space="0" w:color="auto"/>
              <w:right w:val="single" w:sz="6" w:space="0" w:color="auto"/>
            </w:tcBorders>
            <w:hideMark/>
          </w:tcPr>
          <w:p w14:paraId="1B2D3AE5"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4B5D2C68"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77975F3C" w14:textId="77777777" w:rsidR="008E0FA9" w:rsidRPr="00F01347" w:rsidRDefault="008E0FA9">
            <w:pPr>
              <w:pStyle w:val="texto0"/>
              <w:spacing w:line="304" w:lineRule="exact"/>
              <w:ind w:firstLine="0"/>
              <w:rPr>
                <w:rFonts w:ascii="Verdana" w:hAnsi="Verdana"/>
                <w:sz w:val="16"/>
                <w:szCs w:val="16"/>
                <w:lang w:val="en-US"/>
              </w:rPr>
            </w:pPr>
            <w:r w:rsidRPr="00F01347">
              <w:rPr>
                <w:rFonts w:ascii="Verdana" w:hAnsi="Verdana"/>
                <w:sz w:val="16"/>
                <w:szCs w:val="16"/>
                <w:lang w:val="en-US"/>
              </w:rPr>
              <w:t xml:space="preserve">Terbuthylazine </w:t>
            </w:r>
          </w:p>
        </w:tc>
        <w:tc>
          <w:tcPr>
            <w:tcW w:w="3065" w:type="dxa"/>
            <w:tcBorders>
              <w:top w:val="single" w:sz="6" w:space="0" w:color="auto"/>
              <w:left w:val="single" w:sz="6" w:space="0" w:color="auto"/>
              <w:bottom w:val="single" w:sz="6" w:space="0" w:color="auto"/>
              <w:right w:val="single" w:sz="6" w:space="0" w:color="auto"/>
            </w:tcBorders>
            <w:hideMark/>
          </w:tcPr>
          <w:p w14:paraId="052D8A25"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7.0</w:t>
            </w:r>
          </w:p>
        </w:tc>
        <w:tc>
          <w:tcPr>
            <w:tcW w:w="2543" w:type="dxa"/>
            <w:tcBorders>
              <w:top w:val="single" w:sz="6" w:space="0" w:color="auto"/>
              <w:left w:val="single" w:sz="6" w:space="0" w:color="auto"/>
              <w:bottom w:val="single" w:sz="6" w:space="0" w:color="auto"/>
              <w:right w:val="single" w:sz="6" w:space="0" w:color="auto"/>
            </w:tcBorders>
            <w:hideMark/>
          </w:tcPr>
          <w:p w14:paraId="3F195EF8"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1B5E7713"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507D633A" w14:textId="77777777" w:rsidR="008E0FA9" w:rsidRPr="00F01347" w:rsidRDefault="008E0FA9">
            <w:pPr>
              <w:pStyle w:val="texto0"/>
              <w:spacing w:line="304" w:lineRule="exact"/>
              <w:ind w:firstLine="0"/>
              <w:rPr>
                <w:rFonts w:ascii="Verdana" w:hAnsi="Verdana"/>
                <w:sz w:val="16"/>
                <w:szCs w:val="16"/>
                <w:lang w:val="en-US"/>
              </w:rPr>
            </w:pPr>
            <w:r w:rsidRPr="00F01347">
              <w:rPr>
                <w:rFonts w:ascii="Verdana" w:hAnsi="Verdana"/>
                <w:sz w:val="16"/>
                <w:szCs w:val="16"/>
                <w:lang w:val="en-US"/>
              </w:rPr>
              <w:t>Trifluralin</w:t>
            </w:r>
          </w:p>
        </w:tc>
        <w:tc>
          <w:tcPr>
            <w:tcW w:w="3065" w:type="dxa"/>
            <w:tcBorders>
              <w:top w:val="single" w:sz="6" w:space="0" w:color="auto"/>
              <w:left w:val="single" w:sz="6" w:space="0" w:color="auto"/>
              <w:bottom w:val="single" w:sz="6" w:space="0" w:color="auto"/>
              <w:right w:val="single" w:sz="6" w:space="0" w:color="auto"/>
            </w:tcBorders>
            <w:hideMark/>
          </w:tcPr>
          <w:p w14:paraId="755492EA" w14:textId="79030E4F" w:rsidR="008E0FA9" w:rsidRPr="00F01347" w:rsidRDefault="00B3467A">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20</w:t>
            </w:r>
          </w:p>
        </w:tc>
        <w:tc>
          <w:tcPr>
            <w:tcW w:w="2543" w:type="dxa"/>
            <w:tcBorders>
              <w:top w:val="single" w:sz="6" w:space="0" w:color="auto"/>
              <w:left w:val="single" w:sz="6" w:space="0" w:color="auto"/>
              <w:bottom w:val="single" w:sz="6" w:space="0" w:color="auto"/>
              <w:right w:val="single" w:sz="6" w:space="0" w:color="auto"/>
            </w:tcBorders>
            <w:hideMark/>
          </w:tcPr>
          <w:p w14:paraId="48951BF6"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431C7F93" w14:textId="77777777" w:rsidTr="008E0FA9">
        <w:trPr>
          <w:trHeight w:val="144"/>
        </w:trPr>
        <w:tc>
          <w:tcPr>
            <w:tcW w:w="8712" w:type="dxa"/>
            <w:gridSpan w:val="3"/>
            <w:tcBorders>
              <w:top w:val="single" w:sz="6" w:space="0" w:color="auto"/>
              <w:left w:val="single" w:sz="6" w:space="0" w:color="auto"/>
              <w:bottom w:val="single" w:sz="6" w:space="0" w:color="auto"/>
              <w:right w:val="single" w:sz="6" w:space="0" w:color="auto"/>
            </w:tcBorders>
            <w:hideMark/>
          </w:tcPr>
          <w:p w14:paraId="120ACB0D" w14:textId="77777777" w:rsidR="008E0FA9" w:rsidRPr="00F01347" w:rsidRDefault="008E0FA9">
            <w:pPr>
              <w:pStyle w:val="texto0"/>
              <w:spacing w:line="304" w:lineRule="exact"/>
              <w:ind w:firstLine="0"/>
              <w:rPr>
                <w:rFonts w:ascii="Verdana" w:hAnsi="Verdana"/>
                <w:b/>
                <w:sz w:val="16"/>
                <w:szCs w:val="16"/>
                <w:lang w:val="en-US"/>
              </w:rPr>
            </w:pPr>
            <w:r w:rsidRPr="00F01347">
              <w:rPr>
                <w:rFonts w:ascii="Verdana" w:hAnsi="Verdana"/>
                <w:b/>
                <w:sz w:val="16"/>
                <w:szCs w:val="16"/>
                <w:lang w:val="en-US"/>
              </w:rPr>
              <w:t>CHLORINED HERBICIDES</w:t>
            </w:r>
          </w:p>
        </w:tc>
      </w:tr>
      <w:tr w:rsidR="008E0FA9" w:rsidRPr="00F01347" w14:paraId="7C429438"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3756F9AD" w14:textId="77777777" w:rsidR="008E0FA9" w:rsidRPr="00F01347" w:rsidRDefault="008E0FA9">
            <w:pPr>
              <w:pStyle w:val="texto0"/>
              <w:spacing w:line="304" w:lineRule="exact"/>
              <w:ind w:firstLine="0"/>
              <w:rPr>
                <w:rFonts w:ascii="Verdana" w:hAnsi="Verdana"/>
                <w:sz w:val="16"/>
                <w:szCs w:val="16"/>
                <w:lang w:val="en-US"/>
              </w:rPr>
            </w:pPr>
            <w:r w:rsidRPr="00F01347">
              <w:rPr>
                <w:rFonts w:ascii="Verdana" w:hAnsi="Verdana"/>
                <w:sz w:val="16"/>
                <w:szCs w:val="16"/>
                <w:lang w:val="en-US"/>
              </w:rPr>
              <w:t>2,4-D</w:t>
            </w:r>
          </w:p>
        </w:tc>
        <w:tc>
          <w:tcPr>
            <w:tcW w:w="3065" w:type="dxa"/>
            <w:tcBorders>
              <w:top w:val="single" w:sz="6" w:space="0" w:color="auto"/>
              <w:left w:val="single" w:sz="6" w:space="0" w:color="auto"/>
              <w:bottom w:val="single" w:sz="6" w:space="0" w:color="auto"/>
              <w:right w:val="single" w:sz="6" w:space="0" w:color="auto"/>
            </w:tcBorders>
            <w:hideMark/>
          </w:tcPr>
          <w:p w14:paraId="1EB5426F"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30</w:t>
            </w:r>
          </w:p>
        </w:tc>
        <w:tc>
          <w:tcPr>
            <w:tcW w:w="2543" w:type="dxa"/>
            <w:tcBorders>
              <w:top w:val="single" w:sz="6" w:space="0" w:color="auto"/>
              <w:left w:val="single" w:sz="6" w:space="0" w:color="auto"/>
              <w:bottom w:val="single" w:sz="6" w:space="0" w:color="auto"/>
              <w:right w:val="single" w:sz="6" w:space="0" w:color="auto"/>
            </w:tcBorders>
            <w:hideMark/>
          </w:tcPr>
          <w:p w14:paraId="2AC254F9"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504D3E1D"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213D184A" w14:textId="77777777" w:rsidR="008E0FA9" w:rsidRPr="00F01347" w:rsidRDefault="008E0FA9">
            <w:pPr>
              <w:pStyle w:val="texto0"/>
              <w:spacing w:line="304" w:lineRule="exact"/>
              <w:ind w:firstLine="0"/>
              <w:rPr>
                <w:rFonts w:ascii="Verdana" w:hAnsi="Verdana"/>
                <w:sz w:val="16"/>
                <w:szCs w:val="16"/>
                <w:lang w:val="en-US"/>
              </w:rPr>
            </w:pPr>
            <w:r w:rsidRPr="00F01347">
              <w:rPr>
                <w:rFonts w:ascii="Verdana" w:hAnsi="Verdana"/>
                <w:sz w:val="16"/>
                <w:szCs w:val="16"/>
                <w:lang w:val="en-US"/>
              </w:rPr>
              <w:t>2,4,5-T</w:t>
            </w:r>
          </w:p>
        </w:tc>
        <w:tc>
          <w:tcPr>
            <w:tcW w:w="3065" w:type="dxa"/>
            <w:tcBorders>
              <w:top w:val="single" w:sz="6" w:space="0" w:color="auto"/>
              <w:left w:val="single" w:sz="6" w:space="0" w:color="auto"/>
              <w:bottom w:val="single" w:sz="6" w:space="0" w:color="auto"/>
              <w:right w:val="single" w:sz="6" w:space="0" w:color="auto"/>
            </w:tcBorders>
            <w:hideMark/>
          </w:tcPr>
          <w:p w14:paraId="3FD990BF"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9.0</w:t>
            </w:r>
          </w:p>
        </w:tc>
        <w:tc>
          <w:tcPr>
            <w:tcW w:w="2543" w:type="dxa"/>
            <w:tcBorders>
              <w:top w:val="single" w:sz="6" w:space="0" w:color="auto"/>
              <w:left w:val="single" w:sz="6" w:space="0" w:color="auto"/>
              <w:bottom w:val="single" w:sz="6" w:space="0" w:color="auto"/>
              <w:right w:val="single" w:sz="6" w:space="0" w:color="auto"/>
            </w:tcBorders>
            <w:hideMark/>
          </w:tcPr>
          <w:p w14:paraId="1892BC44"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7B57A0E2"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3E54CE54" w14:textId="77777777" w:rsidR="008E0FA9" w:rsidRPr="00F01347" w:rsidRDefault="008E0FA9">
            <w:pPr>
              <w:pStyle w:val="texto0"/>
              <w:spacing w:line="304" w:lineRule="exact"/>
              <w:ind w:firstLine="0"/>
              <w:rPr>
                <w:rFonts w:ascii="Verdana" w:hAnsi="Verdana"/>
                <w:sz w:val="16"/>
                <w:szCs w:val="16"/>
                <w:lang w:val="en-US"/>
              </w:rPr>
            </w:pPr>
            <w:r w:rsidRPr="00F01347">
              <w:rPr>
                <w:rFonts w:ascii="Verdana" w:hAnsi="Verdana"/>
                <w:sz w:val="16"/>
                <w:szCs w:val="16"/>
                <w:lang w:val="en-US"/>
              </w:rPr>
              <w:t>2,4,5-TP</w:t>
            </w:r>
          </w:p>
        </w:tc>
        <w:tc>
          <w:tcPr>
            <w:tcW w:w="3065" w:type="dxa"/>
            <w:tcBorders>
              <w:top w:val="single" w:sz="6" w:space="0" w:color="auto"/>
              <w:left w:val="single" w:sz="6" w:space="0" w:color="auto"/>
              <w:bottom w:val="single" w:sz="6" w:space="0" w:color="auto"/>
              <w:right w:val="single" w:sz="6" w:space="0" w:color="auto"/>
            </w:tcBorders>
            <w:hideMark/>
          </w:tcPr>
          <w:p w14:paraId="567C46A7"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9.0</w:t>
            </w:r>
          </w:p>
        </w:tc>
        <w:tc>
          <w:tcPr>
            <w:tcW w:w="2543" w:type="dxa"/>
            <w:tcBorders>
              <w:top w:val="single" w:sz="6" w:space="0" w:color="auto"/>
              <w:left w:val="single" w:sz="6" w:space="0" w:color="auto"/>
              <w:bottom w:val="single" w:sz="6" w:space="0" w:color="auto"/>
              <w:right w:val="single" w:sz="6" w:space="0" w:color="auto"/>
            </w:tcBorders>
            <w:hideMark/>
          </w:tcPr>
          <w:p w14:paraId="78AF6236"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064F71B8"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6BC3F443" w14:textId="77777777" w:rsidR="008E0FA9" w:rsidRPr="00F01347" w:rsidRDefault="008E0FA9">
            <w:pPr>
              <w:pStyle w:val="texto0"/>
              <w:spacing w:line="304" w:lineRule="exact"/>
              <w:ind w:firstLine="0"/>
              <w:rPr>
                <w:rFonts w:ascii="Verdana" w:hAnsi="Verdana"/>
                <w:sz w:val="16"/>
                <w:szCs w:val="16"/>
                <w:lang w:val="en-US"/>
              </w:rPr>
            </w:pPr>
            <w:r w:rsidRPr="00F01347">
              <w:rPr>
                <w:rFonts w:ascii="Verdana" w:hAnsi="Verdana"/>
                <w:sz w:val="16"/>
                <w:szCs w:val="16"/>
                <w:lang w:val="en-US"/>
              </w:rPr>
              <w:t>2.4-DB</w:t>
            </w:r>
          </w:p>
        </w:tc>
        <w:tc>
          <w:tcPr>
            <w:tcW w:w="3065" w:type="dxa"/>
            <w:tcBorders>
              <w:top w:val="single" w:sz="6" w:space="0" w:color="auto"/>
              <w:left w:val="single" w:sz="6" w:space="0" w:color="auto"/>
              <w:bottom w:val="single" w:sz="6" w:space="0" w:color="auto"/>
              <w:right w:val="single" w:sz="6" w:space="0" w:color="auto"/>
            </w:tcBorders>
            <w:hideMark/>
          </w:tcPr>
          <w:p w14:paraId="577E9969"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90</w:t>
            </w:r>
          </w:p>
        </w:tc>
        <w:tc>
          <w:tcPr>
            <w:tcW w:w="2543" w:type="dxa"/>
            <w:tcBorders>
              <w:top w:val="single" w:sz="6" w:space="0" w:color="auto"/>
              <w:left w:val="single" w:sz="6" w:space="0" w:color="auto"/>
              <w:bottom w:val="single" w:sz="6" w:space="0" w:color="auto"/>
              <w:right w:val="single" w:sz="6" w:space="0" w:color="auto"/>
            </w:tcBorders>
            <w:hideMark/>
          </w:tcPr>
          <w:p w14:paraId="2ED040B7" w14:textId="77777777" w:rsidR="008E0FA9" w:rsidRPr="00F01347" w:rsidRDefault="008E0FA9">
            <w:pPr>
              <w:pStyle w:val="texto0"/>
              <w:spacing w:line="30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4AC49B2B"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30CA4D07" w14:textId="77777777" w:rsidR="008E0FA9" w:rsidRPr="00F01347" w:rsidRDefault="008E0FA9">
            <w:pPr>
              <w:pStyle w:val="texto0"/>
              <w:spacing w:line="296" w:lineRule="exact"/>
              <w:ind w:firstLine="0"/>
              <w:rPr>
                <w:rFonts w:ascii="Verdana" w:hAnsi="Verdana"/>
                <w:sz w:val="16"/>
                <w:szCs w:val="16"/>
                <w:lang w:val="en-US"/>
              </w:rPr>
            </w:pPr>
            <w:proofErr w:type="spellStart"/>
            <w:r w:rsidRPr="00F01347">
              <w:rPr>
                <w:rFonts w:ascii="Verdana" w:hAnsi="Verdana"/>
                <w:sz w:val="16"/>
                <w:szCs w:val="16"/>
                <w:lang w:val="en-US"/>
              </w:rPr>
              <w:t>Dichlorprop</w:t>
            </w:r>
            <w:proofErr w:type="spellEnd"/>
            <w:r w:rsidRPr="00F01347">
              <w:rPr>
                <w:rFonts w:ascii="Verdana" w:hAnsi="Verdana"/>
                <w:sz w:val="16"/>
                <w:szCs w:val="16"/>
                <w:lang w:val="en-US"/>
              </w:rPr>
              <w:t xml:space="preserve"> </w:t>
            </w:r>
          </w:p>
        </w:tc>
        <w:tc>
          <w:tcPr>
            <w:tcW w:w="3065" w:type="dxa"/>
            <w:tcBorders>
              <w:top w:val="single" w:sz="6" w:space="0" w:color="auto"/>
              <w:left w:val="single" w:sz="6" w:space="0" w:color="auto"/>
              <w:bottom w:val="single" w:sz="6" w:space="0" w:color="auto"/>
              <w:right w:val="single" w:sz="6" w:space="0" w:color="auto"/>
            </w:tcBorders>
            <w:hideMark/>
          </w:tcPr>
          <w:p w14:paraId="5BF9CD53"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100</w:t>
            </w:r>
          </w:p>
        </w:tc>
        <w:tc>
          <w:tcPr>
            <w:tcW w:w="2543" w:type="dxa"/>
            <w:tcBorders>
              <w:top w:val="single" w:sz="6" w:space="0" w:color="auto"/>
              <w:left w:val="single" w:sz="6" w:space="0" w:color="auto"/>
              <w:bottom w:val="single" w:sz="6" w:space="0" w:color="auto"/>
              <w:right w:val="single" w:sz="6" w:space="0" w:color="auto"/>
            </w:tcBorders>
            <w:hideMark/>
          </w:tcPr>
          <w:p w14:paraId="1946C372"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74205355"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7381A7A5" w14:textId="77777777" w:rsidR="008E0FA9" w:rsidRPr="00F01347" w:rsidRDefault="008E0FA9">
            <w:pPr>
              <w:pStyle w:val="texto0"/>
              <w:spacing w:line="296" w:lineRule="exact"/>
              <w:ind w:firstLine="0"/>
              <w:rPr>
                <w:rFonts w:ascii="Verdana" w:hAnsi="Verdana"/>
                <w:sz w:val="16"/>
                <w:szCs w:val="16"/>
                <w:lang w:val="en-US"/>
              </w:rPr>
            </w:pPr>
            <w:proofErr w:type="spellStart"/>
            <w:r w:rsidRPr="00F01347">
              <w:rPr>
                <w:rFonts w:ascii="Verdana" w:hAnsi="Verdana"/>
                <w:sz w:val="16"/>
                <w:szCs w:val="16"/>
                <w:lang w:val="en-US"/>
              </w:rPr>
              <w:t>Mecoprop</w:t>
            </w:r>
            <w:proofErr w:type="spellEnd"/>
            <w:r w:rsidRPr="00F01347">
              <w:rPr>
                <w:rFonts w:ascii="Verdana" w:hAnsi="Verdana"/>
                <w:sz w:val="16"/>
                <w:szCs w:val="16"/>
                <w:lang w:val="en-US"/>
              </w:rPr>
              <w:t xml:space="preserve"> </w:t>
            </w:r>
          </w:p>
        </w:tc>
        <w:tc>
          <w:tcPr>
            <w:tcW w:w="3065" w:type="dxa"/>
            <w:tcBorders>
              <w:top w:val="single" w:sz="6" w:space="0" w:color="auto"/>
              <w:left w:val="single" w:sz="6" w:space="0" w:color="auto"/>
              <w:bottom w:val="single" w:sz="6" w:space="0" w:color="auto"/>
              <w:right w:val="single" w:sz="6" w:space="0" w:color="auto"/>
            </w:tcBorders>
            <w:hideMark/>
          </w:tcPr>
          <w:p w14:paraId="50095BC7"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10</w:t>
            </w:r>
          </w:p>
        </w:tc>
        <w:tc>
          <w:tcPr>
            <w:tcW w:w="2543" w:type="dxa"/>
            <w:tcBorders>
              <w:top w:val="single" w:sz="6" w:space="0" w:color="auto"/>
              <w:left w:val="single" w:sz="6" w:space="0" w:color="auto"/>
              <w:bottom w:val="single" w:sz="6" w:space="0" w:color="auto"/>
              <w:right w:val="single" w:sz="6" w:space="0" w:color="auto"/>
            </w:tcBorders>
            <w:hideMark/>
          </w:tcPr>
          <w:p w14:paraId="1212BE6F"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38E13C43" w14:textId="77777777" w:rsidTr="008E0FA9">
        <w:trPr>
          <w:trHeight w:val="144"/>
        </w:trPr>
        <w:tc>
          <w:tcPr>
            <w:tcW w:w="8712" w:type="dxa"/>
            <w:gridSpan w:val="3"/>
            <w:tcBorders>
              <w:top w:val="single" w:sz="6" w:space="0" w:color="auto"/>
              <w:left w:val="single" w:sz="6" w:space="0" w:color="auto"/>
              <w:bottom w:val="single" w:sz="6" w:space="0" w:color="auto"/>
              <w:right w:val="single" w:sz="6" w:space="0" w:color="auto"/>
            </w:tcBorders>
            <w:hideMark/>
          </w:tcPr>
          <w:p w14:paraId="1729C7C3" w14:textId="77777777" w:rsidR="008E0FA9" w:rsidRPr="00F01347" w:rsidRDefault="008E0FA9">
            <w:pPr>
              <w:pStyle w:val="texto0"/>
              <w:spacing w:line="296" w:lineRule="exact"/>
              <w:ind w:firstLine="0"/>
              <w:rPr>
                <w:rFonts w:ascii="Verdana" w:hAnsi="Verdana"/>
                <w:b/>
                <w:sz w:val="16"/>
                <w:szCs w:val="16"/>
                <w:lang w:val="en-US"/>
              </w:rPr>
            </w:pPr>
            <w:r w:rsidRPr="00F01347">
              <w:rPr>
                <w:rFonts w:ascii="Verdana" w:hAnsi="Verdana"/>
                <w:b/>
                <w:sz w:val="16"/>
                <w:szCs w:val="16"/>
                <w:lang w:val="en-US"/>
              </w:rPr>
              <w:t>CHLORINED PESTICIDES DERIVED FROM UREA</w:t>
            </w:r>
          </w:p>
        </w:tc>
      </w:tr>
      <w:tr w:rsidR="008E0FA9" w:rsidRPr="00F01347" w14:paraId="0D8B952F" w14:textId="77777777" w:rsidTr="008E0FA9">
        <w:trPr>
          <w:trHeight w:val="144"/>
        </w:trPr>
        <w:tc>
          <w:tcPr>
            <w:tcW w:w="3104" w:type="dxa"/>
            <w:tcBorders>
              <w:top w:val="single" w:sz="6" w:space="0" w:color="auto"/>
              <w:left w:val="single" w:sz="6" w:space="0" w:color="auto"/>
              <w:bottom w:val="single" w:sz="6" w:space="0" w:color="auto"/>
              <w:right w:val="single" w:sz="6" w:space="0" w:color="auto"/>
            </w:tcBorders>
            <w:hideMark/>
          </w:tcPr>
          <w:p w14:paraId="33D1A790" w14:textId="77777777" w:rsidR="008E0FA9" w:rsidRPr="00F01347" w:rsidRDefault="008E0FA9">
            <w:pPr>
              <w:pStyle w:val="texto0"/>
              <w:spacing w:line="296" w:lineRule="exact"/>
              <w:ind w:firstLine="0"/>
              <w:rPr>
                <w:rFonts w:ascii="Verdana" w:hAnsi="Verdana"/>
                <w:sz w:val="16"/>
                <w:szCs w:val="16"/>
                <w:lang w:val="en-US"/>
              </w:rPr>
            </w:pPr>
            <w:proofErr w:type="spellStart"/>
            <w:r w:rsidRPr="00F01347">
              <w:rPr>
                <w:rFonts w:ascii="Verdana" w:hAnsi="Verdana"/>
                <w:sz w:val="16"/>
                <w:szCs w:val="16"/>
                <w:lang w:val="en-US"/>
              </w:rPr>
              <w:t>Chlorotoluron</w:t>
            </w:r>
            <w:proofErr w:type="spellEnd"/>
          </w:p>
        </w:tc>
        <w:tc>
          <w:tcPr>
            <w:tcW w:w="3065" w:type="dxa"/>
            <w:tcBorders>
              <w:top w:val="single" w:sz="6" w:space="0" w:color="auto"/>
              <w:left w:val="single" w:sz="6" w:space="0" w:color="auto"/>
              <w:bottom w:val="single" w:sz="6" w:space="0" w:color="auto"/>
              <w:right w:val="single" w:sz="6" w:space="0" w:color="auto"/>
            </w:tcBorders>
            <w:hideMark/>
          </w:tcPr>
          <w:p w14:paraId="0D161542"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30</w:t>
            </w:r>
          </w:p>
        </w:tc>
        <w:tc>
          <w:tcPr>
            <w:tcW w:w="2543" w:type="dxa"/>
            <w:tcBorders>
              <w:top w:val="single" w:sz="6" w:space="0" w:color="auto"/>
              <w:left w:val="single" w:sz="6" w:space="0" w:color="auto"/>
              <w:bottom w:val="single" w:sz="6" w:space="0" w:color="auto"/>
              <w:right w:val="single" w:sz="6" w:space="0" w:color="auto"/>
            </w:tcBorders>
            <w:hideMark/>
          </w:tcPr>
          <w:p w14:paraId="233A4591" w14:textId="77777777" w:rsidR="008E0FA9" w:rsidRPr="00F01347" w:rsidRDefault="008E0FA9">
            <w:pPr>
              <w:pStyle w:val="texto0"/>
              <w:spacing w:line="296" w:lineRule="exact"/>
              <w:ind w:firstLine="0"/>
              <w:jc w:val="center"/>
              <w:rPr>
                <w:rFonts w:ascii="Verdana" w:hAnsi="Verdana"/>
                <w:sz w:val="16"/>
                <w:szCs w:val="16"/>
                <w:lang w:val="en-US"/>
              </w:rPr>
            </w:pPr>
            <w:r w:rsidRPr="00F01347">
              <w:rPr>
                <w:rFonts w:ascii="Verdana" w:hAnsi="Verdana"/>
                <w:sz w:val="16"/>
                <w:szCs w:val="16"/>
                <w:lang w:val="en-US"/>
              </w:rPr>
              <w:t>µg/L</w:t>
            </w:r>
          </w:p>
        </w:tc>
      </w:tr>
    </w:tbl>
    <w:p w14:paraId="2216AC06" w14:textId="77777777" w:rsidR="008E0FA9" w:rsidRPr="00F01347" w:rsidRDefault="008E0FA9" w:rsidP="003A601B">
      <w:pPr>
        <w:pStyle w:val="texto0"/>
        <w:spacing w:line="254" w:lineRule="exact"/>
        <w:ind w:firstLine="0"/>
        <w:jc w:val="center"/>
        <w:rPr>
          <w:rFonts w:ascii="Verdana" w:hAnsi="Verdana"/>
          <w:b/>
          <w:sz w:val="16"/>
          <w:szCs w:val="16"/>
          <w:lang w:val="es-ES_tradnl"/>
        </w:rPr>
      </w:pPr>
    </w:p>
    <w:p w14:paraId="28E96BA1" w14:textId="5AD2204B" w:rsidR="00A74CDF" w:rsidRPr="00F01347" w:rsidRDefault="00A74CDF" w:rsidP="003A601B">
      <w:pPr>
        <w:pStyle w:val="texto0"/>
        <w:spacing w:line="254" w:lineRule="exact"/>
        <w:ind w:firstLine="0"/>
        <w:jc w:val="center"/>
        <w:rPr>
          <w:rFonts w:ascii="Verdana" w:hAnsi="Verdana"/>
          <w:b/>
          <w:sz w:val="16"/>
          <w:szCs w:val="16"/>
          <w:lang w:val="es-ES"/>
        </w:rPr>
      </w:pPr>
      <w:r w:rsidRPr="00F01347">
        <w:rPr>
          <w:rFonts w:ascii="Verdana" w:hAnsi="Verdana"/>
          <w:b/>
          <w:sz w:val="16"/>
          <w:szCs w:val="16"/>
          <w:lang w:val="es-ES_tradnl"/>
        </w:rPr>
        <w:t>Tabla A.2 Límites permisibles de compuestos o</w:t>
      </w:r>
      <w:r w:rsidRPr="00F01347">
        <w:rPr>
          <w:rFonts w:ascii="Verdana" w:hAnsi="Verdana"/>
          <w:b/>
          <w:color w:val="000000"/>
          <w:sz w:val="16"/>
          <w:szCs w:val="16"/>
          <w:lang w:val="es-ES_tradnl"/>
        </w:rPr>
        <w:t>rgánicos no halogenados</w:t>
      </w:r>
    </w:p>
    <w:tbl>
      <w:tblPr>
        <w:tblW w:w="8712" w:type="dxa"/>
        <w:tblInd w:w="144" w:type="dxa"/>
        <w:tblLayout w:type="fixed"/>
        <w:tblCellMar>
          <w:left w:w="70" w:type="dxa"/>
          <w:right w:w="70" w:type="dxa"/>
        </w:tblCellMar>
        <w:tblLook w:val="0000" w:firstRow="0" w:lastRow="0" w:firstColumn="0" w:lastColumn="0" w:noHBand="0" w:noVBand="0"/>
      </w:tblPr>
      <w:tblGrid>
        <w:gridCol w:w="3121"/>
        <w:gridCol w:w="3025"/>
        <w:gridCol w:w="2566"/>
      </w:tblGrid>
      <w:tr w:rsidR="00A74CDF" w:rsidRPr="00F01347" w14:paraId="0AC778EF" w14:textId="77777777">
        <w:trPr>
          <w:trHeight w:val="20"/>
        </w:trPr>
        <w:tc>
          <w:tcPr>
            <w:tcW w:w="3121" w:type="dxa"/>
            <w:tcBorders>
              <w:top w:val="single" w:sz="6" w:space="0" w:color="auto"/>
              <w:left w:val="single" w:sz="6" w:space="0" w:color="auto"/>
              <w:bottom w:val="single" w:sz="6" w:space="0" w:color="auto"/>
              <w:right w:val="single" w:sz="6" w:space="0" w:color="auto"/>
            </w:tcBorders>
            <w:noWrap/>
          </w:tcPr>
          <w:p w14:paraId="1DD2BB49" w14:textId="77777777" w:rsidR="00A74CDF" w:rsidRPr="00F01347" w:rsidRDefault="00A74CDF" w:rsidP="003A601B">
            <w:pPr>
              <w:pStyle w:val="texto0"/>
              <w:spacing w:line="254" w:lineRule="exact"/>
              <w:ind w:firstLine="0"/>
              <w:jc w:val="center"/>
              <w:rPr>
                <w:rFonts w:ascii="Verdana" w:hAnsi="Verdana"/>
                <w:b/>
                <w:sz w:val="16"/>
                <w:szCs w:val="16"/>
                <w:lang w:val="es-ES"/>
              </w:rPr>
            </w:pPr>
            <w:r w:rsidRPr="00F01347">
              <w:rPr>
                <w:rFonts w:ascii="Verdana" w:hAnsi="Verdana"/>
                <w:b/>
                <w:color w:val="000000"/>
                <w:sz w:val="16"/>
                <w:szCs w:val="16"/>
              </w:rPr>
              <w:t>Parámetros</w:t>
            </w:r>
          </w:p>
        </w:tc>
        <w:tc>
          <w:tcPr>
            <w:tcW w:w="3025" w:type="dxa"/>
            <w:tcBorders>
              <w:top w:val="single" w:sz="6" w:space="0" w:color="auto"/>
              <w:left w:val="single" w:sz="6" w:space="0" w:color="auto"/>
              <w:bottom w:val="single" w:sz="6" w:space="0" w:color="auto"/>
              <w:right w:val="single" w:sz="6" w:space="0" w:color="auto"/>
            </w:tcBorders>
          </w:tcPr>
          <w:p w14:paraId="3867910C" w14:textId="77777777" w:rsidR="00A74CDF" w:rsidRPr="00F01347" w:rsidRDefault="00A74CDF" w:rsidP="003A601B">
            <w:pPr>
              <w:pStyle w:val="texto0"/>
              <w:spacing w:line="254" w:lineRule="exact"/>
              <w:ind w:firstLine="0"/>
              <w:jc w:val="center"/>
              <w:rPr>
                <w:rFonts w:ascii="Verdana" w:hAnsi="Verdana"/>
                <w:b/>
                <w:sz w:val="16"/>
                <w:szCs w:val="16"/>
                <w:lang w:val="es-ES"/>
              </w:rPr>
            </w:pPr>
            <w:r w:rsidRPr="00F01347">
              <w:rPr>
                <w:rFonts w:ascii="Verdana" w:hAnsi="Verdana"/>
                <w:b/>
                <w:color w:val="000000"/>
                <w:sz w:val="16"/>
                <w:szCs w:val="16"/>
              </w:rPr>
              <w:t>Límite permisible</w:t>
            </w:r>
          </w:p>
        </w:tc>
        <w:tc>
          <w:tcPr>
            <w:tcW w:w="2566" w:type="dxa"/>
            <w:tcBorders>
              <w:top w:val="single" w:sz="6" w:space="0" w:color="auto"/>
              <w:left w:val="single" w:sz="6" w:space="0" w:color="auto"/>
              <w:bottom w:val="single" w:sz="6" w:space="0" w:color="auto"/>
              <w:right w:val="single" w:sz="6" w:space="0" w:color="auto"/>
            </w:tcBorders>
          </w:tcPr>
          <w:p w14:paraId="783455AB" w14:textId="77777777" w:rsidR="00A74CDF" w:rsidRPr="00F01347" w:rsidRDefault="00A74CDF" w:rsidP="003A601B">
            <w:pPr>
              <w:pStyle w:val="texto0"/>
              <w:spacing w:line="254" w:lineRule="exact"/>
              <w:ind w:firstLine="0"/>
              <w:jc w:val="center"/>
              <w:rPr>
                <w:rFonts w:ascii="Verdana" w:hAnsi="Verdana"/>
                <w:b/>
                <w:sz w:val="16"/>
                <w:szCs w:val="16"/>
                <w:lang w:val="es-ES"/>
              </w:rPr>
            </w:pPr>
            <w:r w:rsidRPr="00F01347">
              <w:rPr>
                <w:rFonts w:ascii="Verdana" w:hAnsi="Verdana"/>
                <w:b/>
                <w:color w:val="000000"/>
                <w:sz w:val="16"/>
                <w:szCs w:val="16"/>
              </w:rPr>
              <w:t>Unidades</w:t>
            </w:r>
          </w:p>
        </w:tc>
      </w:tr>
      <w:tr w:rsidR="00A74CDF" w:rsidRPr="00F01347" w14:paraId="7414EA28" w14:textId="77777777">
        <w:trPr>
          <w:trHeight w:val="20"/>
        </w:trPr>
        <w:tc>
          <w:tcPr>
            <w:tcW w:w="8712" w:type="dxa"/>
            <w:gridSpan w:val="3"/>
            <w:tcBorders>
              <w:top w:val="single" w:sz="6" w:space="0" w:color="auto"/>
              <w:left w:val="single" w:sz="6" w:space="0" w:color="auto"/>
              <w:bottom w:val="single" w:sz="6" w:space="0" w:color="auto"/>
              <w:right w:val="single" w:sz="6" w:space="0" w:color="auto"/>
            </w:tcBorders>
          </w:tcPr>
          <w:p w14:paraId="21772D63" w14:textId="77777777" w:rsidR="00A74CDF" w:rsidRPr="00F01347" w:rsidRDefault="00A74CDF" w:rsidP="003A601B">
            <w:pPr>
              <w:pStyle w:val="texto0"/>
              <w:spacing w:line="254" w:lineRule="exact"/>
              <w:ind w:firstLine="0"/>
              <w:rPr>
                <w:rFonts w:ascii="Verdana" w:hAnsi="Verdana"/>
                <w:b/>
                <w:sz w:val="16"/>
                <w:szCs w:val="16"/>
                <w:lang w:val="es-ES"/>
              </w:rPr>
            </w:pPr>
            <w:r w:rsidRPr="00F01347">
              <w:rPr>
                <w:rFonts w:ascii="Verdana" w:hAnsi="Verdana"/>
                <w:b/>
                <w:sz w:val="16"/>
                <w:szCs w:val="16"/>
                <w:lang w:val="es-ES"/>
              </w:rPr>
              <w:t>CARBAMATOS Y COMPUESTOS ORGÁNICOS SEMIVOLÁTILES</w:t>
            </w:r>
          </w:p>
        </w:tc>
      </w:tr>
      <w:tr w:rsidR="00A74CDF" w:rsidRPr="00F01347" w14:paraId="0419B4DA" w14:textId="77777777">
        <w:trPr>
          <w:trHeight w:val="20"/>
        </w:trPr>
        <w:tc>
          <w:tcPr>
            <w:tcW w:w="3121" w:type="dxa"/>
            <w:tcBorders>
              <w:top w:val="single" w:sz="6" w:space="0" w:color="auto"/>
              <w:left w:val="single" w:sz="6" w:space="0" w:color="auto"/>
              <w:bottom w:val="single" w:sz="6" w:space="0" w:color="auto"/>
              <w:right w:val="single" w:sz="6" w:space="0" w:color="auto"/>
            </w:tcBorders>
          </w:tcPr>
          <w:p w14:paraId="6167ED66" w14:textId="77777777" w:rsidR="00A74CDF" w:rsidRPr="00F01347" w:rsidRDefault="00A74CDF" w:rsidP="003A601B">
            <w:pPr>
              <w:pStyle w:val="texto0"/>
              <w:spacing w:line="254" w:lineRule="exact"/>
              <w:ind w:firstLine="0"/>
              <w:rPr>
                <w:rFonts w:ascii="Verdana" w:hAnsi="Verdana"/>
                <w:sz w:val="16"/>
                <w:szCs w:val="16"/>
                <w:lang w:val="es-ES"/>
              </w:rPr>
            </w:pPr>
            <w:proofErr w:type="spellStart"/>
            <w:r w:rsidRPr="00F01347">
              <w:rPr>
                <w:rFonts w:ascii="Verdana" w:hAnsi="Verdana"/>
                <w:sz w:val="16"/>
                <w:szCs w:val="16"/>
                <w:lang w:val="es-ES"/>
              </w:rPr>
              <w:t>Aldicarb</w:t>
            </w:r>
            <w:proofErr w:type="spellEnd"/>
            <w:r w:rsidRPr="00F01347">
              <w:rPr>
                <w:rFonts w:ascii="Verdana" w:hAnsi="Verdana"/>
                <w:sz w:val="16"/>
                <w:szCs w:val="16"/>
                <w:lang w:val="es-ES"/>
              </w:rPr>
              <w:t xml:space="preserve"> </w:t>
            </w:r>
          </w:p>
        </w:tc>
        <w:tc>
          <w:tcPr>
            <w:tcW w:w="3025" w:type="dxa"/>
            <w:tcBorders>
              <w:top w:val="single" w:sz="6" w:space="0" w:color="auto"/>
              <w:left w:val="single" w:sz="6" w:space="0" w:color="auto"/>
              <w:bottom w:val="single" w:sz="6" w:space="0" w:color="auto"/>
              <w:right w:val="single" w:sz="6" w:space="0" w:color="auto"/>
            </w:tcBorders>
          </w:tcPr>
          <w:p w14:paraId="6B0B5F68"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10</w:t>
            </w:r>
          </w:p>
        </w:tc>
        <w:tc>
          <w:tcPr>
            <w:tcW w:w="2566" w:type="dxa"/>
            <w:tcBorders>
              <w:top w:val="single" w:sz="6" w:space="0" w:color="auto"/>
              <w:left w:val="single" w:sz="6" w:space="0" w:color="auto"/>
              <w:bottom w:val="single" w:sz="6" w:space="0" w:color="auto"/>
              <w:right w:val="single" w:sz="6" w:space="0" w:color="auto"/>
            </w:tcBorders>
          </w:tcPr>
          <w:p w14:paraId="2E581490"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3EFABAD2" w14:textId="77777777">
        <w:trPr>
          <w:trHeight w:val="20"/>
        </w:trPr>
        <w:tc>
          <w:tcPr>
            <w:tcW w:w="3121" w:type="dxa"/>
            <w:tcBorders>
              <w:top w:val="single" w:sz="6" w:space="0" w:color="auto"/>
              <w:left w:val="single" w:sz="6" w:space="0" w:color="auto"/>
              <w:bottom w:val="single" w:sz="6" w:space="0" w:color="auto"/>
              <w:right w:val="single" w:sz="6" w:space="0" w:color="auto"/>
            </w:tcBorders>
          </w:tcPr>
          <w:p w14:paraId="693BCF2F" w14:textId="77777777" w:rsidR="00A74CDF" w:rsidRPr="00F01347" w:rsidRDefault="00A74CDF" w:rsidP="003A601B">
            <w:pPr>
              <w:pStyle w:val="texto0"/>
              <w:spacing w:line="254" w:lineRule="exact"/>
              <w:ind w:firstLine="0"/>
              <w:rPr>
                <w:rFonts w:ascii="Verdana" w:hAnsi="Verdana"/>
                <w:sz w:val="16"/>
                <w:szCs w:val="16"/>
                <w:lang w:val="es-ES"/>
              </w:rPr>
            </w:pPr>
            <w:proofErr w:type="spellStart"/>
            <w:r w:rsidRPr="00F01347">
              <w:rPr>
                <w:rFonts w:ascii="Verdana" w:hAnsi="Verdana"/>
                <w:sz w:val="16"/>
                <w:szCs w:val="16"/>
                <w:lang w:val="es-ES"/>
              </w:rPr>
              <w:t>Carbofurán</w:t>
            </w:r>
            <w:proofErr w:type="spellEnd"/>
          </w:p>
        </w:tc>
        <w:tc>
          <w:tcPr>
            <w:tcW w:w="3025" w:type="dxa"/>
            <w:tcBorders>
              <w:top w:val="single" w:sz="6" w:space="0" w:color="auto"/>
              <w:left w:val="single" w:sz="6" w:space="0" w:color="auto"/>
              <w:bottom w:val="single" w:sz="6" w:space="0" w:color="auto"/>
              <w:right w:val="single" w:sz="6" w:space="0" w:color="auto"/>
            </w:tcBorders>
          </w:tcPr>
          <w:p w14:paraId="36881C8F"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7.0</w:t>
            </w:r>
          </w:p>
        </w:tc>
        <w:tc>
          <w:tcPr>
            <w:tcW w:w="2566" w:type="dxa"/>
            <w:tcBorders>
              <w:top w:val="single" w:sz="6" w:space="0" w:color="auto"/>
              <w:left w:val="single" w:sz="6" w:space="0" w:color="auto"/>
              <w:bottom w:val="single" w:sz="6" w:space="0" w:color="auto"/>
              <w:right w:val="single" w:sz="6" w:space="0" w:color="auto"/>
            </w:tcBorders>
          </w:tcPr>
          <w:p w14:paraId="1EBC75AA"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462407AC" w14:textId="77777777">
        <w:trPr>
          <w:trHeight w:val="20"/>
        </w:trPr>
        <w:tc>
          <w:tcPr>
            <w:tcW w:w="3121" w:type="dxa"/>
            <w:tcBorders>
              <w:top w:val="single" w:sz="6" w:space="0" w:color="auto"/>
              <w:left w:val="single" w:sz="6" w:space="0" w:color="auto"/>
              <w:bottom w:val="single" w:sz="6" w:space="0" w:color="auto"/>
              <w:right w:val="single" w:sz="6" w:space="0" w:color="auto"/>
            </w:tcBorders>
          </w:tcPr>
          <w:p w14:paraId="33DDEFBE"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 xml:space="preserve">Ácido </w:t>
            </w:r>
            <w:proofErr w:type="spellStart"/>
            <w:r w:rsidRPr="00F01347">
              <w:rPr>
                <w:rFonts w:ascii="Verdana" w:hAnsi="Verdana"/>
                <w:sz w:val="16"/>
                <w:szCs w:val="16"/>
                <w:lang w:val="es-ES"/>
              </w:rPr>
              <w:t>edético</w:t>
            </w:r>
            <w:proofErr w:type="spellEnd"/>
          </w:p>
        </w:tc>
        <w:tc>
          <w:tcPr>
            <w:tcW w:w="3025" w:type="dxa"/>
            <w:tcBorders>
              <w:top w:val="single" w:sz="6" w:space="0" w:color="auto"/>
              <w:left w:val="single" w:sz="6" w:space="0" w:color="auto"/>
              <w:bottom w:val="single" w:sz="6" w:space="0" w:color="auto"/>
              <w:right w:val="single" w:sz="6" w:space="0" w:color="auto"/>
            </w:tcBorders>
          </w:tcPr>
          <w:p w14:paraId="6443239D"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600</w:t>
            </w:r>
          </w:p>
        </w:tc>
        <w:tc>
          <w:tcPr>
            <w:tcW w:w="2566" w:type="dxa"/>
            <w:tcBorders>
              <w:top w:val="single" w:sz="6" w:space="0" w:color="auto"/>
              <w:left w:val="single" w:sz="6" w:space="0" w:color="auto"/>
              <w:bottom w:val="single" w:sz="6" w:space="0" w:color="auto"/>
              <w:right w:val="single" w:sz="6" w:space="0" w:color="auto"/>
            </w:tcBorders>
          </w:tcPr>
          <w:p w14:paraId="7EBA24D5"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63D9D623" w14:textId="77777777">
        <w:trPr>
          <w:trHeight w:val="20"/>
        </w:trPr>
        <w:tc>
          <w:tcPr>
            <w:tcW w:w="3121" w:type="dxa"/>
            <w:tcBorders>
              <w:top w:val="single" w:sz="6" w:space="0" w:color="auto"/>
              <w:left w:val="single" w:sz="6" w:space="0" w:color="auto"/>
              <w:bottom w:val="single" w:sz="6" w:space="0" w:color="auto"/>
              <w:right w:val="single" w:sz="6" w:space="0" w:color="auto"/>
            </w:tcBorders>
          </w:tcPr>
          <w:p w14:paraId="6F473AE8"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 xml:space="preserve">Ácido </w:t>
            </w:r>
            <w:proofErr w:type="spellStart"/>
            <w:r w:rsidRPr="00F01347">
              <w:rPr>
                <w:rFonts w:ascii="Verdana" w:hAnsi="Verdana"/>
                <w:sz w:val="16"/>
                <w:szCs w:val="16"/>
                <w:lang w:val="es-ES"/>
              </w:rPr>
              <w:t>nitrilotriacético</w:t>
            </w:r>
            <w:proofErr w:type="spellEnd"/>
          </w:p>
        </w:tc>
        <w:tc>
          <w:tcPr>
            <w:tcW w:w="3025" w:type="dxa"/>
            <w:tcBorders>
              <w:top w:val="single" w:sz="6" w:space="0" w:color="auto"/>
              <w:left w:val="single" w:sz="6" w:space="0" w:color="auto"/>
              <w:bottom w:val="single" w:sz="6" w:space="0" w:color="auto"/>
              <w:right w:val="single" w:sz="6" w:space="0" w:color="auto"/>
            </w:tcBorders>
          </w:tcPr>
          <w:p w14:paraId="1AABC5ED"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200</w:t>
            </w:r>
          </w:p>
        </w:tc>
        <w:tc>
          <w:tcPr>
            <w:tcW w:w="2566" w:type="dxa"/>
            <w:tcBorders>
              <w:top w:val="single" w:sz="6" w:space="0" w:color="auto"/>
              <w:left w:val="single" w:sz="6" w:space="0" w:color="auto"/>
              <w:bottom w:val="single" w:sz="6" w:space="0" w:color="auto"/>
              <w:right w:val="single" w:sz="6" w:space="0" w:color="auto"/>
            </w:tcBorders>
          </w:tcPr>
          <w:p w14:paraId="4AD4E173"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732E5E08" w14:textId="77777777">
        <w:trPr>
          <w:trHeight w:val="20"/>
        </w:trPr>
        <w:tc>
          <w:tcPr>
            <w:tcW w:w="3121" w:type="dxa"/>
            <w:tcBorders>
              <w:top w:val="single" w:sz="6" w:space="0" w:color="auto"/>
              <w:left w:val="single" w:sz="6" w:space="0" w:color="auto"/>
              <w:bottom w:val="single" w:sz="6" w:space="0" w:color="auto"/>
              <w:right w:val="single" w:sz="6" w:space="0" w:color="auto"/>
            </w:tcBorders>
          </w:tcPr>
          <w:p w14:paraId="36F8E2FE"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 xml:space="preserve">Acrilamida </w:t>
            </w:r>
          </w:p>
        </w:tc>
        <w:tc>
          <w:tcPr>
            <w:tcW w:w="3025" w:type="dxa"/>
            <w:tcBorders>
              <w:top w:val="single" w:sz="6" w:space="0" w:color="auto"/>
              <w:left w:val="single" w:sz="6" w:space="0" w:color="auto"/>
              <w:bottom w:val="single" w:sz="6" w:space="0" w:color="auto"/>
              <w:right w:val="single" w:sz="6" w:space="0" w:color="auto"/>
            </w:tcBorders>
          </w:tcPr>
          <w:p w14:paraId="052901CB"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0.50</w:t>
            </w:r>
          </w:p>
        </w:tc>
        <w:tc>
          <w:tcPr>
            <w:tcW w:w="2566" w:type="dxa"/>
            <w:tcBorders>
              <w:top w:val="single" w:sz="6" w:space="0" w:color="auto"/>
              <w:left w:val="single" w:sz="6" w:space="0" w:color="auto"/>
              <w:bottom w:val="single" w:sz="6" w:space="0" w:color="auto"/>
              <w:right w:val="single" w:sz="6" w:space="0" w:color="auto"/>
            </w:tcBorders>
          </w:tcPr>
          <w:p w14:paraId="11368238"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541E4102" w14:textId="77777777">
        <w:trPr>
          <w:trHeight w:val="20"/>
        </w:trPr>
        <w:tc>
          <w:tcPr>
            <w:tcW w:w="8712" w:type="dxa"/>
            <w:gridSpan w:val="3"/>
            <w:tcBorders>
              <w:top w:val="single" w:sz="6" w:space="0" w:color="auto"/>
              <w:left w:val="single" w:sz="6" w:space="0" w:color="auto"/>
              <w:bottom w:val="single" w:sz="6" w:space="0" w:color="auto"/>
              <w:right w:val="single" w:sz="6" w:space="0" w:color="auto"/>
            </w:tcBorders>
          </w:tcPr>
          <w:p w14:paraId="54DA41E1" w14:textId="77777777" w:rsidR="00A74CDF" w:rsidRPr="00F01347" w:rsidRDefault="00A74CDF" w:rsidP="003A601B">
            <w:pPr>
              <w:pStyle w:val="texto0"/>
              <w:spacing w:line="254" w:lineRule="exact"/>
              <w:ind w:firstLine="0"/>
              <w:rPr>
                <w:rFonts w:ascii="Verdana" w:hAnsi="Verdana"/>
                <w:b/>
                <w:sz w:val="16"/>
                <w:szCs w:val="16"/>
                <w:lang w:val="es-ES"/>
              </w:rPr>
            </w:pPr>
            <w:r w:rsidRPr="00F01347">
              <w:rPr>
                <w:rFonts w:ascii="Verdana" w:hAnsi="Verdana"/>
                <w:b/>
                <w:sz w:val="16"/>
                <w:szCs w:val="16"/>
                <w:lang w:val="es-ES"/>
              </w:rPr>
              <w:lastRenderedPageBreak/>
              <w:t>HIDROCARBUROS POLIAROMÁTICOS</w:t>
            </w:r>
          </w:p>
        </w:tc>
      </w:tr>
      <w:tr w:rsidR="00A74CDF" w:rsidRPr="00F01347" w14:paraId="4CC4D64C" w14:textId="77777777">
        <w:trPr>
          <w:trHeight w:val="20"/>
        </w:trPr>
        <w:tc>
          <w:tcPr>
            <w:tcW w:w="3121" w:type="dxa"/>
            <w:tcBorders>
              <w:top w:val="single" w:sz="6" w:space="0" w:color="auto"/>
              <w:left w:val="single" w:sz="6" w:space="0" w:color="auto"/>
              <w:bottom w:val="single" w:sz="6" w:space="0" w:color="auto"/>
              <w:right w:val="single" w:sz="6" w:space="0" w:color="auto"/>
            </w:tcBorders>
          </w:tcPr>
          <w:p w14:paraId="27B0D5A0" w14:textId="77777777" w:rsidR="00A74CDF" w:rsidRPr="00F01347" w:rsidRDefault="00A74CDF" w:rsidP="003A601B">
            <w:pPr>
              <w:pStyle w:val="texto0"/>
              <w:spacing w:line="254" w:lineRule="exact"/>
              <w:ind w:firstLine="0"/>
              <w:rPr>
                <w:rFonts w:ascii="Verdana" w:hAnsi="Verdana"/>
                <w:sz w:val="16"/>
                <w:szCs w:val="16"/>
                <w:lang w:val="es-ES"/>
              </w:rPr>
            </w:pPr>
            <w:proofErr w:type="spellStart"/>
            <w:r w:rsidRPr="00F01347">
              <w:rPr>
                <w:rFonts w:ascii="Verdana" w:hAnsi="Verdana"/>
                <w:sz w:val="16"/>
                <w:szCs w:val="16"/>
                <w:lang w:val="es-ES"/>
              </w:rPr>
              <w:t>Benzo</w:t>
            </w:r>
            <w:proofErr w:type="spellEnd"/>
            <w:r w:rsidRPr="00F01347">
              <w:rPr>
                <w:rFonts w:ascii="Verdana" w:hAnsi="Verdana"/>
                <w:sz w:val="16"/>
                <w:szCs w:val="16"/>
                <w:lang w:val="es-ES"/>
              </w:rPr>
              <w:t>(a)</w:t>
            </w:r>
            <w:proofErr w:type="spellStart"/>
            <w:r w:rsidRPr="00F01347">
              <w:rPr>
                <w:rFonts w:ascii="Verdana" w:hAnsi="Verdana"/>
                <w:sz w:val="16"/>
                <w:szCs w:val="16"/>
                <w:lang w:val="es-ES"/>
              </w:rPr>
              <w:t>pireno</w:t>
            </w:r>
            <w:proofErr w:type="spellEnd"/>
          </w:p>
        </w:tc>
        <w:tc>
          <w:tcPr>
            <w:tcW w:w="3025" w:type="dxa"/>
            <w:tcBorders>
              <w:top w:val="single" w:sz="6" w:space="0" w:color="auto"/>
              <w:left w:val="single" w:sz="6" w:space="0" w:color="auto"/>
              <w:bottom w:val="single" w:sz="6" w:space="0" w:color="auto"/>
              <w:right w:val="single" w:sz="6" w:space="0" w:color="auto"/>
            </w:tcBorders>
          </w:tcPr>
          <w:p w14:paraId="4600242E"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0.70</w:t>
            </w:r>
          </w:p>
        </w:tc>
        <w:tc>
          <w:tcPr>
            <w:tcW w:w="2566" w:type="dxa"/>
            <w:tcBorders>
              <w:top w:val="single" w:sz="6" w:space="0" w:color="auto"/>
              <w:left w:val="single" w:sz="6" w:space="0" w:color="auto"/>
              <w:bottom w:val="single" w:sz="6" w:space="0" w:color="auto"/>
              <w:right w:val="single" w:sz="6" w:space="0" w:color="auto"/>
            </w:tcBorders>
          </w:tcPr>
          <w:p w14:paraId="0E78D660"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51727AB2" w14:textId="77777777">
        <w:trPr>
          <w:trHeight w:val="20"/>
        </w:trPr>
        <w:tc>
          <w:tcPr>
            <w:tcW w:w="8712" w:type="dxa"/>
            <w:gridSpan w:val="3"/>
            <w:tcBorders>
              <w:top w:val="single" w:sz="6" w:space="0" w:color="auto"/>
              <w:left w:val="single" w:sz="6" w:space="0" w:color="auto"/>
              <w:bottom w:val="single" w:sz="6" w:space="0" w:color="auto"/>
              <w:right w:val="single" w:sz="6" w:space="0" w:color="auto"/>
            </w:tcBorders>
          </w:tcPr>
          <w:p w14:paraId="365E0F01" w14:textId="77777777" w:rsidR="00A74CDF" w:rsidRPr="00F01347" w:rsidRDefault="00A74CDF" w:rsidP="003A601B">
            <w:pPr>
              <w:pStyle w:val="texto0"/>
              <w:spacing w:line="254" w:lineRule="exact"/>
              <w:ind w:firstLine="0"/>
              <w:rPr>
                <w:rFonts w:ascii="Verdana" w:hAnsi="Verdana"/>
                <w:b/>
                <w:sz w:val="16"/>
                <w:szCs w:val="16"/>
                <w:lang w:val="es-ES"/>
              </w:rPr>
            </w:pPr>
            <w:r w:rsidRPr="00F01347">
              <w:rPr>
                <w:rFonts w:ascii="Verdana" w:hAnsi="Verdana"/>
                <w:b/>
                <w:sz w:val="16"/>
                <w:szCs w:val="16"/>
                <w:lang w:val="es-ES"/>
              </w:rPr>
              <w:t>PLAGUICIDAS FOSFORADOS</w:t>
            </w:r>
          </w:p>
        </w:tc>
      </w:tr>
      <w:tr w:rsidR="00A74CDF" w:rsidRPr="00F01347" w14:paraId="2272690D" w14:textId="77777777">
        <w:trPr>
          <w:trHeight w:val="20"/>
        </w:trPr>
        <w:tc>
          <w:tcPr>
            <w:tcW w:w="3121" w:type="dxa"/>
            <w:tcBorders>
              <w:top w:val="single" w:sz="6" w:space="0" w:color="auto"/>
              <w:left w:val="single" w:sz="6" w:space="0" w:color="auto"/>
              <w:bottom w:val="single" w:sz="6" w:space="0" w:color="auto"/>
              <w:right w:val="single" w:sz="6" w:space="0" w:color="auto"/>
            </w:tcBorders>
          </w:tcPr>
          <w:p w14:paraId="2FD9D6A2" w14:textId="77777777" w:rsidR="00A74CDF" w:rsidRPr="00F01347" w:rsidRDefault="00A74CDF" w:rsidP="003A601B">
            <w:pPr>
              <w:pStyle w:val="texto0"/>
              <w:spacing w:line="254" w:lineRule="exact"/>
              <w:ind w:firstLine="0"/>
              <w:rPr>
                <w:rFonts w:ascii="Verdana" w:hAnsi="Verdana"/>
                <w:sz w:val="16"/>
                <w:szCs w:val="16"/>
                <w:lang w:val="es-ES"/>
              </w:rPr>
            </w:pPr>
            <w:proofErr w:type="spellStart"/>
            <w:r w:rsidRPr="00F01347">
              <w:rPr>
                <w:rFonts w:ascii="Verdana" w:hAnsi="Verdana"/>
                <w:sz w:val="16"/>
                <w:szCs w:val="16"/>
                <w:lang w:val="es-ES"/>
              </w:rPr>
              <w:t>Clorpirifos</w:t>
            </w:r>
            <w:proofErr w:type="spellEnd"/>
          </w:p>
        </w:tc>
        <w:tc>
          <w:tcPr>
            <w:tcW w:w="3025" w:type="dxa"/>
            <w:tcBorders>
              <w:top w:val="single" w:sz="6" w:space="0" w:color="auto"/>
              <w:left w:val="single" w:sz="6" w:space="0" w:color="auto"/>
              <w:bottom w:val="single" w:sz="6" w:space="0" w:color="auto"/>
              <w:right w:val="single" w:sz="6" w:space="0" w:color="auto"/>
            </w:tcBorders>
          </w:tcPr>
          <w:p w14:paraId="530BC1C4"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30</w:t>
            </w:r>
          </w:p>
        </w:tc>
        <w:tc>
          <w:tcPr>
            <w:tcW w:w="2566" w:type="dxa"/>
            <w:tcBorders>
              <w:top w:val="single" w:sz="6" w:space="0" w:color="auto"/>
              <w:left w:val="single" w:sz="6" w:space="0" w:color="auto"/>
              <w:bottom w:val="single" w:sz="6" w:space="0" w:color="auto"/>
              <w:right w:val="single" w:sz="6" w:space="0" w:color="auto"/>
            </w:tcBorders>
          </w:tcPr>
          <w:p w14:paraId="05156FE5"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1596DBEA" w14:textId="77777777">
        <w:trPr>
          <w:trHeight w:val="20"/>
        </w:trPr>
        <w:tc>
          <w:tcPr>
            <w:tcW w:w="3121" w:type="dxa"/>
            <w:tcBorders>
              <w:top w:val="single" w:sz="6" w:space="0" w:color="auto"/>
              <w:left w:val="single" w:sz="6" w:space="0" w:color="auto"/>
              <w:bottom w:val="single" w:sz="6" w:space="0" w:color="auto"/>
              <w:right w:val="single" w:sz="6" w:space="0" w:color="auto"/>
            </w:tcBorders>
          </w:tcPr>
          <w:p w14:paraId="1A34EECB" w14:textId="77777777" w:rsidR="00A74CDF" w:rsidRPr="00F01347" w:rsidRDefault="00A74CDF" w:rsidP="003A601B">
            <w:pPr>
              <w:pStyle w:val="texto0"/>
              <w:spacing w:line="254" w:lineRule="exact"/>
              <w:ind w:firstLine="0"/>
              <w:rPr>
                <w:rFonts w:ascii="Verdana" w:hAnsi="Verdana"/>
                <w:sz w:val="16"/>
                <w:szCs w:val="16"/>
                <w:lang w:val="es-ES"/>
              </w:rPr>
            </w:pPr>
            <w:proofErr w:type="spellStart"/>
            <w:r w:rsidRPr="00F01347">
              <w:rPr>
                <w:rFonts w:ascii="Verdana" w:hAnsi="Verdana"/>
                <w:sz w:val="16"/>
                <w:szCs w:val="16"/>
                <w:lang w:val="es-ES"/>
              </w:rPr>
              <w:t>Dimetoato</w:t>
            </w:r>
            <w:proofErr w:type="spellEnd"/>
          </w:p>
        </w:tc>
        <w:tc>
          <w:tcPr>
            <w:tcW w:w="3025" w:type="dxa"/>
            <w:tcBorders>
              <w:top w:val="single" w:sz="6" w:space="0" w:color="auto"/>
              <w:left w:val="single" w:sz="6" w:space="0" w:color="auto"/>
              <w:bottom w:val="single" w:sz="6" w:space="0" w:color="auto"/>
              <w:right w:val="single" w:sz="6" w:space="0" w:color="auto"/>
            </w:tcBorders>
          </w:tcPr>
          <w:p w14:paraId="7BB997C4"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6.0</w:t>
            </w:r>
          </w:p>
        </w:tc>
        <w:tc>
          <w:tcPr>
            <w:tcW w:w="2566" w:type="dxa"/>
            <w:tcBorders>
              <w:top w:val="single" w:sz="6" w:space="0" w:color="auto"/>
              <w:left w:val="single" w:sz="6" w:space="0" w:color="auto"/>
              <w:bottom w:val="single" w:sz="6" w:space="0" w:color="auto"/>
              <w:right w:val="single" w:sz="6" w:space="0" w:color="auto"/>
            </w:tcBorders>
          </w:tcPr>
          <w:p w14:paraId="1A0038FC"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558F7010" w14:textId="77777777">
        <w:trPr>
          <w:trHeight w:val="20"/>
        </w:trPr>
        <w:tc>
          <w:tcPr>
            <w:tcW w:w="3121" w:type="dxa"/>
            <w:tcBorders>
              <w:top w:val="single" w:sz="6" w:space="0" w:color="auto"/>
              <w:left w:val="single" w:sz="6" w:space="0" w:color="auto"/>
              <w:bottom w:val="single" w:sz="6" w:space="0" w:color="auto"/>
              <w:right w:val="single" w:sz="6" w:space="0" w:color="auto"/>
            </w:tcBorders>
          </w:tcPr>
          <w:p w14:paraId="577F549B" w14:textId="77777777" w:rsidR="00A74CDF" w:rsidRPr="00F01347" w:rsidRDefault="00A74CDF" w:rsidP="003A601B">
            <w:pPr>
              <w:pStyle w:val="texto0"/>
              <w:spacing w:line="254" w:lineRule="exact"/>
              <w:ind w:firstLine="0"/>
              <w:rPr>
                <w:rFonts w:ascii="Verdana" w:hAnsi="Verdana"/>
                <w:sz w:val="16"/>
                <w:szCs w:val="16"/>
                <w:lang w:val="es-ES"/>
              </w:rPr>
            </w:pPr>
            <w:proofErr w:type="spellStart"/>
            <w:r w:rsidRPr="00F01347">
              <w:rPr>
                <w:rFonts w:ascii="Verdana" w:hAnsi="Verdana"/>
                <w:sz w:val="16"/>
                <w:szCs w:val="16"/>
                <w:lang w:val="es-ES"/>
              </w:rPr>
              <w:t>Molinato</w:t>
            </w:r>
            <w:proofErr w:type="spellEnd"/>
          </w:p>
        </w:tc>
        <w:tc>
          <w:tcPr>
            <w:tcW w:w="3025" w:type="dxa"/>
            <w:tcBorders>
              <w:top w:val="single" w:sz="6" w:space="0" w:color="auto"/>
              <w:left w:val="single" w:sz="6" w:space="0" w:color="auto"/>
              <w:bottom w:val="single" w:sz="6" w:space="0" w:color="auto"/>
              <w:right w:val="single" w:sz="6" w:space="0" w:color="auto"/>
            </w:tcBorders>
          </w:tcPr>
          <w:p w14:paraId="4ADDABC7"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6.0</w:t>
            </w:r>
          </w:p>
        </w:tc>
        <w:tc>
          <w:tcPr>
            <w:tcW w:w="2566" w:type="dxa"/>
            <w:tcBorders>
              <w:top w:val="single" w:sz="6" w:space="0" w:color="auto"/>
              <w:left w:val="single" w:sz="6" w:space="0" w:color="auto"/>
              <w:bottom w:val="single" w:sz="6" w:space="0" w:color="auto"/>
              <w:right w:val="single" w:sz="6" w:space="0" w:color="auto"/>
            </w:tcBorders>
          </w:tcPr>
          <w:p w14:paraId="3513D998"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52134C4B" w14:textId="77777777">
        <w:trPr>
          <w:trHeight w:val="20"/>
        </w:trPr>
        <w:tc>
          <w:tcPr>
            <w:tcW w:w="3121" w:type="dxa"/>
            <w:tcBorders>
              <w:top w:val="single" w:sz="6" w:space="0" w:color="auto"/>
              <w:left w:val="single" w:sz="6" w:space="0" w:color="auto"/>
              <w:bottom w:val="single" w:sz="6" w:space="0" w:color="auto"/>
              <w:right w:val="single" w:sz="6" w:space="0" w:color="auto"/>
            </w:tcBorders>
          </w:tcPr>
          <w:p w14:paraId="7ACAF977" w14:textId="77777777" w:rsidR="00A74CDF" w:rsidRPr="00F01347" w:rsidRDefault="00A74CDF" w:rsidP="003A601B">
            <w:pPr>
              <w:pStyle w:val="texto0"/>
              <w:spacing w:line="254" w:lineRule="exact"/>
              <w:ind w:firstLine="0"/>
              <w:rPr>
                <w:rFonts w:ascii="Verdana" w:hAnsi="Verdana"/>
                <w:sz w:val="16"/>
                <w:szCs w:val="16"/>
                <w:lang w:val="es-ES"/>
              </w:rPr>
            </w:pPr>
            <w:proofErr w:type="spellStart"/>
            <w:r w:rsidRPr="00F01347">
              <w:rPr>
                <w:rFonts w:ascii="Verdana" w:hAnsi="Verdana"/>
                <w:sz w:val="16"/>
                <w:szCs w:val="16"/>
                <w:lang w:val="es-ES"/>
              </w:rPr>
              <w:t>Simazina</w:t>
            </w:r>
            <w:proofErr w:type="spellEnd"/>
          </w:p>
        </w:tc>
        <w:tc>
          <w:tcPr>
            <w:tcW w:w="3025" w:type="dxa"/>
            <w:tcBorders>
              <w:top w:val="single" w:sz="6" w:space="0" w:color="auto"/>
              <w:left w:val="single" w:sz="6" w:space="0" w:color="auto"/>
              <w:bottom w:val="single" w:sz="6" w:space="0" w:color="auto"/>
              <w:right w:val="single" w:sz="6" w:space="0" w:color="auto"/>
            </w:tcBorders>
          </w:tcPr>
          <w:p w14:paraId="57D13A66"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2.0</w:t>
            </w:r>
          </w:p>
        </w:tc>
        <w:tc>
          <w:tcPr>
            <w:tcW w:w="2566" w:type="dxa"/>
            <w:tcBorders>
              <w:top w:val="single" w:sz="6" w:space="0" w:color="auto"/>
              <w:left w:val="single" w:sz="6" w:space="0" w:color="auto"/>
              <w:bottom w:val="single" w:sz="6" w:space="0" w:color="auto"/>
              <w:right w:val="single" w:sz="6" w:space="0" w:color="auto"/>
            </w:tcBorders>
          </w:tcPr>
          <w:p w14:paraId="10BA31C0"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6D5D038E" w14:textId="77777777">
        <w:trPr>
          <w:trHeight w:val="20"/>
        </w:trPr>
        <w:tc>
          <w:tcPr>
            <w:tcW w:w="8712" w:type="dxa"/>
            <w:gridSpan w:val="3"/>
            <w:tcBorders>
              <w:top w:val="single" w:sz="6" w:space="0" w:color="auto"/>
              <w:left w:val="single" w:sz="6" w:space="0" w:color="auto"/>
              <w:bottom w:val="single" w:sz="6" w:space="0" w:color="auto"/>
              <w:right w:val="single" w:sz="6" w:space="0" w:color="auto"/>
            </w:tcBorders>
          </w:tcPr>
          <w:p w14:paraId="4962C644"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b/>
                <w:sz w:val="16"/>
                <w:szCs w:val="16"/>
                <w:lang w:val="es-ES"/>
              </w:rPr>
              <w:t>COMPUESTOS ORGÁNICOS SEMIVOLÁTILES NO CLORADOS</w:t>
            </w:r>
          </w:p>
        </w:tc>
      </w:tr>
      <w:tr w:rsidR="00A74CDF" w:rsidRPr="00F01347" w14:paraId="6CBD3A4F" w14:textId="77777777">
        <w:trPr>
          <w:trHeight w:val="20"/>
        </w:trPr>
        <w:tc>
          <w:tcPr>
            <w:tcW w:w="3121" w:type="dxa"/>
            <w:tcBorders>
              <w:top w:val="single" w:sz="6" w:space="0" w:color="auto"/>
              <w:left w:val="single" w:sz="6" w:space="0" w:color="auto"/>
              <w:bottom w:val="single" w:sz="6" w:space="0" w:color="auto"/>
              <w:right w:val="single" w:sz="6" w:space="0" w:color="auto"/>
            </w:tcBorders>
          </w:tcPr>
          <w:p w14:paraId="245E4B29"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Di-(2-Etilhexil) ftalato</w:t>
            </w:r>
          </w:p>
        </w:tc>
        <w:tc>
          <w:tcPr>
            <w:tcW w:w="3025" w:type="dxa"/>
            <w:tcBorders>
              <w:top w:val="single" w:sz="6" w:space="0" w:color="auto"/>
              <w:left w:val="single" w:sz="6" w:space="0" w:color="auto"/>
              <w:bottom w:val="single" w:sz="6" w:space="0" w:color="auto"/>
              <w:right w:val="single" w:sz="6" w:space="0" w:color="auto"/>
            </w:tcBorders>
          </w:tcPr>
          <w:p w14:paraId="50761F03"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8.0</w:t>
            </w:r>
          </w:p>
        </w:tc>
        <w:tc>
          <w:tcPr>
            <w:tcW w:w="2566" w:type="dxa"/>
            <w:tcBorders>
              <w:top w:val="single" w:sz="6" w:space="0" w:color="auto"/>
              <w:left w:val="single" w:sz="6" w:space="0" w:color="auto"/>
              <w:bottom w:val="single" w:sz="6" w:space="0" w:color="auto"/>
              <w:right w:val="single" w:sz="6" w:space="0" w:color="auto"/>
            </w:tcBorders>
          </w:tcPr>
          <w:p w14:paraId="5E909BFE"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7B9A6C0A" w14:textId="77777777">
        <w:trPr>
          <w:trHeight w:val="20"/>
        </w:trPr>
        <w:tc>
          <w:tcPr>
            <w:tcW w:w="8712" w:type="dxa"/>
            <w:gridSpan w:val="3"/>
            <w:tcBorders>
              <w:top w:val="single" w:sz="6" w:space="0" w:color="auto"/>
              <w:left w:val="single" w:sz="6" w:space="0" w:color="auto"/>
              <w:bottom w:val="single" w:sz="6" w:space="0" w:color="auto"/>
              <w:right w:val="single" w:sz="6" w:space="0" w:color="auto"/>
            </w:tcBorders>
          </w:tcPr>
          <w:p w14:paraId="3272DD24"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b/>
                <w:sz w:val="16"/>
                <w:szCs w:val="16"/>
                <w:lang w:val="es-ES"/>
              </w:rPr>
              <w:t>PLAGUICIDAS NO CLORADOS DERIVADOS DE UREA</w:t>
            </w:r>
          </w:p>
        </w:tc>
      </w:tr>
      <w:tr w:rsidR="00A74CDF" w:rsidRPr="00F01347" w14:paraId="6BE390F0" w14:textId="77777777">
        <w:trPr>
          <w:trHeight w:val="20"/>
        </w:trPr>
        <w:tc>
          <w:tcPr>
            <w:tcW w:w="3121" w:type="dxa"/>
            <w:tcBorders>
              <w:top w:val="single" w:sz="6" w:space="0" w:color="auto"/>
              <w:left w:val="single" w:sz="6" w:space="0" w:color="auto"/>
              <w:bottom w:val="single" w:sz="6" w:space="0" w:color="auto"/>
              <w:right w:val="single" w:sz="6" w:space="0" w:color="auto"/>
            </w:tcBorders>
          </w:tcPr>
          <w:p w14:paraId="6E2FC426" w14:textId="77777777" w:rsidR="00A74CDF" w:rsidRPr="00F01347" w:rsidRDefault="00A74CDF" w:rsidP="003A601B">
            <w:pPr>
              <w:pStyle w:val="texto0"/>
              <w:spacing w:line="254" w:lineRule="exact"/>
              <w:ind w:firstLine="0"/>
              <w:rPr>
                <w:rFonts w:ascii="Verdana" w:hAnsi="Verdana"/>
                <w:sz w:val="16"/>
                <w:szCs w:val="16"/>
                <w:lang w:val="es-ES"/>
              </w:rPr>
            </w:pPr>
            <w:proofErr w:type="spellStart"/>
            <w:r w:rsidRPr="00F01347">
              <w:rPr>
                <w:rFonts w:ascii="Verdana" w:hAnsi="Verdana"/>
                <w:sz w:val="16"/>
                <w:szCs w:val="16"/>
                <w:lang w:val="es-ES"/>
              </w:rPr>
              <w:t>Isoproturon</w:t>
            </w:r>
            <w:proofErr w:type="spellEnd"/>
            <w:r w:rsidRPr="00F01347">
              <w:rPr>
                <w:rFonts w:ascii="Verdana" w:hAnsi="Verdana"/>
                <w:sz w:val="16"/>
                <w:szCs w:val="16"/>
                <w:lang w:val="es-ES"/>
              </w:rPr>
              <w:t xml:space="preserve"> </w:t>
            </w:r>
          </w:p>
        </w:tc>
        <w:tc>
          <w:tcPr>
            <w:tcW w:w="3025" w:type="dxa"/>
            <w:tcBorders>
              <w:top w:val="single" w:sz="6" w:space="0" w:color="auto"/>
              <w:left w:val="single" w:sz="6" w:space="0" w:color="auto"/>
              <w:bottom w:val="single" w:sz="6" w:space="0" w:color="auto"/>
              <w:right w:val="single" w:sz="6" w:space="0" w:color="auto"/>
            </w:tcBorders>
          </w:tcPr>
          <w:p w14:paraId="3984E436"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9.0</w:t>
            </w:r>
          </w:p>
        </w:tc>
        <w:tc>
          <w:tcPr>
            <w:tcW w:w="2566" w:type="dxa"/>
            <w:tcBorders>
              <w:top w:val="single" w:sz="6" w:space="0" w:color="auto"/>
              <w:left w:val="single" w:sz="6" w:space="0" w:color="auto"/>
              <w:bottom w:val="single" w:sz="6" w:space="0" w:color="auto"/>
              <w:right w:val="single" w:sz="6" w:space="0" w:color="auto"/>
            </w:tcBorders>
          </w:tcPr>
          <w:p w14:paraId="3A33AF94"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bl>
    <w:p w14:paraId="008A99B6" w14:textId="77777777" w:rsidR="008E0FA9" w:rsidRPr="00F01347" w:rsidRDefault="008E0FA9" w:rsidP="008E0FA9">
      <w:pPr>
        <w:pStyle w:val="texto0"/>
        <w:spacing w:line="254" w:lineRule="exact"/>
        <w:ind w:firstLine="0"/>
        <w:jc w:val="center"/>
        <w:rPr>
          <w:rFonts w:ascii="Verdana" w:hAnsi="Verdana"/>
          <w:b/>
          <w:sz w:val="16"/>
          <w:szCs w:val="16"/>
          <w:lang w:val="en-US"/>
        </w:rPr>
      </w:pPr>
      <w:r w:rsidRPr="00F01347">
        <w:rPr>
          <w:rFonts w:ascii="Verdana" w:hAnsi="Verdana"/>
          <w:b/>
          <w:sz w:val="16"/>
          <w:szCs w:val="16"/>
          <w:lang w:val="en-US"/>
        </w:rPr>
        <w:t xml:space="preserve">Table A.2 Permissible limits of </w:t>
      </w:r>
      <w:r w:rsidRPr="00F01347">
        <w:rPr>
          <w:rFonts w:ascii="Verdana" w:hAnsi="Verdana"/>
          <w:b/>
          <w:color w:val="000000"/>
          <w:sz w:val="16"/>
          <w:szCs w:val="16"/>
          <w:lang w:val="en-US"/>
        </w:rPr>
        <w:t>non-halogenated compounds or organics</w:t>
      </w:r>
    </w:p>
    <w:tbl>
      <w:tblPr>
        <w:tblW w:w="8715" w:type="dxa"/>
        <w:tblInd w:w="144" w:type="dxa"/>
        <w:tblLayout w:type="fixed"/>
        <w:tblCellMar>
          <w:left w:w="70" w:type="dxa"/>
          <w:right w:w="70" w:type="dxa"/>
        </w:tblCellMar>
        <w:tblLook w:val="04A0" w:firstRow="1" w:lastRow="0" w:firstColumn="1" w:lastColumn="0" w:noHBand="0" w:noVBand="1"/>
      </w:tblPr>
      <w:tblGrid>
        <w:gridCol w:w="3122"/>
        <w:gridCol w:w="3026"/>
        <w:gridCol w:w="2567"/>
      </w:tblGrid>
      <w:tr w:rsidR="008E0FA9" w:rsidRPr="00F01347" w14:paraId="4C3650CD" w14:textId="77777777" w:rsidTr="008E0FA9">
        <w:trPr>
          <w:trHeight w:val="20"/>
        </w:trPr>
        <w:tc>
          <w:tcPr>
            <w:tcW w:w="3121" w:type="dxa"/>
            <w:tcBorders>
              <w:top w:val="single" w:sz="6" w:space="0" w:color="auto"/>
              <w:left w:val="single" w:sz="6" w:space="0" w:color="auto"/>
              <w:bottom w:val="single" w:sz="6" w:space="0" w:color="auto"/>
              <w:right w:val="single" w:sz="6" w:space="0" w:color="auto"/>
            </w:tcBorders>
            <w:noWrap/>
            <w:hideMark/>
          </w:tcPr>
          <w:p w14:paraId="60379483" w14:textId="77777777" w:rsidR="008E0FA9" w:rsidRPr="00F01347" w:rsidRDefault="008E0FA9">
            <w:pPr>
              <w:pStyle w:val="texto0"/>
              <w:spacing w:line="254" w:lineRule="exact"/>
              <w:ind w:firstLine="0"/>
              <w:jc w:val="center"/>
              <w:rPr>
                <w:rFonts w:ascii="Verdana" w:hAnsi="Verdana"/>
                <w:b/>
                <w:sz w:val="16"/>
                <w:szCs w:val="16"/>
                <w:lang w:val="en-US"/>
              </w:rPr>
            </w:pPr>
            <w:r w:rsidRPr="00F01347">
              <w:rPr>
                <w:rFonts w:ascii="Verdana" w:hAnsi="Verdana"/>
                <w:b/>
                <w:color w:val="000000"/>
                <w:sz w:val="16"/>
                <w:szCs w:val="16"/>
                <w:lang w:val="en-US"/>
              </w:rPr>
              <w:t>Parameters</w:t>
            </w:r>
          </w:p>
        </w:tc>
        <w:tc>
          <w:tcPr>
            <w:tcW w:w="3025" w:type="dxa"/>
            <w:tcBorders>
              <w:top w:val="single" w:sz="6" w:space="0" w:color="auto"/>
              <w:left w:val="single" w:sz="6" w:space="0" w:color="auto"/>
              <w:bottom w:val="single" w:sz="6" w:space="0" w:color="auto"/>
              <w:right w:val="single" w:sz="6" w:space="0" w:color="auto"/>
            </w:tcBorders>
            <w:hideMark/>
          </w:tcPr>
          <w:p w14:paraId="4F4944AD" w14:textId="77777777" w:rsidR="008E0FA9" w:rsidRPr="00F01347" w:rsidRDefault="008E0FA9">
            <w:pPr>
              <w:pStyle w:val="texto0"/>
              <w:spacing w:line="254" w:lineRule="exact"/>
              <w:ind w:firstLine="0"/>
              <w:jc w:val="center"/>
              <w:rPr>
                <w:rFonts w:ascii="Verdana" w:hAnsi="Verdana"/>
                <w:b/>
                <w:sz w:val="16"/>
                <w:szCs w:val="16"/>
                <w:lang w:val="en-US"/>
              </w:rPr>
            </w:pPr>
            <w:r w:rsidRPr="00F01347">
              <w:rPr>
                <w:rFonts w:ascii="Verdana" w:hAnsi="Verdana"/>
                <w:b/>
                <w:color w:val="000000"/>
                <w:sz w:val="16"/>
                <w:szCs w:val="16"/>
                <w:lang w:val="en-US"/>
              </w:rPr>
              <w:t>Permissible limit</w:t>
            </w:r>
          </w:p>
        </w:tc>
        <w:tc>
          <w:tcPr>
            <w:tcW w:w="2566" w:type="dxa"/>
            <w:tcBorders>
              <w:top w:val="single" w:sz="6" w:space="0" w:color="auto"/>
              <w:left w:val="single" w:sz="6" w:space="0" w:color="auto"/>
              <w:bottom w:val="single" w:sz="6" w:space="0" w:color="auto"/>
              <w:right w:val="single" w:sz="6" w:space="0" w:color="auto"/>
            </w:tcBorders>
            <w:hideMark/>
          </w:tcPr>
          <w:p w14:paraId="48DC730B" w14:textId="77777777" w:rsidR="008E0FA9" w:rsidRPr="00F01347" w:rsidRDefault="008E0FA9">
            <w:pPr>
              <w:pStyle w:val="texto0"/>
              <w:spacing w:line="254" w:lineRule="exact"/>
              <w:ind w:firstLine="0"/>
              <w:jc w:val="center"/>
              <w:rPr>
                <w:rFonts w:ascii="Verdana" w:hAnsi="Verdana"/>
                <w:b/>
                <w:sz w:val="16"/>
                <w:szCs w:val="16"/>
                <w:lang w:val="en-US"/>
              </w:rPr>
            </w:pPr>
            <w:r w:rsidRPr="00F01347">
              <w:rPr>
                <w:rFonts w:ascii="Verdana" w:hAnsi="Verdana"/>
                <w:b/>
                <w:color w:val="000000"/>
                <w:sz w:val="16"/>
                <w:szCs w:val="16"/>
                <w:lang w:val="en-US"/>
              </w:rPr>
              <w:t>Units</w:t>
            </w:r>
          </w:p>
        </w:tc>
      </w:tr>
      <w:tr w:rsidR="008E0FA9" w:rsidRPr="00F01347" w14:paraId="10FD2C5C" w14:textId="77777777" w:rsidTr="008E0FA9">
        <w:trPr>
          <w:trHeight w:val="20"/>
        </w:trPr>
        <w:tc>
          <w:tcPr>
            <w:tcW w:w="8712" w:type="dxa"/>
            <w:gridSpan w:val="3"/>
            <w:tcBorders>
              <w:top w:val="single" w:sz="6" w:space="0" w:color="auto"/>
              <w:left w:val="single" w:sz="6" w:space="0" w:color="auto"/>
              <w:bottom w:val="single" w:sz="6" w:space="0" w:color="auto"/>
              <w:right w:val="single" w:sz="6" w:space="0" w:color="auto"/>
            </w:tcBorders>
            <w:hideMark/>
          </w:tcPr>
          <w:p w14:paraId="5AC6A036" w14:textId="77777777" w:rsidR="008E0FA9" w:rsidRPr="00F01347" w:rsidRDefault="008E0FA9">
            <w:pPr>
              <w:pStyle w:val="texto0"/>
              <w:spacing w:line="254" w:lineRule="exact"/>
              <w:ind w:firstLine="0"/>
              <w:rPr>
                <w:rFonts w:ascii="Verdana" w:hAnsi="Verdana"/>
                <w:b/>
                <w:sz w:val="16"/>
                <w:szCs w:val="16"/>
                <w:lang w:val="en-US"/>
              </w:rPr>
            </w:pPr>
            <w:r w:rsidRPr="00F01347">
              <w:rPr>
                <w:rFonts w:ascii="Verdana" w:hAnsi="Verdana"/>
                <w:b/>
                <w:sz w:val="16"/>
                <w:szCs w:val="16"/>
                <w:lang w:val="en-US"/>
              </w:rPr>
              <w:t>CARBAMATES AND SEMIVOLATILE ORGANIC COMPOUNDS</w:t>
            </w:r>
          </w:p>
        </w:tc>
      </w:tr>
      <w:tr w:rsidR="008E0FA9" w:rsidRPr="00F01347" w14:paraId="7DA3A7C2" w14:textId="77777777" w:rsidTr="008E0FA9">
        <w:trPr>
          <w:trHeight w:val="20"/>
        </w:trPr>
        <w:tc>
          <w:tcPr>
            <w:tcW w:w="3121" w:type="dxa"/>
            <w:tcBorders>
              <w:top w:val="single" w:sz="6" w:space="0" w:color="auto"/>
              <w:left w:val="single" w:sz="6" w:space="0" w:color="auto"/>
              <w:bottom w:val="single" w:sz="6" w:space="0" w:color="auto"/>
              <w:right w:val="single" w:sz="6" w:space="0" w:color="auto"/>
            </w:tcBorders>
            <w:hideMark/>
          </w:tcPr>
          <w:p w14:paraId="5B9B78BF"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 xml:space="preserve">Aldicarb </w:t>
            </w:r>
          </w:p>
        </w:tc>
        <w:tc>
          <w:tcPr>
            <w:tcW w:w="3025" w:type="dxa"/>
            <w:tcBorders>
              <w:top w:val="single" w:sz="6" w:space="0" w:color="auto"/>
              <w:left w:val="single" w:sz="6" w:space="0" w:color="auto"/>
              <w:bottom w:val="single" w:sz="6" w:space="0" w:color="auto"/>
              <w:right w:val="single" w:sz="6" w:space="0" w:color="auto"/>
            </w:tcBorders>
            <w:hideMark/>
          </w:tcPr>
          <w:p w14:paraId="7674217B"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10</w:t>
            </w:r>
          </w:p>
        </w:tc>
        <w:tc>
          <w:tcPr>
            <w:tcW w:w="2566" w:type="dxa"/>
            <w:tcBorders>
              <w:top w:val="single" w:sz="6" w:space="0" w:color="auto"/>
              <w:left w:val="single" w:sz="6" w:space="0" w:color="auto"/>
              <w:bottom w:val="single" w:sz="6" w:space="0" w:color="auto"/>
              <w:right w:val="single" w:sz="6" w:space="0" w:color="auto"/>
            </w:tcBorders>
            <w:hideMark/>
          </w:tcPr>
          <w:p w14:paraId="603573AD"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6E0E6393" w14:textId="77777777" w:rsidTr="008E0FA9">
        <w:trPr>
          <w:trHeight w:val="20"/>
        </w:trPr>
        <w:tc>
          <w:tcPr>
            <w:tcW w:w="3121" w:type="dxa"/>
            <w:tcBorders>
              <w:top w:val="single" w:sz="6" w:space="0" w:color="auto"/>
              <w:left w:val="single" w:sz="6" w:space="0" w:color="auto"/>
              <w:bottom w:val="single" w:sz="6" w:space="0" w:color="auto"/>
              <w:right w:val="single" w:sz="6" w:space="0" w:color="auto"/>
            </w:tcBorders>
            <w:hideMark/>
          </w:tcPr>
          <w:p w14:paraId="0A67BD9C"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Carbofuran</w:t>
            </w:r>
          </w:p>
        </w:tc>
        <w:tc>
          <w:tcPr>
            <w:tcW w:w="3025" w:type="dxa"/>
            <w:tcBorders>
              <w:top w:val="single" w:sz="6" w:space="0" w:color="auto"/>
              <w:left w:val="single" w:sz="6" w:space="0" w:color="auto"/>
              <w:bottom w:val="single" w:sz="6" w:space="0" w:color="auto"/>
              <w:right w:val="single" w:sz="6" w:space="0" w:color="auto"/>
            </w:tcBorders>
            <w:hideMark/>
          </w:tcPr>
          <w:p w14:paraId="48E1AE29"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7.0</w:t>
            </w:r>
          </w:p>
        </w:tc>
        <w:tc>
          <w:tcPr>
            <w:tcW w:w="2566" w:type="dxa"/>
            <w:tcBorders>
              <w:top w:val="single" w:sz="6" w:space="0" w:color="auto"/>
              <w:left w:val="single" w:sz="6" w:space="0" w:color="auto"/>
              <w:bottom w:val="single" w:sz="6" w:space="0" w:color="auto"/>
              <w:right w:val="single" w:sz="6" w:space="0" w:color="auto"/>
            </w:tcBorders>
            <w:hideMark/>
          </w:tcPr>
          <w:p w14:paraId="14E34658"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18154211" w14:textId="77777777" w:rsidTr="008E0FA9">
        <w:trPr>
          <w:trHeight w:val="20"/>
        </w:trPr>
        <w:tc>
          <w:tcPr>
            <w:tcW w:w="3121" w:type="dxa"/>
            <w:tcBorders>
              <w:top w:val="single" w:sz="6" w:space="0" w:color="auto"/>
              <w:left w:val="single" w:sz="6" w:space="0" w:color="auto"/>
              <w:bottom w:val="single" w:sz="6" w:space="0" w:color="auto"/>
              <w:right w:val="single" w:sz="6" w:space="0" w:color="auto"/>
            </w:tcBorders>
            <w:hideMark/>
          </w:tcPr>
          <w:p w14:paraId="390EF4CA" w14:textId="77777777" w:rsidR="008E0FA9" w:rsidRPr="00F01347" w:rsidRDefault="008E0FA9">
            <w:pPr>
              <w:pStyle w:val="texto0"/>
              <w:spacing w:line="254" w:lineRule="exact"/>
              <w:ind w:firstLine="0"/>
              <w:rPr>
                <w:rFonts w:ascii="Verdana" w:hAnsi="Verdana"/>
                <w:sz w:val="16"/>
                <w:szCs w:val="16"/>
                <w:lang w:val="en-US"/>
              </w:rPr>
            </w:pPr>
            <w:proofErr w:type="spellStart"/>
            <w:r w:rsidRPr="00F01347">
              <w:rPr>
                <w:rFonts w:ascii="Verdana" w:hAnsi="Verdana"/>
                <w:sz w:val="16"/>
                <w:szCs w:val="16"/>
                <w:lang w:val="en-US"/>
              </w:rPr>
              <w:t>Edetic</w:t>
            </w:r>
            <w:proofErr w:type="spellEnd"/>
            <w:r w:rsidRPr="00F01347">
              <w:rPr>
                <w:rFonts w:ascii="Verdana" w:hAnsi="Verdana"/>
                <w:sz w:val="16"/>
                <w:szCs w:val="16"/>
                <w:lang w:val="en-US"/>
              </w:rPr>
              <w:t xml:space="preserve"> acid</w:t>
            </w:r>
          </w:p>
        </w:tc>
        <w:tc>
          <w:tcPr>
            <w:tcW w:w="3025" w:type="dxa"/>
            <w:tcBorders>
              <w:top w:val="single" w:sz="6" w:space="0" w:color="auto"/>
              <w:left w:val="single" w:sz="6" w:space="0" w:color="auto"/>
              <w:bottom w:val="single" w:sz="6" w:space="0" w:color="auto"/>
              <w:right w:val="single" w:sz="6" w:space="0" w:color="auto"/>
            </w:tcBorders>
            <w:hideMark/>
          </w:tcPr>
          <w:p w14:paraId="0DD1C2ED"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600</w:t>
            </w:r>
          </w:p>
        </w:tc>
        <w:tc>
          <w:tcPr>
            <w:tcW w:w="2566" w:type="dxa"/>
            <w:tcBorders>
              <w:top w:val="single" w:sz="6" w:space="0" w:color="auto"/>
              <w:left w:val="single" w:sz="6" w:space="0" w:color="auto"/>
              <w:bottom w:val="single" w:sz="6" w:space="0" w:color="auto"/>
              <w:right w:val="single" w:sz="6" w:space="0" w:color="auto"/>
            </w:tcBorders>
            <w:hideMark/>
          </w:tcPr>
          <w:p w14:paraId="432FB3E5"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60377F32" w14:textId="77777777" w:rsidTr="008E0FA9">
        <w:trPr>
          <w:trHeight w:val="20"/>
        </w:trPr>
        <w:tc>
          <w:tcPr>
            <w:tcW w:w="3121" w:type="dxa"/>
            <w:tcBorders>
              <w:top w:val="single" w:sz="6" w:space="0" w:color="auto"/>
              <w:left w:val="single" w:sz="6" w:space="0" w:color="auto"/>
              <w:bottom w:val="single" w:sz="6" w:space="0" w:color="auto"/>
              <w:right w:val="single" w:sz="6" w:space="0" w:color="auto"/>
            </w:tcBorders>
            <w:hideMark/>
          </w:tcPr>
          <w:p w14:paraId="029452E8"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Nitrilotriacetic acid</w:t>
            </w:r>
          </w:p>
        </w:tc>
        <w:tc>
          <w:tcPr>
            <w:tcW w:w="3025" w:type="dxa"/>
            <w:tcBorders>
              <w:top w:val="single" w:sz="6" w:space="0" w:color="auto"/>
              <w:left w:val="single" w:sz="6" w:space="0" w:color="auto"/>
              <w:bottom w:val="single" w:sz="6" w:space="0" w:color="auto"/>
              <w:right w:val="single" w:sz="6" w:space="0" w:color="auto"/>
            </w:tcBorders>
            <w:hideMark/>
          </w:tcPr>
          <w:p w14:paraId="0F3D41C3"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200</w:t>
            </w:r>
          </w:p>
        </w:tc>
        <w:tc>
          <w:tcPr>
            <w:tcW w:w="2566" w:type="dxa"/>
            <w:tcBorders>
              <w:top w:val="single" w:sz="6" w:space="0" w:color="auto"/>
              <w:left w:val="single" w:sz="6" w:space="0" w:color="auto"/>
              <w:bottom w:val="single" w:sz="6" w:space="0" w:color="auto"/>
              <w:right w:val="single" w:sz="6" w:space="0" w:color="auto"/>
            </w:tcBorders>
            <w:hideMark/>
          </w:tcPr>
          <w:p w14:paraId="3C108127"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22E85A7A" w14:textId="77777777" w:rsidTr="008E0FA9">
        <w:trPr>
          <w:trHeight w:val="20"/>
        </w:trPr>
        <w:tc>
          <w:tcPr>
            <w:tcW w:w="3121" w:type="dxa"/>
            <w:tcBorders>
              <w:top w:val="single" w:sz="6" w:space="0" w:color="auto"/>
              <w:left w:val="single" w:sz="6" w:space="0" w:color="auto"/>
              <w:bottom w:val="single" w:sz="6" w:space="0" w:color="auto"/>
              <w:right w:val="single" w:sz="6" w:space="0" w:color="auto"/>
            </w:tcBorders>
            <w:hideMark/>
          </w:tcPr>
          <w:p w14:paraId="4C178CB0"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Acrylamide</w:t>
            </w:r>
          </w:p>
        </w:tc>
        <w:tc>
          <w:tcPr>
            <w:tcW w:w="3025" w:type="dxa"/>
            <w:tcBorders>
              <w:top w:val="single" w:sz="6" w:space="0" w:color="auto"/>
              <w:left w:val="single" w:sz="6" w:space="0" w:color="auto"/>
              <w:bottom w:val="single" w:sz="6" w:space="0" w:color="auto"/>
              <w:right w:val="single" w:sz="6" w:space="0" w:color="auto"/>
            </w:tcBorders>
            <w:hideMark/>
          </w:tcPr>
          <w:p w14:paraId="3E7D0884"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0.50</w:t>
            </w:r>
          </w:p>
        </w:tc>
        <w:tc>
          <w:tcPr>
            <w:tcW w:w="2566" w:type="dxa"/>
            <w:tcBorders>
              <w:top w:val="single" w:sz="6" w:space="0" w:color="auto"/>
              <w:left w:val="single" w:sz="6" w:space="0" w:color="auto"/>
              <w:bottom w:val="single" w:sz="6" w:space="0" w:color="auto"/>
              <w:right w:val="single" w:sz="6" w:space="0" w:color="auto"/>
            </w:tcBorders>
            <w:hideMark/>
          </w:tcPr>
          <w:p w14:paraId="5DBC7BDB"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27613EDA" w14:textId="77777777" w:rsidTr="008E0FA9">
        <w:trPr>
          <w:trHeight w:val="20"/>
        </w:trPr>
        <w:tc>
          <w:tcPr>
            <w:tcW w:w="8712" w:type="dxa"/>
            <w:gridSpan w:val="3"/>
            <w:tcBorders>
              <w:top w:val="single" w:sz="6" w:space="0" w:color="auto"/>
              <w:left w:val="single" w:sz="6" w:space="0" w:color="auto"/>
              <w:bottom w:val="single" w:sz="6" w:space="0" w:color="auto"/>
              <w:right w:val="single" w:sz="6" w:space="0" w:color="auto"/>
            </w:tcBorders>
            <w:hideMark/>
          </w:tcPr>
          <w:p w14:paraId="46E3AC99" w14:textId="77777777" w:rsidR="008E0FA9" w:rsidRPr="00F01347" w:rsidRDefault="008E0FA9">
            <w:pPr>
              <w:pStyle w:val="texto0"/>
              <w:spacing w:line="254" w:lineRule="exact"/>
              <w:ind w:firstLine="0"/>
              <w:rPr>
                <w:rFonts w:ascii="Verdana" w:hAnsi="Verdana"/>
                <w:b/>
                <w:sz w:val="16"/>
                <w:szCs w:val="16"/>
                <w:lang w:val="en-US"/>
              </w:rPr>
            </w:pPr>
            <w:r w:rsidRPr="00F01347">
              <w:rPr>
                <w:rFonts w:ascii="Verdana" w:hAnsi="Verdana"/>
                <w:b/>
                <w:sz w:val="16"/>
                <w:szCs w:val="16"/>
                <w:lang w:val="en-US"/>
              </w:rPr>
              <w:t>POLYAROMATIC HYDROCARBONS</w:t>
            </w:r>
          </w:p>
        </w:tc>
      </w:tr>
      <w:tr w:rsidR="008E0FA9" w:rsidRPr="00F01347" w14:paraId="18097C5D" w14:textId="77777777" w:rsidTr="008E0FA9">
        <w:trPr>
          <w:trHeight w:val="20"/>
        </w:trPr>
        <w:tc>
          <w:tcPr>
            <w:tcW w:w="3121" w:type="dxa"/>
            <w:tcBorders>
              <w:top w:val="single" w:sz="6" w:space="0" w:color="auto"/>
              <w:left w:val="single" w:sz="6" w:space="0" w:color="auto"/>
              <w:bottom w:val="single" w:sz="6" w:space="0" w:color="auto"/>
              <w:right w:val="single" w:sz="6" w:space="0" w:color="auto"/>
            </w:tcBorders>
            <w:hideMark/>
          </w:tcPr>
          <w:p w14:paraId="58B4FFCB"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Benzo (a) pyrene</w:t>
            </w:r>
          </w:p>
        </w:tc>
        <w:tc>
          <w:tcPr>
            <w:tcW w:w="3025" w:type="dxa"/>
            <w:tcBorders>
              <w:top w:val="single" w:sz="6" w:space="0" w:color="auto"/>
              <w:left w:val="single" w:sz="6" w:space="0" w:color="auto"/>
              <w:bottom w:val="single" w:sz="6" w:space="0" w:color="auto"/>
              <w:right w:val="single" w:sz="6" w:space="0" w:color="auto"/>
            </w:tcBorders>
            <w:hideMark/>
          </w:tcPr>
          <w:p w14:paraId="32C5FD57"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0.70</w:t>
            </w:r>
          </w:p>
        </w:tc>
        <w:tc>
          <w:tcPr>
            <w:tcW w:w="2566" w:type="dxa"/>
            <w:tcBorders>
              <w:top w:val="single" w:sz="6" w:space="0" w:color="auto"/>
              <w:left w:val="single" w:sz="6" w:space="0" w:color="auto"/>
              <w:bottom w:val="single" w:sz="6" w:space="0" w:color="auto"/>
              <w:right w:val="single" w:sz="6" w:space="0" w:color="auto"/>
            </w:tcBorders>
            <w:hideMark/>
          </w:tcPr>
          <w:p w14:paraId="7094D057"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4E4A541D" w14:textId="77777777" w:rsidTr="008E0FA9">
        <w:trPr>
          <w:trHeight w:val="20"/>
        </w:trPr>
        <w:tc>
          <w:tcPr>
            <w:tcW w:w="8712" w:type="dxa"/>
            <w:gridSpan w:val="3"/>
            <w:tcBorders>
              <w:top w:val="single" w:sz="6" w:space="0" w:color="auto"/>
              <w:left w:val="single" w:sz="6" w:space="0" w:color="auto"/>
              <w:bottom w:val="single" w:sz="6" w:space="0" w:color="auto"/>
              <w:right w:val="single" w:sz="6" w:space="0" w:color="auto"/>
            </w:tcBorders>
            <w:hideMark/>
          </w:tcPr>
          <w:p w14:paraId="3EF4BED9" w14:textId="77777777" w:rsidR="008E0FA9" w:rsidRPr="00F01347" w:rsidRDefault="008E0FA9">
            <w:pPr>
              <w:pStyle w:val="texto0"/>
              <w:spacing w:line="254" w:lineRule="exact"/>
              <w:ind w:firstLine="0"/>
              <w:rPr>
                <w:rFonts w:ascii="Verdana" w:hAnsi="Verdana"/>
                <w:b/>
                <w:sz w:val="16"/>
                <w:szCs w:val="16"/>
                <w:lang w:val="en-US"/>
              </w:rPr>
            </w:pPr>
            <w:r w:rsidRPr="00F01347">
              <w:rPr>
                <w:rFonts w:ascii="Verdana" w:hAnsi="Verdana"/>
                <w:b/>
                <w:sz w:val="16"/>
                <w:szCs w:val="16"/>
                <w:lang w:val="en-US"/>
              </w:rPr>
              <w:t>PHOSPHORUS PESTICIDES</w:t>
            </w:r>
          </w:p>
        </w:tc>
      </w:tr>
      <w:tr w:rsidR="008E0FA9" w:rsidRPr="00F01347" w14:paraId="4C37C693" w14:textId="77777777" w:rsidTr="008E0FA9">
        <w:trPr>
          <w:trHeight w:val="20"/>
        </w:trPr>
        <w:tc>
          <w:tcPr>
            <w:tcW w:w="3121" w:type="dxa"/>
            <w:tcBorders>
              <w:top w:val="single" w:sz="6" w:space="0" w:color="auto"/>
              <w:left w:val="single" w:sz="6" w:space="0" w:color="auto"/>
              <w:bottom w:val="single" w:sz="6" w:space="0" w:color="auto"/>
              <w:right w:val="single" w:sz="6" w:space="0" w:color="auto"/>
            </w:tcBorders>
            <w:hideMark/>
          </w:tcPr>
          <w:p w14:paraId="1489A8BD"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Chlorpyrifos</w:t>
            </w:r>
          </w:p>
        </w:tc>
        <w:tc>
          <w:tcPr>
            <w:tcW w:w="3025" w:type="dxa"/>
            <w:tcBorders>
              <w:top w:val="single" w:sz="6" w:space="0" w:color="auto"/>
              <w:left w:val="single" w:sz="6" w:space="0" w:color="auto"/>
              <w:bottom w:val="single" w:sz="6" w:space="0" w:color="auto"/>
              <w:right w:val="single" w:sz="6" w:space="0" w:color="auto"/>
            </w:tcBorders>
            <w:hideMark/>
          </w:tcPr>
          <w:p w14:paraId="001B2A17"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30</w:t>
            </w:r>
          </w:p>
        </w:tc>
        <w:tc>
          <w:tcPr>
            <w:tcW w:w="2566" w:type="dxa"/>
            <w:tcBorders>
              <w:top w:val="single" w:sz="6" w:space="0" w:color="auto"/>
              <w:left w:val="single" w:sz="6" w:space="0" w:color="auto"/>
              <w:bottom w:val="single" w:sz="6" w:space="0" w:color="auto"/>
              <w:right w:val="single" w:sz="6" w:space="0" w:color="auto"/>
            </w:tcBorders>
            <w:hideMark/>
          </w:tcPr>
          <w:p w14:paraId="2D2A5626"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349AFA35" w14:textId="77777777" w:rsidTr="008E0FA9">
        <w:trPr>
          <w:trHeight w:val="20"/>
        </w:trPr>
        <w:tc>
          <w:tcPr>
            <w:tcW w:w="3121" w:type="dxa"/>
            <w:tcBorders>
              <w:top w:val="single" w:sz="6" w:space="0" w:color="auto"/>
              <w:left w:val="single" w:sz="6" w:space="0" w:color="auto"/>
              <w:bottom w:val="single" w:sz="6" w:space="0" w:color="auto"/>
              <w:right w:val="single" w:sz="6" w:space="0" w:color="auto"/>
            </w:tcBorders>
            <w:hideMark/>
          </w:tcPr>
          <w:p w14:paraId="12C9C44E"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Dimethoate</w:t>
            </w:r>
          </w:p>
        </w:tc>
        <w:tc>
          <w:tcPr>
            <w:tcW w:w="3025" w:type="dxa"/>
            <w:tcBorders>
              <w:top w:val="single" w:sz="6" w:space="0" w:color="auto"/>
              <w:left w:val="single" w:sz="6" w:space="0" w:color="auto"/>
              <w:bottom w:val="single" w:sz="6" w:space="0" w:color="auto"/>
              <w:right w:val="single" w:sz="6" w:space="0" w:color="auto"/>
            </w:tcBorders>
            <w:hideMark/>
          </w:tcPr>
          <w:p w14:paraId="617CA213"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6.0</w:t>
            </w:r>
          </w:p>
        </w:tc>
        <w:tc>
          <w:tcPr>
            <w:tcW w:w="2566" w:type="dxa"/>
            <w:tcBorders>
              <w:top w:val="single" w:sz="6" w:space="0" w:color="auto"/>
              <w:left w:val="single" w:sz="6" w:space="0" w:color="auto"/>
              <w:bottom w:val="single" w:sz="6" w:space="0" w:color="auto"/>
              <w:right w:val="single" w:sz="6" w:space="0" w:color="auto"/>
            </w:tcBorders>
            <w:hideMark/>
          </w:tcPr>
          <w:p w14:paraId="0562A685"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6981B0B7" w14:textId="77777777" w:rsidTr="008E0FA9">
        <w:trPr>
          <w:trHeight w:val="20"/>
        </w:trPr>
        <w:tc>
          <w:tcPr>
            <w:tcW w:w="3121" w:type="dxa"/>
            <w:tcBorders>
              <w:top w:val="single" w:sz="6" w:space="0" w:color="auto"/>
              <w:left w:val="single" w:sz="6" w:space="0" w:color="auto"/>
              <w:bottom w:val="single" w:sz="6" w:space="0" w:color="auto"/>
              <w:right w:val="single" w:sz="6" w:space="0" w:color="auto"/>
            </w:tcBorders>
            <w:hideMark/>
          </w:tcPr>
          <w:p w14:paraId="387D9E71" w14:textId="10E84259" w:rsidR="008E0FA9" w:rsidRPr="00F01347" w:rsidRDefault="008E0FA9">
            <w:pPr>
              <w:pStyle w:val="texto0"/>
              <w:spacing w:line="254" w:lineRule="exact"/>
              <w:ind w:firstLine="0"/>
              <w:rPr>
                <w:rFonts w:ascii="Verdana" w:hAnsi="Verdana"/>
                <w:sz w:val="16"/>
                <w:szCs w:val="16"/>
                <w:lang w:val="en-US"/>
              </w:rPr>
            </w:pPr>
            <w:proofErr w:type="spellStart"/>
            <w:r w:rsidRPr="00F01347">
              <w:rPr>
                <w:rFonts w:ascii="Verdana" w:hAnsi="Verdana"/>
                <w:sz w:val="16"/>
                <w:szCs w:val="16"/>
                <w:lang w:val="en-US"/>
              </w:rPr>
              <w:t>Molinat</w:t>
            </w:r>
            <w:r w:rsidR="00B3467A" w:rsidRPr="00F01347">
              <w:rPr>
                <w:rFonts w:ascii="Verdana" w:hAnsi="Verdana"/>
                <w:sz w:val="16"/>
                <w:szCs w:val="16"/>
                <w:lang w:val="en-US"/>
              </w:rPr>
              <w:t>e</w:t>
            </w:r>
            <w:proofErr w:type="spellEnd"/>
          </w:p>
        </w:tc>
        <w:tc>
          <w:tcPr>
            <w:tcW w:w="3025" w:type="dxa"/>
            <w:tcBorders>
              <w:top w:val="single" w:sz="6" w:space="0" w:color="auto"/>
              <w:left w:val="single" w:sz="6" w:space="0" w:color="auto"/>
              <w:bottom w:val="single" w:sz="6" w:space="0" w:color="auto"/>
              <w:right w:val="single" w:sz="6" w:space="0" w:color="auto"/>
            </w:tcBorders>
            <w:hideMark/>
          </w:tcPr>
          <w:p w14:paraId="46343110"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6.0</w:t>
            </w:r>
          </w:p>
        </w:tc>
        <w:tc>
          <w:tcPr>
            <w:tcW w:w="2566" w:type="dxa"/>
            <w:tcBorders>
              <w:top w:val="single" w:sz="6" w:space="0" w:color="auto"/>
              <w:left w:val="single" w:sz="6" w:space="0" w:color="auto"/>
              <w:bottom w:val="single" w:sz="6" w:space="0" w:color="auto"/>
              <w:right w:val="single" w:sz="6" w:space="0" w:color="auto"/>
            </w:tcBorders>
            <w:hideMark/>
          </w:tcPr>
          <w:p w14:paraId="5B4B0EC0"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6AD2A0FD" w14:textId="77777777" w:rsidTr="008E0FA9">
        <w:trPr>
          <w:trHeight w:val="20"/>
        </w:trPr>
        <w:tc>
          <w:tcPr>
            <w:tcW w:w="3121" w:type="dxa"/>
            <w:tcBorders>
              <w:top w:val="single" w:sz="6" w:space="0" w:color="auto"/>
              <w:left w:val="single" w:sz="6" w:space="0" w:color="auto"/>
              <w:bottom w:val="single" w:sz="6" w:space="0" w:color="auto"/>
              <w:right w:val="single" w:sz="6" w:space="0" w:color="auto"/>
            </w:tcBorders>
            <w:hideMark/>
          </w:tcPr>
          <w:p w14:paraId="2F655BEF"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Simazine</w:t>
            </w:r>
          </w:p>
        </w:tc>
        <w:tc>
          <w:tcPr>
            <w:tcW w:w="3025" w:type="dxa"/>
            <w:tcBorders>
              <w:top w:val="single" w:sz="6" w:space="0" w:color="auto"/>
              <w:left w:val="single" w:sz="6" w:space="0" w:color="auto"/>
              <w:bottom w:val="single" w:sz="6" w:space="0" w:color="auto"/>
              <w:right w:val="single" w:sz="6" w:space="0" w:color="auto"/>
            </w:tcBorders>
            <w:hideMark/>
          </w:tcPr>
          <w:p w14:paraId="5E84B88A"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2.0</w:t>
            </w:r>
          </w:p>
        </w:tc>
        <w:tc>
          <w:tcPr>
            <w:tcW w:w="2566" w:type="dxa"/>
            <w:tcBorders>
              <w:top w:val="single" w:sz="6" w:space="0" w:color="auto"/>
              <w:left w:val="single" w:sz="6" w:space="0" w:color="auto"/>
              <w:bottom w:val="single" w:sz="6" w:space="0" w:color="auto"/>
              <w:right w:val="single" w:sz="6" w:space="0" w:color="auto"/>
            </w:tcBorders>
            <w:hideMark/>
          </w:tcPr>
          <w:p w14:paraId="24A8625F"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4836AA07" w14:textId="77777777" w:rsidTr="008E0FA9">
        <w:trPr>
          <w:trHeight w:val="20"/>
        </w:trPr>
        <w:tc>
          <w:tcPr>
            <w:tcW w:w="8712" w:type="dxa"/>
            <w:gridSpan w:val="3"/>
            <w:tcBorders>
              <w:top w:val="single" w:sz="6" w:space="0" w:color="auto"/>
              <w:left w:val="single" w:sz="6" w:space="0" w:color="auto"/>
              <w:bottom w:val="single" w:sz="6" w:space="0" w:color="auto"/>
              <w:right w:val="single" w:sz="6" w:space="0" w:color="auto"/>
            </w:tcBorders>
            <w:hideMark/>
          </w:tcPr>
          <w:p w14:paraId="2D76F8E1"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b/>
                <w:sz w:val="16"/>
                <w:szCs w:val="16"/>
                <w:lang w:val="en-US"/>
              </w:rPr>
              <w:t>NON-CHLORINATED SEMIVOLATILE ORGANIC COMPOUNDS</w:t>
            </w:r>
          </w:p>
        </w:tc>
      </w:tr>
      <w:tr w:rsidR="008E0FA9" w:rsidRPr="00F01347" w14:paraId="1777389D" w14:textId="77777777" w:rsidTr="008E0FA9">
        <w:trPr>
          <w:trHeight w:val="20"/>
        </w:trPr>
        <w:tc>
          <w:tcPr>
            <w:tcW w:w="3121" w:type="dxa"/>
            <w:tcBorders>
              <w:top w:val="single" w:sz="6" w:space="0" w:color="auto"/>
              <w:left w:val="single" w:sz="6" w:space="0" w:color="auto"/>
              <w:bottom w:val="single" w:sz="6" w:space="0" w:color="auto"/>
              <w:right w:val="single" w:sz="6" w:space="0" w:color="auto"/>
            </w:tcBorders>
            <w:hideMark/>
          </w:tcPr>
          <w:p w14:paraId="7425A3A9"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Di-(2-Ethylhexyl) phthalate</w:t>
            </w:r>
          </w:p>
        </w:tc>
        <w:tc>
          <w:tcPr>
            <w:tcW w:w="3025" w:type="dxa"/>
            <w:tcBorders>
              <w:top w:val="single" w:sz="6" w:space="0" w:color="auto"/>
              <w:left w:val="single" w:sz="6" w:space="0" w:color="auto"/>
              <w:bottom w:val="single" w:sz="6" w:space="0" w:color="auto"/>
              <w:right w:val="single" w:sz="6" w:space="0" w:color="auto"/>
            </w:tcBorders>
            <w:hideMark/>
          </w:tcPr>
          <w:p w14:paraId="6304716B"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8.0</w:t>
            </w:r>
          </w:p>
        </w:tc>
        <w:tc>
          <w:tcPr>
            <w:tcW w:w="2566" w:type="dxa"/>
            <w:tcBorders>
              <w:top w:val="single" w:sz="6" w:space="0" w:color="auto"/>
              <w:left w:val="single" w:sz="6" w:space="0" w:color="auto"/>
              <w:bottom w:val="single" w:sz="6" w:space="0" w:color="auto"/>
              <w:right w:val="single" w:sz="6" w:space="0" w:color="auto"/>
            </w:tcBorders>
            <w:hideMark/>
          </w:tcPr>
          <w:p w14:paraId="3C800CC8"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129EA8D5" w14:textId="77777777" w:rsidTr="008E0FA9">
        <w:trPr>
          <w:trHeight w:val="20"/>
        </w:trPr>
        <w:tc>
          <w:tcPr>
            <w:tcW w:w="8712" w:type="dxa"/>
            <w:gridSpan w:val="3"/>
            <w:tcBorders>
              <w:top w:val="single" w:sz="6" w:space="0" w:color="auto"/>
              <w:left w:val="single" w:sz="6" w:space="0" w:color="auto"/>
              <w:bottom w:val="single" w:sz="6" w:space="0" w:color="auto"/>
              <w:right w:val="single" w:sz="6" w:space="0" w:color="auto"/>
            </w:tcBorders>
            <w:hideMark/>
          </w:tcPr>
          <w:p w14:paraId="53C39E59"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b/>
                <w:sz w:val="16"/>
                <w:szCs w:val="16"/>
                <w:lang w:val="en-US"/>
              </w:rPr>
              <w:t>NON-CHLORINED PESTICIDES DERIVED FROM UREA</w:t>
            </w:r>
          </w:p>
        </w:tc>
      </w:tr>
      <w:tr w:rsidR="008E0FA9" w:rsidRPr="00F01347" w14:paraId="102FD73F" w14:textId="77777777" w:rsidTr="008E0FA9">
        <w:trPr>
          <w:trHeight w:val="20"/>
        </w:trPr>
        <w:tc>
          <w:tcPr>
            <w:tcW w:w="3121" w:type="dxa"/>
            <w:tcBorders>
              <w:top w:val="single" w:sz="6" w:space="0" w:color="auto"/>
              <w:left w:val="single" w:sz="6" w:space="0" w:color="auto"/>
              <w:bottom w:val="single" w:sz="6" w:space="0" w:color="auto"/>
              <w:right w:val="single" w:sz="6" w:space="0" w:color="auto"/>
            </w:tcBorders>
            <w:hideMark/>
          </w:tcPr>
          <w:p w14:paraId="6BBFA774" w14:textId="77777777" w:rsidR="008E0FA9" w:rsidRPr="00F01347" w:rsidRDefault="008E0FA9">
            <w:pPr>
              <w:pStyle w:val="texto0"/>
              <w:spacing w:line="254" w:lineRule="exact"/>
              <w:ind w:firstLine="0"/>
              <w:rPr>
                <w:rFonts w:ascii="Verdana" w:hAnsi="Verdana"/>
                <w:sz w:val="16"/>
                <w:szCs w:val="16"/>
                <w:lang w:val="en-US"/>
              </w:rPr>
            </w:pPr>
            <w:proofErr w:type="spellStart"/>
            <w:r w:rsidRPr="00F01347">
              <w:rPr>
                <w:rFonts w:ascii="Verdana" w:hAnsi="Verdana"/>
                <w:sz w:val="16"/>
                <w:szCs w:val="16"/>
                <w:lang w:val="en-US"/>
              </w:rPr>
              <w:t>Isoproturon</w:t>
            </w:r>
            <w:proofErr w:type="spellEnd"/>
            <w:r w:rsidRPr="00F01347">
              <w:rPr>
                <w:rFonts w:ascii="Verdana" w:hAnsi="Verdana"/>
                <w:sz w:val="16"/>
                <w:szCs w:val="16"/>
                <w:lang w:val="en-US"/>
              </w:rPr>
              <w:t xml:space="preserve"> </w:t>
            </w:r>
          </w:p>
        </w:tc>
        <w:tc>
          <w:tcPr>
            <w:tcW w:w="3025" w:type="dxa"/>
            <w:tcBorders>
              <w:top w:val="single" w:sz="6" w:space="0" w:color="auto"/>
              <w:left w:val="single" w:sz="6" w:space="0" w:color="auto"/>
              <w:bottom w:val="single" w:sz="6" w:space="0" w:color="auto"/>
              <w:right w:val="single" w:sz="6" w:space="0" w:color="auto"/>
            </w:tcBorders>
            <w:hideMark/>
          </w:tcPr>
          <w:p w14:paraId="3287F032"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9.0</w:t>
            </w:r>
          </w:p>
        </w:tc>
        <w:tc>
          <w:tcPr>
            <w:tcW w:w="2566" w:type="dxa"/>
            <w:tcBorders>
              <w:top w:val="single" w:sz="6" w:space="0" w:color="auto"/>
              <w:left w:val="single" w:sz="6" w:space="0" w:color="auto"/>
              <w:bottom w:val="single" w:sz="6" w:space="0" w:color="auto"/>
              <w:right w:val="single" w:sz="6" w:space="0" w:color="auto"/>
            </w:tcBorders>
            <w:hideMark/>
          </w:tcPr>
          <w:p w14:paraId="24168D1A"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bl>
    <w:p w14:paraId="1661333A" w14:textId="77777777" w:rsidR="008E0FA9" w:rsidRPr="00F01347" w:rsidRDefault="008E0FA9" w:rsidP="008E0FA9">
      <w:pPr>
        <w:pStyle w:val="texto0"/>
        <w:spacing w:line="254" w:lineRule="exact"/>
        <w:rPr>
          <w:rFonts w:ascii="Verdana" w:hAnsi="Verdana"/>
          <w:sz w:val="16"/>
          <w:szCs w:val="16"/>
          <w:lang w:val="en-US"/>
        </w:rPr>
      </w:pPr>
    </w:p>
    <w:p w14:paraId="63D703C0" w14:textId="77777777" w:rsidR="00A74CDF" w:rsidRPr="00F01347" w:rsidRDefault="00A74CDF" w:rsidP="003A601B">
      <w:pPr>
        <w:pStyle w:val="texto0"/>
        <w:spacing w:line="254" w:lineRule="exact"/>
        <w:ind w:firstLine="0"/>
        <w:jc w:val="center"/>
        <w:rPr>
          <w:rFonts w:ascii="Verdana" w:hAnsi="Verdana"/>
          <w:b/>
          <w:sz w:val="16"/>
          <w:szCs w:val="16"/>
          <w:lang w:val="es-ES"/>
        </w:rPr>
      </w:pPr>
      <w:r w:rsidRPr="00F01347">
        <w:rPr>
          <w:rFonts w:ascii="Verdana" w:hAnsi="Verdana"/>
          <w:b/>
          <w:sz w:val="16"/>
          <w:szCs w:val="16"/>
          <w:lang w:val="es-ES_tradnl"/>
        </w:rPr>
        <w:t xml:space="preserve">Tabla A.3 Límites permisibles de compuestos orgánicos halogenados </w:t>
      </w:r>
      <w:proofErr w:type="spellStart"/>
      <w:r w:rsidRPr="00F01347">
        <w:rPr>
          <w:rFonts w:ascii="Verdana" w:hAnsi="Verdana"/>
          <w:b/>
          <w:sz w:val="16"/>
          <w:szCs w:val="16"/>
          <w:lang w:val="es-ES_tradnl"/>
        </w:rPr>
        <w:t>a</w:t>
      </w:r>
      <w:r w:rsidRPr="00F01347">
        <w:rPr>
          <w:rFonts w:ascii="Verdana" w:hAnsi="Verdana"/>
          <w:b/>
          <w:color w:val="000000"/>
          <w:sz w:val="16"/>
          <w:szCs w:val="16"/>
          <w:lang w:val="es-ES_tradnl"/>
        </w:rPr>
        <w:t>dsorbibles</w:t>
      </w:r>
      <w:proofErr w:type="spellEnd"/>
      <w:r w:rsidRPr="00F01347">
        <w:rPr>
          <w:rFonts w:ascii="Verdana" w:hAnsi="Verdana"/>
          <w:b/>
          <w:color w:val="000000"/>
          <w:sz w:val="16"/>
          <w:szCs w:val="16"/>
          <w:lang w:val="es-ES_tradnl"/>
        </w:rPr>
        <w:t xml:space="preserve"> purgables</w:t>
      </w:r>
    </w:p>
    <w:tbl>
      <w:tblPr>
        <w:tblW w:w="8712" w:type="dxa"/>
        <w:tblInd w:w="144" w:type="dxa"/>
        <w:tblLayout w:type="fixed"/>
        <w:tblCellMar>
          <w:left w:w="70" w:type="dxa"/>
          <w:right w:w="70" w:type="dxa"/>
        </w:tblCellMar>
        <w:tblLook w:val="0000" w:firstRow="0" w:lastRow="0" w:firstColumn="0" w:lastColumn="0" w:noHBand="0" w:noVBand="0"/>
      </w:tblPr>
      <w:tblGrid>
        <w:gridCol w:w="3126"/>
        <w:gridCol w:w="3012"/>
        <w:gridCol w:w="2574"/>
      </w:tblGrid>
      <w:tr w:rsidR="00A74CDF" w:rsidRPr="00F01347" w14:paraId="7A5E14D3" w14:textId="77777777">
        <w:trPr>
          <w:trHeight w:val="20"/>
        </w:trPr>
        <w:tc>
          <w:tcPr>
            <w:tcW w:w="3126" w:type="dxa"/>
            <w:tcBorders>
              <w:top w:val="single" w:sz="6" w:space="0" w:color="auto"/>
              <w:left w:val="single" w:sz="6" w:space="0" w:color="auto"/>
              <w:bottom w:val="single" w:sz="6" w:space="0" w:color="auto"/>
              <w:right w:val="single" w:sz="6" w:space="0" w:color="auto"/>
            </w:tcBorders>
            <w:noWrap/>
          </w:tcPr>
          <w:p w14:paraId="4AB7CE57" w14:textId="77777777" w:rsidR="00A74CDF" w:rsidRPr="00F01347" w:rsidRDefault="00A74CDF" w:rsidP="003A601B">
            <w:pPr>
              <w:pStyle w:val="texto0"/>
              <w:spacing w:line="254" w:lineRule="exact"/>
              <w:ind w:firstLine="0"/>
              <w:jc w:val="center"/>
              <w:rPr>
                <w:rFonts w:ascii="Verdana" w:hAnsi="Verdana"/>
                <w:b/>
                <w:sz w:val="16"/>
                <w:szCs w:val="16"/>
                <w:lang w:val="es-ES"/>
              </w:rPr>
            </w:pPr>
            <w:r w:rsidRPr="00F01347">
              <w:rPr>
                <w:rFonts w:ascii="Verdana" w:hAnsi="Verdana"/>
                <w:b/>
                <w:color w:val="000000"/>
                <w:sz w:val="16"/>
                <w:szCs w:val="16"/>
              </w:rPr>
              <w:t>Parámetros</w:t>
            </w:r>
          </w:p>
        </w:tc>
        <w:tc>
          <w:tcPr>
            <w:tcW w:w="3012" w:type="dxa"/>
            <w:tcBorders>
              <w:top w:val="single" w:sz="6" w:space="0" w:color="auto"/>
              <w:left w:val="single" w:sz="6" w:space="0" w:color="auto"/>
              <w:bottom w:val="single" w:sz="6" w:space="0" w:color="auto"/>
              <w:right w:val="single" w:sz="6" w:space="0" w:color="auto"/>
            </w:tcBorders>
          </w:tcPr>
          <w:p w14:paraId="0873C789" w14:textId="77777777" w:rsidR="00A74CDF" w:rsidRPr="00F01347" w:rsidRDefault="00A74CDF" w:rsidP="003A601B">
            <w:pPr>
              <w:pStyle w:val="texto0"/>
              <w:spacing w:line="254" w:lineRule="exact"/>
              <w:ind w:firstLine="0"/>
              <w:jc w:val="center"/>
              <w:rPr>
                <w:rFonts w:ascii="Verdana" w:hAnsi="Verdana"/>
                <w:b/>
                <w:sz w:val="16"/>
                <w:szCs w:val="16"/>
                <w:lang w:val="es-ES"/>
              </w:rPr>
            </w:pPr>
            <w:r w:rsidRPr="00F01347">
              <w:rPr>
                <w:rFonts w:ascii="Verdana" w:hAnsi="Verdana"/>
                <w:b/>
                <w:color w:val="000000"/>
                <w:sz w:val="16"/>
                <w:szCs w:val="16"/>
              </w:rPr>
              <w:t>Límite permisible</w:t>
            </w:r>
          </w:p>
        </w:tc>
        <w:tc>
          <w:tcPr>
            <w:tcW w:w="2574" w:type="dxa"/>
            <w:tcBorders>
              <w:top w:val="single" w:sz="6" w:space="0" w:color="auto"/>
              <w:left w:val="single" w:sz="6" w:space="0" w:color="auto"/>
              <w:bottom w:val="single" w:sz="6" w:space="0" w:color="auto"/>
              <w:right w:val="single" w:sz="6" w:space="0" w:color="auto"/>
            </w:tcBorders>
          </w:tcPr>
          <w:p w14:paraId="5CBA83C5" w14:textId="77777777" w:rsidR="00A74CDF" w:rsidRPr="00F01347" w:rsidRDefault="00A74CDF" w:rsidP="003A601B">
            <w:pPr>
              <w:pStyle w:val="texto0"/>
              <w:spacing w:line="254" w:lineRule="exact"/>
              <w:ind w:firstLine="0"/>
              <w:jc w:val="center"/>
              <w:rPr>
                <w:rFonts w:ascii="Verdana" w:hAnsi="Verdana"/>
                <w:b/>
                <w:sz w:val="16"/>
                <w:szCs w:val="16"/>
                <w:lang w:val="es-ES"/>
              </w:rPr>
            </w:pPr>
            <w:r w:rsidRPr="00F01347">
              <w:rPr>
                <w:rFonts w:ascii="Verdana" w:hAnsi="Verdana"/>
                <w:b/>
                <w:color w:val="000000"/>
                <w:sz w:val="16"/>
                <w:szCs w:val="16"/>
              </w:rPr>
              <w:t>Unidades</w:t>
            </w:r>
          </w:p>
        </w:tc>
      </w:tr>
      <w:tr w:rsidR="00A74CDF" w:rsidRPr="00F01347" w14:paraId="0BC9BC25" w14:textId="77777777">
        <w:trPr>
          <w:trHeight w:val="20"/>
        </w:trPr>
        <w:tc>
          <w:tcPr>
            <w:tcW w:w="8712" w:type="dxa"/>
            <w:gridSpan w:val="3"/>
            <w:tcBorders>
              <w:top w:val="single" w:sz="6" w:space="0" w:color="auto"/>
              <w:left w:val="single" w:sz="6" w:space="0" w:color="auto"/>
              <w:bottom w:val="single" w:sz="6" w:space="0" w:color="auto"/>
              <w:right w:val="single" w:sz="6" w:space="0" w:color="auto"/>
            </w:tcBorders>
          </w:tcPr>
          <w:p w14:paraId="0651D0F3"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b/>
                <w:sz w:val="16"/>
                <w:szCs w:val="16"/>
                <w:lang w:val="es-ES"/>
              </w:rPr>
              <w:t>COMPUESTOS ORGÁNICOS HALOGENADOS VOLÁTILES</w:t>
            </w:r>
          </w:p>
        </w:tc>
      </w:tr>
      <w:tr w:rsidR="00A74CDF" w:rsidRPr="00F01347" w14:paraId="0E25571D" w14:textId="77777777">
        <w:trPr>
          <w:trHeight w:val="20"/>
        </w:trPr>
        <w:tc>
          <w:tcPr>
            <w:tcW w:w="3126" w:type="dxa"/>
            <w:tcBorders>
              <w:top w:val="single" w:sz="6" w:space="0" w:color="auto"/>
              <w:left w:val="single" w:sz="6" w:space="0" w:color="auto"/>
              <w:bottom w:val="single" w:sz="6" w:space="0" w:color="auto"/>
              <w:right w:val="single" w:sz="6" w:space="0" w:color="auto"/>
            </w:tcBorders>
          </w:tcPr>
          <w:p w14:paraId="55437DF4"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1,2-Diclorobenceno</w:t>
            </w:r>
          </w:p>
        </w:tc>
        <w:tc>
          <w:tcPr>
            <w:tcW w:w="3012" w:type="dxa"/>
            <w:tcBorders>
              <w:top w:val="single" w:sz="6" w:space="0" w:color="auto"/>
              <w:left w:val="single" w:sz="6" w:space="0" w:color="auto"/>
              <w:bottom w:val="single" w:sz="6" w:space="0" w:color="auto"/>
              <w:right w:val="single" w:sz="6" w:space="0" w:color="auto"/>
            </w:tcBorders>
          </w:tcPr>
          <w:p w14:paraId="1943E16B"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1000</w:t>
            </w:r>
          </w:p>
        </w:tc>
        <w:tc>
          <w:tcPr>
            <w:tcW w:w="2574" w:type="dxa"/>
            <w:tcBorders>
              <w:top w:val="single" w:sz="6" w:space="0" w:color="auto"/>
              <w:left w:val="single" w:sz="6" w:space="0" w:color="auto"/>
              <w:bottom w:val="single" w:sz="6" w:space="0" w:color="auto"/>
              <w:right w:val="single" w:sz="6" w:space="0" w:color="auto"/>
            </w:tcBorders>
          </w:tcPr>
          <w:p w14:paraId="5C2B8F4D"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0F413BFD" w14:textId="77777777">
        <w:trPr>
          <w:trHeight w:val="20"/>
        </w:trPr>
        <w:tc>
          <w:tcPr>
            <w:tcW w:w="3126" w:type="dxa"/>
            <w:tcBorders>
              <w:top w:val="single" w:sz="6" w:space="0" w:color="auto"/>
              <w:left w:val="single" w:sz="6" w:space="0" w:color="auto"/>
              <w:bottom w:val="single" w:sz="6" w:space="0" w:color="auto"/>
              <w:right w:val="single" w:sz="6" w:space="0" w:color="auto"/>
            </w:tcBorders>
          </w:tcPr>
          <w:p w14:paraId="498BBAB7"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1,2-Dicloroeteno (cis + trans)</w:t>
            </w:r>
          </w:p>
        </w:tc>
        <w:tc>
          <w:tcPr>
            <w:tcW w:w="3012" w:type="dxa"/>
            <w:tcBorders>
              <w:top w:val="single" w:sz="6" w:space="0" w:color="auto"/>
              <w:left w:val="single" w:sz="6" w:space="0" w:color="auto"/>
              <w:bottom w:val="single" w:sz="6" w:space="0" w:color="auto"/>
              <w:right w:val="single" w:sz="6" w:space="0" w:color="auto"/>
            </w:tcBorders>
          </w:tcPr>
          <w:p w14:paraId="1086EDC1"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50</w:t>
            </w:r>
          </w:p>
        </w:tc>
        <w:tc>
          <w:tcPr>
            <w:tcW w:w="2574" w:type="dxa"/>
            <w:tcBorders>
              <w:top w:val="single" w:sz="6" w:space="0" w:color="auto"/>
              <w:left w:val="single" w:sz="6" w:space="0" w:color="auto"/>
              <w:bottom w:val="single" w:sz="6" w:space="0" w:color="auto"/>
              <w:right w:val="single" w:sz="6" w:space="0" w:color="auto"/>
            </w:tcBorders>
          </w:tcPr>
          <w:p w14:paraId="235BAE7A"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1489746E" w14:textId="77777777">
        <w:trPr>
          <w:trHeight w:val="20"/>
        </w:trPr>
        <w:tc>
          <w:tcPr>
            <w:tcW w:w="3126" w:type="dxa"/>
            <w:tcBorders>
              <w:top w:val="single" w:sz="6" w:space="0" w:color="auto"/>
              <w:left w:val="single" w:sz="6" w:space="0" w:color="auto"/>
              <w:bottom w:val="single" w:sz="6" w:space="0" w:color="auto"/>
              <w:right w:val="single" w:sz="6" w:space="0" w:color="auto"/>
            </w:tcBorders>
          </w:tcPr>
          <w:p w14:paraId="54A71F31"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1,2-Dicloropropano</w:t>
            </w:r>
          </w:p>
        </w:tc>
        <w:tc>
          <w:tcPr>
            <w:tcW w:w="3012" w:type="dxa"/>
            <w:tcBorders>
              <w:top w:val="single" w:sz="6" w:space="0" w:color="auto"/>
              <w:left w:val="single" w:sz="6" w:space="0" w:color="auto"/>
              <w:bottom w:val="single" w:sz="6" w:space="0" w:color="auto"/>
              <w:right w:val="single" w:sz="6" w:space="0" w:color="auto"/>
            </w:tcBorders>
          </w:tcPr>
          <w:p w14:paraId="2A64832D"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40</w:t>
            </w:r>
          </w:p>
        </w:tc>
        <w:tc>
          <w:tcPr>
            <w:tcW w:w="2574" w:type="dxa"/>
            <w:tcBorders>
              <w:top w:val="single" w:sz="6" w:space="0" w:color="auto"/>
              <w:left w:val="single" w:sz="6" w:space="0" w:color="auto"/>
              <w:bottom w:val="single" w:sz="6" w:space="0" w:color="auto"/>
              <w:right w:val="single" w:sz="6" w:space="0" w:color="auto"/>
            </w:tcBorders>
          </w:tcPr>
          <w:p w14:paraId="6D093029"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00A75A40" w14:textId="77777777">
        <w:trPr>
          <w:trHeight w:val="20"/>
        </w:trPr>
        <w:tc>
          <w:tcPr>
            <w:tcW w:w="3126" w:type="dxa"/>
            <w:tcBorders>
              <w:top w:val="single" w:sz="6" w:space="0" w:color="auto"/>
              <w:left w:val="single" w:sz="6" w:space="0" w:color="auto"/>
              <w:bottom w:val="single" w:sz="6" w:space="0" w:color="auto"/>
              <w:right w:val="single" w:sz="6" w:space="0" w:color="auto"/>
            </w:tcBorders>
          </w:tcPr>
          <w:p w14:paraId="78446A36"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 xml:space="preserve">1,2-Dicloroetano </w:t>
            </w:r>
          </w:p>
        </w:tc>
        <w:tc>
          <w:tcPr>
            <w:tcW w:w="3012" w:type="dxa"/>
            <w:tcBorders>
              <w:top w:val="single" w:sz="6" w:space="0" w:color="auto"/>
              <w:left w:val="single" w:sz="6" w:space="0" w:color="auto"/>
              <w:bottom w:val="single" w:sz="6" w:space="0" w:color="auto"/>
              <w:right w:val="single" w:sz="6" w:space="0" w:color="auto"/>
            </w:tcBorders>
          </w:tcPr>
          <w:p w14:paraId="73AB9A0B"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30</w:t>
            </w:r>
          </w:p>
        </w:tc>
        <w:tc>
          <w:tcPr>
            <w:tcW w:w="2574" w:type="dxa"/>
            <w:tcBorders>
              <w:top w:val="single" w:sz="6" w:space="0" w:color="auto"/>
              <w:left w:val="single" w:sz="6" w:space="0" w:color="auto"/>
              <w:bottom w:val="single" w:sz="6" w:space="0" w:color="auto"/>
              <w:right w:val="single" w:sz="6" w:space="0" w:color="auto"/>
            </w:tcBorders>
          </w:tcPr>
          <w:p w14:paraId="19417EBA"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310E8796" w14:textId="77777777">
        <w:trPr>
          <w:trHeight w:val="20"/>
        </w:trPr>
        <w:tc>
          <w:tcPr>
            <w:tcW w:w="3126" w:type="dxa"/>
            <w:tcBorders>
              <w:top w:val="single" w:sz="6" w:space="0" w:color="auto"/>
              <w:left w:val="single" w:sz="6" w:space="0" w:color="auto"/>
              <w:bottom w:val="single" w:sz="6" w:space="0" w:color="auto"/>
              <w:right w:val="single" w:sz="6" w:space="0" w:color="auto"/>
            </w:tcBorders>
          </w:tcPr>
          <w:p w14:paraId="2F3DF0F7"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1,3-Dicloropropeno (cis + trans)</w:t>
            </w:r>
          </w:p>
        </w:tc>
        <w:tc>
          <w:tcPr>
            <w:tcW w:w="3012" w:type="dxa"/>
            <w:tcBorders>
              <w:top w:val="single" w:sz="6" w:space="0" w:color="auto"/>
              <w:left w:val="single" w:sz="6" w:space="0" w:color="auto"/>
              <w:bottom w:val="single" w:sz="6" w:space="0" w:color="auto"/>
              <w:right w:val="single" w:sz="6" w:space="0" w:color="auto"/>
            </w:tcBorders>
          </w:tcPr>
          <w:p w14:paraId="7651F18B"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20</w:t>
            </w:r>
          </w:p>
        </w:tc>
        <w:tc>
          <w:tcPr>
            <w:tcW w:w="2574" w:type="dxa"/>
            <w:tcBorders>
              <w:top w:val="single" w:sz="6" w:space="0" w:color="auto"/>
              <w:left w:val="single" w:sz="6" w:space="0" w:color="auto"/>
              <w:bottom w:val="single" w:sz="6" w:space="0" w:color="auto"/>
              <w:right w:val="single" w:sz="6" w:space="0" w:color="auto"/>
            </w:tcBorders>
          </w:tcPr>
          <w:p w14:paraId="40AC6795"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6607CB8F" w14:textId="77777777">
        <w:trPr>
          <w:trHeight w:val="20"/>
        </w:trPr>
        <w:tc>
          <w:tcPr>
            <w:tcW w:w="3126" w:type="dxa"/>
            <w:tcBorders>
              <w:top w:val="single" w:sz="6" w:space="0" w:color="auto"/>
              <w:left w:val="single" w:sz="6" w:space="0" w:color="auto"/>
              <w:bottom w:val="single" w:sz="6" w:space="0" w:color="auto"/>
              <w:right w:val="single" w:sz="6" w:space="0" w:color="auto"/>
            </w:tcBorders>
          </w:tcPr>
          <w:p w14:paraId="157451C6"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 xml:space="preserve">1,4-Diclorobenceno </w:t>
            </w:r>
          </w:p>
        </w:tc>
        <w:tc>
          <w:tcPr>
            <w:tcW w:w="3012" w:type="dxa"/>
            <w:tcBorders>
              <w:top w:val="single" w:sz="6" w:space="0" w:color="auto"/>
              <w:left w:val="single" w:sz="6" w:space="0" w:color="auto"/>
              <w:bottom w:val="single" w:sz="6" w:space="0" w:color="auto"/>
              <w:right w:val="single" w:sz="6" w:space="0" w:color="auto"/>
            </w:tcBorders>
          </w:tcPr>
          <w:p w14:paraId="2A71C8F6"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300</w:t>
            </w:r>
          </w:p>
        </w:tc>
        <w:tc>
          <w:tcPr>
            <w:tcW w:w="2574" w:type="dxa"/>
            <w:tcBorders>
              <w:top w:val="single" w:sz="6" w:space="0" w:color="auto"/>
              <w:left w:val="single" w:sz="6" w:space="0" w:color="auto"/>
              <w:bottom w:val="single" w:sz="6" w:space="0" w:color="auto"/>
              <w:right w:val="single" w:sz="6" w:space="0" w:color="auto"/>
            </w:tcBorders>
          </w:tcPr>
          <w:p w14:paraId="6A374966"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3B51F74C" w14:textId="77777777">
        <w:trPr>
          <w:trHeight w:val="20"/>
        </w:trPr>
        <w:tc>
          <w:tcPr>
            <w:tcW w:w="3126" w:type="dxa"/>
            <w:tcBorders>
              <w:top w:val="single" w:sz="6" w:space="0" w:color="auto"/>
              <w:left w:val="single" w:sz="6" w:space="0" w:color="auto"/>
              <w:bottom w:val="single" w:sz="6" w:space="0" w:color="auto"/>
              <w:right w:val="single" w:sz="6" w:space="0" w:color="auto"/>
            </w:tcBorders>
          </w:tcPr>
          <w:p w14:paraId="5419104E"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 xml:space="preserve">Cloruro de Vinilo </w:t>
            </w:r>
          </w:p>
        </w:tc>
        <w:tc>
          <w:tcPr>
            <w:tcW w:w="3012" w:type="dxa"/>
            <w:tcBorders>
              <w:top w:val="single" w:sz="6" w:space="0" w:color="auto"/>
              <w:left w:val="single" w:sz="6" w:space="0" w:color="auto"/>
              <w:bottom w:val="single" w:sz="6" w:space="0" w:color="auto"/>
              <w:right w:val="single" w:sz="6" w:space="0" w:color="auto"/>
            </w:tcBorders>
          </w:tcPr>
          <w:p w14:paraId="609354A1"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0.30</w:t>
            </w:r>
          </w:p>
        </w:tc>
        <w:tc>
          <w:tcPr>
            <w:tcW w:w="2574" w:type="dxa"/>
            <w:tcBorders>
              <w:top w:val="single" w:sz="6" w:space="0" w:color="auto"/>
              <w:left w:val="single" w:sz="6" w:space="0" w:color="auto"/>
              <w:bottom w:val="single" w:sz="6" w:space="0" w:color="auto"/>
              <w:right w:val="single" w:sz="6" w:space="0" w:color="auto"/>
            </w:tcBorders>
          </w:tcPr>
          <w:p w14:paraId="0F228B98"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74DCDB35" w14:textId="77777777">
        <w:trPr>
          <w:trHeight w:val="20"/>
        </w:trPr>
        <w:tc>
          <w:tcPr>
            <w:tcW w:w="3126" w:type="dxa"/>
            <w:tcBorders>
              <w:top w:val="single" w:sz="6" w:space="0" w:color="auto"/>
              <w:left w:val="single" w:sz="6" w:space="0" w:color="auto"/>
              <w:bottom w:val="single" w:sz="6" w:space="0" w:color="auto"/>
              <w:right w:val="single" w:sz="6" w:space="0" w:color="auto"/>
            </w:tcBorders>
          </w:tcPr>
          <w:p w14:paraId="5288F779"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Diclorometano</w:t>
            </w:r>
          </w:p>
        </w:tc>
        <w:tc>
          <w:tcPr>
            <w:tcW w:w="3012" w:type="dxa"/>
            <w:tcBorders>
              <w:top w:val="single" w:sz="6" w:space="0" w:color="auto"/>
              <w:left w:val="single" w:sz="6" w:space="0" w:color="auto"/>
              <w:bottom w:val="single" w:sz="6" w:space="0" w:color="auto"/>
              <w:right w:val="single" w:sz="6" w:space="0" w:color="auto"/>
            </w:tcBorders>
          </w:tcPr>
          <w:p w14:paraId="6B8AC721"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20</w:t>
            </w:r>
          </w:p>
        </w:tc>
        <w:tc>
          <w:tcPr>
            <w:tcW w:w="2574" w:type="dxa"/>
            <w:tcBorders>
              <w:top w:val="single" w:sz="6" w:space="0" w:color="auto"/>
              <w:left w:val="single" w:sz="6" w:space="0" w:color="auto"/>
              <w:bottom w:val="single" w:sz="6" w:space="0" w:color="auto"/>
              <w:right w:val="single" w:sz="6" w:space="0" w:color="auto"/>
            </w:tcBorders>
          </w:tcPr>
          <w:p w14:paraId="46062597"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151917A0" w14:textId="77777777">
        <w:trPr>
          <w:trHeight w:val="20"/>
        </w:trPr>
        <w:tc>
          <w:tcPr>
            <w:tcW w:w="3126" w:type="dxa"/>
            <w:tcBorders>
              <w:top w:val="single" w:sz="6" w:space="0" w:color="auto"/>
              <w:left w:val="single" w:sz="6" w:space="0" w:color="auto"/>
              <w:bottom w:val="single" w:sz="6" w:space="0" w:color="auto"/>
              <w:right w:val="single" w:sz="6" w:space="0" w:color="auto"/>
            </w:tcBorders>
          </w:tcPr>
          <w:p w14:paraId="57D279C9" w14:textId="77777777" w:rsidR="00A74CDF" w:rsidRPr="00F01347" w:rsidRDefault="00A74CDF" w:rsidP="003A601B">
            <w:pPr>
              <w:pStyle w:val="texto0"/>
              <w:spacing w:line="254" w:lineRule="exact"/>
              <w:ind w:firstLine="0"/>
              <w:rPr>
                <w:rFonts w:ascii="Verdana" w:hAnsi="Verdana"/>
                <w:sz w:val="16"/>
                <w:szCs w:val="16"/>
                <w:lang w:val="es-ES"/>
              </w:rPr>
            </w:pPr>
            <w:proofErr w:type="spellStart"/>
            <w:r w:rsidRPr="00F01347">
              <w:rPr>
                <w:rFonts w:ascii="Verdana" w:hAnsi="Verdana"/>
                <w:sz w:val="16"/>
                <w:szCs w:val="16"/>
                <w:lang w:val="es-ES"/>
              </w:rPr>
              <w:t>Tetracloroeteno</w:t>
            </w:r>
            <w:proofErr w:type="spellEnd"/>
          </w:p>
        </w:tc>
        <w:tc>
          <w:tcPr>
            <w:tcW w:w="3012" w:type="dxa"/>
            <w:tcBorders>
              <w:top w:val="single" w:sz="6" w:space="0" w:color="auto"/>
              <w:left w:val="single" w:sz="6" w:space="0" w:color="auto"/>
              <w:bottom w:val="single" w:sz="6" w:space="0" w:color="auto"/>
              <w:right w:val="single" w:sz="6" w:space="0" w:color="auto"/>
            </w:tcBorders>
          </w:tcPr>
          <w:p w14:paraId="409705D6"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40</w:t>
            </w:r>
          </w:p>
        </w:tc>
        <w:tc>
          <w:tcPr>
            <w:tcW w:w="2574" w:type="dxa"/>
            <w:tcBorders>
              <w:top w:val="single" w:sz="6" w:space="0" w:color="auto"/>
              <w:left w:val="single" w:sz="6" w:space="0" w:color="auto"/>
              <w:bottom w:val="single" w:sz="6" w:space="0" w:color="auto"/>
              <w:right w:val="single" w:sz="6" w:space="0" w:color="auto"/>
            </w:tcBorders>
          </w:tcPr>
          <w:p w14:paraId="7CC7B935"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5C5B845C" w14:textId="77777777">
        <w:trPr>
          <w:trHeight w:val="20"/>
        </w:trPr>
        <w:tc>
          <w:tcPr>
            <w:tcW w:w="3126" w:type="dxa"/>
            <w:tcBorders>
              <w:top w:val="single" w:sz="6" w:space="0" w:color="auto"/>
              <w:left w:val="single" w:sz="6" w:space="0" w:color="auto"/>
              <w:bottom w:val="single" w:sz="6" w:space="0" w:color="auto"/>
              <w:right w:val="single" w:sz="6" w:space="0" w:color="auto"/>
            </w:tcBorders>
          </w:tcPr>
          <w:p w14:paraId="7EAC01DB"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 xml:space="preserve">Tetracloruro de carbono </w:t>
            </w:r>
          </w:p>
        </w:tc>
        <w:tc>
          <w:tcPr>
            <w:tcW w:w="3012" w:type="dxa"/>
            <w:tcBorders>
              <w:top w:val="single" w:sz="6" w:space="0" w:color="auto"/>
              <w:left w:val="single" w:sz="6" w:space="0" w:color="auto"/>
              <w:bottom w:val="single" w:sz="6" w:space="0" w:color="auto"/>
              <w:right w:val="single" w:sz="6" w:space="0" w:color="auto"/>
            </w:tcBorders>
          </w:tcPr>
          <w:p w14:paraId="27D01942"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4.0</w:t>
            </w:r>
          </w:p>
        </w:tc>
        <w:tc>
          <w:tcPr>
            <w:tcW w:w="2574" w:type="dxa"/>
            <w:tcBorders>
              <w:top w:val="single" w:sz="6" w:space="0" w:color="auto"/>
              <w:left w:val="single" w:sz="6" w:space="0" w:color="auto"/>
              <w:bottom w:val="single" w:sz="6" w:space="0" w:color="auto"/>
              <w:right w:val="single" w:sz="6" w:space="0" w:color="auto"/>
            </w:tcBorders>
          </w:tcPr>
          <w:p w14:paraId="7565C5A0"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6ECA3D70" w14:textId="77777777">
        <w:trPr>
          <w:trHeight w:val="20"/>
        </w:trPr>
        <w:tc>
          <w:tcPr>
            <w:tcW w:w="3126" w:type="dxa"/>
            <w:tcBorders>
              <w:top w:val="single" w:sz="6" w:space="0" w:color="auto"/>
              <w:left w:val="single" w:sz="6" w:space="0" w:color="auto"/>
              <w:bottom w:val="single" w:sz="6" w:space="0" w:color="auto"/>
              <w:right w:val="single" w:sz="6" w:space="0" w:color="auto"/>
            </w:tcBorders>
          </w:tcPr>
          <w:p w14:paraId="3DF1935D" w14:textId="77777777" w:rsidR="00A74CDF" w:rsidRPr="00F01347" w:rsidRDefault="00A74CDF" w:rsidP="003A601B">
            <w:pPr>
              <w:pStyle w:val="texto0"/>
              <w:spacing w:line="254" w:lineRule="exact"/>
              <w:ind w:firstLine="0"/>
              <w:rPr>
                <w:rFonts w:ascii="Verdana" w:hAnsi="Verdana"/>
                <w:sz w:val="16"/>
                <w:szCs w:val="16"/>
                <w:lang w:val="es-ES"/>
              </w:rPr>
            </w:pPr>
            <w:proofErr w:type="spellStart"/>
            <w:r w:rsidRPr="00F01347">
              <w:rPr>
                <w:rFonts w:ascii="Verdana" w:hAnsi="Verdana"/>
                <w:sz w:val="16"/>
                <w:szCs w:val="16"/>
                <w:lang w:val="es-ES"/>
              </w:rPr>
              <w:t>Tricloroeteno</w:t>
            </w:r>
            <w:proofErr w:type="spellEnd"/>
          </w:p>
        </w:tc>
        <w:tc>
          <w:tcPr>
            <w:tcW w:w="3012" w:type="dxa"/>
            <w:tcBorders>
              <w:top w:val="single" w:sz="6" w:space="0" w:color="auto"/>
              <w:left w:val="single" w:sz="6" w:space="0" w:color="auto"/>
              <w:bottom w:val="single" w:sz="6" w:space="0" w:color="auto"/>
              <w:right w:val="single" w:sz="6" w:space="0" w:color="auto"/>
            </w:tcBorders>
          </w:tcPr>
          <w:p w14:paraId="77AF3DBC"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20</w:t>
            </w:r>
          </w:p>
        </w:tc>
        <w:tc>
          <w:tcPr>
            <w:tcW w:w="2574" w:type="dxa"/>
            <w:tcBorders>
              <w:top w:val="single" w:sz="6" w:space="0" w:color="auto"/>
              <w:left w:val="single" w:sz="6" w:space="0" w:color="auto"/>
              <w:bottom w:val="single" w:sz="6" w:space="0" w:color="auto"/>
              <w:right w:val="single" w:sz="6" w:space="0" w:color="auto"/>
            </w:tcBorders>
          </w:tcPr>
          <w:p w14:paraId="18E0452B"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2060FA46" w14:textId="77777777">
        <w:trPr>
          <w:trHeight w:val="20"/>
        </w:trPr>
        <w:tc>
          <w:tcPr>
            <w:tcW w:w="3126" w:type="dxa"/>
            <w:tcBorders>
              <w:top w:val="single" w:sz="6" w:space="0" w:color="auto"/>
              <w:left w:val="single" w:sz="6" w:space="0" w:color="auto"/>
              <w:bottom w:val="single" w:sz="6" w:space="0" w:color="auto"/>
              <w:right w:val="single" w:sz="6" w:space="0" w:color="auto"/>
            </w:tcBorders>
          </w:tcPr>
          <w:p w14:paraId="5FA3E214"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1,2-dibromoetano</w:t>
            </w:r>
          </w:p>
        </w:tc>
        <w:tc>
          <w:tcPr>
            <w:tcW w:w="3012" w:type="dxa"/>
            <w:tcBorders>
              <w:top w:val="single" w:sz="6" w:space="0" w:color="auto"/>
              <w:left w:val="single" w:sz="6" w:space="0" w:color="auto"/>
              <w:bottom w:val="single" w:sz="6" w:space="0" w:color="auto"/>
              <w:right w:val="single" w:sz="6" w:space="0" w:color="auto"/>
            </w:tcBorders>
          </w:tcPr>
          <w:p w14:paraId="2D2504CA"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0.40</w:t>
            </w:r>
          </w:p>
        </w:tc>
        <w:tc>
          <w:tcPr>
            <w:tcW w:w="2574" w:type="dxa"/>
            <w:tcBorders>
              <w:top w:val="single" w:sz="6" w:space="0" w:color="auto"/>
              <w:left w:val="single" w:sz="6" w:space="0" w:color="auto"/>
              <w:bottom w:val="single" w:sz="6" w:space="0" w:color="auto"/>
              <w:right w:val="single" w:sz="6" w:space="0" w:color="auto"/>
            </w:tcBorders>
          </w:tcPr>
          <w:p w14:paraId="003585F7"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r w:rsidR="00A74CDF" w:rsidRPr="00F01347" w14:paraId="16EC457F" w14:textId="77777777">
        <w:trPr>
          <w:trHeight w:val="20"/>
        </w:trPr>
        <w:tc>
          <w:tcPr>
            <w:tcW w:w="3126" w:type="dxa"/>
            <w:tcBorders>
              <w:top w:val="single" w:sz="6" w:space="0" w:color="auto"/>
              <w:left w:val="single" w:sz="6" w:space="0" w:color="auto"/>
              <w:bottom w:val="single" w:sz="6" w:space="0" w:color="auto"/>
              <w:right w:val="single" w:sz="6" w:space="0" w:color="auto"/>
            </w:tcBorders>
          </w:tcPr>
          <w:p w14:paraId="436E02FB" w14:textId="77777777" w:rsidR="00A74CDF" w:rsidRPr="00F01347" w:rsidRDefault="00A74CDF" w:rsidP="003A601B">
            <w:pPr>
              <w:pStyle w:val="texto0"/>
              <w:spacing w:line="254" w:lineRule="exact"/>
              <w:ind w:firstLine="0"/>
              <w:rPr>
                <w:rFonts w:ascii="Verdana" w:hAnsi="Verdana"/>
                <w:sz w:val="16"/>
                <w:szCs w:val="16"/>
                <w:lang w:val="es-ES"/>
              </w:rPr>
            </w:pPr>
            <w:r w:rsidRPr="00F01347">
              <w:rPr>
                <w:rFonts w:ascii="Verdana" w:hAnsi="Verdana"/>
                <w:sz w:val="16"/>
                <w:szCs w:val="16"/>
                <w:lang w:val="es-ES"/>
              </w:rPr>
              <w:t>1,2-dibromo-3-cloropropano</w:t>
            </w:r>
          </w:p>
        </w:tc>
        <w:tc>
          <w:tcPr>
            <w:tcW w:w="3012" w:type="dxa"/>
            <w:tcBorders>
              <w:top w:val="single" w:sz="6" w:space="0" w:color="auto"/>
              <w:left w:val="single" w:sz="6" w:space="0" w:color="auto"/>
              <w:bottom w:val="single" w:sz="6" w:space="0" w:color="auto"/>
              <w:right w:val="single" w:sz="6" w:space="0" w:color="auto"/>
            </w:tcBorders>
          </w:tcPr>
          <w:p w14:paraId="6E753E35" w14:textId="77777777" w:rsidR="00A74CDF" w:rsidRPr="00F01347" w:rsidRDefault="00A74CDF" w:rsidP="003A601B">
            <w:pPr>
              <w:pStyle w:val="texto0"/>
              <w:spacing w:line="254" w:lineRule="exact"/>
              <w:ind w:firstLine="0"/>
              <w:jc w:val="center"/>
              <w:rPr>
                <w:rFonts w:ascii="Verdana" w:hAnsi="Verdana"/>
                <w:sz w:val="16"/>
                <w:szCs w:val="16"/>
              </w:rPr>
            </w:pPr>
            <w:r w:rsidRPr="00F01347">
              <w:rPr>
                <w:rFonts w:ascii="Verdana" w:hAnsi="Verdana"/>
                <w:sz w:val="16"/>
                <w:szCs w:val="16"/>
                <w:lang w:val="es-ES"/>
              </w:rPr>
              <w:t>1.0</w:t>
            </w:r>
          </w:p>
        </w:tc>
        <w:tc>
          <w:tcPr>
            <w:tcW w:w="2574" w:type="dxa"/>
            <w:tcBorders>
              <w:top w:val="single" w:sz="6" w:space="0" w:color="auto"/>
              <w:left w:val="single" w:sz="6" w:space="0" w:color="auto"/>
              <w:bottom w:val="single" w:sz="6" w:space="0" w:color="auto"/>
              <w:right w:val="single" w:sz="6" w:space="0" w:color="auto"/>
            </w:tcBorders>
          </w:tcPr>
          <w:p w14:paraId="22E06E18" w14:textId="77777777" w:rsidR="00A74CDF" w:rsidRPr="00F01347" w:rsidRDefault="00A74CDF" w:rsidP="003A601B">
            <w:pPr>
              <w:pStyle w:val="texto0"/>
              <w:spacing w:line="254" w:lineRule="exact"/>
              <w:ind w:firstLine="0"/>
              <w:jc w:val="center"/>
              <w:rPr>
                <w:rFonts w:ascii="Verdana" w:hAnsi="Verdana"/>
                <w:sz w:val="16"/>
                <w:szCs w:val="16"/>
                <w:lang w:val="es-ES"/>
              </w:rPr>
            </w:pPr>
            <w:r w:rsidRPr="00F01347">
              <w:rPr>
                <w:rFonts w:ascii="Verdana" w:hAnsi="Verdana"/>
                <w:sz w:val="16"/>
                <w:szCs w:val="16"/>
                <w:lang w:val="es-ES"/>
              </w:rPr>
              <w:t>µg/L</w:t>
            </w:r>
          </w:p>
        </w:tc>
      </w:tr>
    </w:tbl>
    <w:p w14:paraId="7E068161" w14:textId="77777777" w:rsidR="00204B58" w:rsidRPr="00F01347" w:rsidRDefault="00204B58" w:rsidP="003A601B">
      <w:pPr>
        <w:pStyle w:val="texto0"/>
        <w:ind w:firstLine="0"/>
        <w:jc w:val="center"/>
        <w:rPr>
          <w:rFonts w:ascii="Verdana" w:hAnsi="Verdana"/>
          <w:b/>
          <w:sz w:val="16"/>
          <w:szCs w:val="16"/>
        </w:rPr>
      </w:pPr>
    </w:p>
    <w:p w14:paraId="069CC20C" w14:textId="77777777" w:rsidR="008E0FA9" w:rsidRPr="00F01347" w:rsidRDefault="008E0FA9" w:rsidP="008E0FA9">
      <w:pPr>
        <w:pStyle w:val="texto0"/>
        <w:spacing w:line="254" w:lineRule="exact"/>
        <w:ind w:firstLine="0"/>
        <w:jc w:val="center"/>
        <w:rPr>
          <w:rFonts w:ascii="Verdana" w:hAnsi="Verdana"/>
          <w:b/>
          <w:sz w:val="16"/>
          <w:szCs w:val="16"/>
          <w:lang w:val="en-US"/>
        </w:rPr>
      </w:pPr>
      <w:r w:rsidRPr="00F01347">
        <w:rPr>
          <w:rFonts w:ascii="Verdana" w:hAnsi="Verdana"/>
          <w:b/>
          <w:sz w:val="16"/>
          <w:szCs w:val="16"/>
          <w:lang w:val="en-US"/>
        </w:rPr>
        <w:t xml:space="preserve">Table A.3 Permissible limits of halogenated organic compounds to </w:t>
      </w:r>
      <w:proofErr w:type="spellStart"/>
      <w:r w:rsidRPr="00F01347">
        <w:rPr>
          <w:rFonts w:ascii="Verdana" w:hAnsi="Verdana"/>
          <w:b/>
          <w:color w:val="000000"/>
          <w:sz w:val="16"/>
          <w:szCs w:val="16"/>
          <w:lang w:val="en-US"/>
        </w:rPr>
        <w:t>purgable</w:t>
      </w:r>
      <w:proofErr w:type="spellEnd"/>
      <w:r w:rsidRPr="00F01347">
        <w:rPr>
          <w:rFonts w:ascii="Verdana" w:hAnsi="Verdana"/>
          <w:b/>
          <w:color w:val="000000"/>
          <w:sz w:val="16"/>
          <w:szCs w:val="16"/>
          <w:lang w:val="en-US"/>
        </w:rPr>
        <w:t xml:space="preserve"> </w:t>
      </w:r>
      <w:proofErr w:type="spellStart"/>
      <w:r w:rsidRPr="00F01347">
        <w:rPr>
          <w:rFonts w:ascii="Verdana" w:hAnsi="Verdana"/>
          <w:b/>
          <w:color w:val="000000"/>
          <w:sz w:val="16"/>
          <w:szCs w:val="16"/>
          <w:lang w:val="en-US"/>
        </w:rPr>
        <w:t>sorbables</w:t>
      </w:r>
      <w:proofErr w:type="spellEnd"/>
    </w:p>
    <w:tbl>
      <w:tblPr>
        <w:tblW w:w="8715" w:type="dxa"/>
        <w:tblInd w:w="144" w:type="dxa"/>
        <w:tblLayout w:type="fixed"/>
        <w:tblCellMar>
          <w:left w:w="70" w:type="dxa"/>
          <w:right w:w="70" w:type="dxa"/>
        </w:tblCellMar>
        <w:tblLook w:val="04A0" w:firstRow="1" w:lastRow="0" w:firstColumn="1" w:lastColumn="0" w:noHBand="0" w:noVBand="1"/>
      </w:tblPr>
      <w:tblGrid>
        <w:gridCol w:w="3127"/>
        <w:gridCol w:w="3013"/>
        <w:gridCol w:w="2575"/>
      </w:tblGrid>
      <w:tr w:rsidR="008E0FA9" w:rsidRPr="00F01347" w14:paraId="1B0F80B1"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noWrap/>
            <w:hideMark/>
          </w:tcPr>
          <w:p w14:paraId="46CD0D04" w14:textId="77777777" w:rsidR="008E0FA9" w:rsidRPr="00F01347" w:rsidRDefault="008E0FA9">
            <w:pPr>
              <w:pStyle w:val="texto0"/>
              <w:spacing w:line="254" w:lineRule="exact"/>
              <w:ind w:firstLine="0"/>
              <w:jc w:val="center"/>
              <w:rPr>
                <w:rFonts w:ascii="Verdana" w:hAnsi="Verdana"/>
                <w:b/>
                <w:sz w:val="16"/>
                <w:szCs w:val="16"/>
                <w:lang w:val="en-US"/>
              </w:rPr>
            </w:pPr>
            <w:r w:rsidRPr="00F01347">
              <w:rPr>
                <w:rFonts w:ascii="Verdana" w:hAnsi="Verdana"/>
                <w:b/>
                <w:color w:val="000000"/>
                <w:sz w:val="16"/>
                <w:szCs w:val="16"/>
                <w:lang w:val="en-US"/>
              </w:rPr>
              <w:t>Parameters</w:t>
            </w:r>
          </w:p>
        </w:tc>
        <w:tc>
          <w:tcPr>
            <w:tcW w:w="3012" w:type="dxa"/>
            <w:tcBorders>
              <w:top w:val="single" w:sz="6" w:space="0" w:color="auto"/>
              <w:left w:val="single" w:sz="6" w:space="0" w:color="auto"/>
              <w:bottom w:val="single" w:sz="6" w:space="0" w:color="auto"/>
              <w:right w:val="single" w:sz="6" w:space="0" w:color="auto"/>
            </w:tcBorders>
            <w:hideMark/>
          </w:tcPr>
          <w:p w14:paraId="4379374F" w14:textId="77777777" w:rsidR="008E0FA9" w:rsidRPr="00F01347" w:rsidRDefault="008E0FA9">
            <w:pPr>
              <w:pStyle w:val="texto0"/>
              <w:spacing w:line="254" w:lineRule="exact"/>
              <w:ind w:firstLine="0"/>
              <w:jc w:val="center"/>
              <w:rPr>
                <w:rFonts w:ascii="Verdana" w:hAnsi="Verdana"/>
                <w:b/>
                <w:sz w:val="16"/>
                <w:szCs w:val="16"/>
                <w:lang w:val="en-US"/>
              </w:rPr>
            </w:pPr>
            <w:r w:rsidRPr="00F01347">
              <w:rPr>
                <w:rFonts w:ascii="Verdana" w:hAnsi="Verdana"/>
                <w:b/>
                <w:color w:val="000000"/>
                <w:sz w:val="16"/>
                <w:szCs w:val="16"/>
                <w:lang w:val="en-US"/>
              </w:rPr>
              <w:t>Permissible limit</w:t>
            </w:r>
          </w:p>
        </w:tc>
        <w:tc>
          <w:tcPr>
            <w:tcW w:w="2574" w:type="dxa"/>
            <w:tcBorders>
              <w:top w:val="single" w:sz="6" w:space="0" w:color="auto"/>
              <w:left w:val="single" w:sz="6" w:space="0" w:color="auto"/>
              <w:bottom w:val="single" w:sz="6" w:space="0" w:color="auto"/>
              <w:right w:val="single" w:sz="6" w:space="0" w:color="auto"/>
            </w:tcBorders>
            <w:hideMark/>
          </w:tcPr>
          <w:p w14:paraId="1C4B97E9" w14:textId="77777777" w:rsidR="008E0FA9" w:rsidRPr="00F01347" w:rsidRDefault="008E0FA9">
            <w:pPr>
              <w:pStyle w:val="texto0"/>
              <w:spacing w:line="254" w:lineRule="exact"/>
              <w:ind w:firstLine="0"/>
              <w:jc w:val="center"/>
              <w:rPr>
                <w:rFonts w:ascii="Verdana" w:hAnsi="Verdana"/>
                <w:b/>
                <w:sz w:val="16"/>
                <w:szCs w:val="16"/>
                <w:lang w:val="en-US"/>
              </w:rPr>
            </w:pPr>
            <w:r w:rsidRPr="00F01347">
              <w:rPr>
                <w:rFonts w:ascii="Verdana" w:hAnsi="Verdana"/>
                <w:b/>
                <w:color w:val="000000"/>
                <w:sz w:val="16"/>
                <w:szCs w:val="16"/>
                <w:lang w:val="en-US"/>
              </w:rPr>
              <w:t>Units</w:t>
            </w:r>
          </w:p>
        </w:tc>
      </w:tr>
      <w:tr w:rsidR="008E0FA9" w:rsidRPr="00F01347" w14:paraId="7C4F502B" w14:textId="77777777" w:rsidTr="008E0FA9">
        <w:trPr>
          <w:trHeight w:val="20"/>
        </w:trPr>
        <w:tc>
          <w:tcPr>
            <w:tcW w:w="8712" w:type="dxa"/>
            <w:gridSpan w:val="3"/>
            <w:tcBorders>
              <w:top w:val="single" w:sz="6" w:space="0" w:color="auto"/>
              <w:left w:val="single" w:sz="6" w:space="0" w:color="auto"/>
              <w:bottom w:val="single" w:sz="6" w:space="0" w:color="auto"/>
              <w:right w:val="single" w:sz="6" w:space="0" w:color="auto"/>
            </w:tcBorders>
            <w:hideMark/>
          </w:tcPr>
          <w:p w14:paraId="3CC8BEDF"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b/>
                <w:sz w:val="16"/>
                <w:szCs w:val="16"/>
                <w:lang w:val="en-US"/>
              </w:rPr>
              <w:t>VOLATILE HALOGENATED ORGANIC COMPOUNDS</w:t>
            </w:r>
          </w:p>
        </w:tc>
      </w:tr>
      <w:tr w:rsidR="008E0FA9" w:rsidRPr="00F01347" w14:paraId="015045C5"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hideMark/>
          </w:tcPr>
          <w:p w14:paraId="09C375B0"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1,2-Dichlorobenzene</w:t>
            </w:r>
          </w:p>
        </w:tc>
        <w:tc>
          <w:tcPr>
            <w:tcW w:w="3012" w:type="dxa"/>
            <w:tcBorders>
              <w:top w:val="single" w:sz="6" w:space="0" w:color="auto"/>
              <w:left w:val="single" w:sz="6" w:space="0" w:color="auto"/>
              <w:bottom w:val="single" w:sz="6" w:space="0" w:color="auto"/>
              <w:right w:val="single" w:sz="6" w:space="0" w:color="auto"/>
            </w:tcBorders>
            <w:hideMark/>
          </w:tcPr>
          <w:p w14:paraId="2A86A25A"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1000</w:t>
            </w:r>
          </w:p>
        </w:tc>
        <w:tc>
          <w:tcPr>
            <w:tcW w:w="2574" w:type="dxa"/>
            <w:tcBorders>
              <w:top w:val="single" w:sz="6" w:space="0" w:color="auto"/>
              <w:left w:val="single" w:sz="6" w:space="0" w:color="auto"/>
              <w:bottom w:val="single" w:sz="6" w:space="0" w:color="auto"/>
              <w:right w:val="single" w:sz="6" w:space="0" w:color="auto"/>
            </w:tcBorders>
            <w:hideMark/>
          </w:tcPr>
          <w:p w14:paraId="0A0F2021"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2D70CF49"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hideMark/>
          </w:tcPr>
          <w:p w14:paraId="7F913762"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1,2-Dichloroethene (cis + trans)</w:t>
            </w:r>
          </w:p>
        </w:tc>
        <w:tc>
          <w:tcPr>
            <w:tcW w:w="3012" w:type="dxa"/>
            <w:tcBorders>
              <w:top w:val="single" w:sz="6" w:space="0" w:color="auto"/>
              <w:left w:val="single" w:sz="6" w:space="0" w:color="auto"/>
              <w:bottom w:val="single" w:sz="6" w:space="0" w:color="auto"/>
              <w:right w:val="single" w:sz="6" w:space="0" w:color="auto"/>
            </w:tcBorders>
            <w:hideMark/>
          </w:tcPr>
          <w:p w14:paraId="010699E0" w14:textId="719C3AC9" w:rsidR="008E0FA9" w:rsidRPr="00F01347" w:rsidRDefault="00B3467A">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50</w:t>
            </w:r>
          </w:p>
        </w:tc>
        <w:tc>
          <w:tcPr>
            <w:tcW w:w="2574" w:type="dxa"/>
            <w:tcBorders>
              <w:top w:val="single" w:sz="6" w:space="0" w:color="auto"/>
              <w:left w:val="single" w:sz="6" w:space="0" w:color="auto"/>
              <w:bottom w:val="single" w:sz="6" w:space="0" w:color="auto"/>
              <w:right w:val="single" w:sz="6" w:space="0" w:color="auto"/>
            </w:tcBorders>
            <w:hideMark/>
          </w:tcPr>
          <w:p w14:paraId="7549DB59"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3EC8352E"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hideMark/>
          </w:tcPr>
          <w:p w14:paraId="5BCCDC64"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1,2-Dichloropropane</w:t>
            </w:r>
          </w:p>
        </w:tc>
        <w:tc>
          <w:tcPr>
            <w:tcW w:w="3012" w:type="dxa"/>
            <w:tcBorders>
              <w:top w:val="single" w:sz="6" w:space="0" w:color="auto"/>
              <w:left w:val="single" w:sz="6" w:space="0" w:color="auto"/>
              <w:bottom w:val="single" w:sz="6" w:space="0" w:color="auto"/>
              <w:right w:val="single" w:sz="6" w:space="0" w:color="auto"/>
            </w:tcBorders>
            <w:hideMark/>
          </w:tcPr>
          <w:p w14:paraId="5D2FBCFF"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40</w:t>
            </w:r>
          </w:p>
        </w:tc>
        <w:tc>
          <w:tcPr>
            <w:tcW w:w="2574" w:type="dxa"/>
            <w:tcBorders>
              <w:top w:val="single" w:sz="6" w:space="0" w:color="auto"/>
              <w:left w:val="single" w:sz="6" w:space="0" w:color="auto"/>
              <w:bottom w:val="single" w:sz="6" w:space="0" w:color="auto"/>
              <w:right w:val="single" w:sz="6" w:space="0" w:color="auto"/>
            </w:tcBorders>
            <w:hideMark/>
          </w:tcPr>
          <w:p w14:paraId="0B726638"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0AFF23CA"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hideMark/>
          </w:tcPr>
          <w:p w14:paraId="21AD0074"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1,2-Dichloroethane</w:t>
            </w:r>
          </w:p>
        </w:tc>
        <w:tc>
          <w:tcPr>
            <w:tcW w:w="3012" w:type="dxa"/>
            <w:tcBorders>
              <w:top w:val="single" w:sz="6" w:space="0" w:color="auto"/>
              <w:left w:val="single" w:sz="6" w:space="0" w:color="auto"/>
              <w:bottom w:val="single" w:sz="6" w:space="0" w:color="auto"/>
              <w:right w:val="single" w:sz="6" w:space="0" w:color="auto"/>
            </w:tcBorders>
            <w:hideMark/>
          </w:tcPr>
          <w:p w14:paraId="04F71459"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30</w:t>
            </w:r>
          </w:p>
        </w:tc>
        <w:tc>
          <w:tcPr>
            <w:tcW w:w="2574" w:type="dxa"/>
            <w:tcBorders>
              <w:top w:val="single" w:sz="6" w:space="0" w:color="auto"/>
              <w:left w:val="single" w:sz="6" w:space="0" w:color="auto"/>
              <w:bottom w:val="single" w:sz="6" w:space="0" w:color="auto"/>
              <w:right w:val="single" w:sz="6" w:space="0" w:color="auto"/>
            </w:tcBorders>
            <w:hideMark/>
          </w:tcPr>
          <w:p w14:paraId="15D44246"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603F81DD"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hideMark/>
          </w:tcPr>
          <w:p w14:paraId="790CC43C"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1,3-Dichloropropene (cis + trans)</w:t>
            </w:r>
          </w:p>
        </w:tc>
        <w:tc>
          <w:tcPr>
            <w:tcW w:w="3012" w:type="dxa"/>
            <w:tcBorders>
              <w:top w:val="single" w:sz="6" w:space="0" w:color="auto"/>
              <w:left w:val="single" w:sz="6" w:space="0" w:color="auto"/>
              <w:bottom w:val="single" w:sz="6" w:space="0" w:color="auto"/>
              <w:right w:val="single" w:sz="6" w:space="0" w:color="auto"/>
            </w:tcBorders>
            <w:hideMark/>
          </w:tcPr>
          <w:p w14:paraId="79D1396A" w14:textId="7AFB7DA5" w:rsidR="008E0FA9" w:rsidRPr="00F01347" w:rsidRDefault="00B3467A">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20</w:t>
            </w:r>
          </w:p>
        </w:tc>
        <w:tc>
          <w:tcPr>
            <w:tcW w:w="2574" w:type="dxa"/>
            <w:tcBorders>
              <w:top w:val="single" w:sz="6" w:space="0" w:color="auto"/>
              <w:left w:val="single" w:sz="6" w:space="0" w:color="auto"/>
              <w:bottom w:val="single" w:sz="6" w:space="0" w:color="auto"/>
              <w:right w:val="single" w:sz="6" w:space="0" w:color="auto"/>
            </w:tcBorders>
            <w:hideMark/>
          </w:tcPr>
          <w:p w14:paraId="6A948F04"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34577697"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hideMark/>
          </w:tcPr>
          <w:p w14:paraId="7F65ED53"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1,4-Dichlorobenzene</w:t>
            </w:r>
          </w:p>
        </w:tc>
        <w:tc>
          <w:tcPr>
            <w:tcW w:w="3012" w:type="dxa"/>
            <w:tcBorders>
              <w:top w:val="single" w:sz="6" w:space="0" w:color="auto"/>
              <w:left w:val="single" w:sz="6" w:space="0" w:color="auto"/>
              <w:bottom w:val="single" w:sz="6" w:space="0" w:color="auto"/>
              <w:right w:val="single" w:sz="6" w:space="0" w:color="auto"/>
            </w:tcBorders>
            <w:hideMark/>
          </w:tcPr>
          <w:p w14:paraId="044E7487"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300</w:t>
            </w:r>
          </w:p>
        </w:tc>
        <w:tc>
          <w:tcPr>
            <w:tcW w:w="2574" w:type="dxa"/>
            <w:tcBorders>
              <w:top w:val="single" w:sz="6" w:space="0" w:color="auto"/>
              <w:left w:val="single" w:sz="6" w:space="0" w:color="auto"/>
              <w:bottom w:val="single" w:sz="6" w:space="0" w:color="auto"/>
              <w:right w:val="single" w:sz="6" w:space="0" w:color="auto"/>
            </w:tcBorders>
            <w:hideMark/>
          </w:tcPr>
          <w:p w14:paraId="50D91DC2"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673CFA2C"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hideMark/>
          </w:tcPr>
          <w:p w14:paraId="1A6D53E7"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Vinyl chloride</w:t>
            </w:r>
          </w:p>
        </w:tc>
        <w:tc>
          <w:tcPr>
            <w:tcW w:w="3012" w:type="dxa"/>
            <w:tcBorders>
              <w:top w:val="single" w:sz="6" w:space="0" w:color="auto"/>
              <w:left w:val="single" w:sz="6" w:space="0" w:color="auto"/>
              <w:bottom w:val="single" w:sz="6" w:space="0" w:color="auto"/>
              <w:right w:val="single" w:sz="6" w:space="0" w:color="auto"/>
            </w:tcBorders>
            <w:hideMark/>
          </w:tcPr>
          <w:p w14:paraId="6F387E9C"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0.30</w:t>
            </w:r>
          </w:p>
        </w:tc>
        <w:tc>
          <w:tcPr>
            <w:tcW w:w="2574" w:type="dxa"/>
            <w:tcBorders>
              <w:top w:val="single" w:sz="6" w:space="0" w:color="auto"/>
              <w:left w:val="single" w:sz="6" w:space="0" w:color="auto"/>
              <w:bottom w:val="single" w:sz="6" w:space="0" w:color="auto"/>
              <w:right w:val="single" w:sz="6" w:space="0" w:color="auto"/>
            </w:tcBorders>
            <w:hideMark/>
          </w:tcPr>
          <w:p w14:paraId="655E21A1"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60FCFE72"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hideMark/>
          </w:tcPr>
          <w:p w14:paraId="29565E46"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Dichloromethane</w:t>
            </w:r>
          </w:p>
        </w:tc>
        <w:tc>
          <w:tcPr>
            <w:tcW w:w="3012" w:type="dxa"/>
            <w:tcBorders>
              <w:top w:val="single" w:sz="6" w:space="0" w:color="auto"/>
              <w:left w:val="single" w:sz="6" w:space="0" w:color="auto"/>
              <w:bottom w:val="single" w:sz="6" w:space="0" w:color="auto"/>
              <w:right w:val="single" w:sz="6" w:space="0" w:color="auto"/>
            </w:tcBorders>
            <w:hideMark/>
          </w:tcPr>
          <w:p w14:paraId="716B79AB" w14:textId="1EA9B78C" w:rsidR="008E0FA9" w:rsidRPr="00F01347" w:rsidRDefault="00B3467A">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20</w:t>
            </w:r>
          </w:p>
        </w:tc>
        <w:tc>
          <w:tcPr>
            <w:tcW w:w="2574" w:type="dxa"/>
            <w:tcBorders>
              <w:top w:val="single" w:sz="6" w:space="0" w:color="auto"/>
              <w:left w:val="single" w:sz="6" w:space="0" w:color="auto"/>
              <w:bottom w:val="single" w:sz="6" w:space="0" w:color="auto"/>
              <w:right w:val="single" w:sz="6" w:space="0" w:color="auto"/>
            </w:tcBorders>
            <w:hideMark/>
          </w:tcPr>
          <w:p w14:paraId="432797F2"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1F50FB4F"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hideMark/>
          </w:tcPr>
          <w:p w14:paraId="64BA4BF4"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Tetrachloroethene</w:t>
            </w:r>
          </w:p>
        </w:tc>
        <w:tc>
          <w:tcPr>
            <w:tcW w:w="3012" w:type="dxa"/>
            <w:tcBorders>
              <w:top w:val="single" w:sz="6" w:space="0" w:color="auto"/>
              <w:left w:val="single" w:sz="6" w:space="0" w:color="auto"/>
              <w:bottom w:val="single" w:sz="6" w:space="0" w:color="auto"/>
              <w:right w:val="single" w:sz="6" w:space="0" w:color="auto"/>
            </w:tcBorders>
            <w:hideMark/>
          </w:tcPr>
          <w:p w14:paraId="5A00C919"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40</w:t>
            </w:r>
          </w:p>
        </w:tc>
        <w:tc>
          <w:tcPr>
            <w:tcW w:w="2574" w:type="dxa"/>
            <w:tcBorders>
              <w:top w:val="single" w:sz="6" w:space="0" w:color="auto"/>
              <w:left w:val="single" w:sz="6" w:space="0" w:color="auto"/>
              <w:bottom w:val="single" w:sz="6" w:space="0" w:color="auto"/>
              <w:right w:val="single" w:sz="6" w:space="0" w:color="auto"/>
            </w:tcBorders>
            <w:hideMark/>
          </w:tcPr>
          <w:p w14:paraId="6B2FAEC7"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77FFA21A"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hideMark/>
          </w:tcPr>
          <w:p w14:paraId="00C5D8A6"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Carbon tetrachloride</w:t>
            </w:r>
          </w:p>
        </w:tc>
        <w:tc>
          <w:tcPr>
            <w:tcW w:w="3012" w:type="dxa"/>
            <w:tcBorders>
              <w:top w:val="single" w:sz="6" w:space="0" w:color="auto"/>
              <w:left w:val="single" w:sz="6" w:space="0" w:color="auto"/>
              <w:bottom w:val="single" w:sz="6" w:space="0" w:color="auto"/>
              <w:right w:val="single" w:sz="6" w:space="0" w:color="auto"/>
            </w:tcBorders>
            <w:hideMark/>
          </w:tcPr>
          <w:p w14:paraId="41150EB4"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4.0</w:t>
            </w:r>
          </w:p>
        </w:tc>
        <w:tc>
          <w:tcPr>
            <w:tcW w:w="2574" w:type="dxa"/>
            <w:tcBorders>
              <w:top w:val="single" w:sz="6" w:space="0" w:color="auto"/>
              <w:left w:val="single" w:sz="6" w:space="0" w:color="auto"/>
              <w:bottom w:val="single" w:sz="6" w:space="0" w:color="auto"/>
              <w:right w:val="single" w:sz="6" w:space="0" w:color="auto"/>
            </w:tcBorders>
            <w:hideMark/>
          </w:tcPr>
          <w:p w14:paraId="5FE1E449"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55A5AC42"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hideMark/>
          </w:tcPr>
          <w:p w14:paraId="24FABAA1"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Trichloroethene</w:t>
            </w:r>
          </w:p>
        </w:tc>
        <w:tc>
          <w:tcPr>
            <w:tcW w:w="3012" w:type="dxa"/>
            <w:tcBorders>
              <w:top w:val="single" w:sz="6" w:space="0" w:color="auto"/>
              <w:left w:val="single" w:sz="6" w:space="0" w:color="auto"/>
              <w:bottom w:val="single" w:sz="6" w:space="0" w:color="auto"/>
              <w:right w:val="single" w:sz="6" w:space="0" w:color="auto"/>
            </w:tcBorders>
            <w:hideMark/>
          </w:tcPr>
          <w:p w14:paraId="41D67DA4" w14:textId="677E531F" w:rsidR="008E0FA9" w:rsidRPr="00F01347" w:rsidRDefault="00B3467A">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20</w:t>
            </w:r>
          </w:p>
        </w:tc>
        <w:tc>
          <w:tcPr>
            <w:tcW w:w="2574" w:type="dxa"/>
            <w:tcBorders>
              <w:top w:val="single" w:sz="6" w:space="0" w:color="auto"/>
              <w:left w:val="single" w:sz="6" w:space="0" w:color="auto"/>
              <w:bottom w:val="single" w:sz="6" w:space="0" w:color="auto"/>
              <w:right w:val="single" w:sz="6" w:space="0" w:color="auto"/>
            </w:tcBorders>
            <w:hideMark/>
          </w:tcPr>
          <w:p w14:paraId="5C9EDD89"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078BDE2E"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hideMark/>
          </w:tcPr>
          <w:p w14:paraId="4FCE317F"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1,2-dibromoethane</w:t>
            </w:r>
          </w:p>
        </w:tc>
        <w:tc>
          <w:tcPr>
            <w:tcW w:w="3012" w:type="dxa"/>
            <w:tcBorders>
              <w:top w:val="single" w:sz="6" w:space="0" w:color="auto"/>
              <w:left w:val="single" w:sz="6" w:space="0" w:color="auto"/>
              <w:bottom w:val="single" w:sz="6" w:space="0" w:color="auto"/>
              <w:right w:val="single" w:sz="6" w:space="0" w:color="auto"/>
            </w:tcBorders>
            <w:hideMark/>
          </w:tcPr>
          <w:p w14:paraId="344DC6F4"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0.40</w:t>
            </w:r>
          </w:p>
        </w:tc>
        <w:tc>
          <w:tcPr>
            <w:tcW w:w="2574" w:type="dxa"/>
            <w:tcBorders>
              <w:top w:val="single" w:sz="6" w:space="0" w:color="auto"/>
              <w:left w:val="single" w:sz="6" w:space="0" w:color="auto"/>
              <w:bottom w:val="single" w:sz="6" w:space="0" w:color="auto"/>
              <w:right w:val="single" w:sz="6" w:space="0" w:color="auto"/>
            </w:tcBorders>
            <w:hideMark/>
          </w:tcPr>
          <w:p w14:paraId="26D6551C"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r w:rsidR="008E0FA9" w:rsidRPr="00F01347" w14:paraId="5F667016" w14:textId="77777777" w:rsidTr="008E0FA9">
        <w:trPr>
          <w:trHeight w:val="20"/>
        </w:trPr>
        <w:tc>
          <w:tcPr>
            <w:tcW w:w="3126" w:type="dxa"/>
            <w:tcBorders>
              <w:top w:val="single" w:sz="6" w:space="0" w:color="auto"/>
              <w:left w:val="single" w:sz="6" w:space="0" w:color="auto"/>
              <w:bottom w:val="single" w:sz="6" w:space="0" w:color="auto"/>
              <w:right w:val="single" w:sz="6" w:space="0" w:color="auto"/>
            </w:tcBorders>
            <w:hideMark/>
          </w:tcPr>
          <w:p w14:paraId="1BD7375F" w14:textId="77777777" w:rsidR="008E0FA9" w:rsidRPr="00F01347" w:rsidRDefault="008E0FA9">
            <w:pPr>
              <w:pStyle w:val="texto0"/>
              <w:spacing w:line="254" w:lineRule="exact"/>
              <w:ind w:firstLine="0"/>
              <w:rPr>
                <w:rFonts w:ascii="Verdana" w:hAnsi="Verdana"/>
                <w:sz w:val="16"/>
                <w:szCs w:val="16"/>
                <w:lang w:val="en-US"/>
              </w:rPr>
            </w:pPr>
            <w:r w:rsidRPr="00F01347">
              <w:rPr>
                <w:rFonts w:ascii="Verdana" w:hAnsi="Verdana"/>
                <w:sz w:val="16"/>
                <w:szCs w:val="16"/>
                <w:lang w:val="en-US"/>
              </w:rPr>
              <w:t>1,2-dibromo-3-chloropropane</w:t>
            </w:r>
          </w:p>
        </w:tc>
        <w:tc>
          <w:tcPr>
            <w:tcW w:w="3012" w:type="dxa"/>
            <w:tcBorders>
              <w:top w:val="single" w:sz="6" w:space="0" w:color="auto"/>
              <w:left w:val="single" w:sz="6" w:space="0" w:color="auto"/>
              <w:bottom w:val="single" w:sz="6" w:space="0" w:color="auto"/>
              <w:right w:val="single" w:sz="6" w:space="0" w:color="auto"/>
            </w:tcBorders>
            <w:hideMark/>
          </w:tcPr>
          <w:p w14:paraId="2A73F4E1"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1.0</w:t>
            </w:r>
          </w:p>
        </w:tc>
        <w:tc>
          <w:tcPr>
            <w:tcW w:w="2574" w:type="dxa"/>
            <w:tcBorders>
              <w:top w:val="single" w:sz="6" w:space="0" w:color="auto"/>
              <w:left w:val="single" w:sz="6" w:space="0" w:color="auto"/>
              <w:bottom w:val="single" w:sz="6" w:space="0" w:color="auto"/>
              <w:right w:val="single" w:sz="6" w:space="0" w:color="auto"/>
            </w:tcBorders>
            <w:hideMark/>
          </w:tcPr>
          <w:p w14:paraId="3D862C83" w14:textId="77777777" w:rsidR="008E0FA9" w:rsidRPr="00F01347" w:rsidRDefault="008E0FA9">
            <w:pPr>
              <w:pStyle w:val="texto0"/>
              <w:spacing w:line="254" w:lineRule="exact"/>
              <w:ind w:firstLine="0"/>
              <w:jc w:val="center"/>
              <w:rPr>
                <w:rFonts w:ascii="Verdana" w:hAnsi="Verdana"/>
                <w:sz w:val="16"/>
                <w:szCs w:val="16"/>
                <w:lang w:val="en-US"/>
              </w:rPr>
            </w:pPr>
            <w:r w:rsidRPr="00F01347">
              <w:rPr>
                <w:rFonts w:ascii="Verdana" w:hAnsi="Verdana"/>
                <w:sz w:val="16"/>
                <w:szCs w:val="16"/>
                <w:lang w:val="en-US"/>
              </w:rPr>
              <w:t>µg/L</w:t>
            </w:r>
          </w:p>
        </w:tc>
      </w:tr>
    </w:tbl>
    <w:p w14:paraId="2B9692CC" w14:textId="77777777" w:rsidR="008E0FA9" w:rsidRPr="00F01347" w:rsidRDefault="008E0FA9" w:rsidP="003A601B">
      <w:pPr>
        <w:pStyle w:val="texto0"/>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B08BD" w:rsidRPr="00F01347" w14:paraId="44C48519" w14:textId="0BBECC96" w:rsidTr="00B3467A">
        <w:tc>
          <w:tcPr>
            <w:tcW w:w="4675" w:type="dxa"/>
          </w:tcPr>
          <w:p w14:paraId="2F7C0B26" w14:textId="77777777" w:rsidR="001B08BD" w:rsidRPr="00F01347" w:rsidRDefault="001B08BD" w:rsidP="001B08BD">
            <w:pPr>
              <w:pStyle w:val="texto0"/>
              <w:ind w:firstLine="0"/>
              <w:jc w:val="center"/>
              <w:rPr>
                <w:rFonts w:ascii="Verdana" w:hAnsi="Verdana"/>
                <w:b/>
                <w:sz w:val="16"/>
                <w:szCs w:val="16"/>
              </w:rPr>
            </w:pPr>
            <w:r w:rsidRPr="00F01347">
              <w:rPr>
                <w:rFonts w:ascii="Verdana" w:hAnsi="Verdana"/>
                <w:b/>
                <w:sz w:val="16"/>
                <w:szCs w:val="16"/>
              </w:rPr>
              <w:t>APÉNDICE B NORMATIVO</w:t>
            </w:r>
          </w:p>
        </w:tc>
        <w:tc>
          <w:tcPr>
            <w:tcW w:w="4675" w:type="dxa"/>
          </w:tcPr>
          <w:p w14:paraId="31BB4DF1" w14:textId="492E82A6" w:rsidR="001B08BD" w:rsidRPr="00C621FF" w:rsidRDefault="00B3467A" w:rsidP="001B08BD">
            <w:pPr>
              <w:pStyle w:val="texto0"/>
              <w:ind w:firstLine="0"/>
              <w:jc w:val="center"/>
              <w:rPr>
                <w:rFonts w:ascii="Verdana" w:hAnsi="Verdana"/>
                <w:b/>
                <w:sz w:val="16"/>
                <w:szCs w:val="16"/>
                <w:lang w:val="en-US"/>
              </w:rPr>
            </w:pPr>
            <w:r w:rsidRPr="00C621FF">
              <w:rPr>
                <w:rFonts w:ascii="Verdana" w:hAnsi="Verdana"/>
                <w:b/>
                <w:sz w:val="16"/>
                <w:szCs w:val="16"/>
                <w:lang w:val="en-US"/>
              </w:rPr>
              <w:t>OBLIGATORY</w:t>
            </w:r>
            <w:r w:rsidR="001B08BD" w:rsidRPr="00C621FF">
              <w:rPr>
                <w:rFonts w:ascii="Verdana" w:hAnsi="Verdana"/>
                <w:b/>
                <w:sz w:val="16"/>
                <w:szCs w:val="16"/>
                <w:lang w:val="en-US"/>
              </w:rPr>
              <w:t xml:space="preserve"> APPENDIX B</w:t>
            </w:r>
          </w:p>
        </w:tc>
      </w:tr>
      <w:tr w:rsidR="001B08BD" w:rsidRPr="00F01347" w14:paraId="38419D84" w14:textId="66D40857" w:rsidTr="00B3467A">
        <w:tc>
          <w:tcPr>
            <w:tcW w:w="4675" w:type="dxa"/>
          </w:tcPr>
          <w:p w14:paraId="4232F72F" w14:textId="77777777" w:rsidR="001B08BD" w:rsidRPr="00F01347" w:rsidRDefault="001B08BD" w:rsidP="001B08BD">
            <w:pPr>
              <w:pStyle w:val="texto0"/>
              <w:ind w:firstLine="0"/>
              <w:jc w:val="center"/>
              <w:rPr>
                <w:rFonts w:ascii="Verdana" w:hAnsi="Verdana"/>
                <w:b/>
                <w:sz w:val="16"/>
                <w:szCs w:val="16"/>
              </w:rPr>
            </w:pPr>
            <w:r w:rsidRPr="00F01347">
              <w:rPr>
                <w:rFonts w:ascii="Verdana" w:hAnsi="Verdana"/>
                <w:b/>
                <w:sz w:val="16"/>
                <w:szCs w:val="16"/>
              </w:rPr>
              <w:t>Métodos de prueba</w:t>
            </w:r>
          </w:p>
        </w:tc>
        <w:tc>
          <w:tcPr>
            <w:tcW w:w="4675" w:type="dxa"/>
          </w:tcPr>
          <w:p w14:paraId="6F50D076" w14:textId="3237DB9B" w:rsidR="001B08BD" w:rsidRPr="00C621FF" w:rsidRDefault="001B08BD" w:rsidP="001B08BD">
            <w:pPr>
              <w:pStyle w:val="texto0"/>
              <w:ind w:firstLine="0"/>
              <w:jc w:val="center"/>
              <w:rPr>
                <w:rFonts w:ascii="Verdana" w:hAnsi="Verdana"/>
                <w:b/>
                <w:sz w:val="16"/>
                <w:szCs w:val="16"/>
                <w:lang w:val="en-US"/>
              </w:rPr>
            </w:pPr>
            <w:r w:rsidRPr="00C621FF">
              <w:rPr>
                <w:rFonts w:ascii="Verdana" w:hAnsi="Verdana"/>
                <w:b/>
                <w:sz w:val="16"/>
                <w:szCs w:val="16"/>
                <w:lang w:val="en-US"/>
              </w:rPr>
              <w:t>Test methods</w:t>
            </w:r>
          </w:p>
        </w:tc>
      </w:tr>
      <w:tr w:rsidR="001B08BD" w:rsidRPr="00F01347" w14:paraId="0D33A11A" w14:textId="05A42249" w:rsidTr="00B3467A">
        <w:tc>
          <w:tcPr>
            <w:tcW w:w="4675" w:type="dxa"/>
          </w:tcPr>
          <w:p w14:paraId="4844A9D1" w14:textId="77777777" w:rsidR="001B08BD" w:rsidRPr="00F01347" w:rsidRDefault="001B08BD" w:rsidP="001B08BD">
            <w:pPr>
              <w:pStyle w:val="texto0"/>
              <w:spacing w:after="60" w:line="204" w:lineRule="exact"/>
              <w:ind w:firstLine="0"/>
              <w:rPr>
                <w:rFonts w:ascii="Verdana" w:hAnsi="Verdana"/>
                <w:b/>
                <w:sz w:val="16"/>
                <w:szCs w:val="16"/>
              </w:rPr>
            </w:pPr>
            <w:r w:rsidRPr="00F01347">
              <w:rPr>
                <w:rFonts w:ascii="Verdana" w:hAnsi="Verdana"/>
                <w:b/>
                <w:sz w:val="16"/>
                <w:szCs w:val="16"/>
              </w:rPr>
              <w:t>B.1 MÉTODOS PARA LA DETERMINACIÓN DE MICROCISTINA EN AGUA PARA USO Y CONSUMO HUMANO</w:t>
            </w:r>
          </w:p>
        </w:tc>
        <w:tc>
          <w:tcPr>
            <w:tcW w:w="4675" w:type="dxa"/>
          </w:tcPr>
          <w:p w14:paraId="04C40C63" w14:textId="23F09404" w:rsidR="001B08BD" w:rsidRPr="00C621FF" w:rsidRDefault="001B08BD" w:rsidP="001B08BD">
            <w:pPr>
              <w:pStyle w:val="texto0"/>
              <w:spacing w:after="60" w:line="204" w:lineRule="exact"/>
              <w:ind w:firstLine="0"/>
              <w:rPr>
                <w:rFonts w:ascii="Verdana" w:hAnsi="Verdana"/>
                <w:b/>
                <w:sz w:val="16"/>
                <w:szCs w:val="16"/>
                <w:lang w:val="en-US"/>
              </w:rPr>
            </w:pPr>
            <w:r w:rsidRPr="00C621FF">
              <w:rPr>
                <w:rFonts w:ascii="Verdana" w:hAnsi="Verdana"/>
                <w:b/>
                <w:sz w:val="16"/>
                <w:szCs w:val="16"/>
                <w:lang w:val="en-US"/>
              </w:rPr>
              <w:t>B.1 METHODS FOR THE DETERMINATION OF MICROCYSTIN IN WATER FOR HUMAN USE AND CONSUMPTION</w:t>
            </w:r>
          </w:p>
        </w:tc>
      </w:tr>
      <w:tr w:rsidR="001B08BD" w:rsidRPr="00F01347" w14:paraId="036416EF" w14:textId="52D99096" w:rsidTr="00B3467A">
        <w:tc>
          <w:tcPr>
            <w:tcW w:w="4675" w:type="dxa"/>
          </w:tcPr>
          <w:p w14:paraId="10B824AF" w14:textId="77777777" w:rsidR="001B08BD" w:rsidRPr="00F01347" w:rsidRDefault="001B08BD" w:rsidP="001B08BD">
            <w:pPr>
              <w:pStyle w:val="texto0"/>
              <w:spacing w:after="60" w:line="204" w:lineRule="exact"/>
              <w:ind w:firstLine="0"/>
              <w:rPr>
                <w:rFonts w:ascii="Verdana" w:hAnsi="Verdana"/>
                <w:sz w:val="16"/>
                <w:szCs w:val="16"/>
              </w:rPr>
            </w:pPr>
            <w:r w:rsidRPr="00F01347">
              <w:rPr>
                <w:rFonts w:ascii="Verdana" w:hAnsi="Verdana"/>
                <w:sz w:val="16"/>
                <w:szCs w:val="16"/>
              </w:rPr>
              <w:t xml:space="preserve">Para el cumplimiento de esta Norma, se deberá utilizar el método de ELISA cualitativo de respuesta rápida (screening) para la determinación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y </w:t>
            </w:r>
            <w:proofErr w:type="spellStart"/>
            <w:r w:rsidRPr="00F01347">
              <w:rPr>
                <w:rFonts w:ascii="Verdana" w:hAnsi="Verdana"/>
                <w:sz w:val="16"/>
                <w:szCs w:val="16"/>
              </w:rPr>
              <w:t>nodularinas</w:t>
            </w:r>
            <w:proofErr w:type="spellEnd"/>
            <w:r w:rsidRPr="00F01347">
              <w:rPr>
                <w:rFonts w:ascii="Verdana" w:hAnsi="Verdana"/>
                <w:sz w:val="16"/>
                <w:szCs w:val="16"/>
              </w:rPr>
              <w:t xml:space="preserve"> totales, contenido en el punto</w:t>
            </w:r>
            <w:r w:rsidRPr="00F01347">
              <w:rPr>
                <w:rFonts w:ascii="Verdana" w:hAnsi="Verdana"/>
                <w:b/>
                <w:sz w:val="16"/>
                <w:szCs w:val="16"/>
              </w:rPr>
              <w:t xml:space="preserve"> </w:t>
            </w:r>
            <w:r w:rsidRPr="00F01347">
              <w:rPr>
                <w:rFonts w:ascii="Verdana" w:hAnsi="Verdana"/>
                <w:sz w:val="16"/>
                <w:szCs w:val="16"/>
              </w:rPr>
              <w:t>B.1.1 de este Apéndice).</w:t>
            </w:r>
          </w:p>
        </w:tc>
        <w:tc>
          <w:tcPr>
            <w:tcW w:w="4675" w:type="dxa"/>
          </w:tcPr>
          <w:p w14:paraId="7F8CABAC" w14:textId="7B04D152" w:rsidR="001B08BD" w:rsidRPr="00C621FF" w:rsidRDefault="001B08BD" w:rsidP="001B08BD">
            <w:pPr>
              <w:pStyle w:val="texto0"/>
              <w:spacing w:after="60" w:line="204" w:lineRule="exact"/>
              <w:ind w:firstLine="0"/>
              <w:rPr>
                <w:rFonts w:ascii="Verdana" w:hAnsi="Verdana"/>
                <w:sz w:val="16"/>
                <w:szCs w:val="16"/>
                <w:lang w:val="en-US"/>
              </w:rPr>
            </w:pPr>
            <w:r w:rsidRPr="00C621FF">
              <w:rPr>
                <w:rFonts w:ascii="Verdana" w:hAnsi="Verdana"/>
                <w:sz w:val="16"/>
                <w:szCs w:val="16"/>
                <w:lang w:val="en-US"/>
              </w:rPr>
              <w:t xml:space="preserve">To comply with this Standard, the rapid response qualitative ELISA method (screening) must be used for the determination of </w:t>
            </w:r>
            <w:proofErr w:type="spellStart"/>
            <w:r w:rsidRPr="00C621FF">
              <w:rPr>
                <w:rFonts w:ascii="Verdana" w:hAnsi="Verdana"/>
                <w:sz w:val="16"/>
                <w:szCs w:val="16"/>
                <w:lang w:val="en-US"/>
              </w:rPr>
              <w:t>microcystins</w:t>
            </w:r>
            <w:proofErr w:type="spellEnd"/>
            <w:r w:rsidRPr="00C621FF">
              <w:rPr>
                <w:rFonts w:ascii="Verdana" w:hAnsi="Verdana"/>
                <w:sz w:val="16"/>
                <w:szCs w:val="16"/>
                <w:lang w:val="en-US"/>
              </w:rPr>
              <w:t xml:space="preserve"> and total </w:t>
            </w:r>
            <w:proofErr w:type="spellStart"/>
            <w:r w:rsidRPr="00C621FF">
              <w:rPr>
                <w:rFonts w:ascii="Verdana" w:hAnsi="Verdana"/>
                <w:sz w:val="16"/>
                <w:szCs w:val="16"/>
                <w:lang w:val="en-US"/>
              </w:rPr>
              <w:t>nodularins</w:t>
            </w:r>
            <w:proofErr w:type="spellEnd"/>
            <w:r w:rsidR="003E1BA9" w:rsidRPr="00C621FF">
              <w:rPr>
                <w:rFonts w:ascii="Verdana" w:hAnsi="Verdana"/>
                <w:sz w:val="16"/>
                <w:szCs w:val="16"/>
                <w:lang w:val="en-US"/>
              </w:rPr>
              <w:t>,</w:t>
            </w:r>
            <w:r w:rsidRPr="00C621FF">
              <w:rPr>
                <w:rFonts w:ascii="Verdana" w:hAnsi="Verdana"/>
                <w:sz w:val="16"/>
                <w:szCs w:val="16"/>
                <w:lang w:val="en-US"/>
              </w:rPr>
              <w:t xml:space="preserve"> contained in the point</w:t>
            </w:r>
            <w:r w:rsidRPr="00C621FF">
              <w:rPr>
                <w:rFonts w:ascii="Verdana" w:hAnsi="Verdana"/>
                <w:b/>
                <w:sz w:val="16"/>
                <w:szCs w:val="16"/>
                <w:lang w:val="en-US"/>
              </w:rPr>
              <w:t xml:space="preserve"> </w:t>
            </w:r>
            <w:r w:rsidRPr="00C621FF">
              <w:rPr>
                <w:rFonts w:ascii="Verdana" w:hAnsi="Verdana"/>
                <w:sz w:val="16"/>
                <w:szCs w:val="16"/>
                <w:lang w:val="en-US"/>
              </w:rPr>
              <w:t>B.1.1 of this Appendix).</w:t>
            </w:r>
          </w:p>
        </w:tc>
      </w:tr>
      <w:tr w:rsidR="001B08BD" w:rsidRPr="00F01347" w14:paraId="2623C128" w14:textId="65948D21" w:rsidTr="00B3467A">
        <w:tc>
          <w:tcPr>
            <w:tcW w:w="4675" w:type="dxa"/>
          </w:tcPr>
          <w:p w14:paraId="31D07BA2" w14:textId="77777777" w:rsidR="001B08BD" w:rsidRPr="00F01347" w:rsidRDefault="001B08BD" w:rsidP="001B08BD">
            <w:pPr>
              <w:pStyle w:val="texto0"/>
              <w:spacing w:after="60" w:line="204" w:lineRule="exact"/>
              <w:ind w:firstLine="0"/>
              <w:rPr>
                <w:rFonts w:ascii="Verdana" w:hAnsi="Verdana"/>
                <w:sz w:val="16"/>
                <w:szCs w:val="16"/>
              </w:rPr>
            </w:pPr>
            <w:r w:rsidRPr="00F01347">
              <w:rPr>
                <w:rFonts w:ascii="Verdana" w:hAnsi="Verdana"/>
                <w:sz w:val="16"/>
                <w:szCs w:val="16"/>
              </w:rPr>
              <w:t xml:space="preserve">En caso de que dicho método resulte en la ausencia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o </w:t>
            </w:r>
            <w:proofErr w:type="spellStart"/>
            <w:r w:rsidRPr="00F01347">
              <w:rPr>
                <w:rFonts w:ascii="Verdana" w:hAnsi="Verdana"/>
                <w:sz w:val="16"/>
                <w:szCs w:val="16"/>
              </w:rPr>
              <w:t>nodularinas</w:t>
            </w:r>
            <w:proofErr w:type="spellEnd"/>
            <w:r w:rsidRPr="00F01347">
              <w:rPr>
                <w:rFonts w:ascii="Verdana" w:hAnsi="Verdana"/>
                <w:sz w:val="16"/>
                <w:szCs w:val="16"/>
              </w:rPr>
              <w:t xml:space="preserve"> totales no será necesario llevar a cabo ningún método confirmatorio adicional.</w:t>
            </w:r>
          </w:p>
        </w:tc>
        <w:tc>
          <w:tcPr>
            <w:tcW w:w="4675" w:type="dxa"/>
          </w:tcPr>
          <w:p w14:paraId="0EF71D42" w14:textId="44D2681C" w:rsidR="001B08BD" w:rsidRPr="00C621FF" w:rsidRDefault="001B08BD" w:rsidP="001B08BD">
            <w:pPr>
              <w:pStyle w:val="texto0"/>
              <w:spacing w:after="60" w:line="204" w:lineRule="exact"/>
              <w:ind w:firstLine="0"/>
              <w:rPr>
                <w:rFonts w:ascii="Verdana" w:hAnsi="Verdana"/>
                <w:sz w:val="16"/>
                <w:szCs w:val="16"/>
                <w:lang w:val="en-US"/>
              </w:rPr>
            </w:pPr>
            <w:r w:rsidRPr="00C621FF">
              <w:rPr>
                <w:rFonts w:ascii="Verdana" w:hAnsi="Verdana"/>
                <w:sz w:val="16"/>
                <w:szCs w:val="16"/>
                <w:lang w:val="en-US"/>
              </w:rPr>
              <w:t xml:space="preserve">If this method results in the absence of total </w:t>
            </w:r>
            <w:proofErr w:type="spellStart"/>
            <w:r w:rsidRPr="00C621FF">
              <w:rPr>
                <w:rFonts w:ascii="Verdana" w:hAnsi="Verdana"/>
                <w:sz w:val="16"/>
                <w:szCs w:val="16"/>
                <w:lang w:val="en-US"/>
              </w:rPr>
              <w:t>microcystins</w:t>
            </w:r>
            <w:proofErr w:type="spellEnd"/>
            <w:r w:rsidRPr="00C621FF">
              <w:rPr>
                <w:rFonts w:ascii="Verdana" w:hAnsi="Verdana"/>
                <w:sz w:val="16"/>
                <w:szCs w:val="16"/>
                <w:lang w:val="en-US"/>
              </w:rPr>
              <w:t xml:space="preserve"> or </w:t>
            </w:r>
            <w:proofErr w:type="spellStart"/>
            <w:r w:rsidRPr="00C621FF">
              <w:rPr>
                <w:rFonts w:ascii="Verdana" w:hAnsi="Verdana"/>
                <w:sz w:val="16"/>
                <w:szCs w:val="16"/>
                <w:lang w:val="en-US"/>
              </w:rPr>
              <w:t>nodularins</w:t>
            </w:r>
            <w:proofErr w:type="spellEnd"/>
            <w:r w:rsidR="003E1BA9" w:rsidRPr="00C621FF">
              <w:rPr>
                <w:rFonts w:ascii="Verdana" w:hAnsi="Verdana"/>
                <w:sz w:val="16"/>
                <w:szCs w:val="16"/>
                <w:lang w:val="en-US"/>
              </w:rPr>
              <w:t>,</w:t>
            </w:r>
            <w:r w:rsidRPr="00C621FF">
              <w:rPr>
                <w:rFonts w:ascii="Verdana" w:hAnsi="Verdana"/>
                <w:sz w:val="16"/>
                <w:szCs w:val="16"/>
                <w:lang w:val="en-US"/>
              </w:rPr>
              <w:t xml:space="preserve"> it will not be necessary to carry out any additional confirmatory method.</w:t>
            </w:r>
          </w:p>
        </w:tc>
      </w:tr>
      <w:tr w:rsidR="001B08BD" w:rsidRPr="00F01347" w14:paraId="10FB0D10" w14:textId="3AB015D8" w:rsidTr="00B3467A">
        <w:tc>
          <w:tcPr>
            <w:tcW w:w="4675" w:type="dxa"/>
          </w:tcPr>
          <w:p w14:paraId="44B5E410" w14:textId="77777777" w:rsidR="001B08BD" w:rsidRPr="00F01347" w:rsidRDefault="001B08BD" w:rsidP="001B08BD">
            <w:pPr>
              <w:pStyle w:val="texto0"/>
              <w:spacing w:after="60" w:line="204" w:lineRule="exact"/>
              <w:ind w:firstLine="0"/>
              <w:rPr>
                <w:rFonts w:ascii="Verdana" w:hAnsi="Verdana"/>
                <w:sz w:val="16"/>
                <w:szCs w:val="16"/>
              </w:rPr>
            </w:pPr>
            <w:r w:rsidRPr="00F01347">
              <w:rPr>
                <w:rFonts w:ascii="Verdana" w:hAnsi="Verdana"/>
                <w:sz w:val="16"/>
                <w:szCs w:val="16"/>
              </w:rPr>
              <w:t xml:space="preserve">En caso de que dicho método resulte en la presencia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o </w:t>
            </w:r>
            <w:proofErr w:type="spellStart"/>
            <w:r w:rsidRPr="00F01347">
              <w:rPr>
                <w:rFonts w:ascii="Verdana" w:hAnsi="Verdana"/>
                <w:sz w:val="16"/>
                <w:szCs w:val="16"/>
              </w:rPr>
              <w:t>nodularinas</w:t>
            </w:r>
            <w:proofErr w:type="spellEnd"/>
            <w:r w:rsidRPr="00F01347">
              <w:rPr>
                <w:rFonts w:ascii="Verdana" w:hAnsi="Verdana"/>
                <w:sz w:val="16"/>
                <w:szCs w:val="16"/>
              </w:rPr>
              <w:t xml:space="preserve"> totales deberá de llevarse a cabo alguno de los dos métodos cuantitativos confirmatorios siguientes:</w:t>
            </w:r>
          </w:p>
        </w:tc>
        <w:tc>
          <w:tcPr>
            <w:tcW w:w="4675" w:type="dxa"/>
          </w:tcPr>
          <w:p w14:paraId="1042CE12" w14:textId="72B72098" w:rsidR="001B08BD" w:rsidRPr="00C621FF" w:rsidRDefault="001B08BD" w:rsidP="001B08BD">
            <w:pPr>
              <w:pStyle w:val="texto0"/>
              <w:spacing w:after="60" w:line="204" w:lineRule="exact"/>
              <w:ind w:firstLine="0"/>
              <w:rPr>
                <w:rFonts w:ascii="Verdana" w:hAnsi="Verdana"/>
                <w:sz w:val="16"/>
                <w:szCs w:val="16"/>
                <w:lang w:val="en-US"/>
              </w:rPr>
            </w:pPr>
            <w:r w:rsidRPr="00C621FF">
              <w:rPr>
                <w:rFonts w:ascii="Verdana" w:hAnsi="Verdana"/>
                <w:sz w:val="16"/>
                <w:szCs w:val="16"/>
                <w:lang w:val="en-US"/>
              </w:rPr>
              <w:t xml:space="preserve">If this method results in the presence of total </w:t>
            </w:r>
            <w:proofErr w:type="spellStart"/>
            <w:r w:rsidRPr="00C621FF">
              <w:rPr>
                <w:rFonts w:ascii="Verdana" w:hAnsi="Verdana"/>
                <w:sz w:val="16"/>
                <w:szCs w:val="16"/>
                <w:lang w:val="en-US"/>
              </w:rPr>
              <w:t>microcystins</w:t>
            </w:r>
            <w:proofErr w:type="spellEnd"/>
            <w:r w:rsidRPr="00C621FF">
              <w:rPr>
                <w:rFonts w:ascii="Verdana" w:hAnsi="Verdana"/>
                <w:sz w:val="16"/>
                <w:szCs w:val="16"/>
                <w:lang w:val="en-US"/>
              </w:rPr>
              <w:t xml:space="preserve"> or </w:t>
            </w:r>
            <w:proofErr w:type="spellStart"/>
            <w:r w:rsidRPr="00C621FF">
              <w:rPr>
                <w:rFonts w:ascii="Verdana" w:hAnsi="Verdana"/>
                <w:sz w:val="16"/>
                <w:szCs w:val="16"/>
                <w:lang w:val="en-US"/>
              </w:rPr>
              <w:t>nodularins</w:t>
            </w:r>
            <w:proofErr w:type="spellEnd"/>
            <w:r w:rsidR="003E1BA9" w:rsidRPr="00C621FF">
              <w:rPr>
                <w:rFonts w:ascii="Verdana" w:hAnsi="Verdana"/>
                <w:sz w:val="16"/>
                <w:szCs w:val="16"/>
                <w:lang w:val="en-US"/>
              </w:rPr>
              <w:t>,</w:t>
            </w:r>
            <w:r w:rsidRPr="00C621FF">
              <w:rPr>
                <w:rFonts w:ascii="Verdana" w:hAnsi="Verdana"/>
                <w:sz w:val="16"/>
                <w:szCs w:val="16"/>
                <w:lang w:val="en-US"/>
              </w:rPr>
              <w:t xml:space="preserve"> one of the following two confirmatory quantitative methods must be carried out:</w:t>
            </w:r>
          </w:p>
        </w:tc>
      </w:tr>
      <w:tr w:rsidR="001B08BD" w:rsidRPr="00F01347" w14:paraId="0CDDDF9F" w14:textId="42A733CE" w:rsidTr="00B3467A">
        <w:tc>
          <w:tcPr>
            <w:tcW w:w="4675" w:type="dxa"/>
          </w:tcPr>
          <w:p w14:paraId="0A30CAB9" w14:textId="77777777" w:rsidR="001B08BD" w:rsidRPr="00F01347" w:rsidRDefault="001B08BD" w:rsidP="001B08BD">
            <w:pPr>
              <w:pStyle w:val="texto0"/>
              <w:spacing w:after="60" w:line="204"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Método para la determinación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y </w:t>
            </w:r>
            <w:proofErr w:type="spellStart"/>
            <w:r w:rsidRPr="00F01347">
              <w:rPr>
                <w:rFonts w:ascii="Verdana" w:hAnsi="Verdana"/>
                <w:sz w:val="16"/>
                <w:szCs w:val="16"/>
              </w:rPr>
              <w:t>nodularinas</w:t>
            </w:r>
            <w:proofErr w:type="spellEnd"/>
            <w:r w:rsidRPr="00F01347">
              <w:rPr>
                <w:rFonts w:ascii="Verdana" w:hAnsi="Verdana"/>
                <w:sz w:val="16"/>
                <w:szCs w:val="16"/>
              </w:rPr>
              <w:t xml:space="preserve"> en agua de uso y consumo humano por extracción en fase sólida y cromatografía líquida/espectrometría de masas en tándem (LC/MS/MS), contenido en el punto B.1.2 de este Apéndice.</w:t>
            </w:r>
          </w:p>
        </w:tc>
        <w:tc>
          <w:tcPr>
            <w:tcW w:w="4675" w:type="dxa"/>
          </w:tcPr>
          <w:p w14:paraId="237B2FB8" w14:textId="1643DA30" w:rsidR="001B08BD" w:rsidRPr="00C621FF" w:rsidRDefault="001B08BD" w:rsidP="001B08BD">
            <w:pPr>
              <w:pStyle w:val="texto0"/>
              <w:spacing w:after="60" w:line="204" w:lineRule="exact"/>
              <w:ind w:firstLine="0"/>
              <w:rPr>
                <w:rFonts w:ascii="Verdana" w:hAnsi="Verdana"/>
                <w:sz w:val="16"/>
                <w:szCs w:val="16"/>
                <w:lang w:val="en-US"/>
              </w:rPr>
            </w:pPr>
            <w:r w:rsidRPr="00C621FF">
              <w:rPr>
                <w:rFonts w:ascii="Verdana" w:hAnsi="Verdana"/>
                <w:sz w:val="16"/>
                <w:szCs w:val="16"/>
                <w:lang w:val="en-US"/>
              </w:rPr>
              <w:t xml:space="preserve">● </w:t>
            </w:r>
            <w:r w:rsidRPr="00C621FF">
              <w:rPr>
                <w:rFonts w:ascii="Verdana" w:hAnsi="Verdana"/>
                <w:sz w:val="16"/>
                <w:szCs w:val="16"/>
                <w:lang w:val="en-US"/>
              </w:rPr>
              <w:tab/>
              <w:t xml:space="preserve">Method for the determination of </w:t>
            </w:r>
            <w:proofErr w:type="spellStart"/>
            <w:r w:rsidRPr="00C621FF">
              <w:rPr>
                <w:rFonts w:ascii="Verdana" w:hAnsi="Verdana"/>
                <w:sz w:val="16"/>
                <w:szCs w:val="16"/>
                <w:lang w:val="en-US"/>
              </w:rPr>
              <w:t>microcystins</w:t>
            </w:r>
            <w:proofErr w:type="spellEnd"/>
            <w:r w:rsidRPr="00C621FF">
              <w:rPr>
                <w:rFonts w:ascii="Verdana" w:hAnsi="Verdana"/>
                <w:sz w:val="16"/>
                <w:szCs w:val="16"/>
                <w:lang w:val="en-US"/>
              </w:rPr>
              <w:t xml:space="preserve"> and </w:t>
            </w:r>
            <w:proofErr w:type="spellStart"/>
            <w:r w:rsidRPr="00C621FF">
              <w:rPr>
                <w:rFonts w:ascii="Verdana" w:hAnsi="Verdana"/>
                <w:sz w:val="16"/>
                <w:szCs w:val="16"/>
                <w:lang w:val="en-US"/>
              </w:rPr>
              <w:t>nodularins</w:t>
            </w:r>
            <w:proofErr w:type="spellEnd"/>
            <w:r w:rsidRPr="00C621FF">
              <w:rPr>
                <w:rFonts w:ascii="Verdana" w:hAnsi="Verdana"/>
                <w:sz w:val="16"/>
                <w:szCs w:val="16"/>
                <w:lang w:val="en-US"/>
              </w:rPr>
              <w:t xml:space="preserve"> in water for human use and consumption by solid phase extraction and liquid chromatography/tandem mass spectrometry (LC/MS/MS), contained in point B.1.2 of this Appendix.</w:t>
            </w:r>
          </w:p>
        </w:tc>
      </w:tr>
      <w:tr w:rsidR="001B08BD" w:rsidRPr="00F01347" w14:paraId="2B4D8291" w14:textId="2A6CE6CB" w:rsidTr="00B3467A">
        <w:tc>
          <w:tcPr>
            <w:tcW w:w="4675" w:type="dxa"/>
          </w:tcPr>
          <w:p w14:paraId="36D88405" w14:textId="77777777" w:rsidR="001B08BD" w:rsidRPr="00F01347" w:rsidRDefault="001B08BD" w:rsidP="001B08BD">
            <w:pPr>
              <w:pStyle w:val="texto0"/>
              <w:spacing w:after="60" w:line="204"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Método para la determinación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mediante SPE y la cromatografía de líquidos de alto rendimiento (HPLC) con detección (UV) ultravioleta, contenido en el punto B.1.3 de este Apéndice.</w:t>
            </w:r>
          </w:p>
        </w:tc>
        <w:tc>
          <w:tcPr>
            <w:tcW w:w="4675" w:type="dxa"/>
          </w:tcPr>
          <w:p w14:paraId="2EDEB457" w14:textId="44161C15" w:rsidR="001B08BD" w:rsidRPr="00C621FF" w:rsidRDefault="001B08BD" w:rsidP="001B08BD">
            <w:pPr>
              <w:pStyle w:val="texto0"/>
              <w:spacing w:after="60" w:line="204" w:lineRule="exact"/>
              <w:ind w:firstLine="0"/>
              <w:rPr>
                <w:rFonts w:ascii="Verdana" w:hAnsi="Verdana"/>
                <w:sz w:val="16"/>
                <w:szCs w:val="16"/>
                <w:lang w:val="en-US"/>
              </w:rPr>
            </w:pPr>
            <w:r w:rsidRPr="00C621FF">
              <w:rPr>
                <w:rFonts w:ascii="Verdana" w:hAnsi="Verdana"/>
                <w:sz w:val="16"/>
                <w:szCs w:val="16"/>
                <w:lang w:val="en-US"/>
              </w:rPr>
              <w:t xml:space="preserve">● </w:t>
            </w:r>
            <w:r w:rsidRPr="00C621FF">
              <w:rPr>
                <w:rFonts w:ascii="Verdana" w:hAnsi="Verdana"/>
                <w:sz w:val="16"/>
                <w:szCs w:val="16"/>
                <w:lang w:val="en-US"/>
              </w:rPr>
              <w:tab/>
              <w:t>Method for the determination of microcystin by SPE and high-performance liquid chromatography (HPLC) with ultraviolet (UV) detection, contained in point B.1.3 of this Appendix.</w:t>
            </w:r>
          </w:p>
        </w:tc>
      </w:tr>
      <w:tr w:rsidR="001B08BD" w:rsidRPr="00F01347" w14:paraId="4EF095F6" w14:textId="6327E8F9" w:rsidTr="00B3467A">
        <w:tc>
          <w:tcPr>
            <w:tcW w:w="4675" w:type="dxa"/>
          </w:tcPr>
          <w:p w14:paraId="5796CAD8" w14:textId="77777777" w:rsidR="001B08BD" w:rsidRPr="00F01347" w:rsidRDefault="001B08BD" w:rsidP="001B08BD">
            <w:pPr>
              <w:pStyle w:val="texto0"/>
              <w:spacing w:after="60" w:line="204" w:lineRule="exact"/>
              <w:ind w:firstLine="0"/>
              <w:rPr>
                <w:rFonts w:ascii="Verdana" w:hAnsi="Verdana"/>
                <w:sz w:val="16"/>
                <w:szCs w:val="16"/>
              </w:rPr>
            </w:pPr>
            <w:r w:rsidRPr="00F01347">
              <w:rPr>
                <w:rFonts w:ascii="Verdana" w:hAnsi="Verdana"/>
                <w:sz w:val="16"/>
                <w:szCs w:val="16"/>
              </w:rPr>
              <w:t xml:space="preserve">Sin embargo, para la determinación de </w:t>
            </w:r>
            <w:proofErr w:type="spellStart"/>
            <w:r w:rsidRPr="00F01347">
              <w:rPr>
                <w:rFonts w:ascii="Verdana" w:hAnsi="Verdana"/>
                <w:sz w:val="16"/>
                <w:szCs w:val="16"/>
              </w:rPr>
              <w:t>microcistina</w:t>
            </w:r>
            <w:proofErr w:type="spellEnd"/>
            <w:r w:rsidRPr="00F01347">
              <w:rPr>
                <w:rFonts w:ascii="Verdana" w:hAnsi="Verdana"/>
                <w:sz w:val="16"/>
                <w:szCs w:val="16"/>
              </w:rPr>
              <w:t>-LR podrá optarse por determinar directamente dicha sustancia a través de los métodos confirmatorios cuantitativos descritos en los puntos B.1.2 y B.1.3 de este Apéndice, sin llevar a cabo el método de screening ELISA (B.1.1, de este Apéndice).</w:t>
            </w:r>
          </w:p>
        </w:tc>
        <w:tc>
          <w:tcPr>
            <w:tcW w:w="4675" w:type="dxa"/>
          </w:tcPr>
          <w:p w14:paraId="59E5D273" w14:textId="77777777" w:rsidR="001B08BD" w:rsidRPr="00C621FF" w:rsidRDefault="001B08BD" w:rsidP="001B08BD">
            <w:pPr>
              <w:pStyle w:val="texto0"/>
              <w:spacing w:after="60" w:line="204" w:lineRule="exact"/>
              <w:ind w:firstLine="0"/>
              <w:rPr>
                <w:rFonts w:ascii="Verdana" w:hAnsi="Verdana"/>
                <w:sz w:val="16"/>
                <w:szCs w:val="16"/>
                <w:lang w:val="en-US"/>
              </w:rPr>
            </w:pPr>
            <w:r w:rsidRPr="00C621FF">
              <w:rPr>
                <w:rFonts w:ascii="Verdana" w:hAnsi="Verdana"/>
                <w:sz w:val="16"/>
                <w:szCs w:val="16"/>
                <w:lang w:val="en-US"/>
              </w:rPr>
              <w:t>However, for the determination of microcystin-LR, it may be decided to directly determine said substance through the quantitative confirmatory methods described in points B.1.2 and B.1.3 of this Appendix, without carrying out the ELISA screening method (B</w:t>
            </w:r>
            <w:r w:rsidR="003E1BA9" w:rsidRPr="00C621FF">
              <w:rPr>
                <w:rFonts w:ascii="Verdana" w:hAnsi="Verdana"/>
                <w:sz w:val="16"/>
                <w:szCs w:val="16"/>
                <w:lang w:val="en-US"/>
              </w:rPr>
              <w:t>.</w:t>
            </w:r>
            <w:r w:rsidRPr="00C621FF">
              <w:rPr>
                <w:rFonts w:ascii="Verdana" w:hAnsi="Verdana"/>
                <w:sz w:val="16"/>
                <w:szCs w:val="16"/>
                <w:lang w:val="en-US"/>
              </w:rPr>
              <w:t>1.1, of this Appendix).</w:t>
            </w:r>
          </w:p>
          <w:p w14:paraId="0D21954A" w14:textId="1856E982" w:rsidR="00B3467A" w:rsidRPr="00C621FF" w:rsidRDefault="00B3467A" w:rsidP="001B08BD">
            <w:pPr>
              <w:pStyle w:val="texto0"/>
              <w:spacing w:after="60" w:line="204" w:lineRule="exact"/>
              <w:ind w:firstLine="0"/>
              <w:rPr>
                <w:rFonts w:ascii="Verdana" w:hAnsi="Verdana"/>
                <w:sz w:val="16"/>
                <w:szCs w:val="16"/>
                <w:lang w:val="en-US"/>
              </w:rPr>
            </w:pPr>
          </w:p>
        </w:tc>
      </w:tr>
      <w:tr w:rsidR="001B08BD" w:rsidRPr="00F01347" w14:paraId="22A70A3F" w14:textId="01FA25C8" w:rsidTr="00B3467A">
        <w:tc>
          <w:tcPr>
            <w:tcW w:w="4675" w:type="dxa"/>
          </w:tcPr>
          <w:p w14:paraId="7EB5E1DE" w14:textId="77777777" w:rsidR="001B08BD" w:rsidRPr="00F01347" w:rsidRDefault="001B08BD" w:rsidP="001B08BD">
            <w:pPr>
              <w:pStyle w:val="texto0"/>
              <w:spacing w:after="60" w:line="204" w:lineRule="exact"/>
              <w:ind w:firstLine="0"/>
              <w:jc w:val="center"/>
              <w:rPr>
                <w:rFonts w:ascii="Verdana" w:hAnsi="Verdana"/>
                <w:b/>
                <w:sz w:val="16"/>
                <w:szCs w:val="16"/>
              </w:rPr>
            </w:pPr>
            <w:r w:rsidRPr="00F01347">
              <w:rPr>
                <w:rFonts w:ascii="Verdana" w:hAnsi="Verdana"/>
                <w:b/>
                <w:sz w:val="16"/>
                <w:szCs w:val="16"/>
              </w:rPr>
              <w:t xml:space="preserve">B.1.1 MÉTODO PARA LA DETERMINACIÓN DE MICROCISTINAS Y NODULARINAS </w:t>
            </w:r>
            <w:proofErr w:type="gramStart"/>
            <w:r w:rsidRPr="00F01347">
              <w:rPr>
                <w:rFonts w:ascii="Verdana" w:hAnsi="Verdana"/>
                <w:b/>
                <w:sz w:val="16"/>
                <w:szCs w:val="16"/>
              </w:rPr>
              <w:t>TOTALES  EN</w:t>
            </w:r>
            <w:proofErr w:type="gramEnd"/>
            <w:r w:rsidRPr="00F01347">
              <w:rPr>
                <w:rFonts w:ascii="Verdana" w:hAnsi="Verdana"/>
                <w:b/>
                <w:sz w:val="16"/>
                <w:szCs w:val="16"/>
              </w:rPr>
              <w:t xml:space="preserve"> AGUA DE USO Y CONSUMO HUMANO MEDIANTE EL ENSAYO INMUNOENZIMÁTICO ADDA</w:t>
            </w:r>
          </w:p>
        </w:tc>
        <w:tc>
          <w:tcPr>
            <w:tcW w:w="4675" w:type="dxa"/>
          </w:tcPr>
          <w:p w14:paraId="74881410" w14:textId="7DA7D70D" w:rsidR="001B08BD" w:rsidRPr="00C621FF" w:rsidRDefault="001B08BD" w:rsidP="001B08BD">
            <w:pPr>
              <w:pStyle w:val="texto0"/>
              <w:spacing w:after="60" w:line="204" w:lineRule="exact"/>
              <w:ind w:firstLine="0"/>
              <w:jc w:val="center"/>
              <w:rPr>
                <w:rFonts w:ascii="Verdana" w:hAnsi="Verdana"/>
                <w:b/>
                <w:sz w:val="16"/>
                <w:szCs w:val="16"/>
                <w:lang w:val="en-US"/>
              </w:rPr>
            </w:pPr>
            <w:r w:rsidRPr="00C621FF">
              <w:rPr>
                <w:rFonts w:ascii="Verdana" w:hAnsi="Verdana"/>
                <w:b/>
                <w:sz w:val="16"/>
                <w:szCs w:val="16"/>
                <w:lang w:val="en-US"/>
              </w:rPr>
              <w:t>B.1.1 METHOD FOR THE DETERMINATION OF TOTAL MICROCYSTINS AND NODULARINS IN WATER FOR HUMAN USE AND CONSUMPTION USING THE ADDA IMMUNOENZYMATIC TEST</w:t>
            </w:r>
          </w:p>
        </w:tc>
      </w:tr>
      <w:tr w:rsidR="001B08BD" w:rsidRPr="00F01347" w14:paraId="39CA26AA" w14:textId="02FEED08" w:rsidTr="00B3467A">
        <w:tc>
          <w:tcPr>
            <w:tcW w:w="4675" w:type="dxa"/>
          </w:tcPr>
          <w:p w14:paraId="7D40CB74" w14:textId="77777777" w:rsidR="001B08BD" w:rsidRPr="00F01347" w:rsidRDefault="001B08BD" w:rsidP="001B08BD">
            <w:pPr>
              <w:pStyle w:val="texto0"/>
              <w:spacing w:after="60" w:line="204" w:lineRule="exact"/>
              <w:ind w:firstLine="0"/>
              <w:rPr>
                <w:rFonts w:ascii="Verdana" w:hAnsi="Verdana"/>
                <w:b/>
                <w:sz w:val="16"/>
                <w:szCs w:val="16"/>
              </w:rPr>
            </w:pPr>
            <w:r w:rsidRPr="00F01347">
              <w:rPr>
                <w:rFonts w:ascii="Verdana" w:hAnsi="Verdana"/>
                <w:b/>
                <w:sz w:val="16"/>
                <w:szCs w:val="16"/>
              </w:rPr>
              <w:t>B.1.1.1 Definiciones y términos</w:t>
            </w:r>
          </w:p>
        </w:tc>
        <w:tc>
          <w:tcPr>
            <w:tcW w:w="4675" w:type="dxa"/>
          </w:tcPr>
          <w:p w14:paraId="08D7F63F" w14:textId="2AF21C2A" w:rsidR="001B08BD" w:rsidRPr="00C621FF" w:rsidRDefault="001B08BD" w:rsidP="001B08BD">
            <w:pPr>
              <w:pStyle w:val="texto0"/>
              <w:spacing w:after="60" w:line="204" w:lineRule="exact"/>
              <w:ind w:firstLine="0"/>
              <w:rPr>
                <w:rFonts w:ascii="Verdana" w:hAnsi="Verdana"/>
                <w:b/>
                <w:sz w:val="16"/>
                <w:szCs w:val="16"/>
                <w:lang w:val="en-US"/>
              </w:rPr>
            </w:pPr>
            <w:r w:rsidRPr="00C621FF">
              <w:rPr>
                <w:rFonts w:ascii="Verdana" w:hAnsi="Verdana"/>
                <w:b/>
                <w:sz w:val="16"/>
                <w:szCs w:val="16"/>
                <w:lang w:val="en-US"/>
              </w:rPr>
              <w:t>B.1.1.1 Definitions and terms</w:t>
            </w:r>
          </w:p>
        </w:tc>
      </w:tr>
      <w:tr w:rsidR="001B08BD" w:rsidRPr="00F01347" w14:paraId="1E5BD0F3" w14:textId="48C3AC10" w:rsidTr="00B3467A">
        <w:tc>
          <w:tcPr>
            <w:tcW w:w="4675" w:type="dxa"/>
          </w:tcPr>
          <w:p w14:paraId="1B3A159C" w14:textId="77777777" w:rsidR="001B08BD" w:rsidRPr="00F01347" w:rsidRDefault="001B08BD" w:rsidP="001B08BD">
            <w:pPr>
              <w:pStyle w:val="texto0"/>
              <w:spacing w:after="60" w:line="204" w:lineRule="exact"/>
              <w:ind w:firstLine="0"/>
              <w:rPr>
                <w:rFonts w:ascii="Verdana" w:hAnsi="Verdana"/>
                <w:sz w:val="16"/>
                <w:szCs w:val="16"/>
              </w:rPr>
            </w:pPr>
            <w:r w:rsidRPr="00F01347">
              <w:rPr>
                <w:rFonts w:ascii="Verdana" w:hAnsi="Verdana"/>
                <w:b/>
                <w:sz w:val="16"/>
                <w:szCs w:val="16"/>
              </w:rPr>
              <w:t>Agua grado reactivo</w:t>
            </w:r>
            <w:r w:rsidRPr="00F01347">
              <w:rPr>
                <w:rFonts w:ascii="Verdana" w:hAnsi="Verdana"/>
                <w:sz w:val="16"/>
                <w:szCs w:val="16"/>
              </w:rPr>
              <w:t xml:space="preserve">, al agua purificada que no contiene ninguna cantidad cuantificable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w:t>
            </w:r>
            <w:proofErr w:type="spellStart"/>
            <w:r w:rsidRPr="00F01347">
              <w:rPr>
                <w:rFonts w:ascii="Verdana" w:hAnsi="Verdana"/>
                <w:sz w:val="16"/>
                <w:szCs w:val="16"/>
              </w:rPr>
              <w:t>nodularinas</w:t>
            </w:r>
            <w:proofErr w:type="spellEnd"/>
            <w:r w:rsidRPr="00F01347">
              <w:rPr>
                <w:rFonts w:ascii="Verdana" w:hAnsi="Verdana"/>
                <w:sz w:val="16"/>
                <w:szCs w:val="16"/>
              </w:rPr>
              <w:t xml:space="preserve"> o compuestos que interfieran en o por encima de la media del MRL.</w:t>
            </w:r>
          </w:p>
        </w:tc>
        <w:tc>
          <w:tcPr>
            <w:tcW w:w="4675" w:type="dxa"/>
          </w:tcPr>
          <w:p w14:paraId="15ACB3F0" w14:textId="1C7CFC48" w:rsidR="001B08BD" w:rsidRPr="00C621FF" w:rsidRDefault="001B08BD" w:rsidP="001B08BD">
            <w:pPr>
              <w:pStyle w:val="texto0"/>
              <w:spacing w:after="60" w:line="204" w:lineRule="exact"/>
              <w:ind w:firstLine="0"/>
              <w:rPr>
                <w:rFonts w:ascii="Verdana" w:hAnsi="Verdana"/>
                <w:b/>
                <w:sz w:val="16"/>
                <w:szCs w:val="16"/>
                <w:lang w:val="en-US"/>
              </w:rPr>
            </w:pPr>
            <w:r w:rsidRPr="00C621FF">
              <w:rPr>
                <w:rFonts w:ascii="Verdana" w:hAnsi="Verdana"/>
                <w:b/>
                <w:sz w:val="16"/>
                <w:szCs w:val="16"/>
                <w:lang w:val="en-US"/>
              </w:rPr>
              <w:t>Reagent grade water</w:t>
            </w:r>
            <w:r w:rsidR="003E1BA9" w:rsidRPr="00C621FF">
              <w:rPr>
                <w:rFonts w:ascii="Verdana" w:hAnsi="Verdana"/>
                <w:b/>
                <w:sz w:val="16"/>
                <w:szCs w:val="16"/>
                <w:lang w:val="en-US"/>
              </w:rPr>
              <w:t>,</w:t>
            </w:r>
            <w:r w:rsidRPr="00C621FF">
              <w:rPr>
                <w:rFonts w:ascii="Verdana" w:hAnsi="Verdana"/>
                <w:sz w:val="16"/>
                <w:szCs w:val="16"/>
                <w:lang w:val="en-US"/>
              </w:rPr>
              <w:t xml:space="preserve"> purified water that does not contain any quantifiable amount of </w:t>
            </w:r>
            <w:proofErr w:type="spellStart"/>
            <w:r w:rsidRPr="00C621FF">
              <w:rPr>
                <w:rFonts w:ascii="Verdana" w:hAnsi="Verdana"/>
                <w:sz w:val="16"/>
                <w:szCs w:val="16"/>
                <w:lang w:val="en-US"/>
              </w:rPr>
              <w:t>microcystins</w:t>
            </w:r>
            <w:proofErr w:type="spellEnd"/>
            <w:r w:rsidR="003E1BA9" w:rsidRPr="00C621FF">
              <w:rPr>
                <w:rFonts w:ascii="Verdana" w:hAnsi="Verdana"/>
                <w:sz w:val="16"/>
                <w:szCs w:val="16"/>
                <w:lang w:val="en-US"/>
              </w:rPr>
              <w:t>,</w:t>
            </w:r>
            <w:r w:rsidRPr="00C621FF">
              <w:rPr>
                <w:rFonts w:ascii="Verdana" w:hAnsi="Verdana"/>
                <w:sz w:val="16"/>
                <w:szCs w:val="16"/>
                <w:lang w:val="en-US"/>
              </w:rPr>
              <w:t xml:space="preserve"> </w:t>
            </w:r>
            <w:proofErr w:type="spellStart"/>
            <w:r w:rsidRPr="00C621FF">
              <w:rPr>
                <w:rFonts w:ascii="Verdana" w:hAnsi="Verdana"/>
                <w:sz w:val="16"/>
                <w:szCs w:val="16"/>
                <w:lang w:val="en-US"/>
              </w:rPr>
              <w:t>nodularins</w:t>
            </w:r>
            <w:proofErr w:type="spellEnd"/>
            <w:r w:rsidRPr="00C621FF">
              <w:rPr>
                <w:rFonts w:ascii="Verdana" w:hAnsi="Verdana"/>
                <w:sz w:val="16"/>
                <w:szCs w:val="16"/>
                <w:lang w:val="en-US"/>
              </w:rPr>
              <w:t xml:space="preserve"> or interfering compounds at or above the average MRL.</w:t>
            </w:r>
          </w:p>
        </w:tc>
      </w:tr>
      <w:tr w:rsidR="001B08BD" w:rsidRPr="00F01347" w14:paraId="15F84B26" w14:textId="601818FA" w:rsidTr="00B3467A">
        <w:tc>
          <w:tcPr>
            <w:tcW w:w="4675" w:type="dxa"/>
          </w:tcPr>
          <w:p w14:paraId="436BB47F" w14:textId="77777777" w:rsidR="001B08BD" w:rsidRPr="00F01347" w:rsidRDefault="001B08BD" w:rsidP="001B08BD">
            <w:pPr>
              <w:pStyle w:val="texto0"/>
              <w:spacing w:after="60" w:line="204" w:lineRule="exact"/>
              <w:ind w:firstLine="0"/>
              <w:rPr>
                <w:rFonts w:ascii="Verdana" w:hAnsi="Verdana"/>
                <w:sz w:val="16"/>
                <w:szCs w:val="16"/>
              </w:rPr>
            </w:pPr>
            <w:r w:rsidRPr="00F01347">
              <w:rPr>
                <w:rFonts w:ascii="Verdana" w:hAnsi="Verdana"/>
                <w:b/>
                <w:sz w:val="16"/>
                <w:szCs w:val="16"/>
              </w:rPr>
              <w:t>Blanco de reactivo de laboratorio (LRB)</w:t>
            </w:r>
            <w:r w:rsidRPr="00F01347">
              <w:rPr>
                <w:rFonts w:ascii="Verdana" w:hAnsi="Verdana"/>
                <w:sz w:val="16"/>
                <w:szCs w:val="16"/>
              </w:rPr>
              <w:t xml:space="preserve">, a la alícuota de agua grado reactivo lisada y filtrada para coincidir en el mismo procedimiento analítico utilizado para las muestras de campo. El LRB se utiliza para determinar si se introducen </w:t>
            </w:r>
            <w:proofErr w:type="spellStart"/>
            <w:r w:rsidRPr="00F01347">
              <w:rPr>
                <w:rFonts w:ascii="Verdana" w:hAnsi="Verdana"/>
                <w:sz w:val="16"/>
                <w:szCs w:val="16"/>
              </w:rPr>
              <w:t>microcistinas</w:t>
            </w:r>
            <w:proofErr w:type="spellEnd"/>
            <w:r w:rsidRPr="00F01347">
              <w:rPr>
                <w:rFonts w:ascii="Verdana" w:hAnsi="Verdana"/>
                <w:sz w:val="16"/>
                <w:szCs w:val="16"/>
              </w:rPr>
              <w:t xml:space="preserve"> u otras interferencias por medio de los recipientes de la muestra, los equipos de procesamiento de muestras o los reactivos utilizados en el ensayo.</w:t>
            </w:r>
          </w:p>
        </w:tc>
        <w:tc>
          <w:tcPr>
            <w:tcW w:w="4675" w:type="dxa"/>
          </w:tcPr>
          <w:p w14:paraId="17830C09" w14:textId="172FE01D" w:rsidR="001B08BD" w:rsidRPr="00C621FF" w:rsidRDefault="001B08BD" w:rsidP="001B08BD">
            <w:pPr>
              <w:pStyle w:val="texto0"/>
              <w:spacing w:after="60" w:line="204" w:lineRule="exact"/>
              <w:ind w:firstLine="0"/>
              <w:rPr>
                <w:rFonts w:ascii="Verdana" w:hAnsi="Verdana"/>
                <w:b/>
                <w:sz w:val="16"/>
                <w:szCs w:val="16"/>
                <w:lang w:val="en-US"/>
              </w:rPr>
            </w:pPr>
            <w:r w:rsidRPr="00C621FF">
              <w:rPr>
                <w:rFonts w:ascii="Verdana" w:hAnsi="Verdana"/>
                <w:b/>
                <w:sz w:val="16"/>
                <w:szCs w:val="16"/>
                <w:lang w:val="en-US"/>
              </w:rPr>
              <w:t>Laboratory reagent blank (LRB)</w:t>
            </w:r>
            <w:r w:rsidR="003E1BA9" w:rsidRPr="00C621FF">
              <w:rPr>
                <w:rFonts w:ascii="Verdana" w:hAnsi="Verdana"/>
                <w:b/>
                <w:sz w:val="16"/>
                <w:szCs w:val="16"/>
                <w:lang w:val="en-US"/>
              </w:rPr>
              <w:t>,</w:t>
            </w:r>
            <w:r w:rsidRPr="00C621FF">
              <w:rPr>
                <w:rFonts w:ascii="Verdana" w:hAnsi="Verdana"/>
                <w:sz w:val="16"/>
                <w:szCs w:val="16"/>
                <w:lang w:val="en-US"/>
              </w:rPr>
              <w:t xml:space="preserve"> to the aliquot of reagent grade water lysed and filtered to match the same analytical procedure used for field samples. The LRB is used to determine whether </w:t>
            </w:r>
            <w:proofErr w:type="spellStart"/>
            <w:r w:rsidRPr="00C621FF">
              <w:rPr>
                <w:rFonts w:ascii="Verdana" w:hAnsi="Verdana"/>
                <w:sz w:val="16"/>
                <w:szCs w:val="16"/>
                <w:lang w:val="en-US"/>
              </w:rPr>
              <w:t>microcystins</w:t>
            </w:r>
            <w:proofErr w:type="spellEnd"/>
            <w:r w:rsidRPr="00C621FF">
              <w:rPr>
                <w:rFonts w:ascii="Verdana" w:hAnsi="Verdana"/>
                <w:sz w:val="16"/>
                <w:szCs w:val="16"/>
                <w:lang w:val="en-US"/>
              </w:rPr>
              <w:t xml:space="preserve"> or other interferences are introduced by sample containers, sample processing equipment, or reagents used in the assay.</w:t>
            </w:r>
          </w:p>
        </w:tc>
      </w:tr>
      <w:tr w:rsidR="001B08BD" w:rsidRPr="00F01347" w14:paraId="31ED9A9F" w14:textId="4E358806" w:rsidTr="00B3467A">
        <w:tc>
          <w:tcPr>
            <w:tcW w:w="4675" w:type="dxa"/>
          </w:tcPr>
          <w:p w14:paraId="7167B091" w14:textId="77777777" w:rsidR="001B08BD" w:rsidRPr="00F01347" w:rsidRDefault="001B08BD" w:rsidP="001B08BD">
            <w:pPr>
              <w:pStyle w:val="texto0"/>
              <w:spacing w:after="60" w:line="204" w:lineRule="exact"/>
              <w:ind w:firstLine="0"/>
              <w:rPr>
                <w:rFonts w:ascii="Verdana" w:hAnsi="Verdana"/>
                <w:sz w:val="16"/>
                <w:szCs w:val="16"/>
              </w:rPr>
            </w:pPr>
            <w:r w:rsidRPr="00F01347">
              <w:rPr>
                <w:rFonts w:ascii="Verdana" w:hAnsi="Verdana"/>
                <w:b/>
                <w:sz w:val="16"/>
                <w:szCs w:val="16"/>
              </w:rPr>
              <w:t>Blanco fortificado de laboratorio (LFB)</w:t>
            </w:r>
            <w:r w:rsidRPr="00F01347">
              <w:rPr>
                <w:rFonts w:ascii="Verdana" w:hAnsi="Verdana"/>
                <w:sz w:val="16"/>
                <w:szCs w:val="16"/>
              </w:rPr>
              <w:t xml:space="preserve">, a la alícuota de agua grado reactivo a la que se añade una cantidad conocida de MC-LR. El LFB es lisado y filtrado para coincidir en el mismo procedimiento analítico utilizado para las muestras de campo. El LFB se utiliza durante la IDC para verificar el rendimiento del método con </w:t>
            </w:r>
            <w:r w:rsidRPr="00F01347">
              <w:rPr>
                <w:rFonts w:ascii="Verdana" w:hAnsi="Verdana"/>
                <w:sz w:val="16"/>
                <w:szCs w:val="16"/>
              </w:rPr>
              <w:lastRenderedPageBreak/>
              <w:t>precisión y exactitud. El LFB también es un elemento de control de calidad requerido con cada lote de análisis. Los resultados del LFB verifican el rendimiento del método en ausencia de matriz de muestra.</w:t>
            </w:r>
          </w:p>
        </w:tc>
        <w:tc>
          <w:tcPr>
            <w:tcW w:w="4675" w:type="dxa"/>
          </w:tcPr>
          <w:p w14:paraId="76B03B46" w14:textId="40941A6E" w:rsidR="001B08BD" w:rsidRPr="00C621FF" w:rsidRDefault="001B08BD" w:rsidP="001B08BD">
            <w:pPr>
              <w:pStyle w:val="texto0"/>
              <w:spacing w:after="60" w:line="204" w:lineRule="exact"/>
              <w:ind w:firstLine="0"/>
              <w:rPr>
                <w:rFonts w:ascii="Verdana" w:hAnsi="Verdana"/>
                <w:b/>
                <w:sz w:val="16"/>
                <w:szCs w:val="16"/>
                <w:lang w:val="en-US"/>
              </w:rPr>
            </w:pPr>
            <w:r w:rsidRPr="00C621FF">
              <w:rPr>
                <w:rFonts w:ascii="Verdana" w:hAnsi="Verdana"/>
                <w:b/>
                <w:sz w:val="16"/>
                <w:szCs w:val="16"/>
                <w:lang w:val="en-US"/>
              </w:rPr>
              <w:lastRenderedPageBreak/>
              <w:t>Laboratory Fortified Blank (LFB)</w:t>
            </w:r>
            <w:r w:rsidR="003E1BA9" w:rsidRPr="00C621FF">
              <w:rPr>
                <w:rFonts w:ascii="Verdana" w:hAnsi="Verdana"/>
                <w:b/>
                <w:sz w:val="16"/>
                <w:szCs w:val="16"/>
                <w:lang w:val="en-US"/>
              </w:rPr>
              <w:t>,</w:t>
            </w:r>
            <w:r w:rsidRPr="00C621FF">
              <w:rPr>
                <w:rFonts w:ascii="Verdana" w:hAnsi="Verdana"/>
                <w:sz w:val="16"/>
                <w:szCs w:val="16"/>
                <w:lang w:val="en-US"/>
              </w:rPr>
              <w:t xml:space="preserve"> to the aliquot of reagent grade water to which a known amount of MC-LR is added. The LFB is lysed and filtered to match the same analytical procedure used for field samples. The LFB is used during IDC to verify the performance of the method with precision and accuracy. The LFB is also a </w:t>
            </w:r>
            <w:r w:rsidRPr="00C621FF">
              <w:rPr>
                <w:rFonts w:ascii="Verdana" w:hAnsi="Verdana"/>
                <w:sz w:val="16"/>
                <w:szCs w:val="16"/>
                <w:lang w:val="en-US"/>
              </w:rPr>
              <w:lastRenderedPageBreak/>
              <w:t xml:space="preserve">quality control element required with each </w:t>
            </w:r>
            <w:r w:rsidR="00CB1C9B" w:rsidRPr="00C621FF">
              <w:rPr>
                <w:rFonts w:ascii="Verdana" w:hAnsi="Verdana"/>
                <w:sz w:val="16"/>
                <w:szCs w:val="16"/>
                <w:lang w:val="en-US"/>
              </w:rPr>
              <w:t>lot</w:t>
            </w:r>
            <w:r w:rsidRPr="00C621FF">
              <w:rPr>
                <w:rFonts w:ascii="Verdana" w:hAnsi="Verdana"/>
                <w:sz w:val="16"/>
                <w:szCs w:val="16"/>
                <w:lang w:val="en-US"/>
              </w:rPr>
              <w:t xml:space="preserve"> of analysis. The LFB results verify the performance of the method in the absence of sample matrix.</w:t>
            </w:r>
          </w:p>
        </w:tc>
      </w:tr>
      <w:tr w:rsidR="001B08BD" w:rsidRPr="00F01347" w14:paraId="69CCD200" w14:textId="4EA04FAE" w:rsidTr="00B3467A">
        <w:tc>
          <w:tcPr>
            <w:tcW w:w="4675" w:type="dxa"/>
          </w:tcPr>
          <w:p w14:paraId="035187A1" w14:textId="77777777" w:rsidR="001B08BD" w:rsidRPr="00F01347" w:rsidRDefault="001B08BD" w:rsidP="001B08BD">
            <w:pPr>
              <w:pStyle w:val="texto0"/>
              <w:spacing w:after="60" w:line="204" w:lineRule="exact"/>
              <w:ind w:firstLine="0"/>
              <w:rPr>
                <w:rFonts w:ascii="Verdana" w:hAnsi="Verdana"/>
                <w:sz w:val="16"/>
                <w:szCs w:val="16"/>
              </w:rPr>
            </w:pPr>
            <w:r w:rsidRPr="00F01347">
              <w:rPr>
                <w:rFonts w:ascii="Verdana" w:hAnsi="Verdana"/>
                <w:b/>
                <w:sz w:val="16"/>
                <w:szCs w:val="16"/>
              </w:rPr>
              <w:lastRenderedPageBreak/>
              <w:t>Concentración más baja del nivel mínimo reportado (LCMRL)</w:t>
            </w:r>
            <w:r w:rsidRPr="00F01347">
              <w:rPr>
                <w:rFonts w:ascii="Verdana" w:hAnsi="Verdana"/>
                <w:sz w:val="16"/>
                <w:szCs w:val="16"/>
              </w:rPr>
              <w:t>, al punto de concentración más baja, tal que la probabilidad de recobro se encuentre entre el 50 y 150% con al menos 99% de confianza.</w:t>
            </w:r>
          </w:p>
        </w:tc>
        <w:tc>
          <w:tcPr>
            <w:tcW w:w="4675" w:type="dxa"/>
          </w:tcPr>
          <w:p w14:paraId="771D9D80" w14:textId="0FE29A4A" w:rsidR="001B08BD" w:rsidRPr="00C621FF" w:rsidRDefault="001B08BD" w:rsidP="001B08BD">
            <w:pPr>
              <w:pStyle w:val="texto0"/>
              <w:spacing w:after="60" w:line="204" w:lineRule="exact"/>
              <w:ind w:firstLine="0"/>
              <w:rPr>
                <w:rFonts w:ascii="Verdana" w:hAnsi="Verdana"/>
                <w:b/>
                <w:sz w:val="16"/>
                <w:szCs w:val="16"/>
                <w:lang w:val="en-US"/>
              </w:rPr>
            </w:pPr>
            <w:r w:rsidRPr="00C621FF">
              <w:rPr>
                <w:rFonts w:ascii="Verdana" w:hAnsi="Verdana"/>
                <w:b/>
                <w:sz w:val="16"/>
                <w:szCs w:val="16"/>
                <w:lang w:val="en-US"/>
              </w:rPr>
              <w:t>Lowest concentration of the minimum reported level (LCMRL)</w:t>
            </w:r>
            <w:r w:rsidR="003E1BA9" w:rsidRPr="00C621FF">
              <w:rPr>
                <w:rFonts w:ascii="Verdana" w:hAnsi="Verdana"/>
                <w:b/>
                <w:sz w:val="16"/>
                <w:szCs w:val="16"/>
                <w:lang w:val="en-US"/>
              </w:rPr>
              <w:t>,</w:t>
            </w:r>
            <w:r w:rsidRPr="00C621FF">
              <w:rPr>
                <w:rFonts w:ascii="Verdana" w:hAnsi="Verdana"/>
                <w:sz w:val="16"/>
                <w:szCs w:val="16"/>
                <w:lang w:val="en-US"/>
              </w:rPr>
              <w:t xml:space="preserve"> at the point of lowest concentration, such that the probability of recovery is between 50 and 150% with at least 99% confidence.</w:t>
            </w:r>
          </w:p>
        </w:tc>
      </w:tr>
      <w:tr w:rsidR="001B08BD" w:rsidRPr="00F01347" w14:paraId="4FFF7FBA" w14:textId="655FDCF5" w:rsidTr="00B3467A">
        <w:tc>
          <w:tcPr>
            <w:tcW w:w="4675" w:type="dxa"/>
          </w:tcPr>
          <w:p w14:paraId="71A131C6" w14:textId="77777777" w:rsidR="001B08BD" w:rsidRPr="00F01347" w:rsidRDefault="001B08BD" w:rsidP="001B08BD">
            <w:pPr>
              <w:pStyle w:val="texto0"/>
              <w:spacing w:after="60" w:line="204" w:lineRule="exact"/>
              <w:ind w:firstLine="0"/>
              <w:rPr>
                <w:rFonts w:ascii="Verdana" w:hAnsi="Verdana"/>
                <w:sz w:val="16"/>
                <w:szCs w:val="16"/>
              </w:rPr>
            </w:pPr>
            <w:r w:rsidRPr="00F01347">
              <w:rPr>
                <w:rFonts w:ascii="Verdana" w:hAnsi="Verdana"/>
                <w:b/>
                <w:sz w:val="16"/>
                <w:szCs w:val="16"/>
              </w:rPr>
              <w:t>Curva de calibración</w:t>
            </w:r>
            <w:r w:rsidRPr="00F01347">
              <w:rPr>
                <w:rFonts w:ascii="Verdana" w:hAnsi="Verdana"/>
                <w:sz w:val="16"/>
                <w:szCs w:val="16"/>
              </w:rPr>
              <w:t xml:space="preserve">, a los puntos de calibración se modelan utilizando una función logística de cuatro parámetros, relacionando la concentración (eje x) con la absorbancia medida en los pozos (eje y). A </w:t>
            </w:r>
            <w:proofErr w:type="gramStart"/>
            <w:r w:rsidRPr="00F01347">
              <w:rPr>
                <w:rFonts w:ascii="Verdana" w:hAnsi="Verdana"/>
                <w:sz w:val="16"/>
                <w:szCs w:val="16"/>
              </w:rPr>
              <w:t>continuación</w:t>
            </w:r>
            <w:proofErr w:type="gramEnd"/>
            <w:r w:rsidRPr="00F01347">
              <w:rPr>
                <w:rFonts w:ascii="Verdana" w:hAnsi="Verdana"/>
                <w:sz w:val="16"/>
                <w:szCs w:val="16"/>
              </w:rPr>
              <w:t xml:space="preserve"> se presenta un ejemplo de curva de calibración generada durante el desarrollo del método. Es importante observar la relación inversa entre la concentración y la respuesta (absorbancia).</w:t>
            </w:r>
          </w:p>
        </w:tc>
        <w:tc>
          <w:tcPr>
            <w:tcW w:w="4675" w:type="dxa"/>
          </w:tcPr>
          <w:p w14:paraId="29AC99C4" w14:textId="2685B984" w:rsidR="001B08BD" w:rsidRPr="00C621FF" w:rsidRDefault="001B08BD" w:rsidP="001B08BD">
            <w:pPr>
              <w:pStyle w:val="texto0"/>
              <w:spacing w:after="60" w:line="204" w:lineRule="exact"/>
              <w:ind w:firstLine="0"/>
              <w:rPr>
                <w:rFonts w:ascii="Verdana" w:hAnsi="Verdana"/>
                <w:b/>
                <w:sz w:val="16"/>
                <w:szCs w:val="16"/>
                <w:lang w:val="en-US"/>
              </w:rPr>
            </w:pPr>
            <w:r w:rsidRPr="00C621FF">
              <w:rPr>
                <w:rFonts w:ascii="Verdana" w:hAnsi="Verdana"/>
                <w:b/>
                <w:sz w:val="16"/>
                <w:szCs w:val="16"/>
                <w:lang w:val="en-US"/>
              </w:rPr>
              <w:t>Calibration curve</w:t>
            </w:r>
            <w:r w:rsidR="003E1BA9" w:rsidRPr="00C621FF">
              <w:rPr>
                <w:rFonts w:ascii="Verdana" w:hAnsi="Verdana"/>
                <w:b/>
                <w:sz w:val="16"/>
                <w:szCs w:val="16"/>
                <w:lang w:val="en-US"/>
              </w:rPr>
              <w:t>,</w:t>
            </w:r>
            <w:r w:rsidRPr="00C621FF">
              <w:rPr>
                <w:rFonts w:ascii="Verdana" w:hAnsi="Verdana"/>
                <w:sz w:val="16"/>
                <w:szCs w:val="16"/>
                <w:lang w:val="en-US"/>
              </w:rPr>
              <w:t xml:space="preserve"> the calibration points are modeled using a four-parameter logistic function, relating the concentration (x-axis) to the absorbance measured in the wells (y-axis). Below is an example of a calibration curve generated during the development of the method. It is important to observe the inverse relationship between concentration and response (absorbance).</w:t>
            </w:r>
          </w:p>
        </w:tc>
      </w:tr>
      <w:tr w:rsidR="001B08BD" w:rsidRPr="00F01347" w14:paraId="346E08D2" w14:textId="672D5A16" w:rsidTr="00B3467A">
        <w:tc>
          <w:tcPr>
            <w:tcW w:w="4675" w:type="dxa"/>
          </w:tcPr>
          <w:p w14:paraId="17D3D3B8" w14:textId="77777777" w:rsidR="001B08BD" w:rsidRPr="00F01347" w:rsidRDefault="001B08BD" w:rsidP="001B08BD">
            <w:pPr>
              <w:pStyle w:val="texto0"/>
              <w:spacing w:after="60" w:line="204" w:lineRule="exact"/>
              <w:ind w:firstLine="0"/>
              <w:rPr>
                <w:rFonts w:ascii="Verdana" w:hAnsi="Verdana"/>
                <w:sz w:val="16"/>
                <w:szCs w:val="16"/>
              </w:rPr>
            </w:pPr>
            <w:r w:rsidRPr="00F01347">
              <w:rPr>
                <w:rFonts w:ascii="Verdana" w:hAnsi="Verdana"/>
                <w:b/>
                <w:bCs/>
                <w:sz w:val="16"/>
                <w:szCs w:val="16"/>
                <w:lang w:val="es-ES"/>
              </w:rPr>
              <w:t xml:space="preserve">Lisado, </w:t>
            </w:r>
            <w:r w:rsidRPr="00F01347">
              <w:rPr>
                <w:rFonts w:ascii="Verdana" w:hAnsi="Verdana"/>
                <w:sz w:val="16"/>
                <w:szCs w:val="16"/>
                <w:lang w:val="es-ES"/>
              </w:rPr>
              <w:t>a la mezcla de sustancias formada</w:t>
            </w:r>
            <w:r w:rsidRPr="00F01347">
              <w:rPr>
                <w:rFonts w:ascii="Verdana" w:hAnsi="Verdana"/>
                <w:sz w:val="16"/>
                <w:szCs w:val="16"/>
              </w:rPr>
              <w:t xml:space="preserve"> por </w:t>
            </w:r>
            <w:r w:rsidRPr="00F01347">
              <w:rPr>
                <w:rFonts w:ascii="Verdana" w:hAnsi="Verdana"/>
                <w:sz w:val="16"/>
                <w:szCs w:val="16"/>
                <w:lang w:val="es-ES"/>
              </w:rPr>
              <w:t>el material liberado cuando las células son fragmentadas por enzimas, químicos inorgánicos o medios físicos.</w:t>
            </w:r>
          </w:p>
        </w:tc>
        <w:tc>
          <w:tcPr>
            <w:tcW w:w="4675" w:type="dxa"/>
          </w:tcPr>
          <w:p w14:paraId="51E5DF79" w14:textId="01707E7D" w:rsidR="001B08BD" w:rsidRPr="00C621FF" w:rsidRDefault="001B08BD" w:rsidP="001B08BD">
            <w:pPr>
              <w:pStyle w:val="texto0"/>
              <w:spacing w:after="60" w:line="204" w:lineRule="exact"/>
              <w:ind w:firstLine="0"/>
              <w:rPr>
                <w:rFonts w:ascii="Verdana" w:hAnsi="Verdana"/>
                <w:b/>
                <w:bCs/>
                <w:sz w:val="16"/>
                <w:szCs w:val="16"/>
                <w:lang w:val="en-US"/>
              </w:rPr>
            </w:pPr>
            <w:r w:rsidRPr="00C621FF">
              <w:rPr>
                <w:rFonts w:ascii="Verdana" w:hAnsi="Verdana"/>
                <w:b/>
                <w:bCs/>
                <w:sz w:val="16"/>
                <w:szCs w:val="16"/>
                <w:lang w:val="en-US"/>
              </w:rPr>
              <w:t xml:space="preserve">Lysate, </w:t>
            </w:r>
            <w:r w:rsidRPr="00C621FF">
              <w:rPr>
                <w:rFonts w:ascii="Verdana" w:hAnsi="Verdana"/>
                <w:sz w:val="16"/>
                <w:szCs w:val="16"/>
                <w:lang w:val="en-US"/>
              </w:rPr>
              <w:t xml:space="preserve">the mixture of substances formed by the material released when cells are fragmented by enzymes, inorganic </w:t>
            </w:r>
            <w:r w:rsidR="009B56CA" w:rsidRPr="00C621FF">
              <w:rPr>
                <w:rFonts w:ascii="Verdana" w:hAnsi="Verdana"/>
                <w:sz w:val="16"/>
                <w:szCs w:val="16"/>
                <w:lang w:val="en-US"/>
              </w:rPr>
              <w:t>chemicals,</w:t>
            </w:r>
            <w:r w:rsidRPr="00C621FF">
              <w:rPr>
                <w:rFonts w:ascii="Verdana" w:hAnsi="Verdana"/>
                <w:sz w:val="16"/>
                <w:szCs w:val="16"/>
                <w:lang w:val="en-US"/>
              </w:rPr>
              <w:t xml:space="preserve"> or physical means.</w:t>
            </w:r>
          </w:p>
        </w:tc>
      </w:tr>
    </w:tbl>
    <w:p w14:paraId="65B4A605" w14:textId="27F9BAD1" w:rsidR="00A74CDF" w:rsidRPr="00F01347" w:rsidRDefault="000C44A0" w:rsidP="003A601B">
      <w:pPr>
        <w:pStyle w:val="texto0"/>
        <w:spacing w:after="0" w:line="240" w:lineRule="auto"/>
        <w:ind w:firstLine="0"/>
        <w:jc w:val="center"/>
        <w:rPr>
          <w:rFonts w:ascii="Verdana" w:hAnsi="Verdana"/>
          <w:sz w:val="16"/>
          <w:szCs w:val="16"/>
        </w:rPr>
      </w:pPr>
      <w:r w:rsidRPr="00F01347">
        <w:rPr>
          <w:noProof/>
        </w:rPr>
        <w:drawing>
          <wp:inline distT="0" distB="0" distL="0" distR="0" wp14:anchorId="3280B9CB" wp14:editId="2311D2C5">
            <wp:extent cx="3391679" cy="2500008"/>
            <wp:effectExtent l="0" t="0" r="0" b="0"/>
            <wp:docPr id="526507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07869" name=""/>
                    <pic:cNvPicPr/>
                  </pic:nvPicPr>
                  <pic:blipFill rotWithShape="1">
                    <a:blip r:embed="rId14"/>
                    <a:srcRect l="33388" t="39427" r="33301" b="16923"/>
                    <a:stretch/>
                  </pic:blipFill>
                  <pic:spPr bwMode="auto">
                    <a:xfrm>
                      <a:off x="0" y="0"/>
                      <a:ext cx="3418947" cy="252010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7DA1949A" w14:textId="13204902" w:rsidTr="00136C20">
        <w:tc>
          <w:tcPr>
            <w:tcW w:w="4675" w:type="dxa"/>
          </w:tcPr>
          <w:p w14:paraId="1B67F152" w14:textId="77777777" w:rsidR="00204B58" w:rsidRPr="00F01347" w:rsidRDefault="00204B58" w:rsidP="00ED777B">
            <w:pPr>
              <w:pStyle w:val="texto0"/>
              <w:spacing w:line="200" w:lineRule="exact"/>
              <w:ind w:firstLine="0"/>
              <w:jc w:val="center"/>
              <w:rPr>
                <w:rFonts w:ascii="Verdana" w:hAnsi="Verdana"/>
                <w:sz w:val="16"/>
                <w:szCs w:val="16"/>
              </w:rPr>
            </w:pPr>
            <w:r w:rsidRPr="00F01347">
              <w:rPr>
                <w:rFonts w:ascii="Verdana" w:hAnsi="Verdana"/>
                <w:b/>
                <w:sz w:val="16"/>
                <w:szCs w:val="16"/>
              </w:rPr>
              <w:t>Fig. B.1.1-1.</w:t>
            </w:r>
            <w:r w:rsidRPr="00F01347">
              <w:rPr>
                <w:rFonts w:ascii="Verdana" w:hAnsi="Verdana"/>
                <w:sz w:val="16"/>
                <w:szCs w:val="16"/>
              </w:rPr>
              <w:t xml:space="preserve"> Curva de calibración de ELISA con cálculo de la EC</w:t>
            </w:r>
            <w:r w:rsidRPr="00F01347">
              <w:rPr>
                <w:rFonts w:ascii="Verdana" w:hAnsi="Verdana"/>
                <w:sz w:val="16"/>
                <w:szCs w:val="16"/>
                <w:vertAlign w:val="subscript"/>
              </w:rPr>
              <w:t>50</w:t>
            </w:r>
            <w:r w:rsidRPr="00F01347">
              <w:rPr>
                <w:rFonts w:ascii="Verdana" w:hAnsi="Verdana"/>
                <w:sz w:val="16"/>
                <w:szCs w:val="16"/>
              </w:rPr>
              <w:t>.  El eje x se encuentra en escala logarítmica.</w:t>
            </w:r>
          </w:p>
        </w:tc>
        <w:tc>
          <w:tcPr>
            <w:tcW w:w="4675" w:type="dxa"/>
          </w:tcPr>
          <w:p w14:paraId="589D8A39" w14:textId="6ED19FD4" w:rsidR="00204B58" w:rsidRPr="00F01347" w:rsidRDefault="00136C20" w:rsidP="00ED777B">
            <w:pPr>
              <w:pStyle w:val="texto0"/>
              <w:spacing w:line="200" w:lineRule="exact"/>
              <w:ind w:firstLine="0"/>
              <w:jc w:val="center"/>
              <w:rPr>
                <w:rFonts w:ascii="Verdana" w:hAnsi="Verdana"/>
                <w:b/>
                <w:sz w:val="16"/>
                <w:szCs w:val="16"/>
                <w:lang w:val="en-US"/>
              </w:rPr>
            </w:pPr>
            <w:r w:rsidRPr="00F01347">
              <w:rPr>
                <w:rFonts w:ascii="Verdana" w:hAnsi="Verdana"/>
                <w:b/>
                <w:sz w:val="16"/>
                <w:szCs w:val="16"/>
                <w:lang w:val="en-US"/>
              </w:rPr>
              <w:t xml:space="preserve">Fig. B.1.1-1. </w:t>
            </w:r>
            <w:r w:rsidRPr="00F01347">
              <w:rPr>
                <w:rFonts w:ascii="Verdana" w:hAnsi="Verdana"/>
                <w:bCs/>
                <w:sz w:val="16"/>
                <w:szCs w:val="16"/>
                <w:lang w:val="en-US"/>
              </w:rPr>
              <w:t>ELISA calibration curve with EC50 calculation. The x-axis is on a logarithmic scale.</w:t>
            </w:r>
          </w:p>
        </w:tc>
      </w:tr>
      <w:tr w:rsidR="00204B58" w:rsidRPr="00F01347" w14:paraId="2B6F652D" w14:textId="38267334" w:rsidTr="00136C20">
        <w:tc>
          <w:tcPr>
            <w:tcW w:w="4675" w:type="dxa"/>
          </w:tcPr>
          <w:p w14:paraId="3ACED287" w14:textId="77777777" w:rsidR="00204B58" w:rsidRPr="00F01347" w:rsidRDefault="00204B58" w:rsidP="00ED777B">
            <w:pPr>
              <w:pStyle w:val="texto0"/>
              <w:ind w:firstLine="0"/>
              <w:rPr>
                <w:rFonts w:ascii="Verdana" w:hAnsi="Verdana"/>
                <w:sz w:val="16"/>
                <w:szCs w:val="16"/>
              </w:rPr>
            </w:pPr>
            <w:r w:rsidRPr="00F01347">
              <w:rPr>
                <w:rFonts w:ascii="Verdana" w:hAnsi="Verdana"/>
                <w:sz w:val="16"/>
                <w:szCs w:val="16"/>
              </w:rPr>
              <w:t xml:space="preserve">El estándar de calibración cero proporciona la absorbancia más alta y el estándar de calibración más alto proporciona la absorbancia más baja. De igual manera, es importante observar también que la pendiente, o sensibilidad, de la respuesta ELISA es mayor en el centro de la curva y tiende a una pendiente de cero a concentraciones extremadamente bajas y altas. Para una explicación más detallada del modelo de calibración de cuatro parámetros pueden revisarse referencias específicas como Maciel (1985) y </w:t>
            </w:r>
            <w:proofErr w:type="spellStart"/>
            <w:r w:rsidRPr="00F01347">
              <w:rPr>
                <w:rFonts w:ascii="Verdana" w:hAnsi="Verdana"/>
                <w:sz w:val="16"/>
                <w:szCs w:val="16"/>
              </w:rPr>
              <w:t>Sasaki</w:t>
            </w:r>
            <w:proofErr w:type="spellEnd"/>
            <w:r w:rsidRPr="00F01347">
              <w:rPr>
                <w:rFonts w:ascii="Verdana" w:hAnsi="Verdana"/>
                <w:sz w:val="16"/>
                <w:szCs w:val="16"/>
              </w:rPr>
              <w:t xml:space="preserve"> (2016).</w:t>
            </w:r>
          </w:p>
        </w:tc>
        <w:tc>
          <w:tcPr>
            <w:tcW w:w="4675" w:type="dxa"/>
          </w:tcPr>
          <w:p w14:paraId="361E57F3" w14:textId="1C91DC2A" w:rsidR="00204B58" w:rsidRPr="00C621FF" w:rsidRDefault="005A2C1B" w:rsidP="00ED777B">
            <w:pPr>
              <w:pStyle w:val="texto0"/>
              <w:ind w:firstLine="0"/>
              <w:rPr>
                <w:rFonts w:ascii="Verdana" w:hAnsi="Verdana"/>
                <w:sz w:val="16"/>
                <w:szCs w:val="16"/>
                <w:lang w:val="en-US"/>
              </w:rPr>
            </w:pPr>
            <w:r w:rsidRPr="00C621FF">
              <w:rPr>
                <w:rFonts w:ascii="Verdana" w:hAnsi="Verdana"/>
                <w:sz w:val="16"/>
                <w:szCs w:val="16"/>
                <w:lang w:val="en-US"/>
              </w:rPr>
              <w:t xml:space="preserve">The </w:t>
            </w:r>
            <w:r w:rsidR="00136C20" w:rsidRPr="00C621FF">
              <w:rPr>
                <w:rFonts w:ascii="Verdana" w:hAnsi="Verdana"/>
                <w:sz w:val="16"/>
                <w:szCs w:val="16"/>
                <w:lang w:val="en-US"/>
              </w:rPr>
              <w:t>zero-calibration</w:t>
            </w:r>
            <w:r w:rsidRPr="00C621FF">
              <w:rPr>
                <w:rFonts w:ascii="Verdana" w:hAnsi="Verdana"/>
                <w:sz w:val="16"/>
                <w:szCs w:val="16"/>
                <w:lang w:val="en-US"/>
              </w:rPr>
              <w:t xml:space="preserve"> standard provides the highest </w:t>
            </w:r>
            <w:proofErr w:type="gramStart"/>
            <w:r w:rsidRPr="00C621FF">
              <w:rPr>
                <w:rFonts w:ascii="Verdana" w:hAnsi="Verdana"/>
                <w:sz w:val="16"/>
                <w:szCs w:val="16"/>
                <w:lang w:val="en-US"/>
              </w:rPr>
              <w:t>absorbance</w:t>
            </w:r>
            <w:proofErr w:type="gramEnd"/>
            <w:r w:rsidRPr="00C621FF">
              <w:rPr>
                <w:rFonts w:ascii="Verdana" w:hAnsi="Verdana"/>
                <w:sz w:val="16"/>
                <w:szCs w:val="16"/>
                <w:lang w:val="en-US"/>
              </w:rPr>
              <w:t xml:space="preserve"> and the highest calibration standard provides the lowest absorbance. Likewise, it is also important to note that the slope, or sensitivity, of the ELISA response is greatest in the center of the curve and tends to a slope of zero at extremely low and high concentrations. For a more detailed explanation of the four-parameter calibration model, specific references such as Maciel (1985) and Sasaki (2016) can be reviewed</w:t>
            </w:r>
            <w:r w:rsidR="003E1BA9" w:rsidRPr="00C621FF">
              <w:rPr>
                <w:rFonts w:ascii="Verdana" w:hAnsi="Verdana"/>
                <w:sz w:val="16"/>
                <w:szCs w:val="16"/>
                <w:lang w:val="en-US"/>
              </w:rPr>
              <w:t>.</w:t>
            </w:r>
          </w:p>
        </w:tc>
      </w:tr>
      <w:tr w:rsidR="00204B58" w:rsidRPr="00F01347" w14:paraId="0D0BA523" w14:textId="515DB8B9" w:rsidTr="00136C20">
        <w:tc>
          <w:tcPr>
            <w:tcW w:w="4675" w:type="dxa"/>
          </w:tcPr>
          <w:p w14:paraId="6B894AE8" w14:textId="77777777" w:rsidR="00204B58" w:rsidRPr="00F01347" w:rsidRDefault="00204B58" w:rsidP="00ED777B">
            <w:pPr>
              <w:pStyle w:val="texto0"/>
              <w:ind w:firstLine="0"/>
              <w:rPr>
                <w:rFonts w:ascii="Verdana" w:hAnsi="Verdana"/>
                <w:sz w:val="16"/>
                <w:szCs w:val="16"/>
              </w:rPr>
            </w:pPr>
            <w:r w:rsidRPr="00F01347">
              <w:rPr>
                <w:rFonts w:ascii="Verdana" w:hAnsi="Verdana"/>
                <w:sz w:val="16"/>
                <w:szCs w:val="16"/>
              </w:rPr>
              <w:t>Ecuación logística de cuatro parámetros:</w:t>
            </w:r>
          </w:p>
        </w:tc>
        <w:tc>
          <w:tcPr>
            <w:tcW w:w="4675" w:type="dxa"/>
          </w:tcPr>
          <w:p w14:paraId="138465F4" w14:textId="0AC1849C" w:rsidR="00204B58" w:rsidRPr="00C621FF" w:rsidRDefault="005A2C1B" w:rsidP="00ED777B">
            <w:pPr>
              <w:pStyle w:val="texto0"/>
              <w:ind w:firstLine="0"/>
              <w:rPr>
                <w:rFonts w:ascii="Verdana" w:hAnsi="Verdana"/>
                <w:sz w:val="16"/>
                <w:szCs w:val="16"/>
                <w:lang w:val="en-US"/>
              </w:rPr>
            </w:pPr>
            <w:r w:rsidRPr="00C621FF">
              <w:rPr>
                <w:rFonts w:ascii="Verdana" w:hAnsi="Verdana"/>
                <w:sz w:val="16"/>
                <w:szCs w:val="16"/>
                <w:lang w:val="en-US"/>
              </w:rPr>
              <w:t>Four-parameter logistic equation:</w:t>
            </w:r>
          </w:p>
        </w:tc>
      </w:tr>
    </w:tbl>
    <w:p w14:paraId="6DF2BF8F" w14:textId="27A0061B" w:rsidR="00A74CDF" w:rsidRPr="00F01347" w:rsidRDefault="00471638" w:rsidP="003A601B">
      <w:pPr>
        <w:pStyle w:val="texto0"/>
        <w:spacing w:line="240" w:lineRule="auto"/>
        <w:ind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408F6F74" wp14:editId="3CD08C38">
            <wp:extent cx="1209675" cy="5048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9675" cy="5048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A2C1B" w:rsidRPr="00F01347" w14:paraId="55FC0240" w14:textId="4A0EBB3F" w:rsidTr="003C6F4B">
        <w:tc>
          <w:tcPr>
            <w:tcW w:w="4675" w:type="dxa"/>
          </w:tcPr>
          <w:p w14:paraId="1A555073" w14:textId="77777777" w:rsidR="005A2C1B" w:rsidRPr="00F01347" w:rsidRDefault="005A2C1B" w:rsidP="005A2C1B">
            <w:pPr>
              <w:pStyle w:val="texto0"/>
              <w:spacing w:after="80"/>
              <w:ind w:firstLine="0"/>
              <w:rPr>
                <w:rFonts w:ascii="Verdana" w:hAnsi="Verdana"/>
                <w:b/>
                <w:bCs/>
                <w:sz w:val="16"/>
                <w:szCs w:val="16"/>
              </w:rPr>
            </w:pPr>
            <w:r w:rsidRPr="00F01347">
              <w:rPr>
                <w:rFonts w:ascii="Verdana" w:hAnsi="Verdana"/>
                <w:b/>
                <w:bCs/>
                <w:sz w:val="16"/>
                <w:szCs w:val="16"/>
              </w:rPr>
              <w:t>En donde:</w:t>
            </w:r>
          </w:p>
        </w:tc>
        <w:tc>
          <w:tcPr>
            <w:tcW w:w="4675" w:type="dxa"/>
          </w:tcPr>
          <w:p w14:paraId="32323DC6" w14:textId="0C09F950" w:rsidR="005A2C1B" w:rsidRPr="00F01347" w:rsidRDefault="005A2C1B" w:rsidP="005A2C1B">
            <w:pPr>
              <w:pStyle w:val="texto0"/>
              <w:spacing w:after="80"/>
              <w:ind w:firstLine="0"/>
              <w:rPr>
                <w:rFonts w:ascii="Verdana" w:hAnsi="Verdana"/>
                <w:b/>
                <w:bCs/>
                <w:sz w:val="16"/>
                <w:szCs w:val="16"/>
                <w:lang w:val="en-US"/>
              </w:rPr>
            </w:pPr>
            <w:r w:rsidRPr="00F01347">
              <w:rPr>
                <w:rFonts w:ascii="Verdana" w:hAnsi="Verdana"/>
                <w:b/>
                <w:bCs/>
                <w:sz w:val="16"/>
                <w:szCs w:val="16"/>
                <w:lang w:val="en-US"/>
              </w:rPr>
              <w:t>Where:</w:t>
            </w:r>
          </w:p>
        </w:tc>
      </w:tr>
      <w:tr w:rsidR="005A2C1B" w:rsidRPr="00F01347" w14:paraId="55A27F89" w14:textId="0CA89730" w:rsidTr="003C6F4B">
        <w:tc>
          <w:tcPr>
            <w:tcW w:w="4675" w:type="dxa"/>
          </w:tcPr>
          <w:p w14:paraId="3FEF2D1D" w14:textId="77777777" w:rsidR="005A2C1B" w:rsidRPr="00F01347" w:rsidRDefault="005A2C1B" w:rsidP="005A2C1B">
            <w:pPr>
              <w:pStyle w:val="texto0"/>
              <w:spacing w:after="80"/>
              <w:ind w:firstLine="0"/>
              <w:rPr>
                <w:rFonts w:ascii="Verdana" w:hAnsi="Verdana"/>
                <w:i/>
                <w:sz w:val="16"/>
                <w:szCs w:val="16"/>
              </w:rPr>
            </w:pPr>
            <w:r w:rsidRPr="00F01347">
              <w:rPr>
                <w:rFonts w:ascii="Verdana" w:hAnsi="Verdana"/>
                <w:i/>
                <w:sz w:val="16"/>
                <w:szCs w:val="16"/>
              </w:rPr>
              <w:lastRenderedPageBreak/>
              <w:tab/>
              <w:t>y</w:t>
            </w:r>
            <w:r w:rsidRPr="00F01347">
              <w:rPr>
                <w:rFonts w:ascii="Verdana" w:hAnsi="Verdana"/>
                <w:i/>
                <w:sz w:val="16"/>
                <w:szCs w:val="16"/>
              </w:rPr>
              <w:tab/>
              <w:t>absorbancia</w:t>
            </w:r>
          </w:p>
        </w:tc>
        <w:tc>
          <w:tcPr>
            <w:tcW w:w="4675" w:type="dxa"/>
          </w:tcPr>
          <w:p w14:paraId="3ABCB37A" w14:textId="65FE62C3" w:rsidR="005A2C1B" w:rsidRPr="00F01347" w:rsidRDefault="005A2C1B" w:rsidP="005A2C1B">
            <w:pPr>
              <w:pStyle w:val="texto0"/>
              <w:spacing w:after="80"/>
              <w:ind w:firstLine="0"/>
              <w:rPr>
                <w:rFonts w:ascii="Verdana" w:hAnsi="Verdana"/>
                <w:i/>
                <w:sz w:val="16"/>
                <w:szCs w:val="16"/>
                <w:lang w:val="en-US"/>
              </w:rPr>
            </w:pPr>
            <w:r w:rsidRPr="00F01347">
              <w:rPr>
                <w:rFonts w:ascii="Verdana" w:hAnsi="Verdana"/>
                <w:i/>
                <w:sz w:val="16"/>
                <w:szCs w:val="16"/>
                <w:lang w:val="en-US"/>
              </w:rPr>
              <w:tab/>
            </w:r>
            <w:r w:rsidR="00740149" w:rsidRPr="00F01347">
              <w:rPr>
                <w:rFonts w:ascii="Verdana" w:hAnsi="Verdana"/>
                <w:i/>
                <w:sz w:val="16"/>
                <w:szCs w:val="16"/>
                <w:lang w:val="en-US"/>
              </w:rPr>
              <w:t xml:space="preserve">y    </w:t>
            </w:r>
            <w:r w:rsidR="003C6F4B" w:rsidRPr="00F01347">
              <w:rPr>
                <w:rFonts w:ascii="Verdana" w:hAnsi="Verdana"/>
                <w:i/>
                <w:sz w:val="16"/>
                <w:szCs w:val="16"/>
                <w:lang w:val="en-US"/>
              </w:rPr>
              <w:t xml:space="preserve"> </w:t>
            </w:r>
            <w:r w:rsidRPr="00F01347">
              <w:rPr>
                <w:rFonts w:ascii="Verdana" w:hAnsi="Verdana"/>
                <w:i/>
                <w:sz w:val="16"/>
                <w:szCs w:val="16"/>
                <w:lang w:val="en-US"/>
              </w:rPr>
              <w:t>absorbance</w:t>
            </w:r>
          </w:p>
        </w:tc>
      </w:tr>
      <w:tr w:rsidR="005A2C1B" w:rsidRPr="00F01347" w14:paraId="60848086" w14:textId="742DC995" w:rsidTr="003C6F4B">
        <w:tc>
          <w:tcPr>
            <w:tcW w:w="4675" w:type="dxa"/>
          </w:tcPr>
          <w:p w14:paraId="560387FB" w14:textId="77777777" w:rsidR="005A2C1B" w:rsidRPr="00F01347" w:rsidRDefault="005A2C1B" w:rsidP="005A2C1B">
            <w:pPr>
              <w:pStyle w:val="texto0"/>
              <w:spacing w:after="80"/>
              <w:ind w:firstLine="0"/>
              <w:rPr>
                <w:rFonts w:ascii="Verdana" w:hAnsi="Verdana"/>
                <w:i/>
                <w:sz w:val="16"/>
                <w:szCs w:val="16"/>
              </w:rPr>
            </w:pPr>
            <w:r w:rsidRPr="00F01347">
              <w:rPr>
                <w:rFonts w:ascii="Verdana" w:hAnsi="Verdana"/>
                <w:i/>
                <w:sz w:val="16"/>
                <w:szCs w:val="16"/>
              </w:rPr>
              <w:tab/>
              <w:t>x</w:t>
            </w:r>
            <w:r w:rsidRPr="00F01347">
              <w:rPr>
                <w:rFonts w:ascii="Verdana" w:hAnsi="Verdana"/>
                <w:i/>
                <w:sz w:val="16"/>
                <w:szCs w:val="16"/>
              </w:rPr>
              <w:tab/>
              <w:t>concentración</w:t>
            </w:r>
          </w:p>
        </w:tc>
        <w:tc>
          <w:tcPr>
            <w:tcW w:w="4675" w:type="dxa"/>
          </w:tcPr>
          <w:p w14:paraId="1B9B5B5B" w14:textId="307FBADB" w:rsidR="005A2C1B" w:rsidRPr="00F01347" w:rsidRDefault="005A2C1B" w:rsidP="005A2C1B">
            <w:pPr>
              <w:pStyle w:val="texto0"/>
              <w:spacing w:after="80"/>
              <w:ind w:firstLine="0"/>
              <w:rPr>
                <w:rFonts w:ascii="Verdana" w:hAnsi="Verdana"/>
                <w:i/>
                <w:sz w:val="16"/>
                <w:szCs w:val="16"/>
                <w:lang w:val="en-US"/>
              </w:rPr>
            </w:pPr>
            <w:r w:rsidRPr="00F01347">
              <w:rPr>
                <w:rFonts w:ascii="Verdana" w:hAnsi="Verdana"/>
                <w:i/>
                <w:sz w:val="16"/>
                <w:szCs w:val="16"/>
                <w:lang w:val="en-US"/>
              </w:rPr>
              <w:tab/>
            </w:r>
            <w:r w:rsidR="00740149" w:rsidRPr="00F01347">
              <w:rPr>
                <w:rFonts w:ascii="Verdana" w:hAnsi="Verdana"/>
                <w:i/>
                <w:sz w:val="16"/>
                <w:szCs w:val="16"/>
                <w:lang w:val="en-US"/>
              </w:rPr>
              <w:t xml:space="preserve">x     </w:t>
            </w:r>
            <w:r w:rsidRPr="00F01347">
              <w:rPr>
                <w:rFonts w:ascii="Verdana" w:hAnsi="Verdana"/>
                <w:i/>
                <w:sz w:val="16"/>
                <w:szCs w:val="16"/>
                <w:lang w:val="en-US"/>
              </w:rPr>
              <w:t>concentration</w:t>
            </w:r>
          </w:p>
        </w:tc>
      </w:tr>
      <w:tr w:rsidR="005A2C1B" w:rsidRPr="00F01347" w14:paraId="74D6CBC5" w14:textId="10A8AB85" w:rsidTr="003C6F4B">
        <w:tc>
          <w:tcPr>
            <w:tcW w:w="4675" w:type="dxa"/>
          </w:tcPr>
          <w:p w14:paraId="56437470" w14:textId="77777777" w:rsidR="005A2C1B" w:rsidRPr="00F01347" w:rsidRDefault="005A2C1B" w:rsidP="005A2C1B">
            <w:pPr>
              <w:pStyle w:val="texto0"/>
              <w:spacing w:after="80"/>
              <w:ind w:firstLine="0"/>
              <w:rPr>
                <w:rFonts w:ascii="Verdana" w:hAnsi="Verdana"/>
                <w:i/>
                <w:sz w:val="16"/>
                <w:szCs w:val="16"/>
              </w:rPr>
            </w:pPr>
            <w:r w:rsidRPr="00F01347">
              <w:rPr>
                <w:rFonts w:ascii="Verdana" w:hAnsi="Verdana"/>
                <w:i/>
                <w:sz w:val="16"/>
                <w:szCs w:val="16"/>
              </w:rPr>
              <w:tab/>
              <w:t>a</w:t>
            </w:r>
            <w:r w:rsidRPr="00F01347">
              <w:rPr>
                <w:rFonts w:ascii="Verdana" w:hAnsi="Verdana"/>
                <w:i/>
                <w:sz w:val="16"/>
                <w:szCs w:val="16"/>
              </w:rPr>
              <w:tab/>
              <w:t>absorbancia en la meseta inferior</w:t>
            </w:r>
          </w:p>
        </w:tc>
        <w:tc>
          <w:tcPr>
            <w:tcW w:w="4675" w:type="dxa"/>
          </w:tcPr>
          <w:p w14:paraId="31C8C776" w14:textId="58BC2760" w:rsidR="005A2C1B" w:rsidRPr="00F01347" w:rsidRDefault="005A2C1B" w:rsidP="005A2C1B">
            <w:pPr>
              <w:pStyle w:val="texto0"/>
              <w:spacing w:after="80"/>
              <w:ind w:firstLine="0"/>
              <w:rPr>
                <w:rFonts w:ascii="Verdana" w:hAnsi="Verdana"/>
                <w:i/>
                <w:sz w:val="16"/>
                <w:szCs w:val="16"/>
                <w:lang w:val="en-US"/>
              </w:rPr>
            </w:pPr>
            <w:r w:rsidRPr="00F01347">
              <w:rPr>
                <w:rFonts w:ascii="Verdana" w:hAnsi="Verdana"/>
                <w:i/>
                <w:sz w:val="16"/>
                <w:szCs w:val="16"/>
              </w:rPr>
              <w:tab/>
            </w:r>
            <w:proofErr w:type="gramStart"/>
            <w:r w:rsidR="00740149" w:rsidRPr="00F01347">
              <w:rPr>
                <w:rFonts w:ascii="Verdana" w:hAnsi="Verdana"/>
                <w:i/>
                <w:sz w:val="16"/>
                <w:szCs w:val="16"/>
                <w:lang w:val="en-US"/>
              </w:rPr>
              <w:t>a</w:t>
            </w:r>
            <w:proofErr w:type="gramEnd"/>
            <w:r w:rsidR="00740149" w:rsidRPr="00F01347">
              <w:rPr>
                <w:rFonts w:ascii="Verdana" w:hAnsi="Verdana"/>
                <w:i/>
                <w:sz w:val="16"/>
                <w:szCs w:val="16"/>
                <w:lang w:val="en-US"/>
              </w:rPr>
              <w:t xml:space="preserve">     </w:t>
            </w:r>
            <w:r w:rsidRPr="00F01347">
              <w:rPr>
                <w:rFonts w:ascii="Verdana" w:hAnsi="Verdana"/>
                <w:i/>
                <w:sz w:val="16"/>
                <w:szCs w:val="16"/>
                <w:lang w:val="en-US"/>
              </w:rPr>
              <w:t>Absorbance at the lower plateau</w:t>
            </w:r>
          </w:p>
        </w:tc>
      </w:tr>
      <w:tr w:rsidR="005A2C1B" w:rsidRPr="00F01347" w14:paraId="0C020C38" w14:textId="369079C3" w:rsidTr="003C6F4B">
        <w:tc>
          <w:tcPr>
            <w:tcW w:w="4675" w:type="dxa"/>
          </w:tcPr>
          <w:p w14:paraId="6F5431A9" w14:textId="77777777" w:rsidR="005A2C1B" w:rsidRPr="00F01347" w:rsidRDefault="005A2C1B" w:rsidP="005A2C1B">
            <w:pPr>
              <w:pStyle w:val="texto0"/>
              <w:spacing w:after="80"/>
              <w:ind w:firstLine="0"/>
              <w:rPr>
                <w:rFonts w:ascii="Verdana" w:hAnsi="Verdana"/>
                <w:i/>
                <w:sz w:val="16"/>
                <w:szCs w:val="16"/>
              </w:rPr>
            </w:pPr>
            <w:r w:rsidRPr="00F01347">
              <w:rPr>
                <w:rFonts w:ascii="Verdana" w:hAnsi="Verdana"/>
                <w:i/>
                <w:sz w:val="16"/>
                <w:szCs w:val="16"/>
                <w:lang w:val="en-US"/>
              </w:rPr>
              <w:tab/>
            </w:r>
            <w:r w:rsidRPr="00F01347">
              <w:rPr>
                <w:rFonts w:ascii="Verdana" w:hAnsi="Verdana"/>
                <w:i/>
                <w:sz w:val="16"/>
                <w:szCs w:val="16"/>
              </w:rPr>
              <w:t>b</w:t>
            </w:r>
            <w:r w:rsidRPr="00F01347">
              <w:rPr>
                <w:rFonts w:ascii="Verdana" w:hAnsi="Verdana"/>
                <w:i/>
                <w:sz w:val="16"/>
                <w:szCs w:val="16"/>
              </w:rPr>
              <w:tab/>
              <w:t>pendiente en el punto de inflexión</w:t>
            </w:r>
          </w:p>
        </w:tc>
        <w:tc>
          <w:tcPr>
            <w:tcW w:w="4675" w:type="dxa"/>
          </w:tcPr>
          <w:p w14:paraId="5F9C0102" w14:textId="71869FCB" w:rsidR="005A2C1B" w:rsidRPr="00F01347" w:rsidRDefault="005A2C1B" w:rsidP="005A2C1B">
            <w:pPr>
              <w:pStyle w:val="texto0"/>
              <w:spacing w:after="80"/>
              <w:ind w:firstLine="0"/>
              <w:rPr>
                <w:rFonts w:ascii="Verdana" w:hAnsi="Verdana"/>
                <w:i/>
                <w:sz w:val="16"/>
                <w:szCs w:val="16"/>
                <w:lang w:val="en-US"/>
              </w:rPr>
            </w:pPr>
            <w:r w:rsidRPr="00F01347">
              <w:rPr>
                <w:rFonts w:ascii="Verdana" w:hAnsi="Verdana"/>
                <w:i/>
                <w:sz w:val="16"/>
                <w:szCs w:val="16"/>
              </w:rPr>
              <w:tab/>
            </w:r>
            <w:r w:rsidR="001E5F4B" w:rsidRPr="00F01347">
              <w:rPr>
                <w:rFonts w:ascii="Verdana" w:hAnsi="Verdana"/>
                <w:i/>
                <w:sz w:val="16"/>
                <w:szCs w:val="16"/>
                <w:lang w:val="en-US"/>
              </w:rPr>
              <w:t>b</w:t>
            </w:r>
            <w:r w:rsidR="00740149" w:rsidRPr="00F01347">
              <w:rPr>
                <w:rFonts w:ascii="Verdana" w:hAnsi="Verdana"/>
                <w:i/>
                <w:sz w:val="16"/>
                <w:szCs w:val="16"/>
                <w:lang w:val="en-US"/>
              </w:rPr>
              <w:t xml:space="preserve">     incline</w:t>
            </w:r>
            <w:r w:rsidRPr="00F01347">
              <w:rPr>
                <w:rFonts w:ascii="Verdana" w:hAnsi="Verdana"/>
                <w:i/>
                <w:sz w:val="16"/>
                <w:szCs w:val="16"/>
                <w:lang w:val="en-US"/>
              </w:rPr>
              <w:t xml:space="preserve"> at inflection point</w:t>
            </w:r>
          </w:p>
        </w:tc>
      </w:tr>
      <w:tr w:rsidR="005A2C1B" w:rsidRPr="00F01347" w14:paraId="79EA779C" w14:textId="711B6FF3" w:rsidTr="003C6F4B">
        <w:tc>
          <w:tcPr>
            <w:tcW w:w="4675" w:type="dxa"/>
          </w:tcPr>
          <w:p w14:paraId="459B8281" w14:textId="77777777" w:rsidR="005A2C1B" w:rsidRPr="00F01347" w:rsidRDefault="005A2C1B" w:rsidP="005A2C1B">
            <w:pPr>
              <w:pStyle w:val="texto0"/>
              <w:spacing w:after="80"/>
              <w:ind w:firstLine="0"/>
              <w:rPr>
                <w:rFonts w:ascii="Verdana" w:hAnsi="Verdana"/>
                <w:i/>
                <w:sz w:val="16"/>
                <w:szCs w:val="16"/>
              </w:rPr>
            </w:pPr>
            <w:r w:rsidRPr="00F01347">
              <w:rPr>
                <w:rFonts w:ascii="Verdana" w:hAnsi="Verdana"/>
                <w:i/>
                <w:sz w:val="16"/>
                <w:szCs w:val="16"/>
                <w:lang w:val="en-US"/>
              </w:rPr>
              <w:tab/>
            </w:r>
            <w:r w:rsidRPr="00F01347">
              <w:rPr>
                <w:rFonts w:ascii="Verdana" w:hAnsi="Verdana"/>
                <w:i/>
                <w:sz w:val="16"/>
                <w:szCs w:val="16"/>
              </w:rPr>
              <w:t>c</w:t>
            </w:r>
            <w:r w:rsidRPr="00F01347">
              <w:rPr>
                <w:rFonts w:ascii="Verdana" w:hAnsi="Verdana"/>
                <w:i/>
                <w:sz w:val="16"/>
                <w:szCs w:val="16"/>
              </w:rPr>
              <w:tab/>
              <w:t>concentración en el punto de inflexión = EC</w:t>
            </w:r>
            <w:r w:rsidRPr="00F01347">
              <w:rPr>
                <w:rFonts w:ascii="Verdana" w:hAnsi="Verdana"/>
                <w:i/>
                <w:sz w:val="16"/>
                <w:szCs w:val="16"/>
                <w:vertAlign w:val="subscript"/>
              </w:rPr>
              <w:t>50</w:t>
            </w:r>
          </w:p>
        </w:tc>
        <w:tc>
          <w:tcPr>
            <w:tcW w:w="4675" w:type="dxa"/>
          </w:tcPr>
          <w:p w14:paraId="44A2B5E9" w14:textId="3E7BD11A" w:rsidR="005A2C1B" w:rsidRPr="00F01347" w:rsidRDefault="005A2C1B" w:rsidP="005A2C1B">
            <w:pPr>
              <w:pStyle w:val="texto0"/>
              <w:spacing w:after="80"/>
              <w:ind w:firstLine="0"/>
              <w:rPr>
                <w:rFonts w:ascii="Verdana" w:hAnsi="Verdana"/>
                <w:i/>
                <w:sz w:val="16"/>
                <w:szCs w:val="16"/>
                <w:lang w:val="en-US"/>
              </w:rPr>
            </w:pPr>
            <w:r w:rsidRPr="00F01347">
              <w:rPr>
                <w:rFonts w:ascii="Verdana" w:hAnsi="Verdana"/>
                <w:i/>
                <w:sz w:val="16"/>
                <w:szCs w:val="16"/>
              </w:rPr>
              <w:tab/>
            </w:r>
            <w:r w:rsidR="001E5F4B" w:rsidRPr="00F01347">
              <w:rPr>
                <w:rFonts w:ascii="Verdana" w:hAnsi="Verdana"/>
                <w:i/>
                <w:sz w:val="16"/>
                <w:szCs w:val="16"/>
                <w:lang w:val="en-US"/>
              </w:rPr>
              <w:t>c</w:t>
            </w:r>
            <w:r w:rsidR="00740149" w:rsidRPr="00F01347">
              <w:rPr>
                <w:rFonts w:ascii="Verdana" w:hAnsi="Verdana"/>
                <w:i/>
                <w:sz w:val="16"/>
                <w:szCs w:val="16"/>
                <w:lang w:val="en-US"/>
              </w:rPr>
              <w:t xml:space="preserve">     </w:t>
            </w:r>
            <w:r w:rsidRPr="00F01347">
              <w:rPr>
                <w:rFonts w:ascii="Verdana" w:hAnsi="Verdana"/>
                <w:i/>
                <w:sz w:val="16"/>
                <w:szCs w:val="16"/>
                <w:lang w:val="en-US"/>
              </w:rPr>
              <w:t>concentration at inflection point = EC</w:t>
            </w:r>
            <w:r w:rsidRPr="00F01347">
              <w:rPr>
                <w:rFonts w:ascii="Verdana" w:hAnsi="Verdana"/>
                <w:i/>
                <w:sz w:val="16"/>
                <w:szCs w:val="16"/>
                <w:vertAlign w:val="subscript"/>
                <w:lang w:val="en-US"/>
              </w:rPr>
              <w:t>50</w:t>
            </w:r>
          </w:p>
        </w:tc>
      </w:tr>
      <w:tr w:rsidR="005A2C1B" w:rsidRPr="00F01347" w14:paraId="7935F684" w14:textId="5135364E" w:rsidTr="003C6F4B">
        <w:tc>
          <w:tcPr>
            <w:tcW w:w="4675" w:type="dxa"/>
          </w:tcPr>
          <w:p w14:paraId="32FB9954" w14:textId="77777777" w:rsidR="005A2C1B" w:rsidRPr="00F01347" w:rsidRDefault="005A2C1B" w:rsidP="005A2C1B">
            <w:pPr>
              <w:pStyle w:val="texto0"/>
              <w:spacing w:after="80"/>
              <w:ind w:firstLine="0"/>
              <w:rPr>
                <w:rFonts w:ascii="Verdana" w:hAnsi="Verdana"/>
                <w:i/>
                <w:sz w:val="16"/>
                <w:szCs w:val="16"/>
              </w:rPr>
            </w:pPr>
            <w:r w:rsidRPr="00F01347">
              <w:rPr>
                <w:rFonts w:ascii="Verdana" w:hAnsi="Verdana"/>
                <w:i/>
                <w:sz w:val="16"/>
                <w:szCs w:val="16"/>
                <w:lang w:val="en-US"/>
              </w:rPr>
              <w:tab/>
            </w:r>
            <w:r w:rsidRPr="00F01347">
              <w:rPr>
                <w:rFonts w:ascii="Verdana" w:hAnsi="Verdana"/>
                <w:i/>
                <w:sz w:val="16"/>
                <w:szCs w:val="16"/>
              </w:rPr>
              <w:t>d</w:t>
            </w:r>
            <w:r w:rsidRPr="00F01347">
              <w:rPr>
                <w:rFonts w:ascii="Verdana" w:hAnsi="Verdana"/>
                <w:i/>
                <w:sz w:val="16"/>
                <w:szCs w:val="16"/>
              </w:rPr>
              <w:tab/>
              <w:t>absorbancia en la meseta superior</w:t>
            </w:r>
          </w:p>
        </w:tc>
        <w:tc>
          <w:tcPr>
            <w:tcW w:w="4675" w:type="dxa"/>
          </w:tcPr>
          <w:p w14:paraId="01712542" w14:textId="5715D0E8" w:rsidR="005A2C1B" w:rsidRPr="00F01347" w:rsidRDefault="005A2C1B" w:rsidP="005A2C1B">
            <w:pPr>
              <w:pStyle w:val="texto0"/>
              <w:spacing w:after="80"/>
              <w:ind w:firstLine="0"/>
              <w:rPr>
                <w:rFonts w:ascii="Verdana" w:hAnsi="Verdana"/>
                <w:i/>
                <w:sz w:val="16"/>
                <w:szCs w:val="16"/>
                <w:lang w:val="en-US"/>
              </w:rPr>
            </w:pPr>
            <w:r w:rsidRPr="00F01347">
              <w:rPr>
                <w:rFonts w:ascii="Verdana" w:hAnsi="Verdana"/>
                <w:i/>
                <w:sz w:val="16"/>
                <w:szCs w:val="16"/>
              </w:rPr>
              <w:tab/>
            </w:r>
            <w:r w:rsidR="001E5F4B" w:rsidRPr="00F01347">
              <w:rPr>
                <w:rFonts w:ascii="Verdana" w:hAnsi="Verdana"/>
                <w:i/>
                <w:sz w:val="16"/>
                <w:szCs w:val="16"/>
                <w:lang w:val="en-US"/>
              </w:rPr>
              <w:t xml:space="preserve">d     </w:t>
            </w:r>
            <w:r w:rsidRPr="00F01347">
              <w:rPr>
                <w:rFonts w:ascii="Verdana" w:hAnsi="Verdana"/>
                <w:i/>
                <w:sz w:val="16"/>
                <w:szCs w:val="16"/>
                <w:lang w:val="en-US"/>
              </w:rPr>
              <w:t>absorbance on the upper plateau</w:t>
            </w:r>
          </w:p>
        </w:tc>
      </w:tr>
      <w:tr w:rsidR="005A2C1B" w:rsidRPr="00F01347" w14:paraId="5EA209F8" w14:textId="7D3D001B" w:rsidTr="003C6F4B">
        <w:tc>
          <w:tcPr>
            <w:tcW w:w="4675" w:type="dxa"/>
          </w:tcPr>
          <w:p w14:paraId="263F1F57"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sz w:val="16"/>
                <w:szCs w:val="16"/>
              </w:rPr>
              <w:t>Los coeficientes a, b, c y d, son calculados por el software de reducción de datos usando análisis de regresión.</w:t>
            </w:r>
          </w:p>
        </w:tc>
        <w:tc>
          <w:tcPr>
            <w:tcW w:w="4675" w:type="dxa"/>
          </w:tcPr>
          <w:p w14:paraId="283A1322" w14:textId="383A852B" w:rsidR="005A2C1B" w:rsidRPr="00F01347" w:rsidRDefault="005A2C1B" w:rsidP="005A2C1B">
            <w:pPr>
              <w:pStyle w:val="texto0"/>
              <w:spacing w:after="80"/>
              <w:ind w:firstLine="0"/>
              <w:rPr>
                <w:rFonts w:ascii="Verdana" w:hAnsi="Verdana"/>
                <w:sz w:val="16"/>
                <w:szCs w:val="16"/>
                <w:lang w:val="en-US"/>
              </w:rPr>
            </w:pPr>
            <w:r w:rsidRPr="00F01347">
              <w:rPr>
                <w:rFonts w:ascii="Verdana" w:hAnsi="Verdana"/>
                <w:sz w:val="16"/>
                <w:szCs w:val="16"/>
                <w:lang w:val="en-US"/>
              </w:rPr>
              <w:t xml:space="preserve">The coefficients a, b, </w:t>
            </w:r>
            <w:proofErr w:type="gramStart"/>
            <w:r w:rsidRPr="00F01347">
              <w:rPr>
                <w:rFonts w:ascii="Verdana" w:hAnsi="Verdana"/>
                <w:sz w:val="16"/>
                <w:szCs w:val="16"/>
                <w:lang w:val="en-US"/>
              </w:rPr>
              <w:t>c</w:t>
            </w:r>
            <w:proofErr w:type="gramEnd"/>
            <w:r w:rsidRPr="00F01347">
              <w:rPr>
                <w:rFonts w:ascii="Verdana" w:hAnsi="Verdana"/>
                <w:sz w:val="16"/>
                <w:szCs w:val="16"/>
                <w:lang w:val="en-US"/>
              </w:rPr>
              <w:t xml:space="preserve"> and d, are calculated by the data reduction software using regression analysis.</w:t>
            </w:r>
          </w:p>
        </w:tc>
      </w:tr>
      <w:tr w:rsidR="005A2C1B" w:rsidRPr="00F01347" w14:paraId="120FB7EF" w14:textId="190966B5" w:rsidTr="003C6F4B">
        <w:tc>
          <w:tcPr>
            <w:tcW w:w="4675" w:type="dxa"/>
          </w:tcPr>
          <w:p w14:paraId="0965663C"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b/>
                <w:sz w:val="16"/>
                <w:szCs w:val="16"/>
              </w:rPr>
              <w:t>Duplicado de la matriz de muestra fortificada en laboratorio (LFSMD)</w:t>
            </w:r>
            <w:r w:rsidRPr="00F01347">
              <w:rPr>
                <w:rFonts w:ascii="Verdana" w:hAnsi="Verdana"/>
                <w:sz w:val="16"/>
                <w:szCs w:val="16"/>
              </w:rPr>
              <w:t>, a la segunda alícuota de la muestra de campo utilizada para preparar el LFSM que se fortifica y ensaya en el mismo lote de análisis que el LFSM. El LFSMD se utiliza para verificar la precisión del método en las matrices de agua de uso y consumo humano.</w:t>
            </w:r>
          </w:p>
        </w:tc>
        <w:tc>
          <w:tcPr>
            <w:tcW w:w="4675" w:type="dxa"/>
          </w:tcPr>
          <w:p w14:paraId="18B5DE9C" w14:textId="3D713522" w:rsidR="005A2C1B" w:rsidRPr="00F01347" w:rsidRDefault="005A2C1B" w:rsidP="005A2C1B">
            <w:pPr>
              <w:pStyle w:val="texto0"/>
              <w:spacing w:after="80"/>
              <w:ind w:firstLine="0"/>
              <w:rPr>
                <w:rFonts w:ascii="Verdana" w:hAnsi="Verdana"/>
                <w:b/>
                <w:sz w:val="16"/>
                <w:szCs w:val="16"/>
                <w:lang w:val="en-US"/>
              </w:rPr>
            </w:pPr>
            <w:r w:rsidRPr="00F01347">
              <w:rPr>
                <w:rFonts w:ascii="Verdana" w:hAnsi="Verdana"/>
                <w:b/>
                <w:sz w:val="16"/>
                <w:szCs w:val="16"/>
                <w:lang w:val="en-US"/>
              </w:rPr>
              <w:t>Duplicate of the laboratory fortified sample matrix (LFSMD)</w:t>
            </w:r>
            <w:r w:rsidR="003E1BA9" w:rsidRPr="00F01347">
              <w:rPr>
                <w:rFonts w:ascii="Verdana" w:hAnsi="Verdana"/>
                <w:b/>
                <w:sz w:val="16"/>
                <w:szCs w:val="16"/>
                <w:lang w:val="en-US"/>
              </w:rPr>
              <w:t>,</w:t>
            </w:r>
            <w:r w:rsidRPr="00F01347">
              <w:rPr>
                <w:rFonts w:ascii="Verdana" w:hAnsi="Verdana"/>
                <w:sz w:val="16"/>
                <w:szCs w:val="16"/>
                <w:lang w:val="en-US"/>
              </w:rPr>
              <w:t xml:space="preserve"> to the second aliquot of the field sample used to prepare the LFSM that is fortified and tested in the same analysis </w:t>
            </w:r>
            <w:r w:rsidR="002001CB" w:rsidRPr="00F01347">
              <w:rPr>
                <w:rFonts w:ascii="Verdana" w:hAnsi="Verdana"/>
                <w:sz w:val="16"/>
                <w:szCs w:val="16"/>
                <w:lang w:val="en-US"/>
              </w:rPr>
              <w:t>lot</w:t>
            </w:r>
            <w:r w:rsidRPr="00F01347">
              <w:rPr>
                <w:rFonts w:ascii="Verdana" w:hAnsi="Verdana"/>
                <w:sz w:val="16"/>
                <w:szCs w:val="16"/>
                <w:lang w:val="en-US"/>
              </w:rPr>
              <w:t xml:space="preserve"> as the LFSM. The LFSMD is used to verify the precision of the method in human use and consumption water matrices.</w:t>
            </w:r>
          </w:p>
        </w:tc>
      </w:tr>
      <w:tr w:rsidR="005A2C1B" w:rsidRPr="00F01347" w14:paraId="00ADDF8E" w14:textId="5DE2C2A7" w:rsidTr="003C6F4B">
        <w:tc>
          <w:tcPr>
            <w:tcW w:w="4675" w:type="dxa"/>
          </w:tcPr>
          <w:p w14:paraId="000FFEC8"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b/>
                <w:sz w:val="16"/>
                <w:szCs w:val="16"/>
              </w:rPr>
              <w:t>EC</w:t>
            </w:r>
            <w:r w:rsidRPr="00F01347">
              <w:rPr>
                <w:rFonts w:ascii="Verdana" w:hAnsi="Verdana"/>
                <w:b/>
                <w:sz w:val="16"/>
                <w:szCs w:val="16"/>
                <w:vertAlign w:val="subscript"/>
              </w:rPr>
              <w:t>50</w:t>
            </w:r>
            <w:r w:rsidRPr="00F01347">
              <w:rPr>
                <w:rFonts w:ascii="Verdana" w:hAnsi="Verdana"/>
                <w:sz w:val="16"/>
                <w:szCs w:val="16"/>
              </w:rPr>
              <w:t xml:space="preserve">, a la concentración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que produce una absorbancia media entre la meseta inferior de la curva de calibración (coeficiente a) y la meseta superior (coeficiente d). La EC</w:t>
            </w:r>
            <w:r w:rsidRPr="00F01347">
              <w:rPr>
                <w:rFonts w:ascii="Verdana" w:hAnsi="Verdana"/>
                <w:sz w:val="16"/>
                <w:szCs w:val="16"/>
                <w:vertAlign w:val="subscript"/>
              </w:rPr>
              <w:t>50</w:t>
            </w:r>
            <w:r w:rsidRPr="00F01347">
              <w:rPr>
                <w:rFonts w:ascii="Verdana" w:hAnsi="Verdana"/>
                <w:sz w:val="16"/>
                <w:szCs w:val="16"/>
              </w:rPr>
              <w:t xml:space="preserve"> es la concentración en el punto de inflexión (Fig. B.1.1-1 de este Apéndice B) y está en el centro del intervalo de medición más confiable (es decir, la mayor pendiente) de la ELISA.</w:t>
            </w:r>
          </w:p>
        </w:tc>
        <w:tc>
          <w:tcPr>
            <w:tcW w:w="4675" w:type="dxa"/>
          </w:tcPr>
          <w:p w14:paraId="5F527AF3" w14:textId="793D9CD0" w:rsidR="005A2C1B" w:rsidRPr="00F01347" w:rsidRDefault="005A2C1B" w:rsidP="005A2C1B">
            <w:pPr>
              <w:pStyle w:val="texto0"/>
              <w:spacing w:after="80"/>
              <w:ind w:firstLine="0"/>
              <w:rPr>
                <w:rFonts w:ascii="Verdana" w:hAnsi="Verdana"/>
                <w:b/>
                <w:sz w:val="16"/>
                <w:szCs w:val="16"/>
                <w:lang w:val="en-US"/>
              </w:rPr>
            </w:pPr>
            <w:r w:rsidRPr="00F01347">
              <w:rPr>
                <w:rFonts w:ascii="Verdana" w:hAnsi="Verdana"/>
                <w:b/>
                <w:sz w:val="16"/>
                <w:szCs w:val="16"/>
                <w:lang w:val="en-US"/>
              </w:rPr>
              <w:t>EC</w:t>
            </w:r>
            <w:r w:rsidRPr="00F01347">
              <w:rPr>
                <w:rFonts w:ascii="Verdana" w:hAnsi="Verdana"/>
                <w:b/>
                <w:sz w:val="16"/>
                <w:szCs w:val="16"/>
                <w:vertAlign w:val="subscript"/>
                <w:lang w:val="en-US"/>
              </w:rPr>
              <w:t>50</w:t>
            </w:r>
            <w:r w:rsidR="003E1BA9" w:rsidRPr="00F01347">
              <w:rPr>
                <w:rFonts w:ascii="Verdana" w:hAnsi="Verdana"/>
                <w:b/>
                <w:sz w:val="16"/>
                <w:szCs w:val="16"/>
                <w:vertAlign w:val="subscript"/>
                <w:lang w:val="en-US"/>
              </w:rPr>
              <w:t>,</w:t>
            </w:r>
            <w:r w:rsidRPr="00F01347">
              <w:rPr>
                <w:rFonts w:ascii="Verdana" w:hAnsi="Verdana"/>
                <w:sz w:val="16"/>
                <w:szCs w:val="16"/>
                <w:lang w:val="en-US"/>
              </w:rPr>
              <w:t xml:space="preserve"> at the concentration of microcystin that produces an average absorbance between the lower plateau of the calibration curve (coefficient a) and the upper plateau (coefficient d). The EC</w:t>
            </w:r>
            <w:r w:rsidRPr="00F01347">
              <w:rPr>
                <w:rFonts w:ascii="Verdana" w:hAnsi="Verdana"/>
                <w:sz w:val="16"/>
                <w:szCs w:val="16"/>
                <w:vertAlign w:val="subscript"/>
                <w:lang w:val="en-US"/>
              </w:rPr>
              <w:t xml:space="preserve">50 </w:t>
            </w:r>
            <w:r w:rsidRPr="00F01347">
              <w:rPr>
                <w:rFonts w:ascii="Verdana" w:hAnsi="Verdana"/>
                <w:sz w:val="16"/>
                <w:szCs w:val="16"/>
                <w:lang w:val="en-US"/>
              </w:rPr>
              <w:t>is the concentration at the inflection point (Fig. B.1.1-1 of this Appendix B) and is in the center of the most reliable measurement range (i.e., the greatest slope) of the ELISA.</w:t>
            </w:r>
          </w:p>
        </w:tc>
      </w:tr>
      <w:tr w:rsidR="005A2C1B" w:rsidRPr="00F01347" w14:paraId="47523C57" w14:textId="4EB83816" w:rsidTr="003C6F4B">
        <w:tc>
          <w:tcPr>
            <w:tcW w:w="4675" w:type="dxa"/>
          </w:tcPr>
          <w:p w14:paraId="2965F419"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sz w:val="16"/>
                <w:szCs w:val="16"/>
              </w:rPr>
              <w:t>Para cada curva de calibración, la EC</w:t>
            </w:r>
            <w:r w:rsidRPr="00F01347">
              <w:rPr>
                <w:rFonts w:ascii="Verdana" w:hAnsi="Verdana"/>
                <w:sz w:val="16"/>
                <w:szCs w:val="16"/>
                <w:vertAlign w:val="subscript"/>
              </w:rPr>
              <w:t>50</w:t>
            </w:r>
            <w:r w:rsidRPr="00F01347">
              <w:rPr>
                <w:rFonts w:ascii="Verdana" w:hAnsi="Verdana"/>
                <w:sz w:val="16"/>
                <w:szCs w:val="16"/>
              </w:rPr>
              <w:t xml:space="preserve"> es igual al coeficiente c, del ajuste logístico de cuatro parámetros. El EC</w:t>
            </w:r>
            <w:r w:rsidRPr="00F01347">
              <w:rPr>
                <w:rFonts w:ascii="Verdana" w:hAnsi="Verdana"/>
                <w:sz w:val="16"/>
                <w:szCs w:val="16"/>
                <w:vertAlign w:val="subscript"/>
              </w:rPr>
              <w:t>50</w:t>
            </w:r>
            <w:r w:rsidRPr="00F01347">
              <w:rPr>
                <w:rFonts w:ascii="Verdana" w:hAnsi="Verdana"/>
                <w:sz w:val="16"/>
                <w:szCs w:val="16"/>
              </w:rPr>
              <w:t xml:space="preserve"> se encuentra en el informe de calibración generado por el lector de placas.</w:t>
            </w:r>
          </w:p>
        </w:tc>
        <w:tc>
          <w:tcPr>
            <w:tcW w:w="4675" w:type="dxa"/>
          </w:tcPr>
          <w:p w14:paraId="0C4C875A" w14:textId="182F2275" w:rsidR="005A2C1B" w:rsidRPr="00F01347" w:rsidRDefault="005A2C1B" w:rsidP="005A2C1B">
            <w:pPr>
              <w:pStyle w:val="texto0"/>
              <w:spacing w:after="80"/>
              <w:ind w:firstLine="0"/>
              <w:rPr>
                <w:rFonts w:ascii="Verdana" w:hAnsi="Verdana"/>
                <w:sz w:val="16"/>
                <w:szCs w:val="16"/>
                <w:lang w:val="en-US"/>
              </w:rPr>
            </w:pPr>
            <w:r w:rsidRPr="00F01347">
              <w:rPr>
                <w:rFonts w:ascii="Verdana" w:hAnsi="Verdana"/>
                <w:sz w:val="16"/>
                <w:szCs w:val="16"/>
                <w:lang w:val="en-US"/>
              </w:rPr>
              <w:t>For each calibration curve, the EC</w:t>
            </w:r>
            <w:r w:rsidRPr="00F01347">
              <w:rPr>
                <w:rFonts w:ascii="Verdana" w:hAnsi="Verdana"/>
                <w:sz w:val="16"/>
                <w:szCs w:val="16"/>
                <w:vertAlign w:val="subscript"/>
                <w:lang w:val="en-US"/>
              </w:rPr>
              <w:t xml:space="preserve">50 </w:t>
            </w:r>
            <w:r w:rsidRPr="00F01347">
              <w:rPr>
                <w:rFonts w:ascii="Verdana" w:hAnsi="Verdana"/>
                <w:sz w:val="16"/>
                <w:szCs w:val="16"/>
                <w:lang w:val="en-US"/>
              </w:rPr>
              <w:t>is equal to the coefficient c, of the four-parameter logistic fit. The EC</w:t>
            </w:r>
            <w:r w:rsidRPr="00F01347">
              <w:rPr>
                <w:rFonts w:ascii="Verdana" w:hAnsi="Verdana"/>
                <w:sz w:val="16"/>
                <w:szCs w:val="16"/>
                <w:vertAlign w:val="subscript"/>
                <w:lang w:val="en-US"/>
              </w:rPr>
              <w:t xml:space="preserve">50 </w:t>
            </w:r>
            <w:r w:rsidRPr="00F01347">
              <w:rPr>
                <w:rFonts w:ascii="Verdana" w:hAnsi="Verdana"/>
                <w:sz w:val="16"/>
                <w:szCs w:val="16"/>
                <w:lang w:val="en-US"/>
              </w:rPr>
              <w:t>is found in the calibration report generated by the plate reader.</w:t>
            </w:r>
          </w:p>
        </w:tc>
      </w:tr>
      <w:tr w:rsidR="005A2C1B" w:rsidRPr="00F01347" w14:paraId="44F64B7B" w14:textId="2B64E283" w:rsidTr="003C6F4B">
        <w:tc>
          <w:tcPr>
            <w:tcW w:w="4675" w:type="dxa"/>
          </w:tcPr>
          <w:p w14:paraId="38E1AEA9"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sz w:val="16"/>
                <w:szCs w:val="16"/>
              </w:rPr>
              <w:t>Debido a que la EC</w:t>
            </w:r>
            <w:r w:rsidRPr="00F01347">
              <w:rPr>
                <w:rFonts w:ascii="Verdana" w:hAnsi="Verdana"/>
                <w:sz w:val="16"/>
                <w:szCs w:val="16"/>
                <w:vertAlign w:val="subscript"/>
              </w:rPr>
              <w:t>50</w:t>
            </w:r>
            <w:r w:rsidRPr="00F01347">
              <w:rPr>
                <w:rFonts w:ascii="Verdana" w:hAnsi="Verdana"/>
                <w:sz w:val="16"/>
                <w:szCs w:val="16"/>
              </w:rPr>
              <w:t xml:space="preserve"> está en el centro del intervalo de medición más confiable, la guía para fortificar muestras de control de calidad se basa en este valor. Para este método, las muestras de control de calidad que requieren ser fortificadas con MC-LR deben tener concentraciones cerca de la EC</w:t>
            </w:r>
            <w:r w:rsidRPr="00F01347">
              <w:rPr>
                <w:rFonts w:ascii="Verdana" w:hAnsi="Verdana"/>
                <w:sz w:val="16"/>
                <w:szCs w:val="16"/>
                <w:vertAlign w:val="subscript"/>
              </w:rPr>
              <w:t>50</w:t>
            </w:r>
            <w:r w:rsidRPr="00F01347">
              <w:rPr>
                <w:rFonts w:ascii="Verdana" w:hAnsi="Verdana"/>
                <w:sz w:val="16"/>
                <w:szCs w:val="16"/>
              </w:rPr>
              <w:t>. Estas muestras de control de calidad incluyen blancos fortificados de laboratorio y matriz de muestras fortificadas de laboratorio.</w:t>
            </w:r>
          </w:p>
        </w:tc>
        <w:tc>
          <w:tcPr>
            <w:tcW w:w="4675" w:type="dxa"/>
          </w:tcPr>
          <w:p w14:paraId="58529474" w14:textId="634990A8" w:rsidR="005A2C1B" w:rsidRPr="00F01347" w:rsidRDefault="005A2C1B" w:rsidP="005A2C1B">
            <w:pPr>
              <w:pStyle w:val="texto0"/>
              <w:spacing w:after="80"/>
              <w:ind w:firstLine="0"/>
              <w:rPr>
                <w:rFonts w:ascii="Verdana" w:hAnsi="Verdana"/>
                <w:sz w:val="16"/>
                <w:szCs w:val="16"/>
                <w:lang w:val="en-US"/>
              </w:rPr>
            </w:pPr>
            <w:r w:rsidRPr="00F01347">
              <w:rPr>
                <w:rFonts w:ascii="Verdana" w:hAnsi="Verdana"/>
                <w:sz w:val="16"/>
                <w:szCs w:val="16"/>
                <w:lang w:val="en-US"/>
              </w:rPr>
              <w:t>Because EC</w:t>
            </w:r>
            <w:r w:rsidRPr="00F01347">
              <w:rPr>
                <w:rFonts w:ascii="Verdana" w:hAnsi="Verdana"/>
                <w:sz w:val="16"/>
                <w:szCs w:val="16"/>
                <w:vertAlign w:val="subscript"/>
                <w:lang w:val="en-US"/>
              </w:rPr>
              <w:t xml:space="preserve">50 </w:t>
            </w:r>
            <w:r w:rsidRPr="00F01347">
              <w:rPr>
                <w:rFonts w:ascii="Verdana" w:hAnsi="Verdana"/>
                <w:sz w:val="16"/>
                <w:szCs w:val="16"/>
                <w:lang w:val="en-US"/>
              </w:rPr>
              <w:t>is in the middle of the most reliable measurement range, guidance for fortifying quality control samples is based on this value. For this method, quality control samples that require to be fortified with MC-LR should have concentrations close to the EC</w:t>
            </w:r>
            <w:r w:rsidRPr="00F01347">
              <w:rPr>
                <w:rFonts w:ascii="Verdana" w:hAnsi="Verdana"/>
                <w:sz w:val="16"/>
                <w:szCs w:val="16"/>
                <w:vertAlign w:val="subscript"/>
                <w:lang w:val="en-US"/>
              </w:rPr>
              <w:t>50</w:t>
            </w:r>
            <w:r w:rsidR="003E1BA9" w:rsidRPr="00F01347">
              <w:rPr>
                <w:rFonts w:ascii="Verdana" w:hAnsi="Verdana"/>
                <w:sz w:val="16"/>
                <w:szCs w:val="16"/>
                <w:vertAlign w:val="subscript"/>
                <w:lang w:val="en-US"/>
              </w:rPr>
              <w:t>.</w:t>
            </w:r>
            <w:r w:rsidRPr="00F01347">
              <w:rPr>
                <w:rFonts w:ascii="Verdana" w:hAnsi="Verdana"/>
                <w:sz w:val="16"/>
                <w:szCs w:val="16"/>
                <w:lang w:val="en-US"/>
              </w:rPr>
              <w:t xml:space="preserve"> These quality control samples include laboratory fortified blanks and laboratory fortified sample matrix.</w:t>
            </w:r>
          </w:p>
        </w:tc>
      </w:tr>
      <w:tr w:rsidR="005A2C1B" w:rsidRPr="00F01347" w14:paraId="0B1EA3A6" w14:textId="3B52041D" w:rsidTr="003C6F4B">
        <w:tc>
          <w:tcPr>
            <w:tcW w:w="4675" w:type="dxa"/>
          </w:tcPr>
          <w:p w14:paraId="37BA8F77"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b/>
                <w:sz w:val="16"/>
                <w:szCs w:val="16"/>
              </w:rPr>
              <w:t>Estándar de calibración,</w:t>
            </w:r>
            <w:r w:rsidRPr="00F01347">
              <w:rPr>
                <w:rFonts w:ascii="Verdana" w:hAnsi="Verdana"/>
                <w:sz w:val="16"/>
                <w:szCs w:val="16"/>
              </w:rPr>
              <w:t xml:space="preserve"> soluciones de MC-LR suministradas en el kit de la prueba de ELISA o preparadas en el laboratorio, que son apropiadas para el rango de medición del kit de ELISA.</w:t>
            </w:r>
          </w:p>
        </w:tc>
        <w:tc>
          <w:tcPr>
            <w:tcW w:w="4675" w:type="dxa"/>
          </w:tcPr>
          <w:p w14:paraId="54749FB4" w14:textId="1E8816F0" w:rsidR="005A2C1B" w:rsidRPr="00F01347" w:rsidRDefault="005A2C1B" w:rsidP="005A2C1B">
            <w:pPr>
              <w:pStyle w:val="texto0"/>
              <w:spacing w:after="80"/>
              <w:ind w:firstLine="0"/>
              <w:rPr>
                <w:rFonts w:ascii="Verdana" w:hAnsi="Verdana"/>
                <w:b/>
                <w:sz w:val="16"/>
                <w:szCs w:val="16"/>
                <w:lang w:val="en-US"/>
              </w:rPr>
            </w:pPr>
            <w:r w:rsidRPr="00F01347">
              <w:rPr>
                <w:rFonts w:ascii="Verdana" w:hAnsi="Verdana"/>
                <w:b/>
                <w:sz w:val="16"/>
                <w:szCs w:val="16"/>
                <w:lang w:val="en-US"/>
              </w:rPr>
              <w:t xml:space="preserve">Calibration standard, </w:t>
            </w:r>
            <w:r w:rsidRPr="00F01347">
              <w:rPr>
                <w:rFonts w:ascii="Verdana" w:hAnsi="Verdana"/>
                <w:sz w:val="16"/>
                <w:szCs w:val="16"/>
                <w:lang w:val="en-US"/>
              </w:rPr>
              <w:t>MC-LR solutions supplied in the ELISA test kit or prepared in the laboratory, which are appropriate for the measurement range of the ELISA kit.</w:t>
            </w:r>
          </w:p>
        </w:tc>
      </w:tr>
      <w:tr w:rsidR="005A2C1B" w:rsidRPr="00F01347" w14:paraId="7FBDC6B5" w14:textId="1A07996E" w:rsidTr="003C6F4B">
        <w:tc>
          <w:tcPr>
            <w:tcW w:w="4675" w:type="dxa"/>
          </w:tcPr>
          <w:p w14:paraId="3178BB7F"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b/>
                <w:sz w:val="16"/>
                <w:szCs w:val="16"/>
              </w:rPr>
              <w:t>Solución estándar de dilución primaria (PDS)</w:t>
            </w:r>
            <w:r w:rsidRPr="00F01347">
              <w:rPr>
                <w:rFonts w:ascii="Verdana" w:hAnsi="Verdana"/>
                <w:sz w:val="16"/>
                <w:szCs w:val="16"/>
              </w:rPr>
              <w:t>, solución de MC-LR en metanol (o el indicado por el fabricante) preparado a partir de la solución estándar MC-LR. Las soluciones de PDS se utilizan para fortificar muestras de control de calidad (LFB, LFSM y LFSMD).</w:t>
            </w:r>
          </w:p>
        </w:tc>
        <w:tc>
          <w:tcPr>
            <w:tcW w:w="4675" w:type="dxa"/>
          </w:tcPr>
          <w:p w14:paraId="3095E34F" w14:textId="4A1EF7FA" w:rsidR="005A2C1B" w:rsidRPr="00F01347" w:rsidRDefault="005A2C1B" w:rsidP="005A2C1B">
            <w:pPr>
              <w:pStyle w:val="texto0"/>
              <w:spacing w:after="80"/>
              <w:ind w:firstLine="0"/>
              <w:rPr>
                <w:rFonts w:ascii="Verdana" w:hAnsi="Verdana"/>
                <w:b/>
                <w:sz w:val="16"/>
                <w:szCs w:val="16"/>
                <w:lang w:val="en-US"/>
              </w:rPr>
            </w:pPr>
            <w:r w:rsidRPr="00F01347">
              <w:rPr>
                <w:rFonts w:ascii="Verdana" w:hAnsi="Verdana"/>
                <w:b/>
                <w:sz w:val="16"/>
                <w:szCs w:val="16"/>
                <w:lang w:val="en-US"/>
              </w:rPr>
              <w:t>Primary dilution standard solution (PDS)</w:t>
            </w:r>
            <w:r w:rsidR="003E1BA9" w:rsidRPr="00F01347">
              <w:rPr>
                <w:rFonts w:ascii="Verdana" w:hAnsi="Verdana"/>
                <w:b/>
                <w:sz w:val="16"/>
                <w:szCs w:val="16"/>
                <w:lang w:val="en-US"/>
              </w:rPr>
              <w:t>,</w:t>
            </w:r>
            <w:r w:rsidRPr="00F01347">
              <w:rPr>
                <w:rFonts w:ascii="Verdana" w:hAnsi="Verdana"/>
                <w:sz w:val="16"/>
                <w:szCs w:val="16"/>
                <w:lang w:val="en-US"/>
              </w:rPr>
              <w:t xml:space="preserve"> solution of MC-LR in methanol (or as indicated by the manufacturer) prepared from the MC-LR standard solution. PDS solutions are used to fortify quality control samples (LFB, LFSM and LFSMD).</w:t>
            </w:r>
          </w:p>
        </w:tc>
      </w:tr>
      <w:tr w:rsidR="005A2C1B" w:rsidRPr="00F01347" w14:paraId="0DFD8838" w14:textId="41B2A554" w:rsidTr="003C6F4B">
        <w:tc>
          <w:tcPr>
            <w:tcW w:w="4675" w:type="dxa"/>
          </w:tcPr>
          <w:p w14:paraId="2E7D0A36"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b/>
                <w:sz w:val="16"/>
                <w:szCs w:val="16"/>
              </w:rPr>
              <w:t>Estándar de verificación de calibración de bajo alcance (LOW-CV)</w:t>
            </w:r>
            <w:r w:rsidRPr="00F01347">
              <w:rPr>
                <w:rFonts w:ascii="Verdana" w:hAnsi="Verdana"/>
                <w:sz w:val="16"/>
                <w:szCs w:val="16"/>
              </w:rPr>
              <w:t>, estándar de calibración con una concentración igual o inferior al MRL. El propósito de la LOW-CV es confirmar la exactitud de la calibración en concentraciones cercanas al MRL.</w:t>
            </w:r>
          </w:p>
        </w:tc>
        <w:tc>
          <w:tcPr>
            <w:tcW w:w="4675" w:type="dxa"/>
          </w:tcPr>
          <w:p w14:paraId="7D7D659F" w14:textId="4BDE453B" w:rsidR="005A2C1B" w:rsidRPr="00F01347" w:rsidRDefault="005A2C1B" w:rsidP="005A2C1B">
            <w:pPr>
              <w:pStyle w:val="texto0"/>
              <w:spacing w:after="80"/>
              <w:ind w:firstLine="0"/>
              <w:rPr>
                <w:rFonts w:ascii="Verdana" w:hAnsi="Verdana"/>
                <w:b/>
                <w:sz w:val="16"/>
                <w:szCs w:val="16"/>
                <w:lang w:val="en-US"/>
              </w:rPr>
            </w:pPr>
            <w:r w:rsidRPr="00F01347">
              <w:rPr>
                <w:rFonts w:ascii="Verdana" w:hAnsi="Verdana"/>
                <w:b/>
                <w:sz w:val="16"/>
                <w:szCs w:val="16"/>
                <w:lang w:val="en-US"/>
              </w:rPr>
              <w:t>Low Range Calibration Verification Standard (LOW-CV)</w:t>
            </w:r>
            <w:r w:rsidR="003E1BA9" w:rsidRPr="00F01347">
              <w:rPr>
                <w:rFonts w:ascii="Verdana" w:hAnsi="Verdana"/>
                <w:b/>
                <w:sz w:val="16"/>
                <w:szCs w:val="16"/>
                <w:lang w:val="en-US"/>
              </w:rPr>
              <w:t>,</w:t>
            </w:r>
            <w:r w:rsidRPr="00F01347">
              <w:rPr>
                <w:rFonts w:ascii="Verdana" w:hAnsi="Verdana"/>
                <w:sz w:val="16"/>
                <w:szCs w:val="16"/>
                <w:lang w:val="en-US"/>
              </w:rPr>
              <w:t xml:space="preserve"> calibration standard with a concentration equal to or less than the MRL. The purpose of the LOW-CV is to confirm the accuracy of the calibration at concentrations close to the MRL.</w:t>
            </w:r>
          </w:p>
        </w:tc>
      </w:tr>
      <w:tr w:rsidR="005A2C1B" w:rsidRPr="00F01347" w14:paraId="37D3A923" w14:textId="7BB0F5CD" w:rsidTr="003C6F4B">
        <w:tc>
          <w:tcPr>
            <w:tcW w:w="4675" w:type="dxa"/>
          </w:tcPr>
          <w:p w14:paraId="525F9493"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b/>
                <w:sz w:val="16"/>
                <w:szCs w:val="16"/>
              </w:rPr>
              <w:t>Lote de análisis</w:t>
            </w:r>
            <w:r w:rsidRPr="00F01347">
              <w:rPr>
                <w:rFonts w:ascii="Verdana" w:hAnsi="Verdana"/>
                <w:sz w:val="16"/>
                <w:szCs w:val="16"/>
              </w:rPr>
              <w:t xml:space="preserve">, los estándares, muestras y elementos de control de calidad se ensayan en una sola placa de 96 pozos usando lotes idénticos de reactivos y </w:t>
            </w:r>
            <w:r w:rsidRPr="00F01347">
              <w:rPr>
                <w:rFonts w:ascii="Verdana" w:hAnsi="Verdana"/>
                <w:sz w:val="16"/>
                <w:szCs w:val="16"/>
              </w:rPr>
              <w:lastRenderedPageBreak/>
              <w:t>pozos. Cada placa por definición es un lote de análisis, independientemente del número de pozos incluidos. Las muestras de control de calidad deben analizarse en cada lote de análisis a las frecuencias descritas. Cada lote de análisis incluye los siguientes elementos:</w:t>
            </w:r>
          </w:p>
        </w:tc>
        <w:tc>
          <w:tcPr>
            <w:tcW w:w="4675" w:type="dxa"/>
          </w:tcPr>
          <w:p w14:paraId="4ED2C4EA" w14:textId="12C41AC8" w:rsidR="005A2C1B" w:rsidRPr="00F01347" w:rsidRDefault="005A2C1B" w:rsidP="005A2C1B">
            <w:pPr>
              <w:pStyle w:val="texto0"/>
              <w:spacing w:after="80"/>
              <w:ind w:firstLine="0"/>
              <w:rPr>
                <w:rFonts w:ascii="Verdana" w:hAnsi="Verdana"/>
                <w:b/>
                <w:sz w:val="16"/>
                <w:szCs w:val="16"/>
                <w:lang w:val="en-US"/>
              </w:rPr>
            </w:pPr>
            <w:r w:rsidRPr="00F01347">
              <w:rPr>
                <w:rFonts w:ascii="Verdana" w:hAnsi="Verdana"/>
                <w:b/>
                <w:sz w:val="16"/>
                <w:szCs w:val="16"/>
                <w:lang w:val="en-US"/>
              </w:rPr>
              <w:lastRenderedPageBreak/>
              <w:t>A</w:t>
            </w:r>
            <w:r w:rsidR="00E1026B" w:rsidRPr="00F01347">
              <w:rPr>
                <w:rFonts w:ascii="Verdana" w:hAnsi="Verdana"/>
                <w:b/>
                <w:sz w:val="16"/>
                <w:szCs w:val="16"/>
                <w:lang w:val="en-US"/>
              </w:rPr>
              <w:t>nalysis</w:t>
            </w:r>
            <w:r w:rsidRPr="00F01347">
              <w:rPr>
                <w:rFonts w:ascii="Verdana" w:hAnsi="Verdana"/>
                <w:b/>
                <w:sz w:val="16"/>
                <w:szCs w:val="16"/>
                <w:lang w:val="en-US"/>
              </w:rPr>
              <w:t xml:space="preserve"> Lot</w:t>
            </w:r>
            <w:r w:rsidR="003E1BA9" w:rsidRPr="00F01347">
              <w:rPr>
                <w:rFonts w:ascii="Verdana" w:hAnsi="Verdana"/>
                <w:b/>
                <w:sz w:val="16"/>
                <w:szCs w:val="16"/>
                <w:lang w:val="en-US"/>
              </w:rPr>
              <w:t>,</w:t>
            </w:r>
            <w:r w:rsidRPr="00F01347">
              <w:rPr>
                <w:rFonts w:ascii="Verdana" w:hAnsi="Verdana"/>
                <w:sz w:val="16"/>
                <w:szCs w:val="16"/>
                <w:lang w:val="en-US"/>
              </w:rPr>
              <w:t xml:space="preserve"> standards, samples, and quality control elements are assayed in a single 96-well plate using identical lots of reagents and wells. Each plate </w:t>
            </w:r>
            <w:proofErr w:type="gramStart"/>
            <w:r w:rsidRPr="00F01347">
              <w:rPr>
                <w:rFonts w:ascii="Verdana" w:hAnsi="Verdana"/>
                <w:sz w:val="16"/>
                <w:szCs w:val="16"/>
                <w:lang w:val="en-US"/>
              </w:rPr>
              <w:t xml:space="preserve">by </w:t>
            </w:r>
            <w:r w:rsidRPr="00F01347">
              <w:rPr>
                <w:rFonts w:ascii="Verdana" w:hAnsi="Verdana"/>
                <w:sz w:val="16"/>
                <w:szCs w:val="16"/>
                <w:lang w:val="en-US"/>
              </w:rPr>
              <w:lastRenderedPageBreak/>
              <w:t>definition is</w:t>
            </w:r>
            <w:proofErr w:type="gramEnd"/>
            <w:r w:rsidRPr="00F01347">
              <w:rPr>
                <w:rFonts w:ascii="Verdana" w:hAnsi="Verdana"/>
                <w:sz w:val="16"/>
                <w:szCs w:val="16"/>
                <w:lang w:val="en-US"/>
              </w:rPr>
              <w:t xml:space="preserve"> an </w:t>
            </w:r>
            <w:r w:rsidR="00E1026B" w:rsidRPr="00F01347">
              <w:rPr>
                <w:rFonts w:ascii="Verdana" w:hAnsi="Verdana"/>
                <w:sz w:val="16"/>
                <w:szCs w:val="16"/>
                <w:lang w:val="en-US"/>
              </w:rPr>
              <w:t>analysis</w:t>
            </w:r>
            <w:r w:rsidRPr="00F01347">
              <w:rPr>
                <w:rFonts w:ascii="Verdana" w:hAnsi="Verdana"/>
                <w:sz w:val="16"/>
                <w:szCs w:val="16"/>
                <w:lang w:val="en-US"/>
              </w:rPr>
              <w:t xml:space="preserve"> lot, regardless of the number of wells included. Quality control samples should be analyzed in each analysis batch at the frequencies described. Each analysis batch includes the following elements:</w:t>
            </w:r>
          </w:p>
        </w:tc>
      </w:tr>
      <w:tr w:rsidR="005A2C1B" w:rsidRPr="00F01347" w14:paraId="518F92DE" w14:textId="03EE6C4A" w:rsidTr="003C6F4B">
        <w:tc>
          <w:tcPr>
            <w:tcW w:w="4675" w:type="dxa"/>
          </w:tcPr>
          <w:p w14:paraId="4E0C8678"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sz w:val="16"/>
                <w:szCs w:val="16"/>
              </w:rPr>
              <w:lastRenderedPageBreak/>
              <w:t>• Estándares de calibración</w:t>
            </w:r>
          </w:p>
        </w:tc>
        <w:tc>
          <w:tcPr>
            <w:tcW w:w="4675" w:type="dxa"/>
          </w:tcPr>
          <w:p w14:paraId="6CBD017C" w14:textId="51958BA8" w:rsidR="005A2C1B" w:rsidRPr="00F01347" w:rsidRDefault="005A2C1B" w:rsidP="005A2C1B">
            <w:pPr>
              <w:pStyle w:val="texto0"/>
              <w:spacing w:after="80"/>
              <w:ind w:firstLine="0"/>
              <w:rPr>
                <w:rFonts w:ascii="Verdana" w:hAnsi="Verdana"/>
                <w:sz w:val="16"/>
                <w:szCs w:val="16"/>
                <w:lang w:val="en-US"/>
              </w:rPr>
            </w:pPr>
            <w:r w:rsidRPr="00F01347">
              <w:rPr>
                <w:rFonts w:ascii="Verdana" w:hAnsi="Verdana"/>
                <w:sz w:val="16"/>
                <w:szCs w:val="16"/>
                <w:lang w:val="en-US"/>
              </w:rPr>
              <w:t>• Calibration standards</w:t>
            </w:r>
          </w:p>
        </w:tc>
      </w:tr>
      <w:tr w:rsidR="005A2C1B" w:rsidRPr="00F01347" w14:paraId="4B05E781" w14:textId="5A4CBE16" w:rsidTr="003C6F4B">
        <w:tc>
          <w:tcPr>
            <w:tcW w:w="4675" w:type="dxa"/>
          </w:tcPr>
          <w:p w14:paraId="0C02305C"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sz w:val="16"/>
                <w:szCs w:val="16"/>
              </w:rPr>
              <w:t>• Blancos de reactivo de laboratorio</w:t>
            </w:r>
          </w:p>
        </w:tc>
        <w:tc>
          <w:tcPr>
            <w:tcW w:w="4675" w:type="dxa"/>
          </w:tcPr>
          <w:p w14:paraId="4D253EB6" w14:textId="711B9993" w:rsidR="005A2C1B" w:rsidRPr="00F01347" w:rsidRDefault="005A2C1B" w:rsidP="005A2C1B">
            <w:pPr>
              <w:pStyle w:val="texto0"/>
              <w:spacing w:after="80"/>
              <w:ind w:firstLine="0"/>
              <w:rPr>
                <w:rFonts w:ascii="Verdana" w:hAnsi="Verdana"/>
                <w:sz w:val="16"/>
                <w:szCs w:val="16"/>
                <w:lang w:val="en-US"/>
              </w:rPr>
            </w:pPr>
            <w:r w:rsidRPr="00F01347">
              <w:rPr>
                <w:rFonts w:ascii="Verdana" w:hAnsi="Verdana"/>
                <w:sz w:val="16"/>
                <w:szCs w:val="16"/>
                <w:lang w:val="en-US"/>
              </w:rPr>
              <w:t>• Laboratory reagent blanks</w:t>
            </w:r>
          </w:p>
        </w:tc>
      </w:tr>
      <w:tr w:rsidR="005A2C1B" w:rsidRPr="00F01347" w14:paraId="572D9355" w14:textId="3DD371DC" w:rsidTr="003C6F4B">
        <w:tc>
          <w:tcPr>
            <w:tcW w:w="4675" w:type="dxa"/>
          </w:tcPr>
          <w:p w14:paraId="3C8F0E8A"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sz w:val="16"/>
                <w:szCs w:val="16"/>
              </w:rPr>
              <w:t>• Estándar de verificación de calibración de bajo alcance</w:t>
            </w:r>
          </w:p>
        </w:tc>
        <w:tc>
          <w:tcPr>
            <w:tcW w:w="4675" w:type="dxa"/>
          </w:tcPr>
          <w:p w14:paraId="73C3CB94" w14:textId="4ADF8BAC" w:rsidR="005A2C1B" w:rsidRPr="00F01347" w:rsidRDefault="005A2C1B" w:rsidP="005A2C1B">
            <w:pPr>
              <w:pStyle w:val="texto0"/>
              <w:spacing w:after="80"/>
              <w:ind w:firstLine="0"/>
              <w:rPr>
                <w:rFonts w:ascii="Verdana" w:hAnsi="Verdana"/>
                <w:sz w:val="16"/>
                <w:szCs w:val="16"/>
                <w:lang w:val="en-US"/>
              </w:rPr>
            </w:pPr>
            <w:r w:rsidRPr="00F01347">
              <w:rPr>
                <w:rFonts w:ascii="Verdana" w:hAnsi="Verdana"/>
                <w:sz w:val="16"/>
                <w:szCs w:val="16"/>
                <w:lang w:val="en-US"/>
              </w:rPr>
              <w:t>• Low Range Calibration Verification Standard</w:t>
            </w:r>
          </w:p>
        </w:tc>
      </w:tr>
      <w:tr w:rsidR="005A2C1B" w:rsidRPr="00F01347" w14:paraId="04FEADE8" w14:textId="1177793F" w:rsidTr="003C6F4B">
        <w:tc>
          <w:tcPr>
            <w:tcW w:w="4675" w:type="dxa"/>
          </w:tcPr>
          <w:p w14:paraId="0A79FD7F"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sz w:val="16"/>
                <w:szCs w:val="16"/>
              </w:rPr>
              <w:t>• Blancos fortificados de laboratorio</w:t>
            </w:r>
          </w:p>
        </w:tc>
        <w:tc>
          <w:tcPr>
            <w:tcW w:w="4675" w:type="dxa"/>
          </w:tcPr>
          <w:p w14:paraId="2F731638" w14:textId="328DA2AF" w:rsidR="005A2C1B" w:rsidRPr="00F01347" w:rsidRDefault="005A2C1B" w:rsidP="005A2C1B">
            <w:pPr>
              <w:pStyle w:val="texto0"/>
              <w:spacing w:after="80"/>
              <w:ind w:firstLine="0"/>
              <w:rPr>
                <w:rFonts w:ascii="Verdana" w:hAnsi="Verdana"/>
                <w:sz w:val="16"/>
                <w:szCs w:val="16"/>
                <w:lang w:val="en-US"/>
              </w:rPr>
            </w:pPr>
            <w:r w:rsidRPr="00F01347">
              <w:rPr>
                <w:rFonts w:ascii="Verdana" w:hAnsi="Verdana"/>
                <w:sz w:val="16"/>
                <w:szCs w:val="16"/>
                <w:lang w:val="en-US"/>
              </w:rPr>
              <w:t xml:space="preserve">• Fortified laboratory </w:t>
            </w:r>
            <w:r w:rsidR="005E7555" w:rsidRPr="00F01347">
              <w:rPr>
                <w:rFonts w:ascii="Verdana" w:hAnsi="Verdana"/>
                <w:sz w:val="16"/>
                <w:szCs w:val="16"/>
                <w:lang w:val="en-US"/>
              </w:rPr>
              <w:t>blanks</w:t>
            </w:r>
          </w:p>
        </w:tc>
      </w:tr>
      <w:tr w:rsidR="005A2C1B" w:rsidRPr="00F01347" w14:paraId="0D89FF97" w14:textId="685F39F9" w:rsidTr="003C6F4B">
        <w:tc>
          <w:tcPr>
            <w:tcW w:w="4675" w:type="dxa"/>
          </w:tcPr>
          <w:p w14:paraId="39625CAC" w14:textId="77777777" w:rsidR="005A2C1B" w:rsidRPr="00F01347" w:rsidRDefault="005A2C1B" w:rsidP="005A2C1B">
            <w:pPr>
              <w:pStyle w:val="texto0"/>
              <w:spacing w:after="80"/>
              <w:ind w:firstLine="0"/>
              <w:rPr>
                <w:rFonts w:ascii="Verdana" w:hAnsi="Verdana"/>
                <w:sz w:val="16"/>
                <w:szCs w:val="16"/>
              </w:rPr>
            </w:pPr>
            <w:r w:rsidRPr="00F01347">
              <w:rPr>
                <w:rFonts w:ascii="Verdana" w:hAnsi="Verdana"/>
                <w:sz w:val="16"/>
                <w:szCs w:val="16"/>
              </w:rPr>
              <w:t>• Muestras de campo (agua de uso y consumo humano)</w:t>
            </w:r>
          </w:p>
        </w:tc>
        <w:tc>
          <w:tcPr>
            <w:tcW w:w="4675" w:type="dxa"/>
          </w:tcPr>
          <w:p w14:paraId="283FF900" w14:textId="3A835628" w:rsidR="005A2C1B" w:rsidRPr="00F01347" w:rsidRDefault="005A2C1B" w:rsidP="005A2C1B">
            <w:pPr>
              <w:pStyle w:val="texto0"/>
              <w:spacing w:after="80"/>
              <w:ind w:firstLine="0"/>
              <w:rPr>
                <w:rFonts w:ascii="Verdana" w:hAnsi="Verdana"/>
                <w:sz w:val="16"/>
                <w:szCs w:val="16"/>
                <w:lang w:val="en-US"/>
              </w:rPr>
            </w:pPr>
            <w:r w:rsidRPr="00F01347">
              <w:rPr>
                <w:rFonts w:ascii="Verdana" w:hAnsi="Verdana"/>
                <w:sz w:val="16"/>
                <w:szCs w:val="16"/>
                <w:lang w:val="en-US"/>
              </w:rPr>
              <w:t>• Field samples (water for human use and consumption)</w:t>
            </w:r>
          </w:p>
        </w:tc>
      </w:tr>
      <w:tr w:rsidR="005A2C1B" w:rsidRPr="00F01347" w14:paraId="787C2FA0" w14:textId="0CC36DA3" w:rsidTr="003C6F4B">
        <w:tc>
          <w:tcPr>
            <w:tcW w:w="4675" w:type="dxa"/>
          </w:tcPr>
          <w:p w14:paraId="021EF3D0" w14:textId="77777777" w:rsidR="005A2C1B" w:rsidRPr="00F01347" w:rsidRDefault="005A2C1B" w:rsidP="005A2C1B">
            <w:pPr>
              <w:pStyle w:val="texto0"/>
              <w:ind w:firstLine="0"/>
              <w:rPr>
                <w:rFonts w:ascii="Verdana" w:hAnsi="Verdana"/>
                <w:sz w:val="16"/>
                <w:szCs w:val="16"/>
              </w:rPr>
            </w:pPr>
            <w:r w:rsidRPr="00F01347">
              <w:rPr>
                <w:rFonts w:ascii="Verdana" w:hAnsi="Verdana"/>
                <w:sz w:val="16"/>
                <w:szCs w:val="16"/>
              </w:rPr>
              <w:t xml:space="preserve">• Matriz de muestras fortificadas en laboratorio y duplicados de las matrices de muestras </w:t>
            </w:r>
            <w:proofErr w:type="gramStart"/>
            <w:r w:rsidRPr="00F01347">
              <w:rPr>
                <w:rFonts w:ascii="Verdana" w:hAnsi="Verdana"/>
                <w:sz w:val="16"/>
                <w:szCs w:val="16"/>
              </w:rPr>
              <w:t>fortificadas  en</w:t>
            </w:r>
            <w:proofErr w:type="gramEnd"/>
            <w:r w:rsidRPr="00F01347">
              <w:rPr>
                <w:rFonts w:ascii="Verdana" w:hAnsi="Verdana"/>
                <w:sz w:val="16"/>
                <w:szCs w:val="16"/>
              </w:rPr>
              <w:t xml:space="preserve"> laboratorio.</w:t>
            </w:r>
          </w:p>
        </w:tc>
        <w:tc>
          <w:tcPr>
            <w:tcW w:w="4675" w:type="dxa"/>
          </w:tcPr>
          <w:p w14:paraId="4051BF63" w14:textId="37CF8FAC" w:rsidR="005A2C1B" w:rsidRPr="00F01347" w:rsidRDefault="005A2C1B" w:rsidP="005A2C1B">
            <w:pPr>
              <w:pStyle w:val="texto0"/>
              <w:ind w:firstLine="0"/>
              <w:rPr>
                <w:rFonts w:ascii="Verdana" w:hAnsi="Verdana"/>
                <w:sz w:val="16"/>
                <w:szCs w:val="16"/>
                <w:lang w:val="en-US"/>
              </w:rPr>
            </w:pPr>
            <w:r w:rsidRPr="00F01347">
              <w:rPr>
                <w:rFonts w:ascii="Verdana" w:hAnsi="Verdana"/>
                <w:sz w:val="16"/>
                <w:szCs w:val="16"/>
                <w:lang w:val="en-US"/>
              </w:rPr>
              <w:t>• Matrix of laboratory fortified samples and duplicates of the matrices of laboratory fortified samples</w:t>
            </w:r>
            <w:r w:rsidR="003E1BA9" w:rsidRPr="00F01347">
              <w:rPr>
                <w:rFonts w:ascii="Verdana" w:hAnsi="Verdana"/>
                <w:sz w:val="16"/>
                <w:szCs w:val="16"/>
                <w:lang w:val="en-US"/>
              </w:rPr>
              <w:t>.</w:t>
            </w:r>
          </w:p>
        </w:tc>
      </w:tr>
      <w:tr w:rsidR="005A2C1B" w:rsidRPr="00F01347" w14:paraId="4E0ED5CF" w14:textId="4462F378" w:rsidTr="003C6F4B">
        <w:tc>
          <w:tcPr>
            <w:tcW w:w="4675" w:type="dxa"/>
          </w:tcPr>
          <w:p w14:paraId="4F3C0EC1" w14:textId="77777777" w:rsidR="005A2C1B" w:rsidRPr="00F01347" w:rsidRDefault="005A2C1B" w:rsidP="005A2C1B">
            <w:pPr>
              <w:pStyle w:val="texto0"/>
              <w:spacing w:line="220" w:lineRule="exact"/>
              <w:ind w:firstLine="0"/>
              <w:rPr>
                <w:rFonts w:ascii="Verdana" w:hAnsi="Verdana"/>
                <w:sz w:val="16"/>
                <w:szCs w:val="16"/>
              </w:rPr>
            </w:pPr>
            <w:r w:rsidRPr="00F01347">
              <w:rPr>
                <w:rFonts w:ascii="Verdana" w:hAnsi="Verdana"/>
                <w:b/>
                <w:sz w:val="16"/>
                <w:szCs w:val="16"/>
              </w:rPr>
              <w:t>Matriz de muestra fortificada en laboratorio (LFSM)</w:t>
            </w:r>
            <w:r w:rsidRPr="00F01347">
              <w:rPr>
                <w:rFonts w:ascii="Verdana" w:hAnsi="Verdana"/>
                <w:sz w:val="16"/>
                <w:szCs w:val="16"/>
              </w:rPr>
              <w:t>, alícuota de una muestra de campo a la que se añade una cantidad conocida de MC-LR. El propósito de la LFSM es determinar si la matriz de la muestra contribuye a los resultados analíticos.</w:t>
            </w:r>
          </w:p>
        </w:tc>
        <w:tc>
          <w:tcPr>
            <w:tcW w:w="4675" w:type="dxa"/>
          </w:tcPr>
          <w:p w14:paraId="23230F3F" w14:textId="6728824D" w:rsidR="005A2C1B" w:rsidRPr="00F01347" w:rsidRDefault="005A2C1B" w:rsidP="005A2C1B">
            <w:pPr>
              <w:pStyle w:val="texto0"/>
              <w:spacing w:line="220" w:lineRule="exact"/>
              <w:ind w:firstLine="0"/>
              <w:rPr>
                <w:rFonts w:ascii="Verdana" w:hAnsi="Verdana"/>
                <w:b/>
                <w:sz w:val="16"/>
                <w:szCs w:val="16"/>
                <w:lang w:val="en-US"/>
              </w:rPr>
            </w:pPr>
            <w:r w:rsidRPr="00F01347">
              <w:rPr>
                <w:rFonts w:ascii="Verdana" w:hAnsi="Verdana"/>
                <w:b/>
                <w:sz w:val="16"/>
                <w:szCs w:val="16"/>
                <w:lang w:val="en-US"/>
              </w:rPr>
              <w:t>Laboratory Fortified Sample Matrix (LFSM)</w:t>
            </w:r>
            <w:r w:rsidR="003E1BA9" w:rsidRPr="00F01347">
              <w:rPr>
                <w:rFonts w:ascii="Verdana" w:hAnsi="Verdana"/>
                <w:b/>
                <w:sz w:val="16"/>
                <w:szCs w:val="16"/>
                <w:lang w:val="en-US"/>
              </w:rPr>
              <w:t>,</w:t>
            </w:r>
            <w:r w:rsidRPr="00F01347">
              <w:rPr>
                <w:rFonts w:ascii="Verdana" w:hAnsi="Verdana"/>
                <w:sz w:val="16"/>
                <w:szCs w:val="16"/>
                <w:lang w:val="en-US"/>
              </w:rPr>
              <w:t xml:space="preserve"> an aliquot of a field sample to which a known amount of MC-LR is added. The purpose of the LFSM is to determine whether the sample matrix contributes to the analytical results.</w:t>
            </w:r>
          </w:p>
        </w:tc>
      </w:tr>
      <w:tr w:rsidR="005A2C1B" w:rsidRPr="00F01347" w14:paraId="2460786B" w14:textId="53195E15" w:rsidTr="003C6F4B">
        <w:tc>
          <w:tcPr>
            <w:tcW w:w="4675" w:type="dxa"/>
          </w:tcPr>
          <w:p w14:paraId="2A2D3BEB" w14:textId="77777777" w:rsidR="005A2C1B" w:rsidRPr="00F01347" w:rsidRDefault="005A2C1B" w:rsidP="005A2C1B">
            <w:pPr>
              <w:pStyle w:val="texto0"/>
              <w:spacing w:line="220" w:lineRule="exact"/>
              <w:ind w:firstLine="0"/>
              <w:rPr>
                <w:rFonts w:ascii="Verdana" w:hAnsi="Verdana"/>
                <w:sz w:val="16"/>
                <w:szCs w:val="16"/>
              </w:rPr>
            </w:pPr>
            <w:r w:rsidRPr="00F01347">
              <w:rPr>
                <w:rFonts w:ascii="Verdana" w:hAnsi="Verdana"/>
                <w:b/>
                <w:sz w:val="16"/>
                <w:szCs w:val="16"/>
              </w:rPr>
              <w:t>Muestra de control de calidad (QCS)</w:t>
            </w:r>
            <w:r w:rsidRPr="00F01347">
              <w:rPr>
                <w:rFonts w:ascii="Verdana" w:hAnsi="Verdana"/>
                <w:sz w:val="16"/>
                <w:szCs w:val="16"/>
              </w:rPr>
              <w:t>, solución que contiene MC-LR en una concentración conocida que se obtiene de una fuente diferente de la fuente de los estándares de calibración. El propósito de la QCS es verificar la exactitud de los estándares de calibración primaria.</w:t>
            </w:r>
          </w:p>
        </w:tc>
        <w:tc>
          <w:tcPr>
            <w:tcW w:w="4675" w:type="dxa"/>
          </w:tcPr>
          <w:p w14:paraId="0F3B1D61" w14:textId="74547E59" w:rsidR="005A2C1B" w:rsidRPr="00F01347" w:rsidRDefault="005A2C1B" w:rsidP="005A2C1B">
            <w:pPr>
              <w:pStyle w:val="texto0"/>
              <w:spacing w:line="220" w:lineRule="exact"/>
              <w:ind w:firstLine="0"/>
              <w:rPr>
                <w:rFonts w:ascii="Verdana" w:hAnsi="Verdana"/>
                <w:b/>
                <w:sz w:val="16"/>
                <w:szCs w:val="16"/>
                <w:lang w:val="en-US"/>
              </w:rPr>
            </w:pPr>
            <w:r w:rsidRPr="00F01347">
              <w:rPr>
                <w:rFonts w:ascii="Verdana" w:hAnsi="Verdana"/>
                <w:b/>
                <w:sz w:val="16"/>
                <w:szCs w:val="16"/>
                <w:lang w:val="en-US"/>
              </w:rPr>
              <w:t>Quality control sample (QCS)</w:t>
            </w:r>
            <w:r w:rsidR="003E1BA9" w:rsidRPr="00F01347">
              <w:rPr>
                <w:rFonts w:ascii="Verdana" w:hAnsi="Verdana"/>
                <w:b/>
                <w:sz w:val="16"/>
                <w:szCs w:val="16"/>
                <w:lang w:val="en-US"/>
              </w:rPr>
              <w:t>,</w:t>
            </w:r>
            <w:r w:rsidRPr="00F01347">
              <w:rPr>
                <w:rFonts w:ascii="Verdana" w:hAnsi="Verdana"/>
                <w:sz w:val="16"/>
                <w:szCs w:val="16"/>
                <w:lang w:val="en-US"/>
              </w:rPr>
              <w:t xml:space="preserve"> solution containing MC-LR at a known concentration that is obtained from a source other than the source of the calibration standards</w:t>
            </w:r>
            <w:r w:rsidR="003E1BA9" w:rsidRPr="00F01347">
              <w:rPr>
                <w:rFonts w:ascii="Verdana" w:hAnsi="Verdana"/>
                <w:sz w:val="16"/>
                <w:szCs w:val="16"/>
                <w:lang w:val="en-US"/>
              </w:rPr>
              <w:t>.</w:t>
            </w:r>
            <w:r w:rsidRPr="00F01347">
              <w:rPr>
                <w:rFonts w:ascii="Verdana" w:hAnsi="Verdana"/>
                <w:sz w:val="16"/>
                <w:szCs w:val="16"/>
                <w:lang w:val="en-US"/>
              </w:rPr>
              <w:t xml:space="preserve"> The purpose of QCS is to verify the accuracy of primary calibration standards.</w:t>
            </w:r>
          </w:p>
        </w:tc>
      </w:tr>
      <w:tr w:rsidR="005A2C1B" w:rsidRPr="00F01347" w14:paraId="0DF010A6" w14:textId="7550E10B" w:rsidTr="003C6F4B">
        <w:tc>
          <w:tcPr>
            <w:tcW w:w="4675" w:type="dxa"/>
          </w:tcPr>
          <w:p w14:paraId="23F876BE" w14:textId="77777777" w:rsidR="005A2C1B" w:rsidRPr="00F01347" w:rsidRDefault="005A2C1B" w:rsidP="005A2C1B">
            <w:pPr>
              <w:pStyle w:val="texto0"/>
              <w:spacing w:line="220" w:lineRule="exact"/>
              <w:ind w:firstLine="0"/>
              <w:rPr>
                <w:rFonts w:ascii="Verdana" w:hAnsi="Verdana"/>
                <w:sz w:val="16"/>
                <w:szCs w:val="16"/>
              </w:rPr>
            </w:pPr>
            <w:r w:rsidRPr="00F01347">
              <w:rPr>
                <w:rFonts w:ascii="Verdana" w:hAnsi="Verdana"/>
                <w:b/>
                <w:sz w:val="16"/>
                <w:szCs w:val="16"/>
              </w:rPr>
              <w:t>Nivel mínimo reportado (MRL)</w:t>
            </w:r>
            <w:r w:rsidRPr="00F01347">
              <w:rPr>
                <w:rFonts w:ascii="Verdana" w:hAnsi="Verdana"/>
                <w:sz w:val="16"/>
                <w:szCs w:val="16"/>
              </w:rPr>
              <w:t xml:space="preserve">, concentración mínima que puede ser reportada por un laboratorio como un valor cuantificado para </w:t>
            </w:r>
            <w:proofErr w:type="spellStart"/>
            <w:r w:rsidRPr="00F01347">
              <w:rPr>
                <w:rFonts w:ascii="Verdana" w:hAnsi="Verdana"/>
                <w:sz w:val="16"/>
                <w:szCs w:val="16"/>
              </w:rPr>
              <w:t>microcistinas</w:t>
            </w:r>
            <w:proofErr w:type="spellEnd"/>
            <w:r w:rsidRPr="00F01347">
              <w:rPr>
                <w:rFonts w:ascii="Verdana" w:hAnsi="Verdana"/>
                <w:sz w:val="16"/>
                <w:szCs w:val="16"/>
              </w:rPr>
              <w:t xml:space="preserve"> y </w:t>
            </w:r>
            <w:proofErr w:type="spellStart"/>
            <w:r w:rsidRPr="00F01347">
              <w:rPr>
                <w:rFonts w:ascii="Verdana" w:hAnsi="Verdana"/>
                <w:sz w:val="16"/>
                <w:szCs w:val="16"/>
              </w:rPr>
              <w:t>nodularinas</w:t>
            </w:r>
            <w:proofErr w:type="spellEnd"/>
            <w:r w:rsidRPr="00F01347">
              <w:rPr>
                <w:rFonts w:ascii="Verdana" w:hAnsi="Verdana"/>
                <w:sz w:val="16"/>
                <w:szCs w:val="16"/>
              </w:rPr>
              <w:t xml:space="preserve"> totales en una muestra después del análisis. Esta concentración no debe ser inferior a la concentración del estándar de calibración más bajo y debe cumplir con los criterios de control de calidad.</w:t>
            </w:r>
          </w:p>
        </w:tc>
        <w:tc>
          <w:tcPr>
            <w:tcW w:w="4675" w:type="dxa"/>
          </w:tcPr>
          <w:p w14:paraId="3AD651D1" w14:textId="1D052E12" w:rsidR="005A2C1B" w:rsidRPr="00F01347" w:rsidRDefault="005A2C1B" w:rsidP="005A2C1B">
            <w:pPr>
              <w:pStyle w:val="texto0"/>
              <w:spacing w:line="220" w:lineRule="exact"/>
              <w:ind w:firstLine="0"/>
              <w:rPr>
                <w:rFonts w:ascii="Verdana" w:hAnsi="Verdana"/>
                <w:b/>
                <w:sz w:val="16"/>
                <w:szCs w:val="16"/>
                <w:lang w:val="en-US"/>
              </w:rPr>
            </w:pPr>
            <w:r w:rsidRPr="00F01347">
              <w:rPr>
                <w:rFonts w:ascii="Verdana" w:hAnsi="Verdana"/>
                <w:b/>
                <w:sz w:val="16"/>
                <w:szCs w:val="16"/>
                <w:lang w:val="en-US"/>
              </w:rPr>
              <w:t>Minimum reported level (MRL)</w:t>
            </w:r>
            <w:r w:rsidR="003E1BA9" w:rsidRPr="00F01347">
              <w:rPr>
                <w:rFonts w:ascii="Verdana" w:hAnsi="Verdana"/>
                <w:b/>
                <w:sz w:val="16"/>
                <w:szCs w:val="16"/>
                <w:lang w:val="en-US"/>
              </w:rPr>
              <w:t>,</w:t>
            </w:r>
            <w:r w:rsidRPr="00F01347">
              <w:rPr>
                <w:rFonts w:ascii="Verdana" w:hAnsi="Verdana"/>
                <w:sz w:val="16"/>
                <w:szCs w:val="16"/>
                <w:lang w:val="en-US"/>
              </w:rPr>
              <w:t xml:space="preserve"> minimum concentration that can be reported by a laboratory as a quantified value for total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and </w:t>
            </w:r>
            <w:proofErr w:type="spellStart"/>
            <w:r w:rsidRPr="00F01347">
              <w:rPr>
                <w:rFonts w:ascii="Verdana" w:hAnsi="Verdana"/>
                <w:sz w:val="16"/>
                <w:szCs w:val="16"/>
                <w:lang w:val="en-US"/>
              </w:rPr>
              <w:t>nodularins</w:t>
            </w:r>
            <w:proofErr w:type="spellEnd"/>
            <w:r w:rsidRPr="00F01347">
              <w:rPr>
                <w:rFonts w:ascii="Verdana" w:hAnsi="Verdana"/>
                <w:sz w:val="16"/>
                <w:szCs w:val="16"/>
                <w:lang w:val="en-US"/>
              </w:rPr>
              <w:t xml:space="preserve"> in a sample after analysis. This concentration must not be lower than the concentration of the lowest calibration standard and must meet quality control criteria.</w:t>
            </w:r>
          </w:p>
        </w:tc>
      </w:tr>
      <w:tr w:rsidR="005A2C1B" w:rsidRPr="00F01347" w14:paraId="271B3669" w14:textId="1203BE73" w:rsidTr="003C6F4B">
        <w:tc>
          <w:tcPr>
            <w:tcW w:w="4675" w:type="dxa"/>
          </w:tcPr>
          <w:p w14:paraId="4DBB5791" w14:textId="77777777" w:rsidR="005A2C1B" w:rsidRPr="00F01347" w:rsidRDefault="005A2C1B" w:rsidP="005A2C1B">
            <w:pPr>
              <w:pStyle w:val="texto0"/>
              <w:spacing w:line="220" w:lineRule="exact"/>
              <w:ind w:firstLine="0"/>
              <w:rPr>
                <w:rFonts w:ascii="Verdana" w:hAnsi="Verdana"/>
                <w:sz w:val="16"/>
                <w:szCs w:val="16"/>
              </w:rPr>
            </w:pPr>
            <w:r w:rsidRPr="00F01347">
              <w:rPr>
                <w:rFonts w:ascii="Verdana" w:hAnsi="Verdana"/>
                <w:b/>
                <w:sz w:val="16"/>
                <w:szCs w:val="16"/>
              </w:rPr>
              <w:t xml:space="preserve">Pozos réplica, </w:t>
            </w:r>
            <w:r w:rsidRPr="00F01347">
              <w:rPr>
                <w:rFonts w:ascii="Verdana" w:hAnsi="Verdana"/>
                <w:sz w:val="16"/>
                <w:szCs w:val="16"/>
              </w:rPr>
              <w:t xml:space="preserve">dentro del lote de análisis, este método requiere que cada estándar de </w:t>
            </w:r>
            <w:proofErr w:type="gramStart"/>
            <w:r w:rsidRPr="00F01347">
              <w:rPr>
                <w:rFonts w:ascii="Verdana" w:hAnsi="Verdana"/>
                <w:sz w:val="16"/>
                <w:szCs w:val="16"/>
              </w:rPr>
              <w:t>calibración,</w:t>
            </w:r>
            <w:proofErr w:type="gramEnd"/>
            <w:r w:rsidRPr="00F01347">
              <w:rPr>
                <w:rFonts w:ascii="Verdana" w:hAnsi="Verdana"/>
                <w:sz w:val="16"/>
                <w:szCs w:val="16"/>
              </w:rPr>
              <w:t xml:space="preserve"> muestra de campo y muestra de control de calidad se ensayen en dos pozos. Estos dos pozos se denominan pozos réplica. A cada pozo réplica se asocian dos valores: la absorbancia medida por el lector de placas y la concentración calculada a partir de esta absorbancia.</w:t>
            </w:r>
          </w:p>
        </w:tc>
        <w:tc>
          <w:tcPr>
            <w:tcW w:w="4675" w:type="dxa"/>
          </w:tcPr>
          <w:p w14:paraId="34ADF2EE" w14:textId="5759F2A7" w:rsidR="005A2C1B" w:rsidRPr="00F01347" w:rsidRDefault="005A2C1B" w:rsidP="005A2C1B">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Replica wells, </w:t>
            </w:r>
            <w:r w:rsidRPr="00F01347">
              <w:rPr>
                <w:rFonts w:ascii="Verdana" w:hAnsi="Verdana"/>
                <w:sz w:val="16"/>
                <w:szCs w:val="16"/>
                <w:lang w:val="en-US"/>
              </w:rPr>
              <w:t>within the analysis lot, this method requires that each calibration standard, field sample and quality control sample be assayed in two wells. These two wells are called replica wells. Two values are associated with each replica well: the absorbance measured by the plate reader and the concentration calculated from this absorbance.</w:t>
            </w:r>
          </w:p>
        </w:tc>
      </w:tr>
      <w:tr w:rsidR="005A2C1B" w:rsidRPr="00F01347" w14:paraId="450B5D75" w14:textId="0F831796" w:rsidTr="003C6F4B">
        <w:tc>
          <w:tcPr>
            <w:tcW w:w="4675" w:type="dxa"/>
          </w:tcPr>
          <w:p w14:paraId="5A0320BA" w14:textId="77777777" w:rsidR="005A2C1B" w:rsidRPr="00F01347" w:rsidRDefault="005A2C1B" w:rsidP="005A2C1B">
            <w:pPr>
              <w:pStyle w:val="texto0"/>
              <w:spacing w:line="220" w:lineRule="exact"/>
              <w:ind w:firstLine="0"/>
              <w:rPr>
                <w:rFonts w:ascii="Verdana" w:hAnsi="Verdana"/>
                <w:sz w:val="16"/>
                <w:szCs w:val="16"/>
              </w:rPr>
            </w:pPr>
            <w:r w:rsidRPr="00F01347">
              <w:rPr>
                <w:rFonts w:ascii="Verdana" w:hAnsi="Verdana"/>
                <w:sz w:val="16"/>
                <w:szCs w:val="16"/>
              </w:rPr>
              <w:t>Para cada conjunto de pozos réplica, el coeficiente de variación porcentual (% CV) se calcula a partir de los dos valores de absorbancia. El %CV de los valores de absorbancia para los estándares de calibración debe cumplir con los criterios de control de calidad especificados. El %CV de los valores de absorbancia para todas las muestras de campo y las muestras de control de calidad deben cumplir con los criterios de control de calidad.</w:t>
            </w:r>
          </w:p>
        </w:tc>
        <w:tc>
          <w:tcPr>
            <w:tcW w:w="4675" w:type="dxa"/>
          </w:tcPr>
          <w:p w14:paraId="332C9B54" w14:textId="30BED885" w:rsidR="005A2C1B" w:rsidRPr="00F01347" w:rsidRDefault="005A2C1B" w:rsidP="005A2C1B">
            <w:pPr>
              <w:pStyle w:val="texto0"/>
              <w:spacing w:line="220" w:lineRule="exact"/>
              <w:ind w:firstLine="0"/>
              <w:rPr>
                <w:rFonts w:ascii="Verdana" w:hAnsi="Verdana"/>
                <w:sz w:val="16"/>
                <w:szCs w:val="16"/>
                <w:lang w:val="en-US"/>
              </w:rPr>
            </w:pPr>
            <w:r w:rsidRPr="00F01347">
              <w:rPr>
                <w:rFonts w:ascii="Verdana" w:hAnsi="Verdana"/>
                <w:sz w:val="16"/>
                <w:szCs w:val="16"/>
                <w:lang w:val="en-US"/>
              </w:rPr>
              <w:t>For each set of replicate wells, the percentage coefficient of variation (%CV) is calculated from the two absorbance values. The %CV of absorbance values for calibration standards must meet the specified quality control criteria. The %CV absorbance values for all field samples and quality control samples must meet the quality control criteria.</w:t>
            </w:r>
          </w:p>
        </w:tc>
      </w:tr>
      <w:tr w:rsidR="005A2C1B" w:rsidRPr="00F01347" w14:paraId="71F19B69" w14:textId="4D7E6A1F" w:rsidTr="003C6F4B">
        <w:tc>
          <w:tcPr>
            <w:tcW w:w="4675" w:type="dxa"/>
          </w:tcPr>
          <w:p w14:paraId="600D1BD5" w14:textId="77777777" w:rsidR="005A2C1B" w:rsidRPr="00F01347" w:rsidRDefault="005A2C1B" w:rsidP="005A2C1B">
            <w:pPr>
              <w:pStyle w:val="texto0"/>
              <w:spacing w:line="220" w:lineRule="exact"/>
              <w:ind w:firstLine="0"/>
              <w:rPr>
                <w:rFonts w:ascii="Verdana" w:hAnsi="Verdana"/>
                <w:sz w:val="16"/>
                <w:szCs w:val="16"/>
              </w:rPr>
            </w:pPr>
            <w:r w:rsidRPr="00F01347">
              <w:rPr>
                <w:rFonts w:ascii="Verdana" w:hAnsi="Verdana"/>
                <w:sz w:val="16"/>
                <w:szCs w:val="16"/>
              </w:rPr>
              <w:t xml:space="preserve">Para cada conjunto de pozos replica, se calcula la concentración media de los dos valores de concentración. La concentración media debe usarse para reportar los resultados de la muestra de campo. La media debe utilizarse en todos los cálculos del </w:t>
            </w:r>
            <w:r w:rsidRPr="00F01347">
              <w:rPr>
                <w:rFonts w:ascii="Verdana" w:hAnsi="Verdana"/>
                <w:sz w:val="16"/>
                <w:szCs w:val="16"/>
              </w:rPr>
              <w:lastRenderedPageBreak/>
              <w:t>método y para evaluar los resultados con respecto a los límites de control de calidad.</w:t>
            </w:r>
          </w:p>
        </w:tc>
        <w:tc>
          <w:tcPr>
            <w:tcW w:w="4675" w:type="dxa"/>
          </w:tcPr>
          <w:p w14:paraId="05BA06A6" w14:textId="248536B7" w:rsidR="005A2C1B" w:rsidRPr="00F01347" w:rsidRDefault="005A2C1B" w:rsidP="005A2C1B">
            <w:pPr>
              <w:pStyle w:val="texto0"/>
              <w:spacing w:line="220" w:lineRule="exact"/>
              <w:ind w:firstLine="0"/>
              <w:rPr>
                <w:rFonts w:ascii="Verdana" w:hAnsi="Verdana"/>
                <w:sz w:val="16"/>
                <w:szCs w:val="16"/>
                <w:lang w:val="en-US"/>
              </w:rPr>
            </w:pPr>
            <w:r w:rsidRPr="00F01347">
              <w:rPr>
                <w:rFonts w:ascii="Verdana" w:hAnsi="Verdana"/>
                <w:sz w:val="16"/>
                <w:szCs w:val="16"/>
                <w:lang w:val="en-US"/>
              </w:rPr>
              <w:lastRenderedPageBreak/>
              <w:t>For each set of replicate wells, the average concentration of the two concentration values is calculated. The mean concentration should be used to report field sample results. The mean should be used in all method calculations and to evaluate results against quality control limits.</w:t>
            </w:r>
          </w:p>
        </w:tc>
      </w:tr>
      <w:tr w:rsidR="005A2C1B" w:rsidRPr="00F01347" w14:paraId="2F1EFA7F" w14:textId="5828C01D" w:rsidTr="003C6F4B">
        <w:tc>
          <w:tcPr>
            <w:tcW w:w="4675" w:type="dxa"/>
          </w:tcPr>
          <w:p w14:paraId="5CE3ED99" w14:textId="77777777" w:rsidR="005A2C1B" w:rsidRPr="00F01347" w:rsidRDefault="005A2C1B" w:rsidP="005A2C1B">
            <w:pPr>
              <w:pStyle w:val="texto0"/>
              <w:spacing w:line="220" w:lineRule="exact"/>
              <w:ind w:firstLine="0"/>
              <w:rPr>
                <w:rFonts w:ascii="Verdana" w:hAnsi="Verdana"/>
                <w:sz w:val="16"/>
                <w:szCs w:val="16"/>
              </w:rPr>
            </w:pPr>
            <w:r w:rsidRPr="00F01347">
              <w:rPr>
                <w:rFonts w:ascii="Verdana" w:hAnsi="Verdana"/>
                <w:b/>
                <w:sz w:val="16"/>
                <w:szCs w:val="16"/>
              </w:rPr>
              <w:t>Solución estándar</w:t>
            </w:r>
            <w:r w:rsidRPr="00F01347">
              <w:rPr>
                <w:rFonts w:ascii="Verdana" w:hAnsi="Verdana"/>
                <w:sz w:val="16"/>
                <w:szCs w:val="16"/>
              </w:rPr>
              <w:t>, estándar concentrado en metanol (o el indicado por el fabricante) que se prepara en el laboratorio a partir de MC-LR purificada o que se adquiere de una fuente comercial con un certificado de análisis.</w:t>
            </w:r>
          </w:p>
        </w:tc>
        <w:tc>
          <w:tcPr>
            <w:tcW w:w="4675" w:type="dxa"/>
          </w:tcPr>
          <w:p w14:paraId="2E5EEC3B" w14:textId="26F035B4" w:rsidR="005A2C1B" w:rsidRPr="00F01347" w:rsidRDefault="005A2C1B" w:rsidP="005A2C1B">
            <w:pPr>
              <w:pStyle w:val="texto0"/>
              <w:spacing w:line="220" w:lineRule="exact"/>
              <w:ind w:firstLine="0"/>
              <w:rPr>
                <w:rFonts w:ascii="Verdana" w:hAnsi="Verdana"/>
                <w:b/>
                <w:sz w:val="16"/>
                <w:szCs w:val="16"/>
                <w:lang w:val="en-US"/>
              </w:rPr>
            </w:pPr>
            <w:r w:rsidRPr="00F01347">
              <w:rPr>
                <w:rFonts w:ascii="Verdana" w:hAnsi="Verdana"/>
                <w:b/>
                <w:sz w:val="16"/>
                <w:szCs w:val="16"/>
                <w:lang w:val="en-US"/>
              </w:rPr>
              <w:t>Standard solution</w:t>
            </w:r>
            <w:r w:rsidR="003E1BA9" w:rsidRPr="00F01347">
              <w:rPr>
                <w:rFonts w:ascii="Verdana" w:hAnsi="Verdana"/>
                <w:b/>
                <w:sz w:val="16"/>
                <w:szCs w:val="16"/>
                <w:lang w:val="en-US"/>
              </w:rPr>
              <w:t>,</w:t>
            </w:r>
            <w:r w:rsidRPr="00F01347">
              <w:rPr>
                <w:rFonts w:ascii="Verdana" w:hAnsi="Verdana"/>
                <w:sz w:val="16"/>
                <w:szCs w:val="16"/>
                <w:lang w:val="en-US"/>
              </w:rPr>
              <w:t xml:space="preserve"> methanol-concentrated standard (or as indicated by the manufacturer) that is prepared in the laboratory from purified MC-LR or purchased from a commercial source with a certificate of analysis.</w:t>
            </w:r>
          </w:p>
        </w:tc>
      </w:tr>
      <w:tr w:rsidR="005A2C1B" w:rsidRPr="00F01347" w14:paraId="150E6FA0" w14:textId="221146DA" w:rsidTr="003C6F4B">
        <w:tc>
          <w:tcPr>
            <w:tcW w:w="4675" w:type="dxa"/>
          </w:tcPr>
          <w:p w14:paraId="527CB3E6" w14:textId="77777777" w:rsidR="005A2C1B" w:rsidRPr="00F01347" w:rsidRDefault="005A2C1B" w:rsidP="005A2C1B">
            <w:pPr>
              <w:pStyle w:val="texto0"/>
              <w:spacing w:line="220" w:lineRule="exact"/>
              <w:ind w:firstLine="0"/>
              <w:rPr>
                <w:rFonts w:ascii="Verdana" w:hAnsi="Verdana"/>
                <w:b/>
                <w:sz w:val="16"/>
                <w:szCs w:val="16"/>
              </w:rPr>
            </w:pPr>
            <w:r w:rsidRPr="00F01347">
              <w:rPr>
                <w:rFonts w:ascii="Verdana" w:hAnsi="Verdana"/>
                <w:b/>
                <w:sz w:val="16"/>
                <w:szCs w:val="16"/>
              </w:rPr>
              <w:t>B.1.1.2 Símbolos y términos abreviados</w:t>
            </w:r>
          </w:p>
        </w:tc>
        <w:tc>
          <w:tcPr>
            <w:tcW w:w="4675" w:type="dxa"/>
          </w:tcPr>
          <w:p w14:paraId="0BD7D2D2" w14:textId="4201560F" w:rsidR="005A2C1B" w:rsidRPr="00F01347" w:rsidRDefault="005A2C1B" w:rsidP="005A2C1B">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B.1.1.2 Symbols and abbreviated terms</w:t>
            </w:r>
          </w:p>
        </w:tc>
      </w:tr>
    </w:tbl>
    <w:p w14:paraId="286ABEEF" w14:textId="77777777" w:rsidR="00204B58" w:rsidRPr="00F01347" w:rsidRDefault="00204B58" w:rsidP="003A601B">
      <w:pPr>
        <w:pStyle w:val="texto0"/>
        <w:spacing w:line="220" w:lineRule="exact"/>
        <w:ind w:left="1260" w:hanging="972"/>
        <w:rPr>
          <w:rFonts w:ascii="Verdana" w:hAnsi="Verdana"/>
          <w:sz w:val="16"/>
          <w:szCs w:val="16"/>
          <w:lang w:val="en-US"/>
        </w:rPr>
      </w:pPr>
    </w:p>
    <w:tbl>
      <w:tblPr>
        <w:tblStyle w:val="TableGrid"/>
        <w:tblW w:w="5000" w:type="pct"/>
        <w:tblLook w:val="04A0" w:firstRow="1" w:lastRow="0" w:firstColumn="1" w:lastColumn="0" w:noHBand="0" w:noVBand="1"/>
      </w:tblPr>
      <w:tblGrid>
        <w:gridCol w:w="1345"/>
        <w:gridCol w:w="4002"/>
        <w:gridCol w:w="4003"/>
      </w:tblGrid>
      <w:tr w:rsidR="00384BAB" w:rsidRPr="00F01347" w14:paraId="7E547F87" w14:textId="42E49662" w:rsidTr="00E32980">
        <w:tc>
          <w:tcPr>
            <w:tcW w:w="1345" w:type="dxa"/>
          </w:tcPr>
          <w:p w14:paraId="06AE1721"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(4E, 6E)</w:t>
            </w:r>
          </w:p>
        </w:tc>
        <w:tc>
          <w:tcPr>
            <w:tcW w:w="4002" w:type="dxa"/>
          </w:tcPr>
          <w:p w14:paraId="5FBA04BC"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posición espacial de los alquenos en la molécula</w:t>
            </w:r>
          </w:p>
        </w:tc>
        <w:tc>
          <w:tcPr>
            <w:tcW w:w="4003" w:type="dxa"/>
          </w:tcPr>
          <w:p w14:paraId="566A0904" w14:textId="7E3439FD"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spatial position of alkenes in the molecule</w:t>
            </w:r>
          </w:p>
        </w:tc>
      </w:tr>
      <w:tr w:rsidR="00384BAB" w:rsidRPr="00F01347" w14:paraId="099444A1" w14:textId="4DE63980" w:rsidTr="00E32980">
        <w:tc>
          <w:tcPr>
            <w:tcW w:w="1345" w:type="dxa"/>
          </w:tcPr>
          <w:p w14:paraId="0AAD5914"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°C</w:t>
            </w:r>
          </w:p>
        </w:tc>
        <w:tc>
          <w:tcPr>
            <w:tcW w:w="4002" w:type="dxa"/>
          </w:tcPr>
          <w:p w14:paraId="373F11A2"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grado Celsius</w:t>
            </w:r>
          </w:p>
        </w:tc>
        <w:tc>
          <w:tcPr>
            <w:tcW w:w="4003" w:type="dxa"/>
          </w:tcPr>
          <w:p w14:paraId="1438B1F4" w14:textId="34A19FCA"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degree Celsius</w:t>
            </w:r>
          </w:p>
        </w:tc>
      </w:tr>
      <w:tr w:rsidR="00384BAB" w:rsidRPr="00F01347" w14:paraId="28961F86" w14:textId="3C9A477B" w:rsidTr="00E32980">
        <w:tc>
          <w:tcPr>
            <w:tcW w:w="1345" w:type="dxa"/>
          </w:tcPr>
          <w:p w14:paraId="181980A0"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DPD</w:t>
            </w:r>
          </w:p>
        </w:tc>
        <w:tc>
          <w:tcPr>
            <w:tcW w:w="4002" w:type="dxa"/>
          </w:tcPr>
          <w:p w14:paraId="25682D14"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N, N-</w:t>
            </w:r>
            <w:proofErr w:type="spellStart"/>
            <w:r w:rsidRPr="00F01347">
              <w:rPr>
                <w:rFonts w:ascii="Verdana" w:hAnsi="Verdana"/>
                <w:sz w:val="16"/>
                <w:szCs w:val="16"/>
              </w:rPr>
              <w:t>dietil</w:t>
            </w:r>
            <w:proofErr w:type="spellEnd"/>
            <w:r w:rsidRPr="00F01347">
              <w:rPr>
                <w:rFonts w:ascii="Verdana" w:hAnsi="Verdana"/>
                <w:sz w:val="16"/>
                <w:szCs w:val="16"/>
              </w:rPr>
              <w:t>-p-</w:t>
            </w:r>
            <w:proofErr w:type="spellStart"/>
            <w:r w:rsidRPr="00F01347">
              <w:rPr>
                <w:rFonts w:ascii="Verdana" w:hAnsi="Verdana"/>
                <w:sz w:val="16"/>
                <w:szCs w:val="16"/>
              </w:rPr>
              <w:t>fenilendiamina</w:t>
            </w:r>
            <w:proofErr w:type="spellEnd"/>
          </w:p>
        </w:tc>
        <w:tc>
          <w:tcPr>
            <w:tcW w:w="4003" w:type="dxa"/>
          </w:tcPr>
          <w:p w14:paraId="05B503A4" w14:textId="377BCC0B" w:rsidR="00384BAB" w:rsidRPr="00F01347" w:rsidRDefault="00384BAB" w:rsidP="00384BAB">
            <w:pPr>
              <w:pStyle w:val="texto0"/>
              <w:spacing w:line="220" w:lineRule="exact"/>
              <w:ind w:firstLine="0"/>
              <w:rPr>
                <w:rFonts w:ascii="Verdana" w:hAnsi="Verdana"/>
                <w:sz w:val="16"/>
                <w:szCs w:val="16"/>
                <w:lang w:val="en-US"/>
              </w:rPr>
            </w:pPr>
            <w:proofErr w:type="gramStart"/>
            <w:r w:rsidRPr="00F01347">
              <w:rPr>
                <w:rFonts w:ascii="Verdana" w:hAnsi="Verdana"/>
                <w:sz w:val="16"/>
                <w:szCs w:val="16"/>
                <w:lang w:val="en-US"/>
              </w:rPr>
              <w:t>N,N</w:t>
            </w:r>
            <w:proofErr w:type="gramEnd"/>
            <w:r w:rsidRPr="00F01347">
              <w:rPr>
                <w:rFonts w:ascii="Verdana" w:hAnsi="Verdana"/>
                <w:sz w:val="16"/>
                <w:szCs w:val="16"/>
                <w:lang w:val="en-US"/>
              </w:rPr>
              <w:t>- diethyl -p- phenylenediamine</w:t>
            </w:r>
          </w:p>
        </w:tc>
      </w:tr>
      <w:tr w:rsidR="00384BAB" w:rsidRPr="00F01347" w14:paraId="56949BD7" w14:textId="0E36E23C" w:rsidTr="00E32980">
        <w:tc>
          <w:tcPr>
            <w:tcW w:w="1345" w:type="dxa"/>
          </w:tcPr>
          <w:p w14:paraId="2244278E"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IDC</w:t>
            </w:r>
          </w:p>
        </w:tc>
        <w:tc>
          <w:tcPr>
            <w:tcW w:w="4002" w:type="dxa"/>
          </w:tcPr>
          <w:p w14:paraId="2BAE3E31"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demostración inicial de capacidad</w:t>
            </w:r>
          </w:p>
        </w:tc>
        <w:tc>
          <w:tcPr>
            <w:tcW w:w="4003" w:type="dxa"/>
          </w:tcPr>
          <w:p w14:paraId="6A91CEDE" w14:textId="234F9CA9"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initial demonstration of capability</w:t>
            </w:r>
          </w:p>
        </w:tc>
      </w:tr>
      <w:tr w:rsidR="00384BAB" w:rsidRPr="00F01347" w14:paraId="7B20B693" w14:textId="42D5EDC6" w:rsidTr="00E32980">
        <w:tc>
          <w:tcPr>
            <w:tcW w:w="1345" w:type="dxa"/>
          </w:tcPr>
          <w:p w14:paraId="1E2B703B"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LCMRL</w:t>
            </w:r>
          </w:p>
        </w:tc>
        <w:tc>
          <w:tcPr>
            <w:tcW w:w="4002" w:type="dxa"/>
          </w:tcPr>
          <w:p w14:paraId="037D5B35"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concentración más baja del nivel mínimo reportado</w:t>
            </w:r>
          </w:p>
        </w:tc>
        <w:tc>
          <w:tcPr>
            <w:tcW w:w="4003" w:type="dxa"/>
          </w:tcPr>
          <w:p w14:paraId="240FAE6E" w14:textId="4039D0FE"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concentration lower than the minimum level reported</w:t>
            </w:r>
          </w:p>
        </w:tc>
      </w:tr>
      <w:tr w:rsidR="00384BAB" w:rsidRPr="00F01347" w14:paraId="2EAFBDF6" w14:textId="0831B7D4" w:rsidTr="00E32980">
        <w:tc>
          <w:tcPr>
            <w:tcW w:w="1345" w:type="dxa"/>
          </w:tcPr>
          <w:p w14:paraId="310919B1"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LFB</w:t>
            </w:r>
          </w:p>
        </w:tc>
        <w:tc>
          <w:tcPr>
            <w:tcW w:w="4002" w:type="dxa"/>
          </w:tcPr>
          <w:p w14:paraId="452B718B"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blanco fortificado de laboratorio</w:t>
            </w:r>
          </w:p>
        </w:tc>
        <w:tc>
          <w:tcPr>
            <w:tcW w:w="4003" w:type="dxa"/>
          </w:tcPr>
          <w:p w14:paraId="766604A6" w14:textId="79EB6DBF"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laboratory fortified </w:t>
            </w:r>
            <w:r w:rsidR="00C50A8A" w:rsidRPr="00F01347">
              <w:rPr>
                <w:rFonts w:ascii="Verdana" w:hAnsi="Verdana"/>
                <w:sz w:val="16"/>
                <w:szCs w:val="16"/>
                <w:lang w:val="en-US"/>
              </w:rPr>
              <w:t>blank</w:t>
            </w:r>
          </w:p>
        </w:tc>
      </w:tr>
      <w:tr w:rsidR="00384BAB" w:rsidRPr="00F01347" w14:paraId="6D480B60" w14:textId="58860B5D" w:rsidTr="00E32980">
        <w:tc>
          <w:tcPr>
            <w:tcW w:w="1345" w:type="dxa"/>
          </w:tcPr>
          <w:p w14:paraId="27173F64"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LFSM</w:t>
            </w:r>
          </w:p>
        </w:tc>
        <w:tc>
          <w:tcPr>
            <w:tcW w:w="4002" w:type="dxa"/>
          </w:tcPr>
          <w:p w14:paraId="41E79B92"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matriz de muestra fortificada en laboratorio</w:t>
            </w:r>
          </w:p>
        </w:tc>
        <w:tc>
          <w:tcPr>
            <w:tcW w:w="4003" w:type="dxa"/>
          </w:tcPr>
          <w:p w14:paraId="296EDBF5" w14:textId="5623E902"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fortified sample matrix in laboratory</w:t>
            </w:r>
          </w:p>
        </w:tc>
      </w:tr>
      <w:tr w:rsidR="00384BAB" w:rsidRPr="00F01347" w14:paraId="32BC38DE" w14:textId="60DCFB0A" w:rsidTr="00E32980">
        <w:tc>
          <w:tcPr>
            <w:tcW w:w="1345" w:type="dxa"/>
          </w:tcPr>
          <w:p w14:paraId="7FE94BD2"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LFSMD</w:t>
            </w:r>
          </w:p>
        </w:tc>
        <w:tc>
          <w:tcPr>
            <w:tcW w:w="4002" w:type="dxa"/>
          </w:tcPr>
          <w:p w14:paraId="340EB180"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duplicado de la matriz de muestra fortificada en laboratorio</w:t>
            </w:r>
          </w:p>
        </w:tc>
        <w:tc>
          <w:tcPr>
            <w:tcW w:w="4003" w:type="dxa"/>
          </w:tcPr>
          <w:p w14:paraId="18978687" w14:textId="3AAEE378"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duplicate of fortified sample matrix in laboratory</w:t>
            </w:r>
          </w:p>
        </w:tc>
      </w:tr>
      <w:tr w:rsidR="00384BAB" w:rsidRPr="00F01347" w14:paraId="7BF4D152" w14:textId="05BC48B2" w:rsidTr="00E32980">
        <w:tc>
          <w:tcPr>
            <w:tcW w:w="1345" w:type="dxa"/>
          </w:tcPr>
          <w:p w14:paraId="79DE6D6B"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LOW-CV</w:t>
            </w:r>
          </w:p>
        </w:tc>
        <w:tc>
          <w:tcPr>
            <w:tcW w:w="4002" w:type="dxa"/>
          </w:tcPr>
          <w:p w14:paraId="65189ABA"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estándar de verificación de calibración de bajo alcance</w:t>
            </w:r>
          </w:p>
        </w:tc>
        <w:tc>
          <w:tcPr>
            <w:tcW w:w="4003" w:type="dxa"/>
          </w:tcPr>
          <w:p w14:paraId="233D88E4" w14:textId="62594217"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low range calibration verification standard</w:t>
            </w:r>
          </w:p>
        </w:tc>
      </w:tr>
      <w:tr w:rsidR="00384BAB" w:rsidRPr="00F01347" w14:paraId="20402354" w14:textId="37B7B3F4" w:rsidTr="00E32980">
        <w:tc>
          <w:tcPr>
            <w:tcW w:w="1345" w:type="dxa"/>
          </w:tcPr>
          <w:p w14:paraId="7A0F2B60"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 xml:space="preserve">LRB </w:t>
            </w:r>
          </w:p>
        </w:tc>
        <w:tc>
          <w:tcPr>
            <w:tcW w:w="4002" w:type="dxa"/>
          </w:tcPr>
          <w:p w14:paraId="32FFF3FE"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blanco de reactivo de laboratorio</w:t>
            </w:r>
          </w:p>
        </w:tc>
        <w:tc>
          <w:tcPr>
            <w:tcW w:w="4003" w:type="dxa"/>
          </w:tcPr>
          <w:p w14:paraId="1D7F780A" w14:textId="154961D9"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laboratory reagent blank</w:t>
            </w:r>
          </w:p>
        </w:tc>
      </w:tr>
      <w:tr w:rsidR="00384BAB" w:rsidRPr="00F01347" w14:paraId="15DA33DC" w14:textId="5E6C29B0" w:rsidTr="00E32980">
        <w:tc>
          <w:tcPr>
            <w:tcW w:w="1345" w:type="dxa"/>
          </w:tcPr>
          <w:p w14:paraId="57980F00"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MC</w:t>
            </w:r>
          </w:p>
        </w:tc>
        <w:tc>
          <w:tcPr>
            <w:tcW w:w="4002" w:type="dxa"/>
          </w:tcPr>
          <w:p w14:paraId="7F8469C2" w14:textId="77777777" w:rsidR="00384BAB" w:rsidRPr="00F01347" w:rsidRDefault="00384BAB" w:rsidP="00384BAB">
            <w:pPr>
              <w:pStyle w:val="texto0"/>
              <w:spacing w:line="220" w:lineRule="exact"/>
              <w:ind w:firstLine="0"/>
              <w:rPr>
                <w:rFonts w:ascii="Verdana" w:hAnsi="Verdana"/>
                <w:sz w:val="16"/>
                <w:szCs w:val="16"/>
              </w:rPr>
            </w:pPr>
            <w:proofErr w:type="spellStart"/>
            <w:r w:rsidRPr="00F01347">
              <w:rPr>
                <w:rFonts w:ascii="Verdana" w:hAnsi="Verdana"/>
                <w:sz w:val="16"/>
                <w:szCs w:val="16"/>
              </w:rPr>
              <w:t>microcistina</w:t>
            </w:r>
            <w:proofErr w:type="spellEnd"/>
          </w:p>
        </w:tc>
        <w:tc>
          <w:tcPr>
            <w:tcW w:w="4003" w:type="dxa"/>
          </w:tcPr>
          <w:p w14:paraId="76883600" w14:textId="3B3B6E1E"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microcystin</w:t>
            </w:r>
          </w:p>
        </w:tc>
      </w:tr>
      <w:tr w:rsidR="00384BAB" w:rsidRPr="00F01347" w14:paraId="232647CF" w14:textId="2F4F6C59" w:rsidTr="00E32980">
        <w:tc>
          <w:tcPr>
            <w:tcW w:w="1345" w:type="dxa"/>
          </w:tcPr>
          <w:p w14:paraId="6F04467A"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MC/NOD</w:t>
            </w:r>
          </w:p>
        </w:tc>
        <w:tc>
          <w:tcPr>
            <w:tcW w:w="4002" w:type="dxa"/>
          </w:tcPr>
          <w:p w14:paraId="1210A212"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 xml:space="preserve">relación </w:t>
            </w:r>
            <w:proofErr w:type="spellStart"/>
            <w:r w:rsidRPr="00F01347">
              <w:rPr>
                <w:rFonts w:ascii="Verdana" w:hAnsi="Verdana"/>
                <w:sz w:val="16"/>
                <w:szCs w:val="16"/>
              </w:rPr>
              <w:t>microcistina</w:t>
            </w:r>
            <w:proofErr w:type="spellEnd"/>
            <w:r w:rsidRPr="00F01347">
              <w:rPr>
                <w:rFonts w:ascii="Verdana" w:hAnsi="Verdana"/>
                <w:sz w:val="16"/>
                <w:szCs w:val="16"/>
              </w:rPr>
              <w:t xml:space="preserve"> entre </w:t>
            </w:r>
            <w:proofErr w:type="spellStart"/>
            <w:r w:rsidRPr="00F01347">
              <w:rPr>
                <w:rFonts w:ascii="Verdana" w:hAnsi="Verdana"/>
                <w:sz w:val="16"/>
                <w:szCs w:val="16"/>
              </w:rPr>
              <w:t>nodularina</w:t>
            </w:r>
            <w:proofErr w:type="spellEnd"/>
          </w:p>
        </w:tc>
        <w:tc>
          <w:tcPr>
            <w:tcW w:w="4003" w:type="dxa"/>
          </w:tcPr>
          <w:p w14:paraId="14FC4C8E" w14:textId="71FC35C9"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microcystin relationship between nodularin</w:t>
            </w:r>
          </w:p>
        </w:tc>
      </w:tr>
      <w:tr w:rsidR="00384BAB" w:rsidRPr="00F01347" w14:paraId="323C30C4" w14:textId="3C1582E5" w:rsidTr="00E32980">
        <w:tc>
          <w:tcPr>
            <w:tcW w:w="1345" w:type="dxa"/>
          </w:tcPr>
          <w:p w14:paraId="0E9D9DAE"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MC-LR</w:t>
            </w:r>
          </w:p>
        </w:tc>
        <w:tc>
          <w:tcPr>
            <w:tcW w:w="4002" w:type="dxa"/>
          </w:tcPr>
          <w:p w14:paraId="4FB6C8A5" w14:textId="77777777" w:rsidR="00384BAB" w:rsidRPr="00F01347" w:rsidRDefault="00384BAB" w:rsidP="00384BAB">
            <w:pPr>
              <w:pStyle w:val="texto0"/>
              <w:spacing w:line="220" w:lineRule="exact"/>
              <w:ind w:firstLine="0"/>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-LR</w:t>
            </w:r>
          </w:p>
        </w:tc>
        <w:tc>
          <w:tcPr>
            <w:tcW w:w="4003" w:type="dxa"/>
          </w:tcPr>
          <w:p w14:paraId="204B4D0E" w14:textId="73A84565"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microcystin -LR</w:t>
            </w:r>
          </w:p>
        </w:tc>
      </w:tr>
      <w:tr w:rsidR="00384BAB" w:rsidRPr="00F01347" w14:paraId="211498B4" w14:textId="64C833DF" w:rsidTr="00E32980">
        <w:tc>
          <w:tcPr>
            <w:tcW w:w="1345" w:type="dxa"/>
          </w:tcPr>
          <w:p w14:paraId="4A27AC57"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mm</w:t>
            </w:r>
          </w:p>
        </w:tc>
        <w:tc>
          <w:tcPr>
            <w:tcW w:w="4002" w:type="dxa"/>
          </w:tcPr>
          <w:p w14:paraId="6F0B56FA"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milímetro</w:t>
            </w:r>
          </w:p>
        </w:tc>
        <w:tc>
          <w:tcPr>
            <w:tcW w:w="4003" w:type="dxa"/>
          </w:tcPr>
          <w:p w14:paraId="6F7ACC26" w14:textId="197B2AC1"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millimeter</w:t>
            </w:r>
          </w:p>
        </w:tc>
      </w:tr>
      <w:tr w:rsidR="00384BAB" w:rsidRPr="00F01347" w14:paraId="348B71F7" w14:textId="3CBA8769" w:rsidTr="00E32980">
        <w:tc>
          <w:tcPr>
            <w:tcW w:w="1345" w:type="dxa"/>
          </w:tcPr>
          <w:p w14:paraId="2E32E9D0"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MRL</w:t>
            </w:r>
          </w:p>
        </w:tc>
        <w:tc>
          <w:tcPr>
            <w:tcW w:w="4002" w:type="dxa"/>
          </w:tcPr>
          <w:p w14:paraId="7240A1C8"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nivel mínimo reportado</w:t>
            </w:r>
          </w:p>
        </w:tc>
        <w:tc>
          <w:tcPr>
            <w:tcW w:w="4003" w:type="dxa"/>
          </w:tcPr>
          <w:p w14:paraId="5AE9A2EE" w14:textId="2523F9B8"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minimum reported level</w:t>
            </w:r>
          </w:p>
        </w:tc>
      </w:tr>
      <w:tr w:rsidR="00384BAB" w:rsidRPr="00F01347" w14:paraId="0814883F" w14:textId="77F665CA" w:rsidTr="00E32980">
        <w:tc>
          <w:tcPr>
            <w:tcW w:w="1345" w:type="dxa"/>
          </w:tcPr>
          <w:p w14:paraId="649FD164"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µg/ml</w:t>
            </w:r>
          </w:p>
        </w:tc>
        <w:tc>
          <w:tcPr>
            <w:tcW w:w="4002" w:type="dxa"/>
          </w:tcPr>
          <w:p w14:paraId="6230E02A"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microgramo/mililitro</w:t>
            </w:r>
          </w:p>
        </w:tc>
        <w:tc>
          <w:tcPr>
            <w:tcW w:w="4003" w:type="dxa"/>
          </w:tcPr>
          <w:p w14:paraId="42AC002D" w14:textId="702FC5E2"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microgram/milliliter</w:t>
            </w:r>
          </w:p>
        </w:tc>
      </w:tr>
      <w:tr w:rsidR="00384BAB" w:rsidRPr="00F01347" w14:paraId="70AF859A" w14:textId="563EC060" w:rsidTr="00E32980">
        <w:tc>
          <w:tcPr>
            <w:tcW w:w="1345" w:type="dxa"/>
          </w:tcPr>
          <w:p w14:paraId="16BB9C53"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µm</w:t>
            </w:r>
          </w:p>
        </w:tc>
        <w:tc>
          <w:tcPr>
            <w:tcW w:w="4002" w:type="dxa"/>
          </w:tcPr>
          <w:p w14:paraId="3668E1E9"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micrómetro</w:t>
            </w:r>
          </w:p>
        </w:tc>
        <w:tc>
          <w:tcPr>
            <w:tcW w:w="4003" w:type="dxa"/>
          </w:tcPr>
          <w:p w14:paraId="4066F898" w14:textId="73C75839"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micrometer</w:t>
            </w:r>
          </w:p>
        </w:tc>
      </w:tr>
      <w:tr w:rsidR="00384BAB" w:rsidRPr="00F01347" w14:paraId="655FBE0B" w14:textId="370EE806" w:rsidTr="00E32980">
        <w:tc>
          <w:tcPr>
            <w:tcW w:w="1345" w:type="dxa"/>
          </w:tcPr>
          <w:p w14:paraId="18A55C9C"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µL</w:t>
            </w:r>
          </w:p>
        </w:tc>
        <w:tc>
          <w:tcPr>
            <w:tcW w:w="4002" w:type="dxa"/>
          </w:tcPr>
          <w:p w14:paraId="1ADE834C"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microlitro</w:t>
            </w:r>
          </w:p>
        </w:tc>
        <w:tc>
          <w:tcPr>
            <w:tcW w:w="4003" w:type="dxa"/>
          </w:tcPr>
          <w:p w14:paraId="51E7FBCE" w14:textId="41907CEA"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microliter</w:t>
            </w:r>
          </w:p>
        </w:tc>
      </w:tr>
      <w:tr w:rsidR="00384BAB" w:rsidRPr="00F01347" w14:paraId="53AD8D38" w14:textId="74813AA5" w:rsidTr="00E32980">
        <w:tc>
          <w:tcPr>
            <w:tcW w:w="1345" w:type="dxa"/>
          </w:tcPr>
          <w:p w14:paraId="250A981F"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nm</w:t>
            </w:r>
          </w:p>
        </w:tc>
        <w:tc>
          <w:tcPr>
            <w:tcW w:w="4002" w:type="dxa"/>
          </w:tcPr>
          <w:p w14:paraId="227A94DC"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nanómetro</w:t>
            </w:r>
          </w:p>
        </w:tc>
        <w:tc>
          <w:tcPr>
            <w:tcW w:w="4003" w:type="dxa"/>
          </w:tcPr>
          <w:p w14:paraId="1CB3BCA3" w14:textId="5F1500BC"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nanometer</w:t>
            </w:r>
          </w:p>
        </w:tc>
      </w:tr>
      <w:tr w:rsidR="00384BAB" w:rsidRPr="00F01347" w14:paraId="314EC94B" w14:textId="30F7465A" w:rsidTr="00E32980">
        <w:tc>
          <w:tcPr>
            <w:tcW w:w="1345" w:type="dxa"/>
          </w:tcPr>
          <w:p w14:paraId="440F7A41"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NOD</w:t>
            </w:r>
          </w:p>
        </w:tc>
        <w:tc>
          <w:tcPr>
            <w:tcW w:w="4002" w:type="dxa"/>
          </w:tcPr>
          <w:p w14:paraId="20D1F272" w14:textId="77777777" w:rsidR="00384BAB" w:rsidRPr="00F01347" w:rsidRDefault="00384BAB" w:rsidP="00384BAB">
            <w:pPr>
              <w:pStyle w:val="texto0"/>
              <w:spacing w:line="220" w:lineRule="exact"/>
              <w:ind w:firstLine="0"/>
              <w:rPr>
                <w:rFonts w:ascii="Verdana" w:hAnsi="Verdana"/>
                <w:sz w:val="16"/>
                <w:szCs w:val="16"/>
              </w:rPr>
            </w:pPr>
            <w:proofErr w:type="spellStart"/>
            <w:r w:rsidRPr="00F01347">
              <w:rPr>
                <w:rFonts w:ascii="Verdana" w:hAnsi="Verdana"/>
                <w:sz w:val="16"/>
                <w:szCs w:val="16"/>
              </w:rPr>
              <w:t>nodularina</w:t>
            </w:r>
            <w:proofErr w:type="spellEnd"/>
          </w:p>
        </w:tc>
        <w:tc>
          <w:tcPr>
            <w:tcW w:w="4003" w:type="dxa"/>
          </w:tcPr>
          <w:p w14:paraId="1952B69A" w14:textId="43CA236F"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nodularin</w:t>
            </w:r>
          </w:p>
        </w:tc>
      </w:tr>
      <w:tr w:rsidR="00384BAB" w:rsidRPr="00F01347" w14:paraId="448686AE" w14:textId="01CED491" w:rsidTr="00E32980">
        <w:tc>
          <w:tcPr>
            <w:tcW w:w="1345" w:type="dxa"/>
          </w:tcPr>
          <w:p w14:paraId="368D1FD5" w14:textId="77777777" w:rsidR="00384BAB" w:rsidRPr="00F01347" w:rsidRDefault="00384BAB" w:rsidP="00384BAB">
            <w:pPr>
              <w:pStyle w:val="texto0"/>
              <w:spacing w:line="220" w:lineRule="exact"/>
              <w:ind w:firstLine="0"/>
              <w:rPr>
                <w:rFonts w:ascii="Verdana" w:hAnsi="Verdana"/>
                <w:sz w:val="16"/>
                <w:szCs w:val="16"/>
              </w:rPr>
            </w:pPr>
            <w:r w:rsidRPr="00F01347">
              <w:rPr>
                <w:rFonts w:ascii="Verdana" w:hAnsi="Verdana"/>
                <w:sz w:val="16"/>
                <w:szCs w:val="16"/>
              </w:rPr>
              <w:t>NOD-R</w:t>
            </w:r>
          </w:p>
        </w:tc>
        <w:tc>
          <w:tcPr>
            <w:tcW w:w="4002" w:type="dxa"/>
          </w:tcPr>
          <w:p w14:paraId="5F0B0332" w14:textId="77777777" w:rsidR="00384BAB" w:rsidRPr="00F01347" w:rsidRDefault="00384BAB" w:rsidP="00384BAB">
            <w:pPr>
              <w:pStyle w:val="texto0"/>
              <w:spacing w:line="220" w:lineRule="exact"/>
              <w:ind w:firstLine="0"/>
              <w:rPr>
                <w:rFonts w:ascii="Verdana" w:hAnsi="Verdana"/>
                <w:sz w:val="16"/>
                <w:szCs w:val="16"/>
              </w:rPr>
            </w:pPr>
            <w:proofErr w:type="spellStart"/>
            <w:r w:rsidRPr="00F01347">
              <w:rPr>
                <w:rFonts w:ascii="Verdana" w:hAnsi="Verdana"/>
                <w:sz w:val="16"/>
                <w:szCs w:val="16"/>
              </w:rPr>
              <w:t>Nodularina</w:t>
            </w:r>
            <w:proofErr w:type="spellEnd"/>
            <w:r w:rsidRPr="00F01347">
              <w:rPr>
                <w:rFonts w:ascii="Verdana" w:hAnsi="Verdana"/>
                <w:sz w:val="16"/>
                <w:szCs w:val="16"/>
              </w:rPr>
              <w:t>-R</w:t>
            </w:r>
          </w:p>
        </w:tc>
        <w:tc>
          <w:tcPr>
            <w:tcW w:w="4003" w:type="dxa"/>
          </w:tcPr>
          <w:p w14:paraId="76BD66E9" w14:textId="3CBE2BD2" w:rsidR="00384BAB" w:rsidRPr="00F01347" w:rsidRDefault="00384BAB" w:rsidP="00384BAB">
            <w:pPr>
              <w:pStyle w:val="texto0"/>
              <w:spacing w:line="220" w:lineRule="exact"/>
              <w:ind w:firstLine="0"/>
              <w:rPr>
                <w:rFonts w:ascii="Verdana" w:hAnsi="Verdana"/>
                <w:sz w:val="16"/>
                <w:szCs w:val="16"/>
                <w:lang w:val="en-US"/>
              </w:rPr>
            </w:pPr>
            <w:r w:rsidRPr="00F01347">
              <w:rPr>
                <w:rFonts w:ascii="Verdana" w:hAnsi="Verdana"/>
                <w:sz w:val="16"/>
                <w:szCs w:val="16"/>
                <w:lang w:val="en-US"/>
              </w:rPr>
              <w:t>Nodularin -R</w:t>
            </w:r>
          </w:p>
        </w:tc>
      </w:tr>
      <w:tr w:rsidR="00384BAB" w:rsidRPr="00F01347" w14:paraId="4F8C2EC5" w14:textId="5C0BDBA8" w:rsidTr="00E32980">
        <w:tc>
          <w:tcPr>
            <w:tcW w:w="1345" w:type="dxa"/>
          </w:tcPr>
          <w:p w14:paraId="77E9A22A"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PDS</w:t>
            </w:r>
          </w:p>
        </w:tc>
        <w:tc>
          <w:tcPr>
            <w:tcW w:w="4002" w:type="dxa"/>
          </w:tcPr>
          <w:p w14:paraId="58FF271B"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solución estándar de dilución primaria</w:t>
            </w:r>
          </w:p>
        </w:tc>
        <w:tc>
          <w:tcPr>
            <w:tcW w:w="4003" w:type="dxa"/>
          </w:tcPr>
          <w:p w14:paraId="4DF69F76" w14:textId="66A3F09A" w:rsidR="00384BAB" w:rsidRPr="00F01347" w:rsidRDefault="00384BAB" w:rsidP="00384BAB">
            <w:pPr>
              <w:pStyle w:val="texto0"/>
              <w:ind w:firstLine="0"/>
              <w:rPr>
                <w:rFonts w:ascii="Verdana" w:hAnsi="Verdana"/>
                <w:sz w:val="16"/>
                <w:szCs w:val="16"/>
                <w:lang w:val="en-US"/>
              </w:rPr>
            </w:pPr>
            <w:r w:rsidRPr="00F01347">
              <w:rPr>
                <w:rFonts w:ascii="Verdana" w:hAnsi="Verdana"/>
                <w:sz w:val="16"/>
                <w:szCs w:val="16"/>
                <w:lang w:val="en-US"/>
              </w:rPr>
              <w:t>primary dilution standard solution</w:t>
            </w:r>
          </w:p>
        </w:tc>
      </w:tr>
      <w:tr w:rsidR="00384BAB" w:rsidRPr="00F01347" w14:paraId="7F93305A" w14:textId="22097AE9" w:rsidTr="00E32980">
        <w:tc>
          <w:tcPr>
            <w:tcW w:w="1345" w:type="dxa"/>
          </w:tcPr>
          <w:p w14:paraId="4FEB0DFD"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PIR</w:t>
            </w:r>
          </w:p>
        </w:tc>
        <w:tc>
          <w:tcPr>
            <w:tcW w:w="4002" w:type="dxa"/>
          </w:tcPr>
          <w:p w14:paraId="07847543"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intervalo de predicción de resultados</w:t>
            </w:r>
          </w:p>
        </w:tc>
        <w:tc>
          <w:tcPr>
            <w:tcW w:w="4003" w:type="dxa"/>
          </w:tcPr>
          <w:p w14:paraId="60BD11FC" w14:textId="3A523191" w:rsidR="00384BAB" w:rsidRPr="00F01347" w:rsidRDefault="00384BAB" w:rsidP="00384BAB">
            <w:pPr>
              <w:pStyle w:val="texto0"/>
              <w:ind w:firstLine="0"/>
              <w:rPr>
                <w:rFonts w:ascii="Verdana" w:hAnsi="Verdana"/>
                <w:sz w:val="16"/>
                <w:szCs w:val="16"/>
                <w:lang w:val="en-US"/>
              </w:rPr>
            </w:pPr>
            <w:r w:rsidRPr="00F01347">
              <w:rPr>
                <w:rFonts w:ascii="Verdana" w:hAnsi="Verdana"/>
                <w:sz w:val="16"/>
                <w:szCs w:val="16"/>
                <w:lang w:val="en-US"/>
              </w:rPr>
              <w:t>outcome prediction interval</w:t>
            </w:r>
          </w:p>
        </w:tc>
      </w:tr>
      <w:tr w:rsidR="00384BAB" w:rsidRPr="00F01347" w14:paraId="72DE266B" w14:textId="05C0BFDC" w:rsidTr="00E32980">
        <w:tc>
          <w:tcPr>
            <w:tcW w:w="1345" w:type="dxa"/>
          </w:tcPr>
          <w:p w14:paraId="4CB2E28F"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PTFE</w:t>
            </w:r>
          </w:p>
        </w:tc>
        <w:tc>
          <w:tcPr>
            <w:tcW w:w="4002" w:type="dxa"/>
          </w:tcPr>
          <w:p w14:paraId="05AA5727"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politetrafluoroetileno</w:t>
            </w:r>
          </w:p>
        </w:tc>
        <w:tc>
          <w:tcPr>
            <w:tcW w:w="4003" w:type="dxa"/>
          </w:tcPr>
          <w:p w14:paraId="4E8D13CB" w14:textId="7E44578C" w:rsidR="00384BAB" w:rsidRPr="00F01347" w:rsidRDefault="00384BAB" w:rsidP="00384BAB">
            <w:pPr>
              <w:pStyle w:val="texto0"/>
              <w:ind w:firstLine="0"/>
              <w:rPr>
                <w:rFonts w:ascii="Verdana" w:hAnsi="Verdana"/>
                <w:sz w:val="16"/>
                <w:szCs w:val="16"/>
                <w:lang w:val="en-US"/>
              </w:rPr>
            </w:pPr>
            <w:r w:rsidRPr="00F01347">
              <w:rPr>
                <w:rFonts w:ascii="Verdana" w:hAnsi="Verdana"/>
                <w:sz w:val="16"/>
                <w:szCs w:val="16"/>
                <w:lang w:val="en-US"/>
              </w:rPr>
              <w:t>polytetrafluoroethylene</w:t>
            </w:r>
          </w:p>
        </w:tc>
      </w:tr>
      <w:tr w:rsidR="00384BAB" w:rsidRPr="00F01347" w14:paraId="2ED1D416" w14:textId="25B6C232" w:rsidTr="00E32980">
        <w:tc>
          <w:tcPr>
            <w:tcW w:w="1345" w:type="dxa"/>
          </w:tcPr>
          <w:p w14:paraId="4F74BA00"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QCS</w:t>
            </w:r>
          </w:p>
        </w:tc>
        <w:tc>
          <w:tcPr>
            <w:tcW w:w="4002" w:type="dxa"/>
          </w:tcPr>
          <w:p w14:paraId="4C1077D4"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muestra de control de calidad</w:t>
            </w:r>
          </w:p>
        </w:tc>
        <w:tc>
          <w:tcPr>
            <w:tcW w:w="4003" w:type="dxa"/>
          </w:tcPr>
          <w:p w14:paraId="6F44AC89" w14:textId="1EDF87D4" w:rsidR="00384BAB" w:rsidRPr="00F01347" w:rsidRDefault="00384BAB" w:rsidP="00384BAB">
            <w:pPr>
              <w:pStyle w:val="texto0"/>
              <w:ind w:firstLine="0"/>
              <w:rPr>
                <w:rFonts w:ascii="Verdana" w:hAnsi="Verdana"/>
                <w:sz w:val="16"/>
                <w:szCs w:val="16"/>
                <w:lang w:val="en-US"/>
              </w:rPr>
            </w:pPr>
            <w:r w:rsidRPr="00F01347">
              <w:rPr>
                <w:rFonts w:ascii="Verdana" w:hAnsi="Verdana"/>
                <w:sz w:val="16"/>
                <w:szCs w:val="16"/>
                <w:lang w:val="en-US"/>
              </w:rPr>
              <w:t>quality control sample</w:t>
            </w:r>
          </w:p>
        </w:tc>
      </w:tr>
      <w:tr w:rsidR="00384BAB" w:rsidRPr="00F01347" w14:paraId="08067545" w14:textId="786237FA" w:rsidTr="00E32980">
        <w:tc>
          <w:tcPr>
            <w:tcW w:w="1345" w:type="dxa"/>
          </w:tcPr>
          <w:p w14:paraId="42C22230"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RPD</w:t>
            </w:r>
          </w:p>
        </w:tc>
        <w:tc>
          <w:tcPr>
            <w:tcW w:w="4002" w:type="dxa"/>
          </w:tcPr>
          <w:p w14:paraId="2CA66F3E"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diferencia porcentual relativa</w:t>
            </w:r>
          </w:p>
        </w:tc>
        <w:tc>
          <w:tcPr>
            <w:tcW w:w="4003" w:type="dxa"/>
          </w:tcPr>
          <w:p w14:paraId="6B0A57CC" w14:textId="006A8E23" w:rsidR="00384BAB" w:rsidRPr="00F01347" w:rsidRDefault="00384BAB" w:rsidP="00384BAB">
            <w:pPr>
              <w:pStyle w:val="texto0"/>
              <w:ind w:firstLine="0"/>
              <w:rPr>
                <w:rFonts w:ascii="Verdana" w:hAnsi="Verdana"/>
                <w:sz w:val="16"/>
                <w:szCs w:val="16"/>
                <w:lang w:val="en-US"/>
              </w:rPr>
            </w:pPr>
            <w:r w:rsidRPr="00F01347">
              <w:rPr>
                <w:rFonts w:ascii="Verdana" w:hAnsi="Verdana"/>
                <w:sz w:val="16"/>
                <w:szCs w:val="16"/>
                <w:lang w:val="en-US"/>
              </w:rPr>
              <w:t>relative percentage difference</w:t>
            </w:r>
          </w:p>
        </w:tc>
      </w:tr>
      <w:tr w:rsidR="00384BAB" w:rsidRPr="00F01347" w14:paraId="6CDC72D0" w14:textId="455BC883" w:rsidTr="00E32980">
        <w:tc>
          <w:tcPr>
            <w:tcW w:w="1345" w:type="dxa"/>
          </w:tcPr>
          <w:p w14:paraId="7ACD8013"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r</w:t>
            </w:r>
            <w:r w:rsidRPr="00F01347">
              <w:rPr>
                <w:rFonts w:ascii="Verdana" w:hAnsi="Verdana"/>
                <w:sz w:val="16"/>
                <w:szCs w:val="16"/>
                <w:vertAlign w:val="superscript"/>
              </w:rPr>
              <w:t>2</w:t>
            </w:r>
          </w:p>
        </w:tc>
        <w:tc>
          <w:tcPr>
            <w:tcW w:w="4002" w:type="dxa"/>
          </w:tcPr>
          <w:p w14:paraId="38B758F5"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cuadrado del coeficiente de correlación</w:t>
            </w:r>
          </w:p>
        </w:tc>
        <w:tc>
          <w:tcPr>
            <w:tcW w:w="4003" w:type="dxa"/>
          </w:tcPr>
          <w:p w14:paraId="6D28168A" w14:textId="12DB7816" w:rsidR="00384BAB" w:rsidRPr="00F01347" w:rsidRDefault="00384BAB" w:rsidP="00384BAB">
            <w:pPr>
              <w:pStyle w:val="texto0"/>
              <w:ind w:firstLine="0"/>
              <w:rPr>
                <w:rFonts w:ascii="Verdana" w:hAnsi="Verdana"/>
                <w:sz w:val="16"/>
                <w:szCs w:val="16"/>
                <w:lang w:val="en-US"/>
              </w:rPr>
            </w:pPr>
            <w:r w:rsidRPr="00F01347">
              <w:rPr>
                <w:rFonts w:ascii="Verdana" w:hAnsi="Verdana"/>
                <w:sz w:val="16"/>
                <w:szCs w:val="16"/>
                <w:lang w:val="en-US"/>
              </w:rPr>
              <w:t>correlation coefficient square</w:t>
            </w:r>
          </w:p>
        </w:tc>
      </w:tr>
      <w:tr w:rsidR="00384BAB" w:rsidRPr="00F01347" w14:paraId="61C88C34" w14:textId="780DB99C" w:rsidTr="00E32980">
        <w:tc>
          <w:tcPr>
            <w:tcW w:w="1345" w:type="dxa"/>
          </w:tcPr>
          <w:p w14:paraId="602D7E29"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w:t>
            </w:r>
          </w:p>
        </w:tc>
        <w:tc>
          <w:tcPr>
            <w:tcW w:w="4002" w:type="dxa"/>
          </w:tcPr>
          <w:p w14:paraId="4C4DDA9D"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por ciento</w:t>
            </w:r>
          </w:p>
        </w:tc>
        <w:tc>
          <w:tcPr>
            <w:tcW w:w="4003" w:type="dxa"/>
          </w:tcPr>
          <w:p w14:paraId="41969DD1" w14:textId="089A8D48" w:rsidR="00384BAB" w:rsidRPr="00F01347" w:rsidRDefault="00384BAB" w:rsidP="00384BAB">
            <w:pPr>
              <w:pStyle w:val="texto0"/>
              <w:ind w:firstLine="0"/>
              <w:rPr>
                <w:rFonts w:ascii="Verdana" w:hAnsi="Verdana"/>
                <w:sz w:val="16"/>
                <w:szCs w:val="16"/>
                <w:lang w:val="en-US"/>
              </w:rPr>
            </w:pPr>
            <w:r w:rsidRPr="00F01347">
              <w:rPr>
                <w:rFonts w:ascii="Verdana" w:hAnsi="Verdana"/>
                <w:sz w:val="16"/>
                <w:szCs w:val="16"/>
                <w:lang w:val="en-US"/>
              </w:rPr>
              <w:t>percent</w:t>
            </w:r>
          </w:p>
        </w:tc>
      </w:tr>
      <w:tr w:rsidR="00384BAB" w:rsidRPr="00F01347" w14:paraId="5AEF37ED" w14:textId="16B4C85D" w:rsidTr="00E32980">
        <w:tc>
          <w:tcPr>
            <w:tcW w:w="1345" w:type="dxa"/>
          </w:tcPr>
          <w:p w14:paraId="65B7988E"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%CV</w:t>
            </w:r>
          </w:p>
        </w:tc>
        <w:tc>
          <w:tcPr>
            <w:tcW w:w="4002" w:type="dxa"/>
          </w:tcPr>
          <w:p w14:paraId="4F646E7B"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coeficiente de variación porcentual</w:t>
            </w:r>
          </w:p>
        </w:tc>
        <w:tc>
          <w:tcPr>
            <w:tcW w:w="4003" w:type="dxa"/>
          </w:tcPr>
          <w:p w14:paraId="307747E4" w14:textId="2C2AC55B" w:rsidR="00384BAB" w:rsidRPr="00F01347" w:rsidRDefault="00384BAB" w:rsidP="00384BAB">
            <w:pPr>
              <w:pStyle w:val="texto0"/>
              <w:ind w:firstLine="0"/>
              <w:rPr>
                <w:rFonts w:ascii="Verdana" w:hAnsi="Verdana"/>
                <w:sz w:val="16"/>
                <w:szCs w:val="16"/>
                <w:lang w:val="en-US"/>
              </w:rPr>
            </w:pPr>
            <w:r w:rsidRPr="00F01347">
              <w:rPr>
                <w:rFonts w:ascii="Verdana" w:hAnsi="Verdana"/>
                <w:sz w:val="16"/>
                <w:szCs w:val="16"/>
                <w:lang w:val="en-US"/>
              </w:rPr>
              <w:t>percentage variation coefficient</w:t>
            </w:r>
          </w:p>
        </w:tc>
      </w:tr>
      <w:tr w:rsidR="00384BAB" w:rsidRPr="00F01347" w14:paraId="33E89260" w14:textId="131CF2CA" w:rsidTr="00E32980">
        <w:tc>
          <w:tcPr>
            <w:tcW w:w="1345" w:type="dxa"/>
          </w:tcPr>
          <w:p w14:paraId="264177BC"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%R</w:t>
            </w:r>
          </w:p>
        </w:tc>
        <w:tc>
          <w:tcPr>
            <w:tcW w:w="4002" w:type="dxa"/>
          </w:tcPr>
          <w:p w14:paraId="389B2BB5"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porcentaje promedio de recuperación</w:t>
            </w:r>
          </w:p>
        </w:tc>
        <w:tc>
          <w:tcPr>
            <w:tcW w:w="4003" w:type="dxa"/>
          </w:tcPr>
          <w:p w14:paraId="589AD9CB" w14:textId="7FE20D1B" w:rsidR="00384BAB" w:rsidRPr="00F01347" w:rsidRDefault="00384BAB" w:rsidP="00384BAB">
            <w:pPr>
              <w:pStyle w:val="texto0"/>
              <w:ind w:firstLine="0"/>
              <w:rPr>
                <w:rFonts w:ascii="Verdana" w:hAnsi="Verdana"/>
                <w:sz w:val="16"/>
                <w:szCs w:val="16"/>
                <w:lang w:val="en-US"/>
              </w:rPr>
            </w:pPr>
            <w:r w:rsidRPr="00F01347">
              <w:rPr>
                <w:rFonts w:ascii="Verdana" w:hAnsi="Verdana"/>
                <w:sz w:val="16"/>
                <w:szCs w:val="16"/>
                <w:lang w:val="en-US"/>
              </w:rPr>
              <w:t>average recovery percentage</w:t>
            </w:r>
          </w:p>
        </w:tc>
      </w:tr>
      <w:tr w:rsidR="00384BAB" w:rsidRPr="00F01347" w14:paraId="6478F5E3" w14:textId="4EB1A15D" w:rsidTr="00E32980">
        <w:tc>
          <w:tcPr>
            <w:tcW w:w="1345" w:type="dxa"/>
          </w:tcPr>
          <w:p w14:paraId="7C443B9F"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lastRenderedPageBreak/>
              <w:t>%RSD</w:t>
            </w:r>
          </w:p>
        </w:tc>
        <w:tc>
          <w:tcPr>
            <w:tcW w:w="4002" w:type="dxa"/>
          </w:tcPr>
          <w:p w14:paraId="60B03F4A"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porcentaje de desviación estándar relativa</w:t>
            </w:r>
          </w:p>
        </w:tc>
        <w:tc>
          <w:tcPr>
            <w:tcW w:w="4003" w:type="dxa"/>
          </w:tcPr>
          <w:p w14:paraId="0F883CA9" w14:textId="1E1DD396" w:rsidR="00384BAB" w:rsidRPr="00F01347" w:rsidRDefault="00384BAB" w:rsidP="00384BAB">
            <w:pPr>
              <w:pStyle w:val="texto0"/>
              <w:ind w:firstLine="0"/>
              <w:rPr>
                <w:rFonts w:ascii="Verdana" w:hAnsi="Verdana"/>
                <w:sz w:val="16"/>
                <w:szCs w:val="16"/>
                <w:lang w:val="en-US"/>
              </w:rPr>
            </w:pPr>
            <w:r w:rsidRPr="00F01347">
              <w:rPr>
                <w:rFonts w:ascii="Verdana" w:hAnsi="Verdana"/>
                <w:sz w:val="16"/>
                <w:szCs w:val="16"/>
                <w:lang w:val="en-US"/>
              </w:rPr>
              <w:t>relative standard deviation percentage</w:t>
            </w:r>
          </w:p>
        </w:tc>
      </w:tr>
      <w:tr w:rsidR="00384BAB" w:rsidRPr="00F01347" w14:paraId="3F5BC2AD" w14:textId="1A3DF1C3" w:rsidTr="00E32980">
        <w:tc>
          <w:tcPr>
            <w:tcW w:w="1345" w:type="dxa"/>
          </w:tcPr>
          <w:p w14:paraId="0F7DF6E9"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w:t>
            </w:r>
          </w:p>
        </w:tc>
        <w:tc>
          <w:tcPr>
            <w:tcW w:w="4002" w:type="dxa"/>
          </w:tcPr>
          <w:p w14:paraId="6E75FC45" w14:textId="77777777" w:rsidR="00384BAB" w:rsidRPr="00F01347" w:rsidRDefault="00384BAB" w:rsidP="00384BAB">
            <w:pPr>
              <w:pStyle w:val="texto0"/>
              <w:ind w:firstLine="0"/>
              <w:rPr>
                <w:rFonts w:ascii="Verdana" w:hAnsi="Verdana"/>
                <w:sz w:val="16"/>
                <w:szCs w:val="16"/>
              </w:rPr>
            </w:pPr>
            <w:r w:rsidRPr="00F01347">
              <w:rPr>
                <w:rFonts w:ascii="Verdana" w:hAnsi="Verdana"/>
                <w:sz w:val="16"/>
                <w:szCs w:val="16"/>
              </w:rPr>
              <w:t>menor o igual a</w:t>
            </w:r>
          </w:p>
        </w:tc>
        <w:tc>
          <w:tcPr>
            <w:tcW w:w="4003" w:type="dxa"/>
          </w:tcPr>
          <w:p w14:paraId="5570733F" w14:textId="794AECA4" w:rsidR="00384BAB" w:rsidRPr="00F01347" w:rsidRDefault="00384BAB" w:rsidP="00384BAB">
            <w:pPr>
              <w:pStyle w:val="texto0"/>
              <w:ind w:firstLine="0"/>
              <w:rPr>
                <w:rFonts w:ascii="Verdana" w:hAnsi="Verdana"/>
                <w:sz w:val="16"/>
                <w:szCs w:val="16"/>
                <w:lang w:val="en-US"/>
              </w:rPr>
            </w:pPr>
            <w:r w:rsidRPr="00F01347">
              <w:rPr>
                <w:rFonts w:ascii="Verdana" w:hAnsi="Verdana"/>
                <w:sz w:val="16"/>
                <w:szCs w:val="16"/>
                <w:lang w:val="en-US"/>
              </w:rPr>
              <w:t>less than or equal to</w:t>
            </w:r>
          </w:p>
        </w:tc>
      </w:tr>
      <w:tr w:rsidR="00384BAB" w:rsidRPr="00F01347" w14:paraId="4FB94BBE" w14:textId="1EC481C3" w:rsidTr="00E32980">
        <w:tc>
          <w:tcPr>
            <w:tcW w:w="1345" w:type="dxa"/>
          </w:tcPr>
          <w:p w14:paraId="3E4837FF" w14:textId="77777777" w:rsidR="00384BAB" w:rsidRPr="00F01347" w:rsidRDefault="00384BAB" w:rsidP="00384BAB">
            <w:pPr>
              <w:pStyle w:val="texto0"/>
              <w:ind w:firstLine="0"/>
              <w:rPr>
                <w:rFonts w:ascii="Verdana" w:hAnsi="Verdana"/>
                <w:color w:val="000000"/>
                <w:sz w:val="16"/>
                <w:szCs w:val="16"/>
              </w:rPr>
            </w:pPr>
            <w:r w:rsidRPr="00F01347">
              <w:rPr>
                <w:rFonts w:ascii="Verdana" w:hAnsi="Verdana"/>
                <w:color w:val="000000"/>
                <w:sz w:val="16"/>
                <w:szCs w:val="16"/>
              </w:rPr>
              <w:t>&gt;</w:t>
            </w:r>
          </w:p>
        </w:tc>
        <w:tc>
          <w:tcPr>
            <w:tcW w:w="4002" w:type="dxa"/>
          </w:tcPr>
          <w:p w14:paraId="7399009C" w14:textId="77777777" w:rsidR="00384BAB" w:rsidRPr="00F01347" w:rsidRDefault="00384BAB" w:rsidP="00384BAB">
            <w:pPr>
              <w:pStyle w:val="texto0"/>
              <w:ind w:firstLine="0"/>
              <w:rPr>
                <w:rFonts w:ascii="Verdana" w:hAnsi="Verdana"/>
                <w:color w:val="000000"/>
                <w:sz w:val="16"/>
                <w:szCs w:val="16"/>
              </w:rPr>
            </w:pPr>
            <w:r w:rsidRPr="00F01347">
              <w:rPr>
                <w:rFonts w:ascii="Verdana" w:hAnsi="Verdana"/>
                <w:color w:val="000000"/>
                <w:sz w:val="16"/>
                <w:szCs w:val="16"/>
              </w:rPr>
              <w:t>mayor a</w:t>
            </w:r>
          </w:p>
        </w:tc>
        <w:tc>
          <w:tcPr>
            <w:tcW w:w="4003" w:type="dxa"/>
          </w:tcPr>
          <w:p w14:paraId="73B2CBEF" w14:textId="4A6556E6" w:rsidR="00384BAB" w:rsidRPr="00F01347" w:rsidRDefault="00384BAB" w:rsidP="00384BAB">
            <w:pPr>
              <w:pStyle w:val="texto0"/>
              <w:ind w:firstLine="0"/>
              <w:rPr>
                <w:rFonts w:ascii="Verdana" w:hAnsi="Verdana"/>
                <w:color w:val="000000"/>
                <w:sz w:val="16"/>
                <w:szCs w:val="16"/>
                <w:lang w:val="en-US"/>
              </w:rPr>
            </w:pPr>
            <w:r w:rsidRPr="00F01347">
              <w:rPr>
                <w:rFonts w:ascii="Verdana" w:hAnsi="Verdana"/>
                <w:color w:val="000000"/>
                <w:sz w:val="16"/>
                <w:szCs w:val="16"/>
                <w:lang w:val="en-US"/>
              </w:rPr>
              <w:t>greater than</w:t>
            </w:r>
          </w:p>
        </w:tc>
      </w:tr>
      <w:tr w:rsidR="00384BAB" w:rsidRPr="00F01347" w14:paraId="5D5130AF" w14:textId="73274926" w:rsidTr="00E32980">
        <w:tc>
          <w:tcPr>
            <w:tcW w:w="1345" w:type="dxa"/>
          </w:tcPr>
          <w:p w14:paraId="129BA798" w14:textId="77777777" w:rsidR="00384BAB" w:rsidRPr="00F01347" w:rsidRDefault="00384BAB" w:rsidP="00384BAB">
            <w:pPr>
              <w:pStyle w:val="texto0"/>
              <w:ind w:firstLine="0"/>
              <w:rPr>
                <w:rFonts w:ascii="Verdana" w:hAnsi="Verdana"/>
                <w:color w:val="000000"/>
                <w:sz w:val="16"/>
                <w:szCs w:val="16"/>
              </w:rPr>
            </w:pPr>
            <w:r w:rsidRPr="00F01347">
              <w:rPr>
                <w:rFonts w:ascii="Verdana" w:hAnsi="Verdana"/>
                <w:color w:val="000000"/>
                <w:sz w:val="16"/>
                <w:szCs w:val="16"/>
              </w:rPr>
              <w:t>≥</w:t>
            </w:r>
          </w:p>
        </w:tc>
        <w:tc>
          <w:tcPr>
            <w:tcW w:w="4002" w:type="dxa"/>
          </w:tcPr>
          <w:p w14:paraId="78793773" w14:textId="77777777" w:rsidR="00384BAB" w:rsidRPr="00F01347" w:rsidRDefault="00384BAB" w:rsidP="00384BAB">
            <w:pPr>
              <w:pStyle w:val="texto0"/>
              <w:ind w:firstLine="0"/>
              <w:rPr>
                <w:rFonts w:ascii="Verdana" w:hAnsi="Verdana"/>
                <w:sz w:val="16"/>
                <w:szCs w:val="16"/>
              </w:rPr>
            </w:pPr>
            <w:r w:rsidRPr="00F01347">
              <w:rPr>
                <w:rFonts w:ascii="Verdana" w:hAnsi="Verdana"/>
                <w:color w:val="000000"/>
                <w:sz w:val="16"/>
                <w:szCs w:val="16"/>
              </w:rPr>
              <w:t>mayor o igual a</w:t>
            </w:r>
          </w:p>
        </w:tc>
        <w:tc>
          <w:tcPr>
            <w:tcW w:w="4003" w:type="dxa"/>
          </w:tcPr>
          <w:p w14:paraId="452E1CA2" w14:textId="2CC39132" w:rsidR="00384BAB" w:rsidRPr="00F01347" w:rsidRDefault="00384BAB" w:rsidP="00384BAB">
            <w:pPr>
              <w:pStyle w:val="texto0"/>
              <w:ind w:firstLine="0"/>
              <w:rPr>
                <w:rFonts w:ascii="Verdana" w:hAnsi="Verdana"/>
                <w:color w:val="000000"/>
                <w:sz w:val="16"/>
                <w:szCs w:val="16"/>
                <w:lang w:val="en-US"/>
              </w:rPr>
            </w:pPr>
            <w:r w:rsidRPr="00F01347">
              <w:rPr>
                <w:rFonts w:ascii="Verdana" w:hAnsi="Verdana"/>
                <w:color w:val="000000"/>
                <w:sz w:val="16"/>
                <w:szCs w:val="16"/>
                <w:lang w:val="en-US"/>
              </w:rPr>
              <w:t>greater or equal to</w:t>
            </w:r>
          </w:p>
        </w:tc>
      </w:tr>
    </w:tbl>
    <w:p w14:paraId="04D17B26" w14:textId="77777777" w:rsidR="00204B58" w:rsidRPr="00F01347" w:rsidRDefault="00204B58" w:rsidP="003A601B">
      <w:pPr>
        <w:pStyle w:val="texto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07E30" w:rsidRPr="00F01347" w14:paraId="7F5EAE40" w14:textId="4D200A3C" w:rsidTr="00A24AAD">
        <w:tc>
          <w:tcPr>
            <w:tcW w:w="4675" w:type="dxa"/>
          </w:tcPr>
          <w:p w14:paraId="3E41DA40" w14:textId="77777777" w:rsidR="00607E30" w:rsidRPr="00F01347" w:rsidRDefault="00607E30" w:rsidP="00607E30">
            <w:pPr>
              <w:pStyle w:val="texto0"/>
              <w:ind w:firstLine="0"/>
              <w:rPr>
                <w:rFonts w:ascii="Verdana" w:hAnsi="Verdana"/>
                <w:b/>
                <w:sz w:val="16"/>
                <w:szCs w:val="16"/>
              </w:rPr>
            </w:pPr>
            <w:r w:rsidRPr="00F01347">
              <w:rPr>
                <w:rFonts w:ascii="Verdana" w:hAnsi="Verdana"/>
                <w:b/>
                <w:sz w:val="16"/>
                <w:szCs w:val="16"/>
              </w:rPr>
              <w:t>B.1.1.3 Principio</w:t>
            </w:r>
          </w:p>
        </w:tc>
        <w:tc>
          <w:tcPr>
            <w:tcW w:w="4675" w:type="dxa"/>
          </w:tcPr>
          <w:p w14:paraId="61358001" w14:textId="2F7D1D28" w:rsidR="00607E30" w:rsidRPr="00F01347" w:rsidRDefault="00607E30" w:rsidP="00607E30">
            <w:pPr>
              <w:pStyle w:val="texto0"/>
              <w:ind w:firstLine="0"/>
              <w:rPr>
                <w:rFonts w:ascii="Verdana" w:hAnsi="Verdana"/>
                <w:b/>
                <w:sz w:val="16"/>
                <w:szCs w:val="16"/>
                <w:lang w:val="en-US"/>
              </w:rPr>
            </w:pPr>
            <w:r w:rsidRPr="00F01347">
              <w:rPr>
                <w:rFonts w:ascii="Verdana" w:hAnsi="Verdana"/>
                <w:b/>
                <w:sz w:val="16"/>
                <w:szCs w:val="16"/>
                <w:lang w:val="en-US"/>
              </w:rPr>
              <w:t>B.1.1.3 Principle</w:t>
            </w:r>
          </w:p>
        </w:tc>
      </w:tr>
      <w:tr w:rsidR="00607E30" w:rsidRPr="00F01347" w14:paraId="05AF36B8" w14:textId="00EF9506" w:rsidTr="00A24AAD">
        <w:tc>
          <w:tcPr>
            <w:tcW w:w="4675" w:type="dxa"/>
          </w:tcPr>
          <w:p w14:paraId="6E4FC7C1" w14:textId="77777777" w:rsidR="00607E30" w:rsidRPr="00F01347" w:rsidRDefault="00607E30" w:rsidP="00607E30">
            <w:pPr>
              <w:pStyle w:val="texto0"/>
              <w:ind w:firstLine="0"/>
              <w:rPr>
                <w:rFonts w:ascii="Verdana" w:hAnsi="Verdana"/>
                <w:sz w:val="16"/>
                <w:szCs w:val="16"/>
              </w:rPr>
            </w:pPr>
            <w:r w:rsidRPr="00F01347">
              <w:rPr>
                <w:rFonts w:ascii="Verdana" w:hAnsi="Verdana"/>
                <w:sz w:val="16"/>
                <w:szCs w:val="16"/>
              </w:rPr>
              <w:t xml:space="preserve">El método descrito es un procedimiento mediante ensayo </w:t>
            </w:r>
            <w:proofErr w:type="spellStart"/>
            <w:r w:rsidRPr="00F01347">
              <w:rPr>
                <w:rFonts w:ascii="Verdana" w:hAnsi="Verdana"/>
                <w:sz w:val="16"/>
                <w:szCs w:val="16"/>
              </w:rPr>
              <w:t>inmunoenzimático</w:t>
            </w:r>
            <w:proofErr w:type="spellEnd"/>
            <w:r w:rsidRPr="00F01347">
              <w:rPr>
                <w:rFonts w:ascii="Verdana" w:hAnsi="Verdana"/>
                <w:sz w:val="16"/>
                <w:szCs w:val="16"/>
              </w:rPr>
              <w:t xml:space="preserve"> (ELISA). Este método se basa en un sistema de placas de </w:t>
            </w:r>
            <w:proofErr w:type="spellStart"/>
            <w:r w:rsidRPr="00F01347">
              <w:rPr>
                <w:rFonts w:ascii="Verdana" w:hAnsi="Verdana"/>
                <w:sz w:val="16"/>
                <w:szCs w:val="16"/>
              </w:rPr>
              <w:t>microtitulación</w:t>
            </w:r>
            <w:proofErr w:type="spellEnd"/>
            <w:r w:rsidRPr="00F01347">
              <w:rPr>
                <w:rFonts w:ascii="Verdana" w:hAnsi="Verdana"/>
                <w:sz w:val="16"/>
                <w:szCs w:val="16"/>
              </w:rPr>
              <w:t xml:space="preserve"> de 96 pozos, en estos pozos,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y </w:t>
            </w:r>
            <w:proofErr w:type="spellStart"/>
            <w:r w:rsidRPr="00F01347">
              <w:rPr>
                <w:rFonts w:ascii="Verdana" w:hAnsi="Verdana"/>
                <w:sz w:val="16"/>
                <w:szCs w:val="16"/>
              </w:rPr>
              <w:t>nodularinas</w:t>
            </w:r>
            <w:proofErr w:type="spellEnd"/>
            <w:r w:rsidRPr="00F01347">
              <w:rPr>
                <w:rFonts w:ascii="Verdana" w:hAnsi="Verdana"/>
                <w:sz w:val="16"/>
                <w:szCs w:val="16"/>
              </w:rPr>
              <w:t xml:space="preserve"> presentes en la muestra y proteína análoga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inmovilizada en los pozos, compiten por los sitios de unión de un anticuerpo de detección primaria en solución.</w:t>
            </w:r>
          </w:p>
        </w:tc>
        <w:tc>
          <w:tcPr>
            <w:tcW w:w="4675" w:type="dxa"/>
          </w:tcPr>
          <w:p w14:paraId="0234B424" w14:textId="558039C7" w:rsidR="00607E30" w:rsidRPr="00F01347" w:rsidRDefault="00607E30" w:rsidP="00607E30">
            <w:pPr>
              <w:pStyle w:val="texto0"/>
              <w:ind w:firstLine="0"/>
              <w:rPr>
                <w:rFonts w:ascii="Verdana" w:hAnsi="Verdana"/>
                <w:sz w:val="16"/>
                <w:szCs w:val="16"/>
                <w:lang w:val="en-US"/>
              </w:rPr>
            </w:pPr>
            <w:r w:rsidRPr="00F01347">
              <w:rPr>
                <w:rFonts w:ascii="Verdana" w:hAnsi="Verdana"/>
                <w:sz w:val="16"/>
                <w:szCs w:val="16"/>
                <w:lang w:val="en-US"/>
              </w:rPr>
              <w:t>The method described is a procedure using enzyme-linked immunosorbent assay (ELISA). This method is based on a 96-well microtiter plate system</w:t>
            </w:r>
            <w:r w:rsidR="003E1BA9" w:rsidRPr="00F01347">
              <w:rPr>
                <w:rFonts w:ascii="Verdana" w:hAnsi="Verdana"/>
                <w:sz w:val="16"/>
                <w:szCs w:val="16"/>
                <w:lang w:val="en-US"/>
              </w:rPr>
              <w:t>,</w:t>
            </w:r>
            <w:r w:rsidRPr="00F01347">
              <w:rPr>
                <w:rFonts w:ascii="Verdana" w:hAnsi="Verdana"/>
                <w:sz w:val="16"/>
                <w:szCs w:val="16"/>
                <w:lang w:val="en-US"/>
              </w:rPr>
              <w:t xml:space="preserve"> in these wells,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and </w:t>
            </w:r>
            <w:proofErr w:type="spellStart"/>
            <w:r w:rsidRPr="00F01347">
              <w:rPr>
                <w:rFonts w:ascii="Verdana" w:hAnsi="Verdana"/>
                <w:sz w:val="16"/>
                <w:szCs w:val="16"/>
                <w:lang w:val="en-US"/>
              </w:rPr>
              <w:t>nodularins</w:t>
            </w:r>
            <w:proofErr w:type="spellEnd"/>
            <w:r w:rsidRPr="00F01347">
              <w:rPr>
                <w:rFonts w:ascii="Verdana" w:hAnsi="Verdana"/>
                <w:sz w:val="16"/>
                <w:szCs w:val="16"/>
                <w:lang w:val="en-US"/>
              </w:rPr>
              <w:t xml:space="preserve"> present in the sample and microcystin analogue protein immobilized in the wells, compete for the binding sites of a primary detection antibody in solution.</w:t>
            </w:r>
          </w:p>
        </w:tc>
      </w:tr>
      <w:tr w:rsidR="00607E30" w:rsidRPr="00F01347" w14:paraId="107C5938" w14:textId="2E4A046D" w:rsidTr="00A24AAD">
        <w:tc>
          <w:tcPr>
            <w:tcW w:w="4675" w:type="dxa"/>
          </w:tcPr>
          <w:p w14:paraId="2DD2F135" w14:textId="77777777" w:rsidR="00607E30" w:rsidRPr="00F01347" w:rsidRDefault="00607E30" w:rsidP="00607E30">
            <w:pPr>
              <w:pStyle w:val="texto0"/>
              <w:ind w:firstLine="0"/>
              <w:rPr>
                <w:rFonts w:ascii="Verdana" w:hAnsi="Verdana"/>
                <w:sz w:val="16"/>
                <w:szCs w:val="16"/>
              </w:rPr>
            </w:pPr>
            <w:r w:rsidRPr="00F01347">
              <w:rPr>
                <w:rFonts w:ascii="Verdana" w:hAnsi="Verdana"/>
                <w:sz w:val="16"/>
                <w:szCs w:val="16"/>
              </w:rPr>
              <w:t xml:space="preserve">Después de una etapa de lavado, se añade un conjugado enzimático a los pozos y se une al anticuerpo primario en una relación inversa con la concentración original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y </w:t>
            </w:r>
            <w:proofErr w:type="spellStart"/>
            <w:r w:rsidRPr="00F01347">
              <w:rPr>
                <w:rFonts w:ascii="Verdana" w:hAnsi="Verdana"/>
                <w:sz w:val="16"/>
                <w:szCs w:val="16"/>
              </w:rPr>
              <w:t>nodularinas</w:t>
            </w:r>
            <w:proofErr w:type="spellEnd"/>
            <w:r w:rsidRPr="00F01347">
              <w:rPr>
                <w:rFonts w:ascii="Verdana" w:hAnsi="Verdana"/>
                <w:sz w:val="16"/>
                <w:szCs w:val="16"/>
              </w:rPr>
              <w:t xml:space="preserve"> en la muestra. Después de un segundo paso de lavado, se añade substrato de </w:t>
            </w:r>
            <w:proofErr w:type="spellStart"/>
            <w:r w:rsidRPr="00F01347">
              <w:rPr>
                <w:rFonts w:ascii="Verdana" w:hAnsi="Verdana"/>
                <w:sz w:val="16"/>
                <w:szCs w:val="16"/>
              </w:rPr>
              <w:t>tetrametilbenzidina</w:t>
            </w:r>
            <w:proofErr w:type="spellEnd"/>
            <w:r w:rsidRPr="00F01347">
              <w:rPr>
                <w:rFonts w:ascii="Verdana" w:hAnsi="Verdana"/>
                <w:sz w:val="16"/>
                <w:szCs w:val="16"/>
              </w:rPr>
              <w:t xml:space="preserve"> para desarrollar color a través de una reacción enzimática.</w:t>
            </w:r>
          </w:p>
        </w:tc>
        <w:tc>
          <w:tcPr>
            <w:tcW w:w="4675" w:type="dxa"/>
          </w:tcPr>
          <w:p w14:paraId="68988E9B" w14:textId="077A4D42" w:rsidR="00607E30" w:rsidRPr="00F01347" w:rsidRDefault="00607E30" w:rsidP="00607E30">
            <w:pPr>
              <w:pStyle w:val="texto0"/>
              <w:ind w:firstLine="0"/>
              <w:rPr>
                <w:rFonts w:ascii="Verdana" w:hAnsi="Verdana"/>
                <w:sz w:val="16"/>
                <w:szCs w:val="16"/>
                <w:lang w:val="en-US"/>
              </w:rPr>
            </w:pPr>
            <w:r w:rsidRPr="00F01347">
              <w:rPr>
                <w:rFonts w:ascii="Verdana" w:hAnsi="Verdana"/>
                <w:sz w:val="16"/>
                <w:szCs w:val="16"/>
                <w:lang w:val="en-US"/>
              </w:rPr>
              <w:t xml:space="preserve">After a washing step, an enzyme conjugate is added to the wells and binds to the primary antibody in an inverse relationship with the original concentration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and </w:t>
            </w:r>
            <w:proofErr w:type="spellStart"/>
            <w:r w:rsidRPr="00F01347">
              <w:rPr>
                <w:rFonts w:ascii="Verdana" w:hAnsi="Verdana"/>
                <w:sz w:val="16"/>
                <w:szCs w:val="16"/>
                <w:lang w:val="en-US"/>
              </w:rPr>
              <w:t>nodularins</w:t>
            </w:r>
            <w:proofErr w:type="spellEnd"/>
            <w:r w:rsidRPr="00F01347">
              <w:rPr>
                <w:rFonts w:ascii="Verdana" w:hAnsi="Verdana"/>
                <w:sz w:val="16"/>
                <w:szCs w:val="16"/>
                <w:lang w:val="en-US"/>
              </w:rPr>
              <w:t xml:space="preserve"> in the sample. After a second washing step, tetramethylbenzidine substrate is added to develop color through an enzymatic reaction.</w:t>
            </w:r>
          </w:p>
        </w:tc>
      </w:tr>
      <w:tr w:rsidR="00607E30" w:rsidRPr="00F01347" w14:paraId="3C87A414" w14:textId="0148D46C" w:rsidTr="00A24AAD">
        <w:tc>
          <w:tcPr>
            <w:tcW w:w="4675" w:type="dxa"/>
          </w:tcPr>
          <w:p w14:paraId="0D778074" w14:textId="77777777" w:rsidR="00607E30" w:rsidRPr="00F01347" w:rsidRDefault="00607E30" w:rsidP="00607E30">
            <w:pPr>
              <w:pStyle w:val="texto0"/>
              <w:ind w:firstLine="0"/>
              <w:rPr>
                <w:rFonts w:ascii="Verdana" w:hAnsi="Verdana"/>
                <w:sz w:val="16"/>
                <w:szCs w:val="16"/>
              </w:rPr>
            </w:pPr>
            <w:r w:rsidRPr="00F01347">
              <w:rPr>
                <w:rFonts w:ascii="Verdana" w:hAnsi="Verdana"/>
                <w:sz w:val="16"/>
                <w:szCs w:val="16"/>
              </w:rPr>
              <w:t xml:space="preserve">Tras un período establecido, se añade una solución ácida a cada pozo para detener la generación de color. Finalmente, la absorbancia de cada pozo se mide utilizando un lector de placas y la concentración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y </w:t>
            </w:r>
            <w:proofErr w:type="spellStart"/>
            <w:r w:rsidRPr="00F01347">
              <w:rPr>
                <w:rFonts w:ascii="Verdana" w:hAnsi="Verdana"/>
                <w:sz w:val="16"/>
                <w:szCs w:val="16"/>
              </w:rPr>
              <w:t>nodularinas</w:t>
            </w:r>
            <w:proofErr w:type="spellEnd"/>
            <w:r w:rsidRPr="00F01347">
              <w:rPr>
                <w:rFonts w:ascii="Verdana" w:hAnsi="Verdana"/>
                <w:sz w:val="16"/>
                <w:szCs w:val="16"/>
              </w:rPr>
              <w:t xml:space="preserve"> se calcula utilizando una curva de calibración logística de cuatro parámetros.</w:t>
            </w:r>
          </w:p>
        </w:tc>
        <w:tc>
          <w:tcPr>
            <w:tcW w:w="4675" w:type="dxa"/>
          </w:tcPr>
          <w:p w14:paraId="6209EC8E" w14:textId="79F2855C" w:rsidR="00607E30" w:rsidRPr="00F01347" w:rsidRDefault="00607E30" w:rsidP="00607E30">
            <w:pPr>
              <w:pStyle w:val="texto0"/>
              <w:ind w:firstLine="0"/>
              <w:rPr>
                <w:rFonts w:ascii="Verdana" w:hAnsi="Verdana"/>
                <w:sz w:val="16"/>
                <w:szCs w:val="16"/>
                <w:lang w:val="en-US"/>
              </w:rPr>
            </w:pPr>
            <w:r w:rsidRPr="00F01347">
              <w:rPr>
                <w:rFonts w:ascii="Verdana" w:hAnsi="Verdana"/>
                <w:sz w:val="16"/>
                <w:szCs w:val="16"/>
                <w:lang w:val="en-US"/>
              </w:rPr>
              <w:t xml:space="preserve">After a set period, an acid solution is added to each well to stop color generation. Finally, the absorbance of each well is measured using a plate reader and the concentration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and </w:t>
            </w:r>
            <w:proofErr w:type="spellStart"/>
            <w:r w:rsidRPr="00F01347">
              <w:rPr>
                <w:rFonts w:ascii="Verdana" w:hAnsi="Verdana"/>
                <w:sz w:val="16"/>
                <w:szCs w:val="16"/>
                <w:lang w:val="en-US"/>
              </w:rPr>
              <w:t>nodularins</w:t>
            </w:r>
            <w:proofErr w:type="spellEnd"/>
            <w:r w:rsidRPr="00F01347">
              <w:rPr>
                <w:rFonts w:ascii="Verdana" w:hAnsi="Verdana"/>
                <w:sz w:val="16"/>
                <w:szCs w:val="16"/>
                <w:lang w:val="en-US"/>
              </w:rPr>
              <w:t xml:space="preserve"> is calculated using a four-parameter logistic calibration curve.</w:t>
            </w:r>
          </w:p>
        </w:tc>
      </w:tr>
      <w:tr w:rsidR="00607E30" w:rsidRPr="00F01347" w14:paraId="4FB680D3" w14:textId="2F97292F" w:rsidTr="00A24AAD">
        <w:tc>
          <w:tcPr>
            <w:tcW w:w="4675" w:type="dxa"/>
          </w:tcPr>
          <w:p w14:paraId="3AAE671C" w14:textId="77777777" w:rsidR="00607E30" w:rsidRPr="00F01347" w:rsidRDefault="00607E30" w:rsidP="00607E30">
            <w:pPr>
              <w:pStyle w:val="texto0"/>
              <w:ind w:firstLine="0"/>
              <w:rPr>
                <w:rFonts w:ascii="Verdana" w:hAnsi="Verdana"/>
                <w:b/>
                <w:sz w:val="16"/>
                <w:szCs w:val="16"/>
              </w:rPr>
            </w:pPr>
            <w:r w:rsidRPr="00F01347">
              <w:rPr>
                <w:rFonts w:ascii="Verdana" w:hAnsi="Verdana"/>
                <w:b/>
                <w:sz w:val="16"/>
                <w:szCs w:val="16"/>
              </w:rPr>
              <w:t>B.1.1.4 Alcance y aplicación</w:t>
            </w:r>
          </w:p>
        </w:tc>
        <w:tc>
          <w:tcPr>
            <w:tcW w:w="4675" w:type="dxa"/>
          </w:tcPr>
          <w:p w14:paraId="5513CB56" w14:textId="67F316F3" w:rsidR="00607E30" w:rsidRPr="00F01347" w:rsidRDefault="00607E30" w:rsidP="00607E30">
            <w:pPr>
              <w:pStyle w:val="texto0"/>
              <w:ind w:firstLine="0"/>
              <w:rPr>
                <w:rFonts w:ascii="Verdana" w:hAnsi="Verdana"/>
                <w:b/>
                <w:sz w:val="16"/>
                <w:szCs w:val="16"/>
                <w:lang w:val="en-US"/>
              </w:rPr>
            </w:pPr>
            <w:r w:rsidRPr="00F01347">
              <w:rPr>
                <w:rFonts w:ascii="Verdana" w:hAnsi="Verdana"/>
                <w:b/>
                <w:sz w:val="16"/>
                <w:szCs w:val="16"/>
                <w:lang w:val="en-US"/>
              </w:rPr>
              <w:t>B.1.1.4 Scope and application</w:t>
            </w:r>
          </w:p>
        </w:tc>
      </w:tr>
      <w:tr w:rsidR="00607E30" w:rsidRPr="00F01347" w14:paraId="6A3A64E7" w14:textId="17D6F107" w:rsidTr="00A24AAD">
        <w:tc>
          <w:tcPr>
            <w:tcW w:w="4675" w:type="dxa"/>
          </w:tcPr>
          <w:p w14:paraId="27790ED2" w14:textId="77777777" w:rsidR="00607E30" w:rsidRPr="00F01347" w:rsidRDefault="00607E30" w:rsidP="00607E30">
            <w:pPr>
              <w:pStyle w:val="texto0"/>
              <w:ind w:firstLine="0"/>
              <w:rPr>
                <w:rFonts w:ascii="Verdana" w:hAnsi="Verdana"/>
                <w:sz w:val="16"/>
                <w:szCs w:val="16"/>
              </w:rPr>
            </w:pPr>
            <w:r w:rsidRPr="00F01347">
              <w:rPr>
                <w:rFonts w:ascii="Verdana" w:hAnsi="Verdana"/>
                <w:sz w:val="16"/>
                <w:szCs w:val="16"/>
              </w:rPr>
              <w:t xml:space="preserve">El método descrito es un procedimiento para la determinación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(MC) y </w:t>
            </w:r>
            <w:proofErr w:type="spellStart"/>
            <w:r w:rsidRPr="00F01347">
              <w:rPr>
                <w:rFonts w:ascii="Verdana" w:hAnsi="Verdana"/>
                <w:sz w:val="16"/>
                <w:szCs w:val="16"/>
              </w:rPr>
              <w:t>nodularinas</w:t>
            </w:r>
            <w:proofErr w:type="spellEnd"/>
            <w:r w:rsidRPr="00F01347">
              <w:rPr>
                <w:rFonts w:ascii="Verdana" w:hAnsi="Verdana"/>
                <w:sz w:val="16"/>
                <w:szCs w:val="16"/>
              </w:rPr>
              <w:t xml:space="preserve"> (NOD) "totales" en agua de uso y consumo humano (antes y después del tratamiento). El término "</w:t>
            </w:r>
            <w:proofErr w:type="spellStart"/>
            <w:r w:rsidRPr="00F01347">
              <w:rPr>
                <w:rFonts w:ascii="Verdana" w:hAnsi="Verdana"/>
                <w:sz w:val="16"/>
                <w:szCs w:val="16"/>
              </w:rPr>
              <w:t>microcistinas</w:t>
            </w:r>
            <w:proofErr w:type="spellEnd"/>
            <w:r w:rsidRPr="00F01347">
              <w:rPr>
                <w:rFonts w:ascii="Verdana" w:hAnsi="Verdana"/>
                <w:sz w:val="16"/>
                <w:szCs w:val="16"/>
              </w:rPr>
              <w:t xml:space="preserve"> y </w:t>
            </w:r>
            <w:proofErr w:type="spellStart"/>
            <w:r w:rsidRPr="00F01347">
              <w:rPr>
                <w:rFonts w:ascii="Verdana" w:hAnsi="Verdana"/>
                <w:sz w:val="16"/>
                <w:szCs w:val="16"/>
              </w:rPr>
              <w:t>nodularinas</w:t>
            </w:r>
            <w:proofErr w:type="spellEnd"/>
            <w:r w:rsidRPr="00F01347">
              <w:rPr>
                <w:rFonts w:ascii="Verdana" w:hAnsi="Verdana"/>
                <w:sz w:val="16"/>
                <w:szCs w:val="16"/>
              </w:rPr>
              <w:t xml:space="preserve"> totales" se define como la suma de todos los congéneres independientes, tanto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intracelulares y extracelulares, como de </w:t>
            </w:r>
            <w:proofErr w:type="spellStart"/>
            <w:r w:rsidRPr="00F01347">
              <w:rPr>
                <w:rFonts w:ascii="Verdana" w:hAnsi="Verdana"/>
                <w:sz w:val="16"/>
                <w:szCs w:val="16"/>
              </w:rPr>
              <w:t>nodularinas</w:t>
            </w:r>
            <w:proofErr w:type="spellEnd"/>
            <w:r w:rsidRPr="00F01347">
              <w:rPr>
                <w:rFonts w:ascii="Verdana" w:hAnsi="Verdana"/>
                <w:sz w:val="16"/>
                <w:szCs w:val="16"/>
              </w:rPr>
              <w:t xml:space="preserve"> que es medible en una muestra. Este método determina la concentración total basada en la detección de una característica común a los congéneres (variantes estructurales)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y </w:t>
            </w:r>
            <w:proofErr w:type="spellStart"/>
            <w:r w:rsidRPr="00F01347">
              <w:rPr>
                <w:rFonts w:ascii="Verdana" w:hAnsi="Verdana"/>
                <w:sz w:val="16"/>
                <w:szCs w:val="16"/>
              </w:rPr>
              <w:t>nodularina</w:t>
            </w:r>
            <w:proofErr w:type="spellEnd"/>
            <w:r w:rsidRPr="00F01347">
              <w:rPr>
                <w:rFonts w:ascii="Verdana" w:hAnsi="Verdana"/>
                <w:sz w:val="16"/>
                <w:szCs w:val="16"/>
              </w:rPr>
              <w:t xml:space="preserve">, específicamente la cadena lateral de aminoácidos </w:t>
            </w:r>
            <w:proofErr w:type="spellStart"/>
            <w:r w:rsidRPr="00F01347">
              <w:rPr>
                <w:rFonts w:ascii="Verdana" w:hAnsi="Verdana"/>
                <w:sz w:val="16"/>
                <w:szCs w:val="16"/>
              </w:rPr>
              <w:t>Adda</w:t>
            </w:r>
            <w:proofErr w:type="spellEnd"/>
            <w:r w:rsidRPr="00F01347">
              <w:rPr>
                <w:rFonts w:ascii="Verdana" w:hAnsi="Verdana"/>
                <w:sz w:val="16"/>
                <w:szCs w:val="16"/>
              </w:rPr>
              <w:t xml:space="preserve">: Ácido (4E, 6E)-3-amino-9-metoxi-2,6,8-trimetil-10-fenildeca-4,6-dienoico (Fischer et al., 2001). Con la finalidad de asegurar la comparabilidad entre los laboratorios, el ELISA se calibra contra el congénere </w:t>
            </w:r>
            <w:proofErr w:type="spellStart"/>
            <w:r w:rsidRPr="00F01347">
              <w:rPr>
                <w:rFonts w:ascii="Verdana" w:hAnsi="Verdana"/>
                <w:sz w:val="16"/>
                <w:szCs w:val="16"/>
              </w:rPr>
              <w:t>Microcistina</w:t>
            </w:r>
            <w:proofErr w:type="spellEnd"/>
            <w:r w:rsidRPr="00F01347">
              <w:rPr>
                <w:rFonts w:ascii="Verdana" w:hAnsi="Verdana"/>
                <w:sz w:val="16"/>
                <w:szCs w:val="16"/>
              </w:rPr>
              <w:t>-LR (MC-LR) (CASRN 101043-37-2).</w:t>
            </w:r>
          </w:p>
        </w:tc>
        <w:tc>
          <w:tcPr>
            <w:tcW w:w="4675" w:type="dxa"/>
          </w:tcPr>
          <w:p w14:paraId="2BE948C0" w14:textId="3B79AD38" w:rsidR="00607E30" w:rsidRPr="00F01347" w:rsidRDefault="00607E30" w:rsidP="00607E30">
            <w:pPr>
              <w:pStyle w:val="texto0"/>
              <w:ind w:firstLine="0"/>
              <w:rPr>
                <w:rFonts w:ascii="Verdana" w:hAnsi="Verdana"/>
                <w:sz w:val="16"/>
                <w:szCs w:val="16"/>
                <w:lang w:val="en-US"/>
              </w:rPr>
            </w:pPr>
            <w:r w:rsidRPr="00F01347">
              <w:rPr>
                <w:rFonts w:ascii="Verdana" w:hAnsi="Verdana"/>
                <w:sz w:val="16"/>
                <w:szCs w:val="16"/>
                <w:lang w:val="en-US"/>
              </w:rPr>
              <w:t xml:space="preserve">The method described is a procedure for the determination of "total"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(MC) and </w:t>
            </w:r>
            <w:proofErr w:type="spellStart"/>
            <w:r w:rsidRPr="00F01347">
              <w:rPr>
                <w:rFonts w:ascii="Verdana" w:hAnsi="Verdana"/>
                <w:sz w:val="16"/>
                <w:szCs w:val="16"/>
                <w:lang w:val="en-US"/>
              </w:rPr>
              <w:t>nodularins</w:t>
            </w:r>
            <w:proofErr w:type="spellEnd"/>
            <w:r w:rsidRPr="00F01347">
              <w:rPr>
                <w:rFonts w:ascii="Verdana" w:hAnsi="Verdana"/>
                <w:sz w:val="16"/>
                <w:szCs w:val="16"/>
                <w:lang w:val="en-US"/>
              </w:rPr>
              <w:t xml:space="preserve"> (NOD) in water for human use and consumption (before and after treatment). The term "total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and </w:t>
            </w:r>
            <w:proofErr w:type="spellStart"/>
            <w:r w:rsidRPr="00F01347">
              <w:rPr>
                <w:rFonts w:ascii="Verdana" w:hAnsi="Verdana"/>
                <w:sz w:val="16"/>
                <w:szCs w:val="16"/>
                <w:lang w:val="en-US"/>
              </w:rPr>
              <w:t>nodularins</w:t>
            </w:r>
            <w:proofErr w:type="spellEnd"/>
            <w:r w:rsidRPr="00F01347">
              <w:rPr>
                <w:rFonts w:ascii="Verdana" w:hAnsi="Verdana"/>
                <w:sz w:val="16"/>
                <w:szCs w:val="16"/>
                <w:lang w:val="en-US"/>
              </w:rPr>
              <w:t xml:space="preserve">" is defined as the sum of all independent congeners, both intracellular and extracellular </w:t>
            </w:r>
            <w:proofErr w:type="spellStart"/>
            <w:r w:rsidRPr="00F01347">
              <w:rPr>
                <w:rFonts w:ascii="Verdana" w:hAnsi="Verdana"/>
                <w:sz w:val="16"/>
                <w:szCs w:val="16"/>
                <w:lang w:val="en-US"/>
              </w:rPr>
              <w:t>microcystins</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and </w:t>
            </w:r>
            <w:proofErr w:type="spellStart"/>
            <w:r w:rsidRPr="00F01347">
              <w:rPr>
                <w:rFonts w:ascii="Verdana" w:hAnsi="Verdana"/>
                <w:sz w:val="16"/>
                <w:szCs w:val="16"/>
                <w:lang w:val="en-US"/>
              </w:rPr>
              <w:t>nodularins</w:t>
            </w:r>
            <w:proofErr w:type="spellEnd"/>
            <w:r w:rsidRPr="00F01347">
              <w:rPr>
                <w:rFonts w:ascii="Verdana" w:hAnsi="Verdana"/>
                <w:sz w:val="16"/>
                <w:szCs w:val="16"/>
                <w:lang w:val="en-US"/>
              </w:rPr>
              <w:t xml:space="preserve"> that is measurable in a sample. This method determines the total concentration based on the detection of a characteristic common to congeners (structural variants) of microcystin and nodularin</w:t>
            </w:r>
            <w:r w:rsidR="003E1BA9" w:rsidRPr="00F01347">
              <w:rPr>
                <w:rFonts w:ascii="Verdana" w:hAnsi="Verdana"/>
                <w:sz w:val="16"/>
                <w:szCs w:val="16"/>
                <w:lang w:val="en-US"/>
              </w:rPr>
              <w:t>,</w:t>
            </w:r>
            <w:r w:rsidRPr="00F01347">
              <w:rPr>
                <w:rFonts w:ascii="Verdana" w:hAnsi="Verdana"/>
                <w:sz w:val="16"/>
                <w:szCs w:val="16"/>
                <w:lang w:val="en-US"/>
              </w:rPr>
              <w:t xml:space="preserve"> specifically the Adda amino acid side chain: (4E, 6E)-3-amino-9-methoxy-2 acid</w:t>
            </w:r>
            <w:r w:rsidR="003E1BA9" w:rsidRPr="00F01347">
              <w:rPr>
                <w:rFonts w:ascii="Verdana" w:hAnsi="Verdana"/>
                <w:sz w:val="16"/>
                <w:szCs w:val="16"/>
                <w:lang w:val="en-US"/>
              </w:rPr>
              <w:t>,</w:t>
            </w:r>
            <w:r w:rsidRPr="00F01347">
              <w:rPr>
                <w:rFonts w:ascii="Verdana" w:hAnsi="Verdana"/>
                <w:sz w:val="16"/>
                <w:szCs w:val="16"/>
                <w:lang w:val="en-US"/>
              </w:rPr>
              <w:t xml:space="preserve">6,8-trimethyl-10-phenyldeca-4,6-dienoic acid (Fischer et al., 2001). </w:t>
            </w: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ensure comparability between laboratories, the ELISA is calibrated against the congener Microcystin -LR (MC-LR) (CASRN 101043-37-2).</w:t>
            </w:r>
          </w:p>
        </w:tc>
      </w:tr>
      <w:tr w:rsidR="00607E30" w:rsidRPr="00F01347" w14:paraId="2C5BE27D" w14:textId="7108C923" w:rsidTr="00A24AAD">
        <w:tc>
          <w:tcPr>
            <w:tcW w:w="4675" w:type="dxa"/>
          </w:tcPr>
          <w:p w14:paraId="5D3DF138" w14:textId="77777777" w:rsidR="00607E30" w:rsidRPr="00F01347" w:rsidRDefault="00607E30" w:rsidP="00607E30">
            <w:pPr>
              <w:pStyle w:val="texto0"/>
              <w:ind w:firstLine="0"/>
              <w:rPr>
                <w:rFonts w:ascii="Verdana" w:hAnsi="Verdana"/>
                <w:b/>
                <w:sz w:val="16"/>
                <w:szCs w:val="16"/>
              </w:rPr>
            </w:pPr>
            <w:r w:rsidRPr="00F01347">
              <w:rPr>
                <w:rFonts w:ascii="Verdana" w:hAnsi="Verdana"/>
                <w:b/>
                <w:sz w:val="16"/>
                <w:szCs w:val="16"/>
              </w:rPr>
              <w:t>B.1.1.5 Equipos y materiales</w:t>
            </w:r>
          </w:p>
        </w:tc>
        <w:tc>
          <w:tcPr>
            <w:tcW w:w="4675" w:type="dxa"/>
          </w:tcPr>
          <w:p w14:paraId="79193EBE" w14:textId="50480F99" w:rsidR="00607E30" w:rsidRPr="00F01347" w:rsidRDefault="00607E30" w:rsidP="00607E30">
            <w:pPr>
              <w:pStyle w:val="texto0"/>
              <w:ind w:firstLine="0"/>
              <w:rPr>
                <w:rFonts w:ascii="Verdana" w:hAnsi="Verdana"/>
                <w:b/>
                <w:sz w:val="16"/>
                <w:szCs w:val="16"/>
                <w:lang w:val="en-US"/>
              </w:rPr>
            </w:pPr>
            <w:r w:rsidRPr="00F01347">
              <w:rPr>
                <w:rFonts w:ascii="Verdana" w:hAnsi="Verdana"/>
                <w:b/>
                <w:sz w:val="16"/>
                <w:szCs w:val="16"/>
                <w:lang w:val="en-US"/>
              </w:rPr>
              <w:t>B.1.1.5 Equipment and materials</w:t>
            </w:r>
          </w:p>
        </w:tc>
      </w:tr>
      <w:tr w:rsidR="00607E30" w:rsidRPr="00F01347" w14:paraId="69846BC5" w14:textId="686A3CD9" w:rsidTr="00A24AAD">
        <w:tc>
          <w:tcPr>
            <w:tcW w:w="4675" w:type="dxa"/>
          </w:tcPr>
          <w:p w14:paraId="5C0C9386" w14:textId="77777777" w:rsidR="00607E30" w:rsidRPr="00F01347" w:rsidRDefault="00607E30" w:rsidP="00607E30">
            <w:pPr>
              <w:pStyle w:val="texto0"/>
              <w:ind w:firstLine="0"/>
              <w:rPr>
                <w:rFonts w:ascii="Verdana" w:hAnsi="Verdana"/>
                <w:sz w:val="16"/>
                <w:szCs w:val="16"/>
              </w:rPr>
            </w:pPr>
            <w:r w:rsidRPr="00F01347">
              <w:rPr>
                <w:rFonts w:ascii="Verdana" w:hAnsi="Verdana"/>
                <w:sz w:val="16"/>
                <w:szCs w:val="16"/>
              </w:rPr>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Pr>
          <w:p w14:paraId="4EAD4C63" w14:textId="778B3AB8" w:rsidR="00607E30" w:rsidRPr="00F01347" w:rsidRDefault="00607E30" w:rsidP="00607E30">
            <w:pPr>
              <w:pStyle w:val="texto0"/>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607E30" w:rsidRPr="00F01347" w14:paraId="38CABCD4" w14:textId="30CE6C35" w:rsidTr="00A24AAD">
        <w:tc>
          <w:tcPr>
            <w:tcW w:w="4675" w:type="dxa"/>
          </w:tcPr>
          <w:p w14:paraId="18275A95" w14:textId="77777777" w:rsidR="00607E30" w:rsidRPr="00F01347" w:rsidRDefault="00607E30" w:rsidP="00607E30">
            <w:pPr>
              <w:pStyle w:val="texto0"/>
              <w:ind w:firstLine="0"/>
              <w:rPr>
                <w:rFonts w:ascii="Verdana" w:hAnsi="Verdana"/>
                <w:sz w:val="16"/>
                <w:szCs w:val="16"/>
              </w:rPr>
            </w:pPr>
            <w:r w:rsidRPr="00F01347">
              <w:rPr>
                <w:rFonts w:ascii="Verdana" w:hAnsi="Verdana"/>
                <w:b/>
                <w:sz w:val="16"/>
                <w:szCs w:val="16"/>
              </w:rPr>
              <w:lastRenderedPageBreak/>
              <w:t>Contenedores de muestras.</w:t>
            </w:r>
            <w:r w:rsidRPr="00F01347">
              <w:rPr>
                <w:rFonts w:ascii="Verdana" w:hAnsi="Verdana"/>
                <w:sz w:val="16"/>
                <w:szCs w:val="16"/>
              </w:rPr>
              <w:t xml:space="preserve"> Botellas de vidrio ámbar con tapas con rosca de politetrafluoroetileno (PTFE). Se recomienda el uso de contenedores de muestras. Si se reutilizan contenedores de muestra deben de llevarse a cabo buenas prácticas de laboratorio para la limpieza. No deben utilizarse botellas tratadas a alta temperatura en un horno de mufla (400 °C y superiores) como procedimiento de limpieza. Los estudios existentes indican una tendencia a que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y las </w:t>
            </w:r>
            <w:proofErr w:type="spellStart"/>
            <w:r w:rsidRPr="00F01347">
              <w:rPr>
                <w:rFonts w:ascii="Verdana" w:hAnsi="Verdana"/>
                <w:sz w:val="16"/>
                <w:szCs w:val="16"/>
              </w:rPr>
              <w:t>nodularinas</w:t>
            </w:r>
            <w:proofErr w:type="spellEnd"/>
            <w:r w:rsidRPr="00F01347">
              <w:rPr>
                <w:rFonts w:ascii="Verdana" w:hAnsi="Verdana"/>
                <w:sz w:val="16"/>
                <w:szCs w:val="16"/>
              </w:rPr>
              <w:t xml:space="preserve"> se adsorben en la superficie de la cristalería limpiada repetidamente por calentamiento en un horno de mufla.</w:t>
            </w:r>
          </w:p>
        </w:tc>
        <w:tc>
          <w:tcPr>
            <w:tcW w:w="4675" w:type="dxa"/>
          </w:tcPr>
          <w:p w14:paraId="7A19ED50" w14:textId="33589264" w:rsidR="00607E30" w:rsidRPr="00F01347" w:rsidRDefault="00607E30" w:rsidP="00607E30">
            <w:pPr>
              <w:pStyle w:val="texto0"/>
              <w:ind w:firstLine="0"/>
              <w:rPr>
                <w:rFonts w:ascii="Verdana" w:hAnsi="Verdana"/>
                <w:b/>
                <w:sz w:val="16"/>
                <w:szCs w:val="16"/>
                <w:lang w:val="en-US"/>
              </w:rPr>
            </w:pPr>
            <w:r w:rsidRPr="00F01347">
              <w:rPr>
                <w:rFonts w:ascii="Verdana" w:hAnsi="Verdana"/>
                <w:b/>
                <w:sz w:val="16"/>
                <w:szCs w:val="16"/>
                <w:lang w:val="en-US"/>
              </w:rPr>
              <w:t xml:space="preserve">Sample containers. </w:t>
            </w:r>
            <w:r w:rsidRPr="00F01347">
              <w:rPr>
                <w:rFonts w:ascii="Verdana" w:hAnsi="Verdana"/>
                <w:sz w:val="16"/>
                <w:szCs w:val="16"/>
                <w:lang w:val="en-US"/>
              </w:rPr>
              <w:t xml:space="preserve">Amber glass bottles with polytetrafluoroethylene (PTFE) screw caps. The use of sample containers is recommended. If sample containers are reused, good laboratory practices for cleaning should be followed. Bottles treated at high temperature in a muffle furnace (400°C and above) should not be used as a cleaning procedure. Existing studies indicate a tendency for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and </w:t>
            </w:r>
            <w:proofErr w:type="spellStart"/>
            <w:r w:rsidRPr="00F01347">
              <w:rPr>
                <w:rFonts w:ascii="Verdana" w:hAnsi="Verdana"/>
                <w:sz w:val="16"/>
                <w:szCs w:val="16"/>
                <w:lang w:val="en-US"/>
              </w:rPr>
              <w:t>nodularins</w:t>
            </w:r>
            <w:proofErr w:type="spellEnd"/>
            <w:r w:rsidRPr="00F01347">
              <w:rPr>
                <w:rFonts w:ascii="Verdana" w:hAnsi="Verdana"/>
                <w:sz w:val="16"/>
                <w:szCs w:val="16"/>
                <w:lang w:val="en-US"/>
              </w:rPr>
              <w:t xml:space="preserve"> to adsorb on the surface of glassware repeatedly cleaned by heating in a muffle furnace.</w:t>
            </w:r>
          </w:p>
        </w:tc>
      </w:tr>
      <w:tr w:rsidR="00607E30" w:rsidRPr="00F01347" w14:paraId="1F807FE0" w14:textId="187C1910" w:rsidTr="00A24AAD">
        <w:tc>
          <w:tcPr>
            <w:tcW w:w="4675" w:type="dxa"/>
          </w:tcPr>
          <w:p w14:paraId="54BADB6B" w14:textId="77777777" w:rsidR="00607E30" w:rsidRPr="00F01347" w:rsidRDefault="00607E30" w:rsidP="00607E30">
            <w:pPr>
              <w:pStyle w:val="texto0"/>
              <w:ind w:firstLine="0"/>
              <w:rPr>
                <w:rFonts w:ascii="Verdana" w:hAnsi="Verdana"/>
                <w:sz w:val="16"/>
                <w:szCs w:val="16"/>
              </w:rPr>
            </w:pPr>
            <w:r w:rsidRPr="00F01347">
              <w:rPr>
                <w:rFonts w:ascii="Verdana" w:hAnsi="Verdana"/>
                <w:b/>
                <w:sz w:val="16"/>
                <w:szCs w:val="16"/>
              </w:rPr>
              <w:t>Cubiertas de placas adhesivas.</w:t>
            </w:r>
            <w:r w:rsidRPr="00F01347">
              <w:rPr>
                <w:rFonts w:ascii="Verdana" w:hAnsi="Verdana"/>
                <w:sz w:val="16"/>
                <w:szCs w:val="16"/>
              </w:rPr>
              <w:t xml:space="preserve"> Película adhesiva transparente para sellar los pozos durante las etapas de incubación del ensayo (VWR no. 60941-120).</w:t>
            </w:r>
          </w:p>
        </w:tc>
        <w:tc>
          <w:tcPr>
            <w:tcW w:w="4675" w:type="dxa"/>
          </w:tcPr>
          <w:p w14:paraId="6BDA2E49" w14:textId="67F4CF62" w:rsidR="00607E30" w:rsidRPr="00F01347" w:rsidRDefault="00607E30" w:rsidP="00607E30">
            <w:pPr>
              <w:pStyle w:val="texto0"/>
              <w:ind w:firstLine="0"/>
              <w:rPr>
                <w:rFonts w:ascii="Verdana" w:hAnsi="Verdana"/>
                <w:b/>
                <w:sz w:val="16"/>
                <w:szCs w:val="16"/>
                <w:lang w:val="en-US"/>
              </w:rPr>
            </w:pPr>
            <w:r w:rsidRPr="00F01347">
              <w:rPr>
                <w:rFonts w:ascii="Verdana" w:hAnsi="Verdana"/>
                <w:b/>
                <w:sz w:val="16"/>
                <w:szCs w:val="16"/>
                <w:lang w:val="en-US"/>
              </w:rPr>
              <w:t xml:space="preserve">Adhesive plate covers. </w:t>
            </w:r>
            <w:r w:rsidRPr="00F01347">
              <w:rPr>
                <w:rFonts w:ascii="Verdana" w:hAnsi="Verdana"/>
                <w:sz w:val="16"/>
                <w:szCs w:val="16"/>
                <w:lang w:val="en-US"/>
              </w:rPr>
              <w:t>Transparent adhesive film to seal the wells during the incubation stages of the assay (VWR no. 60941-120).</w:t>
            </w:r>
          </w:p>
        </w:tc>
      </w:tr>
      <w:tr w:rsidR="00607E30" w:rsidRPr="00F01347" w14:paraId="3467601C" w14:textId="049DB2CA" w:rsidTr="00A24AAD">
        <w:tc>
          <w:tcPr>
            <w:tcW w:w="4675" w:type="dxa"/>
          </w:tcPr>
          <w:p w14:paraId="1FB66C59" w14:textId="77777777" w:rsidR="00607E30" w:rsidRPr="00F01347" w:rsidRDefault="00607E30" w:rsidP="00607E30">
            <w:pPr>
              <w:pStyle w:val="texto0"/>
              <w:ind w:firstLine="0"/>
              <w:rPr>
                <w:rFonts w:ascii="Verdana" w:hAnsi="Verdana"/>
                <w:sz w:val="16"/>
                <w:szCs w:val="16"/>
              </w:rPr>
            </w:pPr>
            <w:r w:rsidRPr="00F01347">
              <w:rPr>
                <w:rFonts w:ascii="Verdana" w:hAnsi="Verdana"/>
                <w:b/>
                <w:sz w:val="16"/>
                <w:szCs w:val="16"/>
              </w:rPr>
              <w:t>Filtros de jeringa para filtrado de muestras después de la lisis</w:t>
            </w:r>
            <w:r w:rsidRPr="00F01347">
              <w:rPr>
                <w:rFonts w:ascii="Verdana" w:hAnsi="Verdana"/>
                <w:sz w:val="16"/>
                <w:szCs w:val="16"/>
              </w:rPr>
              <w:t>. Pueden utilizarse filtros de fibra de vidrio de 25mm, con un tamaño de poro de 1.2µm y carcasa de polipropileno (</w:t>
            </w:r>
            <w:proofErr w:type="spellStart"/>
            <w:r w:rsidRPr="00F01347">
              <w:rPr>
                <w:rFonts w:ascii="Verdana" w:hAnsi="Verdana"/>
                <w:sz w:val="16"/>
                <w:szCs w:val="16"/>
              </w:rPr>
              <w:t>Environmental</w:t>
            </w:r>
            <w:proofErr w:type="spellEnd"/>
            <w:r w:rsidRPr="00F01347">
              <w:rPr>
                <w:rFonts w:ascii="Verdana" w:hAnsi="Verdana"/>
                <w:sz w:val="16"/>
                <w:szCs w:val="16"/>
              </w:rPr>
              <w:t xml:space="preserve"> Express no. SF012G) o filtros de fibra de vidrio de 25 mm, con un tamaño de poro de 0.45µm y carcasa de polipropileno (GE </w:t>
            </w:r>
            <w:proofErr w:type="spellStart"/>
            <w:r w:rsidRPr="00F01347">
              <w:rPr>
                <w:rFonts w:ascii="Verdana" w:hAnsi="Verdana"/>
                <w:sz w:val="16"/>
                <w:szCs w:val="16"/>
              </w:rPr>
              <w:t>Healthcare</w:t>
            </w:r>
            <w:proofErr w:type="spellEnd"/>
            <w:r w:rsidRPr="00F01347">
              <w:rPr>
                <w:rFonts w:ascii="Verdana" w:hAnsi="Verdana"/>
                <w:sz w:val="16"/>
                <w:szCs w:val="16"/>
              </w:rPr>
              <w:t xml:space="preserve"> </w:t>
            </w:r>
            <w:proofErr w:type="spellStart"/>
            <w:r w:rsidRPr="00F01347">
              <w:rPr>
                <w:rFonts w:ascii="Verdana" w:hAnsi="Verdana"/>
                <w:sz w:val="16"/>
                <w:szCs w:val="16"/>
              </w:rPr>
              <w:t>Life</w:t>
            </w:r>
            <w:proofErr w:type="spellEnd"/>
            <w:r w:rsidRPr="00F01347">
              <w:rPr>
                <w:rFonts w:ascii="Verdana" w:hAnsi="Verdana"/>
                <w:sz w:val="16"/>
                <w:szCs w:val="16"/>
              </w:rPr>
              <w:t xml:space="preserve"> </w:t>
            </w:r>
            <w:proofErr w:type="spellStart"/>
            <w:r w:rsidRPr="00F01347">
              <w:rPr>
                <w:rFonts w:ascii="Verdana" w:hAnsi="Verdana"/>
                <w:sz w:val="16"/>
                <w:szCs w:val="16"/>
              </w:rPr>
              <w:t>Sciences</w:t>
            </w:r>
            <w:proofErr w:type="spellEnd"/>
            <w:r w:rsidRPr="00F01347">
              <w:rPr>
                <w:rFonts w:ascii="Verdana" w:hAnsi="Verdana"/>
                <w:sz w:val="16"/>
                <w:szCs w:val="16"/>
              </w:rPr>
              <w:t>/Whatman no. 6894-2504).</w:t>
            </w:r>
          </w:p>
        </w:tc>
        <w:tc>
          <w:tcPr>
            <w:tcW w:w="4675" w:type="dxa"/>
          </w:tcPr>
          <w:p w14:paraId="30E0B2E5" w14:textId="518DA5D8" w:rsidR="00607E30" w:rsidRPr="00F01347" w:rsidRDefault="00607E30" w:rsidP="00607E30">
            <w:pPr>
              <w:pStyle w:val="texto0"/>
              <w:ind w:firstLine="0"/>
              <w:rPr>
                <w:rFonts w:ascii="Verdana" w:hAnsi="Verdana"/>
                <w:b/>
                <w:sz w:val="16"/>
                <w:szCs w:val="16"/>
                <w:lang w:val="en-US"/>
              </w:rPr>
            </w:pPr>
            <w:r w:rsidRPr="00F01347">
              <w:rPr>
                <w:rFonts w:ascii="Verdana" w:hAnsi="Verdana"/>
                <w:b/>
                <w:sz w:val="16"/>
                <w:szCs w:val="16"/>
                <w:lang w:val="en-US"/>
              </w:rPr>
              <w:t>Syringe filters for sample filtration after lysis</w:t>
            </w:r>
            <w:r w:rsidR="003E1BA9" w:rsidRPr="00F01347">
              <w:rPr>
                <w:rFonts w:ascii="Verdana" w:hAnsi="Verdana"/>
                <w:b/>
                <w:sz w:val="16"/>
                <w:szCs w:val="16"/>
                <w:lang w:val="en-US"/>
              </w:rPr>
              <w:t>.</w:t>
            </w:r>
            <w:r w:rsidRPr="00F01347">
              <w:rPr>
                <w:rFonts w:ascii="Verdana" w:hAnsi="Verdana"/>
                <w:sz w:val="16"/>
                <w:szCs w:val="16"/>
                <w:lang w:val="en-US"/>
              </w:rPr>
              <w:t xml:space="preserve"> 25mm fiberglass filters can be used, with a pore size of 1.2µm and a polypropylene casing (Environmental Express no. SF012G) or 25mm fiberglass filters, with a pore size of 0.45µm and a polypropylene casing. polypropylene (GE Healthcare life Sciences /Whatman no. 6894-2504).</w:t>
            </w:r>
          </w:p>
        </w:tc>
      </w:tr>
      <w:tr w:rsidR="00607E30" w:rsidRPr="00F01347" w14:paraId="0C705F07" w14:textId="16EB554B" w:rsidTr="00A24AAD">
        <w:tc>
          <w:tcPr>
            <w:tcW w:w="4675" w:type="dxa"/>
          </w:tcPr>
          <w:p w14:paraId="7CDEDA79" w14:textId="77777777"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b/>
                <w:sz w:val="16"/>
                <w:szCs w:val="16"/>
              </w:rPr>
              <w:t>Jeringas para filtrado de muestras después de la lisis.</w:t>
            </w:r>
            <w:r w:rsidRPr="00F01347">
              <w:rPr>
                <w:rFonts w:ascii="Verdana" w:hAnsi="Verdana"/>
                <w:sz w:val="16"/>
                <w:szCs w:val="16"/>
              </w:rPr>
              <w:t xml:space="preserve"> Pueden utilizarse jeringas de cristal con cerrado </w:t>
            </w:r>
            <w:proofErr w:type="spellStart"/>
            <w:r w:rsidRPr="00F01347">
              <w:rPr>
                <w:rFonts w:ascii="Verdana" w:hAnsi="Verdana"/>
                <w:sz w:val="16"/>
                <w:szCs w:val="16"/>
              </w:rPr>
              <w:t>Luer-lock</w:t>
            </w:r>
            <w:proofErr w:type="spellEnd"/>
            <w:r w:rsidRPr="00F01347">
              <w:rPr>
                <w:rFonts w:ascii="Verdana" w:hAnsi="Verdana"/>
                <w:sz w:val="16"/>
                <w:szCs w:val="16"/>
              </w:rPr>
              <w:t xml:space="preserve"> que no permita el paso de aire, de 5mL de capacidad (Hamilton Co. no. 1005TLL) o jeringas de plástico con cerrado </w:t>
            </w:r>
            <w:proofErr w:type="spellStart"/>
            <w:r w:rsidRPr="00F01347">
              <w:rPr>
                <w:rFonts w:ascii="Verdana" w:hAnsi="Verdana"/>
                <w:sz w:val="16"/>
                <w:szCs w:val="16"/>
              </w:rPr>
              <w:t>Luer-lock</w:t>
            </w:r>
            <w:proofErr w:type="spellEnd"/>
            <w:r w:rsidRPr="00F01347">
              <w:rPr>
                <w:rFonts w:ascii="Verdana" w:hAnsi="Verdana"/>
                <w:sz w:val="16"/>
                <w:szCs w:val="16"/>
              </w:rPr>
              <w:t xml:space="preserve"> que no permita el paso de aire, con una capacidad de 3 </w:t>
            </w:r>
            <w:proofErr w:type="spellStart"/>
            <w:r w:rsidRPr="00F01347">
              <w:rPr>
                <w:rFonts w:ascii="Verdana" w:hAnsi="Verdana"/>
                <w:sz w:val="16"/>
                <w:szCs w:val="16"/>
              </w:rPr>
              <w:t>mL</w:t>
            </w:r>
            <w:proofErr w:type="spellEnd"/>
            <w:r w:rsidRPr="00F01347">
              <w:rPr>
                <w:rFonts w:ascii="Verdana" w:hAnsi="Verdana"/>
                <w:sz w:val="16"/>
                <w:szCs w:val="16"/>
              </w:rPr>
              <w:t xml:space="preserve"> y cilindros de polietileno y émbolos de polipropileno (</w:t>
            </w:r>
            <w:proofErr w:type="spellStart"/>
            <w:r w:rsidRPr="00F01347">
              <w:rPr>
                <w:rFonts w:ascii="Verdana" w:hAnsi="Verdana"/>
                <w:sz w:val="16"/>
                <w:szCs w:val="16"/>
              </w:rPr>
              <w:t>Thermo</w:t>
            </w:r>
            <w:proofErr w:type="spellEnd"/>
            <w:r w:rsidRPr="00F01347">
              <w:rPr>
                <w:rFonts w:ascii="Verdana" w:hAnsi="Verdana"/>
                <w:sz w:val="16"/>
                <w:szCs w:val="16"/>
              </w:rPr>
              <w:t xml:space="preserve"> Fisher </w:t>
            </w:r>
            <w:proofErr w:type="spellStart"/>
            <w:r w:rsidRPr="00F01347">
              <w:rPr>
                <w:rFonts w:ascii="Verdana" w:hAnsi="Verdana"/>
                <w:sz w:val="16"/>
                <w:szCs w:val="16"/>
              </w:rPr>
              <w:t>Scientific</w:t>
            </w:r>
            <w:proofErr w:type="spellEnd"/>
            <w:r w:rsidRPr="00F01347">
              <w:rPr>
                <w:rFonts w:ascii="Verdana" w:hAnsi="Verdana"/>
                <w:sz w:val="16"/>
                <w:szCs w:val="16"/>
              </w:rPr>
              <w:t>, Inc. no. S7515-3).</w:t>
            </w:r>
          </w:p>
        </w:tc>
        <w:tc>
          <w:tcPr>
            <w:tcW w:w="4675" w:type="dxa"/>
          </w:tcPr>
          <w:p w14:paraId="5D33D145" w14:textId="42202D94"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Syringes for filtering samples after lysis. </w:t>
            </w:r>
            <w:r w:rsidRPr="00F01347">
              <w:rPr>
                <w:rFonts w:ascii="Verdana" w:hAnsi="Verdana"/>
                <w:sz w:val="16"/>
                <w:szCs w:val="16"/>
                <w:lang w:val="en-US"/>
              </w:rPr>
              <w:t>Glass syringes with a non-airlocked Luer-lock closure with a 5mL capacity (Hamilton Co. no. 1005TLL) or non-airlocked Luer-lock plastic syringes with a capacity of 5mL can be used. of 3 mL and polyethylene cylinders and polypropylene plungers (</w:t>
            </w:r>
            <w:proofErr w:type="spellStart"/>
            <w:r w:rsidRPr="00F01347">
              <w:rPr>
                <w:rFonts w:ascii="Verdana" w:hAnsi="Verdana"/>
                <w:sz w:val="16"/>
                <w:szCs w:val="16"/>
                <w:lang w:val="en-US"/>
              </w:rPr>
              <w:t>Thermo</w:t>
            </w:r>
            <w:proofErr w:type="spellEnd"/>
            <w:r w:rsidRPr="00F01347">
              <w:rPr>
                <w:rFonts w:ascii="Verdana" w:hAnsi="Verdana"/>
                <w:sz w:val="16"/>
                <w:szCs w:val="16"/>
                <w:lang w:val="en-US"/>
              </w:rPr>
              <w:t xml:space="preserve"> Fisher Scientific</w:t>
            </w:r>
            <w:r w:rsidR="003E1BA9" w:rsidRPr="00F01347">
              <w:rPr>
                <w:rFonts w:ascii="Verdana" w:hAnsi="Verdana"/>
                <w:sz w:val="16"/>
                <w:szCs w:val="16"/>
                <w:lang w:val="en-US"/>
              </w:rPr>
              <w:t>,</w:t>
            </w:r>
            <w:r w:rsidRPr="00F01347">
              <w:rPr>
                <w:rFonts w:ascii="Verdana" w:hAnsi="Verdana"/>
                <w:sz w:val="16"/>
                <w:szCs w:val="16"/>
                <w:lang w:val="en-US"/>
              </w:rPr>
              <w:t xml:space="preserve"> Inc. no. S7515-3).</w:t>
            </w:r>
          </w:p>
        </w:tc>
      </w:tr>
      <w:tr w:rsidR="00607E30" w:rsidRPr="00F01347" w14:paraId="15A1E037" w14:textId="17B9FB00" w:rsidTr="00A24AAD">
        <w:tc>
          <w:tcPr>
            <w:tcW w:w="4675" w:type="dxa"/>
          </w:tcPr>
          <w:p w14:paraId="4DFA47D0" w14:textId="77777777"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b/>
                <w:sz w:val="16"/>
                <w:szCs w:val="16"/>
              </w:rPr>
              <w:t xml:space="preserve">Kit de prueba de ELISA </w:t>
            </w:r>
            <w:proofErr w:type="spellStart"/>
            <w:r w:rsidRPr="00F01347">
              <w:rPr>
                <w:rFonts w:ascii="Verdana" w:hAnsi="Verdana"/>
                <w:b/>
                <w:sz w:val="16"/>
                <w:szCs w:val="16"/>
              </w:rPr>
              <w:t>Adda</w:t>
            </w:r>
            <w:proofErr w:type="spellEnd"/>
            <w:r w:rsidRPr="00F01347">
              <w:rPr>
                <w:rFonts w:ascii="Verdana" w:hAnsi="Verdana"/>
                <w:b/>
                <w:sz w:val="16"/>
                <w:szCs w:val="16"/>
              </w:rPr>
              <w:t xml:space="preserve">. </w:t>
            </w:r>
            <w:r w:rsidRPr="00F01347">
              <w:rPr>
                <w:rFonts w:ascii="Verdana" w:hAnsi="Verdana"/>
                <w:sz w:val="16"/>
                <w:szCs w:val="16"/>
              </w:rPr>
              <w:t xml:space="preserve">Ensayo competitivo indirecto basado en la detección del epítopo </w:t>
            </w:r>
            <w:proofErr w:type="spellStart"/>
            <w:r w:rsidRPr="00F01347">
              <w:rPr>
                <w:rFonts w:ascii="Verdana" w:hAnsi="Verdana"/>
                <w:sz w:val="16"/>
                <w:szCs w:val="16"/>
              </w:rPr>
              <w:t>Adda</w:t>
            </w:r>
            <w:proofErr w:type="spellEnd"/>
            <w:r w:rsidRPr="00F01347">
              <w:rPr>
                <w:rFonts w:ascii="Verdana" w:hAnsi="Verdana"/>
                <w:sz w:val="16"/>
                <w:szCs w:val="16"/>
              </w:rPr>
              <w:t xml:space="preserve"> (</w:t>
            </w:r>
            <w:proofErr w:type="spellStart"/>
            <w:r w:rsidRPr="00F01347">
              <w:rPr>
                <w:rFonts w:ascii="Verdana" w:hAnsi="Verdana"/>
                <w:sz w:val="16"/>
                <w:szCs w:val="16"/>
              </w:rPr>
              <w:t>Abraxis</w:t>
            </w:r>
            <w:proofErr w:type="spellEnd"/>
            <w:r w:rsidRPr="00F01347">
              <w:rPr>
                <w:rFonts w:ascii="Verdana" w:hAnsi="Verdana"/>
                <w:sz w:val="16"/>
                <w:szCs w:val="16"/>
              </w:rPr>
              <w:t xml:space="preserve"> no. 520011OH o equivalente). Pueden usarse sistemas automatizados para procesar la placa de 96 pozos.</w:t>
            </w:r>
          </w:p>
        </w:tc>
        <w:tc>
          <w:tcPr>
            <w:tcW w:w="4675" w:type="dxa"/>
          </w:tcPr>
          <w:p w14:paraId="54DEE985" w14:textId="678165FF"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Adda ELISA Test Kit</w:t>
            </w:r>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Indirect competitive assay based on the detection of the Adda epitope (Abraxis no. 520011OH or equivalent). Automated systems can be used to process the 96-well plate.</w:t>
            </w:r>
          </w:p>
        </w:tc>
      </w:tr>
      <w:tr w:rsidR="00607E30" w:rsidRPr="00F01347" w14:paraId="2C9F7FAD" w14:textId="380A6B0B" w:rsidTr="00A24AAD">
        <w:tc>
          <w:tcPr>
            <w:tcW w:w="4675" w:type="dxa"/>
          </w:tcPr>
          <w:p w14:paraId="7E2355CC" w14:textId="77777777"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b/>
                <w:sz w:val="16"/>
                <w:szCs w:val="16"/>
              </w:rPr>
              <w:t>Lector de Placas.</w:t>
            </w:r>
            <w:r w:rsidRPr="00F01347">
              <w:rPr>
                <w:rFonts w:ascii="Verdana" w:hAnsi="Verdana"/>
                <w:sz w:val="16"/>
                <w:szCs w:val="16"/>
              </w:rPr>
              <w:t xml:space="preserve"> Lector de placas de </w:t>
            </w:r>
            <w:proofErr w:type="spellStart"/>
            <w:r w:rsidRPr="00F01347">
              <w:rPr>
                <w:rFonts w:ascii="Verdana" w:hAnsi="Verdana"/>
                <w:sz w:val="16"/>
                <w:szCs w:val="16"/>
              </w:rPr>
              <w:t>microtitulación</w:t>
            </w:r>
            <w:proofErr w:type="spellEnd"/>
            <w:r w:rsidRPr="00F01347">
              <w:rPr>
                <w:rFonts w:ascii="Verdana" w:hAnsi="Verdana"/>
                <w:sz w:val="16"/>
                <w:szCs w:val="16"/>
              </w:rPr>
              <w:t xml:space="preserve"> y software asociado con la capacidad de determinar la absorbancia a 450 nm y construir una curva de calibración utilizando una función logística de cuatro parámetros.</w:t>
            </w:r>
          </w:p>
        </w:tc>
        <w:tc>
          <w:tcPr>
            <w:tcW w:w="4675" w:type="dxa"/>
          </w:tcPr>
          <w:p w14:paraId="02B95EFD" w14:textId="5B942C26"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Plate Reader. </w:t>
            </w:r>
            <w:r w:rsidRPr="00F01347">
              <w:rPr>
                <w:rFonts w:ascii="Verdana" w:hAnsi="Verdana"/>
                <w:sz w:val="16"/>
                <w:szCs w:val="16"/>
                <w:lang w:val="en-US"/>
              </w:rPr>
              <w:t>Microtiter plate reader and associated software with the ability to determine absorbance at 450 nm and construct a calibration curve using a four-parameter logistic function.</w:t>
            </w:r>
          </w:p>
        </w:tc>
      </w:tr>
      <w:tr w:rsidR="00607E30" w:rsidRPr="00F01347" w14:paraId="433A66A5" w14:textId="6EDDFD30" w:rsidTr="00A24AAD">
        <w:tc>
          <w:tcPr>
            <w:tcW w:w="4675" w:type="dxa"/>
          </w:tcPr>
          <w:p w14:paraId="7DF1E064" w14:textId="77777777"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b/>
                <w:sz w:val="16"/>
                <w:szCs w:val="16"/>
              </w:rPr>
              <w:t xml:space="preserve">Pipeta de repetición. </w:t>
            </w:r>
            <w:r w:rsidRPr="00F01347">
              <w:rPr>
                <w:rFonts w:ascii="Verdana" w:hAnsi="Verdana"/>
                <w:sz w:val="16"/>
                <w:szCs w:val="16"/>
              </w:rPr>
              <w:t xml:space="preserve">Pipeta electrónica de repetición </w:t>
            </w:r>
            <w:proofErr w:type="spellStart"/>
            <w:r w:rsidRPr="00F01347">
              <w:rPr>
                <w:rFonts w:ascii="Verdana" w:hAnsi="Verdana"/>
                <w:sz w:val="16"/>
                <w:szCs w:val="16"/>
              </w:rPr>
              <w:t>HandyStep</w:t>
            </w:r>
            <w:proofErr w:type="spellEnd"/>
            <w:r w:rsidRPr="00F01347">
              <w:rPr>
                <w:rFonts w:ascii="Verdana" w:hAnsi="Verdana"/>
                <w:noProof/>
                <w:sz w:val="16"/>
                <w:szCs w:val="16"/>
              </w:rPr>
              <w:drawing>
                <wp:inline distT="0" distB="0" distL="0" distR="0" wp14:anchorId="0E740E75" wp14:editId="155B6457">
                  <wp:extent cx="95250" cy="95250"/>
                  <wp:effectExtent l="0" t="0" r="0" b="0"/>
                  <wp:docPr id="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01347">
              <w:rPr>
                <w:rFonts w:ascii="Verdana" w:hAnsi="Verdana"/>
                <w:sz w:val="16"/>
                <w:szCs w:val="16"/>
              </w:rPr>
              <w:t xml:space="preserve"> con puntas desechables de 5 ml (</w:t>
            </w:r>
            <w:proofErr w:type="spellStart"/>
            <w:r w:rsidRPr="00F01347">
              <w:rPr>
                <w:rFonts w:ascii="Verdana" w:hAnsi="Verdana"/>
                <w:sz w:val="16"/>
                <w:szCs w:val="16"/>
              </w:rPr>
              <w:t>Wertheim</w:t>
            </w:r>
            <w:proofErr w:type="spellEnd"/>
            <w:r w:rsidRPr="00F01347">
              <w:rPr>
                <w:rFonts w:ascii="Verdana" w:hAnsi="Verdana"/>
                <w:sz w:val="16"/>
                <w:szCs w:val="16"/>
              </w:rPr>
              <w:t>, Alemania). Se recomienda una pipeta electrónica de repetición para la adición del anticuerpo a los pozos, el conjugado enzimático, el sustrato y la solución de paro.</w:t>
            </w:r>
          </w:p>
        </w:tc>
        <w:tc>
          <w:tcPr>
            <w:tcW w:w="4675" w:type="dxa"/>
          </w:tcPr>
          <w:p w14:paraId="5546FC71" w14:textId="67FCB6B5"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Repeat pipette. </w:t>
            </w:r>
            <w:proofErr w:type="spellStart"/>
            <w:r w:rsidRPr="00F01347">
              <w:rPr>
                <w:rFonts w:ascii="Verdana" w:hAnsi="Verdana"/>
                <w:sz w:val="16"/>
                <w:szCs w:val="16"/>
                <w:lang w:val="en-US"/>
              </w:rPr>
              <w:t>HandyStep</w:t>
            </w:r>
            <w:proofErr w:type="spellEnd"/>
            <w:r w:rsidRPr="00F01347">
              <w:rPr>
                <w:rFonts w:ascii="Verdana" w:hAnsi="Verdana"/>
                <w:sz w:val="16"/>
                <w:szCs w:val="16"/>
                <w:lang w:val="en-US"/>
              </w:rPr>
              <w:t xml:space="preserve"> </w:t>
            </w:r>
            <w:r w:rsidRPr="00F01347">
              <w:rPr>
                <w:rFonts w:ascii="Verdana" w:hAnsi="Verdana"/>
                <w:noProof/>
                <w:sz w:val="16"/>
                <w:szCs w:val="16"/>
                <w:lang w:val="en-US"/>
              </w:rPr>
              <w:drawing>
                <wp:inline distT="0" distB="0" distL="0" distR="0" wp14:anchorId="510EB9D8" wp14:editId="3CFC8729">
                  <wp:extent cx="95250" cy="95250"/>
                  <wp:effectExtent l="0" t="0" r="0" b="0"/>
                  <wp:docPr id="1269031735" name="Picture 126903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01347">
              <w:rPr>
                <w:rFonts w:ascii="Verdana" w:hAnsi="Verdana"/>
                <w:sz w:val="16"/>
                <w:szCs w:val="16"/>
                <w:lang w:val="en-US"/>
              </w:rPr>
              <w:t>Electronic Repeating Pipette with 5 mL Disposable Tips (Wertheim</w:t>
            </w:r>
            <w:r w:rsidR="003E1BA9" w:rsidRPr="00F01347">
              <w:rPr>
                <w:rFonts w:ascii="Verdana" w:hAnsi="Verdana"/>
                <w:sz w:val="16"/>
                <w:szCs w:val="16"/>
                <w:lang w:val="en-US"/>
              </w:rPr>
              <w:t>,</w:t>
            </w:r>
            <w:r w:rsidRPr="00F01347">
              <w:rPr>
                <w:rFonts w:ascii="Verdana" w:hAnsi="Verdana"/>
                <w:sz w:val="16"/>
                <w:szCs w:val="16"/>
                <w:lang w:val="en-US"/>
              </w:rPr>
              <w:t xml:space="preserve"> Germany). An electronic repeat pipette is recommended for addition of the antibody to the wells, the enzyme conjugate, the </w:t>
            </w:r>
            <w:r w:rsidR="00C13146" w:rsidRPr="00F01347">
              <w:rPr>
                <w:rFonts w:ascii="Verdana" w:hAnsi="Verdana"/>
                <w:sz w:val="16"/>
                <w:szCs w:val="16"/>
                <w:lang w:val="en-US"/>
              </w:rPr>
              <w:t>substrate,</w:t>
            </w:r>
            <w:r w:rsidRPr="00F01347">
              <w:rPr>
                <w:rFonts w:ascii="Verdana" w:hAnsi="Verdana"/>
                <w:sz w:val="16"/>
                <w:szCs w:val="16"/>
                <w:lang w:val="en-US"/>
              </w:rPr>
              <w:t xml:space="preserve"> and the stop solution.</w:t>
            </w:r>
          </w:p>
        </w:tc>
      </w:tr>
      <w:tr w:rsidR="00607E30" w:rsidRPr="00F01347" w14:paraId="0D9732A4" w14:textId="016A9F18" w:rsidTr="00A24AAD">
        <w:tc>
          <w:tcPr>
            <w:tcW w:w="4675" w:type="dxa"/>
          </w:tcPr>
          <w:p w14:paraId="3280ADC5" w14:textId="77777777"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b/>
                <w:sz w:val="16"/>
                <w:szCs w:val="16"/>
              </w:rPr>
              <w:t>Pipeta multicanal.</w:t>
            </w:r>
            <w:r w:rsidRPr="00F01347">
              <w:rPr>
                <w:rFonts w:ascii="Verdana" w:hAnsi="Verdana"/>
                <w:sz w:val="16"/>
                <w:szCs w:val="16"/>
              </w:rPr>
              <w:t xml:space="preserve"> Pipeta de ocho canales con 250µL de capacidad por canal y puntas de pipeta de polipropileno. Se recomienda para la adición a los pozos de la solución de lavado.</w:t>
            </w:r>
          </w:p>
        </w:tc>
        <w:tc>
          <w:tcPr>
            <w:tcW w:w="4675" w:type="dxa"/>
          </w:tcPr>
          <w:p w14:paraId="726600E1" w14:textId="3ED9F4C1"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Multichannel pipette. </w:t>
            </w:r>
            <w:r w:rsidRPr="00F01347">
              <w:rPr>
                <w:rFonts w:ascii="Verdana" w:hAnsi="Verdana"/>
                <w:sz w:val="16"/>
                <w:szCs w:val="16"/>
                <w:lang w:val="en-US"/>
              </w:rPr>
              <w:t>Eight-channel pipette with 250µL capacity per channel and polypropylene pipette tips. It is recommended for addition to the wash solution wells.</w:t>
            </w:r>
          </w:p>
        </w:tc>
      </w:tr>
      <w:tr w:rsidR="00607E30" w:rsidRPr="00F01347" w14:paraId="189EC4F4" w14:textId="380E4CCE" w:rsidTr="00A24AAD">
        <w:tc>
          <w:tcPr>
            <w:tcW w:w="4675" w:type="dxa"/>
          </w:tcPr>
          <w:p w14:paraId="7C7E6968" w14:textId="77777777"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b/>
                <w:sz w:val="16"/>
                <w:szCs w:val="16"/>
              </w:rPr>
              <w:t>Pipeta para carga de pozos.</w:t>
            </w:r>
            <w:r w:rsidRPr="00F01347">
              <w:rPr>
                <w:rFonts w:ascii="Verdana" w:hAnsi="Verdana"/>
                <w:sz w:val="16"/>
                <w:szCs w:val="16"/>
              </w:rPr>
              <w:t xml:space="preserve"> Pipetas manuales ajustables o de volumen fijo con capacidad de 50µL y puntas de pipeta recomendadas por el fabricante. Se </w:t>
            </w:r>
            <w:r w:rsidRPr="00F01347">
              <w:rPr>
                <w:rFonts w:ascii="Verdana" w:hAnsi="Verdana"/>
                <w:sz w:val="16"/>
                <w:szCs w:val="16"/>
              </w:rPr>
              <w:lastRenderedPageBreak/>
              <w:t>recomienda para la adición a los pozos de los estándares, las muestras de campo y las muestras de control de calidad.</w:t>
            </w:r>
          </w:p>
        </w:tc>
        <w:tc>
          <w:tcPr>
            <w:tcW w:w="4675" w:type="dxa"/>
          </w:tcPr>
          <w:p w14:paraId="17A54218" w14:textId="4A8F672E"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lastRenderedPageBreak/>
              <w:t xml:space="preserve">Pipette for well loading. </w:t>
            </w:r>
            <w:r w:rsidRPr="00F01347">
              <w:rPr>
                <w:rFonts w:ascii="Verdana" w:hAnsi="Verdana"/>
                <w:sz w:val="16"/>
                <w:szCs w:val="16"/>
                <w:lang w:val="en-US"/>
              </w:rPr>
              <w:t xml:space="preserve">Manual adjustable or fixed volume pipettes with 50µL capacity and pipette tips recommended by the manufacturer. It is recommended </w:t>
            </w:r>
            <w:r w:rsidRPr="00F01347">
              <w:rPr>
                <w:rFonts w:ascii="Verdana" w:hAnsi="Verdana"/>
                <w:sz w:val="16"/>
                <w:szCs w:val="16"/>
                <w:lang w:val="en-US"/>
              </w:rPr>
              <w:lastRenderedPageBreak/>
              <w:t>for addition to wells of standards, field samples and quality control samples.</w:t>
            </w:r>
          </w:p>
        </w:tc>
      </w:tr>
      <w:tr w:rsidR="00607E30" w:rsidRPr="00F01347" w14:paraId="131A6C32" w14:textId="2B3858B2" w:rsidTr="00A24AAD">
        <w:tc>
          <w:tcPr>
            <w:tcW w:w="4675" w:type="dxa"/>
          </w:tcPr>
          <w:p w14:paraId="1DF67605" w14:textId="2D3B66F3"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b/>
                <w:sz w:val="16"/>
                <w:szCs w:val="16"/>
              </w:rPr>
              <w:lastRenderedPageBreak/>
              <w:t>Recipiente para la solución de lavado.</w:t>
            </w:r>
            <w:r w:rsidRPr="00F01347">
              <w:rPr>
                <w:rFonts w:ascii="Verdana" w:hAnsi="Verdana"/>
                <w:sz w:val="16"/>
                <w:szCs w:val="16"/>
              </w:rPr>
              <w:t xml:space="preserve"> Recipiente de plástico diseñado para pipetas </w:t>
            </w:r>
            <w:r w:rsidR="00C621FF" w:rsidRPr="00F01347">
              <w:rPr>
                <w:rFonts w:ascii="Verdana" w:hAnsi="Verdana"/>
                <w:sz w:val="16"/>
                <w:szCs w:val="16"/>
              </w:rPr>
              <w:t>multicanal (</w:t>
            </w:r>
            <w:r w:rsidRPr="00F01347">
              <w:rPr>
                <w:rFonts w:ascii="Verdana" w:hAnsi="Verdana"/>
                <w:sz w:val="16"/>
                <w:szCs w:val="16"/>
              </w:rPr>
              <w:t xml:space="preserve">VWR no. 21007-970). Se recomienda que tenga una capacidad de 55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2BAF676D" w14:textId="64FA37E3"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Container for washing solution. </w:t>
            </w:r>
            <w:r w:rsidRPr="00F01347">
              <w:rPr>
                <w:rFonts w:ascii="Verdana" w:hAnsi="Verdana"/>
                <w:sz w:val="16"/>
                <w:szCs w:val="16"/>
                <w:lang w:val="en-US"/>
              </w:rPr>
              <w:t>Plastic container designed for multichannel pipettes (VWR no. 21007-970). It is recommended that it have a capacity of 55 mL</w:t>
            </w:r>
            <w:r w:rsidR="003E1BA9" w:rsidRPr="00F01347">
              <w:rPr>
                <w:rFonts w:ascii="Verdana" w:hAnsi="Verdana"/>
                <w:sz w:val="16"/>
                <w:szCs w:val="16"/>
                <w:lang w:val="en-US"/>
              </w:rPr>
              <w:t>.</w:t>
            </w:r>
          </w:p>
        </w:tc>
      </w:tr>
      <w:tr w:rsidR="00607E30" w:rsidRPr="00F01347" w14:paraId="06363E83" w14:textId="23F1FDAC" w:rsidTr="00A24AAD">
        <w:tc>
          <w:tcPr>
            <w:tcW w:w="4675" w:type="dxa"/>
          </w:tcPr>
          <w:p w14:paraId="77B56D7D" w14:textId="77777777"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b/>
                <w:sz w:val="16"/>
                <w:szCs w:val="16"/>
              </w:rPr>
              <w:t>Viales de cuatro mililitros.</w:t>
            </w:r>
            <w:r w:rsidRPr="00F01347">
              <w:rPr>
                <w:rFonts w:ascii="Verdana" w:hAnsi="Verdana"/>
                <w:sz w:val="16"/>
                <w:szCs w:val="16"/>
              </w:rPr>
              <w:t xml:space="preserve"> Pueden utilizarse viales de vidrio de borosilicato, con tapas que contengan empaques de PTFE. Se recomiendan para colocar y almacenar el filtrado de la muestra después de la lisis.</w:t>
            </w:r>
          </w:p>
        </w:tc>
        <w:tc>
          <w:tcPr>
            <w:tcW w:w="4675" w:type="dxa"/>
          </w:tcPr>
          <w:p w14:paraId="159D7672" w14:textId="22869380"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Four milliliter vials. </w:t>
            </w:r>
            <w:r w:rsidRPr="00F01347">
              <w:rPr>
                <w:rFonts w:ascii="Verdana" w:hAnsi="Verdana"/>
                <w:sz w:val="16"/>
                <w:szCs w:val="16"/>
                <w:lang w:val="en-US"/>
              </w:rPr>
              <w:t>Borosilicate glass vials may be used, with caps containing PTFE gaskets. They are recommended for placing and storing the sample filtrate after lysis.</w:t>
            </w:r>
          </w:p>
        </w:tc>
      </w:tr>
      <w:tr w:rsidR="00607E30" w:rsidRPr="00F01347" w14:paraId="71F3DF65" w14:textId="29D3CF20" w:rsidTr="00A24AAD">
        <w:tc>
          <w:tcPr>
            <w:tcW w:w="4675" w:type="dxa"/>
          </w:tcPr>
          <w:p w14:paraId="6A08E2DB" w14:textId="77777777"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b/>
                <w:sz w:val="16"/>
                <w:szCs w:val="16"/>
              </w:rPr>
              <w:t>Viales de quince a cuarenta mililitros.</w:t>
            </w:r>
            <w:r w:rsidRPr="00F01347">
              <w:rPr>
                <w:rFonts w:ascii="Verdana" w:hAnsi="Verdana"/>
                <w:sz w:val="16"/>
                <w:szCs w:val="16"/>
              </w:rPr>
              <w:t xml:space="preserve"> Los viales utilizados deben de ser de vidrio de borosilicato, transparentes o ámbar, con tapas con empaques de PTFE. Se recomiendan viales con capacidad en este rango para el procedimiento de lisis. No deben utilizarse botellas tratadas en un horno de mufla a alta temperatura como procedimiento de limpieza.</w:t>
            </w:r>
          </w:p>
        </w:tc>
        <w:tc>
          <w:tcPr>
            <w:tcW w:w="4675" w:type="dxa"/>
          </w:tcPr>
          <w:p w14:paraId="3DBDCF79" w14:textId="1FD555DE"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Vials of fifteen to forty milliliters. </w:t>
            </w:r>
            <w:r w:rsidRPr="00F01347">
              <w:rPr>
                <w:rFonts w:ascii="Verdana" w:hAnsi="Verdana"/>
                <w:sz w:val="16"/>
                <w:szCs w:val="16"/>
                <w:lang w:val="en-US"/>
              </w:rPr>
              <w:t>The vials used should be borosilicate glass, clear or amber, with PTFE gasket caps. Vials with capacity in this range are recommended for the lysis procedure. Bottles treated in a high temperature muffle furnace should not be used as a cleaning procedure.</w:t>
            </w:r>
          </w:p>
        </w:tc>
      </w:tr>
      <w:tr w:rsidR="00607E30" w:rsidRPr="00F01347" w14:paraId="05826019" w14:textId="4E4ED598" w:rsidTr="00A24AAD">
        <w:tc>
          <w:tcPr>
            <w:tcW w:w="4675" w:type="dxa"/>
          </w:tcPr>
          <w:p w14:paraId="33CE1EDA" w14:textId="77777777" w:rsidR="00607E30" w:rsidRPr="00F01347" w:rsidRDefault="00607E30" w:rsidP="00607E30">
            <w:pPr>
              <w:pStyle w:val="texto0"/>
              <w:spacing w:line="226" w:lineRule="exact"/>
              <w:ind w:firstLine="0"/>
              <w:rPr>
                <w:rFonts w:ascii="Verdana" w:hAnsi="Verdana"/>
                <w:b/>
                <w:sz w:val="16"/>
                <w:szCs w:val="16"/>
              </w:rPr>
            </w:pPr>
            <w:r w:rsidRPr="00F01347">
              <w:rPr>
                <w:rFonts w:ascii="Verdana" w:hAnsi="Verdana"/>
                <w:b/>
                <w:sz w:val="16"/>
                <w:szCs w:val="16"/>
              </w:rPr>
              <w:t>B.1.1.6 Reactivos y soluciones</w:t>
            </w:r>
          </w:p>
        </w:tc>
        <w:tc>
          <w:tcPr>
            <w:tcW w:w="4675" w:type="dxa"/>
          </w:tcPr>
          <w:p w14:paraId="4164F492" w14:textId="564BDA3F"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B.1.1.6 Reagents and solutions</w:t>
            </w:r>
          </w:p>
        </w:tc>
      </w:tr>
      <w:tr w:rsidR="00607E30" w:rsidRPr="00F01347" w14:paraId="16CED7E8" w14:textId="1B769966" w:rsidTr="00A24AAD">
        <w:tc>
          <w:tcPr>
            <w:tcW w:w="4675" w:type="dxa"/>
          </w:tcPr>
          <w:p w14:paraId="75AD5CD2" w14:textId="77777777"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b/>
                <w:sz w:val="16"/>
                <w:szCs w:val="16"/>
              </w:rPr>
              <w:t>Agente reductor de cloro residual</w:t>
            </w:r>
            <w:r w:rsidRPr="00F01347">
              <w:rPr>
                <w:rFonts w:ascii="Verdana" w:hAnsi="Verdana"/>
                <w:sz w:val="16"/>
                <w:szCs w:val="16"/>
              </w:rPr>
              <w:t>. El tiosulfato de sodio (no. CAS 7772-98-7) se utiliza para reducir el cloro residual en las muestras de agua potable en el momento de la recolección.</w:t>
            </w:r>
          </w:p>
        </w:tc>
        <w:tc>
          <w:tcPr>
            <w:tcW w:w="4675" w:type="dxa"/>
          </w:tcPr>
          <w:p w14:paraId="2FE79787" w14:textId="1B90BF06"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Residual chlorine reducing agent</w:t>
            </w:r>
            <w:r w:rsidR="003E1BA9" w:rsidRPr="00F01347">
              <w:rPr>
                <w:rFonts w:ascii="Verdana" w:hAnsi="Verdana"/>
                <w:b/>
                <w:sz w:val="16"/>
                <w:szCs w:val="16"/>
                <w:lang w:val="en-US"/>
              </w:rPr>
              <w:t>.</w:t>
            </w:r>
            <w:r w:rsidRPr="00F01347">
              <w:rPr>
                <w:rFonts w:ascii="Verdana" w:hAnsi="Verdana"/>
                <w:sz w:val="16"/>
                <w:szCs w:val="16"/>
                <w:lang w:val="en-US"/>
              </w:rPr>
              <w:t xml:space="preserve"> Sodium thiosulfate (CAS no. 7772-98-7) is used to reduce residual chlorine in drinking water samples at the time of collection.</w:t>
            </w:r>
          </w:p>
        </w:tc>
      </w:tr>
      <w:tr w:rsidR="00607E30" w:rsidRPr="00F01347" w14:paraId="0EC65C0C" w14:textId="0A56637B" w:rsidTr="00A24AAD">
        <w:tc>
          <w:tcPr>
            <w:tcW w:w="4675" w:type="dxa"/>
          </w:tcPr>
          <w:p w14:paraId="183D9D40" w14:textId="77777777"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b/>
                <w:sz w:val="16"/>
                <w:szCs w:val="16"/>
              </w:rPr>
              <w:t>Estándares de calibración</w:t>
            </w:r>
            <w:r w:rsidRPr="00F01347">
              <w:rPr>
                <w:rFonts w:ascii="Verdana" w:hAnsi="Verdana"/>
                <w:sz w:val="16"/>
                <w:szCs w:val="16"/>
              </w:rPr>
              <w:t>. Se recomienda el uso de los estándares de calibración suministrados en los kits ELISA. Se permiten los estándares de calibración preparados en el laboratorio. Los laboratorios deben utilizar prácticas apropiadas de control de calidad para determinar cuándo deben reemplazarse los estándares.</w:t>
            </w:r>
          </w:p>
        </w:tc>
        <w:tc>
          <w:tcPr>
            <w:tcW w:w="4675" w:type="dxa"/>
          </w:tcPr>
          <w:p w14:paraId="2F332440" w14:textId="7797DDA3"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Calibration standards</w:t>
            </w:r>
            <w:r w:rsidR="003E1BA9" w:rsidRPr="00F01347">
              <w:rPr>
                <w:rFonts w:ascii="Verdana" w:hAnsi="Verdana"/>
                <w:b/>
                <w:sz w:val="16"/>
                <w:szCs w:val="16"/>
                <w:lang w:val="en-US"/>
              </w:rPr>
              <w:t>.</w:t>
            </w:r>
            <w:r w:rsidRPr="00F01347">
              <w:rPr>
                <w:rFonts w:ascii="Verdana" w:hAnsi="Verdana"/>
                <w:sz w:val="16"/>
                <w:szCs w:val="16"/>
                <w:lang w:val="en-US"/>
              </w:rPr>
              <w:t xml:space="preserve"> The use of the calibration standards supplied in the ELISA kits is recommended. Laboratory prepared calibration standards are permitted. Laboratories should use appropriate quality control practices to determine when standards should be replaced.</w:t>
            </w:r>
          </w:p>
        </w:tc>
      </w:tr>
      <w:tr w:rsidR="00607E30" w:rsidRPr="00F01347" w14:paraId="45AA85C7" w14:textId="3EBE1F69" w:rsidTr="00A24AAD">
        <w:tc>
          <w:tcPr>
            <w:tcW w:w="4675" w:type="dxa"/>
          </w:tcPr>
          <w:p w14:paraId="6AC5E9E2" w14:textId="77777777"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b/>
                <w:sz w:val="16"/>
                <w:szCs w:val="16"/>
              </w:rPr>
              <w:t>Solvente regular y para PDS</w:t>
            </w:r>
            <w:r w:rsidRPr="00F01347">
              <w:rPr>
                <w:rFonts w:ascii="Verdana" w:hAnsi="Verdana"/>
                <w:sz w:val="16"/>
                <w:szCs w:val="16"/>
              </w:rPr>
              <w:t>. El metanol (no. CAS 67-56-1) o el indicado por el fabricante; se usa para reconstituir MC-LR si este material se adquiere como un sólido, y para diluir el material de MC-LR para preparar soluciones PDS.</w:t>
            </w:r>
          </w:p>
        </w:tc>
        <w:tc>
          <w:tcPr>
            <w:tcW w:w="4675" w:type="dxa"/>
          </w:tcPr>
          <w:p w14:paraId="1EC7DAC9" w14:textId="3ADC8E64"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Regular and PDS solvent</w:t>
            </w:r>
            <w:r w:rsidR="003E1BA9" w:rsidRPr="00F01347">
              <w:rPr>
                <w:rFonts w:ascii="Verdana" w:hAnsi="Verdana"/>
                <w:b/>
                <w:sz w:val="16"/>
                <w:szCs w:val="16"/>
                <w:lang w:val="en-US"/>
              </w:rPr>
              <w:t>.</w:t>
            </w:r>
            <w:r w:rsidRPr="00F01347">
              <w:rPr>
                <w:rFonts w:ascii="Verdana" w:hAnsi="Verdana"/>
                <w:sz w:val="16"/>
                <w:szCs w:val="16"/>
                <w:lang w:val="en-US"/>
              </w:rPr>
              <w:t xml:space="preserve"> Methanol (CAS No. 67-56-1) or as indicated by the manufacturer; is used to reconstitute MC-LR if this material is purchased as a solid, and to dilute MC-LR material to prepare PDS solutions.</w:t>
            </w:r>
          </w:p>
        </w:tc>
      </w:tr>
      <w:tr w:rsidR="00607E30" w:rsidRPr="00F01347" w14:paraId="1FEBE183" w14:textId="0874DD78" w:rsidTr="00A24AAD">
        <w:tc>
          <w:tcPr>
            <w:tcW w:w="4675" w:type="dxa"/>
          </w:tcPr>
          <w:p w14:paraId="39DAF4BE" w14:textId="77777777"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b/>
                <w:sz w:val="16"/>
                <w:szCs w:val="16"/>
              </w:rPr>
              <w:t>Soluciones y PDS de MC-LR</w:t>
            </w:r>
            <w:r w:rsidRPr="00F01347">
              <w:rPr>
                <w:rFonts w:ascii="Verdana" w:hAnsi="Verdana"/>
                <w:sz w:val="16"/>
                <w:szCs w:val="16"/>
              </w:rPr>
              <w:t>. Se recomienda obtener la MC-LR (no. CAS 101043-37-2) como una solución con una concentración de al menos 10 µg/</w:t>
            </w:r>
            <w:proofErr w:type="spellStart"/>
            <w:r w:rsidRPr="00F01347">
              <w:rPr>
                <w:rFonts w:ascii="Verdana" w:hAnsi="Verdana"/>
                <w:sz w:val="16"/>
                <w:szCs w:val="16"/>
              </w:rPr>
              <w:t>mL</w:t>
            </w:r>
            <w:proofErr w:type="spellEnd"/>
            <w:r w:rsidRPr="00F01347">
              <w:rPr>
                <w:rFonts w:ascii="Verdana" w:hAnsi="Verdana"/>
                <w:sz w:val="16"/>
                <w:szCs w:val="16"/>
              </w:rPr>
              <w:t xml:space="preserve"> o como el material puro. En caso de que sea como material puro, este debe de reconstituirse en metanol para obtener una solución con una concentración de al menos 10 µg/</w:t>
            </w:r>
            <w:proofErr w:type="spellStart"/>
            <w:r w:rsidRPr="00F01347">
              <w:rPr>
                <w:rFonts w:ascii="Verdana" w:hAnsi="Verdana"/>
                <w:sz w:val="16"/>
                <w:szCs w:val="16"/>
              </w:rPr>
              <w:t>mL</w:t>
            </w:r>
            <w:proofErr w:type="spellEnd"/>
            <w:r w:rsidRPr="00F01347">
              <w:rPr>
                <w:rFonts w:ascii="Verdana" w:hAnsi="Verdana"/>
                <w:sz w:val="16"/>
                <w:szCs w:val="16"/>
              </w:rPr>
              <w:t>. Esta solución de MC-LR debe diluirse con metanol para preparar soluciones PDS. Las concentraciones de MC-LR para soluciones PDS deben de ser seleccionadas de tal manera que al menos se utilicen 5µL para fortificar muestras de control de calidad o para preparar estándares de calibración. Más de una concentración de solución PDS puede ser necesaria para cumplir con este requisito.</w:t>
            </w:r>
          </w:p>
        </w:tc>
        <w:tc>
          <w:tcPr>
            <w:tcW w:w="4675" w:type="dxa"/>
          </w:tcPr>
          <w:p w14:paraId="0660E92A" w14:textId="3A4F6A38"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MC-LR Solutions and PDS</w:t>
            </w:r>
            <w:r w:rsidR="003E1BA9" w:rsidRPr="00F01347">
              <w:rPr>
                <w:rFonts w:ascii="Verdana" w:hAnsi="Verdana"/>
                <w:b/>
                <w:sz w:val="16"/>
                <w:szCs w:val="16"/>
                <w:lang w:val="en-US"/>
              </w:rPr>
              <w:t>.</w:t>
            </w:r>
            <w:r w:rsidRPr="00F01347">
              <w:rPr>
                <w:rFonts w:ascii="Verdana" w:hAnsi="Verdana"/>
                <w:sz w:val="16"/>
                <w:szCs w:val="16"/>
                <w:lang w:val="en-US"/>
              </w:rPr>
              <w:t xml:space="preserve"> It is recommended to obtain MC-LR (CAS no. 101043-37-2) as a solution with a concentration of at least 10 µg/ mL or as the pure material. If it is a pure material, it must be reconstituted in methanol to obtain a solution with a concentration of at least 10 µg/mL</w:t>
            </w:r>
            <w:r w:rsidR="003E1BA9" w:rsidRPr="00F01347">
              <w:rPr>
                <w:rFonts w:ascii="Verdana" w:hAnsi="Verdana"/>
                <w:sz w:val="16"/>
                <w:szCs w:val="16"/>
                <w:lang w:val="en-US"/>
              </w:rPr>
              <w:t>.</w:t>
            </w:r>
            <w:r w:rsidRPr="00F01347">
              <w:rPr>
                <w:rFonts w:ascii="Verdana" w:hAnsi="Verdana"/>
                <w:sz w:val="16"/>
                <w:szCs w:val="16"/>
                <w:lang w:val="en-US"/>
              </w:rPr>
              <w:t xml:space="preserve"> This MC-LR solution should be diluted with methanol to prepare PDS solutions. MC-LR concentrations for PDS solutions should be selected such that at least 5µL is used to fortify quality control samples or to prepare calibration standards. More than one concentration of PDS solution may be necessary to meet this requirement.</w:t>
            </w:r>
          </w:p>
        </w:tc>
      </w:tr>
      <w:tr w:rsidR="00607E30" w:rsidRPr="00F01347" w14:paraId="56D9A68E" w14:textId="7663CB99" w:rsidTr="00A24AAD">
        <w:tc>
          <w:tcPr>
            <w:tcW w:w="4675" w:type="dxa"/>
          </w:tcPr>
          <w:p w14:paraId="373712D1" w14:textId="77777777" w:rsidR="00607E30" w:rsidRPr="00F01347" w:rsidRDefault="00607E30" w:rsidP="00607E30">
            <w:pPr>
              <w:pStyle w:val="texto0"/>
              <w:spacing w:line="226" w:lineRule="exact"/>
              <w:ind w:firstLine="0"/>
              <w:rPr>
                <w:rFonts w:ascii="Verdana" w:hAnsi="Verdana"/>
                <w:b/>
                <w:sz w:val="16"/>
                <w:szCs w:val="16"/>
              </w:rPr>
            </w:pPr>
            <w:r w:rsidRPr="00F01347">
              <w:rPr>
                <w:rFonts w:ascii="Verdana" w:hAnsi="Verdana"/>
                <w:b/>
                <w:sz w:val="16"/>
                <w:szCs w:val="16"/>
              </w:rPr>
              <w:t>B.1.1.7 Procedimiento</w:t>
            </w:r>
          </w:p>
        </w:tc>
        <w:tc>
          <w:tcPr>
            <w:tcW w:w="4675" w:type="dxa"/>
          </w:tcPr>
          <w:p w14:paraId="6D86A8F6" w14:textId="66C56360"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B.1.1.7 Procedure</w:t>
            </w:r>
          </w:p>
        </w:tc>
      </w:tr>
      <w:tr w:rsidR="00607E30" w:rsidRPr="00F01347" w14:paraId="415BFFF6" w14:textId="5E45890E" w:rsidTr="00A24AAD">
        <w:tc>
          <w:tcPr>
            <w:tcW w:w="4675" w:type="dxa"/>
          </w:tcPr>
          <w:p w14:paraId="76D76C20" w14:textId="77777777" w:rsidR="00607E30" w:rsidRPr="00F01347" w:rsidRDefault="00607E30" w:rsidP="00607E30">
            <w:pPr>
              <w:pStyle w:val="texto0"/>
              <w:spacing w:line="226" w:lineRule="exact"/>
              <w:ind w:firstLine="0"/>
              <w:rPr>
                <w:rFonts w:ascii="Verdana" w:hAnsi="Verdana"/>
                <w:b/>
                <w:sz w:val="16"/>
                <w:szCs w:val="16"/>
              </w:rPr>
            </w:pPr>
            <w:r w:rsidRPr="00F01347">
              <w:rPr>
                <w:rFonts w:ascii="Verdana" w:hAnsi="Verdana"/>
                <w:b/>
                <w:sz w:val="16"/>
                <w:szCs w:val="16"/>
              </w:rPr>
              <w:t>B.1.1.7.1 Recolección, conservación y almacenamiento de muestras</w:t>
            </w:r>
          </w:p>
        </w:tc>
        <w:tc>
          <w:tcPr>
            <w:tcW w:w="4675" w:type="dxa"/>
          </w:tcPr>
          <w:p w14:paraId="2CA7BFDE" w14:textId="575268FC" w:rsidR="00607E30" w:rsidRPr="00F01347" w:rsidRDefault="00607E30" w:rsidP="00607E30">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B.1.1.7.1 Sample collection, </w:t>
            </w:r>
            <w:r w:rsidR="00C621FF" w:rsidRPr="00F01347">
              <w:rPr>
                <w:rFonts w:ascii="Verdana" w:hAnsi="Verdana"/>
                <w:b/>
                <w:sz w:val="16"/>
                <w:szCs w:val="16"/>
                <w:lang w:val="en-US"/>
              </w:rPr>
              <w:t>preservation,</w:t>
            </w:r>
            <w:r w:rsidRPr="00F01347">
              <w:rPr>
                <w:rFonts w:ascii="Verdana" w:hAnsi="Verdana"/>
                <w:b/>
                <w:sz w:val="16"/>
                <w:szCs w:val="16"/>
                <w:lang w:val="en-US"/>
              </w:rPr>
              <w:t xml:space="preserve"> and storage</w:t>
            </w:r>
          </w:p>
        </w:tc>
      </w:tr>
      <w:tr w:rsidR="00607E30" w:rsidRPr="00F01347" w14:paraId="592E878C" w14:textId="4F1530B9" w:rsidTr="00A24AAD">
        <w:tc>
          <w:tcPr>
            <w:tcW w:w="4675" w:type="dxa"/>
          </w:tcPr>
          <w:p w14:paraId="01774F6C" w14:textId="77777777" w:rsidR="00607E30" w:rsidRPr="00F01347" w:rsidRDefault="00607E30" w:rsidP="00607E30">
            <w:pPr>
              <w:pStyle w:val="texto0"/>
              <w:spacing w:line="226" w:lineRule="exact"/>
              <w:ind w:firstLine="0"/>
              <w:rPr>
                <w:rFonts w:ascii="Verdana" w:hAnsi="Verdana"/>
                <w:sz w:val="16"/>
                <w:szCs w:val="16"/>
              </w:rPr>
            </w:pPr>
            <w:r w:rsidRPr="00F01347">
              <w:rPr>
                <w:rFonts w:ascii="Verdana" w:hAnsi="Verdana"/>
                <w:sz w:val="16"/>
                <w:szCs w:val="16"/>
              </w:rPr>
              <w:lastRenderedPageBreak/>
              <w:t xml:space="preserve">Antes del salir a colectar las muestras, debe agregarse tiosulfato de sodio a cada botella de muestra; para lo cual deberá colocar en el material de muestreo, previo a la esterilización 0.1 </w:t>
            </w:r>
            <w:proofErr w:type="spellStart"/>
            <w:r w:rsidRPr="00F01347">
              <w:rPr>
                <w:rFonts w:ascii="Verdana" w:hAnsi="Verdana"/>
                <w:sz w:val="16"/>
                <w:szCs w:val="16"/>
              </w:rPr>
              <w:t>mL</w:t>
            </w:r>
            <w:proofErr w:type="spellEnd"/>
            <w:r w:rsidRPr="00F01347">
              <w:rPr>
                <w:rFonts w:ascii="Verdana" w:hAnsi="Verdana"/>
                <w:sz w:val="16"/>
                <w:szCs w:val="16"/>
              </w:rPr>
              <w:t xml:space="preserve"> de solución de tiosulfato de sodio al 10% para neutralizar 120 </w:t>
            </w:r>
            <w:proofErr w:type="spellStart"/>
            <w:r w:rsidRPr="00F01347">
              <w:rPr>
                <w:rFonts w:ascii="Verdana" w:hAnsi="Verdana"/>
                <w:sz w:val="16"/>
                <w:szCs w:val="16"/>
              </w:rPr>
              <w:t>mL</w:t>
            </w:r>
            <w:proofErr w:type="spellEnd"/>
            <w:r w:rsidRPr="00F01347">
              <w:rPr>
                <w:rFonts w:ascii="Verdana" w:hAnsi="Verdana"/>
                <w:sz w:val="16"/>
                <w:szCs w:val="16"/>
              </w:rPr>
              <w:t xml:space="preserve"> de la muestra o bien 0.4 </w:t>
            </w:r>
            <w:proofErr w:type="spellStart"/>
            <w:r w:rsidRPr="00F01347">
              <w:rPr>
                <w:rFonts w:ascii="Verdana" w:hAnsi="Verdana"/>
                <w:sz w:val="16"/>
                <w:szCs w:val="16"/>
              </w:rPr>
              <w:t>mL</w:t>
            </w:r>
            <w:proofErr w:type="spellEnd"/>
            <w:r w:rsidRPr="00F01347">
              <w:rPr>
                <w:rFonts w:ascii="Verdana" w:hAnsi="Verdana"/>
                <w:sz w:val="16"/>
                <w:szCs w:val="16"/>
              </w:rPr>
              <w:t xml:space="preserve"> para 480 </w:t>
            </w:r>
            <w:proofErr w:type="spellStart"/>
            <w:r w:rsidRPr="00F01347">
              <w:rPr>
                <w:rFonts w:ascii="Verdana" w:hAnsi="Verdana"/>
                <w:sz w:val="16"/>
                <w:szCs w:val="16"/>
              </w:rPr>
              <w:t>mL</w:t>
            </w:r>
            <w:proofErr w:type="spellEnd"/>
            <w:r w:rsidRPr="00F01347">
              <w:rPr>
                <w:rFonts w:ascii="Verdana" w:hAnsi="Verdana"/>
                <w:sz w:val="16"/>
                <w:szCs w:val="16"/>
              </w:rPr>
              <w:t>. El tiosulfato de sodio no debe de diluirse en agua al preparar las botellas para las muestras. El agente reductor debe añadirse a la botella vacía en forma sólida. En el campo, abra el grifo y deje que el sistema se descargue durante aproximadamente 5 minutos. Llenar cada botella, teniendo cuidado de no eliminar el tiosulfato de sodio, e invertir varias veces para mezclar la muestra con el agente reductor.</w:t>
            </w:r>
          </w:p>
        </w:tc>
        <w:tc>
          <w:tcPr>
            <w:tcW w:w="4675" w:type="dxa"/>
          </w:tcPr>
          <w:p w14:paraId="7AFAFF4C" w14:textId="09A73883" w:rsidR="00607E30" w:rsidRPr="00F01347" w:rsidRDefault="00607E30" w:rsidP="00607E30">
            <w:pPr>
              <w:pStyle w:val="texto0"/>
              <w:spacing w:line="226" w:lineRule="exact"/>
              <w:ind w:firstLine="0"/>
              <w:rPr>
                <w:rFonts w:ascii="Verdana" w:hAnsi="Verdana"/>
                <w:sz w:val="16"/>
                <w:szCs w:val="16"/>
                <w:lang w:val="en-US"/>
              </w:rPr>
            </w:pPr>
            <w:r w:rsidRPr="00F01347">
              <w:rPr>
                <w:rFonts w:ascii="Verdana" w:hAnsi="Verdana"/>
                <w:sz w:val="16"/>
                <w:szCs w:val="16"/>
                <w:lang w:val="en-US"/>
              </w:rPr>
              <w:t xml:space="preserve">Before going out to collect samples, sodium thiosulfate should be added to each sample bottle; for which </w:t>
            </w:r>
            <w:r w:rsidR="003D0902" w:rsidRPr="00F01347">
              <w:rPr>
                <w:rFonts w:ascii="Verdana" w:hAnsi="Verdana"/>
                <w:sz w:val="16"/>
                <w:szCs w:val="16"/>
                <w:lang w:val="en-US"/>
              </w:rPr>
              <w:t>it</w:t>
            </w:r>
            <w:r w:rsidRPr="00F01347">
              <w:rPr>
                <w:rFonts w:ascii="Verdana" w:hAnsi="Verdana"/>
                <w:sz w:val="16"/>
                <w:szCs w:val="16"/>
                <w:lang w:val="en-US"/>
              </w:rPr>
              <w:t xml:space="preserve"> must</w:t>
            </w:r>
            <w:r w:rsidR="003D0902" w:rsidRPr="00F01347">
              <w:rPr>
                <w:rFonts w:ascii="Verdana" w:hAnsi="Verdana"/>
                <w:sz w:val="16"/>
                <w:szCs w:val="16"/>
                <w:lang w:val="en-US"/>
              </w:rPr>
              <w:t xml:space="preserve"> be</w:t>
            </w:r>
            <w:r w:rsidRPr="00F01347">
              <w:rPr>
                <w:rFonts w:ascii="Verdana" w:hAnsi="Verdana"/>
                <w:sz w:val="16"/>
                <w:szCs w:val="16"/>
                <w:lang w:val="en-US"/>
              </w:rPr>
              <w:t xml:space="preserve"> place</w:t>
            </w:r>
            <w:r w:rsidR="003D0902" w:rsidRPr="00F01347">
              <w:rPr>
                <w:rFonts w:ascii="Verdana" w:hAnsi="Verdana"/>
                <w:sz w:val="16"/>
                <w:szCs w:val="16"/>
                <w:lang w:val="en-US"/>
              </w:rPr>
              <w:t>d</w:t>
            </w:r>
            <w:r w:rsidRPr="00F01347">
              <w:rPr>
                <w:rFonts w:ascii="Verdana" w:hAnsi="Verdana"/>
                <w:sz w:val="16"/>
                <w:szCs w:val="16"/>
                <w:lang w:val="en-US"/>
              </w:rPr>
              <w:t xml:space="preserve"> in the sampling material, prior to sterilization, 0.1 mL of 10% sodium thiosulfate solution to neutralize 120 mL of the sample or 0.4 mL for 480 mL</w:t>
            </w:r>
            <w:r w:rsidR="003E1BA9" w:rsidRPr="00F01347">
              <w:rPr>
                <w:rFonts w:ascii="Verdana" w:hAnsi="Verdana"/>
                <w:sz w:val="16"/>
                <w:szCs w:val="16"/>
                <w:lang w:val="en-US"/>
              </w:rPr>
              <w:t>.</w:t>
            </w:r>
            <w:r w:rsidRPr="00F01347">
              <w:rPr>
                <w:rFonts w:ascii="Verdana" w:hAnsi="Verdana"/>
                <w:sz w:val="16"/>
                <w:szCs w:val="16"/>
                <w:lang w:val="en-US"/>
              </w:rPr>
              <w:t xml:space="preserve"> Sodium thiosulfate should not be diluted with water when preparing sample bottles. The reducing agent should be added to the empty bottle in solid form. In the field, open the faucet and allow the system to discharge for approximately 5 minutes. Fill each bottle, being careful not to remove the sodium thiosulfate, and invert several times to mix the sample with the reducing agent.</w:t>
            </w:r>
          </w:p>
        </w:tc>
      </w:tr>
      <w:tr w:rsidR="00607E30" w:rsidRPr="00F01347" w14:paraId="16BD54E7" w14:textId="457200B2" w:rsidTr="00A24AAD">
        <w:tc>
          <w:tcPr>
            <w:tcW w:w="4675" w:type="dxa"/>
          </w:tcPr>
          <w:p w14:paraId="6912F13B" w14:textId="77777777" w:rsidR="00607E30" w:rsidRPr="00F01347" w:rsidRDefault="00607E30" w:rsidP="00607E30">
            <w:pPr>
              <w:pStyle w:val="texto0"/>
              <w:ind w:firstLine="0"/>
              <w:rPr>
                <w:rFonts w:ascii="Verdana" w:hAnsi="Verdana"/>
                <w:sz w:val="16"/>
                <w:szCs w:val="16"/>
              </w:rPr>
            </w:pPr>
            <w:r w:rsidRPr="00F01347">
              <w:rPr>
                <w:rFonts w:ascii="Verdana" w:hAnsi="Verdana"/>
                <w:sz w:val="16"/>
                <w:szCs w:val="16"/>
              </w:rPr>
              <w:t>Colecte suficiente muestra para cumplir con los requisitos de este método. Para el tamaño de la muestra debe de considerarse un volumen suficiente para preparar las muestras de control de calidad y el volumen apropiado para el almacenamiento congelado.</w:t>
            </w:r>
          </w:p>
        </w:tc>
        <w:tc>
          <w:tcPr>
            <w:tcW w:w="4675" w:type="dxa"/>
          </w:tcPr>
          <w:p w14:paraId="41918F0C" w14:textId="031B68ED" w:rsidR="00607E30" w:rsidRPr="00F01347" w:rsidRDefault="00607E30" w:rsidP="00607E30">
            <w:pPr>
              <w:pStyle w:val="texto0"/>
              <w:ind w:firstLine="0"/>
              <w:rPr>
                <w:rFonts w:ascii="Verdana" w:hAnsi="Verdana"/>
                <w:sz w:val="16"/>
                <w:szCs w:val="16"/>
                <w:lang w:val="en-US"/>
              </w:rPr>
            </w:pPr>
            <w:r w:rsidRPr="00F01347">
              <w:rPr>
                <w:rFonts w:ascii="Verdana" w:hAnsi="Verdana"/>
                <w:sz w:val="16"/>
                <w:szCs w:val="16"/>
                <w:lang w:val="en-US"/>
              </w:rPr>
              <w:t>Collect enough sample to meet the requirements of this method. The sample size should consider a sufficient volume to prepare quality control samples and the appropriate volume for frozen storage.</w:t>
            </w:r>
          </w:p>
        </w:tc>
      </w:tr>
      <w:tr w:rsidR="00607E30" w:rsidRPr="00F01347" w14:paraId="52AF0AD0" w14:textId="2F685B3D" w:rsidTr="00A24AAD">
        <w:tc>
          <w:tcPr>
            <w:tcW w:w="4675" w:type="dxa"/>
          </w:tcPr>
          <w:p w14:paraId="786EEE0B" w14:textId="77777777" w:rsidR="00607E30" w:rsidRPr="00F01347" w:rsidRDefault="00607E30" w:rsidP="00607E30">
            <w:pPr>
              <w:pStyle w:val="texto0"/>
              <w:ind w:firstLine="0"/>
              <w:rPr>
                <w:rFonts w:ascii="Verdana" w:hAnsi="Verdana"/>
                <w:sz w:val="16"/>
                <w:szCs w:val="16"/>
              </w:rPr>
            </w:pPr>
            <w:r w:rsidRPr="00F01347">
              <w:rPr>
                <w:rFonts w:ascii="Verdana" w:hAnsi="Verdana"/>
                <w:sz w:val="16"/>
                <w:szCs w:val="16"/>
              </w:rPr>
              <w:t xml:space="preserve">No debe utilizarse ácido ascórbico para reducir el cloro en las muestras de agua de uso y consumo humano. Durante los estudios para evaluar la estabilidad de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durante el transporte y el almacenamiento, se ha descrito que éstas se degradan en presencia de ácido ascórbico.</w:t>
            </w:r>
          </w:p>
        </w:tc>
        <w:tc>
          <w:tcPr>
            <w:tcW w:w="4675" w:type="dxa"/>
          </w:tcPr>
          <w:p w14:paraId="5180ED14" w14:textId="4D95032B" w:rsidR="00607E30" w:rsidRPr="00F01347" w:rsidRDefault="00607E30" w:rsidP="00607E30">
            <w:pPr>
              <w:pStyle w:val="texto0"/>
              <w:ind w:firstLine="0"/>
              <w:rPr>
                <w:rFonts w:ascii="Verdana" w:hAnsi="Verdana"/>
                <w:sz w:val="16"/>
                <w:szCs w:val="16"/>
                <w:lang w:val="en-US"/>
              </w:rPr>
            </w:pPr>
            <w:r w:rsidRPr="00F01347">
              <w:rPr>
                <w:rFonts w:ascii="Verdana" w:hAnsi="Verdana"/>
                <w:sz w:val="16"/>
                <w:szCs w:val="16"/>
                <w:lang w:val="en-US"/>
              </w:rPr>
              <w:t xml:space="preserve">Ascorbic acid should not be used to reduce chlorine in water samples for human use and consumption. During studies to evaluate the stability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during transport and storage, it has been described that they degrade in the presence of ascorbic acid.</w:t>
            </w:r>
          </w:p>
        </w:tc>
      </w:tr>
      <w:tr w:rsidR="00607E30" w:rsidRPr="00F01347" w14:paraId="22634128" w14:textId="79DD0638" w:rsidTr="00A24AAD">
        <w:tc>
          <w:tcPr>
            <w:tcW w:w="4675" w:type="dxa"/>
          </w:tcPr>
          <w:p w14:paraId="203EC048" w14:textId="77777777" w:rsidR="00607E30" w:rsidRPr="00F01347" w:rsidRDefault="00607E30" w:rsidP="00607E30">
            <w:pPr>
              <w:pStyle w:val="texto0"/>
              <w:spacing w:line="220" w:lineRule="exact"/>
              <w:ind w:firstLine="0"/>
              <w:rPr>
                <w:rFonts w:ascii="Verdana" w:hAnsi="Verdana"/>
                <w:sz w:val="16"/>
                <w:szCs w:val="16"/>
              </w:rPr>
            </w:pPr>
            <w:r w:rsidRPr="00F01347">
              <w:rPr>
                <w:rFonts w:ascii="Verdana" w:hAnsi="Verdana"/>
                <w:sz w:val="16"/>
                <w:szCs w:val="16"/>
              </w:rPr>
              <w:t>La adición de tiosulfato de sodio no es necesaria para agua de uso y consumo humano antes del tratamiento (muestras colectadas antes de la entrada al sistema de tratamiento), sin embargo, puede añadirse si el laboratorio elige preparar un solo tipo de contenedor de muestra.</w:t>
            </w:r>
          </w:p>
        </w:tc>
        <w:tc>
          <w:tcPr>
            <w:tcW w:w="4675" w:type="dxa"/>
          </w:tcPr>
          <w:p w14:paraId="2F448882" w14:textId="68A775DE" w:rsidR="00607E30" w:rsidRPr="00F01347" w:rsidRDefault="00607E30" w:rsidP="00607E30">
            <w:pPr>
              <w:pStyle w:val="texto0"/>
              <w:spacing w:line="220" w:lineRule="exact"/>
              <w:ind w:firstLine="0"/>
              <w:rPr>
                <w:rFonts w:ascii="Verdana" w:hAnsi="Verdana"/>
                <w:sz w:val="16"/>
                <w:szCs w:val="16"/>
                <w:lang w:val="en-US"/>
              </w:rPr>
            </w:pPr>
            <w:r w:rsidRPr="00F01347">
              <w:rPr>
                <w:rFonts w:ascii="Verdana" w:hAnsi="Verdana"/>
                <w:sz w:val="16"/>
                <w:szCs w:val="16"/>
                <w:lang w:val="en-US"/>
              </w:rPr>
              <w:t>The addition of sodium thiosulfate is not necessary for pretreatment drinking water (samples collected prior to entry into the treatment system), however, it may be added if the laboratory chooses to prepare only one type of sample container.</w:t>
            </w:r>
          </w:p>
        </w:tc>
      </w:tr>
      <w:tr w:rsidR="00607E30" w:rsidRPr="00F01347" w14:paraId="7F0BFBED" w14:textId="62B9E70D" w:rsidTr="00A24AAD">
        <w:tc>
          <w:tcPr>
            <w:tcW w:w="4675" w:type="dxa"/>
          </w:tcPr>
          <w:p w14:paraId="54C75B72" w14:textId="77777777" w:rsidR="00607E30" w:rsidRPr="00F01347" w:rsidRDefault="00607E30" w:rsidP="00607E30">
            <w:pPr>
              <w:pStyle w:val="texto0"/>
              <w:spacing w:line="220" w:lineRule="exact"/>
              <w:ind w:firstLine="0"/>
              <w:rPr>
                <w:rFonts w:ascii="Verdana" w:hAnsi="Verdana"/>
                <w:sz w:val="16"/>
                <w:szCs w:val="16"/>
              </w:rPr>
            </w:pPr>
            <w:r w:rsidRPr="00F01347">
              <w:rPr>
                <w:rFonts w:ascii="Verdana" w:hAnsi="Verdana"/>
                <w:sz w:val="16"/>
                <w:szCs w:val="16"/>
              </w:rPr>
              <w:t>Las muestras deben ser refrigeradas durante el envío y no deben exceder los 10 °C durante las primeras 48 horas después de la recolección.</w:t>
            </w:r>
          </w:p>
        </w:tc>
        <w:tc>
          <w:tcPr>
            <w:tcW w:w="4675" w:type="dxa"/>
          </w:tcPr>
          <w:p w14:paraId="10E1DBD5" w14:textId="7B61B00B" w:rsidR="00607E30" w:rsidRPr="00F01347" w:rsidRDefault="00607E30" w:rsidP="00607E30">
            <w:pPr>
              <w:pStyle w:val="texto0"/>
              <w:spacing w:line="220" w:lineRule="exact"/>
              <w:ind w:firstLine="0"/>
              <w:rPr>
                <w:rFonts w:ascii="Verdana" w:hAnsi="Verdana"/>
                <w:sz w:val="16"/>
                <w:szCs w:val="16"/>
                <w:lang w:val="en-US"/>
              </w:rPr>
            </w:pPr>
            <w:r w:rsidRPr="00F01347">
              <w:rPr>
                <w:rFonts w:ascii="Verdana" w:hAnsi="Verdana"/>
                <w:sz w:val="16"/>
                <w:szCs w:val="16"/>
                <w:lang w:val="en-US"/>
              </w:rPr>
              <w:t>Samples should be refrigerated during shipment and should not exceed 10°C for the first 48 hours after collection.</w:t>
            </w:r>
          </w:p>
        </w:tc>
      </w:tr>
      <w:tr w:rsidR="00607E30" w:rsidRPr="00F01347" w14:paraId="0DED5860" w14:textId="49F5F38D" w:rsidTr="00A24AAD">
        <w:tc>
          <w:tcPr>
            <w:tcW w:w="4675" w:type="dxa"/>
          </w:tcPr>
          <w:p w14:paraId="09CCB94C" w14:textId="77777777" w:rsidR="00607E30" w:rsidRPr="00F01347" w:rsidRDefault="00607E30" w:rsidP="00607E30">
            <w:pPr>
              <w:pStyle w:val="texto0"/>
              <w:spacing w:line="220" w:lineRule="exact"/>
              <w:ind w:firstLine="0"/>
              <w:rPr>
                <w:rFonts w:ascii="Verdana" w:hAnsi="Verdana"/>
                <w:sz w:val="16"/>
                <w:szCs w:val="16"/>
              </w:rPr>
            </w:pPr>
            <w:r w:rsidRPr="00F01347">
              <w:rPr>
                <w:rFonts w:ascii="Verdana" w:hAnsi="Verdana"/>
                <w:sz w:val="16"/>
                <w:szCs w:val="16"/>
              </w:rPr>
              <w:t>Se debe confirmar que las muestras están por debajo o igual a 10 °C cuando se reciben en el laboratorio. Una temperatura superior a 10 °C es aceptable en aquellos casos en los que el tiempo de traslado es corto y las muestras no tienen tiempo suficiente para alcanzar la temperatura mencionada. En este caso, deben revisarse las bolsas de hielo en las hieleras de transporte. Si éstas aún permanecen congeladas, las muestras pueden considerarse válidas. Las muestras deben de ser congeladas al llegar al laboratorio.</w:t>
            </w:r>
          </w:p>
        </w:tc>
        <w:tc>
          <w:tcPr>
            <w:tcW w:w="4675" w:type="dxa"/>
          </w:tcPr>
          <w:p w14:paraId="7B8D49DA" w14:textId="5133D6DE" w:rsidR="00607E30" w:rsidRPr="00F01347" w:rsidRDefault="00607E30" w:rsidP="00607E3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Samples must be confirmed to be below or equal to 10°C when received at the laboratory. A temperature higher than 10 °C is acceptable in cases where the transport time is </w:t>
            </w:r>
            <w:r w:rsidR="00E24368" w:rsidRPr="00F01347">
              <w:rPr>
                <w:rFonts w:ascii="Verdana" w:hAnsi="Verdana"/>
                <w:sz w:val="16"/>
                <w:szCs w:val="16"/>
                <w:lang w:val="en-US"/>
              </w:rPr>
              <w:t>short,</w:t>
            </w:r>
            <w:r w:rsidRPr="00F01347">
              <w:rPr>
                <w:rFonts w:ascii="Verdana" w:hAnsi="Verdana"/>
                <w:sz w:val="16"/>
                <w:szCs w:val="16"/>
                <w:lang w:val="en-US"/>
              </w:rPr>
              <w:t xml:space="preserve"> and the samples do not have enough time to reach the mentioned temperature. In this case, the ice packs in the transport coolers should be checked. If these are still frozen, the samples can be considered valid. Samples must be frozen upon arrival at the laboratory.</w:t>
            </w:r>
          </w:p>
        </w:tc>
      </w:tr>
      <w:tr w:rsidR="00607E30" w:rsidRPr="00F01347" w14:paraId="4DD75E37" w14:textId="25C25AD2" w:rsidTr="00A24AAD">
        <w:tc>
          <w:tcPr>
            <w:tcW w:w="4675" w:type="dxa"/>
          </w:tcPr>
          <w:p w14:paraId="65642474" w14:textId="77777777" w:rsidR="00607E30" w:rsidRPr="00F01347" w:rsidRDefault="00607E30" w:rsidP="00607E30">
            <w:pPr>
              <w:pStyle w:val="texto0"/>
              <w:ind w:firstLine="0"/>
              <w:rPr>
                <w:rFonts w:ascii="Verdana" w:hAnsi="Verdana"/>
                <w:sz w:val="16"/>
                <w:szCs w:val="16"/>
              </w:rPr>
            </w:pPr>
            <w:r w:rsidRPr="00F01347">
              <w:rPr>
                <w:rFonts w:ascii="Verdana" w:hAnsi="Verdana"/>
                <w:sz w:val="16"/>
                <w:szCs w:val="16"/>
              </w:rPr>
              <w:t>Para muestras de agua de uso y consumo humano que ha pasado a través de un sistema de tratamiento, debe analizarse una muestra de cada hielera de transporte utilizando ensayos comunes para determinar el cloro libre residual, por ejemplo, la técnica colorimétrica N, N-</w:t>
            </w:r>
            <w:proofErr w:type="spellStart"/>
            <w:r w:rsidRPr="00F01347">
              <w:rPr>
                <w:rFonts w:ascii="Verdana" w:hAnsi="Verdana"/>
                <w:sz w:val="16"/>
                <w:szCs w:val="16"/>
              </w:rPr>
              <w:t>dietil</w:t>
            </w:r>
            <w:proofErr w:type="spellEnd"/>
            <w:r w:rsidRPr="00F01347">
              <w:rPr>
                <w:rFonts w:ascii="Verdana" w:hAnsi="Verdana"/>
                <w:sz w:val="16"/>
                <w:szCs w:val="16"/>
              </w:rPr>
              <w:t>-p-</w:t>
            </w:r>
            <w:proofErr w:type="spellStart"/>
            <w:r w:rsidRPr="00F01347">
              <w:rPr>
                <w:rFonts w:ascii="Verdana" w:hAnsi="Verdana"/>
                <w:sz w:val="16"/>
                <w:szCs w:val="16"/>
              </w:rPr>
              <w:t>fenilendiamina</w:t>
            </w:r>
            <w:proofErr w:type="spellEnd"/>
            <w:r w:rsidRPr="00F01347">
              <w:rPr>
                <w:rFonts w:ascii="Verdana" w:hAnsi="Verdana"/>
                <w:sz w:val="16"/>
                <w:szCs w:val="16"/>
              </w:rPr>
              <w:t xml:space="preserve"> (DPD). La concentración total de cloro debe ser menor que el límite de detección del ensayo. Se puede recoger una muestra duplicada para llevar a cabo el ensayo de cloro libre residual.</w:t>
            </w:r>
          </w:p>
        </w:tc>
        <w:tc>
          <w:tcPr>
            <w:tcW w:w="4675" w:type="dxa"/>
          </w:tcPr>
          <w:p w14:paraId="2C22DFCA" w14:textId="51609F51" w:rsidR="00607E30" w:rsidRPr="00F01347" w:rsidRDefault="00607E30" w:rsidP="00607E30">
            <w:pPr>
              <w:pStyle w:val="texto0"/>
              <w:ind w:firstLine="0"/>
              <w:rPr>
                <w:rFonts w:ascii="Verdana" w:hAnsi="Verdana"/>
                <w:sz w:val="16"/>
                <w:szCs w:val="16"/>
                <w:lang w:val="en-US"/>
              </w:rPr>
            </w:pPr>
            <w:r w:rsidRPr="00F01347">
              <w:rPr>
                <w:rFonts w:ascii="Verdana" w:hAnsi="Verdana"/>
                <w:sz w:val="16"/>
                <w:szCs w:val="16"/>
                <w:lang w:val="en-US"/>
              </w:rPr>
              <w:t>For human use and consumption water samples that have passed through a treatment system, a sample from each transport cooler should be analyzed using common assays to determine residual free chlorine, for example, the N, N-diethyl colorimetric technique</w:t>
            </w:r>
            <w:r w:rsidR="003E1BA9" w:rsidRPr="00F01347">
              <w:rPr>
                <w:rFonts w:ascii="Verdana" w:hAnsi="Verdana"/>
                <w:sz w:val="16"/>
                <w:szCs w:val="16"/>
                <w:lang w:val="en-US"/>
              </w:rPr>
              <w:t>.</w:t>
            </w:r>
            <w:r w:rsidRPr="00F01347">
              <w:rPr>
                <w:rFonts w:ascii="Verdana" w:hAnsi="Verdana"/>
                <w:sz w:val="16"/>
                <w:szCs w:val="16"/>
                <w:lang w:val="en-US"/>
              </w:rPr>
              <w:t xml:space="preserve"> -p- phenylenediamine (DPD). The total chlorine concentration must be less than the detection limit of the assay. A duplicate sample can be collected to perform the residual free chlorine test.</w:t>
            </w:r>
          </w:p>
        </w:tc>
      </w:tr>
      <w:tr w:rsidR="00607E30" w:rsidRPr="00F01347" w14:paraId="55763F2C" w14:textId="41B525E7" w:rsidTr="00A24AAD">
        <w:tc>
          <w:tcPr>
            <w:tcW w:w="4675" w:type="dxa"/>
          </w:tcPr>
          <w:p w14:paraId="5A464948" w14:textId="77777777" w:rsidR="00607E30" w:rsidRPr="00F01347" w:rsidRDefault="00607E30" w:rsidP="00607E30">
            <w:pPr>
              <w:pStyle w:val="texto0"/>
              <w:ind w:firstLine="0"/>
              <w:rPr>
                <w:rFonts w:ascii="Verdana" w:hAnsi="Verdana"/>
                <w:sz w:val="16"/>
                <w:szCs w:val="16"/>
              </w:rPr>
            </w:pPr>
            <w:r w:rsidRPr="00F01347">
              <w:rPr>
                <w:rFonts w:ascii="Verdana" w:hAnsi="Verdana"/>
                <w:sz w:val="16"/>
                <w:szCs w:val="16"/>
              </w:rPr>
              <w:t xml:space="preserve">Para el almacenamiento en congelación, deben utilizarse botellas de vidrio de borosilicato, claras o ámbar, con tapas con empaques de PTFE. Seleccione la </w:t>
            </w:r>
            <w:r w:rsidRPr="00F01347">
              <w:rPr>
                <w:rFonts w:ascii="Verdana" w:hAnsi="Verdana"/>
                <w:sz w:val="16"/>
                <w:szCs w:val="16"/>
              </w:rPr>
              <w:lastRenderedPageBreak/>
              <w:t>capacidad de la botella y el volumen de la muestra para evitar la ruptura de las botellas durante la congelación. Planee con anticipación para contar con suficiente volumen para preparar muestras de control de calidad como se requiere en este método.</w:t>
            </w:r>
          </w:p>
        </w:tc>
        <w:tc>
          <w:tcPr>
            <w:tcW w:w="4675" w:type="dxa"/>
          </w:tcPr>
          <w:p w14:paraId="5D7BEEAD" w14:textId="2C9A1DCD" w:rsidR="00607E30" w:rsidRPr="00F01347" w:rsidRDefault="00607E30" w:rsidP="00607E30">
            <w:pPr>
              <w:pStyle w:val="texto0"/>
              <w:ind w:firstLine="0"/>
              <w:rPr>
                <w:rFonts w:ascii="Verdana" w:hAnsi="Verdana"/>
                <w:sz w:val="16"/>
                <w:szCs w:val="16"/>
                <w:lang w:val="en-US"/>
              </w:rPr>
            </w:pPr>
            <w:r w:rsidRPr="00F01347">
              <w:rPr>
                <w:rFonts w:ascii="Verdana" w:hAnsi="Verdana"/>
                <w:sz w:val="16"/>
                <w:szCs w:val="16"/>
                <w:lang w:val="en-US"/>
              </w:rPr>
              <w:lastRenderedPageBreak/>
              <w:t xml:space="preserve">For frozen storage, clear or amber borosilicate glass bottles with PTFE gasket lids should be used. Select bottle capacity and sample volume to avoid rupture of </w:t>
            </w:r>
            <w:r w:rsidRPr="00F01347">
              <w:rPr>
                <w:rFonts w:ascii="Verdana" w:hAnsi="Verdana"/>
                <w:sz w:val="16"/>
                <w:szCs w:val="16"/>
                <w:lang w:val="en-US"/>
              </w:rPr>
              <w:lastRenderedPageBreak/>
              <w:t xml:space="preserve">bottles during freezing. </w:t>
            </w:r>
            <w:proofErr w:type="gramStart"/>
            <w:r w:rsidRPr="00F01347">
              <w:rPr>
                <w:rFonts w:ascii="Verdana" w:hAnsi="Verdana"/>
                <w:sz w:val="16"/>
                <w:szCs w:val="16"/>
                <w:lang w:val="en-US"/>
              </w:rPr>
              <w:t>Plan ahead</w:t>
            </w:r>
            <w:proofErr w:type="gramEnd"/>
            <w:r w:rsidRPr="00F01347">
              <w:rPr>
                <w:rFonts w:ascii="Verdana" w:hAnsi="Verdana"/>
                <w:sz w:val="16"/>
                <w:szCs w:val="16"/>
                <w:lang w:val="en-US"/>
              </w:rPr>
              <w:t xml:space="preserve"> to have sufficient volume to prepare quality control samples as required in this method.</w:t>
            </w:r>
          </w:p>
        </w:tc>
      </w:tr>
      <w:tr w:rsidR="00607E30" w:rsidRPr="00F01347" w14:paraId="3E8A6FBA" w14:textId="6BE31768" w:rsidTr="00A24AAD">
        <w:tc>
          <w:tcPr>
            <w:tcW w:w="4675" w:type="dxa"/>
          </w:tcPr>
          <w:p w14:paraId="34626A07" w14:textId="77777777" w:rsidR="00607E30" w:rsidRPr="00F01347" w:rsidRDefault="00607E30" w:rsidP="00607E30">
            <w:pPr>
              <w:pStyle w:val="texto0"/>
              <w:spacing w:line="220" w:lineRule="exact"/>
              <w:ind w:firstLine="0"/>
              <w:rPr>
                <w:rFonts w:ascii="Verdana" w:hAnsi="Verdana"/>
                <w:sz w:val="16"/>
                <w:szCs w:val="16"/>
              </w:rPr>
            </w:pPr>
            <w:r w:rsidRPr="00F01347">
              <w:rPr>
                <w:rFonts w:ascii="Verdana" w:hAnsi="Verdana"/>
                <w:sz w:val="16"/>
                <w:szCs w:val="16"/>
              </w:rPr>
              <w:lastRenderedPageBreak/>
              <w:t xml:space="preserve">Las muestras deben de ser analizadas lo antes posible. Las muestras que se colectan y almacenan deben analizarse dentro de los 14 días posteriores a la recolección. Este periodo de 14 días se estableció como un tiempo de retención seguro basado en la evidencia empírica: durante el desarrollo del método, se observó la degradación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en dos matrices de agua potable después de tres semanas de almacenamiento en congelación.</w:t>
            </w:r>
          </w:p>
        </w:tc>
        <w:tc>
          <w:tcPr>
            <w:tcW w:w="4675" w:type="dxa"/>
          </w:tcPr>
          <w:p w14:paraId="0205D93C" w14:textId="2F76050F" w:rsidR="00607E30" w:rsidRPr="00F01347" w:rsidRDefault="00607E30" w:rsidP="00607E3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Samples must be analyzed as soon as possible. Samples that are collected and stored should be analyzed within 14 days of collection. This 14-day period was established as a safe retention time based on empirical evidence: during method development, the degradation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was observed in two drinking water matrices after three weeks of frozen storage.</w:t>
            </w:r>
          </w:p>
        </w:tc>
      </w:tr>
      <w:tr w:rsidR="00607E30" w:rsidRPr="00F01347" w14:paraId="21A3651B" w14:textId="3B516B08" w:rsidTr="00A24AAD">
        <w:tc>
          <w:tcPr>
            <w:tcW w:w="4675" w:type="dxa"/>
          </w:tcPr>
          <w:p w14:paraId="5FECFC99" w14:textId="77777777" w:rsidR="00607E30" w:rsidRPr="00F01347" w:rsidRDefault="00607E30" w:rsidP="00607E30">
            <w:pPr>
              <w:pStyle w:val="texto0"/>
              <w:spacing w:line="220" w:lineRule="exact"/>
              <w:ind w:firstLine="0"/>
              <w:rPr>
                <w:rFonts w:ascii="Verdana" w:hAnsi="Verdana"/>
                <w:sz w:val="16"/>
                <w:szCs w:val="16"/>
              </w:rPr>
            </w:pPr>
            <w:r w:rsidRPr="00F01347">
              <w:rPr>
                <w:rFonts w:ascii="Verdana" w:hAnsi="Verdana"/>
                <w:sz w:val="16"/>
                <w:szCs w:val="16"/>
              </w:rPr>
              <w:t>Las muestras pueden filtrarse y analizarse en cualquier momento después de lisis, dentro de los 14 días posteriores a la recolección. Si no se analizan inmediatamente, las muestras lisadas pueden almacenarse mediante congelación en viales de vidrio con tapas con empaques de PTFE, por ejemplo, 1 ml de muestra lisada y filtrada contenida en un vial de 4 ml.</w:t>
            </w:r>
          </w:p>
        </w:tc>
        <w:tc>
          <w:tcPr>
            <w:tcW w:w="4675" w:type="dxa"/>
          </w:tcPr>
          <w:p w14:paraId="3D83D92A" w14:textId="5DACE425" w:rsidR="00607E30" w:rsidRPr="00F01347" w:rsidRDefault="00607E30" w:rsidP="00607E30">
            <w:pPr>
              <w:pStyle w:val="texto0"/>
              <w:spacing w:line="220" w:lineRule="exact"/>
              <w:ind w:firstLine="0"/>
              <w:rPr>
                <w:rFonts w:ascii="Verdana" w:hAnsi="Verdana"/>
                <w:sz w:val="16"/>
                <w:szCs w:val="16"/>
                <w:lang w:val="en-US"/>
              </w:rPr>
            </w:pPr>
            <w:r w:rsidRPr="00F01347">
              <w:rPr>
                <w:rFonts w:ascii="Verdana" w:hAnsi="Verdana"/>
                <w:sz w:val="16"/>
                <w:szCs w:val="16"/>
                <w:lang w:val="en-US"/>
              </w:rPr>
              <w:t>Samples can be filtered and analyzed at any time after lysis, within 14 days of collection. If not analyzed immediately, lysed samples can be stored by freezing in glass vials with PTFE gasket caps, for example, 1 ml of lysed and filtered sample contained in a 4 ml vial.</w:t>
            </w:r>
          </w:p>
        </w:tc>
      </w:tr>
      <w:tr w:rsidR="00607E30" w:rsidRPr="00F01347" w14:paraId="562566DE" w14:textId="2A6D5C0C" w:rsidTr="00A24AAD">
        <w:tc>
          <w:tcPr>
            <w:tcW w:w="4675" w:type="dxa"/>
          </w:tcPr>
          <w:p w14:paraId="146A8963" w14:textId="77777777" w:rsidR="00607E30" w:rsidRPr="00F01347" w:rsidRDefault="00607E30" w:rsidP="00607E30">
            <w:pPr>
              <w:pStyle w:val="texto0"/>
              <w:spacing w:line="220" w:lineRule="exact"/>
              <w:ind w:firstLine="0"/>
              <w:rPr>
                <w:rFonts w:ascii="Verdana" w:hAnsi="Verdana"/>
                <w:b/>
                <w:sz w:val="16"/>
                <w:szCs w:val="16"/>
              </w:rPr>
            </w:pPr>
            <w:r w:rsidRPr="00F01347">
              <w:rPr>
                <w:rFonts w:ascii="Verdana" w:hAnsi="Verdana"/>
                <w:b/>
                <w:sz w:val="16"/>
                <w:szCs w:val="16"/>
              </w:rPr>
              <w:t>B.1.1.7.2 Procedimiento analítico</w:t>
            </w:r>
          </w:p>
        </w:tc>
        <w:tc>
          <w:tcPr>
            <w:tcW w:w="4675" w:type="dxa"/>
          </w:tcPr>
          <w:p w14:paraId="4070FB1F" w14:textId="4CB93529" w:rsidR="00607E30" w:rsidRPr="00F01347" w:rsidRDefault="00607E30" w:rsidP="00607E30">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B.1.1.7.2 Analytical procedure</w:t>
            </w:r>
          </w:p>
        </w:tc>
      </w:tr>
      <w:tr w:rsidR="00607E30" w:rsidRPr="00F01347" w14:paraId="2D0268F4" w14:textId="5AD2F025" w:rsidTr="00A24AAD">
        <w:tc>
          <w:tcPr>
            <w:tcW w:w="4675" w:type="dxa"/>
          </w:tcPr>
          <w:p w14:paraId="73E82C8F" w14:textId="77777777" w:rsidR="00607E30" w:rsidRPr="00F01347" w:rsidRDefault="00607E30" w:rsidP="00607E30">
            <w:pPr>
              <w:pStyle w:val="texto0"/>
              <w:spacing w:line="220" w:lineRule="exact"/>
              <w:ind w:firstLine="0"/>
              <w:rPr>
                <w:rFonts w:ascii="Verdana" w:hAnsi="Verdana"/>
                <w:sz w:val="16"/>
                <w:szCs w:val="16"/>
              </w:rPr>
            </w:pPr>
            <w:r w:rsidRPr="00F01347">
              <w:rPr>
                <w:rFonts w:ascii="Verdana" w:hAnsi="Verdana"/>
                <w:sz w:val="16"/>
                <w:szCs w:val="16"/>
              </w:rPr>
              <w:t xml:space="preserve">Este apartado describe el procedimiento para preparar las muestras y procesar la placa de </w:t>
            </w:r>
            <w:proofErr w:type="spellStart"/>
            <w:r w:rsidRPr="00F01347">
              <w:rPr>
                <w:rFonts w:ascii="Verdana" w:hAnsi="Verdana"/>
                <w:sz w:val="16"/>
                <w:szCs w:val="16"/>
              </w:rPr>
              <w:t>microtitulación</w:t>
            </w:r>
            <w:proofErr w:type="spellEnd"/>
            <w:r w:rsidRPr="00F01347">
              <w:rPr>
                <w:rFonts w:ascii="Verdana" w:hAnsi="Verdana"/>
                <w:sz w:val="16"/>
                <w:szCs w:val="16"/>
              </w:rPr>
              <w:t xml:space="preserve"> para realizar el ELISA. Fortifique las muestras QC antes de la etapa de lisis (LFB, LFSM y LFSMD). Si las muestras se congelaron, es aceptable fortificar después de este primer ciclo de lisis.</w:t>
            </w:r>
          </w:p>
        </w:tc>
        <w:tc>
          <w:tcPr>
            <w:tcW w:w="4675" w:type="dxa"/>
          </w:tcPr>
          <w:p w14:paraId="695391AF" w14:textId="783937F0" w:rsidR="00607E30" w:rsidRPr="00F01347" w:rsidRDefault="00607E30" w:rsidP="00607E30">
            <w:pPr>
              <w:pStyle w:val="texto0"/>
              <w:spacing w:line="220" w:lineRule="exact"/>
              <w:ind w:firstLine="0"/>
              <w:rPr>
                <w:rFonts w:ascii="Verdana" w:hAnsi="Verdana"/>
                <w:sz w:val="16"/>
                <w:szCs w:val="16"/>
                <w:lang w:val="en-US"/>
              </w:rPr>
            </w:pPr>
            <w:r w:rsidRPr="00F01347">
              <w:rPr>
                <w:rFonts w:ascii="Verdana" w:hAnsi="Verdana"/>
                <w:sz w:val="16"/>
                <w:szCs w:val="16"/>
                <w:lang w:val="en-US"/>
              </w:rPr>
              <w:t>This section describes the procedure to prepare the samples and process the microtiter plate to perform the ELISA. Fortify QC samples before the lysis step (LFB, LFSM and LFSMD). If samples were frozen, it is acceptable to fortify after this first lysis cycle.</w:t>
            </w:r>
          </w:p>
        </w:tc>
      </w:tr>
      <w:tr w:rsidR="00607E30" w:rsidRPr="00F01347" w14:paraId="06CDF21E" w14:textId="7D785C45" w:rsidTr="00A24AAD">
        <w:tc>
          <w:tcPr>
            <w:tcW w:w="4675" w:type="dxa"/>
          </w:tcPr>
          <w:p w14:paraId="50812DFC" w14:textId="77777777" w:rsidR="00607E30" w:rsidRPr="00F01347" w:rsidRDefault="00607E30" w:rsidP="00607E30">
            <w:pPr>
              <w:pStyle w:val="texto0"/>
              <w:spacing w:line="220" w:lineRule="exact"/>
              <w:ind w:firstLine="0"/>
              <w:rPr>
                <w:rFonts w:ascii="Verdana" w:hAnsi="Verdana"/>
                <w:sz w:val="16"/>
                <w:szCs w:val="16"/>
              </w:rPr>
            </w:pPr>
            <w:r w:rsidRPr="00F01347">
              <w:rPr>
                <w:rFonts w:ascii="Verdana" w:hAnsi="Verdana"/>
                <w:sz w:val="16"/>
                <w:szCs w:val="16"/>
              </w:rPr>
              <w:t xml:space="preserve">Mezclar </w:t>
            </w:r>
            <w:proofErr w:type="gramStart"/>
            <w:r w:rsidRPr="00F01347">
              <w:rPr>
                <w:rFonts w:ascii="Verdana" w:hAnsi="Verdana"/>
                <w:sz w:val="16"/>
                <w:szCs w:val="16"/>
              </w:rPr>
              <w:t>completamente e inmediatamente</w:t>
            </w:r>
            <w:proofErr w:type="gramEnd"/>
            <w:r w:rsidRPr="00F01347">
              <w:rPr>
                <w:rFonts w:ascii="Verdana" w:hAnsi="Verdana"/>
                <w:sz w:val="16"/>
                <w:szCs w:val="16"/>
              </w:rPr>
              <w:t xml:space="preserve"> transferir 5 a 10 </w:t>
            </w:r>
            <w:proofErr w:type="spellStart"/>
            <w:r w:rsidRPr="00F01347">
              <w:rPr>
                <w:rFonts w:ascii="Verdana" w:hAnsi="Verdana"/>
                <w:sz w:val="16"/>
                <w:szCs w:val="16"/>
              </w:rPr>
              <w:t>mL</w:t>
            </w:r>
            <w:proofErr w:type="spellEnd"/>
            <w:r w:rsidRPr="00F01347">
              <w:rPr>
                <w:rFonts w:ascii="Verdana" w:hAnsi="Verdana"/>
                <w:sz w:val="16"/>
                <w:szCs w:val="16"/>
              </w:rPr>
              <w:t xml:space="preserve"> de cada muestra de campo en un vial de 40 </w:t>
            </w:r>
            <w:proofErr w:type="spellStart"/>
            <w:r w:rsidRPr="00F01347">
              <w:rPr>
                <w:rFonts w:ascii="Verdana" w:hAnsi="Verdana"/>
                <w:sz w:val="16"/>
                <w:szCs w:val="16"/>
              </w:rPr>
              <w:t>mL</w:t>
            </w:r>
            <w:proofErr w:type="spellEnd"/>
            <w:r w:rsidRPr="00F01347">
              <w:rPr>
                <w:rFonts w:ascii="Verdana" w:hAnsi="Verdana"/>
                <w:sz w:val="16"/>
                <w:szCs w:val="16"/>
              </w:rPr>
              <w:t xml:space="preserve"> para comenzar tres ciclos de congelación-descongelación. Si la muestra se congeló previamente, sólo se necesitan dos ciclos de congelación-descongelación. Pueden utilizarse viales más pequeños, pero reduzca el volumen de la muestra a menos del 25% de la capacidad del vial. Asegúrese de que las muestras estén </w:t>
            </w:r>
            <w:proofErr w:type="gramStart"/>
            <w:r w:rsidRPr="00F01347">
              <w:rPr>
                <w:rFonts w:ascii="Verdana" w:hAnsi="Verdana"/>
                <w:sz w:val="16"/>
                <w:szCs w:val="16"/>
              </w:rPr>
              <w:t>completamente congeladas y completamente descongeladas</w:t>
            </w:r>
            <w:proofErr w:type="gramEnd"/>
            <w:r w:rsidRPr="00F01347">
              <w:rPr>
                <w:rFonts w:ascii="Verdana" w:hAnsi="Verdana"/>
                <w:sz w:val="16"/>
                <w:szCs w:val="16"/>
              </w:rPr>
              <w:t xml:space="preserve"> durante cada ciclo. Descongelar las muestras a aproximadamente 35 °C en un baño de agua y mezclar después de cada ciclo.</w:t>
            </w:r>
          </w:p>
        </w:tc>
        <w:tc>
          <w:tcPr>
            <w:tcW w:w="4675" w:type="dxa"/>
          </w:tcPr>
          <w:p w14:paraId="0D78C4C5" w14:textId="39992313" w:rsidR="00607E30" w:rsidRPr="00F01347" w:rsidRDefault="00607E30" w:rsidP="00607E3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Mix thoroughly and immediately transfer 5 to 10 mL of each field sample into a 40 mL vial to begin three freeze-thaw cycles. If the sample was previously frozen, only two freeze-thaw cycles are needed. Smaller vials can be </w:t>
            </w:r>
            <w:r w:rsidR="00030772" w:rsidRPr="00F01347">
              <w:rPr>
                <w:rFonts w:ascii="Verdana" w:hAnsi="Verdana"/>
                <w:sz w:val="16"/>
                <w:szCs w:val="16"/>
                <w:lang w:val="en-US"/>
              </w:rPr>
              <w:t>used but</w:t>
            </w:r>
            <w:r w:rsidRPr="00F01347">
              <w:rPr>
                <w:rFonts w:ascii="Verdana" w:hAnsi="Verdana"/>
                <w:sz w:val="16"/>
                <w:szCs w:val="16"/>
                <w:lang w:val="en-US"/>
              </w:rPr>
              <w:t xml:space="preserve"> reduce the sample volume to less than 25% of the vial capacity. Make sure samples are completely frozen and completely thawed during each cycle. Thaw samples at approximately 35 °C in a water bath and mix after each cycle.</w:t>
            </w:r>
          </w:p>
        </w:tc>
      </w:tr>
      <w:tr w:rsidR="00607E30" w:rsidRPr="00F01347" w14:paraId="71A183D5" w14:textId="5032A20B" w:rsidTr="00A24AAD">
        <w:tc>
          <w:tcPr>
            <w:tcW w:w="4675" w:type="dxa"/>
          </w:tcPr>
          <w:p w14:paraId="25CE2D03" w14:textId="77777777" w:rsidR="00607E30" w:rsidRPr="00F01347" w:rsidRDefault="00607E30" w:rsidP="00607E30">
            <w:pPr>
              <w:pStyle w:val="texto0"/>
              <w:spacing w:line="220" w:lineRule="exact"/>
              <w:ind w:firstLine="0"/>
              <w:rPr>
                <w:rFonts w:ascii="Verdana" w:hAnsi="Verdana"/>
                <w:sz w:val="16"/>
                <w:szCs w:val="16"/>
              </w:rPr>
            </w:pPr>
            <w:r w:rsidRPr="00F01347">
              <w:rPr>
                <w:rFonts w:ascii="Verdana" w:hAnsi="Verdana"/>
                <w:sz w:val="16"/>
                <w:szCs w:val="16"/>
              </w:rPr>
              <w:t xml:space="preserve">Filtrar 1 a 2 </w:t>
            </w:r>
            <w:proofErr w:type="spellStart"/>
            <w:r w:rsidRPr="00F01347">
              <w:rPr>
                <w:rFonts w:ascii="Verdana" w:hAnsi="Verdana"/>
                <w:sz w:val="16"/>
                <w:szCs w:val="16"/>
              </w:rPr>
              <w:t>mL</w:t>
            </w:r>
            <w:proofErr w:type="spellEnd"/>
            <w:r w:rsidRPr="00F01347">
              <w:rPr>
                <w:rFonts w:ascii="Verdana" w:hAnsi="Verdana"/>
                <w:sz w:val="16"/>
                <w:szCs w:val="16"/>
              </w:rPr>
              <w:t xml:space="preserve"> de cada muestra lisada en un vial de 4 </w:t>
            </w:r>
            <w:proofErr w:type="spellStart"/>
            <w:r w:rsidRPr="00F01347">
              <w:rPr>
                <w:rFonts w:ascii="Verdana" w:hAnsi="Verdana"/>
                <w:sz w:val="16"/>
                <w:szCs w:val="16"/>
              </w:rPr>
              <w:t>mL</w:t>
            </w:r>
            <w:proofErr w:type="spellEnd"/>
            <w:r w:rsidRPr="00F01347">
              <w:rPr>
                <w:rFonts w:ascii="Verdana" w:hAnsi="Verdana"/>
                <w:sz w:val="16"/>
                <w:szCs w:val="16"/>
              </w:rPr>
              <w:t xml:space="preserve"> usando un filtro de jeringa de fibra de vidrio.</w:t>
            </w:r>
          </w:p>
        </w:tc>
        <w:tc>
          <w:tcPr>
            <w:tcW w:w="4675" w:type="dxa"/>
          </w:tcPr>
          <w:p w14:paraId="417F605B" w14:textId="6B7E5F00" w:rsidR="00607E30" w:rsidRPr="00F01347" w:rsidRDefault="00607E30" w:rsidP="00607E30">
            <w:pPr>
              <w:pStyle w:val="texto0"/>
              <w:spacing w:line="220" w:lineRule="exact"/>
              <w:ind w:firstLine="0"/>
              <w:rPr>
                <w:rFonts w:ascii="Verdana" w:hAnsi="Verdana"/>
                <w:sz w:val="16"/>
                <w:szCs w:val="16"/>
                <w:lang w:val="en-US"/>
              </w:rPr>
            </w:pPr>
            <w:r w:rsidRPr="00F01347">
              <w:rPr>
                <w:rFonts w:ascii="Verdana" w:hAnsi="Verdana"/>
                <w:sz w:val="16"/>
                <w:szCs w:val="16"/>
                <w:lang w:val="en-US"/>
              </w:rPr>
              <w:t>Filter 1 to 2 mL of each lysed sample into a 4 mL vial using a glass fiber syringe filter.</w:t>
            </w:r>
          </w:p>
        </w:tc>
      </w:tr>
      <w:tr w:rsidR="00607E30" w:rsidRPr="00F01347" w14:paraId="58AC5690" w14:textId="4E2A6E6C" w:rsidTr="00A24AAD">
        <w:tc>
          <w:tcPr>
            <w:tcW w:w="4675" w:type="dxa"/>
          </w:tcPr>
          <w:p w14:paraId="5C4B87FA" w14:textId="7D7C41D1" w:rsidR="00607E30" w:rsidRPr="00F01347" w:rsidRDefault="00607E30" w:rsidP="00607E30">
            <w:pPr>
              <w:pStyle w:val="texto0"/>
              <w:spacing w:line="220" w:lineRule="exact"/>
              <w:ind w:firstLine="0"/>
              <w:rPr>
                <w:rFonts w:ascii="Verdana" w:hAnsi="Verdana"/>
                <w:sz w:val="16"/>
                <w:szCs w:val="16"/>
              </w:rPr>
            </w:pPr>
            <w:r w:rsidRPr="00F01347">
              <w:rPr>
                <w:rFonts w:ascii="Verdana" w:hAnsi="Verdana"/>
                <w:sz w:val="16"/>
                <w:szCs w:val="16"/>
              </w:rPr>
              <w:t xml:space="preserve">Para realizar el ELISA siga las instrucciones del fabricante para agregar muestras y reactivos a la placa. Llene dos pozos con cada estándar de calibración, muestra de campo y muestra de control de calidad. Al construir el lote de análisis debe asegurarse de que se incluyen todos los elementos de control de calidad requeridos. Las muestras de agua de uso y consumo humano pueden ser procesadas en el mismo </w:t>
            </w:r>
            <w:r w:rsidR="00C621FF" w:rsidRPr="00F01347">
              <w:rPr>
                <w:rFonts w:ascii="Verdana" w:hAnsi="Verdana"/>
                <w:sz w:val="16"/>
                <w:szCs w:val="16"/>
              </w:rPr>
              <w:t>lote de</w:t>
            </w:r>
            <w:r w:rsidRPr="00F01347">
              <w:rPr>
                <w:rFonts w:ascii="Verdana" w:hAnsi="Verdana"/>
                <w:sz w:val="16"/>
                <w:szCs w:val="16"/>
              </w:rPr>
              <w:t xml:space="preserve"> análisis.</w:t>
            </w:r>
          </w:p>
        </w:tc>
        <w:tc>
          <w:tcPr>
            <w:tcW w:w="4675" w:type="dxa"/>
          </w:tcPr>
          <w:p w14:paraId="4CDAF196" w14:textId="32B19452" w:rsidR="00607E30" w:rsidRPr="00F01347" w:rsidRDefault="00607E30" w:rsidP="00607E3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To perform the </w:t>
            </w:r>
            <w:proofErr w:type="gramStart"/>
            <w:r w:rsidRPr="00F01347">
              <w:rPr>
                <w:rFonts w:ascii="Verdana" w:hAnsi="Verdana"/>
                <w:sz w:val="16"/>
                <w:szCs w:val="16"/>
                <w:lang w:val="en-US"/>
              </w:rPr>
              <w:t>ELISA</w:t>
            </w:r>
            <w:proofErr w:type="gramEnd"/>
            <w:r w:rsidRPr="00F01347">
              <w:rPr>
                <w:rFonts w:ascii="Verdana" w:hAnsi="Verdana"/>
                <w:sz w:val="16"/>
                <w:szCs w:val="16"/>
                <w:lang w:val="en-US"/>
              </w:rPr>
              <w:t xml:space="preserve"> follow the manufacturer's instructions for adding samples and reagents to the plate. Fill two wells with each calibration standard, field sample, and quality control sample. When constructing the analysis </w:t>
            </w:r>
            <w:proofErr w:type="gramStart"/>
            <w:r w:rsidR="0031793E" w:rsidRPr="00F01347">
              <w:rPr>
                <w:rFonts w:ascii="Verdana" w:hAnsi="Verdana"/>
                <w:sz w:val="16"/>
                <w:szCs w:val="16"/>
                <w:lang w:val="en-US"/>
              </w:rPr>
              <w:t>lot</w:t>
            </w:r>
            <w:proofErr w:type="gramEnd"/>
            <w:r w:rsidRPr="00F01347">
              <w:rPr>
                <w:rFonts w:ascii="Verdana" w:hAnsi="Verdana"/>
                <w:sz w:val="16"/>
                <w:szCs w:val="16"/>
                <w:lang w:val="en-US"/>
              </w:rPr>
              <w:t xml:space="preserve"> </w:t>
            </w:r>
            <w:r w:rsidR="004A6BE5" w:rsidRPr="00F01347">
              <w:rPr>
                <w:rFonts w:ascii="Verdana" w:hAnsi="Verdana"/>
                <w:sz w:val="16"/>
                <w:szCs w:val="16"/>
                <w:lang w:val="en-US"/>
              </w:rPr>
              <w:t>one</w:t>
            </w:r>
            <w:r w:rsidRPr="00F01347">
              <w:rPr>
                <w:rFonts w:ascii="Verdana" w:hAnsi="Verdana"/>
                <w:sz w:val="16"/>
                <w:szCs w:val="16"/>
                <w:lang w:val="en-US"/>
              </w:rPr>
              <w:t xml:space="preserve"> must ensure that all required quality control elements are included. Water samples for human use and consumption can be processed in the same analysis batch</w:t>
            </w:r>
            <w:r w:rsidR="003E1BA9" w:rsidRPr="00F01347">
              <w:rPr>
                <w:rFonts w:ascii="Verdana" w:hAnsi="Verdana"/>
                <w:sz w:val="16"/>
                <w:szCs w:val="16"/>
                <w:lang w:val="en-US"/>
              </w:rPr>
              <w:t>.</w:t>
            </w:r>
          </w:p>
        </w:tc>
      </w:tr>
      <w:tr w:rsidR="00607E30" w:rsidRPr="00F01347" w14:paraId="1A372901" w14:textId="3CBBAA79" w:rsidTr="00A24AAD">
        <w:tc>
          <w:tcPr>
            <w:tcW w:w="4675" w:type="dxa"/>
          </w:tcPr>
          <w:p w14:paraId="6681BCDC" w14:textId="77777777" w:rsidR="00607E30" w:rsidRPr="00F01347" w:rsidRDefault="00607E30" w:rsidP="00607E30">
            <w:pPr>
              <w:pStyle w:val="texto0"/>
              <w:spacing w:line="220" w:lineRule="exact"/>
              <w:ind w:firstLine="0"/>
              <w:rPr>
                <w:rFonts w:ascii="Verdana" w:hAnsi="Verdana"/>
                <w:sz w:val="16"/>
                <w:szCs w:val="16"/>
              </w:rPr>
            </w:pPr>
            <w:r w:rsidRPr="00F01347">
              <w:rPr>
                <w:rFonts w:ascii="Verdana" w:hAnsi="Verdana"/>
                <w:sz w:val="16"/>
                <w:szCs w:val="16"/>
              </w:rPr>
              <w:t xml:space="preserve">Para el desarrollo del color, si se procesan las placas manualmente, utilice una técnica que asegure que cada pozo se incube con sustrato exactamente durante el mismo período. Para lograr esto, añadir solución de </w:t>
            </w:r>
            <w:r w:rsidRPr="00F01347">
              <w:rPr>
                <w:rFonts w:ascii="Verdana" w:hAnsi="Verdana"/>
                <w:sz w:val="16"/>
                <w:szCs w:val="16"/>
              </w:rPr>
              <w:lastRenderedPageBreak/>
              <w:t>paro en la misma secuencia y al mismo ritmo que la adición de sustrato.</w:t>
            </w:r>
          </w:p>
        </w:tc>
        <w:tc>
          <w:tcPr>
            <w:tcW w:w="4675" w:type="dxa"/>
          </w:tcPr>
          <w:p w14:paraId="0687C3CC" w14:textId="706B50BC" w:rsidR="00607E30" w:rsidRPr="00F01347" w:rsidRDefault="00607E30" w:rsidP="00607E30">
            <w:pPr>
              <w:pStyle w:val="texto0"/>
              <w:spacing w:line="220" w:lineRule="exact"/>
              <w:ind w:firstLine="0"/>
              <w:rPr>
                <w:rFonts w:ascii="Verdana" w:hAnsi="Verdana"/>
                <w:sz w:val="16"/>
                <w:szCs w:val="16"/>
                <w:lang w:val="en-US"/>
              </w:rPr>
            </w:pPr>
            <w:r w:rsidRPr="00F01347">
              <w:rPr>
                <w:rFonts w:ascii="Verdana" w:hAnsi="Verdana"/>
                <w:sz w:val="16"/>
                <w:szCs w:val="16"/>
                <w:lang w:val="en-US"/>
              </w:rPr>
              <w:lastRenderedPageBreak/>
              <w:t xml:space="preserve">For color development, if processing plates manually, use a technique that ensures each well is incubated with substrate for </w:t>
            </w:r>
            <w:proofErr w:type="gramStart"/>
            <w:r w:rsidRPr="00F01347">
              <w:rPr>
                <w:rFonts w:ascii="Verdana" w:hAnsi="Verdana"/>
                <w:sz w:val="16"/>
                <w:szCs w:val="16"/>
                <w:lang w:val="en-US"/>
              </w:rPr>
              <w:t>exactly the same</w:t>
            </w:r>
            <w:proofErr w:type="gramEnd"/>
            <w:r w:rsidRPr="00F01347">
              <w:rPr>
                <w:rFonts w:ascii="Verdana" w:hAnsi="Verdana"/>
                <w:sz w:val="16"/>
                <w:szCs w:val="16"/>
                <w:lang w:val="en-US"/>
              </w:rPr>
              <w:t xml:space="preserve"> period. To achieve this, </w:t>
            </w:r>
            <w:r w:rsidRPr="00F01347">
              <w:rPr>
                <w:rFonts w:ascii="Verdana" w:hAnsi="Verdana"/>
                <w:sz w:val="16"/>
                <w:szCs w:val="16"/>
                <w:lang w:val="en-US"/>
              </w:rPr>
              <w:lastRenderedPageBreak/>
              <w:t>add stop solution in the same sequence and at the same rate as adding substrate.</w:t>
            </w:r>
          </w:p>
        </w:tc>
      </w:tr>
      <w:tr w:rsidR="00607E30" w:rsidRPr="00F01347" w14:paraId="3CD2ED94" w14:textId="722DAA13" w:rsidTr="00A24AAD">
        <w:tc>
          <w:tcPr>
            <w:tcW w:w="4675" w:type="dxa"/>
          </w:tcPr>
          <w:p w14:paraId="512CC01D" w14:textId="77777777" w:rsidR="00607E30" w:rsidRPr="00F01347" w:rsidRDefault="00607E30" w:rsidP="00607E30">
            <w:pPr>
              <w:pStyle w:val="texto0"/>
              <w:spacing w:line="220" w:lineRule="exact"/>
              <w:ind w:firstLine="0"/>
              <w:rPr>
                <w:rFonts w:ascii="Verdana" w:hAnsi="Verdana"/>
                <w:sz w:val="16"/>
                <w:szCs w:val="16"/>
              </w:rPr>
            </w:pPr>
            <w:r w:rsidRPr="00F01347">
              <w:rPr>
                <w:rFonts w:ascii="Verdana" w:hAnsi="Verdana"/>
                <w:sz w:val="16"/>
                <w:szCs w:val="16"/>
              </w:rPr>
              <w:lastRenderedPageBreak/>
              <w:t xml:space="preserve">Medir el color leyendo la absorbancia a 450 nanómetros usando un lector de placas de </w:t>
            </w:r>
            <w:proofErr w:type="spellStart"/>
            <w:r w:rsidRPr="00F01347">
              <w:rPr>
                <w:rFonts w:ascii="Verdana" w:hAnsi="Verdana"/>
                <w:sz w:val="16"/>
                <w:szCs w:val="16"/>
              </w:rPr>
              <w:t>microtitulación</w:t>
            </w:r>
            <w:proofErr w:type="spellEnd"/>
            <w:r w:rsidRPr="00F01347">
              <w:rPr>
                <w:rFonts w:ascii="Verdana" w:hAnsi="Verdana"/>
                <w:sz w:val="16"/>
                <w:szCs w:val="16"/>
              </w:rPr>
              <w:t>.</w:t>
            </w:r>
          </w:p>
        </w:tc>
        <w:tc>
          <w:tcPr>
            <w:tcW w:w="4675" w:type="dxa"/>
          </w:tcPr>
          <w:p w14:paraId="5CE292C9" w14:textId="364B9BB3" w:rsidR="00607E30" w:rsidRPr="00F01347" w:rsidRDefault="00F27DDA" w:rsidP="00607E30">
            <w:pPr>
              <w:pStyle w:val="texto0"/>
              <w:spacing w:line="220" w:lineRule="exact"/>
              <w:ind w:firstLine="0"/>
              <w:rPr>
                <w:rFonts w:ascii="Verdana" w:hAnsi="Verdana"/>
                <w:sz w:val="16"/>
                <w:szCs w:val="16"/>
                <w:lang w:val="en-US"/>
              </w:rPr>
            </w:pPr>
            <w:r w:rsidRPr="00F01347">
              <w:rPr>
                <w:rFonts w:ascii="Verdana" w:hAnsi="Verdana"/>
                <w:sz w:val="16"/>
                <w:szCs w:val="16"/>
                <w:lang w:val="en-US"/>
              </w:rPr>
              <w:t>Measure color by reading absorbance at 450 nanometers using a microtiter plate reader.</w:t>
            </w:r>
          </w:p>
        </w:tc>
      </w:tr>
      <w:tr w:rsidR="00607E30" w:rsidRPr="00F01347" w14:paraId="786B413E" w14:textId="5CF194C5" w:rsidTr="00A24AAD">
        <w:tc>
          <w:tcPr>
            <w:tcW w:w="4675" w:type="dxa"/>
          </w:tcPr>
          <w:p w14:paraId="02F126D4" w14:textId="77777777" w:rsidR="00607E30" w:rsidRPr="00F01347" w:rsidRDefault="00607E30" w:rsidP="00607E30">
            <w:pPr>
              <w:pStyle w:val="texto0"/>
              <w:spacing w:line="227" w:lineRule="exact"/>
              <w:ind w:firstLine="0"/>
              <w:rPr>
                <w:rFonts w:ascii="Verdana" w:hAnsi="Verdana"/>
                <w:b/>
                <w:sz w:val="16"/>
                <w:szCs w:val="16"/>
              </w:rPr>
            </w:pPr>
            <w:r w:rsidRPr="00F01347">
              <w:rPr>
                <w:rFonts w:ascii="Verdana" w:hAnsi="Verdana"/>
                <w:b/>
                <w:sz w:val="16"/>
                <w:szCs w:val="16"/>
              </w:rPr>
              <w:t>B.1.1.7.3 Análisis de datos y cálculos</w:t>
            </w:r>
          </w:p>
        </w:tc>
        <w:tc>
          <w:tcPr>
            <w:tcW w:w="4675" w:type="dxa"/>
          </w:tcPr>
          <w:p w14:paraId="3AE52A99" w14:textId="433F7436" w:rsidR="00607E30" w:rsidRPr="00F01347" w:rsidRDefault="00607E30" w:rsidP="00607E30">
            <w:pPr>
              <w:pStyle w:val="texto0"/>
              <w:spacing w:line="227" w:lineRule="exact"/>
              <w:ind w:firstLine="0"/>
              <w:rPr>
                <w:rFonts w:ascii="Verdana" w:hAnsi="Verdana"/>
                <w:b/>
                <w:sz w:val="16"/>
                <w:szCs w:val="16"/>
                <w:lang w:val="en-US"/>
              </w:rPr>
            </w:pPr>
            <w:r w:rsidRPr="00F01347">
              <w:rPr>
                <w:rFonts w:ascii="Verdana" w:hAnsi="Verdana"/>
                <w:b/>
                <w:sz w:val="16"/>
                <w:szCs w:val="16"/>
                <w:lang w:val="en-US"/>
              </w:rPr>
              <w:t>B.1.1.7.3 Data analysis and calculations</w:t>
            </w:r>
          </w:p>
        </w:tc>
      </w:tr>
      <w:tr w:rsidR="00607E30" w:rsidRPr="00F01347" w14:paraId="7BDB0E88" w14:textId="4BA64019" w:rsidTr="00A24AAD">
        <w:tc>
          <w:tcPr>
            <w:tcW w:w="4675" w:type="dxa"/>
          </w:tcPr>
          <w:p w14:paraId="45B2EA80" w14:textId="77777777" w:rsidR="00607E30" w:rsidRPr="00F01347" w:rsidRDefault="00607E30" w:rsidP="00607E30">
            <w:pPr>
              <w:pStyle w:val="texto0"/>
              <w:spacing w:line="227" w:lineRule="exact"/>
              <w:ind w:firstLine="0"/>
              <w:rPr>
                <w:rFonts w:ascii="Verdana" w:hAnsi="Verdana"/>
                <w:sz w:val="16"/>
                <w:szCs w:val="16"/>
              </w:rPr>
            </w:pPr>
            <w:r w:rsidRPr="00F01347">
              <w:rPr>
                <w:rFonts w:ascii="Verdana" w:hAnsi="Verdana"/>
                <w:sz w:val="16"/>
                <w:szCs w:val="16"/>
              </w:rPr>
              <w:t xml:space="preserve">Se debe utilizar un ajuste de curva logística de cuatro parámetros. No se permiten otros modelos de ajuste de curvas. Calcular la concentración de la muestra para cada pozo utilizando la calibración multipunto. Para cada campo y muestra QC, debe promediarse los dos valores de concentración de cada pozo. Utilice </w:t>
            </w:r>
            <w:proofErr w:type="gramStart"/>
            <w:r w:rsidRPr="00F01347">
              <w:rPr>
                <w:rFonts w:ascii="Verdana" w:hAnsi="Verdana"/>
                <w:sz w:val="16"/>
                <w:szCs w:val="16"/>
              </w:rPr>
              <w:t>esta promedio</w:t>
            </w:r>
            <w:proofErr w:type="gramEnd"/>
            <w:r w:rsidRPr="00F01347">
              <w:rPr>
                <w:rFonts w:ascii="Verdana" w:hAnsi="Verdana"/>
                <w:sz w:val="16"/>
                <w:szCs w:val="16"/>
              </w:rPr>
              <w:t xml:space="preserve"> para reportar los resultados de las muestras y para evaluar los resultados del control de calidad frente a los límites de aceptación. Reporte solamente los valores que están entre el MRL y el estándar de calibración más alto. Los resultados finales se redondearán a dos cifras significativas.</w:t>
            </w:r>
          </w:p>
        </w:tc>
        <w:tc>
          <w:tcPr>
            <w:tcW w:w="4675" w:type="dxa"/>
          </w:tcPr>
          <w:p w14:paraId="43F5D207" w14:textId="745A11C8" w:rsidR="00607E30" w:rsidRPr="00F01347" w:rsidRDefault="00607E30" w:rsidP="00607E30">
            <w:pPr>
              <w:pStyle w:val="texto0"/>
              <w:spacing w:line="227" w:lineRule="exact"/>
              <w:ind w:firstLine="0"/>
              <w:rPr>
                <w:rFonts w:ascii="Verdana" w:hAnsi="Verdana"/>
                <w:sz w:val="16"/>
                <w:szCs w:val="16"/>
                <w:lang w:val="en-US"/>
              </w:rPr>
            </w:pPr>
            <w:r w:rsidRPr="00F01347">
              <w:rPr>
                <w:rFonts w:ascii="Verdana" w:hAnsi="Verdana"/>
                <w:sz w:val="16"/>
                <w:szCs w:val="16"/>
                <w:lang w:val="en-US"/>
              </w:rPr>
              <w:t xml:space="preserve">A four-parameter logistic curve fit should be used. Other curve fitting models are not allowed. Calculate the sample concentration for each well using multipoint calibration. For each field and QC sample, the two concentration values from each well should be averaged. Use this average to report sample results and to evaluate quality control results against acceptance limits. Report only values that are between the MRL and the highest calibration standard. The </w:t>
            </w:r>
            <w:proofErr w:type="gramStart"/>
            <w:r w:rsidRPr="00F01347">
              <w:rPr>
                <w:rFonts w:ascii="Verdana" w:hAnsi="Verdana"/>
                <w:sz w:val="16"/>
                <w:szCs w:val="16"/>
                <w:lang w:val="en-US"/>
              </w:rPr>
              <w:t>final results</w:t>
            </w:r>
            <w:proofErr w:type="gramEnd"/>
            <w:r w:rsidRPr="00F01347">
              <w:rPr>
                <w:rFonts w:ascii="Verdana" w:hAnsi="Verdana"/>
                <w:sz w:val="16"/>
                <w:szCs w:val="16"/>
                <w:lang w:val="en-US"/>
              </w:rPr>
              <w:t xml:space="preserve"> will be rounded to two significant figures.</w:t>
            </w:r>
          </w:p>
        </w:tc>
      </w:tr>
      <w:tr w:rsidR="00607E30" w:rsidRPr="00F01347" w14:paraId="54C21035" w14:textId="7709E086" w:rsidTr="00A24AAD">
        <w:tc>
          <w:tcPr>
            <w:tcW w:w="4675" w:type="dxa"/>
          </w:tcPr>
          <w:p w14:paraId="1DC9760A" w14:textId="77777777" w:rsidR="00607E30" w:rsidRPr="00F01347" w:rsidRDefault="00607E30" w:rsidP="00607E30">
            <w:pPr>
              <w:pStyle w:val="texto0"/>
              <w:spacing w:line="227" w:lineRule="exact"/>
              <w:ind w:firstLine="0"/>
              <w:rPr>
                <w:rFonts w:ascii="Verdana" w:hAnsi="Verdana"/>
                <w:sz w:val="16"/>
                <w:szCs w:val="16"/>
              </w:rPr>
            </w:pPr>
            <w:r w:rsidRPr="00F01347">
              <w:rPr>
                <w:rFonts w:ascii="Verdana" w:hAnsi="Verdana"/>
                <w:sz w:val="16"/>
                <w:szCs w:val="16"/>
              </w:rPr>
              <w:t>Si un resultado excede el rango de la curva de calibración, diluya la muestra con agua grado reactivo. Basándose en la concentración estimada, seleccione un factor de dilución que resulte en una concentración de muestra diluida cerca de la EC</w:t>
            </w:r>
            <w:r w:rsidRPr="00F01347">
              <w:rPr>
                <w:rFonts w:ascii="Verdana" w:hAnsi="Verdana"/>
                <w:sz w:val="16"/>
                <w:szCs w:val="16"/>
                <w:vertAlign w:val="subscript"/>
              </w:rPr>
              <w:t>50</w:t>
            </w:r>
            <w:r w:rsidRPr="00F01347">
              <w:rPr>
                <w:rFonts w:ascii="Verdana" w:hAnsi="Verdana"/>
                <w:sz w:val="16"/>
                <w:szCs w:val="16"/>
              </w:rPr>
              <w:t xml:space="preserve"> de la curva de calibración. La concentración en la muestra diluida debe situarse entre el MRL y el estándar de calibración más alto. Analizar la muestra diluida en un lote de análisis posterior. Incorporar el factor de dilución en los cálculos de la concentración final. Informe el factor de dilución con el resultado de la muestra.</w:t>
            </w:r>
          </w:p>
        </w:tc>
        <w:tc>
          <w:tcPr>
            <w:tcW w:w="4675" w:type="dxa"/>
          </w:tcPr>
          <w:p w14:paraId="50F77B07" w14:textId="5B096B22" w:rsidR="00607E30" w:rsidRPr="00F01347" w:rsidRDefault="00607E30" w:rsidP="00607E30">
            <w:pPr>
              <w:pStyle w:val="texto0"/>
              <w:spacing w:line="227" w:lineRule="exact"/>
              <w:ind w:firstLine="0"/>
              <w:rPr>
                <w:rFonts w:ascii="Verdana" w:hAnsi="Verdana"/>
                <w:sz w:val="16"/>
                <w:szCs w:val="16"/>
                <w:lang w:val="en-US"/>
              </w:rPr>
            </w:pPr>
            <w:r w:rsidRPr="00F01347">
              <w:rPr>
                <w:rFonts w:ascii="Verdana" w:hAnsi="Verdana"/>
                <w:sz w:val="16"/>
                <w:szCs w:val="16"/>
                <w:lang w:val="en-US"/>
              </w:rPr>
              <w:t>If a result exceeds the range of the calibration curve, dilute the sample with reagent grade water. Based on the estimated concentration, select a dilution factor that results in a diluted sample concentration near the EC</w:t>
            </w:r>
            <w:r w:rsidRPr="00F01347">
              <w:rPr>
                <w:rFonts w:ascii="Verdana" w:hAnsi="Verdana"/>
                <w:sz w:val="16"/>
                <w:szCs w:val="16"/>
                <w:vertAlign w:val="subscript"/>
                <w:lang w:val="en-US"/>
              </w:rPr>
              <w:t xml:space="preserve">50 </w:t>
            </w:r>
            <w:r w:rsidRPr="00F01347">
              <w:rPr>
                <w:rFonts w:ascii="Verdana" w:hAnsi="Verdana"/>
                <w:sz w:val="16"/>
                <w:szCs w:val="16"/>
                <w:lang w:val="en-US"/>
              </w:rPr>
              <w:t>of the calibration curve. The concentration in the diluted sample should be between the MRL and the highest calibration standard. Analyze the diluted sample in a subsequent analysis batch. Incorporate the dilution factor into the final concentration calculations. Report the dilution factor with the sample result.</w:t>
            </w:r>
          </w:p>
        </w:tc>
      </w:tr>
      <w:tr w:rsidR="00607E30" w:rsidRPr="00F01347" w14:paraId="4D6CB12B" w14:textId="29512E89" w:rsidTr="00A24AAD">
        <w:tc>
          <w:tcPr>
            <w:tcW w:w="4675" w:type="dxa"/>
          </w:tcPr>
          <w:p w14:paraId="33F4B266" w14:textId="77777777" w:rsidR="00607E30" w:rsidRPr="00F01347" w:rsidRDefault="00607E30" w:rsidP="00607E30">
            <w:pPr>
              <w:pStyle w:val="texto0"/>
              <w:spacing w:line="227" w:lineRule="exact"/>
              <w:ind w:firstLine="0"/>
              <w:rPr>
                <w:rFonts w:ascii="Verdana" w:hAnsi="Verdana"/>
                <w:b/>
                <w:sz w:val="16"/>
                <w:szCs w:val="16"/>
              </w:rPr>
            </w:pPr>
            <w:r w:rsidRPr="00F01347">
              <w:rPr>
                <w:rFonts w:ascii="Verdana" w:hAnsi="Verdana"/>
                <w:b/>
                <w:sz w:val="16"/>
                <w:szCs w:val="16"/>
              </w:rPr>
              <w:t>B.1.1.7.4 Informe de prueba</w:t>
            </w:r>
          </w:p>
        </w:tc>
        <w:tc>
          <w:tcPr>
            <w:tcW w:w="4675" w:type="dxa"/>
          </w:tcPr>
          <w:p w14:paraId="2A72F5AB" w14:textId="6237822B" w:rsidR="00607E30" w:rsidRPr="00F01347" w:rsidRDefault="00607E30" w:rsidP="00607E30">
            <w:pPr>
              <w:pStyle w:val="texto0"/>
              <w:spacing w:line="227" w:lineRule="exact"/>
              <w:ind w:firstLine="0"/>
              <w:rPr>
                <w:rFonts w:ascii="Verdana" w:hAnsi="Verdana"/>
                <w:b/>
                <w:sz w:val="16"/>
                <w:szCs w:val="16"/>
                <w:lang w:val="en-US"/>
              </w:rPr>
            </w:pPr>
            <w:r w:rsidRPr="00F01347">
              <w:rPr>
                <w:rFonts w:ascii="Verdana" w:hAnsi="Verdana"/>
                <w:b/>
                <w:sz w:val="16"/>
                <w:szCs w:val="16"/>
                <w:lang w:val="en-US"/>
              </w:rPr>
              <w:t>B.1.1.7.4 Test report</w:t>
            </w:r>
          </w:p>
        </w:tc>
      </w:tr>
      <w:tr w:rsidR="00607E30" w:rsidRPr="00F01347" w14:paraId="699C7221" w14:textId="0468A5CC" w:rsidTr="00A24AAD">
        <w:tc>
          <w:tcPr>
            <w:tcW w:w="4675" w:type="dxa"/>
          </w:tcPr>
          <w:p w14:paraId="5DD5AEB6" w14:textId="77777777" w:rsidR="00607E30" w:rsidRPr="00F01347" w:rsidRDefault="00607E30" w:rsidP="00607E30">
            <w:pPr>
              <w:pStyle w:val="texto0"/>
              <w:spacing w:line="227" w:lineRule="exact"/>
              <w:ind w:firstLine="0"/>
              <w:rPr>
                <w:rFonts w:ascii="Verdana" w:hAnsi="Verdana"/>
                <w:sz w:val="16"/>
                <w:szCs w:val="16"/>
              </w:rPr>
            </w:pPr>
            <w:r w:rsidRPr="00F01347">
              <w:rPr>
                <w:rFonts w:ascii="Verdana" w:hAnsi="Verdana"/>
                <w:sz w:val="16"/>
                <w:szCs w:val="16"/>
              </w:rPr>
              <w:t xml:space="preserve">Reportar </w:t>
            </w:r>
            <w:proofErr w:type="spellStart"/>
            <w:r w:rsidRPr="00F01347">
              <w:rPr>
                <w:rFonts w:ascii="Verdana" w:hAnsi="Verdana"/>
                <w:sz w:val="16"/>
                <w:szCs w:val="16"/>
              </w:rPr>
              <w:t>microcistinas</w:t>
            </w:r>
            <w:proofErr w:type="spellEnd"/>
            <w:r w:rsidRPr="00F01347">
              <w:rPr>
                <w:rFonts w:ascii="Verdana" w:hAnsi="Verdana"/>
                <w:sz w:val="16"/>
                <w:szCs w:val="16"/>
              </w:rPr>
              <w:t xml:space="preserve"> y </w:t>
            </w:r>
            <w:proofErr w:type="spellStart"/>
            <w:r w:rsidRPr="00F01347">
              <w:rPr>
                <w:rFonts w:ascii="Verdana" w:hAnsi="Verdana"/>
                <w:sz w:val="16"/>
                <w:szCs w:val="16"/>
              </w:rPr>
              <w:t>nodularinas</w:t>
            </w:r>
            <w:proofErr w:type="spellEnd"/>
            <w:r w:rsidRPr="00F01347">
              <w:rPr>
                <w:rFonts w:ascii="Verdana" w:hAnsi="Verdana"/>
                <w:sz w:val="16"/>
                <w:szCs w:val="16"/>
              </w:rPr>
              <w:t xml:space="preserve"> totales como Ausente o Presente.</w:t>
            </w:r>
          </w:p>
        </w:tc>
        <w:tc>
          <w:tcPr>
            <w:tcW w:w="4675" w:type="dxa"/>
          </w:tcPr>
          <w:p w14:paraId="3DAD3EE7" w14:textId="068994D3" w:rsidR="00607E30" w:rsidRPr="00F01347" w:rsidRDefault="00607E30" w:rsidP="00607E30">
            <w:pPr>
              <w:pStyle w:val="texto0"/>
              <w:spacing w:line="227" w:lineRule="exact"/>
              <w:ind w:firstLine="0"/>
              <w:rPr>
                <w:rFonts w:ascii="Verdana" w:hAnsi="Verdana"/>
                <w:sz w:val="16"/>
                <w:szCs w:val="16"/>
                <w:lang w:val="en-US"/>
              </w:rPr>
            </w:pPr>
            <w:r w:rsidRPr="00F01347">
              <w:rPr>
                <w:rFonts w:ascii="Verdana" w:hAnsi="Verdana"/>
                <w:sz w:val="16"/>
                <w:szCs w:val="16"/>
                <w:lang w:val="en-US"/>
              </w:rPr>
              <w:t xml:space="preserve">Report total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and </w:t>
            </w:r>
            <w:proofErr w:type="spellStart"/>
            <w:r w:rsidRPr="00F01347">
              <w:rPr>
                <w:rFonts w:ascii="Verdana" w:hAnsi="Verdana"/>
                <w:sz w:val="16"/>
                <w:szCs w:val="16"/>
                <w:lang w:val="en-US"/>
              </w:rPr>
              <w:t>nodularins</w:t>
            </w:r>
            <w:proofErr w:type="spellEnd"/>
            <w:r w:rsidRPr="00F01347">
              <w:rPr>
                <w:rFonts w:ascii="Verdana" w:hAnsi="Verdana"/>
                <w:sz w:val="16"/>
                <w:szCs w:val="16"/>
                <w:lang w:val="en-US"/>
              </w:rPr>
              <w:t xml:space="preserve"> as Absent or Present.</w:t>
            </w:r>
          </w:p>
        </w:tc>
      </w:tr>
      <w:tr w:rsidR="00607E30" w:rsidRPr="00F01347" w14:paraId="0F407221" w14:textId="50ED4309" w:rsidTr="00A24AAD">
        <w:tc>
          <w:tcPr>
            <w:tcW w:w="4675" w:type="dxa"/>
          </w:tcPr>
          <w:p w14:paraId="31D3390D" w14:textId="77777777" w:rsidR="00607E30" w:rsidRPr="00F01347" w:rsidRDefault="00607E30" w:rsidP="00607E30">
            <w:pPr>
              <w:pStyle w:val="texto0"/>
              <w:spacing w:line="227" w:lineRule="exact"/>
              <w:ind w:firstLine="0"/>
              <w:rPr>
                <w:rFonts w:ascii="Verdana" w:hAnsi="Verdana"/>
                <w:sz w:val="16"/>
                <w:szCs w:val="16"/>
              </w:rPr>
            </w:pPr>
            <w:r w:rsidRPr="00F01347">
              <w:rPr>
                <w:rFonts w:ascii="Verdana" w:hAnsi="Verdana"/>
                <w:sz w:val="16"/>
                <w:szCs w:val="16"/>
              </w:rPr>
              <w:t xml:space="preserve">En caso de que el resultado sea ausencia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o </w:t>
            </w:r>
            <w:proofErr w:type="spellStart"/>
            <w:r w:rsidRPr="00F01347">
              <w:rPr>
                <w:rFonts w:ascii="Verdana" w:hAnsi="Verdana"/>
                <w:sz w:val="16"/>
                <w:szCs w:val="16"/>
              </w:rPr>
              <w:t>nodularinas</w:t>
            </w:r>
            <w:proofErr w:type="spellEnd"/>
            <w:r w:rsidRPr="00F01347">
              <w:rPr>
                <w:rFonts w:ascii="Verdana" w:hAnsi="Verdana"/>
                <w:sz w:val="16"/>
                <w:szCs w:val="16"/>
              </w:rPr>
              <w:t xml:space="preserve"> totales no será necesario llevar a cabo ningún método confirmatorio adicional.</w:t>
            </w:r>
          </w:p>
        </w:tc>
        <w:tc>
          <w:tcPr>
            <w:tcW w:w="4675" w:type="dxa"/>
          </w:tcPr>
          <w:p w14:paraId="39319B1E" w14:textId="4EBD8910" w:rsidR="00607E30" w:rsidRPr="00F01347" w:rsidRDefault="00607E30" w:rsidP="00607E30">
            <w:pPr>
              <w:pStyle w:val="texto0"/>
              <w:spacing w:line="227" w:lineRule="exact"/>
              <w:ind w:firstLine="0"/>
              <w:rPr>
                <w:rFonts w:ascii="Verdana" w:hAnsi="Verdana"/>
                <w:sz w:val="16"/>
                <w:szCs w:val="16"/>
                <w:lang w:val="en-US"/>
              </w:rPr>
            </w:pPr>
            <w:r w:rsidRPr="00F01347">
              <w:rPr>
                <w:rFonts w:ascii="Verdana" w:hAnsi="Verdana"/>
                <w:sz w:val="16"/>
                <w:szCs w:val="16"/>
                <w:lang w:val="en-US"/>
              </w:rPr>
              <w:t xml:space="preserve">If the result is the absence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or total </w:t>
            </w:r>
            <w:proofErr w:type="spellStart"/>
            <w:r w:rsidRPr="00F01347">
              <w:rPr>
                <w:rFonts w:ascii="Verdana" w:hAnsi="Verdana"/>
                <w:sz w:val="16"/>
                <w:szCs w:val="16"/>
                <w:lang w:val="en-US"/>
              </w:rPr>
              <w:t>nodularins</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it will not be necessary to carry out any additional confirmatory method.</w:t>
            </w:r>
          </w:p>
        </w:tc>
      </w:tr>
      <w:tr w:rsidR="00607E30" w:rsidRPr="00F01347" w14:paraId="2CE86176" w14:textId="39C9EC2D" w:rsidTr="00A24AAD">
        <w:tc>
          <w:tcPr>
            <w:tcW w:w="4675" w:type="dxa"/>
          </w:tcPr>
          <w:p w14:paraId="36671DA0" w14:textId="77777777" w:rsidR="00607E30" w:rsidRPr="00F01347" w:rsidRDefault="00607E30" w:rsidP="00607E30">
            <w:pPr>
              <w:pStyle w:val="texto0"/>
              <w:spacing w:line="227" w:lineRule="exact"/>
              <w:ind w:firstLine="0"/>
              <w:rPr>
                <w:rFonts w:ascii="Verdana" w:hAnsi="Verdana"/>
                <w:sz w:val="16"/>
                <w:szCs w:val="16"/>
              </w:rPr>
            </w:pPr>
            <w:r w:rsidRPr="00F01347">
              <w:rPr>
                <w:rFonts w:ascii="Verdana" w:hAnsi="Verdana"/>
                <w:sz w:val="16"/>
                <w:szCs w:val="16"/>
              </w:rPr>
              <w:t xml:space="preserve">En caso de que el resultado sea presencia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o </w:t>
            </w:r>
            <w:proofErr w:type="spellStart"/>
            <w:r w:rsidRPr="00F01347">
              <w:rPr>
                <w:rFonts w:ascii="Verdana" w:hAnsi="Verdana"/>
                <w:sz w:val="16"/>
                <w:szCs w:val="16"/>
              </w:rPr>
              <w:t>nodularinas</w:t>
            </w:r>
            <w:proofErr w:type="spellEnd"/>
            <w:r w:rsidRPr="00F01347">
              <w:rPr>
                <w:rFonts w:ascii="Verdana" w:hAnsi="Verdana"/>
                <w:sz w:val="16"/>
                <w:szCs w:val="16"/>
              </w:rPr>
              <w:t xml:space="preserve"> totales deberá de llevarse a cabo alguno de los dos métodos cuantitativos confirmatorios contenidos en los puntos B.1.2 y B.1.3 de este Apéndice.</w:t>
            </w:r>
          </w:p>
        </w:tc>
        <w:tc>
          <w:tcPr>
            <w:tcW w:w="4675" w:type="dxa"/>
          </w:tcPr>
          <w:p w14:paraId="12764C53" w14:textId="2D60B0ED" w:rsidR="00607E30" w:rsidRPr="00F01347" w:rsidRDefault="00607E30" w:rsidP="00607E30">
            <w:pPr>
              <w:pStyle w:val="texto0"/>
              <w:spacing w:line="227" w:lineRule="exact"/>
              <w:ind w:firstLine="0"/>
              <w:rPr>
                <w:rFonts w:ascii="Verdana" w:hAnsi="Verdana"/>
                <w:sz w:val="16"/>
                <w:szCs w:val="16"/>
                <w:lang w:val="en-US"/>
              </w:rPr>
            </w:pPr>
            <w:r w:rsidRPr="00F01347">
              <w:rPr>
                <w:rFonts w:ascii="Verdana" w:hAnsi="Verdana"/>
                <w:sz w:val="16"/>
                <w:szCs w:val="16"/>
                <w:lang w:val="en-US"/>
              </w:rPr>
              <w:t xml:space="preserve">If the result is the presence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or total </w:t>
            </w:r>
            <w:proofErr w:type="spellStart"/>
            <w:r w:rsidRPr="00F01347">
              <w:rPr>
                <w:rFonts w:ascii="Verdana" w:hAnsi="Verdana"/>
                <w:sz w:val="16"/>
                <w:szCs w:val="16"/>
                <w:lang w:val="en-US"/>
              </w:rPr>
              <w:t>nodularins</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one of the two confirmatory quantitative methods contained in points B.1.2 and B.1.3 of this Appendix must be carried out.</w:t>
            </w:r>
          </w:p>
        </w:tc>
      </w:tr>
      <w:tr w:rsidR="00607E30" w:rsidRPr="00F01347" w14:paraId="2CB1B740" w14:textId="6D857B3F" w:rsidTr="00A24AAD">
        <w:tc>
          <w:tcPr>
            <w:tcW w:w="4675" w:type="dxa"/>
          </w:tcPr>
          <w:p w14:paraId="69EFB9A4" w14:textId="77777777" w:rsidR="00607E30" w:rsidRPr="00F01347" w:rsidRDefault="00607E30" w:rsidP="00607E30">
            <w:pPr>
              <w:pStyle w:val="texto0"/>
              <w:spacing w:line="227" w:lineRule="exact"/>
              <w:ind w:firstLine="0"/>
              <w:rPr>
                <w:rFonts w:ascii="Verdana" w:hAnsi="Verdana"/>
                <w:b/>
                <w:sz w:val="16"/>
                <w:szCs w:val="16"/>
              </w:rPr>
            </w:pPr>
            <w:r w:rsidRPr="00F01347">
              <w:rPr>
                <w:rFonts w:ascii="Verdana" w:hAnsi="Verdana"/>
                <w:b/>
                <w:sz w:val="16"/>
                <w:szCs w:val="16"/>
              </w:rPr>
              <w:t>B.1.1.8 Control de calidad, calibración e interferencias</w:t>
            </w:r>
          </w:p>
        </w:tc>
        <w:tc>
          <w:tcPr>
            <w:tcW w:w="4675" w:type="dxa"/>
          </w:tcPr>
          <w:p w14:paraId="34D60424" w14:textId="056A1973" w:rsidR="00607E30" w:rsidRPr="00F01347" w:rsidRDefault="00607E30" w:rsidP="00607E30">
            <w:pPr>
              <w:pStyle w:val="texto0"/>
              <w:spacing w:line="227" w:lineRule="exact"/>
              <w:ind w:firstLine="0"/>
              <w:rPr>
                <w:rFonts w:ascii="Verdana" w:hAnsi="Verdana"/>
                <w:b/>
                <w:sz w:val="16"/>
                <w:szCs w:val="16"/>
                <w:lang w:val="en-US"/>
              </w:rPr>
            </w:pPr>
            <w:r w:rsidRPr="00F01347">
              <w:rPr>
                <w:rFonts w:ascii="Verdana" w:hAnsi="Verdana"/>
                <w:b/>
                <w:sz w:val="16"/>
                <w:szCs w:val="16"/>
                <w:lang w:val="en-US"/>
              </w:rPr>
              <w:t xml:space="preserve">B.1.1.8 Quality control, </w:t>
            </w:r>
            <w:r w:rsidR="002E7A50" w:rsidRPr="00F01347">
              <w:rPr>
                <w:rFonts w:ascii="Verdana" w:hAnsi="Verdana"/>
                <w:b/>
                <w:sz w:val="16"/>
                <w:szCs w:val="16"/>
                <w:lang w:val="en-US"/>
              </w:rPr>
              <w:t>calibration,</w:t>
            </w:r>
            <w:r w:rsidRPr="00F01347">
              <w:rPr>
                <w:rFonts w:ascii="Verdana" w:hAnsi="Verdana"/>
                <w:b/>
                <w:sz w:val="16"/>
                <w:szCs w:val="16"/>
                <w:lang w:val="en-US"/>
              </w:rPr>
              <w:t xml:space="preserve"> and interferences</w:t>
            </w:r>
          </w:p>
        </w:tc>
      </w:tr>
      <w:tr w:rsidR="00607E30" w:rsidRPr="00F01347" w14:paraId="17820F7E" w14:textId="3CBECC33" w:rsidTr="00A24AAD">
        <w:tc>
          <w:tcPr>
            <w:tcW w:w="4675" w:type="dxa"/>
          </w:tcPr>
          <w:p w14:paraId="38CFD097" w14:textId="77777777" w:rsidR="00607E30" w:rsidRPr="00F01347" w:rsidRDefault="00607E30" w:rsidP="00607E30">
            <w:pPr>
              <w:pStyle w:val="texto0"/>
              <w:spacing w:line="227" w:lineRule="exact"/>
              <w:ind w:firstLine="0"/>
              <w:rPr>
                <w:rFonts w:ascii="Verdana" w:hAnsi="Verdana"/>
                <w:b/>
                <w:sz w:val="16"/>
                <w:szCs w:val="16"/>
              </w:rPr>
            </w:pPr>
            <w:r w:rsidRPr="00F01347">
              <w:rPr>
                <w:rFonts w:ascii="Verdana" w:hAnsi="Verdana"/>
                <w:b/>
                <w:sz w:val="16"/>
                <w:szCs w:val="16"/>
              </w:rPr>
              <w:t>B.1.1.8.1 Control de calidad (QC)</w:t>
            </w:r>
          </w:p>
        </w:tc>
        <w:tc>
          <w:tcPr>
            <w:tcW w:w="4675" w:type="dxa"/>
          </w:tcPr>
          <w:p w14:paraId="7EAC963E" w14:textId="13D934AE" w:rsidR="00607E30" w:rsidRPr="00F01347" w:rsidRDefault="00607E30" w:rsidP="00607E30">
            <w:pPr>
              <w:pStyle w:val="texto0"/>
              <w:spacing w:line="227" w:lineRule="exact"/>
              <w:ind w:firstLine="0"/>
              <w:rPr>
                <w:rFonts w:ascii="Verdana" w:hAnsi="Verdana"/>
                <w:b/>
                <w:sz w:val="16"/>
                <w:szCs w:val="16"/>
                <w:lang w:val="en-US"/>
              </w:rPr>
            </w:pPr>
            <w:r w:rsidRPr="00F01347">
              <w:rPr>
                <w:rFonts w:ascii="Verdana" w:hAnsi="Verdana"/>
                <w:b/>
                <w:sz w:val="16"/>
                <w:szCs w:val="16"/>
                <w:lang w:val="en-US"/>
              </w:rPr>
              <w:t>B.1.1.8.1 Quality Control (QC)</w:t>
            </w:r>
          </w:p>
        </w:tc>
      </w:tr>
      <w:tr w:rsidR="00607E30" w:rsidRPr="00F01347" w14:paraId="533CD5A2" w14:textId="163D5428" w:rsidTr="00A24AAD">
        <w:tc>
          <w:tcPr>
            <w:tcW w:w="4675" w:type="dxa"/>
          </w:tcPr>
          <w:p w14:paraId="7399180E" w14:textId="77777777" w:rsidR="00607E30" w:rsidRPr="00F01347" w:rsidRDefault="00607E30" w:rsidP="00607E30">
            <w:pPr>
              <w:pStyle w:val="texto0"/>
              <w:spacing w:line="227" w:lineRule="exact"/>
              <w:ind w:firstLine="0"/>
              <w:rPr>
                <w:rFonts w:ascii="Verdana" w:hAnsi="Verdana"/>
                <w:sz w:val="16"/>
                <w:szCs w:val="16"/>
              </w:rPr>
            </w:pPr>
            <w:r w:rsidRPr="00F01347">
              <w:rPr>
                <w:rFonts w:ascii="Verdana" w:hAnsi="Verdana"/>
                <w:sz w:val="16"/>
                <w:szCs w:val="16"/>
              </w:rPr>
              <w:t>Los requisitos de control de calidad incluyen los elementos IDC y QC asociados con cada lote de análisis.</w:t>
            </w:r>
          </w:p>
        </w:tc>
        <w:tc>
          <w:tcPr>
            <w:tcW w:w="4675" w:type="dxa"/>
          </w:tcPr>
          <w:p w14:paraId="49D24C09" w14:textId="0EC6BF12" w:rsidR="00607E30" w:rsidRPr="00F01347" w:rsidRDefault="00607E30" w:rsidP="00607E30">
            <w:pPr>
              <w:pStyle w:val="texto0"/>
              <w:spacing w:line="227" w:lineRule="exact"/>
              <w:ind w:firstLine="0"/>
              <w:rPr>
                <w:rFonts w:ascii="Verdana" w:hAnsi="Verdana"/>
                <w:sz w:val="16"/>
                <w:szCs w:val="16"/>
                <w:lang w:val="en-US"/>
              </w:rPr>
            </w:pPr>
            <w:r w:rsidRPr="00F01347">
              <w:rPr>
                <w:rFonts w:ascii="Verdana" w:hAnsi="Verdana"/>
                <w:sz w:val="16"/>
                <w:szCs w:val="16"/>
                <w:lang w:val="en-US"/>
              </w:rPr>
              <w:t>Quality control requirements include the IDC and QC elements associated with each batch of analyses.</w:t>
            </w:r>
          </w:p>
        </w:tc>
      </w:tr>
      <w:tr w:rsidR="00607E30" w:rsidRPr="00F01347" w14:paraId="2B455F82" w14:textId="66C3F540" w:rsidTr="00A24AAD">
        <w:tc>
          <w:tcPr>
            <w:tcW w:w="4675" w:type="dxa"/>
          </w:tcPr>
          <w:p w14:paraId="5FDC8E21" w14:textId="77777777" w:rsidR="00607E30" w:rsidRPr="00F01347" w:rsidRDefault="00607E30" w:rsidP="00607E30">
            <w:pPr>
              <w:pStyle w:val="texto0"/>
              <w:spacing w:line="227" w:lineRule="exact"/>
              <w:ind w:firstLine="0"/>
              <w:rPr>
                <w:rFonts w:ascii="Verdana" w:hAnsi="Verdana"/>
                <w:sz w:val="16"/>
                <w:szCs w:val="16"/>
              </w:rPr>
            </w:pPr>
            <w:r w:rsidRPr="00F01347">
              <w:rPr>
                <w:rFonts w:ascii="Verdana" w:hAnsi="Verdana"/>
                <w:sz w:val="16"/>
                <w:szCs w:val="16"/>
              </w:rPr>
              <w:t xml:space="preserve">Este apartado describe cada parámetro QC, su frecuencia requerida y los criterios de desempeño que deben cumplirse para satisfacer los objetivos de calidad de datos. Estos requisitos de QC se consideran como lo mínimo aceptable en un protocolo de calidad. Sin embargo, los laboratorios pueden establecer prácticas </w:t>
            </w:r>
            <w:r w:rsidRPr="00F01347">
              <w:rPr>
                <w:rFonts w:ascii="Verdana" w:hAnsi="Verdana"/>
                <w:sz w:val="16"/>
                <w:szCs w:val="16"/>
              </w:rPr>
              <w:lastRenderedPageBreak/>
              <w:t>adicionales de control de calidad para satisfacer sus necesidades específicas.</w:t>
            </w:r>
          </w:p>
        </w:tc>
        <w:tc>
          <w:tcPr>
            <w:tcW w:w="4675" w:type="dxa"/>
          </w:tcPr>
          <w:p w14:paraId="06A48AF8" w14:textId="799CD06E" w:rsidR="00607E30" w:rsidRPr="00F01347" w:rsidRDefault="00607E30" w:rsidP="00607E30">
            <w:pPr>
              <w:pStyle w:val="texto0"/>
              <w:spacing w:line="227" w:lineRule="exact"/>
              <w:ind w:firstLine="0"/>
              <w:rPr>
                <w:rFonts w:ascii="Verdana" w:hAnsi="Verdana"/>
                <w:sz w:val="16"/>
                <w:szCs w:val="16"/>
                <w:lang w:val="en-US"/>
              </w:rPr>
            </w:pPr>
            <w:r w:rsidRPr="00F01347">
              <w:rPr>
                <w:rFonts w:ascii="Verdana" w:hAnsi="Verdana"/>
                <w:sz w:val="16"/>
                <w:szCs w:val="16"/>
                <w:lang w:val="en-US"/>
              </w:rPr>
              <w:lastRenderedPageBreak/>
              <w:t>This section describes each QC parameter, its required frequency, and the performance criteria that must be met to satisfy data quality objectives. These QC requirements are considered the minimum acceptable in a quality protocol. However, laboratories may establish additional quality control practices to meet their specific needs.</w:t>
            </w:r>
          </w:p>
        </w:tc>
      </w:tr>
      <w:tr w:rsidR="00607E30" w:rsidRPr="00F01347" w14:paraId="4F2D0DB7" w14:textId="54727171" w:rsidTr="00A24AAD">
        <w:tc>
          <w:tcPr>
            <w:tcW w:w="4675" w:type="dxa"/>
          </w:tcPr>
          <w:p w14:paraId="1F6DB7B3" w14:textId="77777777" w:rsidR="00607E30" w:rsidRPr="00F01347" w:rsidRDefault="00607E30" w:rsidP="00607E30">
            <w:pPr>
              <w:pStyle w:val="texto0"/>
              <w:spacing w:line="227" w:lineRule="exact"/>
              <w:ind w:firstLine="0"/>
              <w:rPr>
                <w:rFonts w:ascii="Verdana" w:hAnsi="Verdana"/>
                <w:sz w:val="16"/>
                <w:szCs w:val="16"/>
              </w:rPr>
            </w:pPr>
            <w:r w:rsidRPr="00F01347">
              <w:rPr>
                <w:rFonts w:ascii="Verdana" w:hAnsi="Verdana"/>
                <w:sz w:val="16"/>
                <w:szCs w:val="16"/>
              </w:rPr>
              <w:t>El IDC debe llevarse a cabo antes de analizar las muestras de campo. El IDC incluye cuatro determinaciones: demostración de exactitud y precisión, demostración de la presencia de interferencias en el sistema, confirmación de MRL y una verificación de segunda fuente de los estándares de calibración (muestra de control de calidad). Los requisitos de IDC se describen en la Tabla B.1.1-1 de este Apéndice.</w:t>
            </w:r>
          </w:p>
        </w:tc>
        <w:tc>
          <w:tcPr>
            <w:tcW w:w="4675" w:type="dxa"/>
          </w:tcPr>
          <w:p w14:paraId="4576E2DA" w14:textId="41B2EBD3" w:rsidR="00607E30" w:rsidRPr="00F01347" w:rsidRDefault="006817EA" w:rsidP="00607E30">
            <w:pPr>
              <w:pStyle w:val="texto0"/>
              <w:spacing w:line="227" w:lineRule="exact"/>
              <w:ind w:firstLine="0"/>
              <w:rPr>
                <w:rFonts w:ascii="Verdana" w:hAnsi="Verdana"/>
                <w:sz w:val="16"/>
                <w:szCs w:val="16"/>
                <w:lang w:val="en-US"/>
              </w:rPr>
            </w:pPr>
            <w:r w:rsidRPr="00F01347">
              <w:rPr>
                <w:rFonts w:ascii="Verdana" w:hAnsi="Verdana"/>
                <w:sz w:val="16"/>
                <w:szCs w:val="16"/>
                <w:lang w:val="en-US"/>
              </w:rPr>
              <w:t xml:space="preserve">The </w:t>
            </w:r>
            <w:r w:rsidR="00607E30" w:rsidRPr="00F01347">
              <w:rPr>
                <w:rFonts w:ascii="Verdana" w:hAnsi="Verdana"/>
                <w:sz w:val="16"/>
                <w:szCs w:val="16"/>
                <w:lang w:val="en-US"/>
              </w:rPr>
              <w:t>IDC should be carried out before analyzing field samples. The IDC includes four determinations: demonstration of accuracy and precision, demonstration of the presence of interference in the system, confirmation of MRL, and a second-source verification of the calibration standards (quality control sample). IDC requirements are described in Table B.1.1-1 of this Appendix.</w:t>
            </w:r>
          </w:p>
        </w:tc>
      </w:tr>
    </w:tbl>
    <w:p w14:paraId="075553C9" w14:textId="77777777" w:rsidR="000A3AF6" w:rsidRDefault="000A3AF6" w:rsidP="003A601B">
      <w:pPr>
        <w:pStyle w:val="texto0"/>
        <w:spacing w:line="227" w:lineRule="exact"/>
        <w:ind w:firstLine="0"/>
        <w:jc w:val="center"/>
        <w:rPr>
          <w:rFonts w:ascii="Verdana" w:hAnsi="Verdana"/>
          <w:b/>
          <w:color w:val="000000"/>
          <w:sz w:val="16"/>
          <w:szCs w:val="16"/>
        </w:rPr>
      </w:pPr>
    </w:p>
    <w:p w14:paraId="0036A4CC" w14:textId="77777777" w:rsidR="000A3AF6" w:rsidRDefault="000A3AF6" w:rsidP="003A601B">
      <w:pPr>
        <w:pStyle w:val="texto0"/>
        <w:spacing w:line="227" w:lineRule="exact"/>
        <w:ind w:firstLine="0"/>
        <w:jc w:val="center"/>
        <w:rPr>
          <w:rFonts w:ascii="Verdana" w:hAnsi="Verdana"/>
          <w:b/>
          <w:color w:val="000000"/>
          <w:sz w:val="16"/>
          <w:szCs w:val="16"/>
        </w:rPr>
      </w:pPr>
    </w:p>
    <w:p w14:paraId="4584109D" w14:textId="77777777" w:rsidR="000A3AF6" w:rsidRDefault="000A3AF6" w:rsidP="003A601B">
      <w:pPr>
        <w:pStyle w:val="texto0"/>
        <w:spacing w:line="227" w:lineRule="exact"/>
        <w:ind w:firstLine="0"/>
        <w:jc w:val="center"/>
        <w:rPr>
          <w:rFonts w:ascii="Verdana" w:hAnsi="Verdana"/>
          <w:b/>
          <w:color w:val="000000"/>
          <w:sz w:val="16"/>
          <w:szCs w:val="16"/>
        </w:rPr>
      </w:pPr>
    </w:p>
    <w:p w14:paraId="5FECACA7" w14:textId="77777777" w:rsidR="000A3AF6" w:rsidRDefault="000A3AF6" w:rsidP="003A601B">
      <w:pPr>
        <w:pStyle w:val="texto0"/>
        <w:spacing w:line="227" w:lineRule="exact"/>
        <w:ind w:firstLine="0"/>
        <w:jc w:val="center"/>
        <w:rPr>
          <w:rFonts w:ascii="Verdana" w:hAnsi="Verdana"/>
          <w:b/>
          <w:color w:val="000000"/>
          <w:sz w:val="16"/>
          <w:szCs w:val="16"/>
        </w:rPr>
      </w:pPr>
    </w:p>
    <w:p w14:paraId="786D27D3" w14:textId="77777777" w:rsidR="000A3AF6" w:rsidRDefault="000A3AF6" w:rsidP="003A601B">
      <w:pPr>
        <w:pStyle w:val="texto0"/>
        <w:spacing w:line="227" w:lineRule="exact"/>
        <w:ind w:firstLine="0"/>
        <w:jc w:val="center"/>
        <w:rPr>
          <w:rFonts w:ascii="Verdana" w:hAnsi="Verdana"/>
          <w:b/>
          <w:color w:val="000000"/>
          <w:sz w:val="16"/>
          <w:szCs w:val="16"/>
        </w:rPr>
      </w:pPr>
    </w:p>
    <w:p w14:paraId="553BF4FA" w14:textId="77777777" w:rsidR="000A3AF6" w:rsidRDefault="000A3AF6" w:rsidP="003A601B">
      <w:pPr>
        <w:pStyle w:val="texto0"/>
        <w:spacing w:line="227" w:lineRule="exact"/>
        <w:ind w:firstLine="0"/>
        <w:jc w:val="center"/>
        <w:rPr>
          <w:rFonts w:ascii="Verdana" w:hAnsi="Verdana"/>
          <w:b/>
          <w:color w:val="000000"/>
          <w:sz w:val="16"/>
          <w:szCs w:val="16"/>
        </w:rPr>
      </w:pPr>
    </w:p>
    <w:p w14:paraId="65200926" w14:textId="0E9DC284" w:rsidR="00A74CDF" w:rsidRPr="00F01347" w:rsidRDefault="00A74CDF" w:rsidP="003A601B">
      <w:pPr>
        <w:pStyle w:val="texto0"/>
        <w:spacing w:line="227" w:lineRule="exact"/>
        <w:ind w:firstLine="0"/>
        <w:jc w:val="center"/>
        <w:rPr>
          <w:rFonts w:ascii="Verdana" w:hAnsi="Verdana"/>
          <w:b/>
          <w:color w:val="000000"/>
          <w:sz w:val="16"/>
          <w:szCs w:val="16"/>
        </w:rPr>
      </w:pPr>
      <w:r w:rsidRPr="00F01347">
        <w:rPr>
          <w:rFonts w:ascii="Verdana" w:hAnsi="Verdana"/>
          <w:b/>
          <w:color w:val="000000"/>
          <w:sz w:val="16"/>
          <w:szCs w:val="16"/>
        </w:rPr>
        <w:t>Tabla B.1.1-1. Requisitos de control de calidad de la demostración inicial de capacidad (IDC)</w:t>
      </w:r>
    </w:p>
    <w:tbl>
      <w:tblPr>
        <w:tblW w:w="8712" w:type="dxa"/>
        <w:tblInd w:w="144" w:type="dxa"/>
        <w:tblLayout w:type="fixed"/>
        <w:tblCellMar>
          <w:left w:w="70" w:type="dxa"/>
          <w:right w:w="70" w:type="dxa"/>
        </w:tblCellMar>
        <w:tblLook w:val="0000" w:firstRow="0" w:lastRow="0" w:firstColumn="0" w:lastColumn="0" w:noHBand="0" w:noVBand="0"/>
      </w:tblPr>
      <w:tblGrid>
        <w:gridCol w:w="2266"/>
        <w:gridCol w:w="3330"/>
        <w:gridCol w:w="3116"/>
      </w:tblGrid>
      <w:tr w:rsidR="00A74CDF" w:rsidRPr="00F01347" w14:paraId="40D155C1" w14:textId="77777777">
        <w:trPr>
          <w:trHeight w:val="144"/>
        </w:trPr>
        <w:tc>
          <w:tcPr>
            <w:tcW w:w="2266" w:type="dxa"/>
            <w:tcBorders>
              <w:top w:val="single" w:sz="6" w:space="0" w:color="auto"/>
              <w:left w:val="single" w:sz="6" w:space="0" w:color="auto"/>
              <w:bottom w:val="single" w:sz="6" w:space="0" w:color="auto"/>
              <w:right w:val="single" w:sz="6" w:space="0" w:color="auto"/>
            </w:tcBorders>
            <w:noWrap/>
          </w:tcPr>
          <w:p w14:paraId="190BE7E0" w14:textId="77777777" w:rsidR="00A74CDF" w:rsidRPr="00F01347" w:rsidRDefault="00A74CDF" w:rsidP="003A601B">
            <w:pPr>
              <w:pStyle w:val="texto0"/>
              <w:spacing w:line="227" w:lineRule="exact"/>
              <w:ind w:firstLine="0"/>
              <w:jc w:val="center"/>
              <w:rPr>
                <w:rFonts w:ascii="Verdana" w:hAnsi="Verdana"/>
                <w:b/>
                <w:color w:val="000000"/>
                <w:sz w:val="16"/>
                <w:szCs w:val="16"/>
              </w:rPr>
            </w:pPr>
            <w:r w:rsidRPr="00F01347">
              <w:rPr>
                <w:rFonts w:ascii="Verdana" w:hAnsi="Verdana"/>
                <w:b/>
                <w:color w:val="000000"/>
                <w:sz w:val="16"/>
                <w:szCs w:val="16"/>
              </w:rPr>
              <w:t>Requisito</w:t>
            </w:r>
          </w:p>
        </w:tc>
        <w:tc>
          <w:tcPr>
            <w:tcW w:w="3330" w:type="dxa"/>
            <w:tcBorders>
              <w:top w:val="single" w:sz="6" w:space="0" w:color="auto"/>
              <w:left w:val="single" w:sz="6" w:space="0" w:color="auto"/>
              <w:bottom w:val="single" w:sz="6" w:space="0" w:color="auto"/>
              <w:right w:val="single" w:sz="6" w:space="0" w:color="auto"/>
            </w:tcBorders>
          </w:tcPr>
          <w:p w14:paraId="78CB3385" w14:textId="77777777" w:rsidR="00A74CDF" w:rsidRPr="00F01347" w:rsidRDefault="00A74CDF" w:rsidP="003A601B">
            <w:pPr>
              <w:pStyle w:val="texto0"/>
              <w:spacing w:line="227" w:lineRule="exact"/>
              <w:ind w:firstLine="0"/>
              <w:jc w:val="center"/>
              <w:rPr>
                <w:rFonts w:ascii="Verdana" w:hAnsi="Verdana"/>
                <w:b/>
                <w:color w:val="000000"/>
                <w:sz w:val="16"/>
                <w:szCs w:val="16"/>
              </w:rPr>
            </w:pPr>
            <w:r w:rsidRPr="00F01347">
              <w:rPr>
                <w:rFonts w:ascii="Verdana" w:hAnsi="Verdana"/>
                <w:b/>
                <w:color w:val="000000"/>
                <w:sz w:val="16"/>
                <w:szCs w:val="16"/>
              </w:rPr>
              <w:t>Especificación</w:t>
            </w:r>
          </w:p>
        </w:tc>
        <w:tc>
          <w:tcPr>
            <w:tcW w:w="3116" w:type="dxa"/>
            <w:tcBorders>
              <w:top w:val="single" w:sz="6" w:space="0" w:color="auto"/>
              <w:left w:val="single" w:sz="6" w:space="0" w:color="auto"/>
              <w:bottom w:val="single" w:sz="6" w:space="0" w:color="auto"/>
              <w:right w:val="single" w:sz="6" w:space="0" w:color="auto"/>
            </w:tcBorders>
          </w:tcPr>
          <w:p w14:paraId="26846988" w14:textId="77777777" w:rsidR="00A74CDF" w:rsidRPr="00F01347" w:rsidRDefault="00A74CDF" w:rsidP="003A601B">
            <w:pPr>
              <w:pStyle w:val="texto0"/>
              <w:spacing w:line="227" w:lineRule="exact"/>
              <w:ind w:firstLine="0"/>
              <w:jc w:val="center"/>
              <w:rPr>
                <w:rFonts w:ascii="Verdana" w:hAnsi="Verdana"/>
                <w:b/>
                <w:color w:val="000000"/>
                <w:sz w:val="16"/>
                <w:szCs w:val="16"/>
              </w:rPr>
            </w:pPr>
            <w:r w:rsidRPr="00F01347">
              <w:rPr>
                <w:rFonts w:ascii="Verdana" w:hAnsi="Verdana"/>
                <w:b/>
                <w:color w:val="000000"/>
                <w:sz w:val="16"/>
                <w:szCs w:val="16"/>
              </w:rPr>
              <w:t>Criterio de aceptación</w:t>
            </w:r>
          </w:p>
        </w:tc>
      </w:tr>
      <w:tr w:rsidR="00A74CDF" w:rsidRPr="00F01347" w14:paraId="38677379" w14:textId="77777777">
        <w:trPr>
          <w:trHeight w:val="144"/>
        </w:trPr>
        <w:tc>
          <w:tcPr>
            <w:tcW w:w="2266" w:type="dxa"/>
            <w:tcBorders>
              <w:top w:val="single" w:sz="6" w:space="0" w:color="auto"/>
              <w:left w:val="single" w:sz="6" w:space="0" w:color="auto"/>
              <w:bottom w:val="single" w:sz="6" w:space="0" w:color="auto"/>
              <w:right w:val="single" w:sz="6" w:space="0" w:color="auto"/>
            </w:tcBorders>
          </w:tcPr>
          <w:p w14:paraId="39D3B4AA" w14:textId="77777777" w:rsidR="00A74CDF" w:rsidRPr="00F01347" w:rsidRDefault="00A74CDF" w:rsidP="003A601B">
            <w:pPr>
              <w:pStyle w:val="texto0"/>
              <w:spacing w:line="227" w:lineRule="exact"/>
              <w:ind w:firstLine="0"/>
              <w:jc w:val="center"/>
              <w:rPr>
                <w:rFonts w:ascii="Verdana" w:hAnsi="Verdana"/>
                <w:color w:val="000000"/>
                <w:sz w:val="16"/>
                <w:szCs w:val="16"/>
              </w:rPr>
            </w:pPr>
            <w:r w:rsidRPr="00F01347">
              <w:rPr>
                <w:rFonts w:ascii="Verdana" w:hAnsi="Verdana"/>
                <w:color w:val="000000"/>
                <w:sz w:val="16"/>
                <w:szCs w:val="16"/>
              </w:rPr>
              <w:t>Demostración de exactitud y precisión</w:t>
            </w:r>
          </w:p>
        </w:tc>
        <w:tc>
          <w:tcPr>
            <w:tcW w:w="3330" w:type="dxa"/>
            <w:tcBorders>
              <w:top w:val="single" w:sz="6" w:space="0" w:color="auto"/>
              <w:left w:val="single" w:sz="6" w:space="0" w:color="auto"/>
              <w:bottom w:val="single" w:sz="6" w:space="0" w:color="auto"/>
              <w:right w:val="single" w:sz="6" w:space="0" w:color="auto"/>
            </w:tcBorders>
          </w:tcPr>
          <w:p w14:paraId="09C6B8A6" w14:textId="77777777" w:rsidR="00A74CDF" w:rsidRPr="00F01347" w:rsidRDefault="00A74CDF" w:rsidP="003A601B">
            <w:pPr>
              <w:pStyle w:val="texto0"/>
              <w:spacing w:line="227" w:lineRule="exact"/>
              <w:ind w:firstLine="0"/>
              <w:jc w:val="center"/>
              <w:rPr>
                <w:rFonts w:ascii="Verdana" w:hAnsi="Verdana"/>
                <w:color w:val="000000"/>
                <w:sz w:val="16"/>
                <w:szCs w:val="16"/>
              </w:rPr>
            </w:pPr>
            <w:r w:rsidRPr="00F01347">
              <w:rPr>
                <w:rFonts w:ascii="Verdana" w:hAnsi="Verdana"/>
                <w:color w:val="000000"/>
                <w:sz w:val="16"/>
                <w:szCs w:val="16"/>
              </w:rPr>
              <w:t>Lisar y analizar 7 réplicas de blancos fortificados de laboratorio (LFB) a 0.50µg/L</w:t>
            </w:r>
          </w:p>
        </w:tc>
        <w:tc>
          <w:tcPr>
            <w:tcW w:w="3116" w:type="dxa"/>
            <w:tcBorders>
              <w:top w:val="single" w:sz="6" w:space="0" w:color="auto"/>
              <w:left w:val="single" w:sz="6" w:space="0" w:color="auto"/>
              <w:bottom w:val="single" w:sz="6" w:space="0" w:color="auto"/>
              <w:right w:val="single" w:sz="6" w:space="0" w:color="auto"/>
            </w:tcBorders>
          </w:tcPr>
          <w:p w14:paraId="27A67872" w14:textId="77777777" w:rsidR="00A74CDF" w:rsidRPr="00F01347" w:rsidRDefault="00A74CDF" w:rsidP="003A601B">
            <w:pPr>
              <w:pStyle w:val="texto0"/>
              <w:spacing w:line="227" w:lineRule="exact"/>
              <w:ind w:firstLine="0"/>
              <w:jc w:val="center"/>
              <w:rPr>
                <w:rFonts w:ascii="Verdana" w:hAnsi="Verdana"/>
                <w:color w:val="000000"/>
                <w:sz w:val="16"/>
                <w:szCs w:val="16"/>
              </w:rPr>
            </w:pPr>
            <w:r w:rsidRPr="00F01347">
              <w:rPr>
                <w:rFonts w:ascii="Verdana" w:hAnsi="Verdana"/>
                <w:color w:val="000000"/>
                <w:sz w:val="16"/>
                <w:szCs w:val="16"/>
              </w:rPr>
              <w:t>Porcentaje de desviación estándar relativa ≤15%. Porcentaje promedio de recuperación ≥70% y ≤130%</w:t>
            </w:r>
          </w:p>
        </w:tc>
      </w:tr>
      <w:tr w:rsidR="00A74CDF" w:rsidRPr="00F01347" w14:paraId="1F09A839" w14:textId="77777777">
        <w:trPr>
          <w:trHeight w:val="144"/>
        </w:trPr>
        <w:tc>
          <w:tcPr>
            <w:tcW w:w="2266" w:type="dxa"/>
            <w:tcBorders>
              <w:top w:val="single" w:sz="6" w:space="0" w:color="auto"/>
              <w:left w:val="single" w:sz="6" w:space="0" w:color="auto"/>
              <w:bottom w:val="single" w:sz="6" w:space="0" w:color="auto"/>
              <w:right w:val="single" w:sz="6" w:space="0" w:color="auto"/>
            </w:tcBorders>
          </w:tcPr>
          <w:p w14:paraId="73C5BC6D" w14:textId="77777777" w:rsidR="00A74CDF" w:rsidRPr="00F01347" w:rsidRDefault="00A74CDF" w:rsidP="00D969D7">
            <w:pPr>
              <w:pStyle w:val="texto0"/>
              <w:spacing w:line="240" w:lineRule="exact"/>
              <w:ind w:firstLine="0"/>
              <w:jc w:val="center"/>
              <w:rPr>
                <w:rFonts w:ascii="Verdana" w:hAnsi="Verdana"/>
                <w:color w:val="000000"/>
                <w:sz w:val="16"/>
                <w:szCs w:val="16"/>
              </w:rPr>
            </w:pPr>
            <w:r w:rsidRPr="00F01347">
              <w:rPr>
                <w:rFonts w:ascii="Verdana" w:hAnsi="Verdana"/>
                <w:sz w:val="16"/>
                <w:szCs w:val="16"/>
              </w:rPr>
              <w:t>Demostración de la presencia de interferencias en el sistema</w:t>
            </w:r>
          </w:p>
        </w:tc>
        <w:tc>
          <w:tcPr>
            <w:tcW w:w="3330" w:type="dxa"/>
            <w:tcBorders>
              <w:top w:val="single" w:sz="6" w:space="0" w:color="auto"/>
              <w:left w:val="single" w:sz="6" w:space="0" w:color="auto"/>
              <w:bottom w:val="single" w:sz="6" w:space="0" w:color="auto"/>
              <w:right w:val="single" w:sz="6" w:space="0" w:color="auto"/>
            </w:tcBorders>
          </w:tcPr>
          <w:p w14:paraId="03DA88C7" w14:textId="77777777" w:rsidR="00A74CDF" w:rsidRPr="00F01347" w:rsidRDefault="00A74CDF" w:rsidP="00D969D7">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Lisar y analizar 5 blancos de reactivo de laboratorio (LRB) distribuidos a lo largo de la placa.</w:t>
            </w:r>
          </w:p>
        </w:tc>
        <w:tc>
          <w:tcPr>
            <w:tcW w:w="3116" w:type="dxa"/>
            <w:tcBorders>
              <w:top w:val="single" w:sz="6" w:space="0" w:color="auto"/>
              <w:left w:val="single" w:sz="6" w:space="0" w:color="auto"/>
              <w:bottom w:val="single" w:sz="6" w:space="0" w:color="auto"/>
              <w:right w:val="single" w:sz="6" w:space="0" w:color="auto"/>
            </w:tcBorders>
          </w:tcPr>
          <w:p w14:paraId="71BDF269" w14:textId="77777777" w:rsidR="00A74CDF" w:rsidRPr="00F01347" w:rsidRDefault="00A74CDF" w:rsidP="00D969D7">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La concentración de MC debe ser menor que la mitad del Nivel mínimo reportado (MRL) en cada LRB</w:t>
            </w:r>
          </w:p>
        </w:tc>
      </w:tr>
      <w:tr w:rsidR="00A74CDF" w:rsidRPr="00F01347" w14:paraId="6AF1B9EE" w14:textId="77777777">
        <w:trPr>
          <w:trHeight w:val="144"/>
        </w:trPr>
        <w:tc>
          <w:tcPr>
            <w:tcW w:w="2266" w:type="dxa"/>
            <w:tcBorders>
              <w:top w:val="single" w:sz="6" w:space="0" w:color="auto"/>
              <w:left w:val="single" w:sz="6" w:space="0" w:color="auto"/>
              <w:bottom w:val="single" w:sz="6" w:space="0" w:color="auto"/>
              <w:right w:val="single" w:sz="6" w:space="0" w:color="auto"/>
            </w:tcBorders>
          </w:tcPr>
          <w:p w14:paraId="508752C5" w14:textId="77777777" w:rsidR="00A74CDF" w:rsidRPr="00F01347" w:rsidRDefault="00A74CDF" w:rsidP="00D969D7">
            <w:pPr>
              <w:pStyle w:val="texto0"/>
              <w:spacing w:line="240" w:lineRule="exact"/>
              <w:ind w:firstLine="0"/>
              <w:jc w:val="center"/>
              <w:rPr>
                <w:rFonts w:ascii="Verdana" w:hAnsi="Verdana"/>
                <w:sz w:val="16"/>
                <w:szCs w:val="16"/>
              </w:rPr>
            </w:pPr>
            <w:r w:rsidRPr="00F01347">
              <w:rPr>
                <w:rFonts w:ascii="Verdana" w:hAnsi="Verdana"/>
                <w:sz w:val="16"/>
                <w:szCs w:val="16"/>
              </w:rPr>
              <w:t>Confirmación de MRL</w:t>
            </w:r>
          </w:p>
        </w:tc>
        <w:tc>
          <w:tcPr>
            <w:tcW w:w="3330" w:type="dxa"/>
            <w:tcBorders>
              <w:top w:val="single" w:sz="6" w:space="0" w:color="auto"/>
              <w:left w:val="single" w:sz="6" w:space="0" w:color="auto"/>
              <w:bottom w:val="single" w:sz="6" w:space="0" w:color="auto"/>
              <w:right w:val="single" w:sz="6" w:space="0" w:color="auto"/>
            </w:tcBorders>
          </w:tcPr>
          <w:p w14:paraId="727F3504" w14:textId="77777777" w:rsidR="00A74CDF" w:rsidRPr="00F01347" w:rsidRDefault="00A74CDF" w:rsidP="00D969D7">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xml:space="preserve">Fortificar y analizar 7 LFB replicados a la concentración de MRL propuesta. </w:t>
            </w:r>
            <w:proofErr w:type="gramStart"/>
            <w:r w:rsidRPr="00F01347">
              <w:rPr>
                <w:rFonts w:ascii="Verdana" w:hAnsi="Verdana"/>
                <w:color w:val="000000"/>
                <w:sz w:val="16"/>
                <w:szCs w:val="16"/>
              </w:rPr>
              <w:t>Confirmar</w:t>
            </w:r>
            <w:proofErr w:type="gramEnd"/>
            <w:r w:rsidRPr="00F01347">
              <w:rPr>
                <w:rFonts w:ascii="Verdana" w:hAnsi="Verdana"/>
                <w:color w:val="000000"/>
                <w:sz w:val="16"/>
                <w:szCs w:val="16"/>
              </w:rPr>
              <w:t xml:space="preserve"> que el límite superior e inferior del intervalo de predicción de resultados (PIR) cumpla con los criterios de recuperación.</w:t>
            </w:r>
          </w:p>
        </w:tc>
        <w:tc>
          <w:tcPr>
            <w:tcW w:w="3116" w:type="dxa"/>
            <w:tcBorders>
              <w:top w:val="single" w:sz="6" w:space="0" w:color="auto"/>
              <w:left w:val="single" w:sz="6" w:space="0" w:color="auto"/>
              <w:bottom w:val="single" w:sz="6" w:space="0" w:color="auto"/>
              <w:right w:val="single" w:sz="6" w:space="0" w:color="auto"/>
            </w:tcBorders>
          </w:tcPr>
          <w:p w14:paraId="1521D869" w14:textId="77777777" w:rsidR="00A74CDF" w:rsidRPr="00F01347" w:rsidRDefault="00A74CDF" w:rsidP="00D969D7">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Límite superior PIR ≤150%</w:t>
            </w:r>
          </w:p>
          <w:p w14:paraId="4E77F4A8" w14:textId="77777777" w:rsidR="00A74CDF" w:rsidRPr="00F01347" w:rsidRDefault="00A74CDF" w:rsidP="00D969D7">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Límite interior PIR ≥50%</w:t>
            </w:r>
          </w:p>
        </w:tc>
      </w:tr>
      <w:tr w:rsidR="00A74CDF" w:rsidRPr="00F01347" w14:paraId="01500AD2" w14:textId="77777777">
        <w:trPr>
          <w:trHeight w:val="144"/>
        </w:trPr>
        <w:tc>
          <w:tcPr>
            <w:tcW w:w="2266" w:type="dxa"/>
            <w:tcBorders>
              <w:top w:val="single" w:sz="6" w:space="0" w:color="auto"/>
              <w:left w:val="single" w:sz="6" w:space="0" w:color="auto"/>
              <w:bottom w:val="single" w:sz="6" w:space="0" w:color="auto"/>
              <w:right w:val="single" w:sz="6" w:space="0" w:color="auto"/>
            </w:tcBorders>
          </w:tcPr>
          <w:p w14:paraId="5676C4B0" w14:textId="77777777" w:rsidR="00A74CDF" w:rsidRPr="00F01347" w:rsidRDefault="00A74CDF" w:rsidP="003A601B">
            <w:pPr>
              <w:pStyle w:val="texto0"/>
              <w:spacing w:line="227" w:lineRule="exact"/>
              <w:ind w:firstLine="0"/>
              <w:jc w:val="center"/>
              <w:rPr>
                <w:rFonts w:ascii="Verdana" w:hAnsi="Verdana"/>
                <w:sz w:val="16"/>
                <w:szCs w:val="16"/>
              </w:rPr>
            </w:pPr>
            <w:r w:rsidRPr="00F01347">
              <w:rPr>
                <w:rFonts w:ascii="Verdana" w:hAnsi="Verdana"/>
                <w:sz w:val="16"/>
                <w:szCs w:val="16"/>
              </w:rPr>
              <w:t>Verificación de segunda fuente de los estándares de calibración (muestra de control de calidad).</w:t>
            </w:r>
          </w:p>
        </w:tc>
        <w:tc>
          <w:tcPr>
            <w:tcW w:w="3330" w:type="dxa"/>
            <w:tcBorders>
              <w:top w:val="single" w:sz="6" w:space="0" w:color="auto"/>
              <w:left w:val="single" w:sz="6" w:space="0" w:color="auto"/>
              <w:bottom w:val="single" w:sz="6" w:space="0" w:color="auto"/>
              <w:right w:val="single" w:sz="6" w:space="0" w:color="auto"/>
            </w:tcBorders>
          </w:tcPr>
          <w:p w14:paraId="25647D10" w14:textId="77777777" w:rsidR="00A74CDF" w:rsidRPr="00F01347" w:rsidRDefault="00A74CDF" w:rsidP="003A601B">
            <w:pPr>
              <w:pStyle w:val="texto0"/>
              <w:spacing w:line="227" w:lineRule="exact"/>
              <w:ind w:firstLine="0"/>
              <w:jc w:val="center"/>
              <w:rPr>
                <w:rFonts w:ascii="Verdana" w:hAnsi="Verdana"/>
                <w:color w:val="000000"/>
                <w:sz w:val="16"/>
                <w:szCs w:val="16"/>
              </w:rPr>
            </w:pPr>
            <w:r w:rsidRPr="00F01347">
              <w:rPr>
                <w:rFonts w:ascii="Verdana" w:hAnsi="Verdana"/>
                <w:color w:val="000000"/>
                <w:sz w:val="16"/>
                <w:szCs w:val="16"/>
              </w:rPr>
              <w:t>Prepare un QCS cerca de la EC</w:t>
            </w:r>
            <w:r w:rsidRPr="00F01347">
              <w:rPr>
                <w:rFonts w:ascii="Verdana" w:hAnsi="Verdana"/>
                <w:color w:val="000000"/>
                <w:sz w:val="16"/>
                <w:szCs w:val="16"/>
                <w:vertAlign w:val="subscript"/>
              </w:rPr>
              <w:t>50</w:t>
            </w:r>
            <w:r w:rsidRPr="00F01347">
              <w:rPr>
                <w:rFonts w:ascii="Verdana" w:hAnsi="Verdana"/>
                <w:color w:val="000000"/>
                <w:sz w:val="16"/>
                <w:szCs w:val="16"/>
              </w:rPr>
              <w:t xml:space="preserve"> con MC-LR de una fuente independiente de los estándares de calibración.</w:t>
            </w:r>
          </w:p>
        </w:tc>
        <w:tc>
          <w:tcPr>
            <w:tcW w:w="3116" w:type="dxa"/>
            <w:tcBorders>
              <w:top w:val="single" w:sz="6" w:space="0" w:color="auto"/>
              <w:left w:val="single" w:sz="6" w:space="0" w:color="auto"/>
              <w:bottom w:val="single" w:sz="6" w:space="0" w:color="auto"/>
              <w:right w:val="single" w:sz="6" w:space="0" w:color="auto"/>
            </w:tcBorders>
          </w:tcPr>
          <w:p w14:paraId="1B1EA296" w14:textId="77777777" w:rsidR="00A74CDF" w:rsidRPr="00F01347" w:rsidRDefault="00A74CDF" w:rsidP="003A601B">
            <w:pPr>
              <w:pStyle w:val="texto0"/>
              <w:spacing w:line="227" w:lineRule="exact"/>
              <w:ind w:firstLine="0"/>
              <w:jc w:val="center"/>
              <w:rPr>
                <w:rFonts w:ascii="Verdana" w:hAnsi="Verdana"/>
                <w:color w:val="000000"/>
                <w:sz w:val="16"/>
                <w:szCs w:val="16"/>
              </w:rPr>
            </w:pPr>
            <w:r w:rsidRPr="00F01347">
              <w:rPr>
                <w:rFonts w:ascii="Verdana" w:hAnsi="Verdana"/>
                <w:color w:val="000000"/>
                <w:sz w:val="16"/>
                <w:szCs w:val="16"/>
              </w:rPr>
              <w:t>Porcentaje de recuperación ≥70% y ≤130% del valor real</w:t>
            </w:r>
          </w:p>
        </w:tc>
      </w:tr>
    </w:tbl>
    <w:p w14:paraId="3385FAE6" w14:textId="77777777" w:rsidR="000A3AF6" w:rsidRDefault="000A3AF6" w:rsidP="00844E72">
      <w:pPr>
        <w:pStyle w:val="texto0"/>
        <w:spacing w:line="227" w:lineRule="exact"/>
        <w:ind w:firstLine="0"/>
        <w:jc w:val="center"/>
        <w:rPr>
          <w:rFonts w:ascii="Verdana" w:hAnsi="Verdana"/>
          <w:b/>
          <w:color w:val="000000"/>
          <w:sz w:val="16"/>
          <w:szCs w:val="16"/>
          <w:lang w:val="en-US"/>
        </w:rPr>
      </w:pPr>
    </w:p>
    <w:p w14:paraId="56A5233C" w14:textId="78320F68" w:rsidR="00844E72" w:rsidRPr="00F01347" w:rsidRDefault="00844E72" w:rsidP="00844E72">
      <w:pPr>
        <w:pStyle w:val="texto0"/>
        <w:spacing w:line="227" w:lineRule="exact"/>
        <w:ind w:firstLine="0"/>
        <w:jc w:val="center"/>
        <w:rPr>
          <w:rFonts w:ascii="Verdana" w:hAnsi="Verdana"/>
          <w:b/>
          <w:color w:val="000000"/>
          <w:sz w:val="16"/>
          <w:szCs w:val="16"/>
          <w:lang w:val="en"/>
        </w:rPr>
      </w:pPr>
      <w:r w:rsidRPr="00F01347">
        <w:rPr>
          <w:rFonts w:ascii="Verdana" w:hAnsi="Verdana"/>
          <w:b/>
          <w:color w:val="000000"/>
          <w:sz w:val="16"/>
          <w:szCs w:val="16"/>
          <w:lang w:val="en-US"/>
        </w:rPr>
        <w:t>Table B.1.1-1. Initial Demonstration of Capability (IDC) Quality Control Requirements</w:t>
      </w:r>
    </w:p>
    <w:tbl>
      <w:tblPr>
        <w:tblW w:w="8715" w:type="dxa"/>
        <w:tblInd w:w="144" w:type="dxa"/>
        <w:tblLayout w:type="fixed"/>
        <w:tblCellMar>
          <w:left w:w="70" w:type="dxa"/>
          <w:right w:w="70" w:type="dxa"/>
        </w:tblCellMar>
        <w:tblLook w:val="04A0" w:firstRow="1" w:lastRow="0" w:firstColumn="1" w:lastColumn="0" w:noHBand="0" w:noVBand="1"/>
      </w:tblPr>
      <w:tblGrid>
        <w:gridCol w:w="2267"/>
        <w:gridCol w:w="3331"/>
        <w:gridCol w:w="3117"/>
      </w:tblGrid>
      <w:tr w:rsidR="00844E72" w:rsidRPr="00F01347" w14:paraId="79A06683" w14:textId="77777777" w:rsidTr="00844E72">
        <w:trPr>
          <w:trHeight w:val="144"/>
        </w:trPr>
        <w:tc>
          <w:tcPr>
            <w:tcW w:w="2266" w:type="dxa"/>
            <w:tcBorders>
              <w:top w:val="single" w:sz="6" w:space="0" w:color="auto"/>
              <w:left w:val="single" w:sz="6" w:space="0" w:color="auto"/>
              <w:bottom w:val="single" w:sz="6" w:space="0" w:color="auto"/>
              <w:right w:val="single" w:sz="6" w:space="0" w:color="auto"/>
            </w:tcBorders>
            <w:noWrap/>
            <w:hideMark/>
          </w:tcPr>
          <w:p w14:paraId="1845923C" w14:textId="77777777" w:rsidR="00844E72" w:rsidRPr="00F01347" w:rsidRDefault="00844E72">
            <w:pPr>
              <w:pStyle w:val="texto0"/>
              <w:spacing w:line="227"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Requirement</w:t>
            </w:r>
          </w:p>
        </w:tc>
        <w:tc>
          <w:tcPr>
            <w:tcW w:w="3330" w:type="dxa"/>
            <w:tcBorders>
              <w:top w:val="single" w:sz="6" w:space="0" w:color="auto"/>
              <w:left w:val="single" w:sz="6" w:space="0" w:color="auto"/>
              <w:bottom w:val="single" w:sz="6" w:space="0" w:color="auto"/>
              <w:right w:val="single" w:sz="6" w:space="0" w:color="auto"/>
            </w:tcBorders>
            <w:hideMark/>
          </w:tcPr>
          <w:p w14:paraId="4007CEAE" w14:textId="77777777" w:rsidR="00844E72" w:rsidRPr="00F01347" w:rsidRDefault="00844E72">
            <w:pPr>
              <w:pStyle w:val="texto0"/>
              <w:spacing w:line="227"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Specification</w:t>
            </w:r>
          </w:p>
        </w:tc>
        <w:tc>
          <w:tcPr>
            <w:tcW w:w="3116" w:type="dxa"/>
            <w:tcBorders>
              <w:top w:val="single" w:sz="6" w:space="0" w:color="auto"/>
              <w:left w:val="single" w:sz="6" w:space="0" w:color="auto"/>
              <w:bottom w:val="single" w:sz="6" w:space="0" w:color="auto"/>
              <w:right w:val="single" w:sz="6" w:space="0" w:color="auto"/>
            </w:tcBorders>
            <w:hideMark/>
          </w:tcPr>
          <w:p w14:paraId="0690BC9C" w14:textId="77777777" w:rsidR="00844E72" w:rsidRPr="00F01347" w:rsidRDefault="00844E72">
            <w:pPr>
              <w:pStyle w:val="texto0"/>
              <w:spacing w:line="227"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Acceptance requirements</w:t>
            </w:r>
          </w:p>
        </w:tc>
      </w:tr>
      <w:tr w:rsidR="00844E72" w:rsidRPr="00F01347" w14:paraId="3C6003FA" w14:textId="77777777" w:rsidTr="00844E72">
        <w:trPr>
          <w:trHeight w:val="144"/>
        </w:trPr>
        <w:tc>
          <w:tcPr>
            <w:tcW w:w="2266" w:type="dxa"/>
            <w:tcBorders>
              <w:top w:val="single" w:sz="6" w:space="0" w:color="auto"/>
              <w:left w:val="single" w:sz="6" w:space="0" w:color="auto"/>
              <w:bottom w:val="single" w:sz="6" w:space="0" w:color="auto"/>
              <w:right w:val="single" w:sz="6" w:space="0" w:color="auto"/>
            </w:tcBorders>
            <w:hideMark/>
          </w:tcPr>
          <w:p w14:paraId="1989B87D" w14:textId="77777777" w:rsidR="00844E72" w:rsidRPr="00F01347" w:rsidRDefault="00844E72">
            <w:pPr>
              <w:pStyle w:val="texto0"/>
              <w:spacing w:line="227"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Demonstration of accuracy and precision</w:t>
            </w:r>
          </w:p>
        </w:tc>
        <w:tc>
          <w:tcPr>
            <w:tcW w:w="3330" w:type="dxa"/>
            <w:tcBorders>
              <w:top w:val="single" w:sz="6" w:space="0" w:color="auto"/>
              <w:left w:val="single" w:sz="6" w:space="0" w:color="auto"/>
              <w:bottom w:val="single" w:sz="6" w:space="0" w:color="auto"/>
              <w:right w:val="single" w:sz="6" w:space="0" w:color="auto"/>
            </w:tcBorders>
            <w:hideMark/>
          </w:tcPr>
          <w:p w14:paraId="5377417D" w14:textId="77777777" w:rsidR="00844E72" w:rsidRPr="00F01347" w:rsidRDefault="00844E72">
            <w:pPr>
              <w:pStyle w:val="texto0"/>
              <w:spacing w:line="227"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Lyse and analyze 7 replicates of laboratory fortified blanks (LFB) at 0.50µg/L</w:t>
            </w:r>
          </w:p>
        </w:tc>
        <w:tc>
          <w:tcPr>
            <w:tcW w:w="3116" w:type="dxa"/>
            <w:tcBorders>
              <w:top w:val="single" w:sz="6" w:space="0" w:color="auto"/>
              <w:left w:val="single" w:sz="6" w:space="0" w:color="auto"/>
              <w:bottom w:val="single" w:sz="6" w:space="0" w:color="auto"/>
              <w:right w:val="single" w:sz="6" w:space="0" w:color="auto"/>
            </w:tcBorders>
            <w:hideMark/>
          </w:tcPr>
          <w:p w14:paraId="21184D73" w14:textId="77777777" w:rsidR="00844E72" w:rsidRPr="00F01347" w:rsidRDefault="00844E72">
            <w:pPr>
              <w:pStyle w:val="texto0"/>
              <w:spacing w:line="227"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Relative standard deviation percentage ≤15%. Average recovery percentage ≥70% and ≤130%</w:t>
            </w:r>
          </w:p>
        </w:tc>
      </w:tr>
      <w:tr w:rsidR="00844E72" w:rsidRPr="00F01347" w14:paraId="562A5971" w14:textId="77777777" w:rsidTr="00844E72">
        <w:trPr>
          <w:trHeight w:val="144"/>
        </w:trPr>
        <w:tc>
          <w:tcPr>
            <w:tcW w:w="2266" w:type="dxa"/>
            <w:tcBorders>
              <w:top w:val="single" w:sz="6" w:space="0" w:color="auto"/>
              <w:left w:val="single" w:sz="6" w:space="0" w:color="auto"/>
              <w:bottom w:val="single" w:sz="6" w:space="0" w:color="auto"/>
              <w:right w:val="single" w:sz="6" w:space="0" w:color="auto"/>
            </w:tcBorders>
            <w:hideMark/>
          </w:tcPr>
          <w:p w14:paraId="4A85676F" w14:textId="77777777" w:rsidR="00844E72" w:rsidRPr="00F01347" w:rsidRDefault="00844E72">
            <w:pPr>
              <w:pStyle w:val="texto0"/>
              <w:spacing w:line="240" w:lineRule="exact"/>
              <w:ind w:firstLine="0"/>
              <w:jc w:val="center"/>
              <w:rPr>
                <w:rFonts w:ascii="Verdana" w:hAnsi="Verdana"/>
                <w:color w:val="000000"/>
                <w:sz w:val="16"/>
                <w:szCs w:val="16"/>
                <w:lang w:val="en-US"/>
              </w:rPr>
            </w:pPr>
            <w:r w:rsidRPr="00F01347">
              <w:rPr>
                <w:rFonts w:ascii="Verdana" w:hAnsi="Verdana"/>
                <w:sz w:val="16"/>
                <w:szCs w:val="16"/>
                <w:lang w:val="en-US"/>
              </w:rPr>
              <w:t>Demonstration of the presence of interference in the system</w:t>
            </w:r>
          </w:p>
        </w:tc>
        <w:tc>
          <w:tcPr>
            <w:tcW w:w="3330" w:type="dxa"/>
            <w:tcBorders>
              <w:top w:val="single" w:sz="6" w:space="0" w:color="auto"/>
              <w:left w:val="single" w:sz="6" w:space="0" w:color="auto"/>
              <w:bottom w:val="single" w:sz="6" w:space="0" w:color="auto"/>
              <w:right w:val="single" w:sz="6" w:space="0" w:color="auto"/>
            </w:tcBorders>
            <w:hideMark/>
          </w:tcPr>
          <w:p w14:paraId="7ADDF073" w14:textId="77777777" w:rsidR="00844E72" w:rsidRPr="00F01347" w:rsidRDefault="00844E72">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Lyse and analyze 5 laboratory reagent blanks (LRB) distributed along the plate.</w:t>
            </w:r>
          </w:p>
        </w:tc>
        <w:tc>
          <w:tcPr>
            <w:tcW w:w="3116" w:type="dxa"/>
            <w:tcBorders>
              <w:top w:val="single" w:sz="6" w:space="0" w:color="auto"/>
              <w:left w:val="single" w:sz="6" w:space="0" w:color="auto"/>
              <w:bottom w:val="single" w:sz="6" w:space="0" w:color="auto"/>
              <w:right w:val="single" w:sz="6" w:space="0" w:color="auto"/>
            </w:tcBorders>
            <w:hideMark/>
          </w:tcPr>
          <w:p w14:paraId="2F5E77E5" w14:textId="77777777" w:rsidR="00844E72" w:rsidRPr="00F01347" w:rsidRDefault="00844E72">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The MC concentration must be less than half the Minimum Reported Level (MRL) in each LRB</w:t>
            </w:r>
          </w:p>
        </w:tc>
      </w:tr>
      <w:tr w:rsidR="00844E72" w:rsidRPr="00F01347" w14:paraId="23DE6235" w14:textId="77777777" w:rsidTr="00844E72">
        <w:trPr>
          <w:trHeight w:val="144"/>
        </w:trPr>
        <w:tc>
          <w:tcPr>
            <w:tcW w:w="2266" w:type="dxa"/>
            <w:tcBorders>
              <w:top w:val="single" w:sz="6" w:space="0" w:color="auto"/>
              <w:left w:val="single" w:sz="6" w:space="0" w:color="auto"/>
              <w:bottom w:val="single" w:sz="6" w:space="0" w:color="auto"/>
              <w:right w:val="single" w:sz="6" w:space="0" w:color="auto"/>
            </w:tcBorders>
            <w:hideMark/>
          </w:tcPr>
          <w:p w14:paraId="31B6284E" w14:textId="77777777" w:rsidR="00844E72" w:rsidRPr="00F01347" w:rsidRDefault="00844E72">
            <w:pPr>
              <w:pStyle w:val="texto0"/>
              <w:spacing w:line="240" w:lineRule="exact"/>
              <w:ind w:firstLine="0"/>
              <w:jc w:val="center"/>
              <w:rPr>
                <w:rFonts w:ascii="Verdana" w:hAnsi="Verdana"/>
                <w:sz w:val="16"/>
                <w:szCs w:val="16"/>
                <w:lang w:val="en-US"/>
              </w:rPr>
            </w:pPr>
            <w:r w:rsidRPr="00F01347">
              <w:rPr>
                <w:rFonts w:ascii="Verdana" w:hAnsi="Verdana"/>
                <w:sz w:val="16"/>
                <w:szCs w:val="16"/>
                <w:lang w:val="en-US"/>
              </w:rPr>
              <w:t>MRL confirmation</w:t>
            </w:r>
          </w:p>
        </w:tc>
        <w:tc>
          <w:tcPr>
            <w:tcW w:w="3330" w:type="dxa"/>
            <w:tcBorders>
              <w:top w:val="single" w:sz="6" w:space="0" w:color="auto"/>
              <w:left w:val="single" w:sz="6" w:space="0" w:color="auto"/>
              <w:bottom w:val="single" w:sz="6" w:space="0" w:color="auto"/>
              <w:right w:val="single" w:sz="6" w:space="0" w:color="auto"/>
            </w:tcBorders>
            <w:hideMark/>
          </w:tcPr>
          <w:p w14:paraId="34351386" w14:textId="77777777" w:rsidR="00844E72" w:rsidRPr="00F01347" w:rsidRDefault="00844E72">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Fortify and analyze 7 replicated LFBs at the proposed MRL concentration. Confirm that the upper and lower limit of the Prediction of Results Interval (PIR) meets the recovery criteria.</w:t>
            </w:r>
          </w:p>
        </w:tc>
        <w:tc>
          <w:tcPr>
            <w:tcW w:w="3116" w:type="dxa"/>
            <w:tcBorders>
              <w:top w:val="single" w:sz="6" w:space="0" w:color="auto"/>
              <w:left w:val="single" w:sz="6" w:space="0" w:color="auto"/>
              <w:bottom w:val="single" w:sz="6" w:space="0" w:color="auto"/>
              <w:right w:val="single" w:sz="6" w:space="0" w:color="auto"/>
            </w:tcBorders>
            <w:hideMark/>
          </w:tcPr>
          <w:p w14:paraId="733AD7B0" w14:textId="77777777" w:rsidR="00844E72" w:rsidRPr="00F01347" w:rsidRDefault="00844E72">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PIR upper limit ≤150%</w:t>
            </w:r>
          </w:p>
          <w:p w14:paraId="33717D3D" w14:textId="77777777" w:rsidR="00844E72" w:rsidRPr="00F01347" w:rsidRDefault="00844E72">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PIR inner limit ≥50%</w:t>
            </w:r>
          </w:p>
        </w:tc>
      </w:tr>
      <w:tr w:rsidR="00844E72" w:rsidRPr="00F01347" w14:paraId="1C218E16" w14:textId="77777777" w:rsidTr="00844E72">
        <w:trPr>
          <w:trHeight w:val="144"/>
        </w:trPr>
        <w:tc>
          <w:tcPr>
            <w:tcW w:w="2266" w:type="dxa"/>
            <w:tcBorders>
              <w:top w:val="single" w:sz="6" w:space="0" w:color="auto"/>
              <w:left w:val="single" w:sz="6" w:space="0" w:color="auto"/>
              <w:bottom w:val="single" w:sz="6" w:space="0" w:color="auto"/>
              <w:right w:val="single" w:sz="6" w:space="0" w:color="auto"/>
            </w:tcBorders>
            <w:hideMark/>
          </w:tcPr>
          <w:p w14:paraId="256A44F3" w14:textId="77777777" w:rsidR="00844E72" w:rsidRPr="00F01347" w:rsidRDefault="00844E72">
            <w:pPr>
              <w:pStyle w:val="texto0"/>
              <w:spacing w:line="227" w:lineRule="exact"/>
              <w:ind w:firstLine="0"/>
              <w:jc w:val="center"/>
              <w:rPr>
                <w:rFonts w:ascii="Verdana" w:hAnsi="Verdana"/>
                <w:sz w:val="16"/>
                <w:szCs w:val="16"/>
                <w:lang w:val="en-US"/>
              </w:rPr>
            </w:pPr>
            <w:r w:rsidRPr="00F01347">
              <w:rPr>
                <w:rFonts w:ascii="Verdana" w:hAnsi="Verdana"/>
                <w:sz w:val="16"/>
                <w:szCs w:val="16"/>
                <w:lang w:val="en-US"/>
              </w:rPr>
              <w:t>Second source verification of calibration standards (quality control sample).</w:t>
            </w:r>
          </w:p>
        </w:tc>
        <w:tc>
          <w:tcPr>
            <w:tcW w:w="3330" w:type="dxa"/>
            <w:tcBorders>
              <w:top w:val="single" w:sz="6" w:space="0" w:color="auto"/>
              <w:left w:val="single" w:sz="6" w:space="0" w:color="auto"/>
              <w:bottom w:val="single" w:sz="6" w:space="0" w:color="auto"/>
              <w:right w:val="single" w:sz="6" w:space="0" w:color="auto"/>
            </w:tcBorders>
            <w:hideMark/>
          </w:tcPr>
          <w:p w14:paraId="78E3F2DE" w14:textId="77777777" w:rsidR="00844E72" w:rsidRPr="00F01347" w:rsidRDefault="00844E72">
            <w:pPr>
              <w:pStyle w:val="texto0"/>
              <w:spacing w:line="227"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Prepare a QCS near EC </w:t>
            </w:r>
            <w:r w:rsidRPr="00F01347">
              <w:rPr>
                <w:rFonts w:ascii="Verdana" w:hAnsi="Verdana"/>
                <w:color w:val="000000"/>
                <w:sz w:val="16"/>
                <w:szCs w:val="16"/>
                <w:vertAlign w:val="subscript"/>
                <w:lang w:val="en-US"/>
              </w:rPr>
              <w:t xml:space="preserve">50 </w:t>
            </w:r>
            <w:r w:rsidRPr="00F01347">
              <w:rPr>
                <w:rFonts w:ascii="Verdana" w:hAnsi="Verdana"/>
                <w:color w:val="000000"/>
                <w:sz w:val="16"/>
                <w:szCs w:val="16"/>
                <w:lang w:val="en-US"/>
              </w:rPr>
              <w:t>with MC-LR from an independent source of calibration standards.</w:t>
            </w:r>
          </w:p>
        </w:tc>
        <w:tc>
          <w:tcPr>
            <w:tcW w:w="3116" w:type="dxa"/>
            <w:tcBorders>
              <w:top w:val="single" w:sz="6" w:space="0" w:color="auto"/>
              <w:left w:val="single" w:sz="6" w:space="0" w:color="auto"/>
              <w:bottom w:val="single" w:sz="6" w:space="0" w:color="auto"/>
              <w:right w:val="single" w:sz="6" w:space="0" w:color="auto"/>
            </w:tcBorders>
            <w:hideMark/>
          </w:tcPr>
          <w:p w14:paraId="5BE9319F" w14:textId="77777777" w:rsidR="00844E72" w:rsidRPr="00F01347" w:rsidRDefault="00844E72">
            <w:pPr>
              <w:pStyle w:val="texto0"/>
              <w:spacing w:line="227"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Recovery percentage ≥70% and ≤130% of the actual value</w:t>
            </w:r>
          </w:p>
        </w:tc>
      </w:tr>
    </w:tbl>
    <w:p w14:paraId="4E5495FE" w14:textId="77777777" w:rsidR="00844E72" w:rsidRPr="00F01347" w:rsidRDefault="00844E72" w:rsidP="00844E72">
      <w:pPr>
        <w:pStyle w:val="texto0"/>
        <w:spacing w:line="236" w:lineRule="exact"/>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3DEAC0D7" w14:textId="77777777" w:rsidTr="00C94C47">
        <w:tc>
          <w:tcPr>
            <w:tcW w:w="4675" w:type="dxa"/>
          </w:tcPr>
          <w:p w14:paraId="07260A4F" w14:textId="0F15ECBE" w:rsidR="00204B58" w:rsidRPr="00F01347" w:rsidRDefault="00204B58" w:rsidP="00C94C47">
            <w:pPr>
              <w:pStyle w:val="texto0"/>
              <w:spacing w:line="236" w:lineRule="exact"/>
              <w:ind w:firstLine="0"/>
              <w:rPr>
                <w:rFonts w:ascii="Verdana" w:hAnsi="Verdana"/>
                <w:sz w:val="16"/>
                <w:szCs w:val="16"/>
              </w:rPr>
            </w:pPr>
            <w:r w:rsidRPr="00F01347">
              <w:rPr>
                <w:rFonts w:ascii="Verdana" w:hAnsi="Verdana"/>
                <w:sz w:val="16"/>
                <w:szCs w:val="16"/>
              </w:rPr>
              <w:lastRenderedPageBreak/>
              <w:t>Al realizar el IDC, el analista debe cumplir con los requisitos de calibración especificados en el apartado correspondiente. El estándar de calibración más bajo utilizado para establecer la calibración inicial debe ser igual o inferior a la concentración que representa el MRL. Las cuatro determinaciones necesarias para completar el IDC pueden incluirse en un lote de análisis único, es decir, procesarse en una única placa de ELISA.</w:t>
            </w:r>
          </w:p>
        </w:tc>
        <w:tc>
          <w:tcPr>
            <w:tcW w:w="4675" w:type="dxa"/>
          </w:tcPr>
          <w:p w14:paraId="5966201C" w14:textId="4939E965" w:rsidR="00204B58" w:rsidRPr="00F01347" w:rsidRDefault="00844E72" w:rsidP="003A601B">
            <w:pPr>
              <w:pStyle w:val="texto0"/>
              <w:spacing w:line="236" w:lineRule="exact"/>
              <w:ind w:firstLine="0"/>
              <w:rPr>
                <w:rFonts w:ascii="Verdana" w:hAnsi="Verdana"/>
                <w:sz w:val="16"/>
                <w:szCs w:val="16"/>
                <w:lang w:val="en-US"/>
              </w:rPr>
            </w:pPr>
            <w:r w:rsidRPr="00F01347">
              <w:rPr>
                <w:rFonts w:ascii="Verdana" w:hAnsi="Verdana"/>
                <w:sz w:val="16"/>
                <w:szCs w:val="16"/>
                <w:lang w:val="en-US"/>
              </w:rPr>
              <w:t>When performing the IDC, the analyst must comply with the calibration requirements specified in the corresponding section. The lowest calibration standard used to establish the initial calibration should be equal to or less than the concentration representing the MRL. The four determinations necessary to complete the IDC can be included in a single test lot, that is, processed on a single ELISA plate.</w:t>
            </w:r>
          </w:p>
        </w:tc>
      </w:tr>
      <w:tr w:rsidR="00204B58" w:rsidRPr="00F01347" w14:paraId="617D081A" w14:textId="77777777" w:rsidTr="00C94C47">
        <w:tc>
          <w:tcPr>
            <w:tcW w:w="4675" w:type="dxa"/>
          </w:tcPr>
          <w:p w14:paraId="65446C03" w14:textId="77777777" w:rsidR="00204B58" w:rsidRPr="00F01347" w:rsidRDefault="00204B58" w:rsidP="00C94C47">
            <w:pPr>
              <w:pStyle w:val="texto0"/>
              <w:spacing w:line="236" w:lineRule="exact"/>
              <w:ind w:firstLine="0"/>
              <w:rPr>
                <w:rFonts w:ascii="Verdana" w:hAnsi="Verdana"/>
                <w:sz w:val="16"/>
                <w:szCs w:val="16"/>
              </w:rPr>
            </w:pPr>
            <w:r w:rsidRPr="00F01347">
              <w:rPr>
                <w:rFonts w:ascii="Verdana" w:hAnsi="Verdana"/>
                <w:sz w:val="16"/>
                <w:szCs w:val="16"/>
              </w:rPr>
              <w:t>Para la demostración de exactitud y precisión, deben prepararse siete LFB repetidos fortificando cada uno con 0.50µg/L de MC-LR. Se debe añadir tiosulfato de sodio. Lisar, filtrar y analizar los LFB en un solo lote de análisis. Para este lote de análisis, se deben de incluir los LRB para cumplir con el requisito QC de LRB. También se requiere un LOW-CV. El porcentaje de desviación estándar relativa (%RSD) para MC-LR en las siete repeticiones de LFB debe ser menor o igual a 15%. La recuperación media de las siete repeticiones debe ser mayor o igual que 70% e inferior o igual a 130%.</w:t>
            </w:r>
          </w:p>
          <w:p w14:paraId="71F4DCCE" w14:textId="77777777" w:rsidR="00204B58" w:rsidRPr="00F01347" w:rsidRDefault="00204B58" w:rsidP="003A601B">
            <w:pPr>
              <w:pStyle w:val="texto0"/>
              <w:spacing w:line="236" w:lineRule="exact"/>
              <w:ind w:firstLine="0"/>
              <w:rPr>
                <w:rFonts w:ascii="Verdana" w:hAnsi="Verdana"/>
                <w:sz w:val="16"/>
                <w:szCs w:val="16"/>
              </w:rPr>
            </w:pPr>
          </w:p>
        </w:tc>
        <w:tc>
          <w:tcPr>
            <w:tcW w:w="4675" w:type="dxa"/>
          </w:tcPr>
          <w:p w14:paraId="238DD0E8" w14:textId="77777777" w:rsidR="009A29EE" w:rsidRPr="00F01347" w:rsidRDefault="009A29EE" w:rsidP="00C94C47">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For demonstration of accuracy and precision, seven replicate LFBs should be prepared by fortifying each with 0.50µg/L of MC-LR. Sodium thiosulfate must be added. Lyse, </w:t>
            </w:r>
            <w:proofErr w:type="gramStart"/>
            <w:r w:rsidRPr="00F01347">
              <w:rPr>
                <w:rFonts w:ascii="Verdana" w:hAnsi="Verdana"/>
                <w:sz w:val="16"/>
                <w:szCs w:val="16"/>
                <w:lang w:val="en-US"/>
              </w:rPr>
              <w:t>filter</w:t>
            </w:r>
            <w:proofErr w:type="gramEnd"/>
            <w:r w:rsidRPr="00F01347">
              <w:rPr>
                <w:rFonts w:ascii="Verdana" w:hAnsi="Verdana"/>
                <w:sz w:val="16"/>
                <w:szCs w:val="16"/>
                <w:lang w:val="en-US"/>
              </w:rPr>
              <w:t xml:space="preserve"> and analyze LFBs in a single analysis batch. For this batch of analyses, LRBs must be included to meet the LRB QC requirement. A LOW-CV is also required. The percentage relative standard deviation (%RSD) for MC-LR in all seven LFB replicates must be less than or equal to 15%. The average recovery of the seven repetitions must be greater than or equal to 70% and less than or equal to 130%.</w:t>
            </w:r>
          </w:p>
          <w:p w14:paraId="59C7CFD5" w14:textId="77777777" w:rsidR="00204B58" w:rsidRPr="00F01347" w:rsidRDefault="00204B58" w:rsidP="003A601B">
            <w:pPr>
              <w:pStyle w:val="texto0"/>
              <w:spacing w:line="236" w:lineRule="exact"/>
              <w:ind w:firstLine="0"/>
              <w:rPr>
                <w:rFonts w:ascii="Verdana" w:hAnsi="Verdana"/>
                <w:sz w:val="16"/>
                <w:szCs w:val="16"/>
                <w:lang w:val="en-US"/>
              </w:rPr>
            </w:pPr>
          </w:p>
        </w:tc>
      </w:tr>
    </w:tbl>
    <w:p w14:paraId="028E7D37" w14:textId="77777777" w:rsidR="00204B58" w:rsidRPr="00F01347" w:rsidRDefault="00204B58" w:rsidP="003A601B">
      <w:pPr>
        <w:pStyle w:val="texto0"/>
        <w:spacing w:line="236" w:lineRule="exact"/>
        <w:rPr>
          <w:rFonts w:ascii="Verdana" w:hAnsi="Verdana"/>
          <w:sz w:val="16"/>
          <w:szCs w:val="16"/>
          <w:lang w:val="en-US"/>
        </w:rPr>
      </w:pPr>
    </w:p>
    <w:p w14:paraId="11B316C4" w14:textId="3A277ED5" w:rsidR="00D969D7" w:rsidRPr="00F01347" w:rsidRDefault="00471638" w:rsidP="00D969D7">
      <w:pPr>
        <w:pStyle w:val="Texto"/>
        <w:spacing w:line="240" w:lineRule="auto"/>
        <w:ind w:firstLine="0"/>
        <w:jc w:val="center"/>
        <w:rPr>
          <w:rFonts w:ascii="Verdana" w:hAnsi="Verdana"/>
          <w:sz w:val="16"/>
          <w:szCs w:val="16"/>
        </w:rPr>
      </w:pPr>
      <w:r w:rsidRPr="00F01347">
        <w:rPr>
          <w:rFonts w:ascii="Verdana" w:hAnsi="Verdana"/>
          <w:noProof/>
          <w:sz w:val="16"/>
          <w:szCs w:val="16"/>
        </w:rPr>
        <w:drawing>
          <wp:inline distT="0" distB="0" distL="0" distR="0" wp14:anchorId="5A3E90CF" wp14:editId="6B0228AB">
            <wp:extent cx="4505325" cy="361950"/>
            <wp:effectExtent l="0" t="0" r="0" b="0"/>
            <wp:docPr id="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5325" cy="361950"/>
                    </a:xfrm>
                    <a:prstGeom prst="rect">
                      <a:avLst/>
                    </a:prstGeom>
                    <a:noFill/>
                    <a:ln>
                      <a:noFill/>
                    </a:ln>
                  </pic:spPr>
                </pic:pic>
              </a:graphicData>
            </a:graphic>
          </wp:inline>
        </w:drawing>
      </w:r>
    </w:p>
    <w:p w14:paraId="1E7D1C25" w14:textId="6FC7027A" w:rsidR="00D969D7" w:rsidRPr="00F01347" w:rsidRDefault="00471638" w:rsidP="00D969D7">
      <w:pPr>
        <w:pStyle w:val="Texto"/>
        <w:spacing w:line="240" w:lineRule="auto"/>
        <w:ind w:firstLine="0"/>
        <w:jc w:val="center"/>
        <w:rPr>
          <w:rFonts w:ascii="Verdana" w:hAnsi="Verdana"/>
          <w:sz w:val="16"/>
          <w:szCs w:val="16"/>
        </w:rPr>
      </w:pPr>
      <w:r w:rsidRPr="00F01347">
        <w:rPr>
          <w:rFonts w:ascii="Verdana" w:hAnsi="Verdana"/>
          <w:noProof/>
          <w:sz w:val="16"/>
          <w:szCs w:val="16"/>
        </w:rPr>
        <w:drawing>
          <wp:inline distT="0" distB="0" distL="0" distR="0" wp14:anchorId="2D463C01" wp14:editId="43B590CB">
            <wp:extent cx="4200525" cy="342900"/>
            <wp:effectExtent l="0" t="0" r="0" b="0"/>
            <wp:docPr id="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00525" cy="342900"/>
                    </a:xfrm>
                    <a:prstGeom prst="rect">
                      <a:avLst/>
                    </a:prstGeom>
                    <a:noFill/>
                    <a:ln>
                      <a:noFill/>
                    </a:ln>
                  </pic:spPr>
                </pic:pic>
              </a:graphicData>
            </a:graphic>
          </wp:inline>
        </w:drawing>
      </w:r>
    </w:p>
    <w:p w14:paraId="67B17697" w14:textId="18397258" w:rsidR="00204B58" w:rsidRPr="00F01347" w:rsidRDefault="00965429" w:rsidP="00204B58">
      <w:pPr>
        <w:pStyle w:val="texto0"/>
        <w:spacing w:line="240" w:lineRule="exact"/>
        <w:ind w:firstLine="0"/>
        <w:rPr>
          <w:rFonts w:ascii="Verdana" w:hAnsi="Verdana"/>
          <w:sz w:val="16"/>
          <w:szCs w:val="16"/>
        </w:rPr>
      </w:pPr>
      <w:r w:rsidRPr="00F01347">
        <w:rPr>
          <w:noProof/>
        </w:rPr>
        <w:drawing>
          <wp:anchor distT="0" distB="0" distL="114300" distR="114300" simplePos="0" relativeHeight="251656192" behindDoc="0" locked="0" layoutInCell="1" allowOverlap="1" wp14:anchorId="79584E93" wp14:editId="725990A8">
            <wp:simplePos x="0" y="0"/>
            <wp:positionH relativeFrom="column">
              <wp:posOffset>719847</wp:posOffset>
            </wp:positionH>
            <wp:positionV relativeFrom="paragraph">
              <wp:posOffset>72660</wp:posOffset>
            </wp:positionV>
            <wp:extent cx="4403280" cy="1804481"/>
            <wp:effectExtent l="0" t="0" r="0" b="5715"/>
            <wp:wrapNone/>
            <wp:docPr id="7744412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441263" name="Picture 1" descr="A screenshot of a computer&#10;&#10;Description automatically generated"/>
                    <pic:cNvPicPr/>
                  </pic:nvPicPr>
                  <pic:blipFill rotWithShape="1">
                    <a:blip r:embed="rId19" cstate="print">
                      <a:extLst>
                        <a:ext uri="{28A0092B-C50C-407E-A947-70E740481C1C}">
                          <a14:useLocalDpi xmlns:a14="http://schemas.microsoft.com/office/drawing/2010/main" val="0"/>
                        </a:ext>
                      </a:extLst>
                    </a:blip>
                    <a:srcRect l="34534" t="30988" r="23727" b="38602"/>
                    <a:stretch/>
                  </pic:blipFill>
                  <pic:spPr bwMode="auto">
                    <a:xfrm>
                      <a:off x="0" y="0"/>
                      <a:ext cx="4411493" cy="18078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7749D9" w14:textId="2057CE86" w:rsidR="00204B58" w:rsidRPr="00F01347" w:rsidRDefault="00204B58" w:rsidP="00204B58">
      <w:pPr>
        <w:pStyle w:val="texto0"/>
        <w:spacing w:line="240" w:lineRule="exact"/>
        <w:ind w:firstLine="0"/>
        <w:rPr>
          <w:rFonts w:ascii="Verdana" w:hAnsi="Verdana"/>
          <w:sz w:val="16"/>
          <w:szCs w:val="16"/>
        </w:rPr>
      </w:pPr>
    </w:p>
    <w:p w14:paraId="5E0E31B8" w14:textId="77777777" w:rsidR="00CA68D5" w:rsidRPr="00F01347" w:rsidRDefault="00CA68D5" w:rsidP="00204B58">
      <w:pPr>
        <w:pStyle w:val="texto0"/>
        <w:spacing w:line="240" w:lineRule="exact"/>
        <w:ind w:firstLine="0"/>
        <w:rPr>
          <w:rFonts w:ascii="Verdana" w:hAnsi="Verdana"/>
          <w:sz w:val="16"/>
          <w:szCs w:val="16"/>
        </w:rPr>
      </w:pPr>
    </w:p>
    <w:p w14:paraId="5B1E8105" w14:textId="77777777" w:rsidR="00CA68D5" w:rsidRPr="00F01347" w:rsidRDefault="00CA68D5" w:rsidP="00204B58">
      <w:pPr>
        <w:pStyle w:val="texto0"/>
        <w:spacing w:line="240" w:lineRule="exact"/>
        <w:ind w:firstLine="0"/>
        <w:rPr>
          <w:rFonts w:ascii="Verdana" w:hAnsi="Verdana"/>
          <w:sz w:val="16"/>
          <w:szCs w:val="16"/>
        </w:rPr>
      </w:pPr>
    </w:p>
    <w:p w14:paraId="46A032CD" w14:textId="77777777" w:rsidR="00CA68D5" w:rsidRPr="00F01347" w:rsidRDefault="00CA68D5" w:rsidP="00204B58">
      <w:pPr>
        <w:pStyle w:val="texto0"/>
        <w:spacing w:line="240" w:lineRule="exact"/>
        <w:ind w:firstLine="0"/>
        <w:rPr>
          <w:rFonts w:ascii="Verdana" w:hAnsi="Verdana"/>
          <w:sz w:val="16"/>
          <w:szCs w:val="16"/>
        </w:rPr>
      </w:pPr>
    </w:p>
    <w:p w14:paraId="0B804474" w14:textId="77777777" w:rsidR="00965429" w:rsidRPr="00F01347" w:rsidRDefault="00965429" w:rsidP="00204B58">
      <w:pPr>
        <w:pStyle w:val="texto0"/>
        <w:spacing w:line="240" w:lineRule="exact"/>
        <w:ind w:firstLine="0"/>
        <w:rPr>
          <w:rFonts w:ascii="Verdana" w:hAnsi="Verdana"/>
          <w:sz w:val="16"/>
          <w:szCs w:val="16"/>
        </w:rPr>
      </w:pPr>
    </w:p>
    <w:p w14:paraId="622F9871" w14:textId="77777777" w:rsidR="00965429" w:rsidRPr="00F01347" w:rsidRDefault="00965429" w:rsidP="00204B58">
      <w:pPr>
        <w:pStyle w:val="texto0"/>
        <w:spacing w:line="240" w:lineRule="exact"/>
        <w:ind w:firstLine="0"/>
        <w:rPr>
          <w:rFonts w:ascii="Verdana" w:hAnsi="Verdana"/>
          <w:sz w:val="16"/>
          <w:szCs w:val="16"/>
        </w:rPr>
      </w:pPr>
    </w:p>
    <w:p w14:paraId="03DC75C7" w14:textId="77777777" w:rsidR="00965429" w:rsidRPr="00F01347" w:rsidRDefault="00965429" w:rsidP="00204B58">
      <w:pPr>
        <w:pStyle w:val="texto0"/>
        <w:spacing w:line="240" w:lineRule="exact"/>
        <w:ind w:firstLine="0"/>
        <w:rPr>
          <w:rFonts w:ascii="Verdana" w:hAnsi="Verdana"/>
          <w:sz w:val="16"/>
          <w:szCs w:val="16"/>
        </w:rPr>
      </w:pPr>
    </w:p>
    <w:p w14:paraId="6123AA98" w14:textId="77777777" w:rsidR="00965429" w:rsidRPr="00F01347" w:rsidRDefault="00965429" w:rsidP="00204B58">
      <w:pPr>
        <w:pStyle w:val="texto0"/>
        <w:spacing w:line="240" w:lineRule="exact"/>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7A950148" w14:textId="2BA5FF24" w:rsidTr="00965429">
        <w:tc>
          <w:tcPr>
            <w:tcW w:w="4675" w:type="dxa"/>
          </w:tcPr>
          <w:p w14:paraId="5267FE56" w14:textId="77777777" w:rsidR="00204B58" w:rsidRPr="00F01347" w:rsidRDefault="00204B58" w:rsidP="004D2696">
            <w:pPr>
              <w:pStyle w:val="texto0"/>
              <w:spacing w:line="240" w:lineRule="exact"/>
              <w:ind w:firstLine="0"/>
              <w:rPr>
                <w:rFonts w:ascii="Verdana" w:hAnsi="Verdana"/>
                <w:sz w:val="16"/>
                <w:szCs w:val="16"/>
              </w:rPr>
            </w:pPr>
            <w:r w:rsidRPr="00F01347">
              <w:rPr>
                <w:rFonts w:ascii="Verdana" w:hAnsi="Verdana"/>
                <w:sz w:val="16"/>
                <w:szCs w:val="16"/>
              </w:rPr>
              <w:t>Para la demostración de la presencia de interferencias en el sistema, en el mismo lote de análisis llevado a cabo para la exactitud y precisión en la IDC, lisar, filtrar y analizar cinco LRB. Los LRB deben contener tiosulfato de sodio. Los LRB deben distribuirse a lo largo de toda la placa. El resultado obtenido para cada LRB debe ser inferior a la media del MRL.</w:t>
            </w:r>
          </w:p>
        </w:tc>
        <w:tc>
          <w:tcPr>
            <w:tcW w:w="4675" w:type="dxa"/>
          </w:tcPr>
          <w:p w14:paraId="1A39DD93" w14:textId="4E57ACE5" w:rsidR="00204B58" w:rsidRPr="00F01347" w:rsidRDefault="00C7100E" w:rsidP="004D2696">
            <w:pPr>
              <w:pStyle w:val="texto0"/>
              <w:spacing w:line="240" w:lineRule="exact"/>
              <w:ind w:firstLine="0"/>
              <w:rPr>
                <w:rFonts w:ascii="Verdana" w:hAnsi="Verdana"/>
                <w:sz w:val="16"/>
                <w:szCs w:val="16"/>
                <w:lang w:val="en-US"/>
              </w:rPr>
            </w:pPr>
            <w:r w:rsidRPr="00F01347">
              <w:rPr>
                <w:rFonts w:ascii="Verdana" w:hAnsi="Verdana"/>
                <w:sz w:val="16"/>
                <w:szCs w:val="16"/>
                <w:lang w:val="en-US"/>
              </w:rPr>
              <w:t xml:space="preserve">To demonstrate the presence of interference in the system, in the same batch of analysis carried out for accuracy and precision in the IDC, lyse, </w:t>
            </w:r>
            <w:r w:rsidR="00965429" w:rsidRPr="00F01347">
              <w:rPr>
                <w:rFonts w:ascii="Verdana" w:hAnsi="Verdana"/>
                <w:sz w:val="16"/>
                <w:szCs w:val="16"/>
                <w:lang w:val="en-US"/>
              </w:rPr>
              <w:t>filter,</w:t>
            </w:r>
            <w:r w:rsidRPr="00F01347">
              <w:rPr>
                <w:rFonts w:ascii="Verdana" w:hAnsi="Verdana"/>
                <w:sz w:val="16"/>
                <w:szCs w:val="16"/>
                <w:lang w:val="en-US"/>
              </w:rPr>
              <w:t xml:space="preserve"> and analyze five LRBs. LRBs must contain sodium thiosulfate. The LRBs must be distributed throughout the entire board. The result obtained for each LRB must be lower than the average of the MRL.</w:t>
            </w:r>
          </w:p>
        </w:tc>
      </w:tr>
      <w:tr w:rsidR="00204B58" w:rsidRPr="00F01347" w14:paraId="772B8C22" w14:textId="0B35116F" w:rsidTr="00965429">
        <w:tc>
          <w:tcPr>
            <w:tcW w:w="4675" w:type="dxa"/>
          </w:tcPr>
          <w:p w14:paraId="415F1168" w14:textId="77777777" w:rsidR="00204B58" w:rsidRPr="00F01347" w:rsidRDefault="00204B58" w:rsidP="004D2696">
            <w:pPr>
              <w:pStyle w:val="texto0"/>
              <w:spacing w:line="240" w:lineRule="exact"/>
              <w:ind w:firstLine="0"/>
              <w:rPr>
                <w:rFonts w:ascii="Verdana" w:hAnsi="Verdana"/>
                <w:sz w:val="16"/>
                <w:szCs w:val="16"/>
              </w:rPr>
            </w:pPr>
            <w:r w:rsidRPr="00F01347">
              <w:rPr>
                <w:rFonts w:ascii="Verdana" w:hAnsi="Verdana"/>
                <w:sz w:val="16"/>
                <w:szCs w:val="16"/>
              </w:rPr>
              <w:t xml:space="preserve">Para la confirmación del MRL, se debe establecer una concentración objetivo para el MRL en función del uso </w:t>
            </w:r>
            <w:r w:rsidRPr="00F01347">
              <w:rPr>
                <w:rFonts w:ascii="Verdana" w:hAnsi="Verdana"/>
                <w:sz w:val="16"/>
                <w:szCs w:val="16"/>
              </w:rPr>
              <w:lastRenderedPageBreak/>
              <w:t>destinado del método. Confirme el MRL siguiendo el procedimiento descrito a continuación:</w:t>
            </w:r>
          </w:p>
        </w:tc>
        <w:tc>
          <w:tcPr>
            <w:tcW w:w="4675" w:type="dxa"/>
          </w:tcPr>
          <w:p w14:paraId="0DEA8128" w14:textId="0424FF7C" w:rsidR="00204B58" w:rsidRPr="00F01347" w:rsidRDefault="00260559" w:rsidP="004D2696">
            <w:pPr>
              <w:pStyle w:val="texto0"/>
              <w:spacing w:line="240" w:lineRule="exact"/>
              <w:ind w:firstLine="0"/>
              <w:rPr>
                <w:rFonts w:ascii="Verdana" w:hAnsi="Verdana"/>
                <w:sz w:val="16"/>
                <w:szCs w:val="16"/>
                <w:lang w:val="en-US"/>
              </w:rPr>
            </w:pPr>
            <w:r w:rsidRPr="00F01347">
              <w:rPr>
                <w:rFonts w:ascii="Verdana" w:hAnsi="Verdana"/>
                <w:sz w:val="16"/>
                <w:szCs w:val="16"/>
                <w:lang w:val="en-US"/>
              </w:rPr>
              <w:lastRenderedPageBreak/>
              <w:t xml:space="preserve">For confirmation of the MRL, a </w:t>
            </w:r>
            <w:r w:rsidR="00C50A8A" w:rsidRPr="00F01347">
              <w:rPr>
                <w:rFonts w:ascii="Verdana" w:hAnsi="Verdana"/>
                <w:sz w:val="16"/>
                <w:szCs w:val="16"/>
                <w:lang w:val="en-US"/>
              </w:rPr>
              <w:t>blank</w:t>
            </w:r>
            <w:r w:rsidRPr="00F01347">
              <w:rPr>
                <w:rFonts w:ascii="Verdana" w:hAnsi="Verdana"/>
                <w:sz w:val="16"/>
                <w:szCs w:val="16"/>
                <w:lang w:val="en-US"/>
              </w:rPr>
              <w:t xml:space="preserve"> concentration for the MRL must be established based on the intended use </w:t>
            </w:r>
            <w:r w:rsidRPr="00F01347">
              <w:rPr>
                <w:rFonts w:ascii="Verdana" w:hAnsi="Verdana"/>
                <w:sz w:val="16"/>
                <w:szCs w:val="16"/>
                <w:lang w:val="en-US"/>
              </w:rPr>
              <w:lastRenderedPageBreak/>
              <w:t>of the method. Confirm the MRL by following the procedure described below:</w:t>
            </w:r>
          </w:p>
        </w:tc>
      </w:tr>
      <w:tr w:rsidR="00204B58" w:rsidRPr="00F01347" w14:paraId="4AD1E8EB" w14:textId="745A0D37" w:rsidTr="00965429">
        <w:tc>
          <w:tcPr>
            <w:tcW w:w="4675" w:type="dxa"/>
          </w:tcPr>
          <w:p w14:paraId="5CABEDE2" w14:textId="77777777" w:rsidR="00204B58" w:rsidRPr="00F01347" w:rsidRDefault="00204B58" w:rsidP="004D2696">
            <w:pPr>
              <w:pStyle w:val="texto0"/>
              <w:spacing w:line="232" w:lineRule="exact"/>
              <w:ind w:firstLine="0"/>
              <w:rPr>
                <w:rFonts w:ascii="Verdana" w:hAnsi="Verdana"/>
                <w:sz w:val="16"/>
                <w:szCs w:val="16"/>
              </w:rPr>
            </w:pPr>
            <w:r w:rsidRPr="00F01347">
              <w:rPr>
                <w:rFonts w:ascii="Verdana" w:hAnsi="Verdana"/>
                <w:sz w:val="16"/>
                <w:szCs w:val="16"/>
              </w:rPr>
              <w:lastRenderedPageBreak/>
              <w:t>Preparar y analizar muestras de MRL - Fortifique siete LFB replicados con MC-LR en, o por debajo, la concentración de MRL propuesta. Los LFB deben contener tiosulfato de sodio como se especifica. Lisar, filtrar, y analizar las muestras en un lote de análisis único. El lote de análisis debe incluir dos LRB y un LOW-CV.</w:t>
            </w:r>
          </w:p>
        </w:tc>
        <w:tc>
          <w:tcPr>
            <w:tcW w:w="4675" w:type="dxa"/>
          </w:tcPr>
          <w:p w14:paraId="3DB9F0D0" w14:textId="0F420464" w:rsidR="00204B58" w:rsidRPr="00F01347" w:rsidRDefault="00260559" w:rsidP="004D2696">
            <w:pPr>
              <w:pStyle w:val="texto0"/>
              <w:spacing w:line="232" w:lineRule="exact"/>
              <w:ind w:firstLine="0"/>
              <w:rPr>
                <w:rFonts w:ascii="Verdana" w:hAnsi="Verdana"/>
                <w:sz w:val="16"/>
                <w:szCs w:val="16"/>
                <w:lang w:val="en-US"/>
              </w:rPr>
            </w:pPr>
            <w:r w:rsidRPr="00F01347">
              <w:rPr>
                <w:rFonts w:ascii="Verdana" w:hAnsi="Verdana"/>
                <w:sz w:val="16"/>
                <w:szCs w:val="16"/>
                <w:lang w:val="en-US"/>
              </w:rPr>
              <w:t>Prepare and analyze MRL samples - Fortify seven replicate LFBs with MC-LR at or below the proposed MRL concentration. LFBs must contain sodium thiosulfate as specified. Lyse, filter, and analyze samples in a single analysis batch. The analysis lot must include two LRBs and one LOW-CV.</w:t>
            </w:r>
          </w:p>
        </w:tc>
      </w:tr>
      <w:tr w:rsidR="00204B58" w:rsidRPr="00F01347" w14:paraId="6CA6E41B" w14:textId="07DEFA11" w:rsidTr="00965429">
        <w:tc>
          <w:tcPr>
            <w:tcW w:w="4675" w:type="dxa"/>
          </w:tcPr>
          <w:p w14:paraId="71E155D6" w14:textId="77777777" w:rsidR="00204B58" w:rsidRPr="00F01347" w:rsidRDefault="00204B58" w:rsidP="004D2696">
            <w:pPr>
              <w:pStyle w:val="texto0"/>
              <w:spacing w:line="240" w:lineRule="exact"/>
              <w:ind w:firstLine="0"/>
              <w:rPr>
                <w:rFonts w:ascii="Verdana" w:hAnsi="Verdana"/>
                <w:sz w:val="16"/>
                <w:szCs w:val="16"/>
              </w:rPr>
            </w:pPr>
            <w:r w:rsidRPr="00F01347">
              <w:rPr>
                <w:rFonts w:ascii="Verdana" w:hAnsi="Verdana"/>
                <w:sz w:val="16"/>
                <w:szCs w:val="16"/>
              </w:rPr>
              <w:t>Calcular las estadísticas del MRL - Calcular la media y la desviación estándar de las siete réplicas. Determinar el intervalo medio para el intervalo de predicción de resultados (HRPIR) usando la siguiente ecuación:</w:t>
            </w:r>
          </w:p>
        </w:tc>
        <w:tc>
          <w:tcPr>
            <w:tcW w:w="4675" w:type="dxa"/>
          </w:tcPr>
          <w:p w14:paraId="102C231D" w14:textId="2BDB619B" w:rsidR="00204B58" w:rsidRPr="00F01347" w:rsidRDefault="00260559" w:rsidP="004D2696">
            <w:pPr>
              <w:pStyle w:val="texto0"/>
              <w:spacing w:line="240" w:lineRule="exact"/>
              <w:ind w:firstLine="0"/>
              <w:rPr>
                <w:rFonts w:ascii="Verdana" w:hAnsi="Verdana"/>
                <w:sz w:val="16"/>
                <w:szCs w:val="16"/>
                <w:lang w:val="en-US"/>
              </w:rPr>
            </w:pPr>
            <w:r w:rsidRPr="00F01347">
              <w:rPr>
                <w:rFonts w:ascii="Verdana" w:hAnsi="Verdana"/>
                <w:sz w:val="16"/>
                <w:szCs w:val="16"/>
                <w:lang w:val="en-US"/>
              </w:rPr>
              <w:t>Calculate MRL statistics - Calculate the mean and standard deviation of the seven replicates. Determine the mean range for outcome prediction interval (HRPIR) using the following equation:</w:t>
            </w:r>
          </w:p>
        </w:tc>
      </w:tr>
    </w:tbl>
    <w:p w14:paraId="09E9B19D" w14:textId="77777777" w:rsidR="00204B58" w:rsidRPr="00F01347" w:rsidRDefault="00204B58" w:rsidP="003A601B">
      <w:pPr>
        <w:pStyle w:val="texto0"/>
        <w:spacing w:line="240" w:lineRule="exact"/>
        <w:rPr>
          <w:rFonts w:ascii="Verdana" w:hAnsi="Verdana"/>
          <w:sz w:val="16"/>
          <w:szCs w:val="16"/>
          <w:lang w:val="en-US"/>
        </w:rPr>
      </w:pPr>
    </w:p>
    <w:p w14:paraId="38C62AC7" w14:textId="13ABDCC6" w:rsidR="00A74CDF" w:rsidRPr="00F01347" w:rsidRDefault="00471638" w:rsidP="00864DA0">
      <w:pPr>
        <w:pStyle w:val="texto0"/>
        <w:spacing w:line="240" w:lineRule="auto"/>
        <w:ind w:left="630" w:firstLine="0"/>
        <w:jc w:val="center"/>
        <w:rPr>
          <w:rFonts w:ascii="Verdana" w:hAnsi="Verdana"/>
          <w:sz w:val="16"/>
          <w:szCs w:val="16"/>
        </w:rPr>
      </w:pPr>
      <w:r w:rsidRPr="00F01347">
        <w:rPr>
          <w:rFonts w:ascii="Verdana" w:hAnsi="Verdana"/>
          <w:noProof/>
          <w:sz w:val="16"/>
          <w:szCs w:val="16"/>
        </w:rPr>
        <w:drawing>
          <wp:inline distT="0" distB="0" distL="0" distR="0" wp14:anchorId="7A78ADEE" wp14:editId="1F8A31F9">
            <wp:extent cx="923925" cy="161925"/>
            <wp:effectExtent l="0" t="0" r="0" b="0"/>
            <wp:docPr id="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3925" cy="1619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6EEB0B8B" w14:textId="4015B59B" w:rsidTr="00864DA0">
        <w:tc>
          <w:tcPr>
            <w:tcW w:w="4675" w:type="dxa"/>
          </w:tcPr>
          <w:p w14:paraId="36FBA4B9" w14:textId="77777777" w:rsidR="00204B58" w:rsidRPr="00F01347" w:rsidRDefault="00204B58" w:rsidP="002A493E">
            <w:pPr>
              <w:pStyle w:val="texto0"/>
              <w:ind w:firstLine="0"/>
              <w:rPr>
                <w:rFonts w:ascii="Verdana" w:hAnsi="Verdana"/>
                <w:sz w:val="16"/>
                <w:szCs w:val="16"/>
              </w:rPr>
            </w:pPr>
            <w:r w:rsidRPr="00F01347">
              <w:rPr>
                <w:rFonts w:ascii="Verdana" w:hAnsi="Verdana"/>
                <w:sz w:val="16"/>
                <w:szCs w:val="16"/>
              </w:rPr>
              <w:t>En donde:</w:t>
            </w:r>
          </w:p>
        </w:tc>
        <w:tc>
          <w:tcPr>
            <w:tcW w:w="4675" w:type="dxa"/>
          </w:tcPr>
          <w:p w14:paraId="1BE4C125" w14:textId="65D38818" w:rsidR="00204B58" w:rsidRPr="00F01347" w:rsidRDefault="00260559" w:rsidP="002A493E">
            <w:pPr>
              <w:pStyle w:val="texto0"/>
              <w:ind w:firstLine="0"/>
              <w:rPr>
                <w:rFonts w:ascii="Verdana" w:hAnsi="Verdana"/>
                <w:sz w:val="16"/>
                <w:szCs w:val="16"/>
                <w:lang w:val="en-US"/>
              </w:rPr>
            </w:pPr>
            <w:r w:rsidRPr="00F01347">
              <w:rPr>
                <w:rFonts w:ascii="Verdana" w:hAnsi="Verdana"/>
                <w:sz w:val="16"/>
                <w:szCs w:val="16"/>
                <w:lang w:val="en-US"/>
              </w:rPr>
              <w:t>Where:</w:t>
            </w:r>
          </w:p>
        </w:tc>
      </w:tr>
      <w:tr w:rsidR="00204B58" w:rsidRPr="00F01347" w14:paraId="4F4C437F" w14:textId="2DE56F35" w:rsidTr="00864DA0">
        <w:tc>
          <w:tcPr>
            <w:tcW w:w="4675" w:type="dxa"/>
          </w:tcPr>
          <w:p w14:paraId="4A26D87E" w14:textId="77777777" w:rsidR="00204B58" w:rsidRPr="00F01347" w:rsidRDefault="00204B58" w:rsidP="002A493E">
            <w:pPr>
              <w:pStyle w:val="texto0"/>
              <w:ind w:firstLine="0"/>
              <w:rPr>
                <w:rFonts w:ascii="Verdana" w:hAnsi="Verdana"/>
                <w:sz w:val="16"/>
                <w:szCs w:val="16"/>
              </w:rPr>
            </w:pPr>
            <w:r w:rsidRPr="00F01347">
              <w:rPr>
                <w:rFonts w:ascii="Verdana" w:hAnsi="Verdana"/>
                <w:i/>
                <w:sz w:val="16"/>
                <w:szCs w:val="16"/>
              </w:rPr>
              <w:t>s</w:t>
            </w:r>
            <w:r w:rsidRPr="00F01347">
              <w:rPr>
                <w:rFonts w:ascii="Verdana" w:hAnsi="Verdana"/>
                <w:i/>
                <w:sz w:val="16"/>
                <w:szCs w:val="16"/>
              </w:rPr>
              <w:tab/>
            </w:r>
            <w:r w:rsidRPr="00F01347">
              <w:rPr>
                <w:rFonts w:ascii="Verdana" w:hAnsi="Verdana"/>
                <w:sz w:val="16"/>
                <w:szCs w:val="16"/>
              </w:rPr>
              <w:t>desviación estándar</w:t>
            </w:r>
          </w:p>
        </w:tc>
        <w:tc>
          <w:tcPr>
            <w:tcW w:w="4675" w:type="dxa"/>
          </w:tcPr>
          <w:p w14:paraId="55E7FD46" w14:textId="0DD110C8" w:rsidR="00204B58" w:rsidRPr="00F01347" w:rsidRDefault="00260559" w:rsidP="002A493E">
            <w:pPr>
              <w:pStyle w:val="texto0"/>
              <w:ind w:firstLine="0"/>
              <w:rPr>
                <w:rFonts w:ascii="Verdana" w:hAnsi="Verdana"/>
                <w:i/>
                <w:sz w:val="16"/>
                <w:szCs w:val="16"/>
                <w:lang w:val="en-US"/>
              </w:rPr>
            </w:pPr>
            <w:r w:rsidRPr="00F01347">
              <w:rPr>
                <w:rFonts w:ascii="Verdana" w:hAnsi="Verdana"/>
                <w:i/>
                <w:sz w:val="16"/>
                <w:szCs w:val="16"/>
                <w:lang w:val="en-US"/>
              </w:rPr>
              <w:t xml:space="preserve">s </w:t>
            </w:r>
            <w:r w:rsidRPr="00F01347">
              <w:rPr>
                <w:rFonts w:ascii="Verdana" w:hAnsi="Verdana"/>
                <w:i/>
                <w:sz w:val="16"/>
                <w:szCs w:val="16"/>
                <w:lang w:val="en-US"/>
              </w:rPr>
              <w:tab/>
            </w:r>
            <w:r w:rsidRPr="00F01347">
              <w:rPr>
                <w:rFonts w:ascii="Verdana" w:hAnsi="Verdana"/>
                <w:sz w:val="16"/>
                <w:szCs w:val="16"/>
                <w:lang w:val="en-US"/>
              </w:rPr>
              <w:t>standard deviation</w:t>
            </w:r>
          </w:p>
        </w:tc>
      </w:tr>
      <w:tr w:rsidR="00204B58" w:rsidRPr="00F01347" w14:paraId="4036ACF7" w14:textId="246F5942" w:rsidTr="00864DA0">
        <w:tc>
          <w:tcPr>
            <w:tcW w:w="4675" w:type="dxa"/>
          </w:tcPr>
          <w:p w14:paraId="3BC6444A" w14:textId="77777777" w:rsidR="00204B58" w:rsidRPr="00F01347" w:rsidRDefault="00204B58" w:rsidP="002A493E">
            <w:pPr>
              <w:pStyle w:val="texto0"/>
              <w:ind w:firstLine="0"/>
              <w:rPr>
                <w:rFonts w:ascii="Verdana" w:hAnsi="Verdana"/>
                <w:sz w:val="16"/>
                <w:szCs w:val="16"/>
              </w:rPr>
            </w:pPr>
            <w:r w:rsidRPr="00F01347">
              <w:rPr>
                <w:rFonts w:ascii="Verdana" w:hAnsi="Verdana"/>
                <w:sz w:val="16"/>
                <w:szCs w:val="16"/>
              </w:rPr>
              <w:t>3.963</w:t>
            </w:r>
            <w:r w:rsidRPr="00F01347">
              <w:rPr>
                <w:rFonts w:ascii="Verdana" w:hAnsi="Verdana"/>
                <w:sz w:val="16"/>
                <w:szCs w:val="16"/>
              </w:rPr>
              <w:tab/>
              <w:t>valor constante para 7 réplicas</w:t>
            </w:r>
          </w:p>
        </w:tc>
        <w:tc>
          <w:tcPr>
            <w:tcW w:w="4675" w:type="dxa"/>
          </w:tcPr>
          <w:p w14:paraId="5EC00CAB" w14:textId="1A5A3424" w:rsidR="00204B58" w:rsidRPr="00F01347" w:rsidRDefault="00260559" w:rsidP="002A493E">
            <w:pPr>
              <w:pStyle w:val="texto0"/>
              <w:ind w:firstLine="0"/>
              <w:rPr>
                <w:rFonts w:ascii="Verdana" w:hAnsi="Verdana"/>
                <w:sz w:val="16"/>
                <w:szCs w:val="16"/>
                <w:lang w:val="en-US"/>
              </w:rPr>
            </w:pPr>
            <w:r w:rsidRPr="00F01347">
              <w:rPr>
                <w:rFonts w:ascii="Verdana" w:hAnsi="Verdana"/>
                <w:sz w:val="16"/>
                <w:szCs w:val="16"/>
                <w:lang w:val="en-US"/>
              </w:rPr>
              <w:t xml:space="preserve">3,963 </w:t>
            </w:r>
            <w:r w:rsidRPr="00F01347">
              <w:rPr>
                <w:rFonts w:ascii="Verdana" w:hAnsi="Verdana"/>
                <w:sz w:val="16"/>
                <w:szCs w:val="16"/>
                <w:lang w:val="en-US"/>
              </w:rPr>
              <w:tab/>
              <w:t xml:space="preserve">constant </w:t>
            </w:r>
            <w:proofErr w:type="gramStart"/>
            <w:r w:rsidRPr="00F01347">
              <w:rPr>
                <w:rFonts w:ascii="Verdana" w:hAnsi="Verdana"/>
                <w:sz w:val="16"/>
                <w:szCs w:val="16"/>
                <w:lang w:val="en-US"/>
              </w:rPr>
              <w:t>value</w:t>
            </w:r>
            <w:proofErr w:type="gramEnd"/>
            <w:r w:rsidRPr="00F01347">
              <w:rPr>
                <w:rFonts w:ascii="Verdana" w:hAnsi="Verdana"/>
                <w:sz w:val="16"/>
                <w:szCs w:val="16"/>
                <w:lang w:val="en-US"/>
              </w:rPr>
              <w:t xml:space="preserve"> for 7 replicates</w:t>
            </w:r>
          </w:p>
        </w:tc>
      </w:tr>
      <w:tr w:rsidR="00204B58" w:rsidRPr="00F01347" w14:paraId="7DA0F719" w14:textId="7E72310D" w:rsidTr="00864DA0">
        <w:tc>
          <w:tcPr>
            <w:tcW w:w="4675" w:type="dxa"/>
          </w:tcPr>
          <w:p w14:paraId="0C9650A8" w14:textId="77777777" w:rsidR="00204B58" w:rsidRPr="00F01347" w:rsidRDefault="00204B58" w:rsidP="002A493E">
            <w:pPr>
              <w:pStyle w:val="texto0"/>
              <w:ind w:firstLine="0"/>
              <w:rPr>
                <w:rFonts w:ascii="Verdana" w:hAnsi="Verdana"/>
                <w:sz w:val="16"/>
                <w:szCs w:val="16"/>
              </w:rPr>
            </w:pPr>
            <w:r w:rsidRPr="00F01347">
              <w:rPr>
                <w:rFonts w:ascii="Verdana" w:hAnsi="Verdana"/>
                <w:sz w:val="16"/>
                <w:szCs w:val="16"/>
              </w:rPr>
              <w:t>Calcular los límites superiores e inferiores para el intervalo de predicción de resultados (</w:t>
            </w:r>
            <w:r w:rsidRPr="00F01347">
              <w:rPr>
                <w:rFonts w:ascii="Verdana" w:hAnsi="Verdana"/>
                <w:i/>
                <w:sz w:val="16"/>
                <w:szCs w:val="16"/>
              </w:rPr>
              <w:t>PIR=promedio±HR</w:t>
            </w:r>
            <w:r w:rsidRPr="00F01347">
              <w:rPr>
                <w:rFonts w:ascii="Verdana" w:hAnsi="Verdana"/>
                <w:i/>
                <w:sz w:val="16"/>
                <w:szCs w:val="16"/>
                <w:vertAlign w:val="subscript"/>
              </w:rPr>
              <w:t>PIR</w:t>
            </w:r>
            <w:r w:rsidRPr="00F01347">
              <w:rPr>
                <w:rFonts w:ascii="Verdana" w:hAnsi="Verdana"/>
                <w:sz w:val="16"/>
                <w:szCs w:val="16"/>
              </w:rPr>
              <w:t>) como se muestra a continuación:</w:t>
            </w:r>
          </w:p>
        </w:tc>
        <w:tc>
          <w:tcPr>
            <w:tcW w:w="4675" w:type="dxa"/>
          </w:tcPr>
          <w:p w14:paraId="7DD0C611" w14:textId="3E7FB865" w:rsidR="00204B58" w:rsidRPr="00F01347" w:rsidRDefault="00260559" w:rsidP="002A493E">
            <w:pPr>
              <w:pStyle w:val="texto0"/>
              <w:ind w:firstLine="0"/>
              <w:rPr>
                <w:rFonts w:ascii="Verdana" w:hAnsi="Verdana"/>
                <w:sz w:val="16"/>
                <w:szCs w:val="16"/>
                <w:lang w:val="en-US"/>
              </w:rPr>
            </w:pPr>
            <w:r w:rsidRPr="00F01347">
              <w:rPr>
                <w:rFonts w:ascii="Verdana" w:hAnsi="Verdana"/>
                <w:sz w:val="16"/>
                <w:szCs w:val="16"/>
                <w:lang w:val="en-US"/>
              </w:rPr>
              <w:t>Calculate the upper and lower limits for the outcome prediction interval (</w:t>
            </w:r>
            <w:r w:rsidRPr="00F01347">
              <w:rPr>
                <w:rFonts w:ascii="Verdana" w:hAnsi="Verdana"/>
                <w:i/>
                <w:sz w:val="16"/>
                <w:szCs w:val="16"/>
                <w:lang w:val="en-US"/>
              </w:rPr>
              <w:t>PIR= average±HR</w:t>
            </w:r>
            <w:r w:rsidRPr="00F01347">
              <w:rPr>
                <w:rFonts w:ascii="Verdana" w:hAnsi="Verdana"/>
                <w:i/>
                <w:sz w:val="16"/>
                <w:szCs w:val="16"/>
                <w:vertAlign w:val="subscript"/>
                <w:lang w:val="en-US"/>
              </w:rPr>
              <w:t>PIR</w:t>
            </w:r>
            <w:r w:rsidRPr="00F01347">
              <w:rPr>
                <w:rFonts w:ascii="Verdana" w:hAnsi="Verdana"/>
                <w:sz w:val="16"/>
                <w:szCs w:val="16"/>
                <w:lang w:val="en-US"/>
              </w:rPr>
              <w:t>) as shown below:</w:t>
            </w:r>
          </w:p>
        </w:tc>
      </w:tr>
    </w:tbl>
    <w:p w14:paraId="4BC47E25" w14:textId="35360E19" w:rsidR="00D969D7" w:rsidRPr="00F01347" w:rsidRDefault="00471638" w:rsidP="00D969D7">
      <w:pPr>
        <w:pStyle w:val="Texto"/>
        <w:spacing w:line="240" w:lineRule="auto"/>
        <w:ind w:firstLine="0"/>
        <w:jc w:val="center"/>
        <w:rPr>
          <w:rFonts w:ascii="Verdana" w:hAnsi="Verdana"/>
          <w:sz w:val="16"/>
          <w:szCs w:val="16"/>
        </w:rPr>
      </w:pPr>
      <w:r w:rsidRPr="00F01347">
        <w:rPr>
          <w:rFonts w:ascii="Verdana" w:hAnsi="Verdana"/>
          <w:noProof/>
          <w:sz w:val="16"/>
          <w:szCs w:val="16"/>
        </w:rPr>
        <w:drawing>
          <wp:inline distT="0" distB="0" distL="0" distR="0" wp14:anchorId="02B56CD0" wp14:editId="5FEA290F">
            <wp:extent cx="3495675" cy="333375"/>
            <wp:effectExtent l="0" t="0" r="0" b="0"/>
            <wp:docPr id="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5675" cy="333375"/>
                    </a:xfrm>
                    <a:prstGeom prst="rect">
                      <a:avLst/>
                    </a:prstGeom>
                    <a:noFill/>
                    <a:ln>
                      <a:noFill/>
                    </a:ln>
                  </pic:spPr>
                </pic:pic>
              </a:graphicData>
            </a:graphic>
          </wp:inline>
        </w:drawing>
      </w:r>
    </w:p>
    <w:p w14:paraId="4C28200A" w14:textId="57A27867" w:rsidR="00D969D7" w:rsidRPr="00F01347" w:rsidRDefault="00471638" w:rsidP="00D969D7">
      <w:pPr>
        <w:pStyle w:val="Texto"/>
        <w:spacing w:line="240" w:lineRule="auto"/>
        <w:ind w:firstLine="0"/>
        <w:jc w:val="center"/>
        <w:rPr>
          <w:rFonts w:ascii="Verdana" w:hAnsi="Verdana"/>
          <w:sz w:val="16"/>
          <w:szCs w:val="16"/>
        </w:rPr>
      </w:pPr>
      <w:r w:rsidRPr="00F01347">
        <w:rPr>
          <w:rFonts w:ascii="Verdana" w:hAnsi="Verdana"/>
          <w:noProof/>
          <w:sz w:val="16"/>
          <w:szCs w:val="16"/>
        </w:rPr>
        <w:drawing>
          <wp:inline distT="0" distB="0" distL="0" distR="0" wp14:anchorId="051C2A07" wp14:editId="60FFFD3A">
            <wp:extent cx="3514725" cy="342900"/>
            <wp:effectExtent l="0" t="0" r="0" b="0"/>
            <wp:docPr id="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14725" cy="342900"/>
                    </a:xfrm>
                    <a:prstGeom prst="rect">
                      <a:avLst/>
                    </a:prstGeom>
                    <a:noFill/>
                    <a:ln>
                      <a:noFill/>
                    </a:ln>
                  </pic:spPr>
                </pic:pic>
              </a:graphicData>
            </a:graphic>
          </wp:inline>
        </w:drawing>
      </w:r>
    </w:p>
    <w:p w14:paraId="47E47F1F" w14:textId="6B16B811" w:rsidR="007711BB" w:rsidRPr="00F01347" w:rsidRDefault="007711BB" w:rsidP="00D969D7">
      <w:pPr>
        <w:pStyle w:val="Texto"/>
        <w:spacing w:line="240" w:lineRule="auto"/>
        <w:ind w:firstLine="0"/>
        <w:jc w:val="center"/>
        <w:rPr>
          <w:rFonts w:ascii="Verdana" w:hAnsi="Verdana"/>
          <w:sz w:val="16"/>
          <w:szCs w:val="16"/>
        </w:rPr>
      </w:pPr>
      <w:r w:rsidRPr="00F01347">
        <w:rPr>
          <w:noProof/>
        </w:rPr>
        <w:drawing>
          <wp:inline distT="0" distB="0" distL="0" distR="0" wp14:anchorId="61A041C2" wp14:editId="3AFA812C">
            <wp:extent cx="3545732" cy="1707609"/>
            <wp:effectExtent l="0" t="0" r="0" b="6985"/>
            <wp:docPr id="19847629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62951" name="Picture 1" descr="A screenshot of a computer&#10;&#10;Description automatically generated"/>
                    <pic:cNvPicPr/>
                  </pic:nvPicPr>
                  <pic:blipFill rotWithShape="1">
                    <a:blip r:embed="rId23"/>
                    <a:srcRect l="37562" t="32442" r="35754" b="44712"/>
                    <a:stretch/>
                  </pic:blipFill>
                  <pic:spPr bwMode="auto">
                    <a:xfrm>
                      <a:off x="0" y="0"/>
                      <a:ext cx="3583802" cy="172594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26B82" w:rsidRPr="00F01347" w14:paraId="2BC975FD" w14:textId="349D8F15" w:rsidTr="007711BB">
        <w:tc>
          <w:tcPr>
            <w:tcW w:w="4675" w:type="dxa"/>
          </w:tcPr>
          <w:p w14:paraId="386C3F69" w14:textId="77777777" w:rsidR="00126B82" w:rsidRPr="00F01347" w:rsidRDefault="00126B82" w:rsidP="00126B82">
            <w:pPr>
              <w:pStyle w:val="texto0"/>
              <w:spacing w:line="256" w:lineRule="exact"/>
              <w:ind w:firstLine="0"/>
              <w:rPr>
                <w:rFonts w:ascii="Verdana" w:hAnsi="Verdana"/>
                <w:sz w:val="16"/>
                <w:szCs w:val="16"/>
              </w:rPr>
            </w:pPr>
            <w:r w:rsidRPr="00F01347">
              <w:rPr>
                <w:rFonts w:ascii="Verdana" w:hAnsi="Verdana"/>
                <w:sz w:val="16"/>
                <w:szCs w:val="16"/>
              </w:rPr>
              <w:t>Estas ecuaciones se definen sólo para siete muestras repetidas.</w:t>
            </w:r>
          </w:p>
        </w:tc>
        <w:tc>
          <w:tcPr>
            <w:tcW w:w="4675" w:type="dxa"/>
          </w:tcPr>
          <w:p w14:paraId="1B86F05F" w14:textId="0032BC12" w:rsidR="00126B82" w:rsidRPr="00F01347" w:rsidRDefault="00126B82" w:rsidP="00126B82">
            <w:pPr>
              <w:pStyle w:val="texto0"/>
              <w:spacing w:line="256" w:lineRule="exact"/>
              <w:ind w:firstLine="0"/>
              <w:rPr>
                <w:rFonts w:ascii="Verdana" w:hAnsi="Verdana"/>
                <w:sz w:val="16"/>
                <w:szCs w:val="16"/>
                <w:lang w:val="en-US"/>
              </w:rPr>
            </w:pPr>
            <w:r w:rsidRPr="00F01347">
              <w:rPr>
                <w:rFonts w:ascii="Verdana" w:hAnsi="Verdana"/>
                <w:sz w:val="16"/>
                <w:szCs w:val="16"/>
                <w:lang w:val="en-US"/>
              </w:rPr>
              <w:t>These equations are defined only for seven r</w:t>
            </w:r>
            <w:r w:rsidR="007711BB" w:rsidRPr="00F01347">
              <w:rPr>
                <w:rFonts w:ascii="Verdana" w:hAnsi="Verdana"/>
                <w:sz w:val="16"/>
                <w:szCs w:val="16"/>
                <w:lang w:val="en-US"/>
              </w:rPr>
              <w:t>epeat</w:t>
            </w:r>
            <w:r w:rsidRPr="00F01347">
              <w:rPr>
                <w:rFonts w:ascii="Verdana" w:hAnsi="Verdana"/>
                <w:sz w:val="16"/>
                <w:szCs w:val="16"/>
                <w:lang w:val="en-US"/>
              </w:rPr>
              <w:t xml:space="preserve"> samples.</w:t>
            </w:r>
          </w:p>
        </w:tc>
      </w:tr>
      <w:tr w:rsidR="00126B82" w:rsidRPr="00F01347" w14:paraId="6A5A0B1B" w14:textId="69CCF244" w:rsidTr="007711BB">
        <w:tc>
          <w:tcPr>
            <w:tcW w:w="4675" w:type="dxa"/>
          </w:tcPr>
          <w:p w14:paraId="6AC03264" w14:textId="77777777" w:rsidR="00126B82" w:rsidRPr="00F01347" w:rsidRDefault="00126B82" w:rsidP="00126B82">
            <w:pPr>
              <w:pStyle w:val="texto0"/>
              <w:spacing w:line="264" w:lineRule="exact"/>
              <w:ind w:firstLine="0"/>
              <w:rPr>
                <w:rFonts w:ascii="Verdana" w:hAnsi="Verdana"/>
                <w:sz w:val="16"/>
                <w:szCs w:val="16"/>
              </w:rPr>
            </w:pPr>
            <w:r w:rsidRPr="00F01347">
              <w:rPr>
                <w:rFonts w:ascii="Verdana" w:hAnsi="Verdana"/>
                <w:sz w:val="16"/>
                <w:szCs w:val="16"/>
              </w:rPr>
              <w:t>Para los criterios de aceptación de MRL, se confirma el MRL si el límite superior del PIR es menor o igual a 150% y el límite inferior del PIR es mayor o igual al 50%. Si estos criterios no se cumplen, el MRL puede establecerse demasiado bajo y la confirmación debe repetirse, o se debe establecer y confirmar el MRL a una concentración más alta.</w:t>
            </w:r>
          </w:p>
        </w:tc>
        <w:tc>
          <w:tcPr>
            <w:tcW w:w="4675" w:type="dxa"/>
          </w:tcPr>
          <w:p w14:paraId="7676FC55" w14:textId="42E39ED9" w:rsidR="00126B82" w:rsidRPr="00F01347" w:rsidRDefault="00126B82" w:rsidP="00126B82">
            <w:pPr>
              <w:pStyle w:val="texto0"/>
              <w:spacing w:line="264" w:lineRule="exact"/>
              <w:ind w:firstLine="0"/>
              <w:rPr>
                <w:rFonts w:ascii="Verdana" w:hAnsi="Verdana"/>
                <w:sz w:val="16"/>
                <w:szCs w:val="16"/>
                <w:lang w:val="en-US"/>
              </w:rPr>
            </w:pPr>
            <w:r w:rsidRPr="00F01347">
              <w:rPr>
                <w:rFonts w:ascii="Verdana" w:hAnsi="Verdana"/>
                <w:sz w:val="16"/>
                <w:szCs w:val="16"/>
                <w:lang w:val="en-US"/>
              </w:rPr>
              <w:t>For MRL acceptance criteria, the MRL is confirmed if the upper limit of the PIR is less than or equal to 150% and the lower limit of the PIR is greater than or equal to 50%. If these criteria are not met, the MRL may be set too low and confirmation must be repeated, or the MRL must be set and confirmed at a higher concentration.</w:t>
            </w:r>
          </w:p>
        </w:tc>
      </w:tr>
      <w:tr w:rsidR="00126B82" w:rsidRPr="00F01347" w14:paraId="23DBD1AD" w14:textId="7F23EF24" w:rsidTr="007711BB">
        <w:tc>
          <w:tcPr>
            <w:tcW w:w="4675" w:type="dxa"/>
          </w:tcPr>
          <w:p w14:paraId="1B68F06A" w14:textId="77777777" w:rsidR="00126B82" w:rsidRPr="00F01347" w:rsidRDefault="00126B82" w:rsidP="00126B82">
            <w:pPr>
              <w:pStyle w:val="texto0"/>
              <w:spacing w:line="264" w:lineRule="exact"/>
              <w:ind w:firstLine="0"/>
              <w:rPr>
                <w:rFonts w:ascii="Verdana" w:hAnsi="Verdana"/>
                <w:sz w:val="16"/>
                <w:szCs w:val="16"/>
              </w:rPr>
            </w:pPr>
            <w:r w:rsidRPr="00F01347">
              <w:rPr>
                <w:rFonts w:ascii="Verdana" w:hAnsi="Verdana"/>
                <w:sz w:val="16"/>
                <w:szCs w:val="16"/>
              </w:rPr>
              <w:lastRenderedPageBreak/>
              <w:t>Para las QCS, debe analizarse una QCS de nivel medio, para confirmar la exactitud de los estándares de calibración primaria.</w:t>
            </w:r>
          </w:p>
        </w:tc>
        <w:tc>
          <w:tcPr>
            <w:tcW w:w="4675" w:type="dxa"/>
          </w:tcPr>
          <w:p w14:paraId="209A3356" w14:textId="3151B0AB" w:rsidR="00126B82" w:rsidRPr="00F01347" w:rsidRDefault="00126B82" w:rsidP="00126B82">
            <w:pPr>
              <w:pStyle w:val="texto0"/>
              <w:spacing w:line="264" w:lineRule="exact"/>
              <w:ind w:firstLine="0"/>
              <w:rPr>
                <w:rFonts w:ascii="Verdana" w:hAnsi="Verdana"/>
                <w:sz w:val="16"/>
                <w:szCs w:val="16"/>
                <w:lang w:val="en-US"/>
              </w:rPr>
            </w:pPr>
            <w:r w:rsidRPr="00F01347">
              <w:rPr>
                <w:rFonts w:ascii="Verdana" w:hAnsi="Verdana"/>
                <w:sz w:val="16"/>
                <w:szCs w:val="16"/>
                <w:lang w:val="en-US"/>
              </w:rPr>
              <w:t>For QCS, a mid-level QCS should be analyzed to confirm the accuracy of the primary calibration standards.</w:t>
            </w:r>
          </w:p>
        </w:tc>
      </w:tr>
      <w:tr w:rsidR="00126B82" w:rsidRPr="00F01347" w14:paraId="147A92AE" w14:textId="4D1A5184" w:rsidTr="007711BB">
        <w:tc>
          <w:tcPr>
            <w:tcW w:w="4675" w:type="dxa"/>
          </w:tcPr>
          <w:p w14:paraId="4307920B" w14:textId="77777777" w:rsidR="00126B82" w:rsidRPr="00F01347" w:rsidRDefault="00126B82" w:rsidP="00126B82">
            <w:pPr>
              <w:pStyle w:val="texto0"/>
              <w:spacing w:line="264" w:lineRule="exact"/>
              <w:ind w:firstLine="0"/>
              <w:rPr>
                <w:rFonts w:ascii="Verdana" w:hAnsi="Verdana"/>
                <w:sz w:val="16"/>
                <w:szCs w:val="16"/>
              </w:rPr>
            </w:pPr>
            <w:r w:rsidRPr="00F01347">
              <w:rPr>
                <w:rFonts w:ascii="Verdana" w:hAnsi="Verdana"/>
                <w:sz w:val="16"/>
                <w:szCs w:val="16"/>
              </w:rPr>
              <w:t>Los elementos QC que deben incluirse en cada lote de análisis. Los requisitos de lotes de análisis de QC se resumen en la Tabla B.1.1-2, de este Apéndice.</w:t>
            </w:r>
          </w:p>
        </w:tc>
        <w:tc>
          <w:tcPr>
            <w:tcW w:w="4675" w:type="dxa"/>
          </w:tcPr>
          <w:p w14:paraId="05B60355" w14:textId="25F34EB0" w:rsidR="00126B82" w:rsidRPr="00F01347" w:rsidRDefault="00126B82" w:rsidP="00126B82">
            <w:pPr>
              <w:pStyle w:val="texto0"/>
              <w:spacing w:line="264" w:lineRule="exact"/>
              <w:ind w:firstLine="0"/>
              <w:rPr>
                <w:rFonts w:ascii="Verdana" w:hAnsi="Verdana"/>
                <w:sz w:val="16"/>
                <w:szCs w:val="16"/>
                <w:lang w:val="en-US"/>
              </w:rPr>
            </w:pPr>
            <w:r w:rsidRPr="00F01347">
              <w:rPr>
                <w:rFonts w:ascii="Verdana" w:hAnsi="Verdana"/>
                <w:sz w:val="16"/>
                <w:szCs w:val="16"/>
                <w:lang w:val="en-US"/>
              </w:rPr>
              <w:t>The QC elements that must be included in each analysis batch. QC analysis batch requirements are summarized in Table B.1.1-2, of this Appendix.</w:t>
            </w:r>
          </w:p>
        </w:tc>
      </w:tr>
    </w:tbl>
    <w:p w14:paraId="23BF507D" w14:textId="77777777" w:rsidR="00126B82" w:rsidRPr="00F01347" w:rsidRDefault="00126B82" w:rsidP="003A601B">
      <w:pPr>
        <w:pStyle w:val="texto0"/>
        <w:ind w:firstLine="0"/>
        <w:jc w:val="center"/>
        <w:rPr>
          <w:rFonts w:ascii="Verdana" w:hAnsi="Verdana"/>
          <w:b/>
          <w:color w:val="000000"/>
          <w:sz w:val="16"/>
          <w:szCs w:val="16"/>
          <w:lang w:val="en-US"/>
        </w:rPr>
      </w:pPr>
    </w:p>
    <w:p w14:paraId="7B4BCEB9" w14:textId="77777777" w:rsidR="000A3AF6" w:rsidRDefault="000A3AF6" w:rsidP="003A601B">
      <w:pPr>
        <w:pStyle w:val="texto0"/>
        <w:ind w:firstLine="0"/>
        <w:jc w:val="center"/>
        <w:rPr>
          <w:rFonts w:ascii="Verdana" w:hAnsi="Verdana"/>
          <w:b/>
          <w:color w:val="000000"/>
          <w:sz w:val="16"/>
          <w:szCs w:val="16"/>
        </w:rPr>
      </w:pPr>
    </w:p>
    <w:p w14:paraId="7918A1FF" w14:textId="77777777" w:rsidR="000A3AF6" w:rsidRDefault="000A3AF6" w:rsidP="003A601B">
      <w:pPr>
        <w:pStyle w:val="texto0"/>
        <w:ind w:firstLine="0"/>
        <w:jc w:val="center"/>
        <w:rPr>
          <w:rFonts w:ascii="Verdana" w:hAnsi="Verdana"/>
          <w:b/>
          <w:color w:val="000000"/>
          <w:sz w:val="16"/>
          <w:szCs w:val="16"/>
        </w:rPr>
      </w:pPr>
    </w:p>
    <w:p w14:paraId="771946C8" w14:textId="77777777" w:rsidR="000A3AF6" w:rsidRDefault="000A3AF6" w:rsidP="003A601B">
      <w:pPr>
        <w:pStyle w:val="texto0"/>
        <w:ind w:firstLine="0"/>
        <w:jc w:val="center"/>
        <w:rPr>
          <w:rFonts w:ascii="Verdana" w:hAnsi="Verdana"/>
          <w:b/>
          <w:color w:val="000000"/>
          <w:sz w:val="16"/>
          <w:szCs w:val="16"/>
        </w:rPr>
      </w:pPr>
    </w:p>
    <w:p w14:paraId="3D489877" w14:textId="77777777" w:rsidR="000A3AF6" w:rsidRDefault="000A3AF6" w:rsidP="003A601B">
      <w:pPr>
        <w:pStyle w:val="texto0"/>
        <w:ind w:firstLine="0"/>
        <w:jc w:val="center"/>
        <w:rPr>
          <w:rFonts w:ascii="Verdana" w:hAnsi="Verdana"/>
          <w:b/>
          <w:color w:val="000000"/>
          <w:sz w:val="16"/>
          <w:szCs w:val="16"/>
        </w:rPr>
      </w:pPr>
    </w:p>
    <w:p w14:paraId="1EB1AE61" w14:textId="77777777" w:rsidR="000A3AF6" w:rsidRDefault="000A3AF6" w:rsidP="003A601B">
      <w:pPr>
        <w:pStyle w:val="texto0"/>
        <w:ind w:firstLine="0"/>
        <w:jc w:val="center"/>
        <w:rPr>
          <w:rFonts w:ascii="Verdana" w:hAnsi="Verdana"/>
          <w:b/>
          <w:color w:val="000000"/>
          <w:sz w:val="16"/>
          <w:szCs w:val="16"/>
        </w:rPr>
      </w:pPr>
    </w:p>
    <w:p w14:paraId="2559B2B2" w14:textId="250DD504"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Tabla B.1.1-2. Requisitos del lote de análisis de QC</w:t>
      </w:r>
    </w:p>
    <w:tbl>
      <w:tblPr>
        <w:tblW w:w="8712" w:type="dxa"/>
        <w:tblInd w:w="144" w:type="dxa"/>
        <w:tblLayout w:type="fixed"/>
        <w:tblCellMar>
          <w:left w:w="70" w:type="dxa"/>
          <w:right w:w="70" w:type="dxa"/>
        </w:tblCellMar>
        <w:tblLook w:val="0000" w:firstRow="0" w:lastRow="0" w:firstColumn="0" w:lastColumn="0" w:noHBand="0" w:noVBand="0"/>
      </w:tblPr>
      <w:tblGrid>
        <w:gridCol w:w="2371"/>
        <w:gridCol w:w="3411"/>
        <w:gridCol w:w="2930"/>
      </w:tblGrid>
      <w:tr w:rsidR="00A74CDF" w:rsidRPr="00F01347" w14:paraId="0EC22744" w14:textId="77777777">
        <w:trPr>
          <w:trHeight w:val="144"/>
        </w:trPr>
        <w:tc>
          <w:tcPr>
            <w:tcW w:w="2405" w:type="dxa"/>
            <w:tcBorders>
              <w:top w:val="single" w:sz="6" w:space="0" w:color="auto"/>
              <w:left w:val="single" w:sz="6" w:space="0" w:color="auto"/>
              <w:bottom w:val="single" w:sz="6" w:space="0" w:color="auto"/>
              <w:right w:val="single" w:sz="6" w:space="0" w:color="auto"/>
            </w:tcBorders>
            <w:noWrap/>
          </w:tcPr>
          <w:p w14:paraId="7D292B1B" w14:textId="77777777" w:rsidR="00A74CDF" w:rsidRPr="00F01347" w:rsidRDefault="00A74CDF" w:rsidP="003A601B">
            <w:pPr>
              <w:pStyle w:val="texto0"/>
              <w:spacing w:line="224" w:lineRule="exact"/>
              <w:ind w:firstLine="0"/>
              <w:jc w:val="center"/>
              <w:rPr>
                <w:rFonts w:ascii="Verdana" w:hAnsi="Verdana"/>
                <w:b/>
                <w:color w:val="000000"/>
                <w:sz w:val="16"/>
                <w:szCs w:val="16"/>
              </w:rPr>
            </w:pPr>
            <w:r w:rsidRPr="00F01347">
              <w:rPr>
                <w:rFonts w:ascii="Verdana" w:hAnsi="Verdana"/>
                <w:b/>
                <w:color w:val="000000"/>
                <w:sz w:val="16"/>
                <w:szCs w:val="16"/>
              </w:rPr>
              <w:t>Requisito</w:t>
            </w:r>
          </w:p>
        </w:tc>
        <w:tc>
          <w:tcPr>
            <w:tcW w:w="3461" w:type="dxa"/>
            <w:tcBorders>
              <w:top w:val="single" w:sz="6" w:space="0" w:color="auto"/>
              <w:left w:val="single" w:sz="6" w:space="0" w:color="auto"/>
              <w:bottom w:val="single" w:sz="6" w:space="0" w:color="auto"/>
              <w:right w:val="single" w:sz="6" w:space="0" w:color="auto"/>
            </w:tcBorders>
          </w:tcPr>
          <w:p w14:paraId="2F679FD9" w14:textId="77777777" w:rsidR="00A74CDF" w:rsidRPr="00F01347" w:rsidRDefault="00A74CDF" w:rsidP="003A601B">
            <w:pPr>
              <w:pStyle w:val="texto0"/>
              <w:spacing w:line="224" w:lineRule="exact"/>
              <w:ind w:firstLine="0"/>
              <w:jc w:val="center"/>
              <w:rPr>
                <w:rFonts w:ascii="Verdana" w:hAnsi="Verdana"/>
                <w:b/>
                <w:color w:val="000000"/>
                <w:sz w:val="16"/>
                <w:szCs w:val="16"/>
              </w:rPr>
            </w:pPr>
            <w:r w:rsidRPr="00F01347">
              <w:rPr>
                <w:rFonts w:ascii="Verdana" w:hAnsi="Verdana"/>
                <w:b/>
                <w:color w:val="000000"/>
                <w:sz w:val="16"/>
                <w:szCs w:val="16"/>
              </w:rPr>
              <w:t>Especificación y frecuencia</w:t>
            </w:r>
          </w:p>
        </w:tc>
        <w:tc>
          <w:tcPr>
            <w:tcW w:w="2972" w:type="dxa"/>
            <w:tcBorders>
              <w:top w:val="single" w:sz="6" w:space="0" w:color="auto"/>
              <w:left w:val="single" w:sz="6" w:space="0" w:color="auto"/>
              <w:bottom w:val="single" w:sz="6" w:space="0" w:color="auto"/>
              <w:right w:val="single" w:sz="6" w:space="0" w:color="auto"/>
            </w:tcBorders>
          </w:tcPr>
          <w:p w14:paraId="356C172F" w14:textId="77777777" w:rsidR="00A74CDF" w:rsidRPr="00F01347" w:rsidRDefault="00A74CDF" w:rsidP="003A601B">
            <w:pPr>
              <w:pStyle w:val="texto0"/>
              <w:spacing w:line="224" w:lineRule="exact"/>
              <w:ind w:firstLine="0"/>
              <w:jc w:val="center"/>
              <w:rPr>
                <w:rFonts w:ascii="Verdana" w:hAnsi="Verdana"/>
                <w:b/>
                <w:color w:val="000000"/>
                <w:sz w:val="16"/>
                <w:szCs w:val="16"/>
              </w:rPr>
            </w:pPr>
            <w:r w:rsidRPr="00F01347">
              <w:rPr>
                <w:rFonts w:ascii="Verdana" w:hAnsi="Verdana"/>
                <w:b/>
                <w:color w:val="000000"/>
                <w:sz w:val="16"/>
                <w:szCs w:val="16"/>
              </w:rPr>
              <w:t>Criterio de aceptación</w:t>
            </w:r>
          </w:p>
        </w:tc>
      </w:tr>
      <w:tr w:rsidR="00A74CDF" w:rsidRPr="00F01347" w14:paraId="7DC0FC6A" w14:textId="77777777">
        <w:trPr>
          <w:trHeight w:val="144"/>
        </w:trPr>
        <w:tc>
          <w:tcPr>
            <w:tcW w:w="2405" w:type="dxa"/>
            <w:tcBorders>
              <w:top w:val="single" w:sz="6" w:space="0" w:color="auto"/>
              <w:left w:val="single" w:sz="6" w:space="0" w:color="auto"/>
              <w:bottom w:val="single" w:sz="6" w:space="0" w:color="auto"/>
              <w:right w:val="single" w:sz="6" w:space="0" w:color="auto"/>
            </w:tcBorders>
          </w:tcPr>
          <w:p w14:paraId="4969103A"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Calibración de ELISA</w:t>
            </w:r>
          </w:p>
        </w:tc>
        <w:tc>
          <w:tcPr>
            <w:tcW w:w="3461" w:type="dxa"/>
            <w:tcBorders>
              <w:top w:val="single" w:sz="6" w:space="0" w:color="auto"/>
              <w:left w:val="single" w:sz="6" w:space="0" w:color="auto"/>
              <w:bottom w:val="single" w:sz="6" w:space="0" w:color="auto"/>
              <w:right w:val="single" w:sz="6" w:space="0" w:color="auto"/>
            </w:tcBorders>
          </w:tcPr>
          <w:p w14:paraId="5EA06792"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Use los niveles y concentraciones recomendados por el kit. Dos pozos réplica por estándar.</w:t>
            </w:r>
          </w:p>
        </w:tc>
        <w:tc>
          <w:tcPr>
            <w:tcW w:w="2972" w:type="dxa"/>
            <w:tcBorders>
              <w:top w:val="single" w:sz="6" w:space="0" w:color="auto"/>
              <w:left w:val="single" w:sz="6" w:space="0" w:color="auto"/>
              <w:bottom w:val="single" w:sz="6" w:space="0" w:color="auto"/>
              <w:right w:val="single" w:sz="6" w:space="0" w:color="auto"/>
            </w:tcBorders>
          </w:tcPr>
          <w:p w14:paraId="4AB23876"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%CV de absorbancia ≤10%; ≤15% permitido para un par.</w:t>
            </w:r>
          </w:p>
          <w:p w14:paraId="322CDA57"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r</w:t>
            </w:r>
            <w:r w:rsidRPr="00F01347">
              <w:rPr>
                <w:rFonts w:ascii="Verdana" w:hAnsi="Verdana"/>
                <w:color w:val="000000"/>
                <w:sz w:val="16"/>
                <w:szCs w:val="16"/>
                <w:vertAlign w:val="superscript"/>
              </w:rPr>
              <w:t>2</w:t>
            </w:r>
            <w:r w:rsidRPr="00F01347">
              <w:rPr>
                <w:rFonts w:ascii="Verdana" w:hAnsi="Verdana"/>
                <w:color w:val="000000"/>
                <w:sz w:val="16"/>
                <w:szCs w:val="16"/>
              </w:rPr>
              <w:t xml:space="preserve"> ≥0.98</w:t>
            </w:r>
          </w:p>
        </w:tc>
      </w:tr>
      <w:tr w:rsidR="00A74CDF" w:rsidRPr="00F01347" w14:paraId="6C019178" w14:textId="77777777">
        <w:trPr>
          <w:trHeight w:val="144"/>
        </w:trPr>
        <w:tc>
          <w:tcPr>
            <w:tcW w:w="2405" w:type="dxa"/>
            <w:tcBorders>
              <w:top w:val="single" w:sz="6" w:space="0" w:color="auto"/>
              <w:left w:val="single" w:sz="6" w:space="0" w:color="auto"/>
              <w:bottom w:val="single" w:sz="6" w:space="0" w:color="auto"/>
              <w:right w:val="single" w:sz="6" w:space="0" w:color="auto"/>
            </w:tcBorders>
          </w:tcPr>
          <w:p w14:paraId="6FA07347"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Pozos réplica</w:t>
            </w:r>
          </w:p>
        </w:tc>
        <w:tc>
          <w:tcPr>
            <w:tcW w:w="3461" w:type="dxa"/>
            <w:tcBorders>
              <w:top w:val="single" w:sz="6" w:space="0" w:color="auto"/>
              <w:left w:val="single" w:sz="6" w:space="0" w:color="auto"/>
              <w:bottom w:val="single" w:sz="6" w:space="0" w:color="auto"/>
              <w:right w:val="single" w:sz="6" w:space="0" w:color="auto"/>
            </w:tcBorders>
          </w:tcPr>
          <w:p w14:paraId="797365E6"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Muestra de campo y de control de calidad en dos pozos.</w:t>
            </w:r>
          </w:p>
        </w:tc>
        <w:tc>
          <w:tcPr>
            <w:tcW w:w="2972" w:type="dxa"/>
            <w:tcBorders>
              <w:top w:val="single" w:sz="6" w:space="0" w:color="auto"/>
              <w:left w:val="single" w:sz="6" w:space="0" w:color="auto"/>
              <w:bottom w:val="single" w:sz="6" w:space="0" w:color="auto"/>
              <w:right w:val="single" w:sz="6" w:space="0" w:color="auto"/>
            </w:tcBorders>
          </w:tcPr>
          <w:p w14:paraId="5B19132D"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 xml:space="preserve">Muestra no valida si </w:t>
            </w:r>
            <w:proofErr w:type="spellStart"/>
            <w:r w:rsidRPr="00F01347">
              <w:rPr>
                <w:rFonts w:ascii="Verdana" w:hAnsi="Verdana"/>
                <w:color w:val="000000"/>
                <w:sz w:val="16"/>
                <w:szCs w:val="16"/>
              </w:rPr>
              <w:t>el</w:t>
            </w:r>
            <w:proofErr w:type="spellEnd"/>
            <w:r w:rsidRPr="00F01347">
              <w:rPr>
                <w:rFonts w:ascii="Verdana" w:hAnsi="Verdana"/>
                <w:color w:val="000000"/>
                <w:sz w:val="16"/>
                <w:szCs w:val="16"/>
              </w:rPr>
              <w:t xml:space="preserve"> %CV de los valores de absorbancia &gt;15%</w:t>
            </w:r>
          </w:p>
        </w:tc>
      </w:tr>
      <w:tr w:rsidR="00A74CDF" w:rsidRPr="00F01347" w14:paraId="13938EB4" w14:textId="77777777">
        <w:trPr>
          <w:trHeight w:val="144"/>
        </w:trPr>
        <w:tc>
          <w:tcPr>
            <w:tcW w:w="2405" w:type="dxa"/>
            <w:tcBorders>
              <w:top w:val="single" w:sz="6" w:space="0" w:color="auto"/>
              <w:left w:val="single" w:sz="6" w:space="0" w:color="auto"/>
              <w:bottom w:val="single" w:sz="6" w:space="0" w:color="auto"/>
              <w:right w:val="single" w:sz="6" w:space="0" w:color="auto"/>
            </w:tcBorders>
          </w:tcPr>
          <w:p w14:paraId="1336868F"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Blanco de reactivos de laboratorio (LRB)</w:t>
            </w:r>
          </w:p>
        </w:tc>
        <w:tc>
          <w:tcPr>
            <w:tcW w:w="3461" w:type="dxa"/>
            <w:tcBorders>
              <w:top w:val="single" w:sz="6" w:space="0" w:color="auto"/>
              <w:left w:val="single" w:sz="6" w:space="0" w:color="auto"/>
              <w:bottom w:val="single" w:sz="6" w:space="0" w:color="auto"/>
              <w:right w:val="single" w:sz="6" w:space="0" w:color="auto"/>
            </w:tcBorders>
          </w:tcPr>
          <w:p w14:paraId="2DD4C709"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Lisar un LRB por lote de análisis. Analizar en duplicado en lados opuestos de la placa.</w:t>
            </w:r>
          </w:p>
        </w:tc>
        <w:tc>
          <w:tcPr>
            <w:tcW w:w="2972" w:type="dxa"/>
            <w:tcBorders>
              <w:top w:val="single" w:sz="6" w:space="0" w:color="auto"/>
              <w:left w:val="single" w:sz="6" w:space="0" w:color="auto"/>
              <w:bottom w:val="single" w:sz="6" w:space="0" w:color="auto"/>
              <w:right w:val="single" w:sz="6" w:space="0" w:color="auto"/>
            </w:tcBorders>
          </w:tcPr>
          <w:p w14:paraId="56E468C1"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La concentración de MC/NOD debe ser menor que la mitad del MRL en cada LRB.</w:t>
            </w:r>
          </w:p>
        </w:tc>
      </w:tr>
      <w:tr w:rsidR="00A74CDF" w:rsidRPr="00F01347" w14:paraId="54B0C897" w14:textId="77777777">
        <w:trPr>
          <w:trHeight w:val="144"/>
        </w:trPr>
        <w:tc>
          <w:tcPr>
            <w:tcW w:w="2405" w:type="dxa"/>
            <w:tcBorders>
              <w:top w:val="single" w:sz="6" w:space="0" w:color="auto"/>
              <w:left w:val="single" w:sz="6" w:space="0" w:color="auto"/>
              <w:bottom w:val="single" w:sz="6" w:space="0" w:color="auto"/>
              <w:right w:val="single" w:sz="6" w:space="0" w:color="auto"/>
            </w:tcBorders>
          </w:tcPr>
          <w:p w14:paraId="1ED65A06"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sz w:val="16"/>
                <w:szCs w:val="16"/>
              </w:rPr>
              <w:t>Estándar de verificación de calibración de bajo alcance (LOW-CV)</w:t>
            </w:r>
          </w:p>
        </w:tc>
        <w:tc>
          <w:tcPr>
            <w:tcW w:w="3461" w:type="dxa"/>
            <w:tcBorders>
              <w:top w:val="single" w:sz="6" w:space="0" w:color="auto"/>
              <w:left w:val="single" w:sz="6" w:space="0" w:color="auto"/>
              <w:bottom w:val="single" w:sz="6" w:space="0" w:color="auto"/>
              <w:right w:val="single" w:sz="6" w:space="0" w:color="auto"/>
            </w:tcBorders>
          </w:tcPr>
          <w:p w14:paraId="2048485C"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Estándar de calibración en la concentración de MRL o por debajo de la misma. Se debe de tener uno por cada lote de análisis.</w:t>
            </w:r>
          </w:p>
        </w:tc>
        <w:tc>
          <w:tcPr>
            <w:tcW w:w="2972" w:type="dxa"/>
            <w:tcBorders>
              <w:top w:val="single" w:sz="6" w:space="0" w:color="auto"/>
              <w:left w:val="single" w:sz="6" w:space="0" w:color="auto"/>
              <w:bottom w:val="single" w:sz="6" w:space="0" w:color="auto"/>
              <w:right w:val="single" w:sz="6" w:space="0" w:color="auto"/>
            </w:tcBorders>
          </w:tcPr>
          <w:p w14:paraId="100CC366"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Porcentaje de recuperación ≥50% y ≤150% del valor verdadero.</w:t>
            </w:r>
          </w:p>
        </w:tc>
      </w:tr>
      <w:tr w:rsidR="00A74CDF" w:rsidRPr="00F01347" w14:paraId="1711E502" w14:textId="77777777">
        <w:trPr>
          <w:trHeight w:val="144"/>
        </w:trPr>
        <w:tc>
          <w:tcPr>
            <w:tcW w:w="2405" w:type="dxa"/>
            <w:tcBorders>
              <w:top w:val="single" w:sz="6" w:space="0" w:color="auto"/>
              <w:left w:val="single" w:sz="6" w:space="0" w:color="auto"/>
              <w:bottom w:val="single" w:sz="6" w:space="0" w:color="auto"/>
              <w:right w:val="single" w:sz="6" w:space="0" w:color="auto"/>
            </w:tcBorders>
          </w:tcPr>
          <w:p w14:paraId="1D0C2CF6"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Blanco fortificado de laboratorio (LFB)</w:t>
            </w:r>
          </w:p>
        </w:tc>
        <w:tc>
          <w:tcPr>
            <w:tcW w:w="3461" w:type="dxa"/>
            <w:tcBorders>
              <w:top w:val="single" w:sz="6" w:space="0" w:color="auto"/>
              <w:left w:val="single" w:sz="6" w:space="0" w:color="auto"/>
              <w:bottom w:val="single" w:sz="6" w:space="0" w:color="auto"/>
              <w:right w:val="single" w:sz="6" w:space="0" w:color="auto"/>
            </w:tcBorders>
          </w:tcPr>
          <w:p w14:paraId="7725A69D"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Agua grado reactivo fortificada cerca de la EC</w:t>
            </w:r>
            <w:r w:rsidRPr="00F01347">
              <w:rPr>
                <w:rFonts w:ascii="Verdana" w:hAnsi="Verdana"/>
                <w:color w:val="000000"/>
                <w:position w:val="-2"/>
                <w:sz w:val="16"/>
                <w:szCs w:val="16"/>
              </w:rPr>
              <w:t>50</w:t>
            </w:r>
            <w:r w:rsidRPr="00F01347">
              <w:rPr>
                <w:rFonts w:ascii="Verdana" w:hAnsi="Verdana"/>
                <w:color w:val="000000"/>
                <w:sz w:val="16"/>
                <w:szCs w:val="16"/>
              </w:rPr>
              <w:t xml:space="preserve"> Lisar y analizar dos por lote de análisis.</w:t>
            </w:r>
          </w:p>
        </w:tc>
        <w:tc>
          <w:tcPr>
            <w:tcW w:w="2972" w:type="dxa"/>
            <w:tcBorders>
              <w:top w:val="single" w:sz="6" w:space="0" w:color="auto"/>
              <w:left w:val="single" w:sz="6" w:space="0" w:color="auto"/>
              <w:bottom w:val="single" w:sz="6" w:space="0" w:color="auto"/>
              <w:right w:val="single" w:sz="6" w:space="0" w:color="auto"/>
            </w:tcBorders>
          </w:tcPr>
          <w:p w14:paraId="7A75DFA6"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Porcentaje de recuperación para cada LFM ≥60% y ≤140% del valor verdadero.</w:t>
            </w:r>
          </w:p>
        </w:tc>
      </w:tr>
      <w:tr w:rsidR="00A74CDF" w:rsidRPr="00F01347" w14:paraId="11957D6B" w14:textId="77777777">
        <w:trPr>
          <w:trHeight w:val="144"/>
        </w:trPr>
        <w:tc>
          <w:tcPr>
            <w:tcW w:w="2405" w:type="dxa"/>
            <w:tcBorders>
              <w:top w:val="single" w:sz="6" w:space="0" w:color="auto"/>
              <w:left w:val="single" w:sz="6" w:space="0" w:color="auto"/>
              <w:bottom w:val="single" w:sz="6" w:space="0" w:color="auto"/>
              <w:right w:val="single" w:sz="6" w:space="0" w:color="auto"/>
            </w:tcBorders>
          </w:tcPr>
          <w:p w14:paraId="248B4164"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sz w:val="16"/>
                <w:szCs w:val="16"/>
              </w:rPr>
              <w:t>Matriz de muestra fortificada en laboratorio (LFSM) y duplicado de LFSM (LFSMD)</w:t>
            </w:r>
          </w:p>
        </w:tc>
        <w:tc>
          <w:tcPr>
            <w:tcW w:w="3461" w:type="dxa"/>
            <w:tcBorders>
              <w:top w:val="single" w:sz="6" w:space="0" w:color="auto"/>
              <w:left w:val="single" w:sz="6" w:space="0" w:color="auto"/>
              <w:bottom w:val="single" w:sz="6" w:space="0" w:color="auto"/>
              <w:right w:val="single" w:sz="6" w:space="0" w:color="auto"/>
            </w:tcBorders>
          </w:tcPr>
          <w:p w14:paraId="0D584DA2"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Fortifique cerca de la EC</w:t>
            </w:r>
            <w:r w:rsidRPr="00F01347">
              <w:rPr>
                <w:rFonts w:ascii="Verdana" w:hAnsi="Verdana"/>
                <w:color w:val="000000"/>
                <w:position w:val="-2"/>
                <w:sz w:val="16"/>
                <w:szCs w:val="16"/>
              </w:rPr>
              <w:t>50</w:t>
            </w:r>
            <w:r w:rsidRPr="00F01347">
              <w:rPr>
                <w:rFonts w:ascii="Verdana" w:hAnsi="Verdana"/>
                <w:color w:val="000000"/>
                <w:sz w:val="16"/>
                <w:szCs w:val="16"/>
              </w:rPr>
              <w:t xml:space="preserve"> y al doble de la concentración nativa. Un conjunto en lotes de análisis que contienen agua potable de uso y consumo humano y dos si son 20 o más muestras de campo. Un conjunto en Lotes de análisis que contienen agua colectada antes de la entrada al sistema de tratamiento y dos si son 20 o más muestras de campo.</w:t>
            </w:r>
          </w:p>
        </w:tc>
        <w:tc>
          <w:tcPr>
            <w:tcW w:w="2972" w:type="dxa"/>
            <w:tcBorders>
              <w:top w:val="single" w:sz="6" w:space="0" w:color="auto"/>
              <w:left w:val="single" w:sz="6" w:space="0" w:color="auto"/>
              <w:bottom w:val="single" w:sz="6" w:space="0" w:color="auto"/>
              <w:right w:val="single" w:sz="6" w:space="0" w:color="auto"/>
            </w:tcBorders>
          </w:tcPr>
          <w:p w14:paraId="0FA6EB17"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Porcentaje promedio de recuperación del par de LFSM y LFSMD ≥60% y ≤140%. Diferencia porcentual relativa (RPD) ≤40%. Calificar los resultados de muestras que no cumplen estos límites como "matriz sospechosa".</w:t>
            </w:r>
          </w:p>
        </w:tc>
      </w:tr>
      <w:tr w:rsidR="00A74CDF" w:rsidRPr="00F01347" w14:paraId="10C42A11" w14:textId="77777777">
        <w:trPr>
          <w:trHeight w:val="144"/>
        </w:trPr>
        <w:tc>
          <w:tcPr>
            <w:tcW w:w="2405" w:type="dxa"/>
            <w:tcBorders>
              <w:top w:val="single" w:sz="6" w:space="0" w:color="auto"/>
              <w:left w:val="single" w:sz="6" w:space="0" w:color="auto"/>
              <w:bottom w:val="single" w:sz="6" w:space="0" w:color="auto"/>
              <w:right w:val="single" w:sz="6" w:space="0" w:color="auto"/>
            </w:tcBorders>
          </w:tcPr>
          <w:p w14:paraId="2EF91DDB"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Muestra de control de calidad (QCS)</w:t>
            </w:r>
          </w:p>
        </w:tc>
        <w:tc>
          <w:tcPr>
            <w:tcW w:w="3461" w:type="dxa"/>
            <w:tcBorders>
              <w:top w:val="single" w:sz="6" w:space="0" w:color="auto"/>
              <w:left w:val="single" w:sz="6" w:space="0" w:color="auto"/>
              <w:bottom w:val="single" w:sz="6" w:space="0" w:color="auto"/>
              <w:right w:val="single" w:sz="6" w:space="0" w:color="auto"/>
            </w:tcBorders>
          </w:tcPr>
          <w:p w14:paraId="25FB25F0"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Analizar 1 QCS para cada nuevo lote de estándares de calibración. Preparar el QCS cerca de la EC</w:t>
            </w:r>
            <w:r w:rsidRPr="00F01347">
              <w:rPr>
                <w:rFonts w:ascii="Verdana" w:hAnsi="Verdana"/>
                <w:color w:val="000000"/>
                <w:position w:val="-2"/>
                <w:sz w:val="16"/>
                <w:szCs w:val="16"/>
              </w:rPr>
              <w:t>50</w:t>
            </w:r>
            <w:r w:rsidRPr="00F01347">
              <w:rPr>
                <w:rFonts w:ascii="Verdana" w:hAnsi="Verdana"/>
                <w:color w:val="000000"/>
                <w:sz w:val="16"/>
                <w:szCs w:val="16"/>
              </w:rPr>
              <w:t xml:space="preserve"> con MC-LR de una fuente independiente de los estándares de calibración.</w:t>
            </w:r>
          </w:p>
        </w:tc>
        <w:tc>
          <w:tcPr>
            <w:tcW w:w="2972" w:type="dxa"/>
            <w:tcBorders>
              <w:top w:val="single" w:sz="6" w:space="0" w:color="auto"/>
              <w:left w:val="single" w:sz="6" w:space="0" w:color="auto"/>
              <w:bottom w:val="single" w:sz="6" w:space="0" w:color="auto"/>
              <w:right w:val="single" w:sz="6" w:space="0" w:color="auto"/>
            </w:tcBorders>
          </w:tcPr>
          <w:p w14:paraId="2EEB37B0" w14:textId="77777777" w:rsidR="00A74CDF" w:rsidRPr="00F01347" w:rsidRDefault="00A74CDF" w:rsidP="003A601B">
            <w:pPr>
              <w:pStyle w:val="texto0"/>
              <w:spacing w:line="224" w:lineRule="exact"/>
              <w:ind w:firstLine="0"/>
              <w:jc w:val="center"/>
              <w:rPr>
                <w:rFonts w:ascii="Verdana" w:hAnsi="Verdana"/>
                <w:color w:val="000000"/>
                <w:sz w:val="16"/>
                <w:szCs w:val="16"/>
              </w:rPr>
            </w:pPr>
            <w:r w:rsidRPr="00F01347">
              <w:rPr>
                <w:rFonts w:ascii="Verdana" w:hAnsi="Verdana"/>
                <w:color w:val="000000"/>
                <w:sz w:val="16"/>
                <w:szCs w:val="16"/>
              </w:rPr>
              <w:t>Porcentaje de recuperación ≥70% y ≤130% del valor verdadero.</w:t>
            </w:r>
          </w:p>
        </w:tc>
      </w:tr>
    </w:tbl>
    <w:p w14:paraId="30CDA4AF" w14:textId="77777777" w:rsidR="000A3AF6" w:rsidRDefault="000A3AF6" w:rsidP="00574F4A">
      <w:pPr>
        <w:pStyle w:val="texto0"/>
        <w:ind w:firstLine="0"/>
        <w:jc w:val="center"/>
        <w:rPr>
          <w:rFonts w:ascii="Verdana" w:hAnsi="Verdana"/>
          <w:b/>
          <w:color w:val="000000"/>
          <w:sz w:val="16"/>
          <w:szCs w:val="16"/>
          <w:lang w:val="en-US"/>
        </w:rPr>
      </w:pPr>
    </w:p>
    <w:p w14:paraId="1C661FE1" w14:textId="380EF4AF" w:rsidR="00574F4A" w:rsidRPr="00F01347" w:rsidRDefault="00574F4A" w:rsidP="00574F4A">
      <w:pPr>
        <w:pStyle w:val="texto0"/>
        <w:ind w:firstLine="0"/>
        <w:jc w:val="center"/>
        <w:rPr>
          <w:rFonts w:ascii="Verdana" w:hAnsi="Verdana"/>
          <w:b/>
          <w:color w:val="000000"/>
          <w:sz w:val="16"/>
          <w:szCs w:val="16"/>
          <w:lang w:val="en"/>
        </w:rPr>
      </w:pPr>
      <w:r w:rsidRPr="00F01347">
        <w:rPr>
          <w:rFonts w:ascii="Verdana" w:hAnsi="Verdana"/>
          <w:b/>
          <w:color w:val="000000"/>
          <w:sz w:val="16"/>
          <w:szCs w:val="16"/>
          <w:lang w:val="en-US"/>
        </w:rPr>
        <w:t>Table B.1.1-2. QC Analysis Batch Requirements</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72"/>
        <w:gridCol w:w="3412"/>
        <w:gridCol w:w="2931"/>
      </w:tblGrid>
      <w:tr w:rsidR="00574F4A" w:rsidRPr="00F01347" w14:paraId="0E855022" w14:textId="77777777" w:rsidTr="000A3AF6">
        <w:trPr>
          <w:trHeight w:val="144"/>
        </w:trPr>
        <w:tc>
          <w:tcPr>
            <w:tcW w:w="2405" w:type="dxa"/>
            <w:noWrap/>
            <w:hideMark/>
          </w:tcPr>
          <w:p w14:paraId="14E1AA52" w14:textId="77777777" w:rsidR="00574F4A" w:rsidRPr="00F01347" w:rsidRDefault="00574F4A">
            <w:pPr>
              <w:pStyle w:val="texto0"/>
              <w:spacing w:line="224"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Requirement</w:t>
            </w:r>
          </w:p>
        </w:tc>
        <w:tc>
          <w:tcPr>
            <w:tcW w:w="3461" w:type="dxa"/>
            <w:hideMark/>
          </w:tcPr>
          <w:p w14:paraId="304FCC61" w14:textId="77777777" w:rsidR="00574F4A" w:rsidRPr="00F01347" w:rsidRDefault="00574F4A">
            <w:pPr>
              <w:pStyle w:val="texto0"/>
              <w:spacing w:line="224"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Specification and frequency</w:t>
            </w:r>
          </w:p>
        </w:tc>
        <w:tc>
          <w:tcPr>
            <w:tcW w:w="2972" w:type="dxa"/>
            <w:hideMark/>
          </w:tcPr>
          <w:p w14:paraId="00606EBF" w14:textId="77777777" w:rsidR="00574F4A" w:rsidRPr="00F01347" w:rsidRDefault="00574F4A">
            <w:pPr>
              <w:pStyle w:val="texto0"/>
              <w:spacing w:line="224"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Acceptance requirements</w:t>
            </w:r>
          </w:p>
        </w:tc>
      </w:tr>
      <w:tr w:rsidR="00574F4A" w:rsidRPr="00F01347" w14:paraId="3632BCF5" w14:textId="77777777" w:rsidTr="000A3AF6">
        <w:trPr>
          <w:trHeight w:val="144"/>
        </w:trPr>
        <w:tc>
          <w:tcPr>
            <w:tcW w:w="2405" w:type="dxa"/>
            <w:hideMark/>
          </w:tcPr>
          <w:p w14:paraId="2B5FEB6A"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ELISA Calibration</w:t>
            </w:r>
          </w:p>
        </w:tc>
        <w:tc>
          <w:tcPr>
            <w:tcW w:w="3461" w:type="dxa"/>
            <w:hideMark/>
          </w:tcPr>
          <w:p w14:paraId="19D71928"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Use the levels and concentrations recommended by the kit. Two replica wells per standard.</w:t>
            </w:r>
          </w:p>
        </w:tc>
        <w:tc>
          <w:tcPr>
            <w:tcW w:w="2972" w:type="dxa"/>
            <w:hideMark/>
          </w:tcPr>
          <w:p w14:paraId="6BECE2CE"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%CV absorbance ≤10%; ≤15% allowed for a pair.</w:t>
            </w:r>
          </w:p>
          <w:p w14:paraId="79C5D96A"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r2 ≥0.98 </w:t>
            </w:r>
            <w:r w:rsidRPr="00F01347">
              <w:rPr>
                <w:rFonts w:ascii="Verdana" w:hAnsi="Verdana"/>
                <w:color w:val="000000"/>
                <w:sz w:val="16"/>
                <w:szCs w:val="16"/>
                <w:vertAlign w:val="superscript"/>
                <w:lang w:val="en-US"/>
              </w:rPr>
              <w:t>_</w:t>
            </w:r>
          </w:p>
        </w:tc>
      </w:tr>
      <w:tr w:rsidR="00574F4A" w:rsidRPr="00F01347" w14:paraId="7CADB850" w14:textId="77777777" w:rsidTr="000A3AF6">
        <w:trPr>
          <w:trHeight w:val="144"/>
        </w:trPr>
        <w:tc>
          <w:tcPr>
            <w:tcW w:w="2405" w:type="dxa"/>
            <w:hideMark/>
          </w:tcPr>
          <w:p w14:paraId="5387C9CF"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Replica wells</w:t>
            </w:r>
          </w:p>
        </w:tc>
        <w:tc>
          <w:tcPr>
            <w:tcW w:w="3461" w:type="dxa"/>
            <w:hideMark/>
          </w:tcPr>
          <w:p w14:paraId="1B55FCFE"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Field sample and quality control in two wells.</w:t>
            </w:r>
          </w:p>
        </w:tc>
        <w:tc>
          <w:tcPr>
            <w:tcW w:w="2972" w:type="dxa"/>
            <w:hideMark/>
          </w:tcPr>
          <w:p w14:paraId="4CD75A3D"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Sample not valid if %CV of absorbance values &gt;15%</w:t>
            </w:r>
          </w:p>
        </w:tc>
      </w:tr>
      <w:tr w:rsidR="00574F4A" w:rsidRPr="00F01347" w14:paraId="19F4CA8D" w14:textId="77777777" w:rsidTr="000A3AF6">
        <w:trPr>
          <w:trHeight w:val="144"/>
        </w:trPr>
        <w:tc>
          <w:tcPr>
            <w:tcW w:w="2405" w:type="dxa"/>
            <w:hideMark/>
          </w:tcPr>
          <w:p w14:paraId="2F84D351"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Laboratory reagent blank (LRB)</w:t>
            </w:r>
          </w:p>
        </w:tc>
        <w:tc>
          <w:tcPr>
            <w:tcW w:w="3461" w:type="dxa"/>
            <w:hideMark/>
          </w:tcPr>
          <w:p w14:paraId="15ABA6D1"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Print one LRB per analysis batch. Analyze in duplicate on opposite sides of the plate.</w:t>
            </w:r>
          </w:p>
        </w:tc>
        <w:tc>
          <w:tcPr>
            <w:tcW w:w="2972" w:type="dxa"/>
            <w:hideMark/>
          </w:tcPr>
          <w:p w14:paraId="752B51FA"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The MC/NOD concentration must be less than half the MRL in each LRB.</w:t>
            </w:r>
          </w:p>
        </w:tc>
      </w:tr>
      <w:tr w:rsidR="00574F4A" w:rsidRPr="00F01347" w14:paraId="226F2858" w14:textId="77777777" w:rsidTr="000A3AF6">
        <w:trPr>
          <w:trHeight w:val="144"/>
        </w:trPr>
        <w:tc>
          <w:tcPr>
            <w:tcW w:w="2405" w:type="dxa"/>
            <w:hideMark/>
          </w:tcPr>
          <w:p w14:paraId="5F0B37E5"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sz w:val="16"/>
                <w:szCs w:val="16"/>
                <w:lang w:val="en-US"/>
              </w:rPr>
              <w:t>Low Range Calibration Verification Standard (LOW-CV)</w:t>
            </w:r>
          </w:p>
        </w:tc>
        <w:tc>
          <w:tcPr>
            <w:tcW w:w="3461" w:type="dxa"/>
            <w:hideMark/>
          </w:tcPr>
          <w:p w14:paraId="4C6C40A1" w14:textId="018324AA"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Calibration standard at or below MRL concentration. </w:t>
            </w:r>
            <w:r w:rsidR="004A6BE5" w:rsidRPr="00F01347">
              <w:rPr>
                <w:rFonts w:ascii="Verdana" w:hAnsi="Verdana"/>
                <w:color w:val="000000"/>
                <w:sz w:val="16"/>
                <w:szCs w:val="16"/>
                <w:lang w:val="en-US"/>
              </w:rPr>
              <w:t>One</w:t>
            </w:r>
            <w:r w:rsidRPr="00F01347">
              <w:rPr>
                <w:rFonts w:ascii="Verdana" w:hAnsi="Verdana"/>
                <w:color w:val="000000"/>
                <w:sz w:val="16"/>
                <w:szCs w:val="16"/>
                <w:lang w:val="en-US"/>
              </w:rPr>
              <w:t xml:space="preserve"> must have one for each batch of analysis.</w:t>
            </w:r>
          </w:p>
        </w:tc>
        <w:tc>
          <w:tcPr>
            <w:tcW w:w="2972" w:type="dxa"/>
            <w:hideMark/>
          </w:tcPr>
          <w:p w14:paraId="6FF844AA"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Recovery percentage ≥50% and ≤150% of the true value.</w:t>
            </w:r>
          </w:p>
        </w:tc>
      </w:tr>
      <w:tr w:rsidR="00574F4A" w:rsidRPr="00F01347" w14:paraId="5137B5DC" w14:textId="77777777" w:rsidTr="000A3AF6">
        <w:trPr>
          <w:trHeight w:val="144"/>
        </w:trPr>
        <w:tc>
          <w:tcPr>
            <w:tcW w:w="2405" w:type="dxa"/>
            <w:hideMark/>
          </w:tcPr>
          <w:p w14:paraId="1D6B71BE" w14:textId="6C18A9E0"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Laboratory Fortified </w:t>
            </w:r>
            <w:r w:rsidR="00C50A8A" w:rsidRPr="00F01347">
              <w:rPr>
                <w:rFonts w:ascii="Verdana" w:hAnsi="Verdana"/>
                <w:color w:val="000000"/>
                <w:sz w:val="16"/>
                <w:szCs w:val="16"/>
                <w:lang w:val="en-US"/>
              </w:rPr>
              <w:t>Blank</w:t>
            </w:r>
            <w:r w:rsidRPr="00F01347">
              <w:rPr>
                <w:rFonts w:ascii="Verdana" w:hAnsi="Verdana"/>
                <w:color w:val="000000"/>
                <w:sz w:val="16"/>
                <w:szCs w:val="16"/>
                <w:lang w:val="en-US"/>
              </w:rPr>
              <w:t xml:space="preserve"> (LFB)</w:t>
            </w:r>
          </w:p>
        </w:tc>
        <w:tc>
          <w:tcPr>
            <w:tcW w:w="3461" w:type="dxa"/>
            <w:hideMark/>
          </w:tcPr>
          <w:p w14:paraId="3DF73B39" w14:textId="50CD08F1" w:rsidR="00574F4A" w:rsidRPr="00F01347" w:rsidRDefault="00574F4A" w:rsidP="00FD6042">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Fortified reagent grade water </w:t>
            </w:r>
            <w:proofErr w:type="gramStart"/>
            <w:r w:rsidRPr="00F01347">
              <w:rPr>
                <w:rFonts w:ascii="Verdana" w:hAnsi="Verdana"/>
                <w:color w:val="000000"/>
                <w:sz w:val="16"/>
                <w:szCs w:val="16"/>
                <w:lang w:val="en-US"/>
              </w:rPr>
              <w:t>close</w:t>
            </w:r>
            <w:proofErr w:type="gramEnd"/>
            <w:r w:rsidRPr="00F01347">
              <w:rPr>
                <w:rFonts w:ascii="Verdana" w:hAnsi="Verdana"/>
                <w:color w:val="000000"/>
                <w:sz w:val="16"/>
                <w:szCs w:val="16"/>
                <w:lang w:val="en-US"/>
              </w:rPr>
              <w:t xml:space="preserve"> to EC</w:t>
            </w:r>
            <w:r w:rsidRPr="00F01347">
              <w:rPr>
                <w:rFonts w:ascii="Verdana" w:hAnsi="Verdana"/>
                <w:color w:val="000000"/>
                <w:position w:val="-2"/>
                <w:sz w:val="16"/>
                <w:szCs w:val="16"/>
                <w:lang w:val="en-US"/>
              </w:rPr>
              <w:t xml:space="preserve">50 </w:t>
            </w:r>
            <w:r w:rsidRPr="00F01347">
              <w:rPr>
                <w:rFonts w:ascii="Verdana" w:hAnsi="Verdana"/>
                <w:color w:val="000000"/>
                <w:sz w:val="16"/>
                <w:szCs w:val="16"/>
                <w:lang w:val="en-US"/>
              </w:rPr>
              <w:t>Lyse and analyze two per analysis lot.</w:t>
            </w:r>
          </w:p>
        </w:tc>
        <w:tc>
          <w:tcPr>
            <w:tcW w:w="2972" w:type="dxa"/>
            <w:hideMark/>
          </w:tcPr>
          <w:p w14:paraId="50A7D232"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Recovery percentage for each LFM ≥60% and ≤140% of the true value.</w:t>
            </w:r>
          </w:p>
        </w:tc>
      </w:tr>
      <w:tr w:rsidR="00574F4A" w:rsidRPr="00F01347" w14:paraId="060CE94D" w14:textId="77777777" w:rsidTr="000A3AF6">
        <w:trPr>
          <w:trHeight w:val="144"/>
        </w:trPr>
        <w:tc>
          <w:tcPr>
            <w:tcW w:w="2405" w:type="dxa"/>
            <w:hideMark/>
          </w:tcPr>
          <w:p w14:paraId="61488FC3"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sz w:val="16"/>
                <w:szCs w:val="16"/>
                <w:lang w:val="en-US"/>
              </w:rPr>
              <w:t>Laboratory Fortified Sample Matrix (LFSM) and LFSM Duplicate (LFSMD)</w:t>
            </w:r>
          </w:p>
        </w:tc>
        <w:tc>
          <w:tcPr>
            <w:tcW w:w="3461" w:type="dxa"/>
            <w:hideMark/>
          </w:tcPr>
          <w:p w14:paraId="37C019AF"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Fortify near EC </w:t>
            </w:r>
            <w:r w:rsidRPr="00F01347">
              <w:rPr>
                <w:rFonts w:ascii="Verdana" w:hAnsi="Verdana"/>
                <w:color w:val="000000"/>
                <w:position w:val="-2"/>
                <w:sz w:val="16"/>
                <w:szCs w:val="16"/>
                <w:lang w:val="en-US"/>
              </w:rPr>
              <w:t xml:space="preserve">50 </w:t>
            </w:r>
            <w:r w:rsidRPr="00F01347">
              <w:rPr>
                <w:rFonts w:ascii="Verdana" w:hAnsi="Verdana"/>
                <w:color w:val="000000"/>
                <w:sz w:val="16"/>
                <w:szCs w:val="16"/>
                <w:lang w:val="en-US"/>
              </w:rPr>
              <w:t>and at twice the native concentration. One set of analytical batches containing drinking water for human use and consumption and two if there are 20 or more field samples. One set of analysis lots that contain water collected before entering the treatment system and two if there are 20 or more field samples.</w:t>
            </w:r>
          </w:p>
        </w:tc>
        <w:tc>
          <w:tcPr>
            <w:tcW w:w="2972" w:type="dxa"/>
            <w:hideMark/>
          </w:tcPr>
          <w:p w14:paraId="5FA6335A"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Average recovery percentage of LFSM and LFSMD pair ≥60% and ≤140%. Relative percentage difference (RPD) ≤40%. Qualify results from samples that do not meet these limits as "suspicious matrix."</w:t>
            </w:r>
          </w:p>
        </w:tc>
      </w:tr>
      <w:tr w:rsidR="00574F4A" w:rsidRPr="00F01347" w14:paraId="1C3B5F7B" w14:textId="77777777" w:rsidTr="000A3AF6">
        <w:trPr>
          <w:trHeight w:val="144"/>
        </w:trPr>
        <w:tc>
          <w:tcPr>
            <w:tcW w:w="2405" w:type="dxa"/>
            <w:hideMark/>
          </w:tcPr>
          <w:p w14:paraId="385EEE23"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Quality Control Sample (QCS)</w:t>
            </w:r>
          </w:p>
        </w:tc>
        <w:tc>
          <w:tcPr>
            <w:tcW w:w="3461" w:type="dxa"/>
            <w:hideMark/>
          </w:tcPr>
          <w:p w14:paraId="2CE29347"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Analyze 1 QCS for each new batch of calibration standards. Prepare the QCS near EC </w:t>
            </w:r>
            <w:r w:rsidRPr="00F01347">
              <w:rPr>
                <w:rFonts w:ascii="Verdana" w:hAnsi="Verdana"/>
                <w:color w:val="000000"/>
                <w:position w:val="-2"/>
                <w:sz w:val="16"/>
                <w:szCs w:val="16"/>
                <w:lang w:val="en-US"/>
              </w:rPr>
              <w:t xml:space="preserve">50 </w:t>
            </w:r>
            <w:r w:rsidRPr="00F01347">
              <w:rPr>
                <w:rFonts w:ascii="Verdana" w:hAnsi="Verdana"/>
                <w:color w:val="000000"/>
                <w:sz w:val="16"/>
                <w:szCs w:val="16"/>
                <w:lang w:val="en-US"/>
              </w:rPr>
              <w:t>with MC-LR from an independent source of calibration standards.</w:t>
            </w:r>
          </w:p>
        </w:tc>
        <w:tc>
          <w:tcPr>
            <w:tcW w:w="2972" w:type="dxa"/>
            <w:hideMark/>
          </w:tcPr>
          <w:p w14:paraId="0B38C71D" w14:textId="77777777" w:rsidR="00574F4A" w:rsidRPr="00F01347" w:rsidRDefault="00574F4A">
            <w:pPr>
              <w:pStyle w:val="texto0"/>
              <w:spacing w:line="224"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Recovery percentage ≥70% and ≤130% of the true value.</w:t>
            </w:r>
          </w:p>
        </w:tc>
      </w:tr>
    </w:tbl>
    <w:p w14:paraId="2CCAB126" w14:textId="77777777" w:rsidR="00574F4A" w:rsidRPr="00F01347" w:rsidRDefault="00574F4A" w:rsidP="00574F4A">
      <w:pPr>
        <w:pStyle w:val="texto0"/>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4EA8484F" w14:textId="77777777" w:rsidTr="00112B6C">
        <w:tc>
          <w:tcPr>
            <w:tcW w:w="4675" w:type="dxa"/>
          </w:tcPr>
          <w:p w14:paraId="506EF1E3" w14:textId="11E79B5D" w:rsidR="00204B58" w:rsidRPr="00F01347" w:rsidRDefault="00204B58" w:rsidP="00204B58">
            <w:pPr>
              <w:pStyle w:val="texto0"/>
              <w:ind w:firstLine="0"/>
              <w:rPr>
                <w:rFonts w:ascii="Verdana" w:hAnsi="Verdana"/>
                <w:sz w:val="16"/>
                <w:szCs w:val="16"/>
              </w:rPr>
            </w:pPr>
            <w:r w:rsidRPr="00F01347">
              <w:rPr>
                <w:rFonts w:ascii="Verdana" w:hAnsi="Verdana"/>
                <w:sz w:val="16"/>
                <w:szCs w:val="16"/>
              </w:rPr>
              <w:t xml:space="preserve">Todas las muestras de campo y de QC deben añadirse a por lo menos dos pozos (pozos réplica). El %CV de los valores de absorbancia determinados para los pozos réplica debe ser menor o igual a 15%. </w:t>
            </w:r>
            <w:proofErr w:type="gramStart"/>
            <w:r w:rsidRPr="00F01347">
              <w:rPr>
                <w:rFonts w:ascii="Verdana" w:hAnsi="Verdana"/>
                <w:sz w:val="16"/>
                <w:szCs w:val="16"/>
              </w:rPr>
              <w:t>Calcular  el</w:t>
            </w:r>
            <w:proofErr w:type="gramEnd"/>
            <w:r w:rsidRPr="00F01347">
              <w:rPr>
                <w:rFonts w:ascii="Verdana" w:hAnsi="Verdana"/>
                <w:sz w:val="16"/>
                <w:szCs w:val="16"/>
              </w:rPr>
              <w:t xml:space="preserve"> % CV como sigue:</w:t>
            </w:r>
          </w:p>
        </w:tc>
        <w:tc>
          <w:tcPr>
            <w:tcW w:w="4675" w:type="dxa"/>
          </w:tcPr>
          <w:p w14:paraId="43A2FDD0" w14:textId="77777777" w:rsidR="00574F4A" w:rsidRPr="00F01347" w:rsidRDefault="00574F4A" w:rsidP="00112B6C">
            <w:pPr>
              <w:pStyle w:val="texto0"/>
              <w:ind w:firstLine="0"/>
              <w:rPr>
                <w:rFonts w:ascii="Verdana" w:hAnsi="Verdana"/>
                <w:sz w:val="16"/>
                <w:szCs w:val="16"/>
                <w:lang w:val="en"/>
              </w:rPr>
            </w:pPr>
            <w:r w:rsidRPr="00F01347">
              <w:rPr>
                <w:rFonts w:ascii="Verdana" w:hAnsi="Verdana"/>
                <w:sz w:val="16"/>
                <w:szCs w:val="16"/>
                <w:lang w:val="en-US"/>
              </w:rPr>
              <w:t xml:space="preserve">All field and QC samples must be added to at least two wells (replica wells). The %CV of the absorbance values determined for the replicate wells must be less than or equal to 15%. </w:t>
            </w:r>
            <w:proofErr w:type="spellStart"/>
            <w:r w:rsidRPr="00F01347">
              <w:rPr>
                <w:rFonts w:ascii="Verdana" w:hAnsi="Verdana"/>
                <w:sz w:val="16"/>
                <w:szCs w:val="16"/>
              </w:rPr>
              <w:t>Calculate</w:t>
            </w:r>
            <w:proofErr w:type="spellEnd"/>
            <w:r w:rsidRPr="00F01347">
              <w:rPr>
                <w:rFonts w:ascii="Verdana" w:hAnsi="Verdana"/>
                <w:sz w:val="16"/>
                <w:szCs w:val="16"/>
              </w:rPr>
              <w:t xml:space="preserve"> %CV as </w:t>
            </w:r>
            <w:proofErr w:type="spellStart"/>
            <w:r w:rsidRPr="00F01347">
              <w:rPr>
                <w:rFonts w:ascii="Verdana" w:hAnsi="Verdana"/>
                <w:sz w:val="16"/>
                <w:szCs w:val="16"/>
              </w:rPr>
              <w:t>follows</w:t>
            </w:r>
            <w:proofErr w:type="spellEnd"/>
            <w:r w:rsidRPr="00F01347">
              <w:rPr>
                <w:rFonts w:ascii="Verdana" w:hAnsi="Verdana"/>
                <w:sz w:val="16"/>
                <w:szCs w:val="16"/>
              </w:rPr>
              <w:t>:</w:t>
            </w:r>
          </w:p>
          <w:p w14:paraId="4B426EFA" w14:textId="77777777" w:rsidR="00204B58" w:rsidRPr="00F01347" w:rsidRDefault="00204B58" w:rsidP="00204B58">
            <w:pPr>
              <w:pStyle w:val="texto0"/>
              <w:ind w:firstLine="0"/>
              <w:rPr>
                <w:rFonts w:ascii="Verdana" w:hAnsi="Verdana"/>
                <w:sz w:val="16"/>
                <w:szCs w:val="16"/>
              </w:rPr>
            </w:pPr>
          </w:p>
        </w:tc>
      </w:tr>
    </w:tbl>
    <w:p w14:paraId="2FB2A83C" w14:textId="77777777" w:rsidR="00204B58" w:rsidRPr="00F01347" w:rsidRDefault="00204B58" w:rsidP="00204B58">
      <w:pPr>
        <w:pStyle w:val="texto0"/>
        <w:ind w:firstLine="0"/>
        <w:rPr>
          <w:rFonts w:ascii="Verdana" w:hAnsi="Verdana"/>
          <w:sz w:val="16"/>
          <w:szCs w:val="16"/>
        </w:rPr>
      </w:pPr>
    </w:p>
    <w:p w14:paraId="6FA1EE7D" w14:textId="1CA63531" w:rsidR="00A74CDF" w:rsidRPr="00F01347" w:rsidRDefault="00471638" w:rsidP="003A601B">
      <w:pPr>
        <w:pStyle w:val="texto0"/>
        <w:spacing w:line="240" w:lineRule="auto"/>
        <w:ind w:firstLine="0"/>
        <w:jc w:val="center"/>
        <w:rPr>
          <w:rFonts w:ascii="Verdana" w:hAnsi="Verdana"/>
          <w:sz w:val="16"/>
          <w:szCs w:val="16"/>
        </w:rPr>
      </w:pPr>
      <w:r w:rsidRPr="00F01347">
        <w:rPr>
          <w:rFonts w:ascii="Verdana" w:hAnsi="Verdana"/>
          <w:noProof/>
          <w:sz w:val="16"/>
          <w:szCs w:val="16"/>
        </w:rPr>
        <w:drawing>
          <wp:inline distT="0" distB="0" distL="0" distR="0" wp14:anchorId="24850672" wp14:editId="2E4EB5EE">
            <wp:extent cx="3228975" cy="333375"/>
            <wp:effectExtent l="0" t="0" r="0" b="0"/>
            <wp:docPr id="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28975" cy="333375"/>
                    </a:xfrm>
                    <a:prstGeom prst="rect">
                      <a:avLst/>
                    </a:prstGeom>
                    <a:noFill/>
                    <a:ln>
                      <a:noFill/>
                    </a:ln>
                  </pic:spPr>
                </pic:pic>
              </a:graphicData>
            </a:graphic>
          </wp:inline>
        </w:drawing>
      </w:r>
    </w:p>
    <w:p w14:paraId="66EAA5B1" w14:textId="77777777" w:rsidR="00A73918" w:rsidRPr="00F01347" w:rsidRDefault="00A73918" w:rsidP="003A601B">
      <w:pPr>
        <w:pStyle w:val="texto0"/>
        <w:spacing w:line="240" w:lineRule="auto"/>
        <w:ind w:firstLine="0"/>
        <w:jc w:val="center"/>
        <w:rPr>
          <w:rFonts w:ascii="Verdana" w:hAnsi="Verdana"/>
          <w:sz w:val="16"/>
          <w:szCs w:val="16"/>
        </w:rPr>
      </w:pPr>
    </w:p>
    <w:tbl>
      <w:tblPr>
        <w:tblStyle w:val="TableGrid"/>
        <w:tblW w:w="0" w:type="auto"/>
        <w:tblInd w:w="2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
        <w:gridCol w:w="355"/>
        <w:gridCol w:w="4851"/>
      </w:tblGrid>
      <w:tr w:rsidR="00344076" w:rsidRPr="00F01347" w14:paraId="7CF30C23" w14:textId="77777777" w:rsidTr="000F7A03">
        <w:tc>
          <w:tcPr>
            <w:tcW w:w="734" w:type="dxa"/>
          </w:tcPr>
          <w:p w14:paraId="0DEF4011" w14:textId="77777777" w:rsidR="00344076" w:rsidRPr="00F01347" w:rsidRDefault="00344076" w:rsidP="00CF3AE1">
            <w:pPr>
              <w:rPr>
                <w:rFonts w:ascii="Verdana" w:hAnsi="Verdana"/>
                <w:b/>
                <w:bCs/>
                <w:sz w:val="16"/>
                <w:szCs w:val="16"/>
              </w:rPr>
            </w:pPr>
          </w:p>
        </w:tc>
        <w:tc>
          <w:tcPr>
            <w:tcW w:w="355" w:type="dxa"/>
          </w:tcPr>
          <w:p w14:paraId="2E798A84" w14:textId="77777777" w:rsidR="00344076" w:rsidRPr="00F01347" w:rsidRDefault="00344076" w:rsidP="00CF3AE1">
            <w:pPr>
              <w:rPr>
                <w:rFonts w:ascii="Verdana" w:hAnsi="Verdana"/>
                <w:b/>
                <w:bCs/>
                <w:sz w:val="16"/>
                <w:szCs w:val="16"/>
              </w:rPr>
            </w:pPr>
          </w:p>
        </w:tc>
        <w:tc>
          <w:tcPr>
            <w:tcW w:w="4851" w:type="dxa"/>
          </w:tcPr>
          <w:p w14:paraId="07C3C897" w14:textId="77777777" w:rsidR="00344076" w:rsidRPr="00F01347" w:rsidRDefault="00344076" w:rsidP="00CF3AE1">
            <w:pPr>
              <w:rPr>
                <w:rFonts w:ascii="Verdana" w:hAnsi="Verdana"/>
                <w:b/>
                <w:bCs/>
                <w:sz w:val="16"/>
                <w:szCs w:val="16"/>
                <w:lang w:val="en-US"/>
              </w:rPr>
            </w:pPr>
            <w:r w:rsidRPr="00F01347">
              <w:rPr>
                <w:rFonts w:ascii="Verdana" w:hAnsi="Verdana"/>
                <w:b/>
                <w:bCs/>
                <w:sz w:val="16"/>
                <w:szCs w:val="16"/>
                <w:lang w:val="en-US"/>
              </w:rPr>
              <w:t>Standard deviation of the absorbances</w:t>
            </w:r>
          </w:p>
        </w:tc>
      </w:tr>
      <w:tr w:rsidR="00344076" w:rsidRPr="00F01347" w14:paraId="78326FD7" w14:textId="77777777" w:rsidTr="000F7A03">
        <w:tc>
          <w:tcPr>
            <w:tcW w:w="734" w:type="dxa"/>
          </w:tcPr>
          <w:p w14:paraId="13259F44" w14:textId="77777777" w:rsidR="00344076" w:rsidRPr="00F01347" w:rsidRDefault="00344076" w:rsidP="00CF3AE1">
            <w:pPr>
              <w:jc w:val="right"/>
              <w:rPr>
                <w:rFonts w:ascii="Verdana" w:hAnsi="Verdana"/>
                <w:b/>
                <w:bCs/>
                <w:sz w:val="16"/>
                <w:szCs w:val="16"/>
              </w:rPr>
            </w:pPr>
            <w:r w:rsidRPr="00F01347">
              <w:rPr>
                <w:rFonts w:ascii="Verdana" w:hAnsi="Verdana"/>
                <w:b/>
                <w:bCs/>
                <w:sz w:val="16"/>
                <w:szCs w:val="16"/>
              </w:rPr>
              <w:t>%CV</w:t>
            </w:r>
          </w:p>
        </w:tc>
        <w:tc>
          <w:tcPr>
            <w:tcW w:w="355" w:type="dxa"/>
          </w:tcPr>
          <w:p w14:paraId="255BB39E" w14:textId="77777777" w:rsidR="00344076" w:rsidRPr="00F01347" w:rsidRDefault="00344076" w:rsidP="00CF3AE1">
            <w:pPr>
              <w:rPr>
                <w:rFonts w:ascii="Verdana" w:hAnsi="Verdana"/>
                <w:b/>
                <w:bCs/>
                <w:sz w:val="16"/>
                <w:szCs w:val="16"/>
              </w:rPr>
            </w:pPr>
            <w:r w:rsidRPr="00F01347">
              <w:rPr>
                <w:rFonts w:ascii="Verdana" w:hAnsi="Verdana"/>
                <w:b/>
                <w:bCs/>
                <w:sz w:val="16"/>
                <w:szCs w:val="16"/>
              </w:rPr>
              <w:t>=</w:t>
            </w:r>
          </w:p>
        </w:tc>
        <w:tc>
          <w:tcPr>
            <w:tcW w:w="4851" w:type="dxa"/>
          </w:tcPr>
          <w:p w14:paraId="4A068BEA" w14:textId="24E0EF33" w:rsidR="00344076" w:rsidRPr="00F01347" w:rsidRDefault="00344076" w:rsidP="00CF3AE1">
            <w:pPr>
              <w:rPr>
                <w:rFonts w:ascii="Verdana" w:hAnsi="Verdana"/>
                <w:b/>
                <w:bCs/>
                <w:sz w:val="16"/>
                <w:szCs w:val="16"/>
              </w:rPr>
            </w:pPr>
            <w:r w:rsidRPr="00F01347">
              <w:rPr>
                <w:rFonts w:ascii="Verdana" w:hAnsi="Verdana"/>
                <w:b/>
                <w:bCs/>
                <w:sz w:val="16"/>
                <w:szCs w:val="16"/>
              </w:rPr>
              <w:t xml:space="preserve">-------------------------------------------------- </w:t>
            </w:r>
            <w:r w:rsidR="00844575" w:rsidRPr="00F01347">
              <w:rPr>
                <w:rFonts w:ascii="Verdana" w:hAnsi="Verdana"/>
                <w:b/>
                <w:bCs/>
                <w:sz w:val="16"/>
                <w:szCs w:val="16"/>
              </w:rPr>
              <w:t>x 100</w:t>
            </w:r>
            <w:r w:rsidRPr="00F01347">
              <w:rPr>
                <w:rFonts w:ascii="Verdana" w:hAnsi="Verdana"/>
                <w:b/>
                <w:bCs/>
                <w:sz w:val="16"/>
                <w:szCs w:val="16"/>
              </w:rPr>
              <w:t>%</w:t>
            </w:r>
          </w:p>
        </w:tc>
      </w:tr>
      <w:tr w:rsidR="00344076" w:rsidRPr="00F01347" w14:paraId="78832928" w14:textId="77777777" w:rsidTr="000F7A03">
        <w:tc>
          <w:tcPr>
            <w:tcW w:w="734" w:type="dxa"/>
          </w:tcPr>
          <w:p w14:paraId="41F97128" w14:textId="77777777" w:rsidR="00344076" w:rsidRPr="00F01347" w:rsidRDefault="00344076" w:rsidP="00CF3AE1">
            <w:pPr>
              <w:rPr>
                <w:rFonts w:ascii="Verdana" w:hAnsi="Verdana"/>
                <w:b/>
                <w:bCs/>
                <w:sz w:val="16"/>
                <w:szCs w:val="16"/>
              </w:rPr>
            </w:pPr>
          </w:p>
        </w:tc>
        <w:tc>
          <w:tcPr>
            <w:tcW w:w="355" w:type="dxa"/>
          </w:tcPr>
          <w:p w14:paraId="1976F4A9" w14:textId="77777777" w:rsidR="00344076" w:rsidRPr="00F01347" w:rsidRDefault="00344076" w:rsidP="00CF3AE1">
            <w:pPr>
              <w:rPr>
                <w:rFonts w:ascii="Verdana" w:hAnsi="Verdana"/>
                <w:b/>
                <w:bCs/>
                <w:sz w:val="16"/>
                <w:szCs w:val="16"/>
              </w:rPr>
            </w:pPr>
          </w:p>
        </w:tc>
        <w:tc>
          <w:tcPr>
            <w:tcW w:w="4851" w:type="dxa"/>
          </w:tcPr>
          <w:p w14:paraId="0394A4CE" w14:textId="77777777" w:rsidR="00344076" w:rsidRPr="00F01347" w:rsidRDefault="00344076" w:rsidP="00CF3AE1">
            <w:pPr>
              <w:rPr>
                <w:rFonts w:ascii="Verdana" w:hAnsi="Verdana"/>
                <w:b/>
                <w:bCs/>
                <w:sz w:val="16"/>
                <w:szCs w:val="16"/>
                <w:lang w:val="en-US"/>
              </w:rPr>
            </w:pPr>
            <w:r w:rsidRPr="00F01347">
              <w:rPr>
                <w:rFonts w:ascii="Verdana" w:hAnsi="Verdana"/>
                <w:b/>
                <w:bCs/>
                <w:sz w:val="16"/>
                <w:szCs w:val="16"/>
              </w:rPr>
              <w:t xml:space="preserve">                 </w:t>
            </w:r>
            <w:r w:rsidRPr="00F01347">
              <w:rPr>
                <w:rFonts w:ascii="Verdana" w:hAnsi="Verdana"/>
                <w:b/>
                <w:bCs/>
                <w:sz w:val="16"/>
                <w:szCs w:val="16"/>
                <w:lang w:val="en-US"/>
              </w:rPr>
              <w:t>Average absorbance</w:t>
            </w:r>
          </w:p>
        </w:tc>
      </w:tr>
    </w:tbl>
    <w:p w14:paraId="7A7DCC44" w14:textId="77777777" w:rsidR="00A73918" w:rsidRPr="00F01347" w:rsidRDefault="00A73918" w:rsidP="003A601B">
      <w:pPr>
        <w:pStyle w:val="texto0"/>
        <w:spacing w:line="240" w:lineRule="au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21F8F" w:rsidRPr="00F01347" w14:paraId="40305DEB" w14:textId="46798EC4" w:rsidTr="000F7A03">
        <w:tc>
          <w:tcPr>
            <w:tcW w:w="4675" w:type="dxa"/>
          </w:tcPr>
          <w:p w14:paraId="7835BA13" w14:textId="77777777" w:rsidR="00F21F8F" w:rsidRPr="00F01347" w:rsidRDefault="00F21F8F" w:rsidP="00F21F8F">
            <w:pPr>
              <w:pStyle w:val="texto0"/>
              <w:spacing w:line="228" w:lineRule="exact"/>
              <w:ind w:firstLine="0"/>
              <w:rPr>
                <w:rFonts w:ascii="Verdana" w:hAnsi="Verdana"/>
                <w:sz w:val="16"/>
                <w:szCs w:val="16"/>
              </w:rPr>
            </w:pPr>
            <w:r w:rsidRPr="00F01347">
              <w:rPr>
                <w:rFonts w:ascii="Verdana" w:hAnsi="Verdana"/>
                <w:sz w:val="16"/>
                <w:szCs w:val="16"/>
              </w:rPr>
              <w:t xml:space="preserve">Si </w:t>
            </w:r>
            <w:proofErr w:type="spellStart"/>
            <w:r w:rsidRPr="00F01347">
              <w:rPr>
                <w:rFonts w:ascii="Verdana" w:hAnsi="Verdana"/>
                <w:sz w:val="16"/>
                <w:szCs w:val="16"/>
              </w:rPr>
              <w:t>el</w:t>
            </w:r>
            <w:proofErr w:type="spellEnd"/>
            <w:r w:rsidRPr="00F01347">
              <w:rPr>
                <w:rFonts w:ascii="Verdana" w:hAnsi="Verdana"/>
                <w:sz w:val="16"/>
                <w:szCs w:val="16"/>
              </w:rPr>
              <w:t xml:space="preserve"> %CV excede 15% de la muestra de campo o la muestra de QC (LOW-CV, LRB, LFB, LFSM y LFSMD), entonces la muestra no se considera válida. Note que </w:t>
            </w:r>
            <w:r w:rsidRPr="00F01347">
              <w:rPr>
                <w:rFonts w:ascii="Verdana" w:hAnsi="Verdana"/>
                <w:sz w:val="16"/>
                <w:szCs w:val="16"/>
              </w:rPr>
              <w:lastRenderedPageBreak/>
              <w:t>los pozos réplica de los estándares de calibración deben cumplir un conjunto de criterios diferentes para %CV.</w:t>
            </w:r>
          </w:p>
        </w:tc>
        <w:tc>
          <w:tcPr>
            <w:tcW w:w="4675" w:type="dxa"/>
          </w:tcPr>
          <w:p w14:paraId="4066C8C0" w14:textId="3D8AB338" w:rsidR="00F21F8F" w:rsidRPr="00F01347" w:rsidRDefault="00F21F8F" w:rsidP="00F21F8F">
            <w:pPr>
              <w:pStyle w:val="texto0"/>
              <w:spacing w:line="228" w:lineRule="exact"/>
              <w:ind w:firstLine="0"/>
              <w:rPr>
                <w:rFonts w:ascii="Verdana" w:hAnsi="Verdana"/>
                <w:sz w:val="16"/>
                <w:szCs w:val="16"/>
                <w:lang w:val="en-US"/>
              </w:rPr>
            </w:pPr>
            <w:r w:rsidRPr="00F01347">
              <w:rPr>
                <w:rFonts w:ascii="Verdana" w:hAnsi="Verdana"/>
                <w:sz w:val="16"/>
                <w:szCs w:val="16"/>
                <w:lang w:val="en-US"/>
              </w:rPr>
              <w:lastRenderedPageBreak/>
              <w:t xml:space="preserve">If the %CV exceeds 15% of the field sample or the QC sample (LOW-CV, LRB, LFB, LFSM and LFSMD), then the sample is considered invalid. Note that replicate wells </w:t>
            </w:r>
            <w:r w:rsidRPr="00F01347">
              <w:rPr>
                <w:rFonts w:ascii="Verdana" w:hAnsi="Verdana"/>
                <w:sz w:val="16"/>
                <w:szCs w:val="16"/>
                <w:lang w:val="en-US"/>
              </w:rPr>
              <w:lastRenderedPageBreak/>
              <w:t>for calibration standards must meet a different set of criteria for %CV.</w:t>
            </w:r>
          </w:p>
        </w:tc>
      </w:tr>
      <w:tr w:rsidR="00F21F8F" w:rsidRPr="00F01347" w14:paraId="1AAAA731" w14:textId="7EF68DC7" w:rsidTr="000F7A03">
        <w:tc>
          <w:tcPr>
            <w:tcW w:w="4675" w:type="dxa"/>
          </w:tcPr>
          <w:p w14:paraId="1A8FD352" w14:textId="77777777" w:rsidR="00F21F8F" w:rsidRPr="00F01347" w:rsidRDefault="00F21F8F" w:rsidP="00F21F8F">
            <w:pPr>
              <w:pStyle w:val="texto0"/>
              <w:spacing w:line="228" w:lineRule="exact"/>
              <w:ind w:firstLine="0"/>
              <w:rPr>
                <w:rFonts w:ascii="Verdana" w:hAnsi="Verdana"/>
                <w:sz w:val="16"/>
                <w:szCs w:val="16"/>
              </w:rPr>
            </w:pPr>
            <w:r w:rsidRPr="00F01347">
              <w:rPr>
                <w:rFonts w:ascii="Verdana" w:hAnsi="Verdana"/>
                <w:sz w:val="16"/>
                <w:szCs w:val="16"/>
              </w:rPr>
              <w:lastRenderedPageBreak/>
              <w:t xml:space="preserve">Para cada lote de análisis, preparar, lisar y filtrar un Blanco de reactivo de laboratorio (LRB). El LRB debe contener tiosulfato de sodio si muestras de agua potable se incluyen en el lote de análisis. Analizar el LRB por duplicado colocando un par de pozos réplica en lados opuestos de la placa (cuatro pozos totales). La concentración total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y </w:t>
            </w:r>
            <w:proofErr w:type="spellStart"/>
            <w:r w:rsidRPr="00F01347">
              <w:rPr>
                <w:rFonts w:ascii="Verdana" w:hAnsi="Verdana"/>
                <w:sz w:val="16"/>
                <w:szCs w:val="16"/>
              </w:rPr>
              <w:t>nodularina</w:t>
            </w:r>
            <w:proofErr w:type="spellEnd"/>
            <w:r w:rsidRPr="00F01347">
              <w:rPr>
                <w:rFonts w:ascii="Verdana" w:hAnsi="Verdana"/>
                <w:sz w:val="16"/>
                <w:szCs w:val="16"/>
              </w:rPr>
              <w:t xml:space="preserve"> en cada LRB debe ser inferior a la mitad del MRL. Si la concentración es igual o mayor que este nivel, entonces cualquier muestra con un resultado positivo en el lote de análisis no se considera válida. No se permite restar valores del blanco de los resultados de la muestra.</w:t>
            </w:r>
          </w:p>
        </w:tc>
        <w:tc>
          <w:tcPr>
            <w:tcW w:w="4675" w:type="dxa"/>
          </w:tcPr>
          <w:p w14:paraId="53AA18AF" w14:textId="0D0A438A" w:rsidR="00F21F8F" w:rsidRPr="00F01347" w:rsidRDefault="00F21F8F" w:rsidP="00F21F8F">
            <w:pPr>
              <w:pStyle w:val="texto0"/>
              <w:spacing w:line="228" w:lineRule="exact"/>
              <w:ind w:firstLine="0"/>
              <w:rPr>
                <w:rFonts w:ascii="Verdana" w:hAnsi="Verdana"/>
                <w:sz w:val="16"/>
                <w:szCs w:val="16"/>
              </w:rPr>
            </w:pPr>
            <w:r w:rsidRPr="00F01347">
              <w:rPr>
                <w:rFonts w:ascii="Verdana" w:hAnsi="Verdana"/>
                <w:sz w:val="16"/>
                <w:szCs w:val="16"/>
                <w:lang w:val="en-US"/>
              </w:rPr>
              <w:t>For each assay lot, prepare, lyse, and filter a Laboratory Reagent Blank (LRB). The LRB must contain sodium thiosulfate if drinking water samples are included in the analysis batch. Analyze the LRB in duplicate by placing a pair of replicate wells on opposite sides of the plate (four wells total). The total concentration of microcystin and nodularin in each LRB should be less than half the MRL. If the concentration is equal to or greater than this level, then any sample with a positive result in the test lot is not considered valid. Subtracting blank values from sample results is not permitted.</w:t>
            </w:r>
          </w:p>
        </w:tc>
      </w:tr>
      <w:tr w:rsidR="00F21F8F" w:rsidRPr="00F01347" w14:paraId="708BDBFF" w14:textId="71E53AA8" w:rsidTr="000F7A03">
        <w:tc>
          <w:tcPr>
            <w:tcW w:w="4675" w:type="dxa"/>
          </w:tcPr>
          <w:p w14:paraId="1FDCB155" w14:textId="77777777" w:rsidR="00F21F8F" w:rsidRPr="00F01347" w:rsidRDefault="00F21F8F" w:rsidP="00F21F8F">
            <w:pPr>
              <w:pStyle w:val="texto0"/>
              <w:spacing w:line="222" w:lineRule="exact"/>
              <w:ind w:firstLine="0"/>
              <w:rPr>
                <w:rFonts w:ascii="Verdana" w:hAnsi="Verdana"/>
                <w:sz w:val="16"/>
                <w:szCs w:val="16"/>
              </w:rPr>
            </w:pPr>
            <w:r w:rsidRPr="00F01347">
              <w:rPr>
                <w:rFonts w:ascii="Verdana" w:hAnsi="Verdana"/>
                <w:sz w:val="16"/>
                <w:szCs w:val="16"/>
              </w:rPr>
              <w:t>Con cada lote de análisis, debe analizarse un estándar de verificación de calibración de bajo alcance (LOW-CV). El LOW-CV es un estándar de calibración preparado a una concentración igual o inferior al MRL. Puede utilizarse un estándar de calibración del kit. No debe añadirse tiosulfato de sodio, no lisar y no filtrar el LOW-CV. La concentración analizada en el LOW-CV debe ser mayor o igual al 50% y menor o igual al 150% del valor real. Si el resultado no cumple este criterio, entonces todo el lote de análisis no es válido.</w:t>
            </w:r>
          </w:p>
        </w:tc>
        <w:tc>
          <w:tcPr>
            <w:tcW w:w="4675" w:type="dxa"/>
          </w:tcPr>
          <w:p w14:paraId="02082B9B" w14:textId="5DCDB097" w:rsidR="00F21F8F" w:rsidRPr="00F01347" w:rsidRDefault="00F21F8F" w:rsidP="00F21F8F">
            <w:pPr>
              <w:pStyle w:val="texto0"/>
              <w:spacing w:line="222" w:lineRule="exact"/>
              <w:ind w:firstLine="0"/>
              <w:rPr>
                <w:rFonts w:ascii="Verdana" w:hAnsi="Verdana"/>
                <w:sz w:val="16"/>
                <w:szCs w:val="16"/>
                <w:lang w:val="en-US"/>
              </w:rPr>
            </w:pPr>
            <w:r w:rsidRPr="00F01347">
              <w:rPr>
                <w:rFonts w:ascii="Verdana" w:hAnsi="Verdana"/>
                <w:sz w:val="16"/>
                <w:szCs w:val="16"/>
                <w:lang w:val="en-US"/>
              </w:rPr>
              <w:t xml:space="preserve">With each batch of analysis, a Low Range Calibration Verification (LOW-CV) standard must be analyzed. LOW-CV is a calibration standard prepared at a concentration equal to or less than the MRL. A calibration standard from the kit can be used. Sodium thiosulfate should not be added, LOW-CV should not be </w:t>
            </w:r>
            <w:proofErr w:type="gramStart"/>
            <w:r w:rsidRPr="00F01347">
              <w:rPr>
                <w:rFonts w:ascii="Verdana" w:hAnsi="Verdana"/>
                <w:sz w:val="16"/>
                <w:szCs w:val="16"/>
                <w:lang w:val="en-US"/>
              </w:rPr>
              <w:t>lysed</w:t>
            </w:r>
            <w:proofErr w:type="gramEnd"/>
            <w:r w:rsidRPr="00F01347">
              <w:rPr>
                <w:rFonts w:ascii="Verdana" w:hAnsi="Verdana"/>
                <w:sz w:val="16"/>
                <w:szCs w:val="16"/>
                <w:lang w:val="en-US"/>
              </w:rPr>
              <w:t xml:space="preserve"> or filtered. The concentration analyzed in the LOW-CV must be greater than or equal to 50% and less than or equal to 150% of the real value. If the result does not meet this criterion, then the entire test batch is invalid.</w:t>
            </w:r>
          </w:p>
        </w:tc>
      </w:tr>
      <w:tr w:rsidR="00F21F8F" w:rsidRPr="00F01347" w14:paraId="1ABC95AF" w14:textId="4E5DC38A" w:rsidTr="000F7A03">
        <w:tc>
          <w:tcPr>
            <w:tcW w:w="4675" w:type="dxa"/>
          </w:tcPr>
          <w:p w14:paraId="4083C8D6" w14:textId="77777777" w:rsidR="00F21F8F" w:rsidRPr="00F01347" w:rsidRDefault="00F21F8F" w:rsidP="00F21F8F">
            <w:pPr>
              <w:pStyle w:val="texto0"/>
              <w:spacing w:line="228" w:lineRule="exact"/>
              <w:ind w:firstLine="0"/>
              <w:rPr>
                <w:rFonts w:ascii="Verdana" w:hAnsi="Verdana"/>
                <w:sz w:val="16"/>
                <w:szCs w:val="16"/>
              </w:rPr>
            </w:pPr>
            <w:r w:rsidRPr="00F01347">
              <w:rPr>
                <w:rFonts w:ascii="Verdana" w:hAnsi="Verdana"/>
                <w:sz w:val="16"/>
                <w:szCs w:val="16"/>
              </w:rPr>
              <w:t>Se requieren al menos dos blancos fortificados de laboratorio (LFB), a una concentración idéntica, con cada lote de análisis. Añadir tiosulfato de sodio si muestras de agua potable se incluyen en el lote de análisis. Fortificar el LFB cerca de la EC</w:t>
            </w:r>
            <w:r w:rsidRPr="00F01347">
              <w:rPr>
                <w:rFonts w:ascii="Verdana" w:hAnsi="Verdana"/>
                <w:sz w:val="16"/>
                <w:szCs w:val="16"/>
                <w:vertAlign w:val="subscript"/>
              </w:rPr>
              <w:t>50</w:t>
            </w:r>
            <w:r w:rsidRPr="00F01347">
              <w:rPr>
                <w:rFonts w:ascii="Verdana" w:hAnsi="Verdana"/>
                <w:sz w:val="16"/>
                <w:szCs w:val="16"/>
              </w:rPr>
              <w:t xml:space="preserve"> de la curva de calibración. Lisar y filtrar cada LFB en un vial por separado.</w:t>
            </w:r>
          </w:p>
        </w:tc>
        <w:tc>
          <w:tcPr>
            <w:tcW w:w="4675" w:type="dxa"/>
          </w:tcPr>
          <w:p w14:paraId="7E237081" w14:textId="314D63DF" w:rsidR="00F21F8F" w:rsidRPr="00F01347" w:rsidRDefault="00F21F8F" w:rsidP="00F21F8F">
            <w:pPr>
              <w:pStyle w:val="texto0"/>
              <w:spacing w:line="228" w:lineRule="exact"/>
              <w:ind w:firstLine="0"/>
              <w:rPr>
                <w:rFonts w:ascii="Verdana" w:hAnsi="Verdana"/>
                <w:sz w:val="16"/>
                <w:szCs w:val="16"/>
                <w:lang w:val="en-US"/>
              </w:rPr>
            </w:pPr>
            <w:r w:rsidRPr="00F01347">
              <w:rPr>
                <w:rFonts w:ascii="Verdana" w:hAnsi="Verdana"/>
                <w:sz w:val="16"/>
                <w:szCs w:val="16"/>
                <w:lang w:val="en-US"/>
              </w:rPr>
              <w:t>At least two laboratory fortified blanks (LFBs), at identical concentration, are required with each analytical lot. Add sodium thiosulfate if drinking water samples are included in the analysis batch. Fortify the LFB near EC</w:t>
            </w:r>
            <w:r w:rsidRPr="00F01347">
              <w:rPr>
                <w:rFonts w:ascii="Verdana" w:hAnsi="Verdana"/>
                <w:sz w:val="16"/>
                <w:szCs w:val="16"/>
                <w:vertAlign w:val="subscript"/>
                <w:lang w:val="en-US"/>
              </w:rPr>
              <w:t xml:space="preserve">50 </w:t>
            </w:r>
            <w:r w:rsidRPr="00F01347">
              <w:rPr>
                <w:rFonts w:ascii="Verdana" w:hAnsi="Verdana"/>
                <w:sz w:val="16"/>
                <w:szCs w:val="16"/>
                <w:lang w:val="en-US"/>
              </w:rPr>
              <w:t>of the calibration curve. Lyse and filter each LFB into a separate vial.</w:t>
            </w:r>
          </w:p>
        </w:tc>
      </w:tr>
      <w:tr w:rsidR="00F21F8F" w:rsidRPr="00F01347" w14:paraId="21B802CE" w14:textId="2480CA38" w:rsidTr="000F7A03">
        <w:tc>
          <w:tcPr>
            <w:tcW w:w="4675" w:type="dxa"/>
          </w:tcPr>
          <w:p w14:paraId="4FC7092E" w14:textId="77777777" w:rsidR="00F21F8F" w:rsidRPr="00F01347" w:rsidRDefault="00F21F8F" w:rsidP="00F21F8F">
            <w:pPr>
              <w:pStyle w:val="texto0"/>
              <w:spacing w:line="228" w:lineRule="exact"/>
              <w:ind w:firstLine="0"/>
              <w:rPr>
                <w:rFonts w:ascii="Verdana" w:hAnsi="Verdana"/>
                <w:sz w:val="16"/>
                <w:szCs w:val="16"/>
              </w:rPr>
            </w:pPr>
            <w:r w:rsidRPr="00F01347">
              <w:rPr>
                <w:rFonts w:ascii="Verdana" w:hAnsi="Verdana"/>
                <w:sz w:val="16"/>
                <w:szCs w:val="16"/>
              </w:rPr>
              <w:t>Como criterio de aceptación para el LFB, el porcentaje de recuperación para cada LFB debe ser mayor o igual a 60% y menor o igual a 140% del valor real. Si el LFB no cumple este criterio, entonces todo el lote de análisis no se considera válido.</w:t>
            </w:r>
          </w:p>
        </w:tc>
        <w:tc>
          <w:tcPr>
            <w:tcW w:w="4675" w:type="dxa"/>
          </w:tcPr>
          <w:p w14:paraId="7BDA7B77" w14:textId="0E9B6910" w:rsidR="00F21F8F" w:rsidRPr="00F01347" w:rsidRDefault="00F21F8F" w:rsidP="00F21F8F">
            <w:pPr>
              <w:pStyle w:val="texto0"/>
              <w:spacing w:line="228" w:lineRule="exact"/>
              <w:ind w:firstLine="0"/>
              <w:rPr>
                <w:rFonts w:ascii="Verdana" w:hAnsi="Verdana"/>
                <w:sz w:val="16"/>
                <w:szCs w:val="16"/>
                <w:lang w:val="en-US"/>
              </w:rPr>
            </w:pPr>
            <w:r w:rsidRPr="00F01347">
              <w:rPr>
                <w:rFonts w:ascii="Verdana" w:hAnsi="Verdana"/>
                <w:sz w:val="16"/>
                <w:szCs w:val="16"/>
                <w:lang w:val="en-US"/>
              </w:rPr>
              <w:t>As an acceptance criterion for the LFB, the recovery percentage for each LFB must be greater than or equal to 60% and less than or equal to 140% of the true value. If the LFB does not meet this criterion, then the entire analysis batch is not considered valid.</w:t>
            </w:r>
          </w:p>
        </w:tc>
      </w:tr>
      <w:tr w:rsidR="00F21F8F" w:rsidRPr="00F01347" w14:paraId="42614CAD" w14:textId="79429129" w:rsidTr="000F7A03">
        <w:tc>
          <w:tcPr>
            <w:tcW w:w="4675" w:type="dxa"/>
          </w:tcPr>
          <w:p w14:paraId="2B504B30" w14:textId="77777777" w:rsidR="00F21F8F" w:rsidRPr="00F01347" w:rsidRDefault="00F21F8F" w:rsidP="00F21F8F">
            <w:pPr>
              <w:pStyle w:val="texto0"/>
              <w:spacing w:line="228" w:lineRule="exact"/>
              <w:ind w:firstLine="0"/>
              <w:rPr>
                <w:rFonts w:ascii="Verdana" w:hAnsi="Verdana"/>
                <w:sz w:val="16"/>
                <w:szCs w:val="16"/>
              </w:rPr>
            </w:pPr>
            <w:r w:rsidRPr="00F01347">
              <w:rPr>
                <w:rFonts w:ascii="Verdana" w:hAnsi="Verdana"/>
                <w:sz w:val="16"/>
                <w:szCs w:val="16"/>
              </w:rPr>
              <w:t>Se requiere un conjunto de matriz de muestra fortificada en laboratorio (LFSM) y duplicado de la matriz de muestra fortificada en laboratorio (LFSMD) con cada lote de análisis en una muestra de agua de uso y consumo humano, sin embargo, si más de 20 muestras de agua están presentes en el lote de análisis, entonces se requieren dos conjuntos. De la misma manera, se requiere un conjunto LFSM y LFSMD con cada lote de análisis en una muestra de agua antes de la entrada al sistema de tratamiento, sin embargo, si hay más de 20 muestras de agua en el lote de análisis, entonces se requieren dos conjuntos. La concentración nativa en la muestra debe determinarse en una muestra de campo de manera independiente. En la rutina de trabajo, distribuya los LFSM entre las diversas fuentes de agua de uso y consumo humano (antes y después del tratamiento).</w:t>
            </w:r>
          </w:p>
        </w:tc>
        <w:tc>
          <w:tcPr>
            <w:tcW w:w="4675" w:type="dxa"/>
          </w:tcPr>
          <w:p w14:paraId="09C7C344" w14:textId="016F5DFD" w:rsidR="00F21F8F" w:rsidRPr="00F01347" w:rsidRDefault="00F21F8F" w:rsidP="00F21F8F">
            <w:pPr>
              <w:pStyle w:val="texto0"/>
              <w:spacing w:line="228" w:lineRule="exact"/>
              <w:ind w:firstLine="0"/>
              <w:rPr>
                <w:rFonts w:ascii="Verdana" w:hAnsi="Verdana"/>
                <w:sz w:val="16"/>
                <w:szCs w:val="16"/>
                <w:lang w:val="en-US"/>
              </w:rPr>
            </w:pPr>
            <w:r w:rsidRPr="00F01347">
              <w:rPr>
                <w:rFonts w:ascii="Verdana" w:hAnsi="Verdana"/>
                <w:sz w:val="16"/>
                <w:szCs w:val="16"/>
                <w:lang w:val="en-US"/>
              </w:rPr>
              <w:t xml:space="preserve">One set of laboratory fortified sample matrix (LFSM) and duplicate laboratory fortified sample matrix (LFSMD) is required with each batch of analysis in a human use water sample, however, if more than 20 water samples are present in the analysis batch, then two sets are required. Likewise, an LFSM and LFSMD set is required with each analysis batch on a water sample prior to entry to the treatment system, however, if there are more than 20 water samples in the analysis batch, then require two sets. The native concentration in the sample must be determined in a field sample independently. In </w:t>
            </w:r>
            <w:r w:rsidR="004A6BE5" w:rsidRPr="00F01347">
              <w:rPr>
                <w:rFonts w:ascii="Verdana" w:hAnsi="Verdana"/>
                <w:sz w:val="16"/>
                <w:szCs w:val="16"/>
                <w:lang w:val="en-US"/>
              </w:rPr>
              <w:t>one</w:t>
            </w:r>
            <w:r w:rsidRPr="00F01347">
              <w:rPr>
                <w:rFonts w:ascii="Verdana" w:hAnsi="Verdana"/>
                <w:sz w:val="16"/>
                <w:szCs w:val="16"/>
                <w:lang w:val="en-US"/>
              </w:rPr>
              <w:t>r work routine, distribute the LFSM among the various sources of water for human use and consumption (before and after treatment).</w:t>
            </w:r>
          </w:p>
        </w:tc>
      </w:tr>
      <w:tr w:rsidR="00F21F8F" w:rsidRPr="00F01347" w14:paraId="5ED4861F" w14:textId="5B133FD4" w:rsidTr="000F7A03">
        <w:tc>
          <w:tcPr>
            <w:tcW w:w="4675" w:type="dxa"/>
          </w:tcPr>
          <w:p w14:paraId="29C75354" w14:textId="77777777" w:rsidR="00F21F8F" w:rsidRPr="00F01347" w:rsidRDefault="00F21F8F" w:rsidP="00F21F8F">
            <w:pPr>
              <w:pStyle w:val="texto0"/>
              <w:spacing w:line="228" w:lineRule="exact"/>
              <w:ind w:firstLine="0"/>
              <w:rPr>
                <w:rFonts w:ascii="Verdana" w:hAnsi="Verdana"/>
                <w:sz w:val="16"/>
                <w:szCs w:val="16"/>
              </w:rPr>
            </w:pPr>
            <w:r w:rsidRPr="00F01347">
              <w:rPr>
                <w:rFonts w:ascii="Verdana" w:hAnsi="Verdana"/>
                <w:sz w:val="16"/>
                <w:szCs w:val="16"/>
              </w:rPr>
              <w:lastRenderedPageBreak/>
              <w:t xml:space="preserve">Se requieren tres alícuotas separadas de una muestra de campo para determinar la concentración nativa y para preparar el LFSM y el LFSMD. Preparar el LFSM y LFSMD fortificando dos alícuotas de la misma muestra de campo con una cantidad apropiada de MC-LR. Si está congelado, descongelar las muestras. Mezclar bien para homogeneizar la muestra antes de distribuir en los tres viales. Elija una concentración tal que el resultado de la </w:t>
            </w:r>
            <w:proofErr w:type="spellStart"/>
            <w:r w:rsidRPr="00F01347">
              <w:rPr>
                <w:rFonts w:ascii="Verdana" w:hAnsi="Verdana"/>
                <w:sz w:val="16"/>
                <w:szCs w:val="16"/>
              </w:rPr>
              <w:t>microcistina</w:t>
            </w:r>
            <w:proofErr w:type="spellEnd"/>
            <w:r w:rsidRPr="00F01347">
              <w:rPr>
                <w:rFonts w:ascii="Verdana" w:hAnsi="Verdana"/>
                <w:sz w:val="16"/>
                <w:szCs w:val="16"/>
              </w:rPr>
              <w:t xml:space="preserve"> total y la </w:t>
            </w:r>
            <w:proofErr w:type="spellStart"/>
            <w:r w:rsidRPr="00F01347">
              <w:rPr>
                <w:rFonts w:ascii="Verdana" w:hAnsi="Verdana"/>
                <w:sz w:val="16"/>
                <w:szCs w:val="16"/>
              </w:rPr>
              <w:t>nodularina</w:t>
            </w:r>
            <w:proofErr w:type="spellEnd"/>
            <w:r w:rsidRPr="00F01347">
              <w:rPr>
                <w:rFonts w:ascii="Verdana" w:hAnsi="Verdana"/>
                <w:sz w:val="16"/>
                <w:szCs w:val="16"/>
              </w:rPr>
              <w:t xml:space="preserve"> se encuentre cerca de la EC</w:t>
            </w:r>
            <w:r w:rsidRPr="00F01347">
              <w:rPr>
                <w:rFonts w:ascii="Verdana" w:hAnsi="Verdana"/>
                <w:sz w:val="16"/>
                <w:szCs w:val="16"/>
                <w:vertAlign w:val="subscript"/>
              </w:rPr>
              <w:t>50</w:t>
            </w:r>
            <w:r w:rsidRPr="00F01347">
              <w:rPr>
                <w:rFonts w:ascii="Verdana" w:hAnsi="Verdana"/>
                <w:sz w:val="16"/>
                <w:szCs w:val="16"/>
              </w:rPr>
              <w:t xml:space="preserve"> de la curva de calibración y fortifique al menos el doble de la concentración nativa, si se conoce. Lisar y filtrar las muestras, o si las muestras fueron congeladas, completar dos ciclos más de lisis.</w:t>
            </w:r>
          </w:p>
        </w:tc>
        <w:tc>
          <w:tcPr>
            <w:tcW w:w="4675" w:type="dxa"/>
          </w:tcPr>
          <w:p w14:paraId="0C84A154" w14:textId="2C4277DD" w:rsidR="00F21F8F" w:rsidRPr="00F01347" w:rsidRDefault="00F21F8F" w:rsidP="00F21F8F">
            <w:pPr>
              <w:pStyle w:val="texto0"/>
              <w:spacing w:line="228" w:lineRule="exact"/>
              <w:ind w:firstLine="0"/>
              <w:rPr>
                <w:rFonts w:ascii="Verdana" w:hAnsi="Verdana"/>
                <w:sz w:val="16"/>
                <w:szCs w:val="16"/>
                <w:lang w:val="en-US"/>
              </w:rPr>
            </w:pPr>
            <w:r w:rsidRPr="00F01347">
              <w:rPr>
                <w:rFonts w:ascii="Verdana" w:hAnsi="Verdana"/>
                <w:sz w:val="16"/>
                <w:szCs w:val="16"/>
                <w:lang w:val="en-US"/>
              </w:rPr>
              <w:t xml:space="preserve">Three separate aliquots of a field sample are required to determine the native concentration and to prepare the LFSM and LFSMD. Prepare the LFSM and LFSMD by fortifying two aliquots of the same field sample with an appropriate amount of MC-LR. If frozen, thaw samples. Mix well to homogenize the sample before </w:t>
            </w:r>
            <w:r w:rsidR="00AA47A3" w:rsidRPr="00F01347">
              <w:rPr>
                <w:rFonts w:ascii="Verdana" w:hAnsi="Verdana"/>
                <w:sz w:val="16"/>
                <w:szCs w:val="16"/>
                <w:lang w:val="en-US"/>
              </w:rPr>
              <w:t>distributing it</w:t>
            </w:r>
            <w:r w:rsidRPr="00F01347">
              <w:rPr>
                <w:rFonts w:ascii="Verdana" w:hAnsi="Verdana"/>
                <w:sz w:val="16"/>
                <w:szCs w:val="16"/>
                <w:lang w:val="en-US"/>
              </w:rPr>
              <w:t xml:space="preserve"> into the three vials. Choose a concentration such that the total microcystin and nodularin result is close to the EC </w:t>
            </w:r>
            <w:r w:rsidRPr="00F01347">
              <w:rPr>
                <w:rFonts w:ascii="Verdana" w:hAnsi="Verdana"/>
                <w:sz w:val="16"/>
                <w:szCs w:val="16"/>
                <w:vertAlign w:val="subscript"/>
                <w:lang w:val="en-US"/>
              </w:rPr>
              <w:t xml:space="preserve">50 </w:t>
            </w:r>
            <w:r w:rsidRPr="00F01347">
              <w:rPr>
                <w:rFonts w:ascii="Verdana" w:hAnsi="Verdana"/>
                <w:sz w:val="16"/>
                <w:szCs w:val="16"/>
                <w:lang w:val="en-US"/>
              </w:rPr>
              <w:t>of the calibration curve and fortify at least twice the native concentration, if known. Lyse and filter the samples, or if the samples were frozen, complete two more lysis cycles.</w:t>
            </w:r>
          </w:p>
        </w:tc>
      </w:tr>
      <w:tr w:rsidR="00F21F8F" w:rsidRPr="00F01347" w14:paraId="5F1F6F78" w14:textId="4EEB720A" w:rsidTr="000F7A03">
        <w:tc>
          <w:tcPr>
            <w:tcW w:w="4675" w:type="dxa"/>
          </w:tcPr>
          <w:p w14:paraId="1A2A2D7A" w14:textId="77777777" w:rsidR="00F21F8F" w:rsidRPr="00F01347" w:rsidRDefault="00F21F8F" w:rsidP="00F21F8F">
            <w:pPr>
              <w:pStyle w:val="texto0"/>
              <w:spacing w:line="230" w:lineRule="exact"/>
              <w:ind w:firstLine="0"/>
              <w:rPr>
                <w:rFonts w:ascii="Verdana" w:hAnsi="Verdana"/>
                <w:sz w:val="16"/>
                <w:szCs w:val="16"/>
              </w:rPr>
            </w:pPr>
            <w:r w:rsidRPr="00F01347">
              <w:rPr>
                <w:rFonts w:ascii="Verdana" w:hAnsi="Verdana"/>
                <w:sz w:val="16"/>
                <w:szCs w:val="16"/>
              </w:rPr>
              <w:t>Si no se conoce la concentración en este tipo de muestras de agua, seleccione aleatoriamente las muestras y fortifique con aproximadamente 1.0µg/L de MC-LR. Si la concentración inicial en los LFSM seleccionados al azar es alta, el resultado de la muestra fortificada puede caer fuera del intervalo de la calibración de ELISA, o fallar en cumplir el requisito de fortificar a una concentración al menos dos veces del valor nativo. En estos casos, los resultados del control de calidad se consideran inutilizables y pueden descartarse. Sin embargo, el laboratorio debe intentar recolectar datos válidos de LFSM con el tiempo para este tipo de muestras de agua.</w:t>
            </w:r>
          </w:p>
        </w:tc>
        <w:tc>
          <w:tcPr>
            <w:tcW w:w="4675" w:type="dxa"/>
          </w:tcPr>
          <w:p w14:paraId="3982C678" w14:textId="68A3741A" w:rsidR="00F21F8F" w:rsidRPr="00F01347" w:rsidRDefault="00F21F8F" w:rsidP="00F21F8F">
            <w:pPr>
              <w:pStyle w:val="texto0"/>
              <w:spacing w:line="230" w:lineRule="exact"/>
              <w:ind w:firstLine="0"/>
              <w:rPr>
                <w:rFonts w:ascii="Verdana" w:hAnsi="Verdana"/>
                <w:sz w:val="16"/>
                <w:szCs w:val="16"/>
                <w:lang w:val="en-US"/>
              </w:rPr>
            </w:pPr>
            <w:r w:rsidRPr="00F01347">
              <w:rPr>
                <w:rFonts w:ascii="Verdana" w:hAnsi="Verdana"/>
                <w:sz w:val="16"/>
                <w:szCs w:val="16"/>
                <w:lang w:val="en-US"/>
              </w:rPr>
              <w:t xml:space="preserve">If the concentration is not known in this type of water samples, randomly select the samples and fortify with approximately 1.0µg/L of MC-LR. If the initial concentration in the randomly selected LFSMs is high, the result of the fortified sample may fall outside the range of the ELISA </w:t>
            </w:r>
            <w:r w:rsidR="00AA47A3" w:rsidRPr="00F01347">
              <w:rPr>
                <w:rFonts w:ascii="Verdana" w:hAnsi="Verdana"/>
                <w:sz w:val="16"/>
                <w:szCs w:val="16"/>
                <w:lang w:val="en-US"/>
              </w:rPr>
              <w:t>calibration or</w:t>
            </w:r>
            <w:r w:rsidRPr="00F01347">
              <w:rPr>
                <w:rFonts w:ascii="Verdana" w:hAnsi="Verdana"/>
                <w:sz w:val="16"/>
                <w:szCs w:val="16"/>
                <w:lang w:val="en-US"/>
              </w:rPr>
              <w:t xml:space="preserve"> fail to meet the requirement to fortify at a concentration at least twice the native value. In these cases, the quality control results are considered unusable and may be discarded. However, the laboratory should attempt to collect valid LFSM data over time for these types of water samples.</w:t>
            </w:r>
          </w:p>
        </w:tc>
      </w:tr>
      <w:tr w:rsidR="00F21F8F" w:rsidRPr="00F01347" w14:paraId="4127FE1F" w14:textId="6B191D12" w:rsidTr="000F7A03">
        <w:tc>
          <w:tcPr>
            <w:tcW w:w="4675" w:type="dxa"/>
          </w:tcPr>
          <w:p w14:paraId="540439BE" w14:textId="77777777" w:rsidR="00F21F8F" w:rsidRPr="00F01347" w:rsidRDefault="00F21F8F" w:rsidP="00F21F8F">
            <w:pPr>
              <w:pStyle w:val="texto0"/>
              <w:spacing w:line="230" w:lineRule="exact"/>
              <w:ind w:firstLine="0"/>
              <w:rPr>
                <w:rFonts w:ascii="Verdana" w:hAnsi="Verdana"/>
                <w:sz w:val="16"/>
                <w:szCs w:val="16"/>
              </w:rPr>
            </w:pPr>
            <w:r w:rsidRPr="00F01347">
              <w:rPr>
                <w:rFonts w:ascii="Verdana" w:hAnsi="Verdana"/>
                <w:sz w:val="16"/>
                <w:szCs w:val="16"/>
              </w:rPr>
              <w:t>Cálculo del porcentaje promedio de recuperación - Calcular el porcentaje promedio de recuperación (%R) para cada conjunto de LFSM y LFSMD utilizando la siguiente ecuación:</w:t>
            </w:r>
          </w:p>
        </w:tc>
        <w:tc>
          <w:tcPr>
            <w:tcW w:w="4675" w:type="dxa"/>
          </w:tcPr>
          <w:p w14:paraId="3D7D3A3E" w14:textId="42487EF4" w:rsidR="00F21F8F" w:rsidRPr="00F01347" w:rsidRDefault="00F21F8F" w:rsidP="00F21F8F">
            <w:pPr>
              <w:pStyle w:val="texto0"/>
              <w:spacing w:line="230" w:lineRule="exact"/>
              <w:ind w:firstLine="0"/>
              <w:rPr>
                <w:rFonts w:ascii="Verdana" w:hAnsi="Verdana"/>
                <w:sz w:val="16"/>
                <w:szCs w:val="16"/>
                <w:lang w:val="en-US"/>
              </w:rPr>
            </w:pPr>
            <w:r w:rsidRPr="00F01347">
              <w:rPr>
                <w:rFonts w:ascii="Verdana" w:hAnsi="Verdana"/>
                <w:sz w:val="16"/>
                <w:szCs w:val="16"/>
                <w:lang w:val="en-US"/>
              </w:rPr>
              <w:t>Calculation of average percent recovery - Calculate the average percent recovery (%R) for each set of LFSM and LFSMD using the following equation:</w:t>
            </w:r>
          </w:p>
        </w:tc>
      </w:tr>
    </w:tbl>
    <w:p w14:paraId="50CA4B13" w14:textId="7E0F4A99" w:rsidR="00A74CDF" w:rsidRPr="00F01347" w:rsidRDefault="00471638" w:rsidP="00F21F8F">
      <w:pPr>
        <w:pStyle w:val="texto0"/>
        <w:spacing w:line="240" w:lineRule="auto"/>
        <w:ind w:left="540" w:firstLine="0"/>
        <w:jc w:val="center"/>
        <w:rPr>
          <w:rFonts w:ascii="Verdana" w:hAnsi="Verdana"/>
          <w:sz w:val="16"/>
          <w:szCs w:val="16"/>
        </w:rPr>
      </w:pPr>
      <w:r w:rsidRPr="00F01347">
        <w:rPr>
          <w:rFonts w:ascii="Verdana" w:hAnsi="Verdana"/>
          <w:noProof/>
          <w:sz w:val="16"/>
          <w:szCs w:val="16"/>
        </w:rPr>
        <w:drawing>
          <wp:inline distT="0" distB="0" distL="0" distR="0" wp14:anchorId="1E54FADB" wp14:editId="44AEB980">
            <wp:extent cx="1257300" cy="304800"/>
            <wp:effectExtent l="0" t="0" r="0" b="0"/>
            <wp:docPr id="1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57300" cy="3048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A1C5D" w:rsidRPr="00F01347" w14:paraId="6A8D6B9C" w14:textId="734A7FAA" w:rsidTr="00A2080E">
        <w:tc>
          <w:tcPr>
            <w:tcW w:w="4675" w:type="dxa"/>
          </w:tcPr>
          <w:p w14:paraId="1A848FCD" w14:textId="77777777" w:rsidR="002A1C5D" w:rsidRPr="00F01347" w:rsidRDefault="002A1C5D" w:rsidP="002A1C5D">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0C109E63" w14:textId="7C939EDF" w:rsidR="002A1C5D" w:rsidRPr="00F01347" w:rsidRDefault="002A1C5D" w:rsidP="002A1C5D">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2A1C5D" w:rsidRPr="00F01347" w14:paraId="40B66830" w14:textId="0F194431" w:rsidTr="00A2080E">
        <w:tc>
          <w:tcPr>
            <w:tcW w:w="4675" w:type="dxa"/>
          </w:tcPr>
          <w:p w14:paraId="4E662C18" w14:textId="77777777" w:rsidR="002A1C5D" w:rsidRPr="00F01347" w:rsidRDefault="002A1C5D" w:rsidP="002A1C5D">
            <w:pPr>
              <w:pStyle w:val="texto0"/>
              <w:ind w:firstLine="0"/>
              <w:rPr>
                <w:rFonts w:ascii="Verdana" w:hAnsi="Verdana"/>
                <w:sz w:val="16"/>
                <w:szCs w:val="16"/>
              </w:rPr>
            </w:pPr>
            <w:r w:rsidRPr="00F01347">
              <w:rPr>
                <w:rFonts w:ascii="Verdana" w:hAnsi="Verdana"/>
                <w:sz w:val="16"/>
                <w:szCs w:val="16"/>
              </w:rPr>
              <w:t>A</w:t>
            </w:r>
            <w:r w:rsidRPr="00F01347">
              <w:rPr>
                <w:rFonts w:ascii="Verdana" w:hAnsi="Verdana"/>
                <w:sz w:val="16"/>
                <w:szCs w:val="16"/>
              </w:rPr>
              <w:tab/>
              <w:t>concentración determinada promedio del LFSM y LFSMD</w:t>
            </w:r>
          </w:p>
        </w:tc>
        <w:tc>
          <w:tcPr>
            <w:tcW w:w="4675" w:type="dxa"/>
          </w:tcPr>
          <w:p w14:paraId="5759C9B1" w14:textId="2A76985B" w:rsidR="002A1C5D" w:rsidRPr="00F01347" w:rsidRDefault="002A1C5D" w:rsidP="002A1C5D">
            <w:pPr>
              <w:pStyle w:val="texto0"/>
              <w:ind w:firstLine="0"/>
              <w:rPr>
                <w:rFonts w:ascii="Verdana" w:hAnsi="Verdana"/>
                <w:sz w:val="16"/>
                <w:szCs w:val="16"/>
                <w:lang w:val="en-US"/>
              </w:rPr>
            </w:pPr>
            <w:r w:rsidRPr="00F01347">
              <w:rPr>
                <w:rFonts w:ascii="Verdana" w:hAnsi="Verdana"/>
                <w:sz w:val="16"/>
                <w:szCs w:val="16"/>
                <w:lang w:val="en-US"/>
              </w:rPr>
              <w:t xml:space="preserve">A </w:t>
            </w:r>
            <w:r w:rsidRPr="00F01347">
              <w:rPr>
                <w:rFonts w:ascii="Verdana" w:hAnsi="Verdana"/>
                <w:sz w:val="16"/>
                <w:szCs w:val="16"/>
                <w:lang w:val="en-US"/>
              </w:rPr>
              <w:tab/>
              <w:t>determined average concentration of the LFSM and LFSMD</w:t>
            </w:r>
          </w:p>
        </w:tc>
      </w:tr>
      <w:tr w:rsidR="002A1C5D" w:rsidRPr="00F01347" w14:paraId="7F00C571" w14:textId="6E51FC2B" w:rsidTr="00A2080E">
        <w:tc>
          <w:tcPr>
            <w:tcW w:w="4675" w:type="dxa"/>
          </w:tcPr>
          <w:p w14:paraId="30C7E09D" w14:textId="77777777" w:rsidR="002A1C5D" w:rsidRPr="00F01347" w:rsidRDefault="002A1C5D" w:rsidP="002A1C5D">
            <w:pPr>
              <w:pStyle w:val="texto0"/>
              <w:ind w:firstLine="0"/>
              <w:rPr>
                <w:rFonts w:ascii="Verdana" w:hAnsi="Verdana"/>
                <w:sz w:val="16"/>
                <w:szCs w:val="16"/>
              </w:rPr>
            </w:pPr>
            <w:r w:rsidRPr="00F01347">
              <w:rPr>
                <w:rFonts w:ascii="Verdana" w:hAnsi="Verdana"/>
                <w:sz w:val="16"/>
                <w:szCs w:val="16"/>
              </w:rPr>
              <w:t>B</w:t>
            </w:r>
            <w:r w:rsidRPr="00F01347">
              <w:rPr>
                <w:rFonts w:ascii="Verdana" w:hAnsi="Verdana"/>
                <w:sz w:val="16"/>
                <w:szCs w:val="16"/>
              </w:rPr>
              <w:tab/>
              <w:t>concentración determinada en la muestra sin fortificar</w:t>
            </w:r>
          </w:p>
        </w:tc>
        <w:tc>
          <w:tcPr>
            <w:tcW w:w="4675" w:type="dxa"/>
          </w:tcPr>
          <w:p w14:paraId="5A43F8F4" w14:textId="0E733DE8" w:rsidR="002A1C5D" w:rsidRPr="00F01347" w:rsidRDefault="002A1C5D" w:rsidP="002A1C5D">
            <w:pPr>
              <w:pStyle w:val="texto0"/>
              <w:ind w:firstLine="0"/>
              <w:rPr>
                <w:rFonts w:ascii="Verdana" w:hAnsi="Verdana"/>
                <w:sz w:val="16"/>
                <w:szCs w:val="16"/>
                <w:lang w:val="en-US"/>
              </w:rPr>
            </w:pPr>
            <w:r w:rsidRPr="00F01347">
              <w:rPr>
                <w:rFonts w:ascii="Verdana" w:hAnsi="Verdana"/>
                <w:sz w:val="16"/>
                <w:szCs w:val="16"/>
                <w:lang w:val="en-US"/>
              </w:rPr>
              <w:t xml:space="preserve">B </w:t>
            </w:r>
            <w:r w:rsidRPr="00F01347">
              <w:rPr>
                <w:rFonts w:ascii="Verdana" w:hAnsi="Verdana"/>
                <w:sz w:val="16"/>
                <w:szCs w:val="16"/>
                <w:lang w:val="en-US"/>
              </w:rPr>
              <w:tab/>
              <w:t>concentration determined in the unfortified sample</w:t>
            </w:r>
          </w:p>
        </w:tc>
      </w:tr>
      <w:tr w:rsidR="002A1C5D" w:rsidRPr="00F01347" w14:paraId="29B89828" w14:textId="56E37F79" w:rsidTr="00A2080E">
        <w:tc>
          <w:tcPr>
            <w:tcW w:w="4675" w:type="dxa"/>
          </w:tcPr>
          <w:p w14:paraId="5BA37B28" w14:textId="77777777" w:rsidR="002A1C5D" w:rsidRPr="00F01347" w:rsidRDefault="002A1C5D" w:rsidP="002A1C5D">
            <w:pPr>
              <w:pStyle w:val="texto0"/>
              <w:ind w:firstLine="0"/>
              <w:rPr>
                <w:rFonts w:ascii="Verdana" w:hAnsi="Verdana"/>
                <w:sz w:val="16"/>
                <w:szCs w:val="16"/>
              </w:rPr>
            </w:pPr>
            <w:r w:rsidRPr="00F01347">
              <w:rPr>
                <w:rFonts w:ascii="Verdana" w:hAnsi="Verdana"/>
                <w:sz w:val="16"/>
                <w:szCs w:val="16"/>
              </w:rPr>
              <w:t>C</w:t>
            </w:r>
            <w:r w:rsidRPr="00F01347">
              <w:rPr>
                <w:rFonts w:ascii="Verdana" w:hAnsi="Verdana"/>
                <w:sz w:val="16"/>
                <w:szCs w:val="16"/>
              </w:rPr>
              <w:tab/>
              <w:t>concentración fortificada</w:t>
            </w:r>
          </w:p>
        </w:tc>
        <w:tc>
          <w:tcPr>
            <w:tcW w:w="4675" w:type="dxa"/>
          </w:tcPr>
          <w:p w14:paraId="709E1E1E" w14:textId="761A9464" w:rsidR="002A1C5D" w:rsidRPr="00F01347" w:rsidRDefault="002A1C5D" w:rsidP="002A1C5D">
            <w:pPr>
              <w:pStyle w:val="texto0"/>
              <w:ind w:firstLine="0"/>
              <w:rPr>
                <w:rFonts w:ascii="Verdana" w:hAnsi="Verdana"/>
                <w:sz w:val="16"/>
                <w:szCs w:val="16"/>
                <w:lang w:val="en-US"/>
              </w:rPr>
            </w:pPr>
            <w:r w:rsidRPr="00F01347">
              <w:rPr>
                <w:rFonts w:ascii="Verdana" w:hAnsi="Verdana"/>
                <w:sz w:val="16"/>
                <w:szCs w:val="16"/>
                <w:lang w:val="en-US"/>
              </w:rPr>
              <w:t xml:space="preserve">C </w:t>
            </w:r>
            <w:r w:rsidRPr="00F01347">
              <w:rPr>
                <w:rFonts w:ascii="Verdana" w:hAnsi="Verdana"/>
                <w:sz w:val="16"/>
                <w:szCs w:val="16"/>
                <w:lang w:val="en-US"/>
              </w:rPr>
              <w:tab/>
              <w:t>fortified concentration</w:t>
            </w:r>
          </w:p>
        </w:tc>
      </w:tr>
      <w:tr w:rsidR="002A1C5D" w:rsidRPr="00F01347" w14:paraId="2C25A0F9" w14:textId="65CB43B4" w:rsidTr="00A2080E">
        <w:tc>
          <w:tcPr>
            <w:tcW w:w="4675" w:type="dxa"/>
          </w:tcPr>
          <w:p w14:paraId="29B1FC37" w14:textId="77777777" w:rsidR="002A1C5D" w:rsidRPr="00F01347" w:rsidRDefault="002A1C5D" w:rsidP="002A1C5D">
            <w:pPr>
              <w:pStyle w:val="texto0"/>
              <w:spacing w:line="230" w:lineRule="exact"/>
              <w:ind w:firstLine="0"/>
              <w:rPr>
                <w:rFonts w:ascii="Verdana" w:hAnsi="Verdana"/>
                <w:sz w:val="16"/>
                <w:szCs w:val="16"/>
              </w:rPr>
            </w:pPr>
            <w:r w:rsidRPr="00F01347">
              <w:rPr>
                <w:rFonts w:ascii="Verdana" w:hAnsi="Verdana"/>
                <w:sz w:val="16"/>
                <w:szCs w:val="16"/>
              </w:rPr>
              <w:t>Para obtener resultados significativos del porcentaje de recuperación, se debe corregir el valor promedio del LFSM y LFSMD para la concentración nativa en la muestra no fortificada, incluso si el valor nativo es menor que el MRL.</w:t>
            </w:r>
          </w:p>
        </w:tc>
        <w:tc>
          <w:tcPr>
            <w:tcW w:w="4675" w:type="dxa"/>
          </w:tcPr>
          <w:p w14:paraId="41F13EAF" w14:textId="74BBB97C" w:rsidR="002A1C5D" w:rsidRPr="00F01347" w:rsidRDefault="002A1C5D" w:rsidP="002A1C5D">
            <w:pPr>
              <w:pStyle w:val="texto0"/>
              <w:spacing w:line="230" w:lineRule="exact"/>
              <w:ind w:firstLine="0"/>
              <w:rPr>
                <w:rFonts w:ascii="Verdana" w:hAnsi="Verdana"/>
                <w:sz w:val="16"/>
                <w:szCs w:val="16"/>
                <w:lang w:val="en-US"/>
              </w:rPr>
            </w:pPr>
            <w:r w:rsidRPr="00F01347">
              <w:rPr>
                <w:rFonts w:ascii="Verdana" w:hAnsi="Verdana"/>
                <w:sz w:val="16"/>
                <w:szCs w:val="16"/>
                <w:lang w:val="en-US"/>
              </w:rPr>
              <w:t>To obtain meaningful percent recovery results, the average value of the LFSM and LFSMD must be corrected for the native concentration in the unfortified sample, even if the native value is less than the MRL.</w:t>
            </w:r>
          </w:p>
        </w:tc>
      </w:tr>
      <w:tr w:rsidR="002A1C5D" w:rsidRPr="00F01347" w14:paraId="3E8E7EE9" w14:textId="1FE3AE1C" w:rsidTr="00A2080E">
        <w:tc>
          <w:tcPr>
            <w:tcW w:w="4675" w:type="dxa"/>
          </w:tcPr>
          <w:p w14:paraId="3A9D45E0" w14:textId="77777777" w:rsidR="002A1C5D" w:rsidRPr="00F01347" w:rsidRDefault="002A1C5D" w:rsidP="002A1C5D">
            <w:pPr>
              <w:pStyle w:val="texto0"/>
              <w:ind w:firstLine="0"/>
              <w:rPr>
                <w:rFonts w:ascii="Verdana" w:hAnsi="Verdana"/>
                <w:sz w:val="16"/>
                <w:szCs w:val="16"/>
              </w:rPr>
            </w:pPr>
            <w:r w:rsidRPr="00F01347">
              <w:rPr>
                <w:rFonts w:ascii="Verdana" w:hAnsi="Verdana"/>
                <w:sz w:val="16"/>
                <w:szCs w:val="16"/>
              </w:rPr>
              <w:t>El porcentaje promedio de recuperación para cada conjunto LFSM y LFSMD debe ser mayor o igual al 60% y menor o igual al 140% del valor real. Si el porcentaje de recuperación queda fuera de este intervalo, y el rendimiento del laboratorio está en control de los LFB dentro del mismo lote de análisis, la recuperación puede tener un sesgo de matriz. Calificar el resultado para la muestra de la cual se preparó el LFSM como "matriz sospechosa".</w:t>
            </w:r>
          </w:p>
        </w:tc>
        <w:tc>
          <w:tcPr>
            <w:tcW w:w="4675" w:type="dxa"/>
          </w:tcPr>
          <w:p w14:paraId="7C9B3199" w14:textId="79C032B9" w:rsidR="002A1C5D" w:rsidRPr="00F01347" w:rsidRDefault="002A1C5D" w:rsidP="002A1C5D">
            <w:pPr>
              <w:pStyle w:val="texto0"/>
              <w:ind w:firstLine="0"/>
              <w:rPr>
                <w:rFonts w:ascii="Verdana" w:hAnsi="Verdana"/>
                <w:sz w:val="16"/>
                <w:szCs w:val="16"/>
                <w:lang w:val="en-US"/>
              </w:rPr>
            </w:pPr>
            <w:r w:rsidRPr="00F01347">
              <w:rPr>
                <w:rFonts w:ascii="Verdana" w:hAnsi="Verdana"/>
                <w:sz w:val="16"/>
                <w:szCs w:val="16"/>
                <w:lang w:val="en-US"/>
              </w:rPr>
              <w:t>The average recovery percentage for each LFSM and LFSMD set must be greater than or equal to 60% and less than or equal to 140% of the true value. If the percent recovery falls outside this range, and laboratory performance is in control of the LFBs within the same assay lot, the recovery may have a matrix bias. Qualify the result for the sample from which the LFSM was prepared as "suspect matrix</w:t>
            </w:r>
            <w:r w:rsidR="00971794" w:rsidRPr="00F01347">
              <w:rPr>
                <w:rFonts w:ascii="Verdana" w:hAnsi="Verdana"/>
                <w:sz w:val="16"/>
                <w:szCs w:val="16"/>
                <w:lang w:val="en-US"/>
              </w:rPr>
              <w:t>.</w:t>
            </w:r>
            <w:r w:rsidRPr="00F01347">
              <w:rPr>
                <w:rFonts w:ascii="Verdana" w:hAnsi="Verdana"/>
                <w:sz w:val="16"/>
                <w:szCs w:val="16"/>
                <w:lang w:val="en-US"/>
              </w:rPr>
              <w:t>"</w:t>
            </w:r>
          </w:p>
        </w:tc>
      </w:tr>
      <w:tr w:rsidR="002A1C5D" w:rsidRPr="00F01347" w14:paraId="6758931F" w14:textId="4AFB2120" w:rsidTr="00A2080E">
        <w:tc>
          <w:tcPr>
            <w:tcW w:w="4675" w:type="dxa"/>
          </w:tcPr>
          <w:p w14:paraId="7BA796FE" w14:textId="77777777" w:rsidR="002A1C5D" w:rsidRPr="00F01347" w:rsidRDefault="002A1C5D" w:rsidP="002A1C5D">
            <w:pPr>
              <w:pStyle w:val="texto0"/>
              <w:ind w:firstLine="0"/>
              <w:rPr>
                <w:rFonts w:ascii="Verdana" w:hAnsi="Verdana"/>
                <w:sz w:val="16"/>
                <w:szCs w:val="16"/>
              </w:rPr>
            </w:pPr>
            <w:r w:rsidRPr="00F01347">
              <w:rPr>
                <w:rFonts w:ascii="Verdana" w:hAnsi="Verdana"/>
                <w:sz w:val="16"/>
                <w:szCs w:val="16"/>
              </w:rPr>
              <w:lastRenderedPageBreak/>
              <w:t>Calcular la diferencia porcentual relativa (RPD) usando la siguiente ecuación:</w:t>
            </w:r>
          </w:p>
        </w:tc>
        <w:tc>
          <w:tcPr>
            <w:tcW w:w="4675" w:type="dxa"/>
          </w:tcPr>
          <w:p w14:paraId="1F32943B" w14:textId="6A031DE0" w:rsidR="002A1C5D" w:rsidRPr="00F01347" w:rsidRDefault="002A1C5D" w:rsidP="002A1C5D">
            <w:pPr>
              <w:pStyle w:val="texto0"/>
              <w:ind w:firstLine="0"/>
              <w:rPr>
                <w:rFonts w:ascii="Verdana" w:hAnsi="Verdana"/>
                <w:sz w:val="16"/>
                <w:szCs w:val="16"/>
                <w:lang w:val="en-US"/>
              </w:rPr>
            </w:pPr>
            <w:r w:rsidRPr="00F01347">
              <w:rPr>
                <w:rFonts w:ascii="Verdana" w:hAnsi="Verdana"/>
                <w:sz w:val="16"/>
                <w:szCs w:val="16"/>
                <w:lang w:val="en-US"/>
              </w:rPr>
              <w:t>Calculate the relative percentage difference (RPD) using the following equation:</w:t>
            </w:r>
          </w:p>
        </w:tc>
      </w:tr>
    </w:tbl>
    <w:p w14:paraId="5BBF7DD8" w14:textId="0E4985C3" w:rsidR="00A74CDF" w:rsidRPr="00F01347" w:rsidRDefault="00471638" w:rsidP="00971794">
      <w:pPr>
        <w:pStyle w:val="texto0"/>
        <w:spacing w:line="240" w:lineRule="auto"/>
        <w:ind w:left="630" w:firstLine="0"/>
        <w:jc w:val="center"/>
        <w:rPr>
          <w:rFonts w:ascii="Verdana" w:hAnsi="Verdana"/>
          <w:sz w:val="16"/>
          <w:szCs w:val="16"/>
        </w:rPr>
      </w:pPr>
      <w:r w:rsidRPr="00F01347">
        <w:rPr>
          <w:rFonts w:ascii="Verdana" w:hAnsi="Verdana"/>
          <w:noProof/>
          <w:sz w:val="16"/>
          <w:szCs w:val="16"/>
        </w:rPr>
        <w:drawing>
          <wp:inline distT="0" distB="0" distL="0" distR="0" wp14:anchorId="3D2857AC" wp14:editId="7C561AA7">
            <wp:extent cx="2019300" cy="333375"/>
            <wp:effectExtent l="0" t="0" r="0" b="0"/>
            <wp:docPr id="1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9300" cy="3333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C08D3" w:rsidRPr="00F01347" w14:paraId="705705AE" w14:textId="1E54D540" w:rsidTr="00971794">
        <w:tc>
          <w:tcPr>
            <w:tcW w:w="4675" w:type="dxa"/>
          </w:tcPr>
          <w:p w14:paraId="76C7F6E1" w14:textId="77777777" w:rsidR="001C08D3" w:rsidRPr="00F01347" w:rsidRDefault="001C08D3" w:rsidP="001C08D3">
            <w:pPr>
              <w:pStyle w:val="texto0"/>
              <w:spacing w:line="228" w:lineRule="exact"/>
              <w:ind w:firstLine="0"/>
              <w:rPr>
                <w:rFonts w:ascii="Verdana" w:hAnsi="Verdana"/>
                <w:sz w:val="16"/>
                <w:szCs w:val="16"/>
              </w:rPr>
            </w:pPr>
            <w:r w:rsidRPr="00F01347">
              <w:rPr>
                <w:rFonts w:ascii="Verdana" w:hAnsi="Verdana"/>
                <w:sz w:val="16"/>
                <w:szCs w:val="16"/>
              </w:rPr>
              <w:t>El RPD para cada conjunto de LFSM y LFSMD debe ser menor o igual al 40%. Si la RPD cae fuera de este intervalo y el rendimiento del laboratorio está en control de los LFB dentro del mismo Lote de Análisis, la precisión puede tener un sesgo de matriz. Calificar el resultado para la muestra de la cual se preparó el LFSMD como "matriz sospechosa".</w:t>
            </w:r>
          </w:p>
        </w:tc>
        <w:tc>
          <w:tcPr>
            <w:tcW w:w="4675" w:type="dxa"/>
          </w:tcPr>
          <w:p w14:paraId="3785C0A2" w14:textId="1330A819" w:rsidR="001C08D3" w:rsidRPr="00F01347" w:rsidRDefault="001C08D3" w:rsidP="001C08D3">
            <w:pPr>
              <w:pStyle w:val="texto0"/>
              <w:spacing w:line="228" w:lineRule="exact"/>
              <w:ind w:firstLine="0"/>
              <w:rPr>
                <w:rFonts w:ascii="Verdana" w:hAnsi="Verdana"/>
                <w:sz w:val="16"/>
                <w:szCs w:val="16"/>
                <w:lang w:val="en-US"/>
              </w:rPr>
            </w:pPr>
            <w:r w:rsidRPr="00F01347">
              <w:rPr>
                <w:rFonts w:ascii="Verdana" w:hAnsi="Verdana"/>
                <w:sz w:val="16"/>
                <w:szCs w:val="16"/>
                <w:lang w:val="en-US"/>
              </w:rPr>
              <w:t>The RPD for each set of LFSM and LFSMD must be less than or equal to 40%. If the RPD falls outside this range and laboratory performance is in control of LFBs within the same Analysis Batch, precision may have a matrix bias. Qualify the result for the sample from which the LFSMD was prepared as "suspect matrix."</w:t>
            </w:r>
          </w:p>
        </w:tc>
      </w:tr>
      <w:tr w:rsidR="001C08D3" w:rsidRPr="00F01347" w14:paraId="6F8CB1A3" w14:textId="346C4ECE" w:rsidTr="00971794">
        <w:tc>
          <w:tcPr>
            <w:tcW w:w="4675" w:type="dxa"/>
          </w:tcPr>
          <w:p w14:paraId="5581CC6F" w14:textId="77777777" w:rsidR="001C08D3" w:rsidRPr="00F01347" w:rsidRDefault="001C08D3" w:rsidP="001C08D3">
            <w:pPr>
              <w:pStyle w:val="texto0"/>
              <w:spacing w:line="224" w:lineRule="exact"/>
              <w:ind w:firstLine="0"/>
              <w:rPr>
                <w:rFonts w:ascii="Verdana" w:hAnsi="Verdana"/>
                <w:sz w:val="16"/>
                <w:szCs w:val="16"/>
              </w:rPr>
            </w:pPr>
            <w:r w:rsidRPr="00F01347">
              <w:rPr>
                <w:rFonts w:ascii="Verdana" w:hAnsi="Verdana"/>
                <w:sz w:val="16"/>
                <w:szCs w:val="16"/>
              </w:rPr>
              <w:t>Una QCS debe ser analizada durante el IDC y posteriormente con cada nuevo lote de estándares de calibración. La MC-LR utilizado para el QCS debe obtenerse de una fuente independiente de la fuente de los estándares de calibración. Preparar el QCS en agua grado reactivo cerca de la EC</w:t>
            </w:r>
            <w:r w:rsidRPr="00F01347">
              <w:rPr>
                <w:rFonts w:ascii="Verdana" w:hAnsi="Verdana"/>
                <w:sz w:val="16"/>
                <w:szCs w:val="16"/>
                <w:vertAlign w:val="subscript"/>
              </w:rPr>
              <w:t>50</w:t>
            </w:r>
            <w:r w:rsidRPr="00F01347">
              <w:rPr>
                <w:rFonts w:ascii="Verdana" w:hAnsi="Verdana"/>
                <w:sz w:val="16"/>
                <w:szCs w:val="16"/>
              </w:rPr>
              <w:t>. Se puede utilizar un QCS suministrado con el kit ELISA si este criterio es conocido. El porcentaje de recuperación de MC-LR en el QCS debe ser mayor o igual que 70% e inferior o igual a 130%.</w:t>
            </w:r>
          </w:p>
        </w:tc>
        <w:tc>
          <w:tcPr>
            <w:tcW w:w="4675" w:type="dxa"/>
          </w:tcPr>
          <w:p w14:paraId="3A180F80" w14:textId="1FA1714A" w:rsidR="001C08D3" w:rsidRPr="00F01347" w:rsidRDefault="001C08D3" w:rsidP="001C08D3">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A QCS must be analyzed during the IDC and subsequently with each new batch of calibration standards. The MC-LR used for the QCS must be obtained from a source independent of the source of the calibration standards. Prepare the QCS in reagent grade water close to EC </w:t>
            </w:r>
            <w:r w:rsidRPr="00F01347">
              <w:rPr>
                <w:rFonts w:ascii="Verdana" w:hAnsi="Verdana"/>
                <w:sz w:val="16"/>
                <w:szCs w:val="16"/>
                <w:vertAlign w:val="subscript"/>
                <w:lang w:val="en-US"/>
              </w:rPr>
              <w:t>50</w:t>
            </w:r>
            <w:r w:rsidR="003E1BA9" w:rsidRPr="00F01347">
              <w:rPr>
                <w:rFonts w:ascii="Verdana" w:hAnsi="Verdana"/>
                <w:sz w:val="16"/>
                <w:szCs w:val="16"/>
                <w:vertAlign w:val="subscript"/>
                <w:lang w:val="en-US"/>
              </w:rPr>
              <w:t>.</w:t>
            </w:r>
            <w:r w:rsidRPr="00F01347">
              <w:rPr>
                <w:rFonts w:ascii="Verdana" w:hAnsi="Verdana"/>
                <w:sz w:val="16"/>
                <w:szCs w:val="16"/>
                <w:lang w:val="en-US"/>
              </w:rPr>
              <w:t xml:space="preserve"> A QCS supplied with the ELISA kit can be used if this criterion is known. The recovery percentage of MC-LR in the QCS must be greater than or equal to 70% and less than or equal to 130%.</w:t>
            </w:r>
          </w:p>
        </w:tc>
      </w:tr>
      <w:tr w:rsidR="001C08D3" w:rsidRPr="00F01347" w14:paraId="0669AAD4" w14:textId="1CFB1F36" w:rsidTr="00971794">
        <w:tc>
          <w:tcPr>
            <w:tcW w:w="4675" w:type="dxa"/>
          </w:tcPr>
          <w:p w14:paraId="0387A8F6" w14:textId="77777777" w:rsidR="001C08D3" w:rsidRPr="00F01347" w:rsidRDefault="001C08D3" w:rsidP="001C08D3">
            <w:pPr>
              <w:pStyle w:val="texto0"/>
              <w:spacing w:line="224" w:lineRule="exact"/>
              <w:ind w:firstLine="0"/>
              <w:rPr>
                <w:rFonts w:ascii="Verdana" w:hAnsi="Verdana"/>
                <w:b/>
                <w:sz w:val="16"/>
                <w:szCs w:val="16"/>
              </w:rPr>
            </w:pPr>
            <w:r w:rsidRPr="00F01347">
              <w:rPr>
                <w:rFonts w:ascii="Verdana" w:hAnsi="Verdana"/>
                <w:b/>
                <w:sz w:val="16"/>
                <w:szCs w:val="16"/>
              </w:rPr>
              <w:t>B.1.1.8.2 Calibración</w:t>
            </w:r>
          </w:p>
        </w:tc>
        <w:tc>
          <w:tcPr>
            <w:tcW w:w="4675" w:type="dxa"/>
          </w:tcPr>
          <w:p w14:paraId="68E925FE" w14:textId="3583114A" w:rsidR="001C08D3" w:rsidRPr="00F01347" w:rsidRDefault="001C08D3" w:rsidP="001C08D3">
            <w:pPr>
              <w:pStyle w:val="texto0"/>
              <w:spacing w:line="224" w:lineRule="exact"/>
              <w:ind w:firstLine="0"/>
              <w:rPr>
                <w:rFonts w:ascii="Verdana" w:hAnsi="Verdana"/>
                <w:b/>
                <w:sz w:val="16"/>
                <w:szCs w:val="16"/>
                <w:lang w:val="en-US"/>
              </w:rPr>
            </w:pPr>
            <w:r w:rsidRPr="00F01347">
              <w:rPr>
                <w:rFonts w:ascii="Verdana" w:hAnsi="Verdana"/>
                <w:b/>
                <w:sz w:val="16"/>
                <w:szCs w:val="16"/>
                <w:lang w:val="en-US"/>
              </w:rPr>
              <w:t>B.1.1.8.2 Calibration</w:t>
            </w:r>
          </w:p>
        </w:tc>
      </w:tr>
      <w:tr w:rsidR="001C08D3" w:rsidRPr="00F01347" w14:paraId="77C04C39" w14:textId="4F9D32C0" w:rsidTr="00971794">
        <w:tc>
          <w:tcPr>
            <w:tcW w:w="4675" w:type="dxa"/>
          </w:tcPr>
          <w:p w14:paraId="1ECB491B" w14:textId="77777777" w:rsidR="001C08D3" w:rsidRPr="00F01347" w:rsidRDefault="001C08D3" w:rsidP="001C08D3">
            <w:pPr>
              <w:pStyle w:val="texto0"/>
              <w:spacing w:line="224" w:lineRule="exact"/>
              <w:ind w:firstLine="0"/>
              <w:rPr>
                <w:rFonts w:ascii="Verdana" w:hAnsi="Verdana"/>
                <w:sz w:val="16"/>
                <w:szCs w:val="16"/>
              </w:rPr>
            </w:pPr>
            <w:r w:rsidRPr="00F01347">
              <w:rPr>
                <w:rFonts w:ascii="Verdana" w:hAnsi="Verdana"/>
                <w:sz w:val="16"/>
                <w:szCs w:val="16"/>
              </w:rPr>
              <w:t>Se requiere una calibración con cada lote de análisis. Utilice las concentraciones indicadas en las instrucciones del kit. No agregue niveles de calibración adicionales ni elimine ningún nivel. Los laboratorios pueden preparar estándares de calibración, sin embargo, el número de niveles y concentraciones debe coincidir con los del kit original. Cada estándar de calibración debe agregarse en al menos dos pozos. El estándar de calibración más bajo debe ser igual o inferior a la concentración del MRL.</w:t>
            </w:r>
          </w:p>
        </w:tc>
        <w:tc>
          <w:tcPr>
            <w:tcW w:w="4675" w:type="dxa"/>
          </w:tcPr>
          <w:p w14:paraId="5CB0D700" w14:textId="2C1A7BB8" w:rsidR="001C08D3" w:rsidRPr="00F01347" w:rsidRDefault="001C08D3" w:rsidP="001C08D3">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Calibration is required with each batch of analysis. Use the concentrations indicated in the kit instructions. Do not add additional calibration levels or delete any levels. Laboratories can prepare calibration </w:t>
            </w:r>
            <w:r w:rsidR="001526BA" w:rsidRPr="00F01347">
              <w:rPr>
                <w:rFonts w:ascii="Verdana" w:hAnsi="Verdana"/>
                <w:sz w:val="16"/>
                <w:szCs w:val="16"/>
                <w:lang w:val="en-US"/>
              </w:rPr>
              <w:t>standards;</w:t>
            </w:r>
            <w:r w:rsidRPr="00F01347">
              <w:rPr>
                <w:rFonts w:ascii="Verdana" w:hAnsi="Verdana"/>
                <w:sz w:val="16"/>
                <w:szCs w:val="16"/>
                <w:lang w:val="en-US"/>
              </w:rPr>
              <w:t xml:space="preserve"> however, the number of levels and concentrations must match those of the original kit. Each calibration standard must be added to at least two wells. The lowest calibration standard must be equal to or less than the MRL concentration.</w:t>
            </w:r>
          </w:p>
        </w:tc>
      </w:tr>
      <w:tr w:rsidR="001C08D3" w:rsidRPr="00F01347" w14:paraId="56D2E799" w14:textId="4CF037D8" w:rsidTr="00971794">
        <w:tc>
          <w:tcPr>
            <w:tcW w:w="4675" w:type="dxa"/>
          </w:tcPr>
          <w:p w14:paraId="2739287C" w14:textId="77777777" w:rsidR="001C08D3" w:rsidRPr="00F01347" w:rsidRDefault="001C08D3" w:rsidP="001C08D3">
            <w:pPr>
              <w:pStyle w:val="texto0"/>
              <w:spacing w:line="224" w:lineRule="exact"/>
              <w:ind w:firstLine="0"/>
              <w:rPr>
                <w:rFonts w:ascii="Verdana" w:hAnsi="Verdana"/>
                <w:sz w:val="16"/>
                <w:szCs w:val="16"/>
              </w:rPr>
            </w:pPr>
            <w:r w:rsidRPr="00F01347">
              <w:rPr>
                <w:rFonts w:ascii="Verdana" w:hAnsi="Verdana"/>
                <w:sz w:val="16"/>
                <w:szCs w:val="16"/>
              </w:rPr>
              <w:t xml:space="preserve">La curva de calibración se valida evaluando el %CV de los valores de absorbancia para los pozos réplica que representan cada nivel de calibración y el coeficiente de correlación de la curva logística de cuatro parámetros. Calcular el %CV para cada uno de los valores de absorbancia pareados, incluido el estándar "cero". El %CV para cada par debe ser menor o igual al 10%. Sin embargo, se permite que un par exceda del 10% siempre que </w:t>
            </w:r>
            <w:proofErr w:type="spellStart"/>
            <w:r w:rsidRPr="00F01347">
              <w:rPr>
                <w:rFonts w:ascii="Verdana" w:hAnsi="Verdana"/>
                <w:sz w:val="16"/>
                <w:szCs w:val="16"/>
              </w:rPr>
              <w:t>el</w:t>
            </w:r>
            <w:proofErr w:type="spellEnd"/>
            <w:r w:rsidRPr="00F01347">
              <w:rPr>
                <w:rFonts w:ascii="Verdana" w:hAnsi="Verdana"/>
                <w:sz w:val="16"/>
                <w:szCs w:val="16"/>
              </w:rPr>
              <w:t xml:space="preserve"> %CV sea menor o igual al 15%. El cuadrado del coeficiente de correlación (r</w:t>
            </w:r>
            <w:r w:rsidRPr="00F01347">
              <w:rPr>
                <w:rFonts w:ascii="Verdana" w:hAnsi="Verdana"/>
                <w:sz w:val="16"/>
                <w:szCs w:val="16"/>
                <w:vertAlign w:val="superscript"/>
              </w:rPr>
              <w:t>2</w:t>
            </w:r>
            <w:r w:rsidRPr="00F01347">
              <w:rPr>
                <w:rFonts w:ascii="Verdana" w:hAnsi="Verdana"/>
                <w:sz w:val="16"/>
                <w:szCs w:val="16"/>
              </w:rPr>
              <w:t>) de la curva de cuatro parámetros debe ser mayor o igual a 0.98.</w:t>
            </w:r>
          </w:p>
        </w:tc>
        <w:tc>
          <w:tcPr>
            <w:tcW w:w="4675" w:type="dxa"/>
          </w:tcPr>
          <w:p w14:paraId="369B3B07" w14:textId="6A97A455" w:rsidR="001C08D3" w:rsidRPr="00F01347" w:rsidRDefault="001C08D3" w:rsidP="001C08D3">
            <w:pPr>
              <w:pStyle w:val="texto0"/>
              <w:spacing w:line="224" w:lineRule="exact"/>
              <w:ind w:firstLine="0"/>
              <w:rPr>
                <w:rFonts w:ascii="Verdana" w:hAnsi="Verdana"/>
                <w:sz w:val="16"/>
                <w:szCs w:val="16"/>
                <w:lang w:val="en-US"/>
              </w:rPr>
            </w:pPr>
            <w:r w:rsidRPr="00F01347">
              <w:rPr>
                <w:rFonts w:ascii="Verdana" w:hAnsi="Verdana"/>
                <w:sz w:val="16"/>
                <w:szCs w:val="16"/>
                <w:lang w:val="en-US"/>
              </w:rPr>
              <w:t>The calibration curve is validated by evaluating the %CV of the absorbance values for the replicate wells representing each calibration level and the correlation coefficient of the four-parameter logistic curve. Calculate the %CV for each of the paired absorbance values, including the "zero" standard. The %CV for each pair must be less than or equal to 10%. However, a torque is allowed to exceed 10% as long as the %CV is less than or equal to 15%. The square of the correlation coefficient (r</w:t>
            </w:r>
            <w:r w:rsidRPr="00F01347">
              <w:rPr>
                <w:rFonts w:ascii="Verdana" w:hAnsi="Verdana"/>
                <w:sz w:val="16"/>
                <w:szCs w:val="16"/>
                <w:vertAlign w:val="superscript"/>
                <w:lang w:val="en-US"/>
              </w:rPr>
              <w:t>2</w:t>
            </w:r>
            <w:r w:rsidRPr="00F01347">
              <w:rPr>
                <w:rFonts w:ascii="Verdana" w:hAnsi="Verdana"/>
                <w:sz w:val="16"/>
                <w:szCs w:val="16"/>
                <w:lang w:val="en-US"/>
              </w:rPr>
              <w:t>) of the four-parameter curve must be greater than or equal to 0.98.</w:t>
            </w:r>
          </w:p>
        </w:tc>
      </w:tr>
      <w:tr w:rsidR="001C08D3" w:rsidRPr="00F01347" w14:paraId="03FE9A6A" w14:textId="791C3906" w:rsidTr="00971794">
        <w:tc>
          <w:tcPr>
            <w:tcW w:w="4675" w:type="dxa"/>
          </w:tcPr>
          <w:p w14:paraId="740BCE84" w14:textId="77777777" w:rsidR="001C08D3" w:rsidRPr="00F01347" w:rsidRDefault="001C08D3" w:rsidP="001C08D3">
            <w:pPr>
              <w:pStyle w:val="texto0"/>
              <w:ind w:firstLine="0"/>
              <w:rPr>
                <w:rFonts w:ascii="Verdana" w:hAnsi="Verdana"/>
                <w:sz w:val="16"/>
                <w:szCs w:val="16"/>
              </w:rPr>
            </w:pPr>
            <w:r w:rsidRPr="00F01347">
              <w:rPr>
                <w:rFonts w:ascii="Verdana" w:hAnsi="Verdana"/>
                <w:sz w:val="16"/>
                <w:szCs w:val="16"/>
              </w:rPr>
              <w:t>Si la calibración se encuentra fuera de los límites %CV o el valor r</w:t>
            </w:r>
            <w:r w:rsidRPr="00F01347">
              <w:rPr>
                <w:rFonts w:ascii="Verdana" w:hAnsi="Verdana"/>
                <w:sz w:val="16"/>
                <w:szCs w:val="16"/>
                <w:vertAlign w:val="superscript"/>
              </w:rPr>
              <w:t>2</w:t>
            </w:r>
            <w:r w:rsidRPr="00F01347">
              <w:rPr>
                <w:rFonts w:ascii="Verdana" w:hAnsi="Verdana"/>
                <w:sz w:val="16"/>
                <w:szCs w:val="16"/>
              </w:rPr>
              <w:t xml:space="preserve"> es inferior a 0.98, entonces todo el lote de análisis no se considera válido. Analizar las muestras en un lote de análisis posterior. Congelar las muestras filtradas si este lote de análisis no se puede completar el mismo día que el ensayo original. Cada muestra debe estar dentro del tiempo de espera de 14 días para repetir el ensayo.</w:t>
            </w:r>
          </w:p>
        </w:tc>
        <w:tc>
          <w:tcPr>
            <w:tcW w:w="4675" w:type="dxa"/>
          </w:tcPr>
          <w:p w14:paraId="4AC4A246" w14:textId="06B07C3D" w:rsidR="001C08D3" w:rsidRPr="00F01347" w:rsidRDefault="001C08D3" w:rsidP="001C08D3">
            <w:pPr>
              <w:pStyle w:val="texto0"/>
              <w:ind w:firstLine="0"/>
              <w:rPr>
                <w:rFonts w:ascii="Verdana" w:hAnsi="Verdana"/>
                <w:sz w:val="16"/>
                <w:szCs w:val="16"/>
                <w:lang w:val="en-US"/>
              </w:rPr>
            </w:pPr>
            <w:r w:rsidRPr="00F01347">
              <w:rPr>
                <w:rFonts w:ascii="Verdana" w:hAnsi="Verdana"/>
                <w:sz w:val="16"/>
                <w:szCs w:val="16"/>
                <w:lang w:val="en-US"/>
              </w:rPr>
              <w:t>If the calibration is outside the %CV limits or the r</w:t>
            </w:r>
            <w:r w:rsidRPr="00F01347">
              <w:rPr>
                <w:rFonts w:ascii="Verdana" w:hAnsi="Verdana"/>
                <w:sz w:val="16"/>
                <w:szCs w:val="16"/>
                <w:vertAlign w:val="superscript"/>
                <w:lang w:val="en-US"/>
              </w:rPr>
              <w:t xml:space="preserve">2 </w:t>
            </w:r>
            <w:r w:rsidR="00DF06A9" w:rsidRPr="00F01347">
              <w:rPr>
                <w:rFonts w:ascii="Verdana" w:hAnsi="Verdana"/>
                <w:sz w:val="16"/>
                <w:szCs w:val="16"/>
                <w:lang w:val="en-US"/>
              </w:rPr>
              <w:t>value is</w:t>
            </w:r>
            <w:r w:rsidRPr="00F01347">
              <w:rPr>
                <w:rFonts w:ascii="Verdana" w:hAnsi="Verdana"/>
                <w:sz w:val="16"/>
                <w:szCs w:val="16"/>
                <w:lang w:val="en-US"/>
              </w:rPr>
              <w:t xml:space="preserve"> less than 0.98, then the entire analysis batch is considered invalid. Analyze the samples in a subsequent analysis batch. Freeze filtered samples if this batch of analysis cannot be completed on the same day as the original assay. Each sample must be within the 14-day waiting time to repeat the assay.</w:t>
            </w:r>
          </w:p>
        </w:tc>
      </w:tr>
      <w:tr w:rsidR="001C08D3" w:rsidRPr="00F01347" w14:paraId="319C739E" w14:textId="2CE21136" w:rsidTr="00971794">
        <w:tc>
          <w:tcPr>
            <w:tcW w:w="4675" w:type="dxa"/>
          </w:tcPr>
          <w:p w14:paraId="59767CBE" w14:textId="77777777" w:rsidR="001C08D3" w:rsidRPr="00F01347" w:rsidRDefault="001C08D3" w:rsidP="001C08D3">
            <w:pPr>
              <w:pStyle w:val="texto0"/>
              <w:ind w:firstLine="0"/>
              <w:rPr>
                <w:rFonts w:ascii="Verdana" w:hAnsi="Verdana"/>
                <w:b/>
                <w:sz w:val="16"/>
                <w:szCs w:val="16"/>
              </w:rPr>
            </w:pPr>
            <w:r w:rsidRPr="00F01347">
              <w:rPr>
                <w:rFonts w:ascii="Verdana" w:hAnsi="Verdana"/>
                <w:b/>
                <w:sz w:val="16"/>
                <w:szCs w:val="16"/>
              </w:rPr>
              <w:t>B.1.1.8.3 Interferencias</w:t>
            </w:r>
          </w:p>
        </w:tc>
        <w:tc>
          <w:tcPr>
            <w:tcW w:w="4675" w:type="dxa"/>
          </w:tcPr>
          <w:p w14:paraId="77BB0D98" w14:textId="5C484167" w:rsidR="001C08D3" w:rsidRPr="00F01347" w:rsidRDefault="001C08D3" w:rsidP="001C08D3">
            <w:pPr>
              <w:pStyle w:val="texto0"/>
              <w:ind w:firstLine="0"/>
              <w:rPr>
                <w:rFonts w:ascii="Verdana" w:hAnsi="Verdana"/>
                <w:b/>
                <w:sz w:val="16"/>
                <w:szCs w:val="16"/>
                <w:lang w:val="en-US"/>
              </w:rPr>
            </w:pPr>
            <w:r w:rsidRPr="00F01347">
              <w:rPr>
                <w:rFonts w:ascii="Verdana" w:hAnsi="Verdana"/>
                <w:b/>
                <w:sz w:val="16"/>
                <w:szCs w:val="16"/>
                <w:lang w:val="en-US"/>
              </w:rPr>
              <w:t>B.1.1.8.3 Interferences</w:t>
            </w:r>
          </w:p>
        </w:tc>
      </w:tr>
      <w:tr w:rsidR="001C08D3" w:rsidRPr="00F01347" w14:paraId="25B7C51C" w14:textId="0CFF9E23" w:rsidTr="00971794">
        <w:tc>
          <w:tcPr>
            <w:tcW w:w="4675" w:type="dxa"/>
          </w:tcPr>
          <w:p w14:paraId="5A0C5222" w14:textId="77777777" w:rsidR="001C08D3" w:rsidRPr="00F01347" w:rsidRDefault="001C08D3" w:rsidP="001C08D3">
            <w:pPr>
              <w:pStyle w:val="texto0"/>
              <w:ind w:firstLine="0"/>
              <w:rPr>
                <w:rFonts w:ascii="Verdana" w:hAnsi="Verdana"/>
                <w:sz w:val="16"/>
                <w:szCs w:val="16"/>
              </w:rPr>
            </w:pPr>
            <w:r w:rsidRPr="00F01347">
              <w:rPr>
                <w:rFonts w:ascii="Verdana" w:hAnsi="Verdana"/>
                <w:sz w:val="16"/>
                <w:szCs w:val="16"/>
              </w:rPr>
              <w:lastRenderedPageBreak/>
              <w:t>La exactitud del procedimiento de ELISA depende de la técnica del analista, la precisión de los volúmenes pipeteados y períodos de incubación uniformes a través de los pozos de cada placa.</w:t>
            </w:r>
          </w:p>
        </w:tc>
        <w:tc>
          <w:tcPr>
            <w:tcW w:w="4675" w:type="dxa"/>
          </w:tcPr>
          <w:p w14:paraId="45625F15" w14:textId="5B01E92E" w:rsidR="001C08D3" w:rsidRPr="00F01347" w:rsidRDefault="001C08D3" w:rsidP="001C08D3">
            <w:pPr>
              <w:pStyle w:val="texto0"/>
              <w:ind w:firstLine="0"/>
              <w:rPr>
                <w:rFonts w:ascii="Verdana" w:hAnsi="Verdana"/>
                <w:sz w:val="16"/>
                <w:szCs w:val="16"/>
                <w:lang w:val="en-US"/>
              </w:rPr>
            </w:pPr>
            <w:r w:rsidRPr="00F01347">
              <w:rPr>
                <w:rFonts w:ascii="Verdana" w:hAnsi="Verdana"/>
                <w:sz w:val="16"/>
                <w:szCs w:val="16"/>
                <w:lang w:val="en-US"/>
              </w:rPr>
              <w:t>The accuracy of the ELISA procedure depends on the analyst's technique, the precision of pipetted volumes, and uniform incubation periods across the wells of each plate.</w:t>
            </w:r>
          </w:p>
        </w:tc>
      </w:tr>
      <w:tr w:rsidR="001C08D3" w:rsidRPr="00F01347" w14:paraId="3951B556" w14:textId="31CF0F36" w:rsidTr="00971794">
        <w:tc>
          <w:tcPr>
            <w:tcW w:w="4675" w:type="dxa"/>
          </w:tcPr>
          <w:p w14:paraId="16118616" w14:textId="77777777" w:rsidR="001C08D3" w:rsidRPr="00F01347" w:rsidRDefault="001C08D3" w:rsidP="001C08D3">
            <w:pPr>
              <w:pStyle w:val="texto0"/>
              <w:ind w:firstLine="0"/>
              <w:rPr>
                <w:rFonts w:ascii="Verdana" w:hAnsi="Verdana"/>
                <w:sz w:val="16"/>
                <w:szCs w:val="16"/>
              </w:rPr>
            </w:pPr>
            <w:r w:rsidRPr="00F01347">
              <w:rPr>
                <w:rFonts w:ascii="Verdana" w:hAnsi="Verdana"/>
                <w:sz w:val="16"/>
                <w:szCs w:val="16"/>
              </w:rPr>
              <w:t xml:space="preserve">La desviación del ensayo se refiere a la imprecisión sistemática en lugar de la imprecisión al azar en las concentraciones determinadas del analito de interés, cuya magnitud depende de la posición de la muestra dentro de la placa. Una posible causa de la desviación del ensayo son ligeras diferencias en los tiempos de incubación a medida que se añaden los reactivos secuencialmente a través de la placa (Davies, Chris. </w:t>
            </w:r>
            <w:r w:rsidRPr="00F01347">
              <w:rPr>
                <w:rFonts w:ascii="Verdana" w:hAnsi="Verdana"/>
                <w:sz w:val="16"/>
                <w:szCs w:val="16"/>
                <w:lang w:val="en-US"/>
              </w:rPr>
              <w:t>2005.“</w:t>
            </w:r>
            <w:r w:rsidRPr="00F01347">
              <w:rPr>
                <w:rFonts w:ascii="Verdana" w:hAnsi="Verdana"/>
                <w:i/>
                <w:sz w:val="16"/>
                <w:szCs w:val="16"/>
                <w:lang w:val="en-US"/>
              </w:rPr>
              <w:t xml:space="preserve">Concepts” </w:t>
            </w:r>
            <w:proofErr w:type="spellStart"/>
            <w:r w:rsidRPr="00F01347">
              <w:rPr>
                <w:rFonts w:ascii="Verdana" w:hAnsi="Verdana"/>
                <w:sz w:val="16"/>
                <w:szCs w:val="16"/>
                <w:lang w:val="en-US"/>
              </w:rPr>
              <w:t>en</w:t>
            </w:r>
            <w:proofErr w:type="spellEnd"/>
            <w:r w:rsidRPr="00F01347">
              <w:rPr>
                <w:rFonts w:ascii="Verdana" w:hAnsi="Verdana"/>
                <w:sz w:val="16"/>
                <w:szCs w:val="16"/>
                <w:lang w:val="en-US"/>
              </w:rPr>
              <w:t xml:space="preserve"> “</w:t>
            </w:r>
            <w:r w:rsidRPr="00F01347">
              <w:rPr>
                <w:rFonts w:ascii="Verdana" w:hAnsi="Verdana"/>
                <w:i/>
                <w:sz w:val="16"/>
                <w:szCs w:val="16"/>
                <w:lang w:val="en-US"/>
              </w:rPr>
              <w:t xml:space="preserve">The Immunoassay Handbook”, 3rd ed.; Ed. </w:t>
            </w:r>
            <w:r w:rsidRPr="00F01347">
              <w:rPr>
                <w:rFonts w:ascii="Verdana" w:hAnsi="Verdana"/>
                <w:sz w:val="16"/>
                <w:szCs w:val="16"/>
                <w:lang w:val="en-US"/>
              </w:rPr>
              <w:t xml:space="preserve">Wild, David; Elsevier, Ltd. </w:t>
            </w:r>
            <w:r w:rsidRPr="00F01347">
              <w:rPr>
                <w:rFonts w:ascii="Verdana" w:hAnsi="Verdana"/>
                <w:sz w:val="16"/>
                <w:szCs w:val="16"/>
              </w:rPr>
              <w:t>Oxford, UK, p 119 (sección titulada “</w:t>
            </w:r>
            <w:proofErr w:type="spellStart"/>
            <w:r w:rsidRPr="00F01347">
              <w:rPr>
                <w:rFonts w:ascii="Verdana" w:hAnsi="Verdana"/>
                <w:sz w:val="16"/>
                <w:szCs w:val="16"/>
              </w:rPr>
              <w:t>Assay</w:t>
            </w:r>
            <w:proofErr w:type="spellEnd"/>
            <w:r w:rsidRPr="00F01347">
              <w:rPr>
                <w:rFonts w:ascii="Verdana" w:hAnsi="Verdana"/>
                <w:sz w:val="16"/>
                <w:szCs w:val="16"/>
              </w:rPr>
              <w:t xml:space="preserve"> </w:t>
            </w:r>
            <w:proofErr w:type="spellStart"/>
            <w:r w:rsidRPr="00F01347">
              <w:rPr>
                <w:rFonts w:ascii="Verdana" w:hAnsi="Verdana"/>
                <w:sz w:val="16"/>
                <w:szCs w:val="16"/>
              </w:rPr>
              <w:t>Drift</w:t>
            </w:r>
            <w:proofErr w:type="spellEnd"/>
            <w:r w:rsidRPr="00F01347">
              <w:rPr>
                <w:rFonts w:ascii="Verdana" w:hAnsi="Verdana"/>
                <w:sz w:val="16"/>
                <w:szCs w:val="16"/>
              </w:rPr>
              <w:t>”)). Para detectar la desviación del ensayo es necesario distribuir a través de la placa muestras de control idénticas. Este método incluye medidas de control de calidad para evaluar la desviación del ensayo. Durante la IDC, los laboratorios deben analizar cinco LRB distribuidos a través de la placa y cada lote de análisis debe incluir dos LRB colocados en lados opuestos de la placa. Debido a que los LRB proporcionan valores de absorbancia cerca de la meseta superior de la curva de calibración, las concentraciones LRB calculadas son sensibles a ligeros cambios en la absorbancia determinada. Si los LRB distribuidos pasan el límite de control de calidad en una media del valor de MRL, entonces la desviación del ensayo de la placa es mínima y puede considerarse bajo control.</w:t>
            </w:r>
          </w:p>
        </w:tc>
        <w:tc>
          <w:tcPr>
            <w:tcW w:w="4675" w:type="dxa"/>
          </w:tcPr>
          <w:p w14:paraId="6F876BA6" w14:textId="722E3BFF" w:rsidR="001C08D3" w:rsidRPr="00F01347" w:rsidRDefault="001C08D3" w:rsidP="001C08D3">
            <w:pPr>
              <w:pStyle w:val="texto0"/>
              <w:ind w:firstLine="0"/>
              <w:rPr>
                <w:rFonts w:ascii="Verdana" w:hAnsi="Verdana"/>
                <w:sz w:val="16"/>
                <w:szCs w:val="16"/>
                <w:lang w:val="en-US"/>
              </w:rPr>
            </w:pPr>
            <w:r w:rsidRPr="00F01347">
              <w:rPr>
                <w:rFonts w:ascii="Verdana" w:hAnsi="Verdana"/>
                <w:sz w:val="16"/>
                <w:szCs w:val="16"/>
                <w:lang w:val="en-US"/>
              </w:rPr>
              <w:t xml:space="preserve">Assay bias refers to systematic imprecision rather than random imprecision at given concentrations of the analyte of interest, the magnitude of which depends on the position of the sample within the plate. One possible cause of assay bias is slight differences in incubation times as reagents are added sequentially across the plate (Davies, Chris. 2005. “Concepts” in </w:t>
            </w:r>
            <w:r w:rsidRPr="00F01347">
              <w:rPr>
                <w:rFonts w:ascii="Verdana" w:hAnsi="Verdana"/>
                <w:i/>
                <w:sz w:val="16"/>
                <w:szCs w:val="16"/>
                <w:lang w:val="en-US"/>
              </w:rPr>
              <w:t>“</w:t>
            </w:r>
            <w:r w:rsidRPr="00F01347">
              <w:rPr>
                <w:rFonts w:ascii="Verdana" w:hAnsi="Verdana"/>
                <w:sz w:val="16"/>
                <w:szCs w:val="16"/>
                <w:lang w:val="en-US"/>
              </w:rPr>
              <w:t xml:space="preserve">The Immunoassay </w:t>
            </w:r>
            <w:r w:rsidRPr="00F01347">
              <w:rPr>
                <w:rFonts w:ascii="Verdana" w:hAnsi="Verdana"/>
                <w:i/>
                <w:sz w:val="16"/>
                <w:szCs w:val="16"/>
                <w:lang w:val="en-US"/>
              </w:rPr>
              <w:t xml:space="preserve">Handbook,” 3rd ed.; Ed. </w:t>
            </w:r>
            <w:r w:rsidRPr="00F01347">
              <w:rPr>
                <w:rFonts w:ascii="Verdana" w:hAnsi="Verdana"/>
                <w:sz w:val="16"/>
                <w:szCs w:val="16"/>
                <w:lang w:val="en-US"/>
              </w:rPr>
              <w:t>Wild, David; Elsevier, Ltd. Oxford, UK, p 119 (section titled “Assay "Drift"). To detect assay drift, it is necessary to distribute identical control samples across the plate. This method includes quality control measures to evaluate assay bias. During IDC, laboratories must analyze five LRBs distributed across the plate and each analysis batch must include two LRBs placed on opposite sides of the plate. Because LRBs provide absorbance values near the upper plateau of the calibration curve, the calculated LRB concentrations are sensitive to slight changes in the determined absorbance. If the distributed LRBs pass the quality control limit by an average of the MRL value, then the plate assay deviation is minimal and can be considered under control.</w:t>
            </w:r>
          </w:p>
        </w:tc>
      </w:tr>
      <w:tr w:rsidR="001C08D3" w:rsidRPr="00F01347" w14:paraId="2370C69D" w14:textId="4F606D17" w:rsidTr="00971794">
        <w:tc>
          <w:tcPr>
            <w:tcW w:w="4675" w:type="dxa"/>
          </w:tcPr>
          <w:p w14:paraId="0EA678B1" w14:textId="77777777" w:rsidR="001C08D3" w:rsidRPr="00F01347" w:rsidRDefault="001C08D3" w:rsidP="001C08D3">
            <w:pPr>
              <w:pStyle w:val="texto0"/>
              <w:ind w:firstLine="0"/>
              <w:rPr>
                <w:rFonts w:ascii="Verdana" w:hAnsi="Verdana"/>
                <w:sz w:val="16"/>
                <w:szCs w:val="16"/>
              </w:rPr>
            </w:pPr>
            <w:r w:rsidRPr="00F01347">
              <w:rPr>
                <w:rFonts w:ascii="Verdana" w:hAnsi="Verdana"/>
                <w:sz w:val="16"/>
                <w:szCs w:val="16"/>
              </w:rPr>
              <w:t xml:space="preserve">Considerando que la </w:t>
            </w:r>
            <w:proofErr w:type="spellStart"/>
            <w:r w:rsidRPr="00F01347">
              <w:rPr>
                <w:rFonts w:ascii="Verdana" w:hAnsi="Verdana"/>
                <w:sz w:val="16"/>
                <w:szCs w:val="16"/>
              </w:rPr>
              <w:t>microcistina</w:t>
            </w:r>
            <w:proofErr w:type="spellEnd"/>
            <w:r w:rsidRPr="00F01347">
              <w:rPr>
                <w:rFonts w:ascii="Verdana" w:hAnsi="Verdana"/>
                <w:sz w:val="16"/>
                <w:szCs w:val="16"/>
              </w:rPr>
              <w:t xml:space="preserve"> puede ser determinada a la entrada del sistema de tratamiento, en donde el agua puede provenir de una fuente natural, las muestras de agua colectadas en la entrada del sistema de tratamiento, para este método, podrían considerarse como muestras ambientales. En ese sentido es importante observar </w:t>
            </w:r>
            <w:proofErr w:type="gramStart"/>
            <w:r w:rsidRPr="00F01347">
              <w:rPr>
                <w:rFonts w:ascii="Verdana" w:hAnsi="Verdana"/>
                <w:sz w:val="16"/>
                <w:szCs w:val="16"/>
              </w:rPr>
              <w:t>que</w:t>
            </w:r>
            <w:proofErr w:type="gramEnd"/>
            <w:r w:rsidRPr="00F01347">
              <w:rPr>
                <w:rFonts w:ascii="Verdana" w:hAnsi="Verdana"/>
                <w:sz w:val="16"/>
                <w:szCs w:val="16"/>
              </w:rPr>
              <w:t xml:space="preserve"> durante el desarrollo del método, se ha observado un sesgo positivo de aproximadamente el 30% en muestras de agua ambientales de una sola fuente. Dos aguas ambientales de otras fuentes no causaron sesgo de matriz.</w:t>
            </w:r>
          </w:p>
        </w:tc>
        <w:tc>
          <w:tcPr>
            <w:tcW w:w="4675" w:type="dxa"/>
          </w:tcPr>
          <w:p w14:paraId="4145FC93" w14:textId="1349326F" w:rsidR="001C08D3" w:rsidRPr="00F01347" w:rsidRDefault="001C08D3" w:rsidP="001C08D3">
            <w:pPr>
              <w:pStyle w:val="texto0"/>
              <w:ind w:firstLine="0"/>
              <w:rPr>
                <w:rFonts w:ascii="Verdana" w:hAnsi="Verdana"/>
                <w:sz w:val="16"/>
                <w:szCs w:val="16"/>
                <w:lang w:val="en-US"/>
              </w:rPr>
            </w:pPr>
            <w:r w:rsidRPr="00F01347">
              <w:rPr>
                <w:rFonts w:ascii="Verdana" w:hAnsi="Verdana"/>
                <w:sz w:val="16"/>
                <w:szCs w:val="16"/>
                <w:lang w:val="en-US"/>
              </w:rPr>
              <w:t>Considering that microcystin can be determined at the entrance of the treatment system, where the water can come from a natural source, the water samples collected at the entrance of the treatment system, for this method, could be considered as environmental samples. In this sense, it is important to note that during the development of the method, a positive bias of approximately 30% has been observed in environmental water samples from a single source. Two environmental waters from other sources did not cause matrix bias.</w:t>
            </w:r>
          </w:p>
        </w:tc>
      </w:tr>
      <w:tr w:rsidR="001C08D3" w:rsidRPr="00F01347" w14:paraId="2BC68B6A" w14:textId="7CD184D6" w:rsidTr="00971794">
        <w:tc>
          <w:tcPr>
            <w:tcW w:w="4675" w:type="dxa"/>
          </w:tcPr>
          <w:p w14:paraId="3880443C" w14:textId="77777777" w:rsidR="001C08D3" w:rsidRPr="00F01347" w:rsidRDefault="001C08D3" w:rsidP="001C08D3">
            <w:pPr>
              <w:pStyle w:val="texto0"/>
              <w:ind w:firstLine="0"/>
              <w:rPr>
                <w:rFonts w:ascii="Verdana" w:hAnsi="Verdana"/>
                <w:sz w:val="16"/>
                <w:szCs w:val="16"/>
              </w:rPr>
            </w:pPr>
            <w:r w:rsidRPr="00F01347">
              <w:rPr>
                <w:rFonts w:ascii="Verdana" w:hAnsi="Verdana"/>
                <w:sz w:val="16"/>
                <w:szCs w:val="16"/>
              </w:rPr>
              <w:t>Durante el desarrollo del método, se evaluaron seis fuentes de agua potable para los efectos de la matriz. De estos, tres mostraron sesgo positivo en un rango de 12 a 15%. Tres fuentes no causaron sesgo de matriz.</w:t>
            </w:r>
          </w:p>
        </w:tc>
        <w:tc>
          <w:tcPr>
            <w:tcW w:w="4675" w:type="dxa"/>
          </w:tcPr>
          <w:p w14:paraId="0CE205A6" w14:textId="7A2082CB" w:rsidR="001C08D3" w:rsidRPr="00F01347" w:rsidRDefault="001C08D3" w:rsidP="001C08D3">
            <w:pPr>
              <w:pStyle w:val="texto0"/>
              <w:ind w:firstLine="0"/>
              <w:rPr>
                <w:rFonts w:ascii="Verdana" w:hAnsi="Verdana"/>
                <w:sz w:val="16"/>
                <w:szCs w:val="16"/>
                <w:lang w:val="en-US"/>
              </w:rPr>
            </w:pPr>
            <w:r w:rsidRPr="00F01347">
              <w:rPr>
                <w:rFonts w:ascii="Verdana" w:hAnsi="Verdana"/>
                <w:sz w:val="16"/>
                <w:szCs w:val="16"/>
                <w:lang w:val="en-US"/>
              </w:rPr>
              <w:t>During method development, six drinking water sources were evaluated for matrix effects. Of these, three showed positive bias in the range of 12 to 15%. Three sources did not cause matrix bias.</w:t>
            </w:r>
          </w:p>
        </w:tc>
      </w:tr>
      <w:tr w:rsidR="001C08D3" w:rsidRPr="00F01347" w14:paraId="5C99492E" w14:textId="4AC79268" w:rsidTr="00971794">
        <w:tc>
          <w:tcPr>
            <w:tcW w:w="4675" w:type="dxa"/>
          </w:tcPr>
          <w:p w14:paraId="7ADF1E45" w14:textId="77777777" w:rsidR="001C08D3" w:rsidRPr="00F01347" w:rsidRDefault="001C08D3" w:rsidP="001C08D3">
            <w:pPr>
              <w:pStyle w:val="texto0"/>
              <w:ind w:firstLine="0"/>
              <w:rPr>
                <w:rFonts w:ascii="Verdana" w:hAnsi="Verdana"/>
                <w:sz w:val="16"/>
                <w:szCs w:val="16"/>
              </w:rPr>
            </w:pPr>
            <w:r w:rsidRPr="00F01347">
              <w:rPr>
                <w:rFonts w:ascii="Verdana" w:hAnsi="Verdana"/>
                <w:sz w:val="16"/>
                <w:szCs w:val="16"/>
              </w:rPr>
              <w:t xml:space="preserve">Este método contempla el análisis de muestras colectadas tanto de agua para uso y consumo humano que ha pasado a través de sistema de tratamiento como de muestras de agua colectadas en la entrada del sistema de tratamiento que provienen de fuentes naturales (muestras ambientales). Con la finalidad de evitar la contaminación cruzada, es importante separar las jeringas de vidrio utilizadas para filtrar el agua de muestras ambientales, que puede contener altos niveles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de las usadas para filtrar el agua potable de uso y consumo humano que ha pasado a través de sistemas de tratamiento. Alternativamente, </w:t>
            </w:r>
            <w:r w:rsidRPr="00F01347">
              <w:rPr>
                <w:rFonts w:ascii="Verdana" w:hAnsi="Verdana"/>
                <w:sz w:val="16"/>
                <w:szCs w:val="16"/>
              </w:rPr>
              <w:lastRenderedPageBreak/>
              <w:t>pueden utilizarse jeringas de plástico desechables. Es importante limpiar adecuadamente los recipientes de las muestras que son vidrio en caso de ser reutilizados. No deben de reutilizarse septos de botellas que contengan muestras de agua ambientales.</w:t>
            </w:r>
          </w:p>
        </w:tc>
        <w:tc>
          <w:tcPr>
            <w:tcW w:w="4675" w:type="dxa"/>
          </w:tcPr>
          <w:p w14:paraId="654879FE" w14:textId="77E735D8" w:rsidR="001C08D3" w:rsidRPr="00F01347" w:rsidRDefault="001C08D3" w:rsidP="001C08D3">
            <w:pPr>
              <w:pStyle w:val="texto0"/>
              <w:ind w:firstLine="0"/>
              <w:rPr>
                <w:rFonts w:ascii="Verdana" w:hAnsi="Verdana"/>
                <w:sz w:val="16"/>
                <w:szCs w:val="16"/>
                <w:lang w:val="en-US"/>
              </w:rPr>
            </w:pPr>
            <w:r w:rsidRPr="00F01347">
              <w:rPr>
                <w:rFonts w:ascii="Verdana" w:hAnsi="Verdana"/>
                <w:sz w:val="16"/>
                <w:szCs w:val="16"/>
                <w:lang w:val="en-US"/>
              </w:rPr>
              <w:lastRenderedPageBreak/>
              <w:t xml:space="preserve">This method contemplates the analysis of samples collected from both water for human use and consumption that has passed through the treatment system and water samples collected at the entrance to the treatment system that come from natural sources (environmental samples). </w:t>
            </w: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avoid cross-contamination, it is important to separate the glass syringes used to filter water from environmental samples, which may contain high levels of </w:t>
            </w:r>
            <w:proofErr w:type="spellStart"/>
            <w:r w:rsidRPr="00F01347">
              <w:rPr>
                <w:rFonts w:ascii="Verdana" w:hAnsi="Verdana"/>
                <w:sz w:val="16"/>
                <w:szCs w:val="16"/>
                <w:lang w:val="en-US"/>
              </w:rPr>
              <w:t>microcystins</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from those used to filter drinking water for human use and consumption that has passed into through treatment systems. Alternatively, disposable plastic </w:t>
            </w:r>
            <w:r w:rsidRPr="00F01347">
              <w:rPr>
                <w:rFonts w:ascii="Verdana" w:hAnsi="Verdana"/>
                <w:sz w:val="16"/>
                <w:szCs w:val="16"/>
                <w:lang w:val="en-US"/>
              </w:rPr>
              <w:lastRenderedPageBreak/>
              <w:t>syringes can be used. It is important to properly clean glass sample containers if they are reused. Bottle septa containing environmental water samples should not be reused.</w:t>
            </w:r>
          </w:p>
        </w:tc>
      </w:tr>
      <w:tr w:rsidR="001C08D3" w:rsidRPr="00F01347" w14:paraId="399E1D68" w14:textId="322664B8" w:rsidTr="00971794">
        <w:tc>
          <w:tcPr>
            <w:tcW w:w="4675" w:type="dxa"/>
          </w:tcPr>
          <w:p w14:paraId="7F995D52" w14:textId="77777777" w:rsidR="001C08D3" w:rsidRPr="00F01347" w:rsidRDefault="001C08D3" w:rsidP="001C08D3">
            <w:pPr>
              <w:pStyle w:val="texto0"/>
              <w:ind w:firstLine="0"/>
              <w:rPr>
                <w:rFonts w:ascii="Verdana" w:hAnsi="Verdana"/>
                <w:sz w:val="16"/>
                <w:szCs w:val="16"/>
              </w:rPr>
            </w:pPr>
            <w:r w:rsidRPr="00F01347">
              <w:rPr>
                <w:rFonts w:ascii="Verdana" w:hAnsi="Verdana"/>
                <w:sz w:val="16"/>
                <w:szCs w:val="16"/>
              </w:rPr>
              <w:lastRenderedPageBreak/>
              <w:t xml:space="preserve">Los resultados reportados por este método representan el total de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y </w:t>
            </w:r>
            <w:proofErr w:type="spellStart"/>
            <w:r w:rsidRPr="00F01347">
              <w:rPr>
                <w:rFonts w:ascii="Verdana" w:hAnsi="Verdana"/>
                <w:sz w:val="16"/>
                <w:szCs w:val="16"/>
              </w:rPr>
              <w:t>nodularinas</w:t>
            </w:r>
            <w:proofErr w:type="spellEnd"/>
            <w:r w:rsidRPr="00F01347">
              <w:rPr>
                <w:rFonts w:ascii="Verdana" w:hAnsi="Verdana"/>
                <w:sz w:val="16"/>
                <w:szCs w:val="16"/>
              </w:rPr>
              <w:t xml:space="preserve"> basadas en el método de ELISA </w:t>
            </w:r>
            <w:proofErr w:type="spellStart"/>
            <w:r w:rsidRPr="00F01347">
              <w:rPr>
                <w:rFonts w:ascii="Verdana" w:hAnsi="Verdana"/>
                <w:sz w:val="16"/>
                <w:szCs w:val="16"/>
              </w:rPr>
              <w:t>Adda</w:t>
            </w:r>
            <w:proofErr w:type="spellEnd"/>
            <w:r w:rsidRPr="00F01347">
              <w:rPr>
                <w:rFonts w:ascii="Verdana" w:hAnsi="Verdana"/>
                <w:sz w:val="16"/>
                <w:szCs w:val="16"/>
              </w:rPr>
              <w:t xml:space="preserve"> calibrado con MC-LR.</w:t>
            </w:r>
          </w:p>
        </w:tc>
        <w:tc>
          <w:tcPr>
            <w:tcW w:w="4675" w:type="dxa"/>
          </w:tcPr>
          <w:p w14:paraId="05F2C75B" w14:textId="4DA6C99B" w:rsidR="001C08D3" w:rsidRPr="00F01347" w:rsidRDefault="001C08D3" w:rsidP="001C08D3">
            <w:pPr>
              <w:pStyle w:val="texto0"/>
              <w:ind w:firstLine="0"/>
              <w:rPr>
                <w:rFonts w:ascii="Verdana" w:hAnsi="Verdana"/>
                <w:sz w:val="16"/>
                <w:szCs w:val="16"/>
                <w:lang w:val="en-US"/>
              </w:rPr>
            </w:pPr>
            <w:r w:rsidRPr="00F01347">
              <w:rPr>
                <w:rFonts w:ascii="Verdana" w:hAnsi="Verdana"/>
                <w:sz w:val="16"/>
                <w:szCs w:val="16"/>
                <w:lang w:val="en-US"/>
              </w:rPr>
              <w:t xml:space="preserve">The results reported by this method represent the total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and </w:t>
            </w:r>
            <w:proofErr w:type="spellStart"/>
            <w:r w:rsidRPr="00F01347">
              <w:rPr>
                <w:rFonts w:ascii="Verdana" w:hAnsi="Verdana"/>
                <w:sz w:val="16"/>
                <w:szCs w:val="16"/>
                <w:lang w:val="en-US"/>
              </w:rPr>
              <w:t>nodularins</w:t>
            </w:r>
            <w:proofErr w:type="spellEnd"/>
            <w:r w:rsidRPr="00F01347">
              <w:rPr>
                <w:rFonts w:ascii="Verdana" w:hAnsi="Verdana"/>
                <w:sz w:val="16"/>
                <w:szCs w:val="16"/>
                <w:lang w:val="en-US"/>
              </w:rPr>
              <w:t xml:space="preserve"> based on the Adda ELISA method calibrated with MC-LR.</w:t>
            </w:r>
          </w:p>
        </w:tc>
      </w:tr>
      <w:tr w:rsidR="001C08D3" w:rsidRPr="00F01347" w14:paraId="48BA3AD9" w14:textId="44389910" w:rsidTr="00971794">
        <w:tc>
          <w:tcPr>
            <w:tcW w:w="4675" w:type="dxa"/>
          </w:tcPr>
          <w:p w14:paraId="01DAFA1F" w14:textId="77777777" w:rsidR="001C08D3" w:rsidRPr="00F01347" w:rsidRDefault="001C08D3" w:rsidP="001C08D3">
            <w:pPr>
              <w:pStyle w:val="texto0"/>
              <w:ind w:firstLine="0"/>
              <w:rPr>
                <w:rFonts w:ascii="Verdana" w:hAnsi="Verdana"/>
                <w:sz w:val="16"/>
                <w:szCs w:val="16"/>
              </w:rPr>
            </w:pPr>
            <w:r w:rsidRPr="00F01347">
              <w:rPr>
                <w:rFonts w:ascii="Verdana" w:hAnsi="Verdana"/>
                <w:b/>
                <w:sz w:val="16"/>
                <w:szCs w:val="16"/>
              </w:rPr>
              <w:t>B.1.1.9 Seguridad, prevención de contaminación y manejo de residuos</w:t>
            </w:r>
          </w:p>
        </w:tc>
        <w:tc>
          <w:tcPr>
            <w:tcW w:w="4675" w:type="dxa"/>
          </w:tcPr>
          <w:p w14:paraId="4A54E669" w14:textId="12912A76" w:rsidR="001C08D3" w:rsidRPr="00F01347" w:rsidRDefault="001C08D3" w:rsidP="001C08D3">
            <w:pPr>
              <w:pStyle w:val="texto0"/>
              <w:ind w:firstLine="0"/>
              <w:rPr>
                <w:rFonts w:ascii="Verdana" w:hAnsi="Verdana"/>
                <w:b/>
                <w:sz w:val="16"/>
                <w:szCs w:val="16"/>
                <w:lang w:val="en-US"/>
              </w:rPr>
            </w:pPr>
            <w:r w:rsidRPr="00F01347">
              <w:rPr>
                <w:rFonts w:ascii="Verdana" w:hAnsi="Verdana"/>
                <w:b/>
                <w:sz w:val="16"/>
                <w:szCs w:val="16"/>
                <w:lang w:val="en-US"/>
              </w:rPr>
              <w:t>B.1.1.9 Safety, pollution prevention and waste management</w:t>
            </w:r>
          </w:p>
        </w:tc>
      </w:tr>
      <w:tr w:rsidR="001C08D3" w:rsidRPr="00F01347" w14:paraId="12B3A9C4" w14:textId="37431AEB" w:rsidTr="00971794">
        <w:tc>
          <w:tcPr>
            <w:tcW w:w="4675" w:type="dxa"/>
          </w:tcPr>
          <w:p w14:paraId="2B706A88"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Cada reactivo utilizado en estos procedimientos debe ser tratado como un riesgo potencial para la salud y la exposición a estos materiales debe ser minimizada. Cada laboratorio es responsable de mantener un conocimiento de las regulaciones respecto a la manipulación segura de cualquier producto químico usado en este método. Debe ponerse a disposición de todo el personal involucrado en el análisis las hojas de datos de seguridad de los productos químicos. El riesgo principal cuando se realizan los procedimientos en este método es la exposición a cianotoxinas en las muestras y en los estándares concentrados. Debe de utilizarse equipo de protección personal apropiado para el manejo de muestras y estándares.</w:t>
            </w:r>
          </w:p>
        </w:tc>
        <w:tc>
          <w:tcPr>
            <w:tcW w:w="4675" w:type="dxa"/>
          </w:tcPr>
          <w:p w14:paraId="246C7E7E" w14:textId="56DE2287"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Each reagent used in these procedures should be treated as a potential health risk and exposure to these materials should be minimized. Each laboratory is responsible for maintaining an understanding of the regulations regarding the safe handling of any chemicals used in this method. Chemical </w:t>
            </w:r>
            <w:r w:rsidR="00FE21E4" w:rsidRPr="00F01347">
              <w:rPr>
                <w:rFonts w:ascii="Verdana" w:hAnsi="Verdana"/>
                <w:sz w:val="16"/>
                <w:szCs w:val="16"/>
                <w:lang w:val="en-US"/>
              </w:rPr>
              <w:t>Safety Data Sheets</w:t>
            </w:r>
            <w:r w:rsidRPr="00F01347">
              <w:rPr>
                <w:rFonts w:ascii="Verdana" w:hAnsi="Verdana"/>
                <w:sz w:val="16"/>
                <w:szCs w:val="16"/>
                <w:lang w:val="en-US"/>
              </w:rPr>
              <w:t xml:space="preserve"> should be made available to all personnel involved in the analysis. The primary risk when performing procedures in this method is exposure to cyanotoxins in the samples and concentrated standards. Appropriate personal protective equipment must be used when handling samples and standards.</w:t>
            </w:r>
          </w:p>
        </w:tc>
      </w:tr>
      <w:tr w:rsidR="001C08D3" w:rsidRPr="00F01347" w14:paraId="25291AC5" w14:textId="30883F08" w:rsidTr="00971794">
        <w:tc>
          <w:tcPr>
            <w:tcW w:w="4675" w:type="dxa"/>
          </w:tcPr>
          <w:p w14:paraId="11848D30"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 xml:space="preserve">Para obtener información sobre la prevención de contaminación aplicable a las operaciones de laboratorio descritas en este método, puede consultar referencias especializadas (p.ej. American </w:t>
            </w:r>
            <w:proofErr w:type="gramStart"/>
            <w:r w:rsidRPr="00F01347">
              <w:rPr>
                <w:rFonts w:ascii="Verdana" w:hAnsi="Verdana"/>
                <w:sz w:val="16"/>
                <w:szCs w:val="16"/>
              </w:rPr>
              <w:t xml:space="preserve">Chemical  </w:t>
            </w:r>
            <w:proofErr w:type="spellStart"/>
            <w:r w:rsidRPr="00F01347">
              <w:rPr>
                <w:rFonts w:ascii="Verdana" w:hAnsi="Verdana"/>
                <w:sz w:val="16"/>
                <w:szCs w:val="16"/>
              </w:rPr>
              <w:t>Society</w:t>
            </w:r>
            <w:proofErr w:type="spellEnd"/>
            <w:proofErr w:type="gramEnd"/>
            <w:r w:rsidRPr="00F01347">
              <w:rPr>
                <w:rFonts w:ascii="Verdana" w:hAnsi="Verdana"/>
                <w:sz w:val="16"/>
                <w:szCs w:val="16"/>
              </w:rPr>
              <w:t>, 2002).</w:t>
            </w:r>
          </w:p>
        </w:tc>
        <w:tc>
          <w:tcPr>
            <w:tcW w:w="4675" w:type="dxa"/>
          </w:tcPr>
          <w:p w14:paraId="75E6E747" w14:textId="3C5FB4A2"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For contamination prevention information applicable to the laboratory operations described in this method, </w:t>
            </w:r>
            <w:r w:rsidR="004A6BE5" w:rsidRPr="00F01347">
              <w:rPr>
                <w:rFonts w:ascii="Verdana" w:hAnsi="Verdana"/>
                <w:sz w:val="16"/>
                <w:szCs w:val="16"/>
                <w:lang w:val="en-US"/>
              </w:rPr>
              <w:t>one</w:t>
            </w:r>
            <w:r w:rsidRPr="00F01347">
              <w:rPr>
                <w:rFonts w:ascii="Verdana" w:hAnsi="Verdana"/>
                <w:sz w:val="16"/>
                <w:szCs w:val="16"/>
                <w:lang w:val="en-US"/>
              </w:rPr>
              <w:t xml:space="preserve"> may consult specialized references (</w:t>
            </w:r>
            <w:proofErr w:type="gramStart"/>
            <w:r w:rsidRPr="00F01347">
              <w:rPr>
                <w:rFonts w:ascii="Verdana" w:hAnsi="Verdana"/>
                <w:sz w:val="16"/>
                <w:szCs w:val="16"/>
                <w:lang w:val="en-US"/>
              </w:rPr>
              <w:t>e.g.</w:t>
            </w:r>
            <w:proofErr w:type="gramEnd"/>
            <w:r w:rsidRPr="00F01347">
              <w:rPr>
                <w:rFonts w:ascii="Verdana" w:hAnsi="Verdana"/>
                <w:sz w:val="16"/>
                <w:szCs w:val="16"/>
                <w:lang w:val="en-US"/>
              </w:rPr>
              <w:t xml:space="preserve"> American Chemical Society</w:t>
            </w:r>
            <w:r w:rsidR="003E1BA9" w:rsidRPr="00F01347">
              <w:rPr>
                <w:rFonts w:ascii="Verdana" w:hAnsi="Verdana"/>
                <w:sz w:val="16"/>
                <w:szCs w:val="16"/>
                <w:lang w:val="en-US"/>
              </w:rPr>
              <w:t>,</w:t>
            </w:r>
            <w:r w:rsidRPr="00F01347">
              <w:rPr>
                <w:rFonts w:ascii="Verdana" w:hAnsi="Verdana"/>
                <w:sz w:val="16"/>
                <w:szCs w:val="16"/>
                <w:lang w:val="en-US"/>
              </w:rPr>
              <w:t xml:space="preserve"> 2002).</w:t>
            </w:r>
          </w:p>
        </w:tc>
      </w:tr>
      <w:tr w:rsidR="001C08D3" w:rsidRPr="00F01347" w14:paraId="2A3B6C32" w14:textId="28BD9B4A" w:rsidTr="00971794">
        <w:tc>
          <w:tcPr>
            <w:tcW w:w="4675" w:type="dxa"/>
          </w:tcPr>
          <w:p w14:paraId="34F4B11D"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Es necesario que el laboratorio cumpla con las regulaciones vigentes y aplicables en materia de manejo de residuos ante la autoridad correspondiente.</w:t>
            </w:r>
          </w:p>
        </w:tc>
        <w:tc>
          <w:tcPr>
            <w:tcW w:w="4675" w:type="dxa"/>
          </w:tcPr>
          <w:p w14:paraId="0CFB3BD4" w14:textId="0AD6C82F"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It is necessary that the laboratory comply with current and applicable regulations regarding waste management before the corresponding authority.</w:t>
            </w:r>
          </w:p>
        </w:tc>
      </w:tr>
      <w:tr w:rsidR="001C08D3" w:rsidRPr="00F01347" w14:paraId="0DCB8B3E" w14:textId="66D8B7AB" w:rsidTr="00971794">
        <w:tc>
          <w:tcPr>
            <w:tcW w:w="4675" w:type="dxa"/>
          </w:tcPr>
          <w:p w14:paraId="44B278A8" w14:textId="77777777" w:rsidR="001C08D3" w:rsidRPr="00F01347" w:rsidRDefault="001C08D3" w:rsidP="001C08D3">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B.1.1.10 </w:t>
            </w:r>
            <w:proofErr w:type="spellStart"/>
            <w:r w:rsidRPr="00F01347">
              <w:rPr>
                <w:rFonts w:ascii="Verdana" w:hAnsi="Verdana"/>
                <w:b/>
                <w:sz w:val="16"/>
                <w:szCs w:val="16"/>
                <w:lang w:val="en-US"/>
              </w:rPr>
              <w:t>Referencias</w:t>
            </w:r>
            <w:proofErr w:type="spellEnd"/>
          </w:p>
        </w:tc>
        <w:tc>
          <w:tcPr>
            <w:tcW w:w="4675" w:type="dxa"/>
          </w:tcPr>
          <w:p w14:paraId="230B048C" w14:textId="6CCA76F5" w:rsidR="001C08D3" w:rsidRPr="00F01347" w:rsidRDefault="001C08D3" w:rsidP="001C08D3">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B.1.1.10 References</w:t>
            </w:r>
          </w:p>
        </w:tc>
      </w:tr>
      <w:tr w:rsidR="001C08D3" w:rsidRPr="00F01347" w14:paraId="064F8D9D" w14:textId="31875EA8" w:rsidTr="00971794">
        <w:tc>
          <w:tcPr>
            <w:tcW w:w="4675" w:type="dxa"/>
          </w:tcPr>
          <w:p w14:paraId="54A98491" w14:textId="77777777"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w:t>
            </w:r>
            <w:r w:rsidRPr="00F01347">
              <w:rPr>
                <w:rFonts w:ascii="Verdana" w:hAnsi="Verdana"/>
                <w:sz w:val="16"/>
                <w:szCs w:val="16"/>
                <w:lang w:val="en-US"/>
              </w:rPr>
              <w:tab/>
              <w:t>American Chemical Society. 2002. “Less is Better, Guide to Minimizing Waste in Laboratories”.</w:t>
            </w:r>
          </w:p>
        </w:tc>
        <w:tc>
          <w:tcPr>
            <w:tcW w:w="4675" w:type="dxa"/>
          </w:tcPr>
          <w:p w14:paraId="31472228" w14:textId="2E428493"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American Chemical Society. 2002. “Less is Better, Guide to Minimizing Waste in Laboratories.”</w:t>
            </w:r>
          </w:p>
        </w:tc>
      </w:tr>
      <w:tr w:rsidR="001C08D3" w:rsidRPr="00F01347" w14:paraId="3B405115" w14:textId="7FCB86F5" w:rsidTr="00971794">
        <w:tc>
          <w:tcPr>
            <w:tcW w:w="4675" w:type="dxa"/>
          </w:tcPr>
          <w:p w14:paraId="34F878D5" w14:textId="77777777"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w:t>
            </w:r>
            <w:r w:rsidRPr="00F01347">
              <w:rPr>
                <w:rFonts w:ascii="Verdana" w:hAnsi="Verdana"/>
                <w:sz w:val="16"/>
                <w:szCs w:val="16"/>
                <w:lang w:val="en-US"/>
              </w:rPr>
              <w:tab/>
              <w:t>Davies, Chris. 2005. “Concepts</w:t>
            </w:r>
            <w:r w:rsidRPr="00F01347">
              <w:rPr>
                <w:rFonts w:ascii="Verdana" w:hAnsi="Verdana"/>
                <w:i/>
                <w:sz w:val="16"/>
                <w:szCs w:val="16"/>
                <w:lang w:val="en-US"/>
              </w:rPr>
              <w:t xml:space="preserve">” </w:t>
            </w:r>
            <w:proofErr w:type="spellStart"/>
            <w:r w:rsidRPr="00F01347">
              <w:rPr>
                <w:rFonts w:ascii="Verdana" w:hAnsi="Verdana"/>
                <w:sz w:val="16"/>
                <w:szCs w:val="16"/>
                <w:lang w:val="en-US"/>
              </w:rPr>
              <w:t>en</w:t>
            </w:r>
            <w:proofErr w:type="spellEnd"/>
            <w:r w:rsidRPr="00F01347">
              <w:rPr>
                <w:rFonts w:ascii="Verdana" w:hAnsi="Verdana"/>
                <w:sz w:val="16"/>
                <w:szCs w:val="16"/>
                <w:lang w:val="en-US"/>
              </w:rPr>
              <w:t xml:space="preserve"> “</w:t>
            </w:r>
            <w:r w:rsidRPr="00F01347">
              <w:rPr>
                <w:rFonts w:ascii="Verdana" w:hAnsi="Verdana"/>
                <w:i/>
                <w:sz w:val="16"/>
                <w:szCs w:val="16"/>
                <w:lang w:val="en-US"/>
              </w:rPr>
              <w:t xml:space="preserve">The Immunoassay Handbook”, 3rd ed.; Ed. </w:t>
            </w:r>
            <w:r w:rsidRPr="00F01347">
              <w:rPr>
                <w:rFonts w:ascii="Verdana" w:hAnsi="Verdana"/>
                <w:sz w:val="16"/>
                <w:szCs w:val="16"/>
                <w:lang w:val="en-US"/>
              </w:rPr>
              <w:t>Wild, David; Elsevier, Ltd. Oxford, UK, p 119 (</w:t>
            </w:r>
            <w:proofErr w:type="spellStart"/>
            <w:r w:rsidRPr="00F01347">
              <w:rPr>
                <w:rFonts w:ascii="Verdana" w:hAnsi="Verdana"/>
                <w:sz w:val="16"/>
                <w:szCs w:val="16"/>
                <w:lang w:val="en-US"/>
              </w:rPr>
              <w:t>sección</w:t>
            </w:r>
            <w:proofErr w:type="spellEnd"/>
            <w:r w:rsidRPr="00F01347">
              <w:rPr>
                <w:rFonts w:ascii="Verdana" w:hAnsi="Verdana"/>
                <w:sz w:val="16"/>
                <w:szCs w:val="16"/>
                <w:lang w:val="en-US"/>
              </w:rPr>
              <w:t xml:space="preserve"> </w:t>
            </w:r>
            <w:proofErr w:type="spellStart"/>
            <w:r w:rsidRPr="00F01347">
              <w:rPr>
                <w:rFonts w:ascii="Verdana" w:hAnsi="Verdana"/>
                <w:sz w:val="16"/>
                <w:szCs w:val="16"/>
                <w:lang w:val="en-US"/>
              </w:rPr>
              <w:t>titulada</w:t>
            </w:r>
            <w:proofErr w:type="spellEnd"/>
            <w:r w:rsidRPr="00F01347">
              <w:rPr>
                <w:rFonts w:ascii="Verdana" w:hAnsi="Verdana"/>
                <w:sz w:val="16"/>
                <w:szCs w:val="16"/>
                <w:lang w:val="en-US"/>
              </w:rPr>
              <w:t xml:space="preserve"> “Assay Drift”).</w:t>
            </w:r>
          </w:p>
        </w:tc>
        <w:tc>
          <w:tcPr>
            <w:tcW w:w="4675" w:type="dxa"/>
          </w:tcPr>
          <w:p w14:paraId="3E055BFE" w14:textId="50CC0D20"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Davies, Chris. 2005. “Concepts</w:t>
            </w:r>
            <w:r w:rsidRPr="00F01347">
              <w:rPr>
                <w:rFonts w:ascii="Verdana" w:hAnsi="Verdana"/>
                <w:i/>
                <w:sz w:val="16"/>
                <w:szCs w:val="16"/>
                <w:lang w:val="en-US"/>
              </w:rPr>
              <w:t xml:space="preserve">” </w:t>
            </w:r>
            <w:r w:rsidRPr="00F01347">
              <w:rPr>
                <w:rFonts w:ascii="Verdana" w:hAnsi="Verdana"/>
                <w:sz w:val="16"/>
                <w:szCs w:val="16"/>
                <w:lang w:val="en-US"/>
              </w:rPr>
              <w:t>in “</w:t>
            </w:r>
            <w:r w:rsidRPr="00F01347">
              <w:rPr>
                <w:rFonts w:ascii="Verdana" w:hAnsi="Verdana"/>
                <w:i/>
                <w:sz w:val="16"/>
                <w:szCs w:val="16"/>
                <w:lang w:val="en-US"/>
              </w:rPr>
              <w:t xml:space="preserve">The Immunoassay Handbook,” 3rd ed.; Ed. </w:t>
            </w:r>
            <w:r w:rsidRPr="00F01347">
              <w:rPr>
                <w:rFonts w:ascii="Verdana" w:hAnsi="Verdana"/>
                <w:sz w:val="16"/>
                <w:szCs w:val="16"/>
                <w:lang w:val="en-US"/>
              </w:rPr>
              <w:t>Wild, David; Elsevier, Ltd. Oxford, UK, p 119 (section titled “Assay Drift</w:t>
            </w:r>
            <w:r w:rsidR="00453AF6" w:rsidRPr="00F01347">
              <w:rPr>
                <w:rFonts w:ascii="Verdana" w:hAnsi="Verdana"/>
                <w:sz w:val="16"/>
                <w:szCs w:val="16"/>
                <w:lang w:val="en-US"/>
              </w:rPr>
              <w:t>.</w:t>
            </w:r>
            <w:r w:rsidRPr="00F01347">
              <w:rPr>
                <w:rFonts w:ascii="Verdana" w:hAnsi="Verdana"/>
                <w:sz w:val="16"/>
                <w:szCs w:val="16"/>
                <w:lang w:val="en-US"/>
              </w:rPr>
              <w:t>”)</w:t>
            </w:r>
          </w:p>
        </w:tc>
      </w:tr>
      <w:tr w:rsidR="001C08D3" w:rsidRPr="00F01347" w14:paraId="3C69138E" w14:textId="145E14D9" w:rsidTr="00971794">
        <w:tc>
          <w:tcPr>
            <w:tcW w:w="4675" w:type="dxa"/>
          </w:tcPr>
          <w:p w14:paraId="2D7353F8" w14:textId="77777777"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w:t>
            </w:r>
            <w:r w:rsidRPr="00F01347">
              <w:rPr>
                <w:rFonts w:ascii="Verdana" w:hAnsi="Verdana"/>
                <w:sz w:val="16"/>
                <w:szCs w:val="16"/>
                <w:lang w:val="en-US"/>
              </w:rPr>
              <w:tab/>
              <w:t xml:space="preserve">Fischer, Werner J. </w:t>
            </w:r>
            <w:r w:rsidRPr="00F01347">
              <w:rPr>
                <w:rFonts w:ascii="Verdana" w:hAnsi="Verdana"/>
                <w:i/>
                <w:sz w:val="16"/>
                <w:szCs w:val="16"/>
                <w:lang w:val="en-US"/>
              </w:rPr>
              <w:t xml:space="preserve">et al. </w:t>
            </w:r>
            <w:r w:rsidRPr="00F01347">
              <w:rPr>
                <w:rFonts w:ascii="Verdana" w:hAnsi="Verdana"/>
                <w:sz w:val="16"/>
                <w:szCs w:val="16"/>
                <w:lang w:val="en-US"/>
              </w:rPr>
              <w:t>2001</w:t>
            </w:r>
            <w:r w:rsidRPr="00F01347">
              <w:rPr>
                <w:rFonts w:ascii="Verdana" w:hAnsi="Verdana"/>
                <w:i/>
                <w:sz w:val="16"/>
                <w:szCs w:val="16"/>
                <w:lang w:val="en-US"/>
              </w:rPr>
              <w:t xml:space="preserve"> Congener-Independent Immunoassay for </w:t>
            </w:r>
            <w:proofErr w:type="spellStart"/>
            <w:r w:rsidRPr="00F01347">
              <w:rPr>
                <w:rFonts w:ascii="Verdana" w:hAnsi="Verdana"/>
                <w:i/>
                <w:sz w:val="16"/>
                <w:szCs w:val="16"/>
                <w:lang w:val="en-US"/>
              </w:rPr>
              <w:t>Microcystins</w:t>
            </w:r>
            <w:proofErr w:type="spellEnd"/>
            <w:r w:rsidRPr="00F01347">
              <w:rPr>
                <w:rFonts w:ascii="Verdana" w:hAnsi="Verdana"/>
                <w:i/>
                <w:sz w:val="16"/>
                <w:szCs w:val="16"/>
                <w:lang w:val="en-US"/>
              </w:rPr>
              <w:t xml:space="preserve"> and </w:t>
            </w:r>
            <w:proofErr w:type="spellStart"/>
            <w:r w:rsidRPr="00F01347">
              <w:rPr>
                <w:rFonts w:ascii="Verdana" w:hAnsi="Verdana"/>
                <w:i/>
                <w:sz w:val="16"/>
                <w:szCs w:val="16"/>
                <w:lang w:val="en-US"/>
              </w:rPr>
              <w:t>Nodularins</w:t>
            </w:r>
            <w:proofErr w:type="spellEnd"/>
            <w:r w:rsidRPr="00F01347">
              <w:rPr>
                <w:rFonts w:ascii="Verdana" w:hAnsi="Verdana"/>
                <w:i/>
                <w:sz w:val="16"/>
                <w:szCs w:val="16"/>
                <w:lang w:val="en-US"/>
              </w:rPr>
              <w:t>. Environ. Sci. Technol</w:t>
            </w:r>
            <w:r w:rsidRPr="00F01347">
              <w:rPr>
                <w:rFonts w:ascii="Verdana" w:hAnsi="Verdana"/>
                <w:sz w:val="16"/>
                <w:szCs w:val="16"/>
                <w:lang w:val="en-US"/>
              </w:rPr>
              <w:t>.35: 4849–4856</w:t>
            </w:r>
          </w:p>
        </w:tc>
        <w:tc>
          <w:tcPr>
            <w:tcW w:w="4675" w:type="dxa"/>
          </w:tcPr>
          <w:p w14:paraId="78528752" w14:textId="20C99A30"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Fischer, Werner J. </w:t>
            </w:r>
            <w:r w:rsidRPr="00F01347">
              <w:rPr>
                <w:rFonts w:ascii="Verdana" w:hAnsi="Verdana"/>
                <w:i/>
                <w:sz w:val="16"/>
                <w:szCs w:val="16"/>
                <w:lang w:val="en-US"/>
              </w:rPr>
              <w:t xml:space="preserve">et al. </w:t>
            </w:r>
            <w:r w:rsidRPr="00F01347">
              <w:rPr>
                <w:rFonts w:ascii="Verdana" w:hAnsi="Verdana"/>
                <w:sz w:val="16"/>
                <w:szCs w:val="16"/>
                <w:lang w:val="en-US"/>
              </w:rPr>
              <w:t xml:space="preserve">2001 </w:t>
            </w:r>
            <w:r w:rsidRPr="00F01347">
              <w:rPr>
                <w:rFonts w:ascii="Verdana" w:hAnsi="Verdana"/>
                <w:i/>
                <w:sz w:val="16"/>
                <w:szCs w:val="16"/>
                <w:lang w:val="en-US"/>
              </w:rPr>
              <w:t xml:space="preserve">Congener-Independent Immunoassay for </w:t>
            </w:r>
            <w:proofErr w:type="spellStart"/>
            <w:r w:rsidRPr="00F01347">
              <w:rPr>
                <w:rFonts w:ascii="Verdana" w:hAnsi="Verdana"/>
                <w:i/>
                <w:sz w:val="16"/>
                <w:szCs w:val="16"/>
                <w:lang w:val="en-US"/>
              </w:rPr>
              <w:t>Microcystins</w:t>
            </w:r>
            <w:proofErr w:type="spellEnd"/>
            <w:r w:rsidRPr="00F01347">
              <w:rPr>
                <w:rFonts w:ascii="Verdana" w:hAnsi="Verdana"/>
                <w:i/>
                <w:sz w:val="16"/>
                <w:szCs w:val="16"/>
                <w:lang w:val="en-US"/>
              </w:rPr>
              <w:t xml:space="preserve"> and </w:t>
            </w:r>
            <w:proofErr w:type="spellStart"/>
            <w:r w:rsidRPr="00F01347">
              <w:rPr>
                <w:rFonts w:ascii="Verdana" w:hAnsi="Verdana"/>
                <w:i/>
                <w:sz w:val="16"/>
                <w:szCs w:val="16"/>
                <w:lang w:val="en-US"/>
              </w:rPr>
              <w:t>Nodularins</w:t>
            </w:r>
            <w:proofErr w:type="spellEnd"/>
            <w:r w:rsidR="003E1BA9" w:rsidRPr="00F01347">
              <w:rPr>
                <w:rFonts w:ascii="Verdana" w:hAnsi="Verdana"/>
                <w:i/>
                <w:sz w:val="16"/>
                <w:szCs w:val="16"/>
                <w:lang w:val="en-US"/>
              </w:rPr>
              <w:t>.</w:t>
            </w:r>
            <w:r w:rsidRPr="00F01347">
              <w:rPr>
                <w:rFonts w:ascii="Verdana" w:hAnsi="Verdana"/>
                <w:i/>
                <w:sz w:val="16"/>
                <w:szCs w:val="16"/>
                <w:lang w:val="en-US"/>
              </w:rPr>
              <w:t xml:space="preserve"> Environ. Sci Technol</w:t>
            </w:r>
            <w:r w:rsidR="003E1BA9" w:rsidRPr="00F01347">
              <w:rPr>
                <w:rFonts w:ascii="Verdana" w:hAnsi="Verdana"/>
                <w:i/>
                <w:sz w:val="16"/>
                <w:szCs w:val="16"/>
                <w:lang w:val="en-US"/>
              </w:rPr>
              <w:t>.</w:t>
            </w:r>
            <w:r w:rsidRPr="00F01347">
              <w:rPr>
                <w:rFonts w:ascii="Verdana" w:hAnsi="Verdana"/>
                <w:sz w:val="16"/>
                <w:szCs w:val="16"/>
                <w:lang w:val="en-US"/>
              </w:rPr>
              <w:t>35:4849–4856</w:t>
            </w:r>
          </w:p>
        </w:tc>
      </w:tr>
      <w:tr w:rsidR="001C08D3" w:rsidRPr="00F01347" w14:paraId="3699A7A4" w14:textId="2ED94ED2" w:rsidTr="00971794">
        <w:tc>
          <w:tcPr>
            <w:tcW w:w="4675" w:type="dxa"/>
          </w:tcPr>
          <w:p w14:paraId="26200CD9" w14:textId="77777777"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w:t>
            </w:r>
            <w:r w:rsidRPr="00F01347">
              <w:rPr>
                <w:rFonts w:ascii="Verdana" w:hAnsi="Verdana"/>
                <w:sz w:val="16"/>
                <w:szCs w:val="16"/>
                <w:lang w:val="en-US"/>
              </w:rPr>
              <w:tab/>
              <w:t xml:space="preserve">Maciel, Robert J. 1985. </w:t>
            </w:r>
            <w:r w:rsidRPr="00F01347">
              <w:rPr>
                <w:rFonts w:ascii="Verdana" w:hAnsi="Verdana"/>
                <w:i/>
                <w:sz w:val="16"/>
                <w:szCs w:val="16"/>
                <w:lang w:val="en-US"/>
              </w:rPr>
              <w:t>Standard Curve Fitting in Immunodiagnostics: a Primer</w:t>
            </w:r>
            <w:r w:rsidRPr="00F01347">
              <w:rPr>
                <w:rFonts w:ascii="Verdana" w:hAnsi="Verdana"/>
                <w:sz w:val="16"/>
                <w:szCs w:val="16"/>
                <w:lang w:val="en-US"/>
              </w:rPr>
              <w:t xml:space="preserve">. </w:t>
            </w:r>
            <w:r w:rsidRPr="00F01347">
              <w:rPr>
                <w:rFonts w:ascii="Verdana" w:hAnsi="Verdana"/>
                <w:i/>
                <w:sz w:val="16"/>
                <w:szCs w:val="16"/>
                <w:lang w:val="en-US"/>
              </w:rPr>
              <w:t>Journal of Clinical Immunoassay</w:t>
            </w:r>
            <w:r w:rsidRPr="00F01347">
              <w:rPr>
                <w:rFonts w:ascii="Verdana" w:hAnsi="Verdana"/>
                <w:sz w:val="16"/>
                <w:szCs w:val="16"/>
                <w:lang w:val="en-US"/>
              </w:rPr>
              <w:t>. Vol. 8, 98–106.</w:t>
            </w:r>
          </w:p>
        </w:tc>
        <w:tc>
          <w:tcPr>
            <w:tcW w:w="4675" w:type="dxa"/>
          </w:tcPr>
          <w:p w14:paraId="61B1A953" w14:textId="49AC9EE8"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Maciel, Robert J. 1985. </w:t>
            </w:r>
            <w:r w:rsidRPr="00F01347">
              <w:rPr>
                <w:rFonts w:ascii="Verdana" w:hAnsi="Verdana"/>
                <w:i/>
                <w:sz w:val="16"/>
                <w:szCs w:val="16"/>
                <w:lang w:val="en-US"/>
              </w:rPr>
              <w:t>Standard Curve Fitting in Immunodiagnostics: a Primer</w:t>
            </w:r>
            <w:r w:rsidR="003E1BA9" w:rsidRPr="00F01347">
              <w:rPr>
                <w:rFonts w:ascii="Verdana" w:hAnsi="Verdana"/>
                <w:i/>
                <w:sz w:val="16"/>
                <w:szCs w:val="16"/>
                <w:lang w:val="en-US"/>
              </w:rPr>
              <w:t>.</w:t>
            </w:r>
            <w:r w:rsidRPr="00F01347">
              <w:rPr>
                <w:rFonts w:ascii="Verdana" w:hAnsi="Verdana"/>
                <w:sz w:val="16"/>
                <w:szCs w:val="16"/>
                <w:lang w:val="en-US"/>
              </w:rPr>
              <w:t xml:space="preserve"> </w:t>
            </w:r>
            <w:r w:rsidRPr="00F01347">
              <w:rPr>
                <w:rFonts w:ascii="Verdana" w:hAnsi="Verdana"/>
                <w:i/>
                <w:sz w:val="16"/>
                <w:szCs w:val="16"/>
                <w:lang w:val="en-US"/>
              </w:rPr>
              <w:t>Journal of Clinical Immunoassay</w:t>
            </w:r>
            <w:r w:rsidR="003E1BA9" w:rsidRPr="00F01347">
              <w:rPr>
                <w:rFonts w:ascii="Verdana" w:hAnsi="Verdana"/>
                <w:i/>
                <w:sz w:val="16"/>
                <w:szCs w:val="16"/>
                <w:lang w:val="en-US"/>
              </w:rPr>
              <w:t>.</w:t>
            </w:r>
            <w:r w:rsidRPr="00F01347">
              <w:rPr>
                <w:rFonts w:ascii="Verdana" w:hAnsi="Verdana"/>
                <w:sz w:val="16"/>
                <w:szCs w:val="16"/>
                <w:lang w:val="en-US"/>
              </w:rPr>
              <w:t xml:space="preserve"> Vol. 8, 98–106.</w:t>
            </w:r>
          </w:p>
        </w:tc>
      </w:tr>
      <w:tr w:rsidR="001C08D3" w:rsidRPr="00F01347" w14:paraId="6BD009B1" w14:textId="5DF74F90" w:rsidTr="00971794">
        <w:tc>
          <w:tcPr>
            <w:tcW w:w="4675" w:type="dxa"/>
          </w:tcPr>
          <w:p w14:paraId="3FC10B01" w14:textId="77777777"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w:t>
            </w:r>
            <w:r w:rsidRPr="00F01347">
              <w:rPr>
                <w:rFonts w:ascii="Verdana" w:hAnsi="Verdana"/>
                <w:sz w:val="16"/>
                <w:szCs w:val="16"/>
                <w:lang w:val="en-US"/>
              </w:rPr>
              <w:tab/>
              <w:t xml:space="preserve">Ohio EPA Division of Environmental Services. 2015. Ohio EPA Total (Extracellular and Intracellular)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 ADDA by ELISA Analytical Methodology; Method 701.0 Version 2.2 (and previous versions); Ohio EPA: Reynoldsburg, OH.</w:t>
            </w:r>
          </w:p>
        </w:tc>
        <w:tc>
          <w:tcPr>
            <w:tcW w:w="4675" w:type="dxa"/>
          </w:tcPr>
          <w:p w14:paraId="73B42E69" w14:textId="2BA9FE41"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Ohio EPA Division of Environmental Services. 2015. Ohio EPA Total (Extracellular and Intracellular)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 ADDA by ELISA Analytical Methodology; Method 701.0 Version 2.2 (and previous versions); Ohio EPA: Reynoldsburg, OH.</w:t>
            </w:r>
          </w:p>
        </w:tc>
      </w:tr>
      <w:tr w:rsidR="001C08D3" w:rsidRPr="00F01347" w14:paraId="45DB398B" w14:textId="4183AD1F" w:rsidTr="00971794">
        <w:tc>
          <w:tcPr>
            <w:tcW w:w="4675" w:type="dxa"/>
          </w:tcPr>
          <w:p w14:paraId="2710AD75" w14:textId="77777777"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w:t>
            </w:r>
            <w:r w:rsidRPr="00F01347">
              <w:rPr>
                <w:rFonts w:ascii="Verdana" w:hAnsi="Verdana"/>
                <w:sz w:val="16"/>
                <w:szCs w:val="16"/>
                <w:lang w:val="en-US"/>
              </w:rPr>
              <w:tab/>
              <w:t xml:space="preserve">Sasaki, Diane and Mitchell, Robert A. 2016. </w:t>
            </w:r>
            <w:r w:rsidRPr="00F01347">
              <w:rPr>
                <w:rFonts w:ascii="Verdana" w:hAnsi="Verdana"/>
                <w:i/>
                <w:sz w:val="16"/>
                <w:szCs w:val="16"/>
                <w:lang w:val="en-US"/>
              </w:rPr>
              <w:t>How to Obtain Reproducible Quantitative ELISA Results.</w:t>
            </w:r>
            <w:r w:rsidRPr="00F01347">
              <w:rPr>
                <w:rFonts w:ascii="Verdana" w:hAnsi="Verdana"/>
                <w:sz w:val="16"/>
                <w:szCs w:val="16"/>
                <w:lang w:val="en-US"/>
              </w:rPr>
              <w:t xml:space="preserve"> Oxford Biomedical Research website.</w:t>
            </w:r>
          </w:p>
        </w:tc>
        <w:tc>
          <w:tcPr>
            <w:tcW w:w="4675" w:type="dxa"/>
          </w:tcPr>
          <w:p w14:paraId="739562BD" w14:textId="338BD536"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Sasaki, Diane and Mitchell, Robert A. 2016. </w:t>
            </w:r>
            <w:r w:rsidRPr="00F01347">
              <w:rPr>
                <w:rFonts w:ascii="Verdana" w:hAnsi="Verdana"/>
                <w:i/>
                <w:sz w:val="16"/>
                <w:szCs w:val="16"/>
                <w:lang w:val="en-US"/>
              </w:rPr>
              <w:t xml:space="preserve">How to Obtain Reproducible Quantitative ELISA Results. </w:t>
            </w:r>
            <w:r w:rsidRPr="00F01347">
              <w:rPr>
                <w:rFonts w:ascii="Verdana" w:hAnsi="Verdana"/>
                <w:sz w:val="16"/>
                <w:szCs w:val="16"/>
                <w:lang w:val="en-US"/>
              </w:rPr>
              <w:t>Oxford Biomedical Research website.</w:t>
            </w:r>
          </w:p>
        </w:tc>
      </w:tr>
      <w:tr w:rsidR="001C08D3" w:rsidRPr="00F01347" w14:paraId="31D42F98" w14:textId="6EAEC0E6" w:rsidTr="00971794">
        <w:tc>
          <w:tcPr>
            <w:tcW w:w="4675" w:type="dxa"/>
          </w:tcPr>
          <w:p w14:paraId="063B73C0" w14:textId="77777777"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lastRenderedPageBreak/>
              <w:t>●</w:t>
            </w:r>
            <w:r w:rsidRPr="00F01347">
              <w:rPr>
                <w:rFonts w:ascii="Verdana" w:hAnsi="Verdana"/>
                <w:sz w:val="16"/>
                <w:szCs w:val="16"/>
                <w:lang w:val="en-US"/>
              </w:rPr>
              <w:tab/>
              <w:t>Standard Methods for the Examination of Water and Wastewater. 23rd. Edition APHA 2017.</w:t>
            </w:r>
          </w:p>
        </w:tc>
        <w:tc>
          <w:tcPr>
            <w:tcW w:w="4675" w:type="dxa"/>
          </w:tcPr>
          <w:p w14:paraId="412B2852" w14:textId="167F4B0B"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Standard Methods for the Examination of Water and Wastewater. 23rd. Edition APHA 2017.</w:t>
            </w:r>
          </w:p>
        </w:tc>
      </w:tr>
      <w:tr w:rsidR="001C08D3" w:rsidRPr="00F01347" w14:paraId="151BF8B0" w14:textId="3358C283" w:rsidTr="00971794">
        <w:tc>
          <w:tcPr>
            <w:tcW w:w="4675" w:type="dxa"/>
          </w:tcPr>
          <w:p w14:paraId="34329F74" w14:textId="77777777"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w:t>
            </w:r>
            <w:r w:rsidRPr="00F01347">
              <w:rPr>
                <w:rFonts w:ascii="Verdana" w:hAnsi="Verdana"/>
                <w:sz w:val="16"/>
                <w:szCs w:val="16"/>
                <w:lang w:val="en-US"/>
              </w:rPr>
              <w:tab/>
              <w:t>U.S. EPA. 2004. Statistical Protocol for the Determination of the Single-Laboratory Lowest Concentration Minimum Reporting Level (LCMRL) and Validation of Laboratory Performance at or Below the Minimum Reporting Level (MRL); EPA 815-R-05-006; Office of Water: Cincinnati, OH.</w:t>
            </w:r>
          </w:p>
        </w:tc>
        <w:tc>
          <w:tcPr>
            <w:tcW w:w="4675" w:type="dxa"/>
          </w:tcPr>
          <w:p w14:paraId="6F2AE445" w14:textId="2C6E90FB"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US EPA. 2004. Statistical Protocol for the Determination of the Single-Laboratory Lowest Concentration Minimum Reporting Level (LCMRL) and Validation of Laboratory Performance at or Below the Minimum Reporting Level (MRL); EPA 815-R-05-006; Office of Water: Cincinnati, OH.</w:t>
            </w:r>
          </w:p>
        </w:tc>
      </w:tr>
      <w:tr w:rsidR="001C08D3" w:rsidRPr="00F01347" w14:paraId="09395023" w14:textId="102B1830" w:rsidTr="00971794">
        <w:tc>
          <w:tcPr>
            <w:tcW w:w="4675" w:type="dxa"/>
          </w:tcPr>
          <w:p w14:paraId="6D203FB7" w14:textId="77777777"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w:t>
            </w:r>
            <w:r w:rsidRPr="00F01347">
              <w:rPr>
                <w:rFonts w:ascii="Verdana" w:hAnsi="Verdana"/>
                <w:sz w:val="16"/>
                <w:szCs w:val="16"/>
                <w:lang w:val="en-US"/>
              </w:rPr>
              <w:tab/>
              <w:t xml:space="preserve">U.S. EPA. 2010. </w:t>
            </w:r>
            <w:r w:rsidRPr="00F01347">
              <w:rPr>
                <w:rFonts w:ascii="Verdana" w:hAnsi="Verdana"/>
                <w:i/>
                <w:sz w:val="16"/>
                <w:szCs w:val="16"/>
                <w:lang w:val="en-US"/>
              </w:rPr>
              <w:t xml:space="preserve">Technical Basis for the Lowest Concentration Minimum Reporting Level (LCMRL) Calculator; </w:t>
            </w:r>
            <w:r w:rsidRPr="00F01347">
              <w:rPr>
                <w:rFonts w:ascii="Verdana" w:hAnsi="Verdana"/>
                <w:sz w:val="16"/>
                <w:szCs w:val="16"/>
                <w:lang w:val="en-US"/>
              </w:rPr>
              <w:t>EPA 815-R-11-001; Office of Water: Cincinnati, OH.</w:t>
            </w:r>
          </w:p>
        </w:tc>
        <w:tc>
          <w:tcPr>
            <w:tcW w:w="4675" w:type="dxa"/>
          </w:tcPr>
          <w:p w14:paraId="604BB1E4" w14:textId="28BCB890"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US EPA. 2010. </w:t>
            </w:r>
            <w:r w:rsidRPr="00F01347">
              <w:rPr>
                <w:rFonts w:ascii="Verdana" w:hAnsi="Verdana"/>
                <w:i/>
                <w:sz w:val="16"/>
                <w:szCs w:val="16"/>
                <w:lang w:val="en-US"/>
              </w:rPr>
              <w:t xml:space="preserve">Technical Basis for the Lowest Concentration Minimum Reporting Level (LCMRL) Calculator; </w:t>
            </w:r>
            <w:r w:rsidRPr="00F01347">
              <w:rPr>
                <w:rFonts w:ascii="Verdana" w:hAnsi="Verdana"/>
                <w:sz w:val="16"/>
                <w:szCs w:val="16"/>
                <w:lang w:val="en-US"/>
              </w:rPr>
              <w:t>EPA 815-R-11-001; Office of Water: Cincinnati, OH.</w:t>
            </w:r>
          </w:p>
        </w:tc>
      </w:tr>
      <w:tr w:rsidR="001C08D3" w:rsidRPr="00F01347" w14:paraId="57E2AB7D" w14:textId="3293D4F2" w:rsidTr="00971794">
        <w:tc>
          <w:tcPr>
            <w:tcW w:w="4675" w:type="dxa"/>
          </w:tcPr>
          <w:p w14:paraId="3480FBF3" w14:textId="77777777" w:rsidR="001C08D3" w:rsidRDefault="001C08D3" w:rsidP="001C08D3">
            <w:pPr>
              <w:pStyle w:val="texto0"/>
              <w:spacing w:line="220" w:lineRule="exact"/>
              <w:ind w:firstLine="0"/>
              <w:rPr>
                <w:rFonts w:ascii="Verdana" w:hAnsi="Verdana"/>
                <w:sz w:val="16"/>
                <w:szCs w:val="16"/>
              </w:rPr>
            </w:pPr>
            <w:r w:rsidRPr="00F01347">
              <w:rPr>
                <w:rFonts w:ascii="Verdana" w:hAnsi="Verdana"/>
                <w:sz w:val="16"/>
                <w:szCs w:val="16"/>
                <w:lang w:val="en-US"/>
              </w:rPr>
              <w:t>●</w:t>
            </w:r>
            <w:r w:rsidRPr="00F01347">
              <w:rPr>
                <w:rFonts w:ascii="Verdana" w:hAnsi="Verdana"/>
                <w:sz w:val="16"/>
                <w:szCs w:val="16"/>
                <w:lang w:val="en-US"/>
              </w:rPr>
              <w:tab/>
              <w:t xml:space="preserve">U.S. EPA. 2016. Determination of total </w:t>
            </w:r>
            <w:proofErr w:type="spellStart"/>
            <w:r w:rsidRPr="00F01347">
              <w:rPr>
                <w:rFonts w:ascii="Verdana" w:hAnsi="Verdana"/>
                <w:sz w:val="16"/>
                <w:szCs w:val="16"/>
                <w:lang w:val="en-US"/>
              </w:rPr>
              <w:t>Microcystints</w:t>
            </w:r>
            <w:proofErr w:type="spellEnd"/>
            <w:r w:rsidRPr="00F01347">
              <w:rPr>
                <w:rFonts w:ascii="Verdana" w:hAnsi="Verdana"/>
                <w:sz w:val="16"/>
                <w:szCs w:val="16"/>
                <w:lang w:val="en-US"/>
              </w:rPr>
              <w:t xml:space="preserve"> and </w:t>
            </w:r>
            <w:proofErr w:type="spellStart"/>
            <w:r w:rsidRPr="00F01347">
              <w:rPr>
                <w:rFonts w:ascii="Verdana" w:hAnsi="Verdana"/>
                <w:sz w:val="16"/>
                <w:szCs w:val="16"/>
                <w:lang w:val="en-US"/>
              </w:rPr>
              <w:t>Nodularins</w:t>
            </w:r>
            <w:proofErr w:type="spellEnd"/>
            <w:r w:rsidRPr="00F01347">
              <w:rPr>
                <w:rFonts w:ascii="Verdana" w:hAnsi="Verdana"/>
                <w:sz w:val="16"/>
                <w:szCs w:val="16"/>
                <w:lang w:val="en-US"/>
              </w:rPr>
              <w:t xml:space="preserve"> in Drinking Water and Ambient Eater by Adda Enzyme-Linkes Immunosorbent Assay. </w:t>
            </w:r>
            <w:proofErr w:type="spellStart"/>
            <w:r w:rsidRPr="00F01347">
              <w:rPr>
                <w:rFonts w:ascii="Verdana" w:hAnsi="Verdana"/>
                <w:sz w:val="16"/>
                <w:szCs w:val="16"/>
              </w:rPr>
              <w:t>Method</w:t>
            </w:r>
            <w:proofErr w:type="spellEnd"/>
            <w:r w:rsidRPr="00F01347">
              <w:rPr>
                <w:rFonts w:ascii="Verdana" w:hAnsi="Verdana"/>
                <w:sz w:val="16"/>
                <w:szCs w:val="16"/>
              </w:rPr>
              <w:t xml:space="preserve"> 546.</w:t>
            </w:r>
          </w:p>
          <w:p w14:paraId="76C3FD8B" w14:textId="77777777" w:rsidR="000A3AF6" w:rsidRPr="00F01347" w:rsidRDefault="000A3AF6" w:rsidP="001C08D3">
            <w:pPr>
              <w:pStyle w:val="texto0"/>
              <w:spacing w:line="220" w:lineRule="exact"/>
              <w:ind w:firstLine="0"/>
              <w:rPr>
                <w:rFonts w:ascii="Verdana" w:hAnsi="Verdana"/>
                <w:sz w:val="16"/>
                <w:szCs w:val="16"/>
              </w:rPr>
            </w:pPr>
          </w:p>
        </w:tc>
        <w:tc>
          <w:tcPr>
            <w:tcW w:w="4675" w:type="dxa"/>
          </w:tcPr>
          <w:p w14:paraId="6C5D1F0E" w14:textId="6B013BCF"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US EPA. 2016. Determination of total </w:t>
            </w:r>
            <w:proofErr w:type="spellStart"/>
            <w:r w:rsidRPr="00F01347">
              <w:rPr>
                <w:rFonts w:ascii="Verdana" w:hAnsi="Verdana"/>
                <w:sz w:val="16"/>
                <w:szCs w:val="16"/>
                <w:lang w:val="en-US"/>
              </w:rPr>
              <w:t>Microcystints</w:t>
            </w:r>
            <w:proofErr w:type="spellEnd"/>
            <w:r w:rsidRPr="00F01347">
              <w:rPr>
                <w:rFonts w:ascii="Verdana" w:hAnsi="Verdana"/>
                <w:sz w:val="16"/>
                <w:szCs w:val="16"/>
                <w:lang w:val="en-US"/>
              </w:rPr>
              <w:t xml:space="preserve"> and </w:t>
            </w:r>
            <w:proofErr w:type="spellStart"/>
            <w:r w:rsidRPr="00F01347">
              <w:rPr>
                <w:rFonts w:ascii="Verdana" w:hAnsi="Verdana"/>
                <w:sz w:val="16"/>
                <w:szCs w:val="16"/>
                <w:lang w:val="en-US"/>
              </w:rPr>
              <w:t>Nodularins</w:t>
            </w:r>
            <w:proofErr w:type="spellEnd"/>
            <w:r w:rsidRPr="00F01347">
              <w:rPr>
                <w:rFonts w:ascii="Verdana" w:hAnsi="Verdana"/>
                <w:sz w:val="16"/>
                <w:szCs w:val="16"/>
                <w:lang w:val="en-US"/>
              </w:rPr>
              <w:t xml:space="preserve"> in Drinking Water and Ambient Eating by Adda Enzyme-Linkes Immunosorbent Assay. Method 546.</w:t>
            </w:r>
          </w:p>
        </w:tc>
      </w:tr>
      <w:tr w:rsidR="001C08D3" w:rsidRPr="00F01347" w14:paraId="179F21FD" w14:textId="1DBB24D0" w:rsidTr="00971794">
        <w:tc>
          <w:tcPr>
            <w:tcW w:w="4675" w:type="dxa"/>
          </w:tcPr>
          <w:p w14:paraId="2DD9CD20" w14:textId="77777777" w:rsidR="001C08D3" w:rsidRPr="00F01347" w:rsidRDefault="001C08D3" w:rsidP="001C08D3">
            <w:pPr>
              <w:pStyle w:val="texto0"/>
              <w:spacing w:line="220" w:lineRule="exact"/>
              <w:ind w:firstLine="0"/>
              <w:jc w:val="center"/>
              <w:rPr>
                <w:rFonts w:ascii="Verdana" w:hAnsi="Verdana"/>
                <w:b/>
                <w:sz w:val="16"/>
                <w:szCs w:val="16"/>
              </w:rPr>
            </w:pPr>
            <w:r w:rsidRPr="00F01347">
              <w:rPr>
                <w:rFonts w:ascii="Verdana" w:hAnsi="Verdana"/>
                <w:b/>
                <w:sz w:val="16"/>
                <w:szCs w:val="16"/>
              </w:rPr>
              <w:t xml:space="preserve">B.1.2 MÉTODO PARA LA DETERMINACIÓN DE MICROCISTINAS Y NODULARINAS EN </w:t>
            </w:r>
            <w:proofErr w:type="gramStart"/>
            <w:r w:rsidRPr="00F01347">
              <w:rPr>
                <w:rFonts w:ascii="Verdana" w:hAnsi="Verdana"/>
                <w:b/>
                <w:sz w:val="16"/>
                <w:szCs w:val="16"/>
              </w:rPr>
              <w:t>AGUA  DE</w:t>
            </w:r>
            <w:proofErr w:type="gramEnd"/>
            <w:r w:rsidRPr="00F01347">
              <w:rPr>
                <w:rFonts w:ascii="Verdana" w:hAnsi="Verdana"/>
                <w:b/>
                <w:sz w:val="16"/>
                <w:szCs w:val="16"/>
              </w:rPr>
              <w:t xml:space="preserve"> USO Y CONSUMO HUMANO POR EXTRACCIÓN EN FASE SÓLIDA Y CROMATOGRAFÍA LIQUIDA/ESPECTOMETRÍA DE MASAS EN TÁNDEM (LC/MS/MS)</w:t>
            </w:r>
          </w:p>
        </w:tc>
        <w:tc>
          <w:tcPr>
            <w:tcW w:w="4675" w:type="dxa"/>
          </w:tcPr>
          <w:p w14:paraId="2F800EC3" w14:textId="296069B0" w:rsidR="001C08D3" w:rsidRPr="00F01347" w:rsidRDefault="001C08D3" w:rsidP="001C08D3">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B.1.2 METHOD FOR THE DETERMINATION OF MICROCYSTINS AND NODULARINS IN WATER FOR HUMAN USE AND CONSUMPTION BY SOLID PHASE EXTRACTION AND LIQUID CHROMATOGRAPHY/TANDEM MASS SPECTOMETRY (LC/MS/MS)</w:t>
            </w:r>
          </w:p>
        </w:tc>
      </w:tr>
      <w:tr w:rsidR="001C08D3" w:rsidRPr="00F01347" w14:paraId="27F7C42C" w14:textId="4716B5D2" w:rsidTr="00971794">
        <w:tc>
          <w:tcPr>
            <w:tcW w:w="4675" w:type="dxa"/>
          </w:tcPr>
          <w:p w14:paraId="4EE7A6D3" w14:textId="77777777" w:rsidR="001C08D3" w:rsidRPr="00F01347" w:rsidRDefault="001C08D3" w:rsidP="001C08D3">
            <w:pPr>
              <w:pStyle w:val="texto0"/>
              <w:spacing w:line="220" w:lineRule="exact"/>
              <w:ind w:firstLine="0"/>
              <w:rPr>
                <w:rFonts w:ascii="Verdana" w:hAnsi="Verdana"/>
                <w:b/>
                <w:sz w:val="16"/>
                <w:szCs w:val="16"/>
              </w:rPr>
            </w:pPr>
            <w:r w:rsidRPr="00F01347">
              <w:rPr>
                <w:rFonts w:ascii="Verdana" w:hAnsi="Verdana"/>
                <w:b/>
                <w:sz w:val="16"/>
                <w:szCs w:val="16"/>
              </w:rPr>
              <w:t>B.1.2.1 Definiciones y términos</w:t>
            </w:r>
          </w:p>
        </w:tc>
        <w:tc>
          <w:tcPr>
            <w:tcW w:w="4675" w:type="dxa"/>
          </w:tcPr>
          <w:p w14:paraId="4D4A068A" w14:textId="72C35795" w:rsidR="001C08D3" w:rsidRPr="00F01347" w:rsidRDefault="001C08D3" w:rsidP="001C08D3">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B.1.2.1 Definitions and terms</w:t>
            </w:r>
          </w:p>
        </w:tc>
      </w:tr>
      <w:tr w:rsidR="001C08D3" w:rsidRPr="00F01347" w14:paraId="58659931" w14:textId="5DAFC12E" w:rsidTr="00971794">
        <w:tc>
          <w:tcPr>
            <w:tcW w:w="4675" w:type="dxa"/>
          </w:tcPr>
          <w:p w14:paraId="672D8574"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b/>
                <w:sz w:val="16"/>
                <w:szCs w:val="16"/>
              </w:rPr>
              <w:t xml:space="preserve">Analito </w:t>
            </w:r>
            <w:proofErr w:type="spellStart"/>
            <w:r w:rsidRPr="00F01347">
              <w:rPr>
                <w:rFonts w:ascii="Verdana" w:hAnsi="Verdana"/>
                <w:b/>
                <w:color w:val="000000"/>
                <w:sz w:val="16"/>
                <w:szCs w:val="16"/>
              </w:rPr>
              <w:t>surrogado</w:t>
            </w:r>
            <w:proofErr w:type="spellEnd"/>
            <w:r w:rsidRPr="00F01347">
              <w:rPr>
                <w:rFonts w:ascii="Verdana" w:hAnsi="Verdana"/>
                <w:b/>
                <w:sz w:val="16"/>
                <w:szCs w:val="16"/>
              </w:rPr>
              <w:t xml:space="preserve"> (SUR)</w:t>
            </w:r>
            <w:r w:rsidRPr="00F01347">
              <w:rPr>
                <w:rFonts w:ascii="Verdana" w:hAnsi="Verdana"/>
                <w:sz w:val="16"/>
                <w:szCs w:val="16"/>
              </w:rPr>
              <w:t xml:space="preserve">, al producto químico puro que se asemeja químicamente a los analitos </w:t>
            </w:r>
            <w:r w:rsidRPr="00F01347">
              <w:rPr>
                <w:rFonts w:ascii="Verdana" w:hAnsi="Verdana"/>
                <w:color w:val="000000"/>
                <w:sz w:val="16"/>
                <w:szCs w:val="16"/>
              </w:rPr>
              <w:t xml:space="preserve">de interés </w:t>
            </w:r>
            <w:r w:rsidRPr="00F01347">
              <w:rPr>
                <w:rFonts w:ascii="Verdana" w:hAnsi="Verdana"/>
                <w:sz w:val="16"/>
                <w:szCs w:val="16"/>
              </w:rPr>
              <w:t>y es extremadamente improbable que se encuentre en cualquier muestra. Este producto químico se añade a una alícuota de muestra en una cantidad o cantidades conocidas antes del procesamiento y se mide con los mismos procedimientos usados para medir los otros analitos. El propósito del SUR es monitorear el desempeño del método con cada muestra.</w:t>
            </w:r>
          </w:p>
        </w:tc>
        <w:tc>
          <w:tcPr>
            <w:tcW w:w="4675" w:type="dxa"/>
          </w:tcPr>
          <w:p w14:paraId="3A92DDA6" w14:textId="02649592" w:rsidR="001C08D3" w:rsidRPr="00F01347" w:rsidRDefault="001C08D3" w:rsidP="001C08D3">
            <w:pPr>
              <w:pStyle w:val="texto0"/>
              <w:spacing w:line="220" w:lineRule="exact"/>
              <w:ind w:firstLine="0"/>
              <w:rPr>
                <w:rFonts w:ascii="Verdana" w:hAnsi="Verdana"/>
                <w:b/>
                <w:sz w:val="16"/>
                <w:szCs w:val="16"/>
                <w:lang w:val="en-US"/>
              </w:rPr>
            </w:pPr>
            <w:r w:rsidRPr="00F01347">
              <w:rPr>
                <w:rFonts w:ascii="Verdana" w:hAnsi="Verdana"/>
                <w:b/>
                <w:color w:val="000000"/>
                <w:sz w:val="16"/>
                <w:szCs w:val="16"/>
                <w:lang w:val="en-US"/>
              </w:rPr>
              <w:t xml:space="preserve">Surrogated </w:t>
            </w:r>
            <w:r w:rsidRPr="00F01347">
              <w:rPr>
                <w:rFonts w:ascii="Verdana" w:hAnsi="Verdana"/>
                <w:b/>
                <w:sz w:val="16"/>
                <w:szCs w:val="16"/>
                <w:lang w:val="en-US"/>
              </w:rPr>
              <w:t>analyte (SUR)</w:t>
            </w:r>
            <w:r w:rsidR="003E1BA9" w:rsidRPr="00F01347">
              <w:rPr>
                <w:rFonts w:ascii="Verdana" w:hAnsi="Verdana"/>
                <w:b/>
                <w:sz w:val="16"/>
                <w:szCs w:val="16"/>
                <w:lang w:val="en-US"/>
              </w:rPr>
              <w:t>,</w:t>
            </w:r>
            <w:r w:rsidRPr="00F01347">
              <w:rPr>
                <w:rFonts w:ascii="Verdana" w:hAnsi="Verdana"/>
                <w:sz w:val="16"/>
                <w:szCs w:val="16"/>
                <w:lang w:val="en-US"/>
              </w:rPr>
              <w:t xml:space="preserve"> the pure chemical that chemically resembles the analytes </w:t>
            </w:r>
            <w:r w:rsidRPr="00F01347">
              <w:rPr>
                <w:rFonts w:ascii="Verdana" w:hAnsi="Verdana"/>
                <w:color w:val="000000"/>
                <w:sz w:val="16"/>
                <w:szCs w:val="16"/>
                <w:lang w:val="en-US"/>
              </w:rPr>
              <w:t xml:space="preserve">of interest </w:t>
            </w:r>
            <w:r w:rsidRPr="00F01347">
              <w:rPr>
                <w:rFonts w:ascii="Verdana" w:hAnsi="Verdana"/>
                <w:sz w:val="16"/>
                <w:szCs w:val="16"/>
                <w:lang w:val="en-US"/>
              </w:rPr>
              <w:t>and is extremely unlikely to be found in any sample. This chemical is added to a sample aliquot in a known amount or amounts prior to processing and is measured with the same procedures used to measure the other analytes. The purpose of the SUR is to monitor the performance of the method with each sample.</w:t>
            </w:r>
          </w:p>
        </w:tc>
      </w:tr>
      <w:tr w:rsidR="001C08D3" w:rsidRPr="00F01347" w14:paraId="03BFF921" w14:textId="24217309" w:rsidTr="00971794">
        <w:tc>
          <w:tcPr>
            <w:tcW w:w="4675" w:type="dxa"/>
          </w:tcPr>
          <w:p w14:paraId="4CB2D5C6"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b/>
                <w:sz w:val="16"/>
                <w:szCs w:val="16"/>
              </w:rPr>
              <w:t>Blanco de reactivo de laboratorio (LRB</w:t>
            </w:r>
            <w:r w:rsidRPr="00F01347">
              <w:rPr>
                <w:rFonts w:ascii="Verdana" w:hAnsi="Verdana"/>
                <w:sz w:val="16"/>
                <w:szCs w:val="16"/>
              </w:rPr>
              <w:t xml:space="preserve">), a la alícuota de agua grado reactivo u otra </w:t>
            </w:r>
            <w:proofErr w:type="gramStart"/>
            <w:r w:rsidRPr="00F01347">
              <w:rPr>
                <w:rFonts w:ascii="Verdana" w:hAnsi="Verdana"/>
                <w:sz w:val="16"/>
                <w:szCs w:val="16"/>
              </w:rPr>
              <w:t>matriz blanco</w:t>
            </w:r>
            <w:proofErr w:type="gramEnd"/>
            <w:r w:rsidRPr="00F01347">
              <w:rPr>
                <w:rFonts w:ascii="Verdana" w:hAnsi="Verdana"/>
                <w:sz w:val="16"/>
                <w:szCs w:val="16"/>
              </w:rPr>
              <w:t xml:space="preserve"> que se trata exactamente como una muestra incluyendo la exposición a toda la cristalería, equipo, disolventes y reactivos, conservantes de muestras y </w:t>
            </w:r>
            <w:proofErr w:type="spellStart"/>
            <w:r w:rsidRPr="00F01347">
              <w:rPr>
                <w:rFonts w:ascii="Verdana" w:hAnsi="Verdana"/>
                <w:color w:val="000000"/>
                <w:sz w:val="16"/>
                <w:szCs w:val="16"/>
              </w:rPr>
              <w:t>surrogado</w:t>
            </w:r>
            <w:r w:rsidRPr="00F01347">
              <w:rPr>
                <w:rFonts w:ascii="Verdana" w:hAnsi="Verdana"/>
                <w:sz w:val="16"/>
                <w:szCs w:val="16"/>
              </w:rPr>
              <w:t>s</w:t>
            </w:r>
            <w:proofErr w:type="spellEnd"/>
            <w:r w:rsidRPr="00F01347">
              <w:rPr>
                <w:rFonts w:ascii="Verdana" w:hAnsi="Verdana"/>
                <w:sz w:val="16"/>
                <w:szCs w:val="16"/>
              </w:rPr>
              <w:t xml:space="preserve"> que se utilizan en el lote de análisis. El LRB se utiliza para determinar si los analitos </w:t>
            </w:r>
            <w:r w:rsidRPr="00F01347">
              <w:rPr>
                <w:rFonts w:ascii="Verdana" w:hAnsi="Verdana"/>
                <w:color w:val="000000"/>
                <w:sz w:val="16"/>
                <w:szCs w:val="16"/>
              </w:rPr>
              <w:t xml:space="preserve">de interés </w:t>
            </w:r>
            <w:r w:rsidRPr="00F01347">
              <w:rPr>
                <w:rFonts w:ascii="Verdana" w:hAnsi="Verdana"/>
                <w:sz w:val="16"/>
                <w:szCs w:val="16"/>
              </w:rPr>
              <w:t>u otras interferencias están presentes en el entorno del laboratorio, los reactivos o los aparatos.</w:t>
            </w:r>
          </w:p>
        </w:tc>
        <w:tc>
          <w:tcPr>
            <w:tcW w:w="4675" w:type="dxa"/>
          </w:tcPr>
          <w:p w14:paraId="3246D625" w14:textId="1B29B462" w:rsidR="001C08D3" w:rsidRPr="00F01347" w:rsidRDefault="001C08D3" w:rsidP="001C08D3">
            <w:pPr>
              <w:pStyle w:val="texto0"/>
              <w:spacing w:line="220" w:lineRule="exact"/>
              <w:ind w:firstLine="0"/>
              <w:rPr>
                <w:rFonts w:ascii="Verdana" w:hAnsi="Verdana"/>
                <w:b/>
                <w:sz w:val="16"/>
                <w:szCs w:val="16"/>
                <w:lang w:val="en-US"/>
              </w:rPr>
            </w:pPr>
            <w:r w:rsidRPr="00F01347">
              <w:rPr>
                <w:rFonts w:ascii="Verdana" w:hAnsi="Verdana"/>
                <w:b/>
                <w:sz w:val="16"/>
                <w:szCs w:val="16"/>
                <w:lang w:val="en-US"/>
              </w:rPr>
              <w:t>Laboratory reagent blank (LRB</w:t>
            </w:r>
            <w:r w:rsidR="00913802" w:rsidRPr="00F01347">
              <w:rPr>
                <w:rFonts w:ascii="Verdana" w:hAnsi="Verdana"/>
                <w:b/>
                <w:sz w:val="16"/>
                <w:szCs w:val="16"/>
                <w:lang w:val="en-US"/>
              </w:rPr>
              <w:t>)</w:t>
            </w:r>
            <w:r w:rsidRPr="00F01347">
              <w:rPr>
                <w:rFonts w:ascii="Verdana" w:hAnsi="Verdana"/>
                <w:sz w:val="16"/>
                <w:szCs w:val="16"/>
                <w:lang w:val="en-US"/>
              </w:rPr>
              <w:t xml:space="preserve">, the aliquot of reagent grade water or other matrix blank that is treated exactly as a sample including exposure to all glassware, equipment, solvents and reagents, sample preservatives and surrogates </w:t>
            </w:r>
            <w:r w:rsidRPr="00F01347">
              <w:rPr>
                <w:rFonts w:ascii="Verdana" w:hAnsi="Verdana"/>
                <w:color w:val="000000"/>
                <w:sz w:val="16"/>
                <w:szCs w:val="16"/>
                <w:lang w:val="en-US"/>
              </w:rPr>
              <w:t xml:space="preserve">that </w:t>
            </w:r>
            <w:r w:rsidRPr="00F01347">
              <w:rPr>
                <w:rFonts w:ascii="Verdana" w:hAnsi="Verdana"/>
                <w:sz w:val="16"/>
                <w:szCs w:val="16"/>
                <w:lang w:val="en-US"/>
              </w:rPr>
              <w:t xml:space="preserve">are used in the analysis batch. The LRB is used to determine whether analytes </w:t>
            </w:r>
            <w:r w:rsidRPr="00F01347">
              <w:rPr>
                <w:rFonts w:ascii="Verdana" w:hAnsi="Verdana"/>
                <w:color w:val="000000"/>
                <w:sz w:val="16"/>
                <w:szCs w:val="16"/>
                <w:lang w:val="en-US"/>
              </w:rPr>
              <w:t xml:space="preserve">of interest </w:t>
            </w:r>
            <w:r w:rsidRPr="00F01347">
              <w:rPr>
                <w:rFonts w:ascii="Verdana" w:hAnsi="Verdana"/>
                <w:sz w:val="16"/>
                <w:szCs w:val="16"/>
                <w:lang w:val="en-US"/>
              </w:rPr>
              <w:t>or other interferences are present in the laboratory environment, reagents, or apparatus.</w:t>
            </w:r>
          </w:p>
        </w:tc>
      </w:tr>
      <w:tr w:rsidR="001C08D3" w:rsidRPr="00F01347" w14:paraId="043E85C4" w14:textId="0AF39CD3" w:rsidTr="00971794">
        <w:tc>
          <w:tcPr>
            <w:tcW w:w="4675" w:type="dxa"/>
          </w:tcPr>
          <w:p w14:paraId="76C5258D"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b/>
                <w:sz w:val="16"/>
                <w:szCs w:val="16"/>
              </w:rPr>
              <w:t>Blanco fortificado de laboratorio (LFB)</w:t>
            </w:r>
            <w:r w:rsidRPr="00F01347">
              <w:rPr>
                <w:rFonts w:ascii="Verdana" w:hAnsi="Verdana"/>
                <w:sz w:val="16"/>
                <w:szCs w:val="16"/>
              </w:rPr>
              <w:t>, al volumen de agua grado reactivo u otra matriz blanco de la que se conocen cantidades del analito y todos los compuestos se añaden en el laboratorio. El LFB se analiza exactamente como una muestra y su propósito es determinar tanto si la metodología está en control como si el laboratorio es capaz de realizar mediciones precisas y exactas.</w:t>
            </w:r>
          </w:p>
        </w:tc>
        <w:tc>
          <w:tcPr>
            <w:tcW w:w="4675" w:type="dxa"/>
          </w:tcPr>
          <w:p w14:paraId="3ED3F271" w14:textId="63833E94" w:rsidR="001C08D3" w:rsidRPr="00F01347" w:rsidRDefault="001C08D3" w:rsidP="001C08D3">
            <w:pPr>
              <w:pStyle w:val="texto0"/>
              <w:spacing w:line="220" w:lineRule="exact"/>
              <w:ind w:firstLine="0"/>
              <w:rPr>
                <w:rFonts w:ascii="Verdana" w:hAnsi="Verdana"/>
                <w:b/>
                <w:sz w:val="16"/>
                <w:szCs w:val="16"/>
                <w:lang w:val="en-US"/>
              </w:rPr>
            </w:pPr>
            <w:r w:rsidRPr="00F01347">
              <w:rPr>
                <w:rFonts w:ascii="Verdana" w:hAnsi="Verdana"/>
                <w:b/>
                <w:sz w:val="16"/>
                <w:szCs w:val="16"/>
                <w:lang w:val="en-US"/>
              </w:rPr>
              <w:t>Laboratory Fortified Blank (LFB)</w:t>
            </w:r>
            <w:r w:rsidR="003E1BA9" w:rsidRPr="00F01347">
              <w:rPr>
                <w:rFonts w:ascii="Verdana" w:hAnsi="Verdana"/>
                <w:b/>
                <w:sz w:val="16"/>
                <w:szCs w:val="16"/>
                <w:lang w:val="en-US"/>
              </w:rPr>
              <w:t>,</w:t>
            </w:r>
            <w:r w:rsidRPr="00F01347">
              <w:rPr>
                <w:rFonts w:ascii="Verdana" w:hAnsi="Verdana"/>
                <w:sz w:val="16"/>
                <w:szCs w:val="16"/>
                <w:lang w:val="en-US"/>
              </w:rPr>
              <w:t xml:space="preserve"> to the volume of reagent grade water or other blank matrix for which quantities of the analyte are known and all compounds are added in the laboratory. The LFB is analyzed exactly like a sample and its purpose is to determine whether the methodology is in control and whether the laboratory </w:t>
            </w:r>
            <w:proofErr w:type="gramStart"/>
            <w:r w:rsidRPr="00F01347">
              <w:rPr>
                <w:rFonts w:ascii="Verdana" w:hAnsi="Verdana"/>
                <w:sz w:val="16"/>
                <w:szCs w:val="16"/>
                <w:lang w:val="en-US"/>
              </w:rPr>
              <w:t>is capable of making</w:t>
            </w:r>
            <w:proofErr w:type="gramEnd"/>
            <w:r w:rsidRPr="00F01347">
              <w:rPr>
                <w:rFonts w:ascii="Verdana" w:hAnsi="Verdana"/>
                <w:sz w:val="16"/>
                <w:szCs w:val="16"/>
                <w:lang w:val="en-US"/>
              </w:rPr>
              <w:t xml:space="preserve"> precise and accurate measurements.</w:t>
            </w:r>
          </w:p>
        </w:tc>
      </w:tr>
      <w:tr w:rsidR="001C08D3" w:rsidRPr="00F01347" w14:paraId="70ECD5AC" w14:textId="2D8D1A9D" w:rsidTr="00971794">
        <w:tc>
          <w:tcPr>
            <w:tcW w:w="4675" w:type="dxa"/>
          </w:tcPr>
          <w:p w14:paraId="6D9E6746"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Concentración más baja del nivel mínimo reportado (LCMRL)</w:t>
            </w:r>
            <w:r w:rsidRPr="00F01347">
              <w:rPr>
                <w:rFonts w:ascii="Verdana" w:hAnsi="Verdana"/>
                <w:sz w:val="16"/>
                <w:szCs w:val="16"/>
              </w:rPr>
              <w:t>, a la concentración más baja verdadera para la cual se espera una recuperación futura espera entre 50 y 150% de recuperación, con un 99% de confianza.</w:t>
            </w:r>
          </w:p>
        </w:tc>
        <w:tc>
          <w:tcPr>
            <w:tcW w:w="4675" w:type="dxa"/>
          </w:tcPr>
          <w:p w14:paraId="1942D114" w14:textId="7551471A"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Lowest concentration of minimum reported level (LCMRL)</w:t>
            </w:r>
            <w:r w:rsidR="003E1BA9" w:rsidRPr="00F01347">
              <w:rPr>
                <w:rFonts w:ascii="Verdana" w:hAnsi="Verdana"/>
                <w:b/>
                <w:sz w:val="16"/>
                <w:szCs w:val="16"/>
                <w:lang w:val="en-US"/>
              </w:rPr>
              <w:t>,</w:t>
            </w:r>
            <w:r w:rsidRPr="00F01347">
              <w:rPr>
                <w:rFonts w:ascii="Verdana" w:hAnsi="Verdana"/>
                <w:sz w:val="16"/>
                <w:szCs w:val="16"/>
                <w:lang w:val="en-US"/>
              </w:rPr>
              <w:t xml:space="preserve"> at the lowest true concentration for which future recovery is expected, expect between 50 and 150% recovery, with 99% confidence.</w:t>
            </w:r>
          </w:p>
        </w:tc>
      </w:tr>
      <w:tr w:rsidR="001C08D3" w:rsidRPr="00F01347" w14:paraId="26E3E78D" w14:textId="08B2D51D" w:rsidTr="00971794">
        <w:tc>
          <w:tcPr>
            <w:tcW w:w="4675" w:type="dxa"/>
          </w:tcPr>
          <w:p w14:paraId="48CE2164"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lastRenderedPageBreak/>
              <w:t>Disociación activada por colisiones (CAD)</w:t>
            </w:r>
            <w:r w:rsidRPr="00F01347">
              <w:rPr>
                <w:rFonts w:ascii="Verdana" w:hAnsi="Verdana"/>
                <w:sz w:val="16"/>
                <w:szCs w:val="16"/>
              </w:rPr>
              <w:t>, al proceso de convertir la energía de traslación del ion precursor en energía interna por colisiones con moléculas de gas neutro para producir la disociación en los iones del producto.</w:t>
            </w:r>
          </w:p>
        </w:tc>
        <w:tc>
          <w:tcPr>
            <w:tcW w:w="4675" w:type="dxa"/>
          </w:tcPr>
          <w:p w14:paraId="4FA666B7" w14:textId="0A827678"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Collision-activated dissociation (CAD)</w:t>
            </w:r>
            <w:r w:rsidR="003E1BA9" w:rsidRPr="00F01347">
              <w:rPr>
                <w:rFonts w:ascii="Verdana" w:hAnsi="Verdana"/>
                <w:b/>
                <w:sz w:val="16"/>
                <w:szCs w:val="16"/>
                <w:lang w:val="en-US"/>
              </w:rPr>
              <w:t>,</w:t>
            </w:r>
            <w:r w:rsidRPr="00F01347">
              <w:rPr>
                <w:rFonts w:ascii="Verdana" w:hAnsi="Verdana"/>
                <w:sz w:val="16"/>
                <w:szCs w:val="16"/>
                <w:lang w:val="en-US"/>
              </w:rPr>
              <w:t xml:space="preserve"> the process of converting the translational energy of the precursor ion into internal energy by collisions with neutral gas molecules to produce dissociation into product ions.</w:t>
            </w:r>
          </w:p>
        </w:tc>
      </w:tr>
      <w:tr w:rsidR="001C08D3" w:rsidRPr="00F01347" w14:paraId="20819AE6" w14:textId="520663A0" w:rsidTr="00971794">
        <w:tc>
          <w:tcPr>
            <w:tcW w:w="4675" w:type="dxa"/>
          </w:tcPr>
          <w:p w14:paraId="1036C71F"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Duplicados de campo (FD1, FD2)</w:t>
            </w:r>
            <w:r w:rsidRPr="00F01347">
              <w:rPr>
                <w:rFonts w:ascii="Verdana" w:hAnsi="Verdana"/>
                <w:sz w:val="16"/>
                <w:szCs w:val="16"/>
              </w:rPr>
              <w:t>,</w:t>
            </w:r>
            <w:r w:rsidRPr="00F01347">
              <w:rPr>
                <w:rFonts w:ascii="Verdana" w:hAnsi="Verdana"/>
                <w:b/>
                <w:sz w:val="16"/>
                <w:szCs w:val="16"/>
              </w:rPr>
              <w:t xml:space="preserve"> </w:t>
            </w:r>
            <w:r w:rsidRPr="00F01347">
              <w:rPr>
                <w:rFonts w:ascii="Verdana" w:hAnsi="Verdana"/>
                <w:sz w:val="16"/>
                <w:szCs w:val="16"/>
              </w:rPr>
              <w:t xml:space="preserve">a las dos muestras separadas recolectadas al </w:t>
            </w:r>
            <w:proofErr w:type="gramStart"/>
            <w:r w:rsidRPr="00F01347">
              <w:rPr>
                <w:rFonts w:ascii="Verdana" w:hAnsi="Verdana"/>
                <w:sz w:val="16"/>
                <w:szCs w:val="16"/>
              </w:rPr>
              <w:t>mismo tiempo y el mismo lugar</w:t>
            </w:r>
            <w:proofErr w:type="gramEnd"/>
            <w:r w:rsidRPr="00F01347">
              <w:rPr>
                <w:rFonts w:ascii="Verdana" w:hAnsi="Verdana"/>
                <w:sz w:val="16"/>
                <w:szCs w:val="16"/>
              </w:rPr>
              <w:t xml:space="preserve"> bajo circunstancias idénticas, y tratadas exactamente igual bajo los mismos procedimientos de campo y laboratorio. El análisis de FD1 y FD2 dan una medida de la precisión asociada con la recolección, conservación y almacenamiento de las muestras, así como de los procedimientos de laboratorio.</w:t>
            </w:r>
          </w:p>
        </w:tc>
        <w:tc>
          <w:tcPr>
            <w:tcW w:w="4675" w:type="dxa"/>
          </w:tcPr>
          <w:p w14:paraId="5A28D826" w14:textId="08938B60"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Field Duplicates (FD1, FD2)</w:t>
            </w:r>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 xml:space="preserve">the two separate samples collected at the same time and the same place under identical </w:t>
            </w:r>
            <w:r w:rsidR="006F6D4C" w:rsidRPr="00F01347">
              <w:rPr>
                <w:rFonts w:ascii="Verdana" w:hAnsi="Verdana"/>
                <w:sz w:val="16"/>
                <w:szCs w:val="16"/>
                <w:lang w:val="en-US"/>
              </w:rPr>
              <w:t>circumstances and</w:t>
            </w:r>
            <w:r w:rsidRPr="00F01347">
              <w:rPr>
                <w:rFonts w:ascii="Verdana" w:hAnsi="Verdana"/>
                <w:sz w:val="16"/>
                <w:szCs w:val="16"/>
                <w:lang w:val="en-US"/>
              </w:rPr>
              <w:t xml:space="preserve"> treated </w:t>
            </w:r>
            <w:proofErr w:type="gramStart"/>
            <w:r w:rsidRPr="00F01347">
              <w:rPr>
                <w:rFonts w:ascii="Verdana" w:hAnsi="Verdana"/>
                <w:sz w:val="16"/>
                <w:szCs w:val="16"/>
                <w:lang w:val="en-US"/>
              </w:rPr>
              <w:t>exactly the same</w:t>
            </w:r>
            <w:proofErr w:type="gramEnd"/>
            <w:r w:rsidRPr="00F01347">
              <w:rPr>
                <w:rFonts w:ascii="Verdana" w:hAnsi="Verdana"/>
                <w:sz w:val="16"/>
                <w:szCs w:val="16"/>
                <w:lang w:val="en-US"/>
              </w:rPr>
              <w:t xml:space="preserve"> under the same field and laboratory procedures. The analysis of FD1 and FD2 provides a measure of the precision associated with the collection, </w:t>
            </w:r>
            <w:r w:rsidR="006F6D4C" w:rsidRPr="00F01347">
              <w:rPr>
                <w:rFonts w:ascii="Verdana" w:hAnsi="Verdana"/>
                <w:sz w:val="16"/>
                <w:szCs w:val="16"/>
                <w:lang w:val="en-US"/>
              </w:rPr>
              <w:t>preservation,</w:t>
            </w:r>
            <w:r w:rsidRPr="00F01347">
              <w:rPr>
                <w:rFonts w:ascii="Verdana" w:hAnsi="Verdana"/>
                <w:sz w:val="16"/>
                <w:szCs w:val="16"/>
                <w:lang w:val="en-US"/>
              </w:rPr>
              <w:t xml:space="preserve"> and storage of samples, as well as laboratory procedures.</w:t>
            </w:r>
          </w:p>
        </w:tc>
      </w:tr>
      <w:tr w:rsidR="001C08D3" w:rsidRPr="00F01347" w14:paraId="180ED62C" w14:textId="19964E30" w:rsidTr="00971794">
        <w:tc>
          <w:tcPr>
            <w:tcW w:w="4675" w:type="dxa"/>
          </w:tcPr>
          <w:p w14:paraId="27202A98"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duplicado de la matriz de muestra fortificada en laboratorio (LFSMD)</w:t>
            </w:r>
            <w:r w:rsidRPr="00F01347">
              <w:rPr>
                <w:rFonts w:ascii="Verdana" w:hAnsi="Verdana"/>
                <w:sz w:val="16"/>
                <w:szCs w:val="16"/>
              </w:rPr>
              <w:t>, al duplicado de la muestra de campo utilizada para preparar la LFSM. El LFSMD es fortificado, extraído y analizados de forma idéntica a la LFSM. El LFSMD se utiliza en lugar del duplicado de campo para evaluar la precisión del método cuando la ocurrencia de los analitos es infrecuente.</w:t>
            </w:r>
          </w:p>
        </w:tc>
        <w:tc>
          <w:tcPr>
            <w:tcW w:w="4675" w:type="dxa"/>
          </w:tcPr>
          <w:p w14:paraId="3642542A" w14:textId="1F56AA55" w:rsidR="001C08D3" w:rsidRPr="00F01347" w:rsidRDefault="00A732DC"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L</w:t>
            </w:r>
            <w:r w:rsidR="001C08D3" w:rsidRPr="00F01347">
              <w:rPr>
                <w:rFonts w:ascii="Verdana" w:hAnsi="Verdana"/>
                <w:b/>
                <w:sz w:val="16"/>
                <w:szCs w:val="16"/>
                <w:lang w:val="en-US"/>
              </w:rPr>
              <w:t>aboratory fortified sample matrix</w:t>
            </w:r>
            <w:r w:rsidRPr="00F01347">
              <w:rPr>
                <w:rFonts w:ascii="Verdana" w:hAnsi="Verdana"/>
                <w:b/>
                <w:sz w:val="16"/>
                <w:szCs w:val="16"/>
                <w:lang w:val="en-US"/>
              </w:rPr>
              <w:t xml:space="preserve"> duplicate</w:t>
            </w:r>
            <w:r w:rsidR="001C08D3" w:rsidRPr="00F01347">
              <w:rPr>
                <w:rFonts w:ascii="Verdana" w:hAnsi="Verdana"/>
                <w:b/>
                <w:sz w:val="16"/>
                <w:szCs w:val="16"/>
                <w:lang w:val="en-US"/>
              </w:rPr>
              <w:t xml:space="preserve"> (LFSMD)</w:t>
            </w:r>
            <w:r w:rsidR="003E1BA9" w:rsidRPr="00F01347">
              <w:rPr>
                <w:rFonts w:ascii="Verdana" w:hAnsi="Verdana"/>
                <w:b/>
                <w:sz w:val="16"/>
                <w:szCs w:val="16"/>
                <w:lang w:val="en-US"/>
              </w:rPr>
              <w:t>,</w:t>
            </w:r>
            <w:r w:rsidR="001C08D3" w:rsidRPr="00F01347">
              <w:rPr>
                <w:rFonts w:ascii="Verdana" w:hAnsi="Verdana"/>
                <w:sz w:val="16"/>
                <w:szCs w:val="16"/>
                <w:lang w:val="en-US"/>
              </w:rPr>
              <w:t xml:space="preserve"> the duplicate of the field sample used to prepare the LFSM. The LFSMD is fortified, </w:t>
            </w:r>
            <w:proofErr w:type="gramStart"/>
            <w:r w:rsidR="001C08D3" w:rsidRPr="00F01347">
              <w:rPr>
                <w:rFonts w:ascii="Verdana" w:hAnsi="Verdana"/>
                <w:sz w:val="16"/>
                <w:szCs w:val="16"/>
                <w:lang w:val="en-US"/>
              </w:rPr>
              <w:t>extracted</w:t>
            </w:r>
            <w:proofErr w:type="gramEnd"/>
            <w:r w:rsidR="001C08D3" w:rsidRPr="00F01347">
              <w:rPr>
                <w:rFonts w:ascii="Verdana" w:hAnsi="Verdana"/>
                <w:sz w:val="16"/>
                <w:szCs w:val="16"/>
                <w:lang w:val="en-US"/>
              </w:rPr>
              <w:t xml:space="preserve"> and analyzed identically to the LFSM. The LFSMD is used instead of field duplicate to evaluate the precision of the method when the occurrence of the analytes is infrequent.</w:t>
            </w:r>
          </w:p>
        </w:tc>
      </w:tr>
      <w:tr w:rsidR="001C08D3" w:rsidRPr="00F01347" w14:paraId="5308C175" w14:textId="01D2C682" w:rsidTr="00971794">
        <w:tc>
          <w:tcPr>
            <w:tcW w:w="4675" w:type="dxa"/>
          </w:tcPr>
          <w:p w14:paraId="0C3B1E5E"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Estándar de calibración (CAL)</w:t>
            </w:r>
            <w:r w:rsidRPr="00F01347">
              <w:rPr>
                <w:rFonts w:ascii="Verdana" w:hAnsi="Verdana"/>
                <w:sz w:val="16"/>
                <w:szCs w:val="16"/>
              </w:rPr>
              <w:t xml:space="preserve">, a la solución preparada a partir de la dilución primaria de la solución estándar y/o solución estándar y el </w:t>
            </w:r>
            <w:proofErr w:type="spellStart"/>
            <w:r w:rsidRPr="00F01347">
              <w:rPr>
                <w:rFonts w:ascii="Verdana" w:hAnsi="Verdana"/>
                <w:color w:val="000000"/>
                <w:sz w:val="16"/>
                <w:szCs w:val="16"/>
              </w:rPr>
              <w:t>surrogado</w:t>
            </w:r>
            <w:proofErr w:type="spellEnd"/>
            <w:r w:rsidRPr="00F01347">
              <w:rPr>
                <w:rFonts w:ascii="Verdana" w:hAnsi="Verdana"/>
                <w:sz w:val="16"/>
                <w:szCs w:val="16"/>
              </w:rPr>
              <w:t>. Las soluciones CAL se utilizan para calibrar la respuesta del instrumento con respecto a la concentración del analito</w:t>
            </w:r>
            <w:r w:rsidRPr="00F01347">
              <w:rPr>
                <w:rFonts w:ascii="Verdana" w:hAnsi="Verdana"/>
                <w:color w:val="000000"/>
                <w:sz w:val="16"/>
                <w:szCs w:val="16"/>
              </w:rPr>
              <w:t xml:space="preserve"> de interés</w:t>
            </w:r>
            <w:r w:rsidRPr="00F01347">
              <w:rPr>
                <w:rFonts w:ascii="Verdana" w:hAnsi="Verdana"/>
                <w:sz w:val="16"/>
                <w:szCs w:val="16"/>
              </w:rPr>
              <w:t>.</w:t>
            </w:r>
          </w:p>
        </w:tc>
        <w:tc>
          <w:tcPr>
            <w:tcW w:w="4675" w:type="dxa"/>
          </w:tcPr>
          <w:p w14:paraId="0E161117" w14:textId="2A3D13ED"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 xml:space="preserve">Calibration </w:t>
            </w:r>
            <w:r w:rsidR="00A732DC" w:rsidRPr="00F01347">
              <w:rPr>
                <w:rFonts w:ascii="Verdana" w:hAnsi="Verdana"/>
                <w:b/>
                <w:sz w:val="16"/>
                <w:szCs w:val="16"/>
                <w:lang w:val="en-US"/>
              </w:rPr>
              <w:t>S</w:t>
            </w:r>
            <w:r w:rsidRPr="00F01347">
              <w:rPr>
                <w:rFonts w:ascii="Verdana" w:hAnsi="Verdana"/>
                <w:b/>
                <w:sz w:val="16"/>
                <w:szCs w:val="16"/>
                <w:lang w:val="en-US"/>
              </w:rPr>
              <w:t>tandard (CAL)</w:t>
            </w:r>
            <w:r w:rsidR="003E1BA9" w:rsidRPr="00F01347">
              <w:rPr>
                <w:rFonts w:ascii="Verdana" w:hAnsi="Verdana"/>
                <w:b/>
                <w:sz w:val="16"/>
                <w:szCs w:val="16"/>
                <w:lang w:val="en-US"/>
              </w:rPr>
              <w:t>,</w:t>
            </w:r>
            <w:r w:rsidRPr="00F01347">
              <w:rPr>
                <w:rFonts w:ascii="Verdana" w:hAnsi="Verdana"/>
                <w:sz w:val="16"/>
                <w:szCs w:val="16"/>
                <w:lang w:val="en-US"/>
              </w:rPr>
              <w:t xml:space="preserve"> the solution prepared from the primary dilution of the standard solution and/or standard solution and the </w:t>
            </w:r>
            <w:r w:rsidRPr="00F01347">
              <w:rPr>
                <w:rFonts w:ascii="Verdana" w:hAnsi="Verdana"/>
                <w:color w:val="000000"/>
                <w:sz w:val="16"/>
                <w:szCs w:val="16"/>
                <w:lang w:val="en-US"/>
              </w:rPr>
              <w:t>surrogate</w:t>
            </w:r>
            <w:r w:rsidR="003E1BA9" w:rsidRPr="00F01347">
              <w:rPr>
                <w:rFonts w:ascii="Verdana" w:hAnsi="Verdana"/>
                <w:color w:val="000000"/>
                <w:sz w:val="16"/>
                <w:szCs w:val="16"/>
                <w:lang w:val="en-US"/>
              </w:rPr>
              <w:t>.</w:t>
            </w:r>
            <w:r w:rsidRPr="00F01347">
              <w:rPr>
                <w:rFonts w:ascii="Verdana" w:hAnsi="Verdana"/>
                <w:sz w:val="16"/>
                <w:szCs w:val="16"/>
                <w:lang w:val="en-US"/>
              </w:rPr>
              <w:t xml:space="preserve"> CAL solutions are used to calibrate the response of the instrument with respect to the concentration of the analyte </w:t>
            </w:r>
            <w:r w:rsidRPr="00F01347">
              <w:rPr>
                <w:rFonts w:ascii="Verdana" w:hAnsi="Verdana"/>
                <w:color w:val="000000"/>
                <w:sz w:val="16"/>
                <w:szCs w:val="16"/>
                <w:lang w:val="en-US"/>
              </w:rPr>
              <w:t>of interest</w:t>
            </w:r>
            <w:r w:rsidR="003E1BA9" w:rsidRPr="00F01347">
              <w:rPr>
                <w:rFonts w:ascii="Verdana" w:hAnsi="Verdana"/>
                <w:color w:val="000000"/>
                <w:sz w:val="16"/>
                <w:szCs w:val="16"/>
                <w:lang w:val="en-US"/>
              </w:rPr>
              <w:t>.</w:t>
            </w:r>
          </w:p>
        </w:tc>
      </w:tr>
      <w:tr w:rsidR="001C08D3" w:rsidRPr="00F01347" w14:paraId="1F26037B" w14:textId="7FA2540E" w:rsidTr="00971794">
        <w:tc>
          <w:tcPr>
            <w:tcW w:w="4675" w:type="dxa"/>
          </w:tcPr>
          <w:p w14:paraId="11F28005"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Hoja de datos de seguridad del material (MSDS)</w:t>
            </w:r>
            <w:r w:rsidRPr="00F01347">
              <w:rPr>
                <w:rFonts w:ascii="Verdana" w:hAnsi="Verdana"/>
                <w:sz w:val="16"/>
                <w:szCs w:val="16"/>
              </w:rPr>
              <w:t>, a la información escrita proporcionada por los vendedores acerca de la toxicidad del producto químico, los riesgos para la salud, las propiedades físicas, riesgo de incendio y reactividad, incluyendo las precauciones de almacenamiento, derrame y manipulación.</w:t>
            </w:r>
          </w:p>
        </w:tc>
        <w:tc>
          <w:tcPr>
            <w:tcW w:w="4675" w:type="dxa"/>
          </w:tcPr>
          <w:p w14:paraId="117F9FC4" w14:textId="65CC8C3E"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Material Safety Data Sheet (MSDS)</w:t>
            </w:r>
            <w:r w:rsidR="003E1BA9" w:rsidRPr="00F01347">
              <w:rPr>
                <w:rFonts w:ascii="Verdana" w:hAnsi="Verdana"/>
                <w:b/>
                <w:sz w:val="16"/>
                <w:szCs w:val="16"/>
                <w:lang w:val="en-US"/>
              </w:rPr>
              <w:t>,</w:t>
            </w:r>
            <w:r w:rsidRPr="00F01347">
              <w:rPr>
                <w:rFonts w:ascii="Verdana" w:hAnsi="Verdana"/>
                <w:sz w:val="16"/>
                <w:szCs w:val="16"/>
                <w:lang w:val="en-US"/>
              </w:rPr>
              <w:t xml:space="preserve"> written information provided by sellers about the chemical's toxicity, health hazards, physical properties, fire hazard and reactivity, including storage precautions, </w:t>
            </w:r>
            <w:proofErr w:type="gramStart"/>
            <w:r w:rsidRPr="00F01347">
              <w:rPr>
                <w:rFonts w:ascii="Verdana" w:hAnsi="Verdana"/>
                <w:sz w:val="16"/>
                <w:szCs w:val="16"/>
                <w:lang w:val="en-US"/>
              </w:rPr>
              <w:t>spillage</w:t>
            </w:r>
            <w:proofErr w:type="gramEnd"/>
            <w:r w:rsidRPr="00F01347">
              <w:rPr>
                <w:rFonts w:ascii="Verdana" w:hAnsi="Verdana"/>
                <w:sz w:val="16"/>
                <w:szCs w:val="16"/>
                <w:lang w:val="en-US"/>
              </w:rPr>
              <w:t xml:space="preserve"> and manipulation.</w:t>
            </w:r>
          </w:p>
        </w:tc>
      </w:tr>
      <w:tr w:rsidR="001C08D3" w:rsidRPr="00F01347" w14:paraId="569D4A25" w14:textId="696174BC" w:rsidTr="00971794">
        <w:tc>
          <w:tcPr>
            <w:tcW w:w="4675" w:type="dxa"/>
          </w:tcPr>
          <w:p w14:paraId="106039FD"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Ion precursor</w:t>
            </w:r>
            <w:r w:rsidRPr="00F01347">
              <w:rPr>
                <w:rFonts w:ascii="Verdana" w:hAnsi="Verdana"/>
                <w:sz w:val="16"/>
                <w:szCs w:val="16"/>
              </w:rPr>
              <w:t xml:space="preserve">, a la molécula </w:t>
            </w:r>
            <w:proofErr w:type="spellStart"/>
            <w:r w:rsidRPr="00F01347">
              <w:rPr>
                <w:rFonts w:ascii="Verdana" w:hAnsi="Verdana"/>
                <w:sz w:val="16"/>
                <w:szCs w:val="16"/>
              </w:rPr>
              <w:t>protonada</w:t>
            </w:r>
            <w:proofErr w:type="spellEnd"/>
            <w:r w:rsidRPr="00F01347">
              <w:rPr>
                <w:rFonts w:ascii="Verdana" w:hAnsi="Verdana"/>
                <w:sz w:val="16"/>
                <w:szCs w:val="16"/>
              </w:rPr>
              <w:t xml:space="preserve"> del analito ([M + H]</w:t>
            </w:r>
            <w:r w:rsidRPr="00F01347">
              <w:rPr>
                <w:rFonts w:ascii="Verdana" w:hAnsi="Verdana"/>
                <w:sz w:val="16"/>
                <w:szCs w:val="16"/>
                <w:vertAlign w:val="superscript"/>
              </w:rPr>
              <w:t>+</w:t>
            </w:r>
            <w:r w:rsidRPr="00F01347">
              <w:rPr>
                <w:rFonts w:ascii="Verdana" w:hAnsi="Verdana"/>
                <w:sz w:val="16"/>
                <w:szCs w:val="16"/>
              </w:rPr>
              <w:t xml:space="preserve"> o [M + 2H]</w:t>
            </w:r>
            <w:r w:rsidRPr="00F01347">
              <w:rPr>
                <w:rFonts w:ascii="Verdana" w:hAnsi="Verdana"/>
                <w:sz w:val="16"/>
                <w:szCs w:val="16"/>
                <w:vertAlign w:val="superscript"/>
              </w:rPr>
              <w:t>2+</w:t>
            </w:r>
            <w:r w:rsidRPr="00F01347">
              <w:rPr>
                <w:rFonts w:ascii="Verdana" w:hAnsi="Verdana"/>
                <w:sz w:val="16"/>
                <w:szCs w:val="16"/>
              </w:rPr>
              <w:t>). En MS/MS, el ion precursor es masa seleccionada y fragmentada por CAD para producir iones producto distintivos de menor relación m/z.</w:t>
            </w:r>
          </w:p>
        </w:tc>
        <w:tc>
          <w:tcPr>
            <w:tcW w:w="4675" w:type="dxa"/>
          </w:tcPr>
          <w:p w14:paraId="5AC8414A" w14:textId="2B94C5C1"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Precursor ion</w:t>
            </w:r>
            <w:r w:rsidR="003E1BA9" w:rsidRPr="00F01347">
              <w:rPr>
                <w:rFonts w:ascii="Verdana" w:hAnsi="Verdana"/>
                <w:b/>
                <w:sz w:val="16"/>
                <w:szCs w:val="16"/>
                <w:lang w:val="en-US"/>
              </w:rPr>
              <w:t>,</w:t>
            </w:r>
            <w:r w:rsidRPr="00F01347">
              <w:rPr>
                <w:rFonts w:ascii="Verdana" w:hAnsi="Verdana"/>
                <w:sz w:val="16"/>
                <w:szCs w:val="16"/>
                <w:lang w:val="en-US"/>
              </w:rPr>
              <w:t xml:space="preserve"> to the protonated molecule of the analyte </w:t>
            </w:r>
            <w:r w:rsidR="00A732DC" w:rsidRPr="00F01347">
              <w:rPr>
                <w:rFonts w:ascii="Verdana" w:hAnsi="Verdana"/>
                <w:sz w:val="16"/>
                <w:szCs w:val="16"/>
                <w:lang w:val="en-US"/>
              </w:rPr>
              <w:t xml:space="preserve">([M + </w:t>
            </w:r>
            <w:proofErr w:type="gramStart"/>
            <w:r w:rsidR="00A732DC" w:rsidRPr="00F01347">
              <w:rPr>
                <w:rFonts w:ascii="Verdana" w:hAnsi="Verdana"/>
                <w:sz w:val="16"/>
                <w:szCs w:val="16"/>
                <w:lang w:val="en-US"/>
              </w:rPr>
              <w:t>H]</w:t>
            </w:r>
            <w:r w:rsidR="00A732DC" w:rsidRPr="00F01347">
              <w:rPr>
                <w:rFonts w:ascii="Verdana" w:hAnsi="Verdana"/>
                <w:sz w:val="16"/>
                <w:szCs w:val="16"/>
                <w:vertAlign w:val="superscript"/>
                <w:lang w:val="en-US"/>
              </w:rPr>
              <w:t>+</w:t>
            </w:r>
            <w:proofErr w:type="gramEnd"/>
            <w:r w:rsidR="00A732DC" w:rsidRPr="00F01347">
              <w:rPr>
                <w:rFonts w:ascii="Verdana" w:hAnsi="Verdana"/>
                <w:sz w:val="16"/>
                <w:szCs w:val="16"/>
                <w:lang w:val="en-US"/>
              </w:rPr>
              <w:t xml:space="preserve"> o [M + 2H]</w:t>
            </w:r>
            <w:r w:rsidR="00A732DC" w:rsidRPr="00F01347">
              <w:rPr>
                <w:rFonts w:ascii="Verdana" w:hAnsi="Verdana"/>
                <w:sz w:val="16"/>
                <w:szCs w:val="16"/>
                <w:vertAlign w:val="superscript"/>
                <w:lang w:val="en-US"/>
              </w:rPr>
              <w:t>2+</w:t>
            </w:r>
            <w:r w:rsidR="00A732DC" w:rsidRPr="00F01347">
              <w:rPr>
                <w:rFonts w:ascii="Verdana" w:hAnsi="Verdana"/>
                <w:sz w:val="16"/>
                <w:szCs w:val="16"/>
                <w:lang w:val="en-US"/>
              </w:rPr>
              <w:t xml:space="preserve">). </w:t>
            </w:r>
            <w:r w:rsidRPr="00F01347">
              <w:rPr>
                <w:rFonts w:ascii="Verdana" w:hAnsi="Verdana"/>
                <w:sz w:val="16"/>
                <w:szCs w:val="16"/>
                <w:lang w:val="en-US"/>
              </w:rPr>
              <w:t>In MS/MS, the precursor ion is mass selected and fragmented by CAD to produce distinctive product ions of lower m/z ratio.</w:t>
            </w:r>
          </w:p>
        </w:tc>
      </w:tr>
      <w:tr w:rsidR="001C08D3" w:rsidRPr="00F01347" w14:paraId="01C8D3A3" w14:textId="56F734F0" w:rsidTr="00971794">
        <w:tc>
          <w:tcPr>
            <w:tcW w:w="4675" w:type="dxa"/>
          </w:tcPr>
          <w:p w14:paraId="6B323FDC"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Ion producto</w:t>
            </w:r>
            <w:r w:rsidRPr="00F01347">
              <w:rPr>
                <w:rFonts w:ascii="Verdana" w:hAnsi="Verdana"/>
                <w:sz w:val="16"/>
                <w:szCs w:val="16"/>
              </w:rPr>
              <w:t>, fragmentos de iones producidos en MS/MS por CAD a partir del ion precursor.</w:t>
            </w:r>
          </w:p>
        </w:tc>
        <w:tc>
          <w:tcPr>
            <w:tcW w:w="4675" w:type="dxa"/>
          </w:tcPr>
          <w:p w14:paraId="64B6BF4A" w14:textId="485E2A19"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Product ion</w:t>
            </w:r>
            <w:r w:rsidR="003E1BA9" w:rsidRPr="00F01347">
              <w:rPr>
                <w:rFonts w:ascii="Verdana" w:hAnsi="Verdana"/>
                <w:b/>
                <w:sz w:val="16"/>
                <w:szCs w:val="16"/>
                <w:lang w:val="en-US"/>
              </w:rPr>
              <w:t>,</w:t>
            </w:r>
            <w:r w:rsidRPr="00F01347">
              <w:rPr>
                <w:rFonts w:ascii="Verdana" w:hAnsi="Verdana"/>
                <w:sz w:val="16"/>
                <w:szCs w:val="16"/>
                <w:lang w:val="en-US"/>
              </w:rPr>
              <w:t xml:space="preserve"> fragment ions produced in MS/MS by CAD from the precursor ion.</w:t>
            </w:r>
          </w:p>
        </w:tc>
      </w:tr>
      <w:tr w:rsidR="001C08D3" w:rsidRPr="00F01347" w14:paraId="0FB0BBCF" w14:textId="57C82884" w:rsidTr="00971794">
        <w:tc>
          <w:tcPr>
            <w:tcW w:w="4675" w:type="dxa"/>
          </w:tcPr>
          <w:p w14:paraId="106BB94F"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Límite de detección (DL)</w:t>
            </w:r>
            <w:r w:rsidRPr="00F01347">
              <w:rPr>
                <w:rFonts w:ascii="Verdana" w:hAnsi="Verdana"/>
                <w:sz w:val="16"/>
                <w:szCs w:val="16"/>
              </w:rPr>
              <w:t xml:space="preserve">, a la concentración mínima de un analito </w:t>
            </w:r>
            <w:r w:rsidRPr="00F01347">
              <w:rPr>
                <w:rFonts w:ascii="Verdana" w:hAnsi="Verdana"/>
                <w:color w:val="000000"/>
                <w:sz w:val="16"/>
                <w:szCs w:val="16"/>
              </w:rPr>
              <w:t xml:space="preserve">de interés </w:t>
            </w:r>
            <w:r w:rsidRPr="00F01347">
              <w:rPr>
                <w:rFonts w:ascii="Verdana" w:hAnsi="Verdana"/>
                <w:sz w:val="16"/>
                <w:szCs w:val="16"/>
              </w:rPr>
              <w:t>que puede ser Identificado, medido y reportado con un 99% de confianza de que la concentración del analito es mayor a cero. Esta es una determinación estadística de precisión y no se espera una cuantificación exacta a este nivel.</w:t>
            </w:r>
          </w:p>
        </w:tc>
        <w:tc>
          <w:tcPr>
            <w:tcW w:w="4675" w:type="dxa"/>
          </w:tcPr>
          <w:p w14:paraId="34C72BF7" w14:textId="43A53D7D"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Detection limit (DL)</w:t>
            </w:r>
            <w:r w:rsidR="003E1BA9" w:rsidRPr="00F01347">
              <w:rPr>
                <w:rFonts w:ascii="Verdana" w:hAnsi="Verdana"/>
                <w:b/>
                <w:sz w:val="16"/>
                <w:szCs w:val="16"/>
                <w:lang w:val="en-US"/>
              </w:rPr>
              <w:t>,</w:t>
            </w:r>
            <w:r w:rsidRPr="00F01347">
              <w:rPr>
                <w:rFonts w:ascii="Verdana" w:hAnsi="Verdana"/>
                <w:sz w:val="16"/>
                <w:szCs w:val="16"/>
                <w:lang w:val="en-US"/>
              </w:rPr>
              <w:t xml:space="preserve"> the minimum concentration of an analyte </w:t>
            </w:r>
            <w:r w:rsidRPr="00F01347">
              <w:rPr>
                <w:rFonts w:ascii="Verdana" w:hAnsi="Verdana"/>
                <w:color w:val="000000"/>
                <w:sz w:val="16"/>
                <w:szCs w:val="16"/>
                <w:lang w:val="en-US"/>
              </w:rPr>
              <w:t xml:space="preserve">of interest </w:t>
            </w:r>
            <w:r w:rsidRPr="00F01347">
              <w:rPr>
                <w:rFonts w:ascii="Verdana" w:hAnsi="Verdana"/>
                <w:sz w:val="16"/>
                <w:szCs w:val="16"/>
                <w:lang w:val="en-US"/>
              </w:rPr>
              <w:t xml:space="preserve">that can be identified, </w:t>
            </w:r>
            <w:r w:rsidR="00A732DC" w:rsidRPr="00F01347">
              <w:rPr>
                <w:rFonts w:ascii="Verdana" w:hAnsi="Verdana"/>
                <w:sz w:val="16"/>
                <w:szCs w:val="16"/>
                <w:lang w:val="en-US"/>
              </w:rPr>
              <w:t>measured,</w:t>
            </w:r>
            <w:r w:rsidRPr="00F01347">
              <w:rPr>
                <w:rFonts w:ascii="Verdana" w:hAnsi="Verdana"/>
                <w:sz w:val="16"/>
                <w:szCs w:val="16"/>
                <w:lang w:val="en-US"/>
              </w:rPr>
              <w:t xml:space="preserve"> and reported with 99% confidence that the analyte concentration is greater than zero. This is a statistical determination of precision and exact quantification at this level is not expected.</w:t>
            </w:r>
          </w:p>
        </w:tc>
      </w:tr>
      <w:tr w:rsidR="001C08D3" w:rsidRPr="00F01347" w14:paraId="4963BB6C" w14:textId="4CADBA72" w:rsidTr="00971794">
        <w:tc>
          <w:tcPr>
            <w:tcW w:w="4675" w:type="dxa"/>
          </w:tcPr>
          <w:p w14:paraId="0A21AFD9"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Lote de análisis</w:t>
            </w:r>
            <w:r w:rsidRPr="00F01347">
              <w:rPr>
                <w:rFonts w:ascii="Verdana" w:hAnsi="Verdana"/>
                <w:sz w:val="16"/>
                <w:szCs w:val="16"/>
              </w:rPr>
              <w:t xml:space="preserve">, al conjunto de muestras que se analiza en el mismo instrumento durante un período de 24 horas, incluyendo no más de 20 muestras de campo, que comienza y termina con el análisis de los estándares de verificación de calibración continua (CCC) apropiados. Pueden requerirse CCC adicionales </w:t>
            </w:r>
            <w:r w:rsidRPr="00F01347">
              <w:rPr>
                <w:rFonts w:ascii="Verdana" w:hAnsi="Verdana"/>
                <w:sz w:val="16"/>
                <w:szCs w:val="16"/>
              </w:rPr>
              <w:lastRenderedPageBreak/>
              <w:t>dependiendo de la longitud del lote de análisis y/o el número de muestras de campo.</w:t>
            </w:r>
          </w:p>
        </w:tc>
        <w:tc>
          <w:tcPr>
            <w:tcW w:w="4675" w:type="dxa"/>
          </w:tcPr>
          <w:p w14:paraId="3FD68034" w14:textId="362AF994"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lastRenderedPageBreak/>
              <w:t>Analysis batch</w:t>
            </w:r>
            <w:r w:rsidR="003E1BA9" w:rsidRPr="00F01347">
              <w:rPr>
                <w:rFonts w:ascii="Verdana" w:hAnsi="Verdana"/>
                <w:b/>
                <w:sz w:val="16"/>
                <w:szCs w:val="16"/>
                <w:lang w:val="en-US"/>
              </w:rPr>
              <w:t>,</w:t>
            </w:r>
            <w:r w:rsidRPr="00F01347">
              <w:rPr>
                <w:rFonts w:ascii="Verdana" w:hAnsi="Verdana"/>
                <w:sz w:val="16"/>
                <w:szCs w:val="16"/>
                <w:lang w:val="en-US"/>
              </w:rPr>
              <w:t xml:space="preserve"> the set of samples that are analyzed on the same instrument during a 24-hour period, including no more than 20 field samples, </w:t>
            </w:r>
            <w:r w:rsidR="005B61F0" w:rsidRPr="00F01347">
              <w:rPr>
                <w:rFonts w:ascii="Verdana" w:hAnsi="Verdana"/>
                <w:sz w:val="16"/>
                <w:szCs w:val="16"/>
                <w:lang w:val="en-US"/>
              </w:rPr>
              <w:t>beginning,</w:t>
            </w:r>
            <w:r w:rsidRPr="00F01347">
              <w:rPr>
                <w:rFonts w:ascii="Verdana" w:hAnsi="Verdana"/>
                <w:sz w:val="16"/>
                <w:szCs w:val="16"/>
                <w:lang w:val="en-US"/>
              </w:rPr>
              <w:t xml:space="preserve"> and ending with analysis of the appropriate continuous calibration verification (CCC) standards</w:t>
            </w:r>
            <w:r w:rsidR="003E1BA9" w:rsidRPr="00F01347">
              <w:rPr>
                <w:rFonts w:ascii="Verdana" w:hAnsi="Verdana"/>
                <w:sz w:val="16"/>
                <w:szCs w:val="16"/>
                <w:lang w:val="en-US"/>
              </w:rPr>
              <w:t>.</w:t>
            </w:r>
            <w:r w:rsidRPr="00F01347">
              <w:rPr>
                <w:rFonts w:ascii="Verdana" w:hAnsi="Verdana"/>
                <w:sz w:val="16"/>
                <w:szCs w:val="16"/>
                <w:lang w:val="en-US"/>
              </w:rPr>
              <w:t xml:space="preserve"> Additional CCCs may be required depending on the length of the analysis lot and/or the number of field samples.</w:t>
            </w:r>
          </w:p>
        </w:tc>
      </w:tr>
      <w:tr w:rsidR="001C08D3" w:rsidRPr="00F01347" w14:paraId="0AE9D016" w14:textId="10BF2709" w:rsidTr="00971794">
        <w:tc>
          <w:tcPr>
            <w:tcW w:w="4675" w:type="dxa"/>
          </w:tcPr>
          <w:p w14:paraId="121A02CB"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Lote de extracción</w:t>
            </w:r>
            <w:r w:rsidRPr="00F01347">
              <w:rPr>
                <w:rFonts w:ascii="Verdana" w:hAnsi="Verdana"/>
                <w:sz w:val="16"/>
                <w:szCs w:val="16"/>
              </w:rPr>
              <w:t>, al conjunto de hasta 20 muestras de campo (sin incluir las muestras de Control de Calidad, QC) extraídas juntas por la misma persona durante un día de trabajo usando el mismo lote de dispositivos SPE, disolventes, sustitutivos y soluciones para fortificar. Las muestras de QC requeridas incluyen el blanco de reactivo de laboratorio, el blanco fortificado de laboratorio, la matriz de la muestra fortificada de laboratorio y un duplicado de campo o duplicado de matriz de la muestra fortificada de laboratorio.</w:t>
            </w:r>
          </w:p>
        </w:tc>
        <w:tc>
          <w:tcPr>
            <w:tcW w:w="4675" w:type="dxa"/>
          </w:tcPr>
          <w:p w14:paraId="104934C0" w14:textId="6C1DE1E4"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Extraction batch</w:t>
            </w:r>
            <w:r w:rsidR="003E1BA9" w:rsidRPr="00F01347">
              <w:rPr>
                <w:rFonts w:ascii="Verdana" w:hAnsi="Verdana"/>
                <w:b/>
                <w:sz w:val="16"/>
                <w:szCs w:val="16"/>
                <w:lang w:val="en-US"/>
              </w:rPr>
              <w:t>,</w:t>
            </w:r>
            <w:r w:rsidRPr="00F01347">
              <w:rPr>
                <w:rFonts w:ascii="Verdana" w:hAnsi="Verdana"/>
                <w:sz w:val="16"/>
                <w:szCs w:val="16"/>
                <w:lang w:val="en-US"/>
              </w:rPr>
              <w:t xml:space="preserve"> the set of up to 20 field samples (not including QC samples) extracted together by the same person during one work day using the same batch of SPE devices, solvents, </w:t>
            </w:r>
            <w:r w:rsidR="005B61F0" w:rsidRPr="00F01347">
              <w:rPr>
                <w:rFonts w:ascii="Verdana" w:hAnsi="Verdana"/>
                <w:sz w:val="16"/>
                <w:szCs w:val="16"/>
                <w:lang w:val="en-US"/>
              </w:rPr>
              <w:t>substitutes,</w:t>
            </w:r>
            <w:r w:rsidRPr="00F01347">
              <w:rPr>
                <w:rFonts w:ascii="Verdana" w:hAnsi="Verdana"/>
                <w:sz w:val="16"/>
                <w:szCs w:val="16"/>
                <w:lang w:val="en-US"/>
              </w:rPr>
              <w:t xml:space="preserve"> and fortification solutions</w:t>
            </w:r>
            <w:r w:rsidR="003E1BA9" w:rsidRPr="00F01347">
              <w:rPr>
                <w:rFonts w:ascii="Verdana" w:hAnsi="Verdana"/>
                <w:sz w:val="16"/>
                <w:szCs w:val="16"/>
                <w:lang w:val="en-US"/>
              </w:rPr>
              <w:t>.</w:t>
            </w:r>
            <w:r w:rsidRPr="00F01347">
              <w:rPr>
                <w:rFonts w:ascii="Verdana" w:hAnsi="Verdana"/>
                <w:sz w:val="16"/>
                <w:szCs w:val="16"/>
                <w:lang w:val="en-US"/>
              </w:rPr>
              <w:t xml:space="preserve"> </w:t>
            </w:r>
            <w:r w:rsidR="005B61F0" w:rsidRPr="00F01347">
              <w:rPr>
                <w:rFonts w:ascii="Verdana" w:hAnsi="Verdana"/>
                <w:sz w:val="16"/>
                <w:szCs w:val="16"/>
                <w:lang w:val="en-US"/>
              </w:rPr>
              <w:t>The r</w:t>
            </w:r>
            <w:r w:rsidRPr="00F01347">
              <w:rPr>
                <w:rFonts w:ascii="Verdana" w:hAnsi="Verdana"/>
                <w:sz w:val="16"/>
                <w:szCs w:val="16"/>
                <w:lang w:val="en-US"/>
              </w:rPr>
              <w:t>equired QC samples include the laboratory reagent blank, the fortified laboratory blank, the fortified laboratory sample matrix, and a field duplicate or matrix duplicate of the fortified laboratory sample.</w:t>
            </w:r>
          </w:p>
        </w:tc>
      </w:tr>
      <w:tr w:rsidR="001C08D3" w:rsidRPr="00F01347" w14:paraId="2DC7B8F8" w14:textId="3DA90238" w:rsidTr="00971794">
        <w:tc>
          <w:tcPr>
            <w:tcW w:w="4675" w:type="dxa"/>
          </w:tcPr>
          <w:p w14:paraId="46E08128"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Matriz de muestra fortificada en laboratorio (LFSM)</w:t>
            </w:r>
            <w:r w:rsidRPr="00F01347">
              <w:rPr>
                <w:rFonts w:ascii="Verdana" w:hAnsi="Verdana"/>
                <w:sz w:val="16"/>
                <w:szCs w:val="16"/>
              </w:rPr>
              <w:t>, a la muestra de campo preservada a la que se añaden en el laboratorio cantidades conocidas de los analitos</w:t>
            </w:r>
            <w:r w:rsidRPr="00F01347">
              <w:rPr>
                <w:rFonts w:ascii="Verdana" w:hAnsi="Verdana"/>
                <w:color w:val="000000"/>
                <w:sz w:val="16"/>
                <w:szCs w:val="16"/>
              </w:rPr>
              <w:t xml:space="preserve"> de interés</w:t>
            </w:r>
            <w:r w:rsidRPr="00F01347">
              <w:rPr>
                <w:rFonts w:ascii="Verdana" w:hAnsi="Verdana"/>
                <w:sz w:val="16"/>
                <w:szCs w:val="16"/>
              </w:rPr>
              <w:t>. La LFSM es procesado y analizado exactamente como una muestra y su propósito es determinar si la matriz de la muestra contribuye a los resultados analíticos. Las concentraciones de fondo de los analitos en la matriz de muestra deben ser determinadas en una extracción independiente de la muestra y los valores medidos en la LFSM corregidos para las concentraciones de fondo.</w:t>
            </w:r>
          </w:p>
        </w:tc>
        <w:tc>
          <w:tcPr>
            <w:tcW w:w="4675" w:type="dxa"/>
          </w:tcPr>
          <w:p w14:paraId="17C703E0" w14:textId="407B49BF"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Laboratory Fortified Sample Matrix (LFSM)</w:t>
            </w:r>
            <w:r w:rsidR="003E1BA9" w:rsidRPr="00F01347">
              <w:rPr>
                <w:rFonts w:ascii="Verdana" w:hAnsi="Verdana"/>
                <w:b/>
                <w:sz w:val="16"/>
                <w:szCs w:val="16"/>
                <w:lang w:val="en-US"/>
              </w:rPr>
              <w:t>,</w:t>
            </w:r>
            <w:r w:rsidRPr="00F01347">
              <w:rPr>
                <w:rFonts w:ascii="Verdana" w:hAnsi="Verdana"/>
                <w:sz w:val="16"/>
                <w:szCs w:val="16"/>
                <w:lang w:val="en-US"/>
              </w:rPr>
              <w:t xml:space="preserve"> to the preserved field sample to which known quantities of the analytes </w:t>
            </w:r>
            <w:r w:rsidRPr="00F01347">
              <w:rPr>
                <w:rFonts w:ascii="Verdana" w:hAnsi="Verdana"/>
                <w:color w:val="000000"/>
                <w:sz w:val="16"/>
                <w:szCs w:val="16"/>
                <w:lang w:val="en-US"/>
              </w:rPr>
              <w:t>of interest are added in the laboratory</w:t>
            </w:r>
            <w:r w:rsidR="003E1BA9" w:rsidRPr="00F01347">
              <w:rPr>
                <w:rFonts w:ascii="Verdana" w:hAnsi="Verdana"/>
                <w:color w:val="000000"/>
                <w:sz w:val="16"/>
                <w:szCs w:val="16"/>
                <w:lang w:val="en-US"/>
              </w:rPr>
              <w:t>.</w:t>
            </w:r>
            <w:r w:rsidRPr="00F01347">
              <w:rPr>
                <w:rFonts w:ascii="Verdana" w:hAnsi="Verdana"/>
                <w:sz w:val="16"/>
                <w:szCs w:val="16"/>
                <w:lang w:val="en-US"/>
              </w:rPr>
              <w:t xml:space="preserve"> The LFSM is processed and analyzed exactly like a sample and its purpose is to determine whether the sample matrix contributes to the analytical results. The background concentrations of the analytes in the sample matrix must be determined in an independent extraction of the sample and the values measured in the LFSM corrected for the background concentrations.</w:t>
            </w:r>
          </w:p>
        </w:tc>
      </w:tr>
      <w:tr w:rsidR="001C08D3" w:rsidRPr="00F01347" w14:paraId="129DF238" w14:textId="0432AC27" w:rsidTr="00971794">
        <w:tc>
          <w:tcPr>
            <w:tcW w:w="4675" w:type="dxa"/>
          </w:tcPr>
          <w:p w14:paraId="620FC8F9"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Muestra de control de calidad (QCS)</w:t>
            </w:r>
            <w:r w:rsidRPr="00F01347">
              <w:rPr>
                <w:rFonts w:ascii="Verdana" w:hAnsi="Verdana"/>
                <w:sz w:val="16"/>
                <w:szCs w:val="16"/>
              </w:rPr>
              <w:t>, a la solución de analitos de concentraciones conocidas que se obtiene de una fuente externa al laboratorio y diferente del estándar de calibración. La segunda fuente para la solución estándar se utiliza para fortalecer el QCS a una concentración conocida. El QCS se utiliza para comprobar la integridad del estándar de calibración.</w:t>
            </w:r>
          </w:p>
        </w:tc>
        <w:tc>
          <w:tcPr>
            <w:tcW w:w="4675" w:type="dxa"/>
          </w:tcPr>
          <w:p w14:paraId="270313A2" w14:textId="68A9044D"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Quality control sample (QCS)</w:t>
            </w:r>
            <w:r w:rsidR="003E1BA9" w:rsidRPr="00F01347">
              <w:rPr>
                <w:rFonts w:ascii="Verdana" w:hAnsi="Verdana"/>
                <w:b/>
                <w:sz w:val="16"/>
                <w:szCs w:val="16"/>
                <w:lang w:val="en-US"/>
              </w:rPr>
              <w:t>,</w:t>
            </w:r>
            <w:r w:rsidRPr="00F01347">
              <w:rPr>
                <w:rFonts w:ascii="Verdana" w:hAnsi="Verdana"/>
                <w:sz w:val="16"/>
                <w:szCs w:val="16"/>
                <w:lang w:val="en-US"/>
              </w:rPr>
              <w:t xml:space="preserve"> the analyte solution of known concentrations that is obtained from a source external to the laboratory and different from the calibration standard. The second source for the standard solution is used to strengthen the QCS to a known concentration. The QCS is used to check the integrity of the calibration standard.</w:t>
            </w:r>
          </w:p>
        </w:tc>
      </w:tr>
      <w:tr w:rsidR="001C08D3" w:rsidRPr="00F01347" w14:paraId="5BE0FBF8" w14:textId="0FE66A45" w:rsidTr="00971794">
        <w:tc>
          <w:tcPr>
            <w:tcW w:w="4675" w:type="dxa"/>
          </w:tcPr>
          <w:p w14:paraId="50620830"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Nivel mínimo reportado (MRL</w:t>
            </w:r>
            <w:r w:rsidRPr="00F01347">
              <w:rPr>
                <w:rFonts w:ascii="Verdana" w:hAnsi="Verdana"/>
                <w:sz w:val="16"/>
                <w:szCs w:val="16"/>
              </w:rPr>
              <w:t>), a la concentración mínima que puede ser reportada como un valor cuantificado para un analito en una muestra después del análisis. Esta concentración definida no puede ser inferior a la concentración del estándar de calibración más bajo para ese analito y sólo puede utilizarse si se cumplen los criterios de control de calidad (QC) aceptables para ese estándar.</w:t>
            </w:r>
          </w:p>
        </w:tc>
        <w:tc>
          <w:tcPr>
            <w:tcW w:w="4675" w:type="dxa"/>
          </w:tcPr>
          <w:p w14:paraId="15878A72" w14:textId="4BB98E7A"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Minimum reported level (MRL</w:t>
            </w:r>
            <w:r w:rsidR="00913802" w:rsidRPr="00F01347">
              <w:rPr>
                <w:rFonts w:ascii="Verdana" w:hAnsi="Verdana"/>
                <w:b/>
                <w:sz w:val="16"/>
                <w:szCs w:val="16"/>
                <w:lang w:val="en-US"/>
              </w:rPr>
              <w:t>)</w:t>
            </w:r>
            <w:r w:rsidRPr="00F01347">
              <w:rPr>
                <w:rFonts w:ascii="Verdana" w:hAnsi="Verdana"/>
                <w:sz w:val="16"/>
                <w:szCs w:val="16"/>
                <w:lang w:val="en-US"/>
              </w:rPr>
              <w:t>, the minimum concentration that can be reported as a quantified value for an analyte in a sample after analysis. This defined concentration cannot be lower than the concentration of the lowest calibration standard for that analyte and can only be used if acceptable quality control (QC) criteria for that standard are met.</w:t>
            </w:r>
          </w:p>
        </w:tc>
      </w:tr>
      <w:tr w:rsidR="001C08D3" w:rsidRPr="00F01347" w14:paraId="69EFF5EF" w14:textId="25D7CCA4" w:rsidTr="00971794">
        <w:tc>
          <w:tcPr>
            <w:tcW w:w="4675" w:type="dxa"/>
          </w:tcPr>
          <w:p w14:paraId="612F2D76" w14:textId="77777777" w:rsidR="001C08D3" w:rsidRPr="00F01347" w:rsidRDefault="001C08D3" w:rsidP="001C08D3">
            <w:pPr>
              <w:pStyle w:val="texto0"/>
              <w:spacing w:line="229" w:lineRule="exact"/>
              <w:ind w:firstLine="0"/>
              <w:rPr>
                <w:rFonts w:ascii="Verdana" w:hAnsi="Verdana"/>
                <w:sz w:val="16"/>
                <w:szCs w:val="16"/>
              </w:rPr>
            </w:pPr>
            <w:r w:rsidRPr="00F01347">
              <w:rPr>
                <w:rFonts w:ascii="Verdana" w:hAnsi="Verdana"/>
                <w:b/>
                <w:sz w:val="16"/>
                <w:szCs w:val="16"/>
              </w:rPr>
              <w:t>Solución estándar (SSS</w:t>
            </w:r>
            <w:r w:rsidRPr="00F01347">
              <w:rPr>
                <w:rFonts w:ascii="Verdana" w:hAnsi="Verdana"/>
                <w:sz w:val="16"/>
                <w:szCs w:val="16"/>
              </w:rPr>
              <w:t>), a la solución concentrada que contiene uno o más analitos preparada en el laboratorio utilizando materiales de referencia ensayados o adquiridos de una fuente comercial de buena reputación.</w:t>
            </w:r>
          </w:p>
        </w:tc>
        <w:tc>
          <w:tcPr>
            <w:tcW w:w="4675" w:type="dxa"/>
          </w:tcPr>
          <w:p w14:paraId="62D26AD8" w14:textId="7806394C" w:rsidR="001C08D3" w:rsidRPr="00F01347" w:rsidRDefault="001C08D3" w:rsidP="001C08D3">
            <w:pPr>
              <w:pStyle w:val="texto0"/>
              <w:spacing w:line="229" w:lineRule="exact"/>
              <w:ind w:firstLine="0"/>
              <w:rPr>
                <w:rFonts w:ascii="Verdana" w:hAnsi="Verdana"/>
                <w:b/>
                <w:sz w:val="16"/>
                <w:szCs w:val="16"/>
                <w:lang w:val="en-US"/>
              </w:rPr>
            </w:pPr>
            <w:r w:rsidRPr="00F01347">
              <w:rPr>
                <w:rFonts w:ascii="Verdana" w:hAnsi="Verdana"/>
                <w:b/>
                <w:sz w:val="16"/>
                <w:szCs w:val="16"/>
                <w:lang w:val="en-US"/>
              </w:rPr>
              <w:t>Standard solution (SSS</w:t>
            </w:r>
            <w:r w:rsidR="00913802" w:rsidRPr="00F01347">
              <w:rPr>
                <w:rFonts w:ascii="Verdana" w:hAnsi="Verdana"/>
                <w:b/>
                <w:sz w:val="16"/>
                <w:szCs w:val="16"/>
                <w:lang w:val="en-US"/>
              </w:rPr>
              <w:t>)</w:t>
            </w:r>
            <w:r w:rsidRPr="00F01347">
              <w:rPr>
                <w:rFonts w:ascii="Verdana" w:hAnsi="Verdana"/>
                <w:sz w:val="16"/>
                <w:szCs w:val="16"/>
                <w:lang w:val="en-US"/>
              </w:rPr>
              <w:t>, a concentrated solution containing one or more analytes prepared in the laboratory using reference materials tested or purchased from a reputable commercial source.</w:t>
            </w:r>
          </w:p>
        </w:tc>
      </w:tr>
      <w:tr w:rsidR="001C08D3" w:rsidRPr="00F01347" w14:paraId="5A1E1377" w14:textId="4536AFF6" w:rsidTr="00971794">
        <w:tc>
          <w:tcPr>
            <w:tcW w:w="4675" w:type="dxa"/>
          </w:tcPr>
          <w:p w14:paraId="35BACB82"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b/>
                <w:sz w:val="16"/>
                <w:szCs w:val="16"/>
              </w:rPr>
              <w:t>Solución estándar de dilución primaria (PDS</w:t>
            </w:r>
            <w:r w:rsidRPr="00F01347">
              <w:rPr>
                <w:rFonts w:ascii="Verdana" w:hAnsi="Verdana"/>
                <w:sz w:val="16"/>
                <w:szCs w:val="16"/>
              </w:rPr>
              <w:t>), a la solución que contiene los analitos preparados en el laboratorio a partir de soluciones estándar y diluida según sea necesario para preparar soluciones de calibración y otras soluciones de analito necesarias.</w:t>
            </w:r>
          </w:p>
        </w:tc>
        <w:tc>
          <w:tcPr>
            <w:tcW w:w="4675" w:type="dxa"/>
          </w:tcPr>
          <w:p w14:paraId="5E094D80" w14:textId="0D3F2061" w:rsidR="001C08D3" w:rsidRPr="00F01347" w:rsidRDefault="001C08D3" w:rsidP="001C08D3">
            <w:pPr>
              <w:pStyle w:val="texto0"/>
              <w:spacing w:line="220" w:lineRule="exact"/>
              <w:ind w:firstLine="0"/>
              <w:rPr>
                <w:rFonts w:ascii="Verdana" w:hAnsi="Verdana"/>
                <w:b/>
                <w:sz w:val="16"/>
                <w:szCs w:val="16"/>
                <w:lang w:val="en-US"/>
              </w:rPr>
            </w:pPr>
            <w:r w:rsidRPr="00F01347">
              <w:rPr>
                <w:rFonts w:ascii="Verdana" w:hAnsi="Verdana"/>
                <w:b/>
                <w:sz w:val="16"/>
                <w:szCs w:val="16"/>
                <w:lang w:val="en-US"/>
              </w:rPr>
              <w:t>Primary Dilution Standard Solution (PDS</w:t>
            </w:r>
            <w:r w:rsidR="00913802" w:rsidRPr="00F01347">
              <w:rPr>
                <w:rFonts w:ascii="Verdana" w:hAnsi="Verdana"/>
                <w:b/>
                <w:sz w:val="16"/>
                <w:szCs w:val="16"/>
                <w:lang w:val="en-US"/>
              </w:rPr>
              <w:t>)</w:t>
            </w:r>
            <w:r w:rsidRPr="00F01347">
              <w:rPr>
                <w:rFonts w:ascii="Verdana" w:hAnsi="Verdana"/>
                <w:sz w:val="16"/>
                <w:szCs w:val="16"/>
                <w:lang w:val="en-US"/>
              </w:rPr>
              <w:t>, the solution containing the analytes prepared in the laboratory from standard solutions and diluted as necessary to prepare calibration solutions and other necessary analyte solutions.</w:t>
            </w:r>
          </w:p>
        </w:tc>
      </w:tr>
      <w:tr w:rsidR="001C08D3" w:rsidRPr="00F01347" w14:paraId="27BE8C19" w14:textId="2521DF8F" w:rsidTr="00971794">
        <w:tc>
          <w:tcPr>
            <w:tcW w:w="4675" w:type="dxa"/>
          </w:tcPr>
          <w:p w14:paraId="4EDDA2E2"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b/>
                <w:sz w:val="16"/>
                <w:szCs w:val="16"/>
              </w:rPr>
              <w:t>Verificación de calibración continua (CCC)</w:t>
            </w:r>
            <w:r w:rsidRPr="00F01347">
              <w:rPr>
                <w:rFonts w:ascii="Verdana" w:hAnsi="Verdana"/>
                <w:sz w:val="16"/>
                <w:szCs w:val="16"/>
              </w:rPr>
              <w:t xml:space="preserve">, al estándar de calibración que contiene los analitos del método y </w:t>
            </w:r>
            <w:proofErr w:type="spellStart"/>
            <w:r w:rsidRPr="00F01347">
              <w:rPr>
                <w:rFonts w:ascii="Verdana" w:hAnsi="Verdana"/>
                <w:color w:val="000000"/>
                <w:sz w:val="16"/>
                <w:szCs w:val="16"/>
              </w:rPr>
              <w:t>surrogado</w:t>
            </w:r>
            <w:r w:rsidRPr="00F01347">
              <w:rPr>
                <w:rFonts w:ascii="Verdana" w:hAnsi="Verdana"/>
                <w:sz w:val="16"/>
                <w:szCs w:val="16"/>
              </w:rPr>
              <w:t>s</w:t>
            </w:r>
            <w:proofErr w:type="spellEnd"/>
            <w:r w:rsidRPr="00F01347">
              <w:rPr>
                <w:rFonts w:ascii="Verdana" w:hAnsi="Verdana"/>
                <w:sz w:val="16"/>
                <w:szCs w:val="16"/>
              </w:rPr>
              <w:t>. El CCC se analiza periódicamente para verificar la exactitud de la calibración existente para esos analitos.</w:t>
            </w:r>
          </w:p>
        </w:tc>
        <w:tc>
          <w:tcPr>
            <w:tcW w:w="4675" w:type="dxa"/>
          </w:tcPr>
          <w:p w14:paraId="1F8A3B35" w14:textId="49C9D6DF" w:rsidR="001C08D3" w:rsidRPr="00F01347" w:rsidRDefault="001C08D3" w:rsidP="001C08D3">
            <w:pPr>
              <w:pStyle w:val="texto0"/>
              <w:spacing w:line="220" w:lineRule="exact"/>
              <w:ind w:firstLine="0"/>
              <w:rPr>
                <w:rFonts w:ascii="Verdana" w:hAnsi="Verdana"/>
                <w:b/>
                <w:sz w:val="16"/>
                <w:szCs w:val="16"/>
                <w:lang w:val="en-US"/>
              </w:rPr>
            </w:pPr>
            <w:r w:rsidRPr="00F01347">
              <w:rPr>
                <w:rFonts w:ascii="Verdana" w:hAnsi="Verdana"/>
                <w:b/>
                <w:sz w:val="16"/>
                <w:szCs w:val="16"/>
                <w:lang w:val="en-US"/>
              </w:rPr>
              <w:t>Continuous Calibration Verification (CCC)</w:t>
            </w:r>
            <w:r w:rsidR="003E1BA9" w:rsidRPr="00F01347">
              <w:rPr>
                <w:rFonts w:ascii="Verdana" w:hAnsi="Verdana"/>
                <w:b/>
                <w:sz w:val="16"/>
                <w:szCs w:val="16"/>
                <w:lang w:val="en-US"/>
              </w:rPr>
              <w:t>,</w:t>
            </w:r>
            <w:r w:rsidRPr="00F01347">
              <w:rPr>
                <w:rFonts w:ascii="Verdana" w:hAnsi="Verdana"/>
                <w:sz w:val="16"/>
                <w:szCs w:val="16"/>
                <w:lang w:val="en-US"/>
              </w:rPr>
              <w:t xml:space="preserve"> the calibration standard containing the method analytes and </w:t>
            </w:r>
            <w:r w:rsidRPr="00F01347">
              <w:rPr>
                <w:rFonts w:ascii="Verdana" w:hAnsi="Verdana"/>
                <w:color w:val="000000"/>
                <w:sz w:val="16"/>
                <w:szCs w:val="16"/>
                <w:lang w:val="en-US"/>
              </w:rPr>
              <w:t>surrogates</w:t>
            </w:r>
            <w:r w:rsidR="003E1BA9" w:rsidRPr="00F01347">
              <w:rPr>
                <w:rFonts w:ascii="Verdana" w:hAnsi="Verdana"/>
                <w:color w:val="000000"/>
                <w:sz w:val="16"/>
                <w:szCs w:val="16"/>
                <w:lang w:val="en-US"/>
              </w:rPr>
              <w:t>.</w:t>
            </w:r>
            <w:r w:rsidRPr="00F01347">
              <w:rPr>
                <w:rFonts w:ascii="Verdana" w:hAnsi="Verdana"/>
                <w:sz w:val="16"/>
                <w:szCs w:val="16"/>
                <w:lang w:val="en-US"/>
              </w:rPr>
              <w:t xml:space="preserve"> The CCC is analyzed periodically to verify the accuracy of the existing calibration for those analytes.</w:t>
            </w:r>
          </w:p>
        </w:tc>
      </w:tr>
      <w:tr w:rsidR="001C08D3" w:rsidRPr="00F01347" w14:paraId="3A8ECCA0" w14:textId="6CCB575E" w:rsidTr="00971794">
        <w:tc>
          <w:tcPr>
            <w:tcW w:w="4675" w:type="dxa"/>
          </w:tcPr>
          <w:p w14:paraId="5411664F" w14:textId="77777777" w:rsidR="001C08D3" w:rsidRPr="00F01347" w:rsidRDefault="001C08D3" w:rsidP="001C08D3">
            <w:pPr>
              <w:pStyle w:val="texto0"/>
              <w:spacing w:line="220" w:lineRule="exact"/>
              <w:ind w:firstLine="0"/>
              <w:rPr>
                <w:rFonts w:ascii="Verdana" w:hAnsi="Verdana"/>
                <w:b/>
                <w:sz w:val="16"/>
                <w:szCs w:val="16"/>
              </w:rPr>
            </w:pPr>
            <w:r w:rsidRPr="00F01347">
              <w:rPr>
                <w:rFonts w:ascii="Verdana" w:hAnsi="Verdana"/>
                <w:b/>
                <w:sz w:val="16"/>
                <w:szCs w:val="16"/>
              </w:rPr>
              <w:lastRenderedPageBreak/>
              <w:t>B.1.2.2 Símbolos y términos abreviados</w:t>
            </w:r>
          </w:p>
        </w:tc>
        <w:tc>
          <w:tcPr>
            <w:tcW w:w="4675" w:type="dxa"/>
          </w:tcPr>
          <w:p w14:paraId="4FE3A6DC" w14:textId="1F58098D" w:rsidR="001C08D3" w:rsidRPr="00F01347" w:rsidRDefault="001C08D3" w:rsidP="001C08D3">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B.1.2.2 Symbols and abbreviated terms</w:t>
            </w:r>
          </w:p>
        </w:tc>
      </w:tr>
    </w:tbl>
    <w:p w14:paraId="672551D4" w14:textId="77777777" w:rsidR="00204B58" w:rsidRPr="00F01347" w:rsidRDefault="00204B58" w:rsidP="003A601B">
      <w:pPr>
        <w:pStyle w:val="texto0"/>
        <w:spacing w:line="220" w:lineRule="exact"/>
        <w:ind w:left="1584" w:hanging="1296"/>
        <w:rPr>
          <w:rFonts w:ascii="Verdana" w:hAnsi="Verdana"/>
          <w:sz w:val="16"/>
          <w:szCs w:val="16"/>
          <w:lang w:val="en-US"/>
        </w:rPr>
      </w:pPr>
    </w:p>
    <w:tbl>
      <w:tblPr>
        <w:tblStyle w:val="TableGrid"/>
        <w:tblW w:w="5000" w:type="pct"/>
        <w:tblLook w:val="04A0" w:firstRow="1" w:lastRow="0" w:firstColumn="1" w:lastColumn="0" w:noHBand="0" w:noVBand="1"/>
      </w:tblPr>
      <w:tblGrid>
        <w:gridCol w:w="1156"/>
        <w:gridCol w:w="4097"/>
        <w:gridCol w:w="4097"/>
      </w:tblGrid>
      <w:tr w:rsidR="001C08D3" w:rsidRPr="00F01347" w14:paraId="1DD8AA94" w14:textId="4BAAC249" w:rsidTr="004A5C7E">
        <w:tc>
          <w:tcPr>
            <w:tcW w:w="1156" w:type="dxa"/>
          </w:tcPr>
          <w:p w14:paraId="00D58365"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CAD</w:t>
            </w:r>
          </w:p>
        </w:tc>
        <w:tc>
          <w:tcPr>
            <w:tcW w:w="4097" w:type="dxa"/>
          </w:tcPr>
          <w:p w14:paraId="1A1E776F"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disociación activada por colisiones</w:t>
            </w:r>
          </w:p>
        </w:tc>
        <w:tc>
          <w:tcPr>
            <w:tcW w:w="4097" w:type="dxa"/>
            <w:tcBorders>
              <w:top w:val="single" w:sz="4" w:space="0" w:color="auto"/>
              <w:left w:val="single" w:sz="4" w:space="0" w:color="auto"/>
              <w:bottom w:val="single" w:sz="4" w:space="0" w:color="auto"/>
              <w:right w:val="single" w:sz="4" w:space="0" w:color="auto"/>
            </w:tcBorders>
          </w:tcPr>
          <w:p w14:paraId="70EC3658" w14:textId="7B5B05AE"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collision-activated dissociation</w:t>
            </w:r>
          </w:p>
        </w:tc>
      </w:tr>
      <w:tr w:rsidR="001C08D3" w:rsidRPr="00F01347" w14:paraId="1F437B93" w14:textId="5F4ABB59" w:rsidTr="004A5C7E">
        <w:tc>
          <w:tcPr>
            <w:tcW w:w="1156" w:type="dxa"/>
          </w:tcPr>
          <w:p w14:paraId="1C14B929"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CAL</w:t>
            </w:r>
          </w:p>
        </w:tc>
        <w:tc>
          <w:tcPr>
            <w:tcW w:w="4097" w:type="dxa"/>
          </w:tcPr>
          <w:p w14:paraId="62101D5E"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estándar de calibración</w:t>
            </w:r>
          </w:p>
        </w:tc>
        <w:tc>
          <w:tcPr>
            <w:tcW w:w="4097" w:type="dxa"/>
            <w:tcBorders>
              <w:top w:val="single" w:sz="4" w:space="0" w:color="auto"/>
              <w:left w:val="single" w:sz="4" w:space="0" w:color="auto"/>
              <w:bottom w:val="single" w:sz="4" w:space="0" w:color="auto"/>
              <w:right w:val="single" w:sz="4" w:space="0" w:color="auto"/>
            </w:tcBorders>
          </w:tcPr>
          <w:p w14:paraId="510239B2" w14:textId="6DF5EF20"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calibration standard</w:t>
            </w:r>
          </w:p>
        </w:tc>
      </w:tr>
      <w:tr w:rsidR="001C08D3" w:rsidRPr="00F01347" w14:paraId="3830DAAB" w14:textId="645D1F3D" w:rsidTr="004A5C7E">
        <w:tc>
          <w:tcPr>
            <w:tcW w:w="1156" w:type="dxa"/>
          </w:tcPr>
          <w:p w14:paraId="7AE87F14"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CCC</w:t>
            </w:r>
          </w:p>
        </w:tc>
        <w:tc>
          <w:tcPr>
            <w:tcW w:w="4097" w:type="dxa"/>
          </w:tcPr>
          <w:p w14:paraId="446029D0"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verificación de calibración continua</w:t>
            </w:r>
          </w:p>
        </w:tc>
        <w:tc>
          <w:tcPr>
            <w:tcW w:w="4097" w:type="dxa"/>
            <w:tcBorders>
              <w:top w:val="single" w:sz="4" w:space="0" w:color="auto"/>
              <w:left w:val="single" w:sz="4" w:space="0" w:color="auto"/>
              <w:bottom w:val="single" w:sz="4" w:space="0" w:color="auto"/>
              <w:right w:val="single" w:sz="4" w:space="0" w:color="auto"/>
            </w:tcBorders>
          </w:tcPr>
          <w:p w14:paraId="6384463E" w14:textId="0EE395D7"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continuous calibration verification</w:t>
            </w:r>
          </w:p>
        </w:tc>
      </w:tr>
      <w:tr w:rsidR="001C08D3" w:rsidRPr="00F01347" w14:paraId="788D7D07" w14:textId="14686ECC" w:rsidTr="004A5C7E">
        <w:tc>
          <w:tcPr>
            <w:tcW w:w="1156" w:type="dxa"/>
          </w:tcPr>
          <w:p w14:paraId="45419E40" w14:textId="77777777" w:rsidR="001C08D3" w:rsidRPr="00F01347" w:rsidRDefault="001C08D3" w:rsidP="001C08D3">
            <w:pPr>
              <w:pStyle w:val="texto0"/>
              <w:spacing w:line="220" w:lineRule="exact"/>
              <w:ind w:firstLine="0"/>
              <w:rPr>
                <w:rFonts w:ascii="Verdana" w:hAnsi="Verdana"/>
                <w:color w:val="000000"/>
                <w:sz w:val="16"/>
                <w:szCs w:val="16"/>
              </w:rPr>
            </w:pPr>
            <w:r w:rsidRPr="00F01347">
              <w:rPr>
                <w:rFonts w:ascii="Verdana" w:hAnsi="Verdana"/>
                <w:color w:val="000000"/>
                <w:sz w:val="16"/>
                <w:szCs w:val="16"/>
              </w:rPr>
              <w:t>C</w:t>
            </w:r>
            <w:r w:rsidRPr="00F01347">
              <w:rPr>
                <w:rFonts w:ascii="Verdana" w:hAnsi="Verdana"/>
                <w:color w:val="000000"/>
                <w:sz w:val="16"/>
                <w:szCs w:val="16"/>
                <w:vertAlign w:val="subscript"/>
              </w:rPr>
              <w:t>2</w:t>
            </w:r>
            <w:r w:rsidRPr="00F01347">
              <w:rPr>
                <w:rFonts w:ascii="Verdana" w:hAnsi="Verdana"/>
                <w:color w:val="000000"/>
                <w:sz w:val="16"/>
                <w:szCs w:val="16"/>
              </w:rPr>
              <w:t>D</w:t>
            </w:r>
            <w:r w:rsidRPr="00F01347">
              <w:rPr>
                <w:rFonts w:ascii="Verdana" w:hAnsi="Verdana"/>
                <w:color w:val="000000"/>
                <w:sz w:val="16"/>
                <w:szCs w:val="16"/>
                <w:vertAlign w:val="subscript"/>
              </w:rPr>
              <w:t>5</w:t>
            </w:r>
            <w:r w:rsidRPr="00F01347">
              <w:rPr>
                <w:rFonts w:ascii="Verdana" w:hAnsi="Verdana"/>
                <w:color w:val="000000"/>
                <w:sz w:val="16"/>
                <w:szCs w:val="16"/>
              </w:rPr>
              <w:t>-MC-LR</w:t>
            </w:r>
          </w:p>
        </w:tc>
        <w:tc>
          <w:tcPr>
            <w:tcW w:w="4097" w:type="dxa"/>
          </w:tcPr>
          <w:p w14:paraId="0160C5B6" w14:textId="77777777" w:rsidR="001C08D3" w:rsidRPr="00F01347" w:rsidRDefault="001C08D3" w:rsidP="001C08D3">
            <w:pPr>
              <w:pStyle w:val="texto0"/>
              <w:spacing w:line="220" w:lineRule="exact"/>
              <w:ind w:firstLine="0"/>
              <w:rPr>
                <w:rFonts w:ascii="Verdana" w:hAnsi="Verdana"/>
                <w:sz w:val="16"/>
                <w:szCs w:val="16"/>
              </w:rPr>
            </w:pPr>
            <w:proofErr w:type="spellStart"/>
            <w:r w:rsidRPr="00F01347">
              <w:rPr>
                <w:rFonts w:ascii="Verdana" w:hAnsi="Verdana"/>
                <w:color w:val="000000"/>
                <w:sz w:val="16"/>
                <w:szCs w:val="16"/>
              </w:rPr>
              <w:t>microcistina</w:t>
            </w:r>
            <w:proofErr w:type="spellEnd"/>
            <w:r w:rsidRPr="00F01347">
              <w:rPr>
                <w:rFonts w:ascii="Verdana" w:hAnsi="Verdana"/>
                <w:color w:val="000000"/>
                <w:sz w:val="16"/>
                <w:szCs w:val="16"/>
              </w:rPr>
              <w:t xml:space="preserve"> LR </w:t>
            </w:r>
            <w:proofErr w:type="spellStart"/>
            <w:r w:rsidRPr="00F01347">
              <w:rPr>
                <w:rFonts w:ascii="Verdana" w:hAnsi="Verdana"/>
                <w:color w:val="000000"/>
                <w:sz w:val="16"/>
                <w:szCs w:val="16"/>
              </w:rPr>
              <w:t>etilada</w:t>
            </w:r>
            <w:proofErr w:type="spellEnd"/>
            <w:r w:rsidRPr="00F01347">
              <w:rPr>
                <w:rFonts w:ascii="Verdana" w:hAnsi="Verdana"/>
                <w:color w:val="000000"/>
                <w:sz w:val="16"/>
                <w:szCs w:val="16"/>
              </w:rPr>
              <w:t xml:space="preserve">, </w:t>
            </w:r>
            <w:r w:rsidRPr="00F01347">
              <w:rPr>
                <w:rFonts w:ascii="Verdana" w:hAnsi="Verdana"/>
                <w:i/>
                <w:color w:val="000000"/>
                <w:sz w:val="16"/>
                <w:szCs w:val="16"/>
              </w:rPr>
              <w:t>d5</w:t>
            </w:r>
          </w:p>
        </w:tc>
        <w:tc>
          <w:tcPr>
            <w:tcW w:w="4097" w:type="dxa"/>
            <w:tcBorders>
              <w:top w:val="single" w:sz="4" w:space="0" w:color="auto"/>
              <w:left w:val="single" w:sz="4" w:space="0" w:color="auto"/>
              <w:bottom w:val="single" w:sz="4" w:space="0" w:color="auto"/>
              <w:right w:val="single" w:sz="4" w:space="0" w:color="auto"/>
            </w:tcBorders>
          </w:tcPr>
          <w:p w14:paraId="056F4388" w14:textId="47F0FFB7" w:rsidR="001C08D3" w:rsidRPr="00F01347" w:rsidRDefault="001C08D3" w:rsidP="001C08D3">
            <w:pPr>
              <w:pStyle w:val="texto0"/>
              <w:spacing w:line="220" w:lineRule="exact"/>
              <w:ind w:firstLine="0"/>
              <w:rPr>
                <w:rFonts w:ascii="Verdana" w:hAnsi="Verdana"/>
                <w:color w:val="000000"/>
                <w:sz w:val="16"/>
                <w:szCs w:val="16"/>
                <w:lang w:val="en-US"/>
              </w:rPr>
            </w:pPr>
            <w:r w:rsidRPr="00F01347">
              <w:rPr>
                <w:rFonts w:ascii="Verdana" w:hAnsi="Verdana"/>
                <w:color w:val="000000"/>
                <w:sz w:val="16"/>
                <w:szCs w:val="16"/>
                <w:lang w:val="en-US"/>
              </w:rPr>
              <w:t>ethylated LR microcystin</w:t>
            </w:r>
            <w:r w:rsidR="003E1BA9" w:rsidRPr="00F01347">
              <w:rPr>
                <w:rFonts w:ascii="Verdana" w:hAnsi="Verdana"/>
                <w:color w:val="000000"/>
                <w:sz w:val="16"/>
                <w:szCs w:val="16"/>
                <w:lang w:val="en-US"/>
              </w:rPr>
              <w:t>,</w:t>
            </w:r>
            <w:r w:rsidRPr="00F01347">
              <w:rPr>
                <w:rFonts w:ascii="Verdana" w:hAnsi="Verdana"/>
                <w:color w:val="000000"/>
                <w:sz w:val="16"/>
                <w:szCs w:val="16"/>
                <w:lang w:val="en-US"/>
              </w:rPr>
              <w:t xml:space="preserve"> </w:t>
            </w:r>
            <w:r w:rsidRPr="00F01347">
              <w:rPr>
                <w:rFonts w:ascii="Verdana" w:hAnsi="Verdana"/>
                <w:i/>
                <w:color w:val="000000"/>
                <w:sz w:val="16"/>
                <w:szCs w:val="16"/>
                <w:lang w:val="en-US"/>
              </w:rPr>
              <w:t>d5</w:t>
            </w:r>
          </w:p>
        </w:tc>
      </w:tr>
      <w:tr w:rsidR="001C08D3" w:rsidRPr="00F01347" w14:paraId="4D4887D2" w14:textId="5A21CB06" w:rsidTr="004A5C7E">
        <w:tc>
          <w:tcPr>
            <w:tcW w:w="1156" w:type="dxa"/>
          </w:tcPr>
          <w:p w14:paraId="6702724C"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DL</w:t>
            </w:r>
          </w:p>
        </w:tc>
        <w:tc>
          <w:tcPr>
            <w:tcW w:w="4097" w:type="dxa"/>
          </w:tcPr>
          <w:p w14:paraId="63E7C39F"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límite de detección</w:t>
            </w:r>
          </w:p>
        </w:tc>
        <w:tc>
          <w:tcPr>
            <w:tcW w:w="4097" w:type="dxa"/>
            <w:tcBorders>
              <w:top w:val="single" w:sz="4" w:space="0" w:color="auto"/>
              <w:left w:val="single" w:sz="4" w:space="0" w:color="auto"/>
              <w:bottom w:val="single" w:sz="4" w:space="0" w:color="auto"/>
              <w:right w:val="single" w:sz="4" w:space="0" w:color="auto"/>
            </w:tcBorders>
          </w:tcPr>
          <w:p w14:paraId="5D767B45" w14:textId="05FC0252"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detection limit</w:t>
            </w:r>
          </w:p>
        </w:tc>
      </w:tr>
      <w:tr w:rsidR="001C08D3" w:rsidRPr="00F01347" w14:paraId="10EF9B55" w14:textId="04F0F490" w:rsidTr="004A5C7E">
        <w:tc>
          <w:tcPr>
            <w:tcW w:w="1156" w:type="dxa"/>
          </w:tcPr>
          <w:p w14:paraId="728F740E" w14:textId="77777777" w:rsidR="001C08D3" w:rsidRPr="00F01347" w:rsidRDefault="001C08D3" w:rsidP="001C08D3">
            <w:pPr>
              <w:pStyle w:val="texto0"/>
              <w:ind w:firstLine="0"/>
              <w:rPr>
                <w:rFonts w:ascii="Verdana" w:hAnsi="Verdana"/>
                <w:sz w:val="16"/>
                <w:szCs w:val="16"/>
              </w:rPr>
            </w:pPr>
            <w:r w:rsidRPr="00F01347">
              <w:rPr>
                <w:rFonts w:ascii="Verdana" w:hAnsi="Verdana"/>
                <w:sz w:val="16"/>
                <w:szCs w:val="16"/>
              </w:rPr>
              <w:t>ESI</w:t>
            </w:r>
          </w:p>
        </w:tc>
        <w:tc>
          <w:tcPr>
            <w:tcW w:w="4097" w:type="dxa"/>
          </w:tcPr>
          <w:p w14:paraId="04642517" w14:textId="77777777" w:rsidR="001C08D3" w:rsidRPr="00F01347" w:rsidRDefault="001C08D3" w:rsidP="001C08D3">
            <w:pPr>
              <w:pStyle w:val="texto0"/>
              <w:ind w:firstLine="0"/>
              <w:rPr>
                <w:rFonts w:ascii="Verdana" w:hAnsi="Verdana"/>
                <w:sz w:val="16"/>
                <w:szCs w:val="16"/>
              </w:rPr>
            </w:pPr>
            <w:r w:rsidRPr="00F01347">
              <w:rPr>
                <w:rFonts w:ascii="Verdana" w:hAnsi="Verdana"/>
                <w:sz w:val="16"/>
                <w:szCs w:val="16"/>
              </w:rPr>
              <w:t xml:space="preserve">Ionización por </w:t>
            </w:r>
            <w:proofErr w:type="spellStart"/>
            <w:r w:rsidRPr="00F01347">
              <w:rPr>
                <w:rFonts w:ascii="Verdana" w:hAnsi="Verdana"/>
                <w:sz w:val="16"/>
                <w:szCs w:val="16"/>
              </w:rPr>
              <w:t>electrospray</w:t>
            </w:r>
            <w:proofErr w:type="spellEnd"/>
          </w:p>
        </w:tc>
        <w:tc>
          <w:tcPr>
            <w:tcW w:w="4097" w:type="dxa"/>
            <w:tcBorders>
              <w:top w:val="single" w:sz="4" w:space="0" w:color="auto"/>
              <w:left w:val="single" w:sz="4" w:space="0" w:color="auto"/>
              <w:bottom w:val="single" w:sz="4" w:space="0" w:color="auto"/>
              <w:right w:val="single" w:sz="4" w:space="0" w:color="auto"/>
            </w:tcBorders>
          </w:tcPr>
          <w:p w14:paraId="2AE2F455" w14:textId="2FF1C74D" w:rsidR="001C08D3" w:rsidRPr="00F01347" w:rsidRDefault="001C08D3" w:rsidP="001C08D3">
            <w:pPr>
              <w:pStyle w:val="texto0"/>
              <w:ind w:firstLine="0"/>
              <w:rPr>
                <w:rFonts w:ascii="Verdana" w:hAnsi="Verdana"/>
                <w:sz w:val="16"/>
                <w:szCs w:val="16"/>
                <w:lang w:val="en-US"/>
              </w:rPr>
            </w:pPr>
            <w:r w:rsidRPr="00F01347">
              <w:rPr>
                <w:rFonts w:ascii="Verdana" w:hAnsi="Verdana"/>
                <w:sz w:val="16"/>
                <w:szCs w:val="16"/>
                <w:lang w:val="en-US"/>
              </w:rPr>
              <w:t>electrospray ionization</w:t>
            </w:r>
          </w:p>
        </w:tc>
      </w:tr>
      <w:tr w:rsidR="001C08D3" w:rsidRPr="00F01347" w14:paraId="6C2361ED" w14:textId="3C4B5DA9" w:rsidTr="004A5C7E">
        <w:tc>
          <w:tcPr>
            <w:tcW w:w="1156" w:type="dxa"/>
          </w:tcPr>
          <w:p w14:paraId="5326B34A" w14:textId="77777777" w:rsidR="001C08D3" w:rsidRPr="00F01347" w:rsidRDefault="001C08D3" w:rsidP="001C08D3">
            <w:pPr>
              <w:pStyle w:val="texto0"/>
              <w:ind w:firstLine="0"/>
              <w:rPr>
                <w:rFonts w:ascii="Verdana" w:hAnsi="Verdana"/>
                <w:sz w:val="16"/>
                <w:szCs w:val="16"/>
              </w:rPr>
            </w:pPr>
            <w:r w:rsidRPr="00F01347">
              <w:rPr>
                <w:rFonts w:ascii="Verdana" w:hAnsi="Verdana"/>
                <w:sz w:val="16"/>
                <w:szCs w:val="16"/>
              </w:rPr>
              <w:t>FD1, FD2</w:t>
            </w:r>
          </w:p>
        </w:tc>
        <w:tc>
          <w:tcPr>
            <w:tcW w:w="4097" w:type="dxa"/>
          </w:tcPr>
          <w:p w14:paraId="0EB90C8E" w14:textId="77777777" w:rsidR="001C08D3" w:rsidRPr="00F01347" w:rsidRDefault="001C08D3" w:rsidP="001C08D3">
            <w:pPr>
              <w:pStyle w:val="texto0"/>
              <w:ind w:firstLine="0"/>
              <w:rPr>
                <w:rFonts w:ascii="Verdana" w:hAnsi="Verdana"/>
                <w:sz w:val="16"/>
                <w:szCs w:val="16"/>
              </w:rPr>
            </w:pPr>
            <w:r w:rsidRPr="00F01347">
              <w:rPr>
                <w:rFonts w:ascii="Verdana" w:hAnsi="Verdana"/>
                <w:sz w:val="16"/>
                <w:szCs w:val="16"/>
              </w:rPr>
              <w:t>duplicados de campo</w:t>
            </w:r>
          </w:p>
        </w:tc>
        <w:tc>
          <w:tcPr>
            <w:tcW w:w="4097" w:type="dxa"/>
            <w:tcBorders>
              <w:top w:val="single" w:sz="4" w:space="0" w:color="auto"/>
              <w:left w:val="single" w:sz="4" w:space="0" w:color="auto"/>
              <w:bottom w:val="single" w:sz="4" w:space="0" w:color="auto"/>
              <w:right w:val="single" w:sz="4" w:space="0" w:color="auto"/>
            </w:tcBorders>
          </w:tcPr>
          <w:p w14:paraId="3254FCAE" w14:textId="6977A1B2" w:rsidR="001C08D3" w:rsidRPr="00F01347" w:rsidRDefault="001C08D3" w:rsidP="001C08D3">
            <w:pPr>
              <w:pStyle w:val="texto0"/>
              <w:ind w:firstLine="0"/>
              <w:rPr>
                <w:rFonts w:ascii="Verdana" w:hAnsi="Verdana"/>
                <w:sz w:val="16"/>
                <w:szCs w:val="16"/>
                <w:lang w:val="en-US"/>
              </w:rPr>
            </w:pPr>
            <w:r w:rsidRPr="00F01347">
              <w:rPr>
                <w:rFonts w:ascii="Verdana" w:hAnsi="Verdana"/>
                <w:sz w:val="16"/>
                <w:szCs w:val="16"/>
                <w:lang w:val="en-US"/>
              </w:rPr>
              <w:t>field duplicates</w:t>
            </w:r>
          </w:p>
        </w:tc>
      </w:tr>
      <w:tr w:rsidR="001C08D3" w:rsidRPr="00F01347" w14:paraId="6F4EBC2F" w14:textId="4FBCD8A5" w:rsidTr="004A5C7E">
        <w:tc>
          <w:tcPr>
            <w:tcW w:w="1156" w:type="dxa"/>
          </w:tcPr>
          <w:p w14:paraId="24709FBC" w14:textId="77777777" w:rsidR="001C08D3" w:rsidRPr="00F01347" w:rsidRDefault="001C08D3" w:rsidP="001C08D3">
            <w:pPr>
              <w:pStyle w:val="texto0"/>
              <w:ind w:firstLine="0"/>
              <w:rPr>
                <w:rFonts w:ascii="Verdana" w:hAnsi="Verdana"/>
                <w:sz w:val="16"/>
                <w:szCs w:val="16"/>
              </w:rPr>
            </w:pPr>
            <w:r w:rsidRPr="00F01347">
              <w:rPr>
                <w:rFonts w:ascii="Verdana" w:hAnsi="Verdana"/>
                <w:sz w:val="16"/>
                <w:szCs w:val="16"/>
              </w:rPr>
              <w:t>LCMRL</w:t>
            </w:r>
          </w:p>
        </w:tc>
        <w:tc>
          <w:tcPr>
            <w:tcW w:w="4097" w:type="dxa"/>
          </w:tcPr>
          <w:p w14:paraId="0FACB2A9" w14:textId="77777777" w:rsidR="001C08D3" w:rsidRPr="00F01347" w:rsidRDefault="001C08D3" w:rsidP="001C08D3">
            <w:pPr>
              <w:pStyle w:val="texto0"/>
              <w:ind w:firstLine="0"/>
              <w:rPr>
                <w:rFonts w:ascii="Verdana" w:hAnsi="Verdana"/>
                <w:sz w:val="16"/>
                <w:szCs w:val="16"/>
              </w:rPr>
            </w:pPr>
            <w:r w:rsidRPr="00F01347">
              <w:rPr>
                <w:rFonts w:ascii="Verdana" w:hAnsi="Verdana"/>
                <w:sz w:val="16"/>
                <w:szCs w:val="16"/>
              </w:rPr>
              <w:t>concentración más baja del nivel mínimo reportado</w:t>
            </w:r>
          </w:p>
        </w:tc>
        <w:tc>
          <w:tcPr>
            <w:tcW w:w="4097" w:type="dxa"/>
            <w:tcBorders>
              <w:top w:val="single" w:sz="4" w:space="0" w:color="auto"/>
              <w:left w:val="single" w:sz="4" w:space="0" w:color="auto"/>
              <w:bottom w:val="single" w:sz="4" w:space="0" w:color="auto"/>
              <w:right w:val="single" w:sz="4" w:space="0" w:color="auto"/>
            </w:tcBorders>
          </w:tcPr>
          <w:p w14:paraId="1AD00D2A" w14:textId="2D8329DE" w:rsidR="001C08D3" w:rsidRPr="00F01347" w:rsidRDefault="001C08D3" w:rsidP="001C08D3">
            <w:pPr>
              <w:pStyle w:val="texto0"/>
              <w:ind w:firstLine="0"/>
              <w:rPr>
                <w:rFonts w:ascii="Verdana" w:hAnsi="Verdana"/>
                <w:sz w:val="16"/>
                <w:szCs w:val="16"/>
                <w:lang w:val="en-US"/>
              </w:rPr>
            </w:pPr>
            <w:r w:rsidRPr="00F01347">
              <w:rPr>
                <w:rFonts w:ascii="Verdana" w:hAnsi="Verdana"/>
                <w:sz w:val="16"/>
                <w:szCs w:val="16"/>
                <w:lang w:val="en-US"/>
              </w:rPr>
              <w:t>concentration lower than the minimum level reported</w:t>
            </w:r>
          </w:p>
        </w:tc>
      </w:tr>
      <w:tr w:rsidR="001C08D3" w:rsidRPr="00F01347" w14:paraId="2AB81672" w14:textId="328EBE56" w:rsidTr="004A5C7E">
        <w:tc>
          <w:tcPr>
            <w:tcW w:w="1156" w:type="dxa"/>
          </w:tcPr>
          <w:p w14:paraId="3A963928"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 xml:space="preserve">LFB </w:t>
            </w:r>
          </w:p>
        </w:tc>
        <w:tc>
          <w:tcPr>
            <w:tcW w:w="4097" w:type="dxa"/>
          </w:tcPr>
          <w:p w14:paraId="301B8488"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blanco fortificado de laboratorio</w:t>
            </w:r>
          </w:p>
        </w:tc>
        <w:tc>
          <w:tcPr>
            <w:tcW w:w="4097" w:type="dxa"/>
            <w:tcBorders>
              <w:top w:val="single" w:sz="4" w:space="0" w:color="auto"/>
              <w:left w:val="single" w:sz="4" w:space="0" w:color="auto"/>
              <w:bottom w:val="single" w:sz="4" w:space="0" w:color="auto"/>
              <w:right w:val="single" w:sz="4" w:space="0" w:color="auto"/>
            </w:tcBorders>
          </w:tcPr>
          <w:p w14:paraId="2928C0E9" w14:textId="0E428E46"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laboratory fortified </w:t>
            </w:r>
            <w:r w:rsidR="00C50A8A" w:rsidRPr="00F01347">
              <w:rPr>
                <w:rFonts w:ascii="Verdana" w:hAnsi="Verdana"/>
                <w:sz w:val="16"/>
                <w:szCs w:val="16"/>
                <w:lang w:val="en-US"/>
              </w:rPr>
              <w:t>blank</w:t>
            </w:r>
          </w:p>
        </w:tc>
      </w:tr>
      <w:tr w:rsidR="001C08D3" w:rsidRPr="00F01347" w14:paraId="31F0ACDE" w14:textId="630B5D21" w:rsidTr="004A5C7E">
        <w:tc>
          <w:tcPr>
            <w:tcW w:w="1156" w:type="dxa"/>
          </w:tcPr>
          <w:p w14:paraId="7341E05D"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LRB</w:t>
            </w:r>
          </w:p>
        </w:tc>
        <w:tc>
          <w:tcPr>
            <w:tcW w:w="4097" w:type="dxa"/>
          </w:tcPr>
          <w:p w14:paraId="41493E88"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blanco de reactivo de laboratorio</w:t>
            </w:r>
          </w:p>
        </w:tc>
        <w:tc>
          <w:tcPr>
            <w:tcW w:w="4097" w:type="dxa"/>
            <w:tcBorders>
              <w:top w:val="single" w:sz="4" w:space="0" w:color="auto"/>
              <w:left w:val="single" w:sz="4" w:space="0" w:color="auto"/>
              <w:bottom w:val="single" w:sz="4" w:space="0" w:color="auto"/>
              <w:right w:val="single" w:sz="4" w:space="0" w:color="auto"/>
            </w:tcBorders>
          </w:tcPr>
          <w:p w14:paraId="4600A024" w14:textId="7A5B522D"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laboratory reagent blank</w:t>
            </w:r>
          </w:p>
        </w:tc>
      </w:tr>
      <w:tr w:rsidR="001C08D3" w:rsidRPr="00F01347" w14:paraId="20B202C1" w14:textId="3535125C" w:rsidTr="004A5C7E">
        <w:tc>
          <w:tcPr>
            <w:tcW w:w="1156" w:type="dxa"/>
          </w:tcPr>
          <w:p w14:paraId="792482BB"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LFSM</w:t>
            </w:r>
          </w:p>
        </w:tc>
        <w:tc>
          <w:tcPr>
            <w:tcW w:w="4097" w:type="dxa"/>
          </w:tcPr>
          <w:p w14:paraId="08B84815"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Matriz de muestra fortificada en laboratorio</w:t>
            </w:r>
          </w:p>
        </w:tc>
        <w:tc>
          <w:tcPr>
            <w:tcW w:w="4097" w:type="dxa"/>
            <w:tcBorders>
              <w:top w:val="single" w:sz="4" w:space="0" w:color="auto"/>
              <w:left w:val="single" w:sz="4" w:space="0" w:color="auto"/>
              <w:bottom w:val="single" w:sz="4" w:space="0" w:color="auto"/>
              <w:right w:val="single" w:sz="4" w:space="0" w:color="auto"/>
            </w:tcBorders>
          </w:tcPr>
          <w:p w14:paraId="500E2492" w14:textId="1C6C7CF0"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Fortified sample matrix in laboratory</w:t>
            </w:r>
          </w:p>
        </w:tc>
      </w:tr>
      <w:tr w:rsidR="001C08D3" w:rsidRPr="00F01347" w14:paraId="00543D98" w14:textId="6D751E63" w:rsidTr="004A5C7E">
        <w:tc>
          <w:tcPr>
            <w:tcW w:w="1156" w:type="dxa"/>
          </w:tcPr>
          <w:p w14:paraId="682077A2"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LFSMD</w:t>
            </w:r>
          </w:p>
        </w:tc>
        <w:tc>
          <w:tcPr>
            <w:tcW w:w="4097" w:type="dxa"/>
          </w:tcPr>
          <w:p w14:paraId="409A73AB"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duplicado de la matriz de muestra fortificada en laboratorio</w:t>
            </w:r>
          </w:p>
        </w:tc>
        <w:tc>
          <w:tcPr>
            <w:tcW w:w="4097" w:type="dxa"/>
            <w:tcBorders>
              <w:top w:val="single" w:sz="4" w:space="0" w:color="auto"/>
              <w:left w:val="single" w:sz="4" w:space="0" w:color="auto"/>
              <w:bottom w:val="single" w:sz="4" w:space="0" w:color="auto"/>
              <w:right w:val="single" w:sz="4" w:space="0" w:color="auto"/>
            </w:tcBorders>
          </w:tcPr>
          <w:p w14:paraId="411BA098" w14:textId="0901CEF2"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duplicate of fortified sample matrix in laboratory</w:t>
            </w:r>
          </w:p>
        </w:tc>
      </w:tr>
      <w:tr w:rsidR="001C08D3" w:rsidRPr="00F01347" w14:paraId="28EAA5AB" w14:textId="12BD9FB7" w:rsidTr="004A5C7E">
        <w:tc>
          <w:tcPr>
            <w:tcW w:w="1156" w:type="dxa"/>
          </w:tcPr>
          <w:p w14:paraId="3ACB94DC"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MC-LR</w:t>
            </w:r>
          </w:p>
        </w:tc>
        <w:tc>
          <w:tcPr>
            <w:tcW w:w="4097" w:type="dxa"/>
          </w:tcPr>
          <w:p w14:paraId="2F1A8EF2" w14:textId="77777777" w:rsidR="001C08D3" w:rsidRPr="00F01347" w:rsidRDefault="001C08D3" w:rsidP="001C08D3">
            <w:pPr>
              <w:pStyle w:val="texto0"/>
              <w:spacing w:line="220" w:lineRule="exact"/>
              <w:ind w:firstLine="0"/>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-LR</w:t>
            </w:r>
          </w:p>
        </w:tc>
        <w:tc>
          <w:tcPr>
            <w:tcW w:w="4097" w:type="dxa"/>
            <w:tcBorders>
              <w:top w:val="single" w:sz="4" w:space="0" w:color="auto"/>
              <w:left w:val="single" w:sz="4" w:space="0" w:color="auto"/>
              <w:bottom w:val="single" w:sz="4" w:space="0" w:color="auto"/>
              <w:right w:val="single" w:sz="4" w:space="0" w:color="auto"/>
            </w:tcBorders>
          </w:tcPr>
          <w:p w14:paraId="0FA4F338" w14:textId="256CBF88"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microcystin -LR</w:t>
            </w:r>
          </w:p>
        </w:tc>
      </w:tr>
      <w:tr w:rsidR="001C08D3" w:rsidRPr="00F01347" w14:paraId="4739A040" w14:textId="4D540E63" w:rsidTr="004A5C7E">
        <w:tc>
          <w:tcPr>
            <w:tcW w:w="1156" w:type="dxa"/>
          </w:tcPr>
          <w:p w14:paraId="4CE25D19" w14:textId="77777777" w:rsidR="001C08D3" w:rsidRPr="00F01347" w:rsidRDefault="001C08D3" w:rsidP="001C08D3">
            <w:pPr>
              <w:pStyle w:val="texto0"/>
              <w:spacing w:line="220" w:lineRule="exact"/>
              <w:ind w:firstLine="0"/>
              <w:rPr>
                <w:rFonts w:ascii="Verdana" w:hAnsi="Verdana"/>
                <w:sz w:val="16"/>
                <w:szCs w:val="16"/>
              </w:rPr>
            </w:pPr>
            <w:proofErr w:type="spellStart"/>
            <w:r w:rsidRPr="00F01347">
              <w:rPr>
                <w:rFonts w:ascii="Verdana" w:hAnsi="Verdana"/>
                <w:sz w:val="16"/>
                <w:szCs w:val="16"/>
              </w:rPr>
              <w:t>mL</w:t>
            </w:r>
            <w:proofErr w:type="spellEnd"/>
            <w:r w:rsidRPr="00F01347">
              <w:rPr>
                <w:rFonts w:ascii="Verdana" w:hAnsi="Verdana"/>
                <w:sz w:val="16"/>
                <w:szCs w:val="16"/>
              </w:rPr>
              <w:t>/min</w:t>
            </w:r>
          </w:p>
        </w:tc>
        <w:tc>
          <w:tcPr>
            <w:tcW w:w="4097" w:type="dxa"/>
          </w:tcPr>
          <w:p w14:paraId="231A68F7"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mililitro/minuto</w:t>
            </w:r>
          </w:p>
        </w:tc>
        <w:tc>
          <w:tcPr>
            <w:tcW w:w="4097" w:type="dxa"/>
            <w:tcBorders>
              <w:top w:val="single" w:sz="4" w:space="0" w:color="auto"/>
              <w:left w:val="single" w:sz="4" w:space="0" w:color="auto"/>
              <w:bottom w:val="single" w:sz="4" w:space="0" w:color="auto"/>
              <w:right w:val="single" w:sz="4" w:space="0" w:color="auto"/>
            </w:tcBorders>
          </w:tcPr>
          <w:p w14:paraId="2CB8BADE" w14:textId="57FC7EED"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milliliter/minute</w:t>
            </w:r>
          </w:p>
        </w:tc>
      </w:tr>
      <w:tr w:rsidR="001C08D3" w:rsidRPr="00F01347" w14:paraId="28D3490F" w14:textId="5F964B05" w:rsidTr="004A5C7E">
        <w:tc>
          <w:tcPr>
            <w:tcW w:w="1156" w:type="dxa"/>
          </w:tcPr>
          <w:p w14:paraId="08C58CE6"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[M + H]</w:t>
            </w:r>
            <w:r w:rsidRPr="00F01347">
              <w:rPr>
                <w:rFonts w:ascii="Verdana" w:hAnsi="Verdana"/>
                <w:sz w:val="16"/>
                <w:szCs w:val="16"/>
                <w:vertAlign w:val="superscript"/>
              </w:rPr>
              <w:t>+</w:t>
            </w:r>
          </w:p>
        </w:tc>
        <w:tc>
          <w:tcPr>
            <w:tcW w:w="4097" w:type="dxa"/>
          </w:tcPr>
          <w:p w14:paraId="1DBAF846"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Primer estado de protonación del analito</w:t>
            </w:r>
          </w:p>
        </w:tc>
        <w:tc>
          <w:tcPr>
            <w:tcW w:w="4097" w:type="dxa"/>
            <w:tcBorders>
              <w:top w:val="single" w:sz="4" w:space="0" w:color="auto"/>
              <w:left w:val="single" w:sz="4" w:space="0" w:color="auto"/>
              <w:bottom w:val="single" w:sz="4" w:space="0" w:color="auto"/>
              <w:right w:val="single" w:sz="4" w:space="0" w:color="auto"/>
            </w:tcBorders>
          </w:tcPr>
          <w:p w14:paraId="23C8DA02" w14:textId="0C9E1E9F"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First protonation state of the analyte</w:t>
            </w:r>
          </w:p>
        </w:tc>
      </w:tr>
      <w:tr w:rsidR="001C08D3" w:rsidRPr="00F01347" w14:paraId="3113888A" w14:textId="20325A9C" w:rsidTr="004A5C7E">
        <w:tc>
          <w:tcPr>
            <w:tcW w:w="1156" w:type="dxa"/>
          </w:tcPr>
          <w:p w14:paraId="4CA67DB2"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[M + 2H]</w:t>
            </w:r>
            <w:r w:rsidRPr="00F01347">
              <w:rPr>
                <w:rFonts w:ascii="Verdana" w:hAnsi="Verdana"/>
                <w:sz w:val="16"/>
                <w:szCs w:val="16"/>
                <w:vertAlign w:val="superscript"/>
              </w:rPr>
              <w:t>2+</w:t>
            </w:r>
          </w:p>
        </w:tc>
        <w:tc>
          <w:tcPr>
            <w:tcW w:w="4097" w:type="dxa"/>
          </w:tcPr>
          <w:p w14:paraId="2A30E6D0"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Segundo estado de protonación del analito</w:t>
            </w:r>
          </w:p>
        </w:tc>
        <w:tc>
          <w:tcPr>
            <w:tcW w:w="4097" w:type="dxa"/>
            <w:tcBorders>
              <w:top w:val="single" w:sz="4" w:space="0" w:color="auto"/>
              <w:left w:val="single" w:sz="4" w:space="0" w:color="auto"/>
              <w:bottom w:val="single" w:sz="4" w:space="0" w:color="auto"/>
              <w:right w:val="single" w:sz="4" w:space="0" w:color="auto"/>
            </w:tcBorders>
          </w:tcPr>
          <w:p w14:paraId="46CACC5E" w14:textId="2909690B"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Second protonation state of the analyte</w:t>
            </w:r>
          </w:p>
        </w:tc>
      </w:tr>
      <w:tr w:rsidR="001C08D3" w:rsidRPr="00F01347" w14:paraId="0A632737" w14:textId="4E00CB2C" w:rsidTr="004A5C7E">
        <w:tc>
          <w:tcPr>
            <w:tcW w:w="1156" w:type="dxa"/>
          </w:tcPr>
          <w:p w14:paraId="5569DAD7"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MRL</w:t>
            </w:r>
          </w:p>
        </w:tc>
        <w:tc>
          <w:tcPr>
            <w:tcW w:w="4097" w:type="dxa"/>
          </w:tcPr>
          <w:p w14:paraId="58FD5999"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nivel mínimo reportado</w:t>
            </w:r>
          </w:p>
        </w:tc>
        <w:tc>
          <w:tcPr>
            <w:tcW w:w="4097" w:type="dxa"/>
            <w:tcBorders>
              <w:top w:val="single" w:sz="4" w:space="0" w:color="auto"/>
              <w:left w:val="single" w:sz="4" w:space="0" w:color="auto"/>
              <w:bottom w:val="single" w:sz="4" w:space="0" w:color="auto"/>
              <w:right w:val="single" w:sz="4" w:space="0" w:color="auto"/>
            </w:tcBorders>
          </w:tcPr>
          <w:p w14:paraId="0F7F316D" w14:textId="690F9612"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minimum reported level</w:t>
            </w:r>
          </w:p>
        </w:tc>
      </w:tr>
      <w:tr w:rsidR="001C08D3" w:rsidRPr="00F01347" w14:paraId="504246E8" w14:textId="3E198958" w:rsidTr="004A5C7E">
        <w:tc>
          <w:tcPr>
            <w:tcW w:w="1156" w:type="dxa"/>
          </w:tcPr>
          <w:p w14:paraId="18E41A49"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MSDS</w:t>
            </w:r>
          </w:p>
        </w:tc>
        <w:tc>
          <w:tcPr>
            <w:tcW w:w="4097" w:type="dxa"/>
          </w:tcPr>
          <w:p w14:paraId="01D129EE"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hoja de datos de seguridad del material</w:t>
            </w:r>
          </w:p>
        </w:tc>
        <w:tc>
          <w:tcPr>
            <w:tcW w:w="4097" w:type="dxa"/>
            <w:tcBorders>
              <w:top w:val="single" w:sz="4" w:space="0" w:color="auto"/>
              <w:left w:val="single" w:sz="4" w:space="0" w:color="auto"/>
              <w:bottom w:val="single" w:sz="4" w:space="0" w:color="auto"/>
              <w:right w:val="single" w:sz="4" w:space="0" w:color="auto"/>
            </w:tcBorders>
          </w:tcPr>
          <w:p w14:paraId="74B6CAE9" w14:textId="15FD30E5"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material safety data sheet</w:t>
            </w:r>
          </w:p>
        </w:tc>
      </w:tr>
      <w:tr w:rsidR="001C08D3" w:rsidRPr="00F01347" w14:paraId="49D31D55" w14:textId="6C7372D7" w:rsidTr="004A5C7E">
        <w:tc>
          <w:tcPr>
            <w:tcW w:w="1156" w:type="dxa"/>
          </w:tcPr>
          <w:p w14:paraId="19A71C03"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PDS</w:t>
            </w:r>
          </w:p>
        </w:tc>
        <w:tc>
          <w:tcPr>
            <w:tcW w:w="4097" w:type="dxa"/>
          </w:tcPr>
          <w:p w14:paraId="3AEA4E85"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solución estándar de dilución primaria</w:t>
            </w:r>
          </w:p>
        </w:tc>
        <w:tc>
          <w:tcPr>
            <w:tcW w:w="4097" w:type="dxa"/>
            <w:tcBorders>
              <w:top w:val="single" w:sz="4" w:space="0" w:color="auto"/>
              <w:left w:val="single" w:sz="4" w:space="0" w:color="auto"/>
              <w:bottom w:val="single" w:sz="4" w:space="0" w:color="auto"/>
              <w:right w:val="single" w:sz="4" w:space="0" w:color="auto"/>
            </w:tcBorders>
          </w:tcPr>
          <w:p w14:paraId="2409834A" w14:textId="2D497A70"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primary dilution standard solution</w:t>
            </w:r>
          </w:p>
        </w:tc>
      </w:tr>
      <w:tr w:rsidR="001C08D3" w:rsidRPr="00F01347" w14:paraId="4D8CA027" w14:textId="2524D517" w:rsidTr="004A5C7E">
        <w:tc>
          <w:tcPr>
            <w:tcW w:w="1156" w:type="dxa"/>
          </w:tcPr>
          <w:p w14:paraId="431917A0"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QC</w:t>
            </w:r>
          </w:p>
        </w:tc>
        <w:tc>
          <w:tcPr>
            <w:tcW w:w="4097" w:type="dxa"/>
          </w:tcPr>
          <w:p w14:paraId="34AC357C"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control de calidad</w:t>
            </w:r>
          </w:p>
        </w:tc>
        <w:tc>
          <w:tcPr>
            <w:tcW w:w="4097" w:type="dxa"/>
            <w:tcBorders>
              <w:top w:val="single" w:sz="4" w:space="0" w:color="auto"/>
              <w:left w:val="single" w:sz="4" w:space="0" w:color="auto"/>
              <w:bottom w:val="single" w:sz="4" w:space="0" w:color="auto"/>
              <w:right w:val="single" w:sz="4" w:space="0" w:color="auto"/>
            </w:tcBorders>
          </w:tcPr>
          <w:p w14:paraId="110F9FA3" w14:textId="735AB015"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Q</w:t>
            </w:r>
            <w:r w:rsidR="004A5C7E" w:rsidRPr="00F01347">
              <w:rPr>
                <w:rFonts w:ascii="Verdana" w:hAnsi="Verdana"/>
                <w:sz w:val="16"/>
                <w:szCs w:val="16"/>
                <w:lang w:val="en-US"/>
              </w:rPr>
              <w:t>C</w:t>
            </w:r>
          </w:p>
        </w:tc>
      </w:tr>
      <w:tr w:rsidR="001C08D3" w:rsidRPr="00F01347" w14:paraId="2AD53874" w14:textId="2E0BF8E1" w:rsidTr="004A5C7E">
        <w:tc>
          <w:tcPr>
            <w:tcW w:w="1156" w:type="dxa"/>
          </w:tcPr>
          <w:p w14:paraId="26E8C44C"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QCS</w:t>
            </w:r>
          </w:p>
        </w:tc>
        <w:tc>
          <w:tcPr>
            <w:tcW w:w="4097" w:type="dxa"/>
          </w:tcPr>
          <w:p w14:paraId="4ABF6011"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muestra de control de calidad</w:t>
            </w:r>
          </w:p>
        </w:tc>
        <w:tc>
          <w:tcPr>
            <w:tcW w:w="4097" w:type="dxa"/>
            <w:tcBorders>
              <w:top w:val="single" w:sz="4" w:space="0" w:color="auto"/>
              <w:left w:val="single" w:sz="4" w:space="0" w:color="auto"/>
              <w:bottom w:val="single" w:sz="4" w:space="0" w:color="auto"/>
              <w:right w:val="single" w:sz="4" w:space="0" w:color="auto"/>
            </w:tcBorders>
          </w:tcPr>
          <w:p w14:paraId="1C578CBB" w14:textId="2D663FB8"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quality control sample</w:t>
            </w:r>
          </w:p>
        </w:tc>
      </w:tr>
      <w:tr w:rsidR="001C08D3" w:rsidRPr="00F01347" w14:paraId="5B6204FA" w14:textId="1F968D6E" w:rsidTr="004A5C7E">
        <w:tc>
          <w:tcPr>
            <w:tcW w:w="1156" w:type="dxa"/>
          </w:tcPr>
          <w:p w14:paraId="50E39088"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RSD</w:t>
            </w:r>
          </w:p>
        </w:tc>
        <w:tc>
          <w:tcPr>
            <w:tcW w:w="4097" w:type="dxa"/>
          </w:tcPr>
          <w:p w14:paraId="452C9BCE"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desviación estándar relativa</w:t>
            </w:r>
          </w:p>
        </w:tc>
        <w:tc>
          <w:tcPr>
            <w:tcW w:w="4097" w:type="dxa"/>
            <w:tcBorders>
              <w:top w:val="single" w:sz="4" w:space="0" w:color="auto"/>
              <w:left w:val="single" w:sz="4" w:space="0" w:color="auto"/>
              <w:bottom w:val="single" w:sz="4" w:space="0" w:color="auto"/>
              <w:right w:val="single" w:sz="4" w:space="0" w:color="auto"/>
            </w:tcBorders>
          </w:tcPr>
          <w:p w14:paraId="6DBC6776" w14:textId="46A73AB4"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relative standard deviation</w:t>
            </w:r>
          </w:p>
        </w:tc>
      </w:tr>
      <w:tr w:rsidR="001C08D3" w:rsidRPr="00F01347" w14:paraId="2DF242AE" w14:textId="55E59319" w:rsidTr="004A5C7E">
        <w:tc>
          <w:tcPr>
            <w:tcW w:w="1156" w:type="dxa"/>
          </w:tcPr>
          <w:p w14:paraId="5A65CE2D"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SPE</w:t>
            </w:r>
          </w:p>
        </w:tc>
        <w:tc>
          <w:tcPr>
            <w:tcW w:w="4097" w:type="dxa"/>
          </w:tcPr>
          <w:p w14:paraId="0EA368A5"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extracción en fase sólida</w:t>
            </w:r>
          </w:p>
        </w:tc>
        <w:tc>
          <w:tcPr>
            <w:tcW w:w="4097" w:type="dxa"/>
            <w:tcBorders>
              <w:top w:val="single" w:sz="4" w:space="0" w:color="auto"/>
              <w:left w:val="single" w:sz="4" w:space="0" w:color="auto"/>
              <w:bottom w:val="single" w:sz="4" w:space="0" w:color="auto"/>
              <w:right w:val="single" w:sz="4" w:space="0" w:color="auto"/>
            </w:tcBorders>
          </w:tcPr>
          <w:p w14:paraId="6348FC19" w14:textId="1883E276"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solid phase extraction</w:t>
            </w:r>
          </w:p>
        </w:tc>
      </w:tr>
      <w:tr w:rsidR="001C08D3" w:rsidRPr="00F01347" w14:paraId="48985294" w14:textId="25DAA0DF" w:rsidTr="004A5C7E">
        <w:tc>
          <w:tcPr>
            <w:tcW w:w="1156" w:type="dxa"/>
          </w:tcPr>
          <w:p w14:paraId="41F4E4A7"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SSS</w:t>
            </w:r>
          </w:p>
        </w:tc>
        <w:tc>
          <w:tcPr>
            <w:tcW w:w="4097" w:type="dxa"/>
          </w:tcPr>
          <w:p w14:paraId="6AF4B388"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solución estándar</w:t>
            </w:r>
          </w:p>
        </w:tc>
        <w:tc>
          <w:tcPr>
            <w:tcW w:w="4097" w:type="dxa"/>
            <w:tcBorders>
              <w:top w:val="single" w:sz="4" w:space="0" w:color="auto"/>
              <w:left w:val="single" w:sz="4" w:space="0" w:color="auto"/>
              <w:bottom w:val="single" w:sz="4" w:space="0" w:color="auto"/>
              <w:right w:val="single" w:sz="4" w:space="0" w:color="auto"/>
            </w:tcBorders>
          </w:tcPr>
          <w:p w14:paraId="4F5A618E" w14:textId="16937EE5"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standard solution</w:t>
            </w:r>
          </w:p>
        </w:tc>
      </w:tr>
      <w:tr w:rsidR="001C08D3" w:rsidRPr="00F01347" w14:paraId="001774EE" w14:textId="484BBAF0" w:rsidTr="004A5C7E">
        <w:tc>
          <w:tcPr>
            <w:tcW w:w="1156" w:type="dxa"/>
          </w:tcPr>
          <w:p w14:paraId="16A4E071"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SUR</w:t>
            </w:r>
          </w:p>
        </w:tc>
        <w:tc>
          <w:tcPr>
            <w:tcW w:w="4097" w:type="dxa"/>
          </w:tcPr>
          <w:p w14:paraId="4E431F60" w14:textId="77777777" w:rsidR="001C08D3" w:rsidRPr="00F01347" w:rsidRDefault="001C08D3" w:rsidP="001C08D3">
            <w:pPr>
              <w:pStyle w:val="texto0"/>
              <w:spacing w:line="220" w:lineRule="exact"/>
              <w:ind w:firstLine="0"/>
              <w:rPr>
                <w:rFonts w:ascii="Verdana" w:hAnsi="Verdana"/>
                <w:color w:val="000000"/>
                <w:sz w:val="16"/>
                <w:szCs w:val="16"/>
              </w:rPr>
            </w:pPr>
            <w:r w:rsidRPr="00F01347">
              <w:rPr>
                <w:rFonts w:ascii="Verdana" w:hAnsi="Verdana"/>
                <w:sz w:val="16"/>
                <w:szCs w:val="16"/>
              </w:rPr>
              <w:t xml:space="preserve">analito </w:t>
            </w:r>
            <w:proofErr w:type="spellStart"/>
            <w:r w:rsidRPr="00F01347">
              <w:rPr>
                <w:rFonts w:ascii="Verdana" w:hAnsi="Verdana"/>
                <w:color w:val="000000"/>
                <w:sz w:val="16"/>
                <w:szCs w:val="16"/>
              </w:rPr>
              <w:t>surrogado</w:t>
            </w:r>
            <w:proofErr w:type="spellEnd"/>
          </w:p>
        </w:tc>
        <w:tc>
          <w:tcPr>
            <w:tcW w:w="4097" w:type="dxa"/>
            <w:tcBorders>
              <w:top w:val="single" w:sz="4" w:space="0" w:color="auto"/>
              <w:left w:val="single" w:sz="4" w:space="0" w:color="auto"/>
              <w:bottom w:val="single" w:sz="4" w:space="0" w:color="auto"/>
              <w:right w:val="single" w:sz="4" w:space="0" w:color="auto"/>
            </w:tcBorders>
          </w:tcPr>
          <w:p w14:paraId="1C4F5671" w14:textId="3377C93F"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color w:val="000000"/>
                <w:sz w:val="16"/>
                <w:szCs w:val="16"/>
                <w:lang w:val="en-US"/>
              </w:rPr>
              <w:t xml:space="preserve">surrogate </w:t>
            </w:r>
            <w:r w:rsidRPr="00F01347">
              <w:rPr>
                <w:rFonts w:ascii="Verdana" w:hAnsi="Verdana"/>
                <w:sz w:val="16"/>
                <w:szCs w:val="16"/>
                <w:lang w:val="en-US"/>
              </w:rPr>
              <w:t>analyte</w:t>
            </w:r>
          </w:p>
        </w:tc>
      </w:tr>
      <w:tr w:rsidR="001C08D3" w:rsidRPr="00F01347" w14:paraId="2F51A29D" w14:textId="31C800AC" w:rsidTr="004A5C7E">
        <w:tc>
          <w:tcPr>
            <w:tcW w:w="1156" w:type="dxa"/>
          </w:tcPr>
          <w:p w14:paraId="1EED73C7"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w:t>
            </w:r>
          </w:p>
        </w:tc>
        <w:tc>
          <w:tcPr>
            <w:tcW w:w="4097" w:type="dxa"/>
          </w:tcPr>
          <w:p w14:paraId="167F5E4E" w14:textId="77777777" w:rsidR="001C08D3" w:rsidRPr="00F01347" w:rsidRDefault="001C08D3" w:rsidP="001C08D3">
            <w:pPr>
              <w:pStyle w:val="texto0"/>
              <w:spacing w:line="220" w:lineRule="exact"/>
              <w:ind w:firstLine="0"/>
              <w:rPr>
                <w:rFonts w:ascii="Verdana" w:hAnsi="Verdana"/>
                <w:sz w:val="16"/>
                <w:szCs w:val="16"/>
              </w:rPr>
            </w:pPr>
            <w:r w:rsidRPr="00F01347">
              <w:rPr>
                <w:rFonts w:ascii="Verdana" w:hAnsi="Verdana"/>
                <w:sz w:val="16"/>
                <w:szCs w:val="16"/>
              </w:rPr>
              <w:t>más y menos</w:t>
            </w:r>
          </w:p>
        </w:tc>
        <w:tc>
          <w:tcPr>
            <w:tcW w:w="4097" w:type="dxa"/>
            <w:tcBorders>
              <w:top w:val="single" w:sz="4" w:space="0" w:color="auto"/>
              <w:left w:val="single" w:sz="4" w:space="0" w:color="auto"/>
              <w:bottom w:val="single" w:sz="4" w:space="0" w:color="auto"/>
              <w:right w:val="single" w:sz="4" w:space="0" w:color="auto"/>
            </w:tcBorders>
          </w:tcPr>
          <w:p w14:paraId="60CEA26B" w14:textId="15703641" w:rsidR="001C08D3" w:rsidRPr="00F01347" w:rsidRDefault="001C08D3" w:rsidP="001C08D3">
            <w:pPr>
              <w:pStyle w:val="texto0"/>
              <w:spacing w:line="220" w:lineRule="exact"/>
              <w:ind w:firstLine="0"/>
              <w:rPr>
                <w:rFonts w:ascii="Verdana" w:hAnsi="Verdana"/>
                <w:sz w:val="16"/>
                <w:szCs w:val="16"/>
                <w:lang w:val="en-US"/>
              </w:rPr>
            </w:pPr>
            <w:r w:rsidRPr="00F01347">
              <w:rPr>
                <w:rFonts w:ascii="Verdana" w:hAnsi="Verdana"/>
                <w:sz w:val="16"/>
                <w:szCs w:val="16"/>
                <w:lang w:val="en-US"/>
              </w:rPr>
              <w:t>more and less</w:t>
            </w:r>
          </w:p>
        </w:tc>
      </w:tr>
    </w:tbl>
    <w:p w14:paraId="4CBDA473" w14:textId="77777777" w:rsidR="00204B58" w:rsidRPr="00F01347" w:rsidRDefault="00204B58" w:rsidP="003A601B">
      <w:pPr>
        <w:pStyle w:val="texto0"/>
        <w:spacing w:line="220"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64975" w:rsidRPr="00F01347" w14:paraId="5FDE7080" w14:textId="4F4CCED7" w:rsidTr="00ED271E">
        <w:tc>
          <w:tcPr>
            <w:tcW w:w="4675" w:type="dxa"/>
          </w:tcPr>
          <w:p w14:paraId="0AF12328" w14:textId="77777777" w:rsidR="00564975" w:rsidRPr="00F01347" w:rsidRDefault="00564975" w:rsidP="00564975">
            <w:pPr>
              <w:pStyle w:val="texto0"/>
              <w:spacing w:line="220" w:lineRule="exact"/>
              <w:ind w:firstLine="0"/>
              <w:rPr>
                <w:rFonts w:ascii="Verdana" w:hAnsi="Verdana"/>
                <w:b/>
                <w:sz w:val="16"/>
                <w:szCs w:val="16"/>
              </w:rPr>
            </w:pPr>
            <w:r w:rsidRPr="00F01347">
              <w:rPr>
                <w:rFonts w:ascii="Verdana" w:hAnsi="Verdana"/>
                <w:b/>
                <w:sz w:val="16"/>
                <w:szCs w:val="16"/>
              </w:rPr>
              <w:t>B.1.2.3 Principio</w:t>
            </w:r>
          </w:p>
        </w:tc>
        <w:tc>
          <w:tcPr>
            <w:tcW w:w="4675" w:type="dxa"/>
          </w:tcPr>
          <w:p w14:paraId="50A7EFBD" w14:textId="2DB54B6E" w:rsidR="00564975" w:rsidRPr="00F01347" w:rsidRDefault="00564975" w:rsidP="00564975">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B.1.2.3 Principle</w:t>
            </w:r>
          </w:p>
        </w:tc>
      </w:tr>
      <w:tr w:rsidR="00564975" w:rsidRPr="00F01347" w14:paraId="44FAD683" w14:textId="72206869" w:rsidTr="00ED271E">
        <w:tc>
          <w:tcPr>
            <w:tcW w:w="4675" w:type="dxa"/>
          </w:tcPr>
          <w:p w14:paraId="738EB677" w14:textId="77777777" w:rsidR="00564975" w:rsidRPr="00F01347" w:rsidRDefault="00564975" w:rsidP="00564975">
            <w:pPr>
              <w:pStyle w:val="texto0"/>
              <w:spacing w:line="220" w:lineRule="exact"/>
              <w:ind w:firstLine="0"/>
              <w:rPr>
                <w:rFonts w:ascii="Verdana" w:hAnsi="Verdana"/>
                <w:b/>
                <w:sz w:val="16"/>
                <w:szCs w:val="16"/>
              </w:rPr>
            </w:pPr>
            <w:r w:rsidRPr="00F01347">
              <w:rPr>
                <w:rFonts w:ascii="Verdana" w:hAnsi="Verdana"/>
                <w:color w:val="000000"/>
                <w:sz w:val="16"/>
                <w:szCs w:val="16"/>
              </w:rPr>
              <w:t xml:space="preserve">Una muestra de agua de 500 ml (fortificada con un </w:t>
            </w:r>
            <w:proofErr w:type="spellStart"/>
            <w:r w:rsidRPr="00F01347">
              <w:rPr>
                <w:rFonts w:ascii="Verdana" w:hAnsi="Verdana"/>
                <w:color w:val="000000"/>
                <w:sz w:val="16"/>
                <w:szCs w:val="16"/>
              </w:rPr>
              <w:t>surrogado</w:t>
            </w:r>
            <w:proofErr w:type="spellEnd"/>
            <w:r w:rsidRPr="00F01347">
              <w:rPr>
                <w:rFonts w:ascii="Verdana" w:hAnsi="Verdana"/>
                <w:color w:val="000000"/>
                <w:sz w:val="16"/>
                <w:szCs w:val="16"/>
              </w:rPr>
              <w:t xml:space="preserve">) se filtra y se colectan tanto el filtrado como el filtro. El filtro se coloca en una solución de metanol que contiene 20% de agua grado reactivo y se mantiene durante al menos una hora a -20 </w:t>
            </w:r>
            <w:proofErr w:type="spellStart"/>
            <w:r w:rsidRPr="00F01347">
              <w:rPr>
                <w:rFonts w:ascii="Verdana" w:hAnsi="Verdana"/>
                <w:color w:val="000000"/>
                <w:sz w:val="16"/>
                <w:szCs w:val="16"/>
              </w:rPr>
              <w:t>ºC</w:t>
            </w:r>
            <w:proofErr w:type="spellEnd"/>
            <w:r w:rsidRPr="00F01347">
              <w:rPr>
                <w:rFonts w:ascii="Verdana" w:hAnsi="Verdana"/>
                <w:color w:val="000000"/>
                <w:sz w:val="16"/>
                <w:szCs w:val="16"/>
              </w:rPr>
              <w:t xml:space="preserve"> para liberar las toxinas intracelulares de </w:t>
            </w:r>
            <w:proofErr w:type="gramStart"/>
            <w:r w:rsidRPr="00F01347">
              <w:rPr>
                <w:rFonts w:ascii="Verdana" w:hAnsi="Verdana"/>
                <w:color w:val="000000"/>
                <w:sz w:val="16"/>
                <w:szCs w:val="16"/>
              </w:rPr>
              <w:t>las célula</w:t>
            </w:r>
            <w:proofErr w:type="gramEnd"/>
            <w:r w:rsidRPr="00F01347">
              <w:rPr>
                <w:rFonts w:ascii="Verdana" w:hAnsi="Verdana"/>
                <w:color w:val="000000"/>
                <w:sz w:val="16"/>
                <w:szCs w:val="16"/>
              </w:rPr>
              <w:t xml:space="preserve"> de cianobacterias capturadas en el filtro. El líquido se extrae del filtro y es añadido al filtrado acuoso de 500mL. La muestra de 500 ml (más la solución de toxina intracelular) es pasa a </w:t>
            </w:r>
            <w:r w:rsidRPr="00F01347">
              <w:rPr>
                <w:rFonts w:ascii="Verdana" w:hAnsi="Verdana"/>
                <w:color w:val="000000"/>
                <w:sz w:val="16"/>
                <w:szCs w:val="16"/>
              </w:rPr>
              <w:lastRenderedPageBreak/>
              <w:t xml:space="preserve">través de un cartucho de SPE para extraer los analitos de interés y el </w:t>
            </w:r>
            <w:proofErr w:type="spellStart"/>
            <w:r w:rsidRPr="00F01347">
              <w:rPr>
                <w:rFonts w:ascii="Verdana" w:hAnsi="Verdana"/>
                <w:color w:val="000000"/>
                <w:sz w:val="16"/>
                <w:szCs w:val="16"/>
              </w:rPr>
              <w:t>surrogado</w:t>
            </w:r>
            <w:proofErr w:type="spellEnd"/>
            <w:r w:rsidRPr="00F01347">
              <w:rPr>
                <w:rFonts w:ascii="Verdana" w:hAnsi="Verdana"/>
                <w:color w:val="000000"/>
                <w:sz w:val="16"/>
                <w:szCs w:val="16"/>
              </w:rPr>
              <w:t xml:space="preserve">. Los analitos se </w:t>
            </w:r>
            <w:proofErr w:type="spellStart"/>
            <w:r w:rsidRPr="00F01347">
              <w:rPr>
                <w:rFonts w:ascii="Verdana" w:hAnsi="Verdana"/>
                <w:color w:val="000000"/>
                <w:sz w:val="16"/>
                <w:szCs w:val="16"/>
              </w:rPr>
              <w:t>eluyen</w:t>
            </w:r>
            <w:proofErr w:type="spellEnd"/>
            <w:r w:rsidRPr="00F01347">
              <w:rPr>
                <w:rFonts w:ascii="Verdana" w:hAnsi="Verdana"/>
                <w:color w:val="000000"/>
                <w:sz w:val="16"/>
                <w:szCs w:val="16"/>
              </w:rPr>
              <w:t xml:space="preserve"> de la fase sólida con una pequeña cantidad de metanol que contiene un 10% de agua grado reactivo. El extracto es concentrado a sequedad por evaporación con nitrógeno en un baño de agua caliente y luego se ajusta a un volumen de 1 ml con metanol que contiene un 10% de agua grado reactivo. Se hace una inyección de 10 µL en una LC equipada con una columna C</w:t>
            </w:r>
            <w:r w:rsidRPr="00F01347">
              <w:rPr>
                <w:rFonts w:ascii="Verdana" w:hAnsi="Verdana"/>
                <w:color w:val="000000"/>
                <w:position w:val="-2"/>
                <w:sz w:val="16"/>
                <w:szCs w:val="16"/>
              </w:rPr>
              <w:t>8</w:t>
            </w:r>
            <w:r w:rsidRPr="00F01347">
              <w:rPr>
                <w:rFonts w:ascii="Verdana" w:hAnsi="Verdana"/>
                <w:color w:val="000000"/>
                <w:sz w:val="16"/>
                <w:szCs w:val="16"/>
              </w:rPr>
              <w:t xml:space="preserve"> interconectada a un MS/MS. Los analitos se separan e identifican comparando los espectros de masas y los tiempos de retención con los espectros de referencia y los tiempos de retención de los estándares de calibración realizados bajo condiciones idénticas de LC/MS/MS. La concentración de cada analito de interés se determina mediante calibración estándar externa.</w:t>
            </w:r>
          </w:p>
        </w:tc>
        <w:tc>
          <w:tcPr>
            <w:tcW w:w="4675" w:type="dxa"/>
          </w:tcPr>
          <w:p w14:paraId="605287A4" w14:textId="6B824C35" w:rsidR="00564975" w:rsidRPr="00F01347" w:rsidRDefault="00564975" w:rsidP="00564975">
            <w:pPr>
              <w:pStyle w:val="texto0"/>
              <w:spacing w:line="220" w:lineRule="exact"/>
              <w:ind w:firstLine="0"/>
              <w:rPr>
                <w:rFonts w:ascii="Verdana" w:hAnsi="Verdana"/>
                <w:color w:val="000000"/>
                <w:sz w:val="16"/>
                <w:szCs w:val="16"/>
                <w:lang w:val="en-US"/>
              </w:rPr>
            </w:pPr>
            <w:r w:rsidRPr="00F01347">
              <w:rPr>
                <w:rFonts w:ascii="Verdana" w:hAnsi="Verdana"/>
                <w:color w:val="000000"/>
                <w:sz w:val="16"/>
                <w:szCs w:val="16"/>
                <w:lang w:val="en-US"/>
              </w:rPr>
              <w:lastRenderedPageBreak/>
              <w:t>A 500 ml water sample (fortified with a surrogate</w:t>
            </w:r>
            <w:r w:rsidR="00913802" w:rsidRPr="00F01347">
              <w:rPr>
                <w:rFonts w:ascii="Verdana" w:hAnsi="Verdana"/>
                <w:color w:val="000000"/>
                <w:sz w:val="16"/>
                <w:szCs w:val="16"/>
                <w:lang w:val="en-US"/>
              </w:rPr>
              <w:t>)</w:t>
            </w:r>
            <w:r w:rsidRPr="00F01347">
              <w:rPr>
                <w:rFonts w:ascii="Verdana" w:hAnsi="Verdana"/>
                <w:color w:val="000000"/>
                <w:sz w:val="16"/>
                <w:szCs w:val="16"/>
                <w:lang w:val="en-US"/>
              </w:rPr>
              <w:t xml:space="preserve"> is </w:t>
            </w:r>
            <w:r w:rsidR="00ED271E" w:rsidRPr="00F01347">
              <w:rPr>
                <w:rFonts w:ascii="Verdana" w:hAnsi="Verdana"/>
                <w:color w:val="000000"/>
                <w:sz w:val="16"/>
                <w:szCs w:val="16"/>
                <w:lang w:val="en-US"/>
              </w:rPr>
              <w:t>filtered,</w:t>
            </w:r>
            <w:r w:rsidRPr="00F01347">
              <w:rPr>
                <w:rFonts w:ascii="Verdana" w:hAnsi="Verdana"/>
                <w:color w:val="000000"/>
                <w:sz w:val="16"/>
                <w:szCs w:val="16"/>
                <w:lang w:val="en-US"/>
              </w:rPr>
              <w:t xml:space="preserve"> and both the filtrate and the filter are collected. The filter is placed in a methanol solution containing 20% reagent grade water and kept for at least one hour at -20ºC to release intracellular toxins from the cyanobacteria cells captured in the filter. The liquid is removed from the filter and added to the 500mL aqueous filtrate. The 500 ml sample (plus intracellular toxin solution) is passed through an SPE cartridge to </w:t>
            </w:r>
            <w:r w:rsidRPr="00F01347">
              <w:rPr>
                <w:rFonts w:ascii="Verdana" w:hAnsi="Verdana"/>
                <w:color w:val="000000"/>
                <w:sz w:val="16"/>
                <w:szCs w:val="16"/>
                <w:lang w:val="en-US"/>
              </w:rPr>
              <w:lastRenderedPageBreak/>
              <w:t>extract the analytes of interest and surrogate</w:t>
            </w:r>
            <w:r w:rsidR="003E1BA9" w:rsidRPr="00F01347">
              <w:rPr>
                <w:rFonts w:ascii="Verdana" w:hAnsi="Verdana"/>
                <w:color w:val="000000"/>
                <w:sz w:val="16"/>
                <w:szCs w:val="16"/>
                <w:lang w:val="en-US"/>
              </w:rPr>
              <w:t>.</w:t>
            </w:r>
            <w:r w:rsidRPr="00F01347">
              <w:rPr>
                <w:rFonts w:ascii="Verdana" w:hAnsi="Verdana"/>
                <w:color w:val="000000"/>
                <w:sz w:val="16"/>
                <w:szCs w:val="16"/>
                <w:lang w:val="en-US"/>
              </w:rPr>
              <w:t xml:space="preserve"> The analytes are eluted from the solid phase with a small amount of methanol containing 10% reagent grade water. The extract is concentrated to dryness by evaporation with nitrogen in a hot water bath and then adjusted to a volume of 1 ml with methanol containing 10% reagent grade water. A 10 µL injection is made into an LC equipped with a C </w:t>
            </w:r>
            <w:r w:rsidRPr="00F01347">
              <w:rPr>
                <w:rFonts w:ascii="Verdana" w:hAnsi="Verdana"/>
                <w:color w:val="000000"/>
                <w:position w:val="-2"/>
                <w:sz w:val="16"/>
                <w:szCs w:val="16"/>
                <w:lang w:val="en-US"/>
              </w:rPr>
              <w:t xml:space="preserve">8 column </w:t>
            </w:r>
            <w:r w:rsidRPr="00F01347">
              <w:rPr>
                <w:rFonts w:ascii="Verdana" w:hAnsi="Verdana"/>
                <w:color w:val="000000"/>
                <w:sz w:val="16"/>
                <w:szCs w:val="16"/>
                <w:lang w:val="en-US"/>
              </w:rPr>
              <w:t>interfaced to an MS/MS. Analytes are separated and identified by comparing mass spectra and retention times to reference spectra and retention times of calibration standards performed under identical LC/MS/MS conditions. The concentration of each analyte of interest is determined by external standard calibration.</w:t>
            </w:r>
          </w:p>
        </w:tc>
      </w:tr>
      <w:tr w:rsidR="00564975" w:rsidRPr="00F01347" w14:paraId="493ED81A" w14:textId="6FEE8C26" w:rsidTr="00ED271E">
        <w:tc>
          <w:tcPr>
            <w:tcW w:w="4675" w:type="dxa"/>
          </w:tcPr>
          <w:p w14:paraId="66042CFD" w14:textId="77777777" w:rsidR="00564975" w:rsidRPr="00F01347" w:rsidRDefault="00564975" w:rsidP="00564975">
            <w:pPr>
              <w:pStyle w:val="texto0"/>
              <w:ind w:firstLine="0"/>
              <w:rPr>
                <w:rFonts w:ascii="Verdana" w:hAnsi="Verdana"/>
                <w:b/>
                <w:sz w:val="16"/>
                <w:szCs w:val="16"/>
              </w:rPr>
            </w:pPr>
            <w:r w:rsidRPr="00F01347">
              <w:rPr>
                <w:rFonts w:ascii="Verdana" w:hAnsi="Verdana"/>
                <w:b/>
                <w:sz w:val="16"/>
                <w:szCs w:val="16"/>
              </w:rPr>
              <w:lastRenderedPageBreak/>
              <w:t>B.1.2.4 Alcance y aplicación</w:t>
            </w:r>
          </w:p>
        </w:tc>
        <w:tc>
          <w:tcPr>
            <w:tcW w:w="4675" w:type="dxa"/>
          </w:tcPr>
          <w:p w14:paraId="2D837ECC" w14:textId="7BD59FEE" w:rsidR="00564975" w:rsidRPr="00F01347" w:rsidRDefault="00564975" w:rsidP="00564975">
            <w:pPr>
              <w:pStyle w:val="texto0"/>
              <w:ind w:firstLine="0"/>
              <w:rPr>
                <w:rFonts w:ascii="Verdana" w:hAnsi="Verdana"/>
                <w:b/>
                <w:sz w:val="16"/>
                <w:szCs w:val="16"/>
                <w:lang w:val="en-US"/>
              </w:rPr>
            </w:pPr>
            <w:r w:rsidRPr="00F01347">
              <w:rPr>
                <w:rFonts w:ascii="Verdana" w:hAnsi="Verdana"/>
                <w:b/>
                <w:sz w:val="16"/>
                <w:szCs w:val="16"/>
                <w:lang w:val="en-US"/>
              </w:rPr>
              <w:t>B.1.2.4 Scope and application</w:t>
            </w:r>
          </w:p>
        </w:tc>
      </w:tr>
      <w:tr w:rsidR="00564975" w:rsidRPr="00F01347" w14:paraId="7B4E4916" w14:textId="06D2F87B" w:rsidTr="00ED271E">
        <w:tc>
          <w:tcPr>
            <w:tcW w:w="4675" w:type="dxa"/>
          </w:tcPr>
          <w:p w14:paraId="0AF53065" w14:textId="77777777" w:rsidR="00564975" w:rsidRPr="00F01347" w:rsidRDefault="00564975" w:rsidP="00564975">
            <w:pPr>
              <w:pStyle w:val="texto0"/>
              <w:ind w:firstLine="0"/>
              <w:rPr>
                <w:rFonts w:ascii="Verdana" w:hAnsi="Verdana"/>
                <w:sz w:val="16"/>
                <w:szCs w:val="16"/>
              </w:rPr>
            </w:pPr>
            <w:r w:rsidRPr="00F01347">
              <w:rPr>
                <w:rFonts w:ascii="Verdana" w:hAnsi="Verdana"/>
                <w:sz w:val="16"/>
                <w:szCs w:val="16"/>
              </w:rPr>
              <w:t xml:space="preserve">Este es un método de cromatografía líquida/espectrometría de masas en tándem (LC/MS/MS) para la determinación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y </w:t>
            </w:r>
            <w:proofErr w:type="spellStart"/>
            <w:r w:rsidRPr="00F01347">
              <w:rPr>
                <w:rFonts w:ascii="Verdana" w:hAnsi="Verdana"/>
                <w:sz w:val="16"/>
                <w:szCs w:val="16"/>
              </w:rPr>
              <w:t>nodularinas</w:t>
            </w:r>
            <w:proofErr w:type="spellEnd"/>
            <w:r w:rsidRPr="00F01347">
              <w:rPr>
                <w:rFonts w:ascii="Verdana" w:hAnsi="Verdana"/>
                <w:sz w:val="16"/>
                <w:szCs w:val="16"/>
              </w:rPr>
              <w:t xml:space="preserve"> (combinado intracelular y extracelular) en agua de uso y consumo humano.</w:t>
            </w:r>
          </w:p>
        </w:tc>
        <w:tc>
          <w:tcPr>
            <w:tcW w:w="4675" w:type="dxa"/>
          </w:tcPr>
          <w:p w14:paraId="6693446C" w14:textId="4D657AED" w:rsidR="00564975" w:rsidRPr="00F01347" w:rsidRDefault="00564975" w:rsidP="00564975">
            <w:pPr>
              <w:pStyle w:val="texto0"/>
              <w:ind w:firstLine="0"/>
              <w:rPr>
                <w:rFonts w:ascii="Verdana" w:hAnsi="Verdana"/>
                <w:sz w:val="16"/>
                <w:szCs w:val="16"/>
                <w:lang w:val="en-US"/>
              </w:rPr>
            </w:pPr>
            <w:r w:rsidRPr="00F01347">
              <w:rPr>
                <w:rFonts w:ascii="Verdana" w:hAnsi="Verdana"/>
                <w:sz w:val="16"/>
                <w:szCs w:val="16"/>
                <w:lang w:val="en-US"/>
              </w:rPr>
              <w:t xml:space="preserve">This is a liquid chromatography/tandem mass spectrometry (LC/MS/MS) method for the determination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and </w:t>
            </w:r>
            <w:proofErr w:type="spellStart"/>
            <w:r w:rsidRPr="00F01347">
              <w:rPr>
                <w:rFonts w:ascii="Verdana" w:hAnsi="Verdana"/>
                <w:sz w:val="16"/>
                <w:szCs w:val="16"/>
                <w:lang w:val="en-US"/>
              </w:rPr>
              <w:t>nodularins</w:t>
            </w:r>
            <w:proofErr w:type="spellEnd"/>
            <w:r w:rsidRPr="00F01347">
              <w:rPr>
                <w:rFonts w:ascii="Verdana" w:hAnsi="Verdana"/>
                <w:sz w:val="16"/>
                <w:szCs w:val="16"/>
                <w:lang w:val="en-US"/>
              </w:rPr>
              <w:t xml:space="preserve"> (combined intracellular and extracellular) in water for human use and consumption.</w:t>
            </w:r>
          </w:p>
        </w:tc>
      </w:tr>
      <w:tr w:rsidR="00564975" w:rsidRPr="00F01347" w14:paraId="6DE68572" w14:textId="7C1F522D" w:rsidTr="00ED271E">
        <w:tc>
          <w:tcPr>
            <w:tcW w:w="4675" w:type="dxa"/>
          </w:tcPr>
          <w:p w14:paraId="0556CC41" w14:textId="77777777" w:rsidR="00564975" w:rsidRPr="00F01347" w:rsidRDefault="00564975" w:rsidP="00564975">
            <w:pPr>
              <w:pStyle w:val="texto0"/>
              <w:ind w:firstLine="0"/>
              <w:rPr>
                <w:rFonts w:ascii="Verdana" w:hAnsi="Verdana"/>
                <w:sz w:val="16"/>
                <w:szCs w:val="16"/>
              </w:rPr>
            </w:pPr>
            <w:r w:rsidRPr="00F01347">
              <w:rPr>
                <w:rFonts w:ascii="Verdana" w:hAnsi="Verdana"/>
                <w:sz w:val="16"/>
                <w:szCs w:val="16"/>
              </w:rPr>
              <w:t>Los datos de exactitud y precisión han sido generados en agua grado reactivo y finalizados en aguas subterráneas y superficiales terminadas para los analitos listados en la Tabla B.1.2-1, de este Apéndice.</w:t>
            </w:r>
          </w:p>
        </w:tc>
        <w:tc>
          <w:tcPr>
            <w:tcW w:w="4675" w:type="dxa"/>
          </w:tcPr>
          <w:p w14:paraId="58A08AB9" w14:textId="4929AD8A" w:rsidR="00564975" w:rsidRPr="00F01347" w:rsidRDefault="00564975" w:rsidP="00564975">
            <w:pPr>
              <w:pStyle w:val="texto0"/>
              <w:ind w:firstLine="0"/>
              <w:rPr>
                <w:rFonts w:ascii="Verdana" w:hAnsi="Verdana"/>
                <w:sz w:val="16"/>
                <w:szCs w:val="16"/>
                <w:lang w:val="en-US"/>
              </w:rPr>
            </w:pPr>
            <w:r w:rsidRPr="00F01347">
              <w:rPr>
                <w:rFonts w:ascii="Verdana" w:hAnsi="Verdana"/>
                <w:sz w:val="16"/>
                <w:szCs w:val="16"/>
                <w:lang w:val="en-US"/>
              </w:rPr>
              <w:t>Accuracy and precision data have been generated in reagent grade water and finalized in finished groundwater and surface water for the analytes listed in Table B.1.2-1, of this Appendix.</w:t>
            </w:r>
          </w:p>
        </w:tc>
      </w:tr>
    </w:tbl>
    <w:p w14:paraId="0F6F2CD7" w14:textId="77777777" w:rsidR="0073456B" w:rsidRPr="00F01347" w:rsidRDefault="0073456B" w:rsidP="003A601B">
      <w:pPr>
        <w:pStyle w:val="texto0"/>
        <w:ind w:firstLine="0"/>
        <w:jc w:val="center"/>
        <w:rPr>
          <w:rFonts w:ascii="Verdana" w:hAnsi="Verdana"/>
          <w:b/>
          <w:sz w:val="16"/>
          <w:szCs w:val="16"/>
          <w:lang w:val="en-US"/>
        </w:rPr>
      </w:pPr>
    </w:p>
    <w:p w14:paraId="3EDECF7F" w14:textId="4DB76374"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 xml:space="preserve">Tabla B.1.2-1. </w:t>
      </w:r>
      <w:r w:rsidRPr="00F01347">
        <w:rPr>
          <w:rFonts w:ascii="Verdana" w:hAnsi="Verdana"/>
          <w:sz w:val="16"/>
          <w:szCs w:val="16"/>
        </w:rPr>
        <w:t>Analitos que pueden ser determinados por este método</w:t>
      </w:r>
    </w:p>
    <w:tbl>
      <w:tblPr>
        <w:tblW w:w="6768" w:type="dxa"/>
        <w:tblInd w:w="1152" w:type="dxa"/>
        <w:tblLayout w:type="fixed"/>
        <w:tblCellMar>
          <w:left w:w="72" w:type="dxa"/>
          <w:right w:w="72" w:type="dxa"/>
        </w:tblCellMar>
        <w:tblLook w:val="0000" w:firstRow="0" w:lastRow="0" w:firstColumn="0" w:lastColumn="0" w:noHBand="0" w:noVBand="0"/>
      </w:tblPr>
      <w:tblGrid>
        <w:gridCol w:w="3888"/>
        <w:gridCol w:w="2880"/>
      </w:tblGrid>
      <w:tr w:rsidR="00A74CDF" w:rsidRPr="00F01347" w14:paraId="78BD37C0" w14:textId="77777777">
        <w:trPr>
          <w:trHeight w:val="144"/>
        </w:trPr>
        <w:tc>
          <w:tcPr>
            <w:tcW w:w="3888" w:type="dxa"/>
            <w:tcBorders>
              <w:top w:val="single" w:sz="6" w:space="0" w:color="auto"/>
              <w:left w:val="single" w:sz="6" w:space="0" w:color="auto"/>
              <w:bottom w:val="single" w:sz="6" w:space="0" w:color="auto"/>
              <w:right w:val="single" w:sz="6" w:space="0" w:color="auto"/>
            </w:tcBorders>
            <w:noWrap/>
          </w:tcPr>
          <w:p w14:paraId="04CB11D5"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Analito</w:t>
            </w:r>
          </w:p>
        </w:tc>
        <w:tc>
          <w:tcPr>
            <w:tcW w:w="2880" w:type="dxa"/>
            <w:tcBorders>
              <w:top w:val="single" w:sz="6" w:space="0" w:color="auto"/>
              <w:left w:val="single" w:sz="6" w:space="0" w:color="auto"/>
              <w:bottom w:val="single" w:sz="6" w:space="0" w:color="auto"/>
              <w:right w:val="single" w:sz="6" w:space="0" w:color="auto"/>
            </w:tcBorders>
          </w:tcPr>
          <w:p w14:paraId="7D77D1EC"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Número CAS</w:t>
            </w:r>
          </w:p>
        </w:tc>
      </w:tr>
      <w:tr w:rsidR="00A74CDF" w:rsidRPr="00F01347" w14:paraId="3A344824" w14:textId="77777777">
        <w:trPr>
          <w:trHeight w:val="144"/>
        </w:trPr>
        <w:tc>
          <w:tcPr>
            <w:tcW w:w="3888" w:type="dxa"/>
            <w:tcBorders>
              <w:top w:val="single" w:sz="6" w:space="0" w:color="auto"/>
              <w:left w:val="single" w:sz="6" w:space="0" w:color="auto"/>
              <w:bottom w:val="single" w:sz="6" w:space="0" w:color="auto"/>
              <w:right w:val="single" w:sz="6" w:space="0" w:color="auto"/>
            </w:tcBorders>
          </w:tcPr>
          <w:p w14:paraId="0E10CC0C" w14:textId="77777777" w:rsidR="00A74CDF" w:rsidRPr="00F01347" w:rsidRDefault="00A74CDF" w:rsidP="003A601B">
            <w:pPr>
              <w:pStyle w:val="texto0"/>
              <w:ind w:firstLine="0"/>
              <w:jc w:val="center"/>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-La (MC-LA)</w:t>
            </w:r>
          </w:p>
        </w:tc>
        <w:tc>
          <w:tcPr>
            <w:tcW w:w="2880" w:type="dxa"/>
            <w:tcBorders>
              <w:top w:val="single" w:sz="6" w:space="0" w:color="auto"/>
              <w:left w:val="single" w:sz="6" w:space="0" w:color="auto"/>
              <w:bottom w:val="single" w:sz="6" w:space="0" w:color="auto"/>
              <w:right w:val="single" w:sz="6" w:space="0" w:color="auto"/>
            </w:tcBorders>
          </w:tcPr>
          <w:p w14:paraId="35708F40"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96180-79-9</w:t>
            </w:r>
          </w:p>
        </w:tc>
      </w:tr>
      <w:tr w:rsidR="00A74CDF" w:rsidRPr="00F01347" w14:paraId="2C294C6C" w14:textId="77777777">
        <w:trPr>
          <w:trHeight w:val="144"/>
        </w:trPr>
        <w:tc>
          <w:tcPr>
            <w:tcW w:w="3888" w:type="dxa"/>
            <w:tcBorders>
              <w:top w:val="single" w:sz="6" w:space="0" w:color="auto"/>
              <w:left w:val="single" w:sz="6" w:space="0" w:color="auto"/>
              <w:bottom w:val="single" w:sz="6" w:space="0" w:color="auto"/>
              <w:right w:val="single" w:sz="6" w:space="0" w:color="auto"/>
            </w:tcBorders>
          </w:tcPr>
          <w:p w14:paraId="02C06845" w14:textId="77777777" w:rsidR="00A74CDF" w:rsidRPr="00F01347" w:rsidRDefault="00A74CDF" w:rsidP="003A601B">
            <w:pPr>
              <w:pStyle w:val="texto0"/>
              <w:ind w:firstLine="0"/>
              <w:jc w:val="center"/>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-LFA (MC-LF)</w:t>
            </w:r>
          </w:p>
        </w:tc>
        <w:tc>
          <w:tcPr>
            <w:tcW w:w="2880" w:type="dxa"/>
            <w:tcBorders>
              <w:top w:val="single" w:sz="6" w:space="0" w:color="auto"/>
              <w:left w:val="single" w:sz="6" w:space="0" w:color="auto"/>
              <w:bottom w:val="single" w:sz="6" w:space="0" w:color="auto"/>
              <w:right w:val="single" w:sz="6" w:space="0" w:color="auto"/>
            </w:tcBorders>
          </w:tcPr>
          <w:p w14:paraId="2A6CD4B7"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154037-70-4</w:t>
            </w:r>
          </w:p>
        </w:tc>
      </w:tr>
      <w:tr w:rsidR="00A74CDF" w:rsidRPr="00F01347" w14:paraId="296B8150" w14:textId="77777777">
        <w:trPr>
          <w:trHeight w:val="144"/>
        </w:trPr>
        <w:tc>
          <w:tcPr>
            <w:tcW w:w="3888" w:type="dxa"/>
            <w:tcBorders>
              <w:top w:val="single" w:sz="6" w:space="0" w:color="auto"/>
              <w:left w:val="single" w:sz="6" w:space="0" w:color="auto"/>
              <w:bottom w:val="single" w:sz="6" w:space="0" w:color="auto"/>
              <w:right w:val="single" w:sz="6" w:space="0" w:color="auto"/>
            </w:tcBorders>
          </w:tcPr>
          <w:p w14:paraId="476590D8" w14:textId="77777777" w:rsidR="00A74CDF" w:rsidRPr="00F01347" w:rsidRDefault="00A74CDF" w:rsidP="003A601B">
            <w:pPr>
              <w:pStyle w:val="texto0"/>
              <w:ind w:firstLine="0"/>
              <w:jc w:val="center"/>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-LR (MC-LR)</w:t>
            </w:r>
          </w:p>
        </w:tc>
        <w:tc>
          <w:tcPr>
            <w:tcW w:w="2880" w:type="dxa"/>
            <w:tcBorders>
              <w:top w:val="single" w:sz="6" w:space="0" w:color="auto"/>
              <w:left w:val="single" w:sz="6" w:space="0" w:color="auto"/>
              <w:bottom w:val="single" w:sz="6" w:space="0" w:color="auto"/>
              <w:right w:val="single" w:sz="6" w:space="0" w:color="auto"/>
            </w:tcBorders>
          </w:tcPr>
          <w:p w14:paraId="1E727E7F"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101043-37-2</w:t>
            </w:r>
          </w:p>
        </w:tc>
      </w:tr>
      <w:tr w:rsidR="00A74CDF" w:rsidRPr="00F01347" w14:paraId="45BF2ADB" w14:textId="77777777">
        <w:trPr>
          <w:trHeight w:val="144"/>
        </w:trPr>
        <w:tc>
          <w:tcPr>
            <w:tcW w:w="3888" w:type="dxa"/>
            <w:tcBorders>
              <w:top w:val="single" w:sz="6" w:space="0" w:color="auto"/>
              <w:left w:val="single" w:sz="6" w:space="0" w:color="auto"/>
              <w:bottom w:val="single" w:sz="6" w:space="0" w:color="auto"/>
              <w:right w:val="single" w:sz="6" w:space="0" w:color="auto"/>
            </w:tcBorders>
          </w:tcPr>
          <w:p w14:paraId="1C4CB63A" w14:textId="77777777" w:rsidR="00A74CDF" w:rsidRPr="00F01347" w:rsidRDefault="00A74CDF" w:rsidP="003A601B">
            <w:pPr>
              <w:pStyle w:val="texto0"/>
              <w:ind w:firstLine="0"/>
              <w:jc w:val="center"/>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-LY (MC-LY)</w:t>
            </w:r>
          </w:p>
        </w:tc>
        <w:tc>
          <w:tcPr>
            <w:tcW w:w="2880" w:type="dxa"/>
            <w:tcBorders>
              <w:top w:val="single" w:sz="6" w:space="0" w:color="auto"/>
              <w:left w:val="single" w:sz="6" w:space="0" w:color="auto"/>
              <w:bottom w:val="single" w:sz="6" w:space="0" w:color="auto"/>
              <w:right w:val="single" w:sz="6" w:space="0" w:color="auto"/>
            </w:tcBorders>
          </w:tcPr>
          <w:p w14:paraId="45F79295"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123304-10-9</w:t>
            </w:r>
          </w:p>
        </w:tc>
      </w:tr>
      <w:tr w:rsidR="00A74CDF" w:rsidRPr="00F01347" w14:paraId="16E03FF6" w14:textId="77777777">
        <w:trPr>
          <w:trHeight w:val="144"/>
        </w:trPr>
        <w:tc>
          <w:tcPr>
            <w:tcW w:w="3888" w:type="dxa"/>
            <w:tcBorders>
              <w:top w:val="single" w:sz="6" w:space="0" w:color="auto"/>
              <w:left w:val="single" w:sz="6" w:space="0" w:color="auto"/>
              <w:bottom w:val="single" w:sz="6" w:space="0" w:color="auto"/>
              <w:right w:val="single" w:sz="6" w:space="0" w:color="auto"/>
            </w:tcBorders>
          </w:tcPr>
          <w:p w14:paraId="51DBED66" w14:textId="77777777" w:rsidR="00A74CDF" w:rsidRPr="00F01347" w:rsidRDefault="00A74CDF" w:rsidP="003A601B">
            <w:pPr>
              <w:pStyle w:val="texto0"/>
              <w:ind w:firstLine="0"/>
              <w:jc w:val="center"/>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-RR (MC-RR)</w:t>
            </w:r>
          </w:p>
        </w:tc>
        <w:tc>
          <w:tcPr>
            <w:tcW w:w="2880" w:type="dxa"/>
            <w:tcBorders>
              <w:top w:val="single" w:sz="6" w:space="0" w:color="auto"/>
              <w:left w:val="single" w:sz="6" w:space="0" w:color="auto"/>
              <w:bottom w:val="single" w:sz="6" w:space="0" w:color="auto"/>
              <w:right w:val="single" w:sz="6" w:space="0" w:color="auto"/>
            </w:tcBorders>
          </w:tcPr>
          <w:p w14:paraId="7D2F33B9"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111755-37-4</w:t>
            </w:r>
          </w:p>
        </w:tc>
      </w:tr>
      <w:tr w:rsidR="00A74CDF" w:rsidRPr="00F01347" w14:paraId="57E80E53" w14:textId="77777777">
        <w:trPr>
          <w:trHeight w:val="144"/>
        </w:trPr>
        <w:tc>
          <w:tcPr>
            <w:tcW w:w="3888" w:type="dxa"/>
            <w:tcBorders>
              <w:top w:val="single" w:sz="6" w:space="0" w:color="auto"/>
              <w:left w:val="single" w:sz="6" w:space="0" w:color="auto"/>
              <w:bottom w:val="single" w:sz="6" w:space="0" w:color="auto"/>
              <w:right w:val="single" w:sz="6" w:space="0" w:color="auto"/>
            </w:tcBorders>
          </w:tcPr>
          <w:p w14:paraId="34028EAB" w14:textId="77777777" w:rsidR="00A74CDF" w:rsidRPr="00F01347" w:rsidRDefault="00A74CDF" w:rsidP="003A601B">
            <w:pPr>
              <w:pStyle w:val="texto0"/>
              <w:ind w:firstLine="0"/>
              <w:jc w:val="center"/>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-YR (MC-YR)</w:t>
            </w:r>
          </w:p>
        </w:tc>
        <w:tc>
          <w:tcPr>
            <w:tcW w:w="2880" w:type="dxa"/>
            <w:tcBorders>
              <w:top w:val="single" w:sz="6" w:space="0" w:color="auto"/>
              <w:left w:val="single" w:sz="6" w:space="0" w:color="auto"/>
              <w:bottom w:val="single" w:sz="6" w:space="0" w:color="auto"/>
              <w:right w:val="single" w:sz="6" w:space="0" w:color="auto"/>
            </w:tcBorders>
          </w:tcPr>
          <w:p w14:paraId="612808D7"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101064-48-6</w:t>
            </w:r>
          </w:p>
        </w:tc>
      </w:tr>
      <w:tr w:rsidR="00A74CDF" w:rsidRPr="00F01347" w14:paraId="2485648E" w14:textId="77777777">
        <w:trPr>
          <w:trHeight w:val="144"/>
        </w:trPr>
        <w:tc>
          <w:tcPr>
            <w:tcW w:w="3888" w:type="dxa"/>
            <w:tcBorders>
              <w:top w:val="single" w:sz="6" w:space="0" w:color="auto"/>
              <w:left w:val="single" w:sz="6" w:space="0" w:color="auto"/>
              <w:bottom w:val="single" w:sz="6" w:space="0" w:color="auto"/>
              <w:right w:val="single" w:sz="6" w:space="0" w:color="auto"/>
            </w:tcBorders>
          </w:tcPr>
          <w:p w14:paraId="7C7A6768" w14:textId="77777777" w:rsidR="00A74CDF" w:rsidRPr="00F01347" w:rsidRDefault="00A74CDF" w:rsidP="003A601B">
            <w:pPr>
              <w:pStyle w:val="texto0"/>
              <w:ind w:firstLine="0"/>
              <w:jc w:val="center"/>
              <w:rPr>
                <w:rFonts w:ascii="Verdana" w:hAnsi="Verdana"/>
                <w:sz w:val="16"/>
                <w:szCs w:val="16"/>
              </w:rPr>
            </w:pPr>
            <w:proofErr w:type="spellStart"/>
            <w:r w:rsidRPr="00F01347">
              <w:rPr>
                <w:rFonts w:ascii="Verdana" w:hAnsi="Verdana"/>
                <w:sz w:val="16"/>
                <w:szCs w:val="16"/>
              </w:rPr>
              <w:t>Nodularina</w:t>
            </w:r>
            <w:proofErr w:type="spellEnd"/>
            <w:r w:rsidRPr="00F01347">
              <w:rPr>
                <w:rFonts w:ascii="Verdana" w:hAnsi="Verdana"/>
                <w:sz w:val="16"/>
                <w:szCs w:val="16"/>
              </w:rPr>
              <w:t>-R (NOD-R)</w:t>
            </w:r>
          </w:p>
        </w:tc>
        <w:tc>
          <w:tcPr>
            <w:tcW w:w="2880" w:type="dxa"/>
            <w:tcBorders>
              <w:top w:val="single" w:sz="6" w:space="0" w:color="auto"/>
              <w:left w:val="single" w:sz="6" w:space="0" w:color="auto"/>
              <w:bottom w:val="single" w:sz="6" w:space="0" w:color="auto"/>
              <w:right w:val="single" w:sz="6" w:space="0" w:color="auto"/>
            </w:tcBorders>
          </w:tcPr>
          <w:p w14:paraId="7EDDF823"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118399-22-7</w:t>
            </w:r>
          </w:p>
        </w:tc>
      </w:tr>
    </w:tbl>
    <w:p w14:paraId="2C6F6F95" w14:textId="77777777" w:rsidR="00A74CDF" w:rsidRPr="00F01347" w:rsidRDefault="00A74CDF" w:rsidP="003A601B">
      <w:pPr>
        <w:pStyle w:val="texto0"/>
        <w:rPr>
          <w:rFonts w:ascii="Verdana" w:hAnsi="Verdana"/>
          <w:sz w:val="16"/>
          <w:szCs w:val="16"/>
        </w:rPr>
      </w:pPr>
    </w:p>
    <w:p w14:paraId="6F3826BF" w14:textId="77777777" w:rsidR="008F7887" w:rsidRPr="00F01347" w:rsidRDefault="008F7887" w:rsidP="008F7887">
      <w:pPr>
        <w:pStyle w:val="texto0"/>
        <w:ind w:firstLine="0"/>
        <w:jc w:val="center"/>
        <w:rPr>
          <w:rFonts w:ascii="Verdana" w:hAnsi="Verdana"/>
          <w:sz w:val="16"/>
          <w:szCs w:val="16"/>
          <w:lang w:val="en"/>
        </w:rPr>
      </w:pPr>
      <w:r w:rsidRPr="00F01347">
        <w:rPr>
          <w:rFonts w:ascii="Verdana" w:hAnsi="Verdana"/>
          <w:b/>
          <w:sz w:val="16"/>
          <w:szCs w:val="16"/>
          <w:lang w:val="en-US"/>
        </w:rPr>
        <w:t xml:space="preserve">Table B.1.2-1. </w:t>
      </w:r>
      <w:r w:rsidRPr="00F01347">
        <w:rPr>
          <w:rFonts w:ascii="Verdana" w:hAnsi="Verdana"/>
          <w:sz w:val="16"/>
          <w:szCs w:val="16"/>
          <w:lang w:val="en-US"/>
        </w:rPr>
        <w:t xml:space="preserve">Analytes that can be determined by this </w:t>
      </w:r>
      <w:proofErr w:type="gramStart"/>
      <w:r w:rsidRPr="00F01347">
        <w:rPr>
          <w:rFonts w:ascii="Verdana" w:hAnsi="Verdana"/>
          <w:sz w:val="16"/>
          <w:szCs w:val="16"/>
          <w:lang w:val="en-US"/>
        </w:rPr>
        <w:t>method</w:t>
      </w:r>
      <w:proofErr w:type="gramEnd"/>
    </w:p>
    <w:tbl>
      <w:tblPr>
        <w:tblW w:w="6765" w:type="dxa"/>
        <w:tblInd w:w="1152" w:type="dxa"/>
        <w:tblLayout w:type="fixed"/>
        <w:tblCellMar>
          <w:left w:w="72" w:type="dxa"/>
          <w:right w:w="72" w:type="dxa"/>
        </w:tblCellMar>
        <w:tblLook w:val="04A0" w:firstRow="1" w:lastRow="0" w:firstColumn="1" w:lastColumn="0" w:noHBand="0" w:noVBand="1"/>
      </w:tblPr>
      <w:tblGrid>
        <w:gridCol w:w="3886"/>
        <w:gridCol w:w="2879"/>
      </w:tblGrid>
      <w:tr w:rsidR="008F7887" w:rsidRPr="00F01347" w14:paraId="221175BA" w14:textId="77777777" w:rsidTr="008F7887">
        <w:trPr>
          <w:trHeight w:val="144"/>
        </w:trPr>
        <w:tc>
          <w:tcPr>
            <w:tcW w:w="3888" w:type="dxa"/>
            <w:tcBorders>
              <w:top w:val="single" w:sz="6" w:space="0" w:color="auto"/>
              <w:left w:val="single" w:sz="6" w:space="0" w:color="auto"/>
              <w:bottom w:val="single" w:sz="6" w:space="0" w:color="auto"/>
              <w:right w:val="single" w:sz="6" w:space="0" w:color="auto"/>
            </w:tcBorders>
            <w:noWrap/>
            <w:hideMark/>
          </w:tcPr>
          <w:p w14:paraId="58335084" w14:textId="77777777" w:rsidR="008F7887" w:rsidRPr="00F01347" w:rsidRDefault="008F7887">
            <w:pPr>
              <w:pStyle w:val="texto0"/>
              <w:ind w:firstLine="0"/>
              <w:jc w:val="center"/>
              <w:rPr>
                <w:rFonts w:ascii="Verdana" w:hAnsi="Verdana"/>
                <w:b/>
                <w:sz w:val="16"/>
                <w:szCs w:val="16"/>
                <w:lang w:val="en-US"/>
              </w:rPr>
            </w:pPr>
            <w:r w:rsidRPr="00F01347">
              <w:rPr>
                <w:rFonts w:ascii="Verdana" w:hAnsi="Verdana"/>
                <w:b/>
                <w:sz w:val="16"/>
                <w:szCs w:val="16"/>
                <w:lang w:val="en-US"/>
              </w:rPr>
              <w:t>Analyte</w:t>
            </w:r>
          </w:p>
        </w:tc>
        <w:tc>
          <w:tcPr>
            <w:tcW w:w="2880" w:type="dxa"/>
            <w:tcBorders>
              <w:top w:val="single" w:sz="6" w:space="0" w:color="auto"/>
              <w:left w:val="single" w:sz="6" w:space="0" w:color="auto"/>
              <w:bottom w:val="single" w:sz="6" w:space="0" w:color="auto"/>
              <w:right w:val="single" w:sz="6" w:space="0" w:color="auto"/>
            </w:tcBorders>
            <w:hideMark/>
          </w:tcPr>
          <w:p w14:paraId="43A4BDC8" w14:textId="77777777" w:rsidR="008F7887" w:rsidRPr="00F01347" w:rsidRDefault="008F7887">
            <w:pPr>
              <w:pStyle w:val="texto0"/>
              <w:ind w:firstLine="0"/>
              <w:jc w:val="center"/>
              <w:rPr>
                <w:rFonts w:ascii="Verdana" w:hAnsi="Verdana"/>
                <w:b/>
                <w:sz w:val="16"/>
                <w:szCs w:val="16"/>
                <w:lang w:val="en-US"/>
              </w:rPr>
            </w:pPr>
            <w:r w:rsidRPr="00F01347">
              <w:rPr>
                <w:rFonts w:ascii="Verdana" w:hAnsi="Verdana"/>
                <w:b/>
                <w:sz w:val="16"/>
                <w:szCs w:val="16"/>
                <w:lang w:val="en-US"/>
              </w:rPr>
              <w:t>CAS number</w:t>
            </w:r>
          </w:p>
        </w:tc>
      </w:tr>
      <w:tr w:rsidR="008F7887" w:rsidRPr="00F01347" w14:paraId="68B8BD77" w14:textId="77777777" w:rsidTr="008F7887">
        <w:trPr>
          <w:trHeight w:val="144"/>
        </w:trPr>
        <w:tc>
          <w:tcPr>
            <w:tcW w:w="3888" w:type="dxa"/>
            <w:tcBorders>
              <w:top w:val="single" w:sz="6" w:space="0" w:color="auto"/>
              <w:left w:val="single" w:sz="6" w:space="0" w:color="auto"/>
              <w:bottom w:val="single" w:sz="6" w:space="0" w:color="auto"/>
              <w:right w:val="single" w:sz="6" w:space="0" w:color="auto"/>
            </w:tcBorders>
            <w:hideMark/>
          </w:tcPr>
          <w:p w14:paraId="12DE32C5"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Microcystin -La (MC-LA)</w:t>
            </w:r>
          </w:p>
        </w:tc>
        <w:tc>
          <w:tcPr>
            <w:tcW w:w="2880" w:type="dxa"/>
            <w:tcBorders>
              <w:top w:val="single" w:sz="6" w:space="0" w:color="auto"/>
              <w:left w:val="single" w:sz="6" w:space="0" w:color="auto"/>
              <w:bottom w:val="single" w:sz="6" w:space="0" w:color="auto"/>
              <w:right w:val="single" w:sz="6" w:space="0" w:color="auto"/>
            </w:tcBorders>
            <w:hideMark/>
          </w:tcPr>
          <w:p w14:paraId="714E6D01"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96180-79-9</w:t>
            </w:r>
          </w:p>
        </w:tc>
      </w:tr>
      <w:tr w:rsidR="008F7887" w:rsidRPr="00F01347" w14:paraId="79E2E5A4" w14:textId="77777777" w:rsidTr="008F7887">
        <w:trPr>
          <w:trHeight w:val="144"/>
        </w:trPr>
        <w:tc>
          <w:tcPr>
            <w:tcW w:w="3888" w:type="dxa"/>
            <w:tcBorders>
              <w:top w:val="single" w:sz="6" w:space="0" w:color="auto"/>
              <w:left w:val="single" w:sz="6" w:space="0" w:color="auto"/>
              <w:bottom w:val="single" w:sz="6" w:space="0" w:color="auto"/>
              <w:right w:val="single" w:sz="6" w:space="0" w:color="auto"/>
            </w:tcBorders>
            <w:hideMark/>
          </w:tcPr>
          <w:p w14:paraId="1249730C"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Microcystin -LFA (MC-LF)</w:t>
            </w:r>
          </w:p>
        </w:tc>
        <w:tc>
          <w:tcPr>
            <w:tcW w:w="2880" w:type="dxa"/>
            <w:tcBorders>
              <w:top w:val="single" w:sz="6" w:space="0" w:color="auto"/>
              <w:left w:val="single" w:sz="6" w:space="0" w:color="auto"/>
              <w:bottom w:val="single" w:sz="6" w:space="0" w:color="auto"/>
              <w:right w:val="single" w:sz="6" w:space="0" w:color="auto"/>
            </w:tcBorders>
            <w:hideMark/>
          </w:tcPr>
          <w:p w14:paraId="26CF4DA8"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154037-70-4</w:t>
            </w:r>
          </w:p>
        </w:tc>
      </w:tr>
      <w:tr w:rsidR="008F7887" w:rsidRPr="00F01347" w14:paraId="65F9CBFC" w14:textId="77777777" w:rsidTr="008F7887">
        <w:trPr>
          <w:trHeight w:val="144"/>
        </w:trPr>
        <w:tc>
          <w:tcPr>
            <w:tcW w:w="3888" w:type="dxa"/>
            <w:tcBorders>
              <w:top w:val="single" w:sz="6" w:space="0" w:color="auto"/>
              <w:left w:val="single" w:sz="6" w:space="0" w:color="auto"/>
              <w:bottom w:val="single" w:sz="6" w:space="0" w:color="auto"/>
              <w:right w:val="single" w:sz="6" w:space="0" w:color="auto"/>
            </w:tcBorders>
            <w:hideMark/>
          </w:tcPr>
          <w:p w14:paraId="1090CCF3"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Microcystin -LR (MC-LR)</w:t>
            </w:r>
          </w:p>
        </w:tc>
        <w:tc>
          <w:tcPr>
            <w:tcW w:w="2880" w:type="dxa"/>
            <w:tcBorders>
              <w:top w:val="single" w:sz="6" w:space="0" w:color="auto"/>
              <w:left w:val="single" w:sz="6" w:space="0" w:color="auto"/>
              <w:bottom w:val="single" w:sz="6" w:space="0" w:color="auto"/>
              <w:right w:val="single" w:sz="6" w:space="0" w:color="auto"/>
            </w:tcBorders>
            <w:hideMark/>
          </w:tcPr>
          <w:p w14:paraId="1E13503C"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101043-37-2</w:t>
            </w:r>
          </w:p>
        </w:tc>
      </w:tr>
      <w:tr w:rsidR="008F7887" w:rsidRPr="00F01347" w14:paraId="5F5F7EF6" w14:textId="77777777" w:rsidTr="008F7887">
        <w:trPr>
          <w:trHeight w:val="144"/>
        </w:trPr>
        <w:tc>
          <w:tcPr>
            <w:tcW w:w="3888" w:type="dxa"/>
            <w:tcBorders>
              <w:top w:val="single" w:sz="6" w:space="0" w:color="auto"/>
              <w:left w:val="single" w:sz="6" w:space="0" w:color="auto"/>
              <w:bottom w:val="single" w:sz="6" w:space="0" w:color="auto"/>
              <w:right w:val="single" w:sz="6" w:space="0" w:color="auto"/>
            </w:tcBorders>
            <w:hideMark/>
          </w:tcPr>
          <w:p w14:paraId="3B13799C"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Microcystin -LY (MC-LY)</w:t>
            </w:r>
          </w:p>
        </w:tc>
        <w:tc>
          <w:tcPr>
            <w:tcW w:w="2880" w:type="dxa"/>
            <w:tcBorders>
              <w:top w:val="single" w:sz="6" w:space="0" w:color="auto"/>
              <w:left w:val="single" w:sz="6" w:space="0" w:color="auto"/>
              <w:bottom w:val="single" w:sz="6" w:space="0" w:color="auto"/>
              <w:right w:val="single" w:sz="6" w:space="0" w:color="auto"/>
            </w:tcBorders>
            <w:hideMark/>
          </w:tcPr>
          <w:p w14:paraId="752D2132"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123304-10-9</w:t>
            </w:r>
          </w:p>
        </w:tc>
      </w:tr>
      <w:tr w:rsidR="008F7887" w:rsidRPr="00F01347" w14:paraId="6E7B8835" w14:textId="77777777" w:rsidTr="008F7887">
        <w:trPr>
          <w:trHeight w:val="144"/>
        </w:trPr>
        <w:tc>
          <w:tcPr>
            <w:tcW w:w="3888" w:type="dxa"/>
            <w:tcBorders>
              <w:top w:val="single" w:sz="6" w:space="0" w:color="auto"/>
              <w:left w:val="single" w:sz="6" w:space="0" w:color="auto"/>
              <w:bottom w:val="single" w:sz="6" w:space="0" w:color="auto"/>
              <w:right w:val="single" w:sz="6" w:space="0" w:color="auto"/>
            </w:tcBorders>
            <w:hideMark/>
          </w:tcPr>
          <w:p w14:paraId="6D9690AF"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Microcystin -RR (MC-RR)</w:t>
            </w:r>
          </w:p>
        </w:tc>
        <w:tc>
          <w:tcPr>
            <w:tcW w:w="2880" w:type="dxa"/>
            <w:tcBorders>
              <w:top w:val="single" w:sz="6" w:space="0" w:color="auto"/>
              <w:left w:val="single" w:sz="6" w:space="0" w:color="auto"/>
              <w:bottom w:val="single" w:sz="6" w:space="0" w:color="auto"/>
              <w:right w:val="single" w:sz="6" w:space="0" w:color="auto"/>
            </w:tcBorders>
            <w:hideMark/>
          </w:tcPr>
          <w:p w14:paraId="44398A4D"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111755-37-4</w:t>
            </w:r>
          </w:p>
        </w:tc>
      </w:tr>
      <w:tr w:rsidR="008F7887" w:rsidRPr="00F01347" w14:paraId="73211EE4" w14:textId="77777777" w:rsidTr="008F7887">
        <w:trPr>
          <w:trHeight w:val="144"/>
        </w:trPr>
        <w:tc>
          <w:tcPr>
            <w:tcW w:w="3888" w:type="dxa"/>
            <w:tcBorders>
              <w:top w:val="single" w:sz="6" w:space="0" w:color="auto"/>
              <w:left w:val="single" w:sz="6" w:space="0" w:color="auto"/>
              <w:bottom w:val="single" w:sz="6" w:space="0" w:color="auto"/>
              <w:right w:val="single" w:sz="6" w:space="0" w:color="auto"/>
            </w:tcBorders>
            <w:hideMark/>
          </w:tcPr>
          <w:p w14:paraId="14254A19"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Microcystin -YR (MC-YR)</w:t>
            </w:r>
          </w:p>
        </w:tc>
        <w:tc>
          <w:tcPr>
            <w:tcW w:w="2880" w:type="dxa"/>
            <w:tcBorders>
              <w:top w:val="single" w:sz="6" w:space="0" w:color="auto"/>
              <w:left w:val="single" w:sz="6" w:space="0" w:color="auto"/>
              <w:bottom w:val="single" w:sz="6" w:space="0" w:color="auto"/>
              <w:right w:val="single" w:sz="6" w:space="0" w:color="auto"/>
            </w:tcBorders>
            <w:hideMark/>
          </w:tcPr>
          <w:p w14:paraId="759869D6"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101064-48-6</w:t>
            </w:r>
          </w:p>
        </w:tc>
      </w:tr>
      <w:tr w:rsidR="008F7887" w:rsidRPr="00F01347" w14:paraId="641580E4" w14:textId="77777777" w:rsidTr="008F7887">
        <w:trPr>
          <w:trHeight w:val="144"/>
        </w:trPr>
        <w:tc>
          <w:tcPr>
            <w:tcW w:w="3888" w:type="dxa"/>
            <w:tcBorders>
              <w:top w:val="single" w:sz="6" w:space="0" w:color="auto"/>
              <w:left w:val="single" w:sz="6" w:space="0" w:color="auto"/>
              <w:bottom w:val="single" w:sz="6" w:space="0" w:color="auto"/>
              <w:right w:val="single" w:sz="6" w:space="0" w:color="auto"/>
            </w:tcBorders>
            <w:hideMark/>
          </w:tcPr>
          <w:p w14:paraId="58AAFD40"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Nodularin -R (NOD-R)</w:t>
            </w:r>
          </w:p>
        </w:tc>
        <w:tc>
          <w:tcPr>
            <w:tcW w:w="2880" w:type="dxa"/>
            <w:tcBorders>
              <w:top w:val="single" w:sz="6" w:space="0" w:color="auto"/>
              <w:left w:val="single" w:sz="6" w:space="0" w:color="auto"/>
              <w:bottom w:val="single" w:sz="6" w:space="0" w:color="auto"/>
              <w:right w:val="single" w:sz="6" w:space="0" w:color="auto"/>
            </w:tcBorders>
            <w:hideMark/>
          </w:tcPr>
          <w:p w14:paraId="32C253CC" w14:textId="77777777" w:rsidR="008F7887" w:rsidRPr="00F01347" w:rsidRDefault="008F7887">
            <w:pPr>
              <w:pStyle w:val="texto0"/>
              <w:ind w:firstLine="0"/>
              <w:jc w:val="center"/>
              <w:rPr>
                <w:rFonts w:ascii="Verdana" w:hAnsi="Verdana"/>
                <w:sz w:val="16"/>
                <w:szCs w:val="16"/>
                <w:lang w:val="en-US"/>
              </w:rPr>
            </w:pPr>
            <w:r w:rsidRPr="00F01347">
              <w:rPr>
                <w:rFonts w:ascii="Verdana" w:hAnsi="Verdana"/>
                <w:sz w:val="16"/>
                <w:szCs w:val="16"/>
                <w:lang w:val="en-US"/>
              </w:rPr>
              <w:t>118399-22-7</w:t>
            </w:r>
          </w:p>
        </w:tc>
      </w:tr>
    </w:tbl>
    <w:p w14:paraId="27FE851E" w14:textId="77777777" w:rsidR="008F7887" w:rsidRPr="00F01347" w:rsidRDefault="008F7887" w:rsidP="008F7887">
      <w:pPr>
        <w:pStyle w:val="texto0"/>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F7887" w:rsidRPr="00F01347" w14:paraId="29F8EF07" w14:textId="38B590CA" w:rsidTr="0073456B">
        <w:tc>
          <w:tcPr>
            <w:tcW w:w="4675" w:type="dxa"/>
          </w:tcPr>
          <w:p w14:paraId="30723F73" w14:textId="20F2F7D9" w:rsidR="008F7887" w:rsidRPr="00F01347" w:rsidRDefault="008F7887" w:rsidP="008F7887">
            <w:pPr>
              <w:pStyle w:val="texto0"/>
              <w:ind w:firstLine="0"/>
              <w:rPr>
                <w:rFonts w:ascii="Verdana" w:hAnsi="Verdana"/>
                <w:color w:val="000000"/>
                <w:sz w:val="16"/>
                <w:szCs w:val="16"/>
              </w:rPr>
            </w:pPr>
            <w:r w:rsidRPr="00F01347">
              <w:rPr>
                <w:rFonts w:ascii="Verdana" w:hAnsi="Verdana"/>
                <w:color w:val="000000"/>
                <w:sz w:val="16"/>
                <w:szCs w:val="16"/>
              </w:rPr>
              <w:lastRenderedPageBreak/>
              <w:t>Este método debe de ser utilizado por analistas expertos en extracciones en fa</w:t>
            </w:r>
            <w:r w:rsidR="00CB209C" w:rsidRPr="00F01347">
              <w:rPr>
                <w:rFonts w:ascii="Verdana" w:hAnsi="Verdana"/>
                <w:color w:val="000000"/>
                <w:sz w:val="16"/>
                <w:szCs w:val="16"/>
              </w:rPr>
              <w:t xml:space="preserve">                                                                                                                                                                </w:t>
            </w:r>
            <w:r w:rsidRPr="00F01347">
              <w:rPr>
                <w:rFonts w:ascii="Verdana" w:hAnsi="Verdana"/>
                <w:color w:val="000000"/>
                <w:sz w:val="16"/>
                <w:szCs w:val="16"/>
              </w:rPr>
              <w:t>se sólida, funcionamiento de los instrumentos de LC/MS/MS y la interpretación de los datos asociados.</w:t>
            </w:r>
          </w:p>
        </w:tc>
        <w:tc>
          <w:tcPr>
            <w:tcW w:w="4675" w:type="dxa"/>
          </w:tcPr>
          <w:p w14:paraId="28806C14" w14:textId="4D11BC0F" w:rsidR="008F7887" w:rsidRPr="00F01347" w:rsidRDefault="008F7887" w:rsidP="008F7887">
            <w:pPr>
              <w:pStyle w:val="texto0"/>
              <w:ind w:firstLine="0"/>
              <w:rPr>
                <w:rFonts w:ascii="Verdana" w:hAnsi="Verdana"/>
                <w:color w:val="000000"/>
                <w:sz w:val="16"/>
                <w:szCs w:val="16"/>
                <w:lang w:val="en-US"/>
              </w:rPr>
            </w:pPr>
            <w:r w:rsidRPr="00F01347">
              <w:rPr>
                <w:rFonts w:ascii="Verdana" w:hAnsi="Verdana"/>
                <w:color w:val="000000"/>
                <w:sz w:val="16"/>
                <w:szCs w:val="16"/>
                <w:lang w:val="en-US"/>
              </w:rPr>
              <w:t xml:space="preserve">This method should be used by </w:t>
            </w:r>
            <w:r w:rsidR="0073456B" w:rsidRPr="00F01347">
              <w:rPr>
                <w:rFonts w:ascii="Verdana" w:hAnsi="Verdana"/>
                <w:color w:val="000000"/>
                <w:sz w:val="16"/>
                <w:szCs w:val="16"/>
                <w:lang w:val="en-US"/>
              </w:rPr>
              <w:t xml:space="preserve">expert </w:t>
            </w:r>
            <w:r w:rsidRPr="00F01347">
              <w:rPr>
                <w:rFonts w:ascii="Verdana" w:hAnsi="Verdana"/>
                <w:color w:val="000000"/>
                <w:sz w:val="16"/>
                <w:szCs w:val="16"/>
                <w:lang w:val="en-US"/>
              </w:rPr>
              <w:t>analysts in solid phase extractions, operation of LC/MS/MS instruments, and interpretation of associated data.</w:t>
            </w:r>
            <w:r w:rsidR="0073456B" w:rsidRPr="00F01347">
              <w:rPr>
                <w:rFonts w:ascii="Verdana" w:hAnsi="Verdana"/>
                <w:color w:val="000000"/>
                <w:sz w:val="16"/>
                <w:szCs w:val="16"/>
                <w:lang w:val="en-US"/>
              </w:rPr>
              <w:t xml:space="preserve"> </w:t>
            </w:r>
          </w:p>
        </w:tc>
      </w:tr>
      <w:tr w:rsidR="008F7887" w:rsidRPr="00F01347" w14:paraId="0A8974ED" w14:textId="4509C732" w:rsidTr="0073456B">
        <w:tc>
          <w:tcPr>
            <w:tcW w:w="4675" w:type="dxa"/>
          </w:tcPr>
          <w:p w14:paraId="4DF6A7A0" w14:textId="77777777" w:rsidR="008F7887" w:rsidRPr="00F01347" w:rsidRDefault="008F7887" w:rsidP="008F7887">
            <w:pPr>
              <w:pStyle w:val="texto0"/>
              <w:spacing w:line="222" w:lineRule="exact"/>
              <w:ind w:firstLine="0"/>
              <w:rPr>
                <w:rFonts w:ascii="Verdana" w:hAnsi="Verdana"/>
                <w:color w:val="000000"/>
                <w:sz w:val="16"/>
                <w:szCs w:val="16"/>
              </w:rPr>
            </w:pPr>
            <w:r w:rsidRPr="00F01347">
              <w:rPr>
                <w:rFonts w:ascii="Verdana" w:hAnsi="Verdana"/>
                <w:color w:val="000000"/>
                <w:sz w:val="16"/>
                <w:szCs w:val="16"/>
              </w:rPr>
              <w:t xml:space="preserve">En reconocimiento de los avances tecnológicos en sistemas y técnicas analíticas, se permite al laboratorio modificar las técnicas de evaporación, separación, columna LC, composición de fase móvil, condiciones LC y condiciones MS y MS/MS. Sin embargo, no deben de realizarse cambios a la recolección y conservación de muestras, a las etapas de extracción de muestras, ni a los requisitos de control de calidad. Las modificaciones deben ser consideradas sólo para mejorar el rendimiento del método. Modificaciones que son introducidas con el interés de reducir el costo o el tiempo de procesamiento de la muestra, pero dar lugar a un método más pobre no deben utilizarse. Los analitos deben estar adecuadamente resueltos cromatográficamente para permitir que el espectrómetro de masas proporcione un número mínimo de compuestos </w:t>
            </w:r>
            <w:proofErr w:type="spellStart"/>
            <w:r w:rsidRPr="00F01347">
              <w:rPr>
                <w:rFonts w:ascii="Verdana" w:hAnsi="Verdana"/>
                <w:color w:val="000000"/>
                <w:sz w:val="16"/>
                <w:szCs w:val="16"/>
              </w:rPr>
              <w:t>eluyendo</w:t>
            </w:r>
            <w:proofErr w:type="spellEnd"/>
            <w:r w:rsidRPr="00F01347">
              <w:rPr>
                <w:rFonts w:ascii="Verdana" w:hAnsi="Verdana"/>
                <w:color w:val="000000"/>
                <w:sz w:val="16"/>
                <w:szCs w:val="16"/>
              </w:rPr>
              <w:t xml:space="preserve"> dentro de una ventana de tiempo de retención. La sensibilidad instrumental (señal de ruido) disminuirá si se permite que demasiados compuestos </w:t>
            </w:r>
            <w:proofErr w:type="spellStart"/>
            <w:r w:rsidRPr="00F01347">
              <w:rPr>
                <w:rFonts w:ascii="Verdana" w:hAnsi="Verdana"/>
                <w:color w:val="000000"/>
                <w:sz w:val="16"/>
                <w:szCs w:val="16"/>
              </w:rPr>
              <w:t>eluyan</w:t>
            </w:r>
            <w:proofErr w:type="spellEnd"/>
            <w:r w:rsidRPr="00F01347">
              <w:rPr>
                <w:rFonts w:ascii="Verdana" w:hAnsi="Verdana"/>
                <w:color w:val="000000"/>
                <w:sz w:val="16"/>
                <w:szCs w:val="16"/>
              </w:rPr>
              <w:t xml:space="preserve"> dentro de una ventana de tiempo de retención. En todos los casos en los que se proponen modificaciones de del método, el analista debe realizar los procedimientos descritos en la demostración inicial de capacidad (IDC), verificar que conoce todos los criterios de aceptación del control de calidad (QC) y que el rendimiento del método aceptable puede verificarse en una matriz de muestra real.</w:t>
            </w:r>
          </w:p>
        </w:tc>
        <w:tc>
          <w:tcPr>
            <w:tcW w:w="4675" w:type="dxa"/>
          </w:tcPr>
          <w:p w14:paraId="232BB5E3" w14:textId="7F7D02A8" w:rsidR="008F7887" w:rsidRPr="00F01347" w:rsidRDefault="008F7887" w:rsidP="008F7887">
            <w:pPr>
              <w:pStyle w:val="texto0"/>
              <w:spacing w:line="222"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In recognition of technological advances in analytical systems and techniques, the laboratory is permitted to modify evaporation, separation, LC column, mobile phase composition, LC conditions, and MS and MS/MS conditions. However, no changes should be made to sample collection and preservation, sample extraction steps, or quality control requirements. Modifications should be considered only to improve the performance of the method. Modifications that are introduced in the interest of reducing cost or sample processing time but resulting in a poorer method should not be used. </w:t>
            </w:r>
            <w:r w:rsidR="00CB209C" w:rsidRPr="00F01347">
              <w:rPr>
                <w:rFonts w:ascii="Verdana" w:hAnsi="Verdana"/>
                <w:color w:val="000000"/>
                <w:sz w:val="16"/>
                <w:szCs w:val="16"/>
                <w:lang w:val="en-US"/>
              </w:rPr>
              <w:t>The a</w:t>
            </w:r>
            <w:r w:rsidRPr="00F01347">
              <w:rPr>
                <w:rFonts w:ascii="Verdana" w:hAnsi="Verdana"/>
                <w:color w:val="000000"/>
                <w:sz w:val="16"/>
                <w:szCs w:val="16"/>
                <w:lang w:val="en-US"/>
              </w:rPr>
              <w:t>nalytes must be adequately resolved chromatographically to allow the mass spectrometer to provide a minimum number of compounds eluting within a retention time window. Instrumental sensitivity (noise signal) will decrease if too many compounds are allowed to elute within a retention time window. In all cases where method modifications are proposed, the analyst must perform the procedures described in the initial demonstration of capability (IDC), verify that he/she knows all the quality control (QC) acceptance criteria, and that the performance of the acceptable method can be verified on a real sample matrix.</w:t>
            </w:r>
          </w:p>
        </w:tc>
      </w:tr>
      <w:tr w:rsidR="008F7887" w:rsidRPr="00F01347" w14:paraId="72F32A75" w14:textId="425225B8" w:rsidTr="0073456B">
        <w:tc>
          <w:tcPr>
            <w:tcW w:w="4675" w:type="dxa"/>
          </w:tcPr>
          <w:p w14:paraId="56576CBB" w14:textId="77777777" w:rsidR="008F7887" w:rsidRPr="00F01347" w:rsidRDefault="008F7887" w:rsidP="008F7887">
            <w:pPr>
              <w:pStyle w:val="texto0"/>
              <w:spacing w:line="222" w:lineRule="exact"/>
              <w:ind w:firstLine="0"/>
              <w:rPr>
                <w:rFonts w:ascii="Verdana" w:hAnsi="Verdana"/>
                <w:b/>
                <w:sz w:val="16"/>
                <w:szCs w:val="16"/>
              </w:rPr>
            </w:pPr>
            <w:r w:rsidRPr="00F01347">
              <w:rPr>
                <w:rFonts w:ascii="Verdana" w:hAnsi="Verdana"/>
                <w:b/>
                <w:sz w:val="16"/>
                <w:szCs w:val="16"/>
              </w:rPr>
              <w:t>B.1.2.5</w:t>
            </w:r>
            <w:r w:rsidRPr="00F01347">
              <w:rPr>
                <w:rFonts w:ascii="Verdana" w:hAnsi="Verdana"/>
                <w:sz w:val="16"/>
                <w:szCs w:val="16"/>
              </w:rPr>
              <w:t xml:space="preserve"> </w:t>
            </w:r>
            <w:r w:rsidRPr="00F01347">
              <w:rPr>
                <w:rFonts w:ascii="Verdana" w:hAnsi="Verdana"/>
                <w:b/>
                <w:sz w:val="16"/>
                <w:szCs w:val="16"/>
              </w:rPr>
              <w:t>Equipos y materiales</w:t>
            </w:r>
          </w:p>
        </w:tc>
        <w:tc>
          <w:tcPr>
            <w:tcW w:w="4675" w:type="dxa"/>
          </w:tcPr>
          <w:p w14:paraId="647DCA80" w14:textId="02A8D4C0" w:rsidR="008F7887" w:rsidRPr="00F01347" w:rsidRDefault="008F7887" w:rsidP="008F7887">
            <w:pPr>
              <w:pStyle w:val="texto0"/>
              <w:spacing w:line="222" w:lineRule="exact"/>
              <w:ind w:firstLine="0"/>
              <w:rPr>
                <w:rFonts w:ascii="Verdana" w:hAnsi="Verdana"/>
                <w:b/>
                <w:sz w:val="16"/>
                <w:szCs w:val="16"/>
                <w:lang w:val="en-US"/>
              </w:rPr>
            </w:pPr>
            <w:r w:rsidRPr="00F01347">
              <w:rPr>
                <w:rFonts w:ascii="Verdana" w:hAnsi="Verdana"/>
                <w:b/>
                <w:sz w:val="16"/>
                <w:szCs w:val="16"/>
                <w:lang w:val="en-US"/>
              </w:rPr>
              <w:t>B.1.2.5</w:t>
            </w:r>
            <w:r w:rsidRPr="00F01347">
              <w:rPr>
                <w:rFonts w:ascii="Verdana" w:hAnsi="Verdana"/>
                <w:sz w:val="16"/>
                <w:szCs w:val="16"/>
                <w:lang w:val="en-US"/>
              </w:rPr>
              <w:t xml:space="preserve"> </w:t>
            </w:r>
            <w:r w:rsidRPr="00F01347">
              <w:rPr>
                <w:rFonts w:ascii="Verdana" w:hAnsi="Verdana"/>
                <w:b/>
                <w:sz w:val="16"/>
                <w:szCs w:val="16"/>
                <w:lang w:val="en-US"/>
              </w:rPr>
              <w:t>Equipment and materials</w:t>
            </w:r>
          </w:p>
        </w:tc>
      </w:tr>
      <w:tr w:rsidR="008F7887" w:rsidRPr="00F01347" w14:paraId="16D99C0F" w14:textId="40C0141C" w:rsidTr="0073456B">
        <w:tc>
          <w:tcPr>
            <w:tcW w:w="4675" w:type="dxa"/>
          </w:tcPr>
          <w:p w14:paraId="75B0B340" w14:textId="77777777" w:rsidR="008F7887" w:rsidRPr="00F01347" w:rsidRDefault="008F7887" w:rsidP="008F7887">
            <w:pPr>
              <w:pStyle w:val="texto0"/>
              <w:spacing w:line="222" w:lineRule="exact"/>
              <w:ind w:firstLine="0"/>
              <w:rPr>
                <w:rFonts w:ascii="Verdana" w:hAnsi="Verdana"/>
                <w:sz w:val="16"/>
                <w:szCs w:val="16"/>
              </w:rPr>
            </w:pPr>
            <w:r w:rsidRPr="00F01347">
              <w:rPr>
                <w:rFonts w:ascii="Verdana" w:hAnsi="Verdana"/>
                <w:sz w:val="16"/>
                <w:szCs w:val="16"/>
              </w:rPr>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Pr>
          <w:p w14:paraId="23D0551C" w14:textId="21F688D7" w:rsidR="008F7887" w:rsidRPr="00F01347" w:rsidRDefault="008F7887" w:rsidP="008F7887">
            <w:pPr>
              <w:pStyle w:val="texto0"/>
              <w:spacing w:line="222" w:lineRule="exact"/>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8F7887" w:rsidRPr="00F01347" w14:paraId="246F3D53" w14:textId="3E7F7173" w:rsidTr="0073456B">
        <w:tc>
          <w:tcPr>
            <w:tcW w:w="4675" w:type="dxa"/>
          </w:tcPr>
          <w:p w14:paraId="35449E07" w14:textId="77777777" w:rsidR="008F7887" w:rsidRPr="00F01347" w:rsidRDefault="008F7887" w:rsidP="008F7887">
            <w:pPr>
              <w:pStyle w:val="texto0"/>
              <w:spacing w:line="222" w:lineRule="exact"/>
              <w:ind w:firstLine="0"/>
              <w:rPr>
                <w:rFonts w:ascii="Verdana" w:hAnsi="Verdana"/>
                <w:sz w:val="16"/>
                <w:szCs w:val="16"/>
              </w:rPr>
            </w:pPr>
            <w:r w:rsidRPr="00F01347">
              <w:rPr>
                <w:rFonts w:ascii="Verdana" w:hAnsi="Verdana"/>
                <w:b/>
                <w:sz w:val="16"/>
                <w:szCs w:val="16"/>
              </w:rPr>
              <w:t>Abrazadera metálica.</w:t>
            </w:r>
            <w:r w:rsidRPr="00F01347">
              <w:rPr>
                <w:rFonts w:ascii="Verdana" w:hAnsi="Verdana"/>
                <w:sz w:val="16"/>
                <w:szCs w:val="16"/>
              </w:rPr>
              <w:t xml:space="preserve"> Abrazadera de aluminio de 47 mm (Kimble Chase #953753-0000 o equivalente).</w:t>
            </w:r>
          </w:p>
        </w:tc>
        <w:tc>
          <w:tcPr>
            <w:tcW w:w="4675" w:type="dxa"/>
          </w:tcPr>
          <w:p w14:paraId="3A300B3D" w14:textId="09EC77B4" w:rsidR="008F7887" w:rsidRPr="00F01347" w:rsidRDefault="008F7887" w:rsidP="008F7887">
            <w:pPr>
              <w:pStyle w:val="texto0"/>
              <w:spacing w:line="222" w:lineRule="exact"/>
              <w:ind w:firstLine="0"/>
              <w:rPr>
                <w:rFonts w:ascii="Verdana" w:hAnsi="Verdana"/>
                <w:b/>
                <w:sz w:val="16"/>
                <w:szCs w:val="16"/>
                <w:lang w:val="en-US"/>
              </w:rPr>
            </w:pPr>
            <w:r w:rsidRPr="00F01347">
              <w:rPr>
                <w:rFonts w:ascii="Verdana" w:hAnsi="Verdana"/>
                <w:b/>
                <w:sz w:val="16"/>
                <w:szCs w:val="16"/>
                <w:lang w:val="en-US"/>
              </w:rPr>
              <w:t xml:space="preserve">Metal clamp. </w:t>
            </w:r>
            <w:r w:rsidRPr="00F01347">
              <w:rPr>
                <w:rFonts w:ascii="Verdana" w:hAnsi="Verdana"/>
                <w:sz w:val="16"/>
                <w:szCs w:val="16"/>
                <w:lang w:val="en-US"/>
              </w:rPr>
              <w:t>47mm aluminum clamp (Kimble Chase #953753-0000 or equivalent).</w:t>
            </w:r>
          </w:p>
        </w:tc>
      </w:tr>
      <w:tr w:rsidR="008F7887" w:rsidRPr="00F01347" w14:paraId="6E70BBCB" w14:textId="7F61996B" w:rsidTr="0073456B">
        <w:tc>
          <w:tcPr>
            <w:tcW w:w="4675" w:type="dxa"/>
          </w:tcPr>
          <w:p w14:paraId="5A905744" w14:textId="77777777" w:rsidR="008F7887" w:rsidRPr="00F01347" w:rsidRDefault="008F7887" w:rsidP="008F7887">
            <w:pPr>
              <w:pStyle w:val="texto0"/>
              <w:spacing w:line="222" w:lineRule="exact"/>
              <w:ind w:firstLine="0"/>
              <w:rPr>
                <w:rFonts w:ascii="Verdana" w:hAnsi="Verdana"/>
                <w:sz w:val="16"/>
                <w:szCs w:val="16"/>
              </w:rPr>
            </w:pPr>
            <w:r w:rsidRPr="00F01347">
              <w:rPr>
                <w:rFonts w:ascii="Verdana" w:hAnsi="Verdana"/>
                <w:b/>
                <w:sz w:val="16"/>
                <w:szCs w:val="16"/>
              </w:rPr>
              <w:t>Balanza analítica.</w:t>
            </w:r>
            <w:r w:rsidRPr="00F01347">
              <w:rPr>
                <w:rFonts w:ascii="Verdana" w:hAnsi="Verdana"/>
                <w:sz w:val="16"/>
                <w:szCs w:val="16"/>
              </w:rPr>
              <w:t xml:space="preserve"> Balanza analítica capaz de pesar 0. 000 1 g</w:t>
            </w:r>
          </w:p>
        </w:tc>
        <w:tc>
          <w:tcPr>
            <w:tcW w:w="4675" w:type="dxa"/>
          </w:tcPr>
          <w:p w14:paraId="5E47A890" w14:textId="4FB8E578" w:rsidR="008F7887" w:rsidRPr="00F01347" w:rsidRDefault="008F7887" w:rsidP="008F7887">
            <w:pPr>
              <w:pStyle w:val="texto0"/>
              <w:spacing w:line="222" w:lineRule="exact"/>
              <w:ind w:firstLine="0"/>
              <w:rPr>
                <w:rFonts w:ascii="Verdana" w:hAnsi="Verdana"/>
                <w:b/>
                <w:sz w:val="16"/>
                <w:szCs w:val="16"/>
                <w:lang w:val="en-US"/>
              </w:rPr>
            </w:pPr>
            <w:r w:rsidRPr="00F01347">
              <w:rPr>
                <w:rFonts w:ascii="Verdana" w:hAnsi="Verdana"/>
                <w:b/>
                <w:sz w:val="16"/>
                <w:szCs w:val="16"/>
                <w:lang w:val="en-US"/>
              </w:rPr>
              <w:t xml:space="preserve">Analytical balance. </w:t>
            </w:r>
            <w:r w:rsidRPr="00F01347">
              <w:rPr>
                <w:rFonts w:ascii="Verdana" w:hAnsi="Verdana"/>
                <w:sz w:val="16"/>
                <w:szCs w:val="16"/>
                <w:lang w:val="en-US"/>
              </w:rPr>
              <w:t>Analytical balance capable of weighing 0. 000 1 g</w:t>
            </w:r>
          </w:p>
        </w:tc>
      </w:tr>
      <w:tr w:rsidR="008F7887" w:rsidRPr="00F01347" w14:paraId="5FE3FF9C" w14:textId="0ABD7067" w:rsidTr="0073456B">
        <w:tc>
          <w:tcPr>
            <w:tcW w:w="4675" w:type="dxa"/>
          </w:tcPr>
          <w:p w14:paraId="75E150C1" w14:textId="77777777" w:rsidR="008F7887" w:rsidRPr="00F01347" w:rsidRDefault="008F7887" w:rsidP="008F7887">
            <w:pPr>
              <w:pStyle w:val="texto0"/>
              <w:spacing w:line="222" w:lineRule="exact"/>
              <w:ind w:firstLine="0"/>
              <w:rPr>
                <w:rFonts w:ascii="Verdana" w:hAnsi="Verdana"/>
                <w:sz w:val="16"/>
                <w:szCs w:val="16"/>
              </w:rPr>
            </w:pPr>
            <w:r w:rsidRPr="00F01347">
              <w:rPr>
                <w:rFonts w:ascii="Verdana" w:hAnsi="Verdana"/>
                <w:b/>
                <w:sz w:val="16"/>
                <w:szCs w:val="16"/>
              </w:rPr>
              <w:t>Base de filtro O-ring.</w:t>
            </w:r>
            <w:r w:rsidRPr="00F01347">
              <w:rPr>
                <w:rFonts w:ascii="Verdana" w:hAnsi="Verdana"/>
                <w:sz w:val="16"/>
                <w:szCs w:val="16"/>
              </w:rPr>
              <w:t xml:space="preserve"> Anillo de sellado de PTFE /silicona (Kimble Chase # 410171-4226 o equivalente).</w:t>
            </w:r>
          </w:p>
        </w:tc>
        <w:tc>
          <w:tcPr>
            <w:tcW w:w="4675" w:type="dxa"/>
          </w:tcPr>
          <w:p w14:paraId="208DD8D1" w14:textId="03480576" w:rsidR="008F7887" w:rsidRPr="00F01347" w:rsidRDefault="008F7887" w:rsidP="008F7887">
            <w:pPr>
              <w:pStyle w:val="texto0"/>
              <w:spacing w:line="222" w:lineRule="exact"/>
              <w:ind w:firstLine="0"/>
              <w:rPr>
                <w:rFonts w:ascii="Verdana" w:hAnsi="Verdana"/>
                <w:b/>
                <w:sz w:val="16"/>
                <w:szCs w:val="16"/>
                <w:lang w:val="en-US"/>
              </w:rPr>
            </w:pPr>
            <w:r w:rsidRPr="00F01347">
              <w:rPr>
                <w:rFonts w:ascii="Verdana" w:hAnsi="Verdana"/>
                <w:b/>
                <w:sz w:val="16"/>
                <w:szCs w:val="16"/>
                <w:lang w:val="en-US"/>
              </w:rPr>
              <w:t xml:space="preserve">O-ring filter base. </w:t>
            </w:r>
            <w:r w:rsidRPr="00F01347">
              <w:rPr>
                <w:rFonts w:ascii="Verdana" w:hAnsi="Verdana"/>
                <w:sz w:val="16"/>
                <w:szCs w:val="16"/>
                <w:lang w:val="en-US"/>
              </w:rPr>
              <w:t>PTFE/silicone sealing ring (Kimble Chase # 410171-4226 or equivalent).</w:t>
            </w:r>
          </w:p>
        </w:tc>
      </w:tr>
      <w:tr w:rsidR="008F7887" w:rsidRPr="00F01347" w14:paraId="3AA98888" w14:textId="59010217" w:rsidTr="0073456B">
        <w:tc>
          <w:tcPr>
            <w:tcW w:w="4675" w:type="dxa"/>
          </w:tcPr>
          <w:p w14:paraId="48D1FB7B" w14:textId="77777777" w:rsidR="008F7887" w:rsidRPr="00F01347" w:rsidRDefault="008F7887" w:rsidP="008F7887">
            <w:pPr>
              <w:pStyle w:val="texto0"/>
              <w:spacing w:line="222" w:lineRule="exact"/>
              <w:ind w:firstLine="0"/>
              <w:rPr>
                <w:rFonts w:ascii="Verdana" w:hAnsi="Verdana"/>
                <w:sz w:val="16"/>
                <w:szCs w:val="16"/>
              </w:rPr>
            </w:pPr>
            <w:r w:rsidRPr="00F01347">
              <w:rPr>
                <w:rFonts w:ascii="Verdana" w:hAnsi="Verdana"/>
                <w:b/>
                <w:sz w:val="16"/>
                <w:szCs w:val="16"/>
              </w:rPr>
              <w:t>Base de soporte.</w:t>
            </w:r>
            <w:r w:rsidRPr="00F01347">
              <w:rPr>
                <w:rFonts w:ascii="Verdana" w:hAnsi="Verdana"/>
                <w:sz w:val="16"/>
                <w:szCs w:val="16"/>
              </w:rPr>
              <w:t xml:space="preserve"> Base de soporte para filtración de vidrio fritado de 47 mm (Kimble Chase # 953752-5047 o equivalente).</w:t>
            </w:r>
          </w:p>
        </w:tc>
        <w:tc>
          <w:tcPr>
            <w:tcW w:w="4675" w:type="dxa"/>
          </w:tcPr>
          <w:p w14:paraId="16BA14E2" w14:textId="7D0643AD" w:rsidR="008F7887" w:rsidRPr="00F01347" w:rsidRDefault="008F7887" w:rsidP="008F7887">
            <w:pPr>
              <w:pStyle w:val="texto0"/>
              <w:spacing w:line="222" w:lineRule="exact"/>
              <w:ind w:firstLine="0"/>
              <w:rPr>
                <w:rFonts w:ascii="Verdana" w:hAnsi="Verdana"/>
                <w:b/>
                <w:sz w:val="16"/>
                <w:szCs w:val="16"/>
                <w:lang w:val="en-US"/>
              </w:rPr>
            </w:pPr>
            <w:r w:rsidRPr="00F01347">
              <w:rPr>
                <w:rFonts w:ascii="Verdana" w:hAnsi="Verdana"/>
                <w:b/>
                <w:sz w:val="16"/>
                <w:szCs w:val="16"/>
                <w:lang w:val="en-US"/>
              </w:rPr>
              <w:t xml:space="preserve">Support base. </w:t>
            </w:r>
            <w:r w:rsidRPr="00F01347">
              <w:rPr>
                <w:rFonts w:ascii="Verdana" w:hAnsi="Verdana"/>
                <w:sz w:val="16"/>
                <w:szCs w:val="16"/>
                <w:lang w:val="en-US"/>
              </w:rPr>
              <w:t>47mm Frit Glass Filtration Support Base (Kimble Chase #953752-5047 or equivalent).</w:t>
            </w:r>
          </w:p>
        </w:tc>
      </w:tr>
      <w:tr w:rsidR="008F7887" w:rsidRPr="00F01347" w14:paraId="158B3845" w14:textId="1649D266" w:rsidTr="0073456B">
        <w:tc>
          <w:tcPr>
            <w:tcW w:w="4675" w:type="dxa"/>
          </w:tcPr>
          <w:p w14:paraId="14E7A3FF" w14:textId="77777777" w:rsidR="008F7887" w:rsidRPr="00F01347" w:rsidRDefault="008F7887" w:rsidP="008F7887">
            <w:pPr>
              <w:pStyle w:val="texto0"/>
              <w:spacing w:line="222" w:lineRule="exact"/>
              <w:ind w:firstLine="0"/>
              <w:rPr>
                <w:rFonts w:ascii="Verdana" w:hAnsi="Verdana"/>
                <w:sz w:val="16"/>
                <w:szCs w:val="16"/>
              </w:rPr>
            </w:pPr>
            <w:r w:rsidRPr="00F01347">
              <w:rPr>
                <w:rFonts w:ascii="Verdana" w:hAnsi="Verdana"/>
                <w:b/>
                <w:sz w:val="16"/>
                <w:szCs w:val="16"/>
              </w:rPr>
              <w:t xml:space="preserve">Boquilla para manguera. </w:t>
            </w:r>
            <w:r w:rsidRPr="00F01347">
              <w:rPr>
                <w:rFonts w:ascii="Verdana" w:hAnsi="Verdana"/>
                <w:sz w:val="16"/>
                <w:szCs w:val="16"/>
              </w:rPr>
              <w:t>Adaptador de tubo para aparatos de filtración (Kimble Chase #736400-1413 o equivalente).</w:t>
            </w:r>
          </w:p>
        </w:tc>
        <w:tc>
          <w:tcPr>
            <w:tcW w:w="4675" w:type="dxa"/>
          </w:tcPr>
          <w:p w14:paraId="29193FB7" w14:textId="745F2C72" w:rsidR="008F7887" w:rsidRPr="00F01347" w:rsidRDefault="008F7887" w:rsidP="008F7887">
            <w:pPr>
              <w:pStyle w:val="texto0"/>
              <w:spacing w:line="222" w:lineRule="exact"/>
              <w:ind w:firstLine="0"/>
              <w:rPr>
                <w:rFonts w:ascii="Verdana" w:hAnsi="Verdana"/>
                <w:b/>
                <w:sz w:val="16"/>
                <w:szCs w:val="16"/>
                <w:lang w:val="en-US"/>
              </w:rPr>
            </w:pPr>
            <w:r w:rsidRPr="00F01347">
              <w:rPr>
                <w:rFonts w:ascii="Verdana" w:hAnsi="Verdana"/>
                <w:b/>
                <w:sz w:val="16"/>
                <w:szCs w:val="16"/>
                <w:lang w:val="en-US"/>
              </w:rPr>
              <w:t xml:space="preserve">Hose nozzle. </w:t>
            </w:r>
            <w:r w:rsidRPr="00F01347">
              <w:rPr>
                <w:rFonts w:ascii="Verdana" w:hAnsi="Verdana"/>
                <w:sz w:val="16"/>
                <w:szCs w:val="16"/>
                <w:lang w:val="en-US"/>
              </w:rPr>
              <w:t>Tube adapter for filtration devices (Kimble Chase #736400-1413 or equivalent).</w:t>
            </w:r>
          </w:p>
        </w:tc>
      </w:tr>
      <w:tr w:rsidR="008F7887" w:rsidRPr="00F01347" w14:paraId="5824C5DB" w14:textId="38BD59CE" w:rsidTr="0073456B">
        <w:tc>
          <w:tcPr>
            <w:tcW w:w="4675" w:type="dxa"/>
          </w:tcPr>
          <w:p w14:paraId="18FA5F3F" w14:textId="77777777" w:rsidR="008F7887" w:rsidRPr="00F01347" w:rsidRDefault="008F7887" w:rsidP="008F7887">
            <w:pPr>
              <w:pStyle w:val="texto0"/>
              <w:spacing w:line="222" w:lineRule="exact"/>
              <w:ind w:firstLine="0"/>
              <w:rPr>
                <w:rFonts w:ascii="Verdana" w:hAnsi="Verdana"/>
                <w:sz w:val="16"/>
                <w:szCs w:val="16"/>
              </w:rPr>
            </w:pPr>
            <w:r w:rsidRPr="00F01347">
              <w:rPr>
                <w:rFonts w:ascii="Verdana" w:hAnsi="Verdana"/>
                <w:b/>
                <w:sz w:val="16"/>
                <w:szCs w:val="16"/>
              </w:rPr>
              <w:lastRenderedPageBreak/>
              <w:t>Cartuchos para dispositivo de SPE.</w:t>
            </w:r>
            <w:r w:rsidRPr="00F01347">
              <w:rPr>
                <w:rFonts w:ascii="Verdana" w:hAnsi="Verdana"/>
                <w:sz w:val="16"/>
                <w:szCs w:val="16"/>
              </w:rPr>
              <w:t xml:space="preserve"> Waters Oasis HLB, 150 mg, 6cc copolímero </w:t>
            </w:r>
            <w:proofErr w:type="spellStart"/>
            <w:r w:rsidRPr="00F01347">
              <w:rPr>
                <w:rFonts w:ascii="Verdana" w:hAnsi="Verdana"/>
                <w:sz w:val="16"/>
                <w:szCs w:val="16"/>
              </w:rPr>
              <w:t>divinilbenceno</w:t>
            </w:r>
            <w:proofErr w:type="spellEnd"/>
            <w:r w:rsidRPr="00F01347">
              <w:rPr>
                <w:rFonts w:ascii="Verdana" w:hAnsi="Verdana"/>
                <w:sz w:val="16"/>
                <w:szCs w:val="16"/>
              </w:rPr>
              <w:t xml:space="preserve"> N-</w:t>
            </w:r>
            <w:proofErr w:type="spellStart"/>
            <w:r w:rsidRPr="00F01347">
              <w:rPr>
                <w:rFonts w:ascii="Verdana" w:hAnsi="Verdana"/>
                <w:sz w:val="16"/>
                <w:szCs w:val="16"/>
              </w:rPr>
              <w:t>vinilpirrolidona</w:t>
            </w:r>
            <w:proofErr w:type="spellEnd"/>
            <w:r w:rsidRPr="00F01347">
              <w:rPr>
                <w:rFonts w:ascii="Verdana" w:hAnsi="Verdana"/>
                <w:sz w:val="16"/>
                <w:szCs w:val="16"/>
              </w:rPr>
              <w:t xml:space="preserve"> (Waters # 186003365).</w:t>
            </w:r>
          </w:p>
        </w:tc>
        <w:tc>
          <w:tcPr>
            <w:tcW w:w="4675" w:type="dxa"/>
          </w:tcPr>
          <w:p w14:paraId="532B0D26" w14:textId="02391837" w:rsidR="008F7887" w:rsidRPr="00F01347" w:rsidRDefault="008F7887" w:rsidP="008F7887">
            <w:pPr>
              <w:pStyle w:val="texto0"/>
              <w:spacing w:line="222" w:lineRule="exact"/>
              <w:ind w:firstLine="0"/>
              <w:rPr>
                <w:rFonts w:ascii="Verdana" w:hAnsi="Verdana"/>
                <w:b/>
                <w:sz w:val="16"/>
                <w:szCs w:val="16"/>
                <w:lang w:val="en-US"/>
              </w:rPr>
            </w:pPr>
            <w:r w:rsidRPr="00F01347">
              <w:rPr>
                <w:rFonts w:ascii="Verdana" w:hAnsi="Verdana"/>
                <w:b/>
                <w:sz w:val="16"/>
                <w:szCs w:val="16"/>
                <w:lang w:val="en-US"/>
              </w:rPr>
              <w:t xml:space="preserve">Cartridges for SPE device. </w:t>
            </w:r>
            <w:r w:rsidRPr="00F01347">
              <w:rPr>
                <w:rFonts w:ascii="Verdana" w:hAnsi="Verdana"/>
                <w:sz w:val="16"/>
                <w:szCs w:val="16"/>
                <w:lang w:val="en-US"/>
              </w:rPr>
              <w:t>Waters Oasis HLB, 150 mg, 6cc divinylbenzene N- vinylpyrrolidone copolymer (Waters #186003365).</w:t>
            </w:r>
          </w:p>
        </w:tc>
      </w:tr>
      <w:tr w:rsidR="008F7887" w:rsidRPr="00F01347" w14:paraId="1B80F765" w14:textId="6334768F" w:rsidTr="0073456B">
        <w:tc>
          <w:tcPr>
            <w:tcW w:w="4675" w:type="dxa"/>
          </w:tcPr>
          <w:p w14:paraId="15C757D3" w14:textId="77777777" w:rsidR="008F7887" w:rsidRPr="00F01347" w:rsidRDefault="008F7887" w:rsidP="008F7887">
            <w:pPr>
              <w:pStyle w:val="texto0"/>
              <w:spacing w:line="222" w:lineRule="exact"/>
              <w:ind w:firstLine="0"/>
              <w:rPr>
                <w:rFonts w:ascii="Verdana" w:hAnsi="Verdana"/>
                <w:sz w:val="16"/>
                <w:szCs w:val="16"/>
              </w:rPr>
            </w:pPr>
            <w:r w:rsidRPr="00F01347">
              <w:rPr>
                <w:rFonts w:ascii="Verdana" w:hAnsi="Verdana"/>
                <w:b/>
                <w:sz w:val="16"/>
                <w:szCs w:val="16"/>
              </w:rPr>
              <w:t>Contenedores de muestra</w:t>
            </w:r>
            <w:r w:rsidRPr="00F01347">
              <w:rPr>
                <w:rFonts w:ascii="Verdana" w:hAnsi="Verdana"/>
                <w:sz w:val="16"/>
                <w:szCs w:val="16"/>
              </w:rPr>
              <w:t xml:space="preserve">. Botellas de vidrio ámbar de 500 </w:t>
            </w:r>
            <w:proofErr w:type="spellStart"/>
            <w:r w:rsidRPr="00F01347">
              <w:rPr>
                <w:rFonts w:ascii="Verdana" w:hAnsi="Verdana"/>
                <w:sz w:val="16"/>
                <w:szCs w:val="16"/>
              </w:rPr>
              <w:t>mL</w:t>
            </w:r>
            <w:proofErr w:type="spellEnd"/>
            <w:r w:rsidRPr="00F01347">
              <w:rPr>
                <w:rFonts w:ascii="Verdana" w:hAnsi="Verdana"/>
                <w:sz w:val="16"/>
                <w:szCs w:val="16"/>
              </w:rPr>
              <w:t xml:space="preserve"> con tapa con rosca de politetrafluoroetileno (PTFE).</w:t>
            </w:r>
          </w:p>
        </w:tc>
        <w:tc>
          <w:tcPr>
            <w:tcW w:w="4675" w:type="dxa"/>
          </w:tcPr>
          <w:p w14:paraId="6EB5306D" w14:textId="2EAF5CCD" w:rsidR="008F7887" w:rsidRPr="00F01347" w:rsidRDefault="008F7887" w:rsidP="008F7887">
            <w:pPr>
              <w:pStyle w:val="texto0"/>
              <w:spacing w:line="222" w:lineRule="exact"/>
              <w:ind w:firstLine="0"/>
              <w:rPr>
                <w:rFonts w:ascii="Verdana" w:hAnsi="Verdana"/>
                <w:b/>
                <w:sz w:val="16"/>
                <w:szCs w:val="16"/>
                <w:lang w:val="en-US"/>
              </w:rPr>
            </w:pPr>
            <w:r w:rsidRPr="00F01347">
              <w:rPr>
                <w:rFonts w:ascii="Verdana" w:hAnsi="Verdana"/>
                <w:b/>
                <w:sz w:val="16"/>
                <w:szCs w:val="16"/>
                <w:lang w:val="en-US"/>
              </w:rPr>
              <w:t>Sample containers</w:t>
            </w:r>
            <w:r w:rsidR="003E1BA9" w:rsidRPr="00F01347">
              <w:rPr>
                <w:rFonts w:ascii="Verdana" w:hAnsi="Verdana"/>
                <w:b/>
                <w:sz w:val="16"/>
                <w:szCs w:val="16"/>
                <w:lang w:val="en-US"/>
              </w:rPr>
              <w:t>.</w:t>
            </w:r>
            <w:r w:rsidRPr="00F01347">
              <w:rPr>
                <w:rFonts w:ascii="Verdana" w:hAnsi="Verdana"/>
                <w:sz w:val="16"/>
                <w:szCs w:val="16"/>
                <w:lang w:val="en-US"/>
              </w:rPr>
              <w:t xml:space="preserve"> 500 mL amber glass bottles with polytetrafluoroethylene (PTFE) screw cap.</w:t>
            </w:r>
          </w:p>
        </w:tc>
      </w:tr>
      <w:tr w:rsidR="008F7887" w:rsidRPr="00F01347" w14:paraId="316DC3CE" w14:textId="770F4556" w:rsidTr="0073456B">
        <w:tc>
          <w:tcPr>
            <w:tcW w:w="4675" w:type="dxa"/>
          </w:tcPr>
          <w:p w14:paraId="3D9FAAF1" w14:textId="77777777" w:rsidR="008F7887" w:rsidRPr="00F01347" w:rsidRDefault="008F7887" w:rsidP="008F7887">
            <w:pPr>
              <w:pStyle w:val="texto0"/>
              <w:spacing w:line="222" w:lineRule="exact"/>
              <w:ind w:firstLine="0"/>
              <w:rPr>
                <w:rFonts w:ascii="Verdana" w:hAnsi="Verdana"/>
                <w:sz w:val="16"/>
                <w:szCs w:val="16"/>
              </w:rPr>
            </w:pPr>
            <w:r w:rsidRPr="00F01347">
              <w:rPr>
                <w:rFonts w:ascii="Verdana" w:hAnsi="Verdana"/>
                <w:b/>
                <w:sz w:val="16"/>
                <w:szCs w:val="16"/>
              </w:rPr>
              <w:t>Columna analítica.</w:t>
            </w:r>
            <w:r w:rsidRPr="00F01347">
              <w:rPr>
                <w:rFonts w:ascii="Verdana" w:hAnsi="Verdana"/>
                <w:sz w:val="16"/>
                <w:szCs w:val="16"/>
              </w:rPr>
              <w:t xml:space="preserve"> Columna LC C</w:t>
            </w:r>
            <w:r w:rsidRPr="00F01347">
              <w:rPr>
                <w:rFonts w:ascii="Verdana" w:hAnsi="Verdana"/>
                <w:color w:val="000000"/>
                <w:position w:val="-2"/>
                <w:sz w:val="16"/>
                <w:szCs w:val="16"/>
              </w:rPr>
              <w:t>8</w:t>
            </w:r>
            <w:r w:rsidRPr="00F01347">
              <w:rPr>
                <w:rFonts w:ascii="Verdana" w:hAnsi="Verdana"/>
                <w:sz w:val="16"/>
                <w:szCs w:val="16"/>
              </w:rPr>
              <w:t xml:space="preserve"> (2.1x100mm) cargada con partículas de fase sólida C</w:t>
            </w:r>
            <w:r w:rsidRPr="00F01347">
              <w:rPr>
                <w:rFonts w:ascii="Verdana" w:hAnsi="Verdana"/>
                <w:color w:val="000000"/>
                <w:position w:val="-2"/>
                <w:sz w:val="16"/>
                <w:szCs w:val="16"/>
              </w:rPr>
              <w:t>8</w:t>
            </w:r>
            <w:r w:rsidRPr="00F01347">
              <w:rPr>
                <w:rFonts w:ascii="Verdana" w:hAnsi="Verdana"/>
                <w:sz w:val="16"/>
                <w:szCs w:val="16"/>
              </w:rPr>
              <w:t xml:space="preserve"> de 2.6µm (</w:t>
            </w:r>
            <w:proofErr w:type="spellStart"/>
            <w:r w:rsidRPr="00F01347">
              <w:rPr>
                <w:rFonts w:ascii="Verdana" w:hAnsi="Verdana"/>
                <w:sz w:val="16"/>
                <w:szCs w:val="16"/>
              </w:rPr>
              <w:t>Phenomenex</w:t>
            </w:r>
            <w:proofErr w:type="spellEnd"/>
            <w:r w:rsidRPr="00F01347">
              <w:rPr>
                <w:rFonts w:ascii="Verdana" w:hAnsi="Verdana"/>
                <w:sz w:val="16"/>
                <w:szCs w:val="16"/>
              </w:rPr>
              <w:t xml:space="preserve"> </w:t>
            </w:r>
            <w:proofErr w:type="spellStart"/>
            <w:r w:rsidRPr="00F01347">
              <w:rPr>
                <w:rFonts w:ascii="Verdana" w:hAnsi="Verdana"/>
                <w:sz w:val="16"/>
                <w:szCs w:val="16"/>
              </w:rPr>
              <w:t>Kinetex</w:t>
            </w:r>
            <w:proofErr w:type="spellEnd"/>
            <w:r w:rsidRPr="00F01347">
              <w:rPr>
                <w:rFonts w:ascii="Verdana" w:hAnsi="Verdana"/>
                <w:sz w:val="16"/>
                <w:szCs w:val="16"/>
              </w:rPr>
              <w:t xml:space="preserve"> # 00D-4497-AN). Cualquier columna equivalente que proporcione una resolución adecuada, forma de pico, capacidad, exactitud y precisión puede ser usada.</w:t>
            </w:r>
          </w:p>
        </w:tc>
        <w:tc>
          <w:tcPr>
            <w:tcW w:w="4675" w:type="dxa"/>
          </w:tcPr>
          <w:p w14:paraId="1FE3E503" w14:textId="79DBD21A" w:rsidR="008F7887" w:rsidRPr="00F01347" w:rsidRDefault="008F7887" w:rsidP="008F7887">
            <w:pPr>
              <w:pStyle w:val="texto0"/>
              <w:spacing w:line="222" w:lineRule="exact"/>
              <w:ind w:firstLine="0"/>
              <w:rPr>
                <w:rFonts w:ascii="Verdana" w:hAnsi="Verdana"/>
                <w:b/>
                <w:sz w:val="16"/>
                <w:szCs w:val="16"/>
                <w:lang w:val="en-US"/>
              </w:rPr>
            </w:pPr>
            <w:r w:rsidRPr="00F01347">
              <w:rPr>
                <w:rFonts w:ascii="Verdana" w:hAnsi="Verdana"/>
                <w:b/>
                <w:sz w:val="16"/>
                <w:szCs w:val="16"/>
                <w:lang w:val="en-US"/>
              </w:rPr>
              <w:t xml:space="preserve">Analytical column. </w:t>
            </w:r>
            <w:r w:rsidRPr="00F01347">
              <w:rPr>
                <w:rFonts w:ascii="Verdana" w:hAnsi="Verdana"/>
                <w:sz w:val="16"/>
                <w:szCs w:val="16"/>
                <w:lang w:val="en-US"/>
              </w:rPr>
              <w:t xml:space="preserve">LC C </w:t>
            </w:r>
            <w:r w:rsidRPr="00F01347">
              <w:rPr>
                <w:rFonts w:ascii="Verdana" w:hAnsi="Verdana"/>
                <w:color w:val="000000"/>
                <w:position w:val="-2"/>
                <w:sz w:val="16"/>
                <w:szCs w:val="16"/>
                <w:lang w:val="en-US"/>
              </w:rPr>
              <w:t xml:space="preserve">8 column (2.1x100mm) loaded with </w:t>
            </w:r>
            <w:r w:rsidRPr="00F01347">
              <w:rPr>
                <w:rFonts w:ascii="Verdana" w:hAnsi="Verdana"/>
                <w:sz w:val="16"/>
                <w:szCs w:val="16"/>
                <w:lang w:val="en-US"/>
              </w:rPr>
              <w:t xml:space="preserve">2.6µm C </w:t>
            </w:r>
            <w:r w:rsidRPr="00F01347">
              <w:rPr>
                <w:rFonts w:ascii="Verdana" w:hAnsi="Verdana"/>
                <w:color w:val="000000"/>
                <w:position w:val="-2"/>
                <w:sz w:val="16"/>
                <w:szCs w:val="16"/>
                <w:lang w:val="en-US"/>
              </w:rPr>
              <w:t xml:space="preserve">8 </w:t>
            </w:r>
            <w:r w:rsidRPr="00F01347">
              <w:rPr>
                <w:rFonts w:ascii="Verdana" w:hAnsi="Verdana"/>
                <w:sz w:val="16"/>
                <w:szCs w:val="16"/>
                <w:lang w:val="en-US"/>
              </w:rPr>
              <w:t xml:space="preserve">solid phase particles (Phenomenex </w:t>
            </w:r>
            <w:proofErr w:type="spellStart"/>
            <w:r w:rsidRPr="00F01347">
              <w:rPr>
                <w:rFonts w:ascii="Verdana" w:hAnsi="Verdana"/>
                <w:sz w:val="16"/>
                <w:szCs w:val="16"/>
                <w:lang w:val="en-US"/>
              </w:rPr>
              <w:t>Kinetex</w:t>
            </w:r>
            <w:proofErr w:type="spellEnd"/>
            <w:r w:rsidRPr="00F01347">
              <w:rPr>
                <w:rFonts w:ascii="Verdana" w:hAnsi="Verdana"/>
                <w:sz w:val="16"/>
                <w:szCs w:val="16"/>
                <w:lang w:val="en-US"/>
              </w:rPr>
              <w:t xml:space="preserve"> #00D-4497-AN). Any equivalent column that provides adequate resolution, peak shape, capacity, </w:t>
            </w:r>
            <w:proofErr w:type="gramStart"/>
            <w:r w:rsidRPr="00F01347">
              <w:rPr>
                <w:rFonts w:ascii="Verdana" w:hAnsi="Verdana"/>
                <w:sz w:val="16"/>
                <w:szCs w:val="16"/>
                <w:lang w:val="en-US"/>
              </w:rPr>
              <w:t>accuracy</w:t>
            </w:r>
            <w:proofErr w:type="gramEnd"/>
            <w:r w:rsidRPr="00F01347">
              <w:rPr>
                <w:rFonts w:ascii="Verdana" w:hAnsi="Verdana"/>
                <w:sz w:val="16"/>
                <w:szCs w:val="16"/>
                <w:lang w:val="en-US"/>
              </w:rPr>
              <w:t xml:space="preserve"> and precision can be used.</w:t>
            </w:r>
          </w:p>
        </w:tc>
      </w:tr>
      <w:tr w:rsidR="008F7887" w:rsidRPr="00F01347" w14:paraId="4CB16F31" w14:textId="256DF1F3" w:rsidTr="0073456B">
        <w:tc>
          <w:tcPr>
            <w:tcW w:w="4675" w:type="dxa"/>
          </w:tcPr>
          <w:p w14:paraId="5AFD9106" w14:textId="77777777" w:rsidR="008F7887" w:rsidRPr="00F01347" w:rsidRDefault="008F7887" w:rsidP="008F7887">
            <w:pPr>
              <w:pStyle w:val="texto0"/>
              <w:ind w:firstLine="0"/>
              <w:rPr>
                <w:rFonts w:ascii="Verdana" w:hAnsi="Verdana"/>
                <w:sz w:val="16"/>
                <w:szCs w:val="16"/>
              </w:rPr>
            </w:pPr>
            <w:r w:rsidRPr="00F01347">
              <w:rPr>
                <w:rFonts w:ascii="Verdana" w:hAnsi="Verdana"/>
                <w:b/>
                <w:sz w:val="16"/>
                <w:szCs w:val="16"/>
              </w:rPr>
              <w:t>Contenedores para colectar filtrado.</w:t>
            </w:r>
            <w:r w:rsidRPr="00F01347">
              <w:rPr>
                <w:rFonts w:ascii="Verdana" w:hAnsi="Verdana"/>
                <w:sz w:val="16"/>
                <w:szCs w:val="16"/>
              </w:rPr>
              <w:t xml:space="preserve"> Botellas de vidrio ámbar de 500 ml (Fisher #02-542-4C o equivalente) y tapa de botella GL45 (Fisher #13247GL45 o equivalente; No se muestra en la figura).</w:t>
            </w:r>
          </w:p>
        </w:tc>
        <w:tc>
          <w:tcPr>
            <w:tcW w:w="4675" w:type="dxa"/>
          </w:tcPr>
          <w:p w14:paraId="05E7BFF6" w14:textId="74CA166C" w:rsidR="008F7887" w:rsidRPr="00F01347" w:rsidRDefault="008F7887" w:rsidP="008F7887">
            <w:pPr>
              <w:pStyle w:val="texto0"/>
              <w:ind w:firstLine="0"/>
              <w:rPr>
                <w:rFonts w:ascii="Verdana" w:hAnsi="Verdana"/>
                <w:b/>
                <w:sz w:val="16"/>
                <w:szCs w:val="16"/>
                <w:lang w:val="en-US"/>
              </w:rPr>
            </w:pPr>
            <w:r w:rsidRPr="00F01347">
              <w:rPr>
                <w:rFonts w:ascii="Verdana" w:hAnsi="Verdana"/>
                <w:b/>
                <w:sz w:val="16"/>
                <w:szCs w:val="16"/>
                <w:lang w:val="en-US"/>
              </w:rPr>
              <w:t xml:space="preserve">Containers to collect filtrate. </w:t>
            </w:r>
            <w:r w:rsidRPr="00F01347">
              <w:rPr>
                <w:rFonts w:ascii="Verdana" w:hAnsi="Verdana"/>
                <w:sz w:val="16"/>
                <w:szCs w:val="16"/>
                <w:lang w:val="en-US"/>
              </w:rPr>
              <w:t>500 ml amber glass bottles (Fisher #02-542-4C or equivalent) and GL45 bottle cap (Fisher #13247GL45 or equivalent; Not shown in the figure).</w:t>
            </w:r>
          </w:p>
        </w:tc>
      </w:tr>
      <w:tr w:rsidR="008F7887" w:rsidRPr="00F01347" w14:paraId="7854D5A0" w14:textId="5F8A02C0" w:rsidTr="0073456B">
        <w:tc>
          <w:tcPr>
            <w:tcW w:w="4675" w:type="dxa"/>
          </w:tcPr>
          <w:p w14:paraId="4E0386BD" w14:textId="77777777" w:rsidR="008F7887" w:rsidRPr="00F01347" w:rsidRDefault="008F7887" w:rsidP="008F7887">
            <w:pPr>
              <w:pStyle w:val="texto0"/>
              <w:ind w:firstLine="0"/>
              <w:rPr>
                <w:rFonts w:ascii="Verdana" w:hAnsi="Verdana"/>
                <w:sz w:val="16"/>
                <w:szCs w:val="16"/>
              </w:rPr>
            </w:pPr>
            <w:r w:rsidRPr="00F01347">
              <w:rPr>
                <w:rFonts w:ascii="Verdana" w:hAnsi="Verdana"/>
                <w:b/>
                <w:sz w:val="16"/>
                <w:szCs w:val="16"/>
              </w:rPr>
              <w:t>Dispositivo para filtración</w:t>
            </w:r>
            <w:r w:rsidRPr="00F01347">
              <w:rPr>
                <w:rFonts w:ascii="Verdana" w:hAnsi="Verdana"/>
                <w:sz w:val="16"/>
                <w:szCs w:val="16"/>
              </w:rPr>
              <w:t>. En la Fig. B.1.2-1 de este Apéndice, se indican número de partes:</w:t>
            </w:r>
          </w:p>
        </w:tc>
        <w:tc>
          <w:tcPr>
            <w:tcW w:w="4675" w:type="dxa"/>
          </w:tcPr>
          <w:p w14:paraId="4C9872B1" w14:textId="31FDCE36" w:rsidR="008F7887" w:rsidRPr="00F01347" w:rsidRDefault="008F7887" w:rsidP="008F7887">
            <w:pPr>
              <w:pStyle w:val="texto0"/>
              <w:ind w:firstLine="0"/>
              <w:rPr>
                <w:rFonts w:ascii="Verdana" w:hAnsi="Verdana"/>
                <w:b/>
                <w:sz w:val="16"/>
                <w:szCs w:val="16"/>
                <w:lang w:val="en-US"/>
              </w:rPr>
            </w:pPr>
            <w:r w:rsidRPr="00F01347">
              <w:rPr>
                <w:rFonts w:ascii="Verdana" w:hAnsi="Verdana"/>
                <w:b/>
                <w:sz w:val="16"/>
                <w:szCs w:val="16"/>
                <w:lang w:val="en-US"/>
              </w:rPr>
              <w:t>Filtration device</w:t>
            </w:r>
            <w:r w:rsidR="003E1BA9" w:rsidRPr="00F01347">
              <w:rPr>
                <w:rFonts w:ascii="Verdana" w:hAnsi="Verdana"/>
                <w:b/>
                <w:sz w:val="16"/>
                <w:szCs w:val="16"/>
                <w:lang w:val="en-US"/>
              </w:rPr>
              <w:t>.</w:t>
            </w:r>
            <w:r w:rsidRPr="00F01347">
              <w:rPr>
                <w:rFonts w:ascii="Verdana" w:hAnsi="Verdana"/>
                <w:sz w:val="16"/>
                <w:szCs w:val="16"/>
                <w:lang w:val="en-US"/>
              </w:rPr>
              <w:t xml:space="preserve"> In Fig. B.1.2-1 of this Appendix, the number of parts is indicated:</w:t>
            </w:r>
          </w:p>
        </w:tc>
      </w:tr>
    </w:tbl>
    <w:p w14:paraId="2790DBEE" w14:textId="55F45F01" w:rsidR="00A74CDF" w:rsidRPr="00F01347" w:rsidRDefault="00471638" w:rsidP="003A601B">
      <w:pPr>
        <w:pStyle w:val="texto0"/>
        <w:spacing w:line="240" w:lineRule="auto"/>
        <w:ind w:firstLine="0"/>
        <w:jc w:val="center"/>
        <w:rPr>
          <w:rFonts w:ascii="Verdana" w:hAnsi="Verdana"/>
          <w:sz w:val="16"/>
          <w:szCs w:val="16"/>
        </w:rPr>
      </w:pPr>
      <w:r w:rsidRPr="00F01347">
        <w:rPr>
          <w:rFonts w:ascii="Verdana" w:hAnsi="Verdana"/>
          <w:noProof/>
          <w:sz w:val="16"/>
          <w:szCs w:val="16"/>
        </w:rPr>
        <w:drawing>
          <wp:inline distT="0" distB="0" distL="0" distR="0" wp14:anchorId="4FB834D7" wp14:editId="1103B2F0">
            <wp:extent cx="1323975" cy="2771775"/>
            <wp:effectExtent l="0" t="0" r="0" b="0"/>
            <wp:docPr id="1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2771775"/>
                    </a:xfrm>
                    <a:prstGeom prst="rect">
                      <a:avLst/>
                    </a:prstGeom>
                    <a:noFill/>
                    <a:ln>
                      <a:noFill/>
                    </a:ln>
                  </pic:spPr>
                </pic:pic>
              </a:graphicData>
            </a:graphic>
          </wp:inline>
        </w:drawing>
      </w:r>
    </w:p>
    <w:p w14:paraId="52791E22" w14:textId="77777777" w:rsidR="00E87674" w:rsidRPr="00F01347" w:rsidRDefault="00E87674" w:rsidP="003A601B">
      <w:pPr>
        <w:pStyle w:val="texto0"/>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87674" w:rsidRPr="00F01347" w14:paraId="751FB610" w14:textId="77777777" w:rsidTr="00CB209C">
        <w:tc>
          <w:tcPr>
            <w:tcW w:w="4675" w:type="dxa"/>
          </w:tcPr>
          <w:p w14:paraId="04084781" w14:textId="479723DF" w:rsidR="00E87674" w:rsidRPr="000A3AF6" w:rsidRDefault="00E87674" w:rsidP="000A3AF6">
            <w:pPr>
              <w:pStyle w:val="texto0"/>
              <w:ind w:firstLine="0"/>
              <w:jc w:val="center"/>
              <w:rPr>
                <w:rFonts w:ascii="Verdana" w:hAnsi="Verdana"/>
                <w:sz w:val="16"/>
                <w:szCs w:val="16"/>
              </w:rPr>
            </w:pPr>
            <w:r w:rsidRPr="00F01347">
              <w:rPr>
                <w:rFonts w:ascii="Verdana" w:hAnsi="Verdana"/>
                <w:sz w:val="16"/>
                <w:szCs w:val="16"/>
              </w:rPr>
              <w:t>Fig. B.1.2-1 Partes del dispositivo de filtración</w:t>
            </w:r>
          </w:p>
        </w:tc>
        <w:tc>
          <w:tcPr>
            <w:tcW w:w="4675" w:type="dxa"/>
          </w:tcPr>
          <w:p w14:paraId="4CABC7E0" w14:textId="177125BC" w:rsidR="00E87674" w:rsidRPr="000A3AF6" w:rsidRDefault="00E87674" w:rsidP="000A3AF6">
            <w:pPr>
              <w:pStyle w:val="texto0"/>
              <w:ind w:firstLine="0"/>
              <w:jc w:val="center"/>
              <w:rPr>
                <w:rFonts w:ascii="Verdana" w:hAnsi="Verdana"/>
                <w:sz w:val="16"/>
                <w:szCs w:val="16"/>
                <w:lang w:val="en-US"/>
              </w:rPr>
            </w:pPr>
            <w:r w:rsidRPr="00F01347">
              <w:rPr>
                <w:rFonts w:ascii="Verdana" w:hAnsi="Verdana"/>
                <w:sz w:val="16"/>
                <w:szCs w:val="16"/>
                <w:lang w:val="en-US"/>
              </w:rPr>
              <w:t>Fig. B.1.2-1 Parts of the filtration device</w:t>
            </w:r>
          </w:p>
        </w:tc>
      </w:tr>
      <w:tr w:rsidR="00E87674" w:rsidRPr="00F01347" w14:paraId="737E58CB" w14:textId="77777777" w:rsidTr="00CB209C">
        <w:tc>
          <w:tcPr>
            <w:tcW w:w="4675" w:type="dxa"/>
          </w:tcPr>
          <w:p w14:paraId="4A8BE383" w14:textId="77777777" w:rsidR="00E87674" w:rsidRPr="00F01347" w:rsidRDefault="00E87674" w:rsidP="00004DDB">
            <w:pPr>
              <w:pStyle w:val="texto0"/>
              <w:ind w:firstLine="0"/>
              <w:rPr>
                <w:rFonts w:ascii="Verdana" w:hAnsi="Verdana"/>
                <w:b/>
                <w:sz w:val="16"/>
                <w:szCs w:val="16"/>
                <w:lang w:val="en-US"/>
              </w:rPr>
            </w:pPr>
          </w:p>
        </w:tc>
        <w:tc>
          <w:tcPr>
            <w:tcW w:w="4675" w:type="dxa"/>
          </w:tcPr>
          <w:p w14:paraId="73A3F1C0" w14:textId="77777777" w:rsidR="00E87674" w:rsidRPr="00F01347" w:rsidRDefault="00E87674" w:rsidP="00004DDB">
            <w:pPr>
              <w:pStyle w:val="texto0"/>
              <w:ind w:firstLine="0"/>
              <w:rPr>
                <w:rFonts w:ascii="Verdana" w:hAnsi="Verdana"/>
                <w:b/>
                <w:sz w:val="16"/>
                <w:szCs w:val="16"/>
                <w:lang w:val="en-US"/>
              </w:rPr>
            </w:pPr>
          </w:p>
        </w:tc>
      </w:tr>
      <w:tr w:rsidR="00E87674" w:rsidRPr="00F01347" w14:paraId="3CDE217E" w14:textId="3F2EC472" w:rsidTr="00CB209C">
        <w:tc>
          <w:tcPr>
            <w:tcW w:w="4675" w:type="dxa"/>
          </w:tcPr>
          <w:p w14:paraId="513A1901" w14:textId="77777777" w:rsidR="00E87674" w:rsidRPr="00F01347" w:rsidRDefault="00E87674" w:rsidP="00E87674">
            <w:pPr>
              <w:pStyle w:val="texto0"/>
              <w:ind w:firstLine="0"/>
              <w:rPr>
                <w:rFonts w:ascii="Verdana" w:hAnsi="Verdana"/>
                <w:sz w:val="16"/>
                <w:szCs w:val="16"/>
              </w:rPr>
            </w:pPr>
            <w:r w:rsidRPr="00F01347">
              <w:rPr>
                <w:rFonts w:ascii="Verdana" w:hAnsi="Verdana"/>
                <w:b/>
                <w:sz w:val="16"/>
                <w:szCs w:val="16"/>
              </w:rPr>
              <w:t>Embudo.</w:t>
            </w:r>
            <w:r w:rsidRPr="00F01347">
              <w:rPr>
                <w:rFonts w:ascii="Verdana" w:hAnsi="Verdana"/>
                <w:sz w:val="16"/>
                <w:szCs w:val="16"/>
              </w:rPr>
              <w:t xml:space="preserve"> Embudo de vidrio de 300 </w:t>
            </w:r>
            <w:proofErr w:type="spellStart"/>
            <w:r w:rsidRPr="00F01347">
              <w:rPr>
                <w:rFonts w:ascii="Verdana" w:hAnsi="Verdana"/>
                <w:sz w:val="16"/>
                <w:szCs w:val="16"/>
              </w:rPr>
              <w:t>mL</w:t>
            </w:r>
            <w:proofErr w:type="spellEnd"/>
            <w:r w:rsidRPr="00F01347">
              <w:rPr>
                <w:rFonts w:ascii="Verdana" w:hAnsi="Verdana"/>
                <w:sz w:val="16"/>
                <w:szCs w:val="16"/>
              </w:rPr>
              <w:t xml:space="preserve"> de 47 mm (Kimble Chase # 953751-0000 o equivalente).</w:t>
            </w:r>
          </w:p>
        </w:tc>
        <w:tc>
          <w:tcPr>
            <w:tcW w:w="4675" w:type="dxa"/>
          </w:tcPr>
          <w:p w14:paraId="00331EE9" w14:textId="7D277B2A" w:rsidR="00E87674" w:rsidRPr="00F01347" w:rsidRDefault="00E87674" w:rsidP="00E87674">
            <w:pPr>
              <w:pStyle w:val="texto0"/>
              <w:ind w:firstLine="0"/>
              <w:rPr>
                <w:rFonts w:ascii="Verdana" w:hAnsi="Verdana"/>
                <w:b/>
                <w:sz w:val="16"/>
                <w:szCs w:val="16"/>
                <w:lang w:val="en-US"/>
              </w:rPr>
            </w:pPr>
            <w:r w:rsidRPr="00F01347">
              <w:rPr>
                <w:rFonts w:ascii="Verdana" w:hAnsi="Verdana"/>
                <w:b/>
                <w:sz w:val="16"/>
                <w:szCs w:val="16"/>
                <w:lang w:val="en-US"/>
              </w:rPr>
              <w:t xml:space="preserve">Funnel. 300 </w:t>
            </w:r>
            <w:r w:rsidRPr="00F01347">
              <w:rPr>
                <w:rFonts w:ascii="Verdana" w:hAnsi="Verdana"/>
                <w:sz w:val="16"/>
                <w:szCs w:val="16"/>
                <w:lang w:val="en-US"/>
              </w:rPr>
              <w:t>mL 47mm glass funnel (Kimble Chase #953751-0000 or equivalent).</w:t>
            </w:r>
          </w:p>
        </w:tc>
      </w:tr>
      <w:tr w:rsidR="00E87674" w:rsidRPr="00F01347" w14:paraId="10C26CC6" w14:textId="2600967F" w:rsidTr="00CB209C">
        <w:tc>
          <w:tcPr>
            <w:tcW w:w="4675" w:type="dxa"/>
          </w:tcPr>
          <w:p w14:paraId="30B7A85B" w14:textId="77777777" w:rsidR="00E87674" w:rsidRPr="00F01347" w:rsidRDefault="00E87674" w:rsidP="00E87674">
            <w:pPr>
              <w:pStyle w:val="texto0"/>
              <w:ind w:firstLine="0"/>
              <w:rPr>
                <w:rFonts w:ascii="Verdana" w:hAnsi="Verdana"/>
                <w:sz w:val="16"/>
                <w:szCs w:val="16"/>
              </w:rPr>
            </w:pPr>
            <w:r w:rsidRPr="00F01347">
              <w:rPr>
                <w:rFonts w:ascii="Verdana" w:hAnsi="Verdana"/>
                <w:b/>
                <w:sz w:val="16"/>
                <w:szCs w:val="16"/>
              </w:rPr>
              <w:t>Espectrómetro de masas en tándem (MS/MS) con sistema de datos</w:t>
            </w:r>
            <w:r w:rsidRPr="00F01347">
              <w:rPr>
                <w:rFonts w:ascii="Verdana" w:hAnsi="Verdana"/>
                <w:sz w:val="16"/>
                <w:szCs w:val="16"/>
              </w:rPr>
              <w:t xml:space="preserve">. El espectrómetro de masas debe ser capaz de ionizar por ionización por </w:t>
            </w:r>
            <w:proofErr w:type="spellStart"/>
            <w:r w:rsidRPr="00F01347">
              <w:rPr>
                <w:rFonts w:ascii="Verdana" w:hAnsi="Verdana"/>
                <w:sz w:val="16"/>
                <w:szCs w:val="16"/>
              </w:rPr>
              <w:t>electrospray</w:t>
            </w:r>
            <w:proofErr w:type="spellEnd"/>
            <w:r w:rsidRPr="00F01347">
              <w:rPr>
                <w:rFonts w:ascii="Verdana" w:hAnsi="Verdana"/>
                <w:sz w:val="16"/>
                <w:szCs w:val="16"/>
              </w:rPr>
              <w:t xml:space="preserve"> (ESI) cerca de la tasa de flujo LC sugerida de 0.3 </w:t>
            </w:r>
            <w:proofErr w:type="spellStart"/>
            <w:r w:rsidRPr="00F01347">
              <w:rPr>
                <w:rFonts w:ascii="Verdana" w:hAnsi="Verdana"/>
                <w:sz w:val="16"/>
                <w:szCs w:val="16"/>
              </w:rPr>
              <w:t>mL</w:t>
            </w:r>
            <w:proofErr w:type="spellEnd"/>
            <w:r w:rsidRPr="00F01347">
              <w:rPr>
                <w:rFonts w:ascii="Verdana" w:hAnsi="Verdana"/>
                <w:sz w:val="16"/>
                <w:szCs w:val="16"/>
              </w:rPr>
              <w:t xml:space="preserve">/min. El sistema debe ser capaz de realizar MS/MS, para producir iones de producto únicos para métodos de segmento de analitos de tiempo de retención </w:t>
            </w:r>
            <w:r w:rsidRPr="00F01347">
              <w:rPr>
                <w:rFonts w:ascii="Verdana" w:hAnsi="Verdana"/>
                <w:sz w:val="16"/>
                <w:szCs w:val="16"/>
              </w:rPr>
              <w:lastRenderedPageBreak/>
              <w:t xml:space="preserve">especificados. Un mínimo de 10 exploraciones a través del pico </w:t>
            </w:r>
            <w:proofErr w:type="gramStart"/>
            <w:r w:rsidRPr="00F01347">
              <w:rPr>
                <w:rFonts w:ascii="Verdana" w:hAnsi="Verdana"/>
                <w:sz w:val="16"/>
                <w:szCs w:val="16"/>
              </w:rPr>
              <w:t>cromatográfico,</w:t>
            </w:r>
            <w:proofErr w:type="gramEnd"/>
            <w:r w:rsidRPr="00F01347">
              <w:rPr>
                <w:rFonts w:ascii="Verdana" w:hAnsi="Verdana"/>
                <w:sz w:val="16"/>
                <w:szCs w:val="16"/>
              </w:rPr>
              <w:t xml:space="preserve"> es necesario para asegurar una precisión adecuada.</w:t>
            </w:r>
          </w:p>
        </w:tc>
        <w:tc>
          <w:tcPr>
            <w:tcW w:w="4675" w:type="dxa"/>
          </w:tcPr>
          <w:p w14:paraId="7F9A5987" w14:textId="61B9FB37" w:rsidR="00E87674" w:rsidRPr="00F01347" w:rsidRDefault="00E87674" w:rsidP="00E87674">
            <w:pPr>
              <w:pStyle w:val="texto0"/>
              <w:ind w:firstLine="0"/>
              <w:rPr>
                <w:rFonts w:ascii="Verdana" w:hAnsi="Verdana"/>
                <w:b/>
                <w:sz w:val="16"/>
                <w:szCs w:val="16"/>
                <w:lang w:val="en-US"/>
              </w:rPr>
            </w:pPr>
            <w:r w:rsidRPr="00F01347">
              <w:rPr>
                <w:rFonts w:ascii="Verdana" w:hAnsi="Verdana"/>
                <w:b/>
                <w:sz w:val="16"/>
                <w:szCs w:val="16"/>
                <w:lang w:val="en-US"/>
              </w:rPr>
              <w:lastRenderedPageBreak/>
              <w:t>Tandem mass spectrometer (MS/MS) with data system</w:t>
            </w:r>
            <w:r w:rsidR="003E1BA9" w:rsidRPr="00F01347">
              <w:rPr>
                <w:rFonts w:ascii="Verdana" w:hAnsi="Verdana"/>
                <w:b/>
                <w:sz w:val="16"/>
                <w:szCs w:val="16"/>
                <w:lang w:val="en-US"/>
              </w:rPr>
              <w:t>.</w:t>
            </w:r>
            <w:r w:rsidRPr="00F01347">
              <w:rPr>
                <w:rFonts w:ascii="Verdana" w:hAnsi="Verdana"/>
                <w:sz w:val="16"/>
                <w:szCs w:val="16"/>
                <w:lang w:val="en-US"/>
              </w:rPr>
              <w:t xml:space="preserve"> The mass spectrometer should be capable of electrospray ionization (ESI) ionization near the suggested LC flow rate of 0.3 mL /min. The system must be capable of performing MS/MS, to produce unique product ions for specified retention time analyte segment methods. A minimum of 10 scans across the </w:t>
            </w:r>
            <w:r w:rsidRPr="00F01347">
              <w:rPr>
                <w:rFonts w:ascii="Verdana" w:hAnsi="Verdana"/>
                <w:sz w:val="16"/>
                <w:szCs w:val="16"/>
                <w:lang w:val="en-US"/>
              </w:rPr>
              <w:lastRenderedPageBreak/>
              <w:t>chromatographic peak are necessary to ensure adequate precision.</w:t>
            </w:r>
          </w:p>
        </w:tc>
      </w:tr>
      <w:tr w:rsidR="00E87674" w:rsidRPr="00F01347" w14:paraId="0BB582AB" w14:textId="26977A0C" w:rsidTr="00CB209C">
        <w:tc>
          <w:tcPr>
            <w:tcW w:w="4675" w:type="dxa"/>
          </w:tcPr>
          <w:p w14:paraId="0DD3A6DF" w14:textId="77777777" w:rsidR="00E87674" w:rsidRPr="00F01347" w:rsidRDefault="00E87674" w:rsidP="00E87674">
            <w:pPr>
              <w:pStyle w:val="texto0"/>
              <w:ind w:firstLine="0"/>
              <w:rPr>
                <w:rFonts w:ascii="Verdana" w:hAnsi="Verdana"/>
                <w:sz w:val="16"/>
                <w:szCs w:val="16"/>
              </w:rPr>
            </w:pPr>
            <w:r w:rsidRPr="00F01347">
              <w:rPr>
                <w:rFonts w:ascii="Verdana" w:hAnsi="Verdana"/>
                <w:b/>
                <w:sz w:val="16"/>
                <w:szCs w:val="16"/>
              </w:rPr>
              <w:lastRenderedPageBreak/>
              <w:t>Extractor manual.</w:t>
            </w:r>
            <w:r w:rsidRPr="00F01347">
              <w:rPr>
                <w:rFonts w:ascii="Verdana" w:hAnsi="Verdana"/>
                <w:sz w:val="16"/>
                <w:szCs w:val="16"/>
              </w:rPr>
              <w:t xml:space="preserve"> Bomba manual de vacío con modelo de gran volumen </w:t>
            </w:r>
            <w:proofErr w:type="spellStart"/>
            <w:r w:rsidRPr="00F01347">
              <w:rPr>
                <w:rFonts w:ascii="Verdana" w:hAnsi="Verdana"/>
                <w:sz w:val="16"/>
                <w:szCs w:val="16"/>
              </w:rPr>
              <w:t>Visiprep</w:t>
            </w:r>
            <w:proofErr w:type="spellEnd"/>
            <w:r w:rsidRPr="00F01347">
              <w:rPr>
                <w:rFonts w:ascii="Verdana" w:hAnsi="Verdana"/>
                <w:noProof/>
                <w:sz w:val="16"/>
                <w:szCs w:val="16"/>
              </w:rPr>
              <w:drawing>
                <wp:inline distT="0" distB="0" distL="0" distR="0" wp14:anchorId="32349412" wp14:editId="262132EF">
                  <wp:extent cx="95250" cy="95250"/>
                  <wp:effectExtent l="0" t="0" r="0" b="0"/>
                  <wp:docPr id="1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01347">
              <w:rPr>
                <w:rFonts w:ascii="Verdana" w:hAnsi="Verdana"/>
                <w:sz w:val="16"/>
                <w:szCs w:val="16"/>
              </w:rPr>
              <w:t xml:space="preserve"> (</w:t>
            </w:r>
            <w:proofErr w:type="spellStart"/>
            <w:r w:rsidRPr="00F01347">
              <w:rPr>
                <w:rFonts w:ascii="Verdana" w:hAnsi="Verdana"/>
                <w:sz w:val="16"/>
                <w:szCs w:val="16"/>
              </w:rPr>
              <w:t>Supelco</w:t>
            </w:r>
            <w:proofErr w:type="spellEnd"/>
            <w:r w:rsidRPr="00F01347">
              <w:rPr>
                <w:rFonts w:ascii="Verdana" w:hAnsi="Verdana"/>
                <w:sz w:val="16"/>
                <w:szCs w:val="16"/>
              </w:rPr>
              <w:t xml:space="preserve"> #</w:t>
            </w:r>
            <w:proofErr w:type="gramStart"/>
            <w:r w:rsidRPr="00F01347">
              <w:rPr>
                <w:rFonts w:ascii="Verdana" w:hAnsi="Verdana"/>
                <w:sz w:val="16"/>
                <w:szCs w:val="16"/>
              </w:rPr>
              <w:t>57030  y</w:t>
            </w:r>
            <w:proofErr w:type="gramEnd"/>
            <w:r w:rsidRPr="00F01347">
              <w:rPr>
                <w:rFonts w:ascii="Verdana" w:hAnsi="Verdana"/>
                <w:sz w:val="16"/>
                <w:szCs w:val="16"/>
              </w:rPr>
              <w:t xml:space="preserve"> # 57275 o equivalente) para cartuchos de extracción.</w:t>
            </w:r>
          </w:p>
        </w:tc>
        <w:tc>
          <w:tcPr>
            <w:tcW w:w="4675" w:type="dxa"/>
          </w:tcPr>
          <w:p w14:paraId="1C31E638" w14:textId="01181F05" w:rsidR="00E87674" w:rsidRPr="00F01347" w:rsidRDefault="00E87674" w:rsidP="00E87674">
            <w:pPr>
              <w:pStyle w:val="texto0"/>
              <w:ind w:firstLine="0"/>
              <w:rPr>
                <w:rFonts w:ascii="Verdana" w:hAnsi="Verdana"/>
                <w:b/>
                <w:sz w:val="16"/>
                <w:szCs w:val="16"/>
                <w:lang w:val="en-US"/>
              </w:rPr>
            </w:pPr>
            <w:r w:rsidRPr="00F01347">
              <w:rPr>
                <w:rFonts w:ascii="Verdana" w:hAnsi="Verdana"/>
                <w:b/>
                <w:sz w:val="16"/>
                <w:szCs w:val="16"/>
                <w:lang w:val="en-US"/>
              </w:rPr>
              <w:t xml:space="preserve">Manual extractor. </w:t>
            </w:r>
            <w:proofErr w:type="spellStart"/>
            <w:r w:rsidRPr="00F01347">
              <w:rPr>
                <w:rFonts w:ascii="Verdana" w:hAnsi="Verdana"/>
                <w:sz w:val="16"/>
                <w:szCs w:val="16"/>
                <w:lang w:val="en-US"/>
              </w:rPr>
              <w:t>Visiprep</w:t>
            </w:r>
            <w:proofErr w:type="spellEnd"/>
            <w:r w:rsidRPr="00F01347">
              <w:rPr>
                <w:rFonts w:ascii="Verdana" w:hAnsi="Verdana"/>
                <w:sz w:val="16"/>
                <w:szCs w:val="16"/>
                <w:lang w:val="en-US"/>
              </w:rPr>
              <w:t xml:space="preserve"> </w:t>
            </w:r>
            <w:r w:rsidRPr="00F01347">
              <w:rPr>
                <w:rFonts w:ascii="Verdana" w:hAnsi="Verdana"/>
                <w:noProof/>
                <w:sz w:val="16"/>
                <w:szCs w:val="16"/>
                <w:lang w:val="en-US"/>
              </w:rPr>
              <w:drawing>
                <wp:inline distT="0" distB="0" distL="0" distR="0" wp14:anchorId="1850F4EA" wp14:editId="74D07FDC">
                  <wp:extent cx="95250" cy="95250"/>
                  <wp:effectExtent l="0" t="0" r="0" b="0"/>
                  <wp:docPr id="1787484857" name="Picture 178748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01347">
              <w:rPr>
                <w:rFonts w:ascii="Verdana" w:hAnsi="Verdana"/>
                <w:sz w:val="16"/>
                <w:szCs w:val="16"/>
                <w:lang w:val="en-US"/>
              </w:rPr>
              <w:t>large volume model manual vacuum pump (</w:t>
            </w:r>
            <w:proofErr w:type="spellStart"/>
            <w:r w:rsidRPr="00F01347">
              <w:rPr>
                <w:rFonts w:ascii="Verdana" w:hAnsi="Verdana"/>
                <w:sz w:val="16"/>
                <w:szCs w:val="16"/>
                <w:lang w:val="en-US"/>
              </w:rPr>
              <w:t>Supelco</w:t>
            </w:r>
            <w:proofErr w:type="spellEnd"/>
            <w:r w:rsidRPr="00F01347">
              <w:rPr>
                <w:rFonts w:ascii="Verdana" w:hAnsi="Verdana"/>
                <w:sz w:val="16"/>
                <w:szCs w:val="16"/>
                <w:lang w:val="en-US"/>
              </w:rPr>
              <w:t xml:space="preserve"> # 57030 and #57275 or equivalent) for extraction cartridges.</w:t>
            </w:r>
          </w:p>
        </w:tc>
      </w:tr>
      <w:tr w:rsidR="00E87674" w:rsidRPr="00F01347" w14:paraId="5C0C73A7" w14:textId="4B8CBBEF" w:rsidTr="00CB209C">
        <w:tc>
          <w:tcPr>
            <w:tcW w:w="4675" w:type="dxa"/>
          </w:tcPr>
          <w:p w14:paraId="4D62A2CD" w14:textId="77777777" w:rsidR="00E87674" w:rsidRPr="00F01347" w:rsidRDefault="00E87674" w:rsidP="00E87674">
            <w:pPr>
              <w:pStyle w:val="texto0"/>
              <w:ind w:firstLine="0"/>
              <w:rPr>
                <w:rFonts w:ascii="Verdana" w:hAnsi="Verdana"/>
                <w:sz w:val="16"/>
                <w:szCs w:val="16"/>
              </w:rPr>
            </w:pPr>
            <w:r w:rsidRPr="00F01347">
              <w:rPr>
                <w:rFonts w:ascii="Verdana" w:hAnsi="Verdana"/>
                <w:b/>
                <w:sz w:val="16"/>
                <w:szCs w:val="16"/>
              </w:rPr>
              <w:t>Filtro de membrana.</w:t>
            </w:r>
            <w:r w:rsidRPr="00F01347">
              <w:rPr>
                <w:rFonts w:ascii="Verdana" w:hAnsi="Verdana"/>
                <w:sz w:val="16"/>
                <w:szCs w:val="16"/>
              </w:rPr>
              <w:t xml:space="preserve"> Membrana </w:t>
            </w:r>
            <w:proofErr w:type="spellStart"/>
            <w:r w:rsidRPr="00F01347">
              <w:rPr>
                <w:rFonts w:ascii="Verdana" w:hAnsi="Verdana"/>
                <w:sz w:val="16"/>
                <w:szCs w:val="16"/>
              </w:rPr>
              <w:t>nucleoporo</w:t>
            </w:r>
            <w:proofErr w:type="spellEnd"/>
            <w:r w:rsidRPr="00F01347">
              <w:rPr>
                <w:rFonts w:ascii="Verdana" w:hAnsi="Verdana"/>
                <w:sz w:val="16"/>
                <w:szCs w:val="16"/>
              </w:rPr>
              <w:t xml:space="preserve"> de filtro de policarbonato de 47 mm con un tamaño de poro 0.4 µm (Whatman # 111107 o equivalente).</w:t>
            </w:r>
          </w:p>
        </w:tc>
        <w:tc>
          <w:tcPr>
            <w:tcW w:w="4675" w:type="dxa"/>
          </w:tcPr>
          <w:p w14:paraId="71128CC6" w14:textId="7DC6065E" w:rsidR="00E87674" w:rsidRPr="00F01347" w:rsidRDefault="00E87674" w:rsidP="00E87674">
            <w:pPr>
              <w:pStyle w:val="texto0"/>
              <w:ind w:firstLine="0"/>
              <w:rPr>
                <w:rFonts w:ascii="Verdana" w:hAnsi="Verdana"/>
                <w:b/>
                <w:sz w:val="16"/>
                <w:szCs w:val="16"/>
                <w:lang w:val="en-US"/>
              </w:rPr>
            </w:pPr>
            <w:r w:rsidRPr="00F01347">
              <w:rPr>
                <w:rFonts w:ascii="Verdana" w:hAnsi="Verdana"/>
                <w:b/>
                <w:sz w:val="16"/>
                <w:szCs w:val="16"/>
                <w:lang w:val="en-US"/>
              </w:rPr>
              <w:t xml:space="preserve">Membrane filter. </w:t>
            </w:r>
            <w:r w:rsidRPr="00F01347">
              <w:rPr>
                <w:rFonts w:ascii="Verdana" w:hAnsi="Verdana"/>
                <w:sz w:val="16"/>
                <w:szCs w:val="16"/>
                <w:lang w:val="en-US"/>
              </w:rPr>
              <w:t>47mm polycarbonate filter nucleopore membrane with 0.4 µm pore size (Whatman #111107 or equivalent).</w:t>
            </w:r>
          </w:p>
        </w:tc>
      </w:tr>
      <w:tr w:rsidR="00E87674" w:rsidRPr="00F01347" w14:paraId="5E3130F8" w14:textId="262B4A3A" w:rsidTr="00CB209C">
        <w:tc>
          <w:tcPr>
            <w:tcW w:w="4675" w:type="dxa"/>
          </w:tcPr>
          <w:p w14:paraId="64BDBE0F" w14:textId="77777777" w:rsidR="00E87674" w:rsidRPr="00F01347" w:rsidRDefault="00E87674" w:rsidP="00E87674">
            <w:pPr>
              <w:pStyle w:val="texto0"/>
              <w:ind w:firstLine="0"/>
              <w:rPr>
                <w:rFonts w:ascii="Verdana" w:hAnsi="Verdana"/>
                <w:b/>
                <w:sz w:val="16"/>
                <w:szCs w:val="16"/>
              </w:rPr>
            </w:pPr>
            <w:proofErr w:type="spellStart"/>
            <w:r w:rsidRPr="00F01347">
              <w:rPr>
                <w:rFonts w:ascii="Verdana" w:hAnsi="Verdana"/>
                <w:b/>
                <w:sz w:val="16"/>
                <w:szCs w:val="16"/>
              </w:rPr>
              <w:t>Microjeringas</w:t>
            </w:r>
            <w:proofErr w:type="spellEnd"/>
            <w:r w:rsidRPr="00F01347">
              <w:rPr>
                <w:rFonts w:ascii="Verdana" w:hAnsi="Verdana"/>
                <w:sz w:val="16"/>
                <w:szCs w:val="16"/>
              </w:rPr>
              <w:t>. Los tamaños sugeridos incluyen jeringas de 5, 10, 25, 50, 100, 250, 500 y 1 000 µL.</w:t>
            </w:r>
          </w:p>
        </w:tc>
        <w:tc>
          <w:tcPr>
            <w:tcW w:w="4675" w:type="dxa"/>
          </w:tcPr>
          <w:p w14:paraId="65CB50CF" w14:textId="65B6885E" w:rsidR="00E87674" w:rsidRPr="00F01347" w:rsidRDefault="00E87674" w:rsidP="00E87674">
            <w:pPr>
              <w:pStyle w:val="texto0"/>
              <w:ind w:firstLine="0"/>
              <w:rPr>
                <w:rFonts w:ascii="Verdana" w:hAnsi="Verdana"/>
                <w:b/>
                <w:sz w:val="16"/>
                <w:szCs w:val="16"/>
                <w:lang w:val="en-US"/>
              </w:rPr>
            </w:pPr>
            <w:proofErr w:type="spellStart"/>
            <w:r w:rsidRPr="00F01347">
              <w:rPr>
                <w:rFonts w:ascii="Verdana" w:hAnsi="Verdana"/>
                <w:b/>
                <w:sz w:val="16"/>
                <w:szCs w:val="16"/>
                <w:lang w:val="en-US"/>
              </w:rPr>
              <w:t>Microsyringes</w:t>
            </w:r>
            <w:proofErr w:type="spellEnd"/>
            <w:r w:rsidR="003E1BA9" w:rsidRPr="00F01347">
              <w:rPr>
                <w:rFonts w:ascii="Verdana" w:hAnsi="Verdana"/>
                <w:b/>
                <w:sz w:val="16"/>
                <w:szCs w:val="16"/>
                <w:lang w:val="en-US"/>
              </w:rPr>
              <w:t>.</w:t>
            </w:r>
            <w:r w:rsidRPr="00F01347">
              <w:rPr>
                <w:rFonts w:ascii="Verdana" w:hAnsi="Verdana"/>
                <w:sz w:val="16"/>
                <w:szCs w:val="16"/>
                <w:lang w:val="en-US"/>
              </w:rPr>
              <w:t xml:space="preserve"> Suggested sizes include 5, 10, 25, 50, 100, 250, 500, and 1,000 µL syringes.</w:t>
            </w:r>
          </w:p>
        </w:tc>
      </w:tr>
      <w:tr w:rsidR="00E87674" w:rsidRPr="00F01347" w14:paraId="019F5E2D" w14:textId="1B7DE81E" w:rsidTr="00CB209C">
        <w:tc>
          <w:tcPr>
            <w:tcW w:w="4675" w:type="dxa"/>
          </w:tcPr>
          <w:p w14:paraId="20308D09" w14:textId="77777777" w:rsidR="00E87674" w:rsidRPr="00F01347" w:rsidRDefault="00E87674" w:rsidP="00E87674">
            <w:pPr>
              <w:pStyle w:val="texto0"/>
              <w:ind w:firstLine="0"/>
              <w:rPr>
                <w:rFonts w:ascii="Verdana" w:hAnsi="Verdana"/>
                <w:sz w:val="16"/>
                <w:szCs w:val="16"/>
              </w:rPr>
            </w:pPr>
            <w:r w:rsidRPr="00F01347">
              <w:rPr>
                <w:rFonts w:ascii="Verdana" w:hAnsi="Verdana"/>
                <w:b/>
                <w:sz w:val="16"/>
                <w:szCs w:val="16"/>
              </w:rPr>
              <w:t>Sistema de concentración de extracto.</w:t>
            </w:r>
            <w:r w:rsidRPr="00F01347">
              <w:rPr>
                <w:rFonts w:ascii="Verdana" w:hAnsi="Verdana"/>
                <w:sz w:val="16"/>
                <w:szCs w:val="16"/>
              </w:rPr>
              <w:t xml:space="preserve"> Los extractos se concentran por evaporación con nitrógeno utilizando un baño de agua con una temperatura no mayor a 60 °C (Meyer N-</w:t>
            </w:r>
            <w:proofErr w:type="spellStart"/>
            <w:r w:rsidRPr="00F01347">
              <w:rPr>
                <w:rFonts w:ascii="Verdana" w:hAnsi="Verdana"/>
                <w:sz w:val="16"/>
                <w:szCs w:val="16"/>
              </w:rPr>
              <w:t>Evap</w:t>
            </w:r>
            <w:proofErr w:type="spellEnd"/>
            <w:r w:rsidRPr="00F01347">
              <w:rPr>
                <w:rFonts w:ascii="Verdana" w:hAnsi="Verdana"/>
                <w:sz w:val="16"/>
                <w:szCs w:val="16"/>
              </w:rPr>
              <w:t xml:space="preserve">, Modelo 111, </w:t>
            </w:r>
            <w:proofErr w:type="spellStart"/>
            <w:r w:rsidRPr="00F01347">
              <w:rPr>
                <w:rFonts w:ascii="Verdana" w:hAnsi="Verdana"/>
                <w:sz w:val="16"/>
                <w:szCs w:val="16"/>
              </w:rPr>
              <w:t>Organomation</w:t>
            </w:r>
            <w:proofErr w:type="spellEnd"/>
            <w:r w:rsidRPr="00F01347">
              <w:rPr>
                <w:rFonts w:ascii="Verdana" w:hAnsi="Verdana"/>
                <w:sz w:val="16"/>
                <w:szCs w:val="16"/>
              </w:rPr>
              <w:t xml:space="preserve"> </w:t>
            </w:r>
            <w:proofErr w:type="spellStart"/>
            <w:r w:rsidRPr="00F01347">
              <w:rPr>
                <w:rFonts w:ascii="Verdana" w:hAnsi="Verdana"/>
                <w:sz w:val="16"/>
                <w:szCs w:val="16"/>
              </w:rPr>
              <w:t>Associates</w:t>
            </w:r>
            <w:proofErr w:type="spellEnd"/>
            <w:r w:rsidRPr="00F01347">
              <w:rPr>
                <w:rFonts w:ascii="Verdana" w:hAnsi="Verdana"/>
                <w:sz w:val="16"/>
                <w:szCs w:val="16"/>
              </w:rPr>
              <w:t>, Inc. o equivalente)</w:t>
            </w:r>
          </w:p>
        </w:tc>
        <w:tc>
          <w:tcPr>
            <w:tcW w:w="4675" w:type="dxa"/>
          </w:tcPr>
          <w:p w14:paraId="483E7C8C" w14:textId="0EADC040" w:rsidR="00E87674" w:rsidRPr="00F01347" w:rsidRDefault="00E87674" w:rsidP="00E87674">
            <w:pPr>
              <w:pStyle w:val="texto0"/>
              <w:ind w:firstLine="0"/>
              <w:rPr>
                <w:rFonts w:ascii="Verdana" w:hAnsi="Verdana"/>
                <w:b/>
                <w:sz w:val="16"/>
                <w:szCs w:val="16"/>
                <w:lang w:val="en-US"/>
              </w:rPr>
            </w:pPr>
            <w:r w:rsidRPr="00F01347">
              <w:rPr>
                <w:rFonts w:ascii="Verdana" w:hAnsi="Verdana"/>
                <w:b/>
                <w:sz w:val="16"/>
                <w:szCs w:val="16"/>
                <w:lang w:val="en-US"/>
              </w:rPr>
              <w:t xml:space="preserve">Extract concentration system. </w:t>
            </w:r>
            <w:r w:rsidRPr="00F01347">
              <w:rPr>
                <w:rFonts w:ascii="Verdana" w:hAnsi="Verdana"/>
                <w:sz w:val="16"/>
                <w:szCs w:val="16"/>
                <w:lang w:val="en-US"/>
              </w:rPr>
              <w:t xml:space="preserve">The extracts are concentrated by evaporation with nitrogen using a water bath with a temperature no higher than 60 °C (Meyer N- </w:t>
            </w:r>
            <w:proofErr w:type="spellStart"/>
            <w:r w:rsidRPr="00F01347">
              <w:rPr>
                <w:rFonts w:ascii="Verdana" w:hAnsi="Verdana"/>
                <w:sz w:val="16"/>
                <w:szCs w:val="16"/>
                <w:lang w:val="en-US"/>
              </w:rPr>
              <w:t>Evap</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Model 111, </w:t>
            </w:r>
            <w:proofErr w:type="spellStart"/>
            <w:r w:rsidRPr="00F01347">
              <w:rPr>
                <w:rFonts w:ascii="Verdana" w:hAnsi="Verdana"/>
                <w:sz w:val="16"/>
                <w:szCs w:val="16"/>
                <w:lang w:val="en-US"/>
              </w:rPr>
              <w:t>Organomation</w:t>
            </w:r>
            <w:proofErr w:type="spellEnd"/>
            <w:r w:rsidRPr="00F01347">
              <w:rPr>
                <w:rFonts w:ascii="Verdana" w:hAnsi="Verdana"/>
                <w:sz w:val="16"/>
                <w:szCs w:val="16"/>
                <w:lang w:val="en-US"/>
              </w:rPr>
              <w:t xml:space="preserve"> Associates</w:t>
            </w:r>
            <w:r w:rsidR="003E1BA9" w:rsidRPr="00F01347">
              <w:rPr>
                <w:rFonts w:ascii="Verdana" w:hAnsi="Verdana"/>
                <w:sz w:val="16"/>
                <w:szCs w:val="16"/>
                <w:lang w:val="en-US"/>
              </w:rPr>
              <w:t>,</w:t>
            </w:r>
            <w:r w:rsidRPr="00F01347">
              <w:rPr>
                <w:rFonts w:ascii="Verdana" w:hAnsi="Verdana"/>
                <w:sz w:val="16"/>
                <w:szCs w:val="16"/>
                <w:lang w:val="en-US"/>
              </w:rPr>
              <w:t xml:space="preserve"> Inc. or equivalent)</w:t>
            </w:r>
          </w:p>
        </w:tc>
      </w:tr>
      <w:tr w:rsidR="00E87674" w:rsidRPr="00F01347" w14:paraId="648C2B32" w14:textId="4BC5B55B" w:rsidTr="00CB209C">
        <w:tc>
          <w:tcPr>
            <w:tcW w:w="4675" w:type="dxa"/>
          </w:tcPr>
          <w:p w14:paraId="59EC97E6" w14:textId="77777777" w:rsidR="00E87674" w:rsidRPr="00F01347" w:rsidRDefault="00E87674" w:rsidP="00E87674">
            <w:pPr>
              <w:pStyle w:val="texto0"/>
              <w:ind w:firstLine="0"/>
              <w:rPr>
                <w:rFonts w:ascii="Verdana" w:hAnsi="Verdana"/>
                <w:sz w:val="16"/>
                <w:szCs w:val="16"/>
              </w:rPr>
            </w:pPr>
            <w:r w:rsidRPr="00F01347">
              <w:rPr>
                <w:rFonts w:ascii="Verdana" w:hAnsi="Verdana"/>
                <w:b/>
                <w:sz w:val="16"/>
                <w:szCs w:val="16"/>
              </w:rPr>
              <w:t xml:space="preserve">Sistema de datos. </w:t>
            </w:r>
            <w:r w:rsidRPr="00F01347">
              <w:rPr>
                <w:rFonts w:ascii="Verdana" w:hAnsi="Verdana"/>
                <w:sz w:val="16"/>
                <w:szCs w:val="16"/>
              </w:rPr>
              <w:t>Se requiere un sistema de datos interconectado para adquirir, almacenar, reducir y producir datos espectrales de masa. El software de la computadora debe tener la capacidad de procesar datos de LC/MS/MS almacenados, reconociendo un pico de LC dentro de cualquier ventana de tiempo de retención dada. El software debe permitir la integración de la abundancia de iones de cualquier ion específico dentro del tiempo especificado o dentro del límite del número de escaneo. El software debe ser capaz de calcular los factores de respuesta relativa, construir regresiones lineales o curvas cuadráticas de calibración, y calcular las concentraciones del analito</w:t>
            </w:r>
            <w:r w:rsidRPr="00F01347">
              <w:rPr>
                <w:rFonts w:ascii="Verdana" w:hAnsi="Verdana"/>
                <w:color w:val="000000"/>
                <w:sz w:val="16"/>
                <w:szCs w:val="16"/>
              </w:rPr>
              <w:t xml:space="preserve"> de interés</w:t>
            </w:r>
            <w:r w:rsidRPr="00F01347">
              <w:rPr>
                <w:rFonts w:ascii="Verdana" w:hAnsi="Verdana"/>
                <w:sz w:val="16"/>
                <w:szCs w:val="16"/>
              </w:rPr>
              <w:t>.</w:t>
            </w:r>
          </w:p>
        </w:tc>
        <w:tc>
          <w:tcPr>
            <w:tcW w:w="4675" w:type="dxa"/>
          </w:tcPr>
          <w:p w14:paraId="7ACB3CC5" w14:textId="0CCEF853" w:rsidR="00E87674" w:rsidRPr="00F01347" w:rsidRDefault="00E87674" w:rsidP="00E87674">
            <w:pPr>
              <w:pStyle w:val="texto0"/>
              <w:ind w:firstLine="0"/>
              <w:rPr>
                <w:rFonts w:ascii="Verdana" w:hAnsi="Verdana"/>
                <w:b/>
                <w:sz w:val="16"/>
                <w:szCs w:val="16"/>
                <w:lang w:val="en-US"/>
              </w:rPr>
            </w:pPr>
            <w:r w:rsidRPr="00F01347">
              <w:rPr>
                <w:rFonts w:ascii="Verdana" w:hAnsi="Verdana"/>
                <w:b/>
                <w:sz w:val="16"/>
                <w:szCs w:val="16"/>
                <w:lang w:val="en-US"/>
              </w:rPr>
              <w:t xml:space="preserve">Data system. </w:t>
            </w:r>
            <w:r w:rsidRPr="00F01347">
              <w:rPr>
                <w:rFonts w:ascii="Verdana" w:hAnsi="Verdana"/>
                <w:sz w:val="16"/>
                <w:szCs w:val="16"/>
                <w:lang w:val="en-US"/>
              </w:rPr>
              <w:t xml:space="preserve">An interconnected data system is required to acquire, store, reduce and produce mass spectral data. The computer software must have the ability to process stored LC/MS/MS data, recognizing an LC peak within any given retention time window. The software must allow integration of ion abundance of any specific ion within the specified time or within the scan number limit. The software must be able to calculate relative response factors, construct linear regressions or quadratic calibration curves, and calculate concentrations of the analyte </w:t>
            </w:r>
            <w:r w:rsidRPr="00F01347">
              <w:rPr>
                <w:rFonts w:ascii="Verdana" w:hAnsi="Verdana"/>
                <w:color w:val="000000"/>
                <w:sz w:val="16"/>
                <w:szCs w:val="16"/>
                <w:lang w:val="en-US"/>
              </w:rPr>
              <w:t>of interest</w:t>
            </w:r>
            <w:r w:rsidR="003E1BA9" w:rsidRPr="00F01347">
              <w:rPr>
                <w:rFonts w:ascii="Verdana" w:hAnsi="Verdana"/>
                <w:color w:val="000000"/>
                <w:sz w:val="16"/>
                <w:szCs w:val="16"/>
                <w:lang w:val="en-US"/>
              </w:rPr>
              <w:t>.</w:t>
            </w:r>
          </w:p>
        </w:tc>
      </w:tr>
      <w:tr w:rsidR="00E87674" w:rsidRPr="00F01347" w14:paraId="7A562722" w14:textId="1F9D4DEC" w:rsidTr="00CB209C">
        <w:tc>
          <w:tcPr>
            <w:tcW w:w="4675" w:type="dxa"/>
          </w:tcPr>
          <w:p w14:paraId="7061FDE5" w14:textId="77777777" w:rsidR="00E87674" w:rsidRPr="00F01347" w:rsidRDefault="00E87674" w:rsidP="00E87674">
            <w:pPr>
              <w:pStyle w:val="texto0"/>
              <w:ind w:firstLine="0"/>
              <w:rPr>
                <w:rFonts w:ascii="Verdana" w:hAnsi="Verdana"/>
                <w:sz w:val="16"/>
                <w:szCs w:val="16"/>
              </w:rPr>
            </w:pPr>
            <w:r w:rsidRPr="00F01347">
              <w:rPr>
                <w:rFonts w:ascii="Verdana" w:hAnsi="Verdana"/>
                <w:b/>
                <w:sz w:val="16"/>
                <w:szCs w:val="16"/>
              </w:rPr>
              <w:t>Sistema de liberación muestras.</w:t>
            </w:r>
            <w:r w:rsidRPr="00F01347">
              <w:rPr>
                <w:rFonts w:ascii="Verdana" w:hAnsi="Verdana"/>
                <w:sz w:val="16"/>
                <w:szCs w:val="16"/>
              </w:rPr>
              <w:t xml:space="preserve"> Se recomienda el uso de un sistema de tubos de transferencia (</w:t>
            </w:r>
            <w:proofErr w:type="spellStart"/>
            <w:r w:rsidRPr="00F01347">
              <w:rPr>
                <w:rFonts w:ascii="Verdana" w:hAnsi="Verdana"/>
                <w:sz w:val="16"/>
                <w:szCs w:val="16"/>
              </w:rPr>
              <w:t>Supelco</w:t>
            </w:r>
            <w:proofErr w:type="spellEnd"/>
            <w:r w:rsidRPr="00F01347">
              <w:rPr>
                <w:rFonts w:ascii="Verdana" w:hAnsi="Verdana"/>
                <w:sz w:val="16"/>
                <w:szCs w:val="16"/>
              </w:rPr>
              <w:t xml:space="preserve"> "</w:t>
            </w:r>
            <w:proofErr w:type="spellStart"/>
            <w:r w:rsidRPr="00F01347">
              <w:rPr>
                <w:rFonts w:ascii="Verdana" w:hAnsi="Verdana"/>
                <w:sz w:val="16"/>
                <w:szCs w:val="16"/>
              </w:rPr>
              <w:t>Visiprep</w:t>
            </w:r>
            <w:proofErr w:type="spellEnd"/>
            <w:r w:rsidRPr="00F01347">
              <w:rPr>
                <w:rFonts w:ascii="Verdana" w:hAnsi="Verdana"/>
                <w:sz w:val="16"/>
                <w:szCs w:val="16"/>
              </w:rPr>
              <w:t>", # 57275 o equivalente), para transferir la muestra directamente del contenedor de muestra al cartucho de SPE.</w:t>
            </w:r>
          </w:p>
        </w:tc>
        <w:tc>
          <w:tcPr>
            <w:tcW w:w="4675" w:type="dxa"/>
          </w:tcPr>
          <w:p w14:paraId="70C32CD4" w14:textId="40F09EAB" w:rsidR="00E87674" w:rsidRPr="00F01347" w:rsidRDefault="00E87674" w:rsidP="00E87674">
            <w:pPr>
              <w:pStyle w:val="texto0"/>
              <w:ind w:firstLine="0"/>
              <w:rPr>
                <w:rFonts w:ascii="Verdana" w:hAnsi="Verdana"/>
                <w:b/>
                <w:sz w:val="16"/>
                <w:szCs w:val="16"/>
                <w:lang w:val="en-US"/>
              </w:rPr>
            </w:pPr>
            <w:r w:rsidRPr="00F01347">
              <w:rPr>
                <w:rFonts w:ascii="Verdana" w:hAnsi="Verdana"/>
                <w:b/>
                <w:sz w:val="16"/>
                <w:szCs w:val="16"/>
                <w:lang w:val="en-US"/>
              </w:rPr>
              <w:t xml:space="preserve">Sample release system. </w:t>
            </w:r>
            <w:r w:rsidRPr="00F01347">
              <w:rPr>
                <w:rFonts w:ascii="Verdana" w:hAnsi="Verdana"/>
                <w:sz w:val="16"/>
                <w:szCs w:val="16"/>
                <w:lang w:val="en-US"/>
              </w:rPr>
              <w:t xml:space="preserve">The use of a transfer tubing system </w:t>
            </w:r>
            <w:r w:rsidR="00CB209C" w:rsidRPr="00F01347">
              <w:rPr>
                <w:rFonts w:ascii="Verdana" w:hAnsi="Verdana"/>
                <w:sz w:val="16"/>
                <w:szCs w:val="16"/>
                <w:lang w:val="en-US"/>
              </w:rPr>
              <w:t>(</w:t>
            </w:r>
            <w:proofErr w:type="spellStart"/>
            <w:r w:rsidRPr="00F01347">
              <w:rPr>
                <w:rFonts w:ascii="Verdana" w:hAnsi="Verdana"/>
                <w:sz w:val="16"/>
                <w:szCs w:val="16"/>
                <w:lang w:val="en-US"/>
              </w:rPr>
              <w:t>Supelco</w:t>
            </w:r>
            <w:proofErr w:type="spellEnd"/>
            <w:r w:rsidRPr="00F01347">
              <w:rPr>
                <w:rFonts w:ascii="Verdana" w:hAnsi="Verdana"/>
                <w:sz w:val="16"/>
                <w:szCs w:val="16"/>
                <w:lang w:val="en-US"/>
              </w:rPr>
              <w:t xml:space="preserve"> " </w:t>
            </w:r>
            <w:proofErr w:type="spellStart"/>
            <w:r w:rsidRPr="00F01347">
              <w:rPr>
                <w:rFonts w:ascii="Verdana" w:hAnsi="Verdana"/>
                <w:sz w:val="16"/>
                <w:szCs w:val="16"/>
                <w:lang w:val="en-US"/>
              </w:rPr>
              <w:t>Visiprep</w:t>
            </w:r>
            <w:proofErr w:type="spellEnd"/>
            <w:r w:rsidR="00CB209C" w:rsidRPr="00F01347">
              <w:rPr>
                <w:rFonts w:ascii="Verdana" w:hAnsi="Verdana"/>
                <w:sz w:val="16"/>
                <w:szCs w:val="16"/>
                <w:lang w:val="en-US"/>
              </w:rPr>
              <w:t>,</w:t>
            </w:r>
            <w:r w:rsidRPr="00F01347">
              <w:rPr>
                <w:rFonts w:ascii="Verdana" w:hAnsi="Verdana"/>
                <w:sz w:val="16"/>
                <w:szCs w:val="16"/>
                <w:lang w:val="en-US"/>
              </w:rPr>
              <w:t>" #57275 or equivalent) is recommended to transfer the sample directly from the sample container to the SPE cartridge.</w:t>
            </w:r>
          </w:p>
        </w:tc>
      </w:tr>
      <w:tr w:rsidR="00E87674" w:rsidRPr="00F01347" w14:paraId="62556917" w14:textId="0EA538A4" w:rsidTr="00CB209C">
        <w:tc>
          <w:tcPr>
            <w:tcW w:w="4675" w:type="dxa"/>
          </w:tcPr>
          <w:p w14:paraId="562847C0" w14:textId="77777777" w:rsidR="00E87674" w:rsidRPr="00F01347" w:rsidRDefault="00E87674" w:rsidP="00E87674">
            <w:pPr>
              <w:pStyle w:val="texto0"/>
              <w:ind w:firstLine="0"/>
              <w:rPr>
                <w:rFonts w:ascii="Verdana" w:hAnsi="Verdana"/>
                <w:sz w:val="16"/>
                <w:szCs w:val="16"/>
              </w:rPr>
            </w:pPr>
            <w:r w:rsidRPr="00F01347">
              <w:rPr>
                <w:rFonts w:ascii="Verdana" w:hAnsi="Verdana"/>
                <w:b/>
                <w:sz w:val="16"/>
                <w:szCs w:val="16"/>
              </w:rPr>
              <w:t>Sistema de vacío de laboratorio o aspirador.</w:t>
            </w:r>
            <w:r w:rsidRPr="00F01347">
              <w:rPr>
                <w:rFonts w:ascii="Verdana" w:hAnsi="Verdana"/>
                <w:sz w:val="16"/>
                <w:szCs w:val="16"/>
              </w:rPr>
              <w:t xml:space="preserve"> Con una capacidad suficiente para mantener un vacío de aproximadamente 10 a 15 pulgadas de mercurio para extraer cartuchos.</w:t>
            </w:r>
          </w:p>
        </w:tc>
        <w:tc>
          <w:tcPr>
            <w:tcW w:w="4675" w:type="dxa"/>
          </w:tcPr>
          <w:p w14:paraId="737AA366" w14:textId="13562B7D" w:rsidR="00E87674" w:rsidRPr="00F01347" w:rsidRDefault="00E87674" w:rsidP="00E87674">
            <w:pPr>
              <w:pStyle w:val="texto0"/>
              <w:ind w:firstLine="0"/>
              <w:rPr>
                <w:rFonts w:ascii="Verdana" w:hAnsi="Verdana"/>
                <w:b/>
                <w:sz w:val="16"/>
                <w:szCs w:val="16"/>
                <w:lang w:val="en-US"/>
              </w:rPr>
            </w:pPr>
            <w:r w:rsidRPr="00F01347">
              <w:rPr>
                <w:rFonts w:ascii="Verdana" w:hAnsi="Verdana"/>
                <w:b/>
                <w:sz w:val="16"/>
                <w:szCs w:val="16"/>
                <w:lang w:val="en-US"/>
              </w:rPr>
              <w:t xml:space="preserve">Laboratory vacuum system or aspirator. </w:t>
            </w:r>
            <w:r w:rsidRPr="00F01347">
              <w:rPr>
                <w:rFonts w:ascii="Verdana" w:hAnsi="Verdana"/>
                <w:sz w:val="16"/>
                <w:szCs w:val="16"/>
                <w:lang w:val="en-US"/>
              </w:rPr>
              <w:t>With a capacity sufficient to maintain a vacuum of approximately 10 to 15 inches of mercury to extract cartridges.</w:t>
            </w:r>
          </w:p>
        </w:tc>
      </w:tr>
      <w:tr w:rsidR="00E87674" w:rsidRPr="00F01347" w14:paraId="76BF729E" w14:textId="63A972A2" w:rsidTr="00CB209C">
        <w:tc>
          <w:tcPr>
            <w:tcW w:w="4675" w:type="dxa"/>
          </w:tcPr>
          <w:p w14:paraId="01AD771E" w14:textId="77777777" w:rsidR="00E87674" w:rsidRPr="00F01347" w:rsidRDefault="00E87674" w:rsidP="00E87674">
            <w:pPr>
              <w:pStyle w:val="texto0"/>
              <w:ind w:firstLine="0"/>
              <w:rPr>
                <w:rFonts w:ascii="Verdana" w:hAnsi="Verdana"/>
                <w:sz w:val="16"/>
                <w:szCs w:val="16"/>
              </w:rPr>
            </w:pPr>
            <w:r w:rsidRPr="00F01347">
              <w:rPr>
                <w:rFonts w:ascii="Verdana" w:hAnsi="Verdana"/>
                <w:b/>
                <w:sz w:val="16"/>
                <w:szCs w:val="16"/>
              </w:rPr>
              <w:t>Sistema para cromatografía líquida (LC).</w:t>
            </w:r>
            <w:r w:rsidRPr="00F01347">
              <w:rPr>
                <w:rFonts w:ascii="Verdana" w:hAnsi="Verdana"/>
                <w:sz w:val="16"/>
                <w:szCs w:val="16"/>
              </w:rPr>
              <w:t xml:space="preserve"> Instrumento capaz de inyectar de forma reproducible alícuotas de hasta 10 µL y realizar gradientes lineales binarios a un flujo constante cerca del flujo utilizado para el desarrollo de este método (0.3mL/min). El uso de un calentador de columna es opcional.</w:t>
            </w:r>
          </w:p>
        </w:tc>
        <w:tc>
          <w:tcPr>
            <w:tcW w:w="4675" w:type="dxa"/>
          </w:tcPr>
          <w:p w14:paraId="769F96AD" w14:textId="6BCF20C4" w:rsidR="00E87674" w:rsidRPr="00F01347" w:rsidRDefault="00E87674" w:rsidP="00E87674">
            <w:pPr>
              <w:pStyle w:val="texto0"/>
              <w:ind w:firstLine="0"/>
              <w:rPr>
                <w:rFonts w:ascii="Verdana" w:hAnsi="Verdana"/>
                <w:b/>
                <w:sz w:val="16"/>
                <w:szCs w:val="16"/>
                <w:lang w:val="en-US"/>
              </w:rPr>
            </w:pPr>
            <w:r w:rsidRPr="00F01347">
              <w:rPr>
                <w:rFonts w:ascii="Verdana" w:hAnsi="Verdana"/>
                <w:b/>
                <w:sz w:val="16"/>
                <w:szCs w:val="16"/>
                <w:lang w:val="en-US"/>
              </w:rPr>
              <w:t xml:space="preserve">System for liquid chromatography (LC). </w:t>
            </w:r>
            <w:r w:rsidRPr="00F01347">
              <w:rPr>
                <w:rFonts w:ascii="Verdana" w:hAnsi="Verdana"/>
                <w:sz w:val="16"/>
                <w:szCs w:val="16"/>
                <w:lang w:val="en-US"/>
              </w:rPr>
              <w:t>Instrument capable of reproducibly injecting aliquots of up to 10 µL and performing binary linear gradients at a constant flow close to the flow used for the development of this method (0.3mL/min). The use of a column heater is optional.</w:t>
            </w:r>
          </w:p>
        </w:tc>
      </w:tr>
      <w:tr w:rsidR="00E87674" w:rsidRPr="00F01347" w14:paraId="07C258AD" w14:textId="7740193D" w:rsidTr="00CB209C">
        <w:tc>
          <w:tcPr>
            <w:tcW w:w="4675" w:type="dxa"/>
          </w:tcPr>
          <w:p w14:paraId="299D0480" w14:textId="77777777" w:rsidR="00E87674" w:rsidRPr="00F01347" w:rsidRDefault="00E87674" w:rsidP="00E87674">
            <w:pPr>
              <w:pStyle w:val="texto0"/>
              <w:ind w:firstLine="0"/>
              <w:rPr>
                <w:rFonts w:ascii="Verdana" w:hAnsi="Verdana"/>
                <w:sz w:val="16"/>
                <w:szCs w:val="16"/>
              </w:rPr>
            </w:pPr>
            <w:r w:rsidRPr="00F01347">
              <w:rPr>
                <w:rFonts w:ascii="Verdana" w:hAnsi="Verdana"/>
                <w:b/>
                <w:sz w:val="16"/>
                <w:szCs w:val="16"/>
              </w:rPr>
              <w:t xml:space="preserve">Tapa de botella con agujero. </w:t>
            </w:r>
            <w:r w:rsidRPr="00F01347">
              <w:rPr>
                <w:rFonts w:ascii="Verdana" w:hAnsi="Verdana"/>
                <w:sz w:val="16"/>
                <w:szCs w:val="16"/>
              </w:rPr>
              <w:t>Tapa GL45 para botella con orificio para la base del soporte del filtro (Kimble # 410170-4534, o equivalente).</w:t>
            </w:r>
          </w:p>
        </w:tc>
        <w:tc>
          <w:tcPr>
            <w:tcW w:w="4675" w:type="dxa"/>
          </w:tcPr>
          <w:p w14:paraId="71152F05" w14:textId="287BBF9B" w:rsidR="00E87674" w:rsidRPr="00F01347" w:rsidRDefault="00E87674" w:rsidP="00E87674">
            <w:pPr>
              <w:pStyle w:val="texto0"/>
              <w:ind w:firstLine="0"/>
              <w:rPr>
                <w:rFonts w:ascii="Verdana" w:hAnsi="Verdana"/>
                <w:b/>
                <w:sz w:val="16"/>
                <w:szCs w:val="16"/>
                <w:lang w:val="en-US"/>
              </w:rPr>
            </w:pPr>
            <w:r w:rsidRPr="00F01347">
              <w:rPr>
                <w:rFonts w:ascii="Verdana" w:hAnsi="Verdana"/>
                <w:b/>
                <w:sz w:val="16"/>
                <w:szCs w:val="16"/>
                <w:lang w:val="en-US"/>
              </w:rPr>
              <w:t xml:space="preserve">Bottle cap with hole. </w:t>
            </w:r>
            <w:r w:rsidRPr="00F01347">
              <w:rPr>
                <w:rFonts w:ascii="Verdana" w:hAnsi="Verdana"/>
                <w:sz w:val="16"/>
                <w:szCs w:val="16"/>
                <w:lang w:val="en-US"/>
              </w:rPr>
              <w:t>GL45 bottle cap with hole for filter holder base (Kimble #410170-4534, or equivalent).</w:t>
            </w:r>
          </w:p>
        </w:tc>
      </w:tr>
      <w:tr w:rsidR="00E87674" w:rsidRPr="00F01347" w14:paraId="70508439" w14:textId="6B351032" w:rsidTr="00CB209C">
        <w:tc>
          <w:tcPr>
            <w:tcW w:w="4675" w:type="dxa"/>
          </w:tcPr>
          <w:p w14:paraId="45D0A4D6" w14:textId="77777777" w:rsidR="00E87674" w:rsidRPr="00F01347" w:rsidRDefault="00E87674" w:rsidP="00E87674">
            <w:pPr>
              <w:pStyle w:val="texto0"/>
              <w:spacing w:line="227" w:lineRule="exact"/>
              <w:ind w:firstLine="0"/>
              <w:rPr>
                <w:rFonts w:ascii="Verdana" w:hAnsi="Verdana"/>
                <w:sz w:val="16"/>
                <w:szCs w:val="16"/>
              </w:rPr>
            </w:pPr>
            <w:r w:rsidRPr="00F01347">
              <w:rPr>
                <w:rFonts w:ascii="Verdana" w:hAnsi="Verdana"/>
                <w:b/>
                <w:sz w:val="16"/>
                <w:szCs w:val="16"/>
              </w:rPr>
              <w:t>Tubos cónicos de centrífuga.</w:t>
            </w:r>
            <w:r w:rsidRPr="00F01347">
              <w:rPr>
                <w:rFonts w:ascii="Verdana" w:hAnsi="Verdana"/>
                <w:sz w:val="16"/>
                <w:szCs w:val="16"/>
              </w:rPr>
              <w:t xml:space="preserve"> Tubos cónicos de centrifugación de vidrio de 15 ml (Corning # 8082-15) u otra cristalería adecuada para recolectar el eluyente de la fase sólida después de la extracción.</w:t>
            </w:r>
          </w:p>
        </w:tc>
        <w:tc>
          <w:tcPr>
            <w:tcW w:w="4675" w:type="dxa"/>
          </w:tcPr>
          <w:p w14:paraId="6DBB2FCB" w14:textId="315447B4" w:rsidR="00E87674" w:rsidRPr="00F01347" w:rsidRDefault="00E87674" w:rsidP="00E87674">
            <w:pPr>
              <w:pStyle w:val="texto0"/>
              <w:spacing w:line="227" w:lineRule="exact"/>
              <w:ind w:firstLine="0"/>
              <w:rPr>
                <w:rFonts w:ascii="Verdana" w:hAnsi="Verdana"/>
                <w:b/>
                <w:sz w:val="16"/>
                <w:szCs w:val="16"/>
                <w:lang w:val="en-US"/>
              </w:rPr>
            </w:pPr>
            <w:r w:rsidRPr="00F01347">
              <w:rPr>
                <w:rFonts w:ascii="Verdana" w:hAnsi="Verdana"/>
                <w:b/>
                <w:sz w:val="16"/>
                <w:szCs w:val="16"/>
                <w:lang w:val="en-US"/>
              </w:rPr>
              <w:t xml:space="preserve">Conical centrifuge tubes. </w:t>
            </w:r>
            <w:r w:rsidRPr="00F01347">
              <w:rPr>
                <w:rFonts w:ascii="Verdana" w:hAnsi="Verdana"/>
                <w:sz w:val="16"/>
                <w:szCs w:val="16"/>
                <w:lang w:val="en-US"/>
              </w:rPr>
              <w:t>15 mL conical glass centrifugation tubes (Corning #8082-15) or other suitable glassware to collect solid phase eluent after extraction.</w:t>
            </w:r>
          </w:p>
        </w:tc>
      </w:tr>
      <w:tr w:rsidR="00E87674" w:rsidRPr="00F01347" w14:paraId="41725F15" w14:textId="7C32AA77" w:rsidTr="00CB209C">
        <w:tc>
          <w:tcPr>
            <w:tcW w:w="4675" w:type="dxa"/>
          </w:tcPr>
          <w:p w14:paraId="5BED80C8" w14:textId="77777777" w:rsidR="00E87674" w:rsidRPr="00F01347" w:rsidRDefault="00E87674" w:rsidP="00E87674">
            <w:pPr>
              <w:pStyle w:val="texto0"/>
              <w:spacing w:line="227" w:lineRule="exact"/>
              <w:ind w:firstLine="0"/>
              <w:rPr>
                <w:rFonts w:ascii="Verdana" w:hAnsi="Verdana"/>
                <w:sz w:val="16"/>
                <w:szCs w:val="16"/>
              </w:rPr>
            </w:pPr>
            <w:r w:rsidRPr="00F01347">
              <w:rPr>
                <w:rFonts w:ascii="Verdana" w:hAnsi="Verdana"/>
                <w:b/>
                <w:sz w:val="16"/>
                <w:szCs w:val="16"/>
              </w:rPr>
              <w:t>Tubos de cultivo de fondo redondo</w:t>
            </w:r>
            <w:r w:rsidRPr="00F01347">
              <w:rPr>
                <w:rFonts w:ascii="Verdana" w:hAnsi="Verdana"/>
                <w:sz w:val="16"/>
                <w:szCs w:val="16"/>
              </w:rPr>
              <w:t>. Tubos de cultivo de fondo redondo de vidrio de 15 ml (Corning # 9826-</w:t>
            </w:r>
            <w:r w:rsidRPr="00F01347">
              <w:rPr>
                <w:rFonts w:ascii="Verdana" w:hAnsi="Verdana"/>
                <w:sz w:val="16"/>
                <w:szCs w:val="16"/>
              </w:rPr>
              <w:lastRenderedPageBreak/>
              <w:t>16X o equivalente) u otra cristalería adecuada para su uso en la liberación de la toxina del filtro.</w:t>
            </w:r>
          </w:p>
        </w:tc>
        <w:tc>
          <w:tcPr>
            <w:tcW w:w="4675" w:type="dxa"/>
          </w:tcPr>
          <w:p w14:paraId="3EC296FC" w14:textId="1136EAFE" w:rsidR="00E87674" w:rsidRPr="00F01347" w:rsidRDefault="00E87674" w:rsidP="00E87674">
            <w:pPr>
              <w:pStyle w:val="texto0"/>
              <w:spacing w:line="227" w:lineRule="exact"/>
              <w:ind w:firstLine="0"/>
              <w:rPr>
                <w:rFonts w:ascii="Verdana" w:hAnsi="Verdana"/>
                <w:b/>
                <w:sz w:val="16"/>
                <w:szCs w:val="16"/>
                <w:lang w:val="en-US"/>
              </w:rPr>
            </w:pPr>
            <w:r w:rsidRPr="00F01347">
              <w:rPr>
                <w:rFonts w:ascii="Verdana" w:hAnsi="Verdana"/>
                <w:b/>
                <w:sz w:val="16"/>
                <w:szCs w:val="16"/>
                <w:lang w:val="en-US"/>
              </w:rPr>
              <w:lastRenderedPageBreak/>
              <w:t>Round bottom culture tubes</w:t>
            </w:r>
            <w:r w:rsidR="003E1BA9" w:rsidRPr="00F01347">
              <w:rPr>
                <w:rFonts w:ascii="Verdana" w:hAnsi="Verdana"/>
                <w:b/>
                <w:sz w:val="16"/>
                <w:szCs w:val="16"/>
                <w:lang w:val="en-US"/>
              </w:rPr>
              <w:t>.</w:t>
            </w:r>
            <w:r w:rsidRPr="00F01347">
              <w:rPr>
                <w:rFonts w:ascii="Verdana" w:hAnsi="Verdana"/>
                <w:sz w:val="16"/>
                <w:szCs w:val="16"/>
                <w:lang w:val="en-US"/>
              </w:rPr>
              <w:t xml:space="preserve"> 15 ml glass round bottom culture tubes (Corning #9826-16X or </w:t>
            </w:r>
            <w:r w:rsidRPr="00F01347">
              <w:rPr>
                <w:rFonts w:ascii="Verdana" w:hAnsi="Verdana"/>
                <w:sz w:val="16"/>
                <w:szCs w:val="16"/>
                <w:lang w:val="en-US"/>
              </w:rPr>
              <w:lastRenderedPageBreak/>
              <w:t>equivalent) or other suitable glassware for use in releasing the toxin from the filter.</w:t>
            </w:r>
          </w:p>
        </w:tc>
      </w:tr>
      <w:tr w:rsidR="00E87674" w:rsidRPr="00F01347" w14:paraId="05759339" w14:textId="75427170" w:rsidTr="00CB209C">
        <w:tc>
          <w:tcPr>
            <w:tcW w:w="4675" w:type="dxa"/>
          </w:tcPr>
          <w:p w14:paraId="5BB68E15" w14:textId="77777777" w:rsidR="00E87674" w:rsidRPr="00F01347" w:rsidRDefault="00E87674" w:rsidP="00E87674">
            <w:pPr>
              <w:pStyle w:val="texto0"/>
              <w:spacing w:line="227" w:lineRule="exact"/>
              <w:ind w:firstLine="0"/>
              <w:rPr>
                <w:rFonts w:ascii="Verdana" w:hAnsi="Verdana"/>
                <w:sz w:val="16"/>
                <w:szCs w:val="16"/>
              </w:rPr>
            </w:pPr>
            <w:r w:rsidRPr="00F01347">
              <w:rPr>
                <w:rFonts w:ascii="Verdana" w:hAnsi="Verdana"/>
                <w:b/>
                <w:sz w:val="16"/>
                <w:szCs w:val="16"/>
              </w:rPr>
              <w:lastRenderedPageBreak/>
              <w:t xml:space="preserve">Viales de </w:t>
            </w:r>
            <w:proofErr w:type="spellStart"/>
            <w:r w:rsidRPr="00F01347">
              <w:rPr>
                <w:rFonts w:ascii="Verdana" w:hAnsi="Verdana"/>
                <w:b/>
                <w:sz w:val="16"/>
                <w:szCs w:val="16"/>
              </w:rPr>
              <w:t>automuestreo</w:t>
            </w:r>
            <w:proofErr w:type="spellEnd"/>
            <w:r w:rsidRPr="00F01347">
              <w:rPr>
                <w:rFonts w:ascii="Verdana" w:hAnsi="Verdana"/>
                <w:b/>
                <w:sz w:val="16"/>
                <w:szCs w:val="16"/>
              </w:rPr>
              <w:t>.</w:t>
            </w:r>
            <w:r w:rsidRPr="00F01347">
              <w:rPr>
                <w:rFonts w:ascii="Verdana" w:hAnsi="Verdana"/>
                <w:sz w:val="16"/>
                <w:szCs w:val="16"/>
              </w:rPr>
              <w:t xml:space="preserve"> Viales de vidrio ámbar de </w:t>
            </w:r>
            <w:proofErr w:type="spellStart"/>
            <w:r w:rsidRPr="00F01347">
              <w:rPr>
                <w:rFonts w:ascii="Verdana" w:hAnsi="Verdana"/>
                <w:sz w:val="16"/>
                <w:szCs w:val="16"/>
              </w:rPr>
              <w:t>automuestreo</w:t>
            </w:r>
            <w:proofErr w:type="spellEnd"/>
            <w:r w:rsidRPr="00F01347">
              <w:rPr>
                <w:rFonts w:ascii="Verdana" w:hAnsi="Verdana"/>
                <w:sz w:val="16"/>
                <w:szCs w:val="16"/>
              </w:rPr>
              <w:t xml:space="preserve"> de 2 </w:t>
            </w:r>
            <w:proofErr w:type="spellStart"/>
            <w:r w:rsidRPr="00F01347">
              <w:rPr>
                <w:rFonts w:ascii="Verdana" w:hAnsi="Verdana"/>
                <w:sz w:val="16"/>
                <w:szCs w:val="16"/>
              </w:rPr>
              <w:t>mL</w:t>
            </w:r>
            <w:proofErr w:type="spellEnd"/>
            <w:r w:rsidRPr="00F01347">
              <w:rPr>
                <w:rFonts w:ascii="Verdana" w:hAnsi="Verdana"/>
                <w:sz w:val="16"/>
                <w:szCs w:val="16"/>
              </w:rPr>
              <w:t xml:space="preserve"> (</w:t>
            </w:r>
            <w:proofErr w:type="spellStart"/>
            <w:r w:rsidRPr="00F01347">
              <w:rPr>
                <w:rFonts w:ascii="Verdana" w:hAnsi="Verdana"/>
                <w:sz w:val="16"/>
                <w:szCs w:val="16"/>
              </w:rPr>
              <w:t>National</w:t>
            </w:r>
            <w:proofErr w:type="spellEnd"/>
            <w:r w:rsidRPr="00F01347">
              <w:rPr>
                <w:rFonts w:ascii="Verdana" w:hAnsi="Verdana"/>
                <w:sz w:val="16"/>
                <w:szCs w:val="16"/>
              </w:rPr>
              <w:t xml:space="preserve"> </w:t>
            </w:r>
            <w:proofErr w:type="spellStart"/>
            <w:r w:rsidRPr="00F01347">
              <w:rPr>
                <w:rFonts w:ascii="Verdana" w:hAnsi="Verdana"/>
                <w:sz w:val="16"/>
                <w:szCs w:val="16"/>
              </w:rPr>
              <w:t>Scientific</w:t>
            </w:r>
            <w:proofErr w:type="spellEnd"/>
            <w:r w:rsidRPr="00F01347">
              <w:rPr>
                <w:rFonts w:ascii="Verdana" w:hAnsi="Verdana"/>
                <w:sz w:val="16"/>
                <w:szCs w:val="16"/>
              </w:rPr>
              <w:t xml:space="preserve"> #C4000-2W o equivalente) con tapa y septos de PTFE (</w:t>
            </w:r>
            <w:proofErr w:type="spellStart"/>
            <w:r w:rsidRPr="00F01347">
              <w:rPr>
                <w:rFonts w:ascii="Verdana" w:hAnsi="Verdana"/>
                <w:sz w:val="16"/>
                <w:szCs w:val="16"/>
              </w:rPr>
              <w:t>National</w:t>
            </w:r>
            <w:proofErr w:type="spellEnd"/>
            <w:r w:rsidRPr="00F01347">
              <w:rPr>
                <w:rFonts w:ascii="Verdana" w:hAnsi="Verdana"/>
                <w:sz w:val="16"/>
                <w:szCs w:val="16"/>
              </w:rPr>
              <w:t xml:space="preserve"> </w:t>
            </w:r>
            <w:proofErr w:type="spellStart"/>
            <w:r w:rsidRPr="00F01347">
              <w:rPr>
                <w:rFonts w:ascii="Verdana" w:hAnsi="Verdana"/>
                <w:sz w:val="16"/>
                <w:szCs w:val="16"/>
              </w:rPr>
              <w:t>Scientific</w:t>
            </w:r>
            <w:proofErr w:type="spellEnd"/>
            <w:r w:rsidRPr="00F01347">
              <w:rPr>
                <w:rFonts w:ascii="Verdana" w:hAnsi="Verdana"/>
                <w:sz w:val="16"/>
                <w:szCs w:val="16"/>
              </w:rPr>
              <w:t xml:space="preserve"> # C4000-53 o equivalente).</w:t>
            </w:r>
          </w:p>
        </w:tc>
        <w:tc>
          <w:tcPr>
            <w:tcW w:w="4675" w:type="dxa"/>
          </w:tcPr>
          <w:p w14:paraId="1106DD50" w14:textId="74F17C24" w:rsidR="00E87674" w:rsidRPr="00F01347" w:rsidRDefault="00E87674" w:rsidP="00E87674">
            <w:pPr>
              <w:pStyle w:val="texto0"/>
              <w:spacing w:line="227" w:lineRule="exact"/>
              <w:ind w:firstLine="0"/>
              <w:rPr>
                <w:rFonts w:ascii="Verdana" w:hAnsi="Verdana"/>
                <w:b/>
                <w:sz w:val="16"/>
                <w:szCs w:val="16"/>
                <w:lang w:val="en-US"/>
              </w:rPr>
            </w:pPr>
            <w:r w:rsidRPr="00F01347">
              <w:rPr>
                <w:rFonts w:ascii="Verdana" w:hAnsi="Verdana"/>
                <w:b/>
                <w:sz w:val="16"/>
                <w:szCs w:val="16"/>
                <w:lang w:val="en-US"/>
              </w:rPr>
              <w:t>Self-sampling vials</w:t>
            </w:r>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 xml:space="preserve">2 mL Amber Glass Self-Sampling Vials </w:t>
            </w:r>
            <w:r w:rsidR="00CB209C" w:rsidRPr="00F01347">
              <w:rPr>
                <w:rFonts w:ascii="Verdana" w:hAnsi="Verdana"/>
                <w:sz w:val="16"/>
                <w:szCs w:val="16"/>
                <w:lang w:val="en-US"/>
              </w:rPr>
              <w:t>(</w:t>
            </w:r>
            <w:r w:rsidRPr="00F01347">
              <w:rPr>
                <w:rFonts w:ascii="Verdana" w:hAnsi="Verdana"/>
                <w:sz w:val="16"/>
                <w:szCs w:val="16"/>
                <w:lang w:val="en-US"/>
              </w:rPr>
              <w:t xml:space="preserve">National Scientific #C4000-2W or equivalent) with PTFE cap and septa </w:t>
            </w:r>
            <w:r w:rsidR="00CB209C" w:rsidRPr="00F01347">
              <w:rPr>
                <w:rFonts w:ascii="Verdana" w:hAnsi="Verdana"/>
                <w:sz w:val="16"/>
                <w:szCs w:val="16"/>
                <w:lang w:val="en-US"/>
              </w:rPr>
              <w:t>(</w:t>
            </w:r>
            <w:r w:rsidRPr="00F01347">
              <w:rPr>
                <w:rFonts w:ascii="Verdana" w:hAnsi="Verdana"/>
                <w:sz w:val="16"/>
                <w:szCs w:val="16"/>
                <w:lang w:val="en-US"/>
              </w:rPr>
              <w:t>National Scientific # C4000-53 or equivalent).</w:t>
            </w:r>
          </w:p>
        </w:tc>
      </w:tr>
      <w:tr w:rsidR="00E87674" w:rsidRPr="00F01347" w14:paraId="5EC8175F" w14:textId="206560E9" w:rsidTr="00CB209C">
        <w:tc>
          <w:tcPr>
            <w:tcW w:w="4675" w:type="dxa"/>
          </w:tcPr>
          <w:p w14:paraId="0A9DB226" w14:textId="77777777" w:rsidR="00E87674" w:rsidRPr="00F01347" w:rsidRDefault="00E87674" w:rsidP="00E87674">
            <w:pPr>
              <w:pStyle w:val="texto0"/>
              <w:spacing w:line="227" w:lineRule="exact"/>
              <w:ind w:firstLine="0"/>
              <w:rPr>
                <w:rFonts w:ascii="Verdana" w:hAnsi="Verdana"/>
                <w:b/>
                <w:sz w:val="16"/>
                <w:szCs w:val="16"/>
              </w:rPr>
            </w:pPr>
            <w:r w:rsidRPr="00F01347">
              <w:rPr>
                <w:rFonts w:ascii="Verdana" w:hAnsi="Verdana"/>
                <w:b/>
                <w:sz w:val="16"/>
                <w:szCs w:val="16"/>
              </w:rPr>
              <w:t>B.1.2.6 Reactivos y soluciones</w:t>
            </w:r>
          </w:p>
        </w:tc>
        <w:tc>
          <w:tcPr>
            <w:tcW w:w="4675" w:type="dxa"/>
          </w:tcPr>
          <w:p w14:paraId="6C4393D9" w14:textId="18CB00FD" w:rsidR="00E87674" w:rsidRPr="00F01347" w:rsidRDefault="00E87674" w:rsidP="00E87674">
            <w:pPr>
              <w:pStyle w:val="texto0"/>
              <w:spacing w:line="227" w:lineRule="exact"/>
              <w:ind w:firstLine="0"/>
              <w:rPr>
                <w:rFonts w:ascii="Verdana" w:hAnsi="Verdana"/>
                <w:b/>
                <w:sz w:val="16"/>
                <w:szCs w:val="16"/>
                <w:lang w:val="en-US"/>
              </w:rPr>
            </w:pPr>
            <w:r w:rsidRPr="00F01347">
              <w:rPr>
                <w:rFonts w:ascii="Verdana" w:hAnsi="Verdana"/>
                <w:b/>
                <w:sz w:val="16"/>
                <w:szCs w:val="16"/>
                <w:lang w:val="en-US"/>
              </w:rPr>
              <w:t>B.1.2.6 Reagents and solutions</w:t>
            </w:r>
          </w:p>
        </w:tc>
      </w:tr>
      <w:tr w:rsidR="00E87674" w:rsidRPr="00F01347" w14:paraId="489D6099" w14:textId="5206C515" w:rsidTr="00CB209C">
        <w:tc>
          <w:tcPr>
            <w:tcW w:w="4675" w:type="dxa"/>
          </w:tcPr>
          <w:p w14:paraId="3D3580DD" w14:textId="77777777" w:rsidR="00E87674" w:rsidRPr="00F01347" w:rsidRDefault="00E87674" w:rsidP="00E87674">
            <w:pPr>
              <w:pStyle w:val="texto0"/>
              <w:spacing w:line="227" w:lineRule="exact"/>
              <w:ind w:firstLine="0"/>
              <w:rPr>
                <w:rFonts w:ascii="Verdana" w:hAnsi="Verdana"/>
                <w:sz w:val="16"/>
                <w:szCs w:val="16"/>
              </w:rPr>
            </w:pPr>
            <w:r w:rsidRPr="00F01347">
              <w:rPr>
                <w:rFonts w:ascii="Verdana" w:hAnsi="Verdana"/>
                <w:sz w:val="16"/>
                <w:szCs w:val="16"/>
              </w:rPr>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Pr>
          <w:p w14:paraId="68C397E2" w14:textId="3EF1A913" w:rsidR="00E87674" w:rsidRPr="00F01347" w:rsidRDefault="00E87674" w:rsidP="00E87674">
            <w:pPr>
              <w:pStyle w:val="texto0"/>
              <w:spacing w:line="227" w:lineRule="exact"/>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E87674" w:rsidRPr="00F01347" w14:paraId="18A99C55" w14:textId="2447D205" w:rsidTr="00CB209C">
        <w:tc>
          <w:tcPr>
            <w:tcW w:w="4675" w:type="dxa"/>
          </w:tcPr>
          <w:p w14:paraId="588F9DE7" w14:textId="77777777" w:rsidR="00E87674" w:rsidRPr="00F01347" w:rsidRDefault="00E87674" w:rsidP="00E87674">
            <w:pPr>
              <w:pStyle w:val="texto0"/>
              <w:spacing w:line="227" w:lineRule="exact"/>
              <w:ind w:firstLine="0"/>
              <w:rPr>
                <w:rFonts w:ascii="Verdana" w:hAnsi="Verdana"/>
                <w:color w:val="000000"/>
                <w:sz w:val="16"/>
                <w:szCs w:val="16"/>
              </w:rPr>
            </w:pPr>
            <w:r w:rsidRPr="00F01347">
              <w:rPr>
                <w:rFonts w:ascii="Verdana" w:hAnsi="Verdana"/>
                <w:b/>
                <w:color w:val="000000"/>
                <w:sz w:val="16"/>
                <w:szCs w:val="16"/>
              </w:rPr>
              <w:t xml:space="preserve">Ácido </w:t>
            </w:r>
            <w:proofErr w:type="spellStart"/>
            <w:r w:rsidRPr="00F01347">
              <w:rPr>
                <w:rFonts w:ascii="Verdana" w:hAnsi="Verdana"/>
                <w:b/>
                <w:color w:val="000000"/>
                <w:sz w:val="16"/>
                <w:szCs w:val="16"/>
              </w:rPr>
              <w:t>ethilendiaminotetraacético</w:t>
            </w:r>
            <w:proofErr w:type="spellEnd"/>
            <w:r w:rsidRPr="00F01347">
              <w:rPr>
                <w:rFonts w:ascii="Verdana" w:hAnsi="Verdana"/>
                <w:b/>
                <w:color w:val="000000"/>
                <w:sz w:val="16"/>
                <w:szCs w:val="16"/>
              </w:rPr>
              <w:t xml:space="preserve">, sal trisódica. </w:t>
            </w:r>
            <w:r w:rsidRPr="00F01347">
              <w:rPr>
                <w:rFonts w:ascii="Verdana" w:hAnsi="Verdana"/>
                <w:color w:val="000000"/>
                <w:sz w:val="16"/>
                <w:szCs w:val="16"/>
              </w:rPr>
              <w:t>(</w:t>
            </w:r>
            <w:proofErr w:type="spellStart"/>
            <w:r w:rsidRPr="00F01347">
              <w:rPr>
                <w:rFonts w:ascii="Verdana" w:hAnsi="Verdana"/>
                <w:color w:val="000000"/>
                <w:sz w:val="16"/>
                <w:szCs w:val="16"/>
              </w:rPr>
              <w:t>Trisodium</w:t>
            </w:r>
            <w:proofErr w:type="spellEnd"/>
            <w:r w:rsidRPr="00F01347">
              <w:rPr>
                <w:rFonts w:ascii="Verdana" w:hAnsi="Verdana"/>
                <w:color w:val="000000"/>
                <w:sz w:val="16"/>
                <w:szCs w:val="16"/>
              </w:rPr>
              <w:t xml:space="preserve"> EDTA, no. CAS 10378-22-0). Inhibe la hidrólisis de los analitos catalizada por metales. La sal trisódica se utilizada en lugar de la sal disódica dado que el pH de la solución salina trisódica es más próximo al pH deseado de 7 (Sigma #ED3SS o equivalente). Reactivo para preservación de la muestra. Dado que es sólido a temperatura ambiente, puede añadirse a la botella para la muestra antes de salir a colectar la muestra al campo.</w:t>
            </w:r>
          </w:p>
        </w:tc>
        <w:tc>
          <w:tcPr>
            <w:tcW w:w="4675" w:type="dxa"/>
          </w:tcPr>
          <w:p w14:paraId="7250D232" w14:textId="484CBB87" w:rsidR="00E87674" w:rsidRPr="00F01347" w:rsidRDefault="00E87674" w:rsidP="00E87674">
            <w:pPr>
              <w:pStyle w:val="texto0"/>
              <w:spacing w:line="227" w:lineRule="exact"/>
              <w:ind w:firstLine="0"/>
              <w:rPr>
                <w:rFonts w:ascii="Verdana" w:hAnsi="Verdana"/>
                <w:b/>
                <w:color w:val="000000"/>
                <w:sz w:val="16"/>
                <w:szCs w:val="16"/>
                <w:lang w:val="en-US"/>
              </w:rPr>
            </w:pPr>
            <w:r w:rsidRPr="00F01347">
              <w:rPr>
                <w:rFonts w:ascii="Verdana" w:hAnsi="Verdana"/>
                <w:b/>
                <w:color w:val="000000"/>
                <w:sz w:val="16"/>
                <w:szCs w:val="16"/>
                <w:lang w:val="en-US"/>
              </w:rPr>
              <w:t>Ethylenediaminetetraacetic acid</w:t>
            </w:r>
            <w:r w:rsidR="003E1BA9" w:rsidRPr="00F01347">
              <w:rPr>
                <w:rFonts w:ascii="Verdana" w:hAnsi="Verdana"/>
                <w:b/>
                <w:color w:val="000000"/>
                <w:sz w:val="16"/>
                <w:szCs w:val="16"/>
                <w:lang w:val="en-US"/>
              </w:rPr>
              <w:t>,</w:t>
            </w:r>
            <w:r w:rsidRPr="00F01347">
              <w:rPr>
                <w:rFonts w:ascii="Verdana" w:hAnsi="Verdana"/>
                <w:b/>
                <w:color w:val="000000"/>
                <w:sz w:val="16"/>
                <w:szCs w:val="16"/>
                <w:lang w:val="en-US"/>
              </w:rPr>
              <w:t xml:space="preserve"> trisodium salt. </w:t>
            </w:r>
            <w:r w:rsidR="00CB209C" w:rsidRPr="00F01347">
              <w:rPr>
                <w:rFonts w:ascii="Verdana" w:hAnsi="Verdana"/>
                <w:color w:val="000000"/>
                <w:sz w:val="16"/>
                <w:szCs w:val="16"/>
                <w:lang w:val="en-US"/>
              </w:rPr>
              <w:t>(</w:t>
            </w:r>
            <w:r w:rsidRPr="00F01347">
              <w:rPr>
                <w:rFonts w:ascii="Verdana" w:hAnsi="Verdana"/>
                <w:color w:val="000000"/>
                <w:sz w:val="16"/>
                <w:szCs w:val="16"/>
                <w:lang w:val="en-US"/>
              </w:rPr>
              <w:t>Trisodium EDTA, CAS no. 10378-22-0). Inhibits metal-catalyzed hydrolysis of analytes. Trisodium salt is used instead of disodium salt since the pH of trisodium saline is closer to the desired pH of 7 (Sigma #ED3SS or equivalent). Reagent for sample preservation. Since it is solid at room temperature, it can be added to the sample bottle before going out to collect the sample in the field.</w:t>
            </w:r>
          </w:p>
        </w:tc>
      </w:tr>
      <w:tr w:rsidR="00E87674" w:rsidRPr="00F01347" w14:paraId="36F016F6" w14:textId="46A2CE82" w:rsidTr="00CB209C">
        <w:tc>
          <w:tcPr>
            <w:tcW w:w="4675" w:type="dxa"/>
          </w:tcPr>
          <w:p w14:paraId="3DDF348F" w14:textId="77777777" w:rsidR="00E87674" w:rsidRPr="00F01347" w:rsidRDefault="00E87674" w:rsidP="00E87674">
            <w:pPr>
              <w:pStyle w:val="texto0"/>
              <w:spacing w:line="227" w:lineRule="exact"/>
              <w:ind w:firstLine="0"/>
              <w:rPr>
                <w:rFonts w:ascii="Verdana" w:hAnsi="Verdana"/>
                <w:color w:val="000000"/>
                <w:sz w:val="16"/>
                <w:szCs w:val="16"/>
              </w:rPr>
            </w:pPr>
            <w:r w:rsidRPr="00F01347">
              <w:rPr>
                <w:rFonts w:ascii="Verdana" w:hAnsi="Verdana"/>
                <w:b/>
                <w:color w:val="000000"/>
                <w:sz w:val="16"/>
                <w:szCs w:val="16"/>
              </w:rPr>
              <w:t>Ácido L-ascórbico.</w:t>
            </w:r>
            <w:r w:rsidRPr="00F01347">
              <w:rPr>
                <w:rFonts w:ascii="Verdana" w:hAnsi="Verdana"/>
                <w:color w:val="000000"/>
                <w:sz w:val="16"/>
                <w:szCs w:val="16"/>
              </w:rPr>
              <w:t xml:space="preserve"> (no. CAS 50-81-7). Reduce el cloro libre en el momento de recolección de la muestra. (Sigma-Aldrich #255564 o equivalente). Reactivo para preservación de la muestra. Dado que es sólido a temperatura ambiente, puede añadirse a la botella para la muestra antes de salir a colectar la </w:t>
            </w:r>
            <w:proofErr w:type="gramStart"/>
            <w:r w:rsidRPr="00F01347">
              <w:rPr>
                <w:rFonts w:ascii="Verdana" w:hAnsi="Verdana"/>
                <w:color w:val="000000"/>
                <w:sz w:val="16"/>
                <w:szCs w:val="16"/>
              </w:rPr>
              <w:t>muestra  al</w:t>
            </w:r>
            <w:proofErr w:type="gramEnd"/>
            <w:r w:rsidRPr="00F01347">
              <w:rPr>
                <w:rFonts w:ascii="Verdana" w:hAnsi="Verdana"/>
                <w:color w:val="000000"/>
                <w:sz w:val="16"/>
                <w:szCs w:val="16"/>
              </w:rPr>
              <w:t xml:space="preserve"> campo.</w:t>
            </w:r>
          </w:p>
        </w:tc>
        <w:tc>
          <w:tcPr>
            <w:tcW w:w="4675" w:type="dxa"/>
          </w:tcPr>
          <w:p w14:paraId="6ED927C4" w14:textId="3180BD8D" w:rsidR="00E87674" w:rsidRPr="00F01347" w:rsidRDefault="00E87674" w:rsidP="00E87674">
            <w:pPr>
              <w:pStyle w:val="texto0"/>
              <w:spacing w:line="227" w:lineRule="exact"/>
              <w:ind w:firstLine="0"/>
              <w:rPr>
                <w:rFonts w:ascii="Verdana" w:hAnsi="Verdana"/>
                <w:b/>
                <w:color w:val="000000"/>
                <w:sz w:val="16"/>
                <w:szCs w:val="16"/>
                <w:lang w:val="en-US"/>
              </w:rPr>
            </w:pPr>
            <w:r w:rsidRPr="00F01347">
              <w:rPr>
                <w:rFonts w:ascii="Verdana" w:hAnsi="Verdana"/>
                <w:b/>
                <w:color w:val="000000"/>
                <w:sz w:val="16"/>
                <w:szCs w:val="16"/>
              </w:rPr>
              <w:t>L-</w:t>
            </w:r>
            <w:proofErr w:type="spellStart"/>
            <w:r w:rsidRPr="00F01347">
              <w:rPr>
                <w:rFonts w:ascii="Verdana" w:hAnsi="Verdana"/>
                <w:b/>
                <w:color w:val="000000"/>
                <w:sz w:val="16"/>
                <w:szCs w:val="16"/>
              </w:rPr>
              <w:t>ascorbic</w:t>
            </w:r>
            <w:proofErr w:type="spellEnd"/>
            <w:r w:rsidRPr="00F01347">
              <w:rPr>
                <w:rFonts w:ascii="Verdana" w:hAnsi="Verdana"/>
                <w:b/>
                <w:color w:val="000000"/>
                <w:sz w:val="16"/>
                <w:szCs w:val="16"/>
              </w:rPr>
              <w:t xml:space="preserve"> </w:t>
            </w:r>
            <w:proofErr w:type="spellStart"/>
            <w:r w:rsidRPr="00F01347">
              <w:rPr>
                <w:rFonts w:ascii="Verdana" w:hAnsi="Verdana"/>
                <w:b/>
                <w:color w:val="000000"/>
                <w:sz w:val="16"/>
                <w:szCs w:val="16"/>
              </w:rPr>
              <w:t>acid</w:t>
            </w:r>
            <w:proofErr w:type="spellEnd"/>
            <w:r w:rsidRPr="00F01347">
              <w:rPr>
                <w:rFonts w:ascii="Verdana" w:hAnsi="Verdana"/>
                <w:b/>
                <w:color w:val="000000"/>
                <w:sz w:val="16"/>
                <w:szCs w:val="16"/>
              </w:rPr>
              <w:t xml:space="preserve">. </w:t>
            </w:r>
            <w:r w:rsidRPr="00F01347">
              <w:rPr>
                <w:rFonts w:ascii="Verdana" w:hAnsi="Verdana"/>
                <w:color w:val="000000"/>
                <w:sz w:val="16"/>
                <w:szCs w:val="16"/>
              </w:rPr>
              <w:t xml:space="preserve">(CAS no. 50-81-7). </w:t>
            </w:r>
            <w:r w:rsidRPr="00F01347">
              <w:rPr>
                <w:rFonts w:ascii="Verdana" w:hAnsi="Verdana"/>
                <w:color w:val="000000"/>
                <w:sz w:val="16"/>
                <w:szCs w:val="16"/>
                <w:lang w:val="en-US"/>
              </w:rPr>
              <w:t>Reduces free chlorine at the time of sample collection. (Sigma-Aldrich #255564 or equivalent). Reagent for sample preservation. Since it is solid at room temperature, it can be added to the sample bottle before going out to collect the sample in the field.</w:t>
            </w:r>
          </w:p>
        </w:tc>
      </w:tr>
      <w:tr w:rsidR="00E87674" w:rsidRPr="00F01347" w14:paraId="25FA12DF" w14:textId="63FB51C0" w:rsidTr="00CB209C">
        <w:tc>
          <w:tcPr>
            <w:tcW w:w="4675" w:type="dxa"/>
          </w:tcPr>
          <w:p w14:paraId="33AD9A02" w14:textId="77777777" w:rsidR="00E87674" w:rsidRPr="00F01347" w:rsidRDefault="00E87674" w:rsidP="00E87674">
            <w:pPr>
              <w:pStyle w:val="texto0"/>
              <w:spacing w:line="227" w:lineRule="exact"/>
              <w:ind w:firstLine="0"/>
              <w:rPr>
                <w:rFonts w:ascii="Verdana" w:hAnsi="Verdana"/>
                <w:color w:val="000000"/>
                <w:sz w:val="16"/>
                <w:szCs w:val="16"/>
              </w:rPr>
            </w:pPr>
            <w:r w:rsidRPr="00F01347">
              <w:rPr>
                <w:rFonts w:ascii="Verdana" w:hAnsi="Verdana"/>
                <w:b/>
                <w:color w:val="000000"/>
                <w:sz w:val="16"/>
                <w:szCs w:val="16"/>
              </w:rPr>
              <w:t>Agua grado reactivo</w:t>
            </w:r>
            <w:r w:rsidRPr="00F01347">
              <w:rPr>
                <w:rFonts w:ascii="Verdana" w:hAnsi="Verdana"/>
                <w:color w:val="000000"/>
                <w:sz w:val="16"/>
                <w:szCs w:val="16"/>
              </w:rPr>
              <w:t>. Agua purificada que no contiene ninguna cantidad de sustancia medible de cualquier analitos o compuesto interferente mayor de 1/3 del MRL para cada analito de interés.</w:t>
            </w:r>
          </w:p>
        </w:tc>
        <w:tc>
          <w:tcPr>
            <w:tcW w:w="4675" w:type="dxa"/>
          </w:tcPr>
          <w:p w14:paraId="3B7C1E1F" w14:textId="4C2D3F93" w:rsidR="00E87674" w:rsidRPr="00F01347" w:rsidRDefault="00E87674" w:rsidP="00E87674">
            <w:pPr>
              <w:pStyle w:val="texto0"/>
              <w:spacing w:line="227" w:lineRule="exact"/>
              <w:ind w:firstLine="0"/>
              <w:rPr>
                <w:rFonts w:ascii="Verdana" w:hAnsi="Verdana"/>
                <w:b/>
                <w:color w:val="000000"/>
                <w:sz w:val="16"/>
                <w:szCs w:val="16"/>
                <w:lang w:val="en-US"/>
              </w:rPr>
            </w:pPr>
            <w:r w:rsidRPr="00F01347">
              <w:rPr>
                <w:rFonts w:ascii="Verdana" w:hAnsi="Verdana"/>
                <w:b/>
                <w:color w:val="000000"/>
                <w:sz w:val="16"/>
                <w:szCs w:val="16"/>
                <w:lang w:val="en-US"/>
              </w:rPr>
              <w:t>Reagent grade water</w:t>
            </w:r>
            <w:r w:rsidR="003E1BA9" w:rsidRPr="00F01347">
              <w:rPr>
                <w:rFonts w:ascii="Verdana" w:hAnsi="Verdana"/>
                <w:b/>
                <w:color w:val="000000"/>
                <w:sz w:val="16"/>
                <w:szCs w:val="16"/>
                <w:lang w:val="en-US"/>
              </w:rPr>
              <w:t>.</w:t>
            </w:r>
            <w:r w:rsidRPr="00F01347">
              <w:rPr>
                <w:rFonts w:ascii="Verdana" w:hAnsi="Verdana"/>
                <w:color w:val="000000"/>
                <w:sz w:val="16"/>
                <w:szCs w:val="16"/>
                <w:lang w:val="en-US"/>
              </w:rPr>
              <w:t xml:space="preserve"> Purified water that does not contain any measurable amount of any analyte or interfering compound greater than 1/3 of the MRL for each analyte of interest.</w:t>
            </w:r>
          </w:p>
        </w:tc>
      </w:tr>
      <w:tr w:rsidR="00E87674" w:rsidRPr="00F01347" w14:paraId="379C7408" w14:textId="61A5C1FF" w:rsidTr="00CB209C">
        <w:tc>
          <w:tcPr>
            <w:tcW w:w="4675" w:type="dxa"/>
          </w:tcPr>
          <w:p w14:paraId="05B2CE2E" w14:textId="77777777" w:rsidR="00E87674" w:rsidRPr="00F01347" w:rsidRDefault="00E87674" w:rsidP="00E87674">
            <w:pPr>
              <w:pStyle w:val="texto0"/>
              <w:spacing w:line="227" w:lineRule="exact"/>
              <w:ind w:firstLine="0"/>
              <w:rPr>
                <w:rFonts w:ascii="Verdana" w:hAnsi="Verdana"/>
                <w:color w:val="000000"/>
                <w:sz w:val="16"/>
                <w:szCs w:val="16"/>
              </w:rPr>
            </w:pPr>
            <w:r w:rsidRPr="00F01347">
              <w:rPr>
                <w:rFonts w:ascii="Verdana" w:hAnsi="Verdana"/>
                <w:b/>
                <w:color w:val="000000"/>
                <w:sz w:val="16"/>
                <w:szCs w:val="16"/>
              </w:rPr>
              <w:t>Argón</w:t>
            </w:r>
            <w:r w:rsidRPr="00F01347">
              <w:rPr>
                <w:rFonts w:ascii="Verdana" w:hAnsi="Verdana"/>
                <w:color w:val="000000"/>
                <w:sz w:val="16"/>
                <w:szCs w:val="16"/>
              </w:rPr>
              <w:t>. Utilizado como gas de colisión durante experimentos de MS/MS. El argón debe cumplir o exceder las especificaciones del fabricante del instrumento. El gas nitrógeno puede usarse como gas de colisión siempre que se obtenga una sensibilidad suficiente (formación de iones de producto).</w:t>
            </w:r>
          </w:p>
        </w:tc>
        <w:tc>
          <w:tcPr>
            <w:tcW w:w="4675" w:type="dxa"/>
          </w:tcPr>
          <w:p w14:paraId="2F103352" w14:textId="5C7EECB4" w:rsidR="00E87674" w:rsidRPr="00F01347" w:rsidRDefault="00E87674" w:rsidP="00E87674">
            <w:pPr>
              <w:pStyle w:val="texto0"/>
              <w:spacing w:line="227" w:lineRule="exact"/>
              <w:ind w:firstLine="0"/>
              <w:rPr>
                <w:rFonts w:ascii="Verdana" w:hAnsi="Verdana"/>
                <w:b/>
                <w:color w:val="000000"/>
                <w:sz w:val="16"/>
                <w:szCs w:val="16"/>
                <w:lang w:val="en-US"/>
              </w:rPr>
            </w:pPr>
            <w:r w:rsidRPr="00F01347">
              <w:rPr>
                <w:rFonts w:ascii="Verdana" w:hAnsi="Verdana"/>
                <w:b/>
                <w:color w:val="000000"/>
                <w:sz w:val="16"/>
                <w:szCs w:val="16"/>
                <w:lang w:val="en-US"/>
              </w:rPr>
              <w:t>Argon</w:t>
            </w:r>
            <w:r w:rsidR="003E1BA9" w:rsidRPr="00F01347">
              <w:rPr>
                <w:rFonts w:ascii="Verdana" w:hAnsi="Verdana"/>
                <w:b/>
                <w:color w:val="000000"/>
                <w:sz w:val="16"/>
                <w:szCs w:val="16"/>
                <w:lang w:val="en-US"/>
              </w:rPr>
              <w:t>.</w:t>
            </w:r>
            <w:r w:rsidRPr="00F01347">
              <w:rPr>
                <w:rFonts w:ascii="Verdana" w:hAnsi="Verdana"/>
                <w:color w:val="000000"/>
                <w:sz w:val="16"/>
                <w:szCs w:val="16"/>
                <w:lang w:val="en-US"/>
              </w:rPr>
              <w:t xml:space="preserve"> Used as collision gas during MS/MS experiments. Argon must meet or exceed the instrument manufacturer's specifications. Nitrogen gas can be used as a collision gas </w:t>
            </w:r>
            <w:proofErr w:type="gramStart"/>
            <w:r w:rsidRPr="00F01347">
              <w:rPr>
                <w:rFonts w:ascii="Verdana" w:hAnsi="Verdana"/>
                <w:color w:val="000000"/>
                <w:sz w:val="16"/>
                <w:szCs w:val="16"/>
                <w:lang w:val="en-US"/>
              </w:rPr>
              <w:t>as long as</w:t>
            </w:r>
            <w:proofErr w:type="gramEnd"/>
            <w:r w:rsidRPr="00F01347">
              <w:rPr>
                <w:rFonts w:ascii="Verdana" w:hAnsi="Verdana"/>
                <w:color w:val="000000"/>
                <w:sz w:val="16"/>
                <w:szCs w:val="16"/>
                <w:lang w:val="en-US"/>
              </w:rPr>
              <w:t xml:space="preserve"> sufficient sensitivity (product ion formation) is obtained.</w:t>
            </w:r>
          </w:p>
        </w:tc>
      </w:tr>
      <w:tr w:rsidR="00E87674" w:rsidRPr="00F01347" w14:paraId="3C44C409" w14:textId="19D3DECD" w:rsidTr="00CB209C">
        <w:tc>
          <w:tcPr>
            <w:tcW w:w="4675" w:type="dxa"/>
          </w:tcPr>
          <w:p w14:paraId="081C2F07" w14:textId="77777777" w:rsidR="00E87674" w:rsidRPr="00F01347" w:rsidRDefault="00E87674" w:rsidP="00E87674">
            <w:pPr>
              <w:pStyle w:val="texto0"/>
              <w:spacing w:line="227" w:lineRule="exact"/>
              <w:ind w:firstLine="0"/>
              <w:rPr>
                <w:rFonts w:ascii="Verdana" w:hAnsi="Verdana"/>
                <w:color w:val="000000"/>
                <w:sz w:val="16"/>
                <w:szCs w:val="16"/>
              </w:rPr>
            </w:pPr>
            <w:r w:rsidRPr="00F01347">
              <w:rPr>
                <w:rFonts w:ascii="Verdana" w:hAnsi="Verdana"/>
                <w:b/>
                <w:color w:val="000000"/>
                <w:sz w:val="16"/>
                <w:szCs w:val="16"/>
              </w:rPr>
              <w:t xml:space="preserve">Cristales </w:t>
            </w:r>
            <w:proofErr w:type="spellStart"/>
            <w:r w:rsidRPr="00F01347">
              <w:rPr>
                <w:rFonts w:ascii="Verdana" w:hAnsi="Verdana"/>
                <w:b/>
                <w:color w:val="000000"/>
                <w:sz w:val="16"/>
                <w:szCs w:val="16"/>
              </w:rPr>
              <w:t>Trizma</w:t>
            </w:r>
            <w:proofErr w:type="spellEnd"/>
            <w:r w:rsidRPr="00F01347">
              <w:rPr>
                <w:rFonts w:ascii="Verdana" w:hAnsi="Verdana"/>
                <w:b/>
                <w:color w:val="000000"/>
                <w:sz w:val="16"/>
                <w:szCs w:val="16"/>
              </w:rPr>
              <w:t xml:space="preserve"> </w:t>
            </w:r>
            <w:proofErr w:type="spellStart"/>
            <w:r w:rsidRPr="00F01347">
              <w:rPr>
                <w:rFonts w:ascii="Verdana" w:hAnsi="Verdana"/>
                <w:b/>
                <w:color w:val="000000"/>
                <w:sz w:val="16"/>
                <w:szCs w:val="16"/>
              </w:rPr>
              <w:t>preempaquetados</w:t>
            </w:r>
            <w:proofErr w:type="spellEnd"/>
            <w:r w:rsidRPr="00F01347">
              <w:rPr>
                <w:rFonts w:ascii="Verdana" w:hAnsi="Verdana"/>
                <w:color w:val="000000"/>
                <w:sz w:val="16"/>
                <w:szCs w:val="16"/>
              </w:rPr>
              <w:t>. Grado de reactivo. Mezcla premezclada de Tris [Tris (</w:t>
            </w:r>
            <w:proofErr w:type="spellStart"/>
            <w:r w:rsidRPr="00F01347">
              <w:rPr>
                <w:rFonts w:ascii="Verdana" w:hAnsi="Verdana"/>
                <w:color w:val="000000"/>
                <w:sz w:val="16"/>
                <w:szCs w:val="16"/>
              </w:rPr>
              <w:t>hidroximetil</w:t>
            </w:r>
            <w:proofErr w:type="spellEnd"/>
            <w:r w:rsidRPr="00F01347">
              <w:rPr>
                <w:rFonts w:ascii="Verdana" w:hAnsi="Verdana"/>
                <w:color w:val="000000"/>
                <w:sz w:val="16"/>
                <w:szCs w:val="16"/>
              </w:rPr>
              <w:t>)</w:t>
            </w:r>
            <w:proofErr w:type="spellStart"/>
            <w:r w:rsidRPr="00F01347">
              <w:rPr>
                <w:rFonts w:ascii="Verdana" w:hAnsi="Verdana"/>
                <w:color w:val="000000"/>
                <w:sz w:val="16"/>
                <w:szCs w:val="16"/>
              </w:rPr>
              <w:t>aminometano</w:t>
            </w:r>
            <w:proofErr w:type="spellEnd"/>
            <w:r w:rsidRPr="00F01347">
              <w:rPr>
                <w:rFonts w:ascii="Verdana" w:hAnsi="Verdana"/>
                <w:color w:val="000000"/>
                <w:sz w:val="16"/>
                <w:szCs w:val="16"/>
              </w:rPr>
              <w:t>] y Tris HCL [Tris (</w:t>
            </w:r>
            <w:proofErr w:type="spellStart"/>
            <w:r w:rsidRPr="00F01347">
              <w:rPr>
                <w:rFonts w:ascii="Verdana" w:hAnsi="Verdana"/>
                <w:color w:val="000000"/>
                <w:sz w:val="16"/>
                <w:szCs w:val="16"/>
              </w:rPr>
              <w:t>hidroximetil</w:t>
            </w:r>
            <w:proofErr w:type="spellEnd"/>
            <w:r w:rsidRPr="00F01347">
              <w:rPr>
                <w:rFonts w:ascii="Verdana" w:hAnsi="Verdana"/>
                <w:color w:val="000000"/>
                <w:sz w:val="16"/>
                <w:szCs w:val="16"/>
              </w:rPr>
              <w:t>)</w:t>
            </w:r>
            <w:proofErr w:type="spellStart"/>
            <w:r w:rsidRPr="00F01347">
              <w:rPr>
                <w:rFonts w:ascii="Verdana" w:hAnsi="Verdana"/>
                <w:color w:val="000000"/>
                <w:sz w:val="16"/>
                <w:szCs w:val="16"/>
              </w:rPr>
              <w:t>aminometano</w:t>
            </w:r>
            <w:proofErr w:type="spellEnd"/>
            <w:r w:rsidRPr="00F01347">
              <w:rPr>
                <w:rFonts w:ascii="Verdana" w:hAnsi="Verdana"/>
                <w:color w:val="000000"/>
                <w:sz w:val="16"/>
                <w:szCs w:val="16"/>
              </w:rPr>
              <w:t xml:space="preserve"> clorhidrato]. pH 7.0 (Sigma-</w:t>
            </w:r>
            <w:proofErr w:type="gramStart"/>
            <w:r w:rsidRPr="00F01347">
              <w:rPr>
                <w:rFonts w:ascii="Verdana" w:hAnsi="Verdana"/>
                <w:color w:val="000000"/>
                <w:sz w:val="16"/>
                <w:szCs w:val="16"/>
              </w:rPr>
              <w:t>Aldrich  #</w:t>
            </w:r>
            <w:proofErr w:type="gramEnd"/>
            <w:r w:rsidRPr="00F01347">
              <w:rPr>
                <w:rFonts w:ascii="Verdana" w:hAnsi="Verdana"/>
                <w:color w:val="000000"/>
                <w:sz w:val="16"/>
                <w:szCs w:val="16"/>
              </w:rPr>
              <w:t xml:space="preserve">T-7193 o equivalente) - Alternativamente, puede usarse una mezcla de los dos componentes con un relación de peso 153.5/1 Tris HCl/Tris. Ambas mezclas son usadas para producir un pH cercano a 7.0 a 25°C en agua grado reactivo. </w:t>
            </w:r>
            <w:proofErr w:type="spellStart"/>
            <w:r w:rsidRPr="00F01347">
              <w:rPr>
                <w:rFonts w:ascii="Verdana" w:hAnsi="Verdana"/>
                <w:color w:val="000000"/>
                <w:sz w:val="16"/>
                <w:szCs w:val="16"/>
              </w:rPr>
              <w:t>Trizma</w:t>
            </w:r>
            <w:proofErr w:type="spellEnd"/>
            <w:r w:rsidRPr="00F01347">
              <w:rPr>
                <w:rFonts w:ascii="Verdana" w:hAnsi="Verdana"/>
                <w:color w:val="000000"/>
                <w:sz w:val="16"/>
                <w:szCs w:val="16"/>
              </w:rPr>
              <w:t xml:space="preserve"> funciona como una solución amortiguadora. Reactivo para preservación de la muestra. Dado que es sólido a temperatura ambiente, puede añadirse a la botella para la muestra antes de salir a colectar la muestra al campo.</w:t>
            </w:r>
          </w:p>
        </w:tc>
        <w:tc>
          <w:tcPr>
            <w:tcW w:w="4675" w:type="dxa"/>
          </w:tcPr>
          <w:p w14:paraId="70172414" w14:textId="2E72574E" w:rsidR="00E87674" w:rsidRPr="00F01347" w:rsidRDefault="00E87674" w:rsidP="00E87674">
            <w:pPr>
              <w:pStyle w:val="texto0"/>
              <w:spacing w:line="227" w:lineRule="exact"/>
              <w:ind w:firstLine="0"/>
              <w:rPr>
                <w:rFonts w:ascii="Verdana" w:hAnsi="Verdana"/>
                <w:b/>
                <w:color w:val="000000"/>
                <w:sz w:val="16"/>
                <w:szCs w:val="16"/>
                <w:lang w:val="en-US"/>
              </w:rPr>
            </w:pPr>
            <w:proofErr w:type="spellStart"/>
            <w:r w:rsidRPr="00F01347">
              <w:rPr>
                <w:rFonts w:ascii="Verdana" w:hAnsi="Verdana"/>
                <w:b/>
                <w:color w:val="000000"/>
                <w:sz w:val="16"/>
                <w:szCs w:val="16"/>
                <w:lang w:val="en-US"/>
              </w:rPr>
              <w:t>Trizma</w:t>
            </w:r>
            <w:proofErr w:type="spellEnd"/>
            <w:r w:rsidRPr="00F01347">
              <w:rPr>
                <w:rFonts w:ascii="Verdana" w:hAnsi="Verdana"/>
                <w:b/>
                <w:color w:val="000000"/>
                <w:sz w:val="16"/>
                <w:szCs w:val="16"/>
                <w:lang w:val="en-US"/>
              </w:rPr>
              <w:t xml:space="preserve"> Crystals prepackaged</w:t>
            </w:r>
            <w:r w:rsidR="003E1BA9" w:rsidRPr="00F01347">
              <w:rPr>
                <w:rFonts w:ascii="Verdana" w:hAnsi="Verdana"/>
                <w:b/>
                <w:color w:val="000000"/>
                <w:sz w:val="16"/>
                <w:szCs w:val="16"/>
                <w:lang w:val="en-US"/>
              </w:rPr>
              <w:t>.</w:t>
            </w:r>
            <w:r w:rsidRPr="00F01347">
              <w:rPr>
                <w:rFonts w:ascii="Verdana" w:hAnsi="Verdana"/>
                <w:color w:val="000000"/>
                <w:sz w:val="16"/>
                <w:szCs w:val="16"/>
                <w:lang w:val="en-US"/>
              </w:rPr>
              <w:t xml:space="preserve"> Reagent grade. Premixed mixture of Tris [Tris</w:t>
            </w:r>
            <w:r w:rsidR="00CB209C" w:rsidRPr="00F01347">
              <w:rPr>
                <w:rFonts w:ascii="Verdana" w:hAnsi="Verdana"/>
                <w:color w:val="000000"/>
                <w:sz w:val="16"/>
                <w:szCs w:val="16"/>
                <w:lang w:val="en-US"/>
              </w:rPr>
              <w:t>(</w:t>
            </w:r>
            <w:r w:rsidRPr="00F01347">
              <w:rPr>
                <w:rFonts w:ascii="Verdana" w:hAnsi="Verdana"/>
                <w:color w:val="000000"/>
                <w:sz w:val="16"/>
                <w:szCs w:val="16"/>
                <w:lang w:val="en-US"/>
              </w:rPr>
              <w:t>hydroxymethyl</w:t>
            </w:r>
            <w:r w:rsidR="00913802" w:rsidRPr="00F01347">
              <w:rPr>
                <w:rFonts w:ascii="Verdana" w:hAnsi="Verdana"/>
                <w:color w:val="000000"/>
                <w:sz w:val="16"/>
                <w:szCs w:val="16"/>
                <w:lang w:val="en-US"/>
              </w:rPr>
              <w:t>)</w:t>
            </w:r>
            <w:r w:rsidRPr="00F01347">
              <w:rPr>
                <w:rFonts w:ascii="Verdana" w:hAnsi="Verdana"/>
                <w:color w:val="000000"/>
                <w:sz w:val="16"/>
                <w:szCs w:val="16"/>
                <w:lang w:val="en-US"/>
              </w:rPr>
              <w:t xml:space="preserve"> aminomethane] and Tris HCL [Tris</w:t>
            </w:r>
            <w:r w:rsidR="00CB209C" w:rsidRPr="00F01347">
              <w:rPr>
                <w:rFonts w:ascii="Verdana" w:hAnsi="Verdana"/>
                <w:color w:val="000000"/>
                <w:sz w:val="16"/>
                <w:szCs w:val="16"/>
                <w:lang w:val="en-US"/>
              </w:rPr>
              <w:t>(</w:t>
            </w:r>
            <w:r w:rsidRPr="00F01347">
              <w:rPr>
                <w:rFonts w:ascii="Verdana" w:hAnsi="Verdana"/>
                <w:color w:val="000000"/>
                <w:sz w:val="16"/>
                <w:szCs w:val="16"/>
                <w:lang w:val="en-US"/>
              </w:rPr>
              <w:t>hydroxymethyl</w:t>
            </w:r>
            <w:r w:rsidR="00913802" w:rsidRPr="00F01347">
              <w:rPr>
                <w:rFonts w:ascii="Verdana" w:hAnsi="Verdana"/>
                <w:color w:val="000000"/>
                <w:sz w:val="16"/>
                <w:szCs w:val="16"/>
                <w:lang w:val="en-US"/>
              </w:rPr>
              <w:t>)</w:t>
            </w:r>
            <w:r w:rsidRPr="00F01347">
              <w:rPr>
                <w:rFonts w:ascii="Verdana" w:hAnsi="Verdana"/>
                <w:color w:val="000000"/>
                <w:sz w:val="16"/>
                <w:szCs w:val="16"/>
                <w:lang w:val="en-US"/>
              </w:rPr>
              <w:t xml:space="preserve"> aminomethane hydrochloride]. pH 7.0 (Sigma- Aldrich # T-7193 or equivalent) - Alternatively, a mixture of the two components with a weight ratio of 153.5/1 Tris HCl/Tris can be used. Both mixtures are used to produce a pH close to 7.0 at 25°C in reagent grade water. </w:t>
            </w:r>
            <w:proofErr w:type="spellStart"/>
            <w:r w:rsidRPr="00F01347">
              <w:rPr>
                <w:rFonts w:ascii="Verdana" w:hAnsi="Verdana"/>
                <w:color w:val="000000"/>
                <w:sz w:val="16"/>
                <w:szCs w:val="16"/>
                <w:lang w:val="en-US"/>
              </w:rPr>
              <w:t>Trizma</w:t>
            </w:r>
            <w:proofErr w:type="spellEnd"/>
            <w:r w:rsidRPr="00F01347">
              <w:rPr>
                <w:rFonts w:ascii="Verdana" w:hAnsi="Verdana"/>
                <w:color w:val="000000"/>
                <w:sz w:val="16"/>
                <w:szCs w:val="16"/>
                <w:lang w:val="en-US"/>
              </w:rPr>
              <w:t xml:space="preserve"> works as a buffer solution. Reagent for sample preservation. Since it is solid at room temperature, it can be added to the sample bottle before going out to collect the sample in the field.</w:t>
            </w:r>
          </w:p>
        </w:tc>
      </w:tr>
      <w:tr w:rsidR="00E87674" w:rsidRPr="00F01347" w14:paraId="5A6132AA" w14:textId="5A133E6A" w:rsidTr="00CB209C">
        <w:tc>
          <w:tcPr>
            <w:tcW w:w="4675" w:type="dxa"/>
          </w:tcPr>
          <w:p w14:paraId="3521525B" w14:textId="77777777" w:rsidR="00E87674" w:rsidRPr="00F01347" w:rsidRDefault="00E87674" w:rsidP="00E87674">
            <w:pPr>
              <w:pStyle w:val="texto0"/>
              <w:spacing w:line="227" w:lineRule="exact"/>
              <w:ind w:firstLine="0"/>
              <w:rPr>
                <w:rFonts w:ascii="Verdana" w:hAnsi="Verdana"/>
                <w:color w:val="000000"/>
                <w:sz w:val="16"/>
                <w:szCs w:val="16"/>
              </w:rPr>
            </w:pPr>
            <w:r w:rsidRPr="00F01347">
              <w:rPr>
                <w:rFonts w:ascii="Verdana" w:hAnsi="Verdana"/>
                <w:b/>
                <w:color w:val="000000"/>
                <w:sz w:val="16"/>
                <w:szCs w:val="16"/>
              </w:rPr>
              <w:lastRenderedPageBreak/>
              <w:t xml:space="preserve">Estándares de calibración (CAL). </w:t>
            </w:r>
            <w:r w:rsidRPr="00F01347">
              <w:rPr>
                <w:rFonts w:ascii="Verdana" w:hAnsi="Verdana"/>
                <w:color w:val="000000"/>
                <w:sz w:val="16"/>
                <w:szCs w:val="16"/>
              </w:rPr>
              <w:t xml:space="preserve">Preparar una serie de al menos cinco concentraciones de soluciones de calibración en metanol que contiene 10% de agua, a partir de las diluciones de la PDS del analito. Las concentraciones sugeridas son una descripción de las concentraciones usadas durante el desarrollo del método y pueden ser modificadas de acuerdo con la sensibilidad del equipo. Los rangos de concentración utilizados durante el desarrollo del método fueron 10-400 µg/L, excepto para MC-RR (4.7-187.5 µg/L), </w:t>
            </w:r>
            <w:proofErr w:type="spellStart"/>
            <w:r w:rsidRPr="00F01347">
              <w:rPr>
                <w:rFonts w:ascii="Verdana" w:hAnsi="Verdana"/>
                <w:color w:val="000000"/>
                <w:sz w:val="16"/>
                <w:szCs w:val="16"/>
              </w:rPr>
              <w:t>nodularina</w:t>
            </w:r>
            <w:proofErr w:type="spellEnd"/>
            <w:r w:rsidRPr="00F01347">
              <w:rPr>
                <w:rFonts w:ascii="Verdana" w:hAnsi="Verdana"/>
                <w:color w:val="000000"/>
                <w:sz w:val="16"/>
                <w:szCs w:val="16"/>
              </w:rPr>
              <w:t xml:space="preserve">-R (4.9 - 195.7 µg/L) y MC-LA (25 - 1 000 µg/L). Los rangos de concentración más grandes requerirán más puntos de calibración. El SUR se agrega a los estándares CAL en una concentración constante. Durante el desarrollo del método, la concentración del SUR fue de 129.8 µg/L en el estándar (259.6 ng/L en la muestra acuosa). La concentración más baja del estándar CAL debe estar en o por debajo del MRL, lo cual depende de la sensibilidad del sistema. Los estándares CAL pueden usarse también como </w:t>
            </w:r>
            <w:proofErr w:type="spellStart"/>
            <w:r w:rsidRPr="00F01347">
              <w:rPr>
                <w:rFonts w:ascii="Verdana" w:hAnsi="Verdana"/>
                <w:color w:val="000000"/>
                <w:sz w:val="16"/>
                <w:szCs w:val="16"/>
              </w:rPr>
              <w:t>CdC</w:t>
            </w:r>
            <w:proofErr w:type="spellEnd"/>
            <w:r w:rsidRPr="00F01347">
              <w:rPr>
                <w:rFonts w:ascii="Verdana" w:hAnsi="Verdana"/>
                <w:color w:val="000000"/>
                <w:sz w:val="16"/>
                <w:szCs w:val="16"/>
              </w:rPr>
              <w:t>. Durante el desarrollo del método, los estándares CAL se encontraron estables durante dos semanas si se almacena a -4°C o menos. Tiempos más largos de almacenamiento son aceptables siempre y cuando se documenten las medidas de control de calidad demostrando la estabilidad del CAL.</w:t>
            </w:r>
          </w:p>
        </w:tc>
        <w:tc>
          <w:tcPr>
            <w:tcW w:w="4675" w:type="dxa"/>
          </w:tcPr>
          <w:p w14:paraId="2F4E5262" w14:textId="04E48915" w:rsidR="00E87674" w:rsidRPr="00F01347" w:rsidRDefault="00E87674" w:rsidP="00E87674">
            <w:pPr>
              <w:pStyle w:val="texto0"/>
              <w:spacing w:line="227"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Calibration standards (CAL). </w:t>
            </w:r>
            <w:r w:rsidRPr="00F01347">
              <w:rPr>
                <w:rFonts w:ascii="Verdana" w:hAnsi="Verdana"/>
                <w:color w:val="000000"/>
                <w:sz w:val="16"/>
                <w:szCs w:val="16"/>
                <w:lang w:val="en-US"/>
              </w:rPr>
              <w:t>Prepare a series of at least five concentrations of calibration solutions in methanol containing 10% water, from the PDS dilutions of the analyte. Suggested concentrations are a description of the concentrations used during method development and may be modified according to the sensitivity of the equipment. The concentration ranges used during the development of the method were 10-400 µg/L, except for MC-RR (4.7-187.5 µg/L), nodularin -R (4.9 - 195.7 µg/L) and MC-LA (25 - 1 000 µg/L). Larger concentration ranges will require more calibration points. SUR is added to CAL standards at a constant concentration. During method development, the SUR concentration was 129.8 µg/L in the standard (259.6 ng/L in the aqueous sample). The lowest concentration of the CAL standard should be at or below the MRL, which depends on the sensitivity of the system. CAL standards can also be used as CoC</w:t>
            </w:r>
            <w:r w:rsidR="003E1BA9" w:rsidRPr="00F01347">
              <w:rPr>
                <w:rFonts w:ascii="Verdana" w:hAnsi="Verdana"/>
                <w:color w:val="000000"/>
                <w:sz w:val="16"/>
                <w:szCs w:val="16"/>
                <w:lang w:val="en-US"/>
              </w:rPr>
              <w:t>.</w:t>
            </w:r>
            <w:r w:rsidRPr="00F01347">
              <w:rPr>
                <w:rFonts w:ascii="Verdana" w:hAnsi="Verdana"/>
                <w:color w:val="000000"/>
                <w:sz w:val="16"/>
                <w:szCs w:val="16"/>
                <w:lang w:val="en-US"/>
              </w:rPr>
              <w:t xml:space="preserve"> During method development, CAL standards were found stable for two weeks if stored at -4°C or lower. Longer storage times are acceptable </w:t>
            </w:r>
            <w:proofErr w:type="gramStart"/>
            <w:r w:rsidRPr="00F01347">
              <w:rPr>
                <w:rFonts w:ascii="Verdana" w:hAnsi="Verdana"/>
                <w:color w:val="000000"/>
                <w:sz w:val="16"/>
                <w:szCs w:val="16"/>
                <w:lang w:val="en-US"/>
              </w:rPr>
              <w:t>as long as</w:t>
            </w:r>
            <w:proofErr w:type="gramEnd"/>
            <w:r w:rsidRPr="00F01347">
              <w:rPr>
                <w:rFonts w:ascii="Verdana" w:hAnsi="Verdana"/>
                <w:color w:val="000000"/>
                <w:sz w:val="16"/>
                <w:szCs w:val="16"/>
                <w:lang w:val="en-US"/>
              </w:rPr>
              <w:t xml:space="preserve"> quality control measures demonstrating the stability of the CAL are documented.</w:t>
            </w:r>
          </w:p>
        </w:tc>
      </w:tr>
      <w:tr w:rsidR="00E87674" w:rsidRPr="00F01347" w14:paraId="32E356FB" w14:textId="03B01ABC" w:rsidTr="00CB209C">
        <w:tc>
          <w:tcPr>
            <w:tcW w:w="4675" w:type="dxa"/>
          </w:tcPr>
          <w:p w14:paraId="5DE19A25" w14:textId="77777777" w:rsidR="00E87674" w:rsidRPr="00F01347" w:rsidRDefault="00E87674" w:rsidP="00E87674">
            <w:pPr>
              <w:pStyle w:val="texto0"/>
              <w:spacing w:line="227" w:lineRule="exact"/>
              <w:ind w:firstLine="0"/>
              <w:rPr>
                <w:rFonts w:ascii="Verdana" w:hAnsi="Verdana"/>
                <w:color w:val="000000"/>
                <w:sz w:val="16"/>
                <w:szCs w:val="16"/>
              </w:rPr>
            </w:pPr>
            <w:r w:rsidRPr="00F01347">
              <w:rPr>
                <w:rFonts w:ascii="Verdana" w:hAnsi="Verdana"/>
                <w:b/>
                <w:color w:val="000000"/>
                <w:sz w:val="16"/>
                <w:szCs w:val="16"/>
              </w:rPr>
              <w:t>Formiato de amonio</w:t>
            </w:r>
            <w:r w:rsidRPr="00F01347">
              <w:rPr>
                <w:rFonts w:ascii="Verdana" w:hAnsi="Verdana"/>
                <w:color w:val="000000"/>
                <w:sz w:val="16"/>
                <w:szCs w:val="16"/>
              </w:rPr>
              <w:t>. (CH</w:t>
            </w:r>
            <w:r w:rsidRPr="00F01347">
              <w:rPr>
                <w:rFonts w:ascii="Verdana" w:hAnsi="Verdana"/>
                <w:color w:val="000000"/>
                <w:sz w:val="16"/>
                <w:szCs w:val="16"/>
                <w:vertAlign w:val="subscript"/>
              </w:rPr>
              <w:t>5</w:t>
            </w:r>
            <w:r w:rsidRPr="00F01347">
              <w:rPr>
                <w:rFonts w:ascii="Verdana" w:hAnsi="Verdana"/>
                <w:color w:val="000000"/>
                <w:sz w:val="16"/>
                <w:szCs w:val="16"/>
              </w:rPr>
              <w:t>O</w:t>
            </w:r>
            <w:r w:rsidRPr="00F01347">
              <w:rPr>
                <w:rFonts w:ascii="Verdana" w:hAnsi="Verdana"/>
                <w:color w:val="000000"/>
                <w:sz w:val="16"/>
                <w:szCs w:val="16"/>
                <w:vertAlign w:val="subscript"/>
              </w:rPr>
              <w:t>2</w:t>
            </w:r>
            <w:r w:rsidRPr="00F01347">
              <w:rPr>
                <w:rFonts w:ascii="Verdana" w:hAnsi="Verdana"/>
                <w:color w:val="000000"/>
                <w:sz w:val="16"/>
                <w:szCs w:val="16"/>
              </w:rPr>
              <w:t>N, no. CAS 540-69-2) - Alta pureza, demostrando estar libre de analitos e interferencias; grado LC/MS (</w:t>
            </w:r>
            <w:proofErr w:type="spellStart"/>
            <w:r w:rsidRPr="00F01347">
              <w:rPr>
                <w:rFonts w:ascii="Verdana" w:hAnsi="Verdana"/>
                <w:color w:val="000000"/>
                <w:sz w:val="16"/>
                <w:szCs w:val="16"/>
              </w:rPr>
              <w:t>Fluka</w:t>
            </w:r>
            <w:proofErr w:type="spellEnd"/>
            <w:r w:rsidRPr="00F01347">
              <w:rPr>
                <w:rFonts w:ascii="Verdana" w:hAnsi="Verdana"/>
                <w:color w:val="000000"/>
                <w:sz w:val="16"/>
                <w:szCs w:val="16"/>
              </w:rPr>
              <w:t># 55674) o equivalente).</w:t>
            </w:r>
          </w:p>
        </w:tc>
        <w:tc>
          <w:tcPr>
            <w:tcW w:w="4675" w:type="dxa"/>
          </w:tcPr>
          <w:p w14:paraId="15FE5153" w14:textId="56F65F49" w:rsidR="00E87674" w:rsidRPr="00F01347" w:rsidRDefault="00E87674" w:rsidP="00E87674">
            <w:pPr>
              <w:pStyle w:val="texto0"/>
              <w:spacing w:line="227" w:lineRule="exact"/>
              <w:ind w:firstLine="0"/>
              <w:rPr>
                <w:rFonts w:ascii="Verdana" w:hAnsi="Verdana"/>
                <w:b/>
                <w:color w:val="000000"/>
                <w:sz w:val="16"/>
                <w:szCs w:val="16"/>
                <w:lang w:val="en-US"/>
              </w:rPr>
            </w:pPr>
            <w:r w:rsidRPr="00F01347">
              <w:rPr>
                <w:rFonts w:ascii="Verdana" w:hAnsi="Verdana"/>
                <w:b/>
                <w:color w:val="000000"/>
                <w:sz w:val="16"/>
                <w:szCs w:val="16"/>
                <w:lang w:val="en-US"/>
              </w:rPr>
              <w:t>Ammonium formate</w:t>
            </w:r>
            <w:r w:rsidR="003E1BA9" w:rsidRPr="00F01347">
              <w:rPr>
                <w:rFonts w:ascii="Verdana" w:hAnsi="Verdana"/>
                <w:b/>
                <w:color w:val="000000"/>
                <w:sz w:val="16"/>
                <w:szCs w:val="16"/>
                <w:lang w:val="en-US"/>
              </w:rPr>
              <w:t>.</w:t>
            </w:r>
            <w:r w:rsidRPr="00F01347">
              <w:rPr>
                <w:rFonts w:ascii="Verdana" w:hAnsi="Verdana"/>
                <w:color w:val="000000"/>
                <w:sz w:val="16"/>
                <w:szCs w:val="16"/>
                <w:lang w:val="en-US"/>
              </w:rPr>
              <w:t xml:space="preserve"> </w:t>
            </w:r>
            <w:r w:rsidR="00CC53EF" w:rsidRPr="00F01347">
              <w:rPr>
                <w:rFonts w:ascii="Verdana" w:hAnsi="Verdana"/>
                <w:color w:val="000000"/>
                <w:sz w:val="16"/>
                <w:szCs w:val="16"/>
                <w:lang w:val="en-US"/>
              </w:rPr>
              <w:t>(CH</w:t>
            </w:r>
            <w:r w:rsidR="00CC53EF" w:rsidRPr="00F01347">
              <w:rPr>
                <w:rFonts w:ascii="Verdana" w:hAnsi="Verdana"/>
                <w:color w:val="000000"/>
                <w:sz w:val="16"/>
                <w:szCs w:val="16"/>
                <w:vertAlign w:val="subscript"/>
                <w:lang w:val="en-US"/>
              </w:rPr>
              <w:t>5</w:t>
            </w:r>
            <w:r w:rsidR="00CC53EF" w:rsidRPr="00F01347">
              <w:rPr>
                <w:rFonts w:ascii="Verdana" w:hAnsi="Verdana"/>
                <w:color w:val="000000"/>
                <w:sz w:val="16"/>
                <w:szCs w:val="16"/>
                <w:lang w:val="en-US"/>
              </w:rPr>
              <w:t>O</w:t>
            </w:r>
            <w:r w:rsidR="00CC53EF" w:rsidRPr="00F01347">
              <w:rPr>
                <w:rFonts w:ascii="Verdana" w:hAnsi="Verdana"/>
                <w:color w:val="000000"/>
                <w:sz w:val="16"/>
                <w:szCs w:val="16"/>
                <w:vertAlign w:val="subscript"/>
                <w:lang w:val="en-US"/>
              </w:rPr>
              <w:t>2</w:t>
            </w:r>
            <w:r w:rsidR="00CC53EF" w:rsidRPr="00F01347">
              <w:rPr>
                <w:rFonts w:ascii="Verdana" w:hAnsi="Verdana"/>
                <w:color w:val="000000"/>
                <w:sz w:val="16"/>
                <w:szCs w:val="16"/>
                <w:lang w:val="en-US"/>
              </w:rPr>
              <w:t xml:space="preserve">N, no. CAS 540-69-2) </w:t>
            </w:r>
            <w:r w:rsidRPr="00F01347">
              <w:rPr>
                <w:rFonts w:ascii="Verdana" w:hAnsi="Verdana"/>
                <w:color w:val="000000"/>
                <w:sz w:val="16"/>
                <w:szCs w:val="16"/>
                <w:lang w:val="en-US"/>
              </w:rPr>
              <w:t xml:space="preserve">- High purity, proven to be free of analytes and interferences; LC/MS grade </w:t>
            </w:r>
            <w:r w:rsidR="00CB209C" w:rsidRPr="00F01347">
              <w:rPr>
                <w:rFonts w:ascii="Verdana" w:hAnsi="Verdana"/>
                <w:color w:val="000000"/>
                <w:sz w:val="16"/>
                <w:szCs w:val="16"/>
                <w:lang w:val="en-US"/>
              </w:rPr>
              <w:t>(</w:t>
            </w:r>
            <w:proofErr w:type="spellStart"/>
            <w:r w:rsidRPr="00F01347">
              <w:rPr>
                <w:rFonts w:ascii="Verdana" w:hAnsi="Verdana"/>
                <w:color w:val="000000"/>
                <w:sz w:val="16"/>
                <w:szCs w:val="16"/>
                <w:lang w:val="en-US"/>
              </w:rPr>
              <w:t>Fluka</w:t>
            </w:r>
            <w:proofErr w:type="spellEnd"/>
            <w:r w:rsidRPr="00F01347">
              <w:rPr>
                <w:rFonts w:ascii="Verdana" w:hAnsi="Verdana"/>
                <w:color w:val="000000"/>
                <w:sz w:val="16"/>
                <w:szCs w:val="16"/>
                <w:lang w:val="en-US"/>
              </w:rPr>
              <w:t xml:space="preserve"> #55674) or equivalent).</w:t>
            </w:r>
          </w:p>
        </w:tc>
      </w:tr>
      <w:tr w:rsidR="00E87674" w:rsidRPr="00F01347" w14:paraId="6F6294D7" w14:textId="0E6FA341" w:rsidTr="00CB209C">
        <w:tc>
          <w:tcPr>
            <w:tcW w:w="4675" w:type="dxa"/>
          </w:tcPr>
          <w:p w14:paraId="568CB758" w14:textId="77777777" w:rsidR="00E87674" w:rsidRPr="00F01347" w:rsidRDefault="00E87674" w:rsidP="00E87674">
            <w:pPr>
              <w:pStyle w:val="texto0"/>
              <w:spacing w:line="227" w:lineRule="exact"/>
              <w:ind w:firstLine="0"/>
              <w:rPr>
                <w:rFonts w:ascii="Verdana" w:hAnsi="Verdana"/>
                <w:color w:val="000000"/>
                <w:sz w:val="16"/>
                <w:szCs w:val="16"/>
              </w:rPr>
            </w:pPr>
            <w:r w:rsidRPr="00F01347">
              <w:rPr>
                <w:rFonts w:ascii="Verdana" w:hAnsi="Verdana"/>
                <w:b/>
                <w:color w:val="000000"/>
                <w:sz w:val="16"/>
                <w:szCs w:val="16"/>
              </w:rPr>
              <w:t>Gases, reactivos y solventes</w:t>
            </w:r>
            <w:r w:rsidRPr="00F01347">
              <w:rPr>
                <w:rFonts w:ascii="Verdana" w:hAnsi="Verdana"/>
                <w:color w:val="000000"/>
                <w:sz w:val="16"/>
                <w:szCs w:val="16"/>
              </w:rPr>
              <w:t>. Deben ser usados los mejores productos de reactivos químicos, a menos que se indique otra cosa, se pretende que todos los reactivos contengan las especificaciones del Comité de Reactivos Analíticos de la Sociedad Química Americana. Se pueden utilizar otros grados de reactivo, determinando primero que el reactivo sea de pureza suficientemente alta para permitir su uso sin disminuir la calidad de la determinación.</w:t>
            </w:r>
          </w:p>
        </w:tc>
        <w:tc>
          <w:tcPr>
            <w:tcW w:w="4675" w:type="dxa"/>
          </w:tcPr>
          <w:p w14:paraId="6BD6AF21" w14:textId="2FE82860" w:rsidR="00E87674" w:rsidRPr="00F01347" w:rsidRDefault="00E87674" w:rsidP="00E87674">
            <w:pPr>
              <w:pStyle w:val="texto0"/>
              <w:spacing w:line="227"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Gases, </w:t>
            </w:r>
            <w:r w:rsidR="000F48EA" w:rsidRPr="00F01347">
              <w:rPr>
                <w:rFonts w:ascii="Verdana" w:hAnsi="Verdana"/>
                <w:b/>
                <w:color w:val="000000"/>
                <w:sz w:val="16"/>
                <w:szCs w:val="16"/>
                <w:lang w:val="en-US"/>
              </w:rPr>
              <w:t>reagents,</w:t>
            </w:r>
            <w:r w:rsidRPr="00F01347">
              <w:rPr>
                <w:rFonts w:ascii="Verdana" w:hAnsi="Verdana"/>
                <w:b/>
                <w:color w:val="000000"/>
                <w:sz w:val="16"/>
                <w:szCs w:val="16"/>
                <w:lang w:val="en-US"/>
              </w:rPr>
              <w:t xml:space="preserve"> and solvents</w:t>
            </w:r>
            <w:r w:rsidR="003E1BA9" w:rsidRPr="00F01347">
              <w:rPr>
                <w:rFonts w:ascii="Verdana" w:hAnsi="Verdana"/>
                <w:b/>
                <w:color w:val="000000"/>
                <w:sz w:val="16"/>
                <w:szCs w:val="16"/>
                <w:lang w:val="en-US"/>
              </w:rPr>
              <w:t>.</w:t>
            </w:r>
            <w:r w:rsidRPr="00F01347">
              <w:rPr>
                <w:rFonts w:ascii="Verdana" w:hAnsi="Verdana"/>
                <w:color w:val="000000"/>
                <w:sz w:val="16"/>
                <w:szCs w:val="16"/>
                <w:lang w:val="en-US"/>
              </w:rPr>
              <w:t xml:space="preserve"> The best chemical reagent products should be used, unless otherwise indicated, it is intended that all reagents contain the specifications of the Committee on Analytical Reagents of the American Chemical Society. Other grades of reagent may be used, first determining that the reagent is of sufficiently high purity to permit its use without diminishing the quality of the determination.</w:t>
            </w:r>
          </w:p>
        </w:tc>
      </w:tr>
      <w:tr w:rsidR="00E87674" w:rsidRPr="00F01347" w14:paraId="56892B01" w14:textId="79AAEF1B" w:rsidTr="00CB209C">
        <w:tc>
          <w:tcPr>
            <w:tcW w:w="4675" w:type="dxa"/>
          </w:tcPr>
          <w:p w14:paraId="33F4EF32" w14:textId="77777777" w:rsidR="00E87674" w:rsidRPr="00F01347" w:rsidRDefault="00E87674" w:rsidP="00E87674">
            <w:pPr>
              <w:pStyle w:val="texto0"/>
              <w:spacing w:line="227" w:lineRule="exact"/>
              <w:ind w:firstLine="0"/>
              <w:rPr>
                <w:rFonts w:ascii="Verdana" w:hAnsi="Verdana"/>
                <w:sz w:val="16"/>
                <w:szCs w:val="16"/>
              </w:rPr>
            </w:pPr>
            <w:r w:rsidRPr="00F01347">
              <w:rPr>
                <w:rFonts w:ascii="Verdana" w:hAnsi="Verdana"/>
                <w:b/>
                <w:color w:val="000000"/>
                <w:sz w:val="16"/>
                <w:szCs w:val="16"/>
              </w:rPr>
              <w:t>Metanol</w:t>
            </w:r>
            <w:r w:rsidRPr="00F01347">
              <w:rPr>
                <w:rFonts w:ascii="Verdana" w:hAnsi="Verdana"/>
                <w:color w:val="000000"/>
                <w:sz w:val="16"/>
                <w:szCs w:val="16"/>
              </w:rPr>
              <w:t>. (CH</w:t>
            </w:r>
            <w:r w:rsidRPr="00F01347">
              <w:rPr>
                <w:rFonts w:ascii="Verdana" w:hAnsi="Verdana"/>
                <w:color w:val="000000"/>
                <w:position w:val="-2"/>
                <w:sz w:val="16"/>
                <w:szCs w:val="16"/>
              </w:rPr>
              <w:t>3</w:t>
            </w:r>
            <w:r w:rsidRPr="00F01347">
              <w:rPr>
                <w:rFonts w:ascii="Verdana" w:hAnsi="Verdana"/>
                <w:color w:val="000000"/>
                <w:sz w:val="16"/>
                <w:szCs w:val="16"/>
              </w:rPr>
              <w:t>OH, no. CAS 67-56-1) - Alta pureza, demostrando estar libre de analitos e interferencias (Fisher Optima grado LC/MS o equivalente).</w:t>
            </w:r>
          </w:p>
        </w:tc>
        <w:tc>
          <w:tcPr>
            <w:tcW w:w="4675" w:type="dxa"/>
          </w:tcPr>
          <w:p w14:paraId="2DA3DF2A" w14:textId="56E77321" w:rsidR="00E87674" w:rsidRPr="00F01347" w:rsidRDefault="00E87674" w:rsidP="00E87674">
            <w:pPr>
              <w:pStyle w:val="texto0"/>
              <w:spacing w:line="227" w:lineRule="exact"/>
              <w:ind w:firstLine="0"/>
              <w:rPr>
                <w:rFonts w:ascii="Verdana" w:hAnsi="Verdana"/>
                <w:b/>
                <w:color w:val="000000"/>
                <w:sz w:val="16"/>
                <w:szCs w:val="16"/>
                <w:lang w:val="en-US"/>
              </w:rPr>
            </w:pPr>
            <w:r w:rsidRPr="00F01347">
              <w:rPr>
                <w:rFonts w:ascii="Verdana" w:hAnsi="Verdana"/>
                <w:b/>
                <w:color w:val="000000"/>
                <w:sz w:val="16"/>
                <w:szCs w:val="16"/>
                <w:lang w:val="en-US"/>
              </w:rPr>
              <w:t>Methanol</w:t>
            </w:r>
            <w:r w:rsidR="003E1BA9" w:rsidRPr="00F01347">
              <w:rPr>
                <w:rFonts w:ascii="Verdana" w:hAnsi="Verdana"/>
                <w:b/>
                <w:color w:val="000000"/>
                <w:sz w:val="16"/>
                <w:szCs w:val="16"/>
                <w:lang w:val="en-US"/>
              </w:rPr>
              <w:t>.</w:t>
            </w:r>
            <w:r w:rsidRPr="00F01347">
              <w:rPr>
                <w:rFonts w:ascii="Verdana" w:hAnsi="Verdana"/>
                <w:color w:val="000000"/>
                <w:sz w:val="16"/>
                <w:szCs w:val="16"/>
                <w:lang w:val="en-US"/>
              </w:rPr>
              <w:t xml:space="preserve"> (CH</w:t>
            </w:r>
            <w:r w:rsidRPr="00F01347">
              <w:rPr>
                <w:rFonts w:ascii="Verdana" w:hAnsi="Verdana"/>
                <w:color w:val="000000"/>
                <w:position w:val="-2"/>
                <w:sz w:val="16"/>
                <w:szCs w:val="16"/>
                <w:lang w:val="en-US"/>
              </w:rPr>
              <w:t>3</w:t>
            </w:r>
            <w:r w:rsidRPr="00F01347">
              <w:rPr>
                <w:rFonts w:ascii="Verdana" w:hAnsi="Verdana"/>
                <w:color w:val="000000"/>
                <w:sz w:val="16"/>
                <w:szCs w:val="16"/>
                <w:lang w:val="en-US"/>
              </w:rPr>
              <w:t>OH, CAS no. 67-56-1) - High purity, proven to be free of analytes and interferences (Fisher Optima grade LC/MS or equivalent).</w:t>
            </w:r>
          </w:p>
        </w:tc>
      </w:tr>
      <w:tr w:rsidR="00E87674" w:rsidRPr="00F01347" w14:paraId="27060DA9" w14:textId="28F2F8F6" w:rsidTr="00CB209C">
        <w:tc>
          <w:tcPr>
            <w:tcW w:w="4675" w:type="dxa"/>
          </w:tcPr>
          <w:p w14:paraId="67439708" w14:textId="77777777" w:rsidR="00E87674" w:rsidRPr="00F01347" w:rsidRDefault="00E87674" w:rsidP="00E87674">
            <w:pPr>
              <w:pStyle w:val="texto0"/>
              <w:spacing w:line="229" w:lineRule="exact"/>
              <w:ind w:firstLine="0"/>
              <w:rPr>
                <w:rFonts w:ascii="Verdana" w:hAnsi="Verdana"/>
                <w:color w:val="000000"/>
                <w:sz w:val="16"/>
                <w:szCs w:val="16"/>
              </w:rPr>
            </w:pPr>
            <w:r w:rsidRPr="00F01347">
              <w:rPr>
                <w:rFonts w:ascii="Verdana" w:hAnsi="Verdana"/>
                <w:b/>
                <w:color w:val="000000"/>
                <w:sz w:val="16"/>
                <w:szCs w:val="16"/>
              </w:rPr>
              <w:t>Nitrógeno.</w:t>
            </w:r>
            <w:r w:rsidRPr="00F01347">
              <w:rPr>
                <w:rFonts w:ascii="Verdana" w:hAnsi="Verdana"/>
                <w:color w:val="000000"/>
                <w:sz w:val="16"/>
                <w:szCs w:val="16"/>
              </w:rPr>
              <w:t xml:space="preserve"> Ayuda a la generación de aerosoles y a la </w:t>
            </w:r>
            <w:proofErr w:type="spellStart"/>
            <w:r w:rsidRPr="00F01347">
              <w:rPr>
                <w:rFonts w:ascii="Verdana" w:hAnsi="Verdana"/>
                <w:color w:val="000000"/>
                <w:sz w:val="16"/>
                <w:szCs w:val="16"/>
              </w:rPr>
              <w:t>desolvatación</w:t>
            </w:r>
            <w:proofErr w:type="spellEnd"/>
            <w:r w:rsidRPr="00F01347">
              <w:rPr>
                <w:rFonts w:ascii="Verdana" w:hAnsi="Verdana"/>
                <w:color w:val="000000"/>
                <w:sz w:val="16"/>
                <w:szCs w:val="16"/>
              </w:rPr>
              <w:t xml:space="preserve"> del aerosol líquido en la Ionización por </w:t>
            </w:r>
            <w:proofErr w:type="spellStart"/>
            <w:r w:rsidRPr="00F01347">
              <w:rPr>
                <w:rFonts w:ascii="Verdana" w:hAnsi="Verdana"/>
                <w:color w:val="000000"/>
                <w:sz w:val="16"/>
                <w:szCs w:val="16"/>
              </w:rPr>
              <w:t>electrospray</w:t>
            </w:r>
            <w:proofErr w:type="spellEnd"/>
            <w:r w:rsidRPr="00F01347">
              <w:rPr>
                <w:rFonts w:ascii="Verdana" w:hAnsi="Verdana"/>
                <w:color w:val="000000"/>
                <w:sz w:val="16"/>
                <w:szCs w:val="16"/>
              </w:rPr>
              <w:t xml:space="preserve"> (ESI) y se utiliza como gas de colisión en algunos equipos MS/MS. El nitrógeno utilizado debe cumplir o exceder las especificaciones del fabricante del instrumento.</w:t>
            </w:r>
          </w:p>
        </w:tc>
        <w:tc>
          <w:tcPr>
            <w:tcW w:w="4675" w:type="dxa"/>
          </w:tcPr>
          <w:p w14:paraId="0C45AB18" w14:textId="21340E8D" w:rsidR="00E87674" w:rsidRPr="00F01347" w:rsidRDefault="00E87674" w:rsidP="00E87674">
            <w:pPr>
              <w:pStyle w:val="texto0"/>
              <w:spacing w:line="229"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Nitrogen. </w:t>
            </w:r>
            <w:r w:rsidRPr="00F01347">
              <w:rPr>
                <w:rFonts w:ascii="Verdana" w:hAnsi="Verdana"/>
                <w:color w:val="000000"/>
                <w:sz w:val="16"/>
                <w:szCs w:val="16"/>
                <w:lang w:val="en-US"/>
              </w:rPr>
              <w:t>It assists in aerosol generation and liquid aerosol desolvation in Electrospray Ionization (ESI) and is used as a collision gas in some MS/MS equipment. The nitrogen used must meet or exceed the instrument manufacturer's specifications.</w:t>
            </w:r>
          </w:p>
        </w:tc>
      </w:tr>
      <w:tr w:rsidR="00E87674" w:rsidRPr="00F01347" w14:paraId="6F3DD183" w14:textId="2C6BADE7" w:rsidTr="00CB209C">
        <w:tc>
          <w:tcPr>
            <w:tcW w:w="4675" w:type="dxa"/>
          </w:tcPr>
          <w:p w14:paraId="2E46DA9F" w14:textId="77777777" w:rsidR="00E87674" w:rsidRPr="00F01347" w:rsidRDefault="00E87674" w:rsidP="00E87674">
            <w:pPr>
              <w:pStyle w:val="texto0"/>
              <w:spacing w:line="229" w:lineRule="exact"/>
              <w:ind w:firstLine="0"/>
              <w:rPr>
                <w:rFonts w:ascii="Verdana" w:hAnsi="Verdana"/>
                <w:sz w:val="16"/>
                <w:szCs w:val="16"/>
              </w:rPr>
            </w:pPr>
            <w:r w:rsidRPr="00F01347">
              <w:rPr>
                <w:rFonts w:ascii="Verdana" w:hAnsi="Verdana"/>
                <w:b/>
                <w:sz w:val="16"/>
                <w:szCs w:val="16"/>
              </w:rPr>
              <w:t xml:space="preserve">Solución amortiguadora de formiato 20mM. </w:t>
            </w:r>
            <w:r w:rsidRPr="00F01347">
              <w:rPr>
                <w:rFonts w:ascii="Verdana" w:hAnsi="Verdana"/>
                <w:sz w:val="16"/>
                <w:szCs w:val="16"/>
              </w:rPr>
              <w:t>Para preparar 1 L, añadir 1.26 g de formiato de amonio a 1 L de agua grado reactivo. Esta solución es propensa a pérdidas de volatilidad y debe ser sustituido por lo menos cada 48 horas.</w:t>
            </w:r>
          </w:p>
        </w:tc>
        <w:tc>
          <w:tcPr>
            <w:tcW w:w="4675" w:type="dxa"/>
          </w:tcPr>
          <w:p w14:paraId="39FB4C1D" w14:textId="15A36956" w:rsidR="00E87674" w:rsidRPr="00F01347" w:rsidRDefault="00E87674" w:rsidP="00E87674">
            <w:pPr>
              <w:pStyle w:val="texto0"/>
              <w:spacing w:line="229" w:lineRule="exact"/>
              <w:ind w:firstLine="0"/>
              <w:rPr>
                <w:rFonts w:ascii="Verdana" w:hAnsi="Verdana"/>
                <w:b/>
                <w:sz w:val="16"/>
                <w:szCs w:val="16"/>
                <w:lang w:val="en-US"/>
              </w:rPr>
            </w:pPr>
            <w:r w:rsidRPr="00F01347">
              <w:rPr>
                <w:rFonts w:ascii="Verdana" w:hAnsi="Verdana"/>
                <w:b/>
                <w:sz w:val="16"/>
                <w:szCs w:val="16"/>
                <w:lang w:val="en-US"/>
              </w:rPr>
              <w:t>20mM form</w:t>
            </w:r>
            <w:r w:rsidR="000A3AF6">
              <w:rPr>
                <w:rFonts w:ascii="Verdana" w:hAnsi="Verdana"/>
                <w:b/>
                <w:sz w:val="16"/>
                <w:szCs w:val="16"/>
                <w:lang w:val="en-US"/>
              </w:rPr>
              <w:t>i</w:t>
            </w:r>
            <w:r w:rsidRPr="00F01347">
              <w:rPr>
                <w:rFonts w:ascii="Verdana" w:hAnsi="Verdana"/>
                <w:b/>
                <w:sz w:val="16"/>
                <w:szCs w:val="16"/>
                <w:lang w:val="en-US"/>
              </w:rPr>
              <w:t xml:space="preserve">ate buffer solution. </w:t>
            </w:r>
            <w:r w:rsidRPr="00F01347">
              <w:rPr>
                <w:rFonts w:ascii="Verdana" w:hAnsi="Verdana"/>
                <w:sz w:val="16"/>
                <w:szCs w:val="16"/>
                <w:lang w:val="en-US"/>
              </w:rPr>
              <w:t>To prepare 1 L, add 1.26 g of ammonium form</w:t>
            </w:r>
            <w:r w:rsidR="000A3AF6">
              <w:rPr>
                <w:rFonts w:ascii="Verdana" w:hAnsi="Verdana"/>
                <w:sz w:val="16"/>
                <w:szCs w:val="16"/>
                <w:lang w:val="en-US"/>
              </w:rPr>
              <w:t>i</w:t>
            </w:r>
            <w:r w:rsidRPr="00F01347">
              <w:rPr>
                <w:rFonts w:ascii="Verdana" w:hAnsi="Verdana"/>
                <w:sz w:val="16"/>
                <w:szCs w:val="16"/>
                <w:lang w:val="en-US"/>
              </w:rPr>
              <w:t>ate to 1 L of reagent grade water. This solution is prone to volatility losses and should be replaced at least every 48 hours.</w:t>
            </w:r>
          </w:p>
        </w:tc>
      </w:tr>
      <w:tr w:rsidR="00E87674" w:rsidRPr="00F01347" w14:paraId="35AE0B7E" w14:textId="2A97F2E5" w:rsidTr="00CB209C">
        <w:tc>
          <w:tcPr>
            <w:tcW w:w="4675" w:type="dxa"/>
          </w:tcPr>
          <w:p w14:paraId="319B80EE" w14:textId="77777777" w:rsidR="00E87674" w:rsidRPr="00F01347" w:rsidRDefault="00E87674" w:rsidP="00E87674">
            <w:pPr>
              <w:pStyle w:val="texto0"/>
              <w:spacing w:line="229" w:lineRule="exact"/>
              <w:ind w:firstLine="0"/>
              <w:rPr>
                <w:rFonts w:ascii="Verdana" w:hAnsi="Verdana"/>
                <w:color w:val="000000"/>
                <w:sz w:val="16"/>
                <w:szCs w:val="16"/>
              </w:rPr>
            </w:pPr>
            <w:r w:rsidRPr="00F01347">
              <w:rPr>
                <w:rFonts w:ascii="Verdana" w:hAnsi="Verdana"/>
                <w:b/>
                <w:color w:val="000000"/>
                <w:sz w:val="16"/>
                <w:szCs w:val="16"/>
              </w:rPr>
              <w:lastRenderedPageBreak/>
              <w:t xml:space="preserve">Soluciones estándar. </w:t>
            </w:r>
            <w:r w:rsidRPr="00F01347">
              <w:rPr>
                <w:rFonts w:ascii="Verdana" w:hAnsi="Verdana"/>
                <w:color w:val="000000"/>
                <w:sz w:val="16"/>
                <w:szCs w:val="16"/>
              </w:rPr>
              <w:t xml:space="preserve">Cuando la pureza evaluada de un compuesto es igual o mayor al 95%, el peso puede utilizarse sin corrección para el cálculo de concentración de las soluciones estándar. Las concentraciones sugeridas son una descripción de las concentraciones que se utilizan durante el desarrollo del método y pueden ser modificadas para ajustarse a la sensibilidad del equipo que se utilice. Las soluciones estándar para la fortificación de muestras generalmente deben ser preparadas en pequeños volúmenes, que puedan ser medidos con precisión para minimizar la adición de exceso solvente orgánico para las muestras acuosas. Los laboratorios deben utilizar prácticas de control de calidad para determinar cuándo es necesario reemplazar sus soluciones estándar. No deben utilizarse puntas de pipetas de polipropileno para la dosificación de soluciones que contiene analitos de este método, ya que se ha reportado la adsorción de </w:t>
            </w:r>
            <w:proofErr w:type="spellStart"/>
            <w:r w:rsidRPr="00F01347">
              <w:rPr>
                <w:rFonts w:ascii="Verdana" w:hAnsi="Verdana"/>
                <w:color w:val="000000"/>
                <w:sz w:val="16"/>
                <w:szCs w:val="16"/>
              </w:rPr>
              <w:t>microcistina</w:t>
            </w:r>
            <w:proofErr w:type="spellEnd"/>
            <w:r w:rsidRPr="00F01347">
              <w:rPr>
                <w:rFonts w:ascii="Verdana" w:hAnsi="Verdana"/>
                <w:color w:val="000000"/>
                <w:sz w:val="16"/>
                <w:szCs w:val="16"/>
              </w:rPr>
              <w:t xml:space="preserve"> por el polipropileno.</w:t>
            </w:r>
          </w:p>
        </w:tc>
        <w:tc>
          <w:tcPr>
            <w:tcW w:w="4675" w:type="dxa"/>
          </w:tcPr>
          <w:p w14:paraId="224E0213" w14:textId="72A51294" w:rsidR="00E87674" w:rsidRPr="00F01347" w:rsidRDefault="00E87674" w:rsidP="00E87674">
            <w:pPr>
              <w:pStyle w:val="texto0"/>
              <w:spacing w:line="229"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Standard solutions. </w:t>
            </w:r>
            <w:r w:rsidRPr="00F01347">
              <w:rPr>
                <w:rFonts w:ascii="Verdana" w:hAnsi="Verdana"/>
                <w:color w:val="000000"/>
                <w:sz w:val="16"/>
                <w:szCs w:val="16"/>
                <w:lang w:val="en-US"/>
              </w:rPr>
              <w:t>When the evaluated purity of a compound is equal to or greater than 95%, the weight can be used without correction for the calculation of concentration of standard solutions. Suggested concentrations are a description of the concentrations used during method development and may be modified to suit the sensitivity of the equipment being used. Standard solutions for sample fortification should generally be prepared in small, accurately measured volumes to minimize the addition of excess organic solvent to aqueous samples. Laboratories should use quality control practices to determine when their standard solutions need to be replaced. Polypropylene pipette tips should not be used for dosing solutions containing analytes of this method, since adsorption of microcystin by polypropylene has been reported.</w:t>
            </w:r>
          </w:p>
        </w:tc>
      </w:tr>
      <w:tr w:rsidR="00E87674" w:rsidRPr="00F01347" w14:paraId="057D7BD7" w14:textId="754EA174" w:rsidTr="00CB209C">
        <w:tc>
          <w:tcPr>
            <w:tcW w:w="4675" w:type="dxa"/>
          </w:tcPr>
          <w:p w14:paraId="70FBC33A" w14:textId="77777777" w:rsidR="00E87674" w:rsidRPr="00F01347" w:rsidRDefault="00E87674" w:rsidP="00E87674">
            <w:pPr>
              <w:pStyle w:val="texto0"/>
              <w:spacing w:line="229" w:lineRule="exact"/>
              <w:ind w:firstLine="0"/>
              <w:rPr>
                <w:rFonts w:ascii="Verdana" w:hAnsi="Verdana"/>
                <w:sz w:val="16"/>
                <w:szCs w:val="16"/>
              </w:rPr>
            </w:pPr>
            <w:r w:rsidRPr="00F01347">
              <w:rPr>
                <w:rFonts w:ascii="Verdana" w:hAnsi="Verdana"/>
                <w:b/>
                <w:sz w:val="16"/>
                <w:szCs w:val="16"/>
              </w:rPr>
              <w:t>Soluciones estándar del analito.</w:t>
            </w:r>
            <w:r w:rsidRPr="00F01347">
              <w:rPr>
                <w:rFonts w:ascii="Verdana" w:hAnsi="Verdana"/>
                <w:sz w:val="16"/>
                <w:szCs w:val="16"/>
              </w:rPr>
              <w:t xml:space="preserve"> Las soluciones estándar del analito pueden comprarse comercialmente como soluciones en ampolletas o preparadas a partir de material puro.</w:t>
            </w:r>
          </w:p>
        </w:tc>
        <w:tc>
          <w:tcPr>
            <w:tcW w:w="4675" w:type="dxa"/>
          </w:tcPr>
          <w:p w14:paraId="6494D9DF" w14:textId="41C6AC5B" w:rsidR="00E87674" w:rsidRPr="00F01347" w:rsidRDefault="00E87674" w:rsidP="00E87674">
            <w:pPr>
              <w:pStyle w:val="texto0"/>
              <w:spacing w:line="229" w:lineRule="exact"/>
              <w:ind w:firstLine="0"/>
              <w:rPr>
                <w:rFonts w:ascii="Verdana" w:hAnsi="Verdana"/>
                <w:b/>
                <w:sz w:val="16"/>
                <w:szCs w:val="16"/>
                <w:lang w:val="en-US"/>
              </w:rPr>
            </w:pPr>
            <w:r w:rsidRPr="00F01347">
              <w:rPr>
                <w:rFonts w:ascii="Verdana" w:hAnsi="Verdana"/>
                <w:b/>
                <w:sz w:val="16"/>
                <w:szCs w:val="16"/>
                <w:lang w:val="en-US"/>
              </w:rPr>
              <w:t xml:space="preserve">Standard solutions of the analyte. </w:t>
            </w:r>
            <w:r w:rsidRPr="00F01347">
              <w:rPr>
                <w:rFonts w:ascii="Verdana" w:hAnsi="Verdana"/>
                <w:sz w:val="16"/>
                <w:szCs w:val="16"/>
                <w:lang w:val="en-US"/>
              </w:rPr>
              <w:t>Standard analyte solutions can be purchased commercially as ampoule solutions or prepared from pure material.</w:t>
            </w:r>
          </w:p>
        </w:tc>
      </w:tr>
      <w:tr w:rsidR="00E87674" w:rsidRPr="00F01347" w14:paraId="5B946FDB" w14:textId="3CE44D4C" w:rsidTr="00CB209C">
        <w:tc>
          <w:tcPr>
            <w:tcW w:w="4675" w:type="dxa"/>
          </w:tcPr>
          <w:p w14:paraId="3A048CA5" w14:textId="77777777" w:rsidR="00E87674" w:rsidRPr="00F01347" w:rsidRDefault="00E87674" w:rsidP="00E87674">
            <w:pPr>
              <w:pStyle w:val="texto0"/>
              <w:spacing w:line="240" w:lineRule="exact"/>
              <w:ind w:firstLine="0"/>
              <w:rPr>
                <w:rFonts w:ascii="Verdana" w:hAnsi="Verdana"/>
                <w:sz w:val="16"/>
                <w:szCs w:val="16"/>
              </w:rPr>
            </w:pPr>
            <w:r w:rsidRPr="00F01347">
              <w:rPr>
                <w:rFonts w:ascii="Verdana" w:hAnsi="Verdana"/>
                <w:b/>
                <w:sz w:val="16"/>
                <w:szCs w:val="16"/>
              </w:rPr>
              <w:t xml:space="preserve">Solución estándar del analito (10 - 500 µg/ml). </w:t>
            </w:r>
            <w:r w:rsidRPr="00F01347">
              <w:rPr>
                <w:rFonts w:ascii="Verdana" w:hAnsi="Verdana"/>
                <w:sz w:val="16"/>
                <w:szCs w:val="16"/>
              </w:rPr>
              <w:t xml:space="preserve">Las cianotoxinas puras son compradas generalmente en cantidades de 10-500µg. Debido a la pequeña cantidad y a la toxicidad de estos analitos, el pesado de las cianotoxinas no es factible. Si se preparan a partir de material puro, simplemente debe añadirse 1 </w:t>
            </w:r>
            <w:proofErr w:type="spellStart"/>
            <w:r w:rsidRPr="00F01347">
              <w:rPr>
                <w:rFonts w:ascii="Verdana" w:hAnsi="Verdana"/>
                <w:sz w:val="16"/>
                <w:szCs w:val="16"/>
              </w:rPr>
              <w:t>mL</w:t>
            </w:r>
            <w:proofErr w:type="spellEnd"/>
            <w:r w:rsidRPr="00F01347">
              <w:rPr>
                <w:rFonts w:ascii="Verdana" w:hAnsi="Verdana"/>
                <w:sz w:val="16"/>
                <w:szCs w:val="16"/>
              </w:rPr>
              <w:t xml:space="preserve"> de metanol al material puro comprado (10 - 500 µg) para obtener una concentración final de 10 - 500 µg/</w:t>
            </w:r>
            <w:proofErr w:type="spellStart"/>
            <w:r w:rsidRPr="00F01347">
              <w:rPr>
                <w:rFonts w:ascii="Verdana" w:hAnsi="Verdana"/>
                <w:sz w:val="16"/>
                <w:szCs w:val="16"/>
              </w:rPr>
              <w:t>mL</w:t>
            </w:r>
            <w:proofErr w:type="spellEnd"/>
            <w:r w:rsidRPr="00F01347">
              <w:rPr>
                <w:rFonts w:ascii="Verdana" w:hAnsi="Verdana"/>
                <w:sz w:val="16"/>
                <w:szCs w:val="16"/>
              </w:rPr>
              <w:t>. Repita para analito preparado a partir de material puro. Alternativamente, pueden comprarse soluciones estándar de los analitos preferiblemente en metanol si están disponibles en el mercado. Las soluciones estándar son estables al menos 6 meses si son almacenadas a -15°C o menos en frascos color ámbar de tapa de vidrio.</w:t>
            </w:r>
          </w:p>
        </w:tc>
        <w:tc>
          <w:tcPr>
            <w:tcW w:w="4675" w:type="dxa"/>
          </w:tcPr>
          <w:p w14:paraId="1D764403" w14:textId="71EA5478" w:rsidR="00E87674" w:rsidRPr="00F01347" w:rsidRDefault="00E87674" w:rsidP="00E87674">
            <w:pPr>
              <w:pStyle w:val="texto0"/>
              <w:spacing w:line="240" w:lineRule="exact"/>
              <w:ind w:firstLine="0"/>
              <w:rPr>
                <w:rFonts w:ascii="Verdana" w:hAnsi="Verdana"/>
                <w:b/>
                <w:sz w:val="16"/>
                <w:szCs w:val="16"/>
                <w:lang w:val="en-US"/>
              </w:rPr>
            </w:pPr>
            <w:r w:rsidRPr="00F01347">
              <w:rPr>
                <w:rFonts w:ascii="Verdana" w:hAnsi="Verdana"/>
                <w:b/>
                <w:sz w:val="16"/>
                <w:szCs w:val="16"/>
                <w:lang w:val="en-US"/>
              </w:rPr>
              <w:t xml:space="preserve">Analyte standard solution (10 - 500 µg/ml). </w:t>
            </w:r>
            <w:r w:rsidRPr="00F01347">
              <w:rPr>
                <w:rFonts w:ascii="Verdana" w:hAnsi="Verdana"/>
                <w:sz w:val="16"/>
                <w:szCs w:val="16"/>
                <w:lang w:val="en-US"/>
              </w:rPr>
              <w:t>Pure cyanotoxins are generally purchased in quantities of 10-500µg. Due to the small amount and toxicity of these analytes, weighing cyanotoxins is not feasible. If prepared from pure material, simply add 1 mL of methanol to the purchased pure material (10 - 500 µg) to obtain a final concentration of 10 - 500 µg/ mL</w:t>
            </w:r>
            <w:r w:rsidR="003E1BA9" w:rsidRPr="00F01347">
              <w:rPr>
                <w:rFonts w:ascii="Verdana" w:hAnsi="Verdana"/>
                <w:sz w:val="16"/>
                <w:szCs w:val="16"/>
                <w:lang w:val="en-US"/>
              </w:rPr>
              <w:t>.</w:t>
            </w:r>
            <w:r w:rsidRPr="00F01347">
              <w:rPr>
                <w:rFonts w:ascii="Verdana" w:hAnsi="Verdana"/>
                <w:sz w:val="16"/>
                <w:szCs w:val="16"/>
                <w:lang w:val="en-US"/>
              </w:rPr>
              <w:t xml:space="preserve"> Repeat for analyte prepared from pure material. Alternatively, standard solutions of the analytes preferably in methanol can be purchased if commercially available. Standard solutions are stable for at least 6 months if stored at -15°C or lower in amber glass-topped bottles.</w:t>
            </w:r>
          </w:p>
        </w:tc>
      </w:tr>
      <w:tr w:rsidR="00E87674" w:rsidRPr="00F01347" w14:paraId="106562CD" w14:textId="5DC3D88C" w:rsidTr="00CB209C">
        <w:tc>
          <w:tcPr>
            <w:tcW w:w="4675" w:type="dxa"/>
          </w:tcPr>
          <w:p w14:paraId="6893FD32" w14:textId="77777777" w:rsidR="00E87674" w:rsidRPr="00F01347" w:rsidRDefault="00E87674" w:rsidP="00E87674">
            <w:pPr>
              <w:pStyle w:val="texto0"/>
              <w:spacing w:line="240" w:lineRule="exact"/>
              <w:ind w:firstLine="0"/>
              <w:rPr>
                <w:rFonts w:ascii="Verdana" w:hAnsi="Verdana"/>
                <w:sz w:val="16"/>
                <w:szCs w:val="16"/>
              </w:rPr>
            </w:pPr>
            <w:r w:rsidRPr="00F01347">
              <w:rPr>
                <w:rFonts w:ascii="Verdana" w:hAnsi="Verdana"/>
                <w:b/>
                <w:color w:val="000000"/>
                <w:sz w:val="16"/>
                <w:szCs w:val="16"/>
              </w:rPr>
              <w:t xml:space="preserve">Soluciones estándar del analito </w:t>
            </w:r>
            <w:proofErr w:type="spellStart"/>
            <w:r w:rsidRPr="00F01347">
              <w:rPr>
                <w:rFonts w:ascii="Verdana" w:hAnsi="Verdana"/>
                <w:b/>
                <w:color w:val="000000"/>
                <w:sz w:val="16"/>
                <w:szCs w:val="16"/>
              </w:rPr>
              <w:t>surrogado</w:t>
            </w:r>
            <w:proofErr w:type="spellEnd"/>
            <w:r w:rsidRPr="00F01347">
              <w:rPr>
                <w:rFonts w:ascii="Verdana" w:hAnsi="Verdana"/>
                <w:b/>
                <w:color w:val="000000"/>
                <w:sz w:val="16"/>
                <w:szCs w:val="16"/>
              </w:rPr>
              <w:t xml:space="preserve"> (SUR)</w:t>
            </w:r>
            <w:r w:rsidRPr="00F01347">
              <w:rPr>
                <w:rFonts w:ascii="Verdana" w:hAnsi="Verdana"/>
                <w:color w:val="000000"/>
                <w:sz w:val="16"/>
                <w:szCs w:val="16"/>
              </w:rPr>
              <w:t>. El SUR para este método es la C</w:t>
            </w:r>
            <w:r w:rsidRPr="00F01347">
              <w:rPr>
                <w:rFonts w:ascii="Verdana" w:hAnsi="Verdana"/>
                <w:color w:val="000000"/>
                <w:position w:val="-2"/>
                <w:sz w:val="16"/>
                <w:szCs w:val="16"/>
              </w:rPr>
              <w:t>2</w:t>
            </w:r>
            <w:r w:rsidRPr="00F01347">
              <w:rPr>
                <w:rFonts w:ascii="Verdana" w:hAnsi="Verdana"/>
                <w:color w:val="000000"/>
                <w:sz w:val="16"/>
                <w:szCs w:val="16"/>
              </w:rPr>
              <w:t>D</w:t>
            </w:r>
            <w:r w:rsidRPr="00F01347">
              <w:rPr>
                <w:rFonts w:ascii="Verdana" w:hAnsi="Verdana"/>
                <w:color w:val="000000"/>
                <w:position w:val="-2"/>
                <w:sz w:val="16"/>
                <w:szCs w:val="16"/>
              </w:rPr>
              <w:t>5</w:t>
            </w:r>
            <w:r w:rsidRPr="00F01347">
              <w:rPr>
                <w:rFonts w:ascii="Verdana" w:hAnsi="Verdana"/>
                <w:color w:val="000000"/>
                <w:sz w:val="16"/>
                <w:szCs w:val="16"/>
              </w:rPr>
              <w:t>-MC-LR. Este Sur marcado isotópicamente contiene funciones similares al analito. Aunque pueden usarse soluciones estándar de SUR alternativos siempre que estén marcados isotópicamente con grupos funcionales similares al analito</w:t>
            </w:r>
            <w:r w:rsidRPr="00F01347">
              <w:rPr>
                <w:rFonts w:ascii="Verdana" w:hAnsi="Verdana"/>
                <w:sz w:val="16"/>
                <w:szCs w:val="16"/>
              </w:rPr>
              <w:t>, el analista debe documentar las razones por las cuales utiliza estándares alternativos de SUR. Asimismo, las soluciones estándar de SUR deben de cumplir con los requisitos de control de calidad.</w:t>
            </w:r>
          </w:p>
        </w:tc>
        <w:tc>
          <w:tcPr>
            <w:tcW w:w="4675" w:type="dxa"/>
          </w:tcPr>
          <w:p w14:paraId="3D574D60" w14:textId="140785DE" w:rsidR="00E87674" w:rsidRPr="00F01347" w:rsidRDefault="00E87674" w:rsidP="00E87674">
            <w:pPr>
              <w:pStyle w:val="texto0"/>
              <w:spacing w:line="240" w:lineRule="exact"/>
              <w:ind w:firstLine="0"/>
              <w:rPr>
                <w:rFonts w:ascii="Verdana" w:hAnsi="Verdana"/>
                <w:b/>
                <w:color w:val="000000"/>
                <w:sz w:val="16"/>
                <w:szCs w:val="16"/>
                <w:lang w:val="en-US"/>
              </w:rPr>
            </w:pPr>
            <w:r w:rsidRPr="00F01347">
              <w:rPr>
                <w:rFonts w:ascii="Verdana" w:hAnsi="Verdana"/>
                <w:b/>
                <w:color w:val="000000"/>
                <w:sz w:val="16"/>
                <w:szCs w:val="16"/>
                <w:lang w:val="en-US"/>
              </w:rPr>
              <w:t>Standard solutions of the surrogate analyte (SUR)</w:t>
            </w:r>
            <w:r w:rsidR="003E1BA9" w:rsidRPr="00F01347">
              <w:rPr>
                <w:rFonts w:ascii="Verdana" w:hAnsi="Verdana"/>
                <w:b/>
                <w:color w:val="000000"/>
                <w:sz w:val="16"/>
                <w:szCs w:val="16"/>
                <w:lang w:val="en-US"/>
              </w:rPr>
              <w:t>.</w:t>
            </w:r>
            <w:r w:rsidRPr="00F01347">
              <w:rPr>
                <w:rFonts w:ascii="Verdana" w:hAnsi="Verdana"/>
                <w:color w:val="000000"/>
                <w:sz w:val="16"/>
                <w:szCs w:val="16"/>
                <w:lang w:val="en-US"/>
              </w:rPr>
              <w:t xml:space="preserve"> The SUR for this method is C</w:t>
            </w:r>
            <w:r w:rsidRPr="00F01347">
              <w:rPr>
                <w:rFonts w:ascii="Verdana" w:hAnsi="Verdana"/>
                <w:color w:val="000000"/>
                <w:position w:val="-2"/>
                <w:sz w:val="16"/>
                <w:szCs w:val="16"/>
                <w:lang w:val="en-US"/>
              </w:rPr>
              <w:t>2</w:t>
            </w:r>
            <w:r w:rsidRPr="00F01347">
              <w:rPr>
                <w:rFonts w:ascii="Verdana" w:hAnsi="Verdana"/>
                <w:color w:val="000000"/>
                <w:sz w:val="16"/>
                <w:szCs w:val="16"/>
                <w:lang w:val="en-US"/>
              </w:rPr>
              <w:t>D</w:t>
            </w:r>
            <w:r w:rsidRPr="00F01347">
              <w:rPr>
                <w:rFonts w:ascii="Verdana" w:hAnsi="Verdana"/>
                <w:color w:val="000000"/>
                <w:position w:val="-2"/>
                <w:sz w:val="16"/>
                <w:szCs w:val="16"/>
                <w:lang w:val="en-US"/>
              </w:rPr>
              <w:t>5</w:t>
            </w:r>
            <w:r w:rsidRPr="00F01347">
              <w:rPr>
                <w:rFonts w:ascii="Verdana" w:hAnsi="Verdana"/>
                <w:color w:val="000000"/>
                <w:sz w:val="16"/>
                <w:szCs w:val="16"/>
                <w:lang w:val="en-US"/>
              </w:rPr>
              <w:t>-MC-LR. This isotopically labeled S</w:t>
            </w:r>
            <w:r w:rsidR="006C572D" w:rsidRPr="00F01347">
              <w:rPr>
                <w:rFonts w:ascii="Verdana" w:hAnsi="Verdana"/>
                <w:color w:val="000000"/>
                <w:sz w:val="16"/>
                <w:szCs w:val="16"/>
                <w:lang w:val="en-US"/>
              </w:rPr>
              <w:t>UR</w:t>
            </w:r>
            <w:r w:rsidRPr="00F01347">
              <w:rPr>
                <w:rFonts w:ascii="Verdana" w:hAnsi="Verdana"/>
                <w:color w:val="000000"/>
                <w:sz w:val="16"/>
                <w:szCs w:val="16"/>
                <w:lang w:val="en-US"/>
              </w:rPr>
              <w:t xml:space="preserve"> contains similar functions to the analyte. Although alternative SUR standard solutions may be used </w:t>
            </w:r>
            <w:proofErr w:type="gramStart"/>
            <w:r w:rsidRPr="00F01347">
              <w:rPr>
                <w:rFonts w:ascii="Verdana" w:hAnsi="Verdana"/>
                <w:color w:val="000000"/>
                <w:sz w:val="16"/>
                <w:szCs w:val="16"/>
                <w:lang w:val="en-US"/>
              </w:rPr>
              <w:t>as long as</w:t>
            </w:r>
            <w:proofErr w:type="gramEnd"/>
            <w:r w:rsidRPr="00F01347">
              <w:rPr>
                <w:rFonts w:ascii="Verdana" w:hAnsi="Verdana"/>
                <w:color w:val="000000"/>
                <w:sz w:val="16"/>
                <w:szCs w:val="16"/>
                <w:lang w:val="en-US"/>
              </w:rPr>
              <w:t xml:space="preserve"> they are isotopically labeled with functional groups similar to the analyte</w:t>
            </w:r>
            <w:r w:rsidR="003E1BA9" w:rsidRPr="00F01347">
              <w:rPr>
                <w:rFonts w:ascii="Verdana" w:hAnsi="Verdana"/>
                <w:color w:val="000000"/>
                <w:sz w:val="16"/>
                <w:szCs w:val="16"/>
                <w:lang w:val="en-US"/>
              </w:rPr>
              <w:t>,</w:t>
            </w:r>
            <w:r w:rsidRPr="00F01347">
              <w:rPr>
                <w:rFonts w:ascii="Verdana" w:hAnsi="Verdana"/>
                <w:sz w:val="16"/>
                <w:szCs w:val="16"/>
                <w:lang w:val="en-US"/>
              </w:rPr>
              <w:t xml:space="preserve"> the analyst should document the reasons for using alternative SUR standards. Likewise, SUR standard solutions must meet quality control requirements.</w:t>
            </w:r>
          </w:p>
        </w:tc>
      </w:tr>
      <w:tr w:rsidR="00E87674" w:rsidRPr="00F01347" w14:paraId="411DE059" w14:textId="760564EB" w:rsidTr="00CB209C">
        <w:tc>
          <w:tcPr>
            <w:tcW w:w="4675" w:type="dxa"/>
          </w:tcPr>
          <w:p w14:paraId="1C8BFAB6" w14:textId="77777777" w:rsidR="00E87674" w:rsidRPr="00F01347" w:rsidRDefault="00E87674" w:rsidP="00E87674">
            <w:pPr>
              <w:pStyle w:val="texto0"/>
              <w:spacing w:line="240" w:lineRule="exact"/>
              <w:ind w:firstLine="0"/>
              <w:rPr>
                <w:rFonts w:ascii="Verdana" w:hAnsi="Verdana"/>
                <w:sz w:val="16"/>
                <w:szCs w:val="16"/>
              </w:rPr>
            </w:pPr>
            <w:r w:rsidRPr="00F01347">
              <w:rPr>
                <w:rFonts w:ascii="Verdana" w:hAnsi="Verdana"/>
                <w:b/>
                <w:sz w:val="16"/>
                <w:szCs w:val="16"/>
              </w:rPr>
              <w:t>Solución estándar de dilución primaria (PDS) (0.94 - 5.0 ng/µl).</w:t>
            </w:r>
            <w:r w:rsidRPr="00F01347">
              <w:rPr>
                <w:rFonts w:ascii="Verdana" w:hAnsi="Verdana"/>
                <w:sz w:val="16"/>
                <w:szCs w:val="16"/>
              </w:rPr>
              <w:t xml:space="preserve"> La PDS del analito contiene todos o una parte de los analitos de interés a diferentes concentraciones en metanol. La respuesta en ESI y MS/MS varía según el compuesto, por lo tanto, puede </w:t>
            </w:r>
            <w:r w:rsidRPr="00F01347">
              <w:rPr>
                <w:rFonts w:ascii="Verdana" w:hAnsi="Verdana"/>
                <w:sz w:val="16"/>
                <w:szCs w:val="16"/>
              </w:rPr>
              <w:lastRenderedPageBreak/>
              <w:t>ser necesaria una mezcla de concentraciones en la PDS del analito. Durante el desarrollo del método, las soluciones PDS del analito fueron preparadas tal que aproximadamente se obtuvo la misma respuesta del equipo para todos los analitos. La PDS del analito se preparó en metanol a las concentraciones de 0.94 a 5.0 ng/µL. La PDS del analito se prepara por dilución de la combinación de las soluciones de estándar del analito de interés y se utiliza para preparar los estándares CAL y fortalecer los LFB, LFSM, LFSMD y FD con los analitos de interés. La PDS del analito ha demostrado ser estable para un mes cuando se almacena a -15°C o menos en frascos de vidrio ámbar con tapa de rosca.</w:t>
            </w:r>
          </w:p>
        </w:tc>
        <w:tc>
          <w:tcPr>
            <w:tcW w:w="4675" w:type="dxa"/>
          </w:tcPr>
          <w:p w14:paraId="47FD8428" w14:textId="20FC042B" w:rsidR="00E87674" w:rsidRPr="00F01347" w:rsidRDefault="00E87674" w:rsidP="00E87674">
            <w:pPr>
              <w:pStyle w:val="texto0"/>
              <w:spacing w:line="240" w:lineRule="exact"/>
              <w:ind w:firstLine="0"/>
              <w:rPr>
                <w:rFonts w:ascii="Verdana" w:hAnsi="Verdana"/>
                <w:b/>
                <w:sz w:val="16"/>
                <w:szCs w:val="16"/>
                <w:lang w:val="en-US"/>
              </w:rPr>
            </w:pPr>
            <w:r w:rsidRPr="00F01347">
              <w:rPr>
                <w:rFonts w:ascii="Verdana" w:hAnsi="Verdana"/>
                <w:b/>
                <w:sz w:val="16"/>
                <w:szCs w:val="16"/>
                <w:lang w:val="en-US"/>
              </w:rPr>
              <w:lastRenderedPageBreak/>
              <w:t xml:space="preserve">Primary dilution standard solution (PDS) (0.94 - 5.0 ng/µl). </w:t>
            </w:r>
            <w:r w:rsidRPr="00F01347">
              <w:rPr>
                <w:rFonts w:ascii="Verdana" w:hAnsi="Verdana"/>
                <w:sz w:val="16"/>
                <w:szCs w:val="16"/>
                <w:lang w:val="en-US"/>
              </w:rPr>
              <w:t xml:space="preserve">The analyte PDS contains all or a portion of the analytes of interest at different concentrations in methanol. The response in ESI and MS/MS varies depending on the compound, therefore a mixture of </w:t>
            </w:r>
            <w:r w:rsidRPr="00F01347">
              <w:rPr>
                <w:rFonts w:ascii="Verdana" w:hAnsi="Verdana"/>
                <w:sz w:val="16"/>
                <w:szCs w:val="16"/>
                <w:lang w:val="en-US"/>
              </w:rPr>
              <w:lastRenderedPageBreak/>
              <w:t>concentrations in the PDS of the analyte may be necessary. During method development, the analyte PDS solutions were prepared such that approximately the same equipment response was obtained for all analytes. The PDS of the analyte was prepared in methanol at the concentrations of 0.94 to 5.0 ng/µL. The analyte PDS is prepared by dilution of the pooled standard solutions of the analyte of interest and is used to prepare CAL standards and fortify LFB, LFSM, LFSMD and FD with the analytes of interest. The PDS of the analyte has been shown to be stable for one month when stored at -15°C or lower in amber glass bottles with screw caps.</w:t>
            </w:r>
          </w:p>
        </w:tc>
      </w:tr>
    </w:tbl>
    <w:p w14:paraId="49EF6217" w14:textId="77777777" w:rsidR="00204B58" w:rsidRPr="00F01347" w:rsidRDefault="00204B58" w:rsidP="003A601B">
      <w:pPr>
        <w:pStyle w:val="texto0"/>
        <w:ind w:firstLine="0"/>
        <w:jc w:val="center"/>
        <w:rPr>
          <w:rFonts w:ascii="Verdana" w:hAnsi="Verdana"/>
          <w:b/>
          <w:sz w:val="16"/>
          <w:szCs w:val="16"/>
          <w:lang w:val="en-US"/>
        </w:rPr>
      </w:pPr>
    </w:p>
    <w:p w14:paraId="3F56F7B4" w14:textId="77777777" w:rsidR="00204B58" w:rsidRDefault="00204B58" w:rsidP="003A601B">
      <w:pPr>
        <w:pStyle w:val="texto0"/>
        <w:ind w:firstLine="0"/>
        <w:jc w:val="center"/>
        <w:rPr>
          <w:rFonts w:ascii="Verdana" w:hAnsi="Verdana"/>
          <w:b/>
          <w:sz w:val="16"/>
          <w:szCs w:val="16"/>
          <w:lang w:val="en-US"/>
        </w:rPr>
      </w:pPr>
    </w:p>
    <w:p w14:paraId="3B16D629" w14:textId="77777777" w:rsidR="000A3AF6" w:rsidRDefault="000A3AF6" w:rsidP="003A601B">
      <w:pPr>
        <w:pStyle w:val="texto0"/>
        <w:ind w:firstLine="0"/>
        <w:jc w:val="center"/>
        <w:rPr>
          <w:rFonts w:ascii="Verdana" w:hAnsi="Verdana"/>
          <w:b/>
          <w:sz w:val="16"/>
          <w:szCs w:val="16"/>
          <w:lang w:val="en-US"/>
        </w:rPr>
      </w:pPr>
    </w:p>
    <w:p w14:paraId="2B67C439" w14:textId="77777777" w:rsidR="000A3AF6" w:rsidRDefault="000A3AF6" w:rsidP="003A601B">
      <w:pPr>
        <w:pStyle w:val="texto0"/>
        <w:ind w:firstLine="0"/>
        <w:jc w:val="center"/>
        <w:rPr>
          <w:rFonts w:ascii="Verdana" w:hAnsi="Verdana"/>
          <w:b/>
          <w:sz w:val="16"/>
          <w:szCs w:val="16"/>
          <w:lang w:val="en-US"/>
        </w:rPr>
      </w:pPr>
    </w:p>
    <w:p w14:paraId="09C111FC" w14:textId="77777777" w:rsidR="000A3AF6" w:rsidRDefault="000A3AF6" w:rsidP="003A601B">
      <w:pPr>
        <w:pStyle w:val="texto0"/>
        <w:ind w:firstLine="0"/>
        <w:jc w:val="center"/>
        <w:rPr>
          <w:rFonts w:ascii="Verdana" w:hAnsi="Verdana"/>
          <w:b/>
          <w:sz w:val="16"/>
          <w:szCs w:val="16"/>
          <w:lang w:val="en-US"/>
        </w:rPr>
      </w:pPr>
    </w:p>
    <w:p w14:paraId="5C1C013F" w14:textId="77777777" w:rsidR="000A3AF6" w:rsidRDefault="000A3AF6" w:rsidP="003A601B">
      <w:pPr>
        <w:pStyle w:val="texto0"/>
        <w:ind w:firstLine="0"/>
        <w:jc w:val="center"/>
        <w:rPr>
          <w:rFonts w:ascii="Verdana" w:hAnsi="Verdana"/>
          <w:b/>
          <w:sz w:val="16"/>
          <w:szCs w:val="16"/>
          <w:lang w:val="en-US"/>
        </w:rPr>
      </w:pPr>
    </w:p>
    <w:p w14:paraId="7FFFD057" w14:textId="77777777" w:rsidR="000A3AF6" w:rsidRPr="00F01347" w:rsidRDefault="000A3AF6" w:rsidP="003A601B">
      <w:pPr>
        <w:pStyle w:val="texto0"/>
        <w:ind w:firstLine="0"/>
        <w:jc w:val="center"/>
        <w:rPr>
          <w:rFonts w:ascii="Verdana" w:hAnsi="Verdana"/>
          <w:b/>
          <w:sz w:val="16"/>
          <w:szCs w:val="16"/>
          <w:lang w:val="en-US"/>
        </w:rPr>
      </w:pPr>
    </w:p>
    <w:p w14:paraId="2DD32FD0" w14:textId="7F92D735"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 xml:space="preserve">Tabla B.1.2-2. </w:t>
      </w:r>
      <w:r w:rsidRPr="00F01347">
        <w:rPr>
          <w:rFonts w:ascii="Verdana" w:hAnsi="Verdana"/>
          <w:sz w:val="16"/>
          <w:szCs w:val="16"/>
        </w:rPr>
        <w:t>Determinación de la concentración final del analito en la PDS</w:t>
      </w:r>
    </w:p>
    <w:tbl>
      <w:tblPr>
        <w:tblW w:w="8712" w:type="dxa"/>
        <w:tblInd w:w="144" w:type="dxa"/>
        <w:tblLayout w:type="fixed"/>
        <w:tblCellMar>
          <w:left w:w="72" w:type="dxa"/>
          <w:right w:w="72" w:type="dxa"/>
        </w:tblCellMar>
        <w:tblLook w:val="0000" w:firstRow="0" w:lastRow="0" w:firstColumn="0" w:lastColumn="0" w:noHBand="0" w:noVBand="0"/>
      </w:tblPr>
      <w:tblGrid>
        <w:gridCol w:w="1869"/>
        <w:gridCol w:w="1981"/>
        <w:gridCol w:w="1389"/>
        <w:gridCol w:w="1911"/>
        <w:gridCol w:w="1562"/>
      </w:tblGrid>
      <w:tr w:rsidR="00A74CDF" w:rsidRPr="00F01347" w14:paraId="24815AE5" w14:textId="77777777">
        <w:trPr>
          <w:trHeight w:val="20"/>
        </w:trPr>
        <w:tc>
          <w:tcPr>
            <w:tcW w:w="1869" w:type="dxa"/>
            <w:tcBorders>
              <w:top w:val="single" w:sz="6" w:space="0" w:color="auto"/>
              <w:left w:val="single" w:sz="6" w:space="0" w:color="auto"/>
              <w:bottom w:val="single" w:sz="6" w:space="0" w:color="auto"/>
              <w:right w:val="single" w:sz="6" w:space="0" w:color="auto"/>
            </w:tcBorders>
            <w:noWrap/>
            <w:vAlign w:val="center"/>
          </w:tcPr>
          <w:p w14:paraId="19DE0646" w14:textId="77777777" w:rsidR="00A74CDF" w:rsidRPr="00F01347" w:rsidRDefault="00A74CDF" w:rsidP="003A601B">
            <w:pPr>
              <w:pStyle w:val="texto0"/>
              <w:ind w:firstLine="0"/>
              <w:jc w:val="center"/>
              <w:rPr>
                <w:rFonts w:ascii="Verdana" w:hAnsi="Verdana"/>
                <w:sz w:val="16"/>
                <w:szCs w:val="16"/>
              </w:rPr>
            </w:pPr>
          </w:p>
        </w:tc>
        <w:tc>
          <w:tcPr>
            <w:tcW w:w="1981" w:type="dxa"/>
            <w:tcBorders>
              <w:top w:val="single" w:sz="6" w:space="0" w:color="auto"/>
              <w:left w:val="single" w:sz="6" w:space="0" w:color="auto"/>
              <w:bottom w:val="single" w:sz="6" w:space="0" w:color="auto"/>
              <w:right w:val="single" w:sz="6" w:space="0" w:color="auto"/>
            </w:tcBorders>
            <w:shd w:val="clear" w:color="auto" w:fill="FFFFFF"/>
            <w:vAlign w:val="center"/>
          </w:tcPr>
          <w:p w14:paraId="75A35862"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Concentración de analito (µg/</w:t>
            </w:r>
            <w:proofErr w:type="spellStart"/>
            <w:r w:rsidRPr="00F01347">
              <w:rPr>
                <w:rFonts w:ascii="Verdana" w:hAnsi="Verdana"/>
                <w:b/>
                <w:sz w:val="16"/>
                <w:szCs w:val="16"/>
              </w:rPr>
              <w:t>mL</w:t>
            </w:r>
            <w:proofErr w:type="spellEnd"/>
            <w:r w:rsidRPr="00F01347">
              <w:rPr>
                <w:rFonts w:ascii="Verdana" w:hAnsi="Verdana"/>
                <w:b/>
                <w:sz w:val="16"/>
                <w:szCs w:val="16"/>
              </w:rPr>
              <w:t>)</w:t>
            </w:r>
          </w:p>
        </w:tc>
        <w:tc>
          <w:tcPr>
            <w:tcW w:w="1389" w:type="dxa"/>
            <w:tcBorders>
              <w:top w:val="single" w:sz="6" w:space="0" w:color="auto"/>
              <w:left w:val="single" w:sz="6" w:space="0" w:color="auto"/>
              <w:bottom w:val="single" w:sz="6" w:space="0" w:color="auto"/>
              <w:right w:val="single" w:sz="6" w:space="0" w:color="auto"/>
            </w:tcBorders>
            <w:vAlign w:val="center"/>
          </w:tcPr>
          <w:p w14:paraId="1682A735"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Vol. de analito (µL)</w:t>
            </w:r>
          </w:p>
        </w:tc>
        <w:tc>
          <w:tcPr>
            <w:tcW w:w="1911" w:type="dxa"/>
            <w:tcBorders>
              <w:top w:val="single" w:sz="6" w:space="0" w:color="auto"/>
              <w:left w:val="single" w:sz="6" w:space="0" w:color="auto"/>
              <w:bottom w:val="single" w:sz="6" w:space="0" w:color="auto"/>
              <w:right w:val="single" w:sz="6" w:space="0" w:color="auto"/>
            </w:tcBorders>
            <w:vAlign w:val="center"/>
          </w:tcPr>
          <w:p w14:paraId="2D555C9E"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Vol. final de la PDS del analito (</w:t>
            </w:r>
            <w:proofErr w:type="spellStart"/>
            <w:r w:rsidRPr="00F01347">
              <w:rPr>
                <w:rFonts w:ascii="Verdana" w:hAnsi="Verdana"/>
                <w:b/>
                <w:sz w:val="16"/>
                <w:szCs w:val="16"/>
              </w:rPr>
              <w:t>mL</w:t>
            </w:r>
            <w:proofErr w:type="spellEnd"/>
            <w:r w:rsidRPr="00F01347">
              <w:rPr>
                <w:rFonts w:ascii="Verdana" w:hAnsi="Verdana"/>
                <w:b/>
                <w:sz w:val="16"/>
                <w:szCs w:val="16"/>
              </w:rPr>
              <w:t>)</w:t>
            </w:r>
          </w:p>
        </w:tc>
        <w:tc>
          <w:tcPr>
            <w:tcW w:w="1562" w:type="dxa"/>
            <w:tcBorders>
              <w:top w:val="single" w:sz="6" w:space="0" w:color="auto"/>
              <w:left w:val="single" w:sz="6" w:space="0" w:color="auto"/>
              <w:bottom w:val="single" w:sz="6" w:space="0" w:color="auto"/>
              <w:right w:val="single" w:sz="6" w:space="0" w:color="auto"/>
            </w:tcBorders>
            <w:vAlign w:val="center"/>
          </w:tcPr>
          <w:p w14:paraId="3ECEF45D" w14:textId="77777777" w:rsidR="00A74CDF" w:rsidRPr="00F01347" w:rsidRDefault="00A74CDF" w:rsidP="003A601B">
            <w:pPr>
              <w:pStyle w:val="texto0"/>
              <w:ind w:firstLine="0"/>
              <w:jc w:val="center"/>
              <w:rPr>
                <w:rFonts w:ascii="Verdana" w:hAnsi="Verdana"/>
                <w:b/>
                <w:sz w:val="16"/>
                <w:szCs w:val="16"/>
              </w:rPr>
            </w:pPr>
            <w:proofErr w:type="spellStart"/>
            <w:r w:rsidRPr="00F01347">
              <w:rPr>
                <w:rFonts w:ascii="Verdana" w:hAnsi="Verdana"/>
                <w:b/>
                <w:sz w:val="16"/>
                <w:szCs w:val="16"/>
              </w:rPr>
              <w:t>Conc</w:t>
            </w:r>
            <w:proofErr w:type="spellEnd"/>
            <w:r w:rsidRPr="00F01347">
              <w:rPr>
                <w:rFonts w:ascii="Verdana" w:hAnsi="Verdana"/>
                <w:b/>
                <w:sz w:val="16"/>
                <w:szCs w:val="16"/>
              </w:rPr>
              <w:t>. final de la PDS (ng/µL)</w:t>
            </w:r>
          </w:p>
        </w:tc>
      </w:tr>
      <w:tr w:rsidR="00A74CDF" w:rsidRPr="00F01347" w14:paraId="27651642" w14:textId="77777777">
        <w:trPr>
          <w:trHeight w:val="20"/>
        </w:trPr>
        <w:tc>
          <w:tcPr>
            <w:tcW w:w="1869" w:type="dxa"/>
            <w:tcBorders>
              <w:top w:val="single" w:sz="6" w:space="0" w:color="auto"/>
              <w:left w:val="single" w:sz="6" w:space="0" w:color="auto"/>
              <w:bottom w:val="single" w:sz="6" w:space="0" w:color="auto"/>
              <w:right w:val="single" w:sz="6" w:space="0" w:color="auto"/>
            </w:tcBorders>
            <w:shd w:val="clear" w:color="auto" w:fill="FFFFFF"/>
            <w:vAlign w:val="center"/>
          </w:tcPr>
          <w:p w14:paraId="1188C522" w14:textId="77777777" w:rsidR="00A74CDF" w:rsidRPr="00F01347" w:rsidRDefault="00A74CDF" w:rsidP="003A601B">
            <w:pPr>
              <w:pStyle w:val="texto0"/>
              <w:ind w:firstLine="0"/>
              <w:rPr>
                <w:rFonts w:ascii="Verdana" w:hAnsi="Verdana"/>
                <w:color w:val="808080"/>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-LR</w:t>
            </w:r>
          </w:p>
        </w:tc>
        <w:tc>
          <w:tcPr>
            <w:tcW w:w="1981" w:type="dxa"/>
            <w:tcBorders>
              <w:top w:val="single" w:sz="6" w:space="0" w:color="auto"/>
              <w:left w:val="single" w:sz="6" w:space="0" w:color="auto"/>
              <w:bottom w:val="single" w:sz="6" w:space="0" w:color="auto"/>
              <w:right w:val="single" w:sz="6" w:space="0" w:color="auto"/>
            </w:tcBorders>
            <w:vAlign w:val="center"/>
          </w:tcPr>
          <w:p w14:paraId="46FF56D5"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500</w:t>
            </w:r>
          </w:p>
        </w:tc>
        <w:tc>
          <w:tcPr>
            <w:tcW w:w="1389" w:type="dxa"/>
            <w:tcBorders>
              <w:top w:val="single" w:sz="6" w:space="0" w:color="auto"/>
              <w:left w:val="single" w:sz="6" w:space="0" w:color="auto"/>
              <w:bottom w:val="single" w:sz="6" w:space="0" w:color="auto"/>
              <w:right w:val="single" w:sz="6" w:space="0" w:color="auto"/>
            </w:tcBorders>
            <w:vAlign w:val="center"/>
          </w:tcPr>
          <w:p w14:paraId="4CB30D08"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40.0</w:t>
            </w:r>
          </w:p>
        </w:tc>
        <w:tc>
          <w:tcPr>
            <w:tcW w:w="1911" w:type="dxa"/>
            <w:vMerge w:val="restart"/>
            <w:tcBorders>
              <w:top w:val="single" w:sz="6" w:space="0" w:color="auto"/>
              <w:left w:val="single" w:sz="6" w:space="0" w:color="auto"/>
              <w:right w:val="single" w:sz="6" w:space="0" w:color="auto"/>
            </w:tcBorders>
            <w:vAlign w:val="center"/>
          </w:tcPr>
          <w:p w14:paraId="0C07DC14"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10ml</w:t>
            </w:r>
          </w:p>
        </w:tc>
        <w:tc>
          <w:tcPr>
            <w:tcW w:w="1562" w:type="dxa"/>
            <w:tcBorders>
              <w:top w:val="single" w:sz="6" w:space="0" w:color="auto"/>
              <w:left w:val="single" w:sz="6" w:space="0" w:color="auto"/>
              <w:bottom w:val="single" w:sz="6" w:space="0" w:color="auto"/>
              <w:right w:val="single" w:sz="6" w:space="0" w:color="auto"/>
            </w:tcBorders>
            <w:vAlign w:val="center"/>
          </w:tcPr>
          <w:p w14:paraId="24929B85"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2.0</w:t>
            </w:r>
          </w:p>
        </w:tc>
      </w:tr>
      <w:tr w:rsidR="00A74CDF" w:rsidRPr="00F01347" w14:paraId="4D9E1980" w14:textId="77777777">
        <w:trPr>
          <w:trHeight w:val="20"/>
        </w:trPr>
        <w:tc>
          <w:tcPr>
            <w:tcW w:w="1869" w:type="dxa"/>
            <w:tcBorders>
              <w:top w:val="single" w:sz="6" w:space="0" w:color="auto"/>
              <w:left w:val="single" w:sz="6" w:space="0" w:color="auto"/>
              <w:bottom w:val="single" w:sz="6" w:space="0" w:color="auto"/>
              <w:right w:val="single" w:sz="6" w:space="0" w:color="auto"/>
            </w:tcBorders>
            <w:vAlign w:val="center"/>
          </w:tcPr>
          <w:p w14:paraId="6C13ACC1" w14:textId="77777777" w:rsidR="00A74CDF" w:rsidRPr="00F01347" w:rsidRDefault="00A74CDF" w:rsidP="003A601B">
            <w:pPr>
              <w:pStyle w:val="texto0"/>
              <w:ind w:firstLine="0"/>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-RR</w:t>
            </w:r>
          </w:p>
        </w:tc>
        <w:tc>
          <w:tcPr>
            <w:tcW w:w="1981" w:type="dxa"/>
            <w:tcBorders>
              <w:top w:val="single" w:sz="6" w:space="0" w:color="auto"/>
              <w:left w:val="single" w:sz="6" w:space="0" w:color="auto"/>
              <w:bottom w:val="single" w:sz="6" w:space="0" w:color="auto"/>
              <w:right w:val="single" w:sz="6" w:space="0" w:color="auto"/>
            </w:tcBorders>
            <w:vAlign w:val="center"/>
          </w:tcPr>
          <w:p w14:paraId="49D74C98"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10.3</w:t>
            </w:r>
          </w:p>
        </w:tc>
        <w:tc>
          <w:tcPr>
            <w:tcW w:w="1389" w:type="dxa"/>
            <w:tcBorders>
              <w:top w:val="single" w:sz="6" w:space="0" w:color="auto"/>
              <w:left w:val="single" w:sz="6" w:space="0" w:color="auto"/>
              <w:bottom w:val="single" w:sz="6" w:space="0" w:color="auto"/>
              <w:right w:val="single" w:sz="6" w:space="0" w:color="auto"/>
            </w:tcBorders>
            <w:vAlign w:val="center"/>
          </w:tcPr>
          <w:p w14:paraId="63A22D05"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910</w:t>
            </w:r>
          </w:p>
        </w:tc>
        <w:tc>
          <w:tcPr>
            <w:tcW w:w="1911" w:type="dxa"/>
            <w:vMerge/>
            <w:tcBorders>
              <w:left w:val="single" w:sz="6" w:space="0" w:color="auto"/>
              <w:right w:val="single" w:sz="6" w:space="0" w:color="auto"/>
            </w:tcBorders>
            <w:vAlign w:val="center"/>
          </w:tcPr>
          <w:p w14:paraId="5FA615CC" w14:textId="77777777" w:rsidR="00A74CDF" w:rsidRPr="00F01347" w:rsidRDefault="00A74CDF" w:rsidP="003A601B">
            <w:pPr>
              <w:pStyle w:val="texto0"/>
              <w:ind w:firstLine="0"/>
              <w:jc w:val="center"/>
              <w:rPr>
                <w:rFonts w:ascii="Verdana" w:hAnsi="Verdana"/>
                <w:sz w:val="16"/>
                <w:szCs w:val="16"/>
              </w:rPr>
            </w:pPr>
          </w:p>
        </w:tc>
        <w:tc>
          <w:tcPr>
            <w:tcW w:w="1562" w:type="dxa"/>
            <w:tcBorders>
              <w:top w:val="single" w:sz="6" w:space="0" w:color="auto"/>
              <w:left w:val="single" w:sz="6" w:space="0" w:color="auto"/>
              <w:bottom w:val="single" w:sz="6" w:space="0" w:color="auto"/>
              <w:right w:val="single" w:sz="6" w:space="0" w:color="auto"/>
            </w:tcBorders>
            <w:vAlign w:val="center"/>
          </w:tcPr>
          <w:p w14:paraId="019F0C0E"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0.94</w:t>
            </w:r>
          </w:p>
        </w:tc>
      </w:tr>
      <w:tr w:rsidR="00A74CDF" w:rsidRPr="00F01347" w14:paraId="66DFD6B7" w14:textId="77777777">
        <w:trPr>
          <w:trHeight w:val="20"/>
        </w:trPr>
        <w:tc>
          <w:tcPr>
            <w:tcW w:w="1869" w:type="dxa"/>
            <w:tcBorders>
              <w:top w:val="single" w:sz="6" w:space="0" w:color="auto"/>
              <w:left w:val="single" w:sz="6" w:space="0" w:color="auto"/>
              <w:bottom w:val="single" w:sz="6" w:space="0" w:color="auto"/>
              <w:right w:val="single" w:sz="6" w:space="0" w:color="auto"/>
            </w:tcBorders>
            <w:vAlign w:val="center"/>
          </w:tcPr>
          <w:p w14:paraId="454527FB" w14:textId="77777777" w:rsidR="00A74CDF" w:rsidRPr="00F01347" w:rsidRDefault="00A74CDF" w:rsidP="003A601B">
            <w:pPr>
              <w:pStyle w:val="texto0"/>
              <w:ind w:firstLine="0"/>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-YR</w:t>
            </w:r>
          </w:p>
        </w:tc>
        <w:tc>
          <w:tcPr>
            <w:tcW w:w="1981" w:type="dxa"/>
            <w:tcBorders>
              <w:top w:val="single" w:sz="6" w:space="0" w:color="auto"/>
              <w:left w:val="single" w:sz="6" w:space="0" w:color="auto"/>
              <w:bottom w:val="single" w:sz="6" w:space="0" w:color="auto"/>
              <w:right w:val="single" w:sz="6" w:space="0" w:color="auto"/>
            </w:tcBorders>
            <w:vAlign w:val="center"/>
          </w:tcPr>
          <w:p w14:paraId="091B9D61"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100</w:t>
            </w:r>
          </w:p>
        </w:tc>
        <w:tc>
          <w:tcPr>
            <w:tcW w:w="1389" w:type="dxa"/>
            <w:tcBorders>
              <w:top w:val="single" w:sz="6" w:space="0" w:color="auto"/>
              <w:left w:val="single" w:sz="6" w:space="0" w:color="auto"/>
              <w:bottom w:val="single" w:sz="6" w:space="0" w:color="auto"/>
              <w:right w:val="single" w:sz="6" w:space="0" w:color="auto"/>
            </w:tcBorders>
            <w:vAlign w:val="center"/>
          </w:tcPr>
          <w:p w14:paraId="037159E0"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200</w:t>
            </w:r>
          </w:p>
        </w:tc>
        <w:tc>
          <w:tcPr>
            <w:tcW w:w="1911" w:type="dxa"/>
            <w:vMerge/>
            <w:tcBorders>
              <w:left w:val="single" w:sz="6" w:space="0" w:color="auto"/>
              <w:right w:val="single" w:sz="6" w:space="0" w:color="auto"/>
            </w:tcBorders>
            <w:vAlign w:val="center"/>
          </w:tcPr>
          <w:p w14:paraId="2E918C5D" w14:textId="77777777" w:rsidR="00A74CDF" w:rsidRPr="00F01347" w:rsidRDefault="00A74CDF" w:rsidP="003A601B">
            <w:pPr>
              <w:pStyle w:val="texto0"/>
              <w:ind w:firstLine="0"/>
              <w:jc w:val="center"/>
              <w:rPr>
                <w:rFonts w:ascii="Verdana" w:hAnsi="Verdana"/>
                <w:sz w:val="16"/>
                <w:szCs w:val="16"/>
              </w:rPr>
            </w:pPr>
          </w:p>
        </w:tc>
        <w:tc>
          <w:tcPr>
            <w:tcW w:w="1562" w:type="dxa"/>
            <w:tcBorders>
              <w:top w:val="single" w:sz="6" w:space="0" w:color="auto"/>
              <w:left w:val="single" w:sz="6" w:space="0" w:color="auto"/>
              <w:bottom w:val="single" w:sz="6" w:space="0" w:color="auto"/>
              <w:right w:val="single" w:sz="6" w:space="0" w:color="auto"/>
            </w:tcBorders>
            <w:vAlign w:val="center"/>
          </w:tcPr>
          <w:p w14:paraId="20C2A926"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2.0</w:t>
            </w:r>
          </w:p>
        </w:tc>
      </w:tr>
      <w:tr w:rsidR="00A74CDF" w:rsidRPr="00F01347" w14:paraId="52E7C2C9" w14:textId="77777777">
        <w:trPr>
          <w:trHeight w:val="20"/>
        </w:trPr>
        <w:tc>
          <w:tcPr>
            <w:tcW w:w="1869" w:type="dxa"/>
            <w:tcBorders>
              <w:top w:val="single" w:sz="6" w:space="0" w:color="auto"/>
              <w:left w:val="single" w:sz="6" w:space="0" w:color="auto"/>
              <w:bottom w:val="single" w:sz="6" w:space="0" w:color="auto"/>
              <w:right w:val="single" w:sz="6" w:space="0" w:color="auto"/>
            </w:tcBorders>
            <w:vAlign w:val="center"/>
          </w:tcPr>
          <w:p w14:paraId="343D285C" w14:textId="77777777" w:rsidR="00A74CDF" w:rsidRPr="00F01347" w:rsidRDefault="00A74CDF" w:rsidP="003A601B">
            <w:pPr>
              <w:pStyle w:val="texto0"/>
              <w:ind w:firstLine="0"/>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-LY</w:t>
            </w:r>
          </w:p>
        </w:tc>
        <w:tc>
          <w:tcPr>
            <w:tcW w:w="1981" w:type="dxa"/>
            <w:tcBorders>
              <w:top w:val="single" w:sz="6" w:space="0" w:color="auto"/>
              <w:left w:val="single" w:sz="6" w:space="0" w:color="auto"/>
              <w:bottom w:val="single" w:sz="6" w:space="0" w:color="auto"/>
              <w:right w:val="single" w:sz="6" w:space="0" w:color="auto"/>
            </w:tcBorders>
            <w:vAlign w:val="center"/>
          </w:tcPr>
          <w:p w14:paraId="29423142"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100</w:t>
            </w:r>
          </w:p>
        </w:tc>
        <w:tc>
          <w:tcPr>
            <w:tcW w:w="1389" w:type="dxa"/>
            <w:tcBorders>
              <w:top w:val="single" w:sz="6" w:space="0" w:color="auto"/>
              <w:left w:val="single" w:sz="6" w:space="0" w:color="auto"/>
              <w:bottom w:val="single" w:sz="6" w:space="0" w:color="auto"/>
              <w:right w:val="single" w:sz="6" w:space="0" w:color="auto"/>
            </w:tcBorders>
            <w:vAlign w:val="center"/>
          </w:tcPr>
          <w:p w14:paraId="6B6870AA"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200</w:t>
            </w:r>
          </w:p>
        </w:tc>
        <w:tc>
          <w:tcPr>
            <w:tcW w:w="1911" w:type="dxa"/>
            <w:vMerge/>
            <w:tcBorders>
              <w:left w:val="single" w:sz="6" w:space="0" w:color="auto"/>
              <w:right w:val="single" w:sz="6" w:space="0" w:color="auto"/>
            </w:tcBorders>
            <w:vAlign w:val="center"/>
          </w:tcPr>
          <w:p w14:paraId="20B712BC" w14:textId="77777777" w:rsidR="00A74CDF" w:rsidRPr="00F01347" w:rsidRDefault="00A74CDF" w:rsidP="003A601B">
            <w:pPr>
              <w:pStyle w:val="texto0"/>
              <w:ind w:firstLine="0"/>
              <w:jc w:val="center"/>
              <w:rPr>
                <w:rFonts w:ascii="Verdana" w:hAnsi="Verdana"/>
                <w:sz w:val="16"/>
                <w:szCs w:val="16"/>
              </w:rPr>
            </w:pPr>
          </w:p>
        </w:tc>
        <w:tc>
          <w:tcPr>
            <w:tcW w:w="1562" w:type="dxa"/>
            <w:tcBorders>
              <w:top w:val="single" w:sz="6" w:space="0" w:color="auto"/>
              <w:left w:val="single" w:sz="6" w:space="0" w:color="auto"/>
              <w:bottom w:val="single" w:sz="6" w:space="0" w:color="auto"/>
              <w:right w:val="single" w:sz="6" w:space="0" w:color="auto"/>
            </w:tcBorders>
            <w:vAlign w:val="center"/>
          </w:tcPr>
          <w:p w14:paraId="2A567C35"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2.0</w:t>
            </w:r>
          </w:p>
        </w:tc>
      </w:tr>
      <w:tr w:rsidR="00A74CDF" w:rsidRPr="00F01347" w14:paraId="37BB1FBB" w14:textId="77777777">
        <w:trPr>
          <w:trHeight w:val="20"/>
        </w:trPr>
        <w:tc>
          <w:tcPr>
            <w:tcW w:w="1869" w:type="dxa"/>
            <w:tcBorders>
              <w:top w:val="single" w:sz="6" w:space="0" w:color="auto"/>
              <w:left w:val="single" w:sz="6" w:space="0" w:color="auto"/>
              <w:bottom w:val="single" w:sz="6" w:space="0" w:color="auto"/>
              <w:right w:val="single" w:sz="6" w:space="0" w:color="auto"/>
            </w:tcBorders>
            <w:vAlign w:val="center"/>
          </w:tcPr>
          <w:p w14:paraId="20288871" w14:textId="77777777" w:rsidR="00A74CDF" w:rsidRPr="00F01347" w:rsidRDefault="00A74CDF" w:rsidP="003A601B">
            <w:pPr>
              <w:pStyle w:val="texto0"/>
              <w:ind w:firstLine="0"/>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-LF</w:t>
            </w:r>
          </w:p>
        </w:tc>
        <w:tc>
          <w:tcPr>
            <w:tcW w:w="1981" w:type="dxa"/>
            <w:tcBorders>
              <w:top w:val="single" w:sz="6" w:space="0" w:color="auto"/>
              <w:left w:val="single" w:sz="6" w:space="0" w:color="auto"/>
              <w:bottom w:val="single" w:sz="6" w:space="0" w:color="auto"/>
              <w:right w:val="single" w:sz="6" w:space="0" w:color="auto"/>
            </w:tcBorders>
            <w:vAlign w:val="center"/>
          </w:tcPr>
          <w:p w14:paraId="4E070E59"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100</w:t>
            </w:r>
          </w:p>
        </w:tc>
        <w:tc>
          <w:tcPr>
            <w:tcW w:w="1389" w:type="dxa"/>
            <w:tcBorders>
              <w:top w:val="single" w:sz="6" w:space="0" w:color="auto"/>
              <w:left w:val="single" w:sz="6" w:space="0" w:color="auto"/>
              <w:bottom w:val="single" w:sz="6" w:space="0" w:color="auto"/>
              <w:right w:val="single" w:sz="6" w:space="0" w:color="auto"/>
            </w:tcBorders>
            <w:vAlign w:val="center"/>
          </w:tcPr>
          <w:p w14:paraId="7FBE481E"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200</w:t>
            </w:r>
          </w:p>
        </w:tc>
        <w:tc>
          <w:tcPr>
            <w:tcW w:w="1911" w:type="dxa"/>
            <w:vMerge/>
            <w:tcBorders>
              <w:left w:val="single" w:sz="6" w:space="0" w:color="auto"/>
              <w:right w:val="single" w:sz="6" w:space="0" w:color="auto"/>
            </w:tcBorders>
            <w:vAlign w:val="center"/>
          </w:tcPr>
          <w:p w14:paraId="41E1944B" w14:textId="77777777" w:rsidR="00A74CDF" w:rsidRPr="00F01347" w:rsidRDefault="00A74CDF" w:rsidP="003A601B">
            <w:pPr>
              <w:pStyle w:val="texto0"/>
              <w:ind w:firstLine="0"/>
              <w:jc w:val="center"/>
              <w:rPr>
                <w:rFonts w:ascii="Verdana" w:hAnsi="Verdana"/>
                <w:sz w:val="16"/>
                <w:szCs w:val="16"/>
              </w:rPr>
            </w:pPr>
          </w:p>
        </w:tc>
        <w:tc>
          <w:tcPr>
            <w:tcW w:w="1562" w:type="dxa"/>
            <w:tcBorders>
              <w:top w:val="single" w:sz="6" w:space="0" w:color="auto"/>
              <w:left w:val="single" w:sz="6" w:space="0" w:color="auto"/>
              <w:bottom w:val="single" w:sz="6" w:space="0" w:color="auto"/>
              <w:right w:val="single" w:sz="6" w:space="0" w:color="auto"/>
            </w:tcBorders>
            <w:vAlign w:val="center"/>
          </w:tcPr>
          <w:p w14:paraId="0602E295"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2.0</w:t>
            </w:r>
          </w:p>
        </w:tc>
      </w:tr>
      <w:tr w:rsidR="00A74CDF" w:rsidRPr="00F01347" w14:paraId="1CE77C86" w14:textId="77777777">
        <w:trPr>
          <w:trHeight w:val="20"/>
        </w:trPr>
        <w:tc>
          <w:tcPr>
            <w:tcW w:w="1869" w:type="dxa"/>
            <w:tcBorders>
              <w:top w:val="single" w:sz="6" w:space="0" w:color="auto"/>
              <w:left w:val="single" w:sz="6" w:space="0" w:color="auto"/>
              <w:bottom w:val="single" w:sz="6" w:space="0" w:color="auto"/>
              <w:right w:val="single" w:sz="6" w:space="0" w:color="auto"/>
            </w:tcBorders>
            <w:vAlign w:val="center"/>
          </w:tcPr>
          <w:p w14:paraId="20BD2C37" w14:textId="77777777" w:rsidR="00A74CDF" w:rsidRPr="00F01347" w:rsidRDefault="00A74CDF" w:rsidP="003A601B">
            <w:pPr>
              <w:pStyle w:val="texto0"/>
              <w:ind w:firstLine="0"/>
              <w:rPr>
                <w:rFonts w:ascii="Verdana" w:hAnsi="Verdana"/>
                <w:sz w:val="16"/>
                <w:szCs w:val="16"/>
              </w:rPr>
            </w:pPr>
            <w:proofErr w:type="spellStart"/>
            <w:r w:rsidRPr="00F01347">
              <w:rPr>
                <w:rFonts w:ascii="Verdana" w:hAnsi="Verdana"/>
                <w:sz w:val="16"/>
                <w:szCs w:val="16"/>
              </w:rPr>
              <w:t>Nodularina</w:t>
            </w:r>
            <w:proofErr w:type="spellEnd"/>
            <w:r w:rsidRPr="00F01347">
              <w:rPr>
                <w:rFonts w:ascii="Verdana" w:hAnsi="Verdana"/>
                <w:sz w:val="16"/>
                <w:szCs w:val="16"/>
              </w:rPr>
              <w:t>-R</w:t>
            </w:r>
          </w:p>
        </w:tc>
        <w:tc>
          <w:tcPr>
            <w:tcW w:w="1981" w:type="dxa"/>
            <w:tcBorders>
              <w:top w:val="single" w:sz="6" w:space="0" w:color="auto"/>
              <w:left w:val="single" w:sz="6" w:space="0" w:color="auto"/>
              <w:bottom w:val="single" w:sz="6" w:space="0" w:color="auto"/>
              <w:right w:val="single" w:sz="6" w:space="0" w:color="auto"/>
            </w:tcBorders>
            <w:vAlign w:val="center"/>
          </w:tcPr>
          <w:p w14:paraId="1456074F"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10.3</w:t>
            </w:r>
          </w:p>
        </w:tc>
        <w:tc>
          <w:tcPr>
            <w:tcW w:w="1389" w:type="dxa"/>
            <w:tcBorders>
              <w:top w:val="single" w:sz="6" w:space="0" w:color="auto"/>
              <w:left w:val="single" w:sz="6" w:space="0" w:color="auto"/>
              <w:bottom w:val="single" w:sz="6" w:space="0" w:color="auto"/>
              <w:right w:val="single" w:sz="6" w:space="0" w:color="auto"/>
            </w:tcBorders>
            <w:vAlign w:val="center"/>
          </w:tcPr>
          <w:p w14:paraId="4363268F"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950</w:t>
            </w:r>
          </w:p>
        </w:tc>
        <w:tc>
          <w:tcPr>
            <w:tcW w:w="1911" w:type="dxa"/>
            <w:vMerge/>
            <w:tcBorders>
              <w:left w:val="single" w:sz="6" w:space="0" w:color="auto"/>
              <w:right w:val="single" w:sz="6" w:space="0" w:color="auto"/>
            </w:tcBorders>
            <w:vAlign w:val="center"/>
          </w:tcPr>
          <w:p w14:paraId="4DCB1304" w14:textId="77777777" w:rsidR="00A74CDF" w:rsidRPr="00F01347" w:rsidRDefault="00A74CDF" w:rsidP="003A601B">
            <w:pPr>
              <w:pStyle w:val="texto0"/>
              <w:ind w:firstLine="0"/>
              <w:jc w:val="center"/>
              <w:rPr>
                <w:rFonts w:ascii="Verdana" w:hAnsi="Verdana"/>
                <w:sz w:val="16"/>
                <w:szCs w:val="16"/>
              </w:rPr>
            </w:pPr>
          </w:p>
        </w:tc>
        <w:tc>
          <w:tcPr>
            <w:tcW w:w="1562" w:type="dxa"/>
            <w:tcBorders>
              <w:top w:val="single" w:sz="6" w:space="0" w:color="auto"/>
              <w:left w:val="single" w:sz="6" w:space="0" w:color="auto"/>
              <w:bottom w:val="single" w:sz="6" w:space="0" w:color="auto"/>
              <w:right w:val="single" w:sz="6" w:space="0" w:color="auto"/>
            </w:tcBorders>
            <w:vAlign w:val="center"/>
          </w:tcPr>
          <w:p w14:paraId="02A55CD8"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0.98</w:t>
            </w:r>
          </w:p>
        </w:tc>
      </w:tr>
      <w:tr w:rsidR="00A74CDF" w:rsidRPr="00F01347" w14:paraId="1D67B252" w14:textId="77777777">
        <w:trPr>
          <w:trHeight w:val="20"/>
        </w:trPr>
        <w:tc>
          <w:tcPr>
            <w:tcW w:w="1869" w:type="dxa"/>
            <w:tcBorders>
              <w:top w:val="single" w:sz="6" w:space="0" w:color="auto"/>
              <w:left w:val="single" w:sz="6" w:space="0" w:color="auto"/>
              <w:bottom w:val="single" w:sz="6" w:space="0" w:color="auto"/>
              <w:right w:val="single" w:sz="6" w:space="0" w:color="auto"/>
            </w:tcBorders>
            <w:vAlign w:val="center"/>
          </w:tcPr>
          <w:p w14:paraId="77A0E10B" w14:textId="77777777" w:rsidR="00A74CDF" w:rsidRPr="00F01347" w:rsidRDefault="00A74CDF" w:rsidP="003A601B">
            <w:pPr>
              <w:pStyle w:val="texto0"/>
              <w:ind w:firstLine="0"/>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-LA</w:t>
            </w:r>
          </w:p>
        </w:tc>
        <w:tc>
          <w:tcPr>
            <w:tcW w:w="1981" w:type="dxa"/>
            <w:tcBorders>
              <w:top w:val="single" w:sz="6" w:space="0" w:color="auto"/>
              <w:left w:val="single" w:sz="6" w:space="0" w:color="auto"/>
              <w:bottom w:val="single" w:sz="6" w:space="0" w:color="auto"/>
              <w:right w:val="single" w:sz="6" w:space="0" w:color="auto"/>
            </w:tcBorders>
            <w:vAlign w:val="center"/>
          </w:tcPr>
          <w:p w14:paraId="71E654F6"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100</w:t>
            </w:r>
          </w:p>
        </w:tc>
        <w:tc>
          <w:tcPr>
            <w:tcW w:w="1389" w:type="dxa"/>
            <w:tcBorders>
              <w:top w:val="single" w:sz="6" w:space="0" w:color="auto"/>
              <w:left w:val="single" w:sz="6" w:space="0" w:color="auto"/>
              <w:bottom w:val="single" w:sz="6" w:space="0" w:color="auto"/>
              <w:right w:val="single" w:sz="6" w:space="0" w:color="auto"/>
            </w:tcBorders>
            <w:vAlign w:val="center"/>
          </w:tcPr>
          <w:p w14:paraId="2C5645D9"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500</w:t>
            </w:r>
          </w:p>
        </w:tc>
        <w:tc>
          <w:tcPr>
            <w:tcW w:w="1911" w:type="dxa"/>
            <w:vMerge/>
            <w:tcBorders>
              <w:left w:val="single" w:sz="6" w:space="0" w:color="auto"/>
              <w:bottom w:val="single" w:sz="6" w:space="0" w:color="auto"/>
              <w:right w:val="single" w:sz="6" w:space="0" w:color="auto"/>
            </w:tcBorders>
            <w:vAlign w:val="center"/>
          </w:tcPr>
          <w:p w14:paraId="04C25FA4" w14:textId="77777777" w:rsidR="00A74CDF" w:rsidRPr="00F01347" w:rsidRDefault="00A74CDF" w:rsidP="003A601B">
            <w:pPr>
              <w:pStyle w:val="texto0"/>
              <w:ind w:firstLine="0"/>
              <w:jc w:val="center"/>
              <w:rPr>
                <w:rFonts w:ascii="Verdana" w:hAnsi="Verdana"/>
                <w:sz w:val="16"/>
                <w:szCs w:val="16"/>
              </w:rPr>
            </w:pPr>
          </w:p>
        </w:tc>
        <w:tc>
          <w:tcPr>
            <w:tcW w:w="1562" w:type="dxa"/>
            <w:tcBorders>
              <w:top w:val="single" w:sz="6" w:space="0" w:color="auto"/>
              <w:left w:val="single" w:sz="6" w:space="0" w:color="auto"/>
              <w:bottom w:val="single" w:sz="6" w:space="0" w:color="auto"/>
              <w:right w:val="single" w:sz="6" w:space="0" w:color="auto"/>
            </w:tcBorders>
            <w:vAlign w:val="center"/>
          </w:tcPr>
          <w:p w14:paraId="2FDBC6D5"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5.0</w:t>
            </w:r>
          </w:p>
        </w:tc>
      </w:tr>
    </w:tbl>
    <w:p w14:paraId="177FE1C4" w14:textId="77777777" w:rsidR="00204B58" w:rsidRPr="00F01347" w:rsidRDefault="00204B58" w:rsidP="003A601B">
      <w:pPr>
        <w:pStyle w:val="texto0"/>
        <w:spacing w:line="218" w:lineRule="exact"/>
        <w:rPr>
          <w:rFonts w:ascii="Verdana" w:hAnsi="Verdana"/>
          <w:b/>
          <w:sz w:val="16"/>
          <w:szCs w:val="16"/>
        </w:rPr>
      </w:pPr>
    </w:p>
    <w:p w14:paraId="5CD43A3A" w14:textId="77777777" w:rsidR="00DE3FA0" w:rsidRPr="00F01347" w:rsidRDefault="00DE3FA0" w:rsidP="00DE3FA0">
      <w:pPr>
        <w:pStyle w:val="texto0"/>
        <w:ind w:firstLine="0"/>
        <w:jc w:val="center"/>
        <w:rPr>
          <w:rFonts w:ascii="Verdana" w:hAnsi="Verdana"/>
          <w:sz w:val="16"/>
          <w:szCs w:val="16"/>
          <w:lang w:val="en"/>
        </w:rPr>
      </w:pPr>
      <w:r w:rsidRPr="00F01347">
        <w:rPr>
          <w:rFonts w:ascii="Verdana" w:hAnsi="Verdana"/>
          <w:b/>
          <w:sz w:val="16"/>
          <w:szCs w:val="16"/>
          <w:lang w:val="en-US"/>
        </w:rPr>
        <w:t xml:space="preserve">Table B.1.2-2. </w:t>
      </w:r>
      <w:r w:rsidRPr="00F01347">
        <w:rPr>
          <w:rFonts w:ascii="Verdana" w:hAnsi="Verdana"/>
          <w:sz w:val="16"/>
          <w:szCs w:val="16"/>
          <w:lang w:val="en-US"/>
        </w:rPr>
        <w:t>Determination of the final concentration of the analyte in the PDS</w:t>
      </w:r>
    </w:p>
    <w:tbl>
      <w:tblPr>
        <w:tblW w:w="8715" w:type="dxa"/>
        <w:tblInd w:w="144" w:type="dxa"/>
        <w:tblLayout w:type="fixed"/>
        <w:tblCellMar>
          <w:left w:w="72" w:type="dxa"/>
          <w:right w:w="72" w:type="dxa"/>
        </w:tblCellMar>
        <w:tblLook w:val="04A0" w:firstRow="1" w:lastRow="0" w:firstColumn="1" w:lastColumn="0" w:noHBand="0" w:noVBand="1"/>
      </w:tblPr>
      <w:tblGrid>
        <w:gridCol w:w="1869"/>
        <w:gridCol w:w="1982"/>
        <w:gridCol w:w="1389"/>
        <w:gridCol w:w="1912"/>
        <w:gridCol w:w="1563"/>
      </w:tblGrid>
      <w:tr w:rsidR="00DE3FA0" w:rsidRPr="00F01347" w14:paraId="3829388F" w14:textId="77777777" w:rsidTr="00DE3FA0">
        <w:trPr>
          <w:trHeight w:val="20"/>
        </w:trPr>
        <w:tc>
          <w:tcPr>
            <w:tcW w:w="1869" w:type="dxa"/>
            <w:tcBorders>
              <w:top w:val="single" w:sz="6" w:space="0" w:color="auto"/>
              <w:left w:val="single" w:sz="6" w:space="0" w:color="auto"/>
              <w:bottom w:val="single" w:sz="6" w:space="0" w:color="auto"/>
              <w:right w:val="single" w:sz="6" w:space="0" w:color="auto"/>
            </w:tcBorders>
            <w:noWrap/>
            <w:vAlign w:val="center"/>
          </w:tcPr>
          <w:p w14:paraId="54CAA35A" w14:textId="77777777" w:rsidR="00DE3FA0" w:rsidRPr="00F01347" w:rsidRDefault="00DE3FA0">
            <w:pPr>
              <w:pStyle w:val="texto0"/>
              <w:ind w:firstLine="0"/>
              <w:jc w:val="center"/>
              <w:rPr>
                <w:rFonts w:ascii="Verdana" w:hAnsi="Verdana"/>
                <w:sz w:val="16"/>
                <w:szCs w:val="16"/>
                <w:lang w:val="en-US"/>
              </w:rPr>
            </w:pPr>
          </w:p>
        </w:tc>
        <w:tc>
          <w:tcPr>
            <w:tcW w:w="198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E99D31" w14:textId="1EB41ADA" w:rsidR="00DE3FA0" w:rsidRPr="00F01347" w:rsidRDefault="00DE3FA0">
            <w:pPr>
              <w:pStyle w:val="texto0"/>
              <w:ind w:firstLine="0"/>
              <w:jc w:val="center"/>
              <w:rPr>
                <w:rFonts w:ascii="Verdana" w:hAnsi="Verdana"/>
                <w:b/>
                <w:sz w:val="16"/>
                <w:szCs w:val="16"/>
                <w:lang w:val="en-US"/>
              </w:rPr>
            </w:pPr>
            <w:r w:rsidRPr="00F01347">
              <w:rPr>
                <w:rFonts w:ascii="Verdana" w:hAnsi="Verdana"/>
                <w:b/>
                <w:sz w:val="16"/>
                <w:szCs w:val="16"/>
                <w:lang w:val="en-US"/>
              </w:rPr>
              <w:t>Analyte concentration (µg/ mL</w:t>
            </w:r>
            <w:r w:rsidR="00913802" w:rsidRPr="00F01347">
              <w:rPr>
                <w:rFonts w:ascii="Verdana" w:hAnsi="Verdana"/>
                <w:b/>
                <w:sz w:val="16"/>
                <w:szCs w:val="16"/>
                <w:lang w:val="en-US"/>
              </w:rPr>
              <w:t>)</w:t>
            </w:r>
          </w:p>
        </w:tc>
        <w:tc>
          <w:tcPr>
            <w:tcW w:w="1389" w:type="dxa"/>
            <w:tcBorders>
              <w:top w:val="single" w:sz="6" w:space="0" w:color="auto"/>
              <w:left w:val="single" w:sz="6" w:space="0" w:color="auto"/>
              <w:bottom w:val="single" w:sz="6" w:space="0" w:color="auto"/>
              <w:right w:val="single" w:sz="6" w:space="0" w:color="auto"/>
            </w:tcBorders>
            <w:vAlign w:val="center"/>
            <w:hideMark/>
          </w:tcPr>
          <w:p w14:paraId="2940576A" w14:textId="77777777" w:rsidR="00DE3FA0" w:rsidRPr="00F01347" w:rsidRDefault="00DE3FA0">
            <w:pPr>
              <w:pStyle w:val="texto0"/>
              <w:ind w:firstLine="0"/>
              <w:jc w:val="center"/>
              <w:rPr>
                <w:rFonts w:ascii="Verdana" w:hAnsi="Verdana"/>
                <w:b/>
                <w:sz w:val="16"/>
                <w:szCs w:val="16"/>
                <w:lang w:val="en-US"/>
              </w:rPr>
            </w:pPr>
            <w:r w:rsidRPr="00F01347">
              <w:rPr>
                <w:rFonts w:ascii="Verdana" w:hAnsi="Verdana"/>
                <w:b/>
                <w:sz w:val="16"/>
                <w:szCs w:val="16"/>
                <w:lang w:val="en-US"/>
              </w:rPr>
              <w:t>Analyte volume (µL)</w:t>
            </w:r>
          </w:p>
        </w:tc>
        <w:tc>
          <w:tcPr>
            <w:tcW w:w="1911" w:type="dxa"/>
            <w:tcBorders>
              <w:top w:val="single" w:sz="6" w:space="0" w:color="auto"/>
              <w:left w:val="single" w:sz="6" w:space="0" w:color="auto"/>
              <w:bottom w:val="single" w:sz="6" w:space="0" w:color="auto"/>
              <w:right w:val="single" w:sz="6" w:space="0" w:color="auto"/>
            </w:tcBorders>
            <w:vAlign w:val="center"/>
            <w:hideMark/>
          </w:tcPr>
          <w:p w14:paraId="246645AA" w14:textId="20273CDC" w:rsidR="00DE3FA0" w:rsidRPr="00F01347" w:rsidRDefault="00DE3FA0">
            <w:pPr>
              <w:pStyle w:val="texto0"/>
              <w:ind w:firstLine="0"/>
              <w:jc w:val="center"/>
              <w:rPr>
                <w:rFonts w:ascii="Verdana" w:hAnsi="Verdana"/>
                <w:b/>
                <w:sz w:val="16"/>
                <w:szCs w:val="16"/>
                <w:lang w:val="en-US"/>
              </w:rPr>
            </w:pPr>
            <w:r w:rsidRPr="00F01347">
              <w:rPr>
                <w:rFonts w:ascii="Verdana" w:hAnsi="Verdana"/>
                <w:b/>
                <w:sz w:val="16"/>
                <w:szCs w:val="16"/>
                <w:lang w:val="en-US"/>
              </w:rPr>
              <w:t xml:space="preserve">Analyte PDS final volume </w:t>
            </w:r>
            <w:r w:rsidR="00CB209C" w:rsidRPr="00F01347">
              <w:rPr>
                <w:rFonts w:ascii="Verdana" w:hAnsi="Verdana"/>
                <w:b/>
                <w:sz w:val="16"/>
                <w:szCs w:val="16"/>
                <w:lang w:val="en-US"/>
              </w:rPr>
              <w:t>(</w:t>
            </w:r>
            <w:r w:rsidRPr="00F01347">
              <w:rPr>
                <w:rFonts w:ascii="Verdana" w:hAnsi="Verdana"/>
                <w:b/>
                <w:sz w:val="16"/>
                <w:szCs w:val="16"/>
                <w:lang w:val="en-US"/>
              </w:rPr>
              <w:t>mL</w:t>
            </w:r>
            <w:r w:rsidR="00913802" w:rsidRPr="00F01347">
              <w:rPr>
                <w:rFonts w:ascii="Verdana" w:hAnsi="Verdana"/>
                <w:b/>
                <w:sz w:val="16"/>
                <w:szCs w:val="16"/>
                <w:lang w:val="en-US"/>
              </w:rPr>
              <w:t>)</w:t>
            </w:r>
          </w:p>
        </w:tc>
        <w:tc>
          <w:tcPr>
            <w:tcW w:w="1562" w:type="dxa"/>
            <w:tcBorders>
              <w:top w:val="single" w:sz="6" w:space="0" w:color="auto"/>
              <w:left w:val="single" w:sz="6" w:space="0" w:color="auto"/>
              <w:bottom w:val="single" w:sz="6" w:space="0" w:color="auto"/>
              <w:right w:val="single" w:sz="6" w:space="0" w:color="auto"/>
            </w:tcBorders>
            <w:vAlign w:val="center"/>
            <w:hideMark/>
          </w:tcPr>
          <w:p w14:paraId="028B6187" w14:textId="64B09CC5" w:rsidR="00DE3FA0" w:rsidRPr="00F01347" w:rsidRDefault="00DE3FA0">
            <w:pPr>
              <w:pStyle w:val="texto0"/>
              <w:ind w:firstLine="0"/>
              <w:jc w:val="center"/>
              <w:rPr>
                <w:rFonts w:ascii="Verdana" w:hAnsi="Verdana"/>
                <w:b/>
                <w:sz w:val="16"/>
                <w:szCs w:val="16"/>
                <w:lang w:val="en-US"/>
              </w:rPr>
            </w:pPr>
            <w:r w:rsidRPr="00F01347">
              <w:rPr>
                <w:rFonts w:ascii="Verdana" w:hAnsi="Verdana"/>
                <w:b/>
                <w:sz w:val="16"/>
                <w:szCs w:val="16"/>
                <w:lang w:val="en-US"/>
              </w:rPr>
              <w:t>Conc</w:t>
            </w:r>
            <w:r w:rsidR="003E1BA9" w:rsidRPr="00F01347">
              <w:rPr>
                <w:rFonts w:ascii="Verdana" w:hAnsi="Verdana"/>
                <w:b/>
                <w:sz w:val="16"/>
                <w:szCs w:val="16"/>
                <w:lang w:val="en-US"/>
              </w:rPr>
              <w:t>.</w:t>
            </w:r>
            <w:r w:rsidRPr="00F01347">
              <w:rPr>
                <w:rFonts w:ascii="Verdana" w:hAnsi="Verdana"/>
                <w:b/>
                <w:sz w:val="16"/>
                <w:szCs w:val="16"/>
                <w:lang w:val="en-US"/>
              </w:rPr>
              <w:t xml:space="preserve"> end of PDS (ng/µL)</w:t>
            </w:r>
          </w:p>
        </w:tc>
      </w:tr>
      <w:tr w:rsidR="00DE3FA0" w:rsidRPr="00F01347" w14:paraId="4E4A3977" w14:textId="77777777" w:rsidTr="00DE3FA0">
        <w:trPr>
          <w:trHeight w:val="20"/>
        </w:trPr>
        <w:tc>
          <w:tcPr>
            <w:tcW w:w="186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6B887D" w14:textId="77777777" w:rsidR="00DE3FA0" w:rsidRPr="00F01347" w:rsidRDefault="00DE3FA0">
            <w:pPr>
              <w:pStyle w:val="texto0"/>
              <w:ind w:firstLine="0"/>
              <w:rPr>
                <w:rFonts w:ascii="Verdana" w:hAnsi="Verdana"/>
                <w:color w:val="808080"/>
                <w:sz w:val="16"/>
                <w:szCs w:val="16"/>
                <w:lang w:val="en-US"/>
              </w:rPr>
            </w:pPr>
            <w:r w:rsidRPr="00F01347">
              <w:rPr>
                <w:rFonts w:ascii="Verdana" w:hAnsi="Verdana"/>
                <w:sz w:val="16"/>
                <w:szCs w:val="16"/>
                <w:lang w:val="en-US"/>
              </w:rPr>
              <w:t>Microcystin -LR</w:t>
            </w:r>
          </w:p>
        </w:tc>
        <w:tc>
          <w:tcPr>
            <w:tcW w:w="1981" w:type="dxa"/>
            <w:tcBorders>
              <w:top w:val="single" w:sz="6" w:space="0" w:color="auto"/>
              <w:left w:val="single" w:sz="6" w:space="0" w:color="auto"/>
              <w:bottom w:val="single" w:sz="6" w:space="0" w:color="auto"/>
              <w:right w:val="single" w:sz="6" w:space="0" w:color="auto"/>
            </w:tcBorders>
            <w:vAlign w:val="center"/>
            <w:hideMark/>
          </w:tcPr>
          <w:p w14:paraId="585FF947"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500</w:t>
            </w:r>
          </w:p>
        </w:tc>
        <w:tc>
          <w:tcPr>
            <w:tcW w:w="1389" w:type="dxa"/>
            <w:tcBorders>
              <w:top w:val="single" w:sz="6" w:space="0" w:color="auto"/>
              <w:left w:val="single" w:sz="6" w:space="0" w:color="auto"/>
              <w:bottom w:val="single" w:sz="6" w:space="0" w:color="auto"/>
              <w:right w:val="single" w:sz="6" w:space="0" w:color="auto"/>
            </w:tcBorders>
            <w:vAlign w:val="center"/>
            <w:hideMark/>
          </w:tcPr>
          <w:p w14:paraId="74EAF8C6"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40.0</w:t>
            </w:r>
          </w:p>
        </w:tc>
        <w:tc>
          <w:tcPr>
            <w:tcW w:w="1911" w:type="dxa"/>
            <w:vMerge w:val="restart"/>
            <w:tcBorders>
              <w:top w:val="single" w:sz="6" w:space="0" w:color="auto"/>
              <w:left w:val="single" w:sz="6" w:space="0" w:color="auto"/>
              <w:bottom w:val="single" w:sz="6" w:space="0" w:color="auto"/>
              <w:right w:val="single" w:sz="6" w:space="0" w:color="auto"/>
            </w:tcBorders>
            <w:vAlign w:val="center"/>
            <w:hideMark/>
          </w:tcPr>
          <w:p w14:paraId="7556B7EA"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10ml</w:t>
            </w:r>
          </w:p>
        </w:tc>
        <w:tc>
          <w:tcPr>
            <w:tcW w:w="1562" w:type="dxa"/>
            <w:tcBorders>
              <w:top w:val="single" w:sz="6" w:space="0" w:color="auto"/>
              <w:left w:val="single" w:sz="6" w:space="0" w:color="auto"/>
              <w:bottom w:val="single" w:sz="6" w:space="0" w:color="auto"/>
              <w:right w:val="single" w:sz="6" w:space="0" w:color="auto"/>
            </w:tcBorders>
            <w:vAlign w:val="center"/>
            <w:hideMark/>
          </w:tcPr>
          <w:p w14:paraId="1ADA931B"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2.0</w:t>
            </w:r>
          </w:p>
        </w:tc>
      </w:tr>
      <w:tr w:rsidR="00DE3FA0" w:rsidRPr="00F01347" w14:paraId="34D93CEB" w14:textId="77777777" w:rsidTr="00DE3FA0">
        <w:trPr>
          <w:trHeight w:val="20"/>
        </w:trPr>
        <w:tc>
          <w:tcPr>
            <w:tcW w:w="1869" w:type="dxa"/>
            <w:tcBorders>
              <w:top w:val="single" w:sz="6" w:space="0" w:color="auto"/>
              <w:left w:val="single" w:sz="6" w:space="0" w:color="auto"/>
              <w:bottom w:val="single" w:sz="6" w:space="0" w:color="auto"/>
              <w:right w:val="single" w:sz="6" w:space="0" w:color="auto"/>
            </w:tcBorders>
            <w:vAlign w:val="center"/>
            <w:hideMark/>
          </w:tcPr>
          <w:p w14:paraId="108B6F16" w14:textId="77777777" w:rsidR="00DE3FA0" w:rsidRPr="00F01347" w:rsidRDefault="00DE3FA0">
            <w:pPr>
              <w:pStyle w:val="texto0"/>
              <w:ind w:firstLine="0"/>
              <w:rPr>
                <w:rFonts w:ascii="Verdana" w:hAnsi="Verdana"/>
                <w:sz w:val="16"/>
                <w:szCs w:val="16"/>
                <w:lang w:val="en-US"/>
              </w:rPr>
            </w:pPr>
            <w:r w:rsidRPr="00F01347">
              <w:rPr>
                <w:rFonts w:ascii="Verdana" w:hAnsi="Verdana"/>
                <w:sz w:val="16"/>
                <w:szCs w:val="16"/>
                <w:lang w:val="en-US"/>
              </w:rPr>
              <w:t>Microcystin -RR</w:t>
            </w:r>
          </w:p>
        </w:tc>
        <w:tc>
          <w:tcPr>
            <w:tcW w:w="1981" w:type="dxa"/>
            <w:tcBorders>
              <w:top w:val="single" w:sz="6" w:space="0" w:color="auto"/>
              <w:left w:val="single" w:sz="6" w:space="0" w:color="auto"/>
              <w:bottom w:val="single" w:sz="6" w:space="0" w:color="auto"/>
              <w:right w:val="single" w:sz="6" w:space="0" w:color="auto"/>
            </w:tcBorders>
            <w:vAlign w:val="center"/>
            <w:hideMark/>
          </w:tcPr>
          <w:p w14:paraId="50316533"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10.3</w:t>
            </w:r>
          </w:p>
        </w:tc>
        <w:tc>
          <w:tcPr>
            <w:tcW w:w="1389" w:type="dxa"/>
            <w:tcBorders>
              <w:top w:val="single" w:sz="6" w:space="0" w:color="auto"/>
              <w:left w:val="single" w:sz="6" w:space="0" w:color="auto"/>
              <w:bottom w:val="single" w:sz="6" w:space="0" w:color="auto"/>
              <w:right w:val="single" w:sz="6" w:space="0" w:color="auto"/>
            </w:tcBorders>
            <w:vAlign w:val="center"/>
            <w:hideMark/>
          </w:tcPr>
          <w:p w14:paraId="120436F0"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910</w:t>
            </w:r>
          </w:p>
        </w:tc>
        <w:tc>
          <w:tcPr>
            <w:tcW w:w="1911" w:type="dxa"/>
            <w:vMerge/>
            <w:tcBorders>
              <w:top w:val="single" w:sz="6" w:space="0" w:color="auto"/>
              <w:left w:val="single" w:sz="6" w:space="0" w:color="auto"/>
              <w:bottom w:val="single" w:sz="6" w:space="0" w:color="auto"/>
              <w:right w:val="single" w:sz="6" w:space="0" w:color="auto"/>
            </w:tcBorders>
            <w:vAlign w:val="center"/>
            <w:hideMark/>
          </w:tcPr>
          <w:p w14:paraId="46BC4DC2" w14:textId="77777777" w:rsidR="00DE3FA0" w:rsidRPr="00F01347" w:rsidRDefault="00DE3FA0">
            <w:pPr>
              <w:rPr>
                <w:rFonts w:ascii="Verdana" w:hAnsi="Verdana" w:cs="Arial"/>
                <w:sz w:val="16"/>
                <w:szCs w:val="16"/>
                <w:lang w:val="en-US"/>
              </w:rPr>
            </w:pPr>
          </w:p>
        </w:tc>
        <w:tc>
          <w:tcPr>
            <w:tcW w:w="1562" w:type="dxa"/>
            <w:tcBorders>
              <w:top w:val="single" w:sz="6" w:space="0" w:color="auto"/>
              <w:left w:val="single" w:sz="6" w:space="0" w:color="auto"/>
              <w:bottom w:val="single" w:sz="6" w:space="0" w:color="auto"/>
              <w:right w:val="single" w:sz="6" w:space="0" w:color="auto"/>
            </w:tcBorders>
            <w:vAlign w:val="center"/>
            <w:hideMark/>
          </w:tcPr>
          <w:p w14:paraId="40FFEAA3"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0.94</w:t>
            </w:r>
          </w:p>
        </w:tc>
      </w:tr>
      <w:tr w:rsidR="00DE3FA0" w:rsidRPr="00F01347" w14:paraId="198AF198" w14:textId="77777777" w:rsidTr="00DE3FA0">
        <w:trPr>
          <w:trHeight w:val="20"/>
        </w:trPr>
        <w:tc>
          <w:tcPr>
            <w:tcW w:w="1869" w:type="dxa"/>
            <w:tcBorders>
              <w:top w:val="single" w:sz="6" w:space="0" w:color="auto"/>
              <w:left w:val="single" w:sz="6" w:space="0" w:color="auto"/>
              <w:bottom w:val="single" w:sz="6" w:space="0" w:color="auto"/>
              <w:right w:val="single" w:sz="6" w:space="0" w:color="auto"/>
            </w:tcBorders>
            <w:vAlign w:val="center"/>
            <w:hideMark/>
          </w:tcPr>
          <w:p w14:paraId="0D02C4B6" w14:textId="77777777" w:rsidR="00DE3FA0" w:rsidRPr="00F01347" w:rsidRDefault="00DE3FA0">
            <w:pPr>
              <w:pStyle w:val="texto0"/>
              <w:ind w:firstLine="0"/>
              <w:rPr>
                <w:rFonts w:ascii="Verdana" w:hAnsi="Verdana"/>
                <w:sz w:val="16"/>
                <w:szCs w:val="16"/>
                <w:lang w:val="en-US"/>
              </w:rPr>
            </w:pPr>
            <w:r w:rsidRPr="00F01347">
              <w:rPr>
                <w:rFonts w:ascii="Verdana" w:hAnsi="Verdana"/>
                <w:sz w:val="16"/>
                <w:szCs w:val="16"/>
                <w:lang w:val="en-US"/>
              </w:rPr>
              <w:t>Microcystin -YR</w:t>
            </w:r>
          </w:p>
        </w:tc>
        <w:tc>
          <w:tcPr>
            <w:tcW w:w="1981" w:type="dxa"/>
            <w:tcBorders>
              <w:top w:val="single" w:sz="6" w:space="0" w:color="auto"/>
              <w:left w:val="single" w:sz="6" w:space="0" w:color="auto"/>
              <w:bottom w:val="single" w:sz="6" w:space="0" w:color="auto"/>
              <w:right w:val="single" w:sz="6" w:space="0" w:color="auto"/>
            </w:tcBorders>
            <w:vAlign w:val="center"/>
            <w:hideMark/>
          </w:tcPr>
          <w:p w14:paraId="3E413C94"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100</w:t>
            </w:r>
          </w:p>
        </w:tc>
        <w:tc>
          <w:tcPr>
            <w:tcW w:w="1389" w:type="dxa"/>
            <w:tcBorders>
              <w:top w:val="single" w:sz="6" w:space="0" w:color="auto"/>
              <w:left w:val="single" w:sz="6" w:space="0" w:color="auto"/>
              <w:bottom w:val="single" w:sz="6" w:space="0" w:color="auto"/>
              <w:right w:val="single" w:sz="6" w:space="0" w:color="auto"/>
            </w:tcBorders>
            <w:vAlign w:val="center"/>
            <w:hideMark/>
          </w:tcPr>
          <w:p w14:paraId="67BDD806"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200</w:t>
            </w:r>
          </w:p>
        </w:tc>
        <w:tc>
          <w:tcPr>
            <w:tcW w:w="1911" w:type="dxa"/>
            <w:vMerge/>
            <w:tcBorders>
              <w:top w:val="single" w:sz="6" w:space="0" w:color="auto"/>
              <w:left w:val="single" w:sz="6" w:space="0" w:color="auto"/>
              <w:bottom w:val="single" w:sz="6" w:space="0" w:color="auto"/>
              <w:right w:val="single" w:sz="6" w:space="0" w:color="auto"/>
            </w:tcBorders>
            <w:vAlign w:val="center"/>
            <w:hideMark/>
          </w:tcPr>
          <w:p w14:paraId="79154B59" w14:textId="77777777" w:rsidR="00DE3FA0" w:rsidRPr="00F01347" w:rsidRDefault="00DE3FA0">
            <w:pPr>
              <w:rPr>
                <w:rFonts w:ascii="Verdana" w:hAnsi="Verdana" w:cs="Arial"/>
                <w:sz w:val="16"/>
                <w:szCs w:val="16"/>
                <w:lang w:val="en-US"/>
              </w:rPr>
            </w:pPr>
          </w:p>
        </w:tc>
        <w:tc>
          <w:tcPr>
            <w:tcW w:w="1562" w:type="dxa"/>
            <w:tcBorders>
              <w:top w:val="single" w:sz="6" w:space="0" w:color="auto"/>
              <w:left w:val="single" w:sz="6" w:space="0" w:color="auto"/>
              <w:bottom w:val="single" w:sz="6" w:space="0" w:color="auto"/>
              <w:right w:val="single" w:sz="6" w:space="0" w:color="auto"/>
            </w:tcBorders>
            <w:vAlign w:val="center"/>
            <w:hideMark/>
          </w:tcPr>
          <w:p w14:paraId="40F8881F"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2.0</w:t>
            </w:r>
          </w:p>
        </w:tc>
      </w:tr>
      <w:tr w:rsidR="00DE3FA0" w:rsidRPr="00F01347" w14:paraId="5C74CBD7" w14:textId="77777777" w:rsidTr="00DE3FA0">
        <w:trPr>
          <w:trHeight w:val="20"/>
        </w:trPr>
        <w:tc>
          <w:tcPr>
            <w:tcW w:w="1869" w:type="dxa"/>
            <w:tcBorders>
              <w:top w:val="single" w:sz="6" w:space="0" w:color="auto"/>
              <w:left w:val="single" w:sz="6" w:space="0" w:color="auto"/>
              <w:bottom w:val="single" w:sz="6" w:space="0" w:color="auto"/>
              <w:right w:val="single" w:sz="6" w:space="0" w:color="auto"/>
            </w:tcBorders>
            <w:vAlign w:val="center"/>
            <w:hideMark/>
          </w:tcPr>
          <w:p w14:paraId="02631004" w14:textId="77777777" w:rsidR="00DE3FA0" w:rsidRPr="00F01347" w:rsidRDefault="00DE3FA0">
            <w:pPr>
              <w:pStyle w:val="texto0"/>
              <w:ind w:firstLine="0"/>
              <w:rPr>
                <w:rFonts w:ascii="Verdana" w:hAnsi="Verdana"/>
                <w:sz w:val="16"/>
                <w:szCs w:val="16"/>
                <w:lang w:val="en-US"/>
              </w:rPr>
            </w:pPr>
            <w:r w:rsidRPr="00F01347">
              <w:rPr>
                <w:rFonts w:ascii="Verdana" w:hAnsi="Verdana"/>
                <w:sz w:val="16"/>
                <w:szCs w:val="16"/>
                <w:lang w:val="en-US"/>
              </w:rPr>
              <w:t>Microcystin -LY</w:t>
            </w:r>
          </w:p>
        </w:tc>
        <w:tc>
          <w:tcPr>
            <w:tcW w:w="1981" w:type="dxa"/>
            <w:tcBorders>
              <w:top w:val="single" w:sz="6" w:space="0" w:color="auto"/>
              <w:left w:val="single" w:sz="6" w:space="0" w:color="auto"/>
              <w:bottom w:val="single" w:sz="6" w:space="0" w:color="auto"/>
              <w:right w:val="single" w:sz="6" w:space="0" w:color="auto"/>
            </w:tcBorders>
            <w:vAlign w:val="center"/>
            <w:hideMark/>
          </w:tcPr>
          <w:p w14:paraId="2D6A1AFB"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100</w:t>
            </w:r>
          </w:p>
        </w:tc>
        <w:tc>
          <w:tcPr>
            <w:tcW w:w="1389" w:type="dxa"/>
            <w:tcBorders>
              <w:top w:val="single" w:sz="6" w:space="0" w:color="auto"/>
              <w:left w:val="single" w:sz="6" w:space="0" w:color="auto"/>
              <w:bottom w:val="single" w:sz="6" w:space="0" w:color="auto"/>
              <w:right w:val="single" w:sz="6" w:space="0" w:color="auto"/>
            </w:tcBorders>
            <w:vAlign w:val="center"/>
            <w:hideMark/>
          </w:tcPr>
          <w:p w14:paraId="5A99EB7F"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200</w:t>
            </w:r>
          </w:p>
        </w:tc>
        <w:tc>
          <w:tcPr>
            <w:tcW w:w="1911" w:type="dxa"/>
            <w:vMerge/>
            <w:tcBorders>
              <w:top w:val="single" w:sz="6" w:space="0" w:color="auto"/>
              <w:left w:val="single" w:sz="6" w:space="0" w:color="auto"/>
              <w:bottom w:val="single" w:sz="6" w:space="0" w:color="auto"/>
              <w:right w:val="single" w:sz="6" w:space="0" w:color="auto"/>
            </w:tcBorders>
            <w:vAlign w:val="center"/>
            <w:hideMark/>
          </w:tcPr>
          <w:p w14:paraId="5DEC4F96" w14:textId="77777777" w:rsidR="00DE3FA0" w:rsidRPr="00F01347" w:rsidRDefault="00DE3FA0">
            <w:pPr>
              <w:rPr>
                <w:rFonts w:ascii="Verdana" w:hAnsi="Verdana" w:cs="Arial"/>
                <w:sz w:val="16"/>
                <w:szCs w:val="16"/>
                <w:lang w:val="en-US"/>
              </w:rPr>
            </w:pPr>
          </w:p>
        </w:tc>
        <w:tc>
          <w:tcPr>
            <w:tcW w:w="1562" w:type="dxa"/>
            <w:tcBorders>
              <w:top w:val="single" w:sz="6" w:space="0" w:color="auto"/>
              <w:left w:val="single" w:sz="6" w:space="0" w:color="auto"/>
              <w:bottom w:val="single" w:sz="6" w:space="0" w:color="auto"/>
              <w:right w:val="single" w:sz="6" w:space="0" w:color="auto"/>
            </w:tcBorders>
            <w:vAlign w:val="center"/>
            <w:hideMark/>
          </w:tcPr>
          <w:p w14:paraId="4DB60F46"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2.0</w:t>
            </w:r>
          </w:p>
        </w:tc>
      </w:tr>
      <w:tr w:rsidR="00DE3FA0" w:rsidRPr="00F01347" w14:paraId="3066061F" w14:textId="77777777" w:rsidTr="00DE3FA0">
        <w:trPr>
          <w:trHeight w:val="20"/>
        </w:trPr>
        <w:tc>
          <w:tcPr>
            <w:tcW w:w="1869" w:type="dxa"/>
            <w:tcBorders>
              <w:top w:val="single" w:sz="6" w:space="0" w:color="auto"/>
              <w:left w:val="single" w:sz="6" w:space="0" w:color="auto"/>
              <w:bottom w:val="single" w:sz="6" w:space="0" w:color="auto"/>
              <w:right w:val="single" w:sz="6" w:space="0" w:color="auto"/>
            </w:tcBorders>
            <w:vAlign w:val="center"/>
            <w:hideMark/>
          </w:tcPr>
          <w:p w14:paraId="07BCE807" w14:textId="77777777" w:rsidR="00DE3FA0" w:rsidRPr="00F01347" w:rsidRDefault="00DE3FA0">
            <w:pPr>
              <w:pStyle w:val="texto0"/>
              <w:ind w:firstLine="0"/>
              <w:rPr>
                <w:rFonts w:ascii="Verdana" w:hAnsi="Verdana"/>
                <w:sz w:val="16"/>
                <w:szCs w:val="16"/>
                <w:lang w:val="en-US"/>
              </w:rPr>
            </w:pPr>
            <w:r w:rsidRPr="00F01347">
              <w:rPr>
                <w:rFonts w:ascii="Verdana" w:hAnsi="Verdana"/>
                <w:sz w:val="16"/>
                <w:szCs w:val="16"/>
                <w:lang w:val="en-US"/>
              </w:rPr>
              <w:t>Microcystin -LF</w:t>
            </w:r>
          </w:p>
        </w:tc>
        <w:tc>
          <w:tcPr>
            <w:tcW w:w="1981" w:type="dxa"/>
            <w:tcBorders>
              <w:top w:val="single" w:sz="6" w:space="0" w:color="auto"/>
              <w:left w:val="single" w:sz="6" w:space="0" w:color="auto"/>
              <w:bottom w:val="single" w:sz="6" w:space="0" w:color="auto"/>
              <w:right w:val="single" w:sz="6" w:space="0" w:color="auto"/>
            </w:tcBorders>
            <w:vAlign w:val="center"/>
            <w:hideMark/>
          </w:tcPr>
          <w:p w14:paraId="751DFDC0"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100</w:t>
            </w:r>
          </w:p>
        </w:tc>
        <w:tc>
          <w:tcPr>
            <w:tcW w:w="1389" w:type="dxa"/>
            <w:tcBorders>
              <w:top w:val="single" w:sz="6" w:space="0" w:color="auto"/>
              <w:left w:val="single" w:sz="6" w:space="0" w:color="auto"/>
              <w:bottom w:val="single" w:sz="6" w:space="0" w:color="auto"/>
              <w:right w:val="single" w:sz="6" w:space="0" w:color="auto"/>
            </w:tcBorders>
            <w:vAlign w:val="center"/>
            <w:hideMark/>
          </w:tcPr>
          <w:p w14:paraId="1A9CAB35"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200</w:t>
            </w:r>
          </w:p>
        </w:tc>
        <w:tc>
          <w:tcPr>
            <w:tcW w:w="1911" w:type="dxa"/>
            <w:vMerge/>
            <w:tcBorders>
              <w:top w:val="single" w:sz="6" w:space="0" w:color="auto"/>
              <w:left w:val="single" w:sz="6" w:space="0" w:color="auto"/>
              <w:bottom w:val="single" w:sz="6" w:space="0" w:color="auto"/>
              <w:right w:val="single" w:sz="6" w:space="0" w:color="auto"/>
            </w:tcBorders>
            <w:vAlign w:val="center"/>
            <w:hideMark/>
          </w:tcPr>
          <w:p w14:paraId="0760DEDC" w14:textId="77777777" w:rsidR="00DE3FA0" w:rsidRPr="00F01347" w:rsidRDefault="00DE3FA0">
            <w:pPr>
              <w:rPr>
                <w:rFonts w:ascii="Verdana" w:hAnsi="Verdana" w:cs="Arial"/>
                <w:sz w:val="16"/>
                <w:szCs w:val="16"/>
                <w:lang w:val="en-US"/>
              </w:rPr>
            </w:pPr>
          </w:p>
        </w:tc>
        <w:tc>
          <w:tcPr>
            <w:tcW w:w="1562" w:type="dxa"/>
            <w:tcBorders>
              <w:top w:val="single" w:sz="6" w:space="0" w:color="auto"/>
              <w:left w:val="single" w:sz="6" w:space="0" w:color="auto"/>
              <w:bottom w:val="single" w:sz="6" w:space="0" w:color="auto"/>
              <w:right w:val="single" w:sz="6" w:space="0" w:color="auto"/>
            </w:tcBorders>
            <w:vAlign w:val="center"/>
            <w:hideMark/>
          </w:tcPr>
          <w:p w14:paraId="2A523FCB"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2.0</w:t>
            </w:r>
          </w:p>
        </w:tc>
      </w:tr>
      <w:tr w:rsidR="00DE3FA0" w:rsidRPr="00F01347" w14:paraId="5B6B97D8" w14:textId="77777777" w:rsidTr="00DE3FA0">
        <w:trPr>
          <w:trHeight w:val="20"/>
        </w:trPr>
        <w:tc>
          <w:tcPr>
            <w:tcW w:w="1869" w:type="dxa"/>
            <w:tcBorders>
              <w:top w:val="single" w:sz="6" w:space="0" w:color="auto"/>
              <w:left w:val="single" w:sz="6" w:space="0" w:color="auto"/>
              <w:bottom w:val="single" w:sz="6" w:space="0" w:color="auto"/>
              <w:right w:val="single" w:sz="6" w:space="0" w:color="auto"/>
            </w:tcBorders>
            <w:vAlign w:val="center"/>
            <w:hideMark/>
          </w:tcPr>
          <w:p w14:paraId="55058FA7" w14:textId="77777777" w:rsidR="00DE3FA0" w:rsidRPr="00F01347" w:rsidRDefault="00DE3FA0">
            <w:pPr>
              <w:pStyle w:val="texto0"/>
              <w:ind w:firstLine="0"/>
              <w:rPr>
                <w:rFonts w:ascii="Verdana" w:hAnsi="Verdana"/>
                <w:sz w:val="16"/>
                <w:szCs w:val="16"/>
                <w:lang w:val="en-US"/>
              </w:rPr>
            </w:pPr>
            <w:r w:rsidRPr="00F01347">
              <w:rPr>
                <w:rFonts w:ascii="Verdana" w:hAnsi="Verdana"/>
                <w:sz w:val="16"/>
                <w:szCs w:val="16"/>
                <w:lang w:val="en-US"/>
              </w:rPr>
              <w:t>Nodularin -R</w:t>
            </w:r>
          </w:p>
        </w:tc>
        <w:tc>
          <w:tcPr>
            <w:tcW w:w="1981" w:type="dxa"/>
            <w:tcBorders>
              <w:top w:val="single" w:sz="6" w:space="0" w:color="auto"/>
              <w:left w:val="single" w:sz="6" w:space="0" w:color="auto"/>
              <w:bottom w:val="single" w:sz="6" w:space="0" w:color="auto"/>
              <w:right w:val="single" w:sz="6" w:space="0" w:color="auto"/>
            </w:tcBorders>
            <w:vAlign w:val="center"/>
            <w:hideMark/>
          </w:tcPr>
          <w:p w14:paraId="5164E2F1"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10.3</w:t>
            </w:r>
          </w:p>
        </w:tc>
        <w:tc>
          <w:tcPr>
            <w:tcW w:w="1389" w:type="dxa"/>
            <w:tcBorders>
              <w:top w:val="single" w:sz="6" w:space="0" w:color="auto"/>
              <w:left w:val="single" w:sz="6" w:space="0" w:color="auto"/>
              <w:bottom w:val="single" w:sz="6" w:space="0" w:color="auto"/>
              <w:right w:val="single" w:sz="6" w:space="0" w:color="auto"/>
            </w:tcBorders>
            <w:vAlign w:val="center"/>
            <w:hideMark/>
          </w:tcPr>
          <w:p w14:paraId="26631942"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950</w:t>
            </w:r>
          </w:p>
        </w:tc>
        <w:tc>
          <w:tcPr>
            <w:tcW w:w="1911" w:type="dxa"/>
            <w:vMerge/>
            <w:tcBorders>
              <w:top w:val="single" w:sz="6" w:space="0" w:color="auto"/>
              <w:left w:val="single" w:sz="6" w:space="0" w:color="auto"/>
              <w:bottom w:val="single" w:sz="6" w:space="0" w:color="auto"/>
              <w:right w:val="single" w:sz="6" w:space="0" w:color="auto"/>
            </w:tcBorders>
            <w:vAlign w:val="center"/>
            <w:hideMark/>
          </w:tcPr>
          <w:p w14:paraId="42CCCD6C" w14:textId="77777777" w:rsidR="00DE3FA0" w:rsidRPr="00F01347" w:rsidRDefault="00DE3FA0">
            <w:pPr>
              <w:rPr>
                <w:rFonts w:ascii="Verdana" w:hAnsi="Verdana" w:cs="Arial"/>
                <w:sz w:val="16"/>
                <w:szCs w:val="16"/>
                <w:lang w:val="en-US"/>
              </w:rPr>
            </w:pPr>
          </w:p>
        </w:tc>
        <w:tc>
          <w:tcPr>
            <w:tcW w:w="1562" w:type="dxa"/>
            <w:tcBorders>
              <w:top w:val="single" w:sz="6" w:space="0" w:color="auto"/>
              <w:left w:val="single" w:sz="6" w:space="0" w:color="auto"/>
              <w:bottom w:val="single" w:sz="6" w:space="0" w:color="auto"/>
              <w:right w:val="single" w:sz="6" w:space="0" w:color="auto"/>
            </w:tcBorders>
            <w:vAlign w:val="center"/>
            <w:hideMark/>
          </w:tcPr>
          <w:p w14:paraId="45F176E9"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0.98</w:t>
            </w:r>
          </w:p>
        </w:tc>
      </w:tr>
      <w:tr w:rsidR="00DE3FA0" w:rsidRPr="00F01347" w14:paraId="0244106D" w14:textId="77777777" w:rsidTr="00DE3FA0">
        <w:trPr>
          <w:trHeight w:val="20"/>
        </w:trPr>
        <w:tc>
          <w:tcPr>
            <w:tcW w:w="1869" w:type="dxa"/>
            <w:tcBorders>
              <w:top w:val="single" w:sz="6" w:space="0" w:color="auto"/>
              <w:left w:val="single" w:sz="6" w:space="0" w:color="auto"/>
              <w:bottom w:val="single" w:sz="6" w:space="0" w:color="auto"/>
              <w:right w:val="single" w:sz="6" w:space="0" w:color="auto"/>
            </w:tcBorders>
            <w:vAlign w:val="center"/>
            <w:hideMark/>
          </w:tcPr>
          <w:p w14:paraId="49AD1315" w14:textId="77777777" w:rsidR="00DE3FA0" w:rsidRPr="00F01347" w:rsidRDefault="00DE3FA0">
            <w:pPr>
              <w:pStyle w:val="texto0"/>
              <w:ind w:firstLine="0"/>
              <w:rPr>
                <w:rFonts w:ascii="Verdana" w:hAnsi="Verdana"/>
                <w:sz w:val="16"/>
                <w:szCs w:val="16"/>
                <w:lang w:val="en-US"/>
              </w:rPr>
            </w:pPr>
            <w:r w:rsidRPr="00F01347">
              <w:rPr>
                <w:rFonts w:ascii="Verdana" w:hAnsi="Verdana"/>
                <w:sz w:val="16"/>
                <w:szCs w:val="16"/>
                <w:lang w:val="en-US"/>
              </w:rPr>
              <w:t>Microcystin -LA</w:t>
            </w:r>
          </w:p>
        </w:tc>
        <w:tc>
          <w:tcPr>
            <w:tcW w:w="1981" w:type="dxa"/>
            <w:tcBorders>
              <w:top w:val="single" w:sz="6" w:space="0" w:color="auto"/>
              <w:left w:val="single" w:sz="6" w:space="0" w:color="auto"/>
              <w:bottom w:val="single" w:sz="6" w:space="0" w:color="auto"/>
              <w:right w:val="single" w:sz="6" w:space="0" w:color="auto"/>
            </w:tcBorders>
            <w:vAlign w:val="center"/>
            <w:hideMark/>
          </w:tcPr>
          <w:p w14:paraId="0FC1EFC3"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100</w:t>
            </w:r>
          </w:p>
        </w:tc>
        <w:tc>
          <w:tcPr>
            <w:tcW w:w="1389" w:type="dxa"/>
            <w:tcBorders>
              <w:top w:val="single" w:sz="6" w:space="0" w:color="auto"/>
              <w:left w:val="single" w:sz="6" w:space="0" w:color="auto"/>
              <w:bottom w:val="single" w:sz="6" w:space="0" w:color="auto"/>
              <w:right w:val="single" w:sz="6" w:space="0" w:color="auto"/>
            </w:tcBorders>
            <w:vAlign w:val="center"/>
            <w:hideMark/>
          </w:tcPr>
          <w:p w14:paraId="1E17CB3B"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500</w:t>
            </w:r>
          </w:p>
        </w:tc>
        <w:tc>
          <w:tcPr>
            <w:tcW w:w="1911" w:type="dxa"/>
            <w:vMerge/>
            <w:tcBorders>
              <w:top w:val="single" w:sz="6" w:space="0" w:color="auto"/>
              <w:left w:val="single" w:sz="6" w:space="0" w:color="auto"/>
              <w:bottom w:val="single" w:sz="6" w:space="0" w:color="auto"/>
              <w:right w:val="single" w:sz="6" w:space="0" w:color="auto"/>
            </w:tcBorders>
            <w:vAlign w:val="center"/>
            <w:hideMark/>
          </w:tcPr>
          <w:p w14:paraId="11DC638A" w14:textId="77777777" w:rsidR="00DE3FA0" w:rsidRPr="00F01347" w:rsidRDefault="00DE3FA0">
            <w:pPr>
              <w:rPr>
                <w:rFonts w:ascii="Verdana" w:hAnsi="Verdana" w:cs="Arial"/>
                <w:sz w:val="16"/>
                <w:szCs w:val="16"/>
                <w:lang w:val="en-US"/>
              </w:rPr>
            </w:pPr>
          </w:p>
        </w:tc>
        <w:tc>
          <w:tcPr>
            <w:tcW w:w="1562" w:type="dxa"/>
            <w:tcBorders>
              <w:top w:val="single" w:sz="6" w:space="0" w:color="auto"/>
              <w:left w:val="single" w:sz="6" w:space="0" w:color="auto"/>
              <w:bottom w:val="single" w:sz="6" w:space="0" w:color="auto"/>
              <w:right w:val="single" w:sz="6" w:space="0" w:color="auto"/>
            </w:tcBorders>
            <w:vAlign w:val="center"/>
            <w:hideMark/>
          </w:tcPr>
          <w:p w14:paraId="4EE35516" w14:textId="77777777" w:rsidR="00DE3FA0" w:rsidRPr="00F01347" w:rsidRDefault="00DE3FA0">
            <w:pPr>
              <w:pStyle w:val="texto0"/>
              <w:ind w:firstLine="0"/>
              <w:jc w:val="center"/>
              <w:rPr>
                <w:rFonts w:ascii="Verdana" w:hAnsi="Verdana"/>
                <w:sz w:val="16"/>
                <w:szCs w:val="16"/>
                <w:lang w:val="en-US"/>
              </w:rPr>
            </w:pPr>
            <w:r w:rsidRPr="00F01347">
              <w:rPr>
                <w:rFonts w:ascii="Verdana" w:hAnsi="Verdana"/>
                <w:sz w:val="16"/>
                <w:szCs w:val="16"/>
                <w:lang w:val="en-US"/>
              </w:rPr>
              <w:t>5.0</w:t>
            </w:r>
          </w:p>
        </w:tc>
      </w:tr>
    </w:tbl>
    <w:p w14:paraId="0836DA80" w14:textId="77777777" w:rsidR="00DE3FA0" w:rsidRPr="00F01347" w:rsidRDefault="00DE3FA0" w:rsidP="00DE3FA0">
      <w:pPr>
        <w:pStyle w:val="texto0"/>
        <w:spacing w:line="218"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E3FA0" w:rsidRPr="00F01347" w14:paraId="3C0CF4F8" w14:textId="32338609" w:rsidTr="00AD3EA1">
        <w:tc>
          <w:tcPr>
            <w:tcW w:w="4675" w:type="dxa"/>
          </w:tcPr>
          <w:p w14:paraId="376F1888" w14:textId="77777777" w:rsidR="00DE3FA0" w:rsidRPr="00F01347" w:rsidRDefault="00DE3FA0" w:rsidP="00DE3FA0">
            <w:pPr>
              <w:pStyle w:val="texto0"/>
              <w:spacing w:line="218" w:lineRule="exact"/>
              <w:ind w:firstLine="0"/>
              <w:rPr>
                <w:rFonts w:ascii="Verdana" w:hAnsi="Verdana"/>
                <w:sz w:val="16"/>
                <w:szCs w:val="16"/>
              </w:rPr>
            </w:pPr>
            <w:r w:rsidRPr="00F01347">
              <w:rPr>
                <w:rFonts w:ascii="Verdana" w:hAnsi="Verdana"/>
                <w:b/>
                <w:sz w:val="16"/>
                <w:szCs w:val="16"/>
              </w:rPr>
              <w:t xml:space="preserve">Solución estándar de dilución primaria del </w:t>
            </w:r>
            <w:proofErr w:type="spellStart"/>
            <w:r w:rsidRPr="00F01347">
              <w:rPr>
                <w:rFonts w:ascii="Verdana" w:hAnsi="Verdana"/>
                <w:b/>
                <w:color w:val="000000"/>
                <w:sz w:val="16"/>
                <w:szCs w:val="16"/>
              </w:rPr>
              <w:t>surrogado</w:t>
            </w:r>
            <w:proofErr w:type="spellEnd"/>
            <w:r w:rsidRPr="00F01347">
              <w:rPr>
                <w:rFonts w:ascii="Verdana" w:hAnsi="Verdana"/>
                <w:b/>
                <w:sz w:val="16"/>
                <w:szCs w:val="16"/>
              </w:rPr>
              <w:t xml:space="preserve"> (PDS SUR; 6.49 ng/µL).</w:t>
            </w:r>
            <w:r w:rsidRPr="00F01347">
              <w:rPr>
                <w:rFonts w:ascii="Verdana" w:hAnsi="Verdana"/>
                <w:sz w:val="16"/>
                <w:szCs w:val="16"/>
              </w:rPr>
              <w:t xml:space="preserve"> La PDS del SUR es preparada por dilución de 64.9 µg de material puro en 10 </w:t>
            </w:r>
            <w:proofErr w:type="spellStart"/>
            <w:r w:rsidRPr="00F01347">
              <w:rPr>
                <w:rFonts w:ascii="Verdana" w:hAnsi="Verdana"/>
                <w:sz w:val="16"/>
                <w:szCs w:val="16"/>
              </w:rPr>
              <w:t>mL</w:t>
            </w:r>
            <w:proofErr w:type="spellEnd"/>
            <w:r w:rsidRPr="00F01347">
              <w:rPr>
                <w:rFonts w:ascii="Verdana" w:hAnsi="Verdana"/>
                <w:sz w:val="16"/>
                <w:szCs w:val="16"/>
              </w:rPr>
              <w:t xml:space="preserve"> de metano. Esta solución se utiliza para fortificar todas las soluciones de control de calidad y las muestras de campo. Se ha demostrado que el PDS es estable durante al menos un mes cuando se almacena a -15°C o menos. Utilice 20 µL de este PDS SUR con </w:t>
            </w:r>
            <w:r w:rsidRPr="00F01347">
              <w:rPr>
                <w:rFonts w:ascii="Verdana" w:hAnsi="Verdana"/>
                <w:sz w:val="16"/>
                <w:szCs w:val="16"/>
              </w:rPr>
              <w:lastRenderedPageBreak/>
              <w:t xml:space="preserve">6.49 ng/µL para fortificar las soluciones acuosas de control de calidad de 500 </w:t>
            </w:r>
            <w:proofErr w:type="spellStart"/>
            <w:r w:rsidRPr="00F01347">
              <w:rPr>
                <w:rFonts w:ascii="Verdana" w:hAnsi="Verdana"/>
                <w:sz w:val="16"/>
                <w:szCs w:val="16"/>
              </w:rPr>
              <w:t>mL</w:t>
            </w:r>
            <w:proofErr w:type="spellEnd"/>
            <w:r w:rsidRPr="00F01347">
              <w:rPr>
                <w:rFonts w:ascii="Verdana" w:hAnsi="Verdana"/>
                <w:sz w:val="16"/>
                <w:szCs w:val="16"/>
              </w:rPr>
              <w:t xml:space="preserve"> y las muestras de campo antes de la extracción. Esto producirá una concentración de 259.6 ng/L del SUR en las soluciones acuosas de QC y en las muestras de campo. La concentración del SUR puede ajustarse para adaptarse a sensibilidad del equipo.</w:t>
            </w:r>
          </w:p>
        </w:tc>
        <w:tc>
          <w:tcPr>
            <w:tcW w:w="4675" w:type="dxa"/>
          </w:tcPr>
          <w:p w14:paraId="7DA9D9C3" w14:textId="6E96BF7F" w:rsidR="00DE3FA0" w:rsidRPr="00F01347" w:rsidRDefault="00DE3FA0" w:rsidP="00DE3FA0">
            <w:pPr>
              <w:pStyle w:val="texto0"/>
              <w:spacing w:line="218" w:lineRule="exact"/>
              <w:ind w:firstLine="0"/>
              <w:rPr>
                <w:rFonts w:ascii="Verdana" w:hAnsi="Verdana"/>
                <w:b/>
                <w:sz w:val="16"/>
                <w:szCs w:val="16"/>
                <w:lang w:val="en-US"/>
              </w:rPr>
            </w:pPr>
            <w:r w:rsidRPr="00F01347">
              <w:rPr>
                <w:rFonts w:ascii="Verdana" w:hAnsi="Verdana"/>
                <w:b/>
                <w:color w:val="000000"/>
                <w:sz w:val="16"/>
                <w:szCs w:val="16"/>
                <w:lang w:val="en-US"/>
              </w:rPr>
              <w:lastRenderedPageBreak/>
              <w:t xml:space="preserve">Surrogate </w:t>
            </w:r>
            <w:r w:rsidRPr="00F01347">
              <w:rPr>
                <w:rFonts w:ascii="Verdana" w:hAnsi="Verdana"/>
                <w:b/>
                <w:sz w:val="16"/>
                <w:szCs w:val="16"/>
                <w:lang w:val="en-US"/>
              </w:rPr>
              <w:t xml:space="preserve">primary dilution standard solution (PDS SUR; 6.49 ng/µL). </w:t>
            </w:r>
            <w:r w:rsidRPr="00F01347">
              <w:rPr>
                <w:rFonts w:ascii="Verdana" w:hAnsi="Verdana"/>
                <w:sz w:val="16"/>
                <w:szCs w:val="16"/>
                <w:lang w:val="en-US"/>
              </w:rPr>
              <w:t xml:space="preserve">The SUR PDS is prepared by diluting 64.9 µg of pure material in 10 mL of methane. This solution is used to fortify all quality control solutions and field samples. PDS has been shown to be stable for at least one month when stored at -15°C or below. Use 20 µL of this SUR PDS with 6.49 ng/µL to fortify 500 mL aqueous quality control solutions and </w:t>
            </w:r>
            <w:r w:rsidRPr="00F01347">
              <w:rPr>
                <w:rFonts w:ascii="Verdana" w:hAnsi="Verdana"/>
                <w:sz w:val="16"/>
                <w:szCs w:val="16"/>
                <w:lang w:val="en-US"/>
              </w:rPr>
              <w:lastRenderedPageBreak/>
              <w:t>field samples prior to extraction. This will produce a concentration of 259.6 ng/L of SUR in the QC aqueous solutions and in the field samples. The SUR concentration can be adjusted to suit equipment sensitivity.</w:t>
            </w:r>
          </w:p>
        </w:tc>
      </w:tr>
      <w:tr w:rsidR="00DE3FA0" w:rsidRPr="00F01347" w14:paraId="2AE98FD3" w14:textId="1939CD5B" w:rsidTr="00AD3EA1">
        <w:tc>
          <w:tcPr>
            <w:tcW w:w="4675" w:type="dxa"/>
          </w:tcPr>
          <w:p w14:paraId="581EA695" w14:textId="77777777" w:rsidR="00DE3FA0" w:rsidRPr="00F01347" w:rsidRDefault="00DE3FA0" w:rsidP="00DE3FA0">
            <w:pPr>
              <w:pStyle w:val="texto0"/>
              <w:spacing w:line="218" w:lineRule="exact"/>
              <w:ind w:firstLine="0"/>
              <w:rPr>
                <w:rFonts w:ascii="Verdana" w:hAnsi="Verdana"/>
                <w:color w:val="000000"/>
                <w:sz w:val="16"/>
                <w:szCs w:val="16"/>
              </w:rPr>
            </w:pPr>
            <w:r w:rsidRPr="00F01347">
              <w:rPr>
                <w:rFonts w:ascii="Verdana" w:hAnsi="Verdana"/>
                <w:b/>
                <w:color w:val="000000"/>
                <w:sz w:val="16"/>
                <w:szCs w:val="16"/>
              </w:rPr>
              <w:lastRenderedPageBreak/>
              <w:t>2-cloroacetamida.</w:t>
            </w:r>
            <w:r w:rsidRPr="00F01347">
              <w:rPr>
                <w:rFonts w:ascii="Verdana" w:hAnsi="Verdana"/>
                <w:color w:val="000000"/>
                <w:sz w:val="16"/>
                <w:szCs w:val="16"/>
              </w:rPr>
              <w:t xml:space="preserve"> (no. CAS 79-07-2) - Inhibe el crecimiento microbiano y la degradación del analito (Sigma-Aldrich # C0267 o equivalente). Reactivo para preservación de la muestra. Dado que es sólido a temperatura ambiente, puede añadirse a la botella para la muestra antes de salir a colectar la muestra al campo.</w:t>
            </w:r>
          </w:p>
        </w:tc>
        <w:tc>
          <w:tcPr>
            <w:tcW w:w="4675" w:type="dxa"/>
          </w:tcPr>
          <w:p w14:paraId="5987C844" w14:textId="283D6978" w:rsidR="00DE3FA0" w:rsidRPr="00F01347" w:rsidRDefault="00DE3FA0" w:rsidP="00DE3FA0">
            <w:pPr>
              <w:pStyle w:val="texto0"/>
              <w:spacing w:line="218"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2-chloroacetamide. </w:t>
            </w:r>
            <w:r w:rsidRPr="00F01347">
              <w:rPr>
                <w:rFonts w:ascii="Verdana" w:hAnsi="Verdana"/>
                <w:color w:val="000000"/>
                <w:sz w:val="16"/>
                <w:szCs w:val="16"/>
                <w:lang w:val="en-US"/>
              </w:rPr>
              <w:t>(CAS no. 79-07-2) - Inhibits microbial growth and analyte degradation (Sigma-Aldrich # C0267 or equivalent). Reagent for sample preservation. Since it is solid at room temperature, it can be added to the sample bottle before going out to collect the sample in the field.</w:t>
            </w:r>
          </w:p>
        </w:tc>
      </w:tr>
      <w:tr w:rsidR="00DE3FA0" w:rsidRPr="00F01347" w14:paraId="6498979E" w14:textId="69F7ED9B" w:rsidTr="00AD3EA1">
        <w:tc>
          <w:tcPr>
            <w:tcW w:w="4675" w:type="dxa"/>
          </w:tcPr>
          <w:p w14:paraId="5D3F687E" w14:textId="77777777" w:rsidR="00DE3FA0" w:rsidRPr="00F01347" w:rsidRDefault="00DE3FA0" w:rsidP="00DE3FA0">
            <w:pPr>
              <w:pStyle w:val="texto0"/>
              <w:spacing w:line="218" w:lineRule="exact"/>
              <w:ind w:firstLine="0"/>
              <w:rPr>
                <w:rFonts w:ascii="Verdana" w:hAnsi="Verdana"/>
                <w:b/>
                <w:sz w:val="16"/>
                <w:szCs w:val="16"/>
              </w:rPr>
            </w:pPr>
            <w:r w:rsidRPr="00F01347">
              <w:rPr>
                <w:rFonts w:ascii="Verdana" w:hAnsi="Verdana"/>
                <w:b/>
                <w:sz w:val="16"/>
                <w:szCs w:val="16"/>
              </w:rPr>
              <w:t>B.1.2.7 Procedimiento</w:t>
            </w:r>
          </w:p>
        </w:tc>
        <w:tc>
          <w:tcPr>
            <w:tcW w:w="4675" w:type="dxa"/>
          </w:tcPr>
          <w:p w14:paraId="676341C0" w14:textId="5703DDA9" w:rsidR="00DE3FA0" w:rsidRPr="00F01347" w:rsidRDefault="00DE3FA0" w:rsidP="00DE3FA0">
            <w:pPr>
              <w:pStyle w:val="texto0"/>
              <w:spacing w:line="218" w:lineRule="exact"/>
              <w:ind w:firstLine="0"/>
              <w:rPr>
                <w:rFonts w:ascii="Verdana" w:hAnsi="Verdana"/>
                <w:b/>
                <w:sz w:val="16"/>
                <w:szCs w:val="16"/>
                <w:lang w:val="en-US"/>
              </w:rPr>
            </w:pPr>
            <w:r w:rsidRPr="00F01347">
              <w:rPr>
                <w:rFonts w:ascii="Verdana" w:hAnsi="Verdana"/>
                <w:b/>
                <w:sz w:val="16"/>
                <w:szCs w:val="16"/>
                <w:lang w:val="en-US"/>
              </w:rPr>
              <w:t>B.1.2.7 Procedure</w:t>
            </w:r>
          </w:p>
        </w:tc>
      </w:tr>
      <w:tr w:rsidR="00DE3FA0" w:rsidRPr="00F01347" w14:paraId="31523CF4" w14:textId="5FAEF51A" w:rsidTr="00AD3EA1">
        <w:tc>
          <w:tcPr>
            <w:tcW w:w="4675" w:type="dxa"/>
          </w:tcPr>
          <w:p w14:paraId="4CFD6D2D" w14:textId="77777777" w:rsidR="00DE3FA0" w:rsidRPr="00F01347" w:rsidRDefault="00DE3FA0" w:rsidP="00DE3FA0">
            <w:pPr>
              <w:pStyle w:val="texto0"/>
              <w:spacing w:line="218" w:lineRule="exact"/>
              <w:ind w:firstLine="0"/>
              <w:rPr>
                <w:rFonts w:ascii="Verdana" w:hAnsi="Verdana"/>
                <w:b/>
                <w:sz w:val="16"/>
                <w:szCs w:val="16"/>
              </w:rPr>
            </w:pPr>
            <w:r w:rsidRPr="00F01347">
              <w:rPr>
                <w:rFonts w:ascii="Verdana" w:hAnsi="Verdana"/>
                <w:b/>
                <w:sz w:val="16"/>
                <w:szCs w:val="16"/>
              </w:rPr>
              <w:t>B.1.2.7.1 Recolección, conservación y almacenamiento de muestras</w:t>
            </w:r>
          </w:p>
        </w:tc>
        <w:tc>
          <w:tcPr>
            <w:tcW w:w="4675" w:type="dxa"/>
          </w:tcPr>
          <w:p w14:paraId="55FDCF32" w14:textId="70D86D30" w:rsidR="00DE3FA0" w:rsidRPr="00F01347" w:rsidRDefault="00DE3FA0" w:rsidP="00DE3FA0">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B.1.2.7.1 Sample collection, </w:t>
            </w:r>
            <w:r w:rsidR="00090E9C" w:rsidRPr="00F01347">
              <w:rPr>
                <w:rFonts w:ascii="Verdana" w:hAnsi="Verdana"/>
                <w:b/>
                <w:sz w:val="16"/>
                <w:szCs w:val="16"/>
                <w:lang w:val="en-US"/>
              </w:rPr>
              <w:t>preservation,</w:t>
            </w:r>
            <w:r w:rsidRPr="00F01347">
              <w:rPr>
                <w:rFonts w:ascii="Verdana" w:hAnsi="Verdana"/>
                <w:b/>
                <w:sz w:val="16"/>
                <w:szCs w:val="16"/>
                <w:lang w:val="en-US"/>
              </w:rPr>
              <w:t xml:space="preserve"> and storage</w:t>
            </w:r>
          </w:p>
        </w:tc>
      </w:tr>
      <w:tr w:rsidR="00DE3FA0" w:rsidRPr="00F01347" w14:paraId="01AC8C66" w14:textId="3AD85D61" w:rsidTr="00AD3EA1">
        <w:tc>
          <w:tcPr>
            <w:tcW w:w="4675" w:type="dxa"/>
          </w:tcPr>
          <w:p w14:paraId="3AF91BCE" w14:textId="77777777" w:rsidR="00DE3FA0" w:rsidRPr="00F01347" w:rsidRDefault="00DE3FA0" w:rsidP="00DE3FA0">
            <w:pPr>
              <w:pStyle w:val="texto0"/>
              <w:spacing w:line="218" w:lineRule="exact"/>
              <w:ind w:firstLine="0"/>
              <w:rPr>
                <w:rFonts w:ascii="Verdana" w:hAnsi="Verdana"/>
                <w:sz w:val="16"/>
                <w:szCs w:val="16"/>
              </w:rPr>
            </w:pPr>
            <w:r w:rsidRPr="00F01347">
              <w:rPr>
                <w:rFonts w:ascii="Verdana" w:hAnsi="Verdana"/>
                <w:sz w:val="16"/>
                <w:szCs w:val="16"/>
              </w:rPr>
              <w:t xml:space="preserve">Recolectar las muestras en botellas de 500 </w:t>
            </w:r>
            <w:proofErr w:type="spellStart"/>
            <w:r w:rsidRPr="00F01347">
              <w:rPr>
                <w:rFonts w:ascii="Verdana" w:hAnsi="Verdana"/>
                <w:sz w:val="16"/>
                <w:szCs w:val="16"/>
              </w:rPr>
              <w:t>mL</w:t>
            </w:r>
            <w:proofErr w:type="spellEnd"/>
            <w:r w:rsidRPr="00F01347">
              <w:rPr>
                <w:rFonts w:ascii="Verdana" w:hAnsi="Verdana"/>
                <w:sz w:val="16"/>
                <w:szCs w:val="16"/>
              </w:rPr>
              <w:t xml:space="preserve"> de vidrio color ámbar con tapones de rosca con revestimiento de teflón. No utilice botellas para muestras mayores a 500 </w:t>
            </w:r>
            <w:proofErr w:type="spellStart"/>
            <w:r w:rsidRPr="00F01347">
              <w:rPr>
                <w:rFonts w:ascii="Verdana" w:hAnsi="Verdana"/>
                <w:sz w:val="16"/>
                <w:szCs w:val="16"/>
              </w:rPr>
              <w:t>mL</w:t>
            </w:r>
            <w:proofErr w:type="spellEnd"/>
            <w:r w:rsidRPr="00F01347">
              <w:rPr>
                <w:rFonts w:ascii="Verdana" w:hAnsi="Verdana"/>
                <w:sz w:val="16"/>
                <w:szCs w:val="16"/>
              </w:rPr>
              <w:t xml:space="preserve"> (dado que los pasos de enjuague no son óptimos para tamaños grandes de botella). Tamaños de muestra más pequeños pueden utilizarse ya que el MRL puede ser resuelto, sin embargo, no deben de ser menores a 100 </w:t>
            </w:r>
            <w:proofErr w:type="spellStart"/>
            <w:r w:rsidRPr="00F01347">
              <w:rPr>
                <w:rFonts w:ascii="Verdana" w:hAnsi="Verdana"/>
                <w:sz w:val="16"/>
                <w:szCs w:val="16"/>
              </w:rPr>
              <w:t>mL</w:t>
            </w:r>
            <w:proofErr w:type="spellEnd"/>
            <w:r w:rsidRPr="00F01347">
              <w:rPr>
                <w:rFonts w:ascii="Verdana" w:hAnsi="Verdana"/>
                <w:sz w:val="16"/>
                <w:szCs w:val="16"/>
              </w:rPr>
              <w:t xml:space="preserve">. Todo el volumen completo de la muestra en la botella debe ser utilizado (por ejemplo, una alícuota de 100 </w:t>
            </w:r>
            <w:proofErr w:type="spellStart"/>
            <w:r w:rsidRPr="00F01347">
              <w:rPr>
                <w:rFonts w:ascii="Verdana" w:hAnsi="Verdana"/>
                <w:sz w:val="16"/>
                <w:szCs w:val="16"/>
              </w:rPr>
              <w:t>mL</w:t>
            </w:r>
            <w:proofErr w:type="spellEnd"/>
            <w:r w:rsidRPr="00F01347">
              <w:rPr>
                <w:rFonts w:ascii="Verdana" w:hAnsi="Verdana"/>
                <w:sz w:val="16"/>
                <w:szCs w:val="16"/>
              </w:rPr>
              <w:t xml:space="preserve"> no debe tomarse de una botella de 500 </w:t>
            </w:r>
            <w:proofErr w:type="spellStart"/>
            <w:r w:rsidRPr="00F01347">
              <w:rPr>
                <w:rFonts w:ascii="Verdana" w:hAnsi="Verdana"/>
                <w:sz w:val="16"/>
                <w:szCs w:val="16"/>
              </w:rPr>
              <w:t>mL</w:t>
            </w:r>
            <w:proofErr w:type="spellEnd"/>
            <w:r w:rsidRPr="00F01347">
              <w:rPr>
                <w:rFonts w:ascii="Verdana" w:hAnsi="Verdana"/>
                <w:sz w:val="16"/>
                <w:szCs w:val="16"/>
              </w:rPr>
              <w:t xml:space="preserve"> porque por que la botella de la muestra debe ser enjuagada).</w:t>
            </w:r>
          </w:p>
        </w:tc>
        <w:tc>
          <w:tcPr>
            <w:tcW w:w="4675" w:type="dxa"/>
          </w:tcPr>
          <w:p w14:paraId="198313BA" w14:textId="1A3214CB" w:rsidR="00DE3FA0" w:rsidRPr="00F01347" w:rsidRDefault="00DE3FA0" w:rsidP="00DE3FA0">
            <w:pPr>
              <w:pStyle w:val="texto0"/>
              <w:spacing w:line="218" w:lineRule="exact"/>
              <w:ind w:firstLine="0"/>
              <w:rPr>
                <w:rFonts w:ascii="Verdana" w:hAnsi="Verdana"/>
                <w:sz w:val="16"/>
                <w:szCs w:val="16"/>
                <w:lang w:val="en-US"/>
              </w:rPr>
            </w:pPr>
            <w:r w:rsidRPr="00F01347">
              <w:rPr>
                <w:rFonts w:ascii="Verdana" w:hAnsi="Verdana"/>
                <w:sz w:val="16"/>
                <w:szCs w:val="16"/>
                <w:lang w:val="en-US"/>
              </w:rPr>
              <w:t xml:space="preserve">Collect samples in 500 mL amber glass bottles with Teflon-lined screw caps. Do not use bottles for samples larger than 500 mL (since the rinsing steps are not optimal for large bottle sizes). Smaller sample sizes can be used as the MRL </w:t>
            </w:r>
            <w:proofErr w:type="gramStart"/>
            <w:r w:rsidRPr="00F01347">
              <w:rPr>
                <w:rFonts w:ascii="Verdana" w:hAnsi="Verdana"/>
                <w:sz w:val="16"/>
                <w:szCs w:val="16"/>
                <w:lang w:val="en-US"/>
              </w:rPr>
              <w:t>can be resolved,</w:t>
            </w:r>
            <w:proofErr w:type="gramEnd"/>
            <w:r w:rsidRPr="00F01347">
              <w:rPr>
                <w:rFonts w:ascii="Verdana" w:hAnsi="Verdana"/>
                <w:sz w:val="16"/>
                <w:szCs w:val="16"/>
                <w:lang w:val="en-US"/>
              </w:rPr>
              <w:t xml:space="preserve"> however, they should not be less than 100 mL</w:t>
            </w:r>
            <w:r w:rsidR="003E1BA9" w:rsidRPr="00F01347">
              <w:rPr>
                <w:rFonts w:ascii="Verdana" w:hAnsi="Verdana"/>
                <w:sz w:val="16"/>
                <w:szCs w:val="16"/>
                <w:lang w:val="en-US"/>
              </w:rPr>
              <w:t>.</w:t>
            </w:r>
            <w:r w:rsidRPr="00F01347">
              <w:rPr>
                <w:rFonts w:ascii="Verdana" w:hAnsi="Verdana"/>
                <w:sz w:val="16"/>
                <w:szCs w:val="16"/>
                <w:lang w:val="en-US"/>
              </w:rPr>
              <w:t xml:space="preserve"> The entire volume of sample in the bottle must be used (for example, a 100 mL aliquot should not be taken from a 500 mL bottle because the sample bottle must be rinsed).</w:t>
            </w:r>
          </w:p>
        </w:tc>
      </w:tr>
      <w:tr w:rsidR="00DE3FA0" w:rsidRPr="00F01347" w14:paraId="44DCDBD2" w14:textId="64C6E617" w:rsidTr="00AD3EA1">
        <w:tc>
          <w:tcPr>
            <w:tcW w:w="4675" w:type="dxa"/>
          </w:tcPr>
          <w:p w14:paraId="5392E15F" w14:textId="77777777" w:rsidR="00DE3FA0" w:rsidRPr="00F01347" w:rsidRDefault="00DE3FA0" w:rsidP="00DE3FA0">
            <w:pPr>
              <w:pStyle w:val="texto0"/>
              <w:spacing w:line="218" w:lineRule="exact"/>
              <w:ind w:firstLine="0"/>
              <w:rPr>
                <w:rFonts w:ascii="Verdana" w:hAnsi="Verdana"/>
                <w:sz w:val="16"/>
                <w:szCs w:val="16"/>
              </w:rPr>
            </w:pPr>
            <w:r w:rsidRPr="00F01347">
              <w:rPr>
                <w:rFonts w:ascii="Verdana" w:hAnsi="Verdana"/>
                <w:sz w:val="16"/>
                <w:szCs w:val="16"/>
              </w:rPr>
              <w:t>Los siguientes reactivos para la conservación de la muestra, listados en la Tabla B.1.2-3, de este Apéndice, son añadidos a cada botella de muestra como un sólido antes de su envío al campo o antes de la colecta de la muestra.</w:t>
            </w:r>
          </w:p>
        </w:tc>
        <w:tc>
          <w:tcPr>
            <w:tcW w:w="4675" w:type="dxa"/>
          </w:tcPr>
          <w:p w14:paraId="3D75EC2E" w14:textId="4FEC89E8" w:rsidR="00DE3FA0" w:rsidRPr="00F01347" w:rsidRDefault="00DE3FA0" w:rsidP="00DE3FA0">
            <w:pPr>
              <w:pStyle w:val="texto0"/>
              <w:spacing w:line="218" w:lineRule="exact"/>
              <w:ind w:firstLine="0"/>
              <w:rPr>
                <w:rFonts w:ascii="Verdana" w:hAnsi="Verdana"/>
                <w:sz w:val="16"/>
                <w:szCs w:val="16"/>
                <w:lang w:val="en-US"/>
              </w:rPr>
            </w:pPr>
            <w:r w:rsidRPr="00F01347">
              <w:rPr>
                <w:rFonts w:ascii="Verdana" w:hAnsi="Verdana"/>
                <w:sz w:val="16"/>
                <w:szCs w:val="16"/>
                <w:lang w:val="en-US"/>
              </w:rPr>
              <w:t>The following sample preservation reagents, listed in Table B.1.2-3, of this Appendix, are added to each sample bottle as a solid before shipment to the field or before sample collection.</w:t>
            </w:r>
          </w:p>
        </w:tc>
      </w:tr>
    </w:tbl>
    <w:p w14:paraId="2D93EAC7" w14:textId="77777777" w:rsidR="00204B58" w:rsidRPr="00F01347" w:rsidRDefault="00204B58" w:rsidP="003A601B">
      <w:pPr>
        <w:pStyle w:val="texto0"/>
        <w:spacing w:line="218" w:lineRule="exact"/>
        <w:rPr>
          <w:rFonts w:ascii="Verdana" w:hAnsi="Verdana"/>
          <w:sz w:val="16"/>
          <w:szCs w:val="16"/>
          <w:lang w:val="en-US"/>
        </w:rPr>
      </w:pPr>
    </w:p>
    <w:p w14:paraId="53040DEC"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b/>
          <w:sz w:val="16"/>
          <w:szCs w:val="16"/>
        </w:rPr>
        <w:t xml:space="preserve">Tabla B.1.2-3. </w:t>
      </w:r>
      <w:r w:rsidRPr="00F01347">
        <w:rPr>
          <w:rFonts w:ascii="Verdana" w:hAnsi="Verdana"/>
          <w:sz w:val="16"/>
          <w:szCs w:val="16"/>
        </w:rPr>
        <w:t>Reactivos para conservación de la muestra</w:t>
      </w:r>
    </w:p>
    <w:tbl>
      <w:tblPr>
        <w:tblW w:w="8712" w:type="dxa"/>
        <w:tblInd w:w="144" w:type="dxa"/>
        <w:tblLayout w:type="fixed"/>
        <w:tblCellMar>
          <w:left w:w="72" w:type="dxa"/>
          <w:right w:w="72" w:type="dxa"/>
        </w:tblCellMar>
        <w:tblLook w:val="0000" w:firstRow="0" w:lastRow="0" w:firstColumn="0" w:lastColumn="0" w:noHBand="0" w:noVBand="0"/>
      </w:tblPr>
      <w:tblGrid>
        <w:gridCol w:w="2874"/>
        <w:gridCol w:w="1379"/>
        <w:gridCol w:w="4459"/>
      </w:tblGrid>
      <w:tr w:rsidR="00A74CDF" w:rsidRPr="00F01347" w14:paraId="091E92A5" w14:textId="77777777">
        <w:trPr>
          <w:trHeight w:val="20"/>
        </w:trPr>
        <w:tc>
          <w:tcPr>
            <w:tcW w:w="2874" w:type="dxa"/>
            <w:tcBorders>
              <w:top w:val="single" w:sz="6" w:space="0" w:color="auto"/>
              <w:left w:val="single" w:sz="6" w:space="0" w:color="auto"/>
              <w:bottom w:val="single" w:sz="6" w:space="0" w:color="auto"/>
              <w:right w:val="single" w:sz="6" w:space="0" w:color="auto"/>
            </w:tcBorders>
            <w:noWrap/>
          </w:tcPr>
          <w:p w14:paraId="5D96F511" w14:textId="77777777" w:rsidR="00A74CDF" w:rsidRPr="00F01347" w:rsidRDefault="00A74CDF" w:rsidP="003A601B">
            <w:pPr>
              <w:pStyle w:val="texto0"/>
              <w:spacing w:line="218" w:lineRule="exact"/>
              <w:ind w:firstLine="0"/>
              <w:jc w:val="center"/>
              <w:rPr>
                <w:rFonts w:ascii="Verdana" w:hAnsi="Verdana"/>
                <w:b/>
                <w:sz w:val="16"/>
                <w:szCs w:val="16"/>
              </w:rPr>
            </w:pPr>
            <w:r w:rsidRPr="00F01347">
              <w:rPr>
                <w:rFonts w:ascii="Verdana" w:hAnsi="Verdana"/>
                <w:b/>
                <w:sz w:val="16"/>
                <w:szCs w:val="16"/>
              </w:rPr>
              <w:t>Compuesto</w:t>
            </w:r>
          </w:p>
        </w:tc>
        <w:tc>
          <w:tcPr>
            <w:tcW w:w="1379" w:type="dxa"/>
            <w:tcBorders>
              <w:top w:val="single" w:sz="6" w:space="0" w:color="auto"/>
              <w:left w:val="single" w:sz="6" w:space="0" w:color="auto"/>
              <w:bottom w:val="single" w:sz="6" w:space="0" w:color="auto"/>
              <w:right w:val="single" w:sz="6" w:space="0" w:color="auto"/>
            </w:tcBorders>
          </w:tcPr>
          <w:p w14:paraId="03448152" w14:textId="77777777" w:rsidR="00A74CDF" w:rsidRPr="00F01347" w:rsidRDefault="00A74CDF" w:rsidP="003A601B">
            <w:pPr>
              <w:pStyle w:val="texto0"/>
              <w:spacing w:line="218" w:lineRule="exact"/>
              <w:ind w:firstLine="0"/>
              <w:jc w:val="center"/>
              <w:rPr>
                <w:rFonts w:ascii="Verdana" w:hAnsi="Verdana"/>
                <w:b/>
                <w:sz w:val="16"/>
                <w:szCs w:val="16"/>
              </w:rPr>
            </w:pPr>
            <w:r w:rsidRPr="00F01347">
              <w:rPr>
                <w:rFonts w:ascii="Verdana" w:hAnsi="Verdana"/>
                <w:b/>
                <w:sz w:val="16"/>
                <w:szCs w:val="16"/>
              </w:rPr>
              <w:t>Cantidad</w:t>
            </w:r>
          </w:p>
        </w:tc>
        <w:tc>
          <w:tcPr>
            <w:tcW w:w="4459" w:type="dxa"/>
            <w:tcBorders>
              <w:top w:val="single" w:sz="6" w:space="0" w:color="auto"/>
              <w:left w:val="single" w:sz="6" w:space="0" w:color="auto"/>
              <w:bottom w:val="single" w:sz="6" w:space="0" w:color="auto"/>
              <w:right w:val="single" w:sz="6" w:space="0" w:color="auto"/>
            </w:tcBorders>
          </w:tcPr>
          <w:p w14:paraId="7621C8BB" w14:textId="77777777" w:rsidR="00A74CDF" w:rsidRPr="00F01347" w:rsidRDefault="00A74CDF" w:rsidP="003A601B">
            <w:pPr>
              <w:pStyle w:val="texto0"/>
              <w:spacing w:line="218" w:lineRule="exact"/>
              <w:ind w:firstLine="0"/>
              <w:jc w:val="center"/>
              <w:rPr>
                <w:rFonts w:ascii="Verdana" w:hAnsi="Verdana"/>
                <w:b/>
                <w:sz w:val="16"/>
                <w:szCs w:val="16"/>
              </w:rPr>
            </w:pPr>
            <w:r w:rsidRPr="00F01347">
              <w:rPr>
                <w:rFonts w:ascii="Verdana" w:hAnsi="Verdana"/>
                <w:b/>
                <w:sz w:val="16"/>
                <w:szCs w:val="16"/>
              </w:rPr>
              <w:t>Propósito</w:t>
            </w:r>
          </w:p>
        </w:tc>
      </w:tr>
      <w:tr w:rsidR="00A74CDF" w:rsidRPr="00F01347" w14:paraId="7F920C0A" w14:textId="77777777">
        <w:trPr>
          <w:trHeight w:val="20"/>
        </w:trPr>
        <w:tc>
          <w:tcPr>
            <w:tcW w:w="2874" w:type="dxa"/>
            <w:tcBorders>
              <w:top w:val="single" w:sz="6" w:space="0" w:color="auto"/>
              <w:left w:val="single" w:sz="6" w:space="0" w:color="auto"/>
              <w:bottom w:val="single" w:sz="6" w:space="0" w:color="auto"/>
              <w:right w:val="single" w:sz="6" w:space="0" w:color="auto"/>
            </w:tcBorders>
          </w:tcPr>
          <w:p w14:paraId="74EC6CED" w14:textId="77777777" w:rsidR="00A74CDF" w:rsidRPr="00F01347" w:rsidRDefault="00A74CDF" w:rsidP="003A601B">
            <w:pPr>
              <w:pStyle w:val="texto0"/>
              <w:spacing w:line="218" w:lineRule="exact"/>
              <w:ind w:firstLine="0"/>
              <w:rPr>
                <w:rFonts w:ascii="Verdana" w:hAnsi="Verdana"/>
                <w:sz w:val="16"/>
                <w:szCs w:val="16"/>
              </w:rPr>
            </w:pPr>
            <w:proofErr w:type="spellStart"/>
            <w:r w:rsidRPr="00F01347">
              <w:rPr>
                <w:rFonts w:ascii="Verdana" w:hAnsi="Verdana"/>
                <w:sz w:val="16"/>
                <w:szCs w:val="16"/>
              </w:rPr>
              <w:t>Trizma</w:t>
            </w:r>
            <w:proofErr w:type="spellEnd"/>
          </w:p>
        </w:tc>
        <w:tc>
          <w:tcPr>
            <w:tcW w:w="1379" w:type="dxa"/>
            <w:tcBorders>
              <w:top w:val="single" w:sz="6" w:space="0" w:color="auto"/>
              <w:left w:val="single" w:sz="6" w:space="0" w:color="auto"/>
              <w:bottom w:val="single" w:sz="6" w:space="0" w:color="auto"/>
              <w:right w:val="single" w:sz="6" w:space="0" w:color="auto"/>
            </w:tcBorders>
          </w:tcPr>
          <w:p w14:paraId="2D1BA7A6"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7.75 g/L</w:t>
            </w:r>
          </w:p>
        </w:tc>
        <w:tc>
          <w:tcPr>
            <w:tcW w:w="4459" w:type="dxa"/>
            <w:tcBorders>
              <w:top w:val="single" w:sz="6" w:space="0" w:color="auto"/>
              <w:left w:val="single" w:sz="6" w:space="0" w:color="auto"/>
              <w:bottom w:val="single" w:sz="6" w:space="0" w:color="auto"/>
              <w:right w:val="single" w:sz="6" w:space="0" w:color="auto"/>
            </w:tcBorders>
          </w:tcPr>
          <w:p w14:paraId="18FB6658"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Reactivo amortiguador</w:t>
            </w:r>
          </w:p>
        </w:tc>
      </w:tr>
      <w:tr w:rsidR="00A74CDF" w:rsidRPr="00F01347" w14:paraId="35305CA7" w14:textId="77777777">
        <w:trPr>
          <w:trHeight w:val="20"/>
        </w:trPr>
        <w:tc>
          <w:tcPr>
            <w:tcW w:w="2874" w:type="dxa"/>
            <w:tcBorders>
              <w:top w:val="single" w:sz="6" w:space="0" w:color="auto"/>
              <w:left w:val="single" w:sz="6" w:space="0" w:color="auto"/>
              <w:bottom w:val="single" w:sz="6" w:space="0" w:color="auto"/>
              <w:right w:val="single" w:sz="6" w:space="0" w:color="auto"/>
            </w:tcBorders>
          </w:tcPr>
          <w:p w14:paraId="20E4E62D" w14:textId="77777777" w:rsidR="00A74CDF" w:rsidRPr="00F01347" w:rsidRDefault="00A74CDF" w:rsidP="003A601B">
            <w:pPr>
              <w:pStyle w:val="texto0"/>
              <w:spacing w:line="218" w:lineRule="exact"/>
              <w:ind w:firstLine="0"/>
              <w:rPr>
                <w:rFonts w:ascii="Verdana" w:hAnsi="Verdana"/>
                <w:sz w:val="16"/>
                <w:szCs w:val="16"/>
              </w:rPr>
            </w:pPr>
            <w:r w:rsidRPr="00F01347">
              <w:rPr>
                <w:rFonts w:ascii="Verdana" w:hAnsi="Verdana"/>
                <w:sz w:val="16"/>
                <w:szCs w:val="16"/>
              </w:rPr>
              <w:t>2-Cloroacetamida</w:t>
            </w:r>
          </w:p>
        </w:tc>
        <w:tc>
          <w:tcPr>
            <w:tcW w:w="1379" w:type="dxa"/>
            <w:tcBorders>
              <w:top w:val="single" w:sz="6" w:space="0" w:color="auto"/>
              <w:left w:val="single" w:sz="6" w:space="0" w:color="auto"/>
              <w:bottom w:val="single" w:sz="6" w:space="0" w:color="auto"/>
              <w:right w:val="single" w:sz="6" w:space="0" w:color="auto"/>
            </w:tcBorders>
          </w:tcPr>
          <w:p w14:paraId="085F20A5"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2 g/L</w:t>
            </w:r>
          </w:p>
        </w:tc>
        <w:tc>
          <w:tcPr>
            <w:tcW w:w="4459" w:type="dxa"/>
            <w:tcBorders>
              <w:top w:val="single" w:sz="6" w:space="0" w:color="auto"/>
              <w:left w:val="single" w:sz="6" w:space="0" w:color="auto"/>
              <w:bottom w:val="single" w:sz="6" w:space="0" w:color="auto"/>
              <w:right w:val="single" w:sz="6" w:space="0" w:color="auto"/>
            </w:tcBorders>
          </w:tcPr>
          <w:p w14:paraId="44741AAE"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antimicrobiano</w:t>
            </w:r>
          </w:p>
        </w:tc>
      </w:tr>
      <w:tr w:rsidR="00A74CDF" w:rsidRPr="00F01347" w14:paraId="4F153781" w14:textId="77777777">
        <w:trPr>
          <w:trHeight w:val="20"/>
        </w:trPr>
        <w:tc>
          <w:tcPr>
            <w:tcW w:w="2874" w:type="dxa"/>
            <w:tcBorders>
              <w:top w:val="single" w:sz="6" w:space="0" w:color="auto"/>
              <w:left w:val="single" w:sz="6" w:space="0" w:color="auto"/>
              <w:bottom w:val="single" w:sz="6" w:space="0" w:color="auto"/>
              <w:right w:val="single" w:sz="6" w:space="0" w:color="auto"/>
            </w:tcBorders>
          </w:tcPr>
          <w:p w14:paraId="1B5F4B89" w14:textId="77777777" w:rsidR="00A74CDF" w:rsidRPr="00F01347" w:rsidRDefault="00A74CDF" w:rsidP="003A601B">
            <w:pPr>
              <w:pStyle w:val="texto0"/>
              <w:spacing w:line="218" w:lineRule="exact"/>
              <w:ind w:firstLine="0"/>
              <w:rPr>
                <w:rFonts w:ascii="Verdana" w:hAnsi="Verdana"/>
                <w:sz w:val="16"/>
                <w:szCs w:val="16"/>
              </w:rPr>
            </w:pPr>
            <w:r w:rsidRPr="00F01347">
              <w:rPr>
                <w:rFonts w:ascii="Verdana" w:hAnsi="Verdana"/>
                <w:sz w:val="16"/>
                <w:szCs w:val="16"/>
              </w:rPr>
              <w:t>Ácido ascórbico</w:t>
            </w:r>
          </w:p>
        </w:tc>
        <w:tc>
          <w:tcPr>
            <w:tcW w:w="1379" w:type="dxa"/>
            <w:tcBorders>
              <w:top w:val="single" w:sz="6" w:space="0" w:color="auto"/>
              <w:left w:val="single" w:sz="6" w:space="0" w:color="auto"/>
              <w:bottom w:val="single" w:sz="6" w:space="0" w:color="auto"/>
              <w:right w:val="single" w:sz="6" w:space="0" w:color="auto"/>
            </w:tcBorders>
          </w:tcPr>
          <w:p w14:paraId="31E18A95"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100 mg/L</w:t>
            </w:r>
          </w:p>
        </w:tc>
        <w:tc>
          <w:tcPr>
            <w:tcW w:w="4459" w:type="dxa"/>
            <w:tcBorders>
              <w:top w:val="single" w:sz="6" w:space="0" w:color="auto"/>
              <w:left w:val="single" w:sz="6" w:space="0" w:color="auto"/>
              <w:bottom w:val="single" w:sz="6" w:space="0" w:color="auto"/>
              <w:right w:val="single" w:sz="6" w:space="0" w:color="auto"/>
            </w:tcBorders>
          </w:tcPr>
          <w:p w14:paraId="348E385E"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agente para la eliminación de cloro</w:t>
            </w:r>
          </w:p>
        </w:tc>
      </w:tr>
      <w:tr w:rsidR="00A74CDF" w:rsidRPr="00F01347" w14:paraId="4494A9F1" w14:textId="77777777">
        <w:trPr>
          <w:trHeight w:val="20"/>
        </w:trPr>
        <w:tc>
          <w:tcPr>
            <w:tcW w:w="2874" w:type="dxa"/>
            <w:tcBorders>
              <w:top w:val="single" w:sz="6" w:space="0" w:color="auto"/>
              <w:left w:val="single" w:sz="6" w:space="0" w:color="auto"/>
              <w:bottom w:val="single" w:sz="6" w:space="0" w:color="auto"/>
              <w:right w:val="single" w:sz="6" w:space="0" w:color="auto"/>
            </w:tcBorders>
          </w:tcPr>
          <w:p w14:paraId="7BFF2308" w14:textId="77777777" w:rsidR="00A74CDF" w:rsidRPr="00F01347" w:rsidRDefault="00A74CDF" w:rsidP="006A0481">
            <w:pPr>
              <w:pStyle w:val="texto0"/>
              <w:spacing w:line="218" w:lineRule="exact"/>
              <w:ind w:firstLine="0"/>
              <w:rPr>
                <w:rFonts w:ascii="Verdana" w:hAnsi="Verdana"/>
                <w:sz w:val="16"/>
                <w:szCs w:val="16"/>
              </w:rPr>
            </w:pPr>
            <w:r w:rsidRPr="00F01347">
              <w:rPr>
                <w:rFonts w:ascii="Verdana" w:hAnsi="Verdana"/>
                <w:sz w:val="16"/>
                <w:szCs w:val="16"/>
              </w:rPr>
              <w:t xml:space="preserve">Ácido </w:t>
            </w:r>
            <w:proofErr w:type="spellStart"/>
            <w:r w:rsidRPr="00F01347">
              <w:rPr>
                <w:rFonts w:ascii="Verdana" w:hAnsi="Verdana"/>
                <w:sz w:val="16"/>
                <w:szCs w:val="16"/>
              </w:rPr>
              <w:t>ethilendiaminotetraac</w:t>
            </w:r>
            <w:r w:rsidR="006A0481" w:rsidRPr="00F01347">
              <w:rPr>
                <w:rFonts w:ascii="Verdana" w:hAnsi="Verdana"/>
                <w:sz w:val="16"/>
                <w:szCs w:val="16"/>
              </w:rPr>
              <w:t>é</w:t>
            </w:r>
            <w:r w:rsidRPr="00F01347">
              <w:rPr>
                <w:rFonts w:ascii="Verdana" w:hAnsi="Verdana"/>
                <w:sz w:val="16"/>
                <w:szCs w:val="16"/>
              </w:rPr>
              <w:t>tico</w:t>
            </w:r>
            <w:proofErr w:type="spellEnd"/>
            <w:r w:rsidRPr="00F01347">
              <w:rPr>
                <w:rFonts w:ascii="Verdana" w:hAnsi="Verdana"/>
                <w:sz w:val="16"/>
                <w:szCs w:val="16"/>
              </w:rPr>
              <w:t xml:space="preserve">, sal trisódica </w:t>
            </w:r>
          </w:p>
        </w:tc>
        <w:tc>
          <w:tcPr>
            <w:tcW w:w="1379" w:type="dxa"/>
            <w:tcBorders>
              <w:top w:val="single" w:sz="6" w:space="0" w:color="auto"/>
              <w:left w:val="single" w:sz="6" w:space="0" w:color="auto"/>
              <w:bottom w:val="single" w:sz="6" w:space="0" w:color="auto"/>
              <w:right w:val="single" w:sz="6" w:space="0" w:color="auto"/>
            </w:tcBorders>
          </w:tcPr>
          <w:p w14:paraId="05EFDB94"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0.35 g/L</w:t>
            </w:r>
          </w:p>
        </w:tc>
        <w:tc>
          <w:tcPr>
            <w:tcW w:w="4459" w:type="dxa"/>
            <w:tcBorders>
              <w:top w:val="single" w:sz="6" w:space="0" w:color="auto"/>
              <w:left w:val="single" w:sz="6" w:space="0" w:color="auto"/>
              <w:bottom w:val="single" w:sz="6" w:space="0" w:color="auto"/>
              <w:right w:val="single" w:sz="6" w:space="0" w:color="auto"/>
            </w:tcBorders>
          </w:tcPr>
          <w:p w14:paraId="5DC75F02"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inhibe la unión de los analitos blanco a metales</w:t>
            </w:r>
          </w:p>
        </w:tc>
      </w:tr>
    </w:tbl>
    <w:p w14:paraId="164850B4" w14:textId="77777777" w:rsidR="00A74CDF" w:rsidRPr="00F01347" w:rsidRDefault="00A74CDF" w:rsidP="003A601B">
      <w:pPr>
        <w:pStyle w:val="texto0"/>
        <w:spacing w:line="218" w:lineRule="exact"/>
        <w:rPr>
          <w:rFonts w:ascii="Verdana" w:hAnsi="Verdana"/>
          <w:sz w:val="16"/>
          <w:szCs w:val="16"/>
        </w:rPr>
      </w:pPr>
    </w:p>
    <w:p w14:paraId="49F80887" w14:textId="77777777" w:rsidR="004E4F94" w:rsidRPr="00F01347" w:rsidRDefault="004E4F94" w:rsidP="004E4F94">
      <w:pPr>
        <w:pStyle w:val="texto0"/>
        <w:spacing w:line="218" w:lineRule="exact"/>
        <w:ind w:firstLine="0"/>
        <w:jc w:val="center"/>
        <w:rPr>
          <w:rFonts w:ascii="Verdana" w:hAnsi="Verdana"/>
          <w:sz w:val="16"/>
          <w:szCs w:val="16"/>
          <w:lang w:val="en"/>
        </w:rPr>
      </w:pPr>
      <w:r w:rsidRPr="00F01347">
        <w:rPr>
          <w:rFonts w:ascii="Verdana" w:hAnsi="Verdana"/>
          <w:b/>
          <w:sz w:val="16"/>
          <w:szCs w:val="16"/>
          <w:lang w:val="en-US"/>
        </w:rPr>
        <w:t xml:space="preserve">Table B.1.2-3. </w:t>
      </w:r>
      <w:r w:rsidRPr="00F01347">
        <w:rPr>
          <w:rFonts w:ascii="Verdana" w:hAnsi="Verdana"/>
          <w:sz w:val="16"/>
          <w:szCs w:val="16"/>
          <w:lang w:val="en-US"/>
        </w:rPr>
        <w:t>Reagents for sample conservation</w:t>
      </w:r>
    </w:p>
    <w:tbl>
      <w:tblPr>
        <w:tblW w:w="8715" w:type="dxa"/>
        <w:tblInd w:w="144" w:type="dxa"/>
        <w:tblLayout w:type="fixed"/>
        <w:tblCellMar>
          <w:left w:w="72" w:type="dxa"/>
          <w:right w:w="72" w:type="dxa"/>
        </w:tblCellMar>
        <w:tblLook w:val="04A0" w:firstRow="1" w:lastRow="0" w:firstColumn="1" w:lastColumn="0" w:noHBand="0" w:noVBand="1"/>
      </w:tblPr>
      <w:tblGrid>
        <w:gridCol w:w="2875"/>
        <w:gridCol w:w="1379"/>
        <w:gridCol w:w="4461"/>
      </w:tblGrid>
      <w:tr w:rsidR="004E4F94" w:rsidRPr="00F01347" w14:paraId="7AE32FE7" w14:textId="77777777" w:rsidTr="004E4F94">
        <w:trPr>
          <w:trHeight w:val="20"/>
        </w:trPr>
        <w:tc>
          <w:tcPr>
            <w:tcW w:w="2874" w:type="dxa"/>
            <w:tcBorders>
              <w:top w:val="single" w:sz="6" w:space="0" w:color="auto"/>
              <w:left w:val="single" w:sz="6" w:space="0" w:color="auto"/>
              <w:bottom w:val="single" w:sz="6" w:space="0" w:color="auto"/>
              <w:right w:val="single" w:sz="6" w:space="0" w:color="auto"/>
            </w:tcBorders>
            <w:noWrap/>
            <w:hideMark/>
          </w:tcPr>
          <w:p w14:paraId="4B6C0A25" w14:textId="77777777" w:rsidR="004E4F94" w:rsidRPr="00F01347" w:rsidRDefault="004E4F94">
            <w:pPr>
              <w:pStyle w:val="texto0"/>
              <w:spacing w:line="218" w:lineRule="exact"/>
              <w:ind w:firstLine="0"/>
              <w:jc w:val="center"/>
              <w:rPr>
                <w:rFonts w:ascii="Verdana" w:hAnsi="Verdana"/>
                <w:b/>
                <w:sz w:val="16"/>
                <w:szCs w:val="16"/>
                <w:lang w:val="en-US"/>
              </w:rPr>
            </w:pPr>
            <w:r w:rsidRPr="00F01347">
              <w:rPr>
                <w:rFonts w:ascii="Verdana" w:hAnsi="Verdana"/>
                <w:b/>
                <w:sz w:val="16"/>
                <w:szCs w:val="16"/>
                <w:lang w:val="en-US"/>
              </w:rPr>
              <w:t>Compound</w:t>
            </w:r>
          </w:p>
        </w:tc>
        <w:tc>
          <w:tcPr>
            <w:tcW w:w="1379" w:type="dxa"/>
            <w:tcBorders>
              <w:top w:val="single" w:sz="6" w:space="0" w:color="auto"/>
              <w:left w:val="single" w:sz="6" w:space="0" w:color="auto"/>
              <w:bottom w:val="single" w:sz="6" w:space="0" w:color="auto"/>
              <w:right w:val="single" w:sz="6" w:space="0" w:color="auto"/>
            </w:tcBorders>
            <w:hideMark/>
          </w:tcPr>
          <w:p w14:paraId="0ACE04E3" w14:textId="77777777" w:rsidR="004E4F94" w:rsidRPr="00F01347" w:rsidRDefault="004E4F94">
            <w:pPr>
              <w:pStyle w:val="texto0"/>
              <w:spacing w:line="218" w:lineRule="exact"/>
              <w:ind w:firstLine="0"/>
              <w:jc w:val="center"/>
              <w:rPr>
                <w:rFonts w:ascii="Verdana" w:hAnsi="Verdana"/>
                <w:b/>
                <w:sz w:val="16"/>
                <w:szCs w:val="16"/>
                <w:lang w:val="en-US"/>
              </w:rPr>
            </w:pPr>
            <w:r w:rsidRPr="00F01347">
              <w:rPr>
                <w:rFonts w:ascii="Verdana" w:hAnsi="Verdana"/>
                <w:b/>
                <w:sz w:val="16"/>
                <w:szCs w:val="16"/>
                <w:lang w:val="en-US"/>
              </w:rPr>
              <w:t>Amount</w:t>
            </w:r>
          </w:p>
        </w:tc>
        <w:tc>
          <w:tcPr>
            <w:tcW w:w="4459" w:type="dxa"/>
            <w:tcBorders>
              <w:top w:val="single" w:sz="6" w:space="0" w:color="auto"/>
              <w:left w:val="single" w:sz="6" w:space="0" w:color="auto"/>
              <w:bottom w:val="single" w:sz="6" w:space="0" w:color="auto"/>
              <w:right w:val="single" w:sz="6" w:space="0" w:color="auto"/>
            </w:tcBorders>
            <w:hideMark/>
          </w:tcPr>
          <w:p w14:paraId="1C9E2AF8" w14:textId="77777777" w:rsidR="004E4F94" w:rsidRPr="00F01347" w:rsidRDefault="004E4F94">
            <w:pPr>
              <w:pStyle w:val="texto0"/>
              <w:spacing w:line="218" w:lineRule="exact"/>
              <w:ind w:firstLine="0"/>
              <w:jc w:val="center"/>
              <w:rPr>
                <w:rFonts w:ascii="Verdana" w:hAnsi="Verdana"/>
                <w:b/>
                <w:sz w:val="16"/>
                <w:szCs w:val="16"/>
                <w:lang w:val="en-US"/>
              </w:rPr>
            </w:pPr>
            <w:r w:rsidRPr="00F01347">
              <w:rPr>
                <w:rFonts w:ascii="Verdana" w:hAnsi="Verdana"/>
                <w:b/>
                <w:sz w:val="16"/>
                <w:szCs w:val="16"/>
                <w:lang w:val="en-US"/>
              </w:rPr>
              <w:t>Purpose</w:t>
            </w:r>
          </w:p>
        </w:tc>
      </w:tr>
      <w:tr w:rsidR="004E4F94" w:rsidRPr="00F01347" w14:paraId="65AF1934" w14:textId="77777777" w:rsidTr="004E4F94">
        <w:trPr>
          <w:trHeight w:val="20"/>
        </w:trPr>
        <w:tc>
          <w:tcPr>
            <w:tcW w:w="2874" w:type="dxa"/>
            <w:tcBorders>
              <w:top w:val="single" w:sz="6" w:space="0" w:color="auto"/>
              <w:left w:val="single" w:sz="6" w:space="0" w:color="auto"/>
              <w:bottom w:val="single" w:sz="6" w:space="0" w:color="auto"/>
              <w:right w:val="single" w:sz="6" w:space="0" w:color="auto"/>
            </w:tcBorders>
            <w:hideMark/>
          </w:tcPr>
          <w:p w14:paraId="78B19984" w14:textId="77777777" w:rsidR="004E4F94" w:rsidRPr="00F01347" w:rsidRDefault="004E4F94">
            <w:pPr>
              <w:pStyle w:val="texto0"/>
              <w:spacing w:line="218" w:lineRule="exact"/>
              <w:ind w:firstLine="0"/>
              <w:rPr>
                <w:rFonts w:ascii="Verdana" w:hAnsi="Verdana"/>
                <w:sz w:val="16"/>
                <w:szCs w:val="16"/>
                <w:lang w:val="en-US"/>
              </w:rPr>
            </w:pPr>
            <w:proofErr w:type="spellStart"/>
            <w:r w:rsidRPr="00F01347">
              <w:rPr>
                <w:rFonts w:ascii="Verdana" w:hAnsi="Verdana"/>
                <w:sz w:val="16"/>
                <w:szCs w:val="16"/>
                <w:lang w:val="en-US"/>
              </w:rPr>
              <w:t>Trizma</w:t>
            </w:r>
            <w:proofErr w:type="spellEnd"/>
          </w:p>
        </w:tc>
        <w:tc>
          <w:tcPr>
            <w:tcW w:w="1379" w:type="dxa"/>
            <w:tcBorders>
              <w:top w:val="single" w:sz="6" w:space="0" w:color="auto"/>
              <w:left w:val="single" w:sz="6" w:space="0" w:color="auto"/>
              <w:bottom w:val="single" w:sz="6" w:space="0" w:color="auto"/>
              <w:right w:val="single" w:sz="6" w:space="0" w:color="auto"/>
            </w:tcBorders>
            <w:hideMark/>
          </w:tcPr>
          <w:p w14:paraId="505B4CAC" w14:textId="77777777" w:rsidR="004E4F94" w:rsidRPr="00F01347" w:rsidRDefault="004E4F94">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7.75g/L</w:t>
            </w:r>
          </w:p>
        </w:tc>
        <w:tc>
          <w:tcPr>
            <w:tcW w:w="4459" w:type="dxa"/>
            <w:tcBorders>
              <w:top w:val="single" w:sz="6" w:space="0" w:color="auto"/>
              <w:left w:val="single" w:sz="6" w:space="0" w:color="auto"/>
              <w:bottom w:val="single" w:sz="6" w:space="0" w:color="auto"/>
              <w:right w:val="single" w:sz="6" w:space="0" w:color="auto"/>
            </w:tcBorders>
            <w:hideMark/>
          </w:tcPr>
          <w:p w14:paraId="599935BA" w14:textId="77777777" w:rsidR="004E4F94" w:rsidRPr="00F01347" w:rsidRDefault="004E4F94">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Buffer reagent</w:t>
            </w:r>
          </w:p>
        </w:tc>
      </w:tr>
      <w:tr w:rsidR="004E4F94" w:rsidRPr="00F01347" w14:paraId="08C8C215" w14:textId="77777777" w:rsidTr="004E4F94">
        <w:trPr>
          <w:trHeight w:val="20"/>
        </w:trPr>
        <w:tc>
          <w:tcPr>
            <w:tcW w:w="2874" w:type="dxa"/>
            <w:tcBorders>
              <w:top w:val="single" w:sz="6" w:space="0" w:color="auto"/>
              <w:left w:val="single" w:sz="6" w:space="0" w:color="auto"/>
              <w:bottom w:val="single" w:sz="6" w:space="0" w:color="auto"/>
              <w:right w:val="single" w:sz="6" w:space="0" w:color="auto"/>
            </w:tcBorders>
            <w:hideMark/>
          </w:tcPr>
          <w:p w14:paraId="0966CAAB" w14:textId="77777777" w:rsidR="004E4F94" w:rsidRPr="00F01347" w:rsidRDefault="004E4F94">
            <w:pPr>
              <w:pStyle w:val="texto0"/>
              <w:spacing w:line="218" w:lineRule="exact"/>
              <w:ind w:firstLine="0"/>
              <w:rPr>
                <w:rFonts w:ascii="Verdana" w:hAnsi="Verdana"/>
                <w:sz w:val="16"/>
                <w:szCs w:val="16"/>
                <w:lang w:val="en-US"/>
              </w:rPr>
            </w:pPr>
            <w:r w:rsidRPr="00F01347">
              <w:rPr>
                <w:rFonts w:ascii="Verdana" w:hAnsi="Verdana"/>
                <w:sz w:val="16"/>
                <w:szCs w:val="16"/>
                <w:lang w:val="en-US"/>
              </w:rPr>
              <w:t>2-Chloroacetamide</w:t>
            </w:r>
          </w:p>
        </w:tc>
        <w:tc>
          <w:tcPr>
            <w:tcW w:w="1379" w:type="dxa"/>
            <w:tcBorders>
              <w:top w:val="single" w:sz="6" w:space="0" w:color="auto"/>
              <w:left w:val="single" w:sz="6" w:space="0" w:color="auto"/>
              <w:bottom w:val="single" w:sz="6" w:space="0" w:color="auto"/>
              <w:right w:val="single" w:sz="6" w:space="0" w:color="auto"/>
            </w:tcBorders>
            <w:hideMark/>
          </w:tcPr>
          <w:p w14:paraId="4779AF61" w14:textId="77777777" w:rsidR="004E4F94" w:rsidRPr="00F01347" w:rsidRDefault="004E4F94">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2g/L</w:t>
            </w:r>
          </w:p>
        </w:tc>
        <w:tc>
          <w:tcPr>
            <w:tcW w:w="4459" w:type="dxa"/>
            <w:tcBorders>
              <w:top w:val="single" w:sz="6" w:space="0" w:color="auto"/>
              <w:left w:val="single" w:sz="6" w:space="0" w:color="auto"/>
              <w:bottom w:val="single" w:sz="6" w:space="0" w:color="auto"/>
              <w:right w:val="single" w:sz="6" w:space="0" w:color="auto"/>
            </w:tcBorders>
            <w:hideMark/>
          </w:tcPr>
          <w:p w14:paraId="2249EAFD" w14:textId="77777777" w:rsidR="004E4F94" w:rsidRPr="00F01347" w:rsidRDefault="004E4F94">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antimicrobial</w:t>
            </w:r>
          </w:p>
        </w:tc>
      </w:tr>
      <w:tr w:rsidR="004E4F94" w:rsidRPr="00F01347" w14:paraId="6704C75D" w14:textId="77777777" w:rsidTr="004E4F94">
        <w:trPr>
          <w:trHeight w:val="20"/>
        </w:trPr>
        <w:tc>
          <w:tcPr>
            <w:tcW w:w="2874" w:type="dxa"/>
            <w:tcBorders>
              <w:top w:val="single" w:sz="6" w:space="0" w:color="auto"/>
              <w:left w:val="single" w:sz="6" w:space="0" w:color="auto"/>
              <w:bottom w:val="single" w:sz="6" w:space="0" w:color="auto"/>
              <w:right w:val="single" w:sz="6" w:space="0" w:color="auto"/>
            </w:tcBorders>
            <w:hideMark/>
          </w:tcPr>
          <w:p w14:paraId="18CA4EC3" w14:textId="77777777" w:rsidR="004E4F94" w:rsidRPr="00F01347" w:rsidRDefault="004E4F94">
            <w:pPr>
              <w:pStyle w:val="texto0"/>
              <w:spacing w:line="218" w:lineRule="exact"/>
              <w:ind w:firstLine="0"/>
              <w:rPr>
                <w:rFonts w:ascii="Verdana" w:hAnsi="Verdana"/>
                <w:sz w:val="16"/>
                <w:szCs w:val="16"/>
                <w:lang w:val="en-US"/>
              </w:rPr>
            </w:pPr>
            <w:r w:rsidRPr="00F01347">
              <w:rPr>
                <w:rFonts w:ascii="Verdana" w:hAnsi="Verdana"/>
                <w:sz w:val="16"/>
                <w:szCs w:val="16"/>
                <w:lang w:val="en-US"/>
              </w:rPr>
              <w:t>Ascorbic acid</w:t>
            </w:r>
          </w:p>
        </w:tc>
        <w:tc>
          <w:tcPr>
            <w:tcW w:w="1379" w:type="dxa"/>
            <w:tcBorders>
              <w:top w:val="single" w:sz="6" w:space="0" w:color="auto"/>
              <w:left w:val="single" w:sz="6" w:space="0" w:color="auto"/>
              <w:bottom w:val="single" w:sz="6" w:space="0" w:color="auto"/>
              <w:right w:val="single" w:sz="6" w:space="0" w:color="auto"/>
            </w:tcBorders>
            <w:hideMark/>
          </w:tcPr>
          <w:p w14:paraId="243C4BFC" w14:textId="77777777" w:rsidR="004E4F94" w:rsidRPr="00F01347" w:rsidRDefault="004E4F94">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100mg/L</w:t>
            </w:r>
          </w:p>
        </w:tc>
        <w:tc>
          <w:tcPr>
            <w:tcW w:w="4459" w:type="dxa"/>
            <w:tcBorders>
              <w:top w:val="single" w:sz="6" w:space="0" w:color="auto"/>
              <w:left w:val="single" w:sz="6" w:space="0" w:color="auto"/>
              <w:bottom w:val="single" w:sz="6" w:space="0" w:color="auto"/>
              <w:right w:val="single" w:sz="6" w:space="0" w:color="auto"/>
            </w:tcBorders>
            <w:hideMark/>
          </w:tcPr>
          <w:p w14:paraId="383BBE6A" w14:textId="77777777" w:rsidR="004E4F94" w:rsidRPr="00F01347" w:rsidRDefault="004E4F94">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chlorine removal agent</w:t>
            </w:r>
          </w:p>
        </w:tc>
      </w:tr>
      <w:tr w:rsidR="004E4F94" w:rsidRPr="00F01347" w14:paraId="31212615" w14:textId="77777777" w:rsidTr="004E4F94">
        <w:trPr>
          <w:trHeight w:val="20"/>
        </w:trPr>
        <w:tc>
          <w:tcPr>
            <w:tcW w:w="2874" w:type="dxa"/>
            <w:tcBorders>
              <w:top w:val="single" w:sz="6" w:space="0" w:color="auto"/>
              <w:left w:val="single" w:sz="6" w:space="0" w:color="auto"/>
              <w:bottom w:val="single" w:sz="6" w:space="0" w:color="auto"/>
              <w:right w:val="single" w:sz="6" w:space="0" w:color="auto"/>
            </w:tcBorders>
            <w:hideMark/>
          </w:tcPr>
          <w:p w14:paraId="3D613957" w14:textId="1D8EB4DE" w:rsidR="004E4F94" w:rsidRPr="00F01347" w:rsidRDefault="004E4F94">
            <w:pPr>
              <w:pStyle w:val="texto0"/>
              <w:spacing w:line="218" w:lineRule="exact"/>
              <w:ind w:firstLine="0"/>
              <w:rPr>
                <w:rFonts w:ascii="Verdana" w:hAnsi="Verdana"/>
                <w:sz w:val="16"/>
                <w:szCs w:val="16"/>
                <w:lang w:val="en-US"/>
              </w:rPr>
            </w:pPr>
            <w:r w:rsidRPr="00F01347">
              <w:rPr>
                <w:rFonts w:ascii="Verdana" w:hAnsi="Verdana"/>
                <w:sz w:val="16"/>
                <w:szCs w:val="16"/>
                <w:lang w:val="en-US"/>
              </w:rPr>
              <w:t>Ethylenediaminetetraacetic acid</w:t>
            </w:r>
            <w:r w:rsidR="003E1BA9" w:rsidRPr="00F01347">
              <w:rPr>
                <w:rFonts w:ascii="Verdana" w:hAnsi="Verdana"/>
                <w:sz w:val="16"/>
                <w:szCs w:val="16"/>
                <w:lang w:val="en-US"/>
              </w:rPr>
              <w:t>,</w:t>
            </w:r>
            <w:r w:rsidRPr="00F01347">
              <w:rPr>
                <w:rFonts w:ascii="Verdana" w:hAnsi="Verdana"/>
                <w:sz w:val="16"/>
                <w:szCs w:val="16"/>
                <w:lang w:val="en-US"/>
              </w:rPr>
              <w:t xml:space="preserve"> trisodium salt</w:t>
            </w:r>
          </w:p>
        </w:tc>
        <w:tc>
          <w:tcPr>
            <w:tcW w:w="1379" w:type="dxa"/>
            <w:tcBorders>
              <w:top w:val="single" w:sz="6" w:space="0" w:color="auto"/>
              <w:left w:val="single" w:sz="6" w:space="0" w:color="auto"/>
              <w:bottom w:val="single" w:sz="6" w:space="0" w:color="auto"/>
              <w:right w:val="single" w:sz="6" w:space="0" w:color="auto"/>
            </w:tcBorders>
            <w:hideMark/>
          </w:tcPr>
          <w:p w14:paraId="55E1906D" w14:textId="77777777" w:rsidR="004E4F94" w:rsidRPr="00F01347" w:rsidRDefault="004E4F94">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0.35g/L</w:t>
            </w:r>
          </w:p>
        </w:tc>
        <w:tc>
          <w:tcPr>
            <w:tcW w:w="4459" w:type="dxa"/>
            <w:tcBorders>
              <w:top w:val="single" w:sz="6" w:space="0" w:color="auto"/>
              <w:left w:val="single" w:sz="6" w:space="0" w:color="auto"/>
              <w:bottom w:val="single" w:sz="6" w:space="0" w:color="auto"/>
              <w:right w:val="single" w:sz="6" w:space="0" w:color="auto"/>
            </w:tcBorders>
            <w:hideMark/>
          </w:tcPr>
          <w:p w14:paraId="496E8CEC" w14:textId="2C07161E" w:rsidR="004E4F94" w:rsidRPr="00F01347" w:rsidRDefault="004E4F94">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 xml:space="preserve">inhibits the binding of </w:t>
            </w:r>
            <w:r w:rsidR="00C50A8A" w:rsidRPr="00F01347">
              <w:rPr>
                <w:rFonts w:ascii="Verdana" w:hAnsi="Verdana"/>
                <w:sz w:val="16"/>
                <w:szCs w:val="16"/>
                <w:lang w:val="en-US"/>
              </w:rPr>
              <w:t>blank</w:t>
            </w:r>
            <w:r w:rsidRPr="00F01347">
              <w:rPr>
                <w:rFonts w:ascii="Verdana" w:hAnsi="Verdana"/>
                <w:sz w:val="16"/>
                <w:szCs w:val="16"/>
                <w:lang w:val="en-US"/>
              </w:rPr>
              <w:t xml:space="preserve"> analytes to metals</w:t>
            </w:r>
          </w:p>
        </w:tc>
      </w:tr>
    </w:tbl>
    <w:p w14:paraId="1D07B542" w14:textId="77777777" w:rsidR="00DE3FA0" w:rsidRPr="00F01347" w:rsidRDefault="00DE3FA0" w:rsidP="003A601B">
      <w:pPr>
        <w:pStyle w:val="texto0"/>
        <w:spacing w:line="218" w:lineRule="exact"/>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E4F94" w:rsidRPr="00F01347" w14:paraId="2602DDF1" w14:textId="2C71B468" w:rsidTr="003009F9">
        <w:tc>
          <w:tcPr>
            <w:tcW w:w="4675" w:type="dxa"/>
          </w:tcPr>
          <w:p w14:paraId="4E6F7C5D" w14:textId="77777777" w:rsidR="004E4F94" w:rsidRPr="00F01347" w:rsidRDefault="004E4F94" w:rsidP="004E4F94">
            <w:pPr>
              <w:pStyle w:val="texto0"/>
              <w:spacing w:line="230" w:lineRule="exact"/>
              <w:ind w:firstLine="0"/>
              <w:rPr>
                <w:rFonts w:ascii="Verdana" w:hAnsi="Verdana"/>
                <w:sz w:val="16"/>
                <w:szCs w:val="16"/>
              </w:rPr>
            </w:pPr>
            <w:r w:rsidRPr="00F01347">
              <w:rPr>
                <w:rFonts w:ascii="Verdana" w:hAnsi="Verdana"/>
                <w:sz w:val="16"/>
                <w:szCs w:val="16"/>
              </w:rPr>
              <w:t>Para la recolección de la muestra debe abrir el grifo de agua fría y dejar fluir el sistema hasta que la temperatura del agua se haya estabilizado (aproximadamente 3 a 5 minutos) y entonces debe de tomar la muestra.</w:t>
            </w:r>
          </w:p>
        </w:tc>
        <w:tc>
          <w:tcPr>
            <w:tcW w:w="4675" w:type="dxa"/>
          </w:tcPr>
          <w:p w14:paraId="2122CCF4" w14:textId="33CD085B" w:rsidR="004E4F94" w:rsidRPr="00F01347" w:rsidRDefault="004E4F94" w:rsidP="004E4F94">
            <w:pPr>
              <w:pStyle w:val="texto0"/>
              <w:spacing w:line="230" w:lineRule="exact"/>
              <w:ind w:firstLine="0"/>
              <w:rPr>
                <w:rFonts w:ascii="Verdana" w:hAnsi="Verdana"/>
                <w:sz w:val="16"/>
                <w:szCs w:val="16"/>
                <w:lang w:val="en-US"/>
              </w:rPr>
            </w:pPr>
            <w:r w:rsidRPr="00F01347">
              <w:rPr>
                <w:rFonts w:ascii="Verdana" w:hAnsi="Verdana"/>
                <w:sz w:val="16"/>
                <w:szCs w:val="16"/>
                <w:lang w:val="en-US"/>
              </w:rPr>
              <w:t xml:space="preserve">To collect the sample, </w:t>
            </w:r>
            <w:r w:rsidR="004A6BE5" w:rsidRPr="00F01347">
              <w:rPr>
                <w:rFonts w:ascii="Verdana" w:hAnsi="Verdana"/>
                <w:sz w:val="16"/>
                <w:szCs w:val="16"/>
                <w:lang w:val="en-US"/>
              </w:rPr>
              <w:t>one</w:t>
            </w:r>
            <w:r w:rsidRPr="00F01347">
              <w:rPr>
                <w:rFonts w:ascii="Verdana" w:hAnsi="Verdana"/>
                <w:sz w:val="16"/>
                <w:szCs w:val="16"/>
                <w:lang w:val="en-US"/>
              </w:rPr>
              <w:t xml:space="preserve"> must open the cold water tap and let the system flow until the water temperature has stabilized (approximately 3 to 5 minutes) and then </w:t>
            </w:r>
            <w:r w:rsidR="004A6BE5" w:rsidRPr="00F01347">
              <w:rPr>
                <w:rFonts w:ascii="Verdana" w:hAnsi="Verdana"/>
                <w:sz w:val="16"/>
                <w:szCs w:val="16"/>
                <w:lang w:val="en-US"/>
              </w:rPr>
              <w:t>one</w:t>
            </w:r>
            <w:r w:rsidRPr="00F01347">
              <w:rPr>
                <w:rFonts w:ascii="Verdana" w:hAnsi="Verdana"/>
                <w:sz w:val="16"/>
                <w:szCs w:val="16"/>
                <w:lang w:val="en-US"/>
              </w:rPr>
              <w:t xml:space="preserve"> must take the sample.</w:t>
            </w:r>
          </w:p>
        </w:tc>
      </w:tr>
      <w:tr w:rsidR="004E4F94" w:rsidRPr="00F01347" w14:paraId="18AD515D" w14:textId="6BB4B3A8" w:rsidTr="003009F9">
        <w:tc>
          <w:tcPr>
            <w:tcW w:w="4675" w:type="dxa"/>
          </w:tcPr>
          <w:p w14:paraId="57093E71" w14:textId="77777777" w:rsidR="004E4F94" w:rsidRPr="00F01347" w:rsidRDefault="004E4F94" w:rsidP="004E4F94">
            <w:pPr>
              <w:pStyle w:val="texto0"/>
              <w:spacing w:line="230" w:lineRule="exact"/>
              <w:ind w:firstLine="0"/>
              <w:rPr>
                <w:rFonts w:ascii="Verdana" w:hAnsi="Verdana"/>
                <w:sz w:val="16"/>
                <w:szCs w:val="16"/>
              </w:rPr>
            </w:pPr>
            <w:r w:rsidRPr="00F01347">
              <w:rPr>
                <w:rFonts w:ascii="Verdana" w:hAnsi="Verdana"/>
                <w:sz w:val="16"/>
                <w:szCs w:val="16"/>
              </w:rPr>
              <w:t>Las botellas deben llenarse, teniendo cuidado de no eliminar los reactivos de preservación de la muestra.</w:t>
            </w:r>
          </w:p>
        </w:tc>
        <w:tc>
          <w:tcPr>
            <w:tcW w:w="4675" w:type="dxa"/>
          </w:tcPr>
          <w:p w14:paraId="0E5D2CAB" w14:textId="50758498" w:rsidR="004E4F94" w:rsidRPr="00F01347" w:rsidRDefault="004E4F94" w:rsidP="004E4F94">
            <w:pPr>
              <w:pStyle w:val="texto0"/>
              <w:spacing w:line="230" w:lineRule="exact"/>
              <w:ind w:firstLine="0"/>
              <w:rPr>
                <w:rFonts w:ascii="Verdana" w:hAnsi="Verdana"/>
                <w:sz w:val="16"/>
                <w:szCs w:val="16"/>
                <w:lang w:val="en-US"/>
              </w:rPr>
            </w:pPr>
            <w:r w:rsidRPr="00F01347">
              <w:rPr>
                <w:rFonts w:ascii="Verdana" w:hAnsi="Verdana"/>
                <w:sz w:val="16"/>
                <w:szCs w:val="16"/>
                <w:lang w:val="en-US"/>
              </w:rPr>
              <w:t>The bottles should be filled, taking care not to remove the sample preservation reagents.</w:t>
            </w:r>
          </w:p>
        </w:tc>
      </w:tr>
      <w:tr w:rsidR="004E4F94" w:rsidRPr="00F01347" w14:paraId="30557848" w14:textId="5BB35013" w:rsidTr="003009F9">
        <w:tc>
          <w:tcPr>
            <w:tcW w:w="4675" w:type="dxa"/>
          </w:tcPr>
          <w:p w14:paraId="4C172E3B" w14:textId="77777777" w:rsidR="004E4F94" w:rsidRPr="00F01347" w:rsidRDefault="004E4F94" w:rsidP="004E4F94">
            <w:pPr>
              <w:pStyle w:val="texto0"/>
              <w:spacing w:line="230" w:lineRule="exact"/>
              <w:ind w:firstLine="0"/>
              <w:rPr>
                <w:rFonts w:ascii="Verdana" w:hAnsi="Verdana"/>
                <w:sz w:val="16"/>
                <w:szCs w:val="16"/>
              </w:rPr>
            </w:pPr>
            <w:r w:rsidRPr="00F01347">
              <w:rPr>
                <w:rFonts w:ascii="Verdana" w:hAnsi="Verdana"/>
                <w:sz w:val="16"/>
                <w:szCs w:val="16"/>
              </w:rPr>
              <w:t>Las muestras no necesitan ser colectadas sin que quede espacio libre en el vial o botella de la muestra.</w:t>
            </w:r>
          </w:p>
        </w:tc>
        <w:tc>
          <w:tcPr>
            <w:tcW w:w="4675" w:type="dxa"/>
          </w:tcPr>
          <w:p w14:paraId="0913BFD3" w14:textId="476CAEAF" w:rsidR="004E4F94" w:rsidRPr="00F01347" w:rsidRDefault="004E4F94" w:rsidP="004E4F94">
            <w:pPr>
              <w:pStyle w:val="texto0"/>
              <w:spacing w:line="230" w:lineRule="exact"/>
              <w:ind w:firstLine="0"/>
              <w:rPr>
                <w:rFonts w:ascii="Verdana" w:hAnsi="Verdana"/>
                <w:sz w:val="16"/>
                <w:szCs w:val="16"/>
                <w:lang w:val="en-US"/>
              </w:rPr>
            </w:pPr>
            <w:r w:rsidRPr="00F01347">
              <w:rPr>
                <w:rFonts w:ascii="Verdana" w:hAnsi="Verdana"/>
                <w:sz w:val="16"/>
                <w:szCs w:val="16"/>
                <w:lang w:val="en-US"/>
              </w:rPr>
              <w:t>Samples do not need to be collected without any free space remaining in the sample vial or bottle.</w:t>
            </w:r>
          </w:p>
        </w:tc>
      </w:tr>
      <w:tr w:rsidR="004E4F94" w:rsidRPr="00F01347" w14:paraId="09CB3605" w14:textId="5DAE4167" w:rsidTr="003009F9">
        <w:tc>
          <w:tcPr>
            <w:tcW w:w="4675" w:type="dxa"/>
          </w:tcPr>
          <w:p w14:paraId="59F43CBE" w14:textId="77777777" w:rsidR="004E4F94" w:rsidRPr="00F01347" w:rsidRDefault="004E4F94" w:rsidP="004E4F94">
            <w:pPr>
              <w:pStyle w:val="texto0"/>
              <w:spacing w:line="230" w:lineRule="exact"/>
              <w:ind w:firstLine="0"/>
              <w:rPr>
                <w:rFonts w:ascii="Verdana" w:hAnsi="Verdana"/>
                <w:sz w:val="16"/>
                <w:szCs w:val="16"/>
              </w:rPr>
            </w:pPr>
            <w:r w:rsidRPr="00F01347">
              <w:rPr>
                <w:rFonts w:ascii="Verdana" w:hAnsi="Verdana"/>
                <w:sz w:val="16"/>
                <w:szCs w:val="16"/>
              </w:rPr>
              <w:t>Después de recolectar la muestra, tapar la botella y agitar con la mano hasta que el reactivo para la conservación es disuelto. Tenga en cuenta que el 2-cloroacetamida es lento en disolverse especialmente en agua fría. Mantener la muestra sellada desde el momento de recolección hasta la extracción.</w:t>
            </w:r>
          </w:p>
        </w:tc>
        <w:tc>
          <w:tcPr>
            <w:tcW w:w="4675" w:type="dxa"/>
          </w:tcPr>
          <w:p w14:paraId="010FEE6E" w14:textId="0971D315" w:rsidR="004E4F94" w:rsidRPr="00F01347" w:rsidRDefault="004E4F94" w:rsidP="004E4F94">
            <w:pPr>
              <w:pStyle w:val="texto0"/>
              <w:spacing w:line="230" w:lineRule="exact"/>
              <w:ind w:firstLine="0"/>
              <w:rPr>
                <w:rFonts w:ascii="Verdana" w:hAnsi="Verdana"/>
                <w:sz w:val="16"/>
                <w:szCs w:val="16"/>
                <w:lang w:val="en-US"/>
              </w:rPr>
            </w:pPr>
            <w:r w:rsidRPr="00F01347">
              <w:rPr>
                <w:rFonts w:ascii="Verdana" w:hAnsi="Verdana"/>
                <w:sz w:val="16"/>
                <w:szCs w:val="16"/>
                <w:lang w:val="en-US"/>
              </w:rPr>
              <w:t xml:space="preserve">After collecting the sample, cap the bottle and shake by hand until the preservation reagent is dissolved. Please note that 2-chloroacetamide is slow to </w:t>
            </w:r>
            <w:r w:rsidR="009624EF" w:rsidRPr="00F01347">
              <w:rPr>
                <w:rFonts w:ascii="Verdana" w:hAnsi="Verdana"/>
                <w:sz w:val="16"/>
                <w:szCs w:val="16"/>
                <w:lang w:val="en-US"/>
              </w:rPr>
              <w:t>dissolve,</w:t>
            </w:r>
            <w:r w:rsidRPr="00F01347">
              <w:rPr>
                <w:rFonts w:ascii="Verdana" w:hAnsi="Verdana"/>
                <w:sz w:val="16"/>
                <w:szCs w:val="16"/>
                <w:lang w:val="en-US"/>
              </w:rPr>
              <w:t xml:space="preserve"> especially in cold water. Keep the sample sealed from the time of collection until extraction.</w:t>
            </w:r>
          </w:p>
        </w:tc>
      </w:tr>
      <w:tr w:rsidR="004E4F94" w:rsidRPr="00F01347" w14:paraId="6EF9C19B" w14:textId="0F447C75" w:rsidTr="003009F9">
        <w:tc>
          <w:tcPr>
            <w:tcW w:w="4675" w:type="dxa"/>
          </w:tcPr>
          <w:p w14:paraId="53E40DFF" w14:textId="77777777" w:rsidR="004E4F94" w:rsidRPr="00F01347" w:rsidRDefault="004E4F94" w:rsidP="004E4F94">
            <w:pPr>
              <w:pStyle w:val="texto0"/>
              <w:spacing w:line="230" w:lineRule="exact"/>
              <w:ind w:firstLine="0"/>
              <w:rPr>
                <w:rFonts w:ascii="Verdana" w:hAnsi="Verdana"/>
                <w:sz w:val="16"/>
                <w:szCs w:val="16"/>
              </w:rPr>
            </w:pPr>
            <w:r w:rsidRPr="00F01347">
              <w:rPr>
                <w:rFonts w:ascii="Verdana" w:hAnsi="Verdana"/>
                <w:sz w:val="16"/>
                <w:szCs w:val="16"/>
              </w:rPr>
              <w:t>Las muestras deben ser enfriadas durante el envío y no deben exceder los 10 °C durante las primeras 48 horas después de la recolección. Cuando las muestras son recibidas en el laboratorio debe confirmarse que la temperatura de la muestra sea igual o menor a 10 °C. Las muestras almacenadas en el laboratorio deben de conservarse a o por debajo de 6 °C hasta su extracción, pero no deben ser congeladas.</w:t>
            </w:r>
          </w:p>
        </w:tc>
        <w:tc>
          <w:tcPr>
            <w:tcW w:w="4675" w:type="dxa"/>
          </w:tcPr>
          <w:p w14:paraId="5167582A" w14:textId="2A791A1F" w:rsidR="004E4F94" w:rsidRPr="00F01347" w:rsidRDefault="004E4F94" w:rsidP="004E4F94">
            <w:pPr>
              <w:pStyle w:val="texto0"/>
              <w:spacing w:line="230" w:lineRule="exact"/>
              <w:ind w:firstLine="0"/>
              <w:rPr>
                <w:rFonts w:ascii="Verdana" w:hAnsi="Verdana"/>
                <w:sz w:val="16"/>
                <w:szCs w:val="16"/>
                <w:lang w:val="en-US"/>
              </w:rPr>
            </w:pPr>
            <w:r w:rsidRPr="00F01347">
              <w:rPr>
                <w:rFonts w:ascii="Verdana" w:hAnsi="Verdana"/>
                <w:sz w:val="16"/>
                <w:szCs w:val="16"/>
                <w:lang w:val="en-US"/>
              </w:rPr>
              <w:t xml:space="preserve">Samples should be cooled during shipping and should not exceed 10°C for the first 48 hours after collection. When the samples are received in the laboratory, it must be confirmed that the sample temperature is equal to or less than 10 °C. Samples stored in the laboratory should be kept at or below 6°C until </w:t>
            </w:r>
            <w:r w:rsidR="009624EF" w:rsidRPr="00F01347">
              <w:rPr>
                <w:rFonts w:ascii="Verdana" w:hAnsi="Verdana"/>
                <w:sz w:val="16"/>
                <w:szCs w:val="16"/>
                <w:lang w:val="en-US"/>
              </w:rPr>
              <w:t>extraction but</w:t>
            </w:r>
            <w:r w:rsidRPr="00F01347">
              <w:rPr>
                <w:rFonts w:ascii="Verdana" w:hAnsi="Verdana"/>
                <w:sz w:val="16"/>
                <w:szCs w:val="16"/>
                <w:lang w:val="en-US"/>
              </w:rPr>
              <w:t xml:space="preserve"> should not be frozen.</w:t>
            </w:r>
          </w:p>
        </w:tc>
      </w:tr>
      <w:tr w:rsidR="004E4F94" w:rsidRPr="00F01347" w14:paraId="5AD76138" w14:textId="7DB2674C" w:rsidTr="003009F9">
        <w:tc>
          <w:tcPr>
            <w:tcW w:w="4675" w:type="dxa"/>
          </w:tcPr>
          <w:p w14:paraId="7E854C91" w14:textId="77777777" w:rsidR="004E4F94" w:rsidRPr="00F01347" w:rsidRDefault="004E4F94" w:rsidP="004E4F94">
            <w:pPr>
              <w:pStyle w:val="texto0"/>
              <w:spacing w:line="230" w:lineRule="exact"/>
              <w:ind w:firstLine="0"/>
              <w:rPr>
                <w:rFonts w:ascii="Verdana" w:hAnsi="Verdana"/>
                <w:color w:val="000000"/>
                <w:sz w:val="16"/>
                <w:szCs w:val="16"/>
              </w:rPr>
            </w:pPr>
            <w:r w:rsidRPr="00F01347">
              <w:rPr>
                <w:rFonts w:ascii="Verdana" w:hAnsi="Verdana"/>
                <w:color w:val="000000"/>
                <w:sz w:val="16"/>
                <w:szCs w:val="16"/>
              </w:rPr>
              <w:t>Las muestras que son significativamente superiores a 10 °C, en el momento de la recolección de la muestra, deben ser puestas en hielo o refrigeradas por un período de tiempo, con el fin de enfriarlas antes del envío. Esto permitirá que se envíen con la temperatura adecuada para cubrir con los requisitos anteriores.</w:t>
            </w:r>
          </w:p>
        </w:tc>
        <w:tc>
          <w:tcPr>
            <w:tcW w:w="4675" w:type="dxa"/>
          </w:tcPr>
          <w:p w14:paraId="4031C752" w14:textId="0710023E" w:rsidR="004E4F94" w:rsidRPr="00F01347" w:rsidRDefault="004E4F94" w:rsidP="004E4F94">
            <w:pPr>
              <w:pStyle w:val="texto0"/>
              <w:spacing w:line="230"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Samples that are significantly above 10°C, at the time of sample collection, should be placed on ice or refrigerated for </w:t>
            </w:r>
            <w:proofErr w:type="gramStart"/>
            <w:r w:rsidRPr="00F01347">
              <w:rPr>
                <w:rFonts w:ascii="Verdana" w:hAnsi="Verdana"/>
                <w:color w:val="000000"/>
                <w:sz w:val="16"/>
                <w:szCs w:val="16"/>
                <w:lang w:val="en-US"/>
              </w:rPr>
              <w:t>a period of time</w:t>
            </w:r>
            <w:proofErr w:type="gramEnd"/>
            <w:r w:rsidRPr="00F01347">
              <w:rPr>
                <w:rFonts w:ascii="Verdana" w:hAnsi="Verdana"/>
                <w:color w:val="000000"/>
                <w:sz w:val="16"/>
                <w:szCs w:val="16"/>
                <w:lang w:val="en-US"/>
              </w:rPr>
              <w:t>, in order to cool them prior to shipment. This will allow them to be sent at the appropriate temperature to meet the above requirements.</w:t>
            </w:r>
          </w:p>
        </w:tc>
      </w:tr>
      <w:tr w:rsidR="004E4F94" w:rsidRPr="00F01347" w14:paraId="4CE2D551" w14:textId="5A9FDB46" w:rsidTr="003009F9">
        <w:tc>
          <w:tcPr>
            <w:tcW w:w="4675" w:type="dxa"/>
          </w:tcPr>
          <w:p w14:paraId="13B975A4" w14:textId="77777777" w:rsidR="004E4F94" w:rsidRPr="00F01347" w:rsidRDefault="004E4F94" w:rsidP="004E4F94">
            <w:pPr>
              <w:pStyle w:val="texto0"/>
              <w:spacing w:line="230" w:lineRule="exact"/>
              <w:ind w:firstLine="0"/>
              <w:rPr>
                <w:rFonts w:ascii="Verdana" w:hAnsi="Verdana"/>
                <w:sz w:val="16"/>
                <w:szCs w:val="16"/>
              </w:rPr>
            </w:pPr>
            <w:r w:rsidRPr="00F01347">
              <w:rPr>
                <w:rFonts w:ascii="Verdana" w:hAnsi="Verdana"/>
                <w:sz w:val="16"/>
                <w:szCs w:val="16"/>
              </w:rPr>
              <w:t xml:space="preserve">Las muestras de agua deberían ser extraídas tan pronto como sea posible después de la recolección, sin embargo, pueden extraídas dentro de 28 días posteriores a la recolección de la muestra. Los extractos deben ser almacenados en ≤-4°C y analizados dentro de los 28 días siguientes a la extracción. Los tiempos de espera para muestra y extracto con el porcentaje de recuperación (% </w:t>
            </w:r>
            <w:proofErr w:type="spellStart"/>
            <w:r w:rsidRPr="00F01347">
              <w:rPr>
                <w:rFonts w:ascii="Verdana" w:hAnsi="Verdana"/>
                <w:sz w:val="16"/>
                <w:szCs w:val="16"/>
              </w:rPr>
              <w:t>prom</w:t>
            </w:r>
            <w:proofErr w:type="spellEnd"/>
            <w:r w:rsidRPr="00F01347">
              <w:rPr>
                <w:rFonts w:ascii="Verdana" w:hAnsi="Verdana"/>
                <w:sz w:val="16"/>
                <w:szCs w:val="16"/>
              </w:rPr>
              <w:t xml:space="preserve"> REC) y el porcentaje de desviación estándar relativa (%RSD) se presentan en las Tablas B.1.2-4 y B.1.2-5, de este Apéndice.</w:t>
            </w:r>
          </w:p>
        </w:tc>
        <w:tc>
          <w:tcPr>
            <w:tcW w:w="4675" w:type="dxa"/>
          </w:tcPr>
          <w:p w14:paraId="41AC05D0" w14:textId="2BECF967" w:rsidR="004E4F94" w:rsidRPr="00F01347" w:rsidRDefault="004E4F94" w:rsidP="004E4F94">
            <w:pPr>
              <w:pStyle w:val="texto0"/>
              <w:spacing w:line="230" w:lineRule="exact"/>
              <w:ind w:firstLine="0"/>
              <w:rPr>
                <w:rFonts w:ascii="Verdana" w:hAnsi="Verdana"/>
                <w:sz w:val="16"/>
                <w:szCs w:val="16"/>
                <w:lang w:val="en-US"/>
              </w:rPr>
            </w:pPr>
            <w:r w:rsidRPr="00F01347">
              <w:rPr>
                <w:rFonts w:ascii="Verdana" w:hAnsi="Verdana"/>
                <w:sz w:val="16"/>
                <w:szCs w:val="16"/>
                <w:lang w:val="en-US"/>
              </w:rPr>
              <w:t xml:space="preserve">Water samples should be drawn as soon as possible after </w:t>
            </w:r>
            <w:r w:rsidR="009624EF" w:rsidRPr="00F01347">
              <w:rPr>
                <w:rFonts w:ascii="Verdana" w:hAnsi="Verdana"/>
                <w:sz w:val="16"/>
                <w:szCs w:val="16"/>
                <w:lang w:val="en-US"/>
              </w:rPr>
              <w:t>collection;</w:t>
            </w:r>
            <w:r w:rsidRPr="00F01347">
              <w:rPr>
                <w:rFonts w:ascii="Verdana" w:hAnsi="Verdana"/>
                <w:sz w:val="16"/>
                <w:szCs w:val="16"/>
                <w:lang w:val="en-US"/>
              </w:rPr>
              <w:t xml:space="preserve"> however, they can be drawn within 28 days of sample collection. Extracts should be stored at ≤-4°C and analyzed within 28 days of extraction. The waiting times for sample and extract with the percentage of recovery (% average REC) and the percentage of relative standard deviation (%RSD) are presented in Tables B.1.2-4 and B.1.2-5, of this Appendix.</w:t>
            </w:r>
          </w:p>
        </w:tc>
      </w:tr>
    </w:tbl>
    <w:p w14:paraId="4F69497C" w14:textId="77777777" w:rsidR="00204B58" w:rsidRPr="00F01347" w:rsidRDefault="00204B58" w:rsidP="006A0481">
      <w:pPr>
        <w:pStyle w:val="texto0"/>
        <w:spacing w:line="230" w:lineRule="exact"/>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936"/>
        <w:gridCol w:w="938"/>
        <w:gridCol w:w="639"/>
        <w:gridCol w:w="552"/>
        <w:gridCol w:w="613"/>
        <w:gridCol w:w="530"/>
        <w:gridCol w:w="703"/>
        <w:gridCol w:w="577"/>
        <w:gridCol w:w="600"/>
        <w:gridCol w:w="521"/>
        <w:gridCol w:w="567"/>
        <w:gridCol w:w="536"/>
      </w:tblGrid>
      <w:tr w:rsidR="00A74CDF" w:rsidRPr="00F01347" w14:paraId="359636D6" w14:textId="77777777">
        <w:trPr>
          <w:trHeight w:val="20"/>
        </w:trPr>
        <w:tc>
          <w:tcPr>
            <w:tcW w:w="8712" w:type="dxa"/>
            <w:gridSpan w:val="12"/>
            <w:shd w:val="clear" w:color="000000" w:fill="FFFFFF"/>
            <w:noWrap/>
          </w:tcPr>
          <w:p w14:paraId="3422C96D"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b/>
                <w:sz w:val="16"/>
                <w:szCs w:val="16"/>
              </w:rPr>
              <w:br w:type="page"/>
            </w:r>
            <w:r w:rsidRPr="00F01347">
              <w:rPr>
                <w:rFonts w:ascii="Verdana" w:hAnsi="Verdana"/>
                <w:b/>
                <w:color w:val="000000"/>
                <w:sz w:val="16"/>
                <w:szCs w:val="16"/>
              </w:rPr>
              <w:t>Tabla B.1.2-4.</w:t>
            </w:r>
            <w:r w:rsidRPr="00F01347">
              <w:rPr>
                <w:rFonts w:ascii="Verdana" w:hAnsi="Verdana"/>
                <w:color w:val="000000"/>
                <w:sz w:val="16"/>
                <w:szCs w:val="16"/>
              </w:rPr>
              <w:t xml:space="preserve"> Tiempos de espera de muestras acuosas para muestras de agua de uso y consumo humano provenientes de fuentes superficiales </w:t>
            </w:r>
            <w:r w:rsidRPr="00F01347">
              <w:rPr>
                <w:rFonts w:ascii="Verdana" w:hAnsi="Verdana"/>
                <w:color w:val="000000"/>
                <w:sz w:val="16"/>
                <w:szCs w:val="16"/>
                <w:vertAlign w:val="superscript"/>
              </w:rPr>
              <w:t>a</w:t>
            </w:r>
            <w:r w:rsidRPr="00F01347">
              <w:rPr>
                <w:rFonts w:ascii="Verdana" w:hAnsi="Verdana"/>
                <w:color w:val="000000"/>
                <w:sz w:val="16"/>
                <w:szCs w:val="16"/>
              </w:rPr>
              <w:t>, fortificadas con analitos de interés y preservadas y almacenadas de acuerdo con lo establecido en el presente método (n=4).</w:t>
            </w:r>
          </w:p>
        </w:tc>
      </w:tr>
      <w:tr w:rsidR="00A74CDF" w:rsidRPr="00F01347" w14:paraId="2366A822" w14:textId="77777777">
        <w:trPr>
          <w:trHeight w:val="20"/>
        </w:trPr>
        <w:tc>
          <w:tcPr>
            <w:tcW w:w="2874" w:type="dxa"/>
            <w:gridSpan w:val="2"/>
            <w:tcBorders>
              <w:bottom w:val="single" w:sz="6" w:space="0" w:color="auto"/>
              <w:right w:val="single" w:sz="6" w:space="0" w:color="auto"/>
            </w:tcBorders>
            <w:shd w:val="clear" w:color="000000" w:fill="FFFFFF"/>
          </w:tcPr>
          <w:p w14:paraId="5EC27A38" w14:textId="77777777" w:rsidR="00A74CDF" w:rsidRPr="00F01347" w:rsidRDefault="00A74CDF" w:rsidP="003A601B">
            <w:pPr>
              <w:pStyle w:val="texto0"/>
              <w:spacing w:line="240" w:lineRule="exact"/>
              <w:ind w:firstLine="0"/>
              <w:jc w:val="center"/>
              <w:rPr>
                <w:rFonts w:ascii="Verdana" w:hAnsi="Verdana"/>
                <w:color w:val="000000"/>
                <w:sz w:val="16"/>
                <w:szCs w:val="16"/>
              </w:rPr>
            </w:pPr>
          </w:p>
        </w:tc>
        <w:tc>
          <w:tcPr>
            <w:tcW w:w="1191" w:type="dxa"/>
            <w:gridSpan w:val="2"/>
            <w:tcBorders>
              <w:top w:val="single" w:sz="6" w:space="0" w:color="auto"/>
              <w:left w:val="single" w:sz="6" w:space="0" w:color="auto"/>
              <w:bottom w:val="single" w:sz="6" w:space="0" w:color="auto"/>
              <w:right w:val="single" w:sz="6" w:space="0" w:color="auto"/>
            </w:tcBorders>
            <w:shd w:val="clear" w:color="000000" w:fill="FFFFFF"/>
          </w:tcPr>
          <w:p w14:paraId="65D7A55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Día 0</w:t>
            </w:r>
          </w:p>
        </w:tc>
        <w:tc>
          <w:tcPr>
            <w:tcW w:w="1143" w:type="dxa"/>
            <w:gridSpan w:val="2"/>
            <w:tcBorders>
              <w:top w:val="single" w:sz="6" w:space="0" w:color="auto"/>
              <w:left w:val="single" w:sz="6" w:space="0" w:color="auto"/>
              <w:bottom w:val="single" w:sz="6" w:space="0" w:color="auto"/>
              <w:right w:val="single" w:sz="6" w:space="0" w:color="auto"/>
            </w:tcBorders>
            <w:shd w:val="clear" w:color="000000" w:fill="FFFFFF"/>
          </w:tcPr>
          <w:p w14:paraId="1CEDC847"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Día 7</w:t>
            </w:r>
          </w:p>
        </w:tc>
        <w:tc>
          <w:tcPr>
            <w:tcW w:w="1280" w:type="dxa"/>
            <w:gridSpan w:val="2"/>
            <w:tcBorders>
              <w:top w:val="single" w:sz="6" w:space="0" w:color="auto"/>
              <w:left w:val="single" w:sz="6" w:space="0" w:color="auto"/>
              <w:bottom w:val="single" w:sz="6" w:space="0" w:color="auto"/>
              <w:right w:val="single" w:sz="6" w:space="0" w:color="auto"/>
            </w:tcBorders>
            <w:shd w:val="clear" w:color="000000" w:fill="FFFFFF"/>
          </w:tcPr>
          <w:p w14:paraId="692919F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Día 14</w:t>
            </w:r>
          </w:p>
        </w:tc>
        <w:tc>
          <w:tcPr>
            <w:tcW w:w="1121" w:type="dxa"/>
            <w:gridSpan w:val="2"/>
            <w:tcBorders>
              <w:top w:val="single" w:sz="6" w:space="0" w:color="auto"/>
              <w:left w:val="single" w:sz="6" w:space="0" w:color="auto"/>
              <w:bottom w:val="single" w:sz="6" w:space="0" w:color="auto"/>
              <w:right w:val="single" w:sz="6" w:space="0" w:color="auto"/>
            </w:tcBorders>
            <w:shd w:val="clear" w:color="000000" w:fill="FFFFFF"/>
          </w:tcPr>
          <w:p w14:paraId="68D51DB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Día 21</w:t>
            </w:r>
          </w:p>
        </w:tc>
        <w:tc>
          <w:tcPr>
            <w:tcW w:w="1103" w:type="dxa"/>
            <w:gridSpan w:val="2"/>
            <w:tcBorders>
              <w:top w:val="single" w:sz="6" w:space="0" w:color="auto"/>
              <w:left w:val="single" w:sz="6" w:space="0" w:color="auto"/>
              <w:bottom w:val="single" w:sz="6" w:space="0" w:color="auto"/>
              <w:right w:val="single" w:sz="6" w:space="0" w:color="auto"/>
            </w:tcBorders>
            <w:shd w:val="clear" w:color="000000" w:fill="FFFFFF"/>
          </w:tcPr>
          <w:p w14:paraId="52E12C2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Día 28</w:t>
            </w:r>
          </w:p>
        </w:tc>
      </w:tr>
      <w:tr w:rsidR="00A74CDF" w:rsidRPr="00F01347" w14:paraId="765E110B" w14:textId="77777777">
        <w:trPr>
          <w:trHeight w:val="20"/>
        </w:trPr>
        <w:tc>
          <w:tcPr>
            <w:tcW w:w="1936" w:type="dxa"/>
            <w:tcBorders>
              <w:top w:val="single" w:sz="6" w:space="0" w:color="auto"/>
              <w:left w:val="single" w:sz="6" w:space="0" w:color="auto"/>
              <w:bottom w:val="single" w:sz="6" w:space="0" w:color="auto"/>
              <w:right w:val="single" w:sz="6" w:space="0" w:color="auto"/>
            </w:tcBorders>
            <w:shd w:val="clear" w:color="000000" w:fill="FFFFFF"/>
          </w:tcPr>
          <w:p w14:paraId="344CF865"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lastRenderedPageBreak/>
              <w:t>Analito</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07E1FE95" w14:textId="77777777" w:rsidR="00A74CDF" w:rsidRPr="00F01347" w:rsidRDefault="00A74CDF" w:rsidP="003A601B">
            <w:pPr>
              <w:pStyle w:val="texto0"/>
              <w:spacing w:line="240" w:lineRule="exact"/>
              <w:ind w:firstLine="0"/>
              <w:jc w:val="center"/>
              <w:rPr>
                <w:rFonts w:ascii="Verdana" w:hAnsi="Verdana"/>
                <w:color w:val="000000"/>
                <w:sz w:val="16"/>
                <w:szCs w:val="16"/>
              </w:rPr>
            </w:pPr>
            <w:proofErr w:type="spellStart"/>
            <w:r w:rsidRPr="00F01347">
              <w:rPr>
                <w:rFonts w:ascii="Verdana" w:hAnsi="Verdana"/>
                <w:color w:val="000000"/>
                <w:sz w:val="16"/>
                <w:szCs w:val="16"/>
              </w:rPr>
              <w:t>Conc</w:t>
            </w:r>
            <w:proofErr w:type="spellEnd"/>
            <w:r w:rsidRPr="00F01347">
              <w:rPr>
                <w:rFonts w:ascii="Verdana" w:hAnsi="Verdana"/>
                <w:color w:val="000000"/>
                <w:sz w:val="16"/>
                <w:szCs w:val="16"/>
              </w:rPr>
              <w:t>. fortificada (ng/L)</w:t>
            </w:r>
          </w:p>
        </w:tc>
        <w:tc>
          <w:tcPr>
            <w:tcW w:w="639" w:type="dxa"/>
            <w:tcBorders>
              <w:top w:val="single" w:sz="6" w:space="0" w:color="auto"/>
              <w:left w:val="single" w:sz="6" w:space="0" w:color="auto"/>
              <w:bottom w:val="single" w:sz="6" w:space="0" w:color="auto"/>
              <w:right w:val="single" w:sz="6" w:space="0" w:color="auto"/>
            </w:tcBorders>
            <w:shd w:val="clear" w:color="000000" w:fill="FFFFFF"/>
          </w:tcPr>
          <w:p w14:paraId="03F03CF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xml:space="preserve">% </w:t>
            </w:r>
            <w:proofErr w:type="spellStart"/>
            <w:r w:rsidRPr="00F01347">
              <w:rPr>
                <w:rFonts w:ascii="Verdana" w:hAnsi="Verdana"/>
                <w:color w:val="000000"/>
                <w:sz w:val="16"/>
                <w:szCs w:val="16"/>
              </w:rPr>
              <w:t>prom</w:t>
            </w:r>
            <w:proofErr w:type="spellEnd"/>
            <w:r w:rsidRPr="00F01347">
              <w:rPr>
                <w:rFonts w:ascii="Verdana" w:hAnsi="Verdana"/>
                <w:color w:val="000000"/>
                <w:sz w:val="16"/>
                <w:szCs w:val="16"/>
              </w:rPr>
              <w:t xml:space="preserve"> REC</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325FE1B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RSD</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236216D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xml:space="preserve">% </w:t>
            </w:r>
            <w:proofErr w:type="spellStart"/>
            <w:r w:rsidRPr="00F01347">
              <w:rPr>
                <w:rFonts w:ascii="Verdana" w:hAnsi="Verdana"/>
                <w:color w:val="000000"/>
                <w:sz w:val="16"/>
                <w:szCs w:val="16"/>
              </w:rPr>
              <w:t>prom</w:t>
            </w:r>
            <w:proofErr w:type="spellEnd"/>
            <w:r w:rsidRPr="00F01347">
              <w:rPr>
                <w:rFonts w:ascii="Verdana" w:hAnsi="Verdana"/>
                <w:color w:val="000000"/>
                <w:sz w:val="16"/>
                <w:szCs w:val="16"/>
              </w:rPr>
              <w:t xml:space="preserve"> REC</w:t>
            </w:r>
          </w:p>
        </w:tc>
        <w:tc>
          <w:tcPr>
            <w:tcW w:w="530" w:type="dxa"/>
            <w:tcBorders>
              <w:top w:val="single" w:sz="6" w:space="0" w:color="auto"/>
              <w:left w:val="single" w:sz="6" w:space="0" w:color="auto"/>
              <w:bottom w:val="single" w:sz="6" w:space="0" w:color="auto"/>
              <w:right w:val="single" w:sz="6" w:space="0" w:color="auto"/>
            </w:tcBorders>
            <w:shd w:val="clear" w:color="000000" w:fill="FFFFFF"/>
          </w:tcPr>
          <w:p w14:paraId="05134A9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RSD</w:t>
            </w:r>
          </w:p>
        </w:tc>
        <w:tc>
          <w:tcPr>
            <w:tcW w:w="703" w:type="dxa"/>
            <w:tcBorders>
              <w:top w:val="single" w:sz="6" w:space="0" w:color="auto"/>
              <w:left w:val="single" w:sz="6" w:space="0" w:color="auto"/>
              <w:bottom w:val="single" w:sz="6" w:space="0" w:color="auto"/>
              <w:right w:val="single" w:sz="6" w:space="0" w:color="auto"/>
            </w:tcBorders>
            <w:shd w:val="clear" w:color="000000" w:fill="FFFFFF"/>
          </w:tcPr>
          <w:p w14:paraId="5022435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xml:space="preserve">% </w:t>
            </w:r>
            <w:proofErr w:type="spellStart"/>
            <w:r w:rsidRPr="00F01347">
              <w:rPr>
                <w:rFonts w:ascii="Verdana" w:hAnsi="Verdana"/>
                <w:color w:val="000000"/>
                <w:sz w:val="16"/>
                <w:szCs w:val="16"/>
              </w:rPr>
              <w:t>prom</w:t>
            </w:r>
            <w:proofErr w:type="spellEnd"/>
            <w:r w:rsidRPr="00F01347">
              <w:rPr>
                <w:rFonts w:ascii="Verdana" w:hAnsi="Verdana"/>
                <w:color w:val="000000"/>
                <w:sz w:val="16"/>
                <w:szCs w:val="16"/>
              </w:rPr>
              <w:t xml:space="preserve"> REC</w:t>
            </w:r>
          </w:p>
        </w:tc>
        <w:tc>
          <w:tcPr>
            <w:tcW w:w="577" w:type="dxa"/>
            <w:tcBorders>
              <w:top w:val="single" w:sz="6" w:space="0" w:color="auto"/>
              <w:left w:val="single" w:sz="6" w:space="0" w:color="auto"/>
              <w:bottom w:val="single" w:sz="6" w:space="0" w:color="auto"/>
              <w:right w:val="single" w:sz="6" w:space="0" w:color="auto"/>
            </w:tcBorders>
            <w:shd w:val="clear" w:color="000000" w:fill="FFFFFF"/>
          </w:tcPr>
          <w:p w14:paraId="4D7D9C45"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RSD</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66E0EA17"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xml:space="preserve">% </w:t>
            </w:r>
            <w:proofErr w:type="spellStart"/>
            <w:r w:rsidRPr="00F01347">
              <w:rPr>
                <w:rFonts w:ascii="Verdana" w:hAnsi="Verdana"/>
                <w:color w:val="000000"/>
                <w:sz w:val="16"/>
                <w:szCs w:val="16"/>
              </w:rPr>
              <w:t>prom</w:t>
            </w:r>
            <w:proofErr w:type="spellEnd"/>
            <w:r w:rsidRPr="00F01347">
              <w:rPr>
                <w:rFonts w:ascii="Verdana" w:hAnsi="Verdana"/>
                <w:color w:val="000000"/>
                <w:sz w:val="16"/>
                <w:szCs w:val="16"/>
              </w:rPr>
              <w:t xml:space="preserve"> REC</w:t>
            </w:r>
          </w:p>
        </w:tc>
        <w:tc>
          <w:tcPr>
            <w:tcW w:w="521" w:type="dxa"/>
            <w:tcBorders>
              <w:top w:val="single" w:sz="6" w:space="0" w:color="auto"/>
              <w:left w:val="single" w:sz="6" w:space="0" w:color="auto"/>
              <w:bottom w:val="single" w:sz="6" w:space="0" w:color="auto"/>
              <w:right w:val="single" w:sz="6" w:space="0" w:color="auto"/>
            </w:tcBorders>
            <w:shd w:val="clear" w:color="000000" w:fill="FFFFFF"/>
          </w:tcPr>
          <w:p w14:paraId="5D816B3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RSD</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48FA13C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xml:space="preserve">% </w:t>
            </w:r>
            <w:proofErr w:type="spellStart"/>
            <w:r w:rsidRPr="00F01347">
              <w:rPr>
                <w:rFonts w:ascii="Verdana" w:hAnsi="Verdana"/>
                <w:color w:val="000000"/>
                <w:sz w:val="16"/>
                <w:szCs w:val="16"/>
              </w:rPr>
              <w:t>prom</w:t>
            </w:r>
            <w:proofErr w:type="spellEnd"/>
            <w:r w:rsidRPr="00F01347">
              <w:rPr>
                <w:rFonts w:ascii="Verdana" w:hAnsi="Verdana"/>
                <w:color w:val="000000"/>
                <w:sz w:val="16"/>
                <w:szCs w:val="16"/>
              </w:rPr>
              <w:t xml:space="preserve"> REC</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3CD5EFD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RSD</w:t>
            </w:r>
          </w:p>
        </w:tc>
      </w:tr>
      <w:tr w:rsidR="00A74CDF" w:rsidRPr="00F01347" w14:paraId="614F0E0A" w14:textId="77777777">
        <w:trPr>
          <w:trHeight w:val="20"/>
        </w:trPr>
        <w:tc>
          <w:tcPr>
            <w:tcW w:w="1936" w:type="dxa"/>
            <w:tcBorders>
              <w:top w:val="single" w:sz="6" w:space="0" w:color="auto"/>
              <w:left w:val="single" w:sz="6" w:space="0" w:color="auto"/>
              <w:bottom w:val="single" w:sz="6" w:space="0" w:color="auto"/>
              <w:right w:val="single" w:sz="6" w:space="0" w:color="auto"/>
            </w:tcBorders>
            <w:shd w:val="clear" w:color="000000" w:fill="FFFFFF"/>
          </w:tcPr>
          <w:p w14:paraId="11C0D753"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MC-YR</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2E11363D"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400.0</w:t>
            </w:r>
          </w:p>
        </w:tc>
        <w:tc>
          <w:tcPr>
            <w:tcW w:w="639" w:type="dxa"/>
            <w:tcBorders>
              <w:top w:val="single" w:sz="6" w:space="0" w:color="auto"/>
              <w:left w:val="single" w:sz="6" w:space="0" w:color="auto"/>
              <w:bottom w:val="single" w:sz="6" w:space="0" w:color="auto"/>
              <w:right w:val="single" w:sz="6" w:space="0" w:color="auto"/>
            </w:tcBorders>
            <w:shd w:val="clear" w:color="000000" w:fill="FFFFFF"/>
          </w:tcPr>
          <w:p w14:paraId="655A86A5"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101</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5CEC4287"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8.7</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6EC12608"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92.5</w:t>
            </w:r>
          </w:p>
        </w:tc>
        <w:tc>
          <w:tcPr>
            <w:tcW w:w="530" w:type="dxa"/>
            <w:tcBorders>
              <w:top w:val="single" w:sz="6" w:space="0" w:color="auto"/>
              <w:left w:val="single" w:sz="6" w:space="0" w:color="auto"/>
              <w:bottom w:val="single" w:sz="6" w:space="0" w:color="auto"/>
              <w:right w:val="single" w:sz="6" w:space="0" w:color="auto"/>
            </w:tcBorders>
            <w:shd w:val="clear" w:color="000000" w:fill="FFFFFF"/>
          </w:tcPr>
          <w:p w14:paraId="02DCFDD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2.2</w:t>
            </w:r>
          </w:p>
        </w:tc>
        <w:tc>
          <w:tcPr>
            <w:tcW w:w="703" w:type="dxa"/>
            <w:tcBorders>
              <w:top w:val="single" w:sz="6" w:space="0" w:color="auto"/>
              <w:left w:val="single" w:sz="6" w:space="0" w:color="auto"/>
              <w:bottom w:val="single" w:sz="6" w:space="0" w:color="auto"/>
              <w:right w:val="single" w:sz="6" w:space="0" w:color="auto"/>
            </w:tcBorders>
            <w:shd w:val="clear" w:color="000000" w:fill="FFFFFF"/>
          </w:tcPr>
          <w:p w14:paraId="7301E69B"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89.0</w:t>
            </w:r>
          </w:p>
        </w:tc>
        <w:tc>
          <w:tcPr>
            <w:tcW w:w="577" w:type="dxa"/>
            <w:tcBorders>
              <w:top w:val="single" w:sz="6" w:space="0" w:color="auto"/>
              <w:left w:val="single" w:sz="6" w:space="0" w:color="auto"/>
              <w:bottom w:val="single" w:sz="6" w:space="0" w:color="auto"/>
              <w:right w:val="single" w:sz="6" w:space="0" w:color="auto"/>
            </w:tcBorders>
            <w:shd w:val="clear" w:color="000000" w:fill="FFFFFF"/>
          </w:tcPr>
          <w:p w14:paraId="2AF8C48B"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6.7</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2498D93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96.4</w:t>
            </w:r>
          </w:p>
        </w:tc>
        <w:tc>
          <w:tcPr>
            <w:tcW w:w="521" w:type="dxa"/>
            <w:tcBorders>
              <w:top w:val="single" w:sz="6" w:space="0" w:color="auto"/>
              <w:left w:val="single" w:sz="6" w:space="0" w:color="auto"/>
              <w:bottom w:val="single" w:sz="6" w:space="0" w:color="auto"/>
              <w:right w:val="single" w:sz="6" w:space="0" w:color="auto"/>
            </w:tcBorders>
            <w:shd w:val="clear" w:color="000000" w:fill="FFFFFF"/>
          </w:tcPr>
          <w:p w14:paraId="16D11EB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1.5</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6F9349BC"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95.1</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00809E8C"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6.1</w:t>
            </w:r>
          </w:p>
        </w:tc>
      </w:tr>
      <w:tr w:rsidR="00A74CDF" w:rsidRPr="00F01347" w14:paraId="13452EB7" w14:textId="77777777">
        <w:trPr>
          <w:trHeight w:val="20"/>
        </w:trPr>
        <w:tc>
          <w:tcPr>
            <w:tcW w:w="1936" w:type="dxa"/>
            <w:tcBorders>
              <w:top w:val="single" w:sz="6" w:space="0" w:color="auto"/>
              <w:left w:val="single" w:sz="6" w:space="0" w:color="auto"/>
              <w:bottom w:val="single" w:sz="6" w:space="0" w:color="auto"/>
              <w:right w:val="single" w:sz="6" w:space="0" w:color="auto"/>
            </w:tcBorders>
            <w:shd w:val="clear" w:color="000000" w:fill="FFFFFF"/>
          </w:tcPr>
          <w:p w14:paraId="30DA83C8" w14:textId="77777777" w:rsidR="00A74CDF" w:rsidRPr="00F01347" w:rsidRDefault="00A74CDF" w:rsidP="003A601B">
            <w:pPr>
              <w:pStyle w:val="texto0"/>
              <w:spacing w:line="240" w:lineRule="exact"/>
              <w:ind w:firstLine="0"/>
              <w:rPr>
                <w:rFonts w:ascii="Verdana" w:hAnsi="Verdana"/>
                <w:color w:val="000000"/>
                <w:sz w:val="16"/>
                <w:szCs w:val="16"/>
              </w:rPr>
            </w:pPr>
            <w:proofErr w:type="spellStart"/>
            <w:r w:rsidRPr="00F01347">
              <w:rPr>
                <w:rFonts w:ascii="Verdana" w:hAnsi="Verdana"/>
                <w:color w:val="000000"/>
                <w:sz w:val="16"/>
                <w:szCs w:val="16"/>
              </w:rPr>
              <w:t>Nodularina</w:t>
            </w:r>
            <w:proofErr w:type="spellEnd"/>
            <w:r w:rsidRPr="00F01347">
              <w:rPr>
                <w:rFonts w:ascii="Verdana" w:hAnsi="Verdana"/>
                <w:color w:val="000000"/>
                <w:sz w:val="16"/>
                <w:szCs w:val="16"/>
              </w:rPr>
              <w:t>-R</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49FE4F0C"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195.7</w:t>
            </w:r>
          </w:p>
        </w:tc>
        <w:tc>
          <w:tcPr>
            <w:tcW w:w="639" w:type="dxa"/>
            <w:tcBorders>
              <w:top w:val="single" w:sz="6" w:space="0" w:color="auto"/>
              <w:left w:val="single" w:sz="6" w:space="0" w:color="auto"/>
              <w:bottom w:val="single" w:sz="6" w:space="0" w:color="auto"/>
              <w:right w:val="single" w:sz="6" w:space="0" w:color="auto"/>
            </w:tcBorders>
            <w:shd w:val="clear" w:color="000000" w:fill="FFFFFF"/>
          </w:tcPr>
          <w:p w14:paraId="3C2B4C7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91.7</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6421212F"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3.9</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6602EB8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92.0</w:t>
            </w:r>
          </w:p>
        </w:tc>
        <w:tc>
          <w:tcPr>
            <w:tcW w:w="530" w:type="dxa"/>
            <w:tcBorders>
              <w:top w:val="single" w:sz="6" w:space="0" w:color="auto"/>
              <w:left w:val="single" w:sz="6" w:space="0" w:color="auto"/>
              <w:bottom w:val="single" w:sz="6" w:space="0" w:color="auto"/>
              <w:right w:val="single" w:sz="6" w:space="0" w:color="auto"/>
            </w:tcBorders>
            <w:shd w:val="clear" w:color="000000" w:fill="FFFFFF"/>
          </w:tcPr>
          <w:p w14:paraId="19118F2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3.2</w:t>
            </w:r>
          </w:p>
        </w:tc>
        <w:tc>
          <w:tcPr>
            <w:tcW w:w="703" w:type="dxa"/>
            <w:tcBorders>
              <w:top w:val="single" w:sz="6" w:space="0" w:color="auto"/>
              <w:left w:val="single" w:sz="6" w:space="0" w:color="auto"/>
              <w:bottom w:val="single" w:sz="6" w:space="0" w:color="auto"/>
              <w:right w:val="single" w:sz="6" w:space="0" w:color="auto"/>
            </w:tcBorders>
            <w:shd w:val="clear" w:color="000000" w:fill="FFFFFF"/>
          </w:tcPr>
          <w:p w14:paraId="51ACA19B"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94.4</w:t>
            </w:r>
          </w:p>
        </w:tc>
        <w:tc>
          <w:tcPr>
            <w:tcW w:w="577" w:type="dxa"/>
            <w:tcBorders>
              <w:top w:val="single" w:sz="6" w:space="0" w:color="auto"/>
              <w:left w:val="single" w:sz="6" w:space="0" w:color="auto"/>
              <w:bottom w:val="single" w:sz="6" w:space="0" w:color="auto"/>
              <w:right w:val="single" w:sz="6" w:space="0" w:color="auto"/>
            </w:tcBorders>
            <w:shd w:val="clear" w:color="000000" w:fill="FFFFFF"/>
          </w:tcPr>
          <w:p w14:paraId="66C08F1F"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1.6</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043F93F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96.5</w:t>
            </w:r>
          </w:p>
        </w:tc>
        <w:tc>
          <w:tcPr>
            <w:tcW w:w="521" w:type="dxa"/>
            <w:tcBorders>
              <w:top w:val="single" w:sz="6" w:space="0" w:color="auto"/>
              <w:left w:val="single" w:sz="6" w:space="0" w:color="auto"/>
              <w:bottom w:val="single" w:sz="6" w:space="0" w:color="auto"/>
              <w:right w:val="single" w:sz="6" w:space="0" w:color="auto"/>
            </w:tcBorders>
            <w:shd w:val="clear" w:color="000000" w:fill="FFFFFF"/>
          </w:tcPr>
          <w:p w14:paraId="161C66AA"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2.3</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5A9B4BD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91.6</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12BA61C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3.3</w:t>
            </w:r>
          </w:p>
        </w:tc>
      </w:tr>
      <w:tr w:rsidR="00A74CDF" w:rsidRPr="00F01347" w14:paraId="0D1D50ED" w14:textId="77777777">
        <w:trPr>
          <w:trHeight w:val="20"/>
        </w:trPr>
        <w:tc>
          <w:tcPr>
            <w:tcW w:w="1936" w:type="dxa"/>
            <w:tcBorders>
              <w:top w:val="single" w:sz="6" w:space="0" w:color="auto"/>
              <w:left w:val="single" w:sz="6" w:space="0" w:color="auto"/>
              <w:bottom w:val="single" w:sz="6" w:space="0" w:color="auto"/>
              <w:right w:val="single" w:sz="6" w:space="0" w:color="auto"/>
            </w:tcBorders>
            <w:shd w:val="clear" w:color="000000" w:fill="FFFFFF"/>
          </w:tcPr>
          <w:p w14:paraId="601DD0C9"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MC-RR</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72DF929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187.5</w:t>
            </w:r>
          </w:p>
        </w:tc>
        <w:tc>
          <w:tcPr>
            <w:tcW w:w="639" w:type="dxa"/>
            <w:tcBorders>
              <w:top w:val="single" w:sz="6" w:space="0" w:color="auto"/>
              <w:left w:val="single" w:sz="6" w:space="0" w:color="auto"/>
              <w:bottom w:val="single" w:sz="6" w:space="0" w:color="auto"/>
              <w:right w:val="single" w:sz="6" w:space="0" w:color="auto"/>
            </w:tcBorders>
            <w:shd w:val="clear" w:color="000000" w:fill="FFFFFF"/>
          </w:tcPr>
          <w:p w14:paraId="0607E0C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91.7</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77473364"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2.1</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018B824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94.6</w:t>
            </w:r>
          </w:p>
        </w:tc>
        <w:tc>
          <w:tcPr>
            <w:tcW w:w="530" w:type="dxa"/>
            <w:tcBorders>
              <w:top w:val="single" w:sz="6" w:space="0" w:color="auto"/>
              <w:left w:val="single" w:sz="6" w:space="0" w:color="auto"/>
              <w:bottom w:val="single" w:sz="6" w:space="0" w:color="auto"/>
              <w:right w:val="single" w:sz="6" w:space="0" w:color="auto"/>
            </w:tcBorders>
            <w:shd w:val="clear" w:color="000000" w:fill="FFFFFF"/>
          </w:tcPr>
          <w:p w14:paraId="6010EC6D"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3.4</w:t>
            </w:r>
          </w:p>
        </w:tc>
        <w:tc>
          <w:tcPr>
            <w:tcW w:w="703" w:type="dxa"/>
            <w:tcBorders>
              <w:top w:val="single" w:sz="6" w:space="0" w:color="auto"/>
              <w:left w:val="single" w:sz="6" w:space="0" w:color="auto"/>
              <w:bottom w:val="single" w:sz="6" w:space="0" w:color="auto"/>
              <w:right w:val="single" w:sz="6" w:space="0" w:color="auto"/>
            </w:tcBorders>
            <w:shd w:val="clear" w:color="000000" w:fill="FFFFFF"/>
          </w:tcPr>
          <w:p w14:paraId="044AF24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94.9</w:t>
            </w:r>
          </w:p>
        </w:tc>
        <w:tc>
          <w:tcPr>
            <w:tcW w:w="577" w:type="dxa"/>
            <w:tcBorders>
              <w:top w:val="single" w:sz="6" w:space="0" w:color="auto"/>
              <w:left w:val="single" w:sz="6" w:space="0" w:color="auto"/>
              <w:bottom w:val="single" w:sz="6" w:space="0" w:color="auto"/>
              <w:right w:val="single" w:sz="6" w:space="0" w:color="auto"/>
            </w:tcBorders>
            <w:shd w:val="clear" w:color="000000" w:fill="FFFFFF"/>
          </w:tcPr>
          <w:p w14:paraId="4A3C990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1.7</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11C88814"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94.9</w:t>
            </w:r>
          </w:p>
        </w:tc>
        <w:tc>
          <w:tcPr>
            <w:tcW w:w="521" w:type="dxa"/>
            <w:tcBorders>
              <w:top w:val="single" w:sz="6" w:space="0" w:color="auto"/>
              <w:left w:val="single" w:sz="6" w:space="0" w:color="auto"/>
              <w:bottom w:val="single" w:sz="6" w:space="0" w:color="auto"/>
              <w:right w:val="single" w:sz="6" w:space="0" w:color="auto"/>
            </w:tcBorders>
            <w:shd w:val="clear" w:color="000000" w:fill="FFFFFF"/>
          </w:tcPr>
          <w:p w14:paraId="5519208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1.7</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400112BD"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90.3</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0438ABA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0.6</w:t>
            </w:r>
          </w:p>
        </w:tc>
      </w:tr>
      <w:tr w:rsidR="00A74CDF" w:rsidRPr="00F01347" w14:paraId="2D01F287" w14:textId="77777777">
        <w:trPr>
          <w:trHeight w:val="20"/>
        </w:trPr>
        <w:tc>
          <w:tcPr>
            <w:tcW w:w="1936" w:type="dxa"/>
            <w:tcBorders>
              <w:top w:val="single" w:sz="6" w:space="0" w:color="auto"/>
              <w:left w:val="single" w:sz="6" w:space="0" w:color="auto"/>
              <w:bottom w:val="single" w:sz="6" w:space="0" w:color="auto"/>
              <w:right w:val="single" w:sz="6" w:space="0" w:color="auto"/>
            </w:tcBorders>
            <w:shd w:val="clear" w:color="000000" w:fill="FFFFFF"/>
          </w:tcPr>
          <w:p w14:paraId="38B65D3A"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MC-LR</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47235EB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400.0</w:t>
            </w:r>
          </w:p>
        </w:tc>
        <w:tc>
          <w:tcPr>
            <w:tcW w:w="639" w:type="dxa"/>
            <w:tcBorders>
              <w:top w:val="single" w:sz="6" w:space="0" w:color="auto"/>
              <w:left w:val="single" w:sz="6" w:space="0" w:color="auto"/>
              <w:bottom w:val="single" w:sz="6" w:space="0" w:color="auto"/>
              <w:right w:val="single" w:sz="6" w:space="0" w:color="auto"/>
            </w:tcBorders>
            <w:shd w:val="clear" w:color="000000" w:fill="FFFFFF"/>
          </w:tcPr>
          <w:p w14:paraId="32F4D0B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89.4</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74F7041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2.3</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4364045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87.2</w:t>
            </w:r>
          </w:p>
        </w:tc>
        <w:tc>
          <w:tcPr>
            <w:tcW w:w="530" w:type="dxa"/>
            <w:tcBorders>
              <w:top w:val="single" w:sz="6" w:space="0" w:color="auto"/>
              <w:left w:val="single" w:sz="6" w:space="0" w:color="auto"/>
              <w:bottom w:val="single" w:sz="6" w:space="0" w:color="auto"/>
              <w:right w:val="single" w:sz="6" w:space="0" w:color="auto"/>
            </w:tcBorders>
            <w:shd w:val="clear" w:color="000000" w:fill="FFFFFF"/>
          </w:tcPr>
          <w:p w14:paraId="6F07B40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2.5</w:t>
            </w:r>
          </w:p>
        </w:tc>
        <w:tc>
          <w:tcPr>
            <w:tcW w:w="703" w:type="dxa"/>
            <w:tcBorders>
              <w:top w:val="single" w:sz="6" w:space="0" w:color="auto"/>
              <w:left w:val="single" w:sz="6" w:space="0" w:color="auto"/>
              <w:bottom w:val="single" w:sz="6" w:space="0" w:color="auto"/>
              <w:right w:val="single" w:sz="6" w:space="0" w:color="auto"/>
            </w:tcBorders>
            <w:shd w:val="clear" w:color="000000" w:fill="FFFFFF"/>
          </w:tcPr>
          <w:p w14:paraId="1593623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89.4</w:t>
            </w:r>
          </w:p>
        </w:tc>
        <w:tc>
          <w:tcPr>
            <w:tcW w:w="577" w:type="dxa"/>
            <w:tcBorders>
              <w:top w:val="single" w:sz="6" w:space="0" w:color="auto"/>
              <w:left w:val="single" w:sz="6" w:space="0" w:color="auto"/>
              <w:bottom w:val="single" w:sz="6" w:space="0" w:color="auto"/>
              <w:right w:val="single" w:sz="6" w:space="0" w:color="auto"/>
            </w:tcBorders>
            <w:shd w:val="clear" w:color="000000" w:fill="FFFFFF"/>
          </w:tcPr>
          <w:p w14:paraId="522CA064"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2.3</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1511FB3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90.2</w:t>
            </w:r>
          </w:p>
        </w:tc>
        <w:tc>
          <w:tcPr>
            <w:tcW w:w="521" w:type="dxa"/>
            <w:tcBorders>
              <w:top w:val="single" w:sz="6" w:space="0" w:color="auto"/>
              <w:left w:val="single" w:sz="6" w:space="0" w:color="auto"/>
              <w:bottom w:val="single" w:sz="6" w:space="0" w:color="auto"/>
              <w:right w:val="single" w:sz="6" w:space="0" w:color="auto"/>
            </w:tcBorders>
            <w:shd w:val="clear" w:color="000000" w:fill="FFFFFF"/>
          </w:tcPr>
          <w:p w14:paraId="6DDE38A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2.1</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012F4A5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86.4</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0E42A007"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1.3</w:t>
            </w:r>
          </w:p>
        </w:tc>
      </w:tr>
      <w:tr w:rsidR="00A74CDF" w:rsidRPr="00F01347" w14:paraId="5CBC9686" w14:textId="77777777">
        <w:trPr>
          <w:trHeight w:val="20"/>
        </w:trPr>
        <w:tc>
          <w:tcPr>
            <w:tcW w:w="1936" w:type="dxa"/>
            <w:tcBorders>
              <w:top w:val="single" w:sz="6" w:space="0" w:color="auto"/>
              <w:left w:val="single" w:sz="6" w:space="0" w:color="auto"/>
              <w:bottom w:val="single" w:sz="6" w:space="0" w:color="auto"/>
              <w:right w:val="single" w:sz="6" w:space="0" w:color="auto"/>
            </w:tcBorders>
            <w:shd w:val="clear" w:color="000000" w:fill="FFFFFF"/>
          </w:tcPr>
          <w:p w14:paraId="3EC1FD0C"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MC-LA</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331588F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1 000</w:t>
            </w:r>
          </w:p>
        </w:tc>
        <w:tc>
          <w:tcPr>
            <w:tcW w:w="639" w:type="dxa"/>
            <w:tcBorders>
              <w:top w:val="single" w:sz="6" w:space="0" w:color="auto"/>
              <w:left w:val="single" w:sz="6" w:space="0" w:color="auto"/>
              <w:bottom w:val="single" w:sz="6" w:space="0" w:color="auto"/>
              <w:right w:val="single" w:sz="6" w:space="0" w:color="auto"/>
            </w:tcBorders>
            <w:shd w:val="clear" w:color="000000" w:fill="FFFFFF"/>
          </w:tcPr>
          <w:p w14:paraId="5C3363F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91.2</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3A8EA91D"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0.9</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0DFA81B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90.6</w:t>
            </w:r>
          </w:p>
        </w:tc>
        <w:tc>
          <w:tcPr>
            <w:tcW w:w="530" w:type="dxa"/>
            <w:tcBorders>
              <w:top w:val="single" w:sz="6" w:space="0" w:color="auto"/>
              <w:left w:val="single" w:sz="6" w:space="0" w:color="auto"/>
              <w:bottom w:val="single" w:sz="6" w:space="0" w:color="auto"/>
              <w:right w:val="single" w:sz="6" w:space="0" w:color="auto"/>
            </w:tcBorders>
            <w:shd w:val="clear" w:color="000000" w:fill="FFFFFF"/>
          </w:tcPr>
          <w:p w14:paraId="5E4F54EC"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2.3</w:t>
            </w:r>
          </w:p>
        </w:tc>
        <w:tc>
          <w:tcPr>
            <w:tcW w:w="703" w:type="dxa"/>
            <w:tcBorders>
              <w:top w:val="single" w:sz="6" w:space="0" w:color="auto"/>
              <w:left w:val="single" w:sz="6" w:space="0" w:color="auto"/>
              <w:bottom w:val="single" w:sz="6" w:space="0" w:color="auto"/>
              <w:right w:val="single" w:sz="6" w:space="0" w:color="auto"/>
            </w:tcBorders>
            <w:shd w:val="clear" w:color="000000" w:fill="FFFFFF"/>
          </w:tcPr>
          <w:p w14:paraId="2479BCD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87.2</w:t>
            </w:r>
          </w:p>
        </w:tc>
        <w:tc>
          <w:tcPr>
            <w:tcW w:w="577" w:type="dxa"/>
            <w:tcBorders>
              <w:top w:val="single" w:sz="6" w:space="0" w:color="auto"/>
              <w:left w:val="single" w:sz="6" w:space="0" w:color="auto"/>
              <w:bottom w:val="single" w:sz="6" w:space="0" w:color="auto"/>
              <w:right w:val="single" w:sz="6" w:space="0" w:color="auto"/>
            </w:tcBorders>
            <w:shd w:val="clear" w:color="000000" w:fill="FFFFFF"/>
          </w:tcPr>
          <w:p w14:paraId="6D4EA5E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1.8</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7D3E626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90.2</w:t>
            </w:r>
          </w:p>
        </w:tc>
        <w:tc>
          <w:tcPr>
            <w:tcW w:w="521" w:type="dxa"/>
            <w:tcBorders>
              <w:top w:val="single" w:sz="6" w:space="0" w:color="auto"/>
              <w:left w:val="single" w:sz="6" w:space="0" w:color="auto"/>
              <w:bottom w:val="single" w:sz="6" w:space="0" w:color="auto"/>
              <w:right w:val="single" w:sz="6" w:space="0" w:color="auto"/>
            </w:tcBorders>
            <w:shd w:val="clear" w:color="000000" w:fill="FFFFFF"/>
          </w:tcPr>
          <w:p w14:paraId="5D53111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1.7</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56C2A3CC"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88.1</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0412B52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1.5</w:t>
            </w:r>
          </w:p>
        </w:tc>
      </w:tr>
      <w:tr w:rsidR="00A74CDF" w:rsidRPr="00F01347" w14:paraId="6B81E040" w14:textId="77777777">
        <w:trPr>
          <w:trHeight w:val="20"/>
        </w:trPr>
        <w:tc>
          <w:tcPr>
            <w:tcW w:w="1936" w:type="dxa"/>
            <w:tcBorders>
              <w:top w:val="single" w:sz="6" w:space="0" w:color="auto"/>
              <w:left w:val="single" w:sz="6" w:space="0" w:color="auto"/>
              <w:bottom w:val="single" w:sz="6" w:space="0" w:color="auto"/>
              <w:right w:val="single" w:sz="6" w:space="0" w:color="auto"/>
            </w:tcBorders>
            <w:shd w:val="clear" w:color="000000" w:fill="FFFFFF"/>
          </w:tcPr>
          <w:p w14:paraId="49E76819"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MC-LY</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4D91639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400.0</w:t>
            </w:r>
          </w:p>
        </w:tc>
        <w:tc>
          <w:tcPr>
            <w:tcW w:w="639" w:type="dxa"/>
            <w:tcBorders>
              <w:top w:val="single" w:sz="6" w:space="0" w:color="auto"/>
              <w:left w:val="single" w:sz="6" w:space="0" w:color="auto"/>
              <w:bottom w:val="single" w:sz="6" w:space="0" w:color="auto"/>
              <w:right w:val="single" w:sz="6" w:space="0" w:color="auto"/>
            </w:tcBorders>
            <w:shd w:val="clear" w:color="000000" w:fill="FFFFFF"/>
          </w:tcPr>
          <w:p w14:paraId="5DA78AC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88.4</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7F82C63B"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1.8</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56FBC78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87.9</w:t>
            </w:r>
          </w:p>
        </w:tc>
        <w:tc>
          <w:tcPr>
            <w:tcW w:w="530" w:type="dxa"/>
            <w:tcBorders>
              <w:top w:val="single" w:sz="6" w:space="0" w:color="auto"/>
              <w:left w:val="single" w:sz="6" w:space="0" w:color="auto"/>
              <w:bottom w:val="single" w:sz="6" w:space="0" w:color="auto"/>
              <w:right w:val="single" w:sz="6" w:space="0" w:color="auto"/>
            </w:tcBorders>
            <w:shd w:val="clear" w:color="000000" w:fill="FFFFFF"/>
          </w:tcPr>
          <w:p w14:paraId="1421ACA8"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2.0</w:t>
            </w:r>
          </w:p>
        </w:tc>
        <w:tc>
          <w:tcPr>
            <w:tcW w:w="703" w:type="dxa"/>
            <w:tcBorders>
              <w:top w:val="single" w:sz="6" w:space="0" w:color="auto"/>
              <w:left w:val="single" w:sz="6" w:space="0" w:color="auto"/>
              <w:bottom w:val="single" w:sz="6" w:space="0" w:color="auto"/>
              <w:right w:val="single" w:sz="6" w:space="0" w:color="auto"/>
            </w:tcBorders>
            <w:shd w:val="clear" w:color="000000" w:fill="FFFFFF"/>
          </w:tcPr>
          <w:p w14:paraId="6AE9681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89.3</w:t>
            </w:r>
          </w:p>
        </w:tc>
        <w:tc>
          <w:tcPr>
            <w:tcW w:w="577" w:type="dxa"/>
            <w:tcBorders>
              <w:top w:val="single" w:sz="6" w:space="0" w:color="auto"/>
              <w:left w:val="single" w:sz="6" w:space="0" w:color="auto"/>
              <w:bottom w:val="single" w:sz="6" w:space="0" w:color="auto"/>
              <w:right w:val="single" w:sz="6" w:space="0" w:color="auto"/>
            </w:tcBorders>
            <w:shd w:val="clear" w:color="000000" w:fill="FFFFFF"/>
          </w:tcPr>
          <w:p w14:paraId="174C44DB"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1.1</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63FA461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89.9</w:t>
            </w:r>
          </w:p>
        </w:tc>
        <w:tc>
          <w:tcPr>
            <w:tcW w:w="521" w:type="dxa"/>
            <w:tcBorders>
              <w:top w:val="single" w:sz="6" w:space="0" w:color="auto"/>
              <w:left w:val="single" w:sz="6" w:space="0" w:color="auto"/>
              <w:bottom w:val="single" w:sz="6" w:space="0" w:color="auto"/>
              <w:right w:val="single" w:sz="6" w:space="0" w:color="auto"/>
            </w:tcBorders>
            <w:shd w:val="clear" w:color="000000" w:fill="FFFFFF"/>
          </w:tcPr>
          <w:p w14:paraId="135F097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1.1</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3FF9F2EA"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88.1</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72E8E40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1.9</w:t>
            </w:r>
          </w:p>
        </w:tc>
      </w:tr>
      <w:tr w:rsidR="00A74CDF" w:rsidRPr="00F01347" w14:paraId="157C0FE3" w14:textId="77777777">
        <w:trPr>
          <w:trHeight w:val="20"/>
        </w:trPr>
        <w:tc>
          <w:tcPr>
            <w:tcW w:w="1936" w:type="dxa"/>
            <w:tcBorders>
              <w:top w:val="single" w:sz="6" w:space="0" w:color="auto"/>
              <w:left w:val="single" w:sz="6" w:space="0" w:color="auto"/>
              <w:bottom w:val="single" w:sz="6" w:space="0" w:color="auto"/>
              <w:right w:val="single" w:sz="6" w:space="0" w:color="auto"/>
            </w:tcBorders>
            <w:shd w:val="clear" w:color="000000" w:fill="FFFFFF"/>
          </w:tcPr>
          <w:p w14:paraId="7084D821"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MC-LF</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336464F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400.0</w:t>
            </w:r>
          </w:p>
        </w:tc>
        <w:tc>
          <w:tcPr>
            <w:tcW w:w="639" w:type="dxa"/>
            <w:tcBorders>
              <w:top w:val="single" w:sz="6" w:space="0" w:color="auto"/>
              <w:left w:val="single" w:sz="6" w:space="0" w:color="auto"/>
              <w:bottom w:val="single" w:sz="6" w:space="0" w:color="auto"/>
              <w:right w:val="single" w:sz="6" w:space="0" w:color="auto"/>
            </w:tcBorders>
            <w:shd w:val="clear" w:color="000000" w:fill="FFFFFF"/>
          </w:tcPr>
          <w:p w14:paraId="2D81749A"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89.1</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5A6305DF"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2.3</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23E5124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86.4</w:t>
            </w:r>
          </w:p>
        </w:tc>
        <w:tc>
          <w:tcPr>
            <w:tcW w:w="530" w:type="dxa"/>
            <w:tcBorders>
              <w:top w:val="single" w:sz="6" w:space="0" w:color="auto"/>
              <w:left w:val="single" w:sz="6" w:space="0" w:color="auto"/>
              <w:bottom w:val="single" w:sz="6" w:space="0" w:color="auto"/>
              <w:right w:val="single" w:sz="6" w:space="0" w:color="auto"/>
            </w:tcBorders>
            <w:shd w:val="clear" w:color="000000" w:fill="FFFFFF"/>
          </w:tcPr>
          <w:p w14:paraId="25FA2414"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1.6</w:t>
            </w:r>
          </w:p>
        </w:tc>
        <w:tc>
          <w:tcPr>
            <w:tcW w:w="703" w:type="dxa"/>
            <w:tcBorders>
              <w:top w:val="single" w:sz="6" w:space="0" w:color="auto"/>
              <w:left w:val="single" w:sz="6" w:space="0" w:color="auto"/>
              <w:bottom w:val="single" w:sz="6" w:space="0" w:color="auto"/>
              <w:right w:val="single" w:sz="6" w:space="0" w:color="auto"/>
            </w:tcBorders>
            <w:shd w:val="clear" w:color="000000" w:fill="FFFFFF"/>
          </w:tcPr>
          <w:p w14:paraId="0846CC4A"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86.6</w:t>
            </w:r>
          </w:p>
        </w:tc>
        <w:tc>
          <w:tcPr>
            <w:tcW w:w="577" w:type="dxa"/>
            <w:tcBorders>
              <w:top w:val="single" w:sz="6" w:space="0" w:color="auto"/>
              <w:left w:val="single" w:sz="6" w:space="0" w:color="auto"/>
              <w:bottom w:val="single" w:sz="6" w:space="0" w:color="auto"/>
              <w:right w:val="single" w:sz="6" w:space="0" w:color="auto"/>
            </w:tcBorders>
            <w:shd w:val="clear" w:color="000000" w:fill="FFFFFF"/>
          </w:tcPr>
          <w:p w14:paraId="1F17EF2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1.2</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743D79F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86.6</w:t>
            </w:r>
          </w:p>
        </w:tc>
        <w:tc>
          <w:tcPr>
            <w:tcW w:w="521" w:type="dxa"/>
            <w:tcBorders>
              <w:top w:val="single" w:sz="6" w:space="0" w:color="auto"/>
              <w:left w:val="single" w:sz="6" w:space="0" w:color="auto"/>
              <w:bottom w:val="single" w:sz="6" w:space="0" w:color="auto"/>
              <w:right w:val="single" w:sz="6" w:space="0" w:color="auto"/>
            </w:tcBorders>
            <w:shd w:val="clear" w:color="000000" w:fill="FFFFFF"/>
          </w:tcPr>
          <w:p w14:paraId="757CBC5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2.2</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4D514345"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85.4</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418E91CC"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2.1</w:t>
            </w:r>
          </w:p>
        </w:tc>
      </w:tr>
      <w:tr w:rsidR="00A74CDF" w:rsidRPr="00F01347" w14:paraId="4718439C" w14:textId="77777777">
        <w:trPr>
          <w:trHeight w:val="20"/>
        </w:trPr>
        <w:tc>
          <w:tcPr>
            <w:tcW w:w="1936" w:type="dxa"/>
            <w:tcBorders>
              <w:top w:val="single" w:sz="6" w:space="0" w:color="auto"/>
              <w:left w:val="single" w:sz="6" w:space="0" w:color="auto"/>
              <w:bottom w:val="single" w:sz="6" w:space="0" w:color="auto"/>
              <w:right w:val="single" w:sz="6" w:space="0" w:color="auto"/>
            </w:tcBorders>
            <w:shd w:val="clear" w:color="000000" w:fill="FFFFFF"/>
          </w:tcPr>
          <w:p w14:paraId="537A2399"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C</w:t>
            </w:r>
            <w:r w:rsidRPr="00F01347">
              <w:rPr>
                <w:rFonts w:ascii="Verdana" w:hAnsi="Verdana"/>
                <w:color w:val="000000"/>
                <w:sz w:val="16"/>
                <w:szCs w:val="16"/>
                <w:vertAlign w:val="subscript"/>
              </w:rPr>
              <w:t>2</w:t>
            </w:r>
            <w:r w:rsidRPr="00F01347">
              <w:rPr>
                <w:rFonts w:ascii="Verdana" w:hAnsi="Verdana"/>
                <w:color w:val="000000"/>
                <w:sz w:val="16"/>
                <w:szCs w:val="16"/>
              </w:rPr>
              <w:t>D</w:t>
            </w:r>
            <w:r w:rsidRPr="00F01347">
              <w:rPr>
                <w:rFonts w:ascii="Verdana" w:hAnsi="Verdana"/>
                <w:color w:val="000000"/>
                <w:sz w:val="16"/>
                <w:szCs w:val="16"/>
                <w:vertAlign w:val="subscript"/>
              </w:rPr>
              <w:t>5</w:t>
            </w:r>
            <w:r w:rsidRPr="00F01347">
              <w:rPr>
                <w:rFonts w:ascii="Verdana" w:hAnsi="Verdana"/>
                <w:color w:val="000000"/>
                <w:sz w:val="16"/>
                <w:szCs w:val="16"/>
              </w:rPr>
              <w:t xml:space="preserve">-MC-LR (SUR) </w:t>
            </w:r>
            <w:r w:rsidRPr="00F01347">
              <w:rPr>
                <w:rFonts w:ascii="Verdana" w:hAnsi="Verdana"/>
                <w:color w:val="000000"/>
                <w:sz w:val="16"/>
                <w:szCs w:val="16"/>
                <w:vertAlign w:val="superscript"/>
              </w:rPr>
              <w:t>b</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0FB47DE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259.6</w:t>
            </w:r>
          </w:p>
        </w:tc>
        <w:tc>
          <w:tcPr>
            <w:tcW w:w="639" w:type="dxa"/>
            <w:tcBorders>
              <w:top w:val="single" w:sz="6" w:space="0" w:color="auto"/>
              <w:left w:val="single" w:sz="6" w:space="0" w:color="auto"/>
              <w:bottom w:val="single" w:sz="6" w:space="0" w:color="auto"/>
              <w:right w:val="single" w:sz="6" w:space="0" w:color="auto"/>
            </w:tcBorders>
            <w:shd w:val="clear" w:color="000000" w:fill="FFFFFF"/>
          </w:tcPr>
          <w:p w14:paraId="1A4EA7D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86.9</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5688A66F"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5.4</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5365E24A"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92.8</w:t>
            </w:r>
          </w:p>
        </w:tc>
        <w:tc>
          <w:tcPr>
            <w:tcW w:w="530" w:type="dxa"/>
            <w:tcBorders>
              <w:top w:val="single" w:sz="6" w:space="0" w:color="auto"/>
              <w:left w:val="single" w:sz="6" w:space="0" w:color="auto"/>
              <w:bottom w:val="single" w:sz="6" w:space="0" w:color="auto"/>
              <w:right w:val="single" w:sz="6" w:space="0" w:color="auto"/>
            </w:tcBorders>
            <w:shd w:val="clear" w:color="000000" w:fill="FFFFFF"/>
          </w:tcPr>
          <w:p w14:paraId="06A7154A"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0.7</w:t>
            </w:r>
          </w:p>
        </w:tc>
        <w:tc>
          <w:tcPr>
            <w:tcW w:w="703" w:type="dxa"/>
            <w:tcBorders>
              <w:top w:val="single" w:sz="6" w:space="0" w:color="auto"/>
              <w:left w:val="single" w:sz="6" w:space="0" w:color="auto"/>
              <w:bottom w:val="single" w:sz="6" w:space="0" w:color="auto"/>
              <w:right w:val="single" w:sz="6" w:space="0" w:color="auto"/>
            </w:tcBorders>
            <w:shd w:val="clear" w:color="000000" w:fill="FFFFFF"/>
          </w:tcPr>
          <w:p w14:paraId="52E87AA5"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89.7</w:t>
            </w:r>
          </w:p>
        </w:tc>
        <w:tc>
          <w:tcPr>
            <w:tcW w:w="577" w:type="dxa"/>
            <w:tcBorders>
              <w:top w:val="single" w:sz="6" w:space="0" w:color="auto"/>
              <w:left w:val="single" w:sz="6" w:space="0" w:color="auto"/>
              <w:bottom w:val="single" w:sz="6" w:space="0" w:color="auto"/>
              <w:right w:val="single" w:sz="6" w:space="0" w:color="auto"/>
            </w:tcBorders>
            <w:shd w:val="clear" w:color="000000" w:fill="FFFFFF"/>
          </w:tcPr>
          <w:p w14:paraId="3BB5DFB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3.3</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4B5425C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92.8</w:t>
            </w:r>
          </w:p>
        </w:tc>
        <w:tc>
          <w:tcPr>
            <w:tcW w:w="521" w:type="dxa"/>
            <w:tcBorders>
              <w:top w:val="single" w:sz="6" w:space="0" w:color="auto"/>
              <w:left w:val="single" w:sz="6" w:space="0" w:color="auto"/>
              <w:bottom w:val="single" w:sz="6" w:space="0" w:color="auto"/>
              <w:right w:val="single" w:sz="6" w:space="0" w:color="auto"/>
            </w:tcBorders>
            <w:shd w:val="clear" w:color="000000" w:fill="FFFFFF"/>
          </w:tcPr>
          <w:p w14:paraId="763B1DC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3.4</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54F19815"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92.0</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53643A2A"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4.1</w:t>
            </w:r>
          </w:p>
        </w:tc>
      </w:tr>
      <w:tr w:rsidR="00A74CDF" w:rsidRPr="00F01347" w14:paraId="111B583F" w14:textId="77777777">
        <w:trPr>
          <w:trHeight w:val="20"/>
        </w:trPr>
        <w:tc>
          <w:tcPr>
            <w:tcW w:w="8712" w:type="dxa"/>
            <w:gridSpan w:val="12"/>
            <w:tcBorders>
              <w:top w:val="single" w:sz="6" w:space="0" w:color="auto"/>
            </w:tcBorders>
            <w:shd w:val="clear" w:color="000000" w:fill="FFFFFF"/>
          </w:tcPr>
          <w:p w14:paraId="08E69629"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vertAlign w:val="superscript"/>
              </w:rPr>
              <w:t>a</w:t>
            </w:r>
            <w:r w:rsidRPr="00F01347">
              <w:rPr>
                <w:rFonts w:ascii="Verdana" w:hAnsi="Verdana"/>
                <w:color w:val="000000"/>
                <w:sz w:val="16"/>
                <w:szCs w:val="16"/>
              </w:rPr>
              <w:t xml:space="preserve"> TOC= 0.9mg/L; dureza=120mg/L como carbonato de calcio</w:t>
            </w:r>
          </w:p>
        </w:tc>
      </w:tr>
      <w:tr w:rsidR="00A74CDF" w:rsidRPr="00F01347" w14:paraId="03D0D7BC" w14:textId="77777777">
        <w:trPr>
          <w:trHeight w:val="20"/>
        </w:trPr>
        <w:tc>
          <w:tcPr>
            <w:tcW w:w="8712" w:type="dxa"/>
            <w:gridSpan w:val="12"/>
            <w:shd w:val="clear" w:color="000000" w:fill="FFFFFF"/>
          </w:tcPr>
          <w:p w14:paraId="611528F3"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vertAlign w:val="superscript"/>
              </w:rPr>
              <w:t>b</w:t>
            </w:r>
            <w:r w:rsidRPr="00F01347">
              <w:rPr>
                <w:rFonts w:ascii="Verdana" w:hAnsi="Verdana"/>
                <w:color w:val="000000"/>
                <w:sz w:val="16"/>
                <w:szCs w:val="16"/>
              </w:rPr>
              <w:t xml:space="preserve"> No se añadió </w:t>
            </w:r>
            <w:proofErr w:type="spellStart"/>
            <w:r w:rsidRPr="00F01347">
              <w:rPr>
                <w:rFonts w:ascii="Verdana" w:hAnsi="Verdana"/>
                <w:color w:val="000000"/>
                <w:sz w:val="16"/>
                <w:szCs w:val="16"/>
              </w:rPr>
              <w:t>surrogado</w:t>
            </w:r>
            <w:proofErr w:type="spellEnd"/>
            <w:r w:rsidRPr="00F01347">
              <w:rPr>
                <w:rFonts w:ascii="Verdana" w:hAnsi="Verdana"/>
                <w:color w:val="000000"/>
                <w:sz w:val="16"/>
                <w:szCs w:val="16"/>
              </w:rPr>
              <w:t xml:space="preserve"> a las muestras hasta el día de la extracción</w:t>
            </w:r>
          </w:p>
        </w:tc>
      </w:tr>
    </w:tbl>
    <w:p w14:paraId="7DF0F885" w14:textId="77777777" w:rsidR="00A74CDF" w:rsidRPr="00F01347" w:rsidRDefault="00A74CDF" w:rsidP="003A601B">
      <w:pPr>
        <w:pStyle w:val="texto0"/>
        <w:spacing w:line="240" w:lineRule="exact"/>
        <w:rPr>
          <w:rFonts w:ascii="Verdana" w:hAnsi="Verdana"/>
          <w:sz w:val="16"/>
          <w:szCs w:val="16"/>
        </w:rPr>
      </w:pPr>
    </w:p>
    <w:p w14:paraId="3CC7E9E3" w14:textId="77777777" w:rsidR="00541DEE" w:rsidRPr="00F01347" w:rsidRDefault="00541DEE" w:rsidP="00541DEE">
      <w:pPr>
        <w:pStyle w:val="texto0"/>
        <w:spacing w:line="230" w:lineRule="exact"/>
        <w:rPr>
          <w:rFonts w:ascii="Verdana" w:hAnsi="Verdana"/>
          <w:sz w:val="16"/>
          <w:szCs w:val="16"/>
        </w:rPr>
      </w:pPr>
    </w:p>
    <w:tbl>
      <w:tblPr>
        <w:tblW w:w="8715" w:type="dxa"/>
        <w:tblInd w:w="144" w:type="dxa"/>
        <w:tblLayout w:type="fixed"/>
        <w:tblCellMar>
          <w:left w:w="70" w:type="dxa"/>
          <w:right w:w="70" w:type="dxa"/>
        </w:tblCellMar>
        <w:tblLook w:val="04A0" w:firstRow="1" w:lastRow="0" w:firstColumn="1" w:lastColumn="0" w:noHBand="0" w:noVBand="1"/>
      </w:tblPr>
      <w:tblGrid>
        <w:gridCol w:w="1938"/>
        <w:gridCol w:w="939"/>
        <w:gridCol w:w="639"/>
        <w:gridCol w:w="552"/>
        <w:gridCol w:w="613"/>
        <w:gridCol w:w="530"/>
        <w:gridCol w:w="703"/>
        <w:gridCol w:w="577"/>
        <w:gridCol w:w="600"/>
        <w:gridCol w:w="521"/>
        <w:gridCol w:w="567"/>
        <w:gridCol w:w="536"/>
      </w:tblGrid>
      <w:tr w:rsidR="00541DEE" w:rsidRPr="00F01347" w14:paraId="16BABCC3" w14:textId="77777777" w:rsidTr="00541DEE">
        <w:trPr>
          <w:trHeight w:val="20"/>
        </w:trPr>
        <w:tc>
          <w:tcPr>
            <w:tcW w:w="8712" w:type="dxa"/>
            <w:gridSpan w:val="12"/>
            <w:shd w:val="clear" w:color="auto" w:fill="FFFFFF"/>
            <w:noWrap/>
            <w:hideMark/>
          </w:tcPr>
          <w:p w14:paraId="5C648121" w14:textId="599FAEA6"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b/>
                <w:sz w:val="16"/>
                <w:szCs w:val="16"/>
                <w:lang w:val="en-US"/>
              </w:rPr>
              <w:br w:type="page"/>
            </w:r>
            <w:r w:rsidRPr="00F01347">
              <w:rPr>
                <w:rFonts w:ascii="Verdana" w:hAnsi="Verdana"/>
                <w:b/>
                <w:color w:val="000000"/>
                <w:sz w:val="16"/>
                <w:szCs w:val="16"/>
                <w:lang w:val="en-US"/>
              </w:rPr>
              <w:t xml:space="preserve">Table B.1.2-4. </w:t>
            </w:r>
            <w:r w:rsidRPr="00F01347">
              <w:rPr>
                <w:rFonts w:ascii="Verdana" w:hAnsi="Verdana"/>
                <w:color w:val="000000"/>
                <w:sz w:val="16"/>
                <w:szCs w:val="16"/>
                <w:lang w:val="en-US"/>
              </w:rPr>
              <w:t>Waiting times for aqueous samples for water samples for human use and consumption from surface sources</w:t>
            </w:r>
            <w:r w:rsidR="003E1BA9" w:rsidRPr="00F01347">
              <w:rPr>
                <w:rFonts w:ascii="Verdana" w:hAnsi="Verdana"/>
                <w:color w:val="000000"/>
                <w:sz w:val="16"/>
                <w:szCs w:val="16"/>
                <w:lang w:val="en-US"/>
              </w:rPr>
              <w:t>,</w:t>
            </w:r>
            <w:r w:rsidRPr="00F01347">
              <w:rPr>
                <w:rFonts w:ascii="Verdana" w:hAnsi="Verdana"/>
                <w:color w:val="000000"/>
                <w:sz w:val="16"/>
                <w:szCs w:val="16"/>
                <w:lang w:val="en-US"/>
              </w:rPr>
              <w:t xml:space="preserve"> fortified with analytes of interest and preserved and stored in accordance with the provisions of this method (n=4)</w:t>
            </w:r>
            <w:r w:rsidR="003E1BA9" w:rsidRPr="00F01347">
              <w:rPr>
                <w:rFonts w:ascii="Verdana" w:hAnsi="Verdana"/>
                <w:color w:val="000000"/>
                <w:sz w:val="16"/>
                <w:szCs w:val="16"/>
                <w:lang w:val="en-US"/>
              </w:rPr>
              <w:t>.</w:t>
            </w:r>
          </w:p>
        </w:tc>
      </w:tr>
      <w:tr w:rsidR="00541DEE" w:rsidRPr="00F01347" w14:paraId="2DA32058" w14:textId="77777777" w:rsidTr="00541DEE">
        <w:trPr>
          <w:trHeight w:val="20"/>
        </w:trPr>
        <w:tc>
          <w:tcPr>
            <w:tcW w:w="2874" w:type="dxa"/>
            <w:gridSpan w:val="2"/>
            <w:tcBorders>
              <w:top w:val="nil"/>
              <w:left w:val="nil"/>
              <w:bottom w:val="single" w:sz="6" w:space="0" w:color="auto"/>
              <w:right w:val="single" w:sz="6" w:space="0" w:color="auto"/>
            </w:tcBorders>
            <w:shd w:val="clear" w:color="auto" w:fill="FFFFFF"/>
          </w:tcPr>
          <w:p w14:paraId="14E83C4A" w14:textId="77777777" w:rsidR="00541DEE" w:rsidRPr="00F01347" w:rsidRDefault="00541DEE">
            <w:pPr>
              <w:pStyle w:val="texto0"/>
              <w:spacing w:line="240" w:lineRule="exact"/>
              <w:ind w:firstLine="0"/>
              <w:jc w:val="center"/>
              <w:rPr>
                <w:rFonts w:ascii="Verdana" w:hAnsi="Verdana"/>
                <w:color w:val="000000"/>
                <w:sz w:val="16"/>
                <w:szCs w:val="16"/>
                <w:lang w:val="en-US"/>
              </w:rPr>
            </w:pPr>
          </w:p>
        </w:tc>
        <w:tc>
          <w:tcPr>
            <w:tcW w:w="119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C5DA63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Day 0</w:t>
            </w:r>
          </w:p>
        </w:tc>
        <w:tc>
          <w:tcPr>
            <w:tcW w:w="1143"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FBF7DAE"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Day 7</w:t>
            </w:r>
          </w:p>
        </w:tc>
        <w:tc>
          <w:tcPr>
            <w:tcW w:w="128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04537E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Day 14</w:t>
            </w:r>
          </w:p>
        </w:tc>
        <w:tc>
          <w:tcPr>
            <w:tcW w:w="112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A7F766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Day 21</w:t>
            </w:r>
          </w:p>
        </w:tc>
        <w:tc>
          <w:tcPr>
            <w:tcW w:w="1103"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6ED6E09"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Day 28</w:t>
            </w:r>
          </w:p>
        </w:tc>
      </w:tr>
      <w:tr w:rsidR="00541DEE" w:rsidRPr="00F01347" w14:paraId="73C50F3B" w14:textId="77777777" w:rsidTr="00541DEE">
        <w:trPr>
          <w:trHeight w:val="20"/>
        </w:trPr>
        <w:tc>
          <w:tcPr>
            <w:tcW w:w="1936" w:type="dxa"/>
            <w:tcBorders>
              <w:top w:val="single" w:sz="6" w:space="0" w:color="auto"/>
              <w:left w:val="single" w:sz="6" w:space="0" w:color="auto"/>
              <w:bottom w:val="single" w:sz="6" w:space="0" w:color="auto"/>
              <w:right w:val="single" w:sz="6" w:space="0" w:color="auto"/>
            </w:tcBorders>
            <w:shd w:val="clear" w:color="auto" w:fill="FFFFFF"/>
            <w:hideMark/>
          </w:tcPr>
          <w:p w14:paraId="661C97F9"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Analyte</w:t>
            </w:r>
          </w:p>
        </w:tc>
        <w:tc>
          <w:tcPr>
            <w:tcW w:w="938" w:type="dxa"/>
            <w:tcBorders>
              <w:top w:val="single" w:sz="6" w:space="0" w:color="auto"/>
              <w:left w:val="single" w:sz="6" w:space="0" w:color="auto"/>
              <w:bottom w:val="single" w:sz="6" w:space="0" w:color="auto"/>
              <w:right w:val="single" w:sz="6" w:space="0" w:color="auto"/>
            </w:tcBorders>
            <w:shd w:val="clear" w:color="auto" w:fill="FFFFFF"/>
            <w:hideMark/>
          </w:tcPr>
          <w:p w14:paraId="71FF1AA6" w14:textId="27FBAD4D"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Conc</w:t>
            </w:r>
            <w:r w:rsidR="003E1BA9" w:rsidRPr="00F01347">
              <w:rPr>
                <w:rFonts w:ascii="Verdana" w:hAnsi="Verdana"/>
                <w:color w:val="000000"/>
                <w:sz w:val="16"/>
                <w:szCs w:val="16"/>
                <w:lang w:val="en-US"/>
              </w:rPr>
              <w:t>.</w:t>
            </w:r>
            <w:r w:rsidRPr="00F01347">
              <w:rPr>
                <w:rFonts w:ascii="Verdana" w:hAnsi="Verdana"/>
                <w:color w:val="000000"/>
                <w:sz w:val="16"/>
                <w:szCs w:val="16"/>
                <w:lang w:val="en-US"/>
              </w:rPr>
              <w:t xml:space="preserve"> fortified (ng/L)</w:t>
            </w:r>
          </w:p>
        </w:tc>
        <w:tc>
          <w:tcPr>
            <w:tcW w:w="639" w:type="dxa"/>
            <w:tcBorders>
              <w:top w:val="single" w:sz="6" w:space="0" w:color="auto"/>
              <w:left w:val="single" w:sz="6" w:space="0" w:color="auto"/>
              <w:bottom w:val="single" w:sz="6" w:space="0" w:color="auto"/>
              <w:right w:val="single" w:sz="6" w:space="0" w:color="auto"/>
            </w:tcBorders>
            <w:shd w:val="clear" w:color="auto" w:fill="FFFFFF"/>
            <w:hideMark/>
          </w:tcPr>
          <w:p w14:paraId="62AE416C"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avg REC</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5210B475" w14:textId="650E647F"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w:t>
            </w:r>
            <w:r w:rsidR="00BC38BC" w:rsidRPr="00F01347">
              <w:rPr>
                <w:rFonts w:ascii="Verdana" w:hAnsi="Verdana"/>
                <w:color w:val="000000"/>
                <w:sz w:val="16"/>
                <w:szCs w:val="16"/>
                <w:lang w:val="en-US"/>
              </w:rPr>
              <w:t xml:space="preserve"> </w:t>
            </w:r>
            <w:r w:rsidRPr="00F01347">
              <w:rPr>
                <w:rFonts w:ascii="Verdana" w:hAnsi="Verdana"/>
                <w:color w:val="000000"/>
                <w:sz w:val="16"/>
                <w:szCs w:val="16"/>
                <w:lang w:val="en-US"/>
              </w:rPr>
              <w:t>RSD</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65E7DFBE"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avg REC</w:t>
            </w:r>
          </w:p>
        </w:tc>
        <w:tc>
          <w:tcPr>
            <w:tcW w:w="530" w:type="dxa"/>
            <w:tcBorders>
              <w:top w:val="single" w:sz="6" w:space="0" w:color="auto"/>
              <w:left w:val="single" w:sz="6" w:space="0" w:color="auto"/>
              <w:bottom w:val="single" w:sz="6" w:space="0" w:color="auto"/>
              <w:right w:val="single" w:sz="6" w:space="0" w:color="auto"/>
            </w:tcBorders>
            <w:shd w:val="clear" w:color="auto" w:fill="FFFFFF"/>
            <w:hideMark/>
          </w:tcPr>
          <w:p w14:paraId="0B7F63CD" w14:textId="24E8A603"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w:t>
            </w:r>
            <w:r w:rsidR="00BC38BC" w:rsidRPr="00F01347">
              <w:rPr>
                <w:rFonts w:ascii="Verdana" w:hAnsi="Verdana"/>
                <w:color w:val="000000"/>
                <w:sz w:val="16"/>
                <w:szCs w:val="16"/>
                <w:lang w:val="en-US"/>
              </w:rPr>
              <w:t xml:space="preserve"> </w:t>
            </w:r>
            <w:r w:rsidRPr="00F01347">
              <w:rPr>
                <w:rFonts w:ascii="Verdana" w:hAnsi="Verdana"/>
                <w:color w:val="000000"/>
                <w:sz w:val="16"/>
                <w:szCs w:val="16"/>
                <w:lang w:val="en-US"/>
              </w:rPr>
              <w:t>RSD</w:t>
            </w:r>
          </w:p>
        </w:tc>
        <w:tc>
          <w:tcPr>
            <w:tcW w:w="703" w:type="dxa"/>
            <w:tcBorders>
              <w:top w:val="single" w:sz="6" w:space="0" w:color="auto"/>
              <w:left w:val="single" w:sz="6" w:space="0" w:color="auto"/>
              <w:bottom w:val="single" w:sz="6" w:space="0" w:color="auto"/>
              <w:right w:val="single" w:sz="6" w:space="0" w:color="auto"/>
            </w:tcBorders>
            <w:shd w:val="clear" w:color="auto" w:fill="FFFFFF"/>
            <w:hideMark/>
          </w:tcPr>
          <w:p w14:paraId="312478E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avg REC</w:t>
            </w:r>
          </w:p>
        </w:tc>
        <w:tc>
          <w:tcPr>
            <w:tcW w:w="577" w:type="dxa"/>
            <w:tcBorders>
              <w:top w:val="single" w:sz="6" w:space="0" w:color="auto"/>
              <w:left w:val="single" w:sz="6" w:space="0" w:color="auto"/>
              <w:bottom w:val="single" w:sz="6" w:space="0" w:color="auto"/>
              <w:right w:val="single" w:sz="6" w:space="0" w:color="auto"/>
            </w:tcBorders>
            <w:shd w:val="clear" w:color="auto" w:fill="FFFFFF"/>
            <w:hideMark/>
          </w:tcPr>
          <w:p w14:paraId="5F3F100E" w14:textId="0C358A00"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w:t>
            </w:r>
            <w:r w:rsidR="00BC38BC" w:rsidRPr="00F01347">
              <w:rPr>
                <w:rFonts w:ascii="Verdana" w:hAnsi="Verdana"/>
                <w:color w:val="000000"/>
                <w:sz w:val="16"/>
                <w:szCs w:val="16"/>
                <w:lang w:val="en-US"/>
              </w:rPr>
              <w:t xml:space="preserve"> </w:t>
            </w:r>
            <w:r w:rsidRPr="00F01347">
              <w:rPr>
                <w:rFonts w:ascii="Verdana" w:hAnsi="Verdana"/>
                <w:color w:val="000000"/>
                <w:sz w:val="16"/>
                <w:szCs w:val="16"/>
                <w:lang w:val="en-US"/>
              </w:rPr>
              <w:t>RSD</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1157D6A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avg REC</w:t>
            </w:r>
          </w:p>
        </w:tc>
        <w:tc>
          <w:tcPr>
            <w:tcW w:w="521" w:type="dxa"/>
            <w:tcBorders>
              <w:top w:val="single" w:sz="6" w:space="0" w:color="auto"/>
              <w:left w:val="single" w:sz="6" w:space="0" w:color="auto"/>
              <w:bottom w:val="single" w:sz="6" w:space="0" w:color="auto"/>
              <w:right w:val="single" w:sz="6" w:space="0" w:color="auto"/>
            </w:tcBorders>
            <w:shd w:val="clear" w:color="auto" w:fill="FFFFFF"/>
            <w:hideMark/>
          </w:tcPr>
          <w:p w14:paraId="71D1CDC1" w14:textId="7CFBCB5B"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w:t>
            </w:r>
            <w:r w:rsidR="00BC38BC" w:rsidRPr="00F01347">
              <w:rPr>
                <w:rFonts w:ascii="Verdana" w:hAnsi="Verdana"/>
                <w:color w:val="000000"/>
                <w:sz w:val="16"/>
                <w:szCs w:val="16"/>
                <w:lang w:val="en-US"/>
              </w:rPr>
              <w:t xml:space="preserve"> </w:t>
            </w:r>
            <w:r w:rsidRPr="00F01347">
              <w:rPr>
                <w:rFonts w:ascii="Verdana" w:hAnsi="Verdana"/>
                <w:color w:val="000000"/>
                <w:sz w:val="16"/>
                <w:szCs w:val="16"/>
                <w:lang w:val="en-US"/>
              </w:rPr>
              <w:t>RSD</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18CF5B34"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avg REC</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65EA978E" w14:textId="62B56C73"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w:t>
            </w:r>
            <w:r w:rsidR="00BC38BC" w:rsidRPr="00F01347">
              <w:rPr>
                <w:rFonts w:ascii="Verdana" w:hAnsi="Verdana"/>
                <w:color w:val="000000"/>
                <w:sz w:val="16"/>
                <w:szCs w:val="16"/>
                <w:lang w:val="en-US"/>
              </w:rPr>
              <w:t xml:space="preserve"> </w:t>
            </w:r>
            <w:r w:rsidRPr="00F01347">
              <w:rPr>
                <w:rFonts w:ascii="Verdana" w:hAnsi="Verdana"/>
                <w:color w:val="000000"/>
                <w:sz w:val="16"/>
                <w:szCs w:val="16"/>
                <w:lang w:val="en-US"/>
              </w:rPr>
              <w:t>RSD</w:t>
            </w:r>
          </w:p>
        </w:tc>
      </w:tr>
      <w:tr w:rsidR="00541DEE" w:rsidRPr="00F01347" w14:paraId="7B62C62C" w14:textId="77777777" w:rsidTr="00541DEE">
        <w:trPr>
          <w:trHeight w:val="20"/>
        </w:trPr>
        <w:tc>
          <w:tcPr>
            <w:tcW w:w="1936" w:type="dxa"/>
            <w:tcBorders>
              <w:top w:val="single" w:sz="6" w:space="0" w:color="auto"/>
              <w:left w:val="single" w:sz="6" w:space="0" w:color="auto"/>
              <w:bottom w:val="single" w:sz="6" w:space="0" w:color="auto"/>
              <w:right w:val="single" w:sz="6" w:space="0" w:color="auto"/>
            </w:tcBorders>
            <w:shd w:val="clear" w:color="auto" w:fill="FFFFFF"/>
            <w:hideMark/>
          </w:tcPr>
          <w:p w14:paraId="69E632CE"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MC-YR</w:t>
            </w:r>
          </w:p>
        </w:tc>
        <w:tc>
          <w:tcPr>
            <w:tcW w:w="938" w:type="dxa"/>
            <w:tcBorders>
              <w:top w:val="single" w:sz="6" w:space="0" w:color="auto"/>
              <w:left w:val="single" w:sz="6" w:space="0" w:color="auto"/>
              <w:bottom w:val="single" w:sz="6" w:space="0" w:color="auto"/>
              <w:right w:val="single" w:sz="6" w:space="0" w:color="auto"/>
            </w:tcBorders>
            <w:shd w:val="clear" w:color="auto" w:fill="FFFFFF"/>
            <w:hideMark/>
          </w:tcPr>
          <w:p w14:paraId="3F380A16"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400.0</w:t>
            </w:r>
          </w:p>
        </w:tc>
        <w:tc>
          <w:tcPr>
            <w:tcW w:w="639" w:type="dxa"/>
            <w:tcBorders>
              <w:top w:val="single" w:sz="6" w:space="0" w:color="auto"/>
              <w:left w:val="single" w:sz="6" w:space="0" w:color="auto"/>
              <w:bottom w:val="single" w:sz="6" w:space="0" w:color="auto"/>
              <w:right w:val="single" w:sz="6" w:space="0" w:color="auto"/>
            </w:tcBorders>
            <w:shd w:val="clear" w:color="auto" w:fill="FFFFFF"/>
            <w:hideMark/>
          </w:tcPr>
          <w:p w14:paraId="63E7D47E"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101</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4FCFD23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8.7</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72BF9BA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92.5</w:t>
            </w:r>
          </w:p>
        </w:tc>
        <w:tc>
          <w:tcPr>
            <w:tcW w:w="530" w:type="dxa"/>
            <w:tcBorders>
              <w:top w:val="single" w:sz="6" w:space="0" w:color="auto"/>
              <w:left w:val="single" w:sz="6" w:space="0" w:color="auto"/>
              <w:bottom w:val="single" w:sz="6" w:space="0" w:color="auto"/>
              <w:right w:val="single" w:sz="6" w:space="0" w:color="auto"/>
            </w:tcBorders>
            <w:shd w:val="clear" w:color="auto" w:fill="FFFFFF"/>
            <w:hideMark/>
          </w:tcPr>
          <w:p w14:paraId="3BC27D0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2.2</w:t>
            </w:r>
          </w:p>
        </w:tc>
        <w:tc>
          <w:tcPr>
            <w:tcW w:w="703" w:type="dxa"/>
            <w:tcBorders>
              <w:top w:val="single" w:sz="6" w:space="0" w:color="auto"/>
              <w:left w:val="single" w:sz="6" w:space="0" w:color="auto"/>
              <w:bottom w:val="single" w:sz="6" w:space="0" w:color="auto"/>
              <w:right w:val="single" w:sz="6" w:space="0" w:color="auto"/>
            </w:tcBorders>
            <w:shd w:val="clear" w:color="auto" w:fill="FFFFFF"/>
            <w:hideMark/>
          </w:tcPr>
          <w:p w14:paraId="2F43540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89.0</w:t>
            </w:r>
          </w:p>
        </w:tc>
        <w:tc>
          <w:tcPr>
            <w:tcW w:w="577" w:type="dxa"/>
            <w:tcBorders>
              <w:top w:val="single" w:sz="6" w:space="0" w:color="auto"/>
              <w:left w:val="single" w:sz="6" w:space="0" w:color="auto"/>
              <w:bottom w:val="single" w:sz="6" w:space="0" w:color="auto"/>
              <w:right w:val="single" w:sz="6" w:space="0" w:color="auto"/>
            </w:tcBorders>
            <w:shd w:val="clear" w:color="auto" w:fill="FFFFFF"/>
            <w:hideMark/>
          </w:tcPr>
          <w:p w14:paraId="44FB6C41"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6.7</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7C74E009"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96.4</w:t>
            </w:r>
          </w:p>
        </w:tc>
        <w:tc>
          <w:tcPr>
            <w:tcW w:w="521" w:type="dxa"/>
            <w:tcBorders>
              <w:top w:val="single" w:sz="6" w:space="0" w:color="auto"/>
              <w:left w:val="single" w:sz="6" w:space="0" w:color="auto"/>
              <w:bottom w:val="single" w:sz="6" w:space="0" w:color="auto"/>
              <w:right w:val="single" w:sz="6" w:space="0" w:color="auto"/>
            </w:tcBorders>
            <w:shd w:val="clear" w:color="auto" w:fill="FFFFFF"/>
            <w:hideMark/>
          </w:tcPr>
          <w:p w14:paraId="2AC3C516"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1.5</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336CB4BC"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95.1</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6C5E5EAB"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6.1</w:t>
            </w:r>
          </w:p>
        </w:tc>
      </w:tr>
      <w:tr w:rsidR="00541DEE" w:rsidRPr="00F01347" w14:paraId="4BFF0DF6" w14:textId="77777777" w:rsidTr="00541DEE">
        <w:trPr>
          <w:trHeight w:val="20"/>
        </w:trPr>
        <w:tc>
          <w:tcPr>
            <w:tcW w:w="1936" w:type="dxa"/>
            <w:tcBorders>
              <w:top w:val="single" w:sz="6" w:space="0" w:color="auto"/>
              <w:left w:val="single" w:sz="6" w:space="0" w:color="auto"/>
              <w:bottom w:val="single" w:sz="6" w:space="0" w:color="auto"/>
              <w:right w:val="single" w:sz="6" w:space="0" w:color="auto"/>
            </w:tcBorders>
            <w:shd w:val="clear" w:color="auto" w:fill="FFFFFF"/>
            <w:hideMark/>
          </w:tcPr>
          <w:p w14:paraId="17597029"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Nodularin -R</w:t>
            </w:r>
          </w:p>
        </w:tc>
        <w:tc>
          <w:tcPr>
            <w:tcW w:w="938" w:type="dxa"/>
            <w:tcBorders>
              <w:top w:val="single" w:sz="6" w:space="0" w:color="auto"/>
              <w:left w:val="single" w:sz="6" w:space="0" w:color="auto"/>
              <w:bottom w:val="single" w:sz="6" w:space="0" w:color="auto"/>
              <w:right w:val="single" w:sz="6" w:space="0" w:color="auto"/>
            </w:tcBorders>
            <w:shd w:val="clear" w:color="auto" w:fill="FFFFFF"/>
            <w:hideMark/>
          </w:tcPr>
          <w:p w14:paraId="5D309734"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195.7</w:t>
            </w:r>
          </w:p>
        </w:tc>
        <w:tc>
          <w:tcPr>
            <w:tcW w:w="639" w:type="dxa"/>
            <w:tcBorders>
              <w:top w:val="single" w:sz="6" w:space="0" w:color="auto"/>
              <w:left w:val="single" w:sz="6" w:space="0" w:color="auto"/>
              <w:bottom w:val="single" w:sz="6" w:space="0" w:color="auto"/>
              <w:right w:val="single" w:sz="6" w:space="0" w:color="auto"/>
            </w:tcBorders>
            <w:shd w:val="clear" w:color="auto" w:fill="FFFFFF"/>
            <w:hideMark/>
          </w:tcPr>
          <w:p w14:paraId="2C259C94"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91.7</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39F4A8D1"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3.9</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79FD259A"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92.0</w:t>
            </w:r>
          </w:p>
        </w:tc>
        <w:tc>
          <w:tcPr>
            <w:tcW w:w="530" w:type="dxa"/>
            <w:tcBorders>
              <w:top w:val="single" w:sz="6" w:space="0" w:color="auto"/>
              <w:left w:val="single" w:sz="6" w:space="0" w:color="auto"/>
              <w:bottom w:val="single" w:sz="6" w:space="0" w:color="auto"/>
              <w:right w:val="single" w:sz="6" w:space="0" w:color="auto"/>
            </w:tcBorders>
            <w:shd w:val="clear" w:color="auto" w:fill="FFFFFF"/>
            <w:hideMark/>
          </w:tcPr>
          <w:p w14:paraId="7F987050"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3.2</w:t>
            </w:r>
          </w:p>
        </w:tc>
        <w:tc>
          <w:tcPr>
            <w:tcW w:w="703" w:type="dxa"/>
            <w:tcBorders>
              <w:top w:val="single" w:sz="6" w:space="0" w:color="auto"/>
              <w:left w:val="single" w:sz="6" w:space="0" w:color="auto"/>
              <w:bottom w:val="single" w:sz="6" w:space="0" w:color="auto"/>
              <w:right w:val="single" w:sz="6" w:space="0" w:color="auto"/>
            </w:tcBorders>
            <w:shd w:val="clear" w:color="auto" w:fill="FFFFFF"/>
            <w:hideMark/>
          </w:tcPr>
          <w:p w14:paraId="1619B88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94.4</w:t>
            </w:r>
          </w:p>
        </w:tc>
        <w:tc>
          <w:tcPr>
            <w:tcW w:w="577" w:type="dxa"/>
            <w:tcBorders>
              <w:top w:val="single" w:sz="6" w:space="0" w:color="auto"/>
              <w:left w:val="single" w:sz="6" w:space="0" w:color="auto"/>
              <w:bottom w:val="single" w:sz="6" w:space="0" w:color="auto"/>
              <w:right w:val="single" w:sz="6" w:space="0" w:color="auto"/>
            </w:tcBorders>
            <w:shd w:val="clear" w:color="auto" w:fill="FFFFFF"/>
            <w:hideMark/>
          </w:tcPr>
          <w:p w14:paraId="73C8080C"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1.6</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5BE9B6BC"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96.5</w:t>
            </w:r>
          </w:p>
        </w:tc>
        <w:tc>
          <w:tcPr>
            <w:tcW w:w="521" w:type="dxa"/>
            <w:tcBorders>
              <w:top w:val="single" w:sz="6" w:space="0" w:color="auto"/>
              <w:left w:val="single" w:sz="6" w:space="0" w:color="auto"/>
              <w:bottom w:val="single" w:sz="6" w:space="0" w:color="auto"/>
              <w:right w:val="single" w:sz="6" w:space="0" w:color="auto"/>
            </w:tcBorders>
            <w:shd w:val="clear" w:color="auto" w:fill="FFFFFF"/>
            <w:hideMark/>
          </w:tcPr>
          <w:p w14:paraId="3014263C"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23</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100BA0C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91.6</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2923584B"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3.3</w:t>
            </w:r>
          </w:p>
        </w:tc>
      </w:tr>
      <w:tr w:rsidR="00541DEE" w:rsidRPr="00F01347" w14:paraId="14241CF4" w14:textId="77777777" w:rsidTr="00541DEE">
        <w:trPr>
          <w:trHeight w:val="20"/>
        </w:trPr>
        <w:tc>
          <w:tcPr>
            <w:tcW w:w="1936" w:type="dxa"/>
            <w:tcBorders>
              <w:top w:val="single" w:sz="6" w:space="0" w:color="auto"/>
              <w:left w:val="single" w:sz="6" w:space="0" w:color="auto"/>
              <w:bottom w:val="single" w:sz="6" w:space="0" w:color="auto"/>
              <w:right w:val="single" w:sz="6" w:space="0" w:color="auto"/>
            </w:tcBorders>
            <w:shd w:val="clear" w:color="auto" w:fill="FFFFFF"/>
            <w:hideMark/>
          </w:tcPr>
          <w:p w14:paraId="12C7729B"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MC-RR</w:t>
            </w:r>
          </w:p>
        </w:tc>
        <w:tc>
          <w:tcPr>
            <w:tcW w:w="938" w:type="dxa"/>
            <w:tcBorders>
              <w:top w:val="single" w:sz="6" w:space="0" w:color="auto"/>
              <w:left w:val="single" w:sz="6" w:space="0" w:color="auto"/>
              <w:bottom w:val="single" w:sz="6" w:space="0" w:color="auto"/>
              <w:right w:val="single" w:sz="6" w:space="0" w:color="auto"/>
            </w:tcBorders>
            <w:shd w:val="clear" w:color="auto" w:fill="FFFFFF"/>
            <w:hideMark/>
          </w:tcPr>
          <w:p w14:paraId="08846ECB"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187.5</w:t>
            </w:r>
          </w:p>
        </w:tc>
        <w:tc>
          <w:tcPr>
            <w:tcW w:w="639" w:type="dxa"/>
            <w:tcBorders>
              <w:top w:val="single" w:sz="6" w:space="0" w:color="auto"/>
              <w:left w:val="single" w:sz="6" w:space="0" w:color="auto"/>
              <w:bottom w:val="single" w:sz="6" w:space="0" w:color="auto"/>
              <w:right w:val="single" w:sz="6" w:space="0" w:color="auto"/>
            </w:tcBorders>
            <w:shd w:val="clear" w:color="auto" w:fill="FFFFFF"/>
            <w:hideMark/>
          </w:tcPr>
          <w:p w14:paraId="5B9B03FD"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91.7</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64F4DB1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2.1</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208728C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94.6</w:t>
            </w:r>
          </w:p>
        </w:tc>
        <w:tc>
          <w:tcPr>
            <w:tcW w:w="530" w:type="dxa"/>
            <w:tcBorders>
              <w:top w:val="single" w:sz="6" w:space="0" w:color="auto"/>
              <w:left w:val="single" w:sz="6" w:space="0" w:color="auto"/>
              <w:bottom w:val="single" w:sz="6" w:space="0" w:color="auto"/>
              <w:right w:val="single" w:sz="6" w:space="0" w:color="auto"/>
            </w:tcBorders>
            <w:shd w:val="clear" w:color="auto" w:fill="FFFFFF"/>
            <w:hideMark/>
          </w:tcPr>
          <w:p w14:paraId="7C341F1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3.4</w:t>
            </w:r>
          </w:p>
        </w:tc>
        <w:tc>
          <w:tcPr>
            <w:tcW w:w="703" w:type="dxa"/>
            <w:tcBorders>
              <w:top w:val="single" w:sz="6" w:space="0" w:color="auto"/>
              <w:left w:val="single" w:sz="6" w:space="0" w:color="auto"/>
              <w:bottom w:val="single" w:sz="6" w:space="0" w:color="auto"/>
              <w:right w:val="single" w:sz="6" w:space="0" w:color="auto"/>
            </w:tcBorders>
            <w:shd w:val="clear" w:color="auto" w:fill="FFFFFF"/>
            <w:hideMark/>
          </w:tcPr>
          <w:p w14:paraId="7699125C"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94.9</w:t>
            </w:r>
          </w:p>
        </w:tc>
        <w:tc>
          <w:tcPr>
            <w:tcW w:w="577" w:type="dxa"/>
            <w:tcBorders>
              <w:top w:val="single" w:sz="6" w:space="0" w:color="auto"/>
              <w:left w:val="single" w:sz="6" w:space="0" w:color="auto"/>
              <w:bottom w:val="single" w:sz="6" w:space="0" w:color="auto"/>
              <w:right w:val="single" w:sz="6" w:space="0" w:color="auto"/>
            </w:tcBorders>
            <w:shd w:val="clear" w:color="auto" w:fill="FFFFFF"/>
            <w:hideMark/>
          </w:tcPr>
          <w:p w14:paraId="69625A5E"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1.7</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7D31A73B"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94.9</w:t>
            </w:r>
          </w:p>
        </w:tc>
        <w:tc>
          <w:tcPr>
            <w:tcW w:w="521" w:type="dxa"/>
            <w:tcBorders>
              <w:top w:val="single" w:sz="6" w:space="0" w:color="auto"/>
              <w:left w:val="single" w:sz="6" w:space="0" w:color="auto"/>
              <w:bottom w:val="single" w:sz="6" w:space="0" w:color="auto"/>
              <w:right w:val="single" w:sz="6" w:space="0" w:color="auto"/>
            </w:tcBorders>
            <w:shd w:val="clear" w:color="auto" w:fill="FFFFFF"/>
            <w:hideMark/>
          </w:tcPr>
          <w:p w14:paraId="74E96F8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1.7</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3A6879DE"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90.3</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5517FBC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0.6</w:t>
            </w:r>
          </w:p>
        </w:tc>
      </w:tr>
      <w:tr w:rsidR="00541DEE" w:rsidRPr="00F01347" w14:paraId="5A68FDE4" w14:textId="77777777" w:rsidTr="00541DEE">
        <w:trPr>
          <w:trHeight w:val="20"/>
        </w:trPr>
        <w:tc>
          <w:tcPr>
            <w:tcW w:w="1936" w:type="dxa"/>
            <w:tcBorders>
              <w:top w:val="single" w:sz="6" w:space="0" w:color="auto"/>
              <w:left w:val="single" w:sz="6" w:space="0" w:color="auto"/>
              <w:bottom w:val="single" w:sz="6" w:space="0" w:color="auto"/>
              <w:right w:val="single" w:sz="6" w:space="0" w:color="auto"/>
            </w:tcBorders>
            <w:shd w:val="clear" w:color="auto" w:fill="FFFFFF"/>
            <w:hideMark/>
          </w:tcPr>
          <w:p w14:paraId="48776D92"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MC-LR</w:t>
            </w:r>
          </w:p>
        </w:tc>
        <w:tc>
          <w:tcPr>
            <w:tcW w:w="938" w:type="dxa"/>
            <w:tcBorders>
              <w:top w:val="single" w:sz="6" w:space="0" w:color="auto"/>
              <w:left w:val="single" w:sz="6" w:space="0" w:color="auto"/>
              <w:bottom w:val="single" w:sz="6" w:space="0" w:color="auto"/>
              <w:right w:val="single" w:sz="6" w:space="0" w:color="auto"/>
            </w:tcBorders>
            <w:shd w:val="clear" w:color="auto" w:fill="FFFFFF"/>
            <w:hideMark/>
          </w:tcPr>
          <w:p w14:paraId="28B344F8"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400.0</w:t>
            </w:r>
          </w:p>
        </w:tc>
        <w:tc>
          <w:tcPr>
            <w:tcW w:w="639" w:type="dxa"/>
            <w:tcBorders>
              <w:top w:val="single" w:sz="6" w:space="0" w:color="auto"/>
              <w:left w:val="single" w:sz="6" w:space="0" w:color="auto"/>
              <w:bottom w:val="single" w:sz="6" w:space="0" w:color="auto"/>
              <w:right w:val="single" w:sz="6" w:space="0" w:color="auto"/>
            </w:tcBorders>
            <w:shd w:val="clear" w:color="auto" w:fill="FFFFFF"/>
            <w:hideMark/>
          </w:tcPr>
          <w:p w14:paraId="0069AA26"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89.4</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70B1354A"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23</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59564EA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87.2</w:t>
            </w:r>
          </w:p>
        </w:tc>
        <w:tc>
          <w:tcPr>
            <w:tcW w:w="530" w:type="dxa"/>
            <w:tcBorders>
              <w:top w:val="single" w:sz="6" w:space="0" w:color="auto"/>
              <w:left w:val="single" w:sz="6" w:space="0" w:color="auto"/>
              <w:bottom w:val="single" w:sz="6" w:space="0" w:color="auto"/>
              <w:right w:val="single" w:sz="6" w:space="0" w:color="auto"/>
            </w:tcBorders>
            <w:shd w:val="clear" w:color="auto" w:fill="FFFFFF"/>
            <w:hideMark/>
          </w:tcPr>
          <w:p w14:paraId="5F13F46B"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2.5</w:t>
            </w:r>
          </w:p>
        </w:tc>
        <w:tc>
          <w:tcPr>
            <w:tcW w:w="703" w:type="dxa"/>
            <w:tcBorders>
              <w:top w:val="single" w:sz="6" w:space="0" w:color="auto"/>
              <w:left w:val="single" w:sz="6" w:space="0" w:color="auto"/>
              <w:bottom w:val="single" w:sz="6" w:space="0" w:color="auto"/>
              <w:right w:val="single" w:sz="6" w:space="0" w:color="auto"/>
            </w:tcBorders>
            <w:shd w:val="clear" w:color="auto" w:fill="FFFFFF"/>
            <w:hideMark/>
          </w:tcPr>
          <w:p w14:paraId="1B949CF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89.4</w:t>
            </w:r>
          </w:p>
        </w:tc>
        <w:tc>
          <w:tcPr>
            <w:tcW w:w="577" w:type="dxa"/>
            <w:tcBorders>
              <w:top w:val="single" w:sz="6" w:space="0" w:color="auto"/>
              <w:left w:val="single" w:sz="6" w:space="0" w:color="auto"/>
              <w:bottom w:val="single" w:sz="6" w:space="0" w:color="auto"/>
              <w:right w:val="single" w:sz="6" w:space="0" w:color="auto"/>
            </w:tcBorders>
            <w:shd w:val="clear" w:color="auto" w:fill="FFFFFF"/>
            <w:hideMark/>
          </w:tcPr>
          <w:p w14:paraId="2F567F61"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23</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2461894D"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90.2</w:t>
            </w:r>
          </w:p>
        </w:tc>
        <w:tc>
          <w:tcPr>
            <w:tcW w:w="521" w:type="dxa"/>
            <w:tcBorders>
              <w:top w:val="single" w:sz="6" w:space="0" w:color="auto"/>
              <w:left w:val="single" w:sz="6" w:space="0" w:color="auto"/>
              <w:bottom w:val="single" w:sz="6" w:space="0" w:color="auto"/>
              <w:right w:val="single" w:sz="6" w:space="0" w:color="auto"/>
            </w:tcBorders>
            <w:shd w:val="clear" w:color="auto" w:fill="FFFFFF"/>
            <w:hideMark/>
          </w:tcPr>
          <w:p w14:paraId="4CDD1960"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2.1</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59235FE0"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86.4</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3D21F2B6"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1.3</w:t>
            </w:r>
          </w:p>
        </w:tc>
      </w:tr>
      <w:tr w:rsidR="00541DEE" w:rsidRPr="00F01347" w14:paraId="32A59BA3" w14:textId="77777777" w:rsidTr="00541DEE">
        <w:trPr>
          <w:trHeight w:val="20"/>
        </w:trPr>
        <w:tc>
          <w:tcPr>
            <w:tcW w:w="1936" w:type="dxa"/>
            <w:tcBorders>
              <w:top w:val="single" w:sz="6" w:space="0" w:color="auto"/>
              <w:left w:val="single" w:sz="6" w:space="0" w:color="auto"/>
              <w:bottom w:val="single" w:sz="6" w:space="0" w:color="auto"/>
              <w:right w:val="single" w:sz="6" w:space="0" w:color="auto"/>
            </w:tcBorders>
            <w:shd w:val="clear" w:color="auto" w:fill="FFFFFF"/>
            <w:hideMark/>
          </w:tcPr>
          <w:p w14:paraId="08E10280"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MC-LA</w:t>
            </w:r>
          </w:p>
        </w:tc>
        <w:tc>
          <w:tcPr>
            <w:tcW w:w="938" w:type="dxa"/>
            <w:tcBorders>
              <w:top w:val="single" w:sz="6" w:space="0" w:color="auto"/>
              <w:left w:val="single" w:sz="6" w:space="0" w:color="auto"/>
              <w:bottom w:val="single" w:sz="6" w:space="0" w:color="auto"/>
              <w:right w:val="single" w:sz="6" w:space="0" w:color="auto"/>
            </w:tcBorders>
            <w:shd w:val="clear" w:color="auto" w:fill="FFFFFF"/>
            <w:hideMark/>
          </w:tcPr>
          <w:p w14:paraId="3B29A6D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1,000</w:t>
            </w:r>
          </w:p>
        </w:tc>
        <w:tc>
          <w:tcPr>
            <w:tcW w:w="639" w:type="dxa"/>
            <w:tcBorders>
              <w:top w:val="single" w:sz="6" w:space="0" w:color="auto"/>
              <w:left w:val="single" w:sz="6" w:space="0" w:color="auto"/>
              <w:bottom w:val="single" w:sz="6" w:space="0" w:color="auto"/>
              <w:right w:val="single" w:sz="6" w:space="0" w:color="auto"/>
            </w:tcBorders>
            <w:shd w:val="clear" w:color="auto" w:fill="FFFFFF"/>
            <w:hideMark/>
          </w:tcPr>
          <w:p w14:paraId="47F264BD"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91.2</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390F904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0.9</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252004E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90.6</w:t>
            </w:r>
          </w:p>
        </w:tc>
        <w:tc>
          <w:tcPr>
            <w:tcW w:w="530" w:type="dxa"/>
            <w:tcBorders>
              <w:top w:val="single" w:sz="6" w:space="0" w:color="auto"/>
              <w:left w:val="single" w:sz="6" w:space="0" w:color="auto"/>
              <w:bottom w:val="single" w:sz="6" w:space="0" w:color="auto"/>
              <w:right w:val="single" w:sz="6" w:space="0" w:color="auto"/>
            </w:tcBorders>
            <w:shd w:val="clear" w:color="auto" w:fill="FFFFFF"/>
            <w:hideMark/>
          </w:tcPr>
          <w:p w14:paraId="5868384D"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23</w:t>
            </w:r>
          </w:p>
        </w:tc>
        <w:tc>
          <w:tcPr>
            <w:tcW w:w="703" w:type="dxa"/>
            <w:tcBorders>
              <w:top w:val="single" w:sz="6" w:space="0" w:color="auto"/>
              <w:left w:val="single" w:sz="6" w:space="0" w:color="auto"/>
              <w:bottom w:val="single" w:sz="6" w:space="0" w:color="auto"/>
              <w:right w:val="single" w:sz="6" w:space="0" w:color="auto"/>
            </w:tcBorders>
            <w:shd w:val="clear" w:color="auto" w:fill="FFFFFF"/>
            <w:hideMark/>
          </w:tcPr>
          <w:p w14:paraId="3144D8E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87.2</w:t>
            </w:r>
          </w:p>
        </w:tc>
        <w:tc>
          <w:tcPr>
            <w:tcW w:w="577" w:type="dxa"/>
            <w:tcBorders>
              <w:top w:val="single" w:sz="6" w:space="0" w:color="auto"/>
              <w:left w:val="single" w:sz="6" w:space="0" w:color="auto"/>
              <w:bottom w:val="single" w:sz="6" w:space="0" w:color="auto"/>
              <w:right w:val="single" w:sz="6" w:space="0" w:color="auto"/>
            </w:tcBorders>
            <w:shd w:val="clear" w:color="auto" w:fill="FFFFFF"/>
            <w:hideMark/>
          </w:tcPr>
          <w:p w14:paraId="39413A0E"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1.8</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165D10C4"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90.2</w:t>
            </w:r>
          </w:p>
        </w:tc>
        <w:tc>
          <w:tcPr>
            <w:tcW w:w="521" w:type="dxa"/>
            <w:tcBorders>
              <w:top w:val="single" w:sz="6" w:space="0" w:color="auto"/>
              <w:left w:val="single" w:sz="6" w:space="0" w:color="auto"/>
              <w:bottom w:val="single" w:sz="6" w:space="0" w:color="auto"/>
              <w:right w:val="single" w:sz="6" w:space="0" w:color="auto"/>
            </w:tcBorders>
            <w:shd w:val="clear" w:color="auto" w:fill="FFFFFF"/>
            <w:hideMark/>
          </w:tcPr>
          <w:p w14:paraId="0B58F55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1.7</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6EC8BEAE"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88.1</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2647FC4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1.5</w:t>
            </w:r>
          </w:p>
        </w:tc>
      </w:tr>
      <w:tr w:rsidR="00541DEE" w:rsidRPr="00F01347" w14:paraId="20F28E40" w14:textId="77777777" w:rsidTr="00541DEE">
        <w:trPr>
          <w:trHeight w:val="20"/>
        </w:trPr>
        <w:tc>
          <w:tcPr>
            <w:tcW w:w="1936" w:type="dxa"/>
            <w:tcBorders>
              <w:top w:val="single" w:sz="6" w:space="0" w:color="auto"/>
              <w:left w:val="single" w:sz="6" w:space="0" w:color="auto"/>
              <w:bottom w:val="single" w:sz="6" w:space="0" w:color="auto"/>
              <w:right w:val="single" w:sz="6" w:space="0" w:color="auto"/>
            </w:tcBorders>
            <w:shd w:val="clear" w:color="auto" w:fill="FFFFFF"/>
            <w:hideMark/>
          </w:tcPr>
          <w:p w14:paraId="16509B60"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MC-LY</w:t>
            </w:r>
          </w:p>
        </w:tc>
        <w:tc>
          <w:tcPr>
            <w:tcW w:w="938" w:type="dxa"/>
            <w:tcBorders>
              <w:top w:val="single" w:sz="6" w:space="0" w:color="auto"/>
              <w:left w:val="single" w:sz="6" w:space="0" w:color="auto"/>
              <w:bottom w:val="single" w:sz="6" w:space="0" w:color="auto"/>
              <w:right w:val="single" w:sz="6" w:space="0" w:color="auto"/>
            </w:tcBorders>
            <w:shd w:val="clear" w:color="auto" w:fill="FFFFFF"/>
            <w:hideMark/>
          </w:tcPr>
          <w:p w14:paraId="2D657F94"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400.0</w:t>
            </w:r>
          </w:p>
        </w:tc>
        <w:tc>
          <w:tcPr>
            <w:tcW w:w="639" w:type="dxa"/>
            <w:tcBorders>
              <w:top w:val="single" w:sz="6" w:space="0" w:color="auto"/>
              <w:left w:val="single" w:sz="6" w:space="0" w:color="auto"/>
              <w:bottom w:val="single" w:sz="6" w:space="0" w:color="auto"/>
              <w:right w:val="single" w:sz="6" w:space="0" w:color="auto"/>
            </w:tcBorders>
            <w:shd w:val="clear" w:color="auto" w:fill="FFFFFF"/>
            <w:hideMark/>
          </w:tcPr>
          <w:p w14:paraId="29DC121B"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88.4</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7AAF5844"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1.8</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33DA2D54"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87.9</w:t>
            </w:r>
          </w:p>
        </w:tc>
        <w:tc>
          <w:tcPr>
            <w:tcW w:w="530" w:type="dxa"/>
            <w:tcBorders>
              <w:top w:val="single" w:sz="6" w:space="0" w:color="auto"/>
              <w:left w:val="single" w:sz="6" w:space="0" w:color="auto"/>
              <w:bottom w:val="single" w:sz="6" w:space="0" w:color="auto"/>
              <w:right w:val="single" w:sz="6" w:space="0" w:color="auto"/>
            </w:tcBorders>
            <w:shd w:val="clear" w:color="auto" w:fill="FFFFFF"/>
            <w:hideMark/>
          </w:tcPr>
          <w:p w14:paraId="5409B679"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2.0</w:t>
            </w:r>
          </w:p>
        </w:tc>
        <w:tc>
          <w:tcPr>
            <w:tcW w:w="703" w:type="dxa"/>
            <w:tcBorders>
              <w:top w:val="single" w:sz="6" w:space="0" w:color="auto"/>
              <w:left w:val="single" w:sz="6" w:space="0" w:color="auto"/>
              <w:bottom w:val="single" w:sz="6" w:space="0" w:color="auto"/>
              <w:right w:val="single" w:sz="6" w:space="0" w:color="auto"/>
            </w:tcBorders>
            <w:shd w:val="clear" w:color="auto" w:fill="FFFFFF"/>
            <w:hideMark/>
          </w:tcPr>
          <w:p w14:paraId="13AA1A5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89.3</w:t>
            </w:r>
          </w:p>
        </w:tc>
        <w:tc>
          <w:tcPr>
            <w:tcW w:w="577" w:type="dxa"/>
            <w:tcBorders>
              <w:top w:val="single" w:sz="6" w:space="0" w:color="auto"/>
              <w:left w:val="single" w:sz="6" w:space="0" w:color="auto"/>
              <w:bottom w:val="single" w:sz="6" w:space="0" w:color="auto"/>
              <w:right w:val="single" w:sz="6" w:space="0" w:color="auto"/>
            </w:tcBorders>
            <w:shd w:val="clear" w:color="auto" w:fill="FFFFFF"/>
            <w:hideMark/>
          </w:tcPr>
          <w:p w14:paraId="7FC097D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1.1</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1A8F4F48"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89.9</w:t>
            </w:r>
          </w:p>
        </w:tc>
        <w:tc>
          <w:tcPr>
            <w:tcW w:w="521" w:type="dxa"/>
            <w:tcBorders>
              <w:top w:val="single" w:sz="6" w:space="0" w:color="auto"/>
              <w:left w:val="single" w:sz="6" w:space="0" w:color="auto"/>
              <w:bottom w:val="single" w:sz="6" w:space="0" w:color="auto"/>
              <w:right w:val="single" w:sz="6" w:space="0" w:color="auto"/>
            </w:tcBorders>
            <w:shd w:val="clear" w:color="auto" w:fill="FFFFFF"/>
            <w:hideMark/>
          </w:tcPr>
          <w:p w14:paraId="06E14E0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1.1</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0C7A55D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88.1</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4C3B7B3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1.9</w:t>
            </w:r>
          </w:p>
        </w:tc>
      </w:tr>
      <w:tr w:rsidR="00541DEE" w:rsidRPr="00F01347" w14:paraId="613C2350" w14:textId="77777777" w:rsidTr="00541DEE">
        <w:trPr>
          <w:trHeight w:val="20"/>
        </w:trPr>
        <w:tc>
          <w:tcPr>
            <w:tcW w:w="1936" w:type="dxa"/>
            <w:tcBorders>
              <w:top w:val="single" w:sz="6" w:space="0" w:color="auto"/>
              <w:left w:val="single" w:sz="6" w:space="0" w:color="auto"/>
              <w:bottom w:val="single" w:sz="6" w:space="0" w:color="auto"/>
              <w:right w:val="single" w:sz="6" w:space="0" w:color="auto"/>
            </w:tcBorders>
            <w:shd w:val="clear" w:color="auto" w:fill="FFFFFF"/>
            <w:hideMark/>
          </w:tcPr>
          <w:p w14:paraId="1447F99B"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MC-LF</w:t>
            </w:r>
          </w:p>
        </w:tc>
        <w:tc>
          <w:tcPr>
            <w:tcW w:w="938" w:type="dxa"/>
            <w:tcBorders>
              <w:top w:val="single" w:sz="6" w:space="0" w:color="auto"/>
              <w:left w:val="single" w:sz="6" w:space="0" w:color="auto"/>
              <w:bottom w:val="single" w:sz="6" w:space="0" w:color="auto"/>
              <w:right w:val="single" w:sz="6" w:space="0" w:color="auto"/>
            </w:tcBorders>
            <w:shd w:val="clear" w:color="auto" w:fill="FFFFFF"/>
            <w:hideMark/>
          </w:tcPr>
          <w:p w14:paraId="283F664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400.0</w:t>
            </w:r>
          </w:p>
        </w:tc>
        <w:tc>
          <w:tcPr>
            <w:tcW w:w="639" w:type="dxa"/>
            <w:tcBorders>
              <w:top w:val="single" w:sz="6" w:space="0" w:color="auto"/>
              <w:left w:val="single" w:sz="6" w:space="0" w:color="auto"/>
              <w:bottom w:val="single" w:sz="6" w:space="0" w:color="auto"/>
              <w:right w:val="single" w:sz="6" w:space="0" w:color="auto"/>
            </w:tcBorders>
            <w:shd w:val="clear" w:color="auto" w:fill="FFFFFF"/>
            <w:hideMark/>
          </w:tcPr>
          <w:p w14:paraId="2344A49D"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89.1</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1B6BF28E"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23</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1744EB0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86.4</w:t>
            </w:r>
          </w:p>
        </w:tc>
        <w:tc>
          <w:tcPr>
            <w:tcW w:w="530" w:type="dxa"/>
            <w:tcBorders>
              <w:top w:val="single" w:sz="6" w:space="0" w:color="auto"/>
              <w:left w:val="single" w:sz="6" w:space="0" w:color="auto"/>
              <w:bottom w:val="single" w:sz="6" w:space="0" w:color="auto"/>
              <w:right w:val="single" w:sz="6" w:space="0" w:color="auto"/>
            </w:tcBorders>
            <w:shd w:val="clear" w:color="auto" w:fill="FFFFFF"/>
            <w:hideMark/>
          </w:tcPr>
          <w:p w14:paraId="49FA5E2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1.6</w:t>
            </w:r>
          </w:p>
        </w:tc>
        <w:tc>
          <w:tcPr>
            <w:tcW w:w="703" w:type="dxa"/>
            <w:tcBorders>
              <w:top w:val="single" w:sz="6" w:space="0" w:color="auto"/>
              <w:left w:val="single" w:sz="6" w:space="0" w:color="auto"/>
              <w:bottom w:val="single" w:sz="6" w:space="0" w:color="auto"/>
              <w:right w:val="single" w:sz="6" w:space="0" w:color="auto"/>
            </w:tcBorders>
            <w:shd w:val="clear" w:color="auto" w:fill="FFFFFF"/>
            <w:hideMark/>
          </w:tcPr>
          <w:p w14:paraId="24FA4DB1"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86.6</w:t>
            </w:r>
          </w:p>
        </w:tc>
        <w:tc>
          <w:tcPr>
            <w:tcW w:w="577" w:type="dxa"/>
            <w:tcBorders>
              <w:top w:val="single" w:sz="6" w:space="0" w:color="auto"/>
              <w:left w:val="single" w:sz="6" w:space="0" w:color="auto"/>
              <w:bottom w:val="single" w:sz="6" w:space="0" w:color="auto"/>
              <w:right w:val="single" w:sz="6" w:space="0" w:color="auto"/>
            </w:tcBorders>
            <w:shd w:val="clear" w:color="auto" w:fill="FFFFFF"/>
            <w:hideMark/>
          </w:tcPr>
          <w:p w14:paraId="3183452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1.2</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14000E48"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86.6</w:t>
            </w:r>
          </w:p>
        </w:tc>
        <w:tc>
          <w:tcPr>
            <w:tcW w:w="521" w:type="dxa"/>
            <w:tcBorders>
              <w:top w:val="single" w:sz="6" w:space="0" w:color="auto"/>
              <w:left w:val="single" w:sz="6" w:space="0" w:color="auto"/>
              <w:bottom w:val="single" w:sz="6" w:space="0" w:color="auto"/>
              <w:right w:val="single" w:sz="6" w:space="0" w:color="auto"/>
            </w:tcBorders>
            <w:shd w:val="clear" w:color="auto" w:fill="FFFFFF"/>
            <w:hideMark/>
          </w:tcPr>
          <w:p w14:paraId="6130AD5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2.2</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2376732B"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85.4</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122CF19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2.1</w:t>
            </w:r>
          </w:p>
        </w:tc>
      </w:tr>
      <w:tr w:rsidR="00541DEE" w:rsidRPr="00F01347" w14:paraId="5ADB50C2" w14:textId="77777777" w:rsidTr="00541DEE">
        <w:trPr>
          <w:trHeight w:val="20"/>
        </w:trPr>
        <w:tc>
          <w:tcPr>
            <w:tcW w:w="1936" w:type="dxa"/>
            <w:tcBorders>
              <w:top w:val="single" w:sz="6" w:space="0" w:color="auto"/>
              <w:left w:val="single" w:sz="6" w:space="0" w:color="auto"/>
              <w:bottom w:val="single" w:sz="6" w:space="0" w:color="auto"/>
              <w:right w:val="single" w:sz="6" w:space="0" w:color="auto"/>
            </w:tcBorders>
            <w:shd w:val="clear" w:color="auto" w:fill="FFFFFF"/>
            <w:hideMark/>
          </w:tcPr>
          <w:p w14:paraId="5B239385" w14:textId="624DB875" w:rsidR="00541DEE" w:rsidRPr="00F01347" w:rsidRDefault="00541DEE">
            <w:pPr>
              <w:pStyle w:val="texto0"/>
              <w:spacing w:line="240" w:lineRule="exact"/>
              <w:ind w:firstLine="0"/>
              <w:rPr>
                <w:rFonts w:ascii="Verdana" w:hAnsi="Verdana"/>
                <w:color w:val="000000"/>
                <w:sz w:val="16"/>
                <w:szCs w:val="16"/>
              </w:rPr>
            </w:pPr>
            <w:r w:rsidRPr="00F01347">
              <w:rPr>
                <w:rFonts w:ascii="Verdana" w:hAnsi="Verdana"/>
                <w:color w:val="000000"/>
                <w:sz w:val="16"/>
                <w:szCs w:val="16"/>
              </w:rPr>
              <w:t xml:space="preserve">C </w:t>
            </w:r>
            <w:r w:rsidRPr="00F01347">
              <w:rPr>
                <w:rFonts w:ascii="Verdana" w:hAnsi="Verdana"/>
                <w:color w:val="000000"/>
                <w:sz w:val="16"/>
                <w:szCs w:val="16"/>
                <w:vertAlign w:val="subscript"/>
              </w:rPr>
              <w:t xml:space="preserve">2 </w:t>
            </w:r>
            <w:r w:rsidRPr="00F01347">
              <w:rPr>
                <w:rFonts w:ascii="Verdana" w:hAnsi="Verdana"/>
                <w:color w:val="000000"/>
                <w:sz w:val="16"/>
                <w:szCs w:val="16"/>
              </w:rPr>
              <w:t xml:space="preserve">D </w:t>
            </w:r>
            <w:r w:rsidRPr="00F01347">
              <w:rPr>
                <w:rFonts w:ascii="Verdana" w:hAnsi="Verdana"/>
                <w:color w:val="000000"/>
                <w:sz w:val="16"/>
                <w:szCs w:val="16"/>
                <w:vertAlign w:val="subscript"/>
              </w:rPr>
              <w:t xml:space="preserve">5 </w:t>
            </w:r>
            <w:r w:rsidRPr="00F01347">
              <w:rPr>
                <w:rFonts w:ascii="Verdana" w:hAnsi="Verdana"/>
                <w:color w:val="000000"/>
                <w:sz w:val="16"/>
                <w:szCs w:val="16"/>
              </w:rPr>
              <w:t>-MC-LR (</w:t>
            </w:r>
            <w:r w:rsidR="00AD3EA1" w:rsidRPr="00F01347">
              <w:rPr>
                <w:rFonts w:ascii="Verdana" w:hAnsi="Verdana"/>
                <w:color w:val="000000"/>
                <w:sz w:val="16"/>
                <w:szCs w:val="16"/>
              </w:rPr>
              <w:t>SUR</w:t>
            </w:r>
            <w:r w:rsidRPr="00F01347">
              <w:rPr>
                <w:rFonts w:ascii="Verdana" w:hAnsi="Verdana"/>
                <w:color w:val="000000"/>
                <w:sz w:val="16"/>
                <w:szCs w:val="16"/>
              </w:rPr>
              <w:t xml:space="preserve">) </w:t>
            </w:r>
            <w:r w:rsidRPr="00F01347">
              <w:rPr>
                <w:rFonts w:ascii="Verdana" w:hAnsi="Verdana"/>
                <w:color w:val="000000"/>
                <w:sz w:val="16"/>
                <w:szCs w:val="16"/>
                <w:vertAlign w:val="superscript"/>
              </w:rPr>
              <w:t>b</w:t>
            </w:r>
          </w:p>
        </w:tc>
        <w:tc>
          <w:tcPr>
            <w:tcW w:w="938" w:type="dxa"/>
            <w:tcBorders>
              <w:top w:val="single" w:sz="6" w:space="0" w:color="auto"/>
              <w:left w:val="single" w:sz="6" w:space="0" w:color="auto"/>
              <w:bottom w:val="single" w:sz="6" w:space="0" w:color="auto"/>
              <w:right w:val="single" w:sz="6" w:space="0" w:color="auto"/>
            </w:tcBorders>
            <w:shd w:val="clear" w:color="auto" w:fill="FFFFFF"/>
            <w:hideMark/>
          </w:tcPr>
          <w:p w14:paraId="7EDF3EE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259.6</w:t>
            </w:r>
          </w:p>
        </w:tc>
        <w:tc>
          <w:tcPr>
            <w:tcW w:w="639" w:type="dxa"/>
            <w:tcBorders>
              <w:top w:val="single" w:sz="6" w:space="0" w:color="auto"/>
              <w:left w:val="single" w:sz="6" w:space="0" w:color="auto"/>
              <w:bottom w:val="single" w:sz="6" w:space="0" w:color="auto"/>
              <w:right w:val="single" w:sz="6" w:space="0" w:color="auto"/>
            </w:tcBorders>
            <w:shd w:val="clear" w:color="auto" w:fill="FFFFFF"/>
            <w:hideMark/>
          </w:tcPr>
          <w:p w14:paraId="557C880B"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86.9</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257BF85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5.4</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1FF231F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92.8</w:t>
            </w:r>
          </w:p>
        </w:tc>
        <w:tc>
          <w:tcPr>
            <w:tcW w:w="530" w:type="dxa"/>
            <w:tcBorders>
              <w:top w:val="single" w:sz="6" w:space="0" w:color="auto"/>
              <w:left w:val="single" w:sz="6" w:space="0" w:color="auto"/>
              <w:bottom w:val="single" w:sz="6" w:space="0" w:color="auto"/>
              <w:right w:val="single" w:sz="6" w:space="0" w:color="auto"/>
            </w:tcBorders>
            <w:shd w:val="clear" w:color="auto" w:fill="FFFFFF"/>
            <w:hideMark/>
          </w:tcPr>
          <w:p w14:paraId="297391D8"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0.7</w:t>
            </w:r>
          </w:p>
        </w:tc>
        <w:tc>
          <w:tcPr>
            <w:tcW w:w="703" w:type="dxa"/>
            <w:tcBorders>
              <w:top w:val="single" w:sz="6" w:space="0" w:color="auto"/>
              <w:left w:val="single" w:sz="6" w:space="0" w:color="auto"/>
              <w:bottom w:val="single" w:sz="6" w:space="0" w:color="auto"/>
              <w:right w:val="single" w:sz="6" w:space="0" w:color="auto"/>
            </w:tcBorders>
            <w:shd w:val="clear" w:color="auto" w:fill="FFFFFF"/>
            <w:hideMark/>
          </w:tcPr>
          <w:p w14:paraId="51AEDF6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89.7</w:t>
            </w:r>
          </w:p>
        </w:tc>
        <w:tc>
          <w:tcPr>
            <w:tcW w:w="577" w:type="dxa"/>
            <w:tcBorders>
              <w:top w:val="single" w:sz="6" w:space="0" w:color="auto"/>
              <w:left w:val="single" w:sz="6" w:space="0" w:color="auto"/>
              <w:bottom w:val="single" w:sz="6" w:space="0" w:color="auto"/>
              <w:right w:val="single" w:sz="6" w:space="0" w:color="auto"/>
            </w:tcBorders>
            <w:shd w:val="clear" w:color="auto" w:fill="FFFFFF"/>
            <w:hideMark/>
          </w:tcPr>
          <w:p w14:paraId="3CBCC39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3.3</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30A83D8A"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92.8</w:t>
            </w:r>
          </w:p>
        </w:tc>
        <w:tc>
          <w:tcPr>
            <w:tcW w:w="521" w:type="dxa"/>
            <w:tcBorders>
              <w:top w:val="single" w:sz="6" w:space="0" w:color="auto"/>
              <w:left w:val="single" w:sz="6" w:space="0" w:color="auto"/>
              <w:bottom w:val="single" w:sz="6" w:space="0" w:color="auto"/>
              <w:right w:val="single" w:sz="6" w:space="0" w:color="auto"/>
            </w:tcBorders>
            <w:shd w:val="clear" w:color="auto" w:fill="FFFFFF"/>
            <w:hideMark/>
          </w:tcPr>
          <w:p w14:paraId="414DAE20"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3.4</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5C1DD70B"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92.0</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7FCF9D8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4.1</w:t>
            </w:r>
          </w:p>
        </w:tc>
      </w:tr>
      <w:tr w:rsidR="00541DEE" w:rsidRPr="00F01347" w14:paraId="235578D3" w14:textId="77777777" w:rsidTr="00541DEE">
        <w:trPr>
          <w:trHeight w:val="20"/>
        </w:trPr>
        <w:tc>
          <w:tcPr>
            <w:tcW w:w="8712" w:type="dxa"/>
            <w:gridSpan w:val="12"/>
            <w:tcBorders>
              <w:top w:val="single" w:sz="6" w:space="0" w:color="auto"/>
              <w:left w:val="nil"/>
              <w:bottom w:val="nil"/>
              <w:right w:val="nil"/>
            </w:tcBorders>
            <w:shd w:val="clear" w:color="auto" w:fill="FFFFFF"/>
            <w:hideMark/>
          </w:tcPr>
          <w:p w14:paraId="2AB6011D"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vertAlign w:val="superscript"/>
                <w:lang w:val="en-US"/>
              </w:rPr>
              <w:t xml:space="preserve">a </w:t>
            </w:r>
            <w:r w:rsidRPr="00F01347">
              <w:rPr>
                <w:rFonts w:ascii="Verdana" w:hAnsi="Verdana"/>
                <w:color w:val="000000"/>
                <w:sz w:val="16"/>
                <w:szCs w:val="16"/>
                <w:lang w:val="en-US"/>
              </w:rPr>
              <w:t>TOC= 0.9mg/L; hardness=120mg/L as calcium carbonate</w:t>
            </w:r>
          </w:p>
        </w:tc>
      </w:tr>
      <w:tr w:rsidR="00541DEE" w:rsidRPr="00F01347" w14:paraId="6EB17E28" w14:textId="77777777" w:rsidTr="00541DEE">
        <w:trPr>
          <w:trHeight w:val="20"/>
        </w:trPr>
        <w:tc>
          <w:tcPr>
            <w:tcW w:w="8712" w:type="dxa"/>
            <w:gridSpan w:val="12"/>
            <w:shd w:val="clear" w:color="auto" w:fill="FFFFFF"/>
            <w:hideMark/>
          </w:tcPr>
          <w:p w14:paraId="2108EE7A"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vertAlign w:val="superscript"/>
                <w:lang w:val="en-US"/>
              </w:rPr>
              <w:t xml:space="preserve">b No </w:t>
            </w:r>
            <w:r w:rsidRPr="00F01347">
              <w:rPr>
                <w:rFonts w:ascii="Verdana" w:hAnsi="Verdana"/>
                <w:color w:val="000000"/>
                <w:sz w:val="16"/>
                <w:szCs w:val="16"/>
                <w:lang w:val="en-US"/>
              </w:rPr>
              <w:t>surrogate was added to the samples until the day of extraction</w:t>
            </w:r>
          </w:p>
        </w:tc>
      </w:tr>
    </w:tbl>
    <w:p w14:paraId="2A41BB72" w14:textId="77777777" w:rsidR="00541DEE" w:rsidRPr="00F01347" w:rsidRDefault="00541DEE" w:rsidP="00541DEE">
      <w:pPr>
        <w:pStyle w:val="texto0"/>
        <w:spacing w:line="240" w:lineRule="exact"/>
        <w:rPr>
          <w:rFonts w:ascii="Verdana" w:hAnsi="Verdana"/>
          <w:sz w:val="16"/>
          <w:szCs w:val="16"/>
          <w:lang w:val="en"/>
        </w:rPr>
      </w:pPr>
    </w:p>
    <w:tbl>
      <w:tblPr>
        <w:tblW w:w="8712" w:type="dxa"/>
        <w:tblInd w:w="144" w:type="dxa"/>
        <w:tblLayout w:type="fixed"/>
        <w:tblCellMar>
          <w:left w:w="70" w:type="dxa"/>
          <w:right w:w="70" w:type="dxa"/>
        </w:tblCellMar>
        <w:tblLook w:val="0000" w:firstRow="0" w:lastRow="0" w:firstColumn="0" w:lastColumn="0" w:noHBand="0" w:noVBand="0"/>
      </w:tblPr>
      <w:tblGrid>
        <w:gridCol w:w="1799"/>
        <w:gridCol w:w="938"/>
        <w:gridCol w:w="640"/>
        <w:gridCol w:w="552"/>
        <w:gridCol w:w="613"/>
        <w:gridCol w:w="666"/>
        <w:gridCol w:w="551"/>
        <w:gridCol w:w="593"/>
        <w:gridCol w:w="600"/>
        <w:gridCol w:w="657"/>
        <w:gridCol w:w="567"/>
        <w:gridCol w:w="536"/>
      </w:tblGrid>
      <w:tr w:rsidR="00A74CDF" w:rsidRPr="00F01347" w14:paraId="2CA7379E" w14:textId="77777777">
        <w:trPr>
          <w:trHeight w:val="20"/>
        </w:trPr>
        <w:tc>
          <w:tcPr>
            <w:tcW w:w="8712" w:type="dxa"/>
            <w:gridSpan w:val="12"/>
            <w:shd w:val="clear" w:color="000000" w:fill="FFFFFF"/>
            <w:noWrap/>
          </w:tcPr>
          <w:p w14:paraId="207B137C"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b/>
                <w:color w:val="000000"/>
                <w:sz w:val="16"/>
                <w:szCs w:val="16"/>
              </w:rPr>
              <w:t>Tabla B.1.2-5.</w:t>
            </w:r>
            <w:r w:rsidRPr="00F01347">
              <w:rPr>
                <w:rFonts w:ascii="Verdana" w:hAnsi="Verdana"/>
                <w:color w:val="000000"/>
                <w:sz w:val="16"/>
                <w:szCs w:val="16"/>
              </w:rPr>
              <w:t xml:space="preserve"> Tiempos de espera de extractos para muestras de agua de uso y consumo humano provenientes de fuentes superficiales, fortificadas con analitos de interés y preservadas y almacenadas de acuerdo con lo establecido en el presente método (n=4).</w:t>
            </w:r>
          </w:p>
        </w:tc>
      </w:tr>
      <w:tr w:rsidR="00A74CDF" w:rsidRPr="00F01347" w14:paraId="7EEE6117" w14:textId="77777777">
        <w:trPr>
          <w:trHeight w:val="20"/>
        </w:trPr>
        <w:tc>
          <w:tcPr>
            <w:tcW w:w="2737" w:type="dxa"/>
            <w:gridSpan w:val="2"/>
            <w:tcBorders>
              <w:bottom w:val="single" w:sz="6" w:space="0" w:color="auto"/>
              <w:right w:val="single" w:sz="6" w:space="0" w:color="auto"/>
            </w:tcBorders>
            <w:shd w:val="clear" w:color="000000" w:fill="FFFFFF"/>
          </w:tcPr>
          <w:p w14:paraId="260D6B63" w14:textId="77777777" w:rsidR="00A74CDF" w:rsidRPr="00F01347" w:rsidRDefault="00A74CDF" w:rsidP="003A601B">
            <w:pPr>
              <w:pStyle w:val="texto0"/>
              <w:spacing w:line="240" w:lineRule="exact"/>
              <w:ind w:firstLine="0"/>
              <w:jc w:val="center"/>
              <w:rPr>
                <w:rFonts w:ascii="Verdana" w:hAnsi="Verdana"/>
                <w:color w:val="000000"/>
                <w:sz w:val="16"/>
                <w:szCs w:val="16"/>
              </w:rPr>
            </w:pPr>
          </w:p>
        </w:tc>
        <w:tc>
          <w:tcPr>
            <w:tcW w:w="1192" w:type="dxa"/>
            <w:gridSpan w:val="2"/>
            <w:tcBorders>
              <w:top w:val="single" w:sz="6" w:space="0" w:color="auto"/>
              <w:left w:val="single" w:sz="6" w:space="0" w:color="auto"/>
              <w:bottom w:val="single" w:sz="6" w:space="0" w:color="auto"/>
              <w:right w:val="single" w:sz="6" w:space="0" w:color="auto"/>
            </w:tcBorders>
            <w:shd w:val="clear" w:color="000000" w:fill="FFFFFF"/>
          </w:tcPr>
          <w:p w14:paraId="6BDD774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Día 0</w:t>
            </w:r>
          </w:p>
        </w:tc>
        <w:tc>
          <w:tcPr>
            <w:tcW w:w="1279" w:type="dxa"/>
            <w:gridSpan w:val="2"/>
            <w:tcBorders>
              <w:top w:val="single" w:sz="6" w:space="0" w:color="auto"/>
              <w:left w:val="single" w:sz="6" w:space="0" w:color="auto"/>
              <w:bottom w:val="single" w:sz="6" w:space="0" w:color="auto"/>
              <w:right w:val="single" w:sz="6" w:space="0" w:color="auto"/>
            </w:tcBorders>
            <w:shd w:val="clear" w:color="000000" w:fill="FFFFFF"/>
          </w:tcPr>
          <w:p w14:paraId="2A35AF1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Día 7</w:t>
            </w:r>
          </w:p>
        </w:tc>
        <w:tc>
          <w:tcPr>
            <w:tcW w:w="1144" w:type="dxa"/>
            <w:gridSpan w:val="2"/>
            <w:tcBorders>
              <w:top w:val="single" w:sz="6" w:space="0" w:color="auto"/>
              <w:left w:val="single" w:sz="6" w:space="0" w:color="auto"/>
              <w:bottom w:val="single" w:sz="6" w:space="0" w:color="auto"/>
              <w:right w:val="single" w:sz="6" w:space="0" w:color="auto"/>
            </w:tcBorders>
            <w:shd w:val="clear" w:color="000000" w:fill="FFFFFF"/>
          </w:tcPr>
          <w:p w14:paraId="688BE0F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Día 14</w:t>
            </w:r>
          </w:p>
        </w:tc>
        <w:tc>
          <w:tcPr>
            <w:tcW w:w="1257" w:type="dxa"/>
            <w:gridSpan w:val="2"/>
            <w:tcBorders>
              <w:top w:val="single" w:sz="6" w:space="0" w:color="auto"/>
              <w:left w:val="single" w:sz="6" w:space="0" w:color="auto"/>
              <w:bottom w:val="single" w:sz="6" w:space="0" w:color="auto"/>
              <w:right w:val="single" w:sz="6" w:space="0" w:color="auto"/>
            </w:tcBorders>
            <w:shd w:val="clear" w:color="000000" w:fill="FFFFFF"/>
          </w:tcPr>
          <w:p w14:paraId="594195F4"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Día 21</w:t>
            </w:r>
          </w:p>
        </w:tc>
        <w:tc>
          <w:tcPr>
            <w:tcW w:w="1103" w:type="dxa"/>
            <w:gridSpan w:val="2"/>
            <w:tcBorders>
              <w:top w:val="single" w:sz="6" w:space="0" w:color="auto"/>
              <w:left w:val="single" w:sz="6" w:space="0" w:color="auto"/>
              <w:bottom w:val="single" w:sz="6" w:space="0" w:color="auto"/>
              <w:right w:val="single" w:sz="6" w:space="0" w:color="auto"/>
            </w:tcBorders>
            <w:shd w:val="clear" w:color="000000" w:fill="FFFFFF"/>
          </w:tcPr>
          <w:p w14:paraId="44229D0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Día 28</w:t>
            </w:r>
          </w:p>
        </w:tc>
      </w:tr>
      <w:tr w:rsidR="00A74CDF" w:rsidRPr="00F01347" w14:paraId="207D8855" w14:textId="77777777">
        <w:trPr>
          <w:trHeight w:val="20"/>
        </w:trPr>
        <w:tc>
          <w:tcPr>
            <w:tcW w:w="1799" w:type="dxa"/>
            <w:tcBorders>
              <w:top w:val="single" w:sz="6" w:space="0" w:color="auto"/>
              <w:left w:val="single" w:sz="6" w:space="0" w:color="auto"/>
              <w:bottom w:val="single" w:sz="6" w:space="0" w:color="auto"/>
              <w:right w:val="single" w:sz="6" w:space="0" w:color="auto"/>
            </w:tcBorders>
            <w:shd w:val="clear" w:color="000000" w:fill="FFFFFF"/>
          </w:tcPr>
          <w:p w14:paraId="1A0FA9D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lastRenderedPageBreak/>
              <w:t>Analito</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65F45C86" w14:textId="77777777" w:rsidR="00A74CDF" w:rsidRPr="00F01347" w:rsidRDefault="00A74CDF" w:rsidP="003A601B">
            <w:pPr>
              <w:pStyle w:val="texto0"/>
              <w:spacing w:line="240" w:lineRule="exact"/>
              <w:ind w:firstLine="0"/>
              <w:jc w:val="center"/>
              <w:rPr>
                <w:rFonts w:ascii="Verdana" w:hAnsi="Verdana"/>
                <w:color w:val="000000"/>
                <w:sz w:val="16"/>
                <w:szCs w:val="16"/>
              </w:rPr>
            </w:pPr>
            <w:proofErr w:type="spellStart"/>
            <w:r w:rsidRPr="00F01347">
              <w:rPr>
                <w:rFonts w:ascii="Verdana" w:hAnsi="Verdana"/>
                <w:color w:val="000000"/>
                <w:sz w:val="16"/>
                <w:szCs w:val="16"/>
              </w:rPr>
              <w:t>Conc</w:t>
            </w:r>
            <w:proofErr w:type="spellEnd"/>
            <w:r w:rsidRPr="00F01347">
              <w:rPr>
                <w:rFonts w:ascii="Verdana" w:hAnsi="Verdana"/>
                <w:color w:val="000000"/>
                <w:sz w:val="16"/>
                <w:szCs w:val="16"/>
              </w:rPr>
              <w:t>. fortificada (ng/L)</w:t>
            </w:r>
          </w:p>
        </w:tc>
        <w:tc>
          <w:tcPr>
            <w:tcW w:w="640" w:type="dxa"/>
            <w:tcBorders>
              <w:top w:val="single" w:sz="6" w:space="0" w:color="auto"/>
              <w:left w:val="single" w:sz="6" w:space="0" w:color="auto"/>
              <w:bottom w:val="single" w:sz="6" w:space="0" w:color="auto"/>
              <w:right w:val="single" w:sz="6" w:space="0" w:color="auto"/>
            </w:tcBorders>
            <w:shd w:val="clear" w:color="000000" w:fill="FFFFFF"/>
          </w:tcPr>
          <w:p w14:paraId="6A8E6754"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xml:space="preserve">% </w:t>
            </w:r>
            <w:proofErr w:type="spellStart"/>
            <w:r w:rsidRPr="00F01347">
              <w:rPr>
                <w:rFonts w:ascii="Verdana" w:hAnsi="Verdana"/>
                <w:color w:val="000000"/>
                <w:sz w:val="16"/>
                <w:szCs w:val="16"/>
              </w:rPr>
              <w:t>prom</w:t>
            </w:r>
            <w:proofErr w:type="spellEnd"/>
            <w:r w:rsidRPr="00F01347">
              <w:rPr>
                <w:rFonts w:ascii="Verdana" w:hAnsi="Verdana"/>
                <w:color w:val="000000"/>
                <w:sz w:val="16"/>
                <w:szCs w:val="16"/>
              </w:rPr>
              <w:t xml:space="preserve"> REC</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741EFBDF"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RSD</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63B18B9A"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xml:space="preserve">% </w:t>
            </w:r>
            <w:proofErr w:type="spellStart"/>
            <w:r w:rsidRPr="00F01347">
              <w:rPr>
                <w:rFonts w:ascii="Verdana" w:hAnsi="Verdana"/>
                <w:color w:val="000000"/>
                <w:sz w:val="16"/>
                <w:szCs w:val="16"/>
              </w:rPr>
              <w:t>prom</w:t>
            </w:r>
            <w:proofErr w:type="spellEnd"/>
            <w:r w:rsidRPr="00F01347">
              <w:rPr>
                <w:rFonts w:ascii="Verdana" w:hAnsi="Verdana"/>
                <w:color w:val="000000"/>
                <w:sz w:val="16"/>
                <w:szCs w:val="16"/>
              </w:rPr>
              <w:t xml:space="preserve"> REC</w:t>
            </w:r>
          </w:p>
        </w:tc>
        <w:tc>
          <w:tcPr>
            <w:tcW w:w="666" w:type="dxa"/>
            <w:tcBorders>
              <w:top w:val="single" w:sz="6" w:space="0" w:color="auto"/>
              <w:left w:val="single" w:sz="6" w:space="0" w:color="auto"/>
              <w:bottom w:val="single" w:sz="6" w:space="0" w:color="auto"/>
              <w:right w:val="single" w:sz="6" w:space="0" w:color="auto"/>
            </w:tcBorders>
            <w:shd w:val="clear" w:color="000000" w:fill="FFFFFF"/>
          </w:tcPr>
          <w:p w14:paraId="2D457ADF"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RSD</w:t>
            </w:r>
          </w:p>
        </w:tc>
        <w:tc>
          <w:tcPr>
            <w:tcW w:w="551" w:type="dxa"/>
            <w:tcBorders>
              <w:top w:val="single" w:sz="6" w:space="0" w:color="auto"/>
              <w:left w:val="single" w:sz="6" w:space="0" w:color="auto"/>
              <w:bottom w:val="single" w:sz="6" w:space="0" w:color="auto"/>
              <w:right w:val="single" w:sz="6" w:space="0" w:color="auto"/>
            </w:tcBorders>
            <w:shd w:val="clear" w:color="000000" w:fill="FFFFFF"/>
          </w:tcPr>
          <w:p w14:paraId="5D87946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xml:space="preserve">% </w:t>
            </w:r>
            <w:proofErr w:type="spellStart"/>
            <w:r w:rsidRPr="00F01347">
              <w:rPr>
                <w:rFonts w:ascii="Verdana" w:hAnsi="Verdana"/>
                <w:color w:val="000000"/>
                <w:sz w:val="16"/>
                <w:szCs w:val="16"/>
              </w:rPr>
              <w:t>prom</w:t>
            </w:r>
            <w:proofErr w:type="spellEnd"/>
            <w:r w:rsidRPr="00F01347">
              <w:rPr>
                <w:rFonts w:ascii="Verdana" w:hAnsi="Verdana"/>
                <w:color w:val="000000"/>
                <w:sz w:val="16"/>
                <w:szCs w:val="16"/>
              </w:rPr>
              <w:t xml:space="preserve"> REC</w:t>
            </w:r>
          </w:p>
        </w:tc>
        <w:tc>
          <w:tcPr>
            <w:tcW w:w="593" w:type="dxa"/>
            <w:tcBorders>
              <w:top w:val="single" w:sz="6" w:space="0" w:color="auto"/>
              <w:left w:val="single" w:sz="6" w:space="0" w:color="auto"/>
              <w:bottom w:val="single" w:sz="6" w:space="0" w:color="auto"/>
              <w:right w:val="single" w:sz="6" w:space="0" w:color="auto"/>
            </w:tcBorders>
            <w:shd w:val="clear" w:color="000000" w:fill="FFFFFF"/>
          </w:tcPr>
          <w:p w14:paraId="35541F2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RSD</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773B49A5"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xml:space="preserve">% </w:t>
            </w:r>
            <w:proofErr w:type="spellStart"/>
            <w:r w:rsidRPr="00F01347">
              <w:rPr>
                <w:rFonts w:ascii="Verdana" w:hAnsi="Verdana"/>
                <w:color w:val="000000"/>
                <w:sz w:val="16"/>
                <w:szCs w:val="16"/>
              </w:rPr>
              <w:t>prom</w:t>
            </w:r>
            <w:proofErr w:type="spellEnd"/>
            <w:r w:rsidRPr="00F01347">
              <w:rPr>
                <w:rFonts w:ascii="Verdana" w:hAnsi="Verdana"/>
                <w:color w:val="000000"/>
                <w:sz w:val="16"/>
                <w:szCs w:val="16"/>
              </w:rPr>
              <w:t xml:space="preserve"> REC</w:t>
            </w:r>
          </w:p>
        </w:tc>
        <w:tc>
          <w:tcPr>
            <w:tcW w:w="657" w:type="dxa"/>
            <w:tcBorders>
              <w:top w:val="single" w:sz="6" w:space="0" w:color="auto"/>
              <w:left w:val="single" w:sz="6" w:space="0" w:color="auto"/>
              <w:bottom w:val="single" w:sz="6" w:space="0" w:color="auto"/>
              <w:right w:val="single" w:sz="6" w:space="0" w:color="auto"/>
            </w:tcBorders>
            <w:shd w:val="clear" w:color="000000" w:fill="FFFFFF"/>
          </w:tcPr>
          <w:p w14:paraId="3885272B"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RSD</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673C699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xml:space="preserve">% </w:t>
            </w:r>
            <w:proofErr w:type="spellStart"/>
            <w:r w:rsidRPr="00F01347">
              <w:rPr>
                <w:rFonts w:ascii="Verdana" w:hAnsi="Verdana"/>
                <w:color w:val="000000"/>
                <w:sz w:val="16"/>
                <w:szCs w:val="16"/>
              </w:rPr>
              <w:t>prom</w:t>
            </w:r>
            <w:proofErr w:type="spellEnd"/>
            <w:r w:rsidRPr="00F01347">
              <w:rPr>
                <w:rFonts w:ascii="Verdana" w:hAnsi="Verdana"/>
                <w:color w:val="000000"/>
                <w:sz w:val="16"/>
                <w:szCs w:val="16"/>
              </w:rPr>
              <w:t xml:space="preserve"> REC</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13AAF4C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 RSD</w:t>
            </w:r>
          </w:p>
        </w:tc>
      </w:tr>
      <w:tr w:rsidR="00A74CDF" w:rsidRPr="00F01347" w14:paraId="1090D144" w14:textId="77777777">
        <w:trPr>
          <w:trHeight w:val="20"/>
        </w:trPr>
        <w:tc>
          <w:tcPr>
            <w:tcW w:w="1799" w:type="dxa"/>
            <w:tcBorders>
              <w:top w:val="single" w:sz="6" w:space="0" w:color="auto"/>
              <w:left w:val="single" w:sz="6" w:space="0" w:color="auto"/>
              <w:bottom w:val="single" w:sz="6" w:space="0" w:color="auto"/>
              <w:right w:val="single" w:sz="6" w:space="0" w:color="auto"/>
            </w:tcBorders>
            <w:shd w:val="clear" w:color="000000" w:fill="FFFFFF"/>
          </w:tcPr>
          <w:p w14:paraId="0AE3D908"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MC-YR</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6209CB9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400.0</w:t>
            </w:r>
          </w:p>
        </w:tc>
        <w:tc>
          <w:tcPr>
            <w:tcW w:w="640" w:type="dxa"/>
            <w:tcBorders>
              <w:top w:val="single" w:sz="6" w:space="0" w:color="auto"/>
              <w:left w:val="single" w:sz="6" w:space="0" w:color="auto"/>
              <w:bottom w:val="single" w:sz="6" w:space="0" w:color="auto"/>
              <w:right w:val="single" w:sz="6" w:space="0" w:color="auto"/>
            </w:tcBorders>
            <w:shd w:val="clear" w:color="000000" w:fill="FFFFFF"/>
          </w:tcPr>
          <w:p w14:paraId="2CD35457"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101</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42575F34"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8.7</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2CEC205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98.4</w:t>
            </w:r>
          </w:p>
        </w:tc>
        <w:tc>
          <w:tcPr>
            <w:tcW w:w="666" w:type="dxa"/>
            <w:tcBorders>
              <w:top w:val="single" w:sz="6" w:space="0" w:color="auto"/>
              <w:left w:val="single" w:sz="6" w:space="0" w:color="auto"/>
              <w:bottom w:val="single" w:sz="6" w:space="0" w:color="auto"/>
              <w:right w:val="single" w:sz="6" w:space="0" w:color="auto"/>
            </w:tcBorders>
            <w:shd w:val="clear" w:color="000000" w:fill="FFFFFF"/>
          </w:tcPr>
          <w:p w14:paraId="79A06F68"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2.4</w:t>
            </w:r>
          </w:p>
        </w:tc>
        <w:tc>
          <w:tcPr>
            <w:tcW w:w="551" w:type="dxa"/>
            <w:tcBorders>
              <w:top w:val="single" w:sz="6" w:space="0" w:color="auto"/>
              <w:left w:val="single" w:sz="6" w:space="0" w:color="auto"/>
              <w:bottom w:val="single" w:sz="6" w:space="0" w:color="auto"/>
              <w:right w:val="single" w:sz="6" w:space="0" w:color="auto"/>
            </w:tcBorders>
            <w:shd w:val="clear" w:color="000000" w:fill="FFFFFF"/>
          </w:tcPr>
          <w:p w14:paraId="1ADEDA8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90.7</w:t>
            </w:r>
          </w:p>
        </w:tc>
        <w:tc>
          <w:tcPr>
            <w:tcW w:w="593" w:type="dxa"/>
            <w:tcBorders>
              <w:top w:val="single" w:sz="6" w:space="0" w:color="auto"/>
              <w:left w:val="single" w:sz="6" w:space="0" w:color="auto"/>
              <w:bottom w:val="single" w:sz="6" w:space="0" w:color="auto"/>
              <w:right w:val="single" w:sz="6" w:space="0" w:color="auto"/>
            </w:tcBorders>
            <w:shd w:val="clear" w:color="000000" w:fill="FFFFFF"/>
          </w:tcPr>
          <w:p w14:paraId="7272165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5.3</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1DCF7194"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91.3</w:t>
            </w:r>
          </w:p>
        </w:tc>
        <w:tc>
          <w:tcPr>
            <w:tcW w:w="657" w:type="dxa"/>
            <w:tcBorders>
              <w:top w:val="single" w:sz="6" w:space="0" w:color="auto"/>
              <w:left w:val="single" w:sz="6" w:space="0" w:color="auto"/>
              <w:bottom w:val="single" w:sz="6" w:space="0" w:color="auto"/>
              <w:right w:val="single" w:sz="6" w:space="0" w:color="auto"/>
            </w:tcBorders>
            <w:shd w:val="clear" w:color="000000" w:fill="FFFFFF"/>
          </w:tcPr>
          <w:p w14:paraId="3A45055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2.8</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04E9EA5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95.0</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1CD0C7E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4.9</w:t>
            </w:r>
          </w:p>
        </w:tc>
      </w:tr>
      <w:tr w:rsidR="00A74CDF" w:rsidRPr="00F01347" w14:paraId="4E2AF732" w14:textId="77777777">
        <w:trPr>
          <w:trHeight w:val="20"/>
        </w:trPr>
        <w:tc>
          <w:tcPr>
            <w:tcW w:w="1799" w:type="dxa"/>
            <w:tcBorders>
              <w:top w:val="single" w:sz="6" w:space="0" w:color="auto"/>
              <w:left w:val="single" w:sz="6" w:space="0" w:color="auto"/>
              <w:bottom w:val="single" w:sz="6" w:space="0" w:color="auto"/>
              <w:right w:val="single" w:sz="6" w:space="0" w:color="auto"/>
            </w:tcBorders>
            <w:shd w:val="clear" w:color="000000" w:fill="FFFFFF"/>
          </w:tcPr>
          <w:p w14:paraId="1EB8DEF8" w14:textId="77777777" w:rsidR="00A74CDF" w:rsidRPr="00F01347" w:rsidRDefault="00A74CDF" w:rsidP="003A601B">
            <w:pPr>
              <w:pStyle w:val="texto0"/>
              <w:spacing w:line="240" w:lineRule="exact"/>
              <w:ind w:firstLine="0"/>
              <w:rPr>
                <w:rFonts w:ascii="Verdana" w:hAnsi="Verdana"/>
                <w:color w:val="000000"/>
                <w:sz w:val="16"/>
                <w:szCs w:val="16"/>
              </w:rPr>
            </w:pPr>
            <w:proofErr w:type="spellStart"/>
            <w:r w:rsidRPr="00F01347">
              <w:rPr>
                <w:rFonts w:ascii="Verdana" w:hAnsi="Verdana"/>
                <w:color w:val="000000"/>
                <w:sz w:val="16"/>
                <w:szCs w:val="16"/>
              </w:rPr>
              <w:t>Nodularina</w:t>
            </w:r>
            <w:proofErr w:type="spellEnd"/>
            <w:r w:rsidRPr="00F01347">
              <w:rPr>
                <w:rFonts w:ascii="Verdana" w:hAnsi="Verdana"/>
                <w:color w:val="000000"/>
                <w:sz w:val="16"/>
                <w:szCs w:val="16"/>
              </w:rPr>
              <w:t>-R</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354E8B9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195.7</w:t>
            </w:r>
          </w:p>
        </w:tc>
        <w:tc>
          <w:tcPr>
            <w:tcW w:w="640" w:type="dxa"/>
            <w:tcBorders>
              <w:top w:val="single" w:sz="6" w:space="0" w:color="auto"/>
              <w:left w:val="single" w:sz="6" w:space="0" w:color="auto"/>
              <w:bottom w:val="single" w:sz="6" w:space="0" w:color="auto"/>
              <w:right w:val="single" w:sz="6" w:space="0" w:color="auto"/>
            </w:tcBorders>
            <w:shd w:val="clear" w:color="000000" w:fill="FFFFFF"/>
          </w:tcPr>
          <w:p w14:paraId="214DDBE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91.7</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42F8E6CF"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3.9</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61BB6325"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93.9</w:t>
            </w:r>
          </w:p>
        </w:tc>
        <w:tc>
          <w:tcPr>
            <w:tcW w:w="666" w:type="dxa"/>
            <w:tcBorders>
              <w:top w:val="single" w:sz="6" w:space="0" w:color="auto"/>
              <w:left w:val="single" w:sz="6" w:space="0" w:color="auto"/>
              <w:bottom w:val="single" w:sz="6" w:space="0" w:color="auto"/>
              <w:right w:val="single" w:sz="6" w:space="0" w:color="auto"/>
            </w:tcBorders>
            <w:shd w:val="clear" w:color="000000" w:fill="FFFFFF"/>
          </w:tcPr>
          <w:p w14:paraId="6CD77B6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2.4</w:t>
            </w:r>
          </w:p>
        </w:tc>
        <w:tc>
          <w:tcPr>
            <w:tcW w:w="551" w:type="dxa"/>
            <w:tcBorders>
              <w:top w:val="single" w:sz="6" w:space="0" w:color="auto"/>
              <w:left w:val="single" w:sz="6" w:space="0" w:color="auto"/>
              <w:bottom w:val="single" w:sz="6" w:space="0" w:color="auto"/>
              <w:right w:val="single" w:sz="6" w:space="0" w:color="auto"/>
            </w:tcBorders>
            <w:shd w:val="clear" w:color="000000" w:fill="FFFFFF"/>
          </w:tcPr>
          <w:p w14:paraId="21A4F22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94.9</w:t>
            </w:r>
          </w:p>
        </w:tc>
        <w:tc>
          <w:tcPr>
            <w:tcW w:w="593" w:type="dxa"/>
            <w:tcBorders>
              <w:top w:val="single" w:sz="6" w:space="0" w:color="auto"/>
              <w:left w:val="single" w:sz="6" w:space="0" w:color="auto"/>
              <w:bottom w:val="single" w:sz="6" w:space="0" w:color="auto"/>
              <w:right w:val="single" w:sz="6" w:space="0" w:color="auto"/>
            </w:tcBorders>
            <w:shd w:val="clear" w:color="000000" w:fill="FFFFFF"/>
          </w:tcPr>
          <w:p w14:paraId="4FEAD21B"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1.8</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7E8B2D0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95.8</w:t>
            </w:r>
          </w:p>
        </w:tc>
        <w:tc>
          <w:tcPr>
            <w:tcW w:w="657" w:type="dxa"/>
            <w:tcBorders>
              <w:top w:val="single" w:sz="6" w:space="0" w:color="auto"/>
              <w:left w:val="single" w:sz="6" w:space="0" w:color="auto"/>
              <w:bottom w:val="single" w:sz="6" w:space="0" w:color="auto"/>
              <w:right w:val="single" w:sz="6" w:space="0" w:color="auto"/>
            </w:tcBorders>
            <w:shd w:val="clear" w:color="000000" w:fill="FFFFFF"/>
          </w:tcPr>
          <w:p w14:paraId="3C4B298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2.4</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2A840A1D"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95.1</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2684C29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1.3</w:t>
            </w:r>
          </w:p>
        </w:tc>
      </w:tr>
      <w:tr w:rsidR="00A74CDF" w:rsidRPr="00F01347" w14:paraId="0E22FEB6" w14:textId="77777777">
        <w:trPr>
          <w:trHeight w:val="20"/>
        </w:trPr>
        <w:tc>
          <w:tcPr>
            <w:tcW w:w="1799" w:type="dxa"/>
            <w:tcBorders>
              <w:top w:val="single" w:sz="6" w:space="0" w:color="auto"/>
              <w:left w:val="single" w:sz="6" w:space="0" w:color="auto"/>
              <w:bottom w:val="single" w:sz="6" w:space="0" w:color="auto"/>
              <w:right w:val="single" w:sz="6" w:space="0" w:color="auto"/>
            </w:tcBorders>
            <w:shd w:val="clear" w:color="000000" w:fill="FFFFFF"/>
          </w:tcPr>
          <w:p w14:paraId="615A2429"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MC-RR</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5A2A216B"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187.5</w:t>
            </w:r>
          </w:p>
        </w:tc>
        <w:tc>
          <w:tcPr>
            <w:tcW w:w="640" w:type="dxa"/>
            <w:tcBorders>
              <w:top w:val="single" w:sz="6" w:space="0" w:color="auto"/>
              <w:left w:val="single" w:sz="6" w:space="0" w:color="auto"/>
              <w:bottom w:val="single" w:sz="6" w:space="0" w:color="auto"/>
              <w:right w:val="single" w:sz="6" w:space="0" w:color="auto"/>
            </w:tcBorders>
            <w:shd w:val="clear" w:color="000000" w:fill="FFFFFF"/>
          </w:tcPr>
          <w:p w14:paraId="1D50EEA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91.7</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44DF210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2.1</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3F03E104"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98.6</w:t>
            </w:r>
          </w:p>
        </w:tc>
        <w:tc>
          <w:tcPr>
            <w:tcW w:w="666" w:type="dxa"/>
            <w:tcBorders>
              <w:top w:val="single" w:sz="6" w:space="0" w:color="auto"/>
              <w:left w:val="single" w:sz="6" w:space="0" w:color="auto"/>
              <w:bottom w:val="single" w:sz="6" w:space="0" w:color="auto"/>
              <w:right w:val="single" w:sz="6" w:space="0" w:color="auto"/>
            </w:tcBorders>
            <w:shd w:val="clear" w:color="000000" w:fill="FFFFFF"/>
          </w:tcPr>
          <w:p w14:paraId="12DC228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1.7</w:t>
            </w:r>
          </w:p>
        </w:tc>
        <w:tc>
          <w:tcPr>
            <w:tcW w:w="551" w:type="dxa"/>
            <w:tcBorders>
              <w:top w:val="single" w:sz="6" w:space="0" w:color="auto"/>
              <w:left w:val="single" w:sz="6" w:space="0" w:color="auto"/>
              <w:bottom w:val="single" w:sz="6" w:space="0" w:color="auto"/>
              <w:right w:val="single" w:sz="6" w:space="0" w:color="auto"/>
            </w:tcBorders>
            <w:shd w:val="clear" w:color="000000" w:fill="FFFFFF"/>
          </w:tcPr>
          <w:p w14:paraId="222496B7"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97.0</w:t>
            </w:r>
          </w:p>
        </w:tc>
        <w:tc>
          <w:tcPr>
            <w:tcW w:w="593" w:type="dxa"/>
            <w:tcBorders>
              <w:top w:val="single" w:sz="6" w:space="0" w:color="auto"/>
              <w:left w:val="single" w:sz="6" w:space="0" w:color="auto"/>
              <w:bottom w:val="single" w:sz="6" w:space="0" w:color="auto"/>
              <w:right w:val="single" w:sz="6" w:space="0" w:color="auto"/>
            </w:tcBorders>
            <w:shd w:val="clear" w:color="000000" w:fill="FFFFFF"/>
          </w:tcPr>
          <w:p w14:paraId="70B6BAE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2.2</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2D2C1FC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92.6</w:t>
            </w:r>
          </w:p>
        </w:tc>
        <w:tc>
          <w:tcPr>
            <w:tcW w:w="657" w:type="dxa"/>
            <w:tcBorders>
              <w:top w:val="single" w:sz="6" w:space="0" w:color="auto"/>
              <w:left w:val="single" w:sz="6" w:space="0" w:color="auto"/>
              <w:bottom w:val="single" w:sz="6" w:space="0" w:color="auto"/>
              <w:right w:val="single" w:sz="6" w:space="0" w:color="auto"/>
            </w:tcBorders>
            <w:shd w:val="clear" w:color="000000" w:fill="FFFFFF"/>
          </w:tcPr>
          <w:p w14:paraId="10CB1D0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2.9</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5B25A7A7"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92.5</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4E9D932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2.1</w:t>
            </w:r>
          </w:p>
        </w:tc>
      </w:tr>
      <w:tr w:rsidR="00A74CDF" w:rsidRPr="00F01347" w14:paraId="72182407" w14:textId="77777777">
        <w:trPr>
          <w:trHeight w:val="20"/>
        </w:trPr>
        <w:tc>
          <w:tcPr>
            <w:tcW w:w="1799" w:type="dxa"/>
            <w:tcBorders>
              <w:top w:val="single" w:sz="6" w:space="0" w:color="auto"/>
              <w:left w:val="single" w:sz="6" w:space="0" w:color="auto"/>
              <w:bottom w:val="single" w:sz="6" w:space="0" w:color="auto"/>
              <w:right w:val="single" w:sz="6" w:space="0" w:color="auto"/>
            </w:tcBorders>
            <w:shd w:val="clear" w:color="000000" w:fill="FFFFFF"/>
          </w:tcPr>
          <w:p w14:paraId="6F9240CA"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MC-LR</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58CC79D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400.0</w:t>
            </w:r>
          </w:p>
        </w:tc>
        <w:tc>
          <w:tcPr>
            <w:tcW w:w="640" w:type="dxa"/>
            <w:tcBorders>
              <w:top w:val="single" w:sz="6" w:space="0" w:color="auto"/>
              <w:left w:val="single" w:sz="6" w:space="0" w:color="auto"/>
              <w:bottom w:val="single" w:sz="6" w:space="0" w:color="auto"/>
              <w:right w:val="single" w:sz="6" w:space="0" w:color="auto"/>
            </w:tcBorders>
            <w:shd w:val="clear" w:color="000000" w:fill="FFFFFF"/>
          </w:tcPr>
          <w:p w14:paraId="376A519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89.4</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04C9FC8F"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2.3</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53EAAB7A"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91.1</w:t>
            </w:r>
          </w:p>
        </w:tc>
        <w:tc>
          <w:tcPr>
            <w:tcW w:w="666" w:type="dxa"/>
            <w:tcBorders>
              <w:top w:val="single" w:sz="6" w:space="0" w:color="auto"/>
              <w:left w:val="single" w:sz="6" w:space="0" w:color="auto"/>
              <w:bottom w:val="single" w:sz="6" w:space="0" w:color="auto"/>
              <w:right w:val="single" w:sz="6" w:space="0" w:color="auto"/>
            </w:tcBorders>
            <w:shd w:val="clear" w:color="000000" w:fill="FFFFFF"/>
          </w:tcPr>
          <w:p w14:paraId="6CC143A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2.4</w:t>
            </w:r>
          </w:p>
        </w:tc>
        <w:tc>
          <w:tcPr>
            <w:tcW w:w="551" w:type="dxa"/>
            <w:tcBorders>
              <w:top w:val="single" w:sz="6" w:space="0" w:color="auto"/>
              <w:left w:val="single" w:sz="6" w:space="0" w:color="auto"/>
              <w:bottom w:val="single" w:sz="6" w:space="0" w:color="auto"/>
              <w:right w:val="single" w:sz="6" w:space="0" w:color="auto"/>
            </w:tcBorders>
            <w:shd w:val="clear" w:color="000000" w:fill="FFFFFF"/>
          </w:tcPr>
          <w:p w14:paraId="4D4C6F4C"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94.4</w:t>
            </w:r>
          </w:p>
        </w:tc>
        <w:tc>
          <w:tcPr>
            <w:tcW w:w="593" w:type="dxa"/>
            <w:tcBorders>
              <w:top w:val="single" w:sz="6" w:space="0" w:color="auto"/>
              <w:left w:val="single" w:sz="6" w:space="0" w:color="auto"/>
              <w:bottom w:val="single" w:sz="6" w:space="0" w:color="auto"/>
              <w:right w:val="single" w:sz="6" w:space="0" w:color="auto"/>
            </w:tcBorders>
            <w:shd w:val="clear" w:color="000000" w:fill="FFFFFF"/>
          </w:tcPr>
          <w:p w14:paraId="0856A18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3.8</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7E7FBFF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90.4</w:t>
            </w:r>
          </w:p>
        </w:tc>
        <w:tc>
          <w:tcPr>
            <w:tcW w:w="657" w:type="dxa"/>
            <w:tcBorders>
              <w:top w:val="single" w:sz="6" w:space="0" w:color="auto"/>
              <w:left w:val="single" w:sz="6" w:space="0" w:color="auto"/>
              <w:bottom w:val="single" w:sz="6" w:space="0" w:color="auto"/>
              <w:right w:val="single" w:sz="6" w:space="0" w:color="auto"/>
            </w:tcBorders>
            <w:shd w:val="clear" w:color="000000" w:fill="FFFFFF"/>
          </w:tcPr>
          <w:p w14:paraId="05F42D3E"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2.7</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03785428"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90.8</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3A41319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1.1</w:t>
            </w:r>
          </w:p>
        </w:tc>
      </w:tr>
      <w:tr w:rsidR="00A74CDF" w:rsidRPr="00F01347" w14:paraId="598B1DD0" w14:textId="77777777">
        <w:trPr>
          <w:trHeight w:val="20"/>
        </w:trPr>
        <w:tc>
          <w:tcPr>
            <w:tcW w:w="1799" w:type="dxa"/>
            <w:tcBorders>
              <w:top w:val="single" w:sz="6" w:space="0" w:color="auto"/>
              <w:left w:val="single" w:sz="6" w:space="0" w:color="auto"/>
              <w:bottom w:val="single" w:sz="6" w:space="0" w:color="auto"/>
              <w:right w:val="single" w:sz="6" w:space="0" w:color="auto"/>
            </w:tcBorders>
            <w:shd w:val="clear" w:color="000000" w:fill="FFFFFF"/>
          </w:tcPr>
          <w:p w14:paraId="232B06E6"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MC-LA</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44B45DD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1000</w:t>
            </w:r>
          </w:p>
        </w:tc>
        <w:tc>
          <w:tcPr>
            <w:tcW w:w="640" w:type="dxa"/>
            <w:tcBorders>
              <w:top w:val="single" w:sz="6" w:space="0" w:color="auto"/>
              <w:left w:val="single" w:sz="6" w:space="0" w:color="auto"/>
              <w:bottom w:val="single" w:sz="6" w:space="0" w:color="auto"/>
              <w:right w:val="single" w:sz="6" w:space="0" w:color="auto"/>
            </w:tcBorders>
            <w:shd w:val="clear" w:color="000000" w:fill="FFFFFF"/>
          </w:tcPr>
          <w:p w14:paraId="5680514D"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91.2</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13BBD52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0.9</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27ED45BC"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93.1</w:t>
            </w:r>
          </w:p>
        </w:tc>
        <w:tc>
          <w:tcPr>
            <w:tcW w:w="666" w:type="dxa"/>
            <w:tcBorders>
              <w:top w:val="single" w:sz="6" w:space="0" w:color="auto"/>
              <w:left w:val="single" w:sz="6" w:space="0" w:color="auto"/>
              <w:bottom w:val="single" w:sz="6" w:space="0" w:color="auto"/>
              <w:right w:val="single" w:sz="6" w:space="0" w:color="auto"/>
            </w:tcBorders>
            <w:shd w:val="clear" w:color="000000" w:fill="FFFFFF"/>
          </w:tcPr>
          <w:p w14:paraId="54990DD8"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2.5</w:t>
            </w:r>
          </w:p>
        </w:tc>
        <w:tc>
          <w:tcPr>
            <w:tcW w:w="551" w:type="dxa"/>
            <w:tcBorders>
              <w:top w:val="single" w:sz="6" w:space="0" w:color="auto"/>
              <w:left w:val="single" w:sz="6" w:space="0" w:color="auto"/>
              <w:bottom w:val="single" w:sz="6" w:space="0" w:color="auto"/>
              <w:right w:val="single" w:sz="6" w:space="0" w:color="auto"/>
            </w:tcBorders>
            <w:shd w:val="clear" w:color="000000" w:fill="FFFFFF"/>
          </w:tcPr>
          <w:p w14:paraId="0EB4FB6D"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90.0</w:t>
            </w:r>
          </w:p>
        </w:tc>
        <w:tc>
          <w:tcPr>
            <w:tcW w:w="593" w:type="dxa"/>
            <w:tcBorders>
              <w:top w:val="single" w:sz="6" w:space="0" w:color="auto"/>
              <w:left w:val="single" w:sz="6" w:space="0" w:color="auto"/>
              <w:bottom w:val="single" w:sz="6" w:space="0" w:color="auto"/>
              <w:right w:val="single" w:sz="6" w:space="0" w:color="auto"/>
            </w:tcBorders>
            <w:shd w:val="clear" w:color="000000" w:fill="FFFFFF"/>
          </w:tcPr>
          <w:p w14:paraId="501E43E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0.5</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34202E24"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91.7</w:t>
            </w:r>
          </w:p>
        </w:tc>
        <w:tc>
          <w:tcPr>
            <w:tcW w:w="657" w:type="dxa"/>
            <w:tcBorders>
              <w:top w:val="single" w:sz="6" w:space="0" w:color="auto"/>
              <w:left w:val="single" w:sz="6" w:space="0" w:color="auto"/>
              <w:bottom w:val="single" w:sz="6" w:space="0" w:color="auto"/>
              <w:right w:val="single" w:sz="6" w:space="0" w:color="auto"/>
            </w:tcBorders>
            <w:shd w:val="clear" w:color="000000" w:fill="FFFFFF"/>
          </w:tcPr>
          <w:p w14:paraId="5196F584"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0.7</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2755AC0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92.5</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1CB4A78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1.9</w:t>
            </w:r>
          </w:p>
        </w:tc>
      </w:tr>
      <w:tr w:rsidR="00A74CDF" w:rsidRPr="00F01347" w14:paraId="3A597059" w14:textId="77777777">
        <w:trPr>
          <w:trHeight w:val="20"/>
        </w:trPr>
        <w:tc>
          <w:tcPr>
            <w:tcW w:w="1799" w:type="dxa"/>
            <w:tcBorders>
              <w:top w:val="single" w:sz="6" w:space="0" w:color="auto"/>
              <w:left w:val="single" w:sz="6" w:space="0" w:color="auto"/>
              <w:bottom w:val="single" w:sz="6" w:space="0" w:color="auto"/>
              <w:right w:val="single" w:sz="6" w:space="0" w:color="auto"/>
            </w:tcBorders>
            <w:shd w:val="clear" w:color="000000" w:fill="FFFFFF"/>
          </w:tcPr>
          <w:p w14:paraId="49038A81"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MC-LY</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27E55DD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400.0</w:t>
            </w:r>
          </w:p>
        </w:tc>
        <w:tc>
          <w:tcPr>
            <w:tcW w:w="640" w:type="dxa"/>
            <w:tcBorders>
              <w:top w:val="single" w:sz="6" w:space="0" w:color="auto"/>
              <w:left w:val="single" w:sz="6" w:space="0" w:color="auto"/>
              <w:bottom w:val="single" w:sz="6" w:space="0" w:color="auto"/>
              <w:right w:val="single" w:sz="6" w:space="0" w:color="auto"/>
            </w:tcBorders>
            <w:shd w:val="clear" w:color="000000" w:fill="FFFFFF"/>
          </w:tcPr>
          <w:p w14:paraId="254CE46F"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88.4</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11E4311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1.8</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7A3B429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92.4</w:t>
            </w:r>
          </w:p>
        </w:tc>
        <w:tc>
          <w:tcPr>
            <w:tcW w:w="666" w:type="dxa"/>
            <w:tcBorders>
              <w:top w:val="single" w:sz="6" w:space="0" w:color="auto"/>
              <w:left w:val="single" w:sz="6" w:space="0" w:color="auto"/>
              <w:bottom w:val="single" w:sz="6" w:space="0" w:color="auto"/>
              <w:right w:val="single" w:sz="6" w:space="0" w:color="auto"/>
            </w:tcBorders>
            <w:shd w:val="clear" w:color="000000" w:fill="FFFFFF"/>
          </w:tcPr>
          <w:p w14:paraId="4E76D73A"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2.5</w:t>
            </w:r>
          </w:p>
        </w:tc>
        <w:tc>
          <w:tcPr>
            <w:tcW w:w="551" w:type="dxa"/>
            <w:tcBorders>
              <w:top w:val="single" w:sz="6" w:space="0" w:color="auto"/>
              <w:left w:val="single" w:sz="6" w:space="0" w:color="auto"/>
              <w:bottom w:val="single" w:sz="6" w:space="0" w:color="auto"/>
              <w:right w:val="single" w:sz="6" w:space="0" w:color="auto"/>
            </w:tcBorders>
            <w:shd w:val="clear" w:color="000000" w:fill="FFFFFF"/>
          </w:tcPr>
          <w:p w14:paraId="402B986C"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94.4</w:t>
            </w:r>
          </w:p>
        </w:tc>
        <w:tc>
          <w:tcPr>
            <w:tcW w:w="593" w:type="dxa"/>
            <w:tcBorders>
              <w:top w:val="single" w:sz="6" w:space="0" w:color="auto"/>
              <w:left w:val="single" w:sz="6" w:space="0" w:color="auto"/>
              <w:bottom w:val="single" w:sz="6" w:space="0" w:color="auto"/>
              <w:right w:val="single" w:sz="6" w:space="0" w:color="auto"/>
            </w:tcBorders>
            <w:shd w:val="clear" w:color="000000" w:fill="FFFFFF"/>
          </w:tcPr>
          <w:p w14:paraId="63834498"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2.2</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3DEB617F"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91.6</w:t>
            </w:r>
          </w:p>
        </w:tc>
        <w:tc>
          <w:tcPr>
            <w:tcW w:w="657" w:type="dxa"/>
            <w:tcBorders>
              <w:top w:val="single" w:sz="6" w:space="0" w:color="auto"/>
              <w:left w:val="single" w:sz="6" w:space="0" w:color="auto"/>
              <w:bottom w:val="single" w:sz="6" w:space="0" w:color="auto"/>
              <w:right w:val="single" w:sz="6" w:space="0" w:color="auto"/>
            </w:tcBorders>
            <w:shd w:val="clear" w:color="000000" w:fill="FFFFFF"/>
          </w:tcPr>
          <w:p w14:paraId="0A081CA8"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1.8</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7440128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93.4</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59129E8D"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1.6</w:t>
            </w:r>
          </w:p>
        </w:tc>
      </w:tr>
      <w:tr w:rsidR="00A74CDF" w:rsidRPr="00F01347" w14:paraId="33651FF5" w14:textId="77777777">
        <w:trPr>
          <w:trHeight w:val="20"/>
        </w:trPr>
        <w:tc>
          <w:tcPr>
            <w:tcW w:w="1799" w:type="dxa"/>
            <w:tcBorders>
              <w:top w:val="single" w:sz="6" w:space="0" w:color="auto"/>
              <w:left w:val="single" w:sz="6" w:space="0" w:color="auto"/>
              <w:bottom w:val="single" w:sz="6" w:space="0" w:color="auto"/>
              <w:right w:val="single" w:sz="6" w:space="0" w:color="auto"/>
            </w:tcBorders>
            <w:shd w:val="clear" w:color="000000" w:fill="FFFFFF"/>
          </w:tcPr>
          <w:p w14:paraId="1437DA1B"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MC-LF</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3DB6F42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400.0</w:t>
            </w:r>
          </w:p>
        </w:tc>
        <w:tc>
          <w:tcPr>
            <w:tcW w:w="640" w:type="dxa"/>
            <w:tcBorders>
              <w:top w:val="single" w:sz="6" w:space="0" w:color="auto"/>
              <w:left w:val="single" w:sz="6" w:space="0" w:color="auto"/>
              <w:bottom w:val="single" w:sz="6" w:space="0" w:color="auto"/>
              <w:right w:val="single" w:sz="6" w:space="0" w:color="auto"/>
            </w:tcBorders>
            <w:shd w:val="clear" w:color="000000" w:fill="FFFFFF"/>
          </w:tcPr>
          <w:p w14:paraId="2EC08A47"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89.1</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2B859C0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2.3</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3FBFE1BB"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92.6</w:t>
            </w:r>
          </w:p>
        </w:tc>
        <w:tc>
          <w:tcPr>
            <w:tcW w:w="666" w:type="dxa"/>
            <w:tcBorders>
              <w:top w:val="single" w:sz="6" w:space="0" w:color="auto"/>
              <w:left w:val="single" w:sz="6" w:space="0" w:color="auto"/>
              <w:bottom w:val="single" w:sz="6" w:space="0" w:color="auto"/>
              <w:right w:val="single" w:sz="6" w:space="0" w:color="auto"/>
            </w:tcBorders>
            <w:shd w:val="clear" w:color="000000" w:fill="FFFFFF"/>
          </w:tcPr>
          <w:p w14:paraId="3F43A25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0.9</w:t>
            </w:r>
          </w:p>
        </w:tc>
        <w:tc>
          <w:tcPr>
            <w:tcW w:w="551" w:type="dxa"/>
            <w:tcBorders>
              <w:top w:val="single" w:sz="6" w:space="0" w:color="auto"/>
              <w:left w:val="single" w:sz="6" w:space="0" w:color="auto"/>
              <w:bottom w:val="single" w:sz="6" w:space="0" w:color="auto"/>
              <w:right w:val="single" w:sz="6" w:space="0" w:color="auto"/>
            </w:tcBorders>
            <w:shd w:val="clear" w:color="000000" w:fill="FFFFFF"/>
          </w:tcPr>
          <w:p w14:paraId="20B6E00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89.0</w:t>
            </w:r>
          </w:p>
        </w:tc>
        <w:tc>
          <w:tcPr>
            <w:tcW w:w="593" w:type="dxa"/>
            <w:tcBorders>
              <w:top w:val="single" w:sz="6" w:space="0" w:color="auto"/>
              <w:left w:val="single" w:sz="6" w:space="0" w:color="auto"/>
              <w:bottom w:val="single" w:sz="6" w:space="0" w:color="auto"/>
              <w:right w:val="single" w:sz="6" w:space="0" w:color="auto"/>
            </w:tcBorders>
            <w:shd w:val="clear" w:color="000000" w:fill="FFFFFF"/>
          </w:tcPr>
          <w:p w14:paraId="22BD6E3F"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1.8</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583B2A7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90.8</w:t>
            </w:r>
          </w:p>
        </w:tc>
        <w:tc>
          <w:tcPr>
            <w:tcW w:w="657" w:type="dxa"/>
            <w:tcBorders>
              <w:top w:val="single" w:sz="6" w:space="0" w:color="auto"/>
              <w:left w:val="single" w:sz="6" w:space="0" w:color="auto"/>
              <w:bottom w:val="single" w:sz="6" w:space="0" w:color="auto"/>
              <w:right w:val="single" w:sz="6" w:space="0" w:color="auto"/>
            </w:tcBorders>
            <w:shd w:val="clear" w:color="000000" w:fill="FFFFFF"/>
          </w:tcPr>
          <w:p w14:paraId="70D937A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1.9</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5838D763"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91.0</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17ABC304"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2.5</w:t>
            </w:r>
          </w:p>
        </w:tc>
      </w:tr>
      <w:tr w:rsidR="00A74CDF" w:rsidRPr="00F01347" w14:paraId="7B0A52A8" w14:textId="77777777">
        <w:trPr>
          <w:trHeight w:val="20"/>
        </w:trPr>
        <w:tc>
          <w:tcPr>
            <w:tcW w:w="1799" w:type="dxa"/>
            <w:tcBorders>
              <w:top w:val="single" w:sz="6" w:space="0" w:color="auto"/>
              <w:left w:val="single" w:sz="6" w:space="0" w:color="auto"/>
              <w:bottom w:val="single" w:sz="6" w:space="0" w:color="auto"/>
              <w:right w:val="single" w:sz="6" w:space="0" w:color="auto"/>
            </w:tcBorders>
            <w:shd w:val="clear" w:color="000000" w:fill="FFFFFF"/>
          </w:tcPr>
          <w:p w14:paraId="4987D9FD" w14:textId="77777777" w:rsidR="00A74CDF" w:rsidRPr="00F01347" w:rsidRDefault="00A74CDF" w:rsidP="003A601B">
            <w:pPr>
              <w:pStyle w:val="texto0"/>
              <w:spacing w:line="240" w:lineRule="exact"/>
              <w:ind w:firstLine="0"/>
              <w:rPr>
                <w:rFonts w:ascii="Verdana" w:hAnsi="Verdana"/>
                <w:color w:val="000000"/>
                <w:sz w:val="16"/>
                <w:szCs w:val="16"/>
              </w:rPr>
            </w:pPr>
            <w:r w:rsidRPr="00F01347">
              <w:rPr>
                <w:rFonts w:ascii="Verdana" w:hAnsi="Verdana"/>
                <w:color w:val="000000"/>
                <w:sz w:val="16"/>
                <w:szCs w:val="16"/>
              </w:rPr>
              <w:t>C</w:t>
            </w:r>
            <w:r w:rsidRPr="00F01347">
              <w:rPr>
                <w:rFonts w:ascii="Verdana" w:hAnsi="Verdana"/>
                <w:color w:val="000000"/>
                <w:sz w:val="16"/>
                <w:szCs w:val="16"/>
                <w:vertAlign w:val="subscript"/>
              </w:rPr>
              <w:t>2</w:t>
            </w:r>
            <w:r w:rsidRPr="00F01347">
              <w:rPr>
                <w:rFonts w:ascii="Verdana" w:hAnsi="Verdana"/>
                <w:color w:val="000000"/>
                <w:sz w:val="16"/>
                <w:szCs w:val="16"/>
              </w:rPr>
              <w:t>D</w:t>
            </w:r>
            <w:r w:rsidRPr="00F01347">
              <w:rPr>
                <w:rFonts w:ascii="Verdana" w:hAnsi="Verdana"/>
                <w:color w:val="000000"/>
                <w:sz w:val="16"/>
                <w:szCs w:val="16"/>
                <w:vertAlign w:val="subscript"/>
              </w:rPr>
              <w:t>5</w:t>
            </w:r>
            <w:r w:rsidRPr="00F01347">
              <w:rPr>
                <w:rFonts w:ascii="Verdana" w:hAnsi="Verdana"/>
                <w:color w:val="000000"/>
                <w:sz w:val="16"/>
                <w:szCs w:val="16"/>
              </w:rPr>
              <w:t>-MC-LR (SUR)</w:t>
            </w:r>
          </w:p>
        </w:tc>
        <w:tc>
          <w:tcPr>
            <w:tcW w:w="938" w:type="dxa"/>
            <w:tcBorders>
              <w:top w:val="single" w:sz="6" w:space="0" w:color="auto"/>
              <w:left w:val="single" w:sz="6" w:space="0" w:color="auto"/>
              <w:bottom w:val="single" w:sz="6" w:space="0" w:color="auto"/>
              <w:right w:val="single" w:sz="6" w:space="0" w:color="auto"/>
            </w:tcBorders>
            <w:shd w:val="clear" w:color="000000" w:fill="FFFFFF"/>
          </w:tcPr>
          <w:p w14:paraId="7BC28C88"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259.6</w:t>
            </w:r>
          </w:p>
        </w:tc>
        <w:tc>
          <w:tcPr>
            <w:tcW w:w="640" w:type="dxa"/>
            <w:tcBorders>
              <w:top w:val="single" w:sz="6" w:space="0" w:color="auto"/>
              <w:left w:val="single" w:sz="6" w:space="0" w:color="auto"/>
              <w:bottom w:val="single" w:sz="6" w:space="0" w:color="auto"/>
              <w:right w:val="single" w:sz="6" w:space="0" w:color="auto"/>
            </w:tcBorders>
            <w:shd w:val="clear" w:color="000000" w:fill="FFFFFF"/>
          </w:tcPr>
          <w:p w14:paraId="71964480"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86.9</w:t>
            </w:r>
          </w:p>
        </w:tc>
        <w:tc>
          <w:tcPr>
            <w:tcW w:w="552" w:type="dxa"/>
            <w:tcBorders>
              <w:top w:val="single" w:sz="6" w:space="0" w:color="auto"/>
              <w:left w:val="single" w:sz="6" w:space="0" w:color="auto"/>
              <w:bottom w:val="single" w:sz="6" w:space="0" w:color="auto"/>
              <w:right w:val="single" w:sz="6" w:space="0" w:color="auto"/>
            </w:tcBorders>
            <w:shd w:val="clear" w:color="000000" w:fill="FFFFFF"/>
          </w:tcPr>
          <w:p w14:paraId="2CCECF86"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5.4</w:t>
            </w:r>
          </w:p>
        </w:tc>
        <w:tc>
          <w:tcPr>
            <w:tcW w:w="613" w:type="dxa"/>
            <w:tcBorders>
              <w:top w:val="single" w:sz="6" w:space="0" w:color="auto"/>
              <w:left w:val="single" w:sz="6" w:space="0" w:color="auto"/>
              <w:bottom w:val="single" w:sz="6" w:space="0" w:color="auto"/>
              <w:right w:val="single" w:sz="6" w:space="0" w:color="auto"/>
            </w:tcBorders>
            <w:shd w:val="clear" w:color="000000" w:fill="FFFFFF"/>
          </w:tcPr>
          <w:p w14:paraId="14FC063F"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90.9</w:t>
            </w:r>
          </w:p>
        </w:tc>
        <w:tc>
          <w:tcPr>
            <w:tcW w:w="666" w:type="dxa"/>
            <w:tcBorders>
              <w:top w:val="single" w:sz="6" w:space="0" w:color="auto"/>
              <w:left w:val="single" w:sz="6" w:space="0" w:color="auto"/>
              <w:bottom w:val="single" w:sz="6" w:space="0" w:color="auto"/>
              <w:right w:val="single" w:sz="6" w:space="0" w:color="auto"/>
            </w:tcBorders>
            <w:shd w:val="clear" w:color="000000" w:fill="FFFFFF"/>
          </w:tcPr>
          <w:p w14:paraId="23886C1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5.2</w:t>
            </w:r>
          </w:p>
        </w:tc>
        <w:tc>
          <w:tcPr>
            <w:tcW w:w="551" w:type="dxa"/>
            <w:tcBorders>
              <w:top w:val="single" w:sz="6" w:space="0" w:color="auto"/>
              <w:left w:val="single" w:sz="6" w:space="0" w:color="auto"/>
              <w:bottom w:val="single" w:sz="6" w:space="0" w:color="auto"/>
              <w:right w:val="single" w:sz="6" w:space="0" w:color="auto"/>
            </w:tcBorders>
            <w:shd w:val="clear" w:color="000000" w:fill="FFFFFF"/>
          </w:tcPr>
          <w:p w14:paraId="43A67F19"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89.1</w:t>
            </w:r>
          </w:p>
        </w:tc>
        <w:tc>
          <w:tcPr>
            <w:tcW w:w="593" w:type="dxa"/>
            <w:tcBorders>
              <w:top w:val="single" w:sz="6" w:space="0" w:color="auto"/>
              <w:left w:val="single" w:sz="6" w:space="0" w:color="auto"/>
              <w:bottom w:val="single" w:sz="6" w:space="0" w:color="auto"/>
              <w:right w:val="single" w:sz="6" w:space="0" w:color="auto"/>
            </w:tcBorders>
            <w:shd w:val="clear" w:color="000000" w:fill="FFFFFF"/>
          </w:tcPr>
          <w:p w14:paraId="6566C164"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1.4</w:t>
            </w:r>
          </w:p>
        </w:tc>
        <w:tc>
          <w:tcPr>
            <w:tcW w:w="600" w:type="dxa"/>
            <w:tcBorders>
              <w:top w:val="single" w:sz="6" w:space="0" w:color="auto"/>
              <w:left w:val="single" w:sz="6" w:space="0" w:color="auto"/>
              <w:bottom w:val="single" w:sz="6" w:space="0" w:color="auto"/>
              <w:right w:val="single" w:sz="6" w:space="0" w:color="auto"/>
            </w:tcBorders>
            <w:shd w:val="clear" w:color="000000" w:fill="FFFFFF"/>
          </w:tcPr>
          <w:p w14:paraId="3215F4F7"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90.5</w:t>
            </w:r>
          </w:p>
        </w:tc>
        <w:tc>
          <w:tcPr>
            <w:tcW w:w="657" w:type="dxa"/>
            <w:tcBorders>
              <w:top w:val="single" w:sz="6" w:space="0" w:color="auto"/>
              <w:left w:val="single" w:sz="6" w:space="0" w:color="auto"/>
              <w:bottom w:val="single" w:sz="6" w:space="0" w:color="auto"/>
              <w:right w:val="single" w:sz="6" w:space="0" w:color="auto"/>
            </w:tcBorders>
            <w:shd w:val="clear" w:color="000000" w:fill="FFFFFF"/>
          </w:tcPr>
          <w:p w14:paraId="0F638731"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3.2</w:t>
            </w:r>
          </w:p>
        </w:tc>
        <w:tc>
          <w:tcPr>
            <w:tcW w:w="567" w:type="dxa"/>
            <w:tcBorders>
              <w:top w:val="single" w:sz="6" w:space="0" w:color="auto"/>
              <w:left w:val="single" w:sz="6" w:space="0" w:color="auto"/>
              <w:bottom w:val="single" w:sz="6" w:space="0" w:color="auto"/>
              <w:right w:val="single" w:sz="6" w:space="0" w:color="auto"/>
            </w:tcBorders>
            <w:shd w:val="clear" w:color="000000" w:fill="FFFFFF"/>
          </w:tcPr>
          <w:p w14:paraId="78462602"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93.2</w:t>
            </w:r>
          </w:p>
        </w:tc>
        <w:tc>
          <w:tcPr>
            <w:tcW w:w="536" w:type="dxa"/>
            <w:tcBorders>
              <w:top w:val="single" w:sz="6" w:space="0" w:color="auto"/>
              <w:left w:val="single" w:sz="6" w:space="0" w:color="auto"/>
              <w:bottom w:val="single" w:sz="6" w:space="0" w:color="auto"/>
              <w:right w:val="single" w:sz="6" w:space="0" w:color="auto"/>
            </w:tcBorders>
            <w:shd w:val="clear" w:color="000000" w:fill="FFFFFF"/>
          </w:tcPr>
          <w:p w14:paraId="362D184F" w14:textId="77777777" w:rsidR="00A74CDF" w:rsidRPr="00F01347" w:rsidRDefault="00A74CDF" w:rsidP="003A601B">
            <w:pPr>
              <w:pStyle w:val="texto0"/>
              <w:spacing w:line="240" w:lineRule="exact"/>
              <w:ind w:firstLine="0"/>
              <w:jc w:val="center"/>
              <w:rPr>
                <w:rFonts w:ascii="Verdana" w:hAnsi="Verdana"/>
                <w:color w:val="000000"/>
                <w:sz w:val="16"/>
                <w:szCs w:val="16"/>
              </w:rPr>
            </w:pPr>
            <w:r w:rsidRPr="00F01347">
              <w:rPr>
                <w:rFonts w:ascii="Verdana" w:hAnsi="Verdana"/>
                <w:color w:val="000000"/>
                <w:sz w:val="16"/>
                <w:szCs w:val="16"/>
              </w:rPr>
              <w:t>3.6</w:t>
            </w:r>
          </w:p>
        </w:tc>
      </w:tr>
    </w:tbl>
    <w:p w14:paraId="5611ED91" w14:textId="77777777" w:rsidR="00A74CDF" w:rsidRDefault="00A74CDF" w:rsidP="003A601B">
      <w:pPr>
        <w:pStyle w:val="texto0"/>
        <w:spacing w:line="240" w:lineRule="exact"/>
        <w:rPr>
          <w:rFonts w:ascii="Verdana" w:hAnsi="Verdana"/>
          <w:b/>
          <w:sz w:val="16"/>
          <w:szCs w:val="16"/>
        </w:rPr>
      </w:pPr>
    </w:p>
    <w:p w14:paraId="225EE665" w14:textId="77777777" w:rsidR="000A3AF6" w:rsidRDefault="000A3AF6" w:rsidP="003A601B">
      <w:pPr>
        <w:pStyle w:val="texto0"/>
        <w:spacing w:line="240" w:lineRule="exact"/>
        <w:rPr>
          <w:rFonts w:ascii="Verdana" w:hAnsi="Verdana"/>
          <w:b/>
          <w:sz w:val="16"/>
          <w:szCs w:val="16"/>
        </w:rPr>
      </w:pPr>
    </w:p>
    <w:p w14:paraId="3C55D684" w14:textId="77777777" w:rsidR="000A3AF6" w:rsidRDefault="000A3AF6" w:rsidP="003A601B">
      <w:pPr>
        <w:pStyle w:val="texto0"/>
        <w:spacing w:line="240" w:lineRule="exact"/>
        <w:rPr>
          <w:rFonts w:ascii="Verdana" w:hAnsi="Verdana"/>
          <w:b/>
          <w:sz w:val="16"/>
          <w:szCs w:val="16"/>
        </w:rPr>
      </w:pPr>
    </w:p>
    <w:p w14:paraId="3848A9A8" w14:textId="77777777" w:rsidR="000A3AF6" w:rsidRPr="00F01347" w:rsidRDefault="000A3AF6" w:rsidP="003A601B">
      <w:pPr>
        <w:pStyle w:val="texto0"/>
        <w:spacing w:line="240" w:lineRule="exact"/>
        <w:rPr>
          <w:rFonts w:ascii="Verdana" w:hAnsi="Verdana"/>
          <w:b/>
          <w:sz w:val="16"/>
          <w:szCs w:val="16"/>
        </w:rPr>
      </w:pPr>
    </w:p>
    <w:tbl>
      <w:tblPr>
        <w:tblW w:w="8715" w:type="dxa"/>
        <w:tblInd w:w="144" w:type="dxa"/>
        <w:tblLayout w:type="fixed"/>
        <w:tblCellMar>
          <w:left w:w="70" w:type="dxa"/>
          <w:right w:w="70" w:type="dxa"/>
        </w:tblCellMar>
        <w:tblLook w:val="04A0" w:firstRow="1" w:lastRow="0" w:firstColumn="1" w:lastColumn="0" w:noHBand="0" w:noVBand="1"/>
      </w:tblPr>
      <w:tblGrid>
        <w:gridCol w:w="1801"/>
        <w:gridCol w:w="939"/>
        <w:gridCol w:w="640"/>
        <w:gridCol w:w="552"/>
        <w:gridCol w:w="613"/>
        <w:gridCol w:w="666"/>
        <w:gridCol w:w="551"/>
        <w:gridCol w:w="593"/>
        <w:gridCol w:w="600"/>
        <w:gridCol w:w="657"/>
        <w:gridCol w:w="567"/>
        <w:gridCol w:w="536"/>
      </w:tblGrid>
      <w:tr w:rsidR="00541DEE" w:rsidRPr="00F01347" w14:paraId="1441D808" w14:textId="77777777" w:rsidTr="000A3AF6">
        <w:trPr>
          <w:trHeight w:val="20"/>
        </w:trPr>
        <w:tc>
          <w:tcPr>
            <w:tcW w:w="8715" w:type="dxa"/>
            <w:gridSpan w:val="12"/>
            <w:shd w:val="clear" w:color="auto" w:fill="FFFFFF"/>
            <w:noWrap/>
            <w:hideMark/>
          </w:tcPr>
          <w:p w14:paraId="483E2C99"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b/>
                <w:color w:val="000000"/>
                <w:sz w:val="16"/>
                <w:szCs w:val="16"/>
                <w:lang w:val="en-US"/>
              </w:rPr>
              <w:t xml:space="preserve">Table B.1.2-5. </w:t>
            </w:r>
            <w:r w:rsidRPr="00F01347">
              <w:rPr>
                <w:rFonts w:ascii="Verdana" w:hAnsi="Verdana"/>
                <w:color w:val="000000"/>
                <w:sz w:val="16"/>
                <w:szCs w:val="16"/>
                <w:lang w:val="en-US"/>
              </w:rPr>
              <w:t>Waiting times for extracts for water samples for human use and consumption from surface sources, fortified with analytes of interest and preserved and stored in accordance with the provisions of this method (n=4).</w:t>
            </w:r>
          </w:p>
        </w:tc>
      </w:tr>
      <w:tr w:rsidR="00541DEE" w:rsidRPr="00F01347" w14:paraId="727A6232" w14:textId="77777777" w:rsidTr="000A3AF6">
        <w:trPr>
          <w:trHeight w:val="20"/>
        </w:trPr>
        <w:tc>
          <w:tcPr>
            <w:tcW w:w="2740" w:type="dxa"/>
            <w:gridSpan w:val="2"/>
            <w:tcBorders>
              <w:top w:val="nil"/>
              <w:left w:val="nil"/>
              <w:bottom w:val="single" w:sz="6" w:space="0" w:color="auto"/>
              <w:right w:val="single" w:sz="6" w:space="0" w:color="auto"/>
            </w:tcBorders>
            <w:shd w:val="clear" w:color="auto" w:fill="FFFFFF"/>
          </w:tcPr>
          <w:p w14:paraId="3D095458" w14:textId="77777777" w:rsidR="00541DEE" w:rsidRPr="00F01347" w:rsidRDefault="00541DEE">
            <w:pPr>
              <w:pStyle w:val="texto0"/>
              <w:spacing w:line="240" w:lineRule="exact"/>
              <w:ind w:firstLine="0"/>
              <w:jc w:val="center"/>
              <w:rPr>
                <w:rFonts w:ascii="Verdana" w:hAnsi="Verdana"/>
                <w:color w:val="000000"/>
                <w:sz w:val="16"/>
                <w:szCs w:val="16"/>
                <w:lang w:val="en-US"/>
              </w:rPr>
            </w:pPr>
          </w:p>
        </w:tc>
        <w:tc>
          <w:tcPr>
            <w:tcW w:w="119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9F5789B"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Day 0</w:t>
            </w:r>
          </w:p>
        </w:tc>
        <w:tc>
          <w:tcPr>
            <w:tcW w:w="127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9209478"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Day 7</w:t>
            </w:r>
          </w:p>
        </w:tc>
        <w:tc>
          <w:tcPr>
            <w:tcW w:w="114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1ECA859"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Day 14</w:t>
            </w:r>
          </w:p>
        </w:tc>
        <w:tc>
          <w:tcPr>
            <w:tcW w:w="125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F030F4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Day 21</w:t>
            </w:r>
          </w:p>
        </w:tc>
        <w:tc>
          <w:tcPr>
            <w:tcW w:w="1103"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36D484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Day 28</w:t>
            </w:r>
          </w:p>
        </w:tc>
      </w:tr>
      <w:tr w:rsidR="00541DEE" w:rsidRPr="00F01347" w14:paraId="48F96813" w14:textId="77777777" w:rsidTr="000A3AF6">
        <w:trPr>
          <w:trHeight w:val="20"/>
        </w:trPr>
        <w:tc>
          <w:tcPr>
            <w:tcW w:w="1801" w:type="dxa"/>
            <w:tcBorders>
              <w:top w:val="single" w:sz="6" w:space="0" w:color="auto"/>
              <w:left w:val="single" w:sz="6" w:space="0" w:color="auto"/>
              <w:bottom w:val="single" w:sz="6" w:space="0" w:color="auto"/>
              <w:right w:val="single" w:sz="6" w:space="0" w:color="auto"/>
            </w:tcBorders>
            <w:shd w:val="clear" w:color="auto" w:fill="FFFFFF"/>
            <w:hideMark/>
          </w:tcPr>
          <w:p w14:paraId="5C15FDEA"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Analyte</w:t>
            </w:r>
          </w:p>
        </w:tc>
        <w:tc>
          <w:tcPr>
            <w:tcW w:w="939" w:type="dxa"/>
            <w:tcBorders>
              <w:top w:val="single" w:sz="6" w:space="0" w:color="auto"/>
              <w:left w:val="single" w:sz="6" w:space="0" w:color="auto"/>
              <w:bottom w:val="single" w:sz="6" w:space="0" w:color="auto"/>
              <w:right w:val="single" w:sz="6" w:space="0" w:color="auto"/>
            </w:tcBorders>
            <w:shd w:val="clear" w:color="auto" w:fill="FFFFFF"/>
            <w:hideMark/>
          </w:tcPr>
          <w:p w14:paraId="52BAED9F" w14:textId="5589E634"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Conc</w:t>
            </w:r>
            <w:r w:rsidR="003E1BA9" w:rsidRPr="00F01347">
              <w:rPr>
                <w:rFonts w:ascii="Verdana" w:hAnsi="Verdana"/>
                <w:color w:val="000000"/>
                <w:sz w:val="16"/>
                <w:szCs w:val="16"/>
                <w:lang w:val="en-US"/>
              </w:rPr>
              <w:t>.</w:t>
            </w:r>
            <w:r w:rsidRPr="00F01347">
              <w:rPr>
                <w:rFonts w:ascii="Verdana" w:hAnsi="Verdana"/>
                <w:color w:val="000000"/>
                <w:sz w:val="16"/>
                <w:szCs w:val="16"/>
                <w:lang w:val="en-US"/>
              </w:rPr>
              <w:t xml:space="preserve"> fortified (ng/L)</w:t>
            </w: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683AD10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avg REC</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337161A4" w14:textId="531D44E3"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w:t>
            </w:r>
            <w:r w:rsidR="00BC38BC" w:rsidRPr="00F01347">
              <w:rPr>
                <w:rFonts w:ascii="Verdana" w:hAnsi="Verdana"/>
                <w:color w:val="000000"/>
                <w:sz w:val="16"/>
                <w:szCs w:val="16"/>
                <w:lang w:val="en-US"/>
              </w:rPr>
              <w:t xml:space="preserve"> </w:t>
            </w:r>
            <w:r w:rsidRPr="00F01347">
              <w:rPr>
                <w:rFonts w:ascii="Verdana" w:hAnsi="Verdana"/>
                <w:color w:val="000000"/>
                <w:sz w:val="16"/>
                <w:szCs w:val="16"/>
                <w:lang w:val="en-US"/>
              </w:rPr>
              <w:t>RSD</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1FBBAC98"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avg REC</w:t>
            </w:r>
          </w:p>
        </w:tc>
        <w:tc>
          <w:tcPr>
            <w:tcW w:w="666" w:type="dxa"/>
            <w:tcBorders>
              <w:top w:val="single" w:sz="6" w:space="0" w:color="auto"/>
              <w:left w:val="single" w:sz="6" w:space="0" w:color="auto"/>
              <w:bottom w:val="single" w:sz="6" w:space="0" w:color="auto"/>
              <w:right w:val="single" w:sz="6" w:space="0" w:color="auto"/>
            </w:tcBorders>
            <w:shd w:val="clear" w:color="auto" w:fill="FFFFFF"/>
            <w:hideMark/>
          </w:tcPr>
          <w:p w14:paraId="7DD8F8CA" w14:textId="669DE9BF"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w:t>
            </w:r>
            <w:r w:rsidR="00BC38BC" w:rsidRPr="00F01347">
              <w:rPr>
                <w:rFonts w:ascii="Verdana" w:hAnsi="Verdana"/>
                <w:color w:val="000000"/>
                <w:sz w:val="16"/>
                <w:szCs w:val="16"/>
                <w:lang w:val="en-US"/>
              </w:rPr>
              <w:t xml:space="preserve"> </w:t>
            </w:r>
            <w:r w:rsidRPr="00F01347">
              <w:rPr>
                <w:rFonts w:ascii="Verdana" w:hAnsi="Verdana"/>
                <w:color w:val="000000"/>
                <w:sz w:val="16"/>
                <w:szCs w:val="16"/>
                <w:lang w:val="en-US"/>
              </w:rPr>
              <w:t>RSD</w:t>
            </w:r>
          </w:p>
        </w:tc>
        <w:tc>
          <w:tcPr>
            <w:tcW w:w="551" w:type="dxa"/>
            <w:tcBorders>
              <w:top w:val="single" w:sz="6" w:space="0" w:color="auto"/>
              <w:left w:val="single" w:sz="6" w:space="0" w:color="auto"/>
              <w:bottom w:val="single" w:sz="6" w:space="0" w:color="auto"/>
              <w:right w:val="single" w:sz="6" w:space="0" w:color="auto"/>
            </w:tcBorders>
            <w:shd w:val="clear" w:color="auto" w:fill="FFFFFF"/>
            <w:hideMark/>
          </w:tcPr>
          <w:p w14:paraId="07CD58B8"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avg REC</w:t>
            </w:r>
          </w:p>
        </w:tc>
        <w:tc>
          <w:tcPr>
            <w:tcW w:w="593" w:type="dxa"/>
            <w:tcBorders>
              <w:top w:val="single" w:sz="6" w:space="0" w:color="auto"/>
              <w:left w:val="single" w:sz="6" w:space="0" w:color="auto"/>
              <w:bottom w:val="single" w:sz="6" w:space="0" w:color="auto"/>
              <w:right w:val="single" w:sz="6" w:space="0" w:color="auto"/>
            </w:tcBorders>
            <w:shd w:val="clear" w:color="auto" w:fill="FFFFFF"/>
            <w:hideMark/>
          </w:tcPr>
          <w:p w14:paraId="6BD13DB8" w14:textId="74324B7A"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w:t>
            </w:r>
            <w:r w:rsidR="00BC38BC" w:rsidRPr="00F01347">
              <w:rPr>
                <w:rFonts w:ascii="Verdana" w:hAnsi="Verdana"/>
                <w:color w:val="000000"/>
                <w:sz w:val="16"/>
                <w:szCs w:val="16"/>
                <w:lang w:val="en-US"/>
              </w:rPr>
              <w:t xml:space="preserve"> </w:t>
            </w:r>
            <w:r w:rsidRPr="00F01347">
              <w:rPr>
                <w:rFonts w:ascii="Verdana" w:hAnsi="Verdana"/>
                <w:color w:val="000000"/>
                <w:sz w:val="16"/>
                <w:szCs w:val="16"/>
                <w:lang w:val="en-US"/>
              </w:rPr>
              <w:t>RSD</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5539A27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avg REC</w:t>
            </w:r>
          </w:p>
        </w:tc>
        <w:tc>
          <w:tcPr>
            <w:tcW w:w="657" w:type="dxa"/>
            <w:tcBorders>
              <w:top w:val="single" w:sz="6" w:space="0" w:color="auto"/>
              <w:left w:val="single" w:sz="6" w:space="0" w:color="auto"/>
              <w:bottom w:val="single" w:sz="6" w:space="0" w:color="auto"/>
              <w:right w:val="single" w:sz="6" w:space="0" w:color="auto"/>
            </w:tcBorders>
            <w:shd w:val="clear" w:color="auto" w:fill="FFFFFF"/>
            <w:hideMark/>
          </w:tcPr>
          <w:p w14:paraId="1F1BB649" w14:textId="48868460"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w:t>
            </w:r>
            <w:r w:rsidR="00BC38BC" w:rsidRPr="00F01347">
              <w:rPr>
                <w:rFonts w:ascii="Verdana" w:hAnsi="Verdana"/>
                <w:color w:val="000000"/>
                <w:sz w:val="16"/>
                <w:szCs w:val="16"/>
                <w:lang w:val="en-US"/>
              </w:rPr>
              <w:t xml:space="preserve"> </w:t>
            </w:r>
            <w:r w:rsidRPr="00F01347">
              <w:rPr>
                <w:rFonts w:ascii="Verdana" w:hAnsi="Verdana"/>
                <w:color w:val="000000"/>
                <w:sz w:val="16"/>
                <w:szCs w:val="16"/>
                <w:lang w:val="en-US"/>
              </w:rPr>
              <w:t>RSD</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052CC15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avg REC</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2101467A" w14:textId="6B9136DB"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w:t>
            </w:r>
            <w:r w:rsidR="00BC38BC" w:rsidRPr="00F01347">
              <w:rPr>
                <w:rFonts w:ascii="Verdana" w:hAnsi="Verdana"/>
                <w:color w:val="000000"/>
                <w:sz w:val="16"/>
                <w:szCs w:val="16"/>
                <w:lang w:val="en-US"/>
              </w:rPr>
              <w:t xml:space="preserve"> </w:t>
            </w:r>
            <w:r w:rsidRPr="00F01347">
              <w:rPr>
                <w:rFonts w:ascii="Verdana" w:hAnsi="Verdana"/>
                <w:color w:val="000000"/>
                <w:sz w:val="16"/>
                <w:szCs w:val="16"/>
                <w:lang w:val="en-US"/>
              </w:rPr>
              <w:t>RSD</w:t>
            </w:r>
          </w:p>
        </w:tc>
      </w:tr>
      <w:tr w:rsidR="00541DEE" w:rsidRPr="00F01347" w14:paraId="4DCEC01B" w14:textId="77777777" w:rsidTr="000A3AF6">
        <w:trPr>
          <w:trHeight w:val="20"/>
        </w:trPr>
        <w:tc>
          <w:tcPr>
            <w:tcW w:w="1801" w:type="dxa"/>
            <w:tcBorders>
              <w:top w:val="single" w:sz="6" w:space="0" w:color="auto"/>
              <w:left w:val="single" w:sz="6" w:space="0" w:color="auto"/>
              <w:bottom w:val="single" w:sz="6" w:space="0" w:color="auto"/>
              <w:right w:val="single" w:sz="6" w:space="0" w:color="auto"/>
            </w:tcBorders>
            <w:shd w:val="clear" w:color="auto" w:fill="FFFFFF"/>
            <w:hideMark/>
          </w:tcPr>
          <w:p w14:paraId="231A6BC2"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MC-YR</w:t>
            </w:r>
          </w:p>
        </w:tc>
        <w:tc>
          <w:tcPr>
            <w:tcW w:w="939" w:type="dxa"/>
            <w:tcBorders>
              <w:top w:val="single" w:sz="6" w:space="0" w:color="auto"/>
              <w:left w:val="single" w:sz="6" w:space="0" w:color="auto"/>
              <w:bottom w:val="single" w:sz="6" w:space="0" w:color="auto"/>
              <w:right w:val="single" w:sz="6" w:space="0" w:color="auto"/>
            </w:tcBorders>
            <w:shd w:val="clear" w:color="auto" w:fill="FFFFFF"/>
            <w:hideMark/>
          </w:tcPr>
          <w:p w14:paraId="47A4B68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400.0</w:t>
            </w: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14FC77ED"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101</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349168C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8.7</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496CB404"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98.4</w:t>
            </w:r>
          </w:p>
        </w:tc>
        <w:tc>
          <w:tcPr>
            <w:tcW w:w="666" w:type="dxa"/>
            <w:tcBorders>
              <w:top w:val="single" w:sz="6" w:space="0" w:color="auto"/>
              <w:left w:val="single" w:sz="6" w:space="0" w:color="auto"/>
              <w:bottom w:val="single" w:sz="6" w:space="0" w:color="auto"/>
              <w:right w:val="single" w:sz="6" w:space="0" w:color="auto"/>
            </w:tcBorders>
            <w:shd w:val="clear" w:color="auto" w:fill="FFFFFF"/>
            <w:hideMark/>
          </w:tcPr>
          <w:p w14:paraId="6A42D99D"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2.4</w:t>
            </w:r>
          </w:p>
        </w:tc>
        <w:tc>
          <w:tcPr>
            <w:tcW w:w="551" w:type="dxa"/>
            <w:tcBorders>
              <w:top w:val="single" w:sz="6" w:space="0" w:color="auto"/>
              <w:left w:val="single" w:sz="6" w:space="0" w:color="auto"/>
              <w:bottom w:val="single" w:sz="6" w:space="0" w:color="auto"/>
              <w:right w:val="single" w:sz="6" w:space="0" w:color="auto"/>
            </w:tcBorders>
            <w:shd w:val="clear" w:color="auto" w:fill="FFFFFF"/>
            <w:hideMark/>
          </w:tcPr>
          <w:p w14:paraId="21A345E9"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90.7</w:t>
            </w:r>
          </w:p>
        </w:tc>
        <w:tc>
          <w:tcPr>
            <w:tcW w:w="593" w:type="dxa"/>
            <w:tcBorders>
              <w:top w:val="single" w:sz="6" w:space="0" w:color="auto"/>
              <w:left w:val="single" w:sz="6" w:space="0" w:color="auto"/>
              <w:bottom w:val="single" w:sz="6" w:space="0" w:color="auto"/>
              <w:right w:val="single" w:sz="6" w:space="0" w:color="auto"/>
            </w:tcBorders>
            <w:shd w:val="clear" w:color="auto" w:fill="FFFFFF"/>
            <w:hideMark/>
          </w:tcPr>
          <w:p w14:paraId="0FBDC860"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5.3</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7EBCBE59"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91.3</w:t>
            </w:r>
          </w:p>
        </w:tc>
        <w:tc>
          <w:tcPr>
            <w:tcW w:w="657" w:type="dxa"/>
            <w:tcBorders>
              <w:top w:val="single" w:sz="6" w:space="0" w:color="auto"/>
              <w:left w:val="single" w:sz="6" w:space="0" w:color="auto"/>
              <w:bottom w:val="single" w:sz="6" w:space="0" w:color="auto"/>
              <w:right w:val="single" w:sz="6" w:space="0" w:color="auto"/>
            </w:tcBorders>
            <w:shd w:val="clear" w:color="auto" w:fill="FFFFFF"/>
            <w:hideMark/>
          </w:tcPr>
          <w:p w14:paraId="29DF545E"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2.8</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77B473A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95.0</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60C70319"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4.9</w:t>
            </w:r>
          </w:p>
        </w:tc>
      </w:tr>
      <w:tr w:rsidR="00541DEE" w:rsidRPr="00F01347" w14:paraId="7DCF110F" w14:textId="77777777" w:rsidTr="000A3AF6">
        <w:trPr>
          <w:trHeight w:val="20"/>
        </w:trPr>
        <w:tc>
          <w:tcPr>
            <w:tcW w:w="1801" w:type="dxa"/>
            <w:tcBorders>
              <w:top w:val="single" w:sz="6" w:space="0" w:color="auto"/>
              <w:left w:val="single" w:sz="6" w:space="0" w:color="auto"/>
              <w:bottom w:val="single" w:sz="6" w:space="0" w:color="auto"/>
              <w:right w:val="single" w:sz="6" w:space="0" w:color="auto"/>
            </w:tcBorders>
            <w:shd w:val="clear" w:color="auto" w:fill="FFFFFF"/>
            <w:hideMark/>
          </w:tcPr>
          <w:p w14:paraId="0FACA67A"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Nodularin -R</w:t>
            </w:r>
          </w:p>
        </w:tc>
        <w:tc>
          <w:tcPr>
            <w:tcW w:w="939" w:type="dxa"/>
            <w:tcBorders>
              <w:top w:val="single" w:sz="6" w:space="0" w:color="auto"/>
              <w:left w:val="single" w:sz="6" w:space="0" w:color="auto"/>
              <w:bottom w:val="single" w:sz="6" w:space="0" w:color="auto"/>
              <w:right w:val="single" w:sz="6" w:space="0" w:color="auto"/>
            </w:tcBorders>
            <w:shd w:val="clear" w:color="auto" w:fill="FFFFFF"/>
            <w:hideMark/>
          </w:tcPr>
          <w:p w14:paraId="6D7B418D"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195.7</w:t>
            </w: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2C8EB70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91.7</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7A0F9A1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3.9</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43969648"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93.9</w:t>
            </w:r>
          </w:p>
        </w:tc>
        <w:tc>
          <w:tcPr>
            <w:tcW w:w="666" w:type="dxa"/>
            <w:tcBorders>
              <w:top w:val="single" w:sz="6" w:space="0" w:color="auto"/>
              <w:left w:val="single" w:sz="6" w:space="0" w:color="auto"/>
              <w:bottom w:val="single" w:sz="6" w:space="0" w:color="auto"/>
              <w:right w:val="single" w:sz="6" w:space="0" w:color="auto"/>
            </w:tcBorders>
            <w:shd w:val="clear" w:color="auto" w:fill="FFFFFF"/>
            <w:hideMark/>
          </w:tcPr>
          <w:p w14:paraId="031017C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2.4</w:t>
            </w:r>
          </w:p>
        </w:tc>
        <w:tc>
          <w:tcPr>
            <w:tcW w:w="551" w:type="dxa"/>
            <w:tcBorders>
              <w:top w:val="single" w:sz="6" w:space="0" w:color="auto"/>
              <w:left w:val="single" w:sz="6" w:space="0" w:color="auto"/>
              <w:bottom w:val="single" w:sz="6" w:space="0" w:color="auto"/>
              <w:right w:val="single" w:sz="6" w:space="0" w:color="auto"/>
            </w:tcBorders>
            <w:shd w:val="clear" w:color="auto" w:fill="FFFFFF"/>
            <w:hideMark/>
          </w:tcPr>
          <w:p w14:paraId="1B6E16E6"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94.9</w:t>
            </w:r>
          </w:p>
        </w:tc>
        <w:tc>
          <w:tcPr>
            <w:tcW w:w="593" w:type="dxa"/>
            <w:tcBorders>
              <w:top w:val="single" w:sz="6" w:space="0" w:color="auto"/>
              <w:left w:val="single" w:sz="6" w:space="0" w:color="auto"/>
              <w:bottom w:val="single" w:sz="6" w:space="0" w:color="auto"/>
              <w:right w:val="single" w:sz="6" w:space="0" w:color="auto"/>
            </w:tcBorders>
            <w:shd w:val="clear" w:color="auto" w:fill="FFFFFF"/>
            <w:hideMark/>
          </w:tcPr>
          <w:p w14:paraId="69713FF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1.8</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38AF990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95.8</w:t>
            </w:r>
          </w:p>
        </w:tc>
        <w:tc>
          <w:tcPr>
            <w:tcW w:w="657" w:type="dxa"/>
            <w:tcBorders>
              <w:top w:val="single" w:sz="6" w:space="0" w:color="auto"/>
              <w:left w:val="single" w:sz="6" w:space="0" w:color="auto"/>
              <w:bottom w:val="single" w:sz="6" w:space="0" w:color="auto"/>
              <w:right w:val="single" w:sz="6" w:space="0" w:color="auto"/>
            </w:tcBorders>
            <w:shd w:val="clear" w:color="auto" w:fill="FFFFFF"/>
            <w:hideMark/>
          </w:tcPr>
          <w:p w14:paraId="438DB6F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2.4</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2EB2233D"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95.1</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02FEA36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1.3</w:t>
            </w:r>
          </w:p>
        </w:tc>
      </w:tr>
      <w:tr w:rsidR="00541DEE" w:rsidRPr="00F01347" w14:paraId="1E89AAC9" w14:textId="77777777" w:rsidTr="000A3AF6">
        <w:trPr>
          <w:trHeight w:val="20"/>
        </w:trPr>
        <w:tc>
          <w:tcPr>
            <w:tcW w:w="1801" w:type="dxa"/>
            <w:tcBorders>
              <w:top w:val="single" w:sz="6" w:space="0" w:color="auto"/>
              <w:left w:val="single" w:sz="6" w:space="0" w:color="auto"/>
              <w:bottom w:val="single" w:sz="6" w:space="0" w:color="auto"/>
              <w:right w:val="single" w:sz="6" w:space="0" w:color="auto"/>
            </w:tcBorders>
            <w:shd w:val="clear" w:color="auto" w:fill="FFFFFF"/>
            <w:hideMark/>
          </w:tcPr>
          <w:p w14:paraId="0BCE7593"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MC-RR</w:t>
            </w:r>
          </w:p>
        </w:tc>
        <w:tc>
          <w:tcPr>
            <w:tcW w:w="939" w:type="dxa"/>
            <w:tcBorders>
              <w:top w:val="single" w:sz="6" w:space="0" w:color="auto"/>
              <w:left w:val="single" w:sz="6" w:space="0" w:color="auto"/>
              <w:bottom w:val="single" w:sz="6" w:space="0" w:color="auto"/>
              <w:right w:val="single" w:sz="6" w:space="0" w:color="auto"/>
            </w:tcBorders>
            <w:shd w:val="clear" w:color="auto" w:fill="FFFFFF"/>
            <w:hideMark/>
          </w:tcPr>
          <w:p w14:paraId="0A813C08"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187.5</w:t>
            </w: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1AE8B82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91.7</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6CED8150"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2.1</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6E86CF66"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98.6</w:t>
            </w:r>
          </w:p>
        </w:tc>
        <w:tc>
          <w:tcPr>
            <w:tcW w:w="666" w:type="dxa"/>
            <w:tcBorders>
              <w:top w:val="single" w:sz="6" w:space="0" w:color="auto"/>
              <w:left w:val="single" w:sz="6" w:space="0" w:color="auto"/>
              <w:bottom w:val="single" w:sz="6" w:space="0" w:color="auto"/>
              <w:right w:val="single" w:sz="6" w:space="0" w:color="auto"/>
            </w:tcBorders>
            <w:shd w:val="clear" w:color="auto" w:fill="FFFFFF"/>
            <w:hideMark/>
          </w:tcPr>
          <w:p w14:paraId="44CF674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1.7</w:t>
            </w:r>
          </w:p>
        </w:tc>
        <w:tc>
          <w:tcPr>
            <w:tcW w:w="551" w:type="dxa"/>
            <w:tcBorders>
              <w:top w:val="single" w:sz="6" w:space="0" w:color="auto"/>
              <w:left w:val="single" w:sz="6" w:space="0" w:color="auto"/>
              <w:bottom w:val="single" w:sz="6" w:space="0" w:color="auto"/>
              <w:right w:val="single" w:sz="6" w:space="0" w:color="auto"/>
            </w:tcBorders>
            <w:shd w:val="clear" w:color="auto" w:fill="FFFFFF"/>
            <w:hideMark/>
          </w:tcPr>
          <w:p w14:paraId="63B9E5E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97.0</w:t>
            </w:r>
          </w:p>
        </w:tc>
        <w:tc>
          <w:tcPr>
            <w:tcW w:w="593" w:type="dxa"/>
            <w:tcBorders>
              <w:top w:val="single" w:sz="6" w:space="0" w:color="auto"/>
              <w:left w:val="single" w:sz="6" w:space="0" w:color="auto"/>
              <w:bottom w:val="single" w:sz="6" w:space="0" w:color="auto"/>
              <w:right w:val="single" w:sz="6" w:space="0" w:color="auto"/>
            </w:tcBorders>
            <w:shd w:val="clear" w:color="auto" w:fill="FFFFFF"/>
            <w:hideMark/>
          </w:tcPr>
          <w:p w14:paraId="6DB6E52D"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2.2</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1C82EA0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92.6</w:t>
            </w:r>
          </w:p>
        </w:tc>
        <w:tc>
          <w:tcPr>
            <w:tcW w:w="657" w:type="dxa"/>
            <w:tcBorders>
              <w:top w:val="single" w:sz="6" w:space="0" w:color="auto"/>
              <w:left w:val="single" w:sz="6" w:space="0" w:color="auto"/>
              <w:bottom w:val="single" w:sz="6" w:space="0" w:color="auto"/>
              <w:right w:val="single" w:sz="6" w:space="0" w:color="auto"/>
            </w:tcBorders>
            <w:shd w:val="clear" w:color="auto" w:fill="FFFFFF"/>
            <w:hideMark/>
          </w:tcPr>
          <w:p w14:paraId="65580F8A"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2.9</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7E58FF8A"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92.5</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37504C3E"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2.1</w:t>
            </w:r>
          </w:p>
        </w:tc>
      </w:tr>
      <w:tr w:rsidR="00541DEE" w:rsidRPr="00F01347" w14:paraId="3393413E" w14:textId="77777777" w:rsidTr="000A3AF6">
        <w:trPr>
          <w:trHeight w:val="20"/>
        </w:trPr>
        <w:tc>
          <w:tcPr>
            <w:tcW w:w="1801" w:type="dxa"/>
            <w:tcBorders>
              <w:top w:val="single" w:sz="6" w:space="0" w:color="auto"/>
              <w:left w:val="single" w:sz="6" w:space="0" w:color="auto"/>
              <w:bottom w:val="single" w:sz="6" w:space="0" w:color="auto"/>
              <w:right w:val="single" w:sz="6" w:space="0" w:color="auto"/>
            </w:tcBorders>
            <w:shd w:val="clear" w:color="auto" w:fill="FFFFFF"/>
            <w:hideMark/>
          </w:tcPr>
          <w:p w14:paraId="2269A6B4"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MC-LR</w:t>
            </w:r>
          </w:p>
        </w:tc>
        <w:tc>
          <w:tcPr>
            <w:tcW w:w="939" w:type="dxa"/>
            <w:tcBorders>
              <w:top w:val="single" w:sz="6" w:space="0" w:color="auto"/>
              <w:left w:val="single" w:sz="6" w:space="0" w:color="auto"/>
              <w:bottom w:val="single" w:sz="6" w:space="0" w:color="auto"/>
              <w:right w:val="single" w:sz="6" w:space="0" w:color="auto"/>
            </w:tcBorders>
            <w:shd w:val="clear" w:color="auto" w:fill="FFFFFF"/>
            <w:hideMark/>
          </w:tcPr>
          <w:p w14:paraId="4A2D1E6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400.0</w:t>
            </w: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3FF36B0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89.4</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785D7B5A"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23</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3552120C"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91.1</w:t>
            </w:r>
          </w:p>
        </w:tc>
        <w:tc>
          <w:tcPr>
            <w:tcW w:w="666" w:type="dxa"/>
            <w:tcBorders>
              <w:top w:val="single" w:sz="6" w:space="0" w:color="auto"/>
              <w:left w:val="single" w:sz="6" w:space="0" w:color="auto"/>
              <w:bottom w:val="single" w:sz="6" w:space="0" w:color="auto"/>
              <w:right w:val="single" w:sz="6" w:space="0" w:color="auto"/>
            </w:tcBorders>
            <w:shd w:val="clear" w:color="auto" w:fill="FFFFFF"/>
            <w:hideMark/>
          </w:tcPr>
          <w:p w14:paraId="288B34F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2.4</w:t>
            </w:r>
          </w:p>
        </w:tc>
        <w:tc>
          <w:tcPr>
            <w:tcW w:w="551" w:type="dxa"/>
            <w:tcBorders>
              <w:top w:val="single" w:sz="6" w:space="0" w:color="auto"/>
              <w:left w:val="single" w:sz="6" w:space="0" w:color="auto"/>
              <w:bottom w:val="single" w:sz="6" w:space="0" w:color="auto"/>
              <w:right w:val="single" w:sz="6" w:space="0" w:color="auto"/>
            </w:tcBorders>
            <w:shd w:val="clear" w:color="auto" w:fill="FFFFFF"/>
            <w:hideMark/>
          </w:tcPr>
          <w:p w14:paraId="7F7CDDEB"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94.4</w:t>
            </w:r>
          </w:p>
        </w:tc>
        <w:tc>
          <w:tcPr>
            <w:tcW w:w="593" w:type="dxa"/>
            <w:tcBorders>
              <w:top w:val="single" w:sz="6" w:space="0" w:color="auto"/>
              <w:left w:val="single" w:sz="6" w:space="0" w:color="auto"/>
              <w:bottom w:val="single" w:sz="6" w:space="0" w:color="auto"/>
              <w:right w:val="single" w:sz="6" w:space="0" w:color="auto"/>
            </w:tcBorders>
            <w:shd w:val="clear" w:color="auto" w:fill="FFFFFF"/>
            <w:hideMark/>
          </w:tcPr>
          <w:p w14:paraId="745A84EB"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3.8</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4FAA11A6"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90.4</w:t>
            </w:r>
          </w:p>
        </w:tc>
        <w:tc>
          <w:tcPr>
            <w:tcW w:w="657" w:type="dxa"/>
            <w:tcBorders>
              <w:top w:val="single" w:sz="6" w:space="0" w:color="auto"/>
              <w:left w:val="single" w:sz="6" w:space="0" w:color="auto"/>
              <w:bottom w:val="single" w:sz="6" w:space="0" w:color="auto"/>
              <w:right w:val="single" w:sz="6" w:space="0" w:color="auto"/>
            </w:tcBorders>
            <w:shd w:val="clear" w:color="auto" w:fill="FFFFFF"/>
            <w:hideMark/>
          </w:tcPr>
          <w:p w14:paraId="4A73E4E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2.7</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5B210BFE"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90.8</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1DD5F13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1.1</w:t>
            </w:r>
          </w:p>
        </w:tc>
      </w:tr>
      <w:tr w:rsidR="00541DEE" w:rsidRPr="00F01347" w14:paraId="753C46E9" w14:textId="77777777" w:rsidTr="000A3AF6">
        <w:trPr>
          <w:trHeight w:val="20"/>
        </w:trPr>
        <w:tc>
          <w:tcPr>
            <w:tcW w:w="1801" w:type="dxa"/>
            <w:tcBorders>
              <w:top w:val="single" w:sz="6" w:space="0" w:color="auto"/>
              <w:left w:val="single" w:sz="6" w:space="0" w:color="auto"/>
              <w:bottom w:val="single" w:sz="6" w:space="0" w:color="auto"/>
              <w:right w:val="single" w:sz="6" w:space="0" w:color="auto"/>
            </w:tcBorders>
            <w:shd w:val="clear" w:color="auto" w:fill="FFFFFF"/>
            <w:hideMark/>
          </w:tcPr>
          <w:p w14:paraId="333AA9D6"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MC-LA</w:t>
            </w:r>
          </w:p>
        </w:tc>
        <w:tc>
          <w:tcPr>
            <w:tcW w:w="939" w:type="dxa"/>
            <w:tcBorders>
              <w:top w:val="single" w:sz="6" w:space="0" w:color="auto"/>
              <w:left w:val="single" w:sz="6" w:space="0" w:color="auto"/>
              <w:bottom w:val="single" w:sz="6" w:space="0" w:color="auto"/>
              <w:right w:val="single" w:sz="6" w:space="0" w:color="auto"/>
            </w:tcBorders>
            <w:shd w:val="clear" w:color="auto" w:fill="FFFFFF"/>
            <w:hideMark/>
          </w:tcPr>
          <w:p w14:paraId="6C924710"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1000</w:t>
            </w: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42BD263A"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91.2</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6D704AD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0.9</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07F34CA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93.1</w:t>
            </w:r>
          </w:p>
        </w:tc>
        <w:tc>
          <w:tcPr>
            <w:tcW w:w="666" w:type="dxa"/>
            <w:tcBorders>
              <w:top w:val="single" w:sz="6" w:space="0" w:color="auto"/>
              <w:left w:val="single" w:sz="6" w:space="0" w:color="auto"/>
              <w:bottom w:val="single" w:sz="6" w:space="0" w:color="auto"/>
              <w:right w:val="single" w:sz="6" w:space="0" w:color="auto"/>
            </w:tcBorders>
            <w:shd w:val="clear" w:color="auto" w:fill="FFFFFF"/>
            <w:hideMark/>
          </w:tcPr>
          <w:p w14:paraId="1BCF9D86"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2.5</w:t>
            </w:r>
          </w:p>
        </w:tc>
        <w:tc>
          <w:tcPr>
            <w:tcW w:w="551" w:type="dxa"/>
            <w:tcBorders>
              <w:top w:val="single" w:sz="6" w:space="0" w:color="auto"/>
              <w:left w:val="single" w:sz="6" w:space="0" w:color="auto"/>
              <w:bottom w:val="single" w:sz="6" w:space="0" w:color="auto"/>
              <w:right w:val="single" w:sz="6" w:space="0" w:color="auto"/>
            </w:tcBorders>
            <w:shd w:val="clear" w:color="auto" w:fill="FFFFFF"/>
            <w:hideMark/>
          </w:tcPr>
          <w:p w14:paraId="06DAD9C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90.0</w:t>
            </w:r>
          </w:p>
        </w:tc>
        <w:tc>
          <w:tcPr>
            <w:tcW w:w="593" w:type="dxa"/>
            <w:tcBorders>
              <w:top w:val="single" w:sz="6" w:space="0" w:color="auto"/>
              <w:left w:val="single" w:sz="6" w:space="0" w:color="auto"/>
              <w:bottom w:val="single" w:sz="6" w:space="0" w:color="auto"/>
              <w:right w:val="single" w:sz="6" w:space="0" w:color="auto"/>
            </w:tcBorders>
            <w:shd w:val="clear" w:color="auto" w:fill="FFFFFF"/>
            <w:hideMark/>
          </w:tcPr>
          <w:p w14:paraId="14E14E5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0.5</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2286DEB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91.7</w:t>
            </w:r>
          </w:p>
        </w:tc>
        <w:tc>
          <w:tcPr>
            <w:tcW w:w="657" w:type="dxa"/>
            <w:tcBorders>
              <w:top w:val="single" w:sz="6" w:space="0" w:color="auto"/>
              <w:left w:val="single" w:sz="6" w:space="0" w:color="auto"/>
              <w:bottom w:val="single" w:sz="6" w:space="0" w:color="auto"/>
              <w:right w:val="single" w:sz="6" w:space="0" w:color="auto"/>
            </w:tcBorders>
            <w:shd w:val="clear" w:color="auto" w:fill="FFFFFF"/>
            <w:hideMark/>
          </w:tcPr>
          <w:p w14:paraId="2B1A98B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0.7</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3660E7CA"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92.5</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3EA9054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1.9</w:t>
            </w:r>
          </w:p>
        </w:tc>
      </w:tr>
      <w:tr w:rsidR="00541DEE" w:rsidRPr="00F01347" w14:paraId="3F9EE206" w14:textId="77777777" w:rsidTr="000A3AF6">
        <w:trPr>
          <w:trHeight w:val="20"/>
        </w:trPr>
        <w:tc>
          <w:tcPr>
            <w:tcW w:w="1801" w:type="dxa"/>
            <w:tcBorders>
              <w:top w:val="single" w:sz="6" w:space="0" w:color="auto"/>
              <w:left w:val="single" w:sz="6" w:space="0" w:color="auto"/>
              <w:bottom w:val="single" w:sz="6" w:space="0" w:color="auto"/>
              <w:right w:val="single" w:sz="6" w:space="0" w:color="auto"/>
            </w:tcBorders>
            <w:shd w:val="clear" w:color="auto" w:fill="FFFFFF"/>
            <w:hideMark/>
          </w:tcPr>
          <w:p w14:paraId="24795BD9"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MC-LY</w:t>
            </w:r>
          </w:p>
        </w:tc>
        <w:tc>
          <w:tcPr>
            <w:tcW w:w="939" w:type="dxa"/>
            <w:tcBorders>
              <w:top w:val="single" w:sz="6" w:space="0" w:color="auto"/>
              <w:left w:val="single" w:sz="6" w:space="0" w:color="auto"/>
              <w:bottom w:val="single" w:sz="6" w:space="0" w:color="auto"/>
              <w:right w:val="single" w:sz="6" w:space="0" w:color="auto"/>
            </w:tcBorders>
            <w:shd w:val="clear" w:color="auto" w:fill="FFFFFF"/>
            <w:hideMark/>
          </w:tcPr>
          <w:p w14:paraId="5EC5496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400.0</w:t>
            </w: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519DEFC0"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88.4</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330371D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1.8</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26331DD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92.4</w:t>
            </w:r>
          </w:p>
        </w:tc>
        <w:tc>
          <w:tcPr>
            <w:tcW w:w="666" w:type="dxa"/>
            <w:tcBorders>
              <w:top w:val="single" w:sz="6" w:space="0" w:color="auto"/>
              <w:left w:val="single" w:sz="6" w:space="0" w:color="auto"/>
              <w:bottom w:val="single" w:sz="6" w:space="0" w:color="auto"/>
              <w:right w:val="single" w:sz="6" w:space="0" w:color="auto"/>
            </w:tcBorders>
            <w:shd w:val="clear" w:color="auto" w:fill="FFFFFF"/>
            <w:hideMark/>
          </w:tcPr>
          <w:p w14:paraId="120BDD8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2.5</w:t>
            </w:r>
          </w:p>
        </w:tc>
        <w:tc>
          <w:tcPr>
            <w:tcW w:w="551" w:type="dxa"/>
            <w:tcBorders>
              <w:top w:val="single" w:sz="6" w:space="0" w:color="auto"/>
              <w:left w:val="single" w:sz="6" w:space="0" w:color="auto"/>
              <w:bottom w:val="single" w:sz="6" w:space="0" w:color="auto"/>
              <w:right w:val="single" w:sz="6" w:space="0" w:color="auto"/>
            </w:tcBorders>
            <w:shd w:val="clear" w:color="auto" w:fill="FFFFFF"/>
            <w:hideMark/>
          </w:tcPr>
          <w:p w14:paraId="6C3E4E8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94.4</w:t>
            </w:r>
          </w:p>
        </w:tc>
        <w:tc>
          <w:tcPr>
            <w:tcW w:w="593" w:type="dxa"/>
            <w:tcBorders>
              <w:top w:val="single" w:sz="6" w:space="0" w:color="auto"/>
              <w:left w:val="single" w:sz="6" w:space="0" w:color="auto"/>
              <w:bottom w:val="single" w:sz="6" w:space="0" w:color="auto"/>
              <w:right w:val="single" w:sz="6" w:space="0" w:color="auto"/>
            </w:tcBorders>
            <w:shd w:val="clear" w:color="auto" w:fill="FFFFFF"/>
            <w:hideMark/>
          </w:tcPr>
          <w:p w14:paraId="2D573349"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2.2</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055751D0"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91.6</w:t>
            </w:r>
          </w:p>
        </w:tc>
        <w:tc>
          <w:tcPr>
            <w:tcW w:w="657" w:type="dxa"/>
            <w:tcBorders>
              <w:top w:val="single" w:sz="6" w:space="0" w:color="auto"/>
              <w:left w:val="single" w:sz="6" w:space="0" w:color="auto"/>
              <w:bottom w:val="single" w:sz="6" w:space="0" w:color="auto"/>
              <w:right w:val="single" w:sz="6" w:space="0" w:color="auto"/>
            </w:tcBorders>
            <w:shd w:val="clear" w:color="auto" w:fill="FFFFFF"/>
            <w:hideMark/>
          </w:tcPr>
          <w:p w14:paraId="01EA475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1.8</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13BED575"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93.4</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1B0F939E"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1.6</w:t>
            </w:r>
          </w:p>
        </w:tc>
      </w:tr>
      <w:tr w:rsidR="00541DEE" w:rsidRPr="00F01347" w14:paraId="347F4D2D" w14:textId="77777777" w:rsidTr="000A3AF6">
        <w:trPr>
          <w:trHeight w:val="20"/>
        </w:trPr>
        <w:tc>
          <w:tcPr>
            <w:tcW w:w="1801" w:type="dxa"/>
            <w:tcBorders>
              <w:top w:val="single" w:sz="6" w:space="0" w:color="auto"/>
              <w:left w:val="single" w:sz="6" w:space="0" w:color="auto"/>
              <w:bottom w:val="single" w:sz="6" w:space="0" w:color="auto"/>
              <w:right w:val="single" w:sz="6" w:space="0" w:color="auto"/>
            </w:tcBorders>
            <w:shd w:val="clear" w:color="auto" w:fill="FFFFFF"/>
            <w:hideMark/>
          </w:tcPr>
          <w:p w14:paraId="4D51E0E9" w14:textId="77777777"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MC-LF</w:t>
            </w:r>
          </w:p>
        </w:tc>
        <w:tc>
          <w:tcPr>
            <w:tcW w:w="939" w:type="dxa"/>
            <w:tcBorders>
              <w:top w:val="single" w:sz="6" w:space="0" w:color="auto"/>
              <w:left w:val="single" w:sz="6" w:space="0" w:color="auto"/>
              <w:bottom w:val="single" w:sz="6" w:space="0" w:color="auto"/>
              <w:right w:val="single" w:sz="6" w:space="0" w:color="auto"/>
            </w:tcBorders>
            <w:shd w:val="clear" w:color="auto" w:fill="FFFFFF"/>
            <w:hideMark/>
          </w:tcPr>
          <w:p w14:paraId="592E379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400.0</w:t>
            </w: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5D1779BD"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89.1</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68A6385A"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23</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4BCCB5BA"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92.6</w:t>
            </w:r>
          </w:p>
        </w:tc>
        <w:tc>
          <w:tcPr>
            <w:tcW w:w="666" w:type="dxa"/>
            <w:tcBorders>
              <w:top w:val="single" w:sz="6" w:space="0" w:color="auto"/>
              <w:left w:val="single" w:sz="6" w:space="0" w:color="auto"/>
              <w:bottom w:val="single" w:sz="6" w:space="0" w:color="auto"/>
              <w:right w:val="single" w:sz="6" w:space="0" w:color="auto"/>
            </w:tcBorders>
            <w:shd w:val="clear" w:color="auto" w:fill="FFFFFF"/>
            <w:hideMark/>
          </w:tcPr>
          <w:p w14:paraId="07648308"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0.9</w:t>
            </w:r>
          </w:p>
        </w:tc>
        <w:tc>
          <w:tcPr>
            <w:tcW w:w="551" w:type="dxa"/>
            <w:tcBorders>
              <w:top w:val="single" w:sz="6" w:space="0" w:color="auto"/>
              <w:left w:val="single" w:sz="6" w:space="0" w:color="auto"/>
              <w:bottom w:val="single" w:sz="6" w:space="0" w:color="auto"/>
              <w:right w:val="single" w:sz="6" w:space="0" w:color="auto"/>
            </w:tcBorders>
            <w:shd w:val="clear" w:color="auto" w:fill="FFFFFF"/>
            <w:hideMark/>
          </w:tcPr>
          <w:p w14:paraId="360370F2"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89.0</w:t>
            </w:r>
          </w:p>
        </w:tc>
        <w:tc>
          <w:tcPr>
            <w:tcW w:w="593" w:type="dxa"/>
            <w:tcBorders>
              <w:top w:val="single" w:sz="6" w:space="0" w:color="auto"/>
              <w:left w:val="single" w:sz="6" w:space="0" w:color="auto"/>
              <w:bottom w:val="single" w:sz="6" w:space="0" w:color="auto"/>
              <w:right w:val="single" w:sz="6" w:space="0" w:color="auto"/>
            </w:tcBorders>
            <w:shd w:val="clear" w:color="auto" w:fill="FFFFFF"/>
            <w:hideMark/>
          </w:tcPr>
          <w:p w14:paraId="3D10BFBE"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1.8</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4698AEF8"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90.8</w:t>
            </w:r>
          </w:p>
        </w:tc>
        <w:tc>
          <w:tcPr>
            <w:tcW w:w="657" w:type="dxa"/>
            <w:tcBorders>
              <w:top w:val="single" w:sz="6" w:space="0" w:color="auto"/>
              <w:left w:val="single" w:sz="6" w:space="0" w:color="auto"/>
              <w:bottom w:val="single" w:sz="6" w:space="0" w:color="auto"/>
              <w:right w:val="single" w:sz="6" w:space="0" w:color="auto"/>
            </w:tcBorders>
            <w:shd w:val="clear" w:color="auto" w:fill="FFFFFF"/>
            <w:hideMark/>
          </w:tcPr>
          <w:p w14:paraId="6A7D3CDA"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1.9</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6194727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91.0</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16F79E44"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2.5</w:t>
            </w:r>
          </w:p>
        </w:tc>
      </w:tr>
      <w:tr w:rsidR="00541DEE" w:rsidRPr="00F01347" w14:paraId="39233EA3" w14:textId="77777777" w:rsidTr="000A3AF6">
        <w:trPr>
          <w:trHeight w:val="20"/>
        </w:trPr>
        <w:tc>
          <w:tcPr>
            <w:tcW w:w="1801" w:type="dxa"/>
            <w:tcBorders>
              <w:top w:val="single" w:sz="6" w:space="0" w:color="auto"/>
              <w:left w:val="single" w:sz="6" w:space="0" w:color="auto"/>
              <w:bottom w:val="single" w:sz="6" w:space="0" w:color="auto"/>
              <w:right w:val="single" w:sz="6" w:space="0" w:color="auto"/>
            </w:tcBorders>
            <w:shd w:val="clear" w:color="auto" w:fill="FFFFFF"/>
            <w:hideMark/>
          </w:tcPr>
          <w:p w14:paraId="12C09336" w14:textId="52CEAE23" w:rsidR="00541DEE" w:rsidRPr="00F01347" w:rsidRDefault="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C </w:t>
            </w:r>
            <w:r w:rsidRPr="00F01347">
              <w:rPr>
                <w:rFonts w:ascii="Verdana" w:hAnsi="Verdana"/>
                <w:color w:val="000000"/>
                <w:sz w:val="16"/>
                <w:szCs w:val="16"/>
                <w:vertAlign w:val="subscript"/>
                <w:lang w:val="en-US"/>
              </w:rPr>
              <w:t xml:space="preserve">2 </w:t>
            </w:r>
            <w:r w:rsidRPr="00F01347">
              <w:rPr>
                <w:rFonts w:ascii="Verdana" w:hAnsi="Verdana"/>
                <w:color w:val="000000"/>
                <w:sz w:val="16"/>
                <w:szCs w:val="16"/>
                <w:lang w:val="en-US"/>
              </w:rPr>
              <w:t xml:space="preserve">D </w:t>
            </w:r>
            <w:r w:rsidRPr="00F01347">
              <w:rPr>
                <w:rFonts w:ascii="Verdana" w:hAnsi="Verdana"/>
                <w:color w:val="000000"/>
                <w:sz w:val="16"/>
                <w:szCs w:val="16"/>
                <w:vertAlign w:val="subscript"/>
                <w:lang w:val="en-US"/>
              </w:rPr>
              <w:t xml:space="preserve">5 </w:t>
            </w:r>
            <w:r w:rsidRPr="00F01347">
              <w:rPr>
                <w:rFonts w:ascii="Verdana" w:hAnsi="Verdana"/>
                <w:color w:val="000000"/>
                <w:sz w:val="16"/>
                <w:szCs w:val="16"/>
                <w:lang w:val="en-US"/>
              </w:rPr>
              <w:t>-MC-LR (</w:t>
            </w:r>
            <w:r w:rsidR="00AD3EA1" w:rsidRPr="00F01347">
              <w:rPr>
                <w:rFonts w:ascii="Verdana" w:hAnsi="Verdana"/>
                <w:color w:val="000000"/>
                <w:sz w:val="16"/>
                <w:szCs w:val="16"/>
                <w:lang w:val="en-US"/>
              </w:rPr>
              <w:t>SUR</w:t>
            </w:r>
            <w:r w:rsidRPr="00F01347">
              <w:rPr>
                <w:rFonts w:ascii="Verdana" w:hAnsi="Verdana"/>
                <w:color w:val="000000"/>
                <w:sz w:val="16"/>
                <w:szCs w:val="16"/>
                <w:lang w:val="en-US"/>
              </w:rPr>
              <w:t>)</w:t>
            </w:r>
          </w:p>
        </w:tc>
        <w:tc>
          <w:tcPr>
            <w:tcW w:w="939" w:type="dxa"/>
            <w:tcBorders>
              <w:top w:val="single" w:sz="6" w:space="0" w:color="auto"/>
              <w:left w:val="single" w:sz="6" w:space="0" w:color="auto"/>
              <w:bottom w:val="single" w:sz="6" w:space="0" w:color="auto"/>
              <w:right w:val="single" w:sz="6" w:space="0" w:color="auto"/>
            </w:tcBorders>
            <w:shd w:val="clear" w:color="auto" w:fill="FFFFFF"/>
            <w:hideMark/>
          </w:tcPr>
          <w:p w14:paraId="00DC4C9F"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259.6</w:t>
            </w: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1E74269D"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86.9</w:t>
            </w:r>
          </w:p>
        </w:tc>
        <w:tc>
          <w:tcPr>
            <w:tcW w:w="552" w:type="dxa"/>
            <w:tcBorders>
              <w:top w:val="single" w:sz="6" w:space="0" w:color="auto"/>
              <w:left w:val="single" w:sz="6" w:space="0" w:color="auto"/>
              <w:bottom w:val="single" w:sz="6" w:space="0" w:color="auto"/>
              <w:right w:val="single" w:sz="6" w:space="0" w:color="auto"/>
            </w:tcBorders>
            <w:shd w:val="clear" w:color="auto" w:fill="FFFFFF"/>
            <w:hideMark/>
          </w:tcPr>
          <w:p w14:paraId="68FA070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5.4</w:t>
            </w:r>
          </w:p>
        </w:tc>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5AEBE959"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90.9</w:t>
            </w:r>
          </w:p>
        </w:tc>
        <w:tc>
          <w:tcPr>
            <w:tcW w:w="666" w:type="dxa"/>
            <w:tcBorders>
              <w:top w:val="single" w:sz="6" w:space="0" w:color="auto"/>
              <w:left w:val="single" w:sz="6" w:space="0" w:color="auto"/>
              <w:bottom w:val="single" w:sz="6" w:space="0" w:color="auto"/>
              <w:right w:val="single" w:sz="6" w:space="0" w:color="auto"/>
            </w:tcBorders>
            <w:shd w:val="clear" w:color="auto" w:fill="FFFFFF"/>
            <w:hideMark/>
          </w:tcPr>
          <w:p w14:paraId="2763E907"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5.2</w:t>
            </w:r>
          </w:p>
        </w:tc>
        <w:tc>
          <w:tcPr>
            <w:tcW w:w="551" w:type="dxa"/>
            <w:tcBorders>
              <w:top w:val="single" w:sz="6" w:space="0" w:color="auto"/>
              <w:left w:val="single" w:sz="6" w:space="0" w:color="auto"/>
              <w:bottom w:val="single" w:sz="6" w:space="0" w:color="auto"/>
              <w:right w:val="single" w:sz="6" w:space="0" w:color="auto"/>
            </w:tcBorders>
            <w:shd w:val="clear" w:color="auto" w:fill="FFFFFF"/>
            <w:hideMark/>
          </w:tcPr>
          <w:p w14:paraId="3EEF886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89.1</w:t>
            </w:r>
          </w:p>
        </w:tc>
        <w:tc>
          <w:tcPr>
            <w:tcW w:w="593" w:type="dxa"/>
            <w:tcBorders>
              <w:top w:val="single" w:sz="6" w:space="0" w:color="auto"/>
              <w:left w:val="single" w:sz="6" w:space="0" w:color="auto"/>
              <w:bottom w:val="single" w:sz="6" w:space="0" w:color="auto"/>
              <w:right w:val="single" w:sz="6" w:space="0" w:color="auto"/>
            </w:tcBorders>
            <w:shd w:val="clear" w:color="auto" w:fill="FFFFFF"/>
            <w:hideMark/>
          </w:tcPr>
          <w:p w14:paraId="0650057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1.4</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46EDCB31"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90.5</w:t>
            </w:r>
          </w:p>
        </w:tc>
        <w:tc>
          <w:tcPr>
            <w:tcW w:w="657" w:type="dxa"/>
            <w:tcBorders>
              <w:top w:val="single" w:sz="6" w:space="0" w:color="auto"/>
              <w:left w:val="single" w:sz="6" w:space="0" w:color="auto"/>
              <w:bottom w:val="single" w:sz="6" w:space="0" w:color="auto"/>
              <w:right w:val="single" w:sz="6" w:space="0" w:color="auto"/>
            </w:tcBorders>
            <w:shd w:val="clear" w:color="auto" w:fill="FFFFFF"/>
            <w:hideMark/>
          </w:tcPr>
          <w:p w14:paraId="2B98FC68"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3.2</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2717E0F3"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93.2</w:t>
            </w:r>
          </w:p>
        </w:tc>
        <w:tc>
          <w:tcPr>
            <w:tcW w:w="536" w:type="dxa"/>
            <w:tcBorders>
              <w:top w:val="single" w:sz="6" w:space="0" w:color="auto"/>
              <w:left w:val="single" w:sz="6" w:space="0" w:color="auto"/>
              <w:bottom w:val="single" w:sz="6" w:space="0" w:color="auto"/>
              <w:right w:val="single" w:sz="6" w:space="0" w:color="auto"/>
            </w:tcBorders>
            <w:shd w:val="clear" w:color="auto" w:fill="FFFFFF"/>
            <w:hideMark/>
          </w:tcPr>
          <w:p w14:paraId="5A1D8279" w14:textId="77777777" w:rsidR="00541DEE" w:rsidRPr="00F01347" w:rsidRDefault="00541DEE">
            <w:pPr>
              <w:pStyle w:val="texto0"/>
              <w:spacing w:line="240"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3.6</w:t>
            </w:r>
          </w:p>
        </w:tc>
      </w:tr>
    </w:tbl>
    <w:p w14:paraId="1826D586" w14:textId="77777777" w:rsidR="00541DEE" w:rsidRPr="00F01347" w:rsidRDefault="00541DEE" w:rsidP="00541DEE">
      <w:pPr>
        <w:pStyle w:val="texto0"/>
        <w:spacing w:line="240"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41DEE" w:rsidRPr="00F01347" w14:paraId="1B1128B8" w14:textId="61D400F6" w:rsidTr="00BC38BC">
        <w:tc>
          <w:tcPr>
            <w:tcW w:w="4675" w:type="dxa"/>
          </w:tcPr>
          <w:p w14:paraId="0D1934F4" w14:textId="77777777" w:rsidR="00541DEE" w:rsidRPr="00F01347" w:rsidRDefault="00541DEE" w:rsidP="00541DEE">
            <w:pPr>
              <w:pStyle w:val="texto0"/>
              <w:spacing w:line="240" w:lineRule="exact"/>
              <w:ind w:firstLine="0"/>
              <w:rPr>
                <w:rFonts w:ascii="Verdana" w:hAnsi="Verdana"/>
                <w:b/>
                <w:sz w:val="16"/>
                <w:szCs w:val="16"/>
              </w:rPr>
            </w:pPr>
            <w:r w:rsidRPr="00F01347">
              <w:rPr>
                <w:rFonts w:ascii="Verdana" w:hAnsi="Verdana"/>
                <w:b/>
                <w:sz w:val="16"/>
                <w:szCs w:val="16"/>
              </w:rPr>
              <w:t>B.1.2.7.2 Procedimiento analítico</w:t>
            </w:r>
          </w:p>
        </w:tc>
        <w:tc>
          <w:tcPr>
            <w:tcW w:w="4675" w:type="dxa"/>
          </w:tcPr>
          <w:p w14:paraId="1D35C49F" w14:textId="66DBBE26" w:rsidR="00541DEE" w:rsidRPr="00F01347" w:rsidRDefault="00541DEE" w:rsidP="00541DEE">
            <w:pPr>
              <w:pStyle w:val="texto0"/>
              <w:spacing w:line="240" w:lineRule="exact"/>
              <w:ind w:firstLine="0"/>
              <w:rPr>
                <w:rFonts w:ascii="Verdana" w:hAnsi="Verdana"/>
                <w:b/>
                <w:sz w:val="16"/>
                <w:szCs w:val="16"/>
                <w:lang w:val="en-US"/>
              </w:rPr>
            </w:pPr>
            <w:r w:rsidRPr="00F01347">
              <w:rPr>
                <w:rFonts w:ascii="Verdana" w:hAnsi="Verdana"/>
                <w:b/>
                <w:sz w:val="16"/>
                <w:szCs w:val="16"/>
                <w:lang w:val="en-US"/>
              </w:rPr>
              <w:t>B.1.2.7.2 Analytical procedure</w:t>
            </w:r>
          </w:p>
        </w:tc>
      </w:tr>
      <w:tr w:rsidR="00541DEE" w:rsidRPr="00F01347" w14:paraId="3780818E" w14:textId="2A664BEF" w:rsidTr="00BC38BC">
        <w:tc>
          <w:tcPr>
            <w:tcW w:w="4675" w:type="dxa"/>
          </w:tcPr>
          <w:p w14:paraId="7C53D788" w14:textId="77777777" w:rsidR="00541DEE" w:rsidRPr="00F01347" w:rsidRDefault="00541DEE" w:rsidP="00541DEE">
            <w:pPr>
              <w:pStyle w:val="texto0"/>
              <w:spacing w:line="240" w:lineRule="exact"/>
              <w:ind w:firstLine="0"/>
              <w:rPr>
                <w:rFonts w:ascii="Verdana" w:hAnsi="Verdana"/>
                <w:sz w:val="16"/>
                <w:szCs w:val="16"/>
              </w:rPr>
            </w:pPr>
            <w:r w:rsidRPr="00F01347">
              <w:rPr>
                <w:rFonts w:ascii="Verdana" w:hAnsi="Verdana"/>
                <w:color w:val="000000"/>
                <w:sz w:val="16"/>
                <w:szCs w:val="16"/>
              </w:rPr>
              <w:t>Este procedimiento se puede realizar manualmente o de forma automatizada mediante un robot o dispositivo de preparación de muestras automático. Puede utilizarse u</w:t>
            </w:r>
            <w:r w:rsidRPr="00F01347">
              <w:rPr>
                <w:rFonts w:ascii="Verdana" w:hAnsi="Verdana"/>
                <w:sz w:val="16"/>
                <w:szCs w:val="16"/>
              </w:rPr>
              <w:t xml:space="preserve">n sistema automático/robótico de preparación de muestras, diseñado para usarse con cartuchos de SPE siempre y cuando cumpla con todos los requisitos de control de calidad. </w:t>
            </w:r>
            <w:r w:rsidRPr="00F01347">
              <w:rPr>
                <w:rFonts w:ascii="Verdana" w:hAnsi="Verdana"/>
                <w:color w:val="000000"/>
                <w:sz w:val="16"/>
                <w:szCs w:val="16"/>
              </w:rPr>
              <w:t xml:space="preserve">Si se utiliza un sistema automatizado para preparar muestras, debe seguir las instrucciones de fabricante, pero todos los pasos de extracción y la elución deben ser los mismos que en el procedimiento manual. Los pasos de extracción o elución no pueden </w:t>
            </w:r>
            <w:r w:rsidRPr="00F01347">
              <w:rPr>
                <w:rFonts w:ascii="Verdana" w:hAnsi="Verdana"/>
                <w:color w:val="000000"/>
                <w:sz w:val="16"/>
                <w:szCs w:val="16"/>
              </w:rPr>
              <w:lastRenderedPageBreak/>
              <w:t>ser cambiados u omitidos para adecuar el uso de un sistema automatizado.</w:t>
            </w:r>
            <w:r w:rsidRPr="00F01347">
              <w:rPr>
                <w:rFonts w:ascii="Verdana" w:hAnsi="Verdana"/>
                <w:color w:val="808080"/>
                <w:sz w:val="16"/>
                <w:szCs w:val="16"/>
              </w:rPr>
              <w:t xml:space="preserve"> </w:t>
            </w:r>
            <w:r w:rsidRPr="00F01347">
              <w:rPr>
                <w:rFonts w:ascii="Verdana" w:hAnsi="Verdana"/>
                <w:sz w:val="16"/>
                <w:szCs w:val="16"/>
              </w:rPr>
              <w:t>Si se utiliza un sistema automatizado, los LRB deben rotarse entre los puertos para asegurar que todas las válvulas y la tubería cumplan los requisitos de LRB.</w:t>
            </w:r>
          </w:p>
        </w:tc>
        <w:tc>
          <w:tcPr>
            <w:tcW w:w="4675" w:type="dxa"/>
          </w:tcPr>
          <w:p w14:paraId="317BCB05" w14:textId="63C66C7C" w:rsidR="00541DEE" w:rsidRPr="00F01347" w:rsidRDefault="00541DEE" w:rsidP="00541DEE">
            <w:pPr>
              <w:pStyle w:val="texto0"/>
              <w:spacing w:line="240" w:lineRule="exact"/>
              <w:ind w:firstLine="0"/>
              <w:rPr>
                <w:rFonts w:ascii="Verdana" w:hAnsi="Verdana"/>
                <w:color w:val="000000"/>
                <w:sz w:val="16"/>
                <w:szCs w:val="16"/>
                <w:lang w:val="en-US"/>
              </w:rPr>
            </w:pPr>
            <w:r w:rsidRPr="00F01347">
              <w:rPr>
                <w:rFonts w:ascii="Verdana" w:hAnsi="Verdana"/>
                <w:color w:val="000000"/>
                <w:sz w:val="16"/>
                <w:szCs w:val="16"/>
                <w:lang w:val="en-US"/>
              </w:rPr>
              <w:lastRenderedPageBreak/>
              <w:t xml:space="preserve">This procedure can be performed manually or automated using a robot or automatic sample preparation device. An automated/robotic sample preparation system, designed for use with SPE cartridges, may be used </w:t>
            </w:r>
            <w:proofErr w:type="gramStart"/>
            <w:r w:rsidRPr="00F01347">
              <w:rPr>
                <w:rFonts w:ascii="Verdana" w:hAnsi="Verdana"/>
                <w:sz w:val="16"/>
                <w:szCs w:val="16"/>
                <w:lang w:val="en-US"/>
              </w:rPr>
              <w:t>as long as</w:t>
            </w:r>
            <w:proofErr w:type="gramEnd"/>
            <w:r w:rsidRPr="00F01347">
              <w:rPr>
                <w:rFonts w:ascii="Verdana" w:hAnsi="Verdana"/>
                <w:sz w:val="16"/>
                <w:szCs w:val="16"/>
                <w:lang w:val="en-US"/>
              </w:rPr>
              <w:t xml:space="preserve"> it meets all quality control requirements. </w:t>
            </w:r>
            <w:r w:rsidRPr="00F01347">
              <w:rPr>
                <w:rFonts w:ascii="Verdana" w:hAnsi="Verdana"/>
                <w:color w:val="000000"/>
                <w:sz w:val="16"/>
                <w:szCs w:val="16"/>
                <w:lang w:val="en-US"/>
              </w:rPr>
              <w:t xml:space="preserve">If an automated system is used to prepare samples, </w:t>
            </w:r>
            <w:r w:rsidR="004A6BE5" w:rsidRPr="00F01347">
              <w:rPr>
                <w:rFonts w:ascii="Verdana" w:hAnsi="Verdana"/>
                <w:color w:val="000000"/>
                <w:sz w:val="16"/>
                <w:szCs w:val="16"/>
                <w:lang w:val="en-US"/>
              </w:rPr>
              <w:t>one</w:t>
            </w:r>
            <w:r w:rsidRPr="00F01347">
              <w:rPr>
                <w:rFonts w:ascii="Verdana" w:hAnsi="Verdana"/>
                <w:color w:val="000000"/>
                <w:sz w:val="16"/>
                <w:szCs w:val="16"/>
                <w:lang w:val="en-US"/>
              </w:rPr>
              <w:t xml:space="preserve"> should follow the manufacturer's instructions, but all extraction and elution steps should be the same as in the manual procedure. Extraction or elution steps cannot be changed or omitted to accommodate the use of an </w:t>
            </w:r>
            <w:r w:rsidRPr="00F01347">
              <w:rPr>
                <w:rFonts w:ascii="Verdana" w:hAnsi="Verdana"/>
                <w:color w:val="000000"/>
                <w:sz w:val="16"/>
                <w:szCs w:val="16"/>
                <w:lang w:val="en-US"/>
              </w:rPr>
              <w:lastRenderedPageBreak/>
              <w:t>automated system.</w:t>
            </w:r>
            <w:r w:rsidRPr="00F01347">
              <w:rPr>
                <w:rFonts w:ascii="Verdana" w:hAnsi="Verdana"/>
                <w:color w:val="808080"/>
                <w:sz w:val="16"/>
                <w:szCs w:val="16"/>
                <w:lang w:val="en-US"/>
              </w:rPr>
              <w:t xml:space="preserve"> </w:t>
            </w:r>
            <w:r w:rsidRPr="00F01347">
              <w:rPr>
                <w:rFonts w:ascii="Verdana" w:hAnsi="Verdana"/>
                <w:sz w:val="16"/>
                <w:szCs w:val="16"/>
                <w:lang w:val="en-US"/>
              </w:rPr>
              <w:t>If an automated system is used, LRBs should be rotated between ports to ensure that all valves and piping meet LRB requirements.</w:t>
            </w:r>
          </w:p>
        </w:tc>
      </w:tr>
      <w:tr w:rsidR="00541DEE" w:rsidRPr="00F01347" w14:paraId="3843BC03" w14:textId="665778FD" w:rsidTr="00BC38BC">
        <w:tc>
          <w:tcPr>
            <w:tcW w:w="4675" w:type="dxa"/>
          </w:tcPr>
          <w:p w14:paraId="57F6F5E2" w14:textId="77777777" w:rsidR="00541DEE" w:rsidRPr="00F01347" w:rsidRDefault="00541DEE" w:rsidP="00541DEE">
            <w:pPr>
              <w:pStyle w:val="texto0"/>
              <w:spacing w:line="234" w:lineRule="exact"/>
              <w:ind w:firstLine="0"/>
              <w:rPr>
                <w:rFonts w:ascii="Verdana" w:hAnsi="Verdana"/>
                <w:color w:val="000000"/>
                <w:sz w:val="16"/>
                <w:szCs w:val="16"/>
              </w:rPr>
            </w:pPr>
            <w:r w:rsidRPr="00F01347">
              <w:rPr>
                <w:rFonts w:ascii="Verdana" w:hAnsi="Verdana"/>
                <w:color w:val="000000"/>
                <w:sz w:val="16"/>
                <w:szCs w:val="16"/>
              </w:rPr>
              <w:lastRenderedPageBreak/>
              <w:t>Los cartuchos de SPE que se mencionan, están diseñados como elementos de uso individual y deben desecharse después del uso. No pueden ser restaurados o reacondicionados para su reutilización en análisis posteriores.</w:t>
            </w:r>
          </w:p>
        </w:tc>
        <w:tc>
          <w:tcPr>
            <w:tcW w:w="4675" w:type="dxa"/>
          </w:tcPr>
          <w:p w14:paraId="44C96291" w14:textId="728E6A62" w:rsidR="00541DEE" w:rsidRPr="00F01347" w:rsidRDefault="00541DEE" w:rsidP="00541DEE">
            <w:pPr>
              <w:pStyle w:val="texto0"/>
              <w:spacing w:line="234" w:lineRule="exact"/>
              <w:ind w:firstLine="0"/>
              <w:rPr>
                <w:rFonts w:ascii="Verdana" w:hAnsi="Verdana"/>
                <w:color w:val="000000"/>
                <w:sz w:val="16"/>
                <w:szCs w:val="16"/>
                <w:lang w:val="en-US"/>
              </w:rPr>
            </w:pPr>
            <w:r w:rsidRPr="00F01347">
              <w:rPr>
                <w:rFonts w:ascii="Verdana" w:hAnsi="Verdana"/>
                <w:color w:val="000000"/>
                <w:sz w:val="16"/>
                <w:szCs w:val="16"/>
                <w:lang w:val="en-US"/>
              </w:rPr>
              <w:t>The SPE cartridges mentioned are designed as single use items and should be discarded after use. They cannot be restored or reconditioned for reuse in subsequent analyses.</w:t>
            </w:r>
          </w:p>
        </w:tc>
      </w:tr>
      <w:tr w:rsidR="00541DEE" w:rsidRPr="00F01347" w14:paraId="5CA0A49D" w14:textId="492A88CD" w:rsidTr="00BC38BC">
        <w:tc>
          <w:tcPr>
            <w:tcW w:w="4675" w:type="dxa"/>
          </w:tcPr>
          <w:p w14:paraId="1990A1EC" w14:textId="77777777" w:rsidR="00541DEE" w:rsidRPr="00F01347" w:rsidRDefault="00541DEE" w:rsidP="00541DEE">
            <w:pPr>
              <w:pStyle w:val="texto0"/>
              <w:spacing w:line="234" w:lineRule="exact"/>
              <w:ind w:firstLine="0"/>
              <w:rPr>
                <w:rFonts w:ascii="Verdana" w:hAnsi="Verdana"/>
                <w:color w:val="000000"/>
                <w:sz w:val="16"/>
                <w:szCs w:val="16"/>
              </w:rPr>
            </w:pPr>
            <w:r w:rsidRPr="00F01347">
              <w:rPr>
                <w:rFonts w:ascii="Verdana" w:hAnsi="Verdana"/>
                <w:sz w:val="16"/>
                <w:szCs w:val="16"/>
              </w:rPr>
              <w:t xml:space="preserve">Las muestras son conservadas, recogidas y almacenadas tal como se mencionó anteriormente. Todas las muestras de campo y de QC, incluyendo el LRB y el LFB, </w:t>
            </w:r>
            <w:r w:rsidRPr="00F01347">
              <w:rPr>
                <w:rFonts w:ascii="Verdana" w:hAnsi="Verdana"/>
                <w:color w:val="000000"/>
                <w:sz w:val="16"/>
                <w:szCs w:val="16"/>
              </w:rPr>
              <w:t>debe contener los conservantes listados en la Tabla B.1.2-3, de este Apéndice. Antes de la extracción, se debe verificar que el pH de la muestra es 7±0.5.</w:t>
            </w:r>
            <w:r w:rsidRPr="00F01347">
              <w:rPr>
                <w:rFonts w:ascii="Verdana" w:hAnsi="Verdana"/>
                <w:color w:val="808080"/>
                <w:sz w:val="16"/>
                <w:szCs w:val="16"/>
              </w:rPr>
              <w:t xml:space="preserve"> </w:t>
            </w:r>
            <w:r w:rsidRPr="00F01347">
              <w:rPr>
                <w:rFonts w:ascii="Verdana" w:hAnsi="Verdana"/>
                <w:sz w:val="16"/>
                <w:szCs w:val="16"/>
              </w:rPr>
              <w:t xml:space="preserve">Si el pH de la muestra no cumple con este requisito, la muestra debe desecharse. Si el pH de la muestra es aceptable, se debe proceder con el análisis. </w:t>
            </w:r>
            <w:r w:rsidRPr="00F01347">
              <w:rPr>
                <w:rFonts w:ascii="Verdana" w:hAnsi="Verdana"/>
                <w:color w:val="000000"/>
                <w:sz w:val="16"/>
                <w:szCs w:val="16"/>
              </w:rPr>
              <w:t>Antes de la extracción, marque el nivel de la muestra en el exterior de la botella de muestra para posteriormente determinar el volumen de muestra. Si se usa el peso para determinar el volumen, debe pesarse la botella con la muestra recolectada antes de la extracción.</w:t>
            </w:r>
          </w:p>
        </w:tc>
        <w:tc>
          <w:tcPr>
            <w:tcW w:w="4675" w:type="dxa"/>
          </w:tcPr>
          <w:p w14:paraId="7FCF0506" w14:textId="2573285C"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Samples are preserved, </w:t>
            </w:r>
            <w:r w:rsidR="0008390E" w:rsidRPr="00F01347">
              <w:rPr>
                <w:rFonts w:ascii="Verdana" w:hAnsi="Verdana"/>
                <w:sz w:val="16"/>
                <w:szCs w:val="16"/>
                <w:lang w:val="en-US"/>
              </w:rPr>
              <w:t>collected,</w:t>
            </w:r>
            <w:r w:rsidRPr="00F01347">
              <w:rPr>
                <w:rFonts w:ascii="Verdana" w:hAnsi="Verdana"/>
                <w:sz w:val="16"/>
                <w:szCs w:val="16"/>
                <w:lang w:val="en-US"/>
              </w:rPr>
              <w:t xml:space="preserve"> and stored as mentioned above. All field and QC samples, including the LRB and LFB, </w:t>
            </w:r>
            <w:r w:rsidRPr="00F01347">
              <w:rPr>
                <w:rFonts w:ascii="Verdana" w:hAnsi="Verdana"/>
                <w:color w:val="000000"/>
                <w:sz w:val="16"/>
                <w:szCs w:val="16"/>
                <w:lang w:val="en-US"/>
              </w:rPr>
              <w:t>must contain the preservatives listed in Table B.1.2-3, of this Appendix. Before extraction, it must be verified that the pH of the sample is 7±0.5.</w:t>
            </w:r>
            <w:r w:rsidRPr="00F01347">
              <w:rPr>
                <w:rFonts w:ascii="Verdana" w:hAnsi="Verdana"/>
                <w:color w:val="808080"/>
                <w:sz w:val="16"/>
                <w:szCs w:val="16"/>
                <w:lang w:val="en-US"/>
              </w:rPr>
              <w:t xml:space="preserve"> </w:t>
            </w:r>
            <w:r w:rsidRPr="00F01347">
              <w:rPr>
                <w:rFonts w:ascii="Verdana" w:hAnsi="Verdana"/>
                <w:sz w:val="16"/>
                <w:szCs w:val="16"/>
                <w:lang w:val="en-US"/>
              </w:rPr>
              <w:t xml:space="preserve">If the pH of the sample does not meet this requirement, the sample must be discarded. If the pH of the sample is acceptable, the analysis should proceed. </w:t>
            </w:r>
            <w:r w:rsidRPr="00F01347">
              <w:rPr>
                <w:rFonts w:ascii="Verdana" w:hAnsi="Verdana"/>
                <w:color w:val="000000"/>
                <w:sz w:val="16"/>
                <w:szCs w:val="16"/>
                <w:lang w:val="en-US"/>
              </w:rPr>
              <w:t>Before extraction, mark the sample level on the outside of the sample bottle to later determine the sample volume. If weight is used to determine volume, the bottle with the collected sample should be weighed before extraction.</w:t>
            </w:r>
          </w:p>
        </w:tc>
      </w:tr>
      <w:tr w:rsidR="00541DEE" w:rsidRPr="00F01347" w14:paraId="0D69C095" w14:textId="705A4C07" w:rsidTr="00BC38BC">
        <w:tc>
          <w:tcPr>
            <w:tcW w:w="4675" w:type="dxa"/>
          </w:tcPr>
          <w:p w14:paraId="19D7F8A0" w14:textId="77777777" w:rsidR="00541DEE" w:rsidRPr="00F01347" w:rsidRDefault="00541DEE" w:rsidP="00541DEE">
            <w:pPr>
              <w:pStyle w:val="texto0"/>
              <w:spacing w:line="234" w:lineRule="exact"/>
              <w:ind w:firstLine="0"/>
              <w:rPr>
                <w:rFonts w:ascii="Verdana" w:hAnsi="Verdana"/>
                <w:sz w:val="16"/>
                <w:szCs w:val="16"/>
              </w:rPr>
            </w:pPr>
            <w:r w:rsidRPr="00F01347">
              <w:rPr>
                <w:rFonts w:ascii="Verdana" w:hAnsi="Verdana"/>
                <w:sz w:val="16"/>
                <w:szCs w:val="16"/>
              </w:rPr>
              <w:t xml:space="preserve">Como se mencionó, se pueden utilizar tamaños de muestra menores para obtener el MRL. Debe usarse el mismo tamaño de muestra para el LFB, FD, LFSM y </w:t>
            </w:r>
            <w:proofErr w:type="gramStart"/>
            <w:r w:rsidRPr="00F01347">
              <w:rPr>
                <w:rFonts w:ascii="Verdana" w:hAnsi="Verdana"/>
                <w:sz w:val="16"/>
                <w:szCs w:val="16"/>
              </w:rPr>
              <w:t>LFSMD</w:t>
            </w:r>
            <w:proofErr w:type="gramEnd"/>
            <w:r w:rsidRPr="00F01347">
              <w:rPr>
                <w:rFonts w:ascii="Verdana" w:hAnsi="Verdana"/>
                <w:sz w:val="16"/>
                <w:szCs w:val="16"/>
              </w:rPr>
              <w:t xml:space="preserve"> así como para la muestra de campo y todas las muestras de QC las cuales deben cumplir el tamaño de muestra más pequeño.</w:t>
            </w:r>
          </w:p>
        </w:tc>
        <w:tc>
          <w:tcPr>
            <w:tcW w:w="4675" w:type="dxa"/>
          </w:tcPr>
          <w:p w14:paraId="532391AB" w14:textId="3D447234"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sz w:val="16"/>
                <w:szCs w:val="16"/>
                <w:lang w:val="en-US"/>
              </w:rPr>
              <w:t>As mentioned, smaller sample sizes can be used to obtain the MRL. The same sample size must be used for the LFB, FD, LFSM and LFSMD as well as for the field sample and all QC samples which must meet the smaller sample size.</w:t>
            </w:r>
          </w:p>
        </w:tc>
      </w:tr>
      <w:tr w:rsidR="00541DEE" w:rsidRPr="00F01347" w14:paraId="083BAE1E" w14:textId="5197AAC5" w:rsidTr="00BC38BC">
        <w:tc>
          <w:tcPr>
            <w:tcW w:w="4675" w:type="dxa"/>
          </w:tcPr>
          <w:p w14:paraId="2D0DDF49" w14:textId="77777777" w:rsidR="00541DEE" w:rsidRPr="00F01347" w:rsidRDefault="00541DEE" w:rsidP="00541DEE">
            <w:pPr>
              <w:pStyle w:val="texto0"/>
              <w:spacing w:line="234" w:lineRule="exact"/>
              <w:ind w:firstLine="0"/>
              <w:rPr>
                <w:rFonts w:ascii="Verdana" w:hAnsi="Verdana"/>
                <w:sz w:val="16"/>
                <w:szCs w:val="16"/>
              </w:rPr>
            </w:pPr>
            <w:r w:rsidRPr="00F01347">
              <w:rPr>
                <w:rFonts w:ascii="Verdana" w:hAnsi="Verdana"/>
                <w:sz w:val="16"/>
                <w:szCs w:val="16"/>
              </w:rPr>
              <w:t>A cada muestra a ser extraída debe añadirse alícuota de la PDS SUR, tapar e invertir para mezclar. Durante el desarrollo del método, se añade una alícuota de 20 µL de la solución PDS SUR 6.49 ng/µ</w:t>
            </w:r>
            <w:proofErr w:type="gramStart"/>
            <w:r w:rsidRPr="00F01347">
              <w:rPr>
                <w:rFonts w:ascii="Verdana" w:hAnsi="Verdana"/>
                <w:sz w:val="16"/>
                <w:szCs w:val="16"/>
              </w:rPr>
              <w:t>L  a</w:t>
            </w:r>
            <w:proofErr w:type="gramEnd"/>
            <w:r w:rsidRPr="00F01347">
              <w:rPr>
                <w:rFonts w:ascii="Verdana" w:hAnsi="Verdana"/>
                <w:sz w:val="16"/>
                <w:szCs w:val="16"/>
              </w:rPr>
              <w:t xml:space="preserve"> 500 </w:t>
            </w:r>
            <w:proofErr w:type="spellStart"/>
            <w:r w:rsidRPr="00F01347">
              <w:rPr>
                <w:rFonts w:ascii="Verdana" w:hAnsi="Verdana"/>
                <w:sz w:val="16"/>
                <w:szCs w:val="16"/>
              </w:rPr>
              <w:t>mL</w:t>
            </w:r>
            <w:proofErr w:type="spellEnd"/>
            <w:r w:rsidRPr="00F01347">
              <w:rPr>
                <w:rFonts w:ascii="Verdana" w:hAnsi="Verdana"/>
                <w:sz w:val="16"/>
                <w:szCs w:val="16"/>
              </w:rPr>
              <w:t xml:space="preserve"> para una concentración final de 259.6 ng/L en la muestra acuosa.</w:t>
            </w:r>
          </w:p>
        </w:tc>
        <w:tc>
          <w:tcPr>
            <w:tcW w:w="4675" w:type="dxa"/>
          </w:tcPr>
          <w:p w14:paraId="427F1E2F" w14:textId="05DE03DE"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sz w:val="16"/>
                <w:szCs w:val="16"/>
                <w:lang w:val="en-US"/>
              </w:rPr>
              <w:t>An aliquot of the PDS SUR must be added to each sample to be extracted, cover and invert to mix. During method development, a 20 µL aliquot of the PDS SUR 6.49 ng/µ L solution is added to 500 mL for a final concentration of 259.6 ng/L in the aqueous sample.</w:t>
            </w:r>
          </w:p>
        </w:tc>
      </w:tr>
      <w:tr w:rsidR="00541DEE" w:rsidRPr="00F01347" w14:paraId="565739B3" w14:textId="4FA8A9E9" w:rsidTr="00BC38BC">
        <w:tc>
          <w:tcPr>
            <w:tcW w:w="4675" w:type="dxa"/>
          </w:tcPr>
          <w:p w14:paraId="74936A05" w14:textId="77777777" w:rsidR="00541DEE" w:rsidRPr="00F01347" w:rsidRDefault="00541DEE" w:rsidP="00541DEE">
            <w:pPr>
              <w:pStyle w:val="texto0"/>
              <w:spacing w:line="234" w:lineRule="exact"/>
              <w:ind w:firstLine="0"/>
              <w:rPr>
                <w:rFonts w:ascii="Verdana" w:hAnsi="Verdana"/>
                <w:sz w:val="16"/>
                <w:szCs w:val="16"/>
              </w:rPr>
            </w:pPr>
            <w:r w:rsidRPr="00F01347">
              <w:rPr>
                <w:rFonts w:ascii="Verdana" w:hAnsi="Verdana"/>
                <w:sz w:val="16"/>
                <w:szCs w:val="16"/>
              </w:rPr>
              <w:t>Además del SUR y los conservantes, si la muestra es LFB, FD, LFSM o LFSMD, agregar la cantidad necesaria de la PDS del analito, tapar e invertir cada muestra para mezclar.</w:t>
            </w:r>
          </w:p>
        </w:tc>
        <w:tc>
          <w:tcPr>
            <w:tcW w:w="4675" w:type="dxa"/>
          </w:tcPr>
          <w:p w14:paraId="148B3FBD" w14:textId="3147205C"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sz w:val="16"/>
                <w:szCs w:val="16"/>
                <w:lang w:val="en-US"/>
              </w:rPr>
              <w:t>In addition to SUR and preservatives, if the sample is LFB, FD, LFSM or LFSMD, add the necessary amount of the analyte PDS, cap and invert each sample to mix.</w:t>
            </w:r>
          </w:p>
        </w:tc>
      </w:tr>
      <w:tr w:rsidR="00541DEE" w:rsidRPr="00F01347" w14:paraId="164829F0" w14:textId="4A0AF73E" w:rsidTr="00BC38BC">
        <w:tc>
          <w:tcPr>
            <w:tcW w:w="4675" w:type="dxa"/>
          </w:tcPr>
          <w:p w14:paraId="6B4D79D7" w14:textId="77777777" w:rsidR="00541DEE" w:rsidRPr="00F01347" w:rsidRDefault="00541DEE" w:rsidP="00541DEE">
            <w:pPr>
              <w:pStyle w:val="texto0"/>
              <w:spacing w:line="234" w:lineRule="exact"/>
              <w:ind w:firstLine="0"/>
              <w:rPr>
                <w:rFonts w:ascii="Verdana" w:hAnsi="Verdana"/>
                <w:sz w:val="16"/>
                <w:szCs w:val="16"/>
              </w:rPr>
            </w:pPr>
            <w:r w:rsidRPr="00F01347">
              <w:rPr>
                <w:rFonts w:ascii="Verdana" w:hAnsi="Verdana"/>
                <w:sz w:val="16"/>
                <w:szCs w:val="16"/>
              </w:rPr>
              <w:t xml:space="preserve">Para la liberación de la toxina intracelular debe filtrarse la muestra de agua de 500 </w:t>
            </w:r>
            <w:proofErr w:type="spellStart"/>
            <w:r w:rsidRPr="00F01347">
              <w:rPr>
                <w:rFonts w:ascii="Verdana" w:hAnsi="Verdana"/>
                <w:sz w:val="16"/>
                <w:szCs w:val="16"/>
              </w:rPr>
              <w:t>mL</w:t>
            </w:r>
            <w:proofErr w:type="spellEnd"/>
            <w:r w:rsidRPr="00F01347">
              <w:rPr>
                <w:rFonts w:ascii="Verdana" w:hAnsi="Verdana"/>
                <w:sz w:val="16"/>
                <w:szCs w:val="16"/>
              </w:rPr>
              <w:t xml:space="preserve"> usando un filtro </w:t>
            </w:r>
            <w:proofErr w:type="spellStart"/>
            <w:r w:rsidRPr="00F01347">
              <w:rPr>
                <w:rFonts w:ascii="Verdana" w:hAnsi="Verdana"/>
                <w:sz w:val="16"/>
                <w:szCs w:val="16"/>
              </w:rPr>
              <w:t>Nuclepore</w:t>
            </w:r>
            <w:proofErr w:type="spellEnd"/>
            <w:r w:rsidRPr="00F01347">
              <w:rPr>
                <w:rFonts w:ascii="Verdana" w:hAnsi="Verdana"/>
                <w:sz w:val="16"/>
                <w:szCs w:val="16"/>
              </w:rPr>
              <w:t xml:space="preserve"> con el lado brilloso hacia arriba y</w:t>
            </w:r>
            <w:r w:rsidRPr="00F01347">
              <w:rPr>
                <w:rFonts w:ascii="Verdana" w:hAnsi="Verdana"/>
                <w:color w:val="808080"/>
                <w:sz w:val="16"/>
                <w:szCs w:val="16"/>
              </w:rPr>
              <w:t xml:space="preserve"> </w:t>
            </w:r>
            <w:r w:rsidRPr="00F01347">
              <w:rPr>
                <w:rFonts w:ascii="Verdana" w:hAnsi="Verdana"/>
                <w:sz w:val="16"/>
                <w:szCs w:val="16"/>
              </w:rPr>
              <w:t xml:space="preserve">recoger el filtrado en una botella de vidrio color </w:t>
            </w:r>
            <w:proofErr w:type="gramStart"/>
            <w:r w:rsidRPr="00F01347">
              <w:rPr>
                <w:rFonts w:ascii="Verdana" w:hAnsi="Verdana"/>
                <w:sz w:val="16"/>
                <w:szCs w:val="16"/>
              </w:rPr>
              <w:t>ámbar  de</w:t>
            </w:r>
            <w:proofErr w:type="gramEnd"/>
            <w:r w:rsidRPr="00F01347">
              <w:rPr>
                <w:rFonts w:ascii="Verdana" w:hAnsi="Verdana"/>
                <w:sz w:val="16"/>
                <w:szCs w:val="16"/>
              </w:rPr>
              <w:t xml:space="preserve"> 500 mL2.1) para la extracción.</w:t>
            </w:r>
          </w:p>
        </w:tc>
        <w:tc>
          <w:tcPr>
            <w:tcW w:w="4675" w:type="dxa"/>
          </w:tcPr>
          <w:p w14:paraId="21BBED87" w14:textId="44816831"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color w:val="000000" w:themeColor="text1"/>
                <w:sz w:val="16"/>
                <w:szCs w:val="16"/>
                <w:lang w:val="en-US"/>
              </w:rPr>
              <w:t xml:space="preserve">To release the intracellular toxin, the 500 mL water sample must be filtered using a </w:t>
            </w:r>
            <w:proofErr w:type="spellStart"/>
            <w:r w:rsidRPr="00F01347">
              <w:rPr>
                <w:rFonts w:ascii="Verdana" w:hAnsi="Verdana"/>
                <w:color w:val="000000" w:themeColor="text1"/>
                <w:sz w:val="16"/>
                <w:szCs w:val="16"/>
                <w:lang w:val="en-US"/>
              </w:rPr>
              <w:t>Nuclepore</w:t>
            </w:r>
            <w:proofErr w:type="spellEnd"/>
            <w:r w:rsidRPr="00F01347">
              <w:rPr>
                <w:rFonts w:ascii="Verdana" w:hAnsi="Verdana"/>
                <w:color w:val="000000" w:themeColor="text1"/>
                <w:sz w:val="16"/>
                <w:szCs w:val="16"/>
                <w:lang w:val="en-US"/>
              </w:rPr>
              <w:t xml:space="preserve"> filter with the shiny side facing up and </w:t>
            </w:r>
            <w:r w:rsidR="00FD7138" w:rsidRPr="00F01347">
              <w:rPr>
                <w:rFonts w:ascii="Verdana" w:hAnsi="Verdana"/>
                <w:color w:val="000000" w:themeColor="text1"/>
                <w:sz w:val="16"/>
                <w:szCs w:val="16"/>
                <w:lang w:val="en-US"/>
              </w:rPr>
              <w:t>c</w:t>
            </w:r>
            <w:r w:rsidRPr="00F01347">
              <w:rPr>
                <w:rFonts w:ascii="Verdana" w:hAnsi="Verdana"/>
                <w:color w:val="000000" w:themeColor="text1"/>
                <w:sz w:val="16"/>
                <w:szCs w:val="16"/>
                <w:lang w:val="en-US"/>
              </w:rPr>
              <w:t>ollect the filtrate in a 500 mL amber glass bottle2.1</w:t>
            </w:r>
            <w:r w:rsidR="00913802" w:rsidRPr="00F01347">
              <w:rPr>
                <w:rFonts w:ascii="Verdana" w:hAnsi="Verdana"/>
                <w:color w:val="000000" w:themeColor="text1"/>
                <w:sz w:val="16"/>
                <w:szCs w:val="16"/>
                <w:lang w:val="en-US"/>
              </w:rPr>
              <w:t>)</w:t>
            </w:r>
            <w:r w:rsidRPr="00F01347">
              <w:rPr>
                <w:rFonts w:ascii="Verdana" w:hAnsi="Verdana"/>
                <w:color w:val="000000" w:themeColor="text1"/>
                <w:sz w:val="16"/>
                <w:szCs w:val="16"/>
                <w:lang w:val="en-US"/>
              </w:rPr>
              <w:t xml:space="preserve"> for extraction.</w:t>
            </w:r>
          </w:p>
        </w:tc>
      </w:tr>
      <w:tr w:rsidR="00541DEE" w:rsidRPr="00F01347" w14:paraId="14899591" w14:textId="2A5776BE" w:rsidTr="00BC38BC">
        <w:tc>
          <w:tcPr>
            <w:tcW w:w="4675" w:type="dxa"/>
          </w:tcPr>
          <w:p w14:paraId="697DA757" w14:textId="77777777" w:rsidR="00541DEE" w:rsidRPr="00F01347" w:rsidRDefault="00541DEE" w:rsidP="00541DEE">
            <w:pPr>
              <w:pStyle w:val="texto0"/>
              <w:spacing w:line="234" w:lineRule="exact"/>
              <w:ind w:firstLine="0"/>
              <w:rPr>
                <w:rFonts w:ascii="Verdana" w:hAnsi="Verdana"/>
                <w:sz w:val="16"/>
                <w:szCs w:val="16"/>
              </w:rPr>
            </w:pPr>
            <w:r w:rsidRPr="00F01347">
              <w:rPr>
                <w:rFonts w:ascii="Verdana" w:hAnsi="Verdana"/>
                <w:sz w:val="16"/>
                <w:szCs w:val="16"/>
              </w:rPr>
              <w:t xml:space="preserve">Enjuagar la botella de la muestra con 5 </w:t>
            </w:r>
            <w:proofErr w:type="spellStart"/>
            <w:r w:rsidRPr="00F01347">
              <w:rPr>
                <w:rFonts w:ascii="Verdana" w:hAnsi="Verdana"/>
                <w:sz w:val="16"/>
                <w:szCs w:val="16"/>
              </w:rPr>
              <w:t>mL</w:t>
            </w:r>
            <w:proofErr w:type="spellEnd"/>
            <w:r w:rsidRPr="00F01347">
              <w:rPr>
                <w:rFonts w:ascii="Verdana" w:hAnsi="Verdana"/>
                <w:sz w:val="16"/>
                <w:szCs w:val="16"/>
              </w:rPr>
              <w:t xml:space="preserve"> de </w:t>
            </w:r>
            <w:r w:rsidRPr="00F01347">
              <w:rPr>
                <w:rFonts w:ascii="Verdana" w:hAnsi="Verdana"/>
                <w:color w:val="000000"/>
                <w:sz w:val="16"/>
                <w:szCs w:val="16"/>
              </w:rPr>
              <w:t xml:space="preserve">metanol que contiene un 10% de agua grado reactivo y verter </w:t>
            </w:r>
            <w:r w:rsidRPr="00F01347">
              <w:rPr>
                <w:rFonts w:ascii="Verdana" w:hAnsi="Verdana"/>
                <w:sz w:val="16"/>
                <w:szCs w:val="16"/>
              </w:rPr>
              <w:t>el agua de enjuague en el dispositivo de filtrado y combinar el agua de enjuague con la muestra de agua filtrada.</w:t>
            </w:r>
          </w:p>
        </w:tc>
        <w:tc>
          <w:tcPr>
            <w:tcW w:w="4675" w:type="dxa"/>
          </w:tcPr>
          <w:p w14:paraId="7873155C" w14:textId="78ED2FD9"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Rinse the sample bottle with 5 mL of </w:t>
            </w:r>
            <w:r w:rsidRPr="00F01347">
              <w:rPr>
                <w:rFonts w:ascii="Verdana" w:hAnsi="Verdana"/>
                <w:color w:val="000000"/>
                <w:sz w:val="16"/>
                <w:szCs w:val="16"/>
                <w:lang w:val="en-US"/>
              </w:rPr>
              <w:t xml:space="preserve">methanol containing 10% reagent grade water and pour </w:t>
            </w:r>
            <w:r w:rsidRPr="00F01347">
              <w:rPr>
                <w:rFonts w:ascii="Verdana" w:hAnsi="Verdana"/>
                <w:sz w:val="16"/>
                <w:szCs w:val="16"/>
                <w:lang w:val="en-US"/>
              </w:rPr>
              <w:t>the rinse water into the filter device and combine the rinse water with the filtered sample water.</w:t>
            </w:r>
          </w:p>
        </w:tc>
      </w:tr>
      <w:tr w:rsidR="00541DEE" w:rsidRPr="00F01347" w14:paraId="712ED9FE" w14:textId="165CBD73" w:rsidTr="00BC38BC">
        <w:tc>
          <w:tcPr>
            <w:tcW w:w="4675" w:type="dxa"/>
          </w:tcPr>
          <w:p w14:paraId="7D3B90CC" w14:textId="77777777" w:rsidR="00541DEE" w:rsidRPr="00F01347" w:rsidRDefault="00541DEE" w:rsidP="00541DEE">
            <w:pPr>
              <w:pStyle w:val="texto0"/>
              <w:spacing w:line="234" w:lineRule="exact"/>
              <w:ind w:firstLine="0"/>
              <w:rPr>
                <w:rFonts w:ascii="Verdana" w:hAnsi="Verdana"/>
                <w:sz w:val="16"/>
                <w:szCs w:val="16"/>
              </w:rPr>
            </w:pPr>
            <w:r w:rsidRPr="00F01347">
              <w:rPr>
                <w:rFonts w:ascii="Verdana" w:hAnsi="Verdana"/>
                <w:sz w:val="16"/>
                <w:szCs w:val="16"/>
              </w:rPr>
              <w:lastRenderedPageBreak/>
              <w:t xml:space="preserve">Enjuagar los lados del embudo con otros 2.5 </w:t>
            </w:r>
            <w:proofErr w:type="spellStart"/>
            <w:r w:rsidRPr="00F01347">
              <w:rPr>
                <w:rFonts w:ascii="Verdana" w:hAnsi="Verdana"/>
                <w:sz w:val="16"/>
                <w:szCs w:val="16"/>
              </w:rPr>
              <w:t>mL</w:t>
            </w:r>
            <w:proofErr w:type="spellEnd"/>
            <w:r w:rsidRPr="00F01347">
              <w:rPr>
                <w:rFonts w:ascii="Verdana" w:hAnsi="Verdana"/>
                <w:sz w:val="16"/>
                <w:szCs w:val="16"/>
              </w:rPr>
              <w:t xml:space="preserve"> de </w:t>
            </w:r>
            <w:r w:rsidRPr="00F01347">
              <w:rPr>
                <w:rFonts w:ascii="Verdana" w:hAnsi="Verdana"/>
                <w:color w:val="000000"/>
                <w:sz w:val="16"/>
                <w:szCs w:val="16"/>
              </w:rPr>
              <w:t xml:space="preserve">metanol que contiene un 10% de agua grado reactivo </w:t>
            </w:r>
            <w:r w:rsidRPr="00F01347">
              <w:rPr>
                <w:rFonts w:ascii="Verdana" w:hAnsi="Verdana"/>
                <w:sz w:val="16"/>
                <w:szCs w:val="16"/>
              </w:rPr>
              <w:t>y combinar con la muestra de agua filtrada.</w:t>
            </w:r>
          </w:p>
        </w:tc>
        <w:tc>
          <w:tcPr>
            <w:tcW w:w="4675" w:type="dxa"/>
          </w:tcPr>
          <w:p w14:paraId="7EDCA776" w14:textId="3E5195DD"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Rinse the sides of the funnel with another 2.5 mL of </w:t>
            </w:r>
            <w:r w:rsidRPr="00F01347">
              <w:rPr>
                <w:rFonts w:ascii="Verdana" w:hAnsi="Verdana"/>
                <w:color w:val="000000"/>
                <w:sz w:val="16"/>
                <w:szCs w:val="16"/>
                <w:lang w:val="en-US"/>
              </w:rPr>
              <w:t xml:space="preserve">methanol containing 10% reagent grade water </w:t>
            </w:r>
            <w:r w:rsidRPr="00F01347">
              <w:rPr>
                <w:rFonts w:ascii="Verdana" w:hAnsi="Verdana"/>
                <w:sz w:val="16"/>
                <w:szCs w:val="16"/>
                <w:lang w:val="en-US"/>
              </w:rPr>
              <w:t>and combine with the filtered water sample.</w:t>
            </w:r>
          </w:p>
        </w:tc>
      </w:tr>
      <w:tr w:rsidR="00541DEE" w:rsidRPr="00F01347" w14:paraId="69E163E5" w14:textId="4E8875FA" w:rsidTr="00BC38BC">
        <w:tc>
          <w:tcPr>
            <w:tcW w:w="4675" w:type="dxa"/>
          </w:tcPr>
          <w:p w14:paraId="2D6DD717" w14:textId="77777777" w:rsidR="00541DEE" w:rsidRPr="00F01347" w:rsidRDefault="00541DEE" w:rsidP="00541DEE">
            <w:pPr>
              <w:pStyle w:val="texto0"/>
              <w:spacing w:line="234" w:lineRule="exact"/>
              <w:ind w:firstLine="0"/>
              <w:rPr>
                <w:rFonts w:ascii="Verdana" w:hAnsi="Verdana"/>
                <w:sz w:val="16"/>
                <w:szCs w:val="16"/>
              </w:rPr>
            </w:pPr>
            <w:r w:rsidRPr="00F01347">
              <w:rPr>
                <w:rFonts w:ascii="Verdana" w:hAnsi="Verdana"/>
                <w:sz w:val="16"/>
                <w:szCs w:val="16"/>
              </w:rPr>
              <w:t>Utilizando pinzas de metal, retire el filtro del dispositivo de filtración y doble el filtro por la mitad (parte superior del filtro hacia adentro) mientras toca únicamente los bordes del filtro. Continúe plegando el filtro hasta que esté lo suficientemente pequeño como para caber en un tubo de vidrio. Empuje el filtro hacia la parte inferior de la probeta de cristal utilizando una pipeta de vidrio.</w:t>
            </w:r>
          </w:p>
        </w:tc>
        <w:tc>
          <w:tcPr>
            <w:tcW w:w="4675" w:type="dxa"/>
          </w:tcPr>
          <w:p w14:paraId="6422D46E" w14:textId="5AEF06D7"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sz w:val="16"/>
                <w:szCs w:val="16"/>
                <w:lang w:val="en-US"/>
              </w:rPr>
              <w:t>Using metal tongs, remove the filter from the filtration device and fold the filter in half (top of filter inward) while touching only the edges of the filter. Continue folding the filter until it is small enough to fit in a glass tube. Push the filter toward the bottom of the glass cylinder using a glass pipette.</w:t>
            </w:r>
          </w:p>
        </w:tc>
      </w:tr>
      <w:tr w:rsidR="00541DEE" w:rsidRPr="00F01347" w14:paraId="653249F1" w14:textId="32F9F368" w:rsidTr="00BC38BC">
        <w:tc>
          <w:tcPr>
            <w:tcW w:w="4675" w:type="dxa"/>
          </w:tcPr>
          <w:p w14:paraId="06C24088" w14:textId="77777777" w:rsidR="00541DEE" w:rsidRPr="00F01347" w:rsidRDefault="00541DEE" w:rsidP="00541DEE">
            <w:pPr>
              <w:pStyle w:val="texto0"/>
              <w:spacing w:line="234" w:lineRule="exact"/>
              <w:ind w:firstLine="0"/>
              <w:rPr>
                <w:rFonts w:ascii="Verdana" w:hAnsi="Verdana"/>
                <w:sz w:val="16"/>
                <w:szCs w:val="16"/>
              </w:rPr>
            </w:pPr>
            <w:r w:rsidRPr="00F01347">
              <w:rPr>
                <w:rFonts w:ascii="Verdana" w:hAnsi="Verdana"/>
                <w:sz w:val="16"/>
                <w:szCs w:val="16"/>
              </w:rPr>
              <w:t xml:space="preserve">Añadir 2 </w:t>
            </w:r>
            <w:proofErr w:type="spellStart"/>
            <w:r w:rsidRPr="00F01347">
              <w:rPr>
                <w:rFonts w:ascii="Verdana" w:hAnsi="Verdana"/>
                <w:sz w:val="16"/>
                <w:szCs w:val="16"/>
              </w:rPr>
              <w:t>mL</w:t>
            </w:r>
            <w:proofErr w:type="spellEnd"/>
            <w:r w:rsidRPr="00F01347">
              <w:rPr>
                <w:rFonts w:ascii="Verdana" w:hAnsi="Verdana"/>
                <w:sz w:val="16"/>
                <w:szCs w:val="16"/>
              </w:rPr>
              <w:t xml:space="preserve"> de </w:t>
            </w:r>
            <w:r w:rsidRPr="00F01347">
              <w:rPr>
                <w:rFonts w:ascii="Verdana" w:hAnsi="Verdana"/>
                <w:color w:val="000000"/>
                <w:sz w:val="16"/>
                <w:szCs w:val="16"/>
              </w:rPr>
              <w:t xml:space="preserve">metanol que contiene un 20% de agua grado reactivo </w:t>
            </w:r>
            <w:r w:rsidRPr="00F01347">
              <w:rPr>
                <w:rFonts w:ascii="Verdana" w:hAnsi="Verdana"/>
                <w:sz w:val="16"/>
                <w:szCs w:val="16"/>
              </w:rPr>
              <w:t>al tubo de ensayo que contiene el filtro (asegurándose que el filtro se cubre con el líquido) y manualmente agitar el tubo suavemente varias veces.</w:t>
            </w:r>
          </w:p>
        </w:tc>
        <w:tc>
          <w:tcPr>
            <w:tcW w:w="4675" w:type="dxa"/>
          </w:tcPr>
          <w:p w14:paraId="39FB9953" w14:textId="1EE651DB"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Add 2 mL of </w:t>
            </w:r>
            <w:r w:rsidRPr="00F01347">
              <w:rPr>
                <w:rFonts w:ascii="Verdana" w:hAnsi="Verdana"/>
                <w:color w:val="000000"/>
                <w:sz w:val="16"/>
                <w:szCs w:val="16"/>
                <w:lang w:val="en-US"/>
              </w:rPr>
              <w:t xml:space="preserve">methanol containing 20% reagent grade water </w:t>
            </w:r>
            <w:r w:rsidRPr="00F01347">
              <w:rPr>
                <w:rFonts w:ascii="Verdana" w:hAnsi="Verdana"/>
                <w:sz w:val="16"/>
                <w:szCs w:val="16"/>
                <w:lang w:val="en-US"/>
              </w:rPr>
              <w:t>to the test tube containing the filter (ensuring that the filter is covered with liquid) and manually shake the tube gently several times.</w:t>
            </w:r>
          </w:p>
        </w:tc>
      </w:tr>
      <w:tr w:rsidR="00541DEE" w:rsidRPr="00F01347" w14:paraId="4D79A848" w14:textId="0E42856D" w:rsidTr="00BC38BC">
        <w:tc>
          <w:tcPr>
            <w:tcW w:w="4675" w:type="dxa"/>
          </w:tcPr>
          <w:p w14:paraId="554B86A7" w14:textId="77777777" w:rsidR="00541DEE" w:rsidRPr="00F01347" w:rsidRDefault="00541DEE" w:rsidP="00541DEE">
            <w:pPr>
              <w:pStyle w:val="texto0"/>
              <w:spacing w:line="234" w:lineRule="exact"/>
              <w:ind w:firstLine="0"/>
              <w:rPr>
                <w:rFonts w:ascii="Verdana" w:hAnsi="Verdana"/>
                <w:sz w:val="16"/>
                <w:szCs w:val="16"/>
              </w:rPr>
            </w:pPr>
            <w:r w:rsidRPr="00F01347">
              <w:rPr>
                <w:rFonts w:ascii="Verdana" w:hAnsi="Verdana"/>
                <w:sz w:val="16"/>
                <w:szCs w:val="16"/>
              </w:rPr>
              <w:t xml:space="preserve">Coloque el tubo de ensayo que contiene los 2 </w:t>
            </w:r>
            <w:proofErr w:type="spellStart"/>
            <w:r w:rsidRPr="00F01347">
              <w:rPr>
                <w:rFonts w:ascii="Verdana" w:hAnsi="Verdana"/>
                <w:sz w:val="16"/>
                <w:szCs w:val="16"/>
              </w:rPr>
              <w:t>mL</w:t>
            </w:r>
            <w:proofErr w:type="spellEnd"/>
            <w:r w:rsidRPr="00F01347">
              <w:rPr>
                <w:rFonts w:ascii="Verdana" w:hAnsi="Verdana"/>
                <w:sz w:val="16"/>
                <w:szCs w:val="16"/>
              </w:rPr>
              <w:t xml:space="preserve"> de la solución filtrada y el filtro en un congelador a -20°C por 1 a 16 horas. No exceder de 16 horas en el congelador. Si el filtro se mantiene congelado por </w:t>
            </w:r>
            <w:proofErr w:type="gramStart"/>
            <w:r w:rsidRPr="00F01347">
              <w:rPr>
                <w:rFonts w:ascii="Verdana" w:hAnsi="Verdana"/>
                <w:sz w:val="16"/>
                <w:szCs w:val="16"/>
              </w:rPr>
              <w:t>más  de</w:t>
            </w:r>
            <w:proofErr w:type="gramEnd"/>
            <w:r w:rsidRPr="00F01347">
              <w:rPr>
                <w:rFonts w:ascii="Verdana" w:hAnsi="Verdana"/>
                <w:sz w:val="16"/>
                <w:szCs w:val="16"/>
              </w:rPr>
              <w:t xml:space="preserve"> 2 horas, los 500 </w:t>
            </w:r>
            <w:proofErr w:type="spellStart"/>
            <w:r w:rsidRPr="00F01347">
              <w:rPr>
                <w:rFonts w:ascii="Verdana" w:hAnsi="Verdana"/>
                <w:sz w:val="16"/>
                <w:szCs w:val="16"/>
              </w:rPr>
              <w:t>mL</w:t>
            </w:r>
            <w:proofErr w:type="spellEnd"/>
            <w:r w:rsidRPr="00F01347">
              <w:rPr>
                <w:rFonts w:ascii="Verdana" w:hAnsi="Verdana"/>
                <w:sz w:val="16"/>
                <w:szCs w:val="16"/>
              </w:rPr>
              <w:t xml:space="preserve"> del filtrado acuoso se deben mantener refrigerados a ≤6°C hasta la finalización del procedimiento de liberación de la toxina.</w:t>
            </w:r>
          </w:p>
        </w:tc>
        <w:tc>
          <w:tcPr>
            <w:tcW w:w="4675" w:type="dxa"/>
          </w:tcPr>
          <w:p w14:paraId="29056E3B" w14:textId="04DEF9AE"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sz w:val="16"/>
                <w:szCs w:val="16"/>
                <w:lang w:val="en-US"/>
              </w:rPr>
              <w:t>Place the test tube containing the 2 mL of the filtered solution and the filter in a -20°C freezer for 1 to 16 hours. Do not exceed 16 hours in the freezer. If the filter is kept frozen for more than 2 hours, the 500 mL of aqueous filtrate should be kept refrigerated at ≤6°C until the completion of the toxin release procedure.</w:t>
            </w:r>
          </w:p>
        </w:tc>
      </w:tr>
      <w:tr w:rsidR="00541DEE" w:rsidRPr="00F01347" w14:paraId="7417B554" w14:textId="6A801C83" w:rsidTr="00BC38BC">
        <w:tc>
          <w:tcPr>
            <w:tcW w:w="4675" w:type="dxa"/>
          </w:tcPr>
          <w:p w14:paraId="4F39B669" w14:textId="77777777" w:rsidR="00541DEE" w:rsidRPr="00F01347" w:rsidRDefault="00541DEE" w:rsidP="00541DEE">
            <w:pPr>
              <w:pStyle w:val="texto0"/>
              <w:spacing w:line="234" w:lineRule="exact"/>
              <w:ind w:firstLine="0"/>
              <w:rPr>
                <w:rFonts w:ascii="Verdana" w:hAnsi="Verdana"/>
                <w:sz w:val="16"/>
                <w:szCs w:val="16"/>
              </w:rPr>
            </w:pPr>
            <w:r w:rsidRPr="00F01347">
              <w:rPr>
                <w:rFonts w:ascii="Verdana" w:hAnsi="Verdana"/>
                <w:sz w:val="16"/>
                <w:szCs w:val="16"/>
              </w:rPr>
              <w:t xml:space="preserve">Remover el tubo de prueba del congelador, agitar suavemente un par de veces y luego extraer los 2 </w:t>
            </w:r>
            <w:proofErr w:type="spellStart"/>
            <w:r w:rsidRPr="00F01347">
              <w:rPr>
                <w:rFonts w:ascii="Verdana" w:hAnsi="Verdana"/>
                <w:sz w:val="16"/>
                <w:szCs w:val="16"/>
              </w:rPr>
              <w:t>mL</w:t>
            </w:r>
            <w:proofErr w:type="spellEnd"/>
            <w:r w:rsidRPr="00F01347">
              <w:rPr>
                <w:rFonts w:ascii="Verdana" w:hAnsi="Verdana"/>
                <w:sz w:val="16"/>
                <w:szCs w:val="16"/>
              </w:rPr>
              <w:t xml:space="preserve"> del líquido con una pipeta de vidrio. Transferir estos 2 </w:t>
            </w:r>
            <w:proofErr w:type="spellStart"/>
            <w:r w:rsidRPr="00F01347">
              <w:rPr>
                <w:rFonts w:ascii="Verdana" w:hAnsi="Verdana"/>
                <w:sz w:val="16"/>
                <w:szCs w:val="16"/>
              </w:rPr>
              <w:t>mL</w:t>
            </w:r>
            <w:proofErr w:type="spellEnd"/>
            <w:r w:rsidRPr="00F01347">
              <w:rPr>
                <w:rFonts w:ascii="Verdana" w:hAnsi="Verdana"/>
                <w:sz w:val="16"/>
                <w:szCs w:val="16"/>
              </w:rPr>
              <w:t xml:space="preserve"> de líquido a los 500 </w:t>
            </w:r>
            <w:proofErr w:type="spellStart"/>
            <w:r w:rsidRPr="00F01347">
              <w:rPr>
                <w:rFonts w:ascii="Verdana" w:hAnsi="Verdana"/>
                <w:sz w:val="16"/>
                <w:szCs w:val="16"/>
              </w:rPr>
              <w:t>mL</w:t>
            </w:r>
            <w:proofErr w:type="spellEnd"/>
            <w:r w:rsidRPr="00F01347">
              <w:rPr>
                <w:rFonts w:ascii="Verdana" w:hAnsi="Verdana"/>
                <w:sz w:val="16"/>
                <w:szCs w:val="16"/>
              </w:rPr>
              <w:t xml:space="preserve"> de agua filtrada de la muestra colectada.</w:t>
            </w:r>
          </w:p>
        </w:tc>
        <w:tc>
          <w:tcPr>
            <w:tcW w:w="4675" w:type="dxa"/>
          </w:tcPr>
          <w:p w14:paraId="4FD2CB8B" w14:textId="791D47BF"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sz w:val="16"/>
                <w:szCs w:val="16"/>
                <w:lang w:val="en-US"/>
              </w:rPr>
              <w:t>Remove the test tube from the freezer, shake gently a few times, and then withdraw the 2 mL of liquid with a glass pipette. Transfer these 2 mL of liquid to the 500 mL of filtered water of the collected sample.</w:t>
            </w:r>
          </w:p>
        </w:tc>
      </w:tr>
      <w:tr w:rsidR="00541DEE" w:rsidRPr="00F01347" w14:paraId="72495BC3" w14:textId="5571727B" w:rsidTr="00BC38BC">
        <w:tc>
          <w:tcPr>
            <w:tcW w:w="4675" w:type="dxa"/>
          </w:tcPr>
          <w:p w14:paraId="4C9459E4" w14:textId="77777777" w:rsidR="00541DEE" w:rsidRPr="00F01347" w:rsidRDefault="00541DEE" w:rsidP="00541DEE">
            <w:pPr>
              <w:pStyle w:val="texto0"/>
              <w:spacing w:line="234" w:lineRule="exact"/>
              <w:ind w:firstLine="0"/>
              <w:rPr>
                <w:rFonts w:ascii="Verdana" w:hAnsi="Verdana"/>
                <w:sz w:val="16"/>
                <w:szCs w:val="16"/>
              </w:rPr>
            </w:pPr>
            <w:r w:rsidRPr="00F01347">
              <w:rPr>
                <w:rFonts w:ascii="Verdana" w:hAnsi="Verdana"/>
                <w:sz w:val="16"/>
                <w:szCs w:val="16"/>
              </w:rPr>
              <w:t xml:space="preserve">Enjuague el filtro y el tubo de ensayo mediante la adición de otros 2 </w:t>
            </w:r>
            <w:proofErr w:type="spellStart"/>
            <w:r w:rsidRPr="00F01347">
              <w:rPr>
                <w:rFonts w:ascii="Verdana" w:hAnsi="Verdana"/>
                <w:sz w:val="16"/>
                <w:szCs w:val="16"/>
              </w:rPr>
              <w:t>mL</w:t>
            </w:r>
            <w:proofErr w:type="spellEnd"/>
            <w:r w:rsidRPr="00F01347">
              <w:rPr>
                <w:rFonts w:ascii="Verdana" w:hAnsi="Verdana"/>
                <w:sz w:val="16"/>
                <w:szCs w:val="16"/>
              </w:rPr>
              <w:t xml:space="preserve"> de </w:t>
            </w:r>
            <w:r w:rsidRPr="00F01347">
              <w:rPr>
                <w:rFonts w:ascii="Verdana" w:hAnsi="Verdana"/>
                <w:color w:val="000000"/>
                <w:sz w:val="16"/>
                <w:szCs w:val="16"/>
              </w:rPr>
              <w:t xml:space="preserve">metanol que contiene un 20% de agua grado reactivo </w:t>
            </w:r>
            <w:r w:rsidRPr="00F01347">
              <w:rPr>
                <w:rFonts w:ascii="Verdana" w:hAnsi="Verdana"/>
                <w:sz w:val="16"/>
                <w:szCs w:val="16"/>
              </w:rPr>
              <w:t xml:space="preserve">al tubo de ensayo y gírelo suavemente. Extraer los 2 </w:t>
            </w:r>
            <w:proofErr w:type="spellStart"/>
            <w:r w:rsidRPr="00F01347">
              <w:rPr>
                <w:rFonts w:ascii="Verdana" w:hAnsi="Verdana"/>
                <w:sz w:val="16"/>
                <w:szCs w:val="16"/>
              </w:rPr>
              <w:t>mL</w:t>
            </w:r>
            <w:proofErr w:type="spellEnd"/>
            <w:r w:rsidRPr="00F01347">
              <w:rPr>
                <w:rFonts w:ascii="Verdana" w:hAnsi="Verdana"/>
                <w:sz w:val="16"/>
                <w:szCs w:val="16"/>
              </w:rPr>
              <w:t xml:space="preserve"> del líquido utilizando una pipeta de vidrio y transferir estos 2 </w:t>
            </w:r>
            <w:proofErr w:type="spellStart"/>
            <w:r w:rsidRPr="00F01347">
              <w:rPr>
                <w:rFonts w:ascii="Verdana" w:hAnsi="Verdana"/>
                <w:sz w:val="16"/>
                <w:szCs w:val="16"/>
              </w:rPr>
              <w:t>mL</w:t>
            </w:r>
            <w:proofErr w:type="spellEnd"/>
            <w:r w:rsidRPr="00F01347">
              <w:rPr>
                <w:rFonts w:ascii="Verdana" w:hAnsi="Verdana"/>
                <w:sz w:val="16"/>
                <w:szCs w:val="16"/>
              </w:rPr>
              <w:t xml:space="preserve"> de líquido a los 500 </w:t>
            </w:r>
            <w:proofErr w:type="spellStart"/>
            <w:r w:rsidRPr="00F01347">
              <w:rPr>
                <w:rFonts w:ascii="Verdana" w:hAnsi="Verdana"/>
                <w:sz w:val="16"/>
                <w:szCs w:val="16"/>
              </w:rPr>
              <w:t>mL</w:t>
            </w:r>
            <w:proofErr w:type="spellEnd"/>
            <w:r w:rsidRPr="00F01347">
              <w:rPr>
                <w:rFonts w:ascii="Verdana" w:hAnsi="Verdana"/>
                <w:sz w:val="16"/>
                <w:szCs w:val="16"/>
              </w:rPr>
              <w:t xml:space="preserve"> de agua filtrada de la muestra colectada.</w:t>
            </w:r>
          </w:p>
        </w:tc>
        <w:tc>
          <w:tcPr>
            <w:tcW w:w="4675" w:type="dxa"/>
          </w:tcPr>
          <w:p w14:paraId="7C41C15B" w14:textId="73566BC9"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Rinse the filter and test tube by adding another 2 mL of </w:t>
            </w:r>
            <w:r w:rsidRPr="00F01347">
              <w:rPr>
                <w:rFonts w:ascii="Verdana" w:hAnsi="Verdana"/>
                <w:color w:val="000000"/>
                <w:sz w:val="16"/>
                <w:szCs w:val="16"/>
                <w:lang w:val="en-US"/>
              </w:rPr>
              <w:t xml:space="preserve">methanol containing 20% reagent grade water </w:t>
            </w:r>
            <w:r w:rsidRPr="00F01347">
              <w:rPr>
                <w:rFonts w:ascii="Verdana" w:hAnsi="Verdana"/>
                <w:sz w:val="16"/>
                <w:szCs w:val="16"/>
                <w:lang w:val="en-US"/>
              </w:rPr>
              <w:t>to the test tube and swirl it gently. Extract the 2 mL of the liquid using a glass pipette and transfer these 2 mL of liquid to the 500 mL of filtered water of the collected sample.</w:t>
            </w:r>
          </w:p>
        </w:tc>
      </w:tr>
      <w:tr w:rsidR="00541DEE" w:rsidRPr="00F01347" w14:paraId="05E7C83A" w14:textId="1066705F" w:rsidTr="00BC38BC">
        <w:tc>
          <w:tcPr>
            <w:tcW w:w="4675" w:type="dxa"/>
          </w:tcPr>
          <w:p w14:paraId="0352432D" w14:textId="77777777" w:rsidR="00541DEE" w:rsidRPr="00F01347" w:rsidRDefault="00541DEE" w:rsidP="00541DEE">
            <w:pPr>
              <w:pStyle w:val="texto0"/>
              <w:spacing w:line="234" w:lineRule="exact"/>
              <w:ind w:firstLine="0"/>
              <w:rPr>
                <w:rFonts w:ascii="Verdana" w:hAnsi="Verdana"/>
                <w:sz w:val="16"/>
                <w:szCs w:val="16"/>
              </w:rPr>
            </w:pPr>
            <w:r w:rsidRPr="00F01347">
              <w:rPr>
                <w:rFonts w:ascii="Verdana" w:hAnsi="Verdana"/>
                <w:sz w:val="16"/>
                <w:szCs w:val="16"/>
              </w:rPr>
              <w:t xml:space="preserve">Enjuagar el filtro una segunda vez mediante la adición de otro 1 </w:t>
            </w:r>
            <w:proofErr w:type="spellStart"/>
            <w:r w:rsidRPr="00F01347">
              <w:rPr>
                <w:rFonts w:ascii="Verdana" w:hAnsi="Verdana"/>
                <w:sz w:val="16"/>
                <w:szCs w:val="16"/>
              </w:rPr>
              <w:t>mL</w:t>
            </w:r>
            <w:proofErr w:type="spellEnd"/>
            <w:r w:rsidRPr="00F01347">
              <w:rPr>
                <w:rFonts w:ascii="Verdana" w:hAnsi="Verdana"/>
                <w:sz w:val="16"/>
                <w:szCs w:val="16"/>
              </w:rPr>
              <w:t xml:space="preserve"> de </w:t>
            </w:r>
            <w:r w:rsidRPr="00F01347">
              <w:rPr>
                <w:rFonts w:ascii="Verdana" w:hAnsi="Verdana"/>
                <w:color w:val="000000"/>
                <w:sz w:val="16"/>
                <w:szCs w:val="16"/>
              </w:rPr>
              <w:t xml:space="preserve">metanol que contiene un 20% de agua grado reactivo </w:t>
            </w:r>
            <w:r w:rsidRPr="00F01347">
              <w:rPr>
                <w:rFonts w:ascii="Verdana" w:hAnsi="Verdana"/>
                <w:sz w:val="16"/>
                <w:szCs w:val="16"/>
              </w:rPr>
              <w:t xml:space="preserve">al tubo de ensayo y agitar suavemente. Extraer el 1 </w:t>
            </w:r>
            <w:proofErr w:type="spellStart"/>
            <w:r w:rsidRPr="00F01347">
              <w:rPr>
                <w:rFonts w:ascii="Verdana" w:hAnsi="Verdana"/>
                <w:sz w:val="16"/>
                <w:szCs w:val="16"/>
              </w:rPr>
              <w:t>mL</w:t>
            </w:r>
            <w:proofErr w:type="spellEnd"/>
            <w:r w:rsidRPr="00F01347">
              <w:rPr>
                <w:rFonts w:ascii="Verdana" w:hAnsi="Verdana"/>
                <w:sz w:val="16"/>
                <w:szCs w:val="16"/>
              </w:rPr>
              <w:t xml:space="preserve"> de líquido utilizando una pipeta de vidrio y transferir este 1mL del líquido a los 500 </w:t>
            </w:r>
            <w:proofErr w:type="spellStart"/>
            <w:r w:rsidRPr="00F01347">
              <w:rPr>
                <w:rFonts w:ascii="Verdana" w:hAnsi="Verdana"/>
                <w:sz w:val="16"/>
                <w:szCs w:val="16"/>
              </w:rPr>
              <w:t>mL</w:t>
            </w:r>
            <w:proofErr w:type="spellEnd"/>
            <w:r w:rsidRPr="00F01347">
              <w:rPr>
                <w:rFonts w:ascii="Verdana" w:hAnsi="Verdana"/>
                <w:sz w:val="16"/>
                <w:szCs w:val="16"/>
              </w:rPr>
              <w:t xml:space="preserve"> de agua filtrada de la muestra colectada. Agitar la muestra de 500 </w:t>
            </w:r>
            <w:proofErr w:type="spellStart"/>
            <w:r w:rsidRPr="00F01347">
              <w:rPr>
                <w:rFonts w:ascii="Verdana" w:hAnsi="Verdana"/>
                <w:sz w:val="16"/>
                <w:szCs w:val="16"/>
              </w:rPr>
              <w:t>mL</w:t>
            </w:r>
            <w:proofErr w:type="spellEnd"/>
            <w:r w:rsidRPr="00F01347">
              <w:rPr>
                <w:rFonts w:ascii="Verdana" w:hAnsi="Verdana"/>
                <w:sz w:val="16"/>
                <w:szCs w:val="16"/>
              </w:rPr>
              <w:t xml:space="preserve"> varias veces para homogeneizar la muestra.</w:t>
            </w:r>
          </w:p>
        </w:tc>
        <w:tc>
          <w:tcPr>
            <w:tcW w:w="4675" w:type="dxa"/>
          </w:tcPr>
          <w:p w14:paraId="44F196A8" w14:textId="5571F288"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Rinse the filter a second time by adding another 1 mL of </w:t>
            </w:r>
            <w:r w:rsidRPr="00F01347">
              <w:rPr>
                <w:rFonts w:ascii="Verdana" w:hAnsi="Verdana"/>
                <w:color w:val="000000"/>
                <w:sz w:val="16"/>
                <w:szCs w:val="16"/>
                <w:lang w:val="en-US"/>
              </w:rPr>
              <w:t xml:space="preserve">methanol containing 20% reagent grade water </w:t>
            </w:r>
            <w:r w:rsidRPr="00F01347">
              <w:rPr>
                <w:rFonts w:ascii="Verdana" w:hAnsi="Verdana"/>
                <w:sz w:val="16"/>
                <w:szCs w:val="16"/>
                <w:lang w:val="en-US"/>
              </w:rPr>
              <w:t>to the test tube and shaking gently. Extract 1 mL of liquid using a glass pipette and transfer this 1 mL of liquid to the 500 mL of filtered water of the collected sample. Shake the 500 mL sample several times to homogenize the sample.</w:t>
            </w:r>
          </w:p>
        </w:tc>
      </w:tr>
      <w:tr w:rsidR="00541DEE" w:rsidRPr="00F01347" w14:paraId="1A4EC96A" w14:textId="145D75CE" w:rsidTr="00BC38BC">
        <w:tc>
          <w:tcPr>
            <w:tcW w:w="4675" w:type="dxa"/>
          </w:tcPr>
          <w:p w14:paraId="27F9195D" w14:textId="77777777" w:rsidR="00541DEE" w:rsidRPr="00F01347" w:rsidRDefault="00541DEE" w:rsidP="00541DEE">
            <w:pPr>
              <w:pStyle w:val="texto0"/>
              <w:spacing w:line="234" w:lineRule="exact"/>
              <w:ind w:firstLine="0"/>
              <w:rPr>
                <w:rFonts w:ascii="Verdana" w:hAnsi="Verdana"/>
                <w:sz w:val="16"/>
                <w:szCs w:val="16"/>
              </w:rPr>
            </w:pPr>
            <w:r w:rsidRPr="00F01347">
              <w:rPr>
                <w:rFonts w:ascii="Verdana" w:hAnsi="Verdana"/>
                <w:sz w:val="16"/>
                <w:szCs w:val="16"/>
              </w:rPr>
              <w:t xml:space="preserve">Para la limpieza y acondicionado del cartucho, no permita que el material de empaque del cartucho esté seco en cualquiera de los pasos de condicionamiento. Enjuagar cada cartucho con 15mL de metanol. A continuación, enjuagar cada cartucho con 15 </w:t>
            </w:r>
            <w:proofErr w:type="spellStart"/>
            <w:r w:rsidRPr="00F01347">
              <w:rPr>
                <w:rFonts w:ascii="Verdana" w:hAnsi="Verdana"/>
                <w:sz w:val="16"/>
                <w:szCs w:val="16"/>
              </w:rPr>
              <w:t>mL</w:t>
            </w:r>
            <w:proofErr w:type="spellEnd"/>
            <w:r w:rsidRPr="00F01347">
              <w:rPr>
                <w:rFonts w:ascii="Verdana" w:hAnsi="Verdana"/>
                <w:sz w:val="16"/>
                <w:szCs w:val="16"/>
              </w:rPr>
              <w:t xml:space="preserve"> de agua grado reactivo, sin permitir que el agua caiga por debajo del borde superior del empaque. Si el cartucho queda seco durante la fase de condicionamiento, debe comenzar de nuevo. Añadir 4 - 5 </w:t>
            </w:r>
            <w:proofErr w:type="spellStart"/>
            <w:r w:rsidRPr="00F01347">
              <w:rPr>
                <w:rFonts w:ascii="Verdana" w:hAnsi="Verdana"/>
                <w:sz w:val="16"/>
                <w:szCs w:val="16"/>
              </w:rPr>
              <w:t>mL</w:t>
            </w:r>
            <w:proofErr w:type="spellEnd"/>
            <w:r w:rsidRPr="00F01347">
              <w:rPr>
                <w:rFonts w:ascii="Verdana" w:hAnsi="Verdana"/>
                <w:sz w:val="16"/>
                <w:szCs w:val="16"/>
              </w:rPr>
              <w:t xml:space="preserve"> de agua grado reactivo a cada cartucho, colocar tubos de transferencia de muestras, encender la aspiradora y comenzar la </w:t>
            </w:r>
            <w:r w:rsidRPr="00F01347">
              <w:rPr>
                <w:rFonts w:ascii="Verdana" w:hAnsi="Verdana"/>
                <w:sz w:val="16"/>
                <w:szCs w:val="16"/>
              </w:rPr>
              <w:lastRenderedPageBreak/>
              <w:t>adición de la muestra filtrada (que contienen las toxinas intracelulares liberadas) en el cartucho.</w:t>
            </w:r>
          </w:p>
        </w:tc>
        <w:tc>
          <w:tcPr>
            <w:tcW w:w="4675" w:type="dxa"/>
          </w:tcPr>
          <w:p w14:paraId="607D177F" w14:textId="0C45EC2B" w:rsidR="00541DEE" w:rsidRPr="00F01347" w:rsidRDefault="00541DEE" w:rsidP="00541DEE">
            <w:pPr>
              <w:pStyle w:val="texto0"/>
              <w:spacing w:line="234" w:lineRule="exact"/>
              <w:ind w:firstLine="0"/>
              <w:rPr>
                <w:rFonts w:ascii="Verdana" w:hAnsi="Verdana"/>
                <w:sz w:val="16"/>
                <w:szCs w:val="16"/>
                <w:lang w:val="en-US"/>
              </w:rPr>
            </w:pPr>
            <w:r w:rsidRPr="00F01347">
              <w:rPr>
                <w:rFonts w:ascii="Verdana" w:hAnsi="Verdana"/>
                <w:sz w:val="16"/>
                <w:szCs w:val="16"/>
                <w:lang w:val="en-US"/>
              </w:rPr>
              <w:lastRenderedPageBreak/>
              <w:t xml:space="preserve">For cartridge cleaning and conditioning, do not allow the cartridge packaging material to be dry in any of the conditioning steps. Rinse each cartridge with 15mL of methanol. Next, rinse each cartridge with 15 mL of reagent grade water, without allowing the water to fall below the top edge of the packaging. If the cartridge becomes dry during the conditioning phase, </w:t>
            </w:r>
            <w:r w:rsidR="004A6BE5" w:rsidRPr="00F01347">
              <w:rPr>
                <w:rFonts w:ascii="Verdana" w:hAnsi="Verdana"/>
                <w:sz w:val="16"/>
                <w:szCs w:val="16"/>
                <w:lang w:val="en-US"/>
              </w:rPr>
              <w:t>one</w:t>
            </w:r>
            <w:r w:rsidRPr="00F01347">
              <w:rPr>
                <w:rFonts w:ascii="Verdana" w:hAnsi="Verdana"/>
                <w:sz w:val="16"/>
                <w:szCs w:val="16"/>
                <w:lang w:val="en-US"/>
              </w:rPr>
              <w:t xml:space="preserve"> must start again. Add 4 - 5 mL of reagent grade water to each cartridge, attach sample transfer tubes, turn on the vacuum cleaner, and begin adding the filtered sample (containing the released intracellular toxins) into the cartridge.</w:t>
            </w:r>
          </w:p>
        </w:tc>
      </w:tr>
      <w:tr w:rsidR="00541DEE" w:rsidRPr="00F01347" w14:paraId="7BDDF82F" w14:textId="10B75AAB" w:rsidTr="00BC38BC">
        <w:tc>
          <w:tcPr>
            <w:tcW w:w="4675" w:type="dxa"/>
          </w:tcPr>
          <w:p w14:paraId="5B919A6C" w14:textId="77777777" w:rsidR="00541DEE" w:rsidRPr="00F01347" w:rsidRDefault="00541DEE" w:rsidP="00541DEE">
            <w:pPr>
              <w:pStyle w:val="texto0"/>
              <w:spacing w:line="242" w:lineRule="exact"/>
              <w:ind w:firstLine="0"/>
              <w:rPr>
                <w:rFonts w:ascii="Verdana" w:hAnsi="Verdana"/>
                <w:sz w:val="16"/>
                <w:szCs w:val="16"/>
              </w:rPr>
            </w:pPr>
            <w:r w:rsidRPr="00F01347">
              <w:rPr>
                <w:rFonts w:ascii="Verdana" w:hAnsi="Verdana"/>
                <w:sz w:val="16"/>
                <w:szCs w:val="16"/>
              </w:rPr>
              <w:t xml:space="preserve">Con el fin de realizar una correcta extracción de la muestra, ajuste el vacío para que el caudal aproximado sea de 10 - 15 </w:t>
            </w:r>
            <w:proofErr w:type="spellStart"/>
            <w:r w:rsidRPr="00F01347">
              <w:rPr>
                <w:rFonts w:ascii="Verdana" w:hAnsi="Verdana"/>
                <w:sz w:val="16"/>
                <w:szCs w:val="16"/>
              </w:rPr>
              <w:t>mL</w:t>
            </w:r>
            <w:proofErr w:type="spellEnd"/>
            <w:r w:rsidRPr="00F01347">
              <w:rPr>
                <w:rFonts w:ascii="Verdana" w:hAnsi="Verdana"/>
                <w:sz w:val="16"/>
                <w:szCs w:val="16"/>
              </w:rPr>
              <w:t>/min. No permita que el cartucho esté seco antes de que toda la muestra pase a través del cartucho.</w:t>
            </w:r>
          </w:p>
        </w:tc>
        <w:tc>
          <w:tcPr>
            <w:tcW w:w="4675" w:type="dxa"/>
          </w:tcPr>
          <w:p w14:paraId="651E03CC" w14:textId="2BA6958E" w:rsidR="00541DEE" w:rsidRPr="00F01347" w:rsidRDefault="00541DEE" w:rsidP="00541DEE">
            <w:pPr>
              <w:pStyle w:val="texto0"/>
              <w:spacing w:line="242" w:lineRule="exact"/>
              <w:ind w:firstLine="0"/>
              <w:rPr>
                <w:rFonts w:ascii="Verdana" w:hAnsi="Verdana"/>
                <w:sz w:val="16"/>
                <w:szCs w:val="16"/>
                <w:lang w:val="en-US"/>
              </w:rPr>
            </w:pP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perform a correct extraction of the sample, adjust the vacuum so that the approximate flow rate is 10 - 15 mL /min. Do not allow the cartridge to dry before </w:t>
            </w:r>
            <w:proofErr w:type="gramStart"/>
            <w:r w:rsidRPr="00F01347">
              <w:rPr>
                <w:rFonts w:ascii="Verdana" w:hAnsi="Verdana"/>
                <w:sz w:val="16"/>
                <w:szCs w:val="16"/>
                <w:lang w:val="en-US"/>
              </w:rPr>
              <w:t>all of</w:t>
            </w:r>
            <w:proofErr w:type="gramEnd"/>
            <w:r w:rsidRPr="00F01347">
              <w:rPr>
                <w:rFonts w:ascii="Verdana" w:hAnsi="Verdana"/>
                <w:sz w:val="16"/>
                <w:szCs w:val="16"/>
                <w:lang w:val="en-US"/>
              </w:rPr>
              <w:t xml:space="preserve"> the sample passes through the cartridge.</w:t>
            </w:r>
          </w:p>
        </w:tc>
      </w:tr>
      <w:tr w:rsidR="00541DEE" w:rsidRPr="00F01347" w14:paraId="16133917" w14:textId="3E165AB9" w:rsidTr="00BC38BC">
        <w:tc>
          <w:tcPr>
            <w:tcW w:w="4675" w:type="dxa"/>
          </w:tcPr>
          <w:p w14:paraId="0D872E98" w14:textId="77777777" w:rsidR="00541DEE" w:rsidRPr="00F01347" w:rsidRDefault="00541DEE" w:rsidP="00541DEE">
            <w:pPr>
              <w:pStyle w:val="texto0"/>
              <w:spacing w:line="242" w:lineRule="exact"/>
              <w:ind w:firstLine="0"/>
              <w:rPr>
                <w:rFonts w:ascii="Verdana" w:hAnsi="Verdana"/>
                <w:color w:val="000000"/>
                <w:sz w:val="16"/>
                <w:szCs w:val="16"/>
              </w:rPr>
            </w:pPr>
            <w:r w:rsidRPr="00F01347">
              <w:rPr>
                <w:rFonts w:ascii="Verdana" w:hAnsi="Verdana"/>
                <w:color w:val="000000"/>
                <w:sz w:val="16"/>
                <w:szCs w:val="16"/>
              </w:rPr>
              <w:t xml:space="preserve">Para el enjuague de la botella de la muestra y del cartucho, una vez que toda la muestra ha pasado a través del cartucho, enjuague las botellas de muestra con 10 </w:t>
            </w:r>
            <w:proofErr w:type="spellStart"/>
            <w:r w:rsidRPr="00F01347">
              <w:rPr>
                <w:rFonts w:ascii="Verdana" w:hAnsi="Verdana"/>
                <w:color w:val="000000"/>
                <w:sz w:val="16"/>
                <w:szCs w:val="16"/>
              </w:rPr>
              <w:t>mL</w:t>
            </w:r>
            <w:proofErr w:type="spellEnd"/>
            <w:r w:rsidRPr="00F01347">
              <w:rPr>
                <w:rFonts w:ascii="Verdana" w:hAnsi="Verdana"/>
                <w:color w:val="000000"/>
                <w:sz w:val="16"/>
                <w:szCs w:val="16"/>
              </w:rPr>
              <w:t xml:space="preserve"> de agua grado reactivo y extraiga el enjuague a través de los tubos de transferencia de la muestra y los cartuchos. Retirar los tubos de transferencia de la muestra y lavar los cartuchos con otros 5 </w:t>
            </w:r>
            <w:proofErr w:type="spellStart"/>
            <w:r w:rsidRPr="00F01347">
              <w:rPr>
                <w:rFonts w:ascii="Verdana" w:hAnsi="Verdana"/>
                <w:color w:val="000000"/>
                <w:sz w:val="16"/>
                <w:szCs w:val="16"/>
              </w:rPr>
              <w:t>mL</w:t>
            </w:r>
            <w:proofErr w:type="spellEnd"/>
            <w:r w:rsidRPr="00F01347">
              <w:rPr>
                <w:rFonts w:ascii="Verdana" w:hAnsi="Verdana"/>
                <w:color w:val="000000"/>
                <w:sz w:val="16"/>
                <w:szCs w:val="16"/>
              </w:rPr>
              <w:t xml:space="preserve"> de agua grado reactivo. Extraer aire o nitrógeno a través del cartucho por 10 min al alto vacío (10 - 15 pulgadas de mercurio).</w:t>
            </w:r>
          </w:p>
        </w:tc>
        <w:tc>
          <w:tcPr>
            <w:tcW w:w="4675" w:type="dxa"/>
          </w:tcPr>
          <w:p w14:paraId="7AA33EC0" w14:textId="5D22ED45" w:rsidR="00541DEE" w:rsidRPr="00F01347" w:rsidRDefault="00541DEE" w:rsidP="00541DEE">
            <w:pPr>
              <w:pStyle w:val="texto0"/>
              <w:spacing w:line="242"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To rinse the sample bottle and cartridge, once </w:t>
            </w:r>
            <w:proofErr w:type="gramStart"/>
            <w:r w:rsidRPr="00F01347">
              <w:rPr>
                <w:rFonts w:ascii="Verdana" w:hAnsi="Verdana"/>
                <w:color w:val="000000"/>
                <w:sz w:val="16"/>
                <w:szCs w:val="16"/>
                <w:lang w:val="en-US"/>
              </w:rPr>
              <w:t>all of</w:t>
            </w:r>
            <w:proofErr w:type="gramEnd"/>
            <w:r w:rsidRPr="00F01347">
              <w:rPr>
                <w:rFonts w:ascii="Verdana" w:hAnsi="Verdana"/>
                <w:color w:val="000000"/>
                <w:sz w:val="16"/>
                <w:szCs w:val="16"/>
                <w:lang w:val="en-US"/>
              </w:rPr>
              <w:t xml:space="preserve"> the sample has passed through the cartridge, rinse the sample bottles with 10 mL of reagent grade water and draw the rinse through the transfer tubes</w:t>
            </w:r>
            <w:r w:rsidR="00E17B53" w:rsidRPr="00F01347">
              <w:rPr>
                <w:rFonts w:ascii="Verdana" w:hAnsi="Verdana"/>
                <w:color w:val="000000"/>
                <w:sz w:val="16"/>
                <w:szCs w:val="16"/>
                <w:lang w:val="en-US"/>
              </w:rPr>
              <w:t xml:space="preserve"> of</w:t>
            </w:r>
            <w:r w:rsidRPr="00F01347">
              <w:rPr>
                <w:rFonts w:ascii="Verdana" w:hAnsi="Verdana"/>
                <w:color w:val="000000"/>
                <w:sz w:val="16"/>
                <w:szCs w:val="16"/>
                <w:lang w:val="en-US"/>
              </w:rPr>
              <w:t xml:space="preserve"> the sample and the cartridges. Remove the sample transfer tubes and wash the cartridges with another 5 mL of reagent grade water. Draw air or nitrogen through the cartridge for 10 min under high vacuum (10 - 15 inches of mercury).</w:t>
            </w:r>
          </w:p>
        </w:tc>
      </w:tr>
      <w:tr w:rsidR="00541DEE" w:rsidRPr="00F01347" w14:paraId="63758662" w14:textId="2D2E638C" w:rsidTr="00BC38BC">
        <w:tc>
          <w:tcPr>
            <w:tcW w:w="4675" w:type="dxa"/>
          </w:tcPr>
          <w:p w14:paraId="7A81DFD9" w14:textId="77777777" w:rsidR="00541DEE" w:rsidRPr="00F01347" w:rsidRDefault="00541DEE" w:rsidP="00541DEE">
            <w:pPr>
              <w:pStyle w:val="texto0"/>
              <w:spacing w:line="242" w:lineRule="exact"/>
              <w:ind w:firstLine="0"/>
              <w:rPr>
                <w:rFonts w:ascii="Verdana" w:hAnsi="Verdana"/>
                <w:sz w:val="16"/>
                <w:szCs w:val="16"/>
              </w:rPr>
            </w:pPr>
            <w:r w:rsidRPr="00F01347">
              <w:rPr>
                <w:rFonts w:ascii="Verdana" w:hAnsi="Verdana"/>
                <w:sz w:val="16"/>
                <w:szCs w:val="16"/>
              </w:rPr>
              <w:t xml:space="preserve">Para permitir la elución de la botella de la muestra y del cartucho, apague y libere el vacío. Levante la tapa del colector de extracción e inserte un bastidor con tubos de colecta en el tanque de la extracción para recolectar los extractos que se </w:t>
            </w:r>
            <w:proofErr w:type="spellStart"/>
            <w:r w:rsidRPr="00F01347">
              <w:rPr>
                <w:rFonts w:ascii="Verdana" w:hAnsi="Verdana"/>
                <w:sz w:val="16"/>
                <w:szCs w:val="16"/>
              </w:rPr>
              <w:t>eluyen</w:t>
            </w:r>
            <w:proofErr w:type="spellEnd"/>
            <w:r w:rsidRPr="00F01347">
              <w:rPr>
                <w:rFonts w:ascii="Verdana" w:hAnsi="Verdana"/>
                <w:sz w:val="16"/>
                <w:szCs w:val="16"/>
              </w:rPr>
              <w:t xml:space="preserve"> de los cartuchos. Vuelva a encender la aspiradora, pero asegúrese que el vacío no exceda de 10 de pulgadas de mercurio durante la elución. Enjuague las botellas de muestra con 5 </w:t>
            </w:r>
            <w:proofErr w:type="spellStart"/>
            <w:r w:rsidRPr="00F01347">
              <w:rPr>
                <w:rFonts w:ascii="Verdana" w:hAnsi="Verdana"/>
                <w:sz w:val="16"/>
                <w:szCs w:val="16"/>
              </w:rPr>
              <w:t>mL</w:t>
            </w:r>
            <w:proofErr w:type="spellEnd"/>
            <w:r w:rsidRPr="00F01347">
              <w:rPr>
                <w:rFonts w:ascii="Verdana" w:hAnsi="Verdana"/>
                <w:sz w:val="16"/>
                <w:szCs w:val="16"/>
              </w:rPr>
              <w:t xml:space="preserve"> de metanol que contiene 10% reactivo agua y </w:t>
            </w:r>
            <w:proofErr w:type="spellStart"/>
            <w:r w:rsidRPr="00F01347">
              <w:rPr>
                <w:rFonts w:ascii="Verdana" w:hAnsi="Verdana"/>
                <w:sz w:val="16"/>
                <w:szCs w:val="16"/>
              </w:rPr>
              <w:t>eluir</w:t>
            </w:r>
            <w:proofErr w:type="spellEnd"/>
            <w:r w:rsidRPr="00F01347">
              <w:rPr>
                <w:rFonts w:ascii="Verdana" w:hAnsi="Verdana"/>
                <w:sz w:val="16"/>
                <w:szCs w:val="16"/>
              </w:rPr>
              <w:t xml:space="preserve"> los analitos de los cartuchos tirando los 5 </w:t>
            </w:r>
            <w:proofErr w:type="spellStart"/>
            <w:r w:rsidRPr="00F01347">
              <w:rPr>
                <w:rFonts w:ascii="Verdana" w:hAnsi="Verdana"/>
                <w:sz w:val="16"/>
                <w:szCs w:val="16"/>
              </w:rPr>
              <w:t>mL</w:t>
            </w:r>
            <w:proofErr w:type="spellEnd"/>
            <w:r w:rsidRPr="00F01347">
              <w:rPr>
                <w:rFonts w:ascii="Verdana" w:hAnsi="Verdana"/>
                <w:sz w:val="16"/>
                <w:szCs w:val="16"/>
              </w:rPr>
              <w:t xml:space="preserve"> de metanol (usada para enjuagar las botellas) a través de los tubos de transferencia de la muestra y los cartuchos. Use un aspirado de baja potencia tal que el solvente salga del cartucho de gota en gota. Repita el enjuague de la botella de la muestra y la elución del cartucho con una segunda alícuota de 5 </w:t>
            </w:r>
            <w:proofErr w:type="spellStart"/>
            <w:r w:rsidRPr="00F01347">
              <w:rPr>
                <w:rFonts w:ascii="Verdana" w:hAnsi="Verdana"/>
                <w:sz w:val="16"/>
                <w:szCs w:val="16"/>
              </w:rPr>
              <w:t>mL</w:t>
            </w:r>
            <w:proofErr w:type="spellEnd"/>
            <w:r w:rsidRPr="00F01347">
              <w:rPr>
                <w:rFonts w:ascii="Verdana" w:hAnsi="Verdana"/>
                <w:sz w:val="16"/>
                <w:szCs w:val="16"/>
              </w:rPr>
              <w:t xml:space="preserve"> de metanol que contiene 10% de agua reactivo.</w:t>
            </w:r>
          </w:p>
        </w:tc>
        <w:tc>
          <w:tcPr>
            <w:tcW w:w="4675" w:type="dxa"/>
          </w:tcPr>
          <w:p w14:paraId="67ADAA47" w14:textId="3392F53F" w:rsidR="00541DEE" w:rsidRPr="00F01347" w:rsidRDefault="00541DEE" w:rsidP="00541DEE">
            <w:pPr>
              <w:pStyle w:val="texto0"/>
              <w:spacing w:line="242" w:lineRule="exact"/>
              <w:ind w:firstLine="0"/>
              <w:rPr>
                <w:rFonts w:ascii="Verdana" w:hAnsi="Verdana"/>
                <w:sz w:val="16"/>
                <w:szCs w:val="16"/>
                <w:lang w:val="en-US"/>
              </w:rPr>
            </w:pPr>
            <w:r w:rsidRPr="00F01347">
              <w:rPr>
                <w:rFonts w:ascii="Verdana" w:hAnsi="Verdana"/>
                <w:sz w:val="16"/>
                <w:szCs w:val="16"/>
                <w:lang w:val="en-US"/>
              </w:rPr>
              <w:t>To allow</w:t>
            </w:r>
            <w:r w:rsidR="00551588" w:rsidRPr="00F01347">
              <w:rPr>
                <w:rFonts w:ascii="Verdana" w:hAnsi="Verdana"/>
                <w:sz w:val="16"/>
                <w:szCs w:val="16"/>
                <w:lang w:val="en-US"/>
              </w:rPr>
              <w:t xml:space="preserve"> the</w:t>
            </w:r>
            <w:r w:rsidRPr="00F01347">
              <w:rPr>
                <w:rFonts w:ascii="Verdana" w:hAnsi="Verdana"/>
                <w:sz w:val="16"/>
                <w:szCs w:val="16"/>
                <w:lang w:val="en-US"/>
              </w:rPr>
              <w:t xml:space="preserve"> elution from the sample bottle and cartridge, turn off and release the vacuum. Lift the extraction manifold lid and insert a rack with collection tubes into the extraction tank to collect extracts eluting from the cartridges. Turn the vacuum back on, but make sure the vacuum does not exceed 10 inches of mercury during elution. Rinse the sample bottles with 5 mL of methanol containing 10% reagent water and elute the analytes from the cartridges by pulling the 5 mL of methanol (used to rinse the bottles) through the sample transfer tubes and cartridges. Use a low power aspirator so that the solvent comes out of the cartridge one drop at a time. Repeat rinsing the sample bottle and eluting the cartridge with a second 5 mL aliquot of methanol containing 10% reagent water.</w:t>
            </w:r>
          </w:p>
        </w:tc>
      </w:tr>
      <w:tr w:rsidR="00541DEE" w:rsidRPr="00F01347" w14:paraId="6437C737" w14:textId="2D4B53AA" w:rsidTr="00BC38BC">
        <w:tc>
          <w:tcPr>
            <w:tcW w:w="4675" w:type="dxa"/>
          </w:tcPr>
          <w:p w14:paraId="2EB155DD" w14:textId="77777777" w:rsidR="00541DEE" w:rsidRPr="00F01347" w:rsidRDefault="00541DEE" w:rsidP="00541DEE">
            <w:pPr>
              <w:pStyle w:val="texto0"/>
              <w:spacing w:line="242" w:lineRule="exact"/>
              <w:ind w:firstLine="0"/>
              <w:rPr>
                <w:rFonts w:ascii="Verdana" w:hAnsi="Verdana"/>
                <w:sz w:val="16"/>
                <w:szCs w:val="16"/>
              </w:rPr>
            </w:pPr>
            <w:r w:rsidRPr="00F01347">
              <w:rPr>
                <w:rFonts w:ascii="Verdana" w:hAnsi="Verdana"/>
                <w:sz w:val="16"/>
                <w:szCs w:val="16"/>
              </w:rPr>
              <w:t xml:space="preserve">Los volúmenes de solvente utilizados fueron optimizados para botellas de 500 </w:t>
            </w:r>
            <w:proofErr w:type="spellStart"/>
            <w:r w:rsidRPr="00F01347">
              <w:rPr>
                <w:rFonts w:ascii="Verdana" w:hAnsi="Verdana"/>
                <w:sz w:val="16"/>
                <w:szCs w:val="16"/>
              </w:rPr>
              <w:t>mL</w:t>
            </w:r>
            <w:proofErr w:type="spellEnd"/>
            <w:r w:rsidRPr="00F01347">
              <w:rPr>
                <w:rFonts w:ascii="Verdana" w:hAnsi="Verdana"/>
                <w:sz w:val="16"/>
                <w:szCs w:val="16"/>
              </w:rPr>
              <w:t xml:space="preserve"> de la muestra. El uso de botellas para muestras más grandes para las muestras de control de calidad no se recomienda dado que puede afectar negativamente la recuperación de analito.</w:t>
            </w:r>
          </w:p>
        </w:tc>
        <w:tc>
          <w:tcPr>
            <w:tcW w:w="4675" w:type="dxa"/>
          </w:tcPr>
          <w:p w14:paraId="3DD56A43" w14:textId="5AA43DBD" w:rsidR="00541DEE" w:rsidRPr="00F01347" w:rsidRDefault="00541DEE" w:rsidP="00541DEE">
            <w:pPr>
              <w:pStyle w:val="texto0"/>
              <w:spacing w:line="242" w:lineRule="exact"/>
              <w:ind w:firstLine="0"/>
              <w:rPr>
                <w:rFonts w:ascii="Verdana" w:hAnsi="Verdana"/>
                <w:sz w:val="16"/>
                <w:szCs w:val="16"/>
                <w:lang w:val="en-US"/>
              </w:rPr>
            </w:pPr>
            <w:r w:rsidRPr="00F01347">
              <w:rPr>
                <w:rFonts w:ascii="Verdana" w:hAnsi="Verdana"/>
                <w:sz w:val="16"/>
                <w:szCs w:val="16"/>
                <w:lang w:val="en-US"/>
              </w:rPr>
              <w:t>The solvent volumes used were optimized for 500 mL sample bottles. The use of larger sample bottles for quality control samples is not recommended as it may negatively affect analyte recovery.</w:t>
            </w:r>
          </w:p>
        </w:tc>
      </w:tr>
      <w:tr w:rsidR="00541DEE" w:rsidRPr="00F01347" w14:paraId="6C1DCB21" w14:textId="3C3EDC63" w:rsidTr="00BC38BC">
        <w:tc>
          <w:tcPr>
            <w:tcW w:w="4675" w:type="dxa"/>
          </w:tcPr>
          <w:p w14:paraId="4AE27135" w14:textId="77777777" w:rsidR="00541DEE" w:rsidRPr="00F01347" w:rsidRDefault="00541DEE" w:rsidP="00541DEE">
            <w:pPr>
              <w:pStyle w:val="texto0"/>
              <w:spacing w:line="242" w:lineRule="exact"/>
              <w:ind w:firstLine="0"/>
              <w:rPr>
                <w:rFonts w:ascii="Verdana" w:hAnsi="Verdana"/>
                <w:color w:val="000000"/>
                <w:sz w:val="16"/>
                <w:szCs w:val="16"/>
              </w:rPr>
            </w:pPr>
            <w:r w:rsidRPr="00F01347">
              <w:rPr>
                <w:rFonts w:ascii="Verdana" w:hAnsi="Verdana"/>
                <w:color w:val="000000"/>
                <w:sz w:val="16"/>
                <w:szCs w:val="16"/>
              </w:rPr>
              <w:t xml:space="preserve">Concentrar el extracto hasta que esté seco bajo una corriente suave de nitrógeno en un baño de agua caliente (60°C). Añadir 1 ml de metanol que contiene 10% de agua reactivo al vial y agitar en </w:t>
            </w:r>
            <w:proofErr w:type="spellStart"/>
            <w:r w:rsidRPr="00F01347">
              <w:rPr>
                <w:rFonts w:ascii="Verdana" w:hAnsi="Verdana"/>
                <w:color w:val="000000"/>
                <w:sz w:val="16"/>
                <w:szCs w:val="16"/>
              </w:rPr>
              <w:t>vortex</w:t>
            </w:r>
            <w:proofErr w:type="spellEnd"/>
            <w:r w:rsidRPr="00F01347">
              <w:rPr>
                <w:rFonts w:ascii="Verdana" w:hAnsi="Verdana"/>
                <w:color w:val="000000"/>
                <w:sz w:val="16"/>
                <w:szCs w:val="16"/>
              </w:rPr>
              <w:t xml:space="preserve">. Transferir una alícuota a un vial de </w:t>
            </w:r>
            <w:proofErr w:type="spellStart"/>
            <w:r w:rsidRPr="00F01347">
              <w:rPr>
                <w:rFonts w:ascii="Verdana" w:hAnsi="Verdana"/>
                <w:color w:val="000000"/>
                <w:sz w:val="16"/>
                <w:szCs w:val="16"/>
              </w:rPr>
              <w:t>automuestreo</w:t>
            </w:r>
            <w:proofErr w:type="spellEnd"/>
            <w:r w:rsidRPr="00F01347">
              <w:rPr>
                <w:rFonts w:ascii="Verdana" w:hAnsi="Verdana"/>
                <w:color w:val="000000"/>
                <w:sz w:val="16"/>
                <w:szCs w:val="16"/>
              </w:rPr>
              <w:t>.</w:t>
            </w:r>
          </w:p>
        </w:tc>
        <w:tc>
          <w:tcPr>
            <w:tcW w:w="4675" w:type="dxa"/>
          </w:tcPr>
          <w:p w14:paraId="52998E2B" w14:textId="75DF16ED" w:rsidR="00541DEE" w:rsidRPr="00F01347" w:rsidRDefault="00541DEE" w:rsidP="00541DEE">
            <w:pPr>
              <w:pStyle w:val="texto0"/>
              <w:spacing w:line="242" w:lineRule="exact"/>
              <w:ind w:firstLine="0"/>
              <w:rPr>
                <w:rFonts w:ascii="Verdana" w:hAnsi="Verdana"/>
                <w:color w:val="000000"/>
                <w:sz w:val="16"/>
                <w:szCs w:val="16"/>
                <w:lang w:val="en-US"/>
              </w:rPr>
            </w:pPr>
            <w:r w:rsidRPr="00F01347">
              <w:rPr>
                <w:rFonts w:ascii="Verdana" w:hAnsi="Verdana"/>
                <w:color w:val="000000"/>
                <w:sz w:val="16"/>
                <w:szCs w:val="16"/>
                <w:lang w:val="en-US"/>
              </w:rPr>
              <w:t>Concentrate the extract until dry under a gentle stream of nitrogen in a hot water bath (60°C). Add 1 ml of methanol containing 10% reagent water to the vial and vortex</w:t>
            </w:r>
            <w:r w:rsidR="003E1BA9" w:rsidRPr="00F01347">
              <w:rPr>
                <w:rFonts w:ascii="Verdana" w:hAnsi="Verdana"/>
                <w:color w:val="000000"/>
                <w:sz w:val="16"/>
                <w:szCs w:val="16"/>
                <w:lang w:val="en-US"/>
              </w:rPr>
              <w:t>.</w:t>
            </w:r>
            <w:r w:rsidRPr="00F01347">
              <w:rPr>
                <w:rFonts w:ascii="Verdana" w:hAnsi="Verdana"/>
                <w:color w:val="000000"/>
                <w:sz w:val="16"/>
                <w:szCs w:val="16"/>
                <w:lang w:val="en-US"/>
              </w:rPr>
              <w:t xml:space="preserve"> Transfer an aliquot to an autosampler vial</w:t>
            </w:r>
            <w:r w:rsidR="003E1BA9" w:rsidRPr="00F01347">
              <w:rPr>
                <w:rFonts w:ascii="Verdana" w:hAnsi="Verdana"/>
                <w:color w:val="000000"/>
                <w:sz w:val="16"/>
                <w:szCs w:val="16"/>
                <w:lang w:val="en-US"/>
              </w:rPr>
              <w:t>.</w:t>
            </w:r>
          </w:p>
        </w:tc>
      </w:tr>
      <w:tr w:rsidR="00541DEE" w:rsidRPr="00F01347" w14:paraId="6E1F60B5" w14:textId="48133278" w:rsidTr="00BC38BC">
        <w:tc>
          <w:tcPr>
            <w:tcW w:w="4675" w:type="dxa"/>
          </w:tcPr>
          <w:p w14:paraId="4E0698C3" w14:textId="77777777" w:rsidR="00541DEE" w:rsidRPr="00F01347" w:rsidRDefault="00541DEE" w:rsidP="00541DEE">
            <w:pPr>
              <w:pStyle w:val="texto0"/>
              <w:spacing w:line="242" w:lineRule="exact"/>
              <w:ind w:firstLine="0"/>
              <w:rPr>
                <w:rFonts w:ascii="Verdana" w:hAnsi="Verdana"/>
                <w:color w:val="000000"/>
                <w:sz w:val="16"/>
                <w:szCs w:val="16"/>
              </w:rPr>
            </w:pPr>
            <w:r w:rsidRPr="00F01347">
              <w:rPr>
                <w:rFonts w:ascii="Verdana" w:hAnsi="Verdana"/>
                <w:color w:val="000000"/>
                <w:sz w:val="16"/>
                <w:szCs w:val="16"/>
              </w:rPr>
              <w:t xml:space="preserve">Para determinar el volumen de la muestra, si el nivel de la muestra fue marcado en la botella de la muestra, utilice una probeta graduada para medir el volumen de agua necesaria para llenar la botella de la muestra original hasta la marca que hizo antes de la extracción. Determinar a los 10ml más cercanos. Si se usa el peso </w:t>
            </w:r>
            <w:r w:rsidRPr="00F01347">
              <w:rPr>
                <w:rFonts w:ascii="Verdana" w:hAnsi="Verdana"/>
                <w:color w:val="000000"/>
                <w:sz w:val="16"/>
                <w:szCs w:val="16"/>
              </w:rPr>
              <w:lastRenderedPageBreak/>
              <w:t>para determinar el volumen, pesar la botella vacía a los 10 g de peso y determinar el peso de la muestra por la substracción del peso de la botella vacía del peso de la muestra original. Asumir una densidad de 1 g/</w:t>
            </w:r>
            <w:proofErr w:type="spellStart"/>
            <w:r w:rsidRPr="00F01347">
              <w:rPr>
                <w:rFonts w:ascii="Verdana" w:hAnsi="Verdana"/>
                <w:color w:val="000000"/>
                <w:sz w:val="16"/>
                <w:szCs w:val="16"/>
              </w:rPr>
              <w:t>mL</w:t>
            </w:r>
            <w:proofErr w:type="spellEnd"/>
            <w:r w:rsidRPr="00F01347">
              <w:rPr>
                <w:rFonts w:ascii="Verdana" w:hAnsi="Verdana"/>
                <w:color w:val="000000"/>
                <w:sz w:val="16"/>
                <w:szCs w:val="16"/>
              </w:rPr>
              <w:t xml:space="preserve"> de muestra. En cualquier caso, el volumen de la muestra se utilizará en el cálculo final de concentración de analito.</w:t>
            </w:r>
          </w:p>
        </w:tc>
        <w:tc>
          <w:tcPr>
            <w:tcW w:w="4675" w:type="dxa"/>
          </w:tcPr>
          <w:p w14:paraId="2383F685" w14:textId="041077AA" w:rsidR="00541DEE" w:rsidRPr="00F01347" w:rsidRDefault="00541DEE" w:rsidP="00541DEE">
            <w:pPr>
              <w:pStyle w:val="texto0"/>
              <w:spacing w:line="242" w:lineRule="exact"/>
              <w:ind w:firstLine="0"/>
              <w:rPr>
                <w:rFonts w:ascii="Verdana" w:hAnsi="Verdana"/>
                <w:color w:val="000000"/>
                <w:sz w:val="16"/>
                <w:szCs w:val="16"/>
                <w:lang w:val="en-US"/>
              </w:rPr>
            </w:pPr>
            <w:r w:rsidRPr="00F01347">
              <w:rPr>
                <w:rFonts w:ascii="Verdana" w:hAnsi="Verdana"/>
                <w:color w:val="000000"/>
                <w:sz w:val="16"/>
                <w:szCs w:val="16"/>
                <w:lang w:val="en-US"/>
              </w:rPr>
              <w:lastRenderedPageBreak/>
              <w:t xml:space="preserve">To determine the sample volume, if the sample level was marked on the sample bottle, use a graduated cylinder to measure the volume of water needed to fill the original sample bottle to the mark </w:t>
            </w:r>
            <w:r w:rsidR="004A6BE5" w:rsidRPr="00F01347">
              <w:rPr>
                <w:rFonts w:ascii="Verdana" w:hAnsi="Verdana"/>
                <w:color w:val="000000"/>
                <w:sz w:val="16"/>
                <w:szCs w:val="16"/>
                <w:lang w:val="en-US"/>
              </w:rPr>
              <w:t>one</w:t>
            </w:r>
            <w:r w:rsidRPr="00F01347">
              <w:rPr>
                <w:rFonts w:ascii="Verdana" w:hAnsi="Verdana"/>
                <w:color w:val="000000"/>
                <w:sz w:val="16"/>
                <w:szCs w:val="16"/>
                <w:lang w:val="en-US"/>
              </w:rPr>
              <w:t xml:space="preserve"> made before the sample. extraction. Determine to the nearest 10ml. If weight is used to determine volume, weigh the empty </w:t>
            </w:r>
            <w:r w:rsidRPr="00F01347">
              <w:rPr>
                <w:rFonts w:ascii="Verdana" w:hAnsi="Verdana"/>
                <w:color w:val="000000"/>
                <w:sz w:val="16"/>
                <w:szCs w:val="16"/>
                <w:lang w:val="en-US"/>
              </w:rPr>
              <w:lastRenderedPageBreak/>
              <w:t>bottle at 10 g weight and determine the weight of the sample by subtracting the weight of the empty bottle from the weight of the original sample. Assume a density of 1 g/mL of sample. In either case, the sample volume will be used in the final analyte concentration calculation.</w:t>
            </w:r>
          </w:p>
        </w:tc>
      </w:tr>
      <w:tr w:rsidR="00541DEE" w:rsidRPr="00F01347" w14:paraId="29384159" w14:textId="5B53A8A3" w:rsidTr="00BC38BC">
        <w:tc>
          <w:tcPr>
            <w:tcW w:w="4675" w:type="dxa"/>
          </w:tcPr>
          <w:p w14:paraId="44CDE0DC" w14:textId="77777777" w:rsidR="00541DEE" w:rsidRPr="00F01347" w:rsidRDefault="00541DEE" w:rsidP="00541DEE">
            <w:pPr>
              <w:pStyle w:val="texto0"/>
              <w:spacing w:line="242" w:lineRule="exact"/>
              <w:ind w:firstLine="0"/>
              <w:rPr>
                <w:rFonts w:ascii="Verdana" w:hAnsi="Verdana"/>
                <w:sz w:val="16"/>
                <w:szCs w:val="16"/>
              </w:rPr>
            </w:pPr>
            <w:r w:rsidRPr="00F01347">
              <w:rPr>
                <w:rFonts w:ascii="Verdana" w:hAnsi="Verdana"/>
                <w:color w:val="000000"/>
                <w:sz w:val="16"/>
                <w:szCs w:val="16"/>
              </w:rPr>
              <w:lastRenderedPageBreak/>
              <w:t>Para realizar el análisis del extracto, se deben e</w:t>
            </w:r>
            <w:r w:rsidRPr="00F01347">
              <w:rPr>
                <w:rFonts w:ascii="Verdana" w:hAnsi="Verdana"/>
                <w:sz w:val="16"/>
                <w:szCs w:val="16"/>
              </w:rPr>
              <w:t>stablecer las condiciones necesarias resumidas en las Tablas B.1.2-6, B.1.2-7, B.1.2-8 y B.1.2-9, de este Apéndice. Columnas y condiciones del instrumento deben optimizarse antes de la iniciación de la IDC.</w:t>
            </w:r>
          </w:p>
        </w:tc>
        <w:tc>
          <w:tcPr>
            <w:tcW w:w="4675" w:type="dxa"/>
          </w:tcPr>
          <w:p w14:paraId="33796469" w14:textId="4E797971" w:rsidR="00541DEE" w:rsidRPr="00F01347" w:rsidRDefault="00F3764C" w:rsidP="00541DEE">
            <w:pPr>
              <w:pStyle w:val="texto0"/>
              <w:spacing w:line="242" w:lineRule="exact"/>
              <w:ind w:firstLine="0"/>
              <w:rPr>
                <w:rFonts w:ascii="Verdana" w:hAnsi="Verdana"/>
                <w:color w:val="000000"/>
                <w:sz w:val="16"/>
                <w:szCs w:val="16"/>
                <w:lang w:val="en-US"/>
              </w:rPr>
            </w:pP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perform the analysis of the extract, </w:t>
            </w:r>
            <w:r w:rsidR="00541DEE" w:rsidRPr="00F01347">
              <w:rPr>
                <w:rFonts w:ascii="Verdana" w:hAnsi="Verdana"/>
                <w:sz w:val="16"/>
                <w:szCs w:val="16"/>
                <w:lang w:val="en-US"/>
              </w:rPr>
              <w:t xml:space="preserve">the necessary conditions summarized in Tables B.1.2-6, B.1.2-7, B.1.2-8 and B.1.2-9 of this Appendix </w:t>
            </w:r>
            <w:r w:rsidR="00541DEE" w:rsidRPr="00F01347">
              <w:rPr>
                <w:rFonts w:ascii="Verdana" w:hAnsi="Verdana"/>
                <w:color w:val="000000"/>
                <w:sz w:val="16"/>
                <w:szCs w:val="16"/>
                <w:lang w:val="en-US"/>
              </w:rPr>
              <w:t xml:space="preserve">must be established. </w:t>
            </w:r>
            <w:r w:rsidR="00541DEE" w:rsidRPr="00F01347">
              <w:rPr>
                <w:rFonts w:ascii="Verdana" w:hAnsi="Verdana"/>
                <w:sz w:val="16"/>
                <w:szCs w:val="16"/>
                <w:lang w:val="en-US"/>
              </w:rPr>
              <w:t>Columns and instrument conditions must be optimized before initiation of the IDC.</w:t>
            </w:r>
          </w:p>
        </w:tc>
      </w:tr>
    </w:tbl>
    <w:p w14:paraId="3366CF38" w14:textId="77777777" w:rsidR="003B0C1F" w:rsidRDefault="003B0C1F" w:rsidP="003A601B">
      <w:pPr>
        <w:pStyle w:val="texto0"/>
        <w:spacing w:line="242" w:lineRule="exact"/>
        <w:ind w:firstLine="0"/>
        <w:jc w:val="center"/>
        <w:rPr>
          <w:rFonts w:ascii="Verdana" w:hAnsi="Verdana"/>
          <w:b/>
          <w:color w:val="000000"/>
          <w:sz w:val="16"/>
          <w:szCs w:val="16"/>
          <w:lang w:val="en-US"/>
        </w:rPr>
      </w:pPr>
    </w:p>
    <w:p w14:paraId="247EC938" w14:textId="77777777" w:rsidR="00FC516A" w:rsidRDefault="00FC516A" w:rsidP="003A601B">
      <w:pPr>
        <w:pStyle w:val="texto0"/>
        <w:spacing w:line="242" w:lineRule="exact"/>
        <w:ind w:firstLine="0"/>
        <w:jc w:val="center"/>
        <w:rPr>
          <w:rFonts w:ascii="Verdana" w:hAnsi="Verdana"/>
          <w:b/>
          <w:color w:val="000000"/>
          <w:sz w:val="16"/>
          <w:szCs w:val="16"/>
          <w:lang w:val="en-US"/>
        </w:rPr>
      </w:pPr>
    </w:p>
    <w:p w14:paraId="4FCE0C51" w14:textId="77777777" w:rsidR="00FC516A" w:rsidRDefault="00FC516A" w:rsidP="003A601B">
      <w:pPr>
        <w:pStyle w:val="texto0"/>
        <w:spacing w:line="242" w:lineRule="exact"/>
        <w:ind w:firstLine="0"/>
        <w:jc w:val="center"/>
        <w:rPr>
          <w:rFonts w:ascii="Verdana" w:hAnsi="Verdana"/>
          <w:b/>
          <w:color w:val="000000"/>
          <w:sz w:val="16"/>
          <w:szCs w:val="16"/>
          <w:lang w:val="en-US"/>
        </w:rPr>
      </w:pPr>
    </w:p>
    <w:p w14:paraId="66A6BCFE" w14:textId="77777777" w:rsidR="00FC516A" w:rsidRDefault="00FC516A" w:rsidP="003A601B">
      <w:pPr>
        <w:pStyle w:val="texto0"/>
        <w:spacing w:line="242" w:lineRule="exact"/>
        <w:ind w:firstLine="0"/>
        <w:jc w:val="center"/>
        <w:rPr>
          <w:rFonts w:ascii="Verdana" w:hAnsi="Verdana"/>
          <w:b/>
          <w:color w:val="000000"/>
          <w:sz w:val="16"/>
          <w:szCs w:val="16"/>
          <w:lang w:val="en-US"/>
        </w:rPr>
      </w:pPr>
    </w:p>
    <w:p w14:paraId="016F034C" w14:textId="77777777" w:rsidR="00FC516A" w:rsidRDefault="00FC516A" w:rsidP="003A601B">
      <w:pPr>
        <w:pStyle w:val="texto0"/>
        <w:spacing w:line="242" w:lineRule="exact"/>
        <w:ind w:firstLine="0"/>
        <w:jc w:val="center"/>
        <w:rPr>
          <w:rFonts w:ascii="Verdana" w:hAnsi="Verdana"/>
          <w:b/>
          <w:color w:val="000000"/>
          <w:sz w:val="16"/>
          <w:szCs w:val="16"/>
          <w:lang w:val="en-US"/>
        </w:rPr>
      </w:pPr>
    </w:p>
    <w:p w14:paraId="5810D9DF" w14:textId="77777777" w:rsidR="00FC516A" w:rsidRPr="00F01347" w:rsidRDefault="00FC516A" w:rsidP="003A601B">
      <w:pPr>
        <w:pStyle w:val="texto0"/>
        <w:spacing w:line="242" w:lineRule="exact"/>
        <w:ind w:firstLine="0"/>
        <w:jc w:val="center"/>
        <w:rPr>
          <w:rFonts w:ascii="Verdana" w:hAnsi="Verdana"/>
          <w:b/>
          <w:color w:val="000000"/>
          <w:sz w:val="16"/>
          <w:szCs w:val="16"/>
          <w:lang w:val="en-US"/>
        </w:rPr>
      </w:pPr>
    </w:p>
    <w:p w14:paraId="736D6680" w14:textId="5BC51942"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b/>
          <w:color w:val="000000"/>
          <w:sz w:val="16"/>
          <w:szCs w:val="16"/>
        </w:rPr>
        <w:t>Tabla B.1.2-6</w:t>
      </w:r>
      <w:r w:rsidRPr="00F01347">
        <w:rPr>
          <w:rFonts w:ascii="Verdana" w:hAnsi="Verdana"/>
          <w:bCs/>
          <w:color w:val="000000"/>
          <w:sz w:val="16"/>
          <w:szCs w:val="16"/>
        </w:rPr>
        <w:t>. Condiciones del método LC</w:t>
      </w:r>
    </w:p>
    <w:tbl>
      <w:tblPr>
        <w:tblW w:w="8712" w:type="dxa"/>
        <w:tblInd w:w="144" w:type="dxa"/>
        <w:tblLayout w:type="fixed"/>
        <w:tblCellMar>
          <w:left w:w="70" w:type="dxa"/>
          <w:right w:w="70" w:type="dxa"/>
        </w:tblCellMar>
        <w:tblLook w:val="0000" w:firstRow="0" w:lastRow="0" w:firstColumn="0" w:lastColumn="0" w:noHBand="0" w:noVBand="0"/>
      </w:tblPr>
      <w:tblGrid>
        <w:gridCol w:w="2432"/>
        <w:gridCol w:w="4279"/>
        <w:gridCol w:w="2001"/>
      </w:tblGrid>
      <w:tr w:rsidR="00A74CDF" w:rsidRPr="00F01347" w14:paraId="6333FD1E" w14:textId="77777777">
        <w:trPr>
          <w:trHeight w:val="20"/>
        </w:trPr>
        <w:tc>
          <w:tcPr>
            <w:tcW w:w="2432" w:type="dxa"/>
            <w:tcBorders>
              <w:top w:val="single" w:sz="6" w:space="0" w:color="auto"/>
              <w:left w:val="single" w:sz="6" w:space="0" w:color="auto"/>
              <w:bottom w:val="single" w:sz="6" w:space="0" w:color="auto"/>
              <w:right w:val="single" w:sz="6" w:space="0" w:color="auto"/>
            </w:tcBorders>
            <w:shd w:val="clear" w:color="000000" w:fill="FFFFFF"/>
            <w:noWrap/>
          </w:tcPr>
          <w:p w14:paraId="47023FB3" w14:textId="77777777" w:rsidR="00A74CDF" w:rsidRPr="00F01347" w:rsidRDefault="00A74CDF" w:rsidP="003A601B">
            <w:pPr>
              <w:pStyle w:val="texto0"/>
              <w:spacing w:line="242" w:lineRule="exact"/>
              <w:ind w:firstLine="0"/>
              <w:jc w:val="center"/>
              <w:rPr>
                <w:rFonts w:ascii="Verdana" w:hAnsi="Verdana"/>
                <w:b/>
                <w:color w:val="000000"/>
                <w:sz w:val="16"/>
                <w:szCs w:val="16"/>
              </w:rPr>
            </w:pPr>
            <w:r w:rsidRPr="00F01347">
              <w:rPr>
                <w:rFonts w:ascii="Verdana" w:hAnsi="Verdana"/>
                <w:b/>
                <w:color w:val="000000"/>
                <w:sz w:val="16"/>
                <w:szCs w:val="16"/>
              </w:rPr>
              <w:t>Tiempo (min)</w:t>
            </w:r>
          </w:p>
        </w:tc>
        <w:tc>
          <w:tcPr>
            <w:tcW w:w="4279" w:type="dxa"/>
            <w:tcBorders>
              <w:top w:val="single" w:sz="6" w:space="0" w:color="auto"/>
              <w:left w:val="single" w:sz="6" w:space="0" w:color="auto"/>
              <w:bottom w:val="single" w:sz="6" w:space="0" w:color="auto"/>
              <w:right w:val="single" w:sz="6" w:space="0" w:color="auto"/>
            </w:tcBorders>
            <w:shd w:val="clear" w:color="000000" w:fill="FFFFFF"/>
          </w:tcPr>
          <w:p w14:paraId="3C5291F7" w14:textId="77777777" w:rsidR="00A74CDF" w:rsidRPr="00F01347" w:rsidRDefault="00A74CDF" w:rsidP="003A601B">
            <w:pPr>
              <w:pStyle w:val="texto0"/>
              <w:spacing w:line="242" w:lineRule="exact"/>
              <w:ind w:firstLine="0"/>
              <w:jc w:val="center"/>
              <w:rPr>
                <w:rFonts w:ascii="Verdana" w:hAnsi="Verdana"/>
                <w:b/>
                <w:color w:val="000000"/>
                <w:sz w:val="16"/>
                <w:szCs w:val="16"/>
              </w:rPr>
            </w:pPr>
            <w:r w:rsidRPr="00F01347">
              <w:rPr>
                <w:rFonts w:ascii="Verdana" w:hAnsi="Verdana"/>
                <w:b/>
                <w:color w:val="000000"/>
                <w:sz w:val="16"/>
                <w:szCs w:val="16"/>
              </w:rPr>
              <w:t>Formiato de amonio %20mM</w:t>
            </w:r>
          </w:p>
        </w:tc>
        <w:tc>
          <w:tcPr>
            <w:tcW w:w="2001" w:type="dxa"/>
            <w:tcBorders>
              <w:top w:val="single" w:sz="6" w:space="0" w:color="auto"/>
              <w:left w:val="single" w:sz="6" w:space="0" w:color="auto"/>
              <w:bottom w:val="single" w:sz="6" w:space="0" w:color="auto"/>
              <w:right w:val="single" w:sz="6" w:space="0" w:color="auto"/>
            </w:tcBorders>
            <w:shd w:val="clear" w:color="000000" w:fill="FFFFFF"/>
          </w:tcPr>
          <w:p w14:paraId="46B685B3" w14:textId="77777777" w:rsidR="00A74CDF" w:rsidRPr="00F01347" w:rsidRDefault="00A74CDF" w:rsidP="003A601B">
            <w:pPr>
              <w:pStyle w:val="texto0"/>
              <w:spacing w:line="242" w:lineRule="exact"/>
              <w:ind w:firstLine="0"/>
              <w:jc w:val="center"/>
              <w:rPr>
                <w:rFonts w:ascii="Verdana" w:hAnsi="Verdana"/>
                <w:b/>
                <w:color w:val="000000"/>
                <w:sz w:val="16"/>
                <w:szCs w:val="16"/>
              </w:rPr>
            </w:pPr>
            <w:r w:rsidRPr="00F01347">
              <w:rPr>
                <w:rFonts w:ascii="Verdana" w:hAnsi="Verdana"/>
                <w:b/>
                <w:color w:val="000000"/>
                <w:sz w:val="16"/>
                <w:szCs w:val="16"/>
              </w:rPr>
              <w:t>% metanol</w:t>
            </w:r>
          </w:p>
        </w:tc>
      </w:tr>
      <w:tr w:rsidR="00A74CDF" w:rsidRPr="00F01347" w14:paraId="41627940" w14:textId="77777777">
        <w:trPr>
          <w:trHeight w:val="20"/>
        </w:trPr>
        <w:tc>
          <w:tcPr>
            <w:tcW w:w="2432" w:type="dxa"/>
            <w:tcBorders>
              <w:top w:val="single" w:sz="6" w:space="0" w:color="auto"/>
              <w:left w:val="single" w:sz="6" w:space="0" w:color="auto"/>
              <w:bottom w:val="single" w:sz="6" w:space="0" w:color="auto"/>
              <w:right w:val="single" w:sz="6" w:space="0" w:color="auto"/>
            </w:tcBorders>
            <w:shd w:val="clear" w:color="000000" w:fill="FFFFFF"/>
          </w:tcPr>
          <w:p w14:paraId="5C82409D"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inicial</w:t>
            </w:r>
          </w:p>
        </w:tc>
        <w:tc>
          <w:tcPr>
            <w:tcW w:w="4279" w:type="dxa"/>
            <w:tcBorders>
              <w:top w:val="single" w:sz="6" w:space="0" w:color="auto"/>
              <w:left w:val="single" w:sz="6" w:space="0" w:color="auto"/>
              <w:bottom w:val="single" w:sz="6" w:space="0" w:color="auto"/>
              <w:right w:val="single" w:sz="6" w:space="0" w:color="auto"/>
            </w:tcBorders>
            <w:shd w:val="clear" w:color="000000" w:fill="FFFFFF"/>
          </w:tcPr>
          <w:p w14:paraId="0BF5A346"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90</w:t>
            </w:r>
          </w:p>
        </w:tc>
        <w:tc>
          <w:tcPr>
            <w:tcW w:w="2001" w:type="dxa"/>
            <w:tcBorders>
              <w:top w:val="single" w:sz="6" w:space="0" w:color="auto"/>
              <w:left w:val="single" w:sz="6" w:space="0" w:color="auto"/>
              <w:bottom w:val="single" w:sz="6" w:space="0" w:color="auto"/>
              <w:right w:val="single" w:sz="6" w:space="0" w:color="auto"/>
            </w:tcBorders>
            <w:shd w:val="clear" w:color="000000" w:fill="FFFFFF"/>
          </w:tcPr>
          <w:p w14:paraId="69857EE8"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10</w:t>
            </w:r>
          </w:p>
        </w:tc>
      </w:tr>
      <w:tr w:rsidR="00A74CDF" w:rsidRPr="00F01347" w14:paraId="6080A2EF" w14:textId="77777777">
        <w:trPr>
          <w:trHeight w:val="20"/>
        </w:trPr>
        <w:tc>
          <w:tcPr>
            <w:tcW w:w="2432" w:type="dxa"/>
            <w:tcBorders>
              <w:top w:val="single" w:sz="6" w:space="0" w:color="auto"/>
              <w:left w:val="single" w:sz="6" w:space="0" w:color="auto"/>
              <w:bottom w:val="single" w:sz="6" w:space="0" w:color="auto"/>
              <w:right w:val="single" w:sz="6" w:space="0" w:color="auto"/>
            </w:tcBorders>
            <w:shd w:val="clear" w:color="000000" w:fill="FFFFFF"/>
          </w:tcPr>
          <w:p w14:paraId="79D26676"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2.0</w:t>
            </w:r>
          </w:p>
        </w:tc>
        <w:tc>
          <w:tcPr>
            <w:tcW w:w="4279" w:type="dxa"/>
            <w:tcBorders>
              <w:top w:val="single" w:sz="6" w:space="0" w:color="auto"/>
              <w:left w:val="single" w:sz="6" w:space="0" w:color="auto"/>
              <w:bottom w:val="single" w:sz="6" w:space="0" w:color="auto"/>
              <w:right w:val="single" w:sz="6" w:space="0" w:color="auto"/>
            </w:tcBorders>
            <w:shd w:val="clear" w:color="000000" w:fill="FFFFFF"/>
          </w:tcPr>
          <w:p w14:paraId="17B1B162"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90</w:t>
            </w:r>
          </w:p>
        </w:tc>
        <w:tc>
          <w:tcPr>
            <w:tcW w:w="2001" w:type="dxa"/>
            <w:tcBorders>
              <w:top w:val="single" w:sz="6" w:space="0" w:color="auto"/>
              <w:left w:val="single" w:sz="6" w:space="0" w:color="auto"/>
              <w:bottom w:val="single" w:sz="6" w:space="0" w:color="auto"/>
              <w:right w:val="single" w:sz="6" w:space="0" w:color="auto"/>
            </w:tcBorders>
            <w:shd w:val="clear" w:color="000000" w:fill="FFFFFF"/>
          </w:tcPr>
          <w:p w14:paraId="16EEC177"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10</w:t>
            </w:r>
          </w:p>
        </w:tc>
      </w:tr>
      <w:tr w:rsidR="00A74CDF" w:rsidRPr="00F01347" w14:paraId="3FE849D1" w14:textId="77777777">
        <w:trPr>
          <w:trHeight w:val="20"/>
        </w:trPr>
        <w:tc>
          <w:tcPr>
            <w:tcW w:w="2432" w:type="dxa"/>
            <w:tcBorders>
              <w:top w:val="single" w:sz="6" w:space="0" w:color="auto"/>
              <w:left w:val="single" w:sz="6" w:space="0" w:color="auto"/>
              <w:bottom w:val="single" w:sz="6" w:space="0" w:color="auto"/>
              <w:right w:val="single" w:sz="6" w:space="0" w:color="auto"/>
            </w:tcBorders>
            <w:shd w:val="clear" w:color="000000" w:fill="FFFFFF"/>
          </w:tcPr>
          <w:p w14:paraId="41F78736"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16</w:t>
            </w:r>
          </w:p>
        </w:tc>
        <w:tc>
          <w:tcPr>
            <w:tcW w:w="4279" w:type="dxa"/>
            <w:tcBorders>
              <w:top w:val="single" w:sz="6" w:space="0" w:color="auto"/>
              <w:left w:val="single" w:sz="6" w:space="0" w:color="auto"/>
              <w:bottom w:val="single" w:sz="6" w:space="0" w:color="auto"/>
              <w:right w:val="single" w:sz="6" w:space="0" w:color="auto"/>
            </w:tcBorders>
            <w:shd w:val="clear" w:color="000000" w:fill="FFFFFF"/>
          </w:tcPr>
          <w:p w14:paraId="500AFB08"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20</w:t>
            </w:r>
          </w:p>
        </w:tc>
        <w:tc>
          <w:tcPr>
            <w:tcW w:w="2001" w:type="dxa"/>
            <w:tcBorders>
              <w:top w:val="single" w:sz="6" w:space="0" w:color="auto"/>
              <w:left w:val="single" w:sz="6" w:space="0" w:color="auto"/>
              <w:bottom w:val="single" w:sz="6" w:space="0" w:color="auto"/>
              <w:right w:val="single" w:sz="6" w:space="0" w:color="auto"/>
            </w:tcBorders>
            <w:shd w:val="clear" w:color="000000" w:fill="FFFFFF"/>
          </w:tcPr>
          <w:p w14:paraId="504D48A2"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80</w:t>
            </w:r>
          </w:p>
        </w:tc>
      </w:tr>
      <w:tr w:rsidR="00A74CDF" w:rsidRPr="00F01347" w14:paraId="2C437CBD" w14:textId="77777777">
        <w:trPr>
          <w:trHeight w:val="20"/>
        </w:trPr>
        <w:tc>
          <w:tcPr>
            <w:tcW w:w="2432" w:type="dxa"/>
            <w:tcBorders>
              <w:top w:val="single" w:sz="6" w:space="0" w:color="auto"/>
              <w:left w:val="single" w:sz="6" w:space="0" w:color="auto"/>
              <w:bottom w:val="single" w:sz="6" w:space="0" w:color="auto"/>
              <w:right w:val="single" w:sz="6" w:space="0" w:color="auto"/>
            </w:tcBorders>
            <w:shd w:val="clear" w:color="000000" w:fill="FFFFFF"/>
          </w:tcPr>
          <w:p w14:paraId="4D649E08"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16.1</w:t>
            </w:r>
          </w:p>
        </w:tc>
        <w:tc>
          <w:tcPr>
            <w:tcW w:w="4279" w:type="dxa"/>
            <w:tcBorders>
              <w:top w:val="single" w:sz="6" w:space="0" w:color="auto"/>
              <w:left w:val="single" w:sz="6" w:space="0" w:color="auto"/>
              <w:bottom w:val="single" w:sz="6" w:space="0" w:color="auto"/>
              <w:right w:val="single" w:sz="6" w:space="0" w:color="auto"/>
            </w:tcBorders>
            <w:shd w:val="clear" w:color="000000" w:fill="FFFFFF"/>
          </w:tcPr>
          <w:p w14:paraId="280F8135"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10</w:t>
            </w:r>
          </w:p>
        </w:tc>
        <w:tc>
          <w:tcPr>
            <w:tcW w:w="2001" w:type="dxa"/>
            <w:tcBorders>
              <w:top w:val="single" w:sz="6" w:space="0" w:color="auto"/>
              <w:left w:val="single" w:sz="6" w:space="0" w:color="auto"/>
              <w:bottom w:val="single" w:sz="6" w:space="0" w:color="auto"/>
              <w:right w:val="single" w:sz="6" w:space="0" w:color="auto"/>
            </w:tcBorders>
            <w:shd w:val="clear" w:color="000000" w:fill="FFFFFF"/>
          </w:tcPr>
          <w:p w14:paraId="75DCA219"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90</w:t>
            </w:r>
          </w:p>
        </w:tc>
      </w:tr>
      <w:tr w:rsidR="00A74CDF" w:rsidRPr="00F01347" w14:paraId="4508EB1D" w14:textId="77777777">
        <w:trPr>
          <w:trHeight w:val="20"/>
        </w:trPr>
        <w:tc>
          <w:tcPr>
            <w:tcW w:w="2432" w:type="dxa"/>
            <w:tcBorders>
              <w:top w:val="single" w:sz="6" w:space="0" w:color="auto"/>
              <w:left w:val="single" w:sz="6" w:space="0" w:color="auto"/>
              <w:bottom w:val="single" w:sz="6" w:space="0" w:color="auto"/>
              <w:right w:val="single" w:sz="6" w:space="0" w:color="auto"/>
            </w:tcBorders>
            <w:shd w:val="clear" w:color="000000" w:fill="FFFFFF"/>
          </w:tcPr>
          <w:p w14:paraId="3415289E"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22</w:t>
            </w:r>
          </w:p>
        </w:tc>
        <w:tc>
          <w:tcPr>
            <w:tcW w:w="4279" w:type="dxa"/>
            <w:tcBorders>
              <w:top w:val="single" w:sz="6" w:space="0" w:color="auto"/>
              <w:left w:val="single" w:sz="6" w:space="0" w:color="auto"/>
              <w:bottom w:val="single" w:sz="6" w:space="0" w:color="auto"/>
              <w:right w:val="single" w:sz="6" w:space="0" w:color="auto"/>
            </w:tcBorders>
            <w:shd w:val="clear" w:color="000000" w:fill="FFFFFF"/>
          </w:tcPr>
          <w:p w14:paraId="2AC3F397"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10</w:t>
            </w:r>
          </w:p>
        </w:tc>
        <w:tc>
          <w:tcPr>
            <w:tcW w:w="2001" w:type="dxa"/>
            <w:tcBorders>
              <w:top w:val="single" w:sz="6" w:space="0" w:color="auto"/>
              <w:left w:val="single" w:sz="6" w:space="0" w:color="auto"/>
              <w:bottom w:val="single" w:sz="6" w:space="0" w:color="auto"/>
              <w:right w:val="single" w:sz="6" w:space="0" w:color="auto"/>
            </w:tcBorders>
            <w:shd w:val="clear" w:color="000000" w:fill="FFFFFF"/>
          </w:tcPr>
          <w:p w14:paraId="3A64B88E"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90</w:t>
            </w:r>
          </w:p>
        </w:tc>
      </w:tr>
      <w:tr w:rsidR="00A74CDF" w:rsidRPr="00F01347" w14:paraId="43223336" w14:textId="77777777">
        <w:trPr>
          <w:trHeight w:val="20"/>
        </w:trPr>
        <w:tc>
          <w:tcPr>
            <w:tcW w:w="2432" w:type="dxa"/>
            <w:tcBorders>
              <w:top w:val="single" w:sz="6" w:space="0" w:color="auto"/>
              <w:left w:val="single" w:sz="6" w:space="0" w:color="auto"/>
              <w:bottom w:val="single" w:sz="6" w:space="0" w:color="auto"/>
              <w:right w:val="single" w:sz="6" w:space="0" w:color="auto"/>
            </w:tcBorders>
            <w:shd w:val="clear" w:color="000000" w:fill="FFFFFF"/>
          </w:tcPr>
          <w:p w14:paraId="023094FA"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22.1</w:t>
            </w:r>
          </w:p>
        </w:tc>
        <w:tc>
          <w:tcPr>
            <w:tcW w:w="4279" w:type="dxa"/>
            <w:tcBorders>
              <w:top w:val="single" w:sz="6" w:space="0" w:color="auto"/>
              <w:left w:val="single" w:sz="6" w:space="0" w:color="auto"/>
              <w:bottom w:val="single" w:sz="6" w:space="0" w:color="auto"/>
              <w:right w:val="single" w:sz="6" w:space="0" w:color="auto"/>
            </w:tcBorders>
            <w:shd w:val="clear" w:color="000000" w:fill="FFFFFF"/>
          </w:tcPr>
          <w:p w14:paraId="1CCFDB57"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90</w:t>
            </w:r>
          </w:p>
        </w:tc>
        <w:tc>
          <w:tcPr>
            <w:tcW w:w="2001" w:type="dxa"/>
            <w:tcBorders>
              <w:top w:val="single" w:sz="6" w:space="0" w:color="auto"/>
              <w:left w:val="single" w:sz="6" w:space="0" w:color="auto"/>
              <w:bottom w:val="single" w:sz="6" w:space="0" w:color="auto"/>
              <w:right w:val="single" w:sz="6" w:space="0" w:color="auto"/>
            </w:tcBorders>
            <w:shd w:val="clear" w:color="000000" w:fill="FFFFFF"/>
          </w:tcPr>
          <w:p w14:paraId="6D1E6C00"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10</w:t>
            </w:r>
          </w:p>
        </w:tc>
      </w:tr>
      <w:tr w:rsidR="00A74CDF" w:rsidRPr="00F01347" w14:paraId="1DE7BD14" w14:textId="77777777">
        <w:trPr>
          <w:trHeight w:val="20"/>
        </w:trPr>
        <w:tc>
          <w:tcPr>
            <w:tcW w:w="2432" w:type="dxa"/>
            <w:tcBorders>
              <w:top w:val="single" w:sz="6" w:space="0" w:color="auto"/>
              <w:left w:val="single" w:sz="6" w:space="0" w:color="auto"/>
              <w:bottom w:val="single" w:sz="6" w:space="0" w:color="auto"/>
              <w:right w:val="single" w:sz="6" w:space="0" w:color="auto"/>
            </w:tcBorders>
            <w:shd w:val="clear" w:color="000000" w:fill="FFFFFF"/>
          </w:tcPr>
          <w:p w14:paraId="12137829"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26</w:t>
            </w:r>
          </w:p>
        </w:tc>
        <w:tc>
          <w:tcPr>
            <w:tcW w:w="4279" w:type="dxa"/>
            <w:tcBorders>
              <w:top w:val="single" w:sz="6" w:space="0" w:color="auto"/>
              <w:left w:val="single" w:sz="6" w:space="0" w:color="auto"/>
              <w:bottom w:val="single" w:sz="6" w:space="0" w:color="auto"/>
              <w:right w:val="single" w:sz="6" w:space="0" w:color="auto"/>
            </w:tcBorders>
            <w:shd w:val="clear" w:color="000000" w:fill="FFFFFF"/>
          </w:tcPr>
          <w:p w14:paraId="0FF572B2"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90</w:t>
            </w:r>
          </w:p>
        </w:tc>
        <w:tc>
          <w:tcPr>
            <w:tcW w:w="2001" w:type="dxa"/>
            <w:tcBorders>
              <w:top w:val="single" w:sz="6" w:space="0" w:color="auto"/>
              <w:left w:val="single" w:sz="6" w:space="0" w:color="auto"/>
              <w:bottom w:val="single" w:sz="6" w:space="0" w:color="auto"/>
              <w:right w:val="single" w:sz="6" w:space="0" w:color="auto"/>
            </w:tcBorders>
            <w:shd w:val="clear" w:color="000000" w:fill="FFFFFF"/>
          </w:tcPr>
          <w:p w14:paraId="563DDA2C" w14:textId="77777777" w:rsidR="00A74CDF" w:rsidRPr="00F01347" w:rsidRDefault="00A74CDF" w:rsidP="003A601B">
            <w:pPr>
              <w:pStyle w:val="texto0"/>
              <w:spacing w:line="242" w:lineRule="exact"/>
              <w:ind w:firstLine="0"/>
              <w:jc w:val="center"/>
              <w:rPr>
                <w:rFonts w:ascii="Verdana" w:hAnsi="Verdana"/>
                <w:color w:val="000000"/>
                <w:sz w:val="16"/>
                <w:szCs w:val="16"/>
              </w:rPr>
            </w:pPr>
            <w:r w:rsidRPr="00F01347">
              <w:rPr>
                <w:rFonts w:ascii="Verdana" w:hAnsi="Verdana"/>
                <w:color w:val="000000"/>
                <w:sz w:val="16"/>
                <w:szCs w:val="16"/>
              </w:rPr>
              <w:t>10</w:t>
            </w:r>
          </w:p>
        </w:tc>
      </w:tr>
      <w:tr w:rsidR="00A74CDF" w:rsidRPr="00F01347" w14:paraId="58C559B2" w14:textId="77777777">
        <w:trPr>
          <w:trHeight w:val="20"/>
        </w:trPr>
        <w:tc>
          <w:tcPr>
            <w:tcW w:w="8712" w:type="dxa"/>
            <w:gridSpan w:val="3"/>
            <w:tcBorders>
              <w:top w:val="single" w:sz="6" w:space="0" w:color="auto"/>
            </w:tcBorders>
            <w:shd w:val="clear" w:color="000000" w:fill="FFFFFF"/>
          </w:tcPr>
          <w:p w14:paraId="5E4D5BBD" w14:textId="77777777" w:rsidR="00A74CDF" w:rsidRPr="00F01347" w:rsidRDefault="00A74CDF" w:rsidP="003A601B">
            <w:pPr>
              <w:pStyle w:val="texto0"/>
              <w:spacing w:line="242" w:lineRule="exact"/>
              <w:ind w:firstLine="0"/>
              <w:rPr>
                <w:rFonts w:ascii="Verdana" w:hAnsi="Verdana"/>
                <w:color w:val="000000"/>
                <w:sz w:val="16"/>
                <w:szCs w:val="16"/>
              </w:rPr>
            </w:pPr>
            <w:r w:rsidRPr="00F01347">
              <w:rPr>
                <w:rFonts w:ascii="Verdana" w:hAnsi="Verdana"/>
                <w:color w:val="000000"/>
                <w:sz w:val="16"/>
                <w:szCs w:val="16"/>
              </w:rPr>
              <w:t xml:space="preserve">Columna </w:t>
            </w:r>
            <w:proofErr w:type="spellStart"/>
            <w:r w:rsidRPr="00F01347">
              <w:rPr>
                <w:rFonts w:ascii="Verdana" w:hAnsi="Verdana"/>
                <w:color w:val="000000"/>
                <w:sz w:val="16"/>
                <w:szCs w:val="16"/>
              </w:rPr>
              <w:t>Phenomenex</w:t>
            </w:r>
            <w:proofErr w:type="spellEnd"/>
            <w:r w:rsidRPr="00F01347">
              <w:rPr>
                <w:rFonts w:ascii="Verdana" w:hAnsi="Verdana"/>
                <w:color w:val="000000"/>
                <w:sz w:val="16"/>
                <w:szCs w:val="16"/>
              </w:rPr>
              <w:t xml:space="preserve"> </w:t>
            </w:r>
            <w:proofErr w:type="spellStart"/>
            <w:r w:rsidRPr="00F01347">
              <w:rPr>
                <w:rFonts w:ascii="Verdana" w:hAnsi="Verdana"/>
                <w:color w:val="000000"/>
                <w:sz w:val="16"/>
                <w:szCs w:val="16"/>
              </w:rPr>
              <w:t>Kinetex</w:t>
            </w:r>
            <w:proofErr w:type="spellEnd"/>
            <w:r w:rsidRPr="00F01347">
              <w:rPr>
                <w:rFonts w:ascii="Verdana" w:hAnsi="Verdana"/>
                <w:color w:val="000000"/>
                <w:sz w:val="16"/>
                <w:szCs w:val="16"/>
              </w:rPr>
              <w:t xml:space="preserve"> C8, 2.6 µm, 2.1 x 100 mm Rango de flujo de 0.3 </w:t>
            </w:r>
            <w:proofErr w:type="spellStart"/>
            <w:r w:rsidRPr="00F01347">
              <w:rPr>
                <w:rFonts w:ascii="Verdana" w:hAnsi="Verdana"/>
                <w:color w:val="000000"/>
                <w:sz w:val="16"/>
                <w:szCs w:val="16"/>
              </w:rPr>
              <w:t>mL</w:t>
            </w:r>
            <w:proofErr w:type="spellEnd"/>
            <w:r w:rsidRPr="00F01347">
              <w:rPr>
                <w:rFonts w:ascii="Verdana" w:hAnsi="Verdana"/>
                <w:color w:val="000000"/>
                <w:sz w:val="16"/>
                <w:szCs w:val="16"/>
              </w:rPr>
              <w:t>/min inyección "</w:t>
            </w:r>
            <w:proofErr w:type="spellStart"/>
            <w:r w:rsidRPr="00F01347">
              <w:rPr>
                <w:rFonts w:ascii="Verdana" w:hAnsi="Verdana"/>
                <w:color w:val="000000"/>
                <w:sz w:val="16"/>
                <w:szCs w:val="16"/>
              </w:rPr>
              <w:t>partial</w:t>
            </w:r>
            <w:proofErr w:type="spellEnd"/>
            <w:r w:rsidRPr="00F01347">
              <w:rPr>
                <w:rFonts w:ascii="Verdana" w:hAnsi="Verdana"/>
                <w:color w:val="000000"/>
                <w:sz w:val="16"/>
                <w:szCs w:val="16"/>
              </w:rPr>
              <w:t xml:space="preserve"> </w:t>
            </w:r>
            <w:proofErr w:type="spellStart"/>
            <w:r w:rsidRPr="00F01347">
              <w:rPr>
                <w:rFonts w:ascii="Verdana" w:hAnsi="Verdana"/>
                <w:color w:val="000000"/>
                <w:sz w:val="16"/>
                <w:szCs w:val="16"/>
              </w:rPr>
              <w:t>loop</w:t>
            </w:r>
            <w:proofErr w:type="spellEnd"/>
            <w:r w:rsidRPr="00F01347">
              <w:rPr>
                <w:rFonts w:ascii="Verdana" w:hAnsi="Verdana"/>
                <w:color w:val="000000"/>
                <w:sz w:val="16"/>
                <w:szCs w:val="16"/>
              </w:rPr>
              <w:t xml:space="preserve">" de 10 µL en un </w:t>
            </w:r>
            <w:proofErr w:type="spellStart"/>
            <w:r w:rsidRPr="00F01347">
              <w:rPr>
                <w:rFonts w:ascii="Verdana" w:hAnsi="Verdana"/>
                <w:color w:val="000000"/>
                <w:sz w:val="16"/>
                <w:szCs w:val="16"/>
              </w:rPr>
              <w:t>loop</w:t>
            </w:r>
            <w:proofErr w:type="spellEnd"/>
            <w:r w:rsidRPr="00F01347">
              <w:rPr>
                <w:rFonts w:ascii="Verdana" w:hAnsi="Verdana"/>
                <w:color w:val="000000"/>
                <w:sz w:val="16"/>
                <w:szCs w:val="16"/>
              </w:rPr>
              <w:t xml:space="preserve"> de 20 µL</w:t>
            </w:r>
          </w:p>
        </w:tc>
      </w:tr>
    </w:tbl>
    <w:p w14:paraId="4CEF8538" w14:textId="77777777" w:rsidR="003B0C1F" w:rsidRPr="00F01347" w:rsidRDefault="003B0C1F" w:rsidP="003A601B">
      <w:pPr>
        <w:pStyle w:val="texto0"/>
        <w:ind w:firstLine="0"/>
        <w:jc w:val="center"/>
        <w:rPr>
          <w:rFonts w:ascii="Verdana" w:hAnsi="Verdana"/>
          <w:b/>
          <w:color w:val="000000"/>
          <w:sz w:val="16"/>
          <w:szCs w:val="16"/>
        </w:rPr>
      </w:pPr>
    </w:p>
    <w:p w14:paraId="4B60EF3C" w14:textId="77777777" w:rsidR="003B0C1F" w:rsidRPr="00FC516A" w:rsidRDefault="003B0C1F" w:rsidP="003B0C1F">
      <w:pPr>
        <w:pStyle w:val="texto0"/>
        <w:spacing w:line="242" w:lineRule="exact"/>
        <w:ind w:firstLine="0"/>
        <w:jc w:val="center"/>
        <w:rPr>
          <w:rFonts w:ascii="Verdana" w:hAnsi="Verdana"/>
          <w:color w:val="000000"/>
          <w:sz w:val="16"/>
          <w:szCs w:val="16"/>
          <w:lang w:val="en-US"/>
        </w:rPr>
      </w:pPr>
      <w:r w:rsidRPr="00FC516A">
        <w:rPr>
          <w:rFonts w:ascii="Verdana" w:hAnsi="Verdana"/>
          <w:b/>
          <w:color w:val="000000"/>
          <w:sz w:val="16"/>
          <w:szCs w:val="16"/>
          <w:lang w:val="en-US"/>
        </w:rPr>
        <w:t xml:space="preserve">Table B.1.2-6. </w:t>
      </w:r>
      <w:r w:rsidRPr="00FC516A">
        <w:rPr>
          <w:rFonts w:ascii="Verdana" w:hAnsi="Verdana"/>
          <w:color w:val="000000"/>
          <w:sz w:val="16"/>
          <w:szCs w:val="16"/>
          <w:lang w:val="en-US"/>
        </w:rPr>
        <w:t>LC method conditions</w:t>
      </w:r>
    </w:p>
    <w:tbl>
      <w:tblPr>
        <w:tblW w:w="8715" w:type="dxa"/>
        <w:tblInd w:w="144" w:type="dxa"/>
        <w:tblLayout w:type="fixed"/>
        <w:tblCellMar>
          <w:left w:w="70" w:type="dxa"/>
          <w:right w:w="70" w:type="dxa"/>
        </w:tblCellMar>
        <w:tblLook w:val="04A0" w:firstRow="1" w:lastRow="0" w:firstColumn="1" w:lastColumn="0" w:noHBand="0" w:noVBand="1"/>
      </w:tblPr>
      <w:tblGrid>
        <w:gridCol w:w="2433"/>
        <w:gridCol w:w="4280"/>
        <w:gridCol w:w="2002"/>
      </w:tblGrid>
      <w:tr w:rsidR="003B0C1F" w:rsidRPr="00FC516A" w14:paraId="40FDD6D8" w14:textId="77777777" w:rsidTr="003B0C1F">
        <w:trPr>
          <w:trHeight w:val="20"/>
        </w:trPr>
        <w:tc>
          <w:tcPr>
            <w:tcW w:w="2432" w:type="dxa"/>
            <w:tcBorders>
              <w:top w:val="single" w:sz="6" w:space="0" w:color="auto"/>
              <w:left w:val="single" w:sz="6" w:space="0" w:color="auto"/>
              <w:bottom w:val="single" w:sz="6" w:space="0" w:color="auto"/>
              <w:right w:val="single" w:sz="6" w:space="0" w:color="auto"/>
            </w:tcBorders>
            <w:shd w:val="clear" w:color="auto" w:fill="FFFFFF"/>
            <w:noWrap/>
            <w:hideMark/>
          </w:tcPr>
          <w:p w14:paraId="60C6AB0C" w14:textId="77777777" w:rsidR="003B0C1F" w:rsidRPr="00FC516A" w:rsidRDefault="003B0C1F">
            <w:pPr>
              <w:pStyle w:val="texto0"/>
              <w:spacing w:line="242" w:lineRule="exact"/>
              <w:ind w:firstLine="0"/>
              <w:jc w:val="center"/>
              <w:rPr>
                <w:rFonts w:ascii="Verdana" w:hAnsi="Verdana"/>
                <w:b/>
                <w:color w:val="000000"/>
                <w:sz w:val="16"/>
                <w:szCs w:val="16"/>
                <w:lang w:val="en-US"/>
              </w:rPr>
            </w:pPr>
            <w:r w:rsidRPr="00FC516A">
              <w:rPr>
                <w:rFonts w:ascii="Verdana" w:hAnsi="Verdana"/>
                <w:b/>
                <w:color w:val="000000"/>
                <w:sz w:val="16"/>
                <w:szCs w:val="16"/>
                <w:lang w:val="en-US"/>
              </w:rPr>
              <w:t>Time (min)</w:t>
            </w:r>
          </w:p>
        </w:tc>
        <w:tc>
          <w:tcPr>
            <w:tcW w:w="4279" w:type="dxa"/>
            <w:tcBorders>
              <w:top w:val="single" w:sz="6" w:space="0" w:color="auto"/>
              <w:left w:val="single" w:sz="6" w:space="0" w:color="auto"/>
              <w:bottom w:val="single" w:sz="6" w:space="0" w:color="auto"/>
              <w:right w:val="single" w:sz="6" w:space="0" w:color="auto"/>
            </w:tcBorders>
            <w:shd w:val="clear" w:color="auto" w:fill="FFFFFF"/>
            <w:hideMark/>
          </w:tcPr>
          <w:p w14:paraId="409CD037" w14:textId="77777777" w:rsidR="003B0C1F" w:rsidRPr="00FC516A" w:rsidRDefault="003B0C1F">
            <w:pPr>
              <w:pStyle w:val="texto0"/>
              <w:spacing w:line="242" w:lineRule="exact"/>
              <w:ind w:firstLine="0"/>
              <w:jc w:val="center"/>
              <w:rPr>
                <w:rFonts w:ascii="Verdana" w:hAnsi="Verdana"/>
                <w:b/>
                <w:color w:val="000000"/>
                <w:sz w:val="16"/>
                <w:szCs w:val="16"/>
                <w:lang w:val="en-US"/>
              </w:rPr>
            </w:pPr>
            <w:r w:rsidRPr="00FC516A">
              <w:rPr>
                <w:rFonts w:ascii="Verdana" w:hAnsi="Verdana"/>
                <w:b/>
                <w:color w:val="000000"/>
                <w:sz w:val="16"/>
                <w:szCs w:val="16"/>
                <w:lang w:val="en-US"/>
              </w:rPr>
              <w:t>Ammonium formate %20mM</w:t>
            </w:r>
          </w:p>
        </w:tc>
        <w:tc>
          <w:tcPr>
            <w:tcW w:w="2001" w:type="dxa"/>
            <w:tcBorders>
              <w:top w:val="single" w:sz="6" w:space="0" w:color="auto"/>
              <w:left w:val="single" w:sz="6" w:space="0" w:color="auto"/>
              <w:bottom w:val="single" w:sz="6" w:space="0" w:color="auto"/>
              <w:right w:val="single" w:sz="6" w:space="0" w:color="auto"/>
            </w:tcBorders>
            <w:shd w:val="clear" w:color="auto" w:fill="FFFFFF"/>
            <w:hideMark/>
          </w:tcPr>
          <w:p w14:paraId="5AEC9430" w14:textId="77777777" w:rsidR="003B0C1F" w:rsidRPr="00FC516A" w:rsidRDefault="003B0C1F">
            <w:pPr>
              <w:pStyle w:val="texto0"/>
              <w:spacing w:line="242" w:lineRule="exact"/>
              <w:ind w:firstLine="0"/>
              <w:jc w:val="center"/>
              <w:rPr>
                <w:rFonts w:ascii="Verdana" w:hAnsi="Verdana"/>
                <w:b/>
                <w:color w:val="000000"/>
                <w:sz w:val="16"/>
                <w:szCs w:val="16"/>
                <w:lang w:val="en-US"/>
              </w:rPr>
            </w:pPr>
            <w:r w:rsidRPr="00FC516A">
              <w:rPr>
                <w:rFonts w:ascii="Verdana" w:hAnsi="Verdana"/>
                <w:b/>
                <w:color w:val="000000"/>
                <w:sz w:val="16"/>
                <w:szCs w:val="16"/>
                <w:lang w:val="en-US"/>
              </w:rPr>
              <w:t>% methanol</w:t>
            </w:r>
          </w:p>
        </w:tc>
      </w:tr>
      <w:tr w:rsidR="003B0C1F" w:rsidRPr="00FC516A" w14:paraId="1FC510EF" w14:textId="77777777" w:rsidTr="003B0C1F">
        <w:trPr>
          <w:trHeight w:val="20"/>
        </w:trPr>
        <w:tc>
          <w:tcPr>
            <w:tcW w:w="2432" w:type="dxa"/>
            <w:tcBorders>
              <w:top w:val="single" w:sz="6" w:space="0" w:color="auto"/>
              <w:left w:val="single" w:sz="6" w:space="0" w:color="auto"/>
              <w:bottom w:val="single" w:sz="6" w:space="0" w:color="auto"/>
              <w:right w:val="single" w:sz="6" w:space="0" w:color="auto"/>
            </w:tcBorders>
            <w:shd w:val="clear" w:color="auto" w:fill="FFFFFF"/>
            <w:hideMark/>
          </w:tcPr>
          <w:p w14:paraId="6527FB67"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initial</w:t>
            </w:r>
          </w:p>
        </w:tc>
        <w:tc>
          <w:tcPr>
            <w:tcW w:w="4279" w:type="dxa"/>
            <w:tcBorders>
              <w:top w:val="single" w:sz="6" w:space="0" w:color="auto"/>
              <w:left w:val="single" w:sz="6" w:space="0" w:color="auto"/>
              <w:bottom w:val="single" w:sz="6" w:space="0" w:color="auto"/>
              <w:right w:val="single" w:sz="6" w:space="0" w:color="auto"/>
            </w:tcBorders>
            <w:shd w:val="clear" w:color="auto" w:fill="FFFFFF"/>
            <w:hideMark/>
          </w:tcPr>
          <w:p w14:paraId="49E47D94"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90</w:t>
            </w:r>
          </w:p>
        </w:tc>
        <w:tc>
          <w:tcPr>
            <w:tcW w:w="2001" w:type="dxa"/>
            <w:tcBorders>
              <w:top w:val="single" w:sz="6" w:space="0" w:color="auto"/>
              <w:left w:val="single" w:sz="6" w:space="0" w:color="auto"/>
              <w:bottom w:val="single" w:sz="6" w:space="0" w:color="auto"/>
              <w:right w:val="single" w:sz="6" w:space="0" w:color="auto"/>
            </w:tcBorders>
            <w:shd w:val="clear" w:color="auto" w:fill="FFFFFF"/>
            <w:hideMark/>
          </w:tcPr>
          <w:p w14:paraId="5DB26477"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10</w:t>
            </w:r>
          </w:p>
        </w:tc>
      </w:tr>
      <w:tr w:rsidR="003B0C1F" w:rsidRPr="00FC516A" w14:paraId="39E3B1A8" w14:textId="77777777" w:rsidTr="003B0C1F">
        <w:trPr>
          <w:trHeight w:val="20"/>
        </w:trPr>
        <w:tc>
          <w:tcPr>
            <w:tcW w:w="2432" w:type="dxa"/>
            <w:tcBorders>
              <w:top w:val="single" w:sz="6" w:space="0" w:color="auto"/>
              <w:left w:val="single" w:sz="6" w:space="0" w:color="auto"/>
              <w:bottom w:val="single" w:sz="6" w:space="0" w:color="auto"/>
              <w:right w:val="single" w:sz="6" w:space="0" w:color="auto"/>
            </w:tcBorders>
            <w:shd w:val="clear" w:color="auto" w:fill="FFFFFF"/>
            <w:hideMark/>
          </w:tcPr>
          <w:p w14:paraId="66276349"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2.0</w:t>
            </w:r>
          </w:p>
        </w:tc>
        <w:tc>
          <w:tcPr>
            <w:tcW w:w="4279" w:type="dxa"/>
            <w:tcBorders>
              <w:top w:val="single" w:sz="6" w:space="0" w:color="auto"/>
              <w:left w:val="single" w:sz="6" w:space="0" w:color="auto"/>
              <w:bottom w:val="single" w:sz="6" w:space="0" w:color="auto"/>
              <w:right w:val="single" w:sz="6" w:space="0" w:color="auto"/>
            </w:tcBorders>
            <w:shd w:val="clear" w:color="auto" w:fill="FFFFFF"/>
            <w:hideMark/>
          </w:tcPr>
          <w:p w14:paraId="1018C5C8"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90</w:t>
            </w:r>
          </w:p>
        </w:tc>
        <w:tc>
          <w:tcPr>
            <w:tcW w:w="2001" w:type="dxa"/>
            <w:tcBorders>
              <w:top w:val="single" w:sz="6" w:space="0" w:color="auto"/>
              <w:left w:val="single" w:sz="6" w:space="0" w:color="auto"/>
              <w:bottom w:val="single" w:sz="6" w:space="0" w:color="auto"/>
              <w:right w:val="single" w:sz="6" w:space="0" w:color="auto"/>
            </w:tcBorders>
            <w:shd w:val="clear" w:color="auto" w:fill="FFFFFF"/>
            <w:hideMark/>
          </w:tcPr>
          <w:p w14:paraId="21685077"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10</w:t>
            </w:r>
          </w:p>
        </w:tc>
      </w:tr>
      <w:tr w:rsidR="003B0C1F" w:rsidRPr="00FC516A" w14:paraId="7DF2B315" w14:textId="77777777" w:rsidTr="003B0C1F">
        <w:trPr>
          <w:trHeight w:val="20"/>
        </w:trPr>
        <w:tc>
          <w:tcPr>
            <w:tcW w:w="2432" w:type="dxa"/>
            <w:tcBorders>
              <w:top w:val="single" w:sz="6" w:space="0" w:color="auto"/>
              <w:left w:val="single" w:sz="6" w:space="0" w:color="auto"/>
              <w:bottom w:val="single" w:sz="6" w:space="0" w:color="auto"/>
              <w:right w:val="single" w:sz="6" w:space="0" w:color="auto"/>
            </w:tcBorders>
            <w:shd w:val="clear" w:color="auto" w:fill="FFFFFF"/>
            <w:hideMark/>
          </w:tcPr>
          <w:p w14:paraId="6F235E5C"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16</w:t>
            </w:r>
          </w:p>
        </w:tc>
        <w:tc>
          <w:tcPr>
            <w:tcW w:w="4279" w:type="dxa"/>
            <w:tcBorders>
              <w:top w:val="single" w:sz="6" w:space="0" w:color="auto"/>
              <w:left w:val="single" w:sz="6" w:space="0" w:color="auto"/>
              <w:bottom w:val="single" w:sz="6" w:space="0" w:color="auto"/>
              <w:right w:val="single" w:sz="6" w:space="0" w:color="auto"/>
            </w:tcBorders>
            <w:shd w:val="clear" w:color="auto" w:fill="FFFFFF"/>
            <w:hideMark/>
          </w:tcPr>
          <w:p w14:paraId="3AE7D194" w14:textId="08D99A88" w:rsidR="003B0C1F" w:rsidRPr="00FC516A" w:rsidRDefault="00641AC5">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20</w:t>
            </w:r>
          </w:p>
        </w:tc>
        <w:tc>
          <w:tcPr>
            <w:tcW w:w="2001" w:type="dxa"/>
            <w:tcBorders>
              <w:top w:val="single" w:sz="6" w:space="0" w:color="auto"/>
              <w:left w:val="single" w:sz="6" w:space="0" w:color="auto"/>
              <w:bottom w:val="single" w:sz="6" w:space="0" w:color="auto"/>
              <w:right w:val="single" w:sz="6" w:space="0" w:color="auto"/>
            </w:tcBorders>
            <w:shd w:val="clear" w:color="auto" w:fill="FFFFFF"/>
            <w:hideMark/>
          </w:tcPr>
          <w:p w14:paraId="6A5FF2CE"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80</w:t>
            </w:r>
          </w:p>
        </w:tc>
      </w:tr>
      <w:tr w:rsidR="003B0C1F" w:rsidRPr="00FC516A" w14:paraId="10DD60A4" w14:textId="77777777" w:rsidTr="003B0C1F">
        <w:trPr>
          <w:trHeight w:val="20"/>
        </w:trPr>
        <w:tc>
          <w:tcPr>
            <w:tcW w:w="2432" w:type="dxa"/>
            <w:tcBorders>
              <w:top w:val="single" w:sz="6" w:space="0" w:color="auto"/>
              <w:left w:val="single" w:sz="6" w:space="0" w:color="auto"/>
              <w:bottom w:val="single" w:sz="6" w:space="0" w:color="auto"/>
              <w:right w:val="single" w:sz="6" w:space="0" w:color="auto"/>
            </w:tcBorders>
            <w:shd w:val="clear" w:color="auto" w:fill="FFFFFF"/>
            <w:hideMark/>
          </w:tcPr>
          <w:p w14:paraId="62CD1C32"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16.1</w:t>
            </w:r>
          </w:p>
        </w:tc>
        <w:tc>
          <w:tcPr>
            <w:tcW w:w="4279" w:type="dxa"/>
            <w:tcBorders>
              <w:top w:val="single" w:sz="6" w:space="0" w:color="auto"/>
              <w:left w:val="single" w:sz="6" w:space="0" w:color="auto"/>
              <w:bottom w:val="single" w:sz="6" w:space="0" w:color="auto"/>
              <w:right w:val="single" w:sz="6" w:space="0" w:color="auto"/>
            </w:tcBorders>
            <w:shd w:val="clear" w:color="auto" w:fill="FFFFFF"/>
            <w:hideMark/>
          </w:tcPr>
          <w:p w14:paraId="71BF95D5"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10</w:t>
            </w:r>
          </w:p>
        </w:tc>
        <w:tc>
          <w:tcPr>
            <w:tcW w:w="2001" w:type="dxa"/>
            <w:tcBorders>
              <w:top w:val="single" w:sz="6" w:space="0" w:color="auto"/>
              <w:left w:val="single" w:sz="6" w:space="0" w:color="auto"/>
              <w:bottom w:val="single" w:sz="6" w:space="0" w:color="auto"/>
              <w:right w:val="single" w:sz="6" w:space="0" w:color="auto"/>
            </w:tcBorders>
            <w:shd w:val="clear" w:color="auto" w:fill="FFFFFF"/>
            <w:hideMark/>
          </w:tcPr>
          <w:p w14:paraId="5DE40D41"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90</w:t>
            </w:r>
          </w:p>
        </w:tc>
      </w:tr>
      <w:tr w:rsidR="003B0C1F" w:rsidRPr="00FC516A" w14:paraId="3097611B" w14:textId="77777777" w:rsidTr="003B0C1F">
        <w:trPr>
          <w:trHeight w:val="20"/>
        </w:trPr>
        <w:tc>
          <w:tcPr>
            <w:tcW w:w="2432" w:type="dxa"/>
            <w:tcBorders>
              <w:top w:val="single" w:sz="6" w:space="0" w:color="auto"/>
              <w:left w:val="single" w:sz="6" w:space="0" w:color="auto"/>
              <w:bottom w:val="single" w:sz="6" w:space="0" w:color="auto"/>
              <w:right w:val="single" w:sz="6" w:space="0" w:color="auto"/>
            </w:tcBorders>
            <w:shd w:val="clear" w:color="auto" w:fill="FFFFFF"/>
            <w:hideMark/>
          </w:tcPr>
          <w:p w14:paraId="17D127E1"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22</w:t>
            </w:r>
          </w:p>
        </w:tc>
        <w:tc>
          <w:tcPr>
            <w:tcW w:w="4279" w:type="dxa"/>
            <w:tcBorders>
              <w:top w:val="single" w:sz="6" w:space="0" w:color="auto"/>
              <w:left w:val="single" w:sz="6" w:space="0" w:color="auto"/>
              <w:bottom w:val="single" w:sz="6" w:space="0" w:color="auto"/>
              <w:right w:val="single" w:sz="6" w:space="0" w:color="auto"/>
            </w:tcBorders>
            <w:shd w:val="clear" w:color="auto" w:fill="FFFFFF"/>
            <w:hideMark/>
          </w:tcPr>
          <w:p w14:paraId="4DF3B456"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10</w:t>
            </w:r>
          </w:p>
        </w:tc>
        <w:tc>
          <w:tcPr>
            <w:tcW w:w="2001" w:type="dxa"/>
            <w:tcBorders>
              <w:top w:val="single" w:sz="6" w:space="0" w:color="auto"/>
              <w:left w:val="single" w:sz="6" w:space="0" w:color="auto"/>
              <w:bottom w:val="single" w:sz="6" w:space="0" w:color="auto"/>
              <w:right w:val="single" w:sz="6" w:space="0" w:color="auto"/>
            </w:tcBorders>
            <w:shd w:val="clear" w:color="auto" w:fill="FFFFFF"/>
            <w:hideMark/>
          </w:tcPr>
          <w:p w14:paraId="195A19AA"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90</w:t>
            </w:r>
          </w:p>
        </w:tc>
      </w:tr>
      <w:tr w:rsidR="003B0C1F" w:rsidRPr="00FC516A" w14:paraId="57D221B5" w14:textId="77777777" w:rsidTr="003B0C1F">
        <w:trPr>
          <w:trHeight w:val="20"/>
        </w:trPr>
        <w:tc>
          <w:tcPr>
            <w:tcW w:w="2432" w:type="dxa"/>
            <w:tcBorders>
              <w:top w:val="single" w:sz="6" w:space="0" w:color="auto"/>
              <w:left w:val="single" w:sz="6" w:space="0" w:color="auto"/>
              <w:bottom w:val="single" w:sz="6" w:space="0" w:color="auto"/>
              <w:right w:val="single" w:sz="6" w:space="0" w:color="auto"/>
            </w:tcBorders>
            <w:shd w:val="clear" w:color="auto" w:fill="FFFFFF"/>
            <w:hideMark/>
          </w:tcPr>
          <w:p w14:paraId="3A751430"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22.1</w:t>
            </w:r>
          </w:p>
        </w:tc>
        <w:tc>
          <w:tcPr>
            <w:tcW w:w="4279" w:type="dxa"/>
            <w:tcBorders>
              <w:top w:val="single" w:sz="6" w:space="0" w:color="auto"/>
              <w:left w:val="single" w:sz="6" w:space="0" w:color="auto"/>
              <w:bottom w:val="single" w:sz="6" w:space="0" w:color="auto"/>
              <w:right w:val="single" w:sz="6" w:space="0" w:color="auto"/>
            </w:tcBorders>
            <w:shd w:val="clear" w:color="auto" w:fill="FFFFFF"/>
            <w:hideMark/>
          </w:tcPr>
          <w:p w14:paraId="389444F0"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90</w:t>
            </w:r>
          </w:p>
        </w:tc>
        <w:tc>
          <w:tcPr>
            <w:tcW w:w="2001" w:type="dxa"/>
            <w:tcBorders>
              <w:top w:val="single" w:sz="6" w:space="0" w:color="auto"/>
              <w:left w:val="single" w:sz="6" w:space="0" w:color="auto"/>
              <w:bottom w:val="single" w:sz="6" w:space="0" w:color="auto"/>
              <w:right w:val="single" w:sz="6" w:space="0" w:color="auto"/>
            </w:tcBorders>
            <w:shd w:val="clear" w:color="auto" w:fill="FFFFFF"/>
            <w:hideMark/>
          </w:tcPr>
          <w:p w14:paraId="2B257A50"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10</w:t>
            </w:r>
          </w:p>
        </w:tc>
      </w:tr>
      <w:tr w:rsidR="003B0C1F" w:rsidRPr="00FC516A" w14:paraId="1D6BE0DE" w14:textId="77777777" w:rsidTr="003B0C1F">
        <w:trPr>
          <w:trHeight w:val="20"/>
        </w:trPr>
        <w:tc>
          <w:tcPr>
            <w:tcW w:w="2432" w:type="dxa"/>
            <w:tcBorders>
              <w:top w:val="single" w:sz="6" w:space="0" w:color="auto"/>
              <w:left w:val="single" w:sz="6" w:space="0" w:color="auto"/>
              <w:bottom w:val="single" w:sz="6" w:space="0" w:color="auto"/>
              <w:right w:val="single" w:sz="6" w:space="0" w:color="auto"/>
            </w:tcBorders>
            <w:shd w:val="clear" w:color="auto" w:fill="FFFFFF"/>
            <w:hideMark/>
          </w:tcPr>
          <w:p w14:paraId="33640402"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26</w:t>
            </w:r>
          </w:p>
        </w:tc>
        <w:tc>
          <w:tcPr>
            <w:tcW w:w="4279" w:type="dxa"/>
            <w:tcBorders>
              <w:top w:val="single" w:sz="6" w:space="0" w:color="auto"/>
              <w:left w:val="single" w:sz="6" w:space="0" w:color="auto"/>
              <w:bottom w:val="single" w:sz="6" w:space="0" w:color="auto"/>
              <w:right w:val="single" w:sz="6" w:space="0" w:color="auto"/>
            </w:tcBorders>
            <w:shd w:val="clear" w:color="auto" w:fill="FFFFFF"/>
            <w:hideMark/>
          </w:tcPr>
          <w:p w14:paraId="1EFA7FBE"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90</w:t>
            </w:r>
          </w:p>
        </w:tc>
        <w:tc>
          <w:tcPr>
            <w:tcW w:w="2001" w:type="dxa"/>
            <w:tcBorders>
              <w:top w:val="single" w:sz="6" w:space="0" w:color="auto"/>
              <w:left w:val="single" w:sz="6" w:space="0" w:color="auto"/>
              <w:bottom w:val="single" w:sz="6" w:space="0" w:color="auto"/>
              <w:right w:val="single" w:sz="6" w:space="0" w:color="auto"/>
            </w:tcBorders>
            <w:shd w:val="clear" w:color="auto" w:fill="FFFFFF"/>
            <w:hideMark/>
          </w:tcPr>
          <w:p w14:paraId="0B036CA6" w14:textId="77777777" w:rsidR="003B0C1F" w:rsidRPr="00FC516A" w:rsidRDefault="003B0C1F">
            <w:pPr>
              <w:pStyle w:val="texto0"/>
              <w:spacing w:line="242" w:lineRule="exact"/>
              <w:ind w:firstLine="0"/>
              <w:jc w:val="center"/>
              <w:rPr>
                <w:rFonts w:ascii="Verdana" w:hAnsi="Verdana"/>
                <w:color w:val="000000"/>
                <w:sz w:val="16"/>
                <w:szCs w:val="16"/>
                <w:lang w:val="en-US"/>
              </w:rPr>
            </w:pPr>
            <w:r w:rsidRPr="00FC516A">
              <w:rPr>
                <w:rFonts w:ascii="Verdana" w:hAnsi="Verdana"/>
                <w:color w:val="000000"/>
                <w:sz w:val="16"/>
                <w:szCs w:val="16"/>
                <w:lang w:val="en-US"/>
              </w:rPr>
              <w:t>10</w:t>
            </w:r>
          </w:p>
        </w:tc>
      </w:tr>
      <w:tr w:rsidR="003B0C1F" w:rsidRPr="00F01347" w14:paraId="2CCFA7FA" w14:textId="77777777" w:rsidTr="003B0C1F">
        <w:trPr>
          <w:trHeight w:val="20"/>
        </w:trPr>
        <w:tc>
          <w:tcPr>
            <w:tcW w:w="8712" w:type="dxa"/>
            <w:gridSpan w:val="3"/>
            <w:tcBorders>
              <w:top w:val="single" w:sz="6" w:space="0" w:color="auto"/>
              <w:left w:val="nil"/>
              <w:bottom w:val="nil"/>
              <w:right w:val="nil"/>
            </w:tcBorders>
            <w:shd w:val="clear" w:color="auto" w:fill="FFFFFF"/>
            <w:hideMark/>
          </w:tcPr>
          <w:p w14:paraId="4E9E5FD7" w14:textId="5B0E65F9" w:rsidR="003B0C1F" w:rsidRPr="00F01347" w:rsidRDefault="003B0C1F">
            <w:pPr>
              <w:pStyle w:val="texto0"/>
              <w:spacing w:line="242"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Phenomenex Column </w:t>
            </w:r>
            <w:proofErr w:type="spellStart"/>
            <w:r w:rsidRPr="00F01347">
              <w:rPr>
                <w:rFonts w:ascii="Verdana" w:hAnsi="Verdana"/>
                <w:color w:val="000000"/>
                <w:sz w:val="16"/>
                <w:szCs w:val="16"/>
                <w:lang w:val="en-US"/>
              </w:rPr>
              <w:t>Kinetex</w:t>
            </w:r>
            <w:proofErr w:type="spellEnd"/>
            <w:r w:rsidRPr="00F01347">
              <w:rPr>
                <w:rFonts w:ascii="Verdana" w:hAnsi="Verdana"/>
                <w:color w:val="000000"/>
                <w:sz w:val="16"/>
                <w:szCs w:val="16"/>
                <w:lang w:val="en-US"/>
              </w:rPr>
              <w:t xml:space="preserve"> C8, 2.6 µm, 2.1 x 100 mm Flow rate 0.3 mL /min partial injection 10 µL loop in a 20 µL loop</w:t>
            </w:r>
          </w:p>
        </w:tc>
      </w:tr>
    </w:tbl>
    <w:p w14:paraId="216CDBD2" w14:textId="77777777" w:rsidR="002A613C" w:rsidRPr="00F01347" w:rsidRDefault="002A613C" w:rsidP="003A601B">
      <w:pPr>
        <w:pStyle w:val="texto0"/>
        <w:ind w:firstLine="0"/>
        <w:jc w:val="center"/>
        <w:rPr>
          <w:rFonts w:ascii="Verdana" w:hAnsi="Verdana"/>
          <w:b/>
          <w:color w:val="000000"/>
          <w:sz w:val="16"/>
          <w:szCs w:val="16"/>
          <w:lang w:val="en-US"/>
        </w:rPr>
      </w:pPr>
    </w:p>
    <w:p w14:paraId="260EDB0E" w14:textId="3E4010FC"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b/>
          <w:color w:val="000000"/>
          <w:sz w:val="16"/>
          <w:szCs w:val="16"/>
        </w:rPr>
        <w:lastRenderedPageBreak/>
        <w:t xml:space="preserve">Tabla B.1.2-7. </w:t>
      </w:r>
      <w:r w:rsidRPr="00F01347">
        <w:rPr>
          <w:rFonts w:ascii="Verdana" w:hAnsi="Verdana"/>
          <w:color w:val="000000"/>
          <w:sz w:val="16"/>
          <w:szCs w:val="16"/>
        </w:rPr>
        <w:t>Condiciones del método ESI-MS/MS</w:t>
      </w:r>
    </w:p>
    <w:tbl>
      <w:tblPr>
        <w:tblW w:w="5596" w:type="dxa"/>
        <w:tblInd w:w="1690" w:type="dxa"/>
        <w:tblLayout w:type="fixed"/>
        <w:tblCellMar>
          <w:left w:w="70" w:type="dxa"/>
          <w:right w:w="70" w:type="dxa"/>
        </w:tblCellMar>
        <w:tblLook w:val="0000" w:firstRow="0" w:lastRow="0" w:firstColumn="0" w:lastColumn="0" w:noHBand="0" w:noVBand="0"/>
      </w:tblPr>
      <w:tblGrid>
        <w:gridCol w:w="3976"/>
        <w:gridCol w:w="1620"/>
      </w:tblGrid>
      <w:tr w:rsidR="00A74CDF" w:rsidRPr="00F01347" w14:paraId="6425A6D0" w14:textId="77777777">
        <w:trPr>
          <w:trHeight w:val="144"/>
        </w:trPr>
        <w:tc>
          <w:tcPr>
            <w:tcW w:w="5596" w:type="dxa"/>
            <w:gridSpan w:val="2"/>
            <w:tcBorders>
              <w:top w:val="single" w:sz="6" w:space="0" w:color="auto"/>
              <w:left w:val="single" w:sz="6" w:space="0" w:color="auto"/>
              <w:bottom w:val="single" w:sz="6" w:space="0" w:color="auto"/>
              <w:right w:val="single" w:sz="6" w:space="0" w:color="auto"/>
            </w:tcBorders>
            <w:shd w:val="clear" w:color="000000" w:fill="FFFFFF"/>
            <w:noWrap/>
          </w:tcPr>
          <w:p w14:paraId="22F67650"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Condiciones ESI</w:t>
            </w:r>
          </w:p>
        </w:tc>
      </w:tr>
      <w:tr w:rsidR="00A74CDF" w:rsidRPr="00F01347" w14:paraId="429855FE" w14:textId="77777777">
        <w:trPr>
          <w:trHeight w:val="144"/>
        </w:trPr>
        <w:tc>
          <w:tcPr>
            <w:tcW w:w="3976" w:type="dxa"/>
            <w:tcBorders>
              <w:top w:val="single" w:sz="6" w:space="0" w:color="auto"/>
              <w:left w:val="single" w:sz="6" w:space="0" w:color="auto"/>
              <w:bottom w:val="single" w:sz="6" w:space="0" w:color="auto"/>
              <w:right w:val="single" w:sz="6" w:space="0" w:color="auto"/>
            </w:tcBorders>
            <w:shd w:val="clear" w:color="000000" w:fill="FFFFFF"/>
          </w:tcPr>
          <w:p w14:paraId="137D6BE8"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Polaridad</w:t>
            </w:r>
          </w:p>
        </w:tc>
        <w:tc>
          <w:tcPr>
            <w:tcW w:w="1620" w:type="dxa"/>
            <w:tcBorders>
              <w:top w:val="single" w:sz="6" w:space="0" w:color="auto"/>
              <w:left w:val="single" w:sz="6" w:space="0" w:color="auto"/>
              <w:bottom w:val="single" w:sz="6" w:space="0" w:color="auto"/>
              <w:right w:val="single" w:sz="6" w:space="0" w:color="auto"/>
            </w:tcBorders>
            <w:shd w:val="clear" w:color="000000" w:fill="FFFFFF"/>
          </w:tcPr>
          <w:p w14:paraId="4DA15DCD"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ion positivo</w:t>
            </w:r>
          </w:p>
        </w:tc>
      </w:tr>
      <w:tr w:rsidR="00A74CDF" w:rsidRPr="00F01347" w14:paraId="434345C4" w14:textId="77777777">
        <w:trPr>
          <w:trHeight w:val="144"/>
        </w:trPr>
        <w:tc>
          <w:tcPr>
            <w:tcW w:w="3976" w:type="dxa"/>
            <w:tcBorders>
              <w:top w:val="single" w:sz="6" w:space="0" w:color="auto"/>
              <w:left w:val="single" w:sz="6" w:space="0" w:color="auto"/>
              <w:bottom w:val="single" w:sz="6" w:space="0" w:color="auto"/>
              <w:right w:val="single" w:sz="6" w:space="0" w:color="auto"/>
            </w:tcBorders>
            <w:shd w:val="clear" w:color="000000" w:fill="FFFFFF"/>
          </w:tcPr>
          <w:p w14:paraId="6927C6EA"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Voltaje aguja capilar</w:t>
            </w:r>
          </w:p>
        </w:tc>
        <w:tc>
          <w:tcPr>
            <w:tcW w:w="1620" w:type="dxa"/>
            <w:tcBorders>
              <w:top w:val="single" w:sz="6" w:space="0" w:color="auto"/>
              <w:left w:val="single" w:sz="6" w:space="0" w:color="auto"/>
              <w:bottom w:val="single" w:sz="6" w:space="0" w:color="auto"/>
              <w:right w:val="single" w:sz="6" w:space="0" w:color="auto"/>
            </w:tcBorders>
            <w:shd w:val="clear" w:color="000000" w:fill="FFFFFF"/>
          </w:tcPr>
          <w:p w14:paraId="3606F073"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4 kV</w:t>
            </w:r>
          </w:p>
        </w:tc>
      </w:tr>
      <w:tr w:rsidR="00A74CDF" w:rsidRPr="00F01347" w14:paraId="04B3A818" w14:textId="77777777">
        <w:trPr>
          <w:trHeight w:val="144"/>
        </w:trPr>
        <w:tc>
          <w:tcPr>
            <w:tcW w:w="3976" w:type="dxa"/>
            <w:tcBorders>
              <w:top w:val="single" w:sz="6" w:space="0" w:color="auto"/>
              <w:left w:val="single" w:sz="6" w:space="0" w:color="auto"/>
              <w:bottom w:val="single" w:sz="6" w:space="0" w:color="auto"/>
              <w:right w:val="single" w:sz="6" w:space="0" w:color="auto"/>
            </w:tcBorders>
          </w:tcPr>
          <w:p w14:paraId="06D84FD1"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Flojo de gas en cono</w:t>
            </w:r>
          </w:p>
        </w:tc>
        <w:tc>
          <w:tcPr>
            <w:tcW w:w="1620" w:type="dxa"/>
            <w:tcBorders>
              <w:top w:val="single" w:sz="6" w:space="0" w:color="auto"/>
              <w:left w:val="single" w:sz="6" w:space="0" w:color="auto"/>
              <w:bottom w:val="single" w:sz="6" w:space="0" w:color="auto"/>
              <w:right w:val="single" w:sz="6" w:space="0" w:color="auto"/>
            </w:tcBorders>
            <w:shd w:val="clear" w:color="000000" w:fill="FFFFFF"/>
          </w:tcPr>
          <w:p w14:paraId="337AAFB6"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25 L/h</w:t>
            </w:r>
          </w:p>
        </w:tc>
      </w:tr>
      <w:tr w:rsidR="00A74CDF" w:rsidRPr="00F01347" w14:paraId="6F34B4FB" w14:textId="77777777">
        <w:trPr>
          <w:trHeight w:val="144"/>
        </w:trPr>
        <w:tc>
          <w:tcPr>
            <w:tcW w:w="3976" w:type="dxa"/>
            <w:tcBorders>
              <w:top w:val="single" w:sz="6" w:space="0" w:color="auto"/>
              <w:left w:val="single" w:sz="6" w:space="0" w:color="auto"/>
              <w:bottom w:val="single" w:sz="6" w:space="0" w:color="auto"/>
              <w:right w:val="single" w:sz="6" w:space="0" w:color="auto"/>
            </w:tcBorders>
            <w:shd w:val="clear" w:color="000000" w:fill="FFFFFF"/>
          </w:tcPr>
          <w:p w14:paraId="7B44656D" w14:textId="77777777" w:rsidR="00A74CDF" w:rsidRPr="00F01347" w:rsidRDefault="00A74CDF" w:rsidP="003A601B">
            <w:pPr>
              <w:pStyle w:val="texto0"/>
              <w:ind w:firstLine="0"/>
              <w:jc w:val="center"/>
              <w:rPr>
                <w:rFonts w:ascii="Verdana" w:hAnsi="Verdana"/>
                <w:color w:val="000000"/>
                <w:sz w:val="16"/>
                <w:szCs w:val="16"/>
              </w:rPr>
            </w:pPr>
            <w:proofErr w:type="spellStart"/>
            <w:r w:rsidRPr="00F01347">
              <w:rPr>
                <w:rFonts w:ascii="Verdana" w:hAnsi="Verdana"/>
                <w:color w:val="000000"/>
                <w:sz w:val="16"/>
                <w:szCs w:val="16"/>
              </w:rPr>
              <w:t>Desolvatación</w:t>
            </w:r>
            <w:proofErr w:type="spellEnd"/>
            <w:r w:rsidRPr="00F01347">
              <w:rPr>
                <w:rFonts w:ascii="Verdana" w:hAnsi="Verdana"/>
                <w:color w:val="000000"/>
                <w:sz w:val="16"/>
                <w:szCs w:val="16"/>
              </w:rPr>
              <w:t xml:space="preserve"> del gas nitrógeno</w:t>
            </w:r>
          </w:p>
        </w:tc>
        <w:tc>
          <w:tcPr>
            <w:tcW w:w="1620" w:type="dxa"/>
            <w:tcBorders>
              <w:top w:val="single" w:sz="6" w:space="0" w:color="auto"/>
              <w:left w:val="single" w:sz="6" w:space="0" w:color="auto"/>
              <w:bottom w:val="single" w:sz="6" w:space="0" w:color="auto"/>
              <w:right w:val="single" w:sz="6" w:space="0" w:color="auto"/>
            </w:tcBorders>
            <w:shd w:val="clear" w:color="000000" w:fill="FFFFFF"/>
          </w:tcPr>
          <w:p w14:paraId="09F3F618"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1 000 L/h</w:t>
            </w:r>
          </w:p>
        </w:tc>
      </w:tr>
      <w:tr w:rsidR="00A74CDF" w:rsidRPr="00F01347" w14:paraId="21547B85" w14:textId="77777777">
        <w:trPr>
          <w:trHeight w:val="144"/>
        </w:trPr>
        <w:tc>
          <w:tcPr>
            <w:tcW w:w="3976" w:type="dxa"/>
            <w:tcBorders>
              <w:top w:val="single" w:sz="6" w:space="0" w:color="auto"/>
              <w:left w:val="single" w:sz="6" w:space="0" w:color="auto"/>
              <w:bottom w:val="single" w:sz="6" w:space="0" w:color="auto"/>
              <w:right w:val="single" w:sz="6" w:space="0" w:color="auto"/>
            </w:tcBorders>
            <w:shd w:val="clear" w:color="000000" w:fill="FFFFFF"/>
          </w:tcPr>
          <w:p w14:paraId="540FFF36"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 xml:space="preserve">Temperatura de la </w:t>
            </w:r>
            <w:proofErr w:type="spellStart"/>
            <w:r w:rsidRPr="00F01347">
              <w:rPr>
                <w:rFonts w:ascii="Verdana" w:hAnsi="Verdana"/>
                <w:color w:val="000000"/>
                <w:sz w:val="16"/>
                <w:szCs w:val="16"/>
              </w:rPr>
              <w:t>desolvatación</w:t>
            </w:r>
            <w:proofErr w:type="spellEnd"/>
            <w:r w:rsidRPr="00F01347">
              <w:rPr>
                <w:rFonts w:ascii="Verdana" w:hAnsi="Verdana"/>
                <w:color w:val="000000"/>
                <w:sz w:val="16"/>
                <w:szCs w:val="16"/>
              </w:rPr>
              <w:t xml:space="preserve"> del gas</w:t>
            </w:r>
          </w:p>
        </w:tc>
        <w:tc>
          <w:tcPr>
            <w:tcW w:w="1620" w:type="dxa"/>
            <w:tcBorders>
              <w:top w:val="single" w:sz="6" w:space="0" w:color="auto"/>
              <w:left w:val="single" w:sz="6" w:space="0" w:color="auto"/>
              <w:bottom w:val="single" w:sz="6" w:space="0" w:color="auto"/>
              <w:right w:val="single" w:sz="6" w:space="0" w:color="auto"/>
            </w:tcBorders>
            <w:shd w:val="clear" w:color="000000" w:fill="FFFFFF"/>
          </w:tcPr>
          <w:p w14:paraId="04BEA88A"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350 °C</w:t>
            </w:r>
          </w:p>
        </w:tc>
      </w:tr>
    </w:tbl>
    <w:p w14:paraId="4113586F" w14:textId="77777777" w:rsidR="00A74CDF" w:rsidRPr="00F01347" w:rsidRDefault="00A74CDF" w:rsidP="003A601B">
      <w:pPr>
        <w:pStyle w:val="texto0"/>
        <w:ind w:firstLine="0"/>
        <w:jc w:val="center"/>
        <w:rPr>
          <w:rFonts w:ascii="Verdana" w:hAnsi="Verdana"/>
          <w:b/>
          <w:color w:val="000000"/>
          <w:sz w:val="16"/>
          <w:szCs w:val="16"/>
        </w:rPr>
      </w:pPr>
    </w:p>
    <w:p w14:paraId="62F53C4B" w14:textId="77777777" w:rsidR="003B0C1F" w:rsidRPr="00F01347" w:rsidRDefault="003B0C1F" w:rsidP="003B0C1F">
      <w:pPr>
        <w:pStyle w:val="texto0"/>
        <w:ind w:firstLine="0"/>
        <w:jc w:val="center"/>
        <w:rPr>
          <w:rFonts w:ascii="Verdana" w:hAnsi="Verdana"/>
          <w:color w:val="000000"/>
          <w:sz w:val="16"/>
          <w:szCs w:val="16"/>
          <w:lang w:val="en"/>
        </w:rPr>
      </w:pPr>
      <w:r w:rsidRPr="00F01347">
        <w:rPr>
          <w:rFonts w:ascii="Verdana" w:hAnsi="Verdana"/>
          <w:b/>
          <w:color w:val="000000"/>
          <w:sz w:val="16"/>
          <w:szCs w:val="16"/>
          <w:lang w:val="en-US"/>
        </w:rPr>
        <w:t xml:space="preserve">Table B.1.2-7. </w:t>
      </w:r>
      <w:r w:rsidRPr="00F01347">
        <w:rPr>
          <w:rFonts w:ascii="Verdana" w:hAnsi="Verdana"/>
          <w:color w:val="000000"/>
          <w:sz w:val="16"/>
          <w:szCs w:val="16"/>
          <w:lang w:val="en-US"/>
        </w:rPr>
        <w:t>Conditions of the ESI-MS/MS method</w:t>
      </w:r>
    </w:p>
    <w:tbl>
      <w:tblPr>
        <w:tblW w:w="5595" w:type="dxa"/>
        <w:tblInd w:w="1690" w:type="dxa"/>
        <w:tblLayout w:type="fixed"/>
        <w:tblCellMar>
          <w:left w:w="70" w:type="dxa"/>
          <w:right w:w="70" w:type="dxa"/>
        </w:tblCellMar>
        <w:tblLook w:val="04A0" w:firstRow="1" w:lastRow="0" w:firstColumn="1" w:lastColumn="0" w:noHBand="0" w:noVBand="1"/>
      </w:tblPr>
      <w:tblGrid>
        <w:gridCol w:w="3975"/>
        <w:gridCol w:w="1620"/>
      </w:tblGrid>
      <w:tr w:rsidR="003B0C1F" w:rsidRPr="00F01347" w14:paraId="09E1B6DE" w14:textId="77777777" w:rsidTr="003B0C1F">
        <w:trPr>
          <w:trHeight w:val="144"/>
        </w:trPr>
        <w:tc>
          <w:tcPr>
            <w:tcW w:w="5596" w:type="dxa"/>
            <w:gridSpan w:val="2"/>
            <w:tcBorders>
              <w:top w:val="single" w:sz="6" w:space="0" w:color="auto"/>
              <w:left w:val="single" w:sz="6" w:space="0" w:color="auto"/>
              <w:bottom w:val="single" w:sz="6" w:space="0" w:color="auto"/>
              <w:right w:val="single" w:sz="6" w:space="0" w:color="auto"/>
            </w:tcBorders>
            <w:shd w:val="clear" w:color="auto" w:fill="FFFFFF"/>
            <w:noWrap/>
            <w:hideMark/>
          </w:tcPr>
          <w:p w14:paraId="7516E1CF" w14:textId="77777777" w:rsidR="003B0C1F" w:rsidRPr="00F01347" w:rsidRDefault="003B0C1F">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ESI conditions</w:t>
            </w:r>
          </w:p>
        </w:tc>
      </w:tr>
      <w:tr w:rsidR="003B0C1F" w:rsidRPr="00F01347" w14:paraId="68B9AA46" w14:textId="77777777" w:rsidTr="003B0C1F">
        <w:trPr>
          <w:trHeight w:val="144"/>
        </w:trPr>
        <w:tc>
          <w:tcPr>
            <w:tcW w:w="3976" w:type="dxa"/>
            <w:tcBorders>
              <w:top w:val="single" w:sz="6" w:space="0" w:color="auto"/>
              <w:left w:val="single" w:sz="6" w:space="0" w:color="auto"/>
              <w:bottom w:val="single" w:sz="6" w:space="0" w:color="auto"/>
              <w:right w:val="single" w:sz="6" w:space="0" w:color="auto"/>
            </w:tcBorders>
            <w:shd w:val="clear" w:color="auto" w:fill="FFFFFF"/>
            <w:hideMark/>
          </w:tcPr>
          <w:p w14:paraId="33310F15" w14:textId="77777777" w:rsidR="003B0C1F" w:rsidRPr="00F01347" w:rsidRDefault="003B0C1F">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Polarity</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7C1C6773" w14:textId="77777777" w:rsidR="003B0C1F" w:rsidRPr="00F01347" w:rsidRDefault="003B0C1F">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positive ion</w:t>
            </w:r>
          </w:p>
        </w:tc>
      </w:tr>
      <w:tr w:rsidR="003B0C1F" w:rsidRPr="00F01347" w14:paraId="5086C950" w14:textId="77777777" w:rsidTr="003B0C1F">
        <w:trPr>
          <w:trHeight w:val="144"/>
        </w:trPr>
        <w:tc>
          <w:tcPr>
            <w:tcW w:w="3976" w:type="dxa"/>
            <w:tcBorders>
              <w:top w:val="single" w:sz="6" w:space="0" w:color="auto"/>
              <w:left w:val="single" w:sz="6" w:space="0" w:color="auto"/>
              <w:bottom w:val="single" w:sz="6" w:space="0" w:color="auto"/>
              <w:right w:val="single" w:sz="6" w:space="0" w:color="auto"/>
            </w:tcBorders>
            <w:shd w:val="clear" w:color="auto" w:fill="FFFFFF"/>
            <w:hideMark/>
          </w:tcPr>
          <w:p w14:paraId="35C6373E" w14:textId="77777777" w:rsidR="003B0C1F" w:rsidRPr="00F01347" w:rsidRDefault="003B0C1F">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Capillary needle voltage</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10420A03" w14:textId="77777777" w:rsidR="003B0C1F" w:rsidRPr="00F01347" w:rsidRDefault="003B0C1F">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4kV</w:t>
            </w:r>
          </w:p>
        </w:tc>
      </w:tr>
      <w:tr w:rsidR="003B0C1F" w:rsidRPr="00F01347" w14:paraId="71FE9075" w14:textId="77777777" w:rsidTr="003B0C1F">
        <w:trPr>
          <w:trHeight w:val="144"/>
        </w:trPr>
        <w:tc>
          <w:tcPr>
            <w:tcW w:w="3976" w:type="dxa"/>
            <w:tcBorders>
              <w:top w:val="single" w:sz="6" w:space="0" w:color="auto"/>
              <w:left w:val="single" w:sz="6" w:space="0" w:color="auto"/>
              <w:bottom w:val="single" w:sz="6" w:space="0" w:color="auto"/>
              <w:right w:val="single" w:sz="6" w:space="0" w:color="auto"/>
            </w:tcBorders>
            <w:hideMark/>
          </w:tcPr>
          <w:p w14:paraId="5DE5F30E" w14:textId="77777777" w:rsidR="003B0C1F" w:rsidRPr="00F01347" w:rsidRDefault="003B0C1F">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cone gas flow</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59AA36A0" w14:textId="77777777" w:rsidR="003B0C1F" w:rsidRPr="00F01347" w:rsidRDefault="003B0C1F">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25L/h</w:t>
            </w:r>
          </w:p>
        </w:tc>
      </w:tr>
      <w:tr w:rsidR="003B0C1F" w:rsidRPr="00F01347" w14:paraId="1A19CFD3" w14:textId="77777777" w:rsidTr="003B0C1F">
        <w:trPr>
          <w:trHeight w:val="144"/>
        </w:trPr>
        <w:tc>
          <w:tcPr>
            <w:tcW w:w="3976" w:type="dxa"/>
            <w:tcBorders>
              <w:top w:val="single" w:sz="6" w:space="0" w:color="auto"/>
              <w:left w:val="single" w:sz="6" w:space="0" w:color="auto"/>
              <w:bottom w:val="single" w:sz="6" w:space="0" w:color="auto"/>
              <w:right w:val="single" w:sz="6" w:space="0" w:color="auto"/>
            </w:tcBorders>
            <w:shd w:val="clear" w:color="auto" w:fill="FFFFFF"/>
            <w:hideMark/>
          </w:tcPr>
          <w:p w14:paraId="4DF8CDC4" w14:textId="77777777" w:rsidR="003B0C1F" w:rsidRPr="00F01347" w:rsidRDefault="003B0C1F">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Nitrogen gas desolvation</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5CFABC61" w14:textId="0DACD59D" w:rsidR="003B0C1F" w:rsidRPr="00F01347" w:rsidRDefault="003B0C1F">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w:t>
            </w:r>
            <w:r w:rsidR="002A613C" w:rsidRPr="00F01347">
              <w:rPr>
                <w:rFonts w:ascii="Verdana" w:hAnsi="Verdana"/>
                <w:color w:val="000000"/>
                <w:sz w:val="16"/>
                <w:szCs w:val="16"/>
                <w:lang w:val="en-US"/>
              </w:rPr>
              <w:t>,</w:t>
            </w:r>
            <w:r w:rsidRPr="00F01347">
              <w:rPr>
                <w:rFonts w:ascii="Verdana" w:hAnsi="Verdana"/>
                <w:color w:val="000000"/>
                <w:sz w:val="16"/>
                <w:szCs w:val="16"/>
                <w:lang w:val="en-US"/>
              </w:rPr>
              <w:t>000 L/h</w:t>
            </w:r>
          </w:p>
        </w:tc>
      </w:tr>
      <w:tr w:rsidR="003B0C1F" w:rsidRPr="00F01347" w14:paraId="48362FC0" w14:textId="77777777" w:rsidTr="003B0C1F">
        <w:trPr>
          <w:trHeight w:val="144"/>
        </w:trPr>
        <w:tc>
          <w:tcPr>
            <w:tcW w:w="3976" w:type="dxa"/>
            <w:tcBorders>
              <w:top w:val="single" w:sz="6" w:space="0" w:color="auto"/>
              <w:left w:val="single" w:sz="6" w:space="0" w:color="auto"/>
              <w:bottom w:val="single" w:sz="6" w:space="0" w:color="auto"/>
              <w:right w:val="single" w:sz="6" w:space="0" w:color="auto"/>
            </w:tcBorders>
            <w:shd w:val="clear" w:color="auto" w:fill="FFFFFF"/>
            <w:hideMark/>
          </w:tcPr>
          <w:p w14:paraId="6B468B6B" w14:textId="77777777" w:rsidR="003B0C1F" w:rsidRPr="00F01347" w:rsidRDefault="003B0C1F">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Gas desolvation temperature</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0C5F89CD" w14:textId="77777777" w:rsidR="003B0C1F" w:rsidRPr="00F01347" w:rsidRDefault="003B0C1F">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350°C</w:t>
            </w:r>
          </w:p>
        </w:tc>
      </w:tr>
    </w:tbl>
    <w:p w14:paraId="432C047C" w14:textId="77777777" w:rsidR="003B0C1F" w:rsidRPr="00F01347" w:rsidRDefault="003B0C1F" w:rsidP="003A601B">
      <w:pPr>
        <w:pStyle w:val="texto0"/>
        <w:ind w:firstLine="0"/>
        <w:jc w:val="center"/>
        <w:rPr>
          <w:rFonts w:ascii="Verdana" w:hAnsi="Verdana"/>
          <w:b/>
          <w:color w:val="000000"/>
          <w:sz w:val="16"/>
          <w:szCs w:val="16"/>
        </w:rPr>
      </w:pPr>
    </w:p>
    <w:p w14:paraId="1E34803B"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 xml:space="preserve">Tabla B.1.2-8. </w:t>
      </w:r>
      <w:r w:rsidRPr="00F01347">
        <w:rPr>
          <w:rFonts w:ascii="Verdana" w:hAnsi="Verdana"/>
          <w:color w:val="000000"/>
          <w:sz w:val="16"/>
          <w:szCs w:val="16"/>
        </w:rPr>
        <w:t xml:space="preserve">Origen del analito y tiempo de retención (RT) </w:t>
      </w:r>
      <w:r w:rsidRPr="00F01347">
        <w:rPr>
          <w:rFonts w:ascii="Verdana" w:hAnsi="Verdana"/>
          <w:color w:val="000000"/>
          <w:sz w:val="16"/>
          <w:szCs w:val="16"/>
          <w:vertAlign w:val="superscript"/>
        </w:rPr>
        <w:t>a</w:t>
      </w:r>
    </w:p>
    <w:tbl>
      <w:tblPr>
        <w:tblW w:w="6592" w:type="dxa"/>
        <w:jc w:val="center"/>
        <w:tblLayout w:type="fixed"/>
        <w:tblCellMar>
          <w:left w:w="70" w:type="dxa"/>
          <w:right w:w="70" w:type="dxa"/>
        </w:tblCellMar>
        <w:tblLook w:val="0000" w:firstRow="0" w:lastRow="0" w:firstColumn="0" w:lastColumn="0" w:noHBand="0" w:noVBand="0"/>
      </w:tblPr>
      <w:tblGrid>
        <w:gridCol w:w="1915"/>
        <w:gridCol w:w="3322"/>
        <w:gridCol w:w="1355"/>
      </w:tblGrid>
      <w:tr w:rsidR="00A74CDF" w:rsidRPr="00F01347" w14:paraId="194B7D66" w14:textId="77777777">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000000" w:fill="FFFFFF"/>
            <w:noWrap/>
          </w:tcPr>
          <w:p w14:paraId="5F280C1B"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Analito</w:t>
            </w:r>
          </w:p>
        </w:tc>
        <w:tc>
          <w:tcPr>
            <w:tcW w:w="3322" w:type="dxa"/>
            <w:tcBorders>
              <w:top w:val="single" w:sz="6" w:space="0" w:color="auto"/>
              <w:left w:val="single" w:sz="6" w:space="0" w:color="auto"/>
              <w:bottom w:val="single" w:sz="6" w:space="0" w:color="auto"/>
              <w:right w:val="single" w:sz="6" w:space="0" w:color="auto"/>
            </w:tcBorders>
            <w:shd w:val="clear" w:color="000000" w:fill="FFFFFF"/>
          </w:tcPr>
          <w:p w14:paraId="1E655C40"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Origen del analito</w:t>
            </w:r>
          </w:p>
        </w:tc>
        <w:tc>
          <w:tcPr>
            <w:tcW w:w="1355" w:type="dxa"/>
            <w:tcBorders>
              <w:top w:val="single" w:sz="6" w:space="0" w:color="auto"/>
              <w:left w:val="single" w:sz="6" w:space="0" w:color="auto"/>
              <w:bottom w:val="single" w:sz="6" w:space="0" w:color="auto"/>
              <w:right w:val="single" w:sz="6" w:space="0" w:color="auto"/>
            </w:tcBorders>
            <w:shd w:val="clear" w:color="000000" w:fill="FFFFFF"/>
          </w:tcPr>
          <w:p w14:paraId="3190C111"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RT (min)</w:t>
            </w:r>
          </w:p>
        </w:tc>
      </w:tr>
      <w:tr w:rsidR="00A74CDF" w:rsidRPr="00F01347" w14:paraId="7A11D5FF" w14:textId="77777777">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000000" w:fill="FFFFFF"/>
          </w:tcPr>
          <w:p w14:paraId="00166BD4"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MC-YR</w:t>
            </w:r>
          </w:p>
        </w:tc>
        <w:tc>
          <w:tcPr>
            <w:tcW w:w="3322" w:type="dxa"/>
            <w:tcBorders>
              <w:top w:val="single" w:sz="6" w:space="0" w:color="auto"/>
              <w:left w:val="single" w:sz="6" w:space="0" w:color="auto"/>
              <w:bottom w:val="single" w:sz="6" w:space="0" w:color="auto"/>
              <w:right w:val="single" w:sz="6" w:space="0" w:color="auto"/>
            </w:tcBorders>
            <w:shd w:val="clear" w:color="000000" w:fill="FFFFFF"/>
          </w:tcPr>
          <w:p w14:paraId="77335936" w14:textId="77777777" w:rsidR="00A74CDF" w:rsidRPr="00F01347" w:rsidRDefault="00A74CDF" w:rsidP="003A601B">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Green Water Laboratories</w:t>
            </w:r>
          </w:p>
        </w:tc>
        <w:tc>
          <w:tcPr>
            <w:tcW w:w="1355" w:type="dxa"/>
            <w:tcBorders>
              <w:top w:val="single" w:sz="6" w:space="0" w:color="auto"/>
              <w:left w:val="single" w:sz="6" w:space="0" w:color="auto"/>
              <w:bottom w:val="single" w:sz="6" w:space="0" w:color="auto"/>
              <w:right w:val="single" w:sz="6" w:space="0" w:color="auto"/>
            </w:tcBorders>
            <w:shd w:val="clear" w:color="000000" w:fill="FFFFFF"/>
          </w:tcPr>
          <w:p w14:paraId="07F26B7A"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11.07</w:t>
            </w:r>
          </w:p>
        </w:tc>
      </w:tr>
      <w:tr w:rsidR="00A74CDF" w:rsidRPr="00F01347" w14:paraId="0BC6FF6A" w14:textId="77777777">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000000" w:fill="FFFFFF"/>
          </w:tcPr>
          <w:p w14:paraId="194B9E10" w14:textId="77777777" w:rsidR="00A74CDF" w:rsidRPr="00F01347" w:rsidRDefault="00A74CDF" w:rsidP="003A601B">
            <w:pPr>
              <w:pStyle w:val="texto0"/>
              <w:ind w:firstLine="0"/>
              <w:jc w:val="center"/>
              <w:rPr>
                <w:rFonts w:ascii="Verdana" w:hAnsi="Verdana"/>
                <w:color w:val="000000"/>
                <w:sz w:val="16"/>
                <w:szCs w:val="16"/>
              </w:rPr>
            </w:pPr>
            <w:proofErr w:type="spellStart"/>
            <w:r w:rsidRPr="00F01347">
              <w:rPr>
                <w:rFonts w:ascii="Verdana" w:hAnsi="Verdana"/>
                <w:color w:val="000000"/>
                <w:sz w:val="16"/>
                <w:szCs w:val="16"/>
              </w:rPr>
              <w:t>Nodularina</w:t>
            </w:r>
            <w:proofErr w:type="spellEnd"/>
            <w:r w:rsidRPr="00F01347">
              <w:rPr>
                <w:rFonts w:ascii="Verdana" w:hAnsi="Verdana"/>
                <w:color w:val="000000"/>
                <w:sz w:val="16"/>
                <w:szCs w:val="16"/>
              </w:rPr>
              <w:t>-R</w:t>
            </w:r>
          </w:p>
        </w:tc>
        <w:tc>
          <w:tcPr>
            <w:tcW w:w="3322" w:type="dxa"/>
            <w:tcBorders>
              <w:top w:val="single" w:sz="6" w:space="0" w:color="auto"/>
              <w:left w:val="single" w:sz="6" w:space="0" w:color="auto"/>
              <w:bottom w:val="single" w:sz="6" w:space="0" w:color="auto"/>
              <w:right w:val="single" w:sz="6" w:space="0" w:color="auto"/>
            </w:tcBorders>
            <w:shd w:val="clear" w:color="000000" w:fill="FFFFFF"/>
          </w:tcPr>
          <w:p w14:paraId="04FB7A32" w14:textId="77777777" w:rsidR="00A74CDF" w:rsidRPr="00F01347" w:rsidRDefault="00A74CDF" w:rsidP="003A601B">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National Research Council Canada</w:t>
            </w:r>
          </w:p>
        </w:tc>
        <w:tc>
          <w:tcPr>
            <w:tcW w:w="1355" w:type="dxa"/>
            <w:tcBorders>
              <w:top w:val="single" w:sz="6" w:space="0" w:color="auto"/>
              <w:left w:val="single" w:sz="6" w:space="0" w:color="auto"/>
              <w:bottom w:val="single" w:sz="6" w:space="0" w:color="auto"/>
              <w:right w:val="single" w:sz="6" w:space="0" w:color="auto"/>
            </w:tcBorders>
            <w:shd w:val="clear" w:color="000000" w:fill="FFFFFF"/>
          </w:tcPr>
          <w:p w14:paraId="3E8B9459"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11.08</w:t>
            </w:r>
          </w:p>
        </w:tc>
      </w:tr>
      <w:tr w:rsidR="00A74CDF" w:rsidRPr="00F01347" w14:paraId="67C06BD6" w14:textId="77777777">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000000" w:fill="FFFFFF"/>
          </w:tcPr>
          <w:p w14:paraId="6C413A41"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MC-RR</w:t>
            </w:r>
          </w:p>
        </w:tc>
        <w:tc>
          <w:tcPr>
            <w:tcW w:w="3322" w:type="dxa"/>
            <w:tcBorders>
              <w:top w:val="single" w:sz="6" w:space="0" w:color="auto"/>
              <w:left w:val="single" w:sz="6" w:space="0" w:color="auto"/>
              <w:bottom w:val="single" w:sz="6" w:space="0" w:color="auto"/>
              <w:right w:val="single" w:sz="6" w:space="0" w:color="auto"/>
            </w:tcBorders>
            <w:shd w:val="clear" w:color="000000" w:fill="FFFFFF"/>
          </w:tcPr>
          <w:p w14:paraId="1D64CB06" w14:textId="77777777" w:rsidR="00A74CDF" w:rsidRPr="00F01347" w:rsidRDefault="00A74CDF" w:rsidP="003A601B">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National Research Council Canada</w:t>
            </w:r>
          </w:p>
        </w:tc>
        <w:tc>
          <w:tcPr>
            <w:tcW w:w="1355" w:type="dxa"/>
            <w:tcBorders>
              <w:top w:val="single" w:sz="6" w:space="0" w:color="auto"/>
              <w:left w:val="single" w:sz="6" w:space="0" w:color="auto"/>
              <w:bottom w:val="single" w:sz="6" w:space="0" w:color="auto"/>
              <w:right w:val="single" w:sz="6" w:space="0" w:color="auto"/>
            </w:tcBorders>
            <w:shd w:val="clear" w:color="000000" w:fill="FFFFFF"/>
          </w:tcPr>
          <w:p w14:paraId="3ECD5EF3"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11.33</w:t>
            </w:r>
          </w:p>
        </w:tc>
      </w:tr>
      <w:tr w:rsidR="00A74CDF" w:rsidRPr="00F01347" w14:paraId="7A505CAC" w14:textId="77777777">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000000" w:fill="FFFFFF"/>
          </w:tcPr>
          <w:p w14:paraId="5BF5EF98"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MC-LR</w:t>
            </w:r>
          </w:p>
        </w:tc>
        <w:tc>
          <w:tcPr>
            <w:tcW w:w="3322" w:type="dxa"/>
            <w:tcBorders>
              <w:top w:val="single" w:sz="6" w:space="0" w:color="auto"/>
              <w:left w:val="single" w:sz="6" w:space="0" w:color="auto"/>
              <w:bottom w:val="single" w:sz="6" w:space="0" w:color="auto"/>
              <w:right w:val="single" w:sz="6" w:space="0" w:color="auto"/>
            </w:tcBorders>
            <w:shd w:val="clear" w:color="000000" w:fill="FFFFFF"/>
          </w:tcPr>
          <w:p w14:paraId="04F587EB" w14:textId="77777777" w:rsidR="00A74CDF" w:rsidRPr="00F01347" w:rsidRDefault="00A74CDF" w:rsidP="003A601B">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Green Water Laboratories</w:t>
            </w:r>
          </w:p>
        </w:tc>
        <w:tc>
          <w:tcPr>
            <w:tcW w:w="1355" w:type="dxa"/>
            <w:tcBorders>
              <w:top w:val="single" w:sz="6" w:space="0" w:color="auto"/>
              <w:left w:val="single" w:sz="6" w:space="0" w:color="auto"/>
              <w:bottom w:val="single" w:sz="6" w:space="0" w:color="auto"/>
              <w:right w:val="single" w:sz="6" w:space="0" w:color="auto"/>
            </w:tcBorders>
            <w:shd w:val="clear" w:color="000000" w:fill="FFFFFF"/>
          </w:tcPr>
          <w:p w14:paraId="5A6BF2D9"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11.49</w:t>
            </w:r>
          </w:p>
        </w:tc>
      </w:tr>
      <w:tr w:rsidR="00A74CDF" w:rsidRPr="00F01347" w14:paraId="2CA6C068" w14:textId="77777777">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000000" w:fill="FFFFFF"/>
          </w:tcPr>
          <w:p w14:paraId="78003DA0"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MC-LA</w:t>
            </w:r>
          </w:p>
        </w:tc>
        <w:tc>
          <w:tcPr>
            <w:tcW w:w="3322" w:type="dxa"/>
            <w:tcBorders>
              <w:top w:val="single" w:sz="6" w:space="0" w:color="auto"/>
              <w:left w:val="single" w:sz="6" w:space="0" w:color="auto"/>
              <w:bottom w:val="single" w:sz="6" w:space="0" w:color="auto"/>
              <w:right w:val="single" w:sz="6" w:space="0" w:color="auto"/>
            </w:tcBorders>
            <w:shd w:val="clear" w:color="000000" w:fill="FFFFFF"/>
          </w:tcPr>
          <w:p w14:paraId="3C4908CE" w14:textId="77777777" w:rsidR="00A74CDF" w:rsidRPr="00F01347" w:rsidRDefault="00A74CDF" w:rsidP="003A601B">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Green Water Laboratories</w:t>
            </w:r>
          </w:p>
        </w:tc>
        <w:tc>
          <w:tcPr>
            <w:tcW w:w="1355" w:type="dxa"/>
            <w:tcBorders>
              <w:top w:val="single" w:sz="6" w:space="0" w:color="auto"/>
              <w:left w:val="single" w:sz="6" w:space="0" w:color="auto"/>
              <w:bottom w:val="single" w:sz="6" w:space="0" w:color="auto"/>
              <w:right w:val="single" w:sz="6" w:space="0" w:color="auto"/>
            </w:tcBorders>
            <w:shd w:val="clear" w:color="000000" w:fill="FFFFFF"/>
          </w:tcPr>
          <w:p w14:paraId="58E38D0B"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12.41</w:t>
            </w:r>
          </w:p>
        </w:tc>
      </w:tr>
      <w:tr w:rsidR="00A74CDF" w:rsidRPr="00F01347" w14:paraId="5C0447AD" w14:textId="77777777">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000000" w:fill="FFFFFF"/>
          </w:tcPr>
          <w:p w14:paraId="14300E5B"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MC-LY</w:t>
            </w:r>
          </w:p>
        </w:tc>
        <w:tc>
          <w:tcPr>
            <w:tcW w:w="3322" w:type="dxa"/>
            <w:tcBorders>
              <w:top w:val="single" w:sz="6" w:space="0" w:color="auto"/>
              <w:left w:val="single" w:sz="6" w:space="0" w:color="auto"/>
              <w:bottom w:val="single" w:sz="6" w:space="0" w:color="auto"/>
              <w:right w:val="single" w:sz="6" w:space="0" w:color="auto"/>
            </w:tcBorders>
            <w:shd w:val="clear" w:color="000000" w:fill="FFFFFF"/>
          </w:tcPr>
          <w:p w14:paraId="12A371DB" w14:textId="77777777" w:rsidR="00A74CDF" w:rsidRPr="00F01347" w:rsidRDefault="00A74CDF" w:rsidP="003A601B">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Enzo Life Sciences</w:t>
            </w:r>
          </w:p>
        </w:tc>
        <w:tc>
          <w:tcPr>
            <w:tcW w:w="1355" w:type="dxa"/>
            <w:tcBorders>
              <w:top w:val="single" w:sz="6" w:space="0" w:color="auto"/>
              <w:left w:val="single" w:sz="6" w:space="0" w:color="auto"/>
              <w:bottom w:val="single" w:sz="6" w:space="0" w:color="auto"/>
              <w:right w:val="single" w:sz="6" w:space="0" w:color="auto"/>
            </w:tcBorders>
            <w:shd w:val="clear" w:color="000000" w:fill="FFFFFF"/>
          </w:tcPr>
          <w:p w14:paraId="2353AC43"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12.51</w:t>
            </w:r>
          </w:p>
        </w:tc>
      </w:tr>
      <w:tr w:rsidR="00A74CDF" w:rsidRPr="00F01347" w14:paraId="77E63C96" w14:textId="77777777">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000000" w:fill="FFFFFF"/>
          </w:tcPr>
          <w:p w14:paraId="2B3EA0AD"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MC-LF</w:t>
            </w:r>
          </w:p>
        </w:tc>
        <w:tc>
          <w:tcPr>
            <w:tcW w:w="3322" w:type="dxa"/>
            <w:tcBorders>
              <w:top w:val="single" w:sz="6" w:space="0" w:color="auto"/>
              <w:left w:val="single" w:sz="6" w:space="0" w:color="auto"/>
              <w:bottom w:val="single" w:sz="6" w:space="0" w:color="auto"/>
              <w:right w:val="single" w:sz="6" w:space="0" w:color="auto"/>
            </w:tcBorders>
            <w:shd w:val="clear" w:color="000000" w:fill="FFFFFF"/>
          </w:tcPr>
          <w:p w14:paraId="1CA6C4BF" w14:textId="77777777" w:rsidR="00A74CDF" w:rsidRPr="00F01347" w:rsidRDefault="00A74CDF" w:rsidP="003A601B">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Enzo Life Sciences</w:t>
            </w:r>
          </w:p>
        </w:tc>
        <w:tc>
          <w:tcPr>
            <w:tcW w:w="1355" w:type="dxa"/>
            <w:tcBorders>
              <w:top w:val="single" w:sz="6" w:space="0" w:color="auto"/>
              <w:left w:val="single" w:sz="6" w:space="0" w:color="auto"/>
              <w:bottom w:val="single" w:sz="6" w:space="0" w:color="auto"/>
              <w:right w:val="single" w:sz="6" w:space="0" w:color="auto"/>
            </w:tcBorders>
            <w:shd w:val="clear" w:color="000000" w:fill="FFFFFF"/>
          </w:tcPr>
          <w:p w14:paraId="44D69A32"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14.05</w:t>
            </w:r>
          </w:p>
        </w:tc>
      </w:tr>
      <w:tr w:rsidR="00A74CDF" w:rsidRPr="00F01347" w14:paraId="4F8CF35B" w14:textId="77777777">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000000" w:fill="FFFFFF"/>
          </w:tcPr>
          <w:p w14:paraId="56AF512F"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C</w:t>
            </w:r>
            <w:r w:rsidRPr="00F01347">
              <w:rPr>
                <w:rFonts w:ascii="Verdana" w:hAnsi="Verdana"/>
                <w:color w:val="000000"/>
                <w:sz w:val="16"/>
                <w:szCs w:val="16"/>
                <w:vertAlign w:val="subscript"/>
              </w:rPr>
              <w:t>2</w:t>
            </w:r>
            <w:r w:rsidRPr="00F01347">
              <w:rPr>
                <w:rFonts w:ascii="Verdana" w:hAnsi="Verdana"/>
                <w:color w:val="000000"/>
                <w:sz w:val="16"/>
                <w:szCs w:val="16"/>
              </w:rPr>
              <w:t>D</w:t>
            </w:r>
            <w:r w:rsidRPr="00F01347">
              <w:rPr>
                <w:rFonts w:ascii="Verdana" w:hAnsi="Verdana"/>
                <w:color w:val="000000"/>
                <w:sz w:val="16"/>
                <w:szCs w:val="16"/>
                <w:vertAlign w:val="subscript"/>
              </w:rPr>
              <w:t>5</w:t>
            </w:r>
            <w:r w:rsidRPr="00F01347">
              <w:rPr>
                <w:rFonts w:ascii="Verdana" w:hAnsi="Verdana"/>
                <w:color w:val="000000"/>
                <w:sz w:val="16"/>
                <w:szCs w:val="16"/>
              </w:rPr>
              <w:t>-MC-LR (SUR)</w:t>
            </w:r>
          </w:p>
        </w:tc>
        <w:tc>
          <w:tcPr>
            <w:tcW w:w="3322" w:type="dxa"/>
            <w:tcBorders>
              <w:top w:val="single" w:sz="6" w:space="0" w:color="auto"/>
              <w:left w:val="single" w:sz="6" w:space="0" w:color="auto"/>
              <w:bottom w:val="single" w:sz="6" w:space="0" w:color="auto"/>
              <w:right w:val="single" w:sz="6" w:space="0" w:color="auto"/>
            </w:tcBorders>
            <w:shd w:val="clear" w:color="000000" w:fill="FFFFFF"/>
          </w:tcPr>
          <w:p w14:paraId="1ECA5A4F"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 xml:space="preserve">Wayne </w:t>
            </w:r>
            <w:proofErr w:type="spellStart"/>
            <w:r w:rsidRPr="00F01347">
              <w:rPr>
                <w:rFonts w:ascii="Verdana" w:hAnsi="Verdana"/>
                <w:color w:val="000000"/>
                <w:sz w:val="16"/>
                <w:szCs w:val="16"/>
              </w:rPr>
              <w:t>State</w:t>
            </w:r>
            <w:proofErr w:type="spellEnd"/>
            <w:r w:rsidRPr="00F01347">
              <w:rPr>
                <w:rFonts w:ascii="Verdana" w:hAnsi="Verdana"/>
                <w:color w:val="000000"/>
                <w:sz w:val="16"/>
                <w:szCs w:val="16"/>
              </w:rPr>
              <w:t xml:space="preserve"> </w:t>
            </w:r>
            <w:proofErr w:type="spellStart"/>
            <w:r w:rsidRPr="00F01347">
              <w:rPr>
                <w:rFonts w:ascii="Verdana" w:hAnsi="Verdana"/>
                <w:color w:val="000000"/>
                <w:sz w:val="16"/>
                <w:szCs w:val="16"/>
              </w:rPr>
              <w:t>University</w:t>
            </w:r>
            <w:proofErr w:type="spellEnd"/>
            <w:r w:rsidRPr="00F01347">
              <w:rPr>
                <w:rFonts w:ascii="Verdana" w:hAnsi="Verdana"/>
                <w:color w:val="000000"/>
                <w:sz w:val="16"/>
                <w:szCs w:val="16"/>
              </w:rPr>
              <w:t>. Sintetizado a EPA bajo contracto.</w:t>
            </w:r>
          </w:p>
        </w:tc>
        <w:tc>
          <w:tcPr>
            <w:tcW w:w="1355" w:type="dxa"/>
            <w:tcBorders>
              <w:top w:val="single" w:sz="6" w:space="0" w:color="auto"/>
              <w:left w:val="single" w:sz="6" w:space="0" w:color="auto"/>
              <w:bottom w:val="single" w:sz="6" w:space="0" w:color="auto"/>
              <w:right w:val="single" w:sz="6" w:space="0" w:color="auto"/>
            </w:tcBorders>
            <w:shd w:val="clear" w:color="000000" w:fill="FFFFFF"/>
          </w:tcPr>
          <w:p w14:paraId="53F74132"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14.3</w:t>
            </w:r>
          </w:p>
        </w:tc>
      </w:tr>
      <w:tr w:rsidR="00A74CDF" w:rsidRPr="00F01347" w14:paraId="33148E11" w14:textId="77777777">
        <w:trPr>
          <w:trHeight w:val="20"/>
          <w:jc w:val="center"/>
        </w:trPr>
        <w:tc>
          <w:tcPr>
            <w:tcW w:w="6592" w:type="dxa"/>
            <w:gridSpan w:val="3"/>
            <w:tcBorders>
              <w:top w:val="single" w:sz="6" w:space="0" w:color="auto"/>
            </w:tcBorders>
            <w:shd w:val="clear" w:color="000000" w:fill="FFFFFF"/>
          </w:tcPr>
          <w:p w14:paraId="6D60BBE1" w14:textId="77777777" w:rsidR="00A74CDF" w:rsidRPr="00F01347" w:rsidRDefault="00A74CDF" w:rsidP="003A601B">
            <w:pPr>
              <w:pStyle w:val="texto0"/>
              <w:ind w:firstLine="0"/>
              <w:rPr>
                <w:rFonts w:ascii="Verdana" w:hAnsi="Verdana"/>
                <w:color w:val="000000"/>
                <w:sz w:val="16"/>
                <w:szCs w:val="16"/>
              </w:rPr>
            </w:pPr>
            <w:r w:rsidRPr="00F01347">
              <w:rPr>
                <w:rFonts w:ascii="Verdana" w:hAnsi="Verdana"/>
                <w:color w:val="000000"/>
                <w:sz w:val="16"/>
                <w:szCs w:val="16"/>
                <w:vertAlign w:val="superscript"/>
              </w:rPr>
              <w:t>a</w:t>
            </w:r>
            <w:r w:rsidRPr="00F01347">
              <w:rPr>
                <w:rFonts w:ascii="Verdana" w:hAnsi="Verdana"/>
                <w:color w:val="000000"/>
                <w:sz w:val="16"/>
                <w:szCs w:val="16"/>
              </w:rPr>
              <w:t xml:space="preserve"> Los datos presentados fueron obtenidos utilizando analitos adquiridos comercialmente. Materiales de otros distribuidores pueden ser utilizados demostrando los requerimientos de QC</w:t>
            </w:r>
          </w:p>
        </w:tc>
      </w:tr>
    </w:tbl>
    <w:p w14:paraId="369AE83C" w14:textId="77777777" w:rsidR="00A74CDF" w:rsidRPr="00F01347" w:rsidRDefault="00A74CDF" w:rsidP="003A601B">
      <w:pPr>
        <w:pStyle w:val="texto0"/>
        <w:rPr>
          <w:rFonts w:ascii="Verdana" w:hAnsi="Verdana"/>
          <w:color w:val="000000"/>
          <w:sz w:val="16"/>
          <w:szCs w:val="16"/>
        </w:rPr>
      </w:pPr>
    </w:p>
    <w:p w14:paraId="4C47BBA1" w14:textId="77777777" w:rsidR="00A41C64" w:rsidRPr="00F01347" w:rsidRDefault="00A41C64" w:rsidP="00A41C64">
      <w:pPr>
        <w:pStyle w:val="texto0"/>
        <w:ind w:firstLine="0"/>
        <w:jc w:val="center"/>
        <w:rPr>
          <w:rFonts w:ascii="Verdana" w:hAnsi="Verdana"/>
          <w:b/>
          <w:color w:val="000000"/>
          <w:sz w:val="16"/>
          <w:szCs w:val="16"/>
          <w:lang w:val="en"/>
        </w:rPr>
      </w:pPr>
      <w:r w:rsidRPr="00F01347">
        <w:rPr>
          <w:rFonts w:ascii="Verdana" w:hAnsi="Verdana"/>
          <w:b/>
          <w:color w:val="000000"/>
          <w:sz w:val="16"/>
          <w:szCs w:val="16"/>
          <w:lang w:val="en-US"/>
        </w:rPr>
        <w:t xml:space="preserve">Table B.1.2-8. </w:t>
      </w:r>
      <w:r w:rsidRPr="00F01347">
        <w:rPr>
          <w:rFonts w:ascii="Verdana" w:hAnsi="Verdana"/>
          <w:color w:val="000000"/>
          <w:sz w:val="16"/>
          <w:szCs w:val="16"/>
          <w:lang w:val="en-US"/>
        </w:rPr>
        <w:t xml:space="preserve">Origin of the analyte and retention time (RT) </w:t>
      </w:r>
      <w:r w:rsidRPr="00F01347">
        <w:rPr>
          <w:rFonts w:ascii="Verdana" w:hAnsi="Verdana"/>
          <w:color w:val="000000"/>
          <w:sz w:val="16"/>
          <w:szCs w:val="16"/>
          <w:vertAlign w:val="superscript"/>
          <w:lang w:val="en-US"/>
        </w:rPr>
        <w:t>a</w:t>
      </w:r>
    </w:p>
    <w:tbl>
      <w:tblPr>
        <w:tblW w:w="6585" w:type="dxa"/>
        <w:jc w:val="center"/>
        <w:tblLayout w:type="fixed"/>
        <w:tblCellMar>
          <w:left w:w="70" w:type="dxa"/>
          <w:right w:w="70" w:type="dxa"/>
        </w:tblCellMar>
        <w:tblLook w:val="04A0" w:firstRow="1" w:lastRow="0" w:firstColumn="1" w:lastColumn="0" w:noHBand="0" w:noVBand="1"/>
      </w:tblPr>
      <w:tblGrid>
        <w:gridCol w:w="1913"/>
        <w:gridCol w:w="3318"/>
        <w:gridCol w:w="1354"/>
      </w:tblGrid>
      <w:tr w:rsidR="00A41C64" w:rsidRPr="00F01347" w14:paraId="458FE5ED" w14:textId="77777777" w:rsidTr="00A41C64">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auto" w:fill="FFFFFF"/>
            <w:noWrap/>
            <w:hideMark/>
          </w:tcPr>
          <w:p w14:paraId="76F5E7D3" w14:textId="77777777" w:rsidR="00A41C64" w:rsidRPr="00F01347" w:rsidRDefault="00A41C64">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Analyte</w:t>
            </w:r>
          </w:p>
        </w:tc>
        <w:tc>
          <w:tcPr>
            <w:tcW w:w="3322" w:type="dxa"/>
            <w:tcBorders>
              <w:top w:val="single" w:sz="6" w:space="0" w:color="auto"/>
              <w:left w:val="single" w:sz="6" w:space="0" w:color="auto"/>
              <w:bottom w:val="single" w:sz="6" w:space="0" w:color="auto"/>
              <w:right w:val="single" w:sz="6" w:space="0" w:color="auto"/>
            </w:tcBorders>
            <w:shd w:val="clear" w:color="auto" w:fill="FFFFFF"/>
            <w:hideMark/>
          </w:tcPr>
          <w:p w14:paraId="52CB8FC6" w14:textId="77777777" w:rsidR="00A41C64" w:rsidRPr="00F01347" w:rsidRDefault="00A41C64">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Origin of the analyte</w:t>
            </w:r>
          </w:p>
        </w:tc>
        <w:tc>
          <w:tcPr>
            <w:tcW w:w="1355" w:type="dxa"/>
            <w:tcBorders>
              <w:top w:val="single" w:sz="6" w:space="0" w:color="auto"/>
              <w:left w:val="single" w:sz="6" w:space="0" w:color="auto"/>
              <w:bottom w:val="single" w:sz="6" w:space="0" w:color="auto"/>
              <w:right w:val="single" w:sz="6" w:space="0" w:color="auto"/>
            </w:tcBorders>
            <w:shd w:val="clear" w:color="auto" w:fill="FFFFFF"/>
            <w:hideMark/>
          </w:tcPr>
          <w:p w14:paraId="66577E29" w14:textId="77777777" w:rsidR="00A41C64" w:rsidRPr="00F01347" w:rsidRDefault="00A41C64">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RT (min)</w:t>
            </w:r>
          </w:p>
        </w:tc>
      </w:tr>
      <w:tr w:rsidR="00A41C64" w:rsidRPr="00F01347" w14:paraId="50B040A6" w14:textId="77777777" w:rsidTr="00A41C64">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14:paraId="3C7498AE"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MC-YR</w:t>
            </w:r>
          </w:p>
        </w:tc>
        <w:tc>
          <w:tcPr>
            <w:tcW w:w="3322" w:type="dxa"/>
            <w:tcBorders>
              <w:top w:val="single" w:sz="6" w:space="0" w:color="auto"/>
              <w:left w:val="single" w:sz="6" w:space="0" w:color="auto"/>
              <w:bottom w:val="single" w:sz="6" w:space="0" w:color="auto"/>
              <w:right w:val="single" w:sz="6" w:space="0" w:color="auto"/>
            </w:tcBorders>
            <w:shd w:val="clear" w:color="auto" w:fill="FFFFFF"/>
            <w:hideMark/>
          </w:tcPr>
          <w:p w14:paraId="60120E0C"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Green Water Laboratories</w:t>
            </w:r>
          </w:p>
        </w:tc>
        <w:tc>
          <w:tcPr>
            <w:tcW w:w="1355" w:type="dxa"/>
            <w:tcBorders>
              <w:top w:val="single" w:sz="6" w:space="0" w:color="auto"/>
              <w:left w:val="single" w:sz="6" w:space="0" w:color="auto"/>
              <w:bottom w:val="single" w:sz="6" w:space="0" w:color="auto"/>
              <w:right w:val="single" w:sz="6" w:space="0" w:color="auto"/>
            </w:tcBorders>
            <w:shd w:val="clear" w:color="auto" w:fill="FFFFFF"/>
            <w:hideMark/>
          </w:tcPr>
          <w:p w14:paraId="2FB1BD19"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11.07</w:t>
            </w:r>
          </w:p>
        </w:tc>
      </w:tr>
      <w:tr w:rsidR="00A41C64" w:rsidRPr="00F01347" w14:paraId="4D91C719" w14:textId="77777777" w:rsidTr="00A41C64">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14:paraId="14ACEE9C"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Nodularin -R</w:t>
            </w:r>
          </w:p>
        </w:tc>
        <w:tc>
          <w:tcPr>
            <w:tcW w:w="3322" w:type="dxa"/>
            <w:tcBorders>
              <w:top w:val="single" w:sz="6" w:space="0" w:color="auto"/>
              <w:left w:val="single" w:sz="6" w:space="0" w:color="auto"/>
              <w:bottom w:val="single" w:sz="6" w:space="0" w:color="auto"/>
              <w:right w:val="single" w:sz="6" w:space="0" w:color="auto"/>
            </w:tcBorders>
            <w:shd w:val="clear" w:color="auto" w:fill="FFFFFF"/>
            <w:hideMark/>
          </w:tcPr>
          <w:p w14:paraId="494A8307" w14:textId="792C3976" w:rsidR="00A41C64" w:rsidRPr="00F01347" w:rsidRDefault="006872B6">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N</w:t>
            </w:r>
            <w:r w:rsidR="00A41C64" w:rsidRPr="00F01347">
              <w:rPr>
                <w:rFonts w:ascii="Verdana" w:hAnsi="Verdana"/>
                <w:color w:val="000000"/>
                <w:sz w:val="16"/>
                <w:szCs w:val="16"/>
                <w:lang w:val="en-US"/>
              </w:rPr>
              <w:t>ational Research Council Canada</w:t>
            </w:r>
          </w:p>
        </w:tc>
        <w:tc>
          <w:tcPr>
            <w:tcW w:w="1355" w:type="dxa"/>
            <w:tcBorders>
              <w:top w:val="single" w:sz="6" w:space="0" w:color="auto"/>
              <w:left w:val="single" w:sz="6" w:space="0" w:color="auto"/>
              <w:bottom w:val="single" w:sz="6" w:space="0" w:color="auto"/>
              <w:right w:val="single" w:sz="6" w:space="0" w:color="auto"/>
            </w:tcBorders>
            <w:shd w:val="clear" w:color="auto" w:fill="FFFFFF"/>
            <w:hideMark/>
          </w:tcPr>
          <w:p w14:paraId="4A9191C3"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11.08</w:t>
            </w:r>
          </w:p>
        </w:tc>
      </w:tr>
      <w:tr w:rsidR="00A41C64" w:rsidRPr="00F01347" w14:paraId="45641748" w14:textId="77777777" w:rsidTr="00A41C64">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14:paraId="6C8FDB14"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MC-RR</w:t>
            </w:r>
          </w:p>
        </w:tc>
        <w:tc>
          <w:tcPr>
            <w:tcW w:w="3322" w:type="dxa"/>
            <w:tcBorders>
              <w:top w:val="single" w:sz="6" w:space="0" w:color="auto"/>
              <w:left w:val="single" w:sz="6" w:space="0" w:color="auto"/>
              <w:bottom w:val="single" w:sz="6" w:space="0" w:color="auto"/>
              <w:right w:val="single" w:sz="6" w:space="0" w:color="auto"/>
            </w:tcBorders>
            <w:shd w:val="clear" w:color="auto" w:fill="FFFFFF"/>
            <w:hideMark/>
          </w:tcPr>
          <w:p w14:paraId="65D475AA" w14:textId="544794EC" w:rsidR="00A41C64" w:rsidRPr="00F01347" w:rsidRDefault="006872B6">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N</w:t>
            </w:r>
            <w:r w:rsidR="00A41C64" w:rsidRPr="00F01347">
              <w:rPr>
                <w:rFonts w:ascii="Verdana" w:hAnsi="Verdana"/>
                <w:color w:val="000000"/>
                <w:sz w:val="16"/>
                <w:szCs w:val="16"/>
                <w:lang w:val="en-US"/>
              </w:rPr>
              <w:t>ational Research Council Canada</w:t>
            </w:r>
          </w:p>
        </w:tc>
        <w:tc>
          <w:tcPr>
            <w:tcW w:w="1355" w:type="dxa"/>
            <w:tcBorders>
              <w:top w:val="single" w:sz="6" w:space="0" w:color="auto"/>
              <w:left w:val="single" w:sz="6" w:space="0" w:color="auto"/>
              <w:bottom w:val="single" w:sz="6" w:space="0" w:color="auto"/>
              <w:right w:val="single" w:sz="6" w:space="0" w:color="auto"/>
            </w:tcBorders>
            <w:shd w:val="clear" w:color="auto" w:fill="FFFFFF"/>
            <w:hideMark/>
          </w:tcPr>
          <w:p w14:paraId="22B2EE13"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11.33</w:t>
            </w:r>
          </w:p>
        </w:tc>
      </w:tr>
      <w:tr w:rsidR="00A41C64" w:rsidRPr="00F01347" w14:paraId="51D9FED7" w14:textId="77777777" w:rsidTr="00A41C64">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14:paraId="2BDE10D4"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MC-LR</w:t>
            </w:r>
          </w:p>
        </w:tc>
        <w:tc>
          <w:tcPr>
            <w:tcW w:w="3322" w:type="dxa"/>
            <w:tcBorders>
              <w:top w:val="single" w:sz="6" w:space="0" w:color="auto"/>
              <w:left w:val="single" w:sz="6" w:space="0" w:color="auto"/>
              <w:bottom w:val="single" w:sz="6" w:space="0" w:color="auto"/>
              <w:right w:val="single" w:sz="6" w:space="0" w:color="auto"/>
            </w:tcBorders>
            <w:shd w:val="clear" w:color="auto" w:fill="FFFFFF"/>
            <w:hideMark/>
          </w:tcPr>
          <w:p w14:paraId="01386F88"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Green Water Laboratories</w:t>
            </w:r>
          </w:p>
        </w:tc>
        <w:tc>
          <w:tcPr>
            <w:tcW w:w="1355" w:type="dxa"/>
            <w:tcBorders>
              <w:top w:val="single" w:sz="6" w:space="0" w:color="auto"/>
              <w:left w:val="single" w:sz="6" w:space="0" w:color="auto"/>
              <w:bottom w:val="single" w:sz="6" w:space="0" w:color="auto"/>
              <w:right w:val="single" w:sz="6" w:space="0" w:color="auto"/>
            </w:tcBorders>
            <w:shd w:val="clear" w:color="auto" w:fill="FFFFFF"/>
            <w:hideMark/>
          </w:tcPr>
          <w:p w14:paraId="6D1B7810"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11.49</w:t>
            </w:r>
          </w:p>
        </w:tc>
      </w:tr>
      <w:tr w:rsidR="00A41C64" w:rsidRPr="00F01347" w14:paraId="0FD1CC40" w14:textId="77777777" w:rsidTr="00A41C64">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14:paraId="33125B3E"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MC-LA</w:t>
            </w:r>
          </w:p>
        </w:tc>
        <w:tc>
          <w:tcPr>
            <w:tcW w:w="3322" w:type="dxa"/>
            <w:tcBorders>
              <w:top w:val="single" w:sz="6" w:space="0" w:color="auto"/>
              <w:left w:val="single" w:sz="6" w:space="0" w:color="auto"/>
              <w:bottom w:val="single" w:sz="6" w:space="0" w:color="auto"/>
              <w:right w:val="single" w:sz="6" w:space="0" w:color="auto"/>
            </w:tcBorders>
            <w:shd w:val="clear" w:color="auto" w:fill="FFFFFF"/>
            <w:hideMark/>
          </w:tcPr>
          <w:p w14:paraId="62432AE5"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Green Water Laboratories</w:t>
            </w:r>
          </w:p>
        </w:tc>
        <w:tc>
          <w:tcPr>
            <w:tcW w:w="1355" w:type="dxa"/>
            <w:tcBorders>
              <w:top w:val="single" w:sz="6" w:space="0" w:color="auto"/>
              <w:left w:val="single" w:sz="6" w:space="0" w:color="auto"/>
              <w:bottom w:val="single" w:sz="6" w:space="0" w:color="auto"/>
              <w:right w:val="single" w:sz="6" w:space="0" w:color="auto"/>
            </w:tcBorders>
            <w:shd w:val="clear" w:color="auto" w:fill="FFFFFF"/>
            <w:hideMark/>
          </w:tcPr>
          <w:p w14:paraId="45D17712"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12.41</w:t>
            </w:r>
          </w:p>
        </w:tc>
      </w:tr>
      <w:tr w:rsidR="00A41C64" w:rsidRPr="00F01347" w14:paraId="554C8A9D" w14:textId="77777777" w:rsidTr="00A41C64">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14:paraId="7E957D80"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MC-LY</w:t>
            </w:r>
          </w:p>
        </w:tc>
        <w:tc>
          <w:tcPr>
            <w:tcW w:w="3322" w:type="dxa"/>
            <w:tcBorders>
              <w:top w:val="single" w:sz="6" w:space="0" w:color="auto"/>
              <w:left w:val="single" w:sz="6" w:space="0" w:color="auto"/>
              <w:bottom w:val="single" w:sz="6" w:space="0" w:color="auto"/>
              <w:right w:val="single" w:sz="6" w:space="0" w:color="auto"/>
            </w:tcBorders>
            <w:shd w:val="clear" w:color="auto" w:fill="FFFFFF"/>
            <w:hideMark/>
          </w:tcPr>
          <w:p w14:paraId="47FC97ED"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Enzo Life Sciences</w:t>
            </w:r>
          </w:p>
        </w:tc>
        <w:tc>
          <w:tcPr>
            <w:tcW w:w="1355" w:type="dxa"/>
            <w:tcBorders>
              <w:top w:val="single" w:sz="6" w:space="0" w:color="auto"/>
              <w:left w:val="single" w:sz="6" w:space="0" w:color="auto"/>
              <w:bottom w:val="single" w:sz="6" w:space="0" w:color="auto"/>
              <w:right w:val="single" w:sz="6" w:space="0" w:color="auto"/>
            </w:tcBorders>
            <w:shd w:val="clear" w:color="auto" w:fill="FFFFFF"/>
            <w:hideMark/>
          </w:tcPr>
          <w:p w14:paraId="405D45D3"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12.51</w:t>
            </w:r>
          </w:p>
        </w:tc>
      </w:tr>
      <w:tr w:rsidR="00A41C64" w:rsidRPr="00F01347" w14:paraId="314EDF1A" w14:textId="77777777" w:rsidTr="00A41C64">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14:paraId="746E9681"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MC-LF</w:t>
            </w:r>
          </w:p>
        </w:tc>
        <w:tc>
          <w:tcPr>
            <w:tcW w:w="3322" w:type="dxa"/>
            <w:tcBorders>
              <w:top w:val="single" w:sz="6" w:space="0" w:color="auto"/>
              <w:left w:val="single" w:sz="6" w:space="0" w:color="auto"/>
              <w:bottom w:val="single" w:sz="6" w:space="0" w:color="auto"/>
              <w:right w:val="single" w:sz="6" w:space="0" w:color="auto"/>
            </w:tcBorders>
            <w:shd w:val="clear" w:color="auto" w:fill="FFFFFF"/>
            <w:hideMark/>
          </w:tcPr>
          <w:p w14:paraId="5190BB2A"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Enzo Life Sciences</w:t>
            </w:r>
          </w:p>
        </w:tc>
        <w:tc>
          <w:tcPr>
            <w:tcW w:w="1355" w:type="dxa"/>
            <w:tcBorders>
              <w:top w:val="single" w:sz="6" w:space="0" w:color="auto"/>
              <w:left w:val="single" w:sz="6" w:space="0" w:color="auto"/>
              <w:bottom w:val="single" w:sz="6" w:space="0" w:color="auto"/>
              <w:right w:val="single" w:sz="6" w:space="0" w:color="auto"/>
            </w:tcBorders>
            <w:shd w:val="clear" w:color="auto" w:fill="FFFFFF"/>
            <w:hideMark/>
          </w:tcPr>
          <w:p w14:paraId="38690E1A"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14.05</w:t>
            </w:r>
          </w:p>
        </w:tc>
      </w:tr>
      <w:tr w:rsidR="00A41C64" w:rsidRPr="00F01347" w14:paraId="236F03A3" w14:textId="77777777" w:rsidTr="00A41C64">
        <w:trPr>
          <w:trHeight w:val="20"/>
          <w:jc w:val="center"/>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14:paraId="39D1B240" w14:textId="0C0FFA20"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lastRenderedPageBreak/>
              <w:t xml:space="preserve">C </w:t>
            </w:r>
            <w:r w:rsidRPr="00F01347">
              <w:rPr>
                <w:rFonts w:ascii="Verdana" w:hAnsi="Verdana"/>
                <w:color w:val="000000"/>
                <w:sz w:val="16"/>
                <w:szCs w:val="16"/>
                <w:vertAlign w:val="subscript"/>
                <w:lang w:val="en-US"/>
              </w:rPr>
              <w:t xml:space="preserve">2 </w:t>
            </w:r>
            <w:r w:rsidRPr="00F01347">
              <w:rPr>
                <w:rFonts w:ascii="Verdana" w:hAnsi="Verdana"/>
                <w:color w:val="000000"/>
                <w:sz w:val="16"/>
                <w:szCs w:val="16"/>
                <w:lang w:val="en-US"/>
              </w:rPr>
              <w:t xml:space="preserve">D </w:t>
            </w:r>
            <w:r w:rsidRPr="00F01347">
              <w:rPr>
                <w:rFonts w:ascii="Verdana" w:hAnsi="Verdana"/>
                <w:color w:val="000000"/>
                <w:sz w:val="16"/>
                <w:szCs w:val="16"/>
                <w:vertAlign w:val="subscript"/>
                <w:lang w:val="en-US"/>
              </w:rPr>
              <w:t xml:space="preserve">5 </w:t>
            </w:r>
            <w:r w:rsidRPr="00F01347">
              <w:rPr>
                <w:rFonts w:ascii="Verdana" w:hAnsi="Verdana"/>
                <w:color w:val="000000"/>
                <w:sz w:val="16"/>
                <w:szCs w:val="16"/>
                <w:lang w:val="en-US"/>
              </w:rPr>
              <w:t>-MC-LR (</w:t>
            </w:r>
            <w:r w:rsidR="00AD3EA1" w:rsidRPr="00F01347">
              <w:rPr>
                <w:rFonts w:ascii="Verdana" w:hAnsi="Verdana"/>
                <w:color w:val="000000"/>
                <w:sz w:val="16"/>
                <w:szCs w:val="16"/>
                <w:lang w:val="en-US"/>
              </w:rPr>
              <w:t>SUR</w:t>
            </w:r>
            <w:r w:rsidRPr="00F01347">
              <w:rPr>
                <w:rFonts w:ascii="Verdana" w:hAnsi="Verdana"/>
                <w:color w:val="000000"/>
                <w:sz w:val="16"/>
                <w:szCs w:val="16"/>
                <w:lang w:val="en-US"/>
              </w:rPr>
              <w:t>)</w:t>
            </w:r>
          </w:p>
        </w:tc>
        <w:tc>
          <w:tcPr>
            <w:tcW w:w="3322" w:type="dxa"/>
            <w:tcBorders>
              <w:top w:val="single" w:sz="6" w:space="0" w:color="auto"/>
              <w:left w:val="single" w:sz="6" w:space="0" w:color="auto"/>
              <w:bottom w:val="single" w:sz="6" w:space="0" w:color="auto"/>
              <w:right w:val="single" w:sz="6" w:space="0" w:color="auto"/>
            </w:tcBorders>
            <w:shd w:val="clear" w:color="auto" w:fill="FFFFFF"/>
            <w:hideMark/>
          </w:tcPr>
          <w:p w14:paraId="3CB017DE" w14:textId="59129194"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Wayne State University</w:t>
            </w:r>
            <w:r w:rsidR="003E1BA9" w:rsidRPr="00F01347">
              <w:rPr>
                <w:rFonts w:ascii="Verdana" w:hAnsi="Verdana"/>
                <w:color w:val="000000"/>
                <w:sz w:val="16"/>
                <w:szCs w:val="16"/>
                <w:lang w:val="en-US"/>
              </w:rPr>
              <w:t>.</w:t>
            </w:r>
            <w:r w:rsidRPr="00F01347">
              <w:rPr>
                <w:rFonts w:ascii="Verdana" w:hAnsi="Verdana"/>
                <w:color w:val="000000"/>
                <w:sz w:val="16"/>
                <w:szCs w:val="16"/>
                <w:lang w:val="en-US"/>
              </w:rPr>
              <w:t xml:space="preserve"> Synthesized at EPA under contract.</w:t>
            </w:r>
          </w:p>
        </w:tc>
        <w:tc>
          <w:tcPr>
            <w:tcW w:w="1355" w:type="dxa"/>
            <w:tcBorders>
              <w:top w:val="single" w:sz="6" w:space="0" w:color="auto"/>
              <w:left w:val="single" w:sz="6" w:space="0" w:color="auto"/>
              <w:bottom w:val="single" w:sz="6" w:space="0" w:color="auto"/>
              <w:right w:val="single" w:sz="6" w:space="0" w:color="auto"/>
            </w:tcBorders>
            <w:shd w:val="clear" w:color="auto" w:fill="FFFFFF"/>
            <w:hideMark/>
          </w:tcPr>
          <w:p w14:paraId="4A907897"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14.3</w:t>
            </w:r>
          </w:p>
        </w:tc>
      </w:tr>
      <w:tr w:rsidR="00A41C64" w:rsidRPr="00F01347" w14:paraId="005C809D" w14:textId="77777777" w:rsidTr="00A41C64">
        <w:trPr>
          <w:trHeight w:val="20"/>
          <w:jc w:val="center"/>
        </w:trPr>
        <w:tc>
          <w:tcPr>
            <w:tcW w:w="6592" w:type="dxa"/>
            <w:gridSpan w:val="3"/>
            <w:tcBorders>
              <w:top w:val="single" w:sz="6" w:space="0" w:color="auto"/>
              <w:left w:val="nil"/>
              <w:bottom w:val="nil"/>
              <w:right w:val="nil"/>
            </w:tcBorders>
            <w:shd w:val="clear" w:color="auto" w:fill="FFFFFF"/>
            <w:hideMark/>
          </w:tcPr>
          <w:p w14:paraId="74EB4254" w14:textId="77777777" w:rsidR="00A41C64" w:rsidRPr="00F01347" w:rsidRDefault="00A41C64">
            <w:pPr>
              <w:pStyle w:val="texto0"/>
              <w:ind w:firstLine="0"/>
              <w:rPr>
                <w:rFonts w:ascii="Verdana" w:hAnsi="Verdana"/>
                <w:color w:val="000000"/>
                <w:sz w:val="16"/>
                <w:szCs w:val="16"/>
                <w:lang w:val="en-US"/>
              </w:rPr>
            </w:pPr>
            <w:proofErr w:type="spellStart"/>
            <w:r w:rsidRPr="00F01347">
              <w:rPr>
                <w:rFonts w:ascii="Verdana" w:hAnsi="Verdana"/>
                <w:color w:val="000000"/>
                <w:sz w:val="16"/>
                <w:szCs w:val="16"/>
                <w:vertAlign w:val="superscript"/>
                <w:lang w:val="en-US"/>
              </w:rPr>
              <w:t>a</w:t>
            </w:r>
            <w:proofErr w:type="spellEnd"/>
            <w:r w:rsidRPr="00F01347">
              <w:rPr>
                <w:rFonts w:ascii="Verdana" w:hAnsi="Verdana"/>
                <w:color w:val="000000"/>
                <w:sz w:val="16"/>
                <w:szCs w:val="16"/>
                <w:vertAlign w:val="superscript"/>
                <w:lang w:val="en-US"/>
              </w:rPr>
              <w:t xml:space="preserve"> </w:t>
            </w:r>
            <w:proofErr w:type="gramStart"/>
            <w:r w:rsidRPr="00F01347">
              <w:rPr>
                <w:rFonts w:ascii="Verdana" w:hAnsi="Verdana"/>
                <w:color w:val="000000"/>
                <w:sz w:val="16"/>
                <w:szCs w:val="16"/>
                <w:lang w:val="en-US"/>
              </w:rPr>
              <w:t>The</w:t>
            </w:r>
            <w:proofErr w:type="gramEnd"/>
            <w:r w:rsidRPr="00F01347">
              <w:rPr>
                <w:rFonts w:ascii="Verdana" w:hAnsi="Verdana"/>
                <w:color w:val="000000"/>
                <w:sz w:val="16"/>
                <w:szCs w:val="16"/>
                <w:lang w:val="en-US"/>
              </w:rPr>
              <w:t xml:space="preserve"> data presented were obtained using commercially purchased analytes. Materials from other distributors can be used demonstrating QC requirements</w:t>
            </w:r>
          </w:p>
        </w:tc>
      </w:tr>
    </w:tbl>
    <w:p w14:paraId="12EBA27C" w14:textId="77777777" w:rsidR="003B0C1F" w:rsidRPr="00F01347" w:rsidRDefault="003B0C1F" w:rsidP="003A601B">
      <w:pPr>
        <w:pStyle w:val="texto0"/>
        <w:rPr>
          <w:rFonts w:ascii="Verdana" w:hAnsi="Verdana"/>
          <w:color w:val="000000"/>
          <w:sz w:val="16"/>
          <w:szCs w:val="16"/>
          <w:lang w:val="en-US"/>
        </w:rPr>
      </w:pPr>
    </w:p>
    <w:p w14:paraId="6FCC1944"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 xml:space="preserve">Tabla B.1.2-9. </w:t>
      </w:r>
      <w:r w:rsidRPr="00F01347">
        <w:rPr>
          <w:rFonts w:ascii="Verdana" w:hAnsi="Verdana"/>
          <w:color w:val="000000"/>
          <w:sz w:val="16"/>
          <w:szCs w:val="16"/>
        </w:rPr>
        <w:t xml:space="preserve">Condiciones del método MS/MS </w:t>
      </w:r>
      <w:r w:rsidRPr="00F01347">
        <w:rPr>
          <w:rFonts w:ascii="Verdana" w:hAnsi="Verdana"/>
          <w:color w:val="000000"/>
          <w:sz w:val="16"/>
          <w:szCs w:val="16"/>
          <w:vertAlign w:val="superscript"/>
        </w:rPr>
        <w:t>a</w:t>
      </w:r>
    </w:p>
    <w:tbl>
      <w:tblPr>
        <w:tblW w:w="8712" w:type="dxa"/>
        <w:tblInd w:w="144" w:type="dxa"/>
        <w:tblLayout w:type="fixed"/>
        <w:tblCellMar>
          <w:left w:w="70" w:type="dxa"/>
          <w:right w:w="70" w:type="dxa"/>
        </w:tblCellMar>
        <w:tblLook w:val="0000" w:firstRow="0" w:lastRow="0" w:firstColumn="0" w:lastColumn="0" w:noHBand="0" w:noVBand="0"/>
      </w:tblPr>
      <w:tblGrid>
        <w:gridCol w:w="1148"/>
        <w:gridCol w:w="2045"/>
        <w:gridCol w:w="971"/>
        <w:gridCol w:w="1453"/>
        <w:gridCol w:w="1134"/>
        <w:gridCol w:w="851"/>
        <w:gridCol w:w="1110"/>
      </w:tblGrid>
      <w:tr w:rsidR="00A74CDF" w:rsidRPr="00F01347" w14:paraId="4C23EB38" w14:textId="77777777">
        <w:trPr>
          <w:trHeight w:val="20"/>
        </w:trPr>
        <w:tc>
          <w:tcPr>
            <w:tcW w:w="1148" w:type="dxa"/>
            <w:tcBorders>
              <w:top w:val="single" w:sz="6" w:space="0" w:color="auto"/>
              <w:left w:val="single" w:sz="6" w:space="0" w:color="auto"/>
              <w:bottom w:val="single" w:sz="6" w:space="0" w:color="auto"/>
              <w:right w:val="single" w:sz="6" w:space="0" w:color="auto"/>
            </w:tcBorders>
            <w:shd w:val="clear" w:color="000000" w:fill="FFFFFF"/>
            <w:noWrap/>
          </w:tcPr>
          <w:p w14:paraId="03F22CE2"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 xml:space="preserve">Segmento </w:t>
            </w:r>
            <w:r w:rsidRPr="00F01347">
              <w:rPr>
                <w:rFonts w:ascii="Verdana" w:hAnsi="Verdana"/>
                <w:b/>
                <w:color w:val="000000"/>
                <w:sz w:val="16"/>
                <w:szCs w:val="16"/>
                <w:vertAlign w:val="superscript"/>
              </w:rPr>
              <w:t>b</w:t>
            </w:r>
          </w:p>
        </w:tc>
        <w:tc>
          <w:tcPr>
            <w:tcW w:w="2045" w:type="dxa"/>
            <w:tcBorders>
              <w:top w:val="single" w:sz="6" w:space="0" w:color="auto"/>
              <w:left w:val="single" w:sz="6" w:space="0" w:color="auto"/>
              <w:bottom w:val="single" w:sz="6" w:space="0" w:color="auto"/>
              <w:right w:val="single" w:sz="6" w:space="0" w:color="auto"/>
            </w:tcBorders>
            <w:shd w:val="clear" w:color="000000" w:fill="FFFFFF"/>
          </w:tcPr>
          <w:p w14:paraId="7CB09238"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Analito</w:t>
            </w:r>
          </w:p>
        </w:tc>
        <w:tc>
          <w:tcPr>
            <w:tcW w:w="2424" w:type="dxa"/>
            <w:gridSpan w:val="2"/>
            <w:tcBorders>
              <w:top w:val="single" w:sz="6" w:space="0" w:color="auto"/>
              <w:left w:val="single" w:sz="6" w:space="0" w:color="auto"/>
              <w:bottom w:val="single" w:sz="6" w:space="0" w:color="auto"/>
              <w:right w:val="single" w:sz="6" w:space="0" w:color="auto"/>
            </w:tcBorders>
            <w:shd w:val="clear" w:color="000000" w:fill="FFFFFF"/>
          </w:tcPr>
          <w:p w14:paraId="1CE6706C"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 xml:space="preserve">ion precursor </w:t>
            </w:r>
            <w:r w:rsidRPr="00F01347">
              <w:rPr>
                <w:rFonts w:ascii="Verdana" w:hAnsi="Verdana"/>
                <w:b/>
                <w:color w:val="000000"/>
                <w:sz w:val="16"/>
                <w:szCs w:val="16"/>
                <w:vertAlign w:val="superscript"/>
              </w:rPr>
              <w:t>c</w:t>
            </w:r>
            <w:r w:rsidRPr="00F01347">
              <w:rPr>
                <w:rFonts w:ascii="Verdana" w:hAnsi="Verdana"/>
                <w:b/>
                <w:color w:val="000000"/>
                <w:sz w:val="16"/>
                <w:szCs w:val="16"/>
              </w:rPr>
              <w:t>(m/z)</w:t>
            </w:r>
          </w:p>
        </w:tc>
        <w:tc>
          <w:tcPr>
            <w:tcW w:w="1134" w:type="dxa"/>
            <w:tcBorders>
              <w:top w:val="single" w:sz="6" w:space="0" w:color="auto"/>
              <w:left w:val="single" w:sz="6" w:space="0" w:color="auto"/>
              <w:bottom w:val="single" w:sz="6" w:space="0" w:color="auto"/>
              <w:right w:val="single" w:sz="6" w:space="0" w:color="auto"/>
            </w:tcBorders>
            <w:shd w:val="clear" w:color="000000" w:fill="FFFFFF"/>
          </w:tcPr>
          <w:p w14:paraId="4F739F4C"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 xml:space="preserve">ion producto </w:t>
            </w:r>
            <w:r w:rsidRPr="00F01347">
              <w:rPr>
                <w:rFonts w:ascii="Verdana" w:hAnsi="Verdana"/>
                <w:b/>
                <w:color w:val="000000"/>
                <w:sz w:val="16"/>
                <w:szCs w:val="16"/>
                <w:vertAlign w:val="superscript"/>
              </w:rPr>
              <w:t>d</w:t>
            </w:r>
            <w:r w:rsidRPr="00F01347">
              <w:rPr>
                <w:rFonts w:ascii="Verdana" w:hAnsi="Verdana"/>
                <w:b/>
                <w:color w:val="000000"/>
                <w:sz w:val="16"/>
                <w:szCs w:val="16"/>
              </w:rPr>
              <w:t xml:space="preserve"> (m/z)</w:t>
            </w:r>
          </w:p>
        </w:tc>
        <w:tc>
          <w:tcPr>
            <w:tcW w:w="851" w:type="dxa"/>
            <w:tcBorders>
              <w:top w:val="single" w:sz="6" w:space="0" w:color="auto"/>
              <w:left w:val="single" w:sz="6" w:space="0" w:color="auto"/>
              <w:bottom w:val="single" w:sz="6" w:space="0" w:color="auto"/>
              <w:right w:val="single" w:sz="6" w:space="0" w:color="auto"/>
            </w:tcBorders>
            <w:shd w:val="clear" w:color="000000" w:fill="FFFFFF"/>
          </w:tcPr>
          <w:p w14:paraId="21B30C11"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voltaje de cono (v)</w:t>
            </w:r>
          </w:p>
        </w:tc>
        <w:tc>
          <w:tcPr>
            <w:tcW w:w="1110" w:type="dxa"/>
            <w:tcBorders>
              <w:top w:val="single" w:sz="6" w:space="0" w:color="auto"/>
              <w:left w:val="single" w:sz="6" w:space="0" w:color="auto"/>
              <w:bottom w:val="single" w:sz="6" w:space="0" w:color="auto"/>
              <w:right w:val="single" w:sz="6" w:space="0" w:color="auto"/>
            </w:tcBorders>
            <w:shd w:val="clear" w:color="000000" w:fill="FFFFFF"/>
          </w:tcPr>
          <w:p w14:paraId="6CE29967"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 xml:space="preserve">energía de colisión </w:t>
            </w:r>
            <w:r w:rsidRPr="00F01347">
              <w:rPr>
                <w:rFonts w:ascii="Verdana" w:hAnsi="Verdana"/>
                <w:b/>
                <w:color w:val="000000"/>
                <w:sz w:val="16"/>
                <w:szCs w:val="16"/>
                <w:vertAlign w:val="superscript"/>
              </w:rPr>
              <w:t>e</w:t>
            </w:r>
            <w:r w:rsidRPr="00F01347">
              <w:rPr>
                <w:rFonts w:ascii="Verdana" w:hAnsi="Verdana"/>
                <w:b/>
                <w:color w:val="000000"/>
                <w:sz w:val="16"/>
                <w:szCs w:val="16"/>
              </w:rPr>
              <w:t xml:space="preserve"> (v)</w:t>
            </w:r>
          </w:p>
        </w:tc>
      </w:tr>
      <w:tr w:rsidR="00A74CDF" w:rsidRPr="00F01347" w14:paraId="4DE046C6" w14:textId="77777777">
        <w:trPr>
          <w:trHeight w:val="20"/>
        </w:trPr>
        <w:tc>
          <w:tcPr>
            <w:tcW w:w="1148" w:type="dxa"/>
            <w:tcBorders>
              <w:top w:val="single" w:sz="6" w:space="0" w:color="auto"/>
              <w:left w:val="single" w:sz="6" w:space="0" w:color="auto"/>
              <w:bottom w:val="single" w:sz="6" w:space="0" w:color="auto"/>
              <w:right w:val="single" w:sz="6" w:space="0" w:color="auto"/>
            </w:tcBorders>
            <w:shd w:val="clear" w:color="000000" w:fill="FFFFFF"/>
          </w:tcPr>
          <w:p w14:paraId="1903A547"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w:t>
            </w:r>
          </w:p>
        </w:tc>
        <w:tc>
          <w:tcPr>
            <w:tcW w:w="2045" w:type="dxa"/>
            <w:tcBorders>
              <w:top w:val="single" w:sz="6" w:space="0" w:color="auto"/>
              <w:left w:val="single" w:sz="6" w:space="0" w:color="auto"/>
              <w:bottom w:val="single" w:sz="6" w:space="0" w:color="auto"/>
              <w:right w:val="single" w:sz="6" w:space="0" w:color="auto"/>
            </w:tcBorders>
            <w:shd w:val="clear" w:color="000000" w:fill="FFFFFF"/>
          </w:tcPr>
          <w:p w14:paraId="3BE857C8"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MC-YR</w:t>
            </w:r>
          </w:p>
        </w:tc>
        <w:tc>
          <w:tcPr>
            <w:tcW w:w="971" w:type="dxa"/>
            <w:tcBorders>
              <w:top w:val="single" w:sz="6" w:space="0" w:color="auto"/>
              <w:left w:val="single" w:sz="6" w:space="0" w:color="auto"/>
              <w:bottom w:val="single" w:sz="6" w:space="0" w:color="auto"/>
            </w:tcBorders>
            <w:shd w:val="clear" w:color="000000" w:fill="FFFFFF"/>
          </w:tcPr>
          <w:p w14:paraId="5B7C55F7"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523.4</w:t>
            </w:r>
          </w:p>
        </w:tc>
        <w:tc>
          <w:tcPr>
            <w:tcW w:w="1453" w:type="dxa"/>
            <w:tcBorders>
              <w:top w:val="single" w:sz="6" w:space="0" w:color="auto"/>
              <w:bottom w:val="single" w:sz="6" w:space="0" w:color="auto"/>
              <w:right w:val="single" w:sz="6" w:space="0" w:color="auto"/>
            </w:tcBorders>
            <w:shd w:val="clear" w:color="000000" w:fill="FFFFFF"/>
          </w:tcPr>
          <w:p w14:paraId="4BFADB6B"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 xml:space="preserve">[M+2H] </w:t>
            </w:r>
            <w:r w:rsidRPr="00F01347">
              <w:rPr>
                <w:rFonts w:ascii="Verdana" w:hAnsi="Verdana"/>
                <w:color w:val="000000"/>
                <w:sz w:val="16"/>
                <w:szCs w:val="16"/>
                <w:vertAlign w:val="superscript"/>
              </w:rPr>
              <w:t>2+</w:t>
            </w:r>
          </w:p>
        </w:tc>
        <w:tc>
          <w:tcPr>
            <w:tcW w:w="1134" w:type="dxa"/>
            <w:tcBorders>
              <w:top w:val="single" w:sz="6" w:space="0" w:color="auto"/>
              <w:left w:val="single" w:sz="6" w:space="0" w:color="auto"/>
              <w:bottom w:val="single" w:sz="6" w:space="0" w:color="auto"/>
              <w:right w:val="single" w:sz="6" w:space="0" w:color="auto"/>
            </w:tcBorders>
            <w:shd w:val="clear" w:color="000000" w:fill="FFFFFF"/>
          </w:tcPr>
          <w:p w14:paraId="71C066EB"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134.9</w:t>
            </w:r>
          </w:p>
        </w:tc>
        <w:tc>
          <w:tcPr>
            <w:tcW w:w="851" w:type="dxa"/>
            <w:tcBorders>
              <w:top w:val="single" w:sz="6" w:space="0" w:color="auto"/>
              <w:left w:val="single" w:sz="6" w:space="0" w:color="auto"/>
              <w:bottom w:val="single" w:sz="6" w:space="0" w:color="auto"/>
              <w:right w:val="single" w:sz="6" w:space="0" w:color="auto"/>
            </w:tcBorders>
            <w:shd w:val="clear" w:color="000000" w:fill="FFFFFF"/>
          </w:tcPr>
          <w:p w14:paraId="7D393769"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20</w:t>
            </w:r>
          </w:p>
        </w:tc>
        <w:tc>
          <w:tcPr>
            <w:tcW w:w="1110" w:type="dxa"/>
            <w:tcBorders>
              <w:top w:val="single" w:sz="6" w:space="0" w:color="auto"/>
              <w:left w:val="single" w:sz="6" w:space="0" w:color="auto"/>
              <w:bottom w:val="single" w:sz="6" w:space="0" w:color="auto"/>
              <w:right w:val="single" w:sz="6" w:space="0" w:color="auto"/>
            </w:tcBorders>
            <w:shd w:val="clear" w:color="000000" w:fill="FFFFFF"/>
          </w:tcPr>
          <w:p w14:paraId="170FA2AB"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15</w:t>
            </w:r>
          </w:p>
        </w:tc>
      </w:tr>
      <w:tr w:rsidR="00A74CDF" w:rsidRPr="00F01347" w14:paraId="462ED95F" w14:textId="77777777">
        <w:trPr>
          <w:trHeight w:val="20"/>
        </w:trPr>
        <w:tc>
          <w:tcPr>
            <w:tcW w:w="1148" w:type="dxa"/>
            <w:tcBorders>
              <w:top w:val="single" w:sz="6" w:space="0" w:color="auto"/>
              <w:left w:val="single" w:sz="6" w:space="0" w:color="auto"/>
              <w:bottom w:val="single" w:sz="6" w:space="0" w:color="auto"/>
              <w:right w:val="single" w:sz="6" w:space="0" w:color="auto"/>
            </w:tcBorders>
            <w:shd w:val="clear" w:color="000000" w:fill="FFFFFF"/>
          </w:tcPr>
          <w:p w14:paraId="3007ECCD"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w:t>
            </w:r>
          </w:p>
        </w:tc>
        <w:tc>
          <w:tcPr>
            <w:tcW w:w="2045" w:type="dxa"/>
            <w:tcBorders>
              <w:top w:val="single" w:sz="6" w:space="0" w:color="auto"/>
              <w:left w:val="single" w:sz="6" w:space="0" w:color="auto"/>
              <w:bottom w:val="single" w:sz="6" w:space="0" w:color="auto"/>
              <w:right w:val="single" w:sz="6" w:space="0" w:color="auto"/>
            </w:tcBorders>
            <w:shd w:val="clear" w:color="000000" w:fill="FFFFFF"/>
          </w:tcPr>
          <w:p w14:paraId="3B144A44" w14:textId="77777777" w:rsidR="00A74CDF" w:rsidRPr="00F01347" w:rsidRDefault="00A74CDF" w:rsidP="003A601B">
            <w:pPr>
              <w:pStyle w:val="texto0"/>
              <w:ind w:firstLine="0"/>
              <w:jc w:val="center"/>
              <w:rPr>
                <w:rFonts w:ascii="Verdana" w:hAnsi="Verdana"/>
                <w:color w:val="000000"/>
                <w:sz w:val="16"/>
                <w:szCs w:val="16"/>
              </w:rPr>
            </w:pPr>
            <w:proofErr w:type="spellStart"/>
            <w:r w:rsidRPr="00F01347">
              <w:rPr>
                <w:rFonts w:ascii="Verdana" w:hAnsi="Verdana"/>
                <w:color w:val="000000"/>
                <w:sz w:val="16"/>
                <w:szCs w:val="16"/>
              </w:rPr>
              <w:t>Nodularina</w:t>
            </w:r>
            <w:proofErr w:type="spellEnd"/>
            <w:r w:rsidRPr="00F01347">
              <w:rPr>
                <w:rFonts w:ascii="Verdana" w:hAnsi="Verdana"/>
                <w:color w:val="000000"/>
                <w:sz w:val="16"/>
                <w:szCs w:val="16"/>
              </w:rPr>
              <w:t>-R</w:t>
            </w:r>
          </w:p>
        </w:tc>
        <w:tc>
          <w:tcPr>
            <w:tcW w:w="971" w:type="dxa"/>
            <w:tcBorders>
              <w:top w:val="single" w:sz="6" w:space="0" w:color="auto"/>
              <w:left w:val="single" w:sz="6" w:space="0" w:color="auto"/>
              <w:bottom w:val="single" w:sz="6" w:space="0" w:color="auto"/>
            </w:tcBorders>
            <w:shd w:val="clear" w:color="000000" w:fill="FFFFFF"/>
          </w:tcPr>
          <w:p w14:paraId="1471EBB9"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825.4</w:t>
            </w:r>
          </w:p>
        </w:tc>
        <w:tc>
          <w:tcPr>
            <w:tcW w:w="1453" w:type="dxa"/>
            <w:tcBorders>
              <w:top w:val="single" w:sz="6" w:space="0" w:color="auto"/>
              <w:bottom w:val="single" w:sz="6" w:space="0" w:color="auto"/>
              <w:right w:val="single" w:sz="6" w:space="0" w:color="auto"/>
            </w:tcBorders>
            <w:shd w:val="clear" w:color="000000" w:fill="FFFFFF"/>
          </w:tcPr>
          <w:p w14:paraId="716CC396"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[M+H]</w:t>
            </w:r>
            <w:r w:rsidRPr="00F01347">
              <w:rPr>
                <w:rFonts w:ascii="Verdana" w:hAnsi="Verdana"/>
                <w:color w:val="000000"/>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000000" w:fill="FFFFFF"/>
          </w:tcPr>
          <w:p w14:paraId="74985836"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134.9</w:t>
            </w:r>
          </w:p>
        </w:tc>
        <w:tc>
          <w:tcPr>
            <w:tcW w:w="851" w:type="dxa"/>
            <w:tcBorders>
              <w:top w:val="single" w:sz="6" w:space="0" w:color="auto"/>
              <w:left w:val="single" w:sz="6" w:space="0" w:color="auto"/>
              <w:bottom w:val="single" w:sz="6" w:space="0" w:color="auto"/>
              <w:right w:val="single" w:sz="6" w:space="0" w:color="auto"/>
            </w:tcBorders>
            <w:shd w:val="clear" w:color="000000" w:fill="FFFFFF"/>
          </w:tcPr>
          <w:p w14:paraId="137D003D"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45</w:t>
            </w:r>
          </w:p>
        </w:tc>
        <w:tc>
          <w:tcPr>
            <w:tcW w:w="1110" w:type="dxa"/>
            <w:tcBorders>
              <w:top w:val="single" w:sz="6" w:space="0" w:color="auto"/>
              <w:left w:val="single" w:sz="6" w:space="0" w:color="auto"/>
              <w:bottom w:val="single" w:sz="6" w:space="0" w:color="auto"/>
              <w:right w:val="single" w:sz="6" w:space="0" w:color="auto"/>
            </w:tcBorders>
            <w:shd w:val="clear" w:color="000000" w:fill="FFFFFF"/>
          </w:tcPr>
          <w:p w14:paraId="3D7ED7F0"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55</w:t>
            </w:r>
          </w:p>
        </w:tc>
      </w:tr>
      <w:tr w:rsidR="00A74CDF" w:rsidRPr="00F01347" w14:paraId="5DC6992A" w14:textId="77777777">
        <w:trPr>
          <w:trHeight w:val="20"/>
        </w:trPr>
        <w:tc>
          <w:tcPr>
            <w:tcW w:w="1148" w:type="dxa"/>
            <w:tcBorders>
              <w:top w:val="single" w:sz="6" w:space="0" w:color="auto"/>
              <w:left w:val="single" w:sz="6" w:space="0" w:color="auto"/>
              <w:bottom w:val="single" w:sz="6" w:space="0" w:color="auto"/>
              <w:right w:val="single" w:sz="6" w:space="0" w:color="auto"/>
            </w:tcBorders>
            <w:shd w:val="clear" w:color="000000" w:fill="FFFFFF"/>
          </w:tcPr>
          <w:p w14:paraId="0E55DA6C"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w:t>
            </w:r>
          </w:p>
        </w:tc>
        <w:tc>
          <w:tcPr>
            <w:tcW w:w="2045" w:type="dxa"/>
            <w:tcBorders>
              <w:top w:val="single" w:sz="6" w:space="0" w:color="auto"/>
              <w:left w:val="single" w:sz="6" w:space="0" w:color="auto"/>
              <w:bottom w:val="single" w:sz="6" w:space="0" w:color="auto"/>
              <w:right w:val="single" w:sz="6" w:space="0" w:color="auto"/>
            </w:tcBorders>
            <w:shd w:val="clear" w:color="000000" w:fill="FFFFFF"/>
          </w:tcPr>
          <w:p w14:paraId="0EA90A99"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MC-RR</w:t>
            </w:r>
          </w:p>
        </w:tc>
        <w:tc>
          <w:tcPr>
            <w:tcW w:w="971" w:type="dxa"/>
            <w:tcBorders>
              <w:top w:val="single" w:sz="6" w:space="0" w:color="auto"/>
              <w:left w:val="single" w:sz="6" w:space="0" w:color="auto"/>
              <w:bottom w:val="single" w:sz="6" w:space="0" w:color="auto"/>
            </w:tcBorders>
            <w:shd w:val="clear" w:color="000000" w:fill="FFFFFF"/>
          </w:tcPr>
          <w:p w14:paraId="06084D40"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519.9</w:t>
            </w:r>
          </w:p>
        </w:tc>
        <w:tc>
          <w:tcPr>
            <w:tcW w:w="1453" w:type="dxa"/>
            <w:tcBorders>
              <w:top w:val="single" w:sz="6" w:space="0" w:color="auto"/>
              <w:bottom w:val="single" w:sz="6" w:space="0" w:color="auto"/>
              <w:right w:val="single" w:sz="6" w:space="0" w:color="auto"/>
            </w:tcBorders>
            <w:shd w:val="clear" w:color="000000" w:fill="FFFFFF"/>
          </w:tcPr>
          <w:p w14:paraId="07885689"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 xml:space="preserve">[M+2H] </w:t>
            </w:r>
            <w:r w:rsidRPr="00F01347">
              <w:rPr>
                <w:rFonts w:ascii="Verdana" w:hAnsi="Verdana"/>
                <w:color w:val="000000"/>
                <w:sz w:val="16"/>
                <w:szCs w:val="16"/>
                <w:vertAlign w:val="superscript"/>
              </w:rPr>
              <w:t>2+</w:t>
            </w:r>
          </w:p>
        </w:tc>
        <w:tc>
          <w:tcPr>
            <w:tcW w:w="1134" w:type="dxa"/>
            <w:tcBorders>
              <w:top w:val="single" w:sz="6" w:space="0" w:color="auto"/>
              <w:left w:val="single" w:sz="6" w:space="0" w:color="auto"/>
              <w:bottom w:val="single" w:sz="6" w:space="0" w:color="auto"/>
              <w:right w:val="single" w:sz="6" w:space="0" w:color="auto"/>
            </w:tcBorders>
            <w:shd w:val="clear" w:color="000000" w:fill="FFFFFF"/>
          </w:tcPr>
          <w:p w14:paraId="146C87C9"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134.9</w:t>
            </w:r>
          </w:p>
        </w:tc>
        <w:tc>
          <w:tcPr>
            <w:tcW w:w="851" w:type="dxa"/>
            <w:tcBorders>
              <w:top w:val="single" w:sz="6" w:space="0" w:color="auto"/>
              <w:left w:val="single" w:sz="6" w:space="0" w:color="auto"/>
              <w:bottom w:val="single" w:sz="6" w:space="0" w:color="auto"/>
              <w:right w:val="single" w:sz="6" w:space="0" w:color="auto"/>
            </w:tcBorders>
            <w:shd w:val="clear" w:color="000000" w:fill="FFFFFF"/>
          </w:tcPr>
          <w:p w14:paraId="22A1DE79"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35</w:t>
            </w:r>
          </w:p>
        </w:tc>
        <w:tc>
          <w:tcPr>
            <w:tcW w:w="1110" w:type="dxa"/>
            <w:tcBorders>
              <w:top w:val="single" w:sz="6" w:space="0" w:color="auto"/>
              <w:left w:val="single" w:sz="6" w:space="0" w:color="auto"/>
              <w:bottom w:val="single" w:sz="6" w:space="0" w:color="auto"/>
              <w:right w:val="single" w:sz="6" w:space="0" w:color="auto"/>
            </w:tcBorders>
            <w:shd w:val="clear" w:color="000000" w:fill="FFFFFF"/>
          </w:tcPr>
          <w:p w14:paraId="36E08121"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30</w:t>
            </w:r>
          </w:p>
        </w:tc>
      </w:tr>
      <w:tr w:rsidR="00A74CDF" w:rsidRPr="00F01347" w14:paraId="004A3603" w14:textId="77777777">
        <w:trPr>
          <w:trHeight w:val="20"/>
        </w:trPr>
        <w:tc>
          <w:tcPr>
            <w:tcW w:w="1148" w:type="dxa"/>
            <w:tcBorders>
              <w:top w:val="single" w:sz="6" w:space="0" w:color="auto"/>
              <w:left w:val="single" w:sz="6" w:space="0" w:color="auto"/>
              <w:bottom w:val="single" w:sz="6" w:space="0" w:color="auto"/>
              <w:right w:val="single" w:sz="6" w:space="0" w:color="auto"/>
            </w:tcBorders>
            <w:shd w:val="clear" w:color="000000" w:fill="FFFFFF"/>
          </w:tcPr>
          <w:p w14:paraId="26EED9B8"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w:t>
            </w:r>
          </w:p>
        </w:tc>
        <w:tc>
          <w:tcPr>
            <w:tcW w:w="2045" w:type="dxa"/>
            <w:tcBorders>
              <w:top w:val="single" w:sz="6" w:space="0" w:color="auto"/>
              <w:left w:val="single" w:sz="6" w:space="0" w:color="auto"/>
              <w:bottom w:val="single" w:sz="6" w:space="0" w:color="auto"/>
              <w:right w:val="single" w:sz="6" w:space="0" w:color="auto"/>
            </w:tcBorders>
            <w:shd w:val="clear" w:color="000000" w:fill="FFFFFF"/>
          </w:tcPr>
          <w:p w14:paraId="34232C2E"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MC-LR</w:t>
            </w:r>
          </w:p>
        </w:tc>
        <w:tc>
          <w:tcPr>
            <w:tcW w:w="971" w:type="dxa"/>
            <w:tcBorders>
              <w:top w:val="single" w:sz="6" w:space="0" w:color="auto"/>
              <w:left w:val="single" w:sz="6" w:space="0" w:color="auto"/>
              <w:bottom w:val="single" w:sz="6" w:space="0" w:color="auto"/>
            </w:tcBorders>
            <w:shd w:val="clear" w:color="000000" w:fill="FFFFFF"/>
          </w:tcPr>
          <w:p w14:paraId="4462AD5D"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995.5</w:t>
            </w:r>
          </w:p>
        </w:tc>
        <w:tc>
          <w:tcPr>
            <w:tcW w:w="1453" w:type="dxa"/>
            <w:tcBorders>
              <w:top w:val="single" w:sz="6" w:space="0" w:color="auto"/>
              <w:bottom w:val="single" w:sz="6" w:space="0" w:color="auto"/>
              <w:right w:val="single" w:sz="6" w:space="0" w:color="auto"/>
            </w:tcBorders>
            <w:shd w:val="clear" w:color="000000" w:fill="FFFFFF"/>
          </w:tcPr>
          <w:p w14:paraId="18A19BA9"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[M+H]</w:t>
            </w:r>
            <w:r w:rsidRPr="00F01347">
              <w:rPr>
                <w:rFonts w:ascii="Verdana" w:hAnsi="Verdana"/>
                <w:color w:val="000000"/>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000000" w:fill="FFFFFF"/>
          </w:tcPr>
          <w:p w14:paraId="0ADD51D4"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134.9</w:t>
            </w:r>
          </w:p>
        </w:tc>
        <w:tc>
          <w:tcPr>
            <w:tcW w:w="851" w:type="dxa"/>
            <w:tcBorders>
              <w:top w:val="single" w:sz="6" w:space="0" w:color="auto"/>
              <w:left w:val="single" w:sz="6" w:space="0" w:color="auto"/>
              <w:bottom w:val="single" w:sz="6" w:space="0" w:color="auto"/>
              <w:right w:val="single" w:sz="6" w:space="0" w:color="auto"/>
            </w:tcBorders>
            <w:shd w:val="clear" w:color="000000" w:fill="FFFFFF"/>
          </w:tcPr>
          <w:p w14:paraId="6798E4AA"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60</w:t>
            </w:r>
          </w:p>
        </w:tc>
        <w:tc>
          <w:tcPr>
            <w:tcW w:w="1110" w:type="dxa"/>
            <w:tcBorders>
              <w:top w:val="single" w:sz="6" w:space="0" w:color="auto"/>
              <w:left w:val="single" w:sz="6" w:space="0" w:color="auto"/>
              <w:bottom w:val="single" w:sz="6" w:space="0" w:color="auto"/>
              <w:right w:val="single" w:sz="6" w:space="0" w:color="auto"/>
            </w:tcBorders>
            <w:shd w:val="clear" w:color="000000" w:fill="FFFFFF"/>
          </w:tcPr>
          <w:p w14:paraId="6F8945DE"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65</w:t>
            </w:r>
          </w:p>
        </w:tc>
      </w:tr>
      <w:tr w:rsidR="00A74CDF" w:rsidRPr="00F01347" w14:paraId="04A27A14" w14:textId="77777777">
        <w:trPr>
          <w:trHeight w:val="20"/>
        </w:trPr>
        <w:tc>
          <w:tcPr>
            <w:tcW w:w="1148" w:type="dxa"/>
            <w:tcBorders>
              <w:top w:val="single" w:sz="6" w:space="0" w:color="auto"/>
              <w:left w:val="single" w:sz="6" w:space="0" w:color="auto"/>
              <w:bottom w:val="single" w:sz="6" w:space="0" w:color="auto"/>
              <w:right w:val="single" w:sz="6" w:space="0" w:color="auto"/>
            </w:tcBorders>
            <w:shd w:val="clear" w:color="000000" w:fill="FFFFFF"/>
          </w:tcPr>
          <w:p w14:paraId="3A06B4FB"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2</w:t>
            </w:r>
          </w:p>
        </w:tc>
        <w:tc>
          <w:tcPr>
            <w:tcW w:w="2045" w:type="dxa"/>
            <w:tcBorders>
              <w:top w:val="single" w:sz="6" w:space="0" w:color="auto"/>
              <w:left w:val="single" w:sz="6" w:space="0" w:color="auto"/>
              <w:bottom w:val="single" w:sz="6" w:space="0" w:color="auto"/>
              <w:right w:val="single" w:sz="6" w:space="0" w:color="auto"/>
            </w:tcBorders>
            <w:shd w:val="clear" w:color="000000" w:fill="FFFFFF"/>
          </w:tcPr>
          <w:p w14:paraId="2E59DB40"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MC-LA</w:t>
            </w:r>
          </w:p>
        </w:tc>
        <w:tc>
          <w:tcPr>
            <w:tcW w:w="971" w:type="dxa"/>
            <w:tcBorders>
              <w:top w:val="single" w:sz="6" w:space="0" w:color="auto"/>
              <w:left w:val="single" w:sz="6" w:space="0" w:color="auto"/>
              <w:bottom w:val="single" w:sz="6" w:space="0" w:color="auto"/>
            </w:tcBorders>
            <w:shd w:val="clear" w:color="000000" w:fill="FFFFFF"/>
          </w:tcPr>
          <w:p w14:paraId="483CF4D9"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910.5</w:t>
            </w:r>
          </w:p>
        </w:tc>
        <w:tc>
          <w:tcPr>
            <w:tcW w:w="1453" w:type="dxa"/>
            <w:tcBorders>
              <w:top w:val="single" w:sz="6" w:space="0" w:color="auto"/>
              <w:bottom w:val="single" w:sz="6" w:space="0" w:color="auto"/>
              <w:right w:val="single" w:sz="6" w:space="0" w:color="auto"/>
            </w:tcBorders>
            <w:shd w:val="clear" w:color="000000" w:fill="FFFFFF"/>
          </w:tcPr>
          <w:p w14:paraId="658A176D"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[M+H]</w:t>
            </w:r>
            <w:r w:rsidRPr="00F01347">
              <w:rPr>
                <w:rFonts w:ascii="Verdana" w:hAnsi="Verdana"/>
                <w:color w:val="000000"/>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000000" w:fill="FFFFFF"/>
          </w:tcPr>
          <w:p w14:paraId="7DB18E54"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776.4</w:t>
            </w:r>
          </w:p>
        </w:tc>
        <w:tc>
          <w:tcPr>
            <w:tcW w:w="851" w:type="dxa"/>
            <w:tcBorders>
              <w:top w:val="single" w:sz="6" w:space="0" w:color="auto"/>
              <w:left w:val="single" w:sz="6" w:space="0" w:color="auto"/>
              <w:bottom w:val="single" w:sz="6" w:space="0" w:color="auto"/>
              <w:right w:val="single" w:sz="6" w:space="0" w:color="auto"/>
            </w:tcBorders>
            <w:shd w:val="clear" w:color="000000" w:fill="FFFFFF"/>
          </w:tcPr>
          <w:p w14:paraId="1FAE35A3"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40</w:t>
            </w:r>
          </w:p>
        </w:tc>
        <w:tc>
          <w:tcPr>
            <w:tcW w:w="1110" w:type="dxa"/>
            <w:tcBorders>
              <w:top w:val="single" w:sz="6" w:space="0" w:color="auto"/>
              <w:left w:val="single" w:sz="6" w:space="0" w:color="auto"/>
              <w:bottom w:val="single" w:sz="6" w:space="0" w:color="auto"/>
              <w:right w:val="single" w:sz="6" w:space="0" w:color="auto"/>
            </w:tcBorders>
            <w:shd w:val="clear" w:color="000000" w:fill="FFFFFF"/>
          </w:tcPr>
          <w:p w14:paraId="794C7146"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20</w:t>
            </w:r>
          </w:p>
        </w:tc>
      </w:tr>
      <w:tr w:rsidR="00A74CDF" w:rsidRPr="00F01347" w14:paraId="49C4E698" w14:textId="77777777">
        <w:trPr>
          <w:trHeight w:val="20"/>
        </w:trPr>
        <w:tc>
          <w:tcPr>
            <w:tcW w:w="1148" w:type="dxa"/>
            <w:tcBorders>
              <w:top w:val="single" w:sz="6" w:space="0" w:color="auto"/>
              <w:left w:val="single" w:sz="6" w:space="0" w:color="auto"/>
              <w:bottom w:val="single" w:sz="6" w:space="0" w:color="auto"/>
              <w:right w:val="single" w:sz="6" w:space="0" w:color="auto"/>
            </w:tcBorders>
            <w:shd w:val="clear" w:color="000000" w:fill="FFFFFF"/>
          </w:tcPr>
          <w:p w14:paraId="6831F741"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2</w:t>
            </w:r>
          </w:p>
        </w:tc>
        <w:tc>
          <w:tcPr>
            <w:tcW w:w="2045" w:type="dxa"/>
            <w:tcBorders>
              <w:top w:val="single" w:sz="6" w:space="0" w:color="auto"/>
              <w:left w:val="single" w:sz="6" w:space="0" w:color="auto"/>
              <w:bottom w:val="single" w:sz="6" w:space="0" w:color="auto"/>
              <w:right w:val="single" w:sz="6" w:space="0" w:color="auto"/>
            </w:tcBorders>
            <w:shd w:val="clear" w:color="000000" w:fill="FFFFFF"/>
          </w:tcPr>
          <w:p w14:paraId="5FE755F9"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MC-LY</w:t>
            </w:r>
          </w:p>
        </w:tc>
        <w:tc>
          <w:tcPr>
            <w:tcW w:w="971" w:type="dxa"/>
            <w:tcBorders>
              <w:top w:val="single" w:sz="6" w:space="0" w:color="auto"/>
              <w:left w:val="single" w:sz="6" w:space="0" w:color="auto"/>
              <w:bottom w:val="single" w:sz="6" w:space="0" w:color="auto"/>
            </w:tcBorders>
            <w:shd w:val="clear" w:color="000000" w:fill="FFFFFF"/>
          </w:tcPr>
          <w:p w14:paraId="48DA17BC"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1002.5</w:t>
            </w:r>
          </w:p>
        </w:tc>
        <w:tc>
          <w:tcPr>
            <w:tcW w:w="1453" w:type="dxa"/>
            <w:tcBorders>
              <w:top w:val="single" w:sz="6" w:space="0" w:color="auto"/>
              <w:bottom w:val="single" w:sz="6" w:space="0" w:color="auto"/>
              <w:right w:val="single" w:sz="6" w:space="0" w:color="auto"/>
            </w:tcBorders>
            <w:shd w:val="clear" w:color="000000" w:fill="FFFFFF"/>
          </w:tcPr>
          <w:p w14:paraId="71CD5ECF"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[M+H]</w:t>
            </w:r>
            <w:r w:rsidRPr="00F01347">
              <w:rPr>
                <w:rFonts w:ascii="Verdana" w:hAnsi="Verdana"/>
                <w:color w:val="000000"/>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000000" w:fill="FFFFFF"/>
          </w:tcPr>
          <w:p w14:paraId="6EBB3165"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134.9</w:t>
            </w:r>
          </w:p>
        </w:tc>
        <w:tc>
          <w:tcPr>
            <w:tcW w:w="851" w:type="dxa"/>
            <w:tcBorders>
              <w:top w:val="single" w:sz="6" w:space="0" w:color="auto"/>
              <w:left w:val="single" w:sz="6" w:space="0" w:color="auto"/>
              <w:bottom w:val="single" w:sz="6" w:space="0" w:color="auto"/>
              <w:right w:val="single" w:sz="6" w:space="0" w:color="auto"/>
            </w:tcBorders>
            <w:shd w:val="clear" w:color="000000" w:fill="FFFFFF"/>
          </w:tcPr>
          <w:p w14:paraId="1E62D5D2"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40</w:t>
            </w:r>
          </w:p>
        </w:tc>
        <w:tc>
          <w:tcPr>
            <w:tcW w:w="1110" w:type="dxa"/>
            <w:tcBorders>
              <w:top w:val="single" w:sz="6" w:space="0" w:color="auto"/>
              <w:left w:val="single" w:sz="6" w:space="0" w:color="auto"/>
              <w:bottom w:val="single" w:sz="6" w:space="0" w:color="auto"/>
              <w:right w:val="single" w:sz="6" w:space="0" w:color="auto"/>
            </w:tcBorders>
            <w:shd w:val="clear" w:color="000000" w:fill="FFFFFF"/>
          </w:tcPr>
          <w:p w14:paraId="50B1A2F1"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60</w:t>
            </w:r>
          </w:p>
        </w:tc>
      </w:tr>
      <w:tr w:rsidR="00A74CDF" w:rsidRPr="00F01347" w14:paraId="40933D3F" w14:textId="77777777">
        <w:trPr>
          <w:trHeight w:val="20"/>
        </w:trPr>
        <w:tc>
          <w:tcPr>
            <w:tcW w:w="1148" w:type="dxa"/>
            <w:tcBorders>
              <w:top w:val="single" w:sz="6" w:space="0" w:color="auto"/>
              <w:left w:val="single" w:sz="6" w:space="0" w:color="auto"/>
              <w:bottom w:val="single" w:sz="6" w:space="0" w:color="auto"/>
              <w:right w:val="single" w:sz="6" w:space="0" w:color="auto"/>
            </w:tcBorders>
            <w:shd w:val="clear" w:color="000000" w:fill="FFFFFF"/>
          </w:tcPr>
          <w:p w14:paraId="21CF3667"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3</w:t>
            </w:r>
          </w:p>
        </w:tc>
        <w:tc>
          <w:tcPr>
            <w:tcW w:w="2045" w:type="dxa"/>
            <w:tcBorders>
              <w:top w:val="single" w:sz="6" w:space="0" w:color="auto"/>
              <w:left w:val="single" w:sz="6" w:space="0" w:color="auto"/>
              <w:bottom w:val="single" w:sz="6" w:space="0" w:color="auto"/>
              <w:right w:val="single" w:sz="6" w:space="0" w:color="auto"/>
            </w:tcBorders>
            <w:shd w:val="clear" w:color="000000" w:fill="FFFFFF"/>
          </w:tcPr>
          <w:p w14:paraId="2566D773"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MC-LF</w:t>
            </w:r>
          </w:p>
        </w:tc>
        <w:tc>
          <w:tcPr>
            <w:tcW w:w="971" w:type="dxa"/>
            <w:tcBorders>
              <w:top w:val="single" w:sz="6" w:space="0" w:color="auto"/>
              <w:left w:val="single" w:sz="6" w:space="0" w:color="auto"/>
              <w:bottom w:val="single" w:sz="6" w:space="0" w:color="auto"/>
            </w:tcBorders>
            <w:shd w:val="clear" w:color="000000" w:fill="FFFFFF"/>
          </w:tcPr>
          <w:p w14:paraId="75641BEF"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986.5</w:t>
            </w:r>
          </w:p>
        </w:tc>
        <w:tc>
          <w:tcPr>
            <w:tcW w:w="1453" w:type="dxa"/>
            <w:tcBorders>
              <w:top w:val="single" w:sz="6" w:space="0" w:color="auto"/>
              <w:bottom w:val="single" w:sz="6" w:space="0" w:color="auto"/>
              <w:right w:val="single" w:sz="6" w:space="0" w:color="auto"/>
            </w:tcBorders>
            <w:shd w:val="clear" w:color="000000" w:fill="FFFFFF"/>
          </w:tcPr>
          <w:p w14:paraId="1C9092C4"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[M+H]</w:t>
            </w:r>
            <w:r w:rsidRPr="00F01347">
              <w:rPr>
                <w:rFonts w:ascii="Verdana" w:hAnsi="Verdana"/>
                <w:color w:val="000000"/>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000000" w:fill="FFFFFF"/>
          </w:tcPr>
          <w:p w14:paraId="715B3541"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134.9</w:t>
            </w:r>
          </w:p>
        </w:tc>
        <w:tc>
          <w:tcPr>
            <w:tcW w:w="851" w:type="dxa"/>
            <w:tcBorders>
              <w:top w:val="single" w:sz="6" w:space="0" w:color="auto"/>
              <w:left w:val="single" w:sz="6" w:space="0" w:color="auto"/>
              <w:bottom w:val="single" w:sz="6" w:space="0" w:color="auto"/>
              <w:right w:val="single" w:sz="6" w:space="0" w:color="auto"/>
            </w:tcBorders>
            <w:shd w:val="clear" w:color="000000" w:fill="FFFFFF"/>
          </w:tcPr>
          <w:p w14:paraId="5316E677"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40</w:t>
            </w:r>
          </w:p>
        </w:tc>
        <w:tc>
          <w:tcPr>
            <w:tcW w:w="1110" w:type="dxa"/>
            <w:tcBorders>
              <w:top w:val="single" w:sz="6" w:space="0" w:color="auto"/>
              <w:left w:val="single" w:sz="6" w:space="0" w:color="auto"/>
              <w:bottom w:val="single" w:sz="6" w:space="0" w:color="auto"/>
              <w:right w:val="single" w:sz="6" w:space="0" w:color="auto"/>
            </w:tcBorders>
            <w:shd w:val="clear" w:color="000000" w:fill="FFFFFF"/>
          </w:tcPr>
          <w:p w14:paraId="309433C8"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60</w:t>
            </w:r>
          </w:p>
        </w:tc>
      </w:tr>
      <w:tr w:rsidR="00A74CDF" w:rsidRPr="00F01347" w14:paraId="7B91CB83" w14:textId="77777777">
        <w:trPr>
          <w:trHeight w:val="20"/>
        </w:trPr>
        <w:tc>
          <w:tcPr>
            <w:tcW w:w="1148" w:type="dxa"/>
            <w:tcBorders>
              <w:top w:val="single" w:sz="6" w:space="0" w:color="auto"/>
              <w:left w:val="single" w:sz="6" w:space="0" w:color="auto"/>
              <w:bottom w:val="single" w:sz="6" w:space="0" w:color="auto"/>
              <w:right w:val="single" w:sz="6" w:space="0" w:color="auto"/>
            </w:tcBorders>
            <w:shd w:val="clear" w:color="000000" w:fill="FFFFFF"/>
          </w:tcPr>
          <w:p w14:paraId="6BA17F90"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3</w:t>
            </w:r>
          </w:p>
        </w:tc>
        <w:tc>
          <w:tcPr>
            <w:tcW w:w="2045" w:type="dxa"/>
            <w:tcBorders>
              <w:top w:val="single" w:sz="6" w:space="0" w:color="auto"/>
              <w:left w:val="single" w:sz="6" w:space="0" w:color="auto"/>
              <w:bottom w:val="single" w:sz="6" w:space="0" w:color="auto"/>
              <w:right w:val="single" w:sz="6" w:space="0" w:color="auto"/>
            </w:tcBorders>
            <w:shd w:val="clear" w:color="000000" w:fill="FFFFFF"/>
          </w:tcPr>
          <w:p w14:paraId="2DA7A3CF"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C2D5-MC-LR (SUR)</w:t>
            </w:r>
          </w:p>
        </w:tc>
        <w:tc>
          <w:tcPr>
            <w:tcW w:w="971" w:type="dxa"/>
            <w:tcBorders>
              <w:top w:val="single" w:sz="6" w:space="0" w:color="auto"/>
              <w:left w:val="single" w:sz="6" w:space="0" w:color="auto"/>
              <w:bottom w:val="single" w:sz="6" w:space="0" w:color="auto"/>
            </w:tcBorders>
            <w:shd w:val="clear" w:color="000000" w:fill="FFFFFF"/>
          </w:tcPr>
          <w:p w14:paraId="134416A4"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1028.6</w:t>
            </w:r>
          </w:p>
        </w:tc>
        <w:tc>
          <w:tcPr>
            <w:tcW w:w="1453" w:type="dxa"/>
            <w:tcBorders>
              <w:top w:val="single" w:sz="6" w:space="0" w:color="auto"/>
              <w:bottom w:val="single" w:sz="6" w:space="0" w:color="auto"/>
              <w:right w:val="single" w:sz="6" w:space="0" w:color="auto"/>
            </w:tcBorders>
            <w:shd w:val="clear" w:color="000000" w:fill="FFFFFF"/>
          </w:tcPr>
          <w:p w14:paraId="36254E45"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[M+H]</w:t>
            </w:r>
            <w:r w:rsidRPr="00F01347">
              <w:rPr>
                <w:rFonts w:ascii="Verdana" w:hAnsi="Verdana"/>
                <w:color w:val="000000"/>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000000" w:fill="FFFFFF"/>
          </w:tcPr>
          <w:p w14:paraId="50388BDA"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134.9</w:t>
            </w:r>
          </w:p>
        </w:tc>
        <w:tc>
          <w:tcPr>
            <w:tcW w:w="851" w:type="dxa"/>
            <w:tcBorders>
              <w:top w:val="single" w:sz="6" w:space="0" w:color="auto"/>
              <w:left w:val="single" w:sz="6" w:space="0" w:color="auto"/>
              <w:bottom w:val="single" w:sz="6" w:space="0" w:color="auto"/>
              <w:right w:val="single" w:sz="6" w:space="0" w:color="auto"/>
            </w:tcBorders>
            <w:shd w:val="clear" w:color="000000" w:fill="FFFFFF"/>
          </w:tcPr>
          <w:p w14:paraId="2459FB6B"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55</w:t>
            </w:r>
          </w:p>
        </w:tc>
        <w:tc>
          <w:tcPr>
            <w:tcW w:w="1110" w:type="dxa"/>
            <w:tcBorders>
              <w:top w:val="single" w:sz="6" w:space="0" w:color="auto"/>
              <w:left w:val="single" w:sz="6" w:space="0" w:color="auto"/>
              <w:bottom w:val="single" w:sz="6" w:space="0" w:color="auto"/>
              <w:right w:val="single" w:sz="6" w:space="0" w:color="auto"/>
            </w:tcBorders>
            <w:shd w:val="clear" w:color="000000" w:fill="FFFFFF"/>
          </w:tcPr>
          <w:p w14:paraId="2B0F0DD1"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60</w:t>
            </w:r>
          </w:p>
        </w:tc>
      </w:tr>
      <w:tr w:rsidR="00A74CDF" w:rsidRPr="00F01347" w14:paraId="68D079AF" w14:textId="77777777">
        <w:trPr>
          <w:trHeight w:val="20"/>
        </w:trPr>
        <w:tc>
          <w:tcPr>
            <w:tcW w:w="8712" w:type="dxa"/>
            <w:gridSpan w:val="7"/>
            <w:tcBorders>
              <w:top w:val="single" w:sz="6" w:space="0" w:color="auto"/>
            </w:tcBorders>
            <w:shd w:val="clear" w:color="000000" w:fill="FFFFFF"/>
          </w:tcPr>
          <w:p w14:paraId="23395076" w14:textId="77777777" w:rsidR="00A74CDF" w:rsidRPr="00F01347" w:rsidRDefault="00A74CDF" w:rsidP="003A601B">
            <w:pPr>
              <w:pStyle w:val="texto0"/>
              <w:ind w:firstLine="0"/>
              <w:rPr>
                <w:rFonts w:ascii="Verdana" w:hAnsi="Verdana"/>
                <w:color w:val="000000"/>
                <w:sz w:val="16"/>
                <w:szCs w:val="16"/>
              </w:rPr>
            </w:pPr>
            <w:r w:rsidRPr="00F01347">
              <w:rPr>
                <w:rFonts w:ascii="Verdana" w:hAnsi="Verdana"/>
                <w:color w:val="000000"/>
                <w:sz w:val="16"/>
                <w:szCs w:val="16"/>
                <w:vertAlign w:val="superscript"/>
              </w:rPr>
              <w:t>a</w:t>
            </w:r>
            <w:r w:rsidRPr="00F01347">
              <w:rPr>
                <w:rFonts w:ascii="Verdana" w:hAnsi="Verdana"/>
                <w:color w:val="000000"/>
                <w:sz w:val="16"/>
                <w:szCs w:val="16"/>
              </w:rPr>
              <w:t xml:space="preserve"> Un cromatograma ejemplo de los analitos se muestra en la Fig. B.1.1-1</w:t>
            </w:r>
          </w:p>
        </w:tc>
      </w:tr>
      <w:tr w:rsidR="00A74CDF" w:rsidRPr="00F01347" w14:paraId="4485D541" w14:textId="77777777">
        <w:trPr>
          <w:trHeight w:val="20"/>
        </w:trPr>
        <w:tc>
          <w:tcPr>
            <w:tcW w:w="8712" w:type="dxa"/>
            <w:gridSpan w:val="7"/>
            <w:shd w:val="clear" w:color="000000" w:fill="FFFFFF"/>
          </w:tcPr>
          <w:p w14:paraId="20D91EF8" w14:textId="77777777" w:rsidR="00A74CDF" w:rsidRPr="00F01347" w:rsidRDefault="00A74CDF" w:rsidP="003A601B">
            <w:pPr>
              <w:pStyle w:val="texto0"/>
              <w:ind w:firstLine="0"/>
              <w:rPr>
                <w:rFonts w:ascii="Verdana" w:hAnsi="Verdana"/>
                <w:color w:val="000000"/>
                <w:sz w:val="16"/>
                <w:szCs w:val="16"/>
              </w:rPr>
            </w:pPr>
            <w:r w:rsidRPr="00F01347">
              <w:rPr>
                <w:rFonts w:ascii="Verdana" w:hAnsi="Verdana"/>
                <w:color w:val="000000"/>
                <w:sz w:val="16"/>
                <w:szCs w:val="16"/>
                <w:vertAlign w:val="superscript"/>
              </w:rPr>
              <w:t>b</w:t>
            </w:r>
            <w:r w:rsidRPr="00F01347">
              <w:rPr>
                <w:rFonts w:ascii="Verdana" w:hAnsi="Verdana"/>
                <w:color w:val="000000"/>
                <w:sz w:val="16"/>
                <w:szCs w:val="16"/>
              </w:rPr>
              <w:t xml:space="preserve"> Los segmentos con duraciones de tiempo en los cuales uno o múltiples eventos de escaneo ocurren.</w:t>
            </w:r>
          </w:p>
        </w:tc>
      </w:tr>
      <w:tr w:rsidR="00A74CDF" w:rsidRPr="00F01347" w14:paraId="511582B4" w14:textId="77777777">
        <w:trPr>
          <w:trHeight w:val="20"/>
        </w:trPr>
        <w:tc>
          <w:tcPr>
            <w:tcW w:w="8712" w:type="dxa"/>
            <w:gridSpan w:val="7"/>
            <w:shd w:val="clear" w:color="000000" w:fill="FFFFFF"/>
          </w:tcPr>
          <w:p w14:paraId="5D52EB30" w14:textId="77777777" w:rsidR="00A74CDF" w:rsidRPr="00F01347" w:rsidRDefault="00A74CDF" w:rsidP="003A601B">
            <w:pPr>
              <w:pStyle w:val="texto0"/>
              <w:ind w:firstLine="0"/>
              <w:rPr>
                <w:rFonts w:ascii="Verdana" w:hAnsi="Verdana"/>
                <w:color w:val="000000"/>
                <w:sz w:val="16"/>
                <w:szCs w:val="16"/>
              </w:rPr>
            </w:pPr>
            <w:r w:rsidRPr="00F01347">
              <w:rPr>
                <w:rFonts w:ascii="Verdana" w:hAnsi="Verdana"/>
                <w:color w:val="000000"/>
                <w:sz w:val="16"/>
                <w:szCs w:val="16"/>
                <w:vertAlign w:val="superscript"/>
              </w:rPr>
              <w:t>c</w:t>
            </w:r>
            <w:r w:rsidRPr="00F01347">
              <w:rPr>
                <w:rFonts w:ascii="Verdana" w:hAnsi="Verdana"/>
                <w:color w:val="000000"/>
                <w:sz w:val="16"/>
                <w:szCs w:val="16"/>
              </w:rPr>
              <w:t xml:space="preserve"> Durante la optimización MS y MS/MS, el analista debe determinar las masas del ion precursor</w:t>
            </w:r>
            <w:r w:rsidR="000550B5" w:rsidRPr="00F01347">
              <w:rPr>
                <w:rFonts w:ascii="Verdana" w:hAnsi="Verdana"/>
                <w:color w:val="000000"/>
                <w:sz w:val="16"/>
                <w:szCs w:val="16"/>
              </w:rPr>
              <w:t xml:space="preserve"> </w:t>
            </w:r>
            <w:r w:rsidRPr="00F01347">
              <w:rPr>
                <w:rFonts w:ascii="Verdana" w:hAnsi="Verdana"/>
                <w:color w:val="000000"/>
                <w:sz w:val="16"/>
                <w:szCs w:val="16"/>
              </w:rPr>
              <w:t>y producto a un lugar decimal localizando el lugar del apéndice de los picos de las masas espectrales</w:t>
            </w:r>
            <w:r w:rsidR="000550B5" w:rsidRPr="00F01347">
              <w:rPr>
                <w:rFonts w:ascii="Verdana" w:hAnsi="Verdana"/>
                <w:color w:val="000000"/>
                <w:sz w:val="16"/>
                <w:szCs w:val="16"/>
              </w:rPr>
              <w:t xml:space="preserve"> </w:t>
            </w:r>
            <w:r w:rsidRPr="00F01347">
              <w:rPr>
                <w:rFonts w:ascii="Verdana" w:hAnsi="Verdana"/>
                <w:color w:val="000000"/>
                <w:sz w:val="16"/>
                <w:szCs w:val="16"/>
              </w:rPr>
              <w:t>(p.ej. m/z 523.4 - 134.9 para MC-YR. Estas masas de iones precursores y productos (con un lugar decimal) deben usarse en el método MS/MS para todos los análisis.</w:t>
            </w:r>
          </w:p>
        </w:tc>
      </w:tr>
      <w:tr w:rsidR="00A74CDF" w:rsidRPr="00F01347" w14:paraId="6ABF41F9" w14:textId="77777777">
        <w:trPr>
          <w:trHeight w:val="20"/>
        </w:trPr>
        <w:tc>
          <w:tcPr>
            <w:tcW w:w="8712" w:type="dxa"/>
            <w:gridSpan w:val="7"/>
            <w:shd w:val="clear" w:color="000000" w:fill="FFFFFF"/>
          </w:tcPr>
          <w:p w14:paraId="41440D4E" w14:textId="77777777" w:rsidR="00A74CDF" w:rsidRPr="00F01347" w:rsidRDefault="00A74CDF" w:rsidP="003A601B">
            <w:pPr>
              <w:pStyle w:val="texto0"/>
              <w:ind w:firstLine="0"/>
              <w:rPr>
                <w:rFonts w:ascii="Verdana" w:hAnsi="Verdana"/>
                <w:color w:val="000000"/>
                <w:sz w:val="16"/>
                <w:szCs w:val="16"/>
              </w:rPr>
            </w:pPr>
            <w:r w:rsidRPr="00F01347">
              <w:rPr>
                <w:rFonts w:ascii="Verdana" w:hAnsi="Verdana"/>
                <w:color w:val="000000"/>
                <w:sz w:val="16"/>
                <w:szCs w:val="16"/>
                <w:vertAlign w:val="superscript"/>
              </w:rPr>
              <w:t>d</w:t>
            </w:r>
            <w:r w:rsidRPr="00F01347">
              <w:rPr>
                <w:rFonts w:ascii="Verdana" w:hAnsi="Verdana"/>
                <w:color w:val="000000"/>
                <w:sz w:val="16"/>
                <w:szCs w:val="16"/>
              </w:rPr>
              <w:t xml:space="preserve"> Iones usados con propósito de cuantificación</w:t>
            </w:r>
          </w:p>
        </w:tc>
      </w:tr>
      <w:tr w:rsidR="00A74CDF" w:rsidRPr="00F01347" w14:paraId="75C4E5F4" w14:textId="77777777">
        <w:trPr>
          <w:trHeight w:val="20"/>
        </w:trPr>
        <w:tc>
          <w:tcPr>
            <w:tcW w:w="8712" w:type="dxa"/>
            <w:gridSpan w:val="7"/>
            <w:shd w:val="clear" w:color="000000" w:fill="FFFFFF"/>
          </w:tcPr>
          <w:p w14:paraId="4652E917" w14:textId="77777777" w:rsidR="00A74CDF" w:rsidRPr="00F01347" w:rsidRDefault="00A74CDF" w:rsidP="003A601B">
            <w:pPr>
              <w:pStyle w:val="texto0"/>
              <w:ind w:firstLine="0"/>
              <w:rPr>
                <w:rFonts w:ascii="Verdana" w:hAnsi="Verdana"/>
                <w:color w:val="000000"/>
                <w:sz w:val="16"/>
                <w:szCs w:val="16"/>
              </w:rPr>
            </w:pPr>
            <w:proofErr w:type="spellStart"/>
            <w:r w:rsidRPr="00F01347">
              <w:rPr>
                <w:rFonts w:ascii="Verdana" w:hAnsi="Verdana"/>
                <w:color w:val="000000"/>
                <w:sz w:val="16"/>
                <w:szCs w:val="16"/>
                <w:vertAlign w:val="superscript"/>
              </w:rPr>
              <w:t>e</w:t>
            </w:r>
            <w:proofErr w:type="spellEnd"/>
            <w:r w:rsidRPr="00F01347">
              <w:rPr>
                <w:rFonts w:ascii="Verdana" w:hAnsi="Verdana"/>
                <w:color w:val="000000"/>
                <w:sz w:val="16"/>
                <w:szCs w:val="16"/>
              </w:rPr>
              <w:t xml:space="preserve"> Se utilizó argón como gas de colisión en un flujo de 0.3 </w:t>
            </w:r>
            <w:proofErr w:type="spellStart"/>
            <w:r w:rsidRPr="00F01347">
              <w:rPr>
                <w:rFonts w:ascii="Verdana" w:hAnsi="Verdana"/>
                <w:color w:val="000000"/>
                <w:sz w:val="16"/>
                <w:szCs w:val="16"/>
              </w:rPr>
              <w:t>mL</w:t>
            </w:r>
            <w:proofErr w:type="spellEnd"/>
            <w:r w:rsidRPr="00F01347">
              <w:rPr>
                <w:rFonts w:ascii="Verdana" w:hAnsi="Verdana"/>
                <w:color w:val="000000"/>
                <w:sz w:val="16"/>
                <w:szCs w:val="16"/>
              </w:rPr>
              <w:t>/min</w:t>
            </w:r>
          </w:p>
        </w:tc>
      </w:tr>
      <w:tr w:rsidR="00A41C64" w:rsidRPr="00F01347" w14:paraId="1191548C" w14:textId="77777777">
        <w:trPr>
          <w:trHeight w:val="20"/>
        </w:trPr>
        <w:tc>
          <w:tcPr>
            <w:tcW w:w="8712" w:type="dxa"/>
            <w:gridSpan w:val="7"/>
            <w:shd w:val="clear" w:color="000000" w:fill="FFFFFF"/>
          </w:tcPr>
          <w:p w14:paraId="0045D1E1" w14:textId="77777777" w:rsidR="00A41C64" w:rsidRPr="00F01347" w:rsidRDefault="00A41C64" w:rsidP="003A601B">
            <w:pPr>
              <w:pStyle w:val="texto0"/>
              <w:ind w:firstLine="0"/>
              <w:rPr>
                <w:rFonts w:ascii="Verdana" w:hAnsi="Verdana"/>
                <w:color w:val="000000"/>
                <w:sz w:val="16"/>
                <w:szCs w:val="16"/>
                <w:vertAlign w:val="superscript"/>
              </w:rPr>
            </w:pPr>
          </w:p>
        </w:tc>
      </w:tr>
    </w:tbl>
    <w:p w14:paraId="1DB6B03D" w14:textId="6EB907AD" w:rsidR="00A74CDF" w:rsidRPr="00F01347" w:rsidRDefault="00A74CDF" w:rsidP="003A601B">
      <w:pPr>
        <w:pStyle w:val="texto0"/>
        <w:spacing w:line="240" w:lineRule="auto"/>
        <w:ind w:firstLine="0"/>
        <w:rPr>
          <w:rFonts w:ascii="Verdana" w:hAnsi="Verdana"/>
          <w:sz w:val="16"/>
          <w:szCs w:val="16"/>
        </w:rPr>
      </w:pPr>
    </w:p>
    <w:p w14:paraId="06D746EA" w14:textId="77777777" w:rsidR="00A41C64" w:rsidRPr="00F01347" w:rsidRDefault="00A41C64" w:rsidP="00A41C64">
      <w:pPr>
        <w:pStyle w:val="texto0"/>
        <w:ind w:firstLine="0"/>
        <w:jc w:val="center"/>
        <w:rPr>
          <w:rFonts w:ascii="Verdana" w:hAnsi="Verdana"/>
          <w:b/>
          <w:color w:val="000000"/>
          <w:sz w:val="16"/>
          <w:szCs w:val="16"/>
          <w:lang w:val="en"/>
        </w:rPr>
      </w:pPr>
      <w:r w:rsidRPr="00F01347">
        <w:rPr>
          <w:rFonts w:ascii="Verdana" w:hAnsi="Verdana"/>
          <w:b/>
          <w:color w:val="000000"/>
          <w:sz w:val="16"/>
          <w:szCs w:val="16"/>
          <w:lang w:val="en-US"/>
        </w:rPr>
        <w:t xml:space="preserve">Table B.1.2-9. </w:t>
      </w:r>
      <w:r w:rsidRPr="00F01347">
        <w:rPr>
          <w:rFonts w:ascii="Verdana" w:hAnsi="Verdana"/>
          <w:color w:val="000000"/>
          <w:sz w:val="16"/>
          <w:szCs w:val="16"/>
          <w:lang w:val="en-US"/>
        </w:rPr>
        <w:t xml:space="preserve">Conditions of the MS/MS method </w:t>
      </w:r>
      <w:r w:rsidRPr="00F01347">
        <w:rPr>
          <w:rFonts w:ascii="Verdana" w:hAnsi="Verdana"/>
          <w:color w:val="000000"/>
          <w:sz w:val="16"/>
          <w:szCs w:val="16"/>
          <w:vertAlign w:val="superscript"/>
          <w:lang w:val="en-US"/>
        </w:rPr>
        <w:t>a</w:t>
      </w:r>
    </w:p>
    <w:tbl>
      <w:tblPr>
        <w:tblW w:w="8715" w:type="dxa"/>
        <w:tblInd w:w="144" w:type="dxa"/>
        <w:tblLayout w:type="fixed"/>
        <w:tblCellMar>
          <w:left w:w="70" w:type="dxa"/>
          <w:right w:w="70" w:type="dxa"/>
        </w:tblCellMar>
        <w:tblLook w:val="04A0" w:firstRow="1" w:lastRow="0" w:firstColumn="1" w:lastColumn="0" w:noHBand="0" w:noVBand="1"/>
      </w:tblPr>
      <w:tblGrid>
        <w:gridCol w:w="1149"/>
        <w:gridCol w:w="2046"/>
        <w:gridCol w:w="971"/>
        <w:gridCol w:w="1454"/>
        <w:gridCol w:w="1134"/>
        <w:gridCol w:w="851"/>
        <w:gridCol w:w="1110"/>
      </w:tblGrid>
      <w:tr w:rsidR="00A41C64" w:rsidRPr="00F01347" w14:paraId="27635526" w14:textId="77777777" w:rsidTr="00A41C64">
        <w:trPr>
          <w:trHeight w:val="20"/>
        </w:trPr>
        <w:tc>
          <w:tcPr>
            <w:tcW w:w="1148" w:type="dxa"/>
            <w:tcBorders>
              <w:top w:val="single" w:sz="6" w:space="0" w:color="auto"/>
              <w:left w:val="single" w:sz="6" w:space="0" w:color="auto"/>
              <w:bottom w:val="single" w:sz="6" w:space="0" w:color="auto"/>
              <w:right w:val="single" w:sz="6" w:space="0" w:color="auto"/>
            </w:tcBorders>
            <w:shd w:val="clear" w:color="auto" w:fill="FFFFFF"/>
            <w:noWrap/>
            <w:hideMark/>
          </w:tcPr>
          <w:p w14:paraId="0BC82261" w14:textId="77777777" w:rsidR="00A41C64" w:rsidRPr="00F01347" w:rsidRDefault="00A41C64">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 xml:space="preserve">Segment </w:t>
            </w:r>
            <w:r w:rsidRPr="00F01347">
              <w:rPr>
                <w:rFonts w:ascii="Verdana" w:hAnsi="Verdana"/>
                <w:b/>
                <w:color w:val="000000"/>
                <w:sz w:val="16"/>
                <w:szCs w:val="16"/>
                <w:vertAlign w:val="superscript"/>
                <w:lang w:val="en-US"/>
              </w:rPr>
              <w:t>b</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14:paraId="17DB8C87" w14:textId="77777777" w:rsidR="00A41C64" w:rsidRPr="00F01347" w:rsidRDefault="00A41C64">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Analyte</w:t>
            </w:r>
          </w:p>
        </w:tc>
        <w:tc>
          <w:tcPr>
            <w:tcW w:w="24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CAACDBD" w14:textId="77777777" w:rsidR="00A41C64" w:rsidRPr="00F01347" w:rsidRDefault="00A41C64">
            <w:pPr>
              <w:pStyle w:val="texto0"/>
              <w:ind w:firstLine="0"/>
              <w:jc w:val="center"/>
              <w:rPr>
                <w:rFonts w:ascii="Verdana" w:hAnsi="Verdana"/>
                <w:b/>
                <w:color w:val="000000"/>
                <w:sz w:val="16"/>
                <w:szCs w:val="16"/>
              </w:rPr>
            </w:pPr>
            <w:r w:rsidRPr="00F01347">
              <w:rPr>
                <w:rFonts w:ascii="Verdana" w:hAnsi="Verdana"/>
                <w:b/>
                <w:color w:val="000000"/>
                <w:sz w:val="16"/>
                <w:szCs w:val="16"/>
              </w:rPr>
              <w:t xml:space="preserve">precursor ion </w:t>
            </w:r>
            <w:r w:rsidRPr="00F01347">
              <w:rPr>
                <w:rFonts w:ascii="Verdana" w:hAnsi="Verdana"/>
                <w:b/>
                <w:color w:val="000000"/>
                <w:sz w:val="16"/>
                <w:szCs w:val="16"/>
                <w:vertAlign w:val="superscript"/>
              </w:rPr>
              <w:t xml:space="preserve">c </w:t>
            </w:r>
            <w:r w:rsidRPr="00F01347">
              <w:rPr>
                <w:rFonts w:ascii="Verdana" w:hAnsi="Verdana"/>
                <w:b/>
                <w:color w:val="000000"/>
                <w:sz w:val="16"/>
                <w:szCs w:val="16"/>
              </w:rPr>
              <w:t>(m/z)</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1FA3BC6E" w14:textId="77777777" w:rsidR="00A41C64" w:rsidRPr="00F01347" w:rsidRDefault="00A41C64">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 xml:space="preserve">product ion </w:t>
            </w:r>
            <w:r w:rsidRPr="00F01347">
              <w:rPr>
                <w:rFonts w:ascii="Verdana" w:hAnsi="Verdana"/>
                <w:b/>
                <w:color w:val="000000"/>
                <w:sz w:val="16"/>
                <w:szCs w:val="16"/>
                <w:vertAlign w:val="superscript"/>
                <w:lang w:val="en-US"/>
              </w:rPr>
              <w:t xml:space="preserve">d </w:t>
            </w:r>
            <w:r w:rsidRPr="00F01347">
              <w:rPr>
                <w:rFonts w:ascii="Verdana" w:hAnsi="Verdana"/>
                <w:b/>
                <w:color w:val="000000"/>
                <w:sz w:val="16"/>
                <w:szCs w:val="16"/>
                <w:lang w:val="en-US"/>
              </w:rPr>
              <w:t>(m/z)</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14:paraId="67808999" w14:textId="77777777" w:rsidR="00A41C64" w:rsidRPr="00F01347" w:rsidRDefault="00A41C64">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cone voltage (v)</w:t>
            </w:r>
          </w:p>
        </w:tc>
        <w:tc>
          <w:tcPr>
            <w:tcW w:w="1110" w:type="dxa"/>
            <w:tcBorders>
              <w:top w:val="single" w:sz="6" w:space="0" w:color="auto"/>
              <w:left w:val="single" w:sz="6" w:space="0" w:color="auto"/>
              <w:bottom w:val="single" w:sz="6" w:space="0" w:color="auto"/>
              <w:right w:val="single" w:sz="6" w:space="0" w:color="auto"/>
            </w:tcBorders>
            <w:shd w:val="clear" w:color="auto" w:fill="FFFFFF"/>
            <w:hideMark/>
          </w:tcPr>
          <w:p w14:paraId="492B90EB" w14:textId="77777777" w:rsidR="00A41C64" w:rsidRPr="00F01347" w:rsidRDefault="00A41C64">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 xml:space="preserve">collision energy </w:t>
            </w:r>
            <w:r w:rsidRPr="00F01347">
              <w:rPr>
                <w:rFonts w:ascii="Verdana" w:hAnsi="Verdana"/>
                <w:b/>
                <w:color w:val="000000"/>
                <w:sz w:val="16"/>
                <w:szCs w:val="16"/>
                <w:vertAlign w:val="superscript"/>
                <w:lang w:val="en-US"/>
              </w:rPr>
              <w:t xml:space="preserve">e </w:t>
            </w:r>
            <w:r w:rsidRPr="00F01347">
              <w:rPr>
                <w:rFonts w:ascii="Verdana" w:hAnsi="Verdana"/>
                <w:b/>
                <w:color w:val="000000"/>
                <w:sz w:val="16"/>
                <w:szCs w:val="16"/>
                <w:lang w:val="en-US"/>
              </w:rPr>
              <w:t>(v)</w:t>
            </w:r>
          </w:p>
        </w:tc>
      </w:tr>
      <w:tr w:rsidR="00A41C64" w:rsidRPr="00F01347" w14:paraId="7F305BD2" w14:textId="77777777" w:rsidTr="00A41C64">
        <w:trPr>
          <w:trHeight w:val="20"/>
        </w:trPr>
        <w:tc>
          <w:tcPr>
            <w:tcW w:w="1148" w:type="dxa"/>
            <w:tcBorders>
              <w:top w:val="single" w:sz="6" w:space="0" w:color="auto"/>
              <w:left w:val="single" w:sz="6" w:space="0" w:color="auto"/>
              <w:bottom w:val="single" w:sz="6" w:space="0" w:color="auto"/>
              <w:right w:val="single" w:sz="6" w:space="0" w:color="auto"/>
            </w:tcBorders>
            <w:shd w:val="clear" w:color="auto" w:fill="FFFFFF"/>
            <w:hideMark/>
          </w:tcPr>
          <w:p w14:paraId="28C65B1D"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14:paraId="5CA225E0"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MC-YR</w:t>
            </w:r>
          </w:p>
        </w:tc>
        <w:tc>
          <w:tcPr>
            <w:tcW w:w="971" w:type="dxa"/>
            <w:tcBorders>
              <w:top w:val="single" w:sz="6" w:space="0" w:color="auto"/>
              <w:left w:val="single" w:sz="6" w:space="0" w:color="auto"/>
              <w:bottom w:val="single" w:sz="6" w:space="0" w:color="auto"/>
              <w:right w:val="nil"/>
            </w:tcBorders>
            <w:shd w:val="clear" w:color="auto" w:fill="FFFFFF"/>
            <w:hideMark/>
          </w:tcPr>
          <w:p w14:paraId="5393E102"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523.4</w:t>
            </w:r>
          </w:p>
        </w:tc>
        <w:tc>
          <w:tcPr>
            <w:tcW w:w="1453" w:type="dxa"/>
            <w:tcBorders>
              <w:top w:val="single" w:sz="6" w:space="0" w:color="auto"/>
              <w:left w:val="nil"/>
              <w:bottom w:val="single" w:sz="6" w:space="0" w:color="auto"/>
              <w:right w:val="single" w:sz="6" w:space="0" w:color="auto"/>
            </w:tcBorders>
            <w:shd w:val="clear" w:color="auto" w:fill="FFFFFF"/>
            <w:hideMark/>
          </w:tcPr>
          <w:p w14:paraId="6B2BF360"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[M+2H] </w:t>
            </w:r>
            <w:r w:rsidRPr="00F01347">
              <w:rPr>
                <w:rFonts w:ascii="Verdana" w:hAnsi="Verdana"/>
                <w:color w:val="000000"/>
                <w:sz w:val="16"/>
                <w:szCs w:val="16"/>
                <w:vertAlign w:val="superscript"/>
                <w:lang w:val="en-US"/>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10248810"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134.9</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14:paraId="64848DB9" w14:textId="6B2434EC" w:rsidR="00A41C64" w:rsidRPr="00F01347" w:rsidRDefault="006872B6">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20</w:t>
            </w:r>
          </w:p>
        </w:tc>
        <w:tc>
          <w:tcPr>
            <w:tcW w:w="1110" w:type="dxa"/>
            <w:tcBorders>
              <w:top w:val="single" w:sz="6" w:space="0" w:color="auto"/>
              <w:left w:val="single" w:sz="6" w:space="0" w:color="auto"/>
              <w:bottom w:val="single" w:sz="6" w:space="0" w:color="auto"/>
              <w:right w:val="single" w:sz="6" w:space="0" w:color="auto"/>
            </w:tcBorders>
            <w:shd w:val="clear" w:color="auto" w:fill="FFFFFF"/>
            <w:hideMark/>
          </w:tcPr>
          <w:p w14:paraId="4C3DF016" w14:textId="3B436B7F" w:rsidR="00A41C64" w:rsidRPr="00F01347" w:rsidRDefault="006872B6">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15</w:t>
            </w:r>
          </w:p>
        </w:tc>
      </w:tr>
      <w:tr w:rsidR="00A41C64" w:rsidRPr="00F01347" w14:paraId="1FC77451" w14:textId="77777777" w:rsidTr="00A41C64">
        <w:trPr>
          <w:trHeight w:val="20"/>
        </w:trPr>
        <w:tc>
          <w:tcPr>
            <w:tcW w:w="1148" w:type="dxa"/>
            <w:tcBorders>
              <w:top w:val="single" w:sz="6" w:space="0" w:color="auto"/>
              <w:left w:val="single" w:sz="6" w:space="0" w:color="auto"/>
              <w:bottom w:val="single" w:sz="6" w:space="0" w:color="auto"/>
              <w:right w:val="single" w:sz="6" w:space="0" w:color="auto"/>
            </w:tcBorders>
            <w:shd w:val="clear" w:color="auto" w:fill="FFFFFF"/>
            <w:hideMark/>
          </w:tcPr>
          <w:p w14:paraId="7D3F93B4"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14:paraId="0B124985"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Nodularin -R</w:t>
            </w:r>
          </w:p>
        </w:tc>
        <w:tc>
          <w:tcPr>
            <w:tcW w:w="971" w:type="dxa"/>
            <w:tcBorders>
              <w:top w:val="single" w:sz="6" w:space="0" w:color="auto"/>
              <w:left w:val="single" w:sz="6" w:space="0" w:color="auto"/>
              <w:bottom w:val="single" w:sz="6" w:space="0" w:color="auto"/>
              <w:right w:val="nil"/>
            </w:tcBorders>
            <w:shd w:val="clear" w:color="auto" w:fill="FFFFFF"/>
            <w:hideMark/>
          </w:tcPr>
          <w:p w14:paraId="579B20CC"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825.4</w:t>
            </w:r>
          </w:p>
        </w:tc>
        <w:tc>
          <w:tcPr>
            <w:tcW w:w="1453" w:type="dxa"/>
            <w:tcBorders>
              <w:top w:val="single" w:sz="6" w:space="0" w:color="auto"/>
              <w:left w:val="nil"/>
              <w:bottom w:val="single" w:sz="6" w:space="0" w:color="auto"/>
              <w:right w:val="single" w:sz="6" w:space="0" w:color="auto"/>
            </w:tcBorders>
            <w:shd w:val="clear" w:color="auto" w:fill="FFFFFF"/>
            <w:hideMark/>
          </w:tcPr>
          <w:p w14:paraId="754615C3"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[M+H] </w:t>
            </w:r>
            <w:r w:rsidRPr="00F01347">
              <w:rPr>
                <w:rFonts w:ascii="Verdana" w:hAnsi="Verdana"/>
                <w:color w:val="000000"/>
                <w:sz w:val="16"/>
                <w:szCs w:val="16"/>
                <w:vertAlign w:val="superscript"/>
                <w:lang w:val="en-US"/>
              </w:rPr>
              <w:t>+</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1CBDCA03"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134.9</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14:paraId="37FB856B" w14:textId="5DDDF4AF" w:rsidR="00A41C64" w:rsidRPr="00F01347" w:rsidRDefault="006872B6">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45</w:t>
            </w:r>
          </w:p>
        </w:tc>
        <w:tc>
          <w:tcPr>
            <w:tcW w:w="1110" w:type="dxa"/>
            <w:tcBorders>
              <w:top w:val="single" w:sz="6" w:space="0" w:color="auto"/>
              <w:left w:val="single" w:sz="6" w:space="0" w:color="auto"/>
              <w:bottom w:val="single" w:sz="6" w:space="0" w:color="auto"/>
              <w:right w:val="single" w:sz="6" w:space="0" w:color="auto"/>
            </w:tcBorders>
            <w:shd w:val="clear" w:color="auto" w:fill="FFFFFF"/>
            <w:hideMark/>
          </w:tcPr>
          <w:p w14:paraId="473A39C7"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55</w:t>
            </w:r>
          </w:p>
        </w:tc>
      </w:tr>
      <w:tr w:rsidR="00A41C64" w:rsidRPr="00F01347" w14:paraId="641B570D" w14:textId="77777777" w:rsidTr="00A41C64">
        <w:trPr>
          <w:trHeight w:val="20"/>
        </w:trPr>
        <w:tc>
          <w:tcPr>
            <w:tcW w:w="1148" w:type="dxa"/>
            <w:tcBorders>
              <w:top w:val="single" w:sz="6" w:space="0" w:color="auto"/>
              <w:left w:val="single" w:sz="6" w:space="0" w:color="auto"/>
              <w:bottom w:val="single" w:sz="6" w:space="0" w:color="auto"/>
              <w:right w:val="single" w:sz="6" w:space="0" w:color="auto"/>
            </w:tcBorders>
            <w:shd w:val="clear" w:color="auto" w:fill="FFFFFF"/>
            <w:hideMark/>
          </w:tcPr>
          <w:p w14:paraId="41C605EB"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14:paraId="64DDCE94"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MC-RR</w:t>
            </w:r>
          </w:p>
        </w:tc>
        <w:tc>
          <w:tcPr>
            <w:tcW w:w="971" w:type="dxa"/>
            <w:tcBorders>
              <w:top w:val="single" w:sz="6" w:space="0" w:color="auto"/>
              <w:left w:val="single" w:sz="6" w:space="0" w:color="auto"/>
              <w:bottom w:val="single" w:sz="6" w:space="0" w:color="auto"/>
              <w:right w:val="nil"/>
            </w:tcBorders>
            <w:shd w:val="clear" w:color="auto" w:fill="FFFFFF"/>
            <w:hideMark/>
          </w:tcPr>
          <w:p w14:paraId="2C4AE52D"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519.9</w:t>
            </w:r>
          </w:p>
        </w:tc>
        <w:tc>
          <w:tcPr>
            <w:tcW w:w="1453" w:type="dxa"/>
            <w:tcBorders>
              <w:top w:val="single" w:sz="6" w:space="0" w:color="auto"/>
              <w:left w:val="nil"/>
              <w:bottom w:val="single" w:sz="6" w:space="0" w:color="auto"/>
              <w:right w:val="single" w:sz="6" w:space="0" w:color="auto"/>
            </w:tcBorders>
            <w:shd w:val="clear" w:color="auto" w:fill="FFFFFF"/>
            <w:hideMark/>
          </w:tcPr>
          <w:p w14:paraId="5046A7EB"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[M+2H] </w:t>
            </w:r>
            <w:r w:rsidRPr="00F01347">
              <w:rPr>
                <w:rFonts w:ascii="Verdana" w:hAnsi="Verdana"/>
                <w:color w:val="000000"/>
                <w:sz w:val="16"/>
                <w:szCs w:val="16"/>
                <w:vertAlign w:val="superscript"/>
                <w:lang w:val="en-US"/>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41A4C188"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134.9</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14:paraId="68A14C1B"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35</w:t>
            </w:r>
          </w:p>
        </w:tc>
        <w:tc>
          <w:tcPr>
            <w:tcW w:w="1110" w:type="dxa"/>
            <w:tcBorders>
              <w:top w:val="single" w:sz="6" w:space="0" w:color="auto"/>
              <w:left w:val="single" w:sz="6" w:space="0" w:color="auto"/>
              <w:bottom w:val="single" w:sz="6" w:space="0" w:color="auto"/>
              <w:right w:val="single" w:sz="6" w:space="0" w:color="auto"/>
            </w:tcBorders>
            <w:shd w:val="clear" w:color="auto" w:fill="FFFFFF"/>
            <w:hideMark/>
          </w:tcPr>
          <w:p w14:paraId="0EF18F83"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30</w:t>
            </w:r>
          </w:p>
        </w:tc>
      </w:tr>
      <w:tr w:rsidR="00A41C64" w:rsidRPr="00F01347" w14:paraId="0D80D68E" w14:textId="77777777" w:rsidTr="00A41C64">
        <w:trPr>
          <w:trHeight w:val="20"/>
        </w:trPr>
        <w:tc>
          <w:tcPr>
            <w:tcW w:w="1148" w:type="dxa"/>
            <w:tcBorders>
              <w:top w:val="single" w:sz="6" w:space="0" w:color="auto"/>
              <w:left w:val="single" w:sz="6" w:space="0" w:color="auto"/>
              <w:bottom w:val="single" w:sz="6" w:space="0" w:color="auto"/>
              <w:right w:val="single" w:sz="6" w:space="0" w:color="auto"/>
            </w:tcBorders>
            <w:shd w:val="clear" w:color="auto" w:fill="FFFFFF"/>
            <w:hideMark/>
          </w:tcPr>
          <w:p w14:paraId="07E76BFC"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14:paraId="5426695A"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MC-LR</w:t>
            </w:r>
          </w:p>
        </w:tc>
        <w:tc>
          <w:tcPr>
            <w:tcW w:w="971" w:type="dxa"/>
            <w:tcBorders>
              <w:top w:val="single" w:sz="6" w:space="0" w:color="auto"/>
              <w:left w:val="single" w:sz="6" w:space="0" w:color="auto"/>
              <w:bottom w:val="single" w:sz="6" w:space="0" w:color="auto"/>
              <w:right w:val="nil"/>
            </w:tcBorders>
            <w:shd w:val="clear" w:color="auto" w:fill="FFFFFF"/>
            <w:hideMark/>
          </w:tcPr>
          <w:p w14:paraId="60A4947C"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995.5</w:t>
            </w:r>
          </w:p>
        </w:tc>
        <w:tc>
          <w:tcPr>
            <w:tcW w:w="1453" w:type="dxa"/>
            <w:tcBorders>
              <w:top w:val="single" w:sz="6" w:space="0" w:color="auto"/>
              <w:left w:val="nil"/>
              <w:bottom w:val="single" w:sz="6" w:space="0" w:color="auto"/>
              <w:right w:val="single" w:sz="6" w:space="0" w:color="auto"/>
            </w:tcBorders>
            <w:shd w:val="clear" w:color="auto" w:fill="FFFFFF"/>
            <w:hideMark/>
          </w:tcPr>
          <w:p w14:paraId="24E13D61"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[M+H] </w:t>
            </w:r>
            <w:r w:rsidRPr="00F01347">
              <w:rPr>
                <w:rFonts w:ascii="Verdana" w:hAnsi="Verdana"/>
                <w:color w:val="000000"/>
                <w:sz w:val="16"/>
                <w:szCs w:val="16"/>
                <w:vertAlign w:val="superscript"/>
                <w:lang w:val="en-US"/>
              </w:rPr>
              <w:t>+</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6FFC6E07"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134.9</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14:paraId="421600CC"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60</w:t>
            </w:r>
          </w:p>
        </w:tc>
        <w:tc>
          <w:tcPr>
            <w:tcW w:w="1110" w:type="dxa"/>
            <w:tcBorders>
              <w:top w:val="single" w:sz="6" w:space="0" w:color="auto"/>
              <w:left w:val="single" w:sz="6" w:space="0" w:color="auto"/>
              <w:bottom w:val="single" w:sz="6" w:space="0" w:color="auto"/>
              <w:right w:val="single" w:sz="6" w:space="0" w:color="auto"/>
            </w:tcBorders>
            <w:shd w:val="clear" w:color="auto" w:fill="FFFFFF"/>
            <w:hideMark/>
          </w:tcPr>
          <w:p w14:paraId="61296E7F"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65</w:t>
            </w:r>
          </w:p>
        </w:tc>
      </w:tr>
      <w:tr w:rsidR="00A41C64" w:rsidRPr="00F01347" w14:paraId="1D98E489" w14:textId="77777777" w:rsidTr="00A41C64">
        <w:trPr>
          <w:trHeight w:val="20"/>
        </w:trPr>
        <w:tc>
          <w:tcPr>
            <w:tcW w:w="1148" w:type="dxa"/>
            <w:tcBorders>
              <w:top w:val="single" w:sz="6" w:space="0" w:color="auto"/>
              <w:left w:val="single" w:sz="6" w:space="0" w:color="auto"/>
              <w:bottom w:val="single" w:sz="6" w:space="0" w:color="auto"/>
              <w:right w:val="single" w:sz="6" w:space="0" w:color="auto"/>
            </w:tcBorders>
            <w:shd w:val="clear" w:color="auto" w:fill="FFFFFF"/>
            <w:hideMark/>
          </w:tcPr>
          <w:p w14:paraId="22B3C5F4"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2</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14:paraId="65BDD63D"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MC-LA</w:t>
            </w:r>
          </w:p>
        </w:tc>
        <w:tc>
          <w:tcPr>
            <w:tcW w:w="971" w:type="dxa"/>
            <w:tcBorders>
              <w:top w:val="single" w:sz="6" w:space="0" w:color="auto"/>
              <w:left w:val="single" w:sz="6" w:space="0" w:color="auto"/>
              <w:bottom w:val="single" w:sz="6" w:space="0" w:color="auto"/>
              <w:right w:val="nil"/>
            </w:tcBorders>
            <w:shd w:val="clear" w:color="auto" w:fill="FFFFFF"/>
            <w:hideMark/>
          </w:tcPr>
          <w:p w14:paraId="3ED0CFA1"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910.5</w:t>
            </w:r>
          </w:p>
        </w:tc>
        <w:tc>
          <w:tcPr>
            <w:tcW w:w="1453" w:type="dxa"/>
            <w:tcBorders>
              <w:top w:val="single" w:sz="6" w:space="0" w:color="auto"/>
              <w:left w:val="nil"/>
              <w:bottom w:val="single" w:sz="6" w:space="0" w:color="auto"/>
              <w:right w:val="single" w:sz="6" w:space="0" w:color="auto"/>
            </w:tcBorders>
            <w:shd w:val="clear" w:color="auto" w:fill="FFFFFF"/>
            <w:hideMark/>
          </w:tcPr>
          <w:p w14:paraId="6BBA3BC9"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[M+H] </w:t>
            </w:r>
            <w:r w:rsidRPr="00F01347">
              <w:rPr>
                <w:rFonts w:ascii="Verdana" w:hAnsi="Verdana"/>
                <w:color w:val="000000"/>
                <w:sz w:val="16"/>
                <w:szCs w:val="16"/>
                <w:vertAlign w:val="superscript"/>
                <w:lang w:val="en-US"/>
              </w:rPr>
              <w:t>+</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6294883A"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776.4</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14:paraId="773AFCCC"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40</w:t>
            </w:r>
          </w:p>
        </w:tc>
        <w:tc>
          <w:tcPr>
            <w:tcW w:w="1110" w:type="dxa"/>
            <w:tcBorders>
              <w:top w:val="single" w:sz="6" w:space="0" w:color="auto"/>
              <w:left w:val="single" w:sz="6" w:space="0" w:color="auto"/>
              <w:bottom w:val="single" w:sz="6" w:space="0" w:color="auto"/>
              <w:right w:val="single" w:sz="6" w:space="0" w:color="auto"/>
            </w:tcBorders>
            <w:shd w:val="clear" w:color="auto" w:fill="FFFFFF"/>
            <w:hideMark/>
          </w:tcPr>
          <w:p w14:paraId="2D01153F" w14:textId="416AA3B6" w:rsidR="00A41C64" w:rsidRPr="00F01347" w:rsidRDefault="006872B6">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20</w:t>
            </w:r>
          </w:p>
        </w:tc>
      </w:tr>
      <w:tr w:rsidR="00A41C64" w:rsidRPr="00F01347" w14:paraId="68EFC7CF" w14:textId="77777777" w:rsidTr="00A41C64">
        <w:trPr>
          <w:trHeight w:val="20"/>
        </w:trPr>
        <w:tc>
          <w:tcPr>
            <w:tcW w:w="1148" w:type="dxa"/>
            <w:tcBorders>
              <w:top w:val="single" w:sz="6" w:space="0" w:color="auto"/>
              <w:left w:val="single" w:sz="6" w:space="0" w:color="auto"/>
              <w:bottom w:val="single" w:sz="6" w:space="0" w:color="auto"/>
              <w:right w:val="single" w:sz="6" w:space="0" w:color="auto"/>
            </w:tcBorders>
            <w:shd w:val="clear" w:color="auto" w:fill="FFFFFF"/>
            <w:hideMark/>
          </w:tcPr>
          <w:p w14:paraId="0D841CA9"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2</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14:paraId="204C3E69"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MC-LY</w:t>
            </w:r>
          </w:p>
        </w:tc>
        <w:tc>
          <w:tcPr>
            <w:tcW w:w="971" w:type="dxa"/>
            <w:tcBorders>
              <w:top w:val="single" w:sz="6" w:space="0" w:color="auto"/>
              <w:left w:val="single" w:sz="6" w:space="0" w:color="auto"/>
              <w:bottom w:val="single" w:sz="6" w:space="0" w:color="auto"/>
              <w:right w:val="nil"/>
            </w:tcBorders>
            <w:shd w:val="clear" w:color="auto" w:fill="FFFFFF"/>
            <w:hideMark/>
          </w:tcPr>
          <w:p w14:paraId="280312C5"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1002.5</w:t>
            </w:r>
          </w:p>
        </w:tc>
        <w:tc>
          <w:tcPr>
            <w:tcW w:w="1453" w:type="dxa"/>
            <w:tcBorders>
              <w:top w:val="single" w:sz="6" w:space="0" w:color="auto"/>
              <w:left w:val="nil"/>
              <w:bottom w:val="single" w:sz="6" w:space="0" w:color="auto"/>
              <w:right w:val="single" w:sz="6" w:space="0" w:color="auto"/>
            </w:tcBorders>
            <w:shd w:val="clear" w:color="auto" w:fill="FFFFFF"/>
            <w:hideMark/>
          </w:tcPr>
          <w:p w14:paraId="18F3D421"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[M+H] </w:t>
            </w:r>
            <w:r w:rsidRPr="00F01347">
              <w:rPr>
                <w:rFonts w:ascii="Verdana" w:hAnsi="Verdana"/>
                <w:color w:val="000000"/>
                <w:sz w:val="16"/>
                <w:szCs w:val="16"/>
                <w:vertAlign w:val="superscript"/>
                <w:lang w:val="en-US"/>
              </w:rPr>
              <w:t>+</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5D1DB12E"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134.9</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14:paraId="57231E95"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40</w:t>
            </w:r>
          </w:p>
        </w:tc>
        <w:tc>
          <w:tcPr>
            <w:tcW w:w="1110" w:type="dxa"/>
            <w:tcBorders>
              <w:top w:val="single" w:sz="6" w:space="0" w:color="auto"/>
              <w:left w:val="single" w:sz="6" w:space="0" w:color="auto"/>
              <w:bottom w:val="single" w:sz="6" w:space="0" w:color="auto"/>
              <w:right w:val="single" w:sz="6" w:space="0" w:color="auto"/>
            </w:tcBorders>
            <w:shd w:val="clear" w:color="auto" w:fill="FFFFFF"/>
            <w:hideMark/>
          </w:tcPr>
          <w:p w14:paraId="7959110B"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60</w:t>
            </w:r>
          </w:p>
        </w:tc>
      </w:tr>
      <w:tr w:rsidR="00A41C64" w:rsidRPr="00F01347" w14:paraId="34B3DB27" w14:textId="77777777" w:rsidTr="00A41C64">
        <w:trPr>
          <w:trHeight w:val="20"/>
        </w:trPr>
        <w:tc>
          <w:tcPr>
            <w:tcW w:w="1148" w:type="dxa"/>
            <w:tcBorders>
              <w:top w:val="single" w:sz="6" w:space="0" w:color="auto"/>
              <w:left w:val="single" w:sz="6" w:space="0" w:color="auto"/>
              <w:bottom w:val="single" w:sz="6" w:space="0" w:color="auto"/>
              <w:right w:val="single" w:sz="6" w:space="0" w:color="auto"/>
            </w:tcBorders>
            <w:shd w:val="clear" w:color="auto" w:fill="FFFFFF"/>
            <w:hideMark/>
          </w:tcPr>
          <w:p w14:paraId="51D130EE"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3</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14:paraId="614F0768"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MC-LF</w:t>
            </w:r>
          </w:p>
        </w:tc>
        <w:tc>
          <w:tcPr>
            <w:tcW w:w="971" w:type="dxa"/>
            <w:tcBorders>
              <w:top w:val="single" w:sz="6" w:space="0" w:color="auto"/>
              <w:left w:val="single" w:sz="6" w:space="0" w:color="auto"/>
              <w:bottom w:val="single" w:sz="6" w:space="0" w:color="auto"/>
              <w:right w:val="nil"/>
            </w:tcBorders>
            <w:shd w:val="clear" w:color="auto" w:fill="FFFFFF"/>
            <w:hideMark/>
          </w:tcPr>
          <w:p w14:paraId="2FDBFEAB"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986.5</w:t>
            </w:r>
          </w:p>
        </w:tc>
        <w:tc>
          <w:tcPr>
            <w:tcW w:w="1453" w:type="dxa"/>
            <w:tcBorders>
              <w:top w:val="single" w:sz="6" w:space="0" w:color="auto"/>
              <w:left w:val="nil"/>
              <w:bottom w:val="single" w:sz="6" w:space="0" w:color="auto"/>
              <w:right w:val="single" w:sz="6" w:space="0" w:color="auto"/>
            </w:tcBorders>
            <w:shd w:val="clear" w:color="auto" w:fill="FFFFFF"/>
            <w:hideMark/>
          </w:tcPr>
          <w:p w14:paraId="25C5B074"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[M+H] </w:t>
            </w:r>
            <w:r w:rsidRPr="00F01347">
              <w:rPr>
                <w:rFonts w:ascii="Verdana" w:hAnsi="Verdana"/>
                <w:color w:val="000000"/>
                <w:sz w:val="16"/>
                <w:szCs w:val="16"/>
                <w:vertAlign w:val="superscript"/>
                <w:lang w:val="en-US"/>
              </w:rPr>
              <w:t>+</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2C0F0CD0"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134.9</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14:paraId="586B43A7"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40</w:t>
            </w:r>
          </w:p>
        </w:tc>
        <w:tc>
          <w:tcPr>
            <w:tcW w:w="1110" w:type="dxa"/>
            <w:tcBorders>
              <w:top w:val="single" w:sz="6" w:space="0" w:color="auto"/>
              <w:left w:val="single" w:sz="6" w:space="0" w:color="auto"/>
              <w:bottom w:val="single" w:sz="6" w:space="0" w:color="auto"/>
              <w:right w:val="single" w:sz="6" w:space="0" w:color="auto"/>
            </w:tcBorders>
            <w:shd w:val="clear" w:color="auto" w:fill="FFFFFF"/>
            <w:hideMark/>
          </w:tcPr>
          <w:p w14:paraId="260F516F"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60</w:t>
            </w:r>
          </w:p>
        </w:tc>
      </w:tr>
      <w:tr w:rsidR="00A41C64" w:rsidRPr="00F01347" w14:paraId="4A768175" w14:textId="77777777" w:rsidTr="00A41C64">
        <w:trPr>
          <w:trHeight w:val="20"/>
        </w:trPr>
        <w:tc>
          <w:tcPr>
            <w:tcW w:w="1148" w:type="dxa"/>
            <w:tcBorders>
              <w:top w:val="single" w:sz="6" w:space="0" w:color="auto"/>
              <w:left w:val="single" w:sz="6" w:space="0" w:color="auto"/>
              <w:bottom w:val="single" w:sz="6" w:space="0" w:color="auto"/>
              <w:right w:val="single" w:sz="6" w:space="0" w:color="auto"/>
            </w:tcBorders>
            <w:shd w:val="clear" w:color="auto" w:fill="FFFFFF"/>
            <w:hideMark/>
          </w:tcPr>
          <w:p w14:paraId="72EB3A1C"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3</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14:paraId="4521474C" w14:textId="5374635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C2D5-MC-LR (</w:t>
            </w:r>
            <w:r w:rsidR="00AD3EA1" w:rsidRPr="00F01347">
              <w:rPr>
                <w:rFonts w:ascii="Verdana" w:hAnsi="Verdana"/>
                <w:color w:val="000000"/>
                <w:sz w:val="16"/>
                <w:szCs w:val="16"/>
                <w:lang w:val="en-US"/>
              </w:rPr>
              <w:t>SUR</w:t>
            </w:r>
            <w:r w:rsidRPr="00F01347">
              <w:rPr>
                <w:rFonts w:ascii="Verdana" w:hAnsi="Verdana"/>
                <w:color w:val="000000"/>
                <w:sz w:val="16"/>
                <w:szCs w:val="16"/>
                <w:lang w:val="en-US"/>
              </w:rPr>
              <w:t>)</w:t>
            </w:r>
          </w:p>
        </w:tc>
        <w:tc>
          <w:tcPr>
            <w:tcW w:w="971" w:type="dxa"/>
            <w:tcBorders>
              <w:top w:val="single" w:sz="6" w:space="0" w:color="auto"/>
              <w:left w:val="single" w:sz="6" w:space="0" w:color="auto"/>
              <w:bottom w:val="single" w:sz="6" w:space="0" w:color="auto"/>
              <w:right w:val="nil"/>
            </w:tcBorders>
            <w:shd w:val="clear" w:color="auto" w:fill="FFFFFF"/>
            <w:hideMark/>
          </w:tcPr>
          <w:p w14:paraId="28B903A8"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1028.6</w:t>
            </w:r>
          </w:p>
        </w:tc>
        <w:tc>
          <w:tcPr>
            <w:tcW w:w="1453" w:type="dxa"/>
            <w:tcBorders>
              <w:top w:val="single" w:sz="6" w:space="0" w:color="auto"/>
              <w:left w:val="nil"/>
              <w:bottom w:val="single" w:sz="6" w:space="0" w:color="auto"/>
              <w:right w:val="single" w:sz="6" w:space="0" w:color="auto"/>
            </w:tcBorders>
            <w:shd w:val="clear" w:color="auto" w:fill="FFFFFF"/>
            <w:hideMark/>
          </w:tcPr>
          <w:p w14:paraId="5CCDFDB9"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[M+H] </w:t>
            </w:r>
            <w:r w:rsidRPr="00F01347">
              <w:rPr>
                <w:rFonts w:ascii="Verdana" w:hAnsi="Verdana"/>
                <w:color w:val="000000"/>
                <w:sz w:val="16"/>
                <w:szCs w:val="16"/>
                <w:vertAlign w:val="superscript"/>
                <w:lang w:val="en-US"/>
              </w:rPr>
              <w:t>+</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658B9D2A"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134.9</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14:paraId="381930DF"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55</w:t>
            </w:r>
          </w:p>
        </w:tc>
        <w:tc>
          <w:tcPr>
            <w:tcW w:w="1110" w:type="dxa"/>
            <w:tcBorders>
              <w:top w:val="single" w:sz="6" w:space="0" w:color="auto"/>
              <w:left w:val="single" w:sz="6" w:space="0" w:color="auto"/>
              <w:bottom w:val="single" w:sz="6" w:space="0" w:color="auto"/>
              <w:right w:val="single" w:sz="6" w:space="0" w:color="auto"/>
            </w:tcBorders>
            <w:shd w:val="clear" w:color="auto" w:fill="FFFFFF"/>
            <w:hideMark/>
          </w:tcPr>
          <w:p w14:paraId="3974A1F8" w14:textId="77777777" w:rsidR="00A41C64" w:rsidRPr="00F01347" w:rsidRDefault="00A41C64">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60</w:t>
            </w:r>
          </w:p>
        </w:tc>
      </w:tr>
      <w:tr w:rsidR="00A41C64" w:rsidRPr="00F01347" w14:paraId="2B4E20C3" w14:textId="77777777" w:rsidTr="00A41C64">
        <w:trPr>
          <w:trHeight w:val="20"/>
        </w:trPr>
        <w:tc>
          <w:tcPr>
            <w:tcW w:w="8712" w:type="dxa"/>
            <w:gridSpan w:val="7"/>
            <w:tcBorders>
              <w:top w:val="single" w:sz="6" w:space="0" w:color="auto"/>
              <w:left w:val="nil"/>
              <w:bottom w:val="nil"/>
              <w:right w:val="nil"/>
            </w:tcBorders>
            <w:shd w:val="clear" w:color="auto" w:fill="FFFFFF"/>
            <w:hideMark/>
          </w:tcPr>
          <w:p w14:paraId="3F514197" w14:textId="77777777" w:rsidR="00A41C64" w:rsidRPr="00F01347" w:rsidRDefault="00A41C64">
            <w:pPr>
              <w:pStyle w:val="texto0"/>
              <w:ind w:firstLine="0"/>
              <w:rPr>
                <w:rFonts w:ascii="Verdana" w:hAnsi="Verdana"/>
                <w:color w:val="000000"/>
                <w:sz w:val="16"/>
                <w:szCs w:val="16"/>
                <w:lang w:val="en-US"/>
              </w:rPr>
            </w:pPr>
            <w:r w:rsidRPr="00F01347">
              <w:rPr>
                <w:rFonts w:ascii="Verdana" w:hAnsi="Verdana"/>
                <w:color w:val="000000"/>
                <w:sz w:val="16"/>
                <w:szCs w:val="16"/>
                <w:vertAlign w:val="superscript"/>
                <w:lang w:val="en-US"/>
              </w:rPr>
              <w:t xml:space="preserve">a </w:t>
            </w:r>
            <w:proofErr w:type="gramStart"/>
            <w:r w:rsidRPr="00F01347">
              <w:rPr>
                <w:rFonts w:ascii="Verdana" w:hAnsi="Verdana"/>
                <w:color w:val="000000"/>
                <w:sz w:val="16"/>
                <w:szCs w:val="16"/>
                <w:lang w:val="en-US"/>
              </w:rPr>
              <w:t>An</w:t>
            </w:r>
            <w:proofErr w:type="gramEnd"/>
            <w:r w:rsidRPr="00F01347">
              <w:rPr>
                <w:rFonts w:ascii="Verdana" w:hAnsi="Verdana"/>
                <w:color w:val="000000"/>
                <w:sz w:val="16"/>
                <w:szCs w:val="16"/>
                <w:lang w:val="en-US"/>
              </w:rPr>
              <w:t xml:space="preserve"> example chromatogram of the analytes is shown in Fig. B.1.1-1</w:t>
            </w:r>
          </w:p>
        </w:tc>
      </w:tr>
      <w:tr w:rsidR="00A41C64" w:rsidRPr="00F01347" w14:paraId="44B99E67" w14:textId="77777777" w:rsidTr="00A41C64">
        <w:trPr>
          <w:trHeight w:val="20"/>
        </w:trPr>
        <w:tc>
          <w:tcPr>
            <w:tcW w:w="8712" w:type="dxa"/>
            <w:gridSpan w:val="7"/>
            <w:shd w:val="clear" w:color="auto" w:fill="FFFFFF"/>
            <w:hideMark/>
          </w:tcPr>
          <w:p w14:paraId="6F4BA9AF" w14:textId="77777777" w:rsidR="00A41C64" w:rsidRPr="00F01347" w:rsidRDefault="00A41C64">
            <w:pPr>
              <w:pStyle w:val="texto0"/>
              <w:ind w:firstLine="0"/>
              <w:rPr>
                <w:rFonts w:ascii="Verdana" w:hAnsi="Verdana"/>
                <w:color w:val="000000"/>
                <w:sz w:val="16"/>
                <w:szCs w:val="16"/>
                <w:lang w:val="en-US"/>
              </w:rPr>
            </w:pPr>
            <w:r w:rsidRPr="00F01347">
              <w:rPr>
                <w:rFonts w:ascii="Verdana" w:hAnsi="Verdana"/>
                <w:color w:val="000000"/>
                <w:sz w:val="16"/>
                <w:szCs w:val="16"/>
                <w:vertAlign w:val="superscript"/>
                <w:lang w:val="en-US"/>
              </w:rPr>
              <w:t xml:space="preserve">b </w:t>
            </w:r>
            <w:proofErr w:type="gramStart"/>
            <w:r w:rsidRPr="00F01347">
              <w:rPr>
                <w:rFonts w:ascii="Verdana" w:hAnsi="Verdana"/>
                <w:color w:val="000000"/>
                <w:sz w:val="16"/>
                <w:szCs w:val="16"/>
                <w:lang w:val="en-US"/>
              </w:rPr>
              <w:t>The</w:t>
            </w:r>
            <w:proofErr w:type="gramEnd"/>
            <w:r w:rsidRPr="00F01347">
              <w:rPr>
                <w:rFonts w:ascii="Verdana" w:hAnsi="Verdana"/>
                <w:color w:val="000000"/>
                <w:sz w:val="16"/>
                <w:szCs w:val="16"/>
                <w:lang w:val="en-US"/>
              </w:rPr>
              <w:t xml:space="preserve"> segments with time durations in which one or multiple scan events occur.</w:t>
            </w:r>
          </w:p>
        </w:tc>
      </w:tr>
      <w:tr w:rsidR="00A41C64" w:rsidRPr="00F01347" w14:paraId="07E9D069" w14:textId="77777777" w:rsidTr="00A41C64">
        <w:trPr>
          <w:trHeight w:val="20"/>
        </w:trPr>
        <w:tc>
          <w:tcPr>
            <w:tcW w:w="8712" w:type="dxa"/>
            <w:gridSpan w:val="7"/>
            <w:shd w:val="clear" w:color="auto" w:fill="FFFFFF"/>
            <w:hideMark/>
          </w:tcPr>
          <w:p w14:paraId="1FFEAAC3" w14:textId="77777777" w:rsidR="00A41C64" w:rsidRPr="00F01347" w:rsidRDefault="00A41C64">
            <w:pPr>
              <w:pStyle w:val="texto0"/>
              <w:ind w:firstLine="0"/>
              <w:rPr>
                <w:rFonts w:ascii="Verdana" w:hAnsi="Verdana"/>
                <w:color w:val="000000"/>
                <w:sz w:val="16"/>
                <w:szCs w:val="16"/>
                <w:lang w:val="en-US"/>
              </w:rPr>
            </w:pPr>
            <w:r w:rsidRPr="00F01347">
              <w:rPr>
                <w:rFonts w:ascii="Verdana" w:hAnsi="Verdana"/>
                <w:color w:val="000000"/>
                <w:sz w:val="16"/>
                <w:szCs w:val="16"/>
                <w:vertAlign w:val="superscript"/>
                <w:lang w:val="en-US"/>
              </w:rPr>
              <w:t xml:space="preserve">c </w:t>
            </w:r>
            <w:r w:rsidRPr="00F01347">
              <w:rPr>
                <w:rFonts w:ascii="Verdana" w:hAnsi="Verdana"/>
                <w:color w:val="000000"/>
                <w:sz w:val="16"/>
                <w:szCs w:val="16"/>
                <w:lang w:val="en-US"/>
              </w:rPr>
              <w:t>During MS and MS/MS optimization, the analyst must determine the masses of the precursor and product ion to one decimal place by locating the appendix location of the peaks of the spectral masses (</w:t>
            </w:r>
            <w:proofErr w:type="gramStart"/>
            <w:r w:rsidRPr="00F01347">
              <w:rPr>
                <w:rFonts w:ascii="Verdana" w:hAnsi="Verdana"/>
                <w:color w:val="000000"/>
                <w:sz w:val="16"/>
                <w:szCs w:val="16"/>
                <w:lang w:val="en-US"/>
              </w:rPr>
              <w:t>e.g.</w:t>
            </w:r>
            <w:proofErr w:type="gramEnd"/>
            <w:r w:rsidRPr="00F01347">
              <w:rPr>
                <w:rFonts w:ascii="Verdana" w:hAnsi="Verdana"/>
                <w:color w:val="000000"/>
                <w:sz w:val="16"/>
                <w:szCs w:val="16"/>
                <w:lang w:val="en-US"/>
              </w:rPr>
              <w:t xml:space="preserve"> m/z </w:t>
            </w:r>
            <w:r w:rsidRPr="00F01347">
              <w:rPr>
                <w:rFonts w:ascii="Verdana" w:hAnsi="Verdana"/>
                <w:color w:val="000000"/>
                <w:sz w:val="16"/>
                <w:szCs w:val="16"/>
                <w:lang w:val="en-US"/>
              </w:rPr>
              <w:lastRenderedPageBreak/>
              <w:t>523.4 - 134.9 for MC -YR These masses of precursor and product ions (with one decimal place) should be used in the MS/MS method for all analyses.</w:t>
            </w:r>
          </w:p>
        </w:tc>
      </w:tr>
      <w:tr w:rsidR="00A41C64" w:rsidRPr="00F01347" w14:paraId="34956BB9" w14:textId="77777777" w:rsidTr="00A41C64">
        <w:trPr>
          <w:trHeight w:val="20"/>
        </w:trPr>
        <w:tc>
          <w:tcPr>
            <w:tcW w:w="8712" w:type="dxa"/>
            <w:gridSpan w:val="7"/>
            <w:shd w:val="clear" w:color="auto" w:fill="FFFFFF"/>
            <w:hideMark/>
          </w:tcPr>
          <w:p w14:paraId="2FED1041" w14:textId="77777777" w:rsidR="00A41C64" w:rsidRPr="00F01347" w:rsidRDefault="00A41C64">
            <w:pPr>
              <w:pStyle w:val="texto0"/>
              <w:ind w:firstLine="0"/>
              <w:rPr>
                <w:rFonts w:ascii="Verdana" w:hAnsi="Verdana"/>
                <w:color w:val="000000"/>
                <w:sz w:val="16"/>
                <w:szCs w:val="16"/>
                <w:lang w:val="en-US"/>
              </w:rPr>
            </w:pPr>
            <w:r w:rsidRPr="00F01347">
              <w:rPr>
                <w:rFonts w:ascii="Verdana" w:hAnsi="Verdana"/>
                <w:color w:val="000000"/>
                <w:sz w:val="16"/>
                <w:szCs w:val="16"/>
                <w:vertAlign w:val="superscript"/>
                <w:lang w:val="en-US"/>
              </w:rPr>
              <w:lastRenderedPageBreak/>
              <w:t xml:space="preserve">d </w:t>
            </w:r>
            <w:r w:rsidRPr="00F01347">
              <w:rPr>
                <w:rFonts w:ascii="Verdana" w:hAnsi="Verdana"/>
                <w:color w:val="000000"/>
                <w:sz w:val="16"/>
                <w:szCs w:val="16"/>
                <w:lang w:val="en-US"/>
              </w:rPr>
              <w:t>Ions used for quantification purposes</w:t>
            </w:r>
          </w:p>
        </w:tc>
      </w:tr>
      <w:tr w:rsidR="00A41C64" w:rsidRPr="00F01347" w14:paraId="6DBCFEB8" w14:textId="77777777" w:rsidTr="00A41C64">
        <w:trPr>
          <w:trHeight w:val="20"/>
        </w:trPr>
        <w:tc>
          <w:tcPr>
            <w:tcW w:w="8712" w:type="dxa"/>
            <w:gridSpan w:val="7"/>
            <w:shd w:val="clear" w:color="auto" w:fill="FFFFFF"/>
            <w:hideMark/>
          </w:tcPr>
          <w:p w14:paraId="63527770" w14:textId="77777777" w:rsidR="00A41C64" w:rsidRPr="00F01347" w:rsidRDefault="00A41C64">
            <w:pPr>
              <w:pStyle w:val="texto0"/>
              <w:ind w:firstLine="0"/>
              <w:rPr>
                <w:rFonts w:ascii="Verdana" w:hAnsi="Verdana"/>
                <w:color w:val="000000"/>
                <w:sz w:val="16"/>
                <w:szCs w:val="16"/>
                <w:lang w:val="en-US"/>
              </w:rPr>
            </w:pPr>
            <w:r w:rsidRPr="00F01347">
              <w:rPr>
                <w:rFonts w:ascii="Verdana" w:hAnsi="Verdana"/>
                <w:color w:val="000000"/>
                <w:sz w:val="16"/>
                <w:szCs w:val="16"/>
                <w:vertAlign w:val="superscript"/>
                <w:lang w:val="en-US"/>
              </w:rPr>
              <w:t xml:space="preserve">e </w:t>
            </w:r>
            <w:r w:rsidRPr="00F01347">
              <w:rPr>
                <w:rFonts w:ascii="Verdana" w:hAnsi="Verdana"/>
                <w:color w:val="000000"/>
                <w:sz w:val="16"/>
                <w:szCs w:val="16"/>
                <w:lang w:val="en-US"/>
              </w:rPr>
              <w:t>Argon was used as collision gas at a flow rate of 0.3 mL /min</w:t>
            </w:r>
          </w:p>
        </w:tc>
      </w:tr>
    </w:tbl>
    <w:p w14:paraId="0ED9BE28" w14:textId="29220A17" w:rsidR="00A41C64" w:rsidRPr="00F01347" w:rsidRDefault="00A41C64" w:rsidP="003A601B">
      <w:pPr>
        <w:pStyle w:val="texto0"/>
        <w:spacing w:line="240" w:lineRule="auto"/>
        <w:ind w:firstLine="0"/>
        <w:rPr>
          <w:rFonts w:ascii="Verdana" w:hAnsi="Verdana"/>
          <w:sz w:val="16"/>
          <w:szCs w:val="16"/>
          <w:lang w:val="en-US"/>
        </w:rPr>
      </w:pPr>
    </w:p>
    <w:p w14:paraId="1F7D844F" w14:textId="32BCA75C" w:rsidR="00204B58" w:rsidRDefault="00204B58" w:rsidP="003A601B">
      <w:pPr>
        <w:pStyle w:val="texto0"/>
        <w:spacing w:after="80" w:line="212" w:lineRule="exact"/>
        <w:rPr>
          <w:rFonts w:ascii="Verdana" w:hAnsi="Verdana"/>
          <w:b/>
          <w:sz w:val="16"/>
          <w:szCs w:val="16"/>
          <w:lang w:val="en-US"/>
        </w:rPr>
      </w:pPr>
    </w:p>
    <w:p w14:paraId="2E5C0D41" w14:textId="77777777" w:rsidR="00FC516A" w:rsidRDefault="00FC516A" w:rsidP="003A601B">
      <w:pPr>
        <w:pStyle w:val="texto0"/>
        <w:spacing w:after="80" w:line="212" w:lineRule="exact"/>
        <w:rPr>
          <w:rFonts w:ascii="Verdana" w:hAnsi="Verdana"/>
          <w:b/>
          <w:sz w:val="16"/>
          <w:szCs w:val="16"/>
          <w:lang w:val="en-US"/>
        </w:rPr>
      </w:pPr>
    </w:p>
    <w:p w14:paraId="5715D7EE" w14:textId="77777777" w:rsidR="00FC516A" w:rsidRDefault="00FC516A" w:rsidP="003A601B">
      <w:pPr>
        <w:pStyle w:val="texto0"/>
        <w:spacing w:after="80" w:line="212" w:lineRule="exact"/>
        <w:rPr>
          <w:rFonts w:ascii="Verdana" w:hAnsi="Verdana"/>
          <w:b/>
          <w:sz w:val="16"/>
          <w:szCs w:val="16"/>
          <w:lang w:val="en-US"/>
        </w:rPr>
      </w:pPr>
    </w:p>
    <w:p w14:paraId="19CC2C27" w14:textId="77777777" w:rsidR="00FC516A" w:rsidRDefault="00FC516A" w:rsidP="003A601B">
      <w:pPr>
        <w:pStyle w:val="texto0"/>
        <w:spacing w:after="80" w:line="212" w:lineRule="exact"/>
        <w:rPr>
          <w:rFonts w:ascii="Verdana" w:hAnsi="Verdana"/>
          <w:b/>
          <w:sz w:val="16"/>
          <w:szCs w:val="16"/>
          <w:lang w:val="en-US"/>
        </w:rPr>
      </w:pPr>
    </w:p>
    <w:p w14:paraId="06EC2CF9" w14:textId="77777777" w:rsidR="00FC516A" w:rsidRDefault="00FC516A" w:rsidP="003A601B">
      <w:pPr>
        <w:pStyle w:val="texto0"/>
        <w:spacing w:after="80" w:line="212" w:lineRule="exact"/>
        <w:rPr>
          <w:rFonts w:ascii="Verdana" w:hAnsi="Verdana"/>
          <w:b/>
          <w:sz w:val="16"/>
          <w:szCs w:val="16"/>
          <w:lang w:val="en-US"/>
        </w:rPr>
      </w:pPr>
    </w:p>
    <w:p w14:paraId="0B02AB1E" w14:textId="77777777" w:rsidR="00FC516A" w:rsidRDefault="00FC516A" w:rsidP="003A601B">
      <w:pPr>
        <w:pStyle w:val="texto0"/>
        <w:spacing w:after="80" w:line="212" w:lineRule="exact"/>
        <w:rPr>
          <w:rFonts w:ascii="Verdana" w:hAnsi="Verdana"/>
          <w:b/>
          <w:sz w:val="16"/>
          <w:szCs w:val="16"/>
          <w:lang w:val="en-US"/>
        </w:rPr>
      </w:pPr>
    </w:p>
    <w:p w14:paraId="308ADCA2" w14:textId="77777777" w:rsidR="00FC516A" w:rsidRDefault="00FC516A" w:rsidP="003A601B">
      <w:pPr>
        <w:pStyle w:val="texto0"/>
        <w:spacing w:after="80" w:line="212" w:lineRule="exact"/>
        <w:rPr>
          <w:rFonts w:ascii="Verdana" w:hAnsi="Verdana"/>
          <w:b/>
          <w:sz w:val="16"/>
          <w:szCs w:val="16"/>
          <w:lang w:val="en-US"/>
        </w:rPr>
      </w:pPr>
    </w:p>
    <w:p w14:paraId="3F4CC5AF" w14:textId="77777777" w:rsidR="00FC516A" w:rsidRDefault="00FC516A" w:rsidP="003A601B">
      <w:pPr>
        <w:pStyle w:val="texto0"/>
        <w:spacing w:after="80" w:line="212" w:lineRule="exact"/>
        <w:rPr>
          <w:rFonts w:ascii="Verdana" w:hAnsi="Verdana"/>
          <w:b/>
          <w:sz w:val="16"/>
          <w:szCs w:val="16"/>
          <w:lang w:val="en-US"/>
        </w:rPr>
      </w:pPr>
    </w:p>
    <w:p w14:paraId="1E1DC79C" w14:textId="77777777" w:rsidR="00FC516A" w:rsidRDefault="00FC516A" w:rsidP="003A601B">
      <w:pPr>
        <w:pStyle w:val="texto0"/>
        <w:spacing w:after="80" w:line="212" w:lineRule="exact"/>
        <w:rPr>
          <w:rFonts w:ascii="Verdana" w:hAnsi="Verdana"/>
          <w:b/>
          <w:sz w:val="16"/>
          <w:szCs w:val="16"/>
          <w:lang w:val="en-US"/>
        </w:rPr>
      </w:pPr>
    </w:p>
    <w:p w14:paraId="6CFC0044" w14:textId="77777777" w:rsidR="00FC516A" w:rsidRDefault="00FC516A" w:rsidP="003A601B">
      <w:pPr>
        <w:pStyle w:val="texto0"/>
        <w:spacing w:after="80" w:line="212" w:lineRule="exact"/>
        <w:rPr>
          <w:rFonts w:ascii="Verdana" w:hAnsi="Verdana"/>
          <w:b/>
          <w:sz w:val="16"/>
          <w:szCs w:val="16"/>
          <w:lang w:val="en-US"/>
        </w:rPr>
      </w:pPr>
    </w:p>
    <w:p w14:paraId="00A690E5" w14:textId="77777777" w:rsidR="00FC516A" w:rsidRDefault="00FC516A" w:rsidP="003A601B">
      <w:pPr>
        <w:pStyle w:val="texto0"/>
        <w:spacing w:after="80" w:line="212" w:lineRule="exact"/>
        <w:rPr>
          <w:rFonts w:ascii="Verdana" w:hAnsi="Verdana"/>
          <w:b/>
          <w:sz w:val="16"/>
          <w:szCs w:val="16"/>
          <w:lang w:val="en-US"/>
        </w:rPr>
      </w:pPr>
    </w:p>
    <w:p w14:paraId="620688FD" w14:textId="77777777" w:rsidR="00FC516A" w:rsidRDefault="00FC516A" w:rsidP="003A601B">
      <w:pPr>
        <w:pStyle w:val="texto0"/>
        <w:spacing w:after="80" w:line="212" w:lineRule="exact"/>
        <w:rPr>
          <w:rFonts w:ascii="Verdana" w:hAnsi="Verdana"/>
          <w:b/>
          <w:sz w:val="16"/>
          <w:szCs w:val="16"/>
          <w:lang w:val="en-US"/>
        </w:rPr>
      </w:pPr>
    </w:p>
    <w:p w14:paraId="4AD6BB20" w14:textId="77777777" w:rsidR="00FC516A" w:rsidRPr="00F01347" w:rsidRDefault="00FC516A" w:rsidP="003A601B">
      <w:pPr>
        <w:pStyle w:val="texto0"/>
        <w:spacing w:after="80" w:line="212" w:lineRule="exact"/>
        <w:rPr>
          <w:rFonts w:ascii="Verdana" w:hAnsi="Verdana"/>
          <w:b/>
          <w:sz w:val="16"/>
          <w:szCs w:val="16"/>
          <w:lang w:val="en-US"/>
        </w:rPr>
      </w:pPr>
    </w:p>
    <w:p w14:paraId="32497750" w14:textId="281230D2" w:rsidR="00A41C64" w:rsidRPr="00F01347" w:rsidRDefault="00A41C64" w:rsidP="003A601B">
      <w:pPr>
        <w:pStyle w:val="texto0"/>
        <w:spacing w:after="80" w:line="212" w:lineRule="exact"/>
        <w:rPr>
          <w:rFonts w:ascii="Verdana" w:hAnsi="Verdana"/>
          <w:b/>
          <w:sz w:val="16"/>
          <w:szCs w:val="16"/>
          <w:lang w:val="en-US"/>
        </w:rPr>
      </w:pPr>
      <w:r w:rsidRPr="00F01347">
        <w:rPr>
          <w:rFonts w:ascii="Verdana" w:hAnsi="Verdana"/>
          <w:noProof/>
          <w:sz w:val="16"/>
          <w:szCs w:val="16"/>
          <w:lang w:eastAsia="es-MX"/>
        </w:rPr>
        <w:drawing>
          <wp:anchor distT="0" distB="0" distL="114300" distR="114300" simplePos="0" relativeHeight="251651072" behindDoc="0" locked="0" layoutInCell="1" allowOverlap="1" wp14:anchorId="106B1070" wp14:editId="2A58E758">
            <wp:simplePos x="0" y="0"/>
            <wp:positionH relativeFrom="column">
              <wp:posOffset>114300</wp:posOffset>
            </wp:positionH>
            <wp:positionV relativeFrom="paragraph">
              <wp:posOffset>31750</wp:posOffset>
            </wp:positionV>
            <wp:extent cx="5467350" cy="2590800"/>
            <wp:effectExtent l="0" t="0" r="0" b="0"/>
            <wp:wrapNone/>
            <wp:docPr id="1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6735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D19425" w14:textId="2A901CD8" w:rsidR="00A41C64" w:rsidRPr="00F01347" w:rsidRDefault="00A41C64" w:rsidP="003A601B">
      <w:pPr>
        <w:pStyle w:val="texto0"/>
        <w:spacing w:after="80" w:line="212" w:lineRule="exact"/>
        <w:rPr>
          <w:rFonts w:ascii="Verdana" w:hAnsi="Verdana"/>
          <w:b/>
          <w:sz w:val="16"/>
          <w:szCs w:val="16"/>
          <w:lang w:val="en-US"/>
        </w:rPr>
      </w:pPr>
    </w:p>
    <w:p w14:paraId="6D2180F0" w14:textId="75C06244" w:rsidR="00A41C64" w:rsidRPr="00F01347" w:rsidRDefault="00A41C64" w:rsidP="003A601B">
      <w:pPr>
        <w:pStyle w:val="texto0"/>
        <w:spacing w:after="80" w:line="212" w:lineRule="exact"/>
        <w:rPr>
          <w:rFonts w:ascii="Verdana" w:hAnsi="Verdana"/>
          <w:b/>
          <w:sz w:val="16"/>
          <w:szCs w:val="16"/>
          <w:lang w:val="en-US"/>
        </w:rPr>
      </w:pPr>
    </w:p>
    <w:p w14:paraId="2AEA0E40" w14:textId="7275B0F2" w:rsidR="00A41C64" w:rsidRPr="00F01347" w:rsidRDefault="00A41C64" w:rsidP="003A601B">
      <w:pPr>
        <w:pStyle w:val="texto0"/>
        <w:spacing w:after="80" w:line="212" w:lineRule="exact"/>
        <w:rPr>
          <w:rFonts w:ascii="Verdana" w:hAnsi="Verdana"/>
          <w:b/>
          <w:sz w:val="16"/>
          <w:szCs w:val="16"/>
          <w:lang w:val="en-US"/>
        </w:rPr>
      </w:pPr>
    </w:p>
    <w:p w14:paraId="34079256" w14:textId="77777777" w:rsidR="00A41C64" w:rsidRPr="00F01347" w:rsidRDefault="00A41C64" w:rsidP="003A601B">
      <w:pPr>
        <w:pStyle w:val="texto0"/>
        <w:spacing w:after="80" w:line="212" w:lineRule="exact"/>
        <w:rPr>
          <w:rFonts w:ascii="Verdana" w:hAnsi="Verdana"/>
          <w:b/>
          <w:sz w:val="16"/>
          <w:szCs w:val="16"/>
          <w:lang w:val="en-US"/>
        </w:rPr>
      </w:pPr>
    </w:p>
    <w:p w14:paraId="20452F91" w14:textId="77777777" w:rsidR="00A41C64" w:rsidRPr="00F01347" w:rsidRDefault="00A41C64" w:rsidP="003A601B">
      <w:pPr>
        <w:pStyle w:val="texto0"/>
        <w:spacing w:after="80" w:line="212" w:lineRule="exact"/>
        <w:rPr>
          <w:rFonts w:ascii="Verdana" w:hAnsi="Verdana"/>
          <w:b/>
          <w:sz w:val="16"/>
          <w:szCs w:val="16"/>
          <w:lang w:val="en-US"/>
        </w:rPr>
      </w:pPr>
    </w:p>
    <w:p w14:paraId="114BE00C" w14:textId="77777777" w:rsidR="00A41C64" w:rsidRPr="00F01347" w:rsidRDefault="00A41C64" w:rsidP="003A601B">
      <w:pPr>
        <w:pStyle w:val="texto0"/>
        <w:spacing w:after="80" w:line="212" w:lineRule="exact"/>
        <w:rPr>
          <w:rFonts w:ascii="Verdana" w:hAnsi="Verdana"/>
          <w:b/>
          <w:sz w:val="16"/>
          <w:szCs w:val="16"/>
          <w:lang w:val="en-US"/>
        </w:rPr>
      </w:pPr>
    </w:p>
    <w:p w14:paraId="4DDF3631" w14:textId="77777777" w:rsidR="00A41C64" w:rsidRPr="00F01347" w:rsidRDefault="00A41C64" w:rsidP="003A601B">
      <w:pPr>
        <w:pStyle w:val="texto0"/>
        <w:spacing w:after="80" w:line="212" w:lineRule="exact"/>
        <w:rPr>
          <w:rFonts w:ascii="Verdana" w:hAnsi="Verdana"/>
          <w:b/>
          <w:sz w:val="16"/>
          <w:szCs w:val="16"/>
          <w:lang w:val="en-US"/>
        </w:rPr>
      </w:pPr>
    </w:p>
    <w:p w14:paraId="2A6A920B" w14:textId="77777777" w:rsidR="00A41C64" w:rsidRPr="00F01347" w:rsidRDefault="00A41C64" w:rsidP="003A601B">
      <w:pPr>
        <w:pStyle w:val="texto0"/>
        <w:spacing w:after="80" w:line="212" w:lineRule="exact"/>
        <w:rPr>
          <w:rFonts w:ascii="Verdana" w:hAnsi="Verdana"/>
          <w:b/>
          <w:sz w:val="16"/>
          <w:szCs w:val="16"/>
          <w:lang w:val="en-US"/>
        </w:rPr>
      </w:pPr>
    </w:p>
    <w:p w14:paraId="7ECA7388" w14:textId="77777777" w:rsidR="00A41C64" w:rsidRPr="00F01347" w:rsidRDefault="00A41C64" w:rsidP="003A601B">
      <w:pPr>
        <w:pStyle w:val="texto0"/>
        <w:spacing w:after="80" w:line="212" w:lineRule="exact"/>
        <w:rPr>
          <w:rFonts w:ascii="Verdana" w:hAnsi="Verdana"/>
          <w:b/>
          <w:sz w:val="16"/>
          <w:szCs w:val="16"/>
          <w:lang w:val="en-US"/>
        </w:rPr>
      </w:pPr>
    </w:p>
    <w:p w14:paraId="3CD32B6B" w14:textId="77777777" w:rsidR="00A41C64" w:rsidRPr="00F01347" w:rsidRDefault="00A41C64" w:rsidP="003A601B">
      <w:pPr>
        <w:pStyle w:val="texto0"/>
        <w:spacing w:after="80" w:line="212" w:lineRule="exact"/>
        <w:rPr>
          <w:rFonts w:ascii="Verdana" w:hAnsi="Verdana"/>
          <w:b/>
          <w:sz w:val="16"/>
          <w:szCs w:val="16"/>
          <w:lang w:val="en-US"/>
        </w:rPr>
      </w:pPr>
    </w:p>
    <w:p w14:paraId="7A11A80E" w14:textId="77777777" w:rsidR="00A41C64" w:rsidRPr="00F01347" w:rsidRDefault="00A41C64" w:rsidP="003A601B">
      <w:pPr>
        <w:pStyle w:val="texto0"/>
        <w:spacing w:after="80" w:line="212" w:lineRule="exact"/>
        <w:rPr>
          <w:rFonts w:ascii="Verdana" w:hAnsi="Verdana"/>
          <w:b/>
          <w:sz w:val="16"/>
          <w:szCs w:val="16"/>
          <w:lang w:val="en-US"/>
        </w:rPr>
      </w:pPr>
    </w:p>
    <w:p w14:paraId="662645F1" w14:textId="77777777" w:rsidR="00A41C64" w:rsidRPr="00F01347" w:rsidRDefault="00A41C64" w:rsidP="003A601B">
      <w:pPr>
        <w:pStyle w:val="texto0"/>
        <w:spacing w:after="80" w:line="212" w:lineRule="exact"/>
        <w:rPr>
          <w:rFonts w:ascii="Verdana" w:hAnsi="Verdana"/>
          <w:b/>
          <w:sz w:val="16"/>
          <w:szCs w:val="16"/>
          <w:lang w:val="en-US"/>
        </w:rPr>
      </w:pPr>
    </w:p>
    <w:p w14:paraId="3255C170" w14:textId="77777777" w:rsidR="00A41C64" w:rsidRPr="00F01347" w:rsidRDefault="00A41C64" w:rsidP="003A601B">
      <w:pPr>
        <w:pStyle w:val="texto0"/>
        <w:spacing w:after="80" w:line="212" w:lineRule="exact"/>
        <w:rPr>
          <w:rFonts w:ascii="Verdana" w:hAnsi="Verdana"/>
          <w:b/>
          <w:sz w:val="16"/>
          <w:szCs w:val="16"/>
          <w:lang w:val="en-US"/>
        </w:rPr>
      </w:pPr>
    </w:p>
    <w:p w14:paraId="2E3B55CB" w14:textId="77777777" w:rsidR="00A41C64" w:rsidRPr="00F01347" w:rsidRDefault="00A41C64" w:rsidP="003A601B">
      <w:pPr>
        <w:pStyle w:val="texto0"/>
        <w:spacing w:after="80" w:line="212"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A41C64" w:rsidRPr="00F01347" w14:paraId="1810902D" w14:textId="62951BF8" w:rsidTr="00FA318D">
        <w:tc>
          <w:tcPr>
            <w:tcW w:w="4675" w:type="dxa"/>
          </w:tcPr>
          <w:p w14:paraId="33DF496C" w14:textId="77777777" w:rsidR="00A41C64" w:rsidRPr="00F01347" w:rsidRDefault="00A41C64" w:rsidP="00A41C64">
            <w:pPr>
              <w:pStyle w:val="texto0"/>
              <w:spacing w:after="80" w:line="212" w:lineRule="exact"/>
              <w:ind w:firstLine="0"/>
              <w:rPr>
                <w:rFonts w:ascii="Verdana" w:hAnsi="Verdana"/>
                <w:sz w:val="16"/>
                <w:szCs w:val="16"/>
              </w:rPr>
            </w:pPr>
            <w:r w:rsidRPr="00F01347">
              <w:rPr>
                <w:rFonts w:ascii="Verdana" w:hAnsi="Verdana"/>
                <w:b/>
                <w:sz w:val="16"/>
                <w:szCs w:val="16"/>
              </w:rPr>
              <w:t>Fig. B.1.2-2</w:t>
            </w:r>
            <w:r w:rsidRPr="00F01347">
              <w:rPr>
                <w:rFonts w:ascii="Verdana" w:hAnsi="Verdana"/>
                <w:sz w:val="16"/>
                <w:szCs w:val="16"/>
              </w:rPr>
              <w:t xml:space="preserve"> Ejemplo de cromatograma (segmentos MS/MS </w:t>
            </w:r>
            <w:proofErr w:type="spellStart"/>
            <w:r w:rsidRPr="00F01347">
              <w:rPr>
                <w:rFonts w:ascii="Verdana" w:hAnsi="Verdana"/>
                <w:sz w:val="16"/>
                <w:szCs w:val="16"/>
              </w:rPr>
              <w:t>sobrelapados</w:t>
            </w:r>
            <w:proofErr w:type="spellEnd"/>
            <w:r w:rsidRPr="00F01347">
              <w:rPr>
                <w:rFonts w:ascii="Verdana" w:hAnsi="Verdana"/>
                <w:sz w:val="16"/>
                <w:szCs w:val="16"/>
              </w:rPr>
              <w:t>) de un estándar de calibración con el método 544 de EPA y con analitos en una concentración de 187.5-1 000 ng/L</w:t>
            </w:r>
          </w:p>
        </w:tc>
        <w:tc>
          <w:tcPr>
            <w:tcW w:w="4675" w:type="dxa"/>
          </w:tcPr>
          <w:p w14:paraId="0D5EED03" w14:textId="3BCD9A20" w:rsidR="00A41C64" w:rsidRPr="00F01347" w:rsidRDefault="00A41C64" w:rsidP="00A41C64">
            <w:pPr>
              <w:pStyle w:val="texto0"/>
              <w:spacing w:after="80" w:line="212" w:lineRule="exact"/>
              <w:ind w:firstLine="0"/>
              <w:rPr>
                <w:rFonts w:ascii="Verdana" w:hAnsi="Verdana"/>
                <w:b/>
                <w:sz w:val="16"/>
                <w:szCs w:val="16"/>
                <w:lang w:val="en-US"/>
              </w:rPr>
            </w:pPr>
            <w:r w:rsidRPr="00F01347">
              <w:rPr>
                <w:rFonts w:ascii="Verdana" w:hAnsi="Verdana"/>
                <w:b/>
                <w:sz w:val="16"/>
                <w:szCs w:val="16"/>
                <w:lang w:val="en-US"/>
              </w:rPr>
              <w:t xml:space="preserve">Fig. B.1.2-2 </w:t>
            </w:r>
            <w:r w:rsidRPr="00F01347">
              <w:rPr>
                <w:rFonts w:ascii="Verdana" w:hAnsi="Verdana"/>
                <w:sz w:val="16"/>
                <w:szCs w:val="16"/>
                <w:lang w:val="en-US"/>
              </w:rPr>
              <w:t xml:space="preserve">Example chromatogram </w:t>
            </w:r>
            <w:r w:rsidR="00CB209C" w:rsidRPr="00F01347">
              <w:rPr>
                <w:rFonts w:ascii="Verdana" w:hAnsi="Verdana"/>
                <w:sz w:val="16"/>
                <w:szCs w:val="16"/>
                <w:lang w:val="en-US"/>
              </w:rPr>
              <w:t>(</w:t>
            </w:r>
            <w:r w:rsidRPr="00F01347">
              <w:rPr>
                <w:rFonts w:ascii="Verdana" w:hAnsi="Verdana"/>
                <w:sz w:val="16"/>
                <w:szCs w:val="16"/>
                <w:lang w:val="en-US"/>
              </w:rPr>
              <w:t>overlapping MS/MS segments</w:t>
            </w:r>
            <w:r w:rsidR="00913802" w:rsidRPr="00F01347">
              <w:rPr>
                <w:rFonts w:ascii="Verdana" w:hAnsi="Verdana"/>
                <w:sz w:val="16"/>
                <w:szCs w:val="16"/>
                <w:lang w:val="en-US"/>
              </w:rPr>
              <w:t>)</w:t>
            </w:r>
            <w:r w:rsidRPr="00F01347">
              <w:rPr>
                <w:rFonts w:ascii="Verdana" w:hAnsi="Verdana"/>
                <w:sz w:val="16"/>
                <w:szCs w:val="16"/>
                <w:lang w:val="en-US"/>
              </w:rPr>
              <w:t xml:space="preserve"> of a calibration standard with EPA Method 544 and with analytes at a concentration of 187.5-1 000 ng/L</w:t>
            </w:r>
          </w:p>
        </w:tc>
      </w:tr>
      <w:tr w:rsidR="00A41C64" w:rsidRPr="00F01347" w14:paraId="6298B5BB" w14:textId="388C18D5" w:rsidTr="00FA318D">
        <w:tc>
          <w:tcPr>
            <w:tcW w:w="4675" w:type="dxa"/>
          </w:tcPr>
          <w:p w14:paraId="4E77BCF4" w14:textId="77777777" w:rsidR="00A41C64" w:rsidRPr="00F01347" w:rsidRDefault="00A41C64" w:rsidP="00A41C64">
            <w:pPr>
              <w:pStyle w:val="texto0"/>
              <w:spacing w:after="80" w:line="212" w:lineRule="exact"/>
              <w:ind w:firstLine="0"/>
              <w:rPr>
                <w:rFonts w:ascii="Verdana" w:hAnsi="Verdana"/>
                <w:sz w:val="16"/>
                <w:szCs w:val="16"/>
              </w:rPr>
            </w:pPr>
            <w:r w:rsidRPr="00F01347">
              <w:rPr>
                <w:rFonts w:ascii="Verdana" w:hAnsi="Verdana"/>
                <w:sz w:val="16"/>
                <w:szCs w:val="16"/>
              </w:rPr>
              <w:t>Se recomienda desviar los primeros 6 a 8 minutos del flujo LC para residuos. Estos extractos contienen pequeñas cantidades de algunos de los conservantes que se diluyen de manera temprana en el cromatograma. Por lo tanto, desviar la porción temprana del análisis minimizará la suciedad de la fuente MS.</w:t>
            </w:r>
          </w:p>
        </w:tc>
        <w:tc>
          <w:tcPr>
            <w:tcW w:w="4675" w:type="dxa"/>
          </w:tcPr>
          <w:p w14:paraId="71A1713A" w14:textId="1C0F0063" w:rsidR="00A41C64" w:rsidRPr="00F01347" w:rsidRDefault="00A41C64" w:rsidP="00A41C64">
            <w:pPr>
              <w:pStyle w:val="texto0"/>
              <w:spacing w:after="80" w:line="212" w:lineRule="exact"/>
              <w:ind w:firstLine="0"/>
              <w:rPr>
                <w:rFonts w:ascii="Verdana" w:hAnsi="Verdana"/>
                <w:sz w:val="16"/>
                <w:szCs w:val="16"/>
                <w:lang w:val="en-US"/>
              </w:rPr>
            </w:pPr>
            <w:r w:rsidRPr="00F01347">
              <w:rPr>
                <w:rFonts w:ascii="Verdana" w:hAnsi="Verdana"/>
                <w:sz w:val="16"/>
                <w:szCs w:val="16"/>
                <w:lang w:val="en-US"/>
              </w:rPr>
              <w:t>It is recommended to divert the first 6 to 8 minutes of the LC stream to waste. These extracts contain small amounts of some of the preservatives that are diluted early in the chromatogram. Therefore, bypassing the early portion of the analysis will minimize fouling of the MS source.</w:t>
            </w:r>
          </w:p>
        </w:tc>
      </w:tr>
      <w:tr w:rsidR="00A41C64" w:rsidRPr="00F01347" w14:paraId="3C797F8B" w14:textId="7DA40CFD" w:rsidTr="00FA318D">
        <w:tc>
          <w:tcPr>
            <w:tcW w:w="4675" w:type="dxa"/>
          </w:tcPr>
          <w:p w14:paraId="17809FA7" w14:textId="77777777" w:rsidR="00A41C64" w:rsidRPr="00F01347" w:rsidRDefault="00A41C64" w:rsidP="00A41C64">
            <w:pPr>
              <w:pStyle w:val="texto0"/>
              <w:spacing w:after="80" w:line="212" w:lineRule="exact"/>
              <w:ind w:firstLine="0"/>
              <w:rPr>
                <w:rFonts w:ascii="Verdana" w:hAnsi="Verdana"/>
                <w:sz w:val="16"/>
                <w:szCs w:val="16"/>
              </w:rPr>
            </w:pPr>
            <w:r w:rsidRPr="00F01347">
              <w:rPr>
                <w:rFonts w:ascii="Verdana" w:hAnsi="Verdana"/>
                <w:sz w:val="16"/>
                <w:szCs w:val="16"/>
              </w:rPr>
              <w:t>Establecer una ventana de tiempo de retención adecuada para cada analito. Esto debe basarse en mediciones de variación de tiempo de retención real para cada parámetro del método en las soluciones estándar CAL en la LC en el transcurso del tiempo. Un valor de más o menos tres veces la desviación estándar del tiempo de retención obtenido para cada analito mientras se establece la calibración inicial y se completa el IDC puede utilizarse para calcular un tamaño de ventana. Sin embargo, la experiencia del analista debe ser considerada de manera importante fuertemente para la determinación del tamaño de la ventana de retención adecuada.</w:t>
            </w:r>
          </w:p>
        </w:tc>
        <w:tc>
          <w:tcPr>
            <w:tcW w:w="4675" w:type="dxa"/>
          </w:tcPr>
          <w:p w14:paraId="19934A29" w14:textId="068EA7A4" w:rsidR="00A41C64" w:rsidRPr="00F01347" w:rsidRDefault="00A41C64" w:rsidP="00A41C64">
            <w:pPr>
              <w:pStyle w:val="texto0"/>
              <w:spacing w:after="80" w:line="212" w:lineRule="exact"/>
              <w:ind w:firstLine="0"/>
              <w:rPr>
                <w:rFonts w:ascii="Verdana" w:hAnsi="Verdana"/>
                <w:sz w:val="16"/>
                <w:szCs w:val="16"/>
                <w:lang w:val="en-US"/>
              </w:rPr>
            </w:pPr>
            <w:r w:rsidRPr="00F01347">
              <w:rPr>
                <w:rFonts w:ascii="Verdana" w:hAnsi="Verdana"/>
                <w:sz w:val="16"/>
                <w:szCs w:val="16"/>
                <w:lang w:val="en-US"/>
              </w:rPr>
              <w:t>Establish an appropriate retention time window for each analyte. This should be based on measurements of actual retention time variation for each method parameter in the CAL standard solutions in the LC over time. A value of plus or minus three times the standard deviation of the retention time obtained for each analyte while establishing the initial calibration and completing the IDC can be used to calculate a window size. However, the analyst's experience should be strongly considered in determining the appropriate retention window size.</w:t>
            </w:r>
          </w:p>
        </w:tc>
      </w:tr>
      <w:tr w:rsidR="00A41C64" w:rsidRPr="00F01347" w14:paraId="63045C6D" w14:textId="2B1A9702" w:rsidTr="00FA318D">
        <w:tc>
          <w:tcPr>
            <w:tcW w:w="4675" w:type="dxa"/>
          </w:tcPr>
          <w:p w14:paraId="1C1EC1FA" w14:textId="77777777" w:rsidR="00A41C64" w:rsidRPr="00F01347" w:rsidRDefault="00A41C64" w:rsidP="00A41C64">
            <w:pPr>
              <w:pStyle w:val="texto0"/>
              <w:spacing w:after="80" w:line="212" w:lineRule="exact"/>
              <w:ind w:firstLine="0"/>
              <w:rPr>
                <w:rFonts w:ascii="Verdana" w:hAnsi="Verdana"/>
                <w:sz w:val="16"/>
                <w:szCs w:val="16"/>
              </w:rPr>
            </w:pPr>
            <w:r w:rsidRPr="00F01347">
              <w:rPr>
                <w:rFonts w:ascii="Verdana" w:hAnsi="Verdana"/>
                <w:sz w:val="16"/>
                <w:szCs w:val="16"/>
              </w:rPr>
              <w:t xml:space="preserve">Establecer una calibración inicial válida o confirmar que la calibración es todavía válida ejecutando un </w:t>
            </w:r>
            <w:proofErr w:type="spellStart"/>
            <w:r w:rsidRPr="00F01347">
              <w:rPr>
                <w:rFonts w:ascii="Verdana" w:hAnsi="Verdana"/>
                <w:sz w:val="16"/>
                <w:szCs w:val="16"/>
              </w:rPr>
              <w:t>CdC</w:t>
            </w:r>
            <w:proofErr w:type="spellEnd"/>
            <w:r w:rsidRPr="00F01347">
              <w:rPr>
                <w:rFonts w:ascii="Verdana" w:hAnsi="Verdana"/>
                <w:sz w:val="16"/>
                <w:szCs w:val="16"/>
              </w:rPr>
              <w:t>. Si se establece una calibración inicial, se debe completar el IDC.</w:t>
            </w:r>
          </w:p>
        </w:tc>
        <w:tc>
          <w:tcPr>
            <w:tcW w:w="4675" w:type="dxa"/>
          </w:tcPr>
          <w:p w14:paraId="361FF581" w14:textId="01BE5F7D" w:rsidR="00A41C64" w:rsidRPr="00F01347" w:rsidRDefault="00A41C64" w:rsidP="00A41C64">
            <w:pPr>
              <w:pStyle w:val="texto0"/>
              <w:spacing w:after="80" w:line="212" w:lineRule="exact"/>
              <w:ind w:firstLine="0"/>
              <w:rPr>
                <w:rFonts w:ascii="Verdana" w:hAnsi="Verdana"/>
                <w:sz w:val="16"/>
                <w:szCs w:val="16"/>
                <w:lang w:val="en-US"/>
              </w:rPr>
            </w:pPr>
            <w:r w:rsidRPr="00F01347">
              <w:rPr>
                <w:rFonts w:ascii="Verdana" w:hAnsi="Verdana"/>
                <w:sz w:val="16"/>
                <w:szCs w:val="16"/>
                <w:lang w:val="en-US"/>
              </w:rPr>
              <w:t>Establish a valid initial calibration or confirm that the calibration is still valid by running a CoC</w:t>
            </w:r>
            <w:r w:rsidR="003E1BA9" w:rsidRPr="00F01347">
              <w:rPr>
                <w:rFonts w:ascii="Verdana" w:hAnsi="Verdana"/>
                <w:sz w:val="16"/>
                <w:szCs w:val="16"/>
                <w:lang w:val="en-US"/>
              </w:rPr>
              <w:t>.</w:t>
            </w:r>
            <w:r w:rsidRPr="00F01347">
              <w:rPr>
                <w:rFonts w:ascii="Verdana" w:hAnsi="Verdana"/>
                <w:sz w:val="16"/>
                <w:szCs w:val="16"/>
                <w:lang w:val="en-US"/>
              </w:rPr>
              <w:t xml:space="preserve"> If an initial calibration is established, the IDC must be completed.</w:t>
            </w:r>
          </w:p>
        </w:tc>
      </w:tr>
      <w:tr w:rsidR="00A41C64" w:rsidRPr="00F01347" w14:paraId="641848B6" w14:textId="698B1AC9" w:rsidTr="00FA318D">
        <w:tc>
          <w:tcPr>
            <w:tcW w:w="4675" w:type="dxa"/>
          </w:tcPr>
          <w:p w14:paraId="395A9BD0" w14:textId="77777777" w:rsidR="00A41C64" w:rsidRPr="00F01347" w:rsidRDefault="00A41C64" w:rsidP="00A41C64">
            <w:pPr>
              <w:pStyle w:val="texto0"/>
              <w:spacing w:after="80" w:line="212" w:lineRule="exact"/>
              <w:ind w:firstLine="0"/>
              <w:rPr>
                <w:rFonts w:ascii="Verdana" w:hAnsi="Verdana"/>
                <w:sz w:val="16"/>
                <w:szCs w:val="16"/>
              </w:rPr>
            </w:pPr>
            <w:r w:rsidRPr="00F01347">
              <w:rPr>
                <w:rFonts w:ascii="Verdana" w:hAnsi="Verdana"/>
                <w:sz w:val="16"/>
                <w:szCs w:val="16"/>
              </w:rPr>
              <w:t xml:space="preserve">Comenzar analizando las muestras de campo, incluyendo muestras de control de calidad, en su </w:t>
            </w:r>
            <w:r w:rsidRPr="00F01347">
              <w:rPr>
                <w:rFonts w:ascii="Verdana" w:hAnsi="Verdana"/>
                <w:sz w:val="16"/>
                <w:szCs w:val="16"/>
              </w:rPr>
              <w:lastRenderedPageBreak/>
              <w:t>frecuencia apropiada inyectando el mismo tamaño de alícuotas (en el desarrollo del método se utilizó 10 µL), bajo las mismas condiciones usadas para analizar los estándares de CAL.</w:t>
            </w:r>
          </w:p>
        </w:tc>
        <w:tc>
          <w:tcPr>
            <w:tcW w:w="4675" w:type="dxa"/>
          </w:tcPr>
          <w:p w14:paraId="188F91AD" w14:textId="105E9589" w:rsidR="00A41C64" w:rsidRPr="00F01347" w:rsidRDefault="00A41C64" w:rsidP="00A41C64">
            <w:pPr>
              <w:pStyle w:val="texto0"/>
              <w:spacing w:after="80" w:line="212" w:lineRule="exact"/>
              <w:ind w:firstLine="0"/>
              <w:rPr>
                <w:rFonts w:ascii="Verdana" w:hAnsi="Verdana"/>
                <w:sz w:val="16"/>
                <w:szCs w:val="16"/>
                <w:lang w:val="en-US"/>
              </w:rPr>
            </w:pPr>
            <w:r w:rsidRPr="00F01347">
              <w:rPr>
                <w:rFonts w:ascii="Verdana" w:hAnsi="Verdana"/>
                <w:sz w:val="16"/>
                <w:szCs w:val="16"/>
                <w:lang w:val="en-US"/>
              </w:rPr>
              <w:lastRenderedPageBreak/>
              <w:t xml:space="preserve">Begin analyzing field samples, including quality control samples, at their appropriate frequency by injecting the </w:t>
            </w:r>
            <w:r w:rsidRPr="00F01347">
              <w:rPr>
                <w:rFonts w:ascii="Verdana" w:hAnsi="Verdana"/>
                <w:sz w:val="16"/>
                <w:szCs w:val="16"/>
                <w:lang w:val="en-US"/>
              </w:rPr>
              <w:lastRenderedPageBreak/>
              <w:t>same size aliquots (10 µL was used in method development), under the same conditions used to analyze CAL standards.</w:t>
            </w:r>
          </w:p>
        </w:tc>
      </w:tr>
      <w:tr w:rsidR="00A41C64" w:rsidRPr="00F01347" w14:paraId="2C2F55CE" w14:textId="6C347AED" w:rsidTr="00FA318D">
        <w:tc>
          <w:tcPr>
            <w:tcW w:w="4675" w:type="dxa"/>
          </w:tcPr>
          <w:p w14:paraId="12AA5945" w14:textId="77777777" w:rsidR="00A41C64" w:rsidRPr="00F01347" w:rsidRDefault="00A41C64" w:rsidP="00A41C64">
            <w:pPr>
              <w:pStyle w:val="texto0"/>
              <w:spacing w:after="80" w:line="212" w:lineRule="exact"/>
              <w:ind w:firstLine="0"/>
              <w:rPr>
                <w:rFonts w:ascii="Verdana" w:hAnsi="Verdana"/>
                <w:b/>
                <w:sz w:val="16"/>
                <w:szCs w:val="16"/>
              </w:rPr>
            </w:pPr>
            <w:r w:rsidRPr="00F01347">
              <w:rPr>
                <w:rFonts w:ascii="Verdana" w:hAnsi="Verdana"/>
                <w:b/>
                <w:sz w:val="16"/>
                <w:szCs w:val="16"/>
              </w:rPr>
              <w:lastRenderedPageBreak/>
              <w:t>B.1.2.7.3 Análisis de datos y cálculos</w:t>
            </w:r>
          </w:p>
        </w:tc>
        <w:tc>
          <w:tcPr>
            <w:tcW w:w="4675" w:type="dxa"/>
          </w:tcPr>
          <w:p w14:paraId="345CD973" w14:textId="179B7486" w:rsidR="00A41C64" w:rsidRPr="00F01347" w:rsidRDefault="00A41C64" w:rsidP="00A41C64">
            <w:pPr>
              <w:pStyle w:val="texto0"/>
              <w:spacing w:after="80" w:line="212" w:lineRule="exact"/>
              <w:ind w:firstLine="0"/>
              <w:rPr>
                <w:rFonts w:ascii="Verdana" w:hAnsi="Verdana"/>
                <w:b/>
                <w:sz w:val="16"/>
                <w:szCs w:val="16"/>
                <w:lang w:val="en-US"/>
              </w:rPr>
            </w:pPr>
            <w:r w:rsidRPr="00F01347">
              <w:rPr>
                <w:rFonts w:ascii="Verdana" w:hAnsi="Verdana"/>
                <w:b/>
                <w:sz w:val="16"/>
                <w:szCs w:val="16"/>
                <w:lang w:val="en-US"/>
              </w:rPr>
              <w:t>B.1.2.7.3 Data analysis and calculations</w:t>
            </w:r>
          </w:p>
        </w:tc>
      </w:tr>
      <w:tr w:rsidR="00A41C64" w:rsidRPr="00F01347" w14:paraId="00836A3B" w14:textId="19AC2583" w:rsidTr="00FA318D">
        <w:tc>
          <w:tcPr>
            <w:tcW w:w="4675" w:type="dxa"/>
          </w:tcPr>
          <w:p w14:paraId="2EFB79FB" w14:textId="77777777" w:rsidR="00A41C64" w:rsidRPr="00F01347" w:rsidRDefault="00A41C64" w:rsidP="00A41C64">
            <w:pPr>
              <w:pStyle w:val="texto0"/>
              <w:spacing w:after="80" w:line="212" w:lineRule="exact"/>
              <w:ind w:firstLine="0"/>
              <w:rPr>
                <w:rFonts w:ascii="Verdana" w:hAnsi="Verdana"/>
                <w:sz w:val="16"/>
                <w:szCs w:val="16"/>
              </w:rPr>
            </w:pPr>
            <w:r w:rsidRPr="00F01347">
              <w:rPr>
                <w:rFonts w:ascii="Verdana" w:hAnsi="Verdana"/>
                <w:sz w:val="16"/>
                <w:szCs w:val="16"/>
              </w:rPr>
              <w:t>En la conclusión de adquisición de datos, usar el mismo software que se utilizó en el procedimiento de calibración para identificar los picos de interés en el tiempo de retención determinado. Utilizar el software del sistema de datos para examinar las concentraciones de iones de los picos en el cromatograma. Identificar un analito por comparación de su tiempo de retención con el del pico del analito de interés correspondiente en un estándar de referencia.</w:t>
            </w:r>
          </w:p>
        </w:tc>
        <w:tc>
          <w:tcPr>
            <w:tcW w:w="4675" w:type="dxa"/>
          </w:tcPr>
          <w:p w14:paraId="7C27E455" w14:textId="41D204A8" w:rsidR="00A41C64" w:rsidRPr="00F01347" w:rsidRDefault="00A41C64" w:rsidP="00A41C64">
            <w:pPr>
              <w:pStyle w:val="texto0"/>
              <w:spacing w:after="80" w:line="212" w:lineRule="exact"/>
              <w:ind w:firstLine="0"/>
              <w:rPr>
                <w:rFonts w:ascii="Verdana" w:hAnsi="Verdana"/>
                <w:sz w:val="16"/>
                <w:szCs w:val="16"/>
                <w:lang w:val="en-US"/>
              </w:rPr>
            </w:pPr>
            <w:r w:rsidRPr="00F01347">
              <w:rPr>
                <w:rFonts w:ascii="Verdana" w:hAnsi="Verdana"/>
                <w:sz w:val="16"/>
                <w:szCs w:val="16"/>
                <w:lang w:val="en-US"/>
              </w:rPr>
              <w:t>At the conclusion of data acquisition, use the same software that was used in the calibration procedure to identify peaks of interest at the given retention time. Use the data system software to examine the ion concentrations of the peaks on the chromatogram. Identify an analyte by comparing its retention time with that of the peak of the corresponding analyte of interest in a reference standard.</w:t>
            </w:r>
          </w:p>
        </w:tc>
      </w:tr>
      <w:tr w:rsidR="00A41C64" w:rsidRPr="00F01347" w14:paraId="23A4DE36" w14:textId="1628B398" w:rsidTr="00FA318D">
        <w:tc>
          <w:tcPr>
            <w:tcW w:w="4675" w:type="dxa"/>
          </w:tcPr>
          <w:p w14:paraId="4C8EF6F4" w14:textId="77777777" w:rsidR="00A41C64" w:rsidRPr="00F01347" w:rsidRDefault="00A41C64" w:rsidP="00A41C64">
            <w:pPr>
              <w:pStyle w:val="texto0"/>
              <w:spacing w:after="80" w:line="212" w:lineRule="exact"/>
              <w:ind w:firstLine="0"/>
              <w:rPr>
                <w:rFonts w:ascii="Verdana" w:hAnsi="Verdana"/>
                <w:sz w:val="16"/>
                <w:szCs w:val="16"/>
              </w:rPr>
            </w:pPr>
            <w:r w:rsidRPr="00F01347">
              <w:rPr>
                <w:rFonts w:ascii="Verdana" w:hAnsi="Verdana"/>
                <w:sz w:val="16"/>
                <w:szCs w:val="16"/>
              </w:rPr>
              <w:t xml:space="preserve">El analista no debe extrapolar más allá del rango de calibración establecida. Si un área del pico del analito de interés excede el rango de la curva de calibración inicial, el extracto puede ser diluido con metanol que contiene 10% de agua. Volver a inyectar el extracto diluido. Incorporar el factor de dilución en los cálculos de concentración final. El rendimiento aceptable del SUR debe determinarse a partir del extracto de la muestra sin diluir. Los datos resultantes deben ser documentados como una dilución y el MRL debe ajustarse </w:t>
            </w:r>
            <w:proofErr w:type="gramStart"/>
            <w:r w:rsidRPr="00F01347">
              <w:rPr>
                <w:rFonts w:ascii="Verdana" w:hAnsi="Verdana"/>
                <w:sz w:val="16"/>
                <w:szCs w:val="16"/>
              </w:rPr>
              <w:t>de acuerdo a</w:t>
            </w:r>
            <w:proofErr w:type="gramEnd"/>
            <w:r w:rsidRPr="00F01347">
              <w:rPr>
                <w:rFonts w:ascii="Verdana" w:hAnsi="Verdana"/>
                <w:sz w:val="16"/>
                <w:szCs w:val="16"/>
              </w:rPr>
              <w:t xml:space="preserve"> ello.</w:t>
            </w:r>
          </w:p>
        </w:tc>
        <w:tc>
          <w:tcPr>
            <w:tcW w:w="4675" w:type="dxa"/>
          </w:tcPr>
          <w:p w14:paraId="327E8E6F" w14:textId="69D756AA" w:rsidR="00A41C64" w:rsidRPr="00F01347" w:rsidRDefault="00A41C64" w:rsidP="00A41C64">
            <w:pPr>
              <w:pStyle w:val="texto0"/>
              <w:spacing w:after="80" w:line="212" w:lineRule="exact"/>
              <w:ind w:firstLine="0"/>
              <w:rPr>
                <w:rFonts w:ascii="Verdana" w:hAnsi="Verdana"/>
                <w:sz w:val="16"/>
                <w:szCs w:val="16"/>
                <w:lang w:val="en-US"/>
              </w:rPr>
            </w:pPr>
            <w:r w:rsidRPr="00F01347">
              <w:rPr>
                <w:rFonts w:ascii="Verdana" w:hAnsi="Verdana"/>
                <w:sz w:val="16"/>
                <w:szCs w:val="16"/>
                <w:lang w:val="en-US"/>
              </w:rPr>
              <w:t>The analyst should not extrapolate beyond the established calibration range. If a peak area of the analyte of interest exceeds the range of the initial calibration curve, the extract can be diluted with methanol containing 10% water. Re-inject the diluted extract. Incorporate the dilution factor into the final concentration calculations. The acceptable yield of SUR should be determined from the undiluted sample extract. The resulting data should be documented as a dilution and the MRL should be adjusted accordingly</w:t>
            </w:r>
            <w:r w:rsidR="003E1BA9" w:rsidRPr="00F01347">
              <w:rPr>
                <w:rFonts w:ascii="Verdana" w:hAnsi="Verdana"/>
                <w:sz w:val="16"/>
                <w:szCs w:val="16"/>
                <w:lang w:val="en-US"/>
              </w:rPr>
              <w:t>.</w:t>
            </w:r>
          </w:p>
        </w:tc>
      </w:tr>
      <w:tr w:rsidR="00A41C64" w:rsidRPr="00F01347" w14:paraId="627984F4" w14:textId="165C168D" w:rsidTr="00FA318D">
        <w:tc>
          <w:tcPr>
            <w:tcW w:w="4675" w:type="dxa"/>
          </w:tcPr>
          <w:p w14:paraId="06ED8E52" w14:textId="77777777" w:rsidR="00A41C64" w:rsidRPr="00F01347" w:rsidRDefault="00A41C64" w:rsidP="00A41C64">
            <w:pPr>
              <w:pStyle w:val="texto0"/>
              <w:spacing w:after="80" w:line="212" w:lineRule="exact"/>
              <w:ind w:firstLine="0"/>
              <w:rPr>
                <w:rFonts w:ascii="Verdana" w:hAnsi="Verdana"/>
                <w:b/>
                <w:sz w:val="16"/>
                <w:szCs w:val="16"/>
              </w:rPr>
            </w:pPr>
            <w:r w:rsidRPr="00F01347">
              <w:rPr>
                <w:rFonts w:ascii="Verdana" w:hAnsi="Verdana"/>
                <w:b/>
                <w:sz w:val="16"/>
                <w:szCs w:val="16"/>
              </w:rPr>
              <w:t>B.1.2.7.4 Informe de prueba</w:t>
            </w:r>
          </w:p>
        </w:tc>
        <w:tc>
          <w:tcPr>
            <w:tcW w:w="4675" w:type="dxa"/>
          </w:tcPr>
          <w:p w14:paraId="65D9D3BF" w14:textId="54C9C287" w:rsidR="00A41C64" w:rsidRPr="00F01347" w:rsidRDefault="00A41C64" w:rsidP="00A41C64">
            <w:pPr>
              <w:pStyle w:val="texto0"/>
              <w:spacing w:after="80" w:line="212" w:lineRule="exact"/>
              <w:ind w:firstLine="0"/>
              <w:rPr>
                <w:rFonts w:ascii="Verdana" w:hAnsi="Verdana"/>
                <w:b/>
                <w:sz w:val="16"/>
                <w:szCs w:val="16"/>
                <w:lang w:val="en-US"/>
              </w:rPr>
            </w:pPr>
            <w:r w:rsidRPr="00F01347">
              <w:rPr>
                <w:rFonts w:ascii="Verdana" w:hAnsi="Verdana"/>
                <w:b/>
                <w:sz w:val="16"/>
                <w:szCs w:val="16"/>
                <w:lang w:val="en-US"/>
              </w:rPr>
              <w:t>B.1.2.7.4 Test report</w:t>
            </w:r>
          </w:p>
        </w:tc>
      </w:tr>
      <w:tr w:rsidR="00A41C64" w:rsidRPr="00F01347" w14:paraId="56356026" w14:textId="3BBF9403" w:rsidTr="00FA318D">
        <w:tc>
          <w:tcPr>
            <w:tcW w:w="4675" w:type="dxa"/>
          </w:tcPr>
          <w:p w14:paraId="6AEE6213" w14:textId="77777777" w:rsidR="00A41C64" w:rsidRPr="00F01347" w:rsidRDefault="00A41C64" w:rsidP="00A41C64">
            <w:pPr>
              <w:pStyle w:val="texto0"/>
              <w:spacing w:after="80" w:line="212" w:lineRule="exact"/>
              <w:ind w:firstLine="0"/>
              <w:rPr>
                <w:rFonts w:ascii="Verdana" w:hAnsi="Verdana"/>
                <w:sz w:val="16"/>
                <w:szCs w:val="16"/>
              </w:rPr>
            </w:pPr>
            <w:r w:rsidRPr="00F01347">
              <w:rPr>
                <w:rFonts w:ascii="Verdana" w:hAnsi="Verdana"/>
                <w:sz w:val="16"/>
                <w:szCs w:val="16"/>
              </w:rPr>
              <w:t xml:space="preserve">Reportar la concentración de </w:t>
            </w:r>
            <w:proofErr w:type="spellStart"/>
            <w:r w:rsidRPr="00F01347">
              <w:rPr>
                <w:rFonts w:ascii="Verdana" w:hAnsi="Verdana"/>
                <w:sz w:val="16"/>
                <w:szCs w:val="16"/>
              </w:rPr>
              <w:t>microcistina</w:t>
            </w:r>
            <w:proofErr w:type="spellEnd"/>
            <w:r w:rsidRPr="00F01347">
              <w:rPr>
                <w:rFonts w:ascii="Verdana" w:hAnsi="Verdana"/>
                <w:sz w:val="16"/>
                <w:szCs w:val="16"/>
              </w:rPr>
              <w:t>-LR en µg/L.</w:t>
            </w:r>
          </w:p>
        </w:tc>
        <w:tc>
          <w:tcPr>
            <w:tcW w:w="4675" w:type="dxa"/>
          </w:tcPr>
          <w:p w14:paraId="3F9DFEDF" w14:textId="5B388AAF" w:rsidR="00A41C64" w:rsidRPr="00F01347" w:rsidRDefault="00A41C64" w:rsidP="00A41C64">
            <w:pPr>
              <w:pStyle w:val="texto0"/>
              <w:spacing w:after="80" w:line="212" w:lineRule="exact"/>
              <w:ind w:firstLine="0"/>
              <w:rPr>
                <w:rFonts w:ascii="Verdana" w:hAnsi="Verdana"/>
                <w:sz w:val="16"/>
                <w:szCs w:val="16"/>
                <w:lang w:val="en-US"/>
              </w:rPr>
            </w:pPr>
            <w:r w:rsidRPr="00F01347">
              <w:rPr>
                <w:rFonts w:ascii="Verdana" w:hAnsi="Verdana"/>
                <w:sz w:val="16"/>
                <w:szCs w:val="16"/>
                <w:lang w:val="en-US"/>
              </w:rPr>
              <w:t>Report the concentration of microcystin -LR in µg/L.</w:t>
            </w:r>
          </w:p>
        </w:tc>
      </w:tr>
      <w:tr w:rsidR="00A41C64" w:rsidRPr="00F01347" w14:paraId="685AF579" w14:textId="12CFFF63" w:rsidTr="00FA318D">
        <w:tc>
          <w:tcPr>
            <w:tcW w:w="4675" w:type="dxa"/>
          </w:tcPr>
          <w:p w14:paraId="58B66559" w14:textId="77777777" w:rsidR="00A41C64" w:rsidRPr="00F01347" w:rsidRDefault="00A41C64" w:rsidP="00A41C64">
            <w:pPr>
              <w:pStyle w:val="texto0"/>
              <w:spacing w:after="80" w:line="212" w:lineRule="exact"/>
              <w:ind w:firstLine="0"/>
              <w:rPr>
                <w:rFonts w:ascii="Verdana" w:hAnsi="Verdana"/>
                <w:b/>
                <w:sz w:val="16"/>
                <w:szCs w:val="16"/>
              </w:rPr>
            </w:pPr>
            <w:r w:rsidRPr="00F01347">
              <w:rPr>
                <w:rFonts w:ascii="Verdana" w:hAnsi="Verdana"/>
                <w:b/>
                <w:sz w:val="16"/>
                <w:szCs w:val="16"/>
              </w:rPr>
              <w:t>B.1.2.8 Seguridad</w:t>
            </w:r>
          </w:p>
        </w:tc>
        <w:tc>
          <w:tcPr>
            <w:tcW w:w="4675" w:type="dxa"/>
          </w:tcPr>
          <w:p w14:paraId="50852326" w14:textId="4AA1C223" w:rsidR="00A41C64" w:rsidRPr="00F01347" w:rsidRDefault="00A41C64" w:rsidP="00A41C64">
            <w:pPr>
              <w:pStyle w:val="texto0"/>
              <w:spacing w:after="80" w:line="212" w:lineRule="exact"/>
              <w:ind w:firstLine="0"/>
              <w:rPr>
                <w:rFonts w:ascii="Verdana" w:hAnsi="Verdana"/>
                <w:b/>
                <w:sz w:val="16"/>
                <w:szCs w:val="16"/>
                <w:lang w:val="en-US"/>
              </w:rPr>
            </w:pPr>
            <w:r w:rsidRPr="00F01347">
              <w:rPr>
                <w:rFonts w:ascii="Verdana" w:hAnsi="Verdana"/>
                <w:b/>
                <w:sz w:val="16"/>
                <w:szCs w:val="16"/>
                <w:lang w:val="en-US"/>
              </w:rPr>
              <w:t>B.1.2.8 S</w:t>
            </w:r>
            <w:r w:rsidR="00E46D10" w:rsidRPr="00F01347">
              <w:rPr>
                <w:rFonts w:ascii="Verdana" w:hAnsi="Verdana"/>
                <w:b/>
                <w:sz w:val="16"/>
                <w:szCs w:val="16"/>
                <w:lang w:val="en-US"/>
              </w:rPr>
              <w:t>afe</w:t>
            </w:r>
            <w:r w:rsidRPr="00F01347">
              <w:rPr>
                <w:rFonts w:ascii="Verdana" w:hAnsi="Verdana"/>
                <w:b/>
                <w:sz w:val="16"/>
                <w:szCs w:val="16"/>
                <w:lang w:val="en-US"/>
              </w:rPr>
              <w:t>ty</w:t>
            </w:r>
          </w:p>
        </w:tc>
      </w:tr>
      <w:tr w:rsidR="00A41C64" w:rsidRPr="00F01347" w14:paraId="75CAECCA" w14:textId="47AB88AA" w:rsidTr="00FA318D">
        <w:tc>
          <w:tcPr>
            <w:tcW w:w="4675" w:type="dxa"/>
          </w:tcPr>
          <w:p w14:paraId="0488239D" w14:textId="77777777" w:rsidR="00A41C64" w:rsidRPr="00F01347" w:rsidRDefault="00A41C64" w:rsidP="00A41C64">
            <w:pPr>
              <w:pStyle w:val="texto0"/>
              <w:spacing w:after="80" w:line="212" w:lineRule="exact"/>
              <w:ind w:firstLine="0"/>
              <w:rPr>
                <w:rFonts w:ascii="Verdana" w:hAnsi="Verdana"/>
                <w:sz w:val="16"/>
                <w:szCs w:val="16"/>
              </w:rPr>
            </w:pPr>
            <w:r w:rsidRPr="00F01347">
              <w:rPr>
                <w:rFonts w:ascii="Verdana" w:hAnsi="Verdana"/>
                <w:sz w:val="16"/>
                <w:szCs w:val="16"/>
              </w:rPr>
              <w:t>Cada reactivo utilizado en estos procedimientos debe ser tratado como un riesgo potencial para la salud y la exposición a estos materiales debe ser minimizada. Cada laboratorio es responsable de mantener un conocimiento de las regulaciones respecto a la manipulación segura de cualquier producto químico usado en este método. Debe ponerse a disposición de todo el personal involucrado en el análisis las hojas de datos de seguridad de los productos químicos. Algunas directrices de descontaminación/inactivación de toxinas pueden encontrarse en el libro “</w:t>
            </w:r>
            <w:proofErr w:type="spellStart"/>
            <w:r w:rsidRPr="00F01347">
              <w:rPr>
                <w:rFonts w:ascii="Verdana" w:hAnsi="Verdana"/>
                <w:sz w:val="16"/>
                <w:szCs w:val="16"/>
              </w:rPr>
              <w:t>Biosafety</w:t>
            </w:r>
            <w:proofErr w:type="spellEnd"/>
            <w:r w:rsidRPr="00F01347">
              <w:rPr>
                <w:rFonts w:ascii="Verdana" w:hAnsi="Verdana"/>
                <w:sz w:val="16"/>
                <w:szCs w:val="16"/>
              </w:rPr>
              <w:t xml:space="preserve"> in </w:t>
            </w:r>
            <w:proofErr w:type="spellStart"/>
            <w:r w:rsidRPr="00F01347">
              <w:rPr>
                <w:rFonts w:ascii="Verdana" w:hAnsi="Verdana"/>
                <w:sz w:val="16"/>
                <w:szCs w:val="16"/>
              </w:rPr>
              <w:t>Microbiological</w:t>
            </w:r>
            <w:proofErr w:type="spellEnd"/>
            <w:r w:rsidRPr="00F01347">
              <w:rPr>
                <w:rFonts w:ascii="Verdana" w:hAnsi="Verdana"/>
                <w:sz w:val="16"/>
                <w:szCs w:val="16"/>
              </w:rPr>
              <w:t xml:space="preserve"> and </w:t>
            </w:r>
            <w:proofErr w:type="spellStart"/>
            <w:r w:rsidRPr="00F01347">
              <w:rPr>
                <w:rFonts w:ascii="Verdana" w:hAnsi="Verdana"/>
                <w:sz w:val="16"/>
                <w:szCs w:val="16"/>
              </w:rPr>
              <w:t>Biomedical</w:t>
            </w:r>
            <w:proofErr w:type="spellEnd"/>
            <w:r w:rsidRPr="00F01347">
              <w:rPr>
                <w:rFonts w:ascii="Verdana" w:hAnsi="Verdana"/>
                <w:sz w:val="16"/>
                <w:szCs w:val="16"/>
              </w:rPr>
              <w:t xml:space="preserve"> </w:t>
            </w:r>
            <w:proofErr w:type="spellStart"/>
            <w:r w:rsidRPr="00F01347">
              <w:rPr>
                <w:rFonts w:ascii="Verdana" w:hAnsi="Verdana"/>
                <w:sz w:val="16"/>
                <w:szCs w:val="16"/>
              </w:rPr>
              <w:t>Laboratories</w:t>
            </w:r>
            <w:proofErr w:type="spellEnd"/>
            <w:r w:rsidRPr="00F01347">
              <w:rPr>
                <w:rFonts w:ascii="Verdana" w:hAnsi="Verdana"/>
                <w:sz w:val="16"/>
                <w:szCs w:val="16"/>
              </w:rPr>
              <w:t>” y en otras referencias disponibles adicionales referentes a la seguridad del laboratorio.</w:t>
            </w:r>
          </w:p>
        </w:tc>
        <w:tc>
          <w:tcPr>
            <w:tcW w:w="4675" w:type="dxa"/>
          </w:tcPr>
          <w:p w14:paraId="1AA6BC33" w14:textId="70B64562" w:rsidR="00A41C64" w:rsidRPr="00F01347" w:rsidRDefault="00A41C64" w:rsidP="00A41C64">
            <w:pPr>
              <w:pStyle w:val="texto0"/>
              <w:spacing w:after="80" w:line="212" w:lineRule="exact"/>
              <w:ind w:firstLine="0"/>
              <w:rPr>
                <w:rFonts w:ascii="Verdana" w:hAnsi="Verdana"/>
                <w:sz w:val="16"/>
                <w:szCs w:val="16"/>
                <w:lang w:val="en-US"/>
              </w:rPr>
            </w:pPr>
            <w:r w:rsidRPr="00F01347">
              <w:rPr>
                <w:rFonts w:ascii="Verdana" w:hAnsi="Verdana"/>
                <w:sz w:val="16"/>
                <w:szCs w:val="16"/>
                <w:lang w:val="en-US"/>
              </w:rPr>
              <w:t xml:space="preserve">Each reagent used in these procedures should be treated as a potential health risk and exposure to these materials should be minimized. Each laboratory is responsible for maintaining an understanding of the regulations regarding the safe handling of any chemicals used in this method. </w:t>
            </w:r>
            <w:r w:rsidR="00FE21E4" w:rsidRPr="00F01347">
              <w:rPr>
                <w:rFonts w:ascii="Verdana" w:hAnsi="Verdana"/>
                <w:sz w:val="16"/>
                <w:szCs w:val="16"/>
                <w:lang w:val="en-US"/>
              </w:rPr>
              <w:t>Safety Data Sheets</w:t>
            </w:r>
            <w:r w:rsidR="00203B3B" w:rsidRPr="00F01347">
              <w:rPr>
                <w:rFonts w:ascii="Verdana" w:hAnsi="Verdana"/>
                <w:sz w:val="16"/>
                <w:szCs w:val="16"/>
                <w:lang w:val="en-US"/>
              </w:rPr>
              <w:t xml:space="preserve"> of any chemical product</w:t>
            </w:r>
            <w:r w:rsidRPr="00F01347">
              <w:rPr>
                <w:rFonts w:ascii="Verdana" w:hAnsi="Verdana"/>
                <w:sz w:val="16"/>
                <w:szCs w:val="16"/>
                <w:lang w:val="en-US"/>
              </w:rPr>
              <w:t xml:space="preserve"> should be made available to all personnel involved in the analysis. Some decontamination/toxin inactivation guidelines can be found in the book “Biosafety in Microbiological and Biomedical Laboratorie</w:t>
            </w:r>
            <w:r w:rsidR="00485330" w:rsidRPr="00F01347">
              <w:rPr>
                <w:rFonts w:ascii="Verdana" w:hAnsi="Verdana"/>
                <w:sz w:val="16"/>
                <w:szCs w:val="16"/>
                <w:lang w:val="en-US"/>
              </w:rPr>
              <w:t>s</w:t>
            </w:r>
            <w:r w:rsidRPr="00F01347">
              <w:rPr>
                <w:rFonts w:ascii="Verdana" w:hAnsi="Verdana"/>
                <w:sz w:val="16"/>
                <w:szCs w:val="16"/>
                <w:lang w:val="en-US"/>
              </w:rPr>
              <w:t>” and</w:t>
            </w:r>
            <w:r w:rsidR="00485330" w:rsidRPr="00F01347">
              <w:rPr>
                <w:rFonts w:ascii="Verdana" w:hAnsi="Verdana"/>
                <w:sz w:val="16"/>
                <w:szCs w:val="16"/>
                <w:lang w:val="en-US"/>
              </w:rPr>
              <w:t xml:space="preserve"> in</w:t>
            </w:r>
            <w:r w:rsidRPr="00F01347">
              <w:rPr>
                <w:rFonts w:ascii="Verdana" w:hAnsi="Verdana"/>
                <w:sz w:val="16"/>
                <w:szCs w:val="16"/>
                <w:lang w:val="en-US"/>
              </w:rPr>
              <w:t xml:space="preserve"> other additional available references regarding laboratory safety.</w:t>
            </w:r>
          </w:p>
        </w:tc>
      </w:tr>
      <w:tr w:rsidR="00A41C64" w:rsidRPr="00F01347" w14:paraId="42E2D4B1" w14:textId="037BEF37" w:rsidTr="00FA318D">
        <w:tc>
          <w:tcPr>
            <w:tcW w:w="4675" w:type="dxa"/>
          </w:tcPr>
          <w:p w14:paraId="04EAE86A" w14:textId="77777777" w:rsidR="00A41C64" w:rsidRPr="00F01347" w:rsidRDefault="00A41C64" w:rsidP="00A41C64">
            <w:pPr>
              <w:pStyle w:val="texto0"/>
              <w:spacing w:line="224" w:lineRule="exact"/>
              <w:ind w:firstLine="0"/>
              <w:rPr>
                <w:rFonts w:ascii="Verdana" w:hAnsi="Verdana"/>
                <w:sz w:val="16"/>
                <w:szCs w:val="16"/>
              </w:rPr>
            </w:pPr>
            <w:r w:rsidRPr="00F01347">
              <w:rPr>
                <w:rFonts w:ascii="Verdana" w:hAnsi="Verdana"/>
                <w:sz w:val="16"/>
                <w:szCs w:val="16"/>
              </w:rPr>
              <w:t>Los materiales estándar puros y las soluciones estándar de los analitos deben ser manejados con la protección adecuada para la piel y los ojos y se debe tener cuidado de no respirar los vapores o ingerir los materiales.</w:t>
            </w:r>
          </w:p>
        </w:tc>
        <w:tc>
          <w:tcPr>
            <w:tcW w:w="4675" w:type="dxa"/>
          </w:tcPr>
          <w:p w14:paraId="4494C08F" w14:textId="717D0AA8" w:rsidR="00A41C64" w:rsidRPr="00F01347" w:rsidRDefault="00A41C64" w:rsidP="00A41C64">
            <w:pPr>
              <w:pStyle w:val="texto0"/>
              <w:spacing w:line="224" w:lineRule="exact"/>
              <w:ind w:firstLine="0"/>
              <w:rPr>
                <w:rFonts w:ascii="Verdana" w:hAnsi="Verdana"/>
                <w:sz w:val="16"/>
                <w:szCs w:val="16"/>
                <w:lang w:val="en-US"/>
              </w:rPr>
            </w:pPr>
            <w:r w:rsidRPr="00F01347">
              <w:rPr>
                <w:rFonts w:ascii="Verdana" w:hAnsi="Verdana"/>
                <w:sz w:val="16"/>
                <w:szCs w:val="16"/>
                <w:lang w:val="en-US"/>
              </w:rPr>
              <w:t>Pure standard materials and standard solutions of the analytes should be handled with appropriate skin and eye protection and care should be taken not to breathe the vapors or ingest the materials.</w:t>
            </w:r>
          </w:p>
        </w:tc>
      </w:tr>
      <w:tr w:rsidR="00A41C64" w:rsidRPr="00F01347" w14:paraId="78C0994A" w14:textId="237F2F58" w:rsidTr="00FA318D">
        <w:tc>
          <w:tcPr>
            <w:tcW w:w="4675" w:type="dxa"/>
          </w:tcPr>
          <w:p w14:paraId="13066E42" w14:textId="77777777" w:rsidR="00A41C64" w:rsidRPr="00F01347" w:rsidRDefault="00A41C64" w:rsidP="00A41C64">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B.1.2.9 </w:t>
            </w:r>
            <w:proofErr w:type="spellStart"/>
            <w:r w:rsidRPr="00F01347">
              <w:rPr>
                <w:rFonts w:ascii="Verdana" w:hAnsi="Verdana"/>
                <w:b/>
                <w:sz w:val="16"/>
                <w:szCs w:val="16"/>
                <w:lang w:val="en-US"/>
              </w:rPr>
              <w:t>Referencias</w:t>
            </w:r>
            <w:proofErr w:type="spellEnd"/>
          </w:p>
        </w:tc>
        <w:tc>
          <w:tcPr>
            <w:tcW w:w="4675" w:type="dxa"/>
          </w:tcPr>
          <w:p w14:paraId="61480607" w14:textId="650EC68A" w:rsidR="00A41C64" w:rsidRPr="00F01347" w:rsidRDefault="00A41C64" w:rsidP="00A41C64">
            <w:pPr>
              <w:pStyle w:val="texto0"/>
              <w:spacing w:line="224" w:lineRule="exact"/>
              <w:ind w:firstLine="0"/>
              <w:rPr>
                <w:rFonts w:ascii="Verdana" w:hAnsi="Verdana"/>
                <w:b/>
                <w:sz w:val="16"/>
                <w:szCs w:val="16"/>
                <w:lang w:val="en-US"/>
              </w:rPr>
            </w:pPr>
            <w:r w:rsidRPr="00F01347">
              <w:rPr>
                <w:rFonts w:ascii="Verdana" w:hAnsi="Verdana"/>
                <w:b/>
                <w:sz w:val="16"/>
                <w:szCs w:val="16"/>
                <w:lang w:val="en-US"/>
              </w:rPr>
              <w:t>B.1.2.9 References</w:t>
            </w:r>
          </w:p>
        </w:tc>
      </w:tr>
      <w:tr w:rsidR="00A41C64" w:rsidRPr="00F01347" w14:paraId="2A739BAE" w14:textId="1B154601" w:rsidTr="00FA318D">
        <w:tc>
          <w:tcPr>
            <w:tcW w:w="4675" w:type="dxa"/>
          </w:tcPr>
          <w:p w14:paraId="0FC59862" w14:textId="77777777" w:rsidR="00A41C64" w:rsidRPr="00F01347" w:rsidRDefault="00A41C64" w:rsidP="00A41C64">
            <w:pPr>
              <w:pStyle w:val="texto0"/>
              <w:spacing w:line="224" w:lineRule="exact"/>
              <w:ind w:firstLine="0"/>
              <w:rPr>
                <w:rFonts w:ascii="Verdana" w:hAnsi="Verdana"/>
                <w:color w:val="000000"/>
                <w:sz w:val="16"/>
                <w:szCs w:val="16"/>
              </w:rPr>
            </w:pPr>
            <w:r w:rsidRPr="00F01347">
              <w:rPr>
                <w:rFonts w:ascii="Verdana" w:hAnsi="Verdana"/>
                <w:color w:val="000000"/>
                <w:sz w:val="16"/>
                <w:szCs w:val="16"/>
                <w:lang w:val="en-US"/>
              </w:rPr>
              <w:t>●</w:t>
            </w:r>
            <w:r w:rsidRPr="00F01347">
              <w:rPr>
                <w:rFonts w:ascii="Verdana" w:hAnsi="Verdana"/>
                <w:color w:val="000000"/>
                <w:sz w:val="16"/>
                <w:szCs w:val="16"/>
                <w:lang w:val="en-US"/>
              </w:rPr>
              <w:tab/>
              <w:t xml:space="preserve">American Chemical Society Publication. “Safety in Academic Chemistry Laboratories,” Committee on Chemical Safety, 7th Edition. </w:t>
            </w:r>
            <w:r w:rsidRPr="00F01347">
              <w:rPr>
                <w:rFonts w:ascii="Verdana" w:hAnsi="Verdana"/>
                <w:color w:val="000000"/>
                <w:sz w:val="16"/>
                <w:szCs w:val="16"/>
              </w:rPr>
              <w:t>Disponible en:</w:t>
            </w:r>
          </w:p>
        </w:tc>
        <w:tc>
          <w:tcPr>
            <w:tcW w:w="4675" w:type="dxa"/>
          </w:tcPr>
          <w:p w14:paraId="1A2B5C86" w14:textId="02E3918D" w:rsidR="00A41C64" w:rsidRPr="00F01347" w:rsidRDefault="00A41C64" w:rsidP="00A41C64">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 </w:t>
            </w:r>
            <w:r w:rsidRPr="00F01347">
              <w:rPr>
                <w:rFonts w:ascii="Verdana" w:hAnsi="Verdana"/>
                <w:color w:val="000000"/>
                <w:sz w:val="16"/>
                <w:szCs w:val="16"/>
                <w:lang w:val="en-US"/>
              </w:rPr>
              <w:tab/>
              <w:t>American Chemical Society Publication. “Safety in Academic Chemistry Laboratories,” Committee on Chemical Safety, 7th Edition. Available in:</w:t>
            </w:r>
          </w:p>
        </w:tc>
      </w:tr>
      <w:tr w:rsidR="00A41C64" w:rsidRPr="00F01347" w14:paraId="0E3662B5" w14:textId="01A112C4" w:rsidTr="00FA318D">
        <w:tc>
          <w:tcPr>
            <w:tcW w:w="4675" w:type="dxa"/>
          </w:tcPr>
          <w:p w14:paraId="30281EE7" w14:textId="330F4A98" w:rsidR="00A41C64" w:rsidRPr="00F01347" w:rsidRDefault="00A41C64" w:rsidP="00A41C64">
            <w:pPr>
              <w:pStyle w:val="texto0"/>
              <w:tabs>
                <w:tab w:val="left" w:pos="720"/>
              </w:tabs>
              <w:spacing w:line="224" w:lineRule="exact"/>
              <w:ind w:firstLine="0"/>
              <w:rPr>
                <w:rFonts w:ascii="Verdana" w:hAnsi="Verdana"/>
                <w:color w:val="000000"/>
                <w:sz w:val="16"/>
                <w:szCs w:val="16"/>
              </w:rPr>
            </w:pPr>
            <w:r w:rsidRPr="00F01347">
              <w:rPr>
                <w:rFonts w:ascii="Verdana" w:hAnsi="Verdana"/>
                <w:color w:val="000000"/>
                <w:sz w:val="16"/>
                <w:szCs w:val="16"/>
              </w:rPr>
              <w:t>https://www.acs.org/content/dam/acsorg/about/governance/committees/chemicalsafety/publications/ safety-in-academic-chemistry-laboratories-faculty.pdf</w:t>
            </w:r>
            <w:proofErr w:type="gramStart"/>
            <w:r w:rsidR="00496150" w:rsidRPr="00F01347">
              <w:rPr>
                <w:rFonts w:ascii="Verdana" w:hAnsi="Verdana"/>
                <w:color w:val="000000"/>
                <w:sz w:val="16"/>
                <w:szCs w:val="16"/>
              </w:rPr>
              <w:t xml:space="preserve">  </w:t>
            </w:r>
            <w:r w:rsidRPr="00F01347">
              <w:rPr>
                <w:rFonts w:ascii="Verdana" w:hAnsi="Verdana"/>
                <w:color w:val="000000"/>
                <w:sz w:val="16"/>
                <w:szCs w:val="16"/>
              </w:rPr>
              <w:t xml:space="preserve"> (</w:t>
            </w:r>
            <w:proofErr w:type="gramEnd"/>
            <w:r w:rsidRPr="00F01347">
              <w:rPr>
                <w:rFonts w:ascii="Verdana" w:hAnsi="Verdana"/>
                <w:color w:val="000000"/>
                <w:sz w:val="16"/>
                <w:szCs w:val="16"/>
              </w:rPr>
              <w:t>revisado el 17 de marzo de 2017).</w:t>
            </w:r>
          </w:p>
        </w:tc>
        <w:tc>
          <w:tcPr>
            <w:tcW w:w="4675" w:type="dxa"/>
          </w:tcPr>
          <w:p w14:paraId="1B59A812" w14:textId="53735732" w:rsidR="00A41C64" w:rsidRPr="00F01347" w:rsidRDefault="00415B96" w:rsidP="00A41C64">
            <w:pPr>
              <w:pStyle w:val="texto0"/>
              <w:tabs>
                <w:tab w:val="left" w:pos="720"/>
              </w:tabs>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h</w:t>
            </w:r>
            <w:r w:rsidR="00A41C64" w:rsidRPr="00F01347">
              <w:rPr>
                <w:rFonts w:ascii="Verdana" w:hAnsi="Verdana"/>
                <w:color w:val="000000"/>
                <w:sz w:val="16"/>
                <w:szCs w:val="16"/>
                <w:lang w:val="en-US"/>
              </w:rPr>
              <w:t>ttps://www.acs.org/content/dam/acsorg/about/governance/committees/chemicalsafety/publications/safety-in-academic-chemistry-laboratories-faculty.pdf (accessed March 17, 2017).</w:t>
            </w:r>
          </w:p>
        </w:tc>
      </w:tr>
      <w:tr w:rsidR="00A41C64" w:rsidRPr="00F01347" w14:paraId="4DA1B0FA" w14:textId="23C81602" w:rsidTr="00FA318D">
        <w:tc>
          <w:tcPr>
            <w:tcW w:w="4675" w:type="dxa"/>
          </w:tcPr>
          <w:p w14:paraId="5775649D" w14:textId="77777777" w:rsidR="00A41C64" w:rsidRPr="00F01347" w:rsidRDefault="00A41C64" w:rsidP="00A41C64">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lastRenderedPageBreak/>
              <w:t>●</w:t>
            </w:r>
            <w:r w:rsidRPr="00F01347">
              <w:rPr>
                <w:rFonts w:ascii="Verdana" w:hAnsi="Verdana"/>
                <w:color w:val="000000"/>
                <w:sz w:val="16"/>
                <w:szCs w:val="16"/>
                <w:lang w:val="en-US"/>
              </w:rPr>
              <w:tab/>
              <w:t>EPA. 2015.</w:t>
            </w:r>
            <w:r w:rsidRPr="00F01347">
              <w:rPr>
                <w:rFonts w:ascii="Verdana" w:hAnsi="Verdana"/>
                <w:sz w:val="16"/>
                <w:szCs w:val="16"/>
                <w:lang w:val="en-US"/>
              </w:rPr>
              <w:t xml:space="preserve"> </w:t>
            </w:r>
            <w:r w:rsidRPr="00F01347">
              <w:rPr>
                <w:rFonts w:ascii="Verdana" w:hAnsi="Verdana"/>
                <w:color w:val="000000"/>
                <w:sz w:val="16"/>
                <w:szCs w:val="16"/>
                <w:lang w:val="en-US"/>
              </w:rPr>
              <w:t>METHOD 544. DETERMINATION OF MICROCYSTINS AND NODULARIN IN DRINKING WATER BY SOLID PHASE EXTRACTION AND LIQUID CHROMATOGRAPHY/TANDEM MASS SPECTROMETRY (LC/MS/MS)</w:t>
            </w:r>
          </w:p>
        </w:tc>
        <w:tc>
          <w:tcPr>
            <w:tcW w:w="4675" w:type="dxa"/>
          </w:tcPr>
          <w:p w14:paraId="4E0108FE" w14:textId="6F843A24" w:rsidR="00A41C64" w:rsidRPr="00F01347" w:rsidRDefault="00A41C64" w:rsidP="00A41C64">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 </w:t>
            </w:r>
            <w:r w:rsidRPr="00F01347">
              <w:rPr>
                <w:rFonts w:ascii="Verdana" w:hAnsi="Verdana"/>
                <w:color w:val="000000"/>
                <w:sz w:val="16"/>
                <w:szCs w:val="16"/>
                <w:lang w:val="en-US"/>
              </w:rPr>
              <w:tab/>
              <w:t>EPA. 2015.</w:t>
            </w:r>
            <w:r w:rsidRPr="00F01347">
              <w:rPr>
                <w:rFonts w:ascii="Verdana" w:hAnsi="Verdana"/>
                <w:sz w:val="16"/>
                <w:szCs w:val="16"/>
                <w:lang w:val="en-US"/>
              </w:rPr>
              <w:t xml:space="preserve"> </w:t>
            </w:r>
            <w:r w:rsidRPr="00F01347">
              <w:rPr>
                <w:rFonts w:ascii="Verdana" w:hAnsi="Verdana"/>
                <w:color w:val="000000"/>
                <w:sz w:val="16"/>
                <w:szCs w:val="16"/>
                <w:lang w:val="en-US"/>
              </w:rPr>
              <w:t>METHOD 544. DETERMINATION OF MICROCYSTINS AND NODULARIN IN DRINKING WATER BY SOLID PHASE EXTRACTION AND LIQUID CHROMATOGRAPHY/TANDEM MASS SPECTROMETRY (LC/MS/MS)</w:t>
            </w:r>
          </w:p>
        </w:tc>
      </w:tr>
      <w:tr w:rsidR="00A41C64" w:rsidRPr="00F01347" w14:paraId="19276E70" w14:textId="7293EFD0" w:rsidTr="00FA318D">
        <w:tc>
          <w:tcPr>
            <w:tcW w:w="4675" w:type="dxa"/>
          </w:tcPr>
          <w:p w14:paraId="4F0F4DC5" w14:textId="77777777" w:rsidR="00A41C64" w:rsidRPr="00F01347" w:rsidRDefault="00A41C64" w:rsidP="00A41C64">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w:t>
            </w:r>
            <w:r w:rsidRPr="00F01347">
              <w:rPr>
                <w:rFonts w:ascii="Verdana" w:hAnsi="Verdana"/>
                <w:color w:val="000000"/>
                <w:sz w:val="16"/>
                <w:szCs w:val="16"/>
                <w:lang w:val="en-US"/>
              </w:rPr>
              <w:tab/>
              <w:t>Occupational Safety and Health Administration OSHA “OSHA Safety and Health Standards, General Industry”.</w:t>
            </w:r>
          </w:p>
        </w:tc>
        <w:tc>
          <w:tcPr>
            <w:tcW w:w="4675" w:type="dxa"/>
          </w:tcPr>
          <w:p w14:paraId="3063E84A" w14:textId="3EB77316" w:rsidR="00A41C64" w:rsidRPr="00F01347" w:rsidRDefault="00A41C64" w:rsidP="00A41C64">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 </w:t>
            </w:r>
            <w:r w:rsidRPr="00F01347">
              <w:rPr>
                <w:rFonts w:ascii="Verdana" w:hAnsi="Verdana"/>
                <w:color w:val="000000"/>
                <w:sz w:val="16"/>
                <w:szCs w:val="16"/>
                <w:lang w:val="en-US"/>
              </w:rPr>
              <w:tab/>
              <w:t>Occupational Safety and Health Administration OSHA “OSHA Safety and Health Standards, General Industry”.</w:t>
            </w:r>
          </w:p>
        </w:tc>
      </w:tr>
      <w:tr w:rsidR="00A41C64" w:rsidRPr="00F01347" w14:paraId="44735A63" w14:textId="238EC27E" w:rsidTr="00FA318D">
        <w:tc>
          <w:tcPr>
            <w:tcW w:w="4675" w:type="dxa"/>
          </w:tcPr>
          <w:p w14:paraId="18C4796F" w14:textId="77777777" w:rsidR="00A41C64" w:rsidRPr="00F01347" w:rsidRDefault="00A41C64" w:rsidP="00A41C64">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w:t>
            </w:r>
            <w:r w:rsidRPr="00F01347">
              <w:rPr>
                <w:rFonts w:ascii="Verdana" w:hAnsi="Verdana"/>
                <w:color w:val="000000"/>
                <w:sz w:val="16"/>
                <w:szCs w:val="16"/>
                <w:lang w:val="en-US"/>
              </w:rPr>
              <w:tab/>
              <w:t>U.S. Department of Health and Human Services</w:t>
            </w:r>
            <w:r w:rsidRPr="00F01347">
              <w:rPr>
                <w:rFonts w:ascii="Verdana" w:hAnsi="Verdana"/>
                <w:b/>
                <w:color w:val="000000"/>
                <w:sz w:val="16"/>
                <w:szCs w:val="16"/>
                <w:lang w:val="en-US"/>
              </w:rPr>
              <w:t xml:space="preserve">, </w:t>
            </w:r>
            <w:r w:rsidRPr="00F01347">
              <w:rPr>
                <w:rFonts w:ascii="Verdana" w:hAnsi="Verdana"/>
                <w:color w:val="000000"/>
                <w:sz w:val="16"/>
                <w:szCs w:val="16"/>
                <w:lang w:val="en-US"/>
              </w:rPr>
              <w:t>Public Health Service Centers for Disease Control and Prevention, National Institutes of Health. 2009. “Biosafety in Microbiological and Biomedical Laboratories”, 5th edition, Appendix I Guidelines for Work with Toxins of Biological Origin.</w:t>
            </w:r>
          </w:p>
        </w:tc>
        <w:tc>
          <w:tcPr>
            <w:tcW w:w="4675" w:type="dxa"/>
          </w:tcPr>
          <w:p w14:paraId="36C81638" w14:textId="57882CFC" w:rsidR="00A41C64" w:rsidRPr="00F01347" w:rsidRDefault="00A41C64" w:rsidP="00A41C64">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 </w:t>
            </w:r>
            <w:r w:rsidRPr="00F01347">
              <w:rPr>
                <w:rFonts w:ascii="Verdana" w:hAnsi="Verdana"/>
                <w:color w:val="000000"/>
                <w:sz w:val="16"/>
                <w:szCs w:val="16"/>
                <w:lang w:val="en-US"/>
              </w:rPr>
              <w:tab/>
              <w:t>US Department of Health and Human Services</w:t>
            </w:r>
            <w:r w:rsidR="003E1BA9" w:rsidRPr="00F01347">
              <w:rPr>
                <w:rFonts w:ascii="Verdana" w:hAnsi="Verdana"/>
                <w:color w:val="000000"/>
                <w:sz w:val="16"/>
                <w:szCs w:val="16"/>
                <w:lang w:val="en-US"/>
              </w:rPr>
              <w:t>,</w:t>
            </w:r>
            <w:r w:rsidRPr="00F01347">
              <w:rPr>
                <w:rFonts w:ascii="Verdana" w:hAnsi="Verdana"/>
                <w:b/>
                <w:color w:val="000000"/>
                <w:sz w:val="16"/>
                <w:szCs w:val="16"/>
                <w:lang w:val="en-US"/>
              </w:rPr>
              <w:t xml:space="preserve"> </w:t>
            </w:r>
            <w:r w:rsidRPr="00F01347">
              <w:rPr>
                <w:rFonts w:ascii="Verdana" w:hAnsi="Verdana"/>
                <w:color w:val="000000"/>
                <w:sz w:val="16"/>
                <w:szCs w:val="16"/>
                <w:lang w:val="en-US"/>
              </w:rPr>
              <w:t>Public Health Service Centers for Disease Control and Prevention, National Institutes of Health. 2009. “Biosafety in Microbiological and Biomedical Laboratories</w:t>
            </w:r>
            <w:r w:rsidR="008D6E01" w:rsidRPr="00F01347">
              <w:rPr>
                <w:rFonts w:ascii="Verdana" w:hAnsi="Verdana"/>
                <w:color w:val="000000"/>
                <w:sz w:val="16"/>
                <w:szCs w:val="16"/>
                <w:lang w:val="en-US"/>
              </w:rPr>
              <w:t>,</w:t>
            </w:r>
            <w:r w:rsidRPr="00F01347">
              <w:rPr>
                <w:rFonts w:ascii="Verdana" w:hAnsi="Verdana"/>
                <w:color w:val="000000"/>
                <w:sz w:val="16"/>
                <w:szCs w:val="16"/>
                <w:lang w:val="en-US"/>
              </w:rPr>
              <w:t>” 5th edition, Appendix I Guidelines for Work with Toxins of Biological Origin.</w:t>
            </w:r>
          </w:p>
        </w:tc>
      </w:tr>
      <w:tr w:rsidR="00A41C64" w:rsidRPr="00F01347" w14:paraId="1BBCAA17" w14:textId="7878AAB4" w:rsidTr="00FA318D">
        <w:tc>
          <w:tcPr>
            <w:tcW w:w="4675" w:type="dxa"/>
          </w:tcPr>
          <w:p w14:paraId="185F513F" w14:textId="77777777" w:rsidR="00A41C64" w:rsidRPr="00F01347" w:rsidRDefault="00A41C64" w:rsidP="00A41C64">
            <w:pPr>
              <w:pStyle w:val="texto0"/>
              <w:spacing w:line="224" w:lineRule="exact"/>
              <w:ind w:firstLine="0"/>
              <w:rPr>
                <w:rFonts w:ascii="Verdana" w:hAnsi="Verdana"/>
                <w:color w:val="000000"/>
                <w:sz w:val="16"/>
                <w:szCs w:val="16"/>
              </w:rPr>
            </w:pPr>
            <w:r w:rsidRPr="00F01347">
              <w:rPr>
                <w:rFonts w:ascii="Verdana" w:hAnsi="Verdana"/>
                <w:color w:val="000000"/>
                <w:sz w:val="16"/>
                <w:szCs w:val="16"/>
                <w:lang w:val="en-US"/>
              </w:rPr>
              <w:tab/>
            </w:r>
            <w:r w:rsidRPr="00F01347">
              <w:rPr>
                <w:rFonts w:ascii="Verdana" w:hAnsi="Verdana"/>
                <w:color w:val="000000"/>
                <w:sz w:val="16"/>
                <w:szCs w:val="16"/>
              </w:rPr>
              <w:t>Disponible en https://www.cdc.gov/biosafety/publications/bmbl5/BMBL.pdf (revisado 17 de marzo de 2017).</w:t>
            </w:r>
          </w:p>
        </w:tc>
        <w:tc>
          <w:tcPr>
            <w:tcW w:w="4675" w:type="dxa"/>
          </w:tcPr>
          <w:p w14:paraId="4839BF44" w14:textId="4E451266" w:rsidR="00A41C64" w:rsidRPr="00F01347" w:rsidRDefault="00A41C64" w:rsidP="00A41C64">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rPr>
              <w:tab/>
            </w:r>
            <w:r w:rsidRPr="00F01347">
              <w:rPr>
                <w:rFonts w:ascii="Verdana" w:hAnsi="Verdana"/>
                <w:color w:val="000000"/>
                <w:sz w:val="16"/>
                <w:szCs w:val="16"/>
                <w:lang w:val="en-US"/>
              </w:rPr>
              <w:t>Available at https://www.cdc.gov/biosafety/publications/bmbl5/BMBL.pdf (accessed March 17, 2017).</w:t>
            </w:r>
          </w:p>
        </w:tc>
      </w:tr>
      <w:tr w:rsidR="00A41C64" w:rsidRPr="00F01347" w14:paraId="405BD7D0" w14:textId="39BFFF81" w:rsidTr="00FA318D">
        <w:tc>
          <w:tcPr>
            <w:tcW w:w="4675" w:type="dxa"/>
          </w:tcPr>
          <w:p w14:paraId="2FD603C8" w14:textId="77777777" w:rsidR="00A41C64" w:rsidRPr="00F01347" w:rsidRDefault="00A41C64" w:rsidP="00A41C64">
            <w:pPr>
              <w:pStyle w:val="texto0"/>
              <w:spacing w:line="224" w:lineRule="exact"/>
              <w:ind w:firstLine="0"/>
              <w:rPr>
                <w:rFonts w:ascii="Verdana" w:hAnsi="Verdana"/>
                <w:sz w:val="16"/>
                <w:szCs w:val="16"/>
              </w:rPr>
            </w:pPr>
            <w:r w:rsidRPr="00F01347">
              <w:rPr>
                <w:rFonts w:ascii="Verdana" w:hAnsi="Verdana"/>
                <w:b/>
                <w:sz w:val="16"/>
                <w:szCs w:val="16"/>
              </w:rPr>
              <w:t>B.1.3 MÉTODO PARA LA DETERMINACIÓN DE MICROCISTINA MEDIANTE SPE Y LA CROMATOGRAFÍA DE LÍQUIDOS DE ALTO RENDIMIENTO (HPLC) CON DETECCIÓN (UV) ULTRAVIOLETA</w:t>
            </w:r>
          </w:p>
        </w:tc>
        <w:tc>
          <w:tcPr>
            <w:tcW w:w="4675" w:type="dxa"/>
          </w:tcPr>
          <w:p w14:paraId="15B9D6E0" w14:textId="4ADFAE8B" w:rsidR="00A41C64" w:rsidRPr="00F01347" w:rsidRDefault="00A41C64" w:rsidP="00A41C64">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B.1.3 METHOD FOR THE DETERMINATION OF MICROCYSTIN USING SPE AND </w:t>
            </w:r>
            <w:proofErr w:type="gramStart"/>
            <w:r w:rsidRPr="00F01347">
              <w:rPr>
                <w:rFonts w:ascii="Verdana" w:hAnsi="Verdana"/>
                <w:b/>
                <w:sz w:val="16"/>
                <w:szCs w:val="16"/>
                <w:lang w:val="en-US"/>
              </w:rPr>
              <w:t>HIGH PERFORMANCE</w:t>
            </w:r>
            <w:proofErr w:type="gramEnd"/>
            <w:r w:rsidRPr="00F01347">
              <w:rPr>
                <w:rFonts w:ascii="Verdana" w:hAnsi="Verdana"/>
                <w:b/>
                <w:sz w:val="16"/>
                <w:szCs w:val="16"/>
                <w:lang w:val="en-US"/>
              </w:rPr>
              <w:t xml:space="preserve"> LIQUID CHROMATOGRAPHY (HPLC) WITH ULTRAVIOLET (UV) DETECTION</w:t>
            </w:r>
          </w:p>
        </w:tc>
      </w:tr>
      <w:tr w:rsidR="00A41C64" w:rsidRPr="00F01347" w14:paraId="41390664" w14:textId="1990921C" w:rsidTr="00FA318D">
        <w:tc>
          <w:tcPr>
            <w:tcW w:w="4675" w:type="dxa"/>
          </w:tcPr>
          <w:p w14:paraId="1E731D55" w14:textId="77777777" w:rsidR="00A41C64" w:rsidRPr="00F01347" w:rsidRDefault="00A41C64" w:rsidP="00A41C64">
            <w:pPr>
              <w:pStyle w:val="texto0"/>
              <w:spacing w:line="224" w:lineRule="exact"/>
              <w:ind w:firstLine="0"/>
              <w:rPr>
                <w:rFonts w:ascii="Verdana" w:hAnsi="Verdana"/>
                <w:b/>
                <w:sz w:val="16"/>
                <w:szCs w:val="16"/>
              </w:rPr>
            </w:pPr>
            <w:r w:rsidRPr="00F01347">
              <w:rPr>
                <w:rFonts w:ascii="Verdana" w:hAnsi="Verdana"/>
                <w:b/>
                <w:sz w:val="16"/>
                <w:szCs w:val="16"/>
              </w:rPr>
              <w:t>B.1.3.1 Símbolos y términos abreviados</w:t>
            </w:r>
          </w:p>
        </w:tc>
        <w:tc>
          <w:tcPr>
            <w:tcW w:w="4675" w:type="dxa"/>
          </w:tcPr>
          <w:p w14:paraId="5A41FB1C" w14:textId="0237DC06" w:rsidR="00A41C64" w:rsidRPr="00F01347" w:rsidRDefault="00A41C64" w:rsidP="00A41C64">
            <w:pPr>
              <w:pStyle w:val="texto0"/>
              <w:spacing w:line="224" w:lineRule="exact"/>
              <w:ind w:firstLine="0"/>
              <w:rPr>
                <w:rFonts w:ascii="Verdana" w:hAnsi="Verdana"/>
                <w:b/>
                <w:sz w:val="16"/>
                <w:szCs w:val="16"/>
                <w:lang w:val="en-US"/>
              </w:rPr>
            </w:pPr>
            <w:r w:rsidRPr="00F01347">
              <w:rPr>
                <w:rFonts w:ascii="Verdana" w:hAnsi="Verdana"/>
                <w:b/>
                <w:sz w:val="16"/>
                <w:szCs w:val="16"/>
                <w:lang w:val="en-US"/>
              </w:rPr>
              <w:t>B.1.3.1 Symbols and abbreviated terms</w:t>
            </w:r>
          </w:p>
        </w:tc>
      </w:tr>
    </w:tbl>
    <w:p w14:paraId="6B49D122" w14:textId="72D36BE6" w:rsidR="00A74CDF" w:rsidRPr="00F01347" w:rsidRDefault="00A74CDF" w:rsidP="003A601B">
      <w:pPr>
        <w:pStyle w:val="texto0"/>
        <w:spacing w:line="224" w:lineRule="exact"/>
        <w:rPr>
          <w:rFonts w:ascii="Verdana" w:hAnsi="Verdana"/>
          <w:b/>
          <w:sz w:val="16"/>
          <w:szCs w:val="16"/>
          <w:lang w:val="en-US"/>
        </w:rPr>
      </w:pPr>
    </w:p>
    <w:tbl>
      <w:tblPr>
        <w:tblStyle w:val="TableGrid"/>
        <w:tblW w:w="5000" w:type="pct"/>
        <w:tblLook w:val="04A0" w:firstRow="1" w:lastRow="0" w:firstColumn="1" w:lastColumn="0" w:noHBand="0" w:noVBand="1"/>
      </w:tblPr>
      <w:tblGrid>
        <w:gridCol w:w="985"/>
        <w:gridCol w:w="4182"/>
        <w:gridCol w:w="4183"/>
      </w:tblGrid>
      <w:tr w:rsidR="000A787E" w:rsidRPr="00F01347" w14:paraId="62CFAF6A" w14:textId="7BC61AAA" w:rsidTr="008D6E01">
        <w:tc>
          <w:tcPr>
            <w:tcW w:w="985" w:type="dxa"/>
          </w:tcPr>
          <w:p w14:paraId="03E2BC96"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cm</w:t>
            </w:r>
          </w:p>
        </w:tc>
        <w:tc>
          <w:tcPr>
            <w:tcW w:w="4182" w:type="dxa"/>
          </w:tcPr>
          <w:p w14:paraId="2C696836"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centímetro</w:t>
            </w:r>
          </w:p>
        </w:tc>
        <w:tc>
          <w:tcPr>
            <w:tcW w:w="4183" w:type="dxa"/>
          </w:tcPr>
          <w:p w14:paraId="79F9E25E" w14:textId="3DBEF4CC" w:rsidR="000A787E" w:rsidRPr="00F01347" w:rsidRDefault="000A787E" w:rsidP="000A787E">
            <w:pPr>
              <w:pStyle w:val="texto0"/>
              <w:spacing w:line="224" w:lineRule="exact"/>
              <w:ind w:firstLine="0"/>
              <w:rPr>
                <w:rFonts w:ascii="Verdana" w:hAnsi="Verdana"/>
                <w:sz w:val="16"/>
                <w:szCs w:val="16"/>
                <w:lang w:val="en-US"/>
              </w:rPr>
            </w:pPr>
            <w:r w:rsidRPr="00F01347">
              <w:rPr>
                <w:rFonts w:ascii="Verdana" w:hAnsi="Verdana"/>
                <w:sz w:val="16"/>
                <w:szCs w:val="16"/>
                <w:lang w:val="en-US"/>
              </w:rPr>
              <w:t>centimeter</w:t>
            </w:r>
          </w:p>
        </w:tc>
      </w:tr>
      <w:tr w:rsidR="000A787E" w:rsidRPr="00F01347" w14:paraId="2A9C47B7" w14:textId="444A3737" w:rsidTr="008D6E01">
        <w:tc>
          <w:tcPr>
            <w:tcW w:w="985" w:type="dxa"/>
          </w:tcPr>
          <w:p w14:paraId="54896081"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hPa</w:t>
            </w:r>
          </w:p>
        </w:tc>
        <w:tc>
          <w:tcPr>
            <w:tcW w:w="4182" w:type="dxa"/>
          </w:tcPr>
          <w:p w14:paraId="35481D64" w14:textId="77777777" w:rsidR="000A787E" w:rsidRPr="00F01347" w:rsidRDefault="000A787E" w:rsidP="000A787E">
            <w:pPr>
              <w:pStyle w:val="texto0"/>
              <w:spacing w:line="224" w:lineRule="exact"/>
              <w:ind w:firstLine="0"/>
              <w:rPr>
                <w:rFonts w:ascii="Verdana" w:hAnsi="Verdana"/>
                <w:sz w:val="16"/>
                <w:szCs w:val="16"/>
              </w:rPr>
            </w:pPr>
            <w:proofErr w:type="spellStart"/>
            <w:r w:rsidRPr="00F01347">
              <w:rPr>
                <w:rFonts w:ascii="Verdana" w:hAnsi="Verdana"/>
                <w:sz w:val="16"/>
                <w:szCs w:val="16"/>
              </w:rPr>
              <w:t>hectoPascal</w:t>
            </w:r>
            <w:proofErr w:type="spellEnd"/>
          </w:p>
        </w:tc>
        <w:tc>
          <w:tcPr>
            <w:tcW w:w="4183" w:type="dxa"/>
          </w:tcPr>
          <w:p w14:paraId="6E350E65" w14:textId="61C211E5" w:rsidR="000A787E" w:rsidRPr="00F01347" w:rsidRDefault="000A787E" w:rsidP="000A787E">
            <w:pPr>
              <w:pStyle w:val="texto0"/>
              <w:spacing w:line="224" w:lineRule="exact"/>
              <w:ind w:firstLine="0"/>
              <w:rPr>
                <w:rFonts w:ascii="Verdana" w:hAnsi="Verdana"/>
                <w:sz w:val="16"/>
                <w:szCs w:val="16"/>
                <w:lang w:val="en-US"/>
              </w:rPr>
            </w:pPr>
            <w:proofErr w:type="spellStart"/>
            <w:r w:rsidRPr="00F01347">
              <w:rPr>
                <w:rFonts w:ascii="Verdana" w:hAnsi="Verdana"/>
                <w:sz w:val="16"/>
                <w:szCs w:val="16"/>
                <w:lang w:val="en-US"/>
              </w:rPr>
              <w:t>hectoPascal</w:t>
            </w:r>
            <w:proofErr w:type="spellEnd"/>
          </w:p>
        </w:tc>
      </w:tr>
      <w:tr w:rsidR="000A787E" w:rsidRPr="00F01347" w14:paraId="41B79FF9" w14:textId="0C6D0D9D" w:rsidTr="008D6E01">
        <w:tc>
          <w:tcPr>
            <w:tcW w:w="985" w:type="dxa"/>
          </w:tcPr>
          <w:p w14:paraId="48780EC6" w14:textId="77777777" w:rsidR="000A787E" w:rsidRPr="00F01347" w:rsidRDefault="000A787E" w:rsidP="000A787E">
            <w:pPr>
              <w:pStyle w:val="texto0"/>
              <w:spacing w:line="224" w:lineRule="exact"/>
              <w:ind w:firstLine="0"/>
              <w:rPr>
                <w:rFonts w:ascii="Verdana" w:hAnsi="Verdana"/>
                <w:color w:val="000000"/>
                <w:sz w:val="16"/>
                <w:szCs w:val="16"/>
              </w:rPr>
            </w:pPr>
            <w:r w:rsidRPr="00F01347">
              <w:rPr>
                <w:rFonts w:ascii="Verdana" w:hAnsi="Verdana"/>
                <w:color w:val="000000"/>
                <w:sz w:val="16"/>
                <w:szCs w:val="16"/>
              </w:rPr>
              <w:t>HPLC</w:t>
            </w:r>
          </w:p>
        </w:tc>
        <w:tc>
          <w:tcPr>
            <w:tcW w:w="4182" w:type="dxa"/>
          </w:tcPr>
          <w:p w14:paraId="40DB8CDC" w14:textId="77777777" w:rsidR="000A787E" w:rsidRPr="00F01347" w:rsidRDefault="000A787E" w:rsidP="000A787E">
            <w:pPr>
              <w:pStyle w:val="texto0"/>
              <w:spacing w:line="224" w:lineRule="exact"/>
              <w:ind w:firstLine="0"/>
              <w:rPr>
                <w:rFonts w:ascii="Verdana" w:hAnsi="Verdana"/>
                <w:color w:val="000000"/>
                <w:sz w:val="16"/>
                <w:szCs w:val="16"/>
              </w:rPr>
            </w:pPr>
            <w:r w:rsidRPr="00F01347">
              <w:rPr>
                <w:rFonts w:ascii="Verdana" w:hAnsi="Verdana"/>
                <w:color w:val="000000"/>
                <w:sz w:val="16"/>
                <w:szCs w:val="16"/>
              </w:rPr>
              <w:t>cromatografía de líquidos de alta resolución</w:t>
            </w:r>
          </w:p>
        </w:tc>
        <w:tc>
          <w:tcPr>
            <w:tcW w:w="4183" w:type="dxa"/>
          </w:tcPr>
          <w:p w14:paraId="4EAFF143" w14:textId="6D356B96" w:rsidR="000A787E" w:rsidRPr="00F01347" w:rsidRDefault="000A787E" w:rsidP="000A787E">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high performance liquid chromatography</w:t>
            </w:r>
          </w:p>
        </w:tc>
      </w:tr>
      <w:tr w:rsidR="000A787E" w:rsidRPr="00F01347" w14:paraId="1B63531A" w14:textId="4BE2EF13" w:rsidTr="008D6E01">
        <w:tc>
          <w:tcPr>
            <w:tcW w:w="985" w:type="dxa"/>
          </w:tcPr>
          <w:p w14:paraId="3C80FB4F" w14:textId="77777777" w:rsidR="000A787E" w:rsidRPr="00F01347" w:rsidRDefault="000A787E" w:rsidP="000A787E">
            <w:pPr>
              <w:pStyle w:val="texto0"/>
              <w:spacing w:line="224" w:lineRule="exact"/>
              <w:ind w:firstLine="0"/>
              <w:rPr>
                <w:rFonts w:ascii="Verdana" w:hAnsi="Verdana"/>
                <w:color w:val="000000"/>
                <w:sz w:val="16"/>
                <w:szCs w:val="16"/>
              </w:rPr>
            </w:pPr>
            <w:r w:rsidRPr="00F01347">
              <w:rPr>
                <w:rFonts w:ascii="Verdana" w:hAnsi="Verdana"/>
                <w:color w:val="000000"/>
                <w:sz w:val="16"/>
                <w:szCs w:val="16"/>
              </w:rPr>
              <w:t>kHz</w:t>
            </w:r>
          </w:p>
        </w:tc>
        <w:tc>
          <w:tcPr>
            <w:tcW w:w="4182" w:type="dxa"/>
          </w:tcPr>
          <w:p w14:paraId="3B35D619" w14:textId="77777777" w:rsidR="000A787E" w:rsidRPr="00F01347" w:rsidRDefault="000A787E" w:rsidP="000A787E">
            <w:pPr>
              <w:pStyle w:val="texto0"/>
              <w:spacing w:line="224" w:lineRule="exact"/>
              <w:ind w:firstLine="0"/>
              <w:rPr>
                <w:rFonts w:ascii="Verdana" w:hAnsi="Verdana"/>
                <w:color w:val="000000"/>
                <w:sz w:val="16"/>
                <w:szCs w:val="16"/>
              </w:rPr>
            </w:pPr>
            <w:proofErr w:type="spellStart"/>
            <w:r w:rsidRPr="00F01347">
              <w:rPr>
                <w:rFonts w:ascii="Verdana" w:hAnsi="Verdana"/>
                <w:color w:val="000000"/>
                <w:sz w:val="16"/>
                <w:szCs w:val="16"/>
              </w:rPr>
              <w:t>kilohertz</w:t>
            </w:r>
            <w:proofErr w:type="spellEnd"/>
          </w:p>
        </w:tc>
        <w:tc>
          <w:tcPr>
            <w:tcW w:w="4183" w:type="dxa"/>
          </w:tcPr>
          <w:p w14:paraId="5BFA9493" w14:textId="356D3AD3" w:rsidR="000A787E" w:rsidRPr="00F01347" w:rsidRDefault="000A787E" w:rsidP="000A787E">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kilohertz</w:t>
            </w:r>
          </w:p>
        </w:tc>
      </w:tr>
      <w:tr w:rsidR="000A787E" w:rsidRPr="00F01347" w14:paraId="075653DF" w14:textId="0B2E5076" w:rsidTr="008D6E01">
        <w:tc>
          <w:tcPr>
            <w:tcW w:w="985" w:type="dxa"/>
          </w:tcPr>
          <w:p w14:paraId="4C77D400"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MC</w:t>
            </w:r>
          </w:p>
        </w:tc>
        <w:tc>
          <w:tcPr>
            <w:tcW w:w="4182" w:type="dxa"/>
          </w:tcPr>
          <w:p w14:paraId="2C0CEFC0" w14:textId="77777777" w:rsidR="000A787E" w:rsidRPr="00F01347" w:rsidRDefault="000A787E" w:rsidP="000A787E">
            <w:pPr>
              <w:pStyle w:val="texto0"/>
              <w:spacing w:line="224" w:lineRule="exact"/>
              <w:ind w:firstLine="0"/>
              <w:rPr>
                <w:rFonts w:ascii="Verdana" w:hAnsi="Verdana"/>
                <w:sz w:val="16"/>
                <w:szCs w:val="16"/>
              </w:rPr>
            </w:pPr>
            <w:proofErr w:type="spellStart"/>
            <w:r w:rsidRPr="00F01347">
              <w:rPr>
                <w:rFonts w:ascii="Verdana" w:hAnsi="Verdana"/>
                <w:sz w:val="16"/>
                <w:szCs w:val="16"/>
              </w:rPr>
              <w:t>microcistina</w:t>
            </w:r>
            <w:proofErr w:type="spellEnd"/>
          </w:p>
        </w:tc>
        <w:tc>
          <w:tcPr>
            <w:tcW w:w="4183" w:type="dxa"/>
          </w:tcPr>
          <w:p w14:paraId="0AD183E1" w14:textId="3A7688B2" w:rsidR="000A787E" w:rsidRPr="00F01347" w:rsidRDefault="000A787E" w:rsidP="000A787E">
            <w:pPr>
              <w:pStyle w:val="texto0"/>
              <w:spacing w:line="224" w:lineRule="exact"/>
              <w:ind w:firstLine="0"/>
              <w:rPr>
                <w:rFonts w:ascii="Verdana" w:hAnsi="Verdana"/>
                <w:sz w:val="16"/>
                <w:szCs w:val="16"/>
                <w:lang w:val="en-US"/>
              </w:rPr>
            </w:pPr>
            <w:r w:rsidRPr="00F01347">
              <w:rPr>
                <w:rFonts w:ascii="Verdana" w:hAnsi="Verdana"/>
                <w:sz w:val="16"/>
                <w:szCs w:val="16"/>
                <w:lang w:val="en-US"/>
              </w:rPr>
              <w:t>microcystin</w:t>
            </w:r>
          </w:p>
        </w:tc>
      </w:tr>
      <w:tr w:rsidR="000A787E" w:rsidRPr="00F01347" w14:paraId="429FFD6A" w14:textId="0FE286C5" w:rsidTr="008D6E01">
        <w:tc>
          <w:tcPr>
            <w:tcW w:w="985" w:type="dxa"/>
          </w:tcPr>
          <w:p w14:paraId="15DC518E"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MC-LR</w:t>
            </w:r>
          </w:p>
        </w:tc>
        <w:tc>
          <w:tcPr>
            <w:tcW w:w="4182" w:type="dxa"/>
          </w:tcPr>
          <w:p w14:paraId="40316943" w14:textId="77777777" w:rsidR="000A787E" w:rsidRPr="00F01347" w:rsidRDefault="000A787E" w:rsidP="000A787E">
            <w:pPr>
              <w:pStyle w:val="texto0"/>
              <w:spacing w:line="224" w:lineRule="exact"/>
              <w:ind w:firstLine="0"/>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-LR</w:t>
            </w:r>
          </w:p>
        </w:tc>
        <w:tc>
          <w:tcPr>
            <w:tcW w:w="4183" w:type="dxa"/>
          </w:tcPr>
          <w:p w14:paraId="0058ECE4" w14:textId="7066D88C" w:rsidR="000A787E" w:rsidRPr="00F01347" w:rsidRDefault="000A787E" w:rsidP="000A787E">
            <w:pPr>
              <w:pStyle w:val="texto0"/>
              <w:spacing w:line="224" w:lineRule="exact"/>
              <w:ind w:firstLine="0"/>
              <w:rPr>
                <w:rFonts w:ascii="Verdana" w:hAnsi="Verdana"/>
                <w:sz w:val="16"/>
                <w:szCs w:val="16"/>
                <w:lang w:val="en-US"/>
              </w:rPr>
            </w:pPr>
            <w:r w:rsidRPr="00F01347">
              <w:rPr>
                <w:rFonts w:ascii="Verdana" w:hAnsi="Verdana"/>
                <w:sz w:val="16"/>
                <w:szCs w:val="16"/>
                <w:lang w:val="en-US"/>
              </w:rPr>
              <w:t>microcystin -LR</w:t>
            </w:r>
          </w:p>
        </w:tc>
      </w:tr>
      <w:tr w:rsidR="000A787E" w:rsidRPr="00F01347" w14:paraId="5D9629AA" w14:textId="3FBBD518" w:rsidTr="008D6E01">
        <w:tc>
          <w:tcPr>
            <w:tcW w:w="985" w:type="dxa"/>
          </w:tcPr>
          <w:p w14:paraId="0EC9AFB1"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MC-RR</w:t>
            </w:r>
          </w:p>
        </w:tc>
        <w:tc>
          <w:tcPr>
            <w:tcW w:w="4182" w:type="dxa"/>
          </w:tcPr>
          <w:p w14:paraId="6A65C728" w14:textId="77777777" w:rsidR="000A787E" w:rsidRPr="00F01347" w:rsidRDefault="000A787E" w:rsidP="000A787E">
            <w:pPr>
              <w:pStyle w:val="texto0"/>
              <w:spacing w:line="224" w:lineRule="exact"/>
              <w:ind w:firstLine="0"/>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-RR</w:t>
            </w:r>
          </w:p>
        </w:tc>
        <w:tc>
          <w:tcPr>
            <w:tcW w:w="4183" w:type="dxa"/>
          </w:tcPr>
          <w:p w14:paraId="23EAC194" w14:textId="348E626E" w:rsidR="000A787E" w:rsidRPr="00F01347" w:rsidRDefault="000A787E" w:rsidP="000A787E">
            <w:pPr>
              <w:pStyle w:val="texto0"/>
              <w:spacing w:line="224" w:lineRule="exact"/>
              <w:ind w:firstLine="0"/>
              <w:rPr>
                <w:rFonts w:ascii="Verdana" w:hAnsi="Verdana"/>
                <w:sz w:val="16"/>
                <w:szCs w:val="16"/>
                <w:lang w:val="en-US"/>
              </w:rPr>
            </w:pPr>
            <w:r w:rsidRPr="00F01347">
              <w:rPr>
                <w:rFonts w:ascii="Verdana" w:hAnsi="Verdana"/>
                <w:sz w:val="16"/>
                <w:szCs w:val="16"/>
                <w:lang w:val="en-US"/>
              </w:rPr>
              <w:t>microcystin -RR</w:t>
            </w:r>
          </w:p>
        </w:tc>
      </w:tr>
      <w:tr w:rsidR="000A787E" w:rsidRPr="00F01347" w14:paraId="2615757D" w14:textId="7A5CE4BA" w:rsidTr="008D6E01">
        <w:tc>
          <w:tcPr>
            <w:tcW w:w="985" w:type="dxa"/>
          </w:tcPr>
          <w:p w14:paraId="64C93A51"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MC-YR</w:t>
            </w:r>
          </w:p>
        </w:tc>
        <w:tc>
          <w:tcPr>
            <w:tcW w:w="4182" w:type="dxa"/>
          </w:tcPr>
          <w:p w14:paraId="16CF3448" w14:textId="77777777" w:rsidR="000A787E" w:rsidRPr="00F01347" w:rsidRDefault="000A787E" w:rsidP="000A787E">
            <w:pPr>
              <w:pStyle w:val="texto0"/>
              <w:spacing w:line="224" w:lineRule="exact"/>
              <w:ind w:firstLine="0"/>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-YR</w:t>
            </w:r>
          </w:p>
        </w:tc>
        <w:tc>
          <w:tcPr>
            <w:tcW w:w="4183" w:type="dxa"/>
          </w:tcPr>
          <w:p w14:paraId="58BFB485" w14:textId="5562DB45" w:rsidR="000A787E" w:rsidRPr="00F01347" w:rsidRDefault="000A787E" w:rsidP="000A787E">
            <w:pPr>
              <w:pStyle w:val="texto0"/>
              <w:spacing w:line="224" w:lineRule="exact"/>
              <w:ind w:firstLine="0"/>
              <w:rPr>
                <w:rFonts w:ascii="Verdana" w:hAnsi="Verdana"/>
                <w:sz w:val="16"/>
                <w:szCs w:val="16"/>
                <w:lang w:val="en-US"/>
              </w:rPr>
            </w:pPr>
            <w:r w:rsidRPr="00F01347">
              <w:rPr>
                <w:rFonts w:ascii="Verdana" w:hAnsi="Verdana"/>
                <w:sz w:val="16"/>
                <w:szCs w:val="16"/>
                <w:lang w:val="en-US"/>
              </w:rPr>
              <w:t>microcystin -YR</w:t>
            </w:r>
          </w:p>
        </w:tc>
      </w:tr>
      <w:tr w:rsidR="000A787E" w:rsidRPr="00F01347" w14:paraId="4363B97F" w14:textId="59D1FA62" w:rsidTr="008D6E01">
        <w:tc>
          <w:tcPr>
            <w:tcW w:w="985" w:type="dxa"/>
          </w:tcPr>
          <w:p w14:paraId="20491341"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min</w:t>
            </w:r>
            <w:r w:rsidRPr="00F01347">
              <w:rPr>
                <w:rFonts w:ascii="Verdana" w:hAnsi="Verdana"/>
                <w:sz w:val="16"/>
                <w:szCs w:val="16"/>
                <w:vertAlign w:val="superscript"/>
              </w:rPr>
              <w:t>-1</w:t>
            </w:r>
          </w:p>
        </w:tc>
        <w:tc>
          <w:tcPr>
            <w:tcW w:w="4182" w:type="dxa"/>
          </w:tcPr>
          <w:p w14:paraId="2E746C19"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por minuto</w:t>
            </w:r>
          </w:p>
        </w:tc>
        <w:tc>
          <w:tcPr>
            <w:tcW w:w="4183" w:type="dxa"/>
          </w:tcPr>
          <w:p w14:paraId="677F773D" w14:textId="4C82C094" w:rsidR="000A787E" w:rsidRPr="00F01347" w:rsidRDefault="000A787E" w:rsidP="000A787E">
            <w:pPr>
              <w:pStyle w:val="texto0"/>
              <w:spacing w:line="224" w:lineRule="exact"/>
              <w:ind w:firstLine="0"/>
              <w:rPr>
                <w:rFonts w:ascii="Verdana" w:hAnsi="Verdana"/>
                <w:sz w:val="16"/>
                <w:szCs w:val="16"/>
                <w:lang w:val="en-US"/>
              </w:rPr>
            </w:pPr>
            <w:r w:rsidRPr="00F01347">
              <w:rPr>
                <w:rFonts w:ascii="Verdana" w:hAnsi="Verdana"/>
                <w:sz w:val="16"/>
                <w:szCs w:val="16"/>
                <w:lang w:val="en-US"/>
              </w:rPr>
              <w:t>per minute</w:t>
            </w:r>
          </w:p>
        </w:tc>
      </w:tr>
      <w:tr w:rsidR="000A787E" w:rsidRPr="00F01347" w14:paraId="7CE219FE" w14:textId="4CD58808" w:rsidTr="008D6E01">
        <w:tc>
          <w:tcPr>
            <w:tcW w:w="985" w:type="dxa"/>
          </w:tcPr>
          <w:p w14:paraId="63D022BD"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NaClO</w:t>
            </w:r>
          </w:p>
        </w:tc>
        <w:tc>
          <w:tcPr>
            <w:tcW w:w="4182" w:type="dxa"/>
          </w:tcPr>
          <w:p w14:paraId="42D19230"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hipoclorito sódico concentrado</w:t>
            </w:r>
          </w:p>
        </w:tc>
        <w:tc>
          <w:tcPr>
            <w:tcW w:w="4183" w:type="dxa"/>
          </w:tcPr>
          <w:p w14:paraId="36D08ADA" w14:textId="4F22D7CA" w:rsidR="000A787E" w:rsidRPr="00F01347" w:rsidRDefault="000A787E" w:rsidP="000A787E">
            <w:pPr>
              <w:pStyle w:val="texto0"/>
              <w:spacing w:line="224" w:lineRule="exact"/>
              <w:ind w:firstLine="0"/>
              <w:rPr>
                <w:rFonts w:ascii="Verdana" w:hAnsi="Verdana"/>
                <w:sz w:val="16"/>
                <w:szCs w:val="16"/>
                <w:lang w:val="en-US"/>
              </w:rPr>
            </w:pPr>
            <w:r w:rsidRPr="00F01347">
              <w:rPr>
                <w:rFonts w:ascii="Verdana" w:hAnsi="Verdana"/>
                <w:sz w:val="16"/>
                <w:szCs w:val="16"/>
                <w:lang w:val="en-US"/>
              </w:rPr>
              <w:t>concentrated sodium hypochlorite</w:t>
            </w:r>
          </w:p>
        </w:tc>
      </w:tr>
      <w:tr w:rsidR="000A787E" w:rsidRPr="00F01347" w14:paraId="1486BAA3" w14:textId="3DD22726" w:rsidTr="008D6E01">
        <w:tc>
          <w:tcPr>
            <w:tcW w:w="985" w:type="dxa"/>
          </w:tcPr>
          <w:p w14:paraId="090C2E52" w14:textId="77777777" w:rsidR="000A787E" w:rsidRPr="00F01347" w:rsidRDefault="000A787E" w:rsidP="000A787E">
            <w:pPr>
              <w:pStyle w:val="texto0"/>
              <w:spacing w:line="224" w:lineRule="exact"/>
              <w:ind w:firstLine="0"/>
              <w:rPr>
                <w:rFonts w:ascii="Verdana" w:hAnsi="Verdana"/>
                <w:color w:val="000000"/>
                <w:sz w:val="16"/>
                <w:szCs w:val="16"/>
              </w:rPr>
            </w:pPr>
            <w:r w:rsidRPr="00F01347">
              <w:rPr>
                <w:rFonts w:ascii="Verdana" w:hAnsi="Verdana"/>
                <w:color w:val="000000"/>
                <w:sz w:val="16"/>
                <w:szCs w:val="16"/>
              </w:rPr>
              <w:t xml:space="preserve">PDA </w:t>
            </w:r>
          </w:p>
        </w:tc>
        <w:tc>
          <w:tcPr>
            <w:tcW w:w="4182" w:type="dxa"/>
          </w:tcPr>
          <w:p w14:paraId="3359BBCF" w14:textId="77777777" w:rsidR="000A787E" w:rsidRPr="00F01347" w:rsidRDefault="000A787E" w:rsidP="000A787E">
            <w:pPr>
              <w:pStyle w:val="texto0"/>
              <w:spacing w:line="224" w:lineRule="exact"/>
              <w:ind w:firstLine="0"/>
              <w:rPr>
                <w:rFonts w:ascii="Verdana" w:hAnsi="Verdana"/>
                <w:color w:val="000000"/>
                <w:sz w:val="16"/>
                <w:szCs w:val="16"/>
              </w:rPr>
            </w:pPr>
            <w:r w:rsidRPr="00F01347">
              <w:rPr>
                <w:rFonts w:ascii="Verdana" w:hAnsi="Verdana"/>
                <w:color w:val="000000"/>
                <w:sz w:val="16"/>
                <w:szCs w:val="16"/>
              </w:rPr>
              <w:t>arreglo de diodo</w:t>
            </w:r>
          </w:p>
        </w:tc>
        <w:tc>
          <w:tcPr>
            <w:tcW w:w="4183" w:type="dxa"/>
          </w:tcPr>
          <w:p w14:paraId="4234A57C" w14:textId="06BD3B0D" w:rsidR="000A787E" w:rsidRPr="00F01347" w:rsidRDefault="000A787E" w:rsidP="000A787E">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diode arrangement</w:t>
            </w:r>
          </w:p>
        </w:tc>
      </w:tr>
      <w:tr w:rsidR="000A787E" w:rsidRPr="00F01347" w14:paraId="01CFED48" w14:textId="22A0F664" w:rsidTr="008D6E01">
        <w:tc>
          <w:tcPr>
            <w:tcW w:w="985" w:type="dxa"/>
          </w:tcPr>
          <w:p w14:paraId="0FB2A8CE" w14:textId="77777777" w:rsidR="000A787E" w:rsidRPr="00F01347" w:rsidRDefault="000A787E" w:rsidP="000A787E">
            <w:pPr>
              <w:pStyle w:val="texto0"/>
              <w:spacing w:line="224" w:lineRule="exact"/>
              <w:ind w:firstLine="0"/>
              <w:rPr>
                <w:rFonts w:ascii="Verdana" w:hAnsi="Verdana"/>
                <w:color w:val="000000"/>
                <w:sz w:val="16"/>
                <w:szCs w:val="16"/>
              </w:rPr>
            </w:pPr>
            <w:r w:rsidRPr="00F01347">
              <w:rPr>
                <w:rFonts w:ascii="Verdana" w:hAnsi="Verdana"/>
                <w:color w:val="000000"/>
                <w:sz w:val="16"/>
                <w:szCs w:val="16"/>
              </w:rPr>
              <w:t>psi</w:t>
            </w:r>
          </w:p>
        </w:tc>
        <w:tc>
          <w:tcPr>
            <w:tcW w:w="4182" w:type="dxa"/>
          </w:tcPr>
          <w:p w14:paraId="5402930B" w14:textId="77777777" w:rsidR="000A787E" w:rsidRPr="00F01347" w:rsidRDefault="000A787E" w:rsidP="000A787E">
            <w:pPr>
              <w:pStyle w:val="texto0"/>
              <w:spacing w:line="224" w:lineRule="exact"/>
              <w:ind w:firstLine="0"/>
              <w:rPr>
                <w:rFonts w:ascii="Verdana" w:hAnsi="Verdana"/>
                <w:color w:val="000000"/>
                <w:sz w:val="16"/>
                <w:szCs w:val="16"/>
              </w:rPr>
            </w:pPr>
            <w:r w:rsidRPr="00F01347">
              <w:rPr>
                <w:rFonts w:ascii="Verdana" w:hAnsi="Verdana"/>
                <w:color w:val="000000"/>
                <w:sz w:val="16"/>
                <w:szCs w:val="16"/>
              </w:rPr>
              <w:t>libra por pulgada cuadrada</w:t>
            </w:r>
          </w:p>
        </w:tc>
        <w:tc>
          <w:tcPr>
            <w:tcW w:w="4183" w:type="dxa"/>
          </w:tcPr>
          <w:p w14:paraId="141926E8" w14:textId="248F0CF5" w:rsidR="000A787E" w:rsidRPr="00F01347" w:rsidRDefault="000A787E" w:rsidP="000A787E">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Pound per square inch</w:t>
            </w:r>
          </w:p>
        </w:tc>
      </w:tr>
      <w:tr w:rsidR="000A787E" w:rsidRPr="00F01347" w14:paraId="3198F639" w14:textId="271A648D" w:rsidTr="008D6E01">
        <w:tc>
          <w:tcPr>
            <w:tcW w:w="985" w:type="dxa"/>
          </w:tcPr>
          <w:p w14:paraId="20CEA64B"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 xml:space="preserve">SEC </w:t>
            </w:r>
          </w:p>
        </w:tc>
        <w:tc>
          <w:tcPr>
            <w:tcW w:w="4182" w:type="dxa"/>
          </w:tcPr>
          <w:p w14:paraId="32CE5B7F"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cromatografía de exclusión por tamaño</w:t>
            </w:r>
          </w:p>
        </w:tc>
        <w:tc>
          <w:tcPr>
            <w:tcW w:w="4183" w:type="dxa"/>
          </w:tcPr>
          <w:p w14:paraId="3A904A7E" w14:textId="1EF0E56D" w:rsidR="000A787E" w:rsidRPr="00F01347" w:rsidRDefault="000A787E" w:rsidP="000A787E">
            <w:pPr>
              <w:pStyle w:val="texto0"/>
              <w:spacing w:line="224" w:lineRule="exact"/>
              <w:ind w:firstLine="0"/>
              <w:rPr>
                <w:rFonts w:ascii="Verdana" w:hAnsi="Verdana"/>
                <w:sz w:val="16"/>
                <w:szCs w:val="16"/>
                <w:lang w:val="en-US"/>
              </w:rPr>
            </w:pPr>
            <w:r w:rsidRPr="00F01347">
              <w:rPr>
                <w:rFonts w:ascii="Verdana" w:hAnsi="Verdana"/>
                <w:sz w:val="16"/>
                <w:szCs w:val="16"/>
                <w:lang w:val="en-US"/>
              </w:rPr>
              <w:t>size exclusion chromatography</w:t>
            </w:r>
          </w:p>
        </w:tc>
      </w:tr>
      <w:tr w:rsidR="000A787E" w:rsidRPr="00F01347" w14:paraId="07592EAE" w14:textId="59C42A8B" w:rsidTr="008D6E01">
        <w:tc>
          <w:tcPr>
            <w:tcW w:w="985" w:type="dxa"/>
          </w:tcPr>
          <w:p w14:paraId="542AAF70"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SIM</w:t>
            </w:r>
          </w:p>
        </w:tc>
        <w:tc>
          <w:tcPr>
            <w:tcW w:w="4182" w:type="dxa"/>
          </w:tcPr>
          <w:p w14:paraId="04994783" w14:textId="77777777" w:rsidR="000A787E" w:rsidRPr="00F01347" w:rsidRDefault="000A787E" w:rsidP="000A787E">
            <w:pPr>
              <w:pStyle w:val="texto0"/>
              <w:spacing w:line="224" w:lineRule="exact"/>
              <w:ind w:firstLine="0"/>
              <w:rPr>
                <w:rFonts w:ascii="Verdana" w:hAnsi="Verdana"/>
                <w:sz w:val="16"/>
                <w:szCs w:val="16"/>
              </w:rPr>
            </w:pPr>
            <w:r w:rsidRPr="00F01347">
              <w:rPr>
                <w:rFonts w:ascii="Verdana" w:hAnsi="Verdana"/>
                <w:sz w:val="16"/>
                <w:szCs w:val="16"/>
              </w:rPr>
              <w:t>monitoreo selectivo de iones</w:t>
            </w:r>
          </w:p>
        </w:tc>
        <w:tc>
          <w:tcPr>
            <w:tcW w:w="4183" w:type="dxa"/>
          </w:tcPr>
          <w:p w14:paraId="55A0F940" w14:textId="1A9E58F2" w:rsidR="000A787E" w:rsidRPr="00F01347" w:rsidRDefault="000A787E" w:rsidP="000A787E">
            <w:pPr>
              <w:pStyle w:val="texto0"/>
              <w:spacing w:line="224" w:lineRule="exact"/>
              <w:ind w:firstLine="0"/>
              <w:rPr>
                <w:rFonts w:ascii="Verdana" w:hAnsi="Verdana"/>
                <w:sz w:val="16"/>
                <w:szCs w:val="16"/>
                <w:lang w:val="en-US"/>
              </w:rPr>
            </w:pPr>
            <w:r w:rsidRPr="00F01347">
              <w:rPr>
                <w:rFonts w:ascii="Verdana" w:hAnsi="Verdana"/>
                <w:sz w:val="16"/>
                <w:szCs w:val="16"/>
                <w:lang w:val="en-US"/>
              </w:rPr>
              <w:t>selective ion monitoring</w:t>
            </w:r>
          </w:p>
        </w:tc>
      </w:tr>
      <w:tr w:rsidR="000A787E" w:rsidRPr="00F01347" w14:paraId="591C3B78" w14:textId="65706568" w:rsidTr="008D6E01">
        <w:tc>
          <w:tcPr>
            <w:tcW w:w="985" w:type="dxa"/>
          </w:tcPr>
          <w:p w14:paraId="036084A2" w14:textId="77777777" w:rsidR="000A787E" w:rsidRPr="00F01347" w:rsidRDefault="000A787E" w:rsidP="000A787E">
            <w:pPr>
              <w:pStyle w:val="texto0"/>
              <w:spacing w:line="224" w:lineRule="exact"/>
              <w:ind w:firstLine="0"/>
              <w:rPr>
                <w:rFonts w:ascii="Verdana" w:hAnsi="Verdana"/>
                <w:color w:val="000000"/>
                <w:sz w:val="16"/>
                <w:szCs w:val="16"/>
              </w:rPr>
            </w:pPr>
            <w:r w:rsidRPr="00F01347">
              <w:rPr>
                <w:rFonts w:ascii="Verdana" w:hAnsi="Verdana"/>
                <w:color w:val="000000"/>
                <w:sz w:val="16"/>
                <w:szCs w:val="16"/>
              </w:rPr>
              <w:t>SPE</w:t>
            </w:r>
          </w:p>
        </w:tc>
        <w:tc>
          <w:tcPr>
            <w:tcW w:w="4182" w:type="dxa"/>
          </w:tcPr>
          <w:p w14:paraId="28CCEFE7" w14:textId="77777777" w:rsidR="000A787E" w:rsidRPr="00F01347" w:rsidRDefault="000A787E" w:rsidP="000A787E">
            <w:pPr>
              <w:pStyle w:val="texto0"/>
              <w:spacing w:line="224" w:lineRule="exact"/>
              <w:ind w:firstLine="0"/>
              <w:rPr>
                <w:rFonts w:ascii="Verdana" w:hAnsi="Verdana"/>
                <w:color w:val="000000"/>
                <w:sz w:val="16"/>
                <w:szCs w:val="16"/>
              </w:rPr>
            </w:pPr>
            <w:r w:rsidRPr="00F01347">
              <w:rPr>
                <w:rFonts w:ascii="Verdana" w:hAnsi="Verdana"/>
                <w:color w:val="000000"/>
                <w:sz w:val="16"/>
                <w:szCs w:val="16"/>
              </w:rPr>
              <w:t>extracción en fase sólida</w:t>
            </w:r>
          </w:p>
        </w:tc>
        <w:tc>
          <w:tcPr>
            <w:tcW w:w="4183" w:type="dxa"/>
          </w:tcPr>
          <w:p w14:paraId="23EF3BD2" w14:textId="47C7074B" w:rsidR="000A787E" w:rsidRPr="00F01347" w:rsidRDefault="000A787E" w:rsidP="000A787E">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solid phase extraction</w:t>
            </w:r>
          </w:p>
        </w:tc>
      </w:tr>
      <w:tr w:rsidR="000A787E" w:rsidRPr="00F01347" w14:paraId="43385806" w14:textId="5F97D04F" w:rsidTr="008D6E01">
        <w:tc>
          <w:tcPr>
            <w:tcW w:w="985" w:type="dxa"/>
          </w:tcPr>
          <w:p w14:paraId="2B226088" w14:textId="77777777" w:rsidR="000A787E" w:rsidRPr="00F01347" w:rsidRDefault="000A787E" w:rsidP="000A787E">
            <w:pPr>
              <w:pStyle w:val="texto0"/>
              <w:spacing w:line="224" w:lineRule="exact"/>
              <w:ind w:firstLine="0"/>
              <w:rPr>
                <w:rFonts w:ascii="Verdana" w:hAnsi="Verdana"/>
                <w:color w:val="000000"/>
                <w:sz w:val="16"/>
                <w:szCs w:val="16"/>
              </w:rPr>
            </w:pPr>
            <w:r w:rsidRPr="00F01347">
              <w:rPr>
                <w:rFonts w:ascii="Verdana" w:hAnsi="Verdana"/>
                <w:color w:val="000000"/>
                <w:sz w:val="16"/>
                <w:szCs w:val="16"/>
              </w:rPr>
              <w:t>TFA</w:t>
            </w:r>
          </w:p>
        </w:tc>
        <w:tc>
          <w:tcPr>
            <w:tcW w:w="4182" w:type="dxa"/>
          </w:tcPr>
          <w:p w14:paraId="60DE177F" w14:textId="77777777" w:rsidR="000A787E" w:rsidRPr="00F01347" w:rsidRDefault="000A787E" w:rsidP="000A787E">
            <w:pPr>
              <w:pStyle w:val="texto0"/>
              <w:spacing w:line="224" w:lineRule="exact"/>
              <w:ind w:firstLine="0"/>
              <w:rPr>
                <w:rFonts w:ascii="Verdana" w:hAnsi="Verdana"/>
                <w:color w:val="000000"/>
                <w:sz w:val="16"/>
                <w:szCs w:val="16"/>
              </w:rPr>
            </w:pPr>
            <w:r w:rsidRPr="00F01347">
              <w:rPr>
                <w:rFonts w:ascii="Verdana" w:hAnsi="Verdana"/>
                <w:color w:val="000000"/>
                <w:sz w:val="16"/>
                <w:szCs w:val="16"/>
              </w:rPr>
              <w:t xml:space="preserve">ácido </w:t>
            </w:r>
            <w:proofErr w:type="spellStart"/>
            <w:r w:rsidRPr="00F01347">
              <w:rPr>
                <w:rFonts w:ascii="Verdana" w:hAnsi="Verdana"/>
                <w:color w:val="000000"/>
                <w:sz w:val="16"/>
                <w:szCs w:val="16"/>
              </w:rPr>
              <w:t>trifluoroacético</w:t>
            </w:r>
            <w:proofErr w:type="spellEnd"/>
          </w:p>
        </w:tc>
        <w:tc>
          <w:tcPr>
            <w:tcW w:w="4183" w:type="dxa"/>
          </w:tcPr>
          <w:p w14:paraId="5E1F4C73" w14:textId="396F97BF" w:rsidR="000A787E" w:rsidRPr="00F01347" w:rsidRDefault="000A787E" w:rsidP="000A787E">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trifluoroacetic acid</w:t>
            </w:r>
          </w:p>
        </w:tc>
      </w:tr>
      <w:tr w:rsidR="000A787E" w:rsidRPr="00F01347" w14:paraId="3694D5AF" w14:textId="4D591E89" w:rsidTr="008D6E01">
        <w:tc>
          <w:tcPr>
            <w:tcW w:w="985" w:type="dxa"/>
          </w:tcPr>
          <w:p w14:paraId="6395C5CE" w14:textId="77777777" w:rsidR="000A787E" w:rsidRPr="00F01347" w:rsidRDefault="000A787E" w:rsidP="000A787E">
            <w:pPr>
              <w:pStyle w:val="texto0"/>
              <w:spacing w:line="224" w:lineRule="exact"/>
              <w:ind w:firstLine="0"/>
              <w:rPr>
                <w:rFonts w:ascii="Verdana" w:hAnsi="Verdana"/>
                <w:color w:val="000000"/>
                <w:sz w:val="16"/>
                <w:szCs w:val="16"/>
              </w:rPr>
            </w:pPr>
            <w:r w:rsidRPr="00F01347">
              <w:rPr>
                <w:rFonts w:ascii="Verdana" w:hAnsi="Verdana"/>
                <w:color w:val="000000"/>
                <w:sz w:val="16"/>
                <w:szCs w:val="16"/>
              </w:rPr>
              <w:t>UV</w:t>
            </w:r>
          </w:p>
        </w:tc>
        <w:tc>
          <w:tcPr>
            <w:tcW w:w="4182" w:type="dxa"/>
          </w:tcPr>
          <w:p w14:paraId="03D251B2" w14:textId="77777777" w:rsidR="000A787E" w:rsidRPr="00F01347" w:rsidRDefault="000A787E" w:rsidP="000A787E">
            <w:pPr>
              <w:pStyle w:val="texto0"/>
              <w:spacing w:line="224" w:lineRule="exact"/>
              <w:ind w:firstLine="0"/>
              <w:rPr>
                <w:rFonts w:ascii="Verdana" w:hAnsi="Verdana"/>
                <w:color w:val="000000"/>
                <w:sz w:val="16"/>
                <w:szCs w:val="16"/>
              </w:rPr>
            </w:pPr>
            <w:r w:rsidRPr="00F01347">
              <w:rPr>
                <w:rFonts w:ascii="Verdana" w:hAnsi="Verdana"/>
                <w:color w:val="000000"/>
                <w:sz w:val="16"/>
                <w:szCs w:val="16"/>
              </w:rPr>
              <w:t>ultravioleta</w:t>
            </w:r>
          </w:p>
        </w:tc>
        <w:tc>
          <w:tcPr>
            <w:tcW w:w="4183" w:type="dxa"/>
          </w:tcPr>
          <w:p w14:paraId="6EF54908" w14:textId="091D4984" w:rsidR="000A787E" w:rsidRPr="00F01347" w:rsidRDefault="000A787E" w:rsidP="000A787E">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t>ultraviolet</w:t>
            </w:r>
          </w:p>
        </w:tc>
      </w:tr>
    </w:tbl>
    <w:p w14:paraId="7711B7A4" w14:textId="77777777" w:rsidR="00204B58" w:rsidRPr="00F01347" w:rsidRDefault="00204B58" w:rsidP="003A601B">
      <w:pPr>
        <w:pStyle w:val="texto0"/>
        <w:spacing w:line="224"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3306" w:rsidRPr="00F01347" w14:paraId="5E76B5C1" w14:textId="7B22B7AD" w:rsidTr="008D6E01">
        <w:tc>
          <w:tcPr>
            <w:tcW w:w="4675" w:type="dxa"/>
          </w:tcPr>
          <w:p w14:paraId="2AD5930A" w14:textId="77777777" w:rsidR="00DA3306" w:rsidRPr="00F01347" w:rsidRDefault="00DA3306" w:rsidP="00DA3306">
            <w:pPr>
              <w:pStyle w:val="texto0"/>
              <w:spacing w:line="224" w:lineRule="exact"/>
              <w:ind w:firstLine="0"/>
              <w:rPr>
                <w:rFonts w:ascii="Verdana" w:hAnsi="Verdana"/>
                <w:b/>
                <w:sz w:val="16"/>
                <w:szCs w:val="16"/>
              </w:rPr>
            </w:pPr>
            <w:r w:rsidRPr="00F01347">
              <w:rPr>
                <w:rFonts w:ascii="Verdana" w:hAnsi="Verdana"/>
                <w:b/>
                <w:sz w:val="16"/>
                <w:szCs w:val="16"/>
              </w:rPr>
              <w:t>B.1.3.2 Principio</w:t>
            </w:r>
          </w:p>
        </w:tc>
        <w:tc>
          <w:tcPr>
            <w:tcW w:w="4675" w:type="dxa"/>
          </w:tcPr>
          <w:p w14:paraId="7DED68CC" w14:textId="0535569B"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B.1.3.2 Principle</w:t>
            </w:r>
          </w:p>
        </w:tc>
      </w:tr>
      <w:tr w:rsidR="00DA3306" w:rsidRPr="00F01347" w14:paraId="0B1CDA84" w14:textId="3315D7A5" w:rsidTr="008D6E01">
        <w:tc>
          <w:tcPr>
            <w:tcW w:w="4675" w:type="dxa"/>
          </w:tcPr>
          <w:p w14:paraId="0B27A620" w14:textId="5AC4A4BB" w:rsidR="00DA3306" w:rsidRPr="00F01347" w:rsidRDefault="00DA3306" w:rsidP="00DA3306">
            <w:pPr>
              <w:pStyle w:val="texto0"/>
              <w:spacing w:line="224" w:lineRule="exact"/>
              <w:ind w:firstLine="0"/>
              <w:rPr>
                <w:rFonts w:ascii="Verdana" w:hAnsi="Verdana"/>
                <w:b/>
                <w:sz w:val="16"/>
                <w:szCs w:val="16"/>
              </w:rPr>
            </w:pPr>
            <w:r w:rsidRPr="00F01347">
              <w:rPr>
                <w:rFonts w:ascii="Verdana" w:hAnsi="Verdana"/>
                <w:color w:val="000000"/>
                <w:sz w:val="16"/>
                <w:szCs w:val="16"/>
              </w:rPr>
              <w:t xml:space="preserve">Las muestras de agua que contienen material o biomasa de cianobacterias deben ser filtradas primero. La </w:t>
            </w:r>
            <w:r w:rsidRPr="00F01347">
              <w:rPr>
                <w:rFonts w:ascii="Verdana" w:hAnsi="Verdana"/>
                <w:color w:val="000000"/>
                <w:sz w:val="16"/>
                <w:szCs w:val="16"/>
              </w:rPr>
              <w:lastRenderedPageBreak/>
              <w:t xml:space="preserve">biomasa se extrae por separado con un solvente (metanol/agua). El extracto es filtrado, diluido y se lleva a cabo una SPE para limpiar de muestra. El filtrado se trata como una muestra de agua pura. Las muestras de agua pura, así como muestras de agua de sistemas de abastecimiento se enriquecen usando SPE. Las </w:t>
            </w:r>
            <w:r w:rsidR="00B771BA" w:rsidRPr="00F01347">
              <w:rPr>
                <w:rFonts w:ascii="Verdana" w:hAnsi="Verdana"/>
                <w:color w:val="000000"/>
                <w:sz w:val="16"/>
                <w:szCs w:val="16"/>
              </w:rPr>
              <w:t>micro cistinas</w:t>
            </w:r>
            <w:r w:rsidRPr="00F01347">
              <w:rPr>
                <w:rFonts w:ascii="Verdana" w:hAnsi="Verdana"/>
                <w:color w:val="000000"/>
                <w:sz w:val="16"/>
                <w:szCs w:val="16"/>
              </w:rPr>
              <w:t xml:space="preserve"> se </w:t>
            </w:r>
            <w:proofErr w:type="spellStart"/>
            <w:r w:rsidRPr="00F01347">
              <w:rPr>
                <w:rFonts w:ascii="Verdana" w:hAnsi="Verdana"/>
                <w:color w:val="000000"/>
                <w:sz w:val="16"/>
                <w:szCs w:val="16"/>
              </w:rPr>
              <w:t>eluyen</w:t>
            </w:r>
            <w:proofErr w:type="spellEnd"/>
            <w:r w:rsidRPr="00F01347">
              <w:rPr>
                <w:rFonts w:ascii="Verdana" w:hAnsi="Verdana"/>
                <w:color w:val="000000"/>
                <w:sz w:val="16"/>
                <w:szCs w:val="16"/>
              </w:rPr>
              <w:t xml:space="preserve"> de los cartuchos de SPE con una solución metanol/agua (90/10 volumen/volumen) que contiene 0.1% de TFA. La </w:t>
            </w:r>
            <w:proofErr w:type="spellStart"/>
            <w:r w:rsidRPr="00F01347">
              <w:rPr>
                <w:rFonts w:ascii="Verdana" w:hAnsi="Verdana"/>
                <w:color w:val="000000"/>
                <w:sz w:val="16"/>
                <w:szCs w:val="16"/>
              </w:rPr>
              <w:t>microcistina</w:t>
            </w:r>
            <w:proofErr w:type="spellEnd"/>
            <w:r w:rsidRPr="00F01347">
              <w:rPr>
                <w:rFonts w:ascii="Verdana" w:hAnsi="Verdana"/>
                <w:color w:val="000000"/>
                <w:sz w:val="16"/>
                <w:szCs w:val="16"/>
              </w:rPr>
              <w:t xml:space="preserve"> se cuantifica por cromatografía de líquidos de alta resolución, de fase reversa HPLC con detector ultravioleta y/o arreglo de diodos a 238 nm.</w:t>
            </w:r>
          </w:p>
        </w:tc>
        <w:tc>
          <w:tcPr>
            <w:tcW w:w="4675" w:type="dxa"/>
          </w:tcPr>
          <w:p w14:paraId="67FEA018" w14:textId="04284F9D" w:rsidR="00DA3306" w:rsidRPr="00F01347" w:rsidRDefault="00DA3306" w:rsidP="00DA3306">
            <w:pPr>
              <w:pStyle w:val="texto0"/>
              <w:spacing w:line="224" w:lineRule="exact"/>
              <w:ind w:firstLine="0"/>
              <w:rPr>
                <w:rFonts w:ascii="Verdana" w:hAnsi="Verdana"/>
                <w:color w:val="000000"/>
                <w:sz w:val="16"/>
                <w:szCs w:val="16"/>
                <w:lang w:val="en-US"/>
              </w:rPr>
            </w:pPr>
            <w:r w:rsidRPr="00F01347">
              <w:rPr>
                <w:rFonts w:ascii="Verdana" w:hAnsi="Verdana"/>
                <w:color w:val="000000"/>
                <w:sz w:val="16"/>
                <w:szCs w:val="16"/>
                <w:lang w:val="en-US"/>
              </w:rPr>
              <w:lastRenderedPageBreak/>
              <w:t xml:space="preserve">Water samples containing cyanobacterial material or biomass should be filtered first. The biomass is </w:t>
            </w:r>
            <w:r w:rsidRPr="00F01347">
              <w:rPr>
                <w:rFonts w:ascii="Verdana" w:hAnsi="Verdana"/>
                <w:color w:val="000000"/>
                <w:sz w:val="16"/>
                <w:szCs w:val="16"/>
                <w:lang w:val="en-US"/>
              </w:rPr>
              <w:lastRenderedPageBreak/>
              <w:t xml:space="preserve">extracted separately with a solvent (methanol/water). The extract is filtered, diluted and an SPE is carried out to clean the sample. The filtrate is treated as a pure water sample. Pure water samples as well as water samples from supply systems are enriched using SPE. </w:t>
            </w:r>
            <w:proofErr w:type="spellStart"/>
            <w:r w:rsidRPr="00F01347">
              <w:rPr>
                <w:rFonts w:ascii="Verdana" w:hAnsi="Verdana"/>
                <w:color w:val="000000"/>
                <w:sz w:val="16"/>
                <w:szCs w:val="16"/>
                <w:lang w:val="en-US"/>
              </w:rPr>
              <w:t>Microcystins</w:t>
            </w:r>
            <w:proofErr w:type="spellEnd"/>
            <w:r w:rsidRPr="00F01347">
              <w:rPr>
                <w:rFonts w:ascii="Verdana" w:hAnsi="Verdana"/>
                <w:color w:val="000000"/>
                <w:sz w:val="16"/>
                <w:szCs w:val="16"/>
                <w:lang w:val="en-US"/>
              </w:rPr>
              <w:t xml:space="preserve"> are eluted from SPE cartridges with a methanol/water (90/10 vol/vol) solution containing 0.1% TFA</w:t>
            </w:r>
            <w:r w:rsidR="003E1BA9" w:rsidRPr="00F01347">
              <w:rPr>
                <w:rFonts w:ascii="Verdana" w:hAnsi="Verdana"/>
                <w:color w:val="000000"/>
                <w:sz w:val="16"/>
                <w:szCs w:val="16"/>
                <w:lang w:val="en-US"/>
              </w:rPr>
              <w:t>.</w:t>
            </w:r>
            <w:r w:rsidRPr="00F01347">
              <w:rPr>
                <w:rFonts w:ascii="Verdana" w:hAnsi="Verdana"/>
                <w:color w:val="000000"/>
                <w:sz w:val="16"/>
                <w:szCs w:val="16"/>
                <w:lang w:val="en-US"/>
              </w:rPr>
              <w:t xml:space="preserve"> Microcystin is quantified by high-performance liquid chromatography, </w:t>
            </w:r>
            <w:proofErr w:type="gramStart"/>
            <w:r w:rsidRPr="00F01347">
              <w:rPr>
                <w:rFonts w:ascii="Verdana" w:hAnsi="Verdana"/>
                <w:color w:val="000000"/>
                <w:sz w:val="16"/>
                <w:szCs w:val="16"/>
                <w:lang w:val="en-US"/>
              </w:rPr>
              <w:t>reversed-phase</w:t>
            </w:r>
            <w:proofErr w:type="gramEnd"/>
            <w:r w:rsidRPr="00F01347">
              <w:rPr>
                <w:rFonts w:ascii="Verdana" w:hAnsi="Verdana"/>
                <w:color w:val="000000"/>
                <w:sz w:val="16"/>
                <w:szCs w:val="16"/>
                <w:lang w:val="en-US"/>
              </w:rPr>
              <w:t xml:space="preserve"> HPLC with an ultraviolet detector and/or diode array at 238 nm</w:t>
            </w:r>
            <w:r w:rsidR="003E1BA9" w:rsidRPr="00F01347">
              <w:rPr>
                <w:rFonts w:ascii="Verdana" w:hAnsi="Verdana"/>
                <w:color w:val="000000"/>
                <w:sz w:val="16"/>
                <w:szCs w:val="16"/>
                <w:lang w:val="en-US"/>
              </w:rPr>
              <w:t>.</w:t>
            </w:r>
          </w:p>
        </w:tc>
      </w:tr>
      <w:tr w:rsidR="00DA3306" w:rsidRPr="00F01347" w14:paraId="767FD2B7" w14:textId="3F1D7DC4" w:rsidTr="008D6E01">
        <w:tc>
          <w:tcPr>
            <w:tcW w:w="4675" w:type="dxa"/>
          </w:tcPr>
          <w:p w14:paraId="6CF7B8F7" w14:textId="77777777" w:rsidR="00DA3306" w:rsidRPr="00F01347" w:rsidRDefault="00DA3306" w:rsidP="00DA3306">
            <w:pPr>
              <w:pStyle w:val="texto0"/>
              <w:spacing w:line="224" w:lineRule="exact"/>
              <w:ind w:firstLine="0"/>
              <w:rPr>
                <w:rFonts w:ascii="Verdana" w:hAnsi="Verdana"/>
                <w:b/>
                <w:sz w:val="16"/>
                <w:szCs w:val="16"/>
              </w:rPr>
            </w:pPr>
            <w:r w:rsidRPr="00F01347">
              <w:rPr>
                <w:rFonts w:ascii="Verdana" w:hAnsi="Verdana"/>
                <w:b/>
                <w:sz w:val="16"/>
                <w:szCs w:val="16"/>
              </w:rPr>
              <w:lastRenderedPageBreak/>
              <w:t>B.1.3.3 Alcance y aplicación</w:t>
            </w:r>
          </w:p>
        </w:tc>
        <w:tc>
          <w:tcPr>
            <w:tcW w:w="4675" w:type="dxa"/>
          </w:tcPr>
          <w:p w14:paraId="696E93A7" w14:textId="6DE70E23"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B.1.3.3 Scope and application</w:t>
            </w:r>
          </w:p>
        </w:tc>
      </w:tr>
      <w:tr w:rsidR="00DA3306" w:rsidRPr="00F01347" w14:paraId="0C13CE0E" w14:textId="6DC3D6E2" w:rsidTr="008D6E01">
        <w:tc>
          <w:tcPr>
            <w:tcW w:w="4675" w:type="dxa"/>
          </w:tcPr>
          <w:p w14:paraId="20C3A168"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sz w:val="16"/>
                <w:szCs w:val="16"/>
              </w:rPr>
              <w:t xml:space="preserve">Este es un método para la determinación y cuantificación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en muestras de agua colectadas a la entrada del sistema de tratamiento (que contiene biomasa) y de agua después del proceso de tratamiento, como es el agua en los sistemas de abastecimiento de agua de uso y consumo humano. El método descrito está validado para MC-RR, MC-YR y MC-LR. También es aplicable para la determinación de diversas variantes estructurales de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sin embargo, en estos casos, no puede realizarse una identificación inequívoca debido a la falta de estándares disponibles en el mercado y debido a la </w:t>
            </w:r>
            <w:proofErr w:type="spellStart"/>
            <w:r w:rsidRPr="00F01347">
              <w:rPr>
                <w:rFonts w:ascii="Verdana" w:hAnsi="Verdana"/>
                <w:sz w:val="16"/>
                <w:szCs w:val="16"/>
              </w:rPr>
              <w:t>coelución</w:t>
            </w:r>
            <w:proofErr w:type="spellEnd"/>
            <w:r w:rsidRPr="00F01347">
              <w:rPr>
                <w:rFonts w:ascii="Verdana" w:hAnsi="Verdana"/>
                <w:sz w:val="16"/>
                <w:szCs w:val="16"/>
              </w:rPr>
              <w:t>.</w:t>
            </w:r>
          </w:p>
        </w:tc>
        <w:tc>
          <w:tcPr>
            <w:tcW w:w="4675" w:type="dxa"/>
          </w:tcPr>
          <w:p w14:paraId="0D177FD6" w14:textId="4DC7B8CE" w:rsidR="00DA3306" w:rsidRPr="00F01347" w:rsidRDefault="00DA3306" w:rsidP="00DA3306">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This is a method for the determination and quantification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in water samples collected at the entrance to the treatment system (which contains biomass) and water after the treatment process, such as water in the water supply systems for use. and human consumption. The described method is validated for MC-RR, MC-YR and MC-LR. It is also applicable for the determination of various structural variants of </w:t>
            </w:r>
            <w:proofErr w:type="spellStart"/>
            <w:r w:rsidRPr="00F01347">
              <w:rPr>
                <w:rFonts w:ascii="Verdana" w:hAnsi="Verdana"/>
                <w:sz w:val="16"/>
                <w:szCs w:val="16"/>
                <w:lang w:val="en-US"/>
              </w:rPr>
              <w:t>microcystins</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however, in these cases, an unequivocal identification cannot be made due to the lack of standards available on the market and due to coelution</w:t>
            </w:r>
            <w:r w:rsidR="003E1BA9" w:rsidRPr="00F01347">
              <w:rPr>
                <w:rFonts w:ascii="Verdana" w:hAnsi="Verdana"/>
                <w:sz w:val="16"/>
                <w:szCs w:val="16"/>
                <w:lang w:val="en-US"/>
              </w:rPr>
              <w:t>.</w:t>
            </w:r>
          </w:p>
        </w:tc>
      </w:tr>
      <w:tr w:rsidR="00DA3306" w:rsidRPr="00F01347" w14:paraId="6C92F552" w14:textId="0F0995F7" w:rsidTr="008D6E01">
        <w:tc>
          <w:tcPr>
            <w:tcW w:w="4675" w:type="dxa"/>
          </w:tcPr>
          <w:p w14:paraId="6ED49632"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sz w:val="16"/>
                <w:szCs w:val="16"/>
              </w:rPr>
              <w:t xml:space="preserve">El valor de umbral de 1 µg/L de MC-LR en agua, puede ser seguido después del enriquecimiento con </w:t>
            </w:r>
            <w:proofErr w:type="spellStart"/>
            <w:r w:rsidRPr="00F01347">
              <w:rPr>
                <w:rFonts w:ascii="Verdana" w:hAnsi="Verdana"/>
                <w:sz w:val="16"/>
                <w:szCs w:val="16"/>
              </w:rPr>
              <w:t>microcistina</w:t>
            </w:r>
            <w:proofErr w:type="spellEnd"/>
            <w:r w:rsidRPr="00F01347">
              <w:rPr>
                <w:rFonts w:ascii="Verdana" w:hAnsi="Verdana"/>
                <w:sz w:val="16"/>
                <w:szCs w:val="16"/>
              </w:rPr>
              <w:t xml:space="preserve"> mediante SPE.</w:t>
            </w:r>
          </w:p>
        </w:tc>
        <w:tc>
          <w:tcPr>
            <w:tcW w:w="4675" w:type="dxa"/>
          </w:tcPr>
          <w:p w14:paraId="7DCAEC6F" w14:textId="0A6FF858" w:rsidR="00DA3306" w:rsidRPr="00F01347" w:rsidRDefault="00B771BA" w:rsidP="00F91110">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The threshold value of </w:t>
            </w:r>
            <w:r w:rsidR="00741CF2" w:rsidRPr="00F01347">
              <w:rPr>
                <w:rFonts w:ascii="Verdana" w:hAnsi="Verdana"/>
                <w:sz w:val="16"/>
                <w:szCs w:val="16"/>
                <w:lang w:val="en-US"/>
              </w:rPr>
              <w:t xml:space="preserve">1 µg/L of MC-LR in water, can be </w:t>
            </w:r>
            <w:proofErr w:type="gramStart"/>
            <w:r w:rsidR="00741CF2" w:rsidRPr="00F01347">
              <w:rPr>
                <w:rFonts w:ascii="Verdana" w:hAnsi="Verdana"/>
                <w:sz w:val="16"/>
                <w:szCs w:val="16"/>
                <w:lang w:val="en-US"/>
              </w:rPr>
              <w:t>followed after</w:t>
            </w:r>
            <w:proofErr w:type="gramEnd"/>
            <w:r w:rsidR="00741CF2" w:rsidRPr="00F01347">
              <w:rPr>
                <w:rFonts w:ascii="Verdana" w:hAnsi="Verdana"/>
                <w:sz w:val="16"/>
                <w:szCs w:val="16"/>
                <w:lang w:val="en-US"/>
              </w:rPr>
              <w:t xml:space="preserve"> by the </w:t>
            </w:r>
            <w:r w:rsidR="00DA3306" w:rsidRPr="00F01347">
              <w:rPr>
                <w:rFonts w:ascii="Verdana" w:hAnsi="Verdana"/>
                <w:sz w:val="16"/>
                <w:szCs w:val="16"/>
                <w:lang w:val="en-US"/>
              </w:rPr>
              <w:t>microcystin enrichment by SPE.</w:t>
            </w:r>
          </w:p>
        </w:tc>
      </w:tr>
      <w:tr w:rsidR="00DA3306" w:rsidRPr="00F01347" w14:paraId="3BD816E7" w14:textId="6E387374" w:rsidTr="008D6E01">
        <w:tc>
          <w:tcPr>
            <w:tcW w:w="4675" w:type="dxa"/>
          </w:tcPr>
          <w:p w14:paraId="5CDA400D" w14:textId="77777777" w:rsidR="00DA3306" w:rsidRPr="00F01347" w:rsidRDefault="00DA3306" w:rsidP="00DA3306">
            <w:pPr>
              <w:pStyle w:val="texto0"/>
              <w:spacing w:line="224" w:lineRule="exact"/>
              <w:ind w:firstLine="0"/>
              <w:rPr>
                <w:rFonts w:ascii="Verdana" w:hAnsi="Verdana"/>
                <w:b/>
                <w:sz w:val="16"/>
                <w:szCs w:val="16"/>
              </w:rPr>
            </w:pPr>
            <w:r w:rsidRPr="00F01347">
              <w:rPr>
                <w:rFonts w:ascii="Verdana" w:hAnsi="Verdana"/>
                <w:b/>
                <w:sz w:val="16"/>
                <w:szCs w:val="16"/>
              </w:rPr>
              <w:t>B.1.3.4</w:t>
            </w:r>
            <w:r w:rsidRPr="00F01347">
              <w:rPr>
                <w:rFonts w:ascii="Verdana" w:hAnsi="Verdana"/>
                <w:sz w:val="16"/>
                <w:szCs w:val="16"/>
              </w:rPr>
              <w:t xml:space="preserve"> </w:t>
            </w:r>
            <w:r w:rsidRPr="00F01347">
              <w:rPr>
                <w:rFonts w:ascii="Verdana" w:hAnsi="Verdana"/>
                <w:b/>
                <w:sz w:val="16"/>
                <w:szCs w:val="16"/>
              </w:rPr>
              <w:t>Equipos y materiales</w:t>
            </w:r>
          </w:p>
        </w:tc>
        <w:tc>
          <w:tcPr>
            <w:tcW w:w="4675" w:type="dxa"/>
          </w:tcPr>
          <w:p w14:paraId="06B22A79" w14:textId="740AE517"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B.1.3.4</w:t>
            </w:r>
            <w:r w:rsidRPr="00F01347">
              <w:rPr>
                <w:rFonts w:ascii="Verdana" w:hAnsi="Verdana"/>
                <w:sz w:val="16"/>
                <w:szCs w:val="16"/>
                <w:lang w:val="en-US"/>
              </w:rPr>
              <w:t xml:space="preserve"> </w:t>
            </w:r>
            <w:r w:rsidRPr="00F01347">
              <w:rPr>
                <w:rFonts w:ascii="Verdana" w:hAnsi="Verdana"/>
                <w:b/>
                <w:sz w:val="16"/>
                <w:szCs w:val="16"/>
                <w:lang w:val="en-US"/>
              </w:rPr>
              <w:t>Equipment and materials</w:t>
            </w:r>
          </w:p>
        </w:tc>
      </w:tr>
      <w:tr w:rsidR="00DA3306" w:rsidRPr="00F01347" w14:paraId="7521CED8" w14:textId="39ACE3AF" w:rsidTr="008D6E01">
        <w:tc>
          <w:tcPr>
            <w:tcW w:w="4675" w:type="dxa"/>
          </w:tcPr>
          <w:p w14:paraId="6BF37023"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sz w:val="16"/>
                <w:szCs w:val="16"/>
              </w:rPr>
              <w:t xml:space="preserve">En algunos casos se realizan referencias a marcas específicas y números de catálogo, sin embargo, estos se incluyen sólo como ejemplos y no implican aprobación de los productos. Dicha referencia no excluye el uso de otros proveedores o fabricantes. Las referencias específicas pretenden representar especificaciones adecuadas para los artículos. Algunos elementos de </w:t>
            </w:r>
            <w:r w:rsidRPr="00F01347">
              <w:rPr>
                <w:rFonts w:ascii="Verdana" w:hAnsi="Verdana"/>
                <w:color w:val="000000"/>
                <w:sz w:val="16"/>
                <w:szCs w:val="16"/>
              </w:rPr>
              <w:t xml:space="preserve">cristalería de laboratorio y equipo no se especifican, ya que su </w:t>
            </w:r>
            <w:r w:rsidRPr="00F01347">
              <w:rPr>
                <w:rFonts w:ascii="Verdana" w:hAnsi="Verdana"/>
                <w:sz w:val="16"/>
                <w:szCs w:val="16"/>
              </w:rPr>
              <w:t>elección dependerá de las aplicaciones específicas y las circunstancias.</w:t>
            </w:r>
          </w:p>
        </w:tc>
        <w:tc>
          <w:tcPr>
            <w:tcW w:w="4675" w:type="dxa"/>
          </w:tcPr>
          <w:p w14:paraId="38A79488" w14:textId="00F17AA7" w:rsidR="00DA3306" w:rsidRPr="00F01347" w:rsidRDefault="00DA3306" w:rsidP="00DA3306">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In some </w:t>
            </w:r>
            <w:r w:rsidR="00F91110" w:rsidRPr="00F01347">
              <w:rPr>
                <w:rFonts w:ascii="Verdana" w:hAnsi="Verdana"/>
                <w:sz w:val="16"/>
                <w:szCs w:val="16"/>
                <w:lang w:val="en-US"/>
              </w:rPr>
              <w:t>cases,</w:t>
            </w:r>
            <w:r w:rsidRPr="00F01347">
              <w:rPr>
                <w:rFonts w:ascii="Verdana" w:hAnsi="Verdana"/>
                <w:sz w:val="16"/>
                <w:szCs w:val="16"/>
                <w:lang w:val="en-US"/>
              </w:rPr>
              <w:t xml:space="preserve"> references are made to specific brands and catalog numbers, however, these are included as examples only and do not imply endorsement of the products. This reference does not exclude the use of other suppliers or manufacturers. Specific references are intended to represent appropriate specifications for the items. Some items of </w:t>
            </w:r>
            <w:r w:rsidRPr="00F01347">
              <w:rPr>
                <w:rFonts w:ascii="Verdana" w:hAnsi="Verdana"/>
                <w:color w:val="000000"/>
                <w:sz w:val="16"/>
                <w:szCs w:val="16"/>
                <w:lang w:val="en-US"/>
              </w:rPr>
              <w:t xml:space="preserve">laboratory glassware and equipment are not specified, as their </w:t>
            </w:r>
            <w:r w:rsidRPr="00F01347">
              <w:rPr>
                <w:rFonts w:ascii="Verdana" w:hAnsi="Verdana"/>
                <w:sz w:val="16"/>
                <w:szCs w:val="16"/>
                <w:lang w:val="en-US"/>
              </w:rPr>
              <w:t>choice will depend on the specific applications and circumstances.</w:t>
            </w:r>
          </w:p>
        </w:tc>
      </w:tr>
      <w:tr w:rsidR="00DA3306" w:rsidRPr="00F01347" w14:paraId="557B7920" w14:textId="20320B0C" w:rsidTr="008D6E01">
        <w:tc>
          <w:tcPr>
            <w:tcW w:w="4675" w:type="dxa"/>
          </w:tcPr>
          <w:p w14:paraId="2D093679"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sz w:val="16"/>
                <w:szCs w:val="16"/>
              </w:rPr>
              <w:t xml:space="preserve">Debe evitarse el uso de plásticos siempre que sea posible. Esto es necesario porque el uso de plásticos (por </w:t>
            </w:r>
            <w:proofErr w:type="gramStart"/>
            <w:r w:rsidRPr="00F01347">
              <w:rPr>
                <w:rFonts w:ascii="Verdana" w:hAnsi="Verdana"/>
                <w:sz w:val="16"/>
                <w:szCs w:val="16"/>
              </w:rPr>
              <w:t>ejemplo</w:t>
            </w:r>
            <w:proofErr w:type="gramEnd"/>
            <w:r w:rsidRPr="00F01347">
              <w:rPr>
                <w:rFonts w:ascii="Verdana" w:hAnsi="Verdana"/>
                <w:sz w:val="16"/>
                <w:szCs w:val="16"/>
              </w:rPr>
              <w:t xml:space="preserve"> pipetas de plástico, tubos de plástico o cartuchos de plástico) puede causar pérdidas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por absorción en las paredes de la superficie.</w:t>
            </w:r>
          </w:p>
        </w:tc>
        <w:tc>
          <w:tcPr>
            <w:tcW w:w="4675" w:type="dxa"/>
          </w:tcPr>
          <w:p w14:paraId="3ADE880E" w14:textId="6424F101" w:rsidR="00DA3306" w:rsidRPr="00F01347" w:rsidRDefault="00DA3306" w:rsidP="00DA3306">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The use of plastics should be avoided whenever possible. This is necessary because the use of plastics (for example plastic pipettes, plastic </w:t>
            </w:r>
            <w:proofErr w:type="gramStart"/>
            <w:r w:rsidRPr="00F01347">
              <w:rPr>
                <w:rFonts w:ascii="Verdana" w:hAnsi="Verdana"/>
                <w:sz w:val="16"/>
                <w:szCs w:val="16"/>
                <w:lang w:val="en-US"/>
              </w:rPr>
              <w:t>tubes</w:t>
            </w:r>
            <w:proofErr w:type="gramEnd"/>
            <w:r w:rsidRPr="00F01347">
              <w:rPr>
                <w:rFonts w:ascii="Verdana" w:hAnsi="Verdana"/>
                <w:sz w:val="16"/>
                <w:szCs w:val="16"/>
                <w:lang w:val="en-US"/>
              </w:rPr>
              <w:t xml:space="preserve"> or plastic cartridges) can cause losses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by absorption on the surface walls.</w:t>
            </w:r>
          </w:p>
        </w:tc>
      </w:tr>
      <w:tr w:rsidR="00DA3306" w:rsidRPr="00F01347" w14:paraId="1FB391B8" w14:textId="16E35CE0" w:rsidTr="008D6E01">
        <w:tc>
          <w:tcPr>
            <w:tcW w:w="4675" w:type="dxa"/>
          </w:tcPr>
          <w:p w14:paraId="7CE2B12A"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b/>
                <w:sz w:val="16"/>
                <w:szCs w:val="16"/>
              </w:rPr>
              <w:t xml:space="preserve">Agitador horizontal ajustable. </w:t>
            </w:r>
            <w:r w:rsidRPr="00F01347">
              <w:rPr>
                <w:rFonts w:ascii="Verdana" w:hAnsi="Verdana"/>
                <w:sz w:val="16"/>
                <w:szCs w:val="16"/>
              </w:rPr>
              <w:t>Necesario sólo para el análisis de muestras que contiene fitoplancton.</w:t>
            </w:r>
          </w:p>
        </w:tc>
        <w:tc>
          <w:tcPr>
            <w:tcW w:w="4675" w:type="dxa"/>
          </w:tcPr>
          <w:p w14:paraId="2B6EBBDE" w14:textId="783E9E35"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Adjustable horizontal agitator. </w:t>
            </w:r>
            <w:r w:rsidRPr="00F01347">
              <w:rPr>
                <w:rFonts w:ascii="Verdana" w:hAnsi="Verdana"/>
                <w:sz w:val="16"/>
                <w:szCs w:val="16"/>
                <w:lang w:val="en-US"/>
              </w:rPr>
              <w:t>Necessary only for the analysis of samples containing phytoplankton.</w:t>
            </w:r>
          </w:p>
        </w:tc>
      </w:tr>
      <w:tr w:rsidR="00DA3306" w:rsidRPr="00F01347" w14:paraId="1AB2053C" w14:textId="0A010DAB" w:rsidTr="008D6E01">
        <w:tc>
          <w:tcPr>
            <w:tcW w:w="4675" w:type="dxa"/>
          </w:tcPr>
          <w:p w14:paraId="46EA0441" w14:textId="77777777" w:rsidR="00DA3306" w:rsidRPr="00F01347" w:rsidRDefault="00DA3306" w:rsidP="00DA3306">
            <w:pPr>
              <w:pStyle w:val="texto0"/>
              <w:spacing w:line="224" w:lineRule="exact"/>
              <w:ind w:firstLine="0"/>
              <w:rPr>
                <w:rFonts w:ascii="Verdana" w:hAnsi="Verdana"/>
                <w:b/>
                <w:sz w:val="16"/>
                <w:szCs w:val="16"/>
              </w:rPr>
            </w:pPr>
            <w:r w:rsidRPr="00F01347">
              <w:rPr>
                <w:rFonts w:ascii="Verdana" w:hAnsi="Verdana"/>
                <w:b/>
                <w:sz w:val="16"/>
                <w:szCs w:val="16"/>
              </w:rPr>
              <w:t>Baño ultrasónico</w:t>
            </w:r>
          </w:p>
        </w:tc>
        <w:tc>
          <w:tcPr>
            <w:tcW w:w="4675" w:type="dxa"/>
          </w:tcPr>
          <w:p w14:paraId="657611EA" w14:textId="15485835"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Ultrasonic bath</w:t>
            </w:r>
          </w:p>
        </w:tc>
      </w:tr>
      <w:tr w:rsidR="00DA3306" w:rsidRPr="00F01347" w14:paraId="4CCBDA07" w14:textId="039840FD" w:rsidTr="008D6E01">
        <w:tc>
          <w:tcPr>
            <w:tcW w:w="4675" w:type="dxa"/>
          </w:tcPr>
          <w:p w14:paraId="3A7F9D8C"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b/>
                <w:sz w:val="16"/>
                <w:szCs w:val="16"/>
              </w:rPr>
              <w:t>Bomba binaria de HPLC.</w:t>
            </w:r>
            <w:r w:rsidRPr="00F01347">
              <w:rPr>
                <w:rFonts w:ascii="Verdana" w:hAnsi="Verdana"/>
                <w:sz w:val="16"/>
                <w:szCs w:val="16"/>
              </w:rPr>
              <w:t xml:space="preserve"> Adecuada para tasas de flujo de volumen entre 0.3 </w:t>
            </w:r>
            <w:proofErr w:type="spellStart"/>
            <w:r w:rsidRPr="00F01347">
              <w:rPr>
                <w:rFonts w:ascii="Verdana" w:hAnsi="Verdana"/>
                <w:sz w:val="16"/>
                <w:szCs w:val="16"/>
              </w:rPr>
              <w:t>mL</w:t>
            </w:r>
            <w:proofErr w:type="spellEnd"/>
            <w:r w:rsidRPr="00F01347">
              <w:rPr>
                <w:rFonts w:ascii="Verdana" w:hAnsi="Verdana"/>
                <w:sz w:val="16"/>
                <w:szCs w:val="16"/>
              </w:rPr>
              <w:t xml:space="preserve">/min y 1 </w:t>
            </w:r>
            <w:proofErr w:type="spellStart"/>
            <w:r w:rsidRPr="00F01347">
              <w:rPr>
                <w:rFonts w:ascii="Verdana" w:hAnsi="Verdana"/>
                <w:sz w:val="16"/>
                <w:szCs w:val="16"/>
              </w:rPr>
              <w:t>mL</w:t>
            </w:r>
            <w:proofErr w:type="spellEnd"/>
            <w:r w:rsidRPr="00F01347">
              <w:rPr>
                <w:rFonts w:ascii="Verdana" w:hAnsi="Verdana"/>
                <w:sz w:val="16"/>
                <w:szCs w:val="16"/>
              </w:rPr>
              <w:t>/min.</w:t>
            </w:r>
          </w:p>
        </w:tc>
        <w:tc>
          <w:tcPr>
            <w:tcW w:w="4675" w:type="dxa"/>
          </w:tcPr>
          <w:p w14:paraId="0301E1D0" w14:textId="136CB3F6"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HPLC binary pump. </w:t>
            </w:r>
            <w:r w:rsidRPr="00F01347">
              <w:rPr>
                <w:rFonts w:ascii="Verdana" w:hAnsi="Verdana"/>
                <w:sz w:val="16"/>
                <w:szCs w:val="16"/>
                <w:lang w:val="en-US"/>
              </w:rPr>
              <w:t>Suitable for volume flow rates between 0.3 mL /min and 1 mL /min.</w:t>
            </w:r>
          </w:p>
        </w:tc>
      </w:tr>
      <w:tr w:rsidR="00DA3306" w:rsidRPr="00F01347" w14:paraId="70A580C6" w14:textId="395B7993" w:rsidTr="008D6E01">
        <w:tc>
          <w:tcPr>
            <w:tcW w:w="4675" w:type="dxa"/>
          </w:tcPr>
          <w:p w14:paraId="43781409" w14:textId="77777777" w:rsidR="00DA3306" w:rsidRPr="00F01347" w:rsidRDefault="00DA3306" w:rsidP="00DA3306">
            <w:pPr>
              <w:pStyle w:val="texto0"/>
              <w:spacing w:line="224" w:lineRule="exact"/>
              <w:ind w:firstLine="0"/>
              <w:rPr>
                <w:rFonts w:ascii="Verdana" w:hAnsi="Verdana"/>
                <w:b/>
                <w:sz w:val="16"/>
                <w:szCs w:val="16"/>
              </w:rPr>
            </w:pPr>
            <w:r w:rsidRPr="00F01347">
              <w:rPr>
                <w:rFonts w:ascii="Verdana" w:hAnsi="Verdana"/>
                <w:b/>
                <w:sz w:val="16"/>
                <w:szCs w:val="16"/>
              </w:rPr>
              <w:t>Bomba de vacío para SPE</w:t>
            </w:r>
          </w:p>
        </w:tc>
        <w:tc>
          <w:tcPr>
            <w:tcW w:w="4675" w:type="dxa"/>
          </w:tcPr>
          <w:p w14:paraId="0553DC77" w14:textId="4C409B84"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Vacuum pump for SPE</w:t>
            </w:r>
          </w:p>
        </w:tc>
      </w:tr>
      <w:tr w:rsidR="00DA3306" w:rsidRPr="00F01347" w14:paraId="6C0E19D4" w14:textId="7F08DBA3" w:rsidTr="008D6E01">
        <w:tc>
          <w:tcPr>
            <w:tcW w:w="4675" w:type="dxa"/>
          </w:tcPr>
          <w:p w14:paraId="184A0E2A" w14:textId="77777777" w:rsidR="00DA3306" w:rsidRPr="00F01347" w:rsidRDefault="00DA3306" w:rsidP="00DA3306">
            <w:pPr>
              <w:pStyle w:val="texto0"/>
              <w:spacing w:line="224" w:lineRule="exact"/>
              <w:ind w:firstLine="0"/>
              <w:rPr>
                <w:rFonts w:ascii="Verdana" w:hAnsi="Verdana"/>
                <w:color w:val="808080"/>
                <w:sz w:val="16"/>
                <w:szCs w:val="16"/>
              </w:rPr>
            </w:pPr>
            <w:r w:rsidRPr="00F01347">
              <w:rPr>
                <w:rFonts w:ascii="Verdana" w:hAnsi="Verdana"/>
                <w:b/>
                <w:sz w:val="16"/>
                <w:szCs w:val="16"/>
              </w:rPr>
              <w:lastRenderedPageBreak/>
              <w:t>Botellas de muestreo.</w:t>
            </w:r>
            <w:r w:rsidRPr="00F01347">
              <w:rPr>
                <w:rFonts w:ascii="Verdana" w:hAnsi="Verdana"/>
                <w:sz w:val="16"/>
                <w:szCs w:val="16"/>
              </w:rPr>
              <w:t xml:space="preserve"> Vidrio ámbar, estéril y previamente limpio.</w:t>
            </w:r>
          </w:p>
        </w:tc>
        <w:tc>
          <w:tcPr>
            <w:tcW w:w="4675" w:type="dxa"/>
          </w:tcPr>
          <w:p w14:paraId="11DEFCF2" w14:textId="659AE4CD"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Sampling bottles. </w:t>
            </w:r>
            <w:r w:rsidRPr="00F01347">
              <w:rPr>
                <w:rFonts w:ascii="Verdana" w:hAnsi="Verdana"/>
                <w:sz w:val="16"/>
                <w:szCs w:val="16"/>
                <w:lang w:val="en-US"/>
              </w:rPr>
              <w:t>Amber glass, sterile and previously cleaned.</w:t>
            </w:r>
          </w:p>
        </w:tc>
      </w:tr>
      <w:tr w:rsidR="00DA3306" w:rsidRPr="00F01347" w14:paraId="0129C134" w14:textId="688FC6E3" w:rsidTr="008D6E01">
        <w:tc>
          <w:tcPr>
            <w:tcW w:w="4675" w:type="dxa"/>
          </w:tcPr>
          <w:p w14:paraId="7401B92C"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b/>
                <w:sz w:val="16"/>
                <w:szCs w:val="16"/>
              </w:rPr>
              <w:t xml:space="preserve">Cartuchos de SPE para el enriquecimiento de </w:t>
            </w:r>
            <w:proofErr w:type="spellStart"/>
            <w:r w:rsidRPr="00F01347">
              <w:rPr>
                <w:rFonts w:ascii="Verdana" w:hAnsi="Verdana"/>
                <w:b/>
                <w:sz w:val="16"/>
                <w:szCs w:val="16"/>
              </w:rPr>
              <w:t>microcistina</w:t>
            </w:r>
            <w:proofErr w:type="spellEnd"/>
            <w:r w:rsidRPr="00F01347">
              <w:rPr>
                <w:rFonts w:ascii="Verdana" w:hAnsi="Verdana"/>
                <w:b/>
                <w:sz w:val="16"/>
                <w:szCs w:val="16"/>
              </w:rPr>
              <w:t>.</w:t>
            </w:r>
            <w:r w:rsidRPr="00F01347">
              <w:rPr>
                <w:rFonts w:ascii="Verdana" w:hAnsi="Verdana"/>
                <w:sz w:val="16"/>
                <w:szCs w:val="16"/>
              </w:rPr>
              <w:t xml:space="preserve"> La columna debe tener una capacidad mínima (cantidad de analito a ser retenido en la columna) no menor a 100 µg de cada </w:t>
            </w:r>
            <w:proofErr w:type="spellStart"/>
            <w:r w:rsidRPr="00F01347">
              <w:rPr>
                <w:rFonts w:ascii="Verdana" w:hAnsi="Verdana"/>
                <w:sz w:val="16"/>
                <w:szCs w:val="16"/>
              </w:rPr>
              <w:t>microcistina</w:t>
            </w:r>
            <w:proofErr w:type="spellEnd"/>
            <w:r w:rsidRPr="00F01347">
              <w:rPr>
                <w:rFonts w:ascii="Verdana" w:hAnsi="Verdana"/>
                <w:sz w:val="16"/>
                <w:szCs w:val="16"/>
              </w:rPr>
              <w:t xml:space="preserve"> y permitirá una recuperación no menor del 80% para MC-LR, así como no menor del 70% para el MC-RR y MC-YR cuando se aplica como una solución estándar en agua que contiene 0.05 µg de cada </w:t>
            </w:r>
            <w:proofErr w:type="spellStart"/>
            <w:r w:rsidRPr="00F01347">
              <w:rPr>
                <w:rFonts w:ascii="Verdana" w:hAnsi="Verdana"/>
                <w:sz w:val="16"/>
                <w:szCs w:val="16"/>
              </w:rPr>
              <w:t>microcistina</w:t>
            </w:r>
            <w:proofErr w:type="spellEnd"/>
            <w:r w:rsidRPr="00F01347">
              <w:rPr>
                <w:rFonts w:ascii="Verdana" w:hAnsi="Verdana"/>
                <w:sz w:val="16"/>
                <w:szCs w:val="16"/>
              </w:rPr>
              <w:t>.</w:t>
            </w:r>
          </w:p>
        </w:tc>
        <w:tc>
          <w:tcPr>
            <w:tcW w:w="4675" w:type="dxa"/>
          </w:tcPr>
          <w:p w14:paraId="6ECDF31D" w14:textId="6548C85C"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microcystin enrichment</w:t>
            </w:r>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The column must have a minimum capacity (amount of analyte to be retained in the column) of no less than 100 µg of each microcystin and will allow a recovery of no less than 80% for MC-LR, as well as no less than 70% for MC. -RR and MC-YR when applied as a standard solution in water containing 0.05 µg of each microcystin</w:t>
            </w:r>
            <w:r w:rsidR="003E1BA9" w:rsidRPr="00F01347">
              <w:rPr>
                <w:rFonts w:ascii="Verdana" w:hAnsi="Verdana"/>
                <w:sz w:val="16"/>
                <w:szCs w:val="16"/>
                <w:lang w:val="en-US"/>
              </w:rPr>
              <w:t>.</w:t>
            </w:r>
          </w:p>
        </w:tc>
      </w:tr>
      <w:tr w:rsidR="00DA3306" w:rsidRPr="00F01347" w14:paraId="36F3C8EE" w14:textId="0083723C" w:rsidTr="008D6E01">
        <w:tc>
          <w:tcPr>
            <w:tcW w:w="4675" w:type="dxa"/>
          </w:tcPr>
          <w:p w14:paraId="39E590E1"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sz w:val="16"/>
                <w:szCs w:val="16"/>
              </w:rPr>
              <w:t>La recuperación depende fuertemente de la marca y material del cartucho de SPE y de las especificaciones de los materiales como la carga de carbono, el tamaño de partícula etcétera. Los datos de recuperación se basan en cartuchos C-18 determinados por una sola medición. El cartucho debe tener las siguientes especificaciones de materiales: carga de carbón (16.9%), diámetro de la partícula (54 µm), cobertura de superficie (333 µg/m² basada en el %C) volumen de cartucho (3 ml), material por cartucho (500 mg). Si los valores de recuperación no pueden ser alcanzados, se recomienda cambiar la marca del cartucho SPE.</w:t>
            </w:r>
          </w:p>
        </w:tc>
        <w:tc>
          <w:tcPr>
            <w:tcW w:w="4675" w:type="dxa"/>
          </w:tcPr>
          <w:p w14:paraId="4DC22563" w14:textId="32B44CC1" w:rsidR="00DA3306" w:rsidRPr="00F01347" w:rsidRDefault="00DA3306" w:rsidP="00DA3306">
            <w:pPr>
              <w:pStyle w:val="texto0"/>
              <w:spacing w:line="224" w:lineRule="exact"/>
              <w:ind w:firstLine="0"/>
              <w:rPr>
                <w:rFonts w:ascii="Verdana" w:hAnsi="Verdana"/>
                <w:sz w:val="16"/>
                <w:szCs w:val="16"/>
                <w:lang w:val="en-US"/>
              </w:rPr>
            </w:pPr>
            <w:r w:rsidRPr="00F01347">
              <w:rPr>
                <w:rFonts w:ascii="Verdana" w:hAnsi="Verdana"/>
                <w:sz w:val="16"/>
                <w:szCs w:val="16"/>
                <w:lang w:val="en-US"/>
              </w:rPr>
              <w:t>Recovery depends strongly on the brand and material of the SPE cartridge and the specifications of the materials such as carbon loading, particle size, etc. Recovery data is based on C-18 cartridges determined by a single measurement. The cartridge must have the following material specifications: carbon loading (16.9%), particle diameter (54 µm), surface coverage (333 µg/m² based on %C) cartridge volume (3 ml), material per cartridge (500 mg). If the recovery values cannot be achieved, it is recommended to change the brand of SPE cartridge.</w:t>
            </w:r>
          </w:p>
        </w:tc>
      </w:tr>
      <w:tr w:rsidR="00DA3306" w:rsidRPr="00F01347" w14:paraId="0380A444" w14:textId="01EE8B8F" w:rsidTr="008D6E01">
        <w:tc>
          <w:tcPr>
            <w:tcW w:w="4675" w:type="dxa"/>
          </w:tcPr>
          <w:p w14:paraId="41701273"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sz w:val="16"/>
                <w:szCs w:val="16"/>
              </w:rPr>
              <w:t xml:space="preserve">Cartuchos de SPE de tipo disco pueden también utilizarse para el enriquecimiento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de muestras de agua.</w:t>
            </w:r>
          </w:p>
        </w:tc>
        <w:tc>
          <w:tcPr>
            <w:tcW w:w="4675" w:type="dxa"/>
          </w:tcPr>
          <w:p w14:paraId="376C98EF" w14:textId="12436BDD" w:rsidR="00DA3306" w:rsidRPr="00F01347" w:rsidRDefault="00AB0C72" w:rsidP="000A1916">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Disk type </w:t>
            </w:r>
            <w:r w:rsidR="000A1916" w:rsidRPr="00F01347">
              <w:rPr>
                <w:rFonts w:ascii="Verdana" w:hAnsi="Verdana"/>
                <w:sz w:val="16"/>
                <w:szCs w:val="16"/>
                <w:lang w:val="en-US"/>
              </w:rPr>
              <w:t xml:space="preserve">SPE cartridges can also be used for the </w:t>
            </w:r>
            <w:r w:rsidR="00DA3306" w:rsidRPr="00F01347">
              <w:rPr>
                <w:rFonts w:ascii="Verdana" w:hAnsi="Verdana"/>
                <w:sz w:val="16"/>
                <w:szCs w:val="16"/>
                <w:lang w:val="en-US"/>
              </w:rPr>
              <w:t>microcystin enrichment of water samples.</w:t>
            </w:r>
          </w:p>
        </w:tc>
      </w:tr>
      <w:tr w:rsidR="00DA3306" w:rsidRPr="00F01347" w14:paraId="6D992B26" w14:textId="581BA9C0" w:rsidTr="008D6E01">
        <w:tc>
          <w:tcPr>
            <w:tcW w:w="4675" w:type="dxa"/>
          </w:tcPr>
          <w:p w14:paraId="792A7A0D"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b/>
                <w:sz w:val="16"/>
                <w:szCs w:val="16"/>
              </w:rPr>
              <w:t>Centrífuga de laboratorio</w:t>
            </w:r>
            <w:r w:rsidRPr="00F01347">
              <w:rPr>
                <w:rFonts w:ascii="Verdana" w:hAnsi="Verdana"/>
                <w:sz w:val="16"/>
                <w:szCs w:val="16"/>
              </w:rPr>
              <w:t>. ≥4000 min</w:t>
            </w:r>
            <w:r w:rsidRPr="00F01347">
              <w:rPr>
                <w:rFonts w:ascii="Verdana" w:hAnsi="Verdana"/>
                <w:sz w:val="16"/>
                <w:szCs w:val="16"/>
                <w:vertAlign w:val="superscript"/>
              </w:rPr>
              <w:t>-1</w:t>
            </w:r>
            <w:r w:rsidRPr="00F01347">
              <w:rPr>
                <w:rFonts w:ascii="Verdana" w:hAnsi="Verdana"/>
                <w:sz w:val="16"/>
                <w:szCs w:val="16"/>
              </w:rPr>
              <w:t>, fuerza centrífuga relativa (RCF) ≥10000</w:t>
            </w:r>
            <w:r w:rsidRPr="00F01347">
              <w:rPr>
                <w:rFonts w:ascii="Verdana" w:hAnsi="Verdana"/>
                <w:i/>
                <w:sz w:val="16"/>
                <w:szCs w:val="16"/>
              </w:rPr>
              <w:t xml:space="preserve">g. </w:t>
            </w:r>
            <w:r w:rsidRPr="00F01347">
              <w:rPr>
                <w:rFonts w:ascii="Verdana" w:hAnsi="Verdana"/>
                <w:sz w:val="16"/>
                <w:szCs w:val="16"/>
              </w:rPr>
              <w:t>Es recomendable el uso de una centrífuga a prueba de explosiones debido al uso de disolventes de extracción inflamables.</w:t>
            </w:r>
          </w:p>
        </w:tc>
        <w:tc>
          <w:tcPr>
            <w:tcW w:w="4675" w:type="dxa"/>
          </w:tcPr>
          <w:p w14:paraId="384BFE39" w14:textId="3B32E9F5"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Laboratory centrifuge</w:t>
            </w:r>
            <w:r w:rsidR="003E1BA9" w:rsidRPr="00F01347">
              <w:rPr>
                <w:rFonts w:ascii="Verdana" w:hAnsi="Verdana"/>
                <w:b/>
                <w:sz w:val="16"/>
                <w:szCs w:val="16"/>
                <w:lang w:val="en-US"/>
              </w:rPr>
              <w:t>.</w:t>
            </w:r>
            <w:r w:rsidRPr="00F01347">
              <w:rPr>
                <w:rFonts w:ascii="Verdana" w:hAnsi="Verdana"/>
                <w:sz w:val="16"/>
                <w:szCs w:val="16"/>
                <w:lang w:val="en-US"/>
              </w:rPr>
              <w:t xml:space="preserve"> ≥4000 min</w:t>
            </w:r>
            <w:r w:rsidRPr="00F01347">
              <w:rPr>
                <w:rFonts w:ascii="Verdana" w:hAnsi="Verdana"/>
                <w:sz w:val="16"/>
                <w:szCs w:val="16"/>
                <w:vertAlign w:val="superscript"/>
                <w:lang w:val="en-US"/>
              </w:rPr>
              <w:t>-1</w:t>
            </w:r>
            <w:r w:rsidR="003E1BA9" w:rsidRPr="00F01347">
              <w:rPr>
                <w:rFonts w:ascii="Verdana" w:hAnsi="Verdana"/>
                <w:sz w:val="16"/>
                <w:szCs w:val="16"/>
                <w:vertAlign w:val="superscript"/>
                <w:lang w:val="en-US"/>
              </w:rPr>
              <w:t>,</w:t>
            </w:r>
            <w:r w:rsidRPr="00F01347">
              <w:rPr>
                <w:rFonts w:ascii="Verdana" w:hAnsi="Verdana"/>
                <w:sz w:val="16"/>
                <w:szCs w:val="16"/>
                <w:lang w:val="en-US"/>
              </w:rPr>
              <w:t xml:space="preserve"> relative centrifugal force (RCF) ≥</w:t>
            </w:r>
            <w:r w:rsidR="000A1916" w:rsidRPr="00F01347">
              <w:rPr>
                <w:rFonts w:ascii="Verdana" w:hAnsi="Verdana"/>
                <w:sz w:val="16"/>
                <w:szCs w:val="16"/>
                <w:lang w:val="en-US"/>
              </w:rPr>
              <w:t xml:space="preserve"> </w:t>
            </w:r>
            <w:r w:rsidRPr="00F01347">
              <w:rPr>
                <w:rFonts w:ascii="Verdana" w:hAnsi="Verdana"/>
                <w:sz w:val="16"/>
                <w:szCs w:val="16"/>
                <w:lang w:val="en-US"/>
              </w:rPr>
              <w:t xml:space="preserve">10000 </w:t>
            </w:r>
            <w:r w:rsidRPr="00F01347">
              <w:rPr>
                <w:rFonts w:ascii="Verdana" w:hAnsi="Verdana"/>
                <w:i/>
                <w:sz w:val="16"/>
                <w:szCs w:val="16"/>
                <w:lang w:val="en-US"/>
              </w:rPr>
              <w:t xml:space="preserve">g. </w:t>
            </w:r>
            <w:r w:rsidRPr="00F01347">
              <w:rPr>
                <w:rFonts w:ascii="Verdana" w:hAnsi="Verdana"/>
                <w:sz w:val="16"/>
                <w:szCs w:val="16"/>
                <w:lang w:val="en-US"/>
              </w:rPr>
              <w:t>The use of an explosion-proof centrifuge is recommended due to the use of flammable extraction solvents.</w:t>
            </w:r>
          </w:p>
        </w:tc>
      </w:tr>
      <w:tr w:rsidR="00DA3306" w:rsidRPr="00F01347" w14:paraId="6A463983" w14:textId="175DA951" w:rsidTr="008D6E01">
        <w:tc>
          <w:tcPr>
            <w:tcW w:w="4675" w:type="dxa"/>
          </w:tcPr>
          <w:p w14:paraId="28193656"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b/>
                <w:sz w:val="16"/>
                <w:szCs w:val="16"/>
              </w:rPr>
              <w:t>Columna de HPLC.</w:t>
            </w:r>
            <w:r w:rsidRPr="00F01347">
              <w:rPr>
                <w:rFonts w:ascii="Verdana" w:hAnsi="Verdana"/>
                <w:sz w:val="16"/>
                <w:szCs w:val="16"/>
              </w:rPr>
              <w:t xml:space="preserve"> (p.ej. columna C</w:t>
            </w:r>
            <w:r w:rsidRPr="00F01347">
              <w:rPr>
                <w:rFonts w:ascii="Verdana" w:hAnsi="Verdana"/>
                <w:sz w:val="16"/>
                <w:szCs w:val="16"/>
                <w:vertAlign w:val="subscript"/>
              </w:rPr>
              <w:t>18</w:t>
            </w:r>
            <w:r w:rsidRPr="00F01347">
              <w:rPr>
                <w:rFonts w:ascii="Verdana" w:hAnsi="Verdana"/>
                <w:sz w:val="16"/>
                <w:szCs w:val="16"/>
              </w:rPr>
              <w:t>), empacada con material con un tamaño de partícula de 3 a 5µm; con un diámetro interior de 2 a 4.6 mm; y una longitud de 250 mm para asegurar la resolución de los estándares de referencia de MC-LR, MC-YR y MC–RR. Debe utilizarse un protector de columna adecuado.  El rango de presión debe ser de 70 000 hPa a 200 000 hPa (1 015 psi a 2 900 psi).</w:t>
            </w:r>
          </w:p>
        </w:tc>
        <w:tc>
          <w:tcPr>
            <w:tcW w:w="4675" w:type="dxa"/>
          </w:tcPr>
          <w:p w14:paraId="7F354CAF" w14:textId="522FAB1E"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HPLC column. </w:t>
            </w:r>
            <w:r w:rsidRPr="00F01347">
              <w:rPr>
                <w:rFonts w:ascii="Verdana" w:hAnsi="Verdana"/>
                <w:sz w:val="16"/>
                <w:szCs w:val="16"/>
                <w:lang w:val="en-US"/>
              </w:rPr>
              <w:t>(</w:t>
            </w:r>
            <w:proofErr w:type="gramStart"/>
            <w:r w:rsidRPr="00F01347">
              <w:rPr>
                <w:rFonts w:ascii="Verdana" w:hAnsi="Verdana"/>
                <w:sz w:val="16"/>
                <w:szCs w:val="16"/>
                <w:lang w:val="en-US"/>
              </w:rPr>
              <w:t>e.g.</w:t>
            </w:r>
            <w:proofErr w:type="gramEnd"/>
            <w:r w:rsidRPr="00F01347">
              <w:rPr>
                <w:rFonts w:ascii="Verdana" w:hAnsi="Verdana"/>
                <w:sz w:val="16"/>
                <w:szCs w:val="16"/>
                <w:lang w:val="en-US"/>
              </w:rPr>
              <w:t xml:space="preserve"> C</w:t>
            </w:r>
            <w:r w:rsidRPr="00F01347">
              <w:rPr>
                <w:rFonts w:ascii="Verdana" w:hAnsi="Verdana"/>
                <w:sz w:val="16"/>
                <w:szCs w:val="16"/>
                <w:vertAlign w:val="subscript"/>
                <w:lang w:val="en-US"/>
              </w:rPr>
              <w:t xml:space="preserve">18 </w:t>
            </w:r>
            <w:r w:rsidR="00AE0C58" w:rsidRPr="00F01347">
              <w:rPr>
                <w:rFonts w:ascii="Verdana" w:hAnsi="Verdana"/>
                <w:sz w:val="16"/>
                <w:szCs w:val="16"/>
                <w:lang w:val="en-US"/>
              </w:rPr>
              <w:t>column)</w:t>
            </w:r>
            <w:r w:rsidRPr="00F01347">
              <w:rPr>
                <w:rFonts w:ascii="Verdana" w:hAnsi="Verdana"/>
                <w:sz w:val="16"/>
                <w:szCs w:val="16"/>
                <w:lang w:val="en-US"/>
              </w:rPr>
              <w:t xml:space="preserve"> packed with material with a particle size of 3 to 5µm; with an inner diameter of 2 to 4.6 mm; and a length of 250 mm to ensure resolution of the reference standards of MC-LR, MC-YR and MC–RR. A suitable spine protector should be used. The pressure range should be 70,000 </w:t>
            </w:r>
            <w:proofErr w:type="spellStart"/>
            <w:r w:rsidRPr="00F01347">
              <w:rPr>
                <w:rFonts w:ascii="Verdana" w:hAnsi="Verdana"/>
                <w:sz w:val="16"/>
                <w:szCs w:val="16"/>
                <w:lang w:val="en-US"/>
              </w:rPr>
              <w:t>hPa</w:t>
            </w:r>
            <w:proofErr w:type="spellEnd"/>
            <w:r w:rsidRPr="00F01347">
              <w:rPr>
                <w:rFonts w:ascii="Verdana" w:hAnsi="Verdana"/>
                <w:sz w:val="16"/>
                <w:szCs w:val="16"/>
                <w:lang w:val="en-US"/>
              </w:rPr>
              <w:t xml:space="preserve"> to 200,000 </w:t>
            </w:r>
            <w:proofErr w:type="spellStart"/>
            <w:r w:rsidRPr="00F01347">
              <w:rPr>
                <w:rFonts w:ascii="Verdana" w:hAnsi="Verdana"/>
                <w:sz w:val="16"/>
                <w:szCs w:val="16"/>
                <w:lang w:val="en-US"/>
              </w:rPr>
              <w:t>hPa</w:t>
            </w:r>
            <w:proofErr w:type="spellEnd"/>
            <w:r w:rsidRPr="00F01347">
              <w:rPr>
                <w:rFonts w:ascii="Verdana" w:hAnsi="Verdana"/>
                <w:sz w:val="16"/>
                <w:szCs w:val="16"/>
                <w:lang w:val="en-US"/>
              </w:rPr>
              <w:t xml:space="preserve"> (1,015 psi to 2,900 psi).</w:t>
            </w:r>
          </w:p>
        </w:tc>
      </w:tr>
      <w:tr w:rsidR="00DA3306" w:rsidRPr="00F01347" w14:paraId="1AC24259" w14:textId="7F34CC45" w:rsidTr="008D6E01">
        <w:tc>
          <w:tcPr>
            <w:tcW w:w="4675" w:type="dxa"/>
          </w:tcPr>
          <w:p w14:paraId="2319403E" w14:textId="77777777" w:rsidR="00DA3306" w:rsidRPr="00F01347" w:rsidRDefault="00DA3306" w:rsidP="00DA3306">
            <w:pPr>
              <w:pStyle w:val="texto0"/>
              <w:spacing w:line="224" w:lineRule="exact"/>
              <w:ind w:firstLine="0"/>
              <w:rPr>
                <w:rFonts w:ascii="Verdana" w:hAnsi="Verdana"/>
                <w:b/>
                <w:color w:val="000000"/>
                <w:sz w:val="16"/>
                <w:szCs w:val="16"/>
              </w:rPr>
            </w:pPr>
            <w:r w:rsidRPr="00F01347">
              <w:rPr>
                <w:rFonts w:ascii="Verdana" w:hAnsi="Verdana"/>
                <w:b/>
                <w:sz w:val="16"/>
                <w:szCs w:val="16"/>
              </w:rPr>
              <w:t>Depósito de SPE.</w:t>
            </w:r>
            <w:r w:rsidRPr="00F01347">
              <w:rPr>
                <w:rFonts w:ascii="Verdana" w:hAnsi="Verdana"/>
                <w:sz w:val="16"/>
                <w:szCs w:val="16"/>
              </w:rPr>
              <w:t xml:space="preserve"> Capacidad de 500mL con conector para cartuchos.</w:t>
            </w:r>
          </w:p>
        </w:tc>
        <w:tc>
          <w:tcPr>
            <w:tcW w:w="4675" w:type="dxa"/>
          </w:tcPr>
          <w:p w14:paraId="278D6DBA" w14:textId="2A895FCB"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SPE deposit. </w:t>
            </w:r>
            <w:r w:rsidRPr="00F01347">
              <w:rPr>
                <w:rFonts w:ascii="Verdana" w:hAnsi="Verdana"/>
                <w:sz w:val="16"/>
                <w:szCs w:val="16"/>
                <w:lang w:val="en-US"/>
              </w:rPr>
              <w:t>500mL capacity with cartridge connector.</w:t>
            </w:r>
          </w:p>
        </w:tc>
      </w:tr>
      <w:tr w:rsidR="00DA3306" w:rsidRPr="00F01347" w14:paraId="7E113887" w14:textId="56149ED5" w:rsidTr="008D6E01">
        <w:tc>
          <w:tcPr>
            <w:tcW w:w="4675" w:type="dxa"/>
          </w:tcPr>
          <w:p w14:paraId="2978102C"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b/>
                <w:color w:val="000000"/>
                <w:sz w:val="16"/>
                <w:szCs w:val="16"/>
              </w:rPr>
              <w:t>Detector de UV/arreglo de diodo (PDA).</w:t>
            </w:r>
            <w:r w:rsidRPr="00F01347">
              <w:rPr>
                <w:rFonts w:ascii="Verdana" w:hAnsi="Verdana"/>
                <w:color w:val="000000"/>
                <w:sz w:val="16"/>
                <w:szCs w:val="16"/>
              </w:rPr>
              <w:t xml:space="preserve"> Con una longitud de onda </w:t>
            </w:r>
            <w:r w:rsidRPr="00F01347">
              <w:rPr>
                <w:rFonts w:ascii="Verdana" w:hAnsi="Verdana"/>
                <w:color w:val="000000"/>
                <w:sz w:val="16"/>
                <w:szCs w:val="16"/>
                <w:lang w:eastAsia="es-MX"/>
              </w:rPr>
              <w:t>λ</w:t>
            </w:r>
            <w:r w:rsidRPr="00F01347">
              <w:rPr>
                <w:rFonts w:ascii="Verdana" w:hAnsi="Verdana"/>
                <w:color w:val="000000"/>
                <w:sz w:val="16"/>
                <w:szCs w:val="16"/>
              </w:rPr>
              <w:t xml:space="preserve">=238 nm incluyendo corrección de fondo. El rango de </w:t>
            </w:r>
            <w:r w:rsidRPr="00F01347">
              <w:rPr>
                <w:rFonts w:ascii="Verdana" w:hAnsi="Verdana"/>
                <w:sz w:val="16"/>
                <w:szCs w:val="16"/>
              </w:rPr>
              <w:t xml:space="preserve">longitud de onda de la PDA debe ser de 200 a 300 nm. El límite de detección (LOD) para el sistema debe ser ≤ 0.1 ng/µl (relación señal-ruido=3) y el límite de cuantificación (LOQ) debe ser ≤ 0.2 ng/µl (relación señal-ruido= 6) para cada </w:t>
            </w:r>
            <w:proofErr w:type="spellStart"/>
            <w:r w:rsidRPr="00F01347">
              <w:rPr>
                <w:rFonts w:ascii="Verdana" w:hAnsi="Verdana"/>
                <w:sz w:val="16"/>
                <w:szCs w:val="16"/>
              </w:rPr>
              <w:t>microcistina</w:t>
            </w:r>
            <w:proofErr w:type="spellEnd"/>
            <w:r w:rsidRPr="00F01347">
              <w:rPr>
                <w:rFonts w:ascii="Verdana" w:hAnsi="Verdana"/>
                <w:sz w:val="16"/>
                <w:szCs w:val="16"/>
              </w:rPr>
              <w:t xml:space="preserve"> (utilizando una solución estándar).</w:t>
            </w:r>
          </w:p>
        </w:tc>
        <w:tc>
          <w:tcPr>
            <w:tcW w:w="4675" w:type="dxa"/>
          </w:tcPr>
          <w:p w14:paraId="701E3BED" w14:textId="732CAD9C" w:rsidR="00DA3306" w:rsidRPr="00F01347" w:rsidRDefault="00DA3306" w:rsidP="00DA3306">
            <w:pPr>
              <w:pStyle w:val="texto0"/>
              <w:spacing w:line="224"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UV detector/diode array (PDA). </w:t>
            </w:r>
            <w:r w:rsidRPr="00F01347">
              <w:rPr>
                <w:rFonts w:ascii="Verdana" w:hAnsi="Verdana"/>
                <w:color w:val="000000"/>
                <w:sz w:val="16"/>
                <w:szCs w:val="16"/>
                <w:lang w:val="en-US"/>
              </w:rPr>
              <w:t xml:space="preserve">With a wavelength </w:t>
            </w:r>
            <w:r w:rsidRPr="00F01347">
              <w:rPr>
                <w:rFonts w:ascii="Verdana" w:hAnsi="Verdana"/>
                <w:color w:val="000000"/>
                <w:sz w:val="16"/>
                <w:szCs w:val="16"/>
                <w:lang w:val="en-US" w:eastAsia="es-MX"/>
              </w:rPr>
              <w:t xml:space="preserve">λ </w:t>
            </w:r>
            <w:r w:rsidRPr="00F01347">
              <w:rPr>
                <w:rFonts w:ascii="Verdana" w:hAnsi="Verdana"/>
                <w:color w:val="000000"/>
                <w:sz w:val="16"/>
                <w:szCs w:val="16"/>
                <w:lang w:val="en-US"/>
              </w:rPr>
              <w:t xml:space="preserve">=238 nm including background correction. The </w:t>
            </w:r>
            <w:r w:rsidRPr="00F01347">
              <w:rPr>
                <w:rFonts w:ascii="Verdana" w:hAnsi="Verdana"/>
                <w:sz w:val="16"/>
                <w:szCs w:val="16"/>
                <w:lang w:val="en-US"/>
              </w:rPr>
              <w:t xml:space="preserve">wavelength </w:t>
            </w:r>
            <w:r w:rsidRPr="00F01347">
              <w:rPr>
                <w:rFonts w:ascii="Verdana" w:hAnsi="Verdana"/>
                <w:color w:val="000000"/>
                <w:sz w:val="16"/>
                <w:szCs w:val="16"/>
                <w:lang w:val="en-US"/>
              </w:rPr>
              <w:t xml:space="preserve">range of the PDA should be 200 to </w:t>
            </w:r>
            <w:r w:rsidRPr="00F01347">
              <w:rPr>
                <w:rFonts w:ascii="Verdana" w:hAnsi="Verdana"/>
                <w:sz w:val="16"/>
                <w:szCs w:val="16"/>
                <w:lang w:val="en-US"/>
              </w:rPr>
              <w:t>300 nm. The limit of detection (LOD) for the system should be ≤ 0.1 ng/µl (signal-to-noise ratio=3) and the limit of quantification (LOQ) should be ≤ 0.2 ng/µl (signal-to-noise ratio= 6) for each microcystin (using a standard solution).</w:t>
            </w:r>
          </w:p>
        </w:tc>
      </w:tr>
      <w:tr w:rsidR="00DA3306" w:rsidRPr="00F01347" w14:paraId="604BB83F" w14:textId="372C90C8" w:rsidTr="008D6E01">
        <w:tc>
          <w:tcPr>
            <w:tcW w:w="4675" w:type="dxa"/>
          </w:tcPr>
          <w:p w14:paraId="75B29D5C"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b/>
                <w:sz w:val="16"/>
                <w:szCs w:val="16"/>
              </w:rPr>
              <w:t>Dispositivo de calefacción con control de temperatura y unidad de suministro de gas de nitrógeno</w:t>
            </w:r>
            <w:r w:rsidRPr="00F01347">
              <w:rPr>
                <w:rFonts w:ascii="Verdana" w:hAnsi="Verdana"/>
                <w:sz w:val="16"/>
                <w:szCs w:val="16"/>
              </w:rPr>
              <w:t>. Con las siguientes características: Bloqueo de temperatura 30 a 50°C; temperatura del gas ~20° C; pureza de gas ≥ 99.996%.</w:t>
            </w:r>
          </w:p>
        </w:tc>
        <w:tc>
          <w:tcPr>
            <w:tcW w:w="4675" w:type="dxa"/>
          </w:tcPr>
          <w:p w14:paraId="43BB2498" w14:textId="3E8CE1CF"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Heating device with temperature control and nitrogen gas supply unit</w:t>
            </w:r>
            <w:r w:rsidR="003E1BA9" w:rsidRPr="00F01347">
              <w:rPr>
                <w:rFonts w:ascii="Verdana" w:hAnsi="Verdana"/>
                <w:b/>
                <w:sz w:val="16"/>
                <w:szCs w:val="16"/>
                <w:lang w:val="en-US"/>
              </w:rPr>
              <w:t>.</w:t>
            </w:r>
            <w:r w:rsidRPr="00F01347">
              <w:rPr>
                <w:rFonts w:ascii="Verdana" w:hAnsi="Verdana"/>
                <w:sz w:val="16"/>
                <w:szCs w:val="16"/>
                <w:lang w:val="en-US"/>
              </w:rPr>
              <w:t xml:space="preserve"> With the following features: Temperature lock 30 to 50°C; gas temperature ~20° C; gas purity ≥ 99.996%.</w:t>
            </w:r>
          </w:p>
        </w:tc>
      </w:tr>
      <w:tr w:rsidR="00DA3306" w:rsidRPr="00F01347" w14:paraId="106E52DC" w14:textId="1ACDE5D6" w:rsidTr="008D6E01">
        <w:tc>
          <w:tcPr>
            <w:tcW w:w="4675" w:type="dxa"/>
          </w:tcPr>
          <w:p w14:paraId="53E84365" w14:textId="77777777" w:rsidR="00DA3306" w:rsidRPr="00F01347" w:rsidRDefault="00DA3306" w:rsidP="00DA3306">
            <w:pPr>
              <w:pStyle w:val="texto0"/>
              <w:spacing w:line="224" w:lineRule="exact"/>
              <w:ind w:firstLine="0"/>
              <w:rPr>
                <w:rFonts w:ascii="Verdana" w:hAnsi="Verdana"/>
                <w:sz w:val="16"/>
                <w:szCs w:val="16"/>
              </w:rPr>
            </w:pPr>
            <w:r w:rsidRPr="00F01347">
              <w:rPr>
                <w:rFonts w:ascii="Verdana" w:hAnsi="Verdana"/>
                <w:b/>
                <w:sz w:val="16"/>
                <w:szCs w:val="16"/>
              </w:rPr>
              <w:lastRenderedPageBreak/>
              <w:t>Horno de columna HPLC.</w:t>
            </w:r>
            <w:r w:rsidRPr="00F01347">
              <w:rPr>
                <w:rFonts w:ascii="Verdana" w:hAnsi="Verdana"/>
                <w:sz w:val="16"/>
                <w:szCs w:val="16"/>
              </w:rPr>
              <w:t xml:space="preserve"> Con unidad de control de temperatura (35 °C).</w:t>
            </w:r>
          </w:p>
        </w:tc>
        <w:tc>
          <w:tcPr>
            <w:tcW w:w="4675" w:type="dxa"/>
          </w:tcPr>
          <w:p w14:paraId="67F6FFA8" w14:textId="56F9E028" w:rsidR="00DA3306" w:rsidRPr="00F01347" w:rsidRDefault="00DA3306" w:rsidP="00DA3306">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HPLC column oven. </w:t>
            </w:r>
            <w:r w:rsidRPr="00F01347">
              <w:rPr>
                <w:rFonts w:ascii="Verdana" w:hAnsi="Verdana"/>
                <w:sz w:val="16"/>
                <w:szCs w:val="16"/>
                <w:lang w:val="en-US"/>
              </w:rPr>
              <w:t>With temperature control unit (35 °C).</w:t>
            </w:r>
          </w:p>
        </w:tc>
      </w:tr>
      <w:tr w:rsidR="00DA3306" w:rsidRPr="00F01347" w14:paraId="4A1DD1A4" w14:textId="7E13443D" w:rsidTr="008D6E01">
        <w:tc>
          <w:tcPr>
            <w:tcW w:w="4675" w:type="dxa"/>
          </w:tcPr>
          <w:p w14:paraId="736D7B3D" w14:textId="77777777" w:rsidR="00DA3306" w:rsidRPr="00F01347" w:rsidRDefault="00DA3306" w:rsidP="00DA3306">
            <w:pPr>
              <w:pStyle w:val="texto0"/>
              <w:spacing w:after="60" w:line="214" w:lineRule="exact"/>
              <w:ind w:firstLine="0"/>
              <w:rPr>
                <w:rFonts w:ascii="Verdana" w:hAnsi="Verdana"/>
                <w:sz w:val="16"/>
                <w:szCs w:val="16"/>
              </w:rPr>
            </w:pPr>
            <w:r w:rsidRPr="00F01347">
              <w:rPr>
                <w:rFonts w:ascii="Verdana" w:hAnsi="Verdana"/>
                <w:b/>
                <w:color w:val="000000"/>
                <w:sz w:val="16"/>
                <w:szCs w:val="16"/>
              </w:rPr>
              <w:t xml:space="preserve">Papel de filtro de microfibra de vidrio. </w:t>
            </w:r>
            <w:r w:rsidRPr="00F01347">
              <w:rPr>
                <w:rFonts w:ascii="Verdana" w:hAnsi="Verdana"/>
                <w:color w:val="000000"/>
                <w:sz w:val="16"/>
                <w:szCs w:val="16"/>
              </w:rPr>
              <w:t xml:space="preserve">Tamaño de retención de 1 a 2 µm. </w:t>
            </w:r>
            <w:r w:rsidRPr="00F01347">
              <w:rPr>
                <w:rFonts w:ascii="Verdana" w:hAnsi="Verdana"/>
                <w:sz w:val="16"/>
                <w:szCs w:val="16"/>
              </w:rPr>
              <w:t>El diámetro máximo del filtro debe ser de 47mm. La filtración es necesaria sólo para el análisis de las muestras que contienen fitoplancton.</w:t>
            </w:r>
          </w:p>
        </w:tc>
        <w:tc>
          <w:tcPr>
            <w:tcW w:w="4675" w:type="dxa"/>
          </w:tcPr>
          <w:p w14:paraId="442DDAE9" w14:textId="4B194D46" w:rsidR="00DA3306" w:rsidRPr="00F01347" w:rsidRDefault="00DA3306" w:rsidP="00DA3306">
            <w:pPr>
              <w:pStyle w:val="texto0"/>
              <w:spacing w:after="60" w:line="214" w:lineRule="exact"/>
              <w:ind w:firstLine="0"/>
              <w:rPr>
                <w:rFonts w:ascii="Verdana" w:hAnsi="Verdana"/>
                <w:b/>
                <w:color w:val="000000"/>
                <w:sz w:val="16"/>
                <w:szCs w:val="16"/>
                <w:lang w:val="en-US"/>
              </w:rPr>
            </w:pPr>
            <w:r w:rsidRPr="00F01347">
              <w:rPr>
                <w:rFonts w:ascii="Verdana" w:hAnsi="Verdana"/>
                <w:b/>
                <w:color w:val="000000"/>
                <w:sz w:val="16"/>
                <w:szCs w:val="16"/>
                <w:lang w:val="en-US"/>
              </w:rPr>
              <w:t xml:space="preserve">Glass microfiber filter paper. </w:t>
            </w:r>
            <w:r w:rsidRPr="00F01347">
              <w:rPr>
                <w:rFonts w:ascii="Verdana" w:hAnsi="Verdana"/>
                <w:color w:val="000000"/>
                <w:sz w:val="16"/>
                <w:szCs w:val="16"/>
                <w:lang w:val="en-US"/>
              </w:rPr>
              <w:t xml:space="preserve">Retention size from 1 to 2 µm. </w:t>
            </w:r>
            <w:r w:rsidRPr="00F01347">
              <w:rPr>
                <w:rFonts w:ascii="Verdana" w:hAnsi="Verdana"/>
                <w:sz w:val="16"/>
                <w:szCs w:val="16"/>
                <w:lang w:val="en-US"/>
              </w:rPr>
              <w:t>The maximum diameter of the filter must be 47mm. Filtration is necessary only for the analysis of samples containing phytoplankton.</w:t>
            </w:r>
          </w:p>
        </w:tc>
      </w:tr>
      <w:tr w:rsidR="00DA3306" w:rsidRPr="00F01347" w14:paraId="275AA669" w14:textId="0B2B2E34" w:rsidTr="008D6E01">
        <w:tc>
          <w:tcPr>
            <w:tcW w:w="4675" w:type="dxa"/>
          </w:tcPr>
          <w:p w14:paraId="75004B6E" w14:textId="77777777" w:rsidR="00DA3306" w:rsidRPr="00F01347" w:rsidRDefault="00DA3306" w:rsidP="00DA3306">
            <w:pPr>
              <w:pStyle w:val="texto0"/>
              <w:spacing w:after="60" w:line="214" w:lineRule="exact"/>
              <w:ind w:firstLine="0"/>
              <w:rPr>
                <w:rFonts w:ascii="Verdana" w:hAnsi="Verdana"/>
                <w:sz w:val="16"/>
                <w:szCs w:val="16"/>
              </w:rPr>
            </w:pPr>
            <w:r w:rsidRPr="00F01347">
              <w:rPr>
                <w:rFonts w:ascii="Verdana" w:hAnsi="Verdana"/>
                <w:b/>
                <w:sz w:val="16"/>
                <w:szCs w:val="16"/>
              </w:rPr>
              <w:t>Sonda ultrasónica.</w:t>
            </w:r>
            <w:r w:rsidRPr="00F01347">
              <w:rPr>
                <w:rFonts w:ascii="Verdana" w:hAnsi="Verdana"/>
                <w:sz w:val="16"/>
                <w:szCs w:val="16"/>
              </w:rPr>
              <w:t xml:space="preserve"> Con características de ~60W, ~20 kHz</w:t>
            </w:r>
          </w:p>
        </w:tc>
        <w:tc>
          <w:tcPr>
            <w:tcW w:w="4675" w:type="dxa"/>
          </w:tcPr>
          <w:p w14:paraId="12984860" w14:textId="24B6621B" w:rsidR="00DA3306" w:rsidRPr="00F01347" w:rsidRDefault="00DA3306" w:rsidP="00DA3306">
            <w:pPr>
              <w:pStyle w:val="texto0"/>
              <w:spacing w:after="60" w:line="214" w:lineRule="exact"/>
              <w:ind w:firstLine="0"/>
              <w:rPr>
                <w:rFonts w:ascii="Verdana" w:hAnsi="Verdana"/>
                <w:b/>
                <w:sz w:val="16"/>
                <w:szCs w:val="16"/>
                <w:lang w:val="en-US"/>
              </w:rPr>
            </w:pPr>
            <w:r w:rsidRPr="00F01347">
              <w:rPr>
                <w:rFonts w:ascii="Verdana" w:hAnsi="Verdana"/>
                <w:b/>
                <w:sz w:val="16"/>
                <w:szCs w:val="16"/>
                <w:lang w:val="en-US"/>
              </w:rPr>
              <w:t xml:space="preserve">Ultrasonic probe. </w:t>
            </w:r>
            <w:r w:rsidRPr="00F01347">
              <w:rPr>
                <w:rFonts w:ascii="Verdana" w:hAnsi="Verdana"/>
                <w:sz w:val="16"/>
                <w:szCs w:val="16"/>
                <w:lang w:val="en-US"/>
              </w:rPr>
              <w:t>With characteristics of ~60W, ~20 kHz</w:t>
            </w:r>
          </w:p>
        </w:tc>
      </w:tr>
      <w:tr w:rsidR="00DA3306" w:rsidRPr="00F01347" w14:paraId="5C6AAEE0" w14:textId="1E215794" w:rsidTr="008D6E01">
        <w:tc>
          <w:tcPr>
            <w:tcW w:w="4675" w:type="dxa"/>
          </w:tcPr>
          <w:p w14:paraId="5BAECFE7" w14:textId="77777777" w:rsidR="00DA3306" w:rsidRPr="00F01347" w:rsidRDefault="00DA3306" w:rsidP="00DA3306">
            <w:pPr>
              <w:pStyle w:val="texto0"/>
              <w:spacing w:after="60" w:line="214" w:lineRule="exact"/>
              <w:ind w:firstLine="0"/>
              <w:rPr>
                <w:rFonts w:ascii="Verdana" w:hAnsi="Verdana"/>
                <w:sz w:val="16"/>
                <w:szCs w:val="16"/>
              </w:rPr>
            </w:pPr>
            <w:r w:rsidRPr="00F01347">
              <w:rPr>
                <w:rFonts w:ascii="Verdana" w:hAnsi="Verdana"/>
                <w:b/>
                <w:sz w:val="16"/>
                <w:szCs w:val="16"/>
              </w:rPr>
              <w:t>Sistema de inyección.</w:t>
            </w:r>
            <w:r w:rsidRPr="00F01347">
              <w:rPr>
                <w:rFonts w:ascii="Verdana" w:hAnsi="Verdana"/>
                <w:sz w:val="16"/>
                <w:szCs w:val="16"/>
              </w:rPr>
              <w:t xml:space="preserve"> Con rango de volumen de inyección de 5 a 20µl.</w:t>
            </w:r>
          </w:p>
        </w:tc>
        <w:tc>
          <w:tcPr>
            <w:tcW w:w="4675" w:type="dxa"/>
          </w:tcPr>
          <w:p w14:paraId="002980F7" w14:textId="03DE59F6" w:rsidR="00DA3306" w:rsidRPr="00F01347" w:rsidRDefault="00DA3306" w:rsidP="00DA3306">
            <w:pPr>
              <w:pStyle w:val="texto0"/>
              <w:spacing w:after="60" w:line="214" w:lineRule="exact"/>
              <w:ind w:firstLine="0"/>
              <w:rPr>
                <w:rFonts w:ascii="Verdana" w:hAnsi="Verdana"/>
                <w:b/>
                <w:sz w:val="16"/>
                <w:szCs w:val="16"/>
                <w:lang w:val="en-US"/>
              </w:rPr>
            </w:pPr>
            <w:r w:rsidRPr="00F01347">
              <w:rPr>
                <w:rFonts w:ascii="Verdana" w:hAnsi="Verdana"/>
                <w:b/>
                <w:sz w:val="16"/>
                <w:szCs w:val="16"/>
                <w:lang w:val="en-US"/>
              </w:rPr>
              <w:t xml:space="preserve">Injection system. </w:t>
            </w:r>
            <w:r w:rsidRPr="00F01347">
              <w:rPr>
                <w:rFonts w:ascii="Verdana" w:hAnsi="Verdana"/>
                <w:sz w:val="16"/>
                <w:szCs w:val="16"/>
                <w:lang w:val="en-US"/>
              </w:rPr>
              <w:t>With injection volume range from 5 to 20µl.</w:t>
            </w:r>
          </w:p>
        </w:tc>
      </w:tr>
      <w:tr w:rsidR="00DA3306" w:rsidRPr="00F01347" w14:paraId="0784992F" w14:textId="5EEEE3F8" w:rsidTr="008D6E01">
        <w:tc>
          <w:tcPr>
            <w:tcW w:w="4675" w:type="dxa"/>
          </w:tcPr>
          <w:p w14:paraId="03C3BF0A" w14:textId="77777777" w:rsidR="00DA3306" w:rsidRPr="00F01347" w:rsidRDefault="00DA3306" w:rsidP="00DA3306">
            <w:pPr>
              <w:pStyle w:val="texto0"/>
              <w:spacing w:after="60" w:line="214" w:lineRule="exact"/>
              <w:ind w:firstLine="0"/>
              <w:rPr>
                <w:rFonts w:ascii="Verdana" w:hAnsi="Verdana"/>
                <w:sz w:val="16"/>
                <w:szCs w:val="16"/>
              </w:rPr>
            </w:pPr>
            <w:r w:rsidRPr="00F01347">
              <w:rPr>
                <w:rFonts w:ascii="Verdana" w:hAnsi="Verdana"/>
                <w:b/>
                <w:sz w:val="16"/>
                <w:szCs w:val="16"/>
              </w:rPr>
              <w:t xml:space="preserve">Unidad de filtro desechable. </w:t>
            </w:r>
            <w:r w:rsidRPr="00F01347">
              <w:rPr>
                <w:rFonts w:ascii="Verdana" w:hAnsi="Verdana"/>
                <w:sz w:val="16"/>
                <w:szCs w:val="16"/>
              </w:rPr>
              <w:t xml:space="preserve">Tamaño de poro &lt;0.45 µm Antes de usarlo, verifique a través de una prueba de recuperación que no existen pérdidas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durante la filtración. Existe la posibilidad de que diversos materiales puedan retener </w:t>
            </w:r>
            <w:proofErr w:type="spellStart"/>
            <w:r w:rsidRPr="00F01347">
              <w:rPr>
                <w:rFonts w:ascii="Verdana" w:hAnsi="Verdana"/>
                <w:sz w:val="16"/>
                <w:szCs w:val="16"/>
              </w:rPr>
              <w:t>microcistinas</w:t>
            </w:r>
            <w:proofErr w:type="spellEnd"/>
            <w:r w:rsidRPr="00F01347">
              <w:rPr>
                <w:rFonts w:ascii="Verdana" w:hAnsi="Verdana"/>
                <w:sz w:val="16"/>
                <w:szCs w:val="16"/>
              </w:rPr>
              <w:t>. Opcionalmente puede utilizarse una microcentrífuga para evitar pérdidas.</w:t>
            </w:r>
          </w:p>
        </w:tc>
        <w:tc>
          <w:tcPr>
            <w:tcW w:w="4675" w:type="dxa"/>
          </w:tcPr>
          <w:p w14:paraId="0DAC96BC" w14:textId="79340FED" w:rsidR="00DA3306" w:rsidRPr="00F01347" w:rsidRDefault="00DA3306" w:rsidP="00DA3306">
            <w:pPr>
              <w:pStyle w:val="texto0"/>
              <w:spacing w:after="60" w:line="214" w:lineRule="exact"/>
              <w:ind w:firstLine="0"/>
              <w:rPr>
                <w:rFonts w:ascii="Verdana" w:hAnsi="Verdana"/>
                <w:b/>
                <w:sz w:val="16"/>
                <w:szCs w:val="16"/>
                <w:lang w:val="en-US"/>
              </w:rPr>
            </w:pPr>
            <w:r w:rsidRPr="00F01347">
              <w:rPr>
                <w:rFonts w:ascii="Verdana" w:hAnsi="Verdana"/>
                <w:b/>
                <w:sz w:val="16"/>
                <w:szCs w:val="16"/>
                <w:lang w:val="en-US"/>
              </w:rPr>
              <w:t xml:space="preserve">Disposable filter unit. </w:t>
            </w:r>
            <w:r w:rsidRPr="00F01347">
              <w:rPr>
                <w:rFonts w:ascii="Verdana" w:hAnsi="Verdana"/>
                <w:sz w:val="16"/>
                <w:szCs w:val="16"/>
                <w:lang w:val="en-US"/>
              </w:rPr>
              <w:t xml:space="preserve">Pore size &lt;0.45 µm Before use, verify through a recovery test that there are no losses of microcystin during filtration. There is a possibility that various materials can retain </w:t>
            </w:r>
            <w:proofErr w:type="spellStart"/>
            <w:r w:rsidRPr="00F01347">
              <w:rPr>
                <w:rFonts w:ascii="Verdana" w:hAnsi="Verdana"/>
                <w:sz w:val="16"/>
                <w:szCs w:val="16"/>
                <w:lang w:val="en-US"/>
              </w:rPr>
              <w:t>microcystins</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Optionally, a microcentrifuge can be used to avoid losses.</w:t>
            </w:r>
          </w:p>
        </w:tc>
      </w:tr>
      <w:tr w:rsidR="00DA3306" w:rsidRPr="00F01347" w14:paraId="53EC0A60" w14:textId="292B957F" w:rsidTr="008D6E01">
        <w:tc>
          <w:tcPr>
            <w:tcW w:w="4675" w:type="dxa"/>
          </w:tcPr>
          <w:p w14:paraId="04F55C8C" w14:textId="77777777" w:rsidR="00DA3306" w:rsidRPr="00F01347" w:rsidRDefault="00DA3306" w:rsidP="00DA3306">
            <w:pPr>
              <w:pStyle w:val="texto0"/>
              <w:spacing w:after="60" w:line="214" w:lineRule="exact"/>
              <w:ind w:firstLine="0"/>
              <w:rPr>
                <w:rFonts w:ascii="Verdana" w:hAnsi="Verdana"/>
                <w:b/>
                <w:sz w:val="16"/>
                <w:szCs w:val="16"/>
              </w:rPr>
            </w:pPr>
            <w:r w:rsidRPr="00F01347">
              <w:rPr>
                <w:rFonts w:ascii="Verdana" w:hAnsi="Verdana"/>
                <w:b/>
                <w:sz w:val="16"/>
                <w:szCs w:val="16"/>
              </w:rPr>
              <w:t>B.1.3.5 Reactivos y soluciones</w:t>
            </w:r>
          </w:p>
        </w:tc>
        <w:tc>
          <w:tcPr>
            <w:tcW w:w="4675" w:type="dxa"/>
          </w:tcPr>
          <w:p w14:paraId="0812F2B8" w14:textId="72444534" w:rsidR="00DA3306" w:rsidRPr="00F01347" w:rsidRDefault="00DA3306" w:rsidP="00DA3306">
            <w:pPr>
              <w:pStyle w:val="texto0"/>
              <w:spacing w:after="60" w:line="214" w:lineRule="exact"/>
              <w:ind w:firstLine="0"/>
              <w:rPr>
                <w:rFonts w:ascii="Verdana" w:hAnsi="Verdana"/>
                <w:b/>
                <w:sz w:val="16"/>
                <w:szCs w:val="16"/>
                <w:lang w:val="en-US"/>
              </w:rPr>
            </w:pPr>
            <w:r w:rsidRPr="00F01347">
              <w:rPr>
                <w:rFonts w:ascii="Verdana" w:hAnsi="Verdana"/>
                <w:b/>
                <w:sz w:val="16"/>
                <w:szCs w:val="16"/>
                <w:lang w:val="en-US"/>
              </w:rPr>
              <w:t>B.1.3.5 Reagents and solutions</w:t>
            </w:r>
          </w:p>
        </w:tc>
      </w:tr>
      <w:tr w:rsidR="00DA3306" w:rsidRPr="00F01347" w14:paraId="1D3A9DB0" w14:textId="393D9E7C" w:rsidTr="008D6E01">
        <w:tc>
          <w:tcPr>
            <w:tcW w:w="4675" w:type="dxa"/>
          </w:tcPr>
          <w:p w14:paraId="2156E276" w14:textId="77777777" w:rsidR="00DA3306" w:rsidRPr="00F01347" w:rsidRDefault="00DA3306" w:rsidP="00DA3306">
            <w:pPr>
              <w:pStyle w:val="texto0"/>
              <w:spacing w:after="60" w:line="214" w:lineRule="exact"/>
              <w:ind w:firstLine="0"/>
              <w:rPr>
                <w:rFonts w:ascii="Verdana" w:hAnsi="Verdana"/>
                <w:sz w:val="16"/>
                <w:szCs w:val="16"/>
              </w:rPr>
            </w:pPr>
            <w:r w:rsidRPr="00F01347">
              <w:rPr>
                <w:rFonts w:ascii="Verdana" w:hAnsi="Verdana"/>
                <w:sz w:val="16"/>
                <w:szCs w:val="16"/>
              </w:rPr>
              <w:t>Use solamente reactivos de grado analítico reconocido y agua con grado 3, a menos que se especifique lo contrario.</w:t>
            </w:r>
          </w:p>
        </w:tc>
        <w:tc>
          <w:tcPr>
            <w:tcW w:w="4675" w:type="dxa"/>
          </w:tcPr>
          <w:p w14:paraId="0BF5C3BB" w14:textId="401FD3DA" w:rsidR="00DA3306" w:rsidRPr="00F01347" w:rsidRDefault="00DA3306" w:rsidP="00DA3306">
            <w:pPr>
              <w:pStyle w:val="texto0"/>
              <w:spacing w:after="60" w:line="214" w:lineRule="exact"/>
              <w:ind w:firstLine="0"/>
              <w:rPr>
                <w:rFonts w:ascii="Verdana" w:hAnsi="Verdana"/>
                <w:sz w:val="16"/>
                <w:szCs w:val="16"/>
                <w:lang w:val="en-US"/>
              </w:rPr>
            </w:pPr>
            <w:r w:rsidRPr="00F01347">
              <w:rPr>
                <w:rFonts w:ascii="Verdana" w:hAnsi="Verdana"/>
                <w:sz w:val="16"/>
                <w:szCs w:val="16"/>
                <w:lang w:val="en-US"/>
              </w:rPr>
              <w:t>Use only reagents of recognized analytical grade and grade 3 water unless otherwise specified.</w:t>
            </w:r>
          </w:p>
        </w:tc>
      </w:tr>
      <w:tr w:rsidR="00DA3306" w:rsidRPr="00F01347" w14:paraId="249B3751" w14:textId="4820FD9A" w:rsidTr="008D6E01">
        <w:tc>
          <w:tcPr>
            <w:tcW w:w="4675" w:type="dxa"/>
          </w:tcPr>
          <w:p w14:paraId="6CC03417" w14:textId="77777777" w:rsidR="00DA3306" w:rsidRPr="00F01347" w:rsidRDefault="00DA3306" w:rsidP="00DA3306">
            <w:pPr>
              <w:pStyle w:val="texto0"/>
              <w:spacing w:after="60" w:line="214" w:lineRule="exact"/>
              <w:ind w:firstLine="0"/>
              <w:rPr>
                <w:rFonts w:ascii="Verdana" w:hAnsi="Verdana"/>
                <w:sz w:val="16"/>
                <w:szCs w:val="16"/>
              </w:rPr>
            </w:pPr>
            <w:r w:rsidRPr="00F01347">
              <w:rPr>
                <w:rFonts w:ascii="Verdana" w:hAnsi="Verdana"/>
                <w:b/>
                <w:sz w:val="16"/>
                <w:szCs w:val="16"/>
              </w:rPr>
              <w:t>Acetonitrilo.</w:t>
            </w:r>
            <w:r w:rsidRPr="00F01347">
              <w:rPr>
                <w:rFonts w:ascii="Verdana" w:hAnsi="Verdana"/>
                <w:sz w:val="16"/>
                <w:szCs w:val="16"/>
              </w:rPr>
              <w:t xml:space="preserve"> CH</w:t>
            </w:r>
            <w:r w:rsidRPr="00F01347">
              <w:rPr>
                <w:rFonts w:ascii="Verdana" w:hAnsi="Verdana"/>
                <w:sz w:val="16"/>
                <w:szCs w:val="16"/>
                <w:vertAlign w:val="subscript"/>
              </w:rPr>
              <w:t>3</w:t>
            </w:r>
            <w:r w:rsidRPr="00F01347">
              <w:rPr>
                <w:rFonts w:ascii="Verdana" w:hAnsi="Verdana"/>
                <w:sz w:val="16"/>
                <w:szCs w:val="16"/>
              </w:rPr>
              <w:t>CN, grado HPLC</w:t>
            </w:r>
          </w:p>
        </w:tc>
        <w:tc>
          <w:tcPr>
            <w:tcW w:w="4675" w:type="dxa"/>
          </w:tcPr>
          <w:p w14:paraId="34ADC986" w14:textId="200F24B2" w:rsidR="00DA3306" w:rsidRPr="00F01347" w:rsidRDefault="00DA3306" w:rsidP="00DA3306">
            <w:pPr>
              <w:pStyle w:val="texto0"/>
              <w:spacing w:after="60" w:line="214" w:lineRule="exact"/>
              <w:ind w:firstLine="0"/>
              <w:rPr>
                <w:rFonts w:ascii="Verdana" w:hAnsi="Verdana"/>
                <w:b/>
                <w:sz w:val="16"/>
                <w:szCs w:val="16"/>
                <w:lang w:val="en-US"/>
              </w:rPr>
            </w:pPr>
            <w:r w:rsidRPr="00F01347">
              <w:rPr>
                <w:rFonts w:ascii="Verdana" w:hAnsi="Verdana"/>
                <w:b/>
                <w:sz w:val="16"/>
                <w:szCs w:val="16"/>
                <w:lang w:val="en-US"/>
              </w:rPr>
              <w:t xml:space="preserve">Acetonitrile. </w:t>
            </w:r>
            <w:r w:rsidRPr="00F01347">
              <w:rPr>
                <w:rFonts w:ascii="Verdana" w:hAnsi="Verdana"/>
                <w:sz w:val="16"/>
                <w:szCs w:val="16"/>
                <w:lang w:val="en-US"/>
              </w:rPr>
              <w:t xml:space="preserve">CH </w:t>
            </w:r>
            <w:r w:rsidRPr="00F01347">
              <w:rPr>
                <w:rFonts w:ascii="Verdana" w:hAnsi="Verdana"/>
                <w:sz w:val="16"/>
                <w:szCs w:val="16"/>
                <w:vertAlign w:val="subscript"/>
                <w:lang w:val="en-US"/>
              </w:rPr>
              <w:t xml:space="preserve">3 </w:t>
            </w:r>
            <w:r w:rsidRPr="00F01347">
              <w:rPr>
                <w:rFonts w:ascii="Verdana" w:hAnsi="Verdana"/>
                <w:sz w:val="16"/>
                <w:szCs w:val="16"/>
                <w:lang w:val="en-US"/>
              </w:rPr>
              <w:t>CN, HPLC grade</w:t>
            </w:r>
          </w:p>
        </w:tc>
      </w:tr>
      <w:tr w:rsidR="00DA3306" w:rsidRPr="00F01347" w14:paraId="01B7597D" w14:textId="594701A3" w:rsidTr="008D6E01">
        <w:tc>
          <w:tcPr>
            <w:tcW w:w="4675" w:type="dxa"/>
          </w:tcPr>
          <w:p w14:paraId="71A5D3B2" w14:textId="77777777" w:rsidR="00DA3306" w:rsidRPr="00F01347" w:rsidRDefault="00DA3306" w:rsidP="00DA3306">
            <w:pPr>
              <w:pStyle w:val="texto0"/>
              <w:spacing w:after="60" w:line="214" w:lineRule="exact"/>
              <w:ind w:firstLine="0"/>
              <w:rPr>
                <w:rFonts w:ascii="Verdana" w:hAnsi="Verdana"/>
                <w:sz w:val="16"/>
                <w:szCs w:val="16"/>
              </w:rPr>
            </w:pPr>
            <w:r w:rsidRPr="00F01347">
              <w:rPr>
                <w:rFonts w:ascii="Verdana" w:hAnsi="Verdana"/>
                <w:b/>
                <w:sz w:val="16"/>
                <w:szCs w:val="16"/>
              </w:rPr>
              <w:t xml:space="preserve">Ácido de </w:t>
            </w:r>
            <w:proofErr w:type="spellStart"/>
            <w:r w:rsidRPr="00F01347">
              <w:rPr>
                <w:rFonts w:ascii="Verdana" w:hAnsi="Verdana"/>
                <w:b/>
                <w:sz w:val="16"/>
                <w:szCs w:val="16"/>
              </w:rPr>
              <w:t>trifluoroacético</w:t>
            </w:r>
            <w:proofErr w:type="spellEnd"/>
            <w:r w:rsidRPr="00F01347">
              <w:rPr>
                <w:rFonts w:ascii="Verdana" w:hAnsi="Verdana"/>
                <w:b/>
                <w:sz w:val="16"/>
                <w:szCs w:val="16"/>
              </w:rPr>
              <w:t>.</w:t>
            </w:r>
            <w:r w:rsidRPr="00F01347">
              <w:rPr>
                <w:rFonts w:ascii="Verdana" w:hAnsi="Verdana"/>
                <w:sz w:val="16"/>
                <w:szCs w:val="16"/>
              </w:rPr>
              <w:t xml:space="preserve"> TFA, CF</w:t>
            </w:r>
            <w:r w:rsidRPr="00F01347">
              <w:rPr>
                <w:rFonts w:ascii="Verdana" w:hAnsi="Verdana"/>
                <w:sz w:val="16"/>
                <w:szCs w:val="16"/>
                <w:vertAlign w:val="subscript"/>
              </w:rPr>
              <w:t>3</w:t>
            </w:r>
            <w:r w:rsidRPr="00F01347">
              <w:rPr>
                <w:rFonts w:ascii="Verdana" w:hAnsi="Verdana"/>
                <w:sz w:val="16"/>
                <w:szCs w:val="16"/>
              </w:rPr>
              <w:t>COOH.</w:t>
            </w:r>
          </w:p>
        </w:tc>
        <w:tc>
          <w:tcPr>
            <w:tcW w:w="4675" w:type="dxa"/>
          </w:tcPr>
          <w:p w14:paraId="14169F90" w14:textId="7623FAAB" w:rsidR="00DA3306" w:rsidRPr="00F01347" w:rsidRDefault="00DA3306" w:rsidP="00DA3306">
            <w:pPr>
              <w:pStyle w:val="texto0"/>
              <w:spacing w:after="60" w:line="214" w:lineRule="exact"/>
              <w:ind w:firstLine="0"/>
              <w:rPr>
                <w:rFonts w:ascii="Verdana" w:hAnsi="Verdana"/>
                <w:b/>
                <w:sz w:val="16"/>
                <w:szCs w:val="16"/>
                <w:lang w:val="en-US"/>
              </w:rPr>
            </w:pPr>
            <w:r w:rsidRPr="00F01347">
              <w:rPr>
                <w:rFonts w:ascii="Verdana" w:hAnsi="Verdana"/>
                <w:b/>
                <w:sz w:val="16"/>
                <w:szCs w:val="16"/>
                <w:lang w:val="en-US"/>
              </w:rPr>
              <w:t>Trifluoroacetic acid</w:t>
            </w:r>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 xml:space="preserve">TFA, CF </w:t>
            </w:r>
            <w:r w:rsidRPr="00F01347">
              <w:rPr>
                <w:rFonts w:ascii="Verdana" w:hAnsi="Verdana"/>
                <w:sz w:val="16"/>
                <w:szCs w:val="16"/>
                <w:vertAlign w:val="subscript"/>
                <w:lang w:val="en-US"/>
              </w:rPr>
              <w:t xml:space="preserve">3 </w:t>
            </w:r>
            <w:r w:rsidRPr="00F01347">
              <w:rPr>
                <w:rFonts w:ascii="Verdana" w:hAnsi="Verdana"/>
                <w:sz w:val="16"/>
                <w:szCs w:val="16"/>
                <w:lang w:val="en-US"/>
              </w:rPr>
              <w:t>COOH.</w:t>
            </w:r>
          </w:p>
        </w:tc>
      </w:tr>
      <w:tr w:rsidR="00DA3306" w:rsidRPr="00F01347" w14:paraId="3EF911B9" w14:textId="047093B6" w:rsidTr="008D6E01">
        <w:tc>
          <w:tcPr>
            <w:tcW w:w="4675" w:type="dxa"/>
          </w:tcPr>
          <w:p w14:paraId="71F0D3C5" w14:textId="77777777" w:rsidR="00DA3306" w:rsidRPr="00F01347" w:rsidRDefault="00DA3306" w:rsidP="00DA3306">
            <w:pPr>
              <w:pStyle w:val="texto0"/>
              <w:spacing w:after="60" w:line="214" w:lineRule="exact"/>
              <w:ind w:firstLine="0"/>
              <w:rPr>
                <w:rFonts w:ascii="Verdana" w:hAnsi="Verdana"/>
                <w:sz w:val="16"/>
                <w:szCs w:val="16"/>
              </w:rPr>
            </w:pPr>
            <w:r w:rsidRPr="00F01347">
              <w:rPr>
                <w:rFonts w:ascii="Verdana" w:hAnsi="Verdana"/>
                <w:b/>
                <w:sz w:val="16"/>
                <w:szCs w:val="16"/>
              </w:rPr>
              <w:t>Gradiente de fase móvil HPLC</w:t>
            </w:r>
            <w:r w:rsidRPr="00F01347">
              <w:rPr>
                <w:rFonts w:ascii="Verdana" w:hAnsi="Verdana"/>
                <w:sz w:val="16"/>
                <w:szCs w:val="16"/>
              </w:rPr>
              <w:t>. Ejemplo en Tabla B.1.3-1, de este Apéndice.</w:t>
            </w:r>
          </w:p>
        </w:tc>
        <w:tc>
          <w:tcPr>
            <w:tcW w:w="4675" w:type="dxa"/>
          </w:tcPr>
          <w:p w14:paraId="6DDF65FC" w14:textId="0BE389A1" w:rsidR="00DA3306" w:rsidRPr="00F01347" w:rsidRDefault="00DA3306" w:rsidP="00DA3306">
            <w:pPr>
              <w:pStyle w:val="texto0"/>
              <w:spacing w:after="60" w:line="214" w:lineRule="exact"/>
              <w:ind w:firstLine="0"/>
              <w:rPr>
                <w:rFonts w:ascii="Verdana" w:hAnsi="Verdana"/>
                <w:b/>
                <w:sz w:val="16"/>
                <w:szCs w:val="16"/>
                <w:lang w:val="en-US"/>
              </w:rPr>
            </w:pPr>
            <w:r w:rsidRPr="00F01347">
              <w:rPr>
                <w:rFonts w:ascii="Verdana" w:hAnsi="Verdana"/>
                <w:b/>
                <w:sz w:val="16"/>
                <w:szCs w:val="16"/>
                <w:lang w:val="en-US"/>
              </w:rPr>
              <w:t>HPLC mobile phase gradient</w:t>
            </w:r>
            <w:r w:rsidR="003E1BA9" w:rsidRPr="00F01347">
              <w:rPr>
                <w:rFonts w:ascii="Verdana" w:hAnsi="Verdana"/>
                <w:b/>
                <w:sz w:val="16"/>
                <w:szCs w:val="16"/>
                <w:lang w:val="en-US"/>
              </w:rPr>
              <w:t>.</w:t>
            </w:r>
            <w:r w:rsidRPr="00F01347">
              <w:rPr>
                <w:rFonts w:ascii="Verdana" w:hAnsi="Verdana"/>
                <w:sz w:val="16"/>
                <w:szCs w:val="16"/>
                <w:lang w:val="en-US"/>
              </w:rPr>
              <w:t xml:space="preserve"> Example in Table B.1.3-1, of this Appendix.</w:t>
            </w:r>
          </w:p>
        </w:tc>
      </w:tr>
    </w:tbl>
    <w:p w14:paraId="6F773458" w14:textId="77777777" w:rsidR="00CA502B" w:rsidRPr="00F01347" w:rsidRDefault="00CA502B" w:rsidP="003A601B">
      <w:pPr>
        <w:pStyle w:val="texto0"/>
        <w:spacing w:line="214" w:lineRule="exact"/>
        <w:ind w:firstLine="0"/>
        <w:jc w:val="center"/>
        <w:rPr>
          <w:rFonts w:ascii="Verdana" w:hAnsi="Verdana"/>
          <w:b/>
          <w:sz w:val="16"/>
          <w:szCs w:val="16"/>
          <w:lang w:val="en-US"/>
        </w:rPr>
      </w:pPr>
    </w:p>
    <w:p w14:paraId="26CF338A" w14:textId="413D807E" w:rsidR="00A74CDF" w:rsidRPr="00F01347" w:rsidRDefault="00A74CDF" w:rsidP="003A601B">
      <w:pPr>
        <w:pStyle w:val="texto0"/>
        <w:spacing w:line="214" w:lineRule="exact"/>
        <w:ind w:firstLine="0"/>
        <w:jc w:val="center"/>
        <w:rPr>
          <w:rFonts w:ascii="Verdana" w:hAnsi="Verdana"/>
          <w:sz w:val="16"/>
          <w:szCs w:val="16"/>
        </w:rPr>
      </w:pPr>
      <w:r w:rsidRPr="00F01347">
        <w:rPr>
          <w:rFonts w:ascii="Verdana" w:hAnsi="Verdana"/>
          <w:b/>
          <w:sz w:val="16"/>
          <w:szCs w:val="16"/>
        </w:rPr>
        <w:t>Tabla B.1.3-1</w:t>
      </w:r>
      <w:r w:rsidRPr="00F01347">
        <w:rPr>
          <w:rFonts w:ascii="Verdana" w:hAnsi="Verdana"/>
          <w:sz w:val="16"/>
          <w:szCs w:val="16"/>
        </w:rPr>
        <w:t>. Gradiente de fase móvil de HPLC</w:t>
      </w:r>
    </w:p>
    <w:tbl>
      <w:tblPr>
        <w:tblW w:w="8712" w:type="dxa"/>
        <w:tblInd w:w="144" w:type="dxa"/>
        <w:tblLayout w:type="fixed"/>
        <w:tblCellMar>
          <w:left w:w="72" w:type="dxa"/>
          <w:right w:w="72" w:type="dxa"/>
        </w:tblCellMar>
        <w:tblLook w:val="0000" w:firstRow="0" w:lastRow="0" w:firstColumn="0" w:lastColumn="0" w:noHBand="0" w:noVBand="0"/>
      </w:tblPr>
      <w:tblGrid>
        <w:gridCol w:w="925"/>
        <w:gridCol w:w="2454"/>
        <w:gridCol w:w="2727"/>
        <w:gridCol w:w="2606"/>
      </w:tblGrid>
      <w:tr w:rsidR="00A74CDF" w:rsidRPr="00F01347" w14:paraId="6F3A17F0" w14:textId="77777777">
        <w:trPr>
          <w:trHeight w:val="20"/>
        </w:trPr>
        <w:tc>
          <w:tcPr>
            <w:tcW w:w="938" w:type="dxa"/>
            <w:tcBorders>
              <w:top w:val="single" w:sz="6" w:space="0" w:color="auto"/>
              <w:left w:val="single" w:sz="6" w:space="0" w:color="auto"/>
              <w:bottom w:val="single" w:sz="6" w:space="0" w:color="auto"/>
              <w:right w:val="single" w:sz="6" w:space="0" w:color="auto"/>
            </w:tcBorders>
            <w:noWrap/>
          </w:tcPr>
          <w:p w14:paraId="75F8F844"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Tiempo</w:t>
            </w:r>
            <w:r w:rsidR="000550B5" w:rsidRPr="00F01347">
              <w:rPr>
                <w:rFonts w:ascii="Verdana" w:hAnsi="Verdana"/>
                <w:sz w:val="16"/>
                <w:szCs w:val="16"/>
              </w:rPr>
              <w:t xml:space="preserve"> </w:t>
            </w:r>
            <w:r w:rsidRPr="00F01347">
              <w:rPr>
                <w:rFonts w:ascii="Verdana" w:hAnsi="Verdana"/>
                <w:sz w:val="16"/>
                <w:szCs w:val="16"/>
              </w:rPr>
              <w:t>(min)</w:t>
            </w:r>
          </w:p>
        </w:tc>
        <w:tc>
          <w:tcPr>
            <w:tcW w:w="2491" w:type="dxa"/>
            <w:tcBorders>
              <w:top w:val="single" w:sz="6" w:space="0" w:color="auto"/>
              <w:left w:val="single" w:sz="6" w:space="0" w:color="auto"/>
              <w:bottom w:val="single" w:sz="6" w:space="0" w:color="auto"/>
              <w:right w:val="single" w:sz="6" w:space="0" w:color="auto"/>
            </w:tcBorders>
          </w:tcPr>
          <w:p w14:paraId="6B593F50"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Solución de fase móvil HPLC (A)</w:t>
            </w:r>
            <w:r w:rsidR="000550B5" w:rsidRPr="00F01347">
              <w:rPr>
                <w:rFonts w:ascii="Verdana" w:hAnsi="Verdana"/>
                <w:sz w:val="16"/>
                <w:szCs w:val="16"/>
              </w:rPr>
              <w:t xml:space="preserve"> </w:t>
            </w:r>
            <w:r w:rsidRPr="00F01347">
              <w:rPr>
                <w:rFonts w:ascii="Verdana" w:hAnsi="Verdana"/>
                <w:sz w:val="16"/>
                <w:szCs w:val="16"/>
              </w:rPr>
              <w:t>Acetonitrilo con 0.05%TFA</w:t>
            </w:r>
            <w:r w:rsidR="000550B5" w:rsidRPr="00F01347">
              <w:rPr>
                <w:rFonts w:ascii="Verdana" w:hAnsi="Verdana"/>
                <w:sz w:val="16"/>
                <w:szCs w:val="16"/>
              </w:rPr>
              <w:t xml:space="preserve"> </w:t>
            </w:r>
            <w:r w:rsidRPr="00F01347">
              <w:rPr>
                <w:rFonts w:ascii="Verdana" w:hAnsi="Verdana"/>
                <w:sz w:val="16"/>
                <w:szCs w:val="16"/>
              </w:rPr>
              <w:t>(%)</w:t>
            </w:r>
          </w:p>
        </w:tc>
        <w:tc>
          <w:tcPr>
            <w:tcW w:w="2768" w:type="dxa"/>
            <w:tcBorders>
              <w:top w:val="single" w:sz="6" w:space="0" w:color="auto"/>
              <w:left w:val="single" w:sz="6" w:space="0" w:color="auto"/>
              <w:bottom w:val="single" w:sz="6" w:space="0" w:color="auto"/>
              <w:right w:val="single" w:sz="6" w:space="0" w:color="auto"/>
            </w:tcBorders>
          </w:tcPr>
          <w:p w14:paraId="59DECE95"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Solución de fase móvil HPLC (B)</w:t>
            </w:r>
            <w:r w:rsidR="000550B5" w:rsidRPr="00F01347">
              <w:rPr>
                <w:rFonts w:ascii="Verdana" w:hAnsi="Verdana"/>
                <w:sz w:val="16"/>
                <w:szCs w:val="16"/>
              </w:rPr>
              <w:t xml:space="preserve"> </w:t>
            </w:r>
            <w:r w:rsidRPr="00F01347">
              <w:rPr>
                <w:rFonts w:ascii="Verdana" w:hAnsi="Verdana"/>
                <w:sz w:val="16"/>
                <w:szCs w:val="16"/>
              </w:rPr>
              <w:t>Agua con 0.05%TFA (%)</w:t>
            </w:r>
          </w:p>
        </w:tc>
        <w:tc>
          <w:tcPr>
            <w:tcW w:w="2645" w:type="dxa"/>
            <w:tcBorders>
              <w:top w:val="single" w:sz="6" w:space="0" w:color="auto"/>
              <w:left w:val="single" w:sz="6" w:space="0" w:color="auto"/>
              <w:bottom w:val="single" w:sz="6" w:space="0" w:color="auto"/>
              <w:right w:val="single" w:sz="6" w:space="0" w:color="auto"/>
            </w:tcBorders>
          </w:tcPr>
          <w:p w14:paraId="53A800F8"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Rango de flujo del volumen total, dependiendo de la columna</w:t>
            </w:r>
            <w:r w:rsidR="000550B5" w:rsidRPr="00F01347">
              <w:rPr>
                <w:rFonts w:ascii="Verdana" w:hAnsi="Verdana"/>
                <w:sz w:val="16"/>
                <w:szCs w:val="16"/>
              </w:rPr>
              <w:t xml:space="preserve"> </w:t>
            </w:r>
            <w:r w:rsidRPr="00F01347">
              <w:rPr>
                <w:rFonts w:ascii="Verdana" w:hAnsi="Verdana"/>
                <w:sz w:val="16"/>
                <w:szCs w:val="16"/>
              </w:rPr>
              <w:t>(</w:t>
            </w:r>
            <w:proofErr w:type="spellStart"/>
            <w:r w:rsidRPr="00F01347">
              <w:rPr>
                <w:rFonts w:ascii="Verdana" w:hAnsi="Verdana"/>
                <w:sz w:val="16"/>
                <w:szCs w:val="16"/>
              </w:rPr>
              <w:t>mL</w:t>
            </w:r>
            <w:proofErr w:type="spellEnd"/>
            <w:r w:rsidRPr="00F01347">
              <w:rPr>
                <w:rFonts w:ascii="Verdana" w:hAnsi="Verdana"/>
                <w:sz w:val="16"/>
                <w:szCs w:val="16"/>
              </w:rPr>
              <w:t>/min)</w:t>
            </w:r>
          </w:p>
        </w:tc>
      </w:tr>
      <w:tr w:rsidR="00A74CDF" w:rsidRPr="00F01347" w14:paraId="525B357D" w14:textId="77777777">
        <w:trPr>
          <w:trHeight w:val="20"/>
        </w:trPr>
        <w:tc>
          <w:tcPr>
            <w:tcW w:w="938" w:type="dxa"/>
            <w:tcBorders>
              <w:top w:val="single" w:sz="6" w:space="0" w:color="auto"/>
              <w:left w:val="single" w:sz="6" w:space="0" w:color="auto"/>
              <w:bottom w:val="single" w:sz="6" w:space="0" w:color="auto"/>
              <w:right w:val="single" w:sz="6" w:space="0" w:color="auto"/>
            </w:tcBorders>
          </w:tcPr>
          <w:p w14:paraId="22B536F8"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0</w:t>
            </w:r>
          </w:p>
        </w:tc>
        <w:tc>
          <w:tcPr>
            <w:tcW w:w="2491" w:type="dxa"/>
            <w:tcBorders>
              <w:top w:val="single" w:sz="6" w:space="0" w:color="auto"/>
              <w:left w:val="single" w:sz="6" w:space="0" w:color="auto"/>
              <w:bottom w:val="single" w:sz="6" w:space="0" w:color="auto"/>
              <w:right w:val="single" w:sz="6" w:space="0" w:color="auto"/>
            </w:tcBorders>
          </w:tcPr>
          <w:p w14:paraId="1D0A8769"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30</w:t>
            </w:r>
          </w:p>
        </w:tc>
        <w:tc>
          <w:tcPr>
            <w:tcW w:w="2768" w:type="dxa"/>
            <w:tcBorders>
              <w:top w:val="single" w:sz="6" w:space="0" w:color="auto"/>
              <w:left w:val="single" w:sz="6" w:space="0" w:color="auto"/>
              <w:bottom w:val="single" w:sz="6" w:space="0" w:color="auto"/>
              <w:right w:val="single" w:sz="6" w:space="0" w:color="auto"/>
            </w:tcBorders>
          </w:tcPr>
          <w:p w14:paraId="37F98D47"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70</w:t>
            </w:r>
          </w:p>
        </w:tc>
        <w:tc>
          <w:tcPr>
            <w:tcW w:w="2645" w:type="dxa"/>
            <w:tcBorders>
              <w:top w:val="single" w:sz="6" w:space="0" w:color="auto"/>
              <w:left w:val="single" w:sz="6" w:space="0" w:color="auto"/>
              <w:bottom w:val="single" w:sz="6" w:space="0" w:color="auto"/>
              <w:right w:val="single" w:sz="6" w:space="0" w:color="auto"/>
            </w:tcBorders>
          </w:tcPr>
          <w:p w14:paraId="7BADB73A"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0.3 a 1.0</w:t>
            </w:r>
          </w:p>
        </w:tc>
      </w:tr>
      <w:tr w:rsidR="00A74CDF" w:rsidRPr="00F01347" w14:paraId="443F2E0A" w14:textId="77777777">
        <w:trPr>
          <w:trHeight w:val="20"/>
        </w:trPr>
        <w:tc>
          <w:tcPr>
            <w:tcW w:w="938" w:type="dxa"/>
            <w:tcBorders>
              <w:top w:val="single" w:sz="6" w:space="0" w:color="auto"/>
              <w:left w:val="single" w:sz="6" w:space="0" w:color="auto"/>
              <w:bottom w:val="single" w:sz="6" w:space="0" w:color="auto"/>
              <w:right w:val="single" w:sz="6" w:space="0" w:color="auto"/>
            </w:tcBorders>
          </w:tcPr>
          <w:p w14:paraId="101FDB59"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10</w:t>
            </w:r>
          </w:p>
        </w:tc>
        <w:tc>
          <w:tcPr>
            <w:tcW w:w="2491" w:type="dxa"/>
            <w:tcBorders>
              <w:top w:val="single" w:sz="6" w:space="0" w:color="auto"/>
              <w:left w:val="single" w:sz="6" w:space="0" w:color="auto"/>
              <w:bottom w:val="single" w:sz="6" w:space="0" w:color="auto"/>
              <w:right w:val="single" w:sz="6" w:space="0" w:color="auto"/>
            </w:tcBorders>
          </w:tcPr>
          <w:p w14:paraId="312E9E21"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35</w:t>
            </w:r>
          </w:p>
        </w:tc>
        <w:tc>
          <w:tcPr>
            <w:tcW w:w="2768" w:type="dxa"/>
            <w:tcBorders>
              <w:top w:val="single" w:sz="6" w:space="0" w:color="auto"/>
              <w:left w:val="single" w:sz="6" w:space="0" w:color="auto"/>
              <w:bottom w:val="single" w:sz="6" w:space="0" w:color="auto"/>
              <w:right w:val="single" w:sz="6" w:space="0" w:color="auto"/>
            </w:tcBorders>
          </w:tcPr>
          <w:p w14:paraId="647525B0"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65</w:t>
            </w:r>
          </w:p>
        </w:tc>
        <w:tc>
          <w:tcPr>
            <w:tcW w:w="2645" w:type="dxa"/>
            <w:tcBorders>
              <w:top w:val="single" w:sz="6" w:space="0" w:color="auto"/>
              <w:left w:val="single" w:sz="6" w:space="0" w:color="auto"/>
              <w:bottom w:val="single" w:sz="6" w:space="0" w:color="auto"/>
              <w:right w:val="single" w:sz="6" w:space="0" w:color="auto"/>
            </w:tcBorders>
          </w:tcPr>
          <w:p w14:paraId="7D33B8A3"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0.3 a 1.0</w:t>
            </w:r>
          </w:p>
        </w:tc>
      </w:tr>
      <w:tr w:rsidR="00A74CDF" w:rsidRPr="00F01347" w14:paraId="26A319A0" w14:textId="77777777">
        <w:trPr>
          <w:trHeight w:val="20"/>
        </w:trPr>
        <w:tc>
          <w:tcPr>
            <w:tcW w:w="938" w:type="dxa"/>
            <w:tcBorders>
              <w:top w:val="single" w:sz="6" w:space="0" w:color="auto"/>
              <w:left w:val="single" w:sz="6" w:space="0" w:color="auto"/>
              <w:bottom w:val="single" w:sz="6" w:space="0" w:color="auto"/>
              <w:right w:val="single" w:sz="6" w:space="0" w:color="auto"/>
            </w:tcBorders>
          </w:tcPr>
          <w:p w14:paraId="46D613F8"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40</w:t>
            </w:r>
          </w:p>
        </w:tc>
        <w:tc>
          <w:tcPr>
            <w:tcW w:w="2491" w:type="dxa"/>
            <w:tcBorders>
              <w:top w:val="single" w:sz="6" w:space="0" w:color="auto"/>
              <w:left w:val="single" w:sz="6" w:space="0" w:color="auto"/>
              <w:bottom w:val="single" w:sz="6" w:space="0" w:color="auto"/>
              <w:right w:val="single" w:sz="6" w:space="0" w:color="auto"/>
            </w:tcBorders>
          </w:tcPr>
          <w:p w14:paraId="1DC8DEDF"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70</w:t>
            </w:r>
          </w:p>
        </w:tc>
        <w:tc>
          <w:tcPr>
            <w:tcW w:w="2768" w:type="dxa"/>
            <w:tcBorders>
              <w:top w:val="single" w:sz="6" w:space="0" w:color="auto"/>
              <w:left w:val="single" w:sz="6" w:space="0" w:color="auto"/>
              <w:bottom w:val="single" w:sz="6" w:space="0" w:color="auto"/>
              <w:right w:val="single" w:sz="6" w:space="0" w:color="auto"/>
            </w:tcBorders>
          </w:tcPr>
          <w:p w14:paraId="3E1AD951"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30</w:t>
            </w:r>
          </w:p>
        </w:tc>
        <w:tc>
          <w:tcPr>
            <w:tcW w:w="2645" w:type="dxa"/>
            <w:tcBorders>
              <w:top w:val="single" w:sz="6" w:space="0" w:color="auto"/>
              <w:left w:val="single" w:sz="6" w:space="0" w:color="auto"/>
              <w:bottom w:val="single" w:sz="6" w:space="0" w:color="auto"/>
              <w:right w:val="single" w:sz="6" w:space="0" w:color="auto"/>
            </w:tcBorders>
          </w:tcPr>
          <w:p w14:paraId="270FDD22"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0.3 a 1.0</w:t>
            </w:r>
          </w:p>
        </w:tc>
      </w:tr>
      <w:tr w:rsidR="00A74CDF" w:rsidRPr="00F01347" w14:paraId="7B4AA75B" w14:textId="77777777">
        <w:trPr>
          <w:trHeight w:val="20"/>
        </w:trPr>
        <w:tc>
          <w:tcPr>
            <w:tcW w:w="938" w:type="dxa"/>
            <w:tcBorders>
              <w:top w:val="single" w:sz="6" w:space="0" w:color="auto"/>
              <w:left w:val="single" w:sz="6" w:space="0" w:color="auto"/>
              <w:bottom w:val="single" w:sz="6" w:space="0" w:color="auto"/>
              <w:right w:val="single" w:sz="6" w:space="0" w:color="auto"/>
            </w:tcBorders>
          </w:tcPr>
          <w:p w14:paraId="5A1AD269"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42</w:t>
            </w:r>
          </w:p>
        </w:tc>
        <w:tc>
          <w:tcPr>
            <w:tcW w:w="2491" w:type="dxa"/>
            <w:tcBorders>
              <w:top w:val="single" w:sz="6" w:space="0" w:color="auto"/>
              <w:left w:val="single" w:sz="6" w:space="0" w:color="auto"/>
              <w:bottom w:val="single" w:sz="6" w:space="0" w:color="auto"/>
              <w:right w:val="single" w:sz="6" w:space="0" w:color="auto"/>
            </w:tcBorders>
          </w:tcPr>
          <w:p w14:paraId="5206E454"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100</w:t>
            </w:r>
          </w:p>
        </w:tc>
        <w:tc>
          <w:tcPr>
            <w:tcW w:w="2768" w:type="dxa"/>
            <w:tcBorders>
              <w:top w:val="single" w:sz="6" w:space="0" w:color="auto"/>
              <w:left w:val="single" w:sz="6" w:space="0" w:color="auto"/>
              <w:bottom w:val="single" w:sz="6" w:space="0" w:color="auto"/>
              <w:right w:val="single" w:sz="6" w:space="0" w:color="auto"/>
            </w:tcBorders>
          </w:tcPr>
          <w:p w14:paraId="6D7250B7"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0</w:t>
            </w:r>
          </w:p>
        </w:tc>
        <w:tc>
          <w:tcPr>
            <w:tcW w:w="2645" w:type="dxa"/>
            <w:tcBorders>
              <w:top w:val="single" w:sz="6" w:space="0" w:color="auto"/>
              <w:left w:val="single" w:sz="6" w:space="0" w:color="auto"/>
              <w:bottom w:val="single" w:sz="6" w:space="0" w:color="auto"/>
              <w:right w:val="single" w:sz="6" w:space="0" w:color="auto"/>
            </w:tcBorders>
          </w:tcPr>
          <w:p w14:paraId="558F7364"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0.3 a 1.0</w:t>
            </w:r>
          </w:p>
        </w:tc>
      </w:tr>
      <w:tr w:rsidR="00A74CDF" w:rsidRPr="00F01347" w14:paraId="76479F62" w14:textId="77777777">
        <w:trPr>
          <w:trHeight w:val="20"/>
        </w:trPr>
        <w:tc>
          <w:tcPr>
            <w:tcW w:w="938" w:type="dxa"/>
            <w:tcBorders>
              <w:top w:val="single" w:sz="6" w:space="0" w:color="auto"/>
              <w:left w:val="single" w:sz="6" w:space="0" w:color="auto"/>
              <w:bottom w:val="single" w:sz="6" w:space="0" w:color="auto"/>
              <w:right w:val="single" w:sz="6" w:space="0" w:color="auto"/>
            </w:tcBorders>
          </w:tcPr>
          <w:p w14:paraId="7A033AB4"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44</w:t>
            </w:r>
          </w:p>
        </w:tc>
        <w:tc>
          <w:tcPr>
            <w:tcW w:w="2491" w:type="dxa"/>
            <w:tcBorders>
              <w:top w:val="single" w:sz="6" w:space="0" w:color="auto"/>
              <w:left w:val="single" w:sz="6" w:space="0" w:color="auto"/>
              <w:bottom w:val="single" w:sz="6" w:space="0" w:color="auto"/>
              <w:right w:val="single" w:sz="6" w:space="0" w:color="auto"/>
            </w:tcBorders>
          </w:tcPr>
          <w:p w14:paraId="68EFF3EA"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100</w:t>
            </w:r>
          </w:p>
        </w:tc>
        <w:tc>
          <w:tcPr>
            <w:tcW w:w="2768" w:type="dxa"/>
            <w:tcBorders>
              <w:top w:val="single" w:sz="6" w:space="0" w:color="auto"/>
              <w:left w:val="single" w:sz="6" w:space="0" w:color="auto"/>
              <w:bottom w:val="single" w:sz="6" w:space="0" w:color="auto"/>
              <w:right w:val="single" w:sz="6" w:space="0" w:color="auto"/>
            </w:tcBorders>
          </w:tcPr>
          <w:p w14:paraId="586D40D5"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0</w:t>
            </w:r>
          </w:p>
        </w:tc>
        <w:tc>
          <w:tcPr>
            <w:tcW w:w="2645" w:type="dxa"/>
            <w:tcBorders>
              <w:top w:val="single" w:sz="6" w:space="0" w:color="auto"/>
              <w:left w:val="single" w:sz="6" w:space="0" w:color="auto"/>
              <w:bottom w:val="single" w:sz="6" w:space="0" w:color="auto"/>
              <w:right w:val="single" w:sz="6" w:space="0" w:color="auto"/>
            </w:tcBorders>
          </w:tcPr>
          <w:p w14:paraId="725D09A3"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0.3 a 1.0</w:t>
            </w:r>
          </w:p>
        </w:tc>
      </w:tr>
      <w:tr w:rsidR="00A74CDF" w:rsidRPr="00F01347" w14:paraId="28F37B67" w14:textId="77777777">
        <w:trPr>
          <w:trHeight w:val="20"/>
        </w:trPr>
        <w:tc>
          <w:tcPr>
            <w:tcW w:w="938" w:type="dxa"/>
            <w:tcBorders>
              <w:top w:val="single" w:sz="6" w:space="0" w:color="auto"/>
              <w:left w:val="single" w:sz="6" w:space="0" w:color="auto"/>
              <w:bottom w:val="single" w:sz="6" w:space="0" w:color="auto"/>
              <w:right w:val="single" w:sz="6" w:space="0" w:color="auto"/>
            </w:tcBorders>
          </w:tcPr>
          <w:p w14:paraId="34BA6578"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46</w:t>
            </w:r>
          </w:p>
        </w:tc>
        <w:tc>
          <w:tcPr>
            <w:tcW w:w="2491" w:type="dxa"/>
            <w:tcBorders>
              <w:top w:val="single" w:sz="6" w:space="0" w:color="auto"/>
              <w:left w:val="single" w:sz="6" w:space="0" w:color="auto"/>
              <w:bottom w:val="single" w:sz="6" w:space="0" w:color="auto"/>
              <w:right w:val="single" w:sz="6" w:space="0" w:color="auto"/>
            </w:tcBorders>
          </w:tcPr>
          <w:p w14:paraId="6DD3719A"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30</w:t>
            </w:r>
          </w:p>
        </w:tc>
        <w:tc>
          <w:tcPr>
            <w:tcW w:w="2768" w:type="dxa"/>
            <w:tcBorders>
              <w:top w:val="single" w:sz="6" w:space="0" w:color="auto"/>
              <w:left w:val="single" w:sz="6" w:space="0" w:color="auto"/>
              <w:bottom w:val="single" w:sz="6" w:space="0" w:color="auto"/>
              <w:right w:val="single" w:sz="6" w:space="0" w:color="auto"/>
            </w:tcBorders>
          </w:tcPr>
          <w:p w14:paraId="63BA05F2"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70</w:t>
            </w:r>
          </w:p>
        </w:tc>
        <w:tc>
          <w:tcPr>
            <w:tcW w:w="2645" w:type="dxa"/>
            <w:tcBorders>
              <w:top w:val="single" w:sz="6" w:space="0" w:color="auto"/>
              <w:left w:val="single" w:sz="6" w:space="0" w:color="auto"/>
              <w:bottom w:val="single" w:sz="6" w:space="0" w:color="auto"/>
              <w:right w:val="single" w:sz="6" w:space="0" w:color="auto"/>
            </w:tcBorders>
          </w:tcPr>
          <w:p w14:paraId="72830F6B"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0.3 a 1.0</w:t>
            </w:r>
          </w:p>
        </w:tc>
      </w:tr>
      <w:tr w:rsidR="00A74CDF" w:rsidRPr="00F01347" w14:paraId="3F771B2D" w14:textId="77777777">
        <w:trPr>
          <w:trHeight w:val="20"/>
        </w:trPr>
        <w:tc>
          <w:tcPr>
            <w:tcW w:w="938" w:type="dxa"/>
            <w:tcBorders>
              <w:top w:val="single" w:sz="6" w:space="0" w:color="auto"/>
              <w:left w:val="single" w:sz="6" w:space="0" w:color="auto"/>
              <w:bottom w:val="single" w:sz="6" w:space="0" w:color="auto"/>
              <w:right w:val="single" w:sz="6" w:space="0" w:color="auto"/>
            </w:tcBorders>
          </w:tcPr>
          <w:p w14:paraId="1FD1D7E4"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55</w:t>
            </w:r>
          </w:p>
        </w:tc>
        <w:tc>
          <w:tcPr>
            <w:tcW w:w="2491" w:type="dxa"/>
            <w:tcBorders>
              <w:top w:val="single" w:sz="6" w:space="0" w:color="auto"/>
              <w:left w:val="single" w:sz="6" w:space="0" w:color="auto"/>
              <w:bottom w:val="single" w:sz="6" w:space="0" w:color="auto"/>
              <w:right w:val="single" w:sz="6" w:space="0" w:color="auto"/>
            </w:tcBorders>
          </w:tcPr>
          <w:p w14:paraId="50540584"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30</w:t>
            </w:r>
          </w:p>
        </w:tc>
        <w:tc>
          <w:tcPr>
            <w:tcW w:w="2768" w:type="dxa"/>
            <w:tcBorders>
              <w:top w:val="single" w:sz="6" w:space="0" w:color="auto"/>
              <w:left w:val="single" w:sz="6" w:space="0" w:color="auto"/>
              <w:bottom w:val="single" w:sz="6" w:space="0" w:color="auto"/>
              <w:right w:val="single" w:sz="6" w:space="0" w:color="auto"/>
            </w:tcBorders>
          </w:tcPr>
          <w:p w14:paraId="426481EE"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70</w:t>
            </w:r>
          </w:p>
        </w:tc>
        <w:tc>
          <w:tcPr>
            <w:tcW w:w="2645" w:type="dxa"/>
            <w:tcBorders>
              <w:top w:val="single" w:sz="6" w:space="0" w:color="auto"/>
              <w:left w:val="single" w:sz="6" w:space="0" w:color="auto"/>
              <w:bottom w:val="single" w:sz="6" w:space="0" w:color="auto"/>
              <w:right w:val="single" w:sz="6" w:space="0" w:color="auto"/>
            </w:tcBorders>
          </w:tcPr>
          <w:p w14:paraId="24D94D4C" w14:textId="77777777" w:rsidR="00A74CDF" w:rsidRPr="00F01347" w:rsidRDefault="00A74CDF" w:rsidP="006A0481">
            <w:pPr>
              <w:pStyle w:val="texto0"/>
              <w:spacing w:before="40" w:after="40" w:line="240" w:lineRule="auto"/>
              <w:ind w:firstLine="0"/>
              <w:jc w:val="center"/>
              <w:rPr>
                <w:rFonts w:ascii="Verdana" w:hAnsi="Verdana"/>
                <w:sz w:val="16"/>
                <w:szCs w:val="16"/>
              </w:rPr>
            </w:pPr>
            <w:r w:rsidRPr="00F01347">
              <w:rPr>
                <w:rFonts w:ascii="Verdana" w:hAnsi="Verdana"/>
                <w:sz w:val="16"/>
                <w:szCs w:val="16"/>
              </w:rPr>
              <w:t>0.3 a 1.0</w:t>
            </w:r>
          </w:p>
        </w:tc>
      </w:tr>
    </w:tbl>
    <w:p w14:paraId="575A5A86" w14:textId="77777777" w:rsidR="00A74CDF" w:rsidRPr="00F01347" w:rsidRDefault="00A74CDF" w:rsidP="003A601B">
      <w:pPr>
        <w:pStyle w:val="texto0"/>
        <w:spacing w:line="214" w:lineRule="exact"/>
        <w:rPr>
          <w:rFonts w:ascii="Verdana" w:hAnsi="Verdana"/>
          <w:sz w:val="16"/>
          <w:szCs w:val="16"/>
        </w:rPr>
      </w:pPr>
    </w:p>
    <w:p w14:paraId="1A1B5AC5" w14:textId="789EA2AA" w:rsidR="005E5549" w:rsidRPr="00F01347" w:rsidRDefault="005E5549" w:rsidP="005E5549">
      <w:pPr>
        <w:pStyle w:val="texto0"/>
        <w:spacing w:line="214" w:lineRule="exact"/>
        <w:ind w:firstLine="0"/>
        <w:jc w:val="center"/>
        <w:rPr>
          <w:rFonts w:ascii="Verdana" w:hAnsi="Verdana"/>
          <w:sz w:val="16"/>
          <w:szCs w:val="16"/>
          <w:lang w:val="en"/>
        </w:rPr>
      </w:pPr>
      <w:r w:rsidRPr="00F01347">
        <w:rPr>
          <w:rFonts w:ascii="Verdana" w:hAnsi="Verdana"/>
          <w:b/>
          <w:sz w:val="16"/>
          <w:szCs w:val="16"/>
          <w:lang w:val="en-US"/>
        </w:rPr>
        <w:t>Table B.1.3-1</w:t>
      </w:r>
      <w:r w:rsidR="003E1BA9" w:rsidRPr="00F01347">
        <w:rPr>
          <w:rFonts w:ascii="Verdana" w:hAnsi="Verdana"/>
          <w:b/>
          <w:sz w:val="16"/>
          <w:szCs w:val="16"/>
          <w:lang w:val="en-US"/>
        </w:rPr>
        <w:t>.</w:t>
      </w:r>
      <w:r w:rsidRPr="00F01347">
        <w:rPr>
          <w:rFonts w:ascii="Verdana" w:hAnsi="Verdana"/>
          <w:sz w:val="16"/>
          <w:szCs w:val="16"/>
          <w:lang w:val="en-US"/>
        </w:rPr>
        <w:t xml:space="preserve"> HPLC Mobile Phase Gradient</w:t>
      </w:r>
    </w:p>
    <w:tbl>
      <w:tblPr>
        <w:tblW w:w="8715" w:type="dxa"/>
        <w:tblInd w:w="144" w:type="dxa"/>
        <w:tblLayout w:type="fixed"/>
        <w:tblCellMar>
          <w:left w:w="72" w:type="dxa"/>
          <w:right w:w="72" w:type="dxa"/>
        </w:tblCellMar>
        <w:tblLook w:val="04A0" w:firstRow="1" w:lastRow="0" w:firstColumn="1" w:lastColumn="0" w:noHBand="0" w:noVBand="1"/>
      </w:tblPr>
      <w:tblGrid>
        <w:gridCol w:w="925"/>
        <w:gridCol w:w="2455"/>
        <w:gridCol w:w="2728"/>
        <w:gridCol w:w="2607"/>
      </w:tblGrid>
      <w:tr w:rsidR="005E5549" w:rsidRPr="00F01347" w14:paraId="1BA08F3B" w14:textId="77777777" w:rsidTr="005E5549">
        <w:trPr>
          <w:trHeight w:val="20"/>
        </w:trPr>
        <w:tc>
          <w:tcPr>
            <w:tcW w:w="938" w:type="dxa"/>
            <w:tcBorders>
              <w:top w:val="single" w:sz="6" w:space="0" w:color="auto"/>
              <w:left w:val="single" w:sz="6" w:space="0" w:color="auto"/>
              <w:bottom w:val="single" w:sz="6" w:space="0" w:color="auto"/>
              <w:right w:val="single" w:sz="6" w:space="0" w:color="auto"/>
            </w:tcBorders>
            <w:noWrap/>
            <w:hideMark/>
          </w:tcPr>
          <w:p w14:paraId="2675E74C"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Time (min)</w:t>
            </w:r>
          </w:p>
        </w:tc>
        <w:tc>
          <w:tcPr>
            <w:tcW w:w="2491" w:type="dxa"/>
            <w:tcBorders>
              <w:top w:val="single" w:sz="6" w:space="0" w:color="auto"/>
              <w:left w:val="single" w:sz="6" w:space="0" w:color="auto"/>
              <w:bottom w:val="single" w:sz="6" w:space="0" w:color="auto"/>
              <w:right w:val="single" w:sz="6" w:space="0" w:color="auto"/>
            </w:tcBorders>
            <w:hideMark/>
          </w:tcPr>
          <w:p w14:paraId="14371D23" w14:textId="77777777" w:rsidR="005E5549" w:rsidRPr="00F01347" w:rsidRDefault="005E5549">
            <w:pPr>
              <w:pStyle w:val="texto0"/>
              <w:spacing w:before="40" w:after="40" w:line="240" w:lineRule="auto"/>
              <w:ind w:firstLine="0"/>
              <w:jc w:val="center"/>
              <w:rPr>
                <w:rFonts w:ascii="Verdana" w:hAnsi="Verdana"/>
                <w:sz w:val="16"/>
                <w:szCs w:val="16"/>
                <w:lang w:val="en-US"/>
              </w:rPr>
            </w:pPr>
            <w:r w:rsidRPr="00F01347">
              <w:rPr>
                <w:rFonts w:ascii="Verdana" w:hAnsi="Verdana"/>
                <w:sz w:val="16"/>
                <w:szCs w:val="16"/>
                <w:lang w:val="en-US"/>
              </w:rPr>
              <w:t>HPLC mobile phase solution (A) Acetonitrile with 0.05%TFA (%)</w:t>
            </w:r>
          </w:p>
        </w:tc>
        <w:tc>
          <w:tcPr>
            <w:tcW w:w="2768" w:type="dxa"/>
            <w:tcBorders>
              <w:top w:val="single" w:sz="6" w:space="0" w:color="auto"/>
              <w:left w:val="single" w:sz="6" w:space="0" w:color="auto"/>
              <w:bottom w:val="single" w:sz="6" w:space="0" w:color="auto"/>
              <w:right w:val="single" w:sz="6" w:space="0" w:color="auto"/>
            </w:tcBorders>
            <w:hideMark/>
          </w:tcPr>
          <w:p w14:paraId="216588FB" w14:textId="77777777" w:rsidR="005E5549" w:rsidRPr="00F01347" w:rsidRDefault="005E5549">
            <w:pPr>
              <w:pStyle w:val="texto0"/>
              <w:spacing w:before="40" w:after="40" w:line="240" w:lineRule="auto"/>
              <w:ind w:firstLine="0"/>
              <w:jc w:val="center"/>
              <w:rPr>
                <w:rFonts w:ascii="Verdana" w:hAnsi="Verdana"/>
                <w:sz w:val="16"/>
                <w:szCs w:val="16"/>
                <w:lang w:val="en-US"/>
              </w:rPr>
            </w:pPr>
            <w:r w:rsidRPr="00F01347">
              <w:rPr>
                <w:rFonts w:ascii="Verdana" w:hAnsi="Verdana"/>
                <w:sz w:val="16"/>
                <w:szCs w:val="16"/>
                <w:lang w:val="en-US"/>
              </w:rPr>
              <w:t>HPLC mobile phase solution (B) Water with 0.05%TFA (%)</w:t>
            </w:r>
          </w:p>
        </w:tc>
        <w:tc>
          <w:tcPr>
            <w:tcW w:w="2645" w:type="dxa"/>
            <w:tcBorders>
              <w:top w:val="single" w:sz="6" w:space="0" w:color="auto"/>
              <w:left w:val="single" w:sz="6" w:space="0" w:color="auto"/>
              <w:bottom w:val="single" w:sz="6" w:space="0" w:color="auto"/>
              <w:right w:val="single" w:sz="6" w:space="0" w:color="auto"/>
            </w:tcBorders>
            <w:hideMark/>
          </w:tcPr>
          <w:p w14:paraId="4F44C0AD" w14:textId="1879E300" w:rsidR="005E5549" w:rsidRPr="00F01347" w:rsidRDefault="005E5549">
            <w:pPr>
              <w:pStyle w:val="texto0"/>
              <w:spacing w:before="40" w:after="40" w:line="240" w:lineRule="auto"/>
              <w:ind w:firstLine="0"/>
              <w:jc w:val="center"/>
              <w:rPr>
                <w:rFonts w:ascii="Verdana" w:hAnsi="Verdana"/>
                <w:sz w:val="16"/>
                <w:szCs w:val="16"/>
                <w:lang w:val="en-US"/>
              </w:rPr>
            </w:pPr>
            <w:r w:rsidRPr="00F01347">
              <w:rPr>
                <w:rFonts w:ascii="Verdana" w:hAnsi="Verdana"/>
                <w:sz w:val="16"/>
                <w:szCs w:val="16"/>
                <w:lang w:val="en-US"/>
              </w:rPr>
              <w:t xml:space="preserve">Total volume flow rate, depending on column </w:t>
            </w:r>
            <w:r w:rsidR="00CB209C" w:rsidRPr="00F01347">
              <w:rPr>
                <w:rFonts w:ascii="Verdana" w:hAnsi="Verdana"/>
                <w:sz w:val="16"/>
                <w:szCs w:val="16"/>
                <w:lang w:val="en-US"/>
              </w:rPr>
              <w:t>(</w:t>
            </w:r>
            <w:r w:rsidRPr="00F01347">
              <w:rPr>
                <w:rFonts w:ascii="Verdana" w:hAnsi="Verdana"/>
                <w:sz w:val="16"/>
                <w:szCs w:val="16"/>
                <w:lang w:val="en-US"/>
              </w:rPr>
              <w:t>mL/min)</w:t>
            </w:r>
          </w:p>
        </w:tc>
      </w:tr>
      <w:tr w:rsidR="005E5549" w:rsidRPr="00F01347" w14:paraId="3B521B2B" w14:textId="77777777" w:rsidTr="005E5549">
        <w:trPr>
          <w:trHeight w:val="20"/>
        </w:trPr>
        <w:tc>
          <w:tcPr>
            <w:tcW w:w="938" w:type="dxa"/>
            <w:tcBorders>
              <w:top w:val="single" w:sz="6" w:space="0" w:color="auto"/>
              <w:left w:val="single" w:sz="6" w:space="0" w:color="auto"/>
              <w:bottom w:val="single" w:sz="6" w:space="0" w:color="auto"/>
              <w:right w:val="single" w:sz="6" w:space="0" w:color="auto"/>
            </w:tcBorders>
            <w:hideMark/>
          </w:tcPr>
          <w:p w14:paraId="79A390DD"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0</w:t>
            </w:r>
          </w:p>
        </w:tc>
        <w:tc>
          <w:tcPr>
            <w:tcW w:w="2491" w:type="dxa"/>
            <w:tcBorders>
              <w:top w:val="single" w:sz="6" w:space="0" w:color="auto"/>
              <w:left w:val="single" w:sz="6" w:space="0" w:color="auto"/>
              <w:bottom w:val="single" w:sz="6" w:space="0" w:color="auto"/>
              <w:right w:val="single" w:sz="6" w:space="0" w:color="auto"/>
            </w:tcBorders>
            <w:hideMark/>
          </w:tcPr>
          <w:p w14:paraId="12F9649A"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30</w:t>
            </w:r>
          </w:p>
        </w:tc>
        <w:tc>
          <w:tcPr>
            <w:tcW w:w="2768" w:type="dxa"/>
            <w:tcBorders>
              <w:top w:val="single" w:sz="6" w:space="0" w:color="auto"/>
              <w:left w:val="single" w:sz="6" w:space="0" w:color="auto"/>
              <w:bottom w:val="single" w:sz="6" w:space="0" w:color="auto"/>
              <w:right w:val="single" w:sz="6" w:space="0" w:color="auto"/>
            </w:tcBorders>
            <w:hideMark/>
          </w:tcPr>
          <w:p w14:paraId="0495143B"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70</w:t>
            </w:r>
          </w:p>
        </w:tc>
        <w:tc>
          <w:tcPr>
            <w:tcW w:w="2645" w:type="dxa"/>
            <w:tcBorders>
              <w:top w:val="single" w:sz="6" w:space="0" w:color="auto"/>
              <w:left w:val="single" w:sz="6" w:space="0" w:color="auto"/>
              <w:bottom w:val="single" w:sz="6" w:space="0" w:color="auto"/>
              <w:right w:val="single" w:sz="6" w:space="0" w:color="auto"/>
            </w:tcBorders>
            <w:hideMark/>
          </w:tcPr>
          <w:p w14:paraId="6635DC52"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 xml:space="preserve">0.3 </w:t>
            </w:r>
            <w:proofErr w:type="spellStart"/>
            <w:r w:rsidRPr="00F01347">
              <w:rPr>
                <w:rFonts w:ascii="Verdana" w:hAnsi="Verdana"/>
                <w:sz w:val="16"/>
                <w:szCs w:val="16"/>
              </w:rPr>
              <w:t>to</w:t>
            </w:r>
            <w:proofErr w:type="spellEnd"/>
            <w:r w:rsidRPr="00F01347">
              <w:rPr>
                <w:rFonts w:ascii="Verdana" w:hAnsi="Verdana"/>
                <w:sz w:val="16"/>
                <w:szCs w:val="16"/>
              </w:rPr>
              <w:t xml:space="preserve"> 1.0</w:t>
            </w:r>
          </w:p>
        </w:tc>
      </w:tr>
      <w:tr w:rsidR="005E5549" w:rsidRPr="00F01347" w14:paraId="19C0E8A6" w14:textId="77777777" w:rsidTr="005E5549">
        <w:trPr>
          <w:trHeight w:val="20"/>
        </w:trPr>
        <w:tc>
          <w:tcPr>
            <w:tcW w:w="938" w:type="dxa"/>
            <w:tcBorders>
              <w:top w:val="single" w:sz="6" w:space="0" w:color="auto"/>
              <w:left w:val="single" w:sz="6" w:space="0" w:color="auto"/>
              <w:bottom w:val="single" w:sz="6" w:space="0" w:color="auto"/>
              <w:right w:val="single" w:sz="6" w:space="0" w:color="auto"/>
            </w:tcBorders>
            <w:hideMark/>
          </w:tcPr>
          <w:p w14:paraId="57E9113E"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10</w:t>
            </w:r>
          </w:p>
        </w:tc>
        <w:tc>
          <w:tcPr>
            <w:tcW w:w="2491" w:type="dxa"/>
            <w:tcBorders>
              <w:top w:val="single" w:sz="6" w:space="0" w:color="auto"/>
              <w:left w:val="single" w:sz="6" w:space="0" w:color="auto"/>
              <w:bottom w:val="single" w:sz="6" w:space="0" w:color="auto"/>
              <w:right w:val="single" w:sz="6" w:space="0" w:color="auto"/>
            </w:tcBorders>
            <w:hideMark/>
          </w:tcPr>
          <w:p w14:paraId="23476273"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35</w:t>
            </w:r>
          </w:p>
        </w:tc>
        <w:tc>
          <w:tcPr>
            <w:tcW w:w="2768" w:type="dxa"/>
            <w:tcBorders>
              <w:top w:val="single" w:sz="6" w:space="0" w:color="auto"/>
              <w:left w:val="single" w:sz="6" w:space="0" w:color="auto"/>
              <w:bottom w:val="single" w:sz="6" w:space="0" w:color="auto"/>
              <w:right w:val="single" w:sz="6" w:space="0" w:color="auto"/>
            </w:tcBorders>
            <w:hideMark/>
          </w:tcPr>
          <w:p w14:paraId="049890FA"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65</w:t>
            </w:r>
          </w:p>
        </w:tc>
        <w:tc>
          <w:tcPr>
            <w:tcW w:w="2645" w:type="dxa"/>
            <w:tcBorders>
              <w:top w:val="single" w:sz="6" w:space="0" w:color="auto"/>
              <w:left w:val="single" w:sz="6" w:space="0" w:color="auto"/>
              <w:bottom w:val="single" w:sz="6" w:space="0" w:color="auto"/>
              <w:right w:val="single" w:sz="6" w:space="0" w:color="auto"/>
            </w:tcBorders>
            <w:hideMark/>
          </w:tcPr>
          <w:p w14:paraId="6BFE66F6"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 xml:space="preserve">0.3 </w:t>
            </w:r>
            <w:proofErr w:type="spellStart"/>
            <w:r w:rsidRPr="00F01347">
              <w:rPr>
                <w:rFonts w:ascii="Verdana" w:hAnsi="Verdana"/>
                <w:sz w:val="16"/>
                <w:szCs w:val="16"/>
              </w:rPr>
              <w:t>to</w:t>
            </w:r>
            <w:proofErr w:type="spellEnd"/>
            <w:r w:rsidRPr="00F01347">
              <w:rPr>
                <w:rFonts w:ascii="Verdana" w:hAnsi="Verdana"/>
                <w:sz w:val="16"/>
                <w:szCs w:val="16"/>
              </w:rPr>
              <w:t xml:space="preserve"> 1.0</w:t>
            </w:r>
          </w:p>
        </w:tc>
      </w:tr>
      <w:tr w:rsidR="005E5549" w:rsidRPr="00F01347" w14:paraId="099D11D2" w14:textId="77777777" w:rsidTr="005E5549">
        <w:trPr>
          <w:trHeight w:val="20"/>
        </w:trPr>
        <w:tc>
          <w:tcPr>
            <w:tcW w:w="938" w:type="dxa"/>
            <w:tcBorders>
              <w:top w:val="single" w:sz="6" w:space="0" w:color="auto"/>
              <w:left w:val="single" w:sz="6" w:space="0" w:color="auto"/>
              <w:bottom w:val="single" w:sz="6" w:space="0" w:color="auto"/>
              <w:right w:val="single" w:sz="6" w:space="0" w:color="auto"/>
            </w:tcBorders>
            <w:hideMark/>
          </w:tcPr>
          <w:p w14:paraId="18A9F6C2"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40</w:t>
            </w:r>
          </w:p>
        </w:tc>
        <w:tc>
          <w:tcPr>
            <w:tcW w:w="2491" w:type="dxa"/>
            <w:tcBorders>
              <w:top w:val="single" w:sz="6" w:space="0" w:color="auto"/>
              <w:left w:val="single" w:sz="6" w:space="0" w:color="auto"/>
              <w:bottom w:val="single" w:sz="6" w:space="0" w:color="auto"/>
              <w:right w:val="single" w:sz="6" w:space="0" w:color="auto"/>
            </w:tcBorders>
            <w:hideMark/>
          </w:tcPr>
          <w:p w14:paraId="4B6C2AC5"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70</w:t>
            </w:r>
          </w:p>
        </w:tc>
        <w:tc>
          <w:tcPr>
            <w:tcW w:w="2768" w:type="dxa"/>
            <w:tcBorders>
              <w:top w:val="single" w:sz="6" w:space="0" w:color="auto"/>
              <w:left w:val="single" w:sz="6" w:space="0" w:color="auto"/>
              <w:bottom w:val="single" w:sz="6" w:space="0" w:color="auto"/>
              <w:right w:val="single" w:sz="6" w:space="0" w:color="auto"/>
            </w:tcBorders>
            <w:hideMark/>
          </w:tcPr>
          <w:p w14:paraId="0FB1AD8C"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30</w:t>
            </w:r>
          </w:p>
        </w:tc>
        <w:tc>
          <w:tcPr>
            <w:tcW w:w="2645" w:type="dxa"/>
            <w:tcBorders>
              <w:top w:val="single" w:sz="6" w:space="0" w:color="auto"/>
              <w:left w:val="single" w:sz="6" w:space="0" w:color="auto"/>
              <w:bottom w:val="single" w:sz="6" w:space="0" w:color="auto"/>
              <w:right w:val="single" w:sz="6" w:space="0" w:color="auto"/>
            </w:tcBorders>
            <w:hideMark/>
          </w:tcPr>
          <w:p w14:paraId="2E5B8F81"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 xml:space="preserve">0.3 </w:t>
            </w:r>
            <w:proofErr w:type="spellStart"/>
            <w:r w:rsidRPr="00F01347">
              <w:rPr>
                <w:rFonts w:ascii="Verdana" w:hAnsi="Verdana"/>
                <w:sz w:val="16"/>
                <w:szCs w:val="16"/>
              </w:rPr>
              <w:t>to</w:t>
            </w:r>
            <w:proofErr w:type="spellEnd"/>
            <w:r w:rsidRPr="00F01347">
              <w:rPr>
                <w:rFonts w:ascii="Verdana" w:hAnsi="Verdana"/>
                <w:sz w:val="16"/>
                <w:szCs w:val="16"/>
              </w:rPr>
              <w:t xml:space="preserve"> 1.0</w:t>
            </w:r>
          </w:p>
        </w:tc>
      </w:tr>
      <w:tr w:rsidR="005E5549" w:rsidRPr="00F01347" w14:paraId="503CF07B" w14:textId="77777777" w:rsidTr="005E5549">
        <w:trPr>
          <w:trHeight w:val="20"/>
        </w:trPr>
        <w:tc>
          <w:tcPr>
            <w:tcW w:w="938" w:type="dxa"/>
            <w:tcBorders>
              <w:top w:val="single" w:sz="6" w:space="0" w:color="auto"/>
              <w:left w:val="single" w:sz="6" w:space="0" w:color="auto"/>
              <w:bottom w:val="single" w:sz="6" w:space="0" w:color="auto"/>
              <w:right w:val="single" w:sz="6" w:space="0" w:color="auto"/>
            </w:tcBorders>
            <w:hideMark/>
          </w:tcPr>
          <w:p w14:paraId="69C1637A"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42</w:t>
            </w:r>
          </w:p>
        </w:tc>
        <w:tc>
          <w:tcPr>
            <w:tcW w:w="2491" w:type="dxa"/>
            <w:tcBorders>
              <w:top w:val="single" w:sz="6" w:space="0" w:color="auto"/>
              <w:left w:val="single" w:sz="6" w:space="0" w:color="auto"/>
              <w:bottom w:val="single" w:sz="6" w:space="0" w:color="auto"/>
              <w:right w:val="single" w:sz="6" w:space="0" w:color="auto"/>
            </w:tcBorders>
            <w:hideMark/>
          </w:tcPr>
          <w:p w14:paraId="3B123662"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100</w:t>
            </w:r>
          </w:p>
        </w:tc>
        <w:tc>
          <w:tcPr>
            <w:tcW w:w="2768" w:type="dxa"/>
            <w:tcBorders>
              <w:top w:val="single" w:sz="6" w:space="0" w:color="auto"/>
              <w:left w:val="single" w:sz="6" w:space="0" w:color="auto"/>
              <w:bottom w:val="single" w:sz="6" w:space="0" w:color="auto"/>
              <w:right w:val="single" w:sz="6" w:space="0" w:color="auto"/>
            </w:tcBorders>
            <w:hideMark/>
          </w:tcPr>
          <w:p w14:paraId="44BD1921"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0</w:t>
            </w:r>
          </w:p>
        </w:tc>
        <w:tc>
          <w:tcPr>
            <w:tcW w:w="2645" w:type="dxa"/>
            <w:tcBorders>
              <w:top w:val="single" w:sz="6" w:space="0" w:color="auto"/>
              <w:left w:val="single" w:sz="6" w:space="0" w:color="auto"/>
              <w:bottom w:val="single" w:sz="6" w:space="0" w:color="auto"/>
              <w:right w:val="single" w:sz="6" w:space="0" w:color="auto"/>
            </w:tcBorders>
            <w:hideMark/>
          </w:tcPr>
          <w:p w14:paraId="2579E46D"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 xml:space="preserve">0.3 </w:t>
            </w:r>
            <w:proofErr w:type="spellStart"/>
            <w:r w:rsidRPr="00F01347">
              <w:rPr>
                <w:rFonts w:ascii="Verdana" w:hAnsi="Verdana"/>
                <w:sz w:val="16"/>
                <w:szCs w:val="16"/>
              </w:rPr>
              <w:t>to</w:t>
            </w:r>
            <w:proofErr w:type="spellEnd"/>
            <w:r w:rsidRPr="00F01347">
              <w:rPr>
                <w:rFonts w:ascii="Verdana" w:hAnsi="Verdana"/>
                <w:sz w:val="16"/>
                <w:szCs w:val="16"/>
              </w:rPr>
              <w:t xml:space="preserve"> 1.0</w:t>
            </w:r>
          </w:p>
        </w:tc>
      </w:tr>
      <w:tr w:rsidR="005E5549" w:rsidRPr="00F01347" w14:paraId="2D6E445D" w14:textId="77777777" w:rsidTr="005E5549">
        <w:trPr>
          <w:trHeight w:val="20"/>
        </w:trPr>
        <w:tc>
          <w:tcPr>
            <w:tcW w:w="938" w:type="dxa"/>
            <w:tcBorders>
              <w:top w:val="single" w:sz="6" w:space="0" w:color="auto"/>
              <w:left w:val="single" w:sz="6" w:space="0" w:color="auto"/>
              <w:bottom w:val="single" w:sz="6" w:space="0" w:color="auto"/>
              <w:right w:val="single" w:sz="6" w:space="0" w:color="auto"/>
            </w:tcBorders>
            <w:hideMark/>
          </w:tcPr>
          <w:p w14:paraId="4CE27214"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44</w:t>
            </w:r>
          </w:p>
        </w:tc>
        <w:tc>
          <w:tcPr>
            <w:tcW w:w="2491" w:type="dxa"/>
            <w:tcBorders>
              <w:top w:val="single" w:sz="6" w:space="0" w:color="auto"/>
              <w:left w:val="single" w:sz="6" w:space="0" w:color="auto"/>
              <w:bottom w:val="single" w:sz="6" w:space="0" w:color="auto"/>
              <w:right w:val="single" w:sz="6" w:space="0" w:color="auto"/>
            </w:tcBorders>
            <w:hideMark/>
          </w:tcPr>
          <w:p w14:paraId="263F497A"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100</w:t>
            </w:r>
          </w:p>
        </w:tc>
        <w:tc>
          <w:tcPr>
            <w:tcW w:w="2768" w:type="dxa"/>
            <w:tcBorders>
              <w:top w:val="single" w:sz="6" w:space="0" w:color="auto"/>
              <w:left w:val="single" w:sz="6" w:space="0" w:color="auto"/>
              <w:bottom w:val="single" w:sz="6" w:space="0" w:color="auto"/>
              <w:right w:val="single" w:sz="6" w:space="0" w:color="auto"/>
            </w:tcBorders>
            <w:hideMark/>
          </w:tcPr>
          <w:p w14:paraId="64F2897C"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0</w:t>
            </w:r>
          </w:p>
        </w:tc>
        <w:tc>
          <w:tcPr>
            <w:tcW w:w="2645" w:type="dxa"/>
            <w:tcBorders>
              <w:top w:val="single" w:sz="6" w:space="0" w:color="auto"/>
              <w:left w:val="single" w:sz="6" w:space="0" w:color="auto"/>
              <w:bottom w:val="single" w:sz="6" w:space="0" w:color="auto"/>
              <w:right w:val="single" w:sz="6" w:space="0" w:color="auto"/>
            </w:tcBorders>
            <w:hideMark/>
          </w:tcPr>
          <w:p w14:paraId="479154C7"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 xml:space="preserve">0.3 </w:t>
            </w:r>
            <w:proofErr w:type="spellStart"/>
            <w:r w:rsidRPr="00F01347">
              <w:rPr>
                <w:rFonts w:ascii="Verdana" w:hAnsi="Verdana"/>
                <w:sz w:val="16"/>
                <w:szCs w:val="16"/>
              </w:rPr>
              <w:t>to</w:t>
            </w:r>
            <w:proofErr w:type="spellEnd"/>
            <w:r w:rsidRPr="00F01347">
              <w:rPr>
                <w:rFonts w:ascii="Verdana" w:hAnsi="Verdana"/>
                <w:sz w:val="16"/>
                <w:szCs w:val="16"/>
              </w:rPr>
              <w:t xml:space="preserve"> 1.0</w:t>
            </w:r>
          </w:p>
        </w:tc>
      </w:tr>
      <w:tr w:rsidR="005E5549" w:rsidRPr="00F01347" w14:paraId="7AF4771C" w14:textId="77777777" w:rsidTr="005E5549">
        <w:trPr>
          <w:trHeight w:val="20"/>
        </w:trPr>
        <w:tc>
          <w:tcPr>
            <w:tcW w:w="938" w:type="dxa"/>
            <w:tcBorders>
              <w:top w:val="single" w:sz="6" w:space="0" w:color="auto"/>
              <w:left w:val="single" w:sz="6" w:space="0" w:color="auto"/>
              <w:bottom w:val="single" w:sz="6" w:space="0" w:color="auto"/>
              <w:right w:val="single" w:sz="6" w:space="0" w:color="auto"/>
            </w:tcBorders>
            <w:hideMark/>
          </w:tcPr>
          <w:p w14:paraId="7A41771A"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46</w:t>
            </w:r>
          </w:p>
        </w:tc>
        <w:tc>
          <w:tcPr>
            <w:tcW w:w="2491" w:type="dxa"/>
            <w:tcBorders>
              <w:top w:val="single" w:sz="6" w:space="0" w:color="auto"/>
              <w:left w:val="single" w:sz="6" w:space="0" w:color="auto"/>
              <w:bottom w:val="single" w:sz="6" w:space="0" w:color="auto"/>
              <w:right w:val="single" w:sz="6" w:space="0" w:color="auto"/>
            </w:tcBorders>
            <w:hideMark/>
          </w:tcPr>
          <w:p w14:paraId="3C83200C"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30</w:t>
            </w:r>
          </w:p>
        </w:tc>
        <w:tc>
          <w:tcPr>
            <w:tcW w:w="2768" w:type="dxa"/>
            <w:tcBorders>
              <w:top w:val="single" w:sz="6" w:space="0" w:color="auto"/>
              <w:left w:val="single" w:sz="6" w:space="0" w:color="auto"/>
              <w:bottom w:val="single" w:sz="6" w:space="0" w:color="auto"/>
              <w:right w:val="single" w:sz="6" w:space="0" w:color="auto"/>
            </w:tcBorders>
            <w:hideMark/>
          </w:tcPr>
          <w:p w14:paraId="0D715317"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70</w:t>
            </w:r>
          </w:p>
        </w:tc>
        <w:tc>
          <w:tcPr>
            <w:tcW w:w="2645" w:type="dxa"/>
            <w:tcBorders>
              <w:top w:val="single" w:sz="6" w:space="0" w:color="auto"/>
              <w:left w:val="single" w:sz="6" w:space="0" w:color="auto"/>
              <w:bottom w:val="single" w:sz="6" w:space="0" w:color="auto"/>
              <w:right w:val="single" w:sz="6" w:space="0" w:color="auto"/>
            </w:tcBorders>
            <w:hideMark/>
          </w:tcPr>
          <w:p w14:paraId="4F8D4DF4"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 xml:space="preserve">0.3 </w:t>
            </w:r>
            <w:proofErr w:type="spellStart"/>
            <w:r w:rsidRPr="00F01347">
              <w:rPr>
                <w:rFonts w:ascii="Verdana" w:hAnsi="Verdana"/>
                <w:sz w:val="16"/>
                <w:szCs w:val="16"/>
              </w:rPr>
              <w:t>to</w:t>
            </w:r>
            <w:proofErr w:type="spellEnd"/>
            <w:r w:rsidRPr="00F01347">
              <w:rPr>
                <w:rFonts w:ascii="Verdana" w:hAnsi="Verdana"/>
                <w:sz w:val="16"/>
                <w:szCs w:val="16"/>
              </w:rPr>
              <w:t xml:space="preserve"> 1.0</w:t>
            </w:r>
          </w:p>
        </w:tc>
      </w:tr>
      <w:tr w:rsidR="005E5549" w:rsidRPr="00F01347" w14:paraId="1BECDB5E" w14:textId="77777777" w:rsidTr="005E5549">
        <w:trPr>
          <w:trHeight w:val="20"/>
        </w:trPr>
        <w:tc>
          <w:tcPr>
            <w:tcW w:w="938" w:type="dxa"/>
            <w:tcBorders>
              <w:top w:val="single" w:sz="6" w:space="0" w:color="auto"/>
              <w:left w:val="single" w:sz="6" w:space="0" w:color="auto"/>
              <w:bottom w:val="single" w:sz="6" w:space="0" w:color="auto"/>
              <w:right w:val="single" w:sz="6" w:space="0" w:color="auto"/>
            </w:tcBorders>
            <w:hideMark/>
          </w:tcPr>
          <w:p w14:paraId="0F8A557A"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55</w:t>
            </w:r>
          </w:p>
        </w:tc>
        <w:tc>
          <w:tcPr>
            <w:tcW w:w="2491" w:type="dxa"/>
            <w:tcBorders>
              <w:top w:val="single" w:sz="6" w:space="0" w:color="auto"/>
              <w:left w:val="single" w:sz="6" w:space="0" w:color="auto"/>
              <w:bottom w:val="single" w:sz="6" w:space="0" w:color="auto"/>
              <w:right w:val="single" w:sz="6" w:space="0" w:color="auto"/>
            </w:tcBorders>
            <w:hideMark/>
          </w:tcPr>
          <w:p w14:paraId="48FDD6CD"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30</w:t>
            </w:r>
          </w:p>
        </w:tc>
        <w:tc>
          <w:tcPr>
            <w:tcW w:w="2768" w:type="dxa"/>
            <w:tcBorders>
              <w:top w:val="single" w:sz="6" w:space="0" w:color="auto"/>
              <w:left w:val="single" w:sz="6" w:space="0" w:color="auto"/>
              <w:bottom w:val="single" w:sz="6" w:space="0" w:color="auto"/>
              <w:right w:val="single" w:sz="6" w:space="0" w:color="auto"/>
            </w:tcBorders>
            <w:hideMark/>
          </w:tcPr>
          <w:p w14:paraId="4D265A20"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70</w:t>
            </w:r>
          </w:p>
        </w:tc>
        <w:tc>
          <w:tcPr>
            <w:tcW w:w="2645" w:type="dxa"/>
            <w:tcBorders>
              <w:top w:val="single" w:sz="6" w:space="0" w:color="auto"/>
              <w:left w:val="single" w:sz="6" w:space="0" w:color="auto"/>
              <w:bottom w:val="single" w:sz="6" w:space="0" w:color="auto"/>
              <w:right w:val="single" w:sz="6" w:space="0" w:color="auto"/>
            </w:tcBorders>
            <w:hideMark/>
          </w:tcPr>
          <w:p w14:paraId="535C6DCB" w14:textId="77777777" w:rsidR="005E5549" w:rsidRPr="00F01347" w:rsidRDefault="005E5549">
            <w:pPr>
              <w:pStyle w:val="texto0"/>
              <w:spacing w:before="40" w:after="40" w:line="240" w:lineRule="auto"/>
              <w:ind w:firstLine="0"/>
              <w:jc w:val="center"/>
              <w:rPr>
                <w:rFonts w:ascii="Verdana" w:hAnsi="Verdana"/>
                <w:sz w:val="16"/>
                <w:szCs w:val="16"/>
              </w:rPr>
            </w:pPr>
            <w:r w:rsidRPr="00F01347">
              <w:rPr>
                <w:rFonts w:ascii="Verdana" w:hAnsi="Verdana"/>
                <w:sz w:val="16"/>
                <w:szCs w:val="16"/>
              </w:rPr>
              <w:t xml:space="preserve">0.3 </w:t>
            </w:r>
            <w:proofErr w:type="spellStart"/>
            <w:r w:rsidRPr="00F01347">
              <w:rPr>
                <w:rFonts w:ascii="Verdana" w:hAnsi="Verdana"/>
                <w:sz w:val="16"/>
                <w:szCs w:val="16"/>
              </w:rPr>
              <w:t>to</w:t>
            </w:r>
            <w:proofErr w:type="spellEnd"/>
            <w:r w:rsidRPr="00F01347">
              <w:rPr>
                <w:rFonts w:ascii="Verdana" w:hAnsi="Verdana"/>
                <w:sz w:val="16"/>
                <w:szCs w:val="16"/>
              </w:rPr>
              <w:t xml:space="preserve"> 1.0</w:t>
            </w:r>
          </w:p>
        </w:tc>
      </w:tr>
    </w:tbl>
    <w:p w14:paraId="68A857B9" w14:textId="77777777" w:rsidR="005E5549" w:rsidRPr="00F01347" w:rsidRDefault="005E5549" w:rsidP="005E5549">
      <w:pPr>
        <w:pStyle w:val="texto0"/>
        <w:spacing w:line="214" w:lineRule="exact"/>
        <w:rPr>
          <w:rFonts w:ascii="Verdana" w:hAnsi="Verdana"/>
          <w:sz w:val="16"/>
          <w:szCs w:val="16"/>
          <w:lang w:val="en"/>
        </w:rPr>
      </w:pPr>
    </w:p>
    <w:p w14:paraId="683AC2B0" w14:textId="77777777" w:rsidR="005E5549" w:rsidRPr="00F01347" w:rsidRDefault="005E5549" w:rsidP="003A601B">
      <w:pPr>
        <w:pStyle w:val="texto0"/>
        <w:spacing w:line="214"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E5549" w:rsidRPr="00F01347" w14:paraId="595A9375" w14:textId="79F07294" w:rsidTr="00F53D80">
        <w:tc>
          <w:tcPr>
            <w:tcW w:w="4675" w:type="dxa"/>
          </w:tcPr>
          <w:p w14:paraId="23C861BF" w14:textId="77777777" w:rsidR="005E5549" w:rsidRPr="00F01347" w:rsidRDefault="005E5549" w:rsidP="005E5549">
            <w:pPr>
              <w:pStyle w:val="texto0"/>
              <w:spacing w:line="214" w:lineRule="exact"/>
              <w:ind w:firstLine="0"/>
              <w:rPr>
                <w:rFonts w:ascii="Verdana" w:hAnsi="Verdana"/>
                <w:sz w:val="16"/>
                <w:szCs w:val="16"/>
              </w:rPr>
            </w:pPr>
            <w:r w:rsidRPr="00F01347">
              <w:rPr>
                <w:rFonts w:ascii="Verdana" w:hAnsi="Verdana"/>
                <w:b/>
                <w:sz w:val="16"/>
                <w:szCs w:val="16"/>
              </w:rPr>
              <w:t>Metanol.</w:t>
            </w:r>
            <w:r w:rsidRPr="00F01347">
              <w:rPr>
                <w:rFonts w:ascii="Verdana" w:hAnsi="Verdana"/>
                <w:sz w:val="16"/>
                <w:szCs w:val="16"/>
              </w:rPr>
              <w:t xml:space="preserve"> CH</w:t>
            </w:r>
            <w:r w:rsidRPr="00F01347">
              <w:rPr>
                <w:rFonts w:ascii="Verdana" w:hAnsi="Verdana"/>
                <w:sz w:val="16"/>
                <w:szCs w:val="16"/>
                <w:vertAlign w:val="subscript"/>
              </w:rPr>
              <w:t>3</w:t>
            </w:r>
            <w:r w:rsidRPr="00F01347">
              <w:rPr>
                <w:rFonts w:ascii="Verdana" w:hAnsi="Verdana"/>
                <w:sz w:val="16"/>
                <w:szCs w:val="16"/>
              </w:rPr>
              <w:t>OH, grado HPLC</w:t>
            </w:r>
          </w:p>
        </w:tc>
        <w:tc>
          <w:tcPr>
            <w:tcW w:w="4675" w:type="dxa"/>
          </w:tcPr>
          <w:p w14:paraId="18689619" w14:textId="1ADDEF3A" w:rsidR="005E5549" w:rsidRPr="00F01347" w:rsidRDefault="005E5549" w:rsidP="005E5549">
            <w:pPr>
              <w:pStyle w:val="texto0"/>
              <w:spacing w:line="214" w:lineRule="exact"/>
              <w:ind w:firstLine="0"/>
              <w:rPr>
                <w:rFonts w:ascii="Verdana" w:hAnsi="Verdana"/>
                <w:b/>
                <w:sz w:val="16"/>
                <w:szCs w:val="16"/>
                <w:lang w:val="en-US"/>
              </w:rPr>
            </w:pPr>
            <w:r w:rsidRPr="00F01347">
              <w:rPr>
                <w:rFonts w:ascii="Verdana" w:hAnsi="Verdana"/>
                <w:b/>
                <w:sz w:val="16"/>
                <w:szCs w:val="16"/>
                <w:lang w:val="en-US"/>
              </w:rPr>
              <w:t xml:space="preserve">Methanol. </w:t>
            </w:r>
            <w:r w:rsidRPr="00F01347">
              <w:rPr>
                <w:rFonts w:ascii="Verdana" w:hAnsi="Verdana"/>
                <w:sz w:val="16"/>
                <w:szCs w:val="16"/>
                <w:lang w:val="en-US"/>
              </w:rPr>
              <w:t>CH</w:t>
            </w:r>
            <w:r w:rsidRPr="00F01347">
              <w:rPr>
                <w:rFonts w:ascii="Verdana" w:hAnsi="Verdana"/>
                <w:sz w:val="16"/>
                <w:szCs w:val="16"/>
                <w:vertAlign w:val="subscript"/>
                <w:lang w:val="en-US"/>
              </w:rPr>
              <w:t xml:space="preserve">3 </w:t>
            </w:r>
            <w:r w:rsidRPr="00F01347">
              <w:rPr>
                <w:rFonts w:ascii="Verdana" w:hAnsi="Verdana"/>
                <w:sz w:val="16"/>
                <w:szCs w:val="16"/>
                <w:lang w:val="en-US"/>
              </w:rPr>
              <w:t>OH, HPLC grade</w:t>
            </w:r>
          </w:p>
        </w:tc>
      </w:tr>
      <w:tr w:rsidR="005E5549" w:rsidRPr="00F01347" w14:paraId="2E3C8526" w14:textId="7272F24E" w:rsidTr="00F53D80">
        <w:tc>
          <w:tcPr>
            <w:tcW w:w="4675" w:type="dxa"/>
          </w:tcPr>
          <w:p w14:paraId="02D7DCC1" w14:textId="77777777" w:rsidR="005E5549" w:rsidRPr="00F01347" w:rsidRDefault="005E5549" w:rsidP="005E5549">
            <w:pPr>
              <w:pStyle w:val="texto0"/>
              <w:spacing w:line="214" w:lineRule="exact"/>
              <w:ind w:firstLine="0"/>
              <w:rPr>
                <w:rFonts w:ascii="Verdana" w:hAnsi="Verdana"/>
                <w:sz w:val="16"/>
                <w:szCs w:val="16"/>
              </w:rPr>
            </w:pPr>
            <w:proofErr w:type="spellStart"/>
            <w:r w:rsidRPr="00F01347">
              <w:rPr>
                <w:rFonts w:ascii="Verdana" w:hAnsi="Verdana"/>
                <w:b/>
                <w:sz w:val="16"/>
                <w:szCs w:val="16"/>
              </w:rPr>
              <w:t>Microcistina</w:t>
            </w:r>
            <w:proofErr w:type="spellEnd"/>
            <w:r w:rsidRPr="00F01347">
              <w:rPr>
                <w:rFonts w:ascii="Verdana" w:hAnsi="Verdana"/>
                <w:b/>
                <w:sz w:val="16"/>
                <w:szCs w:val="16"/>
              </w:rPr>
              <w:t>.</w:t>
            </w:r>
            <w:r w:rsidRPr="00F01347">
              <w:rPr>
                <w:rFonts w:ascii="Verdana" w:hAnsi="Verdana"/>
                <w:sz w:val="16"/>
                <w:szCs w:val="16"/>
              </w:rPr>
              <w:t xml:space="preserve"> Comercialmente disponible en ampolletas. La calidad de la </w:t>
            </w:r>
            <w:proofErr w:type="spellStart"/>
            <w:r w:rsidRPr="00F01347">
              <w:rPr>
                <w:rFonts w:ascii="Verdana" w:hAnsi="Verdana"/>
                <w:sz w:val="16"/>
                <w:szCs w:val="16"/>
              </w:rPr>
              <w:t>microcistina</w:t>
            </w:r>
            <w:proofErr w:type="spellEnd"/>
            <w:r w:rsidRPr="00F01347">
              <w:rPr>
                <w:rFonts w:ascii="Verdana" w:hAnsi="Verdana"/>
                <w:sz w:val="16"/>
                <w:szCs w:val="16"/>
              </w:rPr>
              <w:t xml:space="preserve"> comercialmente disponible es muy variable, por lo que se recomienda realizar las soluciones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como se menciona en este documento.</w:t>
            </w:r>
          </w:p>
        </w:tc>
        <w:tc>
          <w:tcPr>
            <w:tcW w:w="4675" w:type="dxa"/>
          </w:tcPr>
          <w:p w14:paraId="3EC68017" w14:textId="5EB33141" w:rsidR="005E5549" w:rsidRPr="00F01347" w:rsidRDefault="005E5549" w:rsidP="005E5549">
            <w:pPr>
              <w:pStyle w:val="texto0"/>
              <w:spacing w:line="214" w:lineRule="exact"/>
              <w:ind w:firstLine="0"/>
              <w:rPr>
                <w:rFonts w:ascii="Verdana" w:hAnsi="Verdana"/>
                <w:b/>
                <w:sz w:val="16"/>
                <w:szCs w:val="16"/>
                <w:lang w:val="en-US"/>
              </w:rPr>
            </w:pPr>
            <w:r w:rsidRPr="00F01347">
              <w:rPr>
                <w:rFonts w:ascii="Verdana" w:hAnsi="Verdana"/>
                <w:b/>
                <w:sz w:val="16"/>
                <w:szCs w:val="16"/>
                <w:lang w:val="en-US"/>
              </w:rPr>
              <w:t>Microcystin</w:t>
            </w:r>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Commercially available in vials. The quality of commercially available microcystin is highly variable, so it is recommended to make microcystin solutions as mentioned in this document.</w:t>
            </w:r>
          </w:p>
        </w:tc>
      </w:tr>
      <w:tr w:rsidR="005E5549" w:rsidRPr="00F01347" w14:paraId="636E25D6" w14:textId="60DA4C80" w:rsidTr="00F53D80">
        <w:tc>
          <w:tcPr>
            <w:tcW w:w="4675" w:type="dxa"/>
          </w:tcPr>
          <w:p w14:paraId="62CCBCA6" w14:textId="77777777" w:rsidR="005E5549" w:rsidRPr="00F01347" w:rsidRDefault="005E5549" w:rsidP="005E5549">
            <w:pPr>
              <w:pStyle w:val="texto0"/>
              <w:spacing w:line="214" w:lineRule="exact"/>
              <w:ind w:firstLine="0"/>
              <w:rPr>
                <w:rFonts w:ascii="Verdana" w:hAnsi="Verdana"/>
                <w:sz w:val="16"/>
                <w:szCs w:val="16"/>
              </w:rPr>
            </w:pPr>
            <w:r w:rsidRPr="00F01347">
              <w:rPr>
                <w:rFonts w:ascii="Verdana" w:hAnsi="Verdana"/>
                <w:b/>
                <w:sz w:val="16"/>
                <w:szCs w:val="16"/>
              </w:rPr>
              <w:t>Solución de elución SPE.</w:t>
            </w:r>
            <w:r w:rsidRPr="00F01347">
              <w:rPr>
                <w:rFonts w:ascii="Verdana" w:hAnsi="Verdana"/>
                <w:sz w:val="16"/>
                <w:szCs w:val="16"/>
              </w:rPr>
              <w:t xml:space="preserve"> Metanol/agua (90/10 volumen/volumen) que contiene 0.1% de TFA.</w:t>
            </w:r>
          </w:p>
        </w:tc>
        <w:tc>
          <w:tcPr>
            <w:tcW w:w="4675" w:type="dxa"/>
          </w:tcPr>
          <w:p w14:paraId="31B5A683" w14:textId="6DFA51EF" w:rsidR="005E5549" w:rsidRPr="00F01347" w:rsidRDefault="005E5549" w:rsidP="005E5549">
            <w:pPr>
              <w:pStyle w:val="texto0"/>
              <w:spacing w:line="214" w:lineRule="exact"/>
              <w:ind w:firstLine="0"/>
              <w:rPr>
                <w:rFonts w:ascii="Verdana" w:hAnsi="Verdana"/>
                <w:b/>
                <w:sz w:val="16"/>
                <w:szCs w:val="16"/>
                <w:lang w:val="en-US"/>
              </w:rPr>
            </w:pPr>
            <w:r w:rsidRPr="00F01347">
              <w:rPr>
                <w:rFonts w:ascii="Verdana" w:hAnsi="Verdana"/>
                <w:b/>
                <w:sz w:val="16"/>
                <w:szCs w:val="16"/>
                <w:lang w:val="en-US"/>
              </w:rPr>
              <w:t xml:space="preserve">SPE elution solution. </w:t>
            </w:r>
            <w:r w:rsidRPr="00F01347">
              <w:rPr>
                <w:rFonts w:ascii="Verdana" w:hAnsi="Verdana"/>
                <w:sz w:val="16"/>
                <w:szCs w:val="16"/>
                <w:lang w:val="en-US"/>
              </w:rPr>
              <w:t>Methanol/water (90/10 volume/volume) containing 0.1% TFA.</w:t>
            </w:r>
          </w:p>
        </w:tc>
      </w:tr>
      <w:tr w:rsidR="005E5549" w:rsidRPr="00F01347" w14:paraId="26B4A8AD" w14:textId="1E777F2F" w:rsidTr="00F53D80">
        <w:tc>
          <w:tcPr>
            <w:tcW w:w="4675" w:type="dxa"/>
          </w:tcPr>
          <w:p w14:paraId="13AE7469" w14:textId="77777777" w:rsidR="005E5549" w:rsidRPr="00F01347" w:rsidRDefault="005E5549" w:rsidP="005E5549">
            <w:pPr>
              <w:pStyle w:val="texto0"/>
              <w:spacing w:line="214" w:lineRule="exact"/>
              <w:ind w:firstLine="0"/>
              <w:rPr>
                <w:rFonts w:ascii="Verdana" w:hAnsi="Verdana"/>
                <w:sz w:val="16"/>
                <w:szCs w:val="16"/>
              </w:rPr>
            </w:pPr>
            <w:r w:rsidRPr="00F01347">
              <w:rPr>
                <w:rFonts w:ascii="Verdana" w:hAnsi="Verdana"/>
                <w:b/>
                <w:sz w:val="16"/>
                <w:szCs w:val="16"/>
              </w:rPr>
              <w:t>Solución estándar para dilución.</w:t>
            </w:r>
            <w:r w:rsidRPr="00F01347">
              <w:rPr>
                <w:rFonts w:ascii="Verdana" w:hAnsi="Verdana"/>
                <w:sz w:val="16"/>
                <w:szCs w:val="16"/>
              </w:rPr>
              <w:t xml:space="preserve"> Solvente de enjuague SPE y solvente de </w:t>
            </w:r>
            <w:proofErr w:type="spellStart"/>
            <w:r w:rsidRPr="00F01347">
              <w:rPr>
                <w:rFonts w:ascii="Verdana" w:hAnsi="Verdana"/>
                <w:sz w:val="16"/>
                <w:szCs w:val="16"/>
              </w:rPr>
              <w:t>re-disolución</w:t>
            </w:r>
            <w:proofErr w:type="spellEnd"/>
            <w:r w:rsidRPr="00F01347">
              <w:rPr>
                <w:rFonts w:ascii="Verdana" w:hAnsi="Verdana"/>
                <w:sz w:val="16"/>
                <w:szCs w:val="16"/>
              </w:rPr>
              <w:t>. Metanol/agua (20/80 volumen/volumen).</w:t>
            </w:r>
          </w:p>
        </w:tc>
        <w:tc>
          <w:tcPr>
            <w:tcW w:w="4675" w:type="dxa"/>
          </w:tcPr>
          <w:p w14:paraId="6956E06D" w14:textId="01B286C8" w:rsidR="005E5549" w:rsidRPr="00F01347" w:rsidRDefault="005E5549" w:rsidP="005E5549">
            <w:pPr>
              <w:pStyle w:val="texto0"/>
              <w:spacing w:line="214" w:lineRule="exact"/>
              <w:ind w:firstLine="0"/>
              <w:rPr>
                <w:rFonts w:ascii="Verdana" w:hAnsi="Verdana"/>
                <w:b/>
                <w:sz w:val="16"/>
                <w:szCs w:val="16"/>
                <w:lang w:val="en-US"/>
              </w:rPr>
            </w:pPr>
            <w:r w:rsidRPr="00F01347">
              <w:rPr>
                <w:rFonts w:ascii="Verdana" w:hAnsi="Verdana"/>
                <w:b/>
                <w:sz w:val="16"/>
                <w:szCs w:val="16"/>
                <w:lang w:val="en-US"/>
              </w:rPr>
              <w:t xml:space="preserve">Standard solution for dilution. </w:t>
            </w:r>
            <w:r w:rsidRPr="00F01347">
              <w:rPr>
                <w:rFonts w:ascii="Verdana" w:hAnsi="Verdana"/>
                <w:sz w:val="16"/>
                <w:szCs w:val="16"/>
                <w:lang w:val="en-US"/>
              </w:rPr>
              <w:t>SPE rinse solvent and re-dissolving solvent</w:t>
            </w:r>
            <w:r w:rsidR="003E1BA9" w:rsidRPr="00F01347">
              <w:rPr>
                <w:rFonts w:ascii="Verdana" w:hAnsi="Verdana"/>
                <w:sz w:val="16"/>
                <w:szCs w:val="16"/>
                <w:lang w:val="en-US"/>
              </w:rPr>
              <w:t>.</w:t>
            </w:r>
            <w:r w:rsidRPr="00F01347">
              <w:rPr>
                <w:rFonts w:ascii="Verdana" w:hAnsi="Verdana"/>
                <w:sz w:val="16"/>
                <w:szCs w:val="16"/>
                <w:lang w:val="en-US"/>
              </w:rPr>
              <w:t xml:space="preserve"> Methanol/water (20/80 volume/volume).</w:t>
            </w:r>
          </w:p>
        </w:tc>
      </w:tr>
      <w:tr w:rsidR="005E5549" w:rsidRPr="00F01347" w14:paraId="548412FD" w14:textId="16D41851" w:rsidTr="00F53D80">
        <w:tc>
          <w:tcPr>
            <w:tcW w:w="4675" w:type="dxa"/>
          </w:tcPr>
          <w:p w14:paraId="7BB7C817" w14:textId="77777777" w:rsidR="005E5549" w:rsidRPr="00F01347" w:rsidRDefault="005E5549" w:rsidP="005E5549">
            <w:pPr>
              <w:pStyle w:val="texto0"/>
              <w:spacing w:line="214" w:lineRule="exact"/>
              <w:ind w:firstLine="0"/>
              <w:rPr>
                <w:rFonts w:ascii="Verdana" w:hAnsi="Verdana"/>
                <w:sz w:val="16"/>
                <w:szCs w:val="16"/>
              </w:rPr>
            </w:pPr>
            <w:r w:rsidRPr="00F01347">
              <w:rPr>
                <w:rFonts w:ascii="Verdana" w:hAnsi="Verdana"/>
                <w:b/>
                <w:sz w:val="16"/>
                <w:szCs w:val="16"/>
              </w:rPr>
              <w:t>Solución de extracción.</w:t>
            </w:r>
            <w:r w:rsidRPr="00F01347">
              <w:rPr>
                <w:rFonts w:ascii="Verdana" w:hAnsi="Verdana"/>
                <w:sz w:val="16"/>
                <w:szCs w:val="16"/>
              </w:rPr>
              <w:t xml:space="preserve"> Metanol/agua (75/25 volumen/volumen).</w:t>
            </w:r>
          </w:p>
        </w:tc>
        <w:tc>
          <w:tcPr>
            <w:tcW w:w="4675" w:type="dxa"/>
          </w:tcPr>
          <w:p w14:paraId="61B58F46" w14:textId="4D12F329" w:rsidR="005E5549" w:rsidRPr="00F01347" w:rsidRDefault="005E5549" w:rsidP="005E5549">
            <w:pPr>
              <w:pStyle w:val="texto0"/>
              <w:spacing w:line="214" w:lineRule="exact"/>
              <w:ind w:firstLine="0"/>
              <w:rPr>
                <w:rFonts w:ascii="Verdana" w:hAnsi="Verdana"/>
                <w:b/>
                <w:sz w:val="16"/>
                <w:szCs w:val="16"/>
                <w:lang w:val="en-US"/>
              </w:rPr>
            </w:pPr>
            <w:r w:rsidRPr="00F01347">
              <w:rPr>
                <w:rFonts w:ascii="Verdana" w:hAnsi="Verdana"/>
                <w:b/>
                <w:sz w:val="16"/>
                <w:szCs w:val="16"/>
                <w:lang w:val="en-US"/>
              </w:rPr>
              <w:t xml:space="preserve">Extraction solution. </w:t>
            </w:r>
            <w:r w:rsidRPr="00F01347">
              <w:rPr>
                <w:rFonts w:ascii="Verdana" w:hAnsi="Verdana"/>
                <w:sz w:val="16"/>
                <w:szCs w:val="16"/>
                <w:lang w:val="en-US"/>
              </w:rPr>
              <w:t>Methanol/water (75/25 volume/volume).</w:t>
            </w:r>
          </w:p>
        </w:tc>
      </w:tr>
      <w:tr w:rsidR="005E5549" w:rsidRPr="00F01347" w14:paraId="5317F2EF" w14:textId="43400F20" w:rsidTr="00F53D80">
        <w:tc>
          <w:tcPr>
            <w:tcW w:w="4675" w:type="dxa"/>
          </w:tcPr>
          <w:p w14:paraId="69D95ED5" w14:textId="77777777" w:rsidR="005E5549" w:rsidRPr="00F01347" w:rsidRDefault="005E5549" w:rsidP="005E5549">
            <w:pPr>
              <w:pStyle w:val="texto0"/>
              <w:spacing w:line="214" w:lineRule="exact"/>
              <w:ind w:firstLine="0"/>
              <w:rPr>
                <w:rFonts w:ascii="Verdana" w:hAnsi="Verdana"/>
                <w:sz w:val="16"/>
                <w:szCs w:val="16"/>
              </w:rPr>
            </w:pPr>
            <w:r w:rsidRPr="00F01347">
              <w:rPr>
                <w:rFonts w:ascii="Verdana" w:hAnsi="Verdana"/>
                <w:b/>
                <w:sz w:val="16"/>
                <w:szCs w:val="16"/>
              </w:rPr>
              <w:t xml:space="preserve">Solución de fase móvil HPLC (A). </w:t>
            </w:r>
            <w:r w:rsidRPr="00F01347">
              <w:rPr>
                <w:rFonts w:ascii="Verdana" w:hAnsi="Verdana"/>
                <w:sz w:val="16"/>
                <w:szCs w:val="16"/>
              </w:rPr>
              <w:t xml:space="preserve">En un matraz volumétrico a 1 000 </w:t>
            </w:r>
            <w:proofErr w:type="spellStart"/>
            <w:r w:rsidRPr="00F01347">
              <w:rPr>
                <w:rFonts w:ascii="Verdana" w:hAnsi="Verdana"/>
                <w:sz w:val="16"/>
                <w:szCs w:val="16"/>
              </w:rPr>
              <w:t>mL</w:t>
            </w:r>
            <w:proofErr w:type="spellEnd"/>
            <w:r w:rsidRPr="00F01347">
              <w:rPr>
                <w:rFonts w:ascii="Verdana" w:hAnsi="Verdana"/>
                <w:sz w:val="16"/>
                <w:szCs w:val="16"/>
              </w:rPr>
              <w:t xml:space="preserve">, añadir 800 </w:t>
            </w:r>
            <w:proofErr w:type="spellStart"/>
            <w:r w:rsidRPr="00F01347">
              <w:rPr>
                <w:rFonts w:ascii="Verdana" w:hAnsi="Verdana"/>
                <w:sz w:val="16"/>
                <w:szCs w:val="16"/>
              </w:rPr>
              <w:t>mL</w:t>
            </w:r>
            <w:proofErr w:type="spellEnd"/>
            <w:r w:rsidRPr="00F01347">
              <w:rPr>
                <w:rFonts w:ascii="Verdana" w:hAnsi="Verdana"/>
                <w:sz w:val="16"/>
                <w:szCs w:val="16"/>
              </w:rPr>
              <w:t xml:space="preserve"> de acetonitrilo y 500 µl de TFA y llevar al volumen final con acetonitrilo. Transferir esta solución en una </w:t>
            </w:r>
            <w:proofErr w:type="gramStart"/>
            <w:r w:rsidRPr="00F01347">
              <w:rPr>
                <w:rFonts w:ascii="Verdana" w:hAnsi="Verdana"/>
                <w:sz w:val="16"/>
                <w:szCs w:val="16"/>
              </w:rPr>
              <w:t>botella  de</w:t>
            </w:r>
            <w:proofErr w:type="gramEnd"/>
            <w:r w:rsidRPr="00F01347">
              <w:rPr>
                <w:rFonts w:ascii="Verdana" w:hAnsi="Verdana"/>
                <w:sz w:val="16"/>
                <w:szCs w:val="16"/>
              </w:rPr>
              <w:t xml:space="preserve"> HPLC-eluyente. Desgasificar la solución antes de usar. Esta solución es estable a temperatura ambiente durante 3 semanas.</w:t>
            </w:r>
          </w:p>
        </w:tc>
        <w:tc>
          <w:tcPr>
            <w:tcW w:w="4675" w:type="dxa"/>
          </w:tcPr>
          <w:p w14:paraId="0B911F23" w14:textId="6BF1537D" w:rsidR="005E5549" w:rsidRPr="00F01347" w:rsidRDefault="005E5549" w:rsidP="005E5549">
            <w:pPr>
              <w:pStyle w:val="texto0"/>
              <w:spacing w:line="214" w:lineRule="exact"/>
              <w:ind w:firstLine="0"/>
              <w:rPr>
                <w:rFonts w:ascii="Verdana" w:hAnsi="Verdana"/>
                <w:b/>
                <w:sz w:val="16"/>
                <w:szCs w:val="16"/>
                <w:lang w:val="en-US"/>
              </w:rPr>
            </w:pPr>
            <w:r w:rsidRPr="00F01347">
              <w:rPr>
                <w:rFonts w:ascii="Verdana" w:hAnsi="Verdana"/>
                <w:b/>
                <w:sz w:val="16"/>
                <w:szCs w:val="16"/>
                <w:lang w:val="en-US"/>
              </w:rPr>
              <w:t xml:space="preserve">HPLC mobile phase solution (A). </w:t>
            </w:r>
            <w:r w:rsidRPr="00F01347">
              <w:rPr>
                <w:rFonts w:ascii="Verdana" w:hAnsi="Verdana"/>
                <w:sz w:val="16"/>
                <w:szCs w:val="16"/>
                <w:lang w:val="en-US"/>
              </w:rPr>
              <w:t>In a volumetric flask at 1,000 mL</w:t>
            </w:r>
            <w:r w:rsidR="003E1BA9" w:rsidRPr="00F01347">
              <w:rPr>
                <w:rFonts w:ascii="Verdana" w:hAnsi="Verdana"/>
                <w:sz w:val="16"/>
                <w:szCs w:val="16"/>
                <w:lang w:val="en-US"/>
              </w:rPr>
              <w:t>,</w:t>
            </w:r>
            <w:r w:rsidRPr="00F01347">
              <w:rPr>
                <w:rFonts w:ascii="Verdana" w:hAnsi="Verdana"/>
                <w:sz w:val="16"/>
                <w:szCs w:val="16"/>
                <w:lang w:val="en-US"/>
              </w:rPr>
              <w:t xml:space="preserve"> add 800 mL of acetonitrile and 500 µL of TFA and bring to the final volume with acetonitrile. Transfer this solution into an HPLC-eluent bottle</w:t>
            </w:r>
            <w:r w:rsidR="003E1BA9" w:rsidRPr="00F01347">
              <w:rPr>
                <w:rFonts w:ascii="Verdana" w:hAnsi="Verdana"/>
                <w:sz w:val="16"/>
                <w:szCs w:val="16"/>
                <w:lang w:val="en-US"/>
              </w:rPr>
              <w:t>.</w:t>
            </w:r>
            <w:r w:rsidRPr="00F01347">
              <w:rPr>
                <w:rFonts w:ascii="Verdana" w:hAnsi="Verdana"/>
                <w:sz w:val="16"/>
                <w:szCs w:val="16"/>
                <w:lang w:val="en-US"/>
              </w:rPr>
              <w:t xml:space="preserve"> Degas the solution before use. This solution is stable at room temperature for 3 weeks.</w:t>
            </w:r>
          </w:p>
        </w:tc>
      </w:tr>
      <w:tr w:rsidR="005E5549" w:rsidRPr="00F01347" w14:paraId="31612E95" w14:textId="4EBC8FF8" w:rsidTr="00F53D80">
        <w:tc>
          <w:tcPr>
            <w:tcW w:w="4675" w:type="dxa"/>
          </w:tcPr>
          <w:p w14:paraId="58CFA7B2" w14:textId="77777777" w:rsidR="005E5549" w:rsidRPr="00F01347" w:rsidRDefault="005E5549" w:rsidP="005E5549">
            <w:pPr>
              <w:pStyle w:val="texto0"/>
              <w:spacing w:line="214" w:lineRule="exact"/>
              <w:ind w:firstLine="0"/>
              <w:rPr>
                <w:rFonts w:ascii="Verdana" w:hAnsi="Verdana"/>
                <w:sz w:val="16"/>
                <w:szCs w:val="16"/>
              </w:rPr>
            </w:pPr>
            <w:r w:rsidRPr="00F01347">
              <w:rPr>
                <w:rFonts w:ascii="Verdana" w:hAnsi="Verdana"/>
                <w:b/>
                <w:sz w:val="16"/>
                <w:szCs w:val="16"/>
              </w:rPr>
              <w:t>Solución de fase móvil HPLC (B).</w:t>
            </w:r>
            <w:r w:rsidRPr="00F01347">
              <w:rPr>
                <w:rFonts w:ascii="Verdana" w:hAnsi="Verdana"/>
                <w:sz w:val="16"/>
                <w:szCs w:val="16"/>
              </w:rPr>
              <w:t xml:space="preserve">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xml:space="preserve">, añadir 800 </w:t>
            </w:r>
            <w:proofErr w:type="spellStart"/>
            <w:r w:rsidRPr="00F01347">
              <w:rPr>
                <w:rFonts w:ascii="Verdana" w:hAnsi="Verdana"/>
                <w:sz w:val="16"/>
                <w:szCs w:val="16"/>
              </w:rPr>
              <w:t>mL</w:t>
            </w:r>
            <w:proofErr w:type="spellEnd"/>
            <w:r w:rsidRPr="00F01347">
              <w:rPr>
                <w:rFonts w:ascii="Verdana" w:hAnsi="Verdana"/>
                <w:sz w:val="16"/>
                <w:szCs w:val="16"/>
              </w:rPr>
              <w:t xml:space="preserve"> de </w:t>
            </w:r>
            <w:proofErr w:type="gramStart"/>
            <w:r w:rsidRPr="00F01347">
              <w:rPr>
                <w:rFonts w:ascii="Verdana" w:hAnsi="Verdana"/>
                <w:sz w:val="16"/>
                <w:szCs w:val="16"/>
              </w:rPr>
              <w:t>agua  y</w:t>
            </w:r>
            <w:proofErr w:type="gramEnd"/>
            <w:r w:rsidRPr="00F01347">
              <w:rPr>
                <w:rFonts w:ascii="Verdana" w:hAnsi="Verdana"/>
                <w:sz w:val="16"/>
                <w:szCs w:val="16"/>
              </w:rPr>
              <w:t xml:space="preserve"> 500 µl de TFA y llevar al volumen final con agua. Transferir esta solución en una botella de HPLC-eluyente. Desgasificar la solución antes de usar. Esta solución es estable a temperatura ambiente durante 2 semanas.</w:t>
            </w:r>
          </w:p>
        </w:tc>
        <w:tc>
          <w:tcPr>
            <w:tcW w:w="4675" w:type="dxa"/>
          </w:tcPr>
          <w:p w14:paraId="32EC08C4" w14:textId="27D5428E" w:rsidR="005E5549" w:rsidRPr="00F01347" w:rsidRDefault="005E5549" w:rsidP="005E5549">
            <w:pPr>
              <w:pStyle w:val="texto0"/>
              <w:spacing w:line="214" w:lineRule="exact"/>
              <w:ind w:firstLine="0"/>
              <w:rPr>
                <w:rFonts w:ascii="Verdana" w:hAnsi="Verdana"/>
                <w:b/>
                <w:sz w:val="16"/>
                <w:szCs w:val="16"/>
                <w:lang w:val="en-US"/>
              </w:rPr>
            </w:pPr>
            <w:r w:rsidRPr="00F01347">
              <w:rPr>
                <w:rFonts w:ascii="Verdana" w:hAnsi="Verdana"/>
                <w:b/>
                <w:sz w:val="16"/>
                <w:szCs w:val="16"/>
                <w:lang w:val="en-US"/>
              </w:rPr>
              <w:t xml:space="preserve">HPLC mobile phase solution (B). </w:t>
            </w:r>
            <w:r w:rsidRPr="00F01347">
              <w:rPr>
                <w:rFonts w:ascii="Verdana" w:hAnsi="Verdana"/>
                <w:sz w:val="16"/>
                <w:szCs w:val="16"/>
                <w:lang w:val="en-US"/>
              </w:rPr>
              <w:t>In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add 800 mL of water and 500 µL of TFA and bring to the final volume with water. Transfer this solution into an HPLC-eluent bottle. Degas the solution before use. This solution is stable at room temperature for 2 weeks.</w:t>
            </w:r>
          </w:p>
        </w:tc>
      </w:tr>
      <w:tr w:rsidR="005E5549" w:rsidRPr="00F01347" w14:paraId="0435866D" w14:textId="79A35686" w:rsidTr="00F53D80">
        <w:tc>
          <w:tcPr>
            <w:tcW w:w="4675" w:type="dxa"/>
          </w:tcPr>
          <w:p w14:paraId="7844D893" w14:textId="77777777" w:rsidR="005E5549" w:rsidRPr="00F01347" w:rsidRDefault="005E5549" w:rsidP="005E5549">
            <w:pPr>
              <w:pStyle w:val="texto0"/>
              <w:spacing w:line="214" w:lineRule="exact"/>
              <w:ind w:firstLine="0"/>
              <w:rPr>
                <w:rFonts w:ascii="Verdana" w:hAnsi="Verdana"/>
                <w:sz w:val="16"/>
                <w:szCs w:val="16"/>
              </w:rPr>
            </w:pPr>
            <w:r w:rsidRPr="00F01347">
              <w:rPr>
                <w:rFonts w:ascii="Verdana" w:hAnsi="Verdana"/>
                <w:b/>
                <w:sz w:val="16"/>
                <w:szCs w:val="16"/>
              </w:rPr>
              <w:t>Solución de hidróxido de amonio.</w:t>
            </w:r>
            <w:r w:rsidRPr="00F01347">
              <w:rPr>
                <w:rFonts w:ascii="Verdana" w:hAnsi="Verdana"/>
                <w:sz w:val="16"/>
                <w:szCs w:val="16"/>
              </w:rPr>
              <w:t xml:space="preserve"> Solución de hidróxido de amonio NH</w:t>
            </w:r>
            <w:r w:rsidRPr="00F01347">
              <w:rPr>
                <w:rFonts w:ascii="Verdana" w:hAnsi="Verdana"/>
                <w:sz w:val="16"/>
                <w:szCs w:val="16"/>
                <w:vertAlign w:val="subscript"/>
              </w:rPr>
              <w:t>4</w:t>
            </w:r>
            <w:r w:rsidRPr="00F01347">
              <w:rPr>
                <w:rFonts w:ascii="Verdana" w:hAnsi="Verdana"/>
                <w:sz w:val="16"/>
                <w:szCs w:val="16"/>
              </w:rPr>
              <w:t xml:space="preserve">OH </w:t>
            </w:r>
            <w:proofErr w:type="gramStart"/>
            <w:r w:rsidRPr="00F01347">
              <w:rPr>
                <w:rFonts w:ascii="Verdana" w:hAnsi="Verdana"/>
                <w:sz w:val="16"/>
                <w:szCs w:val="16"/>
              </w:rPr>
              <w:t>comercialmente  disponible</w:t>
            </w:r>
            <w:proofErr w:type="gramEnd"/>
            <w:r w:rsidRPr="00F01347">
              <w:rPr>
                <w:rFonts w:ascii="Verdana" w:hAnsi="Verdana"/>
                <w:sz w:val="16"/>
                <w:szCs w:val="16"/>
              </w:rPr>
              <w:t xml:space="preserve"> ~1 mol/L. Se puede realizar la preparación de la solución partiendo de NH</w:t>
            </w:r>
            <w:r w:rsidRPr="00F01347">
              <w:rPr>
                <w:rFonts w:ascii="Verdana" w:hAnsi="Verdana"/>
                <w:sz w:val="16"/>
                <w:szCs w:val="16"/>
                <w:vertAlign w:val="subscript"/>
              </w:rPr>
              <w:t>4</w:t>
            </w:r>
            <w:r w:rsidRPr="00F01347">
              <w:rPr>
                <w:rFonts w:ascii="Verdana" w:hAnsi="Verdana"/>
                <w:sz w:val="16"/>
                <w:szCs w:val="16"/>
              </w:rPr>
              <w:t>OH concentrado.</w:t>
            </w:r>
          </w:p>
        </w:tc>
        <w:tc>
          <w:tcPr>
            <w:tcW w:w="4675" w:type="dxa"/>
          </w:tcPr>
          <w:p w14:paraId="0A3B4ACB" w14:textId="0FD0608C" w:rsidR="005E5549" w:rsidRPr="00F01347" w:rsidRDefault="005E5549" w:rsidP="005E5549">
            <w:pPr>
              <w:pStyle w:val="texto0"/>
              <w:spacing w:line="214" w:lineRule="exact"/>
              <w:ind w:firstLine="0"/>
              <w:rPr>
                <w:rFonts w:ascii="Verdana" w:hAnsi="Verdana"/>
                <w:b/>
                <w:sz w:val="16"/>
                <w:szCs w:val="16"/>
                <w:lang w:val="en-US"/>
              </w:rPr>
            </w:pPr>
            <w:r w:rsidRPr="00F01347">
              <w:rPr>
                <w:rFonts w:ascii="Verdana" w:hAnsi="Verdana"/>
                <w:b/>
                <w:sz w:val="16"/>
                <w:szCs w:val="16"/>
                <w:lang w:val="en-US"/>
              </w:rPr>
              <w:t xml:space="preserve">Ammonium hydroxide solution. </w:t>
            </w:r>
            <w:r w:rsidRPr="00F01347">
              <w:rPr>
                <w:rFonts w:ascii="Verdana" w:hAnsi="Verdana"/>
                <w:sz w:val="16"/>
                <w:szCs w:val="16"/>
                <w:lang w:val="en-US"/>
              </w:rPr>
              <w:t xml:space="preserve">Commercially available ammonium hydroxide solution NH </w:t>
            </w:r>
            <w:r w:rsidRPr="00F01347">
              <w:rPr>
                <w:rFonts w:ascii="Verdana" w:hAnsi="Verdana"/>
                <w:sz w:val="16"/>
                <w:szCs w:val="16"/>
                <w:vertAlign w:val="subscript"/>
                <w:lang w:val="en-US"/>
              </w:rPr>
              <w:t xml:space="preserve">4 </w:t>
            </w:r>
            <w:r w:rsidRPr="00F01347">
              <w:rPr>
                <w:rFonts w:ascii="Verdana" w:hAnsi="Verdana"/>
                <w:sz w:val="16"/>
                <w:szCs w:val="16"/>
                <w:lang w:val="en-US"/>
              </w:rPr>
              <w:t xml:space="preserve">OH ~1 mol/L. The solution can be prepared from concentrated NH </w:t>
            </w:r>
            <w:r w:rsidRPr="00F01347">
              <w:rPr>
                <w:rFonts w:ascii="Verdana" w:hAnsi="Verdana"/>
                <w:sz w:val="16"/>
                <w:szCs w:val="16"/>
                <w:vertAlign w:val="subscript"/>
                <w:lang w:val="en-US"/>
              </w:rPr>
              <w:t xml:space="preserve">4 </w:t>
            </w:r>
            <w:r w:rsidRPr="00F01347">
              <w:rPr>
                <w:rFonts w:ascii="Verdana" w:hAnsi="Verdana"/>
                <w:sz w:val="16"/>
                <w:szCs w:val="16"/>
                <w:lang w:val="en-US"/>
              </w:rPr>
              <w:t>OH.</w:t>
            </w:r>
          </w:p>
        </w:tc>
      </w:tr>
      <w:tr w:rsidR="005E5549" w:rsidRPr="00F01347" w14:paraId="11BD905E" w14:textId="5470FE01" w:rsidTr="00F53D80">
        <w:tc>
          <w:tcPr>
            <w:tcW w:w="4675" w:type="dxa"/>
          </w:tcPr>
          <w:p w14:paraId="1472C35D" w14:textId="77777777" w:rsidR="005E5549" w:rsidRPr="00F01347" w:rsidRDefault="005E5549" w:rsidP="005E5549">
            <w:pPr>
              <w:pStyle w:val="texto0"/>
              <w:spacing w:line="214" w:lineRule="exact"/>
              <w:ind w:firstLine="0"/>
              <w:rPr>
                <w:rFonts w:ascii="Verdana" w:hAnsi="Verdana"/>
                <w:sz w:val="16"/>
                <w:szCs w:val="16"/>
              </w:rPr>
            </w:pPr>
            <w:r w:rsidRPr="00F01347">
              <w:rPr>
                <w:rFonts w:ascii="Verdana" w:hAnsi="Verdana"/>
                <w:b/>
                <w:sz w:val="16"/>
                <w:szCs w:val="16"/>
              </w:rPr>
              <w:t xml:space="preserve">Solución de </w:t>
            </w:r>
            <w:proofErr w:type="spellStart"/>
            <w:r w:rsidRPr="00F01347">
              <w:rPr>
                <w:rFonts w:ascii="Verdana" w:hAnsi="Verdana"/>
                <w:b/>
                <w:sz w:val="16"/>
                <w:szCs w:val="16"/>
              </w:rPr>
              <w:t>microcistina</w:t>
            </w:r>
            <w:proofErr w:type="spellEnd"/>
            <w:r w:rsidRPr="00F01347">
              <w:rPr>
                <w:rFonts w:ascii="Verdana" w:hAnsi="Verdana"/>
                <w:b/>
                <w:sz w:val="16"/>
                <w:szCs w:val="16"/>
              </w:rPr>
              <w:t>.</w:t>
            </w:r>
            <w:r w:rsidRPr="00F01347">
              <w:rPr>
                <w:rFonts w:ascii="Verdana" w:hAnsi="Verdana"/>
                <w:sz w:val="16"/>
                <w:szCs w:val="16"/>
              </w:rPr>
              <w:t xml:space="preserve"> Para determinar la concentración exacta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para cada solución disolver en metanol puro la </w:t>
            </w:r>
            <w:proofErr w:type="spellStart"/>
            <w:r w:rsidRPr="00F01347">
              <w:rPr>
                <w:rFonts w:ascii="Verdana" w:hAnsi="Verdana"/>
                <w:sz w:val="16"/>
                <w:szCs w:val="16"/>
              </w:rPr>
              <w:t>microcistina</w:t>
            </w:r>
            <w:proofErr w:type="spellEnd"/>
            <w:r w:rsidRPr="00F01347">
              <w:rPr>
                <w:rFonts w:ascii="Verdana" w:hAnsi="Verdana"/>
                <w:sz w:val="16"/>
                <w:szCs w:val="16"/>
              </w:rPr>
              <w:t xml:space="preserve"> individual suministrada por el proveedor. Registrar la curva de absorción entre 220 y 250 nm en celdas de cuarzo de 1 cm en un espectrofotómetro con metanol en la celda de referencia. Calcular la concentración en masa de cada </w:t>
            </w:r>
            <w:proofErr w:type="spellStart"/>
            <w:r w:rsidRPr="00F01347">
              <w:rPr>
                <w:rFonts w:ascii="Verdana" w:hAnsi="Verdana"/>
                <w:sz w:val="16"/>
                <w:szCs w:val="16"/>
              </w:rPr>
              <w:t>microcistina</w:t>
            </w:r>
            <w:proofErr w:type="spellEnd"/>
            <w:r w:rsidRPr="00F01347">
              <w:rPr>
                <w:rFonts w:ascii="Verdana" w:hAnsi="Verdana"/>
                <w:sz w:val="16"/>
                <w:szCs w:val="16"/>
              </w:rPr>
              <w:t xml:space="preserve">, </w:t>
            </w:r>
            <w:proofErr w:type="spellStart"/>
            <w:r w:rsidRPr="00F01347">
              <w:rPr>
                <w:rFonts w:ascii="Verdana" w:hAnsi="Verdana"/>
                <w:i/>
                <w:sz w:val="16"/>
                <w:szCs w:val="16"/>
                <w:lang w:eastAsia="es-MX"/>
              </w:rPr>
              <w:t>ρ</w:t>
            </w:r>
            <w:r w:rsidRPr="00F01347">
              <w:rPr>
                <w:rFonts w:ascii="Verdana" w:hAnsi="Verdana"/>
                <w:sz w:val="16"/>
                <w:szCs w:val="16"/>
                <w:vertAlign w:val="subscript"/>
                <w:lang w:eastAsia="es-MX"/>
              </w:rPr>
              <w:t>i</w:t>
            </w:r>
            <w:proofErr w:type="spellEnd"/>
            <w:r w:rsidRPr="00F01347">
              <w:rPr>
                <w:rFonts w:ascii="Verdana" w:hAnsi="Verdana"/>
                <w:sz w:val="16"/>
                <w:szCs w:val="16"/>
              </w:rPr>
              <w:t>, en microgramos por mililitro, µg/</w:t>
            </w:r>
            <w:proofErr w:type="spellStart"/>
            <w:r w:rsidRPr="00F01347">
              <w:rPr>
                <w:rFonts w:ascii="Verdana" w:hAnsi="Verdana"/>
                <w:sz w:val="16"/>
                <w:szCs w:val="16"/>
              </w:rPr>
              <w:t>mL</w:t>
            </w:r>
            <w:proofErr w:type="spellEnd"/>
            <w:r w:rsidRPr="00F01347">
              <w:rPr>
                <w:rFonts w:ascii="Verdana" w:hAnsi="Verdana"/>
                <w:sz w:val="16"/>
                <w:szCs w:val="16"/>
              </w:rPr>
              <w:t>, utilizando la ecuación:</w:t>
            </w:r>
          </w:p>
        </w:tc>
        <w:tc>
          <w:tcPr>
            <w:tcW w:w="4675" w:type="dxa"/>
          </w:tcPr>
          <w:p w14:paraId="0DCD5B8F" w14:textId="328868CA" w:rsidR="005E5549" w:rsidRPr="00F01347" w:rsidRDefault="005E5549" w:rsidP="005E5549">
            <w:pPr>
              <w:pStyle w:val="texto0"/>
              <w:spacing w:line="214" w:lineRule="exact"/>
              <w:ind w:firstLine="0"/>
              <w:rPr>
                <w:rFonts w:ascii="Verdana" w:hAnsi="Verdana"/>
                <w:b/>
                <w:sz w:val="16"/>
                <w:szCs w:val="16"/>
                <w:lang w:val="en-US"/>
              </w:rPr>
            </w:pPr>
            <w:r w:rsidRPr="00F01347">
              <w:rPr>
                <w:rFonts w:ascii="Verdana" w:hAnsi="Verdana"/>
                <w:b/>
                <w:sz w:val="16"/>
                <w:szCs w:val="16"/>
                <w:lang w:val="en-US"/>
              </w:rPr>
              <w:t>Microcystin solution</w:t>
            </w:r>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To determine the exact concentration of microcystin</w:t>
            </w:r>
            <w:r w:rsidR="003E1BA9" w:rsidRPr="00F01347">
              <w:rPr>
                <w:rFonts w:ascii="Verdana" w:hAnsi="Verdana"/>
                <w:sz w:val="16"/>
                <w:szCs w:val="16"/>
                <w:lang w:val="en-US"/>
              </w:rPr>
              <w:t>,</w:t>
            </w:r>
            <w:r w:rsidRPr="00F01347">
              <w:rPr>
                <w:rFonts w:ascii="Verdana" w:hAnsi="Verdana"/>
                <w:sz w:val="16"/>
                <w:szCs w:val="16"/>
                <w:lang w:val="en-US"/>
              </w:rPr>
              <w:t xml:space="preserve"> for each solution</w:t>
            </w:r>
            <w:r w:rsidR="003B7405" w:rsidRPr="00F01347">
              <w:rPr>
                <w:rFonts w:ascii="Verdana" w:hAnsi="Verdana"/>
                <w:sz w:val="16"/>
                <w:szCs w:val="16"/>
                <w:lang w:val="en-US"/>
              </w:rPr>
              <w:t>,</w:t>
            </w:r>
            <w:r w:rsidRPr="00F01347">
              <w:rPr>
                <w:rFonts w:ascii="Verdana" w:hAnsi="Verdana"/>
                <w:sz w:val="16"/>
                <w:szCs w:val="16"/>
                <w:lang w:val="en-US"/>
              </w:rPr>
              <w:t xml:space="preserve"> dissolve the individual microcystin supplied by the supplier in pure methanol. Record the absorption curve between 220 and 250 nm in 1 cm quartz cells in a spectrophotometer with methanol in the reference cell. Calculate the mass concentration of each microcystin</w:t>
            </w:r>
            <w:r w:rsidR="003E1BA9" w:rsidRPr="00F01347">
              <w:rPr>
                <w:rFonts w:ascii="Verdana" w:hAnsi="Verdana"/>
                <w:sz w:val="16"/>
                <w:szCs w:val="16"/>
                <w:lang w:val="en-US"/>
              </w:rPr>
              <w:t>,</w:t>
            </w:r>
            <w:r w:rsidRPr="00F01347">
              <w:rPr>
                <w:rFonts w:ascii="Verdana" w:hAnsi="Verdana"/>
                <w:sz w:val="16"/>
                <w:szCs w:val="16"/>
                <w:lang w:val="en-US"/>
              </w:rPr>
              <w:t xml:space="preserve"> </w:t>
            </w:r>
            <w:r w:rsidRPr="00F01347">
              <w:rPr>
                <w:rFonts w:ascii="Verdana" w:hAnsi="Verdana"/>
                <w:i/>
                <w:sz w:val="16"/>
                <w:szCs w:val="16"/>
                <w:lang w:val="en-US" w:eastAsia="es-MX"/>
              </w:rPr>
              <w:t xml:space="preserve">ρ </w:t>
            </w:r>
            <w:proofErr w:type="spellStart"/>
            <w:r w:rsidRPr="00F01347">
              <w:rPr>
                <w:rFonts w:ascii="Verdana" w:hAnsi="Verdana"/>
                <w:sz w:val="16"/>
                <w:szCs w:val="16"/>
                <w:vertAlign w:val="subscript"/>
                <w:lang w:val="en-US" w:eastAsia="es-MX"/>
              </w:rPr>
              <w:t>i</w:t>
            </w:r>
            <w:proofErr w:type="spellEnd"/>
            <w:r w:rsidR="003E1BA9" w:rsidRPr="00F01347">
              <w:rPr>
                <w:rFonts w:ascii="Verdana" w:hAnsi="Verdana"/>
                <w:sz w:val="16"/>
                <w:szCs w:val="16"/>
                <w:vertAlign w:val="subscript"/>
                <w:lang w:val="en-US" w:eastAsia="es-MX"/>
              </w:rPr>
              <w:t>,</w:t>
            </w:r>
            <w:r w:rsidRPr="00F01347">
              <w:rPr>
                <w:rFonts w:ascii="Verdana" w:hAnsi="Verdana"/>
                <w:sz w:val="16"/>
                <w:szCs w:val="16"/>
                <w:lang w:val="en-US"/>
              </w:rPr>
              <w:t xml:space="preserve"> in micrograms per milliliter, µg/ mL</w:t>
            </w:r>
            <w:r w:rsidR="003E1BA9" w:rsidRPr="00F01347">
              <w:rPr>
                <w:rFonts w:ascii="Verdana" w:hAnsi="Verdana"/>
                <w:sz w:val="16"/>
                <w:szCs w:val="16"/>
                <w:lang w:val="en-US"/>
              </w:rPr>
              <w:t>,</w:t>
            </w:r>
            <w:r w:rsidRPr="00F01347">
              <w:rPr>
                <w:rFonts w:ascii="Verdana" w:hAnsi="Verdana"/>
                <w:sz w:val="16"/>
                <w:szCs w:val="16"/>
                <w:lang w:val="en-US"/>
              </w:rPr>
              <w:t xml:space="preserve"> using the equation:</w:t>
            </w:r>
          </w:p>
        </w:tc>
      </w:tr>
    </w:tbl>
    <w:p w14:paraId="3AE542DB" w14:textId="2B868F84" w:rsidR="00A74CDF" w:rsidRPr="00F01347" w:rsidRDefault="00471638" w:rsidP="003B7405">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766257A0" wp14:editId="5F9D2AFA">
            <wp:extent cx="1219200" cy="342900"/>
            <wp:effectExtent l="0" t="0" r="0" b="0"/>
            <wp:docPr id="1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19200" cy="3429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74B8A" w:rsidRPr="00F01347" w14:paraId="7492FC55" w14:textId="638B182A" w:rsidTr="003B7405">
        <w:tc>
          <w:tcPr>
            <w:tcW w:w="4675" w:type="dxa"/>
          </w:tcPr>
          <w:p w14:paraId="2FD0B3EB" w14:textId="77777777" w:rsidR="00874B8A" w:rsidRPr="00F01347" w:rsidRDefault="00874B8A" w:rsidP="00874B8A">
            <w:pPr>
              <w:pStyle w:val="texto0"/>
              <w:spacing w:line="260" w:lineRule="exact"/>
              <w:ind w:firstLine="0"/>
              <w:rPr>
                <w:rFonts w:ascii="Verdana" w:hAnsi="Verdana"/>
                <w:b/>
                <w:bCs/>
                <w:sz w:val="16"/>
                <w:szCs w:val="16"/>
              </w:rPr>
            </w:pPr>
            <w:r w:rsidRPr="00F01347">
              <w:rPr>
                <w:rFonts w:ascii="Verdana" w:hAnsi="Verdana"/>
                <w:b/>
                <w:bCs/>
                <w:sz w:val="16"/>
                <w:szCs w:val="16"/>
              </w:rPr>
              <w:t>En donde:</w:t>
            </w:r>
          </w:p>
        </w:tc>
        <w:tc>
          <w:tcPr>
            <w:tcW w:w="4675" w:type="dxa"/>
          </w:tcPr>
          <w:p w14:paraId="6A2ADE38" w14:textId="6AAE18AD" w:rsidR="00874B8A" w:rsidRPr="00FC516A" w:rsidRDefault="00874B8A" w:rsidP="00874B8A">
            <w:pPr>
              <w:pStyle w:val="texto0"/>
              <w:spacing w:line="260" w:lineRule="exact"/>
              <w:ind w:firstLine="0"/>
              <w:rPr>
                <w:rFonts w:ascii="Verdana" w:hAnsi="Verdana"/>
                <w:b/>
                <w:bCs/>
                <w:sz w:val="16"/>
                <w:szCs w:val="16"/>
                <w:lang w:val="en-US"/>
              </w:rPr>
            </w:pPr>
            <w:r w:rsidRPr="00FC516A">
              <w:rPr>
                <w:rFonts w:ascii="Verdana" w:hAnsi="Verdana"/>
                <w:b/>
                <w:bCs/>
                <w:sz w:val="16"/>
                <w:szCs w:val="16"/>
                <w:lang w:val="en-US"/>
              </w:rPr>
              <w:t>Where:</w:t>
            </w:r>
          </w:p>
        </w:tc>
      </w:tr>
      <w:tr w:rsidR="00874B8A" w:rsidRPr="00F01347" w14:paraId="562A8E18" w14:textId="7ED2C820" w:rsidTr="003B7405">
        <w:tc>
          <w:tcPr>
            <w:tcW w:w="4675" w:type="dxa"/>
          </w:tcPr>
          <w:p w14:paraId="45E75166" w14:textId="77777777" w:rsidR="00874B8A" w:rsidRPr="00F01347" w:rsidRDefault="00874B8A" w:rsidP="00874B8A">
            <w:pPr>
              <w:pStyle w:val="texto0"/>
              <w:spacing w:line="260" w:lineRule="exact"/>
              <w:ind w:firstLine="0"/>
              <w:rPr>
                <w:rFonts w:ascii="Verdana" w:hAnsi="Verdana"/>
                <w:sz w:val="16"/>
                <w:szCs w:val="16"/>
                <w:lang w:eastAsia="es-MX"/>
              </w:rPr>
            </w:pPr>
            <w:proofErr w:type="spellStart"/>
            <w:r w:rsidRPr="00F01347">
              <w:rPr>
                <w:rFonts w:ascii="Verdana" w:hAnsi="Verdana"/>
                <w:sz w:val="16"/>
                <w:szCs w:val="16"/>
                <w:lang w:eastAsia="es-MX"/>
              </w:rPr>
              <w:t>A</w:t>
            </w:r>
            <w:r w:rsidRPr="00F01347">
              <w:rPr>
                <w:rFonts w:ascii="Verdana" w:hAnsi="Verdana"/>
                <w:sz w:val="16"/>
                <w:szCs w:val="16"/>
                <w:vertAlign w:val="subscript"/>
                <w:lang w:eastAsia="es-MX"/>
              </w:rPr>
              <w:t>max</w:t>
            </w:r>
            <w:proofErr w:type="spellEnd"/>
            <w:r w:rsidRPr="00F01347">
              <w:rPr>
                <w:rFonts w:ascii="Verdana" w:hAnsi="Verdana"/>
                <w:sz w:val="16"/>
                <w:szCs w:val="16"/>
                <w:vertAlign w:val="subscript"/>
                <w:lang w:eastAsia="es-MX"/>
              </w:rPr>
              <w:tab/>
            </w:r>
            <w:r w:rsidRPr="00F01347">
              <w:rPr>
                <w:rFonts w:ascii="Verdana" w:hAnsi="Verdana"/>
                <w:sz w:val="16"/>
                <w:szCs w:val="16"/>
                <w:lang w:eastAsia="es-MX"/>
              </w:rPr>
              <w:t>absorbancia</w:t>
            </w:r>
            <w:r w:rsidRPr="00F01347">
              <w:rPr>
                <w:rFonts w:ascii="Verdana" w:hAnsi="Verdana"/>
                <w:sz w:val="16"/>
                <w:szCs w:val="16"/>
                <w:shd w:val="clear" w:color="auto" w:fill="FFFFFF"/>
                <w:lang w:eastAsia="es-MX"/>
              </w:rPr>
              <w:t xml:space="preserve"> determinada</w:t>
            </w:r>
            <w:r w:rsidRPr="00F01347">
              <w:rPr>
                <w:rFonts w:ascii="Verdana" w:hAnsi="Verdana"/>
                <w:sz w:val="16"/>
                <w:szCs w:val="16"/>
                <w:lang w:eastAsia="es-MX"/>
              </w:rPr>
              <w:t xml:space="preserve"> en el máximo de la curva de absorción</w:t>
            </w:r>
          </w:p>
        </w:tc>
        <w:tc>
          <w:tcPr>
            <w:tcW w:w="4675" w:type="dxa"/>
          </w:tcPr>
          <w:p w14:paraId="77547DA4" w14:textId="19F16AED" w:rsidR="00874B8A" w:rsidRPr="00FC516A" w:rsidRDefault="00874B8A" w:rsidP="00874B8A">
            <w:pPr>
              <w:pStyle w:val="texto0"/>
              <w:spacing w:line="260" w:lineRule="exact"/>
              <w:ind w:firstLine="0"/>
              <w:rPr>
                <w:rFonts w:ascii="Verdana" w:hAnsi="Verdana"/>
                <w:sz w:val="16"/>
                <w:szCs w:val="16"/>
                <w:lang w:val="en-US" w:eastAsia="es-MX"/>
              </w:rPr>
            </w:pPr>
            <w:r w:rsidRPr="00FC516A">
              <w:rPr>
                <w:rFonts w:ascii="Verdana" w:hAnsi="Verdana"/>
                <w:sz w:val="16"/>
                <w:szCs w:val="16"/>
                <w:lang w:val="en-US" w:eastAsia="es-MX"/>
              </w:rPr>
              <w:t>A</w:t>
            </w:r>
            <w:r w:rsidRPr="00FC516A">
              <w:rPr>
                <w:rFonts w:ascii="Verdana" w:hAnsi="Verdana"/>
                <w:sz w:val="16"/>
                <w:szCs w:val="16"/>
                <w:vertAlign w:val="subscript"/>
                <w:lang w:val="en-US" w:eastAsia="es-MX"/>
              </w:rPr>
              <w:t xml:space="preserve">max </w:t>
            </w:r>
            <w:r w:rsidRPr="00FC516A">
              <w:rPr>
                <w:rFonts w:ascii="Verdana" w:hAnsi="Verdana"/>
                <w:sz w:val="16"/>
                <w:szCs w:val="16"/>
                <w:vertAlign w:val="subscript"/>
                <w:lang w:val="en-US" w:eastAsia="es-MX"/>
              </w:rPr>
              <w:tab/>
            </w:r>
            <w:r w:rsidRPr="00FC516A">
              <w:rPr>
                <w:rFonts w:ascii="Verdana" w:hAnsi="Verdana"/>
                <w:sz w:val="16"/>
                <w:szCs w:val="16"/>
                <w:lang w:val="en-US" w:eastAsia="es-MX"/>
              </w:rPr>
              <w:t xml:space="preserve">absorbance </w:t>
            </w:r>
            <w:r w:rsidRPr="00FC516A">
              <w:rPr>
                <w:rFonts w:ascii="Verdana" w:hAnsi="Verdana"/>
                <w:sz w:val="16"/>
                <w:szCs w:val="16"/>
                <w:shd w:val="clear" w:color="auto" w:fill="FFFFFF"/>
                <w:lang w:val="en-US" w:eastAsia="es-MX"/>
              </w:rPr>
              <w:t xml:space="preserve">determined </w:t>
            </w:r>
            <w:r w:rsidRPr="00FC516A">
              <w:rPr>
                <w:rFonts w:ascii="Verdana" w:hAnsi="Verdana"/>
                <w:sz w:val="16"/>
                <w:szCs w:val="16"/>
                <w:lang w:val="en-US" w:eastAsia="es-MX"/>
              </w:rPr>
              <w:t>at the maximum of the absorption curve</w:t>
            </w:r>
          </w:p>
        </w:tc>
      </w:tr>
      <w:tr w:rsidR="00874B8A" w:rsidRPr="00F01347" w14:paraId="67BCAB4C" w14:textId="19A9DD08" w:rsidTr="003B7405">
        <w:tc>
          <w:tcPr>
            <w:tcW w:w="4675" w:type="dxa"/>
          </w:tcPr>
          <w:p w14:paraId="399A18F8" w14:textId="77777777" w:rsidR="00874B8A" w:rsidRPr="00F01347" w:rsidRDefault="00874B8A" w:rsidP="00874B8A">
            <w:pPr>
              <w:pStyle w:val="texto0"/>
              <w:spacing w:line="260" w:lineRule="exact"/>
              <w:ind w:firstLine="0"/>
              <w:rPr>
                <w:rFonts w:ascii="Verdana" w:hAnsi="Verdana"/>
                <w:sz w:val="16"/>
                <w:szCs w:val="16"/>
                <w:lang w:eastAsia="es-MX"/>
              </w:rPr>
            </w:pPr>
            <w:r w:rsidRPr="00F01347">
              <w:rPr>
                <w:rFonts w:ascii="Verdana" w:hAnsi="Verdana"/>
                <w:i/>
                <w:sz w:val="16"/>
                <w:szCs w:val="16"/>
                <w:lang w:eastAsia="es-MX"/>
              </w:rPr>
              <w:t>M</w:t>
            </w:r>
            <w:r w:rsidRPr="00F01347">
              <w:rPr>
                <w:sz w:val="16"/>
                <w:szCs w:val="16"/>
                <w:lang w:eastAsia="es-MX"/>
              </w:rPr>
              <w:t>ᵢ</w:t>
            </w:r>
            <w:r w:rsidRPr="00F01347">
              <w:rPr>
                <w:rFonts w:ascii="Verdana" w:hAnsi="Verdana"/>
                <w:sz w:val="16"/>
                <w:szCs w:val="16"/>
                <w:lang w:eastAsia="es-MX"/>
              </w:rPr>
              <w:tab/>
              <w:t xml:space="preserve">masa molar de cada </w:t>
            </w:r>
            <w:proofErr w:type="spellStart"/>
            <w:r w:rsidRPr="00F01347">
              <w:rPr>
                <w:rFonts w:ascii="Verdana" w:hAnsi="Verdana"/>
                <w:sz w:val="16"/>
                <w:szCs w:val="16"/>
                <w:lang w:eastAsia="es-MX"/>
              </w:rPr>
              <w:t>microcistina</w:t>
            </w:r>
            <w:proofErr w:type="spellEnd"/>
            <w:r w:rsidRPr="00F01347">
              <w:rPr>
                <w:rFonts w:ascii="Verdana" w:hAnsi="Verdana"/>
                <w:sz w:val="16"/>
                <w:szCs w:val="16"/>
                <w:lang w:eastAsia="es-MX"/>
              </w:rPr>
              <w:t xml:space="preserve">, en gramos </w:t>
            </w:r>
            <w:r w:rsidRPr="00F01347">
              <w:rPr>
                <w:rFonts w:ascii="Verdana" w:hAnsi="Verdana"/>
                <w:sz w:val="16"/>
                <w:szCs w:val="16"/>
                <w:shd w:val="clear" w:color="auto" w:fill="FFFFFF"/>
                <w:lang w:eastAsia="es-MX"/>
              </w:rPr>
              <w:t>por</w:t>
            </w:r>
            <w:r w:rsidRPr="00F01347">
              <w:rPr>
                <w:rFonts w:ascii="Verdana" w:hAnsi="Verdana"/>
                <w:sz w:val="16"/>
                <w:szCs w:val="16"/>
                <w:lang w:eastAsia="es-MX"/>
              </w:rPr>
              <w:t xml:space="preserve"> mol; g/mol</w:t>
            </w:r>
          </w:p>
        </w:tc>
        <w:tc>
          <w:tcPr>
            <w:tcW w:w="4675" w:type="dxa"/>
          </w:tcPr>
          <w:p w14:paraId="24914A49" w14:textId="5659067A" w:rsidR="00874B8A" w:rsidRPr="00FC516A" w:rsidRDefault="00874B8A" w:rsidP="00874B8A">
            <w:pPr>
              <w:pStyle w:val="texto0"/>
              <w:spacing w:line="260" w:lineRule="exact"/>
              <w:ind w:firstLine="0"/>
              <w:rPr>
                <w:rFonts w:ascii="Verdana" w:hAnsi="Verdana"/>
                <w:i/>
                <w:sz w:val="16"/>
                <w:szCs w:val="16"/>
                <w:lang w:val="en-US" w:eastAsia="es-MX"/>
              </w:rPr>
            </w:pPr>
            <w:r w:rsidRPr="00FC516A">
              <w:rPr>
                <w:rFonts w:ascii="Verdana" w:hAnsi="Verdana"/>
                <w:i/>
                <w:sz w:val="16"/>
                <w:szCs w:val="16"/>
                <w:lang w:val="en-US" w:eastAsia="es-MX"/>
              </w:rPr>
              <w:t>M</w:t>
            </w:r>
            <w:r w:rsidRPr="00FC516A">
              <w:rPr>
                <w:sz w:val="16"/>
                <w:szCs w:val="16"/>
                <w:lang w:val="en-US" w:eastAsia="es-MX"/>
              </w:rPr>
              <w:t xml:space="preserve">ᵢ </w:t>
            </w:r>
            <w:r w:rsidRPr="00FC516A">
              <w:rPr>
                <w:rFonts w:ascii="Verdana" w:hAnsi="Verdana"/>
                <w:sz w:val="16"/>
                <w:szCs w:val="16"/>
                <w:lang w:val="en-US" w:eastAsia="es-MX"/>
              </w:rPr>
              <w:tab/>
              <w:t>molar mass of each microcystin</w:t>
            </w:r>
            <w:r w:rsidR="003E1BA9" w:rsidRPr="00FC516A">
              <w:rPr>
                <w:rFonts w:ascii="Verdana" w:hAnsi="Verdana"/>
                <w:sz w:val="16"/>
                <w:szCs w:val="16"/>
                <w:lang w:val="en-US" w:eastAsia="es-MX"/>
              </w:rPr>
              <w:t>,</w:t>
            </w:r>
            <w:r w:rsidRPr="00FC516A">
              <w:rPr>
                <w:rFonts w:ascii="Verdana" w:hAnsi="Verdana"/>
                <w:sz w:val="16"/>
                <w:szCs w:val="16"/>
                <w:lang w:val="en-US" w:eastAsia="es-MX"/>
              </w:rPr>
              <w:t xml:space="preserve"> in grams </w:t>
            </w:r>
            <w:r w:rsidRPr="00FC516A">
              <w:rPr>
                <w:rFonts w:ascii="Verdana" w:hAnsi="Verdana"/>
                <w:sz w:val="16"/>
                <w:szCs w:val="16"/>
                <w:shd w:val="clear" w:color="auto" w:fill="FFFFFF"/>
                <w:lang w:val="en-US" w:eastAsia="es-MX"/>
              </w:rPr>
              <w:t xml:space="preserve">per </w:t>
            </w:r>
            <w:r w:rsidRPr="00FC516A">
              <w:rPr>
                <w:rFonts w:ascii="Verdana" w:hAnsi="Verdana"/>
                <w:sz w:val="16"/>
                <w:szCs w:val="16"/>
                <w:lang w:val="en-US" w:eastAsia="es-MX"/>
              </w:rPr>
              <w:t>mole; g/mol</w:t>
            </w:r>
          </w:p>
        </w:tc>
      </w:tr>
      <w:tr w:rsidR="00874B8A" w:rsidRPr="00F01347" w14:paraId="6104BACC" w14:textId="3FD2314F" w:rsidTr="003B7405">
        <w:tc>
          <w:tcPr>
            <w:tcW w:w="4675" w:type="dxa"/>
          </w:tcPr>
          <w:p w14:paraId="4C046E35" w14:textId="77777777" w:rsidR="00874B8A" w:rsidRPr="00F01347" w:rsidRDefault="00874B8A" w:rsidP="00874B8A">
            <w:pPr>
              <w:pStyle w:val="texto0"/>
              <w:spacing w:line="260" w:lineRule="exact"/>
              <w:ind w:firstLine="0"/>
              <w:rPr>
                <w:rFonts w:ascii="Verdana" w:hAnsi="Verdana"/>
                <w:sz w:val="16"/>
                <w:szCs w:val="16"/>
                <w:lang w:eastAsia="es-MX"/>
              </w:rPr>
            </w:pPr>
            <w:r w:rsidRPr="00F01347">
              <w:rPr>
                <w:rFonts w:ascii="Calibri" w:hAnsi="Calibri" w:cs="Calibri"/>
                <w:i/>
                <w:sz w:val="16"/>
                <w:szCs w:val="16"/>
                <w:lang w:eastAsia="es-MX"/>
              </w:rPr>
              <w:t>Ɛ</w:t>
            </w:r>
            <w:r w:rsidRPr="00F01347">
              <w:rPr>
                <w:sz w:val="16"/>
                <w:szCs w:val="16"/>
                <w:lang w:eastAsia="es-MX"/>
              </w:rPr>
              <w:t>ᵢ</w:t>
            </w:r>
            <w:r w:rsidRPr="00F01347">
              <w:rPr>
                <w:rFonts w:ascii="Verdana" w:hAnsi="Verdana"/>
                <w:sz w:val="16"/>
                <w:szCs w:val="16"/>
                <w:lang w:eastAsia="es-MX"/>
              </w:rPr>
              <w:tab/>
              <w:t xml:space="preserve">absortividad molar de cada </w:t>
            </w:r>
            <w:proofErr w:type="spellStart"/>
            <w:r w:rsidRPr="00F01347">
              <w:rPr>
                <w:rFonts w:ascii="Verdana" w:hAnsi="Verdana"/>
                <w:sz w:val="16"/>
                <w:szCs w:val="16"/>
                <w:lang w:eastAsia="es-MX"/>
              </w:rPr>
              <w:t>microcistina</w:t>
            </w:r>
            <w:proofErr w:type="spellEnd"/>
            <w:r w:rsidRPr="00F01347">
              <w:rPr>
                <w:rFonts w:ascii="Verdana" w:hAnsi="Verdana"/>
                <w:sz w:val="16"/>
                <w:szCs w:val="16"/>
                <w:lang w:eastAsia="es-MX"/>
              </w:rPr>
              <w:t xml:space="preserve"> en metanol, en litros por (mol </w:t>
            </w:r>
            <w:r w:rsidRPr="00F01347">
              <w:rPr>
                <w:rFonts w:ascii="Verdana" w:hAnsi="Verdana"/>
                <w:sz w:val="16"/>
                <w:szCs w:val="16"/>
                <w:shd w:val="clear" w:color="auto" w:fill="FFFFFF"/>
                <w:lang w:eastAsia="es-MX"/>
              </w:rPr>
              <w:t>x</w:t>
            </w:r>
            <w:r w:rsidRPr="00F01347">
              <w:rPr>
                <w:rFonts w:ascii="Verdana" w:hAnsi="Verdana"/>
                <w:sz w:val="16"/>
                <w:szCs w:val="16"/>
                <w:lang w:eastAsia="es-MX"/>
              </w:rPr>
              <w:t xml:space="preserve"> centímetro</w:t>
            </w:r>
            <w:proofErr w:type="gramStart"/>
            <w:r w:rsidRPr="00F01347">
              <w:rPr>
                <w:rFonts w:ascii="Verdana" w:hAnsi="Verdana"/>
                <w:sz w:val="16"/>
                <w:szCs w:val="16"/>
                <w:lang w:eastAsia="es-MX"/>
              </w:rPr>
              <w:t>);  L</w:t>
            </w:r>
            <w:proofErr w:type="gramEnd"/>
            <w:r w:rsidRPr="00F01347">
              <w:rPr>
                <w:rFonts w:ascii="Verdana" w:hAnsi="Verdana"/>
                <w:sz w:val="16"/>
                <w:szCs w:val="16"/>
                <w:lang w:eastAsia="es-MX"/>
              </w:rPr>
              <w:t>/ (mol x cm)</w:t>
            </w:r>
          </w:p>
        </w:tc>
        <w:tc>
          <w:tcPr>
            <w:tcW w:w="4675" w:type="dxa"/>
          </w:tcPr>
          <w:p w14:paraId="7DBA712C" w14:textId="305A6B96" w:rsidR="00874B8A" w:rsidRPr="00FC516A" w:rsidRDefault="00874B8A" w:rsidP="00874B8A">
            <w:pPr>
              <w:pStyle w:val="texto0"/>
              <w:spacing w:line="260" w:lineRule="exact"/>
              <w:ind w:firstLine="0"/>
              <w:rPr>
                <w:rFonts w:ascii="Calibri" w:hAnsi="Calibri" w:cs="Calibri"/>
                <w:i/>
                <w:sz w:val="16"/>
                <w:szCs w:val="16"/>
                <w:lang w:val="en-US" w:eastAsia="es-MX"/>
              </w:rPr>
            </w:pPr>
            <w:r w:rsidRPr="00FC516A">
              <w:rPr>
                <w:rFonts w:ascii="Calibri" w:hAnsi="Calibri" w:cs="Calibri"/>
                <w:i/>
                <w:sz w:val="16"/>
                <w:szCs w:val="16"/>
                <w:lang w:val="en-US" w:eastAsia="es-MX"/>
              </w:rPr>
              <w:t xml:space="preserve">Ɛᵢ </w:t>
            </w:r>
            <w:r w:rsidRPr="00FC516A">
              <w:rPr>
                <w:rFonts w:ascii="Verdana" w:hAnsi="Verdana"/>
                <w:sz w:val="16"/>
                <w:szCs w:val="16"/>
                <w:lang w:val="en-US" w:eastAsia="es-MX"/>
              </w:rPr>
              <w:t xml:space="preserve">molar absorptivity of each </w:t>
            </w:r>
            <w:r w:rsidRPr="00FC516A">
              <w:rPr>
                <w:sz w:val="16"/>
                <w:szCs w:val="16"/>
                <w:lang w:val="en-US" w:eastAsia="es-MX"/>
              </w:rPr>
              <w:t xml:space="preserve">microcystin </w:t>
            </w:r>
            <w:r w:rsidRPr="00FC516A">
              <w:rPr>
                <w:rFonts w:ascii="Verdana" w:hAnsi="Verdana"/>
                <w:sz w:val="16"/>
                <w:szCs w:val="16"/>
                <w:lang w:val="en-US" w:eastAsia="es-MX"/>
              </w:rPr>
              <w:t xml:space="preserve">in methanol, in liters per (mol </w:t>
            </w:r>
            <w:r w:rsidRPr="00FC516A">
              <w:rPr>
                <w:rFonts w:ascii="Verdana" w:hAnsi="Verdana"/>
                <w:sz w:val="16"/>
                <w:szCs w:val="16"/>
                <w:shd w:val="clear" w:color="auto" w:fill="FFFFFF"/>
                <w:lang w:val="en-US" w:eastAsia="es-MX"/>
              </w:rPr>
              <w:t xml:space="preserve">x </w:t>
            </w:r>
            <w:r w:rsidRPr="00FC516A">
              <w:rPr>
                <w:rFonts w:ascii="Verdana" w:hAnsi="Verdana"/>
                <w:sz w:val="16"/>
                <w:szCs w:val="16"/>
                <w:lang w:val="en-US" w:eastAsia="es-MX"/>
              </w:rPr>
              <w:t>centimeter</w:t>
            </w:r>
            <w:r w:rsidR="00913802" w:rsidRPr="00FC516A">
              <w:rPr>
                <w:rFonts w:ascii="Verdana" w:hAnsi="Verdana"/>
                <w:sz w:val="16"/>
                <w:szCs w:val="16"/>
                <w:lang w:val="en-US" w:eastAsia="es-MX"/>
              </w:rPr>
              <w:t>)</w:t>
            </w:r>
            <w:r w:rsidRPr="00FC516A">
              <w:rPr>
                <w:rFonts w:ascii="Verdana" w:hAnsi="Verdana"/>
                <w:sz w:val="16"/>
                <w:szCs w:val="16"/>
                <w:lang w:val="en-US" w:eastAsia="es-MX"/>
              </w:rPr>
              <w:t>; L / (mol x cm)</w:t>
            </w:r>
          </w:p>
        </w:tc>
      </w:tr>
      <w:tr w:rsidR="00874B8A" w:rsidRPr="00F01347" w14:paraId="5EEC21E6" w14:textId="4D76ADC9" w:rsidTr="003B7405">
        <w:tc>
          <w:tcPr>
            <w:tcW w:w="4675" w:type="dxa"/>
          </w:tcPr>
          <w:p w14:paraId="0D7F1242" w14:textId="77777777" w:rsidR="00874B8A" w:rsidRPr="00F01347" w:rsidRDefault="00874B8A" w:rsidP="00874B8A">
            <w:pPr>
              <w:pStyle w:val="texto0"/>
              <w:spacing w:line="260" w:lineRule="exact"/>
              <w:ind w:firstLine="0"/>
              <w:rPr>
                <w:rFonts w:ascii="Verdana" w:hAnsi="Verdana"/>
                <w:sz w:val="16"/>
                <w:szCs w:val="16"/>
                <w:lang w:eastAsia="es-MX"/>
              </w:rPr>
            </w:pPr>
            <w:r w:rsidRPr="00F01347">
              <w:rPr>
                <w:rFonts w:ascii="Verdana" w:hAnsi="Verdana"/>
                <w:i/>
                <w:sz w:val="16"/>
                <w:szCs w:val="16"/>
                <w:lang w:eastAsia="es-MX"/>
              </w:rPr>
              <w:lastRenderedPageBreak/>
              <w:t>d</w:t>
            </w:r>
            <w:r w:rsidRPr="00F01347">
              <w:rPr>
                <w:rFonts w:ascii="Verdana" w:hAnsi="Verdana"/>
                <w:i/>
                <w:sz w:val="16"/>
                <w:szCs w:val="16"/>
                <w:lang w:eastAsia="es-MX"/>
              </w:rPr>
              <w:tab/>
            </w:r>
            <w:r w:rsidRPr="00F01347">
              <w:rPr>
                <w:rFonts w:ascii="Verdana" w:hAnsi="Verdana"/>
                <w:sz w:val="16"/>
                <w:szCs w:val="16"/>
                <w:lang w:eastAsia="es-MX"/>
              </w:rPr>
              <w:t xml:space="preserve">longitud de camino óptico de la celda en </w:t>
            </w:r>
            <w:r w:rsidRPr="00F01347">
              <w:rPr>
                <w:rFonts w:ascii="Verdana" w:hAnsi="Verdana"/>
                <w:sz w:val="16"/>
                <w:szCs w:val="16"/>
                <w:shd w:val="clear" w:color="auto" w:fill="FFFFFF"/>
                <w:lang w:eastAsia="es-MX"/>
              </w:rPr>
              <w:t>centímetros</w:t>
            </w:r>
            <w:r w:rsidRPr="00F01347">
              <w:rPr>
                <w:rFonts w:ascii="Verdana" w:hAnsi="Verdana"/>
                <w:sz w:val="16"/>
                <w:szCs w:val="16"/>
                <w:lang w:eastAsia="es-MX"/>
              </w:rPr>
              <w:t>, cm</w:t>
            </w:r>
          </w:p>
        </w:tc>
        <w:tc>
          <w:tcPr>
            <w:tcW w:w="4675" w:type="dxa"/>
          </w:tcPr>
          <w:p w14:paraId="5CF5CC3D" w14:textId="2892D74F" w:rsidR="00874B8A" w:rsidRPr="00FC516A" w:rsidRDefault="00874B8A" w:rsidP="00874B8A">
            <w:pPr>
              <w:pStyle w:val="texto0"/>
              <w:spacing w:line="260" w:lineRule="exact"/>
              <w:ind w:firstLine="0"/>
              <w:rPr>
                <w:rFonts w:ascii="Verdana" w:hAnsi="Verdana"/>
                <w:i/>
                <w:sz w:val="16"/>
                <w:szCs w:val="16"/>
                <w:lang w:val="en-US" w:eastAsia="es-MX"/>
              </w:rPr>
            </w:pPr>
            <w:r w:rsidRPr="00FC516A">
              <w:rPr>
                <w:rFonts w:ascii="Verdana" w:hAnsi="Verdana"/>
                <w:i/>
                <w:sz w:val="16"/>
                <w:szCs w:val="16"/>
                <w:lang w:val="en-US" w:eastAsia="es-MX"/>
              </w:rPr>
              <w:t xml:space="preserve">d </w:t>
            </w:r>
            <w:r w:rsidRPr="00FC516A">
              <w:rPr>
                <w:rFonts w:ascii="Verdana" w:hAnsi="Verdana"/>
                <w:i/>
                <w:sz w:val="16"/>
                <w:szCs w:val="16"/>
                <w:lang w:val="en-US" w:eastAsia="es-MX"/>
              </w:rPr>
              <w:tab/>
            </w:r>
            <w:r w:rsidRPr="00FC516A">
              <w:rPr>
                <w:rFonts w:ascii="Verdana" w:hAnsi="Verdana"/>
                <w:sz w:val="16"/>
                <w:szCs w:val="16"/>
                <w:lang w:val="en-US" w:eastAsia="es-MX"/>
              </w:rPr>
              <w:t xml:space="preserve">optical path length of the cell in </w:t>
            </w:r>
            <w:r w:rsidRPr="00FC516A">
              <w:rPr>
                <w:rFonts w:ascii="Verdana" w:hAnsi="Verdana"/>
                <w:sz w:val="16"/>
                <w:szCs w:val="16"/>
                <w:shd w:val="clear" w:color="auto" w:fill="FFFFFF"/>
                <w:lang w:val="en-US" w:eastAsia="es-MX"/>
              </w:rPr>
              <w:t>centimeters</w:t>
            </w:r>
            <w:r w:rsidR="003E1BA9" w:rsidRPr="00FC516A">
              <w:rPr>
                <w:rFonts w:ascii="Verdana" w:hAnsi="Verdana"/>
                <w:sz w:val="16"/>
                <w:szCs w:val="16"/>
                <w:shd w:val="clear" w:color="auto" w:fill="FFFFFF"/>
                <w:lang w:val="en-US" w:eastAsia="es-MX"/>
              </w:rPr>
              <w:t>,</w:t>
            </w:r>
            <w:r w:rsidRPr="00FC516A">
              <w:rPr>
                <w:rFonts w:ascii="Verdana" w:hAnsi="Verdana"/>
                <w:sz w:val="16"/>
                <w:szCs w:val="16"/>
                <w:lang w:val="en-US" w:eastAsia="es-MX"/>
              </w:rPr>
              <w:t xml:space="preserve"> cm</w:t>
            </w:r>
          </w:p>
        </w:tc>
      </w:tr>
      <w:tr w:rsidR="00874B8A" w:rsidRPr="00F01347" w14:paraId="011FF04D" w14:textId="03E6B5B2" w:rsidTr="003B7405">
        <w:tc>
          <w:tcPr>
            <w:tcW w:w="4675" w:type="dxa"/>
          </w:tcPr>
          <w:p w14:paraId="23DD700A" w14:textId="77777777" w:rsidR="00874B8A" w:rsidRPr="00F01347" w:rsidRDefault="00874B8A" w:rsidP="00874B8A">
            <w:pPr>
              <w:pStyle w:val="texto0"/>
              <w:spacing w:line="260" w:lineRule="exact"/>
              <w:ind w:firstLine="0"/>
              <w:rPr>
                <w:rFonts w:ascii="Verdana" w:hAnsi="Verdana"/>
                <w:sz w:val="16"/>
                <w:szCs w:val="16"/>
                <w:lang w:eastAsia="es-MX"/>
              </w:rPr>
            </w:pPr>
            <w:r w:rsidRPr="00F01347">
              <w:rPr>
                <w:rFonts w:ascii="Verdana" w:hAnsi="Verdana"/>
                <w:sz w:val="16"/>
                <w:szCs w:val="16"/>
                <w:lang w:eastAsia="es-MX"/>
              </w:rPr>
              <w:t>1000</w:t>
            </w:r>
            <w:r w:rsidRPr="00F01347">
              <w:rPr>
                <w:rFonts w:ascii="Verdana" w:hAnsi="Verdana"/>
                <w:sz w:val="16"/>
                <w:szCs w:val="16"/>
                <w:lang w:eastAsia="es-MX"/>
              </w:rPr>
              <w:tab/>
              <w:t>factor de cálculo para alcanzar la unidad de microgramos por mililitro, μg/</w:t>
            </w:r>
            <w:proofErr w:type="spellStart"/>
            <w:r w:rsidRPr="00F01347">
              <w:rPr>
                <w:rFonts w:ascii="Verdana" w:hAnsi="Verdana"/>
                <w:sz w:val="16"/>
                <w:szCs w:val="16"/>
                <w:lang w:eastAsia="es-MX"/>
              </w:rPr>
              <w:t>mL</w:t>
            </w:r>
            <w:proofErr w:type="spellEnd"/>
          </w:p>
        </w:tc>
        <w:tc>
          <w:tcPr>
            <w:tcW w:w="4675" w:type="dxa"/>
          </w:tcPr>
          <w:p w14:paraId="44D50EA2" w14:textId="3408654C" w:rsidR="00874B8A" w:rsidRPr="00FC516A" w:rsidRDefault="00874B8A" w:rsidP="00874B8A">
            <w:pPr>
              <w:pStyle w:val="texto0"/>
              <w:spacing w:line="260" w:lineRule="exact"/>
              <w:ind w:firstLine="0"/>
              <w:rPr>
                <w:rFonts w:ascii="Verdana" w:hAnsi="Verdana"/>
                <w:sz w:val="16"/>
                <w:szCs w:val="16"/>
                <w:lang w:val="en-US" w:eastAsia="es-MX"/>
              </w:rPr>
            </w:pPr>
            <w:r w:rsidRPr="00FC516A">
              <w:rPr>
                <w:rFonts w:ascii="Verdana" w:hAnsi="Verdana"/>
                <w:sz w:val="16"/>
                <w:szCs w:val="16"/>
                <w:lang w:val="en-US" w:eastAsia="es-MX"/>
              </w:rPr>
              <w:t xml:space="preserve">1000 </w:t>
            </w:r>
            <w:r w:rsidRPr="00FC516A">
              <w:rPr>
                <w:rFonts w:ascii="Verdana" w:hAnsi="Verdana"/>
                <w:sz w:val="16"/>
                <w:szCs w:val="16"/>
                <w:lang w:val="en-US" w:eastAsia="es-MX"/>
              </w:rPr>
              <w:tab/>
              <w:t xml:space="preserve">calculation factor to achieve the unit of micrograms per milliliter, </w:t>
            </w:r>
            <w:proofErr w:type="spellStart"/>
            <w:r w:rsidRPr="00FC516A">
              <w:rPr>
                <w:rFonts w:ascii="Verdana" w:hAnsi="Verdana"/>
                <w:sz w:val="16"/>
                <w:szCs w:val="16"/>
                <w:lang w:val="en-US" w:eastAsia="es-MX"/>
              </w:rPr>
              <w:t>μg</w:t>
            </w:r>
            <w:proofErr w:type="spellEnd"/>
            <w:r w:rsidRPr="00FC516A">
              <w:rPr>
                <w:rFonts w:ascii="Verdana" w:hAnsi="Verdana"/>
                <w:sz w:val="16"/>
                <w:szCs w:val="16"/>
                <w:lang w:val="en-US" w:eastAsia="es-MX"/>
              </w:rPr>
              <w:t>/ mL</w:t>
            </w:r>
          </w:p>
        </w:tc>
      </w:tr>
      <w:tr w:rsidR="00874B8A" w:rsidRPr="00F01347" w14:paraId="10D6569F" w14:textId="02459F39" w:rsidTr="003B7405">
        <w:tc>
          <w:tcPr>
            <w:tcW w:w="4675" w:type="dxa"/>
          </w:tcPr>
          <w:p w14:paraId="41526415" w14:textId="77777777" w:rsidR="00874B8A" w:rsidRPr="00F01347" w:rsidRDefault="00874B8A" w:rsidP="00874B8A">
            <w:pPr>
              <w:pStyle w:val="texto0"/>
              <w:spacing w:line="260" w:lineRule="exact"/>
              <w:ind w:firstLine="0"/>
              <w:rPr>
                <w:rFonts w:ascii="Verdana" w:hAnsi="Verdana"/>
                <w:sz w:val="16"/>
                <w:szCs w:val="16"/>
              </w:rPr>
            </w:pPr>
            <w:r w:rsidRPr="00F01347">
              <w:rPr>
                <w:rFonts w:ascii="Verdana" w:hAnsi="Verdana"/>
                <w:sz w:val="16"/>
                <w:szCs w:val="16"/>
              </w:rPr>
              <w:t xml:space="preserve">La </w:t>
            </w:r>
            <w:r w:rsidRPr="00F01347">
              <w:rPr>
                <w:rFonts w:ascii="Verdana" w:hAnsi="Verdana"/>
                <w:i/>
                <w:sz w:val="16"/>
                <w:szCs w:val="16"/>
                <w:lang w:eastAsia="es-MX"/>
              </w:rPr>
              <w:t>M</w:t>
            </w:r>
            <w:r w:rsidRPr="00F01347">
              <w:rPr>
                <w:sz w:val="16"/>
                <w:szCs w:val="16"/>
                <w:lang w:eastAsia="es-MX"/>
              </w:rPr>
              <w:t>ᵢ</w:t>
            </w:r>
            <w:r w:rsidRPr="00F01347">
              <w:rPr>
                <w:rFonts w:ascii="Verdana" w:hAnsi="Verdana"/>
                <w:sz w:val="16"/>
                <w:szCs w:val="16"/>
              </w:rPr>
              <w:t xml:space="preserve"> y la </w:t>
            </w:r>
            <w:r w:rsidRPr="00F01347">
              <w:rPr>
                <w:rFonts w:ascii="Calibri" w:hAnsi="Calibri" w:cs="Calibri"/>
                <w:i/>
                <w:sz w:val="16"/>
                <w:szCs w:val="16"/>
                <w:lang w:eastAsia="es-MX"/>
              </w:rPr>
              <w:t>Ɛ</w:t>
            </w:r>
            <w:r w:rsidRPr="00F01347">
              <w:rPr>
                <w:sz w:val="16"/>
                <w:szCs w:val="16"/>
                <w:lang w:eastAsia="es-MX"/>
              </w:rPr>
              <w:t>ᵢ</w:t>
            </w:r>
            <w:r w:rsidRPr="00F01347">
              <w:rPr>
                <w:rFonts w:ascii="Verdana" w:hAnsi="Verdana"/>
                <w:sz w:val="16"/>
                <w:szCs w:val="16"/>
              </w:rPr>
              <w:t xml:space="preserve"> se listan en la Tabla B.1.3-2, de este Apéndice</w:t>
            </w:r>
          </w:p>
        </w:tc>
        <w:tc>
          <w:tcPr>
            <w:tcW w:w="4675" w:type="dxa"/>
          </w:tcPr>
          <w:p w14:paraId="43FA0CF2" w14:textId="3E2E260C" w:rsidR="00874B8A" w:rsidRPr="00FC516A" w:rsidRDefault="00874B8A" w:rsidP="00874B8A">
            <w:pPr>
              <w:pStyle w:val="texto0"/>
              <w:spacing w:line="260" w:lineRule="exact"/>
              <w:ind w:firstLine="0"/>
              <w:rPr>
                <w:rFonts w:ascii="Verdana" w:hAnsi="Verdana"/>
                <w:sz w:val="16"/>
                <w:szCs w:val="16"/>
                <w:lang w:val="en-US"/>
              </w:rPr>
            </w:pPr>
            <w:r w:rsidRPr="00FC516A">
              <w:rPr>
                <w:rFonts w:ascii="Verdana" w:hAnsi="Verdana"/>
                <w:sz w:val="16"/>
                <w:szCs w:val="16"/>
                <w:lang w:val="en-US"/>
              </w:rPr>
              <w:t xml:space="preserve">The </w:t>
            </w:r>
            <w:r w:rsidRPr="00FC516A">
              <w:rPr>
                <w:rFonts w:ascii="Verdana" w:hAnsi="Verdana"/>
                <w:i/>
                <w:sz w:val="16"/>
                <w:szCs w:val="16"/>
                <w:lang w:val="en-US" w:eastAsia="es-MX"/>
              </w:rPr>
              <w:t>M</w:t>
            </w:r>
            <w:r w:rsidRPr="00FC516A">
              <w:rPr>
                <w:sz w:val="16"/>
                <w:szCs w:val="16"/>
                <w:lang w:val="en-US" w:eastAsia="es-MX"/>
              </w:rPr>
              <w:t xml:space="preserve">ᵢ </w:t>
            </w:r>
            <w:r w:rsidRPr="00FC516A">
              <w:rPr>
                <w:rFonts w:ascii="Verdana" w:hAnsi="Verdana"/>
                <w:sz w:val="16"/>
                <w:szCs w:val="16"/>
                <w:lang w:val="en-US"/>
              </w:rPr>
              <w:t xml:space="preserve">and </w:t>
            </w:r>
            <w:r w:rsidRPr="00FC516A">
              <w:rPr>
                <w:rFonts w:ascii="Calibri" w:hAnsi="Calibri" w:cs="Calibri"/>
                <w:i/>
                <w:sz w:val="16"/>
                <w:szCs w:val="16"/>
                <w:lang w:val="en-US" w:eastAsia="es-MX"/>
              </w:rPr>
              <w:t>Ɛ</w:t>
            </w:r>
            <w:r w:rsidRPr="00FC516A">
              <w:rPr>
                <w:sz w:val="16"/>
                <w:szCs w:val="16"/>
                <w:lang w:val="en-US" w:eastAsia="es-MX"/>
              </w:rPr>
              <w:t xml:space="preserve">ᵢ </w:t>
            </w:r>
            <w:r w:rsidRPr="00FC516A">
              <w:rPr>
                <w:rFonts w:ascii="Verdana" w:hAnsi="Verdana"/>
                <w:sz w:val="16"/>
                <w:szCs w:val="16"/>
                <w:lang w:val="en-US"/>
              </w:rPr>
              <w:t>are listed in Table B.1.3-2, of this Appendix</w:t>
            </w:r>
          </w:p>
        </w:tc>
      </w:tr>
    </w:tbl>
    <w:p w14:paraId="4672D1A0" w14:textId="4DC327E8" w:rsidR="00A74CDF" w:rsidRPr="00F01347" w:rsidRDefault="00A74CDF" w:rsidP="006A0481">
      <w:pPr>
        <w:pStyle w:val="texto0"/>
        <w:spacing w:line="260" w:lineRule="exact"/>
        <w:rPr>
          <w:rFonts w:ascii="Verdana" w:hAnsi="Verdana"/>
          <w:sz w:val="16"/>
          <w:szCs w:val="16"/>
        </w:rPr>
      </w:pPr>
      <w:r w:rsidRPr="00F01347">
        <w:rPr>
          <w:rFonts w:ascii="Verdana" w:hAnsi="Verdana"/>
          <w:sz w:val="16"/>
          <w:szCs w:val="16"/>
        </w:rPr>
        <w:t>.</w:t>
      </w:r>
    </w:p>
    <w:tbl>
      <w:tblPr>
        <w:tblW w:w="4068" w:type="dxa"/>
        <w:tblInd w:w="2232" w:type="dxa"/>
        <w:tblLayout w:type="fixed"/>
        <w:tblCellMar>
          <w:left w:w="72" w:type="dxa"/>
          <w:right w:w="72" w:type="dxa"/>
        </w:tblCellMar>
        <w:tblLook w:val="0000" w:firstRow="0" w:lastRow="0" w:firstColumn="0" w:lastColumn="0" w:noHBand="0" w:noVBand="0"/>
      </w:tblPr>
      <w:tblGrid>
        <w:gridCol w:w="1548"/>
        <w:gridCol w:w="1170"/>
        <w:gridCol w:w="1350"/>
      </w:tblGrid>
      <w:tr w:rsidR="00A74CDF" w:rsidRPr="00F01347" w14:paraId="72E46F10" w14:textId="77777777">
        <w:trPr>
          <w:trHeight w:val="144"/>
        </w:trPr>
        <w:tc>
          <w:tcPr>
            <w:tcW w:w="4068" w:type="dxa"/>
            <w:gridSpan w:val="3"/>
            <w:tcBorders>
              <w:bottom w:val="single" w:sz="6" w:space="0" w:color="auto"/>
            </w:tcBorders>
            <w:noWrap/>
          </w:tcPr>
          <w:p w14:paraId="3DE0C4A3" w14:textId="77777777" w:rsidR="00A74CDF" w:rsidRPr="00F01347" w:rsidRDefault="00A74CDF" w:rsidP="006A0481">
            <w:pPr>
              <w:pStyle w:val="texto0"/>
              <w:spacing w:line="260" w:lineRule="exact"/>
              <w:ind w:firstLine="0"/>
              <w:rPr>
                <w:rFonts w:ascii="Verdana" w:hAnsi="Verdana"/>
                <w:color w:val="000000"/>
                <w:sz w:val="16"/>
                <w:szCs w:val="16"/>
              </w:rPr>
            </w:pPr>
            <w:r w:rsidRPr="00F01347">
              <w:rPr>
                <w:rFonts w:ascii="Verdana" w:hAnsi="Verdana"/>
                <w:b/>
                <w:color w:val="000000"/>
                <w:sz w:val="16"/>
                <w:szCs w:val="16"/>
              </w:rPr>
              <w:t>Tabla B.1.3-2.</w:t>
            </w:r>
            <w:r w:rsidRPr="00F01347">
              <w:rPr>
                <w:rFonts w:ascii="Verdana" w:hAnsi="Verdana"/>
                <w:color w:val="000000"/>
                <w:sz w:val="16"/>
                <w:szCs w:val="16"/>
              </w:rPr>
              <w:t xml:space="preserve"> Masa Molar y la absortividad molar de </w:t>
            </w:r>
            <w:proofErr w:type="spellStart"/>
            <w:r w:rsidRPr="00F01347">
              <w:rPr>
                <w:rFonts w:ascii="Verdana" w:hAnsi="Verdana"/>
                <w:color w:val="000000"/>
                <w:sz w:val="16"/>
                <w:szCs w:val="16"/>
              </w:rPr>
              <w:t>microcistinas</w:t>
            </w:r>
            <w:proofErr w:type="spellEnd"/>
            <w:r w:rsidRPr="00F01347">
              <w:rPr>
                <w:rFonts w:ascii="Verdana" w:hAnsi="Verdana"/>
                <w:color w:val="000000"/>
                <w:sz w:val="16"/>
                <w:szCs w:val="16"/>
              </w:rPr>
              <w:t xml:space="preserve"> (en metanol, a 238nm)</w:t>
            </w:r>
          </w:p>
        </w:tc>
      </w:tr>
      <w:tr w:rsidR="00A74CDF" w:rsidRPr="00F01347" w14:paraId="3EAE02A3" w14:textId="77777777">
        <w:trPr>
          <w:trHeight w:val="144"/>
        </w:trPr>
        <w:tc>
          <w:tcPr>
            <w:tcW w:w="1548" w:type="dxa"/>
            <w:tcBorders>
              <w:top w:val="single" w:sz="6" w:space="0" w:color="auto"/>
              <w:left w:val="single" w:sz="6" w:space="0" w:color="auto"/>
              <w:bottom w:val="single" w:sz="6" w:space="0" w:color="auto"/>
              <w:right w:val="single" w:sz="6" w:space="0" w:color="auto"/>
            </w:tcBorders>
          </w:tcPr>
          <w:p w14:paraId="4085AE73" w14:textId="77777777" w:rsidR="00A74CDF" w:rsidRPr="00F01347" w:rsidRDefault="00A74CDF" w:rsidP="006A0481">
            <w:pPr>
              <w:pStyle w:val="texto0"/>
              <w:spacing w:line="260" w:lineRule="exact"/>
              <w:ind w:firstLine="0"/>
              <w:jc w:val="left"/>
              <w:rPr>
                <w:rFonts w:ascii="Verdana" w:hAnsi="Verdana"/>
                <w:color w:val="000000"/>
                <w:sz w:val="16"/>
                <w:szCs w:val="16"/>
              </w:rPr>
            </w:pPr>
            <w:proofErr w:type="spellStart"/>
            <w:r w:rsidRPr="00F01347">
              <w:rPr>
                <w:rFonts w:ascii="Verdana" w:hAnsi="Verdana"/>
                <w:color w:val="000000"/>
                <w:sz w:val="16"/>
                <w:szCs w:val="16"/>
              </w:rPr>
              <w:t>Microcistina</w:t>
            </w:r>
            <w:proofErr w:type="spellEnd"/>
          </w:p>
        </w:tc>
        <w:tc>
          <w:tcPr>
            <w:tcW w:w="1170" w:type="dxa"/>
            <w:tcBorders>
              <w:top w:val="single" w:sz="6" w:space="0" w:color="auto"/>
              <w:left w:val="single" w:sz="6" w:space="0" w:color="auto"/>
              <w:bottom w:val="single" w:sz="6" w:space="0" w:color="auto"/>
              <w:right w:val="single" w:sz="6" w:space="0" w:color="auto"/>
            </w:tcBorders>
          </w:tcPr>
          <w:p w14:paraId="63825282" w14:textId="77777777" w:rsidR="00A74CDF" w:rsidRPr="00F01347" w:rsidRDefault="00A74CDF" w:rsidP="006A0481">
            <w:pPr>
              <w:pStyle w:val="texto0"/>
              <w:spacing w:line="260" w:lineRule="exact"/>
              <w:ind w:firstLine="0"/>
              <w:jc w:val="left"/>
              <w:rPr>
                <w:rFonts w:ascii="Verdana" w:hAnsi="Verdana"/>
                <w:sz w:val="16"/>
                <w:szCs w:val="16"/>
                <w:lang w:eastAsia="es-MX"/>
              </w:rPr>
            </w:pPr>
            <w:r w:rsidRPr="00F01347">
              <w:rPr>
                <w:rFonts w:ascii="Verdana" w:hAnsi="Verdana"/>
                <w:i/>
                <w:sz w:val="16"/>
                <w:szCs w:val="16"/>
                <w:lang w:eastAsia="es-MX"/>
              </w:rPr>
              <w:t>M</w:t>
            </w:r>
            <w:r w:rsidRPr="00F01347">
              <w:rPr>
                <w:sz w:val="16"/>
                <w:szCs w:val="16"/>
                <w:lang w:eastAsia="es-MX"/>
              </w:rPr>
              <w:t>ᵢ</w:t>
            </w:r>
          </w:p>
          <w:p w14:paraId="19A4322D" w14:textId="77777777" w:rsidR="00A74CDF" w:rsidRPr="00F01347" w:rsidRDefault="00A74CDF" w:rsidP="006A0481">
            <w:pPr>
              <w:pStyle w:val="texto0"/>
              <w:spacing w:line="260" w:lineRule="exact"/>
              <w:ind w:firstLine="0"/>
              <w:jc w:val="left"/>
              <w:rPr>
                <w:rFonts w:ascii="Verdana" w:hAnsi="Verdana"/>
                <w:color w:val="000000"/>
                <w:sz w:val="16"/>
                <w:szCs w:val="16"/>
              </w:rPr>
            </w:pPr>
            <w:r w:rsidRPr="00F01347">
              <w:rPr>
                <w:rFonts w:ascii="Verdana" w:hAnsi="Verdana"/>
                <w:sz w:val="16"/>
                <w:szCs w:val="16"/>
              </w:rPr>
              <w:t xml:space="preserve">g mol </w:t>
            </w:r>
            <w:r w:rsidRPr="00F01347">
              <w:rPr>
                <w:rFonts w:ascii="Verdana" w:hAnsi="Verdana"/>
                <w:sz w:val="16"/>
                <w:szCs w:val="16"/>
                <w:vertAlign w:val="superscript"/>
              </w:rPr>
              <w:t>-1</w:t>
            </w:r>
          </w:p>
        </w:tc>
        <w:tc>
          <w:tcPr>
            <w:tcW w:w="1350" w:type="dxa"/>
            <w:tcBorders>
              <w:top w:val="single" w:sz="6" w:space="0" w:color="auto"/>
              <w:left w:val="single" w:sz="6" w:space="0" w:color="auto"/>
              <w:bottom w:val="single" w:sz="6" w:space="0" w:color="auto"/>
              <w:right w:val="single" w:sz="6" w:space="0" w:color="auto"/>
            </w:tcBorders>
          </w:tcPr>
          <w:p w14:paraId="4B259FDF" w14:textId="77777777" w:rsidR="00A74CDF" w:rsidRPr="00F01347" w:rsidRDefault="00A74CDF" w:rsidP="006A0481">
            <w:pPr>
              <w:pStyle w:val="texto0"/>
              <w:spacing w:line="260" w:lineRule="exact"/>
              <w:ind w:firstLine="0"/>
              <w:jc w:val="left"/>
              <w:rPr>
                <w:rFonts w:ascii="Verdana" w:hAnsi="Verdana"/>
                <w:sz w:val="16"/>
                <w:szCs w:val="16"/>
                <w:lang w:eastAsia="es-MX"/>
              </w:rPr>
            </w:pPr>
            <w:r w:rsidRPr="00F01347">
              <w:rPr>
                <w:rFonts w:ascii="Calibri" w:hAnsi="Calibri" w:cs="Calibri"/>
                <w:i/>
                <w:sz w:val="16"/>
                <w:szCs w:val="16"/>
                <w:lang w:eastAsia="es-MX"/>
              </w:rPr>
              <w:t>Ɛ</w:t>
            </w:r>
            <w:r w:rsidRPr="00F01347">
              <w:rPr>
                <w:sz w:val="16"/>
                <w:szCs w:val="16"/>
                <w:lang w:eastAsia="es-MX"/>
              </w:rPr>
              <w:t>ᵢ</w:t>
            </w:r>
          </w:p>
          <w:p w14:paraId="7D72F856" w14:textId="77777777" w:rsidR="00A74CDF" w:rsidRPr="00F01347" w:rsidRDefault="00A74CDF" w:rsidP="006A0481">
            <w:pPr>
              <w:pStyle w:val="texto0"/>
              <w:spacing w:line="260" w:lineRule="exact"/>
              <w:ind w:firstLine="0"/>
              <w:jc w:val="left"/>
              <w:rPr>
                <w:rFonts w:ascii="Verdana" w:hAnsi="Verdana"/>
                <w:color w:val="000000"/>
                <w:sz w:val="16"/>
                <w:szCs w:val="16"/>
              </w:rPr>
            </w:pPr>
            <w:r w:rsidRPr="00F01347">
              <w:rPr>
                <w:rFonts w:ascii="Verdana" w:hAnsi="Verdana"/>
                <w:sz w:val="16"/>
                <w:szCs w:val="16"/>
              </w:rPr>
              <w:t>L mol</w:t>
            </w:r>
            <w:r w:rsidRPr="00F01347">
              <w:rPr>
                <w:rFonts w:ascii="Verdana" w:hAnsi="Verdana"/>
                <w:sz w:val="16"/>
                <w:szCs w:val="16"/>
                <w:vertAlign w:val="superscript"/>
              </w:rPr>
              <w:t>-1</w:t>
            </w:r>
            <w:r w:rsidRPr="00F01347">
              <w:rPr>
                <w:rFonts w:ascii="Verdana" w:hAnsi="Verdana"/>
                <w:sz w:val="16"/>
                <w:szCs w:val="16"/>
              </w:rPr>
              <w:t xml:space="preserve"> cm</w:t>
            </w:r>
            <w:r w:rsidRPr="00F01347">
              <w:rPr>
                <w:rFonts w:ascii="Verdana" w:hAnsi="Verdana"/>
                <w:sz w:val="16"/>
                <w:szCs w:val="16"/>
                <w:vertAlign w:val="superscript"/>
              </w:rPr>
              <w:t>-1</w:t>
            </w:r>
          </w:p>
        </w:tc>
      </w:tr>
      <w:tr w:rsidR="00A74CDF" w:rsidRPr="00F01347" w14:paraId="23668866" w14:textId="77777777">
        <w:trPr>
          <w:trHeight w:val="144"/>
        </w:trPr>
        <w:tc>
          <w:tcPr>
            <w:tcW w:w="1548" w:type="dxa"/>
            <w:tcBorders>
              <w:top w:val="single" w:sz="6" w:space="0" w:color="auto"/>
              <w:left w:val="single" w:sz="6" w:space="0" w:color="auto"/>
              <w:bottom w:val="single" w:sz="6" w:space="0" w:color="auto"/>
              <w:right w:val="single" w:sz="6" w:space="0" w:color="auto"/>
            </w:tcBorders>
          </w:tcPr>
          <w:p w14:paraId="34A809BF" w14:textId="77777777" w:rsidR="00A74CDF" w:rsidRPr="00F01347" w:rsidRDefault="00A74CDF" w:rsidP="006A0481">
            <w:pPr>
              <w:pStyle w:val="texto0"/>
              <w:spacing w:line="260" w:lineRule="exact"/>
              <w:ind w:firstLine="0"/>
              <w:jc w:val="left"/>
              <w:rPr>
                <w:rFonts w:ascii="Verdana" w:hAnsi="Verdana"/>
                <w:color w:val="000000"/>
                <w:sz w:val="16"/>
                <w:szCs w:val="16"/>
              </w:rPr>
            </w:pPr>
            <w:r w:rsidRPr="00F01347">
              <w:rPr>
                <w:rFonts w:ascii="Verdana" w:hAnsi="Verdana"/>
                <w:color w:val="000000"/>
                <w:sz w:val="16"/>
                <w:szCs w:val="16"/>
              </w:rPr>
              <w:t>MC-LR</w:t>
            </w:r>
          </w:p>
        </w:tc>
        <w:tc>
          <w:tcPr>
            <w:tcW w:w="1170" w:type="dxa"/>
            <w:tcBorders>
              <w:top w:val="single" w:sz="6" w:space="0" w:color="auto"/>
              <w:left w:val="single" w:sz="6" w:space="0" w:color="auto"/>
              <w:bottom w:val="single" w:sz="6" w:space="0" w:color="auto"/>
              <w:right w:val="single" w:sz="6" w:space="0" w:color="auto"/>
            </w:tcBorders>
          </w:tcPr>
          <w:p w14:paraId="2D8AB8C2" w14:textId="77777777" w:rsidR="00A74CDF" w:rsidRPr="00F01347" w:rsidRDefault="00A74CDF" w:rsidP="006A0481">
            <w:pPr>
              <w:pStyle w:val="texto0"/>
              <w:spacing w:line="260" w:lineRule="exact"/>
              <w:ind w:firstLine="0"/>
              <w:jc w:val="left"/>
              <w:rPr>
                <w:rFonts w:ascii="Verdana" w:hAnsi="Verdana"/>
                <w:color w:val="000000"/>
                <w:sz w:val="16"/>
                <w:szCs w:val="16"/>
              </w:rPr>
            </w:pPr>
            <w:r w:rsidRPr="00F01347">
              <w:rPr>
                <w:rFonts w:ascii="Verdana" w:hAnsi="Verdana"/>
                <w:color w:val="000000"/>
                <w:sz w:val="16"/>
                <w:szCs w:val="16"/>
              </w:rPr>
              <w:t>994</w:t>
            </w:r>
          </w:p>
        </w:tc>
        <w:tc>
          <w:tcPr>
            <w:tcW w:w="1350" w:type="dxa"/>
            <w:tcBorders>
              <w:top w:val="single" w:sz="6" w:space="0" w:color="auto"/>
              <w:left w:val="single" w:sz="6" w:space="0" w:color="auto"/>
              <w:bottom w:val="single" w:sz="6" w:space="0" w:color="auto"/>
              <w:right w:val="single" w:sz="6" w:space="0" w:color="auto"/>
            </w:tcBorders>
          </w:tcPr>
          <w:p w14:paraId="3DDEB22F" w14:textId="77777777" w:rsidR="00A74CDF" w:rsidRPr="00F01347" w:rsidRDefault="00A74CDF" w:rsidP="006A0481">
            <w:pPr>
              <w:pStyle w:val="texto0"/>
              <w:spacing w:line="260" w:lineRule="exact"/>
              <w:ind w:firstLine="0"/>
              <w:jc w:val="left"/>
              <w:rPr>
                <w:rFonts w:ascii="Verdana" w:hAnsi="Verdana"/>
                <w:color w:val="000000"/>
                <w:sz w:val="16"/>
                <w:szCs w:val="16"/>
              </w:rPr>
            </w:pPr>
            <w:r w:rsidRPr="00F01347">
              <w:rPr>
                <w:rFonts w:ascii="Verdana" w:hAnsi="Verdana"/>
                <w:color w:val="000000"/>
                <w:sz w:val="16"/>
                <w:szCs w:val="16"/>
              </w:rPr>
              <w:t>39 800</w:t>
            </w:r>
          </w:p>
        </w:tc>
      </w:tr>
      <w:tr w:rsidR="00A74CDF" w:rsidRPr="00F01347" w14:paraId="4C25F0A2" w14:textId="77777777">
        <w:trPr>
          <w:trHeight w:val="144"/>
        </w:trPr>
        <w:tc>
          <w:tcPr>
            <w:tcW w:w="1548" w:type="dxa"/>
            <w:tcBorders>
              <w:top w:val="single" w:sz="6" w:space="0" w:color="auto"/>
              <w:left w:val="single" w:sz="6" w:space="0" w:color="auto"/>
              <w:bottom w:val="single" w:sz="6" w:space="0" w:color="auto"/>
              <w:right w:val="single" w:sz="6" w:space="0" w:color="auto"/>
            </w:tcBorders>
          </w:tcPr>
          <w:p w14:paraId="2F8B63EF" w14:textId="77777777" w:rsidR="00A74CDF" w:rsidRPr="00F01347" w:rsidRDefault="00A74CDF" w:rsidP="006A0481">
            <w:pPr>
              <w:pStyle w:val="texto0"/>
              <w:spacing w:line="260" w:lineRule="exact"/>
              <w:ind w:firstLine="0"/>
              <w:jc w:val="left"/>
              <w:rPr>
                <w:rFonts w:ascii="Verdana" w:hAnsi="Verdana"/>
                <w:color w:val="000000"/>
                <w:sz w:val="16"/>
                <w:szCs w:val="16"/>
              </w:rPr>
            </w:pPr>
            <w:r w:rsidRPr="00F01347">
              <w:rPr>
                <w:rFonts w:ascii="Verdana" w:hAnsi="Verdana"/>
                <w:color w:val="000000"/>
                <w:sz w:val="16"/>
                <w:szCs w:val="16"/>
              </w:rPr>
              <w:t>MC-YD</w:t>
            </w:r>
          </w:p>
        </w:tc>
        <w:tc>
          <w:tcPr>
            <w:tcW w:w="1170" w:type="dxa"/>
            <w:tcBorders>
              <w:top w:val="single" w:sz="6" w:space="0" w:color="auto"/>
              <w:left w:val="single" w:sz="6" w:space="0" w:color="auto"/>
              <w:bottom w:val="single" w:sz="6" w:space="0" w:color="auto"/>
              <w:right w:val="single" w:sz="6" w:space="0" w:color="auto"/>
            </w:tcBorders>
          </w:tcPr>
          <w:p w14:paraId="1185881E" w14:textId="77777777" w:rsidR="00A74CDF" w:rsidRPr="00F01347" w:rsidRDefault="00A74CDF" w:rsidP="006A0481">
            <w:pPr>
              <w:pStyle w:val="texto0"/>
              <w:spacing w:line="260" w:lineRule="exact"/>
              <w:ind w:firstLine="0"/>
              <w:jc w:val="left"/>
              <w:rPr>
                <w:rFonts w:ascii="Verdana" w:hAnsi="Verdana"/>
                <w:color w:val="000000"/>
                <w:sz w:val="16"/>
                <w:szCs w:val="16"/>
              </w:rPr>
            </w:pPr>
            <w:r w:rsidRPr="00F01347">
              <w:rPr>
                <w:rFonts w:ascii="Verdana" w:hAnsi="Verdana"/>
                <w:color w:val="000000"/>
                <w:sz w:val="16"/>
                <w:szCs w:val="16"/>
              </w:rPr>
              <w:t>1 044</w:t>
            </w:r>
          </w:p>
        </w:tc>
        <w:tc>
          <w:tcPr>
            <w:tcW w:w="1350" w:type="dxa"/>
            <w:tcBorders>
              <w:top w:val="single" w:sz="6" w:space="0" w:color="auto"/>
              <w:left w:val="single" w:sz="6" w:space="0" w:color="auto"/>
              <w:bottom w:val="single" w:sz="6" w:space="0" w:color="auto"/>
              <w:right w:val="single" w:sz="6" w:space="0" w:color="auto"/>
            </w:tcBorders>
          </w:tcPr>
          <w:p w14:paraId="4AC39488" w14:textId="77777777" w:rsidR="00A74CDF" w:rsidRPr="00F01347" w:rsidRDefault="00A74CDF" w:rsidP="006A0481">
            <w:pPr>
              <w:pStyle w:val="texto0"/>
              <w:spacing w:line="260" w:lineRule="exact"/>
              <w:ind w:firstLine="0"/>
              <w:jc w:val="left"/>
              <w:rPr>
                <w:rFonts w:ascii="Verdana" w:hAnsi="Verdana"/>
                <w:color w:val="000000"/>
                <w:sz w:val="16"/>
                <w:szCs w:val="16"/>
              </w:rPr>
            </w:pPr>
            <w:r w:rsidRPr="00F01347">
              <w:rPr>
                <w:rFonts w:ascii="Verdana" w:hAnsi="Verdana"/>
                <w:color w:val="000000"/>
                <w:sz w:val="16"/>
                <w:szCs w:val="16"/>
              </w:rPr>
              <w:t>39 800</w:t>
            </w:r>
          </w:p>
        </w:tc>
      </w:tr>
      <w:tr w:rsidR="00A74CDF" w:rsidRPr="00F01347" w14:paraId="77E7FD2D" w14:textId="77777777">
        <w:trPr>
          <w:trHeight w:val="144"/>
        </w:trPr>
        <w:tc>
          <w:tcPr>
            <w:tcW w:w="1548" w:type="dxa"/>
            <w:tcBorders>
              <w:top w:val="single" w:sz="6" w:space="0" w:color="auto"/>
              <w:left w:val="single" w:sz="6" w:space="0" w:color="auto"/>
              <w:bottom w:val="single" w:sz="6" w:space="0" w:color="auto"/>
              <w:right w:val="single" w:sz="6" w:space="0" w:color="auto"/>
            </w:tcBorders>
          </w:tcPr>
          <w:p w14:paraId="668D5EC6" w14:textId="77777777" w:rsidR="00A74CDF" w:rsidRPr="00F01347" w:rsidRDefault="00A74CDF" w:rsidP="006A0481">
            <w:pPr>
              <w:pStyle w:val="texto0"/>
              <w:spacing w:line="260" w:lineRule="exact"/>
              <w:ind w:firstLine="0"/>
              <w:jc w:val="left"/>
              <w:rPr>
                <w:rFonts w:ascii="Verdana" w:hAnsi="Verdana"/>
                <w:color w:val="000000"/>
                <w:sz w:val="16"/>
                <w:szCs w:val="16"/>
              </w:rPr>
            </w:pPr>
            <w:r w:rsidRPr="00F01347">
              <w:rPr>
                <w:rFonts w:ascii="Verdana" w:hAnsi="Verdana"/>
                <w:color w:val="000000"/>
                <w:sz w:val="16"/>
                <w:szCs w:val="16"/>
              </w:rPr>
              <w:t>MC-RR</w:t>
            </w:r>
          </w:p>
        </w:tc>
        <w:tc>
          <w:tcPr>
            <w:tcW w:w="1170" w:type="dxa"/>
            <w:tcBorders>
              <w:top w:val="single" w:sz="6" w:space="0" w:color="auto"/>
              <w:left w:val="single" w:sz="6" w:space="0" w:color="auto"/>
              <w:bottom w:val="single" w:sz="6" w:space="0" w:color="auto"/>
              <w:right w:val="single" w:sz="6" w:space="0" w:color="auto"/>
            </w:tcBorders>
          </w:tcPr>
          <w:p w14:paraId="5879CFA8" w14:textId="77777777" w:rsidR="00A74CDF" w:rsidRPr="00F01347" w:rsidRDefault="00A74CDF" w:rsidP="006A0481">
            <w:pPr>
              <w:pStyle w:val="texto0"/>
              <w:spacing w:line="260" w:lineRule="exact"/>
              <w:ind w:firstLine="0"/>
              <w:jc w:val="left"/>
              <w:rPr>
                <w:rFonts w:ascii="Verdana" w:hAnsi="Verdana"/>
                <w:color w:val="000000"/>
                <w:sz w:val="16"/>
                <w:szCs w:val="16"/>
              </w:rPr>
            </w:pPr>
            <w:r w:rsidRPr="00F01347">
              <w:rPr>
                <w:rFonts w:ascii="Verdana" w:hAnsi="Verdana"/>
                <w:color w:val="000000"/>
                <w:sz w:val="16"/>
                <w:szCs w:val="16"/>
              </w:rPr>
              <w:t>1 037</w:t>
            </w:r>
          </w:p>
        </w:tc>
        <w:tc>
          <w:tcPr>
            <w:tcW w:w="1350" w:type="dxa"/>
            <w:tcBorders>
              <w:top w:val="single" w:sz="6" w:space="0" w:color="auto"/>
              <w:left w:val="single" w:sz="6" w:space="0" w:color="auto"/>
              <w:bottom w:val="single" w:sz="6" w:space="0" w:color="auto"/>
              <w:right w:val="single" w:sz="6" w:space="0" w:color="auto"/>
            </w:tcBorders>
          </w:tcPr>
          <w:p w14:paraId="5420584A" w14:textId="77777777" w:rsidR="00A74CDF" w:rsidRPr="00F01347" w:rsidRDefault="00A74CDF" w:rsidP="006A0481">
            <w:pPr>
              <w:pStyle w:val="texto0"/>
              <w:spacing w:line="260" w:lineRule="exact"/>
              <w:ind w:firstLine="0"/>
              <w:jc w:val="left"/>
              <w:rPr>
                <w:rFonts w:ascii="Verdana" w:hAnsi="Verdana"/>
                <w:color w:val="000000"/>
                <w:sz w:val="16"/>
                <w:szCs w:val="16"/>
              </w:rPr>
            </w:pPr>
            <w:r w:rsidRPr="00F01347">
              <w:rPr>
                <w:rFonts w:ascii="Verdana" w:hAnsi="Verdana"/>
                <w:color w:val="000000"/>
                <w:sz w:val="16"/>
                <w:szCs w:val="16"/>
              </w:rPr>
              <w:t>39 800</w:t>
            </w:r>
          </w:p>
        </w:tc>
      </w:tr>
      <w:tr w:rsidR="00A74CDF" w:rsidRPr="00F01347" w14:paraId="09D8C75B" w14:textId="77777777">
        <w:trPr>
          <w:trHeight w:val="144"/>
        </w:trPr>
        <w:tc>
          <w:tcPr>
            <w:tcW w:w="4068" w:type="dxa"/>
            <w:gridSpan w:val="3"/>
            <w:tcBorders>
              <w:top w:val="single" w:sz="6" w:space="0" w:color="auto"/>
            </w:tcBorders>
          </w:tcPr>
          <w:p w14:paraId="19E88F93" w14:textId="77777777" w:rsidR="00A74CDF" w:rsidRPr="00F01347" w:rsidRDefault="00A74CDF" w:rsidP="006A0481">
            <w:pPr>
              <w:pStyle w:val="texto0"/>
              <w:spacing w:line="260" w:lineRule="exact"/>
              <w:ind w:firstLine="0"/>
              <w:rPr>
                <w:rFonts w:ascii="Verdana" w:hAnsi="Verdana"/>
                <w:color w:val="000000"/>
                <w:sz w:val="16"/>
                <w:szCs w:val="16"/>
              </w:rPr>
            </w:pPr>
            <w:r w:rsidRPr="00F01347">
              <w:rPr>
                <w:rFonts w:ascii="Verdana" w:hAnsi="Verdana"/>
                <w:sz w:val="16"/>
                <w:szCs w:val="16"/>
              </w:rPr>
              <w:t>Datos tomados de Bloom J.F. et al. 2001</w:t>
            </w:r>
          </w:p>
        </w:tc>
      </w:tr>
    </w:tbl>
    <w:p w14:paraId="0327C133" w14:textId="77777777" w:rsidR="00E471A7" w:rsidRPr="00F01347" w:rsidRDefault="00E471A7" w:rsidP="00E471A7">
      <w:pPr>
        <w:pStyle w:val="texto0"/>
        <w:spacing w:line="260" w:lineRule="exact"/>
        <w:rPr>
          <w:rFonts w:ascii="Verdana" w:hAnsi="Verdana"/>
          <w:sz w:val="16"/>
          <w:szCs w:val="16"/>
        </w:rPr>
      </w:pPr>
    </w:p>
    <w:tbl>
      <w:tblPr>
        <w:tblW w:w="4065" w:type="dxa"/>
        <w:tblInd w:w="2232" w:type="dxa"/>
        <w:tblLayout w:type="fixed"/>
        <w:tblCellMar>
          <w:left w:w="72" w:type="dxa"/>
          <w:right w:w="72" w:type="dxa"/>
        </w:tblCellMar>
        <w:tblLook w:val="04A0" w:firstRow="1" w:lastRow="0" w:firstColumn="1" w:lastColumn="0" w:noHBand="0" w:noVBand="1"/>
      </w:tblPr>
      <w:tblGrid>
        <w:gridCol w:w="1547"/>
        <w:gridCol w:w="1169"/>
        <w:gridCol w:w="1349"/>
      </w:tblGrid>
      <w:tr w:rsidR="00E471A7" w:rsidRPr="00F01347" w14:paraId="47B06A7F" w14:textId="77777777" w:rsidTr="00E471A7">
        <w:trPr>
          <w:trHeight w:val="144"/>
        </w:trPr>
        <w:tc>
          <w:tcPr>
            <w:tcW w:w="4068" w:type="dxa"/>
            <w:gridSpan w:val="3"/>
            <w:tcBorders>
              <w:top w:val="nil"/>
              <w:left w:val="nil"/>
              <w:bottom w:val="single" w:sz="6" w:space="0" w:color="auto"/>
              <w:right w:val="nil"/>
            </w:tcBorders>
            <w:noWrap/>
            <w:hideMark/>
          </w:tcPr>
          <w:p w14:paraId="272B6AE4" w14:textId="77777777" w:rsidR="00E471A7" w:rsidRPr="00F01347" w:rsidRDefault="00E471A7">
            <w:pPr>
              <w:pStyle w:val="texto0"/>
              <w:spacing w:line="260" w:lineRule="exact"/>
              <w:ind w:firstLine="0"/>
              <w:rPr>
                <w:rFonts w:ascii="Verdana" w:hAnsi="Verdana"/>
                <w:color w:val="000000"/>
                <w:sz w:val="16"/>
                <w:szCs w:val="16"/>
                <w:lang w:val="en-US"/>
              </w:rPr>
            </w:pPr>
            <w:r w:rsidRPr="00F01347">
              <w:rPr>
                <w:rFonts w:ascii="Verdana" w:hAnsi="Verdana"/>
                <w:b/>
                <w:color w:val="000000"/>
                <w:sz w:val="16"/>
                <w:szCs w:val="16"/>
                <w:lang w:val="en-US"/>
              </w:rPr>
              <w:t xml:space="preserve">Table B.1.3-2. </w:t>
            </w:r>
            <w:r w:rsidRPr="00F01347">
              <w:rPr>
                <w:rFonts w:ascii="Verdana" w:hAnsi="Verdana"/>
                <w:color w:val="000000"/>
                <w:sz w:val="16"/>
                <w:szCs w:val="16"/>
                <w:lang w:val="en-US"/>
              </w:rPr>
              <w:t xml:space="preserve">Molar mass and molar absorptivity of </w:t>
            </w:r>
            <w:proofErr w:type="spellStart"/>
            <w:r w:rsidRPr="00F01347">
              <w:rPr>
                <w:rFonts w:ascii="Verdana" w:hAnsi="Verdana"/>
                <w:color w:val="000000"/>
                <w:sz w:val="16"/>
                <w:szCs w:val="16"/>
                <w:lang w:val="en-US"/>
              </w:rPr>
              <w:t>microcystins</w:t>
            </w:r>
            <w:proofErr w:type="spellEnd"/>
            <w:r w:rsidRPr="00F01347">
              <w:rPr>
                <w:rFonts w:ascii="Verdana" w:hAnsi="Verdana"/>
                <w:color w:val="000000"/>
                <w:sz w:val="16"/>
                <w:szCs w:val="16"/>
                <w:lang w:val="en-US"/>
              </w:rPr>
              <w:t xml:space="preserve"> (in methanol, at 238nm)</w:t>
            </w:r>
          </w:p>
        </w:tc>
      </w:tr>
      <w:tr w:rsidR="00E471A7" w:rsidRPr="00F01347" w14:paraId="607A2125" w14:textId="77777777" w:rsidTr="00E471A7">
        <w:trPr>
          <w:trHeight w:val="144"/>
        </w:trPr>
        <w:tc>
          <w:tcPr>
            <w:tcW w:w="1548" w:type="dxa"/>
            <w:tcBorders>
              <w:top w:val="single" w:sz="6" w:space="0" w:color="auto"/>
              <w:left w:val="single" w:sz="6" w:space="0" w:color="auto"/>
              <w:bottom w:val="single" w:sz="6" w:space="0" w:color="auto"/>
              <w:right w:val="single" w:sz="6" w:space="0" w:color="auto"/>
            </w:tcBorders>
            <w:hideMark/>
          </w:tcPr>
          <w:p w14:paraId="55F2676C" w14:textId="77777777" w:rsidR="00E471A7" w:rsidRPr="00F01347" w:rsidRDefault="00E471A7">
            <w:pPr>
              <w:pStyle w:val="texto0"/>
              <w:spacing w:line="260" w:lineRule="exact"/>
              <w:ind w:firstLine="0"/>
              <w:jc w:val="left"/>
              <w:rPr>
                <w:rFonts w:ascii="Verdana" w:hAnsi="Verdana"/>
                <w:color w:val="000000"/>
                <w:sz w:val="16"/>
                <w:szCs w:val="16"/>
                <w:lang w:val="en-US"/>
              </w:rPr>
            </w:pPr>
            <w:r w:rsidRPr="00F01347">
              <w:rPr>
                <w:rFonts w:ascii="Verdana" w:hAnsi="Verdana"/>
                <w:color w:val="000000"/>
                <w:sz w:val="16"/>
                <w:szCs w:val="16"/>
                <w:lang w:val="en-US"/>
              </w:rPr>
              <w:t>Microcystin</w:t>
            </w:r>
          </w:p>
        </w:tc>
        <w:tc>
          <w:tcPr>
            <w:tcW w:w="1170" w:type="dxa"/>
            <w:tcBorders>
              <w:top w:val="single" w:sz="6" w:space="0" w:color="auto"/>
              <w:left w:val="single" w:sz="6" w:space="0" w:color="auto"/>
              <w:bottom w:val="single" w:sz="6" w:space="0" w:color="auto"/>
              <w:right w:val="single" w:sz="6" w:space="0" w:color="auto"/>
            </w:tcBorders>
            <w:hideMark/>
          </w:tcPr>
          <w:p w14:paraId="4F76798B" w14:textId="77777777" w:rsidR="00E471A7" w:rsidRPr="00F01347" w:rsidRDefault="00E471A7">
            <w:pPr>
              <w:pStyle w:val="texto0"/>
              <w:spacing w:line="260" w:lineRule="exact"/>
              <w:ind w:firstLine="0"/>
              <w:jc w:val="left"/>
              <w:rPr>
                <w:rFonts w:ascii="Verdana" w:hAnsi="Verdana"/>
                <w:sz w:val="16"/>
                <w:szCs w:val="16"/>
                <w:lang w:val="en-US" w:eastAsia="es-MX"/>
              </w:rPr>
            </w:pPr>
            <w:r w:rsidRPr="00F01347">
              <w:rPr>
                <w:rFonts w:ascii="Verdana" w:hAnsi="Verdana"/>
                <w:i/>
                <w:sz w:val="16"/>
                <w:szCs w:val="16"/>
                <w:lang w:val="en-US" w:eastAsia="es-MX"/>
              </w:rPr>
              <w:t>M</w:t>
            </w:r>
            <w:r w:rsidRPr="00F01347">
              <w:rPr>
                <w:i/>
                <w:sz w:val="16"/>
                <w:szCs w:val="16"/>
                <w:lang w:val="en-US" w:eastAsia="es-MX"/>
              </w:rPr>
              <w:t>ᵢ</w:t>
            </w:r>
            <w:r w:rsidRPr="00F01347">
              <w:rPr>
                <w:rFonts w:ascii="Verdana" w:hAnsi="Verdana"/>
                <w:i/>
                <w:sz w:val="16"/>
                <w:szCs w:val="16"/>
                <w:lang w:val="en-US" w:eastAsia="es-MX"/>
              </w:rPr>
              <w:t xml:space="preserve"> </w:t>
            </w:r>
            <w:r w:rsidRPr="00F01347">
              <w:rPr>
                <w:sz w:val="16"/>
                <w:szCs w:val="16"/>
                <w:lang w:val="en-US" w:eastAsia="es-MX"/>
              </w:rPr>
              <w:t>_</w:t>
            </w:r>
          </w:p>
          <w:p w14:paraId="0F21A523" w14:textId="77777777" w:rsidR="00E471A7" w:rsidRPr="00F01347" w:rsidRDefault="00E471A7">
            <w:pPr>
              <w:pStyle w:val="texto0"/>
              <w:spacing w:line="260" w:lineRule="exact"/>
              <w:ind w:firstLine="0"/>
              <w:jc w:val="left"/>
              <w:rPr>
                <w:rFonts w:ascii="Verdana" w:hAnsi="Verdana"/>
                <w:color w:val="000000"/>
                <w:sz w:val="16"/>
                <w:szCs w:val="16"/>
                <w:lang w:val="en-US"/>
              </w:rPr>
            </w:pPr>
            <w:r w:rsidRPr="00F01347">
              <w:rPr>
                <w:rFonts w:ascii="Verdana" w:hAnsi="Verdana"/>
                <w:sz w:val="16"/>
                <w:szCs w:val="16"/>
                <w:lang w:val="en-US"/>
              </w:rPr>
              <w:t xml:space="preserve">g mol </w:t>
            </w:r>
            <w:r w:rsidRPr="00F01347">
              <w:rPr>
                <w:rFonts w:ascii="Verdana" w:hAnsi="Verdana"/>
                <w:sz w:val="16"/>
                <w:szCs w:val="16"/>
                <w:vertAlign w:val="superscript"/>
                <w:lang w:val="en-US"/>
              </w:rPr>
              <w:t>-1</w:t>
            </w:r>
          </w:p>
        </w:tc>
        <w:tc>
          <w:tcPr>
            <w:tcW w:w="1350" w:type="dxa"/>
            <w:tcBorders>
              <w:top w:val="single" w:sz="6" w:space="0" w:color="auto"/>
              <w:left w:val="single" w:sz="6" w:space="0" w:color="auto"/>
              <w:bottom w:val="single" w:sz="6" w:space="0" w:color="auto"/>
              <w:right w:val="single" w:sz="6" w:space="0" w:color="auto"/>
            </w:tcBorders>
            <w:hideMark/>
          </w:tcPr>
          <w:p w14:paraId="18C8E8D0" w14:textId="77777777" w:rsidR="00E471A7" w:rsidRPr="00F01347" w:rsidRDefault="00E471A7">
            <w:pPr>
              <w:pStyle w:val="texto0"/>
              <w:spacing w:line="260" w:lineRule="exact"/>
              <w:ind w:firstLine="0"/>
              <w:jc w:val="left"/>
              <w:rPr>
                <w:rFonts w:ascii="Verdana" w:hAnsi="Verdana"/>
                <w:sz w:val="16"/>
                <w:szCs w:val="16"/>
                <w:lang w:val="en-US" w:eastAsia="es-MX"/>
              </w:rPr>
            </w:pPr>
            <w:r w:rsidRPr="00F01347">
              <w:rPr>
                <w:rFonts w:ascii="Calibri" w:hAnsi="Calibri" w:cs="Calibri"/>
                <w:i/>
                <w:sz w:val="16"/>
                <w:szCs w:val="16"/>
                <w:lang w:val="en-US" w:eastAsia="es-MX"/>
              </w:rPr>
              <w:t xml:space="preserve">Ɛᵢ </w:t>
            </w:r>
            <w:r w:rsidRPr="00F01347">
              <w:rPr>
                <w:sz w:val="16"/>
                <w:szCs w:val="16"/>
                <w:lang w:val="en-US" w:eastAsia="es-MX"/>
              </w:rPr>
              <w:t>_</w:t>
            </w:r>
          </w:p>
          <w:p w14:paraId="6E9836C5" w14:textId="77777777" w:rsidR="00E471A7" w:rsidRPr="00F01347" w:rsidRDefault="00E471A7">
            <w:pPr>
              <w:pStyle w:val="texto0"/>
              <w:spacing w:line="260" w:lineRule="exact"/>
              <w:ind w:firstLine="0"/>
              <w:jc w:val="left"/>
              <w:rPr>
                <w:rFonts w:ascii="Verdana" w:hAnsi="Verdana"/>
                <w:color w:val="000000"/>
                <w:sz w:val="16"/>
                <w:szCs w:val="16"/>
                <w:lang w:val="en-US"/>
              </w:rPr>
            </w:pPr>
            <w:r w:rsidRPr="00F01347">
              <w:rPr>
                <w:rFonts w:ascii="Verdana" w:hAnsi="Verdana"/>
                <w:sz w:val="16"/>
                <w:szCs w:val="16"/>
                <w:lang w:val="en-US"/>
              </w:rPr>
              <w:t xml:space="preserve">L mol </w:t>
            </w:r>
            <w:r w:rsidRPr="00F01347">
              <w:rPr>
                <w:rFonts w:ascii="Verdana" w:hAnsi="Verdana"/>
                <w:sz w:val="16"/>
                <w:szCs w:val="16"/>
                <w:vertAlign w:val="superscript"/>
                <w:lang w:val="en-US"/>
              </w:rPr>
              <w:t xml:space="preserve">-1 </w:t>
            </w:r>
            <w:proofErr w:type="gramStart"/>
            <w:r w:rsidRPr="00F01347">
              <w:rPr>
                <w:rFonts w:ascii="Verdana" w:hAnsi="Verdana"/>
                <w:sz w:val="16"/>
                <w:szCs w:val="16"/>
                <w:lang w:val="en-US"/>
              </w:rPr>
              <w:t xml:space="preserve">cm </w:t>
            </w:r>
            <w:r w:rsidRPr="00F01347">
              <w:rPr>
                <w:rFonts w:ascii="Verdana" w:hAnsi="Verdana"/>
                <w:sz w:val="16"/>
                <w:szCs w:val="16"/>
                <w:vertAlign w:val="superscript"/>
                <w:lang w:val="en-US"/>
              </w:rPr>
              <w:t>-1</w:t>
            </w:r>
            <w:proofErr w:type="gramEnd"/>
          </w:p>
        </w:tc>
      </w:tr>
      <w:tr w:rsidR="00E471A7" w:rsidRPr="00F01347" w14:paraId="7392539D" w14:textId="77777777" w:rsidTr="00E471A7">
        <w:trPr>
          <w:trHeight w:val="144"/>
        </w:trPr>
        <w:tc>
          <w:tcPr>
            <w:tcW w:w="1548" w:type="dxa"/>
            <w:tcBorders>
              <w:top w:val="single" w:sz="6" w:space="0" w:color="auto"/>
              <w:left w:val="single" w:sz="6" w:space="0" w:color="auto"/>
              <w:bottom w:val="single" w:sz="6" w:space="0" w:color="auto"/>
              <w:right w:val="single" w:sz="6" w:space="0" w:color="auto"/>
            </w:tcBorders>
            <w:hideMark/>
          </w:tcPr>
          <w:p w14:paraId="485672C4" w14:textId="77777777" w:rsidR="00E471A7" w:rsidRPr="00F01347" w:rsidRDefault="00E471A7">
            <w:pPr>
              <w:pStyle w:val="texto0"/>
              <w:spacing w:line="260" w:lineRule="exact"/>
              <w:ind w:firstLine="0"/>
              <w:jc w:val="left"/>
              <w:rPr>
                <w:rFonts w:ascii="Verdana" w:hAnsi="Verdana"/>
                <w:color w:val="000000"/>
                <w:sz w:val="16"/>
                <w:szCs w:val="16"/>
                <w:lang w:val="en-US"/>
              </w:rPr>
            </w:pPr>
            <w:r w:rsidRPr="00F01347">
              <w:rPr>
                <w:rFonts w:ascii="Verdana" w:hAnsi="Verdana"/>
                <w:color w:val="000000"/>
                <w:sz w:val="16"/>
                <w:szCs w:val="16"/>
                <w:lang w:val="en-US"/>
              </w:rPr>
              <w:t>MC-LR</w:t>
            </w:r>
          </w:p>
        </w:tc>
        <w:tc>
          <w:tcPr>
            <w:tcW w:w="1170" w:type="dxa"/>
            <w:tcBorders>
              <w:top w:val="single" w:sz="6" w:space="0" w:color="auto"/>
              <w:left w:val="single" w:sz="6" w:space="0" w:color="auto"/>
              <w:bottom w:val="single" w:sz="6" w:space="0" w:color="auto"/>
              <w:right w:val="single" w:sz="6" w:space="0" w:color="auto"/>
            </w:tcBorders>
            <w:hideMark/>
          </w:tcPr>
          <w:p w14:paraId="377D9961" w14:textId="77777777" w:rsidR="00E471A7" w:rsidRPr="00F01347" w:rsidRDefault="00E471A7">
            <w:pPr>
              <w:pStyle w:val="texto0"/>
              <w:spacing w:line="260" w:lineRule="exact"/>
              <w:ind w:firstLine="0"/>
              <w:jc w:val="left"/>
              <w:rPr>
                <w:rFonts w:ascii="Verdana" w:hAnsi="Verdana"/>
                <w:color w:val="000000"/>
                <w:sz w:val="16"/>
                <w:szCs w:val="16"/>
                <w:lang w:val="en-US"/>
              </w:rPr>
            </w:pPr>
            <w:r w:rsidRPr="00F01347">
              <w:rPr>
                <w:rFonts w:ascii="Verdana" w:hAnsi="Verdana"/>
                <w:color w:val="000000"/>
                <w:sz w:val="16"/>
                <w:szCs w:val="16"/>
                <w:lang w:val="en-US"/>
              </w:rPr>
              <w:t>994</w:t>
            </w:r>
          </w:p>
        </w:tc>
        <w:tc>
          <w:tcPr>
            <w:tcW w:w="1350" w:type="dxa"/>
            <w:tcBorders>
              <w:top w:val="single" w:sz="6" w:space="0" w:color="auto"/>
              <w:left w:val="single" w:sz="6" w:space="0" w:color="auto"/>
              <w:bottom w:val="single" w:sz="6" w:space="0" w:color="auto"/>
              <w:right w:val="single" w:sz="6" w:space="0" w:color="auto"/>
            </w:tcBorders>
            <w:hideMark/>
          </w:tcPr>
          <w:p w14:paraId="6871DF59" w14:textId="77777777" w:rsidR="00E471A7" w:rsidRPr="00F01347" w:rsidRDefault="00E471A7">
            <w:pPr>
              <w:pStyle w:val="texto0"/>
              <w:spacing w:line="260" w:lineRule="exact"/>
              <w:ind w:firstLine="0"/>
              <w:jc w:val="left"/>
              <w:rPr>
                <w:rFonts w:ascii="Verdana" w:hAnsi="Verdana"/>
                <w:color w:val="000000"/>
                <w:sz w:val="16"/>
                <w:szCs w:val="16"/>
                <w:lang w:val="en-US"/>
              </w:rPr>
            </w:pPr>
            <w:r w:rsidRPr="00F01347">
              <w:rPr>
                <w:rFonts w:ascii="Verdana" w:hAnsi="Verdana"/>
                <w:color w:val="000000"/>
                <w:sz w:val="16"/>
                <w:szCs w:val="16"/>
                <w:lang w:val="en-US"/>
              </w:rPr>
              <w:t>39 800</w:t>
            </w:r>
          </w:p>
        </w:tc>
      </w:tr>
      <w:tr w:rsidR="00E471A7" w:rsidRPr="00F01347" w14:paraId="0D197A4A" w14:textId="77777777" w:rsidTr="00E471A7">
        <w:trPr>
          <w:trHeight w:val="144"/>
        </w:trPr>
        <w:tc>
          <w:tcPr>
            <w:tcW w:w="1548" w:type="dxa"/>
            <w:tcBorders>
              <w:top w:val="single" w:sz="6" w:space="0" w:color="auto"/>
              <w:left w:val="single" w:sz="6" w:space="0" w:color="auto"/>
              <w:bottom w:val="single" w:sz="6" w:space="0" w:color="auto"/>
              <w:right w:val="single" w:sz="6" w:space="0" w:color="auto"/>
            </w:tcBorders>
            <w:hideMark/>
          </w:tcPr>
          <w:p w14:paraId="4F9E98A8" w14:textId="77777777" w:rsidR="00E471A7" w:rsidRPr="00F01347" w:rsidRDefault="00E471A7">
            <w:pPr>
              <w:pStyle w:val="texto0"/>
              <w:spacing w:line="260" w:lineRule="exact"/>
              <w:ind w:firstLine="0"/>
              <w:jc w:val="left"/>
              <w:rPr>
                <w:rFonts w:ascii="Verdana" w:hAnsi="Verdana"/>
                <w:color w:val="000000"/>
                <w:sz w:val="16"/>
                <w:szCs w:val="16"/>
                <w:lang w:val="en-US"/>
              </w:rPr>
            </w:pPr>
            <w:r w:rsidRPr="00F01347">
              <w:rPr>
                <w:rFonts w:ascii="Verdana" w:hAnsi="Verdana"/>
                <w:color w:val="000000"/>
                <w:sz w:val="16"/>
                <w:szCs w:val="16"/>
                <w:lang w:val="en-US"/>
              </w:rPr>
              <w:t>MC-YD</w:t>
            </w:r>
          </w:p>
        </w:tc>
        <w:tc>
          <w:tcPr>
            <w:tcW w:w="1170" w:type="dxa"/>
            <w:tcBorders>
              <w:top w:val="single" w:sz="6" w:space="0" w:color="auto"/>
              <w:left w:val="single" w:sz="6" w:space="0" w:color="auto"/>
              <w:bottom w:val="single" w:sz="6" w:space="0" w:color="auto"/>
              <w:right w:val="single" w:sz="6" w:space="0" w:color="auto"/>
            </w:tcBorders>
            <w:hideMark/>
          </w:tcPr>
          <w:p w14:paraId="12535128" w14:textId="77777777" w:rsidR="00E471A7" w:rsidRPr="00F01347" w:rsidRDefault="00E471A7">
            <w:pPr>
              <w:pStyle w:val="texto0"/>
              <w:spacing w:line="260" w:lineRule="exact"/>
              <w:ind w:firstLine="0"/>
              <w:jc w:val="left"/>
              <w:rPr>
                <w:rFonts w:ascii="Verdana" w:hAnsi="Verdana"/>
                <w:color w:val="000000"/>
                <w:sz w:val="16"/>
                <w:szCs w:val="16"/>
                <w:lang w:val="en-US"/>
              </w:rPr>
            </w:pPr>
            <w:r w:rsidRPr="00F01347">
              <w:rPr>
                <w:rFonts w:ascii="Verdana" w:hAnsi="Verdana"/>
                <w:color w:val="000000"/>
                <w:sz w:val="16"/>
                <w:szCs w:val="16"/>
                <w:lang w:val="en-US"/>
              </w:rPr>
              <w:t>1 044</w:t>
            </w:r>
          </w:p>
        </w:tc>
        <w:tc>
          <w:tcPr>
            <w:tcW w:w="1350" w:type="dxa"/>
            <w:tcBorders>
              <w:top w:val="single" w:sz="6" w:space="0" w:color="auto"/>
              <w:left w:val="single" w:sz="6" w:space="0" w:color="auto"/>
              <w:bottom w:val="single" w:sz="6" w:space="0" w:color="auto"/>
              <w:right w:val="single" w:sz="6" w:space="0" w:color="auto"/>
            </w:tcBorders>
            <w:hideMark/>
          </w:tcPr>
          <w:p w14:paraId="215D2321" w14:textId="77777777" w:rsidR="00E471A7" w:rsidRPr="00F01347" w:rsidRDefault="00E471A7">
            <w:pPr>
              <w:pStyle w:val="texto0"/>
              <w:spacing w:line="260" w:lineRule="exact"/>
              <w:ind w:firstLine="0"/>
              <w:jc w:val="left"/>
              <w:rPr>
                <w:rFonts w:ascii="Verdana" w:hAnsi="Verdana"/>
                <w:color w:val="000000"/>
                <w:sz w:val="16"/>
                <w:szCs w:val="16"/>
                <w:lang w:val="en-US"/>
              </w:rPr>
            </w:pPr>
            <w:r w:rsidRPr="00F01347">
              <w:rPr>
                <w:rFonts w:ascii="Verdana" w:hAnsi="Verdana"/>
                <w:color w:val="000000"/>
                <w:sz w:val="16"/>
                <w:szCs w:val="16"/>
                <w:lang w:val="en-US"/>
              </w:rPr>
              <w:t>39 800</w:t>
            </w:r>
          </w:p>
        </w:tc>
      </w:tr>
      <w:tr w:rsidR="00E471A7" w:rsidRPr="00F01347" w14:paraId="46AB81B6" w14:textId="77777777" w:rsidTr="00E471A7">
        <w:trPr>
          <w:trHeight w:val="144"/>
        </w:trPr>
        <w:tc>
          <w:tcPr>
            <w:tcW w:w="1548" w:type="dxa"/>
            <w:tcBorders>
              <w:top w:val="single" w:sz="6" w:space="0" w:color="auto"/>
              <w:left w:val="single" w:sz="6" w:space="0" w:color="auto"/>
              <w:bottom w:val="single" w:sz="6" w:space="0" w:color="auto"/>
              <w:right w:val="single" w:sz="6" w:space="0" w:color="auto"/>
            </w:tcBorders>
            <w:hideMark/>
          </w:tcPr>
          <w:p w14:paraId="25751F6F" w14:textId="77777777" w:rsidR="00E471A7" w:rsidRPr="00F01347" w:rsidRDefault="00E471A7">
            <w:pPr>
              <w:pStyle w:val="texto0"/>
              <w:spacing w:line="260" w:lineRule="exact"/>
              <w:ind w:firstLine="0"/>
              <w:jc w:val="left"/>
              <w:rPr>
                <w:rFonts w:ascii="Verdana" w:hAnsi="Verdana"/>
                <w:color w:val="000000"/>
                <w:sz w:val="16"/>
                <w:szCs w:val="16"/>
                <w:lang w:val="en-US"/>
              </w:rPr>
            </w:pPr>
            <w:r w:rsidRPr="00F01347">
              <w:rPr>
                <w:rFonts w:ascii="Verdana" w:hAnsi="Verdana"/>
                <w:color w:val="000000"/>
                <w:sz w:val="16"/>
                <w:szCs w:val="16"/>
                <w:lang w:val="en-US"/>
              </w:rPr>
              <w:t>MC-RR</w:t>
            </w:r>
          </w:p>
        </w:tc>
        <w:tc>
          <w:tcPr>
            <w:tcW w:w="1170" w:type="dxa"/>
            <w:tcBorders>
              <w:top w:val="single" w:sz="6" w:space="0" w:color="auto"/>
              <w:left w:val="single" w:sz="6" w:space="0" w:color="auto"/>
              <w:bottom w:val="single" w:sz="6" w:space="0" w:color="auto"/>
              <w:right w:val="single" w:sz="6" w:space="0" w:color="auto"/>
            </w:tcBorders>
            <w:hideMark/>
          </w:tcPr>
          <w:p w14:paraId="1943A1CB" w14:textId="77777777" w:rsidR="00E471A7" w:rsidRPr="00F01347" w:rsidRDefault="00E471A7">
            <w:pPr>
              <w:pStyle w:val="texto0"/>
              <w:spacing w:line="260" w:lineRule="exact"/>
              <w:ind w:firstLine="0"/>
              <w:jc w:val="left"/>
              <w:rPr>
                <w:rFonts w:ascii="Verdana" w:hAnsi="Verdana"/>
                <w:color w:val="000000"/>
                <w:sz w:val="16"/>
                <w:szCs w:val="16"/>
                <w:lang w:val="en-US"/>
              </w:rPr>
            </w:pPr>
            <w:r w:rsidRPr="00F01347">
              <w:rPr>
                <w:rFonts w:ascii="Verdana" w:hAnsi="Verdana"/>
                <w:color w:val="000000"/>
                <w:sz w:val="16"/>
                <w:szCs w:val="16"/>
                <w:lang w:val="en-US"/>
              </w:rPr>
              <w:t>1 037</w:t>
            </w:r>
          </w:p>
        </w:tc>
        <w:tc>
          <w:tcPr>
            <w:tcW w:w="1350" w:type="dxa"/>
            <w:tcBorders>
              <w:top w:val="single" w:sz="6" w:space="0" w:color="auto"/>
              <w:left w:val="single" w:sz="6" w:space="0" w:color="auto"/>
              <w:bottom w:val="single" w:sz="6" w:space="0" w:color="auto"/>
              <w:right w:val="single" w:sz="6" w:space="0" w:color="auto"/>
            </w:tcBorders>
            <w:hideMark/>
          </w:tcPr>
          <w:p w14:paraId="52A2B2A0" w14:textId="77777777" w:rsidR="00E471A7" w:rsidRPr="00F01347" w:rsidRDefault="00E471A7">
            <w:pPr>
              <w:pStyle w:val="texto0"/>
              <w:spacing w:line="260" w:lineRule="exact"/>
              <w:ind w:firstLine="0"/>
              <w:jc w:val="left"/>
              <w:rPr>
                <w:rFonts w:ascii="Verdana" w:hAnsi="Verdana"/>
                <w:color w:val="000000"/>
                <w:sz w:val="16"/>
                <w:szCs w:val="16"/>
                <w:lang w:val="en-US"/>
              </w:rPr>
            </w:pPr>
            <w:r w:rsidRPr="00F01347">
              <w:rPr>
                <w:rFonts w:ascii="Verdana" w:hAnsi="Verdana"/>
                <w:color w:val="000000"/>
                <w:sz w:val="16"/>
                <w:szCs w:val="16"/>
                <w:lang w:val="en-US"/>
              </w:rPr>
              <w:t>39 800</w:t>
            </w:r>
          </w:p>
        </w:tc>
      </w:tr>
      <w:tr w:rsidR="00E471A7" w:rsidRPr="00F01347" w14:paraId="46837D57" w14:textId="77777777" w:rsidTr="00E471A7">
        <w:trPr>
          <w:trHeight w:val="144"/>
        </w:trPr>
        <w:tc>
          <w:tcPr>
            <w:tcW w:w="4068" w:type="dxa"/>
            <w:gridSpan w:val="3"/>
            <w:tcBorders>
              <w:top w:val="single" w:sz="6" w:space="0" w:color="auto"/>
              <w:left w:val="nil"/>
              <w:bottom w:val="nil"/>
              <w:right w:val="nil"/>
            </w:tcBorders>
            <w:hideMark/>
          </w:tcPr>
          <w:p w14:paraId="3C9BF7F0" w14:textId="77777777" w:rsidR="00E471A7" w:rsidRPr="00F01347" w:rsidRDefault="00E471A7">
            <w:pPr>
              <w:pStyle w:val="texto0"/>
              <w:spacing w:line="260" w:lineRule="exact"/>
              <w:ind w:firstLine="0"/>
              <w:rPr>
                <w:rFonts w:ascii="Verdana" w:hAnsi="Verdana"/>
                <w:color w:val="000000"/>
                <w:sz w:val="16"/>
                <w:szCs w:val="16"/>
                <w:lang w:val="en-US"/>
              </w:rPr>
            </w:pPr>
            <w:r w:rsidRPr="00F01347">
              <w:rPr>
                <w:rFonts w:ascii="Verdana" w:hAnsi="Verdana"/>
                <w:sz w:val="16"/>
                <w:szCs w:val="16"/>
                <w:lang w:val="en-US"/>
              </w:rPr>
              <w:t>Data taken from Bloom JF et al. 2001</w:t>
            </w:r>
          </w:p>
        </w:tc>
      </w:tr>
    </w:tbl>
    <w:p w14:paraId="227BA32B" w14:textId="77777777" w:rsidR="00E471A7" w:rsidRPr="00F01347" w:rsidRDefault="00E471A7" w:rsidP="006A0481">
      <w:pPr>
        <w:pStyle w:val="texto0"/>
        <w:spacing w:line="260"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471A7" w:rsidRPr="00F01347" w14:paraId="4D2EAFEA" w14:textId="17EED2B7" w:rsidTr="00F65583">
        <w:tc>
          <w:tcPr>
            <w:tcW w:w="4675" w:type="dxa"/>
          </w:tcPr>
          <w:p w14:paraId="09A6559A" w14:textId="77777777" w:rsidR="00E471A7" w:rsidRPr="00F01347" w:rsidRDefault="00E471A7" w:rsidP="00E471A7">
            <w:pPr>
              <w:pStyle w:val="texto0"/>
              <w:spacing w:line="260" w:lineRule="exact"/>
              <w:ind w:firstLine="0"/>
              <w:rPr>
                <w:rFonts w:ascii="Verdana" w:hAnsi="Verdana"/>
                <w:color w:val="808080"/>
                <w:sz w:val="16"/>
                <w:szCs w:val="16"/>
              </w:rPr>
            </w:pPr>
            <w:r w:rsidRPr="00F01347">
              <w:rPr>
                <w:rFonts w:ascii="Verdana" w:hAnsi="Verdana"/>
                <w:sz w:val="16"/>
                <w:szCs w:val="16"/>
              </w:rPr>
              <w:t xml:space="preserve">Para posteriores análisis HPLC, la proporción de solvente metanol/agua para los estándares de MC-LR, MC-YR y MC-RR se pueden ajustar a 20/80 volumen/volumen agregando el agua y permitiendo una concentración de 10 µg/ml para cada </w:t>
            </w:r>
            <w:proofErr w:type="spellStart"/>
            <w:r w:rsidRPr="00F01347">
              <w:rPr>
                <w:rFonts w:ascii="Verdana" w:hAnsi="Verdana"/>
                <w:sz w:val="16"/>
                <w:szCs w:val="16"/>
              </w:rPr>
              <w:t>microcistina</w:t>
            </w:r>
            <w:proofErr w:type="spellEnd"/>
            <w:r w:rsidRPr="00F01347">
              <w:rPr>
                <w:rFonts w:ascii="Verdana" w:hAnsi="Verdana"/>
                <w:color w:val="808080"/>
                <w:sz w:val="16"/>
                <w:szCs w:val="16"/>
              </w:rPr>
              <w:t>.</w:t>
            </w:r>
          </w:p>
        </w:tc>
        <w:tc>
          <w:tcPr>
            <w:tcW w:w="4675" w:type="dxa"/>
          </w:tcPr>
          <w:p w14:paraId="40167499" w14:textId="4C1FA057" w:rsidR="00E471A7" w:rsidRPr="00F01347" w:rsidRDefault="00E471A7" w:rsidP="00E471A7">
            <w:pPr>
              <w:pStyle w:val="texto0"/>
              <w:spacing w:line="260" w:lineRule="exact"/>
              <w:ind w:firstLine="0"/>
              <w:rPr>
                <w:rFonts w:ascii="Verdana" w:hAnsi="Verdana"/>
                <w:sz w:val="16"/>
                <w:szCs w:val="16"/>
                <w:lang w:val="en-US"/>
              </w:rPr>
            </w:pPr>
            <w:r w:rsidRPr="00F01347">
              <w:rPr>
                <w:rFonts w:ascii="Verdana" w:hAnsi="Verdana"/>
                <w:sz w:val="16"/>
                <w:szCs w:val="16"/>
                <w:lang w:val="en-US"/>
              </w:rPr>
              <w:t>For subsequent HPLC analysis, the methanol/water solvent ratio for MC-LR, MC-YR and MC-RR standards can be adjusted to 20/80 volume/volume by adding water and allowing a concentration of 10 µg/ml for each microcystin</w:t>
            </w:r>
            <w:r w:rsidR="003E1BA9" w:rsidRPr="00F01347">
              <w:rPr>
                <w:rFonts w:ascii="Verdana" w:hAnsi="Verdana"/>
                <w:sz w:val="16"/>
                <w:szCs w:val="16"/>
                <w:lang w:val="en-US"/>
              </w:rPr>
              <w:t>.</w:t>
            </w:r>
          </w:p>
        </w:tc>
      </w:tr>
      <w:tr w:rsidR="00E471A7" w:rsidRPr="00F01347" w14:paraId="39E3E2BD" w14:textId="3EA8322E" w:rsidTr="00F65583">
        <w:tc>
          <w:tcPr>
            <w:tcW w:w="4675" w:type="dxa"/>
          </w:tcPr>
          <w:p w14:paraId="131F7BFA" w14:textId="77777777" w:rsidR="00E471A7" w:rsidRPr="00F01347" w:rsidRDefault="00E471A7" w:rsidP="00E471A7">
            <w:pPr>
              <w:pStyle w:val="texto0"/>
              <w:spacing w:line="260" w:lineRule="exact"/>
              <w:ind w:firstLine="0"/>
              <w:rPr>
                <w:rFonts w:ascii="Verdana" w:hAnsi="Verdana"/>
                <w:sz w:val="16"/>
                <w:szCs w:val="16"/>
              </w:rPr>
            </w:pPr>
            <w:r w:rsidRPr="00F01347">
              <w:rPr>
                <w:rFonts w:ascii="Verdana" w:hAnsi="Verdana"/>
                <w:b/>
                <w:sz w:val="16"/>
                <w:szCs w:val="16"/>
              </w:rPr>
              <w:t>Solución de tiosulfato de sodio.</w:t>
            </w:r>
            <w:r w:rsidRPr="00F01347">
              <w:rPr>
                <w:rFonts w:ascii="Verdana" w:hAnsi="Verdana"/>
                <w:sz w:val="16"/>
                <w:szCs w:val="16"/>
              </w:rPr>
              <w:t xml:space="preserve"> Disolver 1 g de tiosulfato de sodio Na</w:t>
            </w:r>
            <w:r w:rsidRPr="00F01347">
              <w:rPr>
                <w:rFonts w:ascii="Verdana" w:hAnsi="Verdana"/>
                <w:sz w:val="16"/>
                <w:szCs w:val="16"/>
                <w:vertAlign w:val="subscript"/>
              </w:rPr>
              <w:t>2</w:t>
            </w:r>
            <w:r w:rsidRPr="00F01347">
              <w:rPr>
                <w:rFonts w:ascii="Verdana" w:hAnsi="Verdana"/>
                <w:sz w:val="16"/>
                <w:szCs w:val="16"/>
              </w:rPr>
              <w:t>S</w:t>
            </w:r>
            <w:r w:rsidRPr="00F01347">
              <w:rPr>
                <w:rFonts w:ascii="Verdana" w:hAnsi="Verdana"/>
                <w:sz w:val="16"/>
                <w:szCs w:val="16"/>
                <w:vertAlign w:val="subscript"/>
              </w:rPr>
              <w:t>2</w:t>
            </w:r>
            <w:r w:rsidRPr="00F01347">
              <w:rPr>
                <w:rFonts w:ascii="Verdana" w:hAnsi="Verdana"/>
                <w:sz w:val="16"/>
                <w:szCs w:val="16"/>
              </w:rPr>
              <w:t>O</w:t>
            </w:r>
            <w:r w:rsidRPr="00F01347">
              <w:rPr>
                <w:rFonts w:ascii="Verdana" w:hAnsi="Verdana"/>
                <w:sz w:val="16"/>
                <w:szCs w:val="16"/>
                <w:vertAlign w:val="subscript"/>
              </w:rPr>
              <w:t>3</w:t>
            </w:r>
            <w:r w:rsidRPr="00F01347">
              <w:rPr>
                <w:rFonts w:ascii="Verdana" w:hAnsi="Verdana"/>
                <w:sz w:val="16"/>
                <w:szCs w:val="16"/>
              </w:rPr>
              <w:t xml:space="preserve"> (anhidro o con 5 H</w:t>
            </w:r>
            <w:r w:rsidRPr="00F01347">
              <w:rPr>
                <w:rFonts w:ascii="Verdana" w:hAnsi="Verdana"/>
                <w:sz w:val="16"/>
                <w:szCs w:val="16"/>
                <w:vertAlign w:val="subscript"/>
              </w:rPr>
              <w:t>2</w:t>
            </w:r>
            <w:r w:rsidRPr="00F01347">
              <w:rPr>
                <w:rFonts w:ascii="Verdana" w:hAnsi="Verdana"/>
                <w:sz w:val="16"/>
                <w:szCs w:val="16"/>
              </w:rPr>
              <w:t xml:space="preserve">O) en 100 </w:t>
            </w:r>
            <w:proofErr w:type="spellStart"/>
            <w:r w:rsidRPr="00F01347">
              <w:rPr>
                <w:rFonts w:ascii="Verdana" w:hAnsi="Verdana"/>
                <w:sz w:val="16"/>
                <w:szCs w:val="16"/>
              </w:rPr>
              <w:t>mL</w:t>
            </w:r>
            <w:proofErr w:type="spellEnd"/>
            <w:r w:rsidRPr="00F01347">
              <w:rPr>
                <w:rFonts w:ascii="Verdana" w:hAnsi="Verdana"/>
                <w:sz w:val="16"/>
                <w:szCs w:val="16"/>
              </w:rPr>
              <w:t xml:space="preserve"> de agua. La concentración final es </w:t>
            </w:r>
            <w:r w:rsidRPr="00F01347">
              <w:rPr>
                <w:rFonts w:ascii="Verdana" w:hAnsi="Verdana"/>
                <w:i/>
                <w:sz w:val="16"/>
                <w:szCs w:val="16"/>
                <w:lang w:eastAsia="es-MX"/>
              </w:rPr>
              <w:t>ρ</w:t>
            </w:r>
            <w:r w:rsidRPr="00F01347">
              <w:rPr>
                <w:rFonts w:ascii="Verdana" w:hAnsi="Verdana"/>
                <w:sz w:val="16"/>
                <w:szCs w:val="16"/>
              </w:rPr>
              <w:t xml:space="preserve">=10/L (63 </w:t>
            </w:r>
            <w:proofErr w:type="spellStart"/>
            <w:r w:rsidRPr="00F01347">
              <w:rPr>
                <w:rFonts w:ascii="Verdana" w:hAnsi="Verdana"/>
                <w:sz w:val="16"/>
                <w:szCs w:val="16"/>
              </w:rPr>
              <w:t>mmolar</w:t>
            </w:r>
            <w:proofErr w:type="spellEnd"/>
            <w:r w:rsidRPr="00F01347">
              <w:rPr>
                <w:rFonts w:ascii="Verdana" w:hAnsi="Verdana"/>
                <w:sz w:val="16"/>
                <w:szCs w:val="16"/>
              </w:rPr>
              <w:t xml:space="preserve"> 63 en caso de Na</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3</w:t>
            </w:r>
            <w:r w:rsidRPr="00F01347">
              <w:rPr>
                <w:rFonts w:ascii="Verdana" w:hAnsi="Verdana"/>
                <w:sz w:val="16"/>
                <w:szCs w:val="16"/>
              </w:rPr>
              <w:t xml:space="preserve"> anhidro).</w:t>
            </w:r>
          </w:p>
        </w:tc>
        <w:tc>
          <w:tcPr>
            <w:tcW w:w="4675" w:type="dxa"/>
          </w:tcPr>
          <w:p w14:paraId="5599D91D" w14:textId="7D8E03ED" w:rsidR="00E471A7" w:rsidRPr="00F01347" w:rsidRDefault="00E471A7" w:rsidP="00E471A7">
            <w:pPr>
              <w:pStyle w:val="texto0"/>
              <w:spacing w:line="260" w:lineRule="exact"/>
              <w:ind w:firstLine="0"/>
              <w:rPr>
                <w:rFonts w:ascii="Verdana" w:hAnsi="Verdana"/>
                <w:b/>
                <w:sz w:val="16"/>
                <w:szCs w:val="16"/>
                <w:lang w:val="en-US"/>
              </w:rPr>
            </w:pPr>
            <w:r w:rsidRPr="00F01347">
              <w:rPr>
                <w:rFonts w:ascii="Verdana" w:hAnsi="Verdana"/>
                <w:b/>
                <w:sz w:val="16"/>
                <w:szCs w:val="16"/>
                <w:lang w:val="en-US"/>
              </w:rPr>
              <w:t xml:space="preserve">Sodium thiosulfate solution. </w:t>
            </w:r>
            <w:r w:rsidRPr="00F01347">
              <w:rPr>
                <w:rFonts w:ascii="Verdana" w:hAnsi="Verdana"/>
                <w:sz w:val="16"/>
                <w:szCs w:val="16"/>
                <w:lang w:val="en-US"/>
              </w:rPr>
              <w:t>Dissolve 1 g of sodium thiosulfate Na</w:t>
            </w:r>
            <w:r w:rsidRPr="00F01347">
              <w:rPr>
                <w:rFonts w:ascii="Verdana" w:hAnsi="Verdana"/>
                <w:sz w:val="16"/>
                <w:szCs w:val="16"/>
                <w:vertAlign w:val="subscript"/>
                <w:lang w:val="en-US"/>
              </w:rPr>
              <w:t>2</w:t>
            </w:r>
            <w:r w:rsidRPr="00F01347">
              <w:rPr>
                <w:rFonts w:ascii="Verdana" w:hAnsi="Verdana"/>
                <w:sz w:val="16"/>
                <w:szCs w:val="16"/>
                <w:lang w:val="en-US"/>
              </w:rPr>
              <w:t>S</w:t>
            </w:r>
            <w:r w:rsidRPr="00F01347">
              <w:rPr>
                <w:rFonts w:ascii="Verdana" w:hAnsi="Verdana"/>
                <w:sz w:val="16"/>
                <w:szCs w:val="16"/>
                <w:vertAlign w:val="subscript"/>
                <w:lang w:val="en-US"/>
              </w:rPr>
              <w:t>2</w:t>
            </w:r>
            <w:r w:rsidRPr="00F01347">
              <w:rPr>
                <w:rFonts w:ascii="Verdana" w:hAnsi="Verdana"/>
                <w:sz w:val="16"/>
                <w:szCs w:val="16"/>
                <w:lang w:val="en-US"/>
              </w:rPr>
              <w:t>O</w:t>
            </w:r>
            <w:r w:rsidRPr="00F01347">
              <w:rPr>
                <w:rFonts w:ascii="Verdana" w:hAnsi="Verdana"/>
                <w:sz w:val="16"/>
                <w:szCs w:val="16"/>
                <w:vertAlign w:val="subscript"/>
                <w:lang w:val="en-US"/>
              </w:rPr>
              <w:t xml:space="preserve">3 </w:t>
            </w:r>
            <w:r w:rsidRPr="00F01347">
              <w:rPr>
                <w:rFonts w:ascii="Verdana" w:hAnsi="Verdana"/>
                <w:sz w:val="16"/>
                <w:szCs w:val="16"/>
                <w:lang w:val="en-US"/>
              </w:rPr>
              <w:t>(anhydrous or with 5 H</w:t>
            </w:r>
            <w:r w:rsidRPr="00F01347">
              <w:rPr>
                <w:rFonts w:ascii="Verdana" w:hAnsi="Verdana"/>
                <w:sz w:val="16"/>
                <w:szCs w:val="16"/>
                <w:vertAlign w:val="subscript"/>
                <w:lang w:val="en-US"/>
              </w:rPr>
              <w:t>2</w:t>
            </w:r>
            <w:r w:rsidRPr="00F01347">
              <w:rPr>
                <w:rFonts w:ascii="Verdana" w:hAnsi="Verdana"/>
                <w:sz w:val="16"/>
                <w:szCs w:val="16"/>
                <w:lang w:val="en-US"/>
              </w:rPr>
              <w:t xml:space="preserve">O) in 100 mL of water. The final concentration is </w:t>
            </w:r>
            <w:r w:rsidRPr="00F01347">
              <w:rPr>
                <w:rFonts w:ascii="Verdana" w:hAnsi="Verdana"/>
                <w:i/>
                <w:sz w:val="16"/>
                <w:szCs w:val="16"/>
                <w:lang w:val="en-US" w:eastAsia="es-MX"/>
              </w:rPr>
              <w:t xml:space="preserve">ρ </w:t>
            </w:r>
            <w:r w:rsidRPr="00F01347">
              <w:rPr>
                <w:rFonts w:ascii="Verdana" w:hAnsi="Verdana"/>
                <w:sz w:val="16"/>
                <w:szCs w:val="16"/>
                <w:lang w:val="en-US"/>
              </w:rPr>
              <w:t xml:space="preserve">=10/L (63 </w:t>
            </w:r>
            <w:proofErr w:type="spellStart"/>
            <w:r w:rsidRPr="00F01347">
              <w:rPr>
                <w:rFonts w:ascii="Verdana" w:hAnsi="Verdana"/>
                <w:sz w:val="16"/>
                <w:szCs w:val="16"/>
                <w:lang w:val="en-US"/>
              </w:rPr>
              <w:t>mmolar</w:t>
            </w:r>
            <w:proofErr w:type="spellEnd"/>
            <w:r w:rsidRPr="00F01347">
              <w:rPr>
                <w:rFonts w:ascii="Verdana" w:hAnsi="Verdana"/>
                <w:sz w:val="16"/>
                <w:szCs w:val="16"/>
                <w:lang w:val="en-US"/>
              </w:rPr>
              <w:t xml:space="preserve"> 63 in case of anhydrous Na</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3</w:t>
            </w:r>
            <w:r w:rsidR="00913802" w:rsidRPr="00F01347">
              <w:rPr>
                <w:rFonts w:ascii="Verdana" w:hAnsi="Verdana"/>
                <w:sz w:val="16"/>
                <w:szCs w:val="16"/>
                <w:vertAlign w:val="subscript"/>
                <w:lang w:val="en-US"/>
              </w:rPr>
              <w:t>)</w:t>
            </w:r>
            <w:r w:rsidRPr="00F01347">
              <w:rPr>
                <w:rFonts w:ascii="Verdana" w:hAnsi="Verdana"/>
                <w:sz w:val="16"/>
                <w:szCs w:val="16"/>
                <w:vertAlign w:val="subscript"/>
                <w:lang w:val="en-US"/>
              </w:rPr>
              <w:t>.</w:t>
            </w:r>
          </w:p>
        </w:tc>
      </w:tr>
      <w:tr w:rsidR="00E471A7" w:rsidRPr="00F01347" w14:paraId="638363C4" w14:textId="60AB6495" w:rsidTr="00F65583">
        <w:tc>
          <w:tcPr>
            <w:tcW w:w="4675" w:type="dxa"/>
          </w:tcPr>
          <w:p w14:paraId="767E39FC" w14:textId="77777777" w:rsidR="00E471A7" w:rsidRPr="00F01347" w:rsidRDefault="00E471A7" w:rsidP="00E471A7">
            <w:pPr>
              <w:pStyle w:val="texto0"/>
              <w:spacing w:line="260" w:lineRule="exact"/>
              <w:ind w:firstLine="0"/>
              <w:rPr>
                <w:rFonts w:ascii="Verdana" w:hAnsi="Verdana"/>
                <w:sz w:val="16"/>
                <w:szCs w:val="16"/>
              </w:rPr>
            </w:pPr>
            <w:r w:rsidRPr="00F01347">
              <w:rPr>
                <w:rFonts w:ascii="Verdana" w:hAnsi="Verdana"/>
                <w:b/>
                <w:sz w:val="16"/>
                <w:szCs w:val="16"/>
              </w:rPr>
              <w:t>Solución enriquecida para control del método.</w:t>
            </w:r>
            <w:r w:rsidRPr="00F01347">
              <w:rPr>
                <w:rFonts w:ascii="Verdana" w:hAnsi="Verdana"/>
                <w:sz w:val="16"/>
                <w:szCs w:val="16"/>
              </w:rPr>
              <w:t xml:space="preserve"> Preparar una solución enriquecida pipeteando 200 µl de la solución estándar mixta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en un matraz aforado de 500 </w:t>
            </w:r>
            <w:proofErr w:type="spellStart"/>
            <w:r w:rsidRPr="00F01347">
              <w:rPr>
                <w:rFonts w:ascii="Verdana" w:hAnsi="Verdana"/>
                <w:sz w:val="16"/>
                <w:szCs w:val="16"/>
              </w:rPr>
              <w:t>mL</w:t>
            </w:r>
            <w:proofErr w:type="spellEnd"/>
            <w:r w:rsidRPr="00F01347">
              <w:rPr>
                <w:rFonts w:ascii="Verdana" w:hAnsi="Verdana"/>
                <w:sz w:val="16"/>
                <w:szCs w:val="16"/>
              </w:rPr>
              <w:t xml:space="preserve">. Diluir hasta la marca con agua </w:t>
            </w:r>
            <w:r w:rsidRPr="00F01347">
              <w:rPr>
                <w:rFonts w:ascii="Verdana" w:hAnsi="Verdana"/>
                <w:sz w:val="16"/>
                <w:szCs w:val="16"/>
              </w:rPr>
              <w:lastRenderedPageBreak/>
              <w:t>(agua del sistema de abastecimiento o blanco de agua de fuente natural) y agitar bien. La concentración de esta salteada enriquecida es de 1 µg/L para MC-LR, MC-YR y MC-RR.</w:t>
            </w:r>
          </w:p>
        </w:tc>
        <w:tc>
          <w:tcPr>
            <w:tcW w:w="4675" w:type="dxa"/>
          </w:tcPr>
          <w:p w14:paraId="2A3E96CD" w14:textId="34774479" w:rsidR="00E471A7" w:rsidRPr="00F01347" w:rsidRDefault="00E471A7" w:rsidP="00E471A7">
            <w:pPr>
              <w:pStyle w:val="texto0"/>
              <w:spacing w:line="260" w:lineRule="exact"/>
              <w:ind w:firstLine="0"/>
              <w:rPr>
                <w:rFonts w:ascii="Verdana" w:hAnsi="Verdana"/>
                <w:b/>
                <w:sz w:val="16"/>
                <w:szCs w:val="16"/>
                <w:lang w:val="en-US"/>
              </w:rPr>
            </w:pPr>
            <w:r w:rsidRPr="00F01347">
              <w:rPr>
                <w:rFonts w:ascii="Verdana" w:hAnsi="Verdana"/>
                <w:b/>
                <w:sz w:val="16"/>
                <w:szCs w:val="16"/>
                <w:lang w:val="en-US"/>
              </w:rPr>
              <w:lastRenderedPageBreak/>
              <w:t xml:space="preserve">Enriched solution to control the method. </w:t>
            </w:r>
            <w:r w:rsidRPr="00F01347">
              <w:rPr>
                <w:rFonts w:ascii="Verdana" w:hAnsi="Verdana"/>
                <w:bCs/>
                <w:sz w:val="16"/>
                <w:szCs w:val="16"/>
                <w:lang w:val="en-US"/>
              </w:rPr>
              <w:t>Prepare a spiked solution by pipetting 200 µL of the mixed</w:t>
            </w:r>
            <w:r w:rsidRPr="00F01347">
              <w:rPr>
                <w:rFonts w:ascii="Verdana" w:hAnsi="Verdana"/>
                <w:b/>
                <w:sz w:val="16"/>
                <w:szCs w:val="16"/>
                <w:lang w:val="en-US"/>
              </w:rPr>
              <w:t xml:space="preserve"> </w:t>
            </w:r>
            <w:r w:rsidRPr="00F01347">
              <w:rPr>
                <w:rFonts w:ascii="Verdana" w:hAnsi="Verdana"/>
                <w:sz w:val="16"/>
                <w:szCs w:val="16"/>
                <w:lang w:val="en-US"/>
              </w:rPr>
              <w:t>microcystin standard solution into a 500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w:t>
            </w:r>
            <w:proofErr w:type="gramStart"/>
            <w:r w:rsidRPr="00F01347">
              <w:rPr>
                <w:rFonts w:ascii="Verdana" w:hAnsi="Verdana"/>
                <w:sz w:val="16"/>
                <w:szCs w:val="16"/>
                <w:lang w:val="en-US"/>
              </w:rPr>
              <w:t>Dilute to</w:t>
            </w:r>
            <w:proofErr w:type="gramEnd"/>
            <w:r w:rsidRPr="00F01347">
              <w:rPr>
                <w:rFonts w:ascii="Verdana" w:hAnsi="Verdana"/>
                <w:sz w:val="16"/>
                <w:szCs w:val="16"/>
                <w:lang w:val="en-US"/>
              </w:rPr>
              <w:t xml:space="preserve"> the mark with water (water from the </w:t>
            </w:r>
            <w:r w:rsidRPr="00F01347">
              <w:rPr>
                <w:rFonts w:ascii="Verdana" w:hAnsi="Verdana"/>
                <w:sz w:val="16"/>
                <w:szCs w:val="16"/>
                <w:lang w:val="en-US"/>
              </w:rPr>
              <w:lastRenderedPageBreak/>
              <w:t xml:space="preserve">supply system or </w:t>
            </w:r>
            <w:r w:rsidR="002E7300" w:rsidRPr="00F01347">
              <w:rPr>
                <w:rFonts w:ascii="Verdana" w:hAnsi="Verdana"/>
                <w:sz w:val="16"/>
                <w:szCs w:val="16"/>
                <w:lang w:val="en-US"/>
              </w:rPr>
              <w:t>clear</w:t>
            </w:r>
            <w:r w:rsidRPr="00F01347">
              <w:rPr>
                <w:rFonts w:ascii="Verdana" w:hAnsi="Verdana"/>
                <w:sz w:val="16"/>
                <w:szCs w:val="16"/>
                <w:lang w:val="en-US"/>
              </w:rPr>
              <w:t xml:space="preserve"> water from a natural source) and shake well. The concentration of this enriched </w:t>
            </w:r>
            <w:r w:rsidR="002E7300" w:rsidRPr="00F01347">
              <w:rPr>
                <w:rFonts w:ascii="Verdana" w:hAnsi="Verdana"/>
                <w:sz w:val="16"/>
                <w:szCs w:val="16"/>
                <w:lang w:val="en-US"/>
              </w:rPr>
              <w:t>mixture</w:t>
            </w:r>
            <w:r w:rsidRPr="00F01347">
              <w:rPr>
                <w:rFonts w:ascii="Verdana" w:hAnsi="Verdana"/>
                <w:sz w:val="16"/>
                <w:szCs w:val="16"/>
                <w:lang w:val="en-US"/>
              </w:rPr>
              <w:t xml:space="preserve"> is 1 µg/L for MC-LR, MC-YR and MC-RR.</w:t>
            </w:r>
          </w:p>
        </w:tc>
      </w:tr>
      <w:tr w:rsidR="00E471A7" w:rsidRPr="00F01347" w14:paraId="42732A1C" w14:textId="53369DD0" w:rsidTr="00F65583">
        <w:tc>
          <w:tcPr>
            <w:tcW w:w="4675" w:type="dxa"/>
          </w:tcPr>
          <w:p w14:paraId="429753B5" w14:textId="77777777" w:rsidR="00E471A7" w:rsidRPr="00F01347" w:rsidRDefault="00E471A7" w:rsidP="00E471A7">
            <w:pPr>
              <w:pStyle w:val="texto0"/>
              <w:spacing w:line="260" w:lineRule="exact"/>
              <w:ind w:firstLine="0"/>
              <w:rPr>
                <w:rFonts w:ascii="Verdana" w:hAnsi="Verdana"/>
                <w:sz w:val="16"/>
                <w:szCs w:val="16"/>
              </w:rPr>
            </w:pPr>
            <w:r w:rsidRPr="00F01347">
              <w:rPr>
                <w:rFonts w:ascii="Verdana" w:hAnsi="Verdana"/>
                <w:b/>
                <w:sz w:val="16"/>
                <w:szCs w:val="16"/>
              </w:rPr>
              <w:lastRenderedPageBreak/>
              <w:t xml:space="preserve">Solución estándar mixta de </w:t>
            </w:r>
            <w:proofErr w:type="spellStart"/>
            <w:r w:rsidRPr="00F01347">
              <w:rPr>
                <w:rFonts w:ascii="Verdana" w:hAnsi="Verdana"/>
                <w:b/>
                <w:sz w:val="16"/>
                <w:szCs w:val="16"/>
              </w:rPr>
              <w:t>microcistina</w:t>
            </w:r>
            <w:proofErr w:type="spellEnd"/>
            <w:r w:rsidRPr="00F01347">
              <w:rPr>
                <w:rFonts w:ascii="Verdana" w:hAnsi="Verdana"/>
                <w:sz w:val="16"/>
                <w:szCs w:val="16"/>
              </w:rPr>
              <w:t xml:space="preserve">. Pipetear los volúmenes de la solución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referidos en la Tabla B.1.3-3, de este Apéndice, en viales de 1 </w:t>
            </w:r>
            <w:proofErr w:type="spellStart"/>
            <w:r w:rsidRPr="00F01347">
              <w:rPr>
                <w:rFonts w:ascii="Verdana" w:hAnsi="Verdana"/>
                <w:sz w:val="16"/>
                <w:szCs w:val="16"/>
              </w:rPr>
              <w:t>mL</w:t>
            </w:r>
            <w:proofErr w:type="spellEnd"/>
            <w:r w:rsidRPr="00F01347">
              <w:rPr>
                <w:rFonts w:ascii="Verdana" w:hAnsi="Verdana"/>
                <w:sz w:val="16"/>
                <w:szCs w:val="16"/>
              </w:rPr>
              <w:t>. Añadir a cada frasco, el volumen de la solución estándar para dilución referido en la Tabla B.1.3-3, de este Apéndice, para alcanzar un volumen final de 1000 µl y agitar bien.</w:t>
            </w:r>
          </w:p>
        </w:tc>
        <w:tc>
          <w:tcPr>
            <w:tcW w:w="4675" w:type="dxa"/>
          </w:tcPr>
          <w:p w14:paraId="715112BF" w14:textId="646F29B1" w:rsidR="00E471A7" w:rsidRPr="00F01347" w:rsidRDefault="00E471A7" w:rsidP="00E471A7">
            <w:pPr>
              <w:pStyle w:val="texto0"/>
              <w:spacing w:line="260" w:lineRule="exact"/>
              <w:ind w:firstLine="0"/>
              <w:rPr>
                <w:rFonts w:ascii="Verdana" w:hAnsi="Verdana"/>
                <w:b/>
                <w:sz w:val="16"/>
                <w:szCs w:val="16"/>
                <w:lang w:val="en-US"/>
              </w:rPr>
            </w:pPr>
            <w:r w:rsidRPr="00F01347">
              <w:rPr>
                <w:rFonts w:ascii="Verdana" w:hAnsi="Verdana"/>
                <w:b/>
                <w:sz w:val="16"/>
                <w:szCs w:val="16"/>
                <w:lang w:val="en-US"/>
              </w:rPr>
              <w:t>Microcystin mixed standard solution</w:t>
            </w:r>
            <w:r w:rsidR="003E1BA9" w:rsidRPr="00F01347">
              <w:rPr>
                <w:rFonts w:ascii="Verdana" w:hAnsi="Verdana"/>
                <w:b/>
                <w:sz w:val="16"/>
                <w:szCs w:val="16"/>
                <w:lang w:val="en-US"/>
              </w:rPr>
              <w:t>.</w:t>
            </w:r>
            <w:r w:rsidRPr="00F01347">
              <w:rPr>
                <w:rFonts w:ascii="Verdana" w:hAnsi="Verdana"/>
                <w:sz w:val="16"/>
                <w:szCs w:val="16"/>
                <w:lang w:val="en-US"/>
              </w:rPr>
              <w:t xml:space="preserve"> Pipette the volumes of the microcystin solution referred to in Table B.1.3-3, of this Appendix, into 1 mL vials</w:t>
            </w:r>
            <w:r w:rsidR="003E1BA9" w:rsidRPr="00F01347">
              <w:rPr>
                <w:rFonts w:ascii="Verdana" w:hAnsi="Verdana"/>
                <w:sz w:val="16"/>
                <w:szCs w:val="16"/>
                <w:lang w:val="en-US"/>
              </w:rPr>
              <w:t>.</w:t>
            </w:r>
            <w:r w:rsidRPr="00F01347">
              <w:rPr>
                <w:rFonts w:ascii="Verdana" w:hAnsi="Verdana"/>
                <w:sz w:val="16"/>
                <w:szCs w:val="16"/>
                <w:lang w:val="en-US"/>
              </w:rPr>
              <w:t xml:space="preserve"> Add to each bottle the volume of the standard solution for dilution referred to in Table B.1.3-3, of this Appendix, to reach a final volume of 1000 µl and shake well.</w:t>
            </w:r>
          </w:p>
        </w:tc>
      </w:tr>
    </w:tbl>
    <w:p w14:paraId="74C62029" w14:textId="77777777" w:rsidR="00204B58" w:rsidRPr="00F01347" w:rsidRDefault="00204B58" w:rsidP="006A0481">
      <w:pPr>
        <w:pStyle w:val="texto0"/>
        <w:spacing w:line="260" w:lineRule="exact"/>
        <w:rPr>
          <w:rFonts w:ascii="Verdana" w:hAnsi="Verdana"/>
          <w:b/>
          <w:sz w:val="16"/>
          <w:szCs w:val="16"/>
          <w:lang w:val="en-US"/>
        </w:rPr>
      </w:pPr>
    </w:p>
    <w:p w14:paraId="48B707BC" w14:textId="2F4B3F3F" w:rsidR="00A74CDF" w:rsidRPr="00F01347" w:rsidRDefault="00A74CDF" w:rsidP="006A0481">
      <w:pPr>
        <w:pStyle w:val="texto0"/>
        <w:spacing w:line="260" w:lineRule="exact"/>
        <w:rPr>
          <w:rFonts w:ascii="Verdana" w:hAnsi="Verdana"/>
          <w:sz w:val="16"/>
          <w:szCs w:val="16"/>
        </w:rPr>
      </w:pPr>
      <w:r w:rsidRPr="00F01347">
        <w:rPr>
          <w:rFonts w:ascii="Verdana" w:hAnsi="Verdana"/>
          <w:b/>
          <w:sz w:val="16"/>
          <w:szCs w:val="16"/>
        </w:rPr>
        <w:t>Tabla B.1.3-3</w:t>
      </w:r>
      <w:r w:rsidRPr="00F01347">
        <w:rPr>
          <w:rFonts w:ascii="Verdana" w:hAnsi="Verdana"/>
          <w:sz w:val="16"/>
          <w:szCs w:val="16"/>
        </w:rPr>
        <w:t xml:space="preserve">. Esquema de pipeteo para las soluciones estándar mixta de </w:t>
      </w:r>
      <w:proofErr w:type="spellStart"/>
      <w:r w:rsidRPr="00F01347">
        <w:rPr>
          <w:rFonts w:ascii="Verdana" w:hAnsi="Verdana"/>
          <w:sz w:val="16"/>
          <w:szCs w:val="16"/>
        </w:rPr>
        <w:t>microcistina</w:t>
      </w:r>
      <w:proofErr w:type="spellEnd"/>
    </w:p>
    <w:tbl>
      <w:tblPr>
        <w:tblW w:w="8712" w:type="dxa"/>
        <w:tblInd w:w="144" w:type="dxa"/>
        <w:tblLayout w:type="fixed"/>
        <w:tblCellMar>
          <w:left w:w="72" w:type="dxa"/>
          <w:right w:w="72" w:type="dxa"/>
        </w:tblCellMar>
        <w:tblLook w:val="0000" w:firstRow="0" w:lastRow="0" w:firstColumn="0" w:lastColumn="0" w:noHBand="0" w:noVBand="0"/>
      </w:tblPr>
      <w:tblGrid>
        <w:gridCol w:w="902"/>
        <w:gridCol w:w="2255"/>
        <w:gridCol w:w="3048"/>
        <w:gridCol w:w="836"/>
        <w:gridCol w:w="835"/>
        <w:gridCol w:w="836"/>
      </w:tblGrid>
      <w:tr w:rsidR="00A74CDF" w:rsidRPr="00F01347" w14:paraId="07E7B1A2" w14:textId="77777777">
        <w:trPr>
          <w:trHeight w:val="20"/>
        </w:trPr>
        <w:tc>
          <w:tcPr>
            <w:tcW w:w="904" w:type="dxa"/>
            <w:vMerge w:val="restart"/>
            <w:tcBorders>
              <w:top w:val="single" w:sz="6" w:space="0" w:color="auto"/>
              <w:left w:val="single" w:sz="6" w:space="0" w:color="auto"/>
              <w:right w:val="single" w:sz="6" w:space="0" w:color="auto"/>
            </w:tcBorders>
            <w:noWrap/>
          </w:tcPr>
          <w:p w14:paraId="30B089B8"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Solución estándar</w:t>
            </w:r>
          </w:p>
        </w:tc>
        <w:tc>
          <w:tcPr>
            <w:tcW w:w="2264" w:type="dxa"/>
            <w:vMerge w:val="restart"/>
            <w:tcBorders>
              <w:top w:val="single" w:sz="6" w:space="0" w:color="auto"/>
              <w:left w:val="single" w:sz="6" w:space="0" w:color="auto"/>
              <w:right w:val="single" w:sz="6" w:space="0" w:color="auto"/>
            </w:tcBorders>
          </w:tcPr>
          <w:p w14:paraId="7FA02A30"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 xml:space="preserve">Volumen de retirada de cada solución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(MC-</w:t>
            </w:r>
            <w:proofErr w:type="gramStart"/>
            <w:r w:rsidRPr="00F01347">
              <w:rPr>
                <w:rFonts w:ascii="Verdana" w:hAnsi="Verdana"/>
                <w:sz w:val="16"/>
                <w:szCs w:val="16"/>
              </w:rPr>
              <w:t xml:space="preserve">LR, </w:t>
            </w:r>
            <w:r w:rsidR="000550B5" w:rsidRPr="00F01347">
              <w:rPr>
                <w:rFonts w:ascii="Verdana" w:hAnsi="Verdana"/>
                <w:sz w:val="16"/>
                <w:szCs w:val="16"/>
              </w:rPr>
              <w:t xml:space="preserve"> </w:t>
            </w:r>
            <w:r w:rsidRPr="00F01347">
              <w:rPr>
                <w:rFonts w:ascii="Verdana" w:hAnsi="Verdana"/>
                <w:sz w:val="16"/>
                <w:szCs w:val="16"/>
              </w:rPr>
              <w:t>MC</w:t>
            </w:r>
            <w:proofErr w:type="gramEnd"/>
            <w:r w:rsidRPr="00F01347">
              <w:rPr>
                <w:rFonts w:ascii="Verdana" w:hAnsi="Verdana"/>
                <w:sz w:val="16"/>
                <w:szCs w:val="16"/>
              </w:rPr>
              <w:t>-YR, MC-RR)</w:t>
            </w:r>
          </w:p>
          <w:p w14:paraId="3E7F652E"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(µl)</w:t>
            </w:r>
          </w:p>
        </w:tc>
        <w:tc>
          <w:tcPr>
            <w:tcW w:w="3060" w:type="dxa"/>
            <w:vMerge w:val="restart"/>
            <w:tcBorders>
              <w:top w:val="single" w:sz="6" w:space="0" w:color="auto"/>
              <w:left w:val="single" w:sz="6" w:space="0" w:color="auto"/>
              <w:right w:val="single" w:sz="6" w:space="0" w:color="auto"/>
            </w:tcBorders>
          </w:tcPr>
          <w:p w14:paraId="3859655C"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Volumen de la solución estándar para dilución a añadir para alcanzar un volumen final de 1000µl</w:t>
            </w:r>
          </w:p>
          <w:p w14:paraId="5892577B"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(µl)</w:t>
            </w:r>
          </w:p>
        </w:tc>
        <w:tc>
          <w:tcPr>
            <w:tcW w:w="2516" w:type="dxa"/>
            <w:gridSpan w:val="3"/>
            <w:tcBorders>
              <w:top w:val="single" w:sz="6" w:space="0" w:color="auto"/>
              <w:left w:val="single" w:sz="6" w:space="0" w:color="auto"/>
              <w:bottom w:val="single" w:sz="6" w:space="0" w:color="auto"/>
              <w:right w:val="single" w:sz="6" w:space="0" w:color="auto"/>
            </w:tcBorders>
          </w:tcPr>
          <w:p w14:paraId="0132FA74"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Concentración de solución estándar</w:t>
            </w:r>
          </w:p>
          <w:p w14:paraId="1BBEF5C8"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w:t>
            </w:r>
            <w:r w:rsidRPr="00F01347">
              <w:rPr>
                <w:rFonts w:ascii="Verdana" w:hAnsi="Verdana"/>
                <w:sz w:val="16"/>
                <w:szCs w:val="16"/>
                <w:lang w:eastAsia="es-MX"/>
              </w:rPr>
              <w:t>µ</w:t>
            </w:r>
            <w:r w:rsidRPr="00F01347">
              <w:rPr>
                <w:rFonts w:ascii="Verdana" w:hAnsi="Verdana"/>
                <w:sz w:val="16"/>
                <w:szCs w:val="16"/>
              </w:rPr>
              <w:t>g/</w:t>
            </w:r>
            <w:proofErr w:type="spellStart"/>
            <w:r w:rsidRPr="00F01347">
              <w:rPr>
                <w:rFonts w:ascii="Verdana" w:hAnsi="Verdana"/>
                <w:sz w:val="16"/>
                <w:szCs w:val="16"/>
              </w:rPr>
              <w:t>mL</w:t>
            </w:r>
            <w:proofErr w:type="spellEnd"/>
            <w:r w:rsidRPr="00F01347">
              <w:rPr>
                <w:rFonts w:ascii="Verdana" w:hAnsi="Verdana"/>
                <w:sz w:val="16"/>
                <w:szCs w:val="16"/>
              </w:rPr>
              <w:t>)</w:t>
            </w:r>
          </w:p>
        </w:tc>
      </w:tr>
      <w:tr w:rsidR="00A74CDF" w:rsidRPr="00F01347" w14:paraId="694D09F9" w14:textId="77777777">
        <w:trPr>
          <w:trHeight w:val="20"/>
        </w:trPr>
        <w:tc>
          <w:tcPr>
            <w:tcW w:w="904" w:type="dxa"/>
            <w:vMerge/>
            <w:tcBorders>
              <w:left w:val="single" w:sz="6" w:space="0" w:color="auto"/>
              <w:bottom w:val="single" w:sz="6" w:space="0" w:color="auto"/>
              <w:right w:val="single" w:sz="6" w:space="0" w:color="auto"/>
            </w:tcBorders>
          </w:tcPr>
          <w:p w14:paraId="5E9646C4" w14:textId="77777777" w:rsidR="00A74CDF" w:rsidRPr="00F01347" w:rsidRDefault="00A74CDF" w:rsidP="003A601B">
            <w:pPr>
              <w:pStyle w:val="texto0"/>
              <w:spacing w:line="240" w:lineRule="exact"/>
              <w:ind w:firstLine="0"/>
              <w:jc w:val="center"/>
              <w:rPr>
                <w:rFonts w:ascii="Verdana" w:hAnsi="Verdana"/>
                <w:sz w:val="16"/>
                <w:szCs w:val="16"/>
              </w:rPr>
            </w:pPr>
          </w:p>
        </w:tc>
        <w:tc>
          <w:tcPr>
            <w:tcW w:w="2264" w:type="dxa"/>
            <w:vMerge/>
            <w:tcBorders>
              <w:left w:val="single" w:sz="6" w:space="0" w:color="auto"/>
              <w:bottom w:val="single" w:sz="6" w:space="0" w:color="auto"/>
              <w:right w:val="single" w:sz="6" w:space="0" w:color="auto"/>
            </w:tcBorders>
          </w:tcPr>
          <w:p w14:paraId="4625A428" w14:textId="77777777" w:rsidR="00A74CDF" w:rsidRPr="00F01347" w:rsidRDefault="00A74CDF" w:rsidP="003A601B">
            <w:pPr>
              <w:pStyle w:val="texto0"/>
              <w:spacing w:line="240" w:lineRule="exact"/>
              <w:ind w:firstLine="0"/>
              <w:jc w:val="center"/>
              <w:rPr>
                <w:rFonts w:ascii="Verdana" w:hAnsi="Verdana"/>
                <w:sz w:val="16"/>
                <w:szCs w:val="16"/>
              </w:rPr>
            </w:pPr>
          </w:p>
        </w:tc>
        <w:tc>
          <w:tcPr>
            <w:tcW w:w="3060" w:type="dxa"/>
            <w:vMerge/>
            <w:tcBorders>
              <w:left w:val="single" w:sz="6" w:space="0" w:color="auto"/>
              <w:bottom w:val="single" w:sz="6" w:space="0" w:color="auto"/>
              <w:right w:val="single" w:sz="6" w:space="0" w:color="auto"/>
            </w:tcBorders>
          </w:tcPr>
          <w:p w14:paraId="2D1777B0" w14:textId="77777777" w:rsidR="00A74CDF" w:rsidRPr="00F01347" w:rsidRDefault="00A74CDF" w:rsidP="003A601B">
            <w:pPr>
              <w:pStyle w:val="texto0"/>
              <w:spacing w:line="240" w:lineRule="exact"/>
              <w:ind w:firstLine="0"/>
              <w:jc w:val="center"/>
              <w:rPr>
                <w:rFonts w:ascii="Verdana" w:hAnsi="Verdana"/>
                <w:sz w:val="16"/>
                <w:szCs w:val="16"/>
              </w:rPr>
            </w:pPr>
          </w:p>
        </w:tc>
        <w:tc>
          <w:tcPr>
            <w:tcW w:w="839" w:type="dxa"/>
            <w:tcBorders>
              <w:top w:val="single" w:sz="6" w:space="0" w:color="auto"/>
              <w:left w:val="single" w:sz="6" w:space="0" w:color="auto"/>
              <w:bottom w:val="single" w:sz="6" w:space="0" w:color="auto"/>
              <w:right w:val="single" w:sz="6" w:space="0" w:color="auto"/>
            </w:tcBorders>
          </w:tcPr>
          <w:p w14:paraId="785756A7"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MC-LR</w:t>
            </w:r>
          </w:p>
        </w:tc>
        <w:tc>
          <w:tcPr>
            <w:tcW w:w="838" w:type="dxa"/>
            <w:tcBorders>
              <w:top w:val="single" w:sz="6" w:space="0" w:color="auto"/>
              <w:left w:val="single" w:sz="6" w:space="0" w:color="auto"/>
              <w:bottom w:val="single" w:sz="6" w:space="0" w:color="auto"/>
              <w:right w:val="single" w:sz="6" w:space="0" w:color="auto"/>
            </w:tcBorders>
          </w:tcPr>
          <w:p w14:paraId="49A43BF4"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MC-YR</w:t>
            </w:r>
          </w:p>
        </w:tc>
        <w:tc>
          <w:tcPr>
            <w:tcW w:w="839" w:type="dxa"/>
            <w:tcBorders>
              <w:top w:val="single" w:sz="6" w:space="0" w:color="auto"/>
              <w:left w:val="single" w:sz="6" w:space="0" w:color="auto"/>
              <w:bottom w:val="single" w:sz="6" w:space="0" w:color="auto"/>
              <w:right w:val="single" w:sz="6" w:space="0" w:color="auto"/>
            </w:tcBorders>
          </w:tcPr>
          <w:p w14:paraId="3C9CE013"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MC-RR</w:t>
            </w:r>
          </w:p>
        </w:tc>
      </w:tr>
      <w:tr w:rsidR="00A74CDF" w:rsidRPr="00F01347" w14:paraId="216E24C6" w14:textId="77777777">
        <w:trPr>
          <w:trHeight w:val="20"/>
        </w:trPr>
        <w:tc>
          <w:tcPr>
            <w:tcW w:w="904" w:type="dxa"/>
            <w:tcBorders>
              <w:top w:val="single" w:sz="6" w:space="0" w:color="auto"/>
              <w:left w:val="single" w:sz="6" w:space="0" w:color="auto"/>
              <w:bottom w:val="single" w:sz="6" w:space="0" w:color="auto"/>
              <w:right w:val="single" w:sz="6" w:space="0" w:color="auto"/>
            </w:tcBorders>
          </w:tcPr>
          <w:p w14:paraId="4B8483D3"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1</w:t>
            </w:r>
          </w:p>
        </w:tc>
        <w:tc>
          <w:tcPr>
            <w:tcW w:w="2264" w:type="dxa"/>
            <w:tcBorders>
              <w:top w:val="single" w:sz="6" w:space="0" w:color="auto"/>
              <w:left w:val="single" w:sz="6" w:space="0" w:color="auto"/>
              <w:bottom w:val="single" w:sz="6" w:space="0" w:color="auto"/>
              <w:right w:val="single" w:sz="6" w:space="0" w:color="auto"/>
            </w:tcBorders>
          </w:tcPr>
          <w:p w14:paraId="35C224D9"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20</w:t>
            </w:r>
          </w:p>
        </w:tc>
        <w:tc>
          <w:tcPr>
            <w:tcW w:w="3060" w:type="dxa"/>
            <w:tcBorders>
              <w:top w:val="single" w:sz="6" w:space="0" w:color="auto"/>
              <w:left w:val="single" w:sz="6" w:space="0" w:color="auto"/>
              <w:bottom w:val="single" w:sz="6" w:space="0" w:color="auto"/>
              <w:right w:val="single" w:sz="6" w:space="0" w:color="auto"/>
            </w:tcBorders>
          </w:tcPr>
          <w:p w14:paraId="740C6196"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940</w:t>
            </w:r>
          </w:p>
        </w:tc>
        <w:tc>
          <w:tcPr>
            <w:tcW w:w="839" w:type="dxa"/>
            <w:tcBorders>
              <w:top w:val="single" w:sz="6" w:space="0" w:color="auto"/>
              <w:left w:val="single" w:sz="6" w:space="0" w:color="auto"/>
              <w:bottom w:val="single" w:sz="6" w:space="0" w:color="auto"/>
              <w:right w:val="single" w:sz="6" w:space="0" w:color="auto"/>
            </w:tcBorders>
          </w:tcPr>
          <w:p w14:paraId="1A089FA5"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0.2</w:t>
            </w:r>
          </w:p>
        </w:tc>
        <w:tc>
          <w:tcPr>
            <w:tcW w:w="838" w:type="dxa"/>
            <w:tcBorders>
              <w:top w:val="single" w:sz="6" w:space="0" w:color="auto"/>
              <w:left w:val="single" w:sz="6" w:space="0" w:color="auto"/>
              <w:bottom w:val="single" w:sz="6" w:space="0" w:color="auto"/>
              <w:right w:val="single" w:sz="6" w:space="0" w:color="auto"/>
            </w:tcBorders>
          </w:tcPr>
          <w:p w14:paraId="57E14300"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0.2</w:t>
            </w:r>
          </w:p>
        </w:tc>
        <w:tc>
          <w:tcPr>
            <w:tcW w:w="839" w:type="dxa"/>
            <w:tcBorders>
              <w:top w:val="single" w:sz="6" w:space="0" w:color="auto"/>
              <w:left w:val="single" w:sz="6" w:space="0" w:color="auto"/>
              <w:bottom w:val="single" w:sz="6" w:space="0" w:color="auto"/>
              <w:right w:val="single" w:sz="6" w:space="0" w:color="auto"/>
            </w:tcBorders>
          </w:tcPr>
          <w:p w14:paraId="77D42A78"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0.2</w:t>
            </w:r>
          </w:p>
        </w:tc>
      </w:tr>
      <w:tr w:rsidR="00A74CDF" w:rsidRPr="00F01347" w14:paraId="3BAE56FB" w14:textId="77777777">
        <w:trPr>
          <w:trHeight w:val="20"/>
        </w:trPr>
        <w:tc>
          <w:tcPr>
            <w:tcW w:w="904" w:type="dxa"/>
            <w:tcBorders>
              <w:top w:val="single" w:sz="6" w:space="0" w:color="auto"/>
              <w:left w:val="single" w:sz="6" w:space="0" w:color="auto"/>
              <w:bottom w:val="single" w:sz="6" w:space="0" w:color="auto"/>
              <w:right w:val="single" w:sz="6" w:space="0" w:color="auto"/>
            </w:tcBorders>
          </w:tcPr>
          <w:p w14:paraId="1985780E"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2</w:t>
            </w:r>
          </w:p>
        </w:tc>
        <w:tc>
          <w:tcPr>
            <w:tcW w:w="2264" w:type="dxa"/>
            <w:tcBorders>
              <w:top w:val="single" w:sz="6" w:space="0" w:color="auto"/>
              <w:left w:val="single" w:sz="6" w:space="0" w:color="auto"/>
              <w:bottom w:val="single" w:sz="6" w:space="0" w:color="auto"/>
              <w:right w:val="single" w:sz="6" w:space="0" w:color="auto"/>
            </w:tcBorders>
          </w:tcPr>
          <w:p w14:paraId="305B6670"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40</w:t>
            </w:r>
          </w:p>
        </w:tc>
        <w:tc>
          <w:tcPr>
            <w:tcW w:w="3060" w:type="dxa"/>
            <w:tcBorders>
              <w:top w:val="single" w:sz="6" w:space="0" w:color="auto"/>
              <w:left w:val="single" w:sz="6" w:space="0" w:color="auto"/>
              <w:bottom w:val="single" w:sz="6" w:space="0" w:color="auto"/>
              <w:right w:val="single" w:sz="6" w:space="0" w:color="auto"/>
            </w:tcBorders>
          </w:tcPr>
          <w:p w14:paraId="3D7596C0"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880</w:t>
            </w:r>
          </w:p>
        </w:tc>
        <w:tc>
          <w:tcPr>
            <w:tcW w:w="839" w:type="dxa"/>
            <w:tcBorders>
              <w:top w:val="single" w:sz="6" w:space="0" w:color="auto"/>
              <w:left w:val="single" w:sz="6" w:space="0" w:color="auto"/>
              <w:bottom w:val="single" w:sz="6" w:space="0" w:color="auto"/>
              <w:right w:val="single" w:sz="6" w:space="0" w:color="auto"/>
            </w:tcBorders>
          </w:tcPr>
          <w:p w14:paraId="63252933"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0.4</w:t>
            </w:r>
          </w:p>
        </w:tc>
        <w:tc>
          <w:tcPr>
            <w:tcW w:w="838" w:type="dxa"/>
            <w:tcBorders>
              <w:top w:val="single" w:sz="6" w:space="0" w:color="auto"/>
              <w:left w:val="single" w:sz="6" w:space="0" w:color="auto"/>
              <w:bottom w:val="single" w:sz="6" w:space="0" w:color="auto"/>
              <w:right w:val="single" w:sz="6" w:space="0" w:color="auto"/>
            </w:tcBorders>
          </w:tcPr>
          <w:p w14:paraId="23AA877C"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0.4</w:t>
            </w:r>
          </w:p>
        </w:tc>
        <w:tc>
          <w:tcPr>
            <w:tcW w:w="839" w:type="dxa"/>
            <w:tcBorders>
              <w:top w:val="single" w:sz="6" w:space="0" w:color="auto"/>
              <w:left w:val="single" w:sz="6" w:space="0" w:color="auto"/>
              <w:bottom w:val="single" w:sz="6" w:space="0" w:color="auto"/>
              <w:right w:val="single" w:sz="6" w:space="0" w:color="auto"/>
            </w:tcBorders>
          </w:tcPr>
          <w:p w14:paraId="601C607C"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0.4</w:t>
            </w:r>
          </w:p>
        </w:tc>
      </w:tr>
      <w:tr w:rsidR="00A74CDF" w:rsidRPr="00F01347" w14:paraId="00B1A6CD" w14:textId="77777777">
        <w:trPr>
          <w:trHeight w:val="20"/>
        </w:trPr>
        <w:tc>
          <w:tcPr>
            <w:tcW w:w="904" w:type="dxa"/>
            <w:tcBorders>
              <w:top w:val="single" w:sz="6" w:space="0" w:color="auto"/>
              <w:left w:val="single" w:sz="6" w:space="0" w:color="auto"/>
              <w:bottom w:val="single" w:sz="6" w:space="0" w:color="auto"/>
              <w:right w:val="single" w:sz="6" w:space="0" w:color="auto"/>
            </w:tcBorders>
          </w:tcPr>
          <w:p w14:paraId="2A4B9E2C"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3</w:t>
            </w:r>
          </w:p>
        </w:tc>
        <w:tc>
          <w:tcPr>
            <w:tcW w:w="2264" w:type="dxa"/>
            <w:tcBorders>
              <w:top w:val="single" w:sz="6" w:space="0" w:color="auto"/>
              <w:left w:val="single" w:sz="6" w:space="0" w:color="auto"/>
              <w:bottom w:val="single" w:sz="6" w:space="0" w:color="auto"/>
              <w:right w:val="single" w:sz="6" w:space="0" w:color="auto"/>
            </w:tcBorders>
          </w:tcPr>
          <w:p w14:paraId="31FFC04C"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100</w:t>
            </w:r>
          </w:p>
        </w:tc>
        <w:tc>
          <w:tcPr>
            <w:tcW w:w="3060" w:type="dxa"/>
            <w:tcBorders>
              <w:top w:val="single" w:sz="6" w:space="0" w:color="auto"/>
              <w:left w:val="single" w:sz="6" w:space="0" w:color="auto"/>
              <w:bottom w:val="single" w:sz="6" w:space="0" w:color="auto"/>
              <w:right w:val="single" w:sz="6" w:space="0" w:color="auto"/>
            </w:tcBorders>
          </w:tcPr>
          <w:p w14:paraId="3B80F3EF"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700</w:t>
            </w:r>
          </w:p>
        </w:tc>
        <w:tc>
          <w:tcPr>
            <w:tcW w:w="839" w:type="dxa"/>
            <w:tcBorders>
              <w:top w:val="single" w:sz="6" w:space="0" w:color="auto"/>
              <w:left w:val="single" w:sz="6" w:space="0" w:color="auto"/>
              <w:bottom w:val="single" w:sz="6" w:space="0" w:color="auto"/>
              <w:right w:val="single" w:sz="6" w:space="0" w:color="auto"/>
            </w:tcBorders>
          </w:tcPr>
          <w:p w14:paraId="5D1AE6DF"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1.0</w:t>
            </w:r>
          </w:p>
        </w:tc>
        <w:tc>
          <w:tcPr>
            <w:tcW w:w="838" w:type="dxa"/>
            <w:tcBorders>
              <w:top w:val="single" w:sz="6" w:space="0" w:color="auto"/>
              <w:left w:val="single" w:sz="6" w:space="0" w:color="auto"/>
              <w:bottom w:val="single" w:sz="6" w:space="0" w:color="auto"/>
              <w:right w:val="single" w:sz="6" w:space="0" w:color="auto"/>
            </w:tcBorders>
          </w:tcPr>
          <w:p w14:paraId="6C17EB0D"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1.0</w:t>
            </w:r>
          </w:p>
        </w:tc>
        <w:tc>
          <w:tcPr>
            <w:tcW w:w="839" w:type="dxa"/>
            <w:tcBorders>
              <w:top w:val="single" w:sz="6" w:space="0" w:color="auto"/>
              <w:left w:val="single" w:sz="6" w:space="0" w:color="auto"/>
              <w:bottom w:val="single" w:sz="6" w:space="0" w:color="auto"/>
              <w:right w:val="single" w:sz="6" w:space="0" w:color="auto"/>
            </w:tcBorders>
          </w:tcPr>
          <w:p w14:paraId="6CA13D18"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1.0</w:t>
            </w:r>
          </w:p>
        </w:tc>
      </w:tr>
      <w:tr w:rsidR="00A74CDF" w:rsidRPr="00F01347" w14:paraId="5267DB36" w14:textId="77777777">
        <w:trPr>
          <w:trHeight w:val="20"/>
        </w:trPr>
        <w:tc>
          <w:tcPr>
            <w:tcW w:w="904" w:type="dxa"/>
            <w:tcBorders>
              <w:top w:val="single" w:sz="6" w:space="0" w:color="auto"/>
              <w:left w:val="single" w:sz="6" w:space="0" w:color="auto"/>
              <w:bottom w:val="single" w:sz="6" w:space="0" w:color="auto"/>
              <w:right w:val="single" w:sz="6" w:space="0" w:color="auto"/>
            </w:tcBorders>
          </w:tcPr>
          <w:p w14:paraId="3A58BB4C"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4</w:t>
            </w:r>
          </w:p>
        </w:tc>
        <w:tc>
          <w:tcPr>
            <w:tcW w:w="2264" w:type="dxa"/>
            <w:tcBorders>
              <w:top w:val="single" w:sz="6" w:space="0" w:color="auto"/>
              <w:left w:val="single" w:sz="6" w:space="0" w:color="auto"/>
              <w:bottom w:val="single" w:sz="6" w:space="0" w:color="auto"/>
              <w:right w:val="single" w:sz="6" w:space="0" w:color="auto"/>
            </w:tcBorders>
          </w:tcPr>
          <w:p w14:paraId="79162E9F"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200</w:t>
            </w:r>
          </w:p>
        </w:tc>
        <w:tc>
          <w:tcPr>
            <w:tcW w:w="3060" w:type="dxa"/>
            <w:tcBorders>
              <w:top w:val="single" w:sz="6" w:space="0" w:color="auto"/>
              <w:left w:val="single" w:sz="6" w:space="0" w:color="auto"/>
              <w:bottom w:val="single" w:sz="6" w:space="0" w:color="auto"/>
              <w:right w:val="single" w:sz="6" w:space="0" w:color="auto"/>
            </w:tcBorders>
          </w:tcPr>
          <w:p w14:paraId="63077129"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400</w:t>
            </w:r>
          </w:p>
        </w:tc>
        <w:tc>
          <w:tcPr>
            <w:tcW w:w="839" w:type="dxa"/>
            <w:tcBorders>
              <w:top w:val="single" w:sz="6" w:space="0" w:color="auto"/>
              <w:left w:val="single" w:sz="6" w:space="0" w:color="auto"/>
              <w:bottom w:val="single" w:sz="6" w:space="0" w:color="auto"/>
              <w:right w:val="single" w:sz="6" w:space="0" w:color="auto"/>
            </w:tcBorders>
          </w:tcPr>
          <w:p w14:paraId="2F8D2536"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2.0</w:t>
            </w:r>
          </w:p>
        </w:tc>
        <w:tc>
          <w:tcPr>
            <w:tcW w:w="838" w:type="dxa"/>
            <w:tcBorders>
              <w:top w:val="single" w:sz="6" w:space="0" w:color="auto"/>
              <w:left w:val="single" w:sz="6" w:space="0" w:color="auto"/>
              <w:bottom w:val="single" w:sz="6" w:space="0" w:color="auto"/>
              <w:right w:val="single" w:sz="6" w:space="0" w:color="auto"/>
            </w:tcBorders>
          </w:tcPr>
          <w:p w14:paraId="54D950FF"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2.0</w:t>
            </w:r>
          </w:p>
        </w:tc>
        <w:tc>
          <w:tcPr>
            <w:tcW w:w="839" w:type="dxa"/>
            <w:tcBorders>
              <w:top w:val="single" w:sz="6" w:space="0" w:color="auto"/>
              <w:left w:val="single" w:sz="6" w:space="0" w:color="auto"/>
              <w:bottom w:val="single" w:sz="6" w:space="0" w:color="auto"/>
              <w:right w:val="single" w:sz="6" w:space="0" w:color="auto"/>
            </w:tcBorders>
          </w:tcPr>
          <w:p w14:paraId="3005324F"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2.0</w:t>
            </w:r>
          </w:p>
        </w:tc>
      </w:tr>
      <w:tr w:rsidR="00A74CDF" w:rsidRPr="00F01347" w14:paraId="38B753A5" w14:textId="77777777">
        <w:trPr>
          <w:trHeight w:val="20"/>
        </w:trPr>
        <w:tc>
          <w:tcPr>
            <w:tcW w:w="904" w:type="dxa"/>
            <w:tcBorders>
              <w:top w:val="single" w:sz="6" w:space="0" w:color="auto"/>
              <w:left w:val="single" w:sz="6" w:space="0" w:color="auto"/>
              <w:bottom w:val="single" w:sz="6" w:space="0" w:color="auto"/>
              <w:right w:val="single" w:sz="6" w:space="0" w:color="auto"/>
            </w:tcBorders>
          </w:tcPr>
          <w:p w14:paraId="755190A3"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5</w:t>
            </w:r>
          </w:p>
        </w:tc>
        <w:tc>
          <w:tcPr>
            <w:tcW w:w="2264" w:type="dxa"/>
            <w:tcBorders>
              <w:top w:val="single" w:sz="6" w:space="0" w:color="auto"/>
              <w:left w:val="single" w:sz="6" w:space="0" w:color="auto"/>
              <w:bottom w:val="single" w:sz="6" w:space="0" w:color="auto"/>
              <w:right w:val="single" w:sz="6" w:space="0" w:color="auto"/>
            </w:tcBorders>
          </w:tcPr>
          <w:p w14:paraId="5526BE3E"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300</w:t>
            </w:r>
          </w:p>
        </w:tc>
        <w:tc>
          <w:tcPr>
            <w:tcW w:w="3060" w:type="dxa"/>
            <w:tcBorders>
              <w:top w:val="single" w:sz="6" w:space="0" w:color="auto"/>
              <w:left w:val="single" w:sz="6" w:space="0" w:color="auto"/>
              <w:bottom w:val="single" w:sz="6" w:space="0" w:color="auto"/>
              <w:right w:val="single" w:sz="6" w:space="0" w:color="auto"/>
            </w:tcBorders>
          </w:tcPr>
          <w:p w14:paraId="4A5D2245"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100</w:t>
            </w:r>
          </w:p>
        </w:tc>
        <w:tc>
          <w:tcPr>
            <w:tcW w:w="839" w:type="dxa"/>
            <w:tcBorders>
              <w:top w:val="single" w:sz="6" w:space="0" w:color="auto"/>
              <w:left w:val="single" w:sz="6" w:space="0" w:color="auto"/>
              <w:bottom w:val="single" w:sz="6" w:space="0" w:color="auto"/>
              <w:right w:val="single" w:sz="6" w:space="0" w:color="auto"/>
            </w:tcBorders>
          </w:tcPr>
          <w:p w14:paraId="71F8916C"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3.0</w:t>
            </w:r>
          </w:p>
        </w:tc>
        <w:tc>
          <w:tcPr>
            <w:tcW w:w="838" w:type="dxa"/>
            <w:tcBorders>
              <w:top w:val="single" w:sz="6" w:space="0" w:color="auto"/>
              <w:left w:val="single" w:sz="6" w:space="0" w:color="auto"/>
              <w:bottom w:val="single" w:sz="6" w:space="0" w:color="auto"/>
              <w:right w:val="single" w:sz="6" w:space="0" w:color="auto"/>
            </w:tcBorders>
          </w:tcPr>
          <w:p w14:paraId="67EFCCB3"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3.0</w:t>
            </w:r>
          </w:p>
        </w:tc>
        <w:tc>
          <w:tcPr>
            <w:tcW w:w="839" w:type="dxa"/>
            <w:tcBorders>
              <w:top w:val="single" w:sz="6" w:space="0" w:color="auto"/>
              <w:left w:val="single" w:sz="6" w:space="0" w:color="auto"/>
              <w:bottom w:val="single" w:sz="6" w:space="0" w:color="auto"/>
              <w:right w:val="single" w:sz="6" w:space="0" w:color="auto"/>
            </w:tcBorders>
          </w:tcPr>
          <w:p w14:paraId="758CE197" w14:textId="77777777" w:rsidR="00A74CDF" w:rsidRPr="00F01347" w:rsidRDefault="00A74CDF" w:rsidP="003A601B">
            <w:pPr>
              <w:pStyle w:val="texto0"/>
              <w:spacing w:line="240" w:lineRule="exact"/>
              <w:ind w:firstLine="0"/>
              <w:jc w:val="center"/>
              <w:rPr>
                <w:rFonts w:ascii="Verdana" w:hAnsi="Verdana"/>
                <w:sz w:val="16"/>
                <w:szCs w:val="16"/>
              </w:rPr>
            </w:pPr>
            <w:r w:rsidRPr="00F01347">
              <w:rPr>
                <w:rFonts w:ascii="Verdana" w:hAnsi="Verdana"/>
                <w:sz w:val="16"/>
                <w:szCs w:val="16"/>
              </w:rPr>
              <w:t>3.0</w:t>
            </w:r>
          </w:p>
        </w:tc>
      </w:tr>
    </w:tbl>
    <w:p w14:paraId="1D2DE7C8" w14:textId="77777777" w:rsidR="00204B58" w:rsidRPr="00F01347" w:rsidRDefault="00204B58" w:rsidP="003A601B">
      <w:pPr>
        <w:pStyle w:val="texto0"/>
        <w:rPr>
          <w:rFonts w:ascii="Verdana" w:hAnsi="Verdana"/>
          <w:b/>
          <w:sz w:val="16"/>
          <w:szCs w:val="16"/>
        </w:rPr>
      </w:pPr>
    </w:p>
    <w:p w14:paraId="67139917" w14:textId="584298AD" w:rsidR="00D5301A" w:rsidRPr="00F01347" w:rsidRDefault="00D5301A" w:rsidP="00D5301A">
      <w:pPr>
        <w:pStyle w:val="texto0"/>
        <w:spacing w:line="260" w:lineRule="exact"/>
        <w:rPr>
          <w:rFonts w:ascii="Verdana" w:hAnsi="Verdana"/>
          <w:sz w:val="16"/>
          <w:szCs w:val="16"/>
          <w:lang w:val="en"/>
        </w:rPr>
      </w:pPr>
      <w:r w:rsidRPr="00F01347">
        <w:rPr>
          <w:rFonts w:ascii="Verdana" w:hAnsi="Verdana"/>
          <w:b/>
          <w:sz w:val="16"/>
          <w:szCs w:val="16"/>
          <w:lang w:val="en-US"/>
        </w:rPr>
        <w:t>Table B.1.3-3</w:t>
      </w:r>
      <w:r w:rsidR="003E1BA9" w:rsidRPr="00F01347">
        <w:rPr>
          <w:rFonts w:ascii="Verdana" w:hAnsi="Verdana"/>
          <w:b/>
          <w:sz w:val="16"/>
          <w:szCs w:val="16"/>
          <w:lang w:val="en-US"/>
        </w:rPr>
        <w:t>.</w:t>
      </w:r>
      <w:r w:rsidRPr="00F01347">
        <w:rPr>
          <w:rFonts w:ascii="Verdana" w:hAnsi="Verdana"/>
          <w:sz w:val="16"/>
          <w:szCs w:val="16"/>
          <w:lang w:val="en-US"/>
        </w:rPr>
        <w:t xml:space="preserve"> Pipetting scheme for mixed microcystin standard solutions</w:t>
      </w:r>
    </w:p>
    <w:tbl>
      <w:tblPr>
        <w:tblW w:w="8715" w:type="dxa"/>
        <w:tblInd w:w="144" w:type="dxa"/>
        <w:tblLayout w:type="fixed"/>
        <w:tblCellMar>
          <w:left w:w="72" w:type="dxa"/>
          <w:right w:w="72" w:type="dxa"/>
        </w:tblCellMar>
        <w:tblLook w:val="04A0" w:firstRow="1" w:lastRow="0" w:firstColumn="1" w:lastColumn="0" w:noHBand="0" w:noVBand="1"/>
      </w:tblPr>
      <w:tblGrid>
        <w:gridCol w:w="902"/>
        <w:gridCol w:w="2257"/>
        <w:gridCol w:w="3049"/>
        <w:gridCol w:w="836"/>
        <w:gridCol w:w="835"/>
        <w:gridCol w:w="836"/>
      </w:tblGrid>
      <w:tr w:rsidR="00D5301A" w:rsidRPr="00F01347" w14:paraId="7CA05BB9" w14:textId="77777777" w:rsidTr="00D5301A">
        <w:trPr>
          <w:trHeight w:val="20"/>
        </w:trPr>
        <w:tc>
          <w:tcPr>
            <w:tcW w:w="904" w:type="dxa"/>
            <w:vMerge w:val="restart"/>
            <w:tcBorders>
              <w:top w:val="single" w:sz="6" w:space="0" w:color="auto"/>
              <w:left w:val="single" w:sz="6" w:space="0" w:color="auto"/>
              <w:bottom w:val="single" w:sz="6" w:space="0" w:color="auto"/>
              <w:right w:val="single" w:sz="6" w:space="0" w:color="auto"/>
            </w:tcBorders>
            <w:noWrap/>
            <w:hideMark/>
          </w:tcPr>
          <w:p w14:paraId="75E4FEDD"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 xml:space="preserve">Standard </w:t>
            </w:r>
            <w:proofErr w:type="spellStart"/>
            <w:r w:rsidRPr="00F01347">
              <w:rPr>
                <w:rFonts w:ascii="Verdana" w:hAnsi="Verdana"/>
                <w:sz w:val="16"/>
                <w:szCs w:val="16"/>
              </w:rPr>
              <w:t>solution</w:t>
            </w:r>
            <w:proofErr w:type="spellEnd"/>
          </w:p>
        </w:tc>
        <w:tc>
          <w:tcPr>
            <w:tcW w:w="2264" w:type="dxa"/>
            <w:vMerge w:val="restart"/>
            <w:tcBorders>
              <w:top w:val="single" w:sz="6" w:space="0" w:color="auto"/>
              <w:left w:val="single" w:sz="6" w:space="0" w:color="auto"/>
              <w:bottom w:val="single" w:sz="6" w:space="0" w:color="auto"/>
              <w:right w:val="single" w:sz="6" w:space="0" w:color="auto"/>
            </w:tcBorders>
            <w:hideMark/>
          </w:tcPr>
          <w:p w14:paraId="6D12599F" w14:textId="77777777" w:rsidR="00D5301A" w:rsidRPr="00F01347" w:rsidRDefault="00D5301A">
            <w:pPr>
              <w:pStyle w:val="texto0"/>
              <w:spacing w:line="240" w:lineRule="exact"/>
              <w:ind w:firstLine="0"/>
              <w:jc w:val="center"/>
              <w:rPr>
                <w:rFonts w:ascii="Verdana" w:hAnsi="Verdana"/>
                <w:sz w:val="16"/>
                <w:szCs w:val="16"/>
                <w:lang w:val="en-US"/>
              </w:rPr>
            </w:pPr>
            <w:r w:rsidRPr="00F01347">
              <w:rPr>
                <w:rFonts w:ascii="Verdana" w:hAnsi="Verdana"/>
                <w:sz w:val="16"/>
                <w:szCs w:val="16"/>
                <w:lang w:val="en-US"/>
              </w:rPr>
              <w:t>Withdrawal volume of each microcystin solution (MC- LR, MC -YR, MC-RR)</w:t>
            </w:r>
          </w:p>
          <w:p w14:paraId="740513FB"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(µl)</w:t>
            </w:r>
          </w:p>
        </w:tc>
        <w:tc>
          <w:tcPr>
            <w:tcW w:w="3060" w:type="dxa"/>
            <w:vMerge w:val="restart"/>
            <w:tcBorders>
              <w:top w:val="single" w:sz="6" w:space="0" w:color="auto"/>
              <w:left w:val="single" w:sz="6" w:space="0" w:color="auto"/>
              <w:bottom w:val="single" w:sz="6" w:space="0" w:color="auto"/>
              <w:right w:val="single" w:sz="6" w:space="0" w:color="auto"/>
            </w:tcBorders>
            <w:hideMark/>
          </w:tcPr>
          <w:p w14:paraId="01DC81B1" w14:textId="77777777" w:rsidR="00D5301A" w:rsidRPr="00F01347" w:rsidRDefault="00D5301A">
            <w:pPr>
              <w:pStyle w:val="texto0"/>
              <w:spacing w:line="240" w:lineRule="exact"/>
              <w:ind w:firstLine="0"/>
              <w:jc w:val="center"/>
              <w:rPr>
                <w:rFonts w:ascii="Verdana" w:hAnsi="Verdana"/>
                <w:sz w:val="16"/>
                <w:szCs w:val="16"/>
                <w:lang w:val="en-US"/>
              </w:rPr>
            </w:pPr>
            <w:r w:rsidRPr="00F01347">
              <w:rPr>
                <w:rFonts w:ascii="Verdana" w:hAnsi="Verdana"/>
                <w:sz w:val="16"/>
                <w:szCs w:val="16"/>
                <w:lang w:val="en-US"/>
              </w:rPr>
              <w:t xml:space="preserve">Volume of standard solution for dilution to add to reach a final volume of </w:t>
            </w:r>
            <w:proofErr w:type="gramStart"/>
            <w:r w:rsidRPr="00F01347">
              <w:rPr>
                <w:rFonts w:ascii="Verdana" w:hAnsi="Verdana"/>
                <w:sz w:val="16"/>
                <w:szCs w:val="16"/>
                <w:lang w:val="en-US"/>
              </w:rPr>
              <w:t>1000µl</w:t>
            </w:r>
            <w:proofErr w:type="gramEnd"/>
          </w:p>
          <w:p w14:paraId="0368205F"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(µl)</w:t>
            </w:r>
          </w:p>
        </w:tc>
        <w:tc>
          <w:tcPr>
            <w:tcW w:w="2516" w:type="dxa"/>
            <w:gridSpan w:val="3"/>
            <w:tcBorders>
              <w:top w:val="single" w:sz="6" w:space="0" w:color="auto"/>
              <w:left w:val="single" w:sz="6" w:space="0" w:color="auto"/>
              <w:bottom w:val="single" w:sz="6" w:space="0" w:color="auto"/>
              <w:right w:val="single" w:sz="6" w:space="0" w:color="auto"/>
            </w:tcBorders>
            <w:hideMark/>
          </w:tcPr>
          <w:p w14:paraId="4CAE916A" w14:textId="77777777" w:rsidR="00D5301A" w:rsidRPr="00F01347" w:rsidRDefault="00D5301A">
            <w:pPr>
              <w:pStyle w:val="texto0"/>
              <w:spacing w:line="240" w:lineRule="exact"/>
              <w:ind w:firstLine="0"/>
              <w:jc w:val="center"/>
              <w:rPr>
                <w:rFonts w:ascii="Verdana" w:hAnsi="Verdana"/>
                <w:sz w:val="16"/>
                <w:szCs w:val="16"/>
                <w:lang w:val="en-US"/>
              </w:rPr>
            </w:pPr>
            <w:r w:rsidRPr="00F01347">
              <w:rPr>
                <w:rFonts w:ascii="Verdana" w:hAnsi="Verdana"/>
                <w:sz w:val="16"/>
                <w:szCs w:val="16"/>
                <w:lang w:val="en-US"/>
              </w:rPr>
              <w:t>Standard solution concentration</w:t>
            </w:r>
          </w:p>
          <w:p w14:paraId="600D631E" w14:textId="08D6839E" w:rsidR="00D5301A" w:rsidRPr="00F01347" w:rsidRDefault="00CB209C">
            <w:pPr>
              <w:pStyle w:val="texto0"/>
              <w:spacing w:line="240" w:lineRule="exact"/>
              <w:ind w:firstLine="0"/>
              <w:jc w:val="center"/>
              <w:rPr>
                <w:rFonts w:ascii="Verdana" w:hAnsi="Verdana"/>
                <w:sz w:val="16"/>
                <w:szCs w:val="16"/>
                <w:lang w:val="en-US"/>
              </w:rPr>
            </w:pPr>
            <w:r w:rsidRPr="00F01347">
              <w:rPr>
                <w:rFonts w:ascii="Verdana" w:hAnsi="Verdana"/>
                <w:sz w:val="16"/>
                <w:szCs w:val="16"/>
                <w:lang w:val="en-US"/>
              </w:rPr>
              <w:t>(</w:t>
            </w:r>
            <w:r w:rsidR="00D5301A" w:rsidRPr="00F01347">
              <w:rPr>
                <w:rFonts w:ascii="Verdana" w:hAnsi="Verdana"/>
                <w:sz w:val="16"/>
                <w:szCs w:val="16"/>
                <w:lang w:val="en-US" w:eastAsia="es-MX"/>
              </w:rPr>
              <w:t xml:space="preserve">µg </w:t>
            </w:r>
            <w:r w:rsidR="00D5301A" w:rsidRPr="00F01347">
              <w:rPr>
                <w:rFonts w:ascii="Verdana" w:hAnsi="Verdana"/>
                <w:sz w:val="16"/>
                <w:szCs w:val="16"/>
                <w:lang w:val="en-US"/>
              </w:rPr>
              <w:t>/ mL</w:t>
            </w:r>
            <w:r w:rsidR="00913802" w:rsidRPr="00F01347">
              <w:rPr>
                <w:rFonts w:ascii="Verdana" w:hAnsi="Verdana"/>
                <w:sz w:val="16"/>
                <w:szCs w:val="16"/>
                <w:lang w:val="en-US"/>
              </w:rPr>
              <w:t>)</w:t>
            </w:r>
          </w:p>
        </w:tc>
      </w:tr>
      <w:tr w:rsidR="00D5301A" w:rsidRPr="00F01347" w14:paraId="29CAA47F" w14:textId="77777777" w:rsidTr="00D5301A">
        <w:trPr>
          <w:trHeight w:val="20"/>
        </w:trPr>
        <w:tc>
          <w:tcPr>
            <w:tcW w:w="904" w:type="dxa"/>
            <w:vMerge/>
            <w:tcBorders>
              <w:top w:val="single" w:sz="6" w:space="0" w:color="auto"/>
              <w:left w:val="single" w:sz="6" w:space="0" w:color="auto"/>
              <w:bottom w:val="single" w:sz="6" w:space="0" w:color="auto"/>
              <w:right w:val="single" w:sz="6" w:space="0" w:color="auto"/>
            </w:tcBorders>
            <w:vAlign w:val="center"/>
            <w:hideMark/>
          </w:tcPr>
          <w:p w14:paraId="2EEBC2A4" w14:textId="77777777" w:rsidR="00D5301A" w:rsidRPr="00F01347" w:rsidRDefault="00D5301A">
            <w:pPr>
              <w:rPr>
                <w:rFonts w:ascii="Verdana" w:hAnsi="Verdana" w:cs="Arial"/>
                <w:sz w:val="16"/>
                <w:szCs w:val="16"/>
                <w:lang w:val="en"/>
              </w:rPr>
            </w:pPr>
          </w:p>
        </w:tc>
        <w:tc>
          <w:tcPr>
            <w:tcW w:w="2264" w:type="dxa"/>
            <w:vMerge/>
            <w:tcBorders>
              <w:top w:val="single" w:sz="6" w:space="0" w:color="auto"/>
              <w:left w:val="single" w:sz="6" w:space="0" w:color="auto"/>
              <w:bottom w:val="single" w:sz="6" w:space="0" w:color="auto"/>
              <w:right w:val="single" w:sz="6" w:space="0" w:color="auto"/>
            </w:tcBorders>
            <w:vAlign w:val="center"/>
            <w:hideMark/>
          </w:tcPr>
          <w:p w14:paraId="2596DFED" w14:textId="77777777" w:rsidR="00D5301A" w:rsidRPr="00F01347" w:rsidRDefault="00D5301A">
            <w:pPr>
              <w:rPr>
                <w:rFonts w:ascii="Verdana" w:hAnsi="Verdana" w:cs="Arial"/>
                <w:sz w:val="16"/>
                <w:szCs w:val="16"/>
                <w:lang w:val="en"/>
              </w:rPr>
            </w:pPr>
          </w:p>
        </w:tc>
        <w:tc>
          <w:tcPr>
            <w:tcW w:w="3060" w:type="dxa"/>
            <w:vMerge/>
            <w:tcBorders>
              <w:top w:val="single" w:sz="6" w:space="0" w:color="auto"/>
              <w:left w:val="single" w:sz="6" w:space="0" w:color="auto"/>
              <w:bottom w:val="single" w:sz="6" w:space="0" w:color="auto"/>
              <w:right w:val="single" w:sz="6" w:space="0" w:color="auto"/>
            </w:tcBorders>
            <w:vAlign w:val="center"/>
            <w:hideMark/>
          </w:tcPr>
          <w:p w14:paraId="2819527A" w14:textId="77777777" w:rsidR="00D5301A" w:rsidRPr="00F01347" w:rsidRDefault="00D5301A">
            <w:pPr>
              <w:rPr>
                <w:rFonts w:ascii="Verdana" w:hAnsi="Verdana" w:cs="Arial"/>
                <w:sz w:val="16"/>
                <w:szCs w:val="16"/>
                <w:lang w:val="en"/>
              </w:rPr>
            </w:pPr>
          </w:p>
        </w:tc>
        <w:tc>
          <w:tcPr>
            <w:tcW w:w="839" w:type="dxa"/>
            <w:tcBorders>
              <w:top w:val="single" w:sz="6" w:space="0" w:color="auto"/>
              <w:left w:val="single" w:sz="6" w:space="0" w:color="auto"/>
              <w:bottom w:val="single" w:sz="6" w:space="0" w:color="auto"/>
              <w:right w:val="single" w:sz="6" w:space="0" w:color="auto"/>
            </w:tcBorders>
            <w:hideMark/>
          </w:tcPr>
          <w:p w14:paraId="6E7DE1D1"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MC-LR</w:t>
            </w:r>
          </w:p>
        </w:tc>
        <w:tc>
          <w:tcPr>
            <w:tcW w:w="838" w:type="dxa"/>
            <w:tcBorders>
              <w:top w:val="single" w:sz="6" w:space="0" w:color="auto"/>
              <w:left w:val="single" w:sz="6" w:space="0" w:color="auto"/>
              <w:bottom w:val="single" w:sz="6" w:space="0" w:color="auto"/>
              <w:right w:val="single" w:sz="6" w:space="0" w:color="auto"/>
            </w:tcBorders>
            <w:hideMark/>
          </w:tcPr>
          <w:p w14:paraId="6E4D0469"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MC-YR</w:t>
            </w:r>
          </w:p>
        </w:tc>
        <w:tc>
          <w:tcPr>
            <w:tcW w:w="839" w:type="dxa"/>
            <w:tcBorders>
              <w:top w:val="single" w:sz="6" w:space="0" w:color="auto"/>
              <w:left w:val="single" w:sz="6" w:space="0" w:color="auto"/>
              <w:bottom w:val="single" w:sz="6" w:space="0" w:color="auto"/>
              <w:right w:val="single" w:sz="6" w:space="0" w:color="auto"/>
            </w:tcBorders>
            <w:hideMark/>
          </w:tcPr>
          <w:p w14:paraId="1BAF2928"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MC-RR</w:t>
            </w:r>
          </w:p>
        </w:tc>
      </w:tr>
      <w:tr w:rsidR="00D5301A" w:rsidRPr="00F01347" w14:paraId="66338478" w14:textId="77777777" w:rsidTr="00D5301A">
        <w:trPr>
          <w:trHeight w:val="20"/>
        </w:trPr>
        <w:tc>
          <w:tcPr>
            <w:tcW w:w="904" w:type="dxa"/>
            <w:tcBorders>
              <w:top w:val="single" w:sz="6" w:space="0" w:color="auto"/>
              <w:left w:val="single" w:sz="6" w:space="0" w:color="auto"/>
              <w:bottom w:val="single" w:sz="6" w:space="0" w:color="auto"/>
              <w:right w:val="single" w:sz="6" w:space="0" w:color="auto"/>
            </w:tcBorders>
            <w:hideMark/>
          </w:tcPr>
          <w:p w14:paraId="5E15621E"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1</w:t>
            </w:r>
          </w:p>
        </w:tc>
        <w:tc>
          <w:tcPr>
            <w:tcW w:w="2264" w:type="dxa"/>
            <w:tcBorders>
              <w:top w:val="single" w:sz="6" w:space="0" w:color="auto"/>
              <w:left w:val="single" w:sz="6" w:space="0" w:color="auto"/>
              <w:bottom w:val="single" w:sz="6" w:space="0" w:color="auto"/>
              <w:right w:val="single" w:sz="6" w:space="0" w:color="auto"/>
            </w:tcBorders>
            <w:hideMark/>
          </w:tcPr>
          <w:p w14:paraId="75620BC3" w14:textId="184BC06A" w:rsidR="00D5301A" w:rsidRPr="00F01347" w:rsidRDefault="002E7300">
            <w:pPr>
              <w:pStyle w:val="texto0"/>
              <w:spacing w:line="240" w:lineRule="exact"/>
              <w:ind w:firstLine="0"/>
              <w:jc w:val="center"/>
              <w:rPr>
                <w:rFonts w:ascii="Verdana" w:hAnsi="Verdana"/>
                <w:sz w:val="16"/>
                <w:szCs w:val="16"/>
              </w:rPr>
            </w:pPr>
            <w:r w:rsidRPr="00F01347">
              <w:rPr>
                <w:rFonts w:ascii="Verdana" w:hAnsi="Verdana"/>
                <w:sz w:val="16"/>
                <w:szCs w:val="16"/>
              </w:rPr>
              <w:t>20</w:t>
            </w:r>
          </w:p>
        </w:tc>
        <w:tc>
          <w:tcPr>
            <w:tcW w:w="3060" w:type="dxa"/>
            <w:tcBorders>
              <w:top w:val="single" w:sz="6" w:space="0" w:color="auto"/>
              <w:left w:val="single" w:sz="6" w:space="0" w:color="auto"/>
              <w:bottom w:val="single" w:sz="6" w:space="0" w:color="auto"/>
              <w:right w:val="single" w:sz="6" w:space="0" w:color="auto"/>
            </w:tcBorders>
            <w:hideMark/>
          </w:tcPr>
          <w:p w14:paraId="4D6A2323"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940</w:t>
            </w:r>
          </w:p>
        </w:tc>
        <w:tc>
          <w:tcPr>
            <w:tcW w:w="839" w:type="dxa"/>
            <w:tcBorders>
              <w:top w:val="single" w:sz="6" w:space="0" w:color="auto"/>
              <w:left w:val="single" w:sz="6" w:space="0" w:color="auto"/>
              <w:bottom w:val="single" w:sz="6" w:space="0" w:color="auto"/>
              <w:right w:val="single" w:sz="6" w:space="0" w:color="auto"/>
            </w:tcBorders>
            <w:hideMark/>
          </w:tcPr>
          <w:p w14:paraId="7BD2D3BF"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0.2</w:t>
            </w:r>
          </w:p>
        </w:tc>
        <w:tc>
          <w:tcPr>
            <w:tcW w:w="838" w:type="dxa"/>
            <w:tcBorders>
              <w:top w:val="single" w:sz="6" w:space="0" w:color="auto"/>
              <w:left w:val="single" w:sz="6" w:space="0" w:color="auto"/>
              <w:bottom w:val="single" w:sz="6" w:space="0" w:color="auto"/>
              <w:right w:val="single" w:sz="6" w:space="0" w:color="auto"/>
            </w:tcBorders>
            <w:hideMark/>
          </w:tcPr>
          <w:p w14:paraId="62124504"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0.2</w:t>
            </w:r>
          </w:p>
        </w:tc>
        <w:tc>
          <w:tcPr>
            <w:tcW w:w="839" w:type="dxa"/>
            <w:tcBorders>
              <w:top w:val="single" w:sz="6" w:space="0" w:color="auto"/>
              <w:left w:val="single" w:sz="6" w:space="0" w:color="auto"/>
              <w:bottom w:val="single" w:sz="6" w:space="0" w:color="auto"/>
              <w:right w:val="single" w:sz="6" w:space="0" w:color="auto"/>
            </w:tcBorders>
            <w:hideMark/>
          </w:tcPr>
          <w:p w14:paraId="71EE8364"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0.2</w:t>
            </w:r>
          </w:p>
        </w:tc>
      </w:tr>
      <w:tr w:rsidR="00D5301A" w:rsidRPr="00F01347" w14:paraId="398CFA54" w14:textId="77777777" w:rsidTr="00D5301A">
        <w:trPr>
          <w:trHeight w:val="20"/>
        </w:trPr>
        <w:tc>
          <w:tcPr>
            <w:tcW w:w="904" w:type="dxa"/>
            <w:tcBorders>
              <w:top w:val="single" w:sz="6" w:space="0" w:color="auto"/>
              <w:left w:val="single" w:sz="6" w:space="0" w:color="auto"/>
              <w:bottom w:val="single" w:sz="6" w:space="0" w:color="auto"/>
              <w:right w:val="single" w:sz="6" w:space="0" w:color="auto"/>
            </w:tcBorders>
            <w:hideMark/>
          </w:tcPr>
          <w:p w14:paraId="616DD439"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2</w:t>
            </w:r>
          </w:p>
        </w:tc>
        <w:tc>
          <w:tcPr>
            <w:tcW w:w="2264" w:type="dxa"/>
            <w:tcBorders>
              <w:top w:val="single" w:sz="6" w:space="0" w:color="auto"/>
              <w:left w:val="single" w:sz="6" w:space="0" w:color="auto"/>
              <w:bottom w:val="single" w:sz="6" w:space="0" w:color="auto"/>
              <w:right w:val="single" w:sz="6" w:space="0" w:color="auto"/>
            </w:tcBorders>
            <w:hideMark/>
          </w:tcPr>
          <w:p w14:paraId="4D73665F"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40</w:t>
            </w:r>
          </w:p>
        </w:tc>
        <w:tc>
          <w:tcPr>
            <w:tcW w:w="3060" w:type="dxa"/>
            <w:tcBorders>
              <w:top w:val="single" w:sz="6" w:space="0" w:color="auto"/>
              <w:left w:val="single" w:sz="6" w:space="0" w:color="auto"/>
              <w:bottom w:val="single" w:sz="6" w:space="0" w:color="auto"/>
              <w:right w:val="single" w:sz="6" w:space="0" w:color="auto"/>
            </w:tcBorders>
            <w:hideMark/>
          </w:tcPr>
          <w:p w14:paraId="5F2B3848"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880</w:t>
            </w:r>
          </w:p>
        </w:tc>
        <w:tc>
          <w:tcPr>
            <w:tcW w:w="839" w:type="dxa"/>
            <w:tcBorders>
              <w:top w:val="single" w:sz="6" w:space="0" w:color="auto"/>
              <w:left w:val="single" w:sz="6" w:space="0" w:color="auto"/>
              <w:bottom w:val="single" w:sz="6" w:space="0" w:color="auto"/>
              <w:right w:val="single" w:sz="6" w:space="0" w:color="auto"/>
            </w:tcBorders>
            <w:hideMark/>
          </w:tcPr>
          <w:p w14:paraId="181AFFF8"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0.4</w:t>
            </w:r>
          </w:p>
        </w:tc>
        <w:tc>
          <w:tcPr>
            <w:tcW w:w="838" w:type="dxa"/>
            <w:tcBorders>
              <w:top w:val="single" w:sz="6" w:space="0" w:color="auto"/>
              <w:left w:val="single" w:sz="6" w:space="0" w:color="auto"/>
              <w:bottom w:val="single" w:sz="6" w:space="0" w:color="auto"/>
              <w:right w:val="single" w:sz="6" w:space="0" w:color="auto"/>
            </w:tcBorders>
            <w:hideMark/>
          </w:tcPr>
          <w:p w14:paraId="5EDA9074"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0.4</w:t>
            </w:r>
          </w:p>
        </w:tc>
        <w:tc>
          <w:tcPr>
            <w:tcW w:w="839" w:type="dxa"/>
            <w:tcBorders>
              <w:top w:val="single" w:sz="6" w:space="0" w:color="auto"/>
              <w:left w:val="single" w:sz="6" w:space="0" w:color="auto"/>
              <w:bottom w:val="single" w:sz="6" w:space="0" w:color="auto"/>
              <w:right w:val="single" w:sz="6" w:space="0" w:color="auto"/>
            </w:tcBorders>
            <w:hideMark/>
          </w:tcPr>
          <w:p w14:paraId="01E4974C"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0.4</w:t>
            </w:r>
          </w:p>
        </w:tc>
      </w:tr>
      <w:tr w:rsidR="00D5301A" w:rsidRPr="00F01347" w14:paraId="01460834" w14:textId="77777777" w:rsidTr="00D5301A">
        <w:trPr>
          <w:trHeight w:val="20"/>
        </w:trPr>
        <w:tc>
          <w:tcPr>
            <w:tcW w:w="904" w:type="dxa"/>
            <w:tcBorders>
              <w:top w:val="single" w:sz="6" w:space="0" w:color="auto"/>
              <w:left w:val="single" w:sz="6" w:space="0" w:color="auto"/>
              <w:bottom w:val="single" w:sz="6" w:space="0" w:color="auto"/>
              <w:right w:val="single" w:sz="6" w:space="0" w:color="auto"/>
            </w:tcBorders>
            <w:hideMark/>
          </w:tcPr>
          <w:p w14:paraId="706C3970"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3</w:t>
            </w:r>
          </w:p>
        </w:tc>
        <w:tc>
          <w:tcPr>
            <w:tcW w:w="2264" w:type="dxa"/>
            <w:tcBorders>
              <w:top w:val="single" w:sz="6" w:space="0" w:color="auto"/>
              <w:left w:val="single" w:sz="6" w:space="0" w:color="auto"/>
              <w:bottom w:val="single" w:sz="6" w:space="0" w:color="auto"/>
              <w:right w:val="single" w:sz="6" w:space="0" w:color="auto"/>
            </w:tcBorders>
            <w:hideMark/>
          </w:tcPr>
          <w:p w14:paraId="02E47521"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100</w:t>
            </w:r>
          </w:p>
        </w:tc>
        <w:tc>
          <w:tcPr>
            <w:tcW w:w="3060" w:type="dxa"/>
            <w:tcBorders>
              <w:top w:val="single" w:sz="6" w:space="0" w:color="auto"/>
              <w:left w:val="single" w:sz="6" w:space="0" w:color="auto"/>
              <w:bottom w:val="single" w:sz="6" w:space="0" w:color="auto"/>
              <w:right w:val="single" w:sz="6" w:space="0" w:color="auto"/>
            </w:tcBorders>
            <w:hideMark/>
          </w:tcPr>
          <w:p w14:paraId="116E14C9"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700</w:t>
            </w:r>
          </w:p>
        </w:tc>
        <w:tc>
          <w:tcPr>
            <w:tcW w:w="839" w:type="dxa"/>
            <w:tcBorders>
              <w:top w:val="single" w:sz="6" w:space="0" w:color="auto"/>
              <w:left w:val="single" w:sz="6" w:space="0" w:color="auto"/>
              <w:bottom w:val="single" w:sz="6" w:space="0" w:color="auto"/>
              <w:right w:val="single" w:sz="6" w:space="0" w:color="auto"/>
            </w:tcBorders>
            <w:hideMark/>
          </w:tcPr>
          <w:p w14:paraId="4720136D"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1.0</w:t>
            </w:r>
          </w:p>
        </w:tc>
        <w:tc>
          <w:tcPr>
            <w:tcW w:w="838" w:type="dxa"/>
            <w:tcBorders>
              <w:top w:val="single" w:sz="6" w:space="0" w:color="auto"/>
              <w:left w:val="single" w:sz="6" w:space="0" w:color="auto"/>
              <w:bottom w:val="single" w:sz="6" w:space="0" w:color="auto"/>
              <w:right w:val="single" w:sz="6" w:space="0" w:color="auto"/>
            </w:tcBorders>
            <w:hideMark/>
          </w:tcPr>
          <w:p w14:paraId="3496141D"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1.0</w:t>
            </w:r>
          </w:p>
        </w:tc>
        <w:tc>
          <w:tcPr>
            <w:tcW w:w="839" w:type="dxa"/>
            <w:tcBorders>
              <w:top w:val="single" w:sz="6" w:space="0" w:color="auto"/>
              <w:left w:val="single" w:sz="6" w:space="0" w:color="auto"/>
              <w:bottom w:val="single" w:sz="6" w:space="0" w:color="auto"/>
              <w:right w:val="single" w:sz="6" w:space="0" w:color="auto"/>
            </w:tcBorders>
            <w:hideMark/>
          </w:tcPr>
          <w:p w14:paraId="7C8E7C5D"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1.0</w:t>
            </w:r>
          </w:p>
        </w:tc>
      </w:tr>
      <w:tr w:rsidR="00D5301A" w:rsidRPr="00F01347" w14:paraId="4ED715C2" w14:textId="77777777" w:rsidTr="00D5301A">
        <w:trPr>
          <w:trHeight w:val="20"/>
        </w:trPr>
        <w:tc>
          <w:tcPr>
            <w:tcW w:w="904" w:type="dxa"/>
            <w:tcBorders>
              <w:top w:val="single" w:sz="6" w:space="0" w:color="auto"/>
              <w:left w:val="single" w:sz="6" w:space="0" w:color="auto"/>
              <w:bottom w:val="single" w:sz="6" w:space="0" w:color="auto"/>
              <w:right w:val="single" w:sz="6" w:space="0" w:color="auto"/>
            </w:tcBorders>
            <w:hideMark/>
          </w:tcPr>
          <w:p w14:paraId="76B575A6"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4</w:t>
            </w:r>
          </w:p>
        </w:tc>
        <w:tc>
          <w:tcPr>
            <w:tcW w:w="2264" w:type="dxa"/>
            <w:tcBorders>
              <w:top w:val="single" w:sz="6" w:space="0" w:color="auto"/>
              <w:left w:val="single" w:sz="6" w:space="0" w:color="auto"/>
              <w:bottom w:val="single" w:sz="6" w:space="0" w:color="auto"/>
              <w:right w:val="single" w:sz="6" w:space="0" w:color="auto"/>
            </w:tcBorders>
            <w:hideMark/>
          </w:tcPr>
          <w:p w14:paraId="2A6F5B71"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200</w:t>
            </w:r>
          </w:p>
        </w:tc>
        <w:tc>
          <w:tcPr>
            <w:tcW w:w="3060" w:type="dxa"/>
            <w:tcBorders>
              <w:top w:val="single" w:sz="6" w:space="0" w:color="auto"/>
              <w:left w:val="single" w:sz="6" w:space="0" w:color="auto"/>
              <w:bottom w:val="single" w:sz="6" w:space="0" w:color="auto"/>
              <w:right w:val="single" w:sz="6" w:space="0" w:color="auto"/>
            </w:tcBorders>
            <w:hideMark/>
          </w:tcPr>
          <w:p w14:paraId="0D13BFEB"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400</w:t>
            </w:r>
          </w:p>
        </w:tc>
        <w:tc>
          <w:tcPr>
            <w:tcW w:w="839" w:type="dxa"/>
            <w:tcBorders>
              <w:top w:val="single" w:sz="6" w:space="0" w:color="auto"/>
              <w:left w:val="single" w:sz="6" w:space="0" w:color="auto"/>
              <w:bottom w:val="single" w:sz="6" w:space="0" w:color="auto"/>
              <w:right w:val="single" w:sz="6" w:space="0" w:color="auto"/>
            </w:tcBorders>
            <w:hideMark/>
          </w:tcPr>
          <w:p w14:paraId="49B640E2"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2.0</w:t>
            </w:r>
          </w:p>
        </w:tc>
        <w:tc>
          <w:tcPr>
            <w:tcW w:w="838" w:type="dxa"/>
            <w:tcBorders>
              <w:top w:val="single" w:sz="6" w:space="0" w:color="auto"/>
              <w:left w:val="single" w:sz="6" w:space="0" w:color="auto"/>
              <w:bottom w:val="single" w:sz="6" w:space="0" w:color="auto"/>
              <w:right w:val="single" w:sz="6" w:space="0" w:color="auto"/>
            </w:tcBorders>
            <w:hideMark/>
          </w:tcPr>
          <w:p w14:paraId="6FE405E0"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2.0</w:t>
            </w:r>
          </w:p>
        </w:tc>
        <w:tc>
          <w:tcPr>
            <w:tcW w:w="839" w:type="dxa"/>
            <w:tcBorders>
              <w:top w:val="single" w:sz="6" w:space="0" w:color="auto"/>
              <w:left w:val="single" w:sz="6" w:space="0" w:color="auto"/>
              <w:bottom w:val="single" w:sz="6" w:space="0" w:color="auto"/>
              <w:right w:val="single" w:sz="6" w:space="0" w:color="auto"/>
            </w:tcBorders>
            <w:hideMark/>
          </w:tcPr>
          <w:p w14:paraId="19C2522C"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2.0</w:t>
            </w:r>
          </w:p>
        </w:tc>
      </w:tr>
      <w:tr w:rsidR="00D5301A" w:rsidRPr="00F01347" w14:paraId="7E730DD9" w14:textId="77777777" w:rsidTr="00D5301A">
        <w:trPr>
          <w:trHeight w:val="20"/>
        </w:trPr>
        <w:tc>
          <w:tcPr>
            <w:tcW w:w="904" w:type="dxa"/>
            <w:tcBorders>
              <w:top w:val="single" w:sz="6" w:space="0" w:color="auto"/>
              <w:left w:val="single" w:sz="6" w:space="0" w:color="auto"/>
              <w:bottom w:val="single" w:sz="6" w:space="0" w:color="auto"/>
              <w:right w:val="single" w:sz="6" w:space="0" w:color="auto"/>
            </w:tcBorders>
            <w:hideMark/>
          </w:tcPr>
          <w:p w14:paraId="2C6AA106"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5</w:t>
            </w:r>
          </w:p>
        </w:tc>
        <w:tc>
          <w:tcPr>
            <w:tcW w:w="2264" w:type="dxa"/>
            <w:tcBorders>
              <w:top w:val="single" w:sz="6" w:space="0" w:color="auto"/>
              <w:left w:val="single" w:sz="6" w:space="0" w:color="auto"/>
              <w:bottom w:val="single" w:sz="6" w:space="0" w:color="auto"/>
              <w:right w:val="single" w:sz="6" w:space="0" w:color="auto"/>
            </w:tcBorders>
            <w:hideMark/>
          </w:tcPr>
          <w:p w14:paraId="11B02C17"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300</w:t>
            </w:r>
          </w:p>
        </w:tc>
        <w:tc>
          <w:tcPr>
            <w:tcW w:w="3060" w:type="dxa"/>
            <w:tcBorders>
              <w:top w:val="single" w:sz="6" w:space="0" w:color="auto"/>
              <w:left w:val="single" w:sz="6" w:space="0" w:color="auto"/>
              <w:bottom w:val="single" w:sz="6" w:space="0" w:color="auto"/>
              <w:right w:val="single" w:sz="6" w:space="0" w:color="auto"/>
            </w:tcBorders>
            <w:hideMark/>
          </w:tcPr>
          <w:p w14:paraId="2E9817B8"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100</w:t>
            </w:r>
          </w:p>
        </w:tc>
        <w:tc>
          <w:tcPr>
            <w:tcW w:w="839" w:type="dxa"/>
            <w:tcBorders>
              <w:top w:val="single" w:sz="6" w:space="0" w:color="auto"/>
              <w:left w:val="single" w:sz="6" w:space="0" w:color="auto"/>
              <w:bottom w:val="single" w:sz="6" w:space="0" w:color="auto"/>
              <w:right w:val="single" w:sz="6" w:space="0" w:color="auto"/>
            </w:tcBorders>
            <w:hideMark/>
          </w:tcPr>
          <w:p w14:paraId="1BD2AB83"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3.0</w:t>
            </w:r>
          </w:p>
        </w:tc>
        <w:tc>
          <w:tcPr>
            <w:tcW w:w="838" w:type="dxa"/>
            <w:tcBorders>
              <w:top w:val="single" w:sz="6" w:space="0" w:color="auto"/>
              <w:left w:val="single" w:sz="6" w:space="0" w:color="auto"/>
              <w:bottom w:val="single" w:sz="6" w:space="0" w:color="auto"/>
              <w:right w:val="single" w:sz="6" w:space="0" w:color="auto"/>
            </w:tcBorders>
            <w:hideMark/>
          </w:tcPr>
          <w:p w14:paraId="7C0A86DF"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3.0</w:t>
            </w:r>
          </w:p>
        </w:tc>
        <w:tc>
          <w:tcPr>
            <w:tcW w:w="839" w:type="dxa"/>
            <w:tcBorders>
              <w:top w:val="single" w:sz="6" w:space="0" w:color="auto"/>
              <w:left w:val="single" w:sz="6" w:space="0" w:color="auto"/>
              <w:bottom w:val="single" w:sz="6" w:space="0" w:color="auto"/>
              <w:right w:val="single" w:sz="6" w:space="0" w:color="auto"/>
            </w:tcBorders>
            <w:hideMark/>
          </w:tcPr>
          <w:p w14:paraId="3AE50163" w14:textId="77777777" w:rsidR="00D5301A" w:rsidRPr="00F01347" w:rsidRDefault="00D5301A">
            <w:pPr>
              <w:pStyle w:val="texto0"/>
              <w:spacing w:line="240" w:lineRule="exact"/>
              <w:ind w:firstLine="0"/>
              <w:jc w:val="center"/>
              <w:rPr>
                <w:rFonts w:ascii="Verdana" w:hAnsi="Verdana"/>
                <w:sz w:val="16"/>
                <w:szCs w:val="16"/>
              </w:rPr>
            </w:pPr>
            <w:r w:rsidRPr="00F01347">
              <w:rPr>
                <w:rFonts w:ascii="Verdana" w:hAnsi="Verdana"/>
                <w:sz w:val="16"/>
                <w:szCs w:val="16"/>
              </w:rPr>
              <w:t>3.0</w:t>
            </w:r>
          </w:p>
        </w:tc>
      </w:tr>
    </w:tbl>
    <w:p w14:paraId="137F2BC9" w14:textId="77777777" w:rsidR="00D5301A" w:rsidRPr="00F01347" w:rsidRDefault="00D5301A" w:rsidP="003A601B">
      <w:pPr>
        <w:pStyle w:val="texto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5301A" w:rsidRPr="00F01347" w14:paraId="22F38CF6" w14:textId="6B6E2E41" w:rsidTr="00BE4B19">
        <w:tc>
          <w:tcPr>
            <w:tcW w:w="4675" w:type="dxa"/>
          </w:tcPr>
          <w:p w14:paraId="5168222A" w14:textId="77777777" w:rsidR="00D5301A" w:rsidRPr="00F01347" w:rsidRDefault="00D5301A" w:rsidP="00D5301A">
            <w:pPr>
              <w:pStyle w:val="texto0"/>
              <w:ind w:firstLine="0"/>
              <w:rPr>
                <w:rFonts w:ascii="Verdana" w:hAnsi="Verdana"/>
                <w:sz w:val="16"/>
                <w:szCs w:val="16"/>
              </w:rPr>
            </w:pPr>
            <w:r w:rsidRPr="00F01347">
              <w:rPr>
                <w:rFonts w:ascii="Verdana" w:hAnsi="Verdana"/>
                <w:b/>
                <w:sz w:val="16"/>
                <w:szCs w:val="16"/>
              </w:rPr>
              <w:t xml:space="preserve">Solución mixta de </w:t>
            </w:r>
            <w:proofErr w:type="spellStart"/>
            <w:r w:rsidRPr="00F01347">
              <w:rPr>
                <w:rFonts w:ascii="Verdana" w:hAnsi="Verdana"/>
                <w:b/>
                <w:sz w:val="16"/>
                <w:szCs w:val="16"/>
              </w:rPr>
              <w:t>microcistina</w:t>
            </w:r>
            <w:proofErr w:type="spellEnd"/>
            <w:r w:rsidRPr="00F01347">
              <w:rPr>
                <w:rFonts w:ascii="Verdana" w:hAnsi="Verdana"/>
                <w:b/>
                <w:sz w:val="16"/>
                <w:szCs w:val="16"/>
              </w:rPr>
              <w:t>.</w:t>
            </w:r>
            <w:r w:rsidRPr="00F01347">
              <w:rPr>
                <w:rFonts w:ascii="Verdana" w:hAnsi="Verdana"/>
                <w:sz w:val="16"/>
                <w:szCs w:val="16"/>
              </w:rPr>
              <w:t xml:space="preserve"> Preparar una solución estándar que contenga 2.5 µg/</w:t>
            </w:r>
            <w:proofErr w:type="spellStart"/>
            <w:r w:rsidRPr="00F01347">
              <w:rPr>
                <w:rFonts w:ascii="Verdana" w:hAnsi="Verdana"/>
                <w:sz w:val="16"/>
                <w:szCs w:val="16"/>
              </w:rPr>
              <w:t>mL</w:t>
            </w:r>
            <w:proofErr w:type="spellEnd"/>
            <w:r w:rsidRPr="00F01347">
              <w:rPr>
                <w:rFonts w:ascii="Verdana" w:hAnsi="Verdana"/>
                <w:sz w:val="16"/>
                <w:szCs w:val="16"/>
              </w:rPr>
              <w:t xml:space="preserve"> de cada </w:t>
            </w:r>
            <w:proofErr w:type="spellStart"/>
            <w:r w:rsidRPr="00F01347">
              <w:rPr>
                <w:rFonts w:ascii="Verdana" w:hAnsi="Verdana"/>
                <w:sz w:val="16"/>
                <w:szCs w:val="16"/>
              </w:rPr>
              <w:t>microcistina</w:t>
            </w:r>
            <w:proofErr w:type="spellEnd"/>
            <w:r w:rsidRPr="00F01347">
              <w:rPr>
                <w:rFonts w:ascii="Verdana" w:hAnsi="Verdana"/>
                <w:sz w:val="16"/>
                <w:szCs w:val="16"/>
              </w:rPr>
              <w:t xml:space="preserve"> (MC-LR, MC-YR, MC-RR) en la solución de dilución estándar. Almacenar por debajo de -16°C. Para evitar la incorporación de agua por la condensación, no abrir el frasco hasta que el contenido haya alcanzado la temperatura ambiente. Si la solución debe ser almacenada durante un largo periodo, use un frasco </w:t>
            </w:r>
            <w:r w:rsidRPr="00F01347">
              <w:rPr>
                <w:rFonts w:ascii="Verdana" w:hAnsi="Verdana"/>
                <w:sz w:val="16"/>
                <w:szCs w:val="16"/>
              </w:rPr>
              <w:lastRenderedPageBreak/>
              <w:t>hermético. En caso de duda, pesar el frasco y registrar cualquier cambio en la masa durante el almacenamiento.</w:t>
            </w:r>
          </w:p>
        </w:tc>
        <w:tc>
          <w:tcPr>
            <w:tcW w:w="4675" w:type="dxa"/>
          </w:tcPr>
          <w:p w14:paraId="7CF164FA" w14:textId="177BBF1D" w:rsidR="00D5301A" w:rsidRPr="00F01347" w:rsidRDefault="00D5301A" w:rsidP="00D5301A">
            <w:pPr>
              <w:pStyle w:val="texto0"/>
              <w:ind w:firstLine="0"/>
              <w:rPr>
                <w:rFonts w:ascii="Verdana" w:hAnsi="Verdana"/>
                <w:b/>
                <w:sz w:val="16"/>
                <w:szCs w:val="16"/>
                <w:lang w:val="en-US"/>
              </w:rPr>
            </w:pPr>
            <w:r w:rsidRPr="00F01347">
              <w:rPr>
                <w:rFonts w:ascii="Verdana" w:hAnsi="Verdana"/>
                <w:b/>
                <w:sz w:val="16"/>
                <w:szCs w:val="16"/>
                <w:lang w:val="en-US"/>
              </w:rPr>
              <w:lastRenderedPageBreak/>
              <w:t>Mixed microcystin solution</w:t>
            </w:r>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 xml:space="preserve">Prepare a standard solution containing 2.5 µg/ mL of each microcystin (MC-LR, MC-YR, MC-RR) in the standard dilution solution. Store below -16°C. To avoid the incorporation of water due to condensation, do not open the bottle until the contents have reached room temperature. If the solution must be stored for a long period, use an airtight </w:t>
            </w:r>
            <w:r w:rsidRPr="00F01347">
              <w:rPr>
                <w:rFonts w:ascii="Verdana" w:hAnsi="Verdana"/>
                <w:sz w:val="16"/>
                <w:szCs w:val="16"/>
                <w:lang w:val="en-US"/>
              </w:rPr>
              <w:lastRenderedPageBreak/>
              <w:t>bottle. If in doubt, weigh the jar and record any changes in mass during storage.</w:t>
            </w:r>
          </w:p>
        </w:tc>
      </w:tr>
      <w:tr w:rsidR="00D5301A" w:rsidRPr="00F01347" w14:paraId="0D625247" w14:textId="0BE6084D" w:rsidTr="00BE4B19">
        <w:tc>
          <w:tcPr>
            <w:tcW w:w="4675" w:type="dxa"/>
          </w:tcPr>
          <w:p w14:paraId="74737BD3" w14:textId="77777777" w:rsidR="00D5301A" w:rsidRPr="00F01347" w:rsidRDefault="00D5301A" w:rsidP="00D5301A">
            <w:pPr>
              <w:pStyle w:val="texto0"/>
              <w:ind w:firstLine="0"/>
              <w:rPr>
                <w:rFonts w:ascii="Verdana" w:hAnsi="Verdana"/>
                <w:b/>
                <w:sz w:val="16"/>
                <w:szCs w:val="16"/>
              </w:rPr>
            </w:pPr>
            <w:r w:rsidRPr="00F01347">
              <w:rPr>
                <w:rFonts w:ascii="Verdana" w:hAnsi="Verdana"/>
                <w:b/>
                <w:sz w:val="16"/>
                <w:szCs w:val="16"/>
              </w:rPr>
              <w:lastRenderedPageBreak/>
              <w:t>B.1.3.6 Procedimiento</w:t>
            </w:r>
          </w:p>
        </w:tc>
        <w:tc>
          <w:tcPr>
            <w:tcW w:w="4675" w:type="dxa"/>
          </w:tcPr>
          <w:p w14:paraId="12D91A5D" w14:textId="4BE06B58" w:rsidR="00D5301A" w:rsidRPr="00F01347" w:rsidRDefault="00D5301A" w:rsidP="00D5301A">
            <w:pPr>
              <w:pStyle w:val="texto0"/>
              <w:ind w:firstLine="0"/>
              <w:rPr>
                <w:rFonts w:ascii="Verdana" w:hAnsi="Verdana"/>
                <w:b/>
                <w:sz w:val="16"/>
                <w:szCs w:val="16"/>
                <w:lang w:val="en-US"/>
              </w:rPr>
            </w:pPr>
            <w:r w:rsidRPr="00F01347">
              <w:rPr>
                <w:rFonts w:ascii="Verdana" w:hAnsi="Verdana"/>
                <w:b/>
                <w:sz w:val="16"/>
                <w:szCs w:val="16"/>
                <w:lang w:val="en-US"/>
              </w:rPr>
              <w:t>B.1.3.6 Procedure</w:t>
            </w:r>
          </w:p>
        </w:tc>
      </w:tr>
      <w:tr w:rsidR="00D5301A" w:rsidRPr="00F01347" w14:paraId="3323841D" w14:textId="335770D7" w:rsidTr="00BE4B19">
        <w:tc>
          <w:tcPr>
            <w:tcW w:w="4675" w:type="dxa"/>
          </w:tcPr>
          <w:p w14:paraId="0FFB34C1" w14:textId="77777777" w:rsidR="00D5301A" w:rsidRPr="00F01347" w:rsidRDefault="00D5301A" w:rsidP="00D5301A">
            <w:pPr>
              <w:pStyle w:val="texto0"/>
              <w:ind w:firstLine="0"/>
              <w:rPr>
                <w:rFonts w:ascii="Verdana" w:hAnsi="Verdana"/>
                <w:b/>
                <w:sz w:val="16"/>
                <w:szCs w:val="16"/>
              </w:rPr>
            </w:pPr>
            <w:r w:rsidRPr="00F01347">
              <w:rPr>
                <w:rFonts w:ascii="Verdana" w:hAnsi="Verdana"/>
                <w:b/>
                <w:sz w:val="16"/>
                <w:szCs w:val="16"/>
              </w:rPr>
              <w:t>B.1.3.6.1 Recolección, conservación y almacenamiento de muestras</w:t>
            </w:r>
          </w:p>
        </w:tc>
        <w:tc>
          <w:tcPr>
            <w:tcW w:w="4675" w:type="dxa"/>
          </w:tcPr>
          <w:p w14:paraId="3C90A3F9" w14:textId="700537A9" w:rsidR="00D5301A" w:rsidRPr="00F01347" w:rsidRDefault="00D5301A" w:rsidP="00D5301A">
            <w:pPr>
              <w:pStyle w:val="texto0"/>
              <w:ind w:firstLine="0"/>
              <w:rPr>
                <w:rFonts w:ascii="Verdana" w:hAnsi="Verdana"/>
                <w:b/>
                <w:sz w:val="16"/>
                <w:szCs w:val="16"/>
                <w:lang w:val="en-US"/>
              </w:rPr>
            </w:pPr>
            <w:r w:rsidRPr="00F01347">
              <w:rPr>
                <w:rFonts w:ascii="Verdana" w:hAnsi="Verdana"/>
                <w:b/>
                <w:sz w:val="16"/>
                <w:szCs w:val="16"/>
                <w:lang w:val="en-US"/>
              </w:rPr>
              <w:t xml:space="preserve">B.1.3.6.1 Sample collection, </w:t>
            </w:r>
            <w:r w:rsidR="00BE4B19" w:rsidRPr="00F01347">
              <w:rPr>
                <w:rFonts w:ascii="Verdana" w:hAnsi="Verdana"/>
                <w:b/>
                <w:sz w:val="16"/>
                <w:szCs w:val="16"/>
                <w:lang w:val="en-US"/>
              </w:rPr>
              <w:t>preservation,</w:t>
            </w:r>
            <w:r w:rsidRPr="00F01347">
              <w:rPr>
                <w:rFonts w:ascii="Verdana" w:hAnsi="Verdana"/>
                <w:b/>
                <w:sz w:val="16"/>
                <w:szCs w:val="16"/>
                <w:lang w:val="en-US"/>
              </w:rPr>
              <w:t xml:space="preserve"> and storage</w:t>
            </w:r>
          </w:p>
        </w:tc>
      </w:tr>
      <w:tr w:rsidR="00D5301A" w:rsidRPr="00F01347" w14:paraId="59733EAA" w14:textId="27BEC439" w:rsidTr="00BE4B19">
        <w:tc>
          <w:tcPr>
            <w:tcW w:w="4675" w:type="dxa"/>
          </w:tcPr>
          <w:p w14:paraId="7490289F" w14:textId="77777777" w:rsidR="00D5301A" w:rsidRPr="00F01347" w:rsidRDefault="00D5301A" w:rsidP="00D5301A">
            <w:pPr>
              <w:pStyle w:val="texto0"/>
              <w:ind w:firstLine="0"/>
              <w:rPr>
                <w:rFonts w:ascii="Verdana" w:hAnsi="Verdana"/>
                <w:sz w:val="16"/>
                <w:szCs w:val="16"/>
              </w:rPr>
            </w:pPr>
            <w:r w:rsidRPr="00F01347">
              <w:rPr>
                <w:rFonts w:ascii="Verdana" w:hAnsi="Verdana"/>
                <w:sz w:val="16"/>
                <w:szCs w:val="16"/>
              </w:rPr>
              <w:t xml:space="preserve">Recolectar las muestras de agua y almacenarlas no más de 48 horas en un lugar oscuro y </w:t>
            </w:r>
            <w:proofErr w:type="gramStart"/>
            <w:r w:rsidRPr="00F01347">
              <w:rPr>
                <w:rFonts w:ascii="Verdana" w:hAnsi="Verdana"/>
                <w:sz w:val="16"/>
                <w:szCs w:val="16"/>
              </w:rPr>
              <w:t>fresco  (</w:t>
            </w:r>
            <w:proofErr w:type="gramEnd"/>
            <w:r w:rsidRPr="00F01347">
              <w:rPr>
                <w:rFonts w:ascii="Verdana" w:hAnsi="Verdana"/>
                <w:sz w:val="16"/>
                <w:szCs w:val="16"/>
              </w:rPr>
              <w:t>4 a 8°C).</w:t>
            </w:r>
          </w:p>
        </w:tc>
        <w:tc>
          <w:tcPr>
            <w:tcW w:w="4675" w:type="dxa"/>
          </w:tcPr>
          <w:p w14:paraId="5C7A7FAB" w14:textId="6CCB7B63" w:rsidR="00D5301A" w:rsidRPr="00F01347" w:rsidRDefault="00D5301A" w:rsidP="00D5301A">
            <w:pPr>
              <w:pStyle w:val="texto0"/>
              <w:ind w:firstLine="0"/>
              <w:rPr>
                <w:rFonts w:ascii="Verdana" w:hAnsi="Verdana"/>
                <w:sz w:val="16"/>
                <w:szCs w:val="16"/>
                <w:lang w:val="en-US"/>
              </w:rPr>
            </w:pPr>
            <w:r w:rsidRPr="00F01347">
              <w:rPr>
                <w:rFonts w:ascii="Verdana" w:hAnsi="Verdana"/>
                <w:sz w:val="16"/>
                <w:szCs w:val="16"/>
                <w:lang w:val="en-US"/>
              </w:rPr>
              <w:t xml:space="preserve">Collect water samples and store them for no more than 48 hours in a dark, cool place </w:t>
            </w:r>
            <w:r w:rsidR="00CB209C" w:rsidRPr="00F01347">
              <w:rPr>
                <w:rFonts w:ascii="Verdana" w:hAnsi="Verdana"/>
                <w:sz w:val="16"/>
                <w:szCs w:val="16"/>
                <w:lang w:val="en-US"/>
              </w:rPr>
              <w:t>(</w:t>
            </w:r>
            <w:r w:rsidRPr="00F01347">
              <w:rPr>
                <w:rFonts w:ascii="Verdana" w:hAnsi="Verdana"/>
                <w:sz w:val="16"/>
                <w:szCs w:val="16"/>
                <w:lang w:val="en-US"/>
              </w:rPr>
              <w:t>4 to 8°C).</w:t>
            </w:r>
          </w:p>
        </w:tc>
      </w:tr>
      <w:tr w:rsidR="00D5301A" w:rsidRPr="00F01347" w14:paraId="3F0A618F" w14:textId="702B9303" w:rsidTr="00BE4B19">
        <w:tc>
          <w:tcPr>
            <w:tcW w:w="4675" w:type="dxa"/>
          </w:tcPr>
          <w:p w14:paraId="3537F6F8" w14:textId="77777777" w:rsidR="00D5301A" w:rsidRPr="00F01347" w:rsidRDefault="00D5301A" w:rsidP="00D5301A">
            <w:pPr>
              <w:pStyle w:val="texto0"/>
              <w:ind w:firstLine="0"/>
              <w:rPr>
                <w:rFonts w:ascii="Verdana" w:hAnsi="Verdana"/>
                <w:b/>
                <w:sz w:val="16"/>
                <w:szCs w:val="16"/>
              </w:rPr>
            </w:pPr>
            <w:r w:rsidRPr="00F01347">
              <w:rPr>
                <w:rFonts w:ascii="Verdana" w:hAnsi="Verdana"/>
                <w:b/>
                <w:sz w:val="16"/>
                <w:szCs w:val="16"/>
              </w:rPr>
              <w:t>B.1.3.6.2 Procedimiento analítico</w:t>
            </w:r>
          </w:p>
        </w:tc>
        <w:tc>
          <w:tcPr>
            <w:tcW w:w="4675" w:type="dxa"/>
          </w:tcPr>
          <w:p w14:paraId="52B3DE7D" w14:textId="2D3A7E5C" w:rsidR="00D5301A" w:rsidRPr="00F01347" w:rsidRDefault="00D5301A" w:rsidP="00D5301A">
            <w:pPr>
              <w:pStyle w:val="texto0"/>
              <w:ind w:firstLine="0"/>
              <w:rPr>
                <w:rFonts w:ascii="Verdana" w:hAnsi="Verdana"/>
                <w:b/>
                <w:sz w:val="16"/>
                <w:szCs w:val="16"/>
                <w:lang w:val="en-US"/>
              </w:rPr>
            </w:pPr>
            <w:r w:rsidRPr="00F01347">
              <w:rPr>
                <w:rFonts w:ascii="Verdana" w:hAnsi="Verdana"/>
                <w:b/>
                <w:sz w:val="16"/>
                <w:szCs w:val="16"/>
                <w:lang w:val="en-US"/>
              </w:rPr>
              <w:t>B.1.3.6.2 Analytical procedure</w:t>
            </w:r>
          </w:p>
        </w:tc>
      </w:tr>
      <w:tr w:rsidR="00D5301A" w:rsidRPr="00F01347" w14:paraId="1439D313" w14:textId="0D040C50" w:rsidTr="00BE4B19">
        <w:tc>
          <w:tcPr>
            <w:tcW w:w="4675" w:type="dxa"/>
          </w:tcPr>
          <w:p w14:paraId="0C4D8025" w14:textId="77777777" w:rsidR="00D5301A" w:rsidRPr="00F01347" w:rsidRDefault="00D5301A" w:rsidP="00D5301A">
            <w:pPr>
              <w:pStyle w:val="texto0"/>
              <w:ind w:firstLine="0"/>
              <w:rPr>
                <w:rFonts w:ascii="Verdana" w:hAnsi="Verdana"/>
                <w:sz w:val="16"/>
                <w:szCs w:val="16"/>
              </w:rPr>
            </w:pPr>
            <w:r w:rsidRPr="00F01347">
              <w:rPr>
                <w:rFonts w:ascii="Verdana" w:hAnsi="Verdana"/>
                <w:sz w:val="16"/>
                <w:szCs w:val="16"/>
              </w:rPr>
              <w:t xml:space="preserve">Antes del acondicionamiento, ajustar el cartucho SPE a temperatura ambiente. Para el acondicionamiento, deben de seguirse las especificaciones del fabricante. Sin embargo, si no se indican, pasar 4mL de metanol grado HPLC a través del cartucho. Posteriormente pasar 4 </w:t>
            </w:r>
            <w:proofErr w:type="spellStart"/>
            <w:r w:rsidRPr="00F01347">
              <w:rPr>
                <w:rFonts w:ascii="Verdana" w:hAnsi="Verdana"/>
                <w:sz w:val="16"/>
                <w:szCs w:val="16"/>
              </w:rPr>
              <w:t>mL</w:t>
            </w:r>
            <w:proofErr w:type="spellEnd"/>
            <w:r w:rsidRPr="00F01347">
              <w:rPr>
                <w:rFonts w:ascii="Verdana" w:hAnsi="Verdana"/>
                <w:sz w:val="16"/>
                <w:szCs w:val="16"/>
              </w:rPr>
              <w:t xml:space="preserve"> de agua a través del cartucho. Permitir un flujo de los solventes a una tasa &lt;10 </w:t>
            </w:r>
            <w:proofErr w:type="spellStart"/>
            <w:r w:rsidRPr="00F01347">
              <w:rPr>
                <w:rFonts w:ascii="Verdana" w:hAnsi="Verdana"/>
                <w:sz w:val="16"/>
                <w:szCs w:val="16"/>
              </w:rPr>
              <w:t>mL</w:t>
            </w:r>
            <w:proofErr w:type="spellEnd"/>
            <w:r w:rsidRPr="00F01347">
              <w:rPr>
                <w:rFonts w:ascii="Verdana" w:hAnsi="Verdana"/>
                <w:sz w:val="16"/>
                <w:szCs w:val="16"/>
              </w:rPr>
              <w:t>/min a través de la columna y asegurarse de que una pequeña porción del solvente permanezca en la cima de la columna hasta que se aplique la solución de la muestra.</w:t>
            </w:r>
          </w:p>
        </w:tc>
        <w:tc>
          <w:tcPr>
            <w:tcW w:w="4675" w:type="dxa"/>
          </w:tcPr>
          <w:p w14:paraId="6F591FCB" w14:textId="25505E85" w:rsidR="00D5301A" w:rsidRPr="00F01347" w:rsidRDefault="00D5301A" w:rsidP="00D5301A">
            <w:pPr>
              <w:pStyle w:val="texto0"/>
              <w:ind w:firstLine="0"/>
              <w:rPr>
                <w:rFonts w:ascii="Verdana" w:hAnsi="Verdana"/>
                <w:sz w:val="16"/>
                <w:szCs w:val="16"/>
                <w:lang w:val="en-US"/>
              </w:rPr>
            </w:pPr>
            <w:r w:rsidRPr="00F01347">
              <w:rPr>
                <w:rFonts w:ascii="Verdana" w:hAnsi="Verdana"/>
                <w:sz w:val="16"/>
                <w:szCs w:val="16"/>
                <w:lang w:val="en-US"/>
              </w:rPr>
              <w:t>Before conditioning, adjust the SPE cartridge to room temperature. For conditioning, the manufacturer's specifications must be followed. However, if not indicated, pass 4mL of HPLC grade methanol through the cartridge. Subsequently pass 4 mL of water through the cartridge. Allow solvents to flow at a rate &lt;10 mL/min through the column and ensure that a small portion of the solvent remains at the top of the column until the sample solution is applied.</w:t>
            </w:r>
          </w:p>
        </w:tc>
      </w:tr>
      <w:tr w:rsidR="00D5301A" w:rsidRPr="00F01347" w14:paraId="417136F9" w14:textId="768C205C" w:rsidTr="00BE4B19">
        <w:tc>
          <w:tcPr>
            <w:tcW w:w="4675" w:type="dxa"/>
          </w:tcPr>
          <w:p w14:paraId="09634C42" w14:textId="77777777" w:rsidR="00D5301A" w:rsidRPr="00F01347" w:rsidRDefault="00D5301A" w:rsidP="00D5301A">
            <w:pPr>
              <w:pStyle w:val="texto0"/>
              <w:ind w:firstLine="0"/>
              <w:rPr>
                <w:rFonts w:ascii="Verdana" w:hAnsi="Verdana"/>
                <w:sz w:val="16"/>
                <w:szCs w:val="16"/>
              </w:rPr>
            </w:pPr>
            <w:r w:rsidRPr="00F01347">
              <w:rPr>
                <w:rFonts w:ascii="Verdana" w:hAnsi="Verdana"/>
                <w:sz w:val="16"/>
                <w:szCs w:val="16"/>
              </w:rPr>
              <w:t xml:space="preserve">Para la preparación de la muestra, si ésta se trata de agua del sistema de abastecimiento que ha pasado por un sistema de tratamiento, debe concentrarse la </w:t>
            </w:r>
            <w:proofErr w:type="spellStart"/>
            <w:r w:rsidRPr="00F01347">
              <w:rPr>
                <w:rFonts w:ascii="Verdana" w:hAnsi="Verdana"/>
                <w:sz w:val="16"/>
                <w:szCs w:val="16"/>
              </w:rPr>
              <w:t>microcistina</w:t>
            </w:r>
            <w:proofErr w:type="spellEnd"/>
            <w:r w:rsidRPr="00F01347">
              <w:rPr>
                <w:rFonts w:ascii="Verdana" w:hAnsi="Verdana"/>
                <w:sz w:val="16"/>
                <w:szCs w:val="16"/>
              </w:rPr>
              <w:t xml:space="preserve"> en las muestras de agua mediante la extracción en fase sólida. Si se trata de muestras de agua antes de entrar al tratamiento que puede contener fitoplancton, primero pasar la muestra (volumen recomendado: 50 a 100 </w:t>
            </w:r>
            <w:proofErr w:type="spellStart"/>
            <w:r w:rsidRPr="00F01347">
              <w:rPr>
                <w:rFonts w:ascii="Verdana" w:hAnsi="Verdana"/>
                <w:sz w:val="16"/>
                <w:szCs w:val="16"/>
              </w:rPr>
              <w:t>mL</w:t>
            </w:r>
            <w:proofErr w:type="spellEnd"/>
            <w:r w:rsidRPr="00F01347">
              <w:rPr>
                <w:rFonts w:ascii="Verdana" w:hAnsi="Verdana"/>
                <w:sz w:val="16"/>
                <w:szCs w:val="16"/>
              </w:rPr>
              <w:t xml:space="preserve">) a través de un filtro (papel de filtro de microfibra de vidrio) para separar la biomasa de la fracción líquida. Si existen capas de algas flotantes un filtro puede ser insuficiente para la filtración de los 50 </w:t>
            </w:r>
            <w:proofErr w:type="spellStart"/>
            <w:r w:rsidRPr="00F01347">
              <w:rPr>
                <w:rFonts w:ascii="Verdana" w:hAnsi="Verdana"/>
                <w:sz w:val="16"/>
                <w:szCs w:val="16"/>
              </w:rPr>
              <w:t>mL</w:t>
            </w:r>
            <w:proofErr w:type="spellEnd"/>
            <w:r w:rsidRPr="00F01347">
              <w:rPr>
                <w:rFonts w:ascii="Verdana" w:hAnsi="Verdana"/>
                <w:sz w:val="16"/>
                <w:szCs w:val="16"/>
              </w:rPr>
              <w:t xml:space="preserve"> de agua. En este caso, reemplace inmediatamente el filtro tapado con uno nuevo. Concentrar la </w:t>
            </w:r>
            <w:proofErr w:type="spellStart"/>
            <w:r w:rsidRPr="00F01347">
              <w:rPr>
                <w:rFonts w:ascii="Verdana" w:hAnsi="Verdana"/>
                <w:sz w:val="16"/>
                <w:szCs w:val="16"/>
              </w:rPr>
              <w:t>microcistina</w:t>
            </w:r>
            <w:proofErr w:type="spellEnd"/>
            <w:r w:rsidRPr="00F01347">
              <w:rPr>
                <w:rFonts w:ascii="Verdana" w:hAnsi="Verdana"/>
                <w:sz w:val="16"/>
                <w:szCs w:val="16"/>
              </w:rPr>
              <w:t xml:space="preserve"> en las muestras de agua mediante la extracción en fase sólida.</w:t>
            </w:r>
          </w:p>
        </w:tc>
        <w:tc>
          <w:tcPr>
            <w:tcW w:w="4675" w:type="dxa"/>
          </w:tcPr>
          <w:p w14:paraId="78C25CBC" w14:textId="5B5084B0" w:rsidR="00D5301A" w:rsidRPr="00F01347" w:rsidRDefault="00D5301A" w:rsidP="00D5301A">
            <w:pPr>
              <w:pStyle w:val="texto0"/>
              <w:ind w:firstLine="0"/>
              <w:rPr>
                <w:rFonts w:ascii="Verdana" w:hAnsi="Verdana"/>
                <w:sz w:val="16"/>
                <w:szCs w:val="16"/>
              </w:rPr>
            </w:pPr>
            <w:r w:rsidRPr="00F01347">
              <w:rPr>
                <w:rFonts w:ascii="Verdana" w:hAnsi="Verdana"/>
                <w:sz w:val="16"/>
                <w:szCs w:val="16"/>
                <w:lang w:val="en-US"/>
              </w:rPr>
              <w:t>For sample preparation, if it is water from the supply system that has gone through a treatment system, microcystin must be concentrated in the water samples using solid phase extraction. If these are water samples before entering the treatment that may contain phytoplankton, first pass the sample (recommended volume: 50 to 100 mL</w:t>
            </w:r>
            <w:r w:rsidR="00913802" w:rsidRPr="00F01347">
              <w:rPr>
                <w:rFonts w:ascii="Verdana" w:hAnsi="Verdana"/>
                <w:sz w:val="16"/>
                <w:szCs w:val="16"/>
                <w:lang w:val="en-US"/>
              </w:rPr>
              <w:t>)</w:t>
            </w:r>
            <w:r w:rsidRPr="00F01347">
              <w:rPr>
                <w:rFonts w:ascii="Verdana" w:hAnsi="Verdana"/>
                <w:sz w:val="16"/>
                <w:szCs w:val="16"/>
                <w:lang w:val="en-US"/>
              </w:rPr>
              <w:t xml:space="preserve"> through a filter (glass microfiber filter paper) to separate the biomass from the liquid fraction. If there are layers of floating algae, a filter may be insufficient to filter the 50 mL of water. In this case, immediately replace the clogged filter with a new one. Concentrate microcystin in water samples using solid phase extraction.</w:t>
            </w:r>
          </w:p>
        </w:tc>
      </w:tr>
      <w:tr w:rsidR="00D5301A" w:rsidRPr="00F01347" w14:paraId="312C07D0" w14:textId="5A61B29C" w:rsidTr="00BE4B19">
        <w:tc>
          <w:tcPr>
            <w:tcW w:w="4675" w:type="dxa"/>
          </w:tcPr>
          <w:p w14:paraId="2F56D4BC" w14:textId="77777777" w:rsidR="00D5301A" w:rsidRPr="00F01347" w:rsidRDefault="00D5301A" w:rsidP="00D5301A">
            <w:pPr>
              <w:pStyle w:val="texto0"/>
              <w:ind w:firstLine="0"/>
              <w:rPr>
                <w:rFonts w:ascii="Verdana" w:hAnsi="Verdana"/>
                <w:sz w:val="16"/>
                <w:szCs w:val="16"/>
              </w:rPr>
            </w:pPr>
            <w:r w:rsidRPr="00F01347">
              <w:rPr>
                <w:rFonts w:ascii="Verdana" w:hAnsi="Verdana"/>
                <w:sz w:val="16"/>
                <w:szCs w:val="16"/>
              </w:rPr>
              <w:t xml:space="preserve">Extraer la biomasa en un filtro por separado seguido de la limpieza del extracto antes del análisis de HPLC. Si se usa un filtro gravimétrico, se puede determinar la masa de la biomasa y el contenido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puede ser mostrado en microgramos por gramo (µg/g).</w:t>
            </w:r>
          </w:p>
        </w:tc>
        <w:tc>
          <w:tcPr>
            <w:tcW w:w="4675" w:type="dxa"/>
          </w:tcPr>
          <w:p w14:paraId="710DF0F2" w14:textId="1FABE727" w:rsidR="00D5301A" w:rsidRPr="00F01347" w:rsidRDefault="00D5301A" w:rsidP="00D5301A">
            <w:pPr>
              <w:pStyle w:val="texto0"/>
              <w:ind w:firstLine="0"/>
              <w:rPr>
                <w:rFonts w:ascii="Verdana" w:hAnsi="Verdana"/>
                <w:sz w:val="16"/>
                <w:szCs w:val="16"/>
                <w:lang w:val="en-US"/>
              </w:rPr>
            </w:pPr>
            <w:r w:rsidRPr="00F01347">
              <w:rPr>
                <w:rFonts w:ascii="Verdana" w:hAnsi="Verdana"/>
                <w:sz w:val="16"/>
                <w:szCs w:val="16"/>
                <w:lang w:val="en-US"/>
              </w:rPr>
              <w:t>Extract the biomass on a separate filter followed by cleaning the extract before HPLC analysis. If a gravimetric filter is used, the mass of the biomass can be determined and the microcystin content can be displayed in micrograms per gram (µg/g).</w:t>
            </w:r>
          </w:p>
        </w:tc>
      </w:tr>
      <w:tr w:rsidR="00D5301A" w:rsidRPr="00F01347" w14:paraId="597A86BE" w14:textId="056E0BD2" w:rsidTr="00BE4B19">
        <w:tc>
          <w:tcPr>
            <w:tcW w:w="4675" w:type="dxa"/>
          </w:tcPr>
          <w:p w14:paraId="01349666" w14:textId="77777777" w:rsidR="00D5301A" w:rsidRPr="00F01347" w:rsidRDefault="00D5301A" w:rsidP="00D5301A">
            <w:pPr>
              <w:pStyle w:val="texto0"/>
              <w:ind w:firstLine="0"/>
              <w:rPr>
                <w:rFonts w:ascii="Verdana" w:hAnsi="Verdana"/>
                <w:sz w:val="16"/>
                <w:szCs w:val="16"/>
              </w:rPr>
            </w:pPr>
            <w:r w:rsidRPr="00F01347">
              <w:rPr>
                <w:rFonts w:ascii="Verdana" w:hAnsi="Verdana"/>
                <w:sz w:val="16"/>
                <w:szCs w:val="16"/>
              </w:rPr>
              <w:t xml:space="preserve">Para la extracción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de las células en el filtro, deben extraerse las células en el filtro (si se usa más de un filtro, combinar los filtros), enjuagando el filtro(s) tres veces con 3 ml de la solución de extracción. </w:t>
            </w:r>
            <w:proofErr w:type="spellStart"/>
            <w:r w:rsidRPr="00F01347">
              <w:rPr>
                <w:rFonts w:ascii="Verdana" w:hAnsi="Verdana"/>
                <w:sz w:val="16"/>
                <w:szCs w:val="16"/>
              </w:rPr>
              <w:t>Sonicar</w:t>
            </w:r>
            <w:proofErr w:type="spellEnd"/>
            <w:r w:rsidRPr="00F01347">
              <w:rPr>
                <w:rFonts w:ascii="Verdana" w:hAnsi="Verdana"/>
                <w:sz w:val="16"/>
                <w:szCs w:val="16"/>
              </w:rPr>
              <w:t xml:space="preserve"> la solución en hielo durante 2 minutos con una sonda ultrasónica o en un baño ultrasónico. Después de eso, centrifugar la solución a ≥4000 min</w:t>
            </w:r>
            <w:r w:rsidRPr="00F01347">
              <w:rPr>
                <w:rFonts w:ascii="Verdana" w:hAnsi="Verdana"/>
                <w:position w:val="4"/>
                <w:sz w:val="16"/>
                <w:szCs w:val="16"/>
              </w:rPr>
              <w:t>-1</w:t>
            </w:r>
            <w:r w:rsidRPr="00F01347">
              <w:rPr>
                <w:rFonts w:ascii="Verdana" w:hAnsi="Verdana"/>
                <w:sz w:val="16"/>
                <w:szCs w:val="16"/>
              </w:rPr>
              <w:t xml:space="preserve"> durante 10 minutos a temperatura ambiente. Después de la centrifugación, reunir los sobrenadantes y secar 1mL de esta solución bajo una corriente de nitrógeno (40 °C). Antes de limpiar, disolver nuevamente los extractos en 500 µL de solución estándar de dilución y someter a ultrasonidos la muestra en un baño durante 5 minutos.</w:t>
            </w:r>
          </w:p>
        </w:tc>
        <w:tc>
          <w:tcPr>
            <w:tcW w:w="4675" w:type="dxa"/>
          </w:tcPr>
          <w:p w14:paraId="69C839E6" w14:textId="20CF9285" w:rsidR="00D5301A" w:rsidRPr="00F01347" w:rsidRDefault="00D5301A" w:rsidP="00D5301A">
            <w:pPr>
              <w:pStyle w:val="texto0"/>
              <w:ind w:firstLine="0"/>
              <w:rPr>
                <w:rFonts w:ascii="Verdana" w:hAnsi="Verdana"/>
                <w:sz w:val="16"/>
                <w:szCs w:val="16"/>
                <w:lang w:val="en-US"/>
              </w:rPr>
            </w:pPr>
            <w:r w:rsidRPr="00F01347">
              <w:rPr>
                <w:rFonts w:ascii="Verdana" w:hAnsi="Verdana"/>
                <w:sz w:val="16"/>
                <w:szCs w:val="16"/>
                <w:lang w:val="en-US"/>
              </w:rPr>
              <w:t xml:space="preserve">For extraction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from the cells on the filter, the cells on the filter must be extracted (if more than one filter is used, combine the filters), rinsing the filter(s) three times with 3 ml of the extraction solution. Sonicate the solution on ice for 2 minutes with an ultrasonic probe or in an ultrasonic bath. After that, centrifuge the solution at ≥4000 min </w:t>
            </w:r>
            <w:r w:rsidRPr="00F01347">
              <w:rPr>
                <w:rFonts w:ascii="Verdana" w:hAnsi="Verdana"/>
                <w:position w:val="4"/>
                <w:sz w:val="16"/>
                <w:szCs w:val="16"/>
                <w:lang w:val="en-US"/>
              </w:rPr>
              <w:t xml:space="preserve">-1 </w:t>
            </w:r>
            <w:r w:rsidRPr="00F01347">
              <w:rPr>
                <w:rFonts w:ascii="Verdana" w:hAnsi="Verdana"/>
                <w:sz w:val="16"/>
                <w:szCs w:val="16"/>
                <w:lang w:val="en-US"/>
              </w:rPr>
              <w:t>for 10 minutes at room temperature. After centrifugation, pool the supernatants and dry 1mL of this solution under a stream of nitrogen (40 °C). Before cleaning, redissolve the extracts in 500 µL of standard dilution solution and sonicate the sample in a bath for 5 minutes.</w:t>
            </w:r>
          </w:p>
        </w:tc>
      </w:tr>
      <w:tr w:rsidR="00D5301A" w:rsidRPr="00F01347" w14:paraId="4DC2A14C" w14:textId="52427A63" w:rsidTr="00BE4B19">
        <w:tc>
          <w:tcPr>
            <w:tcW w:w="4675" w:type="dxa"/>
          </w:tcPr>
          <w:p w14:paraId="4C901000" w14:textId="77777777" w:rsidR="00D5301A" w:rsidRPr="00F01347" w:rsidRDefault="00D5301A" w:rsidP="00D5301A">
            <w:pPr>
              <w:pStyle w:val="texto0"/>
              <w:ind w:firstLine="0"/>
              <w:rPr>
                <w:rFonts w:ascii="Verdana" w:hAnsi="Verdana"/>
                <w:sz w:val="16"/>
                <w:szCs w:val="16"/>
              </w:rPr>
            </w:pPr>
            <w:r w:rsidRPr="00F01347">
              <w:rPr>
                <w:rFonts w:ascii="Verdana" w:hAnsi="Verdana"/>
                <w:sz w:val="16"/>
                <w:szCs w:val="16"/>
              </w:rPr>
              <w:t xml:space="preserve">Para el enriquecimiento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mediante la SPE, con el fin de evitar pérdidas, debe asegurarse que el pH de la muestra de agua está en el rango de 5.0 a </w:t>
            </w:r>
            <w:r w:rsidRPr="00F01347">
              <w:rPr>
                <w:rFonts w:ascii="Verdana" w:hAnsi="Verdana"/>
                <w:sz w:val="16"/>
                <w:szCs w:val="16"/>
              </w:rPr>
              <w:lastRenderedPageBreak/>
              <w:t xml:space="preserve">8.0. Si el pH está fuera de este rango, ajustar con ácido </w:t>
            </w:r>
            <w:proofErr w:type="spellStart"/>
            <w:r w:rsidRPr="00F01347">
              <w:rPr>
                <w:rFonts w:ascii="Verdana" w:hAnsi="Verdana"/>
                <w:sz w:val="16"/>
                <w:szCs w:val="16"/>
              </w:rPr>
              <w:t>trifluoroacético</w:t>
            </w:r>
            <w:proofErr w:type="spellEnd"/>
            <w:r w:rsidRPr="00F01347">
              <w:rPr>
                <w:rFonts w:ascii="Verdana" w:hAnsi="Verdana"/>
                <w:sz w:val="16"/>
                <w:szCs w:val="16"/>
              </w:rPr>
              <w:t xml:space="preserve"> o con solución de hidróxido de amonio, según corresponda. Añadir 500 µL de solución de tiosulfato de sodio a 500 </w:t>
            </w:r>
            <w:proofErr w:type="spellStart"/>
            <w:r w:rsidRPr="00F01347">
              <w:rPr>
                <w:rFonts w:ascii="Verdana" w:hAnsi="Verdana"/>
                <w:sz w:val="16"/>
                <w:szCs w:val="16"/>
              </w:rPr>
              <w:t>mL</w:t>
            </w:r>
            <w:proofErr w:type="spellEnd"/>
            <w:r w:rsidRPr="00F01347">
              <w:rPr>
                <w:rFonts w:ascii="Verdana" w:hAnsi="Verdana"/>
                <w:sz w:val="16"/>
                <w:szCs w:val="16"/>
              </w:rPr>
              <w:t xml:space="preserve"> de filtrado de agua de la muestra. Agitar bien y dejar reposar la mezcla durante 5 minutos. Añadir 5 </w:t>
            </w:r>
            <w:proofErr w:type="spellStart"/>
            <w:r w:rsidRPr="00F01347">
              <w:rPr>
                <w:rFonts w:ascii="Verdana" w:hAnsi="Verdana"/>
                <w:sz w:val="16"/>
                <w:szCs w:val="16"/>
              </w:rPr>
              <w:t>mL</w:t>
            </w:r>
            <w:proofErr w:type="spellEnd"/>
            <w:r w:rsidRPr="00F01347">
              <w:rPr>
                <w:rFonts w:ascii="Verdana" w:hAnsi="Verdana"/>
                <w:sz w:val="16"/>
                <w:szCs w:val="16"/>
              </w:rPr>
              <w:t xml:space="preserve"> de metanol grado HPLC y después de agitar, aplicar al cartucho acondicionado a una velocidad de flujo de 10 </w:t>
            </w:r>
            <w:proofErr w:type="spellStart"/>
            <w:r w:rsidRPr="00F01347">
              <w:rPr>
                <w:rFonts w:ascii="Verdana" w:hAnsi="Verdana"/>
                <w:sz w:val="16"/>
                <w:szCs w:val="16"/>
              </w:rPr>
              <w:t>mL</w:t>
            </w:r>
            <w:proofErr w:type="spellEnd"/>
            <w:r w:rsidRPr="00F01347">
              <w:rPr>
                <w:rFonts w:ascii="Verdana" w:hAnsi="Verdana"/>
                <w:sz w:val="16"/>
                <w:szCs w:val="16"/>
              </w:rPr>
              <w:t xml:space="preserve">/min o menos (gotas visibles). Una vez que la muestra de agua ha pasado a través del cartucho, lavar el cartucho con 4mL de solución de dilución estándar. </w:t>
            </w:r>
            <w:proofErr w:type="spellStart"/>
            <w:r w:rsidRPr="00F01347">
              <w:rPr>
                <w:rFonts w:ascii="Verdana" w:hAnsi="Verdana"/>
                <w:sz w:val="16"/>
                <w:szCs w:val="16"/>
              </w:rPr>
              <w:t>Eluir</w:t>
            </w:r>
            <w:proofErr w:type="spellEnd"/>
            <w:r w:rsidRPr="00F01347">
              <w:rPr>
                <w:rFonts w:ascii="Verdana" w:hAnsi="Verdana"/>
                <w:sz w:val="16"/>
                <w:szCs w:val="16"/>
              </w:rPr>
              <w:t xml:space="preserve">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enriquecidas ya sea con 2.0 </w:t>
            </w:r>
            <w:proofErr w:type="spellStart"/>
            <w:r w:rsidRPr="00F01347">
              <w:rPr>
                <w:rFonts w:ascii="Verdana" w:hAnsi="Verdana"/>
                <w:sz w:val="16"/>
                <w:szCs w:val="16"/>
              </w:rPr>
              <w:t>mL</w:t>
            </w:r>
            <w:proofErr w:type="spellEnd"/>
            <w:r w:rsidRPr="00F01347">
              <w:rPr>
                <w:rFonts w:ascii="Verdana" w:hAnsi="Verdana"/>
                <w:sz w:val="16"/>
                <w:szCs w:val="16"/>
              </w:rPr>
              <w:t xml:space="preserve"> de solución de elución de SPE en un vial de vidrio de 4 </w:t>
            </w:r>
            <w:proofErr w:type="spellStart"/>
            <w:r w:rsidRPr="00F01347">
              <w:rPr>
                <w:rFonts w:ascii="Verdana" w:hAnsi="Verdana"/>
                <w:sz w:val="16"/>
                <w:szCs w:val="16"/>
              </w:rPr>
              <w:t>mL</w:t>
            </w:r>
            <w:proofErr w:type="spellEnd"/>
            <w:r w:rsidRPr="00F01347">
              <w:rPr>
                <w:rFonts w:ascii="Verdana" w:hAnsi="Verdana"/>
                <w:sz w:val="16"/>
                <w:szCs w:val="16"/>
              </w:rPr>
              <w:t xml:space="preserve"> (o siga las indicaciones del proveedor). Evaporar el eluyente hasta la sequedad con una corriente de nitrógeno (40 °C). </w:t>
            </w:r>
            <w:proofErr w:type="spellStart"/>
            <w:r w:rsidRPr="00F01347">
              <w:rPr>
                <w:rFonts w:ascii="Verdana" w:hAnsi="Verdana"/>
                <w:sz w:val="16"/>
                <w:szCs w:val="16"/>
              </w:rPr>
              <w:t>Redisolver</w:t>
            </w:r>
            <w:proofErr w:type="spellEnd"/>
            <w:r w:rsidRPr="00F01347">
              <w:rPr>
                <w:rFonts w:ascii="Verdana" w:hAnsi="Verdana"/>
                <w:sz w:val="16"/>
                <w:szCs w:val="16"/>
              </w:rPr>
              <w:t xml:space="preserve"> en 500 µL de solución estándar de dilución y someter a la muestra durante 5 min en un baño de ultrasonidos. Analizar este extracto directamente con HPLC.</w:t>
            </w:r>
          </w:p>
        </w:tc>
        <w:tc>
          <w:tcPr>
            <w:tcW w:w="4675" w:type="dxa"/>
          </w:tcPr>
          <w:p w14:paraId="5B5E0566" w14:textId="568EF7B4" w:rsidR="00D5301A" w:rsidRPr="00F01347" w:rsidRDefault="00D53C5C" w:rsidP="00D5301A">
            <w:pPr>
              <w:pStyle w:val="texto0"/>
              <w:ind w:firstLine="0"/>
              <w:rPr>
                <w:rFonts w:ascii="Verdana" w:hAnsi="Verdana"/>
                <w:sz w:val="16"/>
                <w:szCs w:val="16"/>
              </w:rPr>
            </w:pPr>
            <w:r w:rsidRPr="00F01347">
              <w:rPr>
                <w:rFonts w:ascii="Verdana" w:hAnsi="Verdana"/>
                <w:sz w:val="16"/>
                <w:szCs w:val="16"/>
                <w:lang w:val="en-US"/>
              </w:rPr>
              <w:lastRenderedPageBreak/>
              <w:t xml:space="preserve">For </w:t>
            </w:r>
            <w:r w:rsidR="00D5301A" w:rsidRPr="00F01347">
              <w:rPr>
                <w:rFonts w:ascii="Verdana" w:hAnsi="Verdana"/>
                <w:sz w:val="16"/>
                <w:szCs w:val="16"/>
                <w:lang w:val="en-US"/>
              </w:rPr>
              <w:t xml:space="preserve">microcystin enrichment by SPE, </w:t>
            </w:r>
            <w:proofErr w:type="gramStart"/>
            <w:r w:rsidR="00D5301A" w:rsidRPr="00F01347">
              <w:rPr>
                <w:rFonts w:ascii="Verdana" w:hAnsi="Verdana"/>
                <w:sz w:val="16"/>
                <w:szCs w:val="16"/>
                <w:lang w:val="en-US"/>
              </w:rPr>
              <w:t>in order to</w:t>
            </w:r>
            <w:proofErr w:type="gramEnd"/>
            <w:r w:rsidR="00D5301A" w:rsidRPr="00F01347">
              <w:rPr>
                <w:rFonts w:ascii="Verdana" w:hAnsi="Verdana"/>
                <w:sz w:val="16"/>
                <w:szCs w:val="16"/>
                <w:lang w:val="en-US"/>
              </w:rPr>
              <w:t xml:space="preserve"> avoid losses, it must be ensured that the pH of the water sample is in the range of 5.0 to 8.0. If the pH is outside </w:t>
            </w:r>
            <w:r w:rsidR="00D5301A" w:rsidRPr="00F01347">
              <w:rPr>
                <w:rFonts w:ascii="Verdana" w:hAnsi="Verdana"/>
                <w:sz w:val="16"/>
                <w:szCs w:val="16"/>
                <w:lang w:val="en-US"/>
              </w:rPr>
              <w:lastRenderedPageBreak/>
              <w:t xml:space="preserve">this range, adjust with trifluoroacetic acid or ammonium hydroxide solution, as appropriate. Add 500 µL of sodium thiosulfate solution to 500 mL of filtered water sample. Shake well and let the mixture rest for 5 minutes. Add 5 mL of HPLC grade methanol and after shaking, apply to the conditioned cartridge at a flow rate of 10 mL/min or less (visible droplets). Once the water sample has passed through the cartridge, wash the cartridge with 4mL of standard dilution solution. Elute the spiked </w:t>
            </w:r>
            <w:proofErr w:type="spellStart"/>
            <w:r w:rsidR="00D5301A" w:rsidRPr="00F01347">
              <w:rPr>
                <w:rFonts w:ascii="Verdana" w:hAnsi="Verdana"/>
                <w:sz w:val="16"/>
                <w:szCs w:val="16"/>
                <w:lang w:val="en-US"/>
              </w:rPr>
              <w:t>microcystins</w:t>
            </w:r>
            <w:proofErr w:type="spellEnd"/>
            <w:r w:rsidR="00D5301A" w:rsidRPr="00F01347">
              <w:rPr>
                <w:rFonts w:ascii="Verdana" w:hAnsi="Verdana"/>
                <w:sz w:val="16"/>
                <w:szCs w:val="16"/>
                <w:lang w:val="en-US"/>
              </w:rPr>
              <w:t xml:space="preserve"> with either 2.0 mL of SPE elution solution in a 4 mL glass vial (or follow the supplier's directions). Evaporate the eluent to dryness with a stream of nitrogen (40 °C). Redissolve in 500 µL of standard dilution solution and subject the sample to an ultrasonic bath for 5 min. Analyze this extract directly with HPLC.</w:t>
            </w:r>
          </w:p>
        </w:tc>
      </w:tr>
      <w:tr w:rsidR="00D5301A" w:rsidRPr="00F01347" w14:paraId="6A1D7A25" w14:textId="53853E5B" w:rsidTr="00BE4B19">
        <w:tc>
          <w:tcPr>
            <w:tcW w:w="4675" w:type="dxa"/>
          </w:tcPr>
          <w:p w14:paraId="3EB2BD85" w14:textId="77777777" w:rsidR="00D5301A" w:rsidRPr="00F01347" w:rsidRDefault="00D5301A" w:rsidP="00D5301A">
            <w:pPr>
              <w:pStyle w:val="texto0"/>
              <w:ind w:firstLine="0"/>
              <w:rPr>
                <w:rFonts w:ascii="Verdana" w:hAnsi="Verdana"/>
                <w:sz w:val="16"/>
                <w:szCs w:val="16"/>
              </w:rPr>
            </w:pPr>
            <w:r w:rsidRPr="00F01347">
              <w:rPr>
                <w:rFonts w:ascii="Verdana" w:hAnsi="Verdana"/>
                <w:sz w:val="16"/>
                <w:szCs w:val="16"/>
              </w:rPr>
              <w:lastRenderedPageBreak/>
              <w:t xml:space="preserve">Para la limpieza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mediante la SPE, aplicar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extraídas aplican a la parte superior cartucho acondicionado y enjuagar el vial del extracto con 500 µL adicionales de solución estándar de dilución y aplicarlo también en la parte superior del cartucho. Después de que el líquido ha pasado a través del cartucho, enjuagar con 4 </w:t>
            </w:r>
            <w:proofErr w:type="spellStart"/>
            <w:r w:rsidRPr="00F01347">
              <w:rPr>
                <w:rFonts w:ascii="Verdana" w:hAnsi="Verdana"/>
                <w:sz w:val="16"/>
                <w:szCs w:val="16"/>
              </w:rPr>
              <w:t>mL</w:t>
            </w:r>
            <w:proofErr w:type="spellEnd"/>
            <w:r w:rsidRPr="00F01347">
              <w:rPr>
                <w:rFonts w:ascii="Verdana" w:hAnsi="Verdana"/>
                <w:sz w:val="16"/>
                <w:szCs w:val="16"/>
              </w:rPr>
              <w:t xml:space="preserve"> de solución de dilución estándar y desechar el </w:t>
            </w:r>
            <w:proofErr w:type="spellStart"/>
            <w:r w:rsidRPr="00F01347">
              <w:rPr>
                <w:rFonts w:ascii="Verdana" w:hAnsi="Verdana"/>
                <w:sz w:val="16"/>
                <w:szCs w:val="16"/>
              </w:rPr>
              <w:t>eluido</w:t>
            </w:r>
            <w:proofErr w:type="spellEnd"/>
            <w:r w:rsidRPr="00F01347">
              <w:rPr>
                <w:rFonts w:ascii="Verdana" w:hAnsi="Verdana"/>
                <w:sz w:val="16"/>
                <w:szCs w:val="16"/>
              </w:rPr>
              <w:t xml:space="preserve">. Cuando la solución de enjuague haya pasado a través del cartucho, </w:t>
            </w:r>
            <w:proofErr w:type="spellStart"/>
            <w:r w:rsidRPr="00F01347">
              <w:rPr>
                <w:rFonts w:ascii="Verdana" w:hAnsi="Verdana"/>
                <w:sz w:val="16"/>
                <w:szCs w:val="16"/>
              </w:rPr>
              <w:t>eluir</w:t>
            </w:r>
            <w:proofErr w:type="spellEnd"/>
            <w:r w:rsidRPr="00F01347">
              <w:rPr>
                <w:rFonts w:ascii="Verdana" w:hAnsi="Verdana"/>
                <w:sz w:val="16"/>
                <w:szCs w:val="16"/>
              </w:rPr>
              <w:t xml:space="preserve">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limpias según las recomendaciones del proveedor, por ejemplo 2.0 </w:t>
            </w:r>
            <w:proofErr w:type="spellStart"/>
            <w:r w:rsidRPr="00F01347">
              <w:rPr>
                <w:rFonts w:ascii="Verdana" w:hAnsi="Verdana"/>
                <w:sz w:val="16"/>
                <w:szCs w:val="16"/>
              </w:rPr>
              <w:t>mL</w:t>
            </w:r>
            <w:proofErr w:type="spellEnd"/>
            <w:r w:rsidRPr="00F01347">
              <w:rPr>
                <w:rFonts w:ascii="Verdana" w:hAnsi="Verdana"/>
                <w:sz w:val="16"/>
                <w:szCs w:val="16"/>
              </w:rPr>
              <w:t xml:space="preserve"> de solución de elución de SPE en un vial de vidrio de 4 </w:t>
            </w:r>
            <w:proofErr w:type="spellStart"/>
            <w:r w:rsidRPr="00F01347">
              <w:rPr>
                <w:rFonts w:ascii="Verdana" w:hAnsi="Verdana"/>
                <w:sz w:val="16"/>
                <w:szCs w:val="16"/>
              </w:rPr>
              <w:t>mL</w:t>
            </w:r>
            <w:proofErr w:type="spellEnd"/>
            <w:r w:rsidRPr="00F01347">
              <w:rPr>
                <w:rFonts w:ascii="Verdana" w:hAnsi="Verdana"/>
                <w:sz w:val="16"/>
                <w:szCs w:val="16"/>
              </w:rPr>
              <w:t xml:space="preserve">. Evaporar el eluyente hasta la sequedad con una corriente de nitrógeno (40°C), volver a disolver en 500 µL de solución estándar de dilución) y someter a ultrasonidos la muestra en un baño durante 5 minutos. Si la dilución de la muestra es necesaria, diluir 100 µL del extracto de muestra con 900 µL de solución estándar de dilución. Si la limpieza de cartuchos no reduce la </w:t>
            </w:r>
            <w:proofErr w:type="spellStart"/>
            <w:r w:rsidRPr="00F01347">
              <w:rPr>
                <w:rFonts w:ascii="Verdana" w:hAnsi="Verdana"/>
                <w:sz w:val="16"/>
                <w:szCs w:val="16"/>
              </w:rPr>
              <w:t>coelución</w:t>
            </w:r>
            <w:proofErr w:type="spellEnd"/>
            <w:r w:rsidRPr="00F01347">
              <w:rPr>
                <w:rFonts w:ascii="Verdana" w:hAnsi="Verdana"/>
                <w:sz w:val="16"/>
                <w:szCs w:val="16"/>
              </w:rPr>
              <w:t xml:space="preserve">, pueden utilizarse como técnicas alternativas la cromatografía por exclusión de tamaño (SEC), la limpieza con columnas de </w:t>
            </w:r>
            <w:proofErr w:type="spellStart"/>
            <w:r w:rsidRPr="00F01347">
              <w:rPr>
                <w:rFonts w:ascii="Verdana" w:hAnsi="Verdana"/>
                <w:sz w:val="16"/>
                <w:szCs w:val="16"/>
              </w:rPr>
              <w:t>inmunoafinidad</w:t>
            </w:r>
            <w:proofErr w:type="spellEnd"/>
            <w:r w:rsidRPr="00F01347">
              <w:rPr>
                <w:rFonts w:ascii="Verdana" w:hAnsi="Verdana"/>
                <w:sz w:val="16"/>
                <w:szCs w:val="16"/>
              </w:rPr>
              <w:t xml:space="preserve"> o mediante el uso de materiales poliméricos.</w:t>
            </w:r>
          </w:p>
        </w:tc>
        <w:tc>
          <w:tcPr>
            <w:tcW w:w="4675" w:type="dxa"/>
          </w:tcPr>
          <w:p w14:paraId="39B60B97" w14:textId="00A0E0D6" w:rsidR="00D5301A" w:rsidRPr="00F01347" w:rsidRDefault="00D5301A" w:rsidP="00D5301A">
            <w:pPr>
              <w:pStyle w:val="texto0"/>
              <w:ind w:firstLine="0"/>
              <w:rPr>
                <w:rFonts w:ascii="Verdana" w:hAnsi="Verdana"/>
                <w:sz w:val="16"/>
                <w:szCs w:val="16"/>
                <w:lang w:val="en-US"/>
              </w:rPr>
            </w:pPr>
            <w:r w:rsidRPr="00F01347">
              <w:rPr>
                <w:rFonts w:ascii="Verdana" w:hAnsi="Verdana"/>
                <w:sz w:val="16"/>
                <w:szCs w:val="16"/>
                <w:lang w:val="en-US"/>
              </w:rPr>
              <w:t xml:space="preserve">For cleanup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using SPE, apply the extracted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to the top of the conditioned cartridge and rinse the extract vial with an additional 500 µL of dilution standard solution </w:t>
            </w:r>
            <w:proofErr w:type="gramStart"/>
            <w:r w:rsidRPr="00F01347">
              <w:rPr>
                <w:rFonts w:ascii="Verdana" w:hAnsi="Verdana"/>
                <w:sz w:val="16"/>
                <w:szCs w:val="16"/>
                <w:lang w:val="en-US"/>
              </w:rPr>
              <w:t>and also</w:t>
            </w:r>
            <w:proofErr w:type="gramEnd"/>
            <w:r w:rsidRPr="00F01347">
              <w:rPr>
                <w:rFonts w:ascii="Verdana" w:hAnsi="Verdana"/>
                <w:sz w:val="16"/>
                <w:szCs w:val="16"/>
                <w:lang w:val="en-US"/>
              </w:rPr>
              <w:t xml:space="preserve"> apply it to the top of the cartridge. After the liquid has passed through the cartridge, rinse with 4 mL of standard dilution solution and discard the eluate</w:t>
            </w:r>
            <w:r w:rsidR="003E1BA9" w:rsidRPr="00F01347">
              <w:rPr>
                <w:rFonts w:ascii="Verdana" w:hAnsi="Verdana"/>
                <w:sz w:val="16"/>
                <w:szCs w:val="16"/>
                <w:lang w:val="en-US"/>
              </w:rPr>
              <w:t>.</w:t>
            </w:r>
            <w:r w:rsidRPr="00F01347">
              <w:rPr>
                <w:rFonts w:ascii="Verdana" w:hAnsi="Verdana"/>
                <w:sz w:val="16"/>
                <w:szCs w:val="16"/>
                <w:lang w:val="en-US"/>
              </w:rPr>
              <w:t xml:space="preserve"> When the rinse solution has passed through the cartridge, elute the clean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according to the supplier's recommendations, for example 2.0 mL of SPE elution solution in a 4 mL glass vial</w:t>
            </w:r>
            <w:r w:rsidR="003E1BA9" w:rsidRPr="00F01347">
              <w:rPr>
                <w:rFonts w:ascii="Verdana" w:hAnsi="Verdana"/>
                <w:sz w:val="16"/>
                <w:szCs w:val="16"/>
                <w:lang w:val="en-US"/>
              </w:rPr>
              <w:t>.</w:t>
            </w:r>
            <w:r w:rsidRPr="00F01347">
              <w:rPr>
                <w:rFonts w:ascii="Verdana" w:hAnsi="Verdana"/>
                <w:sz w:val="16"/>
                <w:szCs w:val="16"/>
                <w:lang w:val="en-US"/>
              </w:rPr>
              <w:t xml:space="preserve"> Evaporate the eluent to dryness with a stream of nitrogen (40°C), redissolve in 500 µL of standard dilution solution) and sonicate the sample in a bath for 5 minutes. If sample dilution is necessary, dilute 100 µL of sample extract with 900 µL of dilution standard solution. If cartridge cleaning does not reduce coelution</w:t>
            </w:r>
            <w:r w:rsidR="003E1BA9" w:rsidRPr="00F01347">
              <w:rPr>
                <w:rFonts w:ascii="Verdana" w:hAnsi="Verdana"/>
                <w:sz w:val="16"/>
                <w:szCs w:val="16"/>
                <w:lang w:val="en-US"/>
              </w:rPr>
              <w:t>,</w:t>
            </w:r>
            <w:r w:rsidRPr="00F01347">
              <w:rPr>
                <w:rFonts w:ascii="Verdana" w:hAnsi="Verdana"/>
                <w:sz w:val="16"/>
                <w:szCs w:val="16"/>
                <w:lang w:val="en-US"/>
              </w:rPr>
              <w:t xml:space="preserve"> size exclusion chromatography (SEC), cleaning with immunoaffinity columns</w:t>
            </w:r>
            <w:r w:rsidR="003E1BA9" w:rsidRPr="00F01347">
              <w:rPr>
                <w:rFonts w:ascii="Verdana" w:hAnsi="Verdana"/>
                <w:sz w:val="16"/>
                <w:szCs w:val="16"/>
                <w:lang w:val="en-US"/>
              </w:rPr>
              <w:t>,</w:t>
            </w:r>
            <w:r w:rsidRPr="00F01347">
              <w:rPr>
                <w:rFonts w:ascii="Verdana" w:hAnsi="Verdana"/>
                <w:sz w:val="16"/>
                <w:szCs w:val="16"/>
                <w:lang w:val="en-US"/>
              </w:rPr>
              <w:t xml:space="preserve"> or using polymeric materials can be used as alternative techniques.</w:t>
            </w:r>
          </w:p>
        </w:tc>
      </w:tr>
      <w:tr w:rsidR="00D5301A" w:rsidRPr="00F01347" w14:paraId="49569029" w14:textId="5325519D" w:rsidTr="00BE4B19">
        <w:tc>
          <w:tcPr>
            <w:tcW w:w="4675" w:type="dxa"/>
          </w:tcPr>
          <w:p w14:paraId="07E3CDB0" w14:textId="77777777" w:rsidR="00D5301A" w:rsidRPr="00F01347" w:rsidRDefault="00D5301A" w:rsidP="00D5301A">
            <w:pPr>
              <w:pStyle w:val="texto0"/>
              <w:ind w:firstLine="0"/>
              <w:rPr>
                <w:rFonts w:ascii="Verdana" w:hAnsi="Verdana"/>
                <w:sz w:val="16"/>
                <w:szCs w:val="16"/>
              </w:rPr>
            </w:pPr>
            <w:r w:rsidRPr="00F01347">
              <w:rPr>
                <w:rFonts w:ascii="Verdana" w:hAnsi="Verdana"/>
                <w:sz w:val="16"/>
                <w:szCs w:val="16"/>
              </w:rPr>
              <w:t xml:space="preserve">Para garantizar la máxima precisión durante la cromatografía de líquidos de alta resolución (HPLC), inyectar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purificadas o enriquecidas según las instrucciones del fabricante en el puerto de inyección o válvula de inyección. Separar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por HPLC a 35 °C con una columna de fase reversa utilizando el gradiente. Ajustar el flujo de volumen y el volumen de inyección según las dimensiones de la columna (diámetro interno, tamaño de partícula) para obtener la forma óptima de pico y resolución.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w:t>
            </w:r>
            <w:proofErr w:type="spellStart"/>
            <w:r w:rsidRPr="00F01347">
              <w:rPr>
                <w:rFonts w:ascii="Verdana" w:hAnsi="Verdana"/>
                <w:sz w:val="16"/>
                <w:szCs w:val="16"/>
              </w:rPr>
              <w:t>eluyen</w:t>
            </w:r>
            <w:proofErr w:type="spellEnd"/>
            <w:r w:rsidRPr="00F01347">
              <w:rPr>
                <w:rFonts w:ascii="Verdana" w:hAnsi="Verdana"/>
                <w:sz w:val="16"/>
                <w:szCs w:val="16"/>
              </w:rPr>
              <w:t xml:space="preserve"> en el orden MC-RR, MC-YR y MC-LR y deben ser resueltas en línea base.</w:t>
            </w:r>
          </w:p>
        </w:tc>
        <w:tc>
          <w:tcPr>
            <w:tcW w:w="4675" w:type="dxa"/>
          </w:tcPr>
          <w:p w14:paraId="59B8CD46" w14:textId="5FCF0040" w:rsidR="00D5301A" w:rsidRPr="00F01347" w:rsidRDefault="00D5301A" w:rsidP="00D5301A">
            <w:pPr>
              <w:pStyle w:val="texto0"/>
              <w:ind w:firstLine="0"/>
              <w:rPr>
                <w:rFonts w:ascii="Verdana" w:hAnsi="Verdana"/>
                <w:sz w:val="16"/>
                <w:szCs w:val="16"/>
                <w:lang w:val="en-US"/>
              </w:rPr>
            </w:pPr>
            <w:r w:rsidRPr="00F01347">
              <w:rPr>
                <w:rFonts w:ascii="Verdana" w:hAnsi="Verdana"/>
                <w:sz w:val="16"/>
                <w:szCs w:val="16"/>
                <w:lang w:val="en-US"/>
              </w:rPr>
              <w:t xml:space="preserve">To ensure maximum precision during high-performance liquid chromatography (HPLC), inject purified or enriched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according to the manufacturer's instructions into the injection port or injection valve. Separate the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by HPLC at 35 °C with a reversed phase column using the gradient. Adjust volume flow and injection volume according to column dimensions (inner diameter, particle size) to obtain optimal peak shape and resolution. The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They elute in the order MC-RR, MC-YR and MC-LR and must be resolved at baseline.</w:t>
            </w:r>
          </w:p>
        </w:tc>
      </w:tr>
      <w:tr w:rsidR="00D5301A" w:rsidRPr="00F01347" w14:paraId="2F49BCA3" w14:textId="0CDDBF5B" w:rsidTr="00BE4B19">
        <w:tc>
          <w:tcPr>
            <w:tcW w:w="4675" w:type="dxa"/>
          </w:tcPr>
          <w:p w14:paraId="18E549B7" w14:textId="77777777" w:rsidR="00D5301A" w:rsidRPr="00F01347" w:rsidRDefault="00D5301A" w:rsidP="00D5301A">
            <w:pPr>
              <w:pStyle w:val="texto0"/>
              <w:ind w:firstLine="0"/>
              <w:rPr>
                <w:rFonts w:ascii="Verdana" w:hAnsi="Verdana"/>
                <w:sz w:val="16"/>
                <w:szCs w:val="16"/>
              </w:rPr>
            </w:pPr>
            <w:r w:rsidRPr="00F01347">
              <w:rPr>
                <w:rFonts w:ascii="Verdana" w:hAnsi="Verdana"/>
                <w:sz w:val="16"/>
                <w:szCs w:val="16"/>
              </w:rPr>
              <w:t xml:space="preserve">Determinar los espectros de absorción entre 200 y 300 nm para confirmar la identificación, en la Fig. B.1.3-1 y Fig. B.1.3-2, de este Apéndice, se muestra respectivamente un cromatograma típico y los </w:t>
            </w:r>
            <w:r w:rsidRPr="00F01347">
              <w:rPr>
                <w:rFonts w:ascii="Verdana" w:hAnsi="Verdana"/>
                <w:sz w:val="16"/>
                <w:szCs w:val="16"/>
              </w:rPr>
              <w:lastRenderedPageBreak/>
              <w:t xml:space="preserve">espectros de absorción típicos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con detección de PDA.</w:t>
            </w:r>
          </w:p>
        </w:tc>
        <w:tc>
          <w:tcPr>
            <w:tcW w:w="4675" w:type="dxa"/>
          </w:tcPr>
          <w:p w14:paraId="3202C79F" w14:textId="234983AC" w:rsidR="00D5301A" w:rsidRPr="00F01347" w:rsidRDefault="00D5301A" w:rsidP="00D5301A">
            <w:pPr>
              <w:pStyle w:val="texto0"/>
              <w:ind w:firstLine="0"/>
              <w:rPr>
                <w:rFonts w:ascii="Verdana" w:hAnsi="Verdana"/>
                <w:sz w:val="16"/>
                <w:szCs w:val="16"/>
                <w:lang w:val="en-US"/>
              </w:rPr>
            </w:pPr>
            <w:r w:rsidRPr="00F01347">
              <w:rPr>
                <w:rFonts w:ascii="Verdana" w:hAnsi="Verdana"/>
                <w:sz w:val="16"/>
                <w:szCs w:val="16"/>
                <w:lang w:val="en-US"/>
              </w:rPr>
              <w:lastRenderedPageBreak/>
              <w:t xml:space="preserve">Determine the absorption spectra between 200 and 300 nm to confirm the identification, in Fig. B.1.3-1 and Fig. B.1.3-2, of this Appendix, a typical chromatogram and </w:t>
            </w:r>
            <w:r w:rsidRPr="00F01347">
              <w:rPr>
                <w:rFonts w:ascii="Verdana" w:hAnsi="Verdana"/>
                <w:sz w:val="16"/>
                <w:szCs w:val="16"/>
                <w:lang w:val="en-US"/>
              </w:rPr>
              <w:lastRenderedPageBreak/>
              <w:t xml:space="preserve">the typical absorption spectra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with PDA detection.</w:t>
            </w:r>
          </w:p>
        </w:tc>
      </w:tr>
    </w:tbl>
    <w:p w14:paraId="4E3C87CA" w14:textId="68B9C014" w:rsidR="00A74CDF" w:rsidRPr="00F01347" w:rsidRDefault="00A74CDF" w:rsidP="001619F6">
      <w:pPr>
        <w:pStyle w:val="texto0"/>
        <w:spacing w:line="240" w:lineRule="auto"/>
        <w:ind w:firstLine="0"/>
        <w:jc w:val="center"/>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7926"/>
      </w:tblGrid>
      <w:tr w:rsidR="007B4DF4" w:rsidRPr="00F01347" w14:paraId="4E85AD24" w14:textId="77777777" w:rsidTr="007B4DF4">
        <w:tc>
          <w:tcPr>
            <w:tcW w:w="4675" w:type="dxa"/>
          </w:tcPr>
          <w:p w14:paraId="0FFB0889" w14:textId="77777777" w:rsidR="007B4DF4" w:rsidRPr="00F01347" w:rsidRDefault="007B4DF4" w:rsidP="001619F6">
            <w:pPr>
              <w:pStyle w:val="texto0"/>
              <w:spacing w:line="240" w:lineRule="auto"/>
              <w:ind w:firstLine="0"/>
              <w:jc w:val="center"/>
              <w:rPr>
                <w:rFonts w:ascii="Verdana" w:hAnsi="Verdana"/>
                <w:sz w:val="16"/>
                <w:szCs w:val="16"/>
                <w:lang w:val="en-US"/>
              </w:rPr>
            </w:pPr>
          </w:p>
          <w:p w14:paraId="3EE60E4F" w14:textId="77777777" w:rsidR="007B4DF4" w:rsidRPr="00F01347" w:rsidRDefault="007B4DF4" w:rsidP="001619F6">
            <w:pPr>
              <w:pStyle w:val="texto0"/>
              <w:spacing w:line="240" w:lineRule="auto"/>
              <w:ind w:firstLine="0"/>
              <w:jc w:val="center"/>
              <w:rPr>
                <w:rFonts w:ascii="Verdana" w:hAnsi="Verdana"/>
                <w:sz w:val="16"/>
                <w:szCs w:val="16"/>
                <w:lang w:val="en-US"/>
              </w:rPr>
            </w:pPr>
          </w:p>
          <w:p w14:paraId="48226579" w14:textId="77777777" w:rsidR="007B4DF4" w:rsidRPr="00F01347" w:rsidRDefault="007B4DF4" w:rsidP="001619F6">
            <w:pPr>
              <w:pStyle w:val="texto0"/>
              <w:spacing w:line="240" w:lineRule="auto"/>
              <w:ind w:firstLine="0"/>
              <w:jc w:val="center"/>
              <w:rPr>
                <w:rFonts w:ascii="Verdana" w:hAnsi="Verdana"/>
                <w:sz w:val="16"/>
                <w:szCs w:val="16"/>
                <w:lang w:val="en-US"/>
              </w:rPr>
            </w:pPr>
          </w:p>
          <w:p w14:paraId="6F389730" w14:textId="77777777" w:rsidR="007B4DF4" w:rsidRPr="00F01347" w:rsidRDefault="007B4DF4" w:rsidP="001619F6">
            <w:pPr>
              <w:pStyle w:val="texto0"/>
              <w:spacing w:line="240" w:lineRule="auto"/>
              <w:ind w:firstLine="0"/>
              <w:jc w:val="center"/>
              <w:rPr>
                <w:rFonts w:ascii="Verdana" w:hAnsi="Verdana"/>
                <w:sz w:val="16"/>
                <w:szCs w:val="16"/>
                <w:lang w:val="en-US"/>
              </w:rPr>
            </w:pPr>
          </w:p>
          <w:p w14:paraId="47ED0A9D" w14:textId="4D640012" w:rsidR="007B4DF4" w:rsidRPr="00F01347" w:rsidRDefault="00A37395" w:rsidP="001619F6">
            <w:pPr>
              <w:pStyle w:val="texto0"/>
              <w:spacing w:line="240" w:lineRule="auto"/>
              <w:ind w:firstLine="0"/>
              <w:jc w:val="center"/>
              <w:rPr>
                <w:rFonts w:ascii="Verdana" w:hAnsi="Verdana"/>
                <w:b/>
                <w:bCs/>
                <w:sz w:val="16"/>
                <w:szCs w:val="16"/>
              </w:rPr>
            </w:pPr>
            <w:proofErr w:type="spellStart"/>
            <w:r w:rsidRPr="00F01347">
              <w:rPr>
                <w:rFonts w:ascii="Verdana" w:hAnsi="Verdana"/>
                <w:b/>
                <w:bCs/>
                <w:sz w:val="16"/>
                <w:szCs w:val="16"/>
              </w:rPr>
              <w:t>intensity</w:t>
            </w:r>
            <w:proofErr w:type="spellEnd"/>
          </w:p>
        </w:tc>
        <w:tc>
          <w:tcPr>
            <w:tcW w:w="4675" w:type="dxa"/>
          </w:tcPr>
          <w:p w14:paraId="6BBD0C17" w14:textId="1BCE69D0" w:rsidR="007B4DF4" w:rsidRPr="00F01347" w:rsidRDefault="007B4DF4" w:rsidP="001619F6">
            <w:pPr>
              <w:pStyle w:val="texto0"/>
              <w:spacing w:line="240" w:lineRule="auto"/>
              <w:ind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58BE1220" wp14:editId="0ECA2CFF">
                  <wp:extent cx="4895850" cy="3324225"/>
                  <wp:effectExtent l="0" t="0" r="0" b="0"/>
                  <wp:docPr id="1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95850" cy="3324225"/>
                          </a:xfrm>
                          <a:prstGeom prst="rect">
                            <a:avLst/>
                          </a:prstGeom>
                          <a:noFill/>
                          <a:ln>
                            <a:noFill/>
                          </a:ln>
                        </pic:spPr>
                      </pic:pic>
                    </a:graphicData>
                  </a:graphic>
                </wp:inline>
              </w:drawing>
            </w:r>
          </w:p>
        </w:tc>
      </w:tr>
      <w:tr w:rsidR="007B4DF4" w:rsidRPr="00F01347" w14:paraId="0B59ABDA" w14:textId="77777777" w:rsidTr="007B4DF4">
        <w:tc>
          <w:tcPr>
            <w:tcW w:w="4675" w:type="dxa"/>
          </w:tcPr>
          <w:p w14:paraId="79500F5F" w14:textId="77777777" w:rsidR="007B4DF4" w:rsidRPr="00F01347" w:rsidRDefault="007B4DF4" w:rsidP="001619F6">
            <w:pPr>
              <w:pStyle w:val="texto0"/>
              <w:spacing w:line="240" w:lineRule="auto"/>
              <w:ind w:firstLine="0"/>
              <w:jc w:val="center"/>
              <w:rPr>
                <w:rFonts w:ascii="Verdana" w:hAnsi="Verdana"/>
                <w:sz w:val="16"/>
                <w:szCs w:val="16"/>
              </w:rPr>
            </w:pPr>
          </w:p>
        </w:tc>
        <w:tc>
          <w:tcPr>
            <w:tcW w:w="4675" w:type="dxa"/>
          </w:tcPr>
          <w:p w14:paraId="0F6AB2CA" w14:textId="6D10672E" w:rsidR="007B4DF4" w:rsidRPr="00F01347" w:rsidRDefault="00A37395" w:rsidP="001619F6">
            <w:pPr>
              <w:pStyle w:val="texto0"/>
              <w:spacing w:line="240" w:lineRule="auto"/>
              <w:ind w:firstLine="0"/>
              <w:jc w:val="center"/>
              <w:rPr>
                <w:rFonts w:ascii="Verdana" w:hAnsi="Verdana"/>
                <w:sz w:val="16"/>
                <w:szCs w:val="16"/>
              </w:rPr>
            </w:pPr>
            <w:r w:rsidRPr="00F01347">
              <w:rPr>
                <w:rFonts w:ascii="Verdana" w:hAnsi="Verdana"/>
                <w:b/>
                <w:bCs/>
                <w:sz w:val="16"/>
                <w:szCs w:val="16"/>
                <w:lang w:val="en-US"/>
              </w:rPr>
              <w:t>Retention time (minutes</w:t>
            </w:r>
            <w:r w:rsidRPr="00F01347">
              <w:rPr>
                <w:rFonts w:ascii="Verdana" w:hAnsi="Verdana"/>
                <w:sz w:val="16"/>
                <w:szCs w:val="16"/>
              </w:rPr>
              <w:t>)</w:t>
            </w:r>
          </w:p>
        </w:tc>
      </w:tr>
    </w:tbl>
    <w:p w14:paraId="65CB50AC" w14:textId="77777777" w:rsidR="001619F6" w:rsidRPr="00F01347" w:rsidRDefault="001619F6" w:rsidP="001619F6">
      <w:pPr>
        <w:pStyle w:val="texto0"/>
        <w:spacing w:line="240" w:lineRule="au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20966" w:rsidRPr="00F01347" w14:paraId="59B739A7" w14:textId="4B6BC724" w:rsidTr="0047699F">
        <w:tc>
          <w:tcPr>
            <w:tcW w:w="4675" w:type="dxa"/>
          </w:tcPr>
          <w:p w14:paraId="42F20504" w14:textId="77777777" w:rsidR="00020966" w:rsidRPr="00F01347" w:rsidRDefault="00020966" w:rsidP="00020966">
            <w:pPr>
              <w:pStyle w:val="texto0"/>
              <w:spacing w:line="236" w:lineRule="exact"/>
              <w:ind w:firstLine="0"/>
              <w:rPr>
                <w:rFonts w:ascii="Verdana" w:hAnsi="Verdana"/>
                <w:sz w:val="16"/>
                <w:szCs w:val="16"/>
              </w:rPr>
            </w:pPr>
            <w:r w:rsidRPr="00F01347">
              <w:rPr>
                <w:rFonts w:ascii="Verdana" w:hAnsi="Verdana"/>
                <w:b/>
                <w:sz w:val="16"/>
                <w:szCs w:val="16"/>
              </w:rPr>
              <w:t>Fig. B.1.3-1</w:t>
            </w:r>
            <w:r w:rsidRPr="00F01347">
              <w:rPr>
                <w:rFonts w:ascii="Verdana" w:hAnsi="Verdana"/>
                <w:sz w:val="16"/>
                <w:szCs w:val="16"/>
              </w:rPr>
              <w:t xml:space="preserve"> Cromatograma típico de MC-RR (9.91 min), MC-YR (11.21 min) y MC-LR (12.461 min) en una muestra de agua enriquecida después de SPE (concentración en la muestra de agua 1 000 ng/L)</w:t>
            </w:r>
          </w:p>
        </w:tc>
        <w:tc>
          <w:tcPr>
            <w:tcW w:w="4675" w:type="dxa"/>
          </w:tcPr>
          <w:p w14:paraId="00C38A12" w14:textId="2022FB59" w:rsidR="00020966" w:rsidRPr="00F01347" w:rsidRDefault="00020966" w:rsidP="00020966">
            <w:pPr>
              <w:pStyle w:val="texto0"/>
              <w:spacing w:line="236" w:lineRule="exact"/>
              <w:ind w:firstLine="0"/>
              <w:rPr>
                <w:rFonts w:ascii="Verdana" w:hAnsi="Verdana"/>
                <w:b/>
                <w:sz w:val="16"/>
                <w:szCs w:val="16"/>
                <w:lang w:val="en-US"/>
              </w:rPr>
            </w:pPr>
            <w:r w:rsidRPr="00F01347">
              <w:rPr>
                <w:rFonts w:ascii="Verdana" w:hAnsi="Verdana"/>
                <w:b/>
                <w:sz w:val="16"/>
                <w:szCs w:val="16"/>
                <w:lang w:val="en-US"/>
              </w:rPr>
              <w:t xml:space="preserve">Fig. B.1.3-1 </w:t>
            </w:r>
            <w:r w:rsidRPr="00F01347">
              <w:rPr>
                <w:rFonts w:ascii="Verdana" w:hAnsi="Verdana"/>
                <w:sz w:val="16"/>
                <w:szCs w:val="16"/>
                <w:lang w:val="en-US"/>
              </w:rPr>
              <w:t>Typical chromatogram of MC-RR (9.91 min), MC-YR (11.21 min) and MC-LR (12.461 min) in a spiked water sample after SPE (concentration in water sample 1 000ng/L)</w:t>
            </w:r>
          </w:p>
        </w:tc>
      </w:tr>
      <w:tr w:rsidR="00020966" w:rsidRPr="00F01347" w14:paraId="540ACE49" w14:textId="5508310F" w:rsidTr="0047699F">
        <w:tc>
          <w:tcPr>
            <w:tcW w:w="4675" w:type="dxa"/>
          </w:tcPr>
          <w:p w14:paraId="652B9548" w14:textId="77777777" w:rsidR="00020966" w:rsidRPr="00F01347" w:rsidRDefault="00020966" w:rsidP="00020966">
            <w:pPr>
              <w:pStyle w:val="texto0"/>
              <w:spacing w:line="236" w:lineRule="exact"/>
              <w:ind w:firstLine="0"/>
              <w:rPr>
                <w:rFonts w:ascii="Verdana" w:hAnsi="Verdana"/>
                <w:sz w:val="16"/>
                <w:szCs w:val="16"/>
                <w:u w:val="single"/>
              </w:rPr>
            </w:pPr>
            <w:r w:rsidRPr="00F01347">
              <w:rPr>
                <w:rFonts w:ascii="Verdana" w:hAnsi="Verdana"/>
                <w:sz w:val="16"/>
                <w:szCs w:val="16"/>
                <w:u w:val="single"/>
              </w:rPr>
              <w:t>Condiciones de operación</w:t>
            </w:r>
          </w:p>
        </w:tc>
        <w:tc>
          <w:tcPr>
            <w:tcW w:w="4675" w:type="dxa"/>
          </w:tcPr>
          <w:p w14:paraId="364EEF81" w14:textId="79115BCC" w:rsidR="00020966" w:rsidRPr="00F01347" w:rsidRDefault="00020966" w:rsidP="00020966">
            <w:pPr>
              <w:pStyle w:val="texto0"/>
              <w:spacing w:line="236" w:lineRule="exact"/>
              <w:ind w:firstLine="0"/>
              <w:rPr>
                <w:rFonts w:ascii="Verdana" w:hAnsi="Verdana"/>
                <w:sz w:val="16"/>
                <w:szCs w:val="16"/>
                <w:u w:val="single"/>
                <w:lang w:val="en-US"/>
              </w:rPr>
            </w:pPr>
            <w:r w:rsidRPr="00F01347">
              <w:rPr>
                <w:rFonts w:ascii="Verdana" w:hAnsi="Verdana"/>
                <w:sz w:val="16"/>
                <w:szCs w:val="16"/>
                <w:u w:val="single"/>
                <w:lang w:val="en-US"/>
              </w:rPr>
              <w:t>Operating conditions</w:t>
            </w:r>
          </w:p>
        </w:tc>
      </w:tr>
      <w:tr w:rsidR="00020966" w:rsidRPr="00F01347" w14:paraId="2515C688" w14:textId="664A13FC" w:rsidTr="0047699F">
        <w:tc>
          <w:tcPr>
            <w:tcW w:w="4675" w:type="dxa"/>
          </w:tcPr>
          <w:p w14:paraId="3D98AC46" w14:textId="77777777" w:rsidR="00020966" w:rsidRPr="00F01347" w:rsidRDefault="00020966" w:rsidP="00020966">
            <w:pPr>
              <w:pStyle w:val="texto0"/>
              <w:spacing w:line="236" w:lineRule="exact"/>
              <w:ind w:firstLine="0"/>
              <w:rPr>
                <w:rFonts w:ascii="Verdana" w:hAnsi="Verdana"/>
                <w:sz w:val="16"/>
                <w:szCs w:val="16"/>
              </w:rPr>
            </w:pPr>
            <w:r w:rsidRPr="00F01347">
              <w:rPr>
                <w:rFonts w:ascii="Verdana" w:hAnsi="Verdana"/>
                <w:sz w:val="16"/>
                <w:szCs w:val="16"/>
              </w:rPr>
              <w:t>Volumen de inyección: 20 µl</w:t>
            </w:r>
          </w:p>
        </w:tc>
        <w:tc>
          <w:tcPr>
            <w:tcW w:w="4675" w:type="dxa"/>
          </w:tcPr>
          <w:p w14:paraId="42ED9193" w14:textId="29FB927A" w:rsidR="00020966" w:rsidRPr="00F01347" w:rsidRDefault="00020966" w:rsidP="00020966">
            <w:pPr>
              <w:pStyle w:val="texto0"/>
              <w:spacing w:line="236" w:lineRule="exact"/>
              <w:ind w:firstLine="0"/>
              <w:rPr>
                <w:rFonts w:ascii="Verdana" w:hAnsi="Verdana"/>
                <w:sz w:val="16"/>
                <w:szCs w:val="16"/>
                <w:lang w:val="en-US"/>
              </w:rPr>
            </w:pPr>
            <w:r w:rsidRPr="00F01347">
              <w:rPr>
                <w:rFonts w:ascii="Verdana" w:hAnsi="Verdana"/>
                <w:sz w:val="16"/>
                <w:szCs w:val="16"/>
                <w:lang w:val="en-US"/>
              </w:rPr>
              <w:t>Injection volume: 20 µl</w:t>
            </w:r>
          </w:p>
        </w:tc>
      </w:tr>
      <w:tr w:rsidR="00020966" w:rsidRPr="00F01347" w14:paraId="4FAA0DA3" w14:textId="3A4E4D39" w:rsidTr="0047699F">
        <w:tc>
          <w:tcPr>
            <w:tcW w:w="4675" w:type="dxa"/>
          </w:tcPr>
          <w:p w14:paraId="4F6E25B9" w14:textId="77777777" w:rsidR="00020966" w:rsidRPr="00F01347" w:rsidRDefault="00020966" w:rsidP="00020966">
            <w:pPr>
              <w:pStyle w:val="texto0"/>
              <w:spacing w:line="236" w:lineRule="exact"/>
              <w:ind w:firstLine="0"/>
              <w:rPr>
                <w:rFonts w:ascii="Verdana" w:hAnsi="Verdana"/>
                <w:sz w:val="16"/>
                <w:szCs w:val="16"/>
              </w:rPr>
            </w:pPr>
            <w:r w:rsidRPr="00F01347">
              <w:rPr>
                <w:rFonts w:ascii="Verdana" w:hAnsi="Verdana"/>
                <w:sz w:val="16"/>
                <w:szCs w:val="16"/>
              </w:rPr>
              <w:t xml:space="preserve">Columna: </w:t>
            </w:r>
            <w:proofErr w:type="spellStart"/>
            <w:r w:rsidRPr="00F01347">
              <w:rPr>
                <w:rFonts w:ascii="Verdana" w:hAnsi="Verdana"/>
                <w:sz w:val="16"/>
                <w:szCs w:val="16"/>
              </w:rPr>
              <w:t>Phenomenex</w:t>
            </w:r>
            <w:proofErr w:type="spellEnd"/>
            <w:r w:rsidRPr="00F01347">
              <w:rPr>
                <w:rFonts w:ascii="Verdana" w:hAnsi="Verdana"/>
                <w:sz w:val="16"/>
                <w:szCs w:val="16"/>
              </w:rPr>
              <w:t>, LUNA</w:t>
            </w:r>
            <w:r w:rsidRPr="00F01347">
              <w:rPr>
                <w:rFonts w:ascii="Verdana" w:hAnsi="Verdana"/>
                <w:noProof/>
                <w:sz w:val="16"/>
                <w:szCs w:val="16"/>
              </w:rPr>
              <w:drawing>
                <wp:inline distT="0" distB="0" distL="0" distR="0" wp14:anchorId="53F8AC9F" wp14:editId="060335F8">
                  <wp:extent cx="95250" cy="95250"/>
                  <wp:effectExtent l="0" t="0" r="0" b="0"/>
                  <wp:docPr id="1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01347">
              <w:rPr>
                <w:rFonts w:ascii="Verdana" w:hAnsi="Verdana"/>
                <w:sz w:val="16"/>
                <w:szCs w:val="16"/>
              </w:rPr>
              <w:t>, C18(2), 250 × 4.6 mm, 3 µm</w:t>
            </w:r>
          </w:p>
        </w:tc>
        <w:tc>
          <w:tcPr>
            <w:tcW w:w="4675" w:type="dxa"/>
          </w:tcPr>
          <w:p w14:paraId="68F54977" w14:textId="3E7D76F1" w:rsidR="00020966" w:rsidRPr="00F01347" w:rsidRDefault="00020966" w:rsidP="00020966">
            <w:pPr>
              <w:pStyle w:val="texto0"/>
              <w:spacing w:line="236" w:lineRule="exact"/>
              <w:ind w:firstLine="0"/>
              <w:rPr>
                <w:rFonts w:ascii="Verdana" w:hAnsi="Verdana"/>
                <w:sz w:val="16"/>
                <w:szCs w:val="16"/>
              </w:rPr>
            </w:pPr>
            <w:proofErr w:type="spellStart"/>
            <w:r w:rsidRPr="00F01347">
              <w:rPr>
                <w:rFonts w:ascii="Verdana" w:hAnsi="Verdana"/>
                <w:sz w:val="16"/>
                <w:szCs w:val="16"/>
              </w:rPr>
              <w:t>Column</w:t>
            </w:r>
            <w:proofErr w:type="spellEnd"/>
            <w:r w:rsidRPr="00F01347">
              <w:rPr>
                <w:rFonts w:ascii="Verdana" w:hAnsi="Verdana"/>
                <w:sz w:val="16"/>
                <w:szCs w:val="16"/>
              </w:rPr>
              <w:t xml:space="preserve">: </w:t>
            </w:r>
            <w:proofErr w:type="spellStart"/>
            <w:r w:rsidRPr="00F01347">
              <w:rPr>
                <w:rFonts w:ascii="Verdana" w:hAnsi="Verdana"/>
                <w:sz w:val="16"/>
                <w:szCs w:val="16"/>
              </w:rPr>
              <w:t>Phenomenex</w:t>
            </w:r>
            <w:proofErr w:type="spellEnd"/>
            <w:r w:rsidR="003E1BA9" w:rsidRPr="00F01347">
              <w:rPr>
                <w:rFonts w:ascii="Verdana" w:hAnsi="Verdana"/>
                <w:sz w:val="16"/>
                <w:szCs w:val="16"/>
              </w:rPr>
              <w:t>,</w:t>
            </w:r>
            <w:r w:rsidRPr="00F01347">
              <w:rPr>
                <w:rFonts w:ascii="Verdana" w:hAnsi="Verdana"/>
                <w:sz w:val="16"/>
                <w:szCs w:val="16"/>
              </w:rPr>
              <w:t xml:space="preserve"> LUNA </w:t>
            </w:r>
            <w:r w:rsidRPr="00F01347">
              <w:rPr>
                <w:rFonts w:ascii="Verdana" w:hAnsi="Verdana"/>
                <w:noProof/>
                <w:sz w:val="16"/>
                <w:szCs w:val="16"/>
                <w:lang w:val="en-US"/>
              </w:rPr>
              <w:drawing>
                <wp:inline distT="0" distB="0" distL="0" distR="0" wp14:anchorId="32BB3E35" wp14:editId="544E43E8">
                  <wp:extent cx="95250" cy="95250"/>
                  <wp:effectExtent l="0" t="0" r="0" b="0"/>
                  <wp:docPr id="1066841487" name="Picture 106684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01347">
              <w:rPr>
                <w:rFonts w:ascii="Verdana" w:hAnsi="Verdana"/>
                <w:sz w:val="16"/>
                <w:szCs w:val="16"/>
              </w:rPr>
              <w:t>, C18(2), 250 × 4.6 mm, 3 µm</w:t>
            </w:r>
          </w:p>
        </w:tc>
      </w:tr>
      <w:tr w:rsidR="00020966" w:rsidRPr="00F01347" w14:paraId="4B77884D" w14:textId="4A8D78FE" w:rsidTr="0047699F">
        <w:tc>
          <w:tcPr>
            <w:tcW w:w="4675" w:type="dxa"/>
          </w:tcPr>
          <w:p w14:paraId="49DA017A" w14:textId="77777777" w:rsidR="00020966" w:rsidRPr="00F01347" w:rsidRDefault="00020966" w:rsidP="00020966">
            <w:pPr>
              <w:pStyle w:val="texto0"/>
              <w:spacing w:line="236" w:lineRule="exact"/>
              <w:ind w:firstLine="0"/>
              <w:rPr>
                <w:rFonts w:ascii="Verdana" w:hAnsi="Verdana"/>
                <w:sz w:val="16"/>
                <w:szCs w:val="16"/>
              </w:rPr>
            </w:pPr>
            <w:r w:rsidRPr="00F01347">
              <w:rPr>
                <w:rFonts w:ascii="Verdana" w:hAnsi="Verdana"/>
                <w:sz w:val="16"/>
                <w:szCs w:val="16"/>
              </w:rPr>
              <w:t xml:space="preserve">Tasa de flujo del volumen: 0.7 </w:t>
            </w:r>
            <w:proofErr w:type="spellStart"/>
            <w:r w:rsidRPr="00F01347">
              <w:rPr>
                <w:rFonts w:ascii="Verdana" w:hAnsi="Verdana"/>
                <w:sz w:val="16"/>
                <w:szCs w:val="16"/>
              </w:rPr>
              <w:t>mL</w:t>
            </w:r>
            <w:proofErr w:type="spellEnd"/>
            <w:r w:rsidRPr="00F01347">
              <w:rPr>
                <w:rFonts w:ascii="Verdana" w:hAnsi="Verdana"/>
                <w:sz w:val="16"/>
                <w:szCs w:val="16"/>
              </w:rPr>
              <w:t>/min</w:t>
            </w:r>
          </w:p>
        </w:tc>
        <w:tc>
          <w:tcPr>
            <w:tcW w:w="4675" w:type="dxa"/>
          </w:tcPr>
          <w:p w14:paraId="30678B1B" w14:textId="598FEE27" w:rsidR="00020966" w:rsidRPr="00F01347" w:rsidRDefault="00020966" w:rsidP="00020966">
            <w:pPr>
              <w:pStyle w:val="texto0"/>
              <w:spacing w:line="236" w:lineRule="exact"/>
              <w:ind w:firstLine="0"/>
              <w:rPr>
                <w:rFonts w:ascii="Verdana" w:hAnsi="Verdana"/>
                <w:sz w:val="16"/>
                <w:szCs w:val="16"/>
                <w:lang w:val="en-US"/>
              </w:rPr>
            </w:pPr>
            <w:r w:rsidRPr="00F01347">
              <w:rPr>
                <w:rFonts w:ascii="Verdana" w:hAnsi="Verdana"/>
                <w:sz w:val="16"/>
                <w:szCs w:val="16"/>
                <w:lang w:val="en-US"/>
              </w:rPr>
              <w:t>Volume flow rate: 0.7 mL /min</w:t>
            </w:r>
          </w:p>
        </w:tc>
      </w:tr>
      <w:tr w:rsidR="00020966" w:rsidRPr="00F01347" w14:paraId="09AE1FBB" w14:textId="4B860680" w:rsidTr="0047699F">
        <w:tc>
          <w:tcPr>
            <w:tcW w:w="4675" w:type="dxa"/>
          </w:tcPr>
          <w:p w14:paraId="43B4C9CA" w14:textId="77777777" w:rsidR="00020966" w:rsidRPr="00F01347" w:rsidRDefault="00020966" w:rsidP="00020966">
            <w:pPr>
              <w:pStyle w:val="texto0"/>
              <w:spacing w:line="236" w:lineRule="exact"/>
              <w:ind w:firstLine="0"/>
              <w:rPr>
                <w:rFonts w:ascii="Verdana" w:hAnsi="Verdana"/>
                <w:sz w:val="16"/>
                <w:szCs w:val="16"/>
              </w:rPr>
            </w:pPr>
            <w:r w:rsidRPr="00F01347">
              <w:rPr>
                <w:rFonts w:ascii="Verdana" w:hAnsi="Verdana"/>
                <w:sz w:val="16"/>
                <w:szCs w:val="16"/>
              </w:rPr>
              <w:t>Fase móvil: Agua conteniendo 0.05%TFA; acetonitrilo conteniendo 0.05%TFA</w:t>
            </w:r>
          </w:p>
        </w:tc>
        <w:tc>
          <w:tcPr>
            <w:tcW w:w="4675" w:type="dxa"/>
          </w:tcPr>
          <w:p w14:paraId="6FB427A7" w14:textId="01B023F7" w:rsidR="00020966" w:rsidRPr="00F01347" w:rsidRDefault="00020966" w:rsidP="00020966">
            <w:pPr>
              <w:pStyle w:val="texto0"/>
              <w:spacing w:line="236" w:lineRule="exact"/>
              <w:ind w:firstLine="0"/>
              <w:rPr>
                <w:rFonts w:ascii="Verdana" w:hAnsi="Verdana"/>
                <w:sz w:val="16"/>
                <w:szCs w:val="16"/>
                <w:lang w:val="en-US"/>
              </w:rPr>
            </w:pPr>
            <w:r w:rsidRPr="00F01347">
              <w:rPr>
                <w:rFonts w:ascii="Verdana" w:hAnsi="Verdana"/>
                <w:sz w:val="16"/>
                <w:szCs w:val="16"/>
                <w:lang w:val="en-US"/>
              </w:rPr>
              <w:t>Mobile phase: Water containing 0.05%TFA; acetonitrile containing 0.05%TFA</w:t>
            </w:r>
          </w:p>
        </w:tc>
      </w:tr>
      <w:tr w:rsidR="00020966" w:rsidRPr="00F01347" w14:paraId="4B534130" w14:textId="26739B60" w:rsidTr="0047699F">
        <w:tc>
          <w:tcPr>
            <w:tcW w:w="4675" w:type="dxa"/>
          </w:tcPr>
          <w:p w14:paraId="7803F823" w14:textId="77777777" w:rsidR="00020966" w:rsidRPr="00F01347" w:rsidRDefault="00020966" w:rsidP="00020966">
            <w:pPr>
              <w:pStyle w:val="texto0"/>
              <w:ind w:firstLine="0"/>
              <w:rPr>
                <w:rFonts w:ascii="Verdana" w:hAnsi="Verdana"/>
                <w:sz w:val="16"/>
                <w:szCs w:val="16"/>
                <w:lang w:val="en-US"/>
              </w:rPr>
            </w:pPr>
            <w:r w:rsidRPr="00F01347">
              <w:rPr>
                <w:rFonts w:ascii="Verdana" w:hAnsi="Verdana"/>
                <w:sz w:val="16"/>
                <w:szCs w:val="16"/>
              </w:rPr>
              <w:t>Detección: PDA a 238 nm</w:t>
            </w:r>
          </w:p>
        </w:tc>
        <w:tc>
          <w:tcPr>
            <w:tcW w:w="4675" w:type="dxa"/>
          </w:tcPr>
          <w:p w14:paraId="3C1C7C0E" w14:textId="5D606D61" w:rsidR="00020966" w:rsidRPr="00F01347" w:rsidRDefault="00020966" w:rsidP="00020966">
            <w:pPr>
              <w:pStyle w:val="texto0"/>
              <w:ind w:firstLine="0"/>
              <w:rPr>
                <w:rFonts w:ascii="Verdana" w:hAnsi="Verdana"/>
                <w:sz w:val="16"/>
                <w:szCs w:val="16"/>
                <w:lang w:val="en-US"/>
              </w:rPr>
            </w:pPr>
            <w:r w:rsidRPr="00F01347">
              <w:rPr>
                <w:rFonts w:ascii="Verdana" w:hAnsi="Verdana"/>
                <w:sz w:val="16"/>
                <w:szCs w:val="16"/>
                <w:lang w:val="en-US"/>
              </w:rPr>
              <w:t>Detection: PDA at 238nm</w:t>
            </w:r>
          </w:p>
        </w:tc>
      </w:tr>
    </w:tbl>
    <w:p w14:paraId="2F178765" w14:textId="22496E18" w:rsidR="00A74CDF" w:rsidRPr="00F01347" w:rsidRDefault="00471638" w:rsidP="003A601B">
      <w:pPr>
        <w:pStyle w:val="texto0"/>
        <w:spacing w:line="240" w:lineRule="auto"/>
        <w:ind w:firstLine="0"/>
        <w:jc w:val="center"/>
        <w:rPr>
          <w:rFonts w:ascii="Verdana" w:hAnsi="Verdana"/>
          <w:b/>
          <w:sz w:val="16"/>
          <w:szCs w:val="16"/>
        </w:rPr>
      </w:pPr>
      <w:r w:rsidRPr="00F01347">
        <w:rPr>
          <w:rFonts w:ascii="Verdana" w:hAnsi="Verdana"/>
          <w:noProof/>
          <w:sz w:val="16"/>
          <w:szCs w:val="16"/>
        </w:rPr>
        <w:lastRenderedPageBreak/>
        <w:drawing>
          <wp:inline distT="0" distB="0" distL="0" distR="0" wp14:anchorId="28D65751" wp14:editId="7A441E40">
            <wp:extent cx="5610225" cy="2038350"/>
            <wp:effectExtent l="0" t="0" r="0" b="0"/>
            <wp:docPr id="1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0225" cy="2038350"/>
                    </a:xfrm>
                    <a:prstGeom prst="rect">
                      <a:avLst/>
                    </a:prstGeom>
                    <a:noFill/>
                    <a:ln>
                      <a:noFill/>
                    </a:ln>
                  </pic:spPr>
                </pic:pic>
              </a:graphicData>
            </a:graphic>
          </wp:inline>
        </w:drawing>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490"/>
      </w:tblGrid>
      <w:tr w:rsidR="003411FB" w:rsidRPr="00F01347" w14:paraId="35946D87" w14:textId="77777777" w:rsidTr="008A300D">
        <w:tc>
          <w:tcPr>
            <w:tcW w:w="4500" w:type="dxa"/>
          </w:tcPr>
          <w:p w14:paraId="71260C15" w14:textId="54193CD2" w:rsidR="003411FB" w:rsidRPr="00F01347" w:rsidRDefault="00CE0D2C" w:rsidP="00CE0D2C">
            <w:pPr>
              <w:pStyle w:val="texto0"/>
              <w:spacing w:line="240" w:lineRule="auto"/>
              <w:ind w:firstLine="0"/>
              <w:jc w:val="left"/>
              <w:rPr>
                <w:rFonts w:ascii="Verdana" w:hAnsi="Verdana"/>
                <w:b/>
                <w:sz w:val="16"/>
                <w:szCs w:val="16"/>
                <w:lang w:val="en-US"/>
              </w:rPr>
            </w:pPr>
            <w:r w:rsidRPr="00F01347">
              <w:rPr>
                <w:rFonts w:ascii="Verdana" w:hAnsi="Verdana"/>
                <w:b/>
                <w:sz w:val="16"/>
                <w:szCs w:val="16"/>
                <w:lang w:val="en-US"/>
              </w:rPr>
              <w:t>a) Absorption spectrum typical of MC-RR in a</w:t>
            </w:r>
            <w:r w:rsidR="008A300D" w:rsidRPr="00F01347">
              <w:rPr>
                <w:rFonts w:ascii="Verdana" w:hAnsi="Verdana"/>
                <w:b/>
                <w:sz w:val="16"/>
                <w:szCs w:val="16"/>
                <w:lang w:val="en-US"/>
              </w:rPr>
              <w:t xml:space="preserve">n acetonitrile/water system </w:t>
            </w:r>
          </w:p>
        </w:tc>
        <w:tc>
          <w:tcPr>
            <w:tcW w:w="4490" w:type="dxa"/>
          </w:tcPr>
          <w:p w14:paraId="5BAA7697" w14:textId="2C6944EA" w:rsidR="003411FB" w:rsidRPr="00F01347" w:rsidRDefault="008A300D" w:rsidP="008A300D">
            <w:pPr>
              <w:pStyle w:val="texto0"/>
              <w:spacing w:line="240" w:lineRule="auto"/>
              <w:ind w:firstLine="0"/>
              <w:jc w:val="left"/>
              <w:rPr>
                <w:rFonts w:ascii="Verdana" w:hAnsi="Verdana"/>
                <w:b/>
                <w:sz w:val="16"/>
                <w:szCs w:val="16"/>
                <w:lang w:val="en-US"/>
              </w:rPr>
            </w:pPr>
            <w:r w:rsidRPr="00F01347">
              <w:rPr>
                <w:rFonts w:ascii="Verdana" w:hAnsi="Verdana"/>
                <w:b/>
                <w:sz w:val="16"/>
                <w:szCs w:val="16"/>
                <w:lang w:val="en-US"/>
              </w:rPr>
              <w:t>b) Absorption spectrum typical of MC-RR in an acetonitrile/water system</w:t>
            </w:r>
          </w:p>
        </w:tc>
      </w:tr>
    </w:tbl>
    <w:p w14:paraId="4D88F7B8" w14:textId="77777777" w:rsidR="003411FB" w:rsidRPr="00F01347" w:rsidRDefault="003411FB" w:rsidP="003A601B">
      <w:pPr>
        <w:pStyle w:val="texto0"/>
        <w:spacing w:line="240" w:lineRule="auto"/>
        <w:ind w:firstLine="0"/>
        <w:jc w:val="center"/>
        <w:rPr>
          <w:rFonts w:ascii="Verdana" w:hAnsi="Verdana"/>
          <w:b/>
          <w:sz w:val="16"/>
          <w:szCs w:val="16"/>
          <w:lang w:val="en-US"/>
        </w:rPr>
      </w:pPr>
    </w:p>
    <w:p w14:paraId="34B1FACB" w14:textId="77089612" w:rsidR="00A74CDF" w:rsidRPr="00F01347" w:rsidRDefault="00471638" w:rsidP="003A601B">
      <w:pPr>
        <w:pStyle w:val="texto0"/>
        <w:spacing w:line="240" w:lineRule="auto"/>
        <w:ind w:firstLine="0"/>
        <w:jc w:val="center"/>
        <w:rPr>
          <w:rFonts w:ascii="Verdana" w:hAnsi="Verdana"/>
          <w:b/>
          <w:sz w:val="16"/>
          <w:szCs w:val="16"/>
        </w:rPr>
      </w:pPr>
      <w:r w:rsidRPr="00F01347">
        <w:rPr>
          <w:rFonts w:ascii="Verdana" w:hAnsi="Verdana"/>
          <w:noProof/>
          <w:sz w:val="16"/>
          <w:szCs w:val="16"/>
        </w:rPr>
        <w:drawing>
          <wp:inline distT="0" distB="0" distL="0" distR="0" wp14:anchorId="41E08456" wp14:editId="4C29B4C4">
            <wp:extent cx="3181350" cy="2314575"/>
            <wp:effectExtent l="0" t="0" r="0" b="0"/>
            <wp:docPr id="1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81350" cy="2314575"/>
                    </a:xfrm>
                    <a:prstGeom prst="rect">
                      <a:avLst/>
                    </a:prstGeom>
                    <a:noFill/>
                    <a:ln>
                      <a:noFill/>
                    </a:ln>
                  </pic:spPr>
                </pic:pic>
              </a:graphicData>
            </a:graphic>
          </wp:inline>
        </w:drawing>
      </w:r>
    </w:p>
    <w:tbl>
      <w:tblPr>
        <w:tblStyle w:val="TableGrid"/>
        <w:tblW w:w="0" w:type="auto"/>
        <w:tblInd w:w="2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tblGrid>
      <w:tr w:rsidR="00370472" w:rsidRPr="00F01347" w14:paraId="65409E8B" w14:textId="77777777" w:rsidTr="008A300D">
        <w:tc>
          <w:tcPr>
            <w:tcW w:w="4770" w:type="dxa"/>
          </w:tcPr>
          <w:p w14:paraId="003B3760" w14:textId="52F72941" w:rsidR="00370472" w:rsidRPr="00F01347" w:rsidRDefault="00370472" w:rsidP="008A300D">
            <w:pPr>
              <w:pStyle w:val="texto0"/>
              <w:spacing w:line="240" w:lineRule="auto"/>
              <w:ind w:firstLine="0"/>
              <w:jc w:val="left"/>
              <w:rPr>
                <w:rFonts w:ascii="Verdana" w:hAnsi="Verdana"/>
                <w:b/>
                <w:sz w:val="16"/>
                <w:szCs w:val="16"/>
                <w:lang w:val="en-US"/>
              </w:rPr>
            </w:pPr>
            <w:r w:rsidRPr="00F01347">
              <w:rPr>
                <w:rFonts w:ascii="Verdana" w:hAnsi="Verdana"/>
                <w:b/>
                <w:sz w:val="16"/>
                <w:szCs w:val="16"/>
                <w:lang w:val="en-US"/>
              </w:rPr>
              <w:t>c) Absorption spectrum typical of MC-LR in an acetonitrile/water system</w:t>
            </w:r>
          </w:p>
        </w:tc>
      </w:tr>
    </w:tbl>
    <w:p w14:paraId="6A84D87E" w14:textId="77777777" w:rsidR="008A300D" w:rsidRPr="00F01347" w:rsidRDefault="008A300D" w:rsidP="003A601B">
      <w:pPr>
        <w:pStyle w:val="texto0"/>
        <w:spacing w:line="240" w:lineRule="auto"/>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04E9699E" w14:textId="5EB5284C" w:rsidTr="00370472">
        <w:tc>
          <w:tcPr>
            <w:tcW w:w="4675" w:type="dxa"/>
          </w:tcPr>
          <w:p w14:paraId="46F37557" w14:textId="77777777" w:rsidR="00204B58" w:rsidRPr="00F01347" w:rsidRDefault="00204B58" w:rsidP="00D56AD1">
            <w:pPr>
              <w:pStyle w:val="texto0"/>
              <w:ind w:firstLine="0"/>
              <w:rPr>
                <w:rFonts w:ascii="Verdana" w:hAnsi="Verdana"/>
                <w:sz w:val="16"/>
                <w:szCs w:val="16"/>
              </w:rPr>
            </w:pPr>
            <w:r w:rsidRPr="00F01347">
              <w:rPr>
                <w:rFonts w:ascii="Verdana" w:hAnsi="Verdana"/>
                <w:b/>
                <w:sz w:val="16"/>
                <w:szCs w:val="16"/>
              </w:rPr>
              <w:t>Fig. B.1.3-2</w:t>
            </w:r>
            <w:r w:rsidRPr="00F01347">
              <w:rPr>
                <w:rFonts w:ascii="Verdana" w:hAnsi="Verdana"/>
                <w:sz w:val="16"/>
                <w:szCs w:val="16"/>
              </w:rPr>
              <w:t xml:space="preserve"> Espectros de absorción típica de MC-RR, MC-YR y MC-LR en un sistema de acetonitrilo/agua.</w:t>
            </w:r>
          </w:p>
        </w:tc>
        <w:tc>
          <w:tcPr>
            <w:tcW w:w="4675" w:type="dxa"/>
          </w:tcPr>
          <w:p w14:paraId="66D7D4A8" w14:textId="755DDD04" w:rsidR="00204B58" w:rsidRPr="00F01347" w:rsidRDefault="002E4489" w:rsidP="00D56AD1">
            <w:pPr>
              <w:pStyle w:val="texto0"/>
              <w:ind w:firstLine="0"/>
              <w:rPr>
                <w:rFonts w:ascii="Verdana" w:hAnsi="Verdana"/>
                <w:b/>
                <w:sz w:val="16"/>
                <w:szCs w:val="16"/>
                <w:lang w:val="en-US"/>
              </w:rPr>
            </w:pPr>
            <w:r w:rsidRPr="00F01347">
              <w:rPr>
                <w:rFonts w:ascii="Verdana" w:hAnsi="Verdana"/>
                <w:b/>
                <w:sz w:val="16"/>
                <w:szCs w:val="16"/>
                <w:lang w:val="en-US"/>
              </w:rPr>
              <w:t xml:space="preserve">Fig. B.1.3-2 </w:t>
            </w:r>
            <w:r w:rsidRPr="00F01347">
              <w:rPr>
                <w:rFonts w:ascii="Verdana" w:hAnsi="Verdana"/>
                <w:sz w:val="16"/>
                <w:szCs w:val="16"/>
                <w:lang w:val="en-US"/>
              </w:rPr>
              <w:t>Typical absorption spectra of MC-RR, MC-YR and MC-LR in an acetonitrile/water system.</w:t>
            </w:r>
          </w:p>
        </w:tc>
      </w:tr>
      <w:tr w:rsidR="00204B58" w:rsidRPr="00F01347" w14:paraId="64451ED6" w14:textId="29F28803" w:rsidTr="00370472">
        <w:tc>
          <w:tcPr>
            <w:tcW w:w="4675" w:type="dxa"/>
          </w:tcPr>
          <w:p w14:paraId="0985922B" w14:textId="77777777" w:rsidR="00204B58" w:rsidRPr="00F01347" w:rsidRDefault="00204B58" w:rsidP="00D56AD1">
            <w:pPr>
              <w:pStyle w:val="texto0"/>
              <w:spacing w:line="220" w:lineRule="exact"/>
              <w:ind w:firstLine="0"/>
              <w:rPr>
                <w:rFonts w:ascii="Verdana" w:hAnsi="Verdana"/>
                <w:sz w:val="16"/>
                <w:szCs w:val="16"/>
                <w:u w:val="single"/>
              </w:rPr>
            </w:pPr>
            <w:r w:rsidRPr="00F01347">
              <w:rPr>
                <w:rFonts w:ascii="Verdana" w:hAnsi="Verdana"/>
                <w:sz w:val="16"/>
                <w:szCs w:val="16"/>
                <w:u w:val="single"/>
              </w:rPr>
              <w:t>Condiciones de operación</w:t>
            </w:r>
          </w:p>
        </w:tc>
        <w:tc>
          <w:tcPr>
            <w:tcW w:w="4675" w:type="dxa"/>
          </w:tcPr>
          <w:p w14:paraId="585899F4" w14:textId="1B5432DB" w:rsidR="00204B58" w:rsidRPr="00F01347" w:rsidRDefault="002E4489" w:rsidP="00D56AD1">
            <w:pPr>
              <w:pStyle w:val="texto0"/>
              <w:spacing w:line="220" w:lineRule="exact"/>
              <w:ind w:firstLine="0"/>
              <w:rPr>
                <w:rFonts w:ascii="Verdana" w:hAnsi="Verdana"/>
                <w:sz w:val="16"/>
                <w:szCs w:val="16"/>
                <w:u w:val="single"/>
                <w:lang w:val="en-US"/>
              </w:rPr>
            </w:pPr>
            <w:r w:rsidRPr="00F01347">
              <w:rPr>
                <w:rFonts w:ascii="Verdana" w:hAnsi="Verdana"/>
                <w:sz w:val="16"/>
                <w:szCs w:val="16"/>
                <w:u w:val="single"/>
                <w:lang w:val="en-US"/>
              </w:rPr>
              <w:t>Operating conditions</w:t>
            </w:r>
          </w:p>
        </w:tc>
      </w:tr>
      <w:tr w:rsidR="00204B58" w:rsidRPr="00F01347" w14:paraId="4AE33A3A" w14:textId="021BEB42" w:rsidTr="00370472">
        <w:tc>
          <w:tcPr>
            <w:tcW w:w="4675" w:type="dxa"/>
          </w:tcPr>
          <w:p w14:paraId="4ABCDFD1" w14:textId="77777777" w:rsidR="00204B58" w:rsidRPr="00F01347" w:rsidRDefault="00204B58" w:rsidP="00D56AD1">
            <w:pPr>
              <w:pStyle w:val="texto0"/>
              <w:spacing w:line="220" w:lineRule="exact"/>
              <w:ind w:firstLine="0"/>
              <w:rPr>
                <w:rFonts w:ascii="Verdana" w:hAnsi="Verdana"/>
                <w:sz w:val="16"/>
                <w:szCs w:val="16"/>
              </w:rPr>
            </w:pPr>
            <w:r w:rsidRPr="00F01347">
              <w:rPr>
                <w:rFonts w:ascii="Verdana" w:hAnsi="Verdana"/>
                <w:sz w:val="16"/>
                <w:szCs w:val="16"/>
              </w:rPr>
              <w:t>Detección: HPLC-PDA</w:t>
            </w:r>
          </w:p>
        </w:tc>
        <w:tc>
          <w:tcPr>
            <w:tcW w:w="4675" w:type="dxa"/>
          </w:tcPr>
          <w:p w14:paraId="041CEA2B" w14:textId="5B0C371B" w:rsidR="00204B58" w:rsidRPr="00F01347" w:rsidRDefault="002E4489" w:rsidP="00D56AD1">
            <w:pPr>
              <w:pStyle w:val="texto0"/>
              <w:spacing w:line="220" w:lineRule="exact"/>
              <w:ind w:firstLine="0"/>
              <w:rPr>
                <w:rFonts w:ascii="Verdana" w:hAnsi="Verdana"/>
                <w:sz w:val="16"/>
                <w:szCs w:val="16"/>
                <w:lang w:val="en-US"/>
              </w:rPr>
            </w:pPr>
            <w:r w:rsidRPr="00F01347">
              <w:rPr>
                <w:rFonts w:ascii="Verdana" w:hAnsi="Verdana"/>
                <w:sz w:val="16"/>
                <w:szCs w:val="16"/>
                <w:lang w:val="en-US"/>
              </w:rPr>
              <w:t>Detection: HPLC-PDA</w:t>
            </w:r>
          </w:p>
        </w:tc>
      </w:tr>
      <w:tr w:rsidR="00204B58" w:rsidRPr="00F01347" w14:paraId="7C0C4208" w14:textId="037366E7" w:rsidTr="00370472">
        <w:tc>
          <w:tcPr>
            <w:tcW w:w="4675" w:type="dxa"/>
          </w:tcPr>
          <w:p w14:paraId="0A3DB317" w14:textId="77777777" w:rsidR="00204B58" w:rsidRPr="00F01347" w:rsidRDefault="00204B58" w:rsidP="00D56AD1">
            <w:pPr>
              <w:pStyle w:val="texto0"/>
              <w:spacing w:line="220" w:lineRule="exact"/>
              <w:ind w:firstLine="0"/>
              <w:rPr>
                <w:rFonts w:ascii="Verdana" w:hAnsi="Verdana"/>
                <w:sz w:val="16"/>
                <w:szCs w:val="16"/>
              </w:rPr>
            </w:pPr>
            <w:r w:rsidRPr="00F01347">
              <w:rPr>
                <w:rFonts w:ascii="Verdana" w:hAnsi="Verdana"/>
                <w:sz w:val="16"/>
                <w:szCs w:val="16"/>
              </w:rPr>
              <w:t>Celda: Cuarzo</w:t>
            </w:r>
          </w:p>
        </w:tc>
        <w:tc>
          <w:tcPr>
            <w:tcW w:w="4675" w:type="dxa"/>
          </w:tcPr>
          <w:p w14:paraId="7D3F5234" w14:textId="315255B6" w:rsidR="00204B58" w:rsidRPr="00F01347" w:rsidRDefault="002E4489" w:rsidP="00D56AD1">
            <w:pPr>
              <w:pStyle w:val="texto0"/>
              <w:spacing w:line="220" w:lineRule="exact"/>
              <w:ind w:firstLine="0"/>
              <w:rPr>
                <w:rFonts w:ascii="Verdana" w:hAnsi="Verdana"/>
                <w:sz w:val="16"/>
                <w:szCs w:val="16"/>
                <w:lang w:val="en-US"/>
              </w:rPr>
            </w:pPr>
            <w:r w:rsidRPr="00F01347">
              <w:rPr>
                <w:rFonts w:ascii="Verdana" w:hAnsi="Verdana"/>
                <w:sz w:val="16"/>
                <w:szCs w:val="16"/>
                <w:lang w:val="en-US"/>
              </w:rPr>
              <w:t>Cell: Quartz</w:t>
            </w:r>
          </w:p>
        </w:tc>
      </w:tr>
      <w:tr w:rsidR="00204B58" w:rsidRPr="00F01347" w14:paraId="3C3F103F" w14:textId="62BE9CA0" w:rsidTr="00370472">
        <w:tc>
          <w:tcPr>
            <w:tcW w:w="4675" w:type="dxa"/>
          </w:tcPr>
          <w:p w14:paraId="7D4E3473" w14:textId="77777777" w:rsidR="00204B58" w:rsidRPr="00F01347" w:rsidRDefault="00204B58" w:rsidP="00D56AD1">
            <w:pPr>
              <w:pStyle w:val="texto0"/>
              <w:spacing w:line="220" w:lineRule="exact"/>
              <w:ind w:firstLine="0"/>
              <w:rPr>
                <w:rFonts w:ascii="Verdana" w:hAnsi="Verdana"/>
                <w:b/>
                <w:sz w:val="16"/>
                <w:szCs w:val="16"/>
              </w:rPr>
            </w:pPr>
            <w:r w:rsidRPr="00F01347">
              <w:rPr>
                <w:rFonts w:ascii="Verdana" w:hAnsi="Verdana"/>
                <w:b/>
                <w:sz w:val="16"/>
                <w:szCs w:val="16"/>
              </w:rPr>
              <w:t>B.1.3.6.3 Análisis de datos y cálculos</w:t>
            </w:r>
          </w:p>
        </w:tc>
        <w:tc>
          <w:tcPr>
            <w:tcW w:w="4675" w:type="dxa"/>
          </w:tcPr>
          <w:p w14:paraId="458BA175" w14:textId="3DB250F9" w:rsidR="00204B58" w:rsidRPr="00F01347" w:rsidRDefault="002E4489" w:rsidP="00D56AD1">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B.1.3.6.3 Data analysis and calculations</w:t>
            </w:r>
          </w:p>
        </w:tc>
      </w:tr>
      <w:tr w:rsidR="00204B58" w:rsidRPr="00F01347" w14:paraId="0B85FAC8" w14:textId="7CB4BE0F" w:rsidTr="00370472">
        <w:tc>
          <w:tcPr>
            <w:tcW w:w="4675" w:type="dxa"/>
          </w:tcPr>
          <w:p w14:paraId="5A5F0D16" w14:textId="77777777" w:rsidR="00204B58" w:rsidRPr="00F01347" w:rsidRDefault="00204B58" w:rsidP="00D56AD1">
            <w:pPr>
              <w:pStyle w:val="texto0"/>
              <w:ind w:firstLine="0"/>
              <w:rPr>
                <w:rFonts w:ascii="Verdana" w:hAnsi="Verdana"/>
                <w:sz w:val="16"/>
                <w:szCs w:val="16"/>
              </w:rPr>
            </w:pPr>
            <w:r w:rsidRPr="00F01347">
              <w:rPr>
                <w:rFonts w:ascii="Verdana" w:hAnsi="Verdana"/>
                <w:sz w:val="16"/>
                <w:szCs w:val="16"/>
              </w:rPr>
              <w:t xml:space="preserve">Para calcular los resultados de las muestras de agua, se debe de calcular la concentración en masa de cada </w:t>
            </w:r>
            <w:proofErr w:type="spellStart"/>
            <w:r w:rsidRPr="00F01347">
              <w:rPr>
                <w:rFonts w:ascii="Verdana" w:hAnsi="Verdana"/>
                <w:sz w:val="16"/>
                <w:szCs w:val="16"/>
              </w:rPr>
              <w:t>microcistina</w:t>
            </w:r>
            <w:proofErr w:type="spellEnd"/>
            <w:r w:rsidRPr="00F01347">
              <w:rPr>
                <w:rFonts w:ascii="Verdana" w:hAnsi="Verdana"/>
                <w:sz w:val="16"/>
                <w:szCs w:val="16"/>
              </w:rPr>
              <w:t xml:space="preserve"> en microgramos por litro de la muestra según la siguiente ecuación, después de resolver la ecuación de la curva de calibración para cada </w:t>
            </w:r>
            <w:proofErr w:type="spellStart"/>
            <w:r w:rsidRPr="00F01347">
              <w:rPr>
                <w:rFonts w:ascii="Verdana" w:hAnsi="Verdana"/>
                <w:sz w:val="16"/>
                <w:szCs w:val="16"/>
              </w:rPr>
              <w:t>microcistina</w:t>
            </w:r>
            <w:proofErr w:type="spellEnd"/>
            <w:r w:rsidRPr="00F01347">
              <w:rPr>
                <w:rFonts w:ascii="Verdana" w:hAnsi="Verdana"/>
                <w:sz w:val="16"/>
                <w:szCs w:val="16"/>
              </w:rPr>
              <w:t>:</w:t>
            </w:r>
          </w:p>
        </w:tc>
        <w:tc>
          <w:tcPr>
            <w:tcW w:w="4675" w:type="dxa"/>
          </w:tcPr>
          <w:p w14:paraId="3CEC364B" w14:textId="782CDEDF" w:rsidR="00204B58" w:rsidRPr="00F01347" w:rsidRDefault="00CE015E" w:rsidP="00D56AD1">
            <w:pPr>
              <w:pStyle w:val="texto0"/>
              <w:ind w:firstLine="0"/>
              <w:rPr>
                <w:rFonts w:ascii="Verdana" w:hAnsi="Verdana"/>
                <w:sz w:val="16"/>
                <w:szCs w:val="16"/>
                <w:lang w:val="en-US"/>
              </w:rPr>
            </w:pP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calculate the results of the water samples, on must calculate the concentration in mass of each </w:t>
            </w:r>
            <w:r w:rsidR="002E4489" w:rsidRPr="00F01347">
              <w:rPr>
                <w:rFonts w:ascii="Verdana" w:hAnsi="Verdana"/>
                <w:sz w:val="16"/>
                <w:szCs w:val="16"/>
                <w:lang w:val="en-US"/>
              </w:rPr>
              <w:t>microcystin in micrograms per liter of the sample according to the following equation, after solving the calibration curve equation for each microcystin:</w:t>
            </w:r>
          </w:p>
        </w:tc>
      </w:tr>
    </w:tbl>
    <w:p w14:paraId="5074EEB5" w14:textId="2A8582D8" w:rsidR="00A74CDF" w:rsidRPr="00F01347" w:rsidRDefault="00471638" w:rsidP="00CE015E">
      <w:pPr>
        <w:pStyle w:val="texto0"/>
        <w:spacing w:line="240" w:lineRule="auto"/>
        <w:ind w:left="72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5D419CC6" wp14:editId="18DE7D9C">
            <wp:extent cx="1866900" cy="390525"/>
            <wp:effectExtent l="0" t="0" r="0" b="0"/>
            <wp:docPr id="2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66900" cy="3905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E4489" w:rsidRPr="00F01347" w14:paraId="06470444" w14:textId="166EF000" w:rsidTr="00CE015E">
        <w:tc>
          <w:tcPr>
            <w:tcW w:w="4675" w:type="dxa"/>
          </w:tcPr>
          <w:p w14:paraId="4AFA7AD4" w14:textId="77777777" w:rsidR="002E4489" w:rsidRPr="00F01347" w:rsidRDefault="002E4489" w:rsidP="002E4489">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38F9E4AD" w14:textId="716D100A" w:rsidR="002E4489" w:rsidRPr="00F01347" w:rsidRDefault="002E4489" w:rsidP="002E4489">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2E4489" w:rsidRPr="00F01347" w14:paraId="2EFB7982" w14:textId="1719003B" w:rsidTr="00CE015E">
        <w:tc>
          <w:tcPr>
            <w:tcW w:w="4675" w:type="dxa"/>
          </w:tcPr>
          <w:p w14:paraId="6D7B51BC" w14:textId="77777777" w:rsidR="002E4489" w:rsidRPr="00F01347" w:rsidRDefault="002E4489" w:rsidP="002E4489">
            <w:pPr>
              <w:pStyle w:val="texto0"/>
              <w:ind w:firstLine="0"/>
              <w:rPr>
                <w:rStyle w:val="highlighted2"/>
                <w:rFonts w:ascii="Verdana" w:hAnsi="Verdana"/>
                <w:sz w:val="16"/>
                <w:szCs w:val="16"/>
                <w:shd w:val="clear" w:color="auto" w:fill="FFFFFF"/>
              </w:rPr>
            </w:pPr>
            <w:r w:rsidRPr="00F01347">
              <w:rPr>
                <w:rFonts w:ascii="Verdana" w:hAnsi="Verdana"/>
                <w:i/>
                <w:sz w:val="16"/>
                <w:szCs w:val="16"/>
                <w:lang w:eastAsia="es-MX"/>
              </w:rPr>
              <w:lastRenderedPageBreak/>
              <w:t xml:space="preserve">ρ </w:t>
            </w:r>
            <w:proofErr w:type="spellStart"/>
            <w:proofErr w:type="gramStart"/>
            <w:r w:rsidRPr="00F01347">
              <w:rPr>
                <w:rFonts w:ascii="Verdana" w:hAnsi="Verdana"/>
                <w:i/>
                <w:sz w:val="16"/>
                <w:szCs w:val="16"/>
                <w:vertAlign w:val="subscript"/>
                <w:lang w:eastAsia="es-MX"/>
              </w:rPr>
              <w:t>microcistina,diss</w:t>
            </w:r>
            <w:proofErr w:type="spellEnd"/>
            <w:proofErr w:type="gramEnd"/>
            <w:r w:rsidRPr="00F01347">
              <w:rPr>
                <w:rFonts w:ascii="Verdana" w:hAnsi="Verdana"/>
                <w:sz w:val="16"/>
                <w:szCs w:val="16"/>
                <w:lang w:eastAsia="es-MX"/>
              </w:rPr>
              <w:tab/>
              <w:t xml:space="preserve">concentración en masa de cada </w:t>
            </w:r>
            <w:proofErr w:type="spellStart"/>
            <w:r w:rsidRPr="00F01347">
              <w:rPr>
                <w:rFonts w:ascii="Verdana" w:hAnsi="Verdana"/>
                <w:sz w:val="16"/>
                <w:szCs w:val="16"/>
                <w:lang w:eastAsia="es-MX"/>
              </w:rPr>
              <w:t>microcistina</w:t>
            </w:r>
            <w:proofErr w:type="spellEnd"/>
            <w:r w:rsidRPr="00F01347">
              <w:rPr>
                <w:rFonts w:ascii="Verdana" w:hAnsi="Verdana"/>
                <w:sz w:val="16"/>
                <w:szCs w:val="16"/>
                <w:lang w:eastAsia="es-MX"/>
              </w:rPr>
              <w:t xml:space="preserve"> individual en microgramos </w:t>
            </w:r>
            <w:r w:rsidRPr="00F01347">
              <w:rPr>
                <w:rFonts w:ascii="Verdana" w:hAnsi="Verdana"/>
                <w:sz w:val="16"/>
                <w:szCs w:val="16"/>
              </w:rPr>
              <w:t xml:space="preserve">por litro </w:t>
            </w:r>
            <w:r w:rsidRPr="00F01347">
              <w:rPr>
                <w:rStyle w:val="highlighted2"/>
                <w:rFonts w:ascii="Verdana" w:hAnsi="Verdana"/>
                <w:sz w:val="16"/>
                <w:szCs w:val="16"/>
                <w:shd w:val="clear" w:color="auto" w:fill="FFFFFF"/>
              </w:rPr>
              <w:t>μg/L</w:t>
            </w:r>
          </w:p>
        </w:tc>
        <w:tc>
          <w:tcPr>
            <w:tcW w:w="4675" w:type="dxa"/>
          </w:tcPr>
          <w:p w14:paraId="352A9134" w14:textId="000D377D" w:rsidR="002E4489" w:rsidRPr="00F01347" w:rsidRDefault="002E4489" w:rsidP="002E4489">
            <w:pPr>
              <w:pStyle w:val="texto0"/>
              <w:ind w:firstLine="0"/>
              <w:rPr>
                <w:rFonts w:ascii="Verdana" w:hAnsi="Verdana"/>
                <w:i/>
                <w:sz w:val="16"/>
                <w:szCs w:val="16"/>
                <w:lang w:val="en-US" w:eastAsia="es-MX"/>
              </w:rPr>
            </w:pPr>
            <w:r w:rsidRPr="00F01347">
              <w:rPr>
                <w:rFonts w:ascii="Verdana" w:hAnsi="Verdana"/>
                <w:i/>
                <w:sz w:val="16"/>
                <w:szCs w:val="16"/>
                <w:lang w:val="en-US" w:eastAsia="es-MX"/>
              </w:rPr>
              <w:t xml:space="preserve">ρ </w:t>
            </w:r>
            <w:proofErr w:type="spellStart"/>
            <w:proofErr w:type="gramStart"/>
            <w:r w:rsidRPr="00F01347">
              <w:rPr>
                <w:rFonts w:ascii="Verdana" w:hAnsi="Verdana"/>
                <w:i/>
                <w:sz w:val="16"/>
                <w:szCs w:val="16"/>
                <w:vertAlign w:val="subscript"/>
                <w:lang w:val="en-US" w:eastAsia="es-MX"/>
              </w:rPr>
              <w:t>microcystin,diss</w:t>
            </w:r>
            <w:proofErr w:type="spellEnd"/>
            <w:proofErr w:type="gramEnd"/>
            <w:r w:rsidRPr="00F01347">
              <w:rPr>
                <w:rFonts w:ascii="Verdana" w:hAnsi="Verdana"/>
                <w:i/>
                <w:sz w:val="16"/>
                <w:szCs w:val="16"/>
                <w:vertAlign w:val="subscript"/>
                <w:lang w:val="en-US" w:eastAsia="es-MX"/>
              </w:rPr>
              <w:t xml:space="preserve"> </w:t>
            </w:r>
            <w:r w:rsidRPr="00F01347">
              <w:rPr>
                <w:rFonts w:ascii="Verdana" w:hAnsi="Verdana"/>
                <w:sz w:val="16"/>
                <w:szCs w:val="16"/>
                <w:lang w:val="en-US" w:eastAsia="es-MX"/>
              </w:rPr>
              <w:tab/>
              <w:t xml:space="preserve">mass concentration of each individual microcystin in micrograms </w:t>
            </w:r>
            <w:r w:rsidRPr="00F01347">
              <w:rPr>
                <w:rFonts w:ascii="Verdana" w:hAnsi="Verdana"/>
                <w:sz w:val="16"/>
                <w:szCs w:val="16"/>
                <w:lang w:val="en-US"/>
              </w:rPr>
              <w:t xml:space="preserve">per liter </w:t>
            </w:r>
            <w:proofErr w:type="spellStart"/>
            <w:r w:rsidRPr="00F01347">
              <w:rPr>
                <w:rStyle w:val="highlighted2"/>
                <w:rFonts w:ascii="Verdana" w:hAnsi="Verdana"/>
                <w:sz w:val="16"/>
                <w:szCs w:val="16"/>
                <w:shd w:val="clear" w:color="auto" w:fill="FFFFFF"/>
                <w:lang w:val="en-US"/>
              </w:rPr>
              <w:t>μg</w:t>
            </w:r>
            <w:proofErr w:type="spellEnd"/>
            <w:r w:rsidRPr="00F01347">
              <w:rPr>
                <w:rStyle w:val="highlighted2"/>
                <w:rFonts w:ascii="Verdana" w:hAnsi="Verdana"/>
                <w:sz w:val="16"/>
                <w:szCs w:val="16"/>
                <w:shd w:val="clear" w:color="auto" w:fill="FFFFFF"/>
                <w:lang w:val="en-US"/>
              </w:rPr>
              <w:t>/L</w:t>
            </w:r>
          </w:p>
        </w:tc>
      </w:tr>
      <w:tr w:rsidR="002E4489" w:rsidRPr="00F01347" w14:paraId="10C0F310" w14:textId="1B9D4B30" w:rsidTr="00CE015E">
        <w:tc>
          <w:tcPr>
            <w:tcW w:w="4675" w:type="dxa"/>
          </w:tcPr>
          <w:p w14:paraId="00712C66" w14:textId="77777777" w:rsidR="002E4489" w:rsidRPr="00F01347" w:rsidRDefault="002E4489" w:rsidP="002E4489">
            <w:pPr>
              <w:pStyle w:val="texto0"/>
              <w:ind w:firstLine="0"/>
              <w:rPr>
                <w:rFonts w:ascii="Verdana" w:hAnsi="Verdana"/>
                <w:sz w:val="16"/>
                <w:szCs w:val="16"/>
                <w:lang w:eastAsia="es-MX"/>
              </w:rPr>
            </w:pPr>
            <w:proofErr w:type="spellStart"/>
            <w:r w:rsidRPr="00F01347">
              <w:rPr>
                <w:rStyle w:val="highlighted2"/>
                <w:rFonts w:ascii="Verdana" w:hAnsi="Verdana"/>
                <w:i/>
                <w:sz w:val="16"/>
                <w:szCs w:val="16"/>
                <w:shd w:val="clear" w:color="auto" w:fill="FFFFFF"/>
              </w:rPr>
              <w:t>V</w:t>
            </w:r>
            <w:r w:rsidRPr="00F01347">
              <w:rPr>
                <w:rStyle w:val="highlighted2"/>
                <w:rFonts w:ascii="Verdana" w:hAnsi="Verdana"/>
                <w:sz w:val="16"/>
                <w:szCs w:val="16"/>
                <w:shd w:val="clear" w:color="auto" w:fill="FFFFFF"/>
                <w:vertAlign w:val="subscript"/>
              </w:rPr>
              <w:t>d</w:t>
            </w:r>
            <w:proofErr w:type="spellEnd"/>
            <w:r w:rsidRPr="00F01347">
              <w:rPr>
                <w:rStyle w:val="highlighted2"/>
                <w:rFonts w:ascii="Verdana" w:hAnsi="Verdana"/>
                <w:sz w:val="16"/>
                <w:szCs w:val="16"/>
                <w:shd w:val="clear" w:color="auto" w:fill="FFFFFF"/>
                <w:vertAlign w:val="subscript"/>
              </w:rPr>
              <w:tab/>
            </w:r>
            <w:r w:rsidRPr="00F01347">
              <w:rPr>
                <w:rStyle w:val="highlighted2"/>
                <w:rFonts w:ascii="Verdana" w:hAnsi="Verdana"/>
                <w:sz w:val="16"/>
                <w:szCs w:val="16"/>
                <w:shd w:val="clear" w:color="auto" w:fill="FFFFFF"/>
              </w:rPr>
              <w:t>volumen de</w:t>
            </w:r>
            <w:r w:rsidRPr="00F01347">
              <w:rPr>
                <w:rFonts w:ascii="Verdana" w:hAnsi="Verdana"/>
                <w:sz w:val="16"/>
                <w:szCs w:val="16"/>
                <w:lang w:eastAsia="es-MX"/>
              </w:rPr>
              <w:t xml:space="preserve"> </w:t>
            </w:r>
            <w:proofErr w:type="spellStart"/>
            <w:r w:rsidRPr="00F01347">
              <w:rPr>
                <w:rFonts w:ascii="Verdana" w:hAnsi="Verdana"/>
                <w:sz w:val="16"/>
                <w:szCs w:val="16"/>
                <w:lang w:eastAsia="es-MX"/>
              </w:rPr>
              <w:t>re-disolución</w:t>
            </w:r>
            <w:proofErr w:type="spellEnd"/>
            <w:r w:rsidRPr="00F01347">
              <w:rPr>
                <w:rFonts w:ascii="Verdana" w:hAnsi="Verdana"/>
                <w:sz w:val="16"/>
                <w:szCs w:val="16"/>
                <w:lang w:eastAsia="es-MX"/>
              </w:rPr>
              <w:t xml:space="preserve"> de </w:t>
            </w:r>
            <w:r w:rsidRPr="00F01347">
              <w:rPr>
                <w:rFonts w:ascii="Verdana" w:hAnsi="Verdana"/>
                <w:sz w:val="16"/>
                <w:szCs w:val="16"/>
                <w:shd w:val="clear" w:color="auto" w:fill="FFFFFF"/>
                <w:lang w:eastAsia="es-MX"/>
              </w:rPr>
              <w:t xml:space="preserve">la </w:t>
            </w:r>
            <w:r w:rsidRPr="00F01347">
              <w:rPr>
                <w:rFonts w:ascii="Verdana" w:hAnsi="Verdana"/>
                <w:sz w:val="16"/>
                <w:szCs w:val="16"/>
                <w:lang w:eastAsia="es-MX"/>
              </w:rPr>
              <w:t xml:space="preserve">muestra después de SPE en mililitros, </w:t>
            </w:r>
            <w:proofErr w:type="spellStart"/>
            <w:r w:rsidRPr="00F01347">
              <w:rPr>
                <w:rFonts w:ascii="Verdana" w:hAnsi="Verdana"/>
                <w:sz w:val="16"/>
                <w:szCs w:val="16"/>
                <w:lang w:eastAsia="es-MX"/>
              </w:rPr>
              <w:t>mL</w:t>
            </w:r>
            <w:proofErr w:type="spellEnd"/>
          </w:p>
        </w:tc>
        <w:tc>
          <w:tcPr>
            <w:tcW w:w="4675" w:type="dxa"/>
          </w:tcPr>
          <w:p w14:paraId="7C5A20EA" w14:textId="035C4B8F" w:rsidR="002E4489" w:rsidRPr="00F01347" w:rsidRDefault="002E4489" w:rsidP="002E4489">
            <w:pPr>
              <w:pStyle w:val="texto0"/>
              <w:ind w:firstLine="0"/>
              <w:rPr>
                <w:rStyle w:val="highlighted2"/>
                <w:rFonts w:ascii="Verdana" w:hAnsi="Verdana"/>
                <w:i/>
                <w:sz w:val="16"/>
                <w:szCs w:val="16"/>
                <w:shd w:val="clear" w:color="auto" w:fill="FFFFFF"/>
                <w:lang w:val="en-US"/>
              </w:rPr>
            </w:pPr>
            <w:proofErr w:type="spellStart"/>
            <w:r w:rsidRPr="00F01347">
              <w:rPr>
                <w:rStyle w:val="highlighted2"/>
                <w:rFonts w:ascii="Verdana" w:hAnsi="Verdana"/>
                <w:i/>
                <w:sz w:val="16"/>
                <w:szCs w:val="16"/>
                <w:shd w:val="clear" w:color="auto" w:fill="FFFFFF"/>
                <w:lang w:val="en-US"/>
              </w:rPr>
              <w:t>V</w:t>
            </w:r>
            <w:r w:rsidRPr="00F01347">
              <w:rPr>
                <w:rStyle w:val="highlighted2"/>
                <w:rFonts w:ascii="Verdana" w:hAnsi="Verdana"/>
                <w:sz w:val="16"/>
                <w:szCs w:val="16"/>
                <w:shd w:val="clear" w:color="auto" w:fill="FFFFFF"/>
                <w:vertAlign w:val="subscript"/>
                <w:lang w:val="en-US"/>
              </w:rPr>
              <w:t>d</w:t>
            </w:r>
            <w:proofErr w:type="spellEnd"/>
            <w:r w:rsidRPr="00F01347">
              <w:rPr>
                <w:rStyle w:val="highlighted2"/>
                <w:rFonts w:ascii="Verdana" w:hAnsi="Verdana"/>
                <w:sz w:val="16"/>
                <w:szCs w:val="16"/>
                <w:shd w:val="clear" w:color="auto" w:fill="FFFFFF"/>
                <w:vertAlign w:val="subscript"/>
                <w:lang w:val="en-US"/>
              </w:rPr>
              <w:t xml:space="preserve"> </w:t>
            </w:r>
            <w:r w:rsidRPr="00F01347">
              <w:rPr>
                <w:rStyle w:val="highlighted2"/>
                <w:rFonts w:ascii="Verdana" w:hAnsi="Verdana"/>
                <w:sz w:val="16"/>
                <w:szCs w:val="16"/>
                <w:shd w:val="clear" w:color="auto" w:fill="FFFFFF"/>
                <w:vertAlign w:val="subscript"/>
                <w:lang w:val="en-US"/>
              </w:rPr>
              <w:tab/>
            </w:r>
            <w:r w:rsidRPr="00F01347">
              <w:rPr>
                <w:rStyle w:val="highlighted2"/>
                <w:rFonts w:ascii="Verdana" w:hAnsi="Verdana"/>
                <w:sz w:val="16"/>
                <w:szCs w:val="16"/>
                <w:shd w:val="clear" w:color="auto" w:fill="FFFFFF"/>
                <w:lang w:val="en-US"/>
              </w:rPr>
              <w:t>volume of</w:t>
            </w:r>
            <w:r w:rsidRPr="00F01347">
              <w:rPr>
                <w:rFonts w:ascii="Verdana" w:hAnsi="Verdana"/>
                <w:sz w:val="16"/>
                <w:szCs w:val="16"/>
                <w:lang w:val="en-US" w:eastAsia="es-MX"/>
              </w:rPr>
              <w:t xml:space="preserve"> re-dissolution of </w:t>
            </w:r>
            <w:r w:rsidRPr="00F01347">
              <w:rPr>
                <w:rFonts w:ascii="Verdana" w:hAnsi="Verdana"/>
                <w:sz w:val="16"/>
                <w:szCs w:val="16"/>
                <w:shd w:val="clear" w:color="auto" w:fill="FFFFFF"/>
                <w:lang w:val="en-US" w:eastAsia="es-MX"/>
              </w:rPr>
              <w:t xml:space="preserve">sample </w:t>
            </w:r>
            <w:r w:rsidRPr="00F01347">
              <w:rPr>
                <w:rFonts w:ascii="Verdana" w:hAnsi="Verdana"/>
                <w:sz w:val="16"/>
                <w:szCs w:val="16"/>
                <w:lang w:val="en-US" w:eastAsia="es-MX"/>
              </w:rPr>
              <w:t>after SPE in milliliters, mL</w:t>
            </w:r>
          </w:p>
        </w:tc>
      </w:tr>
      <w:tr w:rsidR="002E4489" w:rsidRPr="00F01347" w14:paraId="1837F124" w14:textId="3DF5F6CD" w:rsidTr="00CE015E">
        <w:tc>
          <w:tcPr>
            <w:tcW w:w="4675" w:type="dxa"/>
          </w:tcPr>
          <w:p w14:paraId="55397485" w14:textId="77777777" w:rsidR="002E4489" w:rsidRPr="00F01347" w:rsidRDefault="002E4489" w:rsidP="002E4489">
            <w:pPr>
              <w:pStyle w:val="texto0"/>
              <w:ind w:firstLine="0"/>
              <w:rPr>
                <w:rFonts w:ascii="Verdana" w:hAnsi="Verdana"/>
                <w:sz w:val="16"/>
                <w:szCs w:val="16"/>
                <w:lang w:eastAsia="es-MX"/>
              </w:rPr>
            </w:pPr>
            <w:proofErr w:type="spellStart"/>
            <w:r w:rsidRPr="00F01347">
              <w:rPr>
                <w:rFonts w:ascii="Verdana" w:hAnsi="Verdana"/>
                <w:i/>
                <w:sz w:val="16"/>
                <w:szCs w:val="16"/>
                <w:lang w:eastAsia="es-MX"/>
              </w:rPr>
              <w:t>V</w:t>
            </w:r>
            <w:r w:rsidRPr="00F01347">
              <w:rPr>
                <w:rFonts w:ascii="Verdana" w:hAnsi="Verdana"/>
                <w:sz w:val="16"/>
                <w:szCs w:val="16"/>
                <w:vertAlign w:val="subscript"/>
                <w:lang w:eastAsia="es-MX"/>
              </w:rPr>
              <w:t>samp</w:t>
            </w:r>
            <w:proofErr w:type="spellEnd"/>
            <w:r w:rsidRPr="00F01347">
              <w:rPr>
                <w:rFonts w:ascii="Verdana" w:hAnsi="Verdana"/>
                <w:sz w:val="16"/>
                <w:szCs w:val="16"/>
                <w:vertAlign w:val="subscript"/>
                <w:lang w:eastAsia="es-MX"/>
              </w:rPr>
              <w:tab/>
            </w:r>
            <w:r w:rsidRPr="00F01347">
              <w:rPr>
                <w:rFonts w:ascii="Verdana" w:hAnsi="Verdana"/>
                <w:sz w:val="16"/>
                <w:szCs w:val="16"/>
                <w:lang w:eastAsia="es-MX"/>
              </w:rPr>
              <w:t>volumen de la muestra de agua aplicada en el cartucho SPE en litros, L</w:t>
            </w:r>
          </w:p>
        </w:tc>
        <w:tc>
          <w:tcPr>
            <w:tcW w:w="4675" w:type="dxa"/>
          </w:tcPr>
          <w:p w14:paraId="2009F3C3" w14:textId="06CB6586" w:rsidR="002E4489" w:rsidRPr="00F01347" w:rsidRDefault="002E4489" w:rsidP="002E4489">
            <w:pPr>
              <w:pStyle w:val="texto0"/>
              <w:ind w:firstLine="0"/>
              <w:rPr>
                <w:rFonts w:ascii="Verdana" w:hAnsi="Verdana"/>
                <w:i/>
                <w:sz w:val="16"/>
                <w:szCs w:val="16"/>
                <w:lang w:val="en-US" w:eastAsia="es-MX"/>
              </w:rPr>
            </w:pPr>
            <w:proofErr w:type="spellStart"/>
            <w:r w:rsidRPr="00F01347">
              <w:rPr>
                <w:rFonts w:ascii="Verdana" w:hAnsi="Verdana"/>
                <w:i/>
                <w:sz w:val="16"/>
                <w:szCs w:val="16"/>
                <w:lang w:val="en-US" w:eastAsia="es-MX"/>
              </w:rPr>
              <w:t>V</w:t>
            </w:r>
            <w:r w:rsidRPr="00F01347">
              <w:rPr>
                <w:rFonts w:ascii="Verdana" w:hAnsi="Verdana"/>
                <w:sz w:val="16"/>
                <w:szCs w:val="16"/>
                <w:vertAlign w:val="subscript"/>
                <w:lang w:val="en-US" w:eastAsia="es-MX"/>
              </w:rPr>
              <w:t>samp</w:t>
            </w:r>
            <w:proofErr w:type="spellEnd"/>
            <w:r w:rsidRPr="00F01347">
              <w:rPr>
                <w:rFonts w:ascii="Verdana" w:hAnsi="Verdana"/>
                <w:sz w:val="16"/>
                <w:szCs w:val="16"/>
                <w:vertAlign w:val="subscript"/>
                <w:lang w:val="en-US" w:eastAsia="es-MX"/>
              </w:rPr>
              <w:t xml:space="preserve"> </w:t>
            </w:r>
            <w:r w:rsidRPr="00F01347">
              <w:rPr>
                <w:rFonts w:ascii="Verdana" w:hAnsi="Verdana"/>
                <w:sz w:val="16"/>
                <w:szCs w:val="16"/>
                <w:vertAlign w:val="subscript"/>
                <w:lang w:val="en-US" w:eastAsia="es-MX"/>
              </w:rPr>
              <w:tab/>
            </w:r>
            <w:r w:rsidRPr="00F01347">
              <w:rPr>
                <w:rFonts w:ascii="Verdana" w:hAnsi="Verdana"/>
                <w:sz w:val="16"/>
                <w:szCs w:val="16"/>
                <w:lang w:val="en-US" w:eastAsia="es-MX"/>
              </w:rPr>
              <w:t>volume of the water sample applied to the SPE cartridge in liters, L</w:t>
            </w:r>
          </w:p>
        </w:tc>
      </w:tr>
      <w:tr w:rsidR="002E4489" w:rsidRPr="00F01347" w14:paraId="42379213" w14:textId="23C3D67E" w:rsidTr="00CE015E">
        <w:tc>
          <w:tcPr>
            <w:tcW w:w="4675" w:type="dxa"/>
          </w:tcPr>
          <w:p w14:paraId="352AB391" w14:textId="77777777" w:rsidR="002E4489" w:rsidRPr="00F01347" w:rsidRDefault="002E4489" w:rsidP="002E4489">
            <w:pPr>
              <w:pStyle w:val="texto0"/>
              <w:ind w:firstLine="0"/>
              <w:rPr>
                <w:rFonts w:ascii="Verdana" w:hAnsi="Verdana"/>
                <w:sz w:val="16"/>
                <w:szCs w:val="16"/>
                <w:lang w:eastAsia="es-MX"/>
              </w:rPr>
            </w:pPr>
            <w:proofErr w:type="spellStart"/>
            <w:proofErr w:type="gramStart"/>
            <w:r w:rsidRPr="00F01347">
              <w:rPr>
                <w:rFonts w:ascii="Verdana" w:hAnsi="Verdana"/>
                <w:i/>
                <w:sz w:val="16"/>
                <w:szCs w:val="16"/>
                <w:lang w:eastAsia="es-MX"/>
              </w:rPr>
              <w:t>y,b</w:t>
            </w:r>
            <w:proofErr w:type="gramEnd"/>
            <w:r w:rsidRPr="00F01347">
              <w:rPr>
                <w:rFonts w:ascii="Verdana" w:hAnsi="Verdana"/>
                <w:i/>
                <w:sz w:val="16"/>
                <w:szCs w:val="16"/>
                <w:lang w:eastAsia="es-MX"/>
              </w:rPr>
              <w:t>,m</w:t>
            </w:r>
            <w:proofErr w:type="spellEnd"/>
            <w:r w:rsidRPr="00F01347">
              <w:rPr>
                <w:rFonts w:ascii="Verdana" w:hAnsi="Verdana"/>
                <w:i/>
                <w:sz w:val="16"/>
                <w:szCs w:val="16"/>
                <w:lang w:eastAsia="es-MX"/>
              </w:rPr>
              <w:t xml:space="preserve"> </w:t>
            </w:r>
            <w:r w:rsidRPr="00F01347">
              <w:rPr>
                <w:rFonts w:ascii="Verdana" w:hAnsi="Verdana"/>
                <w:i/>
                <w:sz w:val="16"/>
                <w:szCs w:val="16"/>
                <w:lang w:eastAsia="es-MX"/>
              </w:rPr>
              <w:tab/>
            </w:r>
            <w:r w:rsidRPr="00F01347">
              <w:rPr>
                <w:rFonts w:ascii="Verdana" w:hAnsi="Verdana"/>
                <w:sz w:val="16"/>
                <w:szCs w:val="16"/>
                <w:lang w:eastAsia="es-MX"/>
              </w:rPr>
              <w:t>ver ecuación de curva de calibración</w:t>
            </w:r>
          </w:p>
        </w:tc>
        <w:tc>
          <w:tcPr>
            <w:tcW w:w="4675" w:type="dxa"/>
          </w:tcPr>
          <w:p w14:paraId="2B0862FD" w14:textId="7A2C7AA3" w:rsidR="002E4489" w:rsidRPr="00F01347" w:rsidRDefault="002E4489" w:rsidP="002E4489">
            <w:pPr>
              <w:pStyle w:val="texto0"/>
              <w:ind w:firstLine="0"/>
              <w:rPr>
                <w:rFonts w:ascii="Verdana" w:hAnsi="Verdana"/>
                <w:i/>
                <w:sz w:val="16"/>
                <w:szCs w:val="16"/>
                <w:lang w:val="en-US" w:eastAsia="es-MX"/>
              </w:rPr>
            </w:pPr>
            <w:proofErr w:type="spellStart"/>
            <w:proofErr w:type="gramStart"/>
            <w:r w:rsidRPr="00F01347">
              <w:rPr>
                <w:rFonts w:ascii="Verdana" w:hAnsi="Verdana"/>
                <w:i/>
                <w:sz w:val="16"/>
                <w:szCs w:val="16"/>
                <w:lang w:val="en-US" w:eastAsia="es-MX"/>
              </w:rPr>
              <w:t>y,b</w:t>
            </w:r>
            <w:proofErr w:type="gramEnd"/>
            <w:r w:rsidR="003E1BA9" w:rsidRPr="00F01347">
              <w:rPr>
                <w:rFonts w:ascii="Verdana" w:hAnsi="Verdana"/>
                <w:i/>
                <w:sz w:val="16"/>
                <w:szCs w:val="16"/>
                <w:lang w:val="en-US" w:eastAsia="es-MX"/>
              </w:rPr>
              <w:t>,</w:t>
            </w:r>
            <w:r w:rsidRPr="00F01347">
              <w:rPr>
                <w:rFonts w:ascii="Verdana" w:hAnsi="Verdana"/>
                <w:i/>
                <w:sz w:val="16"/>
                <w:szCs w:val="16"/>
                <w:lang w:val="en-US" w:eastAsia="es-MX"/>
              </w:rPr>
              <w:t>m</w:t>
            </w:r>
            <w:proofErr w:type="spellEnd"/>
            <w:r w:rsidRPr="00F01347">
              <w:rPr>
                <w:rFonts w:ascii="Verdana" w:hAnsi="Verdana"/>
                <w:i/>
                <w:sz w:val="16"/>
                <w:szCs w:val="16"/>
                <w:lang w:val="en-US" w:eastAsia="es-MX"/>
              </w:rPr>
              <w:t xml:space="preserve"> </w:t>
            </w:r>
            <w:r w:rsidRPr="00F01347">
              <w:rPr>
                <w:rFonts w:ascii="Verdana" w:hAnsi="Verdana"/>
                <w:i/>
                <w:sz w:val="16"/>
                <w:szCs w:val="16"/>
                <w:lang w:val="en-US" w:eastAsia="es-MX"/>
              </w:rPr>
              <w:tab/>
            </w:r>
            <w:r w:rsidRPr="00F01347">
              <w:rPr>
                <w:rFonts w:ascii="Verdana" w:hAnsi="Verdana"/>
                <w:sz w:val="16"/>
                <w:szCs w:val="16"/>
                <w:lang w:val="en-US" w:eastAsia="es-MX"/>
              </w:rPr>
              <w:t>see calibration curve equation</w:t>
            </w:r>
          </w:p>
        </w:tc>
      </w:tr>
      <w:tr w:rsidR="002E4489" w:rsidRPr="00F01347" w14:paraId="3C5C9088" w14:textId="77777777" w:rsidTr="00CE015E">
        <w:tc>
          <w:tcPr>
            <w:tcW w:w="4675" w:type="dxa"/>
          </w:tcPr>
          <w:p w14:paraId="1B749DE8" w14:textId="77777777" w:rsidR="002E4489" w:rsidRPr="00F01347" w:rsidRDefault="002E4489" w:rsidP="002E4489">
            <w:pPr>
              <w:pStyle w:val="texto0"/>
              <w:rPr>
                <w:rFonts w:ascii="Verdana" w:hAnsi="Verdana"/>
                <w:sz w:val="16"/>
                <w:szCs w:val="16"/>
              </w:rPr>
            </w:pPr>
            <w:r w:rsidRPr="00F01347">
              <w:rPr>
                <w:rFonts w:ascii="Verdana" w:hAnsi="Verdana"/>
                <w:color w:val="000000"/>
                <w:sz w:val="16"/>
                <w:szCs w:val="16"/>
              </w:rPr>
              <w:t xml:space="preserve">Para calcular los resultados de biomasa, se debe calcular la concentración en masa de cada </w:t>
            </w:r>
            <w:proofErr w:type="spellStart"/>
            <w:r w:rsidRPr="00F01347">
              <w:rPr>
                <w:rFonts w:ascii="Verdana" w:hAnsi="Verdana"/>
                <w:color w:val="000000"/>
                <w:sz w:val="16"/>
                <w:szCs w:val="16"/>
              </w:rPr>
              <w:t>microcistina</w:t>
            </w:r>
            <w:proofErr w:type="spellEnd"/>
            <w:r w:rsidRPr="00F01347">
              <w:rPr>
                <w:rFonts w:ascii="Verdana" w:hAnsi="Verdana"/>
                <w:color w:val="000000"/>
                <w:sz w:val="16"/>
                <w:szCs w:val="16"/>
              </w:rPr>
              <w:t xml:space="preserve"> en fitoplancton en microgramos por mililitro de la muestra según la siguiente ecuación, después de resolver la ecuación </w:t>
            </w:r>
            <w:r w:rsidRPr="00F01347">
              <w:rPr>
                <w:rFonts w:ascii="Verdana" w:hAnsi="Verdana"/>
                <w:sz w:val="16"/>
                <w:szCs w:val="16"/>
              </w:rPr>
              <w:t xml:space="preserve">de la curva de calibración para cada </w:t>
            </w:r>
            <w:proofErr w:type="spellStart"/>
            <w:r w:rsidRPr="00F01347">
              <w:rPr>
                <w:rFonts w:ascii="Verdana" w:hAnsi="Verdana"/>
                <w:sz w:val="16"/>
                <w:szCs w:val="16"/>
              </w:rPr>
              <w:t>microcistina</w:t>
            </w:r>
            <w:proofErr w:type="spellEnd"/>
            <w:r w:rsidRPr="00F01347">
              <w:rPr>
                <w:rFonts w:ascii="Verdana" w:hAnsi="Verdana"/>
                <w:sz w:val="16"/>
                <w:szCs w:val="16"/>
              </w:rPr>
              <w:t>:</w:t>
            </w:r>
          </w:p>
          <w:p w14:paraId="717EDA58" w14:textId="77777777" w:rsidR="002E4489" w:rsidRPr="00F01347" w:rsidRDefault="002E4489" w:rsidP="002E4489">
            <w:pPr>
              <w:pStyle w:val="texto0"/>
              <w:ind w:firstLine="0"/>
              <w:rPr>
                <w:rFonts w:ascii="Verdana" w:hAnsi="Verdana"/>
                <w:i/>
                <w:sz w:val="16"/>
                <w:szCs w:val="16"/>
                <w:lang w:eastAsia="es-MX"/>
              </w:rPr>
            </w:pPr>
          </w:p>
        </w:tc>
        <w:tc>
          <w:tcPr>
            <w:tcW w:w="4675" w:type="dxa"/>
          </w:tcPr>
          <w:p w14:paraId="1A84AC74" w14:textId="4FF80035" w:rsidR="002E4489" w:rsidRPr="00F01347" w:rsidRDefault="00CE015E" w:rsidP="002E4489">
            <w:pPr>
              <w:pStyle w:val="texto0"/>
              <w:rPr>
                <w:rFonts w:ascii="Verdana" w:hAnsi="Verdana"/>
                <w:sz w:val="16"/>
                <w:szCs w:val="16"/>
                <w:lang w:val="en-US"/>
              </w:rPr>
            </w:pPr>
            <w:proofErr w:type="gramStart"/>
            <w:r w:rsidRPr="00F01347">
              <w:rPr>
                <w:rFonts w:ascii="Verdana" w:hAnsi="Verdana"/>
                <w:color w:val="000000"/>
                <w:sz w:val="16"/>
                <w:szCs w:val="16"/>
                <w:lang w:val="en-US"/>
              </w:rPr>
              <w:t>In order to</w:t>
            </w:r>
            <w:proofErr w:type="gramEnd"/>
            <w:r w:rsidRPr="00F01347">
              <w:rPr>
                <w:rFonts w:ascii="Verdana" w:hAnsi="Verdana"/>
                <w:color w:val="000000"/>
                <w:sz w:val="16"/>
                <w:szCs w:val="16"/>
                <w:lang w:val="en-US"/>
              </w:rPr>
              <w:t xml:space="preserve"> calculate the results of biomass, one should calculate the concentration in mass of each </w:t>
            </w:r>
            <w:r w:rsidR="002E4489" w:rsidRPr="00F01347">
              <w:rPr>
                <w:rFonts w:ascii="Verdana" w:hAnsi="Verdana"/>
                <w:color w:val="000000"/>
                <w:sz w:val="16"/>
                <w:szCs w:val="16"/>
                <w:lang w:val="en-US"/>
              </w:rPr>
              <w:t xml:space="preserve">microcystin in phytoplankton in micrograms per milliliter of the sample according to the following equation, after solving the </w:t>
            </w:r>
            <w:r w:rsidR="002E4489" w:rsidRPr="00F01347">
              <w:rPr>
                <w:rFonts w:ascii="Verdana" w:hAnsi="Verdana"/>
                <w:sz w:val="16"/>
                <w:szCs w:val="16"/>
                <w:lang w:val="en-US"/>
              </w:rPr>
              <w:t>calibration curve equation for each microcystin:</w:t>
            </w:r>
          </w:p>
          <w:p w14:paraId="2A8B482C" w14:textId="77777777" w:rsidR="002E4489" w:rsidRPr="00F01347" w:rsidRDefault="002E4489" w:rsidP="002E4489">
            <w:pPr>
              <w:pStyle w:val="texto0"/>
              <w:ind w:firstLine="0"/>
              <w:rPr>
                <w:rFonts w:ascii="Verdana" w:hAnsi="Verdana"/>
                <w:i/>
                <w:sz w:val="16"/>
                <w:szCs w:val="16"/>
                <w:lang w:val="en-US" w:eastAsia="es-MX"/>
              </w:rPr>
            </w:pPr>
          </w:p>
        </w:tc>
      </w:tr>
    </w:tbl>
    <w:p w14:paraId="3B159E7C" w14:textId="46A305D5" w:rsidR="00A74CDF" w:rsidRPr="00F01347" w:rsidRDefault="00471638" w:rsidP="00B21DA6">
      <w:pPr>
        <w:pStyle w:val="texto0"/>
        <w:spacing w:line="240" w:lineRule="auto"/>
        <w:ind w:left="72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39284759" wp14:editId="674113D7">
            <wp:extent cx="2133600" cy="381000"/>
            <wp:effectExtent l="0" t="0" r="0" b="0"/>
            <wp:docPr id="2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33600" cy="3810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16544" w:rsidRPr="00F01347" w14:paraId="7157C153" w14:textId="51C3DCCC" w:rsidTr="00B21DA6">
        <w:tc>
          <w:tcPr>
            <w:tcW w:w="4675" w:type="dxa"/>
          </w:tcPr>
          <w:p w14:paraId="549BA00C" w14:textId="77777777" w:rsidR="00B16544" w:rsidRPr="00F01347" w:rsidRDefault="00B16544" w:rsidP="00B16544">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61FA589F" w14:textId="1B2FBBC0" w:rsidR="00B16544" w:rsidRPr="00F01347" w:rsidRDefault="00B16544" w:rsidP="00B16544">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B16544" w:rsidRPr="00F01347" w14:paraId="003EEF1A" w14:textId="53BE9D2C" w:rsidTr="00B21DA6">
        <w:tc>
          <w:tcPr>
            <w:tcW w:w="4675" w:type="dxa"/>
          </w:tcPr>
          <w:p w14:paraId="4EA08C9B" w14:textId="77777777" w:rsidR="00B16544" w:rsidRPr="00F01347" w:rsidRDefault="00B16544" w:rsidP="00B16544">
            <w:pPr>
              <w:pStyle w:val="texto0"/>
              <w:ind w:firstLine="0"/>
              <w:rPr>
                <w:rStyle w:val="highlighted2"/>
                <w:rFonts w:ascii="Verdana" w:hAnsi="Verdana"/>
                <w:sz w:val="16"/>
                <w:szCs w:val="16"/>
                <w:shd w:val="clear" w:color="auto" w:fill="FFFFFF"/>
              </w:rPr>
            </w:pPr>
            <w:r w:rsidRPr="00F01347">
              <w:rPr>
                <w:rFonts w:ascii="Verdana" w:hAnsi="Verdana"/>
                <w:i/>
                <w:sz w:val="16"/>
                <w:szCs w:val="16"/>
                <w:lang w:eastAsia="es-MX"/>
              </w:rPr>
              <w:t xml:space="preserve">ρ </w:t>
            </w:r>
            <w:proofErr w:type="spellStart"/>
            <w:proofErr w:type="gramStart"/>
            <w:r w:rsidRPr="00F01347">
              <w:rPr>
                <w:rFonts w:ascii="Verdana" w:hAnsi="Verdana"/>
                <w:i/>
                <w:sz w:val="16"/>
                <w:szCs w:val="16"/>
                <w:vertAlign w:val="subscript"/>
                <w:lang w:eastAsia="es-MX"/>
              </w:rPr>
              <w:t>microcistina,dpart</w:t>
            </w:r>
            <w:proofErr w:type="spellEnd"/>
            <w:proofErr w:type="gramEnd"/>
            <w:r w:rsidRPr="00F01347">
              <w:rPr>
                <w:rFonts w:ascii="Verdana" w:hAnsi="Verdana"/>
                <w:i/>
                <w:sz w:val="16"/>
                <w:szCs w:val="16"/>
                <w:vertAlign w:val="subscript"/>
                <w:lang w:eastAsia="es-MX"/>
              </w:rPr>
              <w:tab/>
            </w:r>
            <w:r w:rsidRPr="00F01347">
              <w:rPr>
                <w:rFonts w:ascii="Verdana" w:hAnsi="Verdana"/>
                <w:sz w:val="16"/>
                <w:szCs w:val="16"/>
                <w:lang w:eastAsia="es-MX"/>
              </w:rPr>
              <w:t xml:space="preserve">concentración en masa de cada </w:t>
            </w:r>
            <w:proofErr w:type="spellStart"/>
            <w:r w:rsidRPr="00F01347">
              <w:rPr>
                <w:rFonts w:ascii="Verdana" w:hAnsi="Verdana"/>
                <w:sz w:val="16"/>
                <w:szCs w:val="16"/>
                <w:lang w:eastAsia="es-MX"/>
              </w:rPr>
              <w:t>microcistina</w:t>
            </w:r>
            <w:proofErr w:type="spellEnd"/>
            <w:r w:rsidRPr="00F01347">
              <w:rPr>
                <w:rFonts w:ascii="Verdana" w:hAnsi="Verdana"/>
                <w:sz w:val="16"/>
                <w:szCs w:val="16"/>
                <w:lang w:eastAsia="es-MX"/>
              </w:rPr>
              <w:t xml:space="preserve"> individual en materia particulada en microgramos por mililitro, </w:t>
            </w:r>
            <w:r w:rsidRPr="00F01347">
              <w:rPr>
                <w:rStyle w:val="highlighted2"/>
                <w:rFonts w:ascii="Verdana" w:hAnsi="Verdana"/>
                <w:sz w:val="16"/>
                <w:szCs w:val="16"/>
                <w:shd w:val="clear" w:color="auto" w:fill="FFFFFF"/>
              </w:rPr>
              <w:t>μg/</w:t>
            </w:r>
            <w:proofErr w:type="spellStart"/>
            <w:r w:rsidRPr="00F01347">
              <w:rPr>
                <w:rStyle w:val="highlighted2"/>
                <w:rFonts w:ascii="Verdana" w:hAnsi="Verdana"/>
                <w:sz w:val="16"/>
                <w:szCs w:val="16"/>
                <w:shd w:val="clear" w:color="auto" w:fill="FFFFFF"/>
              </w:rPr>
              <w:t>mL</w:t>
            </w:r>
            <w:proofErr w:type="spellEnd"/>
          </w:p>
        </w:tc>
        <w:tc>
          <w:tcPr>
            <w:tcW w:w="4675" w:type="dxa"/>
          </w:tcPr>
          <w:p w14:paraId="52A07368" w14:textId="6F2D3F75" w:rsidR="00B16544" w:rsidRPr="00F01347" w:rsidRDefault="00B16544" w:rsidP="00B16544">
            <w:pPr>
              <w:pStyle w:val="texto0"/>
              <w:ind w:firstLine="0"/>
              <w:rPr>
                <w:rFonts w:ascii="Verdana" w:hAnsi="Verdana"/>
                <w:i/>
                <w:sz w:val="16"/>
                <w:szCs w:val="16"/>
                <w:lang w:val="en-US" w:eastAsia="es-MX"/>
              </w:rPr>
            </w:pPr>
            <w:r w:rsidRPr="00F01347">
              <w:rPr>
                <w:rFonts w:ascii="Verdana" w:hAnsi="Verdana"/>
                <w:i/>
                <w:sz w:val="16"/>
                <w:szCs w:val="16"/>
                <w:lang w:val="en-US" w:eastAsia="es-MX"/>
              </w:rPr>
              <w:t xml:space="preserve">ρ </w:t>
            </w:r>
            <w:proofErr w:type="spellStart"/>
            <w:proofErr w:type="gramStart"/>
            <w:r w:rsidRPr="00F01347">
              <w:rPr>
                <w:rFonts w:ascii="Verdana" w:hAnsi="Verdana"/>
                <w:i/>
                <w:sz w:val="16"/>
                <w:szCs w:val="16"/>
                <w:vertAlign w:val="subscript"/>
                <w:lang w:val="en-US" w:eastAsia="es-MX"/>
              </w:rPr>
              <w:t>microcystin,dpart</w:t>
            </w:r>
            <w:proofErr w:type="spellEnd"/>
            <w:proofErr w:type="gramEnd"/>
            <w:r w:rsidRPr="00F01347">
              <w:rPr>
                <w:rFonts w:ascii="Verdana" w:hAnsi="Verdana"/>
                <w:i/>
                <w:sz w:val="16"/>
                <w:szCs w:val="16"/>
                <w:vertAlign w:val="subscript"/>
                <w:lang w:val="en-US" w:eastAsia="es-MX"/>
              </w:rPr>
              <w:t xml:space="preserve"> </w:t>
            </w:r>
            <w:r w:rsidRPr="00F01347">
              <w:rPr>
                <w:rFonts w:ascii="Verdana" w:hAnsi="Verdana"/>
                <w:i/>
                <w:sz w:val="16"/>
                <w:szCs w:val="16"/>
                <w:vertAlign w:val="subscript"/>
                <w:lang w:val="en-US" w:eastAsia="es-MX"/>
              </w:rPr>
              <w:tab/>
            </w:r>
            <w:r w:rsidRPr="00F01347">
              <w:rPr>
                <w:rFonts w:ascii="Verdana" w:hAnsi="Verdana"/>
                <w:sz w:val="16"/>
                <w:szCs w:val="16"/>
                <w:lang w:val="en-US" w:eastAsia="es-MX"/>
              </w:rPr>
              <w:t xml:space="preserve">mass concentration of each individual microcystin in particulate matter in micrograms per milliliter, </w:t>
            </w:r>
            <w:proofErr w:type="spellStart"/>
            <w:r w:rsidRPr="00F01347">
              <w:rPr>
                <w:rStyle w:val="highlighted2"/>
                <w:rFonts w:ascii="Verdana" w:hAnsi="Verdana"/>
                <w:sz w:val="16"/>
                <w:szCs w:val="16"/>
                <w:shd w:val="clear" w:color="auto" w:fill="FFFFFF"/>
                <w:lang w:val="en-US"/>
              </w:rPr>
              <w:t>μg</w:t>
            </w:r>
            <w:proofErr w:type="spellEnd"/>
            <w:r w:rsidRPr="00F01347">
              <w:rPr>
                <w:rStyle w:val="highlighted2"/>
                <w:rFonts w:ascii="Verdana" w:hAnsi="Verdana"/>
                <w:sz w:val="16"/>
                <w:szCs w:val="16"/>
                <w:shd w:val="clear" w:color="auto" w:fill="FFFFFF"/>
                <w:lang w:val="en-US"/>
              </w:rPr>
              <w:t>/mL</w:t>
            </w:r>
          </w:p>
        </w:tc>
      </w:tr>
      <w:tr w:rsidR="00B16544" w:rsidRPr="00F01347" w14:paraId="610B5E3E" w14:textId="2CAA75CC" w:rsidTr="00B21DA6">
        <w:tc>
          <w:tcPr>
            <w:tcW w:w="4675" w:type="dxa"/>
          </w:tcPr>
          <w:p w14:paraId="0967754A" w14:textId="77777777" w:rsidR="00B16544" w:rsidRPr="00F01347" w:rsidRDefault="00B16544" w:rsidP="00B16544">
            <w:pPr>
              <w:pStyle w:val="texto0"/>
              <w:ind w:firstLine="0"/>
              <w:rPr>
                <w:rFonts w:ascii="Verdana" w:hAnsi="Verdana"/>
                <w:sz w:val="16"/>
                <w:szCs w:val="16"/>
                <w:lang w:eastAsia="es-MX"/>
              </w:rPr>
            </w:pPr>
            <w:proofErr w:type="spellStart"/>
            <w:r w:rsidRPr="00F01347">
              <w:rPr>
                <w:rStyle w:val="highlighted2"/>
                <w:rFonts w:ascii="Verdana" w:hAnsi="Verdana"/>
                <w:i/>
                <w:sz w:val="16"/>
                <w:szCs w:val="16"/>
                <w:shd w:val="clear" w:color="auto" w:fill="FFFFFF"/>
              </w:rPr>
              <w:t>V</w:t>
            </w:r>
            <w:r w:rsidRPr="00F01347">
              <w:rPr>
                <w:rStyle w:val="highlighted2"/>
                <w:rFonts w:ascii="Verdana" w:hAnsi="Verdana"/>
                <w:sz w:val="16"/>
                <w:szCs w:val="16"/>
                <w:shd w:val="clear" w:color="auto" w:fill="FFFFFF"/>
                <w:vertAlign w:val="subscript"/>
              </w:rPr>
              <w:t>ex</w:t>
            </w:r>
            <w:proofErr w:type="spellEnd"/>
            <w:r w:rsidRPr="00F01347">
              <w:rPr>
                <w:rStyle w:val="highlighted2"/>
                <w:rFonts w:ascii="Verdana" w:hAnsi="Verdana"/>
                <w:sz w:val="16"/>
                <w:szCs w:val="16"/>
                <w:shd w:val="clear" w:color="auto" w:fill="FFFFFF"/>
                <w:vertAlign w:val="subscript"/>
              </w:rPr>
              <w:tab/>
            </w:r>
            <w:r w:rsidRPr="00F01347">
              <w:rPr>
                <w:rStyle w:val="highlighted2"/>
                <w:rFonts w:ascii="Verdana" w:hAnsi="Verdana"/>
                <w:sz w:val="16"/>
                <w:szCs w:val="16"/>
                <w:shd w:val="clear" w:color="auto" w:fill="FFFFFF"/>
              </w:rPr>
              <w:t>volumen de</w:t>
            </w:r>
            <w:r w:rsidRPr="00F01347">
              <w:rPr>
                <w:rFonts w:ascii="Verdana" w:hAnsi="Verdana"/>
                <w:sz w:val="16"/>
                <w:szCs w:val="16"/>
                <w:lang w:eastAsia="es-MX"/>
              </w:rPr>
              <w:t xml:space="preserve"> extracción en mililitros, </w:t>
            </w:r>
            <w:proofErr w:type="spellStart"/>
            <w:r w:rsidRPr="00F01347">
              <w:rPr>
                <w:rFonts w:ascii="Verdana" w:hAnsi="Verdana"/>
                <w:sz w:val="16"/>
                <w:szCs w:val="16"/>
                <w:lang w:eastAsia="es-MX"/>
              </w:rPr>
              <w:t>mL</w:t>
            </w:r>
            <w:proofErr w:type="spellEnd"/>
          </w:p>
        </w:tc>
        <w:tc>
          <w:tcPr>
            <w:tcW w:w="4675" w:type="dxa"/>
          </w:tcPr>
          <w:p w14:paraId="2275F02C" w14:textId="2C4934E3" w:rsidR="00B16544" w:rsidRPr="00F01347" w:rsidRDefault="00B16544" w:rsidP="00B16544">
            <w:pPr>
              <w:pStyle w:val="texto0"/>
              <w:ind w:firstLine="0"/>
              <w:rPr>
                <w:rStyle w:val="highlighted2"/>
                <w:rFonts w:ascii="Verdana" w:hAnsi="Verdana"/>
                <w:i/>
                <w:sz w:val="16"/>
                <w:szCs w:val="16"/>
                <w:shd w:val="clear" w:color="auto" w:fill="FFFFFF"/>
                <w:lang w:val="en-US"/>
              </w:rPr>
            </w:pPr>
            <w:r w:rsidRPr="00F01347">
              <w:rPr>
                <w:rStyle w:val="highlighted2"/>
                <w:rFonts w:ascii="Verdana" w:hAnsi="Verdana"/>
                <w:i/>
                <w:sz w:val="16"/>
                <w:szCs w:val="16"/>
                <w:shd w:val="clear" w:color="auto" w:fill="FFFFFF"/>
                <w:lang w:val="en-US"/>
              </w:rPr>
              <w:t>V</w:t>
            </w:r>
            <w:r w:rsidRPr="00F01347">
              <w:rPr>
                <w:rStyle w:val="highlighted2"/>
                <w:rFonts w:ascii="Verdana" w:hAnsi="Verdana"/>
                <w:sz w:val="16"/>
                <w:szCs w:val="16"/>
                <w:shd w:val="clear" w:color="auto" w:fill="FFFFFF"/>
                <w:vertAlign w:val="subscript"/>
                <w:lang w:val="en-US"/>
              </w:rPr>
              <w:t xml:space="preserve">ex </w:t>
            </w:r>
            <w:r w:rsidRPr="00F01347">
              <w:rPr>
                <w:rStyle w:val="highlighted2"/>
                <w:rFonts w:ascii="Verdana" w:hAnsi="Verdana"/>
                <w:sz w:val="16"/>
                <w:szCs w:val="16"/>
                <w:shd w:val="clear" w:color="auto" w:fill="FFFFFF"/>
                <w:vertAlign w:val="subscript"/>
                <w:lang w:val="en-US"/>
              </w:rPr>
              <w:tab/>
            </w:r>
            <w:r w:rsidRPr="00F01347">
              <w:rPr>
                <w:rStyle w:val="highlighted2"/>
                <w:rFonts w:ascii="Verdana" w:hAnsi="Verdana"/>
                <w:sz w:val="16"/>
                <w:szCs w:val="16"/>
                <w:shd w:val="clear" w:color="auto" w:fill="FFFFFF"/>
                <w:lang w:val="en-US"/>
              </w:rPr>
              <w:t>volume</w:t>
            </w:r>
            <w:r w:rsidR="00B21DA6" w:rsidRPr="00F01347">
              <w:rPr>
                <w:rStyle w:val="highlighted2"/>
                <w:rFonts w:ascii="Verdana" w:hAnsi="Verdana"/>
                <w:sz w:val="16"/>
                <w:szCs w:val="16"/>
                <w:shd w:val="clear" w:color="auto" w:fill="FFFFFF"/>
                <w:lang w:val="en-US"/>
              </w:rPr>
              <w:t xml:space="preserve"> </w:t>
            </w:r>
            <w:r w:rsidR="00B21DA6" w:rsidRPr="00F01347">
              <w:rPr>
                <w:rStyle w:val="highlighted2"/>
                <w:shd w:val="clear" w:color="auto" w:fill="FFFFFF"/>
                <w:lang w:val="en-US"/>
              </w:rPr>
              <w:t>of extraction</w:t>
            </w:r>
            <w:r w:rsidRPr="00F01347">
              <w:rPr>
                <w:rStyle w:val="highlighted2"/>
                <w:rFonts w:ascii="Verdana" w:hAnsi="Verdana"/>
                <w:sz w:val="16"/>
                <w:szCs w:val="16"/>
                <w:shd w:val="clear" w:color="auto" w:fill="FFFFFF"/>
                <w:lang w:val="en-US"/>
              </w:rPr>
              <w:t xml:space="preserve"> </w:t>
            </w:r>
            <w:r w:rsidRPr="00F01347">
              <w:rPr>
                <w:rFonts w:ascii="Verdana" w:hAnsi="Verdana"/>
                <w:sz w:val="16"/>
                <w:szCs w:val="16"/>
                <w:lang w:val="en-US" w:eastAsia="es-MX"/>
              </w:rPr>
              <w:t>in milliliters, mL</w:t>
            </w:r>
          </w:p>
        </w:tc>
      </w:tr>
      <w:tr w:rsidR="00B16544" w:rsidRPr="00F01347" w14:paraId="73716BB6" w14:textId="61B32D10" w:rsidTr="00B21DA6">
        <w:tc>
          <w:tcPr>
            <w:tcW w:w="4675" w:type="dxa"/>
          </w:tcPr>
          <w:p w14:paraId="0C2B47E2" w14:textId="77777777" w:rsidR="00B16544" w:rsidRPr="00F01347" w:rsidRDefault="00B16544" w:rsidP="00B16544">
            <w:pPr>
              <w:pStyle w:val="texto0"/>
              <w:ind w:firstLine="0"/>
              <w:rPr>
                <w:rFonts w:ascii="Verdana" w:hAnsi="Verdana"/>
                <w:sz w:val="16"/>
                <w:szCs w:val="16"/>
                <w:lang w:eastAsia="es-MX"/>
              </w:rPr>
            </w:pPr>
            <w:proofErr w:type="spellStart"/>
            <w:r w:rsidRPr="00F01347">
              <w:rPr>
                <w:rFonts w:ascii="Verdana" w:hAnsi="Verdana"/>
                <w:i/>
                <w:sz w:val="16"/>
                <w:szCs w:val="16"/>
                <w:lang w:eastAsia="es-MX"/>
              </w:rPr>
              <w:t>V</w:t>
            </w:r>
            <w:r w:rsidRPr="00F01347">
              <w:rPr>
                <w:rFonts w:ascii="Verdana" w:hAnsi="Verdana"/>
                <w:sz w:val="16"/>
                <w:szCs w:val="16"/>
                <w:vertAlign w:val="subscript"/>
                <w:lang w:eastAsia="es-MX"/>
              </w:rPr>
              <w:t>sam</w:t>
            </w:r>
            <w:proofErr w:type="spellEnd"/>
            <w:r w:rsidRPr="00F01347">
              <w:rPr>
                <w:rFonts w:ascii="Verdana" w:hAnsi="Verdana"/>
                <w:sz w:val="16"/>
                <w:szCs w:val="16"/>
                <w:vertAlign w:val="subscript"/>
                <w:lang w:eastAsia="es-MX"/>
              </w:rPr>
              <w:tab/>
            </w:r>
            <w:r w:rsidRPr="00F01347">
              <w:rPr>
                <w:rFonts w:ascii="Verdana" w:hAnsi="Verdana"/>
                <w:sz w:val="16"/>
                <w:szCs w:val="16"/>
                <w:lang w:eastAsia="es-MX"/>
              </w:rPr>
              <w:t xml:space="preserve">volumen de la muestra filtrada en mililitro, </w:t>
            </w:r>
            <w:proofErr w:type="spellStart"/>
            <w:r w:rsidRPr="00F01347">
              <w:rPr>
                <w:rFonts w:ascii="Verdana" w:hAnsi="Verdana"/>
                <w:sz w:val="16"/>
                <w:szCs w:val="16"/>
                <w:lang w:eastAsia="es-MX"/>
              </w:rPr>
              <w:t>mL</w:t>
            </w:r>
            <w:proofErr w:type="spellEnd"/>
          </w:p>
        </w:tc>
        <w:tc>
          <w:tcPr>
            <w:tcW w:w="4675" w:type="dxa"/>
          </w:tcPr>
          <w:p w14:paraId="31D4B2F4" w14:textId="0F7EA53C" w:rsidR="00B16544" w:rsidRPr="00F01347" w:rsidRDefault="00B16544" w:rsidP="00B16544">
            <w:pPr>
              <w:pStyle w:val="texto0"/>
              <w:ind w:firstLine="0"/>
              <w:rPr>
                <w:rFonts w:ascii="Verdana" w:hAnsi="Verdana"/>
                <w:i/>
                <w:sz w:val="16"/>
                <w:szCs w:val="16"/>
                <w:lang w:val="en-US" w:eastAsia="es-MX"/>
              </w:rPr>
            </w:pPr>
            <w:proofErr w:type="spellStart"/>
            <w:r w:rsidRPr="00F01347">
              <w:rPr>
                <w:rFonts w:ascii="Verdana" w:hAnsi="Verdana"/>
                <w:i/>
                <w:sz w:val="16"/>
                <w:szCs w:val="16"/>
                <w:lang w:val="en-US" w:eastAsia="es-MX"/>
              </w:rPr>
              <w:t>V</w:t>
            </w:r>
            <w:r w:rsidRPr="00F01347">
              <w:rPr>
                <w:rFonts w:ascii="Verdana" w:hAnsi="Verdana"/>
                <w:sz w:val="16"/>
                <w:szCs w:val="16"/>
                <w:vertAlign w:val="subscript"/>
                <w:lang w:val="en-US" w:eastAsia="es-MX"/>
              </w:rPr>
              <w:t>sam</w:t>
            </w:r>
            <w:proofErr w:type="spellEnd"/>
            <w:r w:rsidRPr="00F01347">
              <w:rPr>
                <w:rFonts w:ascii="Verdana" w:hAnsi="Verdana"/>
                <w:sz w:val="16"/>
                <w:szCs w:val="16"/>
                <w:vertAlign w:val="subscript"/>
                <w:lang w:val="en-US" w:eastAsia="es-MX"/>
              </w:rPr>
              <w:t xml:space="preserve"> </w:t>
            </w:r>
            <w:r w:rsidRPr="00F01347">
              <w:rPr>
                <w:rFonts w:ascii="Verdana" w:hAnsi="Verdana"/>
                <w:sz w:val="16"/>
                <w:szCs w:val="16"/>
                <w:vertAlign w:val="subscript"/>
                <w:lang w:val="en-US" w:eastAsia="es-MX"/>
              </w:rPr>
              <w:tab/>
            </w:r>
            <w:r w:rsidRPr="00F01347">
              <w:rPr>
                <w:rFonts w:ascii="Verdana" w:hAnsi="Verdana"/>
                <w:sz w:val="16"/>
                <w:szCs w:val="16"/>
                <w:lang w:val="en-US" w:eastAsia="es-MX"/>
              </w:rPr>
              <w:t>volume of filtered sample in milliliter, mL</w:t>
            </w:r>
          </w:p>
        </w:tc>
      </w:tr>
      <w:tr w:rsidR="00B16544" w:rsidRPr="00F01347" w14:paraId="252B0EFE" w14:textId="504EA277" w:rsidTr="00B21DA6">
        <w:tc>
          <w:tcPr>
            <w:tcW w:w="4675" w:type="dxa"/>
          </w:tcPr>
          <w:p w14:paraId="613E1150" w14:textId="77777777" w:rsidR="00B16544" w:rsidRPr="00F01347" w:rsidRDefault="00B16544" w:rsidP="00B16544">
            <w:pPr>
              <w:pStyle w:val="texto0"/>
              <w:ind w:firstLine="0"/>
              <w:rPr>
                <w:rFonts w:ascii="Verdana" w:hAnsi="Verdana"/>
                <w:i/>
                <w:sz w:val="16"/>
                <w:szCs w:val="16"/>
                <w:lang w:eastAsia="es-MX"/>
              </w:rPr>
            </w:pPr>
            <w:r w:rsidRPr="00F01347">
              <w:rPr>
                <w:rFonts w:ascii="Verdana" w:hAnsi="Verdana"/>
                <w:i/>
                <w:sz w:val="16"/>
                <w:szCs w:val="16"/>
                <w:lang w:eastAsia="es-MX"/>
              </w:rPr>
              <w:t xml:space="preserve">f </w:t>
            </w:r>
            <w:r w:rsidRPr="00F01347">
              <w:rPr>
                <w:rFonts w:ascii="Verdana" w:hAnsi="Verdana"/>
                <w:i/>
                <w:sz w:val="16"/>
                <w:szCs w:val="16"/>
                <w:lang w:eastAsia="es-MX"/>
              </w:rPr>
              <w:tab/>
            </w:r>
            <w:r w:rsidRPr="00F01347">
              <w:rPr>
                <w:rFonts w:ascii="Verdana" w:hAnsi="Verdana"/>
                <w:sz w:val="16"/>
                <w:szCs w:val="16"/>
                <w:lang w:eastAsia="es-MX"/>
              </w:rPr>
              <w:t xml:space="preserve">factor de dilución en el paso de extracción de la </w:t>
            </w:r>
            <w:r w:rsidRPr="00F01347">
              <w:rPr>
                <w:rFonts w:ascii="Verdana" w:hAnsi="Verdana"/>
                <w:sz w:val="16"/>
                <w:szCs w:val="16"/>
                <w:shd w:val="clear" w:color="auto" w:fill="FFFFFF"/>
                <w:lang w:eastAsia="es-MX"/>
              </w:rPr>
              <w:t>célula</w:t>
            </w:r>
            <w:r w:rsidRPr="00F01347">
              <w:rPr>
                <w:rFonts w:ascii="Verdana" w:hAnsi="Verdana"/>
                <w:sz w:val="16"/>
                <w:szCs w:val="16"/>
                <w:lang w:eastAsia="es-MX"/>
              </w:rPr>
              <w:t>;</w:t>
            </w:r>
          </w:p>
        </w:tc>
        <w:tc>
          <w:tcPr>
            <w:tcW w:w="4675" w:type="dxa"/>
          </w:tcPr>
          <w:p w14:paraId="73BB98CD" w14:textId="1EBD4102" w:rsidR="00B16544" w:rsidRPr="00F01347" w:rsidRDefault="00B16544" w:rsidP="00B16544">
            <w:pPr>
              <w:pStyle w:val="texto0"/>
              <w:ind w:firstLine="0"/>
              <w:rPr>
                <w:rFonts w:ascii="Verdana" w:hAnsi="Verdana"/>
                <w:i/>
                <w:sz w:val="16"/>
                <w:szCs w:val="16"/>
                <w:lang w:val="en-US" w:eastAsia="es-MX"/>
              </w:rPr>
            </w:pPr>
            <w:r w:rsidRPr="00F01347">
              <w:rPr>
                <w:rFonts w:ascii="Verdana" w:hAnsi="Verdana"/>
                <w:i/>
                <w:sz w:val="16"/>
                <w:szCs w:val="16"/>
                <w:lang w:val="en-US" w:eastAsia="es-MX"/>
              </w:rPr>
              <w:t xml:space="preserve">f </w:t>
            </w:r>
            <w:r w:rsidR="00B21DA6" w:rsidRPr="00F01347">
              <w:rPr>
                <w:rFonts w:ascii="Verdana" w:hAnsi="Verdana"/>
                <w:i/>
                <w:sz w:val="16"/>
                <w:szCs w:val="16"/>
                <w:lang w:val="en-US" w:eastAsia="es-MX"/>
              </w:rPr>
              <w:t xml:space="preserve">           </w:t>
            </w:r>
            <w:r w:rsidRPr="00F01347">
              <w:rPr>
                <w:rFonts w:ascii="Verdana" w:hAnsi="Verdana"/>
                <w:iCs/>
                <w:sz w:val="16"/>
                <w:szCs w:val="16"/>
                <w:lang w:val="en-US" w:eastAsia="es-MX"/>
              </w:rPr>
              <w:t>dilution factor in</w:t>
            </w:r>
            <w:r w:rsidRPr="00F01347">
              <w:rPr>
                <w:rFonts w:ascii="Verdana" w:hAnsi="Verdana"/>
                <w:i/>
                <w:sz w:val="16"/>
                <w:szCs w:val="16"/>
                <w:lang w:val="en-US" w:eastAsia="es-MX"/>
              </w:rPr>
              <w:t xml:space="preserve"> the </w:t>
            </w:r>
            <w:r w:rsidRPr="00F01347">
              <w:rPr>
                <w:rFonts w:ascii="Verdana" w:hAnsi="Verdana"/>
                <w:sz w:val="16"/>
                <w:szCs w:val="16"/>
                <w:shd w:val="clear" w:color="auto" w:fill="FFFFFF"/>
                <w:lang w:val="en-US" w:eastAsia="es-MX"/>
              </w:rPr>
              <w:t xml:space="preserve">cell </w:t>
            </w:r>
            <w:r w:rsidRPr="00F01347">
              <w:rPr>
                <w:rFonts w:ascii="Verdana" w:hAnsi="Verdana"/>
                <w:sz w:val="16"/>
                <w:szCs w:val="16"/>
                <w:lang w:val="en-US" w:eastAsia="es-MX"/>
              </w:rPr>
              <w:t xml:space="preserve">extraction </w:t>
            </w:r>
            <w:proofErr w:type="gramStart"/>
            <w:r w:rsidRPr="00F01347">
              <w:rPr>
                <w:rFonts w:ascii="Verdana" w:hAnsi="Verdana"/>
                <w:sz w:val="16"/>
                <w:szCs w:val="16"/>
                <w:lang w:val="en-US" w:eastAsia="es-MX"/>
              </w:rPr>
              <w:t>step ;</w:t>
            </w:r>
            <w:proofErr w:type="gramEnd"/>
          </w:p>
        </w:tc>
      </w:tr>
      <w:tr w:rsidR="00B16544" w:rsidRPr="00F01347" w14:paraId="738A600F" w14:textId="225CC39C" w:rsidTr="00B21DA6">
        <w:tc>
          <w:tcPr>
            <w:tcW w:w="4675" w:type="dxa"/>
          </w:tcPr>
          <w:p w14:paraId="7FEAF372" w14:textId="77777777" w:rsidR="00B16544" w:rsidRPr="00F01347" w:rsidRDefault="00B16544" w:rsidP="00B16544">
            <w:pPr>
              <w:pStyle w:val="texto0"/>
              <w:ind w:firstLine="0"/>
              <w:rPr>
                <w:rFonts w:ascii="Verdana" w:hAnsi="Verdana"/>
                <w:sz w:val="16"/>
                <w:szCs w:val="16"/>
                <w:lang w:eastAsia="es-MX"/>
              </w:rPr>
            </w:pPr>
            <w:proofErr w:type="spellStart"/>
            <w:proofErr w:type="gramStart"/>
            <w:r w:rsidRPr="00F01347">
              <w:rPr>
                <w:rFonts w:ascii="Verdana" w:hAnsi="Verdana"/>
                <w:i/>
                <w:sz w:val="16"/>
                <w:szCs w:val="16"/>
                <w:lang w:eastAsia="es-MX"/>
              </w:rPr>
              <w:t>y,b</w:t>
            </w:r>
            <w:proofErr w:type="gramEnd"/>
            <w:r w:rsidRPr="00F01347">
              <w:rPr>
                <w:rFonts w:ascii="Verdana" w:hAnsi="Verdana"/>
                <w:i/>
                <w:sz w:val="16"/>
                <w:szCs w:val="16"/>
                <w:lang w:eastAsia="es-MX"/>
              </w:rPr>
              <w:t>,m</w:t>
            </w:r>
            <w:proofErr w:type="spellEnd"/>
            <w:r w:rsidRPr="00F01347">
              <w:rPr>
                <w:rFonts w:ascii="Verdana" w:hAnsi="Verdana"/>
                <w:i/>
                <w:sz w:val="16"/>
                <w:szCs w:val="16"/>
                <w:lang w:eastAsia="es-MX"/>
              </w:rPr>
              <w:tab/>
            </w:r>
            <w:r w:rsidRPr="00F01347">
              <w:rPr>
                <w:rFonts w:ascii="Verdana" w:hAnsi="Verdana"/>
                <w:sz w:val="16"/>
                <w:szCs w:val="16"/>
                <w:lang w:eastAsia="es-MX"/>
              </w:rPr>
              <w:t>ver ecuación de curva de calibración</w:t>
            </w:r>
          </w:p>
        </w:tc>
        <w:tc>
          <w:tcPr>
            <w:tcW w:w="4675" w:type="dxa"/>
          </w:tcPr>
          <w:p w14:paraId="5BC8FFC0" w14:textId="4CE75461" w:rsidR="00B16544" w:rsidRPr="00F01347" w:rsidRDefault="00B16544" w:rsidP="00B16544">
            <w:pPr>
              <w:pStyle w:val="texto0"/>
              <w:ind w:firstLine="0"/>
              <w:rPr>
                <w:rFonts w:ascii="Verdana" w:hAnsi="Verdana"/>
                <w:i/>
                <w:sz w:val="16"/>
                <w:szCs w:val="16"/>
                <w:lang w:val="en-US" w:eastAsia="es-MX"/>
              </w:rPr>
            </w:pPr>
            <w:proofErr w:type="spellStart"/>
            <w:proofErr w:type="gramStart"/>
            <w:r w:rsidRPr="00F01347">
              <w:rPr>
                <w:rFonts w:ascii="Verdana" w:hAnsi="Verdana"/>
                <w:i/>
                <w:sz w:val="16"/>
                <w:szCs w:val="16"/>
                <w:lang w:val="en-US" w:eastAsia="es-MX"/>
              </w:rPr>
              <w:t>y,b</w:t>
            </w:r>
            <w:proofErr w:type="gramEnd"/>
            <w:r w:rsidR="003E1BA9" w:rsidRPr="00F01347">
              <w:rPr>
                <w:rFonts w:ascii="Verdana" w:hAnsi="Verdana"/>
                <w:i/>
                <w:sz w:val="16"/>
                <w:szCs w:val="16"/>
                <w:lang w:val="en-US" w:eastAsia="es-MX"/>
              </w:rPr>
              <w:t>,</w:t>
            </w:r>
            <w:r w:rsidRPr="00F01347">
              <w:rPr>
                <w:rFonts w:ascii="Verdana" w:hAnsi="Verdana"/>
                <w:i/>
                <w:sz w:val="16"/>
                <w:szCs w:val="16"/>
                <w:lang w:val="en-US" w:eastAsia="es-MX"/>
              </w:rPr>
              <w:t>m</w:t>
            </w:r>
            <w:proofErr w:type="spellEnd"/>
            <w:r w:rsidRPr="00F01347">
              <w:rPr>
                <w:rFonts w:ascii="Verdana" w:hAnsi="Verdana"/>
                <w:i/>
                <w:sz w:val="16"/>
                <w:szCs w:val="16"/>
                <w:lang w:val="en-US" w:eastAsia="es-MX"/>
              </w:rPr>
              <w:t xml:space="preserve"> </w:t>
            </w:r>
            <w:r w:rsidRPr="00F01347">
              <w:rPr>
                <w:rFonts w:ascii="Verdana" w:hAnsi="Verdana"/>
                <w:i/>
                <w:sz w:val="16"/>
                <w:szCs w:val="16"/>
                <w:lang w:val="en-US" w:eastAsia="es-MX"/>
              </w:rPr>
              <w:tab/>
            </w:r>
            <w:r w:rsidRPr="00F01347">
              <w:rPr>
                <w:rFonts w:ascii="Verdana" w:hAnsi="Verdana"/>
                <w:sz w:val="16"/>
                <w:szCs w:val="16"/>
                <w:lang w:val="en-US" w:eastAsia="es-MX"/>
              </w:rPr>
              <w:t>see calibration curve equation</w:t>
            </w:r>
          </w:p>
        </w:tc>
      </w:tr>
      <w:tr w:rsidR="00B16544" w:rsidRPr="00F01347" w14:paraId="3463D1D8" w14:textId="3C1BAB1B" w:rsidTr="00B21DA6">
        <w:tc>
          <w:tcPr>
            <w:tcW w:w="4675" w:type="dxa"/>
          </w:tcPr>
          <w:p w14:paraId="1E942533" w14:textId="77777777" w:rsidR="00B16544" w:rsidRPr="00F01347" w:rsidRDefault="00B16544" w:rsidP="00B16544">
            <w:pPr>
              <w:pStyle w:val="texto0"/>
              <w:ind w:firstLine="0"/>
              <w:rPr>
                <w:rFonts w:ascii="Verdana" w:hAnsi="Verdana"/>
                <w:sz w:val="16"/>
                <w:szCs w:val="16"/>
              </w:rPr>
            </w:pPr>
            <w:r w:rsidRPr="00F01347">
              <w:rPr>
                <w:rFonts w:ascii="Verdana" w:hAnsi="Verdana"/>
                <w:sz w:val="16"/>
                <w:szCs w:val="16"/>
              </w:rPr>
              <w:t>Como alternativa, puede utilizarse una cuantificación asistida por sistemas de cómputo.</w:t>
            </w:r>
          </w:p>
        </w:tc>
        <w:tc>
          <w:tcPr>
            <w:tcW w:w="4675" w:type="dxa"/>
          </w:tcPr>
          <w:p w14:paraId="0C7FED33" w14:textId="10C7AC9B" w:rsidR="00B16544" w:rsidRPr="00F01347" w:rsidRDefault="00B16544" w:rsidP="00B16544">
            <w:pPr>
              <w:pStyle w:val="texto0"/>
              <w:ind w:firstLine="0"/>
              <w:rPr>
                <w:rFonts w:ascii="Verdana" w:hAnsi="Verdana"/>
                <w:sz w:val="16"/>
                <w:szCs w:val="16"/>
                <w:lang w:val="en-US"/>
              </w:rPr>
            </w:pPr>
            <w:r w:rsidRPr="00F01347">
              <w:rPr>
                <w:rFonts w:ascii="Verdana" w:hAnsi="Verdana"/>
                <w:sz w:val="16"/>
                <w:szCs w:val="16"/>
                <w:lang w:val="en-US"/>
              </w:rPr>
              <w:t>Alternatively, computer-assisted quantification can be used.</w:t>
            </w:r>
          </w:p>
        </w:tc>
      </w:tr>
      <w:tr w:rsidR="00B16544" w:rsidRPr="00F01347" w14:paraId="74C6EAC1" w14:textId="2CD2F361" w:rsidTr="00B21DA6">
        <w:tc>
          <w:tcPr>
            <w:tcW w:w="4675" w:type="dxa"/>
          </w:tcPr>
          <w:p w14:paraId="74762DC6" w14:textId="77777777" w:rsidR="00B16544" w:rsidRPr="00F01347" w:rsidRDefault="00B16544" w:rsidP="00B16544">
            <w:pPr>
              <w:pStyle w:val="texto0"/>
              <w:ind w:firstLine="0"/>
              <w:rPr>
                <w:rFonts w:ascii="Verdana" w:hAnsi="Verdana"/>
                <w:sz w:val="16"/>
                <w:szCs w:val="16"/>
              </w:rPr>
            </w:pPr>
            <w:r w:rsidRPr="00F01347">
              <w:rPr>
                <w:rFonts w:ascii="Verdana" w:hAnsi="Verdana"/>
                <w:sz w:val="16"/>
                <w:szCs w:val="16"/>
              </w:rPr>
              <w:t>Reportar los resultados de las ecuaciones del punto B.1.3.6.3, de este Apéndice,</w:t>
            </w:r>
            <w:r w:rsidRPr="00F01347">
              <w:rPr>
                <w:rFonts w:ascii="Verdana" w:hAnsi="Verdana"/>
                <w:b/>
                <w:sz w:val="16"/>
                <w:szCs w:val="16"/>
              </w:rPr>
              <w:t xml:space="preserve"> </w:t>
            </w:r>
            <w:r w:rsidRPr="00F01347">
              <w:rPr>
                <w:rFonts w:ascii="Verdana" w:hAnsi="Verdana"/>
                <w:sz w:val="16"/>
                <w:szCs w:val="16"/>
              </w:rPr>
              <w:t xml:space="preserve">por separado. Los resultados deben de ser sumados para muestras que contienen fitoplancton. Bajo condiciones naturales, la mayoría de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están incluidas en el material particulado y generalmente menos del 20% está disuelta en el agua.</w:t>
            </w:r>
          </w:p>
        </w:tc>
        <w:tc>
          <w:tcPr>
            <w:tcW w:w="4675" w:type="dxa"/>
          </w:tcPr>
          <w:p w14:paraId="33CF91BA" w14:textId="573574CC" w:rsidR="00B16544" w:rsidRPr="00F01347" w:rsidRDefault="00B16544" w:rsidP="00B16544">
            <w:pPr>
              <w:pStyle w:val="texto0"/>
              <w:ind w:firstLine="0"/>
              <w:rPr>
                <w:rFonts w:ascii="Verdana" w:hAnsi="Verdana"/>
                <w:sz w:val="16"/>
                <w:szCs w:val="16"/>
                <w:lang w:val="en-US"/>
              </w:rPr>
            </w:pPr>
            <w:r w:rsidRPr="00F01347">
              <w:rPr>
                <w:rFonts w:ascii="Verdana" w:hAnsi="Verdana"/>
                <w:sz w:val="16"/>
                <w:szCs w:val="16"/>
                <w:lang w:val="en-US"/>
              </w:rPr>
              <w:t>Report the results of the equations of point B.1.3.6.3, of this Appendix,</w:t>
            </w:r>
            <w:r w:rsidRPr="00F01347">
              <w:rPr>
                <w:rFonts w:ascii="Verdana" w:hAnsi="Verdana"/>
                <w:b/>
                <w:sz w:val="16"/>
                <w:szCs w:val="16"/>
                <w:lang w:val="en-US"/>
              </w:rPr>
              <w:t xml:space="preserve"> </w:t>
            </w:r>
            <w:r w:rsidRPr="00F01347">
              <w:rPr>
                <w:rFonts w:ascii="Verdana" w:hAnsi="Verdana"/>
                <w:sz w:val="16"/>
                <w:szCs w:val="16"/>
                <w:lang w:val="en-US"/>
              </w:rPr>
              <w:t xml:space="preserve">separately. The results must be added for samples containing phytoplankton. Under natural conditions, most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are included in particulate matter and generally less than 20% are dissolved in water.</w:t>
            </w:r>
          </w:p>
        </w:tc>
      </w:tr>
      <w:tr w:rsidR="00B16544" w:rsidRPr="00F01347" w14:paraId="5270F500" w14:textId="04B55C18" w:rsidTr="00B21DA6">
        <w:tc>
          <w:tcPr>
            <w:tcW w:w="4675" w:type="dxa"/>
          </w:tcPr>
          <w:p w14:paraId="0E28E8A0" w14:textId="77777777" w:rsidR="00B16544" w:rsidRPr="00F01347" w:rsidRDefault="00B16544" w:rsidP="00B16544">
            <w:pPr>
              <w:pStyle w:val="texto0"/>
              <w:spacing w:line="260" w:lineRule="exact"/>
              <w:ind w:firstLine="0"/>
              <w:rPr>
                <w:rFonts w:ascii="Verdana" w:hAnsi="Verdana"/>
                <w:sz w:val="16"/>
                <w:szCs w:val="16"/>
              </w:rPr>
            </w:pPr>
            <w:r w:rsidRPr="00F01347">
              <w:rPr>
                <w:rFonts w:ascii="Verdana" w:hAnsi="Verdana"/>
                <w:sz w:val="16"/>
                <w:szCs w:val="16"/>
              </w:rPr>
              <w:t xml:space="preserve">Distintas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MC-RR, MC-YR y MC-LR pueden ser identificadas/reconocidas por sus espectros de absorción ultravioleta. En el caso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diferentes a MC-LR, sus concentraciones en masa se pueden calcular utilizando la curva de calibración de MC-LR y los resultados se reportan como equivalentes MC-LR.</w:t>
            </w:r>
          </w:p>
        </w:tc>
        <w:tc>
          <w:tcPr>
            <w:tcW w:w="4675" w:type="dxa"/>
          </w:tcPr>
          <w:p w14:paraId="3C9ACA1A" w14:textId="38CEA2AE" w:rsidR="00B16544" w:rsidRPr="00F01347" w:rsidRDefault="00B16544" w:rsidP="00B16544">
            <w:pPr>
              <w:pStyle w:val="texto0"/>
              <w:spacing w:line="260" w:lineRule="exact"/>
              <w:ind w:firstLine="0"/>
              <w:rPr>
                <w:rFonts w:ascii="Verdana" w:hAnsi="Verdana"/>
                <w:sz w:val="16"/>
                <w:szCs w:val="16"/>
                <w:lang w:val="en-US"/>
              </w:rPr>
            </w:pPr>
            <w:r w:rsidRPr="00F01347">
              <w:rPr>
                <w:rFonts w:ascii="Verdana" w:hAnsi="Verdana"/>
                <w:sz w:val="16"/>
                <w:szCs w:val="16"/>
                <w:lang w:val="en-US"/>
              </w:rPr>
              <w:t xml:space="preserve">Different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MC-RR, MC-YR and MC-LR can be identified/recognized by their ultraviolet absorption spectra. In the case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other than MC-LR, their mass concentrations can be calculated using the MC-LR calibration curve and the results are reported as MC-LR equivalents.</w:t>
            </w:r>
          </w:p>
        </w:tc>
      </w:tr>
      <w:tr w:rsidR="00B16544" w:rsidRPr="00F01347" w14:paraId="438AC5AA" w14:textId="228EC50A" w:rsidTr="00B21DA6">
        <w:tc>
          <w:tcPr>
            <w:tcW w:w="4675" w:type="dxa"/>
          </w:tcPr>
          <w:p w14:paraId="5273E7A7" w14:textId="77777777" w:rsidR="00B16544" w:rsidRPr="00F01347" w:rsidRDefault="00B16544" w:rsidP="00B16544">
            <w:pPr>
              <w:pStyle w:val="texto0"/>
              <w:spacing w:line="260" w:lineRule="exact"/>
              <w:ind w:firstLine="0"/>
              <w:rPr>
                <w:rFonts w:ascii="Verdana" w:hAnsi="Verdana"/>
                <w:b/>
                <w:sz w:val="16"/>
                <w:szCs w:val="16"/>
              </w:rPr>
            </w:pPr>
            <w:r w:rsidRPr="00F01347">
              <w:rPr>
                <w:rFonts w:ascii="Verdana" w:hAnsi="Verdana"/>
                <w:b/>
                <w:sz w:val="16"/>
                <w:szCs w:val="16"/>
              </w:rPr>
              <w:t>B.1.3.6.4 Informe de prueba</w:t>
            </w:r>
          </w:p>
        </w:tc>
        <w:tc>
          <w:tcPr>
            <w:tcW w:w="4675" w:type="dxa"/>
          </w:tcPr>
          <w:p w14:paraId="5A29DEB5" w14:textId="6A43CE9E" w:rsidR="00B16544" w:rsidRPr="00F01347" w:rsidRDefault="00B16544" w:rsidP="00B16544">
            <w:pPr>
              <w:pStyle w:val="texto0"/>
              <w:spacing w:line="260" w:lineRule="exact"/>
              <w:ind w:firstLine="0"/>
              <w:rPr>
                <w:rFonts w:ascii="Verdana" w:hAnsi="Verdana"/>
                <w:b/>
                <w:sz w:val="16"/>
                <w:szCs w:val="16"/>
                <w:lang w:val="en-US"/>
              </w:rPr>
            </w:pPr>
            <w:r w:rsidRPr="00F01347">
              <w:rPr>
                <w:rFonts w:ascii="Verdana" w:hAnsi="Verdana"/>
                <w:b/>
                <w:sz w:val="16"/>
                <w:szCs w:val="16"/>
                <w:lang w:val="en-US"/>
              </w:rPr>
              <w:t>B.1.3.6.4 Test report</w:t>
            </w:r>
          </w:p>
        </w:tc>
      </w:tr>
      <w:tr w:rsidR="00B16544" w:rsidRPr="00F01347" w14:paraId="1C970C7A" w14:textId="74EA9322" w:rsidTr="00B21DA6">
        <w:tc>
          <w:tcPr>
            <w:tcW w:w="4675" w:type="dxa"/>
          </w:tcPr>
          <w:p w14:paraId="3DCDD5FC" w14:textId="77777777" w:rsidR="00B16544" w:rsidRPr="00F01347" w:rsidRDefault="00B16544" w:rsidP="00B16544">
            <w:pPr>
              <w:pStyle w:val="texto0"/>
              <w:spacing w:line="260" w:lineRule="exact"/>
              <w:ind w:firstLine="0"/>
              <w:rPr>
                <w:rFonts w:ascii="Verdana" w:hAnsi="Verdana"/>
                <w:sz w:val="16"/>
                <w:szCs w:val="16"/>
              </w:rPr>
            </w:pPr>
            <w:r w:rsidRPr="00F01347">
              <w:rPr>
                <w:rFonts w:ascii="Verdana" w:hAnsi="Verdana"/>
                <w:sz w:val="16"/>
                <w:szCs w:val="16"/>
              </w:rPr>
              <w:t xml:space="preserve">Reportar la concentración de </w:t>
            </w:r>
            <w:proofErr w:type="spellStart"/>
            <w:r w:rsidRPr="00F01347">
              <w:rPr>
                <w:rFonts w:ascii="Verdana" w:hAnsi="Verdana"/>
                <w:sz w:val="16"/>
                <w:szCs w:val="16"/>
              </w:rPr>
              <w:t>microcistina</w:t>
            </w:r>
            <w:proofErr w:type="spellEnd"/>
            <w:r w:rsidRPr="00F01347">
              <w:rPr>
                <w:rFonts w:ascii="Verdana" w:hAnsi="Verdana"/>
                <w:sz w:val="16"/>
                <w:szCs w:val="16"/>
              </w:rPr>
              <w:t>-LR en µg/L.</w:t>
            </w:r>
          </w:p>
        </w:tc>
        <w:tc>
          <w:tcPr>
            <w:tcW w:w="4675" w:type="dxa"/>
          </w:tcPr>
          <w:p w14:paraId="661B7C7B" w14:textId="465A6255" w:rsidR="00B16544" w:rsidRPr="00F01347" w:rsidRDefault="00B16544" w:rsidP="00B16544">
            <w:pPr>
              <w:pStyle w:val="texto0"/>
              <w:spacing w:line="260" w:lineRule="exact"/>
              <w:ind w:firstLine="0"/>
              <w:rPr>
                <w:rFonts w:ascii="Verdana" w:hAnsi="Verdana"/>
                <w:sz w:val="16"/>
                <w:szCs w:val="16"/>
                <w:lang w:val="en-US"/>
              </w:rPr>
            </w:pPr>
            <w:r w:rsidRPr="00F01347">
              <w:rPr>
                <w:rFonts w:ascii="Verdana" w:hAnsi="Verdana"/>
                <w:sz w:val="16"/>
                <w:szCs w:val="16"/>
                <w:lang w:val="en-US"/>
              </w:rPr>
              <w:t>Report the concentration of microcystin -LR in µg/L.</w:t>
            </w:r>
          </w:p>
        </w:tc>
      </w:tr>
      <w:tr w:rsidR="00B16544" w:rsidRPr="00F01347" w14:paraId="78C4230C" w14:textId="6FBBA4D7" w:rsidTr="00B21DA6">
        <w:tc>
          <w:tcPr>
            <w:tcW w:w="4675" w:type="dxa"/>
          </w:tcPr>
          <w:p w14:paraId="69C65552" w14:textId="77777777" w:rsidR="00B16544" w:rsidRPr="00F01347" w:rsidRDefault="00B16544" w:rsidP="00B16544">
            <w:pPr>
              <w:pStyle w:val="texto0"/>
              <w:spacing w:line="260" w:lineRule="exact"/>
              <w:ind w:firstLine="0"/>
              <w:rPr>
                <w:rFonts w:ascii="Verdana" w:hAnsi="Verdana"/>
                <w:b/>
                <w:sz w:val="16"/>
                <w:szCs w:val="16"/>
              </w:rPr>
            </w:pPr>
            <w:r w:rsidRPr="00F01347">
              <w:rPr>
                <w:rFonts w:ascii="Verdana" w:hAnsi="Verdana"/>
                <w:b/>
                <w:sz w:val="16"/>
                <w:szCs w:val="16"/>
              </w:rPr>
              <w:t>B.1.3.7 Calibración</w:t>
            </w:r>
          </w:p>
        </w:tc>
        <w:tc>
          <w:tcPr>
            <w:tcW w:w="4675" w:type="dxa"/>
          </w:tcPr>
          <w:p w14:paraId="0CAFB5E8" w14:textId="147B360A" w:rsidR="00B16544" w:rsidRPr="00F01347" w:rsidRDefault="00B16544" w:rsidP="00B16544">
            <w:pPr>
              <w:pStyle w:val="texto0"/>
              <w:spacing w:line="260" w:lineRule="exact"/>
              <w:ind w:firstLine="0"/>
              <w:rPr>
                <w:rFonts w:ascii="Verdana" w:hAnsi="Verdana"/>
                <w:b/>
                <w:sz w:val="16"/>
                <w:szCs w:val="16"/>
                <w:lang w:val="en-US"/>
              </w:rPr>
            </w:pPr>
            <w:r w:rsidRPr="00F01347">
              <w:rPr>
                <w:rFonts w:ascii="Verdana" w:hAnsi="Verdana"/>
                <w:b/>
                <w:sz w:val="16"/>
                <w:szCs w:val="16"/>
                <w:lang w:val="en-US"/>
              </w:rPr>
              <w:t>B.1.3.7 Calibration</w:t>
            </w:r>
          </w:p>
        </w:tc>
      </w:tr>
      <w:tr w:rsidR="00B16544" w:rsidRPr="00F01347" w14:paraId="5BF1FBE4" w14:textId="2C354484" w:rsidTr="00B21DA6">
        <w:tc>
          <w:tcPr>
            <w:tcW w:w="4675" w:type="dxa"/>
          </w:tcPr>
          <w:p w14:paraId="178171A8" w14:textId="77777777" w:rsidR="00B16544" w:rsidRPr="00F01347" w:rsidRDefault="00B16544" w:rsidP="00B16544">
            <w:pPr>
              <w:pStyle w:val="texto0"/>
              <w:spacing w:line="260" w:lineRule="exact"/>
              <w:ind w:firstLine="0"/>
              <w:rPr>
                <w:rFonts w:ascii="Verdana" w:hAnsi="Verdana"/>
                <w:sz w:val="16"/>
                <w:szCs w:val="16"/>
              </w:rPr>
            </w:pPr>
            <w:r w:rsidRPr="00F01347">
              <w:rPr>
                <w:rFonts w:ascii="Verdana" w:hAnsi="Verdana"/>
                <w:sz w:val="16"/>
                <w:szCs w:val="16"/>
              </w:rPr>
              <w:t xml:space="preserve">Determinar las señales cromatográficas a 238 nm (alturas de pico o áreas) de cada compuesto en la solución estándar mezclada de </w:t>
            </w:r>
            <w:proofErr w:type="spellStart"/>
            <w:r w:rsidRPr="00F01347">
              <w:rPr>
                <w:rFonts w:ascii="Verdana" w:hAnsi="Verdana"/>
                <w:sz w:val="16"/>
                <w:szCs w:val="16"/>
              </w:rPr>
              <w:t>microcistina</w:t>
            </w:r>
            <w:proofErr w:type="spellEnd"/>
            <w:r w:rsidRPr="00F01347">
              <w:rPr>
                <w:rFonts w:ascii="Verdana" w:hAnsi="Verdana"/>
                <w:sz w:val="16"/>
                <w:szCs w:val="16"/>
              </w:rPr>
              <w:t>.</w:t>
            </w:r>
          </w:p>
        </w:tc>
        <w:tc>
          <w:tcPr>
            <w:tcW w:w="4675" w:type="dxa"/>
          </w:tcPr>
          <w:p w14:paraId="129258DE" w14:textId="041B5D73" w:rsidR="00B16544" w:rsidRPr="00F01347" w:rsidRDefault="00B16544" w:rsidP="00B16544">
            <w:pPr>
              <w:pStyle w:val="texto0"/>
              <w:spacing w:line="260" w:lineRule="exact"/>
              <w:ind w:firstLine="0"/>
              <w:rPr>
                <w:rFonts w:ascii="Verdana" w:hAnsi="Verdana"/>
                <w:sz w:val="16"/>
                <w:szCs w:val="16"/>
                <w:lang w:val="en-US"/>
              </w:rPr>
            </w:pPr>
            <w:r w:rsidRPr="00F01347">
              <w:rPr>
                <w:rFonts w:ascii="Verdana" w:hAnsi="Verdana"/>
                <w:sz w:val="16"/>
                <w:szCs w:val="16"/>
                <w:lang w:val="en-US"/>
              </w:rPr>
              <w:t>Determine the chromatographic signals at 238 nm (peak heights or areas) of each compound in the mixed microcystin standard solution</w:t>
            </w:r>
            <w:r w:rsidR="003E1BA9" w:rsidRPr="00F01347">
              <w:rPr>
                <w:rFonts w:ascii="Verdana" w:hAnsi="Verdana"/>
                <w:sz w:val="16"/>
                <w:szCs w:val="16"/>
                <w:lang w:val="en-US"/>
              </w:rPr>
              <w:t>.</w:t>
            </w:r>
          </w:p>
        </w:tc>
      </w:tr>
      <w:tr w:rsidR="00B16544" w:rsidRPr="00F01347" w14:paraId="15EE6CF4" w14:textId="479958E1" w:rsidTr="00B21DA6">
        <w:tc>
          <w:tcPr>
            <w:tcW w:w="4675" w:type="dxa"/>
          </w:tcPr>
          <w:p w14:paraId="6D594D11" w14:textId="77777777" w:rsidR="00B16544" w:rsidRPr="00F01347" w:rsidRDefault="00B16544" w:rsidP="00B16544">
            <w:pPr>
              <w:pStyle w:val="texto0"/>
              <w:spacing w:line="260" w:lineRule="exact"/>
              <w:ind w:firstLine="0"/>
              <w:rPr>
                <w:rFonts w:ascii="Verdana" w:hAnsi="Verdana"/>
                <w:sz w:val="16"/>
                <w:szCs w:val="16"/>
              </w:rPr>
            </w:pPr>
            <w:r w:rsidRPr="00F01347">
              <w:rPr>
                <w:rFonts w:ascii="Verdana" w:hAnsi="Verdana"/>
                <w:sz w:val="16"/>
                <w:szCs w:val="16"/>
              </w:rPr>
              <w:lastRenderedPageBreak/>
              <w:t xml:space="preserve">Preparar las tres curvas de calibración (MC-RR, MC-YR y MC-LR) mediante la inyección de un volumen apropiado (5 a 20 µl) de las mezclas de </w:t>
            </w:r>
            <w:proofErr w:type="spellStart"/>
            <w:r w:rsidRPr="00F01347">
              <w:rPr>
                <w:rFonts w:ascii="Verdana" w:hAnsi="Verdana"/>
                <w:sz w:val="16"/>
                <w:szCs w:val="16"/>
              </w:rPr>
              <w:t>microcistina</w:t>
            </w:r>
            <w:proofErr w:type="spellEnd"/>
            <w:r w:rsidRPr="00F01347">
              <w:rPr>
                <w:rFonts w:ascii="Verdana" w:hAnsi="Verdana"/>
                <w:sz w:val="16"/>
                <w:szCs w:val="16"/>
              </w:rPr>
              <w:t xml:space="preserve"> descritas en los estándares de soluciones. Estas soluciones cubren el rango de 0.2 µg/ml a 3 µg/ml.</w:t>
            </w:r>
          </w:p>
        </w:tc>
        <w:tc>
          <w:tcPr>
            <w:tcW w:w="4675" w:type="dxa"/>
          </w:tcPr>
          <w:p w14:paraId="60F3848E" w14:textId="64550394" w:rsidR="00B16544" w:rsidRPr="00F01347" w:rsidRDefault="00B16544" w:rsidP="00B16544">
            <w:pPr>
              <w:pStyle w:val="texto0"/>
              <w:spacing w:line="260" w:lineRule="exact"/>
              <w:ind w:firstLine="0"/>
              <w:rPr>
                <w:rFonts w:ascii="Verdana" w:hAnsi="Verdana"/>
                <w:sz w:val="16"/>
                <w:szCs w:val="16"/>
                <w:lang w:val="en-US"/>
              </w:rPr>
            </w:pPr>
            <w:r w:rsidRPr="00F01347">
              <w:rPr>
                <w:rFonts w:ascii="Verdana" w:hAnsi="Verdana"/>
                <w:sz w:val="16"/>
                <w:szCs w:val="16"/>
                <w:lang w:val="en-US"/>
              </w:rPr>
              <w:t>Prepare the three calibration curves (MC-RR, MC-YR, and MC-LR) by injecting an appropriate volume (5 to 20 µL) of the microcystin mixtures described in the standard solutions. These solutions cover the range from 0.2 µg/ml to 3 µg/ml.</w:t>
            </w:r>
          </w:p>
        </w:tc>
      </w:tr>
      <w:tr w:rsidR="00B16544" w:rsidRPr="00F01347" w14:paraId="214AEA8D" w14:textId="766D8E0D" w:rsidTr="00B21DA6">
        <w:tc>
          <w:tcPr>
            <w:tcW w:w="4675" w:type="dxa"/>
          </w:tcPr>
          <w:p w14:paraId="76D69624" w14:textId="77777777" w:rsidR="00B16544" w:rsidRPr="00F01347" w:rsidRDefault="00B16544" w:rsidP="00B16544">
            <w:pPr>
              <w:pStyle w:val="texto0"/>
              <w:spacing w:line="260" w:lineRule="exact"/>
              <w:ind w:firstLine="0"/>
              <w:rPr>
                <w:rFonts w:ascii="Verdana" w:hAnsi="Verdana"/>
                <w:color w:val="000000"/>
                <w:sz w:val="16"/>
                <w:szCs w:val="16"/>
              </w:rPr>
            </w:pPr>
            <w:r w:rsidRPr="00F01347">
              <w:rPr>
                <w:rFonts w:ascii="Verdana" w:hAnsi="Verdana"/>
                <w:color w:val="000000"/>
                <w:sz w:val="16"/>
                <w:szCs w:val="16"/>
              </w:rPr>
              <w:t>Establecer la curva de calibración (</w:t>
            </w:r>
            <w:r w:rsidRPr="00F01347">
              <w:rPr>
                <w:rFonts w:ascii="Verdana" w:hAnsi="Verdana"/>
                <w:vanish/>
                <w:color w:val="000000"/>
                <w:sz w:val="16"/>
                <w:szCs w:val="16"/>
              </w:rPr>
              <w:t xml:space="preserve">[...] </w:t>
            </w:r>
            <w:r w:rsidRPr="00F01347">
              <w:rPr>
                <w:rFonts w:ascii="Verdana" w:hAnsi="Verdana"/>
                <w:color w:val="000000"/>
                <w:sz w:val="16"/>
                <w:szCs w:val="16"/>
              </w:rPr>
              <w:t xml:space="preserve">método de mínimos cuadrados) para cada </w:t>
            </w:r>
            <w:proofErr w:type="spellStart"/>
            <w:r w:rsidRPr="00F01347">
              <w:rPr>
                <w:rFonts w:ascii="Verdana" w:hAnsi="Verdana"/>
                <w:color w:val="000000"/>
                <w:sz w:val="16"/>
                <w:szCs w:val="16"/>
              </w:rPr>
              <w:t>microcistina</w:t>
            </w:r>
            <w:proofErr w:type="spellEnd"/>
            <w:r w:rsidRPr="00F01347">
              <w:rPr>
                <w:rFonts w:ascii="Verdana" w:hAnsi="Verdana"/>
                <w:color w:val="000000"/>
                <w:sz w:val="16"/>
                <w:szCs w:val="16"/>
              </w:rPr>
              <w:t xml:space="preserve"> (área en el eje </w:t>
            </w:r>
            <w:r w:rsidRPr="00F01347">
              <w:rPr>
                <w:rFonts w:ascii="Verdana" w:hAnsi="Verdana"/>
                <w:i/>
                <w:color w:val="000000"/>
                <w:sz w:val="16"/>
                <w:szCs w:val="16"/>
              </w:rPr>
              <w:t>y</w:t>
            </w:r>
            <w:r w:rsidRPr="00F01347">
              <w:rPr>
                <w:rFonts w:ascii="Verdana" w:hAnsi="Verdana"/>
                <w:color w:val="000000"/>
                <w:sz w:val="16"/>
                <w:szCs w:val="16"/>
              </w:rPr>
              <w:t xml:space="preserve"> </w:t>
            </w:r>
            <w:proofErr w:type="spellStart"/>
            <w:r w:rsidRPr="00F01347">
              <w:rPr>
                <w:rFonts w:ascii="Verdana" w:hAnsi="Verdana"/>
                <w:color w:val="000000"/>
                <w:sz w:val="16"/>
                <w:szCs w:val="16"/>
              </w:rPr>
              <w:t>y</w:t>
            </w:r>
            <w:proofErr w:type="spellEnd"/>
            <w:r w:rsidRPr="00F01347">
              <w:rPr>
                <w:rFonts w:ascii="Verdana" w:hAnsi="Verdana"/>
                <w:color w:val="000000"/>
                <w:sz w:val="16"/>
                <w:szCs w:val="16"/>
              </w:rPr>
              <w:t xml:space="preserve"> concentración en el eje</w:t>
            </w:r>
            <w:r w:rsidRPr="00F01347">
              <w:rPr>
                <w:rFonts w:ascii="Verdana" w:hAnsi="Verdana"/>
                <w:i/>
                <w:color w:val="000000"/>
                <w:sz w:val="16"/>
                <w:szCs w:val="16"/>
              </w:rPr>
              <w:t xml:space="preserve"> x</w:t>
            </w:r>
            <w:r w:rsidRPr="00F01347">
              <w:rPr>
                <w:rFonts w:ascii="Verdana" w:hAnsi="Verdana"/>
                <w:color w:val="000000"/>
                <w:sz w:val="16"/>
                <w:szCs w:val="16"/>
              </w:rPr>
              <w:t>) utilizando una regresión lineal mostrada en la siguiente ecuación y verificando el trazo de linealidad.</w:t>
            </w:r>
          </w:p>
        </w:tc>
        <w:tc>
          <w:tcPr>
            <w:tcW w:w="4675" w:type="dxa"/>
          </w:tcPr>
          <w:p w14:paraId="63EF8E9E" w14:textId="7BEC0963" w:rsidR="00B16544" w:rsidRPr="00F01347" w:rsidRDefault="00B16544" w:rsidP="00B16544">
            <w:pPr>
              <w:pStyle w:val="texto0"/>
              <w:spacing w:line="260"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Establish the calibration curve </w:t>
            </w:r>
            <w:r w:rsidR="00CB209C" w:rsidRPr="00F01347">
              <w:rPr>
                <w:rFonts w:ascii="Verdana" w:hAnsi="Verdana"/>
                <w:color w:val="000000"/>
                <w:sz w:val="16"/>
                <w:szCs w:val="16"/>
                <w:lang w:val="en-US"/>
              </w:rPr>
              <w:t>(</w:t>
            </w:r>
            <w:r w:rsidRPr="00F01347">
              <w:rPr>
                <w:rFonts w:ascii="Verdana" w:hAnsi="Verdana"/>
                <w:vanish/>
                <w:color w:val="000000"/>
                <w:sz w:val="16"/>
                <w:szCs w:val="16"/>
                <w:lang w:val="en-US"/>
              </w:rPr>
              <w:t xml:space="preserve">least </w:t>
            </w:r>
            <w:r w:rsidRPr="00F01347">
              <w:rPr>
                <w:rFonts w:ascii="Verdana" w:hAnsi="Verdana"/>
                <w:color w:val="000000"/>
                <w:sz w:val="16"/>
                <w:szCs w:val="16"/>
                <w:lang w:val="en-US"/>
              </w:rPr>
              <w:t xml:space="preserve">squares method) for each microcystin (area on the </w:t>
            </w:r>
            <w:r w:rsidRPr="00F01347">
              <w:rPr>
                <w:rFonts w:ascii="Verdana" w:hAnsi="Verdana"/>
                <w:i/>
                <w:color w:val="000000"/>
                <w:sz w:val="16"/>
                <w:szCs w:val="16"/>
                <w:lang w:val="en-US"/>
              </w:rPr>
              <w:t>y- axis</w:t>
            </w:r>
            <w:r w:rsidRPr="00F01347">
              <w:rPr>
                <w:rFonts w:ascii="Verdana" w:hAnsi="Verdana"/>
                <w:color w:val="000000"/>
                <w:sz w:val="16"/>
                <w:szCs w:val="16"/>
                <w:lang w:val="en-US"/>
              </w:rPr>
              <w:t xml:space="preserve"> and concentration on the </w:t>
            </w:r>
            <w:r w:rsidRPr="00F01347">
              <w:rPr>
                <w:rFonts w:ascii="Verdana" w:hAnsi="Verdana"/>
                <w:i/>
                <w:color w:val="000000"/>
                <w:sz w:val="16"/>
                <w:szCs w:val="16"/>
                <w:lang w:val="en-US"/>
              </w:rPr>
              <w:t>x axis</w:t>
            </w:r>
            <w:r w:rsidR="00913802" w:rsidRPr="00F01347">
              <w:rPr>
                <w:rFonts w:ascii="Verdana" w:hAnsi="Verdana"/>
                <w:i/>
                <w:color w:val="000000"/>
                <w:sz w:val="16"/>
                <w:szCs w:val="16"/>
                <w:lang w:val="en-US"/>
              </w:rPr>
              <w:t>)</w:t>
            </w:r>
            <w:r w:rsidRPr="00F01347">
              <w:rPr>
                <w:rFonts w:ascii="Verdana" w:hAnsi="Verdana"/>
                <w:color w:val="000000"/>
                <w:sz w:val="16"/>
                <w:szCs w:val="16"/>
                <w:lang w:val="en-US"/>
              </w:rPr>
              <w:t xml:space="preserve"> using a linear regression shown in the following equation and checking the linearity plot.</w:t>
            </w:r>
          </w:p>
        </w:tc>
      </w:tr>
      <w:tr w:rsidR="00B16544" w:rsidRPr="00F01347" w14:paraId="06D347CE" w14:textId="4D1949AE" w:rsidTr="00B21DA6">
        <w:tc>
          <w:tcPr>
            <w:tcW w:w="4675" w:type="dxa"/>
          </w:tcPr>
          <w:p w14:paraId="5214E648" w14:textId="77777777" w:rsidR="00B16544" w:rsidRPr="00F01347" w:rsidRDefault="00B16544" w:rsidP="00914B4A">
            <w:pPr>
              <w:pStyle w:val="texto0"/>
              <w:spacing w:line="240" w:lineRule="auto"/>
              <w:ind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7A9AB8D8" wp14:editId="1CB22105">
                  <wp:extent cx="742950" cy="171450"/>
                  <wp:effectExtent l="0" t="0" r="0" b="0"/>
                  <wp:docPr id="2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42950" cy="171450"/>
                          </a:xfrm>
                          <a:prstGeom prst="rect">
                            <a:avLst/>
                          </a:prstGeom>
                          <a:noFill/>
                          <a:ln>
                            <a:noFill/>
                          </a:ln>
                        </pic:spPr>
                      </pic:pic>
                    </a:graphicData>
                  </a:graphic>
                </wp:inline>
              </w:drawing>
            </w:r>
          </w:p>
        </w:tc>
        <w:tc>
          <w:tcPr>
            <w:tcW w:w="4675" w:type="dxa"/>
          </w:tcPr>
          <w:p w14:paraId="5E2C732C" w14:textId="731CD81D" w:rsidR="00B16544" w:rsidRPr="00F01347" w:rsidRDefault="00B16544" w:rsidP="00914B4A">
            <w:pPr>
              <w:pStyle w:val="texto0"/>
              <w:spacing w:line="240" w:lineRule="auto"/>
              <w:ind w:firstLine="0"/>
              <w:jc w:val="center"/>
              <w:rPr>
                <w:rFonts w:ascii="Verdana" w:hAnsi="Verdana"/>
                <w:noProof/>
                <w:sz w:val="16"/>
                <w:szCs w:val="16"/>
                <w:lang w:val="en-US" w:eastAsia="es-MX"/>
              </w:rPr>
            </w:pPr>
            <w:r w:rsidRPr="00F01347">
              <w:rPr>
                <w:rFonts w:ascii="Verdana" w:hAnsi="Verdana"/>
                <w:noProof/>
                <w:sz w:val="16"/>
                <w:szCs w:val="16"/>
                <w:lang w:val="en-US" w:eastAsia="es-MX"/>
              </w:rPr>
              <w:drawing>
                <wp:inline distT="0" distB="0" distL="0" distR="0" wp14:anchorId="349BBDB5" wp14:editId="55C99541">
                  <wp:extent cx="742950" cy="171450"/>
                  <wp:effectExtent l="0" t="0" r="0" b="0"/>
                  <wp:docPr id="1719736122" name="Picture 1719736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42950" cy="171450"/>
                          </a:xfrm>
                          <a:prstGeom prst="rect">
                            <a:avLst/>
                          </a:prstGeom>
                          <a:noFill/>
                          <a:ln>
                            <a:noFill/>
                          </a:ln>
                        </pic:spPr>
                      </pic:pic>
                    </a:graphicData>
                  </a:graphic>
                </wp:inline>
              </w:drawing>
            </w:r>
          </w:p>
        </w:tc>
      </w:tr>
      <w:tr w:rsidR="00B16544" w:rsidRPr="00F01347" w14:paraId="3FDB6F46" w14:textId="345550E6" w:rsidTr="00B21DA6">
        <w:tc>
          <w:tcPr>
            <w:tcW w:w="4675" w:type="dxa"/>
          </w:tcPr>
          <w:p w14:paraId="72764FAC" w14:textId="77777777" w:rsidR="00B16544" w:rsidRPr="00F01347" w:rsidRDefault="00B16544" w:rsidP="00B16544">
            <w:pPr>
              <w:pStyle w:val="texto0"/>
              <w:spacing w:line="260" w:lineRule="exact"/>
              <w:ind w:firstLine="0"/>
              <w:rPr>
                <w:rFonts w:ascii="Verdana" w:hAnsi="Verdana"/>
                <w:b/>
                <w:bCs/>
                <w:sz w:val="16"/>
                <w:szCs w:val="16"/>
              </w:rPr>
            </w:pPr>
            <w:r w:rsidRPr="00F01347">
              <w:rPr>
                <w:rFonts w:ascii="Verdana" w:hAnsi="Verdana"/>
                <w:b/>
                <w:bCs/>
                <w:sz w:val="16"/>
                <w:szCs w:val="16"/>
              </w:rPr>
              <w:t>En donde:</w:t>
            </w:r>
          </w:p>
        </w:tc>
        <w:tc>
          <w:tcPr>
            <w:tcW w:w="4675" w:type="dxa"/>
          </w:tcPr>
          <w:p w14:paraId="480D44D9" w14:textId="316FC9E9" w:rsidR="00B16544" w:rsidRPr="00F01347" w:rsidRDefault="00B16544" w:rsidP="00B16544">
            <w:pPr>
              <w:pStyle w:val="texto0"/>
              <w:spacing w:line="260" w:lineRule="exact"/>
              <w:ind w:firstLine="0"/>
              <w:rPr>
                <w:rFonts w:ascii="Verdana" w:hAnsi="Verdana"/>
                <w:b/>
                <w:bCs/>
                <w:sz w:val="16"/>
                <w:szCs w:val="16"/>
                <w:lang w:val="en-US"/>
              </w:rPr>
            </w:pPr>
            <w:r w:rsidRPr="00F01347">
              <w:rPr>
                <w:rFonts w:ascii="Verdana" w:hAnsi="Verdana"/>
                <w:b/>
                <w:bCs/>
                <w:sz w:val="16"/>
                <w:szCs w:val="16"/>
                <w:lang w:val="en-US"/>
              </w:rPr>
              <w:t>Where:</w:t>
            </w:r>
          </w:p>
        </w:tc>
      </w:tr>
      <w:tr w:rsidR="00B16544" w:rsidRPr="00F01347" w14:paraId="5C128942" w14:textId="4C32AD52" w:rsidTr="00B21DA6">
        <w:tc>
          <w:tcPr>
            <w:tcW w:w="4675" w:type="dxa"/>
          </w:tcPr>
          <w:p w14:paraId="60489896" w14:textId="77777777" w:rsidR="00B16544" w:rsidRPr="00F01347" w:rsidRDefault="00B16544" w:rsidP="00B16544">
            <w:pPr>
              <w:pStyle w:val="texto0"/>
              <w:spacing w:line="260" w:lineRule="exact"/>
              <w:ind w:firstLine="0"/>
              <w:rPr>
                <w:rFonts w:ascii="Verdana" w:hAnsi="Verdana"/>
                <w:sz w:val="16"/>
                <w:szCs w:val="16"/>
              </w:rPr>
            </w:pPr>
            <w:r w:rsidRPr="00F01347">
              <w:rPr>
                <w:rFonts w:ascii="Verdana" w:hAnsi="Verdana"/>
                <w:sz w:val="16"/>
                <w:szCs w:val="16"/>
              </w:rPr>
              <w:t>b</w:t>
            </w:r>
            <w:r w:rsidRPr="00F01347">
              <w:rPr>
                <w:rFonts w:ascii="Verdana" w:hAnsi="Verdana"/>
                <w:sz w:val="16"/>
                <w:szCs w:val="16"/>
              </w:rPr>
              <w:tab/>
              <w:t>punto de intercepción con el eje y (área); ordenada al origen</w:t>
            </w:r>
          </w:p>
        </w:tc>
        <w:tc>
          <w:tcPr>
            <w:tcW w:w="4675" w:type="dxa"/>
          </w:tcPr>
          <w:p w14:paraId="4F2FED91" w14:textId="07718679" w:rsidR="00B16544" w:rsidRPr="00F01347" w:rsidRDefault="00B16544" w:rsidP="00B16544">
            <w:pPr>
              <w:pStyle w:val="texto0"/>
              <w:spacing w:line="260" w:lineRule="exact"/>
              <w:ind w:firstLine="0"/>
              <w:rPr>
                <w:rFonts w:ascii="Verdana" w:hAnsi="Verdana"/>
                <w:sz w:val="16"/>
                <w:szCs w:val="16"/>
                <w:lang w:val="en-US"/>
              </w:rPr>
            </w:pPr>
            <w:r w:rsidRPr="00F01347">
              <w:rPr>
                <w:rFonts w:ascii="Verdana" w:hAnsi="Verdana"/>
                <w:sz w:val="16"/>
                <w:szCs w:val="16"/>
                <w:lang w:val="en-US"/>
              </w:rPr>
              <w:t xml:space="preserve">b </w:t>
            </w:r>
            <w:r w:rsidRPr="00F01347">
              <w:rPr>
                <w:rFonts w:ascii="Verdana" w:hAnsi="Verdana"/>
                <w:sz w:val="16"/>
                <w:szCs w:val="16"/>
                <w:lang w:val="en-US"/>
              </w:rPr>
              <w:tab/>
              <w:t xml:space="preserve">intercept point with the y axis (area); </w:t>
            </w:r>
            <w:r w:rsidR="005E241C" w:rsidRPr="00F01347">
              <w:rPr>
                <w:rFonts w:ascii="Verdana" w:hAnsi="Verdana"/>
                <w:sz w:val="16"/>
                <w:szCs w:val="16"/>
                <w:lang w:val="en-US"/>
              </w:rPr>
              <w:t>ordered to the origin</w:t>
            </w:r>
          </w:p>
        </w:tc>
      </w:tr>
      <w:tr w:rsidR="00B16544" w:rsidRPr="00F01347" w14:paraId="05238719" w14:textId="0D42F9FE" w:rsidTr="00B21DA6">
        <w:tc>
          <w:tcPr>
            <w:tcW w:w="4675" w:type="dxa"/>
          </w:tcPr>
          <w:p w14:paraId="4E288FDA" w14:textId="77777777" w:rsidR="00B16544" w:rsidRPr="00F01347" w:rsidRDefault="00B16544" w:rsidP="00B16544">
            <w:pPr>
              <w:pStyle w:val="texto0"/>
              <w:spacing w:line="260" w:lineRule="exact"/>
              <w:ind w:firstLine="0"/>
              <w:rPr>
                <w:rFonts w:ascii="Verdana" w:hAnsi="Verdana"/>
                <w:sz w:val="16"/>
                <w:szCs w:val="16"/>
              </w:rPr>
            </w:pPr>
            <w:r w:rsidRPr="00F01347">
              <w:rPr>
                <w:rFonts w:ascii="Verdana" w:hAnsi="Verdana"/>
                <w:i/>
                <w:sz w:val="16"/>
                <w:szCs w:val="16"/>
              </w:rPr>
              <w:t>m</w:t>
            </w:r>
            <w:r w:rsidRPr="00F01347">
              <w:rPr>
                <w:rFonts w:ascii="Verdana" w:hAnsi="Verdana"/>
                <w:i/>
                <w:sz w:val="16"/>
                <w:szCs w:val="16"/>
              </w:rPr>
              <w:tab/>
            </w:r>
            <w:r w:rsidRPr="00F01347">
              <w:rPr>
                <w:rFonts w:ascii="Verdana" w:hAnsi="Verdana"/>
                <w:sz w:val="16"/>
                <w:szCs w:val="16"/>
              </w:rPr>
              <w:t xml:space="preserve">pendiente en </w:t>
            </w:r>
            <w:proofErr w:type="spellStart"/>
            <w:r w:rsidRPr="00F01347">
              <w:rPr>
                <w:rFonts w:ascii="Verdana" w:hAnsi="Verdana"/>
                <w:sz w:val="16"/>
                <w:szCs w:val="16"/>
              </w:rPr>
              <w:t>mL</w:t>
            </w:r>
            <w:proofErr w:type="spellEnd"/>
            <w:r w:rsidRPr="00F01347">
              <w:rPr>
                <w:rFonts w:ascii="Verdana" w:hAnsi="Verdana"/>
                <w:sz w:val="16"/>
                <w:szCs w:val="16"/>
              </w:rPr>
              <w:t xml:space="preserve"> por microgramos, ml/µg</w:t>
            </w:r>
          </w:p>
        </w:tc>
        <w:tc>
          <w:tcPr>
            <w:tcW w:w="4675" w:type="dxa"/>
          </w:tcPr>
          <w:p w14:paraId="5D7D3C0B" w14:textId="43DB8EF5" w:rsidR="00B16544" w:rsidRPr="00F01347" w:rsidRDefault="00B16544" w:rsidP="00B16544">
            <w:pPr>
              <w:pStyle w:val="texto0"/>
              <w:spacing w:line="260" w:lineRule="exact"/>
              <w:ind w:firstLine="0"/>
              <w:rPr>
                <w:rFonts w:ascii="Verdana" w:hAnsi="Verdana"/>
                <w:i/>
                <w:sz w:val="16"/>
                <w:szCs w:val="16"/>
                <w:lang w:val="en-US"/>
              </w:rPr>
            </w:pPr>
            <w:r w:rsidRPr="00F01347">
              <w:rPr>
                <w:rFonts w:ascii="Verdana" w:hAnsi="Verdana"/>
                <w:i/>
                <w:sz w:val="16"/>
                <w:szCs w:val="16"/>
                <w:lang w:val="en-US"/>
              </w:rPr>
              <w:t xml:space="preserve">m </w:t>
            </w:r>
            <w:r w:rsidRPr="00F01347">
              <w:rPr>
                <w:rFonts w:ascii="Verdana" w:hAnsi="Verdana"/>
                <w:i/>
                <w:sz w:val="16"/>
                <w:szCs w:val="16"/>
                <w:lang w:val="en-US"/>
              </w:rPr>
              <w:tab/>
            </w:r>
            <w:r w:rsidR="005E241C" w:rsidRPr="00F01347">
              <w:rPr>
                <w:rFonts w:ascii="Verdana" w:hAnsi="Verdana"/>
                <w:sz w:val="16"/>
                <w:szCs w:val="16"/>
                <w:lang w:val="en-US"/>
              </w:rPr>
              <w:t>inclination</w:t>
            </w:r>
            <w:r w:rsidRPr="00F01347">
              <w:rPr>
                <w:rFonts w:ascii="Verdana" w:hAnsi="Verdana"/>
                <w:sz w:val="16"/>
                <w:szCs w:val="16"/>
                <w:lang w:val="en-US"/>
              </w:rPr>
              <w:t xml:space="preserve"> in mL per microgram, ml/µg</w:t>
            </w:r>
          </w:p>
        </w:tc>
      </w:tr>
      <w:tr w:rsidR="00B16544" w:rsidRPr="00F01347" w14:paraId="5F4C94F6" w14:textId="55532045" w:rsidTr="00B21DA6">
        <w:tc>
          <w:tcPr>
            <w:tcW w:w="4675" w:type="dxa"/>
          </w:tcPr>
          <w:p w14:paraId="3F0288F2" w14:textId="77777777" w:rsidR="00B16544" w:rsidRPr="00F01347" w:rsidRDefault="00B16544" w:rsidP="00B16544">
            <w:pPr>
              <w:pStyle w:val="texto0"/>
              <w:spacing w:line="260" w:lineRule="exact"/>
              <w:ind w:firstLine="0"/>
              <w:rPr>
                <w:rFonts w:ascii="Verdana" w:hAnsi="Verdana"/>
                <w:sz w:val="16"/>
                <w:szCs w:val="16"/>
              </w:rPr>
            </w:pPr>
            <w:r w:rsidRPr="00F01347">
              <w:rPr>
                <w:rFonts w:ascii="Verdana" w:hAnsi="Verdana"/>
                <w:i/>
                <w:sz w:val="16"/>
                <w:szCs w:val="16"/>
              </w:rPr>
              <w:t>x</w:t>
            </w:r>
            <w:r w:rsidRPr="00F01347">
              <w:rPr>
                <w:rFonts w:ascii="Verdana" w:hAnsi="Verdana"/>
                <w:i/>
                <w:sz w:val="16"/>
                <w:szCs w:val="16"/>
              </w:rPr>
              <w:tab/>
            </w:r>
            <w:r w:rsidRPr="00F01347">
              <w:rPr>
                <w:rFonts w:ascii="Verdana" w:hAnsi="Verdana"/>
                <w:sz w:val="16"/>
                <w:szCs w:val="16"/>
              </w:rPr>
              <w:t xml:space="preserve">valor del eje </w:t>
            </w:r>
            <w:r w:rsidRPr="00F01347">
              <w:rPr>
                <w:rFonts w:ascii="Verdana" w:hAnsi="Verdana"/>
                <w:i/>
                <w:sz w:val="16"/>
                <w:szCs w:val="16"/>
              </w:rPr>
              <w:t>x</w:t>
            </w:r>
            <w:r w:rsidRPr="00F01347">
              <w:rPr>
                <w:rFonts w:ascii="Verdana" w:hAnsi="Verdana"/>
                <w:sz w:val="16"/>
                <w:szCs w:val="16"/>
              </w:rPr>
              <w:t xml:space="preserve"> en microgramos por </w:t>
            </w:r>
            <w:proofErr w:type="spellStart"/>
            <w:r w:rsidRPr="00F01347">
              <w:rPr>
                <w:rFonts w:ascii="Verdana" w:hAnsi="Verdana"/>
                <w:sz w:val="16"/>
                <w:szCs w:val="16"/>
              </w:rPr>
              <w:t>mL</w:t>
            </w:r>
            <w:proofErr w:type="spellEnd"/>
            <w:r w:rsidRPr="00F01347">
              <w:rPr>
                <w:rFonts w:ascii="Verdana" w:hAnsi="Verdana"/>
                <w:sz w:val="16"/>
                <w:szCs w:val="16"/>
              </w:rPr>
              <w:t>, µg/</w:t>
            </w:r>
            <w:proofErr w:type="spellStart"/>
            <w:r w:rsidRPr="00F01347">
              <w:rPr>
                <w:rFonts w:ascii="Verdana" w:hAnsi="Verdana"/>
                <w:sz w:val="16"/>
                <w:szCs w:val="16"/>
              </w:rPr>
              <w:t>mL</w:t>
            </w:r>
            <w:proofErr w:type="spellEnd"/>
          </w:p>
        </w:tc>
        <w:tc>
          <w:tcPr>
            <w:tcW w:w="4675" w:type="dxa"/>
          </w:tcPr>
          <w:p w14:paraId="7109E7AE" w14:textId="5BC9D6E4" w:rsidR="00B16544" w:rsidRPr="00F01347" w:rsidRDefault="00B16544" w:rsidP="00B16544">
            <w:pPr>
              <w:pStyle w:val="texto0"/>
              <w:spacing w:line="260" w:lineRule="exact"/>
              <w:ind w:firstLine="0"/>
              <w:rPr>
                <w:rFonts w:ascii="Verdana" w:hAnsi="Verdana"/>
                <w:i/>
                <w:sz w:val="16"/>
                <w:szCs w:val="16"/>
                <w:lang w:val="en-US"/>
              </w:rPr>
            </w:pPr>
            <w:r w:rsidRPr="00F01347">
              <w:rPr>
                <w:rFonts w:ascii="Verdana" w:hAnsi="Verdana"/>
                <w:i/>
                <w:sz w:val="16"/>
                <w:szCs w:val="16"/>
                <w:lang w:val="en-US"/>
              </w:rPr>
              <w:t xml:space="preserve">x </w:t>
            </w:r>
            <w:r w:rsidRPr="00F01347">
              <w:rPr>
                <w:rFonts w:ascii="Verdana" w:hAnsi="Verdana"/>
                <w:i/>
                <w:sz w:val="16"/>
                <w:szCs w:val="16"/>
                <w:lang w:val="en-US"/>
              </w:rPr>
              <w:tab/>
              <w:t xml:space="preserve">x- </w:t>
            </w:r>
            <w:r w:rsidRPr="00F01347">
              <w:rPr>
                <w:rFonts w:ascii="Verdana" w:hAnsi="Verdana"/>
                <w:sz w:val="16"/>
                <w:szCs w:val="16"/>
                <w:lang w:val="en-US"/>
              </w:rPr>
              <w:t>axis value in micrograms per mL</w:t>
            </w:r>
            <w:r w:rsidR="003E1BA9" w:rsidRPr="00F01347">
              <w:rPr>
                <w:rFonts w:ascii="Verdana" w:hAnsi="Verdana"/>
                <w:sz w:val="16"/>
                <w:szCs w:val="16"/>
                <w:lang w:val="en-US"/>
              </w:rPr>
              <w:t>,</w:t>
            </w:r>
            <w:r w:rsidRPr="00F01347">
              <w:rPr>
                <w:rFonts w:ascii="Verdana" w:hAnsi="Verdana"/>
                <w:sz w:val="16"/>
                <w:szCs w:val="16"/>
                <w:lang w:val="en-US"/>
              </w:rPr>
              <w:t xml:space="preserve"> µg/ mL</w:t>
            </w:r>
          </w:p>
        </w:tc>
      </w:tr>
      <w:tr w:rsidR="00B16544" w:rsidRPr="00F01347" w14:paraId="297E0637" w14:textId="30708D84" w:rsidTr="00B21DA6">
        <w:tc>
          <w:tcPr>
            <w:tcW w:w="4675" w:type="dxa"/>
          </w:tcPr>
          <w:p w14:paraId="17FB9489" w14:textId="77777777" w:rsidR="00B16544" w:rsidRPr="00F01347" w:rsidRDefault="00B16544" w:rsidP="00B16544">
            <w:pPr>
              <w:pStyle w:val="texto0"/>
              <w:spacing w:line="260" w:lineRule="exact"/>
              <w:ind w:firstLine="0"/>
              <w:rPr>
                <w:rFonts w:ascii="Verdana" w:hAnsi="Verdana"/>
                <w:sz w:val="16"/>
                <w:szCs w:val="16"/>
              </w:rPr>
            </w:pPr>
            <w:r w:rsidRPr="00F01347">
              <w:rPr>
                <w:rFonts w:ascii="Verdana" w:hAnsi="Verdana"/>
                <w:i/>
                <w:sz w:val="16"/>
                <w:szCs w:val="16"/>
              </w:rPr>
              <w:t>y</w:t>
            </w:r>
            <w:r w:rsidRPr="00F01347">
              <w:rPr>
                <w:rFonts w:ascii="Verdana" w:hAnsi="Verdana"/>
                <w:i/>
                <w:sz w:val="16"/>
                <w:szCs w:val="16"/>
              </w:rPr>
              <w:tab/>
            </w:r>
            <w:r w:rsidRPr="00F01347">
              <w:rPr>
                <w:rFonts w:ascii="Verdana" w:hAnsi="Verdana"/>
                <w:sz w:val="16"/>
                <w:szCs w:val="16"/>
              </w:rPr>
              <w:t xml:space="preserve">valor del eje </w:t>
            </w:r>
            <w:r w:rsidRPr="00F01347">
              <w:rPr>
                <w:rFonts w:ascii="Verdana" w:hAnsi="Verdana"/>
                <w:i/>
                <w:sz w:val="16"/>
                <w:szCs w:val="16"/>
              </w:rPr>
              <w:t>y</w:t>
            </w:r>
            <w:r w:rsidRPr="00F01347">
              <w:rPr>
                <w:rFonts w:ascii="Verdana" w:hAnsi="Verdana"/>
                <w:sz w:val="16"/>
                <w:szCs w:val="16"/>
              </w:rPr>
              <w:t xml:space="preserve"> (área)</w:t>
            </w:r>
          </w:p>
        </w:tc>
        <w:tc>
          <w:tcPr>
            <w:tcW w:w="4675" w:type="dxa"/>
          </w:tcPr>
          <w:p w14:paraId="68F1C80F" w14:textId="378643BE" w:rsidR="00B16544" w:rsidRPr="00F01347" w:rsidRDefault="00EC4A4A" w:rsidP="00B16544">
            <w:pPr>
              <w:pStyle w:val="texto0"/>
              <w:spacing w:line="260" w:lineRule="exact"/>
              <w:ind w:firstLine="0"/>
              <w:rPr>
                <w:rFonts w:ascii="Verdana" w:hAnsi="Verdana"/>
                <w:i/>
                <w:sz w:val="16"/>
                <w:szCs w:val="16"/>
                <w:lang w:val="en-US"/>
              </w:rPr>
            </w:pPr>
            <w:r w:rsidRPr="00F01347">
              <w:rPr>
                <w:rFonts w:ascii="Verdana" w:hAnsi="Verdana"/>
                <w:i/>
                <w:sz w:val="16"/>
                <w:szCs w:val="16"/>
                <w:lang w:val="en-US"/>
              </w:rPr>
              <w:t>y</w:t>
            </w:r>
            <w:r w:rsidR="00B16544" w:rsidRPr="00F01347">
              <w:rPr>
                <w:rFonts w:ascii="Verdana" w:hAnsi="Verdana"/>
                <w:i/>
                <w:sz w:val="16"/>
                <w:szCs w:val="16"/>
                <w:lang w:val="en-US"/>
              </w:rPr>
              <w:t xml:space="preserve"> </w:t>
            </w:r>
            <w:r w:rsidR="00B16544" w:rsidRPr="00F01347">
              <w:rPr>
                <w:rFonts w:ascii="Verdana" w:hAnsi="Verdana"/>
                <w:i/>
                <w:sz w:val="16"/>
                <w:szCs w:val="16"/>
                <w:lang w:val="en-US"/>
              </w:rPr>
              <w:tab/>
              <w:t xml:space="preserve">y- </w:t>
            </w:r>
            <w:r w:rsidR="00B16544" w:rsidRPr="00F01347">
              <w:rPr>
                <w:rFonts w:ascii="Verdana" w:hAnsi="Verdana"/>
                <w:sz w:val="16"/>
                <w:szCs w:val="16"/>
                <w:lang w:val="en-US"/>
              </w:rPr>
              <w:t>axis value (area)</w:t>
            </w:r>
          </w:p>
        </w:tc>
      </w:tr>
      <w:tr w:rsidR="00B16544" w:rsidRPr="00F01347" w14:paraId="29C8F02C" w14:textId="769FC6DF" w:rsidTr="00B21DA6">
        <w:tc>
          <w:tcPr>
            <w:tcW w:w="4675" w:type="dxa"/>
          </w:tcPr>
          <w:p w14:paraId="62C13988" w14:textId="77777777" w:rsidR="00B16544" w:rsidRPr="00F01347" w:rsidRDefault="00B16544" w:rsidP="00B16544">
            <w:pPr>
              <w:pStyle w:val="texto0"/>
              <w:spacing w:line="260" w:lineRule="exact"/>
              <w:ind w:firstLine="0"/>
              <w:rPr>
                <w:rFonts w:ascii="Verdana" w:hAnsi="Verdana"/>
                <w:color w:val="000000"/>
                <w:sz w:val="16"/>
                <w:szCs w:val="16"/>
              </w:rPr>
            </w:pPr>
            <w:r w:rsidRPr="00F01347">
              <w:rPr>
                <w:rFonts w:ascii="Verdana" w:hAnsi="Verdana"/>
                <w:color w:val="000000"/>
                <w:sz w:val="16"/>
                <w:szCs w:val="16"/>
              </w:rPr>
              <w:t xml:space="preserve">El rango de trabajo se define como la parte lineal de la curva de calibración. Si el contenido de </w:t>
            </w:r>
            <w:proofErr w:type="spellStart"/>
            <w:r w:rsidRPr="00F01347">
              <w:rPr>
                <w:rFonts w:ascii="Verdana" w:hAnsi="Verdana"/>
                <w:color w:val="000000"/>
                <w:sz w:val="16"/>
                <w:szCs w:val="16"/>
              </w:rPr>
              <w:t>microcistina</w:t>
            </w:r>
            <w:proofErr w:type="spellEnd"/>
            <w:r w:rsidRPr="00F01347">
              <w:rPr>
                <w:rFonts w:ascii="Verdana" w:hAnsi="Verdana"/>
                <w:color w:val="000000"/>
                <w:sz w:val="16"/>
                <w:szCs w:val="16"/>
              </w:rPr>
              <w:t xml:space="preserve"> en las muestras se sitúa fuera del rango de calibración, ajustar el rango de calibración según las muestras. Alternativamente, puede diluirse la solución de inyección para el análisis HPLC con solución estándar de dilución a una concentración de </w:t>
            </w:r>
            <w:proofErr w:type="spellStart"/>
            <w:r w:rsidRPr="00F01347">
              <w:rPr>
                <w:rFonts w:ascii="Verdana" w:hAnsi="Verdana"/>
                <w:color w:val="000000"/>
                <w:sz w:val="16"/>
                <w:szCs w:val="16"/>
              </w:rPr>
              <w:t>microcistina</w:t>
            </w:r>
            <w:proofErr w:type="spellEnd"/>
            <w:r w:rsidRPr="00F01347">
              <w:rPr>
                <w:rFonts w:ascii="Verdana" w:hAnsi="Verdana"/>
                <w:color w:val="000000"/>
                <w:sz w:val="16"/>
                <w:szCs w:val="16"/>
              </w:rPr>
              <w:t xml:space="preserve"> apropiada para la curva de calibración establecida. Las diferencias en la concentración de metanol de la solución de inyección pueden tener un efecto en la cuantificación.</w:t>
            </w:r>
          </w:p>
        </w:tc>
        <w:tc>
          <w:tcPr>
            <w:tcW w:w="4675" w:type="dxa"/>
          </w:tcPr>
          <w:p w14:paraId="6A9D492D" w14:textId="6529CD98" w:rsidR="00B16544" w:rsidRPr="00F01347" w:rsidRDefault="00B16544" w:rsidP="00B16544">
            <w:pPr>
              <w:pStyle w:val="texto0"/>
              <w:spacing w:line="260"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The working range is defined as the linear part of the calibration curve. If the microcystin content in the samples is outside the calibration range, adjust the calibration range according to the samples. Alternatively, the injection solution for HPLC analysis can be diluted with standard dilution solution to a microcystin concentration appropriate for the established calibration curve. Differences in the methanol concentration of the injection solution may </w:t>
            </w:r>
            <w:proofErr w:type="gramStart"/>
            <w:r w:rsidRPr="00F01347">
              <w:rPr>
                <w:rFonts w:ascii="Verdana" w:hAnsi="Verdana"/>
                <w:color w:val="000000"/>
                <w:sz w:val="16"/>
                <w:szCs w:val="16"/>
                <w:lang w:val="en-US"/>
              </w:rPr>
              <w:t>have an effect on</w:t>
            </w:r>
            <w:proofErr w:type="gramEnd"/>
            <w:r w:rsidRPr="00F01347">
              <w:rPr>
                <w:rFonts w:ascii="Verdana" w:hAnsi="Verdana"/>
                <w:color w:val="000000"/>
                <w:sz w:val="16"/>
                <w:szCs w:val="16"/>
                <w:lang w:val="en-US"/>
              </w:rPr>
              <w:t xml:space="preserve"> quantitation.</w:t>
            </w:r>
          </w:p>
        </w:tc>
      </w:tr>
      <w:tr w:rsidR="00B16544" w:rsidRPr="00F01347" w14:paraId="09B24774" w14:textId="21C3502D" w:rsidTr="00B21DA6">
        <w:tc>
          <w:tcPr>
            <w:tcW w:w="4675" w:type="dxa"/>
          </w:tcPr>
          <w:p w14:paraId="1CB292B1" w14:textId="77777777" w:rsidR="00B16544" w:rsidRPr="00F01347" w:rsidRDefault="00B16544" w:rsidP="00B16544">
            <w:pPr>
              <w:pStyle w:val="texto0"/>
              <w:spacing w:line="260" w:lineRule="exact"/>
              <w:ind w:firstLine="0"/>
              <w:rPr>
                <w:rFonts w:ascii="Verdana" w:hAnsi="Verdana"/>
                <w:sz w:val="16"/>
                <w:szCs w:val="16"/>
              </w:rPr>
            </w:pPr>
            <w:r w:rsidRPr="00F01347">
              <w:rPr>
                <w:rFonts w:ascii="Verdana" w:hAnsi="Verdana"/>
                <w:sz w:val="16"/>
                <w:szCs w:val="16"/>
              </w:rPr>
              <w:t>Para la determinación de la recuperación, se debe efectuar el registro con la solución enriquecida. El nivel de picos debe estar dentro del rango de calibración (preferiblemente valores medios).</w:t>
            </w:r>
          </w:p>
        </w:tc>
        <w:tc>
          <w:tcPr>
            <w:tcW w:w="4675" w:type="dxa"/>
          </w:tcPr>
          <w:p w14:paraId="5CE78CD6" w14:textId="0FC12F91" w:rsidR="00B16544" w:rsidRPr="00F01347" w:rsidRDefault="00B16544" w:rsidP="00B16544">
            <w:pPr>
              <w:pStyle w:val="texto0"/>
              <w:spacing w:line="260" w:lineRule="exact"/>
              <w:ind w:firstLine="0"/>
              <w:rPr>
                <w:rFonts w:ascii="Verdana" w:hAnsi="Verdana"/>
                <w:sz w:val="16"/>
                <w:szCs w:val="16"/>
                <w:lang w:val="en-US"/>
              </w:rPr>
            </w:pPr>
            <w:r w:rsidRPr="00F01347">
              <w:rPr>
                <w:rFonts w:ascii="Verdana" w:hAnsi="Verdana"/>
                <w:sz w:val="16"/>
                <w:szCs w:val="16"/>
                <w:lang w:val="en-US"/>
              </w:rPr>
              <w:t>To determine recovery, recording must be performed with the enriched solution. The peak level must be within the calibration range (preferably average values).</w:t>
            </w:r>
          </w:p>
        </w:tc>
      </w:tr>
      <w:tr w:rsidR="00B16544" w:rsidRPr="00F01347" w14:paraId="1EC8F3C4" w14:textId="4DDAAA87" w:rsidTr="00B21DA6">
        <w:tc>
          <w:tcPr>
            <w:tcW w:w="4675" w:type="dxa"/>
          </w:tcPr>
          <w:p w14:paraId="176BD4A1" w14:textId="77777777" w:rsidR="00B16544" w:rsidRPr="00F01347" w:rsidRDefault="00B16544" w:rsidP="00B16544">
            <w:pPr>
              <w:pStyle w:val="texto0"/>
              <w:spacing w:line="260" w:lineRule="exact"/>
              <w:ind w:firstLine="0"/>
              <w:rPr>
                <w:rFonts w:ascii="Verdana" w:hAnsi="Verdana"/>
                <w:b/>
                <w:sz w:val="16"/>
                <w:szCs w:val="16"/>
              </w:rPr>
            </w:pPr>
            <w:r w:rsidRPr="00F01347">
              <w:rPr>
                <w:rFonts w:ascii="Verdana" w:hAnsi="Verdana"/>
                <w:b/>
                <w:sz w:val="16"/>
                <w:szCs w:val="16"/>
              </w:rPr>
              <w:t>B.1.3.8 Seguridad</w:t>
            </w:r>
          </w:p>
        </w:tc>
        <w:tc>
          <w:tcPr>
            <w:tcW w:w="4675" w:type="dxa"/>
          </w:tcPr>
          <w:p w14:paraId="58CCDC34" w14:textId="014A7E02" w:rsidR="00B16544" w:rsidRPr="00F01347" w:rsidRDefault="00B16544" w:rsidP="00B16544">
            <w:pPr>
              <w:pStyle w:val="texto0"/>
              <w:spacing w:line="260" w:lineRule="exact"/>
              <w:ind w:firstLine="0"/>
              <w:rPr>
                <w:rFonts w:ascii="Verdana" w:hAnsi="Verdana"/>
                <w:b/>
                <w:sz w:val="16"/>
                <w:szCs w:val="16"/>
                <w:lang w:val="en-US"/>
              </w:rPr>
            </w:pPr>
            <w:r w:rsidRPr="00F01347">
              <w:rPr>
                <w:rFonts w:ascii="Verdana" w:hAnsi="Verdana"/>
                <w:b/>
                <w:sz w:val="16"/>
                <w:szCs w:val="16"/>
                <w:lang w:val="en-US"/>
              </w:rPr>
              <w:t>B.1.3.8 Security</w:t>
            </w:r>
          </w:p>
        </w:tc>
      </w:tr>
      <w:tr w:rsidR="00B16544" w:rsidRPr="00F01347" w14:paraId="0D4BEE3F" w14:textId="6D4DA76A" w:rsidTr="00B21DA6">
        <w:tc>
          <w:tcPr>
            <w:tcW w:w="4675" w:type="dxa"/>
          </w:tcPr>
          <w:p w14:paraId="1E3C606D" w14:textId="77777777" w:rsidR="00B16544" w:rsidRPr="00F01347" w:rsidRDefault="00B16544" w:rsidP="00B16544">
            <w:pPr>
              <w:pStyle w:val="texto0"/>
              <w:spacing w:line="260" w:lineRule="exact"/>
              <w:ind w:firstLine="0"/>
              <w:rPr>
                <w:rFonts w:ascii="Verdana" w:hAnsi="Verdana"/>
                <w:sz w:val="16"/>
                <w:szCs w:val="16"/>
              </w:rPr>
            </w:pPr>
            <w:r w:rsidRPr="00F01347">
              <w:rPr>
                <w:rFonts w:ascii="Verdana" w:hAnsi="Verdana"/>
                <w:sz w:val="16"/>
                <w:szCs w:val="16"/>
              </w:rPr>
              <w:t xml:space="preserve">El método requiere el uso de soluciones que contienen </w:t>
            </w:r>
            <w:proofErr w:type="spellStart"/>
            <w:r w:rsidRPr="00F01347">
              <w:rPr>
                <w:rFonts w:ascii="Verdana" w:hAnsi="Verdana"/>
                <w:sz w:val="16"/>
                <w:szCs w:val="16"/>
              </w:rPr>
              <w:t>microcistina</w:t>
            </w:r>
            <w:proofErr w:type="spellEnd"/>
            <w:r w:rsidRPr="00F01347">
              <w:rPr>
                <w:rFonts w:ascii="Verdana" w:hAnsi="Verdana"/>
                <w:sz w:val="16"/>
                <w:szCs w:val="16"/>
              </w:rPr>
              <w:t xml:space="preserve">.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son altamente hepatotóxicas para los seres humanos. Los residuos de </w:t>
            </w:r>
            <w:proofErr w:type="spellStart"/>
            <w:r w:rsidRPr="00F01347">
              <w:rPr>
                <w:rFonts w:ascii="Verdana" w:hAnsi="Verdana"/>
                <w:sz w:val="16"/>
                <w:szCs w:val="16"/>
              </w:rPr>
              <w:t>microcistinas</w:t>
            </w:r>
            <w:proofErr w:type="spellEnd"/>
            <w:r w:rsidRPr="00F01347">
              <w:rPr>
                <w:rFonts w:ascii="Verdana" w:hAnsi="Verdana"/>
                <w:sz w:val="16"/>
                <w:szCs w:val="16"/>
              </w:rPr>
              <w:t xml:space="preserve"> de laboratorio se recogerán por separado y se tratarán como residuos químicos altamente tóxicos. La descontaminación a largo plazo con hipoclorito sódico concentrado (NaClO) también es posible. Las personas que utilicen este método deben estar familiarizadas con las prácticas normales de laboratorio. Es responsabilidad del usuario establecer prácticas apropiadas de seguridad y salud y de cumplimiento de las condiciones reglamentarias. Es absolutamente esencial que los ensayos realizados de </w:t>
            </w:r>
            <w:r w:rsidRPr="00F01347">
              <w:rPr>
                <w:rFonts w:ascii="Verdana" w:hAnsi="Verdana"/>
                <w:sz w:val="16"/>
                <w:szCs w:val="16"/>
              </w:rPr>
              <w:lastRenderedPageBreak/>
              <w:t>acuerdo con esta norma sean llevados por personal debidamente capacitado.</w:t>
            </w:r>
          </w:p>
        </w:tc>
        <w:tc>
          <w:tcPr>
            <w:tcW w:w="4675" w:type="dxa"/>
          </w:tcPr>
          <w:p w14:paraId="571C8D56" w14:textId="3886B0EA" w:rsidR="00B16544" w:rsidRPr="00F01347" w:rsidRDefault="00B16544" w:rsidP="00B16544">
            <w:pPr>
              <w:pStyle w:val="texto0"/>
              <w:spacing w:line="260" w:lineRule="exact"/>
              <w:ind w:firstLine="0"/>
              <w:rPr>
                <w:rFonts w:ascii="Verdana" w:hAnsi="Verdana"/>
                <w:sz w:val="16"/>
                <w:szCs w:val="16"/>
                <w:lang w:val="en-US"/>
              </w:rPr>
            </w:pPr>
            <w:r w:rsidRPr="00F01347">
              <w:rPr>
                <w:rFonts w:ascii="Verdana" w:hAnsi="Verdana"/>
                <w:sz w:val="16"/>
                <w:szCs w:val="16"/>
                <w:lang w:val="en-US"/>
              </w:rPr>
              <w:lastRenderedPageBreak/>
              <w:t>The method requires the use of solutions containing microcystin</w:t>
            </w:r>
            <w:r w:rsidR="003E1BA9" w:rsidRPr="00F01347">
              <w:rPr>
                <w:rFonts w:ascii="Verdana" w:hAnsi="Verdana"/>
                <w:sz w:val="16"/>
                <w:szCs w:val="16"/>
                <w:lang w:val="en-US"/>
              </w:rPr>
              <w:t>.</w:t>
            </w:r>
            <w:r w:rsidRPr="00F01347">
              <w:rPr>
                <w:rFonts w:ascii="Verdana" w:hAnsi="Verdana"/>
                <w:sz w:val="16"/>
                <w:szCs w:val="16"/>
                <w:lang w:val="en-US"/>
              </w:rPr>
              <w:t xml:space="preserve">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are highly hepatotoxic to humans. Laboratory microcystin waste will be collected separately and treated as highly toxic chemical waste. Long-term decontamination with concentrated sodium hypochlorite (</w:t>
            </w:r>
            <w:proofErr w:type="spellStart"/>
            <w:r w:rsidRPr="00F01347">
              <w:rPr>
                <w:rFonts w:ascii="Verdana" w:hAnsi="Verdana"/>
                <w:sz w:val="16"/>
                <w:szCs w:val="16"/>
                <w:lang w:val="en-US"/>
              </w:rPr>
              <w:t>NaClO</w:t>
            </w:r>
            <w:proofErr w:type="spellEnd"/>
            <w:r w:rsidRPr="00F01347">
              <w:rPr>
                <w:rFonts w:ascii="Verdana" w:hAnsi="Verdana"/>
                <w:sz w:val="16"/>
                <w:szCs w:val="16"/>
                <w:lang w:val="en-US"/>
              </w:rPr>
              <w:t xml:space="preserve">) is also possible. Persons using this method should be familiar with normal laboratory practices. It is the user's responsibility to establish appropriate health and safety practices and compliance with regulatory conditions. It is </w:t>
            </w:r>
            <w:proofErr w:type="gramStart"/>
            <w:r w:rsidRPr="00F01347">
              <w:rPr>
                <w:rFonts w:ascii="Verdana" w:hAnsi="Verdana"/>
                <w:sz w:val="16"/>
                <w:szCs w:val="16"/>
                <w:lang w:val="en-US"/>
              </w:rPr>
              <w:t>absolutely essential</w:t>
            </w:r>
            <w:proofErr w:type="gramEnd"/>
            <w:r w:rsidRPr="00F01347">
              <w:rPr>
                <w:rFonts w:ascii="Verdana" w:hAnsi="Verdana"/>
                <w:sz w:val="16"/>
                <w:szCs w:val="16"/>
                <w:lang w:val="en-US"/>
              </w:rPr>
              <w:t xml:space="preserve"> that tests carried out in accordance with this standard are carried out by appropriately trained personnel.</w:t>
            </w:r>
          </w:p>
        </w:tc>
      </w:tr>
      <w:tr w:rsidR="00B16544" w:rsidRPr="00F01347" w14:paraId="4EA91E3F" w14:textId="79837312" w:rsidTr="00B21DA6">
        <w:tc>
          <w:tcPr>
            <w:tcW w:w="4675" w:type="dxa"/>
          </w:tcPr>
          <w:p w14:paraId="34FFA6A7" w14:textId="77777777" w:rsidR="00B16544" w:rsidRPr="00F01347" w:rsidRDefault="00B16544" w:rsidP="00B16544">
            <w:pPr>
              <w:pStyle w:val="texto0"/>
              <w:spacing w:line="260" w:lineRule="exact"/>
              <w:ind w:firstLine="0"/>
              <w:rPr>
                <w:rFonts w:ascii="Verdana" w:hAnsi="Verdana"/>
                <w:b/>
                <w:sz w:val="16"/>
                <w:szCs w:val="16"/>
              </w:rPr>
            </w:pPr>
            <w:r w:rsidRPr="00F01347">
              <w:rPr>
                <w:rFonts w:ascii="Verdana" w:hAnsi="Verdana"/>
                <w:b/>
                <w:sz w:val="16"/>
                <w:szCs w:val="16"/>
              </w:rPr>
              <w:t>B.1.3.9 Referencias</w:t>
            </w:r>
          </w:p>
        </w:tc>
        <w:tc>
          <w:tcPr>
            <w:tcW w:w="4675" w:type="dxa"/>
          </w:tcPr>
          <w:p w14:paraId="42E265A9" w14:textId="62396016" w:rsidR="00B16544" w:rsidRPr="00F01347" w:rsidRDefault="00B16544" w:rsidP="00B16544">
            <w:pPr>
              <w:pStyle w:val="texto0"/>
              <w:spacing w:line="260" w:lineRule="exact"/>
              <w:ind w:firstLine="0"/>
              <w:rPr>
                <w:rFonts w:ascii="Verdana" w:hAnsi="Verdana"/>
                <w:b/>
                <w:sz w:val="16"/>
                <w:szCs w:val="16"/>
                <w:lang w:val="en-US"/>
              </w:rPr>
            </w:pPr>
            <w:r w:rsidRPr="00F01347">
              <w:rPr>
                <w:rFonts w:ascii="Verdana" w:hAnsi="Verdana"/>
                <w:b/>
                <w:sz w:val="16"/>
                <w:szCs w:val="16"/>
                <w:lang w:val="en-US"/>
              </w:rPr>
              <w:t>B.1.3.9 References</w:t>
            </w:r>
          </w:p>
        </w:tc>
      </w:tr>
      <w:tr w:rsidR="00B16544" w:rsidRPr="00F01347" w14:paraId="434E48AC" w14:textId="4DB27FDD" w:rsidTr="00B21DA6">
        <w:tc>
          <w:tcPr>
            <w:tcW w:w="4675" w:type="dxa"/>
          </w:tcPr>
          <w:p w14:paraId="48FA3EF6" w14:textId="77777777" w:rsidR="00B16544" w:rsidRPr="00F01347" w:rsidRDefault="00B16544" w:rsidP="00B16544">
            <w:pPr>
              <w:pStyle w:val="texto0"/>
              <w:spacing w:line="260" w:lineRule="exact"/>
              <w:ind w:firstLine="0"/>
              <w:rPr>
                <w:rFonts w:ascii="Verdana" w:hAnsi="Verdana"/>
                <w:sz w:val="16"/>
                <w:szCs w:val="16"/>
                <w:lang w:val="en-US"/>
              </w:rPr>
            </w:pPr>
            <w:r w:rsidRPr="00F01347">
              <w:rPr>
                <w:rFonts w:ascii="Verdana" w:hAnsi="Verdana"/>
                <w:sz w:val="16"/>
                <w:szCs w:val="16"/>
                <w:lang w:val="en-US"/>
              </w:rPr>
              <w:t>●</w:t>
            </w:r>
            <w:r w:rsidRPr="00F01347">
              <w:rPr>
                <w:rFonts w:ascii="Verdana" w:hAnsi="Verdana"/>
                <w:sz w:val="16"/>
                <w:szCs w:val="16"/>
                <w:lang w:val="en-US"/>
              </w:rPr>
              <w:tab/>
            </w:r>
            <w:proofErr w:type="spellStart"/>
            <w:r w:rsidRPr="00F01347">
              <w:rPr>
                <w:rFonts w:ascii="Verdana" w:hAnsi="Verdana"/>
                <w:spacing w:val="-2"/>
                <w:sz w:val="16"/>
                <w:szCs w:val="16"/>
                <w:lang w:val="en-US"/>
              </w:rPr>
              <w:t>Blom</w:t>
            </w:r>
            <w:proofErr w:type="spellEnd"/>
            <w:r w:rsidRPr="00F01347">
              <w:rPr>
                <w:rFonts w:ascii="Verdana" w:hAnsi="Verdana"/>
                <w:spacing w:val="-2"/>
                <w:sz w:val="16"/>
                <w:szCs w:val="16"/>
                <w:lang w:val="en-US"/>
              </w:rPr>
              <w:t xml:space="preserve">, J.F.; Robinson, J.A.; y </w:t>
            </w:r>
            <w:proofErr w:type="spellStart"/>
            <w:r w:rsidRPr="00F01347">
              <w:rPr>
                <w:rFonts w:ascii="Verdana" w:hAnsi="Verdana"/>
                <w:spacing w:val="-2"/>
                <w:sz w:val="16"/>
                <w:szCs w:val="16"/>
                <w:lang w:val="en-US"/>
              </w:rPr>
              <w:t>Jüttner</w:t>
            </w:r>
            <w:proofErr w:type="spellEnd"/>
            <w:r w:rsidRPr="00F01347">
              <w:rPr>
                <w:rFonts w:ascii="Verdana" w:hAnsi="Verdana"/>
                <w:spacing w:val="-2"/>
                <w:sz w:val="16"/>
                <w:szCs w:val="16"/>
                <w:lang w:val="en-US"/>
              </w:rPr>
              <w:t>, F. 2001. High grazer toxicity of [D-Asp3, (E)-Dhb7] microcystin-RR</w:t>
            </w:r>
            <w:r w:rsidRPr="00F01347">
              <w:rPr>
                <w:rFonts w:ascii="Verdana" w:hAnsi="Verdana"/>
                <w:sz w:val="16"/>
                <w:szCs w:val="16"/>
                <w:lang w:val="en-US"/>
              </w:rPr>
              <w:t xml:space="preserve"> of </w:t>
            </w:r>
            <w:proofErr w:type="spellStart"/>
            <w:r w:rsidRPr="00F01347">
              <w:rPr>
                <w:rFonts w:ascii="Verdana" w:hAnsi="Verdana"/>
                <w:sz w:val="16"/>
                <w:szCs w:val="16"/>
                <w:lang w:val="en-US"/>
              </w:rPr>
              <w:t>Planktothrix</w:t>
            </w:r>
            <w:proofErr w:type="spellEnd"/>
            <w:r w:rsidRPr="00F01347">
              <w:rPr>
                <w:rFonts w:ascii="Verdana" w:hAnsi="Verdana"/>
                <w:sz w:val="16"/>
                <w:szCs w:val="16"/>
                <w:lang w:val="en-US"/>
              </w:rPr>
              <w:t xml:space="preserve"> </w:t>
            </w:r>
            <w:proofErr w:type="spellStart"/>
            <w:r w:rsidRPr="00F01347">
              <w:rPr>
                <w:rFonts w:ascii="Verdana" w:hAnsi="Verdana"/>
                <w:sz w:val="16"/>
                <w:szCs w:val="16"/>
                <w:lang w:val="en-US"/>
              </w:rPr>
              <w:t>rubescens</w:t>
            </w:r>
            <w:proofErr w:type="spellEnd"/>
            <w:r w:rsidRPr="00F01347">
              <w:rPr>
                <w:rFonts w:ascii="Verdana" w:hAnsi="Verdana"/>
                <w:sz w:val="16"/>
                <w:szCs w:val="16"/>
                <w:lang w:val="en-US"/>
              </w:rPr>
              <w:t xml:space="preserve"> as compared to different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w:t>
            </w:r>
            <w:r w:rsidRPr="00F01347">
              <w:rPr>
                <w:rFonts w:ascii="Verdana" w:hAnsi="Verdana"/>
                <w:i/>
                <w:sz w:val="16"/>
                <w:szCs w:val="16"/>
                <w:lang w:val="en-US"/>
              </w:rPr>
              <w:t>Toxicon</w:t>
            </w:r>
            <w:r w:rsidRPr="00F01347">
              <w:rPr>
                <w:rFonts w:ascii="Verdana" w:hAnsi="Verdana"/>
                <w:sz w:val="16"/>
                <w:szCs w:val="16"/>
                <w:lang w:val="en-US"/>
              </w:rPr>
              <w:t>, 39, pp. 1923-1932</w:t>
            </w:r>
          </w:p>
        </w:tc>
        <w:tc>
          <w:tcPr>
            <w:tcW w:w="4675" w:type="dxa"/>
          </w:tcPr>
          <w:p w14:paraId="53E01521" w14:textId="3694CFF3" w:rsidR="00B16544" w:rsidRPr="00F01347" w:rsidRDefault="00B16544" w:rsidP="00B16544">
            <w:pPr>
              <w:pStyle w:val="texto0"/>
              <w:spacing w:line="26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r>
            <w:proofErr w:type="spellStart"/>
            <w:r w:rsidRPr="00F01347">
              <w:rPr>
                <w:rFonts w:ascii="Verdana" w:hAnsi="Verdana"/>
                <w:spacing w:val="-2"/>
                <w:sz w:val="16"/>
                <w:szCs w:val="16"/>
                <w:lang w:val="en-US"/>
              </w:rPr>
              <w:t>Blom</w:t>
            </w:r>
            <w:proofErr w:type="spellEnd"/>
            <w:r w:rsidR="003E1BA9" w:rsidRPr="00F01347">
              <w:rPr>
                <w:rFonts w:ascii="Verdana" w:hAnsi="Verdana"/>
                <w:spacing w:val="-2"/>
                <w:sz w:val="16"/>
                <w:szCs w:val="16"/>
                <w:lang w:val="en-US"/>
              </w:rPr>
              <w:t>,</w:t>
            </w:r>
            <w:r w:rsidRPr="00F01347">
              <w:rPr>
                <w:rFonts w:ascii="Verdana" w:hAnsi="Verdana"/>
                <w:spacing w:val="-2"/>
                <w:sz w:val="16"/>
                <w:szCs w:val="16"/>
                <w:lang w:val="en-US"/>
              </w:rPr>
              <w:t xml:space="preserve"> JF; Robinson, J.A.; and </w:t>
            </w:r>
            <w:proofErr w:type="spellStart"/>
            <w:r w:rsidRPr="00F01347">
              <w:rPr>
                <w:rFonts w:ascii="Verdana" w:hAnsi="Verdana"/>
                <w:spacing w:val="-2"/>
                <w:sz w:val="16"/>
                <w:szCs w:val="16"/>
                <w:lang w:val="en-US"/>
              </w:rPr>
              <w:t>Jüttner</w:t>
            </w:r>
            <w:proofErr w:type="spellEnd"/>
            <w:r w:rsidR="003E1BA9" w:rsidRPr="00F01347">
              <w:rPr>
                <w:rFonts w:ascii="Verdana" w:hAnsi="Verdana"/>
                <w:spacing w:val="-2"/>
                <w:sz w:val="16"/>
                <w:szCs w:val="16"/>
                <w:lang w:val="en-US"/>
              </w:rPr>
              <w:t>,</w:t>
            </w:r>
            <w:r w:rsidRPr="00F01347">
              <w:rPr>
                <w:rFonts w:ascii="Verdana" w:hAnsi="Verdana"/>
                <w:spacing w:val="-2"/>
                <w:sz w:val="16"/>
                <w:szCs w:val="16"/>
                <w:lang w:val="en-US"/>
              </w:rPr>
              <w:t xml:space="preserve"> F. 2001. High grazer toxicity of [D-Asp3, (E)-Dhb7] microcystin-RR </w:t>
            </w:r>
            <w:r w:rsidRPr="00F01347">
              <w:rPr>
                <w:rFonts w:ascii="Verdana" w:hAnsi="Verdana"/>
                <w:sz w:val="16"/>
                <w:szCs w:val="16"/>
                <w:lang w:val="en-US"/>
              </w:rPr>
              <w:t xml:space="preserve">of </w:t>
            </w:r>
            <w:proofErr w:type="spellStart"/>
            <w:r w:rsidRPr="00F01347">
              <w:rPr>
                <w:rFonts w:ascii="Verdana" w:hAnsi="Verdana"/>
                <w:sz w:val="16"/>
                <w:szCs w:val="16"/>
                <w:lang w:val="en-US"/>
              </w:rPr>
              <w:t>Planktothrix</w:t>
            </w:r>
            <w:proofErr w:type="spellEnd"/>
            <w:r w:rsidRPr="00F01347">
              <w:rPr>
                <w:rFonts w:ascii="Verdana" w:hAnsi="Verdana"/>
                <w:sz w:val="16"/>
                <w:szCs w:val="16"/>
                <w:lang w:val="en-US"/>
              </w:rPr>
              <w:t xml:space="preserve"> </w:t>
            </w:r>
            <w:proofErr w:type="spellStart"/>
            <w:r w:rsidRPr="00F01347">
              <w:rPr>
                <w:rFonts w:ascii="Verdana" w:hAnsi="Verdana"/>
                <w:sz w:val="16"/>
                <w:szCs w:val="16"/>
                <w:lang w:val="en-US"/>
              </w:rPr>
              <w:t>rubescens</w:t>
            </w:r>
            <w:proofErr w:type="spellEnd"/>
            <w:r w:rsidRPr="00F01347">
              <w:rPr>
                <w:rFonts w:ascii="Verdana" w:hAnsi="Verdana"/>
                <w:sz w:val="16"/>
                <w:szCs w:val="16"/>
                <w:lang w:val="en-US"/>
              </w:rPr>
              <w:t xml:space="preserve"> as compared to different </w:t>
            </w:r>
            <w:proofErr w:type="spellStart"/>
            <w:r w:rsidRPr="00F01347">
              <w:rPr>
                <w:rFonts w:ascii="Verdana" w:hAnsi="Verdana"/>
                <w:sz w:val="16"/>
                <w:szCs w:val="16"/>
                <w:lang w:val="en-US"/>
              </w:rPr>
              <w:t>microcystins</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w:t>
            </w:r>
            <w:r w:rsidRPr="00F01347">
              <w:rPr>
                <w:rFonts w:ascii="Verdana" w:hAnsi="Verdana"/>
                <w:i/>
                <w:sz w:val="16"/>
                <w:szCs w:val="16"/>
                <w:lang w:val="en-US"/>
              </w:rPr>
              <w:t>Toxicon</w:t>
            </w:r>
            <w:r w:rsidR="003E1BA9" w:rsidRPr="00F01347">
              <w:rPr>
                <w:rFonts w:ascii="Verdana" w:hAnsi="Verdana"/>
                <w:i/>
                <w:sz w:val="16"/>
                <w:szCs w:val="16"/>
                <w:lang w:val="en-US"/>
              </w:rPr>
              <w:t>,</w:t>
            </w:r>
            <w:r w:rsidRPr="00F01347">
              <w:rPr>
                <w:rFonts w:ascii="Verdana" w:hAnsi="Verdana"/>
                <w:sz w:val="16"/>
                <w:szCs w:val="16"/>
                <w:lang w:val="en-US"/>
              </w:rPr>
              <w:t xml:space="preserve"> 39, pp. 1923-1932</w:t>
            </w:r>
          </w:p>
        </w:tc>
      </w:tr>
      <w:tr w:rsidR="00B16544" w:rsidRPr="00F01347" w14:paraId="0D1305C3" w14:textId="6245B301" w:rsidTr="00B21DA6">
        <w:tc>
          <w:tcPr>
            <w:tcW w:w="4675" w:type="dxa"/>
          </w:tcPr>
          <w:p w14:paraId="2D46B824" w14:textId="77777777" w:rsidR="00B16544" w:rsidRPr="00F01347" w:rsidRDefault="00B16544" w:rsidP="00B16544">
            <w:pPr>
              <w:pStyle w:val="texto0"/>
              <w:spacing w:line="260" w:lineRule="exact"/>
              <w:ind w:firstLine="0"/>
              <w:rPr>
                <w:rFonts w:ascii="Verdana" w:hAnsi="Verdana"/>
                <w:sz w:val="16"/>
                <w:szCs w:val="16"/>
                <w:lang w:val="en-US"/>
              </w:rPr>
            </w:pPr>
            <w:r w:rsidRPr="00F01347">
              <w:rPr>
                <w:rFonts w:ascii="Verdana" w:hAnsi="Verdana"/>
                <w:sz w:val="16"/>
                <w:szCs w:val="16"/>
                <w:lang w:val="en-US"/>
              </w:rPr>
              <w:t>●</w:t>
            </w:r>
            <w:r w:rsidRPr="00F01347">
              <w:rPr>
                <w:rFonts w:ascii="Verdana" w:hAnsi="Verdana"/>
                <w:sz w:val="16"/>
                <w:szCs w:val="16"/>
                <w:lang w:val="en-US"/>
              </w:rPr>
              <w:tab/>
              <w:t xml:space="preserve">International Organization for Standardization. 2005. Water quality- Determination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 Method using solid phase extraction (SPE) and </w:t>
            </w:r>
            <w:proofErr w:type="gramStart"/>
            <w:r w:rsidRPr="00F01347">
              <w:rPr>
                <w:rFonts w:ascii="Verdana" w:hAnsi="Verdana"/>
                <w:sz w:val="16"/>
                <w:szCs w:val="16"/>
                <w:lang w:val="en-US"/>
              </w:rPr>
              <w:t>high performance</w:t>
            </w:r>
            <w:proofErr w:type="gramEnd"/>
            <w:r w:rsidRPr="00F01347">
              <w:rPr>
                <w:rFonts w:ascii="Verdana" w:hAnsi="Verdana"/>
                <w:sz w:val="16"/>
                <w:szCs w:val="16"/>
                <w:lang w:val="en-US"/>
              </w:rPr>
              <w:t xml:space="preserve"> liquid Chromatography (HPLC) with ultraviolet (UV) detection.</w:t>
            </w:r>
          </w:p>
        </w:tc>
        <w:tc>
          <w:tcPr>
            <w:tcW w:w="4675" w:type="dxa"/>
          </w:tcPr>
          <w:p w14:paraId="26F1064E" w14:textId="73D45726" w:rsidR="00B16544" w:rsidRPr="00F01347" w:rsidRDefault="00B16544" w:rsidP="00B16544">
            <w:pPr>
              <w:pStyle w:val="texto0"/>
              <w:spacing w:line="26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International Organization for Standardization. 2005. Water quality- Determination of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 Method using solid phase extraction (SPE) and </w:t>
            </w:r>
            <w:proofErr w:type="gramStart"/>
            <w:r w:rsidRPr="00F01347">
              <w:rPr>
                <w:rFonts w:ascii="Verdana" w:hAnsi="Verdana"/>
                <w:sz w:val="16"/>
                <w:szCs w:val="16"/>
                <w:lang w:val="en-US"/>
              </w:rPr>
              <w:t>high performance</w:t>
            </w:r>
            <w:proofErr w:type="gramEnd"/>
            <w:r w:rsidRPr="00F01347">
              <w:rPr>
                <w:rFonts w:ascii="Verdana" w:hAnsi="Verdana"/>
                <w:sz w:val="16"/>
                <w:szCs w:val="16"/>
                <w:lang w:val="en-US"/>
              </w:rPr>
              <w:t xml:space="preserve"> liquid Chromatography (HPLC) with ultraviolet (UV) detection.</w:t>
            </w:r>
          </w:p>
        </w:tc>
      </w:tr>
      <w:tr w:rsidR="00B16544" w:rsidRPr="00F01347" w14:paraId="3D15516D" w14:textId="1ECB3D2F" w:rsidTr="00B21DA6">
        <w:tc>
          <w:tcPr>
            <w:tcW w:w="4675" w:type="dxa"/>
          </w:tcPr>
          <w:p w14:paraId="2DD0C4A9" w14:textId="77777777" w:rsidR="00B16544" w:rsidRPr="00F01347" w:rsidRDefault="00B16544" w:rsidP="00B16544">
            <w:pPr>
              <w:pStyle w:val="texto0"/>
              <w:ind w:firstLine="0"/>
              <w:jc w:val="center"/>
              <w:rPr>
                <w:rFonts w:ascii="Verdana" w:hAnsi="Verdana"/>
                <w:b/>
                <w:sz w:val="16"/>
                <w:szCs w:val="16"/>
              </w:rPr>
            </w:pPr>
            <w:r w:rsidRPr="00F01347">
              <w:rPr>
                <w:rFonts w:ascii="Verdana" w:hAnsi="Verdana"/>
                <w:b/>
                <w:sz w:val="16"/>
                <w:szCs w:val="16"/>
              </w:rPr>
              <w:t xml:space="preserve">B.2 MÉTODO DE PRUEBA PARA LA DETERMINACIÓN DE QUISTES DE </w:t>
            </w:r>
            <w:proofErr w:type="spellStart"/>
            <w:r w:rsidRPr="00F01347">
              <w:rPr>
                <w:rFonts w:ascii="Verdana" w:hAnsi="Verdana"/>
                <w:b/>
                <w:i/>
                <w:sz w:val="16"/>
                <w:szCs w:val="16"/>
              </w:rPr>
              <w:t>Giardia</w:t>
            </w:r>
            <w:proofErr w:type="spellEnd"/>
            <w:r w:rsidRPr="00F01347">
              <w:rPr>
                <w:rFonts w:ascii="Verdana" w:hAnsi="Verdana"/>
                <w:b/>
                <w:i/>
                <w:sz w:val="16"/>
                <w:szCs w:val="16"/>
              </w:rPr>
              <w:t xml:space="preserve"> </w:t>
            </w:r>
            <w:proofErr w:type="spellStart"/>
            <w:proofErr w:type="gramStart"/>
            <w:r w:rsidRPr="00F01347">
              <w:rPr>
                <w:rFonts w:ascii="Verdana" w:hAnsi="Verdana"/>
                <w:b/>
                <w:i/>
                <w:sz w:val="16"/>
                <w:szCs w:val="16"/>
              </w:rPr>
              <w:t>lamblia</w:t>
            </w:r>
            <w:proofErr w:type="spellEnd"/>
            <w:r w:rsidRPr="00F01347">
              <w:rPr>
                <w:rFonts w:ascii="Verdana" w:hAnsi="Verdana"/>
                <w:b/>
                <w:sz w:val="16"/>
                <w:szCs w:val="16"/>
              </w:rPr>
              <w:t xml:space="preserve">  EN</w:t>
            </w:r>
            <w:proofErr w:type="gramEnd"/>
            <w:r w:rsidRPr="00F01347">
              <w:rPr>
                <w:rFonts w:ascii="Verdana" w:hAnsi="Verdana"/>
                <w:b/>
                <w:sz w:val="16"/>
                <w:szCs w:val="16"/>
              </w:rPr>
              <w:t xml:space="preserve"> AGUA PARA USO Y CONSUMO HUMANO</w:t>
            </w:r>
          </w:p>
        </w:tc>
        <w:tc>
          <w:tcPr>
            <w:tcW w:w="4675" w:type="dxa"/>
          </w:tcPr>
          <w:p w14:paraId="75F703B8" w14:textId="27216472" w:rsidR="00B16544" w:rsidRPr="00F01347" w:rsidRDefault="00B16544" w:rsidP="00B16544">
            <w:pPr>
              <w:pStyle w:val="texto0"/>
              <w:ind w:firstLine="0"/>
              <w:jc w:val="center"/>
              <w:rPr>
                <w:rFonts w:ascii="Verdana" w:hAnsi="Verdana"/>
                <w:b/>
                <w:sz w:val="16"/>
                <w:szCs w:val="16"/>
                <w:lang w:val="en-US"/>
              </w:rPr>
            </w:pPr>
            <w:r w:rsidRPr="00F01347">
              <w:rPr>
                <w:rFonts w:ascii="Verdana" w:hAnsi="Verdana"/>
                <w:b/>
                <w:sz w:val="16"/>
                <w:szCs w:val="16"/>
                <w:lang w:val="en-US"/>
              </w:rPr>
              <w:t xml:space="preserve">B.2 TEST METHOD FOR DETERMINATION OF </w:t>
            </w:r>
            <w:r w:rsidRPr="00F01347">
              <w:rPr>
                <w:rFonts w:ascii="Verdana" w:hAnsi="Verdana"/>
                <w:b/>
                <w:i/>
                <w:sz w:val="16"/>
                <w:szCs w:val="16"/>
                <w:lang w:val="en-US"/>
              </w:rPr>
              <w:t xml:space="preserve">Giardia lamblia </w:t>
            </w:r>
            <w:r w:rsidR="00D87585" w:rsidRPr="00F01347">
              <w:rPr>
                <w:rFonts w:ascii="Verdana" w:hAnsi="Verdana"/>
                <w:b/>
                <w:i/>
                <w:sz w:val="16"/>
                <w:szCs w:val="16"/>
                <w:lang w:val="en-US"/>
              </w:rPr>
              <w:t>CYSTS</w:t>
            </w:r>
            <w:r w:rsidR="00D87585" w:rsidRPr="00F01347">
              <w:rPr>
                <w:rFonts w:ascii="Verdana" w:hAnsi="Verdana"/>
                <w:b/>
                <w:sz w:val="16"/>
                <w:szCs w:val="16"/>
                <w:lang w:val="en-US"/>
              </w:rPr>
              <w:t xml:space="preserve"> </w:t>
            </w:r>
            <w:r w:rsidRPr="00F01347">
              <w:rPr>
                <w:rFonts w:ascii="Verdana" w:hAnsi="Verdana"/>
                <w:b/>
                <w:sz w:val="16"/>
                <w:szCs w:val="16"/>
                <w:lang w:val="en-US"/>
              </w:rPr>
              <w:t>IN WATER FOR HUMAN USE AND CONSUMPTION</w:t>
            </w:r>
          </w:p>
        </w:tc>
      </w:tr>
      <w:tr w:rsidR="00B16544" w:rsidRPr="00F01347" w14:paraId="6821EA0D" w14:textId="56387556" w:rsidTr="00B21DA6">
        <w:tc>
          <w:tcPr>
            <w:tcW w:w="4675" w:type="dxa"/>
          </w:tcPr>
          <w:p w14:paraId="75E187C1" w14:textId="5FF46A30" w:rsidR="00B16544" w:rsidRPr="00F01347" w:rsidRDefault="00B16544" w:rsidP="00B16544">
            <w:pPr>
              <w:pStyle w:val="texto0"/>
              <w:spacing w:after="60" w:line="220" w:lineRule="exact"/>
              <w:ind w:firstLine="0"/>
              <w:rPr>
                <w:rFonts w:ascii="Verdana" w:hAnsi="Verdana"/>
                <w:sz w:val="16"/>
                <w:szCs w:val="16"/>
              </w:rPr>
            </w:pP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es un protozoario flagelado que se encuentra en las heces del hombre y animales más a menudo en la etapa de quistes, aunque en casos severos de diarrea acuosa se puede presentar la forma reproductiva o </w:t>
            </w:r>
            <w:proofErr w:type="spellStart"/>
            <w:r w:rsidRPr="00F01347">
              <w:rPr>
                <w:rFonts w:ascii="Verdana" w:hAnsi="Verdana"/>
                <w:sz w:val="16"/>
                <w:szCs w:val="16"/>
              </w:rPr>
              <w:t>trofozoito</w:t>
            </w:r>
            <w:proofErr w:type="spellEnd"/>
            <w:r w:rsidRPr="00F01347">
              <w:rPr>
                <w:rFonts w:ascii="Verdana" w:hAnsi="Verdana"/>
                <w:sz w:val="16"/>
                <w:szCs w:val="16"/>
              </w:rPr>
              <w:t xml:space="preserve">. Este protozoario es el agente etiológico de la giardiasis y se ha observado que la ingestión de tan sólo 10 quistes puede provocar la infección en humanos, sin embargo, es posible que el consumo de una cantidad menor de quistes viables en agua para beber sea suficiente para </w:t>
            </w:r>
            <w:r w:rsidR="00BC4BEB" w:rsidRPr="00F01347">
              <w:rPr>
                <w:rFonts w:ascii="Verdana" w:hAnsi="Verdana"/>
                <w:sz w:val="16"/>
                <w:szCs w:val="16"/>
              </w:rPr>
              <w:t>iniciar una</w:t>
            </w:r>
            <w:r w:rsidRPr="00F01347">
              <w:rPr>
                <w:rFonts w:ascii="Verdana" w:hAnsi="Verdana"/>
                <w:sz w:val="16"/>
                <w:szCs w:val="16"/>
              </w:rPr>
              <w:t xml:space="preserve"> infección.</w:t>
            </w:r>
          </w:p>
        </w:tc>
        <w:tc>
          <w:tcPr>
            <w:tcW w:w="4675" w:type="dxa"/>
          </w:tcPr>
          <w:p w14:paraId="4EFA3A56" w14:textId="734B7BFE" w:rsidR="00B16544" w:rsidRPr="00F01347" w:rsidRDefault="00B16544" w:rsidP="00B16544">
            <w:pPr>
              <w:pStyle w:val="texto0"/>
              <w:spacing w:after="60" w:line="220" w:lineRule="exact"/>
              <w:ind w:firstLine="0"/>
              <w:rPr>
                <w:rFonts w:ascii="Verdana" w:hAnsi="Verdana"/>
                <w:i/>
                <w:sz w:val="16"/>
                <w:szCs w:val="16"/>
                <w:lang w:val="en-US"/>
              </w:rPr>
            </w:pPr>
            <w:r w:rsidRPr="00F01347">
              <w:rPr>
                <w:rFonts w:ascii="Verdana" w:hAnsi="Verdana"/>
                <w:i/>
                <w:sz w:val="16"/>
                <w:szCs w:val="16"/>
                <w:lang w:val="en-US"/>
              </w:rPr>
              <w:t xml:space="preserve">Giardia lamblia </w:t>
            </w:r>
            <w:r w:rsidRPr="00F01347">
              <w:rPr>
                <w:rFonts w:ascii="Verdana" w:hAnsi="Verdana"/>
                <w:iCs/>
                <w:sz w:val="16"/>
                <w:szCs w:val="16"/>
                <w:lang w:val="en-US"/>
              </w:rPr>
              <w:t>is a flagellated protozoan that is found in the feces of man and animals most often in the cyst stage, although in severe cases of watery diarrhea the reproductive form or trophozoite may occur</w:t>
            </w:r>
            <w:r w:rsidR="003E1BA9" w:rsidRPr="00F01347">
              <w:rPr>
                <w:rFonts w:ascii="Verdana" w:hAnsi="Verdana"/>
                <w:iCs/>
                <w:sz w:val="16"/>
                <w:szCs w:val="16"/>
                <w:lang w:val="en-US"/>
              </w:rPr>
              <w:t>.</w:t>
            </w:r>
            <w:r w:rsidRPr="00F01347">
              <w:rPr>
                <w:rFonts w:ascii="Verdana" w:hAnsi="Verdana"/>
                <w:iCs/>
                <w:sz w:val="16"/>
                <w:szCs w:val="16"/>
                <w:lang w:val="en-US"/>
              </w:rPr>
              <w:t xml:space="preserve"> This protozoan is the etiological agent of </w:t>
            </w:r>
            <w:proofErr w:type="gramStart"/>
            <w:r w:rsidRPr="00F01347">
              <w:rPr>
                <w:rFonts w:ascii="Verdana" w:hAnsi="Verdana"/>
                <w:iCs/>
                <w:sz w:val="16"/>
                <w:szCs w:val="16"/>
                <w:lang w:val="en-US"/>
              </w:rPr>
              <w:t>giardiasis</w:t>
            </w:r>
            <w:proofErr w:type="gramEnd"/>
            <w:r w:rsidRPr="00F01347">
              <w:rPr>
                <w:rFonts w:ascii="Verdana" w:hAnsi="Verdana"/>
                <w:iCs/>
                <w:sz w:val="16"/>
                <w:szCs w:val="16"/>
                <w:lang w:val="en-US"/>
              </w:rPr>
              <w:t xml:space="preserve"> and it has been observed that the ingestion of only 10 cysts can cause infection in humans; however, it is possible that the consumption of a smaller number of viable cysts in drinking water is sufficient to start an infection.</w:t>
            </w:r>
          </w:p>
        </w:tc>
      </w:tr>
      <w:tr w:rsidR="00B16544" w:rsidRPr="00F01347" w14:paraId="07DC1192" w14:textId="63F82FF2" w:rsidTr="00B21DA6">
        <w:tc>
          <w:tcPr>
            <w:tcW w:w="4675" w:type="dxa"/>
          </w:tcPr>
          <w:p w14:paraId="781CE723" w14:textId="77777777" w:rsidR="00B16544" w:rsidRPr="00F01347" w:rsidRDefault="00B16544" w:rsidP="00B16544">
            <w:pPr>
              <w:pStyle w:val="texto0"/>
              <w:spacing w:after="60" w:line="220" w:lineRule="exact"/>
              <w:ind w:firstLine="0"/>
              <w:rPr>
                <w:rFonts w:ascii="Verdana" w:hAnsi="Verdana"/>
                <w:sz w:val="16"/>
                <w:szCs w:val="16"/>
              </w:rPr>
            </w:pPr>
            <w:r w:rsidRPr="00F01347">
              <w:rPr>
                <w:rFonts w:ascii="Verdana" w:hAnsi="Verdana"/>
                <w:sz w:val="16"/>
                <w:szCs w:val="16"/>
              </w:rPr>
              <w:t xml:space="preserve">Los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pueden sobrevivir en agua para uso y consumo humano por más de 2 meses a 8°C, por lo que la contaminación de las fuentes de abastecimiento de agua con materia fecal podría ocasionar brotes de giardiasis en la población expuesta a dicha agua. Los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son más resistentes a la desinfección que las bacterias coliformes. La mayoría de los brotes asociados con fuentes de abastecimiento de agua y aguas de tipo recreacional han ocurrido como resultado de la ingestión de aguas superficiales que únicamente han sido cloradas, sin embargo, pueden ser removidos bajo procesos de potabilización adecuados.</w:t>
            </w:r>
          </w:p>
        </w:tc>
        <w:tc>
          <w:tcPr>
            <w:tcW w:w="4675" w:type="dxa"/>
          </w:tcPr>
          <w:p w14:paraId="43544043" w14:textId="196C3D75" w:rsidR="00B16544" w:rsidRPr="00F01347" w:rsidRDefault="00B16544" w:rsidP="00B16544">
            <w:pPr>
              <w:pStyle w:val="texto0"/>
              <w:spacing w:after="60" w:line="220" w:lineRule="exact"/>
              <w:ind w:firstLine="0"/>
              <w:rPr>
                <w:rFonts w:ascii="Verdana" w:hAnsi="Verdana"/>
                <w:sz w:val="16"/>
                <w:szCs w:val="16"/>
                <w:lang w:val="en-US"/>
              </w:rPr>
            </w:pPr>
            <w:r w:rsidRPr="00F01347">
              <w:rPr>
                <w:rFonts w:ascii="Verdana" w:hAnsi="Verdana"/>
                <w:i/>
                <w:sz w:val="16"/>
                <w:szCs w:val="16"/>
                <w:lang w:val="en-US"/>
              </w:rPr>
              <w:t xml:space="preserve">Giardia lamblia </w:t>
            </w:r>
            <w:r w:rsidR="00BC4BEB" w:rsidRPr="00F01347">
              <w:rPr>
                <w:rFonts w:ascii="Verdana" w:hAnsi="Verdana"/>
                <w:sz w:val="16"/>
                <w:szCs w:val="16"/>
                <w:lang w:val="en-US"/>
              </w:rPr>
              <w:t xml:space="preserve">cysts </w:t>
            </w:r>
            <w:r w:rsidRPr="00F01347">
              <w:rPr>
                <w:rFonts w:ascii="Verdana" w:hAnsi="Verdana"/>
                <w:sz w:val="16"/>
                <w:szCs w:val="16"/>
                <w:lang w:val="en-US"/>
              </w:rPr>
              <w:t xml:space="preserve">can survive in water for human use and consumption for more than 2 months at 8°C, so contamination of water supply sources with fecal matter could cause outbreaks of giardiasis in the population exposed to said water. </w:t>
            </w:r>
            <w:r w:rsidRPr="00F01347">
              <w:rPr>
                <w:rFonts w:ascii="Verdana" w:hAnsi="Verdana"/>
                <w:i/>
                <w:sz w:val="16"/>
                <w:szCs w:val="16"/>
                <w:lang w:val="en-US"/>
              </w:rPr>
              <w:t xml:space="preserve">Giardia lamblia </w:t>
            </w:r>
            <w:r w:rsidR="00BC4BEB" w:rsidRPr="00F01347">
              <w:rPr>
                <w:rFonts w:ascii="Verdana" w:hAnsi="Verdana"/>
                <w:sz w:val="16"/>
                <w:szCs w:val="16"/>
                <w:lang w:val="en-US"/>
              </w:rPr>
              <w:t xml:space="preserve">cysts </w:t>
            </w:r>
            <w:r w:rsidRPr="00F01347">
              <w:rPr>
                <w:rFonts w:ascii="Verdana" w:hAnsi="Verdana"/>
                <w:sz w:val="16"/>
                <w:szCs w:val="16"/>
                <w:lang w:val="en-US"/>
              </w:rPr>
              <w:t xml:space="preserve">are more resistant to disinfection than coliform bacteria. Most outbreaks associated with water supply sources and recreational waters have occurred </w:t>
            </w:r>
            <w:proofErr w:type="gramStart"/>
            <w:r w:rsidRPr="00F01347">
              <w:rPr>
                <w:rFonts w:ascii="Verdana" w:hAnsi="Verdana"/>
                <w:sz w:val="16"/>
                <w:szCs w:val="16"/>
                <w:lang w:val="en-US"/>
              </w:rPr>
              <w:t>as a result of</w:t>
            </w:r>
            <w:proofErr w:type="gramEnd"/>
            <w:r w:rsidRPr="00F01347">
              <w:rPr>
                <w:rFonts w:ascii="Verdana" w:hAnsi="Verdana"/>
                <w:sz w:val="16"/>
                <w:szCs w:val="16"/>
                <w:lang w:val="en-US"/>
              </w:rPr>
              <w:t xml:space="preserve"> ingestion of surface waters that have only been chlorinated, however, they can be removed under adequate purification processes.</w:t>
            </w:r>
            <w:r w:rsidR="00BC4BEB" w:rsidRPr="00F01347">
              <w:rPr>
                <w:rFonts w:ascii="Verdana" w:hAnsi="Verdana"/>
                <w:sz w:val="16"/>
                <w:szCs w:val="16"/>
                <w:lang w:val="en-US"/>
              </w:rPr>
              <w:t xml:space="preserve"> </w:t>
            </w:r>
            <w:r w:rsidR="00AB4934" w:rsidRPr="00F01347">
              <w:rPr>
                <w:rFonts w:ascii="Verdana" w:hAnsi="Verdana"/>
                <w:sz w:val="16"/>
                <w:szCs w:val="16"/>
                <w:lang w:val="en-US"/>
              </w:rPr>
              <w:t xml:space="preserve"> </w:t>
            </w:r>
          </w:p>
        </w:tc>
      </w:tr>
      <w:tr w:rsidR="00B16544" w:rsidRPr="00F01347" w14:paraId="6A9A46A9" w14:textId="52B0D157" w:rsidTr="00B21DA6">
        <w:tc>
          <w:tcPr>
            <w:tcW w:w="4675" w:type="dxa"/>
          </w:tcPr>
          <w:p w14:paraId="209AB83A" w14:textId="77777777" w:rsidR="00B16544" w:rsidRPr="00F01347" w:rsidRDefault="00B16544" w:rsidP="00B16544">
            <w:pPr>
              <w:pStyle w:val="texto0"/>
              <w:spacing w:after="60" w:line="220" w:lineRule="exact"/>
              <w:ind w:firstLine="0"/>
              <w:rPr>
                <w:rFonts w:ascii="Verdana" w:hAnsi="Verdana"/>
                <w:sz w:val="16"/>
                <w:szCs w:val="16"/>
              </w:rPr>
            </w:pPr>
            <w:r w:rsidRPr="00F01347">
              <w:rPr>
                <w:rFonts w:ascii="Verdana" w:hAnsi="Verdana"/>
                <w:sz w:val="16"/>
                <w:szCs w:val="16"/>
              </w:rPr>
              <w:t xml:space="preserve">En los sistemas de abastecimiento de agua, la concentración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es relativamente baja, por lo que el análisis de muestras de agua de uso y consumo humano requiere métodos de muestreo que incluyan la concentración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a partir de grandes volúmenes (L) de agua filtrando a través de arena, membranas o filtros </w:t>
            </w:r>
            <w:proofErr w:type="spellStart"/>
            <w:r w:rsidRPr="00F01347">
              <w:rPr>
                <w:rFonts w:ascii="Verdana" w:hAnsi="Verdana"/>
                <w:sz w:val="16"/>
                <w:szCs w:val="16"/>
              </w:rPr>
              <w:t>microporosos</w:t>
            </w:r>
            <w:proofErr w:type="spellEnd"/>
            <w:r w:rsidRPr="00F01347">
              <w:rPr>
                <w:rFonts w:ascii="Verdana" w:hAnsi="Verdana"/>
                <w:sz w:val="16"/>
                <w:szCs w:val="16"/>
              </w:rPr>
              <w:t xml:space="preserve"> profundos.</w:t>
            </w:r>
          </w:p>
        </w:tc>
        <w:tc>
          <w:tcPr>
            <w:tcW w:w="4675" w:type="dxa"/>
          </w:tcPr>
          <w:p w14:paraId="645BE8A5" w14:textId="1BD44F42" w:rsidR="00B16544" w:rsidRPr="00F01347" w:rsidRDefault="00B16544" w:rsidP="00B16544">
            <w:pPr>
              <w:pStyle w:val="texto0"/>
              <w:spacing w:after="60" w:line="220" w:lineRule="exact"/>
              <w:ind w:firstLine="0"/>
              <w:rPr>
                <w:rFonts w:ascii="Verdana" w:hAnsi="Verdana"/>
                <w:sz w:val="16"/>
                <w:szCs w:val="16"/>
                <w:lang w:val="en-US"/>
              </w:rPr>
            </w:pPr>
            <w:r w:rsidRPr="00F01347">
              <w:rPr>
                <w:rFonts w:ascii="Verdana" w:hAnsi="Verdana"/>
                <w:sz w:val="16"/>
                <w:szCs w:val="16"/>
                <w:lang w:val="en-US"/>
              </w:rPr>
              <w:t xml:space="preserve">In water supply systems, the concentration of </w:t>
            </w:r>
            <w:r w:rsidRPr="00F01347">
              <w:rPr>
                <w:rFonts w:ascii="Verdana" w:hAnsi="Verdana"/>
                <w:i/>
                <w:sz w:val="16"/>
                <w:szCs w:val="16"/>
                <w:lang w:val="en-US"/>
              </w:rPr>
              <w:t xml:space="preserve">Giardia lamblia </w:t>
            </w:r>
            <w:r w:rsidR="00AB4934" w:rsidRPr="00F01347">
              <w:rPr>
                <w:rFonts w:ascii="Verdana" w:hAnsi="Verdana"/>
                <w:i/>
                <w:sz w:val="16"/>
                <w:szCs w:val="16"/>
                <w:lang w:val="en-US"/>
              </w:rPr>
              <w:t>cysts</w:t>
            </w:r>
            <w:r w:rsidR="00AB4934" w:rsidRPr="00F01347">
              <w:rPr>
                <w:rFonts w:ascii="Verdana" w:hAnsi="Verdana"/>
                <w:sz w:val="16"/>
                <w:szCs w:val="16"/>
                <w:lang w:val="en-US"/>
              </w:rPr>
              <w:t xml:space="preserve"> </w:t>
            </w:r>
            <w:r w:rsidRPr="00F01347">
              <w:rPr>
                <w:rFonts w:ascii="Verdana" w:hAnsi="Verdana"/>
                <w:sz w:val="16"/>
                <w:szCs w:val="16"/>
                <w:lang w:val="en-US"/>
              </w:rPr>
              <w:t xml:space="preserve">is relatively low, so the analysis of water samples for human use and consumption requires sampling methods that include the concentration of </w:t>
            </w:r>
            <w:r w:rsidRPr="00F01347">
              <w:rPr>
                <w:rFonts w:ascii="Verdana" w:hAnsi="Verdana"/>
                <w:i/>
                <w:sz w:val="16"/>
                <w:szCs w:val="16"/>
                <w:lang w:val="en-US"/>
              </w:rPr>
              <w:t xml:space="preserve">Giardia lamblia </w:t>
            </w:r>
            <w:r w:rsidR="00A15EDB" w:rsidRPr="00F01347">
              <w:rPr>
                <w:rFonts w:ascii="Verdana" w:hAnsi="Verdana"/>
                <w:i/>
                <w:sz w:val="16"/>
                <w:szCs w:val="16"/>
                <w:lang w:val="en-US"/>
              </w:rPr>
              <w:t>cysts</w:t>
            </w:r>
            <w:r w:rsidR="00A15EDB" w:rsidRPr="00F01347">
              <w:rPr>
                <w:rFonts w:ascii="Verdana" w:hAnsi="Verdana"/>
                <w:sz w:val="16"/>
                <w:szCs w:val="16"/>
                <w:lang w:val="en-US"/>
              </w:rPr>
              <w:t xml:space="preserve"> </w:t>
            </w:r>
            <w:r w:rsidRPr="00F01347">
              <w:rPr>
                <w:rFonts w:ascii="Verdana" w:hAnsi="Verdana"/>
                <w:sz w:val="16"/>
                <w:szCs w:val="16"/>
                <w:lang w:val="en-US"/>
              </w:rPr>
              <w:t xml:space="preserve">from large volumes (L) of water by filtering through sand, </w:t>
            </w:r>
            <w:r w:rsidR="00A15EDB" w:rsidRPr="00F01347">
              <w:rPr>
                <w:rFonts w:ascii="Verdana" w:hAnsi="Verdana"/>
                <w:sz w:val="16"/>
                <w:szCs w:val="16"/>
                <w:lang w:val="en-US"/>
              </w:rPr>
              <w:t>membranes,</w:t>
            </w:r>
            <w:r w:rsidRPr="00F01347">
              <w:rPr>
                <w:rFonts w:ascii="Verdana" w:hAnsi="Verdana"/>
                <w:sz w:val="16"/>
                <w:szCs w:val="16"/>
                <w:lang w:val="en-US"/>
              </w:rPr>
              <w:t xml:space="preserve"> or deep microporous filters.</w:t>
            </w:r>
            <w:r w:rsidR="00AB4934" w:rsidRPr="00F01347">
              <w:rPr>
                <w:rFonts w:ascii="Verdana" w:hAnsi="Verdana"/>
                <w:sz w:val="16"/>
                <w:szCs w:val="16"/>
                <w:lang w:val="en-US"/>
              </w:rPr>
              <w:t xml:space="preserve"> </w:t>
            </w:r>
            <w:r w:rsidR="00A15EDB" w:rsidRPr="00F01347">
              <w:rPr>
                <w:rFonts w:ascii="Verdana" w:hAnsi="Verdana"/>
                <w:sz w:val="16"/>
                <w:szCs w:val="16"/>
                <w:lang w:val="en-US"/>
              </w:rPr>
              <w:t xml:space="preserve"> </w:t>
            </w:r>
          </w:p>
        </w:tc>
      </w:tr>
      <w:tr w:rsidR="00B16544" w:rsidRPr="00F01347" w14:paraId="77374A08" w14:textId="56108F52" w:rsidTr="00B21DA6">
        <w:tc>
          <w:tcPr>
            <w:tcW w:w="4675" w:type="dxa"/>
          </w:tcPr>
          <w:p w14:paraId="3B95A713" w14:textId="77777777" w:rsidR="00B16544" w:rsidRPr="00F01347" w:rsidRDefault="00B16544" w:rsidP="00B16544">
            <w:pPr>
              <w:pStyle w:val="texto0"/>
              <w:spacing w:after="60" w:line="220" w:lineRule="exact"/>
              <w:ind w:firstLine="0"/>
              <w:rPr>
                <w:rFonts w:ascii="Verdana" w:hAnsi="Verdana"/>
                <w:sz w:val="16"/>
                <w:szCs w:val="16"/>
              </w:rPr>
            </w:pPr>
            <w:r w:rsidRPr="00F01347">
              <w:rPr>
                <w:rFonts w:ascii="Verdana" w:hAnsi="Verdana"/>
                <w:sz w:val="16"/>
                <w:szCs w:val="16"/>
              </w:rPr>
              <w:t>De manera posterior a la toma de muestra, es necesario llevar a cabo la purificación de los quistes que se encuentran en la muestra y que se han sedimentado, esto generalmente a través de técnicas de flotación utilizando soluciones de sulfato de zinc, sacarosa, citrato de potasio o Percoll-sacarosa.</w:t>
            </w:r>
          </w:p>
        </w:tc>
        <w:tc>
          <w:tcPr>
            <w:tcW w:w="4675" w:type="dxa"/>
          </w:tcPr>
          <w:p w14:paraId="545715F4" w14:textId="6F166735" w:rsidR="00B16544" w:rsidRPr="00F01347" w:rsidRDefault="00B16544" w:rsidP="00B16544">
            <w:pPr>
              <w:pStyle w:val="texto0"/>
              <w:spacing w:after="60" w:line="220" w:lineRule="exact"/>
              <w:ind w:firstLine="0"/>
              <w:rPr>
                <w:rFonts w:ascii="Verdana" w:hAnsi="Verdana"/>
                <w:sz w:val="16"/>
                <w:szCs w:val="16"/>
                <w:lang w:val="en-US"/>
              </w:rPr>
            </w:pPr>
            <w:r w:rsidRPr="00F01347">
              <w:rPr>
                <w:rFonts w:ascii="Verdana" w:hAnsi="Verdana"/>
                <w:sz w:val="16"/>
                <w:szCs w:val="16"/>
                <w:lang w:val="en-US"/>
              </w:rPr>
              <w:t xml:space="preserve">After taking the sample, it is necessary to carry out the purification of the cysts that are in the sample and that have settled, generally through flotation techniques using solutions of zinc sulfate, sucrose, citrate. potassium or </w:t>
            </w:r>
            <w:proofErr w:type="spellStart"/>
            <w:r w:rsidRPr="00F01347">
              <w:rPr>
                <w:rFonts w:ascii="Verdana" w:hAnsi="Verdana"/>
                <w:sz w:val="16"/>
                <w:szCs w:val="16"/>
                <w:lang w:val="en-US"/>
              </w:rPr>
              <w:t>Percoll</w:t>
            </w:r>
            <w:proofErr w:type="spellEnd"/>
            <w:r w:rsidRPr="00F01347">
              <w:rPr>
                <w:rFonts w:ascii="Verdana" w:hAnsi="Verdana"/>
                <w:sz w:val="16"/>
                <w:szCs w:val="16"/>
                <w:lang w:val="en-US"/>
              </w:rPr>
              <w:t>-sucrose.</w:t>
            </w:r>
          </w:p>
        </w:tc>
      </w:tr>
      <w:tr w:rsidR="00B16544" w:rsidRPr="00F01347" w14:paraId="2CEDA3E3" w14:textId="1A92A2EC" w:rsidTr="00B21DA6">
        <w:tc>
          <w:tcPr>
            <w:tcW w:w="4675" w:type="dxa"/>
          </w:tcPr>
          <w:p w14:paraId="1F2015B6" w14:textId="77777777" w:rsidR="00B16544" w:rsidRPr="00F01347" w:rsidRDefault="00B16544" w:rsidP="00B16544">
            <w:pPr>
              <w:pStyle w:val="texto0"/>
              <w:spacing w:after="60" w:line="220" w:lineRule="exact"/>
              <w:ind w:firstLine="0"/>
              <w:rPr>
                <w:rFonts w:ascii="Verdana" w:hAnsi="Verdana"/>
                <w:sz w:val="16"/>
                <w:szCs w:val="16"/>
              </w:rPr>
            </w:pPr>
            <w:r w:rsidRPr="00F01347">
              <w:rPr>
                <w:rFonts w:ascii="Verdana" w:hAnsi="Verdana"/>
                <w:sz w:val="16"/>
                <w:szCs w:val="16"/>
              </w:rPr>
              <w:lastRenderedPageBreak/>
              <w:t>A partir de los quistes purificados puede realizarse la determinación a través de observación microscópica usando cromógenos o técnicas de tinción con anticuerpos fluorescentes y criterios morfológicos.</w:t>
            </w:r>
          </w:p>
        </w:tc>
        <w:tc>
          <w:tcPr>
            <w:tcW w:w="4675" w:type="dxa"/>
          </w:tcPr>
          <w:p w14:paraId="0680FCD3" w14:textId="49825590" w:rsidR="00B16544" w:rsidRPr="00F01347" w:rsidRDefault="00B16544" w:rsidP="00B16544">
            <w:pPr>
              <w:pStyle w:val="texto0"/>
              <w:spacing w:after="60" w:line="220" w:lineRule="exact"/>
              <w:ind w:firstLine="0"/>
              <w:rPr>
                <w:rFonts w:ascii="Verdana" w:hAnsi="Verdana"/>
                <w:sz w:val="16"/>
                <w:szCs w:val="16"/>
                <w:lang w:val="en-US"/>
              </w:rPr>
            </w:pPr>
            <w:r w:rsidRPr="00F01347">
              <w:rPr>
                <w:rFonts w:ascii="Verdana" w:hAnsi="Verdana"/>
                <w:sz w:val="16"/>
                <w:szCs w:val="16"/>
                <w:lang w:val="en-US"/>
              </w:rPr>
              <w:t>From the purified cysts the determination can be made through microscopic observation using chromogens or staining techniques with fluorescent antibodies and morphological criteria.</w:t>
            </w:r>
          </w:p>
        </w:tc>
      </w:tr>
      <w:tr w:rsidR="00B16544" w:rsidRPr="00F01347" w14:paraId="410870A9" w14:textId="3A3C2186" w:rsidTr="00B21DA6">
        <w:tc>
          <w:tcPr>
            <w:tcW w:w="4675" w:type="dxa"/>
          </w:tcPr>
          <w:p w14:paraId="33B4FADB" w14:textId="77777777" w:rsidR="00B16544" w:rsidRPr="00F01347" w:rsidRDefault="00B16544" w:rsidP="00B16544">
            <w:pPr>
              <w:pStyle w:val="texto0"/>
              <w:spacing w:after="60" w:line="220" w:lineRule="exact"/>
              <w:ind w:firstLine="0"/>
              <w:rPr>
                <w:rFonts w:ascii="Verdana" w:hAnsi="Verdana"/>
                <w:sz w:val="16"/>
                <w:szCs w:val="16"/>
              </w:rPr>
            </w:pPr>
            <w:r w:rsidRPr="00F01347">
              <w:rPr>
                <w:rFonts w:ascii="Verdana" w:hAnsi="Verdana"/>
                <w:sz w:val="16"/>
                <w:szCs w:val="16"/>
              </w:rPr>
              <w:t>Por lo anterior, para fines del cumplimiento de esta Norma a continuación se describen los siguientes métodos:</w:t>
            </w:r>
          </w:p>
        </w:tc>
        <w:tc>
          <w:tcPr>
            <w:tcW w:w="4675" w:type="dxa"/>
          </w:tcPr>
          <w:p w14:paraId="2FDEDAA9" w14:textId="28195227" w:rsidR="00B16544" w:rsidRPr="00F01347" w:rsidRDefault="00B16544" w:rsidP="00B16544">
            <w:pPr>
              <w:pStyle w:val="texto0"/>
              <w:spacing w:after="60" w:line="220" w:lineRule="exact"/>
              <w:ind w:firstLine="0"/>
              <w:rPr>
                <w:rFonts w:ascii="Verdana" w:hAnsi="Verdana"/>
                <w:sz w:val="16"/>
                <w:szCs w:val="16"/>
                <w:lang w:val="en-US"/>
              </w:rPr>
            </w:pPr>
            <w:r w:rsidRPr="00F01347">
              <w:rPr>
                <w:rFonts w:ascii="Verdana" w:hAnsi="Verdana"/>
                <w:sz w:val="16"/>
                <w:szCs w:val="16"/>
                <w:lang w:val="en-US"/>
              </w:rPr>
              <w:t>Therefore, for the purposes of compliance with this Standard, the following methods are described below:</w:t>
            </w:r>
          </w:p>
        </w:tc>
      </w:tr>
      <w:tr w:rsidR="00B16544" w:rsidRPr="00F01347" w14:paraId="7C6AFE8B" w14:textId="62143F93" w:rsidTr="00B21DA6">
        <w:tc>
          <w:tcPr>
            <w:tcW w:w="4675" w:type="dxa"/>
          </w:tcPr>
          <w:p w14:paraId="7BD6D9B5" w14:textId="77777777" w:rsidR="00B16544" w:rsidRPr="00F01347" w:rsidRDefault="00B16544" w:rsidP="00B16544">
            <w:pPr>
              <w:pStyle w:val="texto0"/>
              <w:spacing w:after="60" w:line="22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Método de muestreo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en muestras de agua para uso y consumo humano (contenido en el punto </w:t>
            </w:r>
            <w:r w:rsidRPr="00F01347">
              <w:rPr>
                <w:rFonts w:ascii="Verdana" w:hAnsi="Verdana"/>
                <w:b/>
                <w:sz w:val="16"/>
                <w:szCs w:val="16"/>
              </w:rPr>
              <w:t>B.2.1</w:t>
            </w:r>
            <w:r w:rsidRPr="00F01347">
              <w:rPr>
                <w:rFonts w:ascii="Verdana" w:hAnsi="Verdana"/>
                <w:sz w:val="16"/>
                <w:szCs w:val="16"/>
              </w:rPr>
              <w:t>, de este Apéndice).</w:t>
            </w:r>
          </w:p>
        </w:tc>
        <w:tc>
          <w:tcPr>
            <w:tcW w:w="4675" w:type="dxa"/>
          </w:tcPr>
          <w:p w14:paraId="3DD7CF42" w14:textId="7A1BABCD" w:rsidR="00B16544" w:rsidRPr="00F01347" w:rsidRDefault="00B16544" w:rsidP="00B16544">
            <w:pPr>
              <w:pStyle w:val="texto0"/>
              <w:spacing w:after="60"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Sampling method for determining </w:t>
            </w:r>
            <w:r w:rsidRPr="00F01347">
              <w:rPr>
                <w:rFonts w:ascii="Verdana" w:hAnsi="Verdana"/>
                <w:i/>
                <w:sz w:val="16"/>
                <w:szCs w:val="16"/>
                <w:lang w:val="en-US"/>
              </w:rPr>
              <w:t xml:space="preserve">Giardia </w:t>
            </w:r>
            <w:r w:rsidR="00ED650C" w:rsidRPr="00F01347">
              <w:rPr>
                <w:rFonts w:ascii="Verdana" w:hAnsi="Verdana"/>
                <w:i/>
                <w:sz w:val="16"/>
                <w:szCs w:val="16"/>
                <w:lang w:val="en-US"/>
              </w:rPr>
              <w:t xml:space="preserve">lamblia </w:t>
            </w:r>
            <w:r w:rsidRPr="00F01347">
              <w:rPr>
                <w:rFonts w:ascii="Verdana" w:hAnsi="Verdana"/>
                <w:i/>
                <w:sz w:val="16"/>
                <w:szCs w:val="16"/>
                <w:lang w:val="en-US"/>
              </w:rPr>
              <w:t xml:space="preserve">cysts </w:t>
            </w:r>
            <w:r w:rsidRPr="00F01347">
              <w:rPr>
                <w:rFonts w:ascii="Verdana" w:hAnsi="Verdana"/>
                <w:sz w:val="16"/>
                <w:szCs w:val="16"/>
                <w:lang w:val="en-US"/>
              </w:rPr>
              <w:t xml:space="preserve">in water samples for human use and consumption (contained in point </w:t>
            </w:r>
            <w:r w:rsidRPr="00F01347">
              <w:rPr>
                <w:rFonts w:ascii="Verdana" w:hAnsi="Verdana"/>
                <w:b/>
                <w:sz w:val="16"/>
                <w:szCs w:val="16"/>
                <w:lang w:val="en-US"/>
              </w:rPr>
              <w:t xml:space="preserve">B.2.1 </w:t>
            </w:r>
            <w:r w:rsidRPr="00F01347">
              <w:rPr>
                <w:rFonts w:ascii="Verdana" w:hAnsi="Verdana"/>
                <w:sz w:val="16"/>
                <w:szCs w:val="16"/>
                <w:lang w:val="en-US"/>
              </w:rPr>
              <w:t>of this Appendix).</w:t>
            </w:r>
            <w:r w:rsidR="00ED650C" w:rsidRPr="00F01347">
              <w:rPr>
                <w:rFonts w:ascii="Verdana" w:hAnsi="Verdana"/>
                <w:sz w:val="16"/>
                <w:szCs w:val="16"/>
                <w:lang w:val="en-US"/>
              </w:rPr>
              <w:t xml:space="preserve"> </w:t>
            </w:r>
          </w:p>
        </w:tc>
      </w:tr>
      <w:tr w:rsidR="00B16544" w:rsidRPr="00F01347" w14:paraId="2BAA9430" w14:textId="28A08E9F" w:rsidTr="00B21DA6">
        <w:tc>
          <w:tcPr>
            <w:tcW w:w="4675" w:type="dxa"/>
          </w:tcPr>
          <w:p w14:paraId="2FB41C33" w14:textId="77777777" w:rsidR="00B16544" w:rsidRPr="00F01347" w:rsidRDefault="00B16544" w:rsidP="00B16544">
            <w:pPr>
              <w:pStyle w:val="texto0"/>
              <w:spacing w:after="60" w:line="22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Método de purificación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en muestras de agua para uso y consumo humano (contenido en el punto </w:t>
            </w:r>
            <w:r w:rsidRPr="00F01347">
              <w:rPr>
                <w:rFonts w:ascii="Verdana" w:hAnsi="Verdana"/>
                <w:b/>
                <w:sz w:val="16"/>
                <w:szCs w:val="16"/>
              </w:rPr>
              <w:t>B.2.2</w:t>
            </w:r>
            <w:r w:rsidRPr="00F01347">
              <w:rPr>
                <w:rFonts w:ascii="Verdana" w:hAnsi="Verdana"/>
                <w:sz w:val="16"/>
                <w:szCs w:val="16"/>
              </w:rPr>
              <w:t>, de este Apéndice).</w:t>
            </w:r>
          </w:p>
        </w:tc>
        <w:tc>
          <w:tcPr>
            <w:tcW w:w="4675" w:type="dxa"/>
          </w:tcPr>
          <w:p w14:paraId="328C228F" w14:textId="2A79F759" w:rsidR="00B16544" w:rsidRPr="00F01347" w:rsidRDefault="00B16544" w:rsidP="00B16544">
            <w:pPr>
              <w:pStyle w:val="texto0"/>
              <w:spacing w:after="60"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r>
            <w:r w:rsidRPr="00F01347">
              <w:rPr>
                <w:rFonts w:ascii="Verdana" w:hAnsi="Verdana"/>
                <w:i/>
                <w:sz w:val="16"/>
                <w:szCs w:val="16"/>
                <w:lang w:val="en-US"/>
              </w:rPr>
              <w:t xml:space="preserve">Giardia </w:t>
            </w:r>
            <w:r w:rsidR="00ED650C" w:rsidRPr="00F01347">
              <w:rPr>
                <w:rFonts w:ascii="Verdana" w:hAnsi="Verdana"/>
                <w:i/>
                <w:sz w:val="16"/>
                <w:szCs w:val="16"/>
                <w:lang w:val="en-US"/>
              </w:rPr>
              <w:t>lamblia</w:t>
            </w:r>
            <w:r w:rsidR="00ED650C" w:rsidRPr="00F01347">
              <w:rPr>
                <w:rFonts w:ascii="Verdana" w:hAnsi="Verdana"/>
                <w:sz w:val="16"/>
                <w:szCs w:val="16"/>
                <w:lang w:val="en-US"/>
              </w:rPr>
              <w:t xml:space="preserve"> </w:t>
            </w:r>
            <w:r w:rsidRPr="00F01347">
              <w:rPr>
                <w:rFonts w:ascii="Verdana" w:hAnsi="Verdana"/>
                <w:sz w:val="16"/>
                <w:szCs w:val="16"/>
                <w:lang w:val="en-US"/>
              </w:rPr>
              <w:t>cyst purification method</w:t>
            </w:r>
            <w:r w:rsidRPr="00F01347">
              <w:rPr>
                <w:rFonts w:ascii="Verdana" w:hAnsi="Verdana"/>
                <w:i/>
                <w:sz w:val="16"/>
                <w:szCs w:val="16"/>
                <w:lang w:val="en-US"/>
              </w:rPr>
              <w:t xml:space="preserve"> </w:t>
            </w:r>
            <w:r w:rsidRPr="00F01347">
              <w:rPr>
                <w:rFonts w:ascii="Verdana" w:hAnsi="Verdana"/>
                <w:sz w:val="16"/>
                <w:szCs w:val="16"/>
                <w:lang w:val="en-US"/>
              </w:rPr>
              <w:t xml:space="preserve">in water samples for human use and consumption (contained in point </w:t>
            </w:r>
            <w:r w:rsidRPr="00F01347">
              <w:rPr>
                <w:rFonts w:ascii="Verdana" w:hAnsi="Verdana"/>
                <w:b/>
                <w:sz w:val="16"/>
                <w:szCs w:val="16"/>
                <w:lang w:val="en-US"/>
              </w:rPr>
              <w:t xml:space="preserve">B.2.2 </w:t>
            </w:r>
            <w:r w:rsidRPr="00F01347">
              <w:rPr>
                <w:rFonts w:ascii="Verdana" w:hAnsi="Verdana"/>
                <w:sz w:val="16"/>
                <w:szCs w:val="16"/>
                <w:lang w:val="en-US"/>
              </w:rPr>
              <w:t>of this Appendix).</w:t>
            </w:r>
            <w:r w:rsidR="00ED650C" w:rsidRPr="00F01347">
              <w:rPr>
                <w:rFonts w:ascii="Verdana" w:hAnsi="Verdana"/>
                <w:sz w:val="16"/>
                <w:szCs w:val="16"/>
                <w:lang w:val="en-US"/>
              </w:rPr>
              <w:t xml:space="preserve"> </w:t>
            </w:r>
          </w:p>
        </w:tc>
      </w:tr>
      <w:tr w:rsidR="00B16544" w:rsidRPr="00F01347" w14:paraId="0F53470C" w14:textId="2932B431" w:rsidTr="00B21DA6">
        <w:tc>
          <w:tcPr>
            <w:tcW w:w="4675" w:type="dxa"/>
          </w:tcPr>
          <w:p w14:paraId="4A03D01A" w14:textId="77777777" w:rsidR="00B16544" w:rsidRPr="00F01347" w:rsidRDefault="00B16544" w:rsidP="00B16544">
            <w:pPr>
              <w:pStyle w:val="texto0"/>
              <w:spacing w:after="60" w:line="22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Método microbiológico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en muestras de agua para uso y consumo humano (contenido en el punto </w:t>
            </w:r>
            <w:r w:rsidRPr="00F01347">
              <w:rPr>
                <w:rFonts w:ascii="Verdana" w:hAnsi="Verdana"/>
                <w:b/>
                <w:sz w:val="16"/>
                <w:szCs w:val="16"/>
              </w:rPr>
              <w:t>B.2.3</w:t>
            </w:r>
            <w:r w:rsidRPr="00F01347">
              <w:rPr>
                <w:rFonts w:ascii="Verdana" w:hAnsi="Verdana"/>
                <w:sz w:val="16"/>
                <w:szCs w:val="16"/>
              </w:rPr>
              <w:t>, de este Apéndice).</w:t>
            </w:r>
          </w:p>
        </w:tc>
        <w:tc>
          <w:tcPr>
            <w:tcW w:w="4675" w:type="dxa"/>
          </w:tcPr>
          <w:p w14:paraId="193773B3" w14:textId="396D8BB4" w:rsidR="00B16544" w:rsidRPr="00F01347" w:rsidRDefault="00B16544" w:rsidP="00B16544">
            <w:pPr>
              <w:pStyle w:val="texto0"/>
              <w:spacing w:after="60"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Microbiological method for the determination of </w:t>
            </w:r>
            <w:r w:rsidRPr="00F01347">
              <w:rPr>
                <w:rFonts w:ascii="Verdana" w:hAnsi="Verdana"/>
                <w:i/>
                <w:sz w:val="16"/>
                <w:szCs w:val="16"/>
                <w:lang w:val="en-US"/>
              </w:rPr>
              <w:t xml:space="preserve">Giardia lamblia </w:t>
            </w:r>
            <w:r w:rsidR="005D07D9" w:rsidRPr="00F01347">
              <w:rPr>
                <w:rFonts w:ascii="Verdana" w:hAnsi="Verdana"/>
                <w:i/>
                <w:sz w:val="16"/>
                <w:szCs w:val="16"/>
                <w:lang w:val="en-US"/>
              </w:rPr>
              <w:t>cysts</w:t>
            </w:r>
            <w:r w:rsidR="005D07D9" w:rsidRPr="00F01347">
              <w:rPr>
                <w:rFonts w:ascii="Verdana" w:hAnsi="Verdana"/>
                <w:sz w:val="16"/>
                <w:szCs w:val="16"/>
                <w:lang w:val="en-US"/>
              </w:rPr>
              <w:t xml:space="preserve"> </w:t>
            </w:r>
            <w:r w:rsidRPr="00F01347">
              <w:rPr>
                <w:rFonts w:ascii="Verdana" w:hAnsi="Verdana"/>
                <w:sz w:val="16"/>
                <w:szCs w:val="16"/>
                <w:lang w:val="en-US"/>
              </w:rPr>
              <w:t xml:space="preserve">in water samples for human use and consumption (contained in point </w:t>
            </w:r>
            <w:r w:rsidRPr="00F01347">
              <w:rPr>
                <w:rFonts w:ascii="Verdana" w:hAnsi="Verdana"/>
                <w:b/>
                <w:sz w:val="16"/>
                <w:szCs w:val="16"/>
                <w:lang w:val="en-US"/>
              </w:rPr>
              <w:t xml:space="preserve">B.2.3 </w:t>
            </w:r>
            <w:r w:rsidRPr="00F01347">
              <w:rPr>
                <w:rFonts w:ascii="Verdana" w:hAnsi="Verdana"/>
                <w:sz w:val="16"/>
                <w:szCs w:val="16"/>
                <w:lang w:val="en-US"/>
              </w:rPr>
              <w:t>of this Appendix).</w:t>
            </w:r>
            <w:r w:rsidR="005D07D9" w:rsidRPr="00F01347">
              <w:rPr>
                <w:rFonts w:ascii="Verdana" w:hAnsi="Verdana"/>
                <w:sz w:val="16"/>
                <w:szCs w:val="16"/>
                <w:lang w:val="en-US"/>
              </w:rPr>
              <w:t xml:space="preserve"> </w:t>
            </w:r>
          </w:p>
        </w:tc>
      </w:tr>
      <w:tr w:rsidR="00B16544" w:rsidRPr="00F01347" w14:paraId="11FC3238" w14:textId="714D5BF3" w:rsidTr="00B21DA6">
        <w:tc>
          <w:tcPr>
            <w:tcW w:w="4675" w:type="dxa"/>
          </w:tcPr>
          <w:p w14:paraId="08D9436C" w14:textId="77777777" w:rsidR="00B16544" w:rsidRPr="00F01347" w:rsidRDefault="00B16544" w:rsidP="00B16544">
            <w:pPr>
              <w:pStyle w:val="texto0"/>
              <w:spacing w:after="60" w:line="220" w:lineRule="exact"/>
              <w:ind w:firstLine="0"/>
              <w:rPr>
                <w:rFonts w:ascii="Verdana" w:hAnsi="Verdana"/>
                <w:sz w:val="16"/>
                <w:szCs w:val="16"/>
              </w:rPr>
            </w:pPr>
            <w:r w:rsidRPr="00F01347">
              <w:rPr>
                <w:rFonts w:ascii="Verdana" w:hAnsi="Verdana"/>
                <w:sz w:val="16"/>
                <w:szCs w:val="16"/>
              </w:rPr>
              <w:t xml:space="preserve">Los avances en la investigación y la atención de sospechas de brotes de enfermedades transmitidas por agua han permitido el desarrollo de diversos métodos de prueba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en agua para uso y consumo humano. Estos métodos evolucionan rápidamente, por lo que para el cumplimiento de esta Norma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en muestras de agua para uso y consumo humano se podrán utilizar de manera indistinta, el método microbiológico descrito en el punto </w:t>
            </w:r>
            <w:r w:rsidRPr="00F01347">
              <w:rPr>
                <w:rFonts w:ascii="Verdana" w:hAnsi="Verdana"/>
                <w:b/>
                <w:sz w:val="16"/>
                <w:szCs w:val="16"/>
              </w:rPr>
              <w:t>B.2.3</w:t>
            </w:r>
            <w:r w:rsidRPr="00F01347">
              <w:rPr>
                <w:rFonts w:ascii="Verdana" w:hAnsi="Verdana"/>
                <w:sz w:val="16"/>
                <w:szCs w:val="16"/>
              </w:rPr>
              <w:t xml:space="preserve">, de este Apéndice y las técnicas de inmunofluorescencia (contenido en el punto </w:t>
            </w:r>
            <w:r w:rsidRPr="00F01347">
              <w:rPr>
                <w:rFonts w:ascii="Verdana" w:hAnsi="Verdana"/>
                <w:b/>
                <w:sz w:val="16"/>
                <w:szCs w:val="16"/>
              </w:rPr>
              <w:t>B.2.4</w:t>
            </w:r>
            <w:r w:rsidRPr="00F01347">
              <w:rPr>
                <w:rFonts w:ascii="Verdana" w:hAnsi="Verdana"/>
                <w:sz w:val="16"/>
                <w:szCs w:val="16"/>
              </w:rPr>
              <w:t xml:space="preserve">, de este Apéndice) o de biología molecular (contenido en el punto </w:t>
            </w:r>
            <w:r w:rsidRPr="00F01347">
              <w:rPr>
                <w:rFonts w:ascii="Verdana" w:hAnsi="Verdana"/>
                <w:b/>
                <w:sz w:val="16"/>
                <w:szCs w:val="16"/>
              </w:rPr>
              <w:t>B.2.5</w:t>
            </w:r>
            <w:r w:rsidRPr="00F01347">
              <w:rPr>
                <w:rFonts w:ascii="Verdana" w:hAnsi="Verdana"/>
                <w:sz w:val="16"/>
                <w:szCs w:val="16"/>
              </w:rPr>
              <w:t>, de este Apéndice) descritas en este método de prueba.</w:t>
            </w:r>
          </w:p>
        </w:tc>
        <w:tc>
          <w:tcPr>
            <w:tcW w:w="4675" w:type="dxa"/>
          </w:tcPr>
          <w:p w14:paraId="3FCD5B6F" w14:textId="4076255D" w:rsidR="00B16544" w:rsidRPr="00F01347" w:rsidRDefault="00B16544" w:rsidP="00B16544">
            <w:pPr>
              <w:pStyle w:val="texto0"/>
              <w:spacing w:after="60" w:line="220" w:lineRule="exact"/>
              <w:ind w:firstLine="0"/>
              <w:rPr>
                <w:rFonts w:ascii="Verdana" w:hAnsi="Verdana"/>
                <w:sz w:val="16"/>
                <w:szCs w:val="16"/>
                <w:lang w:val="en-US"/>
              </w:rPr>
            </w:pPr>
            <w:r w:rsidRPr="00F01347">
              <w:rPr>
                <w:rFonts w:ascii="Verdana" w:hAnsi="Verdana"/>
                <w:sz w:val="16"/>
                <w:szCs w:val="16"/>
                <w:lang w:val="en-US"/>
              </w:rPr>
              <w:t xml:space="preserve">Advances in research and attention to suspected waterborne disease outbreaks have allowed the development of various test methods for the determination of </w:t>
            </w:r>
            <w:r w:rsidRPr="00F01347">
              <w:rPr>
                <w:rFonts w:ascii="Verdana" w:hAnsi="Verdana"/>
                <w:i/>
                <w:sz w:val="16"/>
                <w:szCs w:val="16"/>
                <w:lang w:val="en-US"/>
              </w:rPr>
              <w:t xml:space="preserve">Giardia </w:t>
            </w:r>
            <w:r w:rsidR="005D07D9" w:rsidRPr="00F01347">
              <w:rPr>
                <w:rFonts w:ascii="Verdana" w:hAnsi="Verdana"/>
                <w:i/>
                <w:sz w:val="16"/>
                <w:szCs w:val="16"/>
                <w:lang w:val="en-US"/>
              </w:rPr>
              <w:t xml:space="preserve">lamblia </w:t>
            </w:r>
            <w:r w:rsidRPr="00F01347">
              <w:rPr>
                <w:rFonts w:ascii="Verdana" w:hAnsi="Verdana"/>
                <w:i/>
                <w:sz w:val="16"/>
                <w:szCs w:val="16"/>
                <w:lang w:val="en-US"/>
              </w:rPr>
              <w:t xml:space="preserve">cysts </w:t>
            </w:r>
            <w:r w:rsidRPr="00F01347">
              <w:rPr>
                <w:rFonts w:ascii="Verdana" w:hAnsi="Verdana"/>
                <w:sz w:val="16"/>
                <w:szCs w:val="16"/>
                <w:lang w:val="en-US"/>
              </w:rPr>
              <w:t xml:space="preserve">in water for human use and consumption. These methods are evolving rapidly, so for compliance with this Standard for the determination of </w:t>
            </w:r>
            <w:r w:rsidR="005D07D9" w:rsidRPr="00F01347">
              <w:rPr>
                <w:rFonts w:ascii="Verdana" w:hAnsi="Verdana"/>
                <w:i/>
                <w:sz w:val="16"/>
                <w:szCs w:val="16"/>
                <w:lang w:val="en-US"/>
              </w:rPr>
              <w:t>Giardia lamblia cysts</w:t>
            </w:r>
            <w:r w:rsidRPr="00F01347">
              <w:rPr>
                <w:rFonts w:ascii="Verdana" w:hAnsi="Verdana"/>
                <w:i/>
                <w:sz w:val="16"/>
                <w:szCs w:val="16"/>
                <w:lang w:val="en-US"/>
              </w:rPr>
              <w:t xml:space="preserve"> </w:t>
            </w:r>
            <w:r w:rsidRPr="00F01347">
              <w:rPr>
                <w:rFonts w:ascii="Verdana" w:hAnsi="Verdana"/>
                <w:iCs/>
                <w:sz w:val="16"/>
                <w:szCs w:val="16"/>
                <w:lang w:val="en-US"/>
              </w:rPr>
              <w:t>in water samples for human use and consumption, the microbiological method described in point</w:t>
            </w:r>
            <w:r w:rsidRPr="00F01347">
              <w:rPr>
                <w:rFonts w:ascii="Verdana" w:hAnsi="Verdana"/>
                <w:i/>
                <w:sz w:val="16"/>
                <w:szCs w:val="16"/>
                <w:lang w:val="en-US"/>
              </w:rPr>
              <w:t xml:space="preserve"> </w:t>
            </w:r>
            <w:r w:rsidRPr="00F01347">
              <w:rPr>
                <w:rFonts w:ascii="Verdana" w:hAnsi="Verdana"/>
                <w:b/>
                <w:sz w:val="16"/>
                <w:szCs w:val="16"/>
                <w:lang w:val="en-US"/>
              </w:rPr>
              <w:t xml:space="preserve">B.2.3 </w:t>
            </w:r>
            <w:r w:rsidRPr="00F01347">
              <w:rPr>
                <w:rFonts w:ascii="Verdana" w:hAnsi="Verdana"/>
                <w:sz w:val="16"/>
                <w:szCs w:val="16"/>
                <w:lang w:val="en-US"/>
              </w:rPr>
              <w:t xml:space="preserve">of this Appendix and immunofluorescence techniques (contained in point </w:t>
            </w:r>
            <w:r w:rsidRPr="00F01347">
              <w:rPr>
                <w:rFonts w:ascii="Verdana" w:hAnsi="Verdana"/>
                <w:b/>
                <w:sz w:val="16"/>
                <w:szCs w:val="16"/>
                <w:lang w:val="en-US"/>
              </w:rPr>
              <w:t xml:space="preserve">B.2.4 </w:t>
            </w:r>
            <w:r w:rsidRPr="00F01347">
              <w:rPr>
                <w:rFonts w:ascii="Verdana" w:hAnsi="Verdana"/>
                <w:sz w:val="16"/>
                <w:szCs w:val="16"/>
                <w:lang w:val="en-US"/>
              </w:rPr>
              <w:t xml:space="preserve">of this Appendix) may be used interchangeably of molecular biology (contained in point </w:t>
            </w:r>
            <w:r w:rsidRPr="00F01347">
              <w:rPr>
                <w:rFonts w:ascii="Verdana" w:hAnsi="Verdana"/>
                <w:b/>
                <w:sz w:val="16"/>
                <w:szCs w:val="16"/>
                <w:lang w:val="en-US"/>
              </w:rPr>
              <w:t>B.2.5</w:t>
            </w:r>
            <w:r w:rsidR="003E1BA9" w:rsidRPr="00F01347">
              <w:rPr>
                <w:rFonts w:ascii="Verdana" w:hAnsi="Verdana"/>
                <w:b/>
                <w:sz w:val="16"/>
                <w:szCs w:val="16"/>
                <w:lang w:val="en-US"/>
              </w:rPr>
              <w:t>,</w:t>
            </w:r>
            <w:r w:rsidRPr="00F01347">
              <w:rPr>
                <w:rFonts w:ascii="Verdana" w:hAnsi="Verdana"/>
                <w:sz w:val="16"/>
                <w:szCs w:val="16"/>
                <w:lang w:val="en-US"/>
              </w:rPr>
              <w:t xml:space="preserve"> of this Appendix) described in this test method.</w:t>
            </w:r>
          </w:p>
        </w:tc>
      </w:tr>
      <w:tr w:rsidR="00B16544" w:rsidRPr="00F01347" w14:paraId="34C1DDB5" w14:textId="327CE57A" w:rsidTr="00B21DA6">
        <w:tc>
          <w:tcPr>
            <w:tcW w:w="4675" w:type="dxa"/>
          </w:tcPr>
          <w:p w14:paraId="131F59BA" w14:textId="77777777" w:rsidR="00B16544" w:rsidRPr="00F01347" w:rsidRDefault="00B16544" w:rsidP="00B16544">
            <w:pPr>
              <w:pStyle w:val="texto0"/>
              <w:spacing w:after="60" w:line="220" w:lineRule="exact"/>
              <w:ind w:firstLine="0"/>
              <w:rPr>
                <w:rFonts w:ascii="Verdana" w:hAnsi="Verdana"/>
                <w:b/>
                <w:sz w:val="16"/>
                <w:szCs w:val="16"/>
              </w:rPr>
            </w:pPr>
            <w:r w:rsidRPr="00F01347">
              <w:rPr>
                <w:rFonts w:ascii="Verdana" w:hAnsi="Verdana"/>
                <w:b/>
                <w:sz w:val="16"/>
                <w:szCs w:val="16"/>
              </w:rPr>
              <w:t xml:space="preserve">B.2.1 MÉTODO DE MUESTREO PARA LA DETERMINACIÓN DE QUISTES DE </w:t>
            </w:r>
            <w:proofErr w:type="spellStart"/>
            <w:r w:rsidRPr="00F01347">
              <w:rPr>
                <w:rFonts w:ascii="Verdana" w:hAnsi="Verdana"/>
                <w:b/>
                <w:i/>
                <w:sz w:val="16"/>
                <w:szCs w:val="16"/>
              </w:rPr>
              <w:t>Giardia</w:t>
            </w:r>
            <w:proofErr w:type="spellEnd"/>
            <w:r w:rsidRPr="00F01347">
              <w:rPr>
                <w:rFonts w:ascii="Verdana" w:hAnsi="Verdana"/>
                <w:b/>
                <w:i/>
                <w:sz w:val="16"/>
                <w:szCs w:val="16"/>
              </w:rPr>
              <w:t xml:space="preserve"> </w:t>
            </w:r>
            <w:proofErr w:type="spellStart"/>
            <w:r w:rsidRPr="00F01347">
              <w:rPr>
                <w:rFonts w:ascii="Verdana" w:hAnsi="Verdana"/>
                <w:b/>
                <w:i/>
                <w:sz w:val="16"/>
                <w:szCs w:val="16"/>
              </w:rPr>
              <w:t>lamblia</w:t>
            </w:r>
            <w:proofErr w:type="spellEnd"/>
            <w:r w:rsidRPr="00F01347">
              <w:rPr>
                <w:rFonts w:ascii="Verdana" w:hAnsi="Verdana"/>
                <w:b/>
                <w:sz w:val="16"/>
                <w:szCs w:val="16"/>
              </w:rPr>
              <w:t xml:space="preserve"> EN MUESTRAS DE AGUA PARA USO Y CONSUMO HUMANO</w:t>
            </w:r>
          </w:p>
        </w:tc>
        <w:tc>
          <w:tcPr>
            <w:tcW w:w="4675" w:type="dxa"/>
          </w:tcPr>
          <w:p w14:paraId="7C7C3EA0" w14:textId="5F2019EA" w:rsidR="00B16544" w:rsidRPr="00F01347" w:rsidRDefault="00B16544" w:rsidP="00B16544">
            <w:pPr>
              <w:pStyle w:val="texto0"/>
              <w:spacing w:after="60" w:line="220" w:lineRule="exact"/>
              <w:ind w:firstLine="0"/>
              <w:rPr>
                <w:rFonts w:ascii="Verdana" w:hAnsi="Verdana"/>
                <w:b/>
                <w:sz w:val="16"/>
                <w:szCs w:val="16"/>
                <w:lang w:val="en-US"/>
              </w:rPr>
            </w:pPr>
            <w:r w:rsidRPr="00F01347">
              <w:rPr>
                <w:rFonts w:ascii="Verdana" w:hAnsi="Verdana"/>
                <w:b/>
                <w:sz w:val="16"/>
                <w:szCs w:val="16"/>
                <w:lang w:val="en-US"/>
              </w:rPr>
              <w:t xml:space="preserve">B.2.1 SAMPLING METHOD FOR THE DETERMINATION OF </w:t>
            </w:r>
            <w:r w:rsidR="005D07D9" w:rsidRPr="00F01347">
              <w:rPr>
                <w:rFonts w:ascii="Verdana" w:hAnsi="Verdana"/>
                <w:b/>
                <w:i/>
                <w:sz w:val="16"/>
                <w:szCs w:val="16"/>
                <w:lang w:val="en-US"/>
              </w:rPr>
              <w:t>Giardia lamblia CYSTS</w:t>
            </w:r>
            <w:r w:rsidRPr="00F01347">
              <w:rPr>
                <w:rFonts w:ascii="Verdana" w:hAnsi="Verdana"/>
                <w:b/>
                <w:i/>
                <w:sz w:val="16"/>
                <w:szCs w:val="16"/>
                <w:lang w:val="en-US"/>
              </w:rPr>
              <w:t xml:space="preserve"> </w:t>
            </w:r>
            <w:r w:rsidRPr="00F01347">
              <w:rPr>
                <w:rFonts w:ascii="Verdana" w:hAnsi="Verdana"/>
                <w:b/>
                <w:sz w:val="16"/>
                <w:szCs w:val="16"/>
                <w:lang w:val="en-US"/>
              </w:rPr>
              <w:t>IN WATER SAMPLES FOR HUMAN USE AND CONSUMPTION</w:t>
            </w:r>
          </w:p>
        </w:tc>
      </w:tr>
      <w:tr w:rsidR="00B16544" w:rsidRPr="00F01347" w14:paraId="55638562" w14:textId="54B00BD8" w:rsidTr="00B21DA6">
        <w:tc>
          <w:tcPr>
            <w:tcW w:w="4675" w:type="dxa"/>
          </w:tcPr>
          <w:p w14:paraId="0C6337E2" w14:textId="77777777" w:rsidR="00B16544" w:rsidRPr="00F01347" w:rsidRDefault="00B16544" w:rsidP="00B16544">
            <w:pPr>
              <w:pStyle w:val="texto0"/>
              <w:spacing w:after="60" w:line="220" w:lineRule="exact"/>
              <w:ind w:firstLine="0"/>
              <w:rPr>
                <w:rFonts w:ascii="Verdana" w:hAnsi="Verdana"/>
                <w:b/>
                <w:sz w:val="16"/>
                <w:szCs w:val="16"/>
              </w:rPr>
            </w:pPr>
            <w:r w:rsidRPr="00F01347">
              <w:rPr>
                <w:rFonts w:ascii="Verdana" w:hAnsi="Verdana"/>
                <w:b/>
                <w:sz w:val="16"/>
                <w:szCs w:val="16"/>
              </w:rPr>
              <w:t>B.2.1.1 Principio</w:t>
            </w:r>
          </w:p>
        </w:tc>
        <w:tc>
          <w:tcPr>
            <w:tcW w:w="4675" w:type="dxa"/>
          </w:tcPr>
          <w:p w14:paraId="00C32F12" w14:textId="1868C970" w:rsidR="00B16544" w:rsidRPr="00F01347" w:rsidRDefault="00B16544" w:rsidP="00B16544">
            <w:pPr>
              <w:pStyle w:val="texto0"/>
              <w:spacing w:after="60" w:line="220" w:lineRule="exact"/>
              <w:ind w:firstLine="0"/>
              <w:rPr>
                <w:rFonts w:ascii="Verdana" w:hAnsi="Verdana"/>
                <w:b/>
                <w:sz w:val="16"/>
                <w:szCs w:val="16"/>
                <w:lang w:val="en-US"/>
              </w:rPr>
            </w:pPr>
            <w:r w:rsidRPr="00F01347">
              <w:rPr>
                <w:rFonts w:ascii="Verdana" w:hAnsi="Verdana"/>
                <w:b/>
                <w:sz w:val="16"/>
                <w:szCs w:val="16"/>
                <w:lang w:val="en-US"/>
              </w:rPr>
              <w:t>B.2.1.1 Principle</w:t>
            </w:r>
          </w:p>
        </w:tc>
      </w:tr>
      <w:tr w:rsidR="00B16544" w:rsidRPr="00F01347" w14:paraId="4BCB7B93" w14:textId="3C859D4E" w:rsidTr="00B21DA6">
        <w:tc>
          <w:tcPr>
            <w:tcW w:w="4675" w:type="dxa"/>
          </w:tcPr>
          <w:p w14:paraId="6600E7DA" w14:textId="77777777" w:rsidR="00B16544" w:rsidRPr="00F01347" w:rsidRDefault="00B16544" w:rsidP="00B16544">
            <w:pPr>
              <w:pStyle w:val="texto0"/>
              <w:spacing w:after="60" w:line="220" w:lineRule="exact"/>
              <w:ind w:firstLine="0"/>
              <w:rPr>
                <w:rFonts w:ascii="Verdana" w:hAnsi="Verdana"/>
                <w:sz w:val="16"/>
                <w:szCs w:val="16"/>
              </w:rPr>
            </w:pPr>
            <w:r w:rsidRPr="00F01347">
              <w:rPr>
                <w:rFonts w:ascii="Verdana" w:hAnsi="Verdana"/>
                <w:sz w:val="16"/>
                <w:szCs w:val="16"/>
              </w:rPr>
              <w:t xml:space="preserve">El presente método incluye la toma de muestra en campo después del proceso de potabilización. La toma de muestra en sitio incluye la concentración de los quistes a través de un cartucho filtrante partiendo de un volumen de agua suficiente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así como la preservación de la muestra hasta su entrega al laboratorio.</w:t>
            </w:r>
          </w:p>
        </w:tc>
        <w:tc>
          <w:tcPr>
            <w:tcW w:w="4675" w:type="dxa"/>
          </w:tcPr>
          <w:p w14:paraId="6CF080E4" w14:textId="4EDDAAFA" w:rsidR="00B16544" w:rsidRPr="00F01347" w:rsidRDefault="00B16544" w:rsidP="00B16544">
            <w:pPr>
              <w:pStyle w:val="texto0"/>
              <w:spacing w:after="60" w:line="220" w:lineRule="exact"/>
              <w:ind w:firstLine="0"/>
              <w:rPr>
                <w:rFonts w:ascii="Verdana" w:hAnsi="Verdana"/>
                <w:sz w:val="16"/>
                <w:szCs w:val="16"/>
                <w:lang w:val="en-US"/>
              </w:rPr>
            </w:pPr>
            <w:r w:rsidRPr="00F01347">
              <w:rPr>
                <w:rFonts w:ascii="Verdana" w:hAnsi="Verdana"/>
                <w:sz w:val="16"/>
                <w:szCs w:val="16"/>
                <w:lang w:val="en-US"/>
              </w:rPr>
              <w:t xml:space="preserve">This method includes taking samples in the field after the purification process. Sampling on site includes the concentration of the cysts through a filter cartridge based on a volume of water sufficient for the determination of </w:t>
            </w:r>
            <w:r w:rsidRPr="00F01347">
              <w:rPr>
                <w:rFonts w:ascii="Verdana" w:hAnsi="Verdana"/>
                <w:i/>
                <w:sz w:val="16"/>
                <w:szCs w:val="16"/>
                <w:lang w:val="en-US"/>
              </w:rPr>
              <w:t xml:space="preserve">Giardia </w:t>
            </w:r>
            <w:r w:rsidR="005D07D9" w:rsidRPr="00F01347">
              <w:rPr>
                <w:rFonts w:ascii="Verdana" w:hAnsi="Verdana"/>
                <w:i/>
                <w:sz w:val="16"/>
                <w:szCs w:val="16"/>
                <w:lang w:val="en-US"/>
              </w:rPr>
              <w:t xml:space="preserve">lamblia </w:t>
            </w:r>
            <w:r w:rsidRPr="00F01347">
              <w:rPr>
                <w:rFonts w:ascii="Verdana" w:hAnsi="Verdana"/>
                <w:i/>
                <w:sz w:val="16"/>
                <w:szCs w:val="16"/>
                <w:lang w:val="en-US"/>
              </w:rPr>
              <w:t>cysts</w:t>
            </w:r>
            <w:r w:rsidR="003E1BA9" w:rsidRPr="00F01347">
              <w:rPr>
                <w:rFonts w:ascii="Verdana" w:hAnsi="Verdana"/>
                <w:i/>
                <w:sz w:val="16"/>
                <w:szCs w:val="16"/>
                <w:lang w:val="en-US"/>
              </w:rPr>
              <w:t>,</w:t>
            </w:r>
            <w:r w:rsidRPr="00F01347">
              <w:rPr>
                <w:rFonts w:ascii="Verdana" w:hAnsi="Verdana"/>
                <w:sz w:val="16"/>
                <w:szCs w:val="16"/>
                <w:lang w:val="en-US"/>
              </w:rPr>
              <w:t xml:space="preserve"> as well as the preservation of the sample until its delivery to the laboratory.</w:t>
            </w:r>
          </w:p>
        </w:tc>
      </w:tr>
      <w:tr w:rsidR="00B16544" w:rsidRPr="00F01347" w14:paraId="2458DC1B" w14:textId="2F3B91BF" w:rsidTr="00B21DA6">
        <w:tc>
          <w:tcPr>
            <w:tcW w:w="4675" w:type="dxa"/>
          </w:tcPr>
          <w:p w14:paraId="58508706" w14:textId="77777777" w:rsidR="00B16544" w:rsidRPr="00F01347" w:rsidRDefault="00B16544" w:rsidP="00B16544">
            <w:pPr>
              <w:pStyle w:val="texto0"/>
              <w:spacing w:after="60" w:line="220" w:lineRule="exact"/>
              <w:ind w:firstLine="0"/>
              <w:rPr>
                <w:rFonts w:ascii="Verdana" w:hAnsi="Verdana"/>
                <w:b/>
                <w:sz w:val="16"/>
                <w:szCs w:val="16"/>
              </w:rPr>
            </w:pPr>
            <w:r w:rsidRPr="00F01347">
              <w:rPr>
                <w:rFonts w:ascii="Verdana" w:hAnsi="Verdana"/>
                <w:b/>
                <w:sz w:val="16"/>
                <w:szCs w:val="16"/>
              </w:rPr>
              <w:t>B.2.1.2 Alcance y aplicación</w:t>
            </w:r>
          </w:p>
        </w:tc>
        <w:tc>
          <w:tcPr>
            <w:tcW w:w="4675" w:type="dxa"/>
          </w:tcPr>
          <w:p w14:paraId="1B531F2F" w14:textId="55379EC5" w:rsidR="00B16544" w:rsidRPr="00F01347" w:rsidRDefault="00B16544" w:rsidP="00B16544">
            <w:pPr>
              <w:pStyle w:val="texto0"/>
              <w:spacing w:after="60" w:line="220" w:lineRule="exact"/>
              <w:ind w:firstLine="0"/>
              <w:rPr>
                <w:rFonts w:ascii="Verdana" w:hAnsi="Verdana"/>
                <w:b/>
                <w:sz w:val="16"/>
                <w:szCs w:val="16"/>
                <w:lang w:val="en-US"/>
              </w:rPr>
            </w:pPr>
            <w:r w:rsidRPr="00F01347">
              <w:rPr>
                <w:rFonts w:ascii="Verdana" w:hAnsi="Verdana"/>
                <w:b/>
                <w:sz w:val="16"/>
                <w:szCs w:val="16"/>
                <w:lang w:val="en-US"/>
              </w:rPr>
              <w:t>B.2.1.2 Scope and application</w:t>
            </w:r>
          </w:p>
        </w:tc>
      </w:tr>
      <w:tr w:rsidR="00B16544" w:rsidRPr="00F01347" w14:paraId="35DFF3DF" w14:textId="5872D7AC" w:rsidTr="00B21DA6">
        <w:tc>
          <w:tcPr>
            <w:tcW w:w="4675" w:type="dxa"/>
          </w:tcPr>
          <w:p w14:paraId="0000B302" w14:textId="77777777" w:rsidR="00B16544" w:rsidRPr="00F01347" w:rsidRDefault="00B16544" w:rsidP="00B16544">
            <w:pPr>
              <w:pStyle w:val="texto0"/>
              <w:spacing w:after="60" w:line="220" w:lineRule="exact"/>
              <w:ind w:firstLine="0"/>
              <w:rPr>
                <w:rFonts w:ascii="Verdana" w:hAnsi="Verdana"/>
                <w:sz w:val="16"/>
                <w:szCs w:val="16"/>
              </w:rPr>
            </w:pPr>
            <w:r w:rsidRPr="00F01347">
              <w:rPr>
                <w:rFonts w:ascii="Verdana" w:hAnsi="Verdana"/>
                <w:sz w:val="16"/>
                <w:szCs w:val="16"/>
              </w:rPr>
              <w:t xml:space="preserve">Este método describe el procedimiento de muestreo-concentración en campo de agua después del proceso de potabilización y la preservación de la muestra hasta la entrega al laboratorio del cartucho filtrante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presentes en muestras de agua para uso y consumo humano.</w:t>
            </w:r>
          </w:p>
        </w:tc>
        <w:tc>
          <w:tcPr>
            <w:tcW w:w="4675" w:type="dxa"/>
          </w:tcPr>
          <w:p w14:paraId="48C8C55D" w14:textId="5F691194" w:rsidR="00B16544" w:rsidRPr="00F01347" w:rsidRDefault="00B16544" w:rsidP="00B16544">
            <w:pPr>
              <w:pStyle w:val="texto0"/>
              <w:spacing w:after="60" w:line="220" w:lineRule="exact"/>
              <w:ind w:firstLine="0"/>
              <w:rPr>
                <w:rFonts w:ascii="Verdana" w:hAnsi="Verdana"/>
                <w:sz w:val="16"/>
                <w:szCs w:val="16"/>
                <w:lang w:val="en-US"/>
              </w:rPr>
            </w:pPr>
            <w:r w:rsidRPr="00F01347">
              <w:rPr>
                <w:rFonts w:ascii="Verdana" w:hAnsi="Verdana"/>
                <w:sz w:val="16"/>
                <w:szCs w:val="16"/>
                <w:lang w:val="en-US"/>
              </w:rPr>
              <w:t xml:space="preserve">This method describes the sampling-concentration procedure in a water field after the purification process and the preservation of the sample until delivery to the laboratory of the filter cartridge for the determination of </w:t>
            </w:r>
            <w:r w:rsidR="005D07D9" w:rsidRPr="00F01347">
              <w:rPr>
                <w:rFonts w:ascii="Verdana" w:hAnsi="Verdana"/>
                <w:sz w:val="16"/>
                <w:szCs w:val="16"/>
                <w:lang w:val="en-US"/>
              </w:rPr>
              <w:t>Giardia lamblia cysts</w:t>
            </w:r>
            <w:r w:rsidRPr="00F01347">
              <w:rPr>
                <w:rFonts w:ascii="Verdana" w:hAnsi="Verdana"/>
                <w:i/>
                <w:sz w:val="16"/>
                <w:szCs w:val="16"/>
                <w:lang w:val="en-US"/>
              </w:rPr>
              <w:t xml:space="preserve"> </w:t>
            </w:r>
            <w:r w:rsidRPr="00F01347">
              <w:rPr>
                <w:rFonts w:ascii="Verdana" w:hAnsi="Verdana"/>
                <w:sz w:val="16"/>
                <w:szCs w:val="16"/>
                <w:lang w:val="en-US"/>
              </w:rPr>
              <w:t>present in water samples for human use and consumption.</w:t>
            </w:r>
          </w:p>
        </w:tc>
      </w:tr>
      <w:tr w:rsidR="00B16544" w:rsidRPr="00F01347" w14:paraId="48E0EEB3" w14:textId="17CCB765" w:rsidTr="00B21DA6">
        <w:tc>
          <w:tcPr>
            <w:tcW w:w="4675" w:type="dxa"/>
          </w:tcPr>
          <w:p w14:paraId="6B9B88ED" w14:textId="77777777" w:rsidR="00B16544" w:rsidRPr="00F01347" w:rsidRDefault="00B16544" w:rsidP="00B16544">
            <w:pPr>
              <w:pStyle w:val="texto0"/>
              <w:spacing w:after="60" w:line="220" w:lineRule="exact"/>
              <w:ind w:firstLine="0"/>
              <w:rPr>
                <w:rFonts w:ascii="Verdana" w:hAnsi="Verdana"/>
                <w:b/>
                <w:sz w:val="16"/>
                <w:szCs w:val="16"/>
              </w:rPr>
            </w:pPr>
            <w:r w:rsidRPr="00F01347">
              <w:rPr>
                <w:rFonts w:ascii="Verdana" w:hAnsi="Verdana"/>
                <w:b/>
                <w:sz w:val="16"/>
                <w:szCs w:val="16"/>
              </w:rPr>
              <w:t>B.2.1.3 Equipos y materiales</w:t>
            </w:r>
          </w:p>
        </w:tc>
        <w:tc>
          <w:tcPr>
            <w:tcW w:w="4675" w:type="dxa"/>
          </w:tcPr>
          <w:p w14:paraId="23A45DE8" w14:textId="20645C01" w:rsidR="00B16544" w:rsidRPr="00F01347" w:rsidRDefault="00B16544" w:rsidP="00B16544">
            <w:pPr>
              <w:pStyle w:val="texto0"/>
              <w:spacing w:after="60" w:line="220" w:lineRule="exact"/>
              <w:ind w:firstLine="0"/>
              <w:rPr>
                <w:rFonts w:ascii="Verdana" w:hAnsi="Verdana"/>
                <w:b/>
                <w:sz w:val="16"/>
                <w:szCs w:val="16"/>
                <w:lang w:val="en-US"/>
              </w:rPr>
            </w:pPr>
            <w:r w:rsidRPr="00F01347">
              <w:rPr>
                <w:rFonts w:ascii="Verdana" w:hAnsi="Verdana"/>
                <w:b/>
                <w:sz w:val="16"/>
                <w:szCs w:val="16"/>
                <w:lang w:val="en-US"/>
              </w:rPr>
              <w:t>B.2.1.3 Equipment and materials</w:t>
            </w:r>
          </w:p>
        </w:tc>
      </w:tr>
      <w:tr w:rsidR="00B16544" w:rsidRPr="00F01347" w14:paraId="34260AB4" w14:textId="02EAABFD" w:rsidTr="00B21DA6">
        <w:tc>
          <w:tcPr>
            <w:tcW w:w="4675" w:type="dxa"/>
          </w:tcPr>
          <w:p w14:paraId="78321394" w14:textId="77777777" w:rsidR="00B16544" w:rsidRPr="00F01347" w:rsidRDefault="00B16544" w:rsidP="00B16544">
            <w:pPr>
              <w:pStyle w:val="texto0"/>
              <w:spacing w:after="60" w:line="220" w:lineRule="exact"/>
              <w:ind w:firstLine="0"/>
              <w:rPr>
                <w:rFonts w:ascii="Verdana" w:hAnsi="Verdana"/>
                <w:sz w:val="16"/>
                <w:szCs w:val="16"/>
              </w:rPr>
            </w:pPr>
            <w:r w:rsidRPr="00F01347">
              <w:rPr>
                <w:rFonts w:ascii="Verdana" w:hAnsi="Verdana"/>
                <w:sz w:val="16"/>
                <w:szCs w:val="16"/>
              </w:rPr>
              <w:lastRenderedPageBreak/>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Pr>
          <w:p w14:paraId="7FD4C466" w14:textId="452A537A" w:rsidR="00B16544" w:rsidRPr="00F01347" w:rsidRDefault="00B16544" w:rsidP="00B16544">
            <w:pPr>
              <w:pStyle w:val="texto0"/>
              <w:spacing w:after="60" w:line="220" w:lineRule="exact"/>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B16544" w:rsidRPr="00F01347" w14:paraId="5E953050" w14:textId="56733F87" w:rsidTr="00B21DA6">
        <w:tc>
          <w:tcPr>
            <w:tcW w:w="4675" w:type="dxa"/>
          </w:tcPr>
          <w:p w14:paraId="327571A2" w14:textId="77777777" w:rsidR="00B16544" w:rsidRPr="00F01347" w:rsidRDefault="00B16544" w:rsidP="00B16544">
            <w:pPr>
              <w:pStyle w:val="texto0"/>
              <w:spacing w:after="66" w:line="220" w:lineRule="exact"/>
              <w:ind w:firstLine="0"/>
              <w:rPr>
                <w:rFonts w:ascii="Verdana" w:hAnsi="Verdana"/>
                <w:sz w:val="16"/>
                <w:szCs w:val="16"/>
              </w:rPr>
            </w:pPr>
            <w:r w:rsidRPr="00F01347">
              <w:rPr>
                <w:rFonts w:ascii="Verdana" w:hAnsi="Verdana"/>
                <w:b/>
                <w:sz w:val="16"/>
                <w:szCs w:val="16"/>
              </w:rPr>
              <w:t>Bolsas para muestreo</w:t>
            </w:r>
            <w:r w:rsidRPr="00F01347">
              <w:rPr>
                <w:rFonts w:ascii="Verdana" w:hAnsi="Verdana"/>
                <w:sz w:val="16"/>
                <w:szCs w:val="16"/>
              </w:rPr>
              <w:t xml:space="preserve"> de cierre hermético de 1 600 a 3 000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1E58F171" w14:textId="0DA1E598" w:rsidR="00B16544" w:rsidRPr="00F01347" w:rsidRDefault="005D07D9" w:rsidP="00B16544">
            <w:pPr>
              <w:pStyle w:val="texto0"/>
              <w:spacing w:after="66" w:line="220" w:lineRule="exact"/>
              <w:ind w:firstLine="0"/>
              <w:rPr>
                <w:rFonts w:ascii="Verdana" w:hAnsi="Verdana"/>
                <w:b/>
                <w:sz w:val="16"/>
                <w:szCs w:val="16"/>
                <w:lang w:val="en-US"/>
              </w:rPr>
            </w:pPr>
            <w:r w:rsidRPr="00F01347">
              <w:rPr>
                <w:rFonts w:ascii="Verdana" w:hAnsi="Verdana"/>
                <w:b/>
                <w:sz w:val="16"/>
                <w:szCs w:val="16"/>
                <w:lang w:val="en-US"/>
              </w:rPr>
              <w:t>S</w:t>
            </w:r>
            <w:r w:rsidR="00B16544" w:rsidRPr="00F01347">
              <w:rPr>
                <w:rFonts w:ascii="Verdana" w:hAnsi="Verdana"/>
                <w:b/>
                <w:sz w:val="16"/>
                <w:szCs w:val="16"/>
                <w:lang w:val="en-US"/>
              </w:rPr>
              <w:t xml:space="preserve">ampling bags </w:t>
            </w:r>
            <w:r w:rsidR="00B16544" w:rsidRPr="00F01347">
              <w:rPr>
                <w:rFonts w:ascii="Verdana" w:hAnsi="Verdana"/>
                <w:sz w:val="16"/>
                <w:szCs w:val="16"/>
                <w:lang w:val="en-US"/>
              </w:rPr>
              <w:t>from 1,600 to 3,000 mL</w:t>
            </w:r>
            <w:r w:rsidR="003E1BA9" w:rsidRPr="00F01347">
              <w:rPr>
                <w:rFonts w:ascii="Verdana" w:hAnsi="Verdana"/>
                <w:sz w:val="16"/>
                <w:szCs w:val="16"/>
                <w:lang w:val="en-US"/>
              </w:rPr>
              <w:t>.</w:t>
            </w:r>
          </w:p>
        </w:tc>
      </w:tr>
      <w:tr w:rsidR="00B16544" w:rsidRPr="00F01347" w14:paraId="5B609405" w14:textId="3B35B194" w:rsidTr="00B21DA6">
        <w:tc>
          <w:tcPr>
            <w:tcW w:w="4675" w:type="dxa"/>
          </w:tcPr>
          <w:p w14:paraId="1C6B4C73" w14:textId="77777777" w:rsidR="00B16544" w:rsidRPr="00F01347" w:rsidRDefault="00B16544" w:rsidP="00B16544">
            <w:pPr>
              <w:pStyle w:val="texto0"/>
              <w:spacing w:after="66" w:line="220" w:lineRule="exact"/>
              <w:ind w:firstLine="0"/>
              <w:rPr>
                <w:rFonts w:ascii="Verdana" w:hAnsi="Verdana"/>
                <w:sz w:val="16"/>
                <w:szCs w:val="16"/>
              </w:rPr>
            </w:pPr>
            <w:r w:rsidRPr="00F01347">
              <w:rPr>
                <w:rFonts w:ascii="Verdana" w:hAnsi="Verdana"/>
                <w:b/>
                <w:sz w:val="16"/>
                <w:szCs w:val="16"/>
              </w:rPr>
              <w:t>Conexión hembra para manguera</w:t>
            </w:r>
            <w:r w:rsidRPr="00F01347">
              <w:rPr>
                <w:rFonts w:ascii="Verdana" w:hAnsi="Verdana"/>
                <w:sz w:val="16"/>
                <w:szCs w:val="16"/>
              </w:rPr>
              <w:t xml:space="preserve"> con rosca.</w:t>
            </w:r>
          </w:p>
        </w:tc>
        <w:tc>
          <w:tcPr>
            <w:tcW w:w="4675" w:type="dxa"/>
          </w:tcPr>
          <w:p w14:paraId="15EA427A" w14:textId="0E0D65C9" w:rsidR="00B16544" w:rsidRPr="00F01347" w:rsidRDefault="00B16544" w:rsidP="00B16544">
            <w:pPr>
              <w:pStyle w:val="texto0"/>
              <w:spacing w:after="66" w:line="220" w:lineRule="exact"/>
              <w:ind w:firstLine="0"/>
              <w:rPr>
                <w:rFonts w:ascii="Verdana" w:hAnsi="Verdana"/>
                <w:b/>
                <w:sz w:val="16"/>
                <w:szCs w:val="16"/>
                <w:lang w:val="en-US"/>
              </w:rPr>
            </w:pPr>
            <w:r w:rsidRPr="00F01347">
              <w:rPr>
                <w:rFonts w:ascii="Verdana" w:hAnsi="Verdana"/>
                <w:b/>
                <w:sz w:val="16"/>
                <w:szCs w:val="16"/>
                <w:lang w:val="en-US"/>
              </w:rPr>
              <w:t xml:space="preserve">Female connection for </w:t>
            </w:r>
            <w:proofErr w:type="spellStart"/>
            <w:r w:rsidRPr="00F01347">
              <w:rPr>
                <w:rFonts w:ascii="Verdana" w:hAnsi="Verdana"/>
                <w:b/>
                <w:sz w:val="16"/>
                <w:szCs w:val="16"/>
                <w:lang w:val="en-US"/>
              </w:rPr>
              <w:t>hose</w:t>
            </w:r>
            <w:proofErr w:type="spellEnd"/>
            <w:r w:rsidRPr="00F01347">
              <w:rPr>
                <w:rFonts w:ascii="Verdana" w:hAnsi="Verdana"/>
                <w:b/>
                <w:sz w:val="16"/>
                <w:szCs w:val="16"/>
                <w:lang w:val="en-US"/>
              </w:rPr>
              <w:t xml:space="preserve"> </w:t>
            </w:r>
            <w:r w:rsidRPr="00F01347">
              <w:rPr>
                <w:rFonts w:ascii="Verdana" w:hAnsi="Verdana"/>
                <w:sz w:val="16"/>
                <w:szCs w:val="16"/>
                <w:lang w:val="en-US"/>
              </w:rPr>
              <w:t>with thread.</w:t>
            </w:r>
          </w:p>
        </w:tc>
      </w:tr>
      <w:tr w:rsidR="00B16544" w:rsidRPr="00F01347" w14:paraId="6C1E451D" w14:textId="3777298F" w:rsidTr="00B21DA6">
        <w:tc>
          <w:tcPr>
            <w:tcW w:w="4675" w:type="dxa"/>
          </w:tcPr>
          <w:p w14:paraId="231B5F28" w14:textId="77777777" w:rsidR="00B16544" w:rsidRPr="00F01347" w:rsidRDefault="00B16544" w:rsidP="00B16544">
            <w:pPr>
              <w:pStyle w:val="texto0"/>
              <w:spacing w:after="66" w:line="220" w:lineRule="exact"/>
              <w:ind w:firstLine="0"/>
              <w:rPr>
                <w:rFonts w:ascii="Verdana" w:hAnsi="Verdana"/>
                <w:sz w:val="16"/>
                <w:szCs w:val="16"/>
              </w:rPr>
            </w:pPr>
            <w:r w:rsidRPr="00F01347">
              <w:rPr>
                <w:rFonts w:ascii="Verdana" w:hAnsi="Verdana"/>
                <w:b/>
                <w:sz w:val="16"/>
                <w:szCs w:val="16"/>
              </w:rPr>
              <w:t>Conexión macho para manguera</w:t>
            </w:r>
            <w:r w:rsidRPr="00F01347">
              <w:rPr>
                <w:rFonts w:ascii="Verdana" w:hAnsi="Verdana"/>
                <w:sz w:val="16"/>
                <w:szCs w:val="16"/>
              </w:rPr>
              <w:t xml:space="preserve"> con rosca o conexiones de ensamble rápido macho y hembra, para el módulo de entrada (los diámetros de las conexiones y el tipo de rosca dependerán de las medidas del </w:t>
            </w:r>
            <w:proofErr w:type="spellStart"/>
            <w:r w:rsidRPr="00F01347">
              <w:rPr>
                <w:rFonts w:ascii="Verdana" w:hAnsi="Verdana"/>
                <w:sz w:val="16"/>
                <w:szCs w:val="16"/>
              </w:rPr>
              <w:t>portacartucho</w:t>
            </w:r>
            <w:proofErr w:type="spellEnd"/>
            <w:r w:rsidRPr="00F01347">
              <w:rPr>
                <w:rFonts w:ascii="Verdana" w:hAnsi="Verdana"/>
                <w:sz w:val="16"/>
                <w:szCs w:val="16"/>
              </w:rPr>
              <w:t xml:space="preserve"> que utilice).</w:t>
            </w:r>
          </w:p>
        </w:tc>
        <w:tc>
          <w:tcPr>
            <w:tcW w:w="4675" w:type="dxa"/>
          </w:tcPr>
          <w:p w14:paraId="71822717" w14:textId="4A1FB959" w:rsidR="00B16544" w:rsidRPr="00F01347" w:rsidRDefault="00B16544" w:rsidP="00B16544">
            <w:pPr>
              <w:pStyle w:val="texto0"/>
              <w:spacing w:after="66" w:line="220" w:lineRule="exact"/>
              <w:ind w:firstLine="0"/>
              <w:rPr>
                <w:rFonts w:ascii="Verdana" w:hAnsi="Verdana"/>
                <w:b/>
                <w:sz w:val="16"/>
                <w:szCs w:val="16"/>
                <w:lang w:val="en-US"/>
              </w:rPr>
            </w:pPr>
            <w:r w:rsidRPr="00F01347">
              <w:rPr>
                <w:rFonts w:ascii="Verdana" w:hAnsi="Verdana"/>
                <w:b/>
                <w:sz w:val="16"/>
                <w:szCs w:val="16"/>
                <w:lang w:val="en-US"/>
              </w:rPr>
              <w:t xml:space="preserve">Male connection for </w:t>
            </w:r>
            <w:proofErr w:type="spellStart"/>
            <w:r w:rsidRPr="00F01347">
              <w:rPr>
                <w:rFonts w:ascii="Verdana" w:hAnsi="Verdana"/>
                <w:b/>
                <w:sz w:val="16"/>
                <w:szCs w:val="16"/>
                <w:lang w:val="en-US"/>
              </w:rPr>
              <w:t>hose</w:t>
            </w:r>
            <w:proofErr w:type="spellEnd"/>
            <w:r w:rsidRPr="00F01347">
              <w:rPr>
                <w:rFonts w:ascii="Verdana" w:hAnsi="Verdana"/>
                <w:b/>
                <w:sz w:val="16"/>
                <w:szCs w:val="16"/>
                <w:lang w:val="en-US"/>
              </w:rPr>
              <w:t xml:space="preserve"> </w:t>
            </w:r>
            <w:r w:rsidRPr="00F01347">
              <w:rPr>
                <w:rFonts w:ascii="Verdana" w:hAnsi="Verdana"/>
                <w:sz w:val="16"/>
                <w:szCs w:val="16"/>
                <w:lang w:val="en-US"/>
              </w:rPr>
              <w:t xml:space="preserve">with thread or male and female quick assembly connections, for the inlet module (the diameters of the connections and the type of thread will depend on the measurements of the cartridge holder </w:t>
            </w:r>
            <w:r w:rsidR="004A6BE5" w:rsidRPr="00F01347">
              <w:rPr>
                <w:rFonts w:ascii="Verdana" w:hAnsi="Verdana"/>
                <w:sz w:val="16"/>
                <w:szCs w:val="16"/>
                <w:lang w:val="en-US"/>
              </w:rPr>
              <w:t>one</w:t>
            </w:r>
            <w:r w:rsidRPr="00F01347">
              <w:rPr>
                <w:rFonts w:ascii="Verdana" w:hAnsi="Verdana"/>
                <w:sz w:val="16"/>
                <w:szCs w:val="16"/>
                <w:lang w:val="en-US"/>
              </w:rPr>
              <w:t xml:space="preserve"> use).</w:t>
            </w:r>
          </w:p>
        </w:tc>
      </w:tr>
      <w:tr w:rsidR="00B16544" w:rsidRPr="00F01347" w14:paraId="3A4F9403" w14:textId="2891DBE1" w:rsidTr="00B21DA6">
        <w:tc>
          <w:tcPr>
            <w:tcW w:w="4675" w:type="dxa"/>
          </w:tcPr>
          <w:p w14:paraId="604E6397" w14:textId="77777777" w:rsidR="00B16544" w:rsidRPr="00F01347" w:rsidRDefault="00B16544" w:rsidP="00B16544">
            <w:pPr>
              <w:pStyle w:val="texto0"/>
              <w:spacing w:after="66" w:line="220" w:lineRule="exact"/>
              <w:ind w:firstLine="0"/>
              <w:rPr>
                <w:rFonts w:ascii="Verdana" w:hAnsi="Verdana"/>
                <w:sz w:val="16"/>
                <w:szCs w:val="16"/>
              </w:rPr>
            </w:pPr>
            <w:r w:rsidRPr="00F01347">
              <w:rPr>
                <w:rFonts w:ascii="Verdana" w:hAnsi="Verdana"/>
                <w:b/>
                <w:sz w:val="16"/>
                <w:szCs w:val="16"/>
              </w:rPr>
              <w:t>Hielera</w:t>
            </w:r>
            <w:r w:rsidRPr="00F01347">
              <w:rPr>
                <w:rFonts w:ascii="Verdana" w:hAnsi="Verdana"/>
                <w:sz w:val="16"/>
                <w:szCs w:val="16"/>
              </w:rPr>
              <w:t xml:space="preserve"> de tamaño adecuado para la cantidad de muestras a transportar.</w:t>
            </w:r>
          </w:p>
        </w:tc>
        <w:tc>
          <w:tcPr>
            <w:tcW w:w="4675" w:type="dxa"/>
          </w:tcPr>
          <w:p w14:paraId="7EAD0959" w14:textId="2883D9C9" w:rsidR="00B16544" w:rsidRPr="00F01347" w:rsidRDefault="00B16544" w:rsidP="00B16544">
            <w:pPr>
              <w:pStyle w:val="texto0"/>
              <w:spacing w:after="66" w:line="220" w:lineRule="exact"/>
              <w:ind w:firstLine="0"/>
              <w:rPr>
                <w:rFonts w:ascii="Verdana" w:hAnsi="Verdana"/>
                <w:b/>
                <w:sz w:val="16"/>
                <w:szCs w:val="16"/>
                <w:lang w:val="en-US"/>
              </w:rPr>
            </w:pPr>
            <w:r w:rsidRPr="00F01347">
              <w:rPr>
                <w:rFonts w:ascii="Verdana" w:hAnsi="Verdana"/>
                <w:b/>
                <w:sz w:val="16"/>
                <w:szCs w:val="16"/>
                <w:lang w:val="en-US"/>
              </w:rPr>
              <w:t xml:space="preserve">Cooler </w:t>
            </w:r>
            <w:r w:rsidRPr="00F01347">
              <w:rPr>
                <w:rFonts w:ascii="Verdana" w:hAnsi="Verdana"/>
                <w:sz w:val="16"/>
                <w:szCs w:val="16"/>
                <w:lang w:val="en-US"/>
              </w:rPr>
              <w:t>of</w:t>
            </w:r>
            <w:r w:rsidR="005D07D9" w:rsidRPr="00F01347">
              <w:rPr>
                <w:rFonts w:ascii="Verdana" w:hAnsi="Verdana"/>
                <w:sz w:val="16"/>
                <w:szCs w:val="16"/>
                <w:lang w:val="en-US"/>
              </w:rPr>
              <w:t xml:space="preserve"> an</w:t>
            </w:r>
            <w:r w:rsidRPr="00F01347">
              <w:rPr>
                <w:rFonts w:ascii="Verdana" w:hAnsi="Verdana"/>
                <w:sz w:val="16"/>
                <w:szCs w:val="16"/>
                <w:lang w:val="en-US"/>
              </w:rPr>
              <w:t xml:space="preserve"> adequate size for the number of samples to be transported.</w:t>
            </w:r>
          </w:p>
        </w:tc>
      </w:tr>
      <w:tr w:rsidR="00B16544" w:rsidRPr="00F01347" w14:paraId="5CECAD8E" w14:textId="5C955FA2" w:rsidTr="00B21DA6">
        <w:tc>
          <w:tcPr>
            <w:tcW w:w="4675" w:type="dxa"/>
          </w:tcPr>
          <w:p w14:paraId="19EE101B" w14:textId="77777777" w:rsidR="00B16544" w:rsidRPr="00F01347" w:rsidRDefault="00B16544" w:rsidP="00B16544">
            <w:pPr>
              <w:pStyle w:val="texto0"/>
              <w:spacing w:after="66" w:line="220" w:lineRule="exact"/>
              <w:ind w:firstLine="0"/>
              <w:rPr>
                <w:rFonts w:ascii="Verdana" w:hAnsi="Verdana"/>
                <w:b/>
                <w:sz w:val="16"/>
                <w:szCs w:val="16"/>
              </w:rPr>
            </w:pPr>
            <w:r w:rsidRPr="00F01347">
              <w:rPr>
                <w:rFonts w:ascii="Verdana" w:hAnsi="Verdana"/>
                <w:b/>
                <w:sz w:val="16"/>
                <w:szCs w:val="16"/>
              </w:rPr>
              <w:t>Llave para limitar el flujo de salida</w:t>
            </w:r>
          </w:p>
        </w:tc>
        <w:tc>
          <w:tcPr>
            <w:tcW w:w="4675" w:type="dxa"/>
          </w:tcPr>
          <w:p w14:paraId="6982A723" w14:textId="789E1204" w:rsidR="00B16544" w:rsidRPr="00F01347" w:rsidRDefault="00B16544" w:rsidP="00B16544">
            <w:pPr>
              <w:pStyle w:val="texto0"/>
              <w:spacing w:after="66" w:line="220" w:lineRule="exact"/>
              <w:ind w:firstLine="0"/>
              <w:rPr>
                <w:rFonts w:ascii="Verdana" w:hAnsi="Verdana"/>
                <w:b/>
                <w:sz w:val="16"/>
                <w:szCs w:val="16"/>
                <w:lang w:val="en-US"/>
              </w:rPr>
            </w:pPr>
            <w:r w:rsidRPr="00F01347">
              <w:rPr>
                <w:rFonts w:ascii="Verdana" w:hAnsi="Verdana"/>
                <w:b/>
                <w:sz w:val="16"/>
                <w:szCs w:val="16"/>
                <w:lang w:val="en-US"/>
              </w:rPr>
              <w:t>Outflow limiting valve</w:t>
            </w:r>
          </w:p>
        </w:tc>
      </w:tr>
      <w:tr w:rsidR="00B16544" w:rsidRPr="00F01347" w14:paraId="4CF00E05" w14:textId="44361F62" w:rsidTr="00B21DA6">
        <w:tc>
          <w:tcPr>
            <w:tcW w:w="4675" w:type="dxa"/>
          </w:tcPr>
          <w:p w14:paraId="7ECB00F1" w14:textId="77777777" w:rsidR="00B16544" w:rsidRPr="00F01347" w:rsidRDefault="00B16544" w:rsidP="00B16544">
            <w:pPr>
              <w:pStyle w:val="texto0"/>
              <w:spacing w:after="66" w:line="220" w:lineRule="exact"/>
              <w:ind w:firstLine="0"/>
              <w:rPr>
                <w:rFonts w:ascii="Verdana" w:hAnsi="Verdana"/>
                <w:sz w:val="16"/>
                <w:szCs w:val="16"/>
              </w:rPr>
            </w:pPr>
            <w:r w:rsidRPr="00F01347">
              <w:rPr>
                <w:rFonts w:ascii="Verdana" w:hAnsi="Verdana"/>
                <w:b/>
                <w:sz w:val="16"/>
                <w:szCs w:val="16"/>
              </w:rPr>
              <w:t>Manguera de jardín</w:t>
            </w:r>
            <w:r w:rsidRPr="00F01347">
              <w:rPr>
                <w:rFonts w:ascii="Verdana" w:hAnsi="Verdana"/>
                <w:sz w:val="16"/>
                <w:szCs w:val="16"/>
              </w:rPr>
              <w:t>, transparente (longitud suficiente para realizar las conexiones de entrada y descarga).</w:t>
            </w:r>
          </w:p>
        </w:tc>
        <w:tc>
          <w:tcPr>
            <w:tcW w:w="4675" w:type="dxa"/>
          </w:tcPr>
          <w:p w14:paraId="6B5EDC2C" w14:textId="31C23C1B" w:rsidR="00B16544" w:rsidRPr="00F01347" w:rsidRDefault="00B16544" w:rsidP="00B16544">
            <w:pPr>
              <w:pStyle w:val="texto0"/>
              <w:spacing w:after="66" w:line="220" w:lineRule="exact"/>
              <w:ind w:firstLine="0"/>
              <w:rPr>
                <w:rFonts w:ascii="Verdana" w:hAnsi="Verdana"/>
                <w:b/>
                <w:sz w:val="16"/>
                <w:szCs w:val="16"/>
                <w:lang w:val="en-US"/>
              </w:rPr>
            </w:pPr>
            <w:r w:rsidRPr="00F01347">
              <w:rPr>
                <w:rFonts w:ascii="Verdana" w:hAnsi="Verdana"/>
                <w:b/>
                <w:sz w:val="16"/>
                <w:szCs w:val="16"/>
                <w:lang w:val="en-US"/>
              </w:rPr>
              <w:t>Garden hose</w:t>
            </w:r>
            <w:r w:rsidR="003E1BA9" w:rsidRPr="00F01347">
              <w:rPr>
                <w:rFonts w:ascii="Verdana" w:hAnsi="Verdana"/>
                <w:b/>
                <w:sz w:val="16"/>
                <w:szCs w:val="16"/>
                <w:lang w:val="en-US"/>
              </w:rPr>
              <w:t>,</w:t>
            </w:r>
            <w:r w:rsidRPr="00F01347">
              <w:rPr>
                <w:rFonts w:ascii="Verdana" w:hAnsi="Verdana"/>
                <w:sz w:val="16"/>
                <w:szCs w:val="16"/>
                <w:lang w:val="en-US"/>
              </w:rPr>
              <w:t xml:space="preserve"> transparent (sufficient length to make the inlet and discharge connections).</w:t>
            </w:r>
          </w:p>
        </w:tc>
      </w:tr>
      <w:tr w:rsidR="00B16544" w:rsidRPr="00F01347" w14:paraId="0692693F" w14:textId="007C4C64" w:rsidTr="00B21DA6">
        <w:tc>
          <w:tcPr>
            <w:tcW w:w="4675" w:type="dxa"/>
          </w:tcPr>
          <w:p w14:paraId="3056A205" w14:textId="77777777" w:rsidR="00B16544" w:rsidRPr="00F01347" w:rsidRDefault="00B16544" w:rsidP="00B16544">
            <w:pPr>
              <w:pStyle w:val="texto0"/>
              <w:spacing w:after="66" w:line="220" w:lineRule="exact"/>
              <w:ind w:firstLine="0"/>
              <w:rPr>
                <w:rFonts w:ascii="Verdana" w:hAnsi="Verdana"/>
                <w:sz w:val="16"/>
                <w:szCs w:val="16"/>
              </w:rPr>
            </w:pPr>
            <w:r w:rsidRPr="00F01347">
              <w:rPr>
                <w:rFonts w:ascii="Verdana" w:hAnsi="Verdana"/>
                <w:b/>
                <w:sz w:val="16"/>
                <w:szCs w:val="16"/>
              </w:rPr>
              <w:t xml:space="preserve">Material filtrante. </w:t>
            </w:r>
            <w:r w:rsidRPr="00F01347">
              <w:rPr>
                <w:rFonts w:ascii="Verdana" w:hAnsi="Verdana"/>
                <w:sz w:val="16"/>
                <w:szCs w:val="16"/>
              </w:rPr>
              <w:t>Puede ser un cartucho filtrante de hilo encordado (de fibras acrílicas, de polipropileno u otro material disponible que no libere fibras) de 25 cm de longitud y una porosidad de 1 µm o pueden utilizarse membranas de filtración con poro de 1 µm. El uso de un cartucho filtrante de hilo o de una membrana de filtración dependerá del dispositivo de muestreo que se ensamble.</w:t>
            </w:r>
          </w:p>
        </w:tc>
        <w:tc>
          <w:tcPr>
            <w:tcW w:w="4675" w:type="dxa"/>
          </w:tcPr>
          <w:p w14:paraId="3B8B5971" w14:textId="499A311F" w:rsidR="00B16544" w:rsidRPr="00F01347" w:rsidRDefault="00B16544" w:rsidP="00B16544">
            <w:pPr>
              <w:pStyle w:val="texto0"/>
              <w:spacing w:after="66" w:line="220" w:lineRule="exact"/>
              <w:ind w:firstLine="0"/>
              <w:rPr>
                <w:rFonts w:ascii="Verdana" w:hAnsi="Verdana"/>
                <w:b/>
                <w:sz w:val="16"/>
                <w:szCs w:val="16"/>
                <w:lang w:val="en-US"/>
              </w:rPr>
            </w:pPr>
            <w:r w:rsidRPr="00F01347">
              <w:rPr>
                <w:rFonts w:ascii="Verdana" w:hAnsi="Verdana"/>
                <w:b/>
                <w:sz w:val="16"/>
                <w:szCs w:val="16"/>
                <w:lang w:val="en-US"/>
              </w:rPr>
              <w:t xml:space="preserve">Filter material. </w:t>
            </w:r>
            <w:r w:rsidRPr="00F01347">
              <w:rPr>
                <w:rFonts w:ascii="Verdana" w:hAnsi="Verdana"/>
                <w:sz w:val="16"/>
                <w:szCs w:val="16"/>
                <w:lang w:val="en-US"/>
              </w:rPr>
              <w:t>It can be a strung thread filter cartridge (made of acrylic fibers, polypropylene or other available material that does not release fibers) of 25 cm in length and a porosity of 1 µm or filtration membranes with a pore size of 1 µm can be used. The use of a thread filter cartridge or a filtration membrane will depend on the sampling device being assembled.</w:t>
            </w:r>
          </w:p>
        </w:tc>
      </w:tr>
      <w:tr w:rsidR="00B16544" w:rsidRPr="00F01347" w14:paraId="5050E4FA" w14:textId="4FE177BD" w:rsidTr="00B21DA6">
        <w:tc>
          <w:tcPr>
            <w:tcW w:w="4675" w:type="dxa"/>
          </w:tcPr>
          <w:p w14:paraId="39DC37AE" w14:textId="77777777" w:rsidR="00B16544" w:rsidRPr="00F01347" w:rsidRDefault="00B16544" w:rsidP="00B16544">
            <w:pPr>
              <w:pStyle w:val="texto0"/>
              <w:spacing w:after="66" w:line="220" w:lineRule="exact"/>
              <w:ind w:firstLine="0"/>
              <w:rPr>
                <w:rFonts w:ascii="Verdana" w:hAnsi="Verdana"/>
                <w:b/>
                <w:sz w:val="16"/>
                <w:szCs w:val="16"/>
              </w:rPr>
            </w:pPr>
            <w:r w:rsidRPr="00F01347">
              <w:rPr>
                <w:rFonts w:ascii="Verdana" w:hAnsi="Verdana"/>
                <w:b/>
                <w:sz w:val="16"/>
                <w:szCs w:val="16"/>
              </w:rPr>
              <w:t>Medidor de flujo</w:t>
            </w:r>
          </w:p>
        </w:tc>
        <w:tc>
          <w:tcPr>
            <w:tcW w:w="4675" w:type="dxa"/>
          </w:tcPr>
          <w:p w14:paraId="17BB7A4F" w14:textId="3B5B57B7" w:rsidR="00B16544" w:rsidRPr="00F01347" w:rsidRDefault="00B16544" w:rsidP="00B16544">
            <w:pPr>
              <w:pStyle w:val="texto0"/>
              <w:spacing w:after="66" w:line="220" w:lineRule="exact"/>
              <w:ind w:firstLine="0"/>
              <w:rPr>
                <w:rFonts w:ascii="Verdana" w:hAnsi="Verdana"/>
                <w:b/>
                <w:sz w:val="16"/>
                <w:szCs w:val="16"/>
                <w:lang w:val="en-US"/>
              </w:rPr>
            </w:pPr>
            <w:r w:rsidRPr="00F01347">
              <w:rPr>
                <w:rFonts w:ascii="Verdana" w:hAnsi="Verdana"/>
                <w:b/>
                <w:sz w:val="16"/>
                <w:szCs w:val="16"/>
                <w:lang w:val="en-US"/>
              </w:rPr>
              <w:t>Flowmeter</w:t>
            </w:r>
          </w:p>
        </w:tc>
      </w:tr>
      <w:tr w:rsidR="00B16544" w:rsidRPr="00F01347" w14:paraId="5A186290" w14:textId="4004E3FF" w:rsidTr="00B21DA6">
        <w:tc>
          <w:tcPr>
            <w:tcW w:w="4675" w:type="dxa"/>
          </w:tcPr>
          <w:p w14:paraId="4A6D31B2" w14:textId="77777777" w:rsidR="00B16544" w:rsidRPr="00F01347" w:rsidRDefault="00B16544" w:rsidP="00B16544">
            <w:pPr>
              <w:pStyle w:val="texto0"/>
              <w:spacing w:after="66" w:line="220" w:lineRule="exact"/>
              <w:ind w:firstLine="0"/>
              <w:rPr>
                <w:rFonts w:ascii="Verdana" w:hAnsi="Verdana"/>
                <w:sz w:val="16"/>
                <w:szCs w:val="16"/>
              </w:rPr>
            </w:pPr>
            <w:r w:rsidRPr="00F01347">
              <w:rPr>
                <w:rFonts w:ascii="Verdana" w:hAnsi="Verdana"/>
                <w:b/>
                <w:sz w:val="16"/>
                <w:szCs w:val="16"/>
              </w:rPr>
              <w:t xml:space="preserve">Motobomba </w:t>
            </w:r>
            <w:r w:rsidRPr="00F01347">
              <w:rPr>
                <w:rFonts w:ascii="Verdana" w:hAnsi="Verdana"/>
                <w:sz w:val="16"/>
                <w:szCs w:val="16"/>
              </w:rPr>
              <w:t xml:space="preserve">de gasolina o eléctrica, en caso de que la muestra deba colectarse de tanques, estanques de almacenamiento o desde flujos después de la potabilización que no permitan la toma de muestra mediante una conexión o dispositivo de muestreo en la planta de potabilización, o bien, cuando la presión en la línea sea menor a 100 </w:t>
            </w:r>
            <w:proofErr w:type="spellStart"/>
            <w:r w:rsidRPr="00F01347">
              <w:rPr>
                <w:rFonts w:ascii="Verdana" w:hAnsi="Verdana"/>
                <w:sz w:val="16"/>
                <w:szCs w:val="16"/>
              </w:rPr>
              <w:t>kilopascales</w:t>
            </w:r>
            <w:proofErr w:type="spellEnd"/>
            <w:r w:rsidRPr="00F01347">
              <w:rPr>
                <w:rFonts w:ascii="Verdana" w:hAnsi="Verdana"/>
                <w:sz w:val="16"/>
                <w:szCs w:val="16"/>
              </w:rPr>
              <w:t xml:space="preserve"> (kPa). La motobomba debe ser instalada al final del módulo de salida para evitar el riesgo de contaminación cruzada de muestras previamente filtradas.</w:t>
            </w:r>
          </w:p>
        </w:tc>
        <w:tc>
          <w:tcPr>
            <w:tcW w:w="4675" w:type="dxa"/>
          </w:tcPr>
          <w:p w14:paraId="16AB77D2" w14:textId="1610F792" w:rsidR="00B16544" w:rsidRPr="00F01347" w:rsidRDefault="005D07D9" w:rsidP="00B16544">
            <w:pPr>
              <w:pStyle w:val="texto0"/>
              <w:spacing w:after="66" w:line="220" w:lineRule="exact"/>
              <w:ind w:firstLine="0"/>
              <w:rPr>
                <w:rFonts w:ascii="Verdana" w:hAnsi="Verdana"/>
                <w:b/>
                <w:sz w:val="16"/>
                <w:szCs w:val="16"/>
                <w:lang w:val="en-US"/>
              </w:rPr>
            </w:pPr>
            <w:r w:rsidRPr="00F01347">
              <w:rPr>
                <w:rFonts w:ascii="Verdana" w:hAnsi="Verdana"/>
                <w:b/>
                <w:sz w:val="16"/>
                <w:szCs w:val="16"/>
                <w:lang w:val="en-US"/>
              </w:rPr>
              <w:t>M</w:t>
            </w:r>
            <w:r w:rsidR="00B16544" w:rsidRPr="00F01347">
              <w:rPr>
                <w:rFonts w:ascii="Verdana" w:hAnsi="Verdana"/>
                <w:b/>
                <w:sz w:val="16"/>
                <w:szCs w:val="16"/>
                <w:lang w:val="en-US"/>
              </w:rPr>
              <w:t>otor pump</w:t>
            </w:r>
            <w:r w:rsidRPr="00F01347">
              <w:rPr>
                <w:rFonts w:ascii="Verdana" w:hAnsi="Verdana"/>
                <w:b/>
                <w:sz w:val="16"/>
                <w:szCs w:val="16"/>
                <w:lang w:val="en-US"/>
              </w:rPr>
              <w:t xml:space="preserve"> </w:t>
            </w:r>
            <w:r w:rsidRPr="00F01347">
              <w:rPr>
                <w:rFonts w:ascii="Verdana" w:hAnsi="Verdana"/>
                <w:bCs/>
                <w:sz w:val="16"/>
                <w:szCs w:val="16"/>
                <w:lang w:val="en-US"/>
              </w:rPr>
              <w:t>of gasoline or electric</w:t>
            </w:r>
            <w:r w:rsidR="003E1BA9" w:rsidRPr="00F01347">
              <w:rPr>
                <w:rFonts w:ascii="Verdana" w:hAnsi="Verdana"/>
                <w:b/>
                <w:sz w:val="16"/>
                <w:szCs w:val="16"/>
                <w:lang w:val="en-US"/>
              </w:rPr>
              <w:t>,</w:t>
            </w:r>
            <w:r w:rsidR="00B16544" w:rsidRPr="00F01347">
              <w:rPr>
                <w:rFonts w:ascii="Verdana" w:hAnsi="Verdana"/>
                <w:sz w:val="16"/>
                <w:szCs w:val="16"/>
                <w:lang w:val="en-US"/>
              </w:rPr>
              <w:t xml:space="preserve"> in case the sample must be collected from tanks, storage ponds or from flows after purification that do not allow sampling through a connection or sampling device in the purification plant, or, when the pressure in the line is less than 100 kilopascals (kPa). The motor pump must be installed at the end of the output module to avoid the risk of cross-contamination of previously filtered samples.</w:t>
            </w:r>
          </w:p>
        </w:tc>
      </w:tr>
      <w:tr w:rsidR="00B16544" w:rsidRPr="00F01347" w14:paraId="701C7E2E" w14:textId="799EB69A" w:rsidTr="00B21DA6">
        <w:tc>
          <w:tcPr>
            <w:tcW w:w="4675" w:type="dxa"/>
          </w:tcPr>
          <w:p w14:paraId="748A138A" w14:textId="77777777" w:rsidR="00B16544" w:rsidRPr="00F01347" w:rsidRDefault="00B16544" w:rsidP="00B16544">
            <w:pPr>
              <w:pStyle w:val="texto0"/>
              <w:spacing w:after="66" w:line="220" w:lineRule="exact"/>
              <w:ind w:firstLine="0"/>
              <w:rPr>
                <w:rFonts w:ascii="Verdana" w:hAnsi="Verdana"/>
                <w:sz w:val="16"/>
                <w:szCs w:val="16"/>
              </w:rPr>
            </w:pPr>
            <w:r w:rsidRPr="00F01347">
              <w:rPr>
                <w:rFonts w:ascii="Verdana" w:hAnsi="Verdana"/>
                <w:b/>
                <w:sz w:val="16"/>
                <w:szCs w:val="16"/>
              </w:rPr>
              <w:t>Porta cartucho</w:t>
            </w:r>
            <w:r w:rsidRPr="00F01347">
              <w:rPr>
                <w:rFonts w:ascii="Verdana" w:hAnsi="Verdana"/>
                <w:sz w:val="16"/>
                <w:szCs w:val="16"/>
              </w:rPr>
              <w:t xml:space="preserve"> de polietileno, polipropileno, policarbonato u otro material disponible, capaz de contener un filtro cartucho de 25 cm de longitud.</w:t>
            </w:r>
          </w:p>
        </w:tc>
        <w:tc>
          <w:tcPr>
            <w:tcW w:w="4675" w:type="dxa"/>
          </w:tcPr>
          <w:p w14:paraId="58D02B2E" w14:textId="5DD2C7E5" w:rsidR="00B16544" w:rsidRPr="00F01347" w:rsidRDefault="00B16544" w:rsidP="00B16544">
            <w:pPr>
              <w:pStyle w:val="texto0"/>
              <w:spacing w:after="66" w:line="220" w:lineRule="exact"/>
              <w:ind w:firstLine="0"/>
              <w:rPr>
                <w:rFonts w:ascii="Verdana" w:hAnsi="Verdana"/>
                <w:b/>
                <w:sz w:val="16"/>
                <w:szCs w:val="16"/>
                <w:lang w:val="en-US"/>
              </w:rPr>
            </w:pPr>
            <w:r w:rsidRPr="00F01347">
              <w:rPr>
                <w:rFonts w:ascii="Verdana" w:hAnsi="Verdana"/>
                <w:b/>
                <w:sz w:val="16"/>
                <w:szCs w:val="16"/>
                <w:lang w:val="en-US"/>
              </w:rPr>
              <w:t xml:space="preserve">Cartridge holder </w:t>
            </w:r>
            <w:r w:rsidRPr="00F01347">
              <w:rPr>
                <w:rFonts w:ascii="Verdana" w:hAnsi="Verdana"/>
                <w:sz w:val="16"/>
                <w:szCs w:val="16"/>
                <w:lang w:val="en-US"/>
              </w:rPr>
              <w:t xml:space="preserve">made of polyethylene, polypropylene, </w:t>
            </w:r>
            <w:r w:rsidR="005D07D9" w:rsidRPr="00F01347">
              <w:rPr>
                <w:rFonts w:ascii="Verdana" w:hAnsi="Verdana"/>
                <w:sz w:val="16"/>
                <w:szCs w:val="16"/>
                <w:lang w:val="en-US"/>
              </w:rPr>
              <w:t>polycarbonate,</w:t>
            </w:r>
            <w:r w:rsidRPr="00F01347">
              <w:rPr>
                <w:rFonts w:ascii="Verdana" w:hAnsi="Verdana"/>
                <w:sz w:val="16"/>
                <w:szCs w:val="16"/>
                <w:lang w:val="en-US"/>
              </w:rPr>
              <w:t xml:space="preserve"> or other available material, capable of containing a 25 cm long cartridge filter.</w:t>
            </w:r>
          </w:p>
        </w:tc>
      </w:tr>
      <w:tr w:rsidR="00B16544" w:rsidRPr="00F01347" w14:paraId="74B83AFF" w14:textId="00919745" w:rsidTr="00B21DA6">
        <w:tc>
          <w:tcPr>
            <w:tcW w:w="4675" w:type="dxa"/>
          </w:tcPr>
          <w:p w14:paraId="10219E07" w14:textId="77777777" w:rsidR="00B16544" w:rsidRPr="00F01347" w:rsidRDefault="00B16544" w:rsidP="00B16544">
            <w:pPr>
              <w:pStyle w:val="texto0"/>
              <w:spacing w:after="66" w:line="220" w:lineRule="exact"/>
              <w:ind w:firstLine="0"/>
              <w:rPr>
                <w:rFonts w:ascii="Verdana" w:hAnsi="Verdana"/>
                <w:b/>
                <w:sz w:val="16"/>
                <w:szCs w:val="16"/>
              </w:rPr>
            </w:pPr>
            <w:r w:rsidRPr="00F01347">
              <w:rPr>
                <w:rFonts w:ascii="Verdana" w:hAnsi="Verdana"/>
                <w:b/>
                <w:sz w:val="16"/>
                <w:szCs w:val="16"/>
              </w:rPr>
              <w:t>B.2.1.4 Procedimiento</w:t>
            </w:r>
          </w:p>
        </w:tc>
        <w:tc>
          <w:tcPr>
            <w:tcW w:w="4675" w:type="dxa"/>
          </w:tcPr>
          <w:p w14:paraId="6C64ECCF" w14:textId="430C9789" w:rsidR="00B16544" w:rsidRPr="00F01347" w:rsidRDefault="00B16544" w:rsidP="00B16544">
            <w:pPr>
              <w:pStyle w:val="texto0"/>
              <w:spacing w:after="66" w:line="220" w:lineRule="exact"/>
              <w:ind w:firstLine="0"/>
              <w:rPr>
                <w:rFonts w:ascii="Verdana" w:hAnsi="Verdana"/>
                <w:b/>
                <w:sz w:val="16"/>
                <w:szCs w:val="16"/>
                <w:lang w:val="en-US"/>
              </w:rPr>
            </w:pPr>
            <w:r w:rsidRPr="00F01347">
              <w:rPr>
                <w:rFonts w:ascii="Verdana" w:hAnsi="Verdana"/>
                <w:b/>
                <w:sz w:val="16"/>
                <w:szCs w:val="16"/>
                <w:lang w:val="en-US"/>
              </w:rPr>
              <w:t>B.2.1.4 Procedure</w:t>
            </w:r>
          </w:p>
        </w:tc>
      </w:tr>
      <w:tr w:rsidR="00B16544" w:rsidRPr="00F01347" w14:paraId="023AE957" w14:textId="3EB33F03" w:rsidTr="00B21DA6">
        <w:tc>
          <w:tcPr>
            <w:tcW w:w="4675" w:type="dxa"/>
          </w:tcPr>
          <w:p w14:paraId="5ABC3B47" w14:textId="77777777" w:rsidR="00B16544" w:rsidRPr="00F01347" w:rsidRDefault="00B16544" w:rsidP="00B16544">
            <w:pPr>
              <w:pStyle w:val="texto0"/>
              <w:spacing w:after="66" w:line="220" w:lineRule="exact"/>
              <w:ind w:firstLine="0"/>
              <w:rPr>
                <w:rFonts w:ascii="Verdana" w:hAnsi="Verdana"/>
                <w:sz w:val="16"/>
                <w:szCs w:val="16"/>
              </w:rPr>
            </w:pPr>
            <w:r w:rsidRPr="00F01347">
              <w:rPr>
                <w:rFonts w:ascii="Verdana" w:hAnsi="Verdana"/>
                <w:b/>
                <w:sz w:val="16"/>
                <w:szCs w:val="16"/>
              </w:rPr>
              <w:t>B.2.1.4.1</w:t>
            </w:r>
            <w:r w:rsidRPr="00F01347">
              <w:rPr>
                <w:rFonts w:ascii="Verdana" w:hAnsi="Verdana"/>
                <w:sz w:val="16"/>
                <w:szCs w:val="16"/>
              </w:rPr>
              <w:t xml:space="preserve"> Procedimiento de muestreo</w:t>
            </w:r>
          </w:p>
        </w:tc>
        <w:tc>
          <w:tcPr>
            <w:tcW w:w="4675" w:type="dxa"/>
          </w:tcPr>
          <w:p w14:paraId="7D8539E4" w14:textId="551E4C1E" w:rsidR="00B16544" w:rsidRPr="00F01347" w:rsidRDefault="00B16544" w:rsidP="00B16544">
            <w:pPr>
              <w:pStyle w:val="texto0"/>
              <w:spacing w:after="66" w:line="220" w:lineRule="exact"/>
              <w:ind w:firstLine="0"/>
              <w:rPr>
                <w:rFonts w:ascii="Verdana" w:hAnsi="Verdana"/>
                <w:b/>
                <w:sz w:val="16"/>
                <w:szCs w:val="16"/>
                <w:lang w:val="en-US"/>
              </w:rPr>
            </w:pPr>
            <w:r w:rsidRPr="00F01347">
              <w:rPr>
                <w:rFonts w:ascii="Verdana" w:hAnsi="Verdana"/>
                <w:b/>
                <w:sz w:val="16"/>
                <w:szCs w:val="16"/>
                <w:lang w:val="en-US"/>
              </w:rPr>
              <w:t xml:space="preserve">B.2.1.4.1 </w:t>
            </w:r>
            <w:r w:rsidRPr="00F01347">
              <w:rPr>
                <w:rFonts w:ascii="Verdana" w:hAnsi="Verdana"/>
                <w:sz w:val="16"/>
                <w:szCs w:val="16"/>
                <w:lang w:val="en-US"/>
              </w:rPr>
              <w:t>Sampling procedure</w:t>
            </w:r>
          </w:p>
        </w:tc>
      </w:tr>
      <w:tr w:rsidR="00B16544" w:rsidRPr="00F01347" w14:paraId="598FBEE2" w14:textId="370BA62A" w:rsidTr="00B21DA6">
        <w:tc>
          <w:tcPr>
            <w:tcW w:w="4675" w:type="dxa"/>
          </w:tcPr>
          <w:p w14:paraId="29165A37" w14:textId="77777777" w:rsidR="00B16544" w:rsidRPr="00F01347" w:rsidRDefault="00B16544" w:rsidP="00B16544">
            <w:pPr>
              <w:pStyle w:val="texto0"/>
              <w:spacing w:after="66" w:line="220" w:lineRule="exact"/>
              <w:ind w:firstLine="0"/>
              <w:rPr>
                <w:rFonts w:ascii="Verdana" w:hAnsi="Verdana"/>
                <w:sz w:val="16"/>
                <w:szCs w:val="16"/>
              </w:rPr>
            </w:pPr>
            <w:r w:rsidRPr="00F01347">
              <w:rPr>
                <w:rFonts w:ascii="Verdana" w:hAnsi="Verdana"/>
                <w:sz w:val="16"/>
                <w:szCs w:val="16"/>
              </w:rPr>
              <w:t xml:space="preserve">Ensamblar el dispositivo de muestreo como se muestra en la Fig. B.2.1-1a. En caso de que se cuente con una conexión para muestreo a la salida de la planta de potabilización, conectar a ella el dispositivo (Fig. B.2.1-1a, de este Apéndice). En caso de que no se cuente con una conexión para muestreo a la salida de la planta de potabilización, introducir la manguera en el cuerpo de agua posterior a la potabilización de donde se va a tomar la muestra y conectar la motobomba a la salida </w:t>
            </w:r>
            <w:r w:rsidRPr="00F01347">
              <w:rPr>
                <w:rFonts w:ascii="Verdana" w:hAnsi="Verdana"/>
                <w:sz w:val="16"/>
                <w:szCs w:val="16"/>
              </w:rPr>
              <w:lastRenderedPageBreak/>
              <w:t>del dispositivo después del módulo de descarga (Fig.B.2.1-1b, de este Apéndice).</w:t>
            </w:r>
          </w:p>
        </w:tc>
        <w:tc>
          <w:tcPr>
            <w:tcW w:w="4675" w:type="dxa"/>
          </w:tcPr>
          <w:p w14:paraId="54F25FEA" w14:textId="065B0394" w:rsidR="00B16544" w:rsidRPr="00F01347" w:rsidRDefault="00B16544" w:rsidP="00B16544">
            <w:pPr>
              <w:pStyle w:val="texto0"/>
              <w:spacing w:after="66" w:line="220" w:lineRule="exact"/>
              <w:ind w:firstLine="0"/>
              <w:rPr>
                <w:rFonts w:ascii="Verdana" w:hAnsi="Verdana"/>
                <w:sz w:val="16"/>
                <w:szCs w:val="16"/>
                <w:lang w:val="en-US"/>
              </w:rPr>
            </w:pPr>
            <w:r w:rsidRPr="00F01347">
              <w:rPr>
                <w:rFonts w:ascii="Verdana" w:hAnsi="Verdana"/>
                <w:sz w:val="16"/>
                <w:szCs w:val="16"/>
                <w:lang w:val="en-US"/>
              </w:rPr>
              <w:lastRenderedPageBreak/>
              <w:t>Assemble the sampling device as shown in Fig. B.2.1-1a. If there is a connection for sampling at the outlet of the purification plant, connect the device to it (Fig. B.2.1-1a, of this Appendix). If there is no connection for sampling at the outlet of the purification plant, introduce the hose into the body of water after purification from which the sample will be taken and connect the motor pump to the outlet of the device. after the discharge module (Fig.B.2.1-1b, of this Appendix).</w:t>
            </w:r>
          </w:p>
        </w:tc>
      </w:tr>
    </w:tbl>
    <w:p w14:paraId="5CDA33F2" w14:textId="3AC2EF9E" w:rsidR="00A74CDF" w:rsidRPr="00F01347" w:rsidRDefault="00F04031" w:rsidP="003A601B">
      <w:pPr>
        <w:pStyle w:val="texto0"/>
        <w:spacing w:line="240" w:lineRule="auto"/>
        <w:ind w:firstLine="0"/>
        <w:jc w:val="center"/>
        <w:rPr>
          <w:rFonts w:ascii="Verdana" w:hAnsi="Verdana"/>
          <w:sz w:val="16"/>
          <w:szCs w:val="16"/>
        </w:rPr>
      </w:pPr>
      <w:r w:rsidRPr="00F01347">
        <w:rPr>
          <w:noProof/>
        </w:rPr>
        <w:drawing>
          <wp:inline distT="0" distB="0" distL="0" distR="0" wp14:anchorId="636F6360" wp14:editId="21B2C83D">
            <wp:extent cx="5647925" cy="4119664"/>
            <wp:effectExtent l="0" t="0" r="0" b="0"/>
            <wp:docPr id="779680716"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80716" name="Picture 1" descr="A computer screen shot of a computer&#10;&#10;Description automatically generated"/>
                    <pic:cNvPicPr/>
                  </pic:nvPicPr>
                  <pic:blipFill rotWithShape="1">
                    <a:blip r:embed="rId36"/>
                    <a:srcRect l="31077" t="32638" r="25326" b="10828"/>
                    <a:stretch/>
                  </pic:blipFill>
                  <pic:spPr bwMode="auto">
                    <a:xfrm>
                      <a:off x="0" y="0"/>
                      <a:ext cx="5738282" cy="418557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82F3A" w:rsidRPr="00F01347" w14:paraId="6EF7BEE7" w14:textId="70E1E746" w:rsidTr="00F04031">
        <w:tc>
          <w:tcPr>
            <w:tcW w:w="4675" w:type="dxa"/>
          </w:tcPr>
          <w:p w14:paraId="59856EC7" w14:textId="77777777" w:rsidR="00E82F3A" w:rsidRPr="00F01347" w:rsidRDefault="00E82F3A" w:rsidP="00E82F3A">
            <w:pPr>
              <w:pStyle w:val="texto0"/>
              <w:ind w:firstLine="0"/>
              <w:rPr>
                <w:rFonts w:ascii="Verdana" w:hAnsi="Verdana"/>
                <w:sz w:val="16"/>
                <w:szCs w:val="16"/>
              </w:rPr>
            </w:pPr>
            <w:r w:rsidRPr="00F01347">
              <w:rPr>
                <w:rFonts w:ascii="Verdana" w:hAnsi="Verdana"/>
                <w:b/>
                <w:sz w:val="16"/>
                <w:szCs w:val="16"/>
              </w:rPr>
              <w:t xml:space="preserve">Fig. B.2.1-1 </w:t>
            </w:r>
            <w:r w:rsidRPr="00F01347">
              <w:rPr>
                <w:rFonts w:ascii="Verdana" w:hAnsi="Verdana"/>
                <w:sz w:val="16"/>
                <w:szCs w:val="16"/>
              </w:rPr>
              <w:t>Dispositivo de muestreo. 1a) en caso de existir conexión para muestreo a la salida de la planta de potabilización. 1b) en caso de no existir conexión para muestreo a la salida de la planta de potabilización.</w:t>
            </w:r>
          </w:p>
        </w:tc>
        <w:tc>
          <w:tcPr>
            <w:tcW w:w="4675" w:type="dxa"/>
          </w:tcPr>
          <w:p w14:paraId="2572675C" w14:textId="3191EC0A" w:rsidR="00E82F3A" w:rsidRPr="00F01347" w:rsidRDefault="00E82F3A" w:rsidP="00E82F3A">
            <w:pPr>
              <w:pStyle w:val="texto0"/>
              <w:ind w:firstLine="0"/>
              <w:rPr>
                <w:rFonts w:ascii="Verdana" w:hAnsi="Verdana"/>
                <w:b/>
                <w:sz w:val="16"/>
                <w:szCs w:val="16"/>
                <w:lang w:val="en-US"/>
              </w:rPr>
            </w:pPr>
            <w:r w:rsidRPr="00F01347">
              <w:rPr>
                <w:rFonts w:ascii="Verdana" w:hAnsi="Verdana"/>
                <w:b/>
                <w:sz w:val="16"/>
                <w:szCs w:val="16"/>
                <w:lang w:val="en-US"/>
              </w:rPr>
              <w:t xml:space="preserve">Fig. B.2.1-1 </w:t>
            </w:r>
            <w:r w:rsidRPr="00F01347">
              <w:rPr>
                <w:rFonts w:ascii="Verdana" w:hAnsi="Verdana"/>
                <w:sz w:val="16"/>
                <w:szCs w:val="16"/>
                <w:lang w:val="en-US"/>
              </w:rPr>
              <w:t>Sampling device. 1a) in case there is a connection for sampling at the outlet of the purification plant. 1b) in case there is no connection for sampling at the outlet of the purification plant.</w:t>
            </w:r>
          </w:p>
        </w:tc>
      </w:tr>
      <w:tr w:rsidR="00E82F3A" w:rsidRPr="00F01347" w14:paraId="53F2C9BC" w14:textId="6D295719" w:rsidTr="00F04031">
        <w:tc>
          <w:tcPr>
            <w:tcW w:w="4675" w:type="dxa"/>
          </w:tcPr>
          <w:p w14:paraId="3163925D"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Permitir el flujo del agua a través del dispositivo de muestreo abriendo la llave de la conexión para muestreo o en su caso encender la motobomba.</w:t>
            </w:r>
          </w:p>
        </w:tc>
        <w:tc>
          <w:tcPr>
            <w:tcW w:w="4675" w:type="dxa"/>
          </w:tcPr>
          <w:p w14:paraId="65FF3C16" w14:textId="4618FF98"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t>Allow the water to flow through the sampling device by opening the sampling connection cock or, if applicable, turn on the motor pump.</w:t>
            </w:r>
          </w:p>
        </w:tc>
      </w:tr>
      <w:tr w:rsidR="00E82F3A" w:rsidRPr="00F01347" w14:paraId="2DCB3BEF" w14:textId="77BBC54F" w:rsidTr="00F04031">
        <w:tc>
          <w:tcPr>
            <w:tcW w:w="4675" w:type="dxa"/>
          </w:tcPr>
          <w:p w14:paraId="243203DF"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Regular el flujo a una tasa aproximada de 3.8 L/min con la llave de la conexión para muestreo de la planta de potabilización y regulando la potencia de la motobomba.</w:t>
            </w:r>
          </w:p>
        </w:tc>
        <w:tc>
          <w:tcPr>
            <w:tcW w:w="4675" w:type="dxa"/>
          </w:tcPr>
          <w:p w14:paraId="798D5996" w14:textId="48123A64"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t>Regulate the flow to an approximate rate of 3.8 L/min with the tap on the sampling connection of the water treatment plant and regulating the power of the motor pump.</w:t>
            </w:r>
          </w:p>
        </w:tc>
      </w:tr>
      <w:tr w:rsidR="00E82F3A" w:rsidRPr="00F01347" w14:paraId="35C9679E" w14:textId="3094C441" w:rsidTr="00F04031">
        <w:tc>
          <w:tcPr>
            <w:tcW w:w="4675" w:type="dxa"/>
          </w:tcPr>
          <w:p w14:paraId="68C702F5"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 xml:space="preserve">La dirección del flujo del agua debe ser desde la superficie externa del filtro hacia el interior </w:t>
            </w:r>
            <w:proofErr w:type="gramStart"/>
            <w:r w:rsidRPr="00F01347">
              <w:rPr>
                <w:rFonts w:ascii="Verdana" w:hAnsi="Verdana"/>
                <w:sz w:val="16"/>
                <w:szCs w:val="16"/>
              </w:rPr>
              <w:t>del mismo</w:t>
            </w:r>
            <w:proofErr w:type="gramEnd"/>
            <w:r w:rsidRPr="00F01347">
              <w:rPr>
                <w:rFonts w:ascii="Verdana" w:hAnsi="Verdana"/>
                <w:sz w:val="16"/>
                <w:szCs w:val="16"/>
              </w:rPr>
              <w:t>.</w:t>
            </w:r>
          </w:p>
        </w:tc>
        <w:tc>
          <w:tcPr>
            <w:tcW w:w="4675" w:type="dxa"/>
          </w:tcPr>
          <w:p w14:paraId="5639CDD9" w14:textId="4FB91A5F"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t>The direction of water flow should be from the external surface of the filter to the inside of the filter</w:t>
            </w:r>
            <w:r w:rsidR="003E1BA9" w:rsidRPr="00F01347">
              <w:rPr>
                <w:rFonts w:ascii="Verdana" w:hAnsi="Verdana"/>
                <w:sz w:val="16"/>
                <w:szCs w:val="16"/>
                <w:lang w:val="en-US"/>
              </w:rPr>
              <w:t>.</w:t>
            </w:r>
          </w:p>
        </w:tc>
      </w:tr>
      <w:tr w:rsidR="00E82F3A" w:rsidRPr="00F01347" w14:paraId="25E89E7C" w14:textId="3666DB5C" w:rsidTr="00F04031">
        <w:tc>
          <w:tcPr>
            <w:tcW w:w="4675" w:type="dxa"/>
          </w:tcPr>
          <w:p w14:paraId="0A98E07C"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Registrar el tiempo y la lectura del medidor de flujo al inicio. Permitir el flujo de un volumen aproximado de 380 L de agua.</w:t>
            </w:r>
          </w:p>
        </w:tc>
        <w:tc>
          <w:tcPr>
            <w:tcW w:w="4675" w:type="dxa"/>
          </w:tcPr>
          <w:p w14:paraId="22FA1734" w14:textId="6920B3C1"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t>Record time and flow meter reading at startup. Allow the flow of an approximate volume of 380 L of water.</w:t>
            </w:r>
          </w:p>
        </w:tc>
      </w:tr>
      <w:tr w:rsidR="00E82F3A" w:rsidRPr="00F01347" w14:paraId="7F0A5EBB" w14:textId="6D2C83F9" w:rsidTr="00F04031">
        <w:tc>
          <w:tcPr>
            <w:tcW w:w="4675" w:type="dxa"/>
          </w:tcPr>
          <w:p w14:paraId="6814BFAE"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Detener el flujo del agua en el dispositivo de muestreo cerrando la llave de la conexión para muestreo o en su caso apagando la motobomba.</w:t>
            </w:r>
          </w:p>
        </w:tc>
        <w:tc>
          <w:tcPr>
            <w:tcW w:w="4675" w:type="dxa"/>
          </w:tcPr>
          <w:p w14:paraId="5FCFDF31" w14:textId="269CDDBD"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t>Stop the flow of water in the sampling device by closing the sampling connection cock or, if applicable, turning off the motor pump.</w:t>
            </w:r>
          </w:p>
        </w:tc>
      </w:tr>
      <w:tr w:rsidR="00E82F3A" w:rsidRPr="00F01347" w14:paraId="1AA312CE" w14:textId="666136C5" w:rsidTr="00F04031">
        <w:tc>
          <w:tcPr>
            <w:tcW w:w="4675" w:type="dxa"/>
          </w:tcPr>
          <w:p w14:paraId="4BE13B0C"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Registrar el tiempo y la lectura del medidor de flujo al final.</w:t>
            </w:r>
          </w:p>
        </w:tc>
        <w:tc>
          <w:tcPr>
            <w:tcW w:w="4675" w:type="dxa"/>
          </w:tcPr>
          <w:p w14:paraId="3A7EFE61" w14:textId="6AF36157"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t>Record the time and the flow meter reading at the end.</w:t>
            </w:r>
          </w:p>
        </w:tc>
      </w:tr>
      <w:tr w:rsidR="00E82F3A" w:rsidRPr="00F01347" w14:paraId="2DC69C6B" w14:textId="18398145" w:rsidTr="00F04031">
        <w:tc>
          <w:tcPr>
            <w:tcW w:w="4675" w:type="dxa"/>
          </w:tcPr>
          <w:p w14:paraId="7D151B56"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 xml:space="preserve">Desconectar el dispositivo de la conexión para muestreo procurando mantener el extremo abierto de la conexión </w:t>
            </w:r>
            <w:r w:rsidRPr="00F01347">
              <w:rPr>
                <w:rFonts w:ascii="Verdana" w:hAnsi="Verdana"/>
                <w:sz w:val="16"/>
                <w:szCs w:val="16"/>
              </w:rPr>
              <w:lastRenderedPageBreak/>
              <w:t>de entrada por encima del nivel del extremo abierto de la conexión de salida para prevenir posibles pérdidas de material particulado por retro lavado del filtro.</w:t>
            </w:r>
          </w:p>
        </w:tc>
        <w:tc>
          <w:tcPr>
            <w:tcW w:w="4675" w:type="dxa"/>
          </w:tcPr>
          <w:p w14:paraId="7120F866" w14:textId="15EA43F7"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lastRenderedPageBreak/>
              <w:t xml:space="preserve">Disconnect the device from the sampling connection, trying to keep the open end of the inlet connection </w:t>
            </w:r>
            <w:r w:rsidRPr="00F01347">
              <w:rPr>
                <w:rFonts w:ascii="Verdana" w:hAnsi="Verdana"/>
                <w:sz w:val="16"/>
                <w:szCs w:val="16"/>
                <w:lang w:val="en-US"/>
              </w:rPr>
              <w:lastRenderedPageBreak/>
              <w:t>above the level of the open end of the outlet connection to prevent possible losses of particulate material due to backwashing of the filter.</w:t>
            </w:r>
          </w:p>
        </w:tc>
      </w:tr>
      <w:tr w:rsidR="00E82F3A" w:rsidRPr="00F01347" w14:paraId="30C81666" w14:textId="025CB6D0" w:rsidTr="00F04031">
        <w:tc>
          <w:tcPr>
            <w:tcW w:w="4675" w:type="dxa"/>
          </w:tcPr>
          <w:p w14:paraId="376B772F"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lastRenderedPageBreak/>
              <w:t>Una vez desconectado, drenar el agua que quedo en el dispositivo tanto como sea posible.</w:t>
            </w:r>
          </w:p>
        </w:tc>
        <w:tc>
          <w:tcPr>
            <w:tcW w:w="4675" w:type="dxa"/>
          </w:tcPr>
          <w:p w14:paraId="39DDF818" w14:textId="573E09DC"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t>Once disconnected, drain the water left in the device as much as possible.</w:t>
            </w:r>
          </w:p>
        </w:tc>
      </w:tr>
      <w:tr w:rsidR="00E82F3A" w:rsidRPr="00F01347" w14:paraId="0F2CD57D" w14:textId="1636C7B6" w:rsidTr="00F04031">
        <w:tc>
          <w:tcPr>
            <w:tcW w:w="4675" w:type="dxa"/>
          </w:tcPr>
          <w:p w14:paraId="0710161C"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b/>
                <w:sz w:val="16"/>
                <w:szCs w:val="16"/>
              </w:rPr>
              <w:t>B.2.1.4.2</w:t>
            </w:r>
            <w:r w:rsidRPr="00F01347">
              <w:rPr>
                <w:rFonts w:ascii="Verdana" w:hAnsi="Verdana"/>
                <w:sz w:val="16"/>
                <w:szCs w:val="16"/>
              </w:rPr>
              <w:t xml:space="preserve"> Preservación y transporte de la muestra</w:t>
            </w:r>
          </w:p>
        </w:tc>
        <w:tc>
          <w:tcPr>
            <w:tcW w:w="4675" w:type="dxa"/>
          </w:tcPr>
          <w:p w14:paraId="4E985FF1" w14:textId="020D206E" w:rsidR="00E82F3A" w:rsidRPr="00F01347" w:rsidRDefault="00E82F3A" w:rsidP="00E82F3A">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B.2.1.4.2 </w:t>
            </w:r>
            <w:r w:rsidRPr="00F01347">
              <w:rPr>
                <w:rFonts w:ascii="Verdana" w:hAnsi="Verdana"/>
                <w:sz w:val="16"/>
                <w:szCs w:val="16"/>
                <w:lang w:val="en-US"/>
              </w:rPr>
              <w:t>Preservation and transportation of the sample</w:t>
            </w:r>
          </w:p>
        </w:tc>
      </w:tr>
      <w:tr w:rsidR="00E82F3A" w:rsidRPr="00F01347" w14:paraId="1102AAE1" w14:textId="31D3AC94" w:rsidTr="00F04031">
        <w:tc>
          <w:tcPr>
            <w:tcW w:w="4675" w:type="dxa"/>
          </w:tcPr>
          <w:p w14:paraId="4606E16B"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 xml:space="preserve">El cartucho filtrante contenido en el </w:t>
            </w:r>
            <w:proofErr w:type="spellStart"/>
            <w:r w:rsidRPr="00F01347">
              <w:rPr>
                <w:rFonts w:ascii="Verdana" w:hAnsi="Verdana"/>
                <w:sz w:val="16"/>
                <w:szCs w:val="16"/>
              </w:rPr>
              <w:t>portacartucho</w:t>
            </w:r>
            <w:proofErr w:type="spellEnd"/>
            <w:r w:rsidRPr="00F01347">
              <w:rPr>
                <w:rFonts w:ascii="Verdana" w:hAnsi="Verdana"/>
                <w:sz w:val="16"/>
                <w:szCs w:val="16"/>
              </w:rPr>
              <w:t xml:space="preserve"> puede ser llevado al laboratorio para su análisis dentro del </w:t>
            </w:r>
            <w:proofErr w:type="spellStart"/>
            <w:r w:rsidRPr="00F01347">
              <w:rPr>
                <w:rFonts w:ascii="Verdana" w:hAnsi="Verdana"/>
                <w:sz w:val="16"/>
                <w:szCs w:val="16"/>
              </w:rPr>
              <w:t>portacartucho</w:t>
            </w:r>
            <w:proofErr w:type="spellEnd"/>
            <w:r w:rsidRPr="00F01347">
              <w:rPr>
                <w:rFonts w:ascii="Verdana" w:hAnsi="Verdana"/>
                <w:sz w:val="16"/>
                <w:szCs w:val="16"/>
              </w:rPr>
              <w:t xml:space="preserve"> o fuera de él.</w:t>
            </w:r>
          </w:p>
        </w:tc>
        <w:tc>
          <w:tcPr>
            <w:tcW w:w="4675" w:type="dxa"/>
          </w:tcPr>
          <w:p w14:paraId="2090887A" w14:textId="4CA1D7D4"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t>The filter cartridge contained in the cartridge holder can be taken to the laboratory for analysis inside the cartridge holder or outside of it.</w:t>
            </w:r>
          </w:p>
        </w:tc>
      </w:tr>
      <w:tr w:rsidR="00E82F3A" w:rsidRPr="00F01347" w14:paraId="0692F27C" w14:textId="72F242CE" w:rsidTr="00F04031">
        <w:tc>
          <w:tcPr>
            <w:tcW w:w="4675" w:type="dxa"/>
          </w:tcPr>
          <w:p w14:paraId="2E622785"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 xml:space="preserve">Para transportar el cartucho filtrante dentro del </w:t>
            </w:r>
            <w:proofErr w:type="spellStart"/>
            <w:r w:rsidRPr="00F01347">
              <w:rPr>
                <w:rFonts w:ascii="Verdana" w:hAnsi="Verdana"/>
                <w:sz w:val="16"/>
                <w:szCs w:val="16"/>
              </w:rPr>
              <w:t>portacartucho</w:t>
            </w:r>
            <w:proofErr w:type="spellEnd"/>
            <w:r w:rsidRPr="00F01347">
              <w:rPr>
                <w:rFonts w:ascii="Verdana" w:hAnsi="Verdana"/>
                <w:sz w:val="16"/>
                <w:szCs w:val="16"/>
              </w:rPr>
              <w:t xml:space="preserve">, obstruir las conexiones de entrada y salida del </w:t>
            </w:r>
            <w:proofErr w:type="spellStart"/>
            <w:r w:rsidRPr="00F01347">
              <w:rPr>
                <w:rFonts w:ascii="Verdana" w:hAnsi="Verdana"/>
                <w:sz w:val="16"/>
                <w:szCs w:val="16"/>
              </w:rPr>
              <w:t>portacartucho</w:t>
            </w:r>
            <w:proofErr w:type="spellEnd"/>
            <w:r w:rsidRPr="00F01347">
              <w:rPr>
                <w:rFonts w:ascii="Verdana" w:hAnsi="Verdana"/>
                <w:sz w:val="16"/>
                <w:szCs w:val="16"/>
              </w:rPr>
              <w:t xml:space="preserve"> con el filtro dentro, etiquetando el </w:t>
            </w:r>
            <w:proofErr w:type="spellStart"/>
            <w:r w:rsidRPr="00F01347">
              <w:rPr>
                <w:rFonts w:ascii="Verdana" w:hAnsi="Verdana"/>
                <w:sz w:val="16"/>
                <w:szCs w:val="16"/>
              </w:rPr>
              <w:t>portacartucho</w:t>
            </w:r>
            <w:proofErr w:type="spellEnd"/>
            <w:r w:rsidRPr="00F01347">
              <w:rPr>
                <w:rFonts w:ascii="Verdana" w:hAnsi="Verdana"/>
                <w:sz w:val="16"/>
                <w:szCs w:val="16"/>
              </w:rPr>
              <w:t>, en este caso no debe drenar el agua restante ya que será incorporada en los lavados posteriores durante la extracción del filtro en el laboratorio.</w:t>
            </w:r>
          </w:p>
        </w:tc>
        <w:tc>
          <w:tcPr>
            <w:tcW w:w="4675" w:type="dxa"/>
          </w:tcPr>
          <w:p w14:paraId="52F9CC3A" w14:textId="1F0D5E42"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t>To transport the filter cartridge inside the cartridge holder</w:t>
            </w:r>
            <w:r w:rsidR="003E1BA9" w:rsidRPr="00F01347">
              <w:rPr>
                <w:rFonts w:ascii="Verdana" w:hAnsi="Verdana"/>
                <w:sz w:val="16"/>
                <w:szCs w:val="16"/>
                <w:lang w:val="en-US"/>
              </w:rPr>
              <w:t>,</w:t>
            </w:r>
            <w:r w:rsidRPr="00F01347">
              <w:rPr>
                <w:rFonts w:ascii="Verdana" w:hAnsi="Verdana"/>
                <w:sz w:val="16"/>
                <w:szCs w:val="16"/>
                <w:lang w:val="en-US"/>
              </w:rPr>
              <w:t xml:space="preserve"> obstruct the inlet and outlet connections of the cartridge holder with the filter inside, labeling the cartridge holder</w:t>
            </w:r>
            <w:r w:rsidR="003E1BA9" w:rsidRPr="00F01347">
              <w:rPr>
                <w:rFonts w:ascii="Verdana" w:hAnsi="Verdana"/>
                <w:sz w:val="16"/>
                <w:szCs w:val="16"/>
                <w:lang w:val="en-US"/>
              </w:rPr>
              <w:t>.</w:t>
            </w:r>
            <w:r w:rsidRPr="00F01347">
              <w:rPr>
                <w:rFonts w:ascii="Verdana" w:hAnsi="Verdana"/>
                <w:sz w:val="16"/>
                <w:szCs w:val="16"/>
                <w:lang w:val="en-US"/>
              </w:rPr>
              <w:t xml:space="preserve"> In this case, the remaining water should not be drained as it will be incorporated in subsequent washes during filter removal. The laboratory.</w:t>
            </w:r>
          </w:p>
        </w:tc>
      </w:tr>
      <w:tr w:rsidR="00E82F3A" w:rsidRPr="00F01347" w14:paraId="4F184643" w14:textId="4DE2B61F" w:rsidTr="00F04031">
        <w:tc>
          <w:tcPr>
            <w:tcW w:w="4675" w:type="dxa"/>
          </w:tcPr>
          <w:p w14:paraId="4E6D385E"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 xml:space="preserve">Para transportar el cartucho fuera del </w:t>
            </w:r>
            <w:proofErr w:type="spellStart"/>
            <w:r w:rsidRPr="00F01347">
              <w:rPr>
                <w:rFonts w:ascii="Verdana" w:hAnsi="Verdana"/>
                <w:sz w:val="16"/>
                <w:szCs w:val="16"/>
              </w:rPr>
              <w:t>portacartuchos</w:t>
            </w:r>
            <w:proofErr w:type="spellEnd"/>
            <w:r w:rsidRPr="00F01347">
              <w:rPr>
                <w:rFonts w:ascii="Verdana" w:hAnsi="Verdana"/>
                <w:sz w:val="16"/>
                <w:szCs w:val="16"/>
              </w:rPr>
              <w:t>, abrir el dispositivo y asépticamente retirar el cartucho filtrante y colocarlo en una bolsa de plástico etiquetada, cerrar la bolsa, introducirla en una segunda bolsa y cerrar esta última bolsa.</w:t>
            </w:r>
          </w:p>
        </w:tc>
        <w:tc>
          <w:tcPr>
            <w:tcW w:w="4675" w:type="dxa"/>
          </w:tcPr>
          <w:p w14:paraId="0D71A9C4" w14:textId="26B87A43"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t>To transport the cartridge out of the cartridge holder</w:t>
            </w:r>
            <w:r w:rsidR="003E1BA9" w:rsidRPr="00F01347">
              <w:rPr>
                <w:rFonts w:ascii="Verdana" w:hAnsi="Verdana"/>
                <w:sz w:val="16"/>
                <w:szCs w:val="16"/>
                <w:lang w:val="en-US"/>
              </w:rPr>
              <w:t>,</w:t>
            </w:r>
            <w:r w:rsidRPr="00F01347">
              <w:rPr>
                <w:rFonts w:ascii="Verdana" w:hAnsi="Verdana"/>
                <w:sz w:val="16"/>
                <w:szCs w:val="16"/>
                <w:lang w:val="en-US"/>
              </w:rPr>
              <w:t xml:space="preserve"> open the device and aseptically remove the filter cartridge and place it in a labeled plastic bag, close the bag, place it in a second bag and close this last bag.</w:t>
            </w:r>
          </w:p>
        </w:tc>
      </w:tr>
      <w:tr w:rsidR="00E82F3A" w:rsidRPr="00F01347" w14:paraId="1B7A5809" w14:textId="3DF08F60" w:rsidTr="00F04031">
        <w:tc>
          <w:tcPr>
            <w:tcW w:w="4675" w:type="dxa"/>
          </w:tcPr>
          <w:p w14:paraId="714C698E"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 xml:space="preserve">En ambos casos, tanto el cartucho filtrante dentro del </w:t>
            </w:r>
            <w:proofErr w:type="spellStart"/>
            <w:r w:rsidRPr="00F01347">
              <w:rPr>
                <w:rFonts w:ascii="Verdana" w:hAnsi="Verdana"/>
                <w:sz w:val="16"/>
                <w:szCs w:val="16"/>
              </w:rPr>
              <w:t>portacartuchos</w:t>
            </w:r>
            <w:proofErr w:type="spellEnd"/>
            <w:r w:rsidRPr="00F01347">
              <w:rPr>
                <w:rFonts w:ascii="Verdana" w:hAnsi="Verdana"/>
                <w:sz w:val="16"/>
                <w:szCs w:val="16"/>
              </w:rPr>
              <w:t xml:space="preserve"> como el cartucho filtrante fuera del mismo, deberán ser refrigerados en la hielera con hielo o con geles congelantes tan pronto como sea posible después de realizado el muestreo.</w:t>
            </w:r>
          </w:p>
        </w:tc>
        <w:tc>
          <w:tcPr>
            <w:tcW w:w="4675" w:type="dxa"/>
          </w:tcPr>
          <w:p w14:paraId="50B93449" w14:textId="6D8B57CB"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t>In both cases, both the filter cartridge inside the cartridge holder and the filter cartridge outside it, must be refrigerated in the cooler with ice or freezing gels as soon as possible after sampling.</w:t>
            </w:r>
          </w:p>
        </w:tc>
      </w:tr>
      <w:tr w:rsidR="00E82F3A" w:rsidRPr="00F01347" w14:paraId="15D04582" w14:textId="48163EB1" w:rsidTr="00F04031">
        <w:tc>
          <w:tcPr>
            <w:tcW w:w="4675" w:type="dxa"/>
          </w:tcPr>
          <w:p w14:paraId="3F901707"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En ningún caso debe congelarse la muestra y debe ser transportada al laboratorio de análisis para su procesamiento tan pronto como sea posible sin exceder de las 48 horas después de su colecta. Debe procurarse reducir al mínimo los tiempos de transporte y almacenamiento.</w:t>
            </w:r>
          </w:p>
        </w:tc>
        <w:tc>
          <w:tcPr>
            <w:tcW w:w="4675" w:type="dxa"/>
          </w:tcPr>
          <w:p w14:paraId="186FF55A" w14:textId="15B3EEE6"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Under no circumstances should the sample be </w:t>
            </w:r>
            <w:proofErr w:type="gramStart"/>
            <w:r w:rsidRPr="00F01347">
              <w:rPr>
                <w:rFonts w:ascii="Verdana" w:hAnsi="Verdana"/>
                <w:sz w:val="16"/>
                <w:szCs w:val="16"/>
                <w:lang w:val="en-US"/>
              </w:rPr>
              <w:t>frozen</w:t>
            </w:r>
            <w:proofErr w:type="gramEnd"/>
            <w:r w:rsidRPr="00F01347">
              <w:rPr>
                <w:rFonts w:ascii="Verdana" w:hAnsi="Verdana"/>
                <w:sz w:val="16"/>
                <w:szCs w:val="16"/>
                <w:lang w:val="en-US"/>
              </w:rPr>
              <w:t xml:space="preserve"> and it should be transported to the analysis laboratory for processing as soon as possible without exceeding 48 hours after collection. Efforts should be made to reduce transportation and storage times to a minimum.</w:t>
            </w:r>
          </w:p>
        </w:tc>
      </w:tr>
      <w:tr w:rsidR="00E82F3A" w:rsidRPr="00F01347" w14:paraId="19DBFCCF" w14:textId="39587377" w:rsidTr="00F04031">
        <w:tc>
          <w:tcPr>
            <w:tcW w:w="4675" w:type="dxa"/>
          </w:tcPr>
          <w:p w14:paraId="72073728" w14:textId="77777777" w:rsidR="00E82F3A" w:rsidRPr="00F01347" w:rsidRDefault="00E82F3A" w:rsidP="00E82F3A">
            <w:pPr>
              <w:pStyle w:val="texto0"/>
              <w:spacing w:line="220" w:lineRule="exact"/>
              <w:ind w:firstLine="0"/>
              <w:jc w:val="center"/>
              <w:rPr>
                <w:rFonts w:ascii="Verdana" w:hAnsi="Verdana"/>
                <w:b/>
                <w:sz w:val="16"/>
                <w:szCs w:val="16"/>
              </w:rPr>
            </w:pPr>
            <w:r w:rsidRPr="00F01347">
              <w:rPr>
                <w:rFonts w:ascii="Verdana" w:hAnsi="Verdana"/>
                <w:b/>
                <w:sz w:val="16"/>
                <w:szCs w:val="16"/>
              </w:rPr>
              <w:t xml:space="preserve">B.2.2 MÉTODO DE PURIFICACIÓN DE QUISTES DE </w:t>
            </w:r>
            <w:proofErr w:type="spellStart"/>
            <w:r w:rsidRPr="00F01347">
              <w:rPr>
                <w:rFonts w:ascii="Verdana" w:hAnsi="Verdana"/>
                <w:b/>
                <w:i/>
                <w:sz w:val="16"/>
                <w:szCs w:val="16"/>
              </w:rPr>
              <w:t>Giardia</w:t>
            </w:r>
            <w:proofErr w:type="spellEnd"/>
            <w:r w:rsidRPr="00F01347">
              <w:rPr>
                <w:rFonts w:ascii="Verdana" w:hAnsi="Verdana"/>
                <w:b/>
                <w:i/>
                <w:sz w:val="16"/>
                <w:szCs w:val="16"/>
              </w:rPr>
              <w:t xml:space="preserve"> </w:t>
            </w:r>
            <w:proofErr w:type="spellStart"/>
            <w:proofErr w:type="gramStart"/>
            <w:r w:rsidRPr="00F01347">
              <w:rPr>
                <w:rFonts w:ascii="Verdana" w:hAnsi="Verdana"/>
                <w:b/>
                <w:i/>
                <w:sz w:val="16"/>
                <w:szCs w:val="16"/>
              </w:rPr>
              <w:t>lamblia</w:t>
            </w:r>
            <w:proofErr w:type="spellEnd"/>
            <w:r w:rsidRPr="00F01347">
              <w:rPr>
                <w:rFonts w:ascii="Verdana" w:hAnsi="Verdana"/>
                <w:b/>
                <w:sz w:val="16"/>
                <w:szCs w:val="16"/>
              </w:rPr>
              <w:t xml:space="preserve">  EN</w:t>
            </w:r>
            <w:proofErr w:type="gramEnd"/>
            <w:r w:rsidRPr="00F01347">
              <w:rPr>
                <w:rFonts w:ascii="Verdana" w:hAnsi="Verdana"/>
                <w:b/>
                <w:sz w:val="16"/>
                <w:szCs w:val="16"/>
              </w:rPr>
              <w:t xml:space="preserve"> MUESTRAS DE AGUA PARA USO Y CONSUMO HUMANO</w:t>
            </w:r>
          </w:p>
        </w:tc>
        <w:tc>
          <w:tcPr>
            <w:tcW w:w="4675" w:type="dxa"/>
          </w:tcPr>
          <w:p w14:paraId="11527613" w14:textId="50EF172D" w:rsidR="00E82F3A" w:rsidRPr="00F01347" w:rsidRDefault="00E82F3A" w:rsidP="00E82F3A">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 xml:space="preserve">B.2.2 METHOD FOR PURIFICATION OF </w:t>
            </w:r>
            <w:r w:rsidR="005D07D9" w:rsidRPr="00F01347">
              <w:rPr>
                <w:rFonts w:ascii="Verdana" w:hAnsi="Verdana"/>
                <w:b/>
                <w:i/>
                <w:sz w:val="16"/>
                <w:szCs w:val="16"/>
                <w:lang w:val="en-US"/>
              </w:rPr>
              <w:t xml:space="preserve">Giardia lamblia </w:t>
            </w:r>
            <w:r w:rsidR="00DE65A1" w:rsidRPr="00F01347">
              <w:rPr>
                <w:rFonts w:ascii="Verdana" w:hAnsi="Verdana"/>
                <w:b/>
                <w:iCs/>
                <w:sz w:val="16"/>
                <w:szCs w:val="16"/>
                <w:lang w:val="en-US"/>
              </w:rPr>
              <w:t>CYSTS</w:t>
            </w:r>
            <w:r w:rsidRPr="00F01347">
              <w:rPr>
                <w:rFonts w:ascii="Verdana" w:hAnsi="Verdana"/>
                <w:b/>
                <w:i/>
                <w:sz w:val="16"/>
                <w:szCs w:val="16"/>
                <w:lang w:val="en-US"/>
              </w:rPr>
              <w:t xml:space="preserve"> </w:t>
            </w:r>
            <w:r w:rsidRPr="00F01347">
              <w:rPr>
                <w:rFonts w:ascii="Verdana" w:hAnsi="Verdana"/>
                <w:b/>
                <w:sz w:val="16"/>
                <w:szCs w:val="16"/>
                <w:lang w:val="en-US"/>
              </w:rPr>
              <w:t>IN WATER SAMPLES FOR HUMAN USE AND CONSUMPTION</w:t>
            </w:r>
          </w:p>
        </w:tc>
      </w:tr>
      <w:tr w:rsidR="00E82F3A" w:rsidRPr="00F01347" w14:paraId="33766300" w14:textId="41DD99F4" w:rsidTr="00F04031">
        <w:tc>
          <w:tcPr>
            <w:tcW w:w="4675" w:type="dxa"/>
          </w:tcPr>
          <w:p w14:paraId="277E4DAB" w14:textId="77777777" w:rsidR="00E82F3A" w:rsidRPr="00F01347" w:rsidRDefault="00E82F3A" w:rsidP="00E82F3A">
            <w:pPr>
              <w:pStyle w:val="texto0"/>
              <w:spacing w:line="220" w:lineRule="exact"/>
              <w:ind w:firstLine="0"/>
              <w:rPr>
                <w:rFonts w:ascii="Verdana" w:hAnsi="Verdana"/>
                <w:b/>
                <w:sz w:val="16"/>
                <w:szCs w:val="16"/>
              </w:rPr>
            </w:pPr>
            <w:r w:rsidRPr="00F01347">
              <w:rPr>
                <w:rFonts w:ascii="Verdana" w:hAnsi="Verdana"/>
                <w:b/>
                <w:sz w:val="16"/>
                <w:szCs w:val="16"/>
              </w:rPr>
              <w:t>B.2.2.1 Símbolos y términos abreviados</w:t>
            </w:r>
          </w:p>
        </w:tc>
        <w:tc>
          <w:tcPr>
            <w:tcW w:w="4675" w:type="dxa"/>
          </w:tcPr>
          <w:p w14:paraId="6D67F164" w14:textId="71576181" w:rsidR="00E82F3A" w:rsidRPr="00F01347" w:rsidRDefault="00E82F3A" w:rsidP="00E82F3A">
            <w:pPr>
              <w:pStyle w:val="texto0"/>
              <w:spacing w:line="220" w:lineRule="exact"/>
              <w:ind w:firstLine="0"/>
              <w:rPr>
                <w:rFonts w:ascii="Verdana" w:hAnsi="Verdana"/>
                <w:b/>
                <w:sz w:val="16"/>
                <w:szCs w:val="16"/>
                <w:lang w:val="en-US"/>
              </w:rPr>
            </w:pPr>
            <w:r w:rsidRPr="00F01347">
              <w:rPr>
                <w:rFonts w:ascii="Verdana" w:hAnsi="Verdana"/>
                <w:b/>
                <w:sz w:val="16"/>
                <w:szCs w:val="16"/>
                <w:lang w:val="en-US"/>
              </w:rPr>
              <w:t>B.2.2.1 Symbols and abbreviated terms</w:t>
            </w:r>
          </w:p>
        </w:tc>
      </w:tr>
      <w:tr w:rsidR="00E82F3A" w:rsidRPr="00F01347" w14:paraId="03A85351" w14:textId="23292AA0" w:rsidTr="00F04031">
        <w:tc>
          <w:tcPr>
            <w:tcW w:w="4675" w:type="dxa"/>
          </w:tcPr>
          <w:p w14:paraId="5FC0D495" w14:textId="77777777" w:rsidR="00E82F3A" w:rsidRPr="00F01347" w:rsidRDefault="00E82F3A" w:rsidP="00E82F3A">
            <w:pPr>
              <w:pStyle w:val="texto0"/>
              <w:spacing w:line="220" w:lineRule="exact"/>
              <w:ind w:firstLine="0"/>
              <w:rPr>
                <w:rFonts w:ascii="Verdana" w:hAnsi="Verdana"/>
                <w:b/>
                <w:sz w:val="16"/>
                <w:szCs w:val="16"/>
              </w:rPr>
            </w:pPr>
            <w:r w:rsidRPr="00F01347">
              <w:rPr>
                <w:rFonts w:ascii="Verdana" w:hAnsi="Verdana"/>
                <w:b/>
                <w:sz w:val="16"/>
                <w:szCs w:val="16"/>
              </w:rPr>
              <w:t>g</w:t>
            </w:r>
            <w:r w:rsidRPr="00F01347">
              <w:rPr>
                <w:rFonts w:ascii="Verdana" w:hAnsi="Verdana"/>
                <w:b/>
                <w:sz w:val="16"/>
                <w:szCs w:val="16"/>
              </w:rPr>
              <w:tab/>
            </w:r>
            <w:r w:rsidRPr="00F01347">
              <w:rPr>
                <w:rFonts w:ascii="Verdana" w:hAnsi="Verdana"/>
                <w:sz w:val="16"/>
                <w:szCs w:val="16"/>
              </w:rPr>
              <w:t>gramos</w:t>
            </w:r>
          </w:p>
        </w:tc>
        <w:tc>
          <w:tcPr>
            <w:tcW w:w="4675" w:type="dxa"/>
          </w:tcPr>
          <w:p w14:paraId="7D550986" w14:textId="4044790A" w:rsidR="00E82F3A" w:rsidRPr="00F01347" w:rsidRDefault="00E82F3A" w:rsidP="00E82F3A">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g </w:t>
            </w:r>
            <w:r w:rsidRPr="00F01347">
              <w:rPr>
                <w:rFonts w:ascii="Verdana" w:hAnsi="Verdana"/>
                <w:b/>
                <w:sz w:val="16"/>
                <w:szCs w:val="16"/>
                <w:lang w:val="en-US"/>
              </w:rPr>
              <w:tab/>
            </w:r>
            <w:r w:rsidRPr="00F01347">
              <w:rPr>
                <w:rFonts w:ascii="Verdana" w:hAnsi="Verdana"/>
                <w:sz w:val="16"/>
                <w:szCs w:val="16"/>
                <w:lang w:val="en-US"/>
              </w:rPr>
              <w:t>grams</w:t>
            </w:r>
          </w:p>
        </w:tc>
      </w:tr>
      <w:tr w:rsidR="00E82F3A" w:rsidRPr="00F01347" w14:paraId="3235F1F0" w14:textId="4D189FC4" w:rsidTr="00F04031">
        <w:tc>
          <w:tcPr>
            <w:tcW w:w="4675" w:type="dxa"/>
          </w:tcPr>
          <w:p w14:paraId="6B90EF37" w14:textId="77777777" w:rsidR="00E82F3A" w:rsidRPr="00F01347" w:rsidRDefault="00E82F3A" w:rsidP="00E82F3A">
            <w:pPr>
              <w:pStyle w:val="texto0"/>
              <w:spacing w:line="220" w:lineRule="exact"/>
              <w:ind w:firstLine="0"/>
              <w:rPr>
                <w:rFonts w:ascii="Verdana" w:hAnsi="Verdana"/>
                <w:sz w:val="16"/>
                <w:szCs w:val="16"/>
              </w:rPr>
            </w:pPr>
            <w:proofErr w:type="spellStart"/>
            <w:r w:rsidRPr="00F01347">
              <w:rPr>
                <w:rFonts w:ascii="Verdana" w:hAnsi="Verdana"/>
                <w:b/>
                <w:sz w:val="16"/>
                <w:szCs w:val="16"/>
              </w:rPr>
              <w:t>Tween</w:t>
            </w:r>
            <w:proofErr w:type="spellEnd"/>
            <w:r w:rsidRPr="00F01347">
              <w:rPr>
                <w:rFonts w:ascii="Verdana" w:hAnsi="Verdana"/>
                <w:b/>
                <w:sz w:val="16"/>
                <w:szCs w:val="16"/>
              </w:rPr>
              <w:t xml:space="preserve"> 80</w:t>
            </w:r>
            <w:r w:rsidRPr="00F01347">
              <w:rPr>
                <w:rFonts w:ascii="Verdana" w:hAnsi="Verdana"/>
                <w:sz w:val="16"/>
                <w:szCs w:val="16"/>
              </w:rPr>
              <w:tab/>
            </w:r>
            <w:proofErr w:type="spellStart"/>
            <w:r w:rsidRPr="00F01347">
              <w:rPr>
                <w:rFonts w:ascii="Verdana" w:hAnsi="Verdana"/>
                <w:sz w:val="16"/>
                <w:szCs w:val="16"/>
              </w:rPr>
              <w:t>monooleato</w:t>
            </w:r>
            <w:proofErr w:type="spellEnd"/>
            <w:r w:rsidRPr="00F01347">
              <w:rPr>
                <w:rFonts w:ascii="Verdana" w:hAnsi="Verdana"/>
                <w:sz w:val="16"/>
                <w:szCs w:val="16"/>
              </w:rPr>
              <w:t xml:space="preserve"> de </w:t>
            </w:r>
            <w:proofErr w:type="spellStart"/>
            <w:r w:rsidRPr="00F01347">
              <w:rPr>
                <w:rFonts w:ascii="Verdana" w:hAnsi="Verdana"/>
                <w:sz w:val="16"/>
                <w:szCs w:val="16"/>
              </w:rPr>
              <w:t>polioxietilen</w:t>
            </w:r>
            <w:proofErr w:type="spellEnd"/>
            <w:r w:rsidRPr="00F01347">
              <w:rPr>
                <w:rFonts w:ascii="Verdana" w:hAnsi="Verdana"/>
                <w:sz w:val="16"/>
                <w:szCs w:val="16"/>
              </w:rPr>
              <w:t>-sorbitano</w:t>
            </w:r>
          </w:p>
        </w:tc>
        <w:tc>
          <w:tcPr>
            <w:tcW w:w="4675" w:type="dxa"/>
          </w:tcPr>
          <w:p w14:paraId="44B5F719" w14:textId="05C4A754" w:rsidR="00E82F3A" w:rsidRPr="00F01347" w:rsidRDefault="00E82F3A" w:rsidP="00E82F3A">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Tween 80 </w:t>
            </w:r>
            <w:r w:rsidRPr="00F01347">
              <w:rPr>
                <w:rFonts w:ascii="Verdana" w:hAnsi="Verdana"/>
                <w:sz w:val="16"/>
                <w:szCs w:val="16"/>
                <w:lang w:val="en-US"/>
              </w:rPr>
              <w:tab/>
            </w:r>
            <w:proofErr w:type="spellStart"/>
            <w:r w:rsidRPr="00F01347">
              <w:rPr>
                <w:rFonts w:ascii="Verdana" w:hAnsi="Verdana"/>
                <w:sz w:val="16"/>
                <w:szCs w:val="16"/>
                <w:lang w:val="en-US"/>
              </w:rPr>
              <w:t>polyoxyethylene</w:t>
            </w:r>
            <w:proofErr w:type="spellEnd"/>
            <w:r w:rsidR="009123FD">
              <w:rPr>
                <w:rFonts w:ascii="Verdana" w:hAnsi="Verdana"/>
                <w:sz w:val="16"/>
                <w:szCs w:val="16"/>
                <w:lang w:val="en-US"/>
              </w:rPr>
              <w:t xml:space="preserve"> </w:t>
            </w:r>
            <w:r w:rsidRPr="00F01347">
              <w:rPr>
                <w:rFonts w:ascii="Verdana" w:hAnsi="Verdana"/>
                <w:sz w:val="16"/>
                <w:szCs w:val="16"/>
                <w:lang w:val="en-US"/>
              </w:rPr>
              <w:t>-</w:t>
            </w:r>
            <w:r w:rsidR="00DE65A1" w:rsidRPr="00F01347">
              <w:rPr>
                <w:rFonts w:ascii="Verdana" w:hAnsi="Verdana"/>
                <w:sz w:val="16"/>
                <w:szCs w:val="16"/>
                <w:lang w:val="en-US"/>
              </w:rPr>
              <w:t xml:space="preserve"> </w:t>
            </w:r>
            <w:proofErr w:type="spellStart"/>
            <w:r w:rsidRPr="00F01347">
              <w:rPr>
                <w:rFonts w:ascii="Verdana" w:hAnsi="Verdana"/>
                <w:sz w:val="16"/>
                <w:szCs w:val="16"/>
                <w:lang w:val="en-US"/>
              </w:rPr>
              <w:t>sorbitan</w:t>
            </w:r>
            <w:proofErr w:type="spellEnd"/>
            <w:r w:rsidRPr="00F01347">
              <w:rPr>
                <w:rFonts w:ascii="Verdana" w:hAnsi="Verdana"/>
                <w:sz w:val="16"/>
                <w:szCs w:val="16"/>
                <w:lang w:val="en-US"/>
              </w:rPr>
              <w:t xml:space="preserve"> monooleate</w:t>
            </w:r>
          </w:p>
        </w:tc>
      </w:tr>
      <w:tr w:rsidR="00E82F3A" w:rsidRPr="00F01347" w14:paraId="495C011C" w14:textId="4208126F" w:rsidTr="00F04031">
        <w:tc>
          <w:tcPr>
            <w:tcW w:w="4675" w:type="dxa"/>
          </w:tcPr>
          <w:p w14:paraId="5A8F5FD3"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b/>
                <w:sz w:val="16"/>
                <w:szCs w:val="16"/>
              </w:rPr>
              <w:t>v/v</w:t>
            </w:r>
            <w:r w:rsidRPr="00F01347">
              <w:rPr>
                <w:rFonts w:ascii="Verdana" w:hAnsi="Verdana"/>
                <w:sz w:val="16"/>
                <w:szCs w:val="16"/>
              </w:rPr>
              <w:tab/>
              <w:t>volumen/volumen</w:t>
            </w:r>
          </w:p>
        </w:tc>
        <w:tc>
          <w:tcPr>
            <w:tcW w:w="4675" w:type="dxa"/>
          </w:tcPr>
          <w:p w14:paraId="4AB7FA79" w14:textId="5B55819C" w:rsidR="00E82F3A" w:rsidRPr="00F01347" w:rsidRDefault="00E82F3A" w:rsidP="00E82F3A">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v/v </w:t>
            </w:r>
            <w:r w:rsidRPr="00F01347">
              <w:rPr>
                <w:rFonts w:ascii="Verdana" w:hAnsi="Verdana"/>
                <w:sz w:val="16"/>
                <w:szCs w:val="16"/>
                <w:lang w:val="en-US"/>
              </w:rPr>
              <w:tab/>
              <w:t>volume/volume</w:t>
            </w:r>
          </w:p>
        </w:tc>
      </w:tr>
      <w:tr w:rsidR="00E82F3A" w:rsidRPr="00F01347" w14:paraId="3F5C0E9B" w14:textId="1AB34ACB" w:rsidTr="00F04031">
        <w:tc>
          <w:tcPr>
            <w:tcW w:w="4675" w:type="dxa"/>
          </w:tcPr>
          <w:p w14:paraId="69A378BE" w14:textId="77777777" w:rsidR="00E82F3A" w:rsidRPr="00F01347" w:rsidRDefault="00E82F3A" w:rsidP="00E82F3A">
            <w:pPr>
              <w:pStyle w:val="texto0"/>
              <w:spacing w:line="220" w:lineRule="exact"/>
              <w:ind w:firstLine="0"/>
              <w:rPr>
                <w:rFonts w:ascii="Verdana" w:hAnsi="Verdana"/>
                <w:b/>
                <w:sz w:val="16"/>
                <w:szCs w:val="16"/>
              </w:rPr>
            </w:pPr>
            <w:r w:rsidRPr="00F01347">
              <w:rPr>
                <w:rFonts w:ascii="Verdana" w:hAnsi="Verdana"/>
                <w:b/>
                <w:sz w:val="16"/>
                <w:szCs w:val="16"/>
              </w:rPr>
              <w:t>B.2.2.2 Principio</w:t>
            </w:r>
          </w:p>
        </w:tc>
        <w:tc>
          <w:tcPr>
            <w:tcW w:w="4675" w:type="dxa"/>
          </w:tcPr>
          <w:p w14:paraId="6B48FF6C" w14:textId="7A5A2418" w:rsidR="00E82F3A" w:rsidRPr="00F01347" w:rsidRDefault="00E82F3A" w:rsidP="00E82F3A">
            <w:pPr>
              <w:pStyle w:val="texto0"/>
              <w:spacing w:line="220" w:lineRule="exact"/>
              <w:ind w:firstLine="0"/>
              <w:rPr>
                <w:rFonts w:ascii="Verdana" w:hAnsi="Verdana"/>
                <w:b/>
                <w:sz w:val="16"/>
                <w:szCs w:val="16"/>
                <w:lang w:val="en-US"/>
              </w:rPr>
            </w:pPr>
            <w:r w:rsidRPr="00F01347">
              <w:rPr>
                <w:rFonts w:ascii="Verdana" w:hAnsi="Verdana"/>
                <w:b/>
                <w:sz w:val="16"/>
                <w:szCs w:val="16"/>
                <w:lang w:val="en-US"/>
              </w:rPr>
              <w:t>B.2.2.2 Principle</w:t>
            </w:r>
          </w:p>
        </w:tc>
      </w:tr>
      <w:tr w:rsidR="00E82F3A" w:rsidRPr="00F01347" w14:paraId="767B6B3D" w14:textId="56680496" w:rsidTr="00F04031">
        <w:tc>
          <w:tcPr>
            <w:tcW w:w="4675" w:type="dxa"/>
          </w:tcPr>
          <w:p w14:paraId="49A91445"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 xml:space="preserve">Los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concentrados a partir de una muestra de agua de gran volumen, y que se encuentran retenidos en el cartucho filtrante, deben ser extraídos para ser purificados; eliminando sedimento, detritus y demás materiales que interfieran con la identificación, determinación y cuantificación.</w:t>
            </w:r>
          </w:p>
        </w:tc>
        <w:tc>
          <w:tcPr>
            <w:tcW w:w="4675" w:type="dxa"/>
          </w:tcPr>
          <w:p w14:paraId="6F84E028" w14:textId="0F1456CF" w:rsidR="00E82F3A" w:rsidRPr="00F01347" w:rsidRDefault="005D07D9" w:rsidP="00E82F3A">
            <w:pPr>
              <w:pStyle w:val="texto0"/>
              <w:spacing w:line="220" w:lineRule="exact"/>
              <w:ind w:firstLine="0"/>
              <w:rPr>
                <w:rFonts w:ascii="Verdana" w:hAnsi="Verdana"/>
                <w:sz w:val="16"/>
                <w:szCs w:val="16"/>
                <w:lang w:val="en-US"/>
              </w:rPr>
            </w:pPr>
            <w:r w:rsidRPr="00F01347">
              <w:rPr>
                <w:rFonts w:ascii="Verdana" w:hAnsi="Verdana"/>
                <w:i/>
                <w:sz w:val="16"/>
                <w:szCs w:val="16"/>
                <w:lang w:val="en-US"/>
              </w:rPr>
              <w:t>Giardia lamblia cysts</w:t>
            </w:r>
            <w:r w:rsidR="00E82F3A" w:rsidRPr="00F01347">
              <w:rPr>
                <w:rFonts w:ascii="Verdana" w:hAnsi="Verdana"/>
                <w:i/>
                <w:sz w:val="16"/>
                <w:szCs w:val="16"/>
                <w:lang w:val="en-US"/>
              </w:rPr>
              <w:t xml:space="preserve"> </w:t>
            </w:r>
            <w:r w:rsidR="00E82F3A" w:rsidRPr="00F01347">
              <w:rPr>
                <w:rFonts w:ascii="Verdana" w:hAnsi="Verdana"/>
                <w:sz w:val="16"/>
                <w:szCs w:val="16"/>
                <w:lang w:val="en-US"/>
              </w:rPr>
              <w:t xml:space="preserve">concentrated from a large volume water sample, and which are retained in the filter cartridge, must be extracted to be purified; eliminating sediment, detritus and other materials that interfere with identification, </w:t>
            </w:r>
            <w:r w:rsidR="00DE65A1" w:rsidRPr="00F01347">
              <w:rPr>
                <w:rFonts w:ascii="Verdana" w:hAnsi="Verdana"/>
                <w:sz w:val="16"/>
                <w:szCs w:val="16"/>
                <w:lang w:val="en-US"/>
              </w:rPr>
              <w:t>determination,</w:t>
            </w:r>
            <w:r w:rsidR="00E82F3A" w:rsidRPr="00F01347">
              <w:rPr>
                <w:rFonts w:ascii="Verdana" w:hAnsi="Verdana"/>
                <w:sz w:val="16"/>
                <w:szCs w:val="16"/>
                <w:lang w:val="en-US"/>
              </w:rPr>
              <w:t xml:space="preserve"> and quantification.</w:t>
            </w:r>
          </w:p>
        </w:tc>
      </w:tr>
      <w:tr w:rsidR="00E82F3A" w:rsidRPr="00F01347" w14:paraId="31AF4336" w14:textId="73222DBD" w:rsidTr="00F04031">
        <w:tc>
          <w:tcPr>
            <w:tcW w:w="4675" w:type="dxa"/>
          </w:tcPr>
          <w:p w14:paraId="77CDEAA2"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 xml:space="preserve">La purificación de los quistes se realiza generalmente a través de técnicas de flotación utilizando soluciones de </w:t>
            </w:r>
            <w:r w:rsidRPr="00F01347">
              <w:rPr>
                <w:rFonts w:ascii="Verdana" w:hAnsi="Verdana"/>
                <w:sz w:val="16"/>
                <w:szCs w:val="16"/>
              </w:rPr>
              <w:lastRenderedPageBreak/>
              <w:t>sulfato de zinc (ZnSO</w:t>
            </w:r>
            <w:r w:rsidRPr="00F01347">
              <w:rPr>
                <w:rFonts w:ascii="Verdana" w:hAnsi="Verdana"/>
                <w:sz w:val="16"/>
                <w:szCs w:val="16"/>
                <w:vertAlign w:val="subscript"/>
              </w:rPr>
              <w:t>4</w:t>
            </w:r>
            <w:r w:rsidRPr="00F01347">
              <w:rPr>
                <w:rFonts w:ascii="Verdana" w:hAnsi="Verdana"/>
                <w:sz w:val="16"/>
                <w:szCs w:val="16"/>
              </w:rPr>
              <w:t>), sacarosa, citrato de potasio o Percoll-sacarosa.</w:t>
            </w:r>
          </w:p>
        </w:tc>
        <w:tc>
          <w:tcPr>
            <w:tcW w:w="4675" w:type="dxa"/>
          </w:tcPr>
          <w:p w14:paraId="01419670" w14:textId="68F0A377"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lastRenderedPageBreak/>
              <w:t>Purification of cysts is generally performed through flotation techniques using solutions of zinc sulfate (ZnSO</w:t>
            </w:r>
            <w:r w:rsidRPr="00F01347">
              <w:rPr>
                <w:rFonts w:ascii="Verdana" w:hAnsi="Verdana"/>
                <w:sz w:val="16"/>
                <w:szCs w:val="16"/>
                <w:vertAlign w:val="subscript"/>
                <w:lang w:val="en-US"/>
              </w:rPr>
              <w:t>4</w:t>
            </w:r>
            <w:r w:rsidR="00913802" w:rsidRPr="00F01347">
              <w:rPr>
                <w:rFonts w:ascii="Verdana" w:hAnsi="Verdana"/>
                <w:sz w:val="16"/>
                <w:szCs w:val="16"/>
                <w:vertAlign w:val="subscript"/>
                <w:lang w:val="en-US"/>
              </w:rPr>
              <w:t>)</w:t>
            </w:r>
            <w:r w:rsidRPr="00F01347">
              <w:rPr>
                <w:rFonts w:ascii="Verdana" w:hAnsi="Verdana"/>
                <w:sz w:val="16"/>
                <w:szCs w:val="16"/>
                <w:lang w:val="en-US"/>
              </w:rPr>
              <w:t xml:space="preserve">, sucrose, potassium citrate or </w:t>
            </w:r>
            <w:proofErr w:type="spellStart"/>
            <w:r w:rsidRPr="00F01347">
              <w:rPr>
                <w:rFonts w:ascii="Verdana" w:hAnsi="Verdana"/>
                <w:sz w:val="16"/>
                <w:szCs w:val="16"/>
                <w:lang w:val="en-US"/>
              </w:rPr>
              <w:t>Percoll</w:t>
            </w:r>
            <w:proofErr w:type="spellEnd"/>
            <w:r w:rsidRPr="00F01347">
              <w:rPr>
                <w:rFonts w:ascii="Verdana" w:hAnsi="Verdana"/>
                <w:sz w:val="16"/>
                <w:szCs w:val="16"/>
                <w:lang w:val="en-US"/>
              </w:rPr>
              <w:t>-sucrose.</w:t>
            </w:r>
          </w:p>
        </w:tc>
      </w:tr>
      <w:tr w:rsidR="00E82F3A" w:rsidRPr="00F01347" w14:paraId="6F64DB43" w14:textId="6CE61A47" w:rsidTr="00F04031">
        <w:tc>
          <w:tcPr>
            <w:tcW w:w="4675" w:type="dxa"/>
          </w:tcPr>
          <w:p w14:paraId="2BB239EC" w14:textId="77777777" w:rsidR="00E82F3A" w:rsidRPr="00F01347" w:rsidRDefault="00E82F3A" w:rsidP="00E82F3A">
            <w:pPr>
              <w:pStyle w:val="texto0"/>
              <w:spacing w:line="220" w:lineRule="exact"/>
              <w:ind w:firstLine="0"/>
              <w:rPr>
                <w:rFonts w:ascii="Verdana" w:hAnsi="Verdana"/>
                <w:b/>
                <w:sz w:val="16"/>
                <w:szCs w:val="16"/>
              </w:rPr>
            </w:pPr>
            <w:r w:rsidRPr="00F01347">
              <w:rPr>
                <w:rFonts w:ascii="Verdana" w:hAnsi="Verdana"/>
                <w:b/>
                <w:sz w:val="16"/>
                <w:szCs w:val="16"/>
              </w:rPr>
              <w:t>B.2.2.3 Alcance y aplicación</w:t>
            </w:r>
          </w:p>
        </w:tc>
        <w:tc>
          <w:tcPr>
            <w:tcW w:w="4675" w:type="dxa"/>
          </w:tcPr>
          <w:p w14:paraId="528B0A02" w14:textId="4B616B0A" w:rsidR="00E82F3A" w:rsidRPr="00F01347" w:rsidRDefault="00E82F3A" w:rsidP="00E82F3A">
            <w:pPr>
              <w:pStyle w:val="texto0"/>
              <w:spacing w:line="220" w:lineRule="exact"/>
              <w:ind w:firstLine="0"/>
              <w:rPr>
                <w:rFonts w:ascii="Verdana" w:hAnsi="Verdana"/>
                <w:b/>
                <w:sz w:val="16"/>
                <w:szCs w:val="16"/>
                <w:lang w:val="en-US"/>
              </w:rPr>
            </w:pPr>
            <w:r w:rsidRPr="00F01347">
              <w:rPr>
                <w:rFonts w:ascii="Verdana" w:hAnsi="Verdana"/>
                <w:b/>
                <w:sz w:val="16"/>
                <w:szCs w:val="16"/>
                <w:lang w:val="en-US"/>
              </w:rPr>
              <w:t>B.2.2.3 Scope and application</w:t>
            </w:r>
          </w:p>
        </w:tc>
      </w:tr>
      <w:tr w:rsidR="00E82F3A" w:rsidRPr="00F01347" w14:paraId="2DDE46A0" w14:textId="0FD52B08" w:rsidTr="00F04031">
        <w:tc>
          <w:tcPr>
            <w:tcW w:w="4675" w:type="dxa"/>
          </w:tcPr>
          <w:p w14:paraId="0B3C92F4"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 xml:space="preserve">Este método es utilizado en laboratorio para la extracción y purificación de los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retenidos en el material filtrante a partir del flujo de una muestra de gran volumen de agua para uso y consumo humano durante el procedimiento de muestreo descrito en el punto B.2.1, de este Apéndice.</w:t>
            </w:r>
          </w:p>
        </w:tc>
        <w:tc>
          <w:tcPr>
            <w:tcW w:w="4675" w:type="dxa"/>
          </w:tcPr>
          <w:p w14:paraId="7FE0920B" w14:textId="3D27D642" w:rsidR="00E82F3A" w:rsidRPr="00F01347" w:rsidRDefault="007F2109" w:rsidP="00E82F3A">
            <w:pPr>
              <w:pStyle w:val="texto0"/>
              <w:spacing w:line="220" w:lineRule="exact"/>
              <w:ind w:firstLine="0"/>
              <w:rPr>
                <w:rFonts w:ascii="Verdana" w:hAnsi="Verdana"/>
                <w:sz w:val="16"/>
                <w:szCs w:val="16"/>
                <w:lang w:val="en-US"/>
              </w:rPr>
            </w:pPr>
            <w:r w:rsidRPr="00F01347">
              <w:rPr>
                <w:rFonts w:ascii="Verdana" w:hAnsi="Verdana"/>
                <w:iCs/>
                <w:sz w:val="16"/>
                <w:szCs w:val="16"/>
                <w:lang w:val="en-US"/>
              </w:rPr>
              <w:t xml:space="preserve">This method is used in a laboratory for the extraction and purification of the </w:t>
            </w:r>
            <w:r w:rsidR="005D07D9" w:rsidRPr="00F01347">
              <w:rPr>
                <w:rFonts w:ascii="Verdana" w:hAnsi="Verdana"/>
                <w:i/>
                <w:sz w:val="16"/>
                <w:szCs w:val="16"/>
                <w:lang w:val="en-US"/>
              </w:rPr>
              <w:t xml:space="preserve">Giardia lamblia </w:t>
            </w:r>
            <w:r w:rsidR="00B53070" w:rsidRPr="00F01347">
              <w:rPr>
                <w:rFonts w:ascii="Verdana" w:hAnsi="Verdana"/>
                <w:iCs/>
                <w:sz w:val="16"/>
                <w:szCs w:val="16"/>
                <w:lang w:val="en-US"/>
              </w:rPr>
              <w:t>cysts</w:t>
            </w:r>
            <w:r w:rsidR="00E82F3A" w:rsidRPr="00F01347">
              <w:rPr>
                <w:rFonts w:ascii="Verdana" w:hAnsi="Verdana"/>
                <w:i/>
                <w:sz w:val="16"/>
                <w:szCs w:val="16"/>
                <w:lang w:val="en-US"/>
              </w:rPr>
              <w:t xml:space="preserve"> </w:t>
            </w:r>
            <w:r w:rsidR="00E82F3A" w:rsidRPr="00F01347">
              <w:rPr>
                <w:rFonts w:ascii="Verdana" w:hAnsi="Verdana"/>
                <w:sz w:val="16"/>
                <w:szCs w:val="16"/>
                <w:lang w:val="en-US"/>
              </w:rPr>
              <w:t>retained in the filter material from the flow of a large volume sample of water for human use and consumption during the sampling procedure described in point B.2.1 of this Appendix.</w:t>
            </w:r>
          </w:p>
        </w:tc>
      </w:tr>
      <w:tr w:rsidR="00E82F3A" w:rsidRPr="00F01347" w14:paraId="43ECAB5D" w14:textId="72EE38A6" w:rsidTr="00F04031">
        <w:tc>
          <w:tcPr>
            <w:tcW w:w="4675" w:type="dxa"/>
          </w:tcPr>
          <w:p w14:paraId="43483381" w14:textId="77777777" w:rsidR="00E82F3A" w:rsidRPr="00F01347" w:rsidRDefault="00E82F3A" w:rsidP="00E82F3A">
            <w:pPr>
              <w:pStyle w:val="texto0"/>
              <w:spacing w:line="220" w:lineRule="exact"/>
              <w:ind w:firstLine="0"/>
              <w:rPr>
                <w:rFonts w:ascii="Verdana" w:hAnsi="Verdana"/>
                <w:b/>
                <w:sz w:val="16"/>
                <w:szCs w:val="16"/>
              </w:rPr>
            </w:pPr>
            <w:r w:rsidRPr="00F01347">
              <w:rPr>
                <w:rFonts w:ascii="Verdana" w:hAnsi="Verdana"/>
                <w:b/>
                <w:sz w:val="16"/>
                <w:szCs w:val="16"/>
              </w:rPr>
              <w:t>B.2.2.4 Equipos y materiales</w:t>
            </w:r>
          </w:p>
        </w:tc>
        <w:tc>
          <w:tcPr>
            <w:tcW w:w="4675" w:type="dxa"/>
          </w:tcPr>
          <w:p w14:paraId="380038F5" w14:textId="020CDFDD" w:rsidR="00E82F3A" w:rsidRPr="00F01347" w:rsidRDefault="00E82F3A" w:rsidP="00E82F3A">
            <w:pPr>
              <w:pStyle w:val="texto0"/>
              <w:spacing w:line="220" w:lineRule="exact"/>
              <w:ind w:firstLine="0"/>
              <w:rPr>
                <w:rFonts w:ascii="Verdana" w:hAnsi="Verdana"/>
                <w:b/>
                <w:sz w:val="16"/>
                <w:szCs w:val="16"/>
                <w:lang w:val="en-US"/>
              </w:rPr>
            </w:pPr>
            <w:r w:rsidRPr="00F01347">
              <w:rPr>
                <w:rFonts w:ascii="Verdana" w:hAnsi="Verdana"/>
                <w:b/>
                <w:sz w:val="16"/>
                <w:szCs w:val="16"/>
                <w:lang w:val="en-US"/>
              </w:rPr>
              <w:t>B.2.2.4 Equipment and materials</w:t>
            </w:r>
          </w:p>
        </w:tc>
      </w:tr>
      <w:tr w:rsidR="00E82F3A" w:rsidRPr="00F01347" w14:paraId="102C064B" w14:textId="478A313F" w:rsidTr="00F04031">
        <w:tc>
          <w:tcPr>
            <w:tcW w:w="4675" w:type="dxa"/>
          </w:tcPr>
          <w:p w14:paraId="6976DDE8" w14:textId="77777777" w:rsidR="00E82F3A" w:rsidRPr="00F01347" w:rsidRDefault="00E82F3A" w:rsidP="00E82F3A">
            <w:pPr>
              <w:pStyle w:val="texto0"/>
              <w:spacing w:line="220" w:lineRule="exact"/>
              <w:ind w:firstLine="0"/>
              <w:rPr>
                <w:rFonts w:ascii="Verdana" w:hAnsi="Verdana"/>
                <w:sz w:val="16"/>
                <w:szCs w:val="16"/>
              </w:rPr>
            </w:pPr>
            <w:r w:rsidRPr="00F01347">
              <w:rPr>
                <w:rFonts w:ascii="Verdana" w:hAnsi="Verdana"/>
                <w:sz w:val="16"/>
                <w:szCs w:val="16"/>
              </w:rPr>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Pr>
          <w:p w14:paraId="1B901B40" w14:textId="42F4DD01" w:rsidR="00E82F3A" w:rsidRPr="00F01347" w:rsidRDefault="00E82F3A" w:rsidP="00E82F3A">
            <w:pPr>
              <w:pStyle w:val="texto0"/>
              <w:spacing w:line="220" w:lineRule="exact"/>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E82F3A" w:rsidRPr="00F01347" w14:paraId="2F7BF9BB" w14:textId="53D7BBC4" w:rsidTr="00F04031">
        <w:tc>
          <w:tcPr>
            <w:tcW w:w="4675" w:type="dxa"/>
          </w:tcPr>
          <w:p w14:paraId="03FA2C23" w14:textId="77777777" w:rsidR="00E82F3A" w:rsidRPr="00F01347" w:rsidRDefault="00E82F3A" w:rsidP="00E82F3A">
            <w:pPr>
              <w:pStyle w:val="texto0"/>
              <w:spacing w:line="233" w:lineRule="exact"/>
              <w:ind w:firstLine="0"/>
              <w:rPr>
                <w:rFonts w:ascii="Verdana" w:hAnsi="Verdana"/>
                <w:b/>
                <w:sz w:val="16"/>
                <w:szCs w:val="16"/>
              </w:rPr>
            </w:pPr>
            <w:r w:rsidRPr="00F01347">
              <w:rPr>
                <w:rFonts w:ascii="Verdana" w:hAnsi="Verdana"/>
                <w:b/>
                <w:sz w:val="16"/>
                <w:szCs w:val="16"/>
              </w:rPr>
              <w:t>Botellas para centrífuga</w:t>
            </w:r>
          </w:p>
        </w:tc>
        <w:tc>
          <w:tcPr>
            <w:tcW w:w="4675" w:type="dxa"/>
          </w:tcPr>
          <w:p w14:paraId="164B24E6" w14:textId="46CF404A"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Centrifuge bottles</w:t>
            </w:r>
          </w:p>
        </w:tc>
      </w:tr>
      <w:tr w:rsidR="00E82F3A" w:rsidRPr="00F01347" w14:paraId="1EE77183" w14:textId="7779734C" w:rsidTr="00F04031">
        <w:tc>
          <w:tcPr>
            <w:tcW w:w="4675" w:type="dxa"/>
          </w:tcPr>
          <w:p w14:paraId="42284B8E"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b/>
                <w:sz w:val="16"/>
                <w:szCs w:val="16"/>
              </w:rPr>
              <w:t>Centrífuga</w:t>
            </w:r>
            <w:r w:rsidRPr="00F01347">
              <w:rPr>
                <w:rFonts w:ascii="Verdana" w:hAnsi="Verdana"/>
                <w:sz w:val="16"/>
                <w:szCs w:val="16"/>
              </w:rPr>
              <w:t xml:space="preserve"> capaz de alcanzar al menos 660 g y que permita procesar volúmenes de 3 a 4 L</w:t>
            </w:r>
          </w:p>
        </w:tc>
        <w:tc>
          <w:tcPr>
            <w:tcW w:w="4675" w:type="dxa"/>
          </w:tcPr>
          <w:p w14:paraId="0949172F" w14:textId="17E227F5"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 xml:space="preserve">Centrifuge </w:t>
            </w:r>
            <w:r w:rsidRPr="00F01347">
              <w:rPr>
                <w:rFonts w:ascii="Verdana" w:hAnsi="Verdana"/>
                <w:sz w:val="16"/>
                <w:szCs w:val="16"/>
                <w:lang w:val="en-US"/>
              </w:rPr>
              <w:t>capable of reaching at least 660 g and allowing processing volumes of 3 to 4 L</w:t>
            </w:r>
          </w:p>
        </w:tc>
      </w:tr>
      <w:tr w:rsidR="00E82F3A" w:rsidRPr="00F01347" w14:paraId="34B90A87" w14:textId="45A9E66E" w:rsidTr="00F04031">
        <w:tc>
          <w:tcPr>
            <w:tcW w:w="4675" w:type="dxa"/>
          </w:tcPr>
          <w:p w14:paraId="2FFA69C9"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b/>
                <w:sz w:val="16"/>
                <w:szCs w:val="16"/>
              </w:rPr>
              <w:t>Charola de Aluminio</w:t>
            </w:r>
            <w:r w:rsidRPr="00F01347">
              <w:rPr>
                <w:rFonts w:ascii="Verdana" w:hAnsi="Verdana"/>
                <w:sz w:val="16"/>
                <w:szCs w:val="16"/>
              </w:rPr>
              <w:t xml:space="preserve"> o acero inoxidable de 50 x 35 cm aprox. o papel aluminio</w:t>
            </w:r>
          </w:p>
        </w:tc>
        <w:tc>
          <w:tcPr>
            <w:tcW w:w="4675" w:type="dxa"/>
          </w:tcPr>
          <w:p w14:paraId="21F9D80A" w14:textId="67327015"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 xml:space="preserve">Aluminum </w:t>
            </w:r>
            <w:r w:rsidRPr="00F01347">
              <w:rPr>
                <w:rFonts w:ascii="Verdana" w:hAnsi="Verdana"/>
                <w:b/>
                <w:bCs/>
                <w:sz w:val="16"/>
                <w:szCs w:val="16"/>
                <w:lang w:val="en-US"/>
              </w:rPr>
              <w:t xml:space="preserve">or </w:t>
            </w:r>
            <w:r w:rsidR="007F2109" w:rsidRPr="00F01347">
              <w:rPr>
                <w:rFonts w:ascii="Verdana" w:hAnsi="Verdana"/>
                <w:b/>
                <w:bCs/>
                <w:sz w:val="16"/>
                <w:szCs w:val="16"/>
                <w:lang w:val="en-US"/>
              </w:rPr>
              <w:t>stainless-steel</w:t>
            </w:r>
            <w:r w:rsidRPr="00F01347">
              <w:rPr>
                <w:rFonts w:ascii="Verdana" w:hAnsi="Verdana"/>
                <w:b/>
                <w:bCs/>
                <w:sz w:val="16"/>
                <w:szCs w:val="16"/>
                <w:lang w:val="en-US"/>
              </w:rPr>
              <w:t xml:space="preserve"> tray</w:t>
            </w:r>
            <w:r w:rsidRPr="00F01347">
              <w:rPr>
                <w:rFonts w:ascii="Verdana" w:hAnsi="Verdana"/>
                <w:sz w:val="16"/>
                <w:szCs w:val="16"/>
                <w:lang w:val="en-US"/>
              </w:rPr>
              <w:t xml:space="preserve"> measuring approximately 50 x 35 cm. or aluminum foil</w:t>
            </w:r>
          </w:p>
        </w:tc>
      </w:tr>
      <w:tr w:rsidR="00E82F3A" w:rsidRPr="00F01347" w14:paraId="5665B2D1" w14:textId="1230A6C6" w:rsidTr="00F04031">
        <w:tc>
          <w:tcPr>
            <w:tcW w:w="4675" w:type="dxa"/>
          </w:tcPr>
          <w:p w14:paraId="39D5B3F6"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b/>
                <w:sz w:val="16"/>
                <w:szCs w:val="16"/>
              </w:rPr>
              <w:t xml:space="preserve">Guantes </w:t>
            </w:r>
            <w:r w:rsidRPr="00F01347">
              <w:rPr>
                <w:rFonts w:ascii="Verdana" w:hAnsi="Verdana"/>
                <w:sz w:val="16"/>
                <w:szCs w:val="16"/>
              </w:rPr>
              <w:t>de nitrilo o látex</w:t>
            </w:r>
          </w:p>
        </w:tc>
        <w:tc>
          <w:tcPr>
            <w:tcW w:w="4675" w:type="dxa"/>
          </w:tcPr>
          <w:p w14:paraId="6F7AAF20" w14:textId="253DFDEC"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bCs/>
                <w:sz w:val="16"/>
                <w:szCs w:val="16"/>
                <w:lang w:val="en-US"/>
              </w:rPr>
              <w:t>Nitrile or latex</w:t>
            </w:r>
            <w:r w:rsidRPr="00F01347">
              <w:rPr>
                <w:rFonts w:ascii="Verdana" w:hAnsi="Verdana"/>
                <w:sz w:val="16"/>
                <w:szCs w:val="16"/>
                <w:lang w:val="en-US"/>
              </w:rPr>
              <w:t xml:space="preserve"> </w:t>
            </w:r>
            <w:r w:rsidRPr="00F01347">
              <w:rPr>
                <w:rFonts w:ascii="Verdana" w:hAnsi="Verdana"/>
                <w:b/>
                <w:sz w:val="16"/>
                <w:szCs w:val="16"/>
                <w:lang w:val="en-US"/>
              </w:rPr>
              <w:t>gloves</w:t>
            </w:r>
          </w:p>
        </w:tc>
      </w:tr>
      <w:tr w:rsidR="00E82F3A" w:rsidRPr="00F01347" w14:paraId="41E0261B" w14:textId="1D4CB408" w:rsidTr="00F04031">
        <w:tc>
          <w:tcPr>
            <w:tcW w:w="4675" w:type="dxa"/>
          </w:tcPr>
          <w:p w14:paraId="1689DC96"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b/>
                <w:sz w:val="16"/>
                <w:szCs w:val="16"/>
              </w:rPr>
              <w:t>Mango para bisturí</w:t>
            </w:r>
            <w:r w:rsidRPr="00F01347">
              <w:rPr>
                <w:rFonts w:ascii="Verdana" w:hAnsi="Verdana"/>
                <w:sz w:val="16"/>
                <w:szCs w:val="16"/>
              </w:rPr>
              <w:t xml:space="preserve"> o una navaja afilada que permita un manejo aséptico</w:t>
            </w:r>
          </w:p>
        </w:tc>
        <w:tc>
          <w:tcPr>
            <w:tcW w:w="4675" w:type="dxa"/>
          </w:tcPr>
          <w:p w14:paraId="22A354A6" w14:textId="56430F7D"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 xml:space="preserve">Scalpel handle </w:t>
            </w:r>
            <w:r w:rsidRPr="00F01347">
              <w:rPr>
                <w:rFonts w:ascii="Verdana" w:hAnsi="Verdana"/>
                <w:sz w:val="16"/>
                <w:szCs w:val="16"/>
                <w:lang w:val="en-US"/>
              </w:rPr>
              <w:t>or a sharp razor that allows aseptic handling</w:t>
            </w:r>
          </w:p>
        </w:tc>
      </w:tr>
      <w:tr w:rsidR="00E82F3A" w:rsidRPr="00F01347" w14:paraId="028C0AE2" w14:textId="40172B72" w:rsidTr="00F04031">
        <w:tc>
          <w:tcPr>
            <w:tcW w:w="4675" w:type="dxa"/>
          </w:tcPr>
          <w:p w14:paraId="4F22BBD0"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b/>
                <w:sz w:val="16"/>
                <w:szCs w:val="16"/>
              </w:rPr>
              <w:t>Micropipeta</w:t>
            </w:r>
            <w:r w:rsidRPr="00F01347">
              <w:rPr>
                <w:rFonts w:ascii="Verdana" w:hAnsi="Verdana"/>
                <w:sz w:val="16"/>
                <w:szCs w:val="16"/>
              </w:rPr>
              <w:t xml:space="preserve"> de volumen variable de 5-100 µL</w:t>
            </w:r>
          </w:p>
        </w:tc>
        <w:tc>
          <w:tcPr>
            <w:tcW w:w="4675" w:type="dxa"/>
          </w:tcPr>
          <w:p w14:paraId="53EA7800" w14:textId="65B6168F"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sz w:val="16"/>
                <w:szCs w:val="16"/>
                <w:lang w:val="en-US"/>
              </w:rPr>
              <w:t xml:space="preserve">5-100 µL variable volume </w:t>
            </w:r>
            <w:r w:rsidRPr="00F01347">
              <w:rPr>
                <w:rFonts w:ascii="Verdana" w:hAnsi="Verdana"/>
                <w:b/>
                <w:sz w:val="16"/>
                <w:szCs w:val="16"/>
                <w:lang w:val="en-US"/>
              </w:rPr>
              <w:t>micropipette</w:t>
            </w:r>
          </w:p>
        </w:tc>
      </w:tr>
      <w:tr w:rsidR="00E82F3A" w:rsidRPr="00F01347" w14:paraId="3F8493F2" w14:textId="6F5FBB14" w:rsidTr="00F04031">
        <w:tc>
          <w:tcPr>
            <w:tcW w:w="4675" w:type="dxa"/>
          </w:tcPr>
          <w:p w14:paraId="518A3E4B"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b/>
                <w:sz w:val="16"/>
                <w:szCs w:val="16"/>
              </w:rPr>
              <w:t>Navajas para bisturí</w:t>
            </w:r>
            <w:r w:rsidRPr="00F01347">
              <w:rPr>
                <w:rFonts w:ascii="Verdana" w:hAnsi="Verdana"/>
                <w:sz w:val="16"/>
                <w:szCs w:val="16"/>
              </w:rPr>
              <w:t xml:space="preserve"> del tamaño adecuado</w:t>
            </w:r>
          </w:p>
        </w:tc>
        <w:tc>
          <w:tcPr>
            <w:tcW w:w="4675" w:type="dxa"/>
          </w:tcPr>
          <w:p w14:paraId="4698EA6C" w14:textId="158C5839"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 xml:space="preserve">Scalpel blades </w:t>
            </w:r>
            <w:r w:rsidRPr="00F01347">
              <w:rPr>
                <w:rFonts w:ascii="Verdana" w:hAnsi="Verdana"/>
                <w:sz w:val="16"/>
                <w:szCs w:val="16"/>
                <w:lang w:val="en-US"/>
              </w:rPr>
              <w:t>of the right size</w:t>
            </w:r>
          </w:p>
        </w:tc>
      </w:tr>
      <w:tr w:rsidR="00E82F3A" w:rsidRPr="00F01347" w14:paraId="343B22C9" w14:textId="1A8D22E3" w:rsidTr="00F04031">
        <w:tc>
          <w:tcPr>
            <w:tcW w:w="4675" w:type="dxa"/>
          </w:tcPr>
          <w:p w14:paraId="5C2C8D72"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b/>
                <w:sz w:val="16"/>
                <w:szCs w:val="16"/>
              </w:rPr>
              <w:t>Puntas para micropipeta</w:t>
            </w:r>
            <w:r w:rsidRPr="00F01347">
              <w:rPr>
                <w:rFonts w:ascii="Verdana" w:hAnsi="Verdana"/>
                <w:sz w:val="16"/>
                <w:szCs w:val="16"/>
              </w:rPr>
              <w:t xml:space="preserve"> de 5-50 µL, 100 µL.</w:t>
            </w:r>
          </w:p>
        </w:tc>
        <w:tc>
          <w:tcPr>
            <w:tcW w:w="4675" w:type="dxa"/>
          </w:tcPr>
          <w:p w14:paraId="338028F2" w14:textId="4421483E"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 xml:space="preserve">Micropipette tips </w:t>
            </w:r>
            <w:r w:rsidRPr="00F01347">
              <w:rPr>
                <w:rFonts w:ascii="Verdana" w:hAnsi="Verdana"/>
                <w:sz w:val="16"/>
                <w:szCs w:val="16"/>
                <w:lang w:val="en-US"/>
              </w:rPr>
              <w:t>5-50 µL, 100 µL.</w:t>
            </w:r>
          </w:p>
        </w:tc>
      </w:tr>
      <w:tr w:rsidR="00E82F3A" w:rsidRPr="00F01347" w14:paraId="6069F2E4" w14:textId="6FD90B8E" w:rsidTr="00F04031">
        <w:tc>
          <w:tcPr>
            <w:tcW w:w="4675" w:type="dxa"/>
          </w:tcPr>
          <w:p w14:paraId="5BB240B9" w14:textId="77777777" w:rsidR="00E82F3A" w:rsidRPr="00F01347" w:rsidRDefault="00E82F3A" w:rsidP="00E82F3A">
            <w:pPr>
              <w:pStyle w:val="texto0"/>
              <w:spacing w:line="233" w:lineRule="exact"/>
              <w:ind w:firstLine="0"/>
              <w:rPr>
                <w:rFonts w:ascii="Verdana" w:hAnsi="Verdana"/>
                <w:b/>
                <w:sz w:val="16"/>
                <w:szCs w:val="16"/>
              </w:rPr>
            </w:pPr>
            <w:r w:rsidRPr="00F01347">
              <w:rPr>
                <w:rFonts w:ascii="Verdana" w:hAnsi="Verdana"/>
                <w:b/>
                <w:sz w:val="16"/>
                <w:szCs w:val="16"/>
              </w:rPr>
              <w:t>Sifón</w:t>
            </w:r>
          </w:p>
        </w:tc>
        <w:tc>
          <w:tcPr>
            <w:tcW w:w="4675" w:type="dxa"/>
          </w:tcPr>
          <w:p w14:paraId="749D31BB" w14:textId="4BDD3B94"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Siphon</w:t>
            </w:r>
          </w:p>
        </w:tc>
      </w:tr>
      <w:tr w:rsidR="00E82F3A" w:rsidRPr="00F01347" w14:paraId="6E94E8D3" w14:textId="0AD71839" w:rsidTr="00F04031">
        <w:tc>
          <w:tcPr>
            <w:tcW w:w="4675" w:type="dxa"/>
          </w:tcPr>
          <w:p w14:paraId="5B97EE11"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b/>
                <w:sz w:val="16"/>
                <w:szCs w:val="16"/>
              </w:rPr>
              <w:t>Sistema de vacío con trampa</w:t>
            </w:r>
            <w:r w:rsidRPr="00F01347">
              <w:rPr>
                <w:rFonts w:ascii="Verdana" w:hAnsi="Verdana"/>
                <w:sz w:val="16"/>
                <w:szCs w:val="16"/>
              </w:rPr>
              <w:t xml:space="preserve"> (Matraz Kitasato de 4L; tapón de silicón; tubo de vidrio de 6mm de diámetro u otro adecuado; mangueras de plástico flexible; punta para micropipeta de 500-100 µL)</w:t>
            </w:r>
          </w:p>
        </w:tc>
        <w:tc>
          <w:tcPr>
            <w:tcW w:w="4675" w:type="dxa"/>
          </w:tcPr>
          <w:p w14:paraId="78C90338" w14:textId="01437A6E"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 xml:space="preserve">Vacuum system with trap </w:t>
            </w:r>
            <w:r w:rsidRPr="00F01347">
              <w:rPr>
                <w:rFonts w:ascii="Verdana" w:hAnsi="Verdana"/>
                <w:sz w:val="16"/>
                <w:szCs w:val="16"/>
                <w:lang w:val="en-US"/>
              </w:rPr>
              <w:t>(4L Kitasato flask; silicone stopper; 6mm diameter glass tube or other suitable tube; flexible plastic hoses; 500-100 µL micropipette tip)</w:t>
            </w:r>
          </w:p>
        </w:tc>
      </w:tr>
      <w:tr w:rsidR="00E82F3A" w:rsidRPr="00F01347" w14:paraId="7328FB64" w14:textId="0D0A45CE" w:rsidTr="00F04031">
        <w:tc>
          <w:tcPr>
            <w:tcW w:w="4675" w:type="dxa"/>
          </w:tcPr>
          <w:p w14:paraId="61B4E102" w14:textId="77777777" w:rsidR="00E82F3A" w:rsidRPr="00F01347" w:rsidRDefault="00E82F3A" w:rsidP="00E82F3A">
            <w:pPr>
              <w:pStyle w:val="texto0"/>
              <w:spacing w:line="233" w:lineRule="exact"/>
              <w:ind w:firstLine="0"/>
              <w:rPr>
                <w:rFonts w:ascii="Verdana" w:hAnsi="Verdana"/>
                <w:b/>
                <w:sz w:val="16"/>
                <w:szCs w:val="16"/>
              </w:rPr>
            </w:pPr>
            <w:r w:rsidRPr="00F01347">
              <w:rPr>
                <w:rFonts w:ascii="Verdana" w:hAnsi="Verdana"/>
                <w:b/>
                <w:sz w:val="16"/>
                <w:szCs w:val="16"/>
              </w:rPr>
              <w:t xml:space="preserve">Tubos de centrífuga de 15 y 50 </w:t>
            </w:r>
            <w:proofErr w:type="spellStart"/>
            <w:r w:rsidRPr="00F01347">
              <w:rPr>
                <w:rFonts w:ascii="Verdana" w:hAnsi="Verdana"/>
                <w:b/>
                <w:sz w:val="16"/>
                <w:szCs w:val="16"/>
              </w:rPr>
              <w:t>mL</w:t>
            </w:r>
            <w:proofErr w:type="spellEnd"/>
          </w:p>
        </w:tc>
        <w:tc>
          <w:tcPr>
            <w:tcW w:w="4675" w:type="dxa"/>
          </w:tcPr>
          <w:p w14:paraId="5E249646" w14:textId="14BC8363" w:rsidR="00E82F3A" w:rsidRPr="00F01347" w:rsidRDefault="00E82F3A" w:rsidP="00E82F3A">
            <w:pPr>
              <w:pStyle w:val="texto0"/>
              <w:spacing w:line="233" w:lineRule="exact"/>
              <w:ind w:firstLine="0"/>
              <w:rPr>
                <w:rFonts w:ascii="Verdana" w:hAnsi="Verdana"/>
                <w:b/>
                <w:sz w:val="16"/>
                <w:szCs w:val="16"/>
                <w:lang w:val="en-US"/>
              </w:rPr>
            </w:pPr>
            <w:proofErr w:type="gramStart"/>
            <w:r w:rsidRPr="00F01347">
              <w:rPr>
                <w:rFonts w:ascii="Verdana" w:hAnsi="Verdana"/>
                <w:b/>
                <w:sz w:val="16"/>
                <w:szCs w:val="16"/>
                <w:lang w:val="en-US"/>
              </w:rPr>
              <w:t>15 and 50 mL</w:t>
            </w:r>
            <w:proofErr w:type="gramEnd"/>
            <w:r w:rsidRPr="00F01347">
              <w:rPr>
                <w:rFonts w:ascii="Verdana" w:hAnsi="Verdana"/>
                <w:b/>
                <w:sz w:val="16"/>
                <w:szCs w:val="16"/>
                <w:lang w:val="en-US"/>
              </w:rPr>
              <w:t xml:space="preserve"> centrifuge tubes</w:t>
            </w:r>
          </w:p>
        </w:tc>
      </w:tr>
      <w:tr w:rsidR="00E82F3A" w:rsidRPr="00F01347" w14:paraId="0A97CFF5" w14:textId="698C68E1" w:rsidTr="00F04031">
        <w:tc>
          <w:tcPr>
            <w:tcW w:w="4675" w:type="dxa"/>
          </w:tcPr>
          <w:p w14:paraId="06411A3A" w14:textId="77777777" w:rsidR="00E82F3A" w:rsidRPr="00F01347" w:rsidRDefault="00E82F3A" w:rsidP="00E82F3A">
            <w:pPr>
              <w:pStyle w:val="texto0"/>
              <w:spacing w:line="233" w:lineRule="exact"/>
              <w:ind w:firstLine="0"/>
              <w:rPr>
                <w:rFonts w:ascii="Verdana" w:hAnsi="Verdana"/>
                <w:b/>
                <w:sz w:val="16"/>
                <w:szCs w:val="16"/>
              </w:rPr>
            </w:pPr>
            <w:r w:rsidRPr="00F01347">
              <w:rPr>
                <w:rFonts w:ascii="Verdana" w:hAnsi="Verdana"/>
                <w:b/>
                <w:sz w:val="16"/>
                <w:szCs w:val="16"/>
              </w:rPr>
              <w:t>Vaso de precipitados de polipropileno de 4 L</w:t>
            </w:r>
          </w:p>
        </w:tc>
        <w:tc>
          <w:tcPr>
            <w:tcW w:w="4675" w:type="dxa"/>
          </w:tcPr>
          <w:p w14:paraId="4AA070CE" w14:textId="1F093400"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4L Polypropylene Beaker</w:t>
            </w:r>
          </w:p>
        </w:tc>
      </w:tr>
      <w:tr w:rsidR="00E82F3A" w:rsidRPr="00F01347" w14:paraId="26B0F66B" w14:textId="54AFBA59" w:rsidTr="00F04031">
        <w:tc>
          <w:tcPr>
            <w:tcW w:w="4675" w:type="dxa"/>
          </w:tcPr>
          <w:p w14:paraId="7D1195E9" w14:textId="77777777" w:rsidR="00E82F3A" w:rsidRPr="00F01347" w:rsidRDefault="00E82F3A" w:rsidP="00E82F3A">
            <w:pPr>
              <w:pStyle w:val="texto0"/>
              <w:spacing w:line="233" w:lineRule="exact"/>
              <w:ind w:firstLine="0"/>
              <w:rPr>
                <w:rFonts w:ascii="Verdana" w:hAnsi="Verdana"/>
                <w:b/>
                <w:sz w:val="16"/>
                <w:szCs w:val="16"/>
              </w:rPr>
            </w:pPr>
            <w:r w:rsidRPr="00F01347">
              <w:rPr>
                <w:rFonts w:ascii="Verdana" w:hAnsi="Verdana"/>
                <w:b/>
                <w:sz w:val="16"/>
                <w:szCs w:val="16"/>
              </w:rPr>
              <w:t>Vórtex</w:t>
            </w:r>
          </w:p>
        </w:tc>
        <w:tc>
          <w:tcPr>
            <w:tcW w:w="4675" w:type="dxa"/>
          </w:tcPr>
          <w:p w14:paraId="748CC8E9" w14:textId="3F1CAA78"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Vortex</w:t>
            </w:r>
          </w:p>
        </w:tc>
      </w:tr>
      <w:tr w:rsidR="00E82F3A" w:rsidRPr="00F01347" w14:paraId="4DD5A265" w14:textId="57B798B5" w:rsidTr="00F04031">
        <w:tc>
          <w:tcPr>
            <w:tcW w:w="4675" w:type="dxa"/>
          </w:tcPr>
          <w:p w14:paraId="6DEA3A90" w14:textId="77777777" w:rsidR="00E82F3A" w:rsidRPr="00F01347" w:rsidRDefault="00E82F3A" w:rsidP="00E82F3A">
            <w:pPr>
              <w:pStyle w:val="texto0"/>
              <w:spacing w:line="233" w:lineRule="exact"/>
              <w:ind w:firstLine="0"/>
              <w:rPr>
                <w:rFonts w:ascii="Verdana" w:hAnsi="Verdana"/>
                <w:b/>
                <w:sz w:val="16"/>
                <w:szCs w:val="16"/>
              </w:rPr>
            </w:pPr>
            <w:r w:rsidRPr="00F01347">
              <w:rPr>
                <w:rFonts w:ascii="Verdana" w:hAnsi="Verdana"/>
                <w:b/>
                <w:sz w:val="16"/>
                <w:szCs w:val="16"/>
              </w:rPr>
              <w:t>B.2.2.5 Reactivos y soluciones</w:t>
            </w:r>
          </w:p>
        </w:tc>
        <w:tc>
          <w:tcPr>
            <w:tcW w:w="4675" w:type="dxa"/>
          </w:tcPr>
          <w:p w14:paraId="396A3FD4" w14:textId="49C4A435"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B.2.2.5 Reagents and solutions</w:t>
            </w:r>
          </w:p>
        </w:tc>
      </w:tr>
      <w:tr w:rsidR="00E82F3A" w:rsidRPr="00F01347" w14:paraId="4DDEFE87" w14:textId="5EEA7A18" w:rsidTr="00F04031">
        <w:tc>
          <w:tcPr>
            <w:tcW w:w="4675" w:type="dxa"/>
          </w:tcPr>
          <w:p w14:paraId="17C3CEBE" w14:textId="77777777" w:rsidR="00E82F3A" w:rsidRPr="00F01347" w:rsidRDefault="00E82F3A" w:rsidP="00E82F3A">
            <w:pPr>
              <w:pStyle w:val="texto0"/>
              <w:spacing w:line="233" w:lineRule="exact"/>
              <w:ind w:firstLine="0"/>
              <w:rPr>
                <w:rFonts w:ascii="Verdana" w:hAnsi="Verdana"/>
                <w:b/>
                <w:sz w:val="16"/>
                <w:szCs w:val="16"/>
              </w:rPr>
            </w:pPr>
            <w:r w:rsidRPr="00F01347">
              <w:rPr>
                <w:rFonts w:ascii="Verdana" w:hAnsi="Verdana"/>
                <w:b/>
                <w:sz w:val="16"/>
                <w:szCs w:val="16"/>
              </w:rPr>
              <w:t>Agua destilada grado reactivo</w:t>
            </w:r>
          </w:p>
        </w:tc>
        <w:tc>
          <w:tcPr>
            <w:tcW w:w="4675" w:type="dxa"/>
          </w:tcPr>
          <w:p w14:paraId="645ACBE6" w14:textId="17DC68E9"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Reagent grade distilled water</w:t>
            </w:r>
          </w:p>
        </w:tc>
      </w:tr>
      <w:tr w:rsidR="00E82F3A" w:rsidRPr="00F01347" w14:paraId="27B2172C" w14:textId="2E967E44" w:rsidTr="00F04031">
        <w:tc>
          <w:tcPr>
            <w:tcW w:w="4675" w:type="dxa"/>
          </w:tcPr>
          <w:p w14:paraId="7ED76106"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b/>
                <w:sz w:val="16"/>
                <w:szCs w:val="16"/>
              </w:rPr>
              <w:t>Formaldehído al 37%</w:t>
            </w:r>
            <w:r w:rsidRPr="00F01347">
              <w:rPr>
                <w:rFonts w:ascii="Verdana" w:hAnsi="Verdana"/>
                <w:sz w:val="16"/>
                <w:szCs w:val="16"/>
              </w:rPr>
              <w:t xml:space="preserve"> (v/v)</w:t>
            </w:r>
          </w:p>
        </w:tc>
        <w:tc>
          <w:tcPr>
            <w:tcW w:w="4675" w:type="dxa"/>
          </w:tcPr>
          <w:p w14:paraId="5E76C29B" w14:textId="7DB17C72"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 xml:space="preserve">Formaldehyde 37% </w:t>
            </w:r>
            <w:r w:rsidRPr="00F01347">
              <w:rPr>
                <w:rFonts w:ascii="Verdana" w:hAnsi="Verdana"/>
                <w:sz w:val="16"/>
                <w:szCs w:val="16"/>
                <w:lang w:val="en-US"/>
              </w:rPr>
              <w:t>(v/v)</w:t>
            </w:r>
          </w:p>
        </w:tc>
      </w:tr>
      <w:tr w:rsidR="00E82F3A" w:rsidRPr="00F01347" w14:paraId="1E1A42A5" w14:textId="028AA09B" w:rsidTr="00F04031">
        <w:tc>
          <w:tcPr>
            <w:tcW w:w="4675" w:type="dxa"/>
          </w:tcPr>
          <w:p w14:paraId="762FAD5A"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b/>
                <w:sz w:val="16"/>
                <w:szCs w:val="16"/>
              </w:rPr>
              <w:t>Disolución de formaldehído al 2%</w:t>
            </w:r>
            <w:r w:rsidRPr="00F01347">
              <w:rPr>
                <w:rFonts w:ascii="Verdana" w:hAnsi="Verdana"/>
                <w:sz w:val="16"/>
                <w:szCs w:val="16"/>
              </w:rPr>
              <w:t xml:space="preserve"> (v/v)</w:t>
            </w:r>
          </w:p>
        </w:tc>
        <w:tc>
          <w:tcPr>
            <w:tcW w:w="4675" w:type="dxa"/>
          </w:tcPr>
          <w:p w14:paraId="1B40028C" w14:textId="1D001E66"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sz w:val="16"/>
                <w:szCs w:val="16"/>
                <w:lang w:val="en-US"/>
              </w:rPr>
              <w:t xml:space="preserve">(v/v) </w:t>
            </w:r>
            <w:r w:rsidRPr="00F01347">
              <w:rPr>
                <w:rFonts w:ascii="Verdana" w:hAnsi="Verdana"/>
                <w:b/>
                <w:sz w:val="16"/>
                <w:szCs w:val="16"/>
                <w:lang w:val="en-US"/>
              </w:rPr>
              <w:t>formaldehyde solution</w:t>
            </w:r>
          </w:p>
        </w:tc>
      </w:tr>
      <w:tr w:rsidR="00E82F3A" w:rsidRPr="00F01347" w14:paraId="49DC3E4D" w14:textId="46990269" w:rsidTr="00F04031">
        <w:tc>
          <w:tcPr>
            <w:tcW w:w="4675" w:type="dxa"/>
          </w:tcPr>
          <w:p w14:paraId="707B6B9C" w14:textId="77777777" w:rsidR="00E82F3A" w:rsidRPr="00F01347" w:rsidRDefault="00E82F3A" w:rsidP="00E82F3A">
            <w:pPr>
              <w:pStyle w:val="texto0"/>
              <w:spacing w:line="233" w:lineRule="exact"/>
              <w:ind w:firstLine="0"/>
              <w:rPr>
                <w:rFonts w:ascii="Verdana" w:hAnsi="Verdana"/>
                <w:sz w:val="16"/>
                <w:szCs w:val="16"/>
              </w:rPr>
            </w:pPr>
            <w:proofErr w:type="spellStart"/>
            <w:r w:rsidRPr="00F01347">
              <w:rPr>
                <w:rFonts w:ascii="Verdana" w:hAnsi="Verdana"/>
                <w:b/>
                <w:sz w:val="16"/>
                <w:szCs w:val="16"/>
              </w:rPr>
              <w:t>Tween</w:t>
            </w:r>
            <w:proofErr w:type="spellEnd"/>
            <w:r w:rsidRPr="00F01347">
              <w:rPr>
                <w:rFonts w:ascii="Verdana" w:hAnsi="Verdana"/>
                <w:b/>
                <w:sz w:val="16"/>
                <w:szCs w:val="16"/>
              </w:rPr>
              <w:t xml:space="preserve"> 80</w:t>
            </w:r>
            <w:r w:rsidRPr="00F01347">
              <w:rPr>
                <w:rFonts w:ascii="Verdana" w:hAnsi="Verdana"/>
                <w:sz w:val="16"/>
                <w:szCs w:val="16"/>
              </w:rPr>
              <w:t xml:space="preserve"> al 0.1%</w:t>
            </w:r>
          </w:p>
        </w:tc>
        <w:tc>
          <w:tcPr>
            <w:tcW w:w="4675" w:type="dxa"/>
          </w:tcPr>
          <w:p w14:paraId="76FE50E1" w14:textId="289AE1A2"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 xml:space="preserve">Tween 80 </w:t>
            </w:r>
            <w:r w:rsidRPr="00F01347">
              <w:rPr>
                <w:rFonts w:ascii="Verdana" w:hAnsi="Verdana"/>
                <w:sz w:val="16"/>
                <w:szCs w:val="16"/>
                <w:lang w:val="en-US"/>
              </w:rPr>
              <w:t>at 0.1%</w:t>
            </w:r>
          </w:p>
        </w:tc>
      </w:tr>
      <w:tr w:rsidR="00E82F3A" w:rsidRPr="00F01347" w14:paraId="6B4A23C9" w14:textId="3BEF2DB2" w:rsidTr="00F04031">
        <w:tc>
          <w:tcPr>
            <w:tcW w:w="4675" w:type="dxa"/>
          </w:tcPr>
          <w:p w14:paraId="214EE8EA" w14:textId="77777777" w:rsidR="00E82F3A" w:rsidRPr="00F01347" w:rsidRDefault="00E82F3A" w:rsidP="00E82F3A">
            <w:pPr>
              <w:pStyle w:val="texto0"/>
              <w:spacing w:line="233" w:lineRule="exact"/>
              <w:ind w:firstLine="0"/>
              <w:rPr>
                <w:rFonts w:ascii="Verdana" w:hAnsi="Verdana"/>
                <w:b/>
                <w:sz w:val="16"/>
                <w:szCs w:val="16"/>
              </w:rPr>
            </w:pPr>
            <w:r w:rsidRPr="00F01347">
              <w:rPr>
                <w:rFonts w:ascii="Verdana" w:hAnsi="Verdana"/>
                <w:b/>
                <w:sz w:val="16"/>
                <w:szCs w:val="16"/>
              </w:rPr>
              <w:t>B.2.2.6 Procedimiento</w:t>
            </w:r>
          </w:p>
        </w:tc>
        <w:tc>
          <w:tcPr>
            <w:tcW w:w="4675" w:type="dxa"/>
          </w:tcPr>
          <w:p w14:paraId="61B8EBA4" w14:textId="58CECEA1"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B.2.2.6 Procedure</w:t>
            </w:r>
          </w:p>
        </w:tc>
      </w:tr>
      <w:tr w:rsidR="00E82F3A" w:rsidRPr="00F01347" w14:paraId="723E8A4D" w14:textId="070421F9" w:rsidTr="00F04031">
        <w:tc>
          <w:tcPr>
            <w:tcW w:w="4675" w:type="dxa"/>
          </w:tcPr>
          <w:p w14:paraId="164BBA80" w14:textId="77777777" w:rsidR="00E82F3A" w:rsidRPr="00F01347" w:rsidRDefault="00E82F3A" w:rsidP="00E82F3A">
            <w:pPr>
              <w:pStyle w:val="texto0"/>
              <w:spacing w:line="233" w:lineRule="exact"/>
              <w:ind w:firstLine="0"/>
              <w:rPr>
                <w:rFonts w:ascii="Verdana" w:hAnsi="Verdana"/>
                <w:b/>
                <w:sz w:val="16"/>
                <w:szCs w:val="16"/>
              </w:rPr>
            </w:pPr>
            <w:r w:rsidRPr="00F01347">
              <w:rPr>
                <w:rFonts w:ascii="Verdana" w:hAnsi="Verdana"/>
                <w:b/>
                <w:sz w:val="16"/>
                <w:szCs w:val="16"/>
              </w:rPr>
              <w:t>B.2.2.6.1 Liberación de quistes</w:t>
            </w:r>
          </w:p>
        </w:tc>
        <w:tc>
          <w:tcPr>
            <w:tcW w:w="4675" w:type="dxa"/>
          </w:tcPr>
          <w:p w14:paraId="4497F7CB" w14:textId="212A2E07" w:rsidR="00E82F3A" w:rsidRPr="00F01347" w:rsidRDefault="00E82F3A" w:rsidP="00E82F3A">
            <w:pPr>
              <w:pStyle w:val="texto0"/>
              <w:spacing w:line="233" w:lineRule="exact"/>
              <w:ind w:firstLine="0"/>
              <w:rPr>
                <w:rFonts w:ascii="Verdana" w:hAnsi="Verdana"/>
                <w:b/>
                <w:sz w:val="16"/>
                <w:szCs w:val="16"/>
                <w:lang w:val="en-US"/>
              </w:rPr>
            </w:pPr>
            <w:r w:rsidRPr="00F01347">
              <w:rPr>
                <w:rFonts w:ascii="Verdana" w:hAnsi="Verdana"/>
                <w:b/>
                <w:sz w:val="16"/>
                <w:szCs w:val="16"/>
                <w:lang w:val="en-US"/>
              </w:rPr>
              <w:t>B.2.2.6.1 Cyst</w:t>
            </w:r>
            <w:r w:rsidR="008C5FE5" w:rsidRPr="00F01347">
              <w:rPr>
                <w:rFonts w:ascii="Verdana" w:hAnsi="Verdana"/>
                <w:b/>
                <w:sz w:val="16"/>
                <w:szCs w:val="16"/>
                <w:lang w:val="en-US"/>
              </w:rPr>
              <w:t>s</w:t>
            </w:r>
            <w:r w:rsidRPr="00F01347">
              <w:rPr>
                <w:rFonts w:ascii="Verdana" w:hAnsi="Verdana"/>
                <w:b/>
                <w:sz w:val="16"/>
                <w:szCs w:val="16"/>
                <w:lang w:val="en-US"/>
              </w:rPr>
              <w:t xml:space="preserve"> release</w:t>
            </w:r>
          </w:p>
        </w:tc>
      </w:tr>
      <w:tr w:rsidR="00E82F3A" w:rsidRPr="00F01347" w14:paraId="6BFA7194" w14:textId="547EBF88" w:rsidTr="00F04031">
        <w:tc>
          <w:tcPr>
            <w:tcW w:w="4675" w:type="dxa"/>
          </w:tcPr>
          <w:p w14:paraId="644CA8F3"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sz w:val="16"/>
                <w:szCs w:val="16"/>
              </w:rPr>
              <w:t xml:space="preserve">Los quistes retenidos en el material del cartucho filtrante o en la membrana de filtración deben de ser extraídos antes del proceso de purificación para </w:t>
            </w:r>
            <w:r w:rsidRPr="00F01347">
              <w:rPr>
                <w:rFonts w:ascii="Verdana" w:hAnsi="Verdana"/>
                <w:sz w:val="16"/>
                <w:szCs w:val="16"/>
              </w:rPr>
              <w:lastRenderedPageBreak/>
              <w:t xml:space="preserve">eliminar detritus y otros materiales retenidos en el cartucho filtrante que interfieran con la determinación de los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w:t>
            </w:r>
          </w:p>
        </w:tc>
        <w:tc>
          <w:tcPr>
            <w:tcW w:w="4675" w:type="dxa"/>
          </w:tcPr>
          <w:p w14:paraId="1D8697CE" w14:textId="54E3EE21" w:rsidR="00E82F3A" w:rsidRPr="00F01347" w:rsidRDefault="00E82F3A" w:rsidP="00E82F3A">
            <w:pPr>
              <w:pStyle w:val="texto0"/>
              <w:spacing w:line="233" w:lineRule="exact"/>
              <w:ind w:firstLine="0"/>
              <w:rPr>
                <w:rFonts w:ascii="Verdana" w:hAnsi="Verdana"/>
                <w:sz w:val="16"/>
                <w:szCs w:val="16"/>
                <w:lang w:val="en-US"/>
              </w:rPr>
            </w:pPr>
            <w:r w:rsidRPr="00F01347">
              <w:rPr>
                <w:rFonts w:ascii="Verdana" w:hAnsi="Verdana"/>
                <w:sz w:val="16"/>
                <w:szCs w:val="16"/>
                <w:lang w:val="en-US"/>
              </w:rPr>
              <w:lastRenderedPageBreak/>
              <w:t xml:space="preserve">Cysts retained in the filter cartridge material or in the filtration membrane must be removed before the purification process to eliminate debris and other </w:t>
            </w:r>
            <w:r w:rsidRPr="00F01347">
              <w:rPr>
                <w:rFonts w:ascii="Verdana" w:hAnsi="Verdana"/>
                <w:sz w:val="16"/>
                <w:szCs w:val="16"/>
                <w:lang w:val="en-US"/>
              </w:rPr>
              <w:lastRenderedPageBreak/>
              <w:t xml:space="preserve">materials retained in the filter cartridge that interfere with the determination of </w:t>
            </w:r>
            <w:r w:rsidR="005D07D9" w:rsidRPr="00F01347">
              <w:rPr>
                <w:rFonts w:ascii="Verdana" w:hAnsi="Verdana"/>
                <w:sz w:val="16"/>
                <w:szCs w:val="16"/>
                <w:lang w:val="en-US"/>
              </w:rPr>
              <w:t>Giardia lamblia cysts</w:t>
            </w:r>
            <w:r w:rsidR="003E1BA9" w:rsidRPr="00F01347">
              <w:rPr>
                <w:rFonts w:ascii="Verdana" w:hAnsi="Verdana"/>
                <w:i/>
                <w:sz w:val="16"/>
                <w:szCs w:val="16"/>
                <w:lang w:val="en-US"/>
              </w:rPr>
              <w:t>.</w:t>
            </w:r>
          </w:p>
        </w:tc>
      </w:tr>
      <w:tr w:rsidR="00E82F3A" w:rsidRPr="00F01347" w14:paraId="297547E9" w14:textId="5BB99964" w:rsidTr="00F04031">
        <w:tc>
          <w:tcPr>
            <w:tcW w:w="4675" w:type="dxa"/>
          </w:tcPr>
          <w:p w14:paraId="01E42BE9"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sz w:val="16"/>
                <w:szCs w:val="16"/>
              </w:rPr>
              <w:lastRenderedPageBreak/>
              <w:t xml:space="preserve">En caso de que se entregue al laboratorio el </w:t>
            </w:r>
            <w:proofErr w:type="spellStart"/>
            <w:r w:rsidRPr="00F01347">
              <w:rPr>
                <w:rFonts w:ascii="Verdana" w:hAnsi="Verdana"/>
                <w:sz w:val="16"/>
                <w:szCs w:val="16"/>
              </w:rPr>
              <w:t>portacartucho</w:t>
            </w:r>
            <w:proofErr w:type="spellEnd"/>
            <w:r w:rsidRPr="00F01347">
              <w:rPr>
                <w:rFonts w:ascii="Verdana" w:hAnsi="Verdana"/>
                <w:sz w:val="16"/>
                <w:szCs w:val="16"/>
              </w:rPr>
              <w:t xml:space="preserve"> con el cartucho filtrante o membrana de filtración en su interior, deberá abrir el </w:t>
            </w:r>
            <w:proofErr w:type="spellStart"/>
            <w:r w:rsidRPr="00F01347">
              <w:rPr>
                <w:rFonts w:ascii="Verdana" w:hAnsi="Verdana"/>
                <w:sz w:val="16"/>
                <w:szCs w:val="16"/>
              </w:rPr>
              <w:t>portacartuchos</w:t>
            </w:r>
            <w:proofErr w:type="spellEnd"/>
            <w:r w:rsidRPr="00F01347">
              <w:rPr>
                <w:rFonts w:ascii="Verdana" w:hAnsi="Verdana"/>
                <w:sz w:val="16"/>
                <w:szCs w:val="16"/>
              </w:rPr>
              <w:t xml:space="preserve"> y retirar el material filtrante (cartucho filtrante o membrana de filtración) del </w:t>
            </w:r>
            <w:proofErr w:type="spellStart"/>
            <w:r w:rsidRPr="00F01347">
              <w:rPr>
                <w:rFonts w:ascii="Verdana" w:hAnsi="Verdana"/>
                <w:sz w:val="16"/>
                <w:szCs w:val="16"/>
              </w:rPr>
              <w:t>portacartuchos</w:t>
            </w:r>
            <w:proofErr w:type="spellEnd"/>
            <w:r w:rsidRPr="00F01347">
              <w:rPr>
                <w:rFonts w:ascii="Verdana" w:hAnsi="Verdana"/>
                <w:sz w:val="16"/>
                <w:szCs w:val="16"/>
              </w:rPr>
              <w:t xml:space="preserve"> vaciando el agua contenida en el </w:t>
            </w:r>
            <w:proofErr w:type="spellStart"/>
            <w:r w:rsidRPr="00F01347">
              <w:rPr>
                <w:rFonts w:ascii="Verdana" w:hAnsi="Verdana"/>
                <w:sz w:val="16"/>
                <w:szCs w:val="16"/>
              </w:rPr>
              <w:t>portacartuchos</w:t>
            </w:r>
            <w:proofErr w:type="spellEnd"/>
            <w:r w:rsidRPr="00F01347">
              <w:rPr>
                <w:rFonts w:ascii="Verdana" w:hAnsi="Verdana"/>
                <w:sz w:val="16"/>
                <w:szCs w:val="16"/>
              </w:rPr>
              <w:t xml:space="preserve"> dentro de un vaso de precipitados de 4 L.</w:t>
            </w:r>
          </w:p>
        </w:tc>
        <w:tc>
          <w:tcPr>
            <w:tcW w:w="4675" w:type="dxa"/>
          </w:tcPr>
          <w:p w14:paraId="7A3E7F65" w14:textId="7AF7E8E1" w:rsidR="00E82F3A" w:rsidRPr="00F01347" w:rsidRDefault="00E82F3A" w:rsidP="00E82F3A">
            <w:pPr>
              <w:pStyle w:val="texto0"/>
              <w:spacing w:line="233" w:lineRule="exact"/>
              <w:ind w:firstLine="0"/>
              <w:rPr>
                <w:rFonts w:ascii="Verdana" w:hAnsi="Verdana"/>
                <w:sz w:val="16"/>
                <w:szCs w:val="16"/>
                <w:lang w:val="en-US"/>
              </w:rPr>
            </w:pPr>
            <w:r w:rsidRPr="00F01347">
              <w:rPr>
                <w:rFonts w:ascii="Verdana" w:hAnsi="Verdana"/>
                <w:sz w:val="16"/>
                <w:szCs w:val="16"/>
                <w:lang w:val="en-US"/>
              </w:rPr>
              <w:t xml:space="preserve">If the cartridge holder with the filter cartridge or filtration membrane inside is delivered to the laboratory, </w:t>
            </w:r>
            <w:r w:rsidR="004A6BE5" w:rsidRPr="00F01347">
              <w:rPr>
                <w:rFonts w:ascii="Verdana" w:hAnsi="Verdana"/>
                <w:sz w:val="16"/>
                <w:szCs w:val="16"/>
                <w:lang w:val="en-US"/>
              </w:rPr>
              <w:t>one</w:t>
            </w:r>
            <w:r w:rsidRPr="00F01347">
              <w:rPr>
                <w:rFonts w:ascii="Verdana" w:hAnsi="Verdana"/>
                <w:sz w:val="16"/>
                <w:szCs w:val="16"/>
                <w:lang w:val="en-US"/>
              </w:rPr>
              <w:t xml:space="preserve"> must open the cartridge holder and remove the filter material (filter cartridge or filtration membrane) from the cartridge holder by emptying the water contained in the cartridge holder into </w:t>
            </w:r>
            <w:proofErr w:type="gramStart"/>
            <w:r w:rsidRPr="00F01347">
              <w:rPr>
                <w:rFonts w:ascii="Verdana" w:hAnsi="Verdana"/>
                <w:sz w:val="16"/>
                <w:szCs w:val="16"/>
                <w:lang w:val="en-US"/>
              </w:rPr>
              <w:t>the a</w:t>
            </w:r>
            <w:proofErr w:type="gramEnd"/>
            <w:r w:rsidRPr="00F01347">
              <w:rPr>
                <w:rFonts w:ascii="Verdana" w:hAnsi="Verdana"/>
                <w:sz w:val="16"/>
                <w:szCs w:val="16"/>
                <w:lang w:val="en-US"/>
              </w:rPr>
              <w:t xml:space="preserve"> 4 L beaker.</w:t>
            </w:r>
          </w:p>
        </w:tc>
      </w:tr>
      <w:tr w:rsidR="00E82F3A" w:rsidRPr="00F01347" w14:paraId="2DBE1479" w14:textId="500C8230" w:rsidTr="00F04031">
        <w:tc>
          <w:tcPr>
            <w:tcW w:w="4675" w:type="dxa"/>
          </w:tcPr>
          <w:p w14:paraId="13548D51"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sz w:val="16"/>
                <w:szCs w:val="16"/>
              </w:rPr>
              <w:t>En caso de que se entregue al laboratorio el cartucho filtrante o la membrana de filtración dentro de bolsas de muestreo, deberá abrir la bolsa secundaria y primaria para retirar el cartucho filtrante o la membrana de filtración. Las membranas o filtros utilizados deberán ser manipulados en condiciones asépticas utilizando guantes de nitrilo o látex.</w:t>
            </w:r>
          </w:p>
        </w:tc>
        <w:tc>
          <w:tcPr>
            <w:tcW w:w="4675" w:type="dxa"/>
          </w:tcPr>
          <w:p w14:paraId="0AEB3F70" w14:textId="14211F3C" w:rsidR="00E82F3A" w:rsidRPr="00F01347" w:rsidRDefault="00E82F3A" w:rsidP="00E82F3A">
            <w:pPr>
              <w:pStyle w:val="texto0"/>
              <w:spacing w:line="233" w:lineRule="exact"/>
              <w:ind w:firstLine="0"/>
              <w:rPr>
                <w:rFonts w:ascii="Verdana" w:hAnsi="Verdana"/>
                <w:sz w:val="16"/>
                <w:szCs w:val="16"/>
                <w:lang w:val="en-US"/>
              </w:rPr>
            </w:pPr>
            <w:r w:rsidRPr="00F01347">
              <w:rPr>
                <w:rFonts w:ascii="Verdana" w:hAnsi="Verdana"/>
                <w:sz w:val="16"/>
                <w:szCs w:val="16"/>
                <w:lang w:val="en-US"/>
              </w:rPr>
              <w:t xml:space="preserve">If the filter cartridge or filtration membrane is delivered to the laboratory in sampling bags, </w:t>
            </w:r>
            <w:r w:rsidR="004A6BE5" w:rsidRPr="00F01347">
              <w:rPr>
                <w:rFonts w:ascii="Verdana" w:hAnsi="Verdana"/>
                <w:sz w:val="16"/>
                <w:szCs w:val="16"/>
                <w:lang w:val="en-US"/>
              </w:rPr>
              <w:t>one</w:t>
            </w:r>
            <w:r w:rsidRPr="00F01347">
              <w:rPr>
                <w:rFonts w:ascii="Verdana" w:hAnsi="Verdana"/>
                <w:sz w:val="16"/>
                <w:szCs w:val="16"/>
                <w:lang w:val="en-US"/>
              </w:rPr>
              <w:t xml:space="preserve"> must open the secondary and primary bag to remove the filter cartridge or filtration membrane. The membranes or filters used must be handled under aseptic conditions using nitrile or latex gloves.</w:t>
            </w:r>
          </w:p>
        </w:tc>
      </w:tr>
      <w:tr w:rsidR="00E82F3A" w:rsidRPr="00F01347" w14:paraId="38ECCF93" w14:textId="7BF90940" w:rsidTr="00F04031">
        <w:tc>
          <w:tcPr>
            <w:tcW w:w="4675" w:type="dxa"/>
          </w:tcPr>
          <w:p w14:paraId="70243AB3"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sz w:val="16"/>
                <w:szCs w:val="16"/>
              </w:rPr>
              <w:t>En el caso de que se trate de cartuchos filtrantes, colocarlo sobre una charola de aluminio o acero inoxidable o sobre una hoja de papel aluminio.</w:t>
            </w:r>
          </w:p>
        </w:tc>
        <w:tc>
          <w:tcPr>
            <w:tcW w:w="4675" w:type="dxa"/>
          </w:tcPr>
          <w:p w14:paraId="1BE4D6AF" w14:textId="055D5544" w:rsidR="00E82F3A" w:rsidRPr="00F01347" w:rsidRDefault="00E82F3A" w:rsidP="00E82F3A">
            <w:pPr>
              <w:pStyle w:val="texto0"/>
              <w:spacing w:line="233" w:lineRule="exact"/>
              <w:ind w:firstLine="0"/>
              <w:rPr>
                <w:rFonts w:ascii="Verdana" w:hAnsi="Verdana"/>
                <w:sz w:val="16"/>
                <w:szCs w:val="16"/>
                <w:lang w:val="en-US"/>
              </w:rPr>
            </w:pPr>
            <w:r w:rsidRPr="00F01347">
              <w:rPr>
                <w:rFonts w:ascii="Verdana" w:hAnsi="Verdana"/>
                <w:sz w:val="16"/>
                <w:szCs w:val="16"/>
                <w:lang w:val="en-US"/>
              </w:rPr>
              <w:t>In the case of</w:t>
            </w:r>
            <w:r w:rsidR="007B2323" w:rsidRPr="00F01347">
              <w:rPr>
                <w:rFonts w:ascii="Verdana" w:hAnsi="Verdana"/>
                <w:sz w:val="16"/>
                <w:szCs w:val="16"/>
                <w:lang w:val="en-US"/>
              </w:rPr>
              <w:t xml:space="preserve"> working with</w:t>
            </w:r>
            <w:r w:rsidRPr="00F01347">
              <w:rPr>
                <w:rFonts w:ascii="Verdana" w:hAnsi="Verdana"/>
                <w:sz w:val="16"/>
                <w:szCs w:val="16"/>
                <w:lang w:val="en-US"/>
              </w:rPr>
              <w:t xml:space="preserve"> filter cartridges, place it on an aluminum or </w:t>
            </w:r>
            <w:r w:rsidR="009123FD" w:rsidRPr="00F01347">
              <w:rPr>
                <w:rFonts w:ascii="Verdana" w:hAnsi="Verdana"/>
                <w:sz w:val="16"/>
                <w:szCs w:val="16"/>
                <w:lang w:val="en-US"/>
              </w:rPr>
              <w:t>stainless-steel</w:t>
            </w:r>
            <w:r w:rsidRPr="00F01347">
              <w:rPr>
                <w:rFonts w:ascii="Verdana" w:hAnsi="Verdana"/>
                <w:sz w:val="16"/>
                <w:szCs w:val="16"/>
                <w:lang w:val="en-US"/>
              </w:rPr>
              <w:t xml:space="preserve"> tray or on a sheet of aluminum foil.</w:t>
            </w:r>
          </w:p>
        </w:tc>
      </w:tr>
      <w:tr w:rsidR="00E82F3A" w:rsidRPr="00F01347" w14:paraId="1D9E4C8A" w14:textId="3014DE09" w:rsidTr="00F04031">
        <w:tc>
          <w:tcPr>
            <w:tcW w:w="4675" w:type="dxa"/>
          </w:tcPr>
          <w:p w14:paraId="6FE41FA1"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sz w:val="16"/>
                <w:szCs w:val="16"/>
              </w:rPr>
              <w:t>Con la ayuda de un bisturí que permita un manejo aséptico, realizar cortes longitudinales a todo lo largo del cartucho y separar las fibras del filtro de la estructura central del cartucho.</w:t>
            </w:r>
          </w:p>
        </w:tc>
        <w:tc>
          <w:tcPr>
            <w:tcW w:w="4675" w:type="dxa"/>
          </w:tcPr>
          <w:p w14:paraId="2B96CE65" w14:textId="0CB2ED8D" w:rsidR="00E82F3A" w:rsidRPr="00F01347" w:rsidRDefault="00E82F3A" w:rsidP="00E82F3A">
            <w:pPr>
              <w:pStyle w:val="texto0"/>
              <w:spacing w:line="233" w:lineRule="exact"/>
              <w:ind w:firstLine="0"/>
              <w:rPr>
                <w:rFonts w:ascii="Verdana" w:hAnsi="Verdana"/>
                <w:sz w:val="16"/>
                <w:szCs w:val="16"/>
                <w:lang w:val="en-US"/>
              </w:rPr>
            </w:pPr>
            <w:r w:rsidRPr="00F01347">
              <w:rPr>
                <w:rFonts w:ascii="Verdana" w:hAnsi="Verdana"/>
                <w:sz w:val="16"/>
                <w:szCs w:val="16"/>
                <w:lang w:val="en-US"/>
              </w:rPr>
              <w:t xml:space="preserve">With the help of a scalpel that allows aseptic handling, make longitudinal cuts along the entire length of the </w:t>
            </w:r>
            <w:r w:rsidR="007B2323" w:rsidRPr="00F01347">
              <w:rPr>
                <w:rFonts w:ascii="Verdana" w:hAnsi="Verdana"/>
                <w:sz w:val="16"/>
                <w:szCs w:val="16"/>
                <w:lang w:val="en-US"/>
              </w:rPr>
              <w:t>cartridge,</w:t>
            </w:r>
            <w:r w:rsidRPr="00F01347">
              <w:rPr>
                <w:rFonts w:ascii="Verdana" w:hAnsi="Verdana"/>
                <w:sz w:val="16"/>
                <w:szCs w:val="16"/>
                <w:lang w:val="en-US"/>
              </w:rPr>
              <w:t xml:space="preserve"> and separate the filter fibers from the central structure of the cartridge.</w:t>
            </w:r>
          </w:p>
        </w:tc>
      </w:tr>
      <w:tr w:rsidR="00E82F3A" w:rsidRPr="00F01347" w14:paraId="41E16F60" w14:textId="74308C26" w:rsidTr="00F04031">
        <w:tc>
          <w:tcPr>
            <w:tcW w:w="4675" w:type="dxa"/>
          </w:tcPr>
          <w:p w14:paraId="5CEB1715"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sz w:val="16"/>
                <w:szCs w:val="16"/>
              </w:rPr>
              <w:t xml:space="preserve">Cortar las fibras en dos o más porciones aproximadamente iguales (incluir tanto la parte externa como la parte interna del filtro) y separar las fibras de cada porción tanto como sea posible. Es frecuente que se observe una clara diferencia entre la parte interna y externa de los filtros </w:t>
            </w:r>
            <w:proofErr w:type="gramStart"/>
            <w:r w:rsidRPr="00F01347">
              <w:rPr>
                <w:rFonts w:ascii="Verdana" w:hAnsi="Verdana"/>
                <w:sz w:val="16"/>
                <w:szCs w:val="16"/>
              </w:rPr>
              <w:t>de acuerdo a</w:t>
            </w:r>
            <w:proofErr w:type="gramEnd"/>
            <w:r w:rsidRPr="00F01347">
              <w:rPr>
                <w:rFonts w:ascii="Verdana" w:hAnsi="Verdana"/>
                <w:sz w:val="16"/>
                <w:szCs w:val="16"/>
              </w:rPr>
              <w:t xml:space="preserve"> la profundidad a la cual ha penetrado el sedimento en el cartucho del filtro. Alternativamente, localizar el final del hilo en el exterior del cartucho, desenrollar las fibras y dividir en porciones aproximadamente iguales.</w:t>
            </w:r>
          </w:p>
        </w:tc>
        <w:tc>
          <w:tcPr>
            <w:tcW w:w="4675" w:type="dxa"/>
          </w:tcPr>
          <w:p w14:paraId="057D84CB" w14:textId="3B833662" w:rsidR="00E82F3A" w:rsidRPr="00F01347" w:rsidRDefault="00E82F3A" w:rsidP="00E82F3A">
            <w:pPr>
              <w:pStyle w:val="texto0"/>
              <w:spacing w:line="233" w:lineRule="exact"/>
              <w:ind w:firstLine="0"/>
              <w:rPr>
                <w:rFonts w:ascii="Verdana" w:hAnsi="Verdana"/>
                <w:sz w:val="16"/>
                <w:szCs w:val="16"/>
                <w:lang w:val="en-US"/>
              </w:rPr>
            </w:pPr>
            <w:r w:rsidRPr="00F01347">
              <w:rPr>
                <w:rFonts w:ascii="Verdana" w:hAnsi="Verdana"/>
                <w:sz w:val="16"/>
                <w:szCs w:val="16"/>
                <w:lang w:val="en-US"/>
              </w:rPr>
              <w:t>Cut the fibers into two or more approximately equal portions (include both the outside and inside of the filter) and separate the fibers from each portion as much as possible. It is common to observe a clear difference between the internal and external part of the filters according to the depth to which the sediment has penetrated the filter cartridge. Alternatively, locate the end of the thread on the outside of the cartridge, unwind the fibers and divide into approximately equal portions.</w:t>
            </w:r>
          </w:p>
        </w:tc>
      </w:tr>
      <w:tr w:rsidR="00E82F3A" w:rsidRPr="00F01347" w14:paraId="75D49496" w14:textId="168E08B4" w:rsidTr="00F04031">
        <w:tc>
          <w:tcPr>
            <w:tcW w:w="4675" w:type="dxa"/>
          </w:tcPr>
          <w:p w14:paraId="007A7B30" w14:textId="77777777" w:rsidR="00E82F3A" w:rsidRPr="00F01347" w:rsidRDefault="00E82F3A" w:rsidP="00E82F3A">
            <w:pPr>
              <w:pStyle w:val="texto0"/>
              <w:spacing w:line="233" w:lineRule="exact"/>
              <w:ind w:firstLine="0"/>
              <w:rPr>
                <w:rFonts w:ascii="Verdana" w:hAnsi="Verdana"/>
                <w:sz w:val="16"/>
                <w:szCs w:val="16"/>
              </w:rPr>
            </w:pPr>
            <w:r w:rsidRPr="00F01347">
              <w:rPr>
                <w:rFonts w:ascii="Verdana" w:hAnsi="Verdana"/>
                <w:sz w:val="16"/>
                <w:szCs w:val="16"/>
              </w:rPr>
              <w:t xml:space="preserve">Lavar cada porción por separado en vasos de precipitados de polipropileno de 4 L, con 1 L de agua destilada grado reactivo o con una disolución de </w:t>
            </w:r>
            <w:proofErr w:type="spellStart"/>
            <w:r w:rsidRPr="00F01347">
              <w:rPr>
                <w:rFonts w:ascii="Verdana" w:hAnsi="Verdana"/>
                <w:sz w:val="16"/>
                <w:szCs w:val="16"/>
              </w:rPr>
              <w:t>Tween</w:t>
            </w:r>
            <w:proofErr w:type="spellEnd"/>
            <w:r w:rsidRPr="00F01347">
              <w:rPr>
                <w:rFonts w:ascii="Verdana" w:hAnsi="Verdana"/>
                <w:sz w:val="16"/>
                <w:szCs w:val="16"/>
              </w:rPr>
              <w:t xml:space="preserve"> 80 al 0.1%. La muestra se agita y se presiona repetidamente durante 10 minutos procurando extraer todas las partículas que pudieran estar atrapadas entre las fibras. Para separar con más eficacia el material particulado, deberá amasar las fibras manualmente o agitarlas manual o mecánicamente durante 10 a 15 minutos, en este último caso agregando el volumen suficiente para cubrir las fibras. Exprimir cada porción y recoger todo el fluido combinándolo todo en un solo vaso, en su caso, en el mismo vaso de precipitados con el agua que estaba contenida en el </w:t>
            </w:r>
            <w:proofErr w:type="spellStart"/>
            <w:r w:rsidRPr="00F01347">
              <w:rPr>
                <w:rFonts w:ascii="Verdana" w:hAnsi="Verdana"/>
                <w:sz w:val="16"/>
                <w:szCs w:val="16"/>
              </w:rPr>
              <w:t>portacartuchos</w:t>
            </w:r>
            <w:proofErr w:type="spellEnd"/>
            <w:r w:rsidRPr="00F01347">
              <w:rPr>
                <w:rFonts w:ascii="Verdana" w:hAnsi="Verdana"/>
                <w:sz w:val="16"/>
                <w:szCs w:val="16"/>
              </w:rPr>
              <w:t>. Si las fibras aun retienen cantidades significativas de material particulado repetir el proceso de extracción hasta que las fibras aparezcan limpias.</w:t>
            </w:r>
          </w:p>
        </w:tc>
        <w:tc>
          <w:tcPr>
            <w:tcW w:w="4675" w:type="dxa"/>
          </w:tcPr>
          <w:p w14:paraId="61F091F1" w14:textId="0CA198ED" w:rsidR="00E82F3A" w:rsidRPr="00F01347" w:rsidRDefault="00E82F3A" w:rsidP="00E82F3A">
            <w:pPr>
              <w:pStyle w:val="texto0"/>
              <w:spacing w:line="233" w:lineRule="exact"/>
              <w:ind w:firstLine="0"/>
              <w:rPr>
                <w:rFonts w:ascii="Verdana" w:hAnsi="Verdana"/>
                <w:sz w:val="16"/>
                <w:szCs w:val="16"/>
                <w:lang w:val="en-US"/>
              </w:rPr>
            </w:pPr>
            <w:r w:rsidRPr="00F01347">
              <w:rPr>
                <w:rFonts w:ascii="Verdana" w:hAnsi="Verdana"/>
                <w:sz w:val="16"/>
                <w:szCs w:val="16"/>
                <w:lang w:val="en-US"/>
              </w:rPr>
              <w:t xml:space="preserve">Wash each portion separately in 4 L polypropylene beakers with 1 L of reagent grade distilled water or with a 0.1% Tween 80 solution. The sample is shaken and pressed repeatedly for 10 minutes, trying to extract all particles that could be trapped between the fibers. To more effectively separate particulate material, </w:t>
            </w:r>
            <w:r w:rsidR="004A6BE5" w:rsidRPr="00F01347">
              <w:rPr>
                <w:rFonts w:ascii="Verdana" w:hAnsi="Verdana"/>
                <w:sz w:val="16"/>
                <w:szCs w:val="16"/>
                <w:lang w:val="en-US"/>
              </w:rPr>
              <w:t>one</w:t>
            </w:r>
            <w:r w:rsidRPr="00F01347">
              <w:rPr>
                <w:rFonts w:ascii="Verdana" w:hAnsi="Verdana"/>
                <w:sz w:val="16"/>
                <w:szCs w:val="16"/>
                <w:lang w:val="en-US"/>
              </w:rPr>
              <w:t xml:space="preserve"> will need to knead the fibers manually or agitate them manually or mechanically for 10 to 15 minutes, in the latter case adding enough volume to cover the fibers. Squeeze each portion and collect all the fluid by combining it all in a single glass, if applicable, in the same beaker with the water that was contained in the cartridge holder</w:t>
            </w:r>
            <w:r w:rsidR="003E1BA9" w:rsidRPr="00F01347">
              <w:rPr>
                <w:rFonts w:ascii="Verdana" w:hAnsi="Verdana"/>
                <w:sz w:val="16"/>
                <w:szCs w:val="16"/>
                <w:lang w:val="en-US"/>
              </w:rPr>
              <w:t>.</w:t>
            </w:r>
            <w:r w:rsidRPr="00F01347">
              <w:rPr>
                <w:rFonts w:ascii="Verdana" w:hAnsi="Verdana"/>
                <w:sz w:val="16"/>
                <w:szCs w:val="16"/>
                <w:lang w:val="en-US"/>
              </w:rPr>
              <w:t xml:space="preserve"> If the fibers still retain significant amounts of particulate matter, repeat the extraction process until the fibers appear clean.</w:t>
            </w:r>
          </w:p>
        </w:tc>
      </w:tr>
      <w:tr w:rsidR="00E82F3A" w:rsidRPr="00F01347" w14:paraId="1900363C" w14:textId="4E875C07" w:rsidTr="00F04031">
        <w:tc>
          <w:tcPr>
            <w:tcW w:w="4675" w:type="dxa"/>
          </w:tcPr>
          <w:p w14:paraId="77552884" w14:textId="77777777" w:rsidR="00E82F3A" w:rsidRPr="00F01347" w:rsidRDefault="00E82F3A" w:rsidP="00E82F3A">
            <w:pPr>
              <w:pStyle w:val="texto0"/>
              <w:spacing w:line="250" w:lineRule="exact"/>
              <w:ind w:firstLine="0"/>
              <w:rPr>
                <w:rFonts w:ascii="Verdana" w:hAnsi="Verdana"/>
                <w:sz w:val="16"/>
                <w:szCs w:val="16"/>
              </w:rPr>
            </w:pPr>
            <w:r w:rsidRPr="00F01347">
              <w:rPr>
                <w:rFonts w:ascii="Verdana" w:hAnsi="Verdana"/>
                <w:sz w:val="16"/>
                <w:szCs w:val="16"/>
              </w:rPr>
              <w:lastRenderedPageBreak/>
              <w:t xml:space="preserve">En caso de que se trate de membranas de filtración, deberá retirar la membrana del dispositivo de filtración y colocarla en 1 L de agua destilada grado reactivo o de una disolución de </w:t>
            </w:r>
            <w:proofErr w:type="spellStart"/>
            <w:r w:rsidRPr="00F01347">
              <w:rPr>
                <w:rFonts w:ascii="Verdana" w:hAnsi="Verdana"/>
                <w:sz w:val="16"/>
                <w:szCs w:val="16"/>
              </w:rPr>
              <w:t>Tween</w:t>
            </w:r>
            <w:proofErr w:type="spellEnd"/>
            <w:r w:rsidRPr="00F01347">
              <w:rPr>
                <w:rFonts w:ascii="Verdana" w:hAnsi="Verdana"/>
                <w:sz w:val="16"/>
                <w:szCs w:val="16"/>
              </w:rPr>
              <w:t xml:space="preserve"> 80 al 0.1%. La muestra se agita vigorosamente durante 10 minutos procurando extraer todas las partículas atrapadas en la superficie de la membrana.</w:t>
            </w:r>
          </w:p>
        </w:tc>
        <w:tc>
          <w:tcPr>
            <w:tcW w:w="4675" w:type="dxa"/>
          </w:tcPr>
          <w:p w14:paraId="39E25AA0" w14:textId="42E397D8" w:rsidR="00E82F3A" w:rsidRPr="00F01347" w:rsidRDefault="00E82F3A" w:rsidP="00E82F3A">
            <w:pPr>
              <w:pStyle w:val="texto0"/>
              <w:spacing w:line="250" w:lineRule="exact"/>
              <w:ind w:firstLine="0"/>
              <w:rPr>
                <w:rFonts w:ascii="Verdana" w:hAnsi="Verdana"/>
                <w:sz w:val="16"/>
                <w:szCs w:val="16"/>
                <w:lang w:val="en-US"/>
              </w:rPr>
            </w:pPr>
            <w:r w:rsidRPr="00F01347">
              <w:rPr>
                <w:rFonts w:ascii="Verdana" w:hAnsi="Verdana"/>
                <w:sz w:val="16"/>
                <w:szCs w:val="16"/>
                <w:lang w:val="en-US"/>
              </w:rPr>
              <w:t xml:space="preserve">In the case of filtration membranes, </w:t>
            </w:r>
            <w:r w:rsidR="004A6BE5" w:rsidRPr="00F01347">
              <w:rPr>
                <w:rFonts w:ascii="Verdana" w:hAnsi="Verdana"/>
                <w:sz w:val="16"/>
                <w:szCs w:val="16"/>
                <w:lang w:val="en-US"/>
              </w:rPr>
              <w:t>one</w:t>
            </w:r>
            <w:r w:rsidRPr="00F01347">
              <w:rPr>
                <w:rFonts w:ascii="Verdana" w:hAnsi="Verdana"/>
                <w:sz w:val="16"/>
                <w:szCs w:val="16"/>
                <w:lang w:val="en-US"/>
              </w:rPr>
              <w:t xml:space="preserve"> must remove the membrane from the filtration device and place it in 1 L of reagent grade distilled water or a 0.1% Tween 80 solution</w:t>
            </w:r>
            <w:r w:rsidR="003E1BA9" w:rsidRPr="00F01347">
              <w:rPr>
                <w:rFonts w:ascii="Verdana" w:hAnsi="Verdana"/>
                <w:sz w:val="16"/>
                <w:szCs w:val="16"/>
                <w:lang w:val="en-US"/>
              </w:rPr>
              <w:t>.</w:t>
            </w:r>
            <w:r w:rsidRPr="00F01347">
              <w:rPr>
                <w:rFonts w:ascii="Verdana" w:hAnsi="Verdana"/>
                <w:sz w:val="16"/>
                <w:szCs w:val="16"/>
                <w:lang w:val="en-US"/>
              </w:rPr>
              <w:t xml:space="preserve"> The sample is shaken vigorously for 10 minutes trying to extract all particles trapped on the surface of the membrane.</w:t>
            </w:r>
          </w:p>
        </w:tc>
      </w:tr>
      <w:tr w:rsidR="00E82F3A" w:rsidRPr="00F01347" w14:paraId="3CF0C5FB" w14:textId="3185DDD2" w:rsidTr="00F04031">
        <w:tc>
          <w:tcPr>
            <w:tcW w:w="4675" w:type="dxa"/>
          </w:tcPr>
          <w:p w14:paraId="382D4D07" w14:textId="77777777" w:rsidR="00E82F3A" w:rsidRPr="00F01347" w:rsidRDefault="00E82F3A" w:rsidP="00E82F3A">
            <w:pPr>
              <w:pStyle w:val="texto0"/>
              <w:spacing w:line="250" w:lineRule="exact"/>
              <w:ind w:firstLine="0"/>
              <w:rPr>
                <w:rFonts w:ascii="Verdana" w:hAnsi="Verdana"/>
                <w:sz w:val="16"/>
                <w:szCs w:val="16"/>
              </w:rPr>
            </w:pPr>
            <w:r w:rsidRPr="00F01347">
              <w:rPr>
                <w:rFonts w:ascii="Verdana" w:hAnsi="Verdana"/>
                <w:sz w:val="16"/>
                <w:szCs w:val="16"/>
              </w:rPr>
              <w:t>El extracto obtenido puede ser sometido al procedimiento de concentración de quistes. Sin embargo, en caso de no poder continuar con el procedimiento el mismo día este puede preservar adicionando un volumen suficiente de formaldehido al 37% (v/v) para tener una concentración final de 2% (v/v). Refrigere este extracto preservado en un vaso de precipitados de 4 L o en botellas para centrifuga hasta continuar con el proceso de concentración al día siguiente.</w:t>
            </w:r>
          </w:p>
        </w:tc>
        <w:tc>
          <w:tcPr>
            <w:tcW w:w="4675" w:type="dxa"/>
          </w:tcPr>
          <w:p w14:paraId="779B894B" w14:textId="0A24D180" w:rsidR="00E82F3A" w:rsidRPr="00F01347" w:rsidRDefault="00E82F3A" w:rsidP="00E82F3A">
            <w:pPr>
              <w:pStyle w:val="texto0"/>
              <w:spacing w:line="250" w:lineRule="exact"/>
              <w:ind w:firstLine="0"/>
              <w:rPr>
                <w:rFonts w:ascii="Verdana" w:hAnsi="Verdana"/>
                <w:sz w:val="16"/>
                <w:szCs w:val="16"/>
                <w:lang w:val="en-US"/>
              </w:rPr>
            </w:pPr>
            <w:r w:rsidRPr="00F01347">
              <w:rPr>
                <w:rFonts w:ascii="Verdana" w:hAnsi="Verdana"/>
                <w:sz w:val="16"/>
                <w:szCs w:val="16"/>
                <w:lang w:val="en-US"/>
              </w:rPr>
              <w:t>The extract obtained can be subjected to the cyst concentration procedure. However, if it is not possible to continue with the procedure on the same day, it can be preserved by adding a sufficient volume of formaldehyde at 37% (v/v) to have a final concentration of 2% (v/v). Refrigerate this preserved extract in a 4 L beaker or centrifuge bottles until continuing the concentration process the next day.</w:t>
            </w:r>
          </w:p>
        </w:tc>
      </w:tr>
      <w:tr w:rsidR="00E82F3A" w:rsidRPr="00F01347" w14:paraId="10BF11E3" w14:textId="14A97AFD" w:rsidTr="00F04031">
        <w:tc>
          <w:tcPr>
            <w:tcW w:w="4675" w:type="dxa"/>
          </w:tcPr>
          <w:p w14:paraId="7BE8101D" w14:textId="77777777" w:rsidR="00E82F3A" w:rsidRPr="00F01347" w:rsidRDefault="00E82F3A" w:rsidP="00E82F3A">
            <w:pPr>
              <w:pStyle w:val="texto0"/>
              <w:spacing w:line="250" w:lineRule="exact"/>
              <w:ind w:firstLine="0"/>
              <w:rPr>
                <w:rFonts w:ascii="Verdana" w:hAnsi="Verdana"/>
                <w:sz w:val="16"/>
                <w:szCs w:val="16"/>
              </w:rPr>
            </w:pPr>
            <w:r w:rsidRPr="00F01347">
              <w:rPr>
                <w:rFonts w:ascii="Verdana" w:hAnsi="Verdana"/>
                <w:b/>
                <w:sz w:val="16"/>
                <w:szCs w:val="16"/>
              </w:rPr>
              <w:t>B.2.2.6.2 Concentración de quistes</w:t>
            </w:r>
          </w:p>
        </w:tc>
        <w:tc>
          <w:tcPr>
            <w:tcW w:w="4675" w:type="dxa"/>
          </w:tcPr>
          <w:p w14:paraId="44E001F8" w14:textId="4185D4AC" w:rsidR="00E82F3A" w:rsidRPr="00F01347" w:rsidRDefault="00E82F3A" w:rsidP="00E82F3A">
            <w:pPr>
              <w:pStyle w:val="texto0"/>
              <w:spacing w:line="250" w:lineRule="exact"/>
              <w:ind w:firstLine="0"/>
              <w:rPr>
                <w:rFonts w:ascii="Verdana" w:hAnsi="Verdana"/>
                <w:b/>
                <w:sz w:val="16"/>
                <w:szCs w:val="16"/>
                <w:lang w:val="en-US"/>
              </w:rPr>
            </w:pPr>
            <w:r w:rsidRPr="00F01347">
              <w:rPr>
                <w:rFonts w:ascii="Verdana" w:hAnsi="Verdana"/>
                <w:b/>
                <w:sz w:val="16"/>
                <w:szCs w:val="16"/>
                <w:lang w:val="en-US"/>
              </w:rPr>
              <w:t>B.2.2.6.2 Cyst concentration</w:t>
            </w:r>
          </w:p>
        </w:tc>
      </w:tr>
      <w:tr w:rsidR="00E82F3A" w:rsidRPr="00F01347" w14:paraId="5123A95B" w14:textId="4618F2D2" w:rsidTr="00F04031">
        <w:tc>
          <w:tcPr>
            <w:tcW w:w="4675" w:type="dxa"/>
          </w:tcPr>
          <w:p w14:paraId="0D1DF3EE" w14:textId="77777777" w:rsidR="00E82F3A" w:rsidRPr="00F01347" w:rsidRDefault="00E82F3A" w:rsidP="00E82F3A">
            <w:pPr>
              <w:pStyle w:val="texto0"/>
              <w:spacing w:line="250" w:lineRule="exact"/>
              <w:ind w:firstLine="0"/>
              <w:rPr>
                <w:rFonts w:ascii="Verdana" w:hAnsi="Verdana"/>
                <w:sz w:val="16"/>
                <w:szCs w:val="16"/>
              </w:rPr>
            </w:pPr>
            <w:r w:rsidRPr="00F01347">
              <w:rPr>
                <w:rFonts w:ascii="Verdana" w:hAnsi="Verdana"/>
                <w:sz w:val="16"/>
                <w:szCs w:val="16"/>
              </w:rPr>
              <w:t>La refrigeración durante una noche, tanto en el vaso de precipitados como en las botellas para centrifuga, permitirá la sedimentación del extracto.</w:t>
            </w:r>
          </w:p>
        </w:tc>
        <w:tc>
          <w:tcPr>
            <w:tcW w:w="4675" w:type="dxa"/>
          </w:tcPr>
          <w:p w14:paraId="46283708" w14:textId="76AE70CE" w:rsidR="00E82F3A" w:rsidRPr="00F01347" w:rsidRDefault="00E82F3A" w:rsidP="00E82F3A">
            <w:pPr>
              <w:pStyle w:val="texto0"/>
              <w:spacing w:line="250" w:lineRule="exact"/>
              <w:ind w:firstLine="0"/>
              <w:rPr>
                <w:rFonts w:ascii="Verdana" w:hAnsi="Verdana"/>
                <w:sz w:val="16"/>
                <w:szCs w:val="16"/>
                <w:lang w:val="en-US"/>
              </w:rPr>
            </w:pPr>
            <w:r w:rsidRPr="00F01347">
              <w:rPr>
                <w:rFonts w:ascii="Verdana" w:hAnsi="Verdana"/>
                <w:sz w:val="16"/>
                <w:szCs w:val="16"/>
                <w:lang w:val="en-US"/>
              </w:rPr>
              <w:t xml:space="preserve">Refrigeration overnight, both in the beaker </w:t>
            </w:r>
            <w:r w:rsidR="00DF4FC4" w:rsidRPr="00F01347">
              <w:rPr>
                <w:rFonts w:ascii="Verdana" w:hAnsi="Verdana"/>
                <w:sz w:val="16"/>
                <w:szCs w:val="16"/>
                <w:lang w:val="en-US"/>
              </w:rPr>
              <w:t>as well as in the</w:t>
            </w:r>
            <w:r w:rsidRPr="00F01347">
              <w:rPr>
                <w:rFonts w:ascii="Verdana" w:hAnsi="Verdana"/>
                <w:sz w:val="16"/>
                <w:szCs w:val="16"/>
                <w:lang w:val="en-US"/>
              </w:rPr>
              <w:t xml:space="preserve"> centrifuge bottles, will allow the extract to settle.</w:t>
            </w:r>
          </w:p>
        </w:tc>
      </w:tr>
      <w:tr w:rsidR="00E82F3A" w:rsidRPr="00F01347" w14:paraId="04E0A4DD" w14:textId="5EDDE274" w:rsidTr="00F04031">
        <w:tc>
          <w:tcPr>
            <w:tcW w:w="4675" w:type="dxa"/>
          </w:tcPr>
          <w:p w14:paraId="6024F53A" w14:textId="77777777" w:rsidR="00E82F3A" w:rsidRPr="00F01347" w:rsidRDefault="00E82F3A" w:rsidP="00E82F3A">
            <w:pPr>
              <w:pStyle w:val="texto0"/>
              <w:spacing w:line="250" w:lineRule="exact"/>
              <w:ind w:firstLine="0"/>
              <w:rPr>
                <w:rFonts w:ascii="Verdana" w:hAnsi="Verdana"/>
                <w:sz w:val="16"/>
                <w:szCs w:val="16"/>
              </w:rPr>
            </w:pPr>
            <w:r w:rsidRPr="00F01347">
              <w:rPr>
                <w:rFonts w:ascii="Verdana" w:hAnsi="Verdana"/>
                <w:sz w:val="16"/>
                <w:szCs w:val="16"/>
              </w:rPr>
              <w:t>Si el extracto se refrigeró y sedimentó en el vaso de precipitados de 4 L durante toda la noche, deberá decantar o aspirar el sobrenadante con un sifón o un sistema de vacío con trampa.</w:t>
            </w:r>
          </w:p>
        </w:tc>
        <w:tc>
          <w:tcPr>
            <w:tcW w:w="4675" w:type="dxa"/>
          </w:tcPr>
          <w:p w14:paraId="0145778D" w14:textId="63A6BF05" w:rsidR="00E82F3A" w:rsidRPr="00F01347" w:rsidRDefault="00E82F3A" w:rsidP="00E82F3A">
            <w:pPr>
              <w:pStyle w:val="texto0"/>
              <w:spacing w:line="250" w:lineRule="exact"/>
              <w:ind w:firstLine="0"/>
              <w:rPr>
                <w:rFonts w:ascii="Verdana" w:hAnsi="Verdana"/>
                <w:sz w:val="16"/>
                <w:szCs w:val="16"/>
                <w:lang w:val="en-US"/>
              </w:rPr>
            </w:pPr>
            <w:r w:rsidRPr="00F01347">
              <w:rPr>
                <w:rFonts w:ascii="Verdana" w:hAnsi="Verdana"/>
                <w:sz w:val="16"/>
                <w:szCs w:val="16"/>
                <w:lang w:val="en-US"/>
              </w:rPr>
              <w:t xml:space="preserve">If the extract was refrigerated and settled in the 4 L beaker overnight, </w:t>
            </w:r>
            <w:r w:rsidR="004A6BE5" w:rsidRPr="00F01347">
              <w:rPr>
                <w:rFonts w:ascii="Verdana" w:hAnsi="Verdana"/>
                <w:sz w:val="16"/>
                <w:szCs w:val="16"/>
                <w:lang w:val="en-US"/>
              </w:rPr>
              <w:t>one</w:t>
            </w:r>
            <w:r w:rsidRPr="00F01347">
              <w:rPr>
                <w:rFonts w:ascii="Verdana" w:hAnsi="Verdana"/>
                <w:sz w:val="16"/>
                <w:szCs w:val="16"/>
                <w:lang w:val="en-US"/>
              </w:rPr>
              <w:t xml:space="preserve"> will need to decant or aspirate the supernatant with a siphon or vacuum trap system.</w:t>
            </w:r>
          </w:p>
        </w:tc>
      </w:tr>
      <w:tr w:rsidR="00E82F3A" w:rsidRPr="00F01347" w14:paraId="52DC2968" w14:textId="6F2167CE" w:rsidTr="00F04031">
        <w:tc>
          <w:tcPr>
            <w:tcW w:w="4675" w:type="dxa"/>
          </w:tcPr>
          <w:p w14:paraId="39217040" w14:textId="77777777" w:rsidR="00E82F3A" w:rsidRPr="00F01347" w:rsidRDefault="00E82F3A" w:rsidP="00E82F3A">
            <w:pPr>
              <w:pStyle w:val="texto0"/>
              <w:spacing w:line="250" w:lineRule="exact"/>
              <w:ind w:firstLine="0"/>
              <w:rPr>
                <w:rFonts w:ascii="Verdana" w:hAnsi="Verdana"/>
                <w:sz w:val="16"/>
                <w:szCs w:val="16"/>
              </w:rPr>
            </w:pPr>
            <w:r w:rsidRPr="00F01347">
              <w:rPr>
                <w:rFonts w:ascii="Verdana" w:hAnsi="Verdana"/>
                <w:sz w:val="16"/>
                <w:szCs w:val="16"/>
              </w:rPr>
              <w:t xml:space="preserve">Transferir el sedimento a un tubo de centrifuga del volumen apropiado (50 </w:t>
            </w:r>
            <w:proofErr w:type="spellStart"/>
            <w:r w:rsidRPr="00F01347">
              <w:rPr>
                <w:rFonts w:ascii="Verdana" w:hAnsi="Verdana"/>
                <w:sz w:val="16"/>
                <w:szCs w:val="16"/>
              </w:rPr>
              <w:t>mL</w:t>
            </w:r>
            <w:proofErr w:type="spellEnd"/>
            <w:r w:rsidRPr="00F01347">
              <w:rPr>
                <w:rFonts w:ascii="Verdana" w:hAnsi="Verdana"/>
                <w:sz w:val="16"/>
                <w:szCs w:val="16"/>
              </w:rPr>
              <w:t xml:space="preserve"> preferiblemente) y </w:t>
            </w:r>
            <w:proofErr w:type="spellStart"/>
            <w:r w:rsidRPr="00F01347">
              <w:rPr>
                <w:rFonts w:ascii="Verdana" w:hAnsi="Verdana"/>
                <w:sz w:val="16"/>
                <w:szCs w:val="16"/>
              </w:rPr>
              <w:t>resuspenderlo</w:t>
            </w:r>
            <w:proofErr w:type="spellEnd"/>
            <w:r w:rsidRPr="00F01347">
              <w:rPr>
                <w:rFonts w:ascii="Verdana" w:hAnsi="Verdana"/>
                <w:sz w:val="16"/>
                <w:szCs w:val="16"/>
              </w:rPr>
              <w:t xml:space="preserve"> en un volumen de formaldehido al 2% equivalente al volumen total del sedimento, en caso de que el sedimento sea escaso, </w:t>
            </w:r>
            <w:proofErr w:type="spellStart"/>
            <w:r w:rsidRPr="00F01347">
              <w:rPr>
                <w:rFonts w:ascii="Verdana" w:hAnsi="Verdana"/>
                <w:sz w:val="16"/>
                <w:szCs w:val="16"/>
              </w:rPr>
              <w:t>resuspender</w:t>
            </w:r>
            <w:proofErr w:type="spellEnd"/>
            <w:r w:rsidRPr="00F01347">
              <w:rPr>
                <w:rFonts w:ascii="Verdana" w:hAnsi="Verdana"/>
                <w:sz w:val="16"/>
                <w:szCs w:val="16"/>
              </w:rPr>
              <w:t xml:space="preserve"> en 10 </w:t>
            </w:r>
            <w:proofErr w:type="spellStart"/>
            <w:r w:rsidRPr="00F01347">
              <w:rPr>
                <w:rFonts w:ascii="Verdana" w:hAnsi="Verdana"/>
                <w:sz w:val="16"/>
                <w:szCs w:val="16"/>
              </w:rPr>
              <w:t>mL</w:t>
            </w:r>
            <w:proofErr w:type="spellEnd"/>
            <w:r w:rsidRPr="00F01347">
              <w:rPr>
                <w:rFonts w:ascii="Verdana" w:hAnsi="Verdana"/>
                <w:sz w:val="16"/>
                <w:szCs w:val="16"/>
              </w:rPr>
              <w:t xml:space="preserve"> de la disolución (utilice la mitad del volumen para </w:t>
            </w:r>
            <w:proofErr w:type="spellStart"/>
            <w:r w:rsidRPr="00F01347">
              <w:rPr>
                <w:rFonts w:ascii="Verdana" w:hAnsi="Verdana"/>
                <w:sz w:val="16"/>
                <w:szCs w:val="16"/>
              </w:rPr>
              <w:t>resuspender</w:t>
            </w:r>
            <w:proofErr w:type="spellEnd"/>
            <w:r w:rsidRPr="00F01347">
              <w:rPr>
                <w:rFonts w:ascii="Verdana" w:hAnsi="Verdana"/>
                <w:sz w:val="16"/>
                <w:szCs w:val="16"/>
              </w:rPr>
              <w:t xml:space="preserve"> y vaciar al tubo de centrífuga, y la mitad restante para lavar las paredes del recipiente donde se encontraba el sedimento). Puede ser necesario ocupar un poco más de disolución de formaldehido para los lavados. El extracto resultante está listo para ser centrifugado y continuar con el proceso de concentración de los quistes.</w:t>
            </w:r>
          </w:p>
        </w:tc>
        <w:tc>
          <w:tcPr>
            <w:tcW w:w="4675" w:type="dxa"/>
          </w:tcPr>
          <w:p w14:paraId="6F982F23" w14:textId="5D256432" w:rsidR="00E82F3A" w:rsidRPr="00F01347" w:rsidRDefault="00E82F3A" w:rsidP="00E82F3A">
            <w:pPr>
              <w:pStyle w:val="texto0"/>
              <w:spacing w:line="250" w:lineRule="exact"/>
              <w:ind w:firstLine="0"/>
              <w:rPr>
                <w:rFonts w:ascii="Verdana" w:hAnsi="Verdana"/>
                <w:sz w:val="16"/>
                <w:szCs w:val="16"/>
                <w:lang w:val="en-US"/>
              </w:rPr>
            </w:pPr>
            <w:r w:rsidRPr="00F01347">
              <w:rPr>
                <w:rFonts w:ascii="Verdana" w:hAnsi="Verdana"/>
                <w:sz w:val="16"/>
                <w:szCs w:val="16"/>
                <w:lang w:val="en-US"/>
              </w:rPr>
              <w:t xml:space="preserve">Transfer the sediment to a centrifuge tube of the appropriate volume (50 mL preferably) and resuspend it in a volume of 2% formaldehyde equivalent to the total volume of the sediment. If the sediment is scarce, resuspend it in 10 mL of the solution </w:t>
            </w:r>
            <w:r w:rsidR="00CB209C" w:rsidRPr="00F01347">
              <w:rPr>
                <w:rFonts w:ascii="Verdana" w:hAnsi="Verdana"/>
                <w:sz w:val="16"/>
                <w:szCs w:val="16"/>
                <w:lang w:val="en-US"/>
              </w:rPr>
              <w:t>(</w:t>
            </w:r>
            <w:r w:rsidRPr="00F01347">
              <w:rPr>
                <w:rFonts w:ascii="Verdana" w:hAnsi="Verdana"/>
                <w:sz w:val="16"/>
                <w:szCs w:val="16"/>
                <w:lang w:val="en-US"/>
              </w:rPr>
              <w:t>use half of the volume to resuspend and empty into the centrifuge tube, and the remaining half to wash the walls of the container where the sediment was located). It may be necessary to use a little more formaldehyde solution for washing. The resulting extract is ready to be centrifuged and continue with the cyst concentration process.</w:t>
            </w:r>
          </w:p>
        </w:tc>
      </w:tr>
      <w:tr w:rsidR="00E82F3A" w:rsidRPr="00F01347" w14:paraId="5CC96CCB" w14:textId="5C3AE4DF" w:rsidTr="00F04031">
        <w:tc>
          <w:tcPr>
            <w:tcW w:w="4675" w:type="dxa"/>
          </w:tcPr>
          <w:p w14:paraId="632D52AC" w14:textId="77777777" w:rsidR="00E82F3A" w:rsidRPr="00F01347" w:rsidRDefault="00E82F3A" w:rsidP="00E82F3A">
            <w:pPr>
              <w:pStyle w:val="texto0"/>
              <w:spacing w:line="250" w:lineRule="exact"/>
              <w:ind w:firstLine="0"/>
              <w:rPr>
                <w:rFonts w:ascii="Verdana" w:hAnsi="Verdana"/>
                <w:sz w:val="16"/>
                <w:szCs w:val="16"/>
              </w:rPr>
            </w:pPr>
            <w:r w:rsidRPr="00F01347">
              <w:rPr>
                <w:rFonts w:ascii="Verdana" w:hAnsi="Verdana"/>
                <w:sz w:val="16"/>
                <w:szCs w:val="16"/>
              </w:rPr>
              <w:t xml:space="preserve">Si el extracto se refrigeró y sedimentó en botellas de centrifuga, estimar el volumen de los sedimentos y concentrar todos los sedimentos en un solo tubo de centrifuga (50 </w:t>
            </w:r>
            <w:proofErr w:type="spellStart"/>
            <w:r w:rsidRPr="00F01347">
              <w:rPr>
                <w:rFonts w:ascii="Verdana" w:hAnsi="Verdana"/>
                <w:sz w:val="16"/>
                <w:szCs w:val="16"/>
              </w:rPr>
              <w:t>mL</w:t>
            </w:r>
            <w:proofErr w:type="spellEnd"/>
            <w:r w:rsidRPr="00F01347">
              <w:rPr>
                <w:rFonts w:ascii="Verdana" w:hAnsi="Verdana"/>
                <w:sz w:val="16"/>
                <w:szCs w:val="16"/>
              </w:rPr>
              <w:t xml:space="preserve"> preferiblemente). De ser necesario utilizar un poco del volumen estimado de formaldehido al 2% para </w:t>
            </w:r>
            <w:proofErr w:type="spellStart"/>
            <w:r w:rsidRPr="00F01347">
              <w:rPr>
                <w:rFonts w:ascii="Verdana" w:hAnsi="Verdana"/>
                <w:sz w:val="16"/>
                <w:szCs w:val="16"/>
              </w:rPr>
              <w:t>resuspender</w:t>
            </w:r>
            <w:proofErr w:type="spellEnd"/>
            <w:r w:rsidRPr="00F01347">
              <w:rPr>
                <w:rFonts w:ascii="Verdana" w:hAnsi="Verdana"/>
                <w:sz w:val="16"/>
                <w:szCs w:val="16"/>
              </w:rPr>
              <w:t xml:space="preserve"> los sedimentos y vaciarlos y el resto para lavar las paredes de las botellas de centrífuga. Puede ser necesario ocupar un poco más de disolución de formaldehido para los lavados. El extracto resultante está listo para ser centrifugado y continuar con el proceso de concentración de los quistes.</w:t>
            </w:r>
          </w:p>
        </w:tc>
        <w:tc>
          <w:tcPr>
            <w:tcW w:w="4675" w:type="dxa"/>
          </w:tcPr>
          <w:p w14:paraId="5A6B2B48" w14:textId="38D8CED8" w:rsidR="00E82F3A" w:rsidRPr="00F01347" w:rsidRDefault="00E82F3A" w:rsidP="00E82F3A">
            <w:pPr>
              <w:pStyle w:val="texto0"/>
              <w:spacing w:line="250" w:lineRule="exact"/>
              <w:ind w:firstLine="0"/>
              <w:rPr>
                <w:rFonts w:ascii="Verdana" w:hAnsi="Verdana"/>
                <w:sz w:val="16"/>
                <w:szCs w:val="16"/>
                <w:lang w:val="en-US"/>
              </w:rPr>
            </w:pPr>
            <w:r w:rsidRPr="00F01347">
              <w:rPr>
                <w:rFonts w:ascii="Verdana" w:hAnsi="Verdana"/>
                <w:sz w:val="16"/>
                <w:szCs w:val="16"/>
                <w:lang w:val="en-US"/>
              </w:rPr>
              <w:t>If the extract was refrigerated and sedimented in centrifuge bottles, estimate the volume of the sediments and concentrate all the sediments in a single centrifuge tube (50 mL preferably). If necessary, use a little of the estimated volume of 2% formaldehyde to resuspend the sediments and empty them and the rest to wash the walls of the centrifuge bottles. It may be necessary to use a little more formaldehyde solution for washing. The resulting extract is ready to be centrifuged and continue with the cyst concentration process.</w:t>
            </w:r>
          </w:p>
        </w:tc>
      </w:tr>
      <w:tr w:rsidR="00E82F3A" w:rsidRPr="00F01347" w14:paraId="0D78F570" w14:textId="24B219BE" w:rsidTr="00F04031">
        <w:tc>
          <w:tcPr>
            <w:tcW w:w="4675" w:type="dxa"/>
          </w:tcPr>
          <w:p w14:paraId="365F9F8F" w14:textId="77777777" w:rsidR="00E82F3A" w:rsidRPr="00F01347" w:rsidRDefault="00E82F3A" w:rsidP="00E82F3A">
            <w:pPr>
              <w:pStyle w:val="texto0"/>
              <w:spacing w:line="250" w:lineRule="exact"/>
              <w:ind w:firstLine="0"/>
              <w:rPr>
                <w:rFonts w:ascii="Verdana" w:hAnsi="Verdana"/>
                <w:sz w:val="16"/>
                <w:szCs w:val="16"/>
              </w:rPr>
            </w:pPr>
            <w:r w:rsidRPr="00F01347">
              <w:rPr>
                <w:rFonts w:ascii="Verdana" w:hAnsi="Verdana"/>
                <w:sz w:val="16"/>
                <w:szCs w:val="16"/>
              </w:rPr>
              <w:lastRenderedPageBreak/>
              <w:t>Si el extracto no fue refrigerado ni sedimentado y es sometido al procedimiento de concentración de los quistes, está listo para ser centrifugado y continuar con el proceso de concentración de los quistes.</w:t>
            </w:r>
          </w:p>
        </w:tc>
        <w:tc>
          <w:tcPr>
            <w:tcW w:w="4675" w:type="dxa"/>
          </w:tcPr>
          <w:p w14:paraId="5F924372" w14:textId="70840769" w:rsidR="00E82F3A" w:rsidRPr="00F01347" w:rsidRDefault="00E82F3A" w:rsidP="00E82F3A">
            <w:pPr>
              <w:pStyle w:val="texto0"/>
              <w:spacing w:line="250" w:lineRule="exact"/>
              <w:ind w:firstLine="0"/>
              <w:rPr>
                <w:rFonts w:ascii="Verdana" w:hAnsi="Verdana"/>
                <w:sz w:val="16"/>
                <w:szCs w:val="16"/>
                <w:lang w:val="en-US"/>
              </w:rPr>
            </w:pPr>
            <w:r w:rsidRPr="00F01347">
              <w:rPr>
                <w:rFonts w:ascii="Verdana" w:hAnsi="Verdana"/>
                <w:sz w:val="16"/>
                <w:szCs w:val="16"/>
                <w:lang w:val="en-US"/>
              </w:rPr>
              <w:t>If the extract was not refrigerated or sedimented and is subjected to the cyst concentration procedure, it is ready to be centrifuged and continue with the cyst concentration process.</w:t>
            </w:r>
          </w:p>
        </w:tc>
      </w:tr>
      <w:tr w:rsidR="00E82F3A" w:rsidRPr="00F01347" w14:paraId="012744A4" w14:textId="4974A85F" w:rsidTr="00F04031">
        <w:tc>
          <w:tcPr>
            <w:tcW w:w="4675" w:type="dxa"/>
          </w:tcPr>
          <w:p w14:paraId="746C7DE9" w14:textId="77777777" w:rsidR="00E82F3A" w:rsidRPr="00F01347" w:rsidRDefault="00E82F3A" w:rsidP="00E82F3A">
            <w:pPr>
              <w:pStyle w:val="texto0"/>
              <w:spacing w:line="250" w:lineRule="exact"/>
              <w:ind w:firstLine="0"/>
              <w:rPr>
                <w:rFonts w:ascii="Verdana" w:hAnsi="Verdana"/>
                <w:sz w:val="16"/>
                <w:szCs w:val="16"/>
              </w:rPr>
            </w:pPr>
            <w:r w:rsidRPr="00F01347">
              <w:rPr>
                <w:rFonts w:ascii="Verdana" w:hAnsi="Verdana"/>
                <w:sz w:val="16"/>
                <w:szCs w:val="16"/>
              </w:rPr>
              <w:t xml:space="preserve">Centrifugar el extracto obtenido a 660 g durante 5 minutos. Decantar o aspirar el sobrenadante con ayuda de una micropipeta tanto como sea posible sin alterar o </w:t>
            </w:r>
            <w:proofErr w:type="spellStart"/>
            <w:r w:rsidRPr="00F01347">
              <w:rPr>
                <w:rFonts w:ascii="Verdana" w:hAnsi="Verdana"/>
                <w:sz w:val="16"/>
                <w:szCs w:val="16"/>
              </w:rPr>
              <w:t>resuspender</w:t>
            </w:r>
            <w:proofErr w:type="spellEnd"/>
            <w:r w:rsidRPr="00F01347">
              <w:rPr>
                <w:rFonts w:ascii="Verdana" w:hAnsi="Verdana"/>
                <w:sz w:val="16"/>
                <w:szCs w:val="16"/>
              </w:rPr>
              <w:t xml:space="preserve"> el sedimento.</w:t>
            </w:r>
          </w:p>
        </w:tc>
        <w:tc>
          <w:tcPr>
            <w:tcW w:w="4675" w:type="dxa"/>
          </w:tcPr>
          <w:p w14:paraId="1B6C27F2" w14:textId="141D4A46" w:rsidR="00E82F3A" w:rsidRPr="00F01347" w:rsidRDefault="00E82F3A" w:rsidP="00E82F3A">
            <w:pPr>
              <w:pStyle w:val="texto0"/>
              <w:spacing w:line="250" w:lineRule="exact"/>
              <w:ind w:firstLine="0"/>
              <w:rPr>
                <w:rFonts w:ascii="Verdana" w:hAnsi="Verdana"/>
                <w:sz w:val="16"/>
                <w:szCs w:val="16"/>
                <w:lang w:val="en-US"/>
              </w:rPr>
            </w:pPr>
            <w:r w:rsidRPr="00F01347">
              <w:rPr>
                <w:rFonts w:ascii="Verdana" w:hAnsi="Verdana"/>
                <w:sz w:val="16"/>
                <w:szCs w:val="16"/>
                <w:lang w:val="en-US"/>
              </w:rPr>
              <w:t>Centrifuge the extract obtained at 660 g for 5 minutes. Decant or aspirate the supernatant with the help of a micropipette as much as possible without disturbing or resuspending the sediment.</w:t>
            </w:r>
          </w:p>
        </w:tc>
      </w:tr>
      <w:tr w:rsidR="00E82F3A" w:rsidRPr="00F01347" w14:paraId="20AD9F74" w14:textId="39563D50" w:rsidTr="00F04031">
        <w:tc>
          <w:tcPr>
            <w:tcW w:w="4675" w:type="dxa"/>
          </w:tcPr>
          <w:p w14:paraId="5A80F7C1" w14:textId="77777777" w:rsidR="00E82F3A" w:rsidRPr="00F01347" w:rsidRDefault="00E82F3A" w:rsidP="00E82F3A">
            <w:pPr>
              <w:pStyle w:val="texto0"/>
              <w:spacing w:line="250" w:lineRule="exact"/>
              <w:ind w:firstLine="0"/>
              <w:rPr>
                <w:rFonts w:ascii="Verdana" w:hAnsi="Verdana"/>
                <w:sz w:val="16"/>
                <w:szCs w:val="16"/>
              </w:rPr>
            </w:pPr>
            <w:proofErr w:type="spellStart"/>
            <w:r w:rsidRPr="00F01347">
              <w:rPr>
                <w:rFonts w:ascii="Verdana" w:hAnsi="Verdana"/>
                <w:sz w:val="16"/>
                <w:szCs w:val="16"/>
              </w:rPr>
              <w:t>Resuspender</w:t>
            </w:r>
            <w:proofErr w:type="spellEnd"/>
            <w:r w:rsidRPr="00F01347">
              <w:rPr>
                <w:rFonts w:ascii="Verdana" w:hAnsi="Verdana"/>
                <w:sz w:val="16"/>
                <w:szCs w:val="16"/>
              </w:rPr>
              <w:t xml:space="preserve"> el sedimento en una disolución de formaldehído al 2%, transferirlo a un tubo para centrífuga de 15 </w:t>
            </w:r>
            <w:proofErr w:type="spellStart"/>
            <w:r w:rsidRPr="00F01347">
              <w:rPr>
                <w:rFonts w:ascii="Verdana" w:hAnsi="Verdana"/>
                <w:sz w:val="16"/>
                <w:szCs w:val="16"/>
              </w:rPr>
              <w:t>mL</w:t>
            </w:r>
            <w:proofErr w:type="spellEnd"/>
            <w:r w:rsidRPr="00F01347">
              <w:rPr>
                <w:rFonts w:ascii="Verdana" w:hAnsi="Verdana"/>
                <w:sz w:val="16"/>
                <w:szCs w:val="16"/>
              </w:rPr>
              <w:t xml:space="preserve"> y agitar con un vórtex. La cantidad de formaldehido adicionado deberá ser igual a la cantidad del sedimento obtenido.</w:t>
            </w:r>
          </w:p>
        </w:tc>
        <w:tc>
          <w:tcPr>
            <w:tcW w:w="4675" w:type="dxa"/>
          </w:tcPr>
          <w:p w14:paraId="3C7AFB68" w14:textId="42B70E1C" w:rsidR="00E82F3A" w:rsidRPr="00F01347" w:rsidRDefault="00E82F3A" w:rsidP="00E82F3A">
            <w:pPr>
              <w:pStyle w:val="texto0"/>
              <w:spacing w:line="250" w:lineRule="exact"/>
              <w:ind w:firstLine="0"/>
              <w:rPr>
                <w:rFonts w:ascii="Verdana" w:hAnsi="Verdana"/>
                <w:sz w:val="16"/>
                <w:szCs w:val="16"/>
                <w:lang w:val="en-US"/>
              </w:rPr>
            </w:pPr>
            <w:r w:rsidRPr="00F01347">
              <w:rPr>
                <w:rFonts w:ascii="Verdana" w:hAnsi="Verdana"/>
                <w:sz w:val="16"/>
                <w:szCs w:val="16"/>
                <w:lang w:val="en-US"/>
              </w:rPr>
              <w:t>Resuspend the pellet in a 2% formaldehyde solution, transfer to a 15 mL centrifuge tube, and vortex. The amount of formaldehyde added should be equal to the amount of sediment obtained.</w:t>
            </w:r>
          </w:p>
        </w:tc>
      </w:tr>
      <w:tr w:rsidR="00E82F3A" w:rsidRPr="00F01347" w14:paraId="63F9162A" w14:textId="1602E6F3" w:rsidTr="00F04031">
        <w:tc>
          <w:tcPr>
            <w:tcW w:w="4675" w:type="dxa"/>
          </w:tcPr>
          <w:p w14:paraId="3FCAD924" w14:textId="77777777" w:rsidR="00E82F3A" w:rsidRPr="00F01347" w:rsidRDefault="00E82F3A" w:rsidP="00E82F3A">
            <w:pPr>
              <w:pStyle w:val="texto0"/>
              <w:spacing w:line="250" w:lineRule="exact"/>
              <w:ind w:firstLine="0"/>
              <w:rPr>
                <w:rFonts w:ascii="Verdana" w:hAnsi="Verdana"/>
                <w:sz w:val="16"/>
                <w:szCs w:val="16"/>
              </w:rPr>
            </w:pPr>
            <w:r w:rsidRPr="00F01347">
              <w:rPr>
                <w:rFonts w:ascii="Verdana" w:hAnsi="Verdana"/>
                <w:sz w:val="16"/>
                <w:szCs w:val="16"/>
              </w:rPr>
              <w:t xml:space="preserve">Centrifugar a 660g durante 5 minutos. Decantar o aspirar el sobrenadante con ayuda de una micropipeta tanto como sea posible sin alterar o </w:t>
            </w:r>
            <w:proofErr w:type="spellStart"/>
            <w:r w:rsidRPr="00F01347">
              <w:rPr>
                <w:rFonts w:ascii="Verdana" w:hAnsi="Verdana"/>
                <w:sz w:val="16"/>
                <w:szCs w:val="16"/>
              </w:rPr>
              <w:t>resuspender</w:t>
            </w:r>
            <w:proofErr w:type="spellEnd"/>
            <w:r w:rsidRPr="00F01347">
              <w:rPr>
                <w:rFonts w:ascii="Verdana" w:hAnsi="Verdana"/>
                <w:sz w:val="16"/>
                <w:szCs w:val="16"/>
              </w:rPr>
              <w:t xml:space="preserve"> el sedimento. Si el sedimento obtenido es escaso, </w:t>
            </w:r>
            <w:proofErr w:type="spellStart"/>
            <w:r w:rsidRPr="00F01347">
              <w:rPr>
                <w:rFonts w:ascii="Verdana" w:hAnsi="Verdana"/>
                <w:sz w:val="16"/>
                <w:szCs w:val="16"/>
              </w:rPr>
              <w:t>resuspender</w:t>
            </w:r>
            <w:proofErr w:type="spellEnd"/>
            <w:r w:rsidRPr="00F01347">
              <w:rPr>
                <w:rFonts w:ascii="Verdana" w:hAnsi="Verdana"/>
                <w:sz w:val="16"/>
                <w:szCs w:val="16"/>
              </w:rPr>
              <w:t xml:space="preserve"> en 10 </w:t>
            </w:r>
            <w:proofErr w:type="spellStart"/>
            <w:r w:rsidRPr="00F01347">
              <w:rPr>
                <w:rFonts w:ascii="Verdana" w:hAnsi="Verdana"/>
                <w:sz w:val="16"/>
                <w:szCs w:val="16"/>
              </w:rPr>
              <w:t>mL</w:t>
            </w:r>
            <w:proofErr w:type="spellEnd"/>
            <w:r w:rsidRPr="00F01347">
              <w:rPr>
                <w:rFonts w:ascii="Verdana" w:hAnsi="Verdana"/>
                <w:sz w:val="16"/>
                <w:szCs w:val="16"/>
              </w:rPr>
              <w:t xml:space="preserve"> de la disolución de formaldehído al 2%, agitar con un vórtex y centrifugar a 600 g durante 5 minutos.</w:t>
            </w:r>
          </w:p>
        </w:tc>
        <w:tc>
          <w:tcPr>
            <w:tcW w:w="4675" w:type="dxa"/>
          </w:tcPr>
          <w:p w14:paraId="0862B127" w14:textId="03A5283C" w:rsidR="00E82F3A" w:rsidRPr="00F01347" w:rsidRDefault="00E82F3A" w:rsidP="00E82F3A">
            <w:pPr>
              <w:pStyle w:val="texto0"/>
              <w:spacing w:line="250" w:lineRule="exact"/>
              <w:ind w:firstLine="0"/>
              <w:rPr>
                <w:rFonts w:ascii="Verdana" w:hAnsi="Verdana"/>
                <w:sz w:val="16"/>
                <w:szCs w:val="16"/>
                <w:lang w:val="en-US"/>
              </w:rPr>
            </w:pPr>
            <w:r w:rsidRPr="00F01347">
              <w:rPr>
                <w:rFonts w:ascii="Verdana" w:hAnsi="Verdana"/>
                <w:sz w:val="16"/>
                <w:szCs w:val="16"/>
                <w:lang w:val="en-US"/>
              </w:rPr>
              <w:t xml:space="preserve">Centrifuge at 660g for 5 minutes. Decant or aspirate the supernatant with the help of a micropipette as much as possible without disturbing or resuspending the sediment. If the sediment obtained is scarce, resuspend in 10 mL of the 2% formaldehyde solution, </w:t>
            </w:r>
            <w:proofErr w:type="gramStart"/>
            <w:r w:rsidRPr="00F01347">
              <w:rPr>
                <w:rFonts w:ascii="Verdana" w:hAnsi="Verdana"/>
                <w:sz w:val="16"/>
                <w:szCs w:val="16"/>
                <w:lang w:val="en-US"/>
              </w:rPr>
              <w:t>vortex</w:t>
            </w:r>
            <w:proofErr w:type="gramEnd"/>
            <w:r w:rsidRPr="00F01347">
              <w:rPr>
                <w:rFonts w:ascii="Verdana" w:hAnsi="Verdana"/>
                <w:sz w:val="16"/>
                <w:szCs w:val="16"/>
                <w:lang w:val="en-US"/>
              </w:rPr>
              <w:t xml:space="preserve"> and centrifuge at 600 g for 5 minutes.</w:t>
            </w:r>
          </w:p>
        </w:tc>
      </w:tr>
      <w:tr w:rsidR="00E82F3A" w:rsidRPr="00F01347" w14:paraId="17AF181C" w14:textId="1FD2ECF9" w:rsidTr="00F04031">
        <w:tc>
          <w:tcPr>
            <w:tcW w:w="4675" w:type="dxa"/>
          </w:tcPr>
          <w:p w14:paraId="65D42C29" w14:textId="77777777" w:rsidR="00E82F3A" w:rsidRPr="00F01347" w:rsidRDefault="00E82F3A" w:rsidP="00E82F3A">
            <w:pPr>
              <w:pStyle w:val="texto0"/>
              <w:spacing w:line="250" w:lineRule="exact"/>
              <w:ind w:firstLine="0"/>
              <w:rPr>
                <w:rFonts w:ascii="Verdana" w:hAnsi="Verdana"/>
                <w:sz w:val="16"/>
                <w:szCs w:val="16"/>
              </w:rPr>
            </w:pPr>
            <w:r w:rsidRPr="00F01347">
              <w:rPr>
                <w:rFonts w:ascii="Verdana" w:hAnsi="Verdana"/>
                <w:sz w:val="16"/>
                <w:szCs w:val="16"/>
              </w:rPr>
              <w:t xml:space="preserve">Si el volumen del sedimento es menor o igual a 1 </w:t>
            </w:r>
            <w:proofErr w:type="spellStart"/>
            <w:r w:rsidRPr="00F01347">
              <w:rPr>
                <w:rFonts w:ascii="Verdana" w:hAnsi="Verdana"/>
                <w:sz w:val="16"/>
                <w:szCs w:val="16"/>
              </w:rPr>
              <w:t>mL</w:t>
            </w:r>
            <w:proofErr w:type="spellEnd"/>
            <w:r w:rsidRPr="00F01347">
              <w:rPr>
                <w:rFonts w:ascii="Verdana" w:hAnsi="Verdana"/>
                <w:sz w:val="16"/>
                <w:szCs w:val="16"/>
              </w:rPr>
              <w:t>, decantar o aspirar el sobrenadante en su totalidad y desechar el sobrenadante.</w:t>
            </w:r>
          </w:p>
        </w:tc>
        <w:tc>
          <w:tcPr>
            <w:tcW w:w="4675" w:type="dxa"/>
          </w:tcPr>
          <w:p w14:paraId="79D9C0D4" w14:textId="73801E69" w:rsidR="00E82F3A" w:rsidRPr="00F01347" w:rsidRDefault="00E82F3A" w:rsidP="00E82F3A">
            <w:pPr>
              <w:pStyle w:val="texto0"/>
              <w:spacing w:line="250" w:lineRule="exact"/>
              <w:ind w:firstLine="0"/>
              <w:rPr>
                <w:rFonts w:ascii="Verdana" w:hAnsi="Verdana"/>
                <w:sz w:val="16"/>
                <w:szCs w:val="16"/>
                <w:lang w:val="en-US"/>
              </w:rPr>
            </w:pPr>
            <w:r w:rsidRPr="00F01347">
              <w:rPr>
                <w:rFonts w:ascii="Verdana" w:hAnsi="Verdana"/>
                <w:sz w:val="16"/>
                <w:szCs w:val="16"/>
                <w:lang w:val="en-US"/>
              </w:rPr>
              <w:t>If the volume of the sediment is less than or equal to 1 mL</w:t>
            </w:r>
            <w:r w:rsidR="003E1BA9" w:rsidRPr="00F01347">
              <w:rPr>
                <w:rFonts w:ascii="Verdana" w:hAnsi="Verdana"/>
                <w:sz w:val="16"/>
                <w:szCs w:val="16"/>
                <w:lang w:val="en-US"/>
              </w:rPr>
              <w:t>,</w:t>
            </w:r>
            <w:r w:rsidRPr="00F01347">
              <w:rPr>
                <w:rFonts w:ascii="Verdana" w:hAnsi="Verdana"/>
                <w:sz w:val="16"/>
                <w:szCs w:val="16"/>
                <w:lang w:val="en-US"/>
              </w:rPr>
              <w:t xml:space="preserve"> decant or aspirate the entire supernatant and discard the supernatant.</w:t>
            </w:r>
          </w:p>
        </w:tc>
      </w:tr>
      <w:tr w:rsidR="00E82F3A" w:rsidRPr="00F01347" w14:paraId="376A5BA0" w14:textId="62F73571" w:rsidTr="00F04031">
        <w:tc>
          <w:tcPr>
            <w:tcW w:w="4675" w:type="dxa"/>
          </w:tcPr>
          <w:p w14:paraId="333C9D46" w14:textId="77777777" w:rsidR="00E82F3A" w:rsidRPr="00F01347" w:rsidRDefault="00E82F3A" w:rsidP="00E82F3A">
            <w:pPr>
              <w:pStyle w:val="texto0"/>
              <w:spacing w:line="250" w:lineRule="exact"/>
              <w:ind w:firstLine="0"/>
              <w:rPr>
                <w:rFonts w:ascii="Verdana" w:hAnsi="Verdana"/>
                <w:sz w:val="16"/>
                <w:szCs w:val="16"/>
              </w:rPr>
            </w:pPr>
            <w:r w:rsidRPr="00F01347">
              <w:rPr>
                <w:rFonts w:ascii="Verdana" w:hAnsi="Verdana"/>
                <w:sz w:val="16"/>
                <w:szCs w:val="16"/>
              </w:rPr>
              <w:t xml:space="preserve">Si el volumen del sedimento es mayor a 1 </w:t>
            </w:r>
            <w:proofErr w:type="spellStart"/>
            <w:r w:rsidRPr="00F01347">
              <w:rPr>
                <w:rFonts w:ascii="Verdana" w:hAnsi="Verdana"/>
                <w:sz w:val="16"/>
                <w:szCs w:val="16"/>
              </w:rPr>
              <w:t>mL</w:t>
            </w:r>
            <w:proofErr w:type="spellEnd"/>
            <w:r w:rsidRPr="00F01347">
              <w:rPr>
                <w:rFonts w:ascii="Verdana" w:hAnsi="Verdana"/>
                <w:sz w:val="16"/>
                <w:szCs w:val="16"/>
              </w:rPr>
              <w:t xml:space="preserve"> </w:t>
            </w:r>
            <w:proofErr w:type="spellStart"/>
            <w:r w:rsidRPr="00F01347">
              <w:rPr>
                <w:rFonts w:ascii="Verdana" w:hAnsi="Verdana"/>
                <w:sz w:val="16"/>
                <w:szCs w:val="16"/>
              </w:rPr>
              <w:t>resuspender</w:t>
            </w:r>
            <w:proofErr w:type="spellEnd"/>
            <w:r w:rsidRPr="00F01347">
              <w:rPr>
                <w:rFonts w:ascii="Verdana" w:hAnsi="Verdana"/>
                <w:sz w:val="16"/>
                <w:szCs w:val="16"/>
              </w:rPr>
              <w:t xml:space="preserve"> en el sobrenadante y transferir volúmenes equivalentes de 1mL en tubos de centrifuga de 15 </w:t>
            </w:r>
            <w:proofErr w:type="spellStart"/>
            <w:r w:rsidRPr="00F01347">
              <w:rPr>
                <w:rFonts w:ascii="Verdana" w:hAnsi="Verdana"/>
                <w:sz w:val="16"/>
                <w:szCs w:val="16"/>
              </w:rPr>
              <w:t>mL</w:t>
            </w:r>
            <w:proofErr w:type="spellEnd"/>
            <w:r w:rsidRPr="00F01347">
              <w:rPr>
                <w:rFonts w:ascii="Verdana" w:hAnsi="Verdana"/>
                <w:sz w:val="16"/>
                <w:szCs w:val="16"/>
              </w:rPr>
              <w:t xml:space="preserve"> de capacidad, volver a centrifugar por 5 minutos a 660 g. Decantar y desechar el sobrenadante.</w:t>
            </w:r>
          </w:p>
        </w:tc>
        <w:tc>
          <w:tcPr>
            <w:tcW w:w="4675" w:type="dxa"/>
          </w:tcPr>
          <w:p w14:paraId="40CA1607" w14:textId="4CA9CD27" w:rsidR="00E82F3A" w:rsidRPr="00F01347" w:rsidRDefault="00E82F3A" w:rsidP="00E82F3A">
            <w:pPr>
              <w:pStyle w:val="texto0"/>
              <w:spacing w:line="250" w:lineRule="exact"/>
              <w:ind w:firstLine="0"/>
              <w:rPr>
                <w:rFonts w:ascii="Verdana" w:hAnsi="Verdana"/>
                <w:sz w:val="16"/>
                <w:szCs w:val="16"/>
                <w:lang w:val="en-US"/>
              </w:rPr>
            </w:pPr>
            <w:r w:rsidRPr="00F01347">
              <w:rPr>
                <w:rFonts w:ascii="Verdana" w:hAnsi="Verdana"/>
                <w:sz w:val="16"/>
                <w:szCs w:val="16"/>
                <w:lang w:val="en-US"/>
              </w:rPr>
              <w:t>If the volume of the sediment is greater than 1 mL Resuspend in the supernatant and transfer equivalent volumes of 1 mL into centrifuge tubes of 15 mL capacity, centrifuge again for 5 minutes at 660 g. Decant and discard the supernatant.</w:t>
            </w:r>
          </w:p>
        </w:tc>
      </w:tr>
      <w:tr w:rsidR="00E82F3A" w:rsidRPr="00F01347" w14:paraId="58DA6ED4" w14:textId="5F104DE6" w:rsidTr="00F04031">
        <w:tc>
          <w:tcPr>
            <w:tcW w:w="4675" w:type="dxa"/>
          </w:tcPr>
          <w:p w14:paraId="0649D0C3" w14:textId="77777777" w:rsidR="00E82F3A" w:rsidRPr="00F01347" w:rsidRDefault="00E82F3A" w:rsidP="00E82F3A">
            <w:pPr>
              <w:pStyle w:val="texto0"/>
              <w:spacing w:line="250" w:lineRule="exact"/>
              <w:ind w:firstLine="0"/>
              <w:rPr>
                <w:rFonts w:ascii="Verdana" w:hAnsi="Verdana"/>
                <w:sz w:val="16"/>
                <w:szCs w:val="16"/>
              </w:rPr>
            </w:pPr>
            <w:r w:rsidRPr="00F01347">
              <w:rPr>
                <w:rFonts w:ascii="Verdana" w:hAnsi="Verdana"/>
                <w:sz w:val="16"/>
                <w:szCs w:val="16"/>
              </w:rPr>
              <w:t xml:space="preserve">El volumen de sedimento restante en cada tupo debe ser de aproximadamente 1 a 2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0F8967C5" w14:textId="3A2BB019" w:rsidR="00E82F3A" w:rsidRPr="00F01347" w:rsidRDefault="00E82F3A" w:rsidP="00E82F3A">
            <w:pPr>
              <w:pStyle w:val="texto0"/>
              <w:spacing w:line="250" w:lineRule="exact"/>
              <w:ind w:firstLine="0"/>
              <w:rPr>
                <w:rFonts w:ascii="Verdana" w:hAnsi="Verdana"/>
                <w:sz w:val="16"/>
                <w:szCs w:val="16"/>
                <w:lang w:val="en-US"/>
              </w:rPr>
            </w:pPr>
            <w:r w:rsidRPr="00F01347">
              <w:rPr>
                <w:rFonts w:ascii="Verdana" w:hAnsi="Verdana"/>
                <w:sz w:val="16"/>
                <w:szCs w:val="16"/>
                <w:lang w:val="en-US"/>
              </w:rPr>
              <w:t>The remaining sediment volume in each tube should be approximately 1 to 2 mL</w:t>
            </w:r>
            <w:r w:rsidR="003E1BA9" w:rsidRPr="00F01347">
              <w:rPr>
                <w:rFonts w:ascii="Verdana" w:hAnsi="Verdana"/>
                <w:sz w:val="16"/>
                <w:szCs w:val="16"/>
                <w:lang w:val="en-US"/>
              </w:rPr>
              <w:t>.</w:t>
            </w:r>
          </w:p>
        </w:tc>
      </w:tr>
      <w:tr w:rsidR="00E82F3A" w:rsidRPr="00F01347" w14:paraId="33148127" w14:textId="00146710" w:rsidTr="00F04031">
        <w:tc>
          <w:tcPr>
            <w:tcW w:w="4675" w:type="dxa"/>
          </w:tcPr>
          <w:p w14:paraId="4EDA9860" w14:textId="77777777" w:rsidR="00E82F3A" w:rsidRPr="00F01347" w:rsidRDefault="00E82F3A" w:rsidP="00E82F3A">
            <w:pPr>
              <w:pStyle w:val="texto0"/>
              <w:spacing w:after="80" w:line="220" w:lineRule="exact"/>
              <w:ind w:firstLine="0"/>
              <w:jc w:val="center"/>
              <w:rPr>
                <w:rFonts w:ascii="Verdana" w:hAnsi="Verdana"/>
                <w:b/>
                <w:sz w:val="16"/>
                <w:szCs w:val="16"/>
              </w:rPr>
            </w:pPr>
            <w:r w:rsidRPr="00F01347">
              <w:rPr>
                <w:rFonts w:ascii="Verdana" w:hAnsi="Verdana"/>
                <w:b/>
                <w:sz w:val="16"/>
                <w:szCs w:val="16"/>
              </w:rPr>
              <w:t xml:space="preserve">B.2.3 MÉTODO MICROBIOLÓGICO PARA LA DETERMINACIÓN DE QUISTES DE </w:t>
            </w:r>
            <w:proofErr w:type="spellStart"/>
            <w:r w:rsidRPr="00F01347">
              <w:rPr>
                <w:rFonts w:ascii="Verdana" w:hAnsi="Verdana"/>
                <w:b/>
                <w:i/>
                <w:sz w:val="16"/>
                <w:szCs w:val="16"/>
              </w:rPr>
              <w:t>Giardia</w:t>
            </w:r>
            <w:proofErr w:type="spellEnd"/>
            <w:r w:rsidRPr="00F01347">
              <w:rPr>
                <w:rFonts w:ascii="Verdana" w:hAnsi="Verdana"/>
                <w:b/>
                <w:i/>
                <w:sz w:val="16"/>
                <w:szCs w:val="16"/>
              </w:rPr>
              <w:t xml:space="preserve"> </w:t>
            </w:r>
            <w:proofErr w:type="spellStart"/>
            <w:r w:rsidRPr="00F01347">
              <w:rPr>
                <w:rFonts w:ascii="Verdana" w:hAnsi="Verdana"/>
                <w:b/>
                <w:i/>
                <w:sz w:val="16"/>
                <w:szCs w:val="16"/>
              </w:rPr>
              <w:t>lamblia</w:t>
            </w:r>
            <w:proofErr w:type="spellEnd"/>
            <w:r w:rsidRPr="00F01347">
              <w:rPr>
                <w:rFonts w:ascii="Verdana" w:hAnsi="Verdana"/>
                <w:b/>
                <w:sz w:val="16"/>
                <w:szCs w:val="16"/>
              </w:rPr>
              <w:t xml:space="preserve"> EN MUESTRAS DE AGUA PARA USO Y CONSUMO HUMANO</w:t>
            </w:r>
          </w:p>
        </w:tc>
        <w:tc>
          <w:tcPr>
            <w:tcW w:w="4675" w:type="dxa"/>
          </w:tcPr>
          <w:p w14:paraId="29C276CE" w14:textId="2A73AB58" w:rsidR="00E82F3A" w:rsidRPr="00F01347" w:rsidRDefault="00E82F3A" w:rsidP="00E82F3A">
            <w:pPr>
              <w:pStyle w:val="texto0"/>
              <w:spacing w:after="80" w:line="220" w:lineRule="exact"/>
              <w:ind w:firstLine="0"/>
              <w:jc w:val="center"/>
              <w:rPr>
                <w:rFonts w:ascii="Verdana" w:hAnsi="Verdana"/>
                <w:b/>
                <w:sz w:val="16"/>
                <w:szCs w:val="16"/>
                <w:lang w:val="en-US"/>
              </w:rPr>
            </w:pPr>
            <w:r w:rsidRPr="00F01347">
              <w:rPr>
                <w:rFonts w:ascii="Verdana" w:hAnsi="Verdana"/>
                <w:b/>
                <w:sz w:val="16"/>
                <w:szCs w:val="16"/>
                <w:lang w:val="en-US"/>
              </w:rPr>
              <w:t xml:space="preserve">B.2.3 MICROBIOLOGICAL METHOD FOR THE DETERMINATION OF </w:t>
            </w:r>
            <w:r w:rsidR="005D07D9" w:rsidRPr="00F01347">
              <w:rPr>
                <w:rFonts w:ascii="Verdana" w:hAnsi="Verdana"/>
                <w:b/>
                <w:i/>
                <w:sz w:val="16"/>
                <w:szCs w:val="16"/>
                <w:lang w:val="en-US"/>
              </w:rPr>
              <w:t xml:space="preserve">Giardia lamblia </w:t>
            </w:r>
            <w:r w:rsidR="002072DF" w:rsidRPr="00F01347">
              <w:rPr>
                <w:rFonts w:ascii="Verdana" w:hAnsi="Verdana"/>
                <w:b/>
                <w:iCs/>
                <w:sz w:val="16"/>
                <w:szCs w:val="16"/>
                <w:lang w:val="en-US"/>
              </w:rPr>
              <w:t>CYSTS</w:t>
            </w:r>
            <w:r w:rsidRPr="00F01347">
              <w:rPr>
                <w:rFonts w:ascii="Verdana" w:hAnsi="Verdana"/>
                <w:b/>
                <w:i/>
                <w:sz w:val="16"/>
                <w:szCs w:val="16"/>
                <w:lang w:val="en-US"/>
              </w:rPr>
              <w:t xml:space="preserve"> </w:t>
            </w:r>
            <w:r w:rsidRPr="00F01347">
              <w:rPr>
                <w:rFonts w:ascii="Verdana" w:hAnsi="Verdana"/>
                <w:b/>
                <w:sz w:val="16"/>
                <w:szCs w:val="16"/>
                <w:lang w:val="en-US"/>
              </w:rPr>
              <w:t>IN WATER SAMPLES FOR HUMAN USE AND CONSUMPTION</w:t>
            </w:r>
          </w:p>
        </w:tc>
      </w:tr>
      <w:tr w:rsidR="00E82F3A" w:rsidRPr="00F01347" w14:paraId="3440F569" w14:textId="4FB46502" w:rsidTr="00F04031">
        <w:tc>
          <w:tcPr>
            <w:tcW w:w="4675" w:type="dxa"/>
          </w:tcPr>
          <w:p w14:paraId="34AB8CAF" w14:textId="77777777" w:rsidR="00E82F3A" w:rsidRPr="00F01347" w:rsidRDefault="00E82F3A" w:rsidP="00E82F3A">
            <w:pPr>
              <w:pStyle w:val="texto0"/>
              <w:spacing w:after="80" w:line="220" w:lineRule="exact"/>
              <w:ind w:firstLine="0"/>
              <w:rPr>
                <w:rFonts w:ascii="Verdana" w:hAnsi="Verdana"/>
                <w:b/>
                <w:sz w:val="16"/>
                <w:szCs w:val="16"/>
              </w:rPr>
            </w:pPr>
            <w:r w:rsidRPr="00F01347">
              <w:rPr>
                <w:rFonts w:ascii="Verdana" w:hAnsi="Verdana"/>
                <w:b/>
                <w:sz w:val="16"/>
                <w:szCs w:val="16"/>
              </w:rPr>
              <w:t>B.2.3.1 Símbolos y términos abreviados</w:t>
            </w:r>
          </w:p>
        </w:tc>
        <w:tc>
          <w:tcPr>
            <w:tcW w:w="4675" w:type="dxa"/>
          </w:tcPr>
          <w:p w14:paraId="5693EECB" w14:textId="5C685704" w:rsidR="00E82F3A" w:rsidRPr="00F01347" w:rsidRDefault="00E82F3A"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B.2.3.1 Symbols and abbreviated terms</w:t>
            </w:r>
          </w:p>
        </w:tc>
      </w:tr>
      <w:tr w:rsidR="00E82F3A" w:rsidRPr="00F01347" w14:paraId="75A8E05A" w14:textId="7E65D849" w:rsidTr="00F04031">
        <w:tc>
          <w:tcPr>
            <w:tcW w:w="4675" w:type="dxa"/>
          </w:tcPr>
          <w:p w14:paraId="3B137CD6"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sz w:val="16"/>
                <w:szCs w:val="16"/>
              </w:rPr>
              <w:t>ZnSO</w:t>
            </w:r>
            <w:r w:rsidRPr="00F01347">
              <w:rPr>
                <w:rFonts w:ascii="Verdana" w:hAnsi="Verdana"/>
                <w:sz w:val="16"/>
                <w:szCs w:val="16"/>
                <w:vertAlign w:val="subscript"/>
              </w:rPr>
              <w:t>4</w:t>
            </w:r>
            <w:r w:rsidRPr="00F01347">
              <w:rPr>
                <w:rFonts w:ascii="Verdana" w:hAnsi="Verdana"/>
                <w:sz w:val="16"/>
                <w:szCs w:val="16"/>
              </w:rPr>
              <w:tab/>
              <w:t>sulfato de zinc</w:t>
            </w:r>
          </w:p>
        </w:tc>
        <w:tc>
          <w:tcPr>
            <w:tcW w:w="4675" w:type="dxa"/>
          </w:tcPr>
          <w:p w14:paraId="24276F78" w14:textId="23A74075" w:rsidR="00E82F3A" w:rsidRPr="00F01347" w:rsidRDefault="00E82F3A" w:rsidP="00E82F3A">
            <w:pPr>
              <w:pStyle w:val="texto0"/>
              <w:spacing w:after="80" w:line="220" w:lineRule="exact"/>
              <w:ind w:firstLine="0"/>
              <w:rPr>
                <w:rFonts w:ascii="Verdana" w:hAnsi="Verdana"/>
                <w:sz w:val="16"/>
                <w:szCs w:val="16"/>
                <w:lang w:val="en-US"/>
              </w:rPr>
            </w:pPr>
            <w:r w:rsidRPr="00F01347">
              <w:rPr>
                <w:rFonts w:ascii="Verdana" w:hAnsi="Verdana"/>
                <w:sz w:val="16"/>
                <w:szCs w:val="16"/>
                <w:lang w:val="en-US"/>
              </w:rPr>
              <w:t>ZnSO</w:t>
            </w:r>
            <w:r w:rsidRPr="00F01347">
              <w:rPr>
                <w:rFonts w:ascii="Verdana" w:hAnsi="Verdana"/>
                <w:sz w:val="16"/>
                <w:szCs w:val="16"/>
                <w:vertAlign w:val="subscript"/>
                <w:lang w:val="en-US"/>
              </w:rPr>
              <w:t xml:space="preserve">4 </w:t>
            </w:r>
            <w:r w:rsidRPr="00F01347">
              <w:rPr>
                <w:rFonts w:ascii="Verdana" w:hAnsi="Verdana"/>
                <w:sz w:val="16"/>
                <w:szCs w:val="16"/>
                <w:lang w:val="en-US"/>
              </w:rPr>
              <w:tab/>
              <w:t>zinc sulfate</w:t>
            </w:r>
          </w:p>
        </w:tc>
      </w:tr>
      <w:tr w:rsidR="00E82F3A" w:rsidRPr="00F01347" w14:paraId="0E2EB7C3" w14:textId="68586B5A" w:rsidTr="00F04031">
        <w:tc>
          <w:tcPr>
            <w:tcW w:w="4675" w:type="dxa"/>
          </w:tcPr>
          <w:p w14:paraId="6AB3C8E4" w14:textId="77777777" w:rsidR="00E82F3A" w:rsidRPr="00F01347" w:rsidRDefault="00E82F3A" w:rsidP="00E82F3A">
            <w:pPr>
              <w:pStyle w:val="texto0"/>
              <w:spacing w:after="80" w:line="220" w:lineRule="exact"/>
              <w:ind w:firstLine="0"/>
              <w:rPr>
                <w:rFonts w:ascii="Verdana" w:hAnsi="Verdana"/>
                <w:b/>
                <w:sz w:val="16"/>
                <w:szCs w:val="16"/>
              </w:rPr>
            </w:pPr>
            <w:r w:rsidRPr="00F01347">
              <w:rPr>
                <w:rFonts w:ascii="Verdana" w:hAnsi="Verdana"/>
                <w:b/>
                <w:sz w:val="16"/>
                <w:szCs w:val="16"/>
              </w:rPr>
              <w:t>B.2.3.2 Principio</w:t>
            </w:r>
          </w:p>
        </w:tc>
        <w:tc>
          <w:tcPr>
            <w:tcW w:w="4675" w:type="dxa"/>
          </w:tcPr>
          <w:p w14:paraId="231B4426" w14:textId="6E8FF544" w:rsidR="00E82F3A" w:rsidRPr="00F01347" w:rsidRDefault="00E82F3A"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B.2.3.2 Principle</w:t>
            </w:r>
          </w:p>
        </w:tc>
      </w:tr>
      <w:tr w:rsidR="00E82F3A" w:rsidRPr="00F01347" w14:paraId="593E95F4" w14:textId="569466D0" w:rsidTr="00F04031">
        <w:tc>
          <w:tcPr>
            <w:tcW w:w="4675" w:type="dxa"/>
          </w:tcPr>
          <w:p w14:paraId="314C5AA7"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sz w:val="16"/>
                <w:szCs w:val="16"/>
              </w:rPr>
              <w:t>A partir de los quistes purificados puede realizarse la determinación de estos a través de observación microscópica usando cromógenos o técnicas de tinción con anticuerpos fluorescentes y criterios morfológicos.</w:t>
            </w:r>
          </w:p>
        </w:tc>
        <w:tc>
          <w:tcPr>
            <w:tcW w:w="4675" w:type="dxa"/>
          </w:tcPr>
          <w:p w14:paraId="16392F81" w14:textId="23C13188" w:rsidR="00E82F3A" w:rsidRPr="00F01347" w:rsidRDefault="00E82F3A" w:rsidP="00E82F3A">
            <w:pPr>
              <w:pStyle w:val="texto0"/>
              <w:spacing w:after="80" w:line="220" w:lineRule="exact"/>
              <w:ind w:firstLine="0"/>
              <w:rPr>
                <w:rFonts w:ascii="Verdana" w:hAnsi="Verdana"/>
                <w:sz w:val="16"/>
                <w:szCs w:val="16"/>
                <w:lang w:val="en-US"/>
              </w:rPr>
            </w:pPr>
            <w:r w:rsidRPr="00F01347">
              <w:rPr>
                <w:rFonts w:ascii="Verdana" w:hAnsi="Verdana"/>
                <w:sz w:val="16"/>
                <w:szCs w:val="16"/>
                <w:lang w:val="en-US"/>
              </w:rPr>
              <w:t>From the purified cysts, their determination can be carried out through microscopic observation using chromogens or staining techniques with fluorescent antibodies and morphological criteria.</w:t>
            </w:r>
          </w:p>
        </w:tc>
      </w:tr>
      <w:tr w:rsidR="00E82F3A" w:rsidRPr="00F01347" w14:paraId="43C495EA" w14:textId="032190A7" w:rsidTr="00F04031">
        <w:tc>
          <w:tcPr>
            <w:tcW w:w="4675" w:type="dxa"/>
          </w:tcPr>
          <w:p w14:paraId="510B90F3" w14:textId="77777777" w:rsidR="00E82F3A" w:rsidRPr="00F01347" w:rsidRDefault="00E82F3A" w:rsidP="00E82F3A">
            <w:pPr>
              <w:pStyle w:val="texto0"/>
              <w:spacing w:after="80" w:line="220" w:lineRule="exact"/>
              <w:ind w:firstLine="0"/>
              <w:rPr>
                <w:rFonts w:ascii="Verdana" w:hAnsi="Verdana"/>
                <w:b/>
                <w:sz w:val="16"/>
                <w:szCs w:val="16"/>
              </w:rPr>
            </w:pPr>
            <w:r w:rsidRPr="00F01347">
              <w:rPr>
                <w:rFonts w:ascii="Verdana" w:hAnsi="Verdana"/>
                <w:b/>
                <w:sz w:val="16"/>
                <w:szCs w:val="16"/>
              </w:rPr>
              <w:t>B.2.3.3 Alcance y aplicación</w:t>
            </w:r>
          </w:p>
        </w:tc>
        <w:tc>
          <w:tcPr>
            <w:tcW w:w="4675" w:type="dxa"/>
          </w:tcPr>
          <w:p w14:paraId="39B7123D" w14:textId="459603C0" w:rsidR="00E82F3A" w:rsidRPr="00F01347" w:rsidRDefault="00E82F3A"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B.2.3.3 Scope and application</w:t>
            </w:r>
          </w:p>
        </w:tc>
      </w:tr>
      <w:tr w:rsidR="00E82F3A" w:rsidRPr="00F01347" w14:paraId="1B82EBCF" w14:textId="76D0A484" w:rsidTr="00F04031">
        <w:tc>
          <w:tcPr>
            <w:tcW w:w="4675" w:type="dxa"/>
          </w:tcPr>
          <w:p w14:paraId="67B81177"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sz w:val="16"/>
                <w:szCs w:val="16"/>
              </w:rPr>
              <w:t xml:space="preserve">Este método es utilizado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purificados a través del método descrito en el punto B.2.2, de este Apéndice, presentes en muestras de agua para uso y consumo humano colectadas al final del sistema de potabilización, a través de un método microbiológico por microscopia óptica con tinción con </w:t>
            </w:r>
            <w:proofErr w:type="spellStart"/>
            <w:r w:rsidRPr="00F01347">
              <w:rPr>
                <w:rFonts w:ascii="Verdana" w:hAnsi="Verdana"/>
                <w:sz w:val="16"/>
                <w:szCs w:val="16"/>
              </w:rPr>
              <w:t>lugol</w:t>
            </w:r>
            <w:proofErr w:type="spellEnd"/>
            <w:r w:rsidRPr="00F01347">
              <w:rPr>
                <w:rFonts w:ascii="Verdana" w:hAnsi="Verdana"/>
                <w:sz w:val="16"/>
                <w:szCs w:val="16"/>
              </w:rPr>
              <w:t>.</w:t>
            </w:r>
          </w:p>
        </w:tc>
        <w:tc>
          <w:tcPr>
            <w:tcW w:w="4675" w:type="dxa"/>
          </w:tcPr>
          <w:p w14:paraId="3D445231" w14:textId="1642DEBD" w:rsidR="00E82F3A" w:rsidRPr="00F01347" w:rsidRDefault="005D07D9" w:rsidP="00E82F3A">
            <w:pPr>
              <w:pStyle w:val="texto0"/>
              <w:spacing w:after="80" w:line="220" w:lineRule="exact"/>
              <w:ind w:firstLine="0"/>
              <w:rPr>
                <w:rFonts w:ascii="Verdana" w:hAnsi="Verdana"/>
                <w:sz w:val="16"/>
                <w:szCs w:val="16"/>
                <w:lang w:val="en-US"/>
              </w:rPr>
            </w:pPr>
            <w:r w:rsidRPr="00F01347">
              <w:rPr>
                <w:rFonts w:ascii="Verdana" w:hAnsi="Verdana"/>
                <w:i/>
                <w:sz w:val="16"/>
                <w:szCs w:val="16"/>
                <w:lang w:val="en-US"/>
              </w:rPr>
              <w:t>Giardia lamblia cysts</w:t>
            </w:r>
            <w:r w:rsidR="003E1BA9" w:rsidRPr="00F01347">
              <w:rPr>
                <w:rFonts w:ascii="Verdana" w:hAnsi="Verdana"/>
                <w:i/>
                <w:sz w:val="16"/>
                <w:szCs w:val="16"/>
                <w:lang w:val="en-US"/>
              </w:rPr>
              <w:t>,</w:t>
            </w:r>
            <w:r w:rsidR="00E82F3A" w:rsidRPr="00F01347">
              <w:rPr>
                <w:rFonts w:ascii="Verdana" w:hAnsi="Verdana"/>
                <w:sz w:val="16"/>
                <w:szCs w:val="16"/>
                <w:lang w:val="en-US"/>
              </w:rPr>
              <w:t xml:space="preserve"> purified through the method described in point B.2.2, of this Appendix, present in water samples for human use and consumption collected at the end of the purification system, through a microbiological method by optical microscopy with Lugol staining</w:t>
            </w:r>
            <w:r w:rsidR="003E1BA9" w:rsidRPr="00F01347">
              <w:rPr>
                <w:rFonts w:ascii="Verdana" w:hAnsi="Verdana"/>
                <w:sz w:val="16"/>
                <w:szCs w:val="16"/>
                <w:lang w:val="en-US"/>
              </w:rPr>
              <w:t>.</w:t>
            </w:r>
          </w:p>
        </w:tc>
      </w:tr>
      <w:tr w:rsidR="00E82F3A" w:rsidRPr="00F01347" w14:paraId="0D3D7E0D" w14:textId="6B617132" w:rsidTr="00F04031">
        <w:tc>
          <w:tcPr>
            <w:tcW w:w="4675" w:type="dxa"/>
          </w:tcPr>
          <w:p w14:paraId="089D150E"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sz w:val="16"/>
                <w:szCs w:val="16"/>
              </w:rPr>
              <w:lastRenderedPageBreak/>
              <w:t xml:space="preserve">De manera adicional a este método microbiológico por microscopia óptica con tinción con </w:t>
            </w:r>
            <w:proofErr w:type="spellStart"/>
            <w:r w:rsidRPr="00F01347">
              <w:rPr>
                <w:rFonts w:ascii="Verdana" w:hAnsi="Verdana"/>
                <w:sz w:val="16"/>
                <w:szCs w:val="16"/>
              </w:rPr>
              <w:t>lugol</w:t>
            </w:r>
            <w:proofErr w:type="spellEnd"/>
            <w:r w:rsidRPr="00F01347">
              <w:rPr>
                <w:rFonts w:ascii="Verdana" w:hAnsi="Verdana"/>
                <w:sz w:val="16"/>
                <w:szCs w:val="16"/>
              </w:rPr>
              <w:t xml:space="preserve">,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pueden utilizarse las técnicas de inmunofluorescencia (punto B.2.4, de este Apéndice) o de biología molecular (punto B.2.5, de este Apéndice) descritas en este </w:t>
            </w:r>
            <w:proofErr w:type="gramStart"/>
            <w:r w:rsidRPr="00F01347">
              <w:rPr>
                <w:rFonts w:ascii="Verdana" w:hAnsi="Verdana"/>
                <w:sz w:val="16"/>
                <w:szCs w:val="16"/>
              </w:rPr>
              <w:t>método  de</w:t>
            </w:r>
            <w:proofErr w:type="gramEnd"/>
            <w:r w:rsidRPr="00F01347">
              <w:rPr>
                <w:rFonts w:ascii="Verdana" w:hAnsi="Verdana"/>
                <w:sz w:val="16"/>
                <w:szCs w:val="16"/>
              </w:rPr>
              <w:t xml:space="preserve"> prueba.</w:t>
            </w:r>
          </w:p>
        </w:tc>
        <w:tc>
          <w:tcPr>
            <w:tcW w:w="4675" w:type="dxa"/>
          </w:tcPr>
          <w:p w14:paraId="14406B30" w14:textId="6A22B1CA" w:rsidR="00E82F3A" w:rsidRPr="00F01347" w:rsidRDefault="00E82F3A" w:rsidP="00E82F3A">
            <w:pPr>
              <w:pStyle w:val="texto0"/>
              <w:spacing w:after="80" w:line="220" w:lineRule="exact"/>
              <w:ind w:firstLine="0"/>
              <w:rPr>
                <w:rFonts w:ascii="Verdana" w:hAnsi="Verdana"/>
                <w:sz w:val="16"/>
                <w:szCs w:val="16"/>
                <w:lang w:val="en-US"/>
              </w:rPr>
            </w:pPr>
            <w:r w:rsidRPr="00F01347">
              <w:rPr>
                <w:rFonts w:ascii="Verdana" w:hAnsi="Verdana"/>
                <w:sz w:val="16"/>
                <w:szCs w:val="16"/>
                <w:lang w:val="en-US"/>
              </w:rPr>
              <w:t>In addition to this microbiological method by optical microscopy with Lugol staining</w:t>
            </w:r>
            <w:r w:rsidR="003E1BA9" w:rsidRPr="00F01347">
              <w:rPr>
                <w:rFonts w:ascii="Verdana" w:hAnsi="Verdana"/>
                <w:sz w:val="16"/>
                <w:szCs w:val="16"/>
                <w:lang w:val="en-US"/>
              </w:rPr>
              <w:t>,</w:t>
            </w:r>
            <w:r w:rsidRPr="00F01347">
              <w:rPr>
                <w:rFonts w:ascii="Verdana" w:hAnsi="Verdana"/>
                <w:sz w:val="16"/>
                <w:szCs w:val="16"/>
                <w:lang w:val="en-US"/>
              </w:rPr>
              <w:t xml:space="preserve"> for the determination of </w:t>
            </w:r>
            <w:r w:rsidR="005D07D9" w:rsidRPr="00F01347">
              <w:rPr>
                <w:rFonts w:ascii="Verdana" w:hAnsi="Verdana"/>
                <w:i/>
                <w:sz w:val="16"/>
                <w:szCs w:val="16"/>
                <w:lang w:val="en-US"/>
              </w:rPr>
              <w:t xml:space="preserve">Giardia lamblia </w:t>
            </w:r>
            <w:r w:rsidR="005D07D9" w:rsidRPr="00F01347">
              <w:rPr>
                <w:rFonts w:ascii="Verdana" w:hAnsi="Verdana"/>
                <w:iCs/>
                <w:sz w:val="16"/>
                <w:szCs w:val="16"/>
                <w:lang w:val="en-US"/>
              </w:rPr>
              <w:t>cysts</w:t>
            </w:r>
            <w:r w:rsidRPr="00F01347">
              <w:rPr>
                <w:rFonts w:ascii="Verdana" w:hAnsi="Verdana"/>
                <w:iCs/>
                <w:sz w:val="16"/>
                <w:szCs w:val="16"/>
                <w:lang w:val="en-US"/>
              </w:rPr>
              <w:t xml:space="preserve"> immunofluorescence (point B.2.4, of this Appendix) or molecular biology (point B.2.5, of this Appendix)</w:t>
            </w:r>
            <w:r w:rsidRPr="00F01347">
              <w:rPr>
                <w:rFonts w:ascii="Verdana" w:hAnsi="Verdana"/>
                <w:i/>
                <w:sz w:val="16"/>
                <w:szCs w:val="16"/>
                <w:lang w:val="en-US"/>
              </w:rPr>
              <w:t xml:space="preserve"> </w:t>
            </w:r>
            <w:r w:rsidRPr="00F01347">
              <w:rPr>
                <w:rFonts w:ascii="Verdana" w:hAnsi="Verdana"/>
                <w:sz w:val="16"/>
                <w:szCs w:val="16"/>
                <w:lang w:val="en-US"/>
              </w:rPr>
              <w:t>techniques described in this test method can be used</w:t>
            </w:r>
            <w:r w:rsidR="003E1BA9" w:rsidRPr="00F01347">
              <w:rPr>
                <w:rFonts w:ascii="Verdana" w:hAnsi="Verdana"/>
                <w:sz w:val="16"/>
                <w:szCs w:val="16"/>
                <w:lang w:val="en-US"/>
              </w:rPr>
              <w:t>.</w:t>
            </w:r>
          </w:p>
        </w:tc>
      </w:tr>
      <w:tr w:rsidR="00E82F3A" w:rsidRPr="00F01347" w14:paraId="67E5E2E1" w14:textId="5D660A4B" w:rsidTr="00F04031">
        <w:tc>
          <w:tcPr>
            <w:tcW w:w="4675" w:type="dxa"/>
          </w:tcPr>
          <w:p w14:paraId="0B196289" w14:textId="77777777" w:rsidR="00E82F3A" w:rsidRPr="00F01347" w:rsidRDefault="00E82F3A" w:rsidP="00E82F3A">
            <w:pPr>
              <w:pStyle w:val="texto0"/>
              <w:spacing w:after="80" w:line="220" w:lineRule="exact"/>
              <w:ind w:firstLine="0"/>
              <w:rPr>
                <w:rFonts w:ascii="Verdana" w:hAnsi="Verdana"/>
                <w:b/>
                <w:sz w:val="16"/>
                <w:szCs w:val="16"/>
              </w:rPr>
            </w:pPr>
            <w:r w:rsidRPr="00F01347">
              <w:rPr>
                <w:rFonts w:ascii="Verdana" w:hAnsi="Verdana"/>
                <w:b/>
                <w:sz w:val="16"/>
                <w:szCs w:val="16"/>
              </w:rPr>
              <w:t>B.2.3.4 Equipos y materiales</w:t>
            </w:r>
          </w:p>
        </w:tc>
        <w:tc>
          <w:tcPr>
            <w:tcW w:w="4675" w:type="dxa"/>
          </w:tcPr>
          <w:p w14:paraId="2EA5BB8F" w14:textId="6296D0AA" w:rsidR="00E82F3A" w:rsidRPr="00F01347" w:rsidRDefault="00E82F3A"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B.2.3.4 Equipment and materials</w:t>
            </w:r>
          </w:p>
        </w:tc>
      </w:tr>
      <w:tr w:rsidR="00E82F3A" w:rsidRPr="00F01347" w14:paraId="52C8C670" w14:textId="39FB5FB9" w:rsidTr="00F04031">
        <w:tc>
          <w:tcPr>
            <w:tcW w:w="4675" w:type="dxa"/>
          </w:tcPr>
          <w:p w14:paraId="793DCC05"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sz w:val="16"/>
                <w:szCs w:val="16"/>
              </w:rPr>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Pr>
          <w:p w14:paraId="7B9406D5" w14:textId="4ECFE8FE" w:rsidR="00E82F3A" w:rsidRPr="00F01347" w:rsidRDefault="00E82F3A" w:rsidP="00E82F3A">
            <w:pPr>
              <w:pStyle w:val="texto0"/>
              <w:spacing w:after="80" w:line="220" w:lineRule="exact"/>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E82F3A" w:rsidRPr="00F01347" w14:paraId="517FBD29" w14:textId="0FAE509F" w:rsidTr="00F04031">
        <w:tc>
          <w:tcPr>
            <w:tcW w:w="4675" w:type="dxa"/>
          </w:tcPr>
          <w:p w14:paraId="7B71A2CE" w14:textId="77777777" w:rsidR="00E82F3A" w:rsidRPr="00F01347" w:rsidRDefault="00E82F3A" w:rsidP="00E82F3A">
            <w:pPr>
              <w:pStyle w:val="texto0"/>
              <w:spacing w:after="80" w:line="220" w:lineRule="exact"/>
              <w:ind w:firstLine="0"/>
              <w:rPr>
                <w:rFonts w:ascii="Verdana" w:hAnsi="Verdana"/>
                <w:b/>
                <w:sz w:val="16"/>
                <w:szCs w:val="16"/>
              </w:rPr>
            </w:pPr>
            <w:r w:rsidRPr="00F01347">
              <w:rPr>
                <w:rFonts w:ascii="Verdana" w:hAnsi="Verdana"/>
                <w:b/>
                <w:sz w:val="16"/>
                <w:szCs w:val="16"/>
              </w:rPr>
              <w:t>Aceite de inmersión</w:t>
            </w:r>
          </w:p>
        </w:tc>
        <w:tc>
          <w:tcPr>
            <w:tcW w:w="4675" w:type="dxa"/>
          </w:tcPr>
          <w:p w14:paraId="2D57A46D" w14:textId="69D94EBB" w:rsidR="00E82F3A" w:rsidRPr="00F01347" w:rsidRDefault="00766394"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I</w:t>
            </w:r>
            <w:r w:rsidR="00E82F3A" w:rsidRPr="00F01347">
              <w:rPr>
                <w:rFonts w:ascii="Verdana" w:hAnsi="Verdana"/>
                <w:b/>
                <w:sz w:val="16"/>
                <w:szCs w:val="16"/>
                <w:lang w:val="en-US"/>
              </w:rPr>
              <w:t>mmersion oil</w:t>
            </w:r>
          </w:p>
        </w:tc>
      </w:tr>
      <w:tr w:rsidR="00E82F3A" w:rsidRPr="00F01347" w14:paraId="1055B775" w14:textId="6EC8FB7A" w:rsidTr="00F04031">
        <w:tc>
          <w:tcPr>
            <w:tcW w:w="4675" w:type="dxa"/>
          </w:tcPr>
          <w:p w14:paraId="2C889F58" w14:textId="77777777" w:rsidR="00E82F3A" w:rsidRPr="00F01347" w:rsidRDefault="00E82F3A" w:rsidP="00E82F3A">
            <w:pPr>
              <w:pStyle w:val="texto0"/>
              <w:spacing w:after="80" w:line="220" w:lineRule="exact"/>
              <w:ind w:firstLine="0"/>
              <w:rPr>
                <w:rFonts w:ascii="Verdana" w:hAnsi="Verdana"/>
                <w:b/>
                <w:sz w:val="16"/>
                <w:szCs w:val="16"/>
              </w:rPr>
            </w:pPr>
            <w:r w:rsidRPr="00F01347">
              <w:rPr>
                <w:rFonts w:ascii="Verdana" w:hAnsi="Verdana"/>
                <w:b/>
                <w:sz w:val="16"/>
                <w:szCs w:val="16"/>
              </w:rPr>
              <w:t>Asa bacteriológica estéril</w:t>
            </w:r>
          </w:p>
        </w:tc>
        <w:tc>
          <w:tcPr>
            <w:tcW w:w="4675" w:type="dxa"/>
          </w:tcPr>
          <w:p w14:paraId="2F646371" w14:textId="020AFD22" w:rsidR="00E82F3A" w:rsidRPr="00F01347" w:rsidRDefault="00E82F3A"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Sterile bacteriological loop</w:t>
            </w:r>
          </w:p>
        </w:tc>
      </w:tr>
      <w:tr w:rsidR="00E82F3A" w:rsidRPr="00F01347" w14:paraId="16744B91" w14:textId="0658B4C5" w:rsidTr="00F04031">
        <w:tc>
          <w:tcPr>
            <w:tcW w:w="4675" w:type="dxa"/>
          </w:tcPr>
          <w:p w14:paraId="436BB7BB"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b/>
                <w:sz w:val="16"/>
                <w:szCs w:val="16"/>
              </w:rPr>
              <w:t>Centrífuga</w:t>
            </w:r>
            <w:r w:rsidRPr="00F01347">
              <w:rPr>
                <w:rFonts w:ascii="Verdana" w:hAnsi="Verdana"/>
                <w:sz w:val="16"/>
                <w:szCs w:val="16"/>
              </w:rPr>
              <w:t xml:space="preserve"> capaz de alcanzar al menos 660 g y que permita procesar volúmenes de 3 a 4 L</w:t>
            </w:r>
          </w:p>
        </w:tc>
        <w:tc>
          <w:tcPr>
            <w:tcW w:w="4675" w:type="dxa"/>
          </w:tcPr>
          <w:p w14:paraId="141BA669" w14:textId="7A9DC42F" w:rsidR="00E82F3A" w:rsidRPr="00F01347" w:rsidRDefault="00E82F3A"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 xml:space="preserve">Centrifuge </w:t>
            </w:r>
            <w:r w:rsidRPr="00F01347">
              <w:rPr>
                <w:rFonts w:ascii="Verdana" w:hAnsi="Verdana"/>
                <w:sz w:val="16"/>
                <w:szCs w:val="16"/>
                <w:lang w:val="en-US"/>
              </w:rPr>
              <w:t>capable of reaching at least 660 g and allowing processing volumes of 3 to 4 L</w:t>
            </w:r>
          </w:p>
        </w:tc>
      </w:tr>
      <w:tr w:rsidR="00E82F3A" w:rsidRPr="00F01347" w14:paraId="04180889" w14:textId="5DBC0E29" w:rsidTr="00F04031">
        <w:tc>
          <w:tcPr>
            <w:tcW w:w="4675" w:type="dxa"/>
          </w:tcPr>
          <w:p w14:paraId="0683A9DC" w14:textId="77777777" w:rsidR="00E82F3A" w:rsidRPr="00F01347" w:rsidRDefault="00E82F3A" w:rsidP="00E82F3A">
            <w:pPr>
              <w:pStyle w:val="texto0"/>
              <w:spacing w:after="80" w:line="220" w:lineRule="exact"/>
              <w:ind w:firstLine="0"/>
              <w:rPr>
                <w:rFonts w:ascii="Verdana" w:hAnsi="Verdana"/>
                <w:bCs/>
                <w:sz w:val="16"/>
                <w:szCs w:val="16"/>
              </w:rPr>
            </w:pPr>
            <w:r w:rsidRPr="00F01347">
              <w:rPr>
                <w:rFonts w:ascii="Verdana" w:hAnsi="Verdana"/>
                <w:bCs/>
                <w:sz w:val="16"/>
                <w:szCs w:val="16"/>
              </w:rPr>
              <w:t>Cubreobjetos de 24 x 50 mm, limpios y libres de grasa</w:t>
            </w:r>
          </w:p>
        </w:tc>
        <w:tc>
          <w:tcPr>
            <w:tcW w:w="4675" w:type="dxa"/>
          </w:tcPr>
          <w:p w14:paraId="12781ACE" w14:textId="45A72743" w:rsidR="00E82F3A" w:rsidRPr="00F01347" w:rsidRDefault="005F0731" w:rsidP="00E82F3A">
            <w:pPr>
              <w:pStyle w:val="texto0"/>
              <w:spacing w:after="80" w:line="220" w:lineRule="exact"/>
              <w:ind w:firstLine="0"/>
              <w:rPr>
                <w:rFonts w:ascii="Verdana" w:hAnsi="Verdana"/>
                <w:bCs/>
                <w:sz w:val="16"/>
                <w:szCs w:val="16"/>
                <w:lang w:val="en-US"/>
              </w:rPr>
            </w:pPr>
            <w:r w:rsidRPr="00F01347">
              <w:rPr>
                <w:rFonts w:ascii="Verdana" w:hAnsi="Verdana"/>
                <w:b/>
                <w:sz w:val="16"/>
                <w:szCs w:val="16"/>
                <w:lang w:val="en-US"/>
              </w:rPr>
              <w:t xml:space="preserve">Coverslips </w:t>
            </w:r>
            <w:r w:rsidRPr="00F01347">
              <w:rPr>
                <w:rFonts w:ascii="Verdana" w:hAnsi="Verdana"/>
                <w:bCs/>
                <w:sz w:val="16"/>
                <w:szCs w:val="16"/>
                <w:lang w:val="en-US"/>
              </w:rPr>
              <w:t>of</w:t>
            </w:r>
            <w:r w:rsidRPr="00F01347">
              <w:rPr>
                <w:rFonts w:ascii="Verdana" w:hAnsi="Verdana"/>
                <w:b/>
                <w:sz w:val="16"/>
                <w:szCs w:val="16"/>
                <w:lang w:val="en-US"/>
              </w:rPr>
              <w:t xml:space="preserve"> </w:t>
            </w:r>
            <w:r w:rsidR="00E82F3A" w:rsidRPr="00F01347">
              <w:rPr>
                <w:rFonts w:ascii="Verdana" w:hAnsi="Verdana"/>
                <w:bCs/>
                <w:sz w:val="16"/>
                <w:szCs w:val="16"/>
                <w:lang w:val="en-US"/>
              </w:rPr>
              <w:t>24 x 50 mm</w:t>
            </w:r>
            <w:r w:rsidR="003E1BA9" w:rsidRPr="00F01347">
              <w:rPr>
                <w:rFonts w:ascii="Verdana" w:hAnsi="Verdana"/>
                <w:bCs/>
                <w:sz w:val="16"/>
                <w:szCs w:val="16"/>
                <w:lang w:val="en-US"/>
              </w:rPr>
              <w:t>,</w:t>
            </w:r>
            <w:r w:rsidR="00E82F3A" w:rsidRPr="00F01347">
              <w:rPr>
                <w:rFonts w:ascii="Verdana" w:hAnsi="Verdana"/>
                <w:bCs/>
                <w:sz w:val="16"/>
                <w:szCs w:val="16"/>
                <w:lang w:val="en-US"/>
              </w:rPr>
              <w:t xml:space="preserve"> clean and grease-free</w:t>
            </w:r>
          </w:p>
        </w:tc>
      </w:tr>
      <w:tr w:rsidR="00E82F3A" w:rsidRPr="00F01347" w14:paraId="500D4C71" w14:textId="74D1E3B1" w:rsidTr="00F04031">
        <w:tc>
          <w:tcPr>
            <w:tcW w:w="4675" w:type="dxa"/>
          </w:tcPr>
          <w:p w14:paraId="290C184F"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b/>
                <w:sz w:val="16"/>
                <w:szCs w:val="16"/>
              </w:rPr>
              <w:t>Frascos con gotero</w:t>
            </w:r>
            <w:r w:rsidRPr="00F01347">
              <w:rPr>
                <w:rFonts w:ascii="Verdana" w:hAnsi="Verdana"/>
                <w:sz w:val="16"/>
                <w:szCs w:val="16"/>
              </w:rPr>
              <w:t xml:space="preserve"> de volumen adecuado</w:t>
            </w:r>
          </w:p>
        </w:tc>
        <w:tc>
          <w:tcPr>
            <w:tcW w:w="4675" w:type="dxa"/>
          </w:tcPr>
          <w:p w14:paraId="33190512" w14:textId="66B6EDEA" w:rsidR="00E82F3A" w:rsidRPr="00F01347" w:rsidRDefault="00E82F3A"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 xml:space="preserve">Dropper bottles </w:t>
            </w:r>
            <w:r w:rsidRPr="00F01347">
              <w:rPr>
                <w:rFonts w:ascii="Verdana" w:hAnsi="Verdana"/>
                <w:sz w:val="16"/>
                <w:szCs w:val="16"/>
                <w:lang w:val="en-US"/>
              </w:rPr>
              <w:t>of appropriate volume</w:t>
            </w:r>
          </w:p>
        </w:tc>
      </w:tr>
      <w:tr w:rsidR="00E82F3A" w:rsidRPr="00F01347" w14:paraId="3E5A663A" w14:textId="26259B9A" w:rsidTr="00F04031">
        <w:tc>
          <w:tcPr>
            <w:tcW w:w="4675" w:type="dxa"/>
          </w:tcPr>
          <w:p w14:paraId="293A584E"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b/>
                <w:sz w:val="16"/>
                <w:szCs w:val="16"/>
              </w:rPr>
              <w:t>Micropipeta</w:t>
            </w:r>
            <w:r w:rsidRPr="00F01347">
              <w:rPr>
                <w:rFonts w:ascii="Verdana" w:hAnsi="Verdana"/>
                <w:sz w:val="16"/>
                <w:szCs w:val="16"/>
              </w:rPr>
              <w:t xml:space="preserve"> de volumen variable de 5-100 µL</w:t>
            </w:r>
          </w:p>
        </w:tc>
        <w:tc>
          <w:tcPr>
            <w:tcW w:w="4675" w:type="dxa"/>
          </w:tcPr>
          <w:p w14:paraId="0BCF2449" w14:textId="11B9183C" w:rsidR="00E82F3A" w:rsidRPr="00F01347" w:rsidRDefault="008E732F"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Micropipette</w:t>
            </w:r>
            <w:r w:rsidRPr="00F01347">
              <w:rPr>
                <w:rFonts w:ascii="Verdana" w:hAnsi="Verdana"/>
                <w:sz w:val="16"/>
                <w:szCs w:val="16"/>
                <w:lang w:val="en-US"/>
              </w:rPr>
              <w:t xml:space="preserve"> of </w:t>
            </w:r>
            <w:r w:rsidR="00E82F3A" w:rsidRPr="00F01347">
              <w:rPr>
                <w:rFonts w:ascii="Verdana" w:hAnsi="Verdana"/>
                <w:sz w:val="16"/>
                <w:szCs w:val="16"/>
                <w:lang w:val="en-US"/>
              </w:rPr>
              <w:t xml:space="preserve">5-100 µL variable volume </w:t>
            </w:r>
          </w:p>
        </w:tc>
      </w:tr>
      <w:tr w:rsidR="00E82F3A" w:rsidRPr="00F01347" w14:paraId="70FAB1FC" w14:textId="47E70139" w:rsidTr="00F04031">
        <w:tc>
          <w:tcPr>
            <w:tcW w:w="4675" w:type="dxa"/>
          </w:tcPr>
          <w:p w14:paraId="2D109A42"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b/>
                <w:sz w:val="16"/>
                <w:szCs w:val="16"/>
              </w:rPr>
              <w:t>Microscopio óptico</w:t>
            </w:r>
            <w:r w:rsidRPr="00F01347">
              <w:rPr>
                <w:rFonts w:ascii="Verdana" w:hAnsi="Verdana"/>
                <w:sz w:val="16"/>
                <w:szCs w:val="16"/>
              </w:rPr>
              <w:t xml:space="preserve"> de campo claro.</w:t>
            </w:r>
          </w:p>
        </w:tc>
        <w:tc>
          <w:tcPr>
            <w:tcW w:w="4675" w:type="dxa"/>
          </w:tcPr>
          <w:p w14:paraId="0426B423" w14:textId="312F3F46" w:rsidR="00E82F3A" w:rsidRPr="00F01347" w:rsidRDefault="008E732F"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Optical microscope</w:t>
            </w:r>
            <w:r w:rsidRPr="00F01347">
              <w:rPr>
                <w:rFonts w:ascii="Verdana" w:hAnsi="Verdana"/>
                <w:sz w:val="16"/>
                <w:szCs w:val="16"/>
                <w:lang w:val="en-US"/>
              </w:rPr>
              <w:t xml:space="preserve"> </w:t>
            </w:r>
            <w:r w:rsidR="00E82F3A" w:rsidRPr="00F01347">
              <w:rPr>
                <w:rFonts w:ascii="Verdana" w:hAnsi="Verdana"/>
                <w:sz w:val="16"/>
                <w:szCs w:val="16"/>
                <w:lang w:val="en-US"/>
              </w:rPr>
              <w:t>Bright field</w:t>
            </w:r>
            <w:r w:rsidR="003E1BA9" w:rsidRPr="00F01347">
              <w:rPr>
                <w:rFonts w:ascii="Verdana" w:hAnsi="Verdana"/>
                <w:b/>
                <w:sz w:val="16"/>
                <w:szCs w:val="16"/>
                <w:lang w:val="en-US"/>
              </w:rPr>
              <w:t>.</w:t>
            </w:r>
          </w:p>
        </w:tc>
      </w:tr>
      <w:tr w:rsidR="00E82F3A" w:rsidRPr="00F01347" w14:paraId="5E5EE3E0" w14:textId="7A2C4F09" w:rsidTr="00F04031">
        <w:tc>
          <w:tcPr>
            <w:tcW w:w="4675" w:type="dxa"/>
          </w:tcPr>
          <w:p w14:paraId="5C8B12D9"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b/>
                <w:sz w:val="16"/>
                <w:szCs w:val="16"/>
              </w:rPr>
              <w:t>Palillo o aplicador</w:t>
            </w:r>
            <w:r w:rsidRPr="00F01347">
              <w:rPr>
                <w:rFonts w:ascii="Verdana" w:hAnsi="Verdana"/>
                <w:sz w:val="16"/>
                <w:szCs w:val="16"/>
              </w:rPr>
              <w:t xml:space="preserve"> de madera estéril</w:t>
            </w:r>
          </w:p>
        </w:tc>
        <w:tc>
          <w:tcPr>
            <w:tcW w:w="4675" w:type="dxa"/>
          </w:tcPr>
          <w:p w14:paraId="10E10EF3" w14:textId="5FC7040A" w:rsidR="00E82F3A" w:rsidRPr="00F01347" w:rsidRDefault="008E732F"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Stick or applicator,</w:t>
            </w:r>
            <w:r w:rsidRPr="00F01347">
              <w:rPr>
                <w:rFonts w:ascii="Verdana" w:hAnsi="Verdana"/>
                <w:sz w:val="16"/>
                <w:szCs w:val="16"/>
                <w:lang w:val="en-US"/>
              </w:rPr>
              <w:t xml:space="preserve"> </w:t>
            </w:r>
            <w:r w:rsidR="00E82F3A" w:rsidRPr="00F01347">
              <w:rPr>
                <w:rFonts w:ascii="Verdana" w:hAnsi="Verdana"/>
                <w:sz w:val="16"/>
                <w:szCs w:val="16"/>
                <w:lang w:val="en-US"/>
              </w:rPr>
              <w:t xml:space="preserve">Sterile wooden </w:t>
            </w:r>
          </w:p>
        </w:tc>
      </w:tr>
      <w:tr w:rsidR="00E82F3A" w:rsidRPr="00F01347" w14:paraId="62D9BEEB" w14:textId="5CE258A7" w:rsidTr="00F04031">
        <w:tc>
          <w:tcPr>
            <w:tcW w:w="4675" w:type="dxa"/>
          </w:tcPr>
          <w:p w14:paraId="7958E86E"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b/>
                <w:sz w:val="16"/>
                <w:szCs w:val="16"/>
              </w:rPr>
              <w:t xml:space="preserve">Portaobjetos </w:t>
            </w:r>
            <w:r w:rsidRPr="00F01347">
              <w:rPr>
                <w:rFonts w:ascii="Verdana" w:hAnsi="Verdana"/>
                <w:sz w:val="16"/>
                <w:szCs w:val="16"/>
              </w:rPr>
              <w:t>de 25 x 75 mm, limpios y libres de grasa</w:t>
            </w:r>
          </w:p>
        </w:tc>
        <w:tc>
          <w:tcPr>
            <w:tcW w:w="4675" w:type="dxa"/>
          </w:tcPr>
          <w:p w14:paraId="726FEFA8" w14:textId="651843F6" w:rsidR="00E82F3A" w:rsidRPr="00F01347" w:rsidRDefault="009F2BF2" w:rsidP="00E82F3A">
            <w:pPr>
              <w:pStyle w:val="texto0"/>
              <w:spacing w:after="80" w:line="220" w:lineRule="exact"/>
              <w:ind w:firstLine="0"/>
              <w:rPr>
                <w:rFonts w:ascii="Verdana" w:hAnsi="Verdana"/>
                <w:b/>
                <w:sz w:val="16"/>
                <w:szCs w:val="16"/>
                <w:lang w:val="en-US"/>
              </w:rPr>
            </w:pPr>
            <w:r w:rsidRPr="00F01347">
              <w:rPr>
                <w:rFonts w:ascii="Verdana" w:hAnsi="Verdana"/>
                <w:b/>
                <w:bCs/>
                <w:sz w:val="16"/>
                <w:szCs w:val="16"/>
                <w:lang w:val="en-US"/>
              </w:rPr>
              <w:t xml:space="preserve">Carrier of </w:t>
            </w:r>
            <w:r w:rsidR="00E82F3A" w:rsidRPr="00F01347">
              <w:rPr>
                <w:rFonts w:ascii="Verdana" w:hAnsi="Verdana"/>
                <w:sz w:val="16"/>
                <w:szCs w:val="16"/>
                <w:lang w:val="en-US"/>
              </w:rPr>
              <w:t>25 x 75 mm</w:t>
            </w:r>
            <w:r w:rsidR="003E1BA9" w:rsidRPr="00F01347">
              <w:rPr>
                <w:rFonts w:ascii="Verdana" w:hAnsi="Verdana"/>
                <w:b/>
                <w:sz w:val="16"/>
                <w:szCs w:val="16"/>
                <w:lang w:val="en-US"/>
              </w:rPr>
              <w:t>,</w:t>
            </w:r>
            <w:r w:rsidR="00E82F3A" w:rsidRPr="00F01347">
              <w:rPr>
                <w:rFonts w:ascii="Verdana" w:hAnsi="Verdana"/>
                <w:b/>
                <w:sz w:val="16"/>
                <w:szCs w:val="16"/>
                <w:lang w:val="en-US"/>
              </w:rPr>
              <w:t xml:space="preserve"> clean and grease-free</w:t>
            </w:r>
          </w:p>
        </w:tc>
      </w:tr>
      <w:tr w:rsidR="00E82F3A" w:rsidRPr="00F01347" w14:paraId="3EBA7F60" w14:textId="79C7B4A9" w:rsidTr="00F04031">
        <w:tc>
          <w:tcPr>
            <w:tcW w:w="4675" w:type="dxa"/>
          </w:tcPr>
          <w:p w14:paraId="567E1A0E"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b/>
                <w:sz w:val="16"/>
                <w:szCs w:val="16"/>
              </w:rPr>
              <w:t>Puntas para micropipeta</w:t>
            </w:r>
            <w:r w:rsidRPr="00F01347">
              <w:rPr>
                <w:rFonts w:ascii="Verdana" w:hAnsi="Verdana"/>
                <w:sz w:val="16"/>
                <w:szCs w:val="16"/>
              </w:rPr>
              <w:t xml:space="preserve"> de 5-50 µL, 100 µL.</w:t>
            </w:r>
          </w:p>
        </w:tc>
        <w:tc>
          <w:tcPr>
            <w:tcW w:w="4675" w:type="dxa"/>
          </w:tcPr>
          <w:p w14:paraId="7D6ABDE3" w14:textId="5FDD244F" w:rsidR="00E82F3A" w:rsidRPr="00F01347" w:rsidRDefault="00E82F3A"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 xml:space="preserve">Micropipette tips </w:t>
            </w:r>
            <w:r w:rsidRPr="00F01347">
              <w:rPr>
                <w:rFonts w:ascii="Verdana" w:hAnsi="Verdana"/>
                <w:sz w:val="16"/>
                <w:szCs w:val="16"/>
                <w:lang w:val="en-US"/>
              </w:rPr>
              <w:t>5-50 µL, 100 µL.</w:t>
            </w:r>
          </w:p>
        </w:tc>
      </w:tr>
      <w:tr w:rsidR="00E82F3A" w:rsidRPr="00F01347" w14:paraId="2F9BC75C" w14:textId="2B20F463" w:rsidTr="00F04031">
        <w:tc>
          <w:tcPr>
            <w:tcW w:w="4675" w:type="dxa"/>
          </w:tcPr>
          <w:p w14:paraId="13B55C1F"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b/>
                <w:sz w:val="16"/>
                <w:szCs w:val="16"/>
              </w:rPr>
              <w:t>Tubos de centrífuga</w:t>
            </w:r>
            <w:r w:rsidRPr="00F01347">
              <w:rPr>
                <w:rFonts w:ascii="Verdana" w:hAnsi="Verdana"/>
                <w:sz w:val="16"/>
                <w:szCs w:val="16"/>
              </w:rPr>
              <w:t xml:space="preserve"> de 15 y 50 </w:t>
            </w:r>
            <w:proofErr w:type="spellStart"/>
            <w:r w:rsidRPr="00F01347">
              <w:rPr>
                <w:rFonts w:ascii="Verdana" w:hAnsi="Verdana"/>
                <w:sz w:val="16"/>
                <w:szCs w:val="16"/>
              </w:rPr>
              <w:t>mL</w:t>
            </w:r>
            <w:proofErr w:type="spellEnd"/>
          </w:p>
        </w:tc>
        <w:tc>
          <w:tcPr>
            <w:tcW w:w="4675" w:type="dxa"/>
          </w:tcPr>
          <w:p w14:paraId="2A4C3DB4" w14:textId="39D2650D" w:rsidR="00E82F3A" w:rsidRPr="00F01347" w:rsidRDefault="009F2BF2"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Centrifuge tubes</w:t>
            </w:r>
            <w:r w:rsidRPr="00F01347">
              <w:rPr>
                <w:rFonts w:ascii="Verdana" w:hAnsi="Verdana"/>
                <w:sz w:val="16"/>
                <w:szCs w:val="16"/>
                <w:lang w:val="en-US"/>
              </w:rPr>
              <w:t xml:space="preserve"> </w:t>
            </w:r>
            <w:r w:rsidR="00E82F3A" w:rsidRPr="00F01347">
              <w:rPr>
                <w:rFonts w:ascii="Verdana" w:hAnsi="Verdana"/>
                <w:sz w:val="16"/>
                <w:szCs w:val="16"/>
                <w:lang w:val="en-US"/>
              </w:rPr>
              <w:t xml:space="preserve">15 and 50 mL </w:t>
            </w:r>
          </w:p>
        </w:tc>
      </w:tr>
      <w:tr w:rsidR="00E82F3A" w:rsidRPr="00F01347" w14:paraId="45050871" w14:textId="38FD62CF" w:rsidTr="00F04031">
        <w:tc>
          <w:tcPr>
            <w:tcW w:w="4675" w:type="dxa"/>
          </w:tcPr>
          <w:p w14:paraId="063BF3CF" w14:textId="77777777" w:rsidR="00E82F3A" w:rsidRPr="00F01347" w:rsidRDefault="00E82F3A" w:rsidP="00E82F3A">
            <w:pPr>
              <w:pStyle w:val="texto0"/>
              <w:spacing w:after="80" w:line="220" w:lineRule="exact"/>
              <w:ind w:firstLine="0"/>
              <w:rPr>
                <w:rFonts w:ascii="Verdana" w:hAnsi="Verdana"/>
                <w:b/>
                <w:sz w:val="16"/>
                <w:szCs w:val="16"/>
              </w:rPr>
            </w:pPr>
            <w:r w:rsidRPr="00F01347">
              <w:rPr>
                <w:rFonts w:ascii="Verdana" w:hAnsi="Verdana"/>
                <w:b/>
                <w:sz w:val="16"/>
                <w:szCs w:val="16"/>
              </w:rPr>
              <w:t>Vórtex</w:t>
            </w:r>
          </w:p>
        </w:tc>
        <w:tc>
          <w:tcPr>
            <w:tcW w:w="4675" w:type="dxa"/>
          </w:tcPr>
          <w:p w14:paraId="6BC46E05" w14:textId="03689D0C" w:rsidR="00E82F3A" w:rsidRPr="00F01347" w:rsidRDefault="00E82F3A"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Vortex</w:t>
            </w:r>
          </w:p>
        </w:tc>
      </w:tr>
      <w:tr w:rsidR="00E82F3A" w:rsidRPr="00F01347" w14:paraId="40C569EA" w14:textId="46023ADC" w:rsidTr="00F04031">
        <w:tc>
          <w:tcPr>
            <w:tcW w:w="4675" w:type="dxa"/>
          </w:tcPr>
          <w:p w14:paraId="6D21B263" w14:textId="77777777" w:rsidR="00E82F3A" w:rsidRPr="00F01347" w:rsidRDefault="00E82F3A" w:rsidP="00E82F3A">
            <w:pPr>
              <w:pStyle w:val="texto0"/>
              <w:spacing w:after="80" w:line="220" w:lineRule="exact"/>
              <w:ind w:firstLine="0"/>
              <w:rPr>
                <w:rFonts w:ascii="Verdana" w:hAnsi="Verdana"/>
                <w:b/>
                <w:sz w:val="16"/>
                <w:szCs w:val="16"/>
              </w:rPr>
            </w:pPr>
            <w:r w:rsidRPr="00F01347">
              <w:rPr>
                <w:rFonts w:ascii="Verdana" w:hAnsi="Verdana"/>
                <w:b/>
                <w:sz w:val="16"/>
                <w:szCs w:val="16"/>
              </w:rPr>
              <w:t>B.2.3.5 Reactivos y soluciones</w:t>
            </w:r>
          </w:p>
        </w:tc>
        <w:tc>
          <w:tcPr>
            <w:tcW w:w="4675" w:type="dxa"/>
          </w:tcPr>
          <w:p w14:paraId="5E98E482" w14:textId="5F5D8BFB" w:rsidR="00E82F3A" w:rsidRPr="00F01347" w:rsidRDefault="00E82F3A" w:rsidP="00E82F3A">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B.2.3.5 Reagents and solutions</w:t>
            </w:r>
          </w:p>
        </w:tc>
      </w:tr>
      <w:tr w:rsidR="00E82F3A" w:rsidRPr="00F01347" w14:paraId="07EFD3DB" w14:textId="1FCE2870" w:rsidTr="00F04031">
        <w:tc>
          <w:tcPr>
            <w:tcW w:w="4675" w:type="dxa"/>
          </w:tcPr>
          <w:p w14:paraId="707D09DA" w14:textId="77777777" w:rsidR="00E82F3A" w:rsidRPr="00F01347" w:rsidRDefault="00E82F3A" w:rsidP="00E82F3A">
            <w:pPr>
              <w:pStyle w:val="texto0"/>
              <w:spacing w:after="80" w:line="228" w:lineRule="exact"/>
              <w:ind w:firstLine="0"/>
              <w:rPr>
                <w:rFonts w:ascii="Verdana" w:hAnsi="Verdana"/>
                <w:sz w:val="16"/>
                <w:szCs w:val="16"/>
              </w:rPr>
            </w:pPr>
            <w:r w:rsidRPr="00F01347">
              <w:rPr>
                <w:rFonts w:ascii="Verdana" w:hAnsi="Verdana"/>
                <w:b/>
                <w:sz w:val="16"/>
                <w:szCs w:val="16"/>
              </w:rPr>
              <w:t>Disolución de Lugol</w:t>
            </w:r>
            <w:r w:rsidRPr="00F01347">
              <w:rPr>
                <w:rFonts w:ascii="Verdana" w:hAnsi="Verdana"/>
                <w:sz w:val="16"/>
                <w:szCs w:val="16"/>
              </w:rPr>
              <w:t>, la disolución madre consiste en 20 g de yodo metálico y 40 g de yoduro potásico, disueltos en un litro de agua destilada. Para preparar la disolución de trabajo diluya la disolución madre 1:5 con una disolución de ZnSO4 sulfato de zinc con una densidad de 1.20 (gramos por mililitro).</w:t>
            </w:r>
          </w:p>
        </w:tc>
        <w:tc>
          <w:tcPr>
            <w:tcW w:w="4675" w:type="dxa"/>
          </w:tcPr>
          <w:p w14:paraId="42F21F96" w14:textId="511CC5D5" w:rsidR="00E82F3A" w:rsidRPr="00F01347" w:rsidRDefault="00E82F3A" w:rsidP="00E82F3A">
            <w:pPr>
              <w:pStyle w:val="texto0"/>
              <w:spacing w:after="80" w:line="228" w:lineRule="exact"/>
              <w:ind w:firstLine="0"/>
              <w:rPr>
                <w:rFonts w:ascii="Verdana" w:hAnsi="Verdana"/>
                <w:b/>
                <w:sz w:val="16"/>
                <w:szCs w:val="16"/>
                <w:lang w:val="en-US"/>
              </w:rPr>
            </w:pPr>
            <w:r w:rsidRPr="00F01347">
              <w:rPr>
                <w:rFonts w:ascii="Verdana" w:hAnsi="Verdana"/>
                <w:b/>
                <w:sz w:val="16"/>
                <w:szCs w:val="16"/>
                <w:lang w:val="en-US"/>
              </w:rPr>
              <w:t>Lugol's solution</w:t>
            </w:r>
            <w:r w:rsidR="003E1BA9" w:rsidRPr="00F01347">
              <w:rPr>
                <w:rFonts w:ascii="Verdana" w:hAnsi="Verdana"/>
                <w:b/>
                <w:sz w:val="16"/>
                <w:szCs w:val="16"/>
                <w:lang w:val="en-US"/>
              </w:rPr>
              <w:t>,</w:t>
            </w:r>
            <w:r w:rsidRPr="00F01347">
              <w:rPr>
                <w:rFonts w:ascii="Verdana" w:hAnsi="Verdana"/>
                <w:sz w:val="16"/>
                <w:szCs w:val="16"/>
                <w:lang w:val="en-US"/>
              </w:rPr>
              <w:t xml:space="preserve"> the mother solution consists of 20 g of metallic iodine and 40 g of potassium iodide, dissolved in one liter of distilled water. To prepare the working solution, dilute the stock solution 1:5 with a solution of ZnSO4 zinc sulfate with a density of 1.20 (grams per milliliter).</w:t>
            </w:r>
          </w:p>
        </w:tc>
      </w:tr>
      <w:tr w:rsidR="00E82F3A" w:rsidRPr="00F01347" w14:paraId="7107C25B" w14:textId="55E0CAA2" w:rsidTr="00F04031">
        <w:tc>
          <w:tcPr>
            <w:tcW w:w="4675" w:type="dxa"/>
          </w:tcPr>
          <w:p w14:paraId="169F1C27" w14:textId="77777777" w:rsidR="00E82F3A" w:rsidRPr="00F01347" w:rsidRDefault="00E82F3A" w:rsidP="00E82F3A">
            <w:pPr>
              <w:pStyle w:val="texto0"/>
              <w:spacing w:after="80" w:line="224" w:lineRule="exact"/>
              <w:ind w:firstLine="0"/>
              <w:rPr>
                <w:rFonts w:ascii="Verdana" w:hAnsi="Verdana"/>
                <w:sz w:val="16"/>
                <w:szCs w:val="16"/>
              </w:rPr>
            </w:pPr>
            <w:r w:rsidRPr="00F01347">
              <w:rPr>
                <w:rFonts w:ascii="Verdana" w:hAnsi="Verdana"/>
                <w:b/>
                <w:sz w:val="16"/>
                <w:szCs w:val="16"/>
              </w:rPr>
              <w:t>Disolución de Sulfato de Zinc</w:t>
            </w:r>
            <w:r w:rsidRPr="00F01347">
              <w:rPr>
                <w:rFonts w:ascii="Verdana" w:hAnsi="Verdana"/>
                <w:sz w:val="16"/>
                <w:szCs w:val="16"/>
              </w:rPr>
              <w:t xml:space="preserve"> con una densidad de 1.20 (gramos por mililitro) preparada a partir de ZnSO4 Sulfato de Zinc </w:t>
            </w:r>
            <w:proofErr w:type="spellStart"/>
            <w:r w:rsidRPr="00F01347">
              <w:rPr>
                <w:rFonts w:ascii="Verdana" w:hAnsi="Verdana"/>
                <w:sz w:val="16"/>
                <w:szCs w:val="16"/>
              </w:rPr>
              <w:t>hepta</w:t>
            </w:r>
            <w:proofErr w:type="spellEnd"/>
            <w:r w:rsidRPr="00F01347">
              <w:rPr>
                <w:rFonts w:ascii="Verdana" w:hAnsi="Verdana"/>
                <w:sz w:val="16"/>
                <w:szCs w:val="16"/>
              </w:rPr>
              <w:t xml:space="preserve"> hidratado, grado reactivo analítico</w:t>
            </w:r>
          </w:p>
        </w:tc>
        <w:tc>
          <w:tcPr>
            <w:tcW w:w="4675" w:type="dxa"/>
          </w:tcPr>
          <w:p w14:paraId="2BCA840A" w14:textId="21825A4F" w:rsidR="00E82F3A" w:rsidRPr="00F01347" w:rsidRDefault="00E82F3A" w:rsidP="00E82F3A">
            <w:pPr>
              <w:pStyle w:val="texto0"/>
              <w:spacing w:after="80" w:line="224" w:lineRule="exact"/>
              <w:ind w:firstLine="0"/>
              <w:rPr>
                <w:rFonts w:ascii="Verdana" w:hAnsi="Verdana"/>
                <w:b/>
                <w:sz w:val="16"/>
                <w:szCs w:val="16"/>
                <w:lang w:val="en-US"/>
              </w:rPr>
            </w:pPr>
            <w:r w:rsidRPr="00F01347">
              <w:rPr>
                <w:rFonts w:ascii="Verdana" w:hAnsi="Verdana"/>
                <w:b/>
                <w:sz w:val="16"/>
                <w:szCs w:val="16"/>
                <w:lang w:val="en-US"/>
              </w:rPr>
              <w:t xml:space="preserve">Zinc Sulfate solution </w:t>
            </w:r>
            <w:r w:rsidRPr="00F01347">
              <w:rPr>
                <w:rFonts w:ascii="Verdana" w:hAnsi="Verdana"/>
                <w:sz w:val="16"/>
                <w:szCs w:val="16"/>
                <w:lang w:val="en-US"/>
              </w:rPr>
              <w:t xml:space="preserve">with a density of 1.20 (grams per milliliter) prepared from ZnSO4 Zinc Sulfate </w:t>
            </w:r>
            <w:proofErr w:type="spellStart"/>
            <w:r w:rsidRPr="00F01347">
              <w:rPr>
                <w:rFonts w:ascii="Verdana" w:hAnsi="Verdana"/>
                <w:sz w:val="16"/>
                <w:szCs w:val="16"/>
                <w:lang w:val="en-US"/>
              </w:rPr>
              <w:t>hepta</w:t>
            </w:r>
            <w:proofErr w:type="spellEnd"/>
            <w:r w:rsidRPr="00F01347">
              <w:rPr>
                <w:rFonts w:ascii="Verdana" w:hAnsi="Verdana"/>
                <w:sz w:val="16"/>
                <w:szCs w:val="16"/>
                <w:lang w:val="en-US"/>
              </w:rPr>
              <w:t xml:space="preserve"> hydrate, analytical reagent grade</w:t>
            </w:r>
          </w:p>
        </w:tc>
      </w:tr>
      <w:tr w:rsidR="00E82F3A" w:rsidRPr="00F01347" w14:paraId="1DE8B4DE" w14:textId="267CB4B5" w:rsidTr="00F04031">
        <w:tc>
          <w:tcPr>
            <w:tcW w:w="4675" w:type="dxa"/>
          </w:tcPr>
          <w:p w14:paraId="51B8141E" w14:textId="77777777" w:rsidR="00E82F3A" w:rsidRPr="00F01347" w:rsidRDefault="00E82F3A" w:rsidP="00E82F3A">
            <w:pPr>
              <w:pStyle w:val="texto0"/>
              <w:spacing w:after="80" w:line="224" w:lineRule="exact"/>
              <w:ind w:firstLine="0"/>
              <w:rPr>
                <w:rFonts w:ascii="Verdana" w:hAnsi="Verdana"/>
                <w:sz w:val="16"/>
                <w:szCs w:val="16"/>
              </w:rPr>
            </w:pPr>
            <w:r w:rsidRPr="00F01347">
              <w:rPr>
                <w:rFonts w:ascii="Verdana" w:hAnsi="Verdana"/>
                <w:b/>
                <w:sz w:val="16"/>
                <w:szCs w:val="16"/>
              </w:rPr>
              <w:t>Vaselina sólida</w:t>
            </w:r>
            <w:r w:rsidRPr="00F01347">
              <w:rPr>
                <w:rFonts w:ascii="Verdana" w:hAnsi="Verdana"/>
                <w:sz w:val="16"/>
                <w:szCs w:val="16"/>
              </w:rPr>
              <w:t xml:space="preserve"> o algún sellador para muestras biológicas en portaobjetos</w:t>
            </w:r>
          </w:p>
        </w:tc>
        <w:tc>
          <w:tcPr>
            <w:tcW w:w="4675" w:type="dxa"/>
          </w:tcPr>
          <w:p w14:paraId="192D5CFF" w14:textId="20CF404C" w:rsidR="00E82F3A" w:rsidRPr="00F01347" w:rsidRDefault="00E82F3A" w:rsidP="00E82F3A">
            <w:pPr>
              <w:pStyle w:val="texto0"/>
              <w:spacing w:after="80" w:line="224" w:lineRule="exact"/>
              <w:ind w:firstLine="0"/>
              <w:rPr>
                <w:rFonts w:ascii="Verdana" w:hAnsi="Verdana"/>
                <w:b/>
                <w:sz w:val="16"/>
                <w:szCs w:val="16"/>
                <w:lang w:val="en-US"/>
              </w:rPr>
            </w:pPr>
            <w:r w:rsidRPr="00F01347">
              <w:rPr>
                <w:rFonts w:ascii="Verdana" w:hAnsi="Verdana"/>
                <w:b/>
                <w:sz w:val="16"/>
                <w:szCs w:val="16"/>
                <w:lang w:val="en-US"/>
              </w:rPr>
              <w:t xml:space="preserve">Solid Vaseline </w:t>
            </w:r>
            <w:r w:rsidRPr="00F01347">
              <w:rPr>
                <w:rFonts w:ascii="Verdana" w:hAnsi="Verdana"/>
                <w:sz w:val="16"/>
                <w:szCs w:val="16"/>
                <w:lang w:val="en-US"/>
              </w:rPr>
              <w:t>or some sealant for biological samples on slides</w:t>
            </w:r>
          </w:p>
        </w:tc>
      </w:tr>
      <w:tr w:rsidR="00E82F3A" w:rsidRPr="00F01347" w14:paraId="63C3570F" w14:textId="6F144E05" w:rsidTr="00F04031">
        <w:tc>
          <w:tcPr>
            <w:tcW w:w="4675" w:type="dxa"/>
          </w:tcPr>
          <w:p w14:paraId="036F66B1" w14:textId="77777777" w:rsidR="00E82F3A" w:rsidRPr="00F01347" w:rsidRDefault="00E82F3A" w:rsidP="00E82F3A">
            <w:pPr>
              <w:pStyle w:val="texto0"/>
              <w:spacing w:after="80" w:line="224" w:lineRule="exact"/>
              <w:ind w:firstLine="0"/>
              <w:rPr>
                <w:rFonts w:ascii="Verdana" w:hAnsi="Verdana"/>
                <w:b/>
                <w:sz w:val="16"/>
                <w:szCs w:val="16"/>
              </w:rPr>
            </w:pPr>
            <w:r w:rsidRPr="00F01347">
              <w:rPr>
                <w:rFonts w:ascii="Verdana" w:hAnsi="Verdana"/>
                <w:b/>
                <w:sz w:val="16"/>
                <w:szCs w:val="16"/>
              </w:rPr>
              <w:t>B.2.3.6 Procedimiento</w:t>
            </w:r>
          </w:p>
        </w:tc>
        <w:tc>
          <w:tcPr>
            <w:tcW w:w="4675" w:type="dxa"/>
          </w:tcPr>
          <w:p w14:paraId="790204C8" w14:textId="49E274E8" w:rsidR="00E82F3A" w:rsidRPr="00F01347" w:rsidRDefault="00E82F3A" w:rsidP="00E82F3A">
            <w:pPr>
              <w:pStyle w:val="texto0"/>
              <w:spacing w:after="80" w:line="224" w:lineRule="exact"/>
              <w:ind w:firstLine="0"/>
              <w:rPr>
                <w:rFonts w:ascii="Verdana" w:hAnsi="Verdana"/>
                <w:b/>
                <w:sz w:val="16"/>
                <w:szCs w:val="16"/>
                <w:lang w:val="en-US"/>
              </w:rPr>
            </w:pPr>
            <w:r w:rsidRPr="00F01347">
              <w:rPr>
                <w:rFonts w:ascii="Verdana" w:hAnsi="Verdana"/>
                <w:b/>
                <w:sz w:val="16"/>
                <w:szCs w:val="16"/>
                <w:lang w:val="en-US"/>
              </w:rPr>
              <w:t>B.2.3.6 Procedure</w:t>
            </w:r>
          </w:p>
        </w:tc>
      </w:tr>
      <w:tr w:rsidR="00E82F3A" w:rsidRPr="00F01347" w14:paraId="26BB34D1" w14:textId="2E43CCD3" w:rsidTr="00F04031">
        <w:tc>
          <w:tcPr>
            <w:tcW w:w="4675" w:type="dxa"/>
          </w:tcPr>
          <w:p w14:paraId="57EFD495" w14:textId="77777777" w:rsidR="00E82F3A" w:rsidRPr="00F01347" w:rsidRDefault="00E82F3A" w:rsidP="00E82F3A">
            <w:pPr>
              <w:pStyle w:val="texto0"/>
              <w:spacing w:after="80" w:line="224" w:lineRule="exact"/>
              <w:ind w:firstLine="0"/>
              <w:rPr>
                <w:rFonts w:ascii="Verdana" w:hAnsi="Verdana"/>
                <w:b/>
                <w:sz w:val="16"/>
                <w:szCs w:val="16"/>
              </w:rPr>
            </w:pPr>
            <w:r w:rsidRPr="00F01347">
              <w:rPr>
                <w:rFonts w:ascii="Verdana" w:hAnsi="Verdana"/>
                <w:b/>
                <w:sz w:val="16"/>
                <w:szCs w:val="16"/>
              </w:rPr>
              <w:t>B.2.3.6.1 Montaje de laminillas</w:t>
            </w:r>
          </w:p>
        </w:tc>
        <w:tc>
          <w:tcPr>
            <w:tcW w:w="4675" w:type="dxa"/>
          </w:tcPr>
          <w:p w14:paraId="7A158700" w14:textId="0FABC532" w:rsidR="00E82F3A" w:rsidRPr="00F01347" w:rsidRDefault="00E82F3A" w:rsidP="00E82F3A">
            <w:pPr>
              <w:pStyle w:val="texto0"/>
              <w:spacing w:after="80" w:line="224" w:lineRule="exact"/>
              <w:ind w:firstLine="0"/>
              <w:rPr>
                <w:rFonts w:ascii="Verdana" w:hAnsi="Verdana"/>
                <w:b/>
                <w:sz w:val="16"/>
                <w:szCs w:val="16"/>
                <w:lang w:val="en-US"/>
              </w:rPr>
            </w:pPr>
            <w:r w:rsidRPr="00F01347">
              <w:rPr>
                <w:rFonts w:ascii="Verdana" w:hAnsi="Verdana"/>
                <w:b/>
                <w:sz w:val="16"/>
                <w:szCs w:val="16"/>
                <w:lang w:val="en-US"/>
              </w:rPr>
              <w:t>B.2.3.6.1 Assembly of slats</w:t>
            </w:r>
          </w:p>
        </w:tc>
      </w:tr>
      <w:tr w:rsidR="00E82F3A" w:rsidRPr="00F01347" w14:paraId="712E986F" w14:textId="0ED2ED4F" w:rsidTr="00F04031">
        <w:tc>
          <w:tcPr>
            <w:tcW w:w="4675" w:type="dxa"/>
          </w:tcPr>
          <w:p w14:paraId="76E603D9" w14:textId="77777777" w:rsidR="00E82F3A" w:rsidRPr="00F01347" w:rsidRDefault="00E82F3A" w:rsidP="00E82F3A">
            <w:pPr>
              <w:pStyle w:val="texto0"/>
              <w:spacing w:after="80" w:line="224" w:lineRule="exact"/>
              <w:ind w:firstLine="0"/>
              <w:rPr>
                <w:rFonts w:ascii="Verdana" w:hAnsi="Verdana"/>
                <w:sz w:val="16"/>
                <w:szCs w:val="16"/>
              </w:rPr>
            </w:pPr>
            <w:r w:rsidRPr="00F01347">
              <w:rPr>
                <w:rFonts w:ascii="Verdana" w:hAnsi="Verdana"/>
                <w:sz w:val="16"/>
                <w:szCs w:val="16"/>
              </w:rPr>
              <w:t xml:space="preserve">Tomar el volumen de a 2 </w:t>
            </w:r>
            <w:proofErr w:type="spellStart"/>
            <w:r w:rsidRPr="00F01347">
              <w:rPr>
                <w:rFonts w:ascii="Verdana" w:hAnsi="Verdana"/>
                <w:sz w:val="16"/>
                <w:szCs w:val="16"/>
              </w:rPr>
              <w:t>mL</w:t>
            </w:r>
            <w:proofErr w:type="spellEnd"/>
            <w:r w:rsidRPr="00F01347">
              <w:rPr>
                <w:rFonts w:ascii="Verdana" w:hAnsi="Verdana"/>
                <w:sz w:val="16"/>
                <w:szCs w:val="16"/>
              </w:rPr>
              <w:t xml:space="preserve"> de sedimento resultante durante la concentración de los quistes realizada en el procedimiento de purificación (punto B.2.2, de este Apéndice).</w:t>
            </w:r>
          </w:p>
        </w:tc>
        <w:tc>
          <w:tcPr>
            <w:tcW w:w="4675" w:type="dxa"/>
          </w:tcPr>
          <w:p w14:paraId="4CE6A0ED" w14:textId="4BB8CBA1" w:rsidR="00E82F3A" w:rsidRPr="00F01347" w:rsidRDefault="00E82F3A" w:rsidP="00E82F3A">
            <w:pPr>
              <w:pStyle w:val="texto0"/>
              <w:spacing w:after="80" w:line="224" w:lineRule="exact"/>
              <w:ind w:firstLine="0"/>
              <w:rPr>
                <w:rFonts w:ascii="Verdana" w:hAnsi="Verdana"/>
                <w:sz w:val="16"/>
                <w:szCs w:val="16"/>
                <w:lang w:val="en-US"/>
              </w:rPr>
            </w:pPr>
            <w:r w:rsidRPr="00F01347">
              <w:rPr>
                <w:rFonts w:ascii="Verdana" w:hAnsi="Verdana"/>
                <w:sz w:val="16"/>
                <w:szCs w:val="16"/>
                <w:lang w:val="en-US"/>
              </w:rPr>
              <w:t>Take the volume of 2 mL of sediment resulting during the concentration of the cysts carried out in the purification procedure (point B.2.2, of this Appendix).</w:t>
            </w:r>
          </w:p>
        </w:tc>
      </w:tr>
      <w:tr w:rsidR="00E82F3A" w:rsidRPr="00F01347" w14:paraId="0725BA23" w14:textId="3D4F2D66" w:rsidTr="00F04031">
        <w:tc>
          <w:tcPr>
            <w:tcW w:w="4675" w:type="dxa"/>
          </w:tcPr>
          <w:p w14:paraId="239ADD3A" w14:textId="77777777" w:rsidR="00E82F3A" w:rsidRPr="00F01347" w:rsidRDefault="00E82F3A" w:rsidP="00E82F3A">
            <w:pPr>
              <w:pStyle w:val="texto0"/>
              <w:spacing w:after="80" w:line="224" w:lineRule="exact"/>
              <w:ind w:firstLine="0"/>
              <w:rPr>
                <w:rFonts w:ascii="Verdana" w:hAnsi="Verdana"/>
                <w:sz w:val="16"/>
                <w:szCs w:val="16"/>
              </w:rPr>
            </w:pPr>
            <w:r w:rsidRPr="00F01347">
              <w:rPr>
                <w:rFonts w:ascii="Verdana" w:hAnsi="Verdana"/>
                <w:sz w:val="16"/>
                <w:szCs w:val="16"/>
              </w:rPr>
              <w:t xml:space="preserve">Adicionar de 1 a 3 gotas de la disolución de trabajo de </w:t>
            </w:r>
            <w:proofErr w:type="spellStart"/>
            <w:r w:rsidRPr="00F01347">
              <w:rPr>
                <w:rFonts w:ascii="Verdana" w:hAnsi="Verdana"/>
                <w:sz w:val="16"/>
                <w:szCs w:val="16"/>
              </w:rPr>
              <w:t>lugol</w:t>
            </w:r>
            <w:proofErr w:type="spellEnd"/>
            <w:r w:rsidRPr="00F01347">
              <w:rPr>
                <w:rFonts w:ascii="Verdana" w:hAnsi="Verdana"/>
                <w:sz w:val="16"/>
                <w:szCs w:val="16"/>
              </w:rPr>
              <w:t xml:space="preserve"> 1:5 al sedimento y homogenizar manualmente con un palillo de madera estéril.</w:t>
            </w:r>
          </w:p>
        </w:tc>
        <w:tc>
          <w:tcPr>
            <w:tcW w:w="4675" w:type="dxa"/>
          </w:tcPr>
          <w:p w14:paraId="218D645E" w14:textId="3DB9A3DD" w:rsidR="00E82F3A" w:rsidRPr="00F01347" w:rsidRDefault="00B836FC" w:rsidP="00E82F3A">
            <w:pPr>
              <w:pStyle w:val="texto0"/>
              <w:spacing w:after="80" w:line="224" w:lineRule="exact"/>
              <w:ind w:firstLine="0"/>
              <w:rPr>
                <w:rFonts w:ascii="Verdana" w:hAnsi="Verdana"/>
                <w:sz w:val="16"/>
                <w:szCs w:val="16"/>
                <w:lang w:val="en-US"/>
              </w:rPr>
            </w:pPr>
            <w:r w:rsidRPr="00F01347">
              <w:rPr>
                <w:rFonts w:ascii="Verdana" w:hAnsi="Verdana"/>
                <w:sz w:val="16"/>
                <w:szCs w:val="16"/>
                <w:lang w:val="en-US"/>
              </w:rPr>
              <w:t xml:space="preserve">Add from 1 to 3 drops of </w:t>
            </w:r>
            <w:r w:rsidR="00E82F3A" w:rsidRPr="00F01347">
              <w:rPr>
                <w:rFonts w:ascii="Verdana" w:hAnsi="Verdana"/>
                <w:sz w:val="16"/>
                <w:szCs w:val="16"/>
                <w:lang w:val="en-US"/>
              </w:rPr>
              <w:t>Lugol working solution to the sediment and homogenize manually with a sterile wooden stick.</w:t>
            </w:r>
          </w:p>
        </w:tc>
      </w:tr>
      <w:tr w:rsidR="00E82F3A" w:rsidRPr="00F01347" w14:paraId="5933A96D" w14:textId="54E02F67" w:rsidTr="00F04031">
        <w:tc>
          <w:tcPr>
            <w:tcW w:w="4675" w:type="dxa"/>
          </w:tcPr>
          <w:p w14:paraId="4D628FCE" w14:textId="77777777" w:rsidR="00E82F3A" w:rsidRPr="00F01347" w:rsidRDefault="00E82F3A" w:rsidP="00E82F3A">
            <w:pPr>
              <w:pStyle w:val="texto0"/>
              <w:spacing w:after="80" w:line="224" w:lineRule="exact"/>
              <w:ind w:firstLine="0"/>
              <w:rPr>
                <w:rFonts w:ascii="Verdana" w:hAnsi="Verdana"/>
                <w:sz w:val="16"/>
                <w:szCs w:val="16"/>
              </w:rPr>
            </w:pPr>
            <w:r w:rsidRPr="00F01347">
              <w:rPr>
                <w:rFonts w:ascii="Verdana" w:hAnsi="Verdana"/>
                <w:sz w:val="16"/>
                <w:szCs w:val="16"/>
              </w:rPr>
              <w:t>Agregar 5mL de la disolución de ZnSO</w:t>
            </w:r>
            <w:r w:rsidRPr="00F01347">
              <w:rPr>
                <w:rFonts w:ascii="Verdana" w:hAnsi="Verdana"/>
                <w:sz w:val="16"/>
                <w:szCs w:val="16"/>
                <w:vertAlign w:val="subscript"/>
              </w:rPr>
              <w:t>4</w:t>
            </w:r>
            <w:r w:rsidRPr="00F01347">
              <w:rPr>
                <w:rFonts w:ascii="Verdana" w:hAnsi="Verdana"/>
                <w:sz w:val="16"/>
                <w:szCs w:val="16"/>
              </w:rPr>
              <w:t xml:space="preserve"> de densidad 1.20 (gramos por mililitro), si utilizó un aplicador de </w:t>
            </w:r>
            <w:r w:rsidRPr="00F01347">
              <w:rPr>
                <w:rFonts w:ascii="Verdana" w:hAnsi="Verdana"/>
                <w:sz w:val="16"/>
                <w:szCs w:val="16"/>
              </w:rPr>
              <w:lastRenderedPageBreak/>
              <w:t xml:space="preserve">madera, introducirlo en el tubo con el sedimento y el </w:t>
            </w:r>
            <w:proofErr w:type="spellStart"/>
            <w:r w:rsidRPr="00F01347">
              <w:rPr>
                <w:rFonts w:ascii="Verdana" w:hAnsi="Verdana"/>
                <w:sz w:val="16"/>
                <w:szCs w:val="16"/>
              </w:rPr>
              <w:t>lugol</w:t>
            </w:r>
            <w:proofErr w:type="spellEnd"/>
            <w:r w:rsidRPr="00F01347">
              <w:rPr>
                <w:rFonts w:ascii="Verdana" w:hAnsi="Verdana"/>
                <w:sz w:val="16"/>
                <w:szCs w:val="16"/>
              </w:rPr>
              <w:t xml:space="preserve"> al momento de agregar la disolución de sulfato de zinc (ZnSO</w:t>
            </w:r>
            <w:r w:rsidRPr="00F01347">
              <w:rPr>
                <w:rFonts w:ascii="Verdana" w:hAnsi="Verdana"/>
                <w:sz w:val="16"/>
                <w:szCs w:val="16"/>
                <w:vertAlign w:val="subscript"/>
              </w:rPr>
              <w:t>4</w:t>
            </w:r>
            <w:r w:rsidRPr="00F01347">
              <w:rPr>
                <w:rFonts w:ascii="Verdana" w:hAnsi="Verdana"/>
                <w:sz w:val="16"/>
                <w:szCs w:val="16"/>
              </w:rPr>
              <w:t>) para recuperar posibles pérdidas.</w:t>
            </w:r>
          </w:p>
        </w:tc>
        <w:tc>
          <w:tcPr>
            <w:tcW w:w="4675" w:type="dxa"/>
          </w:tcPr>
          <w:p w14:paraId="37876DCB" w14:textId="3EEF2B68" w:rsidR="00E82F3A" w:rsidRPr="00F01347" w:rsidRDefault="00E82F3A" w:rsidP="00E82F3A">
            <w:pPr>
              <w:pStyle w:val="texto0"/>
              <w:spacing w:after="80" w:line="224" w:lineRule="exact"/>
              <w:ind w:firstLine="0"/>
              <w:rPr>
                <w:rFonts w:ascii="Verdana" w:hAnsi="Verdana"/>
                <w:sz w:val="16"/>
                <w:szCs w:val="16"/>
                <w:lang w:val="en-US"/>
              </w:rPr>
            </w:pPr>
            <w:r w:rsidRPr="00F01347">
              <w:rPr>
                <w:rFonts w:ascii="Verdana" w:hAnsi="Verdana"/>
                <w:sz w:val="16"/>
                <w:szCs w:val="16"/>
                <w:lang w:val="en-US"/>
              </w:rPr>
              <w:lastRenderedPageBreak/>
              <w:t>Add 5mL of the ZnSO</w:t>
            </w:r>
            <w:r w:rsidRPr="00F01347">
              <w:rPr>
                <w:rFonts w:ascii="Verdana" w:hAnsi="Verdana"/>
                <w:sz w:val="16"/>
                <w:szCs w:val="16"/>
                <w:vertAlign w:val="subscript"/>
                <w:lang w:val="en-US"/>
              </w:rPr>
              <w:t xml:space="preserve">4 </w:t>
            </w:r>
            <w:r w:rsidR="00C36928" w:rsidRPr="00F01347">
              <w:rPr>
                <w:rFonts w:ascii="Verdana" w:hAnsi="Verdana"/>
                <w:sz w:val="16"/>
                <w:szCs w:val="16"/>
                <w:lang w:val="en-US"/>
              </w:rPr>
              <w:t>solution w</w:t>
            </w:r>
            <w:r w:rsidRPr="00F01347">
              <w:rPr>
                <w:rFonts w:ascii="Verdana" w:hAnsi="Verdana"/>
                <w:sz w:val="16"/>
                <w:szCs w:val="16"/>
                <w:lang w:val="en-US"/>
              </w:rPr>
              <w:t xml:space="preserve">ith a density of 1.20 (grams per milliliter), if </w:t>
            </w:r>
            <w:r w:rsidR="004A6BE5" w:rsidRPr="00F01347">
              <w:rPr>
                <w:rFonts w:ascii="Verdana" w:hAnsi="Verdana"/>
                <w:sz w:val="16"/>
                <w:szCs w:val="16"/>
                <w:lang w:val="en-US"/>
              </w:rPr>
              <w:t>one</w:t>
            </w:r>
            <w:r w:rsidRPr="00F01347">
              <w:rPr>
                <w:rFonts w:ascii="Verdana" w:hAnsi="Verdana"/>
                <w:sz w:val="16"/>
                <w:szCs w:val="16"/>
                <w:lang w:val="en-US"/>
              </w:rPr>
              <w:t xml:space="preserve"> used a wooden applicator, </w:t>
            </w:r>
            <w:r w:rsidRPr="00F01347">
              <w:rPr>
                <w:rFonts w:ascii="Verdana" w:hAnsi="Verdana"/>
                <w:sz w:val="16"/>
                <w:szCs w:val="16"/>
                <w:lang w:val="en-US"/>
              </w:rPr>
              <w:lastRenderedPageBreak/>
              <w:t xml:space="preserve">introduce it into the tube with the sediment and </w:t>
            </w:r>
            <w:proofErr w:type="spellStart"/>
            <w:r w:rsidRPr="00F01347">
              <w:rPr>
                <w:rFonts w:ascii="Verdana" w:hAnsi="Verdana"/>
                <w:sz w:val="16"/>
                <w:szCs w:val="16"/>
                <w:lang w:val="en-US"/>
              </w:rPr>
              <w:t>lugol</w:t>
            </w:r>
            <w:proofErr w:type="spellEnd"/>
            <w:r w:rsidRPr="00F01347">
              <w:rPr>
                <w:rFonts w:ascii="Verdana" w:hAnsi="Verdana"/>
                <w:sz w:val="16"/>
                <w:szCs w:val="16"/>
                <w:lang w:val="en-US"/>
              </w:rPr>
              <w:t xml:space="preserve"> at the time of adding the zinc sulfate solution (ZnSO</w:t>
            </w:r>
            <w:r w:rsidRPr="00F01347">
              <w:rPr>
                <w:rFonts w:ascii="Verdana" w:hAnsi="Verdana"/>
                <w:sz w:val="16"/>
                <w:szCs w:val="16"/>
                <w:vertAlign w:val="subscript"/>
                <w:lang w:val="en-US"/>
              </w:rPr>
              <w:t>4</w:t>
            </w:r>
            <w:r w:rsidR="00913802" w:rsidRPr="00F01347">
              <w:rPr>
                <w:rFonts w:ascii="Verdana" w:hAnsi="Verdana"/>
                <w:sz w:val="16"/>
                <w:szCs w:val="16"/>
                <w:vertAlign w:val="subscript"/>
                <w:lang w:val="en-US"/>
              </w:rPr>
              <w:t>)</w:t>
            </w:r>
            <w:r w:rsidRPr="00F01347">
              <w:rPr>
                <w:rFonts w:ascii="Verdana" w:hAnsi="Verdana"/>
                <w:sz w:val="16"/>
                <w:szCs w:val="16"/>
                <w:lang w:val="en-US"/>
              </w:rPr>
              <w:t xml:space="preserve"> to recover possible losses.</w:t>
            </w:r>
          </w:p>
        </w:tc>
      </w:tr>
      <w:tr w:rsidR="00E82F3A" w:rsidRPr="00F01347" w14:paraId="0FF7A7FD" w14:textId="520CE856" w:rsidTr="00F04031">
        <w:tc>
          <w:tcPr>
            <w:tcW w:w="4675" w:type="dxa"/>
          </w:tcPr>
          <w:p w14:paraId="2DF7A167" w14:textId="77777777" w:rsidR="00E82F3A" w:rsidRPr="00F01347" w:rsidRDefault="00E82F3A" w:rsidP="00E82F3A">
            <w:pPr>
              <w:pStyle w:val="texto0"/>
              <w:spacing w:after="80" w:line="224" w:lineRule="exact"/>
              <w:ind w:firstLine="0"/>
              <w:rPr>
                <w:rFonts w:ascii="Verdana" w:hAnsi="Verdana"/>
                <w:sz w:val="16"/>
                <w:szCs w:val="16"/>
              </w:rPr>
            </w:pPr>
            <w:r w:rsidRPr="00F01347">
              <w:rPr>
                <w:rFonts w:ascii="Verdana" w:hAnsi="Verdana"/>
                <w:sz w:val="16"/>
                <w:szCs w:val="16"/>
              </w:rPr>
              <w:lastRenderedPageBreak/>
              <w:t xml:space="preserve">Mezclar de manera manual o con ayuda de un </w:t>
            </w:r>
            <w:proofErr w:type="spellStart"/>
            <w:r w:rsidRPr="00F01347">
              <w:rPr>
                <w:rFonts w:ascii="Verdana" w:hAnsi="Verdana"/>
                <w:sz w:val="16"/>
                <w:szCs w:val="16"/>
              </w:rPr>
              <w:t>vortex</w:t>
            </w:r>
            <w:proofErr w:type="spellEnd"/>
            <w:r w:rsidRPr="00F01347">
              <w:rPr>
                <w:rFonts w:ascii="Verdana" w:hAnsi="Verdana"/>
                <w:sz w:val="16"/>
                <w:szCs w:val="16"/>
              </w:rPr>
              <w:t xml:space="preserve"> y dejar reposar por 5 minutos.</w:t>
            </w:r>
          </w:p>
        </w:tc>
        <w:tc>
          <w:tcPr>
            <w:tcW w:w="4675" w:type="dxa"/>
          </w:tcPr>
          <w:p w14:paraId="543A0AED" w14:textId="51CAC122" w:rsidR="00E82F3A" w:rsidRPr="00F01347" w:rsidRDefault="00E82F3A" w:rsidP="00E82F3A">
            <w:pPr>
              <w:pStyle w:val="texto0"/>
              <w:spacing w:after="80" w:line="224" w:lineRule="exact"/>
              <w:ind w:firstLine="0"/>
              <w:rPr>
                <w:rFonts w:ascii="Verdana" w:hAnsi="Verdana"/>
                <w:sz w:val="16"/>
                <w:szCs w:val="16"/>
                <w:lang w:val="en-US"/>
              </w:rPr>
            </w:pPr>
            <w:r w:rsidRPr="00F01347">
              <w:rPr>
                <w:rFonts w:ascii="Verdana" w:hAnsi="Verdana"/>
                <w:sz w:val="16"/>
                <w:szCs w:val="16"/>
                <w:lang w:val="en-US"/>
              </w:rPr>
              <w:t>Mix manually or with the help of a vortex and let it rest for 5 minutes.</w:t>
            </w:r>
          </w:p>
        </w:tc>
      </w:tr>
      <w:tr w:rsidR="00E82F3A" w:rsidRPr="00F01347" w14:paraId="7ADCD4DD" w14:textId="7CD72CD3" w:rsidTr="00F04031">
        <w:tc>
          <w:tcPr>
            <w:tcW w:w="4675" w:type="dxa"/>
          </w:tcPr>
          <w:p w14:paraId="2AF457E6" w14:textId="77777777" w:rsidR="00E82F3A" w:rsidRPr="00F01347" w:rsidRDefault="00E82F3A" w:rsidP="00E82F3A">
            <w:pPr>
              <w:pStyle w:val="texto0"/>
              <w:spacing w:after="80" w:line="220" w:lineRule="exact"/>
              <w:ind w:firstLine="0"/>
              <w:rPr>
                <w:rFonts w:ascii="Verdana" w:hAnsi="Verdana"/>
                <w:sz w:val="16"/>
                <w:szCs w:val="16"/>
              </w:rPr>
            </w:pPr>
            <w:r w:rsidRPr="00F01347">
              <w:rPr>
                <w:rFonts w:ascii="Verdana" w:hAnsi="Verdana"/>
                <w:sz w:val="16"/>
                <w:szCs w:val="16"/>
              </w:rPr>
              <w:t>Continuar adicionando la disolución de sulfato de zinc (ZnSO</w:t>
            </w:r>
            <w:r w:rsidRPr="00F01347">
              <w:rPr>
                <w:rFonts w:ascii="Verdana" w:hAnsi="Verdana"/>
                <w:sz w:val="16"/>
                <w:szCs w:val="16"/>
                <w:vertAlign w:val="subscript"/>
              </w:rPr>
              <w:t>4</w:t>
            </w:r>
            <w:r w:rsidRPr="00F01347">
              <w:rPr>
                <w:rFonts w:ascii="Verdana" w:hAnsi="Verdana"/>
                <w:sz w:val="16"/>
                <w:szCs w:val="16"/>
              </w:rPr>
              <w:t>) hasta la capacidad máxima del tubo, teniendo cuidado de evitar derrames.</w:t>
            </w:r>
          </w:p>
        </w:tc>
        <w:tc>
          <w:tcPr>
            <w:tcW w:w="4675" w:type="dxa"/>
          </w:tcPr>
          <w:p w14:paraId="65DF869F" w14:textId="786105C7" w:rsidR="00E82F3A" w:rsidRPr="00F01347" w:rsidRDefault="00E82F3A" w:rsidP="00E82F3A">
            <w:pPr>
              <w:pStyle w:val="texto0"/>
              <w:spacing w:after="80" w:line="220" w:lineRule="exact"/>
              <w:ind w:firstLine="0"/>
              <w:rPr>
                <w:rFonts w:ascii="Verdana" w:hAnsi="Verdana"/>
                <w:sz w:val="16"/>
                <w:szCs w:val="16"/>
                <w:lang w:val="en-US"/>
              </w:rPr>
            </w:pPr>
            <w:r w:rsidRPr="00F01347">
              <w:rPr>
                <w:rFonts w:ascii="Verdana" w:hAnsi="Verdana"/>
                <w:sz w:val="16"/>
                <w:szCs w:val="16"/>
                <w:lang w:val="en-US"/>
              </w:rPr>
              <w:t>Continue adding the zinc sulfate solution (ZnSO</w:t>
            </w:r>
            <w:r w:rsidRPr="00F01347">
              <w:rPr>
                <w:rFonts w:ascii="Verdana" w:hAnsi="Verdana"/>
                <w:sz w:val="16"/>
                <w:szCs w:val="16"/>
                <w:vertAlign w:val="subscript"/>
                <w:lang w:val="en-US"/>
              </w:rPr>
              <w:t>4</w:t>
            </w:r>
            <w:r w:rsidR="00913802" w:rsidRPr="00F01347">
              <w:rPr>
                <w:rFonts w:ascii="Verdana" w:hAnsi="Verdana"/>
                <w:sz w:val="16"/>
                <w:szCs w:val="16"/>
                <w:vertAlign w:val="subscript"/>
                <w:lang w:val="en-US"/>
              </w:rPr>
              <w:t>)</w:t>
            </w:r>
            <w:r w:rsidRPr="00F01347">
              <w:rPr>
                <w:rFonts w:ascii="Verdana" w:hAnsi="Verdana"/>
                <w:sz w:val="16"/>
                <w:szCs w:val="16"/>
                <w:lang w:val="en-US"/>
              </w:rPr>
              <w:t xml:space="preserve"> to the maximum capacity of the tube, taking care to avoid spills.</w:t>
            </w:r>
          </w:p>
        </w:tc>
      </w:tr>
      <w:tr w:rsidR="00E82F3A" w:rsidRPr="00F01347" w14:paraId="7DCDD781" w14:textId="5ED12D05" w:rsidTr="00F04031">
        <w:tc>
          <w:tcPr>
            <w:tcW w:w="4675" w:type="dxa"/>
          </w:tcPr>
          <w:p w14:paraId="04DF18FA" w14:textId="77777777" w:rsidR="00E82F3A" w:rsidRPr="00F01347" w:rsidRDefault="00E82F3A" w:rsidP="00E82F3A">
            <w:pPr>
              <w:pStyle w:val="texto0"/>
              <w:ind w:firstLine="0"/>
              <w:rPr>
                <w:rFonts w:ascii="Verdana" w:hAnsi="Verdana"/>
                <w:sz w:val="16"/>
                <w:szCs w:val="16"/>
              </w:rPr>
            </w:pPr>
            <w:r w:rsidRPr="00F01347">
              <w:rPr>
                <w:rFonts w:ascii="Verdana" w:hAnsi="Verdana"/>
                <w:sz w:val="16"/>
                <w:szCs w:val="16"/>
              </w:rPr>
              <w:t>Centrifugar por 3 minutos a 650 g. Abrir la tapa de la centrifuga con cuidado y sin tocar ni agitar los tubos dejar reposar de 2 a 5 minutos.</w:t>
            </w:r>
          </w:p>
        </w:tc>
        <w:tc>
          <w:tcPr>
            <w:tcW w:w="4675" w:type="dxa"/>
          </w:tcPr>
          <w:p w14:paraId="19B90311" w14:textId="05BFF39C" w:rsidR="00E82F3A" w:rsidRPr="00F01347" w:rsidRDefault="00E82F3A" w:rsidP="00E82F3A">
            <w:pPr>
              <w:pStyle w:val="texto0"/>
              <w:ind w:firstLine="0"/>
              <w:rPr>
                <w:rFonts w:ascii="Verdana" w:hAnsi="Verdana"/>
                <w:sz w:val="16"/>
                <w:szCs w:val="16"/>
                <w:lang w:val="en-US"/>
              </w:rPr>
            </w:pPr>
            <w:r w:rsidRPr="00F01347">
              <w:rPr>
                <w:rFonts w:ascii="Verdana" w:hAnsi="Verdana"/>
                <w:sz w:val="16"/>
                <w:szCs w:val="16"/>
                <w:lang w:val="en-US"/>
              </w:rPr>
              <w:t>Centrifuge for 3 minutes at 650 g. Open the centrifuge lid carefully and without touching or shaking the tubes, let it rest for 2 to 5 minutes.</w:t>
            </w:r>
          </w:p>
        </w:tc>
      </w:tr>
      <w:tr w:rsidR="00E82F3A" w:rsidRPr="00F01347" w14:paraId="67A5C670" w14:textId="071DD54B" w:rsidTr="00F04031">
        <w:tc>
          <w:tcPr>
            <w:tcW w:w="4675" w:type="dxa"/>
          </w:tcPr>
          <w:p w14:paraId="5CD161E7" w14:textId="77777777" w:rsidR="00E82F3A" w:rsidRPr="00F01347" w:rsidRDefault="00E82F3A" w:rsidP="00E82F3A">
            <w:pPr>
              <w:pStyle w:val="texto0"/>
              <w:ind w:firstLine="0"/>
              <w:rPr>
                <w:rFonts w:ascii="Verdana" w:hAnsi="Verdana"/>
                <w:sz w:val="16"/>
                <w:szCs w:val="16"/>
              </w:rPr>
            </w:pPr>
            <w:r w:rsidRPr="00F01347">
              <w:rPr>
                <w:rFonts w:ascii="Verdana" w:hAnsi="Verdana"/>
                <w:sz w:val="16"/>
                <w:szCs w:val="16"/>
              </w:rPr>
              <w:t xml:space="preserve">Los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que se encontraban contenidos en la muestra de agua se encontrarán suspendidos en el sobrenadante formando, en la mayoría de los casos, una película flotante en la superficie </w:t>
            </w:r>
            <w:proofErr w:type="gramStart"/>
            <w:r w:rsidRPr="00F01347">
              <w:rPr>
                <w:rFonts w:ascii="Verdana" w:hAnsi="Verdana"/>
                <w:sz w:val="16"/>
                <w:szCs w:val="16"/>
              </w:rPr>
              <w:t>del mismo</w:t>
            </w:r>
            <w:proofErr w:type="gramEnd"/>
            <w:r w:rsidRPr="00F01347">
              <w:rPr>
                <w:rFonts w:ascii="Verdana" w:hAnsi="Verdana"/>
                <w:sz w:val="16"/>
                <w:szCs w:val="16"/>
              </w:rPr>
              <w:t>.</w:t>
            </w:r>
          </w:p>
        </w:tc>
        <w:tc>
          <w:tcPr>
            <w:tcW w:w="4675" w:type="dxa"/>
          </w:tcPr>
          <w:p w14:paraId="1E8C3FAB" w14:textId="71AFF1F6" w:rsidR="00E82F3A" w:rsidRPr="00F01347" w:rsidRDefault="00C36928" w:rsidP="00E82F3A">
            <w:pPr>
              <w:pStyle w:val="texto0"/>
              <w:ind w:firstLine="0"/>
              <w:rPr>
                <w:rFonts w:ascii="Verdana" w:hAnsi="Verdana"/>
                <w:sz w:val="16"/>
                <w:szCs w:val="16"/>
                <w:lang w:val="en-US"/>
              </w:rPr>
            </w:pPr>
            <w:r w:rsidRPr="00F01347">
              <w:rPr>
                <w:rFonts w:ascii="Verdana" w:hAnsi="Verdana"/>
                <w:iCs/>
                <w:sz w:val="16"/>
                <w:szCs w:val="16"/>
                <w:lang w:val="en-US"/>
              </w:rPr>
              <w:t xml:space="preserve">The </w:t>
            </w:r>
            <w:r w:rsidR="005D07D9" w:rsidRPr="00F01347">
              <w:rPr>
                <w:rFonts w:ascii="Verdana" w:hAnsi="Verdana"/>
                <w:i/>
                <w:sz w:val="16"/>
                <w:szCs w:val="16"/>
                <w:lang w:val="en-US"/>
              </w:rPr>
              <w:t>Giardia lamblia cysts</w:t>
            </w:r>
            <w:r w:rsidR="00E82F3A" w:rsidRPr="00F01347">
              <w:rPr>
                <w:rFonts w:ascii="Verdana" w:hAnsi="Verdana"/>
                <w:i/>
                <w:sz w:val="16"/>
                <w:szCs w:val="16"/>
                <w:lang w:val="en-US"/>
              </w:rPr>
              <w:t xml:space="preserve"> </w:t>
            </w:r>
            <w:r w:rsidR="00E82F3A" w:rsidRPr="00F01347">
              <w:rPr>
                <w:rFonts w:ascii="Verdana" w:hAnsi="Verdana"/>
                <w:sz w:val="16"/>
                <w:szCs w:val="16"/>
                <w:lang w:val="en-US"/>
              </w:rPr>
              <w:t>that were contained in the water sample will be found suspended in the supernatant, forming, in most cases, a floating film on its surface</w:t>
            </w:r>
            <w:r w:rsidR="003E1BA9" w:rsidRPr="00F01347">
              <w:rPr>
                <w:rFonts w:ascii="Verdana" w:hAnsi="Verdana"/>
                <w:sz w:val="16"/>
                <w:szCs w:val="16"/>
                <w:lang w:val="en-US"/>
              </w:rPr>
              <w:t>.</w:t>
            </w:r>
          </w:p>
        </w:tc>
      </w:tr>
      <w:tr w:rsidR="00E82F3A" w:rsidRPr="00F01347" w14:paraId="5D0A5164" w14:textId="7B66DB58" w:rsidTr="00F04031">
        <w:tc>
          <w:tcPr>
            <w:tcW w:w="4675" w:type="dxa"/>
          </w:tcPr>
          <w:p w14:paraId="5DBAA9A0" w14:textId="77777777" w:rsidR="00E82F3A" w:rsidRPr="00F01347" w:rsidRDefault="00E82F3A" w:rsidP="00E82F3A">
            <w:pPr>
              <w:pStyle w:val="texto0"/>
              <w:ind w:firstLine="0"/>
              <w:rPr>
                <w:rFonts w:ascii="Verdana" w:hAnsi="Verdana"/>
                <w:sz w:val="16"/>
                <w:szCs w:val="16"/>
              </w:rPr>
            </w:pPr>
            <w:r w:rsidRPr="00F01347">
              <w:rPr>
                <w:rFonts w:ascii="Verdana" w:hAnsi="Verdana"/>
                <w:sz w:val="16"/>
                <w:szCs w:val="16"/>
              </w:rPr>
              <w:t>Con la ayuda de un asa estéril recoger la película flotante en la superficie y colocarla en un portaobjetos rotulado, esta operación se puede repetir 2 o 3 veces para asegurar una mayor recuperación. Es necesario hacer laminillas hasta agotar la película flotante. El quiste está en la superficie no en el sedimento.</w:t>
            </w:r>
          </w:p>
        </w:tc>
        <w:tc>
          <w:tcPr>
            <w:tcW w:w="4675" w:type="dxa"/>
          </w:tcPr>
          <w:p w14:paraId="33F9B5CE" w14:textId="5981CFA1" w:rsidR="00E82F3A" w:rsidRPr="00F01347" w:rsidRDefault="00E82F3A" w:rsidP="00E82F3A">
            <w:pPr>
              <w:pStyle w:val="texto0"/>
              <w:ind w:firstLine="0"/>
              <w:rPr>
                <w:rFonts w:ascii="Verdana" w:hAnsi="Verdana"/>
                <w:sz w:val="16"/>
                <w:szCs w:val="16"/>
                <w:lang w:val="en-US"/>
              </w:rPr>
            </w:pPr>
            <w:r w:rsidRPr="00F01347">
              <w:rPr>
                <w:rFonts w:ascii="Verdana" w:hAnsi="Verdana"/>
                <w:sz w:val="16"/>
                <w:szCs w:val="16"/>
                <w:lang w:val="en-US"/>
              </w:rPr>
              <w:t>With the help of a sterile loop, collect the floating film on the surface and place it on a labeled slide. This operation can be repeated 2 or 3 times to ensure greater recovery. It is necessary to make sheets until the floating film is exhausted. The cyst is on the surface not in the sediment.</w:t>
            </w:r>
          </w:p>
        </w:tc>
      </w:tr>
      <w:tr w:rsidR="00E82F3A" w:rsidRPr="00F01347" w14:paraId="2FDD7A2A" w14:textId="58F601E5" w:rsidTr="00F04031">
        <w:tc>
          <w:tcPr>
            <w:tcW w:w="4675" w:type="dxa"/>
          </w:tcPr>
          <w:p w14:paraId="6FE1433D" w14:textId="77777777" w:rsidR="00E82F3A" w:rsidRPr="00F01347" w:rsidRDefault="00E82F3A" w:rsidP="00E82F3A">
            <w:pPr>
              <w:pStyle w:val="texto0"/>
              <w:ind w:firstLine="0"/>
              <w:rPr>
                <w:rFonts w:ascii="Verdana" w:hAnsi="Verdana"/>
                <w:sz w:val="16"/>
                <w:szCs w:val="16"/>
              </w:rPr>
            </w:pPr>
            <w:r w:rsidRPr="00F01347">
              <w:rPr>
                <w:rFonts w:ascii="Verdana" w:hAnsi="Verdana"/>
                <w:sz w:val="16"/>
                <w:szCs w:val="16"/>
              </w:rPr>
              <w:t>Colocar un cubreobjetos de 24 x 50 mm y selle la muestra con vaselina sólida o con algún otro sellador disponible. Los cubreobjetos y portaobjetos deberán manipularse cuidadosamente y por los bordes.</w:t>
            </w:r>
          </w:p>
        </w:tc>
        <w:tc>
          <w:tcPr>
            <w:tcW w:w="4675" w:type="dxa"/>
          </w:tcPr>
          <w:p w14:paraId="70B38CE6" w14:textId="6407454D" w:rsidR="00E82F3A" w:rsidRPr="00F01347" w:rsidRDefault="00E82F3A" w:rsidP="00E82F3A">
            <w:pPr>
              <w:pStyle w:val="texto0"/>
              <w:ind w:firstLine="0"/>
              <w:rPr>
                <w:rFonts w:ascii="Verdana" w:hAnsi="Verdana"/>
                <w:sz w:val="16"/>
                <w:szCs w:val="16"/>
                <w:lang w:val="en-US"/>
              </w:rPr>
            </w:pPr>
            <w:r w:rsidRPr="00F01347">
              <w:rPr>
                <w:rFonts w:ascii="Verdana" w:hAnsi="Verdana"/>
                <w:sz w:val="16"/>
                <w:szCs w:val="16"/>
                <w:lang w:val="en-US"/>
              </w:rPr>
              <w:t>Place a 24 x 50 mm coverslip and seal the sample with solid Vaseline or some other available sealant. Coverslips and slides should be handled carefully and by the edges.</w:t>
            </w:r>
          </w:p>
        </w:tc>
      </w:tr>
      <w:tr w:rsidR="00E82F3A" w:rsidRPr="00F01347" w14:paraId="65CD5383" w14:textId="20F060CF" w:rsidTr="00F04031">
        <w:tc>
          <w:tcPr>
            <w:tcW w:w="4675" w:type="dxa"/>
          </w:tcPr>
          <w:p w14:paraId="5EA47299" w14:textId="77777777" w:rsidR="00E82F3A" w:rsidRPr="00F01347" w:rsidRDefault="00E82F3A" w:rsidP="00E82F3A">
            <w:pPr>
              <w:pStyle w:val="texto0"/>
              <w:ind w:firstLine="0"/>
              <w:rPr>
                <w:rFonts w:ascii="Verdana" w:hAnsi="Verdana"/>
                <w:b/>
                <w:sz w:val="16"/>
                <w:szCs w:val="16"/>
              </w:rPr>
            </w:pPr>
            <w:r w:rsidRPr="00F01347">
              <w:rPr>
                <w:rFonts w:ascii="Verdana" w:hAnsi="Verdana"/>
                <w:b/>
                <w:sz w:val="16"/>
                <w:szCs w:val="16"/>
              </w:rPr>
              <w:t>B.2.3.6.2 Observación microscópica</w:t>
            </w:r>
          </w:p>
        </w:tc>
        <w:tc>
          <w:tcPr>
            <w:tcW w:w="4675" w:type="dxa"/>
          </w:tcPr>
          <w:p w14:paraId="40BEAE1B" w14:textId="05FA97CF" w:rsidR="00E82F3A" w:rsidRPr="00F01347" w:rsidRDefault="00E82F3A" w:rsidP="00E82F3A">
            <w:pPr>
              <w:pStyle w:val="texto0"/>
              <w:ind w:firstLine="0"/>
              <w:rPr>
                <w:rFonts w:ascii="Verdana" w:hAnsi="Verdana"/>
                <w:b/>
                <w:sz w:val="16"/>
                <w:szCs w:val="16"/>
                <w:lang w:val="en-US"/>
              </w:rPr>
            </w:pPr>
            <w:r w:rsidRPr="00F01347">
              <w:rPr>
                <w:rFonts w:ascii="Verdana" w:hAnsi="Verdana"/>
                <w:b/>
                <w:sz w:val="16"/>
                <w:szCs w:val="16"/>
                <w:lang w:val="en-US"/>
              </w:rPr>
              <w:t>B.2.3.6.2 Microscopic observation</w:t>
            </w:r>
          </w:p>
        </w:tc>
      </w:tr>
      <w:tr w:rsidR="00E82F3A" w:rsidRPr="00F01347" w14:paraId="3C274AEC" w14:textId="2305F90C" w:rsidTr="00F04031">
        <w:tc>
          <w:tcPr>
            <w:tcW w:w="4675" w:type="dxa"/>
          </w:tcPr>
          <w:p w14:paraId="1109B311" w14:textId="77777777" w:rsidR="00E82F3A" w:rsidRPr="00F01347" w:rsidRDefault="00E82F3A" w:rsidP="00E82F3A">
            <w:pPr>
              <w:pStyle w:val="texto0"/>
              <w:ind w:firstLine="0"/>
              <w:rPr>
                <w:rFonts w:ascii="Verdana" w:hAnsi="Verdana"/>
                <w:sz w:val="16"/>
                <w:szCs w:val="16"/>
              </w:rPr>
            </w:pPr>
            <w:r w:rsidRPr="00F01347">
              <w:rPr>
                <w:rFonts w:ascii="Verdana" w:hAnsi="Verdana"/>
                <w:sz w:val="16"/>
                <w:szCs w:val="16"/>
              </w:rPr>
              <w:t xml:space="preserve">Las laminillas montadas en el apartado </w:t>
            </w:r>
            <w:proofErr w:type="gramStart"/>
            <w:r w:rsidRPr="00F01347">
              <w:rPr>
                <w:rFonts w:ascii="Verdana" w:hAnsi="Verdana"/>
                <w:sz w:val="16"/>
                <w:szCs w:val="16"/>
              </w:rPr>
              <w:t>anterior,</w:t>
            </w:r>
            <w:proofErr w:type="gramEnd"/>
            <w:r w:rsidRPr="00F01347">
              <w:rPr>
                <w:rFonts w:ascii="Verdana" w:hAnsi="Verdana"/>
                <w:sz w:val="16"/>
                <w:szCs w:val="16"/>
              </w:rPr>
              <w:t xml:space="preserve"> deben observarse bajo el microscopio óptico con el objetivo de 100X con aceite de inmersión, realizando un barrido total del cubreobjetos como se muestra en la Fig. B.2.3.-1, de este Apéndice.</w:t>
            </w:r>
          </w:p>
        </w:tc>
        <w:tc>
          <w:tcPr>
            <w:tcW w:w="4675" w:type="dxa"/>
          </w:tcPr>
          <w:p w14:paraId="37300A57" w14:textId="59C5EEC1" w:rsidR="00E82F3A" w:rsidRPr="00F01347" w:rsidRDefault="00E82F3A" w:rsidP="00E82F3A">
            <w:pPr>
              <w:pStyle w:val="texto0"/>
              <w:ind w:firstLine="0"/>
              <w:rPr>
                <w:rFonts w:ascii="Verdana" w:hAnsi="Verdana"/>
                <w:sz w:val="16"/>
                <w:szCs w:val="16"/>
                <w:lang w:val="en-US"/>
              </w:rPr>
            </w:pPr>
            <w:r w:rsidRPr="00F01347">
              <w:rPr>
                <w:rFonts w:ascii="Verdana" w:hAnsi="Verdana"/>
                <w:sz w:val="16"/>
                <w:szCs w:val="16"/>
                <w:lang w:val="en-US"/>
              </w:rPr>
              <w:t xml:space="preserve">The slides mounted in the </w:t>
            </w:r>
            <w:r w:rsidR="0020509B" w:rsidRPr="00F01347">
              <w:rPr>
                <w:rFonts w:ascii="Verdana" w:hAnsi="Verdana"/>
                <w:sz w:val="16"/>
                <w:szCs w:val="16"/>
                <w:lang w:val="en-US"/>
              </w:rPr>
              <w:t>preceding</w:t>
            </w:r>
            <w:r w:rsidRPr="00F01347">
              <w:rPr>
                <w:rFonts w:ascii="Verdana" w:hAnsi="Verdana"/>
                <w:sz w:val="16"/>
                <w:szCs w:val="16"/>
                <w:lang w:val="en-US"/>
              </w:rPr>
              <w:t xml:space="preserve"> section must be observed under the optical microscope with the 100X objective with immersion oil, performing a complete scan of the coverslip as shown in Fig. B.2.3.-1, of this Appendix.</w:t>
            </w:r>
          </w:p>
        </w:tc>
      </w:tr>
    </w:tbl>
    <w:p w14:paraId="6918AF8E" w14:textId="2F510E4C" w:rsidR="00A74CDF" w:rsidRPr="00F01347" w:rsidRDefault="00471638" w:rsidP="003A601B">
      <w:pPr>
        <w:pStyle w:val="texto0"/>
        <w:spacing w:line="240" w:lineRule="auto"/>
        <w:ind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521156D8" wp14:editId="765B802C">
            <wp:extent cx="1514475" cy="1524000"/>
            <wp:effectExtent l="0" t="0" r="0" b="0"/>
            <wp:docPr id="2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14475" cy="1524000"/>
                    </a:xfrm>
                    <a:prstGeom prst="rect">
                      <a:avLst/>
                    </a:prstGeom>
                    <a:noFill/>
                    <a:ln>
                      <a:noFill/>
                    </a:ln>
                  </pic:spPr>
                </pic:pic>
              </a:graphicData>
            </a:graphic>
          </wp:inline>
        </w:drawing>
      </w:r>
    </w:p>
    <w:p w14:paraId="7313BC71" w14:textId="7C71C579" w:rsidR="00A74CDF" w:rsidRPr="00F01347" w:rsidRDefault="00A74CDF" w:rsidP="003A601B">
      <w:pPr>
        <w:pStyle w:val="texto0"/>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4549B" w:rsidRPr="00F01347" w14:paraId="4A7515BB" w14:textId="77777777" w:rsidTr="0020509B">
        <w:tc>
          <w:tcPr>
            <w:tcW w:w="4675" w:type="dxa"/>
          </w:tcPr>
          <w:p w14:paraId="2F7312D7" w14:textId="33B1A54C" w:rsidR="0094549B" w:rsidRPr="00F01347" w:rsidRDefault="0094549B" w:rsidP="00E01FB6">
            <w:pPr>
              <w:pStyle w:val="texto0"/>
              <w:spacing w:after="88" w:line="232" w:lineRule="exact"/>
              <w:ind w:firstLine="0"/>
              <w:rPr>
                <w:rFonts w:ascii="Verdana" w:hAnsi="Verdana"/>
                <w:sz w:val="16"/>
                <w:szCs w:val="16"/>
              </w:rPr>
            </w:pPr>
            <w:r w:rsidRPr="00F01347">
              <w:rPr>
                <w:rFonts w:ascii="Verdana" w:hAnsi="Verdana"/>
                <w:b/>
                <w:sz w:val="16"/>
                <w:szCs w:val="16"/>
              </w:rPr>
              <w:t>Fig. B.2.3-1</w:t>
            </w:r>
            <w:r w:rsidRPr="00F01347">
              <w:rPr>
                <w:rFonts w:ascii="Verdana" w:hAnsi="Verdana"/>
                <w:sz w:val="16"/>
                <w:szCs w:val="16"/>
              </w:rPr>
              <w:t xml:space="preserve"> Barrido de la muestra</w:t>
            </w:r>
          </w:p>
        </w:tc>
        <w:tc>
          <w:tcPr>
            <w:tcW w:w="4675" w:type="dxa"/>
          </w:tcPr>
          <w:p w14:paraId="78D9807C" w14:textId="77777777" w:rsidR="0094549B" w:rsidRPr="00F01347" w:rsidRDefault="0094549B" w:rsidP="0094549B">
            <w:pPr>
              <w:pStyle w:val="texto0"/>
              <w:ind w:firstLine="0"/>
              <w:jc w:val="center"/>
              <w:rPr>
                <w:rFonts w:ascii="Verdana" w:hAnsi="Verdana"/>
                <w:sz w:val="16"/>
                <w:szCs w:val="16"/>
                <w:lang w:val="en-US"/>
              </w:rPr>
            </w:pPr>
            <w:r w:rsidRPr="00F01347">
              <w:rPr>
                <w:rFonts w:ascii="Verdana" w:hAnsi="Verdana"/>
                <w:b/>
                <w:sz w:val="16"/>
                <w:szCs w:val="16"/>
                <w:lang w:val="en-US"/>
              </w:rPr>
              <w:t xml:space="preserve">Fig. B.2.3-1 </w:t>
            </w:r>
            <w:r w:rsidRPr="00F01347">
              <w:rPr>
                <w:rFonts w:ascii="Verdana" w:hAnsi="Verdana"/>
                <w:sz w:val="16"/>
                <w:szCs w:val="16"/>
                <w:lang w:val="en-US"/>
              </w:rPr>
              <w:t xml:space="preserve">Sample </w:t>
            </w:r>
            <w:proofErr w:type="gramStart"/>
            <w:r w:rsidRPr="00F01347">
              <w:rPr>
                <w:rFonts w:ascii="Verdana" w:hAnsi="Verdana"/>
                <w:sz w:val="16"/>
                <w:szCs w:val="16"/>
                <w:lang w:val="en-US"/>
              </w:rPr>
              <w:t>scanning</w:t>
            </w:r>
            <w:proofErr w:type="gramEnd"/>
          </w:p>
          <w:p w14:paraId="6CA67F78" w14:textId="77777777" w:rsidR="0094549B" w:rsidRPr="00F01347" w:rsidRDefault="0094549B" w:rsidP="00E01FB6">
            <w:pPr>
              <w:pStyle w:val="texto0"/>
              <w:spacing w:after="88" w:line="232" w:lineRule="exact"/>
              <w:ind w:firstLine="0"/>
              <w:rPr>
                <w:rFonts w:ascii="Verdana" w:hAnsi="Verdana"/>
                <w:sz w:val="16"/>
                <w:szCs w:val="16"/>
                <w:lang w:val="en-US"/>
              </w:rPr>
            </w:pPr>
          </w:p>
        </w:tc>
      </w:tr>
      <w:tr w:rsidR="0094549B" w:rsidRPr="00F01347" w14:paraId="716F2328" w14:textId="5F32D117" w:rsidTr="0020509B">
        <w:tc>
          <w:tcPr>
            <w:tcW w:w="4675" w:type="dxa"/>
          </w:tcPr>
          <w:p w14:paraId="5C84E5C2" w14:textId="77777777" w:rsidR="0094549B" w:rsidRPr="00F01347" w:rsidRDefault="0094549B" w:rsidP="0094549B">
            <w:pPr>
              <w:pStyle w:val="texto0"/>
              <w:spacing w:after="88" w:line="232" w:lineRule="exact"/>
              <w:ind w:firstLine="0"/>
              <w:rPr>
                <w:rFonts w:ascii="Verdana" w:hAnsi="Verdana"/>
                <w:sz w:val="16"/>
                <w:szCs w:val="16"/>
              </w:rPr>
            </w:pPr>
            <w:r w:rsidRPr="00F01347">
              <w:rPr>
                <w:rFonts w:ascii="Verdana" w:hAnsi="Verdana"/>
                <w:sz w:val="16"/>
                <w:szCs w:val="16"/>
              </w:rPr>
              <w:t xml:space="preserve">La determinación de los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i/>
                <w:sz w:val="16"/>
                <w:szCs w:val="16"/>
              </w:rPr>
              <w:t xml:space="preserve"> </w:t>
            </w:r>
            <w:r w:rsidRPr="00F01347">
              <w:rPr>
                <w:rFonts w:ascii="Verdana" w:hAnsi="Verdana"/>
                <w:sz w:val="16"/>
                <w:szCs w:val="16"/>
              </w:rPr>
              <w:t xml:space="preserve">deberá ser realizada por personal capacitado en esta actividad, teniendo cuidado de no confundir los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con otros microorganismos como levaduras, diatomeas, </w:t>
            </w:r>
            <w:r w:rsidRPr="00F01347">
              <w:rPr>
                <w:rFonts w:ascii="Verdana" w:hAnsi="Verdana"/>
                <w:i/>
                <w:sz w:val="16"/>
                <w:szCs w:val="16"/>
              </w:rPr>
              <w:t>Coccidias</w:t>
            </w:r>
            <w:r w:rsidRPr="00F01347">
              <w:rPr>
                <w:rFonts w:ascii="Verdana" w:hAnsi="Verdana"/>
                <w:sz w:val="16"/>
                <w:szCs w:val="16"/>
              </w:rPr>
              <w:t xml:space="preserve"> u otros organismos y siguiendo los siguientes criterios de inclusión:</w:t>
            </w:r>
          </w:p>
        </w:tc>
        <w:tc>
          <w:tcPr>
            <w:tcW w:w="4675" w:type="dxa"/>
          </w:tcPr>
          <w:p w14:paraId="3B8C397F" w14:textId="387D1E45" w:rsidR="0094549B" w:rsidRPr="00F01347" w:rsidRDefault="0020509B" w:rsidP="0094549B">
            <w:pPr>
              <w:pStyle w:val="texto0"/>
              <w:spacing w:after="88" w:line="232" w:lineRule="exact"/>
              <w:ind w:firstLine="0"/>
              <w:rPr>
                <w:rFonts w:ascii="Verdana" w:hAnsi="Verdana"/>
                <w:sz w:val="16"/>
                <w:szCs w:val="16"/>
                <w:lang w:val="en-US"/>
              </w:rPr>
            </w:pPr>
            <w:r w:rsidRPr="00F01347">
              <w:rPr>
                <w:rFonts w:ascii="Verdana" w:hAnsi="Verdana"/>
                <w:iCs/>
                <w:sz w:val="16"/>
                <w:szCs w:val="16"/>
                <w:lang w:val="en-US"/>
              </w:rPr>
              <w:t xml:space="preserve">The determination of the </w:t>
            </w:r>
            <w:r w:rsidR="005D07D9" w:rsidRPr="00F01347">
              <w:rPr>
                <w:rFonts w:ascii="Verdana" w:hAnsi="Verdana"/>
                <w:i/>
                <w:sz w:val="16"/>
                <w:szCs w:val="16"/>
                <w:lang w:val="en-US"/>
              </w:rPr>
              <w:t>Giardia lamblia cysts</w:t>
            </w:r>
            <w:r w:rsidR="0094549B" w:rsidRPr="00F01347">
              <w:rPr>
                <w:rFonts w:ascii="Verdana" w:hAnsi="Verdana"/>
                <w:i/>
                <w:sz w:val="16"/>
                <w:szCs w:val="16"/>
                <w:lang w:val="en-US"/>
              </w:rPr>
              <w:t xml:space="preserve"> </w:t>
            </w:r>
            <w:r w:rsidR="00FE2DF3" w:rsidRPr="00F01347">
              <w:rPr>
                <w:rFonts w:ascii="Verdana" w:hAnsi="Verdana"/>
                <w:iCs/>
                <w:sz w:val="16"/>
                <w:szCs w:val="16"/>
                <w:lang w:val="en-US"/>
              </w:rPr>
              <w:t>must</w:t>
            </w:r>
            <w:r w:rsidR="0094549B" w:rsidRPr="00F01347">
              <w:rPr>
                <w:rFonts w:ascii="Verdana" w:hAnsi="Verdana"/>
                <w:iCs/>
                <w:sz w:val="16"/>
                <w:szCs w:val="16"/>
                <w:lang w:val="en-US"/>
              </w:rPr>
              <w:t xml:space="preserve"> be carried out by personnel trained in this activity, taking care not to confuse </w:t>
            </w:r>
            <w:r w:rsidR="005D07D9" w:rsidRPr="00F01347">
              <w:rPr>
                <w:rFonts w:ascii="Verdana" w:hAnsi="Verdana"/>
                <w:i/>
                <w:sz w:val="16"/>
                <w:szCs w:val="16"/>
                <w:lang w:val="en-US"/>
              </w:rPr>
              <w:t>Giardia lamblia</w:t>
            </w:r>
            <w:r w:rsidR="005D07D9" w:rsidRPr="00F01347">
              <w:rPr>
                <w:rFonts w:ascii="Verdana" w:hAnsi="Verdana"/>
                <w:iCs/>
                <w:sz w:val="16"/>
                <w:szCs w:val="16"/>
                <w:lang w:val="en-US"/>
              </w:rPr>
              <w:t xml:space="preserve"> cysts</w:t>
            </w:r>
            <w:r w:rsidR="0094549B" w:rsidRPr="00F01347">
              <w:rPr>
                <w:rFonts w:ascii="Verdana" w:hAnsi="Verdana"/>
                <w:i/>
                <w:sz w:val="16"/>
                <w:szCs w:val="16"/>
                <w:lang w:val="en-US"/>
              </w:rPr>
              <w:t xml:space="preserve"> </w:t>
            </w:r>
            <w:r w:rsidR="0094549B" w:rsidRPr="00F01347">
              <w:rPr>
                <w:rFonts w:ascii="Verdana" w:hAnsi="Verdana"/>
                <w:sz w:val="16"/>
                <w:szCs w:val="16"/>
                <w:lang w:val="en-US"/>
              </w:rPr>
              <w:t xml:space="preserve">with other microorganisms such as yeasts, diatoms, </w:t>
            </w:r>
            <w:r w:rsidR="0094549B" w:rsidRPr="00F01347">
              <w:rPr>
                <w:rFonts w:ascii="Verdana" w:hAnsi="Verdana"/>
                <w:i/>
                <w:sz w:val="16"/>
                <w:szCs w:val="16"/>
                <w:lang w:val="en-US"/>
              </w:rPr>
              <w:t xml:space="preserve">Coccidia </w:t>
            </w:r>
            <w:r w:rsidR="0094549B" w:rsidRPr="00F01347">
              <w:rPr>
                <w:rFonts w:ascii="Verdana" w:hAnsi="Verdana"/>
                <w:sz w:val="16"/>
                <w:szCs w:val="16"/>
                <w:lang w:val="en-US"/>
              </w:rPr>
              <w:t>or other organisms and following the following inclusion criteria:</w:t>
            </w:r>
          </w:p>
        </w:tc>
      </w:tr>
      <w:tr w:rsidR="0094549B" w:rsidRPr="00F01347" w14:paraId="7C9AA1F1" w14:textId="1600AA64" w:rsidTr="0020509B">
        <w:tc>
          <w:tcPr>
            <w:tcW w:w="4675" w:type="dxa"/>
          </w:tcPr>
          <w:p w14:paraId="4FA4B402" w14:textId="77777777" w:rsidR="0094549B" w:rsidRPr="00F01347" w:rsidRDefault="0094549B" w:rsidP="0094549B">
            <w:pPr>
              <w:pStyle w:val="texto0"/>
              <w:spacing w:after="88" w:line="232" w:lineRule="exact"/>
              <w:ind w:firstLine="0"/>
              <w:rPr>
                <w:rFonts w:ascii="Verdana" w:hAnsi="Verdana"/>
                <w:sz w:val="16"/>
                <w:szCs w:val="16"/>
              </w:rPr>
            </w:pPr>
            <w:r w:rsidRPr="00F01347">
              <w:rPr>
                <w:rFonts w:ascii="Verdana" w:hAnsi="Verdana"/>
                <w:sz w:val="16"/>
                <w:szCs w:val="16"/>
              </w:rPr>
              <w:lastRenderedPageBreak/>
              <w:t>●</w:t>
            </w:r>
            <w:r w:rsidRPr="00F01347">
              <w:rPr>
                <w:rFonts w:ascii="Verdana" w:hAnsi="Verdana"/>
                <w:sz w:val="16"/>
                <w:szCs w:val="16"/>
              </w:rPr>
              <w:tab/>
              <w:t>nitidez (pared del quiste bien definida)</w:t>
            </w:r>
          </w:p>
        </w:tc>
        <w:tc>
          <w:tcPr>
            <w:tcW w:w="4675" w:type="dxa"/>
          </w:tcPr>
          <w:p w14:paraId="32957BFF" w14:textId="0E427D4B" w:rsidR="0094549B" w:rsidRPr="00F01347" w:rsidRDefault="0094549B" w:rsidP="0094549B">
            <w:pPr>
              <w:pStyle w:val="texto0"/>
              <w:spacing w:after="88" w:line="23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sharpness (well defined cyst wall)</w:t>
            </w:r>
          </w:p>
        </w:tc>
      </w:tr>
      <w:tr w:rsidR="0094549B" w:rsidRPr="00F01347" w14:paraId="607873C2" w14:textId="49560033" w:rsidTr="0020509B">
        <w:tc>
          <w:tcPr>
            <w:tcW w:w="4675" w:type="dxa"/>
          </w:tcPr>
          <w:p w14:paraId="534385FF" w14:textId="77777777" w:rsidR="0094549B" w:rsidRPr="00F01347" w:rsidRDefault="0094549B" w:rsidP="0094549B">
            <w:pPr>
              <w:pStyle w:val="texto0"/>
              <w:spacing w:after="88" w:line="23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forma ovalada</w:t>
            </w:r>
          </w:p>
        </w:tc>
        <w:tc>
          <w:tcPr>
            <w:tcW w:w="4675" w:type="dxa"/>
          </w:tcPr>
          <w:p w14:paraId="03528411" w14:textId="27CD6CC1" w:rsidR="0094549B" w:rsidRPr="00F01347" w:rsidRDefault="0094549B" w:rsidP="0094549B">
            <w:pPr>
              <w:pStyle w:val="texto0"/>
              <w:spacing w:after="88" w:line="23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oval shape</w:t>
            </w:r>
          </w:p>
        </w:tc>
      </w:tr>
      <w:tr w:rsidR="0094549B" w:rsidRPr="00F01347" w14:paraId="2B7314FC" w14:textId="63A509D9" w:rsidTr="0020509B">
        <w:tc>
          <w:tcPr>
            <w:tcW w:w="4675" w:type="dxa"/>
          </w:tcPr>
          <w:p w14:paraId="07FDB771" w14:textId="77777777" w:rsidR="0094549B" w:rsidRPr="00F01347" w:rsidRDefault="0094549B" w:rsidP="0094549B">
            <w:pPr>
              <w:pStyle w:val="texto0"/>
              <w:spacing w:after="88" w:line="23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tamaño de 8 a 18µm de longitud</w:t>
            </w:r>
          </w:p>
        </w:tc>
        <w:tc>
          <w:tcPr>
            <w:tcW w:w="4675" w:type="dxa"/>
          </w:tcPr>
          <w:p w14:paraId="4D77B3C8" w14:textId="0ED1FF09" w:rsidR="0094549B" w:rsidRPr="00F01347" w:rsidRDefault="0094549B" w:rsidP="0094549B">
            <w:pPr>
              <w:pStyle w:val="texto0"/>
              <w:spacing w:after="88" w:line="23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size from 8 to 18µm in length</w:t>
            </w:r>
          </w:p>
        </w:tc>
      </w:tr>
      <w:tr w:rsidR="0094549B" w:rsidRPr="00F01347" w14:paraId="7F613F55" w14:textId="0D3D298F" w:rsidTr="0020509B">
        <w:tc>
          <w:tcPr>
            <w:tcW w:w="4675" w:type="dxa"/>
          </w:tcPr>
          <w:p w14:paraId="78F8E474" w14:textId="77777777" w:rsidR="0094549B" w:rsidRPr="00F01347" w:rsidRDefault="0094549B" w:rsidP="0094549B">
            <w:pPr>
              <w:pStyle w:val="texto0"/>
              <w:spacing w:after="88" w:line="23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estructura ovalada</w:t>
            </w:r>
          </w:p>
        </w:tc>
        <w:tc>
          <w:tcPr>
            <w:tcW w:w="4675" w:type="dxa"/>
          </w:tcPr>
          <w:p w14:paraId="7E700273" w14:textId="2931A45C" w:rsidR="0094549B" w:rsidRPr="00F01347" w:rsidRDefault="0094549B" w:rsidP="0094549B">
            <w:pPr>
              <w:pStyle w:val="texto0"/>
              <w:spacing w:after="88" w:line="23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oval structure</w:t>
            </w:r>
          </w:p>
        </w:tc>
      </w:tr>
      <w:tr w:rsidR="0094549B" w:rsidRPr="00F01347" w14:paraId="12F3B2CC" w14:textId="0C6FC8DB" w:rsidTr="0020509B">
        <w:tc>
          <w:tcPr>
            <w:tcW w:w="4675" w:type="dxa"/>
          </w:tcPr>
          <w:p w14:paraId="50C79032" w14:textId="77777777" w:rsidR="0094549B" w:rsidRPr="00F01347" w:rsidRDefault="0094549B" w:rsidP="0094549B">
            <w:pPr>
              <w:pStyle w:val="texto0"/>
              <w:spacing w:after="88" w:line="23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pared gruesa llamada pared quística que mide 0.3 a 0.5µm</w:t>
            </w:r>
          </w:p>
        </w:tc>
        <w:tc>
          <w:tcPr>
            <w:tcW w:w="4675" w:type="dxa"/>
          </w:tcPr>
          <w:p w14:paraId="37793C05" w14:textId="707B17B7" w:rsidR="0094549B" w:rsidRPr="00F01347" w:rsidRDefault="0094549B" w:rsidP="0094549B">
            <w:pPr>
              <w:pStyle w:val="texto0"/>
              <w:spacing w:after="88" w:line="23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thick wall called cystic wall measuring 0.3 to 0.5µm</w:t>
            </w:r>
          </w:p>
        </w:tc>
      </w:tr>
      <w:tr w:rsidR="0094549B" w:rsidRPr="00F01347" w14:paraId="7F86C2E9" w14:textId="34C3CD55" w:rsidTr="0020509B">
        <w:tc>
          <w:tcPr>
            <w:tcW w:w="4675" w:type="dxa"/>
          </w:tcPr>
          <w:p w14:paraId="2A1EED6A" w14:textId="77777777" w:rsidR="0094549B" w:rsidRPr="00F01347" w:rsidRDefault="0094549B" w:rsidP="0094549B">
            <w:pPr>
              <w:pStyle w:val="texto0"/>
              <w:spacing w:after="88" w:line="23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presencia de por lo menos dos de las siguientes características internas: presencia de núcleos (generalmente son cuatro y siempre aparecen dispuestos en alguno de los polos), cuerpos basales y axonemas.</w:t>
            </w:r>
          </w:p>
        </w:tc>
        <w:tc>
          <w:tcPr>
            <w:tcW w:w="4675" w:type="dxa"/>
          </w:tcPr>
          <w:p w14:paraId="56A8F3D8" w14:textId="3D49AD75" w:rsidR="0094549B" w:rsidRPr="00F01347" w:rsidRDefault="0094549B" w:rsidP="0094549B">
            <w:pPr>
              <w:pStyle w:val="texto0"/>
              <w:spacing w:after="88" w:line="23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presence of at least two of the following internal characteristics: presence of nuclei (generally there are four and they always appear arranged at one of the poles), basal bodies and axonemes.</w:t>
            </w:r>
          </w:p>
        </w:tc>
      </w:tr>
      <w:tr w:rsidR="0094549B" w:rsidRPr="00F01347" w14:paraId="74F203A6" w14:textId="6585BEC3" w:rsidTr="0020509B">
        <w:tc>
          <w:tcPr>
            <w:tcW w:w="4675" w:type="dxa"/>
          </w:tcPr>
          <w:p w14:paraId="6FF068D1" w14:textId="77777777" w:rsidR="0094549B" w:rsidRPr="00F01347" w:rsidRDefault="0094549B" w:rsidP="0094549B">
            <w:pPr>
              <w:pStyle w:val="texto0"/>
              <w:spacing w:after="88" w:line="232" w:lineRule="exact"/>
              <w:ind w:firstLine="0"/>
              <w:rPr>
                <w:rFonts w:ascii="Verdana" w:hAnsi="Verdana"/>
                <w:sz w:val="16"/>
                <w:szCs w:val="16"/>
              </w:rPr>
            </w:pPr>
            <w:r w:rsidRPr="00F01347">
              <w:rPr>
                <w:rFonts w:ascii="Verdana" w:hAnsi="Verdana"/>
                <w:sz w:val="16"/>
                <w:szCs w:val="16"/>
              </w:rPr>
              <w:t xml:space="preserve">El uso de microfotografías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obtenidas en referencias bibliográficas pueden ser de gran utilidad para la determinación de éstos.</w:t>
            </w:r>
          </w:p>
        </w:tc>
        <w:tc>
          <w:tcPr>
            <w:tcW w:w="4675" w:type="dxa"/>
          </w:tcPr>
          <w:p w14:paraId="56F436A6" w14:textId="6623A48E" w:rsidR="0094549B" w:rsidRPr="00F01347" w:rsidRDefault="0094549B" w:rsidP="0094549B">
            <w:pPr>
              <w:pStyle w:val="texto0"/>
              <w:spacing w:after="88" w:line="232" w:lineRule="exact"/>
              <w:ind w:firstLine="0"/>
              <w:rPr>
                <w:rFonts w:ascii="Verdana" w:hAnsi="Verdana"/>
                <w:sz w:val="16"/>
                <w:szCs w:val="16"/>
                <w:lang w:val="en-US"/>
              </w:rPr>
            </w:pPr>
            <w:r w:rsidRPr="00F01347">
              <w:rPr>
                <w:rFonts w:ascii="Verdana" w:hAnsi="Verdana"/>
                <w:sz w:val="16"/>
                <w:szCs w:val="16"/>
                <w:lang w:val="en-US"/>
              </w:rPr>
              <w:t xml:space="preserve">The use of photomicrographs of </w:t>
            </w:r>
            <w:r w:rsidR="005D07D9" w:rsidRPr="00F01347">
              <w:rPr>
                <w:rFonts w:ascii="Verdana" w:hAnsi="Verdana"/>
                <w:i/>
                <w:sz w:val="16"/>
                <w:szCs w:val="16"/>
                <w:lang w:val="en-US"/>
              </w:rPr>
              <w:t xml:space="preserve">Giardia lamblia </w:t>
            </w:r>
            <w:r w:rsidR="005D07D9" w:rsidRPr="00F01347">
              <w:rPr>
                <w:rFonts w:ascii="Verdana" w:hAnsi="Verdana"/>
                <w:iCs/>
                <w:sz w:val="16"/>
                <w:szCs w:val="16"/>
                <w:lang w:val="en-US"/>
              </w:rPr>
              <w:t>cysts</w:t>
            </w:r>
            <w:r w:rsidRPr="00F01347">
              <w:rPr>
                <w:rFonts w:ascii="Verdana" w:hAnsi="Verdana"/>
                <w:i/>
                <w:sz w:val="16"/>
                <w:szCs w:val="16"/>
                <w:lang w:val="en-US"/>
              </w:rPr>
              <w:t xml:space="preserve"> </w:t>
            </w:r>
            <w:r w:rsidRPr="00F01347">
              <w:rPr>
                <w:rFonts w:ascii="Verdana" w:hAnsi="Verdana"/>
                <w:sz w:val="16"/>
                <w:szCs w:val="16"/>
                <w:lang w:val="en-US"/>
              </w:rPr>
              <w:t>obtained in bibliographic references can be very useful for determining these.</w:t>
            </w:r>
          </w:p>
        </w:tc>
      </w:tr>
      <w:tr w:rsidR="0094549B" w:rsidRPr="00F01347" w14:paraId="4E533688" w14:textId="62E0F82E" w:rsidTr="0020509B">
        <w:tc>
          <w:tcPr>
            <w:tcW w:w="4675" w:type="dxa"/>
          </w:tcPr>
          <w:p w14:paraId="0382DC89" w14:textId="77777777" w:rsidR="0094549B" w:rsidRPr="00F01347" w:rsidRDefault="0094549B" w:rsidP="0094549B">
            <w:pPr>
              <w:pStyle w:val="texto0"/>
              <w:spacing w:after="88" w:line="232" w:lineRule="exact"/>
              <w:ind w:firstLine="0"/>
              <w:rPr>
                <w:rFonts w:ascii="Verdana" w:hAnsi="Verdana"/>
                <w:b/>
                <w:sz w:val="16"/>
                <w:szCs w:val="16"/>
              </w:rPr>
            </w:pPr>
            <w:r w:rsidRPr="00F01347">
              <w:rPr>
                <w:rFonts w:ascii="Verdana" w:hAnsi="Verdana"/>
                <w:b/>
                <w:sz w:val="16"/>
                <w:szCs w:val="16"/>
              </w:rPr>
              <w:t>B.2.3.6.3 Análisis de datos</w:t>
            </w:r>
          </w:p>
        </w:tc>
        <w:tc>
          <w:tcPr>
            <w:tcW w:w="4675" w:type="dxa"/>
          </w:tcPr>
          <w:p w14:paraId="6B9DDA4B" w14:textId="0F7DA26B" w:rsidR="0094549B" w:rsidRPr="00F01347" w:rsidRDefault="0094549B" w:rsidP="0094549B">
            <w:pPr>
              <w:pStyle w:val="texto0"/>
              <w:spacing w:after="88" w:line="232" w:lineRule="exact"/>
              <w:ind w:firstLine="0"/>
              <w:rPr>
                <w:rFonts w:ascii="Verdana" w:hAnsi="Verdana"/>
                <w:b/>
                <w:sz w:val="16"/>
                <w:szCs w:val="16"/>
                <w:lang w:val="en-US"/>
              </w:rPr>
            </w:pPr>
            <w:r w:rsidRPr="00F01347">
              <w:rPr>
                <w:rFonts w:ascii="Verdana" w:hAnsi="Verdana"/>
                <w:b/>
                <w:sz w:val="16"/>
                <w:szCs w:val="16"/>
                <w:lang w:val="en-US"/>
              </w:rPr>
              <w:t>B.2.3.6.3 Data analysis</w:t>
            </w:r>
          </w:p>
        </w:tc>
      </w:tr>
      <w:tr w:rsidR="0094549B" w:rsidRPr="00F01347" w14:paraId="1C354209" w14:textId="56FF3E7E" w:rsidTr="0020509B">
        <w:tc>
          <w:tcPr>
            <w:tcW w:w="4675" w:type="dxa"/>
          </w:tcPr>
          <w:p w14:paraId="695FD32D" w14:textId="77777777" w:rsidR="0094549B" w:rsidRPr="00F01347" w:rsidRDefault="0094549B" w:rsidP="0094549B">
            <w:pPr>
              <w:pStyle w:val="texto0"/>
              <w:spacing w:after="88" w:line="232" w:lineRule="exact"/>
              <w:ind w:firstLine="0"/>
              <w:rPr>
                <w:rFonts w:ascii="Verdana" w:hAnsi="Verdana"/>
                <w:sz w:val="16"/>
                <w:szCs w:val="16"/>
              </w:rPr>
            </w:pPr>
            <w:r w:rsidRPr="00F01347">
              <w:rPr>
                <w:rFonts w:ascii="Verdana" w:hAnsi="Verdana"/>
                <w:sz w:val="16"/>
                <w:szCs w:val="16"/>
              </w:rPr>
              <w:t>Registrar las siguientes características:</w:t>
            </w:r>
          </w:p>
        </w:tc>
        <w:tc>
          <w:tcPr>
            <w:tcW w:w="4675" w:type="dxa"/>
          </w:tcPr>
          <w:p w14:paraId="190D4343" w14:textId="61CC9CF0" w:rsidR="0094549B" w:rsidRPr="00F01347" w:rsidRDefault="0094549B" w:rsidP="0094549B">
            <w:pPr>
              <w:pStyle w:val="texto0"/>
              <w:spacing w:after="88" w:line="232" w:lineRule="exact"/>
              <w:ind w:firstLine="0"/>
              <w:rPr>
                <w:rFonts w:ascii="Verdana" w:hAnsi="Verdana"/>
                <w:sz w:val="16"/>
                <w:szCs w:val="16"/>
                <w:lang w:val="en-US"/>
              </w:rPr>
            </w:pPr>
            <w:r w:rsidRPr="00F01347">
              <w:rPr>
                <w:rFonts w:ascii="Verdana" w:hAnsi="Verdana"/>
                <w:sz w:val="16"/>
                <w:szCs w:val="16"/>
                <w:lang w:val="en-US"/>
              </w:rPr>
              <w:t>Register the following features:</w:t>
            </w:r>
          </w:p>
        </w:tc>
      </w:tr>
      <w:tr w:rsidR="0094549B" w:rsidRPr="00F01347" w14:paraId="3E8D5168" w14:textId="67A81020" w:rsidTr="0020509B">
        <w:tc>
          <w:tcPr>
            <w:tcW w:w="4675" w:type="dxa"/>
          </w:tcPr>
          <w:p w14:paraId="42332132" w14:textId="77777777" w:rsidR="0094549B" w:rsidRPr="00F01347" w:rsidRDefault="0094549B" w:rsidP="0094549B">
            <w:pPr>
              <w:pStyle w:val="texto0"/>
              <w:spacing w:after="88" w:line="23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tamaño y forma del quiste</w:t>
            </w:r>
          </w:p>
        </w:tc>
        <w:tc>
          <w:tcPr>
            <w:tcW w:w="4675" w:type="dxa"/>
          </w:tcPr>
          <w:p w14:paraId="357F8CFE" w14:textId="01AD9AA1" w:rsidR="0094549B" w:rsidRPr="00F01347" w:rsidRDefault="0094549B" w:rsidP="0094549B">
            <w:pPr>
              <w:pStyle w:val="texto0"/>
              <w:spacing w:after="88" w:line="23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size and shape of the cyst</w:t>
            </w:r>
          </w:p>
        </w:tc>
      </w:tr>
      <w:tr w:rsidR="0094549B" w:rsidRPr="00F01347" w14:paraId="0E192CE9" w14:textId="661EDEAA" w:rsidTr="0020509B">
        <w:tc>
          <w:tcPr>
            <w:tcW w:w="4675" w:type="dxa"/>
          </w:tcPr>
          <w:p w14:paraId="4E78DF3E" w14:textId="77777777" w:rsidR="0094549B" w:rsidRPr="00F01347" w:rsidRDefault="0094549B" w:rsidP="0094549B">
            <w:pPr>
              <w:pStyle w:val="texto0"/>
              <w:spacing w:after="88" w:line="23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presencia de núcleos</w:t>
            </w:r>
          </w:p>
        </w:tc>
        <w:tc>
          <w:tcPr>
            <w:tcW w:w="4675" w:type="dxa"/>
          </w:tcPr>
          <w:p w14:paraId="49511F96" w14:textId="7C11B421" w:rsidR="0094549B" w:rsidRPr="00F01347" w:rsidRDefault="0094549B" w:rsidP="0094549B">
            <w:pPr>
              <w:pStyle w:val="texto0"/>
              <w:spacing w:after="88" w:line="23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presence of nuclei</w:t>
            </w:r>
          </w:p>
        </w:tc>
      </w:tr>
      <w:tr w:rsidR="0094549B" w:rsidRPr="00F01347" w14:paraId="0961B9CE" w14:textId="74FF7A63" w:rsidTr="0020509B">
        <w:tc>
          <w:tcPr>
            <w:tcW w:w="4675" w:type="dxa"/>
          </w:tcPr>
          <w:p w14:paraId="76DCA2E2" w14:textId="77777777" w:rsidR="0094549B" w:rsidRPr="00F01347" w:rsidRDefault="0094549B" w:rsidP="0094549B">
            <w:pPr>
              <w:pStyle w:val="texto0"/>
              <w:spacing w:after="88" w:line="23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presencia de cuerpos </w:t>
            </w:r>
            <w:proofErr w:type="spellStart"/>
            <w:r w:rsidRPr="00F01347">
              <w:rPr>
                <w:rFonts w:ascii="Verdana" w:hAnsi="Verdana"/>
                <w:sz w:val="16"/>
                <w:szCs w:val="16"/>
              </w:rPr>
              <w:t>parabasales</w:t>
            </w:r>
            <w:proofErr w:type="spellEnd"/>
          </w:p>
        </w:tc>
        <w:tc>
          <w:tcPr>
            <w:tcW w:w="4675" w:type="dxa"/>
          </w:tcPr>
          <w:p w14:paraId="08072BB1" w14:textId="4E38452F" w:rsidR="0094549B" w:rsidRPr="00F01347" w:rsidRDefault="0094549B" w:rsidP="0094549B">
            <w:pPr>
              <w:pStyle w:val="texto0"/>
              <w:spacing w:after="88" w:line="23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presence of parabasal bodies</w:t>
            </w:r>
          </w:p>
        </w:tc>
      </w:tr>
      <w:tr w:rsidR="0094549B" w:rsidRPr="00F01347" w14:paraId="7E54FDCC" w14:textId="2CB329C1" w:rsidTr="0020509B">
        <w:tc>
          <w:tcPr>
            <w:tcW w:w="4675" w:type="dxa"/>
          </w:tcPr>
          <w:p w14:paraId="0521D780" w14:textId="77777777" w:rsidR="0094549B" w:rsidRPr="00F01347" w:rsidRDefault="0094549B" w:rsidP="0094549B">
            <w:pPr>
              <w:pStyle w:val="texto0"/>
              <w:spacing w:line="23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presencia de axonemas</w:t>
            </w:r>
          </w:p>
        </w:tc>
        <w:tc>
          <w:tcPr>
            <w:tcW w:w="4675" w:type="dxa"/>
          </w:tcPr>
          <w:p w14:paraId="705591A0" w14:textId="5FC2FBE8" w:rsidR="0094549B" w:rsidRPr="00F01347" w:rsidRDefault="0094549B" w:rsidP="0094549B">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presence of axonemes</w:t>
            </w:r>
          </w:p>
        </w:tc>
      </w:tr>
      <w:tr w:rsidR="0094549B" w:rsidRPr="00F01347" w14:paraId="22E04C0A" w14:textId="71C24DD4" w:rsidTr="0020509B">
        <w:tc>
          <w:tcPr>
            <w:tcW w:w="4675" w:type="dxa"/>
          </w:tcPr>
          <w:p w14:paraId="1D997312" w14:textId="77777777" w:rsidR="0094549B" w:rsidRPr="00F01347" w:rsidRDefault="0094549B" w:rsidP="0094549B">
            <w:pPr>
              <w:pStyle w:val="texto0"/>
              <w:spacing w:line="232" w:lineRule="exact"/>
              <w:ind w:firstLine="0"/>
              <w:rPr>
                <w:rFonts w:ascii="Verdana" w:hAnsi="Verdana"/>
                <w:sz w:val="16"/>
                <w:szCs w:val="16"/>
              </w:rPr>
            </w:pPr>
            <w:r w:rsidRPr="00F01347">
              <w:rPr>
                <w:rFonts w:ascii="Verdana" w:hAnsi="Verdana"/>
                <w:sz w:val="16"/>
                <w:szCs w:val="16"/>
              </w:rPr>
              <w:t xml:space="preserve">Registrar el número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determinados en el total del sedimento, correspondiente al volumen de agua pasado a través del material filtrante (380 L) de acuerdo con el procedimiento de muestreo descrito (punto B.2.1, de este Apéndice).</w:t>
            </w:r>
          </w:p>
        </w:tc>
        <w:tc>
          <w:tcPr>
            <w:tcW w:w="4675" w:type="dxa"/>
          </w:tcPr>
          <w:p w14:paraId="4630B155" w14:textId="69F99468" w:rsidR="0094549B" w:rsidRPr="00F01347" w:rsidRDefault="0094549B" w:rsidP="0094549B">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Record the number of </w:t>
            </w:r>
            <w:r w:rsidR="005D07D9" w:rsidRPr="00F01347">
              <w:rPr>
                <w:rFonts w:ascii="Verdana" w:hAnsi="Verdana"/>
                <w:i/>
                <w:sz w:val="16"/>
                <w:szCs w:val="16"/>
                <w:lang w:val="en-US"/>
              </w:rPr>
              <w:t xml:space="preserve">Giardia lamblia </w:t>
            </w:r>
            <w:r w:rsidR="005D07D9" w:rsidRPr="00F01347">
              <w:rPr>
                <w:rFonts w:ascii="Verdana" w:hAnsi="Verdana"/>
                <w:iCs/>
                <w:sz w:val="16"/>
                <w:szCs w:val="16"/>
                <w:lang w:val="en-US"/>
              </w:rPr>
              <w:t>cysts</w:t>
            </w:r>
            <w:r w:rsidRPr="00F01347">
              <w:rPr>
                <w:rFonts w:ascii="Verdana" w:hAnsi="Verdana"/>
                <w:i/>
                <w:sz w:val="16"/>
                <w:szCs w:val="16"/>
                <w:lang w:val="en-US"/>
              </w:rPr>
              <w:t xml:space="preserve"> </w:t>
            </w:r>
            <w:r w:rsidRPr="00F01347">
              <w:rPr>
                <w:rFonts w:ascii="Verdana" w:hAnsi="Verdana"/>
                <w:sz w:val="16"/>
                <w:szCs w:val="16"/>
                <w:lang w:val="en-US"/>
              </w:rPr>
              <w:t>determined in the total sediment, corresponding to the volume of water passed through the filter material (380 L) according to the sampling procedure described (point B.2.1, of this Appendix).</w:t>
            </w:r>
          </w:p>
        </w:tc>
      </w:tr>
      <w:tr w:rsidR="0094549B" w:rsidRPr="00F01347" w14:paraId="38EF17C0" w14:textId="68E539B5" w:rsidTr="0020509B">
        <w:tc>
          <w:tcPr>
            <w:tcW w:w="4675" w:type="dxa"/>
          </w:tcPr>
          <w:p w14:paraId="11D1CE96" w14:textId="77777777" w:rsidR="0094549B" w:rsidRPr="00F01347" w:rsidRDefault="0094549B" w:rsidP="0094549B">
            <w:pPr>
              <w:pStyle w:val="texto0"/>
              <w:spacing w:line="210" w:lineRule="exact"/>
              <w:ind w:firstLine="0"/>
              <w:rPr>
                <w:rFonts w:ascii="Verdana" w:hAnsi="Verdana"/>
                <w:b/>
                <w:sz w:val="16"/>
                <w:szCs w:val="16"/>
              </w:rPr>
            </w:pPr>
            <w:r w:rsidRPr="00F01347">
              <w:rPr>
                <w:rFonts w:ascii="Verdana" w:hAnsi="Verdana"/>
                <w:b/>
                <w:sz w:val="16"/>
                <w:szCs w:val="16"/>
              </w:rPr>
              <w:t>B.2.3.7 Informe de prueba</w:t>
            </w:r>
          </w:p>
        </w:tc>
        <w:tc>
          <w:tcPr>
            <w:tcW w:w="4675" w:type="dxa"/>
          </w:tcPr>
          <w:p w14:paraId="3CE3BF27" w14:textId="770C7ADA" w:rsidR="0094549B" w:rsidRPr="00F01347" w:rsidRDefault="0094549B" w:rsidP="0094549B">
            <w:pPr>
              <w:pStyle w:val="texto0"/>
              <w:spacing w:line="210" w:lineRule="exact"/>
              <w:ind w:firstLine="0"/>
              <w:rPr>
                <w:rFonts w:ascii="Verdana" w:hAnsi="Verdana"/>
                <w:b/>
                <w:sz w:val="16"/>
                <w:szCs w:val="16"/>
                <w:lang w:val="en-US"/>
              </w:rPr>
            </w:pPr>
            <w:r w:rsidRPr="00F01347">
              <w:rPr>
                <w:rFonts w:ascii="Verdana" w:hAnsi="Verdana"/>
                <w:b/>
                <w:sz w:val="16"/>
                <w:szCs w:val="16"/>
                <w:lang w:val="en-US"/>
              </w:rPr>
              <w:t>B.2.3.7 Test report</w:t>
            </w:r>
          </w:p>
        </w:tc>
      </w:tr>
      <w:tr w:rsidR="0094549B" w:rsidRPr="00F01347" w14:paraId="0611F5BB" w14:textId="472FA161" w:rsidTr="0020509B">
        <w:tc>
          <w:tcPr>
            <w:tcW w:w="4675" w:type="dxa"/>
          </w:tcPr>
          <w:p w14:paraId="476EF0A0"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rPr>
              <w:t xml:space="preserve">Reportar ausencia o presencia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en el volumen total de la muestra filtrada.</w:t>
            </w:r>
          </w:p>
        </w:tc>
        <w:tc>
          <w:tcPr>
            <w:tcW w:w="4675" w:type="dxa"/>
          </w:tcPr>
          <w:p w14:paraId="094EED58" w14:textId="156A9B81"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 xml:space="preserve">Report absence or presence of </w:t>
            </w:r>
            <w:r w:rsidR="005D07D9" w:rsidRPr="00F01347">
              <w:rPr>
                <w:rFonts w:ascii="Verdana" w:hAnsi="Verdana"/>
                <w:i/>
                <w:sz w:val="16"/>
                <w:szCs w:val="16"/>
                <w:lang w:val="en-US"/>
              </w:rPr>
              <w:t xml:space="preserve">Giardia lamblia </w:t>
            </w:r>
            <w:r w:rsidR="005D07D9" w:rsidRPr="00F01347">
              <w:rPr>
                <w:rFonts w:ascii="Verdana" w:hAnsi="Verdana"/>
                <w:iCs/>
                <w:sz w:val="16"/>
                <w:szCs w:val="16"/>
                <w:lang w:val="en-US"/>
              </w:rPr>
              <w:t>cysts</w:t>
            </w:r>
            <w:r w:rsidRPr="00F01347">
              <w:rPr>
                <w:rFonts w:ascii="Verdana" w:hAnsi="Verdana"/>
                <w:i/>
                <w:sz w:val="16"/>
                <w:szCs w:val="16"/>
                <w:lang w:val="en-US"/>
              </w:rPr>
              <w:t xml:space="preserve"> </w:t>
            </w:r>
            <w:r w:rsidRPr="00F01347">
              <w:rPr>
                <w:rFonts w:ascii="Verdana" w:hAnsi="Verdana"/>
                <w:sz w:val="16"/>
                <w:szCs w:val="16"/>
                <w:lang w:val="en-US"/>
              </w:rPr>
              <w:t>in the total volume of the filtered sample.</w:t>
            </w:r>
          </w:p>
        </w:tc>
      </w:tr>
      <w:tr w:rsidR="0094549B" w:rsidRPr="00F01347" w14:paraId="56ED6D95" w14:textId="0C06AFE2" w:rsidTr="0020509B">
        <w:tc>
          <w:tcPr>
            <w:tcW w:w="4675" w:type="dxa"/>
          </w:tcPr>
          <w:p w14:paraId="7A0CC4F9" w14:textId="77777777" w:rsidR="0094549B" w:rsidRPr="00F01347" w:rsidRDefault="0094549B" w:rsidP="0094549B">
            <w:pPr>
              <w:pStyle w:val="texto0"/>
              <w:spacing w:line="210" w:lineRule="exact"/>
              <w:ind w:firstLine="0"/>
              <w:rPr>
                <w:rFonts w:ascii="Verdana" w:hAnsi="Verdana"/>
                <w:b/>
                <w:sz w:val="16"/>
                <w:szCs w:val="16"/>
                <w:lang w:val="en-US"/>
              </w:rPr>
            </w:pPr>
            <w:r w:rsidRPr="00F01347">
              <w:rPr>
                <w:rFonts w:ascii="Verdana" w:hAnsi="Verdana"/>
                <w:b/>
                <w:sz w:val="16"/>
                <w:szCs w:val="16"/>
                <w:lang w:val="en-US"/>
              </w:rPr>
              <w:t xml:space="preserve">B.2.3.8 </w:t>
            </w:r>
            <w:proofErr w:type="spellStart"/>
            <w:r w:rsidRPr="00F01347">
              <w:rPr>
                <w:rFonts w:ascii="Verdana" w:hAnsi="Verdana"/>
                <w:b/>
                <w:sz w:val="16"/>
                <w:szCs w:val="16"/>
                <w:lang w:val="en-US"/>
              </w:rPr>
              <w:t>Referencias</w:t>
            </w:r>
            <w:proofErr w:type="spellEnd"/>
          </w:p>
        </w:tc>
        <w:tc>
          <w:tcPr>
            <w:tcW w:w="4675" w:type="dxa"/>
          </w:tcPr>
          <w:p w14:paraId="77963356" w14:textId="73F38641" w:rsidR="0094549B" w:rsidRPr="00F01347" w:rsidRDefault="0094549B" w:rsidP="0094549B">
            <w:pPr>
              <w:pStyle w:val="texto0"/>
              <w:spacing w:line="210" w:lineRule="exact"/>
              <w:ind w:firstLine="0"/>
              <w:rPr>
                <w:rFonts w:ascii="Verdana" w:hAnsi="Verdana"/>
                <w:b/>
                <w:sz w:val="16"/>
                <w:szCs w:val="16"/>
                <w:lang w:val="en-US"/>
              </w:rPr>
            </w:pPr>
            <w:r w:rsidRPr="00F01347">
              <w:rPr>
                <w:rFonts w:ascii="Verdana" w:hAnsi="Verdana"/>
                <w:b/>
                <w:sz w:val="16"/>
                <w:szCs w:val="16"/>
                <w:lang w:val="en-US"/>
              </w:rPr>
              <w:t>B.2.3.8 References</w:t>
            </w:r>
          </w:p>
        </w:tc>
      </w:tr>
      <w:tr w:rsidR="0094549B" w:rsidRPr="00F01347" w14:paraId="0BA4F41D" w14:textId="18682A4F" w:rsidTr="0020509B">
        <w:tc>
          <w:tcPr>
            <w:tcW w:w="4675" w:type="dxa"/>
          </w:tcPr>
          <w:p w14:paraId="6D91C0F9"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lang w:val="en-US"/>
              </w:rPr>
              <w:t xml:space="preserve">Standard Methods for the Examination of Water and Wastewater. </w:t>
            </w:r>
            <w:r w:rsidRPr="00F01347">
              <w:rPr>
                <w:rFonts w:ascii="Verdana" w:hAnsi="Verdana"/>
                <w:sz w:val="16"/>
                <w:szCs w:val="16"/>
              </w:rPr>
              <w:t xml:space="preserve">9711.B </w:t>
            </w:r>
            <w:proofErr w:type="spellStart"/>
            <w:r w:rsidRPr="00F01347">
              <w:rPr>
                <w:rFonts w:ascii="Verdana" w:hAnsi="Verdana"/>
                <w:sz w:val="16"/>
                <w:szCs w:val="16"/>
              </w:rPr>
              <w:t>Giardia</w:t>
            </w:r>
            <w:proofErr w:type="spellEnd"/>
            <w:r w:rsidRPr="00F01347">
              <w:rPr>
                <w:rFonts w:ascii="Verdana" w:hAnsi="Verdana"/>
                <w:sz w:val="16"/>
                <w:szCs w:val="16"/>
              </w:rPr>
              <w:t xml:space="preserve"> </w:t>
            </w:r>
            <w:proofErr w:type="spellStart"/>
            <w:r w:rsidRPr="00F01347">
              <w:rPr>
                <w:rFonts w:ascii="Verdana" w:hAnsi="Verdana"/>
                <w:sz w:val="16"/>
                <w:szCs w:val="16"/>
              </w:rPr>
              <w:t>lamblia</w:t>
            </w:r>
            <w:proofErr w:type="spellEnd"/>
            <w:r w:rsidRPr="00F01347">
              <w:rPr>
                <w:rFonts w:ascii="Verdana" w:hAnsi="Verdana"/>
                <w:sz w:val="16"/>
                <w:szCs w:val="16"/>
              </w:rPr>
              <w:t>. 18a Ed.1992.</w:t>
            </w:r>
          </w:p>
        </w:tc>
        <w:tc>
          <w:tcPr>
            <w:tcW w:w="4675" w:type="dxa"/>
          </w:tcPr>
          <w:p w14:paraId="6F2BDD1B" w14:textId="3B1CF1C8"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Standard Methods for the Examination of Water and Wastewater. 9711.B Giardia lamblia</w:t>
            </w:r>
            <w:r w:rsidR="003E1BA9" w:rsidRPr="00F01347">
              <w:rPr>
                <w:rFonts w:ascii="Verdana" w:hAnsi="Verdana"/>
                <w:sz w:val="16"/>
                <w:szCs w:val="16"/>
                <w:lang w:val="en-US"/>
              </w:rPr>
              <w:t>.</w:t>
            </w:r>
            <w:r w:rsidRPr="00F01347">
              <w:rPr>
                <w:rFonts w:ascii="Verdana" w:hAnsi="Verdana"/>
                <w:sz w:val="16"/>
                <w:szCs w:val="16"/>
                <w:lang w:val="en-US"/>
              </w:rPr>
              <w:t xml:space="preserve"> 18th Ed.1992.</w:t>
            </w:r>
          </w:p>
        </w:tc>
      </w:tr>
      <w:tr w:rsidR="0094549B" w:rsidRPr="00F01347" w14:paraId="740C8DF6" w14:textId="08012E4F" w:rsidTr="0020509B">
        <w:tc>
          <w:tcPr>
            <w:tcW w:w="4675" w:type="dxa"/>
          </w:tcPr>
          <w:p w14:paraId="5235C67D" w14:textId="77777777" w:rsidR="0094549B" w:rsidRPr="00F01347" w:rsidRDefault="0094549B" w:rsidP="0094549B">
            <w:pPr>
              <w:pStyle w:val="texto0"/>
              <w:spacing w:line="210" w:lineRule="exact"/>
              <w:ind w:firstLine="0"/>
              <w:jc w:val="center"/>
              <w:rPr>
                <w:rFonts w:ascii="Verdana" w:hAnsi="Verdana"/>
                <w:b/>
                <w:sz w:val="16"/>
                <w:szCs w:val="16"/>
              </w:rPr>
            </w:pPr>
            <w:r w:rsidRPr="00F01347">
              <w:rPr>
                <w:rFonts w:ascii="Verdana" w:hAnsi="Verdana"/>
                <w:b/>
                <w:sz w:val="16"/>
                <w:szCs w:val="16"/>
              </w:rPr>
              <w:t xml:space="preserve">B.2.4 TÉCNICAS DE INMUNOFLUORESCENCIA PARA LA DETERMINACIÓN DE QUISTES DE </w:t>
            </w:r>
            <w:proofErr w:type="spellStart"/>
            <w:r w:rsidRPr="00F01347">
              <w:rPr>
                <w:rFonts w:ascii="Verdana" w:hAnsi="Verdana"/>
                <w:b/>
                <w:i/>
                <w:sz w:val="16"/>
                <w:szCs w:val="16"/>
              </w:rPr>
              <w:t>Giardia</w:t>
            </w:r>
            <w:proofErr w:type="spellEnd"/>
            <w:r w:rsidRPr="00F01347">
              <w:rPr>
                <w:rFonts w:ascii="Verdana" w:hAnsi="Verdana"/>
                <w:b/>
                <w:i/>
                <w:sz w:val="16"/>
                <w:szCs w:val="16"/>
              </w:rPr>
              <w:t xml:space="preserve"> </w:t>
            </w:r>
            <w:proofErr w:type="spellStart"/>
            <w:r w:rsidRPr="00F01347">
              <w:rPr>
                <w:rFonts w:ascii="Verdana" w:hAnsi="Verdana"/>
                <w:b/>
                <w:i/>
                <w:sz w:val="16"/>
                <w:szCs w:val="16"/>
              </w:rPr>
              <w:t>lamblia</w:t>
            </w:r>
            <w:proofErr w:type="spellEnd"/>
            <w:r w:rsidRPr="00F01347">
              <w:rPr>
                <w:rFonts w:ascii="Verdana" w:hAnsi="Verdana"/>
                <w:b/>
                <w:sz w:val="16"/>
                <w:szCs w:val="16"/>
              </w:rPr>
              <w:t xml:space="preserve"> EN MUESTRAS FILTRADAS DE AGUA PARA USO Y CONSUMO HUMANO</w:t>
            </w:r>
          </w:p>
        </w:tc>
        <w:tc>
          <w:tcPr>
            <w:tcW w:w="4675" w:type="dxa"/>
          </w:tcPr>
          <w:p w14:paraId="305A4754" w14:textId="642839E1" w:rsidR="0094549B" w:rsidRPr="00F01347" w:rsidRDefault="0094549B" w:rsidP="0094549B">
            <w:pPr>
              <w:pStyle w:val="texto0"/>
              <w:spacing w:line="210" w:lineRule="exact"/>
              <w:ind w:firstLine="0"/>
              <w:jc w:val="center"/>
              <w:rPr>
                <w:rFonts w:ascii="Verdana" w:hAnsi="Verdana"/>
                <w:b/>
                <w:sz w:val="16"/>
                <w:szCs w:val="16"/>
                <w:lang w:val="en-US"/>
              </w:rPr>
            </w:pPr>
            <w:r w:rsidRPr="00F01347">
              <w:rPr>
                <w:rFonts w:ascii="Verdana" w:hAnsi="Verdana"/>
                <w:b/>
                <w:sz w:val="16"/>
                <w:szCs w:val="16"/>
                <w:lang w:val="en-US"/>
              </w:rPr>
              <w:t xml:space="preserve">B.2.4 IMMUNOFLUORESCENCE TECHNIQUES FOR THE DETERMINATION OF </w:t>
            </w:r>
            <w:r w:rsidR="005D07D9" w:rsidRPr="00F01347">
              <w:rPr>
                <w:rFonts w:ascii="Verdana" w:hAnsi="Verdana"/>
                <w:b/>
                <w:i/>
                <w:sz w:val="16"/>
                <w:szCs w:val="16"/>
                <w:lang w:val="en-US"/>
              </w:rPr>
              <w:t xml:space="preserve">Giardia lamblia </w:t>
            </w:r>
            <w:r w:rsidR="00934E96" w:rsidRPr="00F01347">
              <w:rPr>
                <w:rFonts w:ascii="Verdana" w:hAnsi="Verdana"/>
                <w:b/>
                <w:iCs/>
                <w:sz w:val="16"/>
                <w:szCs w:val="16"/>
                <w:lang w:val="en-US"/>
              </w:rPr>
              <w:t>CYSTS</w:t>
            </w:r>
            <w:r w:rsidR="00934E96" w:rsidRPr="00F01347">
              <w:rPr>
                <w:rFonts w:ascii="Verdana" w:hAnsi="Verdana"/>
                <w:b/>
                <w:i/>
                <w:sz w:val="16"/>
                <w:szCs w:val="16"/>
                <w:lang w:val="en-US"/>
              </w:rPr>
              <w:t xml:space="preserve"> </w:t>
            </w:r>
            <w:r w:rsidRPr="00F01347">
              <w:rPr>
                <w:rFonts w:ascii="Verdana" w:hAnsi="Verdana"/>
                <w:b/>
                <w:sz w:val="16"/>
                <w:szCs w:val="16"/>
                <w:lang w:val="en-US"/>
              </w:rPr>
              <w:t>IN FILTERED WATER SAMPLES FOR HUMAN USE AND CONSUMPTION</w:t>
            </w:r>
          </w:p>
        </w:tc>
      </w:tr>
      <w:tr w:rsidR="0094549B" w:rsidRPr="00F01347" w14:paraId="76A30090" w14:textId="64D2E96A" w:rsidTr="0020509B">
        <w:tc>
          <w:tcPr>
            <w:tcW w:w="4675" w:type="dxa"/>
          </w:tcPr>
          <w:p w14:paraId="20AF0D6E"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rPr>
              <w:t xml:space="preserve">De manera adicional al método microbiológico por microscopia óptica con tinción con </w:t>
            </w:r>
            <w:proofErr w:type="spellStart"/>
            <w:r w:rsidRPr="00F01347">
              <w:rPr>
                <w:rFonts w:ascii="Verdana" w:hAnsi="Verdana"/>
                <w:sz w:val="16"/>
                <w:szCs w:val="16"/>
              </w:rPr>
              <w:t>lugol</w:t>
            </w:r>
            <w:proofErr w:type="spellEnd"/>
            <w:r w:rsidRPr="00F01347">
              <w:rPr>
                <w:rFonts w:ascii="Verdana" w:hAnsi="Verdana"/>
                <w:sz w:val="16"/>
                <w:szCs w:val="16"/>
              </w:rPr>
              <w:t xml:space="preserve">,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pueden utilizarse las técnicas de inmunofluorescencia.</w:t>
            </w:r>
          </w:p>
        </w:tc>
        <w:tc>
          <w:tcPr>
            <w:tcW w:w="4675" w:type="dxa"/>
          </w:tcPr>
          <w:p w14:paraId="0A517834" w14:textId="240647F8"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In addition to the microbiological method by optical microscopy with Lugol staining</w:t>
            </w:r>
            <w:r w:rsidR="003E1BA9" w:rsidRPr="00F01347">
              <w:rPr>
                <w:rFonts w:ascii="Verdana" w:hAnsi="Verdana"/>
                <w:sz w:val="16"/>
                <w:szCs w:val="16"/>
                <w:lang w:val="en-US"/>
              </w:rPr>
              <w:t>,</w:t>
            </w:r>
            <w:r w:rsidRPr="00F01347">
              <w:rPr>
                <w:rFonts w:ascii="Verdana" w:hAnsi="Verdana"/>
                <w:sz w:val="16"/>
                <w:szCs w:val="16"/>
                <w:lang w:val="en-US"/>
              </w:rPr>
              <w:t xml:space="preserve"> for the determination of </w:t>
            </w:r>
            <w:r w:rsidR="005D07D9" w:rsidRPr="00F01347">
              <w:rPr>
                <w:rFonts w:ascii="Verdana" w:hAnsi="Verdana"/>
                <w:i/>
                <w:sz w:val="16"/>
                <w:szCs w:val="16"/>
                <w:lang w:val="en-US"/>
              </w:rPr>
              <w:t xml:space="preserve">Giardia lamblia </w:t>
            </w:r>
            <w:r w:rsidR="005D07D9" w:rsidRPr="00F01347">
              <w:rPr>
                <w:rFonts w:ascii="Verdana" w:hAnsi="Verdana"/>
                <w:iCs/>
                <w:sz w:val="16"/>
                <w:szCs w:val="16"/>
                <w:lang w:val="en-US"/>
              </w:rPr>
              <w:t>cysts</w:t>
            </w:r>
            <w:r w:rsidRPr="00F01347">
              <w:rPr>
                <w:rFonts w:ascii="Verdana" w:hAnsi="Verdana"/>
                <w:i/>
                <w:sz w:val="16"/>
                <w:szCs w:val="16"/>
                <w:lang w:val="en-US"/>
              </w:rPr>
              <w:t xml:space="preserve"> </w:t>
            </w:r>
            <w:r w:rsidRPr="00F01347">
              <w:rPr>
                <w:rFonts w:ascii="Verdana" w:hAnsi="Verdana"/>
                <w:sz w:val="16"/>
                <w:szCs w:val="16"/>
                <w:lang w:val="en-US"/>
              </w:rPr>
              <w:t>immunofluorescence techniques can be used.</w:t>
            </w:r>
          </w:p>
        </w:tc>
      </w:tr>
      <w:tr w:rsidR="0094549B" w:rsidRPr="00F01347" w14:paraId="1178ED9C" w14:textId="74183854" w:rsidTr="0020509B">
        <w:tc>
          <w:tcPr>
            <w:tcW w:w="4675" w:type="dxa"/>
          </w:tcPr>
          <w:p w14:paraId="665978B7"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rPr>
              <w:t xml:space="preserve">Las técnicas de inmunofluorescencia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evolucionan rápidamente debido a los avances científicos y tecnológicos, por lo cual no se establece un método específico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en el presente apartado.</w:t>
            </w:r>
          </w:p>
        </w:tc>
        <w:tc>
          <w:tcPr>
            <w:tcW w:w="4675" w:type="dxa"/>
          </w:tcPr>
          <w:p w14:paraId="6035EEA4" w14:textId="729AF3CD" w:rsidR="0094549B" w:rsidRPr="00F01347" w:rsidRDefault="00934E96"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The i</w:t>
            </w:r>
            <w:r w:rsidR="0094549B" w:rsidRPr="00F01347">
              <w:rPr>
                <w:rFonts w:ascii="Verdana" w:hAnsi="Verdana"/>
                <w:sz w:val="16"/>
                <w:szCs w:val="16"/>
                <w:lang w:val="en-US"/>
              </w:rPr>
              <w:t xml:space="preserve">mmunofluorescence techniques for the determination of </w:t>
            </w:r>
            <w:r w:rsidR="005D07D9" w:rsidRPr="00F01347">
              <w:rPr>
                <w:rFonts w:ascii="Verdana" w:hAnsi="Verdana"/>
                <w:i/>
                <w:sz w:val="16"/>
                <w:szCs w:val="16"/>
                <w:lang w:val="en-US"/>
              </w:rPr>
              <w:t xml:space="preserve">Giardia lamblia </w:t>
            </w:r>
            <w:r w:rsidR="005D07D9" w:rsidRPr="00F01347">
              <w:rPr>
                <w:rFonts w:ascii="Verdana" w:hAnsi="Verdana"/>
                <w:iCs/>
                <w:sz w:val="16"/>
                <w:szCs w:val="16"/>
                <w:lang w:val="en-US"/>
              </w:rPr>
              <w:t>cysts</w:t>
            </w:r>
            <w:r w:rsidR="0094549B" w:rsidRPr="00F01347">
              <w:rPr>
                <w:rFonts w:ascii="Verdana" w:hAnsi="Verdana"/>
                <w:i/>
                <w:sz w:val="16"/>
                <w:szCs w:val="16"/>
                <w:lang w:val="en-US"/>
              </w:rPr>
              <w:t xml:space="preserve"> </w:t>
            </w:r>
            <w:r w:rsidR="0094549B" w:rsidRPr="00F01347">
              <w:rPr>
                <w:rFonts w:ascii="Verdana" w:hAnsi="Verdana"/>
                <w:sz w:val="16"/>
                <w:szCs w:val="16"/>
                <w:lang w:val="en-US"/>
              </w:rPr>
              <w:t xml:space="preserve">evolve rapidly due to scientific and technological advances, which is why a specific method for the determination of </w:t>
            </w:r>
            <w:r w:rsidR="0094549B" w:rsidRPr="00F01347">
              <w:rPr>
                <w:rFonts w:ascii="Verdana" w:hAnsi="Verdana"/>
                <w:i/>
                <w:sz w:val="16"/>
                <w:szCs w:val="16"/>
                <w:lang w:val="en-US"/>
              </w:rPr>
              <w:t xml:space="preserve">Giardia </w:t>
            </w:r>
            <w:r w:rsidR="002E2A3B" w:rsidRPr="00F01347">
              <w:rPr>
                <w:rFonts w:ascii="Verdana" w:hAnsi="Verdana"/>
                <w:i/>
                <w:sz w:val="16"/>
                <w:szCs w:val="16"/>
                <w:lang w:val="en-US"/>
              </w:rPr>
              <w:t xml:space="preserve">lamblia </w:t>
            </w:r>
            <w:r w:rsidR="0094549B" w:rsidRPr="00F01347">
              <w:rPr>
                <w:rFonts w:ascii="Verdana" w:hAnsi="Verdana"/>
                <w:i/>
                <w:sz w:val="16"/>
                <w:szCs w:val="16"/>
                <w:lang w:val="en-US"/>
              </w:rPr>
              <w:t xml:space="preserve">cysts </w:t>
            </w:r>
            <w:r w:rsidR="0094549B" w:rsidRPr="00F01347">
              <w:rPr>
                <w:rFonts w:ascii="Verdana" w:hAnsi="Verdana"/>
                <w:iCs/>
                <w:sz w:val="16"/>
                <w:szCs w:val="16"/>
                <w:lang w:val="en-US"/>
              </w:rPr>
              <w:t>is not established</w:t>
            </w:r>
            <w:r w:rsidR="0094549B" w:rsidRPr="00F01347">
              <w:rPr>
                <w:rFonts w:ascii="Verdana" w:hAnsi="Verdana"/>
                <w:i/>
                <w:sz w:val="16"/>
                <w:szCs w:val="16"/>
                <w:lang w:val="en-US"/>
              </w:rPr>
              <w:t xml:space="preserve"> </w:t>
            </w:r>
            <w:r w:rsidR="0094549B" w:rsidRPr="00F01347">
              <w:rPr>
                <w:rFonts w:ascii="Verdana" w:hAnsi="Verdana"/>
                <w:sz w:val="16"/>
                <w:szCs w:val="16"/>
                <w:lang w:val="en-US"/>
              </w:rPr>
              <w:t>in this section.</w:t>
            </w:r>
          </w:p>
        </w:tc>
      </w:tr>
      <w:tr w:rsidR="0094549B" w:rsidRPr="00F01347" w14:paraId="232806F4" w14:textId="14A328C7" w:rsidTr="0020509B">
        <w:tc>
          <w:tcPr>
            <w:tcW w:w="4675" w:type="dxa"/>
          </w:tcPr>
          <w:p w14:paraId="67402714"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rPr>
              <w:t xml:space="preserve">Sin embargo, el usuario que utilice técnicas de inmunofluorescencia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en muestras filtradas de agua y </w:t>
            </w:r>
            <w:r w:rsidRPr="00F01347">
              <w:rPr>
                <w:rFonts w:ascii="Verdana" w:hAnsi="Verdana"/>
                <w:sz w:val="16"/>
                <w:szCs w:val="16"/>
              </w:rPr>
              <w:lastRenderedPageBreak/>
              <w:t>consumo humano posterior a la potabilización para el cumplimiento de esta Norma, deberá consultar la literatura actual y especializada para las técnicas y metodologías más recientes. Entre los métodos que pueden ser utilizados son los siguientes:</w:t>
            </w:r>
          </w:p>
        </w:tc>
        <w:tc>
          <w:tcPr>
            <w:tcW w:w="4675" w:type="dxa"/>
          </w:tcPr>
          <w:p w14:paraId="52600407" w14:textId="7649EACD"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lastRenderedPageBreak/>
              <w:t xml:space="preserve">However, the user who uses immunofluorescence techniques for the determination of </w:t>
            </w:r>
            <w:r w:rsidR="005D07D9" w:rsidRPr="00F01347">
              <w:rPr>
                <w:rFonts w:ascii="Verdana" w:hAnsi="Verdana"/>
                <w:i/>
                <w:sz w:val="16"/>
                <w:szCs w:val="16"/>
                <w:lang w:val="en-US"/>
              </w:rPr>
              <w:t xml:space="preserve">Giardia lamblia </w:t>
            </w:r>
            <w:r w:rsidR="005D07D9" w:rsidRPr="00F01347">
              <w:rPr>
                <w:rFonts w:ascii="Verdana" w:hAnsi="Verdana"/>
                <w:iCs/>
                <w:sz w:val="16"/>
                <w:szCs w:val="16"/>
                <w:lang w:val="en-US"/>
              </w:rPr>
              <w:t>cysts</w:t>
            </w:r>
            <w:r w:rsidRPr="00F01347">
              <w:rPr>
                <w:rFonts w:ascii="Verdana" w:hAnsi="Verdana"/>
                <w:i/>
                <w:sz w:val="16"/>
                <w:szCs w:val="16"/>
                <w:lang w:val="en-US"/>
              </w:rPr>
              <w:t xml:space="preserve"> </w:t>
            </w:r>
            <w:r w:rsidRPr="00F01347">
              <w:rPr>
                <w:rFonts w:ascii="Verdana" w:hAnsi="Verdana"/>
                <w:sz w:val="16"/>
                <w:szCs w:val="16"/>
                <w:lang w:val="en-US"/>
              </w:rPr>
              <w:t xml:space="preserve">in filtered water samples and human consumption </w:t>
            </w:r>
            <w:r w:rsidRPr="00F01347">
              <w:rPr>
                <w:rFonts w:ascii="Verdana" w:hAnsi="Verdana"/>
                <w:sz w:val="16"/>
                <w:szCs w:val="16"/>
                <w:lang w:val="en-US"/>
              </w:rPr>
              <w:lastRenderedPageBreak/>
              <w:t xml:space="preserve">after purification to comply with this Standard, </w:t>
            </w:r>
            <w:r w:rsidR="004A6BE5" w:rsidRPr="00F01347">
              <w:rPr>
                <w:rFonts w:ascii="Verdana" w:hAnsi="Verdana"/>
                <w:sz w:val="16"/>
                <w:szCs w:val="16"/>
                <w:lang w:val="en-US"/>
              </w:rPr>
              <w:t>one</w:t>
            </w:r>
            <w:r w:rsidRPr="00F01347">
              <w:rPr>
                <w:rFonts w:ascii="Verdana" w:hAnsi="Verdana"/>
                <w:sz w:val="16"/>
                <w:szCs w:val="16"/>
                <w:lang w:val="en-US"/>
              </w:rPr>
              <w:t xml:space="preserve"> must consult the current and specialized literature for the most recent techniques and methodologies. Among the methods that can be used are the following:</w:t>
            </w:r>
          </w:p>
        </w:tc>
      </w:tr>
      <w:tr w:rsidR="0094549B" w:rsidRPr="00F01347" w14:paraId="70E06CEA" w14:textId="656DAE16" w:rsidTr="0020509B">
        <w:tc>
          <w:tcPr>
            <w:tcW w:w="4675" w:type="dxa"/>
          </w:tcPr>
          <w:p w14:paraId="519F8C91" w14:textId="77777777"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lastRenderedPageBreak/>
              <w:t>●</w:t>
            </w:r>
            <w:r w:rsidRPr="00F01347">
              <w:rPr>
                <w:rFonts w:ascii="Verdana" w:hAnsi="Verdana"/>
                <w:sz w:val="16"/>
                <w:szCs w:val="16"/>
                <w:lang w:val="en-US"/>
              </w:rPr>
              <w:tab/>
              <w:t>EPA. 1995. ICR Protozoan Method for Detecting Giardia Cysts and Cryptosporidium Oocysts in Water by a Fluorescent Antibody Procedure</w:t>
            </w:r>
          </w:p>
        </w:tc>
        <w:tc>
          <w:tcPr>
            <w:tcW w:w="4675" w:type="dxa"/>
          </w:tcPr>
          <w:p w14:paraId="3BBC7190" w14:textId="4944C50B"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EPA. 1995. ICR Protozoan Method for Detecting Giardia Cysts and Cryptosporidium Oocysts in Water by a Fluorescent Antibody Procedure</w:t>
            </w:r>
          </w:p>
        </w:tc>
      </w:tr>
      <w:tr w:rsidR="0094549B" w:rsidRPr="00F01347" w14:paraId="02667DEB" w14:textId="119B4991" w:rsidTr="0020509B">
        <w:tc>
          <w:tcPr>
            <w:tcW w:w="4675" w:type="dxa"/>
          </w:tcPr>
          <w:p w14:paraId="6CBF4FD5" w14:textId="77777777"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w:t>
            </w:r>
            <w:r w:rsidRPr="00F01347">
              <w:rPr>
                <w:rFonts w:ascii="Verdana" w:hAnsi="Verdana"/>
                <w:sz w:val="16"/>
                <w:szCs w:val="16"/>
                <w:lang w:val="en-US"/>
              </w:rPr>
              <w:tab/>
              <w:t>EPA. 2005. Method 1623: Cryptosporidium and Giardia in Water by filtration/IMS/FA</w:t>
            </w:r>
          </w:p>
        </w:tc>
        <w:tc>
          <w:tcPr>
            <w:tcW w:w="4675" w:type="dxa"/>
          </w:tcPr>
          <w:p w14:paraId="0D61F39B" w14:textId="6E480B5D"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EPA. 2005. Method 1623: Cryptosporidium and Giardia in Water by filtration/IMS/FA</w:t>
            </w:r>
          </w:p>
        </w:tc>
      </w:tr>
      <w:tr w:rsidR="0094549B" w:rsidRPr="00F01347" w14:paraId="65BC9867" w14:textId="6FFC5494" w:rsidTr="0020509B">
        <w:tc>
          <w:tcPr>
            <w:tcW w:w="4675" w:type="dxa"/>
          </w:tcPr>
          <w:p w14:paraId="30F94443"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rPr>
              <w:t xml:space="preserve">La aplicación de técnicas de inmunofluorescencia es a menudo realizada a partir de kits disponibles comercialmente por ejemplo, entre otros, el kit </w:t>
            </w:r>
            <w:proofErr w:type="spellStart"/>
            <w:r w:rsidRPr="00F01347">
              <w:rPr>
                <w:rFonts w:ascii="Verdana" w:hAnsi="Verdana"/>
                <w:sz w:val="16"/>
                <w:szCs w:val="16"/>
              </w:rPr>
              <w:t>EasyStainTM</w:t>
            </w:r>
            <w:proofErr w:type="spellEnd"/>
            <w:r w:rsidRPr="00F01347">
              <w:rPr>
                <w:rFonts w:ascii="Verdana" w:hAnsi="Verdana"/>
                <w:sz w:val="16"/>
                <w:szCs w:val="16"/>
              </w:rPr>
              <w:t xml:space="preserve"> /BTF- A </w:t>
            </w:r>
            <w:proofErr w:type="spellStart"/>
            <w:r w:rsidRPr="00F01347">
              <w:rPr>
                <w:rFonts w:ascii="Verdana" w:hAnsi="Verdana"/>
                <w:sz w:val="16"/>
                <w:szCs w:val="16"/>
              </w:rPr>
              <w:t>Biomerieux</w:t>
            </w:r>
            <w:proofErr w:type="spellEnd"/>
            <w:r w:rsidRPr="00F01347">
              <w:rPr>
                <w:rFonts w:ascii="Verdana" w:hAnsi="Verdana"/>
                <w:sz w:val="16"/>
                <w:szCs w:val="16"/>
              </w:rPr>
              <w:t xml:space="preserve"> Company, por lo cual el usuario que utilice kits disponibles comercialmente para realizar técnicas de Inmunofluorescencia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en muestras de agua y consumo humano posterior a la potabilización para el cumplimiento de esta Norma, debe de asegurarse que el kit utilizado incluya  cuando menos:</w:t>
            </w:r>
          </w:p>
        </w:tc>
        <w:tc>
          <w:tcPr>
            <w:tcW w:w="4675" w:type="dxa"/>
          </w:tcPr>
          <w:p w14:paraId="3E45A5D4" w14:textId="7BF2F552"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 xml:space="preserve">The application of immunofluorescence techniques is often carried out using commercially available kits, for example, among others, the </w:t>
            </w:r>
            <w:proofErr w:type="spellStart"/>
            <w:r w:rsidRPr="00F01347">
              <w:rPr>
                <w:rFonts w:ascii="Verdana" w:hAnsi="Verdana"/>
                <w:sz w:val="16"/>
                <w:szCs w:val="16"/>
                <w:lang w:val="en-US"/>
              </w:rPr>
              <w:t>EasyStainTM</w:t>
            </w:r>
            <w:proofErr w:type="spellEnd"/>
            <w:r w:rsidRPr="00F01347">
              <w:rPr>
                <w:rFonts w:ascii="Verdana" w:hAnsi="Verdana"/>
                <w:sz w:val="16"/>
                <w:szCs w:val="16"/>
                <w:lang w:val="en-US"/>
              </w:rPr>
              <w:t xml:space="preserve"> /BTF kit - A </w:t>
            </w:r>
            <w:proofErr w:type="spellStart"/>
            <w:r w:rsidRPr="00F01347">
              <w:rPr>
                <w:rFonts w:ascii="Verdana" w:hAnsi="Verdana"/>
                <w:sz w:val="16"/>
                <w:szCs w:val="16"/>
                <w:lang w:val="en-US"/>
              </w:rPr>
              <w:t>Biomerieux</w:t>
            </w:r>
            <w:proofErr w:type="spellEnd"/>
            <w:r w:rsidRPr="00F01347">
              <w:rPr>
                <w:rFonts w:ascii="Verdana" w:hAnsi="Verdana"/>
                <w:sz w:val="16"/>
                <w:szCs w:val="16"/>
                <w:lang w:val="en-US"/>
              </w:rPr>
              <w:t xml:space="preserve"> Company, so the user who uses commercially available kits to perform Immunofluorescence techniques for the determination </w:t>
            </w:r>
            <w:r w:rsidR="005D07D9" w:rsidRPr="00F01347">
              <w:rPr>
                <w:rFonts w:ascii="Verdana" w:hAnsi="Verdana"/>
                <w:i/>
                <w:sz w:val="16"/>
                <w:szCs w:val="16"/>
                <w:lang w:val="en-US"/>
              </w:rPr>
              <w:t xml:space="preserve">Giardia lamblia </w:t>
            </w:r>
            <w:r w:rsidR="005D07D9" w:rsidRPr="00F01347">
              <w:rPr>
                <w:rFonts w:ascii="Verdana" w:hAnsi="Verdana"/>
                <w:iCs/>
                <w:sz w:val="16"/>
                <w:szCs w:val="16"/>
                <w:lang w:val="en-US"/>
              </w:rPr>
              <w:t>cysts</w:t>
            </w:r>
            <w:r w:rsidRPr="00F01347">
              <w:rPr>
                <w:rFonts w:ascii="Verdana" w:hAnsi="Verdana"/>
                <w:i/>
                <w:sz w:val="16"/>
                <w:szCs w:val="16"/>
                <w:lang w:val="en-US"/>
              </w:rPr>
              <w:t xml:space="preserve"> </w:t>
            </w:r>
            <w:r w:rsidRPr="00F01347">
              <w:rPr>
                <w:rFonts w:ascii="Verdana" w:hAnsi="Verdana"/>
                <w:sz w:val="16"/>
                <w:szCs w:val="16"/>
                <w:lang w:val="en-US"/>
              </w:rPr>
              <w:t>in water samples and human consumption after purification to comply with this Standard, it must be ensured that the kit used includes at least:</w:t>
            </w:r>
          </w:p>
        </w:tc>
      </w:tr>
      <w:tr w:rsidR="0094549B" w:rsidRPr="00F01347" w14:paraId="31D9B4F6" w14:textId="27F71E7D" w:rsidTr="0020509B">
        <w:tc>
          <w:tcPr>
            <w:tcW w:w="4675" w:type="dxa"/>
          </w:tcPr>
          <w:p w14:paraId="0F2FA500"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Reactivo de inmunofluorescencia altamente específico para detectar la presencia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i/>
                <w:sz w:val="16"/>
                <w:szCs w:val="16"/>
              </w:rPr>
              <w:t xml:space="preserve"> </w:t>
            </w:r>
            <w:r w:rsidRPr="00F01347">
              <w:rPr>
                <w:rFonts w:ascii="Verdana" w:hAnsi="Verdana"/>
                <w:sz w:val="16"/>
                <w:szCs w:val="16"/>
              </w:rPr>
              <w:t>en muestras de agua</w:t>
            </w:r>
          </w:p>
        </w:tc>
        <w:tc>
          <w:tcPr>
            <w:tcW w:w="4675" w:type="dxa"/>
          </w:tcPr>
          <w:p w14:paraId="4E596897" w14:textId="2E01796F"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Highly specific immunofluorescence reagent to detect the presence of </w:t>
            </w:r>
            <w:r w:rsidR="005D07D9" w:rsidRPr="00F01347">
              <w:rPr>
                <w:rFonts w:ascii="Verdana" w:hAnsi="Verdana"/>
                <w:i/>
                <w:sz w:val="16"/>
                <w:szCs w:val="16"/>
                <w:lang w:val="en-US"/>
              </w:rPr>
              <w:t xml:space="preserve">Giardia lamblia </w:t>
            </w:r>
            <w:r w:rsidR="005D07D9" w:rsidRPr="00F01347">
              <w:rPr>
                <w:rFonts w:ascii="Verdana" w:hAnsi="Verdana"/>
                <w:iCs/>
                <w:sz w:val="16"/>
                <w:szCs w:val="16"/>
                <w:lang w:val="en-US"/>
              </w:rPr>
              <w:t>cysts</w:t>
            </w:r>
            <w:r w:rsidRPr="00F01347">
              <w:rPr>
                <w:rFonts w:ascii="Verdana" w:hAnsi="Verdana"/>
                <w:i/>
                <w:sz w:val="16"/>
                <w:szCs w:val="16"/>
                <w:lang w:val="en-US"/>
              </w:rPr>
              <w:t xml:space="preserve"> </w:t>
            </w:r>
            <w:r w:rsidRPr="00F01347">
              <w:rPr>
                <w:rFonts w:ascii="Verdana" w:hAnsi="Verdana"/>
                <w:sz w:val="16"/>
                <w:szCs w:val="16"/>
                <w:lang w:val="en-US"/>
              </w:rPr>
              <w:t>in water samples</w:t>
            </w:r>
          </w:p>
        </w:tc>
      </w:tr>
      <w:tr w:rsidR="0094549B" w:rsidRPr="00F01347" w14:paraId="05ADC29D" w14:textId="26BCA15D" w:rsidTr="0020509B">
        <w:tc>
          <w:tcPr>
            <w:tcW w:w="4675" w:type="dxa"/>
          </w:tcPr>
          <w:p w14:paraId="0800118B"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Anticuerpos monoclonales </w:t>
            </w:r>
            <w:proofErr w:type="spellStart"/>
            <w:r w:rsidRPr="00F01347">
              <w:rPr>
                <w:rFonts w:ascii="Verdana" w:hAnsi="Verdana"/>
                <w:sz w:val="16"/>
                <w:szCs w:val="16"/>
              </w:rPr>
              <w:t>IgGI</w:t>
            </w:r>
            <w:proofErr w:type="spellEnd"/>
            <w:r w:rsidRPr="00F01347">
              <w:rPr>
                <w:rFonts w:ascii="Verdana" w:hAnsi="Verdana"/>
                <w:sz w:val="16"/>
                <w:szCs w:val="16"/>
              </w:rPr>
              <w:t xml:space="preserve"> altamente purificados para evitar reacciones cruzadas</w:t>
            </w:r>
          </w:p>
        </w:tc>
        <w:tc>
          <w:tcPr>
            <w:tcW w:w="4675" w:type="dxa"/>
          </w:tcPr>
          <w:p w14:paraId="2D873312" w14:textId="425EC0D9"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 xml:space="preserve">● Highly purified </w:t>
            </w:r>
            <w:r w:rsidRPr="00F01347">
              <w:rPr>
                <w:rFonts w:ascii="Verdana" w:hAnsi="Verdana"/>
                <w:sz w:val="16"/>
                <w:szCs w:val="16"/>
                <w:lang w:val="en-US"/>
              </w:rPr>
              <w:tab/>
              <w:t>IgGI monoclonal antibodies to avoid cross-reactions</w:t>
            </w:r>
          </w:p>
        </w:tc>
      </w:tr>
      <w:tr w:rsidR="0094549B" w:rsidRPr="00F01347" w14:paraId="52A9C17A" w14:textId="4210D7CE" w:rsidTr="0020509B">
        <w:tc>
          <w:tcPr>
            <w:tcW w:w="4675" w:type="dxa"/>
          </w:tcPr>
          <w:p w14:paraId="760FAE97"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Control positivo en una concentración aproximada de 200 a 400 quistes por µl</w:t>
            </w:r>
          </w:p>
        </w:tc>
        <w:tc>
          <w:tcPr>
            <w:tcW w:w="4675" w:type="dxa"/>
          </w:tcPr>
          <w:p w14:paraId="1B33C404" w14:textId="4819275D"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Positive control at a concentration of approximately 200 to 400 cysts per µl</w:t>
            </w:r>
          </w:p>
        </w:tc>
      </w:tr>
      <w:tr w:rsidR="0094549B" w:rsidRPr="00F01347" w14:paraId="50F13A03" w14:textId="3DD90B9A" w:rsidTr="0020509B">
        <w:tc>
          <w:tcPr>
            <w:tcW w:w="4675" w:type="dxa"/>
          </w:tcPr>
          <w:p w14:paraId="55705171" w14:textId="77777777"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w:t>
            </w:r>
            <w:r w:rsidRPr="00F01347">
              <w:rPr>
                <w:rFonts w:ascii="Verdana" w:hAnsi="Verdana"/>
                <w:sz w:val="16"/>
                <w:szCs w:val="16"/>
                <w:lang w:val="en-US"/>
              </w:rPr>
              <w:tab/>
            </w:r>
            <w:proofErr w:type="spellStart"/>
            <w:r w:rsidRPr="00F01347">
              <w:rPr>
                <w:rFonts w:ascii="Verdana" w:hAnsi="Verdana"/>
                <w:sz w:val="16"/>
                <w:szCs w:val="16"/>
                <w:lang w:val="en-US"/>
              </w:rPr>
              <w:t>Aprobación</w:t>
            </w:r>
            <w:proofErr w:type="spellEnd"/>
            <w:r w:rsidRPr="00F01347">
              <w:rPr>
                <w:rFonts w:ascii="Verdana" w:hAnsi="Verdana"/>
                <w:sz w:val="16"/>
                <w:szCs w:val="16"/>
                <w:lang w:val="en-US"/>
              </w:rPr>
              <w:t xml:space="preserve"> de </w:t>
            </w:r>
            <w:proofErr w:type="spellStart"/>
            <w:r w:rsidRPr="00F01347">
              <w:rPr>
                <w:rFonts w:ascii="Verdana" w:hAnsi="Verdana"/>
                <w:sz w:val="16"/>
                <w:szCs w:val="16"/>
                <w:lang w:val="en-US"/>
              </w:rPr>
              <w:t>organismos</w:t>
            </w:r>
            <w:proofErr w:type="spellEnd"/>
            <w:r w:rsidRPr="00F01347">
              <w:rPr>
                <w:rFonts w:ascii="Verdana" w:hAnsi="Verdana"/>
                <w:sz w:val="16"/>
                <w:szCs w:val="16"/>
                <w:lang w:val="en-US"/>
              </w:rPr>
              <w:t xml:space="preserve"> </w:t>
            </w:r>
            <w:proofErr w:type="spellStart"/>
            <w:r w:rsidRPr="00F01347">
              <w:rPr>
                <w:rFonts w:ascii="Verdana" w:hAnsi="Verdana"/>
                <w:sz w:val="16"/>
                <w:szCs w:val="16"/>
                <w:lang w:val="en-US"/>
              </w:rPr>
              <w:t>internacionales</w:t>
            </w:r>
            <w:proofErr w:type="spellEnd"/>
            <w:r w:rsidRPr="00F01347">
              <w:rPr>
                <w:rFonts w:ascii="Verdana" w:hAnsi="Verdana"/>
                <w:sz w:val="16"/>
                <w:szCs w:val="16"/>
                <w:lang w:val="en-US"/>
              </w:rPr>
              <w:t xml:space="preserve"> </w:t>
            </w:r>
            <w:proofErr w:type="spellStart"/>
            <w:r w:rsidRPr="00F01347">
              <w:rPr>
                <w:rFonts w:ascii="Verdana" w:hAnsi="Verdana"/>
                <w:sz w:val="16"/>
                <w:szCs w:val="16"/>
                <w:lang w:val="en-US"/>
              </w:rPr>
              <w:t>como</w:t>
            </w:r>
            <w:proofErr w:type="spellEnd"/>
            <w:r w:rsidRPr="00F01347">
              <w:rPr>
                <w:rFonts w:ascii="Verdana" w:hAnsi="Verdana"/>
                <w:sz w:val="16"/>
                <w:szCs w:val="16"/>
                <w:lang w:val="en-US"/>
              </w:rPr>
              <w:t xml:space="preserve"> United States Environmental Protection Agency (Method EPA 1622/1623), United Kingdom Drinking Water Inspectorate </w:t>
            </w:r>
            <w:proofErr w:type="gramStart"/>
            <w:r w:rsidRPr="00F01347">
              <w:rPr>
                <w:rFonts w:ascii="Verdana" w:hAnsi="Verdana"/>
                <w:sz w:val="16"/>
                <w:szCs w:val="16"/>
                <w:lang w:val="en-US"/>
              </w:rPr>
              <w:t>o</w:t>
            </w:r>
            <w:proofErr w:type="gramEnd"/>
            <w:r w:rsidRPr="00F01347">
              <w:rPr>
                <w:rFonts w:ascii="Verdana" w:hAnsi="Verdana"/>
                <w:sz w:val="16"/>
                <w:szCs w:val="16"/>
                <w:lang w:val="en-US"/>
              </w:rPr>
              <w:t xml:space="preserve"> Japanese Water work Association</w:t>
            </w:r>
          </w:p>
        </w:tc>
        <w:tc>
          <w:tcPr>
            <w:tcW w:w="4675" w:type="dxa"/>
          </w:tcPr>
          <w:p w14:paraId="4A9EE5D1" w14:textId="0807EF28"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Agency approval _ international such as United States Environmental Protection Agency (Method EPA 1622/1623), United Kingdom Drinking Water Inspectorate or Japanese Water work Association</w:t>
            </w:r>
          </w:p>
        </w:tc>
      </w:tr>
      <w:tr w:rsidR="0094549B" w:rsidRPr="00F01347" w14:paraId="523DF0E0" w14:textId="5736C0AB" w:rsidTr="0020509B">
        <w:tc>
          <w:tcPr>
            <w:tcW w:w="4675" w:type="dxa"/>
          </w:tcPr>
          <w:p w14:paraId="514B5663"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rPr>
              <w:t>Las referencias a marcas específicas se incluyen sólo como ejemplos y no implican aprobación de los productos. Dicha referencia no excluye el uso de otros proveedores o fabricantes. Las referencias específicas pretenden únicamente representar especificaciones adecuadas para los artículos.</w:t>
            </w:r>
          </w:p>
        </w:tc>
        <w:tc>
          <w:tcPr>
            <w:tcW w:w="4675" w:type="dxa"/>
          </w:tcPr>
          <w:p w14:paraId="6A8A407A" w14:textId="336E993D"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References to specific brands are included as examples only and do not imply endorsement of the products. This reference does not exclude the use of other suppliers or manufacturers. Specific references are intended only to represent appropriate specifications for the items.</w:t>
            </w:r>
          </w:p>
        </w:tc>
      </w:tr>
      <w:tr w:rsidR="0094549B" w:rsidRPr="00F01347" w14:paraId="3CFE4F22" w14:textId="54D9CF0B" w:rsidTr="0020509B">
        <w:tc>
          <w:tcPr>
            <w:tcW w:w="4675" w:type="dxa"/>
          </w:tcPr>
          <w:p w14:paraId="2D4EA435" w14:textId="77777777" w:rsidR="0094549B" w:rsidRPr="00F01347" w:rsidRDefault="0094549B" w:rsidP="0094549B">
            <w:pPr>
              <w:pStyle w:val="texto0"/>
              <w:spacing w:line="210" w:lineRule="exact"/>
              <w:ind w:firstLine="0"/>
              <w:jc w:val="center"/>
              <w:rPr>
                <w:rFonts w:ascii="Verdana" w:hAnsi="Verdana"/>
                <w:b/>
                <w:sz w:val="16"/>
                <w:szCs w:val="16"/>
              </w:rPr>
            </w:pPr>
            <w:r w:rsidRPr="00F01347">
              <w:rPr>
                <w:rFonts w:ascii="Verdana" w:hAnsi="Verdana"/>
                <w:b/>
                <w:sz w:val="16"/>
                <w:szCs w:val="16"/>
              </w:rPr>
              <w:t xml:space="preserve">B.2.5 TÉCNICAS DE BIOLOGÍA MOLECULAR PARA LA DETERMINACIÓN DE QUISTES DE </w:t>
            </w:r>
            <w:proofErr w:type="spellStart"/>
            <w:r w:rsidRPr="00F01347">
              <w:rPr>
                <w:rFonts w:ascii="Verdana" w:hAnsi="Verdana"/>
                <w:b/>
                <w:i/>
                <w:sz w:val="16"/>
                <w:szCs w:val="16"/>
              </w:rPr>
              <w:t>Giardia</w:t>
            </w:r>
            <w:proofErr w:type="spellEnd"/>
            <w:r w:rsidRPr="00F01347">
              <w:rPr>
                <w:rFonts w:ascii="Verdana" w:hAnsi="Verdana"/>
                <w:b/>
                <w:i/>
                <w:sz w:val="16"/>
                <w:szCs w:val="16"/>
              </w:rPr>
              <w:t xml:space="preserve"> </w:t>
            </w:r>
            <w:proofErr w:type="spellStart"/>
            <w:r w:rsidRPr="00F01347">
              <w:rPr>
                <w:rFonts w:ascii="Verdana" w:hAnsi="Verdana"/>
                <w:b/>
                <w:i/>
                <w:sz w:val="16"/>
                <w:szCs w:val="16"/>
              </w:rPr>
              <w:t>lamblia</w:t>
            </w:r>
            <w:proofErr w:type="spellEnd"/>
            <w:r w:rsidRPr="00F01347">
              <w:rPr>
                <w:rFonts w:ascii="Verdana" w:hAnsi="Verdana"/>
                <w:b/>
                <w:sz w:val="16"/>
                <w:szCs w:val="16"/>
              </w:rPr>
              <w:t xml:space="preserve"> EN MUESTRAS FILTRADAS DE AGUA PARA USO Y CONSUMO HUMANO</w:t>
            </w:r>
          </w:p>
        </w:tc>
        <w:tc>
          <w:tcPr>
            <w:tcW w:w="4675" w:type="dxa"/>
          </w:tcPr>
          <w:p w14:paraId="42E8CBA3" w14:textId="4B9E1E21" w:rsidR="0094549B" w:rsidRPr="00F01347" w:rsidRDefault="0094549B" w:rsidP="0094549B">
            <w:pPr>
              <w:pStyle w:val="texto0"/>
              <w:spacing w:line="210" w:lineRule="exact"/>
              <w:ind w:firstLine="0"/>
              <w:jc w:val="center"/>
              <w:rPr>
                <w:rFonts w:ascii="Verdana" w:hAnsi="Verdana"/>
                <w:b/>
                <w:sz w:val="16"/>
                <w:szCs w:val="16"/>
                <w:lang w:val="en-US"/>
              </w:rPr>
            </w:pPr>
            <w:r w:rsidRPr="00F01347">
              <w:rPr>
                <w:rFonts w:ascii="Verdana" w:hAnsi="Verdana"/>
                <w:b/>
                <w:sz w:val="16"/>
                <w:szCs w:val="16"/>
                <w:lang w:val="en-US"/>
              </w:rPr>
              <w:t xml:space="preserve">B.2.5 MOLECULAR BIOLOGY TECHNIQUES FOR THE DETERMINATION OF </w:t>
            </w:r>
            <w:r w:rsidR="005D07D9" w:rsidRPr="00F01347">
              <w:rPr>
                <w:rFonts w:ascii="Verdana" w:hAnsi="Verdana"/>
                <w:b/>
                <w:i/>
                <w:sz w:val="16"/>
                <w:szCs w:val="16"/>
                <w:lang w:val="en-US"/>
              </w:rPr>
              <w:t xml:space="preserve">Giardia lamblia </w:t>
            </w:r>
            <w:r w:rsidR="00AF64B8" w:rsidRPr="00F01347">
              <w:rPr>
                <w:rFonts w:ascii="Verdana" w:hAnsi="Verdana"/>
                <w:b/>
                <w:iCs/>
                <w:sz w:val="16"/>
                <w:szCs w:val="16"/>
                <w:lang w:val="en-US"/>
              </w:rPr>
              <w:t>CYSTS</w:t>
            </w:r>
            <w:r w:rsidRPr="00F01347">
              <w:rPr>
                <w:rFonts w:ascii="Verdana" w:hAnsi="Verdana"/>
                <w:b/>
                <w:i/>
                <w:sz w:val="16"/>
                <w:szCs w:val="16"/>
                <w:lang w:val="en-US"/>
              </w:rPr>
              <w:t xml:space="preserve"> </w:t>
            </w:r>
            <w:r w:rsidRPr="00F01347">
              <w:rPr>
                <w:rFonts w:ascii="Verdana" w:hAnsi="Verdana"/>
                <w:b/>
                <w:sz w:val="16"/>
                <w:szCs w:val="16"/>
                <w:lang w:val="en-US"/>
              </w:rPr>
              <w:t>IN FILTERED WATER SAMPLES FOR HUMAN USE AND CONSUMPTION</w:t>
            </w:r>
          </w:p>
        </w:tc>
      </w:tr>
      <w:tr w:rsidR="0094549B" w:rsidRPr="00F01347" w14:paraId="3013D402" w14:textId="227D9CE6" w:rsidTr="0020509B">
        <w:tc>
          <w:tcPr>
            <w:tcW w:w="4675" w:type="dxa"/>
          </w:tcPr>
          <w:p w14:paraId="032EA8F1"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rPr>
              <w:t xml:space="preserve">De manera adicional al método microbiológico por microscopia óptica con tinción con </w:t>
            </w:r>
            <w:proofErr w:type="spellStart"/>
            <w:r w:rsidRPr="00F01347">
              <w:rPr>
                <w:rFonts w:ascii="Verdana" w:hAnsi="Verdana"/>
                <w:sz w:val="16"/>
                <w:szCs w:val="16"/>
              </w:rPr>
              <w:t>lugol</w:t>
            </w:r>
            <w:proofErr w:type="spellEnd"/>
            <w:r w:rsidRPr="00F01347">
              <w:rPr>
                <w:rFonts w:ascii="Verdana" w:hAnsi="Verdana"/>
                <w:sz w:val="16"/>
                <w:szCs w:val="16"/>
              </w:rPr>
              <w:t xml:space="preserve">,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pueden utilizarse las técnicas de biología molecular.</w:t>
            </w:r>
          </w:p>
        </w:tc>
        <w:tc>
          <w:tcPr>
            <w:tcW w:w="4675" w:type="dxa"/>
          </w:tcPr>
          <w:p w14:paraId="47F8E08C" w14:textId="7CE27953"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In addition to the microbiological method by optical microscopy with Lugol staining</w:t>
            </w:r>
            <w:r w:rsidR="003E1BA9" w:rsidRPr="00F01347">
              <w:rPr>
                <w:rFonts w:ascii="Verdana" w:hAnsi="Verdana"/>
                <w:sz w:val="16"/>
                <w:szCs w:val="16"/>
                <w:lang w:val="en-US"/>
              </w:rPr>
              <w:t>,</w:t>
            </w:r>
            <w:r w:rsidRPr="00F01347">
              <w:rPr>
                <w:rFonts w:ascii="Verdana" w:hAnsi="Verdana"/>
                <w:sz w:val="16"/>
                <w:szCs w:val="16"/>
                <w:lang w:val="en-US"/>
              </w:rPr>
              <w:t xml:space="preserve"> for the determination of </w:t>
            </w:r>
            <w:r w:rsidR="005D07D9" w:rsidRPr="00F01347">
              <w:rPr>
                <w:rFonts w:ascii="Verdana" w:hAnsi="Verdana"/>
                <w:i/>
                <w:sz w:val="16"/>
                <w:szCs w:val="16"/>
                <w:lang w:val="en-US"/>
              </w:rPr>
              <w:t xml:space="preserve">Giardia lamblia </w:t>
            </w:r>
            <w:r w:rsidR="005D07D9" w:rsidRPr="00F01347">
              <w:rPr>
                <w:rFonts w:ascii="Verdana" w:hAnsi="Verdana"/>
                <w:iCs/>
                <w:sz w:val="16"/>
                <w:szCs w:val="16"/>
                <w:lang w:val="en-US"/>
              </w:rPr>
              <w:t>cysts</w:t>
            </w:r>
            <w:r w:rsidRPr="00F01347">
              <w:rPr>
                <w:rFonts w:ascii="Verdana" w:hAnsi="Verdana"/>
                <w:i/>
                <w:sz w:val="16"/>
                <w:szCs w:val="16"/>
                <w:lang w:val="en-US"/>
              </w:rPr>
              <w:t xml:space="preserve"> </w:t>
            </w:r>
            <w:r w:rsidRPr="00F01347">
              <w:rPr>
                <w:rFonts w:ascii="Verdana" w:hAnsi="Verdana"/>
                <w:sz w:val="16"/>
                <w:szCs w:val="16"/>
                <w:lang w:val="en-US"/>
              </w:rPr>
              <w:t>molecular biology techniques can be used.</w:t>
            </w:r>
          </w:p>
        </w:tc>
      </w:tr>
      <w:tr w:rsidR="0094549B" w:rsidRPr="00F01347" w14:paraId="6F6F7EB2" w14:textId="647B7881" w:rsidTr="0020509B">
        <w:tc>
          <w:tcPr>
            <w:tcW w:w="4675" w:type="dxa"/>
          </w:tcPr>
          <w:p w14:paraId="03B91BE3"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rPr>
              <w:t xml:space="preserve">Las técnicas de biología molecular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evolucionan rápidamente debido a los avances científicos y tecnológicos, por lo cual no se establece un método específico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en el presente punto.</w:t>
            </w:r>
          </w:p>
        </w:tc>
        <w:tc>
          <w:tcPr>
            <w:tcW w:w="4675" w:type="dxa"/>
          </w:tcPr>
          <w:p w14:paraId="6FCAEC17" w14:textId="054E4F2C"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 xml:space="preserve">Molecular biology techniques for the determination of </w:t>
            </w:r>
            <w:r w:rsidR="005D07D9" w:rsidRPr="00F01347">
              <w:rPr>
                <w:rFonts w:ascii="Verdana" w:hAnsi="Verdana"/>
                <w:i/>
                <w:sz w:val="16"/>
                <w:szCs w:val="16"/>
                <w:lang w:val="en-US"/>
              </w:rPr>
              <w:t>Giardia lamblia cysts</w:t>
            </w:r>
            <w:r w:rsidRPr="00F01347">
              <w:rPr>
                <w:rFonts w:ascii="Verdana" w:hAnsi="Verdana"/>
                <w:i/>
                <w:sz w:val="16"/>
                <w:szCs w:val="16"/>
                <w:lang w:val="en-US"/>
              </w:rPr>
              <w:t xml:space="preserve"> </w:t>
            </w:r>
            <w:r w:rsidRPr="00F01347">
              <w:rPr>
                <w:rFonts w:ascii="Verdana" w:hAnsi="Verdana"/>
                <w:sz w:val="16"/>
                <w:szCs w:val="16"/>
                <w:lang w:val="en-US"/>
              </w:rPr>
              <w:t xml:space="preserve">evolve rapidly due to scientific and technological advances, which is why a specific method for the determination of </w:t>
            </w:r>
            <w:r w:rsidRPr="00F01347">
              <w:rPr>
                <w:rFonts w:ascii="Verdana" w:hAnsi="Verdana"/>
                <w:i/>
                <w:sz w:val="16"/>
                <w:szCs w:val="16"/>
                <w:lang w:val="en-US"/>
              </w:rPr>
              <w:t xml:space="preserve">Giardia </w:t>
            </w:r>
            <w:r w:rsidR="00AF64B8" w:rsidRPr="00F01347">
              <w:rPr>
                <w:rFonts w:ascii="Verdana" w:hAnsi="Verdana"/>
                <w:i/>
                <w:sz w:val="16"/>
                <w:szCs w:val="16"/>
                <w:lang w:val="en-US"/>
              </w:rPr>
              <w:t>lamblia</w:t>
            </w:r>
            <w:r w:rsidR="00AF64B8" w:rsidRPr="00F01347">
              <w:rPr>
                <w:rFonts w:ascii="Verdana" w:hAnsi="Verdana"/>
                <w:iCs/>
                <w:sz w:val="16"/>
                <w:szCs w:val="16"/>
                <w:lang w:val="en-US"/>
              </w:rPr>
              <w:t xml:space="preserve"> </w:t>
            </w:r>
            <w:r w:rsidRPr="00F01347">
              <w:rPr>
                <w:rFonts w:ascii="Verdana" w:hAnsi="Verdana"/>
                <w:iCs/>
                <w:sz w:val="16"/>
                <w:szCs w:val="16"/>
                <w:lang w:val="en-US"/>
              </w:rPr>
              <w:t>cysts is not established</w:t>
            </w:r>
            <w:r w:rsidRPr="00F01347">
              <w:rPr>
                <w:rFonts w:ascii="Verdana" w:hAnsi="Verdana"/>
                <w:i/>
                <w:sz w:val="16"/>
                <w:szCs w:val="16"/>
                <w:lang w:val="en-US"/>
              </w:rPr>
              <w:t xml:space="preserve"> </w:t>
            </w:r>
            <w:r w:rsidRPr="00F01347">
              <w:rPr>
                <w:rFonts w:ascii="Verdana" w:hAnsi="Verdana"/>
                <w:sz w:val="16"/>
                <w:szCs w:val="16"/>
                <w:lang w:val="en-US"/>
              </w:rPr>
              <w:t>at the present point.</w:t>
            </w:r>
          </w:p>
        </w:tc>
      </w:tr>
      <w:tr w:rsidR="0094549B" w:rsidRPr="00F01347" w14:paraId="2B92ED20" w14:textId="147EF22B" w:rsidTr="0020509B">
        <w:tc>
          <w:tcPr>
            <w:tcW w:w="4675" w:type="dxa"/>
          </w:tcPr>
          <w:p w14:paraId="235C6B73"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rPr>
              <w:t xml:space="preserve">Sin embargo, el usuario que utilice técnicas de biología molecular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en muestras filtradas de agua y consumo </w:t>
            </w:r>
            <w:r w:rsidRPr="00F01347">
              <w:rPr>
                <w:rFonts w:ascii="Verdana" w:hAnsi="Verdana"/>
                <w:sz w:val="16"/>
                <w:szCs w:val="16"/>
              </w:rPr>
              <w:lastRenderedPageBreak/>
              <w:t>humano posterior a la potabilización para el cumplimiento de esta Norma, deberá consultar la literatura actual y especializada para las técnicas y metodologías más recientes.</w:t>
            </w:r>
          </w:p>
        </w:tc>
        <w:tc>
          <w:tcPr>
            <w:tcW w:w="4675" w:type="dxa"/>
          </w:tcPr>
          <w:p w14:paraId="651D2AAB" w14:textId="1AA77DF3"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lastRenderedPageBreak/>
              <w:t xml:space="preserve">However, the user who uses molecular biology techniques for the determination of </w:t>
            </w:r>
            <w:r w:rsidR="005D07D9" w:rsidRPr="00F01347">
              <w:rPr>
                <w:rFonts w:ascii="Verdana" w:hAnsi="Verdana"/>
                <w:i/>
                <w:sz w:val="16"/>
                <w:szCs w:val="16"/>
                <w:lang w:val="en-US"/>
              </w:rPr>
              <w:t xml:space="preserve">Giardia lamblia </w:t>
            </w:r>
            <w:r w:rsidR="005D07D9" w:rsidRPr="00F01347">
              <w:rPr>
                <w:rFonts w:ascii="Verdana" w:hAnsi="Verdana"/>
                <w:iCs/>
                <w:sz w:val="16"/>
                <w:szCs w:val="16"/>
                <w:lang w:val="en-US"/>
              </w:rPr>
              <w:t>cysts</w:t>
            </w:r>
            <w:r w:rsidRPr="00F01347">
              <w:rPr>
                <w:rFonts w:ascii="Verdana" w:hAnsi="Verdana"/>
                <w:i/>
                <w:sz w:val="16"/>
                <w:szCs w:val="16"/>
                <w:lang w:val="en-US"/>
              </w:rPr>
              <w:t xml:space="preserve"> </w:t>
            </w:r>
            <w:r w:rsidRPr="00F01347">
              <w:rPr>
                <w:rFonts w:ascii="Verdana" w:hAnsi="Verdana"/>
                <w:sz w:val="16"/>
                <w:szCs w:val="16"/>
                <w:lang w:val="en-US"/>
              </w:rPr>
              <w:t xml:space="preserve">in filtered water samples and human consumption </w:t>
            </w:r>
            <w:r w:rsidRPr="00F01347">
              <w:rPr>
                <w:rFonts w:ascii="Verdana" w:hAnsi="Verdana"/>
                <w:sz w:val="16"/>
                <w:szCs w:val="16"/>
                <w:lang w:val="en-US"/>
              </w:rPr>
              <w:lastRenderedPageBreak/>
              <w:t xml:space="preserve">after purification to comply with this Standard, </w:t>
            </w:r>
            <w:r w:rsidR="004A6BE5" w:rsidRPr="00F01347">
              <w:rPr>
                <w:rFonts w:ascii="Verdana" w:hAnsi="Verdana"/>
                <w:sz w:val="16"/>
                <w:szCs w:val="16"/>
                <w:lang w:val="en-US"/>
              </w:rPr>
              <w:t>one</w:t>
            </w:r>
            <w:r w:rsidRPr="00F01347">
              <w:rPr>
                <w:rFonts w:ascii="Verdana" w:hAnsi="Verdana"/>
                <w:sz w:val="16"/>
                <w:szCs w:val="16"/>
                <w:lang w:val="en-US"/>
              </w:rPr>
              <w:t xml:space="preserve"> must consult the current and specialized literature for the most recent techniques and methodologies.</w:t>
            </w:r>
          </w:p>
        </w:tc>
      </w:tr>
      <w:tr w:rsidR="0094549B" w:rsidRPr="00F01347" w14:paraId="0F2FE5DE" w14:textId="5ED859B4" w:rsidTr="0020509B">
        <w:tc>
          <w:tcPr>
            <w:tcW w:w="4675" w:type="dxa"/>
          </w:tcPr>
          <w:p w14:paraId="3E9FB001" w14:textId="77777777" w:rsidR="0094549B" w:rsidRPr="00F01347" w:rsidRDefault="0094549B" w:rsidP="0094549B">
            <w:pPr>
              <w:pStyle w:val="texto0"/>
              <w:spacing w:line="210" w:lineRule="exact"/>
              <w:ind w:firstLine="0"/>
              <w:rPr>
                <w:rFonts w:ascii="Verdana" w:hAnsi="Verdana"/>
                <w:sz w:val="16"/>
                <w:szCs w:val="16"/>
              </w:rPr>
            </w:pPr>
            <w:r w:rsidRPr="00F01347">
              <w:rPr>
                <w:rFonts w:ascii="Verdana" w:hAnsi="Verdana"/>
                <w:sz w:val="16"/>
                <w:szCs w:val="16"/>
              </w:rPr>
              <w:lastRenderedPageBreak/>
              <w:t xml:space="preserve">La aplicación de técnicas de biología molecular es a menudo realizada a partir de kits disponibles comercialmente por ejemplo, por lo cual para la determinación de quistes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en muestras filtradas de agua y consumo humano posterior a la potabilización por técnicas de biología molecular para el cumplimiento de esta Norma, se podrán utilizar kits de biología molecular como Kit </w:t>
            </w:r>
            <w:proofErr w:type="spellStart"/>
            <w:r w:rsidRPr="00F01347">
              <w:rPr>
                <w:rFonts w:ascii="Verdana" w:hAnsi="Verdana"/>
                <w:sz w:val="16"/>
                <w:szCs w:val="16"/>
              </w:rPr>
              <w:t>TaqMan</w:t>
            </w:r>
            <w:proofErr w:type="spellEnd"/>
            <w:r w:rsidRPr="00F01347">
              <w:rPr>
                <w:rFonts w:ascii="Verdana" w:hAnsi="Verdana"/>
                <w:sz w:val="16"/>
                <w:szCs w:val="16"/>
              </w:rPr>
              <w:t xml:space="preserve"> de reacción en cadena de la polimerasa (PCR) para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Kit Verde Fluorescente “SYBR Green” PCR para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i/>
                <w:sz w:val="16"/>
                <w:szCs w:val="16"/>
              </w:rPr>
              <w:t xml:space="preserve"> o</w:t>
            </w:r>
            <w:r w:rsidRPr="00F01347">
              <w:rPr>
                <w:rFonts w:ascii="Verdana" w:hAnsi="Verdana"/>
                <w:sz w:val="16"/>
                <w:szCs w:val="16"/>
              </w:rPr>
              <w:t xml:space="preserve"> Kit PCR punto final para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o cualquier otro comercialmente disponible. Las referencias a marcas específicas se incluyen sólo como ejemplos y no implican aprobación de los productos. Dicha referencia no excluye el uso de otros proveedores o fabricantes, los cuales se recomienda que incluyan lo siguiente:</w:t>
            </w:r>
          </w:p>
        </w:tc>
        <w:tc>
          <w:tcPr>
            <w:tcW w:w="4675" w:type="dxa"/>
          </w:tcPr>
          <w:p w14:paraId="2CF648E6" w14:textId="38610808" w:rsidR="0094549B" w:rsidRPr="00F01347" w:rsidRDefault="0094549B" w:rsidP="0094549B">
            <w:pPr>
              <w:pStyle w:val="texto0"/>
              <w:spacing w:line="210" w:lineRule="exact"/>
              <w:ind w:firstLine="0"/>
              <w:rPr>
                <w:rFonts w:ascii="Verdana" w:hAnsi="Verdana"/>
                <w:sz w:val="16"/>
                <w:szCs w:val="16"/>
                <w:lang w:val="en-US"/>
              </w:rPr>
            </w:pPr>
            <w:r w:rsidRPr="00F01347">
              <w:rPr>
                <w:rFonts w:ascii="Verdana" w:hAnsi="Verdana"/>
                <w:sz w:val="16"/>
                <w:szCs w:val="16"/>
                <w:lang w:val="en-US"/>
              </w:rPr>
              <w:t xml:space="preserve">The application of molecular biology techniques is often carried out using commercially available kits, for example, so for the determination of </w:t>
            </w:r>
            <w:r w:rsidR="005D07D9" w:rsidRPr="00F01347">
              <w:rPr>
                <w:rFonts w:ascii="Verdana" w:hAnsi="Verdana"/>
                <w:i/>
                <w:sz w:val="16"/>
                <w:szCs w:val="16"/>
                <w:lang w:val="en-US"/>
              </w:rPr>
              <w:t>Giardia lamblia cysts</w:t>
            </w:r>
            <w:r w:rsidRPr="00F01347">
              <w:rPr>
                <w:rFonts w:ascii="Verdana" w:hAnsi="Verdana"/>
                <w:i/>
                <w:sz w:val="16"/>
                <w:szCs w:val="16"/>
                <w:lang w:val="en-US"/>
              </w:rPr>
              <w:t xml:space="preserve"> </w:t>
            </w:r>
            <w:r w:rsidRPr="00F01347">
              <w:rPr>
                <w:rFonts w:ascii="Verdana" w:hAnsi="Verdana"/>
                <w:sz w:val="16"/>
                <w:szCs w:val="16"/>
                <w:lang w:val="en-US"/>
              </w:rPr>
              <w:t>in filtered samples of water and human consumption after purification by molecular biology techniques</w:t>
            </w:r>
            <w:r w:rsidR="00F223CD" w:rsidRPr="00F01347">
              <w:rPr>
                <w:rFonts w:ascii="Verdana" w:hAnsi="Verdana"/>
                <w:sz w:val="16"/>
                <w:szCs w:val="16"/>
                <w:lang w:val="en-US"/>
              </w:rPr>
              <w:t>, t</w:t>
            </w:r>
            <w:r w:rsidRPr="00F01347">
              <w:rPr>
                <w:rFonts w:ascii="Verdana" w:hAnsi="Verdana"/>
                <w:sz w:val="16"/>
                <w:szCs w:val="16"/>
                <w:lang w:val="en-US"/>
              </w:rPr>
              <w:t xml:space="preserve">o comply with this Standard, molecular biology kits may be used such as the TaqMan Polymerase Chain Reaction (PCR) Kit for </w:t>
            </w:r>
            <w:r w:rsidRPr="00F01347">
              <w:rPr>
                <w:rFonts w:ascii="Verdana" w:hAnsi="Verdana"/>
                <w:i/>
                <w:sz w:val="16"/>
                <w:szCs w:val="16"/>
                <w:lang w:val="en-US"/>
              </w:rPr>
              <w:t>Giardia. lamblia</w:t>
            </w:r>
            <w:r w:rsidR="003E1BA9" w:rsidRPr="00F01347">
              <w:rPr>
                <w:rFonts w:ascii="Verdana" w:hAnsi="Verdana"/>
                <w:i/>
                <w:sz w:val="16"/>
                <w:szCs w:val="16"/>
                <w:lang w:val="en-US"/>
              </w:rPr>
              <w:t>,</w:t>
            </w:r>
            <w:r w:rsidRPr="00F01347">
              <w:rPr>
                <w:rFonts w:ascii="Verdana" w:hAnsi="Verdana"/>
                <w:sz w:val="16"/>
                <w:szCs w:val="16"/>
                <w:lang w:val="en-US"/>
              </w:rPr>
              <w:t xml:space="preserve"> Fluorescent Green “SYBR Green” PCR Kit for </w:t>
            </w:r>
            <w:r w:rsidRPr="00F01347">
              <w:rPr>
                <w:rFonts w:ascii="Verdana" w:hAnsi="Verdana"/>
                <w:i/>
                <w:sz w:val="16"/>
                <w:szCs w:val="16"/>
                <w:lang w:val="en-US"/>
              </w:rPr>
              <w:t xml:space="preserve">Giardia lamblia or </w:t>
            </w:r>
            <w:r w:rsidRPr="00F01347">
              <w:rPr>
                <w:rFonts w:ascii="Verdana" w:hAnsi="Verdana"/>
                <w:sz w:val="16"/>
                <w:szCs w:val="16"/>
                <w:lang w:val="en-US"/>
              </w:rPr>
              <w:t xml:space="preserve">Endpoint PCR Kit for </w:t>
            </w:r>
            <w:r w:rsidRPr="00F01347">
              <w:rPr>
                <w:rFonts w:ascii="Verdana" w:hAnsi="Verdana"/>
                <w:i/>
                <w:sz w:val="16"/>
                <w:szCs w:val="16"/>
                <w:lang w:val="en-US"/>
              </w:rPr>
              <w:t xml:space="preserve">Giardia lamblia </w:t>
            </w:r>
            <w:r w:rsidRPr="00F01347">
              <w:rPr>
                <w:rFonts w:ascii="Verdana" w:hAnsi="Verdana"/>
                <w:sz w:val="16"/>
                <w:szCs w:val="16"/>
                <w:lang w:val="en-US"/>
              </w:rPr>
              <w:t>or any other commercially available. References to specific brands are included as examples only and do not imply endorsement of the products. This reference does not exclude the use of other suppliers or manufacturers, which are recommended to include the following:</w:t>
            </w:r>
          </w:p>
        </w:tc>
      </w:tr>
      <w:tr w:rsidR="0094549B" w:rsidRPr="00F01347" w14:paraId="6FA574CA" w14:textId="1103B53D" w:rsidTr="0020509B">
        <w:tc>
          <w:tcPr>
            <w:tcW w:w="4675" w:type="dxa"/>
          </w:tcPr>
          <w:p w14:paraId="3B921E69" w14:textId="77777777" w:rsidR="0094549B" w:rsidRPr="00F01347" w:rsidRDefault="0094549B" w:rsidP="0094549B">
            <w:pPr>
              <w:pStyle w:val="texto0"/>
              <w:ind w:firstLine="0"/>
              <w:rPr>
                <w:rFonts w:ascii="Verdana" w:hAnsi="Verdana"/>
                <w:sz w:val="16"/>
                <w:szCs w:val="16"/>
              </w:rPr>
            </w:pPr>
            <w:r w:rsidRPr="00F01347">
              <w:rPr>
                <w:rFonts w:ascii="Verdana" w:hAnsi="Verdana"/>
                <w:sz w:val="16"/>
                <w:szCs w:val="16"/>
              </w:rPr>
              <w:t xml:space="preserve">En el caso de kits </w:t>
            </w:r>
            <w:proofErr w:type="spellStart"/>
            <w:r w:rsidRPr="00F01347">
              <w:rPr>
                <w:rFonts w:ascii="Verdana" w:hAnsi="Verdana"/>
                <w:sz w:val="16"/>
                <w:szCs w:val="16"/>
              </w:rPr>
              <w:t>TaqMan</w:t>
            </w:r>
            <w:proofErr w:type="spellEnd"/>
            <w:r w:rsidRPr="00F01347">
              <w:rPr>
                <w:rFonts w:ascii="Verdana" w:hAnsi="Verdana"/>
                <w:sz w:val="16"/>
                <w:szCs w:val="16"/>
              </w:rPr>
              <w:t xml:space="preserve"> PCR para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w:t>
            </w:r>
          </w:p>
        </w:tc>
        <w:tc>
          <w:tcPr>
            <w:tcW w:w="4675" w:type="dxa"/>
          </w:tcPr>
          <w:p w14:paraId="564C909E" w14:textId="29B560B4" w:rsidR="0094549B" w:rsidRPr="00F01347" w:rsidRDefault="0094549B" w:rsidP="0094549B">
            <w:pPr>
              <w:pStyle w:val="texto0"/>
              <w:ind w:firstLine="0"/>
              <w:rPr>
                <w:rFonts w:ascii="Verdana" w:hAnsi="Verdana"/>
                <w:sz w:val="16"/>
                <w:szCs w:val="16"/>
                <w:lang w:val="en-US"/>
              </w:rPr>
            </w:pPr>
            <w:r w:rsidRPr="00F01347">
              <w:rPr>
                <w:rFonts w:ascii="Verdana" w:hAnsi="Verdana"/>
                <w:sz w:val="16"/>
                <w:szCs w:val="16"/>
                <w:lang w:val="en-US"/>
              </w:rPr>
              <w:t xml:space="preserve">In the case of TaqMan PCR kits for </w:t>
            </w:r>
            <w:r w:rsidRPr="00F01347">
              <w:rPr>
                <w:rFonts w:ascii="Verdana" w:hAnsi="Verdana"/>
                <w:i/>
                <w:sz w:val="16"/>
                <w:szCs w:val="16"/>
                <w:lang w:val="en-US"/>
              </w:rPr>
              <w:t>Giardia lamblia</w:t>
            </w:r>
            <w:r w:rsidR="00762084" w:rsidRPr="00F01347">
              <w:rPr>
                <w:rFonts w:ascii="Verdana" w:hAnsi="Verdana"/>
                <w:i/>
                <w:sz w:val="16"/>
                <w:szCs w:val="16"/>
                <w:lang w:val="en-US"/>
              </w:rPr>
              <w:t>:</w:t>
            </w:r>
          </w:p>
        </w:tc>
      </w:tr>
      <w:tr w:rsidR="0094549B" w:rsidRPr="00F01347" w14:paraId="3DE83C61" w14:textId="6E5F0916" w:rsidTr="0020509B">
        <w:tc>
          <w:tcPr>
            <w:tcW w:w="4675" w:type="dxa"/>
          </w:tcPr>
          <w:p w14:paraId="397E50A2" w14:textId="77777777" w:rsidR="0094549B" w:rsidRPr="00F01347" w:rsidRDefault="0094549B" w:rsidP="0094549B">
            <w:pPr>
              <w:pStyle w:val="texto0"/>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r>
            <w:proofErr w:type="spellStart"/>
            <w:r w:rsidRPr="00F01347">
              <w:rPr>
                <w:rFonts w:ascii="Verdana" w:hAnsi="Verdana"/>
                <w:sz w:val="16"/>
                <w:szCs w:val="16"/>
              </w:rPr>
              <w:t>Desoxinucleótidos</w:t>
            </w:r>
            <w:proofErr w:type="spellEnd"/>
            <w:r w:rsidRPr="00F01347">
              <w:rPr>
                <w:rFonts w:ascii="Verdana" w:hAnsi="Verdana"/>
                <w:sz w:val="16"/>
                <w:szCs w:val="16"/>
              </w:rPr>
              <w:t xml:space="preserve"> </w:t>
            </w:r>
            <w:proofErr w:type="spellStart"/>
            <w:r w:rsidRPr="00F01347">
              <w:rPr>
                <w:rFonts w:ascii="Verdana" w:hAnsi="Verdana"/>
                <w:sz w:val="16"/>
                <w:szCs w:val="16"/>
              </w:rPr>
              <w:t>trifosfatados</w:t>
            </w:r>
            <w:proofErr w:type="spellEnd"/>
            <w:r w:rsidRPr="00F01347">
              <w:rPr>
                <w:rFonts w:ascii="Verdana" w:hAnsi="Verdana"/>
                <w:sz w:val="16"/>
                <w:szCs w:val="16"/>
              </w:rPr>
              <w:t xml:space="preserve"> (</w:t>
            </w:r>
            <w:proofErr w:type="spellStart"/>
            <w:r w:rsidRPr="00F01347">
              <w:rPr>
                <w:rFonts w:ascii="Verdana" w:hAnsi="Verdana"/>
                <w:sz w:val="16"/>
                <w:szCs w:val="16"/>
              </w:rPr>
              <w:t>deoxyNTPs</w:t>
            </w:r>
            <w:proofErr w:type="spellEnd"/>
            <w:r w:rsidRPr="00F01347">
              <w:rPr>
                <w:rFonts w:ascii="Verdana" w:hAnsi="Verdana"/>
                <w:sz w:val="16"/>
                <w:szCs w:val="16"/>
              </w:rPr>
              <w:t>), Cloruro de magnesio (MgCl</w:t>
            </w:r>
            <w:r w:rsidRPr="00F01347">
              <w:rPr>
                <w:rFonts w:ascii="Verdana" w:hAnsi="Verdana"/>
                <w:sz w:val="16"/>
                <w:szCs w:val="16"/>
                <w:vertAlign w:val="subscript"/>
              </w:rPr>
              <w:t>2</w:t>
            </w:r>
            <w:r w:rsidRPr="00F01347">
              <w:rPr>
                <w:rFonts w:ascii="Verdana" w:hAnsi="Verdana"/>
                <w:sz w:val="16"/>
                <w:szCs w:val="16"/>
              </w:rPr>
              <w:t>), inhibidor de ribonucleasas (</w:t>
            </w:r>
            <w:proofErr w:type="spellStart"/>
            <w:r w:rsidRPr="00F01347">
              <w:rPr>
                <w:rFonts w:ascii="Verdana" w:hAnsi="Verdana"/>
                <w:sz w:val="16"/>
                <w:szCs w:val="16"/>
              </w:rPr>
              <w:t>RNAsas</w:t>
            </w:r>
            <w:proofErr w:type="spellEnd"/>
            <w:r w:rsidRPr="00F01347">
              <w:rPr>
                <w:rFonts w:ascii="Verdana" w:hAnsi="Verdana"/>
                <w:sz w:val="16"/>
                <w:szCs w:val="16"/>
              </w:rPr>
              <w:t xml:space="preserve">), agua libre de </w:t>
            </w:r>
            <w:proofErr w:type="spellStart"/>
            <w:r w:rsidRPr="00F01347">
              <w:rPr>
                <w:rFonts w:ascii="Verdana" w:hAnsi="Verdana"/>
                <w:sz w:val="16"/>
                <w:szCs w:val="16"/>
              </w:rPr>
              <w:t>RNAsas</w:t>
            </w:r>
            <w:proofErr w:type="spellEnd"/>
            <w:r w:rsidRPr="00F01347">
              <w:rPr>
                <w:rFonts w:ascii="Verdana" w:hAnsi="Verdana"/>
                <w:sz w:val="16"/>
                <w:szCs w:val="16"/>
              </w:rPr>
              <w:t xml:space="preserve">, polimerasa, amortiguador, </w:t>
            </w:r>
            <w:proofErr w:type="spellStart"/>
            <w:r w:rsidRPr="00F01347">
              <w:rPr>
                <w:rFonts w:ascii="Verdana" w:hAnsi="Verdana"/>
                <w:sz w:val="16"/>
                <w:szCs w:val="16"/>
              </w:rPr>
              <w:t>fluoróforo</w:t>
            </w:r>
            <w:proofErr w:type="spellEnd"/>
            <w:r w:rsidRPr="00F01347">
              <w:rPr>
                <w:rFonts w:ascii="Verdana" w:hAnsi="Verdana"/>
                <w:sz w:val="16"/>
                <w:szCs w:val="16"/>
              </w:rPr>
              <w:t xml:space="preserve"> pasivo o mezcla maestra (</w:t>
            </w:r>
            <w:proofErr w:type="gramStart"/>
            <w:r w:rsidRPr="00F01347">
              <w:rPr>
                <w:rFonts w:ascii="Verdana" w:hAnsi="Verdana"/>
                <w:sz w:val="16"/>
                <w:szCs w:val="16"/>
              </w:rPr>
              <w:t>Master</w:t>
            </w:r>
            <w:proofErr w:type="gramEnd"/>
            <w:r w:rsidRPr="00F01347">
              <w:rPr>
                <w:rFonts w:ascii="Verdana" w:hAnsi="Verdana"/>
                <w:sz w:val="16"/>
                <w:szCs w:val="16"/>
              </w:rPr>
              <w:t xml:space="preserve"> </w:t>
            </w:r>
            <w:proofErr w:type="spellStart"/>
            <w:r w:rsidRPr="00F01347">
              <w:rPr>
                <w:rFonts w:ascii="Verdana" w:hAnsi="Verdana"/>
                <w:sz w:val="16"/>
                <w:szCs w:val="16"/>
              </w:rPr>
              <w:t>mix</w:t>
            </w:r>
            <w:proofErr w:type="spellEnd"/>
            <w:r w:rsidRPr="00F01347">
              <w:rPr>
                <w:rFonts w:ascii="Verdana" w:hAnsi="Verdana"/>
                <w:sz w:val="16"/>
                <w:szCs w:val="16"/>
              </w:rPr>
              <w:t>)</w:t>
            </w:r>
          </w:p>
        </w:tc>
        <w:tc>
          <w:tcPr>
            <w:tcW w:w="4675" w:type="dxa"/>
          </w:tcPr>
          <w:p w14:paraId="4EEC7C4A" w14:textId="23D566D8" w:rsidR="0094549B" w:rsidRPr="00F01347" w:rsidRDefault="0094549B" w:rsidP="0094549B">
            <w:pPr>
              <w:pStyle w:val="texto0"/>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Deoxynucleotides triphosphates </w:t>
            </w:r>
            <w:r w:rsidR="00CB209C" w:rsidRPr="00F01347">
              <w:rPr>
                <w:rFonts w:ascii="Verdana" w:hAnsi="Verdana"/>
                <w:sz w:val="16"/>
                <w:szCs w:val="16"/>
                <w:lang w:val="en-US"/>
              </w:rPr>
              <w:t>(</w:t>
            </w:r>
            <w:proofErr w:type="spellStart"/>
            <w:r w:rsidRPr="00F01347">
              <w:rPr>
                <w:rFonts w:ascii="Verdana" w:hAnsi="Verdana"/>
                <w:sz w:val="16"/>
                <w:szCs w:val="16"/>
                <w:lang w:val="en-US"/>
              </w:rPr>
              <w:t>deoxyNTPs</w:t>
            </w:r>
            <w:proofErr w:type="spellEnd"/>
            <w:r w:rsidR="00913802" w:rsidRPr="00F01347">
              <w:rPr>
                <w:rFonts w:ascii="Verdana" w:hAnsi="Verdana"/>
                <w:sz w:val="16"/>
                <w:szCs w:val="16"/>
                <w:lang w:val="en-US"/>
              </w:rPr>
              <w:t>)</w:t>
            </w:r>
            <w:r w:rsidRPr="00F01347">
              <w:rPr>
                <w:rFonts w:ascii="Verdana" w:hAnsi="Verdana"/>
                <w:sz w:val="16"/>
                <w:szCs w:val="16"/>
                <w:lang w:val="en-US"/>
              </w:rPr>
              <w:t>, Magnesium chloride (MgCl</w:t>
            </w:r>
            <w:r w:rsidRPr="00F01347">
              <w:rPr>
                <w:rFonts w:ascii="Verdana" w:hAnsi="Verdana"/>
                <w:sz w:val="16"/>
                <w:szCs w:val="16"/>
                <w:vertAlign w:val="subscript"/>
                <w:lang w:val="en-US"/>
              </w:rPr>
              <w:t>2</w:t>
            </w:r>
            <w:r w:rsidR="00913802" w:rsidRPr="00F01347">
              <w:rPr>
                <w:rFonts w:ascii="Verdana" w:hAnsi="Verdana"/>
                <w:sz w:val="16"/>
                <w:szCs w:val="16"/>
                <w:vertAlign w:val="subscript"/>
                <w:lang w:val="en-US"/>
              </w:rPr>
              <w:t>)</w:t>
            </w:r>
            <w:r w:rsidRPr="00F01347">
              <w:rPr>
                <w:rFonts w:ascii="Verdana" w:hAnsi="Verdana"/>
                <w:sz w:val="16"/>
                <w:szCs w:val="16"/>
                <w:lang w:val="en-US"/>
              </w:rPr>
              <w:t xml:space="preserve">, ribonuclease inhibitor </w:t>
            </w:r>
            <w:r w:rsidR="00CB209C" w:rsidRPr="00F01347">
              <w:rPr>
                <w:rFonts w:ascii="Verdana" w:hAnsi="Verdana"/>
                <w:sz w:val="16"/>
                <w:szCs w:val="16"/>
                <w:lang w:val="en-US"/>
              </w:rPr>
              <w:t>(</w:t>
            </w:r>
            <w:r w:rsidRPr="00F01347">
              <w:rPr>
                <w:rFonts w:ascii="Verdana" w:hAnsi="Verdana"/>
                <w:sz w:val="16"/>
                <w:szCs w:val="16"/>
                <w:lang w:val="en-US"/>
              </w:rPr>
              <w:t>RNase</w:t>
            </w:r>
            <w:r w:rsidR="00913802" w:rsidRPr="00F01347">
              <w:rPr>
                <w:rFonts w:ascii="Verdana" w:hAnsi="Verdana"/>
                <w:sz w:val="16"/>
                <w:szCs w:val="16"/>
                <w:lang w:val="en-US"/>
              </w:rPr>
              <w:t>)</w:t>
            </w:r>
            <w:r w:rsidRPr="00F01347">
              <w:rPr>
                <w:rFonts w:ascii="Verdana" w:hAnsi="Verdana"/>
                <w:sz w:val="16"/>
                <w:szCs w:val="16"/>
                <w:lang w:val="en-US"/>
              </w:rPr>
              <w:t>, RNase -free water</w:t>
            </w:r>
            <w:r w:rsidR="003E1BA9" w:rsidRPr="00F01347">
              <w:rPr>
                <w:rFonts w:ascii="Verdana" w:hAnsi="Verdana"/>
                <w:sz w:val="16"/>
                <w:szCs w:val="16"/>
                <w:lang w:val="en-US"/>
              </w:rPr>
              <w:t>,</w:t>
            </w:r>
            <w:r w:rsidRPr="00F01347">
              <w:rPr>
                <w:rFonts w:ascii="Verdana" w:hAnsi="Verdana"/>
                <w:sz w:val="16"/>
                <w:szCs w:val="16"/>
                <w:lang w:val="en-US"/>
              </w:rPr>
              <w:t xml:space="preserve"> polymerase, buffer, passive </w:t>
            </w:r>
            <w:proofErr w:type="gramStart"/>
            <w:r w:rsidRPr="00F01347">
              <w:rPr>
                <w:rFonts w:ascii="Verdana" w:hAnsi="Verdana"/>
                <w:sz w:val="16"/>
                <w:szCs w:val="16"/>
                <w:lang w:val="en-US"/>
              </w:rPr>
              <w:t>fluorophore</w:t>
            </w:r>
            <w:proofErr w:type="gramEnd"/>
            <w:r w:rsidRPr="00F01347">
              <w:rPr>
                <w:rFonts w:ascii="Verdana" w:hAnsi="Verdana"/>
                <w:sz w:val="16"/>
                <w:szCs w:val="16"/>
                <w:lang w:val="en-US"/>
              </w:rPr>
              <w:t xml:space="preserve"> or master mix </w:t>
            </w:r>
            <w:r w:rsidR="00CB209C" w:rsidRPr="00F01347">
              <w:rPr>
                <w:rFonts w:ascii="Verdana" w:hAnsi="Verdana"/>
                <w:sz w:val="16"/>
                <w:szCs w:val="16"/>
                <w:lang w:val="en-US"/>
              </w:rPr>
              <w:t>(</w:t>
            </w:r>
            <w:r w:rsidRPr="00F01347">
              <w:rPr>
                <w:rFonts w:ascii="Verdana" w:hAnsi="Verdana"/>
                <w:sz w:val="16"/>
                <w:szCs w:val="16"/>
                <w:lang w:val="en-US"/>
              </w:rPr>
              <w:t>Master mix</w:t>
            </w:r>
            <w:r w:rsidR="00913802" w:rsidRPr="00F01347">
              <w:rPr>
                <w:rFonts w:ascii="Verdana" w:hAnsi="Verdana"/>
                <w:sz w:val="16"/>
                <w:szCs w:val="16"/>
                <w:lang w:val="en-US"/>
              </w:rPr>
              <w:t>)</w:t>
            </w:r>
          </w:p>
        </w:tc>
      </w:tr>
      <w:tr w:rsidR="0094549B" w:rsidRPr="00F01347" w14:paraId="590CFBCA" w14:textId="1E45B902" w:rsidTr="0020509B">
        <w:tc>
          <w:tcPr>
            <w:tcW w:w="4675" w:type="dxa"/>
          </w:tcPr>
          <w:p w14:paraId="116133CD" w14:textId="77777777" w:rsidR="0094549B" w:rsidRPr="00F01347" w:rsidRDefault="0094549B" w:rsidP="0094549B">
            <w:pPr>
              <w:pStyle w:val="texto0"/>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control para la detección PCR, para monitorear la inhibición de la reacción y validar la calidad del proceso</w:t>
            </w:r>
          </w:p>
        </w:tc>
        <w:tc>
          <w:tcPr>
            <w:tcW w:w="4675" w:type="dxa"/>
          </w:tcPr>
          <w:p w14:paraId="73D73E91" w14:textId="3472783F" w:rsidR="0094549B" w:rsidRPr="00F01347" w:rsidRDefault="0094549B" w:rsidP="0094549B">
            <w:pPr>
              <w:pStyle w:val="texto0"/>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control for PCR detection, to monitor the inhibition of the reaction and validate the quality of the process</w:t>
            </w:r>
          </w:p>
        </w:tc>
      </w:tr>
      <w:tr w:rsidR="0094549B" w:rsidRPr="00F01347" w14:paraId="271E83C4" w14:textId="2113EED6" w:rsidTr="0020509B">
        <w:tc>
          <w:tcPr>
            <w:tcW w:w="4675" w:type="dxa"/>
          </w:tcPr>
          <w:p w14:paraId="622456B0" w14:textId="77777777" w:rsidR="0094549B" w:rsidRPr="00F01347" w:rsidRDefault="0094549B" w:rsidP="0094549B">
            <w:pPr>
              <w:pStyle w:val="texto0"/>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cebador de ácido </w:t>
            </w:r>
            <w:proofErr w:type="spellStart"/>
            <w:r w:rsidRPr="00F01347">
              <w:rPr>
                <w:rFonts w:ascii="Verdana" w:hAnsi="Verdana"/>
                <w:sz w:val="16"/>
                <w:szCs w:val="16"/>
              </w:rPr>
              <w:t>desoxirribonucleido</w:t>
            </w:r>
            <w:proofErr w:type="spellEnd"/>
            <w:r w:rsidRPr="00F01347">
              <w:rPr>
                <w:rFonts w:ascii="Verdana" w:hAnsi="Verdana"/>
                <w:sz w:val="16"/>
                <w:szCs w:val="16"/>
              </w:rPr>
              <w:t xml:space="preserve"> (DNA) (primer) o mezcla de Sondas (Probe </w:t>
            </w:r>
            <w:proofErr w:type="spellStart"/>
            <w:r w:rsidRPr="00F01347">
              <w:rPr>
                <w:rFonts w:ascii="Verdana" w:hAnsi="Verdana"/>
                <w:sz w:val="16"/>
                <w:szCs w:val="16"/>
              </w:rPr>
              <w:t>mix</w:t>
            </w:r>
            <w:proofErr w:type="spellEnd"/>
            <w:r w:rsidRPr="00F01347">
              <w:rPr>
                <w:rFonts w:ascii="Verdana" w:hAnsi="Verdana"/>
                <w:sz w:val="16"/>
                <w:szCs w:val="16"/>
              </w:rPr>
              <w:t xml:space="preserve">) para la amplificación de una secuencia específica del genoma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p>
        </w:tc>
        <w:tc>
          <w:tcPr>
            <w:tcW w:w="4675" w:type="dxa"/>
          </w:tcPr>
          <w:p w14:paraId="14BE3D2B" w14:textId="24C40F10" w:rsidR="0094549B" w:rsidRPr="00F01347" w:rsidRDefault="0094549B" w:rsidP="0094549B">
            <w:pPr>
              <w:pStyle w:val="texto0"/>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r>
            <w:proofErr w:type="spellStart"/>
            <w:r w:rsidRPr="00F01347">
              <w:rPr>
                <w:rFonts w:ascii="Verdana" w:hAnsi="Verdana"/>
                <w:sz w:val="16"/>
                <w:szCs w:val="16"/>
                <w:lang w:val="en-US"/>
              </w:rPr>
              <w:t>deoxyribonucleide</w:t>
            </w:r>
            <w:proofErr w:type="spellEnd"/>
            <w:r w:rsidRPr="00F01347">
              <w:rPr>
                <w:rFonts w:ascii="Verdana" w:hAnsi="Verdana"/>
                <w:sz w:val="16"/>
                <w:szCs w:val="16"/>
                <w:lang w:val="en-US"/>
              </w:rPr>
              <w:t xml:space="preserve"> acid (DNA) primer (primer) or probe mix (Probe mix</w:t>
            </w:r>
            <w:r w:rsidR="00913802" w:rsidRPr="00F01347">
              <w:rPr>
                <w:rFonts w:ascii="Verdana" w:hAnsi="Verdana"/>
                <w:sz w:val="16"/>
                <w:szCs w:val="16"/>
                <w:lang w:val="en-US"/>
              </w:rPr>
              <w:t>)</w:t>
            </w:r>
            <w:r w:rsidRPr="00F01347">
              <w:rPr>
                <w:rFonts w:ascii="Verdana" w:hAnsi="Verdana"/>
                <w:sz w:val="16"/>
                <w:szCs w:val="16"/>
                <w:lang w:val="en-US"/>
              </w:rPr>
              <w:t xml:space="preserve"> for the amplification of a specific sequence of the </w:t>
            </w:r>
            <w:r w:rsidRPr="00F01347">
              <w:rPr>
                <w:rFonts w:ascii="Verdana" w:hAnsi="Verdana"/>
                <w:i/>
                <w:sz w:val="16"/>
                <w:szCs w:val="16"/>
                <w:lang w:val="en-US"/>
              </w:rPr>
              <w:t>Giardia genome lamblia</w:t>
            </w:r>
          </w:p>
        </w:tc>
      </w:tr>
      <w:tr w:rsidR="0094549B" w:rsidRPr="00F01347" w14:paraId="37A9B1A0" w14:textId="211048F8" w:rsidTr="0020509B">
        <w:tc>
          <w:tcPr>
            <w:tcW w:w="4675" w:type="dxa"/>
          </w:tcPr>
          <w:p w14:paraId="58B1CA46" w14:textId="77777777" w:rsidR="0094549B" w:rsidRPr="00F01347" w:rsidRDefault="0094549B" w:rsidP="0094549B">
            <w:pPr>
              <w:pStyle w:val="texto0"/>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control positivo y control negativo, para confirmar la integridad de los reactivos del kit</w:t>
            </w:r>
          </w:p>
        </w:tc>
        <w:tc>
          <w:tcPr>
            <w:tcW w:w="4675" w:type="dxa"/>
          </w:tcPr>
          <w:p w14:paraId="08CC0F04" w14:textId="791D7218" w:rsidR="0094549B" w:rsidRPr="00F01347" w:rsidRDefault="0094549B" w:rsidP="0094549B">
            <w:pPr>
              <w:pStyle w:val="texto0"/>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positive control and negative control, to confirm the integrity of the kit reagents</w:t>
            </w:r>
          </w:p>
        </w:tc>
      </w:tr>
      <w:tr w:rsidR="0094549B" w:rsidRPr="00F01347" w14:paraId="7B4BC433" w14:textId="7568E0FF" w:rsidTr="0020509B">
        <w:tc>
          <w:tcPr>
            <w:tcW w:w="4675" w:type="dxa"/>
          </w:tcPr>
          <w:p w14:paraId="04102AEF" w14:textId="77777777" w:rsidR="0094549B" w:rsidRPr="00F01347" w:rsidRDefault="0094549B" w:rsidP="0094549B">
            <w:pPr>
              <w:pStyle w:val="texto0"/>
              <w:spacing w:line="212" w:lineRule="exact"/>
              <w:ind w:firstLine="0"/>
              <w:rPr>
                <w:rFonts w:ascii="Verdana" w:hAnsi="Verdana"/>
                <w:sz w:val="16"/>
                <w:szCs w:val="16"/>
              </w:rPr>
            </w:pPr>
            <w:r w:rsidRPr="00F01347">
              <w:rPr>
                <w:rFonts w:ascii="Verdana" w:hAnsi="Verdana"/>
                <w:sz w:val="16"/>
                <w:szCs w:val="16"/>
              </w:rPr>
              <w:t xml:space="preserve">En el caso de kits SYBR Green </w:t>
            </w:r>
            <w:proofErr w:type="spellStart"/>
            <w:r w:rsidRPr="00F01347">
              <w:rPr>
                <w:rFonts w:ascii="Verdana" w:hAnsi="Verdana"/>
                <w:sz w:val="16"/>
                <w:szCs w:val="16"/>
              </w:rPr>
              <w:t>qPCR</w:t>
            </w:r>
            <w:proofErr w:type="spellEnd"/>
            <w:r w:rsidRPr="00F01347">
              <w:rPr>
                <w:rFonts w:ascii="Verdana" w:hAnsi="Verdana"/>
                <w:sz w:val="16"/>
                <w:szCs w:val="16"/>
              </w:rPr>
              <w:t xml:space="preserve"> para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w:t>
            </w:r>
          </w:p>
        </w:tc>
        <w:tc>
          <w:tcPr>
            <w:tcW w:w="4675" w:type="dxa"/>
          </w:tcPr>
          <w:p w14:paraId="538C9963" w14:textId="289516B4" w:rsidR="0094549B" w:rsidRPr="00F01347" w:rsidRDefault="0094549B" w:rsidP="0094549B">
            <w:pPr>
              <w:pStyle w:val="texto0"/>
              <w:spacing w:line="212" w:lineRule="exact"/>
              <w:ind w:firstLine="0"/>
              <w:rPr>
                <w:rFonts w:ascii="Verdana" w:hAnsi="Verdana"/>
                <w:sz w:val="16"/>
                <w:szCs w:val="16"/>
                <w:lang w:val="en-US"/>
              </w:rPr>
            </w:pPr>
            <w:r w:rsidRPr="00F01347">
              <w:rPr>
                <w:rFonts w:ascii="Verdana" w:hAnsi="Verdana"/>
                <w:sz w:val="16"/>
                <w:szCs w:val="16"/>
                <w:lang w:val="en-US"/>
              </w:rPr>
              <w:t xml:space="preserve">In the case of SYBR Green qPCR kits for </w:t>
            </w:r>
            <w:r w:rsidRPr="00F01347">
              <w:rPr>
                <w:rFonts w:ascii="Verdana" w:hAnsi="Verdana"/>
                <w:i/>
                <w:sz w:val="16"/>
                <w:szCs w:val="16"/>
                <w:lang w:val="en-US"/>
              </w:rPr>
              <w:t>Giardia lamblia</w:t>
            </w:r>
            <w:r w:rsidR="00762084" w:rsidRPr="00F01347">
              <w:rPr>
                <w:rFonts w:ascii="Verdana" w:hAnsi="Verdana"/>
                <w:i/>
                <w:sz w:val="16"/>
                <w:szCs w:val="16"/>
                <w:lang w:val="en-US"/>
              </w:rPr>
              <w:t>:</w:t>
            </w:r>
          </w:p>
        </w:tc>
      </w:tr>
      <w:tr w:rsidR="0094549B" w:rsidRPr="00F01347" w14:paraId="7A79838A" w14:textId="13623696" w:rsidTr="0020509B">
        <w:tc>
          <w:tcPr>
            <w:tcW w:w="4675" w:type="dxa"/>
          </w:tcPr>
          <w:p w14:paraId="24B2CD45" w14:textId="77777777" w:rsidR="0094549B" w:rsidRPr="00F01347" w:rsidRDefault="0094549B" w:rsidP="0094549B">
            <w:pPr>
              <w:pStyle w:val="texto0"/>
              <w:spacing w:line="21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r>
            <w:proofErr w:type="spellStart"/>
            <w:r w:rsidRPr="00F01347">
              <w:rPr>
                <w:rFonts w:ascii="Verdana" w:hAnsi="Verdana"/>
                <w:sz w:val="16"/>
                <w:szCs w:val="16"/>
              </w:rPr>
              <w:t>deoxyNTPs</w:t>
            </w:r>
            <w:proofErr w:type="spellEnd"/>
            <w:r w:rsidRPr="00F01347">
              <w:rPr>
                <w:rFonts w:ascii="Verdana" w:hAnsi="Verdana"/>
                <w:sz w:val="16"/>
                <w:szCs w:val="16"/>
              </w:rPr>
              <w:t>, MgCl</w:t>
            </w:r>
            <w:r w:rsidRPr="00F01347">
              <w:rPr>
                <w:rFonts w:ascii="Verdana" w:hAnsi="Verdana"/>
                <w:sz w:val="16"/>
                <w:szCs w:val="16"/>
                <w:vertAlign w:val="subscript"/>
              </w:rPr>
              <w:t>2</w:t>
            </w:r>
            <w:r w:rsidRPr="00F01347">
              <w:rPr>
                <w:rFonts w:ascii="Verdana" w:hAnsi="Verdana"/>
                <w:sz w:val="16"/>
                <w:szCs w:val="16"/>
              </w:rPr>
              <w:t xml:space="preserve">, inhibidor de </w:t>
            </w:r>
            <w:proofErr w:type="spellStart"/>
            <w:r w:rsidRPr="00F01347">
              <w:rPr>
                <w:rFonts w:ascii="Verdana" w:hAnsi="Verdana"/>
                <w:sz w:val="16"/>
                <w:szCs w:val="16"/>
              </w:rPr>
              <w:t>RNAsas</w:t>
            </w:r>
            <w:proofErr w:type="spellEnd"/>
            <w:r w:rsidRPr="00F01347">
              <w:rPr>
                <w:rFonts w:ascii="Verdana" w:hAnsi="Verdana"/>
                <w:sz w:val="16"/>
                <w:szCs w:val="16"/>
              </w:rPr>
              <w:t xml:space="preserve">, agua libre de </w:t>
            </w:r>
            <w:proofErr w:type="spellStart"/>
            <w:r w:rsidRPr="00F01347">
              <w:rPr>
                <w:rFonts w:ascii="Verdana" w:hAnsi="Verdana"/>
                <w:sz w:val="16"/>
                <w:szCs w:val="16"/>
              </w:rPr>
              <w:t>RNAsas</w:t>
            </w:r>
            <w:proofErr w:type="spellEnd"/>
            <w:r w:rsidRPr="00F01347">
              <w:rPr>
                <w:rFonts w:ascii="Verdana" w:hAnsi="Verdana"/>
                <w:sz w:val="16"/>
                <w:szCs w:val="16"/>
              </w:rPr>
              <w:t xml:space="preserve">, polimerasa, amortiguador, </w:t>
            </w:r>
            <w:proofErr w:type="spellStart"/>
            <w:r w:rsidRPr="00F01347">
              <w:rPr>
                <w:rFonts w:ascii="Verdana" w:hAnsi="Verdana"/>
                <w:sz w:val="16"/>
                <w:szCs w:val="16"/>
              </w:rPr>
              <w:t>fluoróforo</w:t>
            </w:r>
            <w:proofErr w:type="spellEnd"/>
            <w:r w:rsidRPr="00F01347">
              <w:rPr>
                <w:rFonts w:ascii="Verdana" w:hAnsi="Verdana"/>
                <w:sz w:val="16"/>
                <w:szCs w:val="16"/>
              </w:rPr>
              <w:t xml:space="preserve"> pasivo o mezcla maestra (</w:t>
            </w:r>
            <w:proofErr w:type="gramStart"/>
            <w:r w:rsidRPr="00F01347">
              <w:rPr>
                <w:rFonts w:ascii="Verdana" w:hAnsi="Verdana"/>
                <w:sz w:val="16"/>
                <w:szCs w:val="16"/>
              </w:rPr>
              <w:t>Master</w:t>
            </w:r>
            <w:proofErr w:type="gramEnd"/>
            <w:r w:rsidRPr="00F01347">
              <w:rPr>
                <w:rFonts w:ascii="Verdana" w:hAnsi="Verdana"/>
                <w:sz w:val="16"/>
                <w:szCs w:val="16"/>
              </w:rPr>
              <w:t xml:space="preserve"> </w:t>
            </w:r>
            <w:proofErr w:type="spellStart"/>
            <w:r w:rsidRPr="00F01347">
              <w:rPr>
                <w:rFonts w:ascii="Verdana" w:hAnsi="Verdana"/>
                <w:sz w:val="16"/>
                <w:szCs w:val="16"/>
              </w:rPr>
              <w:t>mix</w:t>
            </w:r>
            <w:proofErr w:type="spellEnd"/>
            <w:r w:rsidRPr="00F01347">
              <w:rPr>
                <w:rFonts w:ascii="Verdana" w:hAnsi="Verdana"/>
                <w:sz w:val="16"/>
                <w:szCs w:val="16"/>
              </w:rPr>
              <w:t>)</w:t>
            </w:r>
          </w:p>
        </w:tc>
        <w:tc>
          <w:tcPr>
            <w:tcW w:w="4675" w:type="dxa"/>
          </w:tcPr>
          <w:p w14:paraId="39D4DFF9" w14:textId="7611A581" w:rsidR="0094549B" w:rsidRPr="00F01347" w:rsidRDefault="0094549B" w:rsidP="0094549B">
            <w:pPr>
              <w:pStyle w:val="texto0"/>
              <w:spacing w:line="21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r>
            <w:proofErr w:type="spellStart"/>
            <w:r w:rsidRPr="00F01347">
              <w:rPr>
                <w:rFonts w:ascii="Verdana" w:hAnsi="Verdana"/>
                <w:sz w:val="16"/>
                <w:szCs w:val="16"/>
                <w:lang w:val="en-US"/>
              </w:rPr>
              <w:t>deoxyNTPs</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MgCl</w:t>
            </w:r>
            <w:r w:rsidRPr="00F01347">
              <w:rPr>
                <w:rFonts w:ascii="Verdana" w:hAnsi="Verdana"/>
                <w:sz w:val="16"/>
                <w:szCs w:val="16"/>
                <w:vertAlign w:val="subscript"/>
                <w:lang w:val="en-US"/>
              </w:rPr>
              <w:t>2</w:t>
            </w:r>
            <w:r w:rsidR="003E1BA9" w:rsidRPr="00F01347">
              <w:rPr>
                <w:rFonts w:ascii="Verdana" w:hAnsi="Verdana"/>
                <w:sz w:val="16"/>
                <w:szCs w:val="16"/>
                <w:vertAlign w:val="subscript"/>
                <w:lang w:val="en-US"/>
              </w:rPr>
              <w:t>,</w:t>
            </w:r>
            <w:r w:rsidRPr="00F01347">
              <w:rPr>
                <w:rFonts w:ascii="Verdana" w:hAnsi="Verdana"/>
                <w:sz w:val="16"/>
                <w:szCs w:val="16"/>
                <w:vertAlign w:val="subscript"/>
                <w:lang w:val="en-US"/>
              </w:rPr>
              <w:t xml:space="preserve"> </w:t>
            </w:r>
            <w:r w:rsidRPr="00F01347">
              <w:rPr>
                <w:rFonts w:ascii="Verdana" w:hAnsi="Verdana"/>
                <w:sz w:val="16"/>
                <w:szCs w:val="16"/>
                <w:lang w:val="en-US"/>
              </w:rPr>
              <w:t>RNase inhibitor</w:t>
            </w:r>
            <w:r w:rsidR="003E1BA9" w:rsidRPr="00F01347">
              <w:rPr>
                <w:rFonts w:ascii="Verdana" w:hAnsi="Verdana"/>
                <w:sz w:val="16"/>
                <w:szCs w:val="16"/>
                <w:lang w:val="en-US"/>
              </w:rPr>
              <w:t>,</w:t>
            </w:r>
            <w:r w:rsidRPr="00F01347">
              <w:rPr>
                <w:rFonts w:ascii="Verdana" w:hAnsi="Verdana"/>
                <w:sz w:val="16"/>
                <w:szCs w:val="16"/>
                <w:lang w:val="en-US"/>
              </w:rPr>
              <w:t xml:space="preserve"> RNase -free water</w:t>
            </w:r>
            <w:r w:rsidR="003E1BA9" w:rsidRPr="00F01347">
              <w:rPr>
                <w:rFonts w:ascii="Verdana" w:hAnsi="Verdana"/>
                <w:sz w:val="16"/>
                <w:szCs w:val="16"/>
                <w:lang w:val="en-US"/>
              </w:rPr>
              <w:t>,</w:t>
            </w:r>
            <w:r w:rsidRPr="00F01347">
              <w:rPr>
                <w:rFonts w:ascii="Verdana" w:hAnsi="Verdana"/>
                <w:sz w:val="16"/>
                <w:szCs w:val="16"/>
                <w:lang w:val="en-US"/>
              </w:rPr>
              <w:t xml:space="preserve"> polymerase, buffer, passive </w:t>
            </w:r>
            <w:proofErr w:type="gramStart"/>
            <w:r w:rsidRPr="00F01347">
              <w:rPr>
                <w:rFonts w:ascii="Verdana" w:hAnsi="Verdana"/>
                <w:sz w:val="16"/>
                <w:szCs w:val="16"/>
                <w:lang w:val="en-US"/>
              </w:rPr>
              <w:t>fluorophore</w:t>
            </w:r>
            <w:proofErr w:type="gramEnd"/>
            <w:r w:rsidRPr="00F01347">
              <w:rPr>
                <w:rFonts w:ascii="Verdana" w:hAnsi="Verdana"/>
                <w:sz w:val="16"/>
                <w:szCs w:val="16"/>
                <w:lang w:val="en-US"/>
              </w:rPr>
              <w:t xml:space="preserve"> or master mix </w:t>
            </w:r>
            <w:r w:rsidR="00CB209C" w:rsidRPr="00F01347">
              <w:rPr>
                <w:rFonts w:ascii="Verdana" w:hAnsi="Verdana"/>
                <w:sz w:val="16"/>
                <w:szCs w:val="16"/>
                <w:lang w:val="en-US"/>
              </w:rPr>
              <w:t>(</w:t>
            </w:r>
            <w:r w:rsidRPr="00F01347">
              <w:rPr>
                <w:rFonts w:ascii="Verdana" w:hAnsi="Verdana"/>
                <w:sz w:val="16"/>
                <w:szCs w:val="16"/>
                <w:lang w:val="en-US"/>
              </w:rPr>
              <w:t>Master mix</w:t>
            </w:r>
            <w:r w:rsidR="00913802" w:rsidRPr="00F01347">
              <w:rPr>
                <w:rFonts w:ascii="Verdana" w:hAnsi="Verdana"/>
                <w:sz w:val="16"/>
                <w:szCs w:val="16"/>
                <w:lang w:val="en-US"/>
              </w:rPr>
              <w:t>)</w:t>
            </w:r>
          </w:p>
        </w:tc>
      </w:tr>
      <w:tr w:rsidR="0094549B" w:rsidRPr="00F01347" w14:paraId="110F742A" w14:textId="64AE9D95" w:rsidTr="0020509B">
        <w:tc>
          <w:tcPr>
            <w:tcW w:w="4675" w:type="dxa"/>
          </w:tcPr>
          <w:p w14:paraId="22B83D2C" w14:textId="77777777" w:rsidR="0094549B" w:rsidRPr="00F01347" w:rsidRDefault="0094549B" w:rsidP="0094549B">
            <w:pPr>
              <w:pStyle w:val="texto0"/>
              <w:spacing w:line="212" w:lineRule="exact"/>
              <w:ind w:firstLine="0"/>
              <w:rPr>
                <w:rFonts w:ascii="Verdana" w:hAnsi="Verdana"/>
                <w:i/>
                <w:sz w:val="16"/>
                <w:szCs w:val="16"/>
              </w:rPr>
            </w:pPr>
            <w:r w:rsidRPr="00F01347">
              <w:rPr>
                <w:rFonts w:ascii="Verdana" w:hAnsi="Verdana"/>
                <w:sz w:val="16"/>
                <w:szCs w:val="16"/>
              </w:rPr>
              <w:t>●</w:t>
            </w:r>
            <w:r w:rsidRPr="00F01347">
              <w:rPr>
                <w:rFonts w:ascii="Verdana" w:hAnsi="Verdana"/>
                <w:sz w:val="16"/>
                <w:szCs w:val="16"/>
              </w:rPr>
              <w:tab/>
              <w:t>cebadores de DNA (</w:t>
            </w:r>
            <w:proofErr w:type="spellStart"/>
            <w:r w:rsidRPr="00F01347">
              <w:rPr>
                <w:rFonts w:ascii="Verdana" w:hAnsi="Verdana"/>
                <w:sz w:val="16"/>
                <w:szCs w:val="16"/>
              </w:rPr>
              <w:t>primers</w:t>
            </w:r>
            <w:proofErr w:type="spellEnd"/>
            <w:r w:rsidRPr="00F01347">
              <w:rPr>
                <w:rFonts w:ascii="Verdana" w:hAnsi="Verdana"/>
                <w:sz w:val="16"/>
                <w:szCs w:val="16"/>
              </w:rPr>
              <w:t xml:space="preserve">) para la amplificación de una secuencia específica del genoma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p>
        </w:tc>
        <w:tc>
          <w:tcPr>
            <w:tcW w:w="4675" w:type="dxa"/>
          </w:tcPr>
          <w:p w14:paraId="19E03BB1" w14:textId="6231CE12" w:rsidR="0094549B" w:rsidRPr="00F01347" w:rsidRDefault="0094549B" w:rsidP="0094549B">
            <w:pPr>
              <w:pStyle w:val="texto0"/>
              <w:spacing w:line="21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DNA primers </w:t>
            </w:r>
            <w:r w:rsidR="00CB209C" w:rsidRPr="00F01347">
              <w:rPr>
                <w:rFonts w:ascii="Verdana" w:hAnsi="Verdana"/>
                <w:sz w:val="16"/>
                <w:szCs w:val="16"/>
                <w:lang w:val="en-US"/>
              </w:rPr>
              <w:t>(</w:t>
            </w:r>
            <w:r w:rsidRPr="00F01347">
              <w:rPr>
                <w:rFonts w:ascii="Verdana" w:hAnsi="Verdana"/>
                <w:sz w:val="16"/>
                <w:szCs w:val="16"/>
                <w:lang w:val="en-US"/>
              </w:rPr>
              <w:t>primers</w:t>
            </w:r>
            <w:r w:rsidR="00913802" w:rsidRPr="00F01347">
              <w:rPr>
                <w:rFonts w:ascii="Verdana" w:hAnsi="Verdana"/>
                <w:sz w:val="16"/>
                <w:szCs w:val="16"/>
                <w:lang w:val="en-US"/>
              </w:rPr>
              <w:t>)</w:t>
            </w:r>
            <w:r w:rsidRPr="00F01347">
              <w:rPr>
                <w:rFonts w:ascii="Verdana" w:hAnsi="Verdana"/>
                <w:sz w:val="16"/>
                <w:szCs w:val="16"/>
                <w:lang w:val="en-US"/>
              </w:rPr>
              <w:t xml:space="preserve"> for the amplification of a specific sequence of the </w:t>
            </w:r>
            <w:r w:rsidRPr="00F01347">
              <w:rPr>
                <w:rFonts w:ascii="Verdana" w:hAnsi="Verdana"/>
                <w:i/>
                <w:sz w:val="16"/>
                <w:szCs w:val="16"/>
                <w:lang w:val="en-US"/>
              </w:rPr>
              <w:t>Giardia genome lamblia</w:t>
            </w:r>
          </w:p>
        </w:tc>
      </w:tr>
      <w:tr w:rsidR="0094549B" w:rsidRPr="00F01347" w14:paraId="1CE273F6" w14:textId="40AFCB38" w:rsidTr="0020509B">
        <w:tc>
          <w:tcPr>
            <w:tcW w:w="4675" w:type="dxa"/>
          </w:tcPr>
          <w:p w14:paraId="18E8250F" w14:textId="77777777" w:rsidR="0094549B" w:rsidRPr="00F01347" w:rsidRDefault="0094549B" w:rsidP="0094549B">
            <w:pPr>
              <w:pStyle w:val="texto0"/>
              <w:spacing w:line="21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control positivo y control negativo, para confirmar la integridad de los reactivos del kit y un control interno para la validación de PCR</w:t>
            </w:r>
          </w:p>
        </w:tc>
        <w:tc>
          <w:tcPr>
            <w:tcW w:w="4675" w:type="dxa"/>
          </w:tcPr>
          <w:p w14:paraId="3313F76A" w14:textId="4FD07907" w:rsidR="0094549B" w:rsidRPr="00F01347" w:rsidRDefault="0094549B" w:rsidP="0094549B">
            <w:pPr>
              <w:pStyle w:val="texto0"/>
              <w:spacing w:line="21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positive control and negative control, to confirm the integrity of the kit reagents and an internal control for PCR validation</w:t>
            </w:r>
          </w:p>
        </w:tc>
      </w:tr>
      <w:tr w:rsidR="0094549B" w:rsidRPr="00F01347" w14:paraId="050A7F90" w14:textId="5726C5E7" w:rsidTr="0020509B">
        <w:tc>
          <w:tcPr>
            <w:tcW w:w="4675" w:type="dxa"/>
          </w:tcPr>
          <w:p w14:paraId="36877118" w14:textId="77777777" w:rsidR="0094549B" w:rsidRPr="00F01347" w:rsidRDefault="0094549B" w:rsidP="0094549B">
            <w:pPr>
              <w:pStyle w:val="texto0"/>
              <w:spacing w:line="212" w:lineRule="exact"/>
              <w:ind w:firstLine="0"/>
              <w:rPr>
                <w:rFonts w:ascii="Verdana" w:hAnsi="Verdana"/>
                <w:sz w:val="16"/>
                <w:szCs w:val="16"/>
              </w:rPr>
            </w:pPr>
            <w:r w:rsidRPr="00F01347">
              <w:rPr>
                <w:rFonts w:ascii="Verdana" w:hAnsi="Verdana"/>
                <w:sz w:val="16"/>
                <w:szCs w:val="16"/>
              </w:rPr>
              <w:t>En el caso de kits PCR punto final para</w:t>
            </w:r>
            <w:r w:rsidRPr="00F01347">
              <w:rPr>
                <w:rFonts w:ascii="Verdana" w:hAnsi="Verdana"/>
                <w:i/>
                <w:sz w:val="16"/>
                <w:szCs w:val="16"/>
              </w:rPr>
              <w:t xml:space="preserv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w:t>
            </w:r>
          </w:p>
        </w:tc>
        <w:tc>
          <w:tcPr>
            <w:tcW w:w="4675" w:type="dxa"/>
          </w:tcPr>
          <w:p w14:paraId="058323A9" w14:textId="371AD96A" w:rsidR="0094549B" w:rsidRPr="00F01347" w:rsidRDefault="0094549B" w:rsidP="0094549B">
            <w:pPr>
              <w:pStyle w:val="texto0"/>
              <w:spacing w:line="212" w:lineRule="exact"/>
              <w:ind w:firstLine="0"/>
              <w:rPr>
                <w:rFonts w:ascii="Verdana" w:hAnsi="Verdana"/>
                <w:sz w:val="16"/>
                <w:szCs w:val="16"/>
                <w:lang w:val="en-US"/>
              </w:rPr>
            </w:pPr>
            <w:r w:rsidRPr="00F01347">
              <w:rPr>
                <w:rFonts w:ascii="Verdana" w:hAnsi="Verdana"/>
                <w:sz w:val="16"/>
                <w:szCs w:val="16"/>
                <w:lang w:val="en-US"/>
              </w:rPr>
              <w:t>In the case of endpoint PCR kits for</w:t>
            </w:r>
            <w:r w:rsidRPr="00F01347">
              <w:rPr>
                <w:rFonts w:ascii="Verdana" w:hAnsi="Verdana"/>
                <w:i/>
                <w:sz w:val="16"/>
                <w:szCs w:val="16"/>
                <w:lang w:val="en-US"/>
              </w:rPr>
              <w:t xml:space="preserve"> Giardia lamblia</w:t>
            </w:r>
            <w:r w:rsidR="00762084" w:rsidRPr="00F01347">
              <w:rPr>
                <w:rFonts w:ascii="Verdana" w:hAnsi="Verdana"/>
                <w:i/>
                <w:sz w:val="16"/>
                <w:szCs w:val="16"/>
                <w:lang w:val="en-US"/>
              </w:rPr>
              <w:t>:</w:t>
            </w:r>
          </w:p>
        </w:tc>
      </w:tr>
      <w:tr w:rsidR="0094549B" w:rsidRPr="00F01347" w14:paraId="01F04728" w14:textId="407E702F" w:rsidTr="0020509B">
        <w:tc>
          <w:tcPr>
            <w:tcW w:w="4675" w:type="dxa"/>
          </w:tcPr>
          <w:p w14:paraId="7ECC629E" w14:textId="77777777" w:rsidR="0094549B" w:rsidRPr="00F01347" w:rsidRDefault="0094549B" w:rsidP="0094549B">
            <w:pPr>
              <w:pStyle w:val="texto0"/>
              <w:spacing w:line="21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r>
            <w:proofErr w:type="spellStart"/>
            <w:r w:rsidRPr="00F01347">
              <w:rPr>
                <w:rFonts w:ascii="Verdana" w:hAnsi="Verdana"/>
                <w:sz w:val="16"/>
                <w:szCs w:val="16"/>
              </w:rPr>
              <w:t>deoxyNTPs</w:t>
            </w:r>
            <w:proofErr w:type="spellEnd"/>
            <w:r w:rsidRPr="00F01347">
              <w:rPr>
                <w:rFonts w:ascii="Verdana" w:hAnsi="Verdana"/>
                <w:sz w:val="16"/>
                <w:szCs w:val="16"/>
              </w:rPr>
              <w:t>, MgCl</w:t>
            </w:r>
            <w:r w:rsidRPr="00F01347">
              <w:rPr>
                <w:rFonts w:ascii="Verdana" w:hAnsi="Verdana"/>
                <w:sz w:val="16"/>
                <w:szCs w:val="16"/>
                <w:vertAlign w:val="subscript"/>
              </w:rPr>
              <w:t>2</w:t>
            </w:r>
            <w:r w:rsidRPr="00F01347">
              <w:rPr>
                <w:rFonts w:ascii="Verdana" w:hAnsi="Verdana"/>
                <w:sz w:val="16"/>
                <w:szCs w:val="16"/>
              </w:rPr>
              <w:t xml:space="preserve">, inhibidor de </w:t>
            </w:r>
            <w:proofErr w:type="spellStart"/>
            <w:r w:rsidRPr="00F01347">
              <w:rPr>
                <w:rFonts w:ascii="Verdana" w:hAnsi="Verdana"/>
                <w:sz w:val="16"/>
                <w:szCs w:val="16"/>
              </w:rPr>
              <w:t>RNAsas</w:t>
            </w:r>
            <w:proofErr w:type="spellEnd"/>
            <w:r w:rsidRPr="00F01347">
              <w:rPr>
                <w:rFonts w:ascii="Verdana" w:hAnsi="Verdana"/>
                <w:sz w:val="16"/>
                <w:szCs w:val="16"/>
              </w:rPr>
              <w:t xml:space="preserve">, agua libre de </w:t>
            </w:r>
            <w:proofErr w:type="spellStart"/>
            <w:r w:rsidRPr="00F01347">
              <w:rPr>
                <w:rFonts w:ascii="Verdana" w:hAnsi="Verdana"/>
                <w:sz w:val="16"/>
                <w:szCs w:val="16"/>
              </w:rPr>
              <w:t>RNAsas</w:t>
            </w:r>
            <w:proofErr w:type="spellEnd"/>
            <w:r w:rsidRPr="00F01347">
              <w:rPr>
                <w:rFonts w:ascii="Verdana" w:hAnsi="Verdana"/>
                <w:sz w:val="16"/>
                <w:szCs w:val="16"/>
              </w:rPr>
              <w:t>, polimerasa, amortiguador o mezcla maestra (</w:t>
            </w:r>
            <w:proofErr w:type="gramStart"/>
            <w:r w:rsidRPr="00F01347">
              <w:rPr>
                <w:rFonts w:ascii="Verdana" w:hAnsi="Verdana"/>
                <w:sz w:val="16"/>
                <w:szCs w:val="16"/>
              </w:rPr>
              <w:t>Master</w:t>
            </w:r>
            <w:proofErr w:type="gramEnd"/>
            <w:r w:rsidRPr="00F01347">
              <w:rPr>
                <w:rFonts w:ascii="Verdana" w:hAnsi="Verdana"/>
                <w:sz w:val="16"/>
                <w:szCs w:val="16"/>
              </w:rPr>
              <w:t xml:space="preserve"> </w:t>
            </w:r>
            <w:proofErr w:type="spellStart"/>
            <w:r w:rsidRPr="00F01347">
              <w:rPr>
                <w:rFonts w:ascii="Verdana" w:hAnsi="Verdana"/>
                <w:sz w:val="16"/>
                <w:szCs w:val="16"/>
              </w:rPr>
              <w:t>mix</w:t>
            </w:r>
            <w:proofErr w:type="spellEnd"/>
            <w:r w:rsidRPr="00F01347">
              <w:rPr>
                <w:rFonts w:ascii="Verdana" w:hAnsi="Verdana"/>
                <w:sz w:val="16"/>
                <w:szCs w:val="16"/>
              </w:rPr>
              <w:t>)</w:t>
            </w:r>
          </w:p>
        </w:tc>
        <w:tc>
          <w:tcPr>
            <w:tcW w:w="4675" w:type="dxa"/>
          </w:tcPr>
          <w:p w14:paraId="4DA2888D" w14:textId="1E074133" w:rsidR="0094549B" w:rsidRPr="00F01347" w:rsidRDefault="0094549B" w:rsidP="0094549B">
            <w:pPr>
              <w:pStyle w:val="texto0"/>
              <w:spacing w:line="21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r>
            <w:proofErr w:type="spellStart"/>
            <w:r w:rsidRPr="00F01347">
              <w:rPr>
                <w:rFonts w:ascii="Verdana" w:hAnsi="Verdana"/>
                <w:sz w:val="16"/>
                <w:szCs w:val="16"/>
                <w:lang w:val="en-US"/>
              </w:rPr>
              <w:t>deoxyNTPs</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MgCl</w:t>
            </w:r>
            <w:r w:rsidRPr="00F01347">
              <w:rPr>
                <w:rFonts w:ascii="Verdana" w:hAnsi="Verdana"/>
                <w:sz w:val="16"/>
                <w:szCs w:val="16"/>
                <w:vertAlign w:val="subscript"/>
                <w:lang w:val="en-US"/>
              </w:rPr>
              <w:t>2</w:t>
            </w:r>
            <w:r w:rsidR="003E1BA9" w:rsidRPr="00F01347">
              <w:rPr>
                <w:rFonts w:ascii="Verdana" w:hAnsi="Verdana"/>
                <w:sz w:val="16"/>
                <w:szCs w:val="16"/>
                <w:vertAlign w:val="subscript"/>
                <w:lang w:val="en-US"/>
              </w:rPr>
              <w:t>,</w:t>
            </w:r>
            <w:r w:rsidRPr="00F01347">
              <w:rPr>
                <w:rFonts w:ascii="Verdana" w:hAnsi="Verdana"/>
                <w:sz w:val="16"/>
                <w:szCs w:val="16"/>
                <w:vertAlign w:val="subscript"/>
                <w:lang w:val="en-US"/>
              </w:rPr>
              <w:t xml:space="preserve"> </w:t>
            </w:r>
            <w:r w:rsidRPr="00F01347">
              <w:rPr>
                <w:rFonts w:ascii="Verdana" w:hAnsi="Verdana"/>
                <w:sz w:val="16"/>
                <w:szCs w:val="16"/>
                <w:lang w:val="en-US"/>
              </w:rPr>
              <w:t>RNase inhibitor</w:t>
            </w:r>
            <w:r w:rsidR="003E1BA9" w:rsidRPr="00F01347">
              <w:rPr>
                <w:rFonts w:ascii="Verdana" w:hAnsi="Verdana"/>
                <w:sz w:val="16"/>
                <w:szCs w:val="16"/>
                <w:lang w:val="en-US"/>
              </w:rPr>
              <w:t>,</w:t>
            </w:r>
            <w:r w:rsidRPr="00F01347">
              <w:rPr>
                <w:rFonts w:ascii="Verdana" w:hAnsi="Verdana"/>
                <w:sz w:val="16"/>
                <w:szCs w:val="16"/>
                <w:lang w:val="en-US"/>
              </w:rPr>
              <w:t xml:space="preserve"> RNase -free water</w:t>
            </w:r>
            <w:r w:rsidR="003E1BA9" w:rsidRPr="00F01347">
              <w:rPr>
                <w:rFonts w:ascii="Verdana" w:hAnsi="Verdana"/>
                <w:sz w:val="16"/>
                <w:szCs w:val="16"/>
                <w:lang w:val="en-US"/>
              </w:rPr>
              <w:t>,</w:t>
            </w:r>
            <w:r w:rsidRPr="00F01347">
              <w:rPr>
                <w:rFonts w:ascii="Verdana" w:hAnsi="Verdana"/>
                <w:sz w:val="16"/>
                <w:szCs w:val="16"/>
                <w:lang w:val="en-US"/>
              </w:rPr>
              <w:t xml:space="preserve"> polymerase, </w:t>
            </w:r>
            <w:proofErr w:type="gramStart"/>
            <w:r w:rsidRPr="00F01347">
              <w:rPr>
                <w:rFonts w:ascii="Verdana" w:hAnsi="Verdana"/>
                <w:sz w:val="16"/>
                <w:szCs w:val="16"/>
                <w:lang w:val="en-US"/>
              </w:rPr>
              <w:t>buffer</w:t>
            </w:r>
            <w:proofErr w:type="gramEnd"/>
            <w:r w:rsidRPr="00F01347">
              <w:rPr>
                <w:rFonts w:ascii="Verdana" w:hAnsi="Verdana"/>
                <w:sz w:val="16"/>
                <w:szCs w:val="16"/>
                <w:lang w:val="en-US"/>
              </w:rPr>
              <w:t xml:space="preserve"> or master mix </w:t>
            </w:r>
            <w:r w:rsidR="00CB209C" w:rsidRPr="00F01347">
              <w:rPr>
                <w:rFonts w:ascii="Verdana" w:hAnsi="Verdana"/>
                <w:sz w:val="16"/>
                <w:szCs w:val="16"/>
                <w:lang w:val="en-US"/>
              </w:rPr>
              <w:t>(</w:t>
            </w:r>
            <w:r w:rsidRPr="00F01347">
              <w:rPr>
                <w:rFonts w:ascii="Verdana" w:hAnsi="Verdana"/>
                <w:sz w:val="16"/>
                <w:szCs w:val="16"/>
                <w:lang w:val="en-US"/>
              </w:rPr>
              <w:t>Master mix</w:t>
            </w:r>
            <w:r w:rsidR="00913802" w:rsidRPr="00F01347">
              <w:rPr>
                <w:rFonts w:ascii="Verdana" w:hAnsi="Verdana"/>
                <w:sz w:val="16"/>
                <w:szCs w:val="16"/>
                <w:lang w:val="en-US"/>
              </w:rPr>
              <w:t>)</w:t>
            </w:r>
          </w:p>
        </w:tc>
      </w:tr>
      <w:tr w:rsidR="0094549B" w:rsidRPr="00F01347" w14:paraId="189BDB52" w14:textId="735F42B6" w:rsidTr="0020509B">
        <w:tc>
          <w:tcPr>
            <w:tcW w:w="4675" w:type="dxa"/>
          </w:tcPr>
          <w:p w14:paraId="79E67177" w14:textId="77777777" w:rsidR="0094549B" w:rsidRPr="00F01347" w:rsidRDefault="0094549B" w:rsidP="0094549B">
            <w:pPr>
              <w:pStyle w:val="texto0"/>
              <w:spacing w:line="212" w:lineRule="exact"/>
              <w:ind w:firstLine="0"/>
              <w:rPr>
                <w:rFonts w:ascii="Verdana" w:hAnsi="Verdana"/>
                <w:i/>
                <w:sz w:val="16"/>
                <w:szCs w:val="16"/>
              </w:rPr>
            </w:pPr>
            <w:r w:rsidRPr="00F01347">
              <w:rPr>
                <w:rFonts w:ascii="Verdana" w:hAnsi="Verdana"/>
                <w:sz w:val="16"/>
                <w:szCs w:val="16"/>
              </w:rPr>
              <w:t>●</w:t>
            </w:r>
            <w:r w:rsidRPr="00F01347">
              <w:rPr>
                <w:rFonts w:ascii="Verdana" w:hAnsi="Verdana"/>
                <w:sz w:val="16"/>
                <w:szCs w:val="16"/>
              </w:rPr>
              <w:tab/>
              <w:t>cebadores de DNA (</w:t>
            </w:r>
            <w:proofErr w:type="spellStart"/>
            <w:r w:rsidRPr="00F01347">
              <w:rPr>
                <w:rFonts w:ascii="Verdana" w:hAnsi="Verdana"/>
                <w:sz w:val="16"/>
                <w:szCs w:val="16"/>
              </w:rPr>
              <w:t>primers</w:t>
            </w:r>
            <w:proofErr w:type="spellEnd"/>
            <w:r w:rsidRPr="00F01347">
              <w:rPr>
                <w:rFonts w:ascii="Verdana" w:hAnsi="Verdana"/>
                <w:sz w:val="16"/>
                <w:szCs w:val="16"/>
              </w:rPr>
              <w:t xml:space="preserve">) para la amplificación de una secuencia específica del genoma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p>
        </w:tc>
        <w:tc>
          <w:tcPr>
            <w:tcW w:w="4675" w:type="dxa"/>
          </w:tcPr>
          <w:p w14:paraId="288F37EE" w14:textId="2BB41E80" w:rsidR="0094549B" w:rsidRPr="00F01347" w:rsidRDefault="0094549B" w:rsidP="0094549B">
            <w:pPr>
              <w:pStyle w:val="texto0"/>
              <w:spacing w:line="21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DNA primers </w:t>
            </w:r>
            <w:r w:rsidR="00CB209C" w:rsidRPr="00F01347">
              <w:rPr>
                <w:rFonts w:ascii="Verdana" w:hAnsi="Verdana"/>
                <w:sz w:val="16"/>
                <w:szCs w:val="16"/>
                <w:lang w:val="en-US"/>
              </w:rPr>
              <w:t>(</w:t>
            </w:r>
            <w:r w:rsidRPr="00F01347">
              <w:rPr>
                <w:rFonts w:ascii="Verdana" w:hAnsi="Verdana"/>
                <w:sz w:val="16"/>
                <w:szCs w:val="16"/>
                <w:lang w:val="en-US"/>
              </w:rPr>
              <w:t>primers</w:t>
            </w:r>
            <w:r w:rsidR="00913802" w:rsidRPr="00F01347">
              <w:rPr>
                <w:rFonts w:ascii="Verdana" w:hAnsi="Verdana"/>
                <w:sz w:val="16"/>
                <w:szCs w:val="16"/>
                <w:lang w:val="en-US"/>
              </w:rPr>
              <w:t>)</w:t>
            </w:r>
            <w:r w:rsidRPr="00F01347">
              <w:rPr>
                <w:rFonts w:ascii="Verdana" w:hAnsi="Verdana"/>
                <w:sz w:val="16"/>
                <w:szCs w:val="16"/>
                <w:lang w:val="en-US"/>
              </w:rPr>
              <w:t xml:space="preserve"> for the amplification of a specific sequence of the </w:t>
            </w:r>
            <w:r w:rsidRPr="00F01347">
              <w:rPr>
                <w:rFonts w:ascii="Verdana" w:hAnsi="Verdana"/>
                <w:i/>
                <w:sz w:val="16"/>
                <w:szCs w:val="16"/>
                <w:lang w:val="en-US"/>
              </w:rPr>
              <w:t>Giardia genome lamblia</w:t>
            </w:r>
          </w:p>
        </w:tc>
      </w:tr>
      <w:tr w:rsidR="0094549B" w:rsidRPr="00F01347" w14:paraId="718A5594" w14:textId="63B2E061" w:rsidTr="0020509B">
        <w:tc>
          <w:tcPr>
            <w:tcW w:w="4675" w:type="dxa"/>
          </w:tcPr>
          <w:p w14:paraId="2E39915D" w14:textId="77777777" w:rsidR="0094549B" w:rsidRPr="00F01347" w:rsidRDefault="0094549B" w:rsidP="0094549B">
            <w:pPr>
              <w:pStyle w:val="texto0"/>
              <w:spacing w:line="212" w:lineRule="exact"/>
              <w:ind w:firstLine="0"/>
              <w:rPr>
                <w:rFonts w:ascii="Verdana" w:hAnsi="Verdana"/>
                <w:sz w:val="16"/>
                <w:szCs w:val="16"/>
              </w:rPr>
            </w:pPr>
            <w:r w:rsidRPr="00F01347">
              <w:rPr>
                <w:rFonts w:ascii="Verdana" w:hAnsi="Verdana"/>
                <w:sz w:val="16"/>
                <w:szCs w:val="16"/>
              </w:rPr>
              <w:lastRenderedPageBreak/>
              <w:t>●</w:t>
            </w:r>
            <w:r w:rsidRPr="00F01347">
              <w:rPr>
                <w:rFonts w:ascii="Verdana" w:hAnsi="Verdana"/>
                <w:sz w:val="16"/>
                <w:szCs w:val="16"/>
              </w:rPr>
              <w:tab/>
              <w:t>control positivo y control negativo para confirmar la integridad de los reactivos del kit</w:t>
            </w:r>
          </w:p>
        </w:tc>
        <w:tc>
          <w:tcPr>
            <w:tcW w:w="4675" w:type="dxa"/>
          </w:tcPr>
          <w:p w14:paraId="6056E684" w14:textId="169D6735" w:rsidR="0094549B" w:rsidRPr="00F01347" w:rsidRDefault="0094549B" w:rsidP="0094549B">
            <w:pPr>
              <w:pStyle w:val="texto0"/>
              <w:spacing w:line="21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positive control and negative control to confirm the integrity of the kit reagents</w:t>
            </w:r>
          </w:p>
        </w:tc>
      </w:tr>
      <w:tr w:rsidR="0094549B" w:rsidRPr="00F01347" w14:paraId="5F3366CA" w14:textId="51C2DAE6" w:rsidTr="0020509B">
        <w:tc>
          <w:tcPr>
            <w:tcW w:w="4675" w:type="dxa"/>
          </w:tcPr>
          <w:p w14:paraId="630202D4" w14:textId="77777777" w:rsidR="0094549B" w:rsidRPr="00F01347" w:rsidRDefault="0094549B" w:rsidP="0094549B">
            <w:pPr>
              <w:pStyle w:val="texto0"/>
              <w:spacing w:line="21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materiales necesarios para visualizar los segmentos amplificados del genoma de </w:t>
            </w:r>
            <w:proofErr w:type="spellStart"/>
            <w:r w:rsidRPr="00F01347">
              <w:rPr>
                <w:rFonts w:ascii="Verdana" w:hAnsi="Verdana"/>
                <w:i/>
                <w:sz w:val="16"/>
                <w:szCs w:val="16"/>
              </w:rPr>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por electroforesis (buffer de carga, marcador de peso molecular, etc.)</w:t>
            </w:r>
          </w:p>
        </w:tc>
        <w:tc>
          <w:tcPr>
            <w:tcW w:w="4675" w:type="dxa"/>
          </w:tcPr>
          <w:p w14:paraId="3B549707" w14:textId="6EB32841" w:rsidR="0094549B" w:rsidRPr="00F01347" w:rsidRDefault="0094549B" w:rsidP="0094549B">
            <w:pPr>
              <w:pStyle w:val="texto0"/>
              <w:spacing w:line="21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materials needed to visualize the amplified segments of the </w:t>
            </w:r>
            <w:r w:rsidRPr="00F01347">
              <w:rPr>
                <w:rFonts w:ascii="Verdana" w:hAnsi="Verdana"/>
                <w:i/>
                <w:sz w:val="16"/>
                <w:szCs w:val="16"/>
                <w:lang w:val="en-US"/>
              </w:rPr>
              <w:t xml:space="preserve">genome </w:t>
            </w:r>
            <w:r w:rsidR="003203D8" w:rsidRPr="00F01347">
              <w:rPr>
                <w:rFonts w:ascii="Verdana" w:hAnsi="Verdana"/>
                <w:i/>
                <w:sz w:val="16"/>
                <w:szCs w:val="16"/>
                <w:lang w:val="en-US"/>
              </w:rPr>
              <w:t>Giardia</w:t>
            </w:r>
            <w:r w:rsidR="003203D8" w:rsidRPr="00F01347">
              <w:rPr>
                <w:rFonts w:ascii="Verdana" w:hAnsi="Verdana"/>
                <w:i/>
                <w:sz w:val="16"/>
                <w:szCs w:val="16"/>
                <w:lang w:val="en-US"/>
              </w:rPr>
              <w:t xml:space="preserve"> </w:t>
            </w:r>
            <w:r w:rsidRPr="00F01347">
              <w:rPr>
                <w:rFonts w:ascii="Verdana" w:hAnsi="Verdana"/>
                <w:i/>
                <w:sz w:val="16"/>
                <w:szCs w:val="16"/>
                <w:lang w:val="en-US"/>
              </w:rPr>
              <w:t xml:space="preserve">lamblia </w:t>
            </w:r>
            <w:r w:rsidRPr="00F01347">
              <w:rPr>
                <w:rFonts w:ascii="Verdana" w:hAnsi="Verdana"/>
                <w:sz w:val="16"/>
                <w:szCs w:val="16"/>
                <w:lang w:val="en-US"/>
              </w:rPr>
              <w:t>by electrophoresis (loading buffer, molecular weight marker, etc.)</w:t>
            </w:r>
          </w:p>
        </w:tc>
      </w:tr>
      <w:tr w:rsidR="0094549B" w:rsidRPr="00F01347" w14:paraId="2F4CEF7D" w14:textId="6DD3C9B2" w:rsidTr="0020509B">
        <w:tc>
          <w:tcPr>
            <w:tcW w:w="4675" w:type="dxa"/>
          </w:tcPr>
          <w:p w14:paraId="51FB432D" w14:textId="77777777" w:rsidR="0094549B" w:rsidRPr="00F01347" w:rsidRDefault="0094549B" w:rsidP="0094549B">
            <w:pPr>
              <w:pStyle w:val="texto0"/>
              <w:spacing w:line="212" w:lineRule="exact"/>
              <w:ind w:firstLine="0"/>
              <w:rPr>
                <w:rFonts w:ascii="Verdana" w:hAnsi="Verdana"/>
                <w:sz w:val="16"/>
                <w:szCs w:val="16"/>
              </w:rPr>
            </w:pPr>
            <w:r w:rsidRPr="00F01347">
              <w:rPr>
                <w:rFonts w:ascii="Verdana" w:hAnsi="Verdana"/>
                <w:sz w:val="16"/>
                <w:szCs w:val="16"/>
              </w:rPr>
              <w:t>Las referencias a marcas específicas se incluyen sólo como ejemplos y no implican aprobación de los productos. Dicha referencia no excluye el uso de otros proveedores o fabricantes. Las referencias específicas pretenden únicamente representar especificaciones adecuadas para los artículos.</w:t>
            </w:r>
          </w:p>
        </w:tc>
        <w:tc>
          <w:tcPr>
            <w:tcW w:w="4675" w:type="dxa"/>
          </w:tcPr>
          <w:p w14:paraId="70EDA1D4" w14:textId="55951D15" w:rsidR="0094549B" w:rsidRPr="00F01347" w:rsidRDefault="0094549B" w:rsidP="0094549B">
            <w:pPr>
              <w:pStyle w:val="texto0"/>
              <w:spacing w:line="212" w:lineRule="exact"/>
              <w:ind w:firstLine="0"/>
              <w:rPr>
                <w:rFonts w:ascii="Verdana" w:hAnsi="Verdana"/>
                <w:sz w:val="16"/>
                <w:szCs w:val="16"/>
                <w:lang w:val="en-US"/>
              </w:rPr>
            </w:pPr>
            <w:r w:rsidRPr="00F01347">
              <w:rPr>
                <w:rFonts w:ascii="Verdana" w:hAnsi="Verdana"/>
                <w:sz w:val="16"/>
                <w:szCs w:val="16"/>
                <w:lang w:val="en-US"/>
              </w:rPr>
              <w:t>References to specific brands are included as examples only and do not imply endorsement of the products. This reference does not exclude the use of other suppliers or manufacturers. Specific references are intended only to represent appropriate specifications for the items.</w:t>
            </w:r>
          </w:p>
        </w:tc>
      </w:tr>
      <w:tr w:rsidR="0094549B" w:rsidRPr="00F01347" w14:paraId="63BC711F" w14:textId="6C3F634E" w:rsidTr="0020509B">
        <w:tc>
          <w:tcPr>
            <w:tcW w:w="4675" w:type="dxa"/>
          </w:tcPr>
          <w:p w14:paraId="358C5598" w14:textId="77777777" w:rsidR="0094549B" w:rsidRPr="00F01347" w:rsidRDefault="0094549B" w:rsidP="0094549B">
            <w:pPr>
              <w:pStyle w:val="texto0"/>
              <w:ind w:firstLine="0"/>
              <w:jc w:val="center"/>
              <w:rPr>
                <w:rFonts w:ascii="Verdana" w:hAnsi="Verdana"/>
                <w:b/>
                <w:sz w:val="16"/>
                <w:szCs w:val="16"/>
              </w:rPr>
            </w:pPr>
            <w:r w:rsidRPr="00F01347">
              <w:rPr>
                <w:rFonts w:ascii="Verdana" w:hAnsi="Verdana"/>
                <w:b/>
                <w:sz w:val="16"/>
                <w:szCs w:val="16"/>
              </w:rPr>
              <w:t>B.3 MÉTODO PARA LA DETERMINACIÓN DE BTEX (BENCENO, TOLUENO, ETILBENCENO Y XILENOS) Y ESTIRENO EN AGUA PARA USO Y CONSUMO HUMANO POR CROMATOGRAFÍA DE GASES CON DETECTOR DE ESPECTROMETRÍA DE MASAS</w:t>
            </w:r>
          </w:p>
        </w:tc>
        <w:tc>
          <w:tcPr>
            <w:tcW w:w="4675" w:type="dxa"/>
          </w:tcPr>
          <w:p w14:paraId="56D18811" w14:textId="54898F36" w:rsidR="0094549B" w:rsidRPr="00F01347" w:rsidRDefault="0094549B" w:rsidP="0094549B">
            <w:pPr>
              <w:pStyle w:val="texto0"/>
              <w:ind w:firstLine="0"/>
              <w:jc w:val="center"/>
              <w:rPr>
                <w:rFonts w:ascii="Verdana" w:hAnsi="Verdana"/>
                <w:b/>
                <w:sz w:val="16"/>
                <w:szCs w:val="16"/>
                <w:lang w:val="en-US"/>
              </w:rPr>
            </w:pPr>
            <w:r w:rsidRPr="00F01347">
              <w:rPr>
                <w:rFonts w:ascii="Verdana" w:hAnsi="Verdana"/>
                <w:b/>
                <w:sz w:val="16"/>
                <w:szCs w:val="16"/>
                <w:lang w:val="en-US"/>
              </w:rPr>
              <w:t>B.3 METHOD FOR THE DETERMINATION OF BTEX (BENZENE, TOLUENE, ETHYLBENZENE AND XYLENES) AND STYRENE IN WATER FOR HUMAN USE AND CONSUMPTION BY GAS CHROMATOGRAPHY WITH MASS SPECTROMETRY DETECTOR</w:t>
            </w:r>
          </w:p>
        </w:tc>
      </w:tr>
      <w:tr w:rsidR="0094549B" w:rsidRPr="00F01347" w14:paraId="4AE3425C" w14:textId="66FA2606" w:rsidTr="0020509B">
        <w:tc>
          <w:tcPr>
            <w:tcW w:w="4675" w:type="dxa"/>
          </w:tcPr>
          <w:p w14:paraId="4F4CA859" w14:textId="77777777" w:rsidR="0094549B" w:rsidRPr="00F01347" w:rsidRDefault="0094549B" w:rsidP="0094549B">
            <w:pPr>
              <w:pStyle w:val="texto0"/>
              <w:ind w:firstLine="0"/>
              <w:rPr>
                <w:rFonts w:ascii="Verdana" w:hAnsi="Verdana"/>
                <w:b/>
                <w:sz w:val="16"/>
                <w:szCs w:val="16"/>
              </w:rPr>
            </w:pPr>
            <w:r w:rsidRPr="00F01347">
              <w:rPr>
                <w:rFonts w:ascii="Verdana" w:hAnsi="Verdana"/>
                <w:b/>
                <w:sz w:val="16"/>
                <w:szCs w:val="16"/>
              </w:rPr>
              <w:t>B.3.1 Símbolos y términos abreviados</w:t>
            </w:r>
          </w:p>
        </w:tc>
        <w:tc>
          <w:tcPr>
            <w:tcW w:w="4675" w:type="dxa"/>
          </w:tcPr>
          <w:p w14:paraId="25919597" w14:textId="3C47E9A0" w:rsidR="0094549B" w:rsidRPr="00F01347" w:rsidRDefault="0094549B" w:rsidP="0094549B">
            <w:pPr>
              <w:pStyle w:val="texto0"/>
              <w:ind w:firstLine="0"/>
              <w:rPr>
                <w:rFonts w:ascii="Verdana" w:hAnsi="Verdana"/>
                <w:b/>
                <w:sz w:val="16"/>
                <w:szCs w:val="16"/>
                <w:lang w:val="en-US"/>
              </w:rPr>
            </w:pPr>
            <w:r w:rsidRPr="00F01347">
              <w:rPr>
                <w:rFonts w:ascii="Verdana" w:hAnsi="Verdana"/>
                <w:b/>
                <w:sz w:val="16"/>
                <w:szCs w:val="16"/>
                <w:lang w:val="en-US"/>
              </w:rPr>
              <w:t>B.3.1 Symbols and abbreviated terms</w:t>
            </w:r>
          </w:p>
        </w:tc>
      </w:tr>
    </w:tbl>
    <w:p w14:paraId="57102912" w14:textId="77777777" w:rsidR="00204B58" w:rsidRPr="00F01347" w:rsidRDefault="00204B58" w:rsidP="003A601B">
      <w:pPr>
        <w:pStyle w:val="texto0"/>
        <w:ind w:left="1170" w:hanging="882"/>
        <w:rPr>
          <w:rFonts w:ascii="Verdana" w:hAnsi="Verdana"/>
          <w:sz w:val="16"/>
          <w:szCs w:val="16"/>
          <w:lang w:val="en-US"/>
        </w:rPr>
      </w:pPr>
    </w:p>
    <w:tbl>
      <w:tblPr>
        <w:tblStyle w:val="TableGrid"/>
        <w:tblW w:w="5000" w:type="pct"/>
        <w:tblLook w:val="04A0" w:firstRow="1" w:lastRow="0" w:firstColumn="1" w:lastColumn="0" w:noHBand="0" w:noVBand="1"/>
      </w:tblPr>
      <w:tblGrid>
        <w:gridCol w:w="1435"/>
        <w:gridCol w:w="3957"/>
        <w:gridCol w:w="3958"/>
      </w:tblGrid>
      <w:tr w:rsidR="00CE0594" w:rsidRPr="00F01347" w14:paraId="79129E82" w14:textId="6CA53DDE" w:rsidTr="00CE0594">
        <w:tc>
          <w:tcPr>
            <w:tcW w:w="1435" w:type="dxa"/>
          </w:tcPr>
          <w:p w14:paraId="540A20A9"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BFB</w:t>
            </w:r>
          </w:p>
        </w:tc>
        <w:tc>
          <w:tcPr>
            <w:tcW w:w="3957" w:type="dxa"/>
          </w:tcPr>
          <w:p w14:paraId="2393D301"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4-bromofluorobenceno</w:t>
            </w:r>
          </w:p>
        </w:tc>
        <w:tc>
          <w:tcPr>
            <w:tcW w:w="3958" w:type="dxa"/>
          </w:tcPr>
          <w:p w14:paraId="1A435713" w14:textId="30B111EB"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4-bromofluorobenzene</w:t>
            </w:r>
          </w:p>
        </w:tc>
      </w:tr>
      <w:tr w:rsidR="00CE0594" w:rsidRPr="00F01347" w14:paraId="077887D7" w14:textId="4DA5DD1B" w:rsidTr="00CE0594">
        <w:tc>
          <w:tcPr>
            <w:tcW w:w="1435" w:type="dxa"/>
          </w:tcPr>
          <w:p w14:paraId="5A57D690"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BTEX</w:t>
            </w:r>
          </w:p>
        </w:tc>
        <w:tc>
          <w:tcPr>
            <w:tcW w:w="3957" w:type="dxa"/>
          </w:tcPr>
          <w:p w14:paraId="76CF3D88"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benceno, tolueno, etilbenceno y xilenos (orto, meta y para)</w:t>
            </w:r>
          </w:p>
        </w:tc>
        <w:tc>
          <w:tcPr>
            <w:tcW w:w="3958" w:type="dxa"/>
          </w:tcPr>
          <w:p w14:paraId="6F2043B3" w14:textId="14092749"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 xml:space="preserve">benzene, toluene, </w:t>
            </w:r>
            <w:proofErr w:type="gramStart"/>
            <w:r w:rsidRPr="00F01347">
              <w:rPr>
                <w:rFonts w:ascii="Verdana" w:hAnsi="Verdana"/>
                <w:sz w:val="16"/>
                <w:szCs w:val="16"/>
                <w:lang w:val="en-US"/>
              </w:rPr>
              <w:t>ethylbenzene</w:t>
            </w:r>
            <w:proofErr w:type="gramEnd"/>
            <w:r w:rsidRPr="00F01347">
              <w:rPr>
                <w:rFonts w:ascii="Verdana" w:hAnsi="Verdana"/>
                <w:sz w:val="16"/>
                <w:szCs w:val="16"/>
                <w:lang w:val="en-US"/>
              </w:rPr>
              <w:t xml:space="preserve"> and xylenes (ortho, meta and para)</w:t>
            </w:r>
          </w:p>
        </w:tc>
      </w:tr>
      <w:tr w:rsidR="00CE0594" w:rsidRPr="00F01347" w14:paraId="18EB0CEE" w14:textId="315B537B" w:rsidTr="00CE0594">
        <w:tc>
          <w:tcPr>
            <w:tcW w:w="1435" w:type="dxa"/>
          </w:tcPr>
          <w:p w14:paraId="35FFF948" w14:textId="77777777" w:rsidR="00CE0594" w:rsidRPr="00F01347" w:rsidRDefault="00CE0594" w:rsidP="00CE0594">
            <w:pPr>
              <w:pStyle w:val="texto0"/>
              <w:ind w:firstLine="0"/>
              <w:rPr>
                <w:rFonts w:ascii="Verdana" w:hAnsi="Verdana"/>
                <w:sz w:val="16"/>
                <w:szCs w:val="16"/>
              </w:rPr>
            </w:pPr>
            <w:proofErr w:type="spellStart"/>
            <w:r w:rsidRPr="00F01347">
              <w:rPr>
                <w:rFonts w:ascii="Verdana" w:hAnsi="Verdana"/>
                <w:sz w:val="16"/>
                <w:szCs w:val="16"/>
              </w:rPr>
              <w:t>CdC</w:t>
            </w:r>
            <w:proofErr w:type="spellEnd"/>
          </w:p>
        </w:tc>
        <w:tc>
          <w:tcPr>
            <w:tcW w:w="3957" w:type="dxa"/>
          </w:tcPr>
          <w:p w14:paraId="380AFF25"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curva de calibración</w:t>
            </w:r>
          </w:p>
        </w:tc>
        <w:tc>
          <w:tcPr>
            <w:tcW w:w="3958" w:type="dxa"/>
          </w:tcPr>
          <w:p w14:paraId="179E669C" w14:textId="3E34D6DD"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calibration curve</w:t>
            </w:r>
          </w:p>
        </w:tc>
      </w:tr>
      <w:tr w:rsidR="00CE0594" w:rsidRPr="00F01347" w14:paraId="71101193" w14:textId="3E5ED117" w:rsidTr="00CE0594">
        <w:tc>
          <w:tcPr>
            <w:tcW w:w="1435" w:type="dxa"/>
          </w:tcPr>
          <w:p w14:paraId="0C5BBBD0"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CG</w:t>
            </w:r>
          </w:p>
        </w:tc>
        <w:tc>
          <w:tcPr>
            <w:tcW w:w="3957" w:type="dxa"/>
          </w:tcPr>
          <w:p w14:paraId="3640DAA1"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cromatógrafo de gases</w:t>
            </w:r>
          </w:p>
        </w:tc>
        <w:tc>
          <w:tcPr>
            <w:tcW w:w="3958" w:type="dxa"/>
          </w:tcPr>
          <w:p w14:paraId="5688282F" w14:textId="0C23B0BC"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gas chromatograph</w:t>
            </w:r>
          </w:p>
        </w:tc>
      </w:tr>
      <w:tr w:rsidR="00CE0594" w:rsidRPr="00F01347" w14:paraId="0DF2C0BA" w14:textId="03104B8E" w:rsidTr="00CE0594">
        <w:tc>
          <w:tcPr>
            <w:tcW w:w="1435" w:type="dxa"/>
          </w:tcPr>
          <w:p w14:paraId="107F325C"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CG/EM</w:t>
            </w:r>
          </w:p>
        </w:tc>
        <w:tc>
          <w:tcPr>
            <w:tcW w:w="3957" w:type="dxa"/>
          </w:tcPr>
          <w:p w14:paraId="7ABBB3EF"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cromatografía de gases con detector de espectrometría de masas</w:t>
            </w:r>
          </w:p>
        </w:tc>
        <w:tc>
          <w:tcPr>
            <w:tcW w:w="3958" w:type="dxa"/>
          </w:tcPr>
          <w:p w14:paraId="232F25C2" w14:textId="503FC49C"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gas chromatography with mass spectrometry detector</w:t>
            </w:r>
          </w:p>
        </w:tc>
      </w:tr>
      <w:tr w:rsidR="00CE0594" w:rsidRPr="00F01347" w14:paraId="34C07CAD" w14:textId="0C4F6F43" w:rsidTr="00CE0594">
        <w:tc>
          <w:tcPr>
            <w:tcW w:w="1435" w:type="dxa"/>
          </w:tcPr>
          <w:p w14:paraId="34D85E70"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DE</w:t>
            </w:r>
          </w:p>
        </w:tc>
        <w:tc>
          <w:tcPr>
            <w:tcW w:w="3957" w:type="dxa"/>
          </w:tcPr>
          <w:p w14:paraId="6BABB15F"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desviación estándar</w:t>
            </w:r>
          </w:p>
        </w:tc>
        <w:tc>
          <w:tcPr>
            <w:tcW w:w="3958" w:type="dxa"/>
          </w:tcPr>
          <w:p w14:paraId="5E6C2532" w14:textId="396663DF"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standard deviation</w:t>
            </w:r>
          </w:p>
        </w:tc>
      </w:tr>
      <w:tr w:rsidR="00CE0594" w:rsidRPr="00F01347" w14:paraId="0FC3CAC9" w14:textId="44C50EE9" w:rsidTr="00CE0594">
        <w:tc>
          <w:tcPr>
            <w:tcW w:w="1435" w:type="dxa"/>
          </w:tcPr>
          <w:p w14:paraId="577BD9BB"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EICP</w:t>
            </w:r>
          </w:p>
        </w:tc>
        <w:tc>
          <w:tcPr>
            <w:tcW w:w="3957" w:type="dxa"/>
          </w:tcPr>
          <w:p w14:paraId="455CAF74"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perfil común de iones extraídos</w:t>
            </w:r>
          </w:p>
        </w:tc>
        <w:tc>
          <w:tcPr>
            <w:tcW w:w="3958" w:type="dxa"/>
          </w:tcPr>
          <w:p w14:paraId="56D9D490" w14:textId="28123BA1"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common profile of extracted ions</w:t>
            </w:r>
          </w:p>
        </w:tc>
      </w:tr>
      <w:tr w:rsidR="00CE0594" w:rsidRPr="00F01347" w14:paraId="42E3D326" w14:textId="1AC6A028" w:rsidTr="00CE0594">
        <w:tc>
          <w:tcPr>
            <w:tcW w:w="1435" w:type="dxa"/>
          </w:tcPr>
          <w:p w14:paraId="65474C19"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EM</w:t>
            </w:r>
          </w:p>
        </w:tc>
        <w:tc>
          <w:tcPr>
            <w:tcW w:w="3957" w:type="dxa"/>
          </w:tcPr>
          <w:p w14:paraId="7B3F3511"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espectrometría de masas</w:t>
            </w:r>
          </w:p>
        </w:tc>
        <w:tc>
          <w:tcPr>
            <w:tcW w:w="3958" w:type="dxa"/>
          </w:tcPr>
          <w:p w14:paraId="50FADB86" w14:textId="5E864C41"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mass spectrometry</w:t>
            </w:r>
          </w:p>
        </w:tc>
      </w:tr>
      <w:tr w:rsidR="00CE0594" w:rsidRPr="00F01347" w14:paraId="6DFB261B" w14:textId="31A6AF64" w:rsidTr="00CE0594">
        <w:tc>
          <w:tcPr>
            <w:tcW w:w="1435" w:type="dxa"/>
          </w:tcPr>
          <w:p w14:paraId="392829F4"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EMIE</w:t>
            </w:r>
          </w:p>
        </w:tc>
        <w:tc>
          <w:tcPr>
            <w:tcW w:w="3957" w:type="dxa"/>
          </w:tcPr>
          <w:p w14:paraId="54DE449D"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ionización de impacto electrónico</w:t>
            </w:r>
          </w:p>
        </w:tc>
        <w:tc>
          <w:tcPr>
            <w:tcW w:w="3958" w:type="dxa"/>
          </w:tcPr>
          <w:p w14:paraId="62A36831" w14:textId="61283F5D"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electron impact ionization</w:t>
            </w:r>
          </w:p>
        </w:tc>
      </w:tr>
      <w:tr w:rsidR="00CE0594" w:rsidRPr="00F01347" w14:paraId="4F93B29C" w14:textId="7518CECD" w:rsidTr="00CE0594">
        <w:tc>
          <w:tcPr>
            <w:tcW w:w="1435" w:type="dxa"/>
          </w:tcPr>
          <w:p w14:paraId="56F1C94D"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FR</w:t>
            </w:r>
          </w:p>
        </w:tc>
        <w:tc>
          <w:tcPr>
            <w:tcW w:w="3957" w:type="dxa"/>
          </w:tcPr>
          <w:p w14:paraId="14C4739B"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factor de respuesta</w:t>
            </w:r>
          </w:p>
        </w:tc>
        <w:tc>
          <w:tcPr>
            <w:tcW w:w="3958" w:type="dxa"/>
          </w:tcPr>
          <w:p w14:paraId="53C28801" w14:textId="6013C63F"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response factor</w:t>
            </w:r>
          </w:p>
        </w:tc>
      </w:tr>
      <w:tr w:rsidR="00CE0594" w:rsidRPr="00F01347" w14:paraId="5752B5A5" w14:textId="640D1EB6" w:rsidTr="00CE0594">
        <w:tc>
          <w:tcPr>
            <w:tcW w:w="1435" w:type="dxa"/>
          </w:tcPr>
          <w:p w14:paraId="7037F870"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FRR</w:t>
            </w:r>
          </w:p>
        </w:tc>
        <w:tc>
          <w:tcPr>
            <w:tcW w:w="3957" w:type="dxa"/>
          </w:tcPr>
          <w:p w14:paraId="2E42E4DD"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factores de respuesta</w:t>
            </w:r>
          </w:p>
        </w:tc>
        <w:tc>
          <w:tcPr>
            <w:tcW w:w="3958" w:type="dxa"/>
          </w:tcPr>
          <w:p w14:paraId="66602580" w14:textId="71A95B91"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response factors</w:t>
            </w:r>
          </w:p>
        </w:tc>
      </w:tr>
      <w:tr w:rsidR="00CE0594" w:rsidRPr="00F01347" w14:paraId="1B363B66" w14:textId="2C23A6C0" w:rsidTr="00CE0594">
        <w:tc>
          <w:tcPr>
            <w:tcW w:w="1435" w:type="dxa"/>
          </w:tcPr>
          <w:p w14:paraId="1B0F6019"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m/z</w:t>
            </w:r>
          </w:p>
        </w:tc>
        <w:tc>
          <w:tcPr>
            <w:tcW w:w="3957" w:type="dxa"/>
          </w:tcPr>
          <w:p w14:paraId="37E65ACD"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masa/carga</w:t>
            </w:r>
          </w:p>
        </w:tc>
        <w:tc>
          <w:tcPr>
            <w:tcW w:w="3958" w:type="dxa"/>
          </w:tcPr>
          <w:p w14:paraId="6EC0ED10" w14:textId="092AAD1C"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mass/charge</w:t>
            </w:r>
          </w:p>
        </w:tc>
      </w:tr>
      <w:tr w:rsidR="00CE0594" w:rsidRPr="00F01347" w14:paraId="4911C909" w14:textId="09F18614" w:rsidTr="00CE0594">
        <w:tc>
          <w:tcPr>
            <w:tcW w:w="1435" w:type="dxa"/>
          </w:tcPr>
          <w:p w14:paraId="0A917221"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PCIE</w:t>
            </w:r>
          </w:p>
        </w:tc>
        <w:tc>
          <w:tcPr>
            <w:tcW w:w="3957" w:type="dxa"/>
          </w:tcPr>
          <w:p w14:paraId="08D406B3"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perfil de corriente de iones extraídos</w:t>
            </w:r>
          </w:p>
        </w:tc>
        <w:tc>
          <w:tcPr>
            <w:tcW w:w="3958" w:type="dxa"/>
          </w:tcPr>
          <w:p w14:paraId="11B16E3B" w14:textId="453FC025"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extracted ion current profile</w:t>
            </w:r>
          </w:p>
        </w:tc>
      </w:tr>
      <w:tr w:rsidR="00CE0594" w:rsidRPr="00F01347" w14:paraId="728B61AD" w14:textId="387AF3CF" w:rsidTr="00CE0594">
        <w:tc>
          <w:tcPr>
            <w:tcW w:w="1435" w:type="dxa"/>
          </w:tcPr>
          <w:p w14:paraId="4A5A2719"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PTFE</w:t>
            </w:r>
          </w:p>
        </w:tc>
        <w:tc>
          <w:tcPr>
            <w:tcW w:w="3957" w:type="dxa"/>
          </w:tcPr>
          <w:p w14:paraId="7F9AD932"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politetrafluoroetileno</w:t>
            </w:r>
          </w:p>
        </w:tc>
        <w:tc>
          <w:tcPr>
            <w:tcW w:w="3958" w:type="dxa"/>
          </w:tcPr>
          <w:p w14:paraId="5FE82A3C" w14:textId="39BB3564"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polytetrafluoroethylene</w:t>
            </w:r>
          </w:p>
        </w:tc>
      </w:tr>
      <w:tr w:rsidR="00CE0594" w:rsidRPr="00F01347" w14:paraId="5D00D6D1" w14:textId="1E5D5527" w:rsidTr="00CE0594">
        <w:tc>
          <w:tcPr>
            <w:tcW w:w="1435" w:type="dxa"/>
          </w:tcPr>
          <w:p w14:paraId="682F1644"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R</w:t>
            </w:r>
          </w:p>
        </w:tc>
        <w:tc>
          <w:tcPr>
            <w:tcW w:w="3957" w:type="dxa"/>
          </w:tcPr>
          <w:p w14:paraId="7176289C"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coeficiente de correlación adimensional</w:t>
            </w:r>
          </w:p>
        </w:tc>
        <w:tc>
          <w:tcPr>
            <w:tcW w:w="3958" w:type="dxa"/>
          </w:tcPr>
          <w:p w14:paraId="7D987F86" w14:textId="5DFC1106"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dimensionless correlation coefficient</w:t>
            </w:r>
          </w:p>
        </w:tc>
      </w:tr>
      <w:tr w:rsidR="00CE0594" w:rsidRPr="00F01347" w14:paraId="0F761AE5" w14:textId="662BF5A9" w:rsidTr="00CE0594">
        <w:tc>
          <w:tcPr>
            <w:tcW w:w="1435" w:type="dxa"/>
          </w:tcPr>
          <w:p w14:paraId="043DEA5E"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%DER</w:t>
            </w:r>
          </w:p>
        </w:tc>
        <w:tc>
          <w:tcPr>
            <w:tcW w:w="3957" w:type="dxa"/>
          </w:tcPr>
          <w:p w14:paraId="5654D4D7" w14:textId="77777777" w:rsidR="00CE0594" w:rsidRPr="00F01347" w:rsidRDefault="00CE0594" w:rsidP="00CE0594">
            <w:pPr>
              <w:pStyle w:val="texto0"/>
              <w:ind w:firstLine="0"/>
              <w:rPr>
                <w:rFonts w:ascii="Verdana" w:hAnsi="Verdana"/>
                <w:sz w:val="16"/>
                <w:szCs w:val="16"/>
              </w:rPr>
            </w:pPr>
            <w:r w:rsidRPr="00F01347">
              <w:rPr>
                <w:rFonts w:ascii="Verdana" w:hAnsi="Verdana"/>
                <w:sz w:val="16"/>
                <w:szCs w:val="16"/>
              </w:rPr>
              <w:t>desviación estándar relativa</w:t>
            </w:r>
          </w:p>
        </w:tc>
        <w:tc>
          <w:tcPr>
            <w:tcW w:w="3958" w:type="dxa"/>
          </w:tcPr>
          <w:p w14:paraId="3F7C392C" w14:textId="2A25E8E6" w:rsidR="00CE0594" w:rsidRPr="00F01347" w:rsidRDefault="00CE0594" w:rsidP="00CE0594">
            <w:pPr>
              <w:pStyle w:val="texto0"/>
              <w:ind w:firstLine="0"/>
              <w:rPr>
                <w:rFonts w:ascii="Verdana" w:hAnsi="Verdana"/>
                <w:sz w:val="16"/>
                <w:szCs w:val="16"/>
                <w:lang w:val="en-US"/>
              </w:rPr>
            </w:pPr>
            <w:r w:rsidRPr="00F01347">
              <w:rPr>
                <w:rFonts w:ascii="Verdana" w:hAnsi="Verdana"/>
                <w:sz w:val="16"/>
                <w:szCs w:val="16"/>
                <w:lang w:val="en-US"/>
              </w:rPr>
              <w:t>relative standard deviation</w:t>
            </w:r>
          </w:p>
        </w:tc>
      </w:tr>
    </w:tbl>
    <w:p w14:paraId="4589D268" w14:textId="77777777" w:rsidR="00204B58" w:rsidRPr="00F01347" w:rsidRDefault="00204B58" w:rsidP="003A601B">
      <w:pPr>
        <w:pStyle w:val="texto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66633" w:rsidRPr="00F01347" w14:paraId="3BA9B0DD" w14:textId="78F7746E" w:rsidTr="003203D8">
        <w:tc>
          <w:tcPr>
            <w:tcW w:w="4675" w:type="dxa"/>
          </w:tcPr>
          <w:p w14:paraId="4D9DD964" w14:textId="77777777" w:rsidR="00266633" w:rsidRPr="00F01347" w:rsidRDefault="00266633" w:rsidP="00266633">
            <w:pPr>
              <w:pStyle w:val="texto0"/>
              <w:ind w:firstLine="0"/>
              <w:rPr>
                <w:rFonts w:ascii="Verdana" w:hAnsi="Verdana"/>
                <w:b/>
                <w:sz w:val="16"/>
                <w:szCs w:val="16"/>
              </w:rPr>
            </w:pPr>
            <w:r w:rsidRPr="00F01347">
              <w:rPr>
                <w:rFonts w:ascii="Verdana" w:hAnsi="Verdana"/>
                <w:b/>
                <w:sz w:val="16"/>
                <w:szCs w:val="16"/>
              </w:rPr>
              <w:t>B.3.2 Principio</w:t>
            </w:r>
          </w:p>
        </w:tc>
        <w:tc>
          <w:tcPr>
            <w:tcW w:w="4675" w:type="dxa"/>
          </w:tcPr>
          <w:p w14:paraId="483AA795" w14:textId="6898E76A" w:rsidR="00266633" w:rsidRPr="00F01347" w:rsidRDefault="00266633" w:rsidP="00266633">
            <w:pPr>
              <w:pStyle w:val="texto0"/>
              <w:ind w:firstLine="0"/>
              <w:rPr>
                <w:rFonts w:ascii="Verdana" w:hAnsi="Verdana"/>
                <w:b/>
                <w:sz w:val="16"/>
                <w:szCs w:val="16"/>
                <w:lang w:val="en-US"/>
              </w:rPr>
            </w:pPr>
            <w:r w:rsidRPr="00F01347">
              <w:rPr>
                <w:rFonts w:ascii="Verdana" w:hAnsi="Verdana"/>
                <w:b/>
                <w:sz w:val="16"/>
                <w:szCs w:val="16"/>
                <w:lang w:val="en-US"/>
              </w:rPr>
              <w:t>B.3.2 Principle</w:t>
            </w:r>
          </w:p>
        </w:tc>
      </w:tr>
      <w:tr w:rsidR="00266633" w:rsidRPr="00F01347" w14:paraId="3A672054" w14:textId="2A210447" w:rsidTr="003203D8">
        <w:tc>
          <w:tcPr>
            <w:tcW w:w="4675" w:type="dxa"/>
          </w:tcPr>
          <w:p w14:paraId="77F2D876" w14:textId="77777777" w:rsidR="00266633" w:rsidRPr="00F01347" w:rsidRDefault="00266633" w:rsidP="00266633">
            <w:pPr>
              <w:pStyle w:val="texto0"/>
              <w:ind w:firstLine="0"/>
              <w:rPr>
                <w:rFonts w:ascii="Verdana" w:hAnsi="Verdana"/>
                <w:sz w:val="16"/>
                <w:szCs w:val="16"/>
              </w:rPr>
            </w:pPr>
            <w:r w:rsidRPr="00F01347">
              <w:rPr>
                <w:rFonts w:ascii="Verdana" w:hAnsi="Verdana"/>
                <w:sz w:val="16"/>
                <w:szCs w:val="16"/>
              </w:rPr>
              <w:t xml:space="preserve">Los compuestos orgánicos volátiles son transferidos eficientemente de la fase acuosa a la fase gaseosa mediante burbujeo de un gas inerte en la muestra. La fase gaseosa es arrastrada a través de una trampa en la cual se adsorben los analitos de interés. Al finalizar la purga, la trampa se calienta para </w:t>
            </w:r>
            <w:proofErr w:type="spellStart"/>
            <w:r w:rsidRPr="00F01347">
              <w:rPr>
                <w:rFonts w:ascii="Verdana" w:hAnsi="Verdana"/>
                <w:sz w:val="16"/>
                <w:szCs w:val="16"/>
              </w:rPr>
              <w:t>desorber</w:t>
            </w:r>
            <w:proofErr w:type="spellEnd"/>
            <w:r w:rsidRPr="00F01347">
              <w:rPr>
                <w:rFonts w:ascii="Verdana" w:hAnsi="Verdana"/>
                <w:sz w:val="16"/>
                <w:szCs w:val="16"/>
              </w:rPr>
              <w:t xml:space="preserve"> los compuestos y con el mismo gas inerte son introducidos en la columna cromatográfica. El cromatógrafo de gases </w:t>
            </w:r>
            <w:r w:rsidRPr="00F01347">
              <w:rPr>
                <w:rFonts w:ascii="Verdana" w:hAnsi="Verdana"/>
                <w:sz w:val="16"/>
                <w:szCs w:val="16"/>
              </w:rPr>
              <w:lastRenderedPageBreak/>
              <w:t>se programa a una temperatura para separar los analitos de la muestra, los cuales son identificados y a su vez cuantificados por el espectrómetro de masas. La cuantificación se realiza comparando la respuesta de los iones característicos con una curva de calibración.</w:t>
            </w:r>
          </w:p>
        </w:tc>
        <w:tc>
          <w:tcPr>
            <w:tcW w:w="4675" w:type="dxa"/>
          </w:tcPr>
          <w:p w14:paraId="4FADE0EC" w14:textId="4CF2BD60" w:rsidR="00266633" w:rsidRPr="00F01347" w:rsidRDefault="00266633" w:rsidP="00266633">
            <w:pPr>
              <w:pStyle w:val="texto0"/>
              <w:ind w:firstLine="0"/>
              <w:rPr>
                <w:rFonts w:ascii="Verdana" w:hAnsi="Verdana"/>
                <w:sz w:val="16"/>
                <w:szCs w:val="16"/>
                <w:lang w:val="en-US"/>
              </w:rPr>
            </w:pPr>
            <w:r w:rsidRPr="00F01347">
              <w:rPr>
                <w:rFonts w:ascii="Verdana" w:hAnsi="Verdana"/>
                <w:sz w:val="16"/>
                <w:szCs w:val="16"/>
                <w:lang w:val="en-US"/>
              </w:rPr>
              <w:lastRenderedPageBreak/>
              <w:t xml:space="preserve">Volatile organic compounds are efficiently transferred from the aqueous phase to the gas phase by bubbling an inert gas into the sample. The gas phase is dragged through a trap in which the analytes of interest are adsorbed. At the end of the purge, the trap is heated to desorb the compounds and with the same inert gas they are introduced into the chromatographic column. The gas chromatograph is programmed at a temperature to </w:t>
            </w:r>
            <w:r w:rsidRPr="00F01347">
              <w:rPr>
                <w:rFonts w:ascii="Verdana" w:hAnsi="Verdana"/>
                <w:sz w:val="16"/>
                <w:szCs w:val="16"/>
                <w:lang w:val="en-US"/>
              </w:rPr>
              <w:lastRenderedPageBreak/>
              <w:t>separate the analytes from the sample, which are identified and in turn quantified by the mass spectrometer. Quantification is performed by comparing the response of the characteristic ions with a calibration curve.</w:t>
            </w:r>
          </w:p>
        </w:tc>
      </w:tr>
      <w:tr w:rsidR="00266633" w:rsidRPr="00F01347" w14:paraId="145A29B8" w14:textId="2A65A68D" w:rsidTr="003203D8">
        <w:tc>
          <w:tcPr>
            <w:tcW w:w="4675" w:type="dxa"/>
          </w:tcPr>
          <w:p w14:paraId="214FFAED" w14:textId="77777777" w:rsidR="00266633" w:rsidRPr="00F01347" w:rsidRDefault="00266633" w:rsidP="00266633">
            <w:pPr>
              <w:pStyle w:val="texto0"/>
              <w:ind w:firstLine="0"/>
              <w:rPr>
                <w:rFonts w:ascii="Verdana" w:hAnsi="Verdana"/>
                <w:sz w:val="16"/>
                <w:szCs w:val="16"/>
              </w:rPr>
            </w:pPr>
            <w:r w:rsidRPr="00F01347">
              <w:rPr>
                <w:rFonts w:ascii="Verdana" w:hAnsi="Verdana"/>
                <w:sz w:val="16"/>
                <w:szCs w:val="16"/>
              </w:rPr>
              <w:lastRenderedPageBreak/>
              <w:t>La identificación de los analitos de interés se logra comparando sus espectros de masas con los espectros de masas de estándares. La cuantificación se logra comparando la respuesta de un ion (cuantificación) con respecto a un estándar interno usando una curva de calibración apropiada para la aplicación deseada.</w:t>
            </w:r>
          </w:p>
        </w:tc>
        <w:tc>
          <w:tcPr>
            <w:tcW w:w="4675" w:type="dxa"/>
          </w:tcPr>
          <w:p w14:paraId="18B326AC" w14:textId="1757ECFC" w:rsidR="00266633" w:rsidRPr="00F01347" w:rsidRDefault="00266633" w:rsidP="00266633">
            <w:pPr>
              <w:pStyle w:val="texto0"/>
              <w:ind w:firstLine="0"/>
              <w:rPr>
                <w:rFonts w:ascii="Verdana" w:hAnsi="Verdana"/>
                <w:sz w:val="16"/>
                <w:szCs w:val="16"/>
                <w:lang w:val="en-US"/>
              </w:rPr>
            </w:pPr>
            <w:r w:rsidRPr="00F01347">
              <w:rPr>
                <w:rFonts w:ascii="Verdana" w:hAnsi="Verdana"/>
                <w:sz w:val="16"/>
                <w:szCs w:val="16"/>
                <w:lang w:val="en-US"/>
              </w:rPr>
              <w:t>Identification of analytes of interest is achieved by comparing their mass spectra with the mass spectra of standards. Quantification is achieved by comparing the response of an ion (quantification) with respect to an internal standard using a calibration curve appropriate for the desired application.</w:t>
            </w:r>
          </w:p>
        </w:tc>
      </w:tr>
      <w:tr w:rsidR="00266633" w:rsidRPr="00F01347" w14:paraId="19440B64" w14:textId="711E5BD7" w:rsidTr="003203D8">
        <w:tc>
          <w:tcPr>
            <w:tcW w:w="4675" w:type="dxa"/>
          </w:tcPr>
          <w:p w14:paraId="61FF4697" w14:textId="77777777" w:rsidR="00266633" w:rsidRPr="00F01347" w:rsidRDefault="00266633" w:rsidP="00266633">
            <w:pPr>
              <w:pStyle w:val="texto0"/>
              <w:ind w:firstLine="0"/>
              <w:rPr>
                <w:rFonts w:ascii="Verdana" w:hAnsi="Verdana"/>
                <w:b/>
                <w:sz w:val="16"/>
                <w:szCs w:val="16"/>
              </w:rPr>
            </w:pPr>
            <w:r w:rsidRPr="00F01347">
              <w:rPr>
                <w:rFonts w:ascii="Verdana" w:hAnsi="Verdana"/>
                <w:b/>
                <w:sz w:val="16"/>
                <w:szCs w:val="16"/>
              </w:rPr>
              <w:t>B.3.3 Alcance y aplicación</w:t>
            </w:r>
          </w:p>
        </w:tc>
        <w:tc>
          <w:tcPr>
            <w:tcW w:w="4675" w:type="dxa"/>
          </w:tcPr>
          <w:p w14:paraId="34B63E64" w14:textId="232B429C" w:rsidR="00266633" w:rsidRPr="00F01347" w:rsidRDefault="00266633" w:rsidP="00266633">
            <w:pPr>
              <w:pStyle w:val="texto0"/>
              <w:ind w:firstLine="0"/>
              <w:rPr>
                <w:rFonts w:ascii="Verdana" w:hAnsi="Verdana"/>
                <w:b/>
                <w:sz w:val="16"/>
                <w:szCs w:val="16"/>
                <w:lang w:val="en-US"/>
              </w:rPr>
            </w:pPr>
            <w:r w:rsidRPr="00F01347">
              <w:rPr>
                <w:rFonts w:ascii="Verdana" w:hAnsi="Verdana"/>
                <w:b/>
                <w:sz w:val="16"/>
                <w:szCs w:val="16"/>
                <w:lang w:val="en-US"/>
              </w:rPr>
              <w:t>B.3.3 Scope and application</w:t>
            </w:r>
          </w:p>
        </w:tc>
      </w:tr>
      <w:tr w:rsidR="00266633" w:rsidRPr="00F01347" w14:paraId="57192E02" w14:textId="37161004" w:rsidTr="003203D8">
        <w:tc>
          <w:tcPr>
            <w:tcW w:w="4675" w:type="dxa"/>
          </w:tcPr>
          <w:p w14:paraId="6275AA75" w14:textId="77777777" w:rsidR="00266633" w:rsidRPr="00F01347" w:rsidRDefault="00266633" w:rsidP="00266633">
            <w:pPr>
              <w:pStyle w:val="texto0"/>
              <w:ind w:firstLine="0"/>
              <w:rPr>
                <w:rFonts w:ascii="Verdana" w:hAnsi="Verdana"/>
                <w:sz w:val="16"/>
                <w:szCs w:val="16"/>
              </w:rPr>
            </w:pPr>
            <w:r w:rsidRPr="00F01347">
              <w:rPr>
                <w:rFonts w:ascii="Verdana" w:hAnsi="Verdana"/>
                <w:sz w:val="16"/>
                <w:szCs w:val="16"/>
              </w:rPr>
              <w:t>El método descrito es un procedimiento para la determinación de compuestos orgánicos volátiles, específicamente para benceno, tolueno, etilbenceno y xilenos (BTEX) así como estireno en muestras de agua de uso y consumo humano a través de cromatografía de gases con detector de espectrometría de masas (CG/EM). Existen varias técnicas mediante las cuales estos compuestos pueden introducirse en el sistema CG/EM, la técnica más común para analitos orgánicos volátiles es el método de purga y trampa.</w:t>
            </w:r>
          </w:p>
        </w:tc>
        <w:tc>
          <w:tcPr>
            <w:tcW w:w="4675" w:type="dxa"/>
          </w:tcPr>
          <w:p w14:paraId="64713248" w14:textId="4DA723F4" w:rsidR="00266633" w:rsidRPr="00F01347" w:rsidRDefault="00266633" w:rsidP="00266633">
            <w:pPr>
              <w:pStyle w:val="texto0"/>
              <w:ind w:firstLine="0"/>
              <w:rPr>
                <w:rFonts w:ascii="Verdana" w:hAnsi="Verdana"/>
                <w:sz w:val="16"/>
                <w:szCs w:val="16"/>
                <w:lang w:val="en-US"/>
              </w:rPr>
            </w:pPr>
            <w:r w:rsidRPr="00F01347">
              <w:rPr>
                <w:rFonts w:ascii="Verdana" w:hAnsi="Verdana"/>
                <w:sz w:val="16"/>
                <w:szCs w:val="16"/>
                <w:lang w:val="en-US"/>
              </w:rPr>
              <w:t xml:space="preserve">The method described is a procedure for the determination of volatile organic compounds, specifically for benzene, toluene, </w:t>
            </w:r>
            <w:proofErr w:type="gramStart"/>
            <w:r w:rsidRPr="00F01347">
              <w:rPr>
                <w:rFonts w:ascii="Verdana" w:hAnsi="Verdana"/>
                <w:sz w:val="16"/>
                <w:szCs w:val="16"/>
                <w:lang w:val="en-US"/>
              </w:rPr>
              <w:t>ethylbenzene</w:t>
            </w:r>
            <w:proofErr w:type="gramEnd"/>
            <w:r w:rsidRPr="00F01347">
              <w:rPr>
                <w:rFonts w:ascii="Verdana" w:hAnsi="Verdana"/>
                <w:sz w:val="16"/>
                <w:szCs w:val="16"/>
                <w:lang w:val="en-US"/>
              </w:rPr>
              <w:t xml:space="preserve"> and xylenes (BTEX) as well as styrene in water samples for human use and consumption through gas chromatography with a mass spectrometry detector. (CG/MS). There are several techniques by which these compounds can be introduced into the GC/MS system, the most common technique for volatile organic analytes is the purge and trap method.</w:t>
            </w:r>
          </w:p>
        </w:tc>
      </w:tr>
      <w:tr w:rsidR="00266633" w:rsidRPr="00F01347" w14:paraId="2F8A69DD" w14:textId="571C0609" w:rsidTr="003203D8">
        <w:tc>
          <w:tcPr>
            <w:tcW w:w="4675" w:type="dxa"/>
          </w:tcPr>
          <w:p w14:paraId="7C06E4F4" w14:textId="77777777" w:rsidR="00266633" w:rsidRPr="00F01347" w:rsidRDefault="00266633" w:rsidP="00266633">
            <w:pPr>
              <w:pStyle w:val="texto0"/>
              <w:ind w:firstLine="0"/>
              <w:rPr>
                <w:rFonts w:ascii="Verdana" w:hAnsi="Verdana"/>
                <w:b/>
                <w:sz w:val="16"/>
                <w:szCs w:val="16"/>
              </w:rPr>
            </w:pPr>
            <w:r w:rsidRPr="00F01347">
              <w:rPr>
                <w:rFonts w:ascii="Verdana" w:hAnsi="Verdana"/>
                <w:b/>
                <w:sz w:val="16"/>
                <w:szCs w:val="16"/>
              </w:rPr>
              <w:t>B.3.4 Equipos y materiales</w:t>
            </w:r>
          </w:p>
        </w:tc>
        <w:tc>
          <w:tcPr>
            <w:tcW w:w="4675" w:type="dxa"/>
          </w:tcPr>
          <w:p w14:paraId="6920732A" w14:textId="201B13D8" w:rsidR="00266633" w:rsidRPr="00F01347" w:rsidRDefault="00266633" w:rsidP="00266633">
            <w:pPr>
              <w:pStyle w:val="texto0"/>
              <w:ind w:firstLine="0"/>
              <w:rPr>
                <w:rFonts w:ascii="Verdana" w:hAnsi="Verdana"/>
                <w:b/>
                <w:sz w:val="16"/>
                <w:szCs w:val="16"/>
                <w:lang w:val="en-US"/>
              </w:rPr>
            </w:pPr>
            <w:r w:rsidRPr="00F01347">
              <w:rPr>
                <w:rFonts w:ascii="Verdana" w:hAnsi="Verdana"/>
                <w:b/>
                <w:sz w:val="16"/>
                <w:szCs w:val="16"/>
                <w:lang w:val="en-US"/>
              </w:rPr>
              <w:t>B.3.4 Equipment and materials</w:t>
            </w:r>
          </w:p>
        </w:tc>
      </w:tr>
      <w:tr w:rsidR="00266633" w:rsidRPr="00F01347" w14:paraId="278CA8E3" w14:textId="24988204" w:rsidTr="003203D8">
        <w:tc>
          <w:tcPr>
            <w:tcW w:w="4675" w:type="dxa"/>
          </w:tcPr>
          <w:p w14:paraId="6C0C1BA0" w14:textId="77777777" w:rsidR="00266633" w:rsidRPr="00F01347" w:rsidRDefault="00266633" w:rsidP="00266633">
            <w:pPr>
              <w:pStyle w:val="texto0"/>
              <w:ind w:firstLine="0"/>
              <w:rPr>
                <w:rFonts w:ascii="Verdana" w:hAnsi="Verdana"/>
                <w:sz w:val="16"/>
                <w:szCs w:val="16"/>
              </w:rPr>
            </w:pPr>
            <w:r w:rsidRPr="00F01347">
              <w:rPr>
                <w:rFonts w:ascii="Verdana" w:hAnsi="Verdana"/>
                <w:sz w:val="16"/>
                <w:szCs w:val="16"/>
              </w:rPr>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Pr>
          <w:p w14:paraId="09C09A7D" w14:textId="49D514E4" w:rsidR="00266633" w:rsidRPr="00F01347" w:rsidRDefault="00266633" w:rsidP="00266633">
            <w:pPr>
              <w:pStyle w:val="texto0"/>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266633" w:rsidRPr="00F01347" w14:paraId="289A48EA" w14:textId="2B51932C" w:rsidTr="003203D8">
        <w:tc>
          <w:tcPr>
            <w:tcW w:w="4675" w:type="dxa"/>
          </w:tcPr>
          <w:p w14:paraId="5A37C556" w14:textId="77777777" w:rsidR="00266633" w:rsidRPr="00F01347" w:rsidRDefault="00266633" w:rsidP="00266633">
            <w:pPr>
              <w:pStyle w:val="texto0"/>
              <w:ind w:firstLine="0"/>
              <w:rPr>
                <w:rFonts w:ascii="Verdana" w:hAnsi="Verdana"/>
                <w:sz w:val="16"/>
                <w:szCs w:val="16"/>
              </w:rPr>
            </w:pPr>
            <w:r w:rsidRPr="00F01347">
              <w:rPr>
                <w:rFonts w:ascii="Verdana" w:hAnsi="Verdana"/>
                <w:b/>
                <w:sz w:val="16"/>
                <w:szCs w:val="16"/>
              </w:rPr>
              <w:t>Balanza analítica.</w:t>
            </w:r>
            <w:r w:rsidRPr="00F01347">
              <w:rPr>
                <w:rFonts w:ascii="Verdana" w:hAnsi="Verdana"/>
                <w:sz w:val="16"/>
                <w:szCs w:val="16"/>
              </w:rPr>
              <w:t xml:space="preserve"> Con sensibilidad de 0.1 mg.</w:t>
            </w:r>
          </w:p>
        </w:tc>
        <w:tc>
          <w:tcPr>
            <w:tcW w:w="4675" w:type="dxa"/>
          </w:tcPr>
          <w:p w14:paraId="7387CC4F" w14:textId="0E8F5D5A" w:rsidR="00266633" w:rsidRPr="00F01347" w:rsidRDefault="00266633" w:rsidP="00266633">
            <w:pPr>
              <w:pStyle w:val="texto0"/>
              <w:ind w:firstLine="0"/>
              <w:rPr>
                <w:rFonts w:ascii="Verdana" w:hAnsi="Verdana"/>
                <w:b/>
                <w:sz w:val="16"/>
                <w:szCs w:val="16"/>
                <w:lang w:val="en-US"/>
              </w:rPr>
            </w:pPr>
            <w:r w:rsidRPr="00F01347">
              <w:rPr>
                <w:rFonts w:ascii="Verdana" w:hAnsi="Verdana"/>
                <w:b/>
                <w:sz w:val="16"/>
                <w:szCs w:val="16"/>
                <w:lang w:val="en-US"/>
              </w:rPr>
              <w:t xml:space="preserve">Analytical balance. </w:t>
            </w:r>
            <w:r w:rsidRPr="00F01347">
              <w:rPr>
                <w:rFonts w:ascii="Verdana" w:hAnsi="Verdana"/>
                <w:sz w:val="16"/>
                <w:szCs w:val="16"/>
                <w:lang w:val="en-US"/>
              </w:rPr>
              <w:t>With sensitivity of 0.1 mg.</w:t>
            </w:r>
          </w:p>
        </w:tc>
      </w:tr>
      <w:tr w:rsidR="00266633" w:rsidRPr="00F01347" w14:paraId="1451D1E9" w14:textId="2C5CDDBB" w:rsidTr="003203D8">
        <w:tc>
          <w:tcPr>
            <w:tcW w:w="4675" w:type="dxa"/>
          </w:tcPr>
          <w:p w14:paraId="41EBF639" w14:textId="77777777" w:rsidR="00266633" w:rsidRPr="00F01347" w:rsidRDefault="00266633" w:rsidP="00266633">
            <w:pPr>
              <w:pStyle w:val="texto0"/>
              <w:ind w:firstLine="0"/>
              <w:rPr>
                <w:rFonts w:ascii="Verdana" w:hAnsi="Verdana"/>
                <w:sz w:val="16"/>
                <w:szCs w:val="16"/>
              </w:rPr>
            </w:pPr>
            <w:r w:rsidRPr="00F01347">
              <w:rPr>
                <w:rFonts w:ascii="Verdana" w:hAnsi="Verdana"/>
                <w:b/>
                <w:sz w:val="16"/>
                <w:szCs w:val="16"/>
              </w:rPr>
              <w:t>Cámara de purga.</w:t>
            </w:r>
            <w:r w:rsidRPr="00F01347">
              <w:rPr>
                <w:rFonts w:ascii="Verdana" w:hAnsi="Verdana"/>
                <w:sz w:val="16"/>
                <w:szCs w:val="16"/>
              </w:rPr>
              <w:t xml:space="preserve"> Diseñada para aceptar muestras de 5 o 25 </w:t>
            </w:r>
            <w:proofErr w:type="spellStart"/>
            <w:r w:rsidRPr="00F01347">
              <w:rPr>
                <w:rFonts w:ascii="Verdana" w:hAnsi="Verdana"/>
                <w:sz w:val="16"/>
                <w:szCs w:val="16"/>
              </w:rPr>
              <w:t>mL</w:t>
            </w:r>
            <w:proofErr w:type="spellEnd"/>
            <w:r w:rsidRPr="00F01347">
              <w:rPr>
                <w:rFonts w:ascii="Verdana" w:hAnsi="Verdana"/>
                <w:sz w:val="16"/>
                <w:szCs w:val="16"/>
              </w:rPr>
              <w:t xml:space="preserve"> con una columna de agua de al menos 3 cm de profundidad. El espacio libre superior (</w:t>
            </w:r>
            <w:proofErr w:type="spellStart"/>
            <w:r w:rsidRPr="00F01347">
              <w:rPr>
                <w:rFonts w:ascii="Verdana" w:hAnsi="Verdana"/>
                <w:sz w:val="16"/>
                <w:szCs w:val="16"/>
              </w:rPr>
              <w:t>headspace</w:t>
            </w:r>
            <w:proofErr w:type="spellEnd"/>
            <w:r w:rsidRPr="00F01347">
              <w:rPr>
                <w:rFonts w:ascii="Verdana" w:hAnsi="Verdana"/>
                <w:sz w:val="16"/>
                <w:szCs w:val="16"/>
              </w:rPr>
              <w:t xml:space="preserve">) gaseoso entre la columna de agua y la trampa debe tener un volumen total de al menos de 5 </w:t>
            </w:r>
            <w:proofErr w:type="spellStart"/>
            <w:r w:rsidRPr="00F01347">
              <w:rPr>
                <w:rFonts w:ascii="Verdana" w:hAnsi="Verdana"/>
                <w:sz w:val="16"/>
                <w:szCs w:val="16"/>
              </w:rPr>
              <w:t>mL</w:t>
            </w:r>
            <w:proofErr w:type="spellEnd"/>
            <w:r w:rsidRPr="00F01347">
              <w:rPr>
                <w:rFonts w:ascii="Verdana" w:hAnsi="Verdana"/>
                <w:sz w:val="16"/>
                <w:szCs w:val="16"/>
              </w:rPr>
              <w:t xml:space="preserve">. El gas de purga debe pasar a través de la columna de agua en forma de burbujas finamente divididas con un diámetro menor de 3 </w:t>
            </w:r>
            <w:proofErr w:type="spellStart"/>
            <w:r w:rsidRPr="00F01347">
              <w:rPr>
                <w:rFonts w:ascii="Verdana" w:hAnsi="Verdana"/>
                <w:sz w:val="16"/>
                <w:szCs w:val="16"/>
              </w:rPr>
              <w:t>mm.</w:t>
            </w:r>
            <w:proofErr w:type="spellEnd"/>
            <w:r w:rsidRPr="00F01347">
              <w:rPr>
                <w:rFonts w:ascii="Verdana" w:hAnsi="Verdana"/>
                <w:sz w:val="16"/>
                <w:szCs w:val="16"/>
              </w:rPr>
              <w:t xml:space="preserve"> Introducir el gas de purga no más de 5 mm de la base de la columna de agua. El dispositivo de purga ilustrado en la Fig. B.3-1, de este Apéndice,</w:t>
            </w:r>
            <w:r w:rsidRPr="00F01347">
              <w:rPr>
                <w:rFonts w:ascii="Verdana" w:hAnsi="Verdana"/>
                <w:b/>
                <w:sz w:val="16"/>
                <w:szCs w:val="16"/>
              </w:rPr>
              <w:t xml:space="preserve"> </w:t>
            </w:r>
            <w:r w:rsidRPr="00F01347">
              <w:rPr>
                <w:rFonts w:ascii="Verdana" w:hAnsi="Verdana"/>
                <w:sz w:val="16"/>
                <w:szCs w:val="16"/>
              </w:rPr>
              <w:t>cumple estos criterios. Se pueden utilizar otros tipos de dispositivos de purga siempre y cuando se demuestre que su desempeño es adecuado.</w:t>
            </w:r>
          </w:p>
        </w:tc>
        <w:tc>
          <w:tcPr>
            <w:tcW w:w="4675" w:type="dxa"/>
          </w:tcPr>
          <w:p w14:paraId="01B3233B" w14:textId="6D57C799" w:rsidR="00266633" w:rsidRPr="00F01347" w:rsidRDefault="00266633" w:rsidP="00266633">
            <w:pPr>
              <w:pStyle w:val="texto0"/>
              <w:ind w:firstLine="0"/>
              <w:rPr>
                <w:rFonts w:ascii="Verdana" w:hAnsi="Verdana"/>
                <w:b/>
                <w:sz w:val="16"/>
                <w:szCs w:val="16"/>
                <w:lang w:val="en-US"/>
              </w:rPr>
            </w:pPr>
            <w:r w:rsidRPr="00F01347">
              <w:rPr>
                <w:rFonts w:ascii="Verdana" w:hAnsi="Verdana"/>
                <w:b/>
                <w:sz w:val="16"/>
                <w:szCs w:val="16"/>
                <w:lang w:val="en-US"/>
              </w:rPr>
              <w:t xml:space="preserve">Purge chamber. </w:t>
            </w:r>
            <w:r w:rsidRPr="00F01347">
              <w:rPr>
                <w:rFonts w:ascii="Verdana" w:hAnsi="Verdana"/>
                <w:bCs/>
                <w:sz w:val="16"/>
                <w:szCs w:val="16"/>
                <w:lang w:val="en-US"/>
              </w:rPr>
              <w:t xml:space="preserve">Designed to accept </w:t>
            </w:r>
            <w:proofErr w:type="gramStart"/>
            <w:r w:rsidRPr="00F01347">
              <w:rPr>
                <w:rFonts w:ascii="Verdana" w:hAnsi="Verdana"/>
                <w:bCs/>
                <w:sz w:val="16"/>
                <w:szCs w:val="16"/>
                <w:lang w:val="en-US"/>
              </w:rPr>
              <w:t>5 or 25</w:t>
            </w:r>
            <w:r w:rsidRPr="00F01347">
              <w:rPr>
                <w:rFonts w:ascii="Verdana" w:hAnsi="Verdana"/>
                <w:b/>
                <w:sz w:val="16"/>
                <w:szCs w:val="16"/>
                <w:lang w:val="en-US"/>
              </w:rPr>
              <w:t xml:space="preserve"> </w:t>
            </w:r>
            <w:r w:rsidRPr="00F01347">
              <w:rPr>
                <w:rFonts w:ascii="Verdana" w:hAnsi="Verdana"/>
                <w:sz w:val="16"/>
                <w:szCs w:val="16"/>
                <w:lang w:val="en-US"/>
              </w:rPr>
              <w:t>mL</w:t>
            </w:r>
            <w:proofErr w:type="gramEnd"/>
            <w:r w:rsidRPr="00F01347">
              <w:rPr>
                <w:rFonts w:ascii="Verdana" w:hAnsi="Verdana"/>
                <w:sz w:val="16"/>
                <w:szCs w:val="16"/>
                <w:lang w:val="en-US"/>
              </w:rPr>
              <w:t xml:space="preserve"> samples with a water column of at least 3 cm depth. The gas headspace between the water column and the trap must have a total volume of at least 5 mL</w:t>
            </w:r>
            <w:r w:rsidR="003E1BA9" w:rsidRPr="00F01347">
              <w:rPr>
                <w:rFonts w:ascii="Verdana" w:hAnsi="Verdana"/>
                <w:sz w:val="16"/>
                <w:szCs w:val="16"/>
                <w:lang w:val="en-US"/>
              </w:rPr>
              <w:t>.</w:t>
            </w:r>
            <w:r w:rsidRPr="00F01347">
              <w:rPr>
                <w:rFonts w:ascii="Verdana" w:hAnsi="Verdana"/>
                <w:sz w:val="16"/>
                <w:szCs w:val="16"/>
                <w:lang w:val="en-US"/>
              </w:rPr>
              <w:t xml:space="preserve"> The purge gas should pass through the water column in the form of finely divided bubbles with a diameter of less than 3 mm. Introduce the purge gas no more than 5 mm from the base of the water column. The purge device illustrated in Fig. B.3-1, of this Appendix,</w:t>
            </w:r>
            <w:r w:rsidRPr="00F01347">
              <w:rPr>
                <w:rFonts w:ascii="Verdana" w:hAnsi="Verdana"/>
                <w:b/>
                <w:sz w:val="16"/>
                <w:szCs w:val="16"/>
                <w:lang w:val="en-US"/>
              </w:rPr>
              <w:t xml:space="preserve"> </w:t>
            </w:r>
            <w:r w:rsidRPr="00F01347">
              <w:rPr>
                <w:rFonts w:ascii="Verdana" w:hAnsi="Verdana"/>
                <w:sz w:val="16"/>
                <w:szCs w:val="16"/>
                <w:lang w:val="en-US"/>
              </w:rPr>
              <w:t xml:space="preserve">meets these criteria. Other types of purging devices may be used </w:t>
            </w:r>
            <w:proofErr w:type="gramStart"/>
            <w:r w:rsidRPr="00F01347">
              <w:rPr>
                <w:rFonts w:ascii="Verdana" w:hAnsi="Verdana"/>
                <w:sz w:val="16"/>
                <w:szCs w:val="16"/>
                <w:lang w:val="en-US"/>
              </w:rPr>
              <w:t>as long as</w:t>
            </w:r>
            <w:proofErr w:type="gramEnd"/>
            <w:r w:rsidRPr="00F01347">
              <w:rPr>
                <w:rFonts w:ascii="Verdana" w:hAnsi="Verdana"/>
                <w:sz w:val="16"/>
                <w:szCs w:val="16"/>
                <w:lang w:val="en-US"/>
              </w:rPr>
              <w:t xml:space="preserve"> their performance is demonstrated to be adequate.</w:t>
            </w:r>
          </w:p>
        </w:tc>
      </w:tr>
    </w:tbl>
    <w:p w14:paraId="628CD1A5" w14:textId="43585C30" w:rsidR="00A74CDF" w:rsidRPr="00F01347" w:rsidRDefault="00832DE2" w:rsidP="003A601B">
      <w:pPr>
        <w:pStyle w:val="texto0"/>
        <w:spacing w:line="240" w:lineRule="auto"/>
        <w:ind w:firstLine="0"/>
        <w:jc w:val="center"/>
        <w:rPr>
          <w:rFonts w:ascii="Verdana" w:hAnsi="Verdana"/>
          <w:sz w:val="16"/>
          <w:szCs w:val="16"/>
        </w:rPr>
      </w:pPr>
      <w:r w:rsidRPr="00F01347">
        <w:rPr>
          <w:noProof/>
        </w:rPr>
        <w:lastRenderedPageBreak/>
        <w:drawing>
          <wp:inline distT="0" distB="0" distL="0" distR="0" wp14:anchorId="2FD57554" wp14:editId="748C0F6B">
            <wp:extent cx="4862590" cy="3959157"/>
            <wp:effectExtent l="0" t="0" r="0" b="3810"/>
            <wp:docPr id="444233358" name="Picture 1"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233358" name="Picture 1" descr="A computer screen shot of a diagram&#10;&#10;Description automatically generated"/>
                    <pic:cNvPicPr/>
                  </pic:nvPicPr>
                  <pic:blipFill rotWithShape="1">
                    <a:blip r:embed="rId38"/>
                    <a:srcRect l="39328" t="27158" r="21013" b="15436"/>
                    <a:stretch/>
                  </pic:blipFill>
                  <pic:spPr bwMode="auto">
                    <a:xfrm>
                      <a:off x="0" y="0"/>
                      <a:ext cx="4898966" cy="3988774"/>
                    </a:xfrm>
                    <a:prstGeom prst="rect">
                      <a:avLst/>
                    </a:prstGeom>
                    <a:ln>
                      <a:noFill/>
                    </a:ln>
                    <a:extLst>
                      <a:ext uri="{53640926-AAD7-44D8-BBD7-CCE9431645EC}">
                        <a14:shadowObscured xmlns:a14="http://schemas.microsoft.com/office/drawing/2010/main"/>
                      </a:ext>
                    </a:extLst>
                  </pic:spPr>
                </pic:pic>
              </a:graphicData>
            </a:graphic>
          </wp:inline>
        </w:drawing>
      </w:r>
    </w:p>
    <w:p w14:paraId="01A4A1BF" w14:textId="77777777" w:rsidR="00204B58" w:rsidRPr="00F01347" w:rsidRDefault="00204B58" w:rsidP="003A601B">
      <w:pPr>
        <w:pStyle w:val="texto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25486" w:rsidRPr="00F01347" w14:paraId="46FB1882" w14:textId="71C61023" w:rsidTr="00832DE2">
        <w:tc>
          <w:tcPr>
            <w:tcW w:w="4675" w:type="dxa"/>
          </w:tcPr>
          <w:p w14:paraId="0DD8888C" w14:textId="77777777" w:rsidR="00325486" w:rsidRPr="00F01347" w:rsidRDefault="00325486" w:rsidP="00325486">
            <w:pPr>
              <w:pStyle w:val="texto0"/>
              <w:ind w:firstLine="0"/>
              <w:rPr>
                <w:rFonts w:ascii="Verdana" w:hAnsi="Verdana"/>
                <w:sz w:val="16"/>
                <w:szCs w:val="16"/>
              </w:rPr>
            </w:pPr>
            <w:r w:rsidRPr="00F01347">
              <w:rPr>
                <w:rFonts w:ascii="Verdana" w:hAnsi="Verdana"/>
                <w:b/>
                <w:sz w:val="16"/>
                <w:szCs w:val="16"/>
              </w:rPr>
              <w:t xml:space="preserve">Fig. B.3-1 </w:t>
            </w:r>
            <w:r w:rsidRPr="00F01347">
              <w:rPr>
                <w:rFonts w:ascii="Verdana" w:hAnsi="Verdana"/>
                <w:sz w:val="16"/>
                <w:szCs w:val="16"/>
              </w:rPr>
              <w:t>Dispositivo de purga. Se incluye sólo como ejemplo y no implican aprobación de los productos. Pretende únicamente representar especificaciones adecuadas para los artículos.</w:t>
            </w:r>
          </w:p>
        </w:tc>
        <w:tc>
          <w:tcPr>
            <w:tcW w:w="4675" w:type="dxa"/>
          </w:tcPr>
          <w:p w14:paraId="5665FEBB" w14:textId="73CBA906" w:rsidR="00325486" w:rsidRPr="00F01347" w:rsidRDefault="00325486" w:rsidP="00325486">
            <w:pPr>
              <w:pStyle w:val="texto0"/>
              <w:ind w:firstLine="0"/>
              <w:rPr>
                <w:rFonts w:ascii="Verdana" w:hAnsi="Verdana"/>
                <w:b/>
                <w:sz w:val="16"/>
                <w:szCs w:val="16"/>
                <w:lang w:val="en-US"/>
              </w:rPr>
            </w:pPr>
            <w:r w:rsidRPr="00F01347">
              <w:rPr>
                <w:rFonts w:ascii="Verdana" w:hAnsi="Verdana"/>
                <w:b/>
                <w:sz w:val="16"/>
                <w:szCs w:val="16"/>
                <w:lang w:val="en-US"/>
              </w:rPr>
              <w:t xml:space="preserve">Fig. B.3-1 </w:t>
            </w:r>
            <w:r w:rsidRPr="00F01347">
              <w:rPr>
                <w:rFonts w:ascii="Verdana" w:hAnsi="Verdana"/>
                <w:sz w:val="16"/>
                <w:szCs w:val="16"/>
                <w:lang w:val="en-US"/>
              </w:rPr>
              <w:t>Purge device. They are included as an example only and do not imply endorsement of the products. It is intended only to represent appropriate specifications for the items.</w:t>
            </w:r>
          </w:p>
        </w:tc>
      </w:tr>
      <w:tr w:rsidR="00325486" w:rsidRPr="00F01347" w14:paraId="469A933A" w14:textId="3766DC49" w:rsidTr="00832DE2">
        <w:tc>
          <w:tcPr>
            <w:tcW w:w="4675" w:type="dxa"/>
          </w:tcPr>
          <w:p w14:paraId="29E80F2A" w14:textId="77777777" w:rsidR="00325486" w:rsidRPr="00F01347" w:rsidRDefault="00325486" w:rsidP="00325486">
            <w:pPr>
              <w:pStyle w:val="texto0"/>
              <w:spacing w:line="218" w:lineRule="exact"/>
              <w:ind w:firstLine="0"/>
              <w:rPr>
                <w:rFonts w:ascii="Verdana" w:hAnsi="Verdana"/>
                <w:sz w:val="16"/>
                <w:szCs w:val="16"/>
              </w:rPr>
            </w:pPr>
            <w:r w:rsidRPr="00F01347">
              <w:rPr>
                <w:rFonts w:ascii="Verdana" w:hAnsi="Verdana"/>
                <w:b/>
                <w:sz w:val="16"/>
                <w:szCs w:val="16"/>
              </w:rPr>
              <w:t>Columnas capilares</w:t>
            </w:r>
            <w:r w:rsidRPr="00F01347">
              <w:rPr>
                <w:rFonts w:ascii="Verdana" w:hAnsi="Verdana"/>
                <w:sz w:val="16"/>
                <w:szCs w:val="16"/>
              </w:rPr>
              <w:t xml:space="preserve">: usar cualquier columna capilar de CG que cumpla con los criterios de desempeño. Asegurarse que el flujo del </w:t>
            </w:r>
            <w:proofErr w:type="spellStart"/>
            <w:r w:rsidRPr="00F01347">
              <w:rPr>
                <w:rFonts w:ascii="Verdana" w:hAnsi="Verdana"/>
                <w:sz w:val="16"/>
                <w:szCs w:val="16"/>
              </w:rPr>
              <w:t>desorbente</w:t>
            </w:r>
            <w:proofErr w:type="spellEnd"/>
            <w:r w:rsidRPr="00F01347">
              <w:rPr>
                <w:rFonts w:ascii="Verdana" w:hAnsi="Verdana"/>
                <w:sz w:val="16"/>
                <w:szCs w:val="16"/>
              </w:rPr>
              <w:t xml:space="preserve"> sea compatible con la columna elegida. Abajo se enlistan cuatro ejemplos de columnas aceptables.</w:t>
            </w:r>
          </w:p>
        </w:tc>
        <w:tc>
          <w:tcPr>
            <w:tcW w:w="4675" w:type="dxa"/>
          </w:tcPr>
          <w:p w14:paraId="001DA20F" w14:textId="31CDC245" w:rsidR="00325486" w:rsidRPr="00F01347" w:rsidRDefault="00325486" w:rsidP="00325486">
            <w:pPr>
              <w:pStyle w:val="texto0"/>
              <w:spacing w:line="218" w:lineRule="exact"/>
              <w:ind w:firstLine="0"/>
              <w:rPr>
                <w:rFonts w:ascii="Verdana" w:hAnsi="Verdana"/>
                <w:b/>
                <w:sz w:val="16"/>
                <w:szCs w:val="16"/>
                <w:lang w:val="en-US"/>
              </w:rPr>
            </w:pPr>
            <w:r w:rsidRPr="00F01347">
              <w:rPr>
                <w:rFonts w:ascii="Verdana" w:hAnsi="Verdana"/>
                <w:b/>
                <w:sz w:val="16"/>
                <w:szCs w:val="16"/>
                <w:lang w:val="en-US"/>
              </w:rPr>
              <w:t>Capillary Columns</w:t>
            </w:r>
            <w:r w:rsidR="00762084" w:rsidRPr="00F01347">
              <w:rPr>
                <w:rFonts w:ascii="Verdana" w:hAnsi="Verdana"/>
                <w:b/>
                <w:sz w:val="16"/>
                <w:szCs w:val="16"/>
                <w:lang w:val="en-US"/>
              </w:rPr>
              <w:t>:</w:t>
            </w:r>
            <w:r w:rsidRPr="00F01347">
              <w:rPr>
                <w:rFonts w:ascii="Verdana" w:hAnsi="Verdana"/>
                <w:sz w:val="16"/>
                <w:szCs w:val="16"/>
                <w:lang w:val="en-US"/>
              </w:rPr>
              <w:t xml:space="preserve"> Use any GC capillary column that meets the performance criteria. Make sure that the </w:t>
            </w:r>
            <w:proofErr w:type="spellStart"/>
            <w:r w:rsidRPr="00F01347">
              <w:rPr>
                <w:rFonts w:ascii="Verdana" w:hAnsi="Verdana"/>
                <w:sz w:val="16"/>
                <w:szCs w:val="16"/>
                <w:lang w:val="en-US"/>
              </w:rPr>
              <w:t>desorbent</w:t>
            </w:r>
            <w:proofErr w:type="spellEnd"/>
            <w:r w:rsidRPr="00F01347">
              <w:rPr>
                <w:rFonts w:ascii="Verdana" w:hAnsi="Verdana"/>
                <w:sz w:val="16"/>
                <w:szCs w:val="16"/>
                <w:lang w:val="en-US"/>
              </w:rPr>
              <w:t xml:space="preserve"> flow is compatible with the chosen column. Four examples of acceptable columns are listed below.</w:t>
            </w:r>
          </w:p>
        </w:tc>
      </w:tr>
      <w:tr w:rsidR="00325486" w:rsidRPr="00F01347" w14:paraId="5F468A9C" w14:textId="2D44D2D3" w:rsidTr="00832DE2">
        <w:tc>
          <w:tcPr>
            <w:tcW w:w="4675" w:type="dxa"/>
          </w:tcPr>
          <w:p w14:paraId="330EF129" w14:textId="77777777" w:rsidR="00325486" w:rsidRPr="00F01347" w:rsidRDefault="00325486" w:rsidP="00325486">
            <w:pPr>
              <w:pStyle w:val="texto0"/>
              <w:spacing w:line="218" w:lineRule="exact"/>
              <w:ind w:firstLine="0"/>
              <w:rPr>
                <w:rFonts w:ascii="Verdana" w:hAnsi="Verdana"/>
                <w:b/>
                <w:sz w:val="16"/>
                <w:szCs w:val="16"/>
              </w:rPr>
            </w:pPr>
            <w:r w:rsidRPr="00F01347">
              <w:rPr>
                <w:rFonts w:ascii="Verdana" w:hAnsi="Verdana"/>
                <w:b/>
                <w:sz w:val="16"/>
                <w:szCs w:val="16"/>
              </w:rPr>
              <w:t xml:space="preserve">Columna 1: </w:t>
            </w:r>
            <w:r w:rsidRPr="00F01347">
              <w:rPr>
                <w:rFonts w:ascii="Verdana" w:hAnsi="Verdana"/>
                <w:sz w:val="16"/>
                <w:szCs w:val="16"/>
              </w:rPr>
              <w:t>de 60 m de longitud x 0.32 mm ID, con 1.5 µm de espesor de película, (</w:t>
            </w:r>
            <w:proofErr w:type="spellStart"/>
            <w:r w:rsidRPr="00F01347">
              <w:rPr>
                <w:rFonts w:ascii="Verdana" w:hAnsi="Verdana"/>
                <w:sz w:val="16"/>
                <w:szCs w:val="16"/>
              </w:rPr>
              <w:t>Restek</w:t>
            </w:r>
            <w:proofErr w:type="spellEnd"/>
            <w:r w:rsidRPr="00F01347">
              <w:rPr>
                <w:rFonts w:ascii="Verdana" w:hAnsi="Verdana"/>
                <w:sz w:val="16"/>
                <w:szCs w:val="16"/>
              </w:rPr>
              <w:t>) RTX-volátiles o equivalente.</w:t>
            </w:r>
          </w:p>
        </w:tc>
        <w:tc>
          <w:tcPr>
            <w:tcW w:w="4675" w:type="dxa"/>
          </w:tcPr>
          <w:p w14:paraId="4458C20B" w14:textId="62929BE1" w:rsidR="00325486" w:rsidRPr="00F01347" w:rsidRDefault="00325486" w:rsidP="00325486">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Column 1: </w:t>
            </w:r>
            <w:r w:rsidRPr="00F01347">
              <w:rPr>
                <w:rFonts w:ascii="Verdana" w:hAnsi="Verdana"/>
                <w:sz w:val="16"/>
                <w:szCs w:val="16"/>
                <w:lang w:val="en-US"/>
              </w:rPr>
              <w:t xml:space="preserve">60 m long x 0.32 mm ID, with 1.5 µm film thickness, </w:t>
            </w:r>
            <w:r w:rsidR="00CB209C" w:rsidRPr="00F01347">
              <w:rPr>
                <w:rFonts w:ascii="Verdana" w:hAnsi="Verdana"/>
                <w:sz w:val="16"/>
                <w:szCs w:val="16"/>
                <w:lang w:val="en-US"/>
              </w:rPr>
              <w:t>(</w:t>
            </w:r>
            <w:proofErr w:type="spellStart"/>
            <w:r w:rsidRPr="00F01347">
              <w:rPr>
                <w:rFonts w:ascii="Verdana" w:hAnsi="Verdana"/>
                <w:sz w:val="16"/>
                <w:szCs w:val="16"/>
                <w:lang w:val="en-US"/>
              </w:rPr>
              <w:t>Restek</w:t>
            </w:r>
            <w:proofErr w:type="spellEnd"/>
            <w:r w:rsidR="00913802" w:rsidRPr="00F01347">
              <w:rPr>
                <w:rFonts w:ascii="Verdana" w:hAnsi="Verdana"/>
                <w:sz w:val="16"/>
                <w:szCs w:val="16"/>
                <w:lang w:val="en-US"/>
              </w:rPr>
              <w:t>)</w:t>
            </w:r>
            <w:r w:rsidRPr="00F01347">
              <w:rPr>
                <w:rFonts w:ascii="Verdana" w:hAnsi="Verdana"/>
                <w:sz w:val="16"/>
                <w:szCs w:val="16"/>
                <w:lang w:val="en-US"/>
              </w:rPr>
              <w:t xml:space="preserve"> RTX-volatile or equivalent.</w:t>
            </w:r>
          </w:p>
        </w:tc>
      </w:tr>
      <w:tr w:rsidR="00325486" w:rsidRPr="00F01347" w14:paraId="3085DB20" w14:textId="25EB96D9" w:rsidTr="00832DE2">
        <w:tc>
          <w:tcPr>
            <w:tcW w:w="4675" w:type="dxa"/>
          </w:tcPr>
          <w:p w14:paraId="30405EE9" w14:textId="77777777" w:rsidR="00325486" w:rsidRPr="00F01347" w:rsidRDefault="00325486" w:rsidP="00325486">
            <w:pPr>
              <w:pStyle w:val="texto0"/>
              <w:spacing w:line="218" w:lineRule="exact"/>
              <w:ind w:firstLine="0"/>
              <w:rPr>
                <w:rFonts w:ascii="Verdana" w:hAnsi="Verdana"/>
                <w:sz w:val="16"/>
                <w:szCs w:val="16"/>
              </w:rPr>
            </w:pPr>
            <w:r w:rsidRPr="00F01347">
              <w:rPr>
                <w:rFonts w:ascii="Verdana" w:hAnsi="Verdana"/>
                <w:b/>
                <w:sz w:val="16"/>
                <w:szCs w:val="16"/>
              </w:rPr>
              <w:t xml:space="preserve">Columna 2: </w:t>
            </w:r>
            <w:r w:rsidRPr="00F01347">
              <w:rPr>
                <w:rFonts w:ascii="Verdana" w:hAnsi="Verdana"/>
                <w:sz w:val="16"/>
                <w:szCs w:val="16"/>
              </w:rPr>
              <w:t>de 30 a 75 m de longitud x 0.53 mm ID, columna capilar recubierta con DB-624, con 3 µm de espesor de película o equivalente.</w:t>
            </w:r>
          </w:p>
        </w:tc>
        <w:tc>
          <w:tcPr>
            <w:tcW w:w="4675" w:type="dxa"/>
          </w:tcPr>
          <w:p w14:paraId="5A06BD5A" w14:textId="5C6318F8" w:rsidR="00325486" w:rsidRPr="00F01347" w:rsidRDefault="00325486" w:rsidP="00325486">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Column 2: </w:t>
            </w:r>
            <w:r w:rsidRPr="00F01347">
              <w:rPr>
                <w:rFonts w:ascii="Verdana" w:hAnsi="Verdana"/>
                <w:sz w:val="16"/>
                <w:szCs w:val="16"/>
                <w:lang w:val="en-US"/>
              </w:rPr>
              <w:t>30 to 75 m length x 0.53 mm ID, DB-624 coated capillary column, with 3 µm film thickness or equivalent.</w:t>
            </w:r>
          </w:p>
        </w:tc>
      </w:tr>
      <w:tr w:rsidR="00325486" w:rsidRPr="00F01347" w14:paraId="5D3868A5" w14:textId="03DEF635" w:rsidTr="00832DE2">
        <w:tc>
          <w:tcPr>
            <w:tcW w:w="4675" w:type="dxa"/>
          </w:tcPr>
          <w:p w14:paraId="1A34233C" w14:textId="77777777" w:rsidR="00325486" w:rsidRPr="00F01347" w:rsidRDefault="00325486" w:rsidP="00325486">
            <w:pPr>
              <w:pStyle w:val="texto0"/>
              <w:spacing w:line="218" w:lineRule="exact"/>
              <w:ind w:firstLine="0"/>
              <w:rPr>
                <w:rFonts w:ascii="Verdana" w:hAnsi="Verdana"/>
                <w:sz w:val="16"/>
                <w:szCs w:val="16"/>
              </w:rPr>
            </w:pPr>
            <w:r w:rsidRPr="00F01347">
              <w:rPr>
                <w:rFonts w:ascii="Verdana" w:hAnsi="Verdana"/>
                <w:b/>
                <w:sz w:val="16"/>
                <w:szCs w:val="16"/>
              </w:rPr>
              <w:t xml:space="preserve">Columna 3: </w:t>
            </w:r>
            <w:r w:rsidRPr="00F01347">
              <w:rPr>
                <w:rFonts w:ascii="Verdana" w:hAnsi="Verdana"/>
                <w:sz w:val="16"/>
                <w:szCs w:val="16"/>
              </w:rPr>
              <w:t xml:space="preserve">de 30 m de longitud x 0.25 a 0.32 mm ID, columna capilar recubierta con 95% de </w:t>
            </w:r>
            <w:proofErr w:type="spellStart"/>
            <w:r w:rsidRPr="00F01347">
              <w:rPr>
                <w:rFonts w:ascii="Verdana" w:hAnsi="Verdana"/>
                <w:sz w:val="16"/>
                <w:szCs w:val="16"/>
              </w:rPr>
              <w:t>dimetil</w:t>
            </w:r>
            <w:proofErr w:type="spellEnd"/>
            <w:r w:rsidRPr="00F01347">
              <w:rPr>
                <w:rFonts w:ascii="Verdana" w:hAnsi="Verdana"/>
                <w:sz w:val="16"/>
                <w:szCs w:val="16"/>
              </w:rPr>
              <w:t xml:space="preserve">- 5 % de difenil </w:t>
            </w:r>
            <w:proofErr w:type="spellStart"/>
            <w:r w:rsidRPr="00F01347">
              <w:rPr>
                <w:rFonts w:ascii="Verdana" w:hAnsi="Verdana"/>
                <w:sz w:val="16"/>
                <w:szCs w:val="16"/>
              </w:rPr>
              <w:t>polisiloxano</w:t>
            </w:r>
            <w:proofErr w:type="spellEnd"/>
            <w:r w:rsidRPr="00F01347">
              <w:rPr>
                <w:rFonts w:ascii="Verdana" w:hAnsi="Verdana"/>
                <w:sz w:val="16"/>
                <w:szCs w:val="16"/>
              </w:rPr>
              <w:t>, con 1 µm de espesor de película o equivalente.</w:t>
            </w:r>
          </w:p>
        </w:tc>
        <w:tc>
          <w:tcPr>
            <w:tcW w:w="4675" w:type="dxa"/>
          </w:tcPr>
          <w:p w14:paraId="1B9802E2" w14:textId="365D01B6" w:rsidR="00325486" w:rsidRPr="00F01347" w:rsidRDefault="00325486" w:rsidP="00325486">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Column 3: </w:t>
            </w:r>
            <w:r w:rsidRPr="00F01347">
              <w:rPr>
                <w:rFonts w:ascii="Verdana" w:hAnsi="Verdana"/>
                <w:sz w:val="16"/>
                <w:szCs w:val="16"/>
                <w:lang w:val="en-US"/>
              </w:rPr>
              <w:t xml:space="preserve">30 m length x 0.25 to 0.32 mm ID, capillary column coated with 95% dimethyl - 5% diphenyl </w:t>
            </w:r>
            <w:proofErr w:type="spellStart"/>
            <w:r w:rsidRPr="00F01347">
              <w:rPr>
                <w:rFonts w:ascii="Verdana" w:hAnsi="Verdana"/>
                <w:sz w:val="16"/>
                <w:szCs w:val="16"/>
                <w:lang w:val="en-US"/>
              </w:rPr>
              <w:t>polysiloxane</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with 1 µm film thickness or equivalent.</w:t>
            </w:r>
          </w:p>
        </w:tc>
      </w:tr>
      <w:tr w:rsidR="00325486" w:rsidRPr="00F01347" w14:paraId="7DB42B49" w14:textId="2D0101A9" w:rsidTr="00832DE2">
        <w:tc>
          <w:tcPr>
            <w:tcW w:w="4675" w:type="dxa"/>
          </w:tcPr>
          <w:p w14:paraId="58137674" w14:textId="77777777" w:rsidR="00325486" w:rsidRPr="00F01347" w:rsidRDefault="00325486" w:rsidP="00325486">
            <w:pPr>
              <w:pStyle w:val="texto0"/>
              <w:spacing w:line="218" w:lineRule="exact"/>
              <w:ind w:firstLine="0"/>
              <w:rPr>
                <w:rFonts w:ascii="Verdana" w:hAnsi="Verdana"/>
                <w:sz w:val="16"/>
                <w:szCs w:val="16"/>
              </w:rPr>
            </w:pPr>
            <w:r w:rsidRPr="00F01347">
              <w:rPr>
                <w:rFonts w:ascii="Verdana" w:hAnsi="Verdana"/>
                <w:b/>
                <w:sz w:val="16"/>
                <w:szCs w:val="16"/>
              </w:rPr>
              <w:t xml:space="preserve">Columna 4: </w:t>
            </w:r>
            <w:r w:rsidRPr="00F01347">
              <w:rPr>
                <w:rFonts w:ascii="Verdana" w:hAnsi="Verdana"/>
                <w:sz w:val="16"/>
                <w:szCs w:val="16"/>
              </w:rPr>
              <w:t>de 60 m de longitud x 0.32 mm ID, columna capilar (Agilent-VOC), con 1.8 µm de espesor de película o equivalente.</w:t>
            </w:r>
          </w:p>
        </w:tc>
        <w:tc>
          <w:tcPr>
            <w:tcW w:w="4675" w:type="dxa"/>
          </w:tcPr>
          <w:p w14:paraId="1AA9751B" w14:textId="04A6C23D" w:rsidR="00325486" w:rsidRPr="00F01347" w:rsidRDefault="00325486" w:rsidP="00325486">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Column 4: </w:t>
            </w:r>
            <w:r w:rsidRPr="00F01347">
              <w:rPr>
                <w:rFonts w:ascii="Verdana" w:hAnsi="Verdana"/>
                <w:sz w:val="16"/>
                <w:szCs w:val="16"/>
                <w:lang w:val="en-US"/>
              </w:rPr>
              <w:t>60 m length x 0.32 mm ID, capillary column (Agilent-VOC), with 1.8 µm film thickness or equivalent.</w:t>
            </w:r>
          </w:p>
        </w:tc>
      </w:tr>
      <w:tr w:rsidR="00325486" w:rsidRPr="00F01347" w14:paraId="4A39CEC4" w14:textId="6CDF75AA" w:rsidTr="00832DE2">
        <w:tc>
          <w:tcPr>
            <w:tcW w:w="4675" w:type="dxa"/>
          </w:tcPr>
          <w:p w14:paraId="03ED85FC" w14:textId="77777777" w:rsidR="00325486" w:rsidRPr="00F01347" w:rsidRDefault="00325486" w:rsidP="00325486">
            <w:pPr>
              <w:pStyle w:val="texto0"/>
              <w:spacing w:line="218" w:lineRule="exact"/>
              <w:ind w:firstLine="0"/>
              <w:rPr>
                <w:rFonts w:ascii="Verdana" w:hAnsi="Verdana"/>
                <w:sz w:val="16"/>
                <w:szCs w:val="16"/>
              </w:rPr>
            </w:pPr>
            <w:r w:rsidRPr="00F01347">
              <w:rPr>
                <w:rFonts w:ascii="Verdana" w:hAnsi="Verdana"/>
                <w:b/>
                <w:sz w:val="16"/>
                <w:szCs w:val="16"/>
              </w:rPr>
              <w:t xml:space="preserve">Cromatógrafo de gases (CG) con detector de espectrometría de masas (EM). </w:t>
            </w:r>
            <w:r w:rsidRPr="00F01347">
              <w:rPr>
                <w:rFonts w:ascii="Verdana" w:hAnsi="Verdana"/>
                <w:sz w:val="16"/>
                <w:szCs w:val="16"/>
              </w:rPr>
              <w:t>Utilizar un CG con temperatura programable adecuado para la inyección sin división (</w:t>
            </w:r>
            <w:proofErr w:type="spellStart"/>
            <w:r w:rsidRPr="00F01347">
              <w:rPr>
                <w:rFonts w:ascii="Verdana" w:hAnsi="Verdana"/>
                <w:sz w:val="16"/>
                <w:szCs w:val="16"/>
              </w:rPr>
              <w:t>splitless</w:t>
            </w:r>
            <w:proofErr w:type="spellEnd"/>
            <w:r w:rsidRPr="00F01347">
              <w:rPr>
                <w:rFonts w:ascii="Verdana" w:hAnsi="Verdana"/>
                <w:sz w:val="16"/>
                <w:szCs w:val="16"/>
              </w:rPr>
              <w:t xml:space="preserve">), con división (Split) y con </w:t>
            </w:r>
            <w:r w:rsidRPr="00F01347">
              <w:rPr>
                <w:rFonts w:ascii="Verdana" w:hAnsi="Verdana"/>
                <w:sz w:val="16"/>
                <w:szCs w:val="16"/>
              </w:rPr>
              <w:lastRenderedPageBreak/>
              <w:t xml:space="preserve">controladores de flujo. Utilizar un espectrómetro de masas (EM), capaz de escanear de 35 a 270 </w:t>
            </w:r>
            <w:proofErr w:type="spellStart"/>
            <w:r w:rsidRPr="00F01347">
              <w:rPr>
                <w:rFonts w:ascii="Verdana" w:hAnsi="Verdana"/>
                <w:sz w:val="16"/>
                <w:szCs w:val="16"/>
              </w:rPr>
              <w:t>uma</w:t>
            </w:r>
            <w:proofErr w:type="spellEnd"/>
            <w:r w:rsidRPr="00F01347">
              <w:rPr>
                <w:rFonts w:ascii="Verdana" w:hAnsi="Verdana"/>
                <w:sz w:val="16"/>
                <w:szCs w:val="16"/>
              </w:rPr>
              <w:t xml:space="preserve"> (unidad de masa atómica) cada segundo o menos, utilizando 70 eV de energía en modo de ionización de impacto electrónico (EMIE), debe ser capaz de producir un espectro de masas que cumpla con todos los criterios de la Tabla B.3-1, de este Apéndice, con 4-bromofluorobenceno (BFB).</w:t>
            </w:r>
          </w:p>
        </w:tc>
        <w:tc>
          <w:tcPr>
            <w:tcW w:w="4675" w:type="dxa"/>
          </w:tcPr>
          <w:p w14:paraId="53B1EF7F" w14:textId="7C6238A7" w:rsidR="00325486" w:rsidRPr="00F01347" w:rsidRDefault="00325486" w:rsidP="00325486">
            <w:pPr>
              <w:pStyle w:val="texto0"/>
              <w:spacing w:line="218" w:lineRule="exact"/>
              <w:ind w:firstLine="0"/>
              <w:rPr>
                <w:rFonts w:ascii="Verdana" w:hAnsi="Verdana"/>
                <w:b/>
                <w:sz w:val="16"/>
                <w:szCs w:val="16"/>
                <w:lang w:val="en-US"/>
              </w:rPr>
            </w:pPr>
            <w:r w:rsidRPr="00F01347">
              <w:rPr>
                <w:rFonts w:ascii="Verdana" w:hAnsi="Verdana"/>
                <w:b/>
                <w:sz w:val="16"/>
                <w:szCs w:val="16"/>
                <w:lang w:val="en-US"/>
              </w:rPr>
              <w:lastRenderedPageBreak/>
              <w:t>Gas chromatograph (</w:t>
            </w:r>
            <w:r w:rsidR="009F51BF">
              <w:rPr>
                <w:rFonts w:ascii="Verdana" w:hAnsi="Verdana"/>
                <w:b/>
                <w:sz w:val="16"/>
                <w:szCs w:val="16"/>
                <w:lang w:val="en-US"/>
              </w:rPr>
              <w:t>CG</w:t>
            </w:r>
            <w:r w:rsidRPr="00F01347">
              <w:rPr>
                <w:rFonts w:ascii="Verdana" w:hAnsi="Verdana"/>
                <w:b/>
                <w:sz w:val="16"/>
                <w:szCs w:val="16"/>
                <w:lang w:val="en-US"/>
              </w:rPr>
              <w:t>) with mass spectrometry (</w:t>
            </w:r>
            <w:r w:rsidR="009F51BF">
              <w:rPr>
                <w:rFonts w:ascii="Verdana" w:hAnsi="Verdana"/>
                <w:b/>
                <w:sz w:val="16"/>
                <w:szCs w:val="16"/>
                <w:lang w:val="en-US"/>
              </w:rPr>
              <w:t>EM</w:t>
            </w:r>
            <w:r w:rsidRPr="00F01347">
              <w:rPr>
                <w:rFonts w:ascii="Verdana" w:hAnsi="Verdana"/>
                <w:b/>
                <w:sz w:val="16"/>
                <w:szCs w:val="16"/>
                <w:lang w:val="en-US"/>
              </w:rPr>
              <w:t xml:space="preserve">) detector. </w:t>
            </w:r>
            <w:r w:rsidRPr="00F01347">
              <w:rPr>
                <w:rFonts w:ascii="Verdana" w:hAnsi="Verdana"/>
                <w:sz w:val="16"/>
                <w:szCs w:val="16"/>
                <w:lang w:val="en-US"/>
              </w:rPr>
              <w:t xml:space="preserve">Use a CG with programmable temperature suitable for injection without division </w:t>
            </w:r>
            <w:r w:rsidR="00CB209C" w:rsidRPr="00F01347">
              <w:rPr>
                <w:rFonts w:ascii="Verdana" w:hAnsi="Verdana"/>
                <w:sz w:val="16"/>
                <w:szCs w:val="16"/>
                <w:lang w:val="en-US"/>
              </w:rPr>
              <w:t>(</w:t>
            </w:r>
            <w:proofErr w:type="spellStart"/>
            <w:r w:rsidRPr="00F01347">
              <w:rPr>
                <w:rFonts w:ascii="Verdana" w:hAnsi="Verdana"/>
                <w:sz w:val="16"/>
                <w:szCs w:val="16"/>
                <w:lang w:val="en-US"/>
              </w:rPr>
              <w:t>splitless</w:t>
            </w:r>
            <w:proofErr w:type="spellEnd"/>
            <w:r w:rsidR="00913802" w:rsidRPr="00F01347">
              <w:rPr>
                <w:rFonts w:ascii="Verdana" w:hAnsi="Verdana"/>
                <w:sz w:val="16"/>
                <w:szCs w:val="16"/>
                <w:lang w:val="en-US"/>
              </w:rPr>
              <w:t>)</w:t>
            </w:r>
            <w:r w:rsidRPr="00F01347">
              <w:rPr>
                <w:rFonts w:ascii="Verdana" w:hAnsi="Verdana"/>
                <w:sz w:val="16"/>
                <w:szCs w:val="16"/>
                <w:lang w:val="en-US"/>
              </w:rPr>
              <w:t xml:space="preserve">, with division (Split) and with flow controllers. </w:t>
            </w:r>
            <w:r w:rsidRPr="00F01347">
              <w:rPr>
                <w:rFonts w:ascii="Verdana" w:hAnsi="Verdana"/>
                <w:sz w:val="16"/>
                <w:szCs w:val="16"/>
                <w:lang w:val="en-US"/>
              </w:rPr>
              <w:lastRenderedPageBreak/>
              <w:t>Using a mass spectrometer (EM), capable of scanning 35 to 270 amu (atomic mass unit) every second or less, using 70 eV of energy in electron impact ionization (EMIE) mode, should be able to produce a mass spectrum that meets all the criteria of Table B.3-1, of this Appendix, with 4-bromofluorobenzene (BFB).</w:t>
            </w:r>
          </w:p>
        </w:tc>
      </w:tr>
    </w:tbl>
    <w:p w14:paraId="11594D7E" w14:textId="77777777" w:rsidR="00204B58" w:rsidRPr="00F01347" w:rsidRDefault="00204B58" w:rsidP="003A601B">
      <w:pPr>
        <w:pStyle w:val="texto0"/>
        <w:spacing w:line="218" w:lineRule="exact"/>
        <w:rPr>
          <w:rFonts w:ascii="Verdana" w:hAnsi="Verdana"/>
          <w:sz w:val="16"/>
          <w:szCs w:val="16"/>
          <w:lang w:val="en-US"/>
        </w:rPr>
      </w:pPr>
    </w:p>
    <w:p w14:paraId="284330BA" w14:textId="77777777" w:rsidR="00204B58" w:rsidRPr="00F01347" w:rsidRDefault="00204B58" w:rsidP="003A601B">
      <w:pPr>
        <w:pStyle w:val="texto0"/>
        <w:spacing w:line="218" w:lineRule="exact"/>
        <w:rPr>
          <w:rFonts w:ascii="Verdana" w:hAnsi="Verdana"/>
          <w:sz w:val="16"/>
          <w:szCs w:val="16"/>
          <w:lang w:val="en-US"/>
        </w:rPr>
      </w:pPr>
    </w:p>
    <w:tbl>
      <w:tblPr>
        <w:tblW w:w="4338" w:type="dxa"/>
        <w:tblInd w:w="2232" w:type="dxa"/>
        <w:shd w:val="clear" w:color="auto" w:fill="FFFFFF"/>
        <w:tblLayout w:type="fixed"/>
        <w:tblCellMar>
          <w:left w:w="72" w:type="dxa"/>
          <w:right w:w="72" w:type="dxa"/>
        </w:tblCellMar>
        <w:tblLook w:val="0000" w:firstRow="0" w:lastRow="0" w:firstColumn="0" w:lastColumn="0" w:noHBand="0" w:noVBand="0"/>
      </w:tblPr>
      <w:tblGrid>
        <w:gridCol w:w="1278"/>
        <w:gridCol w:w="3060"/>
      </w:tblGrid>
      <w:tr w:rsidR="00A74CDF" w:rsidRPr="00F01347" w14:paraId="1DFD42BC" w14:textId="77777777">
        <w:trPr>
          <w:trHeight w:val="144"/>
        </w:trPr>
        <w:tc>
          <w:tcPr>
            <w:tcW w:w="4338" w:type="dxa"/>
            <w:gridSpan w:val="2"/>
            <w:tcBorders>
              <w:bottom w:val="single" w:sz="6" w:space="0" w:color="auto"/>
            </w:tcBorders>
            <w:shd w:val="clear" w:color="auto" w:fill="FFFFFF"/>
            <w:noWrap/>
          </w:tcPr>
          <w:p w14:paraId="3634ADD3"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b/>
                <w:sz w:val="16"/>
                <w:szCs w:val="16"/>
              </w:rPr>
              <w:t>Tabla B.3-1.</w:t>
            </w:r>
            <w:r w:rsidRPr="00F01347">
              <w:rPr>
                <w:rFonts w:ascii="Verdana" w:hAnsi="Verdana"/>
                <w:sz w:val="16"/>
                <w:szCs w:val="16"/>
              </w:rPr>
              <w:t xml:space="preserve"> Criterios de Abundancia (m/z) del BFB</w:t>
            </w:r>
          </w:p>
        </w:tc>
      </w:tr>
      <w:tr w:rsidR="00A74CDF" w:rsidRPr="00F01347" w14:paraId="5CEA8B1D" w14:textId="7777777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tcPr>
          <w:p w14:paraId="17F5D9ED" w14:textId="77777777" w:rsidR="00A74CDF" w:rsidRPr="00F01347" w:rsidRDefault="00A74CDF" w:rsidP="003A601B">
            <w:pPr>
              <w:pStyle w:val="texto0"/>
              <w:spacing w:line="218" w:lineRule="exact"/>
              <w:ind w:firstLine="0"/>
              <w:jc w:val="center"/>
              <w:rPr>
                <w:rFonts w:ascii="Verdana" w:hAnsi="Verdana"/>
                <w:b/>
                <w:sz w:val="16"/>
                <w:szCs w:val="16"/>
              </w:rPr>
            </w:pPr>
            <w:r w:rsidRPr="00F01347">
              <w:rPr>
                <w:rFonts w:ascii="Verdana" w:hAnsi="Verdana"/>
                <w:b/>
                <w:sz w:val="16"/>
                <w:szCs w:val="16"/>
              </w:rPr>
              <w:t>Masa</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14:paraId="4DB61258" w14:textId="77777777" w:rsidR="00A74CDF" w:rsidRPr="00F01347" w:rsidRDefault="00A74CDF" w:rsidP="003A601B">
            <w:pPr>
              <w:pStyle w:val="texto0"/>
              <w:spacing w:line="218" w:lineRule="exact"/>
              <w:ind w:firstLine="0"/>
              <w:jc w:val="center"/>
              <w:rPr>
                <w:rFonts w:ascii="Verdana" w:hAnsi="Verdana"/>
                <w:b/>
                <w:sz w:val="16"/>
                <w:szCs w:val="16"/>
              </w:rPr>
            </w:pPr>
            <w:r w:rsidRPr="00F01347">
              <w:rPr>
                <w:rFonts w:ascii="Verdana" w:hAnsi="Verdana"/>
                <w:b/>
                <w:sz w:val="16"/>
                <w:szCs w:val="16"/>
              </w:rPr>
              <w:t>Criterios de abundancia m/z</w:t>
            </w:r>
          </w:p>
        </w:tc>
      </w:tr>
      <w:tr w:rsidR="00A74CDF" w:rsidRPr="00F01347" w14:paraId="73447F1F" w14:textId="7777777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tcPr>
          <w:p w14:paraId="2CE7CCE0"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50</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14:paraId="53AB7215"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15 a 40 % de masa 95</w:t>
            </w:r>
          </w:p>
        </w:tc>
      </w:tr>
      <w:tr w:rsidR="00A74CDF" w:rsidRPr="00F01347" w14:paraId="4FFA756A" w14:textId="7777777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tcPr>
          <w:p w14:paraId="25CDACE4"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75</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14:paraId="5E6E7E91"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30 a 60 % de masa 95</w:t>
            </w:r>
          </w:p>
        </w:tc>
      </w:tr>
      <w:tr w:rsidR="00A74CDF" w:rsidRPr="00F01347" w14:paraId="679898F8" w14:textId="7777777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tcPr>
          <w:p w14:paraId="56773D32"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95</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14:paraId="37739143"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Pico base, de masa 95</w:t>
            </w:r>
          </w:p>
        </w:tc>
      </w:tr>
      <w:tr w:rsidR="00A74CDF" w:rsidRPr="00F01347" w14:paraId="357E9696" w14:textId="7777777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tcPr>
          <w:p w14:paraId="643155EE"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96</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14:paraId="53BA849E"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5 a 9 % de masa 95</w:t>
            </w:r>
          </w:p>
        </w:tc>
      </w:tr>
      <w:tr w:rsidR="00A74CDF" w:rsidRPr="00F01347" w14:paraId="5502A5CD" w14:textId="7777777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tcPr>
          <w:p w14:paraId="5463D5A1"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173</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14:paraId="150752DD"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&lt;2 % de masa 174</w:t>
            </w:r>
          </w:p>
        </w:tc>
      </w:tr>
      <w:tr w:rsidR="00A74CDF" w:rsidRPr="00F01347" w14:paraId="48959994" w14:textId="7777777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tcPr>
          <w:p w14:paraId="619F882E"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174</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14:paraId="40383D54"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&gt;50 % de masa 95</w:t>
            </w:r>
          </w:p>
        </w:tc>
      </w:tr>
      <w:tr w:rsidR="00A74CDF" w:rsidRPr="00F01347" w14:paraId="54CE42FC" w14:textId="7777777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tcPr>
          <w:p w14:paraId="2E31A958"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175</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14:paraId="423A61FF"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5 a 9 % de masa 174</w:t>
            </w:r>
          </w:p>
        </w:tc>
      </w:tr>
      <w:tr w:rsidR="00A74CDF" w:rsidRPr="00F01347" w14:paraId="708E3298" w14:textId="7777777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tcPr>
          <w:p w14:paraId="07ECA51A"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176</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14:paraId="1C868AF9"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95 a 101 % de masa 174</w:t>
            </w:r>
          </w:p>
        </w:tc>
      </w:tr>
      <w:tr w:rsidR="00A74CDF" w:rsidRPr="00F01347" w14:paraId="3BF78368" w14:textId="7777777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tcPr>
          <w:p w14:paraId="1A37DDA5"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177</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14:paraId="6C3EB01F" w14:textId="77777777" w:rsidR="00A74CDF" w:rsidRPr="00F01347" w:rsidRDefault="00A74CDF" w:rsidP="003A601B">
            <w:pPr>
              <w:pStyle w:val="texto0"/>
              <w:spacing w:line="218" w:lineRule="exact"/>
              <w:ind w:firstLine="0"/>
              <w:jc w:val="center"/>
              <w:rPr>
                <w:rFonts w:ascii="Verdana" w:hAnsi="Verdana"/>
                <w:sz w:val="16"/>
                <w:szCs w:val="16"/>
              </w:rPr>
            </w:pPr>
            <w:r w:rsidRPr="00F01347">
              <w:rPr>
                <w:rFonts w:ascii="Verdana" w:hAnsi="Verdana"/>
                <w:sz w:val="16"/>
                <w:szCs w:val="16"/>
              </w:rPr>
              <w:t>5 a 9 % de masa 176</w:t>
            </w:r>
          </w:p>
        </w:tc>
      </w:tr>
    </w:tbl>
    <w:p w14:paraId="21790739" w14:textId="77777777" w:rsidR="00A74CDF" w:rsidRPr="00F01347" w:rsidRDefault="00A74CDF" w:rsidP="003A601B">
      <w:pPr>
        <w:pStyle w:val="texto0"/>
        <w:spacing w:line="218" w:lineRule="exact"/>
        <w:rPr>
          <w:rFonts w:ascii="Verdana" w:hAnsi="Verdana"/>
          <w:b/>
          <w:sz w:val="16"/>
          <w:szCs w:val="16"/>
        </w:rPr>
      </w:pPr>
    </w:p>
    <w:p w14:paraId="689F890C" w14:textId="77777777" w:rsidR="00C546A7" w:rsidRPr="00F01347" w:rsidRDefault="00C546A7" w:rsidP="00C546A7">
      <w:pPr>
        <w:pStyle w:val="texto0"/>
        <w:spacing w:line="218" w:lineRule="exact"/>
        <w:rPr>
          <w:rFonts w:ascii="Verdana" w:hAnsi="Verdana"/>
          <w:sz w:val="16"/>
          <w:szCs w:val="16"/>
          <w:lang w:val="en"/>
        </w:rPr>
      </w:pPr>
    </w:p>
    <w:tbl>
      <w:tblPr>
        <w:tblW w:w="4335" w:type="dxa"/>
        <w:tblInd w:w="2232" w:type="dxa"/>
        <w:shd w:val="clear" w:color="auto" w:fill="FFFFFF"/>
        <w:tblLayout w:type="fixed"/>
        <w:tblCellMar>
          <w:left w:w="72" w:type="dxa"/>
          <w:right w:w="72" w:type="dxa"/>
        </w:tblCellMar>
        <w:tblLook w:val="04A0" w:firstRow="1" w:lastRow="0" w:firstColumn="1" w:lastColumn="0" w:noHBand="0" w:noVBand="1"/>
      </w:tblPr>
      <w:tblGrid>
        <w:gridCol w:w="1277"/>
        <w:gridCol w:w="3058"/>
      </w:tblGrid>
      <w:tr w:rsidR="00C546A7" w:rsidRPr="00F01347" w14:paraId="42667EB2" w14:textId="77777777" w:rsidTr="00C546A7">
        <w:trPr>
          <w:trHeight w:val="144"/>
        </w:trPr>
        <w:tc>
          <w:tcPr>
            <w:tcW w:w="4338" w:type="dxa"/>
            <w:gridSpan w:val="2"/>
            <w:tcBorders>
              <w:top w:val="nil"/>
              <w:left w:val="nil"/>
              <w:bottom w:val="single" w:sz="6" w:space="0" w:color="auto"/>
              <w:right w:val="nil"/>
            </w:tcBorders>
            <w:shd w:val="clear" w:color="auto" w:fill="FFFFFF"/>
            <w:noWrap/>
            <w:hideMark/>
          </w:tcPr>
          <w:p w14:paraId="4B59783C"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b/>
                <w:sz w:val="16"/>
                <w:szCs w:val="16"/>
                <w:lang w:val="en-US"/>
              </w:rPr>
              <w:t xml:space="preserve">Table B.3-1. </w:t>
            </w:r>
            <w:r w:rsidRPr="00F01347">
              <w:rPr>
                <w:rFonts w:ascii="Verdana" w:hAnsi="Verdana"/>
                <w:sz w:val="16"/>
                <w:szCs w:val="16"/>
                <w:lang w:val="en-US"/>
              </w:rPr>
              <w:t>BFB Abundance Criteria (m/z)</w:t>
            </w:r>
          </w:p>
        </w:tc>
      </w:tr>
      <w:tr w:rsidR="00C546A7" w:rsidRPr="00F01347" w14:paraId="67A8BAB0" w14:textId="77777777" w:rsidTr="00C546A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hideMark/>
          </w:tcPr>
          <w:p w14:paraId="711757E4" w14:textId="77777777" w:rsidR="00C546A7" w:rsidRPr="00F01347" w:rsidRDefault="00C546A7">
            <w:pPr>
              <w:pStyle w:val="texto0"/>
              <w:spacing w:line="218" w:lineRule="exact"/>
              <w:ind w:firstLine="0"/>
              <w:jc w:val="center"/>
              <w:rPr>
                <w:rFonts w:ascii="Verdana" w:hAnsi="Verdana"/>
                <w:b/>
                <w:sz w:val="16"/>
                <w:szCs w:val="16"/>
                <w:lang w:val="en-US"/>
              </w:rPr>
            </w:pPr>
            <w:r w:rsidRPr="00F01347">
              <w:rPr>
                <w:rFonts w:ascii="Verdana" w:hAnsi="Verdana"/>
                <w:b/>
                <w:sz w:val="16"/>
                <w:szCs w:val="16"/>
                <w:lang w:val="en-US"/>
              </w:rPr>
              <w:t>Mass</w:t>
            </w:r>
          </w:p>
        </w:tc>
        <w:tc>
          <w:tcPr>
            <w:tcW w:w="3060" w:type="dxa"/>
            <w:tcBorders>
              <w:top w:val="single" w:sz="6" w:space="0" w:color="auto"/>
              <w:left w:val="single" w:sz="6" w:space="0" w:color="auto"/>
              <w:bottom w:val="single" w:sz="6" w:space="0" w:color="auto"/>
              <w:right w:val="single" w:sz="6" w:space="0" w:color="auto"/>
            </w:tcBorders>
            <w:shd w:val="clear" w:color="auto" w:fill="FFFFFF"/>
            <w:hideMark/>
          </w:tcPr>
          <w:p w14:paraId="2793AEE1" w14:textId="77777777" w:rsidR="00C546A7" w:rsidRPr="00F01347" w:rsidRDefault="00C546A7">
            <w:pPr>
              <w:pStyle w:val="texto0"/>
              <w:spacing w:line="218" w:lineRule="exact"/>
              <w:ind w:firstLine="0"/>
              <w:jc w:val="center"/>
              <w:rPr>
                <w:rFonts w:ascii="Verdana" w:hAnsi="Verdana"/>
                <w:b/>
                <w:sz w:val="16"/>
                <w:szCs w:val="16"/>
                <w:lang w:val="en-US"/>
              </w:rPr>
            </w:pPr>
            <w:r w:rsidRPr="00F01347">
              <w:rPr>
                <w:rFonts w:ascii="Verdana" w:hAnsi="Verdana"/>
                <w:b/>
                <w:sz w:val="16"/>
                <w:szCs w:val="16"/>
                <w:lang w:val="en-US"/>
              </w:rPr>
              <w:t>m/z abundance criteria</w:t>
            </w:r>
          </w:p>
        </w:tc>
      </w:tr>
      <w:tr w:rsidR="00C546A7" w:rsidRPr="00F01347" w14:paraId="701ADE9D" w14:textId="77777777" w:rsidTr="00C546A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hideMark/>
          </w:tcPr>
          <w:p w14:paraId="4F0EE0AE" w14:textId="5EF6C6AF" w:rsidR="00C546A7" w:rsidRPr="00F01347" w:rsidRDefault="008A076D">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50</w:t>
            </w:r>
          </w:p>
        </w:tc>
        <w:tc>
          <w:tcPr>
            <w:tcW w:w="3060" w:type="dxa"/>
            <w:tcBorders>
              <w:top w:val="single" w:sz="6" w:space="0" w:color="auto"/>
              <w:left w:val="single" w:sz="6" w:space="0" w:color="auto"/>
              <w:bottom w:val="single" w:sz="6" w:space="0" w:color="auto"/>
              <w:right w:val="single" w:sz="6" w:space="0" w:color="auto"/>
            </w:tcBorders>
            <w:shd w:val="clear" w:color="auto" w:fill="FFFFFF"/>
            <w:hideMark/>
          </w:tcPr>
          <w:p w14:paraId="08CE5EE3"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15 to 40% mass 95</w:t>
            </w:r>
          </w:p>
        </w:tc>
      </w:tr>
      <w:tr w:rsidR="00C546A7" w:rsidRPr="00F01347" w14:paraId="5B6C8B00" w14:textId="77777777" w:rsidTr="00C546A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hideMark/>
          </w:tcPr>
          <w:p w14:paraId="51DB170F"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75</w:t>
            </w:r>
          </w:p>
        </w:tc>
        <w:tc>
          <w:tcPr>
            <w:tcW w:w="3060" w:type="dxa"/>
            <w:tcBorders>
              <w:top w:val="single" w:sz="6" w:space="0" w:color="auto"/>
              <w:left w:val="single" w:sz="6" w:space="0" w:color="auto"/>
              <w:bottom w:val="single" w:sz="6" w:space="0" w:color="auto"/>
              <w:right w:val="single" w:sz="6" w:space="0" w:color="auto"/>
            </w:tcBorders>
            <w:shd w:val="clear" w:color="auto" w:fill="FFFFFF"/>
            <w:hideMark/>
          </w:tcPr>
          <w:p w14:paraId="5D107530"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30 to 60% mass 95</w:t>
            </w:r>
          </w:p>
        </w:tc>
      </w:tr>
      <w:tr w:rsidR="00C546A7" w:rsidRPr="00F01347" w14:paraId="27571D8B" w14:textId="77777777" w:rsidTr="00C546A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hideMark/>
          </w:tcPr>
          <w:p w14:paraId="6E1D73A9"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95</w:t>
            </w:r>
          </w:p>
        </w:tc>
        <w:tc>
          <w:tcPr>
            <w:tcW w:w="3060" w:type="dxa"/>
            <w:tcBorders>
              <w:top w:val="single" w:sz="6" w:space="0" w:color="auto"/>
              <w:left w:val="single" w:sz="6" w:space="0" w:color="auto"/>
              <w:bottom w:val="single" w:sz="6" w:space="0" w:color="auto"/>
              <w:right w:val="single" w:sz="6" w:space="0" w:color="auto"/>
            </w:tcBorders>
            <w:shd w:val="clear" w:color="auto" w:fill="FFFFFF"/>
            <w:hideMark/>
          </w:tcPr>
          <w:p w14:paraId="7AEB137A"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Base peak, mass 95</w:t>
            </w:r>
          </w:p>
        </w:tc>
      </w:tr>
      <w:tr w:rsidR="00C546A7" w:rsidRPr="00F01347" w14:paraId="022F1273" w14:textId="77777777" w:rsidTr="00C546A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hideMark/>
          </w:tcPr>
          <w:p w14:paraId="54151877"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96</w:t>
            </w:r>
          </w:p>
        </w:tc>
        <w:tc>
          <w:tcPr>
            <w:tcW w:w="3060" w:type="dxa"/>
            <w:tcBorders>
              <w:top w:val="single" w:sz="6" w:space="0" w:color="auto"/>
              <w:left w:val="single" w:sz="6" w:space="0" w:color="auto"/>
              <w:bottom w:val="single" w:sz="6" w:space="0" w:color="auto"/>
              <w:right w:val="single" w:sz="6" w:space="0" w:color="auto"/>
            </w:tcBorders>
            <w:shd w:val="clear" w:color="auto" w:fill="FFFFFF"/>
            <w:hideMark/>
          </w:tcPr>
          <w:p w14:paraId="48586532"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5 to 9% mass 95</w:t>
            </w:r>
          </w:p>
        </w:tc>
      </w:tr>
      <w:tr w:rsidR="00C546A7" w:rsidRPr="00F01347" w14:paraId="3783C12C" w14:textId="77777777" w:rsidTr="00C546A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hideMark/>
          </w:tcPr>
          <w:p w14:paraId="62E36CBD"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173</w:t>
            </w:r>
          </w:p>
        </w:tc>
        <w:tc>
          <w:tcPr>
            <w:tcW w:w="3060" w:type="dxa"/>
            <w:tcBorders>
              <w:top w:val="single" w:sz="6" w:space="0" w:color="auto"/>
              <w:left w:val="single" w:sz="6" w:space="0" w:color="auto"/>
              <w:bottom w:val="single" w:sz="6" w:space="0" w:color="auto"/>
              <w:right w:val="single" w:sz="6" w:space="0" w:color="auto"/>
            </w:tcBorders>
            <w:shd w:val="clear" w:color="auto" w:fill="FFFFFF"/>
            <w:hideMark/>
          </w:tcPr>
          <w:p w14:paraId="49CF79E2"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&lt;2% mass 174</w:t>
            </w:r>
          </w:p>
        </w:tc>
      </w:tr>
      <w:tr w:rsidR="00C546A7" w:rsidRPr="00F01347" w14:paraId="1BFB7B0E" w14:textId="77777777" w:rsidTr="00C546A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hideMark/>
          </w:tcPr>
          <w:p w14:paraId="5496884E"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174</w:t>
            </w:r>
          </w:p>
        </w:tc>
        <w:tc>
          <w:tcPr>
            <w:tcW w:w="3060" w:type="dxa"/>
            <w:tcBorders>
              <w:top w:val="single" w:sz="6" w:space="0" w:color="auto"/>
              <w:left w:val="single" w:sz="6" w:space="0" w:color="auto"/>
              <w:bottom w:val="single" w:sz="6" w:space="0" w:color="auto"/>
              <w:right w:val="single" w:sz="6" w:space="0" w:color="auto"/>
            </w:tcBorders>
            <w:shd w:val="clear" w:color="auto" w:fill="FFFFFF"/>
            <w:hideMark/>
          </w:tcPr>
          <w:p w14:paraId="2DF7F194"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&gt;50% mass 95</w:t>
            </w:r>
          </w:p>
        </w:tc>
      </w:tr>
      <w:tr w:rsidR="00C546A7" w:rsidRPr="00F01347" w14:paraId="494A657C" w14:textId="77777777" w:rsidTr="00C546A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hideMark/>
          </w:tcPr>
          <w:p w14:paraId="19AC9C15"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175</w:t>
            </w:r>
          </w:p>
        </w:tc>
        <w:tc>
          <w:tcPr>
            <w:tcW w:w="3060" w:type="dxa"/>
            <w:tcBorders>
              <w:top w:val="single" w:sz="6" w:space="0" w:color="auto"/>
              <w:left w:val="single" w:sz="6" w:space="0" w:color="auto"/>
              <w:bottom w:val="single" w:sz="6" w:space="0" w:color="auto"/>
              <w:right w:val="single" w:sz="6" w:space="0" w:color="auto"/>
            </w:tcBorders>
            <w:shd w:val="clear" w:color="auto" w:fill="FFFFFF"/>
            <w:hideMark/>
          </w:tcPr>
          <w:p w14:paraId="0DEC9CDC"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5 to 9% of mass 174</w:t>
            </w:r>
          </w:p>
        </w:tc>
      </w:tr>
      <w:tr w:rsidR="00C546A7" w:rsidRPr="00F01347" w14:paraId="160586B7" w14:textId="77777777" w:rsidTr="00C546A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hideMark/>
          </w:tcPr>
          <w:p w14:paraId="46241D6A"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176</w:t>
            </w:r>
          </w:p>
        </w:tc>
        <w:tc>
          <w:tcPr>
            <w:tcW w:w="3060" w:type="dxa"/>
            <w:tcBorders>
              <w:top w:val="single" w:sz="6" w:space="0" w:color="auto"/>
              <w:left w:val="single" w:sz="6" w:space="0" w:color="auto"/>
              <w:bottom w:val="single" w:sz="6" w:space="0" w:color="auto"/>
              <w:right w:val="single" w:sz="6" w:space="0" w:color="auto"/>
            </w:tcBorders>
            <w:shd w:val="clear" w:color="auto" w:fill="FFFFFF"/>
            <w:hideMark/>
          </w:tcPr>
          <w:p w14:paraId="72893D67"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95 to 101% mass 174</w:t>
            </w:r>
          </w:p>
        </w:tc>
      </w:tr>
      <w:tr w:rsidR="00C546A7" w:rsidRPr="00F01347" w14:paraId="4E538E65" w14:textId="77777777" w:rsidTr="00C546A7">
        <w:trPr>
          <w:trHeight w:val="144"/>
        </w:trPr>
        <w:tc>
          <w:tcPr>
            <w:tcW w:w="1278" w:type="dxa"/>
            <w:tcBorders>
              <w:top w:val="single" w:sz="6" w:space="0" w:color="auto"/>
              <w:left w:val="single" w:sz="6" w:space="0" w:color="auto"/>
              <w:bottom w:val="single" w:sz="6" w:space="0" w:color="auto"/>
              <w:right w:val="single" w:sz="6" w:space="0" w:color="auto"/>
            </w:tcBorders>
            <w:shd w:val="clear" w:color="auto" w:fill="FFFFFF"/>
            <w:hideMark/>
          </w:tcPr>
          <w:p w14:paraId="6D0DDC57"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177</w:t>
            </w:r>
          </w:p>
        </w:tc>
        <w:tc>
          <w:tcPr>
            <w:tcW w:w="3060" w:type="dxa"/>
            <w:tcBorders>
              <w:top w:val="single" w:sz="6" w:space="0" w:color="auto"/>
              <w:left w:val="single" w:sz="6" w:space="0" w:color="auto"/>
              <w:bottom w:val="single" w:sz="6" w:space="0" w:color="auto"/>
              <w:right w:val="single" w:sz="6" w:space="0" w:color="auto"/>
            </w:tcBorders>
            <w:shd w:val="clear" w:color="auto" w:fill="FFFFFF"/>
            <w:hideMark/>
          </w:tcPr>
          <w:p w14:paraId="47CAE8D8" w14:textId="77777777" w:rsidR="00C546A7" w:rsidRPr="00F01347" w:rsidRDefault="00C546A7">
            <w:pPr>
              <w:pStyle w:val="texto0"/>
              <w:spacing w:line="218" w:lineRule="exact"/>
              <w:ind w:firstLine="0"/>
              <w:jc w:val="center"/>
              <w:rPr>
                <w:rFonts w:ascii="Verdana" w:hAnsi="Verdana"/>
                <w:sz w:val="16"/>
                <w:szCs w:val="16"/>
                <w:lang w:val="en-US"/>
              </w:rPr>
            </w:pPr>
            <w:r w:rsidRPr="00F01347">
              <w:rPr>
                <w:rFonts w:ascii="Verdana" w:hAnsi="Verdana"/>
                <w:sz w:val="16"/>
                <w:szCs w:val="16"/>
                <w:lang w:val="en-US"/>
              </w:rPr>
              <w:t>5 to 9% mass 176</w:t>
            </w:r>
          </w:p>
        </w:tc>
      </w:tr>
    </w:tbl>
    <w:p w14:paraId="0BEE2655" w14:textId="77777777" w:rsidR="00C546A7" w:rsidRPr="00F01347" w:rsidRDefault="00C546A7" w:rsidP="003A601B">
      <w:pPr>
        <w:pStyle w:val="texto0"/>
        <w:spacing w:line="218"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546A7" w:rsidRPr="00F01347" w14:paraId="11C039CB" w14:textId="57A0294A" w:rsidTr="008A076D">
        <w:tc>
          <w:tcPr>
            <w:tcW w:w="4675" w:type="dxa"/>
          </w:tcPr>
          <w:p w14:paraId="7EA16C2F" w14:textId="77777777" w:rsidR="00C546A7" w:rsidRPr="00F01347" w:rsidRDefault="00C546A7" w:rsidP="00C546A7">
            <w:pPr>
              <w:pStyle w:val="texto0"/>
              <w:spacing w:line="218" w:lineRule="exact"/>
              <w:ind w:firstLine="0"/>
              <w:rPr>
                <w:rFonts w:ascii="Verdana" w:hAnsi="Verdana"/>
                <w:b/>
                <w:sz w:val="16"/>
                <w:szCs w:val="16"/>
              </w:rPr>
            </w:pPr>
            <w:r w:rsidRPr="00F01347">
              <w:rPr>
                <w:rFonts w:ascii="Verdana" w:hAnsi="Verdana"/>
                <w:b/>
                <w:sz w:val="16"/>
                <w:szCs w:val="16"/>
              </w:rPr>
              <w:t>Espátula de acero inoxidable</w:t>
            </w:r>
          </w:p>
        </w:tc>
        <w:tc>
          <w:tcPr>
            <w:tcW w:w="4675" w:type="dxa"/>
          </w:tcPr>
          <w:p w14:paraId="365CCD7B" w14:textId="3C7CA7F1" w:rsidR="00C546A7" w:rsidRPr="00F01347" w:rsidRDefault="008A076D" w:rsidP="00C546A7">
            <w:pPr>
              <w:pStyle w:val="texto0"/>
              <w:spacing w:line="218" w:lineRule="exact"/>
              <w:ind w:firstLine="0"/>
              <w:rPr>
                <w:rFonts w:ascii="Verdana" w:hAnsi="Verdana"/>
                <w:b/>
                <w:sz w:val="16"/>
                <w:szCs w:val="16"/>
                <w:lang w:val="en-US"/>
              </w:rPr>
            </w:pPr>
            <w:r w:rsidRPr="00F01347">
              <w:rPr>
                <w:rFonts w:ascii="Verdana" w:hAnsi="Verdana"/>
                <w:b/>
                <w:sz w:val="16"/>
                <w:szCs w:val="16"/>
                <w:lang w:val="en-US"/>
              </w:rPr>
              <w:t>S</w:t>
            </w:r>
            <w:r w:rsidR="00C546A7" w:rsidRPr="00F01347">
              <w:rPr>
                <w:rFonts w:ascii="Verdana" w:hAnsi="Verdana"/>
                <w:b/>
                <w:sz w:val="16"/>
                <w:szCs w:val="16"/>
                <w:lang w:val="en-US"/>
              </w:rPr>
              <w:t>tainless steel spatula</w:t>
            </w:r>
          </w:p>
        </w:tc>
      </w:tr>
      <w:tr w:rsidR="00C546A7" w:rsidRPr="00F01347" w14:paraId="41E55A2C" w14:textId="55A679E8" w:rsidTr="008A076D">
        <w:tc>
          <w:tcPr>
            <w:tcW w:w="4675" w:type="dxa"/>
          </w:tcPr>
          <w:p w14:paraId="1675D7D2" w14:textId="77777777" w:rsidR="00C546A7" w:rsidRPr="00F01347" w:rsidRDefault="00C546A7" w:rsidP="00C546A7">
            <w:pPr>
              <w:pStyle w:val="texto0"/>
              <w:spacing w:line="218" w:lineRule="exact"/>
              <w:ind w:firstLine="0"/>
              <w:rPr>
                <w:rFonts w:ascii="Verdana" w:hAnsi="Verdana"/>
                <w:sz w:val="16"/>
                <w:szCs w:val="16"/>
              </w:rPr>
            </w:pPr>
            <w:r w:rsidRPr="00F01347">
              <w:rPr>
                <w:rFonts w:ascii="Verdana" w:hAnsi="Verdana"/>
                <w:b/>
                <w:sz w:val="16"/>
                <w:szCs w:val="16"/>
              </w:rPr>
              <w:t>Envases con tapón de rosca</w:t>
            </w:r>
            <w:r w:rsidRPr="00F01347">
              <w:rPr>
                <w:rFonts w:ascii="Verdana" w:hAnsi="Verdana"/>
                <w:sz w:val="16"/>
                <w:szCs w:val="16"/>
              </w:rPr>
              <w:t xml:space="preserve"> </w:t>
            </w:r>
            <w:r w:rsidRPr="00F01347">
              <w:rPr>
                <w:rFonts w:ascii="Verdana" w:hAnsi="Verdana"/>
                <w:b/>
                <w:bCs/>
                <w:sz w:val="16"/>
                <w:szCs w:val="16"/>
              </w:rPr>
              <w:t>recubierto con PTFE</w:t>
            </w:r>
            <w:r w:rsidRPr="00F01347">
              <w:rPr>
                <w:rFonts w:ascii="Verdana" w:hAnsi="Verdana"/>
                <w:sz w:val="16"/>
                <w:szCs w:val="16"/>
              </w:rPr>
              <w:t xml:space="preserve"> del volumen recomendado por el fabricante del sistema de purga y trampa.</w:t>
            </w:r>
          </w:p>
        </w:tc>
        <w:tc>
          <w:tcPr>
            <w:tcW w:w="4675" w:type="dxa"/>
          </w:tcPr>
          <w:p w14:paraId="6E9FAF24" w14:textId="19675ADB" w:rsidR="00C546A7" w:rsidRPr="00F01347" w:rsidRDefault="00C546A7" w:rsidP="00C546A7">
            <w:pPr>
              <w:pStyle w:val="texto0"/>
              <w:spacing w:line="218" w:lineRule="exact"/>
              <w:ind w:firstLine="0"/>
              <w:rPr>
                <w:rFonts w:ascii="Verdana" w:hAnsi="Verdana"/>
                <w:sz w:val="16"/>
                <w:szCs w:val="16"/>
                <w:lang w:val="en-US"/>
              </w:rPr>
            </w:pPr>
            <w:r w:rsidRPr="00F01347">
              <w:rPr>
                <w:rFonts w:ascii="Verdana" w:hAnsi="Verdana"/>
                <w:b/>
                <w:bCs/>
                <w:sz w:val="16"/>
                <w:szCs w:val="16"/>
                <w:lang w:val="en-US"/>
              </w:rPr>
              <w:t>PTFE-coated</w:t>
            </w:r>
            <w:r w:rsidR="00B303B5" w:rsidRPr="00F01347">
              <w:rPr>
                <w:rFonts w:ascii="Verdana" w:hAnsi="Verdana"/>
                <w:b/>
                <w:bCs/>
                <w:sz w:val="16"/>
                <w:szCs w:val="16"/>
                <w:lang w:val="en-US"/>
              </w:rPr>
              <w:t xml:space="preserve"> Containers with</w:t>
            </w:r>
            <w:r w:rsidRPr="00F01347">
              <w:rPr>
                <w:rFonts w:ascii="Verdana" w:hAnsi="Verdana"/>
                <w:b/>
                <w:bCs/>
                <w:sz w:val="16"/>
                <w:szCs w:val="16"/>
                <w:lang w:val="en-US"/>
              </w:rPr>
              <w:t xml:space="preserve"> screw caps</w:t>
            </w:r>
            <w:r w:rsidRPr="00F01347">
              <w:rPr>
                <w:rFonts w:ascii="Verdana" w:hAnsi="Verdana"/>
                <w:sz w:val="16"/>
                <w:szCs w:val="16"/>
                <w:lang w:val="en-US"/>
              </w:rPr>
              <w:t xml:space="preserve"> of the volume recommended by the manufacturer of the purge and trap system.</w:t>
            </w:r>
          </w:p>
        </w:tc>
      </w:tr>
      <w:tr w:rsidR="00C546A7" w:rsidRPr="00F01347" w14:paraId="0990F273" w14:textId="32457F1E" w:rsidTr="008A076D">
        <w:tc>
          <w:tcPr>
            <w:tcW w:w="4675" w:type="dxa"/>
          </w:tcPr>
          <w:p w14:paraId="16C11D62" w14:textId="77777777" w:rsidR="00C546A7" w:rsidRPr="00F01347" w:rsidRDefault="00C546A7" w:rsidP="00C546A7">
            <w:pPr>
              <w:pStyle w:val="texto0"/>
              <w:spacing w:line="218" w:lineRule="exact"/>
              <w:ind w:firstLine="0"/>
              <w:rPr>
                <w:rFonts w:ascii="Verdana" w:hAnsi="Verdana"/>
                <w:sz w:val="16"/>
                <w:szCs w:val="16"/>
              </w:rPr>
            </w:pPr>
            <w:proofErr w:type="gramStart"/>
            <w:r w:rsidRPr="00F01347">
              <w:rPr>
                <w:rFonts w:ascii="Verdana" w:hAnsi="Verdana"/>
                <w:b/>
                <w:sz w:val="16"/>
                <w:szCs w:val="16"/>
              </w:rPr>
              <w:t>Interface</w:t>
            </w:r>
            <w:proofErr w:type="gramEnd"/>
            <w:r w:rsidRPr="00F01347">
              <w:rPr>
                <w:rFonts w:ascii="Verdana" w:hAnsi="Verdana"/>
                <w:b/>
                <w:sz w:val="16"/>
                <w:szCs w:val="16"/>
              </w:rPr>
              <w:t xml:space="preserve"> del CG/EM</w:t>
            </w:r>
            <w:r w:rsidRPr="00F01347">
              <w:rPr>
                <w:rFonts w:ascii="Verdana" w:hAnsi="Verdana"/>
                <w:sz w:val="16"/>
                <w:szCs w:val="16"/>
              </w:rPr>
              <w:t xml:space="preserve">. Utilizar una </w:t>
            </w:r>
            <w:proofErr w:type="gramStart"/>
            <w:r w:rsidRPr="00F01347">
              <w:rPr>
                <w:rFonts w:ascii="Verdana" w:hAnsi="Verdana"/>
                <w:sz w:val="16"/>
                <w:szCs w:val="16"/>
              </w:rPr>
              <w:t>interface</w:t>
            </w:r>
            <w:proofErr w:type="gramEnd"/>
            <w:r w:rsidRPr="00F01347">
              <w:rPr>
                <w:rFonts w:ascii="Verdana" w:hAnsi="Verdana"/>
                <w:sz w:val="16"/>
                <w:szCs w:val="16"/>
              </w:rPr>
              <w:t xml:space="preserve"> de acoplamiento directo de la columna dentro del MS, las columnas generalmente utilizadas tienen un diámetro interno de 0.25 a 0.32 </w:t>
            </w:r>
            <w:proofErr w:type="spellStart"/>
            <w:r w:rsidRPr="00F01347">
              <w:rPr>
                <w:rFonts w:ascii="Verdana" w:hAnsi="Verdana"/>
                <w:sz w:val="16"/>
                <w:szCs w:val="16"/>
              </w:rPr>
              <w:t>mm.</w:t>
            </w:r>
            <w:proofErr w:type="spellEnd"/>
            <w:r w:rsidRPr="00F01347">
              <w:rPr>
                <w:rFonts w:ascii="Verdana" w:hAnsi="Verdana"/>
                <w:sz w:val="16"/>
                <w:szCs w:val="16"/>
              </w:rPr>
              <w:t xml:space="preserve"> Para columnas de 0.53 mm, </w:t>
            </w:r>
            <w:r w:rsidRPr="00F01347">
              <w:rPr>
                <w:rFonts w:ascii="Verdana" w:hAnsi="Verdana"/>
                <w:sz w:val="16"/>
                <w:szCs w:val="16"/>
              </w:rPr>
              <w:lastRenderedPageBreak/>
              <w:t xml:space="preserve">utilizar un separador de jet, que incluye una línea de transferencia de todo el vidrio y dispositivo de vidrio de enriquecimiento o </w:t>
            </w:r>
            <w:proofErr w:type="gramStart"/>
            <w:r w:rsidRPr="00F01347">
              <w:rPr>
                <w:rFonts w:ascii="Verdana" w:hAnsi="Verdana"/>
                <w:sz w:val="16"/>
                <w:szCs w:val="16"/>
              </w:rPr>
              <w:t>interface</w:t>
            </w:r>
            <w:proofErr w:type="gramEnd"/>
            <w:r w:rsidRPr="00F01347">
              <w:rPr>
                <w:rFonts w:ascii="Verdana" w:hAnsi="Verdana"/>
                <w:sz w:val="16"/>
                <w:szCs w:val="16"/>
              </w:rPr>
              <w:t xml:space="preserve"> de división (Split). Esta </w:t>
            </w:r>
            <w:proofErr w:type="gramStart"/>
            <w:r w:rsidRPr="00F01347">
              <w:rPr>
                <w:rFonts w:ascii="Verdana" w:hAnsi="Verdana"/>
                <w:sz w:val="16"/>
                <w:szCs w:val="16"/>
              </w:rPr>
              <w:t>interface</w:t>
            </w:r>
            <w:proofErr w:type="gramEnd"/>
            <w:r w:rsidRPr="00F01347">
              <w:rPr>
                <w:rFonts w:ascii="Verdana" w:hAnsi="Verdana"/>
                <w:sz w:val="16"/>
                <w:szCs w:val="16"/>
              </w:rPr>
              <w:t xml:space="preserve"> es necesaria cuando se utiliza enfriamiento criogénico, la cual condensa los componentes </w:t>
            </w:r>
            <w:proofErr w:type="spellStart"/>
            <w:r w:rsidRPr="00F01347">
              <w:rPr>
                <w:rFonts w:ascii="Verdana" w:hAnsi="Verdana"/>
                <w:sz w:val="16"/>
                <w:szCs w:val="16"/>
              </w:rPr>
              <w:t>desorbidos</w:t>
            </w:r>
            <w:proofErr w:type="spellEnd"/>
            <w:r w:rsidRPr="00F01347">
              <w:rPr>
                <w:rFonts w:ascii="Verdana" w:hAnsi="Verdana"/>
                <w:sz w:val="16"/>
                <w:szCs w:val="16"/>
              </w:rPr>
              <w:t xml:space="preserve">, sobre una banda estrecha de la </w:t>
            </w:r>
            <w:proofErr w:type="spellStart"/>
            <w:r w:rsidRPr="00F01347">
              <w:rPr>
                <w:rFonts w:ascii="Verdana" w:hAnsi="Verdana"/>
                <w:sz w:val="16"/>
                <w:szCs w:val="16"/>
              </w:rPr>
              <w:t>pre-columna</w:t>
            </w:r>
            <w:proofErr w:type="spellEnd"/>
            <w:r w:rsidRPr="00F01347">
              <w:rPr>
                <w:rFonts w:ascii="Verdana" w:hAnsi="Verdana"/>
                <w:sz w:val="16"/>
                <w:szCs w:val="16"/>
              </w:rPr>
              <w:t xml:space="preserve"> de sílice fundida no recubierta. Cuando la </w:t>
            </w:r>
            <w:proofErr w:type="gramStart"/>
            <w:r w:rsidRPr="00F01347">
              <w:rPr>
                <w:rFonts w:ascii="Verdana" w:hAnsi="Verdana"/>
                <w:sz w:val="16"/>
                <w:szCs w:val="16"/>
              </w:rPr>
              <w:t>interface</w:t>
            </w:r>
            <w:proofErr w:type="gramEnd"/>
            <w:r w:rsidRPr="00F01347">
              <w:rPr>
                <w:rFonts w:ascii="Verdana" w:hAnsi="Verdana"/>
                <w:sz w:val="16"/>
                <w:szCs w:val="16"/>
              </w:rPr>
              <w:t xml:space="preserve"> se calienta rápidamente, la muestra es transferida a la columna analítica capilar. Durante la etapa de crioconservación, la temperatura de la sílice fundida </w:t>
            </w:r>
            <w:proofErr w:type="gramStart"/>
            <w:r w:rsidRPr="00F01347">
              <w:rPr>
                <w:rFonts w:ascii="Verdana" w:hAnsi="Verdana"/>
                <w:sz w:val="16"/>
                <w:szCs w:val="16"/>
              </w:rPr>
              <w:t>en  la</w:t>
            </w:r>
            <w:proofErr w:type="gramEnd"/>
            <w:r w:rsidRPr="00F01347">
              <w:rPr>
                <w:rFonts w:ascii="Verdana" w:hAnsi="Verdana"/>
                <w:sz w:val="16"/>
                <w:szCs w:val="16"/>
              </w:rPr>
              <w:t xml:space="preserve"> interface se mantiene a -150 </w:t>
            </w:r>
            <w:proofErr w:type="spellStart"/>
            <w:r w:rsidRPr="00F01347">
              <w:rPr>
                <w:rFonts w:ascii="Verdana" w:hAnsi="Verdana"/>
                <w:sz w:val="16"/>
                <w:szCs w:val="16"/>
              </w:rPr>
              <w:t>ºC</w:t>
            </w:r>
            <w:proofErr w:type="spellEnd"/>
            <w:r w:rsidRPr="00F01347">
              <w:rPr>
                <w:rFonts w:ascii="Verdana" w:hAnsi="Verdana"/>
                <w:sz w:val="16"/>
                <w:szCs w:val="16"/>
              </w:rPr>
              <w:t xml:space="preserve"> bajo una corriente de nitrógeno líquido. Después del periodo de desorción, la interface debe ser capaz de calentarse rápidamente (en 15 s o menos) a 250° C para </w:t>
            </w:r>
            <w:proofErr w:type="gramStart"/>
            <w:r w:rsidRPr="00F01347">
              <w:rPr>
                <w:rFonts w:ascii="Verdana" w:hAnsi="Verdana"/>
                <w:sz w:val="16"/>
                <w:szCs w:val="16"/>
              </w:rPr>
              <w:t>completar  la</w:t>
            </w:r>
            <w:proofErr w:type="gramEnd"/>
            <w:r w:rsidRPr="00F01347">
              <w:rPr>
                <w:rFonts w:ascii="Verdana" w:hAnsi="Verdana"/>
                <w:sz w:val="16"/>
                <w:szCs w:val="16"/>
              </w:rPr>
              <w:t xml:space="preserve"> transferencia de los analitos.</w:t>
            </w:r>
          </w:p>
        </w:tc>
        <w:tc>
          <w:tcPr>
            <w:tcW w:w="4675" w:type="dxa"/>
          </w:tcPr>
          <w:p w14:paraId="2F2A67F5" w14:textId="4A1A4C8E" w:rsidR="00C546A7" w:rsidRPr="00F01347" w:rsidRDefault="00C546A7" w:rsidP="00C546A7">
            <w:pPr>
              <w:pStyle w:val="texto0"/>
              <w:spacing w:line="218" w:lineRule="exact"/>
              <w:ind w:firstLine="0"/>
              <w:rPr>
                <w:rFonts w:ascii="Verdana" w:hAnsi="Verdana"/>
                <w:b/>
                <w:sz w:val="16"/>
                <w:szCs w:val="16"/>
                <w:lang w:val="en-US"/>
              </w:rPr>
            </w:pPr>
            <w:r w:rsidRPr="00F01347">
              <w:rPr>
                <w:rFonts w:ascii="Verdana" w:hAnsi="Verdana"/>
                <w:b/>
                <w:sz w:val="16"/>
                <w:szCs w:val="16"/>
                <w:lang w:val="en-US"/>
              </w:rPr>
              <w:lastRenderedPageBreak/>
              <w:t>CG/</w:t>
            </w:r>
            <w:r w:rsidR="007F646D">
              <w:rPr>
                <w:rFonts w:ascii="Verdana" w:hAnsi="Verdana"/>
                <w:b/>
                <w:sz w:val="16"/>
                <w:szCs w:val="16"/>
                <w:lang w:val="en-US"/>
              </w:rPr>
              <w:t>EM</w:t>
            </w:r>
            <w:r w:rsidRPr="00F01347">
              <w:rPr>
                <w:rFonts w:ascii="Verdana" w:hAnsi="Verdana"/>
                <w:b/>
                <w:sz w:val="16"/>
                <w:szCs w:val="16"/>
                <w:lang w:val="en-US"/>
              </w:rPr>
              <w:t xml:space="preserve"> interface</w:t>
            </w:r>
            <w:r w:rsidR="003E1BA9" w:rsidRPr="00F01347">
              <w:rPr>
                <w:rFonts w:ascii="Verdana" w:hAnsi="Verdana"/>
                <w:b/>
                <w:sz w:val="16"/>
                <w:szCs w:val="16"/>
                <w:lang w:val="en-US"/>
              </w:rPr>
              <w:t>.</w:t>
            </w:r>
            <w:r w:rsidRPr="00F01347">
              <w:rPr>
                <w:rFonts w:ascii="Verdana" w:hAnsi="Verdana"/>
                <w:sz w:val="16"/>
                <w:szCs w:val="16"/>
                <w:lang w:val="en-US"/>
              </w:rPr>
              <w:t xml:space="preserve"> Use a direct coupling interface of the column within the MS, the generally used columns have an internal diameter of 0.25 to 0.32 mm. For 0.53 mm columns, use a jet separator</w:t>
            </w:r>
            <w:r w:rsidR="003E1BA9" w:rsidRPr="00F01347">
              <w:rPr>
                <w:rFonts w:ascii="Verdana" w:hAnsi="Verdana"/>
                <w:sz w:val="16"/>
                <w:szCs w:val="16"/>
                <w:lang w:val="en-US"/>
              </w:rPr>
              <w:t>,</w:t>
            </w:r>
            <w:r w:rsidRPr="00F01347">
              <w:rPr>
                <w:rFonts w:ascii="Verdana" w:hAnsi="Verdana"/>
                <w:sz w:val="16"/>
                <w:szCs w:val="16"/>
                <w:lang w:val="en-US"/>
              </w:rPr>
              <w:t xml:space="preserve"> which includes an all-glass </w:t>
            </w:r>
            <w:r w:rsidRPr="00F01347">
              <w:rPr>
                <w:rFonts w:ascii="Verdana" w:hAnsi="Verdana"/>
                <w:sz w:val="16"/>
                <w:szCs w:val="16"/>
                <w:lang w:val="en-US"/>
              </w:rPr>
              <w:lastRenderedPageBreak/>
              <w:t>transfer line and glass enrichment device or split interface</w:t>
            </w:r>
            <w:r w:rsidR="003E1BA9" w:rsidRPr="00F01347">
              <w:rPr>
                <w:rFonts w:ascii="Verdana" w:hAnsi="Verdana"/>
                <w:sz w:val="16"/>
                <w:szCs w:val="16"/>
                <w:lang w:val="en-US"/>
              </w:rPr>
              <w:t>.</w:t>
            </w:r>
            <w:r w:rsidRPr="00F01347">
              <w:rPr>
                <w:rFonts w:ascii="Verdana" w:hAnsi="Verdana"/>
                <w:sz w:val="16"/>
                <w:szCs w:val="16"/>
                <w:lang w:val="en-US"/>
              </w:rPr>
              <w:t xml:space="preserve"> This interface is necessary when using cryogenic cooling, which condenses the desorbed components on a narrow band of the uncoated fused silica precolumn</w:t>
            </w:r>
            <w:r w:rsidR="003E1BA9" w:rsidRPr="00F01347">
              <w:rPr>
                <w:rFonts w:ascii="Verdana" w:hAnsi="Verdana"/>
                <w:sz w:val="16"/>
                <w:szCs w:val="16"/>
                <w:lang w:val="en-US"/>
              </w:rPr>
              <w:t>.</w:t>
            </w:r>
            <w:r w:rsidRPr="00F01347">
              <w:rPr>
                <w:rFonts w:ascii="Verdana" w:hAnsi="Verdana"/>
                <w:sz w:val="16"/>
                <w:szCs w:val="16"/>
                <w:lang w:val="en-US"/>
              </w:rPr>
              <w:t xml:space="preserve"> When the interface is heated rapidly, the sample is transferred to the capillary analytical column. During the cryopreservation stage, the temperature of the fused silica at the interface is maintained at -150 ºC under a stream of liquid nitrogen. After the desorption period, the interface must be able to be heated rapidly (in 15 s or less) to 250° C to complete the transfer of the analytes.</w:t>
            </w:r>
          </w:p>
        </w:tc>
      </w:tr>
      <w:tr w:rsidR="00C546A7" w:rsidRPr="00F01347" w14:paraId="7B35D548" w14:textId="64C198C2" w:rsidTr="008A076D">
        <w:tc>
          <w:tcPr>
            <w:tcW w:w="4675" w:type="dxa"/>
          </w:tcPr>
          <w:p w14:paraId="18B1E1F3" w14:textId="77777777" w:rsidR="00C546A7" w:rsidRPr="00F01347" w:rsidRDefault="00C546A7" w:rsidP="00C546A7">
            <w:pPr>
              <w:pStyle w:val="texto0"/>
              <w:spacing w:line="218" w:lineRule="exact"/>
              <w:ind w:firstLine="0"/>
              <w:rPr>
                <w:rFonts w:ascii="Verdana" w:hAnsi="Verdana"/>
                <w:bCs/>
                <w:sz w:val="16"/>
                <w:szCs w:val="16"/>
              </w:rPr>
            </w:pPr>
            <w:r w:rsidRPr="00F01347">
              <w:rPr>
                <w:rFonts w:ascii="Verdana" w:hAnsi="Verdana"/>
                <w:b/>
                <w:sz w:val="16"/>
                <w:szCs w:val="16"/>
              </w:rPr>
              <w:lastRenderedPageBreak/>
              <w:t xml:space="preserve">Jeringas de 0.5, 1.0, 5, 10 y 25 </w:t>
            </w:r>
            <w:proofErr w:type="spellStart"/>
            <w:r w:rsidRPr="00F01347">
              <w:rPr>
                <w:rFonts w:ascii="Verdana" w:hAnsi="Verdana"/>
                <w:b/>
                <w:sz w:val="16"/>
                <w:szCs w:val="16"/>
              </w:rPr>
              <w:t>mL</w:t>
            </w:r>
            <w:proofErr w:type="spellEnd"/>
            <w:r w:rsidRPr="00F01347">
              <w:rPr>
                <w:rFonts w:ascii="Verdana" w:hAnsi="Verdana"/>
                <w:bCs/>
                <w:sz w:val="16"/>
                <w:szCs w:val="16"/>
              </w:rPr>
              <w:t xml:space="preserve"> de vidrio hipodérmico con punta </w:t>
            </w:r>
            <w:proofErr w:type="spellStart"/>
            <w:r w:rsidRPr="00F01347">
              <w:rPr>
                <w:rFonts w:ascii="Verdana" w:hAnsi="Verdana"/>
                <w:bCs/>
                <w:sz w:val="16"/>
                <w:szCs w:val="16"/>
              </w:rPr>
              <w:t>Luer</w:t>
            </w:r>
            <w:proofErr w:type="spellEnd"/>
            <w:r w:rsidRPr="00F01347">
              <w:rPr>
                <w:rFonts w:ascii="Verdana" w:hAnsi="Verdana"/>
                <w:bCs/>
                <w:sz w:val="16"/>
                <w:szCs w:val="16"/>
              </w:rPr>
              <w:t>.</w:t>
            </w:r>
          </w:p>
        </w:tc>
        <w:tc>
          <w:tcPr>
            <w:tcW w:w="4675" w:type="dxa"/>
          </w:tcPr>
          <w:p w14:paraId="720E4595" w14:textId="0D5C217C" w:rsidR="00C546A7" w:rsidRPr="00F01347" w:rsidRDefault="00F05104" w:rsidP="00C546A7">
            <w:pPr>
              <w:pStyle w:val="texto0"/>
              <w:spacing w:line="218" w:lineRule="exact"/>
              <w:ind w:firstLine="0"/>
              <w:rPr>
                <w:rFonts w:ascii="Verdana" w:hAnsi="Verdana"/>
                <w:bCs/>
                <w:sz w:val="16"/>
                <w:szCs w:val="16"/>
                <w:lang w:val="en-US"/>
              </w:rPr>
            </w:pPr>
            <w:r w:rsidRPr="00F01347">
              <w:rPr>
                <w:rFonts w:ascii="Verdana" w:hAnsi="Verdana"/>
                <w:b/>
                <w:sz w:val="16"/>
                <w:szCs w:val="16"/>
                <w:lang w:val="en-US"/>
              </w:rPr>
              <w:t>H</w:t>
            </w:r>
            <w:r w:rsidRPr="00F01347">
              <w:rPr>
                <w:rFonts w:ascii="Verdana" w:hAnsi="Verdana"/>
                <w:b/>
                <w:sz w:val="16"/>
                <w:szCs w:val="16"/>
                <w:lang w:val="en-US"/>
              </w:rPr>
              <w:t>ypodermic glass syringes</w:t>
            </w:r>
            <w:r w:rsidRPr="00F01347">
              <w:rPr>
                <w:rFonts w:ascii="Verdana" w:hAnsi="Verdana"/>
                <w:b/>
                <w:sz w:val="16"/>
                <w:szCs w:val="16"/>
                <w:lang w:val="en-US"/>
              </w:rPr>
              <w:t xml:space="preserve"> of</w:t>
            </w:r>
            <w:r w:rsidRPr="00F01347">
              <w:rPr>
                <w:rFonts w:ascii="Verdana" w:hAnsi="Verdana"/>
                <w:b/>
                <w:sz w:val="16"/>
                <w:szCs w:val="16"/>
                <w:lang w:val="en-US"/>
              </w:rPr>
              <w:t xml:space="preserve"> </w:t>
            </w:r>
            <w:r w:rsidR="00C546A7" w:rsidRPr="00F01347">
              <w:rPr>
                <w:rFonts w:ascii="Verdana" w:hAnsi="Verdana"/>
                <w:b/>
                <w:sz w:val="16"/>
                <w:szCs w:val="16"/>
                <w:lang w:val="en-US"/>
              </w:rPr>
              <w:t>0.5, 1.0, 5, 10 and 25 mL</w:t>
            </w:r>
            <w:r w:rsidR="00C546A7" w:rsidRPr="00F01347">
              <w:rPr>
                <w:rFonts w:ascii="Verdana" w:hAnsi="Verdana"/>
                <w:bCs/>
                <w:sz w:val="16"/>
                <w:szCs w:val="16"/>
                <w:lang w:val="en-US"/>
              </w:rPr>
              <w:t xml:space="preserve"> with Luer tip</w:t>
            </w:r>
            <w:r w:rsidR="003E1BA9" w:rsidRPr="00F01347">
              <w:rPr>
                <w:rFonts w:ascii="Verdana" w:hAnsi="Verdana"/>
                <w:bCs/>
                <w:sz w:val="16"/>
                <w:szCs w:val="16"/>
                <w:lang w:val="en-US"/>
              </w:rPr>
              <w:t>.</w:t>
            </w:r>
          </w:p>
        </w:tc>
      </w:tr>
      <w:tr w:rsidR="00C546A7" w:rsidRPr="00F01347" w14:paraId="5E889977" w14:textId="0FF712F4" w:rsidTr="008A076D">
        <w:tc>
          <w:tcPr>
            <w:tcW w:w="4675" w:type="dxa"/>
          </w:tcPr>
          <w:p w14:paraId="5B441939" w14:textId="77777777" w:rsidR="00C546A7" w:rsidRPr="00F01347" w:rsidRDefault="00C546A7" w:rsidP="00C546A7">
            <w:pPr>
              <w:pStyle w:val="texto0"/>
              <w:spacing w:line="218" w:lineRule="exact"/>
              <w:ind w:firstLine="0"/>
              <w:rPr>
                <w:rFonts w:ascii="Verdana" w:hAnsi="Verdana"/>
                <w:sz w:val="16"/>
                <w:szCs w:val="16"/>
              </w:rPr>
            </w:pPr>
            <w:r w:rsidRPr="00F01347">
              <w:rPr>
                <w:rFonts w:ascii="Verdana" w:hAnsi="Verdana"/>
                <w:b/>
                <w:sz w:val="16"/>
                <w:szCs w:val="16"/>
              </w:rPr>
              <w:t>Jeringa con válvula de dos vías</w:t>
            </w:r>
            <w:r w:rsidRPr="00F01347">
              <w:rPr>
                <w:rFonts w:ascii="Verdana" w:hAnsi="Verdana"/>
                <w:sz w:val="16"/>
                <w:szCs w:val="16"/>
              </w:rPr>
              <w:t xml:space="preserve">, con la terminación </w:t>
            </w:r>
            <w:proofErr w:type="spellStart"/>
            <w:r w:rsidRPr="00F01347">
              <w:rPr>
                <w:rFonts w:ascii="Verdana" w:hAnsi="Verdana"/>
                <w:sz w:val="16"/>
                <w:szCs w:val="16"/>
              </w:rPr>
              <w:t>Luer</w:t>
            </w:r>
            <w:proofErr w:type="spellEnd"/>
            <w:r w:rsidRPr="00F01347">
              <w:rPr>
                <w:rFonts w:ascii="Verdana" w:hAnsi="Verdana"/>
                <w:sz w:val="16"/>
                <w:szCs w:val="16"/>
              </w:rPr>
              <w:t>, aplicable al dispositivo de purga</w:t>
            </w:r>
          </w:p>
        </w:tc>
        <w:tc>
          <w:tcPr>
            <w:tcW w:w="4675" w:type="dxa"/>
          </w:tcPr>
          <w:p w14:paraId="149EE772" w14:textId="60353E70" w:rsidR="00C546A7" w:rsidRPr="00F01347" w:rsidRDefault="00C546A7" w:rsidP="00C546A7">
            <w:pPr>
              <w:pStyle w:val="texto0"/>
              <w:spacing w:line="218" w:lineRule="exact"/>
              <w:ind w:firstLine="0"/>
              <w:rPr>
                <w:rFonts w:ascii="Verdana" w:hAnsi="Verdana"/>
                <w:b/>
                <w:sz w:val="16"/>
                <w:szCs w:val="16"/>
                <w:lang w:val="en-US"/>
              </w:rPr>
            </w:pPr>
            <w:r w:rsidRPr="00F01347">
              <w:rPr>
                <w:rFonts w:ascii="Verdana" w:hAnsi="Verdana"/>
                <w:b/>
                <w:sz w:val="16"/>
                <w:szCs w:val="16"/>
                <w:lang w:val="en-US"/>
              </w:rPr>
              <w:t>Syringe with two-way valve</w:t>
            </w:r>
            <w:r w:rsidR="003E1BA9" w:rsidRPr="00F01347">
              <w:rPr>
                <w:rFonts w:ascii="Verdana" w:hAnsi="Verdana"/>
                <w:b/>
                <w:sz w:val="16"/>
                <w:szCs w:val="16"/>
                <w:lang w:val="en-US"/>
              </w:rPr>
              <w:t>,</w:t>
            </w:r>
            <w:r w:rsidRPr="00F01347">
              <w:rPr>
                <w:rFonts w:ascii="Verdana" w:hAnsi="Verdana"/>
                <w:b/>
                <w:sz w:val="16"/>
                <w:szCs w:val="16"/>
                <w:lang w:val="en-US"/>
              </w:rPr>
              <w:t xml:space="preserve"> with </w:t>
            </w:r>
            <w:r w:rsidRPr="00F01347">
              <w:rPr>
                <w:rFonts w:ascii="Verdana" w:hAnsi="Verdana"/>
                <w:sz w:val="16"/>
                <w:szCs w:val="16"/>
                <w:lang w:val="en-US"/>
              </w:rPr>
              <w:t>Luer termination</w:t>
            </w:r>
            <w:r w:rsidR="003E1BA9" w:rsidRPr="00F01347">
              <w:rPr>
                <w:rFonts w:ascii="Verdana" w:hAnsi="Verdana"/>
                <w:sz w:val="16"/>
                <w:szCs w:val="16"/>
                <w:lang w:val="en-US"/>
              </w:rPr>
              <w:t>,</w:t>
            </w:r>
            <w:r w:rsidRPr="00F01347">
              <w:rPr>
                <w:rFonts w:ascii="Verdana" w:hAnsi="Verdana"/>
                <w:sz w:val="16"/>
                <w:szCs w:val="16"/>
                <w:lang w:val="en-US"/>
              </w:rPr>
              <w:t xml:space="preserve"> applicable to purge device</w:t>
            </w:r>
          </w:p>
        </w:tc>
      </w:tr>
      <w:tr w:rsidR="00C546A7" w:rsidRPr="00F01347" w14:paraId="3D588D38" w14:textId="73CA96B8" w:rsidTr="008A076D">
        <w:tc>
          <w:tcPr>
            <w:tcW w:w="4675" w:type="dxa"/>
          </w:tcPr>
          <w:p w14:paraId="39744A70" w14:textId="608C5360" w:rsidR="00C546A7" w:rsidRPr="00F01347" w:rsidRDefault="00C546A7" w:rsidP="00C546A7">
            <w:pPr>
              <w:pStyle w:val="texto0"/>
              <w:spacing w:line="218" w:lineRule="exact"/>
              <w:ind w:firstLine="0"/>
              <w:rPr>
                <w:rFonts w:ascii="Verdana" w:hAnsi="Verdana"/>
                <w:b/>
                <w:sz w:val="16"/>
                <w:szCs w:val="16"/>
              </w:rPr>
            </w:pPr>
            <w:r w:rsidRPr="00F01347">
              <w:rPr>
                <w:rFonts w:ascii="Verdana" w:hAnsi="Verdana"/>
                <w:b/>
                <w:sz w:val="16"/>
                <w:szCs w:val="16"/>
              </w:rPr>
              <w:t xml:space="preserve">Materiales de empaque para la trampa. </w:t>
            </w:r>
            <w:r w:rsidRPr="00F01347">
              <w:rPr>
                <w:rFonts w:ascii="Verdana" w:hAnsi="Verdana"/>
                <w:sz w:val="16"/>
                <w:szCs w:val="16"/>
              </w:rPr>
              <w:t xml:space="preserve">Se recomienda el empaque de </w:t>
            </w:r>
            <w:proofErr w:type="spellStart"/>
            <w:r w:rsidRPr="00F01347">
              <w:rPr>
                <w:rFonts w:ascii="Verdana" w:hAnsi="Verdana"/>
                <w:sz w:val="16"/>
                <w:szCs w:val="16"/>
              </w:rPr>
              <w:t>metil</w:t>
            </w:r>
            <w:proofErr w:type="spellEnd"/>
            <w:r w:rsidRPr="00F01347">
              <w:rPr>
                <w:rFonts w:ascii="Verdana" w:hAnsi="Verdana"/>
                <w:sz w:val="16"/>
                <w:szCs w:val="16"/>
              </w:rPr>
              <w:t xml:space="preserve"> </w:t>
            </w:r>
            <w:proofErr w:type="gramStart"/>
            <w:r w:rsidRPr="00F01347">
              <w:rPr>
                <w:rFonts w:ascii="Verdana" w:hAnsi="Verdana"/>
                <w:sz w:val="16"/>
                <w:szCs w:val="16"/>
              </w:rPr>
              <w:t>silicona</w:t>
            </w:r>
            <w:proofErr w:type="gramEnd"/>
            <w:r w:rsidRPr="00F01347">
              <w:rPr>
                <w:rFonts w:ascii="Verdana" w:hAnsi="Verdana"/>
                <w:sz w:val="16"/>
                <w:szCs w:val="16"/>
              </w:rPr>
              <w:t xml:space="preserve"> pero puede utilizarse otro tipo de empaque que tenga la capacidad de retener los compuestos de </w:t>
            </w:r>
            <w:r w:rsidR="002C698F" w:rsidRPr="00F01347">
              <w:rPr>
                <w:rFonts w:ascii="Verdana" w:hAnsi="Verdana"/>
                <w:sz w:val="16"/>
                <w:szCs w:val="16"/>
              </w:rPr>
              <w:t>interés (</w:t>
            </w:r>
            <w:r w:rsidRPr="00F01347">
              <w:rPr>
                <w:rFonts w:ascii="Verdana" w:hAnsi="Verdana"/>
                <w:sz w:val="16"/>
                <w:szCs w:val="16"/>
              </w:rPr>
              <w:t>ver recomendaciones del fabricante.</w:t>
            </w:r>
          </w:p>
        </w:tc>
        <w:tc>
          <w:tcPr>
            <w:tcW w:w="4675" w:type="dxa"/>
          </w:tcPr>
          <w:p w14:paraId="3E0501E9" w14:textId="4E03C4EA" w:rsidR="00C546A7" w:rsidRPr="00F01347" w:rsidRDefault="002C698F" w:rsidP="00C546A7">
            <w:pPr>
              <w:pStyle w:val="texto0"/>
              <w:spacing w:line="218" w:lineRule="exact"/>
              <w:ind w:firstLine="0"/>
              <w:rPr>
                <w:rFonts w:ascii="Verdana" w:hAnsi="Verdana"/>
                <w:b/>
                <w:sz w:val="16"/>
                <w:szCs w:val="16"/>
                <w:lang w:val="en-US"/>
              </w:rPr>
            </w:pPr>
            <w:r w:rsidRPr="00F01347">
              <w:rPr>
                <w:rFonts w:ascii="Verdana" w:hAnsi="Verdana"/>
                <w:b/>
                <w:sz w:val="16"/>
                <w:szCs w:val="16"/>
                <w:lang w:val="en-US"/>
              </w:rPr>
              <w:t>Gasket</w:t>
            </w:r>
            <w:r w:rsidR="00C546A7" w:rsidRPr="00F01347">
              <w:rPr>
                <w:rFonts w:ascii="Verdana" w:hAnsi="Verdana"/>
                <w:b/>
                <w:sz w:val="16"/>
                <w:szCs w:val="16"/>
                <w:lang w:val="en-US"/>
              </w:rPr>
              <w:t xml:space="preserve"> materials for the trap. </w:t>
            </w:r>
            <w:r w:rsidR="00C546A7" w:rsidRPr="00F01347">
              <w:rPr>
                <w:rFonts w:ascii="Verdana" w:hAnsi="Verdana"/>
                <w:sz w:val="16"/>
                <w:szCs w:val="16"/>
                <w:lang w:val="en-US"/>
              </w:rPr>
              <w:t xml:space="preserve">Methyl silicone </w:t>
            </w:r>
            <w:r w:rsidRPr="00F01347">
              <w:rPr>
                <w:rFonts w:ascii="Verdana" w:hAnsi="Verdana"/>
                <w:sz w:val="16"/>
                <w:szCs w:val="16"/>
                <w:lang w:val="en-US"/>
              </w:rPr>
              <w:t>gasket</w:t>
            </w:r>
            <w:r w:rsidR="00C546A7" w:rsidRPr="00F01347">
              <w:rPr>
                <w:rFonts w:ascii="Verdana" w:hAnsi="Verdana"/>
                <w:sz w:val="16"/>
                <w:szCs w:val="16"/>
                <w:lang w:val="en-US"/>
              </w:rPr>
              <w:t xml:space="preserve"> is recommended but another type of </w:t>
            </w:r>
            <w:r w:rsidRPr="00F01347">
              <w:rPr>
                <w:rFonts w:ascii="Verdana" w:hAnsi="Verdana"/>
                <w:sz w:val="16"/>
                <w:szCs w:val="16"/>
                <w:lang w:val="en-US"/>
              </w:rPr>
              <w:t>gasket</w:t>
            </w:r>
            <w:r w:rsidR="00C546A7" w:rsidRPr="00F01347">
              <w:rPr>
                <w:rFonts w:ascii="Verdana" w:hAnsi="Verdana"/>
                <w:sz w:val="16"/>
                <w:szCs w:val="16"/>
                <w:lang w:val="en-US"/>
              </w:rPr>
              <w:t xml:space="preserve"> that </w:t>
            </w:r>
            <w:proofErr w:type="gramStart"/>
            <w:r w:rsidR="00C546A7" w:rsidRPr="00F01347">
              <w:rPr>
                <w:rFonts w:ascii="Verdana" w:hAnsi="Verdana"/>
                <w:sz w:val="16"/>
                <w:szCs w:val="16"/>
                <w:lang w:val="en-US"/>
              </w:rPr>
              <w:t>has the ability to</w:t>
            </w:r>
            <w:proofErr w:type="gramEnd"/>
            <w:r w:rsidR="00C546A7" w:rsidRPr="00F01347">
              <w:rPr>
                <w:rFonts w:ascii="Verdana" w:hAnsi="Verdana"/>
                <w:sz w:val="16"/>
                <w:szCs w:val="16"/>
                <w:lang w:val="en-US"/>
              </w:rPr>
              <w:t xml:space="preserve"> retain the compounds of interest can be used </w:t>
            </w:r>
            <w:r w:rsidR="00CB209C" w:rsidRPr="00F01347">
              <w:rPr>
                <w:rFonts w:ascii="Verdana" w:hAnsi="Verdana"/>
                <w:sz w:val="16"/>
                <w:szCs w:val="16"/>
                <w:lang w:val="en-US"/>
              </w:rPr>
              <w:t>(</w:t>
            </w:r>
            <w:r w:rsidR="00C546A7" w:rsidRPr="00F01347">
              <w:rPr>
                <w:rFonts w:ascii="Verdana" w:hAnsi="Verdana"/>
                <w:sz w:val="16"/>
                <w:szCs w:val="16"/>
                <w:lang w:val="en-US"/>
              </w:rPr>
              <w:t>see manufacturer's recommendations.</w:t>
            </w:r>
          </w:p>
        </w:tc>
      </w:tr>
      <w:tr w:rsidR="00C546A7" w:rsidRPr="00F01347" w14:paraId="55CD4130" w14:textId="728B11C3" w:rsidTr="008A076D">
        <w:tc>
          <w:tcPr>
            <w:tcW w:w="4675" w:type="dxa"/>
          </w:tcPr>
          <w:p w14:paraId="092E71B7" w14:textId="77777777" w:rsidR="00C546A7" w:rsidRPr="00F01347" w:rsidRDefault="00C546A7" w:rsidP="00C546A7">
            <w:pPr>
              <w:pStyle w:val="texto0"/>
              <w:spacing w:line="218" w:lineRule="exact"/>
              <w:ind w:firstLine="0"/>
              <w:rPr>
                <w:rFonts w:ascii="Verdana" w:hAnsi="Verdana"/>
                <w:sz w:val="16"/>
                <w:szCs w:val="16"/>
              </w:rPr>
            </w:pPr>
            <w:r w:rsidRPr="00F01347">
              <w:rPr>
                <w:rFonts w:ascii="Verdana" w:hAnsi="Verdana"/>
                <w:b/>
                <w:sz w:val="16"/>
                <w:szCs w:val="16"/>
              </w:rPr>
              <w:t>Matraces volumétricos</w:t>
            </w:r>
            <w:r w:rsidRPr="00F01347">
              <w:rPr>
                <w:rFonts w:ascii="Verdana" w:hAnsi="Verdana"/>
                <w:sz w:val="16"/>
                <w:szCs w:val="16"/>
              </w:rPr>
              <w:t xml:space="preserve"> de vidrio con tapón esmerilado de 10, 50 y 100 </w:t>
            </w:r>
            <w:proofErr w:type="spellStart"/>
            <w:r w:rsidRPr="00F01347">
              <w:rPr>
                <w:rFonts w:ascii="Verdana" w:hAnsi="Verdana"/>
                <w:sz w:val="16"/>
                <w:szCs w:val="16"/>
              </w:rPr>
              <w:t>mL</w:t>
            </w:r>
            <w:proofErr w:type="spellEnd"/>
            <w:r w:rsidRPr="00F01347">
              <w:rPr>
                <w:rFonts w:ascii="Verdana" w:hAnsi="Verdana"/>
                <w:sz w:val="16"/>
                <w:szCs w:val="16"/>
              </w:rPr>
              <w:t xml:space="preserve"> verificados previamente.</w:t>
            </w:r>
          </w:p>
        </w:tc>
        <w:tc>
          <w:tcPr>
            <w:tcW w:w="4675" w:type="dxa"/>
          </w:tcPr>
          <w:p w14:paraId="5C356D29" w14:textId="6A82A32C" w:rsidR="00C546A7" w:rsidRPr="00F01347" w:rsidRDefault="002C698F" w:rsidP="00C546A7">
            <w:pPr>
              <w:pStyle w:val="texto0"/>
              <w:spacing w:line="218" w:lineRule="exact"/>
              <w:ind w:firstLine="0"/>
              <w:rPr>
                <w:rFonts w:ascii="Verdana" w:hAnsi="Verdana"/>
                <w:b/>
                <w:sz w:val="16"/>
                <w:szCs w:val="16"/>
                <w:lang w:val="en-US"/>
              </w:rPr>
            </w:pPr>
            <w:r w:rsidRPr="00F01347">
              <w:rPr>
                <w:rFonts w:ascii="Verdana" w:hAnsi="Verdana"/>
                <w:b/>
                <w:bCs/>
                <w:sz w:val="16"/>
                <w:szCs w:val="16"/>
                <w:lang w:val="en-US"/>
              </w:rPr>
              <w:t>G</w:t>
            </w:r>
            <w:r w:rsidRPr="00F01347">
              <w:rPr>
                <w:rFonts w:ascii="Verdana" w:hAnsi="Verdana"/>
                <w:b/>
                <w:bCs/>
                <w:sz w:val="16"/>
                <w:szCs w:val="16"/>
                <w:lang w:val="en-US"/>
              </w:rPr>
              <w:t xml:space="preserve">lass </w:t>
            </w:r>
            <w:r w:rsidRPr="00F01347">
              <w:rPr>
                <w:rFonts w:ascii="Verdana" w:hAnsi="Verdana"/>
                <w:b/>
                <w:sz w:val="16"/>
                <w:szCs w:val="16"/>
                <w:lang w:val="en-US"/>
              </w:rPr>
              <w:t xml:space="preserve">volumetric flasks </w:t>
            </w:r>
            <w:r w:rsidRPr="00F01347">
              <w:rPr>
                <w:rFonts w:ascii="Verdana" w:hAnsi="Verdana"/>
                <w:sz w:val="16"/>
                <w:szCs w:val="16"/>
                <w:lang w:val="en-US"/>
              </w:rPr>
              <w:t>with ground stoppers</w:t>
            </w:r>
            <w:r w:rsidRPr="00F01347">
              <w:rPr>
                <w:rFonts w:ascii="Verdana" w:hAnsi="Verdana"/>
                <w:sz w:val="16"/>
                <w:szCs w:val="16"/>
                <w:lang w:val="en-US"/>
              </w:rPr>
              <w:t xml:space="preserve"> </w:t>
            </w:r>
            <w:r w:rsidR="00C546A7" w:rsidRPr="00F01347">
              <w:rPr>
                <w:rFonts w:ascii="Verdana" w:hAnsi="Verdana"/>
                <w:sz w:val="16"/>
                <w:szCs w:val="16"/>
                <w:lang w:val="en-US"/>
              </w:rPr>
              <w:t>Previously verified 10, 50 and 100 mL</w:t>
            </w:r>
          </w:p>
        </w:tc>
      </w:tr>
      <w:tr w:rsidR="00C546A7" w:rsidRPr="00F01347" w14:paraId="502C68B7" w14:textId="0FE068DD" w:rsidTr="008A076D">
        <w:tc>
          <w:tcPr>
            <w:tcW w:w="4675" w:type="dxa"/>
          </w:tcPr>
          <w:p w14:paraId="3E4AA1C2" w14:textId="77777777" w:rsidR="00C546A7" w:rsidRPr="00F01347" w:rsidRDefault="00C546A7" w:rsidP="00C546A7">
            <w:pPr>
              <w:pStyle w:val="texto0"/>
              <w:spacing w:line="218" w:lineRule="exact"/>
              <w:ind w:firstLine="0"/>
              <w:rPr>
                <w:rFonts w:ascii="Verdana" w:hAnsi="Verdana"/>
                <w:sz w:val="16"/>
                <w:szCs w:val="16"/>
              </w:rPr>
            </w:pPr>
            <w:proofErr w:type="spellStart"/>
            <w:r w:rsidRPr="00F01347">
              <w:rPr>
                <w:rFonts w:ascii="Verdana" w:hAnsi="Verdana"/>
                <w:b/>
                <w:sz w:val="16"/>
                <w:szCs w:val="16"/>
              </w:rPr>
              <w:t>Microjeringas</w:t>
            </w:r>
            <w:proofErr w:type="spellEnd"/>
            <w:r w:rsidRPr="00F01347">
              <w:rPr>
                <w:rFonts w:ascii="Verdana" w:hAnsi="Verdana"/>
                <w:sz w:val="16"/>
                <w:szCs w:val="16"/>
              </w:rPr>
              <w:t xml:space="preserve"> de 10, 25, 100, 250, 500 y 1 000 µL</w:t>
            </w:r>
          </w:p>
        </w:tc>
        <w:tc>
          <w:tcPr>
            <w:tcW w:w="4675" w:type="dxa"/>
          </w:tcPr>
          <w:p w14:paraId="2F239737" w14:textId="086C2478" w:rsidR="00C546A7" w:rsidRPr="00F01347" w:rsidRDefault="00C546A7" w:rsidP="00C546A7">
            <w:pPr>
              <w:pStyle w:val="texto0"/>
              <w:spacing w:line="218" w:lineRule="exact"/>
              <w:ind w:firstLine="0"/>
              <w:rPr>
                <w:rFonts w:ascii="Verdana" w:hAnsi="Verdana"/>
                <w:b/>
                <w:sz w:val="16"/>
                <w:szCs w:val="16"/>
                <w:lang w:val="en-US"/>
              </w:rPr>
            </w:pPr>
            <w:proofErr w:type="spellStart"/>
            <w:r w:rsidRPr="00F01347">
              <w:rPr>
                <w:rFonts w:ascii="Verdana" w:hAnsi="Verdana"/>
                <w:b/>
                <w:sz w:val="16"/>
                <w:szCs w:val="16"/>
                <w:lang w:val="en-US"/>
              </w:rPr>
              <w:t>Microsyringes</w:t>
            </w:r>
            <w:proofErr w:type="spellEnd"/>
            <w:r w:rsidRPr="00F01347">
              <w:rPr>
                <w:rFonts w:ascii="Verdana" w:hAnsi="Verdana"/>
                <w:b/>
                <w:sz w:val="16"/>
                <w:szCs w:val="16"/>
                <w:lang w:val="en-US"/>
              </w:rPr>
              <w:t xml:space="preserve"> </w:t>
            </w:r>
            <w:r w:rsidRPr="00F01347">
              <w:rPr>
                <w:rFonts w:ascii="Verdana" w:hAnsi="Verdana"/>
                <w:sz w:val="16"/>
                <w:szCs w:val="16"/>
                <w:lang w:val="en-US"/>
              </w:rPr>
              <w:t>of 10, 25, 100, 250, 500 and 1</w:t>
            </w:r>
            <w:r w:rsidR="002C698F" w:rsidRPr="00F01347">
              <w:rPr>
                <w:rFonts w:ascii="Verdana" w:hAnsi="Verdana"/>
                <w:sz w:val="16"/>
                <w:szCs w:val="16"/>
                <w:lang w:val="en-US"/>
              </w:rPr>
              <w:t>,</w:t>
            </w:r>
            <w:r w:rsidRPr="00F01347">
              <w:rPr>
                <w:rFonts w:ascii="Verdana" w:hAnsi="Verdana"/>
                <w:sz w:val="16"/>
                <w:szCs w:val="16"/>
                <w:lang w:val="en-US"/>
              </w:rPr>
              <w:t>000 µL</w:t>
            </w:r>
          </w:p>
        </w:tc>
      </w:tr>
      <w:tr w:rsidR="00C546A7" w:rsidRPr="00F01347" w14:paraId="48AFBB59" w14:textId="0195ED85" w:rsidTr="008A076D">
        <w:tc>
          <w:tcPr>
            <w:tcW w:w="4675" w:type="dxa"/>
          </w:tcPr>
          <w:p w14:paraId="52BA1B22" w14:textId="77777777" w:rsidR="00C546A7" w:rsidRPr="00F01347" w:rsidRDefault="00C546A7" w:rsidP="00C546A7">
            <w:pPr>
              <w:pStyle w:val="texto0"/>
              <w:ind w:firstLine="0"/>
              <w:rPr>
                <w:rFonts w:ascii="Verdana" w:hAnsi="Verdana"/>
                <w:sz w:val="16"/>
                <w:szCs w:val="16"/>
              </w:rPr>
            </w:pPr>
            <w:r w:rsidRPr="00F01347">
              <w:rPr>
                <w:rFonts w:ascii="Verdana" w:hAnsi="Verdana"/>
                <w:b/>
                <w:sz w:val="16"/>
                <w:szCs w:val="16"/>
              </w:rPr>
              <w:t>Sistema de datos</w:t>
            </w:r>
            <w:r w:rsidRPr="00F01347">
              <w:rPr>
                <w:rFonts w:ascii="Verdana" w:hAnsi="Verdana"/>
                <w:sz w:val="16"/>
                <w:szCs w:val="16"/>
              </w:rPr>
              <w:t xml:space="preserve">. Conectar al espectrómetro de masas una computadora que permita la adquisición y almacenamiento de todas las masas del espectro obtenido a través del programa cromatográfico. El software debe permitir la búsqueda de todos los espectros adquiridos para las masas (m/z) de los iones específicos y graficar las abundancias de tales m/z en función del tiempo o número de barridos. Este tipo de gráfico es definido como el PCIE. El software también debe permitir la integración de las abundancias de cualquier PCIE sobre un tiempo específico o un límite de </w:t>
            </w:r>
            <w:proofErr w:type="spellStart"/>
            <w:r w:rsidRPr="00F01347">
              <w:rPr>
                <w:rFonts w:ascii="Verdana" w:hAnsi="Verdana"/>
                <w:sz w:val="16"/>
                <w:szCs w:val="16"/>
              </w:rPr>
              <w:t>scan</w:t>
            </w:r>
            <w:proofErr w:type="spellEnd"/>
            <w:r w:rsidRPr="00F01347">
              <w:rPr>
                <w:rFonts w:ascii="Verdana" w:hAnsi="Verdana"/>
                <w:sz w:val="16"/>
                <w:szCs w:val="16"/>
              </w:rPr>
              <w:t>. Siendo necesaria la versión más reciente de biblioteca de espectros.</w:t>
            </w:r>
          </w:p>
        </w:tc>
        <w:tc>
          <w:tcPr>
            <w:tcW w:w="4675" w:type="dxa"/>
          </w:tcPr>
          <w:p w14:paraId="6FC5B159" w14:textId="02D514A0" w:rsidR="00C546A7" w:rsidRPr="00F01347" w:rsidRDefault="00C546A7" w:rsidP="00C546A7">
            <w:pPr>
              <w:pStyle w:val="texto0"/>
              <w:ind w:firstLine="0"/>
              <w:rPr>
                <w:rFonts w:ascii="Verdana" w:hAnsi="Verdana"/>
                <w:b/>
                <w:sz w:val="16"/>
                <w:szCs w:val="16"/>
                <w:lang w:val="en-US"/>
              </w:rPr>
            </w:pPr>
            <w:r w:rsidRPr="00F01347">
              <w:rPr>
                <w:rFonts w:ascii="Verdana" w:hAnsi="Verdana"/>
                <w:b/>
                <w:sz w:val="16"/>
                <w:szCs w:val="16"/>
                <w:lang w:val="en-US"/>
              </w:rPr>
              <w:t>Data system</w:t>
            </w:r>
            <w:r w:rsidR="003E1BA9" w:rsidRPr="00F01347">
              <w:rPr>
                <w:rFonts w:ascii="Verdana" w:hAnsi="Verdana"/>
                <w:b/>
                <w:sz w:val="16"/>
                <w:szCs w:val="16"/>
                <w:lang w:val="en-US"/>
              </w:rPr>
              <w:t>.</w:t>
            </w:r>
            <w:r w:rsidRPr="00F01347">
              <w:rPr>
                <w:rFonts w:ascii="Verdana" w:hAnsi="Verdana"/>
                <w:sz w:val="16"/>
                <w:szCs w:val="16"/>
                <w:lang w:val="en-US"/>
              </w:rPr>
              <w:t xml:space="preserve"> Connect a computer to the mass spectrometer that allows the acquisition and storage of all the masses of the spectrum obtained through the chromatographic program. The software should allow searching of all acquired spectra for the masses (m/z) of specific ions and plotting the abundances of such m/z as a function of time or number of scans. This type of graph is defined as the PCIE. The software must also allow integration of the abundances of any PCIE over a specific time or scan limit</w:t>
            </w:r>
            <w:r w:rsidR="003E1BA9" w:rsidRPr="00F01347">
              <w:rPr>
                <w:rFonts w:ascii="Verdana" w:hAnsi="Verdana"/>
                <w:sz w:val="16"/>
                <w:szCs w:val="16"/>
                <w:lang w:val="en-US"/>
              </w:rPr>
              <w:t>.</w:t>
            </w:r>
            <w:r w:rsidRPr="00F01347">
              <w:rPr>
                <w:rFonts w:ascii="Verdana" w:hAnsi="Verdana"/>
                <w:sz w:val="16"/>
                <w:szCs w:val="16"/>
                <w:lang w:val="en-US"/>
              </w:rPr>
              <w:t xml:space="preserve"> The most recent version of the spectrum library is necessary.</w:t>
            </w:r>
          </w:p>
        </w:tc>
      </w:tr>
      <w:tr w:rsidR="00C546A7" w:rsidRPr="00F01347" w14:paraId="288F25E0" w14:textId="5A74AC19" w:rsidTr="008A076D">
        <w:tc>
          <w:tcPr>
            <w:tcW w:w="4675" w:type="dxa"/>
          </w:tcPr>
          <w:p w14:paraId="18B31090" w14:textId="77777777" w:rsidR="00C546A7" w:rsidRPr="00F01347" w:rsidRDefault="00C546A7" w:rsidP="00C546A7">
            <w:pPr>
              <w:pStyle w:val="texto0"/>
              <w:ind w:firstLine="0"/>
              <w:rPr>
                <w:rFonts w:ascii="Verdana" w:hAnsi="Verdana"/>
                <w:sz w:val="16"/>
                <w:szCs w:val="16"/>
              </w:rPr>
            </w:pPr>
            <w:r w:rsidRPr="00F01347">
              <w:rPr>
                <w:rFonts w:ascii="Verdana" w:hAnsi="Verdana"/>
                <w:b/>
                <w:sz w:val="16"/>
                <w:szCs w:val="16"/>
              </w:rPr>
              <w:t>Sistema de purga y trampa o sistema de purga y trampa/</w:t>
            </w:r>
            <w:proofErr w:type="spellStart"/>
            <w:r w:rsidRPr="00F01347">
              <w:rPr>
                <w:rFonts w:ascii="Verdana" w:hAnsi="Verdana"/>
                <w:b/>
                <w:sz w:val="16"/>
                <w:szCs w:val="16"/>
              </w:rPr>
              <w:t>headspace</w:t>
            </w:r>
            <w:proofErr w:type="spellEnd"/>
            <w:r w:rsidRPr="00F01347">
              <w:rPr>
                <w:rFonts w:ascii="Verdana" w:hAnsi="Verdana"/>
                <w:b/>
                <w:sz w:val="16"/>
                <w:szCs w:val="16"/>
              </w:rPr>
              <w:t xml:space="preserve">. </w:t>
            </w:r>
            <w:r w:rsidRPr="00F01347">
              <w:rPr>
                <w:rFonts w:ascii="Verdana" w:hAnsi="Verdana"/>
                <w:sz w:val="16"/>
                <w:szCs w:val="16"/>
              </w:rPr>
              <w:t xml:space="preserve">El sistema de purga y trampa consiste en un dispositivo de purga, trampa y un </w:t>
            </w:r>
            <w:proofErr w:type="spellStart"/>
            <w:r w:rsidRPr="00F01347">
              <w:rPr>
                <w:rFonts w:ascii="Verdana" w:hAnsi="Verdana"/>
                <w:sz w:val="16"/>
                <w:szCs w:val="16"/>
              </w:rPr>
              <w:t>desorbedor</w:t>
            </w:r>
            <w:proofErr w:type="spellEnd"/>
            <w:r w:rsidRPr="00F01347">
              <w:rPr>
                <w:rFonts w:ascii="Verdana" w:hAnsi="Verdana"/>
                <w:sz w:val="16"/>
                <w:szCs w:val="16"/>
              </w:rPr>
              <w:t>. Existen diferentes sistemas disponibles comercialmente.</w:t>
            </w:r>
          </w:p>
        </w:tc>
        <w:tc>
          <w:tcPr>
            <w:tcW w:w="4675" w:type="dxa"/>
          </w:tcPr>
          <w:p w14:paraId="48FB2E19" w14:textId="3691AA06" w:rsidR="00C546A7" w:rsidRPr="00F01347" w:rsidRDefault="00C546A7" w:rsidP="00C546A7">
            <w:pPr>
              <w:pStyle w:val="texto0"/>
              <w:ind w:firstLine="0"/>
              <w:rPr>
                <w:rFonts w:ascii="Verdana" w:hAnsi="Verdana"/>
                <w:b/>
                <w:sz w:val="16"/>
                <w:szCs w:val="16"/>
                <w:lang w:val="en-US"/>
              </w:rPr>
            </w:pPr>
            <w:r w:rsidRPr="00F01347">
              <w:rPr>
                <w:rFonts w:ascii="Verdana" w:hAnsi="Verdana"/>
                <w:b/>
                <w:sz w:val="16"/>
                <w:szCs w:val="16"/>
                <w:lang w:val="en-US"/>
              </w:rPr>
              <w:t>Purge and trap system or purge and trap/ headspace system</w:t>
            </w:r>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 xml:space="preserve">The purge and trap system consists of a purge device, trap and a </w:t>
            </w:r>
            <w:proofErr w:type="spellStart"/>
            <w:r w:rsidRPr="00F01347">
              <w:rPr>
                <w:rFonts w:ascii="Verdana" w:hAnsi="Verdana"/>
                <w:sz w:val="16"/>
                <w:szCs w:val="16"/>
                <w:lang w:val="en-US"/>
              </w:rPr>
              <w:t>desorber</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There are different systems commercially available.</w:t>
            </w:r>
          </w:p>
        </w:tc>
      </w:tr>
      <w:tr w:rsidR="00C546A7" w:rsidRPr="00F01347" w14:paraId="002A1FED" w14:textId="0E1A4858" w:rsidTr="008A076D">
        <w:tc>
          <w:tcPr>
            <w:tcW w:w="4675" w:type="dxa"/>
          </w:tcPr>
          <w:p w14:paraId="16ACD9BF" w14:textId="77777777" w:rsidR="00C546A7" w:rsidRPr="00F01347" w:rsidRDefault="00C546A7" w:rsidP="00C546A7">
            <w:pPr>
              <w:pStyle w:val="texto0"/>
              <w:ind w:firstLine="0"/>
              <w:rPr>
                <w:rFonts w:ascii="Verdana" w:hAnsi="Verdana"/>
                <w:sz w:val="16"/>
                <w:szCs w:val="16"/>
              </w:rPr>
            </w:pPr>
            <w:r w:rsidRPr="00F01347">
              <w:rPr>
                <w:rFonts w:ascii="Verdana" w:hAnsi="Verdana"/>
                <w:b/>
                <w:sz w:val="16"/>
                <w:szCs w:val="16"/>
              </w:rPr>
              <w:t xml:space="preserve">Trampa. </w:t>
            </w:r>
            <w:r w:rsidRPr="00F01347">
              <w:rPr>
                <w:rFonts w:ascii="Verdana" w:hAnsi="Verdana"/>
                <w:sz w:val="16"/>
                <w:szCs w:val="16"/>
              </w:rPr>
              <w:t xml:space="preserve">De al menos 25 cm de largo y con un diámetro interno de al menos 3 mm, empacado con las siguientes longitudes mínimas de adsorbentes: 1.0 cm de empaque de </w:t>
            </w:r>
            <w:proofErr w:type="spellStart"/>
            <w:r w:rsidRPr="00F01347">
              <w:rPr>
                <w:rFonts w:ascii="Verdana" w:hAnsi="Verdana"/>
                <w:sz w:val="16"/>
                <w:szCs w:val="16"/>
              </w:rPr>
              <w:t>metil</w:t>
            </w:r>
            <w:proofErr w:type="spellEnd"/>
            <w:r w:rsidRPr="00F01347">
              <w:rPr>
                <w:rFonts w:ascii="Verdana" w:hAnsi="Verdana"/>
                <w:sz w:val="16"/>
                <w:szCs w:val="16"/>
              </w:rPr>
              <w:t xml:space="preserve"> silicona, 7.7 cm del polímero 2,6-difenilo óxido, 7.7 cm de </w:t>
            </w:r>
            <w:proofErr w:type="spellStart"/>
            <w:r w:rsidRPr="00F01347">
              <w:rPr>
                <w:rFonts w:ascii="Verdana" w:hAnsi="Verdana"/>
                <w:sz w:val="16"/>
                <w:szCs w:val="16"/>
              </w:rPr>
              <w:t>sílica</w:t>
            </w:r>
            <w:proofErr w:type="spellEnd"/>
            <w:r w:rsidRPr="00F01347">
              <w:rPr>
                <w:rFonts w:ascii="Verdana" w:hAnsi="Verdana"/>
                <w:sz w:val="16"/>
                <w:szCs w:val="16"/>
              </w:rPr>
              <w:t xml:space="preserve"> gel y 7.7 cm de carbón de coco, o </w:t>
            </w:r>
            <w:proofErr w:type="gramStart"/>
            <w:r w:rsidRPr="00F01347">
              <w:rPr>
                <w:rFonts w:ascii="Verdana" w:hAnsi="Verdana"/>
                <w:sz w:val="16"/>
                <w:szCs w:val="16"/>
              </w:rPr>
              <w:t>algún otra propuesta</w:t>
            </w:r>
            <w:proofErr w:type="gramEnd"/>
            <w:r w:rsidRPr="00F01347">
              <w:rPr>
                <w:rFonts w:ascii="Verdana" w:hAnsi="Verdana"/>
                <w:sz w:val="16"/>
                <w:szCs w:val="16"/>
              </w:rPr>
              <w:t xml:space="preserve"> del proveedor que nos brinde la concentración de los volátiles esperados y cumplan con todos los criterios de calidad. Existen trampas de </w:t>
            </w:r>
            <w:proofErr w:type="spellStart"/>
            <w:r w:rsidRPr="00F01347">
              <w:rPr>
                <w:rFonts w:ascii="Verdana" w:hAnsi="Verdana"/>
                <w:sz w:val="16"/>
                <w:szCs w:val="16"/>
              </w:rPr>
              <w:t>sorbentes</w:t>
            </w:r>
            <w:proofErr w:type="spellEnd"/>
            <w:r w:rsidRPr="00F01347">
              <w:rPr>
                <w:rFonts w:ascii="Verdana" w:hAnsi="Verdana"/>
                <w:sz w:val="16"/>
                <w:szCs w:val="16"/>
              </w:rPr>
              <w:t xml:space="preserve"> disponibles comercialmente. Las </w:t>
            </w:r>
            <w:r w:rsidRPr="00F01347">
              <w:rPr>
                <w:rFonts w:ascii="Verdana" w:hAnsi="Verdana"/>
                <w:sz w:val="16"/>
                <w:szCs w:val="16"/>
              </w:rPr>
              <w:lastRenderedPageBreak/>
              <w:t>especificaciones del ejemplo para la trampa se ilustran en la Fig. B.3-2.</w:t>
            </w:r>
          </w:p>
        </w:tc>
        <w:tc>
          <w:tcPr>
            <w:tcW w:w="4675" w:type="dxa"/>
          </w:tcPr>
          <w:p w14:paraId="2156035B" w14:textId="37BFBFB3" w:rsidR="00C546A7" w:rsidRPr="00F01347" w:rsidRDefault="00C546A7" w:rsidP="00C546A7">
            <w:pPr>
              <w:pStyle w:val="texto0"/>
              <w:ind w:firstLine="0"/>
              <w:rPr>
                <w:rFonts w:ascii="Verdana" w:hAnsi="Verdana"/>
                <w:b/>
                <w:sz w:val="16"/>
                <w:szCs w:val="16"/>
                <w:lang w:val="en-US"/>
              </w:rPr>
            </w:pPr>
            <w:r w:rsidRPr="00F01347">
              <w:rPr>
                <w:rFonts w:ascii="Verdana" w:hAnsi="Verdana"/>
                <w:b/>
                <w:sz w:val="16"/>
                <w:szCs w:val="16"/>
                <w:lang w:val="en-US"/>
              </w:rPr>
              <w:lastRenderedPageBreak/>
              <w:t xml:space="preserve">Trap. </w:t>
            </w:r>
            <w:r w:rsidRPr="00F01347">
              <w:rPr>
                <w:rFonts w:ascii="Verdana" w:hAnsi="Verdana"/>
                <w:sz w:val="16"/>
                <w:szCs w:val="16"/>
                <w:lang w:val="en-US"/>
              </w:rPr>
              <w:t>At least 25 cm long and with an internal diameter of at least 3 mm, packed with the following minimum lengths of adsorbents: 1.0 cm methyl silicone packing, 7.7 cm 2,6-diphenyl oxide polymer</w:t>
            </w:r>
            <w:r w:rsidR="003E1BA9" w:rsidRPr="00F01347">
              <w:rPr>
                <w:rFonts w:ascii="Verdana" w:hAnsi="Verdana"/>
                <w:sz w:val="16"/>
                <w:szCs w:val="16"/>
                <w:lang w:val="en-US"/>
              </w:rPr>
              <w:t>,</w:t>
            </w:r>
            <w:r w:rsidRPr="00F01347">
              <w:rPr>
                <w:rFonts w:ascii="Verdana" w:hAnsi="Verdana"/>
                <w:sz w:val="16"/>
                <w:szCs w:val="16"/>
                <w:lang w:val="en-US"/>
              </w:rPr>
              <w:t xml:space="preserve"> 7.7 cm silica gel and 7.7 cm of coconut charcoal, or some other proposal from the supplier that provides the concentration of the expected volatiles and meets all quality criteria. There are commercially available sorbent traps</w:t>
            </w:r>
            <w:r w:rsidR="003E1BA9" w:rsidRPr="00F01347">
              <w:rPr>
                <w:rFonts w:ascii="Verdana" w:hAnsi="Verdana"/>
                <w:sz w:val="16"/>
                <w:szCs w:val="16"/>
                <w:lang w:val="en-US"/>
              </w:rPr>
              <w:t>.</w:t>
            </w:r>
            <w:r w:rsidRPr="00F01347">
              <w:rPr>
                <w:rFonts w:ascii="Verdana" w:hAnsi="Verdana"/>
                <w:sz w:val="16"/>
                <w:szCs w:val="16"/>
                <w:lang w:val="en-US"/>
              </w:rPr>
              <w:t xml:space="preserve"> The example specifications for the trap are illustrated in Fig. B.3-2.</w:t>
            </w:r>
          </w:p>
        </w:tc>
      </w:tr>
    </w:tbl>
    <w:p w14:paraId="0944462C" w14:textId="44864674" w:rsidR="00A74CDF" w:rsidRPr="00F01347" w:rsidRDefault="00F30304" w:rsidP="003A601B">
      <w:pPr>
        <w:pStyle w:val="texto0"/>
        <w:spacing w:line="240" w:lineRule="auto"/>
        <w:ind w:firstLine="0"/>
        <w:jc w:val="center"/>
        <w:rPr>
          <w:rFonts w:ascii="Verdana" w:hAnsi="Verdana"/>
          <w:sz w:val="16"/>
          <w:szCs w:val="16"/>
        </w:rPr>
      </w:pPr>
      <w:r w:rsidRPr="00F01347">
        <w:rPr>
          <w:noProof/>
        </w:rPr>
        <w:drawing>
          <wp:inline distT="0" distB="0" distL="0" distR="0" wp14:anchorId="6E49B9C9" wp14:editId="0BFD3146">
            <wp:extent cx="5966035" cy="3894268"/>
            <wp:effectExtent l="0" t="0" r="0" b="0"/>
            <wp:docPr id="1362593866" name="Picture 1"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593866" name="Picture 1" descr="A computer screen shot of a diagram&#10;&#10;Description automatically generated"/>
                    <pic:cNvPicPr>
                      <a:picLocks noChangeAspect="1"/>
                    </pic:cNvPicPr>
                  </pic:nvPicPr>
                  <pic:blipFill rotWithShape="1">
                    <a:blip r:embed="rId39"/>
                    <a:srcRect l="39220" t="26966" r="13973" b="18715"/>
                    <a:stretch/>
                  </pic:blipFill>
                  <pic:spPr bwMode="auto">
                    <a:xfrm>
                      <a:off x="0" y="0"/>
                      <a:ext cx="5990737" cy="391039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8403A" w:rsidRPr="00F01347" w14:paraId="26C0129E" w14:textId="77777777" w:rsidTr="00F30304">
        <w:tc>
          <w:tcPr>
            <w:tcW w:w="4675" w:type="dxa"/>
          </w:tcPr>
          <w:p w14:paraId="621BD45F" w14:textId="77777777" w:rsidR="00F30304" w:rsidRPr="00F01347" w:rsidRDefault="00F30304" w:rsidP="00F30304">
            <w:pPr>
              <w:pStyle w:val="texto0"/>
              <w:ind w:firstLine="0"/>
              <w:jc w:val="center"/>
              <w:rPr>
                <w:rFonts w:ascii="Verdana" w:hAnsi="Verdana"/>
                <w:sz w:val="16"/>
                <w:szCs w:val="16"/>
              </w:rPr>
            </w:pPr>
            <w:r w:rsidRPr="00F01347">
              <w:rPr>
                <w:rFonts w:ascii="Verdana" w:hAnsi="Verdana"/>
                <w:b/>
                <w:sz w:val="16"/>
                <w:szCs w:val="16"/>
              </w:rPr>
              <w:t xml:space="preserve">Fig. B.3-2. </w:t>
            </w:r>
            <w:r w:rsidRPr="00F01347">
              <w:rPr>
                <w:rFonts w:ascii="Verdana" w:hAnsi="Verdana"/>
                <w:sz w:val="16"/>
                <w:szCs w:val="16"/>
              </w:rPr>
              <w:t>Especificaciones del ejemplo de trampa</w:t>
            </w:r>
          </w:p>
          <w:p w14:paraId="5D13EBD1" w14:textId="77777777" w:rsidR="0058403A" w:rsidRPr="00F01347" w:rsidRDefault="0058403A" w:rsidP="006B044B">
            <w:pPr>
              <w:pStyle w:val="texto0"/>
              <w:ind w:firstLine="0"/>
              <w:rPr>
                <w:rFonts w:ascii="Verdana" w:hAnsi="Verdana"/>
                <w:b/>
                <w:sz w:val="16"/>
                <w:szCs w:val="16"/>
              </w:rPr>
            </w:pPr>
          </w:p>
        </w:tc>
        <w:tc>
          <w:tcPr>
            <w:tcW w:w="4675" w:type="dxa"/>
          </w:tcPr>
          <w:p w14:paraId="604A8AEA" w14:textId="55C726E3" w:rsidR="0058403A" w:rsidRPr="00F01347" w:rsidRDefault="00F30304" w:rsidP="00F30304">
            <w:pPr>
              <w:pStyle w:val="texto0"/>
              <w:ind w:firstLine="0"/>
              <w:jc w:val="center"/>
              <w:rPr>
                <w:rFonts w:ascii="Verdana" w:hAnsi="Verdana"/>
                <w:bCs/>
                <w:sz w:val="16"/>
                <w:szCs w:val="16"/>
                <w:lang w:val="en-US"/>
              </w:rPr>
            </w:pPr>
            <w:r w:rsidRPr="00F01347">
              <w:rPr>
                <w:rFonts w:ascii="Verdana" w:hAnsi="Verdana"/>
                <w:b/>
                <w:sz w:val="16"/>
                <w:szCs w:val="16"/>
                <w:lang w:val="en-US"/>
              </w:rPr>
              <w:t xml:space="preserve">Figure B.3-2. </w:t>
            </w:r>
            <w:r w:rsidR="00D754D7" w:rsidRPr="00F01347">
              <w:rPr>
                <w:rFonts w:ascii="Verdana" w:hAnsi="Verdana"/>
                <w:bCs/>
                <w:sz w:val="16"/>
                <w:szCs w:val="16"/>
                <w:lang w:val="en-US"/>
              </w:rPr>
              <w:t>Specifications of the Trap sample</w:t>
            </w:r>
          </w:p>
        </w:tc>
      </w:tr>
      <w:tr w:rsidR="0058403A" w:rsidRPr="00F01347" w14:paraId="123C1E71" w14:textId="7121D07F" w:rsidTr="00F30304">
        <w:tc>
          <w:tcPr>
            <w:tcW w:w="4675" w:type="dxa"/>
          </w:tcPr>
          <w:p w14:paraId="34614260" w14:textId="77777777" w:rsidR="0058403A" w:rsidRPr="00F01347" w:rsidRDefault="0058403A" w:rsidP="0058403A">
            <w:pPr>
              <w:pStyle w:val="texto0"/>
              <w:ind w:firstLine="0"/>
              <w:rPr>
                <w:rFonts w:ascii="Verdana" w:hAnsi="Verdana"/>
                <w:sz w:val="16"/>
                <w:szCs w:val="16"/>
              </w:rPr>
            </w:pPr>
            <w:r w:rsidRPr="00F01347">
              <w:rPr>
                <w:rFonts w:ascii="Verdana" w:hAnsi="Verdana"/>
                <w:b/>
                <w:sz w:val="16"/>
                <w:szCs w:val="16"/>
              </w:rPr>
              <w:t>Válvulas de jeringa</w:t>
            </w:r>
            <w:r w:rsidRPr="00F01347">
              <w:rPr>
                <w:rFonts w:ascii="Verdana" w:hAnsi="Verdana"/>
                <w:sz w:val="16"/>
                <w:szCs w:val="16"/>
              </w:rPr>
              <w:t>, bilateral, con punta desechable.</w:t>
            </w:r>
          </w:p>
        </w:tc>
        <w:tc>
          <w:tcPr>
            <w:tcW w:w="4675" w:type="dxa"/>
          </w:tcPr>
          <w:p w14:paraId="394898F0" w14:textId="6EA2D336" w:rsidR="0058403A" w:rsidRPr="00F01347" w:rsidRDefault="0058403A" w:rsidP="0058403A">
            <w:pPr>
              <w:pStyle w:val="texto0"/>
              <w:ind w:firstLine="0"/>
              <w:rPr>
                <w:rFonts w:ascii="Verdana" w:hAnsi="Verdana"/>
                <w:b/>
                <w:sz w:val="16"/>
                <w:szCs w:val="16"/>
                <w:lang w:val="en-US"/>
              </w:rPr>
            </w:pPr>
            <w:r w:rsidRPr="00F01347">
              <w:rPr>
                <w:rFonts w:ascii="Verdana" w:hAnsi="Verdana"/>
                <w:b/>
                <w:sz w:val="16"/>
                <w:szCs w:val="16"/>
                <w:lang w:val="en-US"/>
              </w:rPr>
              <w:t>Syringe valves</w:t>
            </w:r>
            <w:r w:rsidR="003E1BA9" w:rsidRPr="00F01347">
              <w:rPr>
                <w:rFonts w:ascii="Verdana" w:hAnsi="Verdana"/>
                <w:b/>
                <w:sz w:val="16"/>
                <w:szCs w:val="16"/>
                <w:lang w:val="en-US"/>
              </w:rPr>
              <w:t>,</w:t>
            </w:r>
            <w:r w:rsidRPr="00F01347">
              <w:rPr>
                <w:rFonts w:ascii="Verdana" w:hAnsi="Verdana"/>
                <w:sz w:val="16"/>
                <w:szCs w:val="16"/>
                <w:lang w:val="en-US"/>
              </w:rPr>
              <w:t xml:space="preserve"> bilateral, with disposable tip.</w:t>
            </w:r>
          </w:p>
        </w:tc>
      </w:tr>
      <w:tr w:rsidR="0058403A" w:rsidRPr="00F01347" w14:paraId="6FEB98FB" w14:textId="57FA18D0" w:rsidTr="00F30304">
        <w:tc>
          <w:tcPr>
            <w:tcW w:w="4675" w:type="dxa"/>
          </w:tcPr>
          <w:p w14:paraId="2768860E" w14:textId="77777777" w:rsidR="0058403A" w:rsidRPr="00F01347" w:rsidRDefault="0058403A" w:rsidP="0058403A">
            <w:pPr>
              <w:pStyle w:val="texto0"/>
              <w:ind w:firstLine="0"/>
              <w:rPr>
                <w:rFonts w:ascii="Verdana" w:hAnsi="Verdana"/>
                <w:sz w:val="16"/>
                <w:szCs w:val="16"/>
              </w:rPr>
            </w:pPr>
            <w:r w:rsidRPr="00F01347">
              <w:rPr>
                <w:rFonts w:ascii="Verdana" w:hAnsi="Verdana"/>
                <w:b/>
                <w:sz w:val="16"/>
                <w:szCs w:val="16"/>
              </w:rPr>
              <w:t>Vaso de precipitados</w:t>
            </w:r>
            <w:r w:rsidRPr="00F01347">
              <w:rPr>
                <w:rFonts w:ascii="Verdana" w:hAnsi="Verdana"/>
                <w:sz w:val="16"/>
                <w:szCs w:val="16"/>
              </w:rPr>
              <w:t xml:space="preserve"> de 100 </w:t>
            </w:r>
            <w:proofErr w:type="spellStart"/>
            <w:r w:rsidRPr="00F01347">
              <w:rPr>
                <w:rFonts w:ascii="Verdana" w:hAnsi="Verdana"/>
                <w:sz w:val="16"/>
                <w:szCs w:val="16"/>
              </w:rPr>
              <w:t>mL</w:t>
            </w:r>
            <w:proofErr w:type="spellEnd"/>
            <w:r w:rsidRPr="00F01347">
              <w:rPr>
                <w:rFonts w:ascii="Verdana" w:hAnsi="Verdana"/>
                <w:sz w:val="16"/>
                <w:szCs w:val="16"/>
              </w:rPr>
              <w:t xml:space="preserve"> de vidrio.</w:t>
            </w:r>
          </w:p>
        </w:tc>
        <w:tc>
          <w:tcPr>
            <w:tcW w:w="4675" w:type="dxa"/>
          </w:tcPr>
          <w:p w14:paraId="3096B9E2" w14:textId="69E3821A" w:rsidR="0058403A" w:rsidRPr="00F01347" w:rsidRDefault="00D754D7" w:rsidP="0058403A">
            <w:pPr>
              <w:pStyle w:val="texto0"/>
              <w:ind w:firstLine="0"/>
              <w:rPr>
                <w:rFonts w:ascii="Verdana" w:hAnsi="Verdana"/>
                <w:b/>
                <w:sz w:val="16"/>
                <w:szCs w:val="16"/>
                <w:lang w:val="en-US"/>
              </w:rPr>
            </w:pPr>
            <w:r w:rsidRPr="00F01347">
              <w:rPr>
                <w:rFonts w:ascii="Verdana" w:hAnsi="Verdana"/>
                <w:b/>
                <w:bCs/>
                <w:sz w:val="16"/>
                <w:szCs w:val="16"/>
                <w:lang w:val="en-US"/>
              </w:rPr>
              <w:t>G</w:t>
            </w:r>
            <w:r w:rsidRPr="00F01347">
              <w:rPr>
                <w:rFonts w:ascii="Verdana" w:hAnsi="Verdana"/>
                <w:b/>
                <w:bCs/>
                <w:sz w:val="16"/>
                <w:szCs w:val="16"/>
                <w:lang w:val="en-US"/>
              </w:rPr>
              <w:t>lass beaker</w:t>
            </w:r>
            <w:r w:rsidRPr="00F01347">
              <w:rPr>
                <w:rFonts w:ascii="Verdana" w:hAnsi="Verdana"/>
                <w:b/>
                <w:bCs/>
                <w:sz w:val="16"/>
                <w:szCs w:val="16"/>
                <w:lang w:val="en-US"/>
              </w:rPr>
              <w:t xml:space="preserve"> </w:t>
            </w:r>
            <w:r w:rsidR="0058403A" w:rsidRPr="00F01347">
              <w:rPr>
                <w:rFonts w:ascii="Verdana" w:hAnsi="Verdana"/>
                <w:sz w:val="16"/>
                <w:szCs w:val="16"/>
                <w:lang w:val="en-US"/>
              </w:rPr>
              <w:t>100 mL</w:t>
            </w:r>
            <w:r w:rsidR="003E1BA9" w:rsidRPr="00F01347">
              <w:rPr>
                <w:rFonts w:ascii="Verdana" w:hAnsi="Verdana"/>
                <w:b/>
                <w:sz w:val="16"/>
                <w:szCs w:val="16"/>
                <w:lang w:val="en-US"/>
              </w:rPr>
              <w:t>.</w:t>
            </w:r>
          </w:p>
        </w:tc>
      </w:tr>
      <w:tr w:rsidR="0058403A" w:rsidRPr="00F01347" w14:paraId="3450078C" w14:textId="61F9AD15" w:rsidTr="00F30304">
        <w:tc>
          <w:tcPr>
            <w:tcW w:w="4675" w:type="dxa"/>
          </w:tcPr>
          <w:p w14:paraId="3C58C37B" w14:textId="77777777" w:rsidR="0058403A" w:rsidRPr="00F01347" w:rsidRDefault="0058403A" w:rsidP="0058403A">
            <w:pPr>
              <w:pStyle w:val="texto0"/>
              <w:ind w:firstLine="0"/>
              <w:rPr>
                <w:rFonts w:ascii="Verdana" w:hAnsi="Verdana"/>
                <w:sz w:val="16"/>
                <w:szCs w:val="16"/>
              </w:rPr>
            </w:pPr>
            <w:r w:rsidRPr="00F01347">
              <w:rPr>
                <w:rFonts w:ascii="Verdana" w:hAnsi="Verdana"/>
                <w:b/>
                <w:sz w:val="16"/>
                <w:szCs w:val="16"/>
              </w:rPr>
              <w:t>Viales</w:t>
            </w:r>
            <w:r w:rsidRPr="00F01347">
              <w:rPr>
                <w:rFonts w:ascii="Verdana" w:hAnsi="Verdana"/>
                <w:sz w:val="16"/>
                <w:szCs w:val="16"/>
              </w:rPr>
              <w:t xml:space="preserve"> de 40 </w:t>
            </w:r>
            <w:proofErr w:type="spellStart"/>
            <w:r w:rsidRPr="00F01347">
              <w:rPr>
                <w:rFonts w:ascii="Verdana" w:hAnsi="Verdana"/>
                <w:sz w:val="16"/>
                <w:szCs w:val="16"/>
              </w:rPr>
              <w:t>mL</w:t>
            </w:r>
            <w:proofErr w:type="spellEnd"/>
            <w:r w:rsidRPr="00F01347">
              <w:rPr>
                <w:rFonts w:ascii="Verdana" w:hAnsi="Verdana"/>
                <w:sz w:val="16"/>
                <w:szCs w:val="16"/>
              </w:rPr>
              <w:t xml:space="preserve"> con tapón de rosca recubierto con PTFE o Teflón</w:t>
            </w:r>
          </w:p>
        </w:tc>
        <w:tc>
          <w:tcPr>
            <w:tcW w:w="4675" w:type="dxa"/>
          </w:tcPr>
          <w:p w14:paraId="4271D672" w14:textId="361A7A03" w:rsidR="0058403A" w:rsidRPr="00F01347" w:rsidRDefault="00D754D7" w:rsidP="0058403A">
            <w:pPr>
              <w:pStyle w:val="texto0"/>
              <w:ind w:firstLine="0"/>
              <w:rPr>
                <w:rFonts w:ascii="Verdana" w:hAnsi="Verdana"/>
                <w:b/>
                <w:sz w:val="16"/>
                <w:szCs w:val="16"/>
                <w:lang w:val="en-US"/>
              </w:rPr>
            </w:pPr>
            <w:r w:rsidRPr="00F01347">
              <w:rPr>
                <w:rFonts w:ascii="Verdana" w:hAnsi="Verdana"/>
                <w:b/>
                <w:sz w:val="16"/>
                <w:szCs w:val="16"/>
                <w:lang w:val="en-US"/>
              </w:rPr>
              <w:t>V</w:t>
            </w:r>
            <w:r w:rsidRPr="00F01347">
              <w:rPr>
                <w:rFonts w:ascii="Verdana" w:hAnsi="Verdana"/>
                <w:b/>
                <w:sz w:val="16"/>
                <w:szCs w:val="16"/>
                <w:lang w:val="en-US"/>
              </w:rPr>
              <w:t>ials</w:t>
            </w:r>
            <w:r w:rsidRPr="00F01347">
              <w:rPr>
                <w:rFonts w:ascii="Verdana" w:hAnsi="Verdana"/>
                <w:sz w:val="16"/>
                <w:szCs w:val="16"/>
                <w:lang w:val="en-US"/>
              </w:rPr>
              <w:t xml:space="preserve"> </w:t>
            </w:r>
            <w:r w:rsidR="0058403A" w:rsidRPr="00F01347">
              <w:rPr>
                <w:rFonts w:ascii="Verdana" w:hAnsi="Verdana"/>
                <w:sz w:val="16"/>
                <w:szCs w:val="16"/>
                <w:lang w:val="en-US"/>
              </w:rPr>
              <w:t>40 mL with PTFE or Teflon coated screw cap</w:t>
            </w:r>
          </w:p>
        </w:tc>
      </w:tr>
      <w:tr w:rsidR="0058403A" w:rsidRPr="00F01347" w14:paraId="5AF8DE12" w14:textId="455FC078" w:rsidTr="00F30304">
        <w:tc>
          <w:tcPr>
            <w:tcW w:w="4675" w:type="dxa"/>
          </w:tcPr>
          <w:p w14:paraId="7D3E52BB" w14:textId="77777777" w:rsidR="0058403A" w:rsidRPr="00F01347" w:rsidRDefault="0058403A" w:rsidP="0058403A">
            <w:pPr>
              <w:pStyle w:val="texto0"/>
              <w:ind w:firstLine="0"/>
              <w:rPr>
                <w:rFonts w:ascii="Verdana" w:hAnsi="Verdana"/>
                <w:b/>
                <w:sz w:val="16"/>
                <w:szCs w:val="16"/>
              </w:rPr>
            </w:pPr>
            <w:r w:rsidRPr="00F01347">
              <w:rPr>
                <w:rFonts w:ascii="Verdana" w:hAnsi="Verdana"/>
                <w:b/>
                <w:sz w:val="16"/>
                <w:szCs w:val="16"/>
              </w:rPr>
              <w:t>B.3.5 Reactivos y soluciones</w:t>
            </w:r>
          </w:p>
        </w:tc>
        <w:tc>
          <w:tcPr>
            <w:tcW w:w="4675" w:type="dxa"/>
          </w:tcPr>
          <w:p w14:paraId="056799B5" w14:textId="6A0C0F54" w:rsidR="0058403A" w:rsidRPr="00F01347" w:rsidRDefault="0058403A" w:rsidP="0058403A">
            <w:pPr>
              <w:pStyle w:val="texto0"/>
              <w:ind w:firstLine="0"/>
              <w:rPr>
                <w:rFonts w:ascii="Verdana" w:hAnsi="Verdana"/>
                <w:b/>
                <w:sz w:val="16"/>
                <w:szCs w:val="16"/>
                <w:lang w:val="en-US"/>
              </w:rPr>
            </w:pPr>
            <w:r w:rsidRPr="00F01347">
              <w:rPr>
                <w:rFonts w:ascii="Verdana" w:hAnsi="Verdana"/>
                <w:b/>
                <w:sz w:val="16"/>
                <w:szCs w:val="16"/>
                <w:lang w:val="en-US"/>
              </w:rPr>
              <w:t>B.3.5 Reagents and solutions</w:t>
            </w:r>
          </w:p>
        </w:tc>
      </w:tr>
      <w:tr w:rsidR="0058403A" w:rsidRPr="00F01347" w14:paraId="0D229EE4" w14:textId="786CBA79" w:rsidTr="00F30304">
        <w:tc>
          <w:tcPr>
            <w:tcW w:w="4675" w:type="dxa"/>
          </w:tcPr>
          <w:p w14:paraId="186C4869" w14:textId="77777777" w:rsidR="0058403A" w:rsidRPr="00F01347" w:rsidRDefault="0058403A" w:rsidP="0058403A">
            <w:pPr>
              <w:pStyle w:val="texto0"/>
              <w:ind w:firstLine="0"/>
              <w:rPr>
                <w:rFonts w:ascii="Verdana" w:hAnsi="Verdana"/>
                <w:sz w:val="16"/>
                <w:szCs w:val="16"/>
              </w:rPr>
            </w:pPr>
            <w:r w:rsidRPr="00F01347">
              <w:rPr>
                <w:rFonts w:ascii="Verdana" w:hAnsi="Verdana"/>
                <w:b/>
                <w:sz w:val="16"/>
                <w:szCs w:val="16"/>
              </w:rPr>
              <w:t xml:space="preserve">Ácido clorhídrico, HCl. </w:t>
            </w:r>
            <w:r w:rsidRPr="00F01347">
              <w:rPr>
                <w:rFonts w:ascii="Verdana" w:hAnsi="Verdana"/>
                <w:sz w:val="16"/>
                <w:szCs w:val="16"/>
              </w:rPr>
              <w:t xml:space="preserve">Grado reactivo que cumpla las especificaciones de la American Chemical </w:t>
            </w:r>
            <w:proofErr w:type="spellStart"/>
            <w:r w:rsidRPr="00F01347">
              <w:rPr>
                <w:rFonts w:ascii="Verdana" w:hAnsi="Verdana"/>
                <w:sz w:val="16"/>
                <w:szCs w:val="16"/>
              </w:rPr>
              <w:t>Society</w:t>
            </w:r>
            <w:proofErr w:type="spellEnd"/>
            <w:r w:rsidRPr="00F01347">
              <w:rPr>
                <w:rFonts w:ascii="Verdana" w:hAnsi="Verdana"/>
                <w:sz w:val="16"/>
                <w:szCs w:val="16"/>
              </w:rPr>
              <w:t xml:space="preserve"> (ACS) o equivalente. Libre de compuestos orgánicos volátiles y bajo condiciones de aseguramiento de los volátiles presentes en las muestras.</w:t>
            </w:r>
          </w:p>
        </w:tc>
        <w:tc>
          <w:tcPr>
            <w:tcW w:w="4675" w:type="dxa"/>
          </w:tcPr>
          <w:p w14:paraId="7E3AAB17" w14:textId="6BB4F33D" w:rsidR="0058403A" w:rsidRPr="00F01347" w:rsidRDefault="0058403A" w:rsidP="0058403A">
            <w:pPr>
              <w:pStyle w:val="texto0"/>
              <w:ind w:firstLine="0"/>
              <w:rPr>
                <w:rFonts w:ascii="Verdana" w:hAnsi="Verdana"/>
                <w:b/>
                <w:sz w:val="16"/>
                <w:szCs w:val="16"/>
                <w:lang w:val="en-US"/>
              </w:rPr>
            </w:pPr>
            <w:r w:rsidRPr="00F01347">
              <w:rPr>
                <w:rFonts w:ascii="Verdana" w:hAnsi="Verdana"/>
                <w:b/>
                <w:sz w:val="16"/>
                <w:szCs w:val="16"/>
                <w:lang w:val="en-US"/>
              </w:rPr>
              <w:t xml:space="preserve">Hydrochloric acid, HCl. </w:t>
            </w:r>
            <w:r w:rsidRPr="00F01347">
              <w:rPr>
                <w:rFonts w:ascii="Verdana" w:hAnsi="Verdana"/>
                <w:sz w:val="16"/>
                <w:szCs w:val="16"/>
                <w:lang w:val="en-US"/>
              </w:rPr>
              <w:t>Reagent grade that meets the specifications of the American Chemical Society (ACS) or equivalent. Free of volatile organic compounds and under conditions of assurance of the volatiles present in the samples.</w:t>
            </w:r>
          </w:p>
        </w:tc>
      </w:tr>
      <w:tr w:rsidR="0058403A" w:rsidRPr="00F01347" w14:paraId="333D1B1C" w14:textId="615B9384" w:rsidTr="00F30304">
        <w:tc>
          <w:tcPr>
            <w:tcW w:w="4675" w:type="dxa"/>
          </w:tcPr>
          <w:p w14:paraId="043653E5" w14:textId="77777777" w:rsidR="0058403A" w:rsidRPr="00F01347" w:rsidRDefault="0058403A" w:rsidP="0058403A">
            <w:pPr>
              <w:pStyle w:val="texto0"/>
              <w:ind w:firstLine="0"/>
              <w:rPr>
                <w:rFonts w:ascii="Verdana" w:hAnsi="Verdana"/>
                <w:sz w:val="16"/>
                <w:szCs w:val="16"/>
              </w:rPr>
            </w:pPr>
            <w:r w:rsidRPr="00F01347">
              <w:rPr>
                <w:rFonts w:ascii="Verdana" w:hAnsi="Verdana"/>
                <w:b/>
                <w:sz w:val="16"/>
                <w:szCs w:val="16"/>
              </w:rPr>
              <w:t>Ácido clorhídrico 1:1 v/v.</w:t>
            </w:r>
            <w:r w:rsidRPr="00F01347">
              <w:rPr>
                <w:rFonts w:ascii="Verdana" w:hAnsi="Verdana"/>
                <w:sz w:val="16"/>
                <w:szCs w:val="16"/>
              </w:rPr>
              <w:t xml:space="preserve"> Adicionar cuidadosamente un volumen medido de HCl a un volumen igual de agua libre de compuestos orgánicos.</w:t>
            </w:r>
          </w:p>
        </w:tc>
        <w:tc>
          <w:tcPr>
            <w:tcW w:w="4675" w:type="dxa"/>
          </w:tcPr>
          <w:p w14:paraId="113721D2" w14:textId="17E45051" w:rsidR="0058403A" w:rsidRPr="00F01347" w:rsidRDefault="0058403A" w:rsidP="0058403A">
            <w:pPr>
              <w:pStyle w:val="texto0"/>
              <w:ind w:firstLine="0"/>
              <w:rPr>
                <w:rFonts w:ascii="Verdana" w:hAnsi="Verdana"/>
                <w:b/>
                <w:sz w:val="16"/>
                <w:szCs w:val="16"/>
                <w:lang w:val="en-US"/>
              </w:rPr>
            </w:pPr>
            <w:r w:rsidRPr="00F01347">
              <w:rPr>
                <w:rFonts w:ascii="Verdana" w:hAnsi="Verdana"/>
                <w:b/>
                <w:sz w:val="16"/>
                <w:szCs w:val="16"/>
                <w:lang w:val="en-US"/>
              </w:rPr>
              <w:t xml:space="preserve">Hydrochloric acid 1:1 v/v. </w:t>
            </w:r>
            <w:r w:rsidRPr="00F01347">
              <w:rPr>
                <w:rFonts w:ascii="Verdana" w:hAnsi="Verdana"/>
                <w:sz w:val="16"/>
                <w:szCs w:val="16"/>
                <w:lang w:val="en-US"/>
              </w:rPr>
              <w:t>Carefully add a measured volume of HCl to an equal volume of water free of organic compounds.</w:t>
            </w:r>
          </w:p>
        </w:tc>
      </w:tr>
      <w:tr w:rsidR="0058403A" w:rsidRPr="00F01347" w14:paraId="72E4AB4C" w14:textId="3C00A34A" w:rsidTr="00F30304">
        <w:tc>
          <w:tcPr>
            <w:tcW w:w="4675" w:type="dxa"/>
          </w:tcPr>
          <w:p w14:paraId="4A45CD60" w14:textId="77777777" w:rsidR="0058403A" w:rsidRPr="00F01347" w:rsidRDefault="0058403A" w:rsidP="0058403A">
            <w:pPr>
              <w:pStyle w:val="texto0"/>
              <w:ind w:firstLine="0"/>
              <w:rPr>
                <w:rFonts w:ascii="Verdana" w:hAnsi="Verdana"/>
                <w:sz w:val="16"/>
                <w:szCs w:val="16"/>
              </w:rPr>
            </w:pPr>
            <w:r w:rsidRPr="00F01347">
              <w:rPr>
                <w:rFonts w:ascii="Verdana" w:hAnsi="Verdana"/>
                <w:b/>
                <w:sz w:val="16"/>
                <w:szCs w:val="16"/>
              </w:rPr>
              <w:t>Agua Tipo I.</w:t>
            </w:r>
            <w:r w:rsidRPr="00F01347">
              <w:rPr>
                <w:rFonts w:ascii="Verdana" w:hAnsi="Verdana"/>
                <w:sz w:val="16"/>
                <w:szCs w:val="16"/>
              </w:rPr>
              <w:t xml:space="preserve"> Agua libre de compuestos orgánicos.</w:t>
            </w:r>
          </w:p>
        </w:tc>
        <w:tc>
          <w:tcPr>
            <w:tcW w:w="4675" w:type="dxa"/>
          </w:tcPr>
          <w:p w14:paraId="7F8526AB" w14:textId="2CE9EF4C" w:rsidR="0058403A" w:rsidRPr="00F01347" w:rsidRDefault="0058403A" w:rsidP="0058403A">
            <w:pPr>
              <w:pStyle w:val="texto0"/>
              <w:ind w:firstLine="0"/>
              <w:rPr>
                <w:rFonts w:ascii="Verdana" w:hAnsi="Verdana"/>
                <w:b/>
                <w:sz w:val="16"/>
                <w:szCs w:val="16"/>
                <w:lang w:val="en-US"/>
              </w:rPr>
            </w:pPr>
            <w:r w:rsidRPr="00F01347">
              <w:rPr>
                <w:rFonts w:ascii="Verdana" w:hAnsi="Verdana"/>
                <w:b/>
                <w:sz w:val="16"/>
                <w:szCs w:val="16"/>
                <w:lang w:val="en-US"/>
              </w:rPr>
              <w:t xml:space="preserve">Type I Water. </w:t>
            </w:r>
            <w:r w:rsidRPr="00F01347">
              <w:rPr>
                <w:rFonts w:ascii="Verdana" w:hAnsi="Verdana"/>
                <w:sz w:val="16"/>
                <w:szCs w:val="16"/>
                <w:lang w:val="en-US"/>
              </w:rPr>
              <w:t>Water free of organic compounds.</w:t>
            </w:r>
          </w:p>
        </w:tc>
      </w:tr>
      <w:tr w:rsidR="0058403A" w:rsidRPr="00F01347" w14:paraId="2BDCD5D5" w14:textId="161E2761" w:rsidTr="00F30304">
        <w:tc>
          <w:tcPr>
            <w:tcW w:w="4675" w:type="dxa"/>
          </w:tcPr>
          <w:p w14:paraId="498C7121" w14:textId="77777777" w:rsidR="0058403A" w:rsidRPr="00F01347" w:rsidRDefault="0058403A" w:rsidP="0058403A">
            <w:pPr>
              <w:pStyle w:val="texto0"/>
              <w:ind w:firstLine="0"/>
              <w:rPr>
                <w:rFonts w:ascii="Verdana" w:hAnsi="Verdana"/>
                <w:sz w:val="16"/>
                <w:szCs w:val="16"/>
              </w:rPr>
            </w:pPr>
            <w:r w:rsidRPr="00F01347">
              <w:rPr>
                <w:rFonts w:ascii="Verdana" w:hAnsi="Verdana"/>
                <w:b/>
                <w:sz w:val="16"/>
                <w:szCs w:val="16"/>
              </w:rPr>
              <w:t>Carbón de coco</w:t>
            </w:r>
            <w:r w:rsidRPr="00F01347">
              <w:rPr>
                <w:rFonts w:ascii="Verdana" w:hAnsi="Verdana"/>
                <w:sz w:val="16"/>
                <w:szCs w:val="16"/>
              </w:rPr>
              <w:t xml:space="preserve"> Pasado a través de malla 26 (Material del empaque de la trampa).</w:t>
            </w:r>
          </w:p>
        </w:tc>
        <w:tc>
          <w:tcPr>
            <w:tcW w:w="4675" w:type="dxa"/>
          </w:tcPr>
          <w:p w14:paraId="1DD964B8" w14:textId="258DEF1B" w:rsidR="0058403A" w:rsidRPr="00F01347" w:rsidRDefault="0058403A" w:rsidP="0058403A">
            <w:pPr>
              <w:pStyle w:val="texto0"/>
              <w:ind w:firstLine="0"/>
              <w:rPr>
                <w:rFonts w:ascii="Verdana" w:hAnsi="Verdana"/>
                <w:b/>
                <w:sz w:val="16"/>
                <w:szCs w:val="16"/>
                <w:lang w:val="en-US"/>
              </w:rPr>
            </w:pPr>
            <w:r w:rsidRPr="00F01347">
              <w:rPr>
                <w:rFonts w:ascii="Verdana" w:hAnsi="Verdana"/>
                <w:b/>
                <w:sz w:val="16"/>
                <w:szCs w:val="16"/>
                <w:lang w:val="en-US"/>
              </w:rPr>
              <w:t xml:space="preserve">Coconut charcoal </w:t>
            </w:r>
            <w:r w:rsidRPr="00F01347">
              <w:rPr>
                <w:rFonts w:ascii="Verdana" w:hAnsi="Verdana"/>
                <w:sz w:val="16"/>
                <w:szCs w:val="16"/>
                <w:lang w:val="en-US"/>
              </w:rPr>
              <w:t>Passed through 26 mesh (Trap packing material).</w:t>
            </w:r>
          </w:p>
        </w:tc>
      </w:tr>
      <w:tr w:rsidR="0058403A" w:rsidRPr="00F01347" w14:paraId="017AC3B4" w14:textId="505BB210" w:rsidTr="00F30304">
        <w:tc>
          <w:tcPr>
            <w:tcW w:w="4675" w:type="dxa"/>
          </w:tcPr>
          <w:p w14:paraId="520413DC" w14:textId="77777777" w:rsidR="0058403A" w:rsidRPr="00F01347" w:rsidRDefault="0058403A" w:rsidP="0058403A">
            <w:pPr>
              <w:pStyle w:val="texto0"/>
              <w:ind w:firstLine="0"/>
              <w:rPr>
                <w:rFonts w:ascii="Verdana" w:hAnsi="Verdana"/>
                <w:sz w:val="16"/>
                <w:szCs w:val="16"/>
              </w:rPr>
            </w:pPr>
            <w:proofErr w:type="spellStart"/>
            <w:r w:rsidRPr="00F01347">
              <w:rPr>
                <w:rFonts w:ascii="Verdana" w:hAnsi="Verdana"/>
                <w:b/>
                <w:sz w:val="16"/>
                <w:szCs w:val="16"/>
              </w:rPr>
              <w:t>Clorobenceno</w:t>
            </w:r>
            <w:proofErr w:type="spellEnd"/>
            <w:r w:rsidRPr="00F01347">
              <w:rPr>
                <w:rFonts w:ascii="Verdana" w:hAnsi="Verdana"/>
                <w:sz w:val="16"/>
                <w:szCs w:val="16"/>
              </w:rPr>
              <w:t xml:space="preserve"> – d</w:t>
            </w:r>
            <w:r w:rsidRPr="00F01347">
              <w:rPr>
                <w:rFonts w:ascii="Verdana" w:hAnsi="Verdana"/>
                <w:sz w:val="16"/>
                <w:szCs w:val="16"/>
                <w:vertAlign w:val="subscript"/>
              </w:rPr>
              <w:t>5</w:t>
            </w:r>
            <w:r w:rsidRPr="00F01347">
              <w:rPr>
                <w:rFonts w:ascii="Verdana" w:hAnsi="Verdana"/>
                <w:sz w:val="16"/>
                <w:szCs w:val="16"/>
              </w:rPr>
              <w:t xml:space="preserve"> (Estándar interno).</w:t>
            </w:r>
          </w:p>
        </w:tc>
        <w:tc>
          <w:tcPr>
            <w:tcW w:w="4675" w:type="dxa"/>
          </w:tcPr>
          <w:p w14:paraId="68CAF557" w14:textId="39D4B679" w:rsidR="0058403A" w:rsidRPr="00F01347" w:rsidRDefault="0058403A" w:rsidP="0058403A">
            <w:pPr>
              <w:pStyle w:val="texto0"/>
              <w:ind w:firstLine="0"/>
              <w:rPr>
                <w:rFonts w:ascii="Verdana" w:hAnsi="Verdana"/>
                <w:b/>
                <w:sz w:val="16"/>
                <w:szCs w:val="16"/>
                <w:lang w:val="en-US"/>
              </w:rPr>
            </w:pPr>
            <w:r w:rsidRPr="00F01347">
              <w:rPr>
                <w:rFonts w:ascii="Verdana" w:hAnsi="Verdana"/>
                <w:b/>
                <w:sz w:val="16"/>
                <w:szCs w:val="16"/>
                <w:lang w:val="en-US"/>
              </w:rPr>
              <w:t xml:space="preserve">Chlorobenzene </w:t>
            </w:r>
            <w:r w:rsidRPr="00F01347">
              <w:rPr>
                <w:rFonts w:ascii="Verdana" w:hAnsi="Verdana"/>
                <w:sz w:val="16"/>
                <w:szCs w:val="16"/>
                <w:lang w:val="en-US"/>
              </w:rPr>
              <w:t>– d</w:t>
            </w:r>
            <w:r w:rsidRPr="00F01347">
              <w:rPr>
                <w:rFonts w:ascii="Verdana" w:hAnsi="Verdana"/>
                <w:sz w:val="16"/>
                <w:szCs w:val="16"/>
                <w:vertAlign w:val="subscript"/>
                <w:lang w:val="en-US"/>
              </w:rPr>
              <w:t xml:space="preserve">5 </w:t>
            </w:r>
            <w:r w:rsidRPr="00F01347">
              <w:rPr>
                <w:rFonts w:ascii="Verdana" w:hAnsi="Verdana"/>
                <w:sz w:val="16"/>
                <w:szCs w:val="16"/>
                <w:lang w:val="en-US"/>
              </w:rPr>
              <w:t>(Internal standard).</w:t>
            </w:r>
          </w:p>
        </w:tc>
      </w:tr>
      <w:tr w:rsidR="0058403A" w:rsidRPr="00F01347" w14:paraId="263CF905" w14:textId="3BE96CC4" w:rsidTr="00F30304">
        <w:tc>
          <w:tcPr>
            <w:tcW w:w="4675" w:type="dxa"/>
          </w:tcPr>
          <w:p w14:paraId="5DB28FA1" w14:textId="77777777" w:rsidR="0058403A" w:rsidRPr="00F01347" w:rsidRDefault="0058403A" w:rsidP="0058403A">
            <w:pPr>
              <w:pStyle w:val="texto0"/>
              <w:ind w:firstLine="0"/>
              <w:rPr>
                <w:rFonts w:ascii="Verdana" w:hAnsi="Verdana"/>
                <w:sz w:val="16"/>
                <w:szCs w:val="16"/>
              </w:rPr>
            </w:pPr>
            <w:r w:rsidRPr="00F01347">
              <w:rPr>
                <w:rFonts w:ascii="Verdana" w:hAnsi="Verdana"/>
                <w:b/>
                <w:sz w:val="16"/>
                <w:szCs w:val="16"/>
              </w:rPr>
              <w:lastRenderedPageBreak/>
              <w:t>Empaque de metil-silicona-OV-1 (3%)</w:t>
            </w:r>
            <w:r w:rsidRPr="00F01347">
              <w:rPr>
                <w:rFonts w:ascii="Verdana" w:hAnsi="Verdana"/>
                <w:sz w:val="16"/>
                <w:szCs w:val="16"/>
              </w:rPr>
              <w:t xml:space="preserve"> En </w:t>
            </w:r>
            <w:proofErr w:type="spellStart"/>
            <w:r w:rsidRPr="00F01347">
              <w:rPr>
                <w:rFonts w:ascii="Verdana" w:hAnsi="Verdana"/>
                <w:sz w:val="16"/>
                <w:szCs w:val="16"/>
              </w:rPr>
              <w:t>chromosorb</w:t>
            </w:r>
            <w:proofErr w:type="spellEnd"/>
            <w:r w:rsidRPr="00F01347">
              <w:rPr>
                <w:rFonts w:ascii="Verdana" w:hAnsi="Verdana"/>
                <w:sz w:val="16"/>
                <w:szCs w:val="16"/>
              </w:rPr>
              <w:t>-W, con malla 60/80 o equivalente (Material del empaque de la trampa).</w:t>
            </w:r>
          </w:p>
        </w:tc>
        <w:tc>
          <w:tcPr>
            <w:tcW w:w="4675" w:type="dxa"/>
          </w:tcPr>
          <w:p w14:paraId="04FE6DA1" w14:textId="08EB4CD3" w:rsidR="0058403A" w:rsidRPr="00F01347" w:rsidRDefault="0058403A" w:rsidP="0058403A">
            <w:pPr>
              <w:pStyle w:val="texto0"/>
              <w:ind w:firstLine="0"/>
              <w:rPr>
                <w:rFonts w:ascii="Verdana" w:hAnsi="Verdana"/>
                <w:b/>
                <w:sz w:val="16"/>
                <w:szCs w:val="16"/>
                <w:lang w:val="en-US"/>
              </w:rPr>
            </w:pPr>
            <w:r w:rsidRPr="00F01347">
              <w:rPr>
                <w:rFonts w:ascii="Verdana" w:hAnsi="Verdana"/>
                <w:b/>
                <w:sz w:val="16"/>
                <w:szCs w:val="16"/>
                <w:lang w:val="en-US"/>
              </w:rPr>
              <w:t xml:space="preserve">Methyl-silicone-OV-1 gasket (3%) </w:t>
            </w:r>
            <w:r w:rsidRPr="00F01347">
              <w:rPr>
                <w:rFonts w:ascii="Verdana" w:hAnsi="Verdana"/>
                <w:sz w:val="16"/>
                <w:szCs w:val="16"/>
                <w:lang w:val="en-US"/>
              </w:rPr>
              <w:t xml:space="preserve">In </w:t>
            </w:r>
            <w:proofErr w:type="spellStart"/>
            <w:r w:rsidRPr="00F01347">
              <w:rPr>
                <w:rFonts w:ascii="Verdana" w:hAnsi="Verdana"/>
                <w:sz w:val="16"/>
                <w:szCs w:val="16"/>
                <w:lang w:val="en-US"/>
              </w:rPr>
              <w:t>chromosorb</w:t>
            </w:r>
            <w:proofErr w:type="spellEnd"/>
            <w:r w:rsidRPr="00F01347">
              <w:rPr>
                <w:rFonts w:ascii="Verdana" w:hAnsi="Verdana"/>
                <w:sz w:val="16"/>
                <w:szCs w:val="16"/>
                <w:lang w:val="en-US"/>
              </w:rPr>
              <w:t xml:space="preserve"> -W, with 60/80 mesh or equivalent (Trap gasket material).</w:t>
            </w:r>
          </w:p>
        </w:tc>
      </w:tr>
      <w:tr w:rsidR="0058403A" w:rsidRPr="00F01347" w14:paraId="412E3AFC" w14:textId="702418BD" w:rsidTr="00F30304">
        <w:tc>
          <w:tcPr>
            <w:tcW w:w="4675" w:type="dxa"/>
          </w:tcPr>
          <w:p w14:paraId="0C29F87B" w14:textId="77777777" w:rsidR="0058403A" w:rsidRPr="00F01347" w:rsidRDefault="0058403A" w:rsidP="0058403A">
            <w:pPr>
              <w:pStyle w:val="texto0"/>
              <w:ind w:firstLine="0"/>
              <w:rPr>
                <w:rFonts w:ascii="Verdana" w:hAnsi="Verdana"/>
                <w:b/>
                <w:sz w:val="16"/>
                <w:szCs w:val="16"/>
              </w:rPr>
            </w:pPr>
            <w:r w:rsidRPr="00F01347">
              <w:rPr>
                <w:rFonts w:ascii="Verdana" w:hAnsi="Verdana"/>
                <w:b/>
                <w:sz w:val="16"/>
                <w:szCs w:val="16"/>
              </w:rPr>
              <w:t>Estándares de Control de Calidad</w:t>
            </w:r>
          </w:p>
        </w:tc>
        <w:tc>
          <w:tcPr>
            <w:tcW w:w="4675" w:type="dxa"/>
          </w:tcPr>
          <w:p w14:paraId="33D60027" w14:textId="45EEFB9D" w:rsidR="0058403A" w:rsidRPr="00F01347" w:rsidRDefault="0058403A" w:rsidP="0058403A">
            <w:pPr>
              <w:pStyle w:val="texto0"/>
              <w:ind w:firstLine="0"/>
              <w:rPr>
                <w:rFonts w:ascii="Verdana" w:hAnsi="Verdana"/>
                <w:b/>
                <w:sz w:val="16"/>
                <w:szCs w:val="16"/>
                <w:lang w:val="en-US"/>
              </w:rPr>
            </w:pPr>
            <w:r w:rsidRPr="00F01347">
              <w:rPr>
                <w:rFonts w:ascii="Verdana" w:hAnsi="Verdana"/>
                <w:b/>
                <w:sz w:val="16"/>
                <w:szCs w:val="16"/>
                <w:lang w:val="en-US"/>
              </w:rPr>
              <w:t>Quality Control Standards</w:t>
            </w:r>
          </w:p>
        </w:tc>
      </w:tr>
      <w:tr w:rsidR="0058403A" w:rsidRPr="00F01347" w14:paraId="12AE08DE" w14:textId="3715B33F" w:rsidTr="00F30304">
        <w:tc>
          <w:tcPr>
            <w:tcW w:w="4675" w:type="dxa"/>
          </w:tcPr>
          <w:p w14:paraId="2599A725" w14:textId="77777777" w:rsidR="0058403A" w:rsidRPr="00F01347" w:rsidRDefault="0058403A" w:rsidP="0058403A">
            <w:pPr>
              <w:pStyle w:val="texto0"/>
              <w:spacing w:line="228" w:lineRule="exact"/>
              <w:ind w:firstLine="0"/>
              <w:rPr>
                <w:rFonts w:ascii="Verdana" w:hAnsi="Verdana"/>
                <w:b/>
                <w:sz w:val="16"/>
                <w:szCs w:val="16"/>
              </w:rPr>
            </w:pPr>
            <w:r w:rsidRPr="00F01347">
              <w:rPr>
                <w:rFonts w:ascii="Verdana" w:hAnsi="Verdana"/>
                <w:b/>
                <w:sz w:val="16"/>
                <w:szCs w:val="16"/>
              </w:rPr>
              <w:t>Gas inerte de alta pureza</w:t>
            </w:r>
          </w:p>
        </w:tc>
        <w:tc>
          <w:tcPr>
            <w:tcW w:w="4675" w:type="dxa"/>
          </w:tcPr>
          <w:p w14:paraId="568A48CF" w14:textId="7C37A261"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High purity inert gas</w:t>
            </w:r>
          </w:p>
        </w:tc>
      </w:tr>
      <w:tr w:rsidR="0058403A" w:rsidRPr="00F01347" w14:paraId="6B018A3A" w14:textId="228EDC1B" w:rsidTr="00F30304">
        <w:tc>
          <w:tcPr>
            <w:tcW w:w="4675" w:type="dxa"/>
          </w:tcPr>
          <w:p w14:paraId="3996D8A2" w14:textId="77777777" w:rsidR="0058403A" w:rsidRPr="00F01347" w:rsidRDefault="0058403A" w:rsidP="0058403A">
            <w:pPr>
              <w:pStyle w:val="texto0"/>
              <w:spacing w:line="228" w:lineRule="exact"/>
              <w:ind w:firstLine="0"/>
              <w:rPr>
                <w:rFonts w:ascii="Verdana" w:hAnsi="Verdana"/>
                <w:sz w:val="16"/>
                <w:szCs w:val="16"/>
              </w:rPr>
            </w:pPr>
            <w:r w:rsidRPr="00F01347">
              <w:rPr>
                <w:rFonts w:ascii="Verdana" w:hAnsi="Verdana"/>
                <w:b/>
                <w:sz w:val="16"/>
                <w:szCs w:val="16"/>
              </w:rPr>
              <w:t>Materiales de referencia</w:t>
            </w:r>
            <w:r w:rsidRPr="00F01347">
              <w:rPr>
                <w:rFonts w:ascii="Verdana" w:hAnsi="Verdana"/>
                <w:sz w:val="16"/>
                <w:szCs w:val="16"/>
              </w:rPr>
              <w:t>. Certificado (trazables) para benceno, tolueno, etilbenceno, Xilenos (orto, meta y para) y estireno.</w:t>
            </w:r>
          </w:p>
        </w:tc>
        <w:tc>
          <w:tcPr>
            <w:tcW w:w="4675" w:type="dxa"/>
          </w:tcPr>
          <w:p w14:paraId="5D9EC0A3" w14:textId="032F9F51"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Reference materials</w:t>
            </w:r>
            <w:r w:rsidR="003E1BA9" w:rsidRPr="00F01347">
              <w:rPr>
                <w:rFonts w:ascii="Verdana" w:hAnsi="Verdana"/>
                <w:b/>
                <w:sz w:val="16"/>
                <w:szCs w:val="16"/>
                <w:lang w:val="en-US"/>
              </w:rPr>
              <w:t>.</w:t>
            </w:r>
            <w:r w:rsidRPr="00F01347">
              <w:rPr>
                <w:rFonts w:ascii="Verdana" w:hAnsi="Verdana"/>
                <w:sz w:val="16"/>
                <w:szCs w:val="16"/>
                <w:lang w:val="en-US"/>
              </w:rPr>
              <w:t xml:space="preserve"> Certified (traceable) for benzene, toluene, ethylbenzene, Xylenes (ortho, meta and para) and styrene.</w:t>
            </w:r>
          </w:p>
        </w:tc>
      </w:tr>
      <w:tr w:rsidR="0058403A" w:rsidRPr="00F01347" w14:paraId="45C94806" w14:textId="6537E5D0" w:rsidTr="00F30304">
        <w:tc>
          <w:tcPr>
            <w:tcW w:w="4675" w:type="dxa"/>
          </w:tcPr>
          <w:p w14:paraId="3520C8EF" w14:textId="77777777" w:rsidR="0058403A" w:rsidRPr="00F01347" w:rsidRDefault="0058403A" w:rsidP="0058403A">
            <w:pPr>
              <w:pStyle w:val="texto0"/>
              <w:spacing w:line="228" w:lineRule="exact"/>
              <w:ind w:firstLine="0"/>
              <w:rPr>
                <w:rFonts w:ascii="Verdana" w:hAnsi="Verdana"/>
                <w:sz w:val="16"/>
                <w:szCs w:val="16"/>
              </w:rPr>
            </w:pPr>
            <w:r w:rsidRPr="00F01347">
              <w:rPr>
                <w:rFonts w:ascii="Verdana" w:hAnsi="Verdana"/>
                <w:b/>
                <w:sz w:val="16"/>
                <w:szCs w:val="16"/>
              </w:rPr>
              <w:t>Metanol CH</w:t>
            </w:r>
            <w:r w:rsidRPr="00F01347">
              <w:rPr>
                <w:rFonts w:ascii="Verdana" w:hAnsi="Verdana"/>
                <w:b/>
                <w:sz w:val="16"/>
                <w:szCs w:val="16"/>
                <w:vertAlign w:val="subscript"/>
              </w:rPr>
              <w:t>3</w:t>
            </w:r>
            <w:r w:rsidRPr="00F01347">
              <w:rPr>
                <w:rFonts w:ascii="Verdana" w:hAnsi="Verdana"/>
                <w:b/>
                <w:sz w:val="16"/>
                <w:szCs w:val="16"/>
              </w:rPr>
              <w:t>OH</w:t>
            </w:r>
            <w:r w:rsidRPr="00F01347">
              <w:rPr>
                <w:rFonts w:ascii="Verdana" w:hAnsi="Verdana"/>
                <w:sz w:val="16"/>
                <w:szCs w:val="16"/>
              </w:rPr>
              <w:t>. Libre de compuestos orgánicos</w:t>
            </w:r>
          </w:p>
        </w:tc>
        <w:tc>
          <w:tcPr>
            <w:tcW w:w="4675" w:type="dxa"/>
          </w:tcPr>
          <w:p w14:paraId="2C784889" w14:textId="30691BF8"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Methanol CH</w:t>
            </w:r>
            <w:r w:rsidRPr="00F01347">
              <w:rPr>
                <w:rFonts w:ascii="Verdana" w:hAnsi="Verdana"/>
                <w:b/>
                <w:sz w:val="16"/>
                <w:szCs w:val="16"/>
                <w:vertAlign w:val="subscript"/>
                <w:lang w:val="en-US"/>
              </w:rPr>
              <w:t xml:space="preserve">3 </w:t>
            </w:r>
            <w:r w:rsidRPr="00F01347">
              <w:rPr>
                <w:rFonts w:ascii="Verdana" w:hAnsi="Verdana"/>
                <w:b/>
                <w:sz w:val="16"/>
                <w:szCs w:val="16"/>
                <w:lang w:val="en-US"/>
              </w:rPr>
              <w:t>OH</w:t>
            </w:r>
            <w:r w:rsidR="003E1BA9" w:rsidRPr="00F01347">
              <w:rPr>
                <w:rFonts w:ascii="Verdana" w:hAnsi="Verdana"/>
                <w:b/>
                <w:sz w:val="16"/>
                <w:szCs w:val="16"/>
                <w:lang w:val="en-US"/>
              </w:rPr>
              <w:t>.</w:t>
            </w:r>
            <w:r w:rsidRPr="00F01347">
              <w:rPr>
                <w:rFonts w:ascii="Verdana" w:hAnsi="Verdana"/>
                <w:sz w:val="16"/>
                <w:szCs w:val="16"/>
                <w:lang w:val="en-US"/>
              </w:rPr>
              <w:t xml:space="preserve"> Free of organic compounds</w:t>
            </w:r>
          </w:p>
        </w:tc>
      </w:tr>
      <w:tr w:rsidR="0058403A" w:rsidRPr="00F01347" w14:paraId="16B539E1" w14:textId="680F94AE" w:rsidTr="00F30304">
        <w:tc>
          <w:tcPr>
            <w:tcW w:w="4675" w:type="dxa"/>
          </w:tcPr>
          <w:p w14:paraId="55DCE7CB" w14:textId="77777777" w:rsidR="0058403A" w:rsidRPr="00F01347" w:rsidRDefault="0058403A" w:rsidP="0058403A">
            <w:pPr>
              <w:pStyle w:val="texto0"/>
              <w:spacing w:line="228" w:lineRule="exact"/>
              <w:ind w:firstLine="0"/>
              <w:rPr>
                <w:rFonts w:ascii="Verdana" w:hAnsi="Verdana"/>
                <w:sz w:val="16"/>
                <w:szCs w:val="16"/>
              </w:rPr>
            </w:pPr>
            <w:r w:rsidRPr="00F01347">
              <w:rPr>
                <w:rFonts w:ascii="Verdana" w:hAnsi="Verdana"/>
                <w:b/>
                <w:sz w:val="16"/>
                <w:szCs w:val="16"/>
              </w:rPr>
              <w:t>Nitrógeno líquido</w:t>
            </w:r>
            <w:r w:rsidRPr="00F01347">
              <w:rPr>
                <w:rFonts w:ascii="Verdana" w:hAnsi="Verdana"/>
                <w:sz w:val="16"/>
                <w:szCs w:val="16"/>
              </w:rPr>
              <w:t xml:space="preserve"> (en caso necesario)</w:t>
            </w:r>
          </w:p>
        </w:tc>
        <w:tc>
          <w:tcPr>
            <w:tcW w:w="4675" w:type="dxa"/>
          </w:tcPr>
          <w:p w14:paraId="38C7C116" w14:textId="6FEE4D00"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 xml:space="preserve">Liquid nitrogen </w:t>
            </w:r>
            <w:r w:rsidRPr="00F01347">
              <w:rPr>
                <w:rFonts w:ascii="Verdana" w:hAnsi="Verdana"/>
                <w:sz w:val="16"/>
                <w:szCs w:val="16"/>
                <w:lang w:val="en-US"/>
              </w:rPr>
              <w:t>(if necessary)</w:t>
            </w:r>
          </w:p>
        </w:tc>
      </w:tr>
      <w:tr w:rsidR="0058403A" w:rsidRPr="00F01347" w14:paraId="06FBBB18" w14:textId="3FE7E43F" w:rsidTr="00F30304">
        <w:tc>
          <w:tcPr>
            <w:tcW w:w="4675" w:type="dxa"/>
          </w:tcPr>
          <w:p w14:paraId="417A2C21" w14:textId="77777777" w:rsidR="0058403A" w:rsidRPr="00F01347" w:rsidRDefault="0058403A" w:rsidP="0058403A">
            <w:pPr>
              <w:pStyle w:val="texto0"/>
              <w:spacing w:line="228" w:lineRule="exact"/>
              <w:ind w:firstLine="0"/>
              <w:rPr>
                <w:rFonts w:ascii="Verdana" w:hAnsi="Verdana"/>
                <w:sz w:val="16"/>
                <w:szCs w:val="16"/>
              </w:rPr>
            </w:pPr>
            <w:r w:rsidRPr="00F01347">
              <w:rPr>
                <w:rFonts w:ascii="Verdana" w:hAnsi="Verdana"/>
                <w:b/>
                <w:sz w:val="16"/>
                <w:szCs w:val="16"/>
              </w:rPr>
              <w:t xml:space="preserve">Polímero 2,6-difenilo óxido. </w:t>
            </w:r>
            <w:r w:rsidRPr="00F01347">
              <w:rPr>
                <w:rFonts w:ascii="Verdana" w:hAnsi="Verdana"/>
                <w:sz w:val="16"/>
                <w:szCs w:val="16"/>
              </w:rPr>
              <w:t>De malla 60/80, grado cromatográfico (Material del empaque de la trampa).</w:t>
            </w:r>
          </w:p>
        </w:tc>
        <w:tc>
          <w:tcPr>
            <w:tcW w:w="4675" w:type="dxa"/>
          </w:tcPr>
          <w:p w14:paraId="3E2C1E47" w14:textId="240CFA7B"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 xml:space="preserve">2,6-Diphenyl oxide polymer. </w:t>
            </w:r>
            <w:r w:rsidRPr="00F01347">
              <w:rPr>
                <w:rFonts w:ascii="Verdana" w:hAnsi="Verdana"/>
                <w:sz w:val="16"/>
                <w:szCs w:val="16"/>
                <w:lang w:val="en-US"/>
              </w:rPr>
              <w:t>60/80 mesh, chromatographic grade (Trap Packing Material).</w:t>
            </w:r>
          </w:p>
        </w:tc>
      </w:tr>
      <w:tr w:rsidR="0058403A" w:rsidRPr="00F01347" w14:paraId="3475A4EA" w14:textId="7C8F4403" w:rsidTr="00F30304">
        <w:tc>
          <w:tcPr>
            <w:tcW w:w="4675" w:type="dxa"/>
          </w:tcPr>
          <w:p w14:paraId="024537AD" w14:textId="77777777" w:rsidR="0058403A" w:rsidRPr="00F01347" w:rsidRDefault="0058403A" w:rsidP="0058403A">
            <w:pPr>
              <w:pStyle w:val="texto0"/>
              <w:spacing w:line="228" w:lineRule="exact"/>
              <w:ind w:firstLine="0"/>
              <w:rPr>
                <w:rFonts w:ascii="Verdana" w:hAnsi="Verdana"/>
                <w:sz w:val="16"/>
                <w:szCs w:val="16"/>
              </w:rPr>
            </w:pPr>
            <w:proofErr w:type="spellStart"/>
            <w:r w:rsidRPr="00F01347">
              <w:rPr>
                <w:rFonts w:ascii="Verdana" w:hAnsi="Verdana"/>
                <w:b/>
                <w:sz w:val="16"/>
                <w:szCs w:val="16"/>
              </w:rPr>
              <w:t>Sílica</w:t>
            </w:r>
            <w:proofErr w:type="spellEnd"/>
            <w:r w:rsidRPr="00F01347">
              <w:rPr>
                <w:rFonts w:ascii="Verdana" w:hAnsi="Verdana"/>
                <w:b/>
                <w:sz w:val="16"/>
                <w:szCs w:val="16"/>
              </w:rPr>
              <w:t xml:space="preserve"> gel</w:t>
            </w:r>
            <w:r w:rsidRPr="00F01347">
              <w:rPr>
                <w:rFonts w:ascii="Verdana" w:hAnsi="Verdana"/>
                <w:sz w:val="16"/>
                <w:szCs w:val="16"/>
              </w:rPr>
              <w:t>. De malla 35/60, grado 15 o equivalente (Material del empaque de la trampa).</w:t>
            </w:r>
          </w:p>
        </w:tc>
        <w:tc>
          <w:tcPr>
            <w:tcW w:w="4675" w:type="dxa"/>
          </w:tcPr>
          <w:p w14:paraId="1F312E56" w14:textId="7B41E703"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Silica gel</w:t>
            </w:r>
            <w:r w:rsidR="003E1BA9" w:rsidRPr="00F01347">
              <w:rPr>
                <w:rFonts w:ascii="Verdana" w:hAnsi="Verdana"/>
                <w:b/>
                <w:sz w:val="16"/>
                <w:szCs w:val="16"/>
                <w:lang w:val="en-US"/>
              </w:rPr>
              <w:t>.</w:t>
            </w:r>
            <w:r w:rsidRPr="00F01347">
              <w:rPr>
                <w:rFonts w:ascii="Verdana" w:hAnsi="Verdana"/>
                <w:sz w:val="16"/>
                <w:szCs w:val="16"/>
                <w:lang w:val="en-US"/>
              </w:rPr>
              <w:t xml:space="preserve"> 35/60 mesh, grade 15 or equivalent (Trap Gasket Material).</w:t>
            </w:r>
          </w:p>
        </w:tc>
      </w:tr>
      <w:tr w:rsidR="0058403A" w:rsidRPr="00F01347" w14:paraId="7EF9D10C" w14:textId="63F27504" w:rsidTr="00F30304">
        <w:tc>
          <w:tcPr>
            <w:tcW w:w="4675" w:type="dxa"/>
          </w:tcPr>
          <w:p w14:paraId="20448046" w14:textId="77777777" w:rsidR="0058403A" w:rsidRPr="00F01347" w:rsidRDefault="0058403A" w:rsidP="0058403A">
            <w:pPr>
              <w:pStyle w:val="texto0"/>
              <w:spacing w:line="228" w:lineRule="exact"/>
              <w:ind w:firstLine="0"/>
              <w:rPr>
                <w:rFonts w:ascii="Verdana" w:hAnsi="Verdana"/>
                <w:sz w:val="16"/>
                <w:szCs w:val="16"/>
              </w:rPr>
            </w:pPr>
            <w:r w:rsidRPr="00F01347">
              <w:rPr>
                <w:rFonts w:ascii="Verdana" w:hAnsi="Verdana"/>
                <w:b/>
                <w:sz w:val="16"/>
                <w:szCs w:val="16"/>
              </w:rPr>
              <w:t>Tolueno</w:t>
            </w:r>
            <w:r w:rsidRPr="00F01347">
              <w:rPr>
                <w:rFonts w:ascii="Verdana" w:hAnsi="Verdana"/>
                <w:sz w:val="16"/>
                <w:szCs w:val="16"/>
              </w:rPr>
              <w:t xml:space="preserve"> – d</w:t>
            </w:r>
            <w:r w:rsidRPr="00F01347">
              <w:rPr>
                <w:rFonts w:ascii="Verdana" w:hAnsi="Verdana"/>
                <w:sz w:val="16"/>
                <w:szCs w:val="16"/>
                <w:vertAlign w:val="subscript"/>
              </w:rPr>
              <w:t>8</w:t>
            </w:r>
            <w:r w:rsidRPr="00F01347">
              <w:rPr>
                <w:rFonts w:ascii="Verdana" w:hAnsi="Verdana"/>
                <w:sz w:val="16"/>
                <w:szCs w:val="16"/>
              </w:rPr>
              <w:t xml:space="preserve"> (Estándar </w:t>
            </w:r>
            <w:proofErr w:type="spellStart"/>
            <w:r w:rsidRPr="00F01347">
              <w:rPr>
                <w:rFonts w:ascii="Verdana" w:hAnsi="Verdana"/>
                <w:sz w:val="16"/>
                <w:szCs w:val="16"/>
              </w:rPr>
              <w:t>surrogado</w:t>
            </w:r>
            <w:proofErr w:type="spellEnd"/>
            <w:r w:rsidRPr="00F01347">
              <w:rPr>
                <w:rFonts w:ascii="Verdana" w:hAnsi="Verdana"/>
                <w:sz w:val="16"/>
                <w:szCs w:val="16"/>
              </w:rPr>
              <w:t>)</w:t>
            </w:r>
          </w:p>
        </w:tc>
        <w:tc>
          <w:tcPr>
            <w:tcW w:w="4675" w:type="dxa"/>
          </w:tcPr>
          <w:p w14:paraId="677FF4D1" w14:textId="4B62D508"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 xml:space="preserve">Toluene </w:t>
            </w:r>
            <w:r w:rsidRPr="00F01347">
              <w:rPr>
                <w:rFonts w:ascii="Verdana" w:hAnsi="Verdana"/>
                <w:sz w:val="16"/>
                <w:szCs w:val="16"/>
                <w:lang w:val="en-US"/>
              </w:rPr>
              <w:t>– d</w:t>
            </w:r>
            <w:r w:rsidRPr="00F01347">
              <w:rPr>
                <w:rFonts w:ascii="Verdana" w:hAnsi="Verdana"/>
                <w:sz w:val="16"/>
                <w:szCs w:val="16"/>
                <w:vertAlign w:val="subscript"/>
                <w:lang w:val="en-US"/>
              </w:rPr>
              <w:t xml:space="preserve">8 </w:t>
            </w:r>
            <w:r w:rsidR="00CB209C" w:rsidRPr="00F01347">
              <w:rPr>
                <w:rFonts w:ascii="Verdana" w:hAnsi="Verdana"/>
                <w:sz w:val="16"/>
                <w:szCs w:val="16"/>
                <w:vertAlign w:val="subscript"/>
                <w:lang w:val="en-US"/>
              </w:rPr>
              <w:t>(</w:t>
            </w:r>
            <w:r w:rsidRPr="00F01347">
              <w:rPr>
                <w:rFonts w:ascii="Verdana" w:hAnsi="Verdana"/>
                <w:sz w:val="16"/>
                <w:szCs w:val="16"/>
                <w:lang w:val="en-US"/>
              </w:rPr>
              <w:t>Surrogated Standard</w:t>
            </w:r>
            <w:r w:rsidR="00913802" w:rsidRPr="00F01347">
              <w:rPr>
                <w:rFonts w:ascii="Verdana" w:hAnsi="Verdana"/>
                <w:sz w:val="16"/>
                <w:szCs w:val="16"/>
                <w:lang w:val="en-US"/>
              </w:rPr>
              <w:t>)</w:t>
            </w:r>
          </w:p>
        </w:tc>
      </w:tr>
      <w:tr w:rsidR="0058403A" w:rsidRPr="00F01347" w14:paraId="30932E33" w14:textId="476ECA7C" w:rsidTr="00F30304">
        <w:tc>
          <w:tcPr>
            <w:tcW w:w="4675" w:type="dxa"/>
          </w:tcPr>
          <w:p w14:paraId="50D5AE79" w14:textId="77777777" w:rsidR="0058403A" w:rsidRPr="00F01347" w:rsidRDefault="0058403A" w:rsidP="0058403A">
            <w:pPr>
              <w:pStyle w:val="texto0"/>
              <w:spacing w:line="228" w:lineRule="exact"/>
              <w:ind w:firstLine="0"/>
              <w:rPr>
                <w:rFonts w:ascii="Verdana" w:hAnsi="Verdana"/>
                <w:sz w:val="16"/>
                <w:szCs w:val="16"/>
              </w:rPr>
            </w:pPr>
            <w:r w:rsidRPr="00F01347">
              <w:rPr>
                <w:rFonts w:ascii="Verdana" w:hAnsi="Verdana"/>
                <w:b/>
                <w:sz w:val="16"/>
                <w:szCs w:val="16"/>
              </w:rPr>
              <w:t xml:space="preserve">1,4 </w:t>
            </w:r>
            <w:proofErr w:type="spellStart"/>
            <w:r w:rsidRPr="00F01347">
              <w:rPr>
                <w:rFonts w:ascii="Verdana" w:hAnsi="Verdana"/>
                <w:b/>
                <w:sz w:val="16"/>
                <w:szCs w:val="16"/>
              </w:rPr>
              <w:t>difluorobenceno</w:t>
            </w:r>
            <w:proofErr w:type="spellEnd"/>
            <w:r w:rsidRPr="00F01347">
              <w:rPr>
                <w:rFonts w:ascii="Verdana" w:hAnsi="Verdana"/>
                <w:sz w:val="16"/>
                <w:szCs w:val="16"/>
              </w:rPr>
              <w:t xml:space="preserve"> – d</w:t>
            </w:r>
            <w:r w:rsidRPr="00F01347">
              <w:rPr>
                <w:rFonts w:ascii="Verdana" w:hAnsi="Verdana"/>
                <w:sz w:val="16"/>
                <w:szCs w:val="16"/>
                <w:vertAlign w:val="subscript"/>
              </w:rPr>
              <w:t>4</w:t>
            </w:r>
            <w:r w:rsidRPr="00F01347">
              <w:rPr>
                <w:rFonts w:ascii="Verdana" w:hAnsi="Verdana"/>
                <w:sz w:val="16"/>
                <w:szCs w:val="16"/>
              </w:rPr>
              <w:t xml:space="preserve"> (Estándar interno)</w:t>
            </w:r>
          </w:p>
        </w:tc>
        <w:tc>
          <w:tcPr>
            <w:tcW w:w="4675" w:type="dxa"/>
          </w:tcPr>
          <w:p w14:paraId="005AD084" w14:textId="299368E0"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 xml:space="preserve">1,4 </w:t>
            </w:r>
            <w:proofErr w:type="spellStart"/>
            <w:r w:rsidRPr="00F01347">
              <w:rPr>
                <w:rFonts w:ascii="Verdana" w:hAnsi="Verdana"/>
                <w:b/>
                <w:sz w:val="16"/>
                <w:szCs w:val="16"/>
                <w:lang w:val="en-US"/>
              </w:rPr>
              <w:t>difluorobenzene</w:t>
            </w:r>
            <w:proofErr w:type="spellEnd"/>
            <w:r w:rsidRPr="00F01347">
              <w:rPr>
                <w:rFonts w:ascii="Verdana" w:hAnsi="Verdana"/>
                <w:b/>
                <w:sz w:val="16"/>
                <w:szCs w:val="16"/>
                <w:lang w:val="en-US"/>
              </w:rPr>
              <w:t xml:space="preserve"> </w:t>
            </w:r>
            <w:r w:rsidRPr="00F01347">
              <w:rPr>
                <w:rFonts w:ascii="Verdana" w:hAnsi="Verdana"/>
                <w:sz w:val="16"/>
                <w:szCs w:val="16"/>
                <w:lang w:val="en-US"/>
              </w:rPr>
              <w:t>– d</w:t>
            </w:r>
            <w:r w:rsidRPr="00F01347">
              <w:rPr>
                <w:rFonts w:ascii="Verdana" w:hAnsi="Verdana"/>
                <w:sz w:val="16"/>
                <w:szCs w:val="16"/>
                <w:vertAlign w:val="subscript"/>
                <w:lang w:val="en-US"/>
              </w:rPr>
              <w:t xml:space="preserve">4 </w:t>
            </w:r>
            <w:r w:rsidRPr="00F01347">
              <w:rPr>
                <w:rFonts w:ascii="Verdana" w:hAnsi="Verdana"/>
                <w:sz w:val="16"/>
                <w:szCs w:val="16"/>
                <w:lang w:val="en-US"/>
              </w:rPr>
              <w:t>(Internal standard)</w:t>
            </w:r>
          </w:p>
        </w:tc>
      </w:tr>
      <w:tr w:rsidR="0058403A" w:rsidRPr="00F01347" w14:paraId="1B2A674C" w14:textId="09C02569" w:rsidTr="00F30304">
        <w:tc>
          <w:tcPr>
            <w:tcW w:w="4675" w:type="dxa"/>
          </w:tcPr>
          <w:p w14:paraId="196036FE" w14:textId="77777777" w:rsidR="0058403A" w:rsidRPr="00F01347" w:rsidRDefault="0058403A" w:rsidP="0058403A">
            <w:pPr>
              <w:pStyle w:val="texto0"/>
              <w:spacing w:line="228" w:lineRule="exact"/>
              <w:ind w:firstLine="0"/>
              <w:rPr>
                <w:rFonts w:ascii="Verdana" w:hAnsi="Verdana"/>
                <w:sz w:val="16"/>
                <w:szCs w:val="16"/>
              </w:rPr>
            </w:pPr>
            <w:r w:rsidRPr="00F01347">
              <w:rPr>
                <w:rFonts w:ascii="Verdana" w:hAnsi="Verdana"/>
                <w:b/>
                <w:sz w:val="16"/>
                <w:szCs w:val="16"/>
              </w:rPr>
              <w:t>4-bromofluorobenceno</w:t>
            </w:r>
            <w:r w:rsidRPr="00F01347">
              <w:rPr>
                <w:rFonts w:ascii="Verdana" w:hAnsi="Verdana"/>
                <w:sz w:val="16"/>
                <w:szCs w:val="16"/>
              </w:rPr>
              <w:t xml:space="preserve"> (Estándar </w:t>
            </w:r>
            <w:proofErr w:type="spellStart"/>
            <w:r w:rsidRPr="00F01347">
              <w:rPr>
                <w:rFonts w:ascii="Verdana" w:hAnsi="Verdana"/>
                <w:sz w:val="16"/>
                <w:szCs w:val="16"/>
              </w:rPr>
              <w:t>surrogado</w:t>
            </w:r>
            <w:proofErr w:type="spellEnd"/>
            <w:r w:rsidRPr="00F01347">
              <w:rPr>
                <w:rFonts w:ascii="Verdana" w:hAnsi="Verdana"/>
                <w:sz w:val="16"/>
                <w:szCs w:val="16"/>
              </w:rPr>
              <w:t>)</w:t>
            </w:r>
          </w:p>
        </w:tc>
        <w:tc>
          <w:tcPr>
            <w:tcW w:w="4675" w:type="dxa"/>
          </w:tcPr>
          <w:p w14:paraId="2B67DF59" w14:textId="26A5DE2D"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 xml:space="preserve">4-bromofluorobenzene </w:t>
            </w:r>
            <w:r w:rsidR="00CB209C" w:rsidRPr="00F01347">
              <w:rPr>
                <w:rFonts w:ascii="Verdana" w:hAnsi="Verdana"/>
                <w:sz w:val="16"/>
                <w:szCs w:val="16"/>
                <w:lang w:val="en-US"/>
              </w:rPr>
              <w:t>(</w:t>
            </w:r>
            <w:r w:rsidRPr="00F01347">
              <w:rPr>
                <w:rFonts w:ascii="Verdana" w:hAnsi="Verdana"/>
                <w:sz w:val="16"/>
                <w:szCs w:val="16"/>
                <w:lang w:val="en-US"/>
              </w:rPr>
              <w:t>Surrogated Standard</w:t>
            </w:r>
            <w:r w:rsidR="00913802" w:rsidRPr="00F01347">
              <w:rPr>
                <w:rFonts w:ascii="Verdana" w:hAnsi="Verdana"/>
                <w:sz w:val="16"/>
                <w:szCs w:val="16"/>
                <w:lang w:val="en-US"/>
              </w:rPr>
              <w:t>)</w:t>
            </w:r>
          </w:p>
        </w:tc>
      </w:tr>
      <w:tr w:rsidR="0058403A" w:rsidRPr="00F01347" w14:paraId="02E0A889" w14:textId="35AC8342" w:rsidTr="00F30304">
        <w:tc>
          <w:tcPr>
            <w:tcW w:w="4675" w:type="dxa"/>
          </w:tcPr>
          <w:p w14:paraId="44C98ADA" w14:textId="77777777" w:rsidR="0058403A" w:rsidRPr="00F01347" w:rsidRDefault="0058403A" w:rsidP="0058403A">
            <w:pPr>
              <w:pStyle w:val="texto0"/>
              <w:spacing w:line="228" w:lineRule="exact"/>
              <w:ind w:firstLine="0"/>
              <w:rPr>
                <w:rFonts w:ascii="Verdana" w:hAnsi="Verdana"/>
                <w:sz w:val="16"/>
                <w:szCs w:val="16"/>
              </w:rPr>
            </w:pPr>
            <w:r w:rsidRPr="00F01347">
              <w:rPr>
                <w:rFonts w:ascii="Verdana" w:hAnsi="Verdana"/>
                <w:b/>
                <w:sz w:val="16"/>
                <w:szCs w:val="16"/>
              </w:rPr>
              <w:t>1,2-dichloroethane-d</w:t>
            </w:r>
            <w:r w:rsidRPr="00F01347">
              <w:rPr>
                <w:rFonts w:ascii="Verdana" w:hAnsi="Verdana"/>
                <w:b/>
                <w:sz w:val="16"/>
                <w:szCs w:val="16"/>
                <w:vertAlign w:val="subscript"/>
              </w:rPr>
              <w:t>4</w:t>
            </w:r>
            <w:r w:rsidRPr="00F01347">
              <w:rPr>
                <w:rFonts w:ascii="Verdana" w:hAnsi="Verdana"/>
                <w:sz w:val="16"/>
                <w:szCs w:val="16"/>
              </w:rPr>
              <w:t xml:space="preserve"> (Estándar </w:t>
            </w:r>
            <w:proofErr w:type="spellStart"/>
            <w:r w:rsidRPr="00F01347">
              <w:rPr>
                <w:rFonts w:ascii="Verdana" w:hAnsi="Verdana"/>
                <w:sz w:val="16"/>
                <w:szCs w:val="16"/>
              </w:rPr>
              <w:t>surrogado</w:t>
            </w:r>
            <w:proofErr w:type="spellEnd"/>
            <w:r w:rsidRPr="00F01347">
              <w:rPr>
                <w:rFonts w:ascii="Verdana" w:hAnsi="Verdana"/>
                <w:sz w:val="16"/>
                <w:szCs w:val="16"/>
              </w:rPr>
              <w:t>).</w:t>
            </w:r>
          </w:p>
        </w:tc>
        <w:tc>
          <w:tcPr>
            <w:tcW w:w="4675" w:type="dxa"/>
          </w:tcPr>
          <w:p w14:paraId="36345C4F" w14:textId="4437BEE9"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 xml:space="preserve">1,2-dichloroethane-d </w:t>
            </w:r>
            <w:r w:rsidRPr="00F01347">
              <w:rPr>
                <w:rFonts w:ascii="Verdana" w:hAnsi="Verdana"/>
                <w:b/>
                <w:sz w:val="16"/>
                <w:szCs w:val="16"/>
                <w:vertAlign w:val="subscript"/>
                <w:lang w:val="en-US"/>
              </w:rPr>
              <w:t xml:space="preserve">4 </w:t>
            </w:r>
            <w:r w:rsidR="00CB209C" w:rsidRPr="00F01347">
              <w:rPr>
                <w:rFonts w:ascii="Verdana" w:hAnsi="Verdana"/>
                <w:sz w:val="16"/>
                <w:szCs w:val="16"/>
                <w:lang w:val="en-US"/>
              </w:rPr>
              <w:t>(</w:t>
            </w:r>
            <w:r w:rsidRPr="00F01347">
              <w:rPr>
                <w:rFonts w:ascii="Verdana" w:hAnsi="Verdana"/>
                <w:sz w:val="16"/>
                <w:szCs w:val="16"/>
                <w:lang w:val="en-US"/>
              </w:rPr>
              <w:t>Surrogated Standard</w:t>
            </w:r>
            <w:r w:rsidR="00913802" w:rsidRPr="00F01347">
              <w:rPr>
                <w:rFonts w:ascii="Verdana" w:hAnsi="Verdana"/>
                <w:sz w:val="16"/>
                <w:szCs w:val="16"/>
                <w:lang w:val="en-US"/>
              </w:rPr>
              <w:t>)</w:t>
            </w:r>
            <w:r w:rsidRPr="00F01347">
              <w:rPr>
                <w:rFonts w:ascii="Verdana" w:hAnsi="Verdana"/>
                <w:sz w:val="16"/>
                <w:szCs w:val="16"/>
                <w:lang w:val="en-US"/>
              </w:rPr>
              <w:t>.</w:t>
            </w:r>
          </w:p>
        </w:tc>
      </w:tr>
      <w:tr w:rsidR="0058403A" w:rsidRPr="00F01347" w14:paraId="5DC09DC1" w14:textId="45887FF5" w:rsidTr="00F30304">
        <w:tc>
          <w:tcPr>
            <w:tcW w:w="4675" w:type="dxa"/>
          </w:tcPr>
          <w:p w14:paraId="7FAE535A" w14:textId="77777777" w:rsidR="0058403A" w:rsidRPr="00F01347" w:rsidRDefault="0058403A" w:rsidP="0058403A">
            <w:pPr>
              <w:pStyle w:val="texto0"/>
              <w:spacing w:line="228" w:lineRule="exact"/>
              <w:ind w:firstLine="0"/>
              <w:rPr>
                <w:rFonts w:ascii="Verdana" w:hAnsi="Verdana"/>
                <w:sz w:val="16"/>
                <w:szCs w:val="16"/>
              </w:rPr>
            </w:pPr>
            <w:r w:rsidRPr="00F01347">
              <w:rPr>
                <w:rFonts w:ascii="Verdana" w:hAnsi="Verdana"/>
                <w:b/>
                <w:sz w:val="16"/>
                <w:szCs w:val="16"/>
              </w:rPr>
              <w:t xml:space="preserve">Otros compuestos pueden ser usados como </w:t>
            </w:r>
            <w:proofErr w:type="spellStart"/>
            <w:r w:rsidRPr="00F01347">
              <w:rPr>
                <w:rFonts w:ascii="Verdana" w:hAnsi="Verdana"/>
                <w:b/>
                <w:sz w:val="16"/>
                <w:szCs w:val="16"/>
              </w:rPr>
              <w:t>surrogados</w:t>
            </w:r>
            <w:proofErr w:type="spellEnd"/>
            <w:r w:rsidRPr="00F01347">
              <w:rPr>
                <w:rFonts w:ascii="Verdana" w:hAnsi="Verdana"/>
                <w:b/>
                <w:sz w:val="16"/>
                <w:szCs w:val="16"/>
              </w:rPr>
              <w:t>, mientras se demuestre su desempeño</w:t>
            </w:r>
            <w:r w:rsidRPr="00F01347">
              <w:rPr>
                <w:rFonts w:ascii="Verdana" w:hAnsi="Verdana"/>
                <w:sz w:val="16"/>
                <w:szCs w:val="16"/>
              </w:rPr>
              <w:t>.</w:t>
            </w:r>
          </w:p>
        </w:tc>
        <w:tc>
          <w:tcPr>
            <w:tcW w:w="4675" w:type="dxa"/>
          </w:tcPr>
          <w:p w14:paraId="20A1C53B" w14:textId="3295F4C1"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Other compounds can be used as surrogates</w:t>
            </w:r>
            <w:r w:rsidR="003E1BA9" w:rsidRPr="00F01347">
              <w:rPr>
                <w:rFonts w:ascii="Verdana" w:hAnsi="Verdana"/>
                <w:b/>
                <w:sz w:val="16"/>
                <w:szCs w:val="16"/>
                <w:lang w:val="en-US"/>
              </w:rPr>
              <w:t>,</w:t>
            </w:r>
            <w:r w:rsidRPr="00F01347">
              <w:rPr>
                <w:rFonts w:ascii="Verdana" w:hAnsi="Verdana"/>
                <w:b/>
                <w:sz w:val="16"/>
                <w:szCs w:val="16"/>
                <w:lang w:val="en-US"/>
              </w:rPr>
              <w:t xml:space="preserve"> </w:t>
            </w:r>
            <w:proofErr w:type="gramStart"/>
            <w:r w:rsidRPr="00F01347">
              <w:rPr>
                <w:rFonts w:ascii="Verdana" w:hAnsi="Verdana"/>
                <w:b/>
                <w:sz w:val="16"/>
                <w:szCs w:val="16"/>
                <w:lang w:val="en-US"/>
              </w:rPr>
              <w:t>as long as</w:t>
            </w:r>
            <w:proofErr w:type="gramEnd"/>
            <w:r w:rsidRPr="00F01347">
              <w:rPr>
                <w:rFonts w:ascii="Verdana" w:hAnsi="Verdana"/>
                <w:b/>
                <w:sz w:val="16"/>
                <w:szCs w:val="16"/>
                <w:lang w:val="en-US"/>
              </w:rPr>
              <w:t xml:space="preserve"> their performance is demonstrated</w:t>
            </w:r>
            <w:r w:rsidR="003E1BA9" w:rsidRPr="00F01347">
              <w:rPr>
                <w:rFonts w:ascii="Verdana" w:hAnsi="Verdana"/>
                <w:b/>
                <w:sz w:val="16"/>
                <w:szCs w:val="16"/>
                <w:lang w:val="en-US"/>
              </w:rPr>
              <w:t>.</w:t>
            </w:r>
          </w:p>
        </w:tc>
      </w:tr>
      <w:tr w:rsidR="0058403A" w:rsidRPr="00F01347" w14:paraId="229497B9" w14:textId="26072DF0" w:rsidTr="00F30304">
        <w:tc>
          <w:tcPr>
            <w:tcW w:w="4675" w:type="dxa"/>
          </w:tcPr>
          <w:p w14:paraId="4170E1D6" w14:textId="77777777" w:rsidR="0058403A" w:rsidRPr="00F01347" w:rsidRDefault="0058403A" w:rsidP="0058403A">
            <w:pPr>
              <w:pStyle w:val="texto0"/>
              <w:spacing w:line="228" w:lineRule="exact"/>
              <w:ind w:firstLine="0"/>
              <w:rPr>
                <w:rFonts w:ascii="Verdana" w:hAnsi="Verdana"/>
                <w:b/>
                <w:sz w:val="16"/>
                <w:szCs w:val="16"/>
              </w:rPr>
            </w:pPr>
            <w:r w:rsidRPr="00F01347">
              <w:rPr>
                <w:rFonts w:ascii="Verdana" w:hAnsi="Verdana"/>
                <w:b/>
                <w:sz w:val="16"/>
                <w:szCs w:val="16"/>
              </w:rPr>
              <w:t>B.3.6 Procedimiento</w:t>
            </w:r>
          </w:p>
        </w:tc>
        <w:tc>
          <w:tcPr>
            <w:tcW w:w="4675" w:type="dxa"/>
          </w:tcPr>
          <w:p w14:paraId="7C7A1784" w14:textId="47BA0E5A"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B.3.6 Procedure</w:t>
            </w:r>
          </w:p>
        </w:tc>
      </w:tr>
      <w:tr w:rsidR="0058403A" w:rsidRPr="00F01347" w14:paraId="014AD978" w14:textId="7E8C0398" w:rsidTr="00F30304">
        <w:tc>
          <w:tcPr>
            <w:tcW w:w="4675" w:type="dxa"/>
          </w:tcPr>
          <w:p w14:paraId="398D6AE6" w14:textId="77777777" w:rsidR="0058403A" w:rsidRPr="00F01347" w:rsidRDefault="0058403A" w:rsidP="0058403A">
            <w:pPr>
              <w:pStyle w:val="texto0"/>
              <w:spacing w:line="228" w:lineRule="exact"/>
              <w:ind w:firstLine="0"/>
              <w:rPr>
                <w:rFonts w:ascii="Verdana" w:hAnsi="Verdana"/>
                <w:b/>
                <w:sz w:val="16"/>
                <w:szCs w:val="16"/>
              </w:rPr>
            </w:pPr>
            <w:r w:rsidRPr="00F01347">
              <w:rPr>
                <w:rFonts w:ascii="Verdana" w:hAnsi="Verdana"/>
                <w:b/>
                <w:sz w:val="16"/>
                <w:szCs w:val="16"/>
              </w:rPr>
              <w:t>B.3.6.1 Preparación de diluciones estándar</w:t>
            </w:r>
          </w:p>
        </w:tc>
        <w:tc>
          <w:tcPr>
            <w:tcW w:w="4675" w:type="dxa"/>
          </w:tcPr>
          <w:p w14:paraId="5C72ED08" w14:textId="47C57E38"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B.3.6.1 Preparation of standard dilutions</w:t>
            </w:r>
          </w:p>
        </w:tc>
      </w:tr>
      <w:tr w:rsidR="0058403A" w:rsidRPr="00F01347" w14:paraId="2D489952" w14:textId="24E1DF08" w:rsidTr="00F30304">
        <w:tc>
          <w:tcPr>
            <w:tcW w:w="4675" w:type="dxa"/>
          </w:tcPr>
          <w:p w14:paraId="2F8570E4" w14:textId="77777777" w:rsidR="0058403A" w:rsidRPr="00F01347" w:rsidRDefault="0058403A" w:rsidP="0058403A">
            <w:pPr>
              <w:pStyle w:val="texto0"/>
              <w:spacing w:line="228" w:lineRule="exact"/>
              <w:ind w:firstLine="0"/>
              <w:rPr>
                <w:rFonts w:ascii="Verdana" w:hAnsi="Verdana"/>
                <w:sz w:val="16"/>
                <w:szCs w:val="16"/>
              </w:rPr>
            </w:pPr>
            <w:r w:rsidRPr="00F01347">
              <w:rPr>
                <w:rFonts w:ascii="Verdana" w:hAnsi="Verdana"/>
                <w:b/>
                <w:sz w:val="16"/>
                <w:szCs w:val="16"/>
              </w:rPr>
              <w:t xml:space="preserve">B.3.6.1.1 </w:t>
            </w:r>
            <w:r w:rsidRPr="00F01347">
              <w:rPr>
                <w:rFonts w:ascii="Verdana" w:hAnsi="Verdana"/>
                <w:sz w:val="16"/>
                <w:szCs w:val="16"/>
              </w:rPr>
              <w:t xml:space="preserve">Para preparar las disoluciones estándar concentradas de benceno, tolueno, etilbenceno, xilenos (orto, meta y para) y estireno, se debe preparar a partir de materiales estándar puros o de disoluciones certificadas. Preparar las disoluciones estándar en metanol. Colocar aproximadamente 9.8 </w:t>
            </w:r>
            <w:proofErr w:type="spellStart"/>
            <w:r w:rsidRPr="00F01347">
              <w:rPr>
                <w:rFonts w:ascii="Verdana" w:hAnsi="Verdana"/>
                <w:sz w:val="16"/>
                <w:szCs w:val="16"/>
              </w:rPr>
              <w:t>mL</w:t>
            </w:r>
            <w:proofErr w:type="spellEnd"/>
            <w:r w:rsidRPr="00F01347">
              <w:rPr>
                <w:rFonts w:ascii="Verdana" w:hAnsi="Verdana"/>
                <w:sz w:val="16"/>
                <w:szCs w:val="16"/>
              </w:rPr>
              <w:t xml:space="preserve"> de metanol en un matraz volumétrico de 10 </w:t>
            </w:r>
            <w:proofErr w:type="spellStart"/>
            <w:r w:rsidRPr="00F01347">
              <w:rPr>
                <w:rFonts w:ascii="Verdana" w:hAnsi="Verdana"/>
                <w:sz w:val="16"/>
                <w:szCs w:val="16"/>
              </w:rPr>
              <w:t>mL</w:t>
            </w:r>
            <w:proofErr w:type="spellEnd"/>
            <w:r w:rsidRPr="00F01347">
              <w:rPr>
                <w:rFonts w:ascii="Verdana" w:hAnsi="Verdana"/>
                <w:sz w:val="16"/>
                <w:szCs w:val="16"/>
              </w:rPr>
              <w:t xml:space="preserve"> que ha sido tarado incluyendo el tapón. Dejar reposar el matraz sin tapar, durante unos 10 minutos o hasta que </w:t>
            </w:r>
            <w:proofErr w:type="gramStart"/>
            <w:r w:rsidRPr="00F01347">
              <w:rPr>
                <w:rFonts w:ascii="Verdana" w:hAnsi="Verdana"/>
                <w:sz w:val="16"/>
                <w:szCs w:val="16"/>
              </w:rPr>
              <w:t>todos las superficies humedecidas</w:t>
            </w:r>
            <w:proofErr w:type="gramEnd"/>
            <w:r w:rsidRPr="00F01347">
              <w:rPr>
                <w:rFonts w:ascii="Verdana" w:hAnsi="Verdana"/>
                <w:sz w:val="16"/>
                <w:szCs w:val="16"/>
              </w:rPr>
              <w:t xml:space="preserve"> con alcohol se hayan secado. Pesar el matraz con una precisión de 0.1 mg.</w:t>
            </w:r>
          </w:p>
        </w:tc>
        <w:tc>
          <w:tcPr>
            <w:tcW w:w="4675" w:type="dxa"/>
          </w:tcPr>
          <w:p w14:paraId="0836063C" w14:textId="7E87F6EB" w:rsidR="0058403A" w:rsidRPr="00F01347" w:rsidRDefault="0058403A" w:rsidP="0058403A">
            <w:pPr>
              <w:pStyle w:val="texto0"/>
              <w:spacing w:line="228" w:lineRule="exact"/>
              <w:ind w:firstLine="0"/>
              <w:rPr>
                <w:rFonts w:ascii="Verdana" w:hAnsi="Verdana"/>
                <w:b/>
                <w:sz w:val="16"/>
                <w:szCs w:val="16"/>
                <w:lang w:val="en-US"/>
              </w:rPr>
            </w:pPr>
            <w:r w:rsidRPr="00F01347">
              <w:rPr>
                <w:rFonts w:ascii="Verdana" w:hAnsi="Verdana"/>
                <w:b/>
                <w:sz w:val="16"/>
                <w:szCs w:val="16"/>
                <w:lang w:val="en-US"/>
              </w:rPr>
              <w:t xml:space="preserve">B.3.6.1.1 </w:t>
            </w:r>
            <w:r w:rsidRPr="00F01347">
              <w:rPr>
                <w:rFonts w:ascii="Verdana" w:hAnsi="Verdana"/>
                <w:sz w:val="16"/>
                <w:szCs w:val="16"/>
                <w:lang w:val="en-US"/>
              </w:rPr>
              <w:t>To prepare concentrated standard solutions of benzene, toluene, ethylbenzene, xylenes (ortho, meta and para) and styrene, preparation should be made from pure standard materials or from certified solutions. Prepare standard solutions in methanol. Place approximately 9.8 mL of methanol in a 10 mL volumetric flask that has been tared including the stopper. Let the flask stand, uncovered, for about 10 minutes or until all surfaces moistened with alcohol have dried. Weigh the flask to the nearest 0.1 mg.</w:t>
            </w:r>
          </w:p>
        </w:tc>
      </w:tr>
      <w:tr w:rsidR="0058403A" w:rsidRPr="00F01347" w14:paraId="7B35E830" w14:textId="0719F895" w:rsidTr="00F30304">
        <w:tc>
          <w:tcPr>
            <w:tcW w:w="4675" w:type="dxa"/>
          </w:tcPr>
          <w:p w14:paraId="552EB07F" w14:textId="77777777" w:rsidR="0058403A" w:rsidRPr="00F01347" w:rsidRDefault="0058403A" w:rsidP="0058403A">
            <w:pPr>
              <w:pStyle w:val="texto0"/>
              <w:spacing w:line="228" w:lineRule="exact"/>
              <w:ind w:firstLine="0"/>
              <w:rPr>
                <w:rFonts w:ascii="Verdana" w:hAnsi="Verdana"/>
                <w:sz w:val="16"/>
                <w:szCs w:val="16"/>
              </w:rPr>
            </w:pPr>
            <w:r w:rsidRPr="00F01347">
              <w:rPr>
                <w:rFonts w:ascii="Verdana" w:hAnsi="Verdana"/>
                <w:sz w:val="16"/>
                <w:szCs w:val="16"/>
              </w:rPr>
              <w:t>Adicionar los materiales de referencia usando una jeringa de 100 µL o una pipeta de vidrio con punta capilar desechable, inmediatamente adicionar dos o más gotas del material de referencia en el matraz. Asegurarse de que las gotas caigan directamente en el alcohol sin tocar el cuello del matraz. Después volver a pesar el matraz, llevar a volumen, tapar y agitar invirtiéndolo varias veces. Calcular la concentración en µg/L de ganancia neta en el pesaje.</w:t>
            </w:r>
          </w:p>
        </w:tc>
        <w:tc>
          <w:tcPr>
            <w:tcW w:w="4675" w:type="dxa"/>
          </w:tcPr>
          <w:p w14:paraId="0A622AD9" w14:textId="411887A3" w:rsidR="0058403A" w:rsidRPr="00F01347" w:rsidRDefault="0058403A" w:rsidP="0058403A">
            <w:pPr>
              <w:pStyle w:val="texto0"/>
              <w:spacing w:line="228" w:lineRule="exact"/>
              <w:ind w:firstLine="0"/>
              <w:rPr>
                <w:rFonts w:ascii="Verdana" w:hAnsi="Verdana"/>
                <w:sz w:val="16"/>
                <w:szCs w:val="16"/>
                <w:lang w:val="en-US"/>
              </w:rPr>
            </w:pPr>
            <w:r w:rsidRPr="00F01347">
              <w:rPr>
                <w:rFonts w:ascii="Verdana" w:hAnsi="Verdana"/>
                <w:sz w:val="16"/>
                <w:szCs w:val="16"/>
                <w:lang w:val="en-US"/>
              </w:rPr>
              <w:t>Add the reference materials using a 100 µL syringe or a glass pipette with a disposable capillary tip, immediately adding two or more drops of the reference material to the flask. Make sure the drops fall directly into the alcohol without touching the neck of the flask. Then reweigh the flask, bring it to volume, cover and shake by inverting it several times. Calculate the concentration in µg/L of net gain in weighing.</w:t>
            </w:r>
          </w:p>
        </w:tc>
      </w:tr>
      <w:tr w:rsidR="0058403A" w:rsidRPr="00F01347" w14:paraId="132E30D0" w14:textId="7240F01D" w:rsidTr="00F30304">
        <w:tc>
          <w:tcPr>
            <w:tcW w:w="4675" w:type="dxa"/>
          </w:tcPr>
          <w:p w14:paraId="5E197F1C" w14:textId="77777777" w:rsidR="0058403A" w:rsidRPr="00F01347" w:rsidRDefault="0058403A" w:rsidP="0058403A">
            <w:pPr>
              <w:pStyle w:val="texto0"/>
              <w:spacing w:line="228" w:lineRule="exact"/>
              <w:ind w:firstLine="0"/>
              <w:rPr>
                <w:rFonts w:ascii="Verdana" w:hAnsi="Verdana"/>
                <w:sz w:val="16"/>
                <w:szCs w:val="16"/>
              </w:rPr>
            </w:pPr>
            <w:r w:rsidRPr="00F01347">
              <w:rPr>
                <w:rFonts w:ascii="Verdana" w:hAnsi="Verdana"/>
                <w:sz w:val="16"/>
                <w:szCs w:val="16"/>
              </w:rPr>
              <w:t>Cuando la pureza de un compuesto es ≥96%, calcular la concentración de la disolución sin considerar la pureza para el cálculo. Preferentemente usar estándares preparados comercialmente certificados por el fabricante o una fuente independiente.</w:t>
            </w:r>
          </w:p>
        </w:tc>
        <w:tc>
          <w:tcPr>
            <w:tcW w:w="4675" w:type="dxa"/>
          </w:tcPr>
          <w:p w14:paraId="40488A76" w14:textId="65185234" w:rsidR="0058403A" w:rsidRPr="00F01347" w:rsidRDefault="0058403A" w:rsidP="0058403A">
            <w:pPr>
              <w:pStyle w:val="texto0"/>
              <w:spacing w:line="228" w:lineRule="exact"/>
              <w:ind w:firstLine="0"/>
              <w:rPr>
                <w:rFonts w:ascii="Verdana" w:hAnsi="Verdana"/>
                <w:sz w:val="16"/>
                <w:szCs w:val="16"/>
                <w:lang w:val="en-US"/>
              </w:rPr>
            </w:pPr>
            <w:r w:rsidRPr="00F01347">
              <w:rPr>
                <w:rFonts w:ascii="Verdana" w:hAnsi="Verdana"/>
                <w:sz w:val="16"/>
                <w:szCs w:val="16"/>
                <w:lang w:val="en-US"/>
              </w:rPr>
              <w:t>When the purity of a compound is ≥96%, calculate the concentration of the solution without considering the purity for the calculation. Preferably use commercially prepared standards certified by the manufacturer or an independent source.</w:t>
            </w:r>
          </w:p>
        </w:tc>
      </w:tr>
      <w:tr w:rsidR="0058403A" w:rsidRPr="00F01347" w14:paraId="76A39A9A" w14:textId="7A9A97BC" w:rsidTr="00F30304">
        <w:tc>
          <w:tcPr>
            <w:tcW w:w="4675" w:type="dxa"/>
          </w:tcPr>
          <w:p w14:paraId="6E1354A8" w14:textId="77777777" w:rsidR="0058403A" w:rsidRPr="00F01347" w:rsidRDefault="0058403A" w:rsidP="0058403A">
            <w:pPr>
              <w:pStyle w:val="texto0"/>
              <w:spacing w:line="228" w:lineRule="exact"/>
              <w:ind w:firstLine="0"/>
              <w:rPr>
                <w:rFonts w:ascii="Verdana" w:hAnsi="Verdana"/>
                <w:sz w:val="16"/>
                <w:szCs w:val="16"/>
              </w:rPr>
            </w:pPr>
            <w:r w:rsidRPr="00F01347">
              <w:rPr>
                <w:rFonts w:ascii="Verdana" w:hAnsi="Verdana"/>
                <w:sz w:val="16"/>
                <w:szCs w:val="16"/>
              </w:rPr>
              <w:lastRenderedPageBreak/>
              <w:t>Transferir la disolución estándar a un envase con tapón de rosca recubierto con PTFE. Almacenar con un mínimo espacio de cabeza (</w:t>
            </w:r>
            <w:proofErr w:type="spellStart"/>
            <w:r w:rsidRPr="00F01347">
              <w:rPr>
                <w:rFonts w:ascii="Verdana" w:hAnsi="Verdana"/>
                <w:sz w:val="16"/>
                <w:szCs w:val="16"/>
              </w:rPr>
              <w:t>headspace</w:t>
            </w:r>
            <w:proofErr w:type="spellEnd"/>
            <w:r w:rsidRPr="00F01347">
              <w:rPr>
                <w:rFonts w:ascii="Verdana" w:hAnsi="Verdana"/>
                <w:sz w:val="16"/>
                <w:szCs w:val="16"/>
              </w:rPr>
              <w:t>) y protegido de la luz a una temperatura ≤ 6 °C.</w:t>
            </w:r>
          </w:p>
        </w:tc>
        <w:tc>
          <w:tcPr>
            <w:tcW w:w="4675" w:type="dxa"/>
          </w:tcPr>
          <w:p w14:paraId="17BBF5F8" w14:textId="7116747F" w:rsidR="0058403A" w:rsidRPr="00F01347" w:rsidRDefault="0058403A" w:rsidP="0058403A">
            <w:pPr>
              <w:pStyle w:val="texto0"/>
              <w:spacing w:line="228" w:lineRule="exact"/>
              <w:ind w:firstLine="0"/>
              <w:rPr>
                <w:rFonts w:ascii="Verdana" w:hAnsi="Verdana"/>
                <w:sz w:val="16"/>
                <w:szCs w:val="16"/>
                <w:lang w:val="en-US"/>
              </w:rPr>
            </w:pPr>
            <w:r w:rsidRPr="00F01347">
              <w:rPr>
                <w:rFonts w:ascii="Verdana" w:hAnsi="Verdana"/>
                <w:sz w:val="16"/>
                <w:szCs w:val="16"/>
                <w:lang w:val="en-US"/>
              </w:rPr>
              <w:t>Transfer the standard solution to a PTFE-coated screw cap container. Store with minimal headspace and protected from light at a temperature ≤ 6 °C.</w:t>
            </w:r>
          </w:p>
        </w:tc>
      </w:tr>
      <w:tr w:rsidR="0058403A" w:rsidRPr="00F01347" w14:paraId="26E9F5F3" w14:textId="4BBA7B8B" w:rsidTr="00F30304">
        <w:tc>
          <w:tcPr>
            <w:tcW w:w="4675" w:type="dxa"/>
          </w:tcPr>
          <w:p w14:paraId="7D6F0399" w14:textId="77777777" w:rsidR="0058403A" w:rsidRPr="00F01347" w:rsidRDefault="0058403A" w:rsidP="0058403A">
            <w:pPr>
              <w:pStyle w:val="texto0"/>
              <w:spacing w:line="232" w:lineRule="exact"/>
              <w:ind w:firstLine="0"/>
              <w:rPr>
                <w:rFonts w:ascii="Verdana" w:hAnsi="Verdana"/>
                <w:sz w:val="16"/>
                <w:szCs w:val="16"/>
              </w:rPr>
            </w:pPr>
            <w:r w:rsidRPr="00F01347">
              <w:rPr>
                <w:rFonts w:ascii="Verdana" w:hAnsi="Verdana"/>
                <w:b/>
                <w:sz w:val="16"/>
                <w:szCs w:val="16"/>
              </w:rPr>
              <w:t xml:space="preserve">B.3.6.1.2 </w:t>
            </w:r>
            <w:r w:rsidRPr="00F01347">
              <w:rPr>
                <w:rFonts w:ascii="Verdana" w:hAnsi="Verdana"/>
                <w:sz w:val="16"/>
                <w:szCs w:val="16"/>
              </w:rPr>
              <w:t xml:space="preserve">Para preparar las disoluciones estándares de trabajo de benceno, tolueno, etilbenceno, xilenos (orto, meta y para) y estireno, a partir de las disoluciones de estándares concentradas, preparar disoluciones multicomponentes en metanol a una concentración adecuada, almacenar con un mínimo de espacio de cabeza, y revisada frecuentemente por signos de degradación o evaporación. Siendo necesario reemplazarlos después de 2 a 4 semanas a menos que se tenga documentada el funcionamiento adecuado del mismo. Si se trabaja con soluciones de mezclas certificadas, se pueden almacenar </w:t>
            </w:r>
            <w:proofErr w:type="gramStart"/>
            <w:r w:rsidRPr="00F01347">
              <w:rPr>
                <w:rFonts w:ascii="Verdana" w:hAnsi="Verdana"/>
                <w:sz w:val="16"/>
                <w:szCs w:val="16"/>
              </w:rPr>
              <w:t>de acuerdo a</w:t>
            </w:r>
            <w:proofErr w:type="gramEnd"/>
            <w:r w:rsidRPr="00F01347">
              <w:rPr>
                <w:rFonts w:ascii="Verdana" w:hAnsi="Verdana"/>
                <w:sz w:val="16"/>
                <w:szCs w:val="16"/>
              </w:rPr>
              <w:t xml:space="preserve"> las indicaciones del proveedor. Para la preparación de está disolución </w:t>
            </w:r>
            <w:proofErr w:type="spellStart"/>
            <w:r w:rsidRPr="00F01347">
              <w:rPr>
                <w:rFonts w:ascii="Verdana" w:hAnsi="Verdana"/>
                <w:sz w:val="16"/>
                <w:szCs w:val="16"/>
              </w:rPr>
              <w:t>metanólica</w:t>
            </w:r>
            <w:proofErr w:type="spellEnd"/>
            <w:r w:rsidRPr="00F01347">
              <w:rPr>
                <w:rFonts w:ascii="Verdana" w:hAnsi="Verdana"/>
                <w:sz w:val="16"/>
                <w:szCs w:val="16"/>
              </w:rPr>
              <w:t xml:space="preserve"> no utilizar un volumen menor de 10 µL.</w:t>
            </w:r>
          </w:p>
        </w:tc>
        <w:tc>
          <w:tcPr>
            <w:tcW w:w="4675" w:type="dxa"/>
          </w:tcPr>
          <w:p w14:paraId="4C22620E" w14:textId="196235AA" w:rsidR="0058403A" w:rsidRPr="00F01347" w:rsidRDefault="0058403A" w:rsidP="0058403A">
            <w:pPr>
              <w:pStyle w:val="texto0"/>
              <w:spacing w:line="232" w:lineRule="exact"/>
              <w:ind w:firstLine="0"/>
              <w:rPr>
                <w:rFonts w:ascii="Verdana" w:hAnsi="Verdana"/>
                <w:b/>
                <w:sz w:val="16"/>
                <w:szCs w:val="16"/>
                <w:lang w:val="en-US"/>
              </w:rPr>
            </w:pPr>
            <w:r w:rsidRPr="00F01347">
              <w:rPr>
                <w:rFonts w:ascii="Verdana" w:hAnsi="Verdana"/>
                <w:b/>
                <w:sz w:val="16"/>
                <w:szCs w:val="16"/>
                <w:lang w:val="en-US"/>
              </w:rPr>
              <w:t xml:space="preserve">B.3.6.1.2 </w:t>
            </w:r>
            <w:r w:rsidRPr="00F01347">
              <w:rPr>
                <w:rFonts w:ascii="Verdana" w:hAnsi="Verdana"/>
                <w:sz w:val="16"/>
                <w:szCs w:val="16"/>
                <w:lang w:val="en-US"/>
              </w:rPr>
              <w:t xml:space="preserve">To prepare working standard solutions of benzene, toluene, ethylbenzene, xylenes (ortho, meta and para) and styrene, from the concentrated standard solutions, prepare multicomponent solutions in methanol at a suitable concentration, store with minimal head space, and checked frequently for signs of degradation or evaporation. Being necessary to replace them after 2 to 4 weeks unless </w:t>
            </w:r>
            <w:proofErr w:type="gramStart"/>
            <w:r w:rsidRPr="00F01347">
              <w:rPr>
                <w:rFonts w:ascii="Verdana" w:hAnsi="Verdana"/>
                <w:sz w:val="16"/>
                <w:szCs w:val="16"/>
                <w:lang w:val="en-US"/>
              </w:rPr>
              <w:t>its</w:t>
            </w:r>
            <w:proofErr w:type="gramEnd"/>
            <w:r w:rsidRPr="00F01347">
              <w:rPr>
                <w:rFonts w:ascii="Verdana" w:hAnsi="Verdana"/>
                <w:sz w:val="16"/>
                <w:szCs w:val="16"/>
                <w:lang w:val="en-US"/>
              </w:rPr>
              <w:t xml:space="preserve"> proper functioning has been documented. If </w:t>
            </w:r>
            <w:r w:rsidR="004A6BE5" w:rsidRPr="00F01347">
              <w:rPr>
                <w:rFonts w:ascii="Verdana" w:hAnsi="Verdana"/>
                <w:sz w:val="16"/>
                <w:szCs w:val="16"/>
                <w:lang w:val="en-US"/>
              </w:rPr>
              <w:t>one</w:t>
            </w:r>
            <w:r w:rsidRPr="00F01347">
              <w:rPr>
                <w:rFonts w:ascii="Verdana" w:hAnsi="Verdana"/>
                <w:sz w:val="16"/>
                <w:szCs w:val="16"/>
                <w:lang w:val="en-US"/>
              </w:rPr>
              <w:t xml:space="preserve"> work</w:t>
            </w:r>
            <w:r w:rsidR="003A6CEE" w:rsidRPr="00F01347">
              <w:rPr>
                <w:rFonts w:ascii="Verdana" w:hAnsi="Verdana"/>
                <w:sz w:val="16"/>
                <w:szCs w:val="16"/>
                <w:lang w:val="en-US"/>
              </w:rPr>
              <w:t>s</w:t>
            </w:r>
            <w:r w:rsidRPr="00F01347">
              <w:rPr>
                <w:rFonts w:ascii="Verdana" w:hAnsi="Verdana"/>
                <w:sz w:val="16"/>
                <w:szCs w:val="16"/>
                <w:lang w:val="en-US"/>
              </w:rPr>
              <w:t xml:space="preserve"> with certified mixing solutions, they can be stored according to the supplier's instructions. For the preparation of this methanolic solution</w:t>
            </w:r>
            <w:r w:rsidR="003E1BA9" w:rsidRPr="00F01347">
              <w:rPr>
                <w:rFonts w:ascii="Verdana" w:hAnsi="Verdana"/>
                <w:sz w:val="16"/>
                <w:szCs w:val="16"/>
                <w:lang w:val="en-US"/>
              </w:rPr>
              <w:t>,</w:t>
            </w:r>
            <w:r w:rsidRPr="00F01347">
              <w:rPr>
                <w:rFonts w:ascii="Verdana" w:hAnsi="Verdana"/>
                <w:sz w:val="16"/>
                <w:szCs w:val="16"/>
                <w:lang w:val="en-US"/>
              </w:rPr>
              <w:t xml:space="preserve"> do not use a volume smaller than 10 µL.</w:t>
            </w:r>
          </w:p>
        </w:tc>
      </w:tr>
      <w:tr w:rsidR="0058403A" w:rsidRPr="00F01347" w14:paraId="5D9EAD35" w14:textId="716DFB0D" w:rsidTr="00F30304">
        <w:tc>
          <w:tcPr>
            <w:tcW w:w="4675" w:type="dxa"/>
          </w:tcPr>
          <w:p w14:paraId="788D3E5F" w14:textId="77777777" w:rsidR="0058403A" w:rsidRPr="00F01347" w:rsidRDefault="0058403A" w:rsidP="0058403A">
            <w:pPr>
              <w:pStyle w:val="texto0"/>
              <w:spacing w:line="232" w:lineRule="exact"/>
              <w:ind w:firstLine="0"/>
              <w:rPr>
                <w:rFonts w:ascii="Verdana" w:hAnsi="Verdana"/>
                <w:sz w:val="16"/>
                <w:szCs w:val="16"/>
              </w:rPr>
            </w:pPr>
            <w:r w:rsidRPr="00F01347">
              <w:rPr>
                <w:rFonts w:ascii="Verdana" w:hAnsi="Verdana"/>
                <w:b/>
                <w:sz w:val="16"/>
                <w:szCs w:val="16"/>
              </w:rPr>
              <w:t xml:space="preserve">B.3.6.1.3 </w:t>
            </w:r>
            <w:r w:rsidRPr="00F01347">
              <w:rPr>
                <w:rFonts w:ascii="Verdana" w:hAnsi="Verdana"/>
                <w:sz w:val="16"/>
                <w:szCs w:val="16"/>
              </w:rPr>
              <w:t xml:space="preserve">Para preparar las disoluciones estándares de trabajo del </w:t>
            </w:r>
            <w:proofErr w:type="spellStart"/>
            <w:r w:rsidRPr="00F01347">
              <w:rPr>
                <w:rFonts w:ascii="Verdana" w:hAnsi="Verdana"/>
                <w:sz w:val="16"/>
                <w:szCs w:val="16"/>
              </w:rPr>
              <w:t>surrogado</w:t>
            </w:r>
            <w:proofErr w:type="spellEnd"/>
            <w:r w:rsidRPr="00F01347">
              <w:rPr>
                <w:rFonts w:ascii="Verdana" w:hAnsi="Verdana"/>
                <w:sz w:val="16"/>
                <w:szCs w:val="16"/>
              </w:rPr>
              <w:t xml:space="preserve">/ estándar interno, los compuestos </w:t>
            </w:r>
            <w:proofErr w:type="spellStart"/>
            <w:r w:rsidRPr="00F01347">
              <w:rPr>
                <w:rFonts w:ascii="Verdana" w:hAnsi="Verdana"/>
                <w:sz w:val="16"/>
                <w:szCs w:val="16"/>
              </w:rPr>
              <w:t>surrogados</w:t>
            </w:r>
            <w:proofErr w:type="spellEnd"/>
            <w:r w:rsidRPr="00F01347">
              <w:rPr>
                <w:rFonts w:ascii="Verdana" w:hAnsi="Verdana"/>
                <w:sz w:val="16"/>
                <w:szCs w:val="16"/>
              </w:rPr>
              <w:t xml:space="preserve"> recomendados son: tolueno d</w:t>
            </w:r>
            <w:r w:rsidRPr="00F01347">
              <w:rPr>
                <w:rFonts w:ascii="Verdana" w:hAnsi="Verdana"/>
                <w:sz w:val="16"/>
                <w:szCs w:val="16"/>
                <w:vertAlign w:val="subscript"/>
              </w:rPr>
              <w:t>8</w:t>
            </w:r>
            <w:r w:rsidRPr="00F01347">
              <w:rPr>
                <w:rFonts w:ascii="Verdana" w:hAnsi="Verdana"/>
                <w:sz w:val="16"/>
                <w:szCs w:val="16"/>
              </w:rPr>
              <w:t>, 4-bromofluorobenceno y 1,2- dicloroetano-d</w:t>
            </w:r>
            <w:r w:rsidRPr="00F01347">
              <w:rPr>
                <w:rFonts w:ascii="Verdana" w:hAnsi="Verdana"/>
                <w:sz w:val="16"/>
                <w:szCs w:val="16"/>
                <w:vertAlign w:val="subscript"/>
              </w:rPr>
              <w:t>4</w:t>
            </w:r>
            <w:r w:rsidRPr="00F01347">
              <w:rPr>
                <w:rFonts w:ascii="Verdana" w:hAnsi="Verdana"/>
                <w:sz w:val="16"/>
                <w:szCs w:val="16"/>
              </w:rPr>
              <w:t xml:space="preserve">, pueden utilizarse otros compuestos dependiendo de los requerimientos del análisis y de los analitos que se requieren cuantificar. Es necesario preparar una solución madre y de ella la solución apropiada para adicionar. Cada muestra que se </w:t>
            </w:r>
            <w:proofErr w:type="gramStart"/>
            <w:r w:rsidRPr="00F01347">
              <w:rPr>
                <w:rFonts w:ascii="Verdana" w:hAnsi="Verdana"/>
                <w:sz w:val="16"/>
                <w:szCs w:val="16"/>
              </w:rPr>
              <w:t>va</w:t>
            </w:r>
            <w:proofErr w:type="gramEnd"/>
            <w:r w:rsidRPr="00F01347">
              <w:rPr>
                <w:rFonts w:ascii="Verdana" w:hAnsi="Verdana"/>
                <w:sz w:val="16"/>
                <w:szCs w:val="16"/>
              </w:rPr>
              <w:t xml:space="preserve"> analizar debe contener los subrogados.</w:t>
            </w:r>
          </w:p>
        </w:tc>
        <w:tc>
          <w:tcPr>
            <w:tcW w:w="4675" w:type="dxa"/>
          </w:tcPr>
          <w:p w14:paraId="23451C3C" w14:textId="6E6FB5E7" w:rsidR="0058403A" w:rsidRPr="00F01347" w:rsidRDefault="0058403A" w:rsidP="0058403A">
            <w:pPr>
              <w:pStyle w:val="texto0"/>
              <w:spacing w:line="232" w:lineRule="exact"/>
              <w:ind w:firstLine="0"/>
              <w:rPr>
                <w:rFonts w:ascii="Verdana" w:hAnsi="Verdana"/>
                <w:b/>
                <w:sz w:val="16"/>
                <w:szCs w:val="16"/>
                <w:lang w:val="en-US"/>
              </w:rPr>
            </w:pPr>
            <w:r w:rsidRPr="00F01347">
              <w:rPr>
                <w:rFonts w:ascii="Verdana" w:hAnsi="Verdana"/>
                <w:b/>
                <w:sz w:val="16"/>
                <w:szCs w:val="16"/>
                <w:lang w:val="en-US"/>
              </w:rPr>
              <w:t xml:space="preserve">B.3.6.1.3 </w:t>
            </w:r>
            <w:r w:rsidRPr="00F01347">
              <w:rPr>
                <w:rFonts w:ascii="Verdana" w:hAnsi="Verdana"/>
                <w:sz w:val="16"/>
                <w:szCs w:val="16"/>
                <w:lang w:val="en-US"/>
              </w:rPr>
              <w:t xml:space="preserve">To prepare the working standard solutions of the surrogate/internal standard, the recommended surrogate compounds </w:t>
            </w:r>
            <w:proofErr w:type="gramStart"/>
            <w:r w:rsidRPr="00F01347">
              <w:rPr>
                <w:rFonts w:ascii="Verdana" w:hAnsi="Verdana"/>
                <w:sz w:val="16"/>
                <w:szCs w:val="16"/>
                <w:lang w:val="en-US"/>
              </w:rPr>
              <w:t>are:</w:t>
            </w:r>
            <w:proofErr w:type="gramEnd"/>
            <w:r w:rsidRPr="00F01347">
              <w:rPr>
                <w:rFonts w:ascii="Verdana" w:hAnsi="Verdana"/>
                <w:sz w:val="16"/>
                <w:szCs w:val="16"/>
                <w:lang w:val="en-US"/>
              </w:rPr>
              <w:t xml:space="preserve"> toluene d</w:t>
            </w:r>
            <w:r w:rsidRPr="00F01347">
              <w:rPr>
                <w:rFonts w:ascii="Verdana" w:hAnsi="Verdana"/>
                <w:sz w:val="16"/>
                <w:szCs w:val="16"/>
                <w:vertAlign w:val="subscript"/>
                <w:lang w:val="en-US"/>
              </w:rPr>
              <w:t>8</w:t>
            </w:r>
            <w:r w:rsidR="003E1BA9" w:rsidRPr="00F01347">
              <w:rPr>
                <w:rFonts w:ascii="Verdana" w:hAnsi="Verdana"/>
                <w:sz w:val="16"/>
                <w:szCs w:val="16"/>
                <w:vertAlign w:val="subscript"/>
                <w:lang w:val="en-US"/>
              </w:rPr>
              <w:t>,</w:t>
            </w:r>
            <w:r w:rsidRPr="00F01347">
              <w:rPr>
                <w:rFonts w:ascii="Verdana" w:hAnsi="Verdana"/>
                <w:sz w:val="16"/>
                <w:szCs w:val="16"/>
                <w:lang w:val="en-US"/>
              </w:rPr>
              <w:t xml:space="preserve"> 4-bromofluorobenzene and 1,2- dichloroethane-d</w:t>
            </w:r>
            <w:r w:rsidRPr="00F01347">
              <w:rPr>
                <w:rFonts w:ascii="Verdana" w:hAnsi="Verdana"/>
                <w:sz w:val="16"/>
                <w:szCs w:val="16"/>
                <w:vertAlign w:val="subscript"/>
                <w:lang w:val="en-US"/>
              </w:rPr>
              <w:t>4</w:t>
            </w:r>
            <w:r w:rsidR="003E1BA9" w:rsidRPr="00F01347">
              <w:rPr>
                <w:rFonts w:ascii="Verdana" w:hAnsi="Verdana"/>
                <w:sz w:val="16"/>
                <w:szCs w:val="16"/>
                <w:vertAlign w:val="subscript"/>
                <w:lang w:val="en-US"/>
              </w:rPr>
              <w:t>,</w:t>
            </w:r>
            <w:r w:rsidRPr="00F01347">
              <w:rPr>
                <w:rFonts w:ascii="Verdana" w:hAnsi="Verdana"/>
                <w:sz w:val="16"/>
                <w:szCs w:val="16"/>
                <w:lang w:val="en-US"/>
              </w:rPr>
              <w:t xml:space="preserve"> other compounds can be used depending on the requirements of the analysis and the analytes that need to be quantified. It is necessary to prepare a stock solution and from it the appropriate solution to add. Each sample to be analyzed must contain the surrogates.</w:t>
            </w:r>
          </w:p>
        </w:tc>
      </w:tr>
      <w:tr w:rsidR="0058403A" w:rsidRPr="00F01347" w14:paraId="45D4D2F0" w14:textId="0EFDA7B6" w:rsidTr="00F30304">
        <w:tc>
          <w:tcPr>
            <w:tcW w:w="4675" w:type="dxa"/>
          </w:tcPr>
          <w:p w14:paraId="2B67BD45" w14:textId="77777777" w:rsidR="0058403A" w:rsidRPr="00F01347" w:rsidRDefault="0058403A" w:rsidP="0058403A">
            <w:pPr>
              <w:pStyle w:val="texto0"/>
              <w:ind w:firstLine="0"/>
              <w:rPr>
                <w:rFonts w:ascii="Verdana" w:hAnsi="Verdana"/>
                <w:sz w:val="16"/>
                <w:szCs w:val="16"/>
              </w:rPr>
            </w:pPr>
            <w:r w:rsidRPr="00F01347">
              <w:rPr>
                <w:rFonts w:ascii="Verdana" w:hAnsi="Verdana"/>
                <w:sz w:val="16"/>
                <w:szCs w:val="16"/>
              </w:rPr>
              <w:t xml:space="preserve">Los estándares internos recomendados son el </w:t>
            </w:r>
            <w:proofErr w:type="spellStart"/>
            <w:r w:rsidRPr="00F01347">
              <w:rPr>
                <w:rFonts w:ascii="Verdana" w:hAnsi="Verdana"/>
                <w:sz w:val="16"/>
                <w:szCs w:val="16"/>
              </w:rPr>
              <w:t>fluorobenceno</w:t>
            </w:r>
            <w:proofErr w:type="spellEnd"/>
            <w:r w:rsidRPr="00F01347">
              <w:rPr>
                <w:rFonts w:ascii="Verdana" w:hAnsi="Verdana"/>
                <w:sz w:val="16"/>
                <w:szCs w:val="16"/>
              </w:rPr>
              <w:t>, clorobenceno-d</w:t>
            </w:r>
            <w:r w:rsidRPr="00F01347">
              <w:rPr>
                <w:rFonts w:ascii="Verdana" w:hAnsi="Verdana"/>
                <w:sz w:val="16"/>
                <w:szCs w:val="16"/>
                <w:vertAlign w:val="subscript"/>
              </w:rPr>
              <w:t>5</w:t>
            </w:r>
            <w:r w:rsidRPr="00F01347">
              <w:rPr>
                <w:rFonts w:ascii="Verdana" w:hAnsi="Verdana"/>
                <w:sz w:val="16"/>
                <w:szCs w:val="16"/>
              </w:rPr>
              <w:t xml:space="preserve"> y el 1,4-diclorobenceno-d</w:t>
            </w:r>
            <w:r w:rsidRPr="00F01347">
              <w:rPr>
                <w:rFonts w:ascii="Verdana" w:hAnsi="Verdana"/>
                <w:sz w:val="16"/>
                <w:szCs w:val="16"/>
                <w:vertAlign w:val="subscript"/>
              </w:rPr>
              <w:t>4</w:t>
            </w:r>
            <w:r w:rsidRPr="00F01347">
              <w:rPr>
                <w:rFonts w:ascii="Verdana" w:hAnsi="Verdana"/>
                <w:sz w:val="16"/>
                <w:szCs w:val="16"/>
              </w:rPr>
              <w:t xml:space="preserve">, se pueden utilizar otros compuestos siempre y cuando tengan tiempos de retención similares a los analitos detectados. Es necesario preparar una solución madre y de ella la solución apropiada para adicionar. Se recomienda una solución de 25 mg/L de cada estándar interno, de modo que la adición de 10 µL a una muestra de 5 </w:t>
            </w:r>
            <w:proofErr w:type="spellStart"/>
            <w:r w:rsidRPr="00F01347">
              <w:rPr>
                <w:rFonts w:ascii="Verdana" w:hAnsi="Verdana"/>
                <w:sz w:val="16"/>
                <w:szCs w:val="16"/>
              </w:rPr>
              <w:t>mL</w:t>
            </w:r>
            <w:proofErr w:type="spellEnd"/>
            <w:r w:rsidRPr="00F01347">
              <w:rPr>
                <w:rFonts w:ascii="Verdana" w:hAnsi="Verdana"/>
                <w:sz w:val="16"/>
                <w:szCs w:val="16"/>
              </w:rPr>
              <w:t xml:space="preserve"> sería equivalente a 50 µg/L. Si se emplea un espectrómetro de masas más sensible se puede emplear una solución de estándares internos más diluida. Las áreas de los estándares internos deberán están entre 50 y 200% de las áreas de los analitos en los puntos medios de las curvas de calibración.</w:t>
            </w:r>
          </w:p>
        </w:tc>
        <w:tc>
          <w:tcPr>
            <w:tcW w:w="4675" w:type="dxa"/>
          </w:tcPr>
          <w:p w14:paraId="3417BC59" w14:textId="2A627A97" w:rsidR="0058403A" w:rsidRPr="00F01347" w:rsidRDefault="0058403A" w:rsidP="0058403A">
            <w:pPr>
              <w:pStyle w:val="texto0"/>
              <w:ind w:firstLine="0"/>
              <w:rPr>
                <w:rFonts w:ascii="Verdana" w:hAnsi="Verdana"/>
                <w:sz w:val="16"/>
                <w:szCs w:val="16"/>
                <w:lang w:val="en-US"/>
              </w:rPr>
            </w:pPr>
            <w:r w:rsidRPr="00F01347">
              <w:rPr>
                <w:rFonts w:ascii="Verdana" w:hAnsi="Verdana"/>
                <w:sz w:val="16"/>
                <w:szCs w:val="16"/>
                <w:lang w:val="en-US"/>
              </w:rPr>
              <w:t>The recommended internal standards are fluorobenzene</w:t>
            </w:r>
            <w:r w:rsidR="003E1BA9" w:rsidRPr="00F01347">
              <w:rPr>
                <w:rFonts w:ascii="Verdana" w:hAnsi="Verdana"/>
                <w:sz w:val="16"/>
                <w:szCs w:val="16"/>
                <w:lang w:val="en-US"/>
              </w:rPr>
              <w:t>,</w:t>
            </w:r>
            <w:r w:rsidRPr="00F01347">
              <w:rPr>
                <w:rFonts w:ascii="Verdana" w:hAnsi="Verdana"/>
                <w:sz w:val="16"/>
                <w:szCs w:val="16"/>
                <w:lang w:val="en-US"/>
              </w:rPr>
              <w:t xml:space="preserve"> chlorobenzene-d</w:t>
            </w:r>
            <w:r w:rsidRPr="00F01347">
              <w:rPr>
                <w:rFonts w:ascii="Verdana" w:hAnsi="Verdana"/>
                <w:sz w:val="16"/>
                <w:szCs w:val="16"/>
                <w:vertAlign w:val="subscript"/>
                <w:lang w:val="en-US"/>
              </w:rPr>
              <w:t xml:space="preserve">5 </w:t>
            </w:r>
            <w:r w:rsidRPr="00F01347">
              <w:rPr>
                <w:rFonts w:ascii="Verdana" w:hAnsi="Verdana"/>
                <w:sz w:val="16"/>
                <w:szCs w:val="16"/>
                <w:lang w:val="en-US"/>
              </w:rPr>
              <w:t>and 1,4-dichlorobenzene-d</w:t>
            </w:r>
            <w:r w:rsidRPr="00F01347">
              <w:rPr>
                <w:rFonts w:ascii="Verdana" w:hAnsi="Verdana"/>
                <w:sz w:val="16"/>
                <w:szCs w:val="16"/>
                <w:vertAlign w:val="subscript"/>
                <w:lang w:val="en-US"/>
              </w:rPr>
              <w:t>4</w:t>
            </w:r>
            <w:r w:rsidR="003E1BA9" w:rsidRPr="00F01347">
              <w:rPr>
                <w:rFonts w:ascii="Verdana" w:hAnsi="Verdana"/>
                <w:sz w:val="16"/>
                <w:szCs w:val="16"/>
                <w:vertAlign w:val="subscript"/>
                <w:lang w:val="en-US"/>
              </w:rPr>
              <w:t>,</w:t>
            </w:r>
            <w:r w:rsidRPr="00F01347">
              <w:rPr>
                <w:rFonts w:ascii="Verdana" w:hAnsi="Verdana"/>
                <w:sz w:val="16"/>
                <w:szCs w:val="16"/>
                <w:lang w:val="en-US"/>
              </w:rPr>
              <w:t xml:space="preserve"> other compounds can be used </w:t>
            </w:r>
            <w:proofErr w:type="gramStart"/>
            <w:r w:rsidRPr="00F01347">
              <w:rPr>
                <w:rFonts w:ascii="Verdana" w:hAnsi="Verdana"/>
                <w:sz w:val="16"/>
                <w:szCs w:val="16"/>
                <w:lang w:val="en-US"/>
              </w:rPr>
              <w:t>as long as</w:t>
            </w:r>
            <w:proofErr w:type="gramEnd"/>
            <w:r w:rsidRPr="00F01347">
              <w:rPr>
                <w:rFonts w:ascii="Verdana" w:hAnsi="Verdana"/>
                <w:sz w:val="16"/>
                <w:szCs w:val="16"/>
                <w:lang w:val="en-US"/>
              </w:rPr>
              <w:t xml:space="preserve"> they have retention times similar to the detected analytes. It is necessary to prepare a stock solution and from it the appropriate solution to add. A 25 mg/L solution of each internal standard is recommended, so the addition of 10 µL to a 5 mL sample would be equivalent to 50 µg/L. If a more sensitive mass spectrometer is used, a more dilute internal standards solution can be used. The areas of the internal standards should be between 50 and 200% of the areas of the analytes at the midpoints of the calibration curves.</w:t>
            </w:r>
          </w:p>
        </w:tc>
      </w:tr>
      <w:tr w:rsidR="0058403A" w:rsidRPr="00F01347" w14:paraId="5B577432" w14:textId="320182D9" w:rsidTr="00F30304">
        <w:tc>
          <w:tcPr>
            <w:tcW w:w="4675" w:type="dxa"/>
          </w:tcPr>
          <w:p w14:paraId="10AD16FC"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b/>
                <w:sz w:val="16"/>
                <w:szCs w:val="16"/>
              </w:rPr>
              <w:t xml:space="preserve">B.3.6.1.4 </w:t>
            </w:r>
            <w:r w:rsidRPr="00F01347">
              <w:rPr>
                <w:rFonts w:ascii="Verdana" w:hAnsi="Verdana"/>
                <w:sz w:val="16"/>
                <w:szCs w:val="16"/>
              </w:rPr>
              <w:t>Para preparar el estándar de BFB, preparar una solución de estándar conteniendo 25 ng/µL de BFB en metanol, si se emplea un espectrómetro de masas más sensible, se puede emplear una solución más diluida.</w:t>
            </w:r>
          </w:p>
        </w:tc>
        <w:tc>
          <w:tcPr>
            <w:tcW w:w="4675" w:type="dxa"/>
          </w:tcPr>
          <w:p w14:paraId="7F0586C2" w14:textId="23B923AC" w:rsidR="0058403A" w:rsidRPr="00F01347" w:rsidRDefault="0058403A" w:rsidP="0058403A">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B.3.6.1.4 </w:t>
            </w:r>
            <w:r w:rsidRPr="00F01347">
              <w:rPr>
                <w:rFonts w:ascii="Verdana" w:hAnsi="Verdana"/>
                <w:sz w:val="16"/>
                <w:szCs w:val="16"/>
                <w:lang w:val="en-US"/>
              </w:rPr>
              <w:t>To prepare the BFB standard, prepare a standard solution containing 25 ng/µL of BFB in methanol, if a more sensitive mass spectrometer is used, a more dilute solution can be used.</w:t>
            </w:r>
          </w:p>
        </w:tc>
      </w:tr>
      <w:tr w:rsidR="0058403A" w:rsidRPr="00F01347" w14:paraId="4F584FC9" w14:textId="02179660" w:rsidTr="00F30304">
        <w:tc>
          <w:tcPr>
            <w:tcW w:w="4675" w:type="dxa"/>
          </w:tcPr>
          <w:p w14:paraId="45119A46"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b/>
                <w:sz w:val="16"/>
                <w:szCs w:val="16"/>
              </w:rPr>
              <w:t xml:space="preserve">B.3.6.1.5 </w:t>
            </w:r>
            <w:r w:rsidRPr="00F01347">
              <w:rPr>
                <w:rFonts w:ascii="Verdana" w:hAnsi="Verdana"/>
                <w:sz w:val="16"/>
                <w:szCs w:val="16"/>
              </w:rPr>
              <w:t xml:space="preserve">Para las disoluciones acuosas de los estándares de calibración, se debe de construir una curva de calibración para cada analito (BTEX y estireno) de cinco a siete concentraciones. La disolución estándar </w:t>
            </w:r>
            <w:r w:rsidRPr="00F01347">
              <w:rPr>
                <w:rFonts w:ascii="Verdana" w:hAnsi="Verdana"/>
                <w:sz w:val="16"/>
                <w:szCs w:val="16"/>
              </w:rPr>
              <w:lastRenderedPageBreak/>
              <w:t xml:space="preserve">de menor concentración deberá ser mayor al límite de </w:t>
            </w:r>
            <w:proofErr w:type="gramStart"/>
            <w:r w:rsidRPr="00F01347">
              <w:rPr>
                <w:rFonts w:ascii="Verdana" w:hAnsi="Verdana"/>
                <w:sz w:val="16"/>
                <w:szCs w:val="16"/>
              </w:rPr>
              <w:t>detección</w:t>
            </w:r>
            <w:proofErr w:type="gramEnd"/>
            <w:r w:rsidRPr="00F01347">
              <w:rPr>
                <w:rFonts w:ascii="Verdana" w:hAnsi="Verdana"/>
                <w:sz w:val="16"/>
                <w:szCs w:val="16"/>
              </w:rPr>
              <w:t xml:space="preserve"> pero muy cercano.</w:t>
            </w:r>
          </w:p>
        </w:tc>
        <w:tc>
          <w:tcPr>
            <w:tcW w:w="4675" w:type="dxa"/>
          </w:tcPr>
          <w:p w14:paraId="5DF07FD2" w14:textId="109A3C21" w:rsidR="0058403A" w:rsidRPr="00F01347" w:rsidRDefault="0058403A" w:rsidP="0058403A">
            <w:pPr>
              <w:pStyle w:val="texto0"/>
              <w:spacing w:line="220" w:lineRule="exact"/>
              <w:ind w:firstLine="0"/>
              <w:rPr>
                <w:rFonts w:ascii="Verdana" w:hAnsi="Verdana"/>
                <w:b/>
                <w:sz w:val="16"/>
                <w:szCs w:val="16"/>
                <w:lang w:val="en-US"/>
              </w:rPr>
            </w:pPr>
            <w:r w:rsidRPr="00F01347">
              <w:rPr>
                <w:rFonts w:ascii="Verdana" w:hAnsi="Verdana"/>
                <w:b/>
                <w:sz w:val="16"/>
                <w:szCs w:val="16"/>
                <w:lang w:val="en-US"/>
              </w:rPr>
              <w:lastRenderedPageBreak/>
              <w:t xml:space="preserve">B.3.6.1.5 </w:t>
            </w:r>
            <w:r w:rsidRPr="00F01347">
              <w:rPr>
                <w:rFonts w:ascii="Verdana" w:hAnsi="Verdana"/>
                <w:sz w:val="16"/>
                <w:szCs w:val="16"/>
                <w:lang w:val="en-US"/>
              </w:rPr>
              <w:t xml:space="preserve">For aqueous solutions of calibration standards, a calibration curve must be constructed for each analyte (BTEX and styrene) at five to seven concentrations. The standard solution with the lowest </w:t>
            </w:r>
            <w:r w:rsidRPr="00F01347">
              <w:rPr>
                <w:rFonts w:ascii="Verdana" w:hAnsi="Verdana"/>
                <w:sz w:val="16"/>
                <w:szCs w:val="16"/>
                <w:lang w:val="en-US"/>
              </w:rPr>
              <w:lastRenderedPageBreak/>
              <w:t>concentration should be greater than the detection limit but very close.</w:t>
            </w:r>
          </w:p>
        </w:tc>
      </w:tr>
      <w:tr w:rsidR="0058403A" w:rsidRPr="00F01347" w14:paraId="4DA70189" w14:textId="19B91240" w:rsidTr="00F30304">
        <w:tc>
          <w:tcPr>
            <w:tcW w:w="4675" w:type="dxa"/>
          </w:tcPr>
          <w:p w14:paraId="09F9C27E"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lastRenderedPageBreak/>
              <w:t xml:space="preserve">Preparar cada una de las mezclas de disoluciones estándar de la curva de calibración inyectando rápidamente el volumen requerido de la disolución estándar </w:t>
            </w:r>
            <w:proofErr w:type="spellStart"/>
            <w:r w:rsidRPr="00F01347">
              <w:rPr>
                <w:rFonts w:ascii="Verdana" w:hAnsi="Verdana"/>
                <w:sz w:val="16"/>
                <w:szCs w:val="16"/>
              </w:rPr>
              <w:t>metanólica</w:t>
            </w:r>
            <w:proofErr w:type="spellEnd"/>
            <w:r w:rsidRPr="00F01347">
              <w:rPr>
                <w:rFonts w:ascii="Verdana" w:hAnsi="Verdana"/>
                <w:sz w:val="16"/>
                <w:szCs w:val="16"/>
              </w:rPr>
              <w:t xml:space="preserve"> (mezcla de estándares de BTEX y estireno, en el matraz volumétrico previamente lleno con agua libre de compuestos orgánicos, sumergiendo la aguja dentro del agua, se recomienda inclinar el matraz mientras se inyecta la mezcla de estándares. Posteriormente adicionar a cada matraz las soluciones de estándar interno y estándar </w:t>
            </w:r>
            <w:proofErr w:type="spellStart"/>
            <w:r w:rsidRPr="00F01347">
              <w:rPr>
                <w:rFonts w:ascii="Verdana" w:hAnsi="Verdana"/>
                <w:sz w:val="16"/>
                <w:szCs w:val="16"/>
              </w:rPr>
              <w:t>surrogado</w:t>
            </w:r>
            <w:proofErr w:type="spellEnd"/>
            <w:r w:rsidRPr="00F01347">
              <w:rPr>
                <w:rFonts w:ascii="Verdana" w:hAnsi="Verdana"/>
                <w:sz w:val="16"/>
                <w:szCs w:val="16"/>
              </w:rPr>
              <w:t>.</w:t>
            </w:r>
          </w:p>
        </w:tc>
        <w:tc>
          <w:tcPr>
            <w:tcW w:w="4675" w:type="dxa"/>
          </w:tcPr>
          <w:p w14:paraId="6BFDDB3E" w14:textId="2396BD2C"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Prepare each of the standard solution mixtures of the calibration curve by quickly injecting the required volume of the methanolic standard solution (mixture of BTEX and styrene standards, into the volumetric flask previously filled with water free of organic compounds, immersing the needle inside of water, it is recommended to tilt the flask while injecting the mixture of standards. Subsequently, add the internal standard and surrogate standard solutions to each flask</w:t>
            </w:r>
            <w:r w:rsidR="003E1BA9" w:rsidRPr="00F01347">
              <w:rPr>
                <w:rFonts w:ascii="Verdana" w:hAnsi="Verdana"/>
                <w:sz w:val="16"/>
                <w:szCs w:val="16"/>
                <w:lang w:val="en-US"/>
              </w:rPr>
              <w:t>.</w:t>
            </w:r>
          </w:p>
        </w:tc>
      </w:tr>
      <w:tr w:rsidR="0058403A" w:rsidRPr="00F01347" w14:paraId="70AC1421" w14:textId="6C93D4BE" w:rsidTr="00F30304">
        <w:tc>
          <w:tcPr>
            <w:tcW w:w="4675" w:type="dxa"/>
          </w:tcPr>
          <w:p w14:paraId="1AF2D397" w14:textId="77777777" w:rsidR="0058403A" w:rsidRPr="00F01347" w:rsidRDefault="0058403A" w:rsidP="0058403A">
            <w:pPr>
              <w:pStyle w:val="texto0"/>
              <w:spacing w:line="220" w:lineRule="exact"/>
              <w:ind w:firstLine="0"/>
              <w:rPr>
                <w:rFonts w:ascii="Verdana" w:hAnsi="Verdana"/>
                <w:b/>
                <w:sz w:val="16"/>
                <w:szCs w:val="16"/>
              </w:rPr>
            </w:pPr>
            <w:r w:rsidRPr="00F01347">
              <w:rPr>
                <w:rFonts w:ascii="Verdana" w:hAnsi="Verdana"/>
                <w:b/>
                <w:sz w:val="16"/>
                <w:szCs w:val="16"/>
              </w:rPr>
              <w:t>B.3.6.2 Procedimiento analítico</w:t>
            </w:r>
          </w:p>
        </w:tc>
        <w:tc>
          <w:tcPr>
            <w:tcW w:w="4675" w:type="dxa"/>
          </w:tcPr>
          <w:p w14:paraId="7E556B8A" w14:textId="39903DBB" w:rsidR="0058403A" w:rsidRPr="00F01347" w:rsidRDefault="0058403A" w:rsidP="0058403A">
            <w:pPr>
              <w:pStyle w:val="texto0"/>
              <w:spacing w:line="220" w:lineRule="exact"/>
              <w:ind w:firstLine="0"/>
              <w:rPr>
                <w:rFonts w:ascii="Verdana" w:hAnsi="Verdana"/>
                <w:b/>
                <w:sz w:val="16"/>
                <w:szCs w:val="16"/>
                <w:lang w:val="en-US"/>
              </w:rPr>
            </w:pPr>
            <w:r w:rsidRPr="00F01347">
              <w:rPr>
                <w:rFonts w:ascii="Verdana" w:hAnsi="Verdana"/>
                <w:b/>
                <w:sz w:val="16"/>
                <w:szCs w:val="16"/>
                <w:lang w:val="en-US"/>
              </w:rPr>
              <w:t>B.3.6.2 Analytical procedure</w:t>
            </w:r>
          </w:p>
        </w:tc>
      </w:tr>
      <w:tr w:rsidR="0058403A" w:rsidRPr="00F01347" w14:paraId="07E08D80" w14:textId="6A6B57A4" w:rsidTr="00F30304">
        <w:tc>
          <w:tcPr>
            <w:tcW w:w="4675" w:type="dxa"/>
          </w:tcPr>
          <w:p w14:paraId="148D32BF"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Para la optimización del CG/EM, las condiciones cromatográficas dependen de los compuestos de interés, el instrumento y los proveedores de las columnas.</w:t>
            </w:r>
          </w:p>
        </w:tc>
        <w:tc>
          <w:tcPr>
            <w:tcW w:w="4675" w:type="dxa"/>
          </w:tcPr>
          <w:p w14:paraId="330E1010" w14:textId="6D9D0E9D"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For GC/MS optimization, chromatographic conditions depend on the compounds of interest, instrument, and column suppliers.</w:t>
            </w:r>
          </w:p>
        </w:tc>
      </w:tr>
      <w:tr w:rsidR="0058403A" w:rsidRPr="00F01347" w14:paraId="5C38931F" w14:textId="109FF260" w:rsidTr="00F30304">
        <w:tc>
          <w:tcPr>
            <w:tcW w:w="4675" w:type="dxa"/>
          </w:tcPr>
          <w:p w14:paraId="4CA11F3F"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Las condiciones cromatográficas recomendadas para inyección directa (ejemplo) son:</w:t>
            </w:r>
          </w:p>
        </w:tc>
        <w:tc>
          <w:tcPr>
            <w:tcW w:w="4675" w:type="dxa"/>
          </w:tcPr>
          <w:p w14:paraId="63220AB0" w14:textId="3D469B84"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The recommended chromatographic conditions for direct injection (example) are:</w:t>
            </w:r>
          </w:p>
        </w:tc>
      </w:tr>
      <w:tr w:rsidR="0058403A" w:rsidRPr="00F01347" w14:paraId="6271EE0A" w14:textId="1F6EC958" w:rsidTr="00F30304">
        <w:tc>
          <w:tcPr>
            <w:tcW w:w="4675" w:type="dxa"/>
          </w:tcPr>
          <w:p w14:paraId="0170E0EF"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 Temperatura de inyector: 200-275 °C</w:t>
            </w:r>
          </w:p>
        </w:tc>
        <w:tc>
          <w:tcPr>
            <w:tcW w:w="4675" w:type="dxa"/>
          </w:tcPr>
          <w:p w14:paraId="782EE718" w14:textId="58C8E1CE"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 Injector temperature: 200-275 °C</w:t>
            </w:r>
          </w:p>
        </w:tc>
      </w:tr>
      <w:tr w:rsidR="0058403A" w:rsidRPr="00F01347" w14:paraId="0D027796" w14:textId="0749322E" w:rsidTr="00F30304">
        <w:tc>
          <w:tcPr>
            <w:tcW w:w="4675" w:type="dxa"/>
          </w:tcPr>
          <w:p w14:paraId="47C5DED5"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 Temperatura de la línea de transferencia: 200-300 °C</w:t>
            </w:r>
          </w:p>
        </w:tc>
        <w:tc>
          <w:tcPr>
            <w:tcW w:w="4675" w:type="dxa"/>
          </w:tcPr>
          <w:p w14:paraId="1E16CD21" w14:textId="2D8B8749"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 Transfer line temperature: 200-300°C</w:t>
            </w:r>
          </w:p>
        </w:tc>
      </w:tr>
      <w:tr w:rsidR="0058403A" w:rsidRPr="00F01347" w14:paraId="000D53CE" w14:textId="636A4437" w:rsidTr="00F30304">
        <w:tc>
          <w:tcPr>
            <w:tcW w:w="4675" w:type="dxa"/>
          </w:tcPr>
          <w:p w14:paraId="32B25FAE"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 Columna cromatográfica: DB-624 (6%cianopropilfenil/94%dimetipolisiloxano) de 70 m X 0.53 mm o cualquier columna equivalente que proporcione un desempeño de método que permita cumplir con las especificaciones de esta Norma.</w:t>
            </w:r>
          </w:p>
        </w:tc>
        <w:tc>
          <w:tcPr>
            <w:tcW w:w="4675" w:type="dxa"/>
          </w:tcPr>
          <w:p w14:paraId="7EC7DBB3" w14:textId="5CD1C120"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Chromatographic column: DB-624 (6% </w:t>
            </w:r>
            <w:proofErr w:type="spellStart"/>
            <w:r w:rsidRPr="00F01347">
              <w:rPr>
                <w:rFonts w:ascii="Verdana" w:hAnsi="Verdana"/>
                <w:sz w:val="16"/>
                <w:szCs w:val="16"/>
                <w:lang w:val="en-US"/>
              </w:rPr>
              <w:t>cyanopropylphenyl</w:t>
            </w:r>
            <w:proofErr w:type="spellEnd"/>
            <w:r w:rsidRPr="00F01347">
              <w:rPr>
                <w:rFonts w:ascii="Verdana" w:hAnsi="Verdana"/>
                <w:sz w:val="16"/>
                <w:szCs w:val="16"/>
                <w:lang w:val="en-US"/>
              </w:rPr>
              <w:t xml:space="preserve">/94% </w:t>
            </w:r>
            <w:proofErr w:type="spellStart"/>
            <w:r w:rsidRPr="00F01347">
              <w:rPr>
                <w:rFonts w:ascii="Verdana" w:hAnsi="Verdana"/>
                <w:sz w:val="16"/>
                <w:szCs w:val="16"/>
                <w:lang w:val="en-US"/>
              </w:rPr>
              <w:t>dimethipolysiloxane</w:t>
            </w:r>
            <w:proofErr w:type="spellEnd"/>
            <w:r w:rsidRPr="00F01347">
              <w:rPr>
                <w:rFonts w:ascii="Verdana" w:hAnsi="Verdana"/>
                <w:sz w:val="16"/>
                <w:szCs w:val="16"/>
                <w:lang w:val="en-US"/>
              </w:rPr>
              <w:t>) 70 m X 0.53 mm or any equivalent column that provides method performance that meets the specifications of this Standard.</w:t>
            </w:r>
          </w:p>
        </w:tc>
      </w:tr>
      <w:tr w:rsidR="0058403A" w:rsidRPr="00F01347" w14:paraId="411C2F4D" w14:textId="789E716D" w:rsidTr="00F30304">
        <w:tc>
          <w:tcPr>
            <w:tcW w:w="4675" w:type="dxa"/>
          </w:tcPr>
          <w:p w14:paraId="1A54C527"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 Flujo de gas acarreador 4 ml/min</w:t>
            </w:r>
          </w:p>
        </w:tc>
        <w:tc>
          <w:tcPr>
            <w:tcW w:w="4675" w:type="dxa"/>
          </w:tcPr>
          <w:p w14:paraId="71726126" w14:textId="75EADF02"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 Carrier gas flow 4 ml/min</w:t>
            </w:r>
          </w:p>
        </w:tc>
      </w:tr>
      <w:tr w:rsidR="0058403A" w:rsidRPr="00F01347" w14:paraId="12B0BA9D" w14:textId="1B4AB6E8" w:rsidTr="00F30304">
        <w:tc>
          <w:tcPr>
            <w:tcW w:w="4675" w:type="dxa"/>
          </w:tcPr>
          <w:p w14:paraId="714F8510"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 xml:space="preserve">● Programación de condiciones: temperatura inicial 40 °C durante 3 minutos, 8 °C/minuto hasta 260 °C, hasta que todos los compuestos esperados hayan </w:t>
            </w:r>
            <w:proofErr w:type="spellStart"/>
            <w:r w:rsidRPr="00F01347">
              <w:rPr>
                <w:rFonts w:ascii="Verdana" w:hAnsi="Verdana"/>
                <w:sz w:val="16"/>
                <w:szCs w:val="16"/>
              </w:rPr>
              <w:t>eluido</w:t>
            </w:r>
            <w:proofErr w:type="spellEnd"/>
            <w:r w:rsidRPr="00F01347">
              <w:rPr>
                <w:rFonts w:ascii="Verdana" w:hAnsi="Verdana"/>
                <w:sz w:val="16"/>
                <w:szCs w:val="16"/>
              </w:rPr>
              <w:t>.</w:t>
            </w:r>
          </w:p>
        </w:tc>
        <w:tc>
          <w:tcPr>
            <w:tcW w:w="4675" w:type="dxa"/>
          </w:tcPr>
          <w:p w14:paraId="1C57AB0A" w14:textId="0CF7FB1A"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 Condition programming: initial temperature 40 °C for 3 minutes, 8 °C/minute up to 260 °C, until all expected compounds have eluted</w:t>
            </w:r>
            <w:r w:rsidR="003E1BA9" w:rsidRPr="00F01347">
              <w:rPr>
                <w:rFonts w:ascii="Verdana" w:hAnsi="Verdana"/>
                <w:sz w:val="16"/>
                <w:szCs w:val="16"/>
                <w:lang w:val="en-US"/>
              </w:rPr>
              <w:t>.</w:t>
            </w:r>
          </w:p>
        </w:tc>
      </w:tr>
      <w:tr w:rsidR="0058403A" w:rsidRPr="00F01347" w14:paraId="46E4EDA3" w14:textId="0071B1FB" w:rsidTr="00F30304">
        <w:tc>
          <w:tcPr>
            <w:tcW w:w="4675" w:type="dxa"/>
          </w:tcPr>
          <w:p w14:paraId="20F3DFFF"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 xml:space="preserve">● </w:t>
            </w:r>
            <w:proofErr w:type="spellStart"/>
            <w:r w:rsidRPr="00F01347">
              <w:rPr>
                <w:rFonts w:ascii="Verdana" w:hAnsi="Verdana"/>
                <w:sz w:val="16"/>
                <w:szCs w:val="16"/>
              </w:rPr>
              <w:t>Bake</w:t>
            </w:r>
            <w:proofErr w:type="spellEnd"/>
            <w:r w:rsidRPr="00F01347">
              <w:rPr>
                <w:rFonts w:ascii="Verdana" w:hAnsi="Verdana"/>
                <w:sz w:val="16"/>
                <w:szCs w:val="16"/>
              </w:rPr>
              <w:t xml:space="preserve"> </w:t>
            </w:r>
            <w:proofErr w:type="spellStart"/>
            <w:r w:rsidRPr="00F01347">
              <w:rPr>
                <w:rFonts w:ascii="Verdana" w:hAnsi="Verdana"/>
                <w:sz w:val="16"/>
                <w:szCs w:val="16"/>
              </w:rPr>
              <w:t>column</w:t>
            </w:r>
            <w:proofErr w:type="spellEnd"/>
            <w:r w:rsidRPr="00F01347">
              <w:rPr>
                <w:rFonts w:ascii="Verdana" w:hAnsi="Verdana"/>
                <w:sz w:val="16"/>
                <w:szCs w:val="16"/>
              </w:rPr>
              <w:t xml:space="preserve"> durante 75 minutos.</w:t>
            </w:r>
          </w:p>
        </w:tc>
        <w:tc>
          <w:tcPr>
            <w:tcW w:w="4675" w:type="dxa"/>
          </w:tcPr>
          <w:p w14:paraId="24C58CE1" w14:textId="454DAFBA"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 Bake column for 75 minutes.</w:t>
            </w:r>
          </w:p>
        </w:tc>
      </w:tr>
      <w:tr w:rsidR="0058403A" w:rsidRPr="00F01347" w14:paraId="003106E2" w14:textId="6E7366AA" w:rsidTr="00F30304">
        <w:tc>
          <w:tcPr>
            <w:tcW w:w="4675" w:type="dxa"/>
          </w:tcPr>
          <w:p w14:paraId="577D624D"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De manera general las condiciones de análisis estarán en función de los equipos e instrumento utilizado para la determinación (</w:t>
            </w:r>
            <w:proofErr w:type="gramStart"/>
            <w:r w:rsidRPr="00F01347">
              <w:rPr>
                <w:rFonts w:ascii="Verdana" w:hAnsi="Verdana"/>
                <w:sz w:val="16"/>
                <w:szCs w:val="16"/>
              </w:rPr>
              <w:t>éstos incluye</w:t>
            </w:r>
            <w:proofErr w:type="gramEnd"/>
            <w:r w:rsidRPr="00F01347">
              <w:rPr>
                <w:rFonts w:ascii="Verdana" w:hAnsi="Verdana"/>
                <w:sz w:val="16"/>
                <w:szCs w:val="16"/>
              </w:rPr>
              <w:t xml:space="preserve"> cromatógrafo, detector, columna cromatográfica, etc.).</w:t>
            </w:r>
          </w:p>
        </w:tc>
        <w:tc>
          <w:tcPr>
            <w:tcW w:w="4675" w:type="dxa"/>
          </w:tcPr>
          <w:p w14:paraId="5C36802B" w14:textId="09BE9E31"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In general, the analysis conditions will depend on the equipment and instrument used for the determination </w:t>
            </w:r>
            <w:r w:rsidR="00CB209C" w:rsidRPr="00F01347">
              <w:rPr>
                <w:rFonts w:ascii="Verdana" w:hAnsi="Verdana"/>
                <w:sz w:val="16"/>
                <w:szCs w:val="16"/>
                <w:lang w:val="en-US"/>
              </w:rPr>
              <w:t>(</w:t>
            </w:r>
            <w:r w:rsidRPr="00F01347">
              <w:rPr>
                <w:rFonts w:ascii="Verdana" w:hAnsi="Verdana"/>
                <w:sz w:val="16"/>
                <w:szCs w:val="16"/>
                <w:lang w:val="en-US"/>
              </w:rPr>
              <w:t>these include chromatograph, detector, chromatographic column, etc.).</w:t>
            </w:r>
          </w:p>
        </w:tc>
      </w:tr>
      <w:tr w:rsidR="0058403A" w:rsidRPr="00F01347" w14:paraId="352671F6" w14:textId="6C7DE835" w:rsidTr="00F30304">
        <w:tc>
          <w:tcPr>
            <w:tcW w:w="4675" w:type="dxa"/>
          </w:tcPr>
          <w:p w14:paraId="73E1B695"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El espectrómetro de masas requiere un ajuste adicional, sintonizando de tal manera que al comienzo de cada periodo de 12 horas de análisis y antes del análisis de blancos, estándares y muestras verificar el sistema CG/EM inyectando 25 ng de 4-bromofluorobenceno (BFB) directamente en la columna del cromatógrafo. Si se dificulta la inyección directa, adicionar 1 µL de disolución de BFB de 25 µg/</w:t>
            </w:r>
            <w:proofErr w:type="spellStart"/>
            <w:r w:rsidRPr="00F01347">
              <w:rPr>
                <w:rFonts w:ascii="Verdana" w:hAnsi="Verdana"/>
                <w:sz w:val="16"/>
                <w:szCs w:val="16"/>
              </w:rPr>
              <w:t>mL</w:t>
            </w:r>
            <w:proofErr w:type="spellEnd"/>
            <w:r w:rsidRPr="00F01347">
              <w:rPr>
                <w:rFonts w:ascii="Verdana" w:hAnsi="Verdana"/>
                <w:sz w:val="16"/>
                <w:szCs w:val="16"/>
              </w:rPr>
              <w:t xml:space="preserve"> a 25 </w:t>
            </w:r>
            <w:proofErr w:type="spellStart"/>
            <w:r w:rsidRPr="00F01347">
              <w:rPr>
                <w:rFonts w:ascii="Verdana" w:hAnsi="Verdana"/>
                <w:sz w:val="16"/>
                <w:szCs w:val="16"/>
              </w:rPr>
              <w:t>mL</w:t>
            </w:r>
            <w:proofErr w:type="spellEnd"/>
            <w:r w:rsidRPr="00F01347">
              <w:rPr>
                <w:rFonts w:ascii="Verdana" w:hAnsi="Verdana"/>
                <w:sz w:val="16"/>
                <w:szCs w:val="16"/>
              </w:rPr>
              <w:t xml:space="preserve"> de agua en una jeringa utilizada para transferir muestras para dispositivos de purga y analizar como una muestra. Se debe de obtener un espectro de masas de corrección de fondo y confirmar que se cumplen los criterios de abundancia m/z descritos en la Tabla B.3-1. Si no se cumplen todos los criterios, repetir la prueba hasta que se cumplan todos.</w:t>
            </w:r>
          </w:p>
        </w:tc>
        <w:tc>
          <w:tcPr>
            <w:tcW w:w="4675" w:type="dxa"/>
          </w:tcPr>
          <w:p w14:paraId="35421A70" w14:textId="187370F3"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The mass spectrometer requires additional adjustment, tuning such that at the beginning of each 12-hour analysis period and before analysis of blanks, </w:t>
            </w:r>
            <w:r w:rsidR="00520E68" w:rsidRPr="00F01347">
              <w:rPr>
                <w:rFonts w:ascii="Verdana" w:hAnsi="Verdana"/>
                <w:sz w:val="16"/>
                <w:szCs w:val="16"/>
                <w:lang w:val="en-US"/>
              </w:rPr>
              <w:t>standards,</w:t>
            </w:r>
            <w:r w:rsidRPr="00F01347">
              <w:rPr>
                <w:rFonts w:ascii="Verdana" w:hAnsi="Verdana"/>
                <w:sz w:val="16"/>
                <w:szCs w:val="16"/>
                <w:lang w:val="en-US"/>
              </w:rPr>
              <w:t xml:space="preserve"> and samples, verify the GC/MS system by injecting 25 ng of 4-bromofluorobenzene (BFB). directly into the chromatograph column. If direct injection is difficult, add 1 µL of 25 µg/ mL BFB solution to 25 mL of water in a syringe used to transfer samples to purge devices and analyze as a sample. A background correction mass spectrum must be obtained and confirmed that the m/z abundance criteria described in Table B.3-1 are met. If all criteria are not met, repeat the test until all criteria are met.</w:t>
            </w:r>
          </w:p>
        </w:tc>
      </w:tr>
      <w:tr w:rsidR="0058403A" w:rsidRPr="00F01347" w14:paraId="449FE854" w14:textId="0DA778D6" w:rsidTr="00F30304">
        <w:tc>
          <w:tcPr>
            <w:tcW w:w="4675" w:type="dxa"/>
          </w:tcPr>
          <w:p w14:paraId="1EEEA796"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 xml:space="preserve">En relación con el procedimiento de purga y trampa, es necesario llevar a cabo el análisis para la purga y </w:t>
            </w:r>
            <w:r w:rsidRPr="00F01347">
              <w:rPr>
                <w:rFonts w:ascii="Verdana" w:hAnsi="Verdana"/>
                <w:sz w:val="16"/>
                <w:szCs w:val="16"/>
              </w:rPr>
              <w:lastRenderedPageBreak/>
              <w:t xml:space="preserve">concentración de los analitos a temperatura ambiente. Es necesario que los estándares de calibración, muestras y muestras control de calidad sean purgadas a la misma temperatura. Purgar la muestra con helio u otro gas inerte a un flujo entre 20 y 40 </w:t>
            </w:r>
            <w:proofErr w:type="spellStart"/>
            <w:r w:rsidRPr="00F01347">
              <w:rPr>
                <w:rFonts w:ascii="Verdana" w:hAnsi="Verdana"/>
                <w:sz w:val="16"/>
                <w:szCs w:val="16"/>
              </w:rPr>
              <w:t>mL</w:t>
            </w:r>
            <w:proofErr w:type="spellEnd"/>
            <w:r w:rsidRPr="00F01347">
              <w:rPr>
                <w:rFonts w:ascii="Verdana" w:hAnsi="Verdana"/>
                <w:sz w:val="16"/>
                <w:szCs w:val="16"/>
              </w:rPr>
              <w:t>/minuto durante 11 minutos.</w:t>
            </w:r>
          </w:p>
        </w:tc>
        <w:tc>
          <w:tcPr>
            <w:tcW w:w="4675" w:type="dxa"/>
          </w:tcPr>
          <w:p w14:paraId="6CD34FA7" w14:textId="151DCFA8" w:rsidR="0058403A" w:rsidRPr="00F01347" w:rsidRDefault="00520E68" w:rsidP="0058403A">
            <w:pPr>
              <w:pStyle w:val="texto0"/>
              <w:spacing w:line="220" w:lineRule="exact"/>
              <w:ind w:firstLine="0"/>
              <w:rPr>
                <w:rFonts w:ascii="Verdana" w:hAnsi="Verdana"/>
                <w:sz w:val="16"/>
                <w:szCs w:val="16"/>
                <w:lang w:val="en-US"/>
              </w:rPr>
            </w:pPr>
            <w:proofErr w:type="gramStart"/>
            <w:r w:rsidRPr="00F01347">
              <w:rPr>
                <w:rFonts w:ascii="Verdana" w:hAnsi="Verdana"/>
                <w:sz w:val="16"/>
                <w:szCs w:val="16"/>
                <w:lang w:val="en-US"/>
              </w:rPr>
              <w:lastRenderedPageBreak/>
              <w:t>With regard</w:t>
            </w:r>
            <w:r w:rsidR="0058403A" w:rsidRPr="00F01347">
              <w:rPr>
                <w:rFonts w:ascii="Verdana" w:hAnsi="Verdana"/>
                <w:sz w:val="16"/>
                <w:szCs w:val="16"/>
                <w:lang w:val="en-US"/>
              </w:rPr>
              <w:t xml:space="preserve"> to</w:t>
            </w:r>
            <w:proofErr w:type="gramEnd"/>
            <w:r w:rsidR="0058403A" w:rsidRPr="00F01347">
              <w:rPr>
                <w:rFonts w:ascii="Verdana" w:hAnsi="Verdana"/>
                <w:sz w:val="16"/>
                <w:szCs w:val="16"/>
                <w:lang w:val="en-US"/>
              </w:rPr>
              <w:t xml:space="preserve"> the purge and trap procedure, it is necessary to carry out the analysis for the purge and </w:t>
            </w:r>
            <w:r w:rsidR="0058403A" w:rsidRPr="00F01347">
              <w:rPr>
                <w:rFonts w:ascii="Verdana" w:hAnsi="Verdana"/>
                <w:sz w:val="16"/>
                <w:szCs w:val="16"/>
                <w:lang w:val="en-US"/>
              </w:rPr>
              <w:lastRenderedPageBreak/>
              <w:t xml:space="preserve">concentration of the analytes at room temperature. It is necessary that the calibration standards, </w:t>
            </w:r>
            <w:r w:rsidRPr="00F01347">
              <w:rPr>
                <w:rFonts w:ascii="Verdana" w:hAnsi="Verdana"/>
                <w:sz w:val="16"/>
                <w:szCs w:val="16"/>
                <w:lang w:val="en-US"/>
              </w:rPr>
              <w:t>samples,</w:t>
            </w:r>
            <w:r w:rsidR="0058403A" w:rsidRPr="00F01347">
              <w:rPr>
                <w:rFonts w:ascii="Verdana" w:hAnsi="Verdana"/>
                <w:sz w:val="16"/>
                <w:szCs w:val="16"/>
                <w:lang w:val="en-US"/>
              </w:rPr>
              <w:t xml:space="preserve"> and quality control samples be purged at the same temperature. Purge the sample with helium or other inert gas at a flow rate between 20 and 40 mL /minute for 11 minutes.</w:t>
            </w:r>
          </w:p>
        </w:tc>
      </w:tr>
      <w:tr w:rsidR="0058403A" w:rsidRPr="00F01347" w14:paraId="41EFCB2E" w14:textId="3757F8DE" w:rsidTr="00F30304">
        <w:tc>
          <w:tcPr>
            <w:tcW w:w="4675" w:type="dxa"/>
          </w:tcPr>
          <w:p w14:paraId="45A0B941"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lastRenderedPageBreak/>
              <w:t xml:space="preserve">Llevar a cabo la desorción utilizando una temperatura de 245 °C con un flujo de 10 </w:t>
            </w:r>
            <w:proofErr w:type="spellStart"/>
            <w:r w:rsidRPr="00F01347">
              <w:rPr>
                <w:rFonts w:ascii="Verdana" w:hAnsi="Verdana"/>
                <w:sz w:val="16"/>
                <w:szCs w:val="16"/>
              </w:rPr>
              <w:t>mL</w:t>
            </w:r>
            <w:proofErr w:type="spellEnd"/>
            <w:r w:rsidRPr="00F01347">
              <w:rPr>
                <w:rFonts w:ascii="Verdana" w:hAnsi="Verdana"/>
                <w:sz w:val="16"/>
                <w:szCs w:val="16"/>
              </w:rPr>
              <w:t xml:space="preserve">/min y una duración de 1.5 minutos o </w:t>
            </w:r>
            <w:proofErr w:type="gramStart"/>
            <w:r w:rsidRPr="00F01347">
              <w:rPr>
                <w:rFonts w:ascii="Verdana" w:hAnsi="Verdana"/>
                <w:sz w:val="16"/>
                <w:szCs w:val="16"/>
              </w:rPr>
              <w:t>de acuerdo a</w:t>
            </w:r>
            <w:proofErr w:type="gramEnd"/>
            <w:r w:rsidRPr="00F01347">
              <w:rPr>
                <w:rFonts w:ascii="Verdana" w:hAnsi="Verdana"/>
                <w:sz w:val="16"/>
                <w:szCs w:val="16"/>
              </w:rPr>
              <w:t xml:space="preserve"> las condiciones establecidas durante la optimización del método. Después de la desorción de la muestra reacondicionar la trampa reiniciando el ciclo de purga y manteniendo la temperatura de la trampa a 245 °C durante 10 minutos.</w:t>
            </w:r>
          </w:p>
        </w:tc>
        <w:tc>
          <w:tcPr>
            <w:tcW w:w="4675" w:type="dxa"/>
          </w:tcPr>
          <w:p w14:paraId="44F32105" w14:textId="7E168815"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Carry out the desorption using a temperature of 245 °C with a flow of 10 mL /min and a duration of 1.5 minutes or according to the conditions established during method optimization. After sample desorption recondition the trap by restarting the purge cycle and maintaining the trap temperature at 245 °C for 10 minutes.</w:t>
            </w:r>
          </w:p>
        </w:tc>
      </w:tr>
      <w:tr w:rsidR="0058403A" w:rsidRPr="00F01347" w14:paraId="20ECAFD0" w14:textId="7E506A75" w:rsidTr="00F30304">
        <w:tc>
          <w:tcPr>
            <w:tcW w:w="4675" w:type="dxa"/>
          </w:tcPr>
          <w:p w14:paraId="27527203"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Proceder de igual manera con los blancos, curva de calibración y muestras de control de calidad.</w:t>
            </w:r>
          </w:p>
        </w:tc>
        <w:tc>
          <w:tcPr>
            <w:tcW w:w="4675" w:type="dxa"/>
          </w:tcPr>
          <w:p w14:paraId="6E110862" w14:textId="416F78C7"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Proceed in the same way with the blanks, calibration curve and quality control samples.</w:t>
            </w:r>
          </w:p>
        </w:tc>
      </w:tr>
      <w:tr w:rsidR="0058403A" w:rsidRPr="00F01347" w14:paraId="282E9821" w14:textId="35D402B9" w:rsidTr="00F30304">
        <w:tc>
          <w:tcPr>
            <w:tcW w:w="4675" w:type="dxa"/>
          </w:tcPr>
          <w:p w14:paraId="3321866B"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De manera general las condiciones de análisis estarán en función del equipo utilizado para la determinación (sistema de purga y trampa y trampa utilizada).</w:t>
            </w:r>
          </w:p>
        </w:tc>
        <w:tc>
          <w:tcPr>
            <w:tcW w:w="4675" w:type="dxa"/>
          </w:tcPr>
          <w:p w14:paraId="217934EC" w14:textId="6C793A8A"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In general, the analysis conditions will depend on the equipment used for the determination (purge and trap system and trap used).</w:t>
            </w:r>
          </w:p>
        </w:tc>
      </w:tr>
      <w:tr w:rsidR="0058403A" w:rsidRPr="00F01347" w14:paraId="6E3F7CF2" w14:textId="14B984D1" w:rsidTr="00F30304">
        <w:tc>
          <w:tcPr>
            <w:tcW w:w="4675" w:type="dxa"/>
          </w:tcPr>
          <w:p w14:paraId="1E8EFAFD" w14:textId="77777777" w:rsidR="0058403A" w:rsidRPr="00F01347" w:rsidRDefault="0058403A" w:rsidP="0058403A">
            <w:pPr>
              <w:pStyle w:val="texto0"/>
              <w:spacing w:line="220" w:lineRule="exact"/>
              <w:ind w:firstLine="0"/>
              <w:rPr>
                <w:rFonts w:ascii="Verdana" w:hAnsi="Verdana"/>
                <w:b/>
                <w:sz w:val="16"/>
                <w:szCs w:val="16"/>
              </w:rPr>
            </w:pPr>
            <w:r w:rsidRPr="00F01347">
              <w:rPr>
                <w:rFonts w:ascii="Verdana" w:hAnsi="Verdana"/>
                <w:b/>
                <w:sz w:val="16"/>
                <w:szCs w:val="16"/>
              </w:rPr>
              <w:t>B.3.6.3 Análisis de la muestra</w:t>
            </w:r>
          </w:p>
        </w:tc>
        <w:tc>
          <w:tcPr>
            <w:tcW w:w="4675" w:type="dxa"/>
          </w:tcPr>
          <w:p w14:paraId="2C2913B4" w14:textId="01C7AE95" w:rsidR="0058403A" w:rsidRPr="00F01347" w:rsidRDefault="0058403A" w:rsidP="0058403A">
            <w:pPr>
              <w:pStyle w:val="texto0"/>
              <w:spacing w:line="220" w:lineRule="exact"/>
              <w:ind w:firstLine="0"/>
              <w:rPr>
                <w:rFonts w:ascii="Verdana" w:hAnsi="Verdana"/>
                <w:b/>
                <w:sz w:val="16"/>
                <w:szCs w:val="16"/>
                <w:lang w:val="en-US"/>
              </w:rPr>
            </w:pPr>
            <w:r w:rsidRPr="00F01347">
              <w:rPr>
                <w:rFonts w:ascii="Verdana" w:hAnsi="Verdana"/>
                <w:b/>
                <w:sz w:val="16"/>
                <w:szCs w:val="16"/>
                <w:lang w:val="en-US"/>
              </w:rPr>
              <w:t>B.3.6.3 Sample analysis</w:t>
            </w:r>
          </w:p>
        </w:tc>
      </w:tr>
      <w:tr w:rsidR="0058403A" w:rsidRPr="00F01347" w14:paraId="3C84F6E4" w14:textId="1F5989C9" w:rsidTr="00F30304">
        <w:tc>
          <w:tcPr>
            <w:tcW w:w="4675" w:type="dxa"/>
          </w:tcPr>
          <w:p w14:paraId="14A9433B" w14:textId="77777777" w:rsidR="0058403A" w:rsidRPr="00F01347" w:rsidRDefault="0058403A" w:rsidP="0058403A">
            <w:pPr>
              <w:pStyle w:val="texto0"/>
              <w:spacing w:line="220" w:lineRule="exact"/>
              <w:ind w:firstLine="0"/>
              <w:rPr>
                <w:rFonts w:ascii="Verdana" w:hAnsi="Verdana"/>
                <w:sz w:val="16"/>
                <w:szCs w:val="16"/>
              </w:rPr>
            </w:pPr>
            <w:r w:rsidRPr="00F01347">
              <w:rPr>
                <w:rFonts w:ascii="Verdana" w:hAnsi="Verdana"/>
                <w:sz w:val="16"/>
                <w:szCs w:val="16"/>
              </w:rPr>
              <w:t xml:space="preserve">Las muestras deben almacenarse en viales con tapa con un espacio mínimo de cabeza, a 4 °C o menos y en un área libre de disolventes orgánicos. El tamaño de alguna burbuja formada durante el enfriamiento de la muestra no debe ser mayor de 5-6 mm, cuando se observe alguna burbuja en el vial se debe revisar que éste no presente fuga, de ser así la muestra debe descartarse. Todas las muestras deben analizarse tan pronto como sea posible, después de haber sido recolectadas, generalmente en un máximo de 14 días </w:t>
            </w:r>
            <w:proofErr w:type="gramStart"/>
            <w:r w:rsidRPr="00F01347">
              <w:rPr>
                <w:rFonts w:ascii="Verdana" w:hAnsi="Verdana"/>
                <w:sz w:val="16"/>
                <w:szCs w:val="16"/>
              </w:rPr>
              <w:t>después  de</w:t>
            </w:r>
            <w:proofErr w:type="gramEnd"/>
            <w:r w:rsidRPr="00F01347">
              <w:rPr>
                <w:rFonts w:ascii="Verdana" w:hAnsi="Verdana"/>
                <w:sz w:val="16"/>
                <w:szCs w:val="16"/>
              </w:rPr>
              <w:t xml:space="preserve"> la recolección.</w:t>
            </w:r>
          </w:p>
        </w:tc>
        <w:tc>
          <w:tcPr>
            <w:tcW w:w="4675" w:type="dxa"/>
          </w:tcPr>
          <w:p w14:paraId="4907A74E" w14:textId="648133B6" w:rsidR="0058403A" w:rsidRPr="00F01347" w:rsidRDefault="0058403A" w:rsidP="0058403A">
            <w:pPr>
              <w:pStyle w:val="texto0"/>
              <w:spacing w:line="220" w:lineRule="exact"/>
              <w:ind w:firstLine="0"/>
              <w:rPr>
                <w:rFonts w:ascii="Verdana" w:hAnsi="Verdana"/>
                <w:sz w:val="16"/>
                <w:szCs w:val="16"/>
                <w:lang w:val="en-US"/>
              </w:rPr>
            </w:pPr>
            <w:r w:rsidRPr="00F01347">
              <w:rPr>
                <w:rFonts w:ascii="Verdana" w:hAnsi="Verdana"/>
                <w:sz w:val="16"/>
                <w:szCs w:val="16"/>
                <w:lang w:val="en-US"/>
              </w:rPr>
              <w:t>Samples should be stored in capped vials with minimal headspace, at 4°C or lower, and in an area free of organic solvents. The size of any bubble formed during the cooling of the sample should not be greater than 5-6 mm. When any bubble is observed in the vial, it should be checked to ensure that it does not leak; if so, the sample should be discarded. All samples should be analyzed as soon as possible after being collected, usually no later than 14 days after collection.</w:t>
            </w:r>
          </w:p>
        </w:tc>
      </w:tr>
      <w:tr w:rsidR="0058403A" w:rsidRPr="00F01347" w14:paraId="2BCDC334" w14:textId="3B4183DD" w:rsidTr="00F30304">
        <w:tc>
          <w:tcPr>
            <w:tcW w:w="4675" w:type="dxa"/>
          </w:tcPr>
          <w:p w14:paraId="5400551B" w14:textId="77777777" w:rsidR="0058403A" w:rsidRPr="00F01347" w:rsidRDefault="0058403A" w:rsidP="0058403A">
            <w:pPr>
              <w:pStyle w:val="texto0"/>
              <w:spacing w:line="238" w:lineRule="exact"/>
              <w:ind w:firstLine="0"/>
              <w:rPr>
                <w:rFonts w:ascii="Verdana" w:hAnsi="Verdana"/>
                <w:sz w:val="16"/>
                <w:szCs w:val="16"/>
              </w:rPr>
            </w:pPr>
            <w:r w:rsidRPr="00F01347">
              <w:rPr>
                <w:rFonts w:ascii="Verdana" w:hAnsi="Verdana"/>
                <w:sz w:val="16"/>
                <w:szCs w:val="16"/>
              </w:rPr>
              <w:t xml:space="preserve">Poner a temperatura ambiente la muestra y transferir 5mL al dispositivo de purga utilizando el </w:t>
            </w:r>
            <w:proofErr w:type="spellStart"/>
            <w:r w:rsidRPr="00F01347">
              <w:rPr>
                <w:rFonts w:ascii="Verdana" w:hAnsi="Verdana"/>
                <w:sz w:val="16"/>
                <w:szCs w:val="16"/>
              </w:rPr>
              <w:t>automuestreador</w:t>
            </w:r>
            <w:proofErr w:type="spellEnd"/>
            <w:r w:rsidRPr="00F01347">
              <w:rPr>
                <w:rFonts w:ascii="Verdana" w:hAnsi="Verdana"/>
                <w:sz w:val="16"/>
                <w:szCs w:val="16"/>
              </w:rPr>
              <w:t xml:space="preserve">, o manualmente utilizando una jeringa. Si los volúmenes de muestra son mayores de 5 </w:t>
            </w:r>
            <w:proofErr w:type="spellStart"/>
            <w:r w:rsidRPr="00F01347">
              <w:rPr>
                <w:rFonts w:ascii="Verdana" w:hAnsi="Verdana"/>
                <w:sz w:val="16"/>
                <w:szCs w:val="16"/>
              </w:rPr>
              <w:t>mL</w:t>
            </w:r>
            <w:proofErr w:type="spellEnd"/>
            <w:r w:rsidRPr="00F01347">
              <w:rPr>
                <w:rFonts w:ascii="Verdana" w:hAnsi="Verdana"/>
                <w:sz w:val="16"/>
                <w:szCs w:val="16"/>
              </w:rPr>
              <w:t xml:space="preserve">, por ejemplo muestras de 25 </w:t>
            </w:r>
            <w:proofErr w:type="spellStart"/>
            <w:r w:rsidRPr="00F01347">
              <w:rPr>
                <w:rFonts w:ascii="Verdana" w:hAnsi="Verdana"/>
                <w:sz w:val="16"/>
                <w:szCs w:val="16"/>
              </w:rPr>
              <w:t>mL</w:t>
            </w:r>
            <w:proofErr w:type="spellEnd"/>
            <w:r w:rsidRPr="00F01347">
              <w:rPr>
                <w:rFonts w:ascii="Verdana" w:hAnsi="Verdana"/>
                <w:sz w:val="16"/>
                <w:szCs w:val="16"/>
              </w:rPr>
              <w:t xml:space="preserve">, entonces los volúmenes de los estándares de calibración </w:t>
            </w:r>
            <w:proofErr w:type="gramStart"/>
            <w:r w:rsidRPr="00F01347">
              <w:rPr>
                <w:rFonts w:ascii="Verdana" w:hAnsi="Verdana"/>
                <w:sz w:val="16"/>
                <w:szCs w:val="16"/>
              </w:rPr>
              <w:t>deben  ser</w:t>
            </w:r>
            <w:proofErr w:type="gramEnd"/>
            <w:r w:rsidRPr="00F01347">
              <w:rPr>
                <w:rFonts w:ascii="Verdana" w:hAnsi="Verdana"/>
                <w:sz w:val="16"/>
                <w:szCs w:val="16"/>
              </w:rPr>
              <w:t xml:space="preserve"> los mismos.</w:t>
            </w:r>
          </w:p>
        </w:tc>
        <w:tc>
          <w:tcPr>
            <w:tcW w:w="4675" w:type="dxa"/>
          </w:tcPr>
          <w:p w14:paraId="5B6C993D" w14:textId="0520476C" w:rsidR="0058403A" w:rsidRPr="00F01347" w:rsidRDefault="0058403A" w:rsidP="0058403A">
            <w:pPr>
              <w:pStyle w:val="texto0"/>
              <w:spacing w:line="238" w:lineRule="exact"/>
              <w:ind w:firstLine="0"/>
              <w:rPr>
                <w:rFonts w:ascii="Verdana" w:hAnsi="Verdana"/>
                <w:sz w:val="16"/>
                <w:szCs w:val="16"/>
                <w:lang w:val="en-US"/>
              </w:rPr>
            </w:pPr>
            <w:r w:rsidRPr="00F01347">
              <w:rPr>
                <w:rFonts w:ascii="Verdana" w:hAnsi="Verdana"/>
                <w:sz w:val="16"/>
                <w:szCs w:val="16"/>
                <w:lang w:val="en-US"/>
              </w:rPr>
              <w:t>Bring the sample to room temperature and transfer 5mL to the purge device using the autosampler</w:t>
            </w:r>
            <w:r w:rsidR="003E1BA9" w:rsidRPr="00F01347">
              <w:rPr>
                <w:rFonts w:ascii="Verdana" w:hAnsi="Verdana"/>
                <w:sz w:val="16"/>
                <w:szCs w:val="16"/>
                <w:lang w:val="en-US"/>
              </w:rPr>
              <w:t>,</w:t>
            </w:r>
            <w:r w:rsidRPr="00F01347">
              <w:rPr>
                <w:rFonts w:ascii="Verdana" w:hAnsi="Verdana"/>
                <w:sz w:val="16"/>
                <w:szCs w:val="16"/>
                <w:lang w:val="en-US"/>
              </w:rPr>
              <w:t xml:space="preserve"> or manually using a syringe. If the sample volumes are greater than 5 mL</w:t>
            </w:r>
            <w:r w:rsidR="003E1BA9" w:rsidRPr="00F01347">
              <w:rPr>
                <w:rFonts w:ascii="Verdana" w:hAnsi="Verdana"/>
                <w:sz w:val="16"/>
                <w:szCs w:val="16"/>
                <w:lang w:val="en-US"/>
              </w:rPr>
              <w:t>,</w:t>
            </w:r>
            <w:r w:rsidRPr="00F01347">
              <w:rPr>
                <w:rFonts w:ascii="Verdana" w:hAnsi="Verdana"/>
                <w:sz w:val="16"/>
                <w:szCs w:val="16"/>
                <w:lang w:val="en-US"/>
              </w:rPr>
              <w:t xml:space="preserve"> for example 25 mL samples</w:t>
            </w:r>
            <w:r w:rsidR="003E1BA9" w:rsidRPr="00F01347">
              <w:rPr>
                <w:rFonts w:ascii="Verdana" w:hAnsi="Verdana"/>
                <w:sz w:val="16"/>
                <w:szCs w:val="16"/>
                <w:lang w:val="en-US"/>
              </w:rPr>
              <w:t>,</w:t>
            </w:r>
            <w:r w:rsidRPr="00F01347">
              <w:rPr>
                <w:rFonts w:ascii="Verdana" w:hAnsi="Verdana"/>
                <w:sz w:val="16"/>
                <w:szCs w:val="16"/>
                <w:lang w:val="en-US"/>
              </w:rPr>
              <w:t xml:space="preserve"> then the volumes of the calibration standards </w:t>
            </w:r>
            <w:r w:rsidR="00520E68" w:rsidRPr="00F01347">
              <w:rPr>
                <w:rFonts w:ascii="Verdana" w:hAnsi="Verdana"/>
                <w:sz w:val="16"/>
                <w:szCs w:val="16"/>
                <w:lang w:val="en-US"/>
              </w:rPr>
              <w:t>should</w:t>
            </w:r>
            <w:r w:rsidRPr="00F01347">
              <w:rPr>
                <w:rFonts w:ascii="Verdana" w:hAnsi="Verdana"/>
                <w:sz w:val="16"/>
                <w:szCs w:val="16"/>
                <w:lang w:val="en-US"/>
              </w:rPr>
              <w:t xml:space="preserve"> be the same.</w:t>
            </w:r>
          </w:p>
        </w:tc>
      </w:tr>
      <w:tr w:rsidR="0058403A" w:rsidRPr="00F01347" w14:paraId="49410C3D" w14:textId="23BB529A" w:rsidTr="00F30304">
        <w:tc>
          <w:tcPr>
            <w:tcW w:w="4675" w:type="dxa"/>
          </w:tcPr>
          <w:p w14:paraId="0FC665EE" w14:textId="77777777" w:rsidR="0058403A" w:rsidRPr="00F01347" w:rsidRDefault="0058403A" w:rsidP="0058403A">
            <w:pPr>
              <w:pStyle w:val="texto0"/>
              <w:spacing w:line="238" w:lineRule="exact"/>
              <w:ind w:firstLine="0"/>
              <w:rPr>
                <w:rFonts w:ascii="Verdana" w:hAnsi="Verdana"/>
                <w:sz w:val="16"/>
                <w:szCs w:val="16"/>
              </w:rPr>
            </w:pPr>
            <w:r w:rsidRPr="00F01347">
              <w:rPr>
                <w:rFonts w:ascii="Verdana" w:hAnsi="Verdana"/>
                <w:sz w:val="16"/>
                <w:szCs w:val="16"/>
              </w:rPr>
              <w:t xml:space="preserve">Para tomar la alícuota de la muestra que será inyectada en el sistema de purga en forma manual, utilizar una jeringa con válvula de cierre. Retirar el émbolo de la jeringa y cerrar la válvula. Abrir el envase de la muestra y cuidadosamente colocar la muestra dentro del cuerpo de la jeringa. Colocar nuevamente el émbolo de la jeringa y antes de presionar el émbolo, invertir la jeringa y abrir la válvula, posteriormente presionar el émbolo para eliminar el aire y ajustar el volumen de la muestra a 5 </w:t>
            </w:r>
            <w:proofErr w:type="spellStart"/>
            <w:r w:rsidRPr="00F01347">
              <w:rPr>
                <w:rFonts w:ascii="Verdana" w:hAnsi="Verdana"/>
                <w:sz w:val="16"/>
                <w:szCs w:val="16"/>
              </w:rPr>
              <w:t>ó</w:t>
            </w:r>
            <w:proofErr w:type="spellEnd"/>
            <w:r w:rsidRPr="00F01347">
              <w:rPr>
                <w:rFonts w:ascii="Verdana" w:hAnsi="Verdana"/>
                <w:sz w:val="16"/>
                <w:szCs w:val="16"/>
              </w:rPr>
              <w:t xml:space="preserve"> 25 </w:t>
            </w:r>
            <w:proofErr w:type="spellStart"/>
            <w:r w:rsidRPr="00F01347">
              <w:rPr>
                <w:rFonts w:ascii="Verdana" w:hAnsi="Verdana"/>
                <w:sz w:val="16"/>
                <w:szCs w:val="16"/>
              </w:rPr>
              <w:t>mL</w:t>
            </w:r>
            <w:proofErr w:type="spellEnd"/>
            <w:r w:rsidRPr="00F01347">
              <w:rPr>
                <w:rFonts w:ascii="Verdana" w:hAnsi="Verdana"/>
                <w:sz w:val="16"/>
                <w:szCs w:val="16"/>
              </w:rPr>
              <w:t xml:space="preserve"> según sea el caso.</w:t>
            </w:r>
          </w:p>
        </w:tc>
        <w:tc>
          <w:tcPr>
            <w:tcW w:w="4675" w:type="dxa"/>
          </w:tcPr>
          <w:p w14:paraId="645C9AA3" w14:textId="4CCD4473" w:rsidR="0058403A" w:rsidRPr="00F01347" w:rsidRDefault="00067D6E" w:rsidP="0058403A">
            <w:pPr>
              <w:pStyle w:val="texto0"/>
              <w:spacing w:line="238" w:lineRule="exact"/>
              <w:ind w:firstLine="0"/>
              <w:rPr>
                <w:rFonts w:ascii="Verdana" w:hAnsi="Verdana"/>
                <w:sz w:val="16"/>
                <w:szCs w:val="16"/>
                <w:lang w:val="en-US"/>
              </w:rPr>
            </w:pPr>
            <w:proofErr w:type="gramStart"/>
            <w:r w:rsidRPr="00F01347">
              <w:rPr>
                <w:rFonts w:ascii="Verdana" w:hAnsi="Verdana"/>
                <w:sz w:val="16"/>
                <w:szCs w:val="16"/>
                <w:lang w:val="en-US"/>
              </w:rPr>
              <w:t>In order to</w:t>
            </w:r>
            <w:proofErr w:type="gramEnd"/>
            <w:r w:rsidR="0058403A" w:rsidRPr="00F01347">
              <w:rPr>
                <w:rFonts w:ascii="Verdana" w:hAnsi="Verdana"/>
                <w:sz w:val="16"/>
                <w:szCs w:val="16"/>
                <w:lang w:val="en-US"/>
              </w:rPr>
              <w:t xml:space="preserve"> take the aliquot of the sample that will be injected into the purge system manually, use a syringe with a shut-off valve. Remove the plunger from the syringe and close the valve. Open the sample container and carefully place the sample into the body of the syringe. Replace the syringe plunger and before pressing the plunger, invert the syringe and open the valve, then press the plunger to eliminate the air and adjust the sample volume to 5 or 25 mL as appropriate.</w:t>
            </w:r>
          </w:p>
        </w:tc>
      </w:tr>
      <w:tr w:rsidR="0058403A" w:rsidRPr="00F01347" w14:paraId="35199340" w14:textId="1F46FBA7" w:rsidTr="00F30304">
        <w:tc>
          <w:tcPr>
            <w:tcW w:w="4675" w:type="dxa"/>
          </w:tcPr>
          <w:p w14:paraId="5F7F6383" w14:textId="77777777" w:rsidR="0058403A" w:rsidRPr="00F01347" w:rsidRDefault="0058403A" w:rsidP="0058403A">
            <w:pPr>
              <w:pStyle w:val="texto0"/>
              <w:spacing w:line="238" w:lineRule="exact"/>
              <w:ind w:firstLine="0"/>
              <w:rPr>
                <w:rFonts w:ascii="Verdana" w:hAnsi="Verdana"/>
                <w:sz w:val="16"/>
                <w:szCs w:val="16"/>
              </w:rPr>
            </w:pPr>
            <w:r w:rsidRPr="00F01347">
              <w:rPr>
                <w:rFonts w:ascii="Verdana" w:hAnsi="Verdana"/>
                <w:sz w:val="16"/>
                <w:szCs w:val="16"/>
              </w:rPr>
              <w:t>Si hay muestra suficiente disponible, utilizar otra jeringa para tomar una segunda alícuota, para su análisis por duplicado (una vez que la tapa de la muestra se ha removido, la muestra no se puede almacenar, debido al espacio de cabeza (</w:t>
            </w:r>
            <w:proofErr w:type="spellStart"/>
            <w:r w:rsidRPr="00F01347">
              <w:rPr>
                <w:rFonts w:ascii="Verdana" w:hAnsi="Verdana"/>
                <w:sz w:val="16"/>
                <w:szCs w:val="16"/>
              </w:rPr>
              <w:t>headspace</w:t>
            </w:r>
            <w:proofErr w:type="spellEnd"/>
            <w:r w:rsidRPr="00F01347">
              <w:rPr>
                <w:rFonts w:ascii="Verdana" w:hAnsi="Verdana"/>
                <w:sz w:val="16"/>
                <w:szCs w:val="16"/>
              </w:rPr>
              <w:t>).</w:t>
            </w:r>
          </w:p>
        </w:tc>
        <w:tc>
          <w:tcPr>
            <w:tcW w:w="4675" w:type="dxa"/>
          </w:tcPr>
          <w:p w14:paraId="0130F643" w14:textId="6B21212F" w:rsidR="0058403A" w:rsidRPr="00F01347" w:rsidRDefault="0058403A" w:rsidP="0058403A">
            <w:pPr>
              <w:pStyle w:val="texto0"/>
              <w:spacing w:line="238" w:lineRule="exact"/>
              <w:ind w:firstLine="0"/>
              <w:rPr>
                <w:rFonts w:ascii="Verdana" w:hAnsi="Verdana"/>
                <w:sz w:val="16"/>
                <w:szCs w:val="16"/>
                <w:lang w:val="en-US"/>
              </w:rPr>
            </w:pPr>
            <w:r w:rsidRPr="00F01347">
              <w:rPr>
                <w:rFonts w:ascii="Verdana" w:hAnsi="Verdana"/>
                <w:sz w:val="16"/>
                <w:szCs w:val="16"/>
                <w:lang w:val="en-US"/>
              </w:rPr>
              <w:t>If sufficient sample is available, use another syringe to take a second aliquot, for analysis in duplicate (once the sample cap has been removed, the sample cannot be stored, due to headspace</w:t>
            </w:r>
            <w:r w:rsidR="003E1BA9" w:rsidRPr="00F01347">
              <w:rPr>
                <w:rFonts w:ascii="Verdana" w:hAnsi="Verdana"/>
                <w:sz w:val="16"/>
                <w:szCs w:val="16"/>
                <w:lang w:val="en-US"/>
              </w:rPr>
              <w:t>.</w:t>
            </w:r>
          </w:p>
        </w:tc>
      </w:tr>
      <w:tr w:rsidR="0058403A" w:rsidRPr="00F01347" w14:paraId="02D5C75B" w14:textId="38F09046" w:rsidTr="00F30304">
        <w:tc>
          <w:tcPr>
            <w:tcW w:w="4675" w:type="dxa"/>
          </w:tcPr>
          <w:p w14:paraId="3132BEFD" w14:textId="77777777" w:rsidR="0058403A" w:rsidRPr="00F01347" w:rsidRDefault="0058403A" w:rsidP="0058403A">
            <w:pPr>
              <w:pStyle w:val="texto0"/>
              <w:spacing w:line="238" w:lineRule="exact"/>
              <w:ind w:firstLine="0"/>
              <w:rPr>
                <w:rFonts w:ascii="Verdana" w:hAnsi="Verdana"/>
                <w:sz w:val="16"/>
                <w:szCs w:val="16"/>
              </w:rPr>
            </w:pPr>
            <w:r w:rsidRPr="00F01347">
              <w:rPr>
                <w:rFonts w:ascii="Verdana" w:hAnsi="Verdana"/>
                <w:sz w:val="16"/>
                <w:szCs w:val="16"/>
              </w:rPr>
              <w:lastRenderedPageBreak/>
              <w:t xml:space="preserve">Adicionar una cantidad apropiada de la mezcla de los estándares </w:t>
            </w:r>
            <w:proofErr w:type="spellStart"/>
            <w:r w:rsidRPr="00F01347">
              <w:rPr>
                <w:rFonts w:ascii="Verdana" w:hAnsi="Verdana"/>
                <w:sz w:val="16"/>
                <w:szCs w:val="16"/>
              </w:rPr>
              <w:t>surrogados</w:t>
            </w:r>
            <w:proofErr w:type="spellEnd"/>
            <w:r w:rsidRPr="00F01347">
              <w:rPr>
                <w:rFonts w:ascii="Verdana" w:hAnsi="Verdana"/>
                <w:sz w:val="16"/>
                <w:szCs w:val="16"/>
              </w:rPr>
              <w:t xml:space="preserve"> y estándar interno a través del orificio de la válvula y cerrarla. Unir con el dispositivo de purga, abrir las válvulas e inyectar la muestra en el recipiente de purga. Cerrar las válvulas y purgar la muestra por 11 minutos a temperatura ambiente a un flujo de 40 </w:t>
            </w:r>
            <w:proofErr w:type="spellStart"/>
            <w:r w:rsidRPr="00F01347">
              <w:rPr>
                <w:rFonts w:ascii="Verdana" w:hAnsi="Verdana"/>
                <w:sz w:val="16"/>
                <w:szCs w:val="16"/>
              </w:rPr>
              <w:t>mL</w:t>
            </w:r>
            <w:proofErr w:type="spellEnd"/>
            <w:r w:rsidRPr="00F01347">
              <w:rPr>
                <w:rFonts w:ascii="Verdana" w:hAnsi="Verdana"/>
                <w:sz w:val="16"/>
                <w:szCs w:val="16"/>
              </w:rPr>
              <w:t>/min (helio o nitrógeno). Si el vapor de agua causa problemas en el espectrómetro de masas, utilizar una purga seca de 3 minutos y/o un módulo de control de humedad.</w:t>
            </w:r>
          </w:p>
        </w:tc>
        <w:tc>
          <w:tcPr>
            <w:tcW w:w="4675" w:type="dxa"/>
          </w:tcPr>
          <w:p w14:paraId="7FDB8EB0" w14:textId="7C0CD797" w:rsidR="0058403A" w:rsidRPr="00F01347" w:rsidRDefault="0058403A" w:rsidP="0058403A">
            <w:pPr>
              <w:pStyle w:val="texto0"/>
              <w:spacing w:line="238" w:lineRule="exact"/>
              <w:ind w:firstLine="0"/>
              <w:rPr>
                <w:rFonts w:ascii="Verdana" w:hAnsi="Verdana"/>
                <w:sz w:val="16"/>
                <w:szCs w:val="16"/>
                <w:lang w:val="en-US"/>
              </w:rPr>
            </w:pPr>
            <w:r w:rsidRPr="00F01347">
              <w:rPr>
                <w:rFonts w:ascii="Verdana" w:hAnsi="Verdana"/>
                <w:sz w:val="16"/>
                <w:szCs w:val="16"/>
                <w:lang w:val="en-US"/>
              </w:rPr>
              <w:t xml:space="preserve">Add an appropriate amount of the mixture of the surrogate standards and internal standard through the valve orifice and close it. Connect with the purge device, open the </w:t>
            </w:r>
            <w:r w:rsidR="00067D6E" w:rsidRPr="00F01347">
              <w:rPr>
                <w:rFonts w:ascii="Verdana" w:hAnsi="Verdana"/>
                <w:sz w:val="16"/>
                <w:szCs w:val="16"/>
                <w:lang w:val="en-US"/>
              </w:rPr>
              <w:t>valves,</w:t>
            </w:r>
            <w:r w:rsidRPr="00F01347">
              <w:rPr>
                <w:rFonts w:ascii="Verdana" w:hAnsi="Verdana"/>
                <w:sz w:val="16"/>
                <w:szCs w:val="16"/>
                <w:lang w:val="en-US"/>
              </w:rPr>
              <w:t xml:space="preserve"> and inject the sample into the purge container. Close the valves and purge the sample for 11 minutes at room temperature at a flow of 40 mL /min (helium or nitrogen). If water vapor causes problems in the mass spectrometer, use a 3-minute dry purge and/or humidity control module.</w:t>
            </w:r>
          </w:p>
        </w:tc>
      </w:tr>
      <w:tr w:rsidR="0058403A" w:rsidRPr="00F01347" w14:paraId="63157820" w14:textId="5043652E" w:rsidTr="00F30304">
        <w:tc>
          <w:tcPr>
            <w:tcW w:w="4675" w:type="dxa"/>
          </w:tcPr>
          <w:p w14:paraId="5E4DA08F" w14:textId="77777777" w:rsidR="0058403A" w:rsidRPr="00F01347" w:rsidRDefault="0058403A" w:rsidP="0058403A">
            <w:pPr>
              <w:pStyle w:val="texto0"/>
              <w:spacing w:line="238" w:lineRule="exact"/>
              <w:ind w:firstLine="0"/>
              <w:rPr>
                <w:rFonts w:ascii="Verdana" w:hAnsi="Verdana"/>
                <w:sz w:val="16"/>
                <w:szCs w:val="16"/>
              </w:rPr>
            </w:pPr>
            <w:r w:rsidRPr="00F01347">
              <w:rPr>
                <w:rFonts w:ascii="Verdana" w:hAnsi="Verdana"/>
                <w:sz w:val="16"/>
                <w:szCs w:val="16"/>
              </w:rPr>
              <w:t xml:space="preserve">Absorber los materiales atrapados en la cabeza de la columna cromatográfica a 180 °C mientras pasa el gas inerte a un flujo compatible con la columna de elección y comenzar un programa de </w:t>
            </w:r>
            <w:proofErr w:type="gramStart"/>
            <w:r w:rsidRPr="00F01347">
              <w:rPr>
                <w:rFonts w:ascii="Verdana" w:hAnsi="Verdana"/>
                <w:sz w:val="16"/>
                <w:szCs w:val="16"/>
              </w:rPr>
              <w:t>temperatura  en</w:t>
            </w:r>
            <w:proofErr w:type="gramEnd"/>
            <w:r w:rsidRPr="00F01347">
              <w:rPr>
                <w:rFonts w:ascii="Verdana" w:hAnsi="Verdana"/>
                <w:sz w:val="16"/>
                <w:szCs w:val="16"/>
              </w:rPr>
              <w:t xml:space="preserve"> el CG.</w:t>
            </w:r>
          </w:p>
        </w:tc>
        <w:tc>
          <w:tcPr>
            <w:tcW w:w="4675" w:type="dxa"/>
          </w:tcPr>
          <w:p w14:paraId="448D83C8" w14:textId="2C63801A" w:rsidR="0058403A" w:rsidRPr="00F01347" w:rsidRDefault="0058403A" w:rsidP="0058403A">
            <w:pPr>
              <w:pStyle w:val="texto0"/>
              <w:spacing w:line="238" w:lineRule="exact"/>
              <w:ind w:firstLine="0"/>
              <w:rPr>
                <w:rFonts w:ascii="Verdana" w:hAnsi="Verdana"/>
                <w:sz w:val="16"/>
                <w:szCs w:val="16"/>
                <w:lang w:val="en-US"/>
              </w:rPr>
            </w:pPr>
            <w:r w:rsidRPr="00F01347">
              <w:rPr>
                <w:rFonts w:ascii="Verdana" w:hAnsi="Verdana"/>
                <w:sz w:val="16"/>
                <w:szCs w:val="16"/>
                <w:lang w:val="en-US"/>
              </w:rPr>
              <w:t>Absorb trapped materials at the top of the chromatographic column at 180 °C while passing the inert gas at a flow rate compatible with the column of choice and begin a temperature program in the GC.</w:t>
            </w:r>
          </w:p>
        </w:tc>
      </w:tr>
      <w:tr w:rsidR="0058403A" w:rsidRPr="00F01347" w14:paraId="3C61D0F0" w14:textId="33CA281A" w:rsidTr="00F30304">
        <w:tc>
          <w:tcPr>
            <w:tcW w:w="4675" w:type="dxa"/>
          </w:tcPr>
          <w:p w14:paraId="49AE3CDD" w14:textId="77777777" w:rsidR="0058403A" w:rsidRPr="00F01347" w:rsidRDefault="0058403A" w:rsidP="0058403A">
            <w:pPr>
              <w:pStyle w:val="texto0"/>
              <w:spacing w:line="238" w:lineRule="exact"/>
              <w:ind w:firstLine="0"/>
              <w:rPr>
                <w:rFonts w:ascii="Verdana" w:hAnsi="Verdana"/>
                <w:sz w:val="16"/>
                <w:szCs w:val="16"/>
              </w:rPr>
            </w:pPr>
            <w:r w:rsidRPr="00F01347">
              <w:rPr>
                <w:rFonts w:ascii="Verdana" w:hAnsi="Verdana"/>
                <w:sz w:val="16"/>
                <w:szCs w:val="16"/>
              </w:rPr>
              <w:t xml:space="preserve">Establecer el sistema de </w:t>
            </w:r>
            <w:proofErr w:type="spellStart"/>
            <w:r w:rsidRPr="00F01347">
              <w:rPr>
                <w:rFonts w:ascii="Verdana" w:hAnsi="Verdana"/>
                <w:sz w:val="16"/>
                <w:szCs w:val="16"/>
              </w:rPr>
              <w:t>auto-drenaje</w:t>
            </w:r>
            <w:proofErr w:type="spellEnd"/>
            <w:r w:rsidRPr="00F01347">
              <w:rPr>
                <w:rFonts w:ascii="Verdana" w:hAnsi="Verdana"/>
                <w:sz w:val="16"/>
                <w:szCs w:val="16"/>
              </w:rPr>
              <w:t xml:space="preserve"> para la cámara de purga vacío mientras la trampa está siendo absorbida dentro del CG, o alternativamente, utilizar una jeringa de muestra para vaciar el recipiente. Lavar la cámara con dos enjuagues de 25 </w:t>
            </w:r>
            <w:proofErr w:type="spellStart"/>
            <w:r w:rsidRPr="00F01347">
              <w:rPr>
                <w:rFonts w:ascii="Verdana" w:hAnsi="Verdana"/>
                <w:sz w:val="16"/>
                <w:szCs w:val="16"/>
              </w:rPr>
              <w:t>mL</w:t>
            </w:r>
            <w:proofErr w:type="spellEnd"/>
            <w:r w:rsidRPr="00F01347">
              <w:rPr>
                <w:rFonts w:ascii="Verdana" w:hAnsi="Verdana"/>
                <w:sz w:val="16"/>
                <w:szCs w:val="16"/>
              </w:rPr>
              <w:t xml:space="preserve"> de agua si las muestras que se están analizando están altamente contaminadas. Asegurarse que todas las áreas humedecidas durante la purga están también humedecidas durante el enjuague para maximizar el enjuague.</w:t>
            </w:r>
          </w:p>
        </w:tc>
        <w:tc>
          <w:tcPr>
            <w:tcW w:w="4675" w:type="dxa"/>
          </w:tcPr>
          <w:p w14:paraId="6D714170" w14:textId="00362E48" w:rsidR="0058403A" w:rsidRPr="00F01347" w:rsidRDefault="0058403A" w:rsidP="0058403A">
            <w:pPr>
              <w:pStyle w:val="texto0"/>
              <w:spacing w:line="238" w:lineRule="exact"/>
              <w:ind w:firstLine="0"/>
              <w:rPr>
                <w:rFonts w:ascii="Verdana" w:hAnsi="Verdana"/>
                <w:sz w:val="16"/>
                <w:szCs w:val="16"/>
                <w:lang w:val="en-US"/>
              </w:rPr>
            </w:pPr>
            <w:r w:rsidRPr="00F01347">
              <w:rPr>
                <w:rFonts w:ascii="Verdana" w:hAnsi="Verdana"/>
                <w:sz w:val="16"/>
                <w:szCs w:val="16"/>
                <w:lang w:val="en-US"/>
              </w:rPr>
              <w:t>Set the auto-drain system to empty the purge chamber while the trap is being absorbed into the CG, or alternatively, use a sample syringe to empty the container. Wash the chamber with two rinses of 25 mL of water if the samples being analyzed are highly contaminated. Make sure all areas wetted during purging are also wetted during rinsing to maximize rinsing.</w:t>
            </w:r>
          </w:p>
        </w:tc>
      </w:tr>
      <w:tr w:rsidR="0058403A" w:rsidRPr="00F01347" w14:paraId="094BE54E" w14:textId="24FF3836" w:rsidTr="00F30304">
        <w:tc>
          <w:tcPr>
            <w:tcW w:w="4675" w:type="dxa"/>
          </w:tcPr>
          <w:p w14:paraId="0F995B2F" w14:textId="77777777" w:rsidR="0058403A" w:rsidRPr="00F01347" w:rsidRDefault="0058403A" w:rsidP="0058403A">
            <w:pPr>
              <w:pStyle w:val="texto0"/>
              <w:spacing w:line="238" w:lineRule="exact"/>
              <w:ind w:firstLine="0"/>
              <w:rPr>
                <w:rFonts w:ascii="Verdana" w:hAnsi="Verdana"/>
                <w:sz w:val="16"/>
                <w:szCs w:val="16"/>
              </w:rPr>
            </w:pPr>
            <w:r w:rsidRPr="00F01347">
              <w:rPr>
                <w:rFonts w:ascii="Verdana" w:hAnsi="Verdana"/>
                <w:sz w:val="16"/>
                <w:szCs w:val="16"/>
              </w:rPr>
              <w:t xml:space="preserve">Reacondicionar la trampa en el horno a la temperatura </w:t>
            </w:r>
            <w:proofErr w:type="gramStart"/>
            <w:r w:rsidRPr="00F01347">
              <w:rPr>
                <w:rFonts w:ascii="Verdana" w:hAnsi="Verdana"/>
                <w:sz w:val="16"/>
                <w:szCs w:val="16"/>
              </w:rPr>
              <w:t>de acuerdo a</w:t>
            </w:r>
            <w:proofErr w:type="gramEnd"/>
            <w:r w:rsidRPr="00F01347">
              <w:rPr>
                <w:rFonts w:ascii="Verdana" w:hAnsi="Verdana"/>
                <w:sz w:val="16"/>
                <w:szCs w:val="16"/>
              </w:rPr>
              <w:t xml:space="preserve"> lo que recomienda el fabricante por 5 a 7 minutos. Dejar que la trampa se enfríe a temperatura ambiente antes de introducir la siguiente muestra en el recipiente de purga. Cuando todos los compuestos de la muestra han sido </w:t>
            </w:r>
            <w:proofErr w:type="spellStart"/>
            <w:r w:rsidRPr="00F01347">
              <w:rPr>
                <w:rFonts w:ascii="Verdana" w:hAnsi="Verdana"/>
                <w:sz w:val="16"/>
                <w:szCs w:val="16"/>
              </w:rPr>
              <w:t>eluidos</w:t>
            </w:r>
            <w:proofErr w:type="spellEnd"/>
            <w:r w:rsidRPr="00F01347">
              <w:rPr>
                <w:rFonts w:ascii="Verdana" w:hAnsi="Verdana"/>
                <w:sz w:val="16"/>
                <w:szCs w:val="16"/>
              </w:rPr>
              <w:t xml:space="preserve"> de la columna cromatográfica, terminar la adquisición de datos y guardar los archivos. Usar un software que muestre el intervalo completo de los espectros de masas y un apropiado EICP. Si la abundancia de un ion excede el sistema del intervalo de trabajo, diluir la muestra en una segunda jeringa con agua y analizar.</w:t>
            </w:r>
          </w:p>
        </w:tc>
        <w:tc>
          <w:tcPr>
            <w:tcW w:w="4675" w:type="dxa"/>
          </w:tcPr>
          <w:p w14:paraId="6E1C4183" w14:textId="399A228D" w:rsidR="0058403A" w:rsidRPr="00F01347" w:rsidRDefault="0058403A" w:rsidP="0058403A">
            <w:pPr>
              <w:pStyle w:val="texto0"/>
              <w:spacing w:line="238" w:lineRule="exact"/>
              <w:ind w:firstLine="0"/>
              <w:rPr>
                <w:rFonts w:ascii="Verdana" w:hAnsi="Verdana"/>
                <w:sz w:val="16"/>
                <w:szCs w:val="16"/>
                <w:lang w:val="en-US"/>
              </w:rPr>
            </w:pPr>
            <w:r w:rsidRPr="00F01347">
              <w:rPr>
                <w:rFonts w:ascii="Verdana" w:hAnsi="Verdana"/>
                <w:sz w:val="16"/>
                <w:szCs w:val="16"/>
                <w:lang w:val="en-US"/>
              </w:rPr>
              <w:t>Recondition the trap in the oven at the temperature according to the manufacturer's recommendations for 5 to 7 minutes. Allow the trap to cool to room temperature before placing the next sample into the purge vessel. When all sample compounds have been eluted from the chromatographic column, finish data acquisition and save the files. Use software that displays the full range of mass spectra and an appropriate EICP. If the abundance of an ion exceeds the system's working range, dilute the sample in a second syringe with water and analyze.</w:t>
            </w:r>
          </w:p>
        </w:tc>
      </w:tr>
      <w:tr w:rsidR="0058403A" w:rsidRPr="00F01347" w14:paraId="437E28EC" w14:textId="3FF3DD64" w:rsidTr="00F30304">
        <w:tc>
          <w:tcPr>
            <w:tcW w:w="4675" w:type="dxa"/>
          </w:tcPr>
          <w:p w14:paraId="3FA8A2E6" w14:textId="77777777" w:rsidR="0058403A" w:rsidRPr="00F01347" w:rsidRDefault="0058403A" w:rsidP="0058403A">
            <w:pPr>
              <w:pStyle w:val="texto0"/>
              <w:spacing w:line="238" w:lineRule="exact"/>
              <w:ind w:firstLine="0"/>
              <w:rPr>
                <w:rFonts w:ascii="Verdana" w:hAnsi="Verdana"/>
                <w:sz w:val="16"/>
                <w:szCs w:val="16"/>
              </w:rPr>
            </w:pPr>
            <w:r w:rsidRPr="00F01347">
              <w:rPr>
                <w:rFonts w:ascii="Verdana" w:hAnsi="Verdana"/>
                <w:sz w:val="16"/>
                <w:szCs w:val="16"/>
              </w:rPr>
              <w:t xml:space="preserve">Tener cuidado con la muestra porque los compuestos pueden ser volátiles y se pueden perder si se reabre la muestra. Estimar la dilución necesaria y expulsar el exceso de muestra de la segunda jeringa, inyectar esa porción en un recipiente de purga y con una segunda jeringa, adicionar el agua necesaria para tener un total de 25 </w:t>
            </w:r>
            <w:proofErr w:type="spellStart"/>
            <w:r w:rsidRPr="00F01347">
              <w:rPr>
                <w:rFonts w:ascii="Verdana" w:hAnsi="Verdana"/>
                <w:sz w:val="16"/>
                <w:szCs w:val="16"/>
              </w:rPr>
              <w:t>mL</w:t>
            </w:r>
            <w:proofErr w:type="spellEnd"/>
            <w:r w:rsidRPr="00F01347">
              <w:rPr>
                <w:rFonts w:ascii="Verdana" w:hAnsi="Verdana"/>
                <w:sz w:val="16"/>
                <w:szCs w:val="16"/>
              </w:rPr>
              <w:t xml:space="preserve"> en el recipiente de purga.</w:t>
            </w:r>
          </w:p>
        </w:tc>
        <w:tc>
          <w:tcPr>
            <w:tcW w:w="4675" w:type="dxa"/>
          </w:tcPr>
          <w:p w14:paraId="09812D1C" w14:textId="692C3D02" w:rsidR="0058403A" w:rsidRPr="00F01347" w:rsidRDefault="0058403A" w:rsidP="0058403A">
            <w:pPr>
              <w:pStyle w:val="texto0"/>
              <w:spacing w:line="238" w:lineRule="exact"/>
              <w:ind w:firstLine="0"/>
              <w:rPr>
                <w:rFonts w:ascii="Verdana" w:hAnsi="Verdana"/>
                <w:sz w:val="16"/>
                <w:szCs w:val="16"/>
                <w:lang w:val="en-US"/>
              </w:rPr>
            </w:pPr>
            <w:r w:rsidRPr="00F01347">
              <w:rPr>
                <w:rFonts w:ascii="Verdana" w:hAnsi="Verdana"/>
                <w:sz w:val="16"/>
                <w:szCs w:val="16"/>
                <w:lang w:val="en-US"/>
              </w:rPr>
              <w:t>Be careful with the sample because the compounds can be volatile and may be lost if the sample is reopened. Estimate the necessary dilution and expel the excess sample from the second syringe, inject that portion into a purge container and with a second syringe, add the necessary water to have a total of 25 mL in the purge container.</w:t>
            </w:r>
          </w:p>
        </w:tc>
      </w:tr>
      <w:tr w:rsidR="0058403A" w:rsidRPr="00F01347" w14:paraId="1C3589C9" w14:textId="7FEFB527" w:rsidTr="00F30304">
        <w:tc>
          <w:tcPr>
            <w:tcW w:w="4675" w:type="dxa"/>
          </w:tcPr>
          <w:p w14:paraId="59F4B7A1" w14:textId="77777777" w:rsidR="0058403A" w:rsidRPr="00F01347" w:rsidRDefault="0058403A" w:rsidP="0058403A">
            <w:pPr>
              <w:pStyle w:val="texto0"/>
              <w:spacing w:line="238" w:lineRule="exact"/>
              <w:ind w:firstLine="0"/>
              <w:rPr>
                <w:rFonts w:ascii="Verdana" w:hAnsi="Verdana"/>
                <w:b/>
                <w:sz w:val="16"/>
                <w:szCs w:val="16"/>
              </w:rPr>
            </w:pPr>
            <w:r w:rsidRPr="00F01347">
              <w:rPr>
                <w:rFonts w:ascii="Verdana" w:hAnsi="Verdana"/>
                <w:b/>
                <w:sz w:val="16"/>
                <w:szCs w:val="16"/>
              </w:rPr>
              <w:t>B.3.6.4 Análisis de datos y cálculos</w:t>
            </w:r>
          </w:p>
        </w:tc>
        <w:tc>
          <w:tcPr>
            <w:tcW w:w="4675" w:type="dxa"/>
          </w:tcPr>
          <w:p w14:paraId="2A058870" w14:textId="612D7062" w:rsidR="0058403A" w:rsidRPr="00F01347" w:rsidRDefault="0058403A" w:rsidP="0058403A">
            <w:pPr>
              <w:pStyle w:val="texto0"/>
              <w:spacing w:line="238" w:lineRule="exact"/>
              <w:ind w:firstLine="0"/>
              <w:rPr>
                <w:rFonts w:ascii="Verdana" w:hAnsi="Verdana"/>
                <w:b/>
                <w:sz w:val="16"/>
                <w:szCs w:val="16"/>
                <w:lang w:val="en-US"/>
              </w:rPr>
            </w:pPr>
            <w:r w:rsidRPr="00F01347">
              <w:rPr>
                <w:rFonts w:ascii="Verdana" w:hAnsi="Verdana"/>
                <w:b/>
                <w:sz w:val="16"/>
                <w:szCs w:val="16"/>
                <w:lang w:val="en-US"/>
              </w:rPr>
              <w:t>B.3.6.4 Data analysis and calculations</w:t>
            </w:r>
          </w:p>
        </w:tc>
      </w:tr>
      <w:tr w:rsidR="0058403A" w:rsidRPr="00F01347" w14:paraId="3A2F9BFB" w14:textId="6A500E85" w:rsidTr="00F30304">
        <w:tc>
          <w:tcPr>
            <w:tcW w:w="4675" w:type="dxa"/>
          </w:tcPr>
          <w:p w14:paraId="4CF3A5E2" w14:textId="77777777" w:rsidR="0058403A" w:rsidRPr="00F01347" w:rsidRDefault="0058403A" w:rsidP="0058403A">
            <w:pPr>
              <w:pStyle w:val="texto0"/>
              <w:spacing w:line="238" w:lineRule="exact"/>
              <w:ind w:firstLine="0"/>
              <w:rPr>
                <w:rFonts w:ascii="Verdana" w:hAnsi="Verdana"/>
                <w:sz w:val="16"/>
                <w:szCs w:val="16"/>
              </w:rPr>
            </w:pPr>
            <w:r w:rsidRPr="00F01347">
              <w:rPr>
                <w:rFonts w:ascii="Verdana" w:hAnsi="Verdana"/>
                <w:sz w:val="16"/>
                <w:szCs w:val="16"/>
              </w:rPr>
              <w:t>Una vez que se han identificado los compuestos, la cuantificación de estos compuestos debe basarse en la abundancia del área integrada del ion característico primario (PCIE). El patrón interno utilizado debe ser el más cercano al tiempo de retención del analito de interés.</w:t>
            </w:r>
          </w:p>
        </w:tc>
        <w:tc>
          <w:tcPr>
            <w:tcW w:w="4675" w:type="dxa"/>
          </w:tcPr>
          <w:p w14:paraId="1C49ED12" w14:textId="273D46B4" w:rsidR="0058403A" w:rsidRPr="00F01347" w:rsidRDefault="0058403A" w:rsidP="0058403A">
            <w:pPr>
              <w:pStyle w:val="texto0"/>
              <w:spacing w:line="238" w:lineRule="exact"/>
              <w:ind w:firstLine="0"/>
              <w:rPr>
                <w:rFonts w:ascii="Verdana" w:hAnsi="Verdana"/>
                <w:sz w:val="16"/>
                <w:szCs w:val="16"/>
                <w:lang w:val="en-US"/>
              </w:rPr>
            </w:pPr>
            <w:r w:rsidRPr="00F01347">
              <w:rPr>
                <w:rFonts w:ascii="Verdana" w:hAnsi="Verdana"/>
                <w:sz w:val="16"/>
                <w:szCs w:val="16"/>
                <w:lang w:val="en-US"/>
              </w:rPr>
              <w:t>Once compounds have been identified, quantification of these compounds should be based on primary characteristic ion integrated area (PCIE) abundance. The internal standard used should be the one closest to the retention time of the analyte of interest.</w:t>
            </w:r>
          </w:p>
        </w:tc>
      </w:tr>
      <w:tr w:rsidR="0058403A" w:rsidRPr="00F01347" w14:paraId="70339002" w14:textId="24782ABC" w:rsidTr="00F30304">
        <w:tc>
          <w:tcPr>
            <w:tcW w:w="4675" w:type="dxa"/>
          </w:tcPr>
          <w:p w14:paraId="4F7FAD98" w14:textId="77777777" w:rsidR="0058403A" w:rsidRPr="00F01347" w:rsidRDefault="0058403A" w:rsidP="0058403A">
            <w:pPr>
              <w:pStyle w:val="texto0"/>
              <w:spacing w:line="238" w:lineRule="exact"/>
              <w:ind w:firstLine="0"/>
              <w:rPr>
                <w:rFonts w:ascii="Verdana" w:hAnsi="Verdana"/>
                <w:sz w:val="16"/>
                <w:szCs w:val="16"/>
              </w:rPr>
            </w:pPr>
            <w:r w:rsidRPr="00F01347">
              <w:rPr>
                <w:rFonts w:ascii="Verdana" w:hAnsi="Verdana"/>
                <w:sz w:val="16"/>
                <w:szCs w:val="16"/>
              </w:rPr>
              <w:lastRenderedPageBreak/>
              <w:t xml:space="preserve">El software de la estación de trabajo genera un reporte de cuantificación con respecto a la curva de calibración. Dicho informe contiene los valores de áreas, tiempo de retención y concentración de los estándares internos y </w:t>
            </w:r>
            <w:proofErr w:type="spellStart"/>
            <w:r w:rsidRPr="00F01347">
              <w:rPr>
                <w:rFonts w:ascii="Verdana" w:hAnsi="Verdana"/>
                <w:sz w:val="16"/>
                <w:szCs w:val="16"/>
              </w:rPr>
              <w:t>surrogados</w:t>
            </w:r>
            <w:proofErr w:type="spellEnd"/>
            <w:r w:rsidRPr="00F01347">
              <w:rPr>
                <w:rFonts w:ascii="Verdana" w:hAnsi="Verdana"/>
                <w:sz w:val="16"/>
                <w:szCs w:val="16"/>
              </w:rPr>
              <w:t>.</w:t>
            </w:r>
          </w:p>
        </w:tc>
        <w:tc>
          <w:tcPr>
            <w:tcW w:w="4675" w:type="dxa"/>
          </w:tcPr>
          <w:p w14:paraId="310C2FC9" w14:textId="2349026B" w:rsidR="0058403A" w:rsidRPr="00F01347" w:rsidRDefault="0058403A" w:rsidP="0058403A">
            <w:pPr>
              <w:pStyle w:val="texto0"/>
              <w:spacing w:line="238" w:lineRule="exact"/>
              <w:ind w:firstLine="0"/>
              <w:rPr>
                <w:rFonts w:ascii="Verdana" w:hAnsi="Verdana"/>
                <w:sz w:val="16"/>
                <w:szCs w:val="16"/>
                <w:lang w:val="en-US"/>
              </w:rPr>
            </w:pPr>
            <w:r w:rsidRPr="00F01347">
              <w:rPr>
                <w:rFonts w:ascii="Verdana" w:hAnsi="Verdana"/>
                <w:sz w:val="16"/>
                <w:szCs w:val="16"/>
                <w:lang w:val="en-US"/>
              </w:rPr>
              <w:t>The workstation software generates a quantification report with respect to the calibration curve. This report contains the area values, retention time and concentration of the internal and surrogate standards</w:t>
            </w:r>
            <w:r w:rsidR="003E1BA9" w:rsidRPr="00F01347">
              <w:rPr>
                <w:rFonts w:ascii="Verdana" w:hAnsi="Verdana"/>
                <w:sz w:val="16"/>
                <w:szCs w:val="16"/>
                <w:lang w:val="en-US"/>
              </w:rPr>
              <w:t>.</w:t>
            </w:r>
          </w:p>
        </w:tc>
      </w:tr>
      <w:tr w:rsidR="0058403A" w:rsidRPr="00F01347" w14:paraId="0224A7B2" w14:textId="4CBD2A62" w:rsidTr="00F30304">
        <w:tc>
          <w:tcPr>
            <w:tcW w:w="4675" w:type="dxa"/>
          </w:tcPr>
          <w:p w14:paraId="05289D3C" w14:textId="77777777" w:rsidR="0058403A" w:rsidRPr="00F01347" w:rsidRDefault="0058403A" w:rsidP="0058403A">
            <w:pPr>
              <w:pStyle w:val="texto0"/>
              <w:spacing w:line="238" w:lineRule="exact"/>
              <w:ind w:firstLine="0"/>
              <w:rPr>
                <w:rFonts w:ascii="Verdana" w:hAnsi="Verdana"/>
                <w:sz w:val="16"/>
                <w:szCs w:val="16"/>
              </w:rPr>
            </w:pPr>
            <w:r w:rsidRPr="00F01347">
              <w:rPr>
                <w:rFonts w:ascii="Verdana" w:hAnsi="Verdana"/>
                <w:sz w:val="16"/>
                <w:szCs w:val="16"/>
              </w:rPr>
              <w:t>El analista es responsable de asegurar que la integración sea correcta, ya sea si es realizado por el software o manualmente. El analista debe buscar minimizar la integración manteniendo adecuadamente el instrumento, actualizando los tiempos de retención y configurando los parámetros de integración del pico.</w:t>
            </w:r>
          </w:p>
        </w:tc>
        <w:tc>
          <w:tcPr>
            <w:tcW w:w="4675" w:type="dxa"/>
          </w:tcPr>
          <w:p w14:paraId="100FDD6D" w14:textId="274D4A3F" w:rsidR="0058403A" w:rsidRPr="00F01347" w:rsidRDefault="0058403A" w:rsidP="0058403A">
            <w:pPr>
              <w:pStyle w:val="texto0"/>
              <w:spacing w:line="238" w:lineRule="exact"/>
              <w:ind w:firstLine="0"/>
              <w:rPr>
                <w:rFonts w:ascii="Verdana" w:hAnsi="Verdana"/>
                <w:sz w:val="16"/>
                <w:szCs w:val="16"/>
                <w:lang w:val="en-US"/>
              </w:rPr>
            </w:pPr>
            <w:r w:rsidRPr="00F01347">
              <w:rPr>
                <w:rFonts w:ascii="Verdana" w:hAnsi="Verdana"/>
                <w:sz w:val="16"/>
                <w:szCs w:val="16"/>
                <w:lang w:val="en-US"/>
              </w:rPr>
              <w:t>The analyst is responsible for ensuring that the integration is correct, whether it is done by software or manually. The analyst should seek to minimize integration by properly maintaining the instrument, updating retention times, and setting peak integration parameters.</w:t>
            </w:r>
          </w:p>
        </w:tc>
      </w:tr>
      <w:tr w:rsidR="0058403A" w:rsidRPr="00F01347" w14:paraId="2633E6F4" w14:textId="0F1AAD79" w:rsidTr="00F30304">
        <w:tc>
          <w:tcPr>
            <w:tcW w:w="4675" w:type="dxa"/>
          </w:tcPr>
          <w:p w14:paraId="5342012C" w14:textId="77777777" w:rsidR="0058403A" w:rsidRPr="00F01347" w:rsidRDefault="0058403A" w:rsidP="0058403A">
            <w:pPr>
              <w:pStyle w:val="texto0"/>
              <w:spacing w:line="238" w:lineRule="exact"/>
              <w:ind w:firstLine="0"/>
              <w:rPr>
                <w:rFonts w:ascii="Verdana" w:hAnsi="Verdana"/>
                <w:sz w:val="16"/>
                <w:szCs w:val="16"/>
              </w:rPr>
            </w:pPr>
            <w:r w:rsidRPr="00F01347">
              <w:rPr>
                <w:rFonts w:ascii="Verdana" w:hAnsi="Verdana"/>
                <w:sz w:val="16"/>
                <w:szCs w:val="16"/>
              </w:rPr>
              <w:t xml:space="preserve">El cálculo se realiza utilizando la ecuación de la recta y con la técnica del estándar interno, </w:t>
            </w:r>
            <w:proofErr w:type="gramStart"/>
            <w:r w:rsidRPr="00F01347">
              <w:rPr>
                <w:rFonts w:ascii="Verdana" w:hAnsi="Verdana"/>
                <w:sz w:val="16"/>
                <w:szCs w:val="16"/>
              </w:rPr>
              <w:t>de acuerdo a</w:t>
            </w:r>
            <w:proofErr w:type="gramEnd"/>
            <w:r w:rsidRPr="00F01347">
              <w:rPr>
                <w:rFonts w:ascii="Verdana" w:hAnsi="Verdana"/>
                <w:sz w:val="16"/>
                <w:szCs w:val="16"/>
              </w:rPr>
              <w:t xml:space="preserve"> la siguiente fórmula:</w:t>
            </w:r>
          </w:p>
        </w:tc>
        <w:tc>
          <w:tcPr>
            <w:tcW w:w="4675" w:type="dxa"/>
          </w:tcPr>
          <w:p w14:paraId="0D7DC584" w14:textId="5B2616D8" w:rsidR="0058403A" w:rsidRPr="00F01347" w:rsidRDefault="0058403A" w:rsidP="0058403A">
            <w:pPr>
              <w:pStyle w:val="texto0"/>
              <w:spacing w:line="238" w:lineRule="exact"/>
              <w:ind w:firstLine="0"/>
              <w:rPr>
                <w:rFonts w:ascii="Verdana" w:hAnsi="Verdana"/>
                <w:sz w:val="16"/>
                <w:szCs w:val="16"/>
                <w:lang w:val="en-US"/>
              </w:rPr>
            </w:pPr>
            <w:r w:rsidRPr="00F01347">
              <w:rPr>
                <w:rFonts w:ascii="Verdana" w:hAnsi="Verdana"/>
                <w:sz w:val="16"/>
                <w:szCs w:val="16"/>
                <w:lang w:val="en-US"/>
              </w:rPr>
              <w:t>The calculation is carried out using the equation of the straight line and with the internal standard technique, according to the following formula:</w:t>
            </w:r>
          </w:p>
        </w:tc>
      </w:tr>
    </w:tbl>
    <w:p w14:paraId="13285931" w14:textId="340A1BFA" w:rsidR="00A74CDF" w:rsidRPr="00F01347" w:rsidRDefault="00471638" w:rsidP="003A601B">
      <w:pPr>
        <w:pStyle w:val="texto0"/>
        <w:spacing w:line="240" w:lineRule="auto"/>
        <w:ind w:firstLine="0"/>
        <w:jc w:val="center"/>
        <w:rPr>
          <w:rFonts w:ascii="Verdana" w:hAnsi="Verdana"/>
          <w:sz w:val="16"/>
          <w:szCs w:val="16"/>
        </w:rPr>
      </w:pPr>
      <w:r w:rsidRPr="00F01347">
        <w:rPr>
          <w:rFonts w:ascii="Verdana" w:hAnsi="Verdana"/>
          <w:noProof/>
          <w:sz w:val="16"/>
          <w:szCs w:val="16"/>
        </w:rPr>
        <w:drawing>
          <wp:inline distT="0" distB="0" distL="0" distR="0" wp14:anchorId="37E1211E" wp14:editId="7EF74EDC">
            <wp:extent cx="1181100" cy="476250"/>
            <wp:effectExtent l="0" t="0" r="0" b="0"/>
            <wp:docPr id="2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81100" cy="4762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01C3" w:rsidRPr="00F01347" w14:paraId="082E6984" w14:textId="09D3973E" w:rsidTr="00BA0256">
        <w:tc>
          <w:tcPr>
            <w:tcW w:w="4675" w:type="dxa"/>
          </w:tcPr>
          <w:p w14:paraId="023D63E8" w14:textId="77777777" w:rsidR="002001C3" w:rsidRPr="00F01347" w:rsidRDefault="002001C3" w:rsidP="002001C3">
            <w:pPr>
              <w:pStyle w:val="texto0"/>
              <w:ind w:firstLine="0"/>
              <w:rPr>
                <w:rFonts w:ascii="Verdana" w:hAnsi="Verdana"/>
                <w:b/>
                <w:bCs/>
                <w:sz w:val="16"/>
                <w:szCs w:val="16"/>
              </w:rPr>
            </w:pPr>
            <w:r w:rsidRPr="00F01347">
              <w:rPr>
                <w:rFonts w:ascii="Verdana" w:hAnsi="Verdana"/>
                <w:b/>
                <w:bCs/>
                <w:sz w:val="16"/>
                <w:szCs w:val="16"/>
              </w:rPr>
              <w:t>Dónde:</w:t>
            </w:r>
          </w:p>
        </w:tc>
        <w:tc>
          <w:tcPr>
            <w:tcW w:w="4675" w:type="dxa"/>
          </w:tcPr>
          <w:p w14:paraId="155DE5F7" w14:textId="6945D627" w:rsidR="002001C3" w:rsidRPr="00F01347" w:rsidRDefault="002001C3" w:rsidP="002001C3">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2001C3" w:rsidRPr="00F01347" w14:paraId="4F8BDFD7" w14:textId="281CABAE" w:rsidTr="00BA0256">
        <w:tc>
          <w:tcPr>
            <w:tcW w:w="4675" w:type="dxa"/>
          </w:tcPr>
          <w:p w14:paraId="7792A333" w14:textId="77777777" w:rsidR="002001C3" w:rsidRPr="00F01347" w:rsidRDefault="002001C3" w:rsidP="002001C3">
            <w:pPr>
              <w:pStyle w:val="texto0"/>
              <w:ind w:firstLine="0"/>
              <w:rPr>
                <w:rFonts w:ascii="Verdana" w:hAnsi="Verdana"/>
                <w:sz w:val="16"/>
                <w:szCs w:val="16"/>
              </w:rPr>
            </w:pPr>
            <w:proofErr w:type="spellStart"/>
            <w:r w:rsidRPr="00F01347">
              <w:rPr>
                <w:rFonts w:ascii="Verdana" w:hAnsi="Verdana"/>
                <w:sz w:val="16"/>
                <w:szCs w:val="16"/>
              </w:rPr>
              <w:t>Xs</w:t>
            </w:r>
            <w:proofErr w:type="spellEnd"/>
            <w:r w:rsidRPr="00F01347">
              <w:rPr>
                <w:rFonts w:ascii="Verdana" w:hAnsi="Verdana"/>
                <w:sz w:val="16"/>
                <w:szCs w:val="16"/>
              </w:rPr>
              <w:t xml:space="preserve"> = Masa calculada del Analito o </w:t>
            </w:r>
            <w:proofErr w:type="spellStart"/>
            <w:r w:rsidRPr="00F01347">
              <w:rPr>
                <w:rFonts w:ascii="Verdana" w:hAnsi="Verdana"/>
                <w:sz w:val="16"/>
                <w:szCs w:val="16"/>
              </w:rPr>
              <w:t>surrogado</w:t>
            </w:r>
            <w:proofErr w:type="spellEnd"/>
            <w:r w:rsidRPr="00F01347">
              <w:rPr>
                <w:rFonts w:ascii="Verdana" w:hAnsi="Verdana"/>
                <w:sz w:val="16"/>
                <w:szCs w:val="16"/>
              </w:rPr>
              <w:t xml:space="preserve"> en la alícuota de muestra introducida en el instrumento</w:t>
            </w:r>
          </w:p>
        </w:tc>
        <w:tc>
          <w:tcPr>
            <w:tcW w:w="4675" w:type="dxa"/>
          </w:tcPr>
          <w:p w14:paraId="6EF30288" w14:textId="37359506" w:rsidR="002001C3" w:rsidRPr="00F01347" w:rsidRDefault="002001C3" w:rsidP="002001C3">
            <w:pPr>
              <w:pStyle w:val="texto0"/>
              <w:ind w:firstLine="0"/>
              <w:rPr>
                <w:rFonts w:ascii="Verdana" w:hAnsi="Verdana"/>
                <w:sz w:val="16"/>
                <w:szCs w:val="16"/>
                <w:lang w:val="en-US"/>
              </w:rPr>
            </w:pPr>
            <w:proofErr w:type="spellStart"/>
            <w:r w:rsidRPr="00F01347">
              <w:rPr>
                <w:rFonts w:ascii="Verdana" w:hAnsi="Verdana"/>
                <w:sz w:val="16"/>
                <w:szCs w:val="16"/>
                <w:lang w:val="en-US"/>
              </w:rPr>
              <w:t>Xs</w:t>
            </w:r>
            <w:proofErr w:type="spellEnd"/>
            <w:r w:rsidRPr="00F01347">
              <w:rPr>
                <w:rFonts w:ascii="Verdana" w:hAnsi="Verdana"/>
                <w:sz w:val="16"/>
                <w:szCs w:val="16"/>
                <w:lang w:val="en-US"/>
              </w:rPr>
              <w:t xml:space="preserve"> = Calculated mass of the Analyte or surrogate in the sample aliquot introduced into the instrument</w:t>
            </w:r>
          </w:p>
        </w:tc>
      </w:tr>
      <w:tr w:rsidR="002001C3" w:rsidRPr="00F01347" w14:paraId="46BEC03D" w14:textId="4A34B60C" w:rsidTr="00BA0256">
        <w:tc>
          <w:tcPr>
            <w:tcW w:w="4675" w:type="dxa"/>
          </w:tcPr>
          <w:p w14:paraId="441723A1"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 xml:space="preserve">As = Respuesta analítica del analito o </w:t>
            </w:r>
            <w:proofErr w:type="spellStart"/>
            <w:r w:rsidRPr="00F01347">
              <w:rPr>
                <w:rFonts w:ascii="Verdana" w:hAnsi="Verdana"/>
                <w:sz w:val="16"/>
                <w:szCs w:val="16"/>
              </w:rPr>
              <w:t>surrogado</w:t>
            </w:r>
            <w:proofErr w:type="spellEnd"/>
            <w:r w:rsidRPr="00F01347">
              <w:rPr>
                <w:rFonts w:ascii="Verdana" w:hAnsi="Verdana"/>
                <w:sz w:val="16"/>
                <w:szCs w:val="16"/>
              </w:rPr>
              <w:t xml:space="preserve"> en la muestra</w:t>
            </w:r>
          </w:p>
        </w:tc>
        <w:tc>
          <w:tcPr>
            <w:tcW w:w="4675" w:type="dxa"/>
          </w:tcPr>
          <w:p w14:paraId="6338D248" w14:textId="1DA2CE84"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As = Analytical response of the analyte or surrogate in the sample</w:t>
            </w:r>
          </w:p>
        </w:tc>
      </w:tr>
      <w:tr w:rsidR="002001C3" w:rsidRPr="00F01347" w14:paraId="54E11C11" w14:textId="25A4CEB8" w:rsidTr="00BA0256">
        <w:tc>
          <w:tcPr>
            <w:tcW w:w="4675" w:type="dxa"/>
          </w:tcPr>
          <w:p w14:paraId="1EE1BB74" w14:textId="77777777" w:rsidR="002001C3" w:rsidRPr="00F01347" w:rsidRDefault="002001C3" w:rsidP="002001C3">
            <w:pPr>
              <w:pStyle w:val="texto0"/>
              <w:ind w:firstLine="0"/>
              <w:rPr>
                <w:rFonts w:ascii="Verdana" w:hAnsi="Verdana"/>
                <w:sz w:val="16"/>
                <w:szCs w:val="16"/>
              </w:rPr>
            </w:pPr>
            <w:proofErr w:type="spellStart"/>
            <w:r w:rsidRPr="00F01347">
              <w:rPr>
                <w:rFonts w:ascii="Verdana" w:hAnsi="Verdana"/>
                <w:sz w:val="16"/>
                <w:szCs w:val="16"/>
              </w:rPr>
              <w:t>A</w:t>
            </w:r>
            <w:r w:rsidRPr="00F01347">
              <w:rPr>
                <w:rFonts w:ascii="Verdana" w:hAnsi="Verdana"/>
                <w:sz w:val="16"/>
                <w:szCs w:val="16"/>
                <w:vertAlign w:val="subscript"/>
              </w:rPr>
              <w:t>is</w:t>
            </w:r>
            <w:proofErr w:type="spellEnd"/>
            <w:r w:rsidRPr="00F01347">
              <w:rPr>
                <w:rFonts w:ascii="Verdana" w:hAnsi="Verdana"/>
                <w:sz w:val="16"/>
                <w:szCs w:val="16"/>
              </w:rPr>
              <w:t xml:space="preserve"> = Respuesta analítica del estándar interno en la muestra introducida en el instrumento</w:t>
            </w:r>
          </w:p>
        </w:tc>
        <w:tc>
          <w:tcPr>
            <w:tcW w:w="4675" w:type="dxa"/>
          </w:tcPr>
          <w:p w14:paraId="3E9B2AB5" w14:textId="09D94E6F"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 xml:space="preserve">A </w:t>
            </w:r>
            <w:r w:rsidRPr="00F01347">
              <w:rPr>
                <w:rFonts w:ascii="Verdana" w:hAnsi="Verdana"/>
                <w:sz w:val="16"/>
                <w:szCs w:val="16"/>
                <w:vertAlign w:val="subscript"/>
                <w:lang w:val="en-US"/>
              </w:rPr>
              <w:t xml:space="preserve">is </w:t>
            </w:r>
            <w:r w:rsidRPr="00F01347">
              <w:rPr>
                <w:rFonts w:ascii="Verdana" w:hAnsi="Verdana"/>
                <w:sz w:val="16"/>
                <w:szCs w:val="16"/>
                <w:lang w:val="en-US"/>
              </w:rPr>
              <w:t>= Analytical response of the internal standard in the sample introduced into the instrument</w:t>
            </w:r>
          </w:p>
        </w:tc>
      </w:tr>
      <w:tr w:rsidR="002001C3" w:rsidRPr="00F01347" w14:paraId="76E34AB4" w14:textId="2497FC92" w:rsidTr="00BA0256">
        <w:tc>
          <w:tcPr>
            <w:tcW w:w="4675" w:type="dxa"/>
          </w:tcPr>
          <w:p w14:paraId="5AFEAA97"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C</w:t>
            </w:r>
            <w:r w:rsidRPr="00F01347">
              <w:rPr>
                <w:rFonts w:ascii="Verdana" w:hAnsi="Verdana"/>
                <w:sz w:val="16"/>
                <w:szCs w:val="16"/>
                <w:vertAlign w:val="subscript"/>
              </w:rPr>
              <w:t>is</w:t>
            </w:r>
            <w:r w:rsidRPr="00F01347">
              <w:rPr>
                <w:rFonts w:ascii="Verdana" w:hAnsi="Verdana"/>
                <w:sz w:val="16"/>
                <w:szCs w:val="16"/>
              </w:rPr>
              <w:t xml:space="preserve"> = Masa del estándar interno en la alícuota de la muestra introducida en el instrumento</w:t>
            </w:r>
          </w:p>
        </w:tc>
        <w:tc>
          <w:tcPr>
            <w:tcW w:w="4675" w:type="dxa"/>
          </w:tcPr>
          <w:p w14:paraId="75C120D0" w14:textId="70A2BFCE"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 xml:space="preserve">C </w:t>
            </w:r>
            <w:r w:rsidRPr="00F01347">
              <w:rPr>
                <w:rFonts w:ascii="Verdana" w:hAnsi="Verdana"/>
                <w:sz w:val="16"/>
                <w:szCs w:val="16"/>
                <w:vertAlign w:val="subscript"/>
                <w:lang w:val="en-US"/>
              </w:rPr>
              <w:t xml:space="preserve">is </w:t>
            </w:r>
            <w:r w:rsidRPr="00F01347">
              <w:rPr>
                <w:rFonts w:ascii="Verdana" w:hAnsi="Verdana"/>
                <w:sz w:val="16"/>
                <w:szCs w:val="16"/>
                <w:lang w:val="en-US"/>
              </w:rPr>
              <w:t>= Mass of the internal standard in the aliquot of the sample introduced into the instrument</w:t>
            </w:r>
          </w:p>
        </w:tc>
      </w:tr>
      <w:tr w:rsidR="002001C3" w:rsidRPr="00F01347" w14:paraId="424BF843" w14:textId="0E5CFEBC" w:rsidTr="00BA0256">
        <w:tc>
          <w:tcPr>
            <w:tcW w:w="4675" w:type="dxa"/>
          </w:tcPr>
          <w:p w14:paraId="08B5D228"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a = Intercepto de la ecuación de la recta de la curva de calibración</w:t>
            </w:r>
          </w:p>
        </w:tc>
        <w:tc>
          <w:tcPr>
            <w:tcW w:w="4675" w:type="dxa"/>
          </w:tcPr>
          <w:p w14:paraId="20A527DF" w14:textId="2EA5269E"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a = Intercept of the equation of the calibration curve straight line</w:t>
            </w:r>
          </w:p>
        </w:tc>
      </w:tr>
      <w:tr w:rsidR="002001C3" w:rsidRPr="00F01347" w14:paraId="024835EA" w14:textId="45746E38" w:rsidTr="00BA0256">
        <w:tc>
          <w:tcPr>
            <w:tcW w:w="4675" w:type="dxa"/>
          </w:tcPr>
          <w:p w14:paraId="777FF0DD"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b = Pendiente de la ecuación de la recta de la curva de calibración</w:t>
            </w:r>
          </w:p>
        </w:tc>
        <w:tc>
          <w:tcPr>
            <w:tcW w:w="4675" w:type="dxa"/>
          </w:tcPr>
          <w:p w14:paraId="1EB53D8D" w14:textId="10C73AB7"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b = Slope of the equation of the calibration curve line</w:t>
            </w:r>
          </w:p>
        </w:tc>
      </w:tr>
      <w:tr w:rsidR="002001C3" w:rsidRPr="00F01347" w14:paraId="389AA9C1" w14:textId="3B916B23" w:rsidTr="00BA0256">
        <w:tc>
          <w:tcPr>
            <w:tcW w:w="4675" w:type="dxa"/>
          </w:tcPr>
          <w:p w14:paraId="27490D94"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Promediar el resultado de la muestra y su duplicado</w:t>
            </w:r>
          </w:p>
        </w:tc>
        <w:tc>
          <w:tcPr>
            <w:tcW w:w="4675" w:type="dxa"/>
          </w:tcPr>
          <w:p w14:paraId="54C7EA5E" w14:textId="4624449D"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Average the result of the sample and its duplicate</w:t>
            </w:r>
          </w:p>
        </w:tc>
      </w:tr>
      <w:tr w:rsidR="002001C3" w:rsidRPr="00F01347" w14:paraId="63BB8537" w14:textId="250EDDB0" w:rsidTr="00BA0256">
        <w:tc>
          <w:tcPr>
            <w:tcW w:w="4675" w:type="dxa"/>
          </w:tcPr>
          <w:p w14:paraId="206F2A6E"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Anexar las evidencias instrumentales junto con el informe (cromatogramas y espectros de masas) de los compuestos detectados.</w:t>
            </w:r>
          </w:p>
        </w:tc>
        <w:tc>
          <w:tcPr>
            <w:tcW w:w="4675" w:type="dxa"/>
          </w:tcPr>
          <w:p w14:paraId="465B7AAF" w14:textId="78691578"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Attach the instrumental evidence along with the report (chromatograms and mass spectra) of the detected compounds.</w:t>
            </w:r>
          </w:p>
        </w:tc>
      </w:tr>
      <w:tr w:rsidR="002001C3" w:rsidRPr="00F01347" w14:paraId="11ED80F3" w14:textId="6DF56B96" w:rsidTr="00BA0256">
        <w:tc>
          <w:tcPr>
            <w:tcW w:w="4675" w:type="dxa"/>
          </w:tcPr>
          <w:p w14:paraId="2BF28538" w14:textId="77777777" w:rsidR="002001C3" w:rsidRPr="00F01347" w:rsidRDefault="002001C3" w:rsidP="002001C3">
            <w:pPr>
              <w:pStyle w:val="texto0"/>
              <w:ind w:firstLine="0"/>
              <w:rPr>
                <w:rFonts w:ascii="Verdana" w:hAnsi="Verdana"/>
                <w:b/>
                <w:sz w:val="16"/>
                <w:szCs w:val="16"/>
              </w:rPr>
            </w:pPr>
            <w:r w:rsidRPr="00F01347">
              <w:rPr>
                <w:rFonts w:ascii="Verdana" w:hAnsi="Verdana"/>
                <w:b/>
                <w:sz w:val="16"/>
                <w:szCs w:val="16"/>
              </w:rPr>
              <w:t>B.3.6.5 Informe de prueba</w:t>
            </w:r>
          </w:p>
        </w:tc>
        <w:tc>
          <w:tcPr>
            <w:tcW w:w="4675" w:type="dxa"/>
          </w:tcPr>
          <w:p w14:paraId="7B2D484F" w14:textId="7269A602" w:rsidR="002001C3" w:rsidRPr="00F01347" w:rsidRDefault="002001C3" w:rsidP="002001C3">
            <w:pPr>
              <w:pStyle w:val="texto0"/>
              <w:ind w:firstLine="0"/>
              <w:rPr>
                <w:rFonts w:ascii="Verdana" w:hAnsi="Verdana"/>
                <w:b/>
                <w:sz w:val="16"/>
                <w:szCs w:val="16"/>
                <w:lang w:val="en-US"/>
              </w:rPr>
            </w:pPr>
            <w:r w:rsidRPr="00F01347">
              <w:rPr>
                <w:rFonts w:ascii="Verdana" w:hAnsi="Verdana"/>
                <w:b/>
                <w:sz w:val="16"/>
                <w:szCs w:val="16"/>
                <w:lang w:val="en-US"/>
              </w:rPr>
              <w:t>B.3.6.5 Test report</w:t>
            </w:r>
          </w:p>
        </w:tc>
      </w:tr>
      <w:tr w:rsidR="002001C3" w:rsidRPr="00F01347" w14:paraId="32DE148D" w14:textId="62F9A6CB" w:rsidTr="00BA0256">
        <w:tc>
          <w:tcPr>
            <w:tcW w:w="4675" w:type="dxa"/>
          </w:tcPr>
          <w:p w14:paraId="5F78A851"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 xml:space="preserve">Reportar cada uno de los compuestos (benceno, tolueno, o-xileno, meta-xileno, </w:t>
            </w:r>
            <w:proofErr w:type="spellStart"/>
            <w:r w:rsidRPr="00F01347">
              <w:rPr>
                <w:rFonts w:ascii="Verdana" w:hAnsi="Verdana"/>
                <w:sz w:val="16"/>
                <w:szCs w:val="16"/>
              </w:rPr>
              <w:t>para-xileno</w:t>
            </w:r>
            <w:proofErr w:type="spellEnd"/>
            <w:r w:rsidRPr="00F01347">
              <w:rPr>
                <w:rFonts w:ascii="Verdana" w:hAnsi="Verdana"/>
                <w:sz w:val="16"/>
                <w:szCs w:val="16"/>
              </w:rPr>
              <w:t xml:space="preserve"> y estireno) en µg/L.</w:t>
            </w:r>
          </w:p>
        </w:tc>
        <w:tc>
          <w:tcPr>
            <w:tcW w:w="4675" w:type="dxa"/>
          </w:tcPr>
          <w:p w14:paraId="1E80B3A8" w14:textId="53097EC8"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Report each of the compounds (benzene, toluene, o-xylene, meta-xylene, para-</w:t>
            </w:r>
            <w:r w:rsidR="001A6B5E" w:rsidRPr="00F01347">
              <w:rPr>
                <w:rFonts w:ascii="Verdana" w:hAnsi="Verdana"/>
                <w:sz w:val="16"/>
                <w:szCs w:val="16"/>
                <w:lang w:val="en-US"/>
              </w:rPr>
              <w:t>xylene,</w:t>
            </w:r>
            <w:r w:rsidRPr="00F01347">
              <w:rPr>
                <w:rFonts w:ascii="Verdana" w:hAnsi="Verdana"/>
                <w:sz w:val="16"/>
                <w:szCs w:val="16"/>
                <w:lang w:val="en-US"/>
              </w:rPr>
              <w:t xml:space="preserve"> and styrene) in µg/L.</w:t>
            </w:r>
          </w:p>
        </w:tc>
      </w:tr>
      <w:tr w:rsidR="002001C3" w:rsidRPr="00F01347" w14:paraId="51E244F5" w14:textId="12356451" w:rsidTr="00BA0256">
        <w:tc>
          <w:tcPr>
            <w:tcW w:w="4675" w:type="dxa"/>
          </w:tcPr>
          <w:p w14:paraId="0CC738FF" w14:textId="77777777" w:rsidR="002001C3" w:rsidRPr="00F01347" w:rsidRDefault="002001C3" w:rsidP="002001C3">
            <w:pPr>
              <w:pStyle w:val="texto0"/>
              <w:ind w:firstLine="0"/>
              <w:rPr>
                <w:rFonts w:ascii="Verdana" w:hAnsi="Verdana"/>
                <w:b/>
                <w:sz w:val="16"/>
                <w:szCs w:val="16"/>
              </w:rPr>
            </w:pPr>
            <w:r w:rsidRPr="00F01347">
              <w:rPr>
                <w:rFonts w:ascii="Verdana" w:hAnsi="Verdana"/>
                <w:b/>
                <w:sz w:val="16"/>
                <w:szCs w:val="16"/>
              </w:rPr>
              <w:t>B.3.7 Control de calidad, calibración e interferencias</w:t>
            </w:r>
          </w:p>
        </w:tc>
        <w:tc>
          <w:tcPr>
            <w:tcW w:w="4675" w:type="dxa"/>
          </w:tcPr>
          <w:p w14:paraId="25563817" w14:textId="3D0E5017" w:rsidR="002001C3" w:rsidRPr="00F01347" w:rsidRDefault="002001C3" w:rsidP="002001C3">
            <w:pPr>
              <w:pStyle w:val="texto0"/>
              <w:ind w:firstLine="0"/>
              <w:rPr>
                <w:rFonts w:ascii="Verdana" w:hAnsi="Verdana"/>
                <w:b/>
                <w:sz w:val="16"/>
                <w:szCs w:val="16"/>
                <w:lang w:val="en-US"/>
              </w:rPr>
            </w:pPr>
            <w:r w:rsidRPr="00F01347">
              <w:rPr>
                <w:rFonts w:ascii="Verdana" w:hAnsi="Verdana"/>
                <w:b/>
                <w:sz w:val="16"/>
                <w:szCs w:val="16"/>
                <w:lang w:val="en-US"/>
              </w:rPr>
              <w:t xml:space="preserve">B.3.7 Quality control, </w:t>
            </w:r>
            <w:r w:rsidR="00C603A0" w:rsidRPr="00F01347">
              <w:rPr>
                <w:rFonts w:ascii="Verdana" w:hAnsi="Verdana"/>
                <w:b/>
                <w:sz w:val="16"/>
                <w:szCs w:val="16"/>
                <w:lang w:val="en-US"/>
              </w:rPr>
              <w:t>calibration,</w:t>
            </w:r>
            <w:r w:rsidRPr="00F01347">
              <w:rPr>
                <w:rFonts w:ascii="Verdana" w:hAnsi="Verdana"/>
                <w:b/>
                <w:sz w:val="16"/>
                <w:szCs w:val="16"/>
                <w:lang w:val="en-US"/>
              </w:rPr>
              <w:t xml:space="preserve"> and interferences</w:t>
            </w:r>
          </w:p>
        </w:tc>
      </w:tr>
      <w:tr w:rsidR="002001C3" w:rsidRPr="00F01347" w14:paraId="6E60967C" w14:textId="573CADDF" w:rsidTr="00BA0256">
        <w:tc>
          <w:tcPr>
            <w:tcW w:w="4675" w:type="dxa"/>
          </w:tcPr>
          <w:p w14:paraId="707C5F4A" w14:textId="77777777" w:rsidR="002001C3" w:rsidRPr="00F01347" w:rsidRDefault="002001C3" w:rsidP="002001C3">
            <w:pPr>
              <w:pStyle w:val="texto0"/>
              <w:ind w:firstLine="0"/>
              <w:rPr>
                <w:rFonts w:ascii="Verdana" w:hAnsi="Verdana"/>
                <w:b/>
                <w:sz w:val="16"/>
                <w:szCs w:val="16"/>
              </w:rPr>
            </w:pPr>
            <w:r w:rsidRPr="00F01347">
              <w:rPr>
                <w:rFonts w:ascii="Verdana" w:hAnsi="Verdana"/>
                <w:b/>
                <w:sz w:val="16"/>
                <w:szCs w:val="16"/>
              </w:rPr>
              <w:t>B.3.7.1 Control de calidad</w:t>
            </w:r>
          </w:p>
        </w:tc>
        <w:tc>
          <w:tcPr>
            <w:tcW w:w="4675" w:type="dxa"/>
          </w:tcPr>
          <w:p w14:paraId="4DE7371A" w14:textId="531AE82D" w:rsidR="002001C3" w:rsidRPr="00F01347" w:rsidRDefault="002001C3" w:rsidP="002001C3">
            <w:pPr>
              <w:pStyle w:val="texto0"/>
              <w:ind w:firstLine="0"/>
              <w:rPr>
                <w:rFonts w:ascii="Verdana" w:hAnsi="Verdana"/>
                <w:b/>
                <w:sz w:val="16"/>
                <w:szCs w:val="16"/>
                <w:lang w:val="en-US"/>
              </w:rPr>
            </w:pPr>
            <w:r w:rsidRPr="00F01347">
              <w:rPr>
                <w:rFonts w:ascii="Verdana" w:hAnsi="Verdana"/>
                <w:b/>
                <w:sz w:val="16"/>
                <w:szCs w:val="16"/>
                <w:lang w:val="en-US"/>
              </w:rPr>
              <w:t>B.3.7.1 Quality control</w:t>
            </w:r>
          </w:p>
        </w:tc>
      </w:tr>
      <w:tr w:rsidR="002001C3" w:rsidRPr="00F01347" w14:paraId="08A8CB58" w14:textId="1526B531" w:rsidTr="00BA0256">
        <w:tc>
          <w:tcPr>
            <w:tcW w:w="4675" w:type="dxa"/>
          </w:tcPr>
          <w:p w14:paraId="0A7A15F3"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Antes del análisis de las muestras leer un blanco para demostrar que todas las partes del equipo en contacto con la muestra y los reactivos están libres de interferencias.</w:t>
            </w:r>
          </w:p>
        </w:tc>
        <w:tc>
          <w:tcPr>
            <w:tcW w:w="4675" w:type="dxa"/>
          </w:tcPr>
          <w:p w14:paraId="0901E708" w14:textId="4A49E9ED"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Before analyzing samples, read a blank to demonstrate that all parts of the equipment in contact with the sample and reagents are free of interference.</w:t>
            </w:r>
          </w:p>
        </w:tc>
      </w:tr>
      <w:tr w:rsidR="002001C3" w:rsidRPr="00F01347" w14:paraId="2C5B4D0B" w14:textId="36BE8960" w:rsidTr="00BA0256">
        <w:tc>
          <w:tcPr>
            <w:tcW w:w="4675" w:type="dxa"/>
          </w:tcPr>
          <w:p w14:paraId="4E8DAE0F"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Los blancos de reactivos, blancos de almacenamiento, muestras fortificadas y duplicados deben someterse a los mismos procedimientos analíticos que los utilizados en las muestras.</w:t>
            </w:r>
          </w:p>
        </w:tc>
        <w:tc>
          <w:tcPr>
            <w:tcW w:w="4675" w:type="dxa"/>
          </w:tcPr>
          <w:p w14:paraId="46A8FC65" w14:textId="10A0124D"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Reagent blanks, storage blanks, fortified samples, and duplicates must be subjected to the same analytical procedures as those used in the samples.</w:t>
            </w:r>
          </w:p>
        </w:tc>
      </w:tr>
      <w:tr w:rsidR="002001C3" w:rsidRPr="00F01347" w14:paraId="41050741" w14:textId="547BFDC7" w:rsidTr="00BA0256">
        <w:tc>
          <w:tcPr>
            <w:tcW w:w="4675" w:type="dxa"/>
          </w:tcPr>
          <w:p w14:paraId="45A75F6F"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lastRenderedPageBreak/>
              <w:t>El laboratorio debe demostrar la competencia inicial y mantener los registros de esto.</w:t>
            </w:r>
          </w:p>
        </w:tc>
        <w:tc>
          <w:tcPr>
            <w:tcW w:w="4675" w:type="dxa"/>
          </w:tcPr>
          <w:p w14:paraId="33C39AE7" w14:textId="67EAC858"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The laboratory must demonstrate initial competency and maintain records of this.</w:t>
            </w:r>
          </w:p>
        </w:tc>
      </w:tr>
      <w:tr w:rsidR="002001C3" w:rsidRPr="00F01347" w14:paraId="4B2D930B" w14:textId="267BD507" w:rsidTr="00BA0256">
        <w:tc>
          <w:tcPr>
            <w:tcW w:w="4675" w:type="dxa"/>
          </w:tcPr>
          <w:p w14:paraId="78F431F6"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 xml:space="preserve">Durante el análisis de rutina, se deben analizar blancos de reactivos, blancos de almacenamiento, muestras fortificadas y duplicados de muestras. Se deben agregar </w:t>
            </w:r>
            <w:proofErr w:type="spellStart"/>
            <w:r w:rsidRPr="00F01347">
              <w:rPr>
                <w:rFonts w:ascii="Verdana" w:hAnsi="Verdana"/>
                <w:sz w:val="16"/>
                <w:szCs w:val="16"/>
              </w:rPr>
              <w:t>surrogados</w:t>
            </w:r>
            <w:proofErr w:type="spellEnd"/>
            <w:r w:rsidRPr="00F01347">
              <w:rPr>
                <w:rFonts w:ascii="Verdana" w:hAnsi="Verdana"/>
                <w:sz w:val="16"/>
                <w:szCs w:val="16"/>
              </w:rPr>
              <w:t xml:space="preserve"> a las muestras y a </w:t>
            </w:r>
            <w:proofErr w:type="gramStart"/>
            <w:r w:rsidRPr="00F01347">
              <w:rPr>
                <w:rFonts w:ascii="Verdana" w:hAnsi="Verdana"/>
                <w:sz w:val="16"/>
                <w:szCs w:val="16"/>
              </w:rPr>
              <w:t>la muestras</w:t>
            </w:r>
            <w:proofErr w:type="gramEnd"/>
            <w:r w:rsidRPr="00F01347">
              <w:rPr>
                <w:rFonts w:ascii="Verdana" w:hAnsi="Verdana"/>
                <w:sz w:val="16"/>
                <w:szCs w:val="16"/>
              </w:rPr>
              <w:t xml:space="preserve"> de control de calidad.</w:t>
            </w:r>
          </w:p>
        </w:tc>
        <w:tc>
          <w:tcPr>
            <w:tcW w:w="4675" w:type="dxa"/>
          </w:tcPr>
          <w:p w14:paraId="77A844AE" w14:textId="558BF479"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During routine analysis, reagent blanks, storage blanks, fortified samples, and sample duplicates should be analyzed. Surrogates should be added to the samples and quality control samples</w:t>
            </w:r>
            <w:r w:rsidR="003E1BA9" w:rsidRPr="00F01347">
              <w:rPr>
                <w:rFonts w:ascii="Verdana" w:hAnsi="Verdana"/>
                <w:sz w:val="16"/>
                <w:szCs w:val="16"/>
                <w:lang w:val="en-US"/>
              </w:rPr>
              <w:t>.</w:t>
            </w:r>
          </w:p>
        </w:tc>
      </w:tr>
      <w:tr w:rsidR="002001C3" w:rsidRPr="00F01347" w14:paraId="6E3041B5" w14:textId="1B4BA8F5" w:rsidTr="00BA0256">
        <w:tc>
          <w:tcPr>
            <w:tcW w:w="4675" w:type="dxa"/>
          </w:tcPr>
          <w:p w14:paraId="2E6EDD65"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Siempre que sea posible, el laboratorio debe analizar materiales de referencia certificados y participar en estudios de pruebas de aptitud.</w:t>
            </w:r>
          </w:p>
        </w:tc>
        <w:tc>
          <w:tcPr>
            <w:tcW w:w="4675" w:type="dxa"/>
          </w:tcPr>
          <w:p w14:paraId="409D8E34" w14:textId="7B8503DA"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Whenever possible, the laboratory should analyze certified reference materials and participate in proficiency testing studies.</w:t>
            </w:r>
          </w:p>
        </w:tc>
      </w:tr>
      <w:tr w:rsidR="002001C3" w:rsidRPr="00F01347" w14:paraId="0D81744F" w14:textId="7E5D7B19" w:rsidTr="00BA0256">
        <w:tc>
          <w:tcPr>
            <w:tcW w:w="4675" w:type="dxa"/>
          </w:tcPr>
          <w:p w14:paraId="4C55AAAC"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 xml:space="preserve">El laboratorio debe tener procedimientos de control de calidad para asegurarse de que la integridad de la muestra no se vea comprometida durante el proceso de recolección y manipulación de las muestras, por ejemplo, asegurándose que las tapas y </w:t>
            </w:r>
            <w:proofErr w:type="spellStart"/>
            <w:r w:rsidRPr="00F01347">
              <w:rPr>
                <w:rFonts w:ascii="Verdana" w:hAnsi="Verdana"/>
                <w:sz w:val="16"/>
                <w:szCs w:val="16"/>
              </w:rPr>
              <w:t>septas</w:t>
            </w:r>
            <w:proofErr w:type="spellEnd"/>
            <w:r w:rsidRPr="00F01347">
              <w:rPr>
                <w:rFonts w:ascii="Verdana" w:hAnsi="Verdana"/>
                <w:sz w:val="16"/>
                <w:szCs w:val="16"/>
              </w:rPr>
              <w:t xml:space="preserve"> de los viales no presenten fugas.</w:t>
            </w:r>
          </w:p>
        </w:tc>
        <w:tc>
          <w:tcPr>
            <w:tcW w:w="4675" w:type="dxa"/>
          </w:tcPr>
          <w:p w14:paraId="63486884" w14:textId="17D21100"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The laboratory should have quality control procedures to ensure that sample integrity is not compromised during the sample collection and handling process, for example by ensuring that vial caps and septa do not leak</w:t>
            </w:r>
            <w:r w:rsidR="003E1BA9" w:rsidRPr="00F01347">
              <w:rPr>
                <w:rFonts w:ascii="Verdana" w:hAnsi="Verdana"/>
                <w:sz w:val="16"/>
                <w:szCs w:val="16"/>
                <w:lang w:val="en-US"/>
              </w:rPr>
              <w:t>.</w:t>
            </w:r>
          </w:p>
        </w:tc>
      </w:tr>
      <w:tr w:rsidR="002001C3" w:rsidRPr="00F01347" w14:paraId="52F24CCD" w14:textId="0752FEBB" w:rsidTr="00BA0256">
        <w:tc>
          <w:tcPr>
            <w:tcW w:w="4675" w:type="dxa"/>
          </w:tcPr>
          <w:p w14:paraId="3A57BCC9"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El espectrómetro de masas se calibra con el estándar de BFB ajustando masas e intensidad de los iones. Los tiempos de retención relativos de los analitos en la muestra deben estar dentro de ± 0.06 unidades de tiempo de retención de los estándares.</w:t>
            </w:r>
          </w:p>
        </w:tc>
        <w:tc>
          <w:tcPr>
            <w:tcW w:w="4675" w:type="dxa"/>
          </w:tcPr>
          <w:p w14:paraId="1602EEDA" w14:textId="2CAA8104"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The mass spectrometer is calibrated with the BFB standard by adjusting ion masses and intensity. The relative retention times of the analytes in the sample should be within ± 0.06 retention time units of the standards.</w:t>
            </w:r>
          </w:p>
        </w:tc>
      </w:tr>
      <w:tr w:rsidR="002001C3" w:rsidRPr="00F01347" w14:paraId="282EE205" w14:textId="327003D7" w:rsidTr="00BA0256">
        <w:tc>
          <w:tcPr>
            <w:tcW w:w="4675" w:type="dxa"/>
          </w:tcPr>
          <w:p w14:paraId="34792FE3"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La intensidad relativa de los iones característicos de cada uno de los compuestos en la muestra debe encontrarse dentro del 30% de las intensidades relativas de estos iones en el espectro de los estándares de referencia (ejemplo: para un ion con abundancia del 50% en el espectro de referencia, la abundancia en el espectro de la muestra debe encontrarse en el intervalo de 20% al 80%).</w:t>
            </w:r>
          </w:p>
        </w:tc>
        <w:tc>
          <w:tcPr>
            <w:tcW w:w="4675" w:type="dxa"/>
          </w:tcPr>
          <w:p w14:paraId="0E5025E0" w14:textId="24243159"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The relative intensity of the characteristic ions of each of the compounds in the sample must be within 30% of the relative intensities of these ions in the spectrum of the reference standards (example: for an ion with an abundance of 50% in the reference spectrum, the abundance in the sample spectrum should be in the range of 20% to 80%).</w:t>
            </w:r>
          </w:p>
        </w:tc>
      </w:tr>
      <w:tr w:rsidR="002001C3" w:rsidRPr="00F01347" w14:paraId="39EC376C" w14:textId="4DF84003" w:rsidTr="00BA0256">
        <w:tc>
          <w:tcPr>
            <w:tcW w:w="4675" w:type="dxa"/>
          </w:tcPr>
          <w:p w14:paraId="29A1A964"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La curva de calibración inicial para cada compuesto de interés debe verificarse cada 12 horas, analizando un estándar de calibración de concentración cercana al punto medio del intervalo de la curva de calibración (</w:t>
            </w:r>
            <w:proofErr w:type="spellStart"/>
            <w:r w:rsidRPr="00F01347">
              <w:rPr>
                <w:rFonts w:ascii="Verdana" w:hAnsi="Verdana"/>
                <w:sz w:val="16"/>
                <w:szCs w:val="16"/>
              </w:rPr>
              <w:t>CdC</w:t>
            </w:r>
            <w:proofErr w:type="spellEnd"/>
            <w:r w:rsidRPr="00F01347">
              <w:rPr>
                <w:rFonts w:ascii="Verdana" w:hAnsi="Verdana"/>
                <w:sz w:val="16"/>
                <w:szCs w:val="16"/>
              </w:rPr>
              <w:t xml:space="preserve">). Si </w:t>
            </w:r>
            <w:proofErr w:type="spellStart"/>
            <w:r w:rsidRPr="00F01347">
              <w:rPr>
                <w:rFonts w:ascii="Verdana" w:hAnsi="Verdana"/>
                <w:sz w:val="16"/>
                <w:szCs w:val="16"/>
              </w:rPr>
              <w:t>el</w:t>
            </w:r>
            <w:proofErr w:type="spellEnd"/>
            <w:r w:rsidRPr="00F01347">
              <w:rPr>
                <w:rFonts w:ascii="Verdana" w:hAnsi="Verdana"/>
                <w:sz w:val="16"/>
                <w:szCs w:val="16"/>
              </w:rPr>
              <w:t xml:space="preserve"> %DSR de los factores de respuesta es menor o igual al 20%, la calibración inicial continúa vigente, si el valor es mayor que 20% para cualquier </w:t>
            </w:r>
            <w:proofErr w:type="spellStart"/>
            <w:r w:rsidRPr="00F01347">
              <w:rPr>
                <w:rFonts w:ascii="Verdana" w:hAnsi="Verdana"/>
                <w:sz w:val="16"/>
                <w:szCs w:val="16"/>
              </w:rPr>
              <w:t>CdC</w:t>
            </w:r>
            <w:proofErr w:type="spellEnd"/>
            <w:r w:rsidRPr="00F01347">
              <w:rPr>
                <w:rFonts w:ascii="Verdana" w:hAnsi="Verdana"/>
                <w:sz w:val="16"/>
                <w:szCs w:val="16"/>
              </w:rPr>
              <w:t>, revisar la preparación del estándar, las condiciones instrumentales, si el problema continúa preparar una nueva curva y recalibrar.</w:t>
            </w:r>
          </w:p>
        </w:tc>
        <w:tc>
          <w:tcPr>
            <w:tcW w:w="4675" w:type="dxa"/>
          </w:tcPr>
          <w:p w14:paraId="47BC9C24" w14:textId="2D490E5D"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 xml:space="preserve">The initial calibration curve for each compound of interest should be verified every 12 hours, analyzing a calibration standard of concentration close to the midpoint of the calibration curve interval </w:t>
            </w:r>
            <w:r w:rsidR="00CB209C" w:rsidRPr="00F01347">
              <w:rPr>
                <w:rFonts w:ascii="Verdana" w:hAnsi="Verdana"/>
                <w:sz w:val="16"/>
                <w:szCs w:val="16"/>
                <w:lang w:val="en-US"/>
              </w:rPr>
              <w:t>(</w:t>
            </w:r>
            <w:r w:rsidRPr="00F01347">
              <w:rPr>
                <w:rFonts w:ascii="Verdana" w:hAnsi="Verdana"/>
                <w:sz w:val="16"/>
                <w:szCs w:val="16"/>
                <w:lang w:val="en-US"/>
              </w:rPr>
              <w:t>CoC</w:t>
            </w:r>
            <w:r w:rsidR="00913802" w:rsidRPr="00F01347">
              <w:rPr>
                <w:rFonts w:ascii="Verdana" w:hAnsi="Verdana"/>
                <w:sz w:val="16"/>
                <w:szCs w:val="16"/>
                <w:lang w:val="en-US"/>
              </w:rPr>
              <w:t>)</w:t>
            </w:r>
            <w:r w:rsidRPr="00F01347">
              <w:rPr>
                <w:rFonts w:ascii="Verdana" w:hAnsi="Verdana"/>
                <w:sz w:val="16"/>
                <w:szCs w:val="16"/>
                <w:lang w:val="en-US"/>
              </w:rPr>
              <w:t>. If the %DSR of the response factors is less than or equal to 20%, the initial calibration continues in force, if the value is greater than 20% for any CoC</w:t>
            </w:r>
            <w:r w:rsidR="003E1BA9" w:rsidRPr="00F01347">
              <w:rPr>
                <w:rFonts w:ascii="Verdana" w:hAnsi="Verdana"/>
                <w:sz w:val="16"/>
                <w:szCs w:val="16"/>
                <w:lang w:val="en-US"/>
              </w:rPr>
              <w:t>,</w:t>
            </w:r>
            <w:r w:rsidRPr="00F01347">
              <w:rPr>
                <w:rFonts w:ascii="Verdana" w:hAnsi="Verdana"/>
                <w:sz w:val="16"/>
                <w:szCs w:val="16"/>
                <w:lang w:val="en-US"/>
              </w:rPr>
              <w:t xml:space="preserve"> review the preparation of the standard, the instrumental conditions, if the problem continues prepare a new curve and recalibrate.</w:t>
            </w:r>
          </w:p>
        </w:tc>
      </w:tr>
      <w:tr w:rsidR="002001C3" w:rsidRPr="00F01347" w14:paraId="2A52121B" w14:textId="78A38568" w:rsidTr="00BA0256">
        <w:tc>
          <w:tcPr>
            <w:tcW w:w="4675" w:type="dxa"/>
          </w:tcPr>
          <w:p w14:paraId="3616F8C3"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t>Analizar un blanco de reactivos después de analizar el estándar de calibración o intermedio en el lote analítico, para asegurar que el sistema está libre de contaminación.</w:t>
            </w:r>
          </w:p>
        </w:tc>
        <w:tc>
          <w:tcPr>
            <w:tcW w:w="4675" w:type="dxa"/>
          </w:tcPr>
          <w:p w14:paraId="3441E6E9" w14:textId="7CFB21EA"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Analyze a reagent blank after analyzing the calibration standard or intermediate in the analytical batch, to ensure that the system is free of contamination.</w:t>
            </w:r>
          </w:p>
        </w:tc>
      </w:tr>
      <w:tr w:rsidR="002001C3" w:rsidRPr="00F01347" w14:paraId="2D74D95B" w14:textId="62E02219" w:rsidTr="00BA0256">
        <w:tc>
          <w:tcPr>
            <w:tcW w:w="4675" w:type="dxa"/>
          </w:tcPr>
          <w:p w14:paraId="298D514E" w14:textId="77777777" w:rsidR="002001C3" w:rsidRPr="00F01347" w:rsidRDefault="002001C3" w:rsidP="002001C3">
            <w:pPr>
              <w:pStyle w:val="texto0"/>
              <w:ind w:firstLine="0"/>
              <w:rPr>
                <w:rFonts w:ascii="Verdana" w:hAnsi="Verdana"/>
                <w:b/>
                <w:sz w:val="16"/>
                <w:szCs w:val="16"/>
              </w:rPr>
            </w:pPr>
            <w:r w:rsidRPr="00F01347">
              <w:rPr>
                <w:rFonts w:ascii="Verdana" w:hAnsi="Verdana"/>
                <w:b/>
                <w:sz w:val="16"/>
                <w:szCs w:val="16"/>
              </w:rPr>
              <w:t>B.3.7.2 Calibración</w:t>
            </w:r>
          </w:p>
        </w:tc>
        <w:tc>
          <w:tcPr>
            <w:tcW w:w="4675" w:type="dxa"/>
          </w:tcPr>
          <w:p w14:paraId="4B890F78" w14:textId="49510152" w:rsidR="002001C3" w:rsidRPr="00F01347" w:rsidRDefault="002001C3" w:rsidP="002001C3">
            <w:pPr>
              <w:pStyle w:val="texto0"/>
              <w:ind w:firstLine="0"/>
              <w:rPr>
                <w:rFonts w:ascii="Verdana" w:hAnsi="Verdana"/>
                <w:b/>
                <w:sz w:val="16"/>
                <w:szCs w:val="16"/>
                <w:lang w:val="en-US"/>
              </w:rPr>
            </w:pPr>
            <w:r w:rsidRPr="00F01347">
              <w:rPr>
                <w:rFonts w:ascii="Verdana" w:hAnsi="Verdana"/>
                <w:b/>
                <w:sz w:val="16"/>
                <w:szCs w:val="16"/>
                <w:lang w:val="en-US"/>
              </w:rPr>
              <w:t>B.3.7.2 Calibration</w:t>
            </w:r>
          </w:p>
        </w:tc>
      </w:tr>
      <w:tr w:rsidR="002001C3" w:rsidRPr="00F01347" w14:paraId="3B4137B9" w14:textId="7EB9B776" w:rsidTr="00BA0256">
        <w:tc>
          <w:tcPr>
            <w:tcW w:w="4675" w:type="dxa"/>
          </w:tcPr>
          <w:p w14:paraId="76C33E7D" w14:textId="77777777" w:rsidR="002001C3" w:rsidRPr="00F01347" w:rsidRDefault="002001C3" w:rsidP="002001C3">
            <w:pPr>
              <w:pStyle w:val="texto0"/>
              <w:ind w:firstLine="0"/>
              <w:rPr>
                <w:rFonts w:ascii="Verdana" w:hAnsi="Verdana"/>
                <w:sz w:val="16"/>
                <w:szCs w:val="16"/>
              </w:rPr>
            </w:pPr>
            <w:r w:rsidRPr="00F01347">
              <w:rPr>
                <w:rFonts w:ascii="Verdana" w:hAnsi="Verdana"/>
                <w:b/>
                <w:sz w:val="16"/>
                <w:szCs w:val="16"/>
              </w:rPr>
              <w:t>B.3.7.2.1</w:t>
            </w:r>
            <w:r w:rsidRPr="00F01347">
              <w:rPr>
                <w:rFonts w:ascii="Verdana" w:hAnsi="Verdana"/>
                <w:sz w:val="16"/>
                <w:szCs w:val="16"/>
              </w:rPr>
              <w:t xml:space="preserve"> Preparar una curva de calibración de al menos cinco niveles de concentración conteniendo las concentraciones requeridas de estándares (BTEX y estireno) de calibración, incluyendo subrogados y/o estándares internos, y transferir 5 </w:t>
            </w:r>
            <w:proofErr w:type="spellStart"/>
            <w:r w:rsidRPr="00F01347">
              <w:rPr>
                <w:rFonts w:ascii="Verdana" w:hAnsi="Verdana"/>
                <w:sz w:val="16"/>
                <w:szCs w:val="16"/>
              </w:rPr>
              <w:t>ó</w:t>
            </w:r>
            <w:proofErr w:type="spellEnd"/>
            <w:r w:rsidRPr="00F01347">
              <w:rPr>
                <w:rFonts w:ascii="Verdana" w:hAnsi="Verdana"/>
                <w:sz w:val="16"/>
                <w:szCs w:val="16"/>
              </w:rPr>
              <w:t xml:space="preserve"> 25 </w:t>
            </w:r>
            <w:proofErr w:type="spellStart"/>
            <w:r w:rsidRPr="00F01347">
              <w:rPr>
                <w:rFonts w:ascii="Verdana" w:hAnsi="Verdana"/>
                <w:sz w:val="16"/>
                <w:szCs w:val="16"/>
              </w:rPr>
              <w:t>mL</w:t>
            </w:r>
            <w:proofErr w:type="spellEnd"/>
            <w:r w:rsidRPr="00F01347">
              <w:rPr>
                <w:rFonts w:ascii="Verdana" w:hAnsi="Verdana"/>
                <w:sz w:val="16"/>
                <w:szCs w:val="16"/>
              </w:rPr>
              <w:t xml:space="preserve"> (según se requiera) al dispositivo de purga utilizando el </w:t>
            </w:r>
            <w:proofErr w:type="spellStart"/>
            <w:r w:rsidRPr="00F01347">
              <w:rPr>
                <w:rFonts w:ascii="Verdana" w:hAnsi="Verdana"/>
                <w:sz w:val="16"/>
                <w:szCs w:val="16"/>
              </w:rPr>
              <w:t>automuestreador</w:t>
            </w:r>
            <w:proofErr w:type="spellEnd"/>
            <w:r w:rsidRPr="00F01347">
              <w:rPr>
                <w:rFonts w:ascii="Verdana" w:hAnsi="Verdana"/>
                <w:sz w:val="16"/>
                <w:szCs w:val="16"/>
              </w:rPr>
              <w:t xml:space="preserve">, o manualmente utilizando una jeringa. Si los volúmenes de muestra son mayores de 5 </w:t>
            </w:r>
            <w:proofErr w:type="spellStart"/>
            <w:r w:rsidRPr="00F01347">
              <w:rPr>
                <w:rFonts w:ascii="Verdana" w:hAnsi="Verdana"/>
                <w:sz w:val="16"/>
                <w:szCs w:val="16"/>
              </w:rPr>
              <w:t>mL</w:t>
            </w:r>
            <w:proofErr w:type="spellEnd"/>
            <w:r w:rsidRPr="00F01347">
              <w:rPr>
                <w:rFonts w:ascii="Verdana" w:hAnsi="Verdana"/>
                <w:sz w:val="16"/>
                <w:szCs w:val="16"/>
              </w:rPr>
              <w:t xml:space="preserve">, por ejemplo muestras de 25 </w:t>
            </w:r>
            <w:proofErr w:type="spellStart"/>
            <w:r w:rsidRPr="00F01347">
              <w:rPr>
                <w:rFonts w:ascii="Verdana" w:hAnsi="Verdana"/>
                <w:sz w:val="16"/>
                <w:szCs w:val="16"/>
              </w:rPr>
              <w:t>mL</w:t>
            </w:r>
            <w:proofErr w:type="spellEnd"/>
            <w:r w:rsidRPr="00F01347">
              <w:rPr>
                <w:rFonts w:ascii="Verdana" w:hAnsi="Verdana"/>
                <w:sz w:val="16"/>
                <w:szCs w:val="16"/>
              </w:rPr>
              <w:t xml:space="preserve">, entonces los volúmenes de los estándares de calibración </w:t>
            </w:r>
            <w:proofErr w:type="gramStart"/>
            <w:r w:rsidRPr="00F01347">
              <w:rPr>
                <w:rFonts w:ascii="Verdana" w:hAnsi="Verdana"/>
                <w:sz w:val="16"/>
                <w:szCs w:val="16"/>
              </w:rPr>
              <w:t>deben  ser</w:t>
            </w:r>
            <w:proofErr w:type="gramEnd"/>
            <w:r w:rsidRPr="00F01347">
              <w:rPr>
                <w:rFonts w:ascii="Verdana" w:hAnsi="Verdana"/>
                <w:sz w:val="16"/>
                <w:szCs w:val="16"/>
              </w:rPr>
              <w:t xml:space="preserve"> los mismos.</w:t>
            </w:r>
          </w:p>
        </w:tc>
        <w:tc>
          <w:tcPr>
            <w:tcW w:w="4675" w:type="dxa"/>
          </w:tcPr>
          <w:p w14:paraId="35C01CF5" w14:textId="5CAFD713" w:rsidR="002001C3" w:rsidRPr="00F01347" w:rsidRDefault="002001C3" w:rsidP="002001C3">
            <w:pPr>
              <w:pStyle w:val="texto0"/>
              <w:ind w:firstLine="0"/>
              <w:rPr>
                <w:rFonts w:ascii="Verdana" w:hAnsi="Verdana"/>
                <w:b/>
                <w:sz w:val="16"/>
                <w:szCs w:val="16"/>
                <w:lang w:val="en-US"/>
              </w:rPr>
            </w:pPr>
            <w:r w:rsidRPr="00F01347">
              <w:rPr>
                <w:rFonts w:ascii="Verdana" w:hAnsi="Verdana"/>
                <w:b/>
                <w:sz w:val="16"/>
                <w:szCs w:val="16"/>
                <w:lang w:val="en-US"/>
              </w:rPr>
              <w:t xml:space="preserve">B.3.7.2.1 </w:t>
            </w:r>
            <w:r w:rsidRPr="00F01347">
              <w:rPr>
                <w:rFonts w:ascii="Verdana" w:hAnsi="Verdana"/>
                <w:sz w:val="16"/>
                <w:szCs w:val="16"/>
                <w:lang w:val="en-US"/>
              </w:rPr>
              <w:t xml:space="preserve">Prepare a calibration curve of at least five concentration levels containing the required concentrations of calibration standards (BTEX and styrene), including surrogates and/or internal standards, and transfer 5 or 25 mL </w:t>
            </w:r>
            <w:r w:rsidR="00CB209C" w:rsidRPr="00F01347">
              <w:rPr>
                <w:rFonts w:ascii="Verdana" w:hAnsi="Verdana"/>
                <w:sz w:val="16"/>
                <w:szCs w:val="16"/>
                <w:lang w:val="en-US"/>
              </w:rPr>
              <w:t>(</w:t>
            </w:r>
            <w:r w:rsidRPr="00F01347">
              <w:rPr>
                <w:rFonts w:ascii="Verdana" w:hAnsi="Verdana"/>
                <w:sz w:val="16"/>
                <w:szCs w:val="16"/>
                <w:lang w:val="en-US"/>
              </w:rPr>
              <w:t>as required</w:t>
            </w:r>
            <w:r w:rsidR="00913802" w:rsidRPr="00F01347">
              <w:rPr>
                <w:rFonts w:ascii="Verdana" w:hAnsi="Verdana"/>
                <w:sz w:val="16"/>
                <w:szCs w:val="16"/>
                <w:lang w:val="en-US"/>
              </w:rPr>
              <w:t>)</w:t>
            </w:r>
            <w:r w:rsidRPr="00F01347">
              <w:rPr>
                <w:rFonts w:ascii="Verdana" w:hAnsi="Verdana"/>
                <w:sz w:val="16"/>
                <w:szCs w:val="16"/>
                <w:lang w:val="en-US"/>
              </w:rPr>
              <w:t xml:space="preserve"> to the purge device using the autosampler</w:t>
            </w:r>
            <w:r w:rsidR="003E1BA9" w:rsidRPr="00F01347">
              <w:rPr>
                <w:rFonts w:ascii="Verdana" w:hAnsi="Verdana"/>
                <w:sz w:val="16"/>
                <w:szCs w:val="16"/>
                <w:lang w:val="en-US"/>
              </w:rPr>
              <w:t>,</w:t>
            </w:r>
            <w:r w:rsidRPr="00F01347">
              <w:rPr>
                <w:rFonts w:ascii="Verdana" w:hAnsi="Verdana"/>
                <w:sz w:val="16"/>
                <w:szCs w:val="16"/>
                <w:lang w:val="en-US"/>
              </w:rPr>
              <w:t xml:space="preserve"> or manually using a syringe. If the sample volumes are greater than 5 mL</w:t>
            </w:r>
            <w:r w:rsidR="003E1BA9" w:rsidRPr="00F01347">
              <w:rPr>
                <w:rFonts w:ascii="Verdana" w:hAnsi="Verdana"/>
                <w:sz w:val="16"/>
                <w:szCs w:val="16"/>
                <w:lang w:val="en-US"/>
              </w:rPr>
              <w:t>,</w:t>
            </w:r>
            <w:r w:rsidRPr="00F01347">
              <w:rPr>
                <w:rFonts w:ascii="Verdana" w:hAnsi="Verdana"/>
                <w:sz w:val="16"/>
                <w:szCs w:val="16"/>
                <w:lang w:val="en-US"/>
              </w:rPr>
              <w:t xml:space="preserve"> for example 25 mL samples</w:t>
            </w:r>
            <w:r w:rsidR="003E1BA9" w:rsidRPr="00F01347">
              <w:rPr>
                <w:rFonts w:ascii="Verdana" w:hAnsi="Verdana"/>
                <w:sz w:val="16"/>
                <w:szCs w:val="16"/>
                <w:lang w:val="en-US"/>
              </w:rPr>
              <w:t>,</w:t>
            </w:r>
            <w:r w:rsidRPr="00F01347">
              <w:rPr>
                <w:rFonts w:ascii="Verdana" w:hAnsi="Verdana"/>
                <w:sz w:val="16"/>
                <w:szCs w:val="16"/>
                <w:lang w:val="en-US"/>
              </w:rPr>
              <w:t xml:space="preserve"> then the volumes of the calibration standards must be the same.</w:t>
            </w:r>
          </w:p>
        </w:tc>
      </w:tr>
      <w:tr w:rsidR="002001C3" w:rsidRPr="00F01347" w14:paraId="32594073" w14:textId="47774A78" w:rsidTr="00BA0256">
        <w:tc>
          <w:tcPr>
            <w:tcW w:w="4675" w:type="dxa"/>
          </w:tcPr>
          <w:p w14:paraId="500386DA" w14:textId="77777777" w:rsidR="002001C3" w:rsidRPr="00F01347" w:rsidRDefault="002001C3" w:rsidP="002001C3">
            <w:pPr>
              <w:pStyle w:val="texto0"/>
              <w:ind w:firstLine="0"/>
              <w:rPr>
                <w:rFonts w:ascii="Verdana" w:hAnsi="Verdana"/>
                <w:sz w:val="16"/>
                <w:szCs w:val="16"/>
              </w:rPr>
            </w:pPr>
            <w:r w:rsidRPr="00F01347">
              <w:rPr>
                <w:rFonts w:ascii="Verdana" w:hAnsi="Verdana"/>
                <w:sz w:val="16"/>
                <w:szCs w:val="16"/>
              </w:rPr>
              <w:lastRenderedPageBreak/>
              <w:t>El cálculo de regresión debe generar un coeficiente de correlación (r) mayor o igual a 0.99.</w:t>
            </w:r>
          </w:p>
        </w:tc>
        <w:tc>
          <w:tcPr>
            <w:tcW w:w="4675" w:type="dxa"/>
          </w:tcPr>
          <w:p w14:paraId="4670ABD2" w14:textId="4EF44DF3" w:rsidR="002001C3" w:rsidRPr="00F01347" w:rsidRDefault="002001C3" w:rsidP="002001C3">
            <w:pPr>
              <w:pStyle w:val="texto0"/>
              <w:ind w:firstLine="0"/>
              <w:rPr>
                <w:rFonts w:ascii="Verdana" w:hAnsi="Verdana"/>
                <w:sz w:val="16"/>
                <w:szCs w:val="16"/>
                <w:lang w:val="en-US"/>
              </w:rPr>
            </w:pPr>
            <w:r w:rsidRPr="00F01347">
              <w:rPr>
                <w:rFonts w:ascii="Verdana" w:hAnsi="Verdana"/>
                <w:sz w:val="16"/>
                <w:szCs w:val="16"/>
                <w:lang w:val="en-US"/>
              </w:rPr>
              <w:t>The regression calculation must generate a correlation coefficient (r) greater than or equal to 0.99.</w:t>
            </w:r>
          </w:p>
        </w:tc>
      </w:tr>
      <w:tr w:rsidR="002001C3" w:rsidRPr="00F01347" w14:paraId="147E4E5F" w14:textId="2AF7F97E" w:rsidTr="00BA0256">
        <w:tc>
          <w:tcPr>
            <w:tcW w:w="4675" w:type="dxa"/>
          </w:tcPr>
          <w:p w14:paraId="250A3ACB" w14:textId="77777777" w:rsidR="002001C3" w:rsidRPr="00F01347" w:rsidRDefault="002001C3" w:rsidP="002001C3">
            <w:pPr>
              <w:pStyle w:val="texto0"/>
              <w:spacing w:line="240" w:lineRule="exact"/>
              <w:ind w:firstLine="0"/>
              <w:rPr>
                <w:rFonts w:ascii="Verdana" w:hAnsi="Verdana"/>
                <w:b/>
                <w:sz w:val="16"/>
                <w:szCs w:val="16"/>
              </w:rPr>
            </w:pPr>
            <w:r w:rsidRPr="00F01347">
              <w:rPr>
                <w:rFonts w:ascii="Verdana" w:hAnsi="Verdana"/>
                <w:b/>
                <w:sz w:val="16"/>
                <w:szCs w:val="16"/>
              </w:rPr>
              <w:t>B.3.7.2.2</w:t>
            </w:r>
            <w:r w:rsidRPr="00F01347">
              <w:rPr>
                <w:rFonts w:ascii="Verdana" w:hAnsi="Verdana"/>
                <w:sz w:val="16"/>
                <w:szCs w:val="16"/>
              </w:rPr>
              <w:t xml:space="preserve"> </w:t>
            </w:r>
            <w:r w:rsidRPr="00F01347">
              <w:rPr>
                <w:rFonts w:ascii="Verdana" w:hAnsi="Verdana"/>
                <w:b/>
                <w:sz w:val="16"/>
                <w:szCs w:val="16"/>
              </w:rPr>
              <w:t>Procedimiento de calibración con estándar externo</w:t>
            </w:r>
          </w:p>
        </w:tc>
        <w:tc>
          <w:tcPr>
            <w:tcW w:w="4675" w:type="dxa"/>
          </w:tcPr>
          <w:p w14:paraId="062B12DF" w14:textId="0D5F39AC" w:rsidR="002001C3" w:rsidRPr="00F01347" w:rsidRDefault="002001C3" w:rsidP="002001C3">
            <w:pPr>
              <w:pStyle w:val="texto0"/>
              <w:spacing w:line="240" w:lineRule="exact"/>
              <w:ind w:firstLine="0"/>
              <w:rPr>
                <w:rFonts w:ascii="Verdana" w:hAnsi="Verdana"/>
                <w:b/>
                <w:sz w:val="16"/>
                <w:szCs w:val="16"/>
                <w:lang w:val="en-US"/>
              </w:rPr>
            </w:pPr>
            <w:r w:rsidRPr="00F01347">
              <w:rPr>
                <w:rFonts w:ascii="Verdana" w:hAnsi="Verdana"/>
                <w:b/>
                <w:sz w:val="16"/>
                <w:szCs w:val="16"/>
                <w:lang w:val="en-US"/>
              </w:rPr>
              <w:t>B.3.7.2.2</w:t>
            </w:r>
            <w:r w:rsidRPr="00F01347">
              <w:rPr>
                <w:rFonts w:ascii="Verdana" w:hAnsi="Verdana"/>
                <w:sz w:val="16"/>
                <w:szCs w:val="16"/>
                <w:lang w:val="en-US"/>
              </w:rPr>
              <w:t xml:space="preserve"> </w:t>
            </w:r>
            <w:r w:rsidRPr="00F01347">
              <w:rPr>
                <w:rFonts w:ascii="Verdana" w:hAnsi="Verdana"/>
                <w:b/>
                <w:sz w:val="16"/>
                <w:szCs w:val="16"/>
                <w:lang w:val="en-US"/>
              </w:rPr>
              <w:t>Calibration procedure with external standard</w:t>
            </w:r>
          </w:p>
        </w:tc>
      </w:tr>
      <w:tr w:rsidR="002001C3" w:rsidRPr="00F01347" w14:paraId="7EC62F18" w14:textId="030E762C" w:rsidTr="00BA0256">
        <w:tc>
          <w:tcPr>
            <w:tcW w:w="4675" w:type="dxa"/>
          </w:tcPr>
          <w:p w14:paraId="4C915712" w14:textId="77777777" w:rsidR="002001C3" w:rsidRPr="00F01347" w:rsidRDefault="002001C3" w:rsidP="002001C3">
            <w:pPr>
              <w:pStyle w:val="texto0"/>
              <w:spacing w:line="240" w:lineRule="exact"/>
              <w:ind w:firstLine="0"/>
              <w:rPr>
                <w:rFonts w:ascii="Verdana" w:hAnsi="Verdana"/>
                <w:sz w:val="16"/>
                <w:szCs w:val="16"/>
              </w:rPr>
            </w:pPr>
            <w:r w:rsidRPr="00F01347">
              <w:rPr>
                <w:rFonts w:ascii="Verdana" w:hAnsi="Verdana"/>
                <w:sz w:val="16"/>
                <w:szCs w:val="16"/>
              </w:rPr>
              <w:t>Emplear este procedimiento solo si el volumen de la inyección puede mantenerse constante.</w:t>
            </w:r>
          </w:p>
        </w:tc>
        <w:tc>
          <w:tcPr>
            <w:tcW w:w="4675" w:type="dxa"/>
          </w:tcPr>
          <w:p w14:paraId="5CD82C62" w14:textId="19343F86" w:rsidR="002001C3" w:rsidRPr="00F01347" w:rsidRDefault="002001C3" w:rsidP="002001C3">
            <w:pPr>
              <w:pStyle w:val="texto0"/>
              <w:spacing w:line="240" w:lineRule="exact"/>
              <w:ind w:firstLine="0"/>
              <w:rPr>
                <w:rFonts w:ascii="Verdana" w:hAnsi="Verdana"/>
                <w:sz w:val="16"/>
                <w:szCs w:val="16"/>
                <w:lang w:val="en-US"/>
              </w:rPr>
            </w:pPr>
            <w:r w:rsidRPr="00F01347">
              <w:rPr>
                <w:rFonts w:ascii="Verdana" w:hAnsi="Verdana"/>
                <w:sz w:val="16"/>
                <w:szCs w:val="16"/>
                <w:lang w:val="en-US"/>
              </w:rPr>
              <w:t>Use this procedure only if the injection volume can be kept constant.</w:t>
            </w:r>
          </w:p>
        </w:tc>
      </w:tr>
      <w:tr w:rsidR="002001C3" w:rsidRPr="00F01347" w14:paraId="4F2FAFD9" w14:textId="3F1EEB2F" w:rsidTr="00BA0256">
        <w:tc>
          <w:tcPr>
            <w:tcW w:w="4675" w:type="dxa"/>
          </w:tcPr>
          <w:p w14:paraId="14099898" w14:textId="77777777" w:rsidR="002001C3" w:rsidRPr="00F01347" w:rsidRDefault="002001C3" w:rsidP="002001C3">
            <w:pPr>
              <w:pStyle w:val="texto0"/>
              <w:spacing w:line="240" w:lineRule="exact"/>
              <w:ind w:firstLine="0"/>
              <w:rPr>
                <w:rFonts w:ascii="Verdana" w:hAnsi="Verdana"/>
                <w:sz w:val="16"/>
                <w:szCs w:val="16"/>
              </w:rPr>
            </w:pPr>
            <w:r w:rsidRPr="00F01347">
              <w:rPr>
                <w:rFonts w:ascii="Verdana" w:hAnsi="Verdana"/>
                <w:sz w:val="16"/>
                <w:szCs w:val="16"/>
              </w:rPr>
              <w:t>Analizar cada concentración de la curva de calibración</w:t>
            </w:r>
            <w:r w:rsidRPr="00F01347">
              <w:rPr>
                <w:rFonts w:ascii="Verdana" w:hAnsi="Verdana"/>
                <w:b/>
                <w:sz w:val="16"/>
                <w:szCs w:val="16"/>
              </w:rPr>
              <w:t>.</w:t>
            </w:r>
            <w:r w:rsidRPr="00F01347">
              <w:rPr>
                <w:rFonts w:ascii="Verdana" w:hAnsi="Verdana"/>
                <w:sz w:val="16"/>
                <w:szCs w:val="16"/>
              </w:rPr>
              <w:t xml:space="preserve"> Calcular individualmente los factores de respuesta (FR) para cada estándar analizado de la siguiente manera:</w:t>
            </w:r>
          </w:p>
        </w:tc>
        <w:tc>
          <w:tcPr>
            <w:tcW w:w="4675" w:type="dxa"/>
          </w:tcPr>
          <w:p w14:paraId="20314DBB" w14:textId="4D87DA70" w:rsidR="002001C3" w:rsidRPr="00F01347" w:rsidRDefault="002001C3" w:rsidP="002001C3">
            <w:pPr>
              <w:pStyle w:val="texto0"/>
              <w:spacing w:line="240" w:lineRule="exact"/>
              <w:ind w:firstLine="0"/>
              <w:rPr>
                <w:rFonts w:ascii="Verdana" w:hAnsi="Verdana"/>
                <w:sz w:val="16"/>
                <w:szCs w:val="16"/>
                <w:lang w:val="en-US"/>
              </w:rPr>
            </w:pPr>
            <w:r w:rsidRPr="00F01347">
              <w:rPr>
                <w:rFonts w:ascii="Verdana" w:hAnsi="Verdana"/>
                <w:sz w:val="16"/>
                <w:szCs w:val="16"/>
                <w:lang w:val="en-US"/>
              </w:rPr>
              <w:t>Analyze each concentration of the calibration curve</w:t>
            </w:r>
            <w:r w:rsidR="003E1BA9" w:rsidRPr="00F01347">
              <w:rPr>
                <w:rFonts w:ascii="Verdana" w:hAnsi="Verdana"/>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Individually calculate the response factors (RF) for each standard analyzed as follows:</w:t>
            </w:r>
          </w:p>
        </w:tc>
      </w:tr>
    </w:tbl>
    <w:p w14:paraId="1D282585" w14:textId="4B515B41" w:rsidR="00A74CDF" w:rsidRPr="00F01347" w:rsidRDefault="00471638" w:rsidP="00345F22">
      <w:pPr>
        <w:pStyle w:val="texto0"/>
        <w:spacing w:before="120" w:after="120" w:line="240" w:lineRule="auto"/>
        <w:ind w:left="634"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52C05729" wp14:editId="743FB6B6">
            <wp:extent cx="2924175" cy="352425"/>
            <wp:effectExtent l="0" t="0" r="0" b="0"/>
            <wp:docPr id="2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24175" cy="352425"/>
                    </a:xfrm>
                    <a:prstGeom prst="rect">
                      <a:avLst/>
                    </a:prstGeom>
                    <a:noFill/>
                    <a:ln>
                      <a:noFill/>
                    </a:ln>
                  </pic:spPr>
                </pic:pic>
              </a:graphicData>
            </a:graphic>
          </wp:inline>
        </w:drawing>
      </w:r>
    </w:p>
    <w:p w14:paraId="58E619BA" w14:textId="0E75D24F" w:rsidR="00D16E4A" w:rsidRPr="00F01347" w:rsidRDefault="00D16E4A" w:rsidP="00345F22">
      <w:pPr>
        <w:pStyle w:val="texto0"/>
        <w:spacing w:before="120" w:after="120" w:line="240" w:lineRule="auto"/>
        <w:ind w:left="634" w:firstLine="0"/>
        <w:jc w:val="center"/>
        <w:rPr>
          <w:rFonts w:ascii="Verdana" w:hAnsi="Verdana"/>
          <w:sz w:val="16"/>
          <w:szCs w:val="16"/>
        </w:rPr>
      </w:pPr>
      <w:r w:rsidRPr="00F01347">
        <w:rPr>
          <w:noProof/>
        </w:rPr>
        <w:drawing>
          <wp:inline distT="0" distB="0" distL="0" distR="0" wp14:anchorId="5911DD17" wp14:editId="0A45F36E">
            <wp:extent cx="3272334" cy="804672"/>
            <wp:effectExtent l="0" t="0" r="4445" b="0"/>
            <wp:docPr id="14028826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882696" name="Picture 1" descr="A screenshot of a computer&#10;&#10;Description automatically generated"/>
                    <pic:cNvPicPr/>
                  </pic:nvPicPr>
                  <pic:blipFill rotWithShape="1">
                    <a:blip r:embed="rId42"/>
                    <a:srcRect l="47179" t="25162" r="34051" b="66632"/>
                    <a:stretch/>
                  </pic:blipFill>
                  <pic:spPr bwMode="auto">
                    <a:xfrm>
                      <a:off x="0" y="0"/>
                      <a:ext cx="3412477" cy="83913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192211FF" w14:textId="77777777" w:rsidTr="00D16E4A">
        <w:tc>
          <w:tcPr>
            <w:tcW w:w="4675" w:type="dxa"/>
          </w:tcPr>
          <w:p w14:paraId="27F420BF" w14:textId="0654E709" w:rsidR="00204B58" w:rsidRPr="00F01347" w:rsidRDefault="00204B58" w:rsidP="00C603A0">
            <w:pPr>
              <w:pStyle w:val="texto0"/>
              <w:spacing w:line="240" w:lineRule="exact"/>
              <w:rPr>
                <w:rFonts w:ascii="Verdana" w:hAnsi="Verdana"/>
                <w:sz w:val="16"/>
                <w:szCs w:val="16"/>
              </w:rPr>
            </w:pPr>
            <w:r w:rsidRPr="00F01347">
              <w:rPr>
                <w:rFonts w:ascii="Verdana" w:hAnsi="Verdana"/>
                <w:sz w:val="16"/>
                <w:szCs w:val="16"/>
              </w:rPr>
              <w:t>Calcular la cantidad de compuesto para cada estándar:</w:t>
            </w:r>
          </w:p>
        </w:tc>
        <w:tc>
          <w:tcPr>
            <w:tcW w:w="4675" w:type="dxa"/>
          </w:tcPr>
          <w:p w14:paraId="5B990A04" w14:textId="6631CD4E" w:rsidR="00204B58" w:rsidRPr="00F01347" w:rsidRDefault="008D08C4" w:rsidP="00C603A0">
            <w:pPr>
              <w:pStyle w:val="texto0"/>
              <w:spacing w:line="240" w:lineRule="exact"/>
              <w:rPr>
                <w:rFonts w:ascii="Verdana" w:hAnsi="Verdana"/>
                <w:sz w:val="16"/>
                <w:szCs w:val="16"/>
                <w:lang w:val="en-US"/>
              </w:rPr>
            </w:pPr>
            <w:r w:rsidRPr="00F01347">
              <w:rPr>
                <w:rFonts w:ascii="Verdana" w:hAnsi="Verdana"/>
                <w:sz w:val="16"/>
                <w:szCs w:val="16"/>
                <w:lang w:val="en-US"/>
              </w:rPr>
              <w:t>Calculate the amount of compound for each standard:</w:t>
            </w:r>
          </w:p>
        </w:tc>
      </w:tr>
    </w:tbl>
    <w:p w14:paraId="0A94057E" w14:textId="77777777" w:rsidR="00204B58" w:rsidRPr="00F01347" w:rsidRDefault="00204B58" w:rsidP="003A601B">
      <w:pPr>
        <w:pStyle w:val="texto0"/>
        <w:spacing w:line="240" w:lineRule="exact"/>
        <w:rPr>
          <w:rFonts w:ascii="Verdana" w:hAnsi="Verdana"/>
          <w:sz w:val="16"/>
          <w:szCs w:val="16"/>
          <w:lang w:val="en-US"/>
        </w:rPr>
      </w:pPr>
    </w:p>
    <w:p w14:paraId="753F93AF" w14:textId="682496E9" w:rsidR="00A74CDF" w:rsidRPr="00F01347" w:rsidRDefault="00471638" w:rsidP="00D16E4A">
      <w:pPr>
        <w:pStyle w:val="texto0"/>
        <w:spacing w:line="240" w:lineRule="auto"/>
        <w:ind w:left="634"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37DCA2E0" wp14:editId="672095ED">
            <wp:extent cx="923925" cy="171450"/>
            <wp:effectExtent l="0" t="0" r="0" b="0"/>
            <wp:docPr id="2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23925" cy="1714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D08C4" w:rsidRPr="00F01347" w14:paraId="56801A59" w14:textId="6467C2F6" w:rsidTr="00D16E4A">
        <w:tc>
          <w:tcPr>
            <w:tcW w:w="4675" w:type="dxa"/>
          </w:tcPr>
          <w:p w14:paraId="0BF87A7F" w14:textId="77777777" w:rsidR="008D08C4" w:rsidRPr="00F01347" w:rsidRDefault="008D08C4" w:rsidP="008D08C4">
            <w:pPr>
              <w:pStyle w:val="texto0"/>
              <w:spacing w:line="240" w:lineRule="exact"/>
              <w:ind w:firstLine="0"/>
              <w:rPr>
                <w:rFonts w:ascii="Verdana" w:hAnsi="Verdana"/>
                <w:b/>
                <w:bCs/>
                <w:sz w:val="16"/>
                <w:szCs w:val="16"/>
              </w:rPr>
            </w:pPr>
            <w:r w:rsidRPr="00F01347">
              <w:rPr>
                <w:rFonts w:ascii="Verdana" w:hAnsi="Verdana"/>
                <w:b/>
                <w:bCs/>
                <w:sz w:val="16"/>
                <w:szCs w:val="16"/>
              </w:rPr>
              <w:t>En donde:</w:t>
            </w:r>
          </w:p>
        </w:tc>
        <w:tc>
          <w:tcPr>
            <w:tcW w:w="4675" w:type="dxa"/>
          </w:tcPr>
          <w:p w14:paraId="7BAF5398" w14:textId="51006940" w:rsidR="008D08C4" w:rsidRPr="00F01347" w:rsidRDefault="008D08C4" w:rsidP="008D08C4">
            <w:pPr>
              <w:pStyle w:val="texto0"/>
              <w:spacing w:line="240" w:lineRule="exact"/>
              <w:ind w:firstLine="0"/>
              <w:rPr>
                <w:rFonts w:ascii="Verdana" w:hAnsi="Verdana"/>
                <w:b/>
                <w:bCs/>
                <w:sz w:val="16"/>
                <w:szCs w:val="16"/>
                <w:lang w:val="en-US"/>
              </w:rPr>
            </w:pPr>
            <w:r w:rsidRPr="00F01347">
              <w:rPr>
                <w:rFonts w:ascii="Verdana" w:hAnsi="Verdana"/>
                <w:b/>
                <w:bCs/>
                <w:sz w:val="16"/>
                <w:szCs w:val="16"/>
                <w:lang w:val="en-US"/>
              </w:rPr>
              <w:t>Where:</w:t>
            </w:r>
          </w:p>
        </w:tc>
      </w:tr>
      <w:tr w:rsidR="008D08C4" w:rsidRPr="00F01347" w14:paraId="3E51778E" w14:textId="13904694" w:rsidTr="00D16E4A">
        <w:tc>
          <w:tcPr>
            <w:tcW w:w="4675" w:type="dxa"/>
          </w:tcPr>
          <w:p w14:paraId="0B7FBBBA" w14:textId="77777777" w:rsidR="008D08C4" w:rsidRPr="00F01347" w:rsidRDefault="008D08C4" w:rsidP="008D08C4">
            <w:pPr>
              <w:pStyle w:val="texto0"/>
              <w:spacing w:line="240" w:lineRule="exact"/>
              <w:ind w:firstLine="0"/>
              <w:rPr>
                <w:rFonts w:ascii="Verdana" w:hAnsi="Verdana"/>
                <w:sz w:val="16"/>
                <w:szCs w:val="16"/>
              </w:rPr>
            </w:pPr>
            <w:r w:rsidRPr="00F01347">
              <w:rPr>
                <w:rFonts w:ascii="Verdana" w:hAnsi="Verdana"/>
                <w:sz w:val="16"/>
                <w:szCs w:val="16"/>
              </w:rPr>
              <w:t>W</w:t>
            </w:r>
            <w:r w:rsidRPr="00F01347">
              <w:rPr>
                <w:rFonts w:ascii="Verdana" w:hAnsi="Verdana"/>
                <w:position w:val="-4"/>
                <w:sz w:val="16"/>
                <w:szCs w:val="16"/>
              </w:rPr>
              <w:t>S</w:t>
            </w:r>
            <w:r w:rsidRPr="00F01347">
              <w:rPr>
                <w:rFonts w:ascii="Verdana" w:hAnsi="Verdana"/>
                <w:sz w:val="16"/>
                <w:szCs w:val="16"/>
              </w:rPr>
              <w:tab/>
              <w:t>cantidad del compuesto, µg</w:t>
            </w:r>
          </w:p>
        </w:tc>
        <w:tc>
          <w:tcPr>
            <w:tcW w:w="4675" w:type="dxa"/>
          </w:tcPr>
          <w:p w14:paraId="20F05E3B" w14:textId="076D04F4" w:rsidR="008D08C4" w:rsidRPr="00F01347" w:rsidRDefault="008D08C4" w:rsidP="008D08C4">
            <w:pPr>
              <w:pStyle w:val="texto0"/>
              <w:spacing w:line="240" w:lineRule="exact"/>
              <w:ind w:firstLine="0"/>
              <w:rPr>
                <w:rFonts w:ascii="Verdana" w:hAnsi="Verdana"/>
                <w:sz w:val="16"/>
                <w:szCs w:val="16"/>
                <w:lang w:val="en-US"/>
              </w:rPr>
            </w:pPr>
            <w:r w:rsidRPr="00F01347">
              <w:rPr>
                <w:rFonts w:ascii="Verdana" w:hAnsi="Verdana"/>
                <w:sz w:val="16"/>
                <w:szCs w:val="16"/>
                <w:lang w:val="en-US"/>
              </w:rPr>
              <w:t>W</w:t>
            </w:r>
            <w:r w:rsidRPr="00F01347">
              <w:rPr>
                <w:rFonts w:ascii="Verdana" w:hAnsi="Verdana"/>
                <w:position w:val="-4"/>
                <w:sz w:val="16"/>
                <w:szCs w:val="16"/>
                <w:lang w:val="en-US"/>
              </w:rPr>
              <w:t xml:space="preserve">S </w:t>
            </w:r>
            <w:r w:rsidRPr="00F01347">
              <w:rPr>
                <w:rFonts w:ascii="Verdana" w:hAnsi="Verdana"/>
                <w:sz w:val="16"/>
                <w:szCs w:val="16"/>
                <w:lang w:val="en-US"/>
              </w:rPr>
              <w:tab/>
              <w:t>amount of compound, µg</w:t>
            </w:r>
          </w:p>
        </w:tc>
      </w:tr>
      <w:tr w:rsidR="008D08C4" w:rsidRPr="00F01347" w14:paraId="65489B9A" w14:textId="047FE05E" w:rsidTr="00D16E4A">
        <w:tc>
          <w:tcPr>
            <w:tcW w:w="4675" w:type="dxa"/>
          </w:tcPr>
          <w:p w14:paraId="56646A23" w14:textId="77777777" w:rsidR="008D08C4" w:rsidRPr="00F01347" w:rsidRDefault="008D08C4" w:rsidP="008D08C4">
            <w:pPr>
              <w:pStyle w:val="texto0"/>
              <w:spacing w:line="240" w:lineRule="exact"/>
              <w:ind w:firstLine="0"/>
              <w:rPr>
                <w:rFonts w:ascii="Verdana" w:hAnsi="Verdana"/>
                <w:sz w:val="16"/>
                <w:szCs w:val="16"/>
              </w:rPr>
            </w:pPr>
            <w:r w:rsidRPr="00F01347">
              <w:rPr>
                <w:rFonts w:ascii="Verdana" w:hAnsi="Verdana"/>
                <w:sz w:val="16"/>
                <w:szCs w:val="16"/>
              </w:rPr>
              <w:t>V</w:t>
            </w:r>
            <w:r w:rsidRPr="00F01347">
              <w:rPr>
                <w:rFonts w:ascii="Verdana" w:hAnsi="Verdana"/>
                <w:position w:val="-4"/>
                <w:sz w:val="16"/>
                <w:szCs w:val="16"/>
              </w:rPr>
              <w:t>S</w:t>
            </w:r>
            <w:r w:rsidRPr="00F01347">
              <w:rPr>
                <w:rFonts w:ascii="Verdana" w:hAnsi="Verdana"/>
                <w:sz w:val="16"/>
                <w:szCs w:val="16"/>
              </w:rPr>
              <w:tab/>
              <w:t>volumen del estándar extraído, L</w:t>
            </w:r>
          </w:p>
        </w:tc>
        <w:tc>
          <w:tcPr>
            <w:tcW w:w="4675" w:type="dxa"/>
          </w:tcPr>
          <w:p w14:paraId="38CF341D" w14:textId="7C63A9F4" w:rsidR="008D08C4" w:rsidRPr="00F01347" w:rsidRDefault="008D08C4" w:rsidP="008D08C4">
            <w:pPr>
              <w:pStyle w:val="texto0"/>
              <w:spacing w:line="240" w:lineRule="exact"/>
              <w:ind w:firstLine="0"/>
              <w:rPr>
                <w:rFonts w:ascii="Verdana" w:hAnsi="Verdana"/>
                <w:sz w:val="16"/>
                <w:szCs w:val="16"/>
                <w:lang w:val="en-US"/>
              </w:rPr>
            </w:pPr>
            <w:r w:rsidRPr="00F01347">
              <w:rPr>
                <w:rFonts w:ascii="Verdana" w:hAnsi="Verdana"/>
                <w:sz w:val="16"/>
                <w:szCs w:val="16"/>
                <w:lang w:val="en-US"/>
              </w:rPr>
              <w:t>V</w:t>
            </w:r>
            <w:r w:rsidRPr="00F01347">
              <w:rPr>
                <w:rFonts w:ascii="Verdana" w:hAnsi="Verdana"/>
                <w:position w:val="-4"/>
                <w:sz w:val="16"/>
                <w:szCs w:val="16"/>
                <w:lang w:val="en-US"/>
              </w:rPr>
              <w:t xml:space="preserve">S </w:t>
            </w:r>
            <w:r w:rsidRPr="00F01347">
              <w:rPr>
                <w:rFonts w:ascii="Verdana" w:hAnsi="Verdana"/>
                <w:sz w:val="16"/>
                <w:szCs w:val="16"/>
                <w:lang w:val="en-US"/>
              </w:rPr>
              <w:tab/>
              <w:t>volume of standard extracted, L</w:t>
            </w:r>
          </w:p>
        </w:tc>
      </w:tr>
      <w:tr w:rsidR="008D08C4" w:rsidRPr="00F01347" w14:paraId="13BC86D7" w14:textId="6759E81D" w:rsidTr="00D16E4A">
        <w:tc>
          <w:tcPr>
            <w:tcW w:w="4675" w:type="dxa"/>
          </w:tcPr>
          <w:p w14:paraId="2D864973" w14:textId="77777777" w:rsidR="008D08C4" w:rsidRPr="00F01347" w:rsidRDefault="008D08C4" w:rsidP="008D08C4">
            <w:pPr>
              <w:pStyle w:val="texto0"/>
              <w:spacing w:line="240" w:lineRule="exact"/>
              <w:ind w:firstLine="0"/>
              <w:rPr>
                <w:rFonts w:ascii="Verdana" w:hAnsi="Verdana"/>
                <w:sz w:val="16"/>
                <w:szCs w:val="16"/>
              </w:rPr>
            </w:pPr>
            <w:r w:rsidRPr="00F01347">
              <w:rPr>
                <w:rFonts w:ascii="Verdana" w:hAnsi="Verdana"/>
                <w:sz w:val="16"/>
                <w:szCs w:val="16"/>
              </w:rPr>
              <w:t>C</w:t>
            </w:r>
            <w:r w:rsidRPr="00F01347">
              <w:rPr>
                <w:rFonts w:ascii="Verdana" w:hAnsi="Verdana"/>
                <w:position w:val="-4"/>
                <w:sz w:val="16"/>
                <w:szCs w:val="16"/>
              </w:rPr>
              <w:t>S</w:t>
            </w:r>
            <w:r w:rsidRPr="00F01347">
              <w:rPr>
                <w:rFonts w:ascii="Verdana" w:hAnsi="Verdana"/>
                <w:sz w:val="16"/>
                <w:szCs w:val="16"/>
              </w:rPr>
              <w:tab/>
              <w:t>concentración del estándar preparado en µg/L</w:t>
            </w:r>
          </w:p>
        </w:tc>
        <w:tc>
          <w:tcPr>
            <w:tcW w:w="4675" w:type="dxa"/>
          </w:tcPr>
          <w:p w14:paraId="7F2A7F9E" w14:textId="167BE104" w:rsidR="008D08C4" w:rsidRPr="00F01347" w:rsidRDefault="008D08C4" w:rsidP="008D08C4">
            <w:pPr>
              <w:pStyle w:val="texto0"/>
              <w:spacing w:line="240" w:lineRule="exact"/>
              <w:ind w:firstLine="0"/>
              <w:rPr>
                <w:rFonts w:ascii="Verdana" w:hAnsi="Verdana"/>
                <w:sz w:val="16"/>
                <w:szCs w:val="16"/>
                <w:lang w:val="en-US"/>
              </w:rPr>
            </w:pPr>
            <w:r w:rsidRPr="00F01347">
              <w:rPr>
                <w:rFonts w:ascii="Verdana" w:hAnsi="Verdana"/>
                <w:sz w:val="16"/>
                <w:szCs w:val="16"/>
                <w:lang w:val="en-US"/>
              </w:rPr>
              <w:t>C</w:t>
            </w:r>
            <w:r w:rsidRPr="00F01347">
              <w:rPr>
                <w:rFonts w:ascii="Verdana" w:hAnsi="Verdana"/>
                <w:position w:val="-4"/>
                <w:sz w:val="16"/>
                <w:szCs w:val="16"/>
                <w:lang w:val="en-US"/>
              </w:rPr>
              <w:t xml:space="preserve">S </w:t>
            </w:r>
            <w:r w:rsidRPr="00F01347">
              <w:rPr>
                <w:rFonts w:ascii="Verdana" w:hAnsi="Verdana"/>
                <w:sz w:val="16"/>
                <w:szCs w:val="16"/>
                <w:lang w:val="en-US"/>
              </w:rPr>
              <w:tab/>
              <w:t>concentration of the prepared standard in µg/L</w:t>
            </w:r>
          </w:p>
        </w:tc>
      </w:tr>
      <w:tr w:rsidR="008D08C4" w:rsidRPr="00F01347" w14:paraId="4C5565CB" w14:textId="459A8DAB" w:rsidTr="00D16E4A">
        <w:tc>
          <w:tcPr>
            <w:tcW w:w="4675" w:type="dxa"/>
          </w:tcPr>
          <w:p w14:paraId="428D9336" w14:textId="77777777" w:rsidR="008D08C4" w:rsidRPr="00F01347" w:rsidRDefault="008D08C4" w:rsidP="008D08C4">
            <w:pPr>
              <w:pStyle w:val="texto0"/>
              <w:spacing w:line="240" w:lineRule="exact"/>
              <w:ind w:firstLine="0"/>
              <w:rPr>
                <w:rFonts w:ascii="Verdana" w:hAnsi="Verdana"/>
                <w:sz w:val="16"/>
                <w:szCs w:val="16"/>
              </w:rPr>
            </w:pPr>
            <w:r w:rsidRPr="00F01347">
              <w:rPr>
                <w:rFonts w:ascii="Verdana" w:hAnsi="Verdana"/>
                <w:sz w:val="16"/>
                <w:szCs w:val="16"/>
              </w:rPr>
              <w:t>Para cada componente determinar el promedio del factor de respuesta (FR) y la desviación estándar de los factores de respuesta empleando todos los estándares de calibración analizados. Si el porciento de la desviación estándar relativa (%DER) es menos del 20%, se puede emplear el FR promedio para calcular la concentración de la muestra:</w:t>
            </w:r>
          </w:p>
        </w:tc>
        <w:tc>
          <w:tcPr>
            <w:tcW w:w="4675" w:type="dxa"/>
          </w:tcPr>
          <w:p w14:paraId="5539BAE7" w14:textId="5EE30E95" w:rsidR="008D08C4" w:rsidRPr="00F01347" w:rsidRDefault="008D08C4" w:rsidP="008D08C4">
            <w:pPr>
              <w:pStyle w:val="texto0"/>
              <w:spacing w:line="240" w:lineRule="exact"/>
              <w:ind w:firstLine="0"/>
              <w:rPr>
                <w:rFonts w:ascii="Verdana" w:hAnsi="Verdana"/>
                <w:sz w:val="16"/>
                <w:szCs w:val="16"/>
                <w:lang w:val="en-US"/>
              </w:rPr>
            </w:pPr>
            <w:r w:rsidRPr="00F01347">
              <w:rPr>
                <w:rFonts w:ascii="Verdana" w:hAnsi="Verdana"/>
                <w:sz w:val="16"/>
                <w:szCs w:val="16"/>
                <w:lang w:val="en-US"/>
              </w:rPr>
              <w:t>For each component, determine the average of the response factor (RF) and the standard deviation of the response factors using all the calibration standards analyzed. If the percent relative standard deviation (%RD) is less than 20%, the average FR can be used to calculate the sample concentration:</w:t>
            </w:r>
          </w:p>
        </w:tc>
      </w:tr>
    </w:tbl>
    <w:p w14:paraId="6FA165AA" w14:textId="48D0C1AF" w:rsidR="00A74CDF" w:rsidRPr="00F01347" w:rsidRDefault="00471638" w:rsidP="00D12C7E">
      <w:pPr>
        <w:pStyle w:val="texto0"/>
        <w:spacing w:before="120" w:after="120" w:line="240" w:lineRule="auto"/>
        <w:ind w:left="634"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26614331" wp14:editId="45397881">
            <wp:extent cx="1943100" cy="352425"/>
            <wp:effectExtent l="0" t="0" r="0" b="0"/>
            <wp:docPr id="3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43100" cy="352425"/>
                    </a:xfrm>
                    <a:prstGeom prst="rect">
                      <a:avLst/>
                    </a:prstGeom>
                    <a:noFill/>
                    <a:ln>
                      <a:noFill/>
                    </a:ln>
                  </pic:spPr>
                </pic:pic>
              </a:graphicData>
            </a:graphic>
          </wp:inline>
        </w:drawing>
      </w:r>
    </w:p>
    <w:p w14:paraId="676B8745" w14:textId="5788FFC4" w:rsidR="00E957D6" w:rsidRPr="00F01347" w:rsidRDefault="00E957D6" w:rsidP="00D12C7E">
      <w:pPr>
        <w:pStyle w:val="texto0"/>
        <w:spacing w:before="120" w:after="120" w:line="240" w:lineRule="auto"/>
        <w:ind w:left="634" w:firstLine="0"/>
        <w:jc w:val="center"/>
        <w:rPr>
          <w:rFonts w:ascii="Verdana" w:hAnsi="Verdana"/>
          <w:sz w:val="16"/>
          <w:szCs w:val="16"/>
        </w:rPr>
      </w:pPr>
      <w:r w:rsidRPr="00F01347">
        <w:rPr>
          <w:noProof/>
        </w:rPr>
        <w:drawing>
          <wp:inline distT="0" distB="0" distL="0" distR="0" wp14:anchorId="3DC8DF0A" wp14:editId="07DEE27E">
            <wp:extent cx="1792222" cy="469392"/>
            <wp:effectExtent l="0" t="0" r="0" b="6985"/>
            <wp:docPr id="4791619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61978" name="Picture 1" descr="A screenshot of a computer&#10;&#10;Description automatically generated"/>
                    <pic:cNvPicPr/>
                  </pic:nvPicPr>
                  <pic:blipFill rotWithShape="1">
                    <a:blip r:embed="rId45"/>
                    <a:srcRect l="38564" t="68923" r="44203" b="23053"/>
                    <a:stretch/>
                  </pic:blipFill>
                  <pic:spPr bwMode="auto">
                    <a:xfrm>
                      <a:off x="0" y="0"/>
                      <a:ext cx="1827492" cy="478629"/>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B4DB4" w:rsidRPr="00F01347" w14:paraId="4E3446EA" w14:textId="111C0037" w:rsidTr="00E957D6">
        <w:tc>
          <w:tcPr>
            <w:tcW w:w="4675" w:type="dxa"/>
          </w:tcPr>
          <w:p w14:paraId="02F6B96D" w14:textId="77777777" w:rsidR="00EB4DB4" w:rsidRPr="00F01347" w:rsidRDefault="00EB4DB4" w:rsidP="00EB4DB4">
            <w:pPr>
              <w:pStyle w:val="texto0"/>
              <w:spacing w:line="240" w:lineRule="exact"/>
              <w:ind w:firstLine="0"/>
              <w:rPr>
                <w:rFonts w:ascii="Verdana" w:hAnsi="Verdana"/>
                <w:b/>
                <w:bCs/>
                <w:sz w:val="16"/>
                <w:szCs w:val="16"/>
              </w:rPr>
            </w:pPr>
            <w:r w:rsidRPr="00F01347">
              <w:rPr>
                <w:rFonts w:ascii="Verdana" w:hAnsi="Verdana"/>
                <w:b/>
                <w:bCs/>
                <w:sz w:val="16"/>
                <w:szCs w:val="16"/>
              </w:rPr>
              <w:t>En donde:</w:t>
            </w:r>
          </w:p>
        </w:tc>
        <w:tc>
          <w:tcPr>
            <w:tcW w:w="4675" w:type="dxa"/>
          </w:tcPr>
          <w:p w14:paraId="7A40FA08" w14:textId="0C0D30E5" w:rsidR="00EB4DB4" w:rsidRPr="00F01347" w:rsidRDefault="00EB4DB4" w:rsidP="00EB4DB4">
            <w:pPr>
              <w:pStyle w:val="texto0"/>
              <w:spacing w:line="240" w:lineRule="exact"/>
              <w:ind w:firstLine="0"/>
              <w:rPr>
                <w:rFonts w:ascii="Verdana" w:hAnsi="Verdana"/>
                <w:b/>
                <w:bCs/>
                <w:sz w:val="16"/>
                <w:szCs w:val="16"/>
                <w:lang w:val="en-US"/>
              </w:rPr>
            </w:pPr>
            <w:r w:rsidRPr="00F01347">
              <w:rPr>
                <w:rFonts w:ascii="Verdana" w:hAnsi="Verdana"/>
                <w:b/>
                <w:bCs/>
                <w:sz w:val="16"/>
                <w:szCs w:val="16"/>
                <w:lang w:val="en-US"/>
              </w:rPr>
              <w:t>Where:</w:t>
            </w:r>
          </w:p>
        </w:tc>
      </w:tr>
      <w:tr w:rsidR="00EB4DB4" w:rsidRPr="00F01347" w14:paraId="524F36E4" w14:textId="2F2A89E9" w:rsidTr="00E957D6">
        <w:tc>
          <w:tcPr>
            <w:tcW w:w="4675" w:type="dxa"/>
          </w:tcPr>
          <w:p w14:paraId="46916151" w14:textId="77777777" w:rsidR="00EB4DB4" w:rsidRPr="00F01347" w:rsidRDefault="00EB4DB4" w:rsidP="00EB4DB4">
            <w:pPr>
              <w:pStyle w:val="texto0"/>
              <w:spacing w:line="240" w:lineRule="exact"/>
              <w:ind w:firstLine="0"/>
              <w:rPr>
                <w:rFonts w:ascii="Verdana" w:hAnsi="Verdana"/>
                <w:sz w:val="16"/>
                <w:szCs w:val="16"/>
              </w:rPr>
            </w:pPr>
            <w:r w:rsidRPr="00F01347">
              <w:rPr>
                <w:rFonts w:ascii="Verdana" w:hAnsi="Verdana"/>
                <w:sz w:val="16"/>
                <w:szCs w:val="16"/>
              </w:rPr>
              <w:t>DE</w:t>
            </w:r>
            <w:r w:rsidRPr="00F01347">
              <w:rPr>
                <w:rFonts w:ascii="Verdana" w:hAnsi="Verdana"/>
                <w:sz w:val="16"/>
                <w:szCs w:val="16"/>
              </w:rPr>
              <w:tab/>
              <w:t>desviación estándar</w:t>
            </w:r>
          </w:p>
        </w:tc>
        <w:tc>
          <w:tcPr>
            <w:tcW w:w="4675" w:type="dxa"/>
          </w:tcPr>
          <w:p w14:paraId="0DF974CF" w14:textId="717B7C54" w:rsidR="00EB4DB4" w:rsidRPr="00F01347" w:rsidRDefault="00087987" w:rsidP="00EB4DB4">
            <w:pPr>
              <w:pStyle w:val="texto0"/>
              <w:spacing w:line="240" w:lineRule="exact"/>
              <w:ind w:firstLine="0"/>
              <w:rPr>
                <w:rFonts w:ascii="Verdana" w:hAnsi="Verdana"/>
                <w:sz w:val="16"/>
                <w:szCs w:val="16"/>
                <w:lang w:val="en-US"/>
              </w:rPr>
            </w:pPr>
            <w:r w:rsidRPr="00F01347">
              <w:rPr>
                <w:rFonts w:ascii="Verdana" w:hAnsi="Verdana"/>
                <w:sz w:val="16"/>
                <w:szCs w:val="16"/>
                <w:lang w:val="en-US"/>
              </w:rPr>
              <w:t>DE</w:t>
            </w:r>
            <w:r w:rsidR="00EB4DB4" w:rsidRPr="00F01347">
              <w:rPr>
                <w:rFonts w:ascii="Verdana" w:hAnsi="Verdana"/>
                <w:sz w:val="16"/>
                <w:szCs w:val="16"/>
                <w:lang w:val="en-US"/>
              </w:rPr>
              <w:t xml:space="preserve"> </w:t>
            </w:r>
            <w:r w:rsidR="00EB4DB4" w:rsidRPr="00F01347">
              <w:rPr>
                <w:rFonts w:ascii="Verdana" w:hAnsi="Verdana"/>
                <w:sz w:val="16"/>
                <w:szCs w:val="16"/>
                <w:lang w:val="en-US"/>
              </w:rPr>
              <w:tab/>
              <w:t>standard deviation</w:t>
            </w:r>
          </w:p>
        </w:tc>
      </w:tr>
      <w:tr w:rsidR="00EB4DB4" w:rsidRPr="00F01347" w14:paraId="5E68E32F" w14:textId="22635310" w:rsidTr="00E957D6">
        <w:tc>
          <w:tcPr>
            <w:tcW w:w="4675" w:type="dxa"/>
          </w:tcPr>
          <w:p w14:paraId="43F9BA32" w14:textId="77777777" w:rsidR="00EB4DB4" w:rsidRPr="00F01347" w:rsidRDefault="00EB4DB4" w:rsidP="00EB4DB4">
            <w:pPr>
              <w:pStyle w:val="texto0"/>
              <w:spacing w:line="240" w:lineRule="exact"/>
              <w:ind w:firstLine="0"/>
              <w:rPr>
                <w:rFonts w:ascii="Verdana" w:hAnsi="Verdana"/>
                <w:sz w:val="16"/>
                <w:szCs w:val="16"/>
              </w:rPr>
            </w:pPr>
            <w:r w:rsidRPr="00F01347">
              <w:rPr>
                <w:rFonts w:ascii="Verdana" w:hAnsi="Verdana"/>
                <w:sz w:val="16"/>
                <w:szCs w:val="16"/>
              </w:rPr>
              <w:t>FR</w:t>
            </w:r>
            <w:r w:rsidRPr="00F01347">
              <w:rPr>
                <w:rFonts w:ascii="Verdana" w:hAnsi="Verdana"/>
                <w:sz w:val="16"/>
                <w:szCs w:val="16"/>
              </w:rPr>
              <w:tab/>
              <w:t>factor de respuesta</w:t>
            </w:r>
          </w:p>
        </w:tc>
        <w:tc>
          <w:tcPr>
            <w:tcW w:w="4675" w:type="dxa"/>
          </w:tcPr>
          <w:p w14:paraId="57763F17" w14:textId="0ABC2FFD" w:rsidR="00EB4DB4" w:rsidRPr="00F01347" w:rsidRDefault="00087987" w:rsidP="00EB4DB4">
            <w:pPr>
              <w:pStyle w:val="texto0"/>
              <w:spacing w:line="240" w:lineRule="exact"/>
              <w:ind w:firstLine="0"/>
              <w:rPr>
                <w:rFonts w:ascii="Verdana" w:hAnsi="Verdana"/>
                <w:sz w:val="16"/>
                <w:szCs w:val="16"/>
                <w:lang w:val="en-US"/>
              </w:rPr>
            </w:pPr>
            <w:r w:rsidRPr="00F01347">
              <w:rPr>
                <w:rFonts w:ascii="Verdana" w:hAnsi="Verdana"/>
                <w:sz w:val="16"/>
                <w:szCs w:val="16"/>
                <w:lang w:val="en-US"/>
              </w:rPr>
              <w:t>FR</w:t>
            </w:r>
            <w:r w:rsidR="00EB4DB4" w:rsidRPr="00F01347">
              <w:rPr>
                <w:rFonts w:ascii="Verdana" w:hAnsi="Verdana"/>
                <w:sz w:val="16"/>
                <w:szCs w:val="16"/>
                <w:lang w:val="en-US"/>
              </w:rPr>
              <w:t xml:space="preserve"> </w:t>
            </w:r>
            <w:r w:rsidR="00EB4DB4" w:rsidRPr="00F01347">
              <w:rPr>
                <w:rFonts w:ascii="Verdana" w:hAnsi="Verdana"/>
                <w:sz w:val="16"/>
                <w:szCs w:val="16"/>
                <w:lang w:val="en-US"/>
              </w:rPr>
              <w:tab/>
              <w:t>response factor</w:t>
            </w:r>
          </w:p>
        </w:tc>
      </w:tr>
      <w:tr w:rsidR="00EB4DB4" w:rsidRPr="00F01347" w14:paraId="53AE609C" w14:textId="2DEF49E1" w:rsidTr="00E957D6">
        <w:tc>
          <w:tcPr>
            <w:tcW w:w="4675" w:type="dxa"/>
          </w:tcPr>
          <w:p w14:paraId="78E065CD" w14:textId="295D85A6" w:rsidR="00EB4DB4" w:rsidRPr="00F01347" w:rsidRDefault="00EB4DB4" w:rsidP="00EB4DB4">
            <w:pPr>
              <w:pStyle w:val="texto0"/>
              <w:spacing w:line="240" w:lineRule="exact"/>
              <w:ind w:firstLine="0"/>
              <w:rPr>
                <w:rFonts w:ascii="Verdana" w:hAnsi="Verdana"/>
                <w:sz w:val="16"/>
                <w:szCs w:val="16"/>
              </w:rPr>
            </w:pPr>
            <w:r w:rsidRPr="00F01347">
              <w:rPr>
                <w:rFonts w:ascii="Verdana" w:hAnsi="Verdana"/>
                <w:sz w:val="16"/>
                <w:szCs w:val="16"/>
              </w:rPr>
              <w:t xml:space="preserve">Si </w:t>
            </w:r>
            <w:proofErr w:type="spellStart"/>
            <w:r w:rsidRPr="00F01347">
              <w:rPr>
                <w:rFonts w:ascii="Verdana" w:hAnsi="Verdana"/>
                <w:sz w:val="16"/>
                <w:szCs w:val="16"/>
              </w:rPr>
              <w:t>el</w:t>
            </w:r>
            <w:proofErr w:type="spellEnd"/>
            <w:r w:rsidRPr="00F01347">
              <w:rPr>
                <w:rFonts w:ascii="Verdana" w:hAnsi="Verdana"/>
                <w:sz w:val="16"/>
                <w:szCs w:val="16"/>
              </w:rPr>
              <w:t xml:space="preserve"> %</w:t>
            </w:r>
            <w:r w:rsidR="00087987" w:rsidRPr="00F01347">
              <w:rPr>
                <w:rFonts w:ascii="Verdana" w:hAnsi="Verdana"/>
                <w:sz w:val="16"/>
                <w:szCs w:val="16"/>
              </w:rPr>
              <w:t xml:space="preserve"> </w:t>
            </w:r>
            <w:r w:rsidRPr="00F01347">
              <w:rPr>
                <w:rFonts w:ascii="Verdana" w:hAnsi="Verdana"/>
                <w:sz w:val="16"/>
                <w:szCs w:val="16"/>
              </w:rPr>
              <w:t xml:space="preserve">DER es mayor del 20 %, graficar la curva de calibración de cantidad inyectada contra respuesta, emplear la gráfica para determinar la cantidad del </w:t>
            </w:r>
            <w:r w:rsidRPr="00F01347">
              <w:rPr>
                <w:rFonts w:ascii="Verdana" w:hAnsi="Verdana"/>
                <w:sz w:val="16"/>
                <w:szCs w:val="16"/>
              </w:rPr>
              <w:lastRenderedPageBreak/>
              <w:t>componente presente en cada muestra. Después determinar la concentración dividiendo la cantidad, µg, por el volumen en L, de muestra extraída. Opcionalmente emplear el sistema de datos para realizar una regresión lineal y emplear la ecuación para calcular la cantidad de los componentes a partir de los valores de respuesta.</w:t>
            </w:r>
          </w:p>
        </w:tc>
        <w:tc>
          <w:tcPr>
            <w:tcW w:w="4675" w:type="dxa"/>
          </w:tcPr>
          <w:p w14:paraId="4FF1FB14" w14:textId="03DCF0C6" w:rsidR="00EB4DB4" w:rsidRPr="00F01347" w:rsidRDefault="00EB4DB4" w:rsidP="00EB4DB4">
            <w:pPr>
              <w:pStyle w:val="texto0"/>
              <w:spacing w:line="240" w:lineRule="exact"/>
              <w:ind w:firstLine="0"/>
              <w:rPr>
                <w:rFonts w:ascii="Verdana" w:hAnsi="Verdana"/>
                <w:sz w:val="16"/>
                <w:szCs w:val="16"/>
                <w:lang w:val="en-US"/>
              </w:rPr>
            </w:pPr>
            <w:r w:rsidRPr="00F01347">
              <w:rPr>
                <w:rFonts w:ascii="Verdana" w:hAnsi="Verdana"/>
                <w:sz w:val="16"/>
                <w:szCs w:val="16"/>
                <w:lang w:val="en-US"/>
              </w:rPr>
              <w:lastRenderedPageBreak/>
              <w:t>If the %</w:t>
            </w:r>
            <w:r w:rsidR="00087987" w:rsidRPr="00F01347">
              <w:rPr>
                <w:rFonts w:ascii="Verdana" w:hAnsi="Verdana"/>
                <w:sz w:val="16"/>
                <w:szCs w:val="16"/>
                <w:lang w:val="en-US"/>
              </w:rPr>
              <w:t xml:space="preserve"> </w:t>
            </w:r>
            <w:r w:rsidRPr="00F01347">
              <w:rPr>
                <w:rFonts w:ascii="Verdana" w:hAnsi="Verdana"/>
                <w:sz w:val="16"/>
                <w:szCs w:val="16"/>
                <w:lang w:val="en-US"/>
              </w:rPr>
              <w:t xml:space="preserve">DER is greater than 20%, graph the calibration curve of injected amount against response, use the graph to determine the amount of the component </w:t>
            </w:r>
            <w:r w:rsidRPr="00F01347">
              <w:rPr>
                <w:rFonts w:ascii="Verdana" w:hAnsi="Verdana"/>
                <w:sz w:val="16"/>
                <w:szCs w:val="16"/>
                <w:lang w:val="en-US"/>
              </w:rPr>
              <w:lastRenderedPageBreak/>
              <w:t>present in each sample. Then determine the concentration by dividing the amount, µg, by the volume, in L, of extracted sample. Optionally use the data system to perform a linear regression and use the equation to calculate the quantity of the components from the response values.</w:t>
            </w:r>
          </w:p>
        </w:tc>
      </w:tr>
      <w:tr w:rsidR="00EB4DB4" w:rsidRPr="00F01347" w14:paraId="679AF1AD" w14:textId="59205213" w:rsidTr="00E957D6">
        <w:tc>
          <w:tcPr>
            <w:tcW w:w="4675" w:type="dxa"/>
          </w:tcPr>
          <w:p w14:paraId="63BD1351" w14:textId="77777777" w:rsidR="00EB4DB4" w:rsidRPr="00F01347" w:rsidRDefault="00EB4DB4" w:rsidP="00EB4DB4">
            <w:pPr>
              <w:pStyle w:val="texto0"/>
              <w:spacing w:line="240" w:lineRule="exact"/>
              <w:ind w:firstLine="0"/>
              <w:rPr>
                <w:rFonts w:ascii="Verdana" w:hAnsi="Verdana"/>
                <w:sz w:val="16"/>
                <w:szCs w:val="16"/>
              </w:rPr>
            </w:pPr>
            <w:r w:rsidRPr="00F01347">
              <w:rPr>
                <w:rFonts w:ascii="Verdana" w:hAnsi="Verdana"/>
                <w:sz w:val="16"/>
                <w:szCs w:val="16"/>
              </w:rPr>
              <w:lastRenderedPageBreak/>
              <w:t>Cuando se emplee el valor promedio del FR, calcular la concentración como sigue:</w:t>
            </w:r>
          </w:p>
        </w:tc>
        <w:tc>
          <w:tcPr>
            <w:tcW w:w="4675" w:type="dxa"/>
          </w:tcPr>
          <w:p w14:paraId="47F9892E" w14:textId="5A44B613" w:rsidR="00EB4DB4" w:rsidRPr="00F01347" w:rsidRDefault="00EB4DB4" w:rsidP="00EB4DB4">
            <w:pPr>
              <w:pStyle w:val="texto0"/>
              <w:spacing w:line="240" w:lineRule="exact"/>
              <w:ind w:firstLine="0"/>
              <w:rPr>
                <w:rFonts w:ascii="Verdana" w:hAnsi="Verdana"/>
                <w:sz w:val="16"/>
                <w:szCs w:val="16"/>
                <w:lang w:val="en-US"/>
              </w:rPr>
            </w:pPr>
            <w:r w:rsidRPr="00F01347">
              <w:rPr>
                <w:rFonts w:ascii="Verdana" w:hAnsi="Verdana"/>
                <w:sz w:val="16"/>
                <w:szCs w:val="16"/>
                <w:lang w:val="en-US"/>
              </w:rPr>
              <w:t>When the average FR value is used, calculate the concentration as follows:</w:t>
            </w:r>
          </w:p>
        </w:tc>
      </w:tr>
    </w:tbl>
    <w:p w14:paraId="22226B4B" w14:textId="60BCF224" w:rsidR="00A74CDF" w:rsidRPr="00F01347" w:rsidRDefault="00471638" w:rsidP="000C0FF3">
      <w:pPr>
        <w:pStyle w:val="texto0"/>
        <w:spacing w:before="120" w:after="120" w:line="240" w:lineRule="auto"/>
        <w:ind w:left="634"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7C5B8424" wp14:editId="23C1E6B8">
            <wp:extent cx="1057275" cy="390525"/>
            <wp:effectExtent l="0" t="0" r="0" b="0"/>
            <wp:docPr id="3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57275" cy="3905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F2457" w:rsidRPr="00F01347" w14:paraId="3E90E49B" w14:textId="5F0A4252" w:rsidTr="000C0FF3">
        <w:tc>
          <w:tcPr>
            <w:tcW w:w="4675" w:type="dxa"/>
          </w:tcPr>
          <w:p w14:paraId="48F37308" w14:textId="77777777" w:rsidR="001F2457" w:rsidRPr="00F01347" w:rsidRDefault="001F2457" w:rsidP="001F2457">
            <w:pPr>
              <w:pStyle w:val="texto0"/>
              <w:spacing w:line="254" w:lineRule="exact"/>
              <w:ind w:firstLine="0"/>
              <w:rPr>
                <w:rFonts w:ascii="Verdana" w:hAnsi="Verdana"/>
                <w:b/>
                <w:bCs/>
                <w:sz w:val="16"/>
                <w:szCs w:val="16"/>
              </w:rPr>
            </w:pPr>
            <w:r w:rsidRPr="00F01347">
              <w:rPr>
                <w:rFonts w:ascii="Verdana" w:hAnsi="Verdana"/>
                <w:b/>
                <w:bCs/>
                <w:sz w:val="16"/>
                <w:szCs w:val="16"/>
              </w:rPr>
              <w:t>En donde:</w:t>
            </w:r>
          </w:p>
        </w:tc>
        <w:tc>
          <w:tcPr>
            <w:tcW w:w="4675" w:type="dxa"/>
          </w:tcPr>
          <w:p w14:paraId="279F3981" w14:textId="3CF837FF" w:rsidR="001F2457" w:rsidRPr="00F01347" w:rsidRDefault="001F2457" w:rsidP="001F2457">
            <w:pPr>
              <w:pStyle w:val="texto0"/>
              <w:spacing w:line="254" w:lineRule="exact"/>
              <w:ind w:firstLine="0"/>
              <w:rPr>
                <w:rFonts w:ascii="Verdana" w:hAnsi="Verdana"/>
                <w:b/>
                <w:bCs/>
                <w:sz w:val="16"/>
                <w:szCs w:val="16"/>
                <w:lang w:val="en-US"/>
              </w:rPr>
            </w:pPr>
            <w:r w:rsidRPr="00F01347">
              <w:rPr>
                <w:rFonts w:ascii="Verdana" w:hAnsi="Verdana"/>
                <w:b/>
                <w:bCs/>
                <w:sz w:val="16"/>
                <w:szCs w:val="16"/>
                <w:lang w:val="en-US"/>
              </w:rPr>
              <w:t>Where:</w:t>
            </w:r>
          </w:p>
        </w:tc>
      </w:tr>
      <w:tr w:rsidR="001F2457" w:rsidRPr="00F01347" w14:paraId="0442E23E" w14:textId="2E06232D" w:rsidTr="000C0FF3">
        <w:tc>
          <w:tcPr>
            <w:tcW w:w="4675" w:type="dxa"/>
          </w:tcPr>
          <w:p w14:paraId="579EDAF6" w14:textId="77777777" w:rsidR="001F2457" w:rsidRPr="00F01347" w:rsidRDefault="001F2457" w:rsidP="001F2457">
            <w:pPr>
              <w:pStyle w:val="texto0"/>
              <w:spacing w:line="254" w:lineRule="exact"/>
              <w:ind w:firstLine="0"/>
              <w:rPr>
                <w:rFonts w:ascii="Verdana" w:hAnsi="Verdana"/>
                <w:sz w:val="16"/>
                <w:szCs w:val="16"/>
              </w:rPr>
            </w:pPr>
            <w:r w:rsidRPr="00F01347">
              <w:rPr>
                <w:rFonts w:ascii="Verdana" w:hAnsi="Verdana"/>
                <w:sz w:val="16"/>
                <w:szCs w:val="16"/>
              </w:rPr>
              <w:t>C</w:t>
            </w:r>
            <w:r w:rsidRPr="00F01347">
              <w:rPr>
                <w:rFonts w:ascii="Verdana" w:hAnsi="Verdana"/>
                <w:position w:val="-4"/>
                <w:sz w:val="16"/>
                <w:szCs w:val="16"/>
              </w:rPr>
              <w:t>X</w:t>
            </w:r>
            <w:r w:rsidRPr="00F01347">
              <w:rPr>
                <w:rFonts w:ascii="Verdana" w:hAnsi="Verdana"/>
                <w:sz w:val="16"/>
                <w:szCs w:val="16"/>
              </w:rPr>
              <w:tab/>
              <w:t>concentración del compuesto en mg/L</w:t>
            </w:r>
          </w:p>
        </w:tc>
        <w:tc>
          <w:tcPr>
            <w:tcW w:w="4675" w:type="dxa"/>
          </w:tcPr>
          <w:p w14:paraId="3C803B68" w14:textId="765CC406" w:rsidR="001F2457" w:rsidRPr="00F01347" w:rsidRDefault="001F2457" w:rsidP="001F2457">
            <w:pPr>
              <w:pStyle w:val="texto0"/>
              <w:spacing w:line="254" w:lineRule="exact"/>
              <w:ind w:firstLine="0"/>
              <w:rPr>
                <w:rFonts w:ascii="Verdana" w:hAnsi="Verdana"/>
                <w:sz w:val="16"/>
                <w:szCs w:val="16"/>
                <w:lang w:val="en-US"/>
              </w:rPr>
            </w:pPr>
            <w:r w:rsidRPr="00F01347">
              <w:rPr>
                <w:rFonts w:ascii="Verdana" w:hAnsi="Verdana"/>
                <w:sz w:val="16"/>
                <w:szCs w:val="16"/>
                <w:lang w:val="en-US"/>
              </w:rPr>
              <w:t>C</w:t>
            </w:r>
            <w:r w:rsidRPr="00F01347">
              <w:rPr>
                <w:rFonts w:ascii="Verdana" w:hAnsi="Verdana"/>
                <w:position w:val="-4"/>
                <w:sz w:val="16"/>
                <w:szCs w:val="16"/>
                <w:lang w:val="en-US"/>
              </w:rPr>
              <w:t xml:space="preserve">X </w:t>
            </w:r>
            <w:r w:rsidRPr="00F01347">
              <w:rPr>
                <w:rFonts w:ascii="Verdana" w:hAnsi="Verdana"/>
                <w:sz w:val="16"/>
                <w:szCs w:val="16"/>
                <w:lang w:val="en-US"/>
              </w:rPr>
              <w:tab/>
              <w:t>concentration of the compound in mg/L</w:t>
            </w:r>
          </w:p>
        </w:tc>
      </w:tr>
      <w:tr w:rsidR="001F2457" w:rsidRPr="00F01347" w14:paraId="0C8050A9" w14:textId="60699201" w:rsidTr="000C0FF3">
        <w:tc>
          <w:tcPr>
            <w:tcW w:w="4675" w:type="dxa"/>
          </w:tcPr>
          <w:p w14:paraId="14EE13F5" w14:textId="77777777" w:rsidR="001F2457" w:rsidRPr="00F01347" w:rsidRDefault="001F2457" w:rsidP="001F2457">
            <w:pPr>
              <w:pStyle w:val="texto0"/>
              <w:spacing w:line="254" w:lineRule="exact"/>
              <w:ind w:firstLine="0"/>
              <w:rPr>
                <w:rFonts w:ascii="Verdana" w:hAnsi="Verdana"/>
                <w:sz w:val="16"/>
                <w:szCs w:val="16"/>
              </w:rPr>
            </w:pPr>
            <w:r w:rsidRPr="00F01347">
              <w:rPr>
                <w:rFonts w:ascii="Verdana" w:hAnsi="Verdana"/>
                <w:sz w:val="16"/>
                <w:szCs w:val="16"/>
              </w:rPr>
              <w:t>R</w:t>
            </w:r>
            <w:r w:rsidRPr="00F01347">
              <w:rPr>
                <w:rFonts w:ascii="Verdana" w:hAnsi="Verdana"/>
                <w:position w:val="-4"/>
                <w:sz w:val="16"/>
                <w:szCs w:val="16"/>
              </w:rPr>
              <w:t>X</w:t>
            </w:r>
            <w:r w:rsidRPr="00F01347">
              <w:rPr>
                <w:rFonts w:ascii="Verdana" w:hAnsi="Verdana"/>
                <w:sz w:val="16"/>
                <w:szCs w:val="16"/>
              </w:rPr>
              <w:tab/>
              <w:t>respuesta de la muestra (mm, área, etc.)</w:t>
            </w:r>
          </w:p>
        </w:tc>
        <w:tc>
          <w:tcPr>
            <w:tcW w:w="4675" w:type="dxa"/>
          </w:tcPr>
          <w:p w14:paraId="4D132B78" w14:textId="5FD902DA" w:rsidR="001F2457" w:rsidRPr="00F01347" w:rsidRDefault="001F2457" w:rsidP="001F2457">
            <w:pPr>
              <w:pStyle w:val="texto0"/>
              <w:spacing w:line="254" w:lineRule="exact"/>
              <w:ind w:firstLine="0"/>
              <w:rPr>
                <w:rFonts w:ascii="Verdana" w:hAnsi="Verdana"/>
                <w:sz w:val="16"/>
                <w:szCs w:val="16"/>
                <w:lang w:val="en-US"/>
              </w:rPr>
            </w:pPr>
            <w:r w:rsidRPr="00F01347">
              <w:rPr>
                <w:rFonts w:ascii="Verdana" w:hAnsi="Verdana"/>
                <w:sz w:val="16"/>
                <w:szCs w:val="16"/>
                <w:lang w:val="en-US"/>
              </w:rPr>
              <w:t>R</w:t>
            </w:r>
            <w:r w:rsidRPr="00F01347">
              <w:rPr>
                <w:rFonts w:ascii="Verdana" w:hAnsi="Verdana"/>
                <w:position w:val="-4"/>
                <w:sz w:val="16"/>
                <w:szCs w:val="16"/>
                <w:lang w:val="en-US"/>
              </w:rPr>
              <w:t xml:space="preserve">X </w:t>
            </w:r>
            <w:r w:rsidRPr="00F01347">
              <w:rPr>
                <w:rFonts w:ascii="Verdana" w:hAnsi="Verdana"/>
                <w:sz w:val="16"/>
                <w:szCs w:val="16"/>
                <w:lang w:val="en-US"/>
              </w:rPr>
              <w:tab/>
              <w:t>sample response (mm, area, etc.)</w:t>
            </w:r>
          </w:p>
        </w:tc>
      </w:tr>
      <w:tr w:rsidR="001F2457" w:rsidRPr="00F01347" w14:paraId="577AC8A6" w14:textId="48BC28B8" w:rsidTr="000C0FF3">
        <w:tc>
          <w:tcPr>
            <w:tcW w:w="4675" w:type="dxa"/>
          </w:tcPr>
          <w:p w14:paraId="31A30EC7" w14:textId="77777777" w:rsidR="001F2457" w:rsidRPr="00F01347" w:rsidRDefault="001F2457" w:rsidP="001F2457">
            <w:pPr>
              <w:pStyle w:val="texto0"/>
              <w:spacing w:line="254" w:lineRule="exact"/>
              <w:ind w:firstLine="0"/>
              <w:rPr>
                <w:rFonts w:ascii="Verdana" w:hAnsi="Verdana"/>
                <w:sz w:val="16"/>
                <w:szCs w:val="16"/>
              </w:rPr>
            </w:pPr>
            <w:r w:rsidRPr="00F01347">
              <w:rPr>
                <w:rFonts w:ascii="Verdana" w:hAnsi="Verdana"/>
                <w:sz w:val="16"/>
                <w:szCs w:val="16"/>
              </w:rPr>
              <w:t>V</w:t>
            </w:r>
            <w:r w:rsidRPr="00F01347">
              <w:rPr>
                <w:rFonts w:ascii="Verdana" w:hAnsi="Verdana"/>
                <w:position w:val="-4"/>
                <w:sz w:val="16"/>
                <w:szCs w:val="16"/>
              </w:rPr>
              <w:t>X</w:t>
            </w:r>
            <w:r w:rsidRPr="00F01347">
              <w:rPr>
                <w:rFonts w:ascii="Verdana" w:hAnsi="Verdana"/>
                <w:sz w:val="16"/>
                <w:szCs w:val="16"/>
              </w:rPr>
              <w:tab/>
              <w:t>volumen de la muestra extraída en L</w:t>
            </w:r>
          </w:p>
        </w:tc>
        <w:tc>
          <w:tcPr>
            <w:tcW w:w="4675" w:type="dxa"/>
          </w:tcPr>
          <w:p w14:paraId="7572F6DA" w14:textId="234F5BF5" w:rsidR="001F2457" w:rsidRPr="00F01347" w:rsidRDefault="001F2457" w:rsidP="001F2457">
            <w:pPr>
              <w:pStyle w:val="texto0"/>
              <w:spacing w:line="254" w:lineRule="exact"/>
              <w:ind w:firstLine="0"/>
              <w:rPr>
                <w:rFonts w:ascii="Verdana" w:hAnsi="Verdana"/>
                <w:sz w:val="16"/>
                <w:szCs w:val="16"/>
                <w:lang w:val="en-US"/>
              </w:rPr>
            </w:pPr>
            <w:r w:rsidRPr="00F01347">
              <w:rPr>
                <w:rFonts w:ascii="Verdana" w:hAnsi="Verdana"/>
                <w:sz w:val="16"/>
                <w:szCs w:val="16"/>
                <w:lang w:val="en-US"/>
              </w:rPr>
              <w:t>V</w:t>
            </w:r>
            <w:r w:rsidRPr="00F01347">
              <w:rPr>
                <w:rFonts w:ascii="Verdana" w:hAnsi="Verdana"/>
                <w:position w:val="-4"/>
                <w:sz w:val="16"/>
                <w:szCs w:val="16"/>
                <w:lang w:val="en-US"/>
              </w:rPr>
              <w:t xml:space="preserve">X </w:t>
            </w:r>
            <w:r w:rsidRPr="00F01347">
              <w:rPr>
                <w:rFonts w:ascii="Verdana" w:hAnsi="Verdana"/>
                <w:sz w:val="16"/>
                <w:szCs w:val="16"/>
                <w:lang w:val="en-US"/>
              </w:rPr>
              <w:tab/>
              <w:t>volume of sample extracted in L</w:t>
            </w:r>
          </w:p>
        </w:tc>
      </w:tr>
      <w:tr w:rsidR="001F2457" w:rsidRPr="00F01347" w14:paraId="21D6100F" w14:textId="3079B0C5" w:rsidTr="000C0FF3">
        <w:tc>
          <w:tcPr>
            <w:tcW w:w="4675" w:type="dxa"/>
          </w:tcPr>
          <w:p w14:paraId="1C7078C6" w14:textId="77777777" w:rsidR="001F2457" w:rsidRPr="00F01347" w:rsidRDefault="001F2457" w:rsidP="001F2457">
            <w:pPr>
              <w:pStyle w:val="texto0"/>
              <w:spacing w:line="254" w:lineRule="exact"/>
              <w:ind w:firstLine="0"/>
              <w:rPr>
                <w:rFonts w:ascii="Verdana" w:hAnsi="Verdana"/>
                <w:sz w:val="16"/>
                <w:szCs w:val="16"/>
              </w:rPr>
            </w:pPr>
            <w:r w:rsidRPr="00F01347">
              <w:rPr>
                <w:rFonts w:ascii="Verdana" w:hAnsi="Verdana"/>
                <w:b/>
                <w:sz w:val="16"/>
                <w:szCs w:val="16"/>
              </w:rPr>
              <w:t>B.3.7.2.3 Procedimiento de calibración con estándar interno</w:t>
            </w:r>
            <w:r w:rsidRPr="00F01347">
              <w:rPr>
                <w:rFonts w:ascii="Verdana" w:hAnsi="Verdana"/>
                <w:sz w:val="16"/>
                <w:szCs w:val="16"/>
              </w:rPr>
              <w:t>.</w:t>
            </w:r>
          </w:p>
        </w:tc>
        <w:tc>
          <w:tcPr>
            <w:tcW w:w="4675" w:type="dxa"/>
          </w:tcPr>
          <w:p w14:paraId="477F4A29" w14:textId="2B4B1F33" w:rsidR="001F2457" w:rsidRPr="00F01347" w:rsidRDefault="001F2457" w:rsidP="001F2457">
            <w:pPr>
              <w:pStyle w:val="texto0"/>
              <w:spacing w:line="254" w:lineRule="exact"/>
              <w:ind w:firstLine="0"/>
              <w:rPr>
                <w:rFonts w:ascii="Verdana" w:hAnsi="Verdana"/>
                <w:b/>
                <w:sz w:val="16"/>
                <w:szCs w:val="16"/>
                <w:lang w:val="en-US"/>
              </w:rPr>
            </w:pPr>
            <w:r w:rsidRPr="00F01347">
              <w:rPr>
                <w:rFonts w:ascii="Verdana" w:hAnsi="Verdana"/>
                <w:b/>
                <w:sz w:val="16"/>
                <w:szCs w:val="16"/>
                <w:lang w:val="en-US"/>
              </w:rPr>
              <w:t>B.3.7.2.3 Calibration procedure with internal standard</w:t>
            </w:r>
            <w:r w:rsidR="003E1BA9" w:rsidRPr="00F01347">
              <w:rPr>
                <w:rFonts w:ascii="Verdana" w:hAnsi="Verdana"/>
                <w:b/>
                <w:sz w:val="16"/>
                <w:szCs w:val="16"/>
                <w:lang w:val="en-US"/>
              </w:rPr>
              <w:t>.</w:t>
            </w:r>
          </w:p>
        </w:tc>
      </w:tr>
      <w:tr w:rsidR="001F2457" w:rsidRPr="00F01347" w14:paraId="3591AB8F" w14:textId="1D8D1A84" w:rsidTr="000C0FF3">
        <w:tc>
          <w:tcPr>
            <w:tcW w:w="4675" w:type="dxa"/>
          </w:tcPr>
          <w:p w14:paraId="2C32D7E8" w14:textId="77777777" w:rsidR="001F2457" w:rsidRPr="00F01347" w:rsidRDefault="001F2457" w:rsidP="001F2457">
            <w:pPr>
              <w:pStyle w:val="texto0"/>
              <w:spacing w:line="254" w:lineRule="exact"/>
              <w:ind w:firstLine="0"/>
              <w:rPr>
                <w:rFonts w:ascii="Verdana" w:hAnsi="Verdana"/>
                <w:sz w:val="16"/>
                <w:szCs w:val="16"/>
              </w:rPr>
            </w:pPr>
            <w:r w:rsidRPr="00F01347">
              <w:rPr>
                <w:rFonts w:ascii="Verdana" w:hAnsi="Verdana"/>
                <w:sz w:val="16"/>
                <w:szCs w:val="16"/>
              </w:rPr>
              <w:t>Emplear este procedimiento cuando el volumen de la inyección no se mantiene constante.</w:t>
            </w:r>
          </w:p>
        </w:tc>
        <w:tc>
          <w:tcPr>
            <w:tcW w:w="4675" w:type="dxa"/>
          </w:tcPr>
          <w:p w14:paraId="493EF6A5" w14:textId="7E2AD2E9" w:rsidR="001F2457" w:rsidRPr="00F01347" w:rsidRDefault="001F2457" w:rsidP="001F2457">
            <w:pPr>
              <w:pStyle w:val="texto0"/>
              <w:spacing w:line="254" w:lineRule="exact"/>
              <w:ind w:firstLine="0"/>
              <w:rPr>
                <w:rFonts w:ascii="Verdana" w:hAnsi="Verdana"/>
                <w:sz w:val="16"/>
                <w:szCs w:val="16"/>
                <w:lang w:val="en-US"/>
              </w:rPr>
            </w:pPr>
            <w:r w:rsidRPr="00F01347">
              <w:rPr>
                <w:rFonts w:ascii="Verdana" w:hAnsi="Verdana"/>
                <w:sz w:val="16"/>
                <w:szCs w:val="16"/>
                <w:lang w:val="en-US"/>
              </w:rPr>
              <w:t>Use this procedure when the injection volume does not remain constant.</w:t>
            </w:r>
          </w:p>
        </w:tc>
      </w:tr>
      <w:tr w:rsidR="001F2457" w:rsidRPr="00F01347" w14:paraId="3C42EB01" w14:textId="5D3A57B0" w:rsidTr="000C0FF3">
        <w:tc>
          <w:tcPr>
            <w:tcW w:w="4675" w:type="dxa"/>
          </w:tcPr>
          <w:p w14:paraId="306F6358" w14:textId="77777777" w:rsidR="001F2457" w:rsidRPr="00F01347" w:rsidRDefault="001F2457" w:rsidP="001F2457">
            <w:pPr>
              <w:pStyle w:val="texto0"/>
              <w:spacing w:line="254" w:lineRule="exact"/>
              <w:ind w:firstLine="0"/>
              <w:rPr>
                <w:rFonts w:ascii="Verdana" w:hAnsi="Verdana"/>
                <w:sz w:val="16"/>
                <w:szCs w:val="16"/>
              </w:rPr>
            </w:pPr>
            <w:r w:rsidRPr="00F01347">
              <w:rPr>
                <w:rFonts w:ascii="Verdana" w:hAnsi="Verdana"/>
                <w:sz w:val="16"/>
                <w:szCs w:val="16"/>
              </w:rPr>
              <w:t>Los estándares internos deben ser los más cercanos a los analitos a cuantificar de modo que tengan tiempos de retención relativos de 0.80 – 1.20. Usar el ion del pico base de estándar interno específico como ion primario para la cuantificación. Si se presentan interferencias utilice el siguiente ion de mayor intensidad para la cuantificación.</w:t>
            </w:r>
          </w:p>
        </w:tc>
        <w:tc>
          <w:tcPr>
            <w:tcW w:w="4675" w:type="dxa"/>
          </w:tcPr>
          <w:p w14:paraId="2242E1E4" w14:textId="4BEA21AA" w:rsidR="001F2457" w:rsidRPr="00F01347" w:rsidRDefault="001F2457" w:rsidP="001F2457">
            <w:pPr>
              <w:pStyle w:val="texto0"/>
              <w:spacing w:line="254" w:lineRule="exact"/>
              <w:ind w:firstLine="0"/>
              <w:rPr>
                <w:rFonts w:ascii="Verdana" w:hAnsi="Verdana"/>
                <w:sz w:val="16"/>
                <w:szCs w:val="16"/>
                <w:lang w:val="en-US"/>
              </w:rPr>
            </w:pPr>
            <w:r w:rsidRPr="00F01347">
              <w:rPr>
                <w:rFonts w:ascii="Verdana" w:hAnsi="Verdana"/>
                <w:sz w:val="16"/>
                <w:szCs w:val="16"/>
                <w:lang w:val="en-US"/>
              </w:rPr>
              <w:t>Internal standards should be those closest to the analytes to be quantified so that they have relative retention times of 0.80 – 1.20. Use the specific internal standard base peak ion as the primary ion for quantitation. If interference occurs, use the next highest intensity ion for quantitation.</w:t>
            </w:r>
          </w:p>
        </w:tc>
      </w:tr>
      <w:tr w:rsidR="001F2457" w:rsidRPr="00F01347" w14:paraId="696FA437" w14:textId="2CE6AEF9" w:rsidTr="000C0FF3">
        <w:tc>
          <w:tcPr>
            <w:tcW w:w="4675" w:type="dxa"/>
          </w:tcPr>
          <w:p w14:paraId="6E3E5C81" w14:textId="77777777" w:rsidR="001F2457" w:rsidRPr="00F01347" w:rsidRDefault="001F2457" w:rsidP="001F2457">
            <w:pPr>
              <w:pStyle w:val="texto0"/>
              <w:spacing w:line="254" w:lineRule="exact"/>
              <w:ind w:firstLine="0"/>
              <w:rPr>
                <w:rFonts w:ascii="Verdana" w:hAnsi="Verdana"/>
                <w:sz w:val="16"/>
                <w:szCs w:val="16"/>
              </w:rPr>
            </w:pPr>
            <w:r w:rsidRPr="00F01347">
              <w:rPr>
                <w:rFonts w:ascii="Verdana" w:hAnsi="Verdana"/>
                <w:sz w:val="16"/>
                <w:szCs w:val="16"/>
              </w:rPr>
              <w:t>Elaborar una lista con las áreas de los iones característicos (Tabla B.3-1, de este Apéndice), contra la concentración de cada compuesto y estándar interno.</w:t>
            </w:r>
          </w:p>
        </w:tc>
        <w:tc>
          <w:tcPr>
            <w:tcW w:w="4675" w:type="dxa"/>
          </w:tcPr>
          <w:p w14:paraId="28D34FBD" w14:textId="701A5BAF" w:rsidR="001F2457" w:rsidRPr="00F01347" w:rsidRDefault="001F2457" w:rsidP="001F2457">
            <w:pPr>
              <w:pStyle w:val="texto0"/>
              <w:spacing w:line="254" w:lineRule="exact"/>
              <w:ind w:firstLine="0"/>
              <w:rPr>
                <w:rFonts w:ascii="Verdana" w:hAnsi="Verdana"/>
                <w:sz w:val="16"/>
                <w:szCs w:val="16"/>
                <w:lang w:val="en-US"/>
              </w:rPr>
            </w:pPr>
            <w:r w:rsidRPr="00F01347">
              <w:rPr>
                <w:rFonts w:ascii="Verdana" w:hAnsi="Verdana"/>
                <w:sz w:val="16"/>
                <w:szCs w:val="16"/>
                <w:lang w:val="en-US"/>
              </w:rPr>
              <w:t>Prepare a list with the areas of the characteristic ions (Table B.3-1, of this Appendix), against the concentration of each compound and internal standard.</w:t>
            </w:r>
          </w:p>
        </w:tc>
      </w:tr>
      <w:tr w:rsidR="001F2457" w:rsidRPr="00F01347" w14:paraId="28EC300F" w14:textId="5B4C4046" w:rsidTr="000C0FF3">
        <w:tc>
          <w:tcPr>
            <w:tcW w:w="4675" w:type="dxa"/>
          </w:tcPr>
          <w:p w14:paraId="7AFBCCC9" w14:textId="77777777" w:rsidR="001F2457" w:rsidRPr="00F01347" w:rsidRDefault="001F2457" w:rsidP="001F2457">
            <w:pPr>
              <w:pStyle w:val="texto0"/>
              <w:spacing w:line="254" w:lineRule="exact"/>
              <w:ind w:firstLine="0"/>
              <w:rPr>
                <w:rFonts w:ascii="Verdana" w:hAnsi="Verdana"/>
                <w:sz w:val="16"/>
                <w:szCs w:val="16"/>
              </w:rPr>
            </w:pPr>
            <w:r w:rsidRPr="00F01347">
              <w:rPr>
                <w:rFonts w:ascii="Verdana" w:hAnsi="Verdana"/>
                <w:sz w:val="16"/>
                <w:szCs w:val="16"/>
              </w:rPr>
              <w:t>Calcular los FRR para cada compuesto relativo a cada uno de los estándares internos.</w:t>
            </w:r>
          </w:p>
        </w:tc>
        <w:tc>
          <w:tcPr>
            <w:tcW w:w="4675" w:type="dxa"/>
          </w:tcPr>
          <w:p w14:paraId="174A9433" w14:textId="3E3C3C1D" w:rsidR="001F2457" w:rsidRPr="00F01347" w:rsidRDefault="001F2457" w:rsidP="001F2457">
            <w:pPr>
              <w:pStyle w:val="texto0"/>
              <w:spacing w:line="254" w:lineRule="exact"/>
              <w:ind w:firstLine="0"/>
              <w:rPr>
                <w:rFonts w:ascii="Verdana" w:hAnsi="Verdana"/>
                <w:sz w:val="16"/>
                <w:szCs w:val="16"/>
                <w:lang w:val="en-US"/>
              </w:rPr>
            </w:pPr>
            <w:r w:rsidRPr="00F01347">
              <w:rPr>
                <w:rFonts w:ascii="Verdana" w:hAnsi="Verdana"/>
                <w:sz w:val="16"/>
                <w:szCs w:val="16"/>
                <w:lang w:val="en-US"/>
              </w:rPr>
              <w:t>Calculate the FRRs for each compound relative to each of the internal standards.</w:t>
            </w:r>
          </w:p>
        </w:tc>
      </w:tr>
    </w:tbl>
    <w:p w14:paraId="186300A5" w14:textId="77777777" w:rsidR="00204B58" w:rsidRPr="00F01347" w:rsidRDefault="00204B58" w:rsidP="003A601B">
      <w:pPr>
        <w:pStyle w:val="texto0"/>
        <w:spacing w:line="254" w:lineRule="exact"/>
        <w:rPr>
          <w:rFonts w:ascii="Verdana" w:hAnsi="Verdana"/>
          <w:sz w:val="16"/>
          <w:szCs w:val="16"/>
          <w:lang w:val="en-US"/>
        </w:rPr>
      </w:pPr>
    </w:p>
    <w:tbl>
      <w:tblPr>
        <w:tblW w:w="5508" w:type="dxa"/>
        <w:tblInd w:w="1692" w:type="dxa"/>
        <w:tblLayout w:type="fixed"/>
        <w:tblCellMar>
          <w:left w:w="72" w:type="dxa"/>
          <w:right w:w="72" w:type="dxa"/>
        </w:tblCellMar>
        <w:tblLook w:val="0000" w:firstRow="0" w:lastRow="0" w:firstColumn="0" w:lastColumn="0" w:noHBand="0" w:noVBand="0"/>
      </w:tblPr>
      <w:tblGrid>
        <w:gridCol w:w="2358"/>
        <w:gridCol w:w="1350"/>
        <w:gridCol w:w="1800"/>
      </w:tblGrid>
      <w:tr w:rsidR="00A74CDF" w:rsidRPr="00F01347" w14:paraId="71CA7D73" w14:textId="77777777">
        <w:trPr>
          <w:trHeight w:val="144"/>
        </w:trPr>
        <w:tc>
          <w:tcPr>
            <w:tcW w:w="5508" w:type="dxa"/>
            <w:gridSpan w:val="3"/>
            <w:tcBorders>
              <w:bottom w:val="single" w:sz="6" w:space="0" w:color="auto"/>
            </w:tcBorders>
            <w:noWrap/>
          </w:tcPr>
          <w:p w14:paraId="0B19A48D" w14:textId="77777777" w:rsidR="00A74CDF" w:rsidRPr="00F01347" w:rsidRDefault="00A74CDF" w:rsidP="003A601B">
            <w:pPr>
              <w:pStyle w:val="texto0"/>
              <w:spacing w:line="220" w:lineRule="exact"/>
              <w:ind w:firstLine="0"/>
              <w:jc w:val="center"/>
              <w:rPr>
                <w:rFonts w:ascii="Verdana" w:hAnsi="Verdana"/>
                <w:b/>
                <w:sz w:val="16"/>
                <w:szCs w:val="16"/>
              </w:rPr>
            </w:pPr>
            <w:r w:rsidRPr="00F01347">
              <w:rPr>
                <w:rFonts w:ascii="Verdana" w:hAnsi="Verdana"/>
                <w:b/>
                <w:sz w:val="16"/>
                <w:szCs w:val="16"/>
              </w:rPr>
              <w:t xml:space="preserve">Tabla B.3-1. </w:t>
            </w:r>
            <w:r w:rsidRPr="00F01347">
              <w:rPr>
                <w:rFonts w:ascii="Verdana" w:hAnsi="Verdana"/>
                <w:sz w:val="16"/>
                <w:szCs w:val="16"/>
              </w:rPr>
              <w:t>Iones característicos de los compuestos</w:t>
            </w:r>
          </w:p>
        </w:tc>
      </w:tr>
      <w:tr w:rsidR="00A74CDF" w:rsidRPr="00F01347" w14:paraId="48E34F50" w14:textId="77777777">
        <w:trPr>
          <w:trHeight w:val="144"/>
        </w:trPr>
        <w:tc>
          <w:tcPr>
            <w:tcW w:w="2358" w:type="dxa"/>
            <w:tcBorders>
              <w:top w:val="single" w:sz="6" w:space="0" w:color="auto"/>
              <w:left w:val="single" w:sz="6" w:space="0" w:color="auto"/>
              <w:bottom w:val="single" w:sz="6" w:space="0" w:color="auto"/>
              <w:right w:val="single" w:sz="6" w:space="0" w:color="auto"/>
            </w:tcBorders>
          </w:tcPr>
          <w:p w14:paraId="003BA8E1" w14:textId="77777777" w:rsidR="00A74CDF" w:rsidRPr="00F01347" w:rsidRDefault="00A74CDF" w:rsidP="003A601B">
            <w:pPr>
              <w:pStyle w:val="texto0"/>
              <w:spacing w:line="220" w:lineRule="exact"/>
              <w:ind w:firstLine="0"/>
              <w:jc w:val="center"/>
              <w:rPr>
                <w:rFonts w:ascii="Verdana" w:hAnsi="Verdana"/>
                <w:b/>
                <w:sz w:val="16"/>
                <w:szCs w:val="16"/>
              </w:rPr>
            </w:pPr>
            <w:r w:rsidRPr="00F01347">
              <w:rPr>
                <w:rFonts w:ascii="Verdana" w:hAnsi="Verdana"/>
                <w:b/>
                <w:sz w:val="16"/>
                <w:szCs w:val="16"/>
              </w:rPr>
              <w:t>Compuesto</w:t>
            </w:r>
          </w:p>
        </w:tc>
        <w:tc>
          <w:tcPr>
            <w:tcW w:w="1350" w:type="dxa"/>
            <w:tcBorders>
              <w:top w:val="single" w:sz="6" w:space="0" w:color="auto"/>
              <w:left w:val="single" w:sz="6" w:space="0" w:color="auto"/>
              <w:bottom w:val="single" w:sz="6" w:space="0" w:color="auto"/>
              <w:right w:val="single" w:sz="6" w:space="0" w:color="auto"/>
            </w:tcBorders>
          </w:tcPr>
          <w:p w14:paraId="0BCA7C35" w14:textId="77777777" w:rsidR="00A74CDF" w:rsidRPr="00F01347" w:rsidRDefault="00A74CDF" w:rsidP="003A601B">
            <w:pPr>
              <w:pStyle w:val="texto0"/>
              <w:spacing w:line="220" w:lineRule="exact"/>
              <w:ind w:firstLine="0"/>
              <w:jc w:val="center"/>
              <w:rPr>
                <w:rFonts w:ascii="Verdana" w:hAnsi="Verdana"/>
                <w:b/>
                <w:sz w:val="16"/>
                <w:szCs w:val="16"/>
              </w:rPr>
            </w:pPr>
            <w:r w:rsidRPr="00F01347">
              <w:rPr>
                <w:rFonts w:ascii="Verdana" w:hAnsi="Verdana"/>
                <w:b/>
                <w:sz w:val="16"/>
                <w:szCs w:val="16"/>
              </w:rPr>
              <w:t>Ion primario</w:t>
            </w:r>
          </w:p>
        </w:tc>
        <w:tc>
          <w:tcPr>
            <w:tcW w:w="1800" w:type="dxa"/>
            <w:tcBorders>
              <w:top w:val="single" w:sz="6" w:space="0" w:color="auto"/>
              <w:left w:val="single" w:sz="6" w:space="0" w:color="auto"/>
              <w:bottom w:val="single" w:sz="6" w:space="0" w:color="auto"/>
              <w:right w:val="single" w:sz="6" w:space="0" w:color="auto"/>
            </w:tcBorders>
          </w:tcPr>
          <w:p w14:paraId="720BC722" w14:textId="77777777" w:rsidR="00A74CDF" w:rsidRPr="00F01347" w:rsidRDefault="00A74CDF" w:rsidP="003A601B">
            <w:pPr>
              <w:pStyle w:val="texto0"/>
              <w:spacing w:line="220" w:lineRule="exact"/>
              <w:ind w:firstLine="0"/>
              <w:jc w:val="center"/>
              <w:rPr>
                <w:rFonts w:ascii="Verdana" w:hAnsi="Verdana"/>
                <w:b/>
                <w:sz w:val="16"/>
                <w:szCs w:val="16"/>
              </w:rPr>
            </w:pPr>
            <w:r w:rsidRPr="00F01347">
              <w:rPr>
                <w:rFonts w:ascii="Verdana" w:hAnsi="Verdana"/>
                <w:b/>
                <w:sz w:val="16"/>
                <w:szCs w:val="16"/>
              </w:rPr>
              <w:t>Ion secundario</w:t>
            </w:r>
          </w:p>
        </w:tc>
      </w:tr>
      <w:tr w:rsidR="00A74CDF" w:rsidRPr="00F01347" w14:paraId="5B5F2934" w14:textId="77777777">
        <w:trPr>
          <w:trHeight w:val="144"/>
        </w:trPr>
        <w:tc>
          <w:tcPr>
            <w:tcW w:w="2358" w:type="dxa"/>
            <w:tcBorders>
              <w:top w:val="single" w:sz="6" w:space="0" w:color="auto"/>
              <w:left w:val="single" w:sz="6" w:space="0" w:color="auto"/>
              <w:bottom w:val="single" w:sz="6" w:space="0" w:color="auto"/>
              <w:right w:val="single" w:sz="6" w:space="0" w:color="auto"/>
            </w:tcBorders>
          </w:tcPr>
          <w:p w14:paraId="5366973D"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Benceno</w:t>
            </w:r>
          </w:p>
        </w:tc>
        <w:tc>
          <w:tcPr>
            <w:tcW w:w="1350" w:type="dxa"/>
            <w:tcBorders>
              <w:top w:val="single" w:sz="6" w:space="0" w:color="auto"/>
              <w:left w:val="single" w:sz="6" w:space="0" w:color="auto"/>
              <w:bottom w:val="single" w:sz="6" w:space="0" w:color="auto"/>
              <w:right w:val="single" w:sz="6" w:space="0" w:color="auto"/>
            </w:tcBorders>
          </w:tcPr>
          <w:p w14:paraId="21C4DD92"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78</w:t>
            </w:r>
          </w:p>
        </w:tc>
        <w:tc>
          <w:tcPr>
            <w:tcW w:w="1800" w:type="dxa"/>
            <w:tcBorders>
              <w:top w:val="single" w:sz="6" w:space="0" w:color="auto"/>
              <w:left w:val="single" w:sz="6" w:space="0" w:color="auto"/>
              <w:bottom w:val="single" w:sz="6" w:space="0" w:color="auto"/>
              <w:right w:val="single" w:sz="6" w:space="0" w:color="auto"/>
            </w:tcBorders>
          </w:tcPr>
          <w:p w14:paraId="1874FEC9"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w:t>
            </w:r>
          </w:p>
        </w:tc>
      </w:tr>
      <w:tr w:rsidR="00A74CDF" w:rsidRPr="00F01347" w14:paraId="794E02AA" w14:textId="77777777">
        <w:trPr>
          <w:trHeight w:val="144"/>
        </w:trPr>
        <w:tc>
          <w:tcPr>
            <w:tcW w:w="2358" w:type="dxa"/>
            <w:tcBorders>
              <w:top w:val="single" w:sz="6" w:space="0" w:color="auto"/>
              <w:left w:val="single" w:sz="6" w:space="0" w:color="auto"/>
              <w:bottom w:val="single" w:sz="6" w:space="0" w:color="auto"/>
              <w:right w:val="single" w:sz="6" w:space="0" w:color="auto"/>
            </w:tcBorders>
          </w:tcPr>
          <w:p w14:paraId="6CBC94F7"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Etilbenceno</w:t>
            </w:r>
          </w:p>
        </w:tc>
        <w:tc>
          <w:tcPr>
            <w:tcW w:w="1350" w:type="dxa"/>
            <w:tcBorders>
              <w:top w:val="single" w:sz="6" w:space="0" w:color="auto"/>
              <w:left w:val="single" w:sz="6" w:space="0" w:color="auto"/>
              <w:bottom w:val="single" w:sz="6" w:space="0" w:color="auto"/>
              <w:right w:val="single" w:sz="6" w:space="0" w:color="auto"/>
            </w:tcBorders>
          </w:tcPr>
          <w:p w14:paraId="19ABC936"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91</w:t>
            </w:r>
          </w:p>
        </w:tc>
        <w:tc>
          <w:tcPr>
            <w:tcW w:w="1800" w:type="dxa"/>
            <w:tcBorders>
              <w:top w:val="single" w:sz="6" w:space="0" w:color="auto"/>
              <w:left w:val="single" w:sz="6" w:space="0" w:color="auto"/>
              <w:bottom w:val="single" w:sz="6" w:space="0" w:color="auto"/>
              <w:right w:val="single" w:sz="6" w:space="0" w:color="auto"/>
            </w:tcBorders>
          </w:tcPr>
          <w:p w14:paraId="6E52CB4C"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106</w:t>
            </w:r>
          </w:p>
        </w:tc>
      </w:tr>
      <w:tr w:rsidR="00A74CDF" w:rsidRPr="00F01347" w14:paraId="34768B82" w14:textId="77777777">
        <w:trPr>
          <w:trHeight w:val="144"/>
        </w:trPr>
        <w:tc>
          <w:tcPr>
            <w:tcW w:w="2358" w:type="dxa"/>
            <w:tcBorders>
              <w:top w:val="single" w:sz="6" w:space="0" w:color="auto"/>
              <w:left w:val="single" w:sz="6" w:space="0" w:color="auto"/>
              <w:bottom w:val="single" w:sz="6" w:space="0" w:color="auto"/>
              <w:right w:val="single" w:sz="6" w:space="0" w:color="auto"/>
            </w:tcBorders>
          </w:tcPr>
          <w:p w14:paraId="40C92EDE"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Tolueno</w:t>
            </w:r>
          </w:p>
        </w:tc>
        <w:tc>
          <w:tcPr>
            <w:tcW w:w="1350" w:type="dxa"/>
            <w:tcBorders>
              <w:top w:val="single" w:sz="6" w:space="0" w:color="auto"/>
              <w:left w:val="single" w:sz="6" w:space="0" w:color="auto"/>
              <w:bottom w:val="single" w:sz="6" w:space="0" w:color="auto"/>
              <w:right w:val="single" w:sz="6" w:space="0" w:color="auto"/>
            </w:tcBorders>
          </w:tcPr>
          <w:p w14:paraId="0117BEEA"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92</w:t>
            </w:r>
          </w:p>
        </w:tc>
        <w:tc>
          <w:tcPr>
            <w:tcW w:w="1800" w:type="dxa"/>
            <w:tcBorders>
              <w:top w:val="single" w:sz="6" w:space="0" w:color="auto"/>
              <w:left w:val="single" w:sz="6" w:space="0" w:color="auto"/>
              <w:bottom w:val="single" w:sz="6" w:space="0" w:color="auto"/>
              <w:right w:val="single" w:sz="6" w:space="0" w:color="auto"/>
            </w:tcBorders>
          </w:tcPr>
          <w:p w14:paraId="0703B655"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91</w:t>
            </w:r>
          </w:p>
        </w:tc>
      </w:tr>
      <w:tr w:rsidR="00A74CDF" w:rsidRPr="00F01347" w14:paraId="67A8B307" w14:textId="77777777">
        <w:trPr>
          <w:trHeight w:val="144"/>
        </w:trPr>
        <w:tc>
          <w:tcPr>
            <w:tcW w:w="2358" w:type="dxa"/>
            <w:tcBorders>
              <w:top w:val="single" w:sz="6" w:space="0" w:color="auto"/>
              <w:left w:val="single" w:sz="6" w:space="0" w:color="auto"/>
              <w:bottom w:val="single" w:sz="6" w:space="0" w:color="auto"/>
              <w:right w:val="single" w:sz="6" w:space="0" w:color="auto"/>
            </w:tcBorders>
          </w:tcPr>
          <w:p w14:paraId="42D2DB25"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Xilenos (orto, meta y para)</w:t>
            </w:r>
          </w:p>
        </w:tc>
        <w:tc>
          <w:tcPr>
            <w:tcW w:w="1350" w:type="dxa"/>
            <w:tcBorders>
              <w:top w:val="single" w:sz="6" w:space="0" w:color="auto"/>
              <w:left w:val="single" w:sz="6" w:space="0" w:color="auto"/>
              <w:bottom w:val="single" w:sz="6" w:space="0" w:color="auto"/>
              <w:right w:val="single" w:sz="6" w:space="0" w:color="auto"/>
            </w:tcBorders>
          </w:tcPr>
          <w:p w14:paraId="2E2E05A1"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106</w:t>
            </w:r>
          </w:p>
        </w:tc>
        <w:tc>
          <w:tcPr>
            <w:tcW w:w="1800" w:type="dxa"/>
            <w:tcBorders>
              <w:top w:val="single" w:sz="6" w:space="0" w:color="auto"/>
              <w:left w:val="single" w:sz="6" w:space="0" w:color="auto"/>
              <w:bottom w:val="single" w:sz="6" w:space="0" w:color="auto"/>
              <w:right w:val="single" w:sz="6" w:space="0" w:color="auto"/>
            </w:tcBorders>
          </w:tcPr>
          <w:p w14:paraId="369AB1ED"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91</w:t>
            </w:r>
          </w:p>
        </w:tc>
      </w:tr>
      <w:tr w:rsidR="00A74CDF" w:rsidRPr="00F01347" w14:paraId="3FA9487D" w14:textId="77777777">
        <w:trPr>
          <w:trHeight w:val="144"/>
        </w:trPr>
        <w:tc>
          <w:tcPr>
            <w:tcW w:w="2358" w:type="dxa"/>
            <w:tcBorders>
              <w:top w:val="single" w:sz="6" w:space="0" w:color="auto"/>
              <w:left w:val="single" w:sz="6" w:space="0" w:color="auto"/>
              <w:bottom w:val="single" w:sz="6" w:space="0" w:color="auto"/>
              <w:right w:val="single" w:sz="6" w:space="0" w:color="auto"/>
            </w:tcBorders>
          </w:tcPr>
          <w:p w14:paraId="4DE8FCE4"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Estireno</w:t>
            </w:r>
          </w:p>
        </w:tc>
        <w:tc>
          <w:tcPr>
            <w:tcW w:w="1350" w:type="dxa"/>
            <w:tcBorders>
              <w:top w:val="single" w:sz="6" w:space="0" w:color="auto"/>
              <w:left w:val="single" w:sz="6" w:space="0" w:color="auto"/>
              <w:bottom w:val="single" w:sz="6" w:space="0" w:color="auto"/>
              <w:right w:val="single" w:sz="6" w:space="0" w:color="auto"/>
            </w:tcBorders>
          </w:tcPr>
          <w:p w14:paraId="7E3A9F80"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104</w:t>
            </w:r>
          </w:p>
        </w:tc>
        <w:tc>
          <w:tcPr>
            <w:tcW w:w="1800" w:type="dxa"/>
            <w:tcBorders>
              <w:top w:val="single" w:sz="6" w:space="0" w:color="auto"/>
              <w:left w:val="single" w:sz="6" w:space="0" w:color="auto"/>
              <w:bottom w:val="single" w:sz="6" w:space="0" w:color="auto"/>
              <w:right w:val="single" w:sz="6" w:space="0" w:color="auto"/>
            </w:tcBorders>
          </w:tcPr>
          <w:p w14:paraId="2A05E830"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78</w:t>
            </w:r>
          </w:p>
        </w:tc>
      </w:tr>
    </w:tbl>
    <w:p w14:paraId="760D6FAD" w14:textId="77777777" w:rsidR="0065781E" w:rsidRPr="00F01347" w:rsidRDefault="0065781E" w:rsidP="0065781E">
      <w:pPr>
        <w:pStyle w:val="texto0"/>
        <w:spacing w:line="254" w:lineRule="exact"/>
        <w:rPr>
          <w:rFonts w:ascii="Verdana" w:hAnsi="Verdana"/>
          <w:sz w:val="16"/>
          <w:szCs w:val="16"/>
          <w:lang w:val="en"/>
        </w:rPr>
      </w:pPr>
    </w:p>
    <w:tbl>
      <w:tblPr>
        <w:tblW w:w="5505" w:type="dxa"/>
        <w:tblInd w:w="1692" w:type="dxa"/>
        <w:tblLayout w:type="fixed"/>
        <w:tblCellMar>
          <w:left w:w="72" w:type="dxa"/>
          <w:right w:w="72" w:type="dxa"/>
        </w:tblCellMar>
        <w:tblLook w:val="04A0" w:firstRow="1" w:lastRow="0" w:firstColumn="1" w:lastColumn="0" w:noHBand="0" w:noVBand="1"/>
      </w:tblPr>
      <w:tblGrid>
        <w:gridCol w:w="2357"/>
        <w:gridCol w:w="1349"/>
        <w:gridCol w:w="1799"/>
      </w:tblGrid>
      <w:tr w:rsidR="0065781E" w:rsidRPr="00F01347" w14:paraId="2D0AF705" w14:textId="77777777" w:rsidTr="00C603A0">
        <w:trPr>
          <w:trHeight w:val="144"/>
        </w:trPr>
        <w:tc>
          <w:tcPr>
            <w:tcW w:w="5505" w:type="dxa"/>
            <w:gridSpan w:val="3"/>
            <w:tcBorders>
              <w:top w:val="nil"/>
              <w:left w:val="nil"/>
              <w:bottom w:val="single" w:sz="6" w:space="0" w:color="auto"/>
              <w:right w:val="nil"/>
            </w:tcBorders>
            <w:noWrap/>
            <w:hideMark/>
          </w:tcPr>
          <w:p w14:paraId="7C8247D7" w14:textId="77777777" w:rsidR="0065781E" w:rsidRPr="00F01347" w:rsidRDefault="0065781E">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 xml:space="preserve">Table B.3-1. </w:t>
            </w:r>
            <w:r w:rsidRPr="00F01347">
              <w:rPr>
                <w:rFonts w:ascii="Verdana" w:hAnsi="Verdana"/>
                <w:sz w:val="16"/>
                <w:szCs w:val="16"/>
                <w:lang w:val="en-US"/>
              </w:rPr>
              <w:t>Characteristic ions of compounds</w:t>
            </w:r>
          </w:p>
        </w:tc>
      </w:tr>
      <w:tr w:rsidR="0065781E" w:rsidRPr="00F01347" w14:paraId="124922E2" w14:textId="77777777" w:rsidTr="00C603A0">
        <w:trPr>
          <w:trHeight w:val="144"/>
        </w:trPr>
        <w:tc>
          <w:tcPr>
            <w:tcW w:w="2357" w:type="dxa"/>
            <w:tcBorders>
              <w:top w:val="single" w:sz="6" w:space="0" w:color="auto"/>
              <w:left w:val="single" w:sz="6" w:space="0" w:color="auto"/>
              <w:bottom w:val="single" w:sz="6" w:space="0" w:color="auto"/>
              <w:right w:val="single" w:sz="6" w:space="0" w:color="auto"/>
            </w:tcBorders>
            <w:hideMark/>
          </w:tcPr>
          <w:p w14:paraId="18B354A8" w14:textId="77777777" w:rsidR="0065781E" w:rsidRPr="00F01347" w:rsidRDefault="0065781E">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Compound</w:t>
            </w:r>
          </w:p>
        </w:tc>
        <w:tc>
          <w:tcPr>
            <w:tcW w:w="1349" w:type="dxa"/>
            <w:tcBorders>
              <w:top w:val="single" w:sz="6" w:space="0" w:color="auto"/>
              <w:left w:val="single" w:sz="6" w:space="0" w:color="auto"/>
              <w:bottom w:val="single" w:sz="6" w:space="0" w:color="auto"/>
              <w:right w:val="single" w:sz="6" w:space="0" w:color="auto"/>
            </w:tcBorders>
            <w:hideMark/>
          </w:tcPr>
          <w:p w14:paraId="32C382B4" w14:textId="77777777" w:rsidR="0065781E" w:rsidRPr="00F01347" w:rsidRDefault="0065781E">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primary ion</w:t>
            </w:r>
          </w:p>
        </w:tc>
        <w:tc>
          <w:tcPr>
            <w:tcW w:w="1799" w:type="dxa"/>
            <w:tcBorders>
              <w:top w:val="single" w:sz="6" w:space="0" w:color="auto"/>
              <w:left w:val="single" w:sz="6" w:space="0" w:color="auto"/>
              <w:bottom w:val="single" w:sz="6" w:space="0" w:color="auto"/>
              <w:right w:val="single" w:sz="6" w:space="0" w:color="auto"/>
            </w:tcBorders>
            <w:hideMark/>
          </w:tcPr>
          <w:p w14:paraId="117A0CC9" w14:textId="77777777" w:rsidR="0065781E" w:rsidRPr="00F01347" w:rsidRDefault="0065781E">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secondary ion</w:t>
            </w:r>
          </w:p>
        </w:tc>
      </w:tr>
      <w:tr w:rsidR="0065781E" w:rsidRPr="00F01347" w14:paraId="73C5F72F" w14:textId="77777777" w:rsidTr="00C603A0">
        <w:trPr>
          <w:trHeight w:val="144"/>
        </w:trPr>
        <w:tc>
          <w:tcPr>
            <w:tcW w:w="2357" w:type="dxa"/>
            <w:tcBorders>
              <w:top w:val="single" w:sz="6" w:space="0" w:color="auto"/>
              <w:left w:val="single" w:sz="6" w:space="0" w:color="auto"/>
              <w:bottom w:val="single" w:sz="6" w:space="0" w:color="auto"/>
              <w:right w:val="single" w:sz="6" w:space="0" w:color="auto"/>
            </w:tcBorders>
            <w:hideMark/>
          </w:tcPr>
          <w:p w14:paraId="1ACC03DB"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Benzene</w:t>
            </w:r>
          </w:p>
        </w:tc>
        <w:tc>
          <w:tcPr>
            <w:tcW w:w="1349" w:type="dxa"/>
            <w:tcBorders>
              <w:top w:val="single" w:sz="6" w:space="0" w:color="auto"/>
              <w:left w:val="single" w:sz="6" w:space="0" w:color="auto"/>
              <w:bottom w:val="single" w:sz="6" w:space="0" w:color="auto"/>
              <w:right w:val="single" w:sz="6" w:space="0" w:color="auto"/>
            </w:tcBorders>
            <w:hideMark/>
          </w:tcPr>
          <w:p w14:paraId="1FBCB48A"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78</w:t>
            </w:r>
          </w:p>
        </w:tc>
        <w:tc>
          <w:tcPr>
            <w:tcW w:w="1799" w:type="dxa"/>
            <w:tcBorders>
              <w:top w:val="single" w:sz="6" w:space="0" w:color="auto"/>
              <w:left w:val="single" w:sz="6" w:space="0" w:color="auto"/>
              <w:bottom w:val="single" w:sz="6" w:space="0" w:color="auto"/>
              <w:right w:val="single" w:sz="6" w:space="0" w:color="auto"/>
            </w:tcBorders>
            <w:hideMark/>
          </w:tcPr>
          <w:p w14:paraId="2566CCA7"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w:t>
            </w:r>
          </w:p>
        </w:tc>
      </w:tr>
      <w:tr w:rsidR="0065781E" w:rsidRPr="00F01347" w14:paraId="667A7185" w14:textId="77777777" w:rsidTr="00C603A0">
        <w:trPr>
          <w:trHeight w:val="144"/>
        </w:trPr>
        <w:tc>
          <w:tcPr>
            <w:tcW w:w="2357" w:type="dxa"/>
            <w:tcBorders>
              <w:top w:val="single" w:sz="6" w:space="0" w:color="auto"/>
              <w:left w:val="single" w:sz="6" w:space="0" w:color="auto"/>
              <w:bottom w:val="single" w:sz="6" w:space="0" w:color="auto"/>
              <w:right w:val="single" w:sz="6" w:space="0" w:color="auto"/>
            </w:tcBorders>
            <w:hideMark/>
          </w:tcPr>
          <w:p w14:paraId="0CA8C216"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Ethylbenzene</w:t>
            </w:r>
          </w:p>
        </w:tc>
        <w:tc>
          <w:tcPr>
            <w:tcW w:w="1349" w:type="dxa"/>
            <w:tcBorders>
              <w:top w:val="single" w:sz="6" w:space="0" w:color="auto"/>
              <w:left w:val="single" w:sz="6" w:space="0" w:color="auto"/>
              <w:bottom w:val="single" w:sz="6" w:space="0" w:color="auto"/>
              <w:right w:val="single" w:sz="6" w:space="0" w:color="auto"/>
            </w:tcBorders>
            <w:hideMark/>
          </w:tcPr>
          <w:p w14:paraId="412A6AC8"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91</w:t>
            </w:r>
          </w:p>
        </w:tc>
        <w:tc>
          <w:tcPr>
            <w:tcW w:w="1799" w:type="dxa"/>
            <w:tcBorders>
              <w:top w:val="single" w:sz="6" w:space="0" w:color="auto"/>
              <w:left w:val="single" w:sz="6" w:space="0" w:color="auto"/>
              <w:bottom w:val="single" w:sz="6" w:space="0" w:color="auto"/>
              <w:right w:val="single" w:sz="6" w:space="0" w:color="auto"/>
            </w:tcBorders>
            <w:hideMark/>
          </w:tcPr>
          <w:p w14:paraId="134F5B9E"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106</w:t>
            </w:r>
          </w:p>
        </w:tc>
      </w:tr>
      <w:tr w:rsidR="0065781E" w:rsidRPr="00F01347" w14:paraId="0B1F5DB1" w14:textId="77777777" w:rsidTr="00C603A0">
        <w:trPr>
          <w:trHeight w:val="144"/>
        </w:trPr>
        <w:tc>
          <w:tcPr>
            <w:tcW w:w="2357" w:type="dxa"/>
            <w:tcBorders>
              <w:top w:val="single" w:sz="6" w:space="0" w:color="auto"/>
              <w:left w:val="single" w:sz="6" w:space="0" w:color="auto"/>
              <w:bottom w:val="single" w:sz="6" w:space="0" w:color="auto"/>
              <w:right w:val="single" w:sz="6" w:space="0" w:color="auto"/>
            </w:tcBorders>
            <w:hideMark/>
          </w:tcPr>
          <w:p w14:paraId="0261F335"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Toluene</w:t>
            </w:r>
          </w:p>
        </w:tc>
        <w:tc>
          <w:tcPr>
            <w:tcW w:w="1349" w:type="dxa"/>
            <w:tcBorders>
              <w:top w:val="single" w:sz="6" w:space="0" w:color="auto"/>
              <w:left w:val="single" w:sz="6" w:space="0" w:color="auto"/>
              <w:bottom w:val="single" w:sz="6" w:space="0" w:color="auto"/>
              <w:right w:val="single" w:sz="6" w:space="0" w:color="auto"/>
            </w:tcBorders>
            <w:hideMark/>
          </w:tcPr>
          <w:p w14:paraId="02BBDD59"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92</w:t>
            </w:r>
          </w:p>
        </w:tc>
        <w:tc>
          <w:tcPr>
            <w:tcW w:w="1799" w:type="dxa"/>
            <w:tcBorders>
              <w:top w:val="single" w:sz="6" w:space="0" w:color="auto"/>
              <w:left w:val="single" w:sz="6" w:space="0" w:color="auto"/>
              <w:bottom w:val="single" w:sz="6" w:space="0" w:color="auto"/>
              <w:right w:val="single" w:sz="6" w:space="0" w:color="auto"/>
            </w:tcBorders>
            <w:hideMark/>
          </w:tcPr>
          <w:p w14:paraId="7C274F6F"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91</w:t>
            </w:r>
          </w:p>
        </w:tc>
      </w:tr>
      <w:tr w:rsidR="0065781E" w:rsidRPr="00F01347" w14:paraId="5CBE6A0A" w14:textId="77777777" w:rsidTr="00C603A0">
        <w:trPr>
          <w:trHeight w:val="144"/>
        </w:trPr>
        <w:tc>
          <w:tcPr>
            <w:tcW w:w="2357" w:type="dxa"/>
            <w:tcBorders>
              <w:top w:val="single" w:sz="6" w:space="0" w:color="auto"/>
              <w:left w:val="single" w:sz="6" w:space="0" w:color="auto"/>
              <w:bottom w:val="single" w:sz="6" w:space="0" w:color="auto"/>
              <w:right w:val="single" w:sz="6" w:space="0" w:color="auto"/>
            </w:tcBorders>
            <w:hideMark/>
          </w:tcPr>
          <w:p w14:paraId="4D5A11C3"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Xylenes (ortho, meta and para)</w:t>
            </w:r>
          </w:p>
        </w:tc>
        <w:tc>
          <w:tcPr>
            <w:tcW w:w="1349" w:type="dxa"/>
            <w:tcBorders>
              <w:top w:val="single" w:sz="6" w:space="0" w:color="auto"/>
              <w:left w:val="single" w:sz="6" w:space="0" w:color="auto"/>
              <w:bottom w:val="single" w:sz="6" w:space="0" w:color="auto"/>
              <w:right w:val="single" w:sz="6" w:space="0" w:color="auto"/>
            </w:tcBorders>
            <w:hideMark/>
          </w:tcPr>
          <w:p w14:paraId="1368441A"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106</w:t>
            </w:r>
          </w:p>
        </w:tc>
        <w:tc>
          <w:tcPr>
            <w:tcW w:w="1799" w:type="dxa"/>
            <w:tcBorders>
              <w:top w:val="single" w:sz="6" w:space="0" w:color="auto"/>
              <w:left w:val="single" w:sz="6" w:space="0" w:color="auto"/>
              <w:bottom w:val="single" w:sz="6" w:space="0" w:color="auto"/>
              <w:right w:val="single" w:sz="6" w:space="0" w:color="auto"/>
            </w:tcBorders>
            <w:hideMark/>
          </w:tcPr>
          <w:p w14:paraId="22096041"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91</w:t>
            </w:r>
          </w:p>
        </w:tc>
      </w:tr>
      <w:tr w:rsidR="0065781E" w:rsidRPr="00F01347" w14:paraId="5FECE959" w14:textId="77777777" w:rsidTr="00C603A0">
        <w:trPr>
          <w:trHeight w:val="144"/>
        </w:trPr>
        <w:tc>
          <w:tcPr>
            <w:tcW w:w="2357" w:type="dxa"/>
            <w:tcBorders>
              <w:top w:val="single" w:sz="6" w:space="0" w:color="auto"/>
              <w:left w:val="single" w:sz="6" w:space="0" w:color="auto"/>
              <w:bottom w:val="single" w:sz="6" w:space="0" w:color="auto"/>
              <w:right w:val="single" w:sz="6" w:space="0" w:color="auto"/>
            </w:tcBorders>
            <w:hideMark/>
          </w:tcPr>
          <w:p w14:paraId="0FF6E5F7"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Styrene</w:t>
            </w:r>
          </w:p>
        </w:tc>
        <w:tc>
          <w:tcPr>
            <w:tcW w:w="1349" w:type="dxa"/>
            <w:tcBorders>
              <w:top w:val="single" w:sz="6" w:space="0" w:color="auto"/>
              <w:left w:val="single" w:sz="6" w:space="0" w:color="auto"/>
              <w:bottom w:val="single" w:sz="6" w:space="0" w:color="auto"/>
              <w:right w:val="single" w:sz="6" w:space="0" w:color="auto"/>
            </w:tcBorders>
            <w:hideMark/>
          </w:tcPr>
          <w:p w14:paraId="0DE0F087"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104</w:t>
            </w:r>
          </w:p>
        </w:tc>
        <w:tc>
          <w:tcPr>
            <w:tcW w:w="1799" w:type="dxa"/>
            <w:tcBorders>
              <w:top w:val="single" w:sz="6" w:space="0" w:color="auto"/>
              <w:left w:val="single" w:sz="6" w:space="0" w:color="auto"/>
              <w:bottom w:val="single" w:sz="6" w:space="0" w:color="auto"/>
              <w:right w:val="single" w:sz="6" w:space="0" w:color="auto"/>
            </w:tcBorders>
            <w:hideMark/>
          </w:tcPr>
          <w:p w14:paraId="09781C93" w14:textId="77777777" w:rsidR="0065781E" w:rsidRPr="00F01347" w:rsidRDefault="0065781E">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78</w:t>
            </w:r>
          </w:p>
        </w:tc>
      </w:tr>
    </w:tbl>
    <w:p w14:paraId="667D8EF5" w14:textId="77777777" w:rsidR="00204B58" w:rsidRPr="00F01347" w:rsidRDefault="00204B58" w:rsidP="003A601B">
      <w:pPr>
        <w:pStyle w:val="texto0"/>
        <w:spacing w:line="22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6F8D7D35" w14:textId="77777777" w:rsidTr="00A824B0">
        <w:tc>
          <w:tcPr>
            <w:tcW w:w="4675" w:type="dxa"/>
          </w:tcPr>
          <w:p w14:paraId="0FBC35BE" w14:textId="63AF3227" w:rsidR="00204B58" w:rsidRPr="00F01347" w:rsidRDefault="00204B58" w:rsidP="003A601B">
            <w:pPr>
              <w:pStyle w:val="texto0"/>
              <w:spacing w:line="220" w:lineRule="exact"/>
              <w:ind w:firstLine="0"/>
              <w:rPr>
                <w:rFonts w:ascii="Verdana" w:hAnsi="Verdana"/>
                <w:sz w:val="16"/>
                <w:szCs w:val="16"/>
              </w:rPr>
            </w:pPr>
            <w:r w:rsidRPr="00F01347">
              <w:rPr>
                <w:rFonts w:ascii="Verdana" w:hAnsi="Verdana"/>
                <w:sz w:val="16"/>
                <w:szCs w:val="16"/>
              </w:rPr>
              <w:t xml:space="preserve">Analizar cada concentración de la curva de calibración. Para todos los análisis hechos en una secuencia analítica, determinar el promedio y la desviación estándar de la respuesta del estándar interno. Calcular el porciento de la desviación estándar relativa (%DER), si </w:t>
            </w:r>
            <w:proofErr w:type="spellStart"/>
            <w:r w:rsidRPr="00F01347">
              <w:rPr>
                <w:rFonts w:ascii="Verdana" w:hAnsi="Verdana"/>
                <w:sz w:val="16"/>
                <w:szCs w:val="16"/>
              </w:rPr>
              <w:t>el</w:t>
            </w:r>
            <w:proofErr w:type="spellEnd"/>
            <w:r w:rsidRPr="00F01347">
              <w:rPr>
                <w:rFonts w:ascii="Verdana" w:hAnsi="Verdana"/>
                <w:sz w:val="16"/>
                <w:szCs w:val="16"/>
              </w:rPr>
              <w:t xml:space="preserve"> %DER es mayor del 20%, tomar acciones correctivas para mejorar la precisión del método. Establecer un intervalo de confianza de 99% para la respuesta del estándar interno usando el promedio calculado y la desviación estándar del análisis de </w:t>
            </w:r>
            <w:proofErr w:type="gramStart"/>
            <w:r w:rsidRPr="00F01347">
              <w:rPr>
                <w:rFonts w:ascii="Verdana" w:hAnsi="Verdana"/>
                <w:sz w:val="16"/>
                <w:szCs w:val="16"/>
              </w:rPr>
              <w:t>la muestras</w:t>
            </w:r>
            <w:proofErr w:type="gramEnd"/>
            <w:r w:rsidRPr="00F01347">
              <w:rPr>
                <w:rFonts w:ascii="Verdana" w:hAnsi="Verdana"/>
                <w:sz w:val="16"/>
                <w:szCs w:val="16"/>
              </w:rPr>
              <w:t>. Rechazar los análisis cuando la respuesta del estándar interno está fuera de los límites y volver a analizar. Después del análisis de los estándares de calibración, calcular los factores de respuesta relativos (FRR) individuales de cada analito en cada estándar de la siguiente manera:</w:t>
            </w:r>
          </w:p>
        </w:tc>
        <w:tc>
          <w:tcPr>
            <w:tcW w:w="4675" w:type="dxa"/>
          </w:tcPr>
          <w:p w14:paraId="0599F108" w14:textId="294AE6D0" w:rsidR="0065781E" w:rsidRPr="00F01347" w:rsidRDefault="0065781E" w:rsidP="00A824B0">
            <w:pPr>
              <w:pStyle w:val="texto0"/>
              <w:spacing w:line="220" w:lineRule="exact"/>
              <w:ind w:firstLine="0"/>
              <w:rPr>
                <w:rFonts w:ascii="Verdana" w:hAnsi="Verdana"/>
                <w:sz w:val="16"/>
                <w:szCs w:val="16"/>
                <w:lang w:val="en"/>
              </w:rPr>
            </w:pPr>
            <w:r w:rsidRPr="00F01347">
              <w:rPr>
                <w:rFonts w:ascii="Verdana" w:hAnsi="Verdana"/>
                <w:sz w:val="16"/>
                <w:szCs w:val="16"/>
                <w:lang w:val="en-US"/>
              </w:rPr>
              <w:t>Analyze each concentration of the calibration curve. For all analyzes done in an analytical sequence, determine the mean and standard deviation of the internal standard response. Calculate the percentage of the relative standard deviation (%</w:t>
            </w:r>
            <w:r w:rsidR="00110370" w:rsidRPr="00F01347">
              <w:rPr>
                <w:rFonts w:ascii="Verdana" w:hAnsi="Verdana"/>
                <w:sz w:val="16"/>
                <w:szCs w:val="16"/>
                <w:lang w:val="en-US"/>
              </w:rPr>
              <w:t>DER</w:t>
            </w:r>
            <w:r w:rsidRPr="00F01347">
              <w:rPr>
                <w:rFonts w:ascii="Verdana" w:hAnsi="Verdana"/>
                <w:sz w:val="16"/>
                <w:szCs w:val="16"/>
                <w:lang w:val="en-US"/>
              </w:rPr>
              <w:t>), if the %</w:t>
            </w:r>
            <w:r w:rsidR="00110370" w:rsidRPr="00F01347">
              <w:rPr>
                <w:rFonts w:ascii="Verdana" w:hAnsi="Verdana"/>
                <w:sz w:val="16"/>
                <w:szCs w:val="16"/>
                <w:lang w:val="en-US"/>
              </w:rPr>
              <w:t>DER</w:t>
            </w:r>
            <w:r w:rsidRPr="00F01347">
              <w:rPr>
                <w:rFonts w:ascii="Verdana" w:hAnsi="Verdana"/>
                <w:sz w:val="16"/>
                <w:szCs w:val="16"/>
                <w:lang w:val="en-US"/>
              </w:rPr>
              <w:t xml:space="preserve"> is greater than 20%, take corrective actions to improve the precision of the method. Establish a 99% confidence interval for the response of the internal standard using the calculated mean and standard deviation of the sample analysis</w:t>
            </w:r>
            <w:r w:rsidR="003E1BA9" w:rsidRPr="00F01347">
              <w:rPr>
                <w:rFonts w:ascii="Verdana" w:hAnsi="Verdana"/>
                <w:sz w:val="16"/>
                <w:szCs w:val="16"/>
                <w:lang w:val="en-US"/>
              </w:rPr>
              <w:t>.</w:t>
            </w:r>
            <w:r w:rsidRPr="00F01347">
              <w:rPr>
                <w:rFonts w:ascii="Verdana" w:hAnsi="Verdana"/>
                <w:sz w:val="16"/>
                <w:szCs w:val="16"/>
                <w:lang w:val="en-US"/>
              </w:rPr>
              <w:t xml:space="preserve"> Reject analyzes when the internal standard response is out of range and reanalyze. After analysis of the calibration standards, calculate the individual relative response factors (</w:t>
            </w:r>
            <w:r w:rsidR="00165300" w:rsidRPr="00F01347">
              <w:rPr>
                <w:rFonts w:ascii="Verdana" w:hAnsi="Verdana"/>
                <w:sz w:val="16"/>
                <w:szCs w:val="16"/>
                <w:lang w:val="en-US"/>
              </w:rPr>
              <w:t>FRR</w:t>
            </w:r>
            <w:r w:rsidRPr="00F01347">
              <w:rPr>
                <w:rFonts w:ascii="Verdana" w:hAnsi="Verdana"/>
                <w:sz w:val="16"/>
                <w:szCs w:val="16"/>
                <w:lang w:val="en-US"/>
              </w:rPr>
              <w:t>) of each analyte in each standard as follows:</w:t>
            </w:r>
          </w:p>
          <w:p w14:paraId="4266746E" w14:textId="77777777" w:rsidR="00204B58" w:rsidRPr="00F01347" w:rsidRDefault="00204B58" w:rsidP="003A601B">
            <w:pPr>
              <w:pStyle w:val="texto0"/>
              <w:spacing w:line="220" w:lineRule="exact"/>
              <w:ind w:firstLine="0"/>
              <w:rPr>
                <w:rFonts w:ascii="Verdana" w:hAnsi="Verdana"/>
                <w:sz w:val="16"/>
                <w:szCs w:val="16"/>
                <w:lang w:val="en-US"/>
              </w:rPr>
            </w:pPr>
          </w:p>
        </w:tc>
      </w:tr>
    </w:tbl>
    <w:p w14:paraId="786B4AED" w14:textId="77777777" w:rsidR="00204B58" w:rsidRPr="00F01347" w:rsidRDefault="00204B58" w:rsidP="003A601B">
      <w:pPr>
        <w:pStyle w:val="texto0"/>
        <w:spacing w:line="220" w:lineRule="exact"/>
        <w:rPr>
          <w:rFonts w:ascii="Verdana" w:hAnsi="Verdana"/>
          <w:sz w:val="16"/>
          <w:szCs w:val="16"/>
          <w:lang w:val="en-US"/>
        </w:rPr>
      </w:pPr>
    </w:p>
    <w:p w14:paraId="7A2336C9" w14:textId="39C6A3B7" w:rsidR="00A74CDF" w:rsidRPr="00F01347" w:rsidRDefault="00471638" w:rsidP="00165300">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5DE95502" wp14:editId="16B1B056">
            <wp:extent cx="1066800" cy="400050"/>
            <wp:effectExtent l="0" t="0" r="0" b="0"/>
            <wp:docPr id="3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66800" cy="4000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5781E" w:rsidRPr="00F01347" w14:paraId="357BF033" w14:textId="4C87731D" w:rsidTr="00165300">
        <w:tc>
          <w:tcPr>
            <w:tcW w:w="4675" w:type="dxa"/>
          </w:tcPr>
          <w:p w14:paraId="12CF4AF9" w14:textId="77777777" w:rsidR="0065781E" w:rsidRPr="00F01347" w:rsidRDefault="0065781E" w:rsidP="0065781E">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03580D62" w14:textId="472C89E7" w:rsidR="0065781E" w:rsidRPr="00F01347" w:rsidRDefault="0065781E" w:rsidP="0065781E">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65781E" w:rsidRPr="00F01347" w14:paraId="08DD338D" w14:textId="1C6FC09E" w:rsidTr="00165300">
        <w:tc>
          <w:tcPr>
            <w:tcW w:w="4675" w:type="dxa"/>
          </w:tcPr>
          <w:p w14:paraId="6EBAA1C7" w14:textId="77777777" w:rsidR="0065781E" w:rsidRPr="00F01347" w:rsidRDefault="0065781E" w:rsidP="0065781E">
            <w:pPr>
              <w:pStyle w:val="texto0"/>
              <w:ind w:firstLine="0"/>
              <w:rPr>
                <w:rFonts w:ascii="Verdana" w:hAnsi="Verdana"/>
                <w:sz w:val="16"/>
                <w:szCs w:val="16"/>
              </w:rPr>
            </w:pPr>
            <w:proofErr w:type="spellStart"/>
            <w:r w:rsidRPr="00F01347">
              <w:rPr>
                <w:rFonts w:ascii="Verdana" w:hAnsi="Verdana"/>
                <w:sz w:val="16"/>
                <w:szCs w:val="16"/>
              </w:rPr>
              <w:t>R</w:t>
            </w:r>
            <w:r w:rsidRPr="00F01347">
              <w:rPr>
                <w:rFonts w:ascii="Verdana" w:hAnsi="Verdana"/>
                <w:sz w:val="16"/>
                <w:szCs w:val="16"/>
                <w:vertAlign w:val="subscript"/>
              </w:rPr>
              <w:t>s</w:t>
            </w:r>
            <w:proofErr w:type="spellEnd"/>
            <w:r w:rsidRPr="00F01347">
              <w:rPr>
                <w:rFonts w:ascii="Verdana" w:hAnsi="Verdana"/>
                <w:sz w:val="16"/>
                <w:szCs w:val="16"/>
              </w:rPr>
              <w:t xml:space="preserve">, </w:t>
            </w:r>
            <w:proofErr w:type="spellStart"/>
            <w:r w:rsidRPr="00F01347">
              <w:rPr>
                <w:rFonts w:ascii="Verdana" w:hAnsi="Verdana"/>
                <w:sz w:val="16"/>
                <w:szCs w:val="16"/>
              </w:rPr>
              <w:t>R</w:t>
            </w:r>
            <w:r w:rsidRPr="00F01347">
              <w:rPr>
                <w:rFonts w:ascii="Verdana" w:hAnsi="Verdana"/>
                <w:sz w:val="16"/>
                <w:szCs w:val="16"/>
                <w:vertAlign w:val="subscript"/>
              </w:rPr>
              <w:t>i</w:t>
            </w:r>
            <w:proofErr w:type="spellEnd"/>
            <w:r w:rsidRPr="00F01347">
              <w:rPr>
                <w:rFonts w:ascii="Verdana" w:hAnsi="Verdana"/>
                <w:sz w:val="16"/>
                <w:szCs w:val="16"/>
              </w:rPr>
              <w:tab/>
              <w:t>respuestas del estándar de calibración y del estándar interno respectivamente.</w:t>
            </w:r>
          </w:p>
        </w:tc>
        <w:tc>
          <w:tcPr>
            <w:tcW w:w="4675" w:type="dxa"/>
          </w:tcPr>
          <w:p w14:paraId="063D2599" w14:textId="38F24043" w:rsidR="0065781E" w:rsidRPr="00F01347" w:rsidRDefault="0065781E" w:rsidP="0065781E">
            <w:pPr>
              <w:pStyle w:val="texto0"/>
              <w:ind w:firstLine="0"/>
              <w:rPr>
                <w:rFonts w:ascii="Verdana" w:hAnsi="Verdana"/>
                <w:sz w:val="16"/>
                <w:szCs w:val="16"/>
                <w:lang w:val="en-US"/>
              </w:rPr>
            </w:pPr>
            <w:r w:rsidRPr="00F01347">
              <w:rPr>
                <w:rFonts w:ascii="Verdana" w:hAnsi="Verdana"/>
                <w:sz w:val="16"/>
                <w:szCs w:val="16"/>
                <w:lang w:val="en-US"/>
              </w:rPr>
              <w:t>R</w:t>
            </w:r>
            <w:r w:rsidRPr="00F01347">
              <w:rPr>
                <w:rFonts w:ascii="Verdana" w:hAnsi="Verdana"/>
                <w:sz w:val="16"/>
                <w:szCs w:val="16"/>
                <w:vertAlign w:val="subscript"/>
                <w:lang w:val="en-US"/>
              </w:rPr>
              <w:t>s</w:t>
            </w:r>
            <w:r w:rsidR="003E1BA9" w:rsidRPr="00F01347">
              <w:rPr>
                <w:rFonts w:ascii="Verdana" w:hAnsi="Verdana"/>
                <w:sz w:val="16"/>
                <w:szCs w:val="16"/>
                <w:vertAlign w:val="subscript"/>
                <w:lang w:val="en-US"/>
              </w:rPr>
              <w:t>,</w:t>
            </w:r>
            <w:r w:rsidRPr="00F01347">
              <w:rPr>
                <w:rFonts w:ascii="Verdana" w:hAnsi="Verdana"/>
                <w:sz w:val="16"/>
                <w:szCs w:val="16"/>
                <w:lang w:val="en-US"/>
              </w:rPr>
              <w:t xml:space="preserve"> R</w:t>
            </w:r>
            <w:r w:rsidRPr="00F01347">
              <w:rPr>
                <w:rFonts w:ascii="Verdana" w:hAnsi="Verdana"/>
                <w:sz w:val="16"/>
                <w:szCs w:val="16"/>
                <w:vertAlign w:val="subscript"/>
                <w:lang w:val="en-US"/>
              </w:rPr>
              <w:t xml:space="preserve">i </w:t>
            </w:r>
            <w:r w:rsidRPr="00F01347">
              <w:rPr>
                <w:rFonts w:ascii="Verdana" w:hAnsi="Verdana"/>
                <w:sz w:val="16"/>
                <w:szCs w:val="16"/>
                <w:lang w:val="en-US"/>
              </w:rPr>
              <w:tab/>
              <w:t>responses of the calibration standard and the internal standard respectively.</w:t>
            </w:r>
          </w:p>
        </w:tc>
      </w:tr>
      <w:tr w:rsidR="0065781E" w:rsidRPr="00F01347" w14:paraId="4D77311D" w14:textId="1F759CC0" w:rsidTr="00165300">
        <w:tc>
          <w:tcPr>
            <w:tcW w:w="4675" w:type="dxa"/>
          </w:tcPr>
          <w:p w14:paraId="290F5D33" w14:textId="77777777" w:rsidR="0065781E" w:rsidRPr="00F01347" w:rsidRDefault="0065781E" w:rsidP="0065781E">
            <w:pPr>
              <w:pStyle w:val="texto0"/>
              <w:ind w:firstLine="0"/>
              <w:rPr>
                <w:rFonts w:ascii="Verdana" w:hAnsi="Verdana"/>
                <w:sz w:val="16"/>
                <w:szCs w:val="16"/>
              </w:rPr>
            </w:pPr>
            <w:r w:rsidRPr="00F01347">
              <w:rPr>
                <w:rFonts w:ascii="Verdana" w:hAnsi="Verdana"/>
                <w:sz w:val="16"/>
                <w:szCs w:val="16"/>
              </w:rPr>
              <w:t>C</w:t>
            </w:r>
            <w:r w:rsidRPr="00F01347">
              <w:rPr>
                <w:rFonts w:ascii="Verdana" w:hAnsi="Verdana"/>
                <w:sz w:val="16"/>
                <w:szCs w:val="16"/>
                <w:vertAlign w:val="subscript"/>
              </w:rPr>
              <w:t>s</w:t>
            </w:r>
            <w:r w:rsidRPr="00F01347">
              <w:rPr>
                <w:rFonts w:ascii="Verdana" w:hAnsi="Verdana"/>
                <w:sz w:val="16"/>
                <w:szCs w:val="16"/>
              </w:rPr>
              <w:t>, C</w:t>
            </w:r>
            <w:r w:rsidRPr="00F01347">
              <w:rPr>
                <w:rFonts w:ascii="Verdana" w:hAnsi="Verdana"/>
                <w:sz w:val="16"/>
                <w:szCs w:val="16"/>
                <w:vertAlign w:val="subscript"/>
              </w:rPr>
              <w:t>i</w:t>
            </w:r>
            <w:r w:rsidRPr="00F01347">
              <w:rPr>
                <w:rFonts w:ascii="Verdana" w:hAnsi="Verdana"/>
                <w:sz w:val="16"/>
                <w:szCs w:val="16"/>
              </w:rPr>
              <w:tab/>
              <w:t>concentraciones del analito en los estándares de calibración y del estándar interno respectivamente.</w:t>
            </w:r>
          </w:p>
        </w:tc>
        <w:tc>
          <w:tcPr>
            <w:tcW w:w="4675" w:type="dxa"/>
          </w:tcPr>
          <w:p w14:paraId="7E0B45D1" w14:textId="2527279D" w:rsidR="0065781E" w:rsidRPr="00F01347" w:rsidRDefault="0065781E" w:rsidP="0065781E">
            <w:pPr>
              <w:pStyle w:val="texto0"/>
              <w:ind w:firstLine="0"/>
              <w:rPr>
                <w:rFonts w:ascii="Verdana" w:hAnsi="Verdana"/>
                <w:sz w:val="16"/>
                <w:szCs w:val="16"/>
                <w:lang w:val="en-US"/>
              </w:rPr>
            </w:pPr>
            <w:r w:rsidRPr="00F01347">
              <w:rPr>
                <w:rFonts w:ascii="Verdana" w:hAnsi="Verdana"/>
                <w:sz w:val="16"/>
                <w:szCs w:val="16"/>
                <w:lang w:val="en-US"/>
              </w:rPr>
              <w:t>C</w:t>
            </w:r>
            <w:r w:rsidRPr="00F01347">
              <w:rPr>
                <w:rFonts w:ascii="Verdana" w:hAnsi="Verdana"/>
                <w:sz w:val="16"/>
                <w:szCs w:val="16"/>
                <w:vertAlign w:val="subscript"/>
                <w:lang w:val="en-US"/>
              </w:rPr>
              <w:t>s</w:t>
            </w:r>
            <w:r w:rsidR="003E1BA9" w:rsidRPr="00F01347">
              <w:rPr>
                <w:rFonts w:ascii="Verdana" w:hAnsi="Verdana"/>
                <w:sz w:val="16"/>
                <w:szCs w:val="16"/>
                <w:vertAlign w:val="subscript"/>
                <w:lang w:val="en-US"/>
              </w:rPr>
              <w:t>,</w:t>
            </w:r>
            <w:r w:rsidRPr="00F01347">
              <w:rPr>
                <w:rFonts w:ascii="Verdana" w:hAnsi="Verdana"/>
                <w:sz w:val="16"/>
                <w:szCs w:val="16"/>
                <w:lang w:val="en-US"/>
              </w:rPr>
              <w:t xml:space="preserve"> C</w:t>
            </w:r>
            <w:r w:rsidRPr="00F01347">
              <w:rPr>
                <w:rFonts w:ascii="Verdana" w:hAnsi="Verdana"/>
                <w:sz w:val="16"/>
                <w:szCs w:val="16"/>
                <w:vertAlign w:val="subscript"/>
                <w:lang w:val="en-US"/>
              </w:rPr>
              <w:t xml:space="preserve">i </w:t>
            </w:r>
            <w:r w:rsidRPr="00F01347">
              <w:rPr>
                <w:rFonts w:ascii="Verdana" w:hAnsi="Verdana"/>
                <w:sz w:val="16"/>
                <w:szCs w:val="16"/>
                <w:lang w:val="en-US"/>
              </w:rPr>
              <w:tab/>
              <w:t>concentrations of the analyte in the calibration standards and the internal standard respectively.</w:t>
            </w:r>
          </w:p>
        </w:tc>
      </w:tr>
      <w:tr w:rsidR="0065781E" w:rsidRPr="00F01347" w14:paraId="5D9D2226" w14:textId="02F76DD0" w:rsidTr="00165300">
        <w:tc>
          <w:tcPr>
            <w:tcW w:w="4675" w:type="dxa"/>
          </w:tcPr>
          <w:p w14:paraId="70A3F93A" w14:textId="77777777" w:rsidR="0065781E" w:rsidRPr="00F01347" w:rsidRDefault="0065781E" w:rsidP="0065781E">
            <w:pPr>
              <w:pStyle w:val="texto0"/>
              <w:ind w:firstLine="0"/>
              <w:rPr>
                <w:rFonts w:ascii="Verdana" w:hAnsi="Verdana"/>
                <w:sz w:val="16"/>
                <w:szCs w:val="16"/>
              </w:rPr>
            </w:pPr>
            <w:r w:rsidRPr="00F01347">
              <w:rPr>
                <w:rFonts w:ascii="Verdana" w:hAnsi="Verdana"/>
                <w:sz w:val="16"/>
                <w:szCs w:val="16"/>
              </w:rPr>
              <w:t>Calcular el promedio de los FRR de cada analito, las desviaciones estándar de los FRR y %DER. Si él %DER es menor del 20%, utilizar el valor promedio del FRR; si es mayor, graficar la curva de calibración o la ecuación de regresión lineal como se describe en el procedimiento de estándar externo.</w:t>
            </w:r>
          </w:p>
        </w:tc>
        <w:tc>
          <w:tcPr>
            <w:tcW w:w="4675" w:type="dxa"/>
          </w:tcPr>
          <w:p w14:paraId="693C6873" w14:textId="16CDDF4A" w:rsidR="0065781E" w:rsidRPr="00F01347" w:rsidRDefault="0065781E" w:rsidP="0065781E">
            <w:pPr>
              <w:pStyle w:val="texto0"/>
              <w:ind w:firstLine="0"/>
              <w:rPr>
                <w:rFonts w:ascii="Verdana" w:hAnsi="Verdana"/>
                <w:sz w:val="16"/>
                <w:szCs w:val="16"/>
                <w:lang w:val="en-US"/>
              </w:rPr>
            </w:pPr>
            <w:r w:rsidRPr="00F01347">
              <w:rPr>
                <w:rFonts w:ascii="Verdana" w:hAnsi="Verdana"/>
                <w:sz w:val="16"/>
                <w:szCs w:val="16"/>
                <w:lang w:val="en-US"/>
              </w:rPr>
              <w:t>Calculate the average FRR of each analyte, the standard deviations of the FRR and %RD. If the %DER is less than 20%, use the average value of the FRR; if larger, plot the calibration curve or linear regression equation as described in the external standard procedure.</w:t>
            </w:r>
          </w:p>
        </w:tc>
      </w:tr>
      <w:tr w:rsidR="0065781E" w:rsidRPr="00F01347" w14:paraId="169287DA" w14:textId="5FD2B1EA" w:rsidTr="00165300">
        <w:tc>
          <w:tcPr>
            <w:tcW w:w="4675" w:type="dxa"/>
          </w:tcPr>
          <w:p w14:paraId="70340436" w14:textId="77777777" w:rsidR="0065781E" w:rsidRPr="00F01347" w:rsidRDefault="0065781E" w:rsidP="0065781E">
            <w:pPr>
              <w:pStyle w:val="texto0"/>
              <w:ind w:firstLine="0"/>
              <w:rPr>
                <w:rFonts w:ascii="Verdana" w:hAnsi="Verdana"/>
                <w:sz w:val="16"/>
                <w:szCs w:val="16"/>
              </w:rPr>
            </w:pPr>
            <w:r w:rsidRPr="00F01347">
              <w:rPr>
                <w:rFonts w:ascii="Verdana" w:hAnsi="Verdana"/>
                <w:sz w:val="16"/>
                <w:szCs w:val="16"/>
              </w:rPr>
              <w:t>Cuando se utilice el promedio de los FRR del estándar interno, calcular la concentración de las muestras con la ecuación siguiente:</w:t>
            </w:r>
          </w:p>
        </w:tc>
        <w:tc>
          <w:tcPr>
            <w:tcW w:w="4675" w:type="dxa"/>
          </w:tcPr>
          <w:p w14:paraId="3100548C" w14:textId="72FBCC62" w:rsidR="0065781E" w:rsidRPr="00F01347" w:rsidRDefault="0065781E" w:rsidP="0065781E">
            <w:pPr>
              <w:pStyle w:val="texto0"/>
              <w:ind w:firstLine="0"/>
              <w:rPr>
                <w:rFonts w:ascii="Verdana" w:hAnsi="Verdana"/>
                <w:sz w:val="16"/>
                <w:szCs w:val="16"/>
                <w:lang w:val="en-US"/>
              </w:rPr>
            </w:pPr>
            <w:r w:rsidRPr="00F01347">
              <w:rPr>
                <w:rFonts w:ascii="Verdana" w:hAnsi="Verdana"/>
                <w:sz w:val="16"/>
                <w:szCs w:val="16"/>
                <w:lang w:val="en-US"/>
              </w:rPr>
              <w:t>When using the average FRR of the internal standard, calculate the concentration of the samples with the following equation:</w:t>
            </w:r>
          </w:p>
        </w:tc>
      </w:tr>
    </w:tbl>
    <w:p w14:paraId="0088F942" w14:textId="6DEF64F1" w:rsidR="00A74CDF" w:rsidRPr="00F01347" w:rsidRDefault="00471638" w:rsidP="00F70B77">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5B6F1859" wp14:editId="49B633D6">
            <wp:extent cx="1362075" cy="361950"/>
            <wp:effectExtent l="0" t="0" r="0" b="0"/>
            <wp:docPr id="3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62075" cy="361950"/>
                    </a:xfrm>
                    <a:prstGeom prst="rect">
                      <a:avLst/>
                    </a:prstGeom>
                    <a:noFill/>
                    <a:ln>
                      <a:noFill/>
                    </a:ln>
                  </pic:spPr>
                </pic:pic>
              </a:graphicData>
            </a:graphic>
          </wp:inline>
        </w:drawing>
      </w:r>
    </w:p>
    <w:tbl>
      <w:tblPr>
        <w:tblStyle w:val="TableGrid"/>
        <w:tblW w:w="9350" w:type="dxa"/>
        <w:tblLayout w:type="fixed"/>
        <w:tblLook w:val="04A0" w:firstRow="1" w:lastRow="0" w:firstColumn="1" w:lastColumn="0" w:noHBand="0" w:noVBand="1"/>
      </w:tblPr>
      <w:tblGrid>
        <w:gridCol w:w="4675"/>
        <w:gridCol w:w="4675"/>
      </w:tblGrid>
      <w:tr w:rsidR="0078772E" w:rsidRPr="00F01347" w14:paraId="55BF098A" w14:textId="1BC56B23" w:rsidTr="00D02A88">
        <w:tc>
          <w:tcPr>
            <w:tcW w:w="4675" w:type="dxa"/>
            <w:tcBorders>
              <w:top w:val="nil"/>
              <w:left w:val="nil"/>
              <w:bottom w:val="nil"/>
              <w:right w:val="nil"/>
            </w:tcBorders>
          </w:tcPr>
          <w:p w14:paraId="2C4E5FD4" w14:textId="77777777" w:rsidR="0078772E" w:rsidRPr="00F01347" w:rsidRDefault="0078772E" w:rsidP="0078772E">
            <w:pPr>
              <w:pStyle w:val="texto0"/>
              <w:spacing w:after="90" w:line="208" w:lineRule="exact"/>
              <w:ind w:firstLine="0"/>
              <w:rPr>
                <w:rFonts w:ascii="Verdana" w:hAnsi="Verdana"/>
                <w:b/>
                <w:bCs/>
                <w:sz w:val="16"/>
                <w:szCs w:val="16"/>
              </w:rPr>
            </w:pPr>
            <w:r w:rsidRPr="00F01347">
              <w:rPr>
                <w:rFonts w:ascii="Verdana" w:hAnsi="Verdana"/>
                <w:b/>
                <w:bCs/>
                <w:sz w:val="16"/>
                <w:szCs w:val="16"/>
              </w:rPr>
              <w:t>En donde:</w:t>
            </w:r>
          </w:p>
        </w:tc>
        <w:tc>
          <w:tcPr>
            <w:tcW w:w="4675" w:type="dxa"/>
            <w:tcBorders>
              <w:top w:val="nil"/>
              <w:left w:val="nil"/>
              <w:bottom w:val="nil"/>
              <w:right w:val="nil"/>
            </w:tcBorders>
          </w:tcPr>
          <w:p w14:paraId="7FABD17D" w14:textId="224FFBA3" w:rsidR="0078772E" w:rsidRPr="00F01347" w:rsidRDefault="0078772E" w:rsidP="0078772E">
            <w:pPr>
              <w:pStyle w:val="texto0"/>
              <w:spacing w:after="90" w:line="208" w:lineRule="exact"/>
              <w:ind w:firstLine="0"/>
              <w:rPr>
                <w:rFonts w:ascii="Verdana" w:hAnsi="Verdana"/>
                <w:b/>
                <w:bCs/>
                <w:sz w:val="16"/>
                <w:szCs w:val="16"/>
                <w:lang w:val="en-US"/>
              </w:rPr>
            </w:pPr>
            <w:r w:rsidRPr="00F01347">
              <w:rPr>
                <w:rFonts w:ascii="Verdana" w:hAnsi="Verdana"/>
                <w:b/>
                <w:bCs/>
                <w:sz w:val="16"/>
                <w:szCs w:val="16"/>
                <w:lang w:val="en-US"/>
              </w:rPr>
              <w:t>Where:</w:t>
            </w:r>
          </w:p>
        </w:tc>
      </w:tr>
      <w:tr w:rsidR="0078772E" w:rsidRPr="00F01347" w14:paraId="06089745" w14:textId="54909A2F" w:rsidTr="00D02A88">
        <w:tc>
          <w:tcPr>
            <w:tcW w:w="4675" w:type="dxa"/>
            <w:tcBorders>
              <w:top w:val="nil"/>
              <w:left w:val="nil"/>
              <w:bottom w:val="nil"/>
              <w:right w:val="nil"/>
            </w:tcBorders>
          </w:tcPr>
          <w:p w14:paraId="1CDDDA33" w14:textId="77777777" w:rsidR="0078772E" w:rsidRPr="00F01347" w:rsidRDefault="0078772E" w:rsidP="0078772E">
            <w:pPr>
              <w:pStyle w:val="texto0"/>
              <w:spacing w:after="90" w:line="208" w:lineRule="exact"/>
              <w:ind w:firstLine="0"/>
              <w:rPr>
                <w:rFonts w:ascii="Verdana" w:hAnsi="Verdana"/>
                <w:sz w:val="16"/>
                <w:szCs w:val="16"/>
              </w:rPr>
            </w:pPr>
            <w:r w:rsidRPr="00F01347">
              <w:rPr>
                <w:rFonts w:ascii="Verdana" w:hAnsi="Verdana"/>
                <w:sz w:val="16"/>
                <w:szCs w:val="16"/>
              </w:rPr>
              <w:t>C</w:t>
            </w:r>
            <w:r w:rsidRPr="00F01347">
              <w:rPr>
                <w:rFonts w:ascii="Verdana" w:hAnsi="Verdana"/>
                <w:position w:val="-4"/>
                <w:sz w:val="16"/>
                <w:szCs w:val="16"/>
              </w:rPr>
              <w:t>x</w:t>
            </w:r>
            <w:r w:rsidRPr="00F01347">
              <w:rPr>
                <w:rFonts w:ascii="Verdana" w:hAnsi="Verdana"/>
                <w:sz w:val="16"/>
                <w:szCs w:val="16"/>
              </w:rPr>
              <w:tab/>
              <w:t>concentración del analito en la muestra en mg/L</w:t>
            </w:r>
          </w:p>
        </w:tc>
        <w:tc>
          <w:tcPr>
            <w:tcW w:w="4675" w:type="dxa"/>
            <w:tcBorders>
              <w:top w:val="nil"/>
              <w:left w:val="nil"/>
              <w:bottom w:val="nil"/>
              <w:right w:val="nil"/>
            </w:tcBorders>
          </w:tcPr>
          <w:p w14:paraId="4A77DFD4" w14:textId="103B770C" w:rsidR="0078772E" w:rsidRPr="00F01347" w:rsidRDefault="0078772E" w:rsidP="0078772E">
            <w:pPr>
              <w:pStyle w:val="texto0"/>
              <w:spacing w:after="90" w:line="208" w:lineRule="exact"/>
              <w:ind w:firstLine="0"/>
              <w:rPr>
                <w:rFonts w:ascii="Verdana" w:hAnsi="Verdana"/>
                <w:sz w:val="16"/>
                <w:szCs w:val="16"/>
                <w:lang w:val="en-US"/>
              </w:rPr>
            </w:pPr>
            <w:r w:rsidRPr="00F01347">
              <w:rPr>
                <w:rFonts w:ascii="Verdana" w:hAnsi="Verdana"/>
                <w:sz w:val="16"/>
                <w:szCs w:val="16"/>
                <w:lang w:val="en-US"/>
              </w:rPr>
              <w:t>C</w:t>
            </w:r>
            <w:r w:rsidRPr="00F01347">
              <w:rPr>
                <w:rFonts w:ascii="Verdana" w:hAnsi="Verdana"/>
                <w:position w:val="-4"/>
                <w:sz w:val="16"/>
                <w:szCs w:val="16"/>
                <w:lang w:val="en-US"/>
              </w:rPr>
              <w:t xml:space="preserve">x </w:t>
            </w:r>
            <w:r w:rsidRPr="00F01347">
              <w:rPr>
                <w:rFonts w:ascii="Verdana" w:hAnsi="Verdana"/>
                <w:sz w:val="16"/>
                <w:szCs w:val="16"/>
                <w:lang w:val="en-US"/>
              </w:rPr>
              <w:tab/>
              <w:t>concentration of the analyte in the sample in mg/L</w:t>
            </w:r>
          </w:p>
        </w:tc>
      </w:tr>
      <w:tr w:rsidR="0078772E" w:rsidRPr="00F01347" w14:paraId="1AD9DB4F" w14:textId="0DC2864E" w:rsidTr="00D02A88">
        <w:tc>
          <w:tcPr>
            <w:tcW w:w="4675" w:type="dxa"/>
            <w:tcBorders>
              <w:top w:val="nil"/>
              <w:left w:val="nil"/>
              <w:bottom w:val="nil"/>
              <w:right w:val="nil"/>
            </w:tcBorders>
          </w:tcPr>
          <w:p w14:paraId="129FE326" w14:textId="77777777" w:rsidR="0078772E" w:rsidRPr="00F01347" w:rsidRDefault="0078772E" w:rsidP="0078772E">
            <w:pPr>
              <w:pStyle w:val="texto0"/>
              <w:spacing w:after="90" w:line="208" w:lineRule="exact"/>
              <w:ind w:firstLine="0"/>
              <w:rPr>
                <w:rFonts w:ascii="Verdana" w:hAnsi="Verdana"/>
                <w:sz w:val="16"/>
                <w:szCs w:val="16"/>
              </w:rPr>
            </w:pPr>
            <w:r w:rsidRPr="00F01347">
              <w:rPr>
                <w:rFonts w:ascii="Verdana" w:hAnsi="Verdana"/>
                <w:sz w:val="16"/>
                <w:szCs w:val="16"/>
              </w:rPr>
              <w:lastRenderedPageBreak/>
              <w:t>R</w:t>
            </w:r>
            <w:r w:rsidRPr="00F01347">
              <w:rPr>
                <w:rFonts w:ascii="Verdana" w:hAnsi="Verdana"/>
                <w:position w:val="-4"/>
                <w:sz w:val="16"/>
                <w:szCs w:val="16"/>
              </w:rPr>
              <w:t>x</w:t>
            </w:r>
            <w:r w:rsidRPr="00F01347">
              <w:rPr>
                <w:rFonts w:ascii="Verdana" w:hAnsi="Verdana"/>
                <w:sz w:val="16"/>
                <w:szCs w:val="16"/>
              </w:rPr>
              <w:tab/>
              <w:t>respuesta de la muestra</w:t>
            </w:r>
          </w:p>
        </w:tc>
        <w:tc>
          <w:tcPr>
            <w:tcW w:w="4675" w:type="dxa"/>
            <w:tcBorders>
              <w:top w:val="nil"/>
              <w:left w:val="nil"/>
              <w:bottom w:val="nil"/>
              <w:right w:val="nil"/>
            </w:tcBorders>
          </w:tcPr>
          <w:p w14:paraId="7AA706B8" w14:textId="5452CBB1" w:rsidR="0078772E" w:rsidRPr="00F01347" w:rsidRDefault="0078772E" w:rsidP="0078772E">
            <w:pPr>
              <w:pStyle w:val="texto0"/>
              <w:spacing w:after="90" w:line="208" w:lineRule="exact"/>
              <w:ind w:firstLine="0"/>
              <w:rPr>
                <w:rFonts w:ascii="Verdana" w:hAnsi="Verdana"/>
                <w:sz w:val="16"/>
                <w:szCs w:val="16"/>
                <w:lang w:val="en-US"/>
              </w:rPr>
            </w:pPr>
            <w:r w:rsidRPr="00F01347">
              <w:rPr>
                <w:rFonts w:ascii="Verdana" w:hAnsi="Verdana"/>
                <w:sz w:val="16"/>
                <w:szCs w:val="16"/>
                <w:lang w:val="en-US"/>
              </w:rPr>
              <w:t>R</w:t>
            </w:r>
            <w:r w:rsidRPr="00F01347">
              <w:rPr>
                <w:rFonts w:ascii="Verdana" w:hAnsi="Verdana"/>
                <w:position w:val="-4"/>
                <w:sz w:val="16"/>
                <w:szCs w:val="16"/>
                <w:lang w:val="en-US"/>
              </w:rPr>
              <w:t xml:space="preserve">x </w:t>
            </w:r>
            <w:r w:rsidRPr="00F01347">
              <w:rPr>
                <w:rFonts w:ascii="Verdana" w:hAnsi="Verdana"/>
                <w:sz w:val="16"/>
                <w:szCs w:val="16"/>
                <w:lang w:val="en-US"/>
              </w:rPr>
              <w:tab/>
              <w:t>sample response</w:t>
            </w:r>
          </w:p>
        </w:tc>
      </w:tr>
      <w:tr w:rsidR="0078772E" w:rsidRPr="00F01347" w14:paraId="6AA848D3" w14:textId="47B27678" w:rsidTr="00D02A88">
        <w:tc>
          <w:tcPr>
            <w:tcW w:w="4675" w:type="dxa"/>
            <w:tcBorders>
              <w:top w:val="nil"/>
              <w:left w:val="nil"/>
              <w:bottom w:val="nil"/>
              <w:right w:val="nil"/>
            </w:tcBorders>
          </w:tcPr>
          <w:p w14:paraId="32BF2983" w14:textId="77777777" w:rsidR="0078772E" w:rsidRPr="00F01347" w:rsidRDefault="0078772E" w:rsidP="0078772E">
            <w:pPr>
              <w:pStyle w:val="texto0"/>
              <w:spacing w:after="90" w:line="208" w:lineRule="exact"/>
              <w:ind w:firstLine="0"/>
              <w:rPr>
                <w:rFonts w:ascii="Verdana" w:hAnsi="Verdana"/>
                <w:sz w:val="16"/>
                <w:szCs w:val="16"/>
              </w:rPr>
            </w:pPr>
            <w:r w:rsidRPr="00F01347">
              <w:rPr>
                <w:rFonts w:ascii="Verdana" w:hAnsi="Verdana"/>
                <w:sz w:val="16"/>
                <w:szCs w:val="16"/>
              </w:rPr>
              <w:t>C</w:t>
            </w:r>
            <w:r w:rsidRPr="00F01347">
              <w:rPr>
                <w:rFonts w:ascii="Verdana" w:hAnsi="Verdana"/>
                <w:position w:val="-4"/>
                <w:sz w:val="16"/>
                <w:szCs w:val="16"/>
              </w:rPr>
              <w:t>i</w:t>
            </w:r>
            <w:r w:rsidRPr="00F01347">
              <w:rPr>
                <w:rFonts w:ascii="Verdana" w:hAnsi="Verdana"/>
                <w:sz w:val="16"/>
                <w:szCs w:val="16"/>
              </w:rPr>
              <w:tab/>
              <w:t>concentración del estándar interno</w:t>
            </w:r>
          </w:p>
        </w:tc>
        <w:tc>
          <w:tcPr>
            <w:tcW w:w="4675" w:type="dxa"/>
            <w:tcBorders>
              <w:top w:val="nil"/>
              <w:left w:val="nil"/>
              <w:bottom w:val="nil"/>
              <w:right w:val="nil"/>
            </w:tcBorders>
          </w:tcPr>
          <w:p w14:paraId="2477BA8E" w14:textId="075D3852" w:rsidR="0078772E" w:rsidRPr="00F01347" w:rsidRDefault="0078772E" w:rsidP="0078772E">
            <w:pPr>
              <w:pStyle w:val="texto0"/>
              <w:spacing w:after="90" w:line="208" w:lineRule="exact"/>
              <w:ind w:firstLine="0"/>
              <w:rPr>
                <w:rFonts w:ascii="Verdana" w:hAnsi="Verdana"/>
                <w:sz w:val="16"/>
                <w:szCs w:val="16"/>
                <w:lang w:val="en-US"/>
              </w:rPr>
            </w:pPr>
            <w:r w:rsidRPr="00F01347">
              <w:rPr>
                <w:rFonts w:ascii="Verdana" w:hAnsi="Verdana"/>
                <w:sz w:val="16"/>
                <w:szCs w:val="16"/>
                <w:lang w:val="en-US"/>
              </w:rPr>
              <w:t>C</w:t>
            </w:r>
            <w:proofErr w:type="spellStart"/>
            <w:r w:rsidRPr="00F01347">
              <w:rPr>
                <w:rFonts w:ascii="Verdana" w:hAnsi="Verdana"/>
                <w:position w:val="-4"/>
                <w:sz w:val="16"/>
                <w:szCs w:val="16"/>
                <w:lang w:val="en-US"/>
              </w:rPr>
              <w:t>i</w:t>
            </w:r>
            <w:proofErr w:type="spellEnd"/>
            <w:r w:rsidRPr="00F01347">
              <w:rPr>
                <w:rFonts w:ascii="Verdana" w:hAnsi="Verdana"/>
                <w:position w:val="-4"/>
                <w:sz w:val="16"/>
                <w:szCs w:val="16"/>
                <w:lang w:val="en-US"/>
              </w:rPr>
              <w:t xml:space="preserve"> </w:t>
            </w:r>
            <w:r w:rsidRPr="00F01347">
              <w:rPr>
                <w:rFonts w:ascii="Verdana" w:hAnsi="Verdana"/>
                <w:sz w:val="16"/>
                <w:szCs w:val="16"/>
                <w:lang w:val="en-US"/>
              </w:rPr>
              <w:tab/>
              <w:t>concentration of the internal standard</w:t>
            </w:r>
          </w:p>
        </w:tc>
      </w:tr>
      <w:tr w:rsidR="0078772E" w:rsidRPr="00F01347" w14:paraId="4AA72DAF" w14:textId="62813807" w:rsidTr="00D02A88">
        <w:tc>
          <w:tcPr>
            <w:tcW w:w="4675" w:type="dxa"/>
            <w:tcBorders>
              <w:top w:val="nil"/>
              <w:left w:val="nil"/>
              <w:bottom w:val="nil"/>
              <w:right w:val="nil"/>
            </w:tcBorders>
          </w:tcPr>
          <w:p w14:paraId="54FEB65F" w14:textId="77777777" w:rsidR="0078772E" w:rsidRPr="00F01347" w:rsidRDefault="0078772E" w:rsidP="0078772E">
            <w:pPr>
              <w:pStyle w:val="texto0"/>
              <w:spacing w:after="90" w:line="208" w:lineRule="exact"/>
              <w:ind w:firstLine="0"/>
              <w:rPr>
                <w:rFonts w:ascii="Verdana" w:hAnsi="Verdana"/>
                <w:sz w:val="16"/>
                <w:szCs w:val="16"/>
              </w:rPr>
            </w:pPr>
            <w:r w:rsidRPr="00F01347">
              <w:rPr>
                <w:rFonts w:ascii="Verdana" w:hAnsi="Verdana"/>
                <w:sz w:val="16"/>
                <w:szCs w:val="16"/>
              </w:rPr>
              <w:t>R</w:t>
            </w:r>
            <w:r w:rsidRPr="00F01347">
              <w:rPr>
                <w:rFonts w:ascii="Verdana" w:hAnsi="Verdana"/>
                <w:position w:val="-4"/>
                <w:sz w:val="16"/>
                <w:szCs w:val="16"/>
              </w:rPr>
              <w:t>i</w:t>
            </w:r>
            <w:r w:rsidRPr="00F01347">
              <w:rPr>
                <w:rFonts w:ascii="Verdana" w:hAnsi="Verdana"/>
                <w:sz w:val="16"/>
                <w:szCs w:val="16"/>
              </w:rPr>
              <w:tab/>
              <w:t>respuesta del estándar interno</w:t>
            </w:r>
          </w:p>
        </w:tc>
        <w:tc>
          <w:tcPr>
            <w:tcW w:w="4675" w:type="dxa"/>
            <w:tcBorders>
              <w:top w:val="nil"/>
              <w:left w:val="nil"/>
              <w:bottom w:val="nil"/>
              <w:right w:val="nil"/>
            </w:tcBorders>
          </w:tcPr>
          <w:p w14:paraId="124F6160" w14:textId="1E464E4D" w:rsidR="0078772E" w:rsidRPr="00F01347" w:rsidRDefault="0078772E" w:rsidP="0078772E">
            <w:pPr>
              <w:pStyle w:val="texto0"/>
              <w:spacing w:after="90" w:line="208" w:lineRule="exact"/>
              <w:ind w:firstLine="0"/>
              <w:rPr>
                <w:rFonts w:ascii="Verdana" w:hAnsi="Verdana"/>
                <w:sz w:val="16"/>
                <w:szCs w:val="16"/>
                <w:lang w:val="en-US"/>
              </w:rPr>
            </w:pPr>
            <w:r w:rsidRPr="00F01347">
              <w:rPr>
                <w:rFonts w:ascii="Verdana" w:hAnsi="Verdana"/>
                <w:sz w:val="16"/>
                <w:szCs w:val="16"/>
                <w:lang w:val="en-US"/>
              </w:rPr>
              <w:t>R</w:t>
            </w:r>
            <w:proofErr w:type="spellStart"/>
            <w:r w:rsidRPr="00F01347">
              <w:rPr>
                <w:rFonts w:ascii="Verdana" w:hAnsi="Verdana"/>
                <w:position w:val="-4"/>
                <w:sz w:val="16"/>
                <w:szCs w:val="16"/>
                <w:lang w:val="en-US"/>
              </w:rPr>
              <w:t>i</w:t>
            </w:r>
            <w:proofErr w:type="spellEnd"/>
            <w:r w:rsidRPr="00F01347">
              <w:rPr>
                <w:rFonts w:ascii="Verdana" w:hAnsi="Verdana"/>
                <w:position w:val="-4"/>
                <w:sz w:val="16"/>
                <w:szCs w:val="16"/>
                <w:lang w:val="en-US"/>
              </w:rPr>
              <w:t xml:space="preserve"> </w:t>
            </w:r>
            <w:r w:rsidRPr="00F01347">
              <w:rPr>
                <w:rFonts w:ascii="Verdana" w:hAnsi="Verdana"/>
                <w:sz w:val="16"/>
                <w:szCs w:val="16"/>
                <w:lang w:val="en-US"/>
              </w:rPr>
              <w:tab/>
              <w:t>internal standard response</w:t>
            </w:r>
          </w:p>
        </w:tc>
      </w:tr>
      <w:tr w:rsidR="0078772E" w:rsidRPr="00F01347" w14:paraId="5F6E4944" w14:textId="760C6189" w:rsidTr="00D02A88">
        <w:tc>
          <w:tcPr>
            <w:tcW w:w="4675" w:type="dxa"/>
            <w:tcBorders>
              <w:top w:val="nil"/>
              <w:left w:val="nil"/>
              <w:bottom w:val="nil"/>
              <w:right w:val="nil"/>
            </w:tcBorders>
          </w:tcPr>
          <w:p w14:paraId="0A905DE1" w14:textId="77777777" w:rsidR="0078772E" w:rsidRPr="00F01347" w:rsidRDefault="0078772E" w:rsidP="0078772E">
            <w:pPr>
              <w:pStyle w:val="texto0"/>
              <w:spacing w:after="90" w:line="208" w:lineRule="exact"/>
              <w:ind w:firstLine="0"/>
              <w:rPr>
                <w:rFonts w:ascii="Verdana" w:hAnsi="Verdana"/>
                <w:b/>
                <w:sz w:val="16"/>
                <w:szCs w:val="16"/>
              </w:rPr>
            </w:pPr>
            <w:r w:rsidRPr="00F01347">
              <w:rPr>
                <w:rFonts w:ascii="Verdana" w:hAnsi="Verdana"/>
                <w:b/>
                <w:sz w:val="16"/>
                <w:szCs w:val="16"/>
              </w:rPr>
              <w:t>B.3.7.3 Interferencias</w:t>
            </w:r>
          </w:p>
        </w:tc>
        <w:tc>
          <w:tcPr>
            <w:tcW w:w="4675" w:type="dxa"/>
            <w:tcBorders>
              <w:top w:val="nil"/>
              <w:left w:val="nil"/>
              <w:bottom w:val="nil"/>
              <w:right w:val="nil"/>
            </w:tcBorders>
          </w:tcPr>
          <w:p w14:paraId="5406B6E2" w14:textId="37D33D66" w:rsidR="0078772E" w:rsidRPr="00F01347" w:rsidRDefault="0078772E" w:rsidP="0078772E">
            <w:pPr>
              <w:pStyle w:val="texto0"/>
              <w:spacing w:after="90" w:line="208" w:lineRule="exact"/>
              <w:ind w:firstLine="0"/>
              <w:rPr>
                <w:rFonts w:ascii="Verdana" w:hAnsi="Verdana"/>
                <w:b/>
                <w:sz w:val="16"/>
                <w:szCs w:val="16"/>
                <w:lang w:val="en-US"/>
              </w:rPr>
            </w:pPr>
            <w:r w:rsidRPr="00F01347">
              <w:rPr>
                <w:rFonts w:ascii="Verdana" w:hAnsi="Verdana"/>
                <w:b/>
                <w:sz w:val="16"/>
                <w:szCs w:val="16"/>
                <w:lang w:val="en-US"/>
              </w:rPr>
              <w:t>B.3.7.3 Interferences</w:t>
            </w:r>
          </w:p>
        </w:tc>
      </w:tr>
      <w:tr w:rsidR="0078772E" w:rsidRPr="00F01347" w14:paraId="333B6256" w14:textId="4BA8203C" w:rsidTr="00D02A88">
        <w:tc>
          <w:tcPr>
            <w:tcW w:w="4675" w:type="dxa"/>
            <w:tcBorders>
              <w:top w:val="nil"/>
              <w:left w:val="nil"/>
              <w:bottom w:val="nil"/>
              <w:right w:val="nil"/>
            </w:tcBorders>
          </w:tcPr>
          <w:p w14:paraId="24FDAF50" w14:textId="77777777" w:rsidR="0078772E" w:rsidRPr="00F01347" w:rsidRDefault="0078772E" w:rsidP="0078772E">
            <w:pPr>
              <w:pStyle w:val="texto0"/>
              <w:spacing w:after="90" w:line="208" w:lineRule="exact"/>
              <w:ind w:firstLine="0"/>
              <w:rPr>
                <w:rFonts w:ascii="Verdana" w:hAnsi="Verdana"/>
                <w:sz w:val="16"/>
                <w:szCs w:val="16"/>
              </w:rPr>
            </w:pPr>
            <w:r w:rsidRPr="00F01347">
              <w:rPr>
                <w:rFonts w:ascii="Verdana" w:hAnsi="Verdana"/>
                <w:sz w:val="16"/>
                <w:szCs w:val="16"/>
              </w:rPr>
              <w:t xml:space="preserve">Las interferencias introducidas por las muestras son contaminantes que son </w:t>
            </w:r>
            <w:proofErr w:type="spellStart"/>
            <w:r w:rsidRPr="00F01347">
              <w:rPr>
                <w:rFonts w:ascii="Verdana" w:hAnsi="Verdana"/>
                <w:sz w:val="16"/>
                <w:szCs w:val="16"/>
              </w:rPr>
              <w:t>co-extraídos</w:t>
            </w:r>
            <w:proofErr w:type="spellEnd"/>
            <w:r w:rsidRPr="00F01347">
              <w:rPr>
                <w:rFonts w:ascii="Verdana" w:hAnsi="Verdana"/>
                <w:sz w:val="16"/>
                <w:szCs w:val="16"/>
              </w:rPr>
              <w:t xml:space="preserve"> de ellas por lo que la cantidad de éstas varía dependiendo del tipo de muestra y su naturaleza.</w:t>
            </w:r>
          </w:p>
        </w:tc>
        <w:tc>
          <w:tcPr>
            <w:tcW w:w="4675" w:type="dxa"/>
            <w:tcBorders>
              <w:top w:val="nil"/>
              <w:left w:val="nil"/>
              <w:bottom w:val="nil"/>
              <w:right w:val="nil"/>
            </w:tcBorders>
          </w:tcPr>
          <w:p w14:paraId="0BE973D1" w14:textId="3DE732CB" w:rsidR="0078772E" w:rsidRPr="00F01347" w:rsidRDefault="0078772E" w:rsidP="0078772E">
            <w:pPr>
              <w:pStyle w:val="texto0"/>
              <w:spacing w:after="90" w:line="208" w:lineRule="exact"/>
              <w:ind w:firstLine="0"/>
              <w:rPr>
                <w:rFonts w:ascii="Verdana" w:hAnsi="Verdana"/>
                <w:sz w:val="16"/>
                <w:szCs w:val="16"/>
                <w:lang w:val="en-US"/>
              </w:rPr>
            </w:pPr>
            <w:r w:rsidRPr="00F01347">
              <w:rPr>
                <w:rFonts w:ascii="Verdana" w:hAnsi="Verdana"/>
                <w:sz w:val="16"/>
                <w:szCs w:val="16"/>
                <w:lang w:val="en-US"/>
              </w:rPr>
              <w:t>The interferences introduced by the samples are contaminants that are co-extracted from them, so the amount of these varies depending on the type of sample and its nature.</w:t>
            </w:r>
          </w:p>
        </w:tc>
      </w:tr>
      <w:tr w:rsidR="0078772E" w:rsidRPr="00F01347" w14:paraId="713B7749" w14:textId="0E58EF72" w:rsidTr="00D02A88">
        <w:tc>
          <w:tcPr>
            <w:tcW w:w="4675" w:type="dxa"/>
            <w:tcBorders>
              <w:top w:val="nil"/>
              <w:left w:val="nil"/>
              <w:bottom w:val="nil"/>
              <w:right w:val="nil"/>
            </w:tcBorders>
          </w:tcPr>
          <w:p w14:paraId="083841A8" w14:textId="77777777" w:rsidR="0078772E" w:rsidRPr="00F01347" w:rsidRDefault="0078772E" w:rsidP="0078772E">
            <w:pPr>
              <w:pStyle w:val="texto0"/>
              <w:spacing w:after="90" w:line="208" w:lineRule="exact"/>
              <w:ind w:firstLine="0"/>
              <w:rPr>
                <w:rFonts w:ascii="Verdana" w:hAnsi="Verdana"/>
                <w:sz w:val="16"/>
                <w:szCs w:val="16"/>
              </w:rPr>
            </w:pPr>
            <w:r w:rsidRPr="00F01347">
              <w:rPr>
                <w:rFonts w:ascii="Verdana" w:hAnsi="Verdana"/>
                <w:sz w:val="16"/>
                <w:szCs w:val="16"/>
              </w:rPr>
              <w:t>Las interferencias del método pueden originarse por la presencia de contaminantes en el material de vidrio o en el sistema de purga y trampa que puede conducir a obtener picos distorsionados y picos fantasma y/o línea base elevada en el cromatograma. El blanco electrónico (inyección de aire) permite verificar el grado de contaminación del sistema.</w:t>
            </w:r>
          </w:p>
        </w:tc>
        <w:tc>
          <w:tcPr>
            <w:tcW w:w="4675" w:type="dxa"/>
            <w:tcBorders>
              <w:top w:val="nil"/>
              <w:left w:val="nil"/>
              <w:bottom w:val="nil"/>
              <w:right w:val="nil"/>
            </w:tcBorders>
          </w:tcPr>
          <w:p w14:paraId="04E6A7F5" w14:textId="2771AF2A" w:rsidR="0078772E" w:rsidRPr="00F01347" w:rsidRDefault="0078772E" w:rsidP="0078772E">
            <w:pPr>
              <w:pStyle w:val="texto0"/>
              <w:spacing w:after="90" w:line="208" w:lineRule="exact"/>
              <w:ind w:firstLine="0"/>
              <w:rPr>
                <w:rFonts w:ascii="Verdana" w:hAnsi="Verdana"/>
                <w:sz w:val="16"/>
                <w:szCs w:val="16"/>
                <w:lang w:val="en-US"/>
              </w:rPr>
            </w:pPr>
            <w:r w:rsidRPr="00F01347">
              <w:rPr>
                <w:rFonts w:ascii="Verdana" w:hAnsi="Verdana"/>
                <w:sz w:val="16"/>
                <w:szCs w:val="16"/>
                <w:lang w:val="en-US"/>
              </w:rPr>
              <w:t xml:space="preserve">Method interferences can be caused by the presence of contaminants in the glassware or in the purge and trap system which can lead to distorted peaks and ghost peaks and/or elevated baseline in the chromatogram. The electronic blank (air injection) allows </w:t>
            </w:r>
            <w:r w:rsidR="004A6BE5" w:rsidRPr="00F01347">
              <w:rPr>
                <w:rFonts w:ascii="Verdana" w:hAnsi="Verdana"/>
                <w:sz w:val="16"/>
                <w:szCs w:val="16"/>
                <w:lang w:val="en-US"/>
              </w:rPr>
              <w:t>one</w:t>
            </w:r>
            <w:r w:rsidRPr="00F01347">
              <w:rPr>
                <w:rFonts w:ascii="Verdana" w:hAnsi="Verdana"/>
                <w:sz w:val="16"/>
                <w:szCs w:val="16"/>
                <w:lang w:val="en-US"/>
              </w:rPr>
              <w:t xml:space="preserve"> to verify the degree of contamination in the system.</w:t>
            </w:r>
          </w:p>
        </w:tc>
      </w:tr>
      <w:tr w:rsidR="0078772E" w:rsidRPr="00F01347" w14:paraId="165CBD19" w14:textId="5862D7B3" w:rsidTr="00D02A88">
        <w:tc>
          <w:tcPr>
            <w:tcW w:w="4675" w:type="dxa"/>
            <w:tcBorders>
              <w:top w:val="nil"/>
              <w:left w:val="nil"/>
              <w:bottom w:val="nil"/>
              <w:right w:val="nil"/>
            </w:tcBorders>
          </w:tcPr>
          <w:p w14:paraId="115C20A3" w14:textId="7794EAFC" w:rsidR="0078772E" w:rsidRPr="00F01347" w:rsidRDefault="0078772E" w:rsidP="0078772E">
            <w:pPr>
              <w:pStyle w:val="texto0"/>
              <w:spacing w:after="90" w:line="208" w:lineRule="exact"/>
              <w:ind w:firstLine="0"/>
              <w:rPr>
                <w:rFonts w:ascii="Verdana" w:hAnsi="Verdana"/>
                <w:sz w:val="16"/>
                <w:szCs w:val="16"/>
              </w:rPr>
            </w:pPr>
            <w:r w:rsidRPr="00F01347">
              <w:rPr>
                <w:rFonts w:ascii="Verdana" w:hAnsi="Verdana"/>
                <w:sz w:val="16"/>
                <w:szCs w:val="16"/>
              </w:rPr>
              <w:t xml:space="preserve">Tomar en consideración las impurezas en el gas de purga y compuestos orgánicos de desgasificación. También puede ser ocasionada por la contaminación del equipo y de la tubería de la trampa. Demostrar que el sistema está libre de contaminación bajo condiciones de operación analizando los blancos </w:t>
            </w:r>
            <w:r w:rsidR="003E2613" w:rsidRPr="00F01347">
              <w:rPr>
                <w:rFonts w:ascii="Verdana" w:hAnsi="Verdana"/>
                <w:sz w:val="16"/>
                <w:szCs w:val="16"/>
              </w:rPr>
              <w:t>de reactivos</w:t>
            </w:r>
            <w:r w:rsidRPr="00F01347">
              <w:rPr>
                <w:rFonts w:ascii="Verdana" w:hAnsi="Verdana"/>
                <w:sz w:val="16"/>
                <w:szCs w:val="16"/>
              </w:rPr>
              <w:t xml:space="preserve"> diariamente.</w:t>
            </w:r>
          </w:p>
        </w:tc>
        <w:tc>
          <w:tcPr>
            <w:tcW w:w="4675" w:type="dxa"/>
            <w:tcBorders>
              <w:top w:val="nil"/>
              <w:left w:val="nil"/>
              <w:bottom w:val="nil"/>
              <w:right w:val="nil"/>
            </w:tcBorders>
          </w:tcPr>
          <w:p w14:paraId="62F9C23F" w14:textId="7E2DA34D" w:rsidR="0078772E" w:rsidRPr="00F01347" w:rsidRDefault="0078772E" w:rsidP="0078772E">
            <w:pPr>
              <w:pStyle w:val="texto0"/>
              <w:spacing w:after="90" w:line="208" w:lineRule="exact"/>
              <w:ind w:firstLine="0"/>
              <w:rPr>
                <w:rFonts w:ascii="Verdana" w:hAnsi="Verdana"/>
                <w:sz w:val="16"/>
                <w:szCs w:val="16"/>
                <w:lang w:val="en-US"/>
              </w:rPr>
            </w:pPr>
            <w:r w:rsidRPr="00F01347">
              <w:rPr>
                <w:rFonts w:ascii="Verdana" w:hAnsi="Verdana"/>
                <w:sz w:val="16"/>
                <w:szCs w:val="16"/>
                <w:lang w:val="en-US"/>
              </w:rPr>
              <w:t>Take into consideration impurities in the purge gas and degassing organic compounds. It can also be caused by contamination of the equipment and trap piping. Demonstrate that the system is free of contamination under operating conditions by analyzing reagent blanks daily.</w:t>
            </w:r>
          </w:p>
        </w:tc>
      </w:tr>
      <w:tr w:rsidR="0078772E" w:rsidRPr="00F01347" w14:paraId="6AC5AA18" w14:textId="15D213BB" w:rsidTr="00D02A88">
        <w:tc>
          <w:tcPr>
            <w:tcW w:w="4675" w:type="dxa"/>
            <w:tcBorders>
              <w:top w:val="nil"/>
              <w:left w:val="nil"/>
              <w:bottom w:val="nil"/>
              <w:right w:val="nil"/>
            </w:tcBorders>
          </w:tcPr>
          <w:p w14:paraId="7ECF1E2D" w14:textId="77777777" w:rsidR="0078772E" w:rsidRPr="00F01347" w:rsidRDefault="0078772E" w:rsidP="0078772E">
            <w:pPr>
              <w:pStyle w:val="texto0"/>
              <w:spacing w:after="90" w:line="208" w:lineRule="exact"/>
              <w:ind w:firstLine="0"/>
              <w:rPr>
                <w:rFonts w:ascii="Verdana" w:hAnsi="Verdana"/>
                <w:sz w:val="16"/>
                <w:szCs w:val="16"/>
              </w:rPr>
            </w:pPr>
            <w:r w:rsidRPr="00F01347">
              <w:rPr>
                <w:rFonts w:ascii="Verdana" w:hAnsi="Verdana"/>
                <w:sz w:val="16"/>
                <w:szCs w:val="16"/>
              </w:rPr>
              <w:t>Utilizar blancos sólo para monitorear; son inaceptables las correcciones por valores de blancos. En el sistema de purga y trampa evitar usar tubería de plástico y selladores de rosca que no sean de PTFE, o controladores de flujo con componentes de caucho. Asegurarse que el área analítica no es fuente de contaminación por disolventes de laboratorio.</w:t>
            </w:r>
          </w:p>
        </w:tc>
        <w:tc>
          <w:tcPr>
            <w:tcW w:w="4675" w:type="dxa"/>
            <w:tcBorders>
              <w:top w:val="nil"/>
              <w:left w:val="nil"/>
              <w:bottom w:val="nil"/>
              <w:right w:val="nil"/>
            </w:tcBorders>
          </w:tcPr>
          <w:p w14:paraId="374BB444" w14:textId="0A1665BE" w:rsidR="0078772E" w:rsidRPr="00F01347" w:rsidRDefault="0078772E" w:rsidP="0078772E">
            <w:pPr>
              <w:pStyle w:val="texto0"/>
              <w:spacing w:after="90" w:line="208" w:lineRule="exact"/>
              <w:ind w:firstLine="0"/>
              <w:rPr>
                <w:rFonts w:ascii="Verdana" w:hAnsi="Verdana"/>
                <w:sz w:val="16"/>
                <w:szCs w:val="16"/>
                <w:lang w:val="en-US"/>
              </w:rPr>
            </w:pPr>
            <w:r w:rsidRPr="00F01347">
              <w:rPr>
                <w:rFonts w:ascii="Verdana" w:hAnsi="Verdana"/>
                <w:sz w:val="16"/>
                <w:szCs w:val="16"/>
                <w:lang w:val="en-US"/>
              </w:rPr>
              <w:t xml:space="preserve">Use </w:t>
            </w:r>
            <w:r w:rsidR="005E7555" w:rsidRPr="00F01347">
              <w:rPr>
                <w:rFonts w:ascii="Verdana" w:hAnsi="Verdana"/>
                <w:sz w:val="16"/>
                <w:szCs w:val="16"/>
                <w:lang w:val="en-US"/>
              </w:rPr>
              <w:t>blanks</w:t>
            </w:r>
            <w:r w:rsidRPr="00F01347">
              <w:rPr>
                <w:rFonts w:ascii="Verdana" w:hAnsi="Verdana"/>
                <w:sz w:val="16"/>
                <w:szCs w:val="16"/>
                <w:lang w:val="en-US"/>
              </w:rPr>
              <w:t xml:space="preserve"> only for monitoring; Corrections for </w:t>
            </w:r>
            <w:r w:rsidR="00C50A8A" w:rsidRPr="00F01347">
              <w:rPr>
                <w:rFonts w:ascii="Verdana" w:hAnsi="Verdana"/>
                <w:sz w:val="16"/>
                <w:szCs w:val="16"/>
                <w:lang w:val="en-US"/>
              </w:rPr>
              <w:t>blank</w:t>
            </w:r>
            <w:r w:rsidRPr="00F01347">
              <w:rPr>
                <w:rFonts w:ascii="Verdana" w:hAnsi="Verdana"/>
                <w:sz w:val="16"/>
                <w:szCs w:val="16"/>
                <w:lang w:val="en-US"/>
              </w:rPr>
              <w:t xml:space="preserve"> values are unacceptable. In the purge and trap system, avoid using plastic tubing and non-PTFE thread sealants, or flow controllers with rubber components. Ensure that the analytical area is not a source of contamination by laboratory solvents.</w:t>
            </w:r>
          </w:p>
        </w:tc>
      </w:tr>
      <w:tr w:rsidR="0078772E" w:rsidRPr="00F01347" w14:paraId="7C0F546F" w14:textId="0C836B8A" w:rsidTr="00D02A88">
        <w:tc>
          <w:tcPr>
            <w:tcW w:w="4675" w:type="dxa"/>
            <w:tcBorders>
              <w:top w:val="nil"/>
              <w:left w:val="nil"/>
              <w:bottom w:val="nil"/>
              <w:right w:val="nil"/>
            </w:tcBorders>
          </w:tcPr>
          <w:p w14:paraId="3C1B3D66" w14:textId="77777777" w:rsidR="0078772E" w:rsidRPr="00F01347" w:rsidRDefault="0078772E" w:rsidP="0078772E">
            <w:pPr>
              <w:pStyle w:val="texto0"/>
              <w:spacing w:line="236" w:lineRule="exact"/>
              <w:ind w:firstLine="0"/>
              <w:rPr>
                <w:rFonts w:ascii="Verdana" w:hAnsi="Verdana"/>
                <w:sz w:val="16"/>
                <w:szCs w:val="16"/>
              </w:rPr>
            </w:pPr>
            <w:r w:rsidRPr="00F01347">
              <w:rPr>
                <w:rFonts w:ascii="Verdana" w:hAnsi="Verdana"/>
                <w:sz w:val="16"/>
                <w:szCs w:val="16"/>
              </w:rPr>
              <w:t>Utilizar un blanco de reactivos preparado a partir de agua y llevado a través de la toma de muestras, manipulación y procedimientos de envío como un control de este tipo de contaminación.</w:t>
            </w:r>
          </w:p>
        </w:tc>
        <w:tc>
          <w:tcPr>
            <w:tcW w:w="4675" w:type="dxa"/>
            <w:tcBorders>
              <w:top w:val="nil"/>
              <w:left w:val="nil"/>
              <w:bottom w:val="nil"/>
              <w:right w:val="nil"/>
            </w:tcBorders>
          </w:tcPr>
          <w:p w14:paraId="28C13406" w14:textId="7458931D"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Use a reagent blank prepared from water and carried through the sampling, handling, and shipping procedures as a control for this type of contamination.</w:t>
            </w:r>
          </w:p>
        </w:tc>
      </w:tr>
      <w:tr w:rsidR="0078772E" w:rsidRPr="00F01347" w14:paraId="3D155C36" w14:textId="02ECBC96" w:rsidTr="00D02A88">
        <w:tc>
          <w:tcPr>
            <w:tcW w:w="4675" w:type="dxa"/>
            <w:tcBorders>
              <w:top w:val="nil"/>
              <w:left w:val="nil"/>
              <w:bottom w:val="nil"/>
              <w:right w:val="nil"/>
            </w:tcBorders>
          </w:tcPr>
          <w:p w14:paraId="7327131E" w14:textId="77777777" w:rsidR="0078772E" w:rsidRPr="00F01347" w:rsidRDefault="0078772E" w:rsidP="0078772E">
            <w:pPr>
              <w:pStyle w:val="texto0"/>
              <w:spacing w:line="236" w:lineRule="exact"/>
              <w:ind w:firstLine="0"/>
              <w:rPr>
                <w:rFonts w:ascii="Verdana" w:hAnsi="Verdana"/>
                <w:sz w:val="16"/>
                <w:szCs w:val="16"/>
              </w:rPr>
            </w:pPr>
            <w:r w:rsidRPr="00F01347">
              <w:rPr>
                <w:rFonts w:ascii="Verdana" w:hAnsi="Verdana"/>
                <w:sz w:val="16"/>
                <w:szCs w:val="16"/>
              </w:rPr>
              <w:t xml:space="preserve">La contaminación por arrastre puede ocurrir siempre que se analiza una muestra con concentraciones altas del o los analitos e inmediatamente después se analiza una muestra con concentraciones bajas. Para reducir el arrastre enjuagar el dispositivo de purga y la jeringa de inyección de muestra con agua entre muestra y muestra. Después del análisis de una muestra de concentración alta, analizar un blanco de reactivos para verificar que esté libre de contaminación. Para muestras que contienen cantidades de materiales solubles en agua, sólidos suspendidos, compuestos con alto punto de ebullición o altos niveles de compuestos volátiles, entre análisis lavar la cámara de purga con una solución detergente, enjuagar con agua destilada y secar en un horno a 105 °C. La trampa y otras partes del sistema también son objeto de contaminación, por lo </w:t>
            </w:r>
            <w:proofErr w:type="gramStart"/>
            <w:r w:rsidRPr="00F01347">
              <w:rPr>
                <w:rFonts w:ascii="Verdana" w:hAnsi="Verdana"/>
                <w:sz w:val="16"/>
                <w:szCs w:val="16"/>
              </w:rPr>
              <w:t>tanto</w:t>
            </w:r>
            <w:proofErr w:type="gramEnd"/>
            <w:r w:rsidRPr="00F01347">
              <w:rPr>
                <w:rFonts w:ascii="Verdana" w:hAnsi="Verdana"/>
                <w:sz w:val="16"/>
                <w:szCs w:val="16"/>
              </w:rPr>
              <w:t xml:space="preserve"> frecuentemente purgar todo el sistema.</w:t>
            </w:r>
          </w:p>
        </w:tc>
        <w:tc>
          <w:tcPr>
            <w:tcW w:w="4675" w:type="dxa"/>
            <w:tcBorders>
              <w:top w:val="nil"/>
              <w:left w:val="nil"/>
              <w:bottom w:val="nil"/>
              <w:right w:val="nil"/>
            </w:tcBorders>
          </w:tcPr>
          <w:p w14:paraId="4F0B7C11" w14:textId="0510B63A"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Carryover contamination can occur whenever a sample with high concentrations of the analyte(s) is analyzed and a sample with low concentrations is analyzed immediately afterwards. To reduce carryover, rinse the purge device and sample injection syringe with water between samples. After analysis of a high concentration sample, analyze a reagent blank to verify that it is free of contamination. For samples containing quantities of water-soluble materials, suspended solids, high-boiling compounds, or high levels of volatile compounds, between analyzes wash the purge chamber with a detergent solution, rinse with distilled water, and dry in an oven at 105 °C. The trap and other parts of the system are also subject to contamination, therefore frequently purge the entire system.</w:t>
            </w:r>
          </w:p>
        </w:tc>
      </w:tr>
      <w:tr w:rsidR="0078772E" w:rsidRPr="00F01347" w14:paraId="6B1D2F97" w14:textId="5FE39B6B" w:rsidTr="00D02A88">
        <w:tc>
          <w:tcPr>
            <w:tcW w:w="4675" w:type="dxa"/>
            <w:tcBorders>
              <w:top w:val="nil"/>
              <w:left w:val="nil"/>
              <w:bottom w:val="nil"/>
              <w:right w:val="nil"/>
            </w:tcBorders>
          </w:tcPr>
          <w:p w14:paraId="777F5643" w14:textId="77777777" w:rsidR="0078772E" w:rsidRPr="00F01347" w:rsidRDefault="0078772E" w:rsidP="0078772E">
            <w:pPr>
              <w:pStyle w:val="texto0"/>
              <w:spacing w:line="236" w:lineRule="exact"/>
              <w:ind w:firstLine="0"/>
              <w:rPr>
                <w:rFonts w:ascii="Verdana" w:hAnsi="Verdana"/>
                <w:b/>
                <w:sz w:val="16"/>
                <w:szCs w:val="16"/>
              </w:rPr>
            </w:pPr>
            <w:r w:rsidRPr="00F01347">
              <w:rPr>
                <w:rFonts w:ascii="Verdana" w:hAnsi="Verdana"/>
                <w:b/>
                <w:sz w:val="16"/>
                <w:szCs w:val="16"/>
              </w:rPr>
              <w:t>B.3.8 Seguridad</w:t>
            </w:r>
          </w:p>
        </w:tc>
        <w:tc>
          <w:tcPr>
            <w:tcW w:w="4675" w:type="dxa"/>
            <w:tcBorders>
              <w:top w:val="nil"/>
              <w:left w:val="nil"/>
              <w:bottom w:val="nil"/>
              <w:right w:val="nil"/>
            </w:tcBorders>
          </w:tcPr>
          <w:p w14:paraId="39CE34EF" w14:textId="56E8F362" w:rsidR="0078772E" w:rsidRPr="00F01347" w:rsidRDefault="0078772E" w:rsidP="0078772E">
            <w:pPr>
              <w:pStyle w:val="texto0"/>
              <w:spacing w:line="236" w:lineRule="exact"/>
              <w:ind w:firstLine="0"/>
              <w:rPr>
                <w:rFonts w:ascii="Verdana" w:hAnsi="Verdana"/>
                <w:b/>
                <w:sz w:val="16"/>
                <w:szCs w:val="16"/>
                <w:lang w:val="en-US"/>
              </w:rPr>
            </w:pPr>
            <w:r w:rsidRPr="00F01347">
              <w:rPr>
                <w:rFonts w:ascii="Verdana" w:hAnsi="Verdana"/>
                <w:b/>
                <w:sz w:val="16"/>
                <w:szCs w:val="16"/>
                <w:lang w:val="en-US"/>
              </w:rPr>
              <w:t>B.3.8 S</w:t>
            </w:r>
            <w:r w:rsidR="0004752E" w:rsidRPr="00F01347">
              <w:rPr>
                <w:rFonts w:ascii="Verdana" w:hAnsi="Verdana"/>
                <w:b/>
                <w:sz w:val="16"/>
                <w:szCs w:val="16"/>
                <w:lang w:val="en-US"/>
              </w:rPr>
              <w:t>afe</w:t>
            </w:r>
            <w:r w:rsidRPr="00F01347">
              <w:rPr>
                <w:rFonts w:ascii="Verdana" w:hAnsi="Verdana"/>
                <w:b/>
                <w:sz w:val="16"/>
                <w:szCs w:val="16"/>
                <w:lang w:val="en-US"/>
              </w:rPr>
              <w:t>ty</w:t>
            </w:r>
          </w:p>
        </w:tc>
      </w:tr>
      <w:tr w:rsidR="0078772E" w:rsidRPr="00F01347" w14:paraId="7384233C" w14:textId="1CDDDCE0" w:rsidTr="00D02A88">
        <w:tc>
          <w:tcPr>
            <w:tcW w:w="4675" w:type="dxa"/>
            <w:tcBorders>
              <w:top w:val="nil"/>
              <w:left w:val="nil"/>
              <w:bottom w:val="nil"/>
              <w:right w:val="nil"/>
            </w:tcBorders>
          </w:tcPr>
          <w:p w14:paraId="59B79962" w14:textId="77777777" w:rsidR="0078772E" w:rsidRPr="00F01347" w:rsidRDefault="0078772E" w:rsidP="0078772E">
            <w:pPr>
              <w:pStyle w:val="texto0"/>
              <w:spacing w:line="236" w:lineRule="exact"/>
              <w:ind w:firstLine="0"/>
              <w:rPr>
                <w:rFonts w:ascii="Verdana" w:hAnsi="Verdana"/>
                <w:i/>
                <w:sz w:val="16"/>
                <w:szCs w:val="16"/>
              </w:rPr>
            </w:pPr>
            <w:r w:rsidRPr="00F01347">
              <w:rPr>
                <w:rFonts w:ascii="Verdana" w:hAnsi="Verdana"/>
                <w:sz w:val="16"/>
                <w:szCs w:val="16"/>
              </w:rPr>
              <w:t xml:space="preserve">La toxicidad o carcinogenicidad de todos los reactivos no se han determinado con precisión. Sin embargo, todas las sustancias deben ser tratadas como potencial </w:t>
            </w:r>
            <w:r w:rsidRPr="00F01347">
              <w:rPr>
                <w:rFonts w:ascii="Verdana" w:hAnsi="Verdana"/>
                <w:sz w:val="16"/>
                <w:szCs w:val="16"/>
              </w:rPr>
              <w:lastRenderedPageBreak/>
              <w:t xml:space="preserve">peligroso para la salud, por lo </w:t>
            </w:r>
            <w:proofErr w:type="gramStart"/>
            <w:r w:rsidRPr="00F01347">
              <w:rPr>
                <w:rFonts w:ascii="Verdana" w:hAnsi="Verdana"/>
                <w:sz w:val="16"/>
                <w:szCs w:val="16"/>
              </w:rPr>
              <w:t>que</w:t>
            </w:r>
            <w:proofErr w:type="gramEnd"/>
            <w:r w:rsidRPr="00F01347">
              <w:rPr>
                <w:rFonts w:ascii="Verdana" w:hAnsi="Verdana"/>
                <w:sz w:val="16"/>
                <w:szCs w:val="16"/>
              </w:rPr>
              <w:t xml:space="preserve"> al manipular las disoluciones estándar, los analistas deberán realizarlo en campana y utilizar respiradores con filtros especiales para gases tóxicos además del vestuario básico (bata y guantes). Estos materiales estándar puros y las disoluciones preparadas deberán almacenarse en condiciones recomendadas por el proveedor</w:t>
            </w:r>
            <w:r w:rsidRPr="00F01347">
              <w:rPr>
                <w:rFonts w:ascii="Verdana" w:hAnsi="Verdana"/>
                <w:i/>
                <w:sz w:val="16"/>
                <w:szCs w:val="16"/>
              </w:rPr>
              <w:t>.</w:t>
            </w:r>
          </w:p>
        </w:tc>
        <w:tc>
          <w:tcPr>
            <w:tcW w:w="4675" w:type="dxa"/>
            <w:tcBorders>
              <w:top w:val="nil"/>
              <w:left w:val="nil"/>
              <w:bottom w:val="nil"/>
              <w:right w:val="nil"/>
            </w:tcBorders>
          </w:tcPr>
          <w:p w14:paraId="066F4B28" w14:textId="092DF49D"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lastRenderedPageBreak/>
              <w:t xml:space="preserve">The toxicity or carcinogenicity of all reagents has not been precisely determined. However, all substances must be treated as potentially dangerous to health, so </w:t>
            </w:r>
            <w:r w:rsidRPr="00F01347">
              <w:rPr>
                <w:rFonts w:ascii="Verdana" w:hAnsi="Verdana"/>
                <w:sz w:val="16"/>
                <w:szCs w:val="16"/>
                <w:lang w:val="en-US"/>
              </w:rPr>
              <w:lastRenderedPageBreak/>
              <w:t>when handling standard solutions, analysts must do so in a hood and use respirators with special filters for toxic gases in addition to basic clothing (gown and gloves). These pure standard materials and prepared solutions should be stored under conditions recommended by the supplier</w:t>
            </w:r>
            <w:r w:rsidR="003E1BA9" w:rsidRPr="00F01347">
              <w:rPr>
                <w:rFonts w:ascii="Verdana" w:hAnsi="Verdana"/>
                <w:sz w:val="16"/>
                <w:szCs w:val="16"/>
                <w:lang w:val="en-US"/>
              </w:rPr>
              <w:t>.</w:t>
            </w:r>
          </w:p>
        </w:tc>
      </w:tr>
      <w:tr w:rsidR="0078772E" w:rsidRPr="00F01347" w14:paraId="0FF359C1" w14:textId="55D37707" w:rsidTr="00D02A88">
        <w:tc>
          <w:tcPr>
            <w:tcW w:w="4675" w:type="dxa"/>
            <w:tcBorders>
              <w:top w:val="nil"/>
              <w:left w:val="nil"/>
              <w:bottom w:val="nil"/>
              <w:right w:val="nil"/>
            </w:tcBorders>
          </w:tcPr>
          <w:p w14:paraId="2F489E72" w14:textId="77777777" w:rsidR="0078772E" w:rsidRPr="00F01347" w:rsidRDefault="0078772E" w:rsidP="0078772E">
            <w:pPr>
              <w:pStyle w:val="texto0"/>
              <w:spacing w:line="236" w:lineRule="exact"/>
              <w:ind w:firstLine="0"/>
              <w:rPr>
                <w:rFonts w:ascii="Verdana" w:hAnsi="Verdana"/>
                <w:b/>
                <w:sz w:val="16"/>
                <w:szCs w:val="16"/>
                <w:lang w:val="en-US"/>
              </w:rPr>
            </w:pPr>
            <w:r w:rsidRPr="00F01347">
              <w:rPr>
                <w:rFonts w:ascii="Verdana" w:hAnsi="Verdana"/>
                <w:b/>
                <w:sz w:val="16"/>
                <w:szCs w:val="16"/>
                <w:lang w:val="en-US"/>
              </w:rPr>
              <w:lastRenderedPageBreak/>
              <w:t xml:space="preserve">B.3.9 </w:t>
            </w:r>
            <w:proofErr w:type="spellStart"/>
            <w:r w:rsidRPr="00F01347">
              <w:rPr>
                <w:rFonts w:ascii="Verdana" w:hAnsi="Verdana"/>
                <w:b/>
                <w:sz w:val="16"/>
                <w:szCs w:val="16"/>
                <w:lang w:val="en-US"/>
              </w:rPr>
              <w:t>Referencias</w:t>
            </w:r>
            <w:proofErr w:type="spellEnd"/>
          </w:p>
        </w:tc>
        <w:tc>
          <w:tcPr>
            <w:tcW w:w="4675" w:type="dxa"/>
            <w:tcBorders>
              <w:top w:val="nil"/>
              <w:left w:val="nil"/>
              <w:bottom w:val="nil"/>
              <w:right w:val="nil"/>
            </w:tcBorders>
          </w:tcPr>
          <w:p w14:paraId="2C8A3132" w14:textId="4737D8B1" w:rsidR="0078772E" w:rsidRPr="00F01347" w:rsidRDefault="0078772E" w:rsidP="0078772E">
            <w:pPr>
              <w:pStyle w:val="texto0"/>
              <w:spacing w:line="236" w:lineRule="exact"/>
              <w:ind w:firstLine="0"/>
              <w:rPr>
                <w:rFonts w:ascii="Verdana" w:hAnsi="Verdana"/>
                <w:b/>
                <w:sz w:val="16"/>
                <w:szCs w:val="16"/>
                <w:lang w:val="en-US"/>
              </w:rPr>
            </w:pPr>
            <w:r w:rsidRPr="00F01347">
              <w:rPr>
                <w:rFonts w:ascii="Verdana" w:hAnsi="Verdana"/>
                <w:b/>
                <w:sz w:val="16"/>
                <w:szCs w:val="16"/>
                <w:lang w:val="en-US"/>
              </w:rPr>
              <w:t>B.3.9 References</w:t>
            </w:r>
          </w:p>
        </w:tc>
      </w:tr>
      <w:tr w:rsidR="0078772E" w:rsidRPr="00F01347" w14:paraId="3AD34B59" w14:textId="72A08D4C" w:rsidTr="00D02A88">
        <w:tc>
          <w:tcPr>
            <w:tcW w:w="4675" w:type="dxa"/>
            <w:tcBorders>
              <w:top w:val="nil"/>
              <w:left w:val="nil"/>
              <w:bottom w:val="nil"/>
              <w:right w:val="nil"/>
            </w:tcBorders>
          </w:tcPr>
          <w:p w14:paraId="05C6E888" w14:textId="77777777"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EPA Method 8260c Volatile Organic Compounds by gas Chromatography/mass Spectrometry (GC/MS)</w:t>
            </w:r>
          </w:p>
        </w:tc>
        <w:tc>
          <w:tcPr>
            <w:tcW w:w="4675" w:type="dxa"/>
            <w:tcBorders>
              <w:top w:val="nil"/>
              <w:left w:val="nil"/>
              <w:bottom w:val="nil"/>
              <w:right w:val="nil"/>
            </w:tcBorders>
          </w:tcPr>
          <w:p w14:paraId="145980A4" w14:textId="4480CAE1"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EPA Method 8260c Volatile Organic Compounds by gas Chromatography/mass Spectrometry (GC/MS)</w:t>
            </w:r>
          </w:p>
        </w:tc>
      </w:tr>
      <w:tr w:rsidR="0078772E" w:rsidRPr="00F01347" w14:paraId="7B9C89E7" w14:textId="54106950" w:rsidTr="00D02A88">
        <w:tc>
          <w:tcPr>
            <w:tcW w:w="4675" w:type="dxa"/>
            <w:tcBorders>
              <w:top w:val="nil"/>
              <w:left w:val="nil"/>
              <w:bottom w:val="nil"/>
              <w:right w:val="nil"/>
            </w:tcBorders>
          </w:tcPr>
          <w:p w14:paraId="56FE7A09" w14:textId="77777777"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EPA Method 5030c Purge and Trap for Aqueous Samples.</w:t>
            </w:r>
          </w:p>
        </w:tc>
        <w:tc>
          <w:tcPr>
            <w:tcW w:w="4675" w:type="dxa"/>
            <w:tcBorders>
              <w:top w:val="nil"/>
              <w:left w:val="nil"/>
              <w:bottom w:val="nil"/>
              <w:right w:val="nil"/>
            </w:tcBorders>
          </w:tcPr>
          <w:p w14:paraId="14A501F9" w14:textId="1BF3E5A5"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EPA Method 5030c Purge and Trap for Aqueous Samples.</w:t>
            </w:r>
          </w:p>
        </w:tc>
      </w:tr>
      <w:tr w:rsidR="0078772E" w:rsidRPr="00F01347" w14:paraId="5F7D3502" w14:textId="20BCFF8A" w:rsidTr="00D02A88">
        <w:tc>
          <w:tcPr>
            <w:tcW w:w="4675" w:type="dxa"/>
            <w:tcBorders>
              <w:top w:val="nil"/>
              <w:left w:val="nil"/>
              <w:bottom w:val="nil"/>
              <w:right w:val="nil"/>
            </w:tcBorders>
          </w:tcPr>
          <w:p w14:paraId="3F634C91" w14:textId="77777777" w:rsidR="0078772E" w:rsidRPr="00F01347" w:rsidRDefault="0078772E" w:rsidP="0078772E">
            <w:pPr>
              <w:pStyle w:val="texto0"/>
              <w:spacing w:line="236" w:lineRule="exact"/>
              <w:ind w:firstLine="0"/>
              <w:jc w:val="center"/>
              <w:rPr>
                <w:rFonts w:ascii="Verdana" w:hAnsi="Verdana"/>
                <w:b/>
                <w:sz w:val="16"/>
                <w:szCs w:val="16"/>
              </w:rPr>
            </w:pPr>
            <w:r w:rsidRPr="00F01347">
              <w:rPr>
                <w:rFonts w:ascii="Verdana" w:hAnsi="Verdana"/>
                <w:b/>
                <w:sz w:val="16"/>
                <w:szCs w:val="16"/>
              </w:rPr>
              <w:t xml:space="preserve">B.4 MÉTODO DE PRUEBA PARA LA DETERMINACIÓN DE PLATA TOTAL Y </w:t>
            </w:r>
            <w:proofErr w:type="gramStart"/>
            <w:r w:rsidRPr="00F01347">
              <w:rPr>
                <w:rFonts w:ascii="Verdana" w:hAnsi="Verdana"/>
                <w:b/>
                <w:sz w:val="16"/>
                <w:szCs w:val="16"/>
              </w:rPr>
              <w:t>ALUMINIO  EN</w:t>
            </w:r>
            <w:proofErr w:type="gramEnd"/>
            <w:r w:rsidRPr="00F01347">
              <w:rPr>
                <w:rFonts w:ascii="Verdana" w:hAnsi="Verdana"/>
                <w:b/>
                <w:sz w:val="16"/>
                <w:szCs w:val="16"/>
              </w:rPr>
              <w:t xml:space="preserve"> AGUA PARA USO Y CONSUMO HUMANO</w:t>
            </w:r>
          </w:p>
        </w:tc>
        <w:tc>
          <w:tcPr>
            <w:tcW w:w="4675" w:type="dxa"/>
            <w:tcBorders>
              <w:top w:val="nil"/>
              <w:left w:val="nil"/>
              <w:bottom w:val="nil"/>
              <w:right w:val="nil"/>
            </w:tcBorders>
          </w:tcPr>
          <w:p w14:paraId="0DA40C2E" w14:textId="76BD9E7D" w:rsidR="0078772E" w:rsidRPr="00F01347" w:rsidRDefault="0078772E" w:rsidP="0078772E">
            <w:pPr>
              <w:pStyle w:val="texto0"/>
              <w:spacing w:line="236" w:lineRule="exact"/>
              <w:ind w:firstLine="0"/>
              <w:jc w:val="center"/>
              <w:rPr>
                <w:rFonts w:ascii="Verdana" w:hAnsi="Verdana"/>
                <w:b/>
                <w:sz w:val="16"/>
                <w:szCs w:val="16"/>
                <w:lang w:val="en-US"/>
              </w:rPr>
            </w:pPr>
            <w:r w:rsidRPr="00F01347">
              <w:rPr>
                <w:rFonts w:ascii="Verdana" w:hAnsi="Verdana"/>
                <w:b/>
                <w:sz w:val="16"/>
                <w:szCs w:val="16"/>
                <w:lang w:val="en-US"/>
              </w:rPr>
              <w:t>B.4 TEST METHOD FOR THE DETERMINATION OF TOTAL SILVER AND ALUMINUM IN WATER FOR HUMAN USE AND CONSUMPTION</w:t>
            </w:r>
          </w:p>
        </w:tc>
      </w:tr>
      <w:tr w:rsidR="0078772E" w:rsidRPr="00F01347" w14:paraId="5AEDE9F4" w14:textId="27AAD721" w:rsidTr="00D02A88">
        <w:tc>
          <w:tcPr>
            <w:tcW w:w="4675" w:type="dxa"/>
            <w:tcBorders>
              <w:top w:val="nil"/>
              <w:left w:val="nil"/>
              <w:bottom w:val="nil"/>
              <w:right w:val="nil"/>
            </w:tcBorders>
          </w:tcPr>
          <w:p w14:paraId="616781DD" w14:textId="77777777" w:rsidR="0078772E" w:rsidRPr="00F01347" w:rsidRDefault="0078772E" w:rsidP="0078772E">
            <w:pPr>
              <w:pStyle w:val="texto0"/>
              <w:spacing w:line="236" w:lineRule="exact"/>
              <w:ind w:firstLine="0"/>
              <w:rPr>
                <w:rFonts w:ascii="Verdana" w:hAnsi="Verdana"/>
                <w:sz w:val="16"/>
                <w:szCs w:val="16"/>
              </w:rPr>
            </w:pPr>
            <w:r w:rsidRPr="00F01347">
              <w:rPr>
                <w:rFonts w:ascii="Verdana" w:hAnsi="Verdana"/>
                <w:sz w:val="16"/>
                <w:szCs w:val="16"/>
              </w:rPr>
              <w:t>Para la determinación de plata total y aluminio para el cumplimiento de esta Norma, se podrá utilizar indistintamente el método de prueba para la determinación de plata total y aluminio en agua para uso y consumo humano por espectrometría de absorción atómica con horno de grafito (punto B.4.1, de este Apéndice) o el método de prueba para la determinación de aluminio, antimonio, arsénico, bario, cadmio, cobre, cromo, fierro, manganeso, níquel, plata, plomo y selenio por espectrometría de emisión óptica de plasma acoplado inductivamente (ICP-OES). (punto B.4.2, de este Apéndice).</w:t>
            </w:r>
          </w:p>
        </w:tc>
        <w:tc>
          <w:tcPr>
            <w:tcW w:w="4675" w:type="dxa"/>
            <w:tcBorders>
              <w:top w:val="nil"/>
              <w:left w:val="nil"/>
              <w:bottom w:val="nil"/>
              <w:right w:val="nil"/>
            </w:tcBorders>
          </w:tcPr>
          <w:p w14:paraId="600BCE53" w14:textId="07EFC451"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For the determination of total silver and aluminum for compliance with this Standard, the test method for the determination of total silver and aluminum in water for human use and consumption by atomic absorption spectrometry with a graphite furnace may be used interchangeably (point B</w:t>
            </w:r>
            <w:r w:rsidR="003E1BA9" w:rsidRPr="00F01347">
              <w:rPr>
                <w:rFonts w:ascii="Verdana" w:hAnsi="Verdana"/>
                <w:sz w:val="16"/>
                <w:szCs w:val="16"/>
                <w:lang w:val="en-US"/>
              </w:rPr>
              <w:t>.</w:t>
            </w:r>
            <w:r w:rsidRPr="00F01347">
              <w:rPr>
                <w:rFonts w:ascii="Verdana" w:hAnsi="Verdana"/>
                <w:sz w:val="16"/>
                <w:szCs w:val="16"/>
                <w:lang w:val="en-US"/>
              </w:rPr>
              <w:t>4.1, of this Appendix) or the test method for the determination of aluminum, antimony, arsenic, barium, cadmium, copper, chromium, iron, manganese, nickel, silver, lead and selenium by inductively coupled plasma optical emission spectrometry (ICP-OES). (point B.4.2, of this Appendix).</w:t>
            </w:r>
          </w:p>
        </w:tc>
      </w:tr>
      <w:tr w:rsidR="0078772E" w:rsidRPr="00F01347" w14:paraId="3440809B" w14:textId="7CFFEB6F" w:rsidTr="00D02A88">
        <w:tc>
          <w:tcPr>
            <w:tcW w:w="4675" w:type="dxa"/>
            <w:tcBorders>
              <w:top w:val="nil"/>
              <w:left w:val="nil"/>
              <w:bottom w:val="nil"/>
              <w:right w:val="nil"/>
            </w:tcBorders>
          </w:tcPr>
          <w:p w14:paraId="74351A57" w14:textId="77777777" w:rsidR="0078772E" w:rsidRPr="00F01347" w:rsidRDefault="0078772E" w:rsidP="0078772E">
            <w:pPr>
              <w:pStyle w:val="texto0"/>
              <w:spacing w:line="236" w:lineRule="exact"/>
              <w:ind w:firstLine="0"/>
              <w:jc w:val="center"/>
              <w:rPr>
                <w:rFonts w:ascii="Verdana" w:hAnsi="Verdana"/>
                <w:b/>
                <w:sz w:val="16"/>
                <w:szCs w:val="16"/>
              </w:rPr>
            </w:pPr>
            <w:r w:rsidRPr="00F01347">
              <w:rPr>
                <w:rFonts w:ascii="Verdana" w:hAnsi="Verdana"/>
                <w:b/>
                <w:sz w:val="16"/>
                <w:szCs w:val="16"/>
              </w:rPr>
              <w:t xml:space="preserve">B.4.1 MÉTODO DE PRUEBA PARA LA DETERMINACIÓN DE PLATA TOTAL Y ALUMINIO EN AGUA PARA USO Y CONSUMO HUMANO POR ESPECTROMETRÍA DE ABSORCIÓN </w:t>
            </w:r>
            <w:proofErr w:type="gramStart"/>
            <w:r w:rsidRPr="00F01347">
              <w:rPr>
                <w:rFonts w:ascii="Verdana" w:hAnsi="Verdana"/>
                <w:b/>
                <w:sz w:val="16"/>
                <w:szCs w:val="16"/>
              </w:rPr>
              <w:t>ATÓMICA  CON</w:t>
            </w:r>
            <w:proofErr w:type="gramEnd"/>
            <w:r w:rsidRPr="00F01347">
              <w:rPr>
                <w:rFonts w:ascii="Verdana" w:hAnsi="Verdana"/>
                <w:b/>
                <w:sz w:val="16"/>
                <w:szCs w:val="16"/>
              </w:rPr>
              <w:t xml:space="preserve"> HORNO DE GRAFITO</w:t>
            </w:r>
          </w:p>
        </w:tc>
        <w:tc>
          <w:tcPr>
            <w:tcW w:w="4675" w:type="dxa"/>
            <w:tcBorders>
              <w:top w:val="nil"/>
              <w:left w:val="nil"/>
              <w:bottom w:val="nil"/>
              <w:right w:val="nil"/>
            </w:tcBorders>
          </w:tcPr>
          <w:p w14:paraId="00F7F41E" w14:textId="45C657DA" w:rsidR="0078772E" w:rsidRPr="00F01347" w:rsidRDefault="0078772E" w:rsidP="0078772E">
            <w:pPr>
              <w:pStyle w:val="texto0"/>
              <w:spacing w:line="236" w:lineRule="exact"/>
              <w:ind w:firstLine="0"/>
              <w:jc w:val="center"/>
              <w:rPr>
                <w:rFonts w:ascii="Verdana" w:hAnsi="Verdana"/>
                <w:b/>
                <w:sz w:val="16"/>
                <w:szCs w:val="16"/>
                <w:lang w:val="en-US"/>
              </w:rPr>
            </w:pPr>
            <w:r w:rsidRPr="00F01347">
              <w:rPr>
                <w:rFonts w:ascii="Verdana" w:hAnsi="Verdana"/>
                <w:b/>
                <w:sz w:val="16"/>
                <w:szCs w:val="16"/>
                <w:lang w:val="en-US"/>
              </w:rPr>
              <w:t>B.4.1 TEST METHOD FOR THE DETERMINATION OF TOTAL SILVER AND ALUMINUM IN WATER FOR HUMAN USE AND CONSUMPTION BY ATOMIC ABSORPTION SPECTROMETRY WITH GRAPHITE FURNACE</w:t>
            </w:r>
          </w:p>
        </w:tc>
      </w:tr>
      <w:tr w:rsidR="0078772E" w:rsidRPr="00F01347" w14:paraId="73EBEE45" w14:textId="641FB267" w:rsidTr="00D02A88">
        <w:tc>
          <w:tcPr>
            <w:tcW w:w="4675" w:type="dxa"/>
            <w:tcBorders>
              <w:top w:val="nil"/>
              <w:left w:val="nil"/>
              <w:bottom w:val="nil"/>
              <w:right w:val="nil"/>
            </w:tcBorders>
          </w:tcPr>
          <w:p w14:paraId="29927DAC" w14:textId="77777777" w:rsidR="0078772E" w:rsidRPr="00F01347" w:rsidRDefault="0078772E" w:rsidP="0078772E">
            <w:pPr>
              <w:pStyle w:val="texto0"/>
              <w:spacing w:line="236" w:lineRule="exact"/>
              <w:ind w:firstLine="0"/>
              <w:rPr>
                <w:rFonts w:ascii="Verdana" w:hAnsi="Verdana"/>
                <w:b/>
                <w:sz w:val="16"/>
                <w:szCs w:val="16"/>
              </w:rPr>
            </w:pPr>
            <w:r w:rsidRPr="00F01347">
              <w:rPr>
                <w:rFonts w:ascii="Verdana" w:hAnsi="Verdana"/>
                <w:b/>
                <w:sz w:val="16"/>
                <w:szCs w:val="16"/>
              </w:rPr>
              <w:t>B.4.1.1 Símbolos y términos abreviados</w:t>
            </w:r>
          </w:p>
        </w:tc>
        <w:tc>
          <w:tcPr>
            <w:tcW w:w="4675" w:type="dxa"/>
            <w:tcBorders>
              <w:top w:val="nil"/>
              <w:left w:val="nil"/>
              <w:bottom w:val="nil"/>
              <w:right w:val="nil"/>
            </w:tcBorders>
          </w:tcPr>
          <w:p w14:paraId="2F0C1414" w14:textId="65251BC3" w:rsidR="0078772E" w:rsidRPr="00F01347" w:rsidRDefault="0078772E" w:rsidP="0078772E">
            <w:pPr>
              <w:pStyle w:val="texto0"/>
              <w:spacing w:line="236" w:lineRule="exact"/>
              <w:ind w:firstLine="0"/>
              <w:rPr>
                <w:rFonts w:ascii="Verdana" w:hAnsi="Verdana"/>
                <w:b/>
                <w:sz w:val="16"/>
                <w:szCs w:val="16"/>
                <w:lang w:val="en-US"/>
              </w:rPr>
            </w:pPr>
            <w:r w:rsidRPr="00F01347">
              <w:rPr>
                <w:rFonts w:ascii="Verdana" w:hAnsi="Verdana"/>
                <w:b/>
                <w:sz w:val="16"/>
                <w:szCs w:val="16"/>
                <w:lang w:val="en-US"/>
              </w:rPr>
              <w:t>B.4.1.1 Symbols and abbreviated terms</w:t>
            </w:r>
          </w:p>
        </w:tc>
      </w:tr>
      <w:tr w:rsidR="0078772E" w:rsidRPr="00F01347" w14:paraId="2FABD397" w14:textId="536BC4C6" w:rsidTr="00D02A88">
        <w:tc>
          <w:tcPr>
            <w:tcW w:w="4675" w:type="dxa"/>
            <w:tcBorders>
              <w:top w:val="nil"/>
              <w:left w:val="nil"/>
              <w:bottom w:val="nil"/>
              <w:right w:val="nil"/>
            </w:tcBorders>
          </w:tcPr>
          <w:p w14:paraId="3D20D583" w14:textId="77777777" w:rsidR="0078772E" w:rsidRPr="00F01347" w:rsidRDefault="0078772E" w:rsidP="0078772E">
            <w:pPr>
              <w:pStyle w:val="texto0"/>
              <w:spacing w:line="236" w:lineRule="exact"/>
              <w:ind w:firstLine="0"/>
              <w:rPr>
                <w:rFonts w:ascii="Verdana" w:hAnsi="Verdana"/>
                <w:sz w:val="16"/>
                <w:szCs w:val="16"/>
              </w:rPr>
            </w:pPr>
            <w:r w:rsidRPr="00F01347">
              <w:rPr>
                <w:rFonts w:ascii="Verdana" w:hAnsi="Verdana"/>
                <w:sz w:val="16"/>
                <w:szCs w:val="16"/>
              </w:rPr>
              <w:t>Ag</w:t>
            </w:r>
            <w:r w:rsidRPr="00F01347">
              <w:rPr>
                <w:rFonts w:ascii="Verdana" w:hAnsi="Verdana"/>
                <w:sz w:val="16"/>
                <w:szCs w:val="16"/>
              </w:rPr>
              <w:tab/>
              <w:t>plata</w:t>
            </w:r>
          </w:p>
        </w:tc>
        <w:tc>
          <w:tcPr>
            <w:tcW w:w="4675" w:type="dxa"/>
            <w:tcBorders>
              <w:top w:val="nil"/>
              <w:left w:val="nil"/>
              <w:bottom w:val="nil"/>
              <w:right w:val="nil"/>
            </w:tcBorders>
          </w:tcPr>
          <w:p w14:paraId="6868D112" w14:textId="5BA6F250"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Ag </w:t>
            </w:r>
            <w:r w:rsidRPr="00F01347">
              <w:rPr>
                <w:rFonts w:ascii="Verdana" w:hAnsi="Verdana"/>
                <w:sz w:val="16"/>
                <w:szCs w:val="16"/>
                <w:lang w:val="en-US"/>
              </w:rPr>
              <w:tab/>
              <w:t>silver</w:t>
            </w:r>
          </w:p>
        </w:tc>
      </w:tr>
      <w:tr w:rsidR="0078772E" w:rsidRPr="00F01347" w14:paraId="6D1F0624" w14:textId="0C6F3383" w:rsidTr="00D02A88">
        <w:tc>
          <w:tcPr>
            <w:tcW w:w="4675" w:type="dxa"/>
            <w:tcBorders>
              <w:top w:val="nil"/>
              <w:left w:val="nil"/>
              <w:bottom w:val="nil"/>
              <w:right w:val="nil"/>
            </w:tcBorders>
          </w:tcPr>
          <w:p w14:paraId="6DE108E4" w14:textId="77777777" w:rsidR="0078772E" w:rsidRPr="00F01347" w:rsidRDefault="0078772E" w:rsidP="0078772E">
            <w:pPr>
              <w:pStyle w:val="texto0"/>
              <w:spacing w:line="236" w:lineRule="exact"/>
              <w:ind w:firstLine="0"/>
              <w:rPr>
                <w:rFonts w:ascii="Verdana" w:hAnsi="Verdana"/>
                <w:sz w:val="16"/>
                <w:szCs w:val="16"/>
              </w:rPr>
            </w:pPr>
            <w:r w:rsidRPr="00F01347">
              <w:rPr>
                <w:rFonts w:ascii="Verdana" w:hAnsi="Verdana"/>
                <w:sz w:val="16"/>
                <w:szCs w:val="16"/>
              </w:rPr>
              <w:t>Al</w:t>
            </w:r>
            <w:r w:rsidRPr="00F01347">
              <w:rPr>
                <w:rFonts w:ascii="Verdana" w:hAnsi="Verdana"/>
                <w:sz w:val="16"/>
                <w:szCs w:val="16"/>
              </w:rPr>
              <w:tab/>
              <w:t>aluminio</w:t>
            </w:r>
          </w:p>
        </w:tc>
        <w:tc>
          <w:tcPr>
            <w:tcW w:w="4675" w:type="dxa"/>
            <w:tcBorders>
              <w:top w:val="nil"/>
              <w:left w:val="nil"/>
              <w:bottom w:val="nil"/>
              <w:right w:val="nil"/>
            </w:tcBorders>
          </w:tcPr>
          <w:p w14:paraId="2117DF4A" w14:textId="28AE5EB0" w:rsidR="0078772E" w:rsidRPr="00F01347" w:rsidRDefault="00C62C28"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Al</w:t>
            </w:r>
            <w:r w:rsidR="0078772E" w:rsidRPr="00F01347">
              <w:rPr>
                <w:rFonts w:ascii="Verdana" w:hAnsi="Verdana"/>
                <w:sz w:val="16"/>
                <w:szCs w:val="16"/>
                <w:lang w:val="en-US"/>
              </w:rPr>
              <w:t xml:space="preserve"> </w:t>
            </w:r>
            <w:r w:rsidR="0078772E" w:rsidRPr="00F01347">
              <w:rPr>
                <w:rFonts w:ascii="Verdana" w:hAnsi="Verdana"/>
                <w:sz w:val="16"/>
                <w:szCs w:val="16"/>
                <w:lang w:val="en-US"/>
              </w:rPr>
              <w:tab/>
              <w:t>aluminum</w:t>
            </w:r>
          </w:p>
        </w:tc>
      </w:tr>
      <w:tr w:rsidR="0078772E" w:rsidRPr="00F01347" w14:paraId="37F320E8" w14:textId="5B6648A6" w:rsidTr="00D02A88">
        <w:tc>
          <w:tcPr>
            <w:tcW w:w="4675" w:type="dxa"/>
            <w:tcBorders>
              <w:top w:val="nil"/>
              <w:left w:val="nil"/>
              <w:bottom w:val="nil"/>
              <w:right w:val="nil"/>
            </w:tcBorders>
          </w:tcPr>
          <w:p w14:paraId="5A3B81E5" w14:textId="77777777" w:rsidR="0078772E" w:rsidRPr="00F01347" w:rsidRDefault="0078772E" w:rsidP="0078772E">
            <w:pPr>
              <w:pStyle w:val="texto0"/>
              <w:spacing w:line="236" w:lineRule="exact"/>
              <w:ind w:firstLine="0"/>
              <w:rPr>
                <w:rFonts w:ascii="Verdana" w:hAnsi="Verdana"/>
                <w:sz w:val="16"/>
                <w:szCs w:val="16"/>
              </w:rPr>
            </w:pPr>
            <w:r w:rsidRPr="00F01347">
              <w:rPr>
                <w:rFonts w:ascii="Verdana" w:hAnsi="Verdana"/>
                <w:sz w:val="16"/>
                <w:szCs w:val="16"/>
              </w:rPr>
              <w:t>HCl</w:t>
            </w:r>
            <w:r w:rsidRPr="00F01347">
              <w:rPr>
                <w:rFonts w:ascii="Verdana" w:hAnsi="Verdana"/>
                <w:sz w:val="16"/>
                <w:szCs w:val="16"/>
              </w:rPr>
              <w:tab/>
              <w:t>ácido clorhídrico</w:t>
            </w:r>
          </w:p>
        </w:tc>
        <w:tc>
          <w:tcPr>
            <w:tcW w:w="4675" w:type="dxa"/>
            <w:tcBorders>
              <w:top w:val="nil"/>
              <w:left w:val="nil"/>
              <w:bottom w:val="nil"/>
              <w:right w:val="nil"/>
            </w:tcBorders>
          </w:tcPr>
          <w:p w14:paraId="7DFDFC84" w14:textId="685B0837"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HCl </w:t>
            </w:r>
            <w:r w:rsidRPr="00F01347">
              <w:rPr>
                <w:rFonts w:ascii="Verdana" w:hAnsi="Verdana"/>
                <w:sz w:val="16"/>
                <w:szCs w:val="16"/>
                <w:lang w:val="en-US"/>
              </w:rPr>
              <w:tab/>
              <w:t>hydrochloric acid</w:t>
            </w:r>
          </w:p>
        </w:tc>
      </w:tr>
      <w:tr w:rsidR="0078772E" w:rsidRPr="00F01347" w14:paraId="59DD16DB" w14:textId="4E429570" w:rsidTr="00D02A88">
        <w:tc>
          <w:tcPr>
            <w:tcW w:w="4675" w:type="dxa"/>
            <w:tcBorders>
              <w:top w:val="nil"/>
              <w:left w:val="nil"/>
              <w:bottom w:val="nil"/>
              <w:right w:val="nil"/>
            </w:tcBorders>
          </w:tcPr>
          <w:p w14:paraId="054241A5" w14:textId="77777777" w:rsidR="0078772E" w:rsidRPr="00F01347" w:rsidRDefault="0078772E" w:rsidP="0078772E">
            <w:pPr>
              <w:pStyle w:val="texto0"/>
              <w:spacing w:line="236" w:lineRule="exact"/>
              <w:ind w:firstLine="0"/>
              <w:rPr>
                <w:rFonts w:ascii="Verdana" w:hAnsi="Verdana"/>
                <w:sz w:val="16"/>
                <w:szCs w:val="16"/>
              </w:rPr>
            </w:pPr>
            <w:r w:rsidRPr="00F01347">
              <w:rPr>
                <w:rFonts w:ascii="Verdana" w:hAnsi="Verdana"/>
                <w:sz w:val="16"/>
                <w:szCs w:val="16"/>
              </w:rPr>
              <w:t xml:space="preserve">LCH </w:t>
            </w:r>
            <w:r w:rsidRPr="00F01347">
              <w:rPr>
                <w:rFonts w:ascii="Verdana" w:hAnsi="Verdana"/>
                <w:sz w:val="16"/>
                <w:szCs w:val="16"/>
              </w:rPr>
              <w:tab/>
              <w:t>lámpara de cátodo hueco</w:t>
            </w:r>
          </w:p>
        </w:tc>
        <w:tc>
          <w:tcPr>
            <w:tcW w:w="4675" w:type="dxa"/>
            <w:tcBorders>
              <w:top w:val="nil"/>
              <w:left w:val="nil"/>
              <w:bottom w:val="nil"/>
              <w:right w:val="nil"/>
            </w:tcBorders>
          </w:tcPr>
          <w:p w14:paraId="6B6BC792" w14:textId="07572104"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LCH </w:t>
            </w:r>
            <w:r w:rsidRPr="00F01347">
              <w:rPr>
                <w:rFonts w:ascii="Verdana" w:hAnsi="Verdana"/>
                <w:sz w:val="16"/>
                <w:szCs w:val="16"/>
                <w:lang w:val="en-US"/>
              </w:rPr>
              <w:tab/>
              <w:t>hollow cathode lamp</w:t>
            </w:r>
          </w:p>
        </w:tc>
      </w:tr>
      <w:tr w:rsidR="0078772E" w:rsidRPr="00F01347" w14:paraId="739063BC" w14:textId="4E677030" w:rsidTr="00D02A88">
        <w:tc>
          <w:tcPr>
            <w:tcW w:w="4675" w:type="dxa"/>
            <w:tcBorders>
              <w:top w:val="nil"/>
              <w:left w:val="nil"/>
              <w:bottom w:val="nil"/>
              <w:right w:val="nil"/>
            </w:tcBorders>
          </w:tcPr>
          <w:p w14:paraId="11C2A714" w14:textId="77777777" w:rsidR="0078772E" w:rsidRPr="00F01347" w:rsidRDefault="0078772E" w:rsidP="0078772E">
            <w:pPr>
              <w:pStyle w:val="texto0"/>
              <w:spacing w:line="236" w:lineRule="exact"/>
              <w:ind w:firstLine="0"/>
              <w:rPr>
                <w:rFonts w:ascii="Verdana" w:hAnsi="Verdana"/>
                <w:sz w:val="16"/>
                <w:szCs w:val="16"/>
              </w:rPr>
            </w:pPr>
            <w:r w:rsidRPr="00F01347">
              <w:rPr>
                <w:rFonts w:ascii="Verdana" w:hAnsi="Verdana"/>
                <w:sz w:val="16"/>
                <w:szCs w:val="16"/>
              </w:rPr>
              <w:t>LDE</w:t>
            </w:r>
            <w:r w:rsidRPr="00F01347">
              <w:rPr>
                <w:rFonts w:ascii="Verdana" w:hAnsi="Verdana"/>
                <w:sz w:val="16"/>
                <w:szCs w:val="16"/>
              </w:rPr>
              <w:tab/>
              <w:t>lámpara de descarga sin electrodos</w:t>
            </w:r>
          </w:p>
        </w:tc>
        <w:tc>
          <w:tcPr>
            <w:tcW w:w="4675" w:type="dxa"/>
            <w:tcBorders>
              <w:top w:val="nil"/>
              <w:left w:val="nil"/>
              <w:bottom w:val="nil"/>
              <w:right w:val="nil"/>
            </w:tcBorders>
          </w:tcPr>
          <w:p w14:paraId="7147AED6" w14:textId="349A53AC"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LDE </w:t>
            </w:r>
            <w:r w:rsidRPr="00F01347">
              <w:rPr>
                <w:rFonts w:ascii="Verdana" w:hAnsi="Verdana"/>
                <w:sz w:val="16"/>
                <w:szCs w:val="16"/>
                <w:lang w:val="en-US"/>
              </w:rPr>
              <w:tab/>
              <w:t>electrodeless discharge lamp</w:t>
            </w:r>
          </w:p>
        </w:tc>
      </w:tr>
      <w:tr w:rsidR="0078772E" w:rsidRPr="00F01347" w14:paraId="44268475" w14:textId="22EC5A54" w:rsidTr="00D02A88">
        <w:tc>
          <w:tcPr>
            <w:tcW w:w="4675" w:type="dxa"/>
            <w:tcBorders>
              <w:top w:val="nil"/>
              <w:left w:val="nil"/>
              <w:bottom w:val="nil"/>
              <w:right w:val="nil"/>
            </w:tcBorders>
          </w:tcPr>
          <w:p w14:paraId="054F095A" w14:textId="77777777" w:rsidR="0078772E" w:rsidRPr="00F01347" w:rsidRDefault="0078772E" w:rsidP="0078772E">
            <w:pPr>
              <w:pStyle w:val="texto0"/>
              <w:spacing w:line="236" w:lineRule="exact"/>
              <w:ind w:firstLine="0"/>
              <w:rPr>
                <w:rFonts w:ascii="Verdana" w:hAnsi="Verdana"/>
                <w:sz w:val="16"/>
                <w:szCs w:val="16"/>
              </w:rPr>
            </w:pPr>
            <w:r w:rsidRPr="00F01347">
              <w:rPr>
                <w:rFonts w:ascii="Verdana" w:hAnsi="Verdana"/>
                <w:sz w:val="16"/>
                <w:szCs w:val="16"/>
              </w:rPr>
              <w:t>PTFE</w:t>
            </w:r>
            <w:r w:rsidRPr="00F01347">
              <w:rPr>
                <w:rFonts w:ascii="Verdana" w:hAnsi="Verdana"/>
                <w:sz w:val="16"/>
                <w:szCs w:val="16"/>
              </w:rPr>
              <w:tab/>
              <w:t>politetrafluoroetileno</w:t>
            </w:r>
          </w:p>
        </w:tc>
        <w:tc>
          <w:tcPr>
            <w:tcW w:w="4675" w:type="dxa"/>
            <w:tcBorders>
              <w:top w:val="nil"/>
              <w:left w:val="nil"/>
              <w:bottom w:val="nil"/>
              <w:right w:val="nil"/>
            </w:tcBorders>
          </w:tcPr>
          <w:p w14:paraId="60521D68" w14:textId="1F88B053"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PTFE </w:t>
            </w:r>
            <w:r w:rsidRPr="00F01347">
              <w:rPr>
                <w:rFonts w:ascii="Verdana" w:hAnsi="Verdana"/>
                <w:sz w:val="16"/>
                <w:szCs w:val="16"/>
                <w:lang w:val="en-US"/>
              </w:rPr>
              <w:tab/>
              <w:t>polytetrafluoroethylene</w:t>
            </w:r>
          </w:p>
        </w:tc>
      </w:tr>
      <w:tr w:rsidR="0078772E" w:rsidRPr="00F01347" w14:paraId="64786A1D" w14:textId="1DF351FF" w:rsidTr="00D02A88">
        <w:tc>
          <w:tcPr>
            <w:tcW w:w="4675" w:type="dxa"/>
            <w:tcBorders>
              <w:top w:val="nil"/>
              <w:left w:val="nil"/>
              <w:bottom w:val="nil"/>
              <w:right w:val="nil"/>
            </w:tcBorders>
          </w:tcPr>
          <w:p w14:paraId="14B45047" w14:textId="77777777" w:rsidR="0078772E" w:rsidRPr="00F01347" w:rsidRDefault="0078772E" w:rsidP="0078772E">
            <w:pPr>
              <w:pStyle w:val="texto0"/>
              <w:spacing w:line="236" w:lineRule="exact"/>
              <w:ind w:firstLine="0"/>
              <w:rPr>
                <w:rFonts w:ascii="Verdana" w:hAnsi="Verdana"/>
                <w:b/>
                <w:sz w:val="16"/>
                <w:szCs w:val="16"/>
              </w:rPr>
            </w:pPr>
            <w:r w:rsidRPr="00F01347">
              <w:rPr>
                <w:rFonts w:ascii="Verdana" w:hAnsi="Verdana"/>
                <w:b/>
                <w:sz w:val="16"/>
                <w:szCs w:val="16"/>
              </w:rPr>
              <w:t>B.4.1.2 Principio</w:t>
            </w:r>
          </w:p>
        </w:tc>
        <w:tc>
          <w:tcPr>
            <w:tcW w:w="4675" w:type="dxa"/>
            <w:tcBorders>
              <w:top w:val="nil"/>
              <w:left w:val="nil"/>
              <w:bottom w:val="nil"/>
              <w:right w:val="nil"/>
            </w:tcBorders>
          </w:tcPr>
          <w:p w14:paraId="1A9D71A4" w14:textId="59E11487" w:rsidR="0078772E" w:rsidRPr="00F01347" w:rsidRDefault="0078772E" w:rsidP="0078772E">
            <w:pPr>
              <w:pStyle w:val="texto0"/>
              <w:spacing w:line="236" w:lineRule="exact"/>
              <w:ind w:firstLine="0"/>
              <w:rPr>
                <w:rFonts w:ascii="Verdana" w:hAnsi="Verdana"/>
                <w:b/>
                <w:sz w:val="16"/>
                <w:szCs w:val="16"/>
                <w:lang w:val="en-US"/>
              </w:rPr>
            </w:pPr>
            <w:r w:rsidRPr="00F01347">
              <w:rPr>
                <w:rFonts w:ascii="Verdana" w:hAnsi="Verdana"/>
                <w:b/>
                <w:sz w:val="16"/>
                <w:szCs w:val="16"/>
                <w:lang w:val="en-US"/>
              </w:rPr>
              <w:t>B.4.1.2 Principle</w:t>
            </w:r>
          </w:p>
        </w:tc>
      </w:tr>
      <w:tr w:rsidR="0078772E" w:rsidRPr="00F01347" w14:paraId="608A4AE5" w14:textId="7FBC7EF1" w:rsidTr="00D02A88">
        <w:tc>
          <w:tcPr>
            <w:tcW w:w="4675" w:type="dxa"/>
            <w:tcBorders>
              <w:top w:val="nil"/>
              <w:left w:val="nil"/>
              <w:bottom w:val="nil"/>
              <w:right w:val="nil"/>
            </w:tcBorders>
          </w:tcPr>
          <w:p w14:paraId="7A8BCED2" w14:textId="77777777" w:rsidR="0078772E" w:rsidRPr="00F01347" w:rsidRDefault="0078772E" w:rsidP="0078772E">
            <w:pPr>
              <w:pStyle w:val="texto0"/>
              <w:spacing w:line="236" w:lineRule="exact"/>
              <w:ind w:firstLine="0"/>
              <w:rPr>
                <w:rFonts w:ascii="Verdana" w:hAnsi="Verdana"/>
                <w:sz w:val="16"/>
                <w:szCs w:val="16"/>
              </w:rPr>
            </w:pPr>
            <w:r w:rsidRPr="00F01347">
              <w:rPr>
                <w:rFonts w:ascii="Verdana" w:hAnsi="Verdana"/>
                <w:sz w:val="16"/>
                <w:szCs w:val="16"/>
              </w:rPr>
              <w:t xml:space="preserve">Las muestras de agua se conservan mediante tratamiento con ácido y se digieren si es necesario. Una pequeña submuestra se inyecta en el horno de grafito del espectrómetro de absorción atómica. El horno se calienta eléctricamente. Al aumentar la temperatura gradualmente, la muestra se seca, se </w:t>
            </w:r>
            <w:proofErr w:type="spellStart"/>
            <w:r w:rsidRPr="00F01347">
              <w:rPr>
                <w:rFonts w:ascii="Verdana" w:hAnsi="Verdana"/>
                <w:sz w:val="16"/>
                <w:szCs w:val="16"/>
              </w:rPr>
              <w:t>piroliza</w:t>
            </w:r>
            <w:proofErr w:type="spellEnd"/>
            <w:r w:rsidRPr="00F01347">
              <w:rPr>
                <w:rFonts w:ascii="Verdana" w:hAnsi="Verdana"/>
                <w:sz w:val="16"/>
                <w:szCs w:val="16"/>
              </w:rPr>
              <w:t xml:space="preserve"> y se atomiza.</w:t>
            </w:r>
          </w:p>
        </w:tc>
        <w:tc>
          <w:tcPr>
            <w:tcW w:w="4675" w:type="dxa"/>
            <w:tcBorders>
              <w:top w:val="nil"/>
              <w:left w:val="nil"/>
              <w:bottom w:val="nil"/>
              <w:right w:val="nil"/>
            </w:tcBorders>
          </w:tcPr>
          <w:p w14:paraId="7D5EE925" w14:textId="2ADD579C"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Water samples are preserved by acid treatment and digested if necessary. A small subsample is injected into the graphite furnace of the atomic absorption spectrometer. The oven is heated electrically. By gradually increasing the temperature, the sample is dried, pyrolyzed and atomized.</w:t>
            </w:r>
          </w:p>
        </w:tc>
      </w:tr>
      <w:tr w:rsidR="0078772E" w:rsidRPr="00F01347" w14:paraId="173038ED" w14:textId="0AC94EBC" w:rsidTr="00D02A88">
        <w:tc>
          <w:tcPr>
            <w:tcW w:w="4675" w:type="dxa"/>
            <w:tcBorders>
              <w:top w:val="nil"/>
              <w:left w:val="nil"/>
              <w:bottom w:val="nil"/>
              <w:right w:val="nil"/>
            </w:tcBorders>
          </w:tcPr>
          <w:p w14:paraId="34680FBB" w14:textId="77777777" w:rsidR="0078772E" w:rsidRPr="00F01347" w:rsidRDefault="0078772E" w:rsidP="0078772E">
            <w:pPr>
              <w:pStyle w:val="texto0"/>
              <w:spacing w:line="236" w:lineRule="exact"/>
              <w:ind w:firstLine="0"/>
              <w:rPr>
                <w:rFonts w:ascii="Verdana" w:hAnsi="Verdana"/>
                <w:sz w:val="16"/>
                <w:szCs w:val="16"/>
              </w:rPr>
            </w:pPr>
            <w:r w:rsidRPr="00F01347">
              <w:rPr>
                <w:rFonts w:ascii="Verdana" w:hAnsi="Verdana"/>
                <w:sz w:val="16"/>
                <w:szCs w:val="16"/>
              </w:rPr>
              <w:lastRenderedPageBreak/>
              <w:t>La espectrometría de absorción atómica se basa en la capacidad de los átomos para absorber la luz a una longitud de onda específica para cada elemento. Cuando el haz de luz pasa a través de la nube de átomos, ésta es absorbida selectivamente.</w:t>
            </w:r>
          </w:p>
        </w:tc>
        <w:tc>
          <w:tcPr>
            <w:tcW w:w="4675" w:type="dxa"/>
            <w:tcBorders>
              <w:top w:val="nil"/>
              <w:left w:val="nil"/>
              <w:bottom w:val="nil"/>
              <w:right w:val="nil"/>
            </w:tcBorders>
          </w:tcPr>
          <w:p w14:paraId="67DE32EC" w14:textId="0876C9FA"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Atomic absorption spectrometry is based on the ability of atoms to absorb light at a specific wavelength for each element. When the light beam passes through the cloud of atoms, it is selectively absorbed.</w:t>
            </w:r>
          </w:p>
        </w:tc>
      </w:tr>
      <w:tr w:rsidR="0078772E" w:rsidRPr="00F01347" w14:paraId="3AB7040E" w14:textId="146510C4" w:rsidTr="00D02A88">
        <w:tc>
          <w:tcPr>
            <w:tcW w:w="4675" w:type="dxa"/>
            <w:tcBorders>
              <w:top w:val="nil"/>
              <w:left w:val="nil"/>
              <w:bottom w:val="nil"/>
              <w:right w:val="nil"/>
            </w:tcBorders>
          </w:tcPr>
          <w:p w14:paraId="30049438" w14:textId="77777777" w:rsidR="0078772E" w:rsidRPr="00F01347" w:rsidRDefault="0078772E" w:rsidP="0078772E">
            <w:pPr>
              <w:pStyle w:val="texto0"/>
              <w:spacing w:line="236" w:lineRule="exact"/>
              <w:ind w:firstLine="0"/>
              <w:rPr>
                <w:rFonts w:ascii="Verdana" w:hAnsi="Verdana"/>
                <w:sz w:val="16"/>
                <w:szCs w:val="16"/>
              </w:rPr>
            </w:pPr>
            <w:r w:rsidRPr="00F01347">
              <w:rPr>
                <w:rFonts w:ascii="Verdana" w:hAnsi="Verdana"/>
                <w:sz w:val="16"/>
                <w:szCs w:val="16"/>
              </w:rPr>
              <w:t>La concentración de un elemento en una muestra se determina comparando la absorbancia de la muestra con la absorbancia de disoluciones de calibración.</w:t>
            </w:r>
          </w:p>
        </w:tc>
        <w:tc>
          <w:tcPr>
            <w:tcW w:w="4675" w:type="dxa"/>
            <w:tcBorders>
              <w:top w:val="nil"/>
              <w:left w:val="nil"/>
              <w:bottom w:val="nil"/>
              <w:right w:val="nil"/>
            </w:tcBorders>
          </w:tcPr>
          <w:p w14:paraId="0440E754" w14:textId="502F282D" w:rsidR="0078772E" w:rsidRPr="00F01347" w:rsidRDefault="0078772E" w:rsidP="0078772E">
            <w:pPr>
              <w:pStyle w:val="texto0"/>
              <w:spacing w:line="236" w:lineRule="exact"/>
              <w:ind w:firstLine="0"/>
              <w:rPr>
                <w:rFonts w:ascii="Verdana" w:hAnsi="Verdana"/>
                <w:sz w:val="16"/>
                <w:szCs w:val="16"/>
                <w:lang w:val="en-US"/>
              </w:rPr>
            </w:pPr>
            <w:r w:rsidRPr="00F01347">
              <w:rPr>
                <w:rFonts w:ascii="Verdana" w:hAnsi="Verdana"/>
                <w:sz w:val="16"/>
                <w:szCs w:val="16"/>
                <w:lang w:val="en-US"/>
              </w:rPr>
              <w:t>The concentration of an element in a sample is determined by comparing the absorbance of the sample with the absorbance of calibration solutions.</w:t>
            </w:r>
          </w:p>
        </w:tc>
      </w:tr>
      <w:tr w:rsidR="0078772E" w:rsidRPr="00F01347" w14:paraId="5D134E0B" w14:textId="666F0591" w:rsidTr="00D02A88">
        <w:tc>
          <w:tcPr>
            <w:tcW w:w="4675" w:type="dxa"/>
            <w:tcBorders>
              <w:top w:val="nil"/>
              <w:left w:val="nil"/>
              <w:bottom w:val="nil"/>
              <w:right w:val="nil"/>
            </w:tcBorders>
          </w:tcPr>
          <w:p w14:paraId="1A237384" w14:textId="77777777" w:rsidR="0078772E" w:rsidRPr="00F01347" w:rsidRDefault="0078772E" w:rsidP="0078772E">
            <w:pPr>
              <w:pStyle w:val="texto0"/>
              <w:spacing w:line="224" w:lineRule="exact"/>
              <w:ind w:firstLine="0"/>
              <w:rPr>
                <w:rFonts w:ascii="Verdana" w:hAnsi="Verdana"/>
                <w:b/>
                <w:sz w:val="16"/>
                <w:szCs w:val="16"/>
              </w:rPr>
            </w:pPr>
            <w:r w:rsidRPr="00F01347">
              <w:rPr>
                <w:rFonts w:ascii="Verdana" w:hAnsi="Verdana"/>
                <w:b/>
                <w:sz w:val="16"/>
                <w:szCs w:val="16"/>
              </w:rPr>
              <w:t>B.4.1.3 Alcance y aplicación</w:t>
            </w:r>
          </w:p>
        </w:tc>
        <w:tc>
          <w:tcPr>
            <w:tcW w:w="4675" w:type="dxa"/>
            <w:tcBorders>
              <w:top w:val="nil"/>
              <w:left w:val="nil"/>
              <w:bottom w:val="nil"/>
              <w:right w:val="nil"/>
            </w:tcBorders>
          </w:tcPr>
          <w:p w14:paraId="4C3589A1" w14:textId="3C253491"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B.4.1.3 Scope and application</w:t>
            </w:r>
          </w:p>
        </w:tc>
      </w:tr>
      <w:tr w:rsidR="0078772E" w:rsidRPr="00F01347" w14:paraId="1CB3084C" w14:textId="1C0258EA" w:rsidTr="00D02A88">
        <w:tc>
          <w:tcPr>
            <w:tcW w:w="4675" w:type="dxa"/>
            <w:tcBorders>
              <w:top w:val="nil"/>
              <w:left w:val="nil"/>
              <w:bottom w:val="nil"/>
              <w:right w:val="nil"/>
            </w:tcBorders>
          </w:tcPr>
          <w:p w14:paraId="48A5D396"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sz w:val="16"/>
                <w:szCs w:val="16"/>
              </w:rPr>
              <w:t>El método descrito es un procedimiento para la determinación de niveles trazas de plata total (Ag) y aluminio (Al) en agua de uso y consumo humano proveniente de sistemas de abastecimiento utilizando la espectrometría de absorción atómica con atomización electrotérmica en horno de grafito.</w:t>
            </w:r>
          </w:p>
        </w:tc>
        <w:tc>
          <w:tcPr>
            <w:tcW w:w="4675" w:type="dxa"/>
            <w:tcBorders>
              <w:top w:val="nil"/>
              <w:left w:val="nil"/>
              <w:bottom w:val="nil"/>
              <w:right w:val="nil"/>
            </w:tcBorders>
          </w:tcPr>
          <w:p w14:paraId="2119CB52" w14:textId="7A5E7FEE" w:rsidR="0078772E" w:rsidRPr="00F01347" w:rsidRDefault="0078772E" w:rsidP="0078772E">
            <w:pPr>
              <w:pStyle w:val="texto0"/>
              <w:spacing w:line="224" w:lineRule="exact"/>
              <w:ind w:firstLine="0"/>
              <w:rPr>
                <w:rFonts w:ascii="Verdana" w:hAnsi="Verdana"/>
                <w:sz w:val="16"/>
                <w:szCs w:val="16"/>
                <w:lang w:val="en-US"/>
              </w:rPr>
            </w:pPr>
            <w:r w:rsidRPr="00F01347">
              <w:rPr>
                <w:rFonts w:ascii="Verdana" w:hAnsi="Verdana"/>
                <w:sz w:val="16"/>
                <w:szCs w:val="16"/>
                <w:lang w:val="en-US"/>
              </w:rPr>
              <w:t>The method described is a procedure for determining trace levels of total silver (Ag) and aluminum (Al) in water for human use and consumption from supply systems using atomic absorption spectrometry with electrothermal atomization in a graphite furnace.</w:t>
            </w:r>
          </w:p>
        </w:tc>
      </w:tr>
      <w:tr w:rsidR="0078772E" w:rsidRPr="00F01347" w14:paraId="34EA32B3" w14:textId="4E28D23F" w:rsidTr="00D02A88">
        <w:tc>
          <w:tcPr>
            <w:tcW w:w="4675" w:type="dxa"/>
            <w:tcBorders>
              <w:top w:val="nil"/>
              <w:left w:val="nil"/>
              <w:bottom w:val="nil"/>
              <w:right w:val="nil"/>
            </w:tcBorders>
          </w:tcPr>
          <w:p w14:paraId="1B52072E"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sz w:val="16"/>
                <w:szCs w:val="16"/>
              </w:rPr>
              <w:t>Este método es aplicable también para la determinación de bajas concentraciones de Arsénico (As), Cadmio (Cd), Cobalto (Co), Cromo (Cr), Cobre (Cu), Fierro (Fe), Manganeso (Mn), Molibdeno (Mo), Níquel (Ni), Plomo (Pb), Antimonio (Sb), Selenio (Se), Talio (Tl), Vanadio (V) y Zinc, para agua de uso y consumo humano proveniente de sistemas de abastecimiento, así como para agua superficial y subterránea, sin embargo, este documento se refiere exclusivamente para la determinación de plata total y aluminio en agua de uso y consumo humano proveniente de sistemas de abastecimiento, por lo que para la determinación de otros elementos y en otras matrices deberán de realizarse las adecuaciones necesarias.</w:t>
            </w:r>
          </w:p>
        </w:tc>
        <w:tc>
          <w:tcPr>
            <w:tcW w:w="4675" w:type="dxa"/>
            <w:tcBorders>
              <w:top w:val="nil"/>
              <w:left w:val="nil"/>
              <w:bottom w:val="nil"/>
              <w:right w:val="nil"/>
            </w:tcBorders>
          </w:tcPr>
          <w:p w14:paraId="0F1686DE" w14:textId="66764369" w:rsidR="0078772E" w:rsidRPr="00F01347" w:rsidRDefault="0078772E" w:rsidP="0078772E">
            <w:pPr>
              <w:pStyle w:val="texto0"/>
              <w:spacing w:line="224" w:lineRule="exact"/>
              <w:ind w:firstLine="0"/>
              <w:rPr>
                <w:rFonts w:ascii="Verdana" w:hAnsi="Verdana"/>
                <w:sz w:val="16"/>
                <w:szCs w:val="16"/>
                <w:lang w:val="en-US"/>
              </w:rPr>
            </w:pPr>
            <w:r w:rsidRPr="00F01347">
              <w:rPr>
                <w:rFonts w:ascii="Verdana" w:hAnsi="Verdana"/>
                <w:sz w:val="16"/>
                <w:szCs w:val="16"/>
                <w:lang w:val="en-US"/>
              </w:rPr>
              <w:t>This method is also applicable for the determination of low concentrations of Arsenic (As), Cadmium (Cd), Cobalt (Co), Chromium (Cr), Copper (Cu), Iron (Fe), Manganese (Mn), Molybdenum (Mo</w:t>
            </w:r>
            <w:r w:rsidR="00913802" w:rsidRPr="00F01347">
              <w:rPr>
                <w:rFonts w:ascii="Verdana" w:hAnsi="Verdana"/>
                <w:sz w:val="16"/>
                <w:szCs w:val="16"/>
                <w:lang w:val="en-US"/>
              </w:rPr>
              <w:t>)</w:t>
            </w:r>
            <w:r w:rsidRPr="00F01347">
              <w:rPr>
                <w:rFonts w:ascii="Verdana" w:hAnsi="Verdana"/>
                <w:sz w:val="16"/>
                <w:szCs w:val="16"/>
                <w:lang w:val="en-US"/>
              </w:rPr>
              <w:t>, Nickel (Ni), Lead (Pb), Antimony (Sb), Selenium (Se), Thallium (Tl), Vanadium (V) and Zinc, for water for human use and consumption from supply systems, as well as for surface and underground water, however, this document refers exclusively to the determination of total silver and aluminum in water for human use and consumption from supply systems, so for the determination of other elements and in other matrices they must be carried out</w:t>
            </w:r>
            <w:r w:rsidR="003E1BA9" w:rsidRPr="00F01347">
              <w:rPr>
                <w:rFonts w:ascii="Verdana" w:hAnsi="Verdana"/>
                <w:sz w:val="16"/>
                <w:szCs w:val="16"/>
                <w:lang w:val="en-US"/>
              </w:rPr>
              <w:t>.</w:t>
            </w:r>
            <w:r w:rsidRPr="00F01347">
              <w:rPr>
                <w:rFonts w:ascii="Verdana" w:hAnsi="Verdana"/>
                <w:sz w:val="16"/>
                <w:szCs w:val="16"/>
                <w:lang w:val="en-US"/>
              </w:rPr>
              <w:t xml:space="preserve"> the necessary adjustments.</w:t>
            </w:r>
          </w:p>
        </w:tc>
      </w:tr>
      <w:tr w:rsidR="0078772E" w:rsidRPr="00F01347" w14:paraId="19643CEE" w14:textId="30F77DB9" w:rsidTr="00D02A88">
        <w:tc>
          <w:tcPr>
            <w:tcW w:w="4675" w:type="dxa"/>
            <w:tcBorders>
              <w:top w:val="nil"/>
              <w:left w:val="nil"/>
              <w:bottom w:val="nil"/>
              <w:right w:val="nil"/>
            </w:tcBorders>
          </w:tcPr>
          <w:p w14:paraId="17A7BF57" w14:textId="77777777" w:rsidR="0078772E" w:rsidRPr="00F01347" w:rsidRDefault="0078772E" w:rsidP="0078772E">
            <w:pPr>
              <w:pStyle w:val="texto0"/>
              <w:spacing w:line="224" w:lineRule="exact"/>
              <w:ind w:firstLine="0"/>
              <w:rPr>
                <w:rFonts w:ascii="Verdana" w:hAnsi="Verdana"/>
                <w:b/>
                <w:sz w:val="16"/>
                <w:szCs w:val="16"/>
              </w:rPr>
            </w:pPr>
            <w:r w:rsidRPr="00F01347">
              <w:rPr>
                <w:rFonts w:ascii="Verdana" w:hAnsi="Verdana"/>
                <w:b/>
                <w:sz w:val="16"/>
                <w:szCs w:val="16"/>
              </w:rPr>
              <w:t>B.4.1.4 Equipos y materiales</w:t>
            </w:r>
          </w:p>
        </w:tc>
        <w:tc>
          <w:tcPr>
            <w:tcW w:w="4675" w:type="dxa"/>
            <w:tcBorders>
              <w:top w:val="nil"/>
              <w:left w:val="nil"/>
              <w:bottom w:val="nil"/>
              <w:right w:val="nil"/>
            </w:tcBorders>
          </w:tcPr>
          <w:p w14:paraId="219EED4A" w14:textId="4CB193C4"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B.4.1.4 Equipment and materials</w:t>
            </w:r>
          </w:p>
        </w:tc>
      </w:tr>
      <w:tr w:rsidR="0078772E" w:rsidRPr="00F01347" w14:paraId="61B17E44" w14:textId="775BCFE3" w:rsidTr="00D02A88">
        <w:tc>
          <w:tcPr>
            <w:tcW w:w="4675" w:type="dxa"/>
            <w:tcBorders>
              <w:top w:val="nil"/>
              <w:left w:val="nil"/>
              <w:bottom w:val="nil"/>
              <w:right w:val="nil"/>
            </w:tcBorders>
          </w:tcPr>
          <w:p w14:paraId="35824583"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sz w:val="16"/>
                <w:szCs w:val="16"/>
              </w:rPr>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Borders>
              <w:top w:val="nil"/>
              <w:left w:val="nil"/>
              <w:bottom w:val="nil"/>
              <w:right w:val="nil"/>
            </w:tcBorders>
          </w:tcPr>
          <w:p w14:paraId="18432CCE" w14:textId="537E9A1F" w:rsidR="0078772E" w:rsidRPr="00F01347" w:rsidRDefault="0078772E" w:rsidP="0078772E">
            <w:pPr>
              <w:pStyle w:val="texto0"/>
              <w:spacing w:line="224" w:lineRule="exact"/>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78772E" w:rsidRPr="00F01347" w14:paraId="20FED7E8" w14:textId="373F5052" w:rsidTr="00D02A88">
        <w:tc>
          <w:tcPr>
            <w:tcW w:w="4675" w:type="dxa"/>
            <w:tcBorders>
              <w:top w:val="nil"/>
              <w:left w:val="nil"/>
              <w:bottom w:val="nil"/>
              <w:right w:val="nil"/>
            </w:tcBorders>
          </w:tcPr>
          <w:p w14:paraId="7145E213"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sz w:val="16"/>
                <w:szCs w:val="16"/>
              </w:rPr>
              <w:t xml:space="preserve">El límite de detección depende de la matriz de la </w:t>
            </w:r>
            <w:proofErr w:type="gramStart"/>
            <w:r w:rsidRPr="00F01347">
              <w:rPr>
                <w:rFonts w:ascii="Verdana" w:hAnsi="Verdana"/>
                <w:sz w:val="16"/>
                <w:szCs w:val="16"/>
              </w:rPr>
              <w:t>muestra</w:t>
            </w:r>
            <w:proofErr w:type="gramEnd"/>
            <w:r w:rsidRPr="00F01347">
              <w:rPr>
                <w:rFonts w:ascii="Verdana" w:hAnsi="Verdana"/>
                <w:sz w:val="16"/>
                <w:szCs w:val="16"/>
              </w:rPr>
              <w:t xml:space="preserve"> así como del equipo, el tipo de atomizador y el uso de modificadores químicos. Para muestras de agua con una matriz simple (concentración baja de sólidos y partículas disueltas), los límites de detección del método estarán cerca de los límites de detección del equipo.</w:t>
            </w:r>
          </w:p>
        </w:tc>
        <w:tc>
          <w:tcPr>
            <w:tcW w:w="4675" w:type="dxa"/>
            <w:tcBorders>
              <w:top w:val="nil"/>
              <w:left w:val="nil"/>
              <w:bottom w:val="nil"/>
              <w:right w:val="nil"/>
            </w:tcBorders>
          </w:tcPr>
          <w:p w14:paraId="12F93248" w14:textId="3AEB81E3" w:rsidR="0078772E" w:rsidRPr="00F01347" w:rsidRDefault="0078772E" w:rsidP="0078772E">
            <w:pPr>
              <w:pStyle w:val="texto0"/>
              <w:spacing w:line="224" w:lineRule="exact"/>
              <w:ind w:firstLine="0"/>
              <w:rPr>
                <w:rFonts w:ascii="Verdana" w:hAnsi="Verdana"/>
                <w:sz w:val="16"/>
                <w:szCs w:val="16"/>
                <w:lang w:val="en-US"/>
              </w:rPr>
            </w:pPr>
            <w:r w:rsidRPr="00F01347">
              <w:rPr>
                <w:rFonts w:ascii="Verdana" w:hAnsi="Verdana"/>
                <w:sz w:val="16"/>
                <w:szCs w:val="16"/>
                <w:lang w:val="en-US"/>
              </w:rPr>
              <w:t>The detection limit depends on the sample matrix as well as the equipment, type of atomizer, and use of chemical modifiers. For water samples with a simple matrix (low concentration of solids and dissolved particles), the detection limits of the method will be close to the equipment detection limits.</w:t>
            </w:r>
          </w:p>
        </w:tc>
      </w:tr>
      <w:tr w:rsidR="0078772E" w:rsidRPr="00F01347" w14:paraId="01C935C4" w14:textId="43B6622B" w:rsidTr="00D02A88">
        <w:tc>
          <w:tcPr>
            <w:tcW w:w="4675" w:type="dxa"/>
            <w:tcBorders>
              <w:top w:val="nil"/>
              <w:left w:val="nil"/>
              <w:bottom w:val="nil"/>
              <w:right w:val="nil"/>
            </w:tcBorders>
          </w:tcPr>
          <w:p w14:paraId="6BADB36C"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 xml:space="preserve">Balanza analítica. </w:t>
            </w:r>
            <w:r w:rsidRPr="00F01347">
              <w:rPr>
                <w:rFonts w:ascii="Verdana" w:hAnsi="Verdana"/>
                <w:sz w:val="16"/>
                <w:szCs w:val="16"/>
              </w:rPr>
              <w:t>Con sensibilidad de 0.1mg</w:t>
            </w:r>
          </w:p>
        </w:tc>
        <w:tc>
          <w:tcPr>
            <w:tcW w:w="4675" w:type="dxa"/>
            <w:tcBorders>
              <w:top w:val="nil"/>
              <w:left w:val="nil"/>
              <w:bottom w:val="nil"/>
              <w:right w:val="nil"/>
            </w:tcBorders>
          </w:tcPr>
          <w:p w14:paraId="46E0F75E" w14:textId="77E2A725"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Analytical balance. </w:t>
            </w:r>
            <w:r w:rsidRPr="00F01347">
              <w:rPr>
                <w:rFonts w:ascii="Verdana" w:hAnsi="Verdana"/>
                <w:sz w:val="16"/>
                <w:szCs w:val="16"/>
                <w:lang w:val="en-US"/>
              </w:rPr>
              <w:t>With sensitivity of 0.1mg</w:t>
            </w:r>
          </w:p>
        </w:tc>
      </w:tr>
      <w:tr w:rsidR="0078772E" w:rsidRPr="00F01347" w14:paraId="371D018A" w14:textId="2856C75E" w:rsidTr="00D02A88">
        <w:tc>
          <w:tcPr>
            <w:tcW w:w="4675" w:type="dxa"/>
            <w:tcBorders>
              <w:top w:val="nil"/>
              <w:left w:val="nil"/>
              <w:bottom w:val="nil"/>
              <w:right w:val="nil"/>
            </w:tcBorders>
          </w:tcPr>
          <w:p w14:paraId="1F2059AD"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Centrífuga de laboratorio</w:t>
            </w:r>
            <w:r w:rsidRPr="00F01347">
              <w:rPr>
                <w:rFonts w:ascii="Verdana" w:hAnsi="Verdana"/>
                <w:sz w:val="16"/>
                <w:szCs w:val="16"/>
              </w:rPr>
              <w:t>. Capaz de mantener 1600 rpm</w:t>
            </w:r>
          </w:p>
        </w:tc>
        <w:tc>
          <w:tcPr>
            <w:tcW w:w="4675" w:type="dxa"/>
            <w:tcBorders>
              <w:top w:val="nil"/>
              <w:left w:val="nil"/>
              <w:bottom w:val="nil"/>
              <w:right w:val="nil"/>
            </w:tcBorders>
          </w:tcPr>
          <w:p w14:paraId="242B2F4D" w14:textId="715B7F1F"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Laboratory centrifuge</w:t>
            </w:r>
            <w:r w:rsidR="003E1BA9" w:rsidRPr="00F01347">
              <w:rPr>
                <w:rFonts w:ascii="Verdana" w:hAnsi="Verdana"/>
                <w:b/>
                <w:sz w:val="16"/>
                <w:szCs w:val="16"/>
                <w:lang w:val="en-US"/>
              </w:rPr>
              <w:t>.</w:t>
            </w:r>
            <w:r w:rsidRPr="00F01347">
              <w:rPr>
                <w:rFonts w:ascii="Verdana" w:hAnsi="Verdana"/>
                <w:sz w:val="16"/>
                <w:szCs w:val="16"/>
                <w:lang w:val="en-US"/>
              </w:rPr>
              <w:t xml:space="preserve"> Able to maintain 1600 rpm</w:t>
            </w:r>
          </w:p>
        </w:tc>
      </w:tr>
      <w:tr w:rsidR="0078772E" w:rsidRPr="00F01347" w14:paraId="5EE45684" w14:textId="49212AE9" w:rsidTr="00D02A88">
        <w:tc>
          <w:tcPr>
            <w:tcW w:w="4675" w:type="dxa"/>
            <w:tcBorders>
              <w:top w:val="nil"/>
              <w:left w:val="nil"/>
              <w:bottom w:val="nil"/>
              <w:right w:val="nil"/>
            </w:tcBorders>
          </w:tcPr>
          <w:p w14:paraId="6ED0E4BF"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Embudos de filtración</w:t>
            </w:r>
            <w:r w:rsidRPr="00F01347">
              <w:rPr>
                <w:rFonts w:ascii="Verdana" w:hAnsi="Verdana"/>
                <w:sz w:val="16"/>
                <w:szCs w:val="16"/>
              </w:rPr>
              <w:t>. De diferentes capacidades: de polietileno, polipropileno, PTFE o vidrio.</w:t>
            </w:r>
          </w:p>
        </w:tc>
        <w:tc>
          <w:tcPr>
            <w:tcW w:w="4675" w:type="dxa"/>
            <w:tcBorders>
              <w:top w:val="nil"/>
              <w:left w:val="nil"/>
              <w:bottom w:val="nil"/>
              <w:right w:val="nil"/>
            </w:tcBorders>
          </w:tcPr>
          <w:p w14:paraId="187804B0" w14:textId="5E2948C5"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Filtration funnels</w:t>
            </w:r>
            <w:r w:rsidR="003E1BA9" w:rsidRPr="00F01347">
              <w:rPr>
                <w:rFonts w:ascii="Verdana" w:hAnsi="Verdana"/>
                <w:b/>
                <w:sz w:val="16"/>
                <w:szCs w:val="16"/>
                <w:lang w:val="en-US"/>
              </w:rPr>
              <w:t>.</w:t>
            </w:r>
            <w:r w:rsidRPr="00F01347">
              <w:rPr>
                <w:rFonts w:ascii="Verdana" w:hAnsi="Verdana"/>
                <w:sz w:val="16"/>
                <w:szCs w:val="16"/>
                <w:lang w:val="en-US"/>
              </w:rPr>
              <w:t xml:space="preserve"> Of different capacities: polyethylene, polypropylene, </w:t>
            </w:r>
            <w:proofErr w:type="gramStart"/>
            <w:r w:rsidRPr="00F01347">
              <w:rPr>
                <w:rFonts w:ascii="Verdana" w:hAnsi="Verdana"/>
                <w:sz w:val="16"/>
                <w:szCs w:val="16"/>
                <w:lang w:val="en-US"/>
              </w:rPr>
              <w:t>PTFE</w:t>
            </w:r>
            <w:proofErr w:type="gramEnd"/>
            <w:r w:rsidRPr="00F01347">
              <w:rPr>
                <w:rFonts w:ascii="Verdana" w:hAnsi="Verdana"/>
                <w:sz w:val="16"/>
                <w:szCs w:val="16"/>
                <w:lang w:val="en-US"/>
              </w:rPr>
              <w:t xml:space="preserve"> or glass.</w:t>
            </w:r>
          </w:p>
        </w:tc>
      </w:tr>
      <w:tr w:rsidR="0078772E" w:rsidRPr="00F01347" w14:paraId="0E7D2BBB" w14:textId="6EA2B727" w:rsidTr="00D02A88">
        <w:tc>
          <w:tcPr>
            <w:tcW w:w="4675" w:type="dxa"/>
            <w:tcBorders>
              <w:top w:val="nil"/>
              <w:left w:val="nil"/>
              <w:bottom w:val="nil"/>
              <w:right w:val="nil"/>
            </w:tcBorders>
          </w:tcPr>
          <w:p w14:paraId="78D7EBC7"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Espectrómetro de absorción atómica con horno de grafito.</w:t>
            </w:r>
            <w:r w:rsidRPr="00F01347">
              <w:rPr>
                <w:rFonts w:ascii="Verdana" w:hAnsi="Verdana"/>
                <w:sz w:val="16"/>
                <w:szCs w:val="16"/>
              </w:rPr>
              <w:t xml:space="preserve"> Equipado con sistema de corrección de fondo y </w:t>
            </w:r>
            <w:proofErr w:type="spellStart"/>
            <w:r w:rsidRPr="00F01347">
              <w:rPr>
                <w:rFonts w:ascii="Verdana" w:hAnsi="Verdana"/>
                <w:sz w:val="16"/>
                <w:szCs w:val="16"/>
              </w:rPr>
              <w:t>automuestreador</w:t>
            </w:r>
            <w:proofErr w:type="spellEnd"/>
            <w:r w:rsidRPr="00F01347">
              <w:rPr>
                <w:rFonts w:ascii="Verdana" w:hAnsi="Verdana"/>
                <w:sz w:val="16"/>
                <w:szCs w:val="16"/>
              </w:rPr>
              <w:t>.</w:t>
            </w:r>
          </w:p>
        </w:tc>
        <w:tc>
          <w:tcPr>
            <w:tcW w:w="4675" w:type="dxa"/>
            <w:tcBorders>
              <w:top w:val="nil"/>
              <w:left w:val="nil"/>
              <w:bottom w:val="nil"/>
              <w:right w:val="nil"/>
            </w:tcBorders>
          </w:tcPr>
          <w:p w14:paraId="73594D13" w14:textId="6440918C"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Atomic absorption spectrometer with graphite furnace. </w:t>
            </w:r>
            <w:r w:rsidRPr="00F01347">
              <w:rPr>
                <w:rFonts w:ascii="Verdana" w:hAnsi="Verdana"/>
                <w:sz w:val="16"/>
                <w:szCs w:val="16"/>
                <w:lang w:val="en-US"/>
              </w:rPr>
              <w:t>Equipped with background correction system and autosampler</w:t>
            </w:r>
            <w:r w:rsidR="003E1BA9" w:rsidRPr="00F01347">
              <w:rPr>
                <w:rFonts w:ascii="Verdana" w:hAnsi="Verdana"/>
                <w:sz w:val="16"/>
                <w:szCs w:val="16"/>
                <w:lang w:val="en-US"/>
              </w:rPr>
              <w:t>.</w:t>
            </w:r>
          </w:p>
        </w:tc>
      </w:tr>
      <w:tr w:rsidR="0078772E" w:rsidRPr="00F01347" w14:paraId="614412BF" w14:textId="649A0D2F" w:rsidTr="00D02A88">
        <w:tc>
          <w:tcPr>
            <w:tcW w:w="4675" w:type="dxa"/>
            <w:tcBorders>
              <w:top w:val="nil"/>
              <w:left w:val="nil"/>
              <w:bottom w:val="nil"/>
              <w:right w:val="nil"/>
            </w:tcBorders>
          </w:tcPr>
          <w:p w14:paraId="730350EA"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lastRenderedPageBreak/>
              <w:t>Filtros.</w:t>
            </w:r>
            <w:r w:rsidRPr="00F01347">
              <w:rPr>
                <w:rFonts w:ascii="Verdana" w:hAnsi="Verdana"/>
                <w:sz w:val="16"/>
                <w:szCs w:val="16"/>
              </w:rPr>
              <w:t xml:space="preserve"> Con tamaño de poro de 0.45 µm</w:t>
            </w:r>
          </w:p>
        </w:tc>
        <w:tc>
          <w:tcPr>
            <w:tcW w:w="4675" w:type="dxa"/>
            <w:tcBorders>
              <w:top w:val="nil"/>
              <w:left w:val="nil"/>
              <w:bottom w:val="nil"/>
              <w:right w:val="nil"/>
            </w:tcBorders>
          </w:tcPr>
          <w:p w14:paraId="04F8A75C" w14:textId="11CFB703"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Filters. </w:t>
            </w:r>
            <w:r w:rsidRPr="00F01347">
              <w:rPr>
                <w:rFonts w:ascii="Verdana" w:hAnsi="Verdana"/>
                <w:sz w:val="16"/>
                <w:szCs w:val="16"/>
                <w:lang w:val="en-US"/>
              </w:rPr>
              <w:t>With pore size of 0.45 µm</w:t>
            </w:r>
          </w:p>
        </w:tc>
      </w:tr>
      <w:tr w:rsidR="0078772E" w:rsidRPr="00F01347" w14:paraId="3311691E" w14:textId="69D49AB8" w:rsidTr="00D02A88">
        <w:tc>
          <w:tcPr>
            <w:tcW w:w="4675" w:type="dxa"/>
            <w:tcBorders>
              <w:top w:val="nil"/>
              <w:left w:val="nil"/>
              <w:bottom w:val="nil"/>
              <w:right w:val="nil"/>
            </w:tcBorders>
          </w:tcPr>
          <w:p w14:paraId="0B901F67"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Fuente de radiofrecuencia</w:t>
            </w:r>
            <w:r w:rsidRPr="00F01347">
              <w:rPr>
                <w:rFonts w:ascii="Verdana" w:hAnsi="Verdana"/>
                <w:sz w:val="16"/>
                <w:szCs w:val="16"/>
              </w:rPr>
              <w:t>. En caso de usar LDE.</w:t>
            </w:r>
          </w:p>
        </w:tc>
        <w:tc>
          <w:tcPr>
            <w:tcW w:w="4675" w:type="dxa"/>
            <w:tcBorders>
              <w:top w:val="nil"/>
              <w:left w:val="nil"/>
              <w:bottom w:val="nil"/>
              <w:right w:val="nil"/>
            </w:tcBorders>
          </w:tcPr>
          <w:p w14:paraId="1C406162" w14:textId="0E0731ED"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Radio frequency source</w:t>
            </w:r>
            <w:r w:rsidR="003E1BA9" w:rsidRPr="00F01347">
              <w:rPr>
                <w:rFonts w:ascii="Verdana" w:hAnsi="Verdana"/>
                <w:b/>
                <w:sz w:val="16"/>
                <w:szCs w:val="16"/>
                <w:lang w:val="en-US"/>
              </w:rPr>
              <w:t>.</w:t>
            </w:r>
            <w:r w:rsidRPr="00F01347">
              <w:rPr>
                <w:rFonts w:ascii="Verdana" w:hAnsi="Verdana"/>
                <w:sz w:val="16"/>
                <w:szCs w:val="16"/>
                <w:lang w:val="en-US"/>
              </w:rPr>
              <w:t xml:space="preserve"> In case of using LDE.</w:t>
            </w:r>
          </w:p>
        </w:tc>
      </w:tr>
      <w:tr w:rsidR="0078772E" w:rsidRPr="00F01347" w14:paraId="4B6667F9" w14:textId="62601464" w:rsidTr="00D02A88">
        <w:tc>
          <w:tcPr>
            <w:tcW w:w="4675" w:type="dxa"/>
            <w:tcBorders>
              <w:top w:val="nil"/>
              <w:left w:val="nil"/>
              <w:bottom w:val="nil"/>
              <w:right w:val="nil"/>
            </w:tcBorders>
          </w:tcPr>
          <w:p w14:paraId="3DFA6E4D"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Horno de microondas.</w:t>
            </w:r>
            <w:r w:rsidRPr="00F01347">
              <w:rPr>
                <w:rFonts w:ascii="Verdana" w:hAnsi="Verdana"/>
                <w:sz w:val="16"/>
                <w:szCs w:val="16"/>
              </w:rPr>
              <w:t xml:space="preserve"> O sistema de reflujo o sistema de digestión abierto.</w:t>
            </w:r>
          </w:p>
        </w:tc>
        <w:tc>
          <w:tcPr>
            <w:tcW w:w="4675" w:type="dxa"/>
            <w:tcBorders>
              <w:top w:val="nil"/>
              <w:left w:val="nil"/>
              <w:bottom w:val="nil"/>
              <w:right w:val="nil"/>
            </w:tcBorders>
          </w:tcPr>
          <w:p w14:paraId="1AFB2DBA" w14:textId="6DC0A751"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Microwave</w:t>
            </w:r>
            <w:r w:rsidR="0070748D" w:rsidRPr="00F01347">
              <w:rPr>
                <w:rFonts w:ascii="Verdana" w:hAnsi="Verdana"/>
                <w:b/>
                <w:sz w:val="16"/>
                <w:szCs w:val="16"/>
                <w:lang w:val="en-US"/>
              </w:rPr>
              <w:t xml:space="preserve"> oven</w:t>
            </w:r>
            <w:r w:rsidRPr="00F01347">
              <w:rPr>
                <w:rFonts w:ascii="Verdana" w:hAnsi="Verdana"/>
                <w:b/>
                <w:sz w:val="16"/>
                <w:szCs w:val="16"/>
                <w:lang w:val="en-US"/>
              </w:rPr>
              <w:t xml:space="preserve">. </w:t>
            </w:r>
            <w:r w:rsidRPr="00F01347">
              <w:rPr>
                <w:rFonts w:ascii="Verdana" w:hAnsi="Verdana"/>
                <w:sz w:val="16"/>
                <w:szCs w:val="16"/>
                <w:lang w:val="en-US"/>
              </w:rPr>
              <w:t>Either reflux system or open digestion system.</w:t>
            </w:r>
          </w:p>
        </w:tc>
      </w:tr>
      <w:tr w:rsidR="0078772E" w:rsidRPr="00F01347" w14:paraId="15ABCE86" w14:textId="7BC51B5C" w:rsidTr="00D02A88">
        <w:tc>
          <w:tcPr>
            <w:tcW w:w="4675" w:type="dxa"/>
            <w:tcBorders>
              <w:top w:val="nil"/>
              <w:left w:val="nil"/>
              <w:bottom w:val="nil"/>
              <w:right w:val="nil"/>
            </w:tcBorders>
          </w:tcPr>
          <w:p w14:paraId="32AF99CB"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Lámpara</w:t>
            </w:r>
            <w:r w:rsidRPr="00F01347">
              <w:rPr>
                <w:rFonts w:ascii="Verdana" w:hAnsi="Verdana"/>
                <w:sz w:val="16"/>
                <w:szCs w:val="16"/>
              </w:rPr>
              <w:t xml:space="preserve">. De cátodo hueco (LCH) y/o Lámpara </w:t>
            </w:r>
            <w:proofErr w:type="spellStart"/>
            <w:r w:rsidRPr="00F01347">
              <w:rPr>
                <w:rFonts w:ascii="Verdana" w:hAnsi="Verdana"/>
                <w:sz w:val="16"/>
                <w:szCs w:val="16"/>
              </w:rPr>
              <w:t>multi-elemento</w:t>
            </w:r>
            <w:proofErr w:type="spellEnd"/>
            <w:r w:rsidRPr="00F01347">
              <w:rPr>
                <w:rFonts w:ascii="Verdana" w:hAnsi="Verdana"/>
                <w:sz w:val="16"/>
                <w:szCs w:val="16"/>
              </w:rPr>
              <w:t xml:space="preserve"> y/o lámpara de descarga sin electrodos (LDE) de plata.</w:t>
            </w:r>
          </w:p>
        </w:tc>
        <w:tc>
          <w:tcPr>
            <w:tcW w:w="4675" w:type="dxa"/>
            <w:tcBorders>
              <w:top w:val="nil"/>
              <w:left w:val="nil"/>
              <w:bottom w:val="nil"/>
              <w:right w:val="nil"/>
            </w:tcBorders>
          </w:tcPr>
          <w:p w14:paraId="53B78C1C" w14:textId="04F6D4D6"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Lamp</w:t>
            </w:r>
            <w:r w:rsidR="003E1BA9" w:rsidRPr="00F01347">
              <w:rPr>
                <w:rFonts w:ascii="Verdana" w:hAnsi="Verdana"/>
                <w:b/>
                <w:sz w:val="16"/>
                <w:szCs w:val="16"/>
                <w:lang w:val="en-US"/>
              </w:rPr>
              <w:t>.</w:t>
            </w:r>
            <w:r w:rsidRPr="00F01347">
              <w:rPr>
                <w:rFonts w:ascii="Verdana" w:hAnsi="Verdana"/>
                <w:sz w:val="16"/>
                <w:szCs w:val="16"/>
                <w:lang w:val="en-US"/>
              </w:rPr>
              <w:t xml:space="preserve"> Hollow cathode (LCH) and/or multi-element lamp and/or silver electrodeless discharge lamp (LDE).</w:t>
            </w:r>
          </w:p>
        </w:tc>
      </w:tr>
      <w:tr w:rsidR="0078772E" w:rsidRPr="00F01347" w14:paraId="63C55240" w14:textId="0D17E4DE" w:rsidTr="00D02A88">
        <w:tc>
          <w:tcPr>
            <w:tcW w:w="4675" w:type="dxa"/>
            <w:tcBorders>
              <w:top w:val="nil"/>
              <w:left w:val="nil"/>
              <w:bottom w:val="nil"/>
              <w:right w:val="nil"/>
            </w:tcBorders>
          </w:tcPr>
          <w:p w14:paraId="7B1EB2FB" w14:textId="77777777" w:rsidR="0078772E" w:rsidRPr="00F01347" w:rsidRDefault="0078772E" w:rsidP="0078772E">
            <w:pPr>
              <w:pStyle w:val="texto0"/>
              <w:spacing w:line="224" w:lineRule="exact"/>
              <w:ind w:firstLine="0"/>
              <w:rPr>
                <w:rFonts w:ascii="Verdana" w:hAnsi="Verdana"/>
                <w:b/>
                <w:sz w:val="16"/>
                <w:szCs w:val="16"/>
              </w:rPr>
            </w:pPr>
            <w:r w:rsidRPr="00F01347">
              <w:rPr>
                <w:rFonts w:ascii="Verdana" w:hAnsi="Verdana"/>
                <w:b/>
                <w:sz w:val="16"/>
                <w:szCs w:val="16"/>
              </w:rPr>
              <w:t>Material común de laboratorio.</w:t>
            </w:r>
          </w:p>
        </w:tc>
        <w:tc>
          <w:tcPr>
            <w:tcW w:w="4675" w:type="dxa"/>
            <w:tcBorders>
              <w:top w:val="nil"/>
              <w:left w:val="nil"/>
              <w:bottom w:val="nil"/>
              <w:right w:val="nil"/>
            </w:tcBorders>
          </w:tcPr>
          <w:p w14:paraId="68B3CAB3" w14:textId="1341A905"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Common laboratory material.</w:t>
            </w:r>
          </w:p>
        </w:tc>
      </w:tr>
      <w:tr w:rsidR="0078772E" w:rsidRPr="00F01347" w14:paraId="792CAABF" w14:textId="58DF445F" w:rsidTr="00D02A88">
        <w:tc>
          <w:tcPr>
            <w:tcW w:w="4675" w:type="dxa"/>
            <w:tcBorders>
              <w:top w:val="nil"/>
              <w:left w:val="nil"/>
              <w:bottom w:val="nil"/>
              <w:right w:val="nil"/>
            </w:tcBorders>
          </w:tcPr>
          <w:p w14:paraId="23F13FE3"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Matraces volumétricos</w:t>
            </w:r>
            <w:r w:rsidRPr="00F01347">
              <w:rPr>
                <w:rFonts w:ascii="Verdana" w:hAnsi="Verdana"/>
                <w:sz w:val="16"/>
                <w:szCs w:val="16"/>
              </w:rPr>
              <w:t>. De diferentes capacidades.</w:t>
            </w:r>
          </w:p>
        </w:tc>
        <w:tc>
          <w:tcPr>
            <w:tcW w:w="4675" w:type="dxa"/>
            <w:tcBorders>
              <w:top w:val="nil"/>
              <w:left w:val="nil"/>
              <w:bottom w:val="nil"/>
              <w:right w:val="nil"/>
            </w:tcBorders>
          </w:tcPr>
          <w:p w14:paraId="084ED8D1" w14:textId="6E655E4E"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Volumetric flasks</w:t>
            </w:r>
            <w:r w:rsidR="003E1BA9" w:rsidRPr="00F01347">
              <w:rPr>
                <w:rFonts w:ascii="Verdana" w:hAnsi="Verdana"/>
                <w:b/>
                <w:sz w:val="16"/>
                <w:szCs w:val="16"/>
                <w:lang w:val="en-US"/>
              </w:rPr>
              <w:t>.</w:t>
            </w:r>
            <w:r w:rsidRPr="00F01347">
              <w:rPr>
                <w:rFonts w:ascii="Verdana" w:hAnsi="Verdana"/>
                <w:sz w:val="16"/>
                <w:szCs w:val="16"/>
                <w:lang w:val="en-US"/>
              </w:rPr>
              <w:t xml:space="preserve"> Of different capacities.</w:t>
            </w:r>
          </w:p>
        </w:tc>
      </w:tr>
      <w:tr w:rsidR="0078772E" w:rsidRPr="00F01347" w14:paraId="1B16681B" w14:textId="0A83F67F" w:rsidTr="00D02A88">
        <w:tc>
          <w:tcPr>
            <w:tcW w:w="4675" w:type="dxa"/>
            <w:tcBorders>
              <w:top w:val="nil"/>
              <w:left w:val="nil"/>
              <w:bottom w:val="nil"/>
              <w:right w:val="nil"/>
            </w:tcBorders>
          </w:tcPr>
          <w:p w14:paraId="419F65EF"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Papel filtro.</w:t>
            </w:r>
            <w:r w:rsidRPr="00F01347">
              <w:rPr>
                <w:rFonts w:ascii="Verdana" w:hAnsi="Verdana"/>
                <w:sz w:val="16"/>
                <w:szCs w:val="16"/>
              </w:rPr>
              <w:t xml:space="preserve"> De filtración media # 1, 2, 111, 43, 41, 40 etc.</w:t>
            </w:r>
          </w:p>
        </w:tc>
        <w:tc>
          <w:tcPr>
            <w:tcW w:w="4675" w:type="dxa"/>
            <w:tcBorders>
              <w:top w:val="nil"/>
              <w:left w:val="nil"/>
              <w:bottom w:val="nil"/>
              <w:right w:val="nil"/>
            </w:tcBorders>
          </w:tcPr>
          <w:p w14:paraId="03941665" w14:textId="202586FA"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Filter paper. </w:t>
            </w:r>
            <w:r w:rsidRPr="00F01347">
              <w:rPr>
                <w:rFonts w:ascii="Verdana" w:hAnsi="Verdana"/>
                <w:sz w:val="16"/>
                <w:szCs w:val="16"/>
                <w:lang w:val="en-US"/>
              </w:rPr>
              <w:t>Medium filtration # 1, 2, 111, 43, 41, 40 etc.</w:t>
            </w:r>
          </w:p>
        </w:tc>
      </w:tr>
      <w:tr w:rsidR="0078772E" w:rsidRPr="00F01347" w14:paraId="538DB133" w14:textId="06A9EAF4" w:rsidTr="00D02A88">
        <w:tc>
          <w:tcPr>
            <w:tcW w:w="4675" w:type="dxa"/>
            <w:tcBorders>
              <w:top w:val="nil"/>
              <w:left w:val="nil"/>
              <w:bottom w:val="nil"/>
              <w:right w:val="nil"/>
            </w:tcBorders>
          </w:tcPr>
          <w:p w14:paraId="45A484F6"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Pipetas de pistón (micropipetas)</w:t>
            </w:r>
            <w:r w:rsidRPr="00F01347">
              <w:rPr>
                <w:rFonts w:ascii="Verdana" w:hAnsi="Verdana"/>
                <w:sz w:val="16"/>
                <w:szCs w:val="16"/>
              </w:rPr>
              <w:t>. De diferentes capacidades.</w:t>
            </w:r>
          </w:p>
        </w:tc>
        <w:tc>
          <w:tcPr>
            <w:tcW w:w="4675" w:type="dxa"/>
            <w:tcBorders>
              <w:top w:val="nil"/>
              <w:left w:val="nil"/>
              <w:bottom w:val="nil"/>
              <w:right w:val="nil"/>
            </w:tcBorders>
          </w:tcPr>
          <w:p w14:paraId="3FA73602" w14:textId="3E4576C9"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Piston pipettes (micropipettes)</w:t>
            </w:r>
            <w:r w:rsidR="003E1BA9" w:rsidRPr="00F01347">
              <w:rPr>
                <w:rFonts w:ascii="Verdana" w:hAnsi="Verdana"/>
                <w:b/>
                <w:sz w:val="16"/>
                <w:szCs w:val="16"/>
                <w:lang w:val="en-US"/>
              </w:rPr>
              <w:t>.</w:t>
            </w:r>
            <w:r w:rsidRPr="00F01347">
              <w:rPr>
                <w:rFonts w:ascii="Verdana" w:hAnsi="Verdana"/>
                <w:sz w:val="16"/>
                <w:szCs w:val="16"/>
                <w:lang w:val="en-US"/>
              </w:rPr>
              <w:t xml:space="preserve"> Of different capacities.</w:t>
            </w:r>
          </w:p>
        </w:tc>
      </w:tr>
      <w:tr w:rsidR="0078772E" w:rsidRPr="00F01347" w14:paraId="430231BE" w14:textId="30DBAE98" w:rsidTr="00D02A88">
        <w:tc>
          <w:tcPr>
            <w:tcW w:w="4675" w:type="dxa"/>
            <w:tcBorders>
              <w:top w:val="nil"/>
              <w:left w:val="nil"/>
              <w:bottom w:val="nil"/>
              <w:right w:val="nil"/>
            </w:tcBorders>
          </w:tcPr>
          <w:p w14:paraId="7DD3D794"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Puntas de plástico</w:t>
            </w:r>
            <w:r w:rsidRPr="00F01347">
              <w:rPr>
                <w:rFonts w:ascii="Verdana" w:hAnsi="Verdana"/>
                <w:sz w:val="16"/>
                <w:szCs w:val="16"/>
              </w:rPr>
              <w:t>. Para pipetas de pistón.</w:t>
            </w:r>
          </w:p>
        </w:tc>
        <w:tc>
          <w:tcPr>
            <w:tcW w:w="4675" w:type="dxa"/>
            <w:tcBorders>
              <w:top w:val="nil"/>
              <w:left w:val="nil"/>
              <w:bottom w:val="nil"/>
              <w:right w:val="nil"/>
            </w:tcBorders>
          </w:tcPr>
          <w:p w14:paraId="76C5BEDA" w14:textId="0E02CCF9"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Plastic tips</w:t>
            </w:r>
            <w:r w:rsidR="003E1BA9" w:rsidRPr="00F01347">
              <w:rPr>
                <w:rFonts w:ascii="Verdana" w:hAnsi="Verdana"/>
                <w:b/>
                <w:sz w:val="16"/>
                <w:szCs w:val="16"/>
                <w:lang w:val="en-US"/>
              </w:rPr>
              <w:t>.</w:t>
            </w:r>
            <w:r w:rsidRPr="00F01347">
              <w:rPr>
                <w:rFonts w:ascii="Verdana" w:hAnsi="Verdana"/>
                <w:sz w:val="16"/>
                <w:szCs w:val="16"/>
                <w:lang w:val="en-US"/>
              </w:rPr>
              <w:t xml:space="preserve"> For piston pipettes.</w:t>
            </w:r>
          </w:p>
        </w:tc>
      </w:tr>
      <w:tr w:rsidR="0078772E" w:rsidRPr="00F01347" w14:paraId="6245955B" w14:textId="0424D546" w:rsidTr="00D02A88">
        <w:tc>
          <w:tcPr>
            <w:tcW w:w="4675" w:type="dxa"/>
            <w:tcBorders>
              <w:top w:val="nil"/>
              <w:left w:val="nil"/>
              <w:bottom w:val="nil"/>
              <w:right w:val="nil"/>
            </w:tcBorders>
          </w:tcPr>
          <w:p w14:paraId="463B0BEE"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Recipientes</w:t>
            </w:r>
            <w:r w:rsidRPr="00F01347">
              <w:rPr>
                <w:rFonts w:ascii="Verdana" w:hAnsi="Verdana"/>
                <w:sz w:val="16"/>
                <w:szCs w:val="16"/>
              </w:rPr>
              <w:t>. De polipropileno o PTFE.</w:t>
            </w:r>
          </w:p>
        </w:tc>
        <w:tc>
          <w:tcPr>
            <w:tcW w:w="4675" w:type="dxa"/>
            <w:tcBorders>
              <w:top w:val="nil"/>
              <w:left w:val="nil"/>
              <w:bottom w:val="nil"/>
              <w:right w:val="nil"/>
            </w:tcBorders>
          </w:tcPr>
          <w:p w14:paraId="141698A7" w14:textId="2DCCC34D"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Containers</w:t>
            </w:r>
            <w:r w:rsidR="003E1BA9" w:rsidRPr="00F01347">
              <w:rPr>
                <w:rFonts w:ascii="Verdana" w:hAnsi="Verdana"/>
                <w:b/>
                <w:sz w:val="16"/>
                <w:szCs w:val="16"/>
                <w:lang w:val="en-US"/>
              </w:rPr>
              <w:t>.</w:t>
            </w:r>
            <w:r w:rsidRPr="00F01347">
              <w:rPr>
                <w:rFonts w:ascii="Verdana" w:hAnsi="Verdana"/>
                <w:sz w:val="16"/>
                <w:szCs w:val="16"/>
                <w:lang w:val="en-US"/>
              </w:rPr>
              <w:t xml:space="preserve"> Made of polypropylene or PTFE.</w:t>
            </w:r>
          </w:p>
        </w:tc>
      </w:tr>
      <w:tr w:rsidR="0078772E" w:rsidRPr="00F01347" w14:paraId="18152CFC" w14:textId="27A78762" w:rsidTr="00D02A88">
        <w:tc>
          <w:tcPr>
            <w:tcW w:w="4675" w:type="dxa"/>
            <w:tcBorders>
              <w:top w:val="nil"/>
              <w:left w:val="nil"/>
              <w:bottom w:val="nil"/>
              <w:right w:val="nil"/>
            </w:tcBorders>
          </w:tcPr>
          <w:p w14:paraId="227FB37B"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Sistema de extracción</w:t>
            </w:r>
            <w:r w:rsidRPr="00F01347">
              <w:rPr>
                <w:rFonts w:ascii="Verdana" w:hAnsi="Verdana"/>
                <w:sz w:val="16"/>
                <w:szCs w:val="16"/>
              </w:rPr>
              <w:t>. Para eliminar el humo y los vapores que son peligrosos para la salud del analista.</w:t>
            </w:r>
          </w:p>
        </w:tc>
        <w:tc>
          <w:tcPr>
            <w:tcW w:w="4675" w:type="dxa"/>
            <w:tcBorders>
              <w:top w:val="nil"/>
              <w:left w:val="nil"/>
              <w:bottom w:val="nil"/>
              <w:right w:val="nil"/>
            </w:tcBorders>
          </w:tcPr>
          <w:p w14:paraId="61017C76" w14:textId="2BA4E6B7"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Extraction system</w:t>
            </w:r>
            <w:r w:rsidR="003E1BA9" w:rsidRPr="00F01347">
              <w:rPr>
                <w:rFonts w:ascii="Verdana" w:hAnsi="Verdana"/>
                <w:b/>
                <w:sz w:val="16"/>
                <w:szCs w:val="16"/>
                <w:lang w:val="en-US"/>
              </w:rPr>
              <w:t>.</w:t>
            </w:r>
            <w:r w:rsidRPr="00F01347">
              <w:rPr>
                <w:rFonts w:ascii="Verdana" w:hAnsi="Verdana"/>
                <w:sz w:val="16"/>
                <w:szCs w:val="16"/>
                <w:lang w:val="en-US"/>
              </w:rPr>
              <w:t xml:space="preserve"> To eliminate smoke and vapors that are dangerous to the analyst's health.</w:t>
            </w:r>
          </w:p>
        </w:tc>
      </w:tr>
      <w:tr w:rsidR="0078772E" w:rsidRPr="00F01347" w14:paraId="58733B7D" w14:textId="7CEC28EB" w:rsidTr="00D02A88">
        <w:tc>
          <w:tcPr>
            <w:tcW w:w="4675" w:type="dxa"/>
            <w:tcBorders>
              <w:top w:val="nil"/>
              <w:left w:val="nil"/>
              <w:bottom w:val="nil"/>
              <w:right w:val="nil"/>
            </w:tcBorders>
          </w:tcPr>
          <w:p w14:paraId="7F6B74F8"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Tubos de grafito</w:t>
            </w:r>
            <w:r w:rsidRPr="00F01347">
              <w:rPr>
                <w:rFonts w:ascii="Verdana" w:hAnsi="Verdana"/>
                <w:sz w:val="16"/>
                <w:szCs w:val="16"/>
              </w:rPr>
              <w:t xml:space="preserve">. Cubiertos </w:t>
            </w:r>
            <w:proofErr w:type="spellStart"/>
            <w:r w:rsidRPr="00F01347">
              <w:rPr>
                <w:rFonts w:ascii="Verdana" w:hAnsi="Verdana"/>
                <w:sz w:val="16"/>
                <w:szCs w:val="16"/>
              </w:rPr>
              <w:t>pirolíticamente</w:t>
            </w:r>
            <w:proofErr w:type="spellEnd"/>
          </w:p>
        </w:tc>
        <w:tc>
          <w:tcPr>
            <w:tcW w:w="4675" w:type="dxa"/>
            <w:tcBorders>
              <w:top w:val="nil"/>
              <w:left w:val="nil"/>
              <w:bottom w:val="nil"/>
              <w:right w:val="nil"/>
            </w:tcBorders>
          </w:tcPr>
          <w:p w14:paraId="0AEABFE0" w14:textId="0FCF7AAE"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Graphite tubes</w:t>
            </w:r>
            <w:r w:rsidR="003E1BA9" w:rsidRPr="00F01347">
              <w:rPr>
                <w:rFonts w:ascii="Verdana" w:hAnsi="Verdana"/>
                <w:b/>
                <w:sz w:val="16"/>
                <w:szCs w:val="16"/>
                <w:lang w:val="en-US"/>
              </w:rPr>
              <w:t>.</w:t>
            </w:r>
            <w:r w:rsidRPr="00F01347">
              <w:rPr>
                <w:rFonts w:ascii="Verdana" w:hAnsi="Verdana"/>
                <w:sz w:val="16"/>
                <w:szCs w:val="16"/>
                <w:lang w:val="en-US"/>
              </w:rPr>
              <w:t xml:space="preserve"> Pyrolytically covered</w:t>
            </w:r>
          </w:p>
        </w:tc>
      </w:tr>
      <w:tr w:rsidR="0078772E" w:rsidRPr="00F01347" w14:paraId="30D54FFE" w14:textId="380E7C53" w:rsidTr="00D02A88">
        <w:tc>
          <w:tcPr>
            <w:tcW w:w="4675" w:type="dxa"/>
            <w:tcBorders>
              <w:top w:val="nil"/>
              <w:left w:val="nil"/>
              <w:bottom w:val="nil"/>
              <w:right w:val="nil"/>
            </w:tcBorders>
          </w:tcPr>
          <w:p w14:paraId="57BE0BBE" w14:textId="77777777" w:rsidR="0078772E" w:rsidRPr="00F01347" w:rsidRDefault="0078772E" w:rsidP="0078772E">
            <w:pPr>
              <w:pStyle w:val="texto0"/>
              <w:spacing w:line="224" w:lineRule="exact"/>
              <w:ind w:firstLine="0"/>
              <w:rPr>
                <w:rFonts w:ascii="Verdana" w:hAnsi="Verdana"/>
                <w:b/>
                <w:sz w:val="16"/>
                <w:szCs w:val="16"/>
              </w:rPr>
            </w:pPr>
            <w:r w:rsidRPr="00F01347">
              <w:rPr>
                <w:rFonts w:ascii="Verdana" w:hAnsi="Verdana"/>
                <w:b/>
                <w:sz w:val="16"/>
                <w:szCs w:val="16"/>
              </w:rPr>
              <w:t>Viales</w:t>
            </w:r>
          </w:p>
        </w:tc>
        <w:tc>
          <w:tcPr>
            <w:tcW w:w="4675" w:type="dxa"/>
            <w:tcBorders>
              <w:top w:val="nil"/>
              <w:left w:val="nil"/>
              <w:bottom w:val="nil"/>
              <w:right w:val="nil"/>
            </w:tcBorders>
          </w:tcPr>
          <w:p w14:paraId="1EC44822" w14:textId="1121E891"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Vials</w:t>
            </w:r>
          </w:p>
        </w:tc>
      </w:tr>
      <w:tr w:rsidR="0078772E" w:rsidRPr="00F01347" w14:paraId="4AC4A520" w14:textId="3965640D" w:rsidTr="00D02A88">
        <w:tc>
          <w:tcPr>
            <w:tcW w:w="4675" w:type="dxa"/>
            <w:tcBorders>
              <w:top w:val="nil"/>
              <w:left w:val="nil"/>
              <w:bottom w:val="nil"/>
              <w:right w:val="nil"/>
            </w:tcBorders>
          </w:tcPr>
          <w:p w14:paraId="026A8032" w14:textId="77777777" w:rsidR="0078772E" w:rsidRPr="00F01347" w:rsidRDefault="0078772E" w:rsidP="0078772E">
            <w:pPr>
              <w:pStyle w:val="texto0"/>
              <w:spacing w:line="224" w:lineRule="exact"/>
              <w:ind w:firstLine="0"/>
              <w:rPr>
                <w:rFonts w:ascii="Verdana" w:hAnsi="Verdana"/>
                <w:b/>
                <w:sz w:val="16"/>
                <w:szCs w:val="16"/>
              </w:rPr>
            </w:pPr>
            <w:r w:rsidRPr="00F01347">
              <w:rPr>
                <w:rFonts w:ascii="Verdana" w:hAnsi="Verdana"/>
                <w:b/>
                <w:sz w:val="16"/>
                <w:szCs w:val="16"/>
              </w:rPr>
              <w:t>B.4.1.5 Reactivos y soluciones</w:t>
            </w:r>
          </w:p>
        </w:tc>
        <w:tc>
          <w:tcPr>
            <w:tcW w:w="4675" w:type="dxa"/>
            <w:tcBorders>
              <w:top w:val="nil"/>
              <w:left w:val="nil"/>
              <w:bottom w:val="nil"/>
              <w:right w:val="nil"/>
            </w:tcBorders>
          </w:tcPr>
          <w:p w14:paraId="01BC11CE" w14:textId="5CE3CBA8"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B.4.1.5 Reagents and solutions</w:t>
            </w:r>
          </w:p>
        </w:tc>
      </w:tr>
      <w:tr w:rsidR="0078772E" w:rsidRPr="00F01347" w14:paraId="0ED71DE8" w14:textId="6540BD78" w:rsidTr="00D02A88">
        <w:tc>
          <w:tcPr>
            <w:tcW w:w="4675" w:type="dxa"/>
            <w:tcBorders>
              <w:top w:val="nil"/>
              <w:left w:val="nil"/>
              <w:bottom w:val="nil"/>
              <w:right w:val="nil"/>
            </w:tcBorders>
          </w:tcPr>
          <w:p w14:paraId="74FFA7D9"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Ácido nítrico (HNO</w:t>
            </w:r>
            <w:r w:rsidRPr="00F01347">
              <w:rPr>
                <w:rFonts w:ascii="Verdana" w:hAnsi="Verdana"/>
                <w:b/>
                <w:sz w:val="16"/>
                <w:szCs w:val="16"/>
                <w:vertAlign w:val="subscript"/>
              </w:rPr>
              <w:t>3</w:t>
            </w:r>
            <w:r w:rsidRPr="00F01347">
              <w:rPr>
                <w:rFonts w:ascii="Verdana" w:hAnsi="Verdana"/>
                <w:b/>
                <w:sz w:val="16"/>
                <w:szCs w:val="16"/>
              </w:rPr>
              <w:t>).</w:t>
            </w:r>
            <w:r w:rsidRPr="00F01347">
              <w:rPr>
                <w:rFonts w:ascii="Verdana" w:hAnsi="Verdana"/>
                <w:sz w:val="16"/>
                <w:szCs w:val="16"/>
              </w:rPr>
              <w:t xml:space="preserve"> Grado reactivo (G.R)</w:t>
            </w:r>
          </w:p>
        </w:tc>
        <w:tc>
          <w:tcPr>
            <w:tcW w:w="4675" w:type="dxa"/>
            <w:tcBorders>
              <w:top w:val="nil"/>
              <w:left w:val="nil"/>
              <w:bottom w:val="nil"/>
              <w:right w:val="nil"/>
            </w:tcBorders>
          </w:tcPr>
          <w:p w14:paraId="7FB190DD" w14:textId="6CF7B8EA"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Nitric acid (HNO</w:t>
            </w:r>
            <w:r w:rsidRPr="00F01347">
              <w:rPr>
                <w:rFonts w:ascii="Verdana" w:hAnsi="Verdana"/>
                <w:b/>
                <w:sz w:val="16"/>
                <w:szCs w:val="16"/>
                <w:vertAlign w:val="subscript"/>
                <w:lang w:val="en-US"/>
              </w:rPr>
              <w:t>3</w:t>
            </w:r>
            <w:r w:rsidR="00913802" w:rsidRPr="00F01347">
              <w:rPr>
                <w:rFonts w:ascii="Verdana" w:hAnsi="Verdana"/>
                <w:b/>
                <w:sz w:val="16"/>
                <w:szCs w:val="16"/>
                <w:lang w:val="en-US"/>
              </w:rPr>
              <w:t>)</w:t>
            </w:r>
            <w:r w:rsidRPr="00F01347">
              <w:rPr>
                <w:rFonts w:ascii="Verdana" w:hAnsi="Verdana"/>
                <w:b/>
                <w:sz w:val="16"/>
                <w:szCs w:val="16"/>
                <w:lang w:val="en-US"/>
              </w:rPr>
              <w:t xml:space="preserve">. </w:t>
            </w:r>
            <w:r w:rsidR="00463040" w:rsidRPr="00F01347">
              <w:rPr>
                <w:rFonts w:ascii="Verdana" w:hAnsi="Verdana"/>
                <w:sz w:val="16"/>
                <w:szCs w:val="16"/>
                <w:lang w:val="en-US"/>
              </w:rPr>
              <w:t>Reagent grade</w:t>
            </w:r>
            <w:r w:rsidRPr="00F01347">
              <w:rPr>
                <w:rFonts w:ascii="Verdana" w:hAnsi="Verdana"/>
                <w:sz w:val="16"/>
                <w:szCs w:val="16"/>
                <w:lang w:val="en-US"/>
              </w:rPr>
              <w:t xml:space="preserve"> (GR)</w:t>
            </w:r>
          </w:p>
        </w:tc>
      </w:tr>
      <w:tr w:rsidR="0078772E" w:rsidRPr="00F01347" w14:paraId="2069AF46" w14:textId="143D7DA7" w:rsidTr="00D02A88">
        <w:tc>
          <w:tcPr>
            <w:tcW w:w="4675" w:type="dxa"/>
            <w:tcBorders>
              <w:top w:val="nil"/>
              <w:left w:val="nil"/>
              <w:bottom w:val="nil"/>
              <w:right w:val="nil"/>
            </w:tcBorders>
          </w:tcPr>
          <w:p w14:paraId="6DA2FA50"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Ácido nítrico de alta pureza (HNO</w:t>
            </w:r>
            <w:r w:rsidRPr="00F01347">
              <w:rPr>
                <w:rFonts w:ascii="Verdana" w:hAnsi="Verdana"/>
                <w:b/>
                <w:sz w:val="16"/>
                <w:szCs w:val="16"/>
                <w:vertAlign w:val="subscript"/>
              </w:rPr>
              <w:t>3</w:t>
            </w:r>
            <w:r w:rsidRPr="00F01347">
              <w:rPr>
                <w:rFonts w:ascii="Verdana" w:hAnsi="Verdana"/>
                <w:b/>
                <w:sz w:val="16"/>
                <w:szCs w:val="16"/>
              </w:rPr>
              <w:t>).</w:t>
            </w:r>
            <w:r w:rsidRPr="00F01347">
              <w:rPr>
                <w:rFonts w:ascii="Verdana" w:hAnsi="Verdana"/>
                <w:sz w:val="16"/>
                <w:szCs w:val="16"/>
              </w:rPr>
              <w:t xml:space="preserve"> Al 65% v/v (con contenido de metales en niveles traza).</w:t>
            </w:r>
          </w:p>
        </w:tc>
        <w:tc>
          <w:tcPr>
            <w:tcW w:w="4675" w:type="dxa"/>
            <w:tcBorders>
              <w:top w:val="nil"/>
              <w:left w:val="nil"/>
              <w:bottom w:val="nil"/>
              <w:right w:val="nil"/>
            </w:tcBorders>
          </w:tcPr>
          <w:p w14:paraId="160A2518" w14:textId="1018502D"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High purity nitric acid (HNO</w:t>
            </w:r>
            <w:r w:rsidRPr="00F01347">
              <w:rPr>
                <w:rFonts w:ascii="Verdana" w:hAnsi="Verdana"/>
                <w:b/>
                <w:sz w:val="16"/>
                <w:szCs w:val="16"/>
                <w:vertAlign w:val="subscript"/>
                <w:lang w:val="en-US"/>
              </w:rPr>
              <w:t>3</w:t>
            </w:r>
            <w:r w:rsidR="00913802"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At 65% v/v (with metal content at trace levels).</w:t>
            </w:r>
          </w:p>
        </w:tc>
      </w:tr>
      <w:tr w:rsidR="0078772E" w:rsidRPr="00F01347" w14:paraId="6F36DDF3" w14:textId="3913F898" w:rsidTr="00D02A88">
        <w:tc>
          <w:tcPr>
            <w:tcW w:w="4675" w:type="dxa"/>
            <w:tcBorders>
              <w:top w:val="nil"/>
              <w:left w:val="nil"/>
              <w:bottom w:val="nil"/>
              <w:right w:val="nil"/>
            </w:tcBorders>
          </w:tcPr>
          <w:p w14:paraId="1175CC9A" w14:textId="77777777" w:rsidR="0078772E" w:rsidRPr="00F01347" w:rsidRDefault="0078772E" w:rsidP="0078772E">
            <w:pPr>
              <w:pStyle w:val="texto0"/>
              <w:spacing w:line="224" w:lineRule="exact"/>
              <w:ind w:firstLine="0"/>
              <w:rPr>
                <w:rFonts w:ascii="Verdana" w:hAnsi="Verdana"/>
                <w:b/>
                <w:sz w:val="16"/>
                <w:szCs w:val="16"/>
              </w:rPr>
            </w:pPr>
            <w:r w:rsidRPr="00F01347">
              <w:rPr>
                <w:rFonts w:ascii="Verdana" w:hAnsi="Verdana"/>
                <w:b/>
                <w:sz w:val="16"/>
                <w:szCs w:val="16"/>
              </w:rPr>
              <w:t>Agua tipo I.</w:t>
            </w:r>
          </w:p>
        </w:tc>
        <w:tc>
          <w:tcPr>
            <w:tcW w:w="4675" w:type="dxa"/>
            <w:tcBorders>
              <w:top w:val="nil"/>
              <w:left w:val="nil"/>
              <w:bottom w:val="nil"/>
              <w:right w:val="nil"/>
            </w:tcBorders>
          </w:tcPr>
          <w:p w14:paraId="4E34C280" w14:textId="4EDFB50F"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Type I water.</w:t>
            </w:r>
          </w:p>
        </w:tc>
      </w:tr>
      <w:tr w:rsidR="0078772E" w:rsidRPr="00F01347" w14:paraId="0553A6BB" w14:textId="68B50A71" w:rsidTr="00D02A88">
        <w:tc>
          <w:tcPr>
            <w:tcW w:w="4675" w:type="dxa"/>
            <w:tcBorders>
              <w:top w:val="nil"/>
              <w:left w:val="nil"/>
              <w:bottom w:val="nil"/>
              <w:right w:val="nil"/>
            </w:tcBorders>
          </w:tcPr>
          <w:p w14:paraId="26EDA159"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Argón o nitrógeno</w:t>
            </w:r>
            <w:r w:rsidRPr="00F01347">
              <w:rPr>
                <w:rFonts w:ascii="Verdana" w:hAnsi="Verdana"/>
                <w:sz w:val="16"/>
                <w:szCs w:val="16"/>
              </w:rPr>
              <w:t>. De alta pureza grado absorción atómica.</w:t>
            </w:r>
          </w:p>
        </w:tc>
        <w:tc>
          <w:tcPr>
            <w:tcW w:w="4675" w:type="dxa"/>
            <w:tcBorders>
              <w:top w:val="nil"/>
              <w:left w:val="nil"/>
              <w:bottom w:val="nil"/>
              <w:right w:val="nil"/>
            </w:tcBorders>
          </w:tcPr>
          <w:p w14:paraId="045E6D71" w14:textId="56B0E893"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Argon or nitrogen</w:t>
            </w:r>
            <w:r w:rsidR="003E1BA9" w:rsidRPr="00F01347">
              <w:rPr>
                <w:rFonts w:ascii="Verdana" w:hAnsi="Verdana"/>
                <w:b/>
                <w:sz w:val="16"/>
                <w:szCs w:val="16"/>
                <w:lang w:val="en-US"/>
              </w:rPr>
              <w:t>.</w:t>
            </w:r>
            <w:r w:rsidRPr="00F01347">
              <w:rPr>
                <w:rFonts w:ascii="Verdana" w:hAnsi="Verdana"/>
                <w:sz w:val="16"/>
                <w:szCs w:val="16"/>
                <w:lang w:val="en-US"/>
              </w:rPr>
              <w:t xml:space="preserve"> High purity atomic absorption grade.</w:t>
            </w:r>
          </w:p>
        </w:tc>
      </w:tr>
      <w:tr w:rsidR="0078772E" w:rsidRPr="00F01347" w14:paraId="4F8D6DD3" w14:textId="699618F2" w:rsidTr="00D02A88">
        <w:tc>
          <w:tcPr>
            <w:tcW w:w="4675" w:type="dxa"/>
            <w:tcBorders>
              <w:top w:val="nil"/>
              <w:left w:val="nil"/>
              <w:bottom w:val="nil"/>
              <w:right w:val="nil"/>
            </w:tcBorders>
          </w:tcPr>
          <w:p w14:paraId="75300DC6" w14:textId="77777777" w:rsidR="0078772E" w:rsidRPr="00F01347" w:rsidRDefault="0078772E" w:rsidP="0078772E">
            <w:pPr>
              <w:pStyle w:val="texto0"/>
              <w:spacing w:line="224" w:lineRule="exact"/>
              <w:ind w:firstLine="0"/>
              <w:rPr>
                <w:rFonts w:ascii="Verdana" w:hAnsi="Verdana"/>
                <w:sz w:val="16"/>
                <w:szCs w:val="16"/>
              </w:rPr>
            </w:pPr>
            <w:r w:rsidRPr="00F01347">
              <w:rPr>
                <w:rFonts w:ascii="Verdana" w:hAnsi="Verdana"/>
                <w:b/>
                <w:sz w:val="16"/>
                <w:szCs w:val="16"/>
              </w:rPr>
              <w:t>Disolución de ácido nítrico.</w:t>
            </w:r>
            <w:r w:rsidRPr="00F01347">
              <w:rPr>
                <w:rFonts w:ascii="Verdana" w:hAnsi="Verdana"/>
                <w:sz w:val="16"/>
                <w:szCs w:val="16"/>
              </w:rPr>
              <w:t xml:space="preserve"> Grado reactivo al 10% (Para la descontaminación del material). Por cada litro a preparar, agregar 100 </w:t>
            </w:r>
            <w:proofErr w:type="spellStart"/>
            <w:r w:rsidRPr="00F01347">
              <w:rPr>
                <w:rFonts w:ascii="Verdana" w:hAnsi="Verdana"/>
                <w:sz w:val="16"/>
                <w:szCs w:val="16"/>
              </w:rPr>
              <w:t>mL</w:t>
            </w:r>
            <w:proofErr w:type="spellEnd"/>
            <w:r w:rsidRPr="00F01347">
              <w:rPr>
                <w:rFonts w:ascii="Verdana" w:hAnsi="Verdana"/>
                <w:sz w:val="16"/>
                <w:szCs w:val="16"/>
              </w:rPr>
              <w:t xml:space="preserve"> de ácido de la siguiente manera: en un recipiente que contenga aproximadamente 2/3 partes de agua agregar la cantidad de ácido requerida y llevar al volumen </w:t>
            </w:r>
            <w:proofErr w:type="gramStart"/>
            <w:r w:rsidRPr="00F01347">
              <w:rPr>
                <w:rFonts w:ascii="Verdana" w:hAnsi="Verdana"/>
                <w:sz w:val="16"/>
                <w:szCs w:val="16"/>
              </w:rPr>
              <w:t>total  con</w:t>
            </w:r>
            <w:proofErr w:type="gramEnd"/>
            <w:r w:rsidRPr="00F01347">
              <w:rPr>
                <w:rFonts w:ascii="Verdana" w:hAnsi="Verdana"/>
                <w:sz w:val="16"/>
                <w:szCs w:val="16"/>
              </w:rPr>
              <w:t xml:space="preserve"> agua.</w:t>
            </w:r>
          </w:p>
        </w:tc>
        <w:tc>
          <w:tcPr>
            <w:tcW w:w="4675" w:type="dxa"/>
            <w:tcBorders>
              <w:top w:val="nil"/>
              <w:left w:val="nil"/>
              <w:bottom w:val="nil"/>
              <w:right w:val="nil"/>
            </w:tcBorders>
          </w:tcPr>
          <w:p w14:paraId="3E47E962" w14:textId="5793AC7F" w:rsidR="0078772E" w:rsidRPr="00F01347" w:rsidRDefault="0078772E" w:rsidP="0078772E">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Nitric acid solution. </w:t>
            </w:r>
            <w:r w:rsidRPr="00F01347">
              <w:rPr>
                <w:rFonts w:ascii="Verdana" w:hAnsi="Verdana"/>
                <w:sz w:val="16"/>
                <w:szCs w:val="16"/>
                <w:lang w:val="en-US"/>
              </w:rPr>
              <w:t xml:space="preserve">10% </w:t>
            </w:r>
            <w:r w:rsidR="00463040" w:rsidRPr="00F01347">
              <w:rPr>
                <w:rFonts w:ascii="Verdana" w:hAnsi="Verdana"/>
                <w:sz w:val="16"/>
                <w:szCs w:val="16"/>
                <w:lang w:val="en-US"/>
              </w:rPr>
              <w:t>reagent grade</w:t>
            </w:r>
            <w:r w:rsidRPr="00F01347">
              <w:rPr>
                <w:rFonts w:ascii="Verdana" w:hAnsi="Verdana"/>
                <w:sz w:val="16"/>
                <w:szCs w:val="16"/>
                <w:lang w:val="en-US"/>
              </w:rPr>
              <w:t xml:space="preserve"> (For decontamination of the material). For each liter to be prepared, add 100 mL of acid as follows: in a container containing approximately 2/3 parts of water, add the required amount of acid and bring to the total volume with water.</w:t>
            </w:r>
          </w:p>
        </w:tc>
      </w:tr>
      <w:tr w:rsidR="0078772E" w:rsidRPr="00F01347" w14:paraId="45CBE9C2" w14:textId="46C0457F" w:rsidTr="00D02A88">
        <w:tc>
          <w:tcPr>
            <w:tcW w:w="4675" w:type="dxa"/>
            <w:tcBorders>
              <w:top w:val="nil"/>
              <w:left w:val="nil"/>
              <w:bottom w:val="nil"/>
              <w:right w:val="nil"/>
            </w:tcBorders>
          </w:tcPr>
          <w:p w14:paraId="7FBB0C18"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b/>
                <w:sz w:val="16"/>
                <w:szCs w:val="16"/>
              </w:rPr>
              <w:t>Disolución de nitrato de Magnesio hexahidratado [Mg (NO</w:t>
            </w:r>
            <w:r w:rsidRPr="00F01347">
              <w:rPr>
                <w:rFonts w:ascii="Verdana" w:hAnsi="Verdana"/>
                <w:b/>
                <w:sz w:val="16"/>
                <w:szCs w:val="16"/>
                <w:vertAlign w:val="subscript"/>
              </w:rPr>
              <w:t>3</w:t>
            </w:r>
            <w:r w:rsidRPr="00F01347">
              <w:rPr>
                <w:rFonts w:ascii="Verdana" w:hAnsi="Verdana"/>
                <w:b/>
                <w:sz w:val="16"/>
                <w:szCs w:val="16"/>
              </w:rPr>
              <w:t>)</w:t>
            </w:r>
            <w:r w:rsidRPr="00F01347">
              <w:rPr>
                <w:rFonts w:ascii="Verdana" w:hAnsi="Verdana"/>
                <w:b/>
                <w:sz w:val="16"/>
                <w:szCs w:val="16"/>
                <w:vertAlign w:val="subscript"/>
              </w:rPr>
              <w:t>2</w:t>
            </w:r>
            <w:r w:rsidRPr="00F01347">
              <w:rPr>
                <w:rFonts w:ascii="Verdana" w:hAnsi="Verdana"/>
                <w:b/>
                <w:sz w:val="16"/>
                <w:szCs w:val="16"/>
              </w:rPr>
              <w:t>•6H</w:t>
            </w:r>
            <w:r w:rsidRPr="00F01347">
              <w:rPr>
                <w:rFonts w:ascii="Verdana" w:hAnsi="Verdana"/>
                <w:b/>
                <w:sz w:val="16"/>
                <w:szCs w:val="16"/>
                <w:vertAlign w:val="subscript"/>
              </w:rPr>
              <w:t>2</w:t>
            </w:r>
            <w:r w:rsidRPr="00F01347">
              <w:rPr>
                <w:rFonts w:ascii="Verdana" w:hAnsi="Verdana"/>
                <w:b/>
                <w:sz w:val="16"/>
                <w:szCs w:val="16"/>
              </w:rPr>
              <w:t>O)].</w:t>
            </w:r>
            <w:r w:rsidRPr="00F01347">
              <w:rPr>
                <w:rFonts w:ascii="Verdana" w:hAnsi="Verdana"/>
                <w:sz w:val="16"/>
                <w:szCs w:val="16"/>
              </w:rPr>
              <w:t xml:space="preserve"> De alta pureza (con contenido de metales a niveles traza).</w:t>
            </w:r>
          </w:p>
        </w:tc>
        <w:tc>
          <w:tcPr>
            <w:tcW w:w="4675" w:type="dxa"/>
            <w:tcBorders>
              <w:top w:val="nil"/>
              <w:left w:val="nil"/>
              <w:bottom w:val="nil"/>
              <w:right w:val="nil"/>
            </w:tcBorders>
          </w:tcPr>
          <w:p w14:paraId="5936E2F1" w14:textId="654FE7C2" w:rsidR="0078772E" w:rsidRPr="00F01347" w:rsidRDefault="0078772E" w:rsidP="0078772E">
            <w:pPr>
              <w:pStyle w:val="texto0"/>
              <w:spacing w:line="226" w:lineRule="exact"/>
              <w:ind w:firstLine="0"/>
              <w:rPr>
                <w:rFonts w:ascii="Verdana" w:hAnsi="Verdana"/>
                <w:b/>
                <w:sz w:val="16"/>
                <w:szCs w:val="16"/>
                <w:lang w:val="en-US"/>
              </w:rPr>
            </w:pPr>
            <w:r w:rsidRPr="00F01347">
              <w:rPr>
                <w:rFonts w:ascii="Verdana" w:hAnsi="Verdana"/>
                <w:b/>
                <w:sz w:val="16"/>
                <w:szCs w:val="16"/>
                <w:lang w:val="en-US"/>
              </w:rPr>
              <w:t>Solution of Magnesium nitrate hexahydrate [Mg (NO</w:t>
            </w:r>
            <w:r w:rsidRPr="00F01347">
              <w:rPr>
                <w:rFonts w:ascii="Verdana" w:hAnsi="Verdana"/>
                <w:b/>
                <w:sz w:val="16"/>
                <w:szCs w:val="16"/>
                <w:vertAlign w:val="subscript"/>
                <w:lang w:val="en-US"/>
              </w:rPr>
              <w:t>3</w:t>
            </w:r>
            <w:r w:rsidR="00913802"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b/>
                <w:sz w:val="16"/>
                <w:szCs w:val="16"/>
                <w:vertAlign w:val="subscript"/>
                <w:lang w:val="en-US"/>
              </w:rPr>
              <w:t xml:space="preserve">2 </w:t>
            </w:r>
            <w:r w:rsidRPr="00F01347">
              <w:rPr>
                <w:rFonts w:ascii="Verdana" w:hAnsi="Verdana"/>
                <w:b/>
                <w:sz w:val="16"/>
                <w:szCs w:val="16"/>
                <w:lang w:val="en-US"/>
              </w:rPr>
              <w:t>•6H</w:t>
            </w:r>
            <w:r w:rsidRPr="00F01347">
              <w:rPr>
                <w:rFonts w:ascii="Verdana" w:hAnsi="Verdana"/>
                <w:b/>
                <w:sz w:val="16"/>
                <w:szCs w:val="16"/>
                <w:vertAlign w:val="subscript"/>
                <w:lang w:val="en-US"/>
              </w:rPr>
              <w:t>2</w:t>
            </w:r>
            <w:r w:rsidRPr="00F01347">
              <w:rPr>
                <w:rFonts w:ascii="Verdana" w:hAnsi="Verdana"/>
                <w:b/>
                <w:sz w:val="16"/>
                <w:szCs w:val="16"/>
                <w:lang w:val="en-US"/>
              </w:rPr>
              <w:t xml:space="preserve">O)]. </w:t>
            </w:r>
            <w:r w:rsidRPr="00F01347">
              <w:rPr>
                <w:rFonts w:ascii="Verdana" w:hAnsi="Verdana"/>
                <w:sz w:val="16"/>
                <w:szCs w:val="16"/>
                <w:lang w:val="en-US"/>
              </w:rPr>
              <w:t>High purity (with metal content at trace levels).</w:t>
            </w:r>
          </w:p>
        </w:tc>
      </w:tr>
      <w:tr w:rsidR="0078772E" w:rsidRPr="00F01347" w14:paraId="5FE83434" w14:textId="3C563F17" w:rsidTr="00D02A88">
        <w:tc>
          <w:tcPr>
            <w:tcW w:w="4675" w:type="dxa"/>
            <w:tcBorders>
              <w:top w:val="nil"/>
              <w:left w:val="nil"/>
              <w:bottom w:val="nil"/>
              <w:right w:val="nil"/>
            </w:tcBorders>
          </w:tcPr>
          <w:p w14:paraId="3AD386D4"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b/>
                <w:sz w:val="16"/>
                <w:szCs w:val="16"/>
              </w:rPr>
              <w:t>Disolución estándar de plata o aluminio.</w:t>
            </w:r>
            <w:r w:rsidRPr="00F01347">
              <w:rPr>
                <w:rFonts w:ascii="Verdana" w:hAnsi="Verdana"/>
                <w:sz w:val="16"/>
                <w:szCs w:val="16"/>
              </w:rPr>
              <w:t xml:space="preserve"> De 1000 mg/L de preferencia trazable a patrones nacionales o internacionales. La disolución puede prepararse a partir de la sal, y debe tener una pureza &gt;99.95%. La sal debe ser secada por 1 h a 105 °C.</w:t>
            </w:r>
          </w:p>
        </w:tc>
        <w:tc>
          <w:tcPr>
            <w:tcW w:w="4675" w:type="dxa"/>
            <w:tcBorders>
              <w:top w:val="nil"/>
              <w:left w:val="nil"/>
              <w:bottom w:val="nil"/>
              <w:right w:val="nil"/>
            </w:tcBorders>
          </w:tcPr>
          <w:p w14:paraId="53BF39FC" w14:textId="17F309F3" w:rsidR="0078772E" w:rsidRPr="00F01347" w:rsidRDefault="0078772E" w:rsidP="0078772E">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Standard silver or aluminum solution. </w:t>
            </w:r>
            <w:r w:rsidRPr="00F01347">
              <w:rPr>
                <w:rFonts w:ascii="Verdana" w:hAnsi="Verdana"/>
                <w:sz w:val="16"/>
                <w:szCs w:val="16"/>
                <w:lang w:val="en-US"/>
              </w:rPr>
              <w:t xml:space="preserve">1000 mg/L preferably traceable to national or international standards. The solution can be prepared from the </w:t>
            </w:r>
            <w:r w:rsidR="00855B1D" w:rsidRPr="00F01347">
              <w:rPr>
                <w:rFonts w:ascii="Verdana" w:hAnsi="Verdana"/>
                <w:sz w:val="16"/>
                <w:szCs w:val="16"/>
                <w:lang w:val="en-US"/>
              </w:rPr>
              <w:t>salt and</w:t>
            </w:r>
            <w:r w:rsidRPr="00F01347">
              <w:rPr>
                <w:rFonts w:ascii="Verdana" w:hAnsi="Verdana"/>
                <w:sz w:val="16"/>
                <w:szCs w:val="16"/>
                <w:lang w:val="en-US"/>
              </w:rPr>
              <w:t xml:space="preserve"> must have a purity &gt;99.95%. The salt must be dried for 1 h at 105 °C.</w:t>
            </w:r>
          </w:p>
        </w:tc>
      </w:tr>
      <w:tr w:rsidR="0078772E" w:rsidRPr="00F01347" w14:paraId="09DD7DCC" w14:textId="6EEB54C6" w:rsidTr="00D02A88">
        <w:tc>
          <w:tcPr>
            <w:tcW w:w="4675" w:type="dxa"/>
            <w:tcBorders>
              <w:top w:val="nil"/>
              <w:left w:val="nil"/>
              <w:bottom w:val="nil"/>
              <w:right w:val="nil"/>
            </w:tcBorders>
          </w:tcPr>
          <w:p w14:paraId="6A2789C7"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b/>
                <w:sz w:val="16"/>
                <w:szCs w:val="16"/>
              </w:rPr>
              <w:t>Disolución de paladio (Pd).</w:t>
            </w:r>
            <w:r w:rsidRPr="00F01347">
              <w:rPr>
                <w:rFonts w:ascii="Verdana" w:hAnsi="Verdana"/>
                <w:sz w:val="16"/>
                <w:szCs w:val="16"/>
              </w:rPr>
              <w:t xml:space="preserve"> Con niveles traza de metales (de alta pureza).</w:t>
            </w:r>
          </w:p>
        </w:tc>
        <w:tc>
          <w:tcPr>
            <w:tcW w:w="4675" w:type="dxa"/>
            <w:tcBorders>
              <w:top w:val="nil"/>
              <w:left w:val="nil"/>
              <w:bottom w:val="nil"/>
              <w:right w:val="nil"/>
            </w:tcBorders>
          </w:tcPr>
          <w:p w14:paraId="552019A7" w14:textId="2BF5A4C1" w:rsidR="0078772E" w:rsidRPr="00F01347" w:rsidRDefault="0078772E" w:rsidP="0078772E">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Palladium (Pd) solution. </w:t>
            </w:r>
            <w:r w:rsidRPr="00F01347">
              <w:rPr>
                <w:rFonts w:ascii="Verdana" w:hAnsi="Verdana"/>
                <w:sz w:val="16"/>
                <w:szCs w:val="16"/>
                <w:lang w:val="en-US"/>
              </w:rPr>
              <w:t>With trace levels of metals (high purity).</w:t>
            </w:r>
          </w:p>
        </w:tc>
      </w:tr>
      <w:tr w:rsidR="0078772E" w:rsidRPr="00F01347" w14:paraId="70126217" w14:textId="7A472952" w:rsidTr="00D02A88">
        <w:tc>
          <w:tcPr>
            <w:tcW w:w="4675" w:type="dxa"/>
            <w:tcBorders>
              <w:top w:val="nil"/>
              <w:left w:val="nil"/>
              <w:bottom w:val="nil"/>
              <w:right w:val="nil"/>
            </w:tcBorders>
          </w:tcPr>
          <w:p w14:paraId="112FC12C"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b/>
                <w:sz w:val="16"/>
                <w:szCs w:val="16"/>
              </w:rPr>
              <w:t>Fosfato de amonio monobásico (NH4H2PO4).</w:t>
            </w:r>
            <w:r w:rsidRPr="00F01347">
              <w:rPr>
                <w:rFonts w:ascii="Verdana" w:hAnsi="Verdana"/>
                <w:sz w:val="16"/>
                <w:szCs w:val="16"/>
              </w:rPr>
              <w:t xml:space="preserve"> Con niveles traza de metales (de alta pureza).</w:t>
            </w:r>
          </w:p>
        </w:tc>
        <w:tc>
          <w:tcPr>
            <w:tcW w:w="4675" w:type="dxa"/>
            <w:tcBorders>
              <w:top w:val="nil"/>
              <w:left w:val="nil"/>
              <w:bottom w:val="nil"/>
              <w:right w:val="nil"/>
            </w:tcBorders>
          </w:tcPr>
          <w:p w14:paraId="170935F6" w14:textId="09BE5589" w:rsidR="0078772E" w:rsidRPr="00F01347" w:rsidRDefault="0078772E" w:rsidP="0078772E">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Monobasic ammonium phosphate (NH4H2PO4). </w:t>
            </w:r>
            <w:r w:rsidRPr="00F01347">
              <w:rPr>
                <w:rFonts w:ascii="Verdana" w:hAnsi="Verdana"/>
                <w:sz w:val="16"/>
                <w:szCs w:val="16"/>
                <w:lang w:val="en-US"/>
              </w:rPr>
              <w:t>With trace levels of metals (high purity).</w:t>
            </w:r>
          </w:p>
        </w:tc>
      </w:tr>
      <w:tr w:rsidR="0078772E" w:rsidRPr="00F01347" w14:paraId="0C1086E5" w14:textId="4C24B96B" w:rsidTr="00D02A88">
        <w:tc>
          <w:tcPr>
            <w:tcW w:w="4675" w:type="dxa"/>
            <w:tcBorders>
              <w:top w:val="nil"/>
              <w:left w:val="nil"/>
              <w:bottom w:val="nil"/>
              <w:right w:val="nil"/>
            </w:tcBorders>
          </w:tcPr>
          <w:p w14:paraId="0C49F389" w14:textId="77777777" w:rsidR="0078772E" w:rsidRPr="00F01347" w:rsidRDefault="0078772E" w:rsidP="0078772E">
            <w:pPr>
              <w:pStyle w:val="texto0"/>
              <w:spacing w:line="226" w:lineRule="exact"/>
              <w:ind w:firstLine="0"/>
              <w:rPr>
                <w:rFonts w:ascii="Verdana" w:hAnsi="Verdana"/>
                <w:b/>
                <w:sz w:val="16"/>
                <w:szCs w:val="16"/>
              </w:rPr>
            </w:pPr>
            <w:r w:rsidRPr="00F01347">
              <w:rPr>
                <w:rFonts w:ascii="Verdana" w:hAnsi="Verdana"/>
                <w:b/>
                <w:sz w:val="16"/>
                <w:szCs w:val="16"/>
              </w:rPr>
              <w:t>B.4.1.6 Procedimiento</w:t>
            </w:r>
          </w:p>
        </w:tc>
        <w:tc>
          <w:tcPr>
            <w:tcW w:w="4675" w:type="dxa"/>
            <w:tcBorders>
              <w:top w:val="nil"/>
              <w:left w:val="nil"/>
              <w:bottom w:val="nil"/>
              <w:right w:val="nil"/>
            </w:tcBorders>
          </w:tcPr>
          <w:p w14:paraId="37EA1B62" w14:textId="65E41EF1" w:rsidR="0078772E" w:rsidRPr="00F01347" w:rsidRDefault="0078772E" w:rsidP="0078772E">
            <w:pPr>
              <w:pStyle w:val="texto0"/>
              <w:spacing w:line="226" w:lineRule="exact"/>
              <w:ind w:firstLine="0"/>
              <w:rPr>
                <w:rFonts w:ascii="Verdana" w:hAnsi="Verdana"/>
                <w:b/>
                <w:sz w:val="16"/>
                <w:szCs w:val="16"/>
                <w:lang w:val="en-US"/>
              </w:rPr>
            </w:pPr>
            <w:r w:rsidRPr="00F01347">
              <w:rPr>
                <w:rFonts w:ascii="Verdana" w:hAnsi="Verdana"/>
                <w:b/>
                <w:sz w:val="16"/>
                <w:szCs w:val="16"/>
                <w:lang w:val="en-US"/>
              </w:rPr>
              <w:t>B.4.1.6 Procedure</w:t>
            </w:r>
          </w:p>
        </w:tc>
      </w:tr>
      <w:tr w:rsidR="0078772E" w:rsidRPr="00F01347" w14:paraId="1C01F890" w14:textId="04E33C18" w:rsidTr="00D02A88">
        <w:tc>
          <w:tcPr>
            <w:tcW w:w="4675" w:type="dxa"/>
            <w:tcBorders>
              <w:top w:val="nil"/>
              <w:left w:val="nil"/>
              <w:bottom w:val="nil"/>
              <w:right w:val="nil"/>
            </w:tcBorders>
          </w:tcPr>
          <w:p w14:paraId="7113B48A" w14:textId="77777777" w:rsidR="0078772E" w:rsidRPr="00F01347" w:rsidRDefault="0078772E" w:rsidP="0078772E">
            <w:pPr>
              <w:pStyle w:val="texto0"/>
              <w:spacing w:line="226" w:lineRule="exact"/>
              <w:ind w:firstLine="0"/>
              <w:rPr>
                <w:rFonts w:ascii="Verdana" w:hAnsi="Verdana"/>
                <w:b/>
                <w:sz w:val="16"/>
                <w:szCs w:val="16"/>
              </w:rPr>
            </w:pPr>
            <w:r w:rsidRPr="00F01347">
              <w:rPr>
                <w:rFonts w:ascii="Verdana" w:hAnsi="Verdana"/>
                <w:b/>
                <w:sz w:val="16"/>
                <w:szCs w:val="16"/>
              </w:rPr>
              <w:lastRenderedPageBreak/>
              <w:t>B.4.1.6.1 Lavado de material</w:t>
            </w:r>
          </w:p>
        </w:tc>
        <w:tc>
          <w:tcPr>
            <w:tcW w:w="4675" w:type="dxa"/>
            <w:tcBorders>
              <w:top w:val="nil"/>
              <w:left w:val="nil"/>
              <w:bottom w:val="nil"/>
              <w:right w:val="nil"/>
            </w:tcBorders>
          </w:tcPr>
          <w:p w14:paraId="1C851D5E" w14:textId="7B83E9E6" w:rsidR="0078772E" w:rsidRPr="00F01347" w:rsidRDefault="0078772E" w:rsidP="0078772E">
            <w:pPr>
              <w:pStyle w:val="texto0"/>
              <w:spacing w:line="226" w:lineRule="exact"/>
              <w:ind w:firstLine="0"/>
              <w:rPr>
                <w:rFonts w:ascii="Verdana" w:hAnsi="Verdana"/>
                <w:b/>
                <w:sz w:val="16"/>
                <w:szCs w:val="16"/>
                <w:lang w:val="en-US"/>
              </w:rPr>
            </w:pPr>
            <w:r w:rsidRPr="00F01347">
              <w:rPr>
                <w:rFonts w:ascii="Verdana" w:hAnsi="Verdana"/>
                <w:b/>
                <w:sz w:val="16"/>
                <w:szCs w:val="16"/>
                <w:lang w:val="en-US"/>
              </w:rPr>
              <w:t>B.4.1.6.1 Material washing</w:t>
            </w:r>
          </w:p>
        </w:tc>
      </w:tr>
      <w:tr w:rsidR="0078772E" w:rsidRPr="00F01347" w14:paraId="088D05E2" w14:textId="0C756292" w:rsidTr="00D02A88">
        <w:tc>
          <w:tcPr>
            <w:tcW w:w="4675" w:type="dxa"/>
            <w:tcBorders>
              <w:top w:val="nil"/>
              <w:left w:val="nil"/>
              <w:bottom w:val="nil"/>
              <w:right w:val="nil"/>
            </w:tcBorders>
          </w:tcPr>
          <w:p w14:paraId="12A96B7B"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Todo el material utilizado debe someterse a lavado de acuerdo con las siguientes instrucciones:</w:t>
            </w:r>
          </w:p>
        </w:tc>
        <w:tc>
          <w:tcPr>
            <w:tcW w:w="4675" w:type="dxa"/>
            <w:tcBorders>
              <w:top w:val="nil"/>
              <w:left w:val="nil"/>
              <w:bottom w:val="nil"/>
              <w:right w:val="nil"/>
            </w:tcBorders>
          </w:tcPr>
          <w:p w14:paraId="0E5339FB" w14:textId="0EB12168"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All material used must be washed according to the following instructions:</w:t>
            </w:r>
          </w:p>
        </w:tc>
      </w:tr>
      <w:tr w:rsidR="0078772E" w:rsidRPr="00F01347" w14:paraId="7450CA2D" w14:textId="198C3334" w:rsidTr="00D02A88">
        <w:tc>
          <w:tcPr>
            <w:tcW w:w="4675" w:type="dxa"/>
            <w:tcBorders>
              <w:top w:val="nil"/>
              <w:left w:val="nil"/>
              <w:bottom w:val="nil"/>
              <w:right w:val="nil"/>
            </w:tcBorders>
          </w:tcPr>
          <w:p w14:paraId="25276B6C"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El jabón que se use debe ser neutro de preferencia líquido.</w:t>
            </w:r>
          </w:p>
        </w:tc>
        <w:tc>
          <w:tcPr>
            <w:tcW w:w="4675" w:type="dxa"/>
            <w:tcBorders>
              <w:top w:val="nil"/>
              <w:left w:val="nil"/>
              <w:bottom w:val="nil"/>
              <w:right w:val="nil"/>
            </w:tcBorders>
          </w:tcPr>
          <w:p w14:paraId="32951BEC" w14:textId="3C5B4835"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The soap used should be neutral, preferably liquid.</w:t>
            </w:r>
          </w:p>
        </w:tc>
      </w:tr>
      <w:tr w:rsidR="0078772E" w:rsidRPr="00F01347" w14:paraId="0A1EC07F" w14:textId="747C1377" w:rsidTr="00D02A88">
        <w:tc>
          <w:tcPr>
            <w:tcW w:w="4675" w:type="dxa"/>
            <w:tcBorders>
              <w:top w:val="nil"/>
              <w:left w:val="nil"/>
              <w:bottom w:val="nil"/>
              <w:right w:val="nil"/>
            </w:tcBorders>
          </w:tcPr>
          <w:p w14:paraId="5A69062D"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Enjuagar perfectamente con agua corriente.</w:t>
            </w:r>
          </w:p>
        </w:tc>
        <w:tc>
          <w:tcPr>
            <w:tcW w:w="4675" w:type="dxa"/>
            <w:tcBorders>
              <w:top w:val="nil"/>
              <w:left w:val="nil"/>
              <w:bottom w:val="nil"/>
              <w:right w:val="nil"/>
            </w:tcBorders>
          </w:tcPr>
          <w:p w14:paraId="5703BC82" w14:textId="14EDE04A"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Rinse thoroughly with running water.</w:t>
            </w:r>
          </w:p>
        </w:tc>
      </w:tr>
      <w:tr w:rsidR="0078772E" w:rsidRPr="00F01347" w14:paraId="113828E0" w14:textId="7B3FF1F8" w:rsidTr="00D02A88">
        <w:tc>
          <w:tcPr>
            <w:tcW w:w="4675" w:type="dxa"/>
            <w:tcBorders>
              <w:top w:val="nil"/>
              <w:left w:val="nil"/>
              <w:bottom w:val="nil"/>
              <w:right w:val="nil"/>
            </w:tcBorders>
          </w:tcPr>
          <w:p w14:paraId="58CB7AF0"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Sumergir el material de vidrio o plástico en un recipiente (de preferencia de plástico) que contenga una solución de ácido nítrico al 10%. El HCl es más efectivo para el lavado de material de polietileno o polipropileno, mientras que el HNO</w:t>
            </w:r>
            <w:r w:rsidRPr="00F01347">
              <w:rPr>
                <w:rFonts w:ascii="Verdana" w:hAnsi="Verdana"/>
                <w:sz w:val="16"/>
                <w:szCs w:val="16"/>
                <w:vertAlign w:val="subscript"/>
              </w:rPr>
              <w:t>3</w:t>
            </w:r>
            <w:r w:rsidRPr="00F01347">
              <w:rPr>
                <w:rFonts w:ascii="Verdana" w:hAnsi="Verdana"/>
                <w:sz w:val="16"/>
                <w:szCs w:val="16"/>
              </w:rPr>
              <w:t xml:space="preserve"> es preferible para el material de PTFE o de vidrio.</w:t>
            </w:r>
          </w:p>
        </w:tc>
        <w:tc>
          <w:tcPr>
            <w:tcW w:w="4675" w:type="dxa"/>
            <w:tcBorders>
              <w:top w:val="nil"/>
              <w:left w:val="nil"/>
              <w:bottom w:val="nil"/>
              <w:right w:val="nil"/>
            </w:tcBorders>
          </w:tcPr>
          <w:p w14:paraId="5F32A5B0" w14:textId="700D72E0"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Immerse the glass or plastic material in a container (preferably plastic) containing a 10% nitric acid solution. HCl is most effective for washing polyethylene or polypropylene material, while HNO</w:t>
            </w:r>
            <w:r w:rsidRPr="00F01347">
              <w:rPr>
                <w:rFonts w:ascii="Verdana" w:hAnsi="Verdana"/>
                <w:sz w:val="16"/>
                <w:szCs w:val="16"/>
                <w:vertAlign w:val="subscript"/>
                <w:lang w:val="en-US"/>
              </w:rPr>
              <w:t xml:space="preserve">3 </w:t>
            </w:r>
            <w:r w:rsidRPr="00F01347">
              <w:rPr>
                <w:rFonts w:ascii="Verdana" w:hAnsi="Verdana"/>
                <w:sz w:val="16"/>
                <w:szCs w:val="16"/>
                <w:lang w:val="en-US"/>
              </w:rPr>
              <w:t>is preferable for PTFE or glass material.</w:t>
            </w:r>
          </w:p>
        </w:tc>
      </w:tr>
      <w:tr w:rsidR="0078772E" w:rsidRPr="00F01347" w14:paraId="2B717BD8" w14:textId="6DF4906F" w:rsidTr="00D02A88">
        <w:tc>
          <w:tcPr>
            <w:tcW w:w="4675" w:type="dxa"/>
            <w:tcBorders>
              <w:top w:val="nil"/>
              <w:left w:val="nil"/>
              <w:bottom w:val="nil"/>
              <w:right w:val="nil"/>
            </w:tcBorders>
          </w:tcPr>
          <w:p w14:paraId="3284CB21"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Dejarlo tapado y reposando por un lapso mínimo de 2 horas.</w:t>
            </w:r>
          </w:p>
        </w:tc>
        <w:tc>
          <w:tcPr>
            <w:tcW w:w="4675" w:type="dxa"/>
            <w:tcBorders>
              <w:top w:val="nil"/>
              <w:left w:val="nil"/>
              <w:bottom w:val="nil"/>
              <w:right w:val="nil"/>
            </w:tcBorders>
          </w:tcPr>
          <w:p w14:paraId="5A55D408" w14:textId="28FF502A"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Leave it covered and rest for a minimum period of 2 hours.</w:t>
            </w:r>
          </w:p>
        </w:tc>
      </w:tr>
      <w:tr w:rsidR="0078772E" w:rsidRPr="00F01347" w14:paraId="56A25731" w14:textId="3A45EDB6" w:rsidTr="00D02A88">
        <w:tc>
          <w:tcPr>
            <w:tcW w:w="4675" w:type="dxa"/>
            <w:tcBorders>
              <w:top w:val="nil"/>
              <w:left w:val="nil"/>
              <w:bottom w:val="nil"/>
              <w:right w:val="nil"/>
            </w:tcBorders>
          </w:tcPr>
          <w:p w14:paraId="3BA8D28E"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Quitar el exceso de ácido nítrico con varios enjuagues de agua de red y el último enjuague con agua tipo I.</w:t>
            </w:r>
          </w:p>
        </w:tc>
        <w:tc>
          <w:tcPr>
            <w:tcW w:w="4675" w:type="dxa"/>
            <w:tcBorders>
              <w:top w:val="nil"/>
              <w:left w:val="nil"/>
              <w:bottom w:val="nil"/>
              <w:right w:val="nil"/>
            </w:tcBorders>
          </w:tcPr>
          <w:p w14:paraId="27BD38CF" w14:textId="65B3182C"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Remove excess nitric acid with several rinses of tap water and the last rinse with type I water.</w:t>
            </w:r>
          </w:p>
        </w:tc>
      </w:tr>
      <w:tr w:rsidR="0078772E" w:rsidRPr="00F01347" w14:paraId="3DB9AFFA" w14:textId="58B51FFB" w:rsidTr="00D02A88">
        <w:tc>
          <w:tcPr>
            <w:tcW w:w="4675" w:type="dxa"/>
            <w:tcBorders>
              <w:top w:val="nil"/>
              <w:left w:val="nil"/>
              <w:bottom w:val="nil"/>
              <w:right w:val="nil"/>
            </w:tcBorders>
          </w:tcPr>
          <w:p w14:paraId="2CF7E930"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Dejar escurrir y secar.</w:t>
            </w:r>
          </w:p>
        </w:tc>
        <w:tc>
          <w:tcPr>
            <w:tcW w:w="4675" w:type="dxa"/>
            <w:tcBorders>
              <w:top w:val="nil"/>
              <w:left w:val="nil"/>
              <w:bottom w:val="nil"/>
              <w:right w:val="nil"/>
            </w:tcBorders>
          </w:tcPr>
          <w:p w14:paraId="3798B2FB" w14:textId="22B343AD"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Let drain and dry.</w:t>
            </w:r>
          </w:p>
        </w:tc>
      </w:tr>
      <w:tr w:rsidR="0078772E" w:rsidRPr="00F01347" w14:paraId="12A3B80F" w14:textId="226A1ABC" w:rsidTr="00D02A88">
        <w:tc>
          <w:tcPr>
            <w:tcW w:w="4675" w:type="dxa"/>
            <w:tcBorders>
              <w:top w:val="nil"/>
              <w:left w:val="nil"/>
              <w:bottom w:val="nil"/>
              <w:right w:val="nil"/>
            </w:tcBorders>
          </w:tcPr>
          <w:p w14:paraId="17A0E5FC"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Tapar con papel parafinado o en bolsas cerradas de plástico.</w:t>
            </w:r>
          </w:p>
        </w:tc>
        <w:tc>
          <w:tcPr>
            <w:tcW w:w="4675" w:type="dxa"/>
            <w:tcBorders>
              <w:top w:val="nil"/>
              <w:left w:val="nil"/>
              <w:bottom w:val="nil"/>
              <w:right w:val="nil"/>
            </w:tcBorders>
          </w:tcPr>
          <w:p w14:paraId="5B9062C8" w14:textId="523808B5"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Cover with waxed paper or in closed plastic bags.</w:t>
            </w:r>
          </w:p>
        </w:tc>
      </w:tr>
      <w:tr w:rsidR="0078772E" w:rsidRPr="00F01347" w14:paraId="74B66C2F" w14:textId="7ABEA27E" w:rsidTr="00D02A88">
        <w:tc>
          <w:tcPr>
            <w:tcW w:w="4675" w:type="dxa"/>
            <w:tcBorders>
              <w:top w:val="nil"/>
              <w:left w:val="nil"/>
              <w:bottom w:val="nil"/>
              <w:right w:val="nil"/>
            </w:tcBorders>
          </w:tcPr>
          <w:p w14:paraId="2DD8E42D"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Guardar en cuanto esté seco para evitar contaminación por partículas en el aire.</w:t>
            </w:r>
          </w:p>
        </w:tc>
        <w:tc>
          <w:tcPr>
            <w:tcW w:w="4675" w:type="dxa"/>
            <w:tcBorders>
              <w:top w:val="nil"/>
              <w:left w:val="nil"/>
              <w:bottom w:val="nil"/>
              <w:right w:val="nil"/>
            </w:tcBorders>
          </w:tcPr>
          <w:p w14:paraId="7E6CB42E" w14:textId="4AB2DED2"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Store as soon as dry to avoid contamination by airborne particles.</w:t>
            </w:r>
          </w:p>
        </w:tc>
      </w:tr>
      <w:tr w:rsidR="0078772E" w:rsidRPr="00F01347" w14:paraId="4EBEEEB6" w14:textId="7F7EEC27" w:rsidTr="00D02A88">
        <w:tc>
          <w:tcPr>
            <w:tcW w:w="4675" w:type="dxa"/>
            <w:tcBorders>
              <w:top w:val="nil"/>
              <w:left w:val="nil"/>
              <w:bottom w:val="nil"/>
              <w:right w:val="nil"/>
            </w:tcBorders>
          </w:tcPr>
          <w:p w14:paraId="15613F1D"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b/>
                <w:sz w:val="16"/>
                <w:szCs w:val="16"/>
              </w:rPr>
              <w:t>B.4.1.6.2 Preparación de las muestras</w:t>
            </w:r>
          </w:p>
        </w:tc>
        <w:tc>
          <w:tcPr>
            <w:tcW w:w="4675" w:type="dxa"/>
            <w:tcBorders>
              <w:top w:val="nil"/>
              <w:left w:val="nil"/>
              <w:bottom w:val="nil"/>
              <w:right w:val="nil"/>
            </w:tcBorders>
          </w:tcPr>
          <w:p w14:paraId="43369784" w14:textId="4B1AFAAD" w:rsidR="0078772E" w:rsidRPr="00F01347" w:rsidRDefault="0078772E" w:rsidP="0078772E">
            <w:pPr>
              <w:pStyle w:val="texto0"/>
              <w:spacing w:line="226" w:lineRule="exact"/>
              <w:ind w:firstLine="0"/>
              <w:rPr>
                <w:rFonts w:ascii="Verdana" w:hAnsi="Verdana"/>
                <w:b/>
                <w:sz w:val="16"/>
                <w:szCs w:val="16"/>
                <w:lang w:val="en-US"/>
              </w:rPr>
            </w:pPr>
            <w:r w:rsidRPr="00F01347">
              <w:rPr>
                <w:rFonts w:ascii="Verdana" w:hAnsi="Verdana"/>
                <w:b/>
                <w:sz w:val="16"/>
                <w:szCs w:val="16"/>
                <w:lang w:val="en-US"/>
              </w:rPr>
              <w:t>B.4.1.6.2 Sample preparation</w:t>
            </w:r>
          </w:p>
        </w:tc>
      </w:tr>
      <w:tr w:rsidR="0078772E" w:rsidRPr="00F01347" w14:paraId="4956C5AB" w14:textId="0140EBDE" w:rsidTr="00D02A88">
        <w:tc>
          <w:tcPr>
            <w:tcW w:w="4675" w:type="dxa"/>
            <w:tcBorders>
              <w:top w:val="nil"/>
              <w:left w:val="nil"/>
              <w:bottom w:val="nil"/>
              <w:right w:val="nil"/>
            </w:tcBorders>
          </w:tcPr>
          <w:p w14:paraId="0DD89848"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Las muestras se pueden analizar directamente por espectrometría de absorción atómica sin realizar la digestión si son inodoras, incoloras y transparentes.</w:t>
            </w:r>
          </w:p>
        </w:tc>
        <w:tc>
          <w:tcPr>
            <w:tcW w:w="4675" w:type="dxa"/>
            <w:tcBorders>
              <w:top w:val="nil"/>
              <w:left w:val="nil"/>
              <w:bottom w:val="nil"/>
              <w:right w:val="nil"/>
            </w:tcBorders>
          </w:tcPr>
          <w:p w14:paraId="32A54EF5" w14:textId="3005A7B2"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 xml:space="preserve">Samples can be analyzed directly by atomic absorption spectrometry without digestion if they are odorless, </w:t>
            </w:r>
            <w:r w:rsidR="004E4EBD" w:rsidRPr="00F01347">
              <w:rPr>
                <w:rFonts w:ascii="Verdana" w:hAnsi="Verdana"/>
                <w:sz w:val="16"/>
                <w:szCs w:val="16"/>
                <w:lang w:val="en-US"/>
              </w:rPr>
              <w:t>colorless,</w:t>
            </w:r>
            <w:r w:rsidRPr="00F01347">
              <w:rPr>
                <w:rFonts w:ascii="Verdana" w:hAnsi="Verdana"/>
                <w:sz w:val="16"/>
                <w:szCs w:val="16"/>
                <w:lang w:val="en-US"/>
              </w:rPr>
              <w:t xml:space="preserve"> and transparent.</w:t>
            </w:r>
          </w:p>
        </w:tc>
      </w:tr>
      <w:tr w:rsidR="0078772E" w:rsidRPr="00F01347" w14:paraId="4BBC47AC" w14:textId="69140545" w:rsidTr="00D02A88">
        <w:tc>
          <w:tcPr>
            <w:tcW w:w="4675" w:type="dxa"/>
            <w:tcBorders>
              <w:top w:val="nil"/>
              <w:left w:val="nil"/>
              <w:bottom w:val="nil"/>
              <w:right w:val="nil"/>
            </w:tcBorders>
          </w:tcPr>
          <w:p w14:paraId="20E9FDDA"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 xml:space="preserve">Previo al análisis adicionar a 100 </w:t>
            </w:r>
            <w:proofErr w:type="spellStart"/>
            <w:r w:rsidRPr="00F01347">
              <w:rPr>
                <w:rFonts w:ascii="Verdana" w:hAnsi="Verdana"/>
                <w:sz w:val="16"/>
                <w:szCs w:val="16"/>
              </w:rPr>
              <w:t>mL</w:t>
            </w:r>
            <w:proofErr w:type="spellEnd"/>
            <w:r w:rsidRPr="00F01347">
              <w:rPr>
                <w:rFonts w:ascii="Verdana" w:hAnsi="Verdana"/>
                <w:sz w:val="16"/>
                <w:szCs w:val="16"/>
              </w:rPr>
              <w:t xml:space="preserve"> de muestra, 1 </w:t>
            </w:r>
            <w:proofErr w:type="spellStart"/>
            <w:r w:rsidRPr="00F01347">
              <w:rPr>
                <w:rFonts w:ascii="Verdana" w:hAnsi="Verdana"/>
                <w:sz w:val="16"/>
                <w:szCs w:val="16"/>
              </w:rPr>
              <w:t>mL</w:t>
            </w:r>
            <w:proofErr w:type="spellEnd"/>
            <w:r w:rsidRPr="00F01347">
              <w:rPr>
                <w:rFonts w:ascii="Verdana" w:hAnsi="Verdana"/>
                <w:sz w:val="16"/>
                <w:szCs w:val="16"/>
              </w:rPr>
              <w:t xml:space="preserve"> de ácido nítrico de ultra alta pureza. </w:t>
            </w:r>
            <w:proofErr w:type="gramStart"/>
            <w:r w:rsidRPr="00F01347">
              <w:rPr>
                <w:rFonts w:ascii="Verdana" w:hAnsi="Verdana"/>
                <w:sz w:val="16"/>
                <w:szCs w:val="16"/>
              </w:rPr>
              <w:t>En caso que</w:t>
            </w:r>
            <w:proofErr w:type="gramEnd"/>
            <w:r w:rsidRPr="00F01347">
              <w:rPr>
                <w:rFonts w:ascii="Verdana" w:hAnsi="Verdana"/>
                <w:sz w:val="16"/>
                <w:szCs w:val="16"/>
              </w:rPr>
              <w:t xml:space="preserve"> se observe un precipitado, este volumen de muestra se digiere adicionando 1 </w:t>
            </w:r>
            <w:proofErr w:type="spellStart"/>
            <w:r w:rsidRPr="00F01347">
              <w:rPr>
                <w:rFonts w:ascii="Verdana" w:hAnsi="Verdana"/>
                <w:sz w:val="16"/>
                <w:szCs w:val="16"/>
              </w:rPr>
              <w:t>mL</w:t>
            </w:r>
            <w:proofErr w:type="spellEnd"/>
            <w:r w:rsidRPr="00F01347">
              <w:rPr>
                <w:rFonts w:ascii="Verdana" w:hAnsi="Verdana"/>
                <w:sz w:val="16"/>
                <w:szCs w:val="16"/>
              </w:rPr>
              <w:t xml:space="preserve"> más de ácido nítrico de ultra alta pureza concentrado, calentar a 85°C hasta reducir el volumen a 20 </w:t>
            </w:r>
            <w:proofErr w:type="spellStart"/>
            <w:r w:rsidRPr="00F01347">
              <w:rPr>
                <w:rFonts w:ascii="Verdana" w:hAnsi="Verdana"/>
                <w:sz w:val="16"/>
                <w:szCs w:val="16"/>
              </w:rPr>
              <w:t>mL</w:t>
            </w:r>
            <w:proofErr w:type="spellEnd"/>
            <w:r w:rsidRPr="00F01347">
              <w:rPr>
                <w:rFonts w:ascii="Verdana" w:hAnsi="Verdana"/>
                <w:sz w:val="16"/>
                <w:szCs w:val="16"/>
              </w:rPr>
              <w:t xml:space="preserve"> cuidando que no hierva.</w:t>
            </w:r>
          </w:p>
        </w:tc>
        <w:tc>
          <w:tcPr>
            <w:tcW w:w="4675" w:type="dxa"/>
            <w:tcBorders>
              <w:top w:val="nil"/>
              <w:left w:val="nil"/>
              <w:bottom w:val="nil"/>
              <w:right w:val="nil"/>
            </w:tcBorders>
          </w:tcPr>
          <w:p w14:paraId="401B1ADB" w14:textId="6913B8A8"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Prior to the analysis, add 1 mL of ultra-high purity nitric acid to 100 mL of sample</w:t>
            </w:r>
            <w:r w:rsidR="003E1BA9" w:rsidRPr="00F01347">
              <w:rPr>
                <w:rFonts w:ascii="Verdana" w:hAnsi="Verdana"/>
                <w:sz w:val="16"/>
                <w:szCs w:val="16"/>
                <w:lang w:val="en-US"/>
              </w:rPr>
              <w:t>.</w:t>
            </w:r>
            <w:r w:rsidRPr="00F01347">
              <w:rPr>
                <w:rFonts w:ascii="Verdana" w:hAnsi="Verdana"/>
                <w:sz w:val="16"/>
                <w:szCs w:val="16"/>
                <w:lang w:val="en-US"/>
              </w:rPr>
              <w:t xml:space="preserve"> If a precipitate is observed, this sample volume is digested by adding 1 more mL of concentrated ultra-high purity nitric acid, heat to 85°C until the volume is reduced to 20 mL</w:t>
            </w:r>
            <w:r w:rsidR="003E1BA9" w:rsidRPr="00F01347">
              <w:rPr>
                <w:rFonts w:ascii="Verdana" w:hAnsi="Verdana"/>
                <w:sz w:val="16"/>
                <w:szCs w:val="16"/>
                <w:lang w:val="en-US"/>
              </w:rPr>
              <w:t>,</w:t>
            </w:r>
            <w:r w:rsidRPr="00F01347">
              <w:rPr>
                <w:rFonts w:ascii="Verdana" w:hAnsi="Verdana"/>
                <w:sz w:val="16"/>
                <w:szCs w:val="16"/>
                <w:lang w:val="en-US"/>
              </w:rPr>
              <w:t xml:space="preserve"> taking care not to boil.</w:t>
            </w:r>
          </w:p>
        </w:tc>
      </w:tr>
      <w:tr w:rsidR="0078772E" w:rsidRPr="00F01347" w14:paraId="22E6CEEC" w14:textId="6CADD8CD" w:rsidTr="00D02A88">
        <w:tc>
          <w:tcPr>
            <w:tcW w:w="4675" w:type="dxa"/>
            <w:tcBorders>
              <w:top w:val="nil"/>
              <w:left w:val="nil"/>
              <w:bottom w:val="nil"/>
              <w:right w:val="nil"/>
            </w:tcBorders>
          </w:tcPr>
          <w:p w14:paraId="11166329"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 xml:space="preserve">En caso de que el precipitado sea considerable se sugiere la adición de 10 </w:t>
            </w:r>
            <w:proofErr w:type="spellStart"/>
            <w:r w:rsidRPr="00F01347">
              <w:rPr>
                <w:rFonts w:ascii="Verdana" w:hAnsi="Verdana"/>
                <w:sz w:val="16"/>
                <w:szCs w:val="16"/>
              </w:rPr>
              <w:t>mL</w:t>
            </w:r>
            <w:proofErr w:type="spellEnd"/>
            <w:r w:rsidRPr="00F01347">
              <w:rPr>
                <w:rFonts w:ascii="Verdana" w:hAnsi="Verdana"/>
                <w:sz w:val="16"/>
                <w:szCs w:val="16"/>
              </w:rPr>
              <w:t xml:space="preserve"> de ácido nítrico de ultra alta pureza para realizar la digestión de la muestra.</w:t>
            </w:r>
          </w:p>
        </w:tc>
        <w:tc>
          <w:tcPr>
            <w:tcW w:w="4675" w:type="dxa"/>
            <w:tcBorders>
              <w:top w:val="nil"/>
              <w:left w:val="nil"/>
              <w:bottom w:val="nil"/>
              <w:right w:val="nil"/>
            </w:tcBorders>
          </w:tcPr>
          <w:p w14:paraId="64631AB8" w14:textId="5EE38323"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If the precipitate is considerable, the addition of 10 mL of ultra-high purity nitric acid is suggested to digest the sample.</w:t>
            </w:r>
          </w:p>
        </w:tc>
      </w:tr>
      <w:tr w:rsidR="0078772E" w:rsidRPr="00F01347" w14:paraId="2161061F" w14:textId="14BF3EBC" w:rsidTr="00D02A88">
        <w:tc>
          <w:tcPr>
            <w:tcW w:w="4675" w:type="dxa"/>
            <w:tcBorders>
              <w:top w:val="nil"/>
              <w:left w:val="nil"/>
              <w:bottom w:val="nil"/>
              <w:right w:val="nil"/>
            </w:tcBorders>
          </w:tcPr>
          <w:p w14:paraId="0B9D01F7"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 xml:space="preserve">Calentar a reflujo por 20 min y transferir a un matraz volumétrico de 50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Borders>
              <w:top w:val="nil"/>
              <w:left w:val="nil"/>
              <w:bottom w:val="nil"/>
              <w:right w:val="nil"/>
            </w:tcBorders>
          </w:tcPr>
          <w:p w14:paraId="07D6670D" w14:textId="34A83521" w:rsidR="0078772E" w:rsidRPr="00F01347" w:rsidRDefault="00602B14"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Heat to reflux for 20 min and transfer to a 50 mL volumetric flask.</w:t>
            </w:r>
          </w:p>
        </w:tc>
      </w:tr>
      <w:tr w:rsidR="0078772E" w:rsidRPr="00F01347" w14:paraId="57CDC80B" w14:textId="5F233BEA" w:rsidTr="00D02A88">
        <w:tc>
          <w:tcPr>
            <w:tcW w:w="4675" w:type="dxa"/>
            <w:tcBorders>
              <w:top w:val="nil"/>
              <w:left w:val="nil"/>
              <w:bottom w:val="nil"/>
              <w:right w:val="nil"/>
            </w:tcBorders>
          </w:tcPr>
          <w:p w14:paraId="22349F3E"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Llevar al volumen con agua tipo I</w:t>
            </w:r>
          </w:p>
        </w:tc>
        <w:tc>
          <w:tcPr>
            <w:tcW w:w="4675" w:type="dxa"/>
            <w:tcBorders>
              <w:top w:val="nil"/>
              <w:left w:val="nil"/>
              <w:bottom w:val="nil"/>
              <w:right w:val="nil"/>
            </w:tcBorders>
          </w:tcPr>
          <w:p w14:paraId="65BE5C9E" w14:textId="588ECA60"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Bring to volume with water type I</w:t>
            </w:r>
          </w:p>
        </w:tc>
      </w:tr>
      <w:tr w:rsidR="0078772E" w:rsidRPr="00F01347" w14:paraId="2AB8F799" w14:textId="3CF91C57" w:rsidTr="00D02A88">
        <w:tc>
          <w:tcPr>
            <w:tcW w:w="4675" w:type="dxa"/>
            <w:tcBorders>
              <w:top w:val="nil"/>
              <w:left w:val="nil"/>
              <w:bottom w:val="nil"/>
              <w:right w:val="nil"/>
            </w:tcBorders>
          </w:tcPr>
          <w:p w14:paraId="0C802285"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Centrifugar a 1600 rpm por 30 minutos o dejar reposar toda la noche y analizar el sobrenadante.</w:t>
            </w:r>
          </w:p>
        </w:tc>
        <w:tc>
          <w:tcPr>
            <w:tcW w:w="4675" w:type="dxa"/>
            <w:tcBorders>
              <w:top w:val="nil"/>
              <w:left w:val="nil"/>
              <w:bottom w:val="nil"/>
              <w:right w:val="nil"/>
            </w:tcBorders>
          </w:tcPr>
          <w:p w14:paraId="3BC11896" w14:textId="78F698B7"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Centrifuge at 1600 rpm for 30 minutes or let sit overnight and analyze the supernatant.</w:t>
            </w:r>
          </w:p>
        </w:tc>
      </w:tr>
      <w:tr w:rsidR="0078772E" w:rsidRPr="00F01347" w14:paraId="2704F463" w14:textId="7A57D1A3" w:rsidTr="00D02A88">
        <w:tc>
          <w:tcPr>
            <w:tcW w:w="4675" w:type="dxa"/>
            <w:tcBorders>
              <w:top w:val="nil"/>
              <w:left w:val="nil"/>
              <w:bottom w:val="nil"/>
              <w:right w:val="nil"/>
            </w:tcBorders>
          </w:tcPr>
          <w:p w14:paraId="14FF73AA"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 xml:space="preserve">Se puede utilizar el horno de microondas para digerir las muestras si se forma un precipitado al adicionar el ácido nítrico. Proceder </w:t>
            </w:r>
            <w:proofErr w:type="gramStart"/>
            <w:r w:rsidRPr="00F01347">
              <w:rPr>
                <w:rFonts w:ascii="Verdana" w:hAnsi="Verdana"/>
                <w:sz w:val="16"/>
                <w:szCs w:val="16"/>
              </w:rPr>
              <w:t>de acuerdo a</w:t>
            </w:r>
            <w:proofErr w:type="gramEnd"/>
            <w:r w:rsidRPr="00F01347">
              <w:rPr>
                <w:rFonts w:ascii="Verdana" w:hAnsi="Verdana"/>
                <w:sz w:val="16"/>
                <w:szCs w:val="16"/>
              </w:rPr>
              <w:t xml:space="preserve"> las condiciones recomendadas por el fabricante.</w:t>
            </w:r>
          </w:p>
        </w:tc>
        <w:tc>
          <w:tcPr>
            <w:tcW w:w="4675" w:type="dxa"/>
            <w:tcBorders>
              <w:top w:val="nil"/>
              <w:left w:val="nil"/>
              <w:bottom w:val="nil"/>
              <w:right w:val="nil"/>
            </w:tcBorders>
          </w:tcPr>
          <w:p w14:paraId="16124BA9" w14:textId="20EF36E2"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 xml:space="preserve">The microwave oven can be used to digest the samples if a precipitate forms when </w:t>
            </w:r>
            <w:r w:rsidR="0088734E" w:rsidRPr="00F01347">
              <w:rPr>
                <w:rFonts w:ascii="Verdana" w:hAnsi="Verdana"/>
                <w:sz w:val="16"/>
                <w:szCs w:val="16"/>
                <w:lang w:val="en-US"/>
              </w:rPr>
              <w:t>nitric</w:t>
            </w:r>
            <w:r w:rsidRPr="00F01347">
              <w:rPr>
                <w:rFonts w:ascii="Verdana" w:hAnsi="Verdana"/>
                <w:sz w:val="16"/>
                <w:szCs w:val="16"/>
                <w:lang w:val="en-US"/>
              </w:rPr>
              <w:t xml:space="preserve"> acid is added. Proceed according to the conditions recommended by the manufacturer.</w:t>
            </w:r>
          </w:p>
        </w:tc>
      </w:tr>
      <w:tr w:rsidR="0078772E" w:rsidRPr="00F01347" w14:paraId="62596FC3" w14:textId="7830B386" w:rsidTr="00D02A88">
        <w:tc>
          <w:tcPr>
            <w:tcW w:w="4675" w:type="dxa"/>
            <w:tcBorders>
              <w:top w:val="nil"/>
              <w:left w:val="nil"/>
              <w:bottom w:val="nil"/>
              <w:right w:val="nil"/>
            </w:tcBorders>
          </w:tcPr>
          <w:p w14:paraId="04203337"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Preparar un blanco de reactivos fortificado por cada lote, analizar una muestra por duplicado y una muestra fortificada por cada 10 muestras o por grupo si son menos.</w:t>
            </w:r>
          </w:p>
        </w:tc>
        <w:tc>
          <w:tcPr>
            <w:tcW w:w="4675" w:type="dxa"/>
            <w:tcBorders>
              <w:top w:val="nil"/>
              <w:left w:val="nil"/>
              <w:bottom w:val="nil"/>
              <w:right w:val="nil"/>
            </w:tcBorders>
          </w:tcPr>
          <w:p w14:paraId="7F6411C3" w14:textId="6A2C2E74"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Prepare a fortified reagent blank for each lot, analyze one sample in duplicate and one fortified sample for every 10 samples or per group if there are fewer.</w:t>
            </w:r>
          </w:p>
        </w:tc>
      </w:tr>
      <w:tr w:rsidR="0078772E" w:rsidRPr="00F01347" w14:paraId="4C65866B" w14:textId="5EF4EB83" w:rsidTr="00D02A88">
        <w:tc>
          <w:tcPr>
            <w:tcW w:w="4675" w:type="dxa"/>
            <w:tcBorders>
              <w:top w:val="nil"/>
              <w:left w:val="nil"/>
              <w:bottom w:val="nil"/>
              <w:right w:val="nil"/>
            </w:tcBorders>
          </w:tcPr>
          <w:p w14:paraId="1C21812E"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b/>
                <w:sz w:val="16"/>
                <w:szCs w:val="16"/>
              </w:rPr>
              <w:lastRenderedPageBreak/>
              <w:t>B.4.1.6.3 Preparación de diluciones y curvas de calibración</w:t>
            </w:r>
          </w:p>
        </w:tc>
        <w:tc>
          <w:tcPr>
            <w:tcW w:w="4675" w:type="dxa"/>
            <w:tcBorders>
              <w:top w:val="nil"/>
              <w:left w:val="nil"/>
              <w:bottom w:val="nil"/>
              <w:right w:val="nil"/>
            </w:tcBorders>
          </w:tcPr>
          <w:p w14:paraId="74FBD747" w14:textId="3BFEFCB2" w:rsidR="0078772E" w:rsidRPr="00F01347" w:rsidRDefault="0078772E" w:rsidP="0078772E">
            <w:pPr>
              <w:pStyle w:val="texto0"/>
              <w:spacing w:line="226" w:lineRule="exact"/>
              <w:ind w:firstLine="0"/>
              <w:rPr>
                <w:rFonts w:ascii="Verdana" w:hAnsi="Verdana"/>
                <w:b/>
                <w:sz w:val="16"/>
                <w:szCs w:val="16"/>
                <w:lang w:val="en-US"/>
              </w:rPr>
            </w:pPr>
            <w:r w:rsidRPr="00F01347">
              <w:rPr>
                <w:rFonts w:ascii="Verdana" w:hAnsi="Verdana"/>
                <w:b/>
                <w:sz w:val="16"/>
                <w:szCs w:val="16"/>
                <w:lang w:val="en-US"/>
              </w:rPr>
              <w:t>B.4.1.6.3 Preparation of dilutions and calibration curves</w:t>
            </w:r>
          </w:p>
        </w:tc>
      </w:tr>
      <w:tr w:rsidR="0078772E" w:rsidRPr="00F01347" w14:paraId="2B15226A" w14:textId="07E34750" w:rsidTr="00D02A88">
        <w:tc>
          <w:tcPr>
            <w:tcW w:w="4675" w:type="dxa"/>
            <w:tcBorders>
              <w:top w:val="nil"/>
              <w:left w:val="nil"/>
              <w:bottom w:val="nil"/>
              <w:right w:val="nil"/>
            </w:tcBorders>
          </w:tcPr>
          <w:p w14:paraId="6DE2A65D"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 xml:space="preserve">Para la preparación de las disoluciones madre (más concentradas). Medir un volumen apropiado de disolución estándar (aprox. 1 a 10 </w:t>
            </w:r>
            <w:proofErr w:type="spellStart"/>
            <w:r w:rsidRPr="00F01347">
              <w:rPr>
                <w:rFonts w:ascii="Verdana" w:hAnsi="Verdana"/>
                <w:sz w:val="16"/>
                <w:szCs w:val="16"/>
              </w:rPr>
              <w:t>mL</w:t>
            </w:r>
            <w:proofErr w:type="spellEnd"/>
            <w:r w:rsidRPr="00F01347">
              <w:rPr>
                <w:rFonts w:ascii="Verdana" w:hAnsi="Verdana"/>
                <w:sz w:val="16"/>
                <w:szCs w:val="16"/>
              </w:rPr>
              <w:t>) para el aforo inicial, y hacer las diluciones necesarias utilizando material volumétrico verificado para su preparación. Para la preparación de las disoluciones más concentradas utilizar HNO</w:t>
            </w:r>
            <w:r w:rsidRPr="00F01347">
              <w:rPr>
                <w:rFonts w:ascii="Verdana" w:hAnsi="Verdana"/>
                <w:sz w:val="16"/>
                <w:szCs w:val="16"/>
                <w:vertAlign w:val="subscript"/>
              </w:rPr>
              <w:t>3</w:t>
            </w:r>
            <w:r w:rsidRPr="00F01347">
              <w:rPr>
                <w:rFonts w:ascii="Verdana" w:hAnsi="Verdana"/>
                <w:sz w:val="16"/>
                <w:szCs w:val="16"/>
              </w:rPr>
              <w:t xml:space="preserve"> de alta pureza de tal forma que la concentración final del ácido sea del 2 al 5% para poder preservar las disoluciones estándar por mayor tiempo, mantener éstas, bien tapadas y en recipientes de PTFE de preferencia.</w:t>
            </w:r>
          </w:p>
        </w:tc>
        <w:tc>
          <w:tcPr>
            <w:tcW w:w="4675" w:type="dxa"/>
            <w:tcBorders>
              <w:top w:val="nil"/>
              <w:left w:val="nil"/>
              <w:bottom w:val="nil"/>
              <w:right w:val="nil"/>
            </w:tcBorders>
          </w:tcPr>
          <w:p w14:paraId="35336EE0" w14:textId="41B372F4"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For the preparation of mother solutions (more concentrated). Measure an appropriate volume of standard solution (approx. 1 to 10 mL</w:t>
            </w:r>
            <w:r w:rsidR="00913802" w:rsidRPr="00F01347">
              <w:rPr>
                <w:rFonts w:ascii="Verdana" w:hAnsi="Verdana"/>
                <w:sz w:val="16"/>
                <w:szCs w:val="16"/>
                <w:lang w:val="en-US"/>
              </w:rPr>
              <w:t>)</w:t>
            </w:r>
            <w:r w:rsidRPr="00F01347">
              <w:rPr>
                <w:rFonts w:ascii="Verdana" w:hAnsi="Verdana"/>
                <w:sz w:val="16"/>
                <w:szCs w:val="16"/>
                <w:lang w:val="en-US"/>
              </w:rPr>
              <w:t xml:space="preserve"> for the initial </w:t>
            </w:r>
            <w:r w:rsidR="0088734E" w:rsidRPr="00F01347">
              <w:rPr>
                <w:rFonts w:ascii="Verdana" w:hAnsi="Verdana"/>
                <w:sz w:val="16"/>
                <w:szCs w:val="16"/>
                <w:lang w:val="en-US"/>
              </w:rPr>
              <w:t>volume and</w:t>
            </w:r>
            <w:r w:rsidRPr="00F01347">
              <w:rPr>
                <w:rFonts w:ascii="Verdana" w:hAnsi="Verdana"/>
                <w:sz w:val="16"/>
                <w:szCs w:val="16"/>
                <w:lang w:val="en-US"/>
              </w:rPr>
              <w:t xml:space="preserve"> make the necessary dilutions using verified volumetric material for its preparation. To prepare the most concentrated solutions, use high-purity HNO</w:t>
            </w:r>
            <w:r w:rsidRPr="00F01347">
              <w:rPr>
                <w:rFonts w:ascii="Verdana" w:hAnsi="Verdana"/>
                <w:sz w:val="16"/>
                <w:szCs w:val="16"/>
                <w:vertAlign w:val="subscript"/>
                <w:lang w:val="en-US"/>
              </w:rPr>
              <w:t xml:space="preserve">3 </w:t>
            </w:r>
            <w:r w:rsidRPr="00F01347">
              <w:rPr>
                <w:rFonts w:ascii="Verdana" w:hAnsi="Verdana"/>
                <w:sz w:val="16"/>
                <w:szCs w:val="16"/>
                <w:lang w:val="en-US"/>
              </w:rPr>
              <w:t xml:space="preserve">so that the final concentration of the acid is 2 to 5% </w:t>
            </w: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preserve the standard solutions for a longer time. Keep them well covered and in PTFE containers. preference.</w:t>
            </w:r>
          </w:p>
        </w:tc>
      </w:tr>
      <w:tr w:rsidR="0078772E" w:rsidRPr="00F01347" w14:paraId="03D3A9A1" w14:textId="360F8307" w:rsidTr="00D02A88">
        <w:tc>
          <w:tcPr>
            <w:tcW w:w="4675" w:type="dxa"/>
            <w:tcBorders>
              <w:top w:val="nil"/>
              <w:left w:val="nil"/>
              <w:bottom w:val="nil"/>
              <w:right w:val="nil"/>
            </w:tcBorders>
          </w:tcPr>
          <w:p w14:paraId="64D6143F"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Para la preparación de las disoluciones de trabajo y de la curva de calibración utilizar HNO</w:t>
            </w:r>
            <w:r w:rsidRPr="00F01347">
              <w:rPr>
                <w:rFonts w:ascii="Verdana" w:hAnsi="Verdana"/>
                <w:sz w:val="16"/>
                <w:szCs w:val="16"/>
                <w:vertAlign w:val="subscript"/>
              </w:rPr>
              <w:t>3</w:t>
            </w:r>
            <w:r w:rsidRPr="00F01347">
              <w:rPr>
                <w:rFonts w:ascii="Verdana" w:hAnsi="Verdana"/>
                <w:sz w:val="16"/>
                <w:szCs w:val="16"/>
              </w:rPr>
              <w:t xml:space="preserve"> de alta pureza y la concentración final del ácido debe estar entre 0.1 a 0.2%. Preparar éstas el mismo día del análisis.</w:t>
            </w:r>
          </w:p>
        </w:tc>
        <w:tc>
          <w:tcPr>
            <w:tcW w:w="4675" w:type="dxa"/>
            <w:tcBorders>
              <w:top w:val="nil"/>
              <w:left w:val="nil"/>
              <w:bottom w:val="nil"/>
              <w:right w:val="nil"/>
            </w:tcBorders>
          </w:tcPr>
          <w:p w14:paraId="0C228301" w14:textId="654AF300"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For the preparation of the working solutions and the calibration curve, use high purity HNO</w:t>
            </w:r>
            <w:r w:rsidRPr="00F01347">
              <w:rPr>
                <w:rFonts w:ascii="Verdana" w:hAnsi="Verdana"/>
                <w:sz w:val="16"/>
                <w:szCs w:val="16"/>
                <w:vertAlign w:val="subscript"/>
                <w:lang w:val="en-US"/>
              </w:rPr>
              <w:t xml:space="preserve">3 </w:t>
            </w:r>
            <w:r w:rsidRPr="00F01347">
              <w:rPr>
                <w:rFonts w:ascii="Verdana" w:hAnsi="Verdana"/>
                <w:sz w:val="16"/>
                <w:szCs w:val="16"/>
                <w:lang w:val="en-US"/>
              </w:rPr>
              <w:t>and the final concentration of the acid should be between 0.1 to 0.2%</w:t>
            </w:r>
            <w:r w:rsidRPr="00F01347">
              <w:rPr>
                <w:rFonts w:ascii="Verdana" w:hAnsi="Verdana"/>
                <w:sz w:val="16"/>
                <w:szCs w:val="16"/>
                <w:vertAlign w:val="subscript"/>
                <w:lang w:val="en-US"/>
              </w:rPr>
              <w:t xml:space="preserve">. </w:t>
            </w:r>
            <w:r w:rsidRPr="00F01347">
              <w:rPr>
                <w:rFonts w:ascii="Verdana" w:hAnsi="Verdana"/>
                <w:sz w:val="16"/>
                <w:szCs w:val="16"/>
                <w:lang w:val="en-US"/>
              </w:rPr>
              <w:t>Prepare these on the same day of the analysis.</w:t>
            </w:r>
          </w:p>
        </w:tc>
      </w:tr>
      <w:tr w:rsidR="0078772E" w:rsidRPr="00F01347" w14:paraId="4AD36DA9" w14:textId="6BEFBDB8" w:rsidTr="00D02A88">
        <w:tc>
          <w:tcPr>
            <w:tcW w:w="4675" w:type="dxa"/>
            <w:tcBorders>
              <w:top w:val="nil"/>
              <w:left w:val="nil"/>
              <w:bottom w:val="nil"/>
              <w:right w:val="nil"/>
            </w:tcBorders>
          </w:tcPr>
          <w:p w14:paraId="6A1F38D0" w14:textId="77777777" w:rsidR="0078772E" w:rsidRPr="00F01347" w:rsidRDefault="0078772E" w:rsidP="0078772E">
            <w:pPr>
              <w:pStyle w:val="texto0"/>
              <w:spacing w:line="226" w:lineRule="exact"/>
              <w:ind w:firstLine="0"/>
              <w:rPr>
                <w:rFonts w:ascii="Verdana" w:hAnsi="Verdana"/>
                <w:sz w:val="16"/>
                <w:szCs w:val="16"/>
              </w:rPr>
            </w:pPr>
            <w:r w:rsidRPr="00F01347">
              <w:rPr>
                <w:rFonts w:ascii="Verdana" w:hAnsi="Verdana"/>
                <w:sz w:val="16"/>
                <w:szCs w:val="16"/>
              </w:rPr>
              <w:t>Para preparar la solución de trabajo de plata (Ag), disolver la plata en 80 ml de HNO</w:t>
            </w:r>
            <w:r w:rsidRPr="00F01347">
              <w:rPr>
                <w:rFonts w:ascii="Verdana" w:hAnsi="Verdana"/>
                <w:sz w:val="16"/>
                <w:szCs w:val="16"/>
                <w:vertAlign w:val="subscript"/>
              </w:rPr>
              <w:t>3</w:t>
            </w:r>
            <w:r w:rsidRPr="00F01347">
              <w:rPr>
                <w:rFonts w:ascii="Verdana" w:hAnsi="Verdana"/>
                <w:sz w:val="16"/>
                <w:szCs w:val="16"/>
              </w:rPr>
              <w:t xml:space="preserve"> (1+1) calentando para lograr la disolución, enfriar y diluir al volumen con agua en un matraz volumétrico de 1000mL. Reservar la solución en una botella cambar sellada completamente con una hoja de aluminio para proteger de la luz.</w:t>
            </w:r>
          </w:p>
        </w:tc>
        <w:tc>
          <w:tcPr>
            <w:tcW w:w="4675" w:type="dxa"/>
            <w:tcBorders>
              <w:top w:val="nil"/>
              <w:left w:val="nil"/>
              <w:bottom w:val="nil"/>
              <w:right w:val="nil"/>
            </w:tcBorders>
          </w:tcPr>
          <w:p w14:paraId="674E3261" w14:textId="0759250A" w:rsidR="0078772E" w:rsidRPr="00F01347" w:rsidRDefault="0078772E" w:rsidP="0078772E">
            <w:pPr>
              <w:pStyle w:val="texto0"/>
              <w:spacing w:line="226" w:lineRule="exact"/>
              <w:ind w:firstLine="0"/>
              <w:rPr>
                <w:rFonts w:ascii="Verdana" w:hAnsi="Verdana"/>
                <w:sz w:val="16"/>
                <w:szCs w:val="16"/>
                <w:lang w:val="en-US"/>
              </w:rPr>
            </w:pPr>
            <w:r w:rsidRPr="00F01347">
              <w:rPr>
                <w:rFonts w:ascii="Verdana" w:hAnsi="Verdana"/>
                <w:sz w:val="16"/>
                <w:szCs w:val="16"/>
                <w:lang w:val="en-US"/>
              </w:rPr>
              <w:t>To prepare the working silver (Ag) solution, dissolve the silver in 80 mL of HNO</w:t>
            </w:r>
            <w:r w:rsidRPr="00F01347">
              <w:rPr>
                <w:rFonts w:ascii="Verdana" w:hAnsi="Verdana"/>
                <w:sz w:val="16"/>
                <w:szCs w:val="16"/>
                <w:vertAlign w:val="subscript"/>
                <w:lang w:val="en-US"/>
              </w:rPr>
              <w:t xml:space="preserve">3 </w:t>
            </w:r>
            <w:r w:rsidRPr="00F01347">
              <w:rPr>
                <w:rFonts w:ascii="Verdana" w:hAnsi="Verdana"/>
                <w:sz w:val="16"/>
                <w:szCs w:val="16"/>
                <w:lang w:val="en-US"/>
              </w:rPr>
              <w:t xml:space="preserve">(1+1) by heating to dissolve, cool and dilute to volume with water in a 1000 mL volumetric flask. Reserve the solution in a </w:t>
            </w:r>
            <w:proofErr w:type="spellStart"/>
            <w:r w:rsidRPr="00F01347">
              <w:rPr>
                <w:rFonts w:ascii="Verdana" w:hAnsi="Verdana"/>
                <w:sz w:val="16"/>
                <w:szCs w:val="16"/>
                <w:lang w:val="en-US"/>
              </w:rPr>
              <w:t>cambar</w:t>
            </w:r>
            <w:proofErr w:type="spellEnd"/>
            <w:r w:rsidRPr="00F01347">
              <w:rPr>
                <w:rFonts w:ascii="Verdana" w:hAnsi="Verdana"/>
                <w:sz w:val="16"/>
                <w:szCs w:val="16"/>
                <w:lang w:val="en-US"/>
              </w:rPr>
              <w:t xml:space="preserve"> bottle sealed completely with an aluminum foil to protect from light.</w:t>
            </w:r>
          </w:p>
        </w:tc>
      </w:tr>
      <w:tr w:rsidR="0078772E" w:rsidRPr="00F01347" w14:paraId="4E46B005" w14:textId="3A9A3176" w:rsidTr="00D02A88">
        <w:tc>
          <w:tcPr>
            <w:tcW w:w="4675" w:type="dxa"/>
            <w:tcBorders>
              <w:top w:val="nil"/>
              <w:left w:val="nil"/>
              <w:bottom w:val="nil"/>
              <w:right w:val="nil"/>
            </w:tcBorders>
          </w:tcPr>
          <w:p w14:paraId="2C22CE07" w14:textId="77777777" w:rsidR="0078772E" w:rsidRPr="00F01347" w:rsidRDefault="0078772E" w:rsidP="0078772E">
            <w:pPr>
              <w:pStyle w:val="texto0"/>
              <w:ind w:firstLine="0"/>
              <w:rPr>
                <w:rFonts w:ascii="Verdana" w:hAnsi="Verdana"/>
                <w:sz w:val="16"/>
                <w:szCs w:val="16"/>
              </w:rPr>
            </w:pPr>
            <w:r w:rsidRPr="00F01347">
              <w:rPr>
                <w:rFonts w:ascii="Verdana" w:hAnsi="Verdana"/>
                <w:sz w:val="16"/>
                <w:szCs w:val="16"/>
              </w:rPr>
              <w:t xml:space="preserve">Para preparar la solución de trabajo de aluminio (Al), disolver el aluminio en 4 </w:t>
            </w:r>
            <w:proofErr w:type="spellStart"/>
            <w:r w:rsidRPr="00F01347">
              <w:rPr>
                <w:rFonts w:ascii="Verdana" w:hAnsi="Verdana"/>
                <w:sz w:val="16"/>
                <w:szCs w:val="16"/>
              </w:rPr>
              <w:t>mL</w:t>
            </w:r>
            <w:proofErr w:type="spellEnd"/>
            <w:r w:rsidRPr="00F01347">
              <w:rPr>
                <w:rFonts w:ascii="Verdana" w:hAnsi="Verdana"/>
                <w:sz w:val="16"/>
                <w:szCs w:val="16"/>
              </w:rPr>
              <w:t xml:space="preserve"> de HCl (1+1) y 1 </w:t>
            </w:r>
            <w:proofErr w:type="spellStart"/>
            <w:r w:rsidRPr="00F01347">
              <w:rPr>
                <w:rFonts w:ascii="Verdana" w:hAnsi="Verdana"/>
                <w:sz w:val="16"/>
                <w:szCs w:val="16"/>
              </w:rPr>
              <w:t>mL</w:t>
            </w:r>
            <w:proofErr w:type="spellEnd"/>
            <w:r w:rsidRPr="00F01347">
              <w:rPr>
                <w:rFonts w:ascii="Verdana" w:hAnsi="Verdana"/>
                <w:sz w:val="16"/>
                <w:szCs w:val="16"/>
              </w:rPr>
              <w:t xml:space="preserve"> de HNO</w:t>
            </w:r>
            <w:r w:rsidRPr="00F01347">
              <w:rPr>
                <w:rFonts w:ascii="Verdana" w:hAnsi="Verdana"/>
                <w:sz w:val="16"/>
                <w:szCs w:val="16"/>
                <w:vertAlign w:val="subscript"/>
              </w:rPr>
              <w:t>3</w:t>
            </w:r>
            <w:r w:rsidRPr="00F01347">
              <w:rPr>
                <w:rFonts w:ascii="Verdana" w:hAnsi="Verdana"/>
                <w:sz w:val="16"/>
                <w:szCs w:val="16"/>
              </w:rPr>
              <w:t xml:space="preserve"> concentrado en un cubo. Calentar el cubo lentamente para inducir la solución. Transferir la solución cuantitativamente a un matraz volumétrico de 1000 </w:t>
            </w:r>
            <w:proofErr w:type="spellStart"/>
            <w:r w:rsidRPr="00F01347">
              <w:rPr>
                <w:rFonts w:ascii="Verdana" w:hAnsi="Verdana"/>
                <w:sz w:val="16"/>
                <w:szCs w:val="16"/>
              </w:rPr>
              <w:t>mL</w:t>
            </w:r>
            <w:proofErr w:type="spellEnd"/>
            <w:r w:rsidRPr="00F01347">
              <w:rPr>
                <w:rFonts w:ascii="Verdana" w:hAnsi="Verdana"/>
                <w:sz w:val="16"/>
                <w:szCs w:val="16"/>
              </w:rPr>
              <w:t>. Añadir 10mL de HCl (1+1) y diluir al volumen deseado con agua.</w:t>
            </w:r>
          </w:p>
        </w:tc>
        <w:tc>
          <w:tcPr>
            <w:tcW w:w="4675" w:type="dxa"/>
            <w:tcBorders>
              <w:top w:val="nil"/>
              <w:left w:val="nil"/>
              <w:bottom w:val="nil"/>
              <w:right w:val="nil"/>
            </w:tcBorders>
          </w:tcPr>
          <w:p w14:paraId="4868424D" w14:textId="01EEA28A" w:rsidR="0078772E" w:rsidRPr="00F01347" w:rsidRDefault="0078772E" w:rsidP="0078772E">
            <w:pPr>
              <w:pStyle w:val="texto0"/>
              <w:ind w:firstLine="0"/>
              <w:rPr>
                <w:rFonts w:ascii="Verdana" w:hAnsi="Verdana"/>
                <w:sz w:val="16"/>
                <w:szCs w:val="16"/>
                <w:lang w:val="en-US"/>
              </w:rPr>
            </w:pPr>
            <w:r w:rsidRPr="00F01347">
              <w:rPr>
                <w:rFonts w:ascii="Verdana" w:hAnsi="Verdana"/>
                <w:sz w:val="16"/>
                <w:szCs w:val="16"/>
                <w:lang w:val="en-US"/>
              </w:rPr>
              <w:t>To prepare the working solution of aluminum (Al), dissolve the aluminum in 4 mL of HCl (1+1) and 1 mL of concentrated HNO</w:t>
            </w:r>
            <w:r w:rsidRPr="00F01347">
              <w:rPr>
                <w:rFonts w:ascii="Verdana" w:hAnsi="Verdana"/>
                <w:sz w:val="16"/>
                <w:szCs w:val="16"/>
                <w:vertAlign w:val="subscript"/>
                <w:lang w:val="en-US"/>
              </w:rPr>
              <w:t xml:space="preserve">3 </w:t>
            </w:r>
            <w:r w:rsidRPr="00F01347">
              <w:rPr>
                <w:rFonts w:ascii="Verdana" w:hAnsi="Verdana"/>
                <w:sz w:val="16"/>
                <w:szCs w:val="16"/>
                <w:lang w:val="en-US"/>
              </w:rPr>
              <w:t>in a cube. Heat the cube slowly to induce the solution. Transfer the solution quantitatively to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Add 10mL of HCl (1+1) and dilute to the desired volume with water.</w:t>
            </w:r>
          </w:p>
        </w:tc>
      </w:tr>
      <w:tr w:rsidR="0078772E" w:rsidRPr="00F01347" w14:paraId="682E8FDC" w14:textId="0D262B9F" w:rsidTr="00D02A88">
        <w:tc>
          <w:tcPr>
            <w:tcW w:w="4675" w:type="dxa"/>
            <w:tcBorders>
              <w:top w:val="nil"/>
              <w:left w:val="nil"/>
              <w:bottom w:val="nil"/>
              <w:right w:val="nil"/>
            </w:tcBorders>
          </w:tcPr>
          <w:p w14:paraId="08DB829E" w14:textId="77777777" w:rsidR="0078772E" w:rsidRPr="00F01347" w:rsidRDefault="0078772E" w:rsidP="0078772E">
            <w:pPr>
              <w:pStyle w:val="texto0"/>
              <w:ind w:firstLine="0"/>
              <w:rPr>
                <w:rFonts w:ascii="Verdana" w:hAnsi="Verdana"/>
                <w:sz w:val="16"/>
                <w:szCs w:val="16"/>
              </w:rPr>
            </w:pPr>
            <w:r w:rsidRPr="00F01347">
              <w:rPr>
                <w:rFonts w:ascii="Verdana" w:hAnsi="Verdana"/>
                <w:sz w:val="16"/>
                <w:szCs w:val="16"/>
              </w:rPr>
              <w:t>Preparar 5 niveles de concentración dentro del intervalo de trabajo. El intervalo depende de la sensibilidad del instrumento, del tipo de matriz y del uso de modificadores, tomar como guía la Tabla B.4.1-1, de este Apéndice, para un volumen de muestra de 20 µL.</w:t>
            </w:r>
          </w:p>
        </w:tc>
        <w:tc>
          <w:tcPr>
            <w:tcW w:w="4675" w:type="dxa"/>
            <w:tcBorders>
              <w:top w:val="nil"/>
              <w:left w:val="nil"/>
              <w:bottom w:val="nil"/>
              <w:right w:val="nil"/>
            </w:tcBorders>
          </w:tcPr>
          <w:p w14:paraId="7A796327" w14:textId="77777777" w:rsidR="0078772E" w:rsidRPr="00F01347" w:rsidRDefault="0078772E" w:rsidP="0078772E">
            <w:pPr>
              <w:pStyle w:val="texto0"/>
              <w:ind w:firstLine="0"/>
              <w:rPr>
                <w:rFonts w:ascii="Verdana" w:hAnsi="Verdana"/>
                <w:sz w:val="16"/>
                <w:szCs w:val="16"/>
                <w:lang w:val="en-US"/>
              </w:rPr>
            </w:pPr>
            <w:r w:rsidRPr="00F01347">
              <w:rPr>
                <w:rFonts w:ascii="Verdana" w:hAnsi="Verdana"/>
                <w:sz w:val="16"/>
                <w:szCs w:val="16"/>
                <w:lang w:val="en-US"/>
              </w:rPr>
              <w:t>Prepare 5 concentration levels within the working range. The interval depends on the sensitivity of the instrument, the type of matrix and the use of modifiers, take Table B.4.1-1, of this Appendix, as a guide, for a sample volume of 20 µL.</w:t>
            </w:r>
          </w:p>
          <w:p w14:paraId="0C6435E7" w14:textId="46CFADFF" w:rsidR="00A274E2" w:rsidRPr="00F01347" w:rsidRDefault="00A274E2" w:rsidP="0078772E">
            <w:pPr>
              <w:pStyle w:val="texto0"/>
              <w:ind w:firstLine="0"/>
              <w:rPr>
                <w:rFonts w:ascii="Verdana" w:hAnsi="Verdana"/>
                <w:sz w:val="16"/>
                <w:szCs w:val="16"/>
                <w:lang w:val="en-US"/>
              </w:rPr>
            </w:pPr>
          </w:p>
        </w:tc>
      </w:tr>
    </w:tbl>
    <w:p w14:paraId="7A02D957" w14:textId="77777777" w:rsidR="00D02A88" w:rsidRPr="00F01347" w:rsidRDefault="00D02A88" w:rsidP="003A601B">
      <w:pPr>
        <w:pStyle w:val="texto0"/>
        <w:rPr>
          <w:rFonts w:ascii="Verdana" w:hAnsi="Verdana"/>
          <w:b/>
          <w:sz w:val="16"/>
          <w:szCs w:val="16"/>
        </w:rPr>
      </w:pPr>
    </w:p>
    <w:p w14:paraId="44B5C729" w14:textId="2AD8C092" w:rsidR="00A74CDF" w:rsidRPr="00F01347" w:rsidRDefault="00D965DA" w:rsidP="003A601B">
      <w:pPr>
        <w:pStyle w:val="texto0"/>
        <w:rPr>
          <w:rFonts w:ascii="Verdana" w:hAnsi="Verdana"/>
          <w:sz w:val="16"/>
          <w:szCs w:val="16"/>
        </w:rPr>
      </w:pPr>
      <w:r w:rsidRPr="00F01347">
        <w:rPr>
          <w:rFonts w:ascii="Verdana" w:hAnsi="Verdana"/>
          <w:b/>
          <w:sz w:val="16"/>
          <w:szCs w:val="16"/>
        </w:rPr>
        <w:t xml:space="preserve">Tabla B.4.1-1. </w:t>
      </w:r>
      <w:r w:rsidRPr="00F01347">
        <w:rPr>
          <w:rFonts w:ascii="Verdana" w:hAnsi="Verdana"/>
          <w:sz w:val="16"/>
          <w:szCs w:val="16"/>
        </w:rPr>
        <w:t>Intervalo de trabajo óptimo para plata y aluminio</w:t>
      </w:r>
    </w:p>
    <w:tbl>
      <w:tblPr>
        <w:tblStyle w:val="TableGrid"/>
        <w:tblW w:w="5000" w:type="pct"/>
        <w:tblLayout w:type="fixed"/>
        <w:tblLook w:val="04A0" w:firstRow="1" w:lastRow="0" w:firstColumn="1" w:lastColumn="0" w:noHBand="0" w:noVBand="1"/>
      </w:tblPr>
      <w:tblGrid>
        <w:gridCol w:w="2339"/>
        <w:gridCol w:w="2341"/>
        <w:gridCol w:w="2339"/>
        <w:gridCol w:w="2341"/>
      </w:tblGrid>
      <w:tr w:rsidR="00D965DA" w:rsidRPr="00F01347" w14:paraId="080E7080" w14:textId="77777777" w:rsidTr="00D02A88">
        <w:trPr>
          <w:trHeight w:val="20"/>
        </w:trPr>
        <w:tc>
          <w:tcPr>
            <w:tcW w:w="1861" w:type="dxa"/>
            <w:tcBorders>
              <w:top w:val="nil"/>
              <w:left w:val="nil"/>
              <w:bottom w:val="nil"/>
              <w:right w:val="nil"/>
            </w:tcBorders>
          </w:tcPr>
          <w:p w14:paraId="2B3707AB" w14:textId="77777777" w:rsidR="00D965DA" w:rsidRPr="00F01347" w:rsidRDefault="00D965DA" w:rsidP="008F3634">
            <w:pPr>
              <w:pStyle w:val="texto0"/>
              <w:ind w:firstLine="0"/>
              <w:jc w:val="center"/>
              <w:rPr>
                <w:rFonts w:ascii="Verdana" w:hAnsi="Verdana"/>
                <w:b/>
                <w:sz w:val="16"/>
                <w:szCs w:val="16"/>
              </w:rPr>
            </w:pPr>
            <w:r w:rsidRPr="00F01347">
              <w:rPr>
                <w:rFonts w:ascii="Verdana" w:hAnsi="Verdana"/>
                <w:b/>
                <w:sz w:val="16"/>
                <w:szCs w:val="16"/>
              </w:rPr>
              <w:t>Elemento</w:t>
            </w:r>
          </w:p>
        </w:tc>
        <w:tc>
          <w:tcPr>
            <w:tcW w:w="1862" w:type="dxa"/>
            <w:tcBorders>
              <w:top w:val="nil"/>
              <w:left w:val="nil"/>
              <w:bottom w:val="nil"/>
              <w:right w:val="nil"/>
            </w:tcBorders>
          </w:tcPr>
          <w:p w14:paraId="792E0389" w14:textId="77777777" w:rsidR="00D965DA" w:rsidRPr="00F01347" w:rsidRDefault="00D965DA" w:rsidP="008F3634">
            <w:pPr>
              <w:pStyle w:val="texto0"/>
              <w:ind w:firstLine="0"/>
              <w:jc w:val="center"/>
              <w:rPr>
                <w:rFonts w:ascii="Verdana" w:hAnsi="Verdana"/>
                <w:b/>
                <w:sz w:val="16"/>
                <w:szCs w:val="16"/>
              </w:rPr>
            </w:pPr>
            <w:proofErr w:type="spellStart"/>
            <w:r w:rsidRPr="00F01347">
              <w:rPr>
                <w:rFonts w:ascii="Verdana" w:hAnsi="Verdana"/>
                <w:b/>
                <w:sz w:val="16"/>
                <w:szCs w:val="16"/>
              </w:rPr>
              <w:t>Element</w:t>
            </w:r>
            <w:proofErr w:type="spellEnd"/>
          </w:p>
        </w:tc>
        <w:tc>
          <w:tcPr>
            <w:tcW w:w="1861" w:type="dxa"/>
            <w:tcBorders>
              <w:top w:val="nil"/>
              <w:left w:val="nil"/>
              <w:bottom w:val="nil"/>
              <w:right w:val="nil"/>
            </w:tcBorders>
          </w:tcPr>
          <w:p w14:paraId="754A857E" w14:textId="77777777" w:rsidR="00D965DA" w:rsidRPr="00F01347" w:rsidRDefault="00D965DA" w:rsidP="008F3634">
            <w:pPr>
              <w:pStyle w:val="texto0"/>
              <w:ind w:firstLine="0"/>
              <w:jc w:val="center"/>
              <w:rPr>
                <w:rFonts w:ascii="Verdana" w:hAnsi="Verdana"/>
                <w:b/>
                <w:sz w:val="16"/>
                <w:szCs w:val="16"/>
              </w:rPr>
            </w:pPr>
            <w:proofErr w:type="spellStart"/>
            <w:r w:rsidRPr="00F01347">
              <w:rPr>
                <w:rFonts w:ascii="Verdana" w:hAnsi="Verdana"/>
                <w:b/>
                <w:sz w:val="16"/>
                <w:szCs w:val="16"/>
              </w:rPr>
              <w:t>Characteristic</w:t>
            </w:r>
            <w:proofErr w:type="spellEnd"/>
            <w:r w:rsidRPr="00F01347">
              <w:rPr>
                <w:rFonts w:ascii="Verdana" w:hAnsi="Verdana"/>
                <w:b/>
                <w:sz w:val="16"/>
                <w:szCs w:val="16"/>
              </w:rPr>
              <w:t xml:space="preserve"> </w:t>
            </w:r>
            <w:proofErr w:type="spellStart"/>
            <w:r w:rsidRPr="00F01347">
              <w:rPr>
                <w:rFonts w:ascii="Verdana" w:hAnsi="Verdana"/>
                <w:b/>
                <w:sz w:val="16"/>
                <w:szCs w:val="16"/>
              </w:rPr>
              <w:t>mass</w:t>
            </w:r>
            <w:proofErr w:type="spellEnd"/>
            <w:r w:rsidRPr="00F01347">
              <w:rPr>
                <w:rFonts w:ascii="Verdana" w:hAnsi="Verdana"/>
                <w:b/>
                <w:sz w:val="16"/>
                <w:szCs w:val="16"/>
              </w:rPr>
              <w:t xml:space="preserve"> (m0) (</w:t>
            </w:r>
            <w:proofErr w:type="spellStart"/>
            <w:r w:rsidRPr="00F01347">
              <w:rPr>
                <w:rFonts w:ascii="Verdana" w:hAnsi="Verdana"/>
                <w:b/>
                <w:sz w:val="16"/>
                <w:szCs w:val="16"/>
              </w:rPr>
              <w:t>pg</w:t>
            </w:r>
            <w:proofErr w:type="spellEnd"/>
            <w:r w:rsidRPr="00F01347">
              <w:rPr>
                <w:rFonts w:ascii="Verdana" w:hAnsi="Verdana"/>
                <w:b/>
                <w:sz w:val="16"/>
                <w:szCs w:val="16"/>
              </w:rPr>
              <w:t>)</w:t>
            </w:r>
          </w:p>
        </w:tc>
        <w:tc>
          <w:tcPr>
            <w:tcW w:w="1862" w:type="dxa"/>
            <w:tcBorders>
              <w:top w:val="nil"/>
              <w:left w:val="nil"/>
              <w:bottom w:val="nil"/>
              <w:right w:val="nil"/>
            </w:tcBorders>
          </w:tcPr>
          <w:p w14:paraId="46F0342D" w14:textId="77777777" w:rsidR="00D965DA" w:rsidRPr="00F01347" w:rsidRDefault="00D965DA" w:rsidP="008F3634">
            <w:pPr>
              <w:pStyle w:val="texto0"/>
              <w:ind w:firstLine="0"/>
              <w:jc w:val="center"/>
              <w:rPr>
                <w:rFonts w:ascii="Verdana" w:hAnsi="Verdana"/>
                <w:b/>
                <w:sz w:val="16"/>
                <w:szCs w:val="16"/>
              </w:rPr>
            </w:pPr>
            <w:proofErr w:type="spellStart"/>
            <w:r w:rsidRPr="00F01347">
              <w:rPr>
                <w:rFonts w:ascii="Verdana" w:hAnsi="Verdana"/>
                <w:b/>
                <w:sz w:val="16"/>
                <w:szCs w:val="16"/>
              </w:rPr>
              <w:t>Detection</w:t>
            </w:r>
            <w:proofErr w:type="spellEnd"/>
            <w:r w:rsidRPr="00F01347">
              <w:rPr>
                <w:rFonts w:ascii="Verdana" w:hAnsi="Verdana"/>
                <w:b/>
                <w:sz w:val="16"/>
                <w:szCs w:val="16"/>
              </w:rPr>
              <w:t xml:space="preserve"> </w:t>
            </w:r>
            <w:proofErr w:type="spellStart"/>
            <w:r w:rsidRPr="00F01347">
              <w:rPr>
                <w:rFonts w:ascii="Verdana" w:hAnsi="Verdana"/>
                <w:b/>
                <w:sz w:val="16"/>
                <w:szCs w:val="16"/>
              </w:rPr>
              <w:t>limit</w:t>
            </w:r>
            <w:proofErr w:type="spellEnd"/>
            <w:r w:rsidRPr="00F01347">
              <w:rPr>
                <w:rFonts w:ascii="Verdana" w:hAnsi="Verdana"/>
                <w:b/>
                <w:sz w:val="16"/>
                <w:szCs w:val="16"/>
              </w:rPr>
              <w:t xml:space="preserve"> (µg/L)</w:t>
            </w:r>
          </w:p>
        </w:tc>
      </w:tr>
      <w:tr w:rsidR="00D965DA" w:rsidRPr="00F01347" w14:paraId="70476809" w14:textId="77777777" w:rsidTr="00D02A88">
        <w:trPr>
          <w:trHeight w:val="20"/>
        </w:trPr>
        <w:tc>
          <w:tcPr>
            <w:tcW w:w="1861" w:type="dxa"/>
            <w:tcBorders>
              <w:top w:val="nil"/>
              <w:left w:val="nil"/>
              <w:bottom w:val="nil"/>
              <w:right w:val="nil"/>
            </w:tcBorders>
          </w:tcPr>
          <w:p w14:paraId="2CFEA349" w14:textId="77777777" w:rsidR="00D965DA" w:rsidRPr="00F01347" w:rsidRDefault="00D965DA" w:rsidP="008F3634">
            <w:pPr>
              <w:pStyle w:val="texto0"/>
              <w:ind w:firstLine="0"/>
              <w:jc w:val="center"/>
              <w:rPr>
                <w:rFonts w:ascii="Verdana" w:hAnsi="Verdana"/>
                <w:sz w:val="16"/>
                <w:szCs w:val="16"/>
              </w:rPr>
            </w:pPr>
            <w:r w:rsidRPr="00F01347">
              <w:rPr>
                <w:rFonts w:ascii="Verdana" w:hAnsi="Verdana"/>
                <w:sz w:val="16"/>
                <w:szCs w:val="16"/>
              </w:rPr>
              <w:t>Ag</w:t>
            </w:r>
          </w:p>
        </w:tc>
        <w:tc>
          <w:tcPr>
            <w:tcW w:w="1862" w:type="dxa"/>
            <w:tcBorders>
              <w:top w:val="nil"/>
              <w:left w:val="nil"/>
              <w:bottom w:val="nil"/>
              <w:right w:val="nil"/>
            </w:tcBorders>
          </w:tcPr>
          <w:p w14:paraId="3FCAF79E" w14:textId="77777777" w:rsidR="00D965DA" w:rsidRPr="00F01347" w:rsidRDefault="00D965DA" w:rsidP="008F3634">
            <w:pPr>
              <w:pStyle w:val="texto0"/>
              <w:ind w:firstLine="0"/>
              <w:jc w:val="center"/>
              <w:rPr>
                <w:rFonts w:ascii="Verdana" w:hAnsi="Verdana"/>
                <w:sz w:val="16"/>
                <w:szCs w:val="16"/>
              </w:rPr>
            </w:pPr>
            <w:r w:rsidRPr="00F01347">
              <w:rPr>
                <w:rFonts w:ascii="Verdana" w:hAnsi="Verdana"/>
                <w:sz w:val="16"/>
                <w:szCs w:val="16"/>
              </w:rPr>
              <w:t>Ag</w:t>
            </w:r>
          </w:p>
        </w:tc>
        <w:tc>
          <w:tcPr>
            <w:tcW w:w="1861" w:type="dxa"/>
            <w:tcBorders>
              <w:top w:val="nil"/>
              <w:left w:val="nil"/>
              <w:bottom w:val="nil"/>
              <w:right w:val="nil"/>
            </w:tcBorders>
          </w:tcPr>
          <w:p w14:paraId="688A48E7" w14:textId="77777777" w:rsidR="00D965DA" w:rsidRPr="00F01347" w:rsidRDefault="00D965DA" w:rsidP="008F3634">
            <w:pPr>
              <w:pStyle w:val="texto0"/>
              <w:ind w:firstLine="0"/>
              <w:jc w:val="center"/>
              <w:rPr>
                <w:rFonts w:ascii="Verdana" w:hAnsi="Verdana"/>
                <w:sz w:val="16"/>
                <w:szCs w:val="16"/>
              </w:rPr>
            </w:pPr>
            <w:r w:rsidRPr="00F01347">
              <w:rPr>
                <w:rFonts w:ascii="Verdana" w:hAnsi="Verdana"/>
                <w:sz w:val="16"/>
                <w:szCs w:val="16"/>
              </w:rPr>
              <w:t>1.5</w:t>
            </w:r>
          </w:p>
        </w:tc>
        <w:tc>
          <w:tcPr>
            <w:tcW w:w="1862" w:type="dxa"/>
            <w:tcBorders>
              <w:top w:val="nil"/>
              <w:left w:val="nil"/>
              <w:bottom w:val="nil"/>
              <w:right w:val="nil"/>
            </w:tcBorders>
          </w:tcPr>
          <w:p w14:paraId="1C1BC453" w14:textId="77777777" w:rsidR="00D965DA" w:rsidRPr="00F01347" w:rsidRDefault="00D965DA" w:rsidP="008F3634">
            <w:pPr>
              <w:pStyle w:val="texto0"/>
              <w:ind w:firstLine="0"/>
              <w:jc w:val="center"/>
              <w:rPr>
                <w:rFonts w:ascii="Verdana" w:hAnsi="Verdana"/>
                <w:sz w:val="16"/>
                <w:szCs w:val="16"/>
              </w:rPr>
            </w:pPr>
            <w:r w:rsidRPr="00F01347">
              <w:rPr>
                <w:rFonts w:ascii="Verdana" w:hAnsi="Verdana"/>
                <w:sz w:val="16"/>
                <w:szCs w:val="16"/>
              </w:rPr>
              <w:t>0.2</w:t>
            </w:r>
          </w:p>
        </w:tc>
      </w:tr>
      <w:tr w:rsidR="00D965DA" w:rsidRPr="00F01347" w14:paraId="053E47AA" w14:textId="77777777" w:rsidTr="00D02A88">
        <w:trPr>
          <w:trHeight w:val="20"/>
        </w:trPr>
        <w:tc>
          <w:tcPr>
            <w:tcW w:w="1861" w:type="dxa"/>
            <w:tcBorders>
              <w:top w:val="nil"/>
              <w:left w:val="nil"/>
              <w:bottom w:val="nil"/>
              <w:right w:val="nil"/>
            </w:tcBorders>
          </w:tcPr>
          <w:p w14:paraId="7E6F10D6" w14:textId="77777777" w:rsidR="00D965DA" w:rsidRPr="00F01347" w:rsidRDefault="00D965DA" w:rsidP="008F3634">
            <w:pPr>
              <w:pStyle w:val="texto0"/>
              <w:ind w:firstLine="0"/>
              <w:jc w:val="center"/>
              <w:rPr>
                <w:rFonts w:ascii="Verdana" w:hAnsi="Verdana"/>
                <w:sz w:val="16"/>
                <w:szCs w:val="16"/>
              </w:rPr>
            </w:pPr>
            <w:r w:rsidRPr="00F01347">
              <w:rPr>
                <w:rFonts w:ascii="Verdana" w:hAnsi="Verdana"/>
                <w:sz w:val="16"/>
                <w:szCs w:val="16"/>
              </w:rPr>
              <w:t>Al</w:t>
            </w:r>
          </w:p>
        </w:tc>
        <w:tc>
          <w:tcPr>
            <w:tcW w:w="1862" w:type="dxa"/>
            <w:tcBorders>
              <w:top w:val="nil"/>
              <w:left w:val="nil"/>
              <w:bottom w:val="nil"/>
              <w:right w:val="nil"/>
            </w:tcBorders>
          </w:tcPr>
          <w:p w14:paraId="05E5CD6B" w14:textId="4CAD78E5" w:rsidR="00D965DA" w:rsidRPr="00F01347" w:rsidRDefault="00151D96" w:rsidP="008F3634">
            <w:pPr>
              <w:pStyle w:val="texto0"/>
              <w:ind w:firstLine="0"/>
              <w:jc w:val="center"/>
              <w:rPr>
                <w:rFonts w:ascii="Verdana" w:hAnsi="Verdana"/>
                <w:sz w:val="16"/>
                <w:szCs w:val="16"/>
              </w:rPr>
            </w:pPr>
            <w:r w:rsidRPr="00F01347">
              <w:rPr>
                <w:rFonts w:ascii="Verdana" w:hAnsi="Verdana"/>
                <w:sz w:val="16"/>
                <w:szCs w:val="16"/>
              </w:rPr>
              <w:t>Al</w:t>
            </w:r>
          </w:p>
        </w:tc>
        <w:tc>
          <w:tcPr>
            <w:tcW w:w="1861" w:type="dxa"/>
            <w:tcBorders>
              <w:top w:val="nil"/>
              <w:left w:val="nil"/>
              <w:bottom w:val="nil"/>
              <w:right w:val="nil"/>
            </w:tcBorders>
          </w:tcPr>
          <w:p w14:paraId="5C063618" w14:textId="77777777" w:rsidR="00D965DA" w:rsidRPr="00F01347" w:rsidRDefault="00D965DA" w:rsidP="008F3634">
            <w:pPr>
              <w:pStyle w:val="texto0"/>
              <w:ind w:firstLine="0"/>
              <w:jc w:val="center"/>
              <w:rPr>
                <w:rFonts w:ascii="Verdana" w:hAnsi="Verdana"/>
                <w:sz w:val="16"/>
                <w:szCs w:val="16"/>
              </w:rPr>
            </w:pPr>
            <w:r w:rsidRPr="00F01347">
              <w:rPr>
                <w:rFonts w:ascii="Verdana" w:hAnsi="Verdana"/>
                <w:sz w:val="16"/>
                <w:szCs w:val="16"/>
              </w:rPr>
              <w:t>10</w:t>
            </w:r>
          </w:p>
        </w:tc>
        <w:tc>
          <w:tcPr>
            <w:tcW w:w="1862" w:type="dxa"/>
            <w:tcBorders>
              <w:top w:val="nil"/>
              <w:left w:val="nil"/>
              <w:bottom w:val="nil"/>
              <w:right w:val="nil"/>
            </w:tcBorders>
          </w:tcPr>
          <w:p w14:paraId="755627B5" w14:textId="77777777" w:rsidR="00D965DA" w:rsidRPr="00F01347" w:rsidRDefault="00D965DA" w:rsidP="008F3634">
            <w:pPr>
              <w:pStyle w:val="texto0"/>
              <w:ind w:firstLine="0"/>
              <w:jc w:val="center"/>
              <w:rPr>
                <w:rFonts w:ascii="Verdana" w:hAnsi="Verdana"/>
                <w:sz w:val="16"/>
                <w:szCs w:val="16"/>
              </w:rPr>
            </w:pPr>
            <w:r w:rsidRPr="00F01347">
              <w:rPr>
                <w:rFonts w:ascii="Verdana" w:hAnsi="Verdana"/>
                <w:sz w:val="16"/>
                <w:szCs w:val="16"/>
              </w:rPr>
              <w:t>1</w:t>
            </w:r>
          </w:p>
        </w:tc>
      </w:tr>
    </w:tbl>
    <w:p w14:paraId="60AFD29C" w14:textId="77777777" w:rsidR="00D965DA" w:rsidRPr="00F01347" w:rsidRDefault="00D965DA" w:rsidP="003A601B">
      <w:pPr>
        <w:pStyle w:val="texto0"/>
        <w:rPr>
          <w:rFonts w:ascii="Verdana" w:hAnsi="Verdana"/>
          <w:b/>
          <w:sz w:val="16"/>
          <w:szCs w:val="16"/>
        </w:rPr>
      </w:pPr>
    </w:p>
    <w:p w14:paraId="383CB40A" w14:textId="6658332A" w:rsidR="00204B58" w:rsidRPr="00F01347" w:rsidRDefault="0077110E" w:rsidP="003A601B">
      <w:pPr>
        <w:pStyle w:val="texto0"/>
        <w:rPr>
          <w:rFonts w:ascii="Verdana" w:hAnsi="Verdana"/>
          <w:sz w:val="16"/>
          <w:szCs w:val="16"/>
        </w:rPr>
      </w:pPr>
      <w:r w:rsidRPr="00F01347">
        <w:rPr>
          <w:rFonts w:ascii="Verdana" w:hAnsi="Verdana"/>
          <w:b/>
          <w:sz w:val="16"/>
          <w:szCs w:val="16"/>
        </w:rPr>
        <w:t xml:space="preserve">Tabla B.4.1-1. </w:t>
      </w:r>
      <w:r w:rsidRPr="00F01347">
        <w:rPr>
          <w:rFonts w:ascii="Verdana" w:hAnsi="Verdana"/>
          <w:sz w:val="16"/>
          <w:szCs w:val="16"/>
        </w:rPr>
        <w:t>Intervalo de trabajo óptimo para plata y aluminio</w:t>
      </w:r>
    </w:p>
    <w:tbl>
      <w:tblPr>
        <w:tblStyle w:val="TableGrid"/>
        <w:tblW w:w="5000" w:type="pct"/>
        <w:tblLayout w:type="fixed"/>
        <w:tblLook w:val="04A0" w:firstRow="1" w:lastRow="0" w:firstColumn="1" w:lastColumn="0" w:noHBand="0" w:noVBand="1"/>
      </w:tblPr>
      <w:tblGrid>
        <w:gridCol w:w="2337"/>
        <w:gridCol w:w="2339"/>
        <w:gridCol w:w="2336"/>
        <w:gridCol w:w="2338"/>
      </w:tblGrid>
      <w:tr w:rsidR="00D965DA" w:rsidRPr="00F01347" w14:paraId="4249F356" w14:textId="77777777" w:rsidTr="00D02A88">
        <w:trPr>
          <w:trHeight w:val="20"/>
        </w:trPr>
        <w:tc>
          <w:tcPr>
            <w:tcW w:w="1870" w:type="dxa"/>
            <w:tcBorders>
              <w:top w:val="single" w:sz="4" w:space="0" w:color="auto"/>
              <w:left w:val="single" w:sz="4" w:space="0" w:color="auto"/>
              <w:bottom w:val="single" w:sz="4" w:space="0" w:color="auto"/>
              <w:right w:val="single" w:sz="4" w:space="0" w:color="auto"/>
            </w:tcBorders>
            <w:hideMark/>
          </w:tcPr>
          <w:p w14:paraId="2EAD63E4" w14:textId="387369BD" w:rsidR="00D965DA" w:rsidRPr="00F01347" w:rsidRDefault="00D965DA">
            <w:pPr>
              <w:pStyle w:val="texto0"/>
              <w:ind w:firstLine="0"/>
              <w:jc w:val="center"/>
              <w:rPr>
                <w:rFonts w:ascii="Verdana" w:hAnsi="Verdana"/>
                <w:b/>
                <w:sz w:val="16"/>
                <w:szCs w:val="16"/>
                <w:lang w:val="en-US"/>
              </w:rPr>
            </w:pPr>
            <w:r w:rsidRPr="00F01347">
              <w:rPr>
                <w:rFonts w:ascii="Verdana" w:hAnsi="Verdana"/>
                <w:b/>
                <w:sz w:val="16"/>
                <w:szCs w:val="16"/>
                <w:lang w:val="en-US"/>
              </w:rPr>
              <w:t>Element</w:t>
            </w:r>
          </w:p>
        </w:tc>
        <w:tc>
          <w:tcPr>
            <w:tcW w:w="1871" w:type="dxa"/>
            <w:tcBorders>
              <w:top w:val="single" w:sz="4" w:space="0" w:color="auto"/>
              <w:left w:val="single" w:sz="4" w:space="0" w:color="auto"/>
              <w:bottom w:val="single" w:sz="4" w:space="0" w:color="auto"/>
              <w:right w:val="single" w:sz="4" w:space="0" w:color="auto"/>
            </w:tcBorders>
            <w:hideMark/>
          </w:tcPr>
          <w:p w14:paraId="4CDDE3C4" w14:textId="77777777" w:rsidR="00D965DA" w:rsidRPr="00F01347" w:rsidRDefault="00D965DA">
            <w:pPr>
              <w:pStyle w:val="texto0"/>
              <w:ind w:firstLine="0"/>
              <w:jc w:val="center"/>
              <w:rPr>
                <w:rFonts w:ascii="Verdana" w:hAnsi="Verdana"/>
                <w:b/>
                <w:sz w:val="16"/>
                <w:szCs w:val="16"/>
                <w:lang w:val="en-US"/>
              </w:rPr>
            </w:pPr>
            <w:r w:rsidRPr="00F01347">
              <w:rPr>
                <w:rFonts w:ascii="Verdana" w:hAnsi="Verdana"/>
                <w:b/>
                <w:sz w:val="16"/>
                <w:szCs w:val="16"/>
                <w:lang w:val="en-US"/>
              </w:rPr>
              <w:t>Element</w:t>
            </w:r>
          </w:p>
        </w:tc>
        <w:tc>
          <w:tcPr>
            <w:tcW w:w="1869" w:type="dxa"/>
            <w:tcBorders>
              <w:top w:val="single" w:sz="4" w:space="0" w:color="auto"/>
              <w:left w:val="single" w:sz="4" w:space="0" w:color="auto"/>
              <w:bottom w:val="single" w:sz="4" w:space="0" w:color="auto"/>
              <w:right w:val="single" w:sz="4" w:space="0" w:color="auto"/>
            </w:tcBorders>
            <w:hideMark/>
          </w:tcPr>
          <w:p w14:paraId="7777AA0B" w14:textId="3FEBC21E" w:rsidR="00D965DA" w:rsidRPr="00F01347" w:rsidRDefault="00D965DA">
            <w:pPr>
              <w:pStyle w:val="texto0"/>
              <w:ind w:firstLine="0"/>
              <w:jc w:val="center"/>
              <w:rPr>
                <w:rFonts w:ascii="Verdana" w:hAnsi="Verdana"/>
                <w:b/>
                <w:sz w:val="16"/>
                <w:szCs w:val="16"/>
                <w:lang w:val="en-US"/>
              </w:rPr>
            </w:pPr>
            <w:r w:rsidRPr="00F01347">
              <w:rPr>
                <w:rFonts w:ascii="Verdana" w:hAnsi="Verdana"/>
                <w:b/>
                <w:sz w:val="16"/>
                <w:szCs w:val="16"/>
                <w:lang w:val="en-US"/>
              </w:rPr>
              <w:t>Characteristic mass (m0) (</w:t>
            </w:r>
            <w:proofErr w:type="spellStart"/>
            <w:r w:rsidRPr="00F01347">
              <w:rPr>
                <w:rFonts w:ascii="Verdana" w:hAnsi="Verdana"/>
                <w:b/>
                <w:sz w:val="16"/>
                <w:szCs w:val="16"/>
                <w:lang w:val="en-US"/>
              </w:rPr>
              <w:t>pg</w:t>
            </w:r>
            <w:proofErr w:type="spellEnd"/>
            <w:r w:rsidRPr="00F01347">
              <w:rPr>
                <w:rFonts w:ascii="Verdana" w:hAnsi="Verdana"/>
                <w:b/>
                <w:sz w:val="16"/>
                <w:szCs w:val="16"/>
                <w:lang w:val="en-US"/>
              </w:rPr>
              <w:t>)</w:t>
            </w:r>
          </w:p>
        </w:tc>
        <w:tc>
          <w:tcPr>
            <w:tcW w:w="1870" w:type="dxa"/>
            <w:tcBorders>
              <w:top w:val="single" w:sz="4" w:space="0" w:color="auto"/>
              <w:left w:val="single" w:sz="4" w:space="0" w:color="auto"/>
              <w:bottom w:val="single" w:sz="4" w:space="0" w:color="auto"/>
              <w:right w:val="single" w:sz="4" w:space="0" w:color="auto"/>
            </w:tcBorders>
            <w:hideMark/>
          </w:tcPr>
          <w:p w14:paraId="44C37204" w14:textId="77777777" w:rsidR="00D965DA" w:rsidRPr="00F01347" w:rsidRDefault="00D965DA">
            <w:pPr>
              <w:pStyle w:val="texto0"/>
              <w:ind w:firstLine="0"/>
              <w:jc w:val="center"/>
              <w:rPr>
                <w:rFonts w:ascii="Verdana" w:hAnsi="Verdana"/>
                <w:b/>
                <w:sz w:val="16"/>
                <w:szCs w:val="16"/>
                <w:lang w:val="en-US"/>
              </w:rPr>
            </w:pPr>
            <w:r w:rsidRPr="00F01347">
              <w:rPr>
                <w:rFonts w:ascii="Verdana" w:hAnsi="Verdana"/>
                <w:b/>
                <w:sz w:val="16"/>
                <w:szCs w:val="16"/>
                <w:lang w:val="en-US"/>
              </w:rPr>
              <w:t>Detection limit (µg/L)</w:t>
            </w:r>
          </w:p>
        </w:tc>
      </w:tr>
      <w:tr w:rsidR="00D965DA" w:rsidRPr="00F01347" w14:paraId="013E45F0" w14:textId="77777777" w:rsidTr="00D02A88">
        <w:trPr>
          <w:trHeight w:val="20"/>
        </w:trPr>
        <w:tc>
          <w:tcPr>
            <w:tcW w:w="1870" w:type="dxa"/>
            <w:tcBorders>
              <w:top w:val="single" w:sz="4" w:space="0" w:color="auto"/>
              <w:left w:val="single" w:sz="4" w:space="0" w:color="auto"/>
              <w:bottom w:val="single" w:sz="4" w:space="0" w:color="auto"/>
              <w:right w:val="single" w:sz="4" w:space="0" w:color="auto"/>
            </w:tcBorders>
            <w:hideMark/>
          </w:tcPr>
          <w:p w14:paraId="2A08FAF1" w14:textId="77777777" w:rsidR="00D965DA" w:rsidRPr="00F01347" w:rsidRDefault="00D965DA">
            <w:pPr>
              <w:pStyle w:val="texto0"/>
              <w:ind w:firstLine="0"/>
              <w:jc w:val="center"/>
              <w:rPr>
                <w:rFonts w:ascii="Verdana" w:hAnsi="Verdana"/>
                <w:sz w:val="16"/>
                <w:szCs w:val="16"/>
                <w:lang w:val="en-US"/>
              </w:rPr>
            </w:pPr>
            <w:r w:rsidRPr="00F01347">
              <w:rPr>
                <w:rFonts w:ascii="Verdana" w:hAnsi="Verdana"/>
                <w:sz w:val="16"/>
                <w:szCs w:val="16"/>
                <w:lang w:val="en-US"/>
              </w:rPr>
              <w:t>Ag</w:t>
            </w:r>
          </w:p>
        </w:tc>
        <w:tc>
          <w:tcPr>
            <w:tcW w:w="1871" w:type="dxa"/>
            <w:tcBorders>
              <w:top w:val="single" w:sz="4" w:space="0" w:color="auto"/>
              <w:left w:val="single" w:sz="4" w:space="0" w:color="auto"/>
              <w:bottom w:val="single" w:sz="4" w:space="0" w:color="auto"/>
              <w:right w:val="single" w:sz="4" w:space="0" w:color="auto"/>
            </w:tcBorders>
            <w:hideMark/>
          </w:tcPr>
          <w:p w14:paraId="358FBB14" w14:textId="77777777" w:rsidR="00D965DA" w:rsidRPr="00F01347" w:rsidRDefault="00D965DA">
            <w:pPr>
              <w:pStyle w:val="texto0"/>
              <w:ind w:firstLine="0"/>
              <w:jc w:val="center"/>
              <w:rPr>
                <w:rFonts w:ascii="Verdana" w:hAnsi="Verdana"/>
                <w:sz w:val="16"/>
                <w:szCs w:val="16"/>
                <w:lang w:val="en-US"/>
              </w:rPr>
            </w:pPr>
            <w:r w:rsidRPr="00F01347">
              <w:rPr>
                <w:rFonts w:ascii="Verdana" w:hAnsi="Verdana"/>
                <w:sz w:val="16"/>
                <w:szCs w:val="16"/>
                <w:lang w:val="en-US"/>
              </w:rPr>
              <w:t>Ag</w:t>
            </w:r>
          </w:p>
        </w:tc>
        <w:tc>
          <w:tcPr>
            <w:tcW w:w="1869" w:type="dxa"/>
            <w:tcBorders>
              <w:top w:val="single" w:sz="4" w:space="0" w:color="auto"/>
              <w:left w:val="single" w:sz="4" w:space="0" w:color="auto"/>
              <w:bottom w:val="single" w:sz="4" w:space="0" w:color="auto"/>
              <w:right w:val="single" w:sz="4" w:space="0" w:color="auto"/>
            </w:tcBorders>
            <w:hideMark/>
          </w:tcPr>
          <w:p w14:paraId="6608CBB3" w14:textId="77777777" w:rsidR="00D965DA" w:rsidRPr="00F01347" w:rsidRDefault="00D965DA">
            <w:pPr>
              <w:pStyle w:val="texto0"/>
              <w:ind w:firstLine="0"/>
              <w:jc w:val="center"/>
              <w:rPr>
                <w:rFonts w:ascii="Verdana" w:hAnsi="Verdana"/>
                <w:sz w:val="16"/>
                <w:szCs w:val="16"/>
                <w:lang w:val="en-US"/>
              </w:rPr>
            </w:pPr>
            <w:r w:rsidRPr="00F01347">
              <w:rPr>
                <w:rFonts w:ascii="Verdana" w:hAnsi="Verdana"/>
                <w:sz w:val="16"/>
                <w:szCs w:val="16"/>
                <w:lang w:val="en-US"/>
              </w:rPr>
              <w:t>1.5</w:t>
            </w:r>
          </w:p>
        </w:tc>
        <w:tc>
          <w:tcPr>
            <w:tcW w:w="1870" w:type="dxa"/>
            <w:tcBorders>
              <w:top w:val="single" w:sz="4" w:space="0" w:color="auto"/>
              <w:left w:val="single" w:sz="4" w:space="0" w:color="auto"/>
              <w:bottom w:val="single" w:sz="4" w:space="0" w:color="auto"/>
              <w:right w:val="single" w:sz="4" w:space="0" w:color="auto"/>
            </w:tcBorders>
            <w:hideMark/>
          </w:tcPr>
          <w:p w14:paraId="7A7B7F45" w14:textId="77777777" w:rsidR="00D965DA" w:rsidRPr="00F01347" w:rsidRDefault="00D965DA">
            <w:pPr>
              <w:pStyle w:val="texto0"/>
              <w:ind w:firstLine="0"/>
              <w:jc w:val="center"/>
              <w:rPr>
                <w:rFonts w:ascii="Verdana" w:hAnsi="Verdana"/>
                <w:sz w:val="16"/>
                <w:szCs w:val="16"/>
                <w:lang w:val="en-US"/>
              </w:rPr>
            </w:pPr>
            <w:r w:rsidRPr="00F01347">
              <w:rPr>
                <w:rFonts w:ascii="Verdana" w:hAnsi="Verdana"/>
                <w:sz w:val="16"/>
                <w:szCs w:val="16"/>
                <w:lang w:val="en-US"/>
              </w:rPr>
              <w:t>0.2</w:t>
            </w:r>
          </w:p>
        </w:tc>
      </w:tr>
      <w:tr w:rsidR="00D965DA" w:rsidRPr="00F01347" w14:paraId="5CEE5AE9" w14:textId="77777777" w:rsidTr="00D02A88">
        <w:trPr>
          <w:trHeight w:val="20"/>
        </w:trPr>
        <w:tc>
          <w:tcPr>
            <w:tcW w:w="1870" w:type="dxa"/>
            <w:tcBorders>
              <w:top w:val="single" w:sz="4" w:space="0" w:color="auto"/>
              <w:left w:val="single" w:sz="4" w:space="0" w:color="auto"/>
              <w:bottom w:val="single" w:sz="4" w:space="0" w:color="auto"/>
              <w:right w:val="single" w:sz="4" w:space="0" w:color="auto"/>
            </w:tcBorders>
            <w:hideMark/>
          </w:tcPr>
          <w:p w14:paraId="4D0DCB66" w14:textId="77777777" w:rsidR="00D965DA" w:rsidRPr="00F01347" w:rsidRDefault="00D965DA">
            <w:pPr>
              <w:pStyle w:val="texto0"/>
              <w:ind w:firstLine="0"/>
              <w:jc w:val="center"/>
              <w:rPr>
                <w:rFonts w:ascii="Verdana" w:hAnsi="Verdana"/>
                <w:sz w:val="16"/>
                <w:szCs w:val="16"/>
                <w:lang w:val="en-US"/>
              </w:rPr>
            </w:pPr>
            <w:r w:rsidRPr="00F01347">
              <w:rPr>
                <w:rFonts w:ascii="Verdana" w:hAnsi="Verdana"/>
                <w:sz w:val="16"/>
                <w:szCs w:val="16"/>
                <w:lang w:val="en-US"/>
              </w:rPr>
              <w:t>Al</w:t>
            </w:r>
          </w:p>
        </w:tc>
        <w:tc>
          <w:tcPr>
            <w:tcW w:w="1871" w:type="dxa"/>
            <w:tcBorders>
              <w:top w:val="single" w:sz="4" w:space="0" w:color="auto"/>
              <w:left w:val="single" w:sz="4" w:space="0" w:color="auto"/>
              <w:bottom w:val="single" w:sz="4" w:space="0" w:color="auto"/>
              <w:right w:val="single" w:sz="4" w:space="0" w:color="auto"/>
            </w:tcBorders>
            <w:hideMark/>
          </w:tcPr>
          <w:p w14:paraId="2540DF46" w14:textId="623BAD76" w:rsidR="00D965DA" w:rsidRPr="00F01347" w:rsidRDefault="00151D96">
            <w:pPr>
              <w:pStyle w:val="texto0"/>
              <w:ind w:firstLine="0"/>
              <w:jc w:val="center"/>
              <w:rPr>
                <w:rFonts w:ascii="Verdana" w:hAnsi="Verdana"/>
                <w:sz w:val="16"/>
                <w:szCs w:val="16"/>
                <w:lang w:val="en-US"/>
              </w:rPr>
            </w:pPr>
            <w:r w:rsidRPr="00F01347">
              <w:rPr>
                <w:rFonts w:ascii="Verdana" w:hAnsi="Verdana"/>
                <w:sz w:val="16"/>
                <w:szCs w:val="16"/>
                <w:lang w:val="en-US"/>
              </w:rPr>
              <w:t>Al</w:t>
            </w:r>
          </w:p>
        </w:tc>
        <w:tc>
          <w:tcPr>
            <w:tcW w:w="1869" w:type="dxa"/>
            <w:tcBorders>
              <w:top w:val="single" w:sz="4" w:space="0" w:color="auto"/>
              <w:left w:val="single" w:sz="4" w:space="0" w:color="auto"/>
              <w:bottom w:val="single" w:sz="4" w:space="0" w:color="auto"/>
              <w:right w:val="single" w:sz="4" w:space="0" w:color="auto"/>
            </w:tcBorders>
            <w:hideMark/>
          </w:tcPr>
          <w:p w14:paraId="44C24FDB" w14:textId="77777777" w:rsidR="00D965DA" w:rsidRPr="00F01347" w:rsidRDefault="00D965DA">
            <w:pPr>
              <w:pStyle w:val="texto0"/>
              <w:ind w:firstLine="0"/>
              <w:jc w:val="center"/>
              <w:rPr>
                <w:rFonts w:ascii="Verdana" w:hAnsi="Verdana"/>
                <w:sz w:val="16"/>
                <w:szCs w:val="16"/>
                <w:lang w:val="en-US"/>
              </w:rPr>
            </w:pPr>
            <w:r w:rsidRPr="00F01347">
              <w:rPr>
                <w:rFonts w:ascii="Verdana" w:hAnsi="Verdana"/>
                <w:sz w:val="16"/>
                <w:szCs w:val="16"/>
                <w:lang w:val="en-US"/>
              </w:rPr>
              <w:t>10</w:t>
            </w:r>
          </w:p>
        </w:tc>
        <w:tc>
          <w:tcPr>
            <w:tcW w:w="1870" w:type="dxa"/>
            <w:tcBorders>
              <w:top w:val="single" w:sz="4" w:space="0" w:color="auto"/>
              <w:left w:val="single" w:sz="4" w:space="0" w:color="auto"/>
              <w:bottom w:val="single" w:sz="4" w:space="0" w:color="auto"/>
              <w:right w:val="single" w:sz="4" w:space="0" w:color="auto"/>
            </w:tcBorders>
            <w:hideMark/>
          </w:tcPr>
          <w:p w14:paraId="6D7E4CB6" w14:textId="77777777" w:rsidR="00D965DA" w:rsidRPr="00F01347" w:rsidRDefault="00D965DA">
            <w:pPr>
              <w:pStyle w:val="texto0"/>
              <w:ind w:firstLine="0"/>
              <w:jc w:val="center"/>
              <w:rPr>
                <w:rFonts w:ascii="Verdana" w:hAnsi="Verdana"/>
                <w:sz w:val="16"/>
                <w:szCs w:val="16"/>
                <w:lang w:val="en-US"/>
              </w:rPr>
            </w:pPr>
            <w:r w:rsidRPr="00F01347">
              <w:rPr>
                <w:rFonts w:ascii="Verdana" w:hAnsi="Verdana"/>
                <w:sz w:val="16"/>
                <w:szCs w:val="16"/>
                <w:lang w:val="en-US"/>
              </w:rPr>
              <w:t>1</w:t>
            </w:r>
          </w:p>
        </w:tc>
      </w:tr>
    </w:tbl>
    <w:p w14:paraId="4E6C63B3" w14:textId="77777777" w:rsidR="0077110E" w:rsidRPr="00F01347" w:rsidRDefault="0077110E" w:rsidP="003A601B">
      <w:pPr>
        <w:pStyle w:val="texto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A4CCE" w:rsidRPr="00F01347" w14:paraId="4E960FC9" w14:textId="57E290E3" w:rsidTr="00DF1A6E">
        <w:tc>
          <w:tcPr>
            <w:tcW w:w="4675" w:type="dxa"/>
          </w:tcPr>
          <w:p w14:paraId="4E131EEC" w14:textId="77777777" w:rsidR="006A4CCE" w:rsidRPr="00F01347" w:rsidRDefault="006A4CCE" w:rsidP="006A4CCE">
            <w:pPr>
              <w:pStyle w:val="texto0"/>
              <w:ind w:firstLine="0"/>
              <w:rPr>
                <w:rFonts w:ascii="Verdana" w:hAnsi="Verdana"/>
                <w:sz w:val="16"/>
                <w:szCs w:val="16"/>
              </w:rPr>
            </w:pPr>
            <w:r w:rsidRPr="00F01347">
              <w:rPr>
                <w:rFonts w:ascii="Verdana" w:hAnsi="Verdana"/>
                <w:sz w:val="16"/>
                <w:szCs w:val="16"/>
              </w:rPr>
              <w:t>Preparar una disolución de una concentración conocida de plata o aluminio para verificar el equipo.</w:t>
            </w:r>
          </w:p>
        </w:tc>
        <w:tc>
          <w:tcPr>
            <w:tcW w:w="4675" w:type="dxa"/>
          </w:tcPr>
          <w:p w14:paraId="29DD42E9" w14:textId="03124718" w:rsidR="006A4CCE" w:rsidRPr="00F01347" w:rsidRDefault="006A4CCE" w:rsidP="006A4CCE">
            <w:pPr>
              <w:pStyle w:val="texto0"/>
              <w:ind w:firstLine="0"/>
              <w:rPr>
                <w:rFonts w:ascii="Verdana" w:hAnsi="Verdana"/>
                <w:sz w:val="16"/>
                <w:szCs w:val="16"/>
                <w:lang w:val="en-US"/>
              </w:rPr>
            </w:pPr>
            <w:r w:rsidRPr="00F01347">
              <w:rPr>
                <w:rFonts w:ascii="Verdana" w:hAnsi="Verdana"/>
                <w:sz w:val="16"/>
                <w:szCs w:val="16"/>
                <w:lang w:val="en-US"/>
              </w:rPr>
              <w:t>Prepare a solution of a known concentration of silver or aluminum to check the equipment.</w:t>
            </w:r>
          </w:p>
        </w:tc>
      </w:tr>
      <w:tr w:rsidR="006A4CCE" w:rsidRPr="00F01347" w14:paraId="0A98306A" w14:textId="50F03AE2" w:rsidTr="00DF1A6E">
        <w:tc>
          <w:tcPr>
            <w:tcW w:w="4675" w:type="dxa"/>
          </w:tcPr>
          <w:p w14:paraId="6DE879DE" w14:textId="77777777" w:rsidR="006A4CCE" w:rsidRPr="00F01347" w:rsidRDefault="006A4CCE" w:rsidP="006A4CCE">
            <w:pPr>
              <w:pStyle w:val="texto0"/>
              <w:ind w:firstLine="0"/>
              <w:rPr>
                <w:rFonts w:ascii="Verdana" w:hAnsi="Verdana"/>
                <w:sz w:val="16"/>
                <w:szCs w:val="16"/>
              </w:rPr>
            </w:pPr>
            <w:r w:rsidRPr="00F01347">
              <w:rPr>
                <w:rFonts w:ascii="Verdana" w:hAnsi="Verdana"/>
                <w:b/>
                <w:sz w:val="16"/>
                <w:szCs w:val="16"/>
              </w:rPr>
              <w:t>B.4.1.6.4 Condiciones de operación del horno de grafito</w:t>
            </w:r>
          </w:p>
        </w:tc>
        <w:tc>
          <w:tcPr>
            <w:tcW w:w="4675" w:type="dxa"/>
          </w:tcPr>
          <w:p w14:paraId="2B0FD8DA" w14:textId="6F3E044F" w:rsidR="006A4CCE" w:rsidRPr="00F01347" w:rsidRDefault="006A4CCE" w:rsidP="006A4CCE">
            <w:pPr>
              <w:pStyle w:val="texto0"/>
              <w:ind w:firstLine="0"/>
              <w:rPr>
                <w:rFonts w:ascii="Verdana" w:hAnsi="Verdana"/>
                <w:b/>
                <w:sz w:val="16"/>
                <w:szCs w:val="16"/>
                <w:lang w:val="en-US"/>
              </w:rPr>
            </w:pPr>
            <w:r w:rsidRPr="00F01347">
              <w:rPr>
                <w:rFonts w:ascii="Verdana" w:hAnsi="Verdana"/>
                <w:b/>
                <w:sz w:val="16"/>
                <w:szCs w:val="16"/>
                <w:lang w:val="en-US"/>
              </w:rPr>
              <w:t>B.4.1.6.4 Operating conditions of the graphite furnace</w:t>
            </w:r>
          </w:p>
        </w:tc>
      </w:tr>
      <w:tr w:rsidR="006A4CCE" w:rsidRPr="00F01347" w14:paraId="2F10ACB0" w14:textId="5135CDA8" w:rsidTr="00DF1A6E">
        <w:tc>
          <w:tcPr>
            <w:tcW w:w="4675" w:type="dxa"/>
          </w:tcPr>
          <w:p w14:paraId="0B86023E" w14:textId="77777777" w:rsidR="006A4CCE" w:rsidRPr="00F01347" w:rsidRDefault="006A4CCE" w:rsidP="006A4CCE">
            <w:pPr>
              <w:pStyle w:val="texto0"/>
              <w:ind w:firstLine="0"/>
              <w:rPr>
                <w:rFonts w:ascii="Verdana" w:hAnsi="Verdana"/>
                <w:sz w:val="16"/>
                <w:szCs w:val="16"/>
              </w:rPr>
            </w:pPr>
            <w:r w:rsidRPr="00F01347">
              <w:rPr>
                <w:rFonts w:ascii="Verdana" w:hAnsi="Verdana"/>
                <w:sz w:val="16"/>
                <w:szCs w:val="16"/>
              </w:rPr>
              <w:t xml:space="preserve">Ajustar el espectrofotómetro </w:t>
            </w:r>
            <w:proofErr w:type="gramStart"/>
            <w:r w:rsidRPr="00F01347">
              <w:rPr>
                <w:rFonts w:ascii="Verdana" w:hAnsi="Verdana"/>
                <w:sz w:val="16"/>
                <w:szCs w:val="16"/>
              </w:rPr>
              <w:t>de acuerdo a</w:t>
            </w:r>
            <w:proofErr w:type="gramEnd"/>
            <w:r w:rsidRPr="00F01347">
              <w:rPr>
                <w:rFonts w:ascii="Verdana" w:hAnsi="Verdana"/>
                <w:sz w:val="16"/>
                <w:szCs w:val="16"/>
              </w:rPr>
              <w:t xml:space="preserve"> las recomendaciones del fabricante, encender la lámpara y dejar calentar al menos 15 minutos las LCH y al menos 45 minutos las LDE.</w:t>
            </w:r>
          </w:p>
        </w:tc>
        <w:tc>
          <w:tcPr>
            <w:tcW w:w="4675" w:type="dxa"/>
          </w:tcPr>
          <w:p w14:paraId="181F8DE2" w14:textId="39384B6E" w:rsidR="006A4CCE" w:rsidRPr="00AA6F44" w:rsidRDefault="006A4CCE" w:rsidP="006A4CCE">
            <w:pPr>
              <w:pStyle w:val="texto0"/>
              <w:ind w:firstLine="0"/>
              <w:rPr>
                <w:rFonts w:ascii="Verdana" w:hAnsi="Verdana"/>
                <w:sz w:val="16"/>
                <w:szCs w:val="16"/>
                <w:lang w:val="en-US"/>
              </w:rPr>
            </w:pPr>
            <w:r w:rsidRPr="00AA6F44">
              <w:rPr>
                <w:rFonts w:ascii="Verdana" w:hAnsi="Verdana"/>
                <w:sz w:val="16"/>
                <w:szCs w:val="16"/>
                <w:lang w:val="en-US"/>
              </w:rPr>
              <w:t>Adjust the spectrophotometer according to the manufacturer's recommendations, turn on the lamp and let the LCH heat up for at least 15 minutes and the LDE for at least 45 minutes.</w:t>
            </w:r>
          </w:p>
        </w:tc>
      </w:tr>
      <w:tr w:rsidR="006A4CCE" w:rsidRPr="00F01347" w14:paraId="5E448F62" w14:textId="2C3C88E0" w:rsidTr="00DF1A6E">
        <w:tc>
          <w:tcPr>
            <w:tcW w:w="4675" w:type="dxa"/>
          </w:tcPr>
          <w:p w14:paraId="2DBD9D34" w14:textId="77777777" w:rsidR="006A4CCE" w:rsidRPr="00F01347" w:rsidRDefault="006A4CCE" w:rsidP="006A4CCE">
            <w:pPr>
              <w:pStyle w:val="texto0"/>
              <w:ind w:firstLine="0"/>
              <w:rPr>
                <w:rFonts w:ascii="Verdana" w:hAnsi="Verdana"/>
                <w:sz w:val="16"/>
                <w:szCs w:val="16"/>
              </w:rPr>
            </w:pPr>
            <w:r w:rsidRPr="00F01347">
              <w:rPr>
                <w:rFonts w:ascii="Verdana" w:hAnsi="Verdana"/>
                <w:sz w:val="16"/>
                <w:szCs w:val="16"/>
              </w:rPr>
              <w:t>Siempre utilizar la corrección de fondo.</w:t>
            </w:r>
          </w:p>
        </w:tc>
        <w:tc>
          <w:tcPr>
            <w:tcW w:w="4675" w:type="dxa"/>
          </w:tcPr>
          <w:p w14:paraId="295BBEC3" w14:textId="3FB287C3" w:rsidR="006A4CCE" w:rsidRPr="00AA6F44" w:rsidRDefault="006A4CCE" w:rsidP="006A4CCE">
            <w:pPr>
              <w:pStyle w:val="texto0"/>
              <w:ind w:firstLine="0"/>
              <w:rPr>
                <w:rFonts w:ascii="Verdana" w:hAnsi="Verdana"/>
                <w:sz w:val="16"/>
                <w:szCs w:val="16"/>
                <w:lang w:val="en-US"/>
              </w:rPr>
            </w:pPr>
            <w:r w:rsidRPr="00AA6F44">
              <w:rPr>
                <w:rFonts w:ascii="Verdana" w:hAnsi="Verdana"/>
                <w:sz w:val="16"/>
                <w:szCs w:val="16"/>
                <w:lang w:val="en-US"/>
              </w:rPr>
              <w:t>Always use background correction.</w:t>
            </w:r>
          </w:p>
        </w:tc>
      </w:tr>
      <w:tr w:rsidR="006A4CCE" w:rsidRPr="00F01347" w14:paraId="5E237DFA" w14:textId="07EECC53" w:rsidTr="00DF1A6E">
        <w:tc>
          <w:tcPr>
            <w:tcW w:w="4675" w:type="dxa"/>
          </w:tcPr>
          <w:p w14:paraId="073D84FC" w14:textId="77777777" w:rsidR="006A4CCE" w:rsidRPr="00F01347" w:rsidRDefault="006A4CCE" w:rsidP="006A4CCE">
            <w:pPr>
              <w:pStyle w:val="texto0"/>
              <w:ind w:firstLine="0"/>
              <w:rPr>
                <w:rFonts w:ascii="Verdana" w:hAnsi="Verdana"/>
                <w:sz w:val="16"/>
                <w:szCs w:val="16"/>
              </w:rPr>
            </w:pPr>
            <w:r w:rsidRPr="00F01347">
              <w:rPr>
                <w:rFonts w:ascii="Verdana" w:hAnsi="Verdana"/>
                <w:sz w:val="16"/>
                <w:szCs w:val="16"/>
              </w:rPr>
              <w:t>El programa de temperatura del horno de grafito (secado, pirolisis, atomización y limpieza) depende del analito, de la matriz y de la marca del equipo utilizado. Optimizar utilizando como guía las recomendaciones del fabricante. En la Tabla B.4.1-2, de este Apéndice, se muestran los principales parámetros utilizados para ajustar el equipo.</w:t>
            </w:r>
          </w:p>
        </w:tc>
        <w:tc>
          <w:tcPr>
            <w:tcW w:w="4675" w:type="dxa"/>
          </w:tcPr>
          <w:p w14:paraId="6F2133DD" w14:textId="55CBDD28" w:rsidR="006A4CCE" w:rsidRPr="00F01347" w:rsidRDefault="006A4CCE" w:rsidP="006A4CCE">
            <w:pPr>
              <w:pStyle w:val="texto0"/>
              <w:ind w:firstLine="0"/>
              <w:rPr>
                <w:rFonts w:ascii="Verdana" w:hAnsi="Verdana"/>
                <w:sz w:val="16"/>
                <w:szCs w:val="16"/>
                <w:lang w:val="en-US"/>
              </w:rPr>
            </w:pPr>
            <w:r w:rsidRPr="00F01347">
              <w:rPr>
                <w:rFonts w:ascii="Verdana" w:hAnsi="Verdana"/>
                <w:sz w:val="16"/>
                <w:szCs w:val="16"/>
                <w:lang w:val="en-US"/>
              </w:rPr>
              <w:t xml:space="preserve">The temperature program of the graphite furnace (drying, pyrolysis, </w:t>
            </w:r>
            <w:r w:rsidR="00DF1A6E" w:rsidRPr="00F01347">
              <w:rPr>
                <w:rFonts w:ascii="Verdana" w:hAnsi="Verdana"/>
                <w:sz w:val="16"/>
                <w:szCs w:val="16"/>
                <w:lang w:val="en-US"/>
              </w:rPr>
              <w:t>atomization,</w:t>
            </w:r>
            <w:r w:rsidRPr="00F01347">
              <w:rPr>
                <w:rFonts w:ascii="Verdana" w:hAnsi="Verdana"/>
                <w:sz w:val="16"/>
                <w:szCs w:val="16"/>
                <w:lang w:val="en-US"/>
              </w:rPr>
              <w:t xml:space="preserve"> and cleaning) depends on the analyte, the matrix and the brand of equipment used. Optimize using the manufacturer's recommendations as a guide. Table B.4.1-2, in this Appendix, shows the main parameters used to adjust the equipment.</w:t>
            </w:r>
          </w:p>
        </w:tc>
      </w:tr>
    </w:tbl>
    <w:p w14:paraId="422FAE34" w14:textId="77777777" w:rsidR="00204B58" w:rsidRPr="00F01347" w:rsidRDefault="00204B58" w:rsidP="003A601B">
      <w:pPr>
        <w:pStyle w:val="texto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040"/>
        <w:gridCol w:w="1053"/>
        <w:gridCol w:w="1204"/>
        <w:gridCol w:w="1354"/>
        <w:gridCol w:w="1354"/>
        <w:gridCol w:w="1353"/>
        <w:gridCol w:w="1354"/>
      </w:tblGrid>
      <w:tr w:rsidR="00A74CDF" w:rsidRPr="00F01347" w14:paraId="6C0E6415" w14:textId="77777777">
        <w:trPr>
          <w:trHeight w:val="20"/>
        </w:trPr>
        <w:tc>
          <w:tcPr>
            <w:tcW w:w="8712" w:type="dxa"/>
            <w:gridSpan w:val="7"/>
            <w:tcBorders>
              <w:bottom w:val="single" w:sz="6" w:space="0" w:color="auto"/>
            </w:tcBorders>
            <w:noWrap/>
          </w:tcPr>
          <w:p w14:paraId="70C90D41"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 xml:space="preserve">Tabla B.4.1-2. </w:t>
            </w:r>
            <w:r w:rsidRPr="00F01347">
              <w:rPr>
                <w:rFonts w:ascii="Verdana" w:hAnsi="Verdana"/>
                <w:sz w:val="16"/>
                <w:szCs w:val="16"/>
              </w:rPr>
              <w:t>Parámetros de ajuste en el horno de grafito</w:t>
            </w:r>
          </w:p>
        </w:tc>
      </w:tr>
      <w:tr w:rsidR="00A74CDF" w:rsidRPr="00F01347" w14:paraId="606B3698" w14:textId="77777777">
        <w:trPr>
          <w:trHeight w:val="20"/>
        </w:trPr>
        <w:tc>
          <w:tcPr>
            <w:tcW w:w="1040" w:type="dxa"/>
            <w:vMerge w:val="restart"/>
            <w:tcBorders>
              <w:top w:val="single" w:sz="6" w:space="0" w:color="auto"/>
              <w:left w:val="single" w:sz="6" w:space="0" w:color="000000"/>
              <w:right w:val="single" w:sz="6" w:space="0" w:color="000000"/>
            </w:tcBorders>
            <w:vAlign w:val="center"/>
          </w:tcPr>
          <w:p w14:paraId="7F226200"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Elemento</w:t>
            </w:r>
          </w:p>
        </w:tc>
        <w:tc>
          <w:tcPr>
            <w:tcW w:w="1053" w:type="dxa"/>
            <w:vMerge w:val="restart"/>
            <w:tcBorders>
              <w:top w:val="single" w:sz="6" w:space="0" w:color="auto"/>
              <w:left w:val="single" w:sz="6" w:space="0" w:color="000000"/>
              <w:right w:val="single" w:sz="6" w:space="0" w:color="000000"/>
            </w:tcBorders>
            <w:vAlign w:val="center"/>
          </w:tcPr>
          <w:p w14:paraId="65169B40"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Longitud de onda (nm)</w:t>
            </w:r>
          </w:p>
        </w:tc>
        <w:tc>
          <w:tcPr>
            <w:tcW w:w="1204" w:type="dxa"/>
            <w:vMerge w:val="restart"/>
            <w:tcBorders>
              <w:top w:val="single" w:sz="6" w:space="0" w:color="auto"/>
              <w:left w:val="single" w:sz="6" w:space="0" w:color="000000"/>
              <w:right w:val="single" w:sz="6" w:space="0" w:color="000000"/>
            </w:tcBorders>
            <w:vAlign w:val="center"/>
          </w:tcPr>
          <w:p w14:paraId="2F4ECCD4"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Ancho de rejilla (</w:t>
            </w:r>
            <w:proofErr w:type="spellStart"/>
            <w:r w:rsidRPr="00F01347">
              <w:rPr>
                <w:rFonts w:ascii="Verdana" w:hAnsi="Verdana"/>
                <w:b/>
                <w:sz w:val="16"/>
                <w:szCs w:val="16"/>
              </w:rPr>
              <w:t>slit</w:t>
            </w:r>
            <w:proofErr w:type="spellEnd"/>
            <w:r w:rsidRPr="00F01347">
              <w:rPr>
                <w:rFonts w:ascii="Verdana" w:hAnsi="Verdana"/>
                <w:b/>
                <w:sz w:val="16"/>
                <w:szCs w:val="16"/>
              </w:rPr>
              <w:t>) (nm)</w:t>
            </w:r>
          </w:p>
        </w:tc>
        <w:tc>
          <w:tcPr>
            <w:tcW w:w="2708" w:type="dxa"/>
            <w:gridSpan w:val="2"/>
            <w:tcBorders>
              <w:top w:val="single" w:sz="6" w:space="0" w:color="auto"/>
              <w:left w:val="single" w:sz="6" w:space="0" w:color="000000"/>
              <w:bottom w:val="single" w:sz="6" w:space="0" w:color="000000"/>
              <w:right w:val="single" w:sz="6" w:space="0" w:color="000000"/>
            </w:tcBorders>
            <w:vAlign w:val="center"/>
          </w:tcPr>
          <w:p w14:paraId="7D14AE0A"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Temperatura de pirolisis (°C)</w:t>
            </w:r>
          </w:p>
        </w:tc>
        <w:tc>
          <w:tcPr>
            <w:tcW w:w="2707" w:type="dxa"/>
            <w:gridSpan w:val="2"/>
            <w:tcBorders>
              <w:top w:val="single" w:sz="6" w:space="0" w:color="auto"/>
              <w:left w:val="single" w:sz="6" w:space="0" w:color="000000"/>
              <w:bottom w:val="single" w:sz="6" w:space="0" w:color="000000"/>
              <w:right w:val="single" w:sz="6" w:space="0" w:color="000000"/>
            </w:tcBorders>
            <w:vAlign w:val="center"/>
          </w:tcPr>
          <w:p w14:paraId="1D65AB59"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Temperatura de atomización (°C)</w:t>
            </w:r>
          </w:p>
        </w:tc>
      </w:tr>
      <w:tr w:rsidR="00A74CDF" w:rsidRPr="00F01347" w14:paraId="3F9A4169" w14:textId="77777777">
        <w:trPr>
          <w:trHeight w:val="20"/>
        </w:trPr>
        <w:tc>
          <w:tcPr>
            <w:tcW w:w="1040" w:type="dxa"/>
            <w:vMerge/>
            <w:tcBorders>
              <w:left w:val="single" w:sz="6" w:space="0" w:color="000000"/>
              <w:bottom w:val="single" w:sz="6" w:space="0" w:color="000000"/>
              <w:right w:val="single" w:sz="6" w:space="0" w:color="000000"/>
            </w:tcBorders>
            <w:vAlign w:val="center"/>
          </w:tcPr>
          <w:p w14:paraId="0C1A4714" w14:textId="77777777" w:rsidR="00A74CDF" w:rsidRPr="00F01347" w:rsidRDefault="00A74CDF" w:rsidP="003A601B">
            <w:pPr>
              <w:pStyle w:val="texto0"/>
              <w:ind w:firstLine="0"/>
              <w:jc w:val="center"/>
              <w:rPr>
                <w:rFonts w:ascii="Verdana" w:hAnsi="Verdana"/>
                <w:sz w:val="16"/>
                <w:szCs w:val="16"/>
              </w:rPr>
            </w:pPr>
          </w:p>
        </w:tc>
        <w:tc>
          <w:tcPr>
            <w:tcW w:w="1053" w:type="dxa"/>
            <w:vMerge/>
            <w:tcBorders>
              <w:left w:val="single" w:sz="6" w:space="0" w:color="000000"/>
              <w:bottom w:val="single" w:sz="6" w:space="0" w:color="000000"/>
              <w:right w:val="single" w:sz="6" w:space="0" w:color="000000"/>
            </w:tcBorders>
            <w:vAlign w:val="center"/>
          </w:tcPr>
          <w:p w14:paraId="67258648" w14:textId="77777777" w:rsidR="00A74CDF" w:rsidRPr="00F01347" w:rsidRDefault="00A74CDF" w:rsidP="003A601B">
            <w:pPr>
              <w:pStyle w:val="texto0"/>
              <w:ind w:firstLine="0"/>
              <w:jc w:val="center"/>
              <w:rPr>
                <w:rFonts w:ascii="Verdana" w:hAnsi="Verdana"/>
                <w:sz w:val="16"/>
                <w:szCs w:val="16"/>
              </w:rPr>
            </w:pPr>
          </w:p>
        </w:tc>
        <w:tc>
          <w:tcPr>
            <w:tcW w:w="1204" w:type="dxa"/>
            <w:vMerge/>
            <w:tcBorders>
              <w:left w:val="single" w:sz="6" w:space="0" w:color="000000"/>
              <w:bottom w:val="single" w:sz="6" w:space="0" w:color="000000"/>
              <w:right w:val="single" w:sz="6" w:space="0" w:color="000000"/>
            </w:tcBorders>
            <w:vAlign w:val="center"/>
          </w:tcPr>
          <w:p w14:paraId="259D64F4" w14:textId="77777777" w:rsidR="00A74CDF" w:rsidRPr="00F01347" w:rsidRDefault="00A74CDF" w:rsidP="003A601B">
            <w:pPr>
              <w:pStyle w:val="texto0"/>
              <w:ind w:firstLine="0"/>
              <w:jc w:val="center"/>
              <w:rPr>
                <w:rFonts w:ascii="Verdana" w:hAnsi="Verdana"/>
                <w:sz w:val="16"/>
                <w:szCs w:val="16"/>
              </w:rPr>
            </w:pPr>
          </w:p>
        </w:tc>
        <w:tc>
          <w:tcPr>
            <w:tcW w:w="1354" w:type="dxa"/>
            <w:tcBorders>
              <w:top w:val="single" w:sz="6" w:space="0" w:color="000000"/>
              <w:left w:val="single" w:sz="6" w:space="0" w:color="000000"/>
              <w:bottom w:val="single" w:sz="6" w:space="0" w:color="000000"/>
              <w:right w:val="single" w:sz="6" w:space="0" w:color="000000"/>
            </w:tcBorders>
            <w:vAlign w:val="center"/>
          </w:tcPr>
          <w:p w14:paraId="2236B497"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Sin modificador</w:t>
            </w:r>
          </w:p>
        </w:tc>
        <w:tc>
          <w:tcPr>
            <w:tcW w:w="1354" w:type="dxa"/>
            <w:tcBorders>
              <w:top w:val="single" w:sz="6" w:space="0" w:color="000000"/>
              <w:left w:val="single" w:sz="6" w:space="0" w:color="000000"/>
              <w:bottom w:val="single" w:sz="6" w:space="0" w:color="000000"/>
              <w:right w:val="single" w:sz="6" w:space="0" w:color="000000"/>
            </w:tcBorders>
            <w:vAlign w:val="center"/>
          </w:tcPr>
          <w:p w14:paraId="27BAD76E"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Con modificador</w:t>
            </w:r>
          </w:p>
        </w:tc>
        <w:tc>
          <w:tcPr>
            <w:tcW w:w="1353" w:type="dxa"/>
            <w:tcBorders>
              <w:top w:val="single" w:sz="6" w:space="0" w:color="000000"/>
              <w:left w:val="single" w:sz="6" w:space="0" w:color="000000"/>
              <w:bottom w:val="single" w:sz="6" w:space="0" w:color="000000"/>
              <w:right w:val="single" w:sz="6" w:space="0" w:color="000000"/>
            </w:tcBorders>
            <w:vAlign w:val="center"/>
          </w:tcPr>
          <w:p w14:paraId="45E750E1"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Sin modificador</w:t>
            </w:r>
          </w:p>
        </w:tc>
        <w:tc>
          <w:tcPr>
            <w:tcW w:w="1354" w:type="dxa"/>
            <w:tcBorders>
              <w:top w:val="single" w:sz="6" w:space="0" w:color="000000"/>
              <w:left w:val="single" w:sz="6" w:space="0" w:color="000000"/>
              <w:bottom w:val="single" w:sz="6" w:space="0" w:color="000000"/>
              <w:right w:val="single" w:sz="6" w:space="0" w:color="000000"/>
            </w:tcBorders>
            <w:vAlign w:val="center"/>
          </w:tcPr>
          <w:p w14:paraId="5616B13C"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Con modificador</w:t>
            </w:r>
          </w:p>
        </w:tc>
      </w:tr>
      <w:tr w:rsidR="00A74CDF" w:rsidRPr="00F01347" w14:paraId="7A84F852" w14:textId="77777777">
        <w:trPr>
          <w:trHeight w:val="20"/>
        </w:trPr>
        <w:tc>
          <w:tcPr>
            <w:tcW w:w="1040" w:type="dxa"/>
            <w:tcBorders>
              <w:top w:val="single" w:sz="6" w:space="0" w:color="000000"/>
              <w:left w:val="single" w:sz="6" w:space="0" w:color="000000"/>
              <w:bottom w:val="single" w:sz="6" w:space="0" w:color="000000"/>
              <w:right w:val="single" w:sz="6" w:space="0" w:color="000000"/>
            </w:tcBorders>
            <w:vAlign w:val="center"/>
          </w:tcPr>
          <w:p w14:paraId="1BCC213A"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Ag</w:t>
            </w:r>
          </w:p>
        </w:tc>
        <w:tc>
          <w:tcPr>
            <w:tcW w:w="1053" w:type="dxa"/>
            <w:tcBorders>
              <w:top w:val="single" w:sz="6" w:space="0" w:color="000000"/>
              <w:left w:val="single" w:sz="6" w:space="0" w:color="000000"/>
              <w:bottom w:val="single" w:sz="6" w:space="0" w:color="000000"/>
              <w:right w:val="single" w:sz="6" w:space="0" w:color="000000"/>
            </w:tcBorders>
            <w:vAlign w:val="center"/>
          </w:tcPr>
          <w:p w14:paraId="01237DE0"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328.1</w:t>
            </w:r>
          </w:p>
        </w:tc>
        <w:tc>
          <w:tcPr>
            <w:tcW w:w="1204" w:type="dxa"/>
            <w:tcBorders>
              <w:top w:val="single" w:sz="6" w:space="0" w:color="000000"/>
              <w:left w:val="single" w:sz="6" w:space="0" w:color="000000"/>
              <w:bottom w:val="single" w:sz="6" w:space="0" w:color="000000"/>
              <w:right w:val="single" w:sz="6" w:space="0" w:color="000000"/>
            </w:tcBorders>
            <w:vAlign w:val="center"/>
          </w:tcPr>
          <w:p w14:paraId="49A098A5"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0.7</w:t>
            </w:r>
          </w:p>
        </w:tc>
        <w:tc>
          <w:tcPr>
            <w:tcW w:w="1354" w:type="dxa"/>
            <w:tcBorders>
              <w:top w:val="single" w:sz="6" w:space="0" w:color="000000"/>
              <w:left w:val="single" w:sz="6" w:space="0" w:color="000000"/>
              <w:bottom w:val="single" w:sz="6" w:space="0" w:color="000000"/>
              <w:right w:val="single" w:sz="6" w:space="0" w:color="000000"/>
            </w:tcBorders>
            <w:vAlign w:val="center"/>
          </w:tcPr>
          <w:p w14:paraId="310CDA78"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650</w:t>
            </w:r>
          </w:p>
        </w:tc>
        <w:tc>
          <w:tcPr>
            <w:tcW w:w="1354" w:type="dxa"/>
            <w:tcBorders>
              <w:top w:val="single" w:sz="6" w:space="0" w:color="000000"/>
              <w:left w:val="single" w:sz="6" w:space="0" w:color="000000"/>
              <w:bottom w:val="single" w:sz="6" w:space="0" w:color="000000"/>
              <w:right w:val="single" w:sz="6" w:space="0" w:color="000000"/>
            </w:tcBorders>
            <w:vAlign w:val="center"/>
          </w:tcPr>
          <w:p w14:paraId="5525FB71"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1 000</w:t>
            </w:r>
          </w:p>
        </w:tc>
        <w:tc>
          <w:tcPr>
            <w:tcW w:w="1353" w:type="dxa"/>
            <w:tcBorders>
              <w:top w:val="single" w:sz="6" w:space="0" w:color="000000"/>
              <w:left w:val="single" w:sz="6" w:space="0" w:color="000000"/>
              <w:bottom w:val="single" w:sz="6" w:space="0" w:color="000000"/>
              <w:right w:val="single" w:sz="6" w:space="0" w:color="000000"/>
            </w:tcBorders>
            <w:vAlign w:val="center"/>
          </w:tcPr>
          <w:p w14:paraId="2D2C13B1"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1600</w:t>
            </w:r>
          </w:p>
        </w:tc>
        <w:tc>
          <w:tcPr>
            <w:tcW w:w="1354" w:type="dxa"/>
            <w:tcBorders>
              <w:top w:val="single" w:sz="6" w:space="0" w:color="000000"/>
              <w:left w:val="single" w:sz="6" w:space="0" w:color="000000"/>
              <w:bottom w:val="single" w:sz="6" w:space="0" w:color="000000"/>
              <w:right w:val="single" w:sz="6" w:space="0" w:color="000000"/>
            </w:tcBorders>
            <w:vAlign w:val="center"/>
          </w:tcPr>
          <w:p w14:paraId="0EFC2786"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2 200</w:t>
            </w:r>
          </w:p>
        </w:tc>
      </w:tr>
      <w:tr w:rsidR="00A74CDF" w:rsidRPr="00F01347" w14:paraId="15D820CA" w14:textId="77777777">
        <w:trPr>
          <w:trHeight w:val="20"/>
        </w:trPr>
        <w:tc>
          <w:tcPr>
            <w:tcW w:w="1040" w:type="dxa"/>
            <w:tcBorders>
              <w:top w:val="single" w:sz="6" w:space="0" w:color="000000"/>
              <w:left w:val="single" w:sz="6" w:space="0" w:color="000000"/>
              <w:bottom w:val="single" w:sz="6" w:space="0" w:color="000000"/>
              <w:right w:val="single" w:sz="6" w:space="0" w:color="000000"/>
            </w:tcBorders>
            <w:vAlign w:val="center"/>
          </w:tcPr>
          <w:p w14:paraId="5A376E47"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Al</w:t>
            </w:r>
          </w:p>
        </w:tc>
        <w:tc>
          <w:tcPr>
            <w:tcW w:w="1053" w:type="dxa"/>
            <w:tcBorders>
              <w:top w:val="single" w:sz="6" w:space="0" w:color="000000"/>
              <w:left w:val="single" w:sz="6" w:space="0" w:color="000000"/>
              <w:bottom w:val="single" w:sz="6" w:space="0" w:color="000000"/>
              <w:right w:val="single" w:sz="6" w:space="0" w:color="000000"/>
            </w:tcBorders>
            <w:vAlign w:val="center"/>
          </w:tcPr>
          <w:p w14:paraId="1B8E89D0"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309.3</w:t>
            </w:r>
          </w:p>
        </w:tc>
        <w:tc>
          <w:tcPr>
            <w:tcW w:w="1204" w:type="dxa"/>
            <w:tcBorders>
              <w:top w:val="single" w:sz="6" w:space="0" w:color="000000"/>
              <w:left w:val="single" w:sz="6" w:space="0" w:color="000000"/>
              <w:bottom w:val="single" w:sz="6" w:space="0" w:color="000000"/>
              <w:right w:val="single" w:sz="6" w:space="0" w:color="000000"/>
            </w:tcBorders>
            <w:vAlign w:val="center"/>
          </w:tcPr>
          <w:p w14:paraId="4649B93E"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0.7</w:t>
            </w:r>
          </w:p>
        </w:tc>
        <w:tc>
          <w:tcPr>
            <w:tcW w:w="1354" w:type="dxa"/>
            <w:tcBorders>
              <w:top w:val="single" w:sz="6" w:space="0" w:color="000000"/>
              <w:left w:val="single" w:sz="6" w:space="0" w:color="000000"/>
              <w:bottom w:val="single" w:sz="6" w:space="0" w:color="000000"/>
              <w:right w:val="single" w:sz="6" w:space="0" w:color="000000"/>
            </w:tcBorders>
            <w:vAlign w:val="center"/>
          </w:tcPr>
          <w:p w14:paraId="155460B5"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1 400</w:t>
            </w:r>
          </w:p>
        </w:tc>
        <w:tc>
          <w:tcPr>
            <w:tcW w:w="1354" w:type="dxa"/>
            <w:tcBorders>
              <w:top w:val="single" w:sz="6" w:space="0" w:color="000000"/>
              <w:left w:val="single" w:sz="6" w:space="0" w:color="000000"/>
              <w:bottom w:val="single" w:sz="6" w:space="0" w:color="000000"/>
              <w:right w:val="single" w:sz="6" w:space="0" w:color="000000"/>
            </w:tcBorders>
            <w:vAlign w:val="center"/>
          </w:tcPr>
          <w:p w14:paraId="610EC9C8"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1 700</w:t>
            </w:r>
          </w:p>
        </w:tc>
        <w:tc>
          <w:tcPr>
            <w:tcW w:w="1353" w:type="dxa"/>
            <w:tcBorders>
              <w:top w:val="single" w:sz="6" w:space="0" w:color="000000"/>
              <w:left w:val="single" w:sz="6" w:space="0" w:color="000000"/>
              <w:bottom w:val="single" w:sz="6" w:space="0" w:color="000000"/>
              <w:right w:val="single" w:sz="6" w:space="0" w:color="000000"/>
            </w:tcBorders>
            <w:vAlign w:val="center"/>
          </w:tcPr>
          <w:p w14:paraId="0F5FE92F"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2500</w:t>
            </w:r>
          </w:p>
        </w:tc>
        <w:tc>
          <w:tcPr>
            <w:tcW w:w="1354" w:type="dxa"/>
            <w:tcBorders>
              <w:top w:val="single" w:sz="6" w:space="0" w:color="000000"/>
              <w:left w:val="single" w:sz="6" w:space="0" w:color="000000"/>
              <w:bottom w:val="single" w:sz="6" w:space="0" w:color="000000"/>
              <w:right w:val="single" w:sz="6" w:space="0" w:color="000000"/>
            </w:tcBorders>
            <w:vAlign w:val="center"/>
          </w:tcPr>
          <w:p w14:paraId="6D815649"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2 350/2 400</w:t>
            </w:r>
          </w:p>
        </w:tc>
      </w:tr>
    </w:tbl>
    <w:p w14:paraId="6E03B28C" w14:textId="77777777" w:rsidR="00792F35" w:rsidRPr="00F01347" w:rsidRDefault="00792F35" w:rsidP="00792F35">
      <w:pPr>
        <w:pStyle w:val="texto0"/>
        <w:rPr>
          <w:rFonts w:ascii="Verdana" w:hAnsi="Verdana"/>
          <w:sz w:val="16"/>
          <w:szCs w:val="16"/>
          <w:lang w:val="en"/>
        </w:rPr>
      </w:pPr>
    </w:p>
    <w:tbl>
      <w:tblPr>
        <w:tblW w:w="8715" w:type="dxa"/>
        <w:tblInd w:w="144" w:type="dxa"/>
        <w:tblLayout w:type="fixed"/>
        <w:tblCellMar>
          <w:left w:w="72" w:type="dxa"/>
          <w:right w:w="72" w:type="dxa"/>
        </w:tblCellMar>
        <w:tblLook w:val="04A0" w:firstRow="1" w:lastRow="0" w:firstColumn="1" w:lastColumn="0" w:noHBand="0" w:noVBand="1"/>
      </w:tblPr>
      <w:tblGrid>
        <w:gridCol w:w="1041"/>
        <w:gridCol w:w="1054"/>
        <w:gridCol w:w="1205"/>
        <w:gridCol w:w="1354"/>
        <w:gridCol w:w="1354"/>
        <w:gridCol w:w="1353"/>
        <w:gridCol w:w="1354"/>
      </w:tblGrid>
      <w:tr w:rsidR="00792F35" w:rsidRPr="00F01347" w14:paraId="6A5EEF8A" w14:textId="77777777" w:rsidTr="00792F35">
        <w:trPr>
          <w:trHeight w:val="20"/>
        </w:trPr>
        <w:tc>
          <w:tcPr>
            <w:tcW w:w="8712" w:type="dxa"/>
            <w:gridSpan w:val="7"/>
            <w:tcBorders>
              <w:top w:val="nil"/>
              <w:left w:val="nil"/>
              <w:bottom w:val="single" w:sz="6" w:space="0" w:color="auto"/>
              <w:right w:val="nil"/>
            </w:tcBorders>
            <w:noWrap/>
            <w:hideMark/>
          </w:tcPr>
          <w:p w14:paraId="1EE5A105"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 xml:space="preserve">Table B.4.1-2. </w:t>
            </w:r>
            <w:r w:rsidRPr="00F01347">
              <w:rPr>
                <w:rFonts w:ascii="Verdana" w:hAnsi="Verdana"/>
                <w:sz w:val="16"/>
                <w:szCs w:val="16"/>
                <w:lang w:val="en-US"/>
              </w:rPr>
              <w:t>Adjustment parameters in the graphite furnace</w:t>
            </w:r>
          </w:p>
        </w:tc>
      </w:tr>
      <w:tr w:rsidR="00792F35" w:rsidRPr="00F01347" w14:paraId="7E7CEE06" w14:textId="77777777" w:rsidTr="00792F35">
        <w:trPr>
          <w:trHeight w:val="20"/>
        </w:trPr>
        <w:tc>
          <w:tcPr>
            <w:tcW w:w="1040" w:type="dxa"/>
            <w:vMerge w:val="restart"/>
            <w:tcBorders>
              <w:top w:val="single" w:sz="6" w:space="0" w:color="auto"/>
              <w:left w:val="single" w:sz="6" w:space="0" w:color="000000"/>
              <w:bottom w:val="single" w:sz="6" w:space="0" w:color="000000"/>
              <w:right w:val="single" w:sz="6" w:space="0" w:color="000000"/>
            </w:tcBorders>
            <w:vAlign w:val="center"/>
            <w:hideMark/>
          </w:tcPr>
          <w:p w14:paraId="57188036"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Element</w:t>
            </w:r>
          </w:p>
        </w:tc>
        <w:tc>
          <w:tcPr>
            <w:tcW w:w="1053" w:type="dxa"/>
            <w:vMerge w:val="restart"/>
            <w:tcBorders>
              <w:top w:val="single" w:sz="6" w:space="0" w:color="auto"/>
              <w:left w:val="single" w:sz="6" w:space="0" w:color="000000"/>
              <w:bottom w:val="single" w:sz="6" w:space="0" w:color="000000"/>
              <w:right w:val="single" w:sz="6" w:space="0" w:color="000000"/>
            </w:tcBorders>
            <w:vAlign w:val="center"/>
            <w:hideMark/>
          </w:tcPr>
          <w:p w14:paraId="61FB73DA"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Wavelength (nm)</w:t>
            </w:r>
          </w:p>
        </w:tc>
        <w:tc>
          <w:tcPr>
            <w:tcW w:w="1204" w:type="dxa"/>
            <w:vMerge w:val="restart"/>
            <w:tcBorders>
              <w:top w:val="single" w:sz="6" w:space="0" w:color="auto"/>
              <w:left w:val="single" w:sz="6" w:space="0" w:color="000000"/>
              <w:bottom w:val="single" w:sz="6" w:space="0" w:color="000000"/>
              <w:right w:val="single" w:sz="6" w:space="0" w:color="000000"/>
            </w:tcBorders>
            <w:vAlign w:val="center"/>
            <w:hideMark/>
          </w:tcPr>
          <w:p w14:paraId="0698630B" w14:textId="00376A33"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 xml:space="preserve">Grid width </w:t>
            </w:r>
            <w:r w:rsidR="00CB209C" w:rsidRPr="00F01347">
              <w:rPr>
                <w:rFonts w:ascii="Verdana" w:hAnsi="Verdana"/>
                <w:b/>
                <w:sz w:val="16"/>
                <w:szCs w:val="16"/>
                <w:lang w:val="en-US"/>
              </w:rPr>
              <w:t>(</w:t>
            </w:r>
            <w:r w:rsidRPr="00F01347">
              <w:rPr>
                <w:rFonts w:ascii="Verdana" w:hAnsi="Verdana"/>
                <w:b/>
                <w:sz w:val="16"/>
                <w:szCs w:val="16"/>
                <w:lang w:val="en-US"/>
              </w:rPr>
              <w:t>slit</w:t>
            </w:r>
            <w:r w:rsidR="00913802" w:rsidRPr="00F01347">
              <w:rPr>
                <w:rFonts w:ascii="Verdana" w:hAnsi="Verdana"/>
                <w:b/>
                <w:sz w:val="16"/>
                <w:szCs w:val="16"/>
                <w:lang w:val="en-US"/>
              </w:rPr>
              <w:t>)</w:t>
            </w:r>
            <w:r w:rsidRPr="00F01347">
              <w:rPr>
                <w:rFonts w:ascii="Verdana" w:hAnsi="Verdana"/>
                <w:b/>
                <w:sz w:val="16"/>
                <w:szCs w:val="16"/>
                <w:lang w:val="en-US"/>
              </w:rPr>
              <w:t xml:space="preserve"> (nm)</w:t>
            </w:r>
          </w:p>
        </w:tc>
        <w:tc>
          <w:tcPr>
            <w:tcW w:w="2708" w:type="dxa"/>
            <w:gridSpan w:val="2"/>
            <w:tcBorders>
              <w:top w:val="single" w:sz="6" w:space="0" w:color="auto"/>
              <w:left w:val="single" w:sz="6" w:space="0" w:color="000000"/>
              <w:bottom w:val="single" w:sz="6" w:space="0" w:color="000000"/>
              <w:right w:val="single" w:sz="6" w:space="0" w:color="000000"/>
            </w:tcBorders>
            <w:vAlign w:val="center"/>
            <w:hideMark/>
          </w:tcPr>
          <w:p w14:paraId="1F1C3F3E"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Pyrolysis temperature (°C)</w:t>
            </w:r>
          </w:p>
        </w:tc>
        <w:tc>
          <w:tcPr>
            <w:tcW w:w="2707" w:type="dxa"/>
            <w:gridSpan w:val="2"/>
            <w:tcBorders>
              <w:top w:val="single" w:sz="6" w:space="0" w:color="auto"/>
              <w:left w:val="single" w:sz="6" w:space="0" w:color="000000"/>
              <w:bottom w:val="single" w:sz="6" w:space="0" w:color="000000"/>
              <w:right w:val="single" w:sz="6" w:space="0" w:color="000000"/>
            </w:tcBorders>
            <w:vAlign w:val="center"/>
            <w:hideMark/>
          </w:tcPr>
          <w:p w14:paraId="19B2E160"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Atomization temperature (°C)</w:t>
            </w:r>
          </w:p>
        </w:tc>
      </w:tr>
      <w:tr w:rsidR="00792F35" w:rsidRPr="00F01347" w14:paraId="0482B05E" w14:textId="77777777" w:rsidTr="00792F35">
        <w:trPr>
          <w:trHeight w:val="20"/>
        </w:trPr>
        <w:tc>
          <w:tcPr>
            <w:tcW w:w="8712" w:type="dxa"/>
            <w:vMerge/>
            <w:tcBorders>
              <w:top w:val="single" w:sz="6" w:space="0" w:color="auto"/>
              <w:left w:val="single" w:sz="6" w:space="0" w:color="000000"/>
              <w:bottom w:val="single" w:sz="6" w:space="0" w:color="000000"/>
              <w:right w:val="single" w:sz="6" w:space="0" w:color="000000"/>
            </w:tcBorders>
            <w:vAlign w:val="center"/>
            <w:hideMark/>
          </w:tcPr>
          <w:p w14:paraId="19C44754" w14:textId="77777777" w:rsidR="00792F35" w:rsidRPr="00F01347" w:rsidRDefault="00792F35">
            <w:pPr>
              <w:rPr>
                <w:rFonts w:ascii="Verdana" w:hAnsi="Verdana" w:cs="Arial"/>
                <w:sz w:val="16"/>
                <w:szCs w:val="16"/>
                <w:lang w:val="en-US"/>
              </w:rPr>
            </w:pPr>
          </w:p>
        </w:tc>
        <w:tc>
          <w:tcPr>
            <w:tcW w:w="1053" w:type="dxa"/>
            <w:vMerge/>
            <w:tcBorders>
              <w:top w:val="single" w:sz="6" w:space="0" w:color="auto"/>
              <w:left w:val="single" w:sz="6" w:space="0" w:color="000000"/>
              <w:bottom w:val="single" w:sz="6" w:space="0" w:color="000000"/>
              <w:right w:val="single" w:sz="6" w:space="0" w:color="000000"/>
            </w:tcBorders>
            <w:vAlign w:val="center"/>
            <w:hideMark/>
          </w:tcPr>
          <w:p w14:paraId="19F131C4" w14:textId="77777777" w:rsidR="00792F35" w:rsidRPr="00F01347" w:rsidRDefault="00792F35">
            <w:pPr>
              <w:rPr>
                <w:rFonts w:ascii="Verdana" w:hAnsi="Verdana" w:cs="Arial"/>
                <w:sz w:val="16"/>
                <w:szCs w:val="16"/>
                <w:lang w:val="en-US"/>
              </w:rPr>
            </w:pPr>
          </w:p>
        </w:tc>
        <w:tc>
          <w:tcPr>
            <w:tcW w:w="1204" w:type="dxa"/>
            <w:vMerge/>
            <w:tcBorders>
              <w:top w:val="single" w:sz="6" w:space="0" w:color="auto"/>
              <w:left w:val="single" w:sz="6" w:space="0" w:color="000000"/>
              <w:bottom w:val="single" w:sz="6" w:space="0" w:color="000000"/>
              <w:right w:val="single" w:sz="6" w:space="0" w:color="000000"/>
            </w:tcBorders>
            <w:vAlign w:val="center"/>
            <w:hideMark/>
          </w:tcPr>
          <w:p w14:paraId="550EF448" w14:textId="77777777" w:rsidR="00792F35" w:rsidRPr="00F01347" w:rsidRDefault="00792F35">
            <w:pPr>
              <w:rPr>
                <w:rFonts w:ascii="Verdana" w:hAnsi="Verdana" w:cs="Arial"/>
                <w:sz w:val="16"/>
                <w:szCs w:val="16"/>
                <w:lang w:val="en-US"/>
              </w:rPr>
            </w:pPr>
          </w:p>
        </w:tc>
        <w:tc>
          <w:tcPr>
            <w:tcW w:w="1354" w:type="dxa"/>
            <w:tcBorders>
              <w:top w:val="single" w:sz="6" w:space="0" w:color="000000"/>
              <w:left w:val="single" w:sz="6" w:space="0" w:color="000000"/>
              <w:bottom w:val="single" w:sz="6" w:space="0" w:color="000000"/>
              <w:right w:val="single" w:sz="6" w:space="0" w:color="000000"/>
            </w:tcBorders>
            <w:vAlign w:val="center"/>
            <w:hideMark/>
          </w:tcPr>
          <w:p w14:paraId="39BE6452"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No modifier</w:t>
            </w:r>
          </w:p>
        </w:tc>
        <w:tc>
          <w:tcPr>
            <w:tcW w:w="1354" w:type="dxa"/>
            <w:tcBorders>
              <w:top w:val="single" w:sz="6" w:space="0" w:color="000000"/>
              <w:left w:val="single" w:sz="6" w:space="0" w:color="000000"/>
              <w:bottom w:val="single" w:sz="6" w:space="0" w:color="000000"/>
              <w:right w:val="single" w:sz="6" w:space="0" w:color="000000"/>
            </w:tcBorders>
            <w:vAlign w:val="center"/>
            <w:hideMark/>
          </w:tcPr>
          <w:p w14:paraId="581B626C"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With modifier</w:t>
            </w:r>
          </w:p>
        </w:tc>
        <w:tc>
          <w:tcPr>
            <w:tcW w:w="1353" w:type="dxa"/>
            <w:tcBorders>
              <w:top w:val="single" w:sz="6" w:space="0" w:color="000000"/>
              <w:left w:val="single" w:sz="6" w:space="0" w:color="000000"/>
              <w:bottom w:val="single" w:sz="6" w:space="0" w:color="000000"/>
              <w:right w:val="single" w:sz="6" w:space="0" w:color="000000"/>
            </w:tcBorders>
            <w:vAlign w:val="center"/>
            <w:hideMark/>
          </w:tcPr>
          <w:p w14:paraId="2D9BB1C3"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No modifier</w:t>
            </w:r>
          </w:p>
        </w:tc>
        <w:tc>
          <w:tcPr>
            <w:tcW w:w="1354" w:type="dxa"/>
            <w:tcBorders>
              <w:top w:val="single" w:sz="6" w:space="0" w:color="000000"/>
              <w:left w:val="single" w:sz="6" w:space="0" w:color="000000"/>
              <w:bottom w:val="single" w:sz="6" w:space="0" w:color="000000"/>
              <w:right w:val="single" w:sz="6" w:space="0" w:color="000000"/>
            </w:tcBorders>
            <w:vAlign w:val="center"/>
            <w:hideMark/>
          </w:tcPr>
          <w:p w14:paraId="48FF483A"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With modifier</w:t>
            </w:r>
          </w:p>
        </w:tc>
      </w:tr>
      <w:tr w:rsidR="00792F35" w:rsidRPr="00F01347" w14:paraId="3C28AC09" w14:textId="77777777" w:rsidTr="00792F35">
        <w:trPr>
          <w:trHeight w:val="20"/>
        </w:trPr>
        <w:tc>
          <w:tcPr>
            <w:tcW w:w="1040" w:type="dxa"/>
            <w:tcBorders>
              <w:top w:val="single" w:sz="6" w:space="0" w:color="000000"/>
              <w:left w:val="single" w:sz="6" w:space="0" w:color="000000"/>
              <w:bottom w:val="single" w:sz="6" w:space="0" w:color="000000"/>
              <w:right w:val="single" w:sz="6" w:space="0" w:color="000000"/>
            </w:tcBorders>
            <w:vAlign w:val="center"/>
            <w:hideMark/>
          </w:tcPr>
          <w:p w14:paraId="24B4AAB7"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Ag</w:t>
            </w:r>
          </w:p>
        </w:tc>
        <w:tc>
          <w:tcPr>
            <w:tcW w:w="1053" w:type="dxa"/>
            <w:tcBorders>
              <w:top w:val="single" w:sz="6" w:space="0" w:color="000000"/>
              <w:left w:val="single" w:sz="6" w:space="0" w:color="000000"/>
              <w:bottom w:val="single" w:sz="6" w:space="0" w:color="000000"/>
              <w:right w:val="single" w:sz="6" w:space="0" w:color="000000"/>
            </w:tcBorders>
            <w:vAlign w:val="center"/>
            <w:hideMark/>
          </w:tcPr>
          <w:p w14:paraId="4205FA88"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328.1</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7A691B41"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0.7</w:t>
            </w:r>
          </w:p>
        </w:tc>
        <w:tc>
          <w:tcPr>
            <w:tcW w:w="1354" w:type="dxa"/>
            <w:tcBorders>
              <w:top w:val="single" w:sz="6" w:space="0" w:color="000000"/>
              <w:left w:val="single" w:sz="6" w:space="0" w:color="000000"/>
              <w:bottom w:val="single" w:sz="6" w:space="0" w:color="000000"/>
              <w:right w:val="single" w:sz="6" w:space="0" w:color="000000"/>
            </w:tcBorders>
            <w:vAlign w:val="center"/>
            <w:hideMark/>
          </w:tcPr>
          <w:p w14:paraId="2D478360"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650</w:t>
            </w:r>
          </w:p>
        </w:tc>
        <w:tc>
          <w:tcPr>
            <w:tcW w:w="1354" w:type="dxa"/>
            <w:tcBorders>
              <w:top w:val="single" w:sz="6" w:space="0" w:color="000000"/>
              <w:left w:val="single" w:sz="6" w:space="0" w:color="000000"/>
              <w:bottom w:val="single" w:sz="6" w:space="0" w:color="000000"/>
              <w:right w:val="single" w:sz="6" w:space="0" w:color="000000"/>
            </w:tcBorders>
            <w:vAlign w:val="center"/>
            <w:hideMark/>
          </w:tcPr>
          <w:p w14:paraId="2B87CFF8"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1,000</w:t>
            </w:r>
          </w:p>
        </w:tc>
        <w:tc>
          <w:tcPr>
            <w:tcW w:w="1353" w:type="dxa"/>
            <w:tcBorders>
              <w:top w:val="single" w:sz="6" w:space="0" w:color="000000"/>
              <w:left w:val="single" w:sz="6" w:space="0" w:color="000000"/>
              <w:bottom w:val="single" w:sz="6" w:space="0" w:color="000000"/>
              <w:right w:val="single" w:sz="6" w:space="0" w:color="000000"/>
            </w:tcBorders>
            <w:vAlign w:val="center"/>
            <w:hideMark/>
          </w:tcPr>
          <w:p w14:paraId="14422B9F"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1600</w:t>
            </w:r>
          </w:p>
        </w:tc>
        <w:tc>
          <w:tcPr>
            <w:tcW w:w="1354" w:type="dxa"/>
            <w:tcBorders>
              <w:top w:val="single" w:sz="6" w:space="0" w:color="000000"/>
              <w:left w:val="single" w:sz="6" w:space="0" w:color="000000"/>
              <w:bottom w:val="single" w:sz="6" w:space="0" w:color="000000"/>
              <w:right w:val="single" w:sz="6" w:space="0" w:color="000000"/>
            </w:tcBorders>
            <w:vAlign w:val="center"/>
            <w:hideMark/>
          </w:tcPr>
          <w:p w14:paraId="49903406" w14:textId="35CD6122"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2</w:t>
            </w:r>
            <w:r w:rsidR="00AA6F44">
              <w:rPr>
                <w:rFonts w:ascii="Verdana" w:hAnsi="Verdana"/>
                <w:sz w:val="16"/>
                <w:szCs w:val="16"/>
                <w:lang w:val="en-US"/>
              </w:rPr>
              <w:t>,</w:t>
            </w:r>
            <w:r w:rsidRPr="00F01347">
              <w:rPr>
                <w:rFonts w:ascii="Verdana" w:hAnsi="Verdana"/>
                <w:sz w:val="16"/>
                <w:szCs w:val="16"/>
                <w:lang w:val="en-US"/>
              </w:rPr>
              <w:t>200</w:t>
            </w:r>
          </w:p>
        </w:tc>
      </w:tr>
      <w:tr w:rsidR="00792F35" w:rsidRPr="00F01347" w14:paraId="5D8F2FEF" w14:textId="77777777" w:rsidTr="00792F35">
        <w:trPr>
          <w:trHeight w:val="20"/>
        </w:trPr>
        <w:tc>
          <w:tcPr>
            <w:tcW w:w="1040" w:type="dxa"/>
            <w:tcBorders>
              <w:top w:val="single" w:sz="6" w:space="0" w:color="000000"/>
              <w:left w:val="single" w:sz="6" w:space="0" w:color="000000"/>
              <w:bottom w:val="single" w:sz="6" w:space="0" w:color="000000"/>
              <w:right w:val="single" w:sz="6" w:space="0" w:color="000000"/>
            </w:tcBorders>
            <w:vAlign w:val="center"/>
            <w:hideMark/>
          </w:tcPr>
          <w:p w14:paraId="7F5CB7A6" w14:textId="65651193" w:rsidR="00792F35" w:rsidRPr="00F01347" w:rsidRDefault="00AA6F44">
            <w:pPr>
              <w:pStyle w:val="texto0"/>
              <w:ind w:firstLine="0"/>
              <w:jc w:val="center"/>
              <w:rPr>
                <w:rFonts w:ascii="Verdana" w:hAnsi="Verdana"/>
                <w:sz w:val="16"/>
                <w:szCs w:val="16"/>
                <w:lang w:val="en-US"/>
              </w:rPr>
            </w:pPr>
            <w:r>
              <w:rPr>
                <w:rFonts w:ascii="Verdana" w:hAnsi="Verdana"/>
                <w:sz w:val="16"/>
                <w:szCs w:val="16"/>
                <w:lang w:val="en-US"/>
              </w:rPr>
              <w:t>Al</w:t>
            </w:r>
          </w:p>
        </w:tc>
        <w:tc>
          <w:tcPr>
            <w:tcW w:w="1053" w:type="dxa"/>
            <w:tcBorders>
              <w:top w:val="single" w:sz="6" w:space="0" w:color="000000"/>
              <w:left w:val="single" w:sz="6" w:space="0" w:color="000000"/>
              <w:bottom w:val="single" w:sz="6" w:space="0" w:color="000000"/>
              <w:right w:val="single" w:sz="6" w:space="0" w:color="000000"/>
            </w:tcBorders>
            <w:vAlign w:val="center"/>
            <w:hideMark/>
          </w:tcPr>
          <w:p w14:paraId="22FE481A"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309.3</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1020DD66"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0.7</w:t>
            </w:r>
          </w:p>
        </w:tc>
        <w:tc>
          <w:tcPr>
            <w:tcW w:w="1354" w:type="dxa"/>
            <w:tcBorders>
              <w:top w:val="single" w:sz="6" w:space="0" w:color="000000"/>
              <w:left w:val="single" w:sz="6" w:space="0" w:color="000000"/>
              <w:bottom w:val="single" w:sz="6" w:space="0" w:color="000000"/>
              <w:right w:val="single" w:sz="6" w:space="0" w:color="000000"/>
            </w:tcBorders>
            <w:vAlign w:val="center"/>
            <w:hideMark/>
          </w:tcPr>
          <w:p w14:paraId="57DA3E43" w14:textId="252AC625"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1</w:t>
            </w:r>
            <w:r w:rsidR="00AA6F44">
              <w:rPr>
                <w:rFonts w:ascii="Verdana" w:hAnsi="Verdana"/>
                <w:sz w:val="16"/>
                <w:szCs w:val="16"/>
                <w:lang w:val="en-US"/>
              </w:rPr>
              <w:t>,</w:t>
            </w:r>
            <w:r w:rsidRPr="00F01347">
              <w:rPr>
                <w:rFonts w:ascii="Verdana" w:hAnsi="Verdana"/>
                <w:sz w:val="16"/>
                <w:szCs w:val="16"/>
                <w:lang w:val="en-US"/>
              </w:rPr>
              <w:t>400</w:t>
            </w:r>
          </w:p>
        </w:tc>
        <w:tc>
          <w:tcPr>
            <w:tcW w:w="1354" w:type="dxa"/>
            <w:tcBorders>
              <w:top w:val="single" w:sz="6" w:space="0" w:color="000000"/>
              <w:left w:val="single" w:sz="6" w:space="0" w:color="000000"/>
              <w:bottom w:val="single" w:sz="6" w:space="0" w:color="000000"/>
              <w:right w:val="single" w:sz="6" w:space="0" w:color="000000"/>
            </w:tcBorders>
            <w:vAlign w:val="center"/>
            <w:hideMark/>
          </w:tcPr>
          <w:p w14:paraId="6A93709F" w14:textId="27EF69AF"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1</w:t>
            </w:r>
            <w:r w:rsidR="00AA6F44">
              <w:rPr>
                <w:rFonts w:ascii="Verdana" w:hAnsi="Verdana"/>
                <w:sz w:val="16"/>
                <w:szCs w:val="16"/>
                <w:lang w:val="en-US"/>
              </w:rPr>
              <w:t>,</w:t>
            </w:r>
            <w:r w:rsidRPr="00F01347">
              <w:rPr>
                <w:rFonts w:ascii="Verdana" w:hAnsi="Verdana"/>
                <w:sz w:val="16"/>
                <w:szCs w:val="16"/>
                <w:lang w:val="en-US"/>
              </w:rPr>
              <w:t>700</w:t>
            </w:r>
          </w:p>
        </w:tc>
        <w:tc>
          <w:tcPr>
            <w:tcW w:w="1353" w:type="dxa"/>
            <w:tcBorders>
              <w:top w:val="single" w:sz="6" w:space="0" w:color="000000"/>
              <w:left w:val="single" w:sz="6" w:space="0" w:color="000000"/>
              <w:bottom w:val="single" w:sz="6" w:space="0" w:color="000000"/>
              <w:right w:val="single" w:sz="6" w:space="0" w:color="000000"/>
            </w:tcBorders>
            <w:vAlign w:val="center"/>
            <w:hideMark/>
          </w:tcPr>
          <w:p w14:paraId="35546D43"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2500</w:t>
            </w:r>
          </w:p>
        </w:tc>
        <w:tc>
          <w:tcPr>
            <w:tcW w:w="1354" w:type="dxa"/>
            <w:tcBorders>
              <w:top w:val="single" w:sz="6" w:space="0" w:color="000000"/>
              <w:left w:val="single" w:sz="6" w:space="0" w:color="000000"/>
              <w:bottom w:val="single" w:sz="6" w:space="0" w:color="000000"/>
              <w:right w:val="single" w:sz="6" w:space="0" w:color="000000"/>
            </w:tcBorders>
            <w:vAlign w:val="center"/>
            <w:hideMark/>
          </w:tcPr>
          <w:p w14:paraId="02F07398"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2,350/2,400</w:t>
            </w:r>
          </w:p>
        </w:tc>
      </w:tr>
    </w:tbl>
    <w:p w14:paraId="2B617152" w14:textId="77777777" w:rsidR="00792F35" w:rsidRPr="00F01347" w:rsidRDefault="00792F35" w:rsidP="003A601B">
      <w:pPr>
        <w:pStyle w:val="texto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04B58" w:rsidRPr="00F01347" w14:paraId="2E4A81EC" w14:textId="05395BE2" w:rsidTr="003B335B">
        <w:tc>
          <w:tcPr>
            <w:tcW w:w="4675" w:type="dxa"/>
          </w:tcPr>
          <w:p w14:paraId="38F51C46" w14:textId="77777777" w:rsidR="00204B58" w:rsidRPr="00F01347" w:rsidRDefault="00204B58" w:rsidP="000C45A6">
            <w:pPr>
              <w:pStyle w:val="texto0"/>
              <w:ind w:firstLine="0"/>
              <w:rPr>
                <w:rFonts w:ascii="Verdana" w:hAnsi="Verdana"/>
                <w:sz w:val="16"/>
                <w:szCs w:val="16"/>
              </w:rPr>
            </w:pPr>
            <w:r w:rsidRPr="00F01347">
              <w:rPr>
                <w:rFonts w:ascii="Verdana" w:hAnsi="Verdana"/>
                <w:sz w:val="16"/>
                <w:szCs w:val="16"/>
              </w:rPr>
              <w:t>Utilizar modificadores de matriz para eliminar los efectos de matriz ya que su uso permite elevar la temperatura de pirolisis y poder eliminar las interferencias sin que se pierda el analito.</w:t>
            </w:r>
          </w:p>
        </w:tc>
        <w:tc>
          <w:tcPr>
            <w:tcW w:w="4675" w:type="dxa"/>
          </w:tcPr>
          <w:p w14:paraId="048693C5" w14:textId="0D3A6C26" w:rsidR="00204B58" w:rsidRPr="00F01347" w:rsidRDefault="00792F35" w:rsidP="000C45A6">
            <w:pPr>
              <w:pStyle w:val="texto0"/>
              <w:ind w:firstLine="0"/>
              <w:rPr>
                <w:rFonts w:ascii="Verdana" w:hAnsi="Verdana"/>
                <w:sz w:val="16"/>
                <w:szCs w:val="16"/>
                <w:lang w:val="en-US"/>
              </w:rPr>
            </w:pPr>
            <w:r w:rsidRPr="00F01347">
              <w:rPr>
                <w:rFonts w:ascii="Verdana" w:hAnsi="Verdana"/>
                <w:sz w:val="16"/>
                <w:szCs w:val="16"/>
                <w:lang w:val="en-US"/>
              </w:rPr>
              <w:t>Use matrix modifiers to eliminate matrix effects since their use allows the pyrolysis temperature to be raised and interferences eliminated without losing the analyte.</w:t>
            </w:r>
          </w:p>
        </w:tc>
      </w:tr>
      <w:tr w:rsidR="00204B58" w:rsidRPr="00F01347" w14:paraId="3B7EE93B" w14:textId="30446BD2" w:rsidTr="003B335B">
        <w:tc>
          <w:tcPr>
            <w:tcW w:w="4675" w:type="dxa"/>
          </w:tcPr>
          <w:p w14:paraId="7B670D87" w14:textId="77777777" w:rsidR="00204B58" w:rsidRPr="00F01347" w:rsidRDefault="00204B58" w:rsidP="000C45A6">
            <w:pPr>
              <w:pStyle w:val="texto0"/>
              <w:ind w:firstLine="0"/>
              <w:rPr>
                <w:rFonts w:ascii="Verdana" w:hAnsi="Verdana"/>
                <w:sz w:val="16"/>
                <w:szCs w:val="16"/>
              </w:rPr>
            </w:pPr>
            <w:r w:rsidRPr="00F01347">
              <w:rPr>
                <w:rFonts w:ascii="Verdana" w:hAnsi="Verdana"/>
                <w:sz w:val="16"/>
                <w:szCs w:val="16"/>
              </w:rPr>
              <w:t xml:space="preserve">Si se utilizan modificadores de matriz en las muestras, adicionar también al blanco de la </w:t>
            </w:r>
            <w:proofErr w:type="gramStart"/>
            <w:r w:rsidRPr="00F01347">
              <w:rPr>
                <w:rFonts w:ascii="Verdana" w:hAnsi="Verdana"/>
                <w:sz w:val="16"/>
                <w:szCs w:val="16"/>
              </w:rPr>
              <w:t>curva,  a</w:t>
            </w:r>
            <w:proofErr w:type="gramEnd"/>
            <w:r w:rsidRPr="00F01347">
              <w:rPr>
                <w:rFonts w:ascii="Verdana" w:hAnsi="Verdana"/>
                <w:sz w:val="16"/>
                <w:szCs w:val="16"/>
              </w:rPr>
              <w:t xml:space="preserve"> la curva de calibración, a las disoluciones estándar de verificación, a las muestras fortificadas y a las disoluciones estándar de control de calidad (muestras de control de calidad (MCC) o muestras de control de laboratorio (MCL).</w:t>
            </w:r>
          </w:p>
        </w:tc>
        <w:tc>
          <w:tcPr>
            <w:tcW w:w="4675" w:type="dxa"/>
          </w:tcPr>
          <w:p w14:paraId="4BE9176D" w14:textId="1EB007C9" w:rsidR="00204B58" w:rsidRPr="00F01347" w:rsidRDefault="00792F35" w:rsidP="000C45A6">
            <w:pPr>
              <w:pStyle w:val="texto0"/>
              <w:ind w:firstLine="0"/>
              <w:rPr>
                <w:rFonts w:ascii="Verdana" w:hAnsi="Verdana"/>
                <w:sz w:val="16"/>
                <w:szCs w:val="16"/>
                <w:lang w:val="en-US"/>
              </w:rPr>
            </w:pPr>
            <w:r w:rsidRPr="00F01347">
              <w:rPr>
                <w:rFonts w:ascii="Verdana" w:hAnsi="Verdana"/>
                <w:sz w:val="16"/>
                <w:szCs w:val="16"/>
                <w:lang w:val="en-US"/>
              </w:rPr>
              <w:t>If matrix modifiers are used in the samples, also add to the curve blank</w:t>
            </w:r>
            <w:r w:rsidR="003E1BA9" w:rsidRPr="00F01347">
              <w:rPr>
                <w:rFonts w:ascii="Verdana" w:hAnsi="Verdana"/>
                <w:sz w:val="16"/>
                <w:szCs w:val="16"/>
                <w:lang w:val="en-US"/>
              </w:rPr>
              <w:t>,</w:t>
            </w:r>
            <w:r w:rsidRPr="00F01347">
              <w:rPr>
                <w:rFonts w:ascii="Verdana" w:hAnsi="Verdana"/>
                <w:sz w:val="16"/>
                <w:szCs w:val="16"/>
                <w:lang w:val="en-US"/>
              </w:rPr>
              <w:t xml:space="preserve"> calibration curve, verification standard solutions, fortified </w:t>
            </w:r>
            <w:proofErr w:type="gramStart"/>
            <w:r w:rsidRPr="00F01347">
              <w:rPr>
                <w:rFonts w:ascii="Verdana" w:hAnsi="Verdana"/>
                <w:sz w:val="16"/>
                <w:szCs w:val="16"/>
                <w:lang w:val="en-US"/>
              </w:rPr>
              <w:t>samples</w:t>
            </w:r>
            <w:proofErr w:type="gramEnd"/>
            <w:r w:rsidRPr="00F01347">
              <w:rPr>
                <w:rFonts w:ascii="Verdana" w:hAnsi="Verdana"/>
                <w:sz w:val="16"/>
                <w:szCs w:val="16"/>
                <w:lang w:val="en-US"/>
              </w:rPr>
              <w:t xml:space="preserve"> and quality control standard solutions (quality control samples </w:t>
            </w:r>
            <w:r w:rsidR="00CB209C" w:rsidRPr="00F01347">
              <w:rPr>
                <w:rFonts w:ascii="Verdana" w:hAnsi="Verdana"/>
                <w:sz w:val="16"/>
                <w:szCs w:val="16"/>
                <w:lang w:val="en-US"/>
              </w:rPr>
              <w:t>(</w:t>
            </w:r>
            <w:r w:rsidRPr="00F01347">
              <w:rPr>
                <w:rFonts w:ascii="Verdana" w:hAnsi="Verdana"/>
                <w:sz w:val="16"/>
                <w:szCs w:val="16"/>
                <w:lang w:val="en-US"/>
              </w:rPr>
              <w:t>MCC) or laboratory control samples (MCL).</w:t>
            </w:r>
          </w:p>
        </w:tc>
      </w:tr>
      <w:tr w:rsidR="00204B58" w:rsidRPr="00F01347" w14:paraId="6A670769" w14:textId="1F1083B3" w:rsidTr="003B335B">
        <w:tc>
          <w:tcPr>
            <w:tcW w:w="4675" w:type="dxa"/>
          </w:tcPr>
          <w:p w14:paraId="0EC65993" w14:textId="77777777" w:rsidR="00204B58" w:rsidRPr="00F01347" w:rsidRDefault="00204B58" w:rsidP="000C45A6">
            <w:pPr>
              <w:pStyle w:val="texto0"/>
              <w:ind w:firstLine="0"/>
              <w:rPr>
                <w:rFonts w:ascii="Verdana" w:hAnsi="Verdana"/>
                <w:sz w:val="16"/>
                <w:szCs w:val="16"/>
              </w:rPr>
            </w:pPr>
            <w:r w:rsidRPr="00F01347">
              <w:rPr>
                <w:rFonts w:ascii="Verdana" w:hAnsi="Verdana"/>
                <w:sz w:val="16"/>
                <w:szCs w:val="16"/>
              </w:rPr>
              <w:t>En la Tabla B.4.1-3, de este Apéndice, se muestran los principales modificadores de matriz utilizados en el análisis por horno de grafito. Generalmente la cantidad indicada en la tabla debe estar contenida en un volumen de modificador de 10 µL.</w:t>
            </w:r>
          </w:p>
        </w:tc>
        <w:tc>
          <w:tcPr>
            <w:tcW w:w="4675" w:type="dxa"/>
          </w:tcPr>
          <w:p w14:paraId="57992213" w14:textId="69E735BE" w:rsidR="00204B58" w:rsidRPr="00F01347" w:rsidRDefault="00792F35" w:rsidP="000C45A6">
            <w:pPr>
              <w:pStyle w:val="texto0"/>
              <w:ind w:firstLine="0"/>
              <w:rPr>
                <w:rFonts w:ascii="Verdana" w:hAnsi="Verdana"/>
                <w:sz w:val="16"/>
                <w:szCs w:val="16"/>
                <w:lang w:val="en-US"/>
              </w:rPr>
            </w:pPr>
            <w:r w:rsidRPr="00F01347">
              <w:rPr>
                <w:rFonts w:ascii="Verdana" w:hAnsi="Verdana"/>
                <w:sz w:val="16"/>
                <w:szCs w:val="16"/>
                <w:lang w:val="en-US"/>
              </w:rPr>
              <w:t xml:space="preserve">Table B.4.1-3, in this Appendix, shows the main matrix modifiers used in graphite furnace analysis. </w:t>
            </w:r>
            <w:proofErr w:type="gramStart"/>
            <w:r w:rsidRPr="00F01347">
              <w:rPr>
                <w:rFonts w:ascii="Verdana" w:hAnsi="Verdana"/>
                <w:sz w:val="16"/>
                <w:szCs w:val="16"/>
                <w:lang w:val="en-US"/>
              </w:rPr>
              <w:t>Generally</w:t>
            </w:r>
            <w:proofErr w:type="gramEnd"/>
            <w:r w:rsidRPr="00F01347">
              <w:rPr>
                <w:rFonts w:ascii="Verdana" w:hAnsi="Verdana"/>
                <w:sz w:val="16"/>
                <w:szCs w:val="16"/>
                <w:lang w:val="en-US"/>
              </w:rPr>
              <w:t xml:space="preserve"> the amount indicated in the table should be contained in a modifier volume of 10 µL</w:t>
            </w:r>
          </w:p>
        </w:tc>
      </w:tr>
    </w:tbl>
    <w:tbl>
      <w:tblPr>
        <w:tblW w:w="6588" w:type="dxa"/>
        <w:tblInd w:w="1242" w:type="dxa"/>
        <w:tblLayout w:type="fixed"/>
        <w:tblCellMar>
          <w:left w:w="72" w:type="dxa"/>
          <w:right w:w="72" w:type="dxa"/>
        </w:tblCellMar>
        <w:tblLook w:val="0000" w:firstRow="0" w:lastRow="0" w:firstColumn="0" w:lastColumn="0" w:noHBand="0" w:noVBand="0"/>
      </w:tblPr>
      <w:tblGrid>
        <w:gridCol w:w="1728"/>
        <w:gridCol w:w="2880"/>
        <w:gridCol w:w="1980"/>
      </w:tblGrid>
      <w:tr w:rsidR="00A74CDF" w:rsidRPr="00F01347" w14:paraId="6F9BF861" w14:textId="77777777">
        <w:trPr>
          <w:trHeight w:val="144"/>
        </w:trPr>
        <w:tc>
          <w:tcPr>
            <w:tcW w:w="6588" w:type="dxa"/>
            <w:gridSpan w:val="3"/>
            <w:tcBorders>
              <w:bottom w:val="single" w:sz="6" w:space="0" w:color="auto"/>
            </w:tcBorders>
            <w:noWrap/>
          </w:tcPr>
          <w:p w14:paraId="7FE42CEA"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lastRenderedPageBreak/>
              <w:t xml:space="preserve">Tabla B.4.1-3. </w:t>
            </w:r>
            <w:r w:rsidRPr="00F01347">
              <w:rPr>
                <w:rFonts w:ascii="Verdana" w:hAnsi="Verdana"/>
                <w:sz w:val="16"/>
                <w:szCs w:val="16"/>
              </w:rPr>
              <w:t>Principales modificadores de matriz utilizados en el análisis por horno de grafito.</w:t>
            </w:r>
          </w:p>
        </w:tc>
      </w:tr>
      <w:tr w:rsidR="00A74CDF" w:rsidRPr="00F01347" w14:paraId="18B4AB4D" w14:textId="77777777">
        <w:trPr>
          <w:trHeight w:val="144"/>
        </w:trPr>
        <w:tc>
          <w:tcPr>
            <w:tcW w:w="1728" w:type="dxa"/>
            <w:tcBorders>
              <w:top w:val="single" w:sz="6" w:space="0" w:color="auto"/>
              <w:left w:val="single" w:sz="6" w:space="0" w:color="000000"/>
              <w:bottom w:val="single" w:sz="6" w:space="0" w:color="000000"/>
              <w:right w:val="single" w:sz="6" w:space="0" w:color="000000"/>
            </w:tcBorders>
          </w:tcPr>
          <w:p w14:paraId="4D948651"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Elemento</w:t>
            </w:r>
          </w:p>
        </w:tc>
        <w:tc>
          <w:tcPr>
            <w:tcW w:w="2880" w:type="dxa"/>
            <w:tcBorders>
              <w:top w:val="single" w:sz="6" w:space="0" w:color="auto"/>
              <w:left w:val="single" w:sz="6" w:space="0" w:color="000000"/>
              <w:bottom w:val="single" w:sz="6" w:space="0" w:color="000000"/>
              <w:right w:val="single" w:sz="6" w:space="0" w:color="000000"/>
            </w:tcBorders>
          </w:tcPr>
          <w:p w14:paraId="55F1AC9D"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Modificador químico</w:t>
            </w:r>
          </w:p>
        </w:tc>
        <w:tc>
          <w:tcPr>
            <w:tcW w:w="1980" w:type="dxa"/>
            <w:tcBorders>
              <w:top w:val="single" w:sz="6" w:space="0" w:color="auto"/>
              <w:left w:val="single" w:sz="6" w:space="0" w:color="000000"/>
              <w:bottom w:val="single" w:sz="6" w:space="0" w:color="000000"/>
              <w:right w:val="single" w:sz="6" w:space="0" w:color="000000"/>
            </w:tcBorders>
          </w:tcPr>
          <w:p w14:paraId="3377DF0C"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Cantidad (µg)</w:t>
            </w:r>
          </w:p>
        </w:tc>
      </w:tr>
      <w:tr w:rsidR="00A74CDF" w:rsidRPr="00F01347" w14:paraId="60B5028D" w14:textId="77777777">
        <w:trPr>
          <w:trHeight w:val="144"/>
        </w:trPr>
        <w:tc>
          <w:tcPr>
            <w:tcW w:w="1728" w:type="dxa"/>
            <w:tcBorders>
              <w:top w:val="single" w:sz="6" w:space="0" w:color="000000"/>
              <w:left w:val="single" w:sz="6" w:space="0" w:color="000000"/>
              <w:bottom w:val="single" w:sz="6" w:space="0" w:color="auto"/>
              <w:right w:val="single" w:sz="6" w:space="0" w:color="000000"/>
            </w:tcBorders>
          </w:tcPr>
          <w:p w14:paraId="661C5793"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Ag</w:t>
            </w:r>
          </w:p>
        </w:tc>
        <w:tc>
          <w:tcPr>
            <w:tcW w:w="2880" w:type="dxa"/>
            <w:tcBorders>
              <w:top w:val="single" w:sz="6" w:space="0" w:color="000000"/>
              <w:left w:val="single" w:sz="6" w:space="0" w:color="000000"/>
              <w:bottom w:val="single" w:sz="6" w:space="0" w:color="auto"/>
              <w:right w:val="single" w:sz="6" w:space="0" w:color="000000"/>
            </w:tcBorders>
          </w:tcPr>
          <w:p w14:paraId="6858A1DA"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 xml:space="preserve">Pd + </w:t>
            </w:r>
            <w:proofErr w:type="gramStart"/>
            <w:r w:rsidRPr="00F01347">
              <w:rPr>
                <w:rFonts w:ascii="Verdana" w:hAnsi="Verdana"/>
                <w:sz w:val="16"/>
                <w:szCs w:val="16"/>
              </w:rPr>
              <w:t>Mg(</w:t>
            </w:r>
            <w:proofErr w:type="gramEnd"/>
            <w:r w:rsidRPr="00F01347">
              <w:rPr>
                <w:rFonts w:ascii="Verdana" w:hAnsi="Verdana"/>
                <w:sz w:val="16"/>
                <w:szCs w:val="16"/>
              </w:rPr>
              <w:t>NO</w:t>
            </w:r>
            <w:r w:rsidRPr="00F01347">
              <w:rPr>
                <w:rFonts w:ascii="Verdana" w:hAnsi="Verdana"/>
                <w:sz w:val="16"/>
                <w:szCs w:val="16"/>
                <w:vertAlign w:val="subscript"/>
              </w:rPr>
              <w:t>3</w:t>
            </w:r>
            <w:r w:rsidRPr="00F01347">
              <w:rPr>
                <w:rFonts w:ascii="Verdana" w:hAnsi="Verdana"/>
                <w:sz w:val="16"/>
                <w:szCs w:val="16"/>
              </w:rPr>
              <w:t>)</w:t>
            </w:r>
            <w:r w:rsidRPr="00F01347">
              <w:rPr>
                <w:rFonts w:ascii="Verdana" w:hAnsi="Verdana"/>
                <w:sz w:val="16"/>
                <w:szCs w:val="16"/>
                <w:vertAlign w:val="subscript"/>
              </w:rPr>
              <w:t>2</w:t>
            </w:r>
            <w:r w:rsidRPr="00F01347">
              <w:rPr>
                <w:rFonts w:ascii="Verdana" w:hAnsi="Verdana"/>
                <w:sz w:val="16"/>
                <w:szCs w:val="16"/>
              </w:rPr>
              <w:t xml:space="preserve"> o</w:t>
            </w:r>
          </w:p>
          <w:p w14:paraId="2B462746"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NH</w:t>
            </w:r>
            <w:r w:rsidRPr="00F01347">
              <w:rPr>
                <w:rFonts w:ascii="Verdana" w:hAnsi="Verdana"/>
                <w:sz w:val="16"/>
                <w:szCs w:val="16"/>
                <w:vertAlign w:val="subscript"/>
              </w:rPr>
              <w:t>4</w:t>
            </w:r>
            <w:r w:rsidRPr="00F01347">
              <w:rPr>
                <w:rFonts w:ascii="Verdana" w:hAnsi="Verdana"/>
                <w:sz w:val="16"/>
                <w:szCs w:val="16"/>
              </w:rPr>
              <w:t>H</w:t>
            </w:r>
            <w:r w:rsidRPr="00F01347">
              <w:rPr>
                <w:rFonts w:ascii="Verdana" w:hAnsi="Verdana"/>
                <w:sz w:val="16"/>
                <w:szCs w:val="16"/>
                <w:vertAlign w:val="subscript"/>
              </w:rPr>
              <w:t>2</w:t>
            </w:r>
            <w:r w:rsidRPr="00F01347">
              <w:rPr>
                <w:rFonts w:ascii="Verdana" w:hAnsi="Verdana"/>
                <w:sz w:val="16"/>
                <w:szCs w:val="16"/>
              </w:rPr>
              <w:t>PO</w:t>
            </w:r>
            <w:r w:rsidRPr="00F01347">
              <w:rPr>
                <w:rFonts w:ascii="Verdana" w:hAnsi="Verdana"/>
                <w:sz w:val="16"/>
                <w:szCs w:val="16"/>
                <w:vertAlign w:val="subscript"/>
              </w:rPr>
              <w:t>4</w:t>
            </w:r>
          </w:p>
        </w:tc>
        <w:tc>
          <w:tcPr>
            <w:tcW w:w="1980" w:type="dxa"/>
            <w:tcBorders>
              <w:top w:val="single" w:sz="6" w:space="0" w:color="000000"/>
              <w:left w:val="single" w:sz="6" w:space="0" w:color="000000"/>
              <w:bottom w:val="single" w:sz="6" w:space="0" w:color="auto"/>
              <w:right w:val="single" w:sz="6" w:space="0" w:color="000000"/>
            </w:tcBorders>
          </w:tcPr>
          <w:p w14:paraId="3D5D84AB"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15 + 10</w:t>
            </w:r>
          </w:p>
          <w:p w14:paraId="47B75E9A"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200</w:t>
            </w:r>
          </w:p>
        </w:tc>
      </w:tr>
      <w:tr w:rsidR="00A74CDF" w:rsidRPr="00F01347" w14:paraId="1C608339" w14:textId="77777777">
        <w:trPr>
          <w:trHeight w:val="144"/>
        </w:trPr>
        <w:tc>
          <w:tcPr>
            <w:tcW w:w="1728" w:type="dxa"/>
            <w:tcBorders>
              <w:top w:val="single" w:sz="6" w:space="0" w:color="000000"/>
              <w:left w:val="single" w:sz="6" w:space="0" w:color="000000"/>
              <w:bottom w:val="single" w:sz="6" w:space="0" w:color="auto"/>
              <w:right w:val="single" w:sz="6" w:space="0" w:color="000000"/>
            </w:tcBorders>
          </w:tcPr>
          <w:p w14:paraId="1B2FB570"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Al</w:t>
            </w:r>
          </w:p>
        </w:tc>
        <w:tc>
          <w:tcPr>
            <w:tcW w:w="2880" w:type="dxa"/>
            <w:tcBorders>
              <w:top w:val="single" w:sz="6" w:space="0" w:color="000000"/>
              <w:left w:val="single" w:sz="6" w:space="0" w:color="000000"/>
              <w:bottom w:val="single" w:sz="6" w:space="0" w:color="auto"/>
              <w:right w:val="single" w:sz="6" w:space="0" w:color="000000"/>
            </w:tcBorders>
          </w:tcPr>
          <w:p w14:paraId="105057D7"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 xml:space="preserve">Pd + </w:t>
            </w:r>
            <w:proofErr w:type="gramStart"/>
            <w:r w:rsidRPr="00F01347">
              <w:rPr>
                <w:rFonts w:ascii="Verdana" w:hAnsi="Verdana"/>
                <w:sz w:val="16"/>
                <w:szCs w:val="16"/>
              </w:rPr>
              <w:t>Mg(</w:t>
            </w:r>
            <w:proofErr w:type="gramEnd"/>
            <w:r w:rsidRPr="00F01347">
              <w:rPr>
                <w:rFonts w:ascii="Verdana" w:hAnsi="Verdana"/>
                <w:sz w:val="16"/>
                <w:szCs w:val="16"/>
              </w:rPr>
              <w:t>NO</w:t>
            </w:r>
            <w:r w:rsidRPr="00F01347">
              <w:rPr>
                <w:rFonts w:ascii="Verdana" w:hAnsi="Verdana"/>
                <w:sz w:val="16"/>
                <w:szCs w:val="16"/>
                <w:vertAlign w:val="subscript"/>
              </w:rPr>
              <w:t>3</w:t>
            </w:r>
            <w:r w:rsidRPr="00F01347">
              <w:rPr>
                <w:rFonts w:ascii="Verdana" w:hAnsi="Verdana"/>
                <w:sz w:val="16"/>
                <w:szCs w:val="16"/>
              </w:rPr>
              <w:t>)</w:t>
            </w:r>
            <w:r w:rsidRPr="00F01347">
              <w:rPr>
                <w:rFonts w:ascii="Verdana" w:hAnsi="Verdana"/>
                <w:sz w:val="16"/>
                <w:szCs w:val="16"/>
                <w:vertAlign w:val="subscript"/>
              </w:rPr>
              <w:t>2</w:t>
            </w:r>
            <w:r w:rsidRPr="00F01347">
              <w:rPr>
                <w:rFonts w:ascii="Verdana" w:hAnsi="Verdana"/>
                <w:sz w:val="16"/>
                <w:szCs w:val="16"/>
              </w:rPr>
              <w:t xml:space="preserve"> o</w:t>
            </w:r>
          </w:p>
          <w:p w14:paraId="754697E3" w14:textId="77777777" w:rsidR="00A74CDF" w:rsidRPr="00F01347" w:rsidRDefault="00A74CDF" w:rsidP="003A601B">
            <w:pPr>
              <w:pStyle w:val="texto0"/>
              <w:ind w:firstLine="0"/>
              <w:jc w:val="center"/>
              <w:rPr>
                <w:rFonts w:ascii="Verdana" w:hAnsi="Verdana"/>
                <w:sz w:val="16"/>
                <w:szCs w:val="16"/>
              </w:rPr>
            </w:pPr>
            <w:proofErr w:type="gramStart"/>
            <w:r w:rsidRPr="00F01347">
              <w:rPr>
                <w:rFonts w:ascii="Verdana" w:hAnsi="Verdana"/>
                <w:sz w:val="16"/>
                <w:szCs w:val="16"/>
              </w:rPr>
              <w:t>Mg(</w:t>
            </w:r>
            <w:proofErr w:type="gramEnd"/>
            <w:r w:rsidRPr="00F01347">
              <w:rPr>
                <w:rFonts w:ascii="Verdana" w:hAnsi="Verdana"/>
                <w:sz w:val="16"/>
                <w:szCs w:val="16"/>
              </w:rPr>
              <w:t>NO</w:t>
            </w:r>
            <w:r w:rsidRPr="00F01347">
              <w:rPr>
                <w:rFonts w:ascii="Verdana" w:hAnsi="Verdana"/>
                <w:sz w:val="16"/>
                <w:szCs w:val="16"/>
                <w:vertAlign w:val="subscript"/>
              </w:rPr>
              <w:t>3</w:t>
            </w:r>
            <w:r w:rsidRPr="00F01347">
              <w:rPr>
                <w:rFonts w:ascii="Verdana" w:hAnsi="Verdana"/>
                <w:sz w:val="16"/>
                <w:szCs w:val="16"/>
              </w:rPr>
              <w:t>)</w:t>
            </w:r>
            <w:r w:rsidRPr="00F01347">
              <w:rPr>
                <w:rFonts w:ascii="Verdana" w:hAnsi="Verdana"/>
                <w:sz w:val="16"/>
                <w:szCs w:val="16"/>
                <w:vertAlign w:val="subscript"/>
              </w:rPr>
              <w:t>2</w:t>
            </w:r>
          </w:p>
        </w:tc>
        <w:tc>
          <w:tcPr>
            <w:tcW w:w="1980" w:type="dxa"/>
            <w:tcBorders>
              <w:top w:val="single" w:sz="6" w:space="0" w:color="000000"/>
              <w:left w:val="single" w:sz="6" w:space="0" w:color="000000"/>
              <w:bottom w:val="single" w:sz="6" w:space="0" w:color="auto"/>
              <w:right w:val="single" w:sz="6" w:space="0" w:color="000000"/>
            </w:tcBorders>
          </w:tcPr>
          <w:p w14:paraId="303DD5EE"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15 + 10</w:t>
            </w:r>
          </w:p>
          <w:p w14:paraId="4F44C5AE"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50</w:t>
            </w:r>
          </w:p>
        </w:tc>
      </w:tr>
      <w:tr w:rsidR="00A74CDF" w:rsidRPr="00F01347" w14:paraId="6054A889" w14:textId="77777777">
        <w:trPr>
          <w:trHeight w:val="144"/>
        </w:trPr>
        <w:tc>
          <w:tcPr>
            <w:tcW w:w="6588" w:type="dxa"/>
            <w:gridSpan w:val="3"/>
            <w:tcBorders>
              <w:top w:val="single" w:sz="6" w:space="0" w:color="auto"/>
            </w:tcBorders>
          </w:tcPr>
          <w:p w14:paraId="3D96E179" w14:textId="77777777" w:rsidR="00A74CDF" w:rsidRPr="00F01347" w:rsidRDefault="00A74CDF" w:rsidP="003A601B">
            <w:pPr>
              <w:pStyle w:val="texto0"/>
              <w:ind w:firstLine="0"/>
              <w:rPr>
                <w:rFonts w:ascii="Verdana" w:hAnsi="Verdana"/>
                <w:sz w:val="16"/>
                <w:szCs w:val="16"/>
              </w:rPr>
            </w:pPr>
            <w:r w:rsidRPr="00F01347">
              <w:rPr>
                <w:rFonts w:ascii="Verdana" w:hAnsi="Verdana"/>
                <w:sz w:val="16"/>
                <w:szCs w:val="16"/>
              </w:rPr>
              <w:t>Los modificadores y las cantidades pueden variar, se pueden utilizar los recomendados por el fabricante.</w:t>
            </w:r>
          </w:p>
        </w:tc>
      </w:tr>
    </w:tbl>
    <w:p w14:paraId="1094E5B4" w14:textId="77777777" w:rsidR="00204B58" w:rsidRPr="00F01347" w:rsidRDefault="00204B58" w:rsidP="003A601B">
      <w:pPr>
        <w:pStyle w:val="texto0"/>
        <w:spacing w:line="232" w:lineRule="exact"/>
        <w:rPr>
          <w:rFonts w:ascii="Verdana" w:hAnsi="Verdana"/>
          <w:sz w:val="16"/>
          <w:szCs w:val="16"/>
        </w:rPr>
      </w:pPr>
    </w:p>
    <w:tbl>
      <w:tblPr>
        <w:tblW w:w="6585" w:type="dxa"/>
        <w:tblInd w:w="1242" w:type="dxa"/>
        <w:tblLayout w:type="fixed"/>
        <w:tblCellMar>
          <w:left w:w="72" w:type="dxa"/>
          <w:right w:w="72" w:type="dxa"/>
        </w:tblCellMar>
        <w:tblLook w:val="04A0" w:firstRow="1" w:lastRow="0" w:firstColumn="1" w:lastColumn="0" w:noHBand="0" w:noVBand="1"/>
      </w:tblPr>
      <w:tblGrid>
        <w:gridCol w:w="1727"/>
        <w:gridCol w:w="2879"/>
        <w:gridCol w:w="1979"/>
      </w:tblGrid>
      <w:tr w:rsidR="00792F35" w:rsidRPr="00F01347" w14:paraId="1F482D30" w14:textId="77777777" w:rsidTr="003B335B">
        <w:trPr>
          <w:trHeight w:val="144"/>
        </w:trPr>
        <w:tc>
          <w:tcPr>
            <w:tcW w:w="6585" w:type="dxa"/>
            <w:gridSpan w:val="3"/>
            <w:tcBorders>
              <w:top w:val="nil"/>
              <w:left w:val="nil"/>
              <w:bottom w:val="single" w:sz="6" w:space="0" w:color="auto"/>
              <w:right w:val="nil"/>
            </w:tcBorders>
            <w:noWrap/>
            <w:hideMark/>
          </w:tcPr>
          <w:p w14:paraId="4531B70C"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 xml:space="preserve">Table B.4.1-3. </w:t>
            </w:r>
            <w:r w:rsidRPr="00F01347">
              <w:rPr>
                <w:rFonts w:ascii="Verdana" w:hAnsi="Verdana"/>
                <w:sz w:val="16"/>
                <w:szCs w:val="16"/>
                <w:lang w:val="en-US"/>
              </w:rPr>
              <w:t>Main matrix modifiers used in graphite furnace analysis.</w:t>
            </w:r>
          </w:p>
        </w:tc>
      </w:tr>
      <w:tr w:rsidR="00792F35" w:rsidRPr="00F01347" w14:paraId="5BF9895F" w14:textId="77777777" w:rsidTr="003B335B">
        <w:trPr>
          <w:trHeight w:val="144"/>
        </w:trPr>
        <w:tc>
          <w:tcPr>
            <w:tcW w:w="1727" w:type="dxa"/>
            <w:tcBorders>
              <w:top w:val="single" w:sz="6" w:space="0" w:color="auto"/>
              <w:left w:val="single" w:sz="6" w:space="0" w:color="000000"/>
              <w:bottom w:val="single" w:sz="6" w:space="0" w:color="000000"/>
              <w:right w:val="single" w:sz="6" w:space="0" w:color="000000"/>
            </w:tcBorders>
            <w:hideMark/>
          </w:tcPr>
          <w:p w14:paraId="2EFA5E82"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Element</w:t>
            </w:r>
          </w:p>
        </w:tc>
        <w:tc>
          <w:tcPr>
            <w:tcW w:w="2879" w:type="dxa"/>
            <w:tcBorders>
              <w:top w:val="single" w:sz="6" w:space="0" w:color="auto"/>
              <w:left w:val="single" w:sz="6" w:space="0" w:color="000000"/>
              <w:bottom w:val="single" w:sz="6" w:space="0" w:color="000000"/>
              <w:right w:val="single" w:sz="6" w:space="0" w:color="000000"/>
            </w:tcBorders>
            <w:hideMark/>
          </w:tcPr>
          <w:p w14:paraId="5608736C"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Chemical modifier</w:t>
            </w:r>
          </w:p>
        </w:tc>
        <w:tc>
          <w:tcPr>
            <w:tcW w:w="1979" w:type="dxa"/>
            <w:tcBorders>
              <w:top w:val="single" w:sz="6" w:space="0" w:color="auto"/>
              <w:left w:val="single" w:sz="6" w:space="0" w:color="000000"/>
              <w:bottom w:val="single" w:sz="6" w:space="0" w:color="000000"/>
              <w:right w:val="single" w:sz="6" w:space="0" w:color="000000"/>
            </w:tcBorders>
            <w:hideMark/>
          </w:tcPr>
          <w:p w14:paraId="1D40DA0B"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b/>
                <w:sz w:val="16"/>
                <w:szCs w:val="16"/>
                <w:lang w:val="en-US"/>
              </w:rPr>
              <w:t>Quantity (µg)</w:t>
            </w:r>
          </w:p>
        </w:tc>
      </w:tr>
      <w:tr w:rsidR="00792F35" w:rsidRPr="00F01347" w14:paraId="541BF2BC" w14:textId="77777777" w:rsidTr="003B335B">
        <w:trPr>
          <w:trHeight w:val="144"/>
        </w:trPr>
        <w:tc>
          <w:tcPr>
            <w:tcW w:w="1727" w:type="dxa"/>
            <w:tcBorders>
              <w:top w:val="single" w:sz="6" w:space="0" w:color="000000"/>
              <w:left w:val="single" w:sz="6" w:space="0" w:color="000000"/>
              <w:bottom w:val="single" w:sz="6" w:space="0" w:color="auto"/>
              <w:right w:val="single" w:sz="6" w:space="0" w:color="000000"/>
            </w:tcBorders>
            <w:hideMark/>
          </w:tcPr>
          <w:p w14:paraId="0F17F641"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Ag</w:t>
            </w:r>
          </w:p>
        </w:tc>
        <w:tc>
          <w:tcPr>
            <w:tcW w:w="2879" w:type="dxa"/>
            <w:tcBorders>
              <w:top w:val="single" w:sz="6" w:space="0" w:color="000000"/>
              <w:left w:val="single" w:sz="6" w:space="0" w:color="000000"/>
              <w:bottom w:val="single" w:sz="6" w:space="0" w:color="auto"/>
              <w:right w:val="single" w:sz="6" w:space="0" w:color="000000"/>
            </w:tcBorders>
            <w:hideMark/>
          </w:tcPr>
          <w:p w14:paraId="254ECEF1" w14:textId="55AAE470"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 xml:space="preserve">Pd + </w:t>
            </w:r>
            <w:proofErr w:type="gramStart"/>
            <w:r w:rsidRPr="00F01347">
              <w:rPr>
                <w:rFonts w:ascii="Verdana" w:hAnsi="Verdana"/>
                <w:sz w:val="16"/>
                <w:szCs w:val="16"/>
                <w:lang w:val="en-US"/>
              </w:rPr>
              <w:t>Mg</w:t>
            </w:r>
            <w:r w:rsidR="00CB209C" w:rsidRPr="00F01347">
              <w:rPr>
                <w:rFonts w:ascii="Verdana" w:hAnsi="Verdana"/>
                <w:sz w:val="16"/>
                <w:szCs w:val="16"/>
                <w:lang w:val="en-US"/>
              </w:rPr>
              <w:t>(</w:t>
            </w:r>
            <w:proofErr w:type="gramEnd"/>
            <w:r w:rsidRPr="00F01347">
              <w:rPr>
                <w:rFonts w:ascii="Verdana" w:hAnsi="Verdana"/>
                <w:sz w:val="16"/>
                <w:szCs w:val="16"/>
                <w:lang w:val="en-US"/>
              </w:rPr>
              <w:t>NO</w:t>
            </w:r>
            <w:r w:rsidRPr="00F01347">
              <w:rPr>
                <w:rFonts w:ascii="Verdana" w:hAnsi="Verdana"/>
                <w:sz w:val="16"/>
                <w:szCs w:val="16"/>
                <w:vertAlign w:val="subscript"/>
                <w:lang w:val="en-US"/>
              </w:rPr>
              <w:t>3</w:t>
            </w:r>
            <w:r w:rsidR="00913802" w:rsidRPr="00F01347">
              <w:rPr>
                <w:rFonts w:ascii="Verdana" w:hAnsi="Verdana"/>
                <w:sz w:val="16"/>
                <w:szCs w:val="16"/>
                <w:lang w:val="en-US"/>
              </w:rPr>
              <w:t>)</w:t>
            </w:r>
            <w:r w:rsidRPr="00F01347">
              <w:rPr>
                <w:rFonts w:ascii="Verdana" w:hAnsi="Verdana"/>
                <w:sz w:val="16"/>
                <w:szCs w:val="16"/>
                <w:lang w:val="en-US"/>
              </w:rPr>
              <w:t xml:space="preserve"> </w:t>
            </w:r>
            <w:r w:rsidRPr="00F01347">
              <w:rPr>
                <w:rFonts w:ascii="Verdana" w:hAnsi="Verdana"/>
                <w:sz w:val="16"/>
                <w:szCs w:val="16"/>
                <w:vertAlign w:val="subscript"/>
                <w:lang w:val="en-US"/>
              </w:rPr>
              <w:t xml:space="preserve">2 </w:t>
            </w:r>
            <w:r w:rsidRPr="00F01347">
              <w:rPr>
                <w:rFonts w:ascii="Verdana" w:hAnsi="Verdana"/>
                <w:sz w:val="16"/>
                <w:szCs w:val="16"/>
                <w:lang w:val="en-US"/>
              </w:rPr>
              <w:t>or</w:t>
            </w:r>
          </w:p>
          <w:p w14:paraId="5B65B749" w14:textId="18EE0BFA"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NH</w:t>
            </w:r>
            <w:r w:rsidRPr="00F01347">
              <w:rPr>
                <w:rFonts w:ascii="Verdana" w:hAnsi="Verdana"/>
                <w:sz w:val="16"/>
                <w:szCs w:val="16"/>
                <w:vertAlign w:val="subscript"/>
                <w:lang w:val="en-US"/>
              </w:rPr>
              <w:t>4</w:t>
            </w:r>
            <w:r w:rsidRPr="00F01347">
              <w:rPr>
                <w:rFonts w:ascii="Verdana" w:hAnsi="Verdana"/>
                <w:sz w:val="16"/>
                <w:szCs w:val="16"/>
                <w:lang w:val="en-US"/>
              </w:rPr>
              <w:t>H</w:t>
            </w:r>
            <w:r w:rsidRPr="00F01347">
              <w:rPr>
                <w:rFonts w:ascii="Verdana" w:hAnsi="Verdana"/>
                <w:sz w:val="16"/>
                <w:szCs w:val="16"/>
                <w:vertAlign w:val="subscript"/>
                <w:lang w:val="en-US"/>
              </w:rPr>
              <w:t>2</w:t>
            </w:r>
            <w:r w:rsidRPr="00F01347">
              <w:rPr>
                <w:rFonts w:ascii="Verdana" w:hAnsi="Verdana"/>
                <w:sz w:val="16"/>
                <w:szCs w:val="16"/>
                <w:lang w:val="en-US"/>
              </w:rPr>
              <w:t>PO</w:t>
            </w:r>
            <w:r w:rsidRPr="00F01347">
              <w:rPr>
                <w:rFonts w:ascii="Verdana" w:hAnsi="Verdana"/>
                <w:sz w:val="16"/>
                <w:szCs w:val="16"/>
                <w:vertAlign w:val="subscript"/>
                <w:lang w:val="en-US"/>
              </w:rPr>
              <w:t>4</w:t>
            </w:r>
          </w:p>
        </w:tc>
        <w:tc>
          <w:tcPr>
            <w:tcW w:w="1979" w:type="dxa"/>
            <w:tcBorders>
              <w:top w:val="single" w:sz="6" w:space="0" w:color="000000"/>
              <w:left w:val="single" w:sz="6" w:space="0" w:color="000000"/>
              <w:bottom w:val="single" w:sz="6" w:space="0" w:color="auto"/>
              <w:right w:val="single" w:sz="6" w:space="0" w:color="000000"/>
            </w:tcBorders>
            <w:hideMark/>
          </w:tcPr>
          <w:p w14:paraId="68354D26"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15 + 10</w:t>
            </w:r>
          </w:p>
          <w:p w14:paraId="5FDD9EA4"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200</w:t>
            </w:r>
          </w:p>
        </w:tc>
      </w:tr>
      <w:tr w:rsidR="00792F35" w:rsidRPr="00F01347" w14:paraId="10CA5E43" w14:textId="77777777" w:rsidTr="003B335B">
        <w:trPr>
          <w:trHeight w:val="144"/>
        </w:trPr>
        <w:tc>
          <w:tcPr>
            <w:tcW w:w="1727" w:type="dxa"/>
            <w:tcBorders>
              <w:top w:val="single" w:sz="6" w:space="0" w:color="000000"/>
              <w:left w:val="single" w:sz="6" w:space="0" w:color="000000"/>
              <w:bottom w:val="single" w:sz="6" w:space="0" w:color="auto"/>
              <w:right w:val="single" w:sz="6" w:space="0" w:color="000000"/>
            </w:tcBorders>
            <w:hideMark/>
          </w:tcPr>
          <w:p w14:paraId="4F3C0B7C"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To the</w:t>
            </w:r>
          </w:p>
        </w:tc>
        <w:tc>
          <w:tcPr>
            <w:tcW w:w="2879" w:type="dxa"/>
            <w:tcBorders>
              <w:top w:val="single" w:sz="6" w:space="0" w:color="000000"/>
              <w:left w:val="single" w:sz="6" w:space="0" w:color="000000"/>
              <w:bottom w:val="single" w:sz="6" w:space="0" w:color="auto"/>
              <w:right w:val="single" w:sz="6" w:space="0" w:color="000000"/>
            </w:tcBorders>
            <w:hideMark/>
          </w:tcPr>
          <w:p w14:paraId="4D91712F" w14:textId="24A70BB6"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 xml:space="preserve">Pd + </w:t>
            </w:r>
            <w:proofErr w:type="gramStart"/>
            <w:r w:rsidRPr="00F01347">
              <w:rPr>
                <w:rFonts w:ascii="Verdana" w:hAnsi="Verdana"/>
                <w:sz w:val="16"/>
                <w:szCs w:val="16"/>
                <w:lang w:val="en-US"/>
              </w:rPr>
              <w:t>Mg</w:t>
            </w:r>
            <w:r w:rsidR="00CB209C" w:rsidRPr="00F01347">
              <w:rPr>
                <w:rFonts w:ascii="Verdana" w:hAnsi="Verdana"/>
                <w:sz w:val="16"/>
                <w:szCs w:val="16"/>
                <w:lang w:val="en-US"/>
              </w:rPr>
              <w:t>(</w:t>
            </w:r>
            <w:proofErr w:type="gramEnd"/>
            <w:r w:rsidRPr="00F01347">
              <w:rPr>
                <w:rFonts w:ascii="Verdana" w:hAnsi="Verdana"/>
                <w:sz w:val="16"/>
                <w:szCs w:val="16"/>
                <w:lang w:val="en-US"/>
              </w:rPr>
              <w:t>NO</w:t>
            </w:r>
            <w:r w:rsidRPr="00F01347">
              <w:rPr>
                <w:rFonts w:ascii="Verdana" w:hAnsi="Verdana"/>
                <w:sz w:val="16"/>
                <w:szCs w:val="16"/>
                <w:vertAlign w:val="subscript"/>
                <w:lang w:val="en-US"/>
              </w:rPr>
              <w:t>3</w:t>
            </w:r>
            <w:r w:rsidR="00913802" w:rsidRPr="00F01347">
              <w:rPr>
                <w:rFonts w:ascii="Verdana" w:hAnsi="Verdana"/>
                <w:sz w:val="16"/>
                <w:szCs w:val="16"/>
                <w:lang w:val="en-US"/>
              </w:rPr>
              <w:t>)</w:t>
            </w:r>
            <w:r w:rsidRPr="00F01347">
              <w:rPr>
                <w:rFonts w:ascii="Verdana" w:hAnsi="Verdana"/>
                <w:sz w:val="16"/>
                <w:szCs w:val="16"/>
                <w:vertAlign w:val="subscript"/>
                <w:lang w:val="en-US"/>
              </w:rPr>
              <w:t xml:space="preserve">2 </w:t>
            </w:r>
            <w:r w:rsidRPr="00F01347">
              <w:rPr>
                <w:rFonts w:ascii="Verdana" w:hAnsi="Verdana"/>
                <w:sz w:val="16"/>
                <w:szCs w:val="16"/>
                <w:lang w:val="en-US"/>
              </w:rPr>
              <w:t>or</w:t>
            </w:r>
          </w:p>
          <w:p w14:paraId="5FAFE972" w14:textId="53C76CD5" w:rsidR="00792F35" w:rsidRPr="00F01347" w:rsidRDefault="00792F35">
            <w:pPr>
              <w:pStyle w:val="texto0"/>
              <w:ind w:firstLine="0"/>
              <w:jc w:val="center"/>
              <w:rPr>
                <w:rFonts w:ascii="Verdana" w:hAnsi="Verdana"/>
                <w:sz w:val="16"/>
                <w:szCs w:val="16"/>
                <w:lang w:val="en-US"/>
              </w:rPr>
            </w:pPr>
            <w:proofErr w:type="gramStart"/>
            <w:r w:rsidRPr="00F01347">
              <w:rPr>
                <w:rFonts w:ascii="Verdana" w:hAnsi="Verdana"/>
                <w:sz w:val="16"/>
                <w:szCs w:val="16"/>
                <w:lang w:val="en-US"/>
              </w:rPr>
              <w:t>Mg</w:t>
            </w:r>
            <w:r w:rsidR="00CB209C" w:rsidRPr="00F01347">
              <w:rPr>
                <w:rFonts w:ascii="Verdana" w:hAnsi="Verdana"/>
                <w:sz w:val="16"/>
                <w:szCs w:val="16"/>
                <w:lang w:val="en-US"/>
              </w:rPr>
              <w:t>(</w:t>
            </w:r>
            <w:proofErr w:type="gramEnd"/>
            <w:r w:rsidRPr="00F01347">
              <w:rPr>
                <w:rFonts w:ascii="Verdana" w:hAnsi="Verdana"/>
                <w:sz w:val="16"/>
                <w:szCs w:val="16"/>
                <w:lang w:val="en-US"/>
              </w:rPr>
              <w:t>NO</w:t>
            </w:r>
            <w:r w:rsidRPr="00F01347">
              <w:rPr>
                <w:rFonts w:ascii="Verdana" w:hAnsi="Verdana"/>
                <w:sz w:val="16"/>
                <w:szCs w:val="16"/>
                <w:vertAlign w:val="subscript"/>
                <w:lang w:val="en-US"/>
              </w:rPr>
              <w:t>3</w:t>
            </w:r>
            <w:r w:rsidR="00913802" w:rsidRPr="00F01347">
              <w:rPr>
                <w:rFonts w:ascii="Verdana" w:hAnsi="Verdana"/>
                <w:sz w:val="16"/>
                <w:szCs w:val="16"/>
                <w:lang w:val="en-US"/>
              </w:rPr>
              <w:t>)</w:t>
            </w:r>
            <w:r w:rsidRPr="00F01347">
              <w:rPr>
                <w:rFonts w:ascii="Verdana" w:hAnsi="Verdana"/>
                <w:sz w:val="16"/>
                <w:szCs w:val="16"/>
                <w:vertAlign w:val="subscript"/>
                <w:lang w:val="en-US"/>
              </w:rPr>
              <w:t>2</w:t>
            </w:r>
          </w:p>
        </w:tc>
        <w:tc>
          <w:tcPr>
            <w:tcW w:w="1979" w:type="dxa"/>
            <w:tcBorders>
              <w:top w:val="single" w:sz="6" w:space="0" w:color="000000"/>
              <w:left w:val="single" w:sz="6" w:space="0" w:color="000000"/>
              <w:bottom w:val="single" w:sz="6" w:space="0" w:color="auto"/>
              <w:right w:val="single" w:sz="6" w:space="0" w:color="000000"/>
            </w:tcBorders>
            <w:hideMark/>
          </w:tcPr>
          <w:p w14:paraId="7A9B9E4A"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15 + 10</w:t>
            </w:r>
          </w:p>
          <w:p w14:paraId="3F1481F5" w14:textId="77777777" w:rsidR="00792F35" w:rsidRPr="00F01347" w:rsidRDefault="00792F35">
            <w:pPr>
              <w:pStyle w:val="texto0"/>
              <w:ind w:firstLine="0"/>
              <w:jc w:val="center"/>
              <w:rPr>
                <w:rFonts w:ascii="Verdana" w:hAnsi="Verdana"/>
                <w:sz w:val="16"/>
                <w:szCs w:val="16"/>
                <w:lang w:val="en-US"/>
              </w:rPr>
            </w:pPr>
            <w:r w:rsidRPr="00F01347">
              <w:rPr>
                <w:rFonts w:ascii="Verdana" w:hAnsi="Verdana"/>
                <w:sz w:val="16"/>
                <w:szCs w:val="16"/>
                <w:lang w:val="en-US"/>
              </w:rPr>
              <w:t>fifty</w:t>
            </w:r>
          </w:p>
        </w:tc>
      </w:tr>
      <w:tr w:rsidR="00792F35" w:rsidRPr="00F01347" w14:paraId="0ACF3A37" w14:textId="77777777" w:rsidTr="003B335B">
        <w:trPr>
          <w:trHeight w:val="144"/>
        </w:trPr>
        <w:tc>
          <w:tcPr>
            <w:tcW w:w="6585" w:type="dxa"/>
            <w:gridSpan w:val="3"/>
            <w:tcBorders>
              <w:top w:val="single" w:sz="6" w:space="0" w:color="auto"/>
              <w:left w:val="nil"/>
              <w:bottom w:val="nil"/>
              <w:right w:val="nil"/>
            </w:tcBorders>
            <w:hideMark/>
          </w:tcPr>
          <w:p w14:paraId="3E8EE40A" w14:textId="77777777" w:rsidR="00792F35" w:rsidRPr="00F01347" w:rsidRDefault="00792F35">
            <w:pPr>
              <w:pStyle w:val="texto0"/>
              <w:ind w:firstLine="0"/>
              <w:rPr>
                <w:rFonts w:ascii="Verdana" w:hAnsi="Verdana"/>
                <w:sz w:val="16"/>
                <w:szCs w:val="16"/>
                <w:lang w:val="en-US"/>
              </w:rPr>
            </w:pPr>
            <w:r w:rsidRPr="00F01347">
              <w:rPr>
                <w:rFonts w:ascii="Verdana" w:hAnsi="Verdana"/>
                <w:sz w:val="16"/>
                <w:szCs w:val="16"/>
                <w:lang w:val="en-US"/>
              </w:rPr>
              <w:t>Modifiers and quantities may vary, those recommended by the manufacturer can be used.</w:t>
            </w:r>
          </w:p>
        </w:tc>
      </w:tr>
    </w:tbl>
    <w:p w14:paraId="537B57B4" w14:textId="77777777" w:rsidR="00792F35" w:rsidRPr="00F01347" w:rsidRDefault="00792F35" w:rsidP="003A601B">
      <w:pPr>
        <w:pStyle w:val="texto0"/>
        <w:spacing w:line="232"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20FD3" w:rsidRPr="00F01347" w14:paraId="39BC9BD8" w14:textId="26F87BCB" w:rsidTr="008577FB">
        <w:tc>
          <w:tcPr>
            <w:tcW w:w="4675" w:type="dxa"/>
          </w:tcPr>
          <w:p w14:paraId="470F870B" w14:textId="77777777" w:rsidR="00420FD3" w:rsidRPr="00F01347" w:rsidRDefault="00420FD3" w:rsidP="00420FD3">
            <w:pPr>
              <w:pStyle w:val="texto0"/>
              <w:spacing w:line="232" w:lineRule="exact"/>
              <w:ind w:firstLine="0"/>
              <w:rPr>
                <w:rFonts w:ascii="Verdana" w:hAnsi="Verdana"/>
                <w:sz w:val="16"/>
                <w:szCs w:val="16"/>
              </w:rPr>
            </w:pPr>
            <w:r w:rsidRPr="00F01347">
              <w:rPr>
                <w:rFonts w:ascii="Verdana" w:hAnsi="Verdana"/>
                <w:sz w:val="16"/>
                <w:szCs w:val="16"/>
              </w:rPr>
              <w:t xml:space="preserve">Si el equipo cuenta con </w:t>
            </w:r>
            <w:proofErr w:type="spellStart"/>
            <w:r w:rsidRPr="00F01347">
              <w:rPr>
                <w:rFonts w:ascii="Verdana" w:hAnsi="Verdana"/>
                <w:sz w:val="16"/>
                <w:szCs w:val="16"/>
              </w:rPr>
              <w:t>automuestreador</w:t>
            </w:r>
            <w:proofErr w:type="spellEnd"/>
            <w:r w:rsidRPr="00F01347">
              <w:rPr>
                <w:rFonts w:ascii="Verdana" w:hAnsi="Verdana"/>
                <w:sz w:val="16"/>
                <w:szCs w:val="16"/>
              </w:rPr>
              <w:t>, colocar los puntos de la curva, el blanco de reactivos, las muestras y los modificadores de matriz en los viales, los cuales han sido previamente enjuagados con ácido nítrico al 3% y posteriormente con la disolución a analizar.</w:t>
            </w:r>
          </w:p>
        </w:tc>
        <w:tc>
          <w:tcPr>
            <w:tcW w:w="4675" w:type="dxa"/>
          </w:tcPr>
          <w:p w14:paraId="25B1DEA2" w14:textId="042A42FE" w:rsidR="00420FD3" w:rsidRPr="00F01347" w:rsidRDefault="00420FD3" w:rsidP="00420FD3">
            <w:pPr>
              <w:pStyle w:val="texto0"/>
              <w:spacing w:line="232" w:lineRule="exact"/>
              <w:ind w:firstLine="0"/>
              <w:rPr>
                <w:rFonts w:ascii="Verdana" w:hAnsi="Verdana"/>
                <w:sz w:val="16"/>
                <w:szCs w:val="16"/>
                <w:lang w:val="en-US"/>
              </w:rPr>
            </w:pPr>
            <w:r w:rsidRPr="00F01347">
              <w:rPr>
                <w:rFonts w:ascii="Verdana" w:hAnsi="Verdana"/>
                <w:sz w:val="16"/>
                <w:szCs w:val="16"/>
                <w:lang w:val="en-US"/>
              </w:rPr>
              <w:t>If the equipment has an autosampler</w:t>
            </w:r>
            <w:r w:rsidR="003E1BA9" w:rsidRPr="00F01347">
              <w:rPr>
                <w:rFonts w:ascii="Verdana" w:hAnsi="Verdana"/>
                <w:sz w:val="16"/>
                <w:szCs w:val="16"/>
                <w:lang w:val="en-US"/>
              </w:rPr>
              <w:t>,</w:t>
            </w:r>
            <w:r w:rsidRPr="00F01347">
              <w:rPr>
                <w:rFonts w:ascii="Verdana" w:hAnsi="Verdana"/>
                <w:sz w:val="16"/>
                <w:szCs w:val="16"/>
                <w:lang w:val="en-US"/>
              </w:rPr>
              <w:t xml:space="preserve"> place the curve points, the reagent blank, the samples and the matrix modifiers in the vials, which have been previously rinsed with 3% nitric acid and subsequently with the solution to be analyzed.</w:t>
            </w:r>
          </w:p>
        </w:tc>
      </w:tr>
      <w:tr w:rsidR="00420FD3" w:rsidRPr="00F01347" w14:paraId="69777213" w14:textId="123EE557" w:rsidTr="008577FB">
        <w:tc>
          <w:tcPr>
            <w:tcW w:w="4675" w:type="dxa"/>
          </w:tcPr>
          <w:p w14:paraId="13B3880F" w14:textId="77777777" w:rsidR="00420FD3" w:rsidRPr="00F01347" w:rsidRDefault="00420FD3" w:rsidP="00420FD3">
            <w:pPr>
              <w:pStyle w:val="texto0"/>
              <w:spacing w:line="232" w:lineRule="exact"/>
              <w:ind w:firstLine="0"/>
              <w:rPr>
                <w:rFonts w:ascii="Verdana" w:hAnsi="Verdana"/>
                <w:b/>
                <w:sz w:val="16"/>
                <w:szCs w:val="16"/>
              </w:rPr>
            </w:pPr>
            <w:r w:rsidRPr="00F01347">
              <w:rPr>
                <w:rFonts w:ascii="Verdana" w:hAnsi="Verdana"/>
                <w:b/>
                <w:sz w:val="16"/>
                <w:szCs w:val="16"/>
              </w:rPr>
              <w:t>B.4.1.6.5 Lectura en el equipo</w:t>
            </w:r>
          </w:p>
        </w:tc>
        <w:tc>
          <w:tcPr>
            <w:tcW w:w="4675" w:type="dxa"/>
          </w:tcPr>
          <w:p w14:paraId="11F0EF2C" w14:textId="275B8A5E" w:rsidR="00420FD3" w:rsidRPr="00F01347" w:rsidRDefault="00420FD3" w:rsidP="00420FD3">
            <w:pPr>
              <w:pStyle w:val="texto0"/>
              <w:spacing w:line="232" w:lineRule="exact"/>
              <w:ind w:firstLine="0"/>
              <w:rPr>
                <w:rFonts w:ascii="Verdana" w:hAnsi="Verdana"/>
                <w:b/>
                <w:sz w:val="16"/>
                <w:szCs w:val="16"/>
                <w:lang w:val="en-US"/>
              </w:rPr>
            </w:pPr>
            <w:r w:rsidRPr="00F01347">
              <w:rPr>
                <w:rFonts w:ascii="Verdana" w:hAnsi="Verdana"/>
                <w:b/>
                <w:sz w:val="16"/>
                <w:szCs w:val="16"/>
                <w:lang w:val="en-US"/>
              </w:rPr>
              <w:t>B.4.1.6.5 Reading on the device</w:t>
            </w:r>
          </w:p>
        </w:tc>
      </w:tr>
      <w:tr w:rsidR="00420FD3" w:rsidRPr="00F01347" w14:paraId="557CBA2B" w14:textId="1103D4EB" w:rsidTr="008577FB">
        <w:tc>
          <w:tcPr>
            <w:tcW w:w="4675" w:type="dxa"/>
          </w:tcPr>
          <w:p w14:paraId="26603FCF" w14:textId="77777777" w:rsidR="00420FD3" w:rsidRPr="00F01347" w:rsidRDefault="00420FD3" w:rsidP="00420FD3">
            <w:pPr>
              <w:pStyle w:val="texto0"/>
              <w:spacing w:line="232" w:lineRule="exact"/>
              <w:ind w:firstLine="0"/>
              <w:rPr>
                <w:rFonts w:ascii="Verdana" w:hAnsi="Verdana"/>
                <w:sz w:val="16"/>
                <w:szCs w:val="16"/>
              </w:rPr>
            </w:pPr>
            <w:r w:rsidRPr="00F01347">
              <w:rPr>
                <w:rFonts w:ascii="Verdana" w:hAnsi="Verdana"/>
                <w:sz w:val="16"/>
                <w:szCs w:val="16"/>
              </w:rPr>
              <w:t>Leer por triplicado el blanco de calibración para verificar que no haya contaminación y posteriormente leer la disolución de verificación también por triplicado.</w:t>
            </w:r>
          </w:p>
        </w:tc>
        <w:tc>
          <w:tcPr>
            <w:tcW w:w="4675" w:type="dxa"/>
          </w:tcPr>
          <w:p w14:paraId="5B0BE3C2" w14:textId="7DD7F390" w:rsidR="00420FD3" w:rsidRPr="00F01347" w:rsidRDefault="00420FD3" w:rsidP="00420FD3">
            <w:pPr>
              <w:pStyle w:val="texto0"/>
              <w:spacing w:line="232" w:lineRule="exact"/>
              <w:ind w:firstLine="0"/>
              <w:rPr>
                <w:rFonts w:ascii="Verdana" w:hAnsi="Verdana"/>
                <w:sz w:val="16"/>
                <w:szCs w:val="16"/>
                <w:lang w:val="en-US"/>
              </w:rPr>
            </w:pPr>
            <w:r w:rsidRPr="00F01347">
              <w:rPr>
                <w:rFonts w:ascii="Verdana" w:hAnsi="Verdana"/>
                <w:sz w:val="16"/>
                <w:szCs w:val="16"/>
                <w:lang w:val="en-US"/>
              </w:rPr>
              <w:t>Read the calibration blank in triplicate to verify that there is no contamination and then read the verification solution also in triplicate.</w:t>
            </w:r>
          </w:p>
        </w:tc>
      </w:tr>
      <w:tr w:rsidR="00420FD3" w:rsidRPr="00F01347" w14:paraId="4C9EDA35" w14:textId="10BF0FE8" w:rsidTr="008577FB">
        <w:tc>
          <w:tcPr>
            <w:tcW w:w="4675" w:type="dxa"/>
          </w:tcPr>
          <w:p w14:paraId="2CFEF8E3" w14:textId="77777777" w:rsidR="00420FD3" w:rsidRPr="00F01347" w:rsidRDefault="00420FD3" w:rsidP="00420FD3">
            <w:pPr>
              <w:pStyle w:val="texto0"/>
              <w:spacing w:line="232" w:lineRule="exact"/>
              <w:ind w:firstLine="0"/>
              <w:rPr>
                <w:rFonts w:ascii="Verdana" w:hAnsi="Verdana"/>
                <w:sz w:val="16"/>
                <w:szCs w:val="16"/>
              </w:rPr>
            </w:pPr>
            <w:r w:rsidRPr="00F01347">
              <w:rPr>
                <w:rFonts w:ascii="Verdana" w:hAnsi="Verdana"/>
                <w:sz w:val="16"/>
                <w:szCs w:val="16"/>
              </w:rPr>
              <w:t>Leer por duplicado en el equipo el blanco y los puntos de la curva.</w:t>
            </w:r>
          </w:p>
        </w:tc>
        <w:tc>
          <w:tcPr>
            <w:tcW w:w="4675" w:type="dxa"/>
          </w:tcPr>
          <w:p w14:paraId="0CD1FA1F" w14:textId="67022F4E" w:rsidR="00420FD3" w:rsidRPr="00F01347" w:rsidRDefault="00420FD3" w:rsidP="00420FD3">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Read the </w:t>
            </w:r>
            <w:r w:rsidR="00C50A8A" w:rsidRPr="00F01347">
              <w:rPr>
                <w:rFonts w:ascii="Verdana" w:hAnsi="Verdana"/>
                <w:sz w:val="16"/>
                <w:szCs w:val="16"/>
                <w:lang w:val="en-US"/>
              </w:rPr>
              <w:t>blank</w:t>
            </w:r>
            <w:r w:rsidRPr="00F01347">
              <w:rPr>
                <w:rFonts w:ascii="Verdana" w:hAnsi="Verdana"/>
                <w:sz w:val="16"/>
                <w:szCs w:val="16"/>
                <w:lang w:val="en-US"/>
              </w:rPr>
              <w:t xml:space="preserve"> and the points of the curve in duplicate on the computer.</w:t>
            </w:r>
          </w:p>
        </w:tc>
      </w:tr>
      <w:tr w:rsidR="00420FD3" w:rsidRPr="00F01347" w14:paraId="1B88691F" w14:textId="4FB09B1B" w:rsidTr="008577FB">
        <w:tc>
          <w:tcPr>
            <w:tcW w:w="4675" w:type="dxa"/>
          </w:tcPr>
          <w:p w14:paraId="0525F082" w14:textId="77777777" w:rsidR="00420FD3" w:rsidRPr="00F01347" w:rsidRDefault="00420FD3" w:rsidP="00420FD3">
            <w:pPr>
              <w:pStyle w:val="texto0"/>
              <w:spacing w:line="232" w:lineRule="exact"/>
              <w:ind w:firstLine="0"/>
              <w:rPr>
                <w:rFonts w:ascii="Verdana" w:hAnsi="Verdana"/>
                <w:sz w:val="16"/>
                <w:szCs w:val="16"/>
              </w:rPr>
            </w:pPr>
            <w:r w:rsidRPr="00F01347">
              <w:rPr>
                <w:rFonts w:ascii="Verdana" w:hAnsi="Verdana"/>
                <w:sz w:val="16"/>
                <w:szCs w:val="16"/>
              </w:rPr>
              <w:t>Elaborar una curva de calibración dentro del intervalo de trabajo, graficando la absorbancia (área o altura de pico) en función de la concentración. La absorbancia integrada como área de pico es más recomendable.</w:t>
            </w:r>
          </w:p>
        </w:tc>
        <w:tc>
          <w:tcPr>
            <w:tcW w:w="4675" w:type="dxa"/>
          </w:tcPr>
          <w:p w14:paraId="453B3B77" w14:textId="22D985E9" w:rsidR="00420FD3" w:rsidRPr="00F01347" w:rsidRDefault="00420FD3" w:rsidP="00420FD3">
            <w:pPr>
              <w:pStyle w:val="texto0"/>
              <w:spacing w:line="232" w:lineRule="exact"/>
              <w:ind w:firstLine="0"/>
              <w:rPr>
                <w:rFonts w:ascii="Verdana" w:hAnsi="Verdana"/>
                <w:sz w:val="16"/>
                <w:szCs w:val="16"/>
                <w:lang w:val="en-US"/>
              </w:rPr>
            </w:pPr>
            <w:r w:rsidRPr="00F01347">
              <w:rPr>
                <w:rFonts w:ascii="Verdana" w:hAnsi="Verdana"/>
                <w:sz w:val="16"/>
                <w:szCs w:val="16"/>
                <w:lang w:val="en-US"/>
              </w:rPr>
              <w:t>Prepare a calibration curve within the working range, plotting the absorbance (area or peak height) as a function of concentration. Integrated absorbance as peak area is more recommended.</w:t>
            </w:r>
          </w:p>
        </w:tc>
      </w:tr>
      <w:tr w:rsidR="00420FD3" w:rsidRPr="00F01347" w14:paraId="2E594B01" w14:textId="4A69754B" w:rsidTr="008577FB">
        <w:tc>
          <w:tcPr>
            <w:tcW w:w="4675" w:type="dxa"/>
          </w:tcPr>
          <w:p w14:paraId="5B357F16" w14:textId="77777777" w:rsidR="00420FD3" w:rsidRPr="00F01347" w:rsidRDefault="00420FD3" w:rsidP="00420FD3">
            <w:pPr>
              <w:pStyle w:val="texto0"/>
              <w:spacing w:line="232" w:lineRule="exact"/>
              <w:ind w:firstLine="0"/>
              <w:rPr>
                <w:rFonts w:ascii="Verdana" w:hAnsi="Verdana"/>
                <w:sz w:val="16"/>
                <w:szCs w:val="16"/>
              </w:rPr>
            </w:pPr>
            <w:r w:rsidRPr="00F01347">
              <w:rPr>
                <w:rFonts w:ascii="Verdana" w:hAnsi="Verdana"/>
                <w:sz w:val="16"/>
                <w:szCs w:val="16"/>
              </w:rPr>
              <w:t>Ajustar la curva por medio de mínimos cuadrados (regresión lineal) o calcular la concentración directamente en el equipo que se programe.</w:t>
            </w:r>
          </w:p>
        </w:tc>
        <w:tc>
          <w:tcPr>
            <w:tcW w:w="4675" w:type="dxa"/>
          </w:tcPr>
          <w:p w14:paraId="4AC5A2CD" w14:textId="0DF30B39" w:rsidR="00420FD3" w:rsidRPr="00F01347" w:rsidRDefault="00420FD3" w:rsidP="00420FD3">
            <w:pPr>
              <w:pStyle w:val="texto0"/>
              <w:spacing w:line="232" w:lineRule="exact"/>
              <w:ind w:firstLine="0"/>
              <w:rPr>
                <w:rFonts w:ascii="Verdana" w:hAnsi="Verdana"/>
                <w:sz w:val="16"/>
                <w:szCs w:val="16"/>
                <w:lang w:val="en-US"/>
              </w:rPr>
            </w:pPr>
            <w:r w:rsidRPr="00F01347">
              <w:rPr>
                <w:rFonts w:ascii="Verdana" w:hAnsi="Verdana"/>
                <w:sz w:val="16"/>
                <w:szCs w:val="16"/>
                <w:lang w:val="en-US"/>
              </w:rPr>
              <w:t>Fit the curve using least squares (linear regression) or calculate the concentration directly on the equipment that is programmed.</w:t>
            </w:r>
          </w:p>
        </w:tc>
      </w:tr>
      <w:tr w:rsidR="00420FD3" w:rsidRPr="00F01347" w14:paraId="2298FBF2" w14:textId="649D3106" w:rsidTr="008577FB">
        <w:tc>
          <w:tcPr>
            <w:tcW w:w="4675" w:type="dxa"/>
          </w:tcPr>
          <w:p w14:paraId="329F414D" w14:textId="77777777" w:rsidR="00420FD3" w:rsidRPr="00F01347" w:rsidRDefault="00420FD3" w:rsidP="00420FD3">
            <w:pPr>
              <w:pStyle w:val="texto0"/>
              <w:spacing w:line="232" w:lineRule="exact"/>
              <w:ind w:firstLine="0"/>
              <w:rPr>
                <w:rFonts w:ascii="Verdana" w:hAnsi="Verdana"/>
                <w:sz w:val="16"/>
                <w:szCs w:val="16"/>
              </w:rPr>
            </w:pPr>
            <w:r w:rsidRPr="00F01347">
              <w:rPr>
                <w:rFonts w:ascii="Verdana" w:hAnsi="Verdana"/>
                <w:sz w:val="16"/>
                <w:szCs w:val="16"/>
              </w:rPr>
              <w:t>Leer cada una de las muestras por duplicado, registrar la absorbancia y calcular la concentración del elemento a partir de la curva de calibración. Cuando se use el equipo programable realizar los cálculos finales.</w:t>
            </w:r>
          </w:p>
        </w:tc>
        <w:tc>
          <w:tcPr>
            <w:tcW w:w="4675" w:type="dxa"/>
          </w:tcPr>
          <w:p w14:paraId="7D6EA07F" w14:textId="40023970" w:rsidR="00420FD3" w:rsidRPr="00F01347" w:rsidRDefault="00420FD3" w:rsidP="00420FD3">
            <w:pPr>
              <w:pStyle w:val="texto0"/>
              <w:spacing w:line="232" w:lineRule="exact"/>
              <w:ind w:firstLine="0"/>
              <w:rPr>
                <w:rFonts w:ascii="Verdana" w:hAnsi="Verdana"/>
                <w:sz w:val="16"/>
                <w:szCs w:val="16"/>
                <w:lang w:val="en-US"/>
              </w:rPr>
            </w:pPr>
            <w:r w:rsidRPr="00F01347">
              <w:rPr>
                <w:rFonts w:ascii="Verdana" w:hAnsi="Verdana"/>
                <w:sz w:val="16"/>
                <w:szCs w:val="16"/>
                <w:lang w:val="en-US"/>
              </w:rPr>
              <w:t>Read each sample in duplicate, record the absorbance, and calculate the element concentration from the calibration curve. When using programmable equipment, perform final calculations.</w:t>
            </w:r>
          </w:p>
        </w:tc>
      </w:tr>
      <w:tr w:rsidR="00420FD3" w:rsidRPr="00F01347" w14:paraId="20DEDD4C" w14:textId="78281928" w:rsidTr="008577FB">
        <w:tc>
          <w:tcPr>
            <w:tcW w:w="4675" w:type="dxa"/>
          </w:tcPr>
          <w:p w14:paraId="620625A4" w14:textId="77777777" w:rsidR="00420FD3" w:rsidRPr="00F01347" w:rsidRDefault="00420FD3" w:rsidP="00420FD3">
            <w:pPr>
              <w:pStyle w:val="texto0"/>
              <w:spacing w:line="232" w:lineRule="exact"/>
              <w:ind w:firstLine="0"/>
              <w:rPr>
                <w:rFonts w:ascii="Verdana" w:hAnsi="Verdana"/>
                <w:sz w:val="16"/>
                <w:szCs w:val="16"/>
              </w:rPr>
            </w:pPr>
            <w:r w:rsidRPr="00F01347">
              <w:rPr>
                <w:rFonts w:ascii="Verdana" w:hAnsi="Verdana"/>
                <w:sz w:val="16"/>
                <w:szCs w:val="16"/>
              </w:rPr>
              <w:t>Asegurarse que las concentraciones de las muestras caen dentro del intervalo de trabajo de la curva de calibración, de no ser así realizar la dilución correspondiente.</w:t>
            </w:r>
          </w:p>
        </w:tc>
        <w:tc>
          <w:tcPr>
            <w:tcW w:w="4675" w:type="dxa"/>
          </w:tcPr>
          <w:p w14:paraId="355A0280" w14:textId="30624C37" w:rsidR="00420FD3" w:rsidRPr="00F01347" w:rsidRDefault="00420FD3" w:rsidP="00420FD3">
            <w:pPr>
              <w:pStyle w:val="texto0"/>
              <w:spacing w:line="232" w:lineRule="exact"/>
              <w:ind w:firstLine="0"/>
              <w:rPr>
                <w:rFonts w:ascii="Verdana" w:hAnsi="Verdana"/>
                <w:sz w:val="16"/>
                <w:szCs w:val="16"/>
                <w:lang w:val="en-US"/>
              </w:rPr>
            </w:pPr>
            <w:r w:rsidRPr="00F01347">
              <w:rPr>
                <w:rFonts w:ascii="Verdana" w:hAnsi="Verdana"/>
                <w:sz w:val="16"/>
                <w:szCs w:val="16"/>
                <w:lang w:val="en-US"/>
              </w:rPr>
              <w:t>Make sure that the concentrations of the samples fall within the working range of the calibration curve, if not, carry out the corresponding dilution.</w:t>
            </w:r>
          </w:p>
        </w:tc>
      </w:tr>
      <w:tr w:rsidR="00420FD3" w:rsidRPr="00F01347" w14:paraId="41BAF987" w14:textId="4C04D987" w:rsidTr="008577FB">
        <w:tc>
          <w:tcPr>
            <w:tcW w:w="4675" w:type="dxa"/>
          </w:tcPr>
          <w:p w14:paraId="20DC627C" w14:textId="77777777" w:rsidR="00420FD3" w:rsidRPr="00F01347" w:rsidRDefault="00420FD3" w:rsidP="00420FD3">
            <w:pPr>
              <w:pStyle w:val="texto0"/>
              <w:spacing w:line="232" w:lineRule="exact"/>
              <w:ind w:firstLine="0"/>
              <w:rPr>
                <w:rFonts w:ascii="Verdana" w:hAnsi="Verdana"/>
                <w:b/>
                <w:sz w:val="16"/>
                <w:szCs w:val="16"/>
              </w:rPr>
            </w:pPr>
            <w:r w:rsidRPr="00F01347">
              <w:rPr>
                <w:rFonts w:ascii="Verdana" w:hAnsi="Verdana"/>
                <w:b/>
                <w:sz w:val="16"/>
                <w:szCs w:val="16"/>
              </w:rPr>
              <w:lastRenderedPageBreak/>
              <w:t>B.4.1.6.6 Análisis de datos y cálculos</w:t>
            </w:r>
          </w:p>
        </w:tc>
        <w:tc>
          <w:tcPr>
            <w:tcW w:w="4675" w:type="dxa"/>
          </w:tcPr>
          <w:p w14:paraId="7119E083" w14:textId="46129B3E" w:rsidR="00420FD3" w:rsidRPr="00F01347" w:rsidRDefault="00420FD3" w:rsidP="00420FD3">
            <w:pPr>
              <w:pStyle w:val="texto0"/>
              <w:spacing w:line="232" w:lineRule="exact"/>
              <w:ind w:firstLine="0"/>
              <w:rPr>
                <w:rFonts w:ascii="Verdana" w:hAnsi="Verdana"/>
                <w:b/>
                <w:sz w:val="16"/>
                <w:szCs w:val="16"/>
                <w:lang w:val="en-US"/>
              </w:rPr>
            </w:pPr>
            <w:r w:rsidRPr="00F01347">
              <w:rPr>
                <w:rFonts w:ascii="Verdana" w:hAnsi="Verdana"/>
                <w:b/>
                <w:sz w:val="16"/>
                <w:szCs w:val="16"/>
                <w:lang w:val="en-US"/>
              </w:rPr>
              <w:t>B.4.1.6.6 Data analysis and calculations</w:t>
            </w:r>
          </w:p>
        </w:tc>
      </w:tr>
      <w:tr w:rsidR="00420FD3" w:rsidRPr="00F01347" w14:paraId="49385285" w14:textId="0B6D138B" w:rsidTr="008577FB">
        <w:tc>
          <w:tcPr>
            <w:tcW w:w="4675" w:type="dxa"/>
          </w:tcPr>
          <w:p w14:paraId="3D0378A6" w14:textId="77777777" w:rsidR="00420FD3" w:rsidRPr="00F01347" w:rsidRDefault="00420FD3" w:rsidP="00420FD3">
            <w:pPr>
              <w:pStyle w:val="texto0"/>
              <w:spacing w:line="232" w:lineRule="exact"/>
              <w:ind w:firstLine="0"/>
              <w:rPr>
                <w:rFonts w:ascii="Verdana" w:hAnsi="Verdana"/>
                <w:sz w:val="16"/>
                <w:szCs w:val="16"/>
              </w:rPr>
            </w:pPr>
            <w:r w:rsidRPr="00F01347">
              <w:rPr>
                <w:rFonts w:ascii="Verdana" w:hAnsi="Verdana"/>
                <w:sz w:val="16"/>
                <w:szCs w:val="16"/>
              </w:rPr>
              <w:t>Interpolar los valores de absorbancia, área o altura del pico de la muestra analizada en la curva de calibración y obtener los resultados en mg/L del elemento en la muestra empleando la siguiente fórmula</w:t>
            </w:r>
          </w:p>
        </w:tc>
        <w:tc>
          <w:tcPr>
            <w:tcW w:w="4675" w:type="dxa"/>
          </w:tcPr>
          <w:p w14:paraId="72936EF8" w14:textId="348D6FCD" w:rsidR="00420FD3" w:rsidRPr="00F01347" w:rsidRDefault="00420FD3" w:rsidP="00420FD3">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Interpolate the absorbance, </w:t>
            </w:r>
            <w:r w:rsidR="00F159A4" w:rsidRPr="00F01347">
              <w:rPr>
                <w:rFonts w:ascii="Verdana" w:hAnsi="Verdana"/>
                <w:sz w:val="16"/>
                <w:szCs w:val="16"/>
                <w:lang w:val="en-US"/>
              </w:rPr>
              <w:t>area,</w:t>
            </w:r>
            <w:r w:rsidRPr="00F01347">
              <w:rPr>
                <w:rFonts w:ascii="Verdana" w:hAnsi="Verdana"/>
                <w:sz w:val="16"/>
                <w:szCs w:val="16"/>
                <w:lang w:val="en-US"/>
              </w:rPr>
              <w:t xml:space="preserve"> or peak height values of the analyzed sample into the calibration curve and obtain the results in mg/L of the element in the sample using the following formula</w:t>
            </w:r>
          </w:p>
        </w:tc>
      </w:tr>
    </w:tbl>
    <w:p w14:paraId="2E32CDFD" w14:textId="3B3CD686" w:rsidR="00A74CDF" w:rsidRPr="00F01347" w:rsidRDefault="00A74CDF" w:rsidP="003A601B">
      <w:pPr>
        <w:pStyle w:val="texto0"/>
        <w:spacing w:line="232" w:lineRule="exact"/>
        <w:rPr>
          <w:rFonts w:ascii="Verdana" w:hAnsi="Verdana"/>
          <w:sz w:val="16"/>
          <w:szCs w:val="16"/>
        </w:rPr>
      </w:pPr>
      <w:r w:rsidRPr="00F01347">
        <w:rPr>
          <w:rFonts w:ascii="Verdana" w:hAnsi="Verdana"/>
          <w:sz w:val="16"/>
          <w:szCs w:val="16"/>
        </w:rPr>
        <w:t>:</w:t>
      </w:r>
    </w:p>
    <w:p w14:paraId="6E153F4B" w14:textId="2ECF33FE" w:rsidR="00A74CDF" w:rsidRPr="00F01347" w:rsidRDefault="00471638" w:rsidP="00F159A4">
      <w:pPr>
        <w:pStyle w:val="texto0"/>
        <w:spacing w:before="120" w:line="240" w:lineRule="auto"/>
        <w:ind w:left="634"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5005FA61" wp14:editId="014AD4B7">
            <wp:extent cx="1485900" cy="333375"/>
            <wp:effectExtent l="0" t="0" r="0" b="0"/>
            <wp:docPr id="34"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85900" cy="333375"/>
                    </a:xfrm>
                    <a:prstGeom prst="rect">
                      <a:avLst/>
                    </a:prstGeom>
                    <a:noFill/>
                    <a:ln>
                      <a:noFill/>
                    </a:ln>
                  </pic:spPr>
                </pic:pic>
              </a:graphicData>
            </a:graphic>
          </wp:inline>
        </w:drawing>
      </w:r>
    </w:p>
    <w:p w14:paraId="4D147E6B" w14:textId="21E48A7B" w:rsidR="0020613D" w:rsidRPr="00F01347" w:rsidRDefault="0020613D" w:rsidP="00F159A4">
      <w:pPr>
        <w:pStyle w:val="texto0"/>
        <w:spacing w:before="120" w:line="240" w:lineRule="auto"/>
        <w:ind w:left="634" w:firstLine="0"/>
        <w:jc w:val="center"/>
        <w:rPr>
          <w:rFonts w:ascii="Verdana" w:hAnsi="Verdana"/>
          <w:sz w:val="16"/>
          <w:szCs w:val="16"/>
        </w:rPr>
      </w:pPr>
      <w:r w:rsidRPr="00F01347">
        <w:rPr>
          <w:noProof/>
        </w:rPr>
        <w:drawing>
          <wp:inline distT="0" distB="0" distL="0" distR="0" wp14:anchorId="57A15864" wp14:editId="22A0BFB4">
            <wp:extent cx="1548384" cy="530873"/>
            <wp:effectExtent l="0" t="0" r="0" b="2540"/>
            <wp:docPr id="1579660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66012" name="Picture 1" descr="A screenshot of a computer&#10;&#10;Description automatically generated"/>
                    <pic:cNvPicPr/>
                  </pic:nvPicPr>
                  <pic:blipFill rotWithShape="1">
                    <a:blip r:embed="rId50"/>
                    <a:srcRect l="38256" t="62724" r="47380" b="28521"/>
                    <a:stretch/>
                  </pic:blipFill>
                  <pic:spPr bwMode="auto">
                    <a:xfrm>
                      <a:off x="0" y="0"/>
                      <a:ext cx="1595809" cy="54713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A6E35" w:rsidRPr="00F01347" w14:paraId="7774EDF0" w14:textId="69895AB2" w:rsidTr="0020613D">
        <w:tc>
          <w:tcPr>
            <w:tcW w:w="4675" w:type="dxa"/>
          </w:tcPr>
          <w:p w14:paraId="783A8107" w14:textId="77777777" w:rsidR="004A6E35" w:rsidRPr="00F01347" w:rsidRDefault="004A6E35" w:rsidP="004A6E35">
            <w:pPr>
              <w:pStyle w:val="texto0"/>
              <w:spacing w:line="230" w:lineRule="exact"/>
              <w:ind w:firstLine="0"/>
              <w:rPr>
                <w:rFonts w:ascii="Verdana" w:hAnsi="Verdana"/>
                <w:b/>
                <w:bCs/>
                <w:sz w:val="16"/>
                <w:szCs w:val="16"/>
              </w:rPr>
            </w:pPr>
            <w:r w:rsidRPr="00F01347">
              <w:rPr>
                <w:rFonts w:ascii="Verdana" w:hAnsi="Verdana"/>
                <w:b/>
                <w:bCs/>
                <w:sz w:val="16"/>
                <w:szCs w:val="16"/>
              </w:rPr>
              <w:t>En donde:</w:t>
            </w:r>
          </w:p>
        </w:tc>
        <w:tc>
          <w:tcPr>
            <w:tcW w:w="4675" w:type="dxa"/>
          </w:tcPr>
          <w:p w14:paraId="556945FD" w14:textId="50791AEA" w:rsidR="004A6E35" w:rsidRPr="00F01347" w:rsidRDefault="004A6E35" w:rsidP="004A6E35">
            <w:pPr>
              <w:pStyle w:val="texto0"/>
              <w:spacing w:line="230" w:lineRule="exact"/>
              <w:ind w:firstLine="0"/>
              <w:rPr>
                <w:rFonts w:ascii="Verdana" w:hAnsi="Verdana"/>
                <w:b/>
                <w:bCs/>
                <w:sz w:val="16"/>
                <w:szCs w:val="16"/>
                <w:lang w:val="en-US"/>
              </w:rPr>
            </w:pPr>
            <w:r w:rsidRPr="00F01347">
              <w:rPr>
                <w:rFonts w:ascii="Verdana" w:hAnsi="Verdana"/>
                <w:b/>
                <w:bCs/>
                <w:sz w:val="16"/>
                <w:szCs w:val="16"/>
                <w:lang w:val="en-US"/>
              </w:rPr>
              <w:t>Where:</w:t>
            </w:r>
          </w:p>
        </w:tc>
      </w:tr>
      <w:tr w:rsidR="004A6E35" w:rsidRPr="00F01347" w14:paraId="311D20AA" w14:textId="255B829F" w:rsidTr="0020613D">
        <w:tc>
          <w:tcPr>
            <w:tcW w:w="4675" w:type="dxa"/>
          </w:tcPr>
          <w:p w14:paraId="5BD90EE4" w14:textId="77777777" w:rsidR="004A6E35" w:rsidRPr="00F01347" w:rsidRDefault="004A6E35" w:rsidP="004A6E35">
            <w:pPr>
              <w:pStyle w:val="texto0"/>
              <w:spacing w:line="230" w:lineRule="exact"/>
              <w:ind w:firstLine="0"/>
              <w:rPr>
                <w:rFonts w:ascii="Verdana" w:hAnsi="Verdana"/>
                <w:sz w:val="16"/>
                <w:szCs w:val="16"/>
              </w:rPr>
            </w:pPr>
            <w:r w:rsidRPr="00F01347">
              <w:rPr>
                <w:rFonts w:ascii="Verdana" w:hAnsi="Verdana"/>
                <w:sz w:val="16"/>
                <w:szCs w:val="16"/>
              </w:rPr>
              <w:t>A</w:t>
            </w:r>
            <w:r w:rsidRPr="00F01347">
              <w:rPr>
                <w:rFonts w:ascii="Verdana" w:hAnsi="Verdana"/>
                <w:sz w:val="16"/>
                <w:szCs w:val="16"/>
              </w:rPr>
              <w:tab/>
              <w:t>concentración del elemento en la muestra leída directamente del equipo o de la curva de calibración, en mg/L o µg/L</w:t>
            </w:r>
          </w:p>
        </w:tc>
        <w:tc>
          <w:tcPr>
            <w:tcW w:w="4675" w:type="dxa"/>
          </w:tcPr>
          <w:p w14:paraId="42AEC56F" w14:textId="59C1FEC9" w:rsidR="004A6E35" w:rsidRPr="00F01347" w:rsidRDefault="0020613D" w:rsidP="004A6E35">
            <w:pPr>
              <w:pStyle w:val="texto0"/>
              <w:spacing w:line="230" w:lineRule="exact"/>
              <w:ind w:firstLine="0"/>
              <w:rPr>
                <w:rFonts w:ascii="Verdana" w:hAnsi="Verdana"/>
                <w:sz w:val="16"/>
                <w:szCs w:val="16"/>
                <w:lang w:val="en-US"/>
              </w:rPr>
            </w:pPr>
            <w:r w:rsidRPr="00F01347">
              <w:rPr>
                <w:rFonts w:ascii="Verdana" w:hAnsi="Verdana"/>
                <w:sz w:val="16"/>
                <w:szCs w:val="16"/>
                <w:lang w:val="en-US"/>
              </w:rPr>
              <w:t>A</w:t>
            </w:r>
            <w:r w:rsidR="004A6E35" w:rsidRPr="00F01347">
              <w:rPr>
                <w:rFonts w:ascii="Verdana" w:hAnsi="Verdana"/>
                <w:sz w:val="16"/>
                <w:szCs w:val="16"/>
                <w:lang w:val="en-US"/>
              </w:rPr>
              <w:t xml:space="preserve"> </w:t>
            </w:r>
            <w:r w:rsidR="004A6E35" w:rsidRPr="00F01347">
              <w:rPr>
                <w:rFonts w:ascii="Verdana" w:hAnsi="Verdana"/>
                <w:sz w:val="16"/>
                <w:szCs w:val="16"/>
                <w:lang w:val="en-US"/>
              </w:rPr>
              <w:tab/>
              <w:t>concentration of the element in the sample read directly from the equipment or the calibration curve, in mg/L or µg/L</w:t>
            </w:r>
          </w:p>
        </w:tc>
      </w:tr>
      <w:tr w:rsidR="004A6E35" w:rsidRPr="00F01347" w14:paraId="14F4D364" w14:textId="04873527" w:rsidTr="0020613D">
        <w:tc>
          <w:tcPr>
            <w:tcW w:w="4675" w:type="dxa"/>
          </w:tcPr>
          <w:p w14:paraId="457AD972" w14:textId="77777777" w:rsidR="004A6E35" w:rsidRPr="00F01347" w:rsidRDefault="004A6E35" w:rsidP="004A6E35">
            <w:pPr>
              <w:pStyle w:val="texto0"/>
              <w:spacing w:line="230" w:lineRule="exact"/>
              <w:ind w:firstLine="0"/>
              <w:rPr>
                <w:rFonts w:ascii="Verdana" w:hAnsi="Verdana"/>
                <w:sz w:val="16"/>
                <w:szCs w:val="16"/>
              </w:rPr>
            </w:pPr>
            <w:r w:rsidRPr="00F01347">
              <w:rPr>
                <w:rFonts w:ascii="Verdana" w:hAnsi="Verdana"/>
                <w:sz w:val="16"/>
                <w:szCs w:val="16"/>
              </w:rPr>
              <w:t>V</w:t>
            </w:r>
            <w:r w:rsidRPr="00F01347">
              <w:rPr>
                <w:rFonts w:ascii="Verdana" w:hAnsi="Verdana"/>
                <w:sz w:val="16"/>
                <w:szCs w:val="16"/>
              </w:rPr>
              <w:tab/>
              <w:t xml:space="preserve">volumen de la disolución de la muestra (aforo), en </w:t>
            </w:r>
            <w:proofErr w:type="spellStart"/>
            <w:r w:rsidRPr="00F01347">
              <w:rPr>
                <w:rFonts w:ascii="Verdana" w:hAnsi="Verdana"/>
                <w:sz w:val="16"/>
                <w:szCs w:val="16"/>
              </w:rPr>
              <w:t>mL</w:t>
            </w:r>
            <w:proofErr w:type="spellEnd"/>
          </w:p>
        </w:tc>
        <w:tc>
          <w:tcPr>
            <w:tcW w:w="4675" w:type="dxa"/>
          </w:tcPr>
          <w:p w14:paraId="520EB929" w14:textId="16CF348A" w:rsidR="004A6E35" w:rsidRPr="00F01347" w:rsidRDefault="004A6E35" w:rsidP="004A6E35">
            <w:pPr>
              <w:pStyle w:val="texto0"/>
              <w:spacing w:line="230" w:lineRule="exact"/>
              <w:ind w:firstLine="0"/>
              <w:rPr>
                <w:rFonts w:ascii="Verdana" w:hAnsi="Verdana"/>
                <w:sz w:val="16"/>
                <w:szCs w:val="16"/>
                <w:lang w:val="en-US"/>
              </w:rPr>
            </w:pPr>
            <w:r w:rsidRPr="00F01347">
              <w:rPr>
                <w:rFonts w:ascii="Verdana" w:hAnsi="Verdana"/>
                <w:sz w:val="16"/>
                <w:szCs w:val="16"/>
                <w:lang w:val="en-US"/>
              </w:rPr>
              <w:t xml:space="preserve">V </w:t>
            </w:r>
            <w:r w:rsidRPr="00F01347">
              <w:rPr>
                <w:rFonts w:ascii="Verdana" w:hAnsi="Verdana"/>
                <w:sz w:val="16"/>
                <w:szCs w:val="16"/>
                <w:lang w:val="en-US"/>
              </w:rPr>
              <w:tab/>
              <w:t>volume of the sample solution (volume), in mL</w:t>
            </w:r>
          </w:p>
        </w:tc>
      </w:tr>
      <w:tr w:rsidR="004A6E35" w:rsidRPr="00F01347" w14:paraId="33F52ED3" w14:textId="0ED5AE1B" w:rsidTr="0020613D">
        <w:tc>
          <w:tcPr>
            <w:tcW w:w="4675" w:type="dxa"/>
          </w:tcPr>
          <w:p w14:paraId="0F5E692A" w14:textId="77777777" w:rsidR="004A6E35" w:rsidRPr="00F01347" w:rsidRDefault="004A6E35" w:rsidP="004A6E35">
            <w:pPr>
              <w:pStyle w:val="texto0"/>
              <w:spacing w:line="230" w:lineRule="exact"/>
              <w:ind w:firstLine="0"/>
              <w:rPr>
                <w:rFonts w:ascii="Verdana" w:hAnsi="Verdana"/>
                <w:sz w:val="16"/>
                <w:szCs w:val="16"/>
              </w:rPr>
            </w:pPr>
            <w:r w:rsidRPr="00F01347">
              <w:rPr>
                <w:rFonts w:ascii="Verdana" w:hAnsi="Verdana"/>
                <w:sz w:val="16"/>
                <w:szCs w:val="16"/>
              </w:rPr>
              <w:t>F</w:t>
            </w:r>
            <w:r w:rsidRPr="00F01347">
              <w:rPr>
                <w:rFonts w:ascii="Verdana" w:hAnsi="Verdana"/>
                <w:sz w:val="16"/>
                <w:szCs w:val="16"/>
              </w:rPr>
              <w:tab/>
              <w:t>factor para pasar de µg a mg=1 000 (si la curva está en µg/L)</w:t>
            </w:r>
          </w:p>
        </w:tc>
        <w:tc>
          <w:tcPr>
            <w:tcW w:w="4675" w:type="dxa"/>
          </w:tcPr>
          <w:p w14:paraId="36850878" w14:textId="261F5472" w:rsidR="004A6E35" w:rsidRPr="00F01347" w:rsidRDefault="004A6E35" w:rsidP="004A6E35">
            <w:pPr>
              <w:pStyle w:val="texto0"/>
              <w:spacing w:line="230" w:lineRule="exact"/>
              <w:ind w:firstLine="0"/>
              <w:rPr>
                <w:rFonts w:ascii="Verdana" w:hAnsi="Verdana"/>
                <w:sz w:val="16"/>
                <w:szCs w:val="16"/>
                <w:lang w:val="en-US"/>
              </w:rPr>
            </w:pPr>
            <w:r w:rsidRPr="00F01347">
              <w:rPr>
                <w:rFonts w:ascii="Verdana" w:hAnsi="Verdana"/>
                <w:sz w:val="16"/>
                <w:szCs w:val="16"/>
                <w:lang w:val="en-US"/>
              </w:rPr>
              <w:t xml:space="preserve">F </w:t>
            </w:r>
            <w:r w:rsidRPr="00F01347">
              <w:rPr>
                <w:rFonts w:ascii="Verdana" w:hAnsi="Verdana"/>
                <w:sz w:val="16"/>
                <w:szCs w:val="16"/>
                <w:lang w:val="en-US"/>
              </w:rPr>
              <w:tab/>
              <w:t>factor to go from µg to mg=1,000 (if the curve is in µg/L)</w:t>
            </w:r>
          </w:p>
        </w:tc>
      </w:tr>
      <w:tr w:rsidR="004A6E35" w:rsidRPr="00F01347" w14:paraId="32A89F4D" w14:textId="29E241F0" w:rsidTr="0020613D">
        <w:tc>
          <w:tcPr>
            <w:tcW w:w="4675" w:type="dxa"/>
          </w:tcPr>
          <w:p w14:paraId="601221D4" w14:textId="77777777" w:rsidR="004A6E35" w:rsidRPr="00F01347" w:rsidRDefault="004A6E35" w:rsidP="004A6E35">
            <w:pPr>
              <w:pStyle w:val="texto0"/>
              <w:spacing w:line="230" w:lineRule="exact"/>
              <w:ind w:firstLine="0"/>
              <w:rPr>
                <w:rFonts w:ascii="Verdana" w:hAnsi="Verdana"/>
                <w:sz w:val="16"/>
                <w:szCs w:val="16"/>
              </w:rPr>
            </w:pPr>
            <w:r w:rsidRPr="00F01347">
              <w:rPr>
                <w:rFonts w:ascii="Verdana" w:hAnsi="Verdana"/>
                <w:sz w:val="16"/>
                <w:szCs w:val="16"/>
              </w:rPr>
              <w:t>M</w:t>
            </w:r>
            <w:r w:rsidRPr="00F01347">
              <w:rPr>
                <w:rFonts w:ascii="Verdana" w:hAnsi="Verdana"/>
                <w:sz w:val="16"/>
                <w:szCs w:val="16"/>
              </w:rPr>
              <w:tab/>
              <w:t xml:space="preserve">volumen de la muestra, en </w:t>
            </w:r>
            <w:proofErr w:type="spellStart"/>
            <w:r w:rsidRPr="00F01347">
              <w:rPr>
                <w:rFonts w:ascii="Verdana" w:hAnsi="Verdana"/>
                <w:sz w:val="16"/>
                <w:szCs w:val="16"/>
              </w:rPr>
              <w:t>mL</w:t>
            </w:r>
            <w:proofErr w:type="spellEnd"/>
          </w:p>
        </w:tc>
        <w:tc>
          <w:tcPr>
            <w:tcW w:w="4675" w:type="dxa"/>
          </w:tcPr>
          <w:p w14:paraId="68084CC2" w14:textId="1AF769BD" w:rsidR="004A6E35" w:rsidRPr="00F01347" w:rsidRDefault="004A6E35" w:rsidP="004A6E35">
            <w:pPr>
              <w:pStyle w:val="texto0"/>
              <w:spacing w:line="230" w:lineRule="exact"/>
              <w:ind w:firstLine="0"/>
              <w:rPr>
                <w:rFonts w:ascii="Verdana" w:hAnsi="Verdana"/>
                <w:sz w:val="16"/>
                <w:szCs w:val="16"/>
                <w:lang w:val="en-US"/>
              </w:rPr>
            </w:pPr>
            <w:r w:rsidRPr="00F01347">
              <w:rPr>
                <w:rFonts w:ascii="Verdana" w:hAnsi="Verdana"/>
                <w:sz w:val="16"/>
                <w:szCs w:val="16"/>
                <w:lang w:val="en-US"/>
              </w:rPr>
              <w:t xml:space="preserve">M </w:t>
            </w:r>
            <w:r w:rsidRPr="00F01347">
              <w:rPr>
                <w:rFonts w:ascii="Verdana" w:hAnsi="Verdana"/>
                <w:sz w:val="16"/>
                <w:szCs w:val="16"/>
                <w:lang w:val="en-US"/>
              </w:rPr>
              <w:tab/>
              <w:t>sample volume, in mL</w:t>
            </w:r>
          </w:p>
        </w:tc>
      </w:tr>
      <w:tr w:rsidR="004A6E35" w:rsidRPr="00F01347" w14:paraId="7753A1CA" w14:textId="7E27BC24" w:rsidTr="0020613D">
        <w:tc>
          <w:tcPr>
            <w:tcW w:w="4675" w:type="dxa"/>
          </w:tcPr>
          <w:p w14:paraId="09F42C49" w14:textId="77777777" w:rsidR="004A6E35" w:rsidRPr="00F01347" w:rsidRDefault="004A6E35" w:rsidP="004A6E35">
            <w:pPr>
              <w:pStyle w:val="texto0"/>
              <w:spacing w:line="230" w:lineRule="exact"/>
              <w:ind w:firstLine="0"/>
              <w:rPr>
                <w:rFonts w:ascii="Verdana" w:hAnsi="Verdana"/>
                <w:sz w:val="16"/>
                <w:szCs w:val="16"/>
              </w:rPr>
            </w:pPr>
            <w:r w:rsidRPr="00F01347">
              <w:rPr>
                <w:rFonts w:ascii="Verdana" w:hAnsi="Verdana"/>
                <w:sz w:val="16"/>
                <w:szCs w:val="16"/>
              </w:rPr>
              <w:t>Si la muestra ha sido diluida, debe aplicarse el factor de dilución.</w:t>
            </w:r>
          </w:p>
        </w:tc>
        <w:tc>
          <w:tcPr>
            <w:tcW w:w="4675" w:type="dxa"/>
          </w:tcPr>
          <w:p w14:paraId="556999D4" w14:textId="20A046B6" w:rsidR="004A6E35" w:rsidRPr="00F01347" w:rsidRDefault="004A6E35" w:rsidP="004A6E35">
            <w:pPr>
              <w:pStyle w:val="texto0"/>
              <w:spacing w:line="230" w:lineRule="exact"/>
              <w:ind w:firstLine="0"/>
              <w:rPr>
                <w:rFonts w:ascii="Verdana" w:hAnsi="Verdana"/>
                <w:sz w:val="16"/>
                <w:szCs w:val="16"/>
                <w:lang w:val="en-US"/>
              </w:rPr>
            </w:pPr>
            <w:r w:rsidRPr="00F01347">
              <w:rPr>
                <w:rFonts w:ascii="Verdana" w:hAnsi="Verdana"/>
                <w:sz w:val="16"/>
                <w:szCs w:val="16"/>
                <w:lang w:val="en-US"/>
              </w:rPr>
              <w:t>If the sample has been diluted, the dilution factor must be applied.</w:t>
            </w:r>
          </w:p>
        </w:tc>
      </w:tr>
      <w:tr w:rsidR="004A6E35" w:rsidRPr="00F01347" w14:paraId="74775C9D" w14:textId="6654B652" w:rsidTr="0020613D">
        <w:tc>
          <w:tcPr>
            <w:tcW w:w="4675" w:type="dxa"/>
          </w:tcPr>
          <w:p w14:paraId="5E72C834" w14:textId="77777777" w:rsidR="004A6E35" w:rsidRPr="00F01347" w:rsidRDefault="004A6E35" w:rsidP="004A6E35">
            <w:pPr>
              <w:pStyle w:val="texto0"/>
              <w:spacing w:line="230" w:lineRule="exact"/>
              <w:ind w:firstLine="0"/>
              <w:rPr>
                <w:rFonts w:ascii="Verdana" w:hAnsi="Verdana"/>
                <w:sz w:val="16"/>
                <w:szCs w:val="16"/>
              </w:rPr>
            </w:pPr>
            <w:r w:rsidRPr="00F01347">
              <w:rPr>
                <w:rFonts w:ascii="Verdana" w:hAnsi="Verdana"/>
                <w:sz w:val="16"/>
                <w:szCs w:val="16"/>
              </w:rPr>
              <w:t>Calcular el porcentaje de recuperación para el analito de acuerdo con la siguiente fórmula:</w:t>
            </w:r>
          </w:p>
        </w:tc>
        <w:tc>
          <w:tcPr>
            <w:tcW w:w="4675" w:type="dxa"/>
          </w:tcPr>
          <w:p w14:paraId="5AE35063" w14:textId="3FC57FCC" w:rsidR="004A6E35" w:rsidRPr="00F01347" w:rsidRDefault="004A6E35" w:rsidP="004A6E35">
            <w:pPr>
              <w:pStyle w:val="texto0"/>
              <w:spacing w:line="230" w:lineRule="exact"/>
              <w:ind w:firstLine="0"/>
              <w:rPr>
                <w:rFonts w:ascii="Verdana" w:hAnsi="Verdana"/>
                <w:sz w:val="16"/>
                <w:szCs w:val="16"/>
                <w:lang w:val="en-US"/>
              </w:rPr>
            </w:pPr>
            <w:r w:rsidRPr="00F01347">
              <w:rPr>
                <w:rFonts w:ascii="Verdana" w:hAnsi="Verdana"/>
                <w:sz w:val="16"/>
                <w:szCs w:val="16"/>
                <w:lang w:val="en-US"/>
              </w:rPr>
              <w:t>Calculate the percent recovery for the analyte according to the following formula:</w:t>
            </w:r>
          </w:p>
        </w:tc>
      </w:tr>
    </w:tbl>
    <w:p w14:paraId="2FBE7E4D" w14:textId="40E9AF59" w:rsidR="00A74CDF" w:rsidRPr="00F01347" w:rsidRDefault="00471638" w:rsidP="004A1A9F">
      <w:pPr>
        <w:pStyle w:val="texto0"/>
        <w:spacing w:before="120" w:line="240" w:lineRule="auto"/>
        <w:ind w:left="634"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1063323C" wp14:editId="108B091F">
            <wp:extent cx="1038225" cy="371475"/>
            <wp:effectExtent l="0" t="0" r="0" b="0"/>
            <wp:docPr id="35"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38225" cy="3714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24245" w:rsidRPr="00F01347" w14:paraId="5DCC9FAF" w14:textId="213CA8B3" w:rsidTr="004A1A9F">
        <w:tc>
          <w:tcPr>
            <w:tcW w:w="4675" w:type="dxa"/>
          </w:tcPr>
          <w:p w14:paraId="59CE6384" w14:textId="77777777" w:rsidR="00C24245" w:rsidRPr="00F01347" w:rsidRDefault="00C24245" w:rsidP="00C24245">
            <w:pPr>
              <w:pStyle w:val="texto0"/>
              <w:spacing w:line="236" w:lineRule="exact"/>
              <w:ind w:firstLine="0"/>
              <w:rPr>
                <w:rFonts w:ascii="Verdana" w:hAnsi="Verdana"/>
                <w:b/>
                <w:bCs/>
                <w:sz w:val="16"/>
                <w:szCs w:val="16"/>
              </w:rPr>
            </w:pPr>
            <w:r w:rsidRPr="00F01347">
              <w:rPr>
                <w:rFonts w:ascii="Verdana" w:hAnsi="Verdana"/>
                <w:b/>
                <w:bCs/>
                <w:sz w:val="16"/>
                <w:szCs w:val="16"/>
              </w:rPr>
              <w:t>En donde:</w:t>
            </w:r>
          </w:p>
        </w:tc>
        <w:tc>
          <w:tcPr>
            <w:tcW w:w="4675" w:type="dxa"/>
          </w:tcPr>
          <w:p w14:paraId="2F20AAFA" w14:textId="7883BAD0" w:rsidR="00C24245" w:rsidRPr="00F01347" w:rsidRDefault="00C24245" w:rsidP="00C24245">
            <w:pPr>
              <w:pStyle w:val="texto0"/>
              <w:spacing w:line="236" w:lineRule="exact"/>
              <w:ind w:firstLine="0"/>
              <w:rPr>
                <w:rFonts w:ascii="Verdana" w:hAnsi="Verdana"/>
                <w:b/>
                <w:bCs/>
                <w:sz w:val="16"/>
                <w:szCs w:val="16"/>
                <w:lang w:val="en-US"/>
              </w:rPr>
            </w:pPr>
            <w:r w:rsidRPr="00F01347">
              <w:rPr>
                <w:rFonts w:ascii="Verdana" w:hAnsi="Verdana"/>
                <w:b/>
                <w:bCs/>
                <w:sz w:val="16"/>
                <w:szCs w:val="16"/>
                <w:lang w:val="en-US"/>
              </w:rPr>
              <w:t>Where:</w:t>
            </w:r>
          </w:p>
        </w:tc>
      </w:tr>
      <w:tr w:rsidR="00C24245" w:rsidRPr="00F01347" w14:paraId="20097134" w14:textId="16BED92C" w:rsidTr="004A1A9F">
        <w:tc>
          <w:tcPr>
            <w:tcW w:w="4675" w:type="dxa"/>
          </w:tcPr>
          <w:p w14:paraId="0E16E986" w14:textId="77777777" w:rsidR="00C24245" w:rsidRPr="00F01347" w:rsidRDefault="00C24245" w:rsidP="00C24245">
            <w:pPr>
              <w:pStyle w:val="texto0"/>
              <w:spacing w:line="236" w:lineRule="exact"/>
              <w:ind w:firstLine="0"/>
              <w:rPr>
                <w:rFonts w:ascii="Verdana" w:hAnsi="Verdana"/>
                <w:sz w:val="16"/>
                <w:szCs w:val="16"/>
              </w:rPr>
            </w:pPr>
            <w:r w:rsidRPr="00F01347">
              <w:rPr>
                <w:rFonts w:ascii="Verdana" w:hAnsi="Verdana"/>
                <w:sz w:val="16"/>
                <w:szCs w:val="16"/>
              </w:rPr>
              <w:t>R</w:t>
            </w:r>
            <w:r w:rsidRPr="00F01347">
              <w:rPr>
                <w:rFonts w:ascii="Verdana" w:hAnsi="Verdana"/>
                <w:sz w:val="16"/>
                <w:szCs w:val="16"/>
              </w:rPr>
              <w:tab/>
              <w:t>% de recobro</w:t>
            </w:r>
          </w:p>
        </w:tc>
        <w:tc>
          <w:tcPr>
            <w:tcW w:w="4675" w:type="dxa"/>
          </w:tcPr>
          <w:p w14:paraId="329E3D3C" w14:textId="70A2ABDB" w:rsidR="00C24245" w:rsidRPr="00F01347" w:rsidRDefault="00C24245" w:rsidP="00C24245">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R </w:t>
            </w:r>
            <w:r w:rsidRPr="00F01347">
              <w:rPr>
                <w:rFonts w:ascii="Verdana" w:hAnsi="Verdana"/>
                <w:sz w:val="16"/>
                <w:szCs w:val="16"/>
                <w:lang w:val="en-US"/>
              </w:rPr>
              <w:tab/>
              <w:t>% recovery</w:t>
            </w:r>
          </w:p>
        </w:tc>
      </w:tr>
      <w:tr w:rsidR="00C24245" w:rsidRPr="00F01347" w14:paraId="6E841F60" w14:textId="185A5BD8" w:rsidTr="004A1A9F">
        <w:tc>
          <w:tcPr>
            <w:tcW w:w="4675" w:type="dxa"/>
          </w:tcPr>
          <w:p w14:paraId="2548A239" w14:textId="77777777" w:rsidR="00C24245" w:rsidRPr="00F01347" w:rsidRDefault="00C24245" w:rsidP="00C24245">
            <w:pPr>
              <w:pStyle w:val="texto0"/>
              <w:spacing w:line="236" w:lineRule="exact"/>
              <w:ind w:firstLine="0"/>
              <w:rPr>
                <w:rFonts w:ascii="Verdana" w:hAnsi="Verdana"/>
                <w:sz w:val="16"/>
                <w:szCs w:val="16"/>
              </w:rPr>
            </w:pPr>
            <w:r w:rsidRPr="00F01347">
              <w:rPr>
                <w:rFonts w:ascii="Verdana" w:hAnsi="Verdana"/>
                <w:sz w:val="16"/>
                <w:szCs w:val="16"/>
              </w:rPr>
              <w:t>CM</w:t>
            </w:r>
            <w:r w:rsidRPr="00F01347">
              <w:rPr>
                <w:rFonts w:ascii="Verdana" w:hAnsi="Verdana"/>
                <w:sz w:val="16"/>
                <w:szCs w:val="16"/>
              </w:rPr>
              <w:tab/>
              <w:t>Concentración de la muestra fortificada o blanco de reactivos fortificado.</w:t>
            </w:r>
          </w:p>
        </w:tc>
        <w:tc>
          <w:tcPr>
            <w:tcW w:w="4675" w:type="dxa"/>
          </w:tcPr>
          <w:p w14:paraId="5D823699" w14:textId="2BA7E453" w:rsidR="00C24245" w:rsidRPr="00F01347" w:rsidRDefault="00C24245" w:rsidP="00C24245">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CM </w:t>
            </w:r>
            <w:r w:rsidRPr="00F01347">
              <w:rPr>
                <w:rFonts w:ascii="Verdana" w:hAnsi="Verdana"/>
                <w:sz w:val="16"/>
                <w:szCs w:val="16"/>
                <w:lang w:val="en-US"/>
              </w:rPr>
              <w:tab/>
              <w:t>Concentration of the fortified sample or fortified reagent blank.</w:t>
            </w:r>
          </w:p>
        </w:tc>
      </w:tr>
      <w:tr w:rsidR="00C24245" w:rsidRPr="00F01347" w14:paraId="71DEF26D" w14:textId="0C117AEE" w:rsidTr="004A1A9F">
        <w:tc>
          <w:tcPr>
            <w:tcW w:w="4675" w:type="dxa"/>
          </w:tcPr>
          <w:p w14:paraId="5DB48854" w14:textId="77777777" w:rsidR="00C24245" w:rsidRPr="00F01347" w:rsidRDefault="00C24245" w:rsidP="00C24245">
            <w:pPr>
              <w:pStyle w:val="texto0"/>
              <w:spacing w:line="236" w:lineRule="exact"/>
              <w:ind w:firstLine="0"/>
              <w:rPr>
                <w:rFonts w:ascii="Verdana" w:hAnsi="Verdana"/>
                <w:sz w:val="16"/>
                <w:szCs w:val="16"/>
              </w:rPr>
            </w:pPr>
            <w:r w:rsidRPr="00F01347">
              <w:rPr>
                <w:rFonts w:ascii="Verdana" w:hAnsi="Verdana"/>
                <w:sz w:val="16"/>
                <w:szCs w:val="16"/>
              </w:rPr>
              <w:t>C</w:t>
            </w:r>
            <w:r w:rsidRPr="00F01347">
              <w:rPr>
                <w:rFonts w:ascii="Verdana" w:hAnsi="Verdana"/>
                <w:sz w:val="16"/>
                <w:szCs w:val="16"/>
              </w:rPr>
              <w:tab/>
              <w:t>Concentración de la muestra o blanco de reactivos.</w:t>
            </w:r>
          </w:p>
        </w:tc>
        <w:tc>
          <w:tcPr>
            <w:tcW w:w="4675" w:type="dxa"/>
          </w:tcPr>
          <w:p w14:paraId="15A5B3E9" w14:textId="62EF100E" w:rsidR="00C24245" w:rsidRPr="00F01347" w:rsidRDefault="00C24245" w:rsidP="00C24245">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C </w:t>
            </w:r>
            <w:r w:rsidRPr="00F01347">
              <w:rPr>
                <w:rFonts w:ascii="Verdana" w:hAnsi="Verdana"/>
                <w:sz w:val="16"/>
                <w:szCs w:val="16"/>
                <w:lang w:val="en-US"/>
              </w:rPr>
              <w:tab/>
              <w:t>Concentration of the sample or reagent blank.</w:t>
            </w:r>
          </w:p>
        </w:tc>
      </w:tr>
      <w:tr w:rsidR="00C24245" w:rsidRPr="00F01347" w14:paraId="5E248D6C" w14:textId="2579C609" w:rsidTr="004A1A9F">
        <w:tc>
          <w:tcPr>
            <w:tcW w:w="4675" w:type="dxa"/>
          </w:tcPr>
          <w:p w14:paraId="11073FBA" w14:textId="77777777" w:rsidR="00C24245" w:rsidRPr="00F01347" w:rsidRDefault="00C24245" w:rsidP="00C24245">
            <w:pPr>
              <w:pStyle w:val="texto0"/>
              <w:spacing w:line="240" w:lineRule="exact"/>
              <w:ind w:firstLine="0"/>
              <w:rPr>
                <w:rFonts w:ascii="Verdana" w:hAnsi="Verdana"/>
                <w:sz w:val="16"/>
                <w:szCs w:val="16"/>
              </w:rPr>
            </w:pPr>
            <w:r w:rsidRPr="00F01347">
              <w:rPr>
                <w:rFonts w:ascii="Verdana" w:hAnsi="Verdana"/>
                <w:sz w:val="16"/>
                <w:szCs w:val="16"/>
              </w:rPr>
              <w:t>CA</w:t>
            </w:r>
            <w:r w:rsidRPr="00F01347">
              <w:rPr>
                <w:rFonts w:ascii="Verdana" w:hAnsi="Verdana"/>
                <w:sz w:val="16"/>
                <w:szCs w:val="16"/>
              </w:rPr>
              <w:tab/>
              <w:t>Concentración equivalente de elemento añadido a la muestra o blanco de reactivos.</w:t>
            </w:r>
          </w:p>
        </w:tc>
        <w:tc>
          <w:tcPr>
            <w:tcW w:w="4675" w:type="dxa"/>
          </w:tcPr>
          <w:p w14:paraId="4BAF1844" w14:textId="0847C301" w:rsidR="00C24245" w:rsidRPr="00F01347" w:rsidRDefault="00C24245" w:rsidP="00C24245">
            <w:pPr>
              <w:pStyle w:val="texto0"/>
              <w:spacing w:line="240" w:lineRule="exact"/>
              <w:ind w:firstLine="0"/>
              <w:rPr>
                <w:rFonts w:ascii="Verdana" w:hAnsi="Verdana"/>
                <w:sz w:val="16"/>
                <w:szCs w:val="16"/>
                <w:lang w:val="en-US"/>
              </w:rPr>
            </w:pPr>
            <w:r w:rsidRPr="00F01347">
              <w:rPr>
                <w:rFonts w:ascii="Verdana" w:hAnsi="Verdana"/>
                <w:sz w:val="16"/>
                <w:szCs w:val="16"/>
                <w:lang w:val="en-US"/>
              </w:rPr>
              <w:t xml:space="preserve">CA </w:t>
            </w:r>
            <w:r w:rsidRPr="00F01347">
              <w:rPr>
                <w:rFonts w:ascii="Verdana" w:hAnsi="Verdana"/>
                <w:sz w:val="16"/>
                <w:szCs w:val="16"/>
                <w:lang w:val="en-US"/>
              </w:rPr>
              <w:tab/>
              <w:t>Equivalent concentration of element added to the sample or reagent blank.</w:t>
            </w:r>
          </w:p>
        </w:tc>
      </w:tr>
      <w:tr w:rsidR="00C24245" w:rsidRPr="00F01347" w14:paraId="6061262E" w14:textId="375DC939" w:rsidTr="004A1A9F">
        <w:tc>
          <w:tcPr>
            <w:tcW w:w="4675" w:type="dxa"/>
          </w:tcPr>
          <w:p w14:paraId="3B5253AF" w14:textId="77777777" w:rsidR="00C24245" w:rsidRPr="00F01347" w:rsidRDefault="00C24245" w:rsidP="00C24245">
            <w:pPr>
              <w:pStyle w:val="texto0"/>
              <w:spacing w:line="240" w:lineRule="exact"/>
              <w:ind w:firstLine="0"/>
              <w:rPr>
                <w:rFonts w:ascii="Verdana" w:hAnsi="Verdana"/>
                <w:b/>
                <w:sz w:val="16"/>
                <w:szCs w:val="16"/>
              </w:rPr>
            </w:pPr>
            <w:r w:rsidRPr="00F01347">
              <w:rPr>
                <w:rFonts w:ascii="Verdana" w:hAnsi="Verdana"/>
                <w:b/>
                <w:sz w:val="16"/>
                <w:szCs w:val="16"/>
              </w:rPr>
              <w:t>B.4.1.6.7 Informe de prueba</w:t>
            </w:r>
          </w:p>
        </w:tc>
        <w:tc>
          <w:tcPr>
            <w:tcW w:w="4675" w:type="dxa"/>
          </w:tcPr>
          <w:p w14:paraId="23FD552B" w14:textId="4410AFA4" w:rsidR="00C24245" w:rsidRPr="00F01347" w:rsidRDefault="00C24245" w:rsidP="00C24245">
            <w:pPr>
              <w:pStyle w:val="texto0"/>
              <w:spacing w:line="240" w:lineRule="exact"/>
              <w:ind w:firstLine="0"/>
              <w:rPr>
                <w:rFonts w:ascii="Verdana" w:hAnsi="Verdana"/>
                <w:b/>
                <w:sz w:val="16"/>
                <w:szCs w:val="16"/>
                <w:lang w:val="en-US"/>
              </w:rPr>
            </w:pPr>
            <w:r w:rsidRPr="00F01347">
              <w:rPr>
                <w:rFonts w:ascii="Verdana" w:hAnsi="Verdana"/>
                <w:b/>
                <w:sz w:val="16"/>
                <w:szCs w:val="16"/>
                <w:lang w:val="en-US"/>
              </w:rPr>
              <w:t>B.4.1.6.7 Test report</w:t>
            </w:r>
          </w:p>
        </w:tc>
      </w:tr>
      <w:tr w:rsidR="00C24245" w:rsidRPr="00F01347" w14:paraId="231DFDA0" w14:textId="11E4742F" w:rsidTr="004A1A9F">
        <w:tc>
          <w:tcPr>
            <w:tcW w:w="4675" w:type="dxa"/>
          </w:tcPr>
          <w:p w14:paraId="0A02A91A" w14:textId="77777777" w:rsidR="00C24245" w:rsidRPr="00F01347" w:rsidRDefault="00C24245" w:rsidP="00C24245">
            <w:pPr>
              <w:pStyle w:val="texto0"/>
              <w:spacing w:line="240" w:lineRule="exact"/>
              <w:ind w:firstLine="0"/>
              <w:rPr>
                <w:rFonts w:ascii="Verdana" w:hAnsi="Verdana"/>
                <w:sz w:val="16"/>
                <w:szCs w:val="16"/>
              </w:rPr>
            </w:pPr>
            <w:r w:rsidRPr="00F01347">
              <w:rPr>
                <w:rFonts w:ascii="Verdana" w:hAnsi="Verdana"/>
                <w:sz w:val="16"/>
                <w:szCs w:val="16"/>
              </w:rPr>
              <w:t>Reportar el resultado como mg/L de plata total o mg/L de aluminio.</w:t>
            </w:r>
          </w:p>
        </w:tc>
        <w:tc>
          <w:tcPr>
            <w:tcW w:w="4675" w:type="dxa"/>
          </w:tcPr>
          <w:p w14:paraId="0449F9A2" w14:textId="4F2EFBD9" w:rsidR="00C24245" w:rsidRPr="00F01347" w:rsidRDefault="00C24245" w:rsidP="00C24245">
            <w:pPr>
              <w:pStyle w:val="texto0"/>
              <w:spacing w:line="240" w:lineRule="exact"/>
              <w:ind w:firstLine="0"/>
              <w:rPr>
                <w:rFonts w:ascii="Verdana" w:hAnsi="Verdana"/>
                <w:sz w:val="16"/>
                <w:szCs w:val="16"/>
                <w:lang w:val="en-US"/>
              </w:rPr>
            </w:pPr>
            <w:r w:rsidRPr="00F01347">
              <w:rPr>
                <w:rFonts w:ascii="Verdana" w:hAnsi="Verdana"/>
                <w:sz w:val="16"/>
                <w:szCs w:val="16"/>
                <w:lang w:val="en-US"/>
              </w:rPr>
              <w:t>Report the result as mg/L of total silver or mg/L of aluminum.</w:t>
            </w:r>
          </w:p>
        </w:tc>
      </w:tr>
      <w:tr w:rsidR="00C24245" w:rsidRPr="00F01347" w14:paraId="62D27F9B" w14:textId="72A44ECE" w:rsidTr="004A1A9F">
        <w:tc>
          <w:tcPr>
            <w:tcW w:w="4675" w:type="dxa"/>
          </w:tcPr>
          <w:p w14:paraId="509798EC" w14:textId="77777777" w:rsidR="00C24245" w:rsidRPr="00F01347" w:rsidRDefault="00C24245" w:rsidP="00C24245">
            <w:pPr>
              <w:pStyle w:val="texto0"/>
              <w:spacing w:line="240" w:lineRule="exact"/>
              <w:ind w:firstLine="0"/>
              <w:rPr>
                <w:rFonts w:ascii="Verdana" w:hAnsi="Verdana"/>
                <w:b/>
                <w:sz w:val="16"/>
                <w:szCs w:val="16"/>
              </w:rPr>
            </w:pPr>
            <w:r w:rsidRPr="00F01347">
              <w:rPr>
                <w:rFonts w:ascii="Verdana" w:hAnsi="Verdana"/>
                <w:b/>
                <w:sz w:val="16"/>
                <w:szCs w:val="16"/>
              </w:rPr>
              <w:t>B.4.1.7 Control de calidad e interferencias</w:t>
            </w:r>
          </w:p>
        </w:tc>
        <w:tc>
          <w:tcPr>
            <w:tcW w:w="4675" w:type="dxa"/>
          </w:tcPr>
          <w:p w14:paraId="24701C77" w14:textId="5880826E" w:rsidR="00C24245" w:rsidRPr="00F01347" w:rsidRDefault="00C24245" w:rsidP="00C24245">
            <w:pPr>
              <w:pStyle w:val="texto0"/>
              <w:spacing w:line="240" w:lineRule="exact"/>
              <w:ind w:firstLine="0"/>
              <w:rPr>
                <w:rFonts w:ascii="Verdana" w:hAnsi="Verdana"/>
                <w:b/>
                <w:sz w:val="16"/>
                <w:szCs w:val="16"/>
                <w:lang w:val="en-US"/>
              </w:rPr>
            </w:pPr>
            <w:r w:rsidRPr="00F01347">
              <w:rPr>
                <w:rFonts w:ascii="Verdana" w:hAnsi="Verdana"/>
                <w:b/>
                <w:sz w:val="16"/>
                <w:szCs w:val="16"/>
                <w:lang w:val="en-US"/>
              </w:rPr>
              <w:t>B.4.1.7 Quality control and interferences</w:t>
            </w:r>
          </w:p>
        </w:tc>
      </w:tr>
      <w:tr w:rsidR="00C24245" w:rsidRPr="00F01347" w14:paraId="15F732E6" w14:textId="198BBC55" w:rsidTr="004A1A9F">
        <w:tc>
          <w:tcPr>
            <w:tcW w:w="4675" w:type="dxa"/>
          </w:tcPr>
          <w:p w14:paraId="40765066" w14:textId="77777777" w:rsidR="00C24245" w:rsidRPr="00F01347" w:rsidRDefault="00C24245" w:rsidP="00C24245">
            <w:pPr>
              <w:pStyle w:val="texto0"/>
              <w:spacing w:line="240" w:lineRule="exact"/>
              <w:ind w:firstLine="0"/>
              <w:rPr>
                <w:rFonts w:ascii="Verdana" w:hAnsi="Verdana"/>
                <w:sz w:val="16"/>
                <w:szCs w:val="16"/>
              </w:rPr>
            </w:pPr>
            <w:r w:rsidRPr="00F01347">
              <w:rPr>
                <w:rFonts w:ascii="Verdana" w:hAnsi="Verdana"/>
                <w:b/>
                <w:sz w:val="16"/>
                <w:szCs w:val="16"/>
              </w:rPr>
              <w:t>B.4.1.7.1 Control de calidad</w:t>
            </w:r>
          </w:p>
        </w:tc>
        <w:tc>
          <w:tcPr>
            <w:tcW w:w="4675" w:type="dxa"/>
          </w:tcPr>
          <w:p w14:paraId="20C4C0C7" w14:textId="5518A48E" w:rsidR="00C24245" w:rsidRPr="00F01347" w:rsidRDefault="00C24245" w:rsidP="00C24245">
            <w:pPr>
              <w:pStyle w:val="texto0"/>
              <w:spacing w:line="240" w:lineRule="exact"/>
              <w:ind w:firstLine="0"/>
              <w:rPr>
                <w:rFonts w:ascii="Verdana" w:hAnsi="Verdana"/>
                <w:b/>
                <w:sz w:val="16"/>
                <w:szCs w:val="16"/>
                <w:lang w:val="en-US"/>
              </w:rPr>
            </w:pPr>
            <w:r w:rsidRPr="00F01347">
              <w:rPr>
                <w:rFonts w:ascii="Verdana" w:hAnsi="Verdana"/>
                <w:b/>
                <w:sz w:val="16"/>
                <w:szCs w:val="16"/>
                <w:lang w:val="en-US"/>
              </w:rPr>
              <w:t>B.4.1.7.1 Quality control</w:t>
            </w:r>
          </w:p>
        </w:tc>
      </w:tr>
      <w:tr w:rsidR="00C24245" w:rsidRPr="00F01347" w14:paraId="075993AE" w14:textId="72C37D57" w:rsidTr="004A1A9F">
        <w:tc>
          <w:tcPr>
            <w:tcW w:w="4675" w:type="dxa"/>
          </w:tcPr>
          <w:p w14:paraId="47684CDD" w14:textId="77777777" w:rsidR="00C24245" w:rsidRPr="00F01347" w:rsidRDefault="00C24245" w:rsidP="00C24245">
            <w:pPr>
              <w:pStyle w:val="texto0"/>
              <w:spacing w:line="240" w:lineRule="exact"/>
              <w:ind w:firstLine="0"/>
              <w:rPr>
                <w:rFonts w:ascii="Verdana" w:hAnsi="Verdana"/>
                <w:sz w:val="16"/>
                <w:szCs w:val="16"/>
              </w:rPr>
            </w:pPr>
            <w:r w:rsidRPr="00F01347">
              <w:rPr>
                <w:rFonts w:ascii="Verdana" w:hAnsi="Verdana"/>
                <w:sz w:val="16"/>
                <w:szCs w:val="16"/>
              </w:rPr>
              <w:t xml:space="preserve">El coeficiente de correlación (r) de la curva deberá ser </w:t>
            </w:r>
            <w:r w:rsidRPr="00F01347">
              <w:rPr>
                <w:rFonts w:ascii="Verdana" w:hAnsi="Verdana"/>
                <w:sz w:val="16"/>
                <w:szCs w:val="16"/>
                <w:u w:val="single"/>
              </w:rPr>
              <w:t>&gt;</w:t>
            </w:r>
            <w:r w:rsidRPr="00F01347">
              <w:rPr>
                <w:rFonts w:ascii="Verdana" w:hAnsi="Verdana"/>
                <w:sz w:val="16"/>
                <w:szCs w:val="16"/>
              </w:rPr>
              <w:t xml:space="preserve"> 0.995. Leer en el equipo el blanco de calibración y un punto de la curva de calibración (MCI) antes de iniciar la lectura de las muestras, después de la lectura de cada </w:t>
            </w:r>
            <w:r w:rsidRPr="00F01347">
              <w:rPr>
                <w:rFonts w:ascii="Verdana" w:hAnsi="Verdana"/>
                <w:sz w:val="16"/>
                <w:szCs w:val="16"/>
              </w:rPr>
              <w:lastRenderedPageBreak/>
              <w:t>10 muestras y al final del análisis. El resultado deberá encontrarse dentro del ± 15% del valor esperado. Si dicho valor no se encuentra en el intervalo, interrumpir el análisis y buscar las posibles causas, posteriormente volver a leer la curva de calibración y repetir las lecturas del último lote de muestras.</w:t>
            </w:r>
          </w:p>
        </w:tc>
        <w:tc>
          <w:tcPr>
            <w:tcW w:w="4675" w:type="dxa"/>
          </w:tcPr>
          <w:p w14:paraId="50AC54C3" w14:textId="2D6DB953" w:rsidR="00C24245" w:rsidRPr="00F01347" w:rsidRDefault="00C24245" w:rsidP="00C24245">
            <w:pPr>
              <w:pStyle w:val="texto0"/>
              <w:spacing w:line="240" w:lineRule="exact"/>
              <w:ind w:firstLine="0"/>
              <w:rPr>
                <w:rFonts w:ascii="Verdana" w:hAnsi="Verdana"/>
                <w:sz w:val="16"/>
                <w:szCs w:val="16"/>
                <w:lang w:val="en-US"/>
              </w:rPr>
            </w:pPr>
            <w:r w:rsidRPr="00F01347">
              <w:rPr>
                <w:rFonts w:ascii="Verdana" w:hAnsi="Verdana"/>
                <w:sz w:val="16"/>
                <w:szCs w:val="16"/>
                <w:lang w:val="en-US"/>
              </w:rPr>
              <w:lastRenderedPageBreak/>
              <w:t xml:space="preserve">The correlation coefficient (r) of the curve must be </w:t>
            </w:r>
            <w:r w:rsidRPr="00F01347">
              <w:rPr>
                <w:rFonts w:ascii="Verdana" w:hAnsi="Verdana"/>
                <w:sz w:val="16"/>
                <w:szCs w:val="16"/>
                <w:u w:val="single"/>
                <w:lang w:val="en-US"/>
              </w:rPr>
              <w:t xml:space="preserve">&gt; </w:t>
            </w:r>
            <w:r w:rsidRPr="00F01347">
              <w:rPr>
                <w:rFonts w:ascii="Verdana" w:hAnsi="Verdana"/>
                <w:sz w:val="16"/>
                <w:szCs w:val="16"/>
                <w:lang w:val="en-US"/>
              </w:rPr>
              <w:t xml:space="preserve">0.995. Read the calibration blank and a point on the calibration curve (MCI) on the equipment before starting to read the samples, after reading every 10 </w:t>
            </w:r>
            <w:r w:rsidRPr="00F01347">
              <w:rPr>
                <w:rFonts w:ascii="Verdana" w:hAnsi="Verdana"/>
                <w:sz w:val="16"/>
                <w:szCs w:val="16"/>
                <w:lang w:val="en-US"/>
              </w:rPr>
              <w:lastRenderedPageBreak/>
              <w:t>samples and at the end of the analysis. The result must be within ± 15% of the expected value. If this value is not within the range, interrupt the analysis and look for possible causes, then re-read the calibration curve and repeat the readings of the last batch of samples.</w:t>
            </w:r>
          </w:p>
        </w:tc>
      </w:tr>
      <w:tr w:rsidR="00C24245" w:rsidRPr="00F01347" w14:paraId="4BBEFEA8" w14:textId="29DD6444" w:rsidTr="004A1A9F">
        <w:tc>
          <w:tcPr>
            <w:tcW w:w="4675" w:type="dxa"/>
          </w:tcPr>
          <w:p w14:paraId="12832213" w14:textId="77777777" w:rsidR="00C24245" w:rsidRPr="00F01347" w:rsidRDefault="00C24245" w:rsidP="00C24245">
            <w:pPr>
              <w:pStyle w:val="texto0"/>
              <w:spacing w:line="226" w:lineRule="exact"/>
              <w:ind w:firstLine="0"/>
              <w:rPr>
                <w:rFonts w:ascii="Verdana" w:hAnsi="Verdana"/>
                <w:b/>
                <w:sz w:val="16"/>
                <w:szCs w:val="16"/>
              </w:rPr>
            </w:pPr>
            <w:r w:rsidRPr="00F01347">
              <w:rPr>
                <w:rFonts w:ascii="Verdana" w:hAnsi="Verdana"/>
                <w:b/>
                <w:sz w:val="16"/>
                <w:szCs w:val="16"/>
              </w:rPr>
              <w:lastRenderedPageBreak/>
              <w:t>B.4.1.7.2 Interferencias</w:t>
            </w:r>
          </w:p>
        </w:tc>
        <w:tc>
          <w:tcPr>
            <w:tcW w:w="4675" w:type="dxa"/>
          </w:tcPr>
          <w:p w14:paraId="2D5C57F3" w14:textId="656B618B" w:rsidR="00C24245" w:rsidRPr="00F01347" w:rsidRDefault="00C24245" w:rsidP="00C24245">
            <w:pPr>
              <w:pStyle w:val="texto0"/>
              <w:spacing w:line="226" w:lineRule="exact"/>
              <w:ind w:firstLine="0"/>
              <w:rPr>
                <w:rFonts w:ascii="Verdana" w:hAnsi="Verdana"/>
                <w:b/>
                <w:sz w:val="16"/>
                <w:szCs w:val="16"/>
                <w:lang w:val="en-US"/>
              </w:rPr>
            </w:pPr>
            <w:r w:rsidRPr="00F01347">
              <w:rPr>
                <w:rFonts w:ascii="Verdana" w:hAnsi="Verdana"/>
                <w:b/>
                <w:sz w:val="16"/>
                <w:szCs w:val="16"/>
                <w:lang w:val="en-US"/>
              </w:rPr>
              <w:t>B.4.1.7.2 Interferences</w:t>
            </w:r>
          </w:p>
        </w:tc>
      </w:tr>
      <w:tr w:rsidR="00C24245" w:rsidRPr="00F01347" w14:paraId="174A109D" w14:textId="312D1A79" w:rsidTr="004A1A9F">
        <w:tc>
          <w:tcPr>
            <w:tcW w:w="4675" w:type="dxa"/>
          </w:tcPr>
          <w:p w14:paraId="793C3F01" w14:textId="77777777" w:rsidR="00C24245" w:rsidRPr="00F01347" w:rsidRDefault="00C24245" w:rsidP="00C24245">
            <w:pPr>
              <w:pStyle w:val="texto0"/>
              <w:spacing w:line="226" w:lineRule="exact"/>
              <w:ind w:firstLine="0"/>
              <w:rPr>
                <w:rFonts w:ascii="Verdana" w:hAnsi="Verdana"/>
                <w:sz w:val="16"/>
                <w:szCs w:val="16"/>
              </w:rPr>
            </w:pPr>
            <w:r w:rsidRPr="00F01347">
              <w:rPr>
                <w:rFonts w:ascii="Verdana" w:hAnsi="Verdana"/>
                <w:sz w:val="16"/>
                <w:szCs w:val="16"/>
              </w:rPr>
              <w:t xml:space="preserve">Altas concentraciones de cloruro pueden causar resultados bajos debido a que la volatilidad de muchos elementos se incrementa y el analito se pierde durante el proceso de pirolisis. Los efectos de matriz pueden disminuirse </w:t>
            </w:r>
            <w:proofErr w:type="gramStart"/>
            <w:r w:rsidRPr="00F01347">
              <w:rPr>
                <w:rFonts w:ascii="Verdana" w:hAnsi="Verdana"/>
                <w:sz w:val="16"/>
                <w:szCs w:val="16"/>
              </w:rPr>
              <w:t>parcialmente o completamente</w:t>
            </w:r>
            <w:proofErr w:type="gramEnd"/>
            <w:r w:rsidRPr="00F01347">
              <w:rPr>
                <w:rFonts w:ascii="Verdana" w:hAnsi="Verdana"/>
                <w:sz w:val="16"/>
                <w:szCs w:val="16"/>
              </w:rPr>
              <w:t xml:space="preserve"> con la optimización del programa de temperatura, del uso de tubos recubiertos </w:t>
            </w:r>
            <w:proofErr w:type="spellStart"/>
            <w:r w:rsidRPr="00F01347">
              <w:rPr>
                <w:rFonts w:ascii="Verdana" w:hAnsi="Verdana"/>
                <w:sz w:val="16"/>
                <w:szCs w:val="16"/>
              </w:rPr>
              <w:t>pirolíticamente</w:t>
            </w:r>
            <w:proofErr w:type="spellEnd"/>
            <w:r w:rsidRPr="00F01347">
              <w:rPr>
                <w:rFonts w:ascii="Verdana" w:hAnsi="Verdana"/>
                <w:sz w:val="16"/>
                <w:szCs w:val="16"/>
              </w:rPr>
              <w:t xml:space="preserve"> y plataformas, con el uso de modificadores químicos como el nitrato de magnesio o el fosfato de amonio, la técnica de adición de estándar y con el uso del corrector de fondo.</w:t>
            </w:r>
          </w:p>
        </w:tc>
        <w:tc>
          <w:tcPr>
            <w:tcW w:w="4675" w:type="dxa"/>
          </w:tcPr>
          <w:p w14:paraId="2A5D62B5" w14:textId="6389FAC5" w:rsidR="00C24245" w:rsidRPr="00F01347" w:rsidRDefault="00C24245" w:rsidP="00C24245">
            <w:pPr>
              <w:pStyle w:val="texto0"/>
              <w:spacing w:line="226" w:lineRule="exact"/>
              <w:ind w:firstLine="0"/>
              <w:rPr>
                <w:rFonts w:ascii="Verdana" w:hAnsi="Verdana"/>
                <w:sz w:val="16"/>
                <w:szCs w:val="16"/>
                <w:lang w:val="en-US"/>
              </w:rPr>
            </w:pPr>
            <w:r w:rsidRPr="00F01347">
              <w:rPr>
                <w:rFonts w:ascii="Verdana" w:hAnsi="Verdana"/>
                <w:sz w:val="16"/>
                <w:szCs w:val="16"/>
                <w:lang w:val="en-US"/>
              </w:rPr>
              <w:t xml:space="preserve">High chloride concentrations can cause low results because the volatility of many elements is </w:t>
            </w:r>
            <w:proofErr w:type="gramStart"/>
            <w:r w:rsidRPr="00F01347">
              <w:rPr>
                <w:rFonts w:ascii="Verdana" w:hAnsi="Verdana"/>
                <w:sz w:val="16"/>
                <w:szCs w:val="16"/>
                <w:lang w:val="en-US"/>
              </w:rPr>
              <w:t>increased</w:t>
            </w:r>
            <w:proofErr w:type="gramEnd"/>
            <w:r w:rsidRPr="00F01347">
              <w:rPr>
                <w:rFonts w:ascii="Verdana" w:hAnsi="Verdana"/>
                <w:sz w:val="16"/>
                <w:szCs w:val="16"/>
                <w:lang w:val="en-US"/>
              </w:rPr>
              <w:t xml:space="preserve"> and the analyte is lost during the pyrolysis process. Matrix effects can be partially or completely diminished by optimization of the temperature program, the use of pyrolytically coated tubes and platforms, the use of chemical modifiers such as magnesium nitrate or ammonium phosphate, the standard addition technique and with the use of background concealer.</w:t>
            </w:r>
          </w:p>
        </w:tc>
      </w:tr>
      <w:tr w:rsidR="00C24245" w:rsidRPr="00F01347" w14:paraId="3E12DE51" w14:textId="4ECD6293" w:rsidTr="004A1A9F">
        <w:tc>
          <w:tcPr>
            <w:tcW w:w="4675" w:type="dxa"/>
          </w:tcPr>
          <w:p w14:paraId="0F6C0545" w14:textId="77777777" w:rsidR="00C24245" w:rsidRPr="00F01347" w:rsidRDefault="00C24245" w:rsidP="00C24245">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B.4.1.8 </w:t>
            </w:r>
            <w:proofErr w:type="spellStart"/>
            <w:r w:rsidRPr="00F01347">
              <w:rPr>
                <w:rFonts w:ascii="Verdana" w:hAnsi="Verdana"/>
                <w:b/>
                <w:sz w:val="16"/>
                <w:szCs w:val="16"/>
                <w:lang w:val="en-US"/>
              </w:rPr>
              <w:t>Referencias</w:t>
            </w:r>
            <w:proofErr w:type="spellEnd"/>
          </w:p>
        </w:tc>
        <w:tc>
          <w:tcPr>
            <w:tcW w:w="4675" w:type="dxa"/>
          </w:tcPr>
          <w:p w14:paraId="384B83A2" w14:textId="3F663946" w:rsidR="00C24245" w:rsidRPr="00F01347" w:rsidRDefault="00C24245" w:rsidP="00C24245">
            <w:pPr>
              <w:pStyle w:val="texto0"/>
              <w:spacing w:line="226" w:lineRule="exact"/>
              <w:ind w:firstLine="0"/>
              <w:rPr>
                <w:rFonts w:ascii="Verdana" w:hAnsi="Verdana"/>
                <w:b/>
                <w:sz w:val="16"/>
                <w:szCs w:val="16"/>
                <w:lang w:val="en-US"/>
              </w:rPr>
            </w:pPr>
            <w:r w:rsidRPr="00F01347">
              <w:rPr>
                <w:rFonts w:ascii="Verdana" w:hAnsi="Verdana"/>
                <w:b/>
                <w:sz w:val="16"/>
                <w:szCs w:val="16"/>
                <w:lang w:val="en-US"/>
              </w:rPr>
              <w:t>B.4.1.8 References</w:t>
            </w:r>
          </w:p>
        </w:tc>
      </w:tr>
      <w:tr w:rsidR="00C24245" w:rsidRPr="00F01347" w14:paraId="729AD9F6" w14:textId="556C2A85" w:rsidTr="004A1A9F">
        <w:tc>
          <w:tcPr>
            <w:tcW w:w="4675" w:type="dxa"/>
          </w:tcPr>
          <w:p w14:paraId="74E79061" w14:textId="77777777" w:rsidR="00C24245" w:rsidRPr="00F01347" w:rsidRDefault="00C24245" w:rsidP="00C24245">
            <w:pPr>
              <w:pStyle w:val="texto0"/>
              <w:spacing w:line="226" w:lineRule="exact"/>
              <w:ind w:firstLine="0"/>
              <w:rPr>
                <w:rFonts w:ascii="Verdana" w:hAnsi="Verdana"/>
                <w:sz w:val="16"/>
                <w:szCs w:val="16"/>
              </w:rPr>
            </w:pPr>
            <w:r w:rsidRPr="00F01347">
              <w:rPr>
                <w:rFonts w:ascii="Verdana" w:hAnsi="Verdana"/>
                <w:sz w:val="16"/>
                <w:szCs w:val="16"/>
                <w:lang w:val="en-US"/>
              </w:rPr>
              <w:t xml:space="preserve">International Organization for Standardization. 2003. Water quality- Determination of trace elements using atomic absorption spectrometry with graphite furnace. </w:t>
            </w:r>
            <w:r w:rsidRPr="00F01347">
              <w:rPr>
                <w:rFonts w:ascii="Verdana" w:hAnsi="Verdana"/>
                <w:sz w:val="16"/>
                <w:szCs w:val="16"/>
              </w:rPr>
              <w:t>ISO15586:2003(E).</w:t>
            </w:r>
          </w:p>
        </w:tc>
        <w:tc>
          <w:tcPr>
            <w:tcW w:w="4675" w:type="dxa"/>
          </w:tcPr>
          <w:p w14:paraId="31A817A5" w14:textId="4FB006E0" w:rsidR="00C24245" w:rsidRPr="00F01347" w:rsidRDefault="00C24245" w:rsidP="00C24245">
            <w:pPr>
              <w:pStyle w:val="texto0"/>
              <w:spacing w:line="226" w:lineRule="exact"/>
              <w:ind w:firstLine="0"/>
              <w:rPr>
                <w:rFonts w:ascii="Verdana" w:hAnsi="Verdana"/>
                <w:sz w:val="16"/>
                <w:szCs w:val="16"/>
                <w:lang w:val="en-US"/>
              </w:rPr>
            </w:pPr>
            <w:r w:rsidRPr="00F01347">
              <w:rPr>
                <w:rFonts w:ascii="Verdana" w:hAnsi="Verdana"/>
                <w:sz w:val="16"/>
                <w:szCs w:val="16"/>
                <w:lang w:val="en-US"/>
              </w:rPr>
              <w:t>International Organization for Standardization. 2003. Water quality- Determination of trace elements using atomic absorption spectrometry with graphite furnace. ISO15586:2003(E).</w:t>
            </w:r>
          </w:p>
        </w:tc>
      </w:tr>
      <w:tr w:rsidR="00C24245" w:rsidRPr="00F01347" w14:paraId="183358A6" w14:textId="270512E2" w:rsidTr="004A1A9F">
        <w:tc>
          <w:tcPr>
            <w:tcW w:w="4675" w:type="dxa"/>
          </w:tcPr>
          <w:p w14:paraId="39A8B4F8" w14:textId="77777777" w:rsidR="00C24245" w:rsidRPr="00F01347" w:rsidRDefault="00C24245" w:rsidP="00C24245">
            <w:pPr>
              <w:pStyle w:val="texto0"/>
              <w:spacing w:line="226" w:lineRule="exact"/>
              <w:ind w:firstLine="0"/>
              <w:jc w:val="center"/>
              <w:rPr>
                <w:rFonts w:ascii="Verdana" w:hAnsi="Verdana"/>
                <w:b/>
                <w:sz w:val="16"/>
                <w:szCs w:val="16"/>
              </w:rPr>
            </w:pPr>
            <w:r w:rsidRPr="00F01347">
              <w:rPr>
                <w:rFonts w:ascii="Verdana" w:hAnsi="Verdana"/>
                <w:b/>
                <w:sz w:val="16"/>
                <w:szCs w:val="16"/>
              </w:rPr>
              <w:t>B.4.2 MÉTODO DE PRUEBA PARA LA DETERMINACIÓN DE ALUMINIO, ANTIMONIO, ARSÉNICO, BARIO, CADMIO, COBRE, CROMO, FIERRO, MANGANESO, NÍQUEL, PLATA, PLOMO Y SELENIO</w:t>
            </w:r>
            <w:r w:rsidRPr="00F01347">
              <w:rPr>
                <w:rFonts w:ascii="Verdana" w:hAnsi="Verdana"/>
                <w:sz w:val="16"/>
                <w:szCs w:val="16"/>
              </w:rPr>
              <w:t xml:space="preserve"> </w:t>
            </w:r>
            <w:r w:rsidRPr="00F01347">
              <w:rPr>
                <w:rFonts w:ascii="Verdana" w:hAnsi="Verdana"/>
                <w:b/>
                <w:sz w:val="16"/>
                <w:szCs w:val="16"/>
              </w:rPr>
              <w:t>POR ESPECTROMETRÍA DE EMISIÓN ÓPTICA DE PLASMA ACOPLADO INDUCTIVAMENTE (ICP-OES).</w:t>
            </w:r>
          </w:p>
        </w:tc>
        <w:tc>
          <w:tcPr>
            <w:tcW w:w="4675" w:type="dxa"/>
          </w:tcPr>
          <w:p w14:paraId="08B21FC7" w14:textId="2F048E0D" w:rsidR="00C24245" w:rsidRPr="00F01347" w:rsidRDefault="00C24245" w:rsidP="00C24245">
            <w:pPr>
              <w:pStyle w:val="texto0"/>
              <w:spacing w:line="226" w:lineRule="exact"/>
              <w:ind w:firstLine="0"/>
              <w:jc w:val="center"/>
              <w:rPr>
                <w:rFonts w:ascii="Verdana" w:hAnsi="Verdana"/>
                <w:b/>
                <w:sz w:val="16"/>
                <w:szCs w:val="16"/>
                <w:lang w:val="en-US"/>
              </w:rPr>
            </w:pPr>
            <w:r w:rsidRPr="00F01347">
              <w:rPr>
                <w:rFonts w:ascii="Verdana" w:hAnsi="Verdana"/>
                <w:b/>
                <w:sz w:val="16"/>
                <w:szCs w:val="16"/>
                <w:lang w:val="en-US"/>
              </w:rPr>
              <w:t>B.4.2 TEST METHOD FOR THE DETERMINATION OF ALUMINUM, ANTIMONY, ARSENIC, BARIUM, CADMIUM, COPPER, CHROMIUM, IRON, MANGANESE, NICKEL, SILVER, LEAD AND SELENIUM</w:t>
            </w:r>
            <w:r w:rsidRPr="00F01347">
              <w:rPr>
                <w:rFonts w:ascii="Verdana" w:hAnsi="Verdana"/>
                <w:sz w:val="16"/>
                <w:szCs w:val="16"/>
                <w:lang w:val="en-US"/>
              </w:rPr>
              <w:t xml:space="preserve"> </w:t>
            </w:r>
            <w:r w:rsidRPr="00F01347">
              <w:rPr>
                <w:rFonts w:ascii="Verdana" w:hAnsi="Verdana"/>
                <w:b/>
                <w:sz w:val="16"/>
                <w:szCs w:val="16"/>
                <w:lang w:val="en-US"/>
              </w:rPr>
              <w:t>BY INDUCTIVELY COUPLED PLASMA OPTICAL EMISSION SPECTROMETRY (ICP-OES).</w:t>
            </w:r>
          </w:p>
        </w:tc>
      </w:tr>
      <w:tr w:rsidR="00C24245" w:rsidRPr="00F01347" w14:paraId="202138D5" w14:textId="0AE0F0D9" w:rsidTr="004A1A9F">
        <w:tc>
          <w:tcPr>
            <w:tcW w:w="4675" w:type="dxa"/>
          </w:tcPr>
          <w:p w14:paraId="04DCA7E2" w14:textId="77777777" w:rsidR="00C24245" w:rsidRPr="00F01347" w:rsidRDefault="00C24245" w:rsidP="00C24245">
            <w:pPr>
              <w:pStyle w:val="texto0"/>
              <w:spacing w:line="226" w:lineRule="exact"/>
              <w:ind w:firstLine="0"/>
              <w:rPr>
                <w:rFonts w:ascii="Verdana" w:hAnsi="Verdana"/>
                <w:b/>
                <w:sz w:val="16"/>
                <w:szCs w:val="16"/>
              </w:rPr>
            </w:pPr>
            <w:r w:rsidRPr="00F01347">
              <w:rPr>
                <w:rFonts w:ascii="Verdana" w:hAnsi="Verdana"/>
                <w:b/>
                <w:sz w:val="16"/>
                <w:szCs w:val="16"/>
              </w:rPr>
              <w:t>B.4.2.1 Símbolos y términos abreviados</w:t>
            </w:r>
          </w:p>
        </w:tc>
        <w:tc>
          <w:tcPr>
            <w:tcW w:w="4675" w:type="dxa"/>
          </w:tcPr>
          <w:p w14:paraId="72847B30" w14:textId="5CCA57EC" w:rsidR="00C24245" w:rsidRPr="00F01347" w:rsidRDefault="00C24245" w:rsidP="00C24245">
            <w:pPr>
              <w:pStyle w:val="texto0"/>
              <w:spacing w:line="226" w:lineRule="exact"/>
              <w:ind w:firstLine="0"/>
              <w:rPr>
                <w:rFonts w:ascii="Verdana" w:hAnsi="Verdana"/>
                <w:b/>
                <w:sz w:val="16"/>
                <w:szCs w:val="16"/>
                <w:lang w:val="en-US"/>
              </w:rPr>
            </w:pPr>
            <w:r w:rsidRPr="00F01347">
              <w:rPr>
                <w:rFonts w:ascii="Verdana" w:hAnsi="Verdana"/>
                <w:b/>
                <w:sz w:val="16"/>
                <w:szCs w:val="16"/>
                <w:lang w:val="en-US"/>
              </w:rPr>
              <w:t>B.4.2.1 Symbols and abbreviated terms</w:t>
            </w:r>
          </w:p>
        </w:tc>
      </w:tr>
    </w:tbl>
    <w:p w14:paraId="727338F9" w14:textId="77777777" w:rsidR="00204B58" w:rsidRPr="00F01347" w:rsidRDefault="00204B58" w:rsidP="003A601B">
      <w:pPr>
        <w:pStyle w:val="texto0"/>
        <w:spacing w:line="226" w:lineRule="exact"/>
        <w:ind w:left="1296" w:hanging="1008"/>
        <w:rPr>
          <w:rFonts w:ascii="Verdana" w:hAnsi="Verdana"/>
          <w:sz w:val="16"/>
          <w:szCs w:val="16"/>
          <w:lang w:val="en-US"/>
        </w:rPr>
      </w:pPr>
    </w:p>
    <w:p w14:paraId="28C03148" w14:textId="77777777" w:rsidR="00204B58" w:rsidRPr="00F01347" w:rsidRDefault="00204B58" w:rsidP="003A601B">
      <w:pPr>
        <w:pStyle w:val="texto0"/>
        <w:spacing w:line="226" w:lineRule="exact"/>
        <w:ind w:left="1296" w:hanging="1008"/>
        <w:rPr>
          <w:rFonts w:ascii="Verdana" w:hAnsi="Verdana"/>
          <w:sz w:val="16"/>
          <w:szCs w:val="16"/>
          <w:lang w:val="en-US"/>
        </w:rPr>
      </w:pPr>
    </w:p>
    <w:tbl>
      <w:tblPr>
        <w:tblStyle w:val="TableGrid"/>
        <w:tblW w:w="5000" w:type="pct"/>
        <w:tblLook w:val="04A0" w:firstRow="1" w:lastRow="0" w:firstColumn="1" w:lastColumn="0" w:noHBand="0" w:noVBand="1"/>
      </w:tblPr>
      <w:tblGrid>
        <w:gridCol w:w="895"/>
        <w:gridCol w:w="4227"/>
        <w:gridCol w:w="4228"/>
      </w:tblGrid>
      <w:tr w:rsidR="00403A8E" w:rsidRPr="00F01347" w14:paraId="491FC012" w14:textId="2F13F186" w:rsidTr="00D5123D">
        <w:tc>
          <w:tcPr>
            <w:tcW w:w="895" w:type="dxa"/>
          </w:tcPr>
          <w:p w14:paraId="355E45B1"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 xml:space="preserve">Al </w:t>
            </w:r>
          </w:p>
        </w:tc>
        <w:tc>
          <w:tcPr>
            <w:tcW w:w="4227" w:type="dxa"/>
          </w:tcPr>
          <w:p w14:paraId="7CA460BA"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aluminio</w:t>
            </w:r>
          </w:p>
        </w:tc>
        <w:tc>
          <w:tcPr>
            <w:tcW w:w="4228" w:type="dxa"/>
          </w:tcPr>
          <w:p w14:paraId="2B25778D" w14:textId="42E4C018"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aluminum</w:t>
            </w:r>
          </w:p>
        </w:tc>
      </w:tr>
      <w:tr w:rsidR="00403A8E" w:rsidRPr="00F01347" w14:paraId="6548552B" w14:textId="523AF273" w:rsidTr="00D5123D">
        <w:tc>
          <w:tcPr>
            <w:tcW w:w="895" w:type="dxa"/>
          </w:tcPr>
          <w:p w14:paraId="62186028"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Ag</w:t>
            </w:r>
          </w:p>
        </w:tc>
        <w:tc>
          <w:tcPr>
            <w:tcW w:w="4227" w:type="dxa"/>
          </w:tcPr>
          <w:p w14:paraId="5C2DD4C4"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plata</w:t>
            </w:r>
          </w:p>
        </w:tc>
        <w:tc>
          <w:tcPr>
            <w:tcW w:w="4228" w:type="dxa"/>
          </w:tcPr>
          <w:p w14:paraId="3A7412B9" w14:textId="5CAA3854"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silver</w:t>
            </w:r>
          </w:p>
        </w:tc>
      </w:tr>
      <w:tr w:rsidR="00403A8E" w:rsidRPr="00F01347" w14:paraId="3A54E61B" w14:textId="7A628D63" w:rsidTr="00D5123D">
        <w:tc>
          <w:tcPr>
            <w:tcW w:w="895" w:type="dxa"/>
          </w:tcPr>
          <w:p w14:paraId="22F83707"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As</w:t>
            </w:r>
          </w:p>
        </w:tc>
        <w:tc>
          <w:tcPr>
            <w:tcW w:w="4227" w:type="dxa"/>
          </w:tcPr>
          <w:p w14:paraId="2763CA4E"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arsénico</w:t>
            </w:r>
          </w:p>
        </w:tc>
        <w:tc>
          <w:tcPr>
            <w:tcW w:w="4228" w:type="dxa"/>
          </w:tcPr>
          <w:p w14:paraId="31D717C9" w14:textId="093FD6AB"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arsenic</w:t>
            </w:r>
          </w:p>
        </w:tc>
      </w:tr>
      <w:tr w:rsidR="00403A8E" w:rsidRPr="00F01347" w14:paraId="0C4AA00F" w14:textId="2F7FFA8A" w:rsidTr="00D5123D">
        <w:tc>
          <w:tcPr>
            <w:tcW w:w="895" w:type="dxa"/>
          </w:tcPr>
          <w:p w14:paraId="660C767E"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Ba</w:t>
            </w:r>
          </w:p>
        </w:tc>
        <w:tc>
          <w:tcPr>
            <w:tcW w:w="4227" w:type="dxa"/>
          </w:tcPr>
          <w:p w14:paraId="072AB411"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bario</w:t>
            </w:r>
          </w:p>
        </w:tc>
        <w:tc>
          <w:tcPr>
            <w:tcW w:w="4228" w:type="dxa"/>
          </w:tcPr>
          <w:p w14:paraId="5BBB5DB8" w14:textId="711B2407"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barium</w:t>
            </w:r>
          </w:p>
        </w:tc>
      </w:tr>
      <w:tr w:rsidR="00403A8E" w:rsidRPr="00F01347" w14:paraId="7BD2DC20" w14:textId="78432F99" w:rsidTr="00D5123D">
        <w:tc>
          <w:tcPr>
            <w:tcW w:w="895" w:type="dxa"/>
          </w:tcPr>
          <w:p w14:paraId="25EB158D"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 xml:space="preserve">CCB </w:t>
            </w:r>
          </w:p>
        </w:tc>
        <w:tc>
          <w:tcPr>
            <w:tcW w:w="4227" w:type="dxa"/>
          </w:tcPr>
          <w:p w14:paraId="46A67B3E"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Al blanco de calibración continúa.</w:t>
            </w:r>
          </w:p>
        </w:tc>
        <w:tc>
          <w:tcPr>
            <w:tcW w:w="4228" w:type="dxa"/>
          </w:tcPr>
          <w:p w14:paraId="4486026F" w14:textId="28C937A8"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 xml:space="preserve">To the calibration </w:t>
            </w:r>
            <w:r w:rsidR="00C50A8A" w:rsidRPr="00F01347">
              <w:rPr>
                <w:rFonts w:ascii="Verdana" w:hAnsi="Verdana"/>
                <w:sz w:val="16"/>
                <w:szCs w:val="16"/>
                <w:lang w:val="en-US"/>
              </w:rPr>
              <w:t>blank</w:t>
            </w:r>
            <w:r w:rsidRPr="00F01347">
              <w:rPr>
                <w:rFonts w:ascii="Verdana" w:hAnsi="Verdana"/>
                <w:sz w:val="16"/>
                <w:szCs w:val="16"/>
                <w:lang w:val="en-US"/>
              </w:rPr>
              <w:t xml:space="preserve"> continues.</w:t>
            </w:r>
          </w:p>
        </w:tc>
      </w:tr>
      <w:tr w:rsidR="00403A8E" w:rsidRPr="00F01347" w14:paraId="09F68C04" w14:textId="25E895E1" w:rsidTr="00D5123D">
        <w:tc>
          <w:tcPr>
            <w:tcW w:w="895" w:type="dxa"/>
          </w:tcPr>
          <w:p w14:paraId="6353B953"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CCC</w:t>
            </w:r>
          </w:p>
        </w:tc>
        <w:tc>
          <w:tcPr>
            <w:tcW w:w="4227" w:type="dxa"/>
          </w:tcPr>
          <w:p w14:paraId="1DF98F2E"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A la disolución estándar de verificación de calibración continua, preparada en la misma matriz ácida con la que se prepara el CVI en o cerca del nivel medio de la curva de calibración, la cual se utiliza para verificar la curva de calibración al final de cada lote de análisis y después de cada 10 muestras.</w:t>
            </w:r>
          </w:p>
        </w:tc>
        <w:tc>
          <w:tcPr>
            <w:tcW w:w="4228" w:type="dxa"/>
          </w:tcPr>
          <w:p w14:paraId="66CAA41D" w14:textId="35E4141B"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To the continuous calibration verification standard solution, prepared in the same acid matrix with which the CVI is prepared at or near the middle level of the calibration curve, which is used to verify the calibration curve at the end of each batch analysis and after every 10 samples.</w:t>
            </w:r>
          </w:p>
        </w:tc>
      </w:tr>
      <w:tr w:rsidR="00403A8E" w:rsidRPr="00F01347" w14:paraId="4192E5C5" w14:textId="5719E15B" w:rsidTr="00D5123D">
        <w:tc>
          <w:tcPr>
            <w:tcW w:w="895" w:type="dxa"/>
          </w:tcPr>
          <w:p w14:paraId="526620B0"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Cd</w:t>
            </w:r>
          </w:p>
        </w:tc>
        <w:tc>
          <w:tcPr>
            <w:tcW w:w="4227" w:type="dxa"/>
          </w:tcPr>
          <w:p w14:paraId="3300D25C"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cadmio</w:t>
            </w:r>
          </w:p>
        </w:tc>
        <w:tc>
          <w:tcPr>
            <w:tcW w:w="4228" w:type="dxa"/>
          </w:tcPr>
          <w:p w14:paraId="16E74750" w14:textId="09E42D79"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cadmium</w:t>
            </w:r>
          </w:p>
        </w:tc>
      </w:tr>
      <w:tr w:rsidR="00403A8E" w:rsidRPr="00F01347" w14:paraId="4FD1E1A2" w14:textId="3CDB2163" w:rsidTr="00D5123D">
        <w:tc>
          <w:tcPr>
            <w:tcW w:w="895" w:type="dxa"/>
          </w:tcPr>
          <w:p w14:paraId="3B8581F2"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Cr</w:t>
            </w:r>
          </w:p>
        </w:tc>
        <w:tc>
          <w:tcPr>
            <w:tcW w:w="4227" w:type="dxa"/>
          </w:tcPr>
          <w:p w14:paraId="0BD6F06B"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cromo</w:t>
            </w:r>
          </w:p>
        </w:tc>
        <w:tc>
          <w:tcPr>
            <w:tcW w:w="4228" w:type="dxa"/>
          </w:tcPr>
          <w:p w14:paraId="3D9CB486" w14:textId="11B13062"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chrome</w:t>
            </w:r>
          </w:p>
        </w:tc>
      </w:tr>
      <w:tr w:rsidR="00403A8E" w:rsidRPr="00F01347" w14:paraId="07A69459" w14:textId="5ABBD082" w:rsidTr="00D5123D">
        <w:tc>
          <w:tcPr>
            <w:tcW w:w="895" w:type="dxa"/>
          </w:tcPr>
          <w:p w14:paraId="41C9D67F"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CVI</w:t>
            </w:r>
          </w:p>
        </w:tc>
        <w:tc>
          <w:tcPr>
            <w:tcW w:w="4227" w:type="dxa"/>
          </w:tcPr>
          <w:p w14:paraId="7736AD63"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 xml:space="preserve">A la disolución preparada en la misma matriz ácida con la que se preparan las disoluciones estándares </w:t>
            </w:r>
            <w:r w:rsidRPr="00F01347">
              <w:rPr>
                <w:rFonts w:ascii="Verdana" w:hAnsi="Verdana"/>
                <w:sz w:val="16"/>
                <w:szCs w:val="16"/>
              </w:rPr>
              <w:lastRenderedPageBreak/>
              <w:t>de calibración. Esta disolución debe ser un estándar independiente cuya concentración debe estar cercana al punto medio del intervalo lineal a una concentración distinta de la utilizada para la calibración del instrumento.</w:t>
            </w:r>
          </w:p>
        </w:tc>
        <w:tc>
          <w:tcPr>
            <w:tcW w:w="4228" w:type="dxa"/>
          </w:tcPr>
          <w:p w14:paraId="723AEBE2" w14:textId="5599E6A2"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lastRenderedPageBreak/>
              <w:t xml:space="preserve">To the solution prepared in the same acid matrix with which the calibration standard solutions are </w:t>
            </w:r>
            <w:r w:rsidRPr="00F01347">
              <w:rPr>
                <w:rFonts w:ascii="Verdana" w:hAnsi="Verdana"/>
                <w:sz w:val="16"/>
                <w:szCs w:val="16"/>
                <w:lang w:val="en-US"/>
              </w:rPr>
              <w:lastRenderedPageBreak/>
              <w:t>prepared. This solution must be an independent standard whose concentration must be close to the midpoint of the linear range at a concentration different from that used for instrument calibration.</w:t>
            </w:r>
          </w:p>
        </w:tc>
      </w:tr>
      <w:tr w:rsidR="00403A8E" w:rsidRPr="00F01347" w14:paraId="6B4780BD" w14:textId="596F5F41" w:rsidTr="00D5123D">
        <w:tc>
          <w:tcPr>
            <w:tcW w:w="895" w:type="dxa"/>
          </w:tcPr>
          <w:p w14:paraId="1C95C4AB"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lastRenderedPageBreak/>
              <w:t>Fe</w:t>
            </w:r>
          </w:p>
        </w:tc>
        <w:tc>
          <w:tcPr>
            <w:tcW w:w="4227" w:type="dxa"/>
          </w:tcPr>
          <w:p w14:paraId="38A69FA6"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fierro</w:t>
            </w:r>
          </w:p>
        </w:tc>
        <w:tc>
          <w:tcPr>
            <w:tcW w:w="4228" w:type="dxa"/>
          </w:tcPr>
          <w:p w14:paraId="20A6210C" w14:textId="0C31B630"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iron</w:t>
            </w:r>
          </w:p>
        </w:tc>
      </w:tr>
      <w:tr w:rsidR="00403A8E" w:rsidRPr="00F01347" w14:paraId="482B5ECC" w14:textId="1DEDF1B6" w:rsidTr="00D5123D">
        <w:tc>
          <w:tcPr>
            <w:tcW w:w="895" w:type="dxa"/>
          </w:tcPr>
          <w:p w14:paraId="3122BFE8"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FEP</w:t>
            </w:r>
          </w:p>
        </w:tc>
        <w:tc>
          <w:tcPr>
            <w:tcW w:w="4227" w:type="dxa"/>
          </w:tcPr>
          <w:p w14:paraId="1D28FAD4" w14:textId="77777777" w:rsidR="00403A8E" w:rsidRPr="00F01347" w:rsidRDefault="00403A8E" w:rsidP="00403A8E">
            <w:pPr>
              <w:pStyle w:val="texto0"/>
              <w:spacing w:line="226" w:lineRule="exact"/>
              <w:ind w:firstLine="0"/>
              <w:rPr>
                <w:rFonts w:ascii="Verdana" w:hAnsi="Verdana"/>
                <w:sz w:val="16"/>
                <w:szCs w:val="16"/>
              </w:rPr>
            </w:pPr>
            <w:proofErr w:type="spellStart"/>
            <w:r w:rsidRPr="00F01347">
              <w:rPr>
                <w:rFonts w:ascii="Verdana" w:hAnsi="Verdana"/>
                <w:sz w:val="16"/>
                <w:szCs w:val="16"/>
              </w:rPr>
              <w:t>fluorocarbono</w:t>
            </w:r>
            <w:proofErr w:type="spellEnd"/>
          </w:p>
        </w:tc>
        <w:tc>
          <w:tcPr>
            <w:tcW w:w="4228" w:type="dxa"/>
          </w:tcPr>
          <w:p w14:paraId="4C5E9BE0" w14:textId="6A27010A"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fluorocarbon</w:t>
            </w:r>
          </w:p>
        </w:tc>
      </w:tr>
      <w:tr w:rsidR="00403A8E" w:rsidRPr="00F01347" w14:paraId="5CDB0702" w14:textId="238E9297" w:rsidTr="00D5123D">
        <w:tc>
          <w:tcPr>
            <w:tcW w:w="895" w:type="dxa"/>
          </w:tcPr>
          <w:p w14:paraId="42E09266"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HCl</w:t>
            </w:r>
          </w:p>
        </w:tc>
        <w:tc>
          <w:tcPr>
            <w:tcW w:w="4227" w:type="dxa"/>
          </w:tcPr>
          <w:p w14:paraId="3C5D282C"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ácido clorhídrico</w:t>
            </w:r>
          </w:p>
        </w:tc>
        <w:tc>
          <w:tcPr>
            <w:tcW w:w="4228" w:type="dxa"/>
          </w:tcPr>
          <w:p w14:paraId="2F9A73D6" w14:textId="755FBFE9"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hydrochloric acid</w:t>
            </w:r>
          </w:p>
        </w:tc>
      </w:tr>
      <w:tr w:rsidR="00403A8E" w:rsidRPr="00F01347" w14:paraId="4B011868" w14:textId="4C806574" w:rsidTr="00D5123D">
        <w:tc>
          <w:tcPr>
            <w:tcW w:w="895" w:type="dxa"/>
          </w:tcPr>
          <w:p w14:paraId="59A8CE90"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ICP-OES</w:t>
            </w:r>
          </w:p>
        </w:tc>
        <w:tc>
          <w:tcPr>
            <w:tcW w:w="4227" w:type="dxa"/>
          </w:tcPr>
          <w:p w14:paraId="3C09474D"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Espectrometría de emisión óptica de plasma acoplado inductivamente</w:t>
            </w:r>
          </w:p>
        </w:tc>
        <w:tc>
          <w:tcPr>
            <w:tcW w:w="4228" w:type="dxa"/>
          </w:tcPr>
          <w:p w14:paraId="74C0F7FE" w14:textId="75524155"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Inductively Coupled Plasma Optical Emission Spectrometry</w:t>
            </w:r>
          </w:p>
        </w:tc>
      </w:tr>
      <w:tr w:rsidR="00403A8E" w:rsidRPr="00F01347" w14:paraId="3513F909" w14:textId="52CBE22E" w:rsidTr="00D5123D">
        <w:tc>
          <w:tcPr>
            <w:tcW w:w="895" w:type="dxa"/>
          </w:tcPr>
          <w:p w14:paraId="041239E8"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IEC</w:t>
            </w:r>
          </w:p>
        </w:tc>
        <w:tc>
          <w:tcPr>
            <w:tcW w:w="4227" w:type="dxa"/>
          </w:tcPr>
          <w:p w14:paraId="4A4430E1"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interferencias espectrales</w:t>
            </w:r>
          </w:p>
        </w:tc>
        <w:tc>
          <w:tcPr>
            <w:tcW w:w="4228" w:type="dxa"/>
          </w:tcPr>
          <w:p w14:paraId="72B0D9BF" w14:textId="6FA14519"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spectral interference</w:t>
            </w:r>
          </w:p>
        </w:tc>
      </w:tr>
      <w:tr w:rsidR="00403A8E" w:rsidRPr="00F01347" w14:paraId="45CD2C60" w14:textId="09D16158" w:rsidTr="00D5123D">
        <w:tc>
          <w:tcPr>
            <w:tcW w:w="895" w:type="dxa"/>
          </w:tcPr>
          <w:p w14:paraId="5A45AB2E"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LDI</w:t>
            </w:r>
          </w:p>
        </w:tc>
        <w:tc>
          <w:tcPr>
            <w:tcW w:w="4227" w:type="dxa"/>
          </w:tcPr>
          <w:p w14:paraId="3DC4E68B"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límites de detección del instrumental</w:t>
            </w:r>
          </w:p>
        </w:tc>
        <w:tc>
          <w:tcPr>
            <w:tcW w:w="4228" w:type="dxa"/>
          </w:tcPr>
          <w:p w14:paraId="40901E7F" w14:textId="18E4CD97"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instrument detection limits</w:t>
            </w:r>
          </w:p>
        </w:tc>
      </w:tr>
      <w:tr w:rsidR="00403A8E" w:rsidRPr="00F01347" w14:paraId="0EB5DE18" w14:textId="728CC8A0" w:rsidTr="00D5123D">
        <w:tc>
          <w:tcPr>
            <w:tcW w:w="895" w:type="dxa"/>
          </w:tcPr>
          <w:p w14:paraId="6B2C3C75"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 xml:space="preserve">LLCCV </w:t>
            </w:r>
          </w:p>
        </w:tc>
        <w:tc>
          <w:tcPr>
            <w:tcW w:w="4227" w:type="dxa"/>
          </w:tcPr>
          <w:p w14:paraId="1B184FB0"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A la disolución preparada en la misma matriz ácida con la que se prepara el CVI en el límite de cuantificación obtenido durante la validación, la cual se utiliza para verificar antes del análisis de las muestras cuando se realiza la curva de calibración inicial con un solo estándar de calibración y un blanco.</w:t>
            </w:r>
          </w:p>
        </w:tc>
        <w:tc>
          <w:tcPr>
            <w:tcW w:w="4228" w:type="dxa"/>
          </w:tcPr>
          <w:p w14:paraId="1DF9AA0C" w14:textId="1CAFD6ED"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To the solution prepared in the same acid matrix with which the CVI is prepared at the quantification limit obtained during the validation, which is used to verify before the analysis of the samples when the initial calibration curve is carried out with a single standard calibration and a blank.</w:t>
            </w:r>
          </w:p>
        </w:tc>
      </w:tr>
      <w:tr w:rsidR="00403A8E" w:rsidRPr="00F01347" w14:paraId="364DEBD2" w14:textId="5E5C1FE8" w:rsidTr="00D5123D">
        <w:tc>
          <w:tcPr>
            <w:tcW w:w="895" w:type="dxa"/>
          </w:tcPr>
          <w:p w14:paraId="7215F94F"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LMD</w:t>
            </w:r>
          </w:p>
        </w:tc>
        <w:tc>
          <w:tcPr>
            <w:tcW w:w="4227" w:type="dxa"/>
          </w:tcPr>
          <w:p w14:paraId="500A4D8D"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Límite de detección del método</w:t>
            </w:r>
          </w:p>
        </w:tc>
        <w:tc>
          <w:tcPr>
            <w:tcW w:w="4228" w:type="dxa"/>
          </w:tcPr>
          <w:p w14:paraId="0F40E8B1" w14:textId="20D4F700"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Method detection limit</w:t>
            </w:r>
          </w:p>
        </w:tc>
      </w:tr>
      <w:tr w:rsidR="00403A8E" w:rsidRPr="00F01347" w14:paraId="4AC5099C" w14:textId="1FFA7DB0" w:rsidTr="00D5123D">
        <w:tc>
          <w:tcPr>
            <w:tcW w:w="895" w:type="dxa"/>
          </w:tcPr>
          <w:p w14:paraId="665CA9B5"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Mn</w:t>
            </w:r>
          </w:p>
        </w:tc>
        <w:tc>
          <w:tcPr>
            <w:tcW w:w="4227" w:type="dxa"/>
          </w:tcPr>
          <w:p w14:paraId="0BE77D78"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manganeso</w:t>
            </w:r>
          </w:p>
        </w:tc>
        <w:tc>
          <w:tcPr>
            <w:tcW w:w="4228" w:type="dxa"/>
          </w:tcPr>
          <w:p w14:paraId="67B48A46" w14:textId="2514779E"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manganese</w:t>
            </w:r>
          </w:p>
        </w:tc>
      </w:tr>
      <w:tr w:rsidR="00403A8E" w:rsidRPr="00F01347" w14:paraId="79224CD1" w14:textId="436A6F2F" w:rsidTr="00D5123D">
        <w:tc>
          <w:tcPr>
            <w:tcW w:w="895" w:type="dxa"/>
          </w:tcPr>
          <w:p w14:paraId="040E752D"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Ni</w:t>
            </w:r>
          </w:p>
        </w:tc>
        <w:tc>
          <w:tcPr>
            <w:tcW w:w="4227" w:type="dxa"/>
          </w:tcPr>
          <w:p w14:paraId="39B1E81C"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níquel</w:t>
            </w:r>
          </w:p>
        </w:tc>
        <w:tc>
          <w:tcPr>
            <w:tcW w:w="4228" w:type="dxa"/>
          </w:tcPr>
          <w:p w14:paraId="65382A80" w14:textId="1D3DC038"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nickel</w:t>
            </w:r>
          </w:p>
        </w:tc>
      </w:tr>
      <w:tr w:rsidR="00403A8E" w:rsidRPr="00F01347" w14:paraId="2B5BE3F0" w14:textId="7B770EDF" w:rsidTr="00D5123D">
        <w:tc>
          <w:tcPr>
            <w:tcW w:w="895" w:type="dxa"/>
          </w:tcPr>
          <w:p w14:paraId="33E9D52E"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Pb</w:t>
            </w:r>
          </w:p>
        </w:tc>
        <w:tc>
          <w:tcPr>
            <w:tcW w:w="4227" w:type="dxa"/>
          </w:tcPr>
          <w:p w14:paraId="2CA404E1"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plomo</w:t>
            </w:r>
          </w:p>
        </w:tc>
        <w:tc>
          <w:tcPr>
            <w:tcW w:w="4228" w:type="dxa"/>
          </w:tcPr>
          <w:p w14:paraId="218283C4" w14:textId="6503D352"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lead</w:t>
            </w:r>
          </w:p>
        </w:tc>
      </w:tr>
      <w:tr w:rsidR="00403A8E" w:rsidRPr="00F01347" w14:paraId="53784C73" w14:textId="656ACA75" w:rsidTr="00D5123D">
        <w:tc>
          <w:tcPr>
            <w:tcW w:w="895" w:type="dxa"/>
          </w:tcPr>
          <w:p w14:paraId="7F442A80"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 xml:space="preserve">Sb </w:t>
            </w:r>
          </w:p>
        </w:tc>
        <w:tc>
          <w:tcPr>
            <w:tcW w:w="4227" w:type="dxa"/>
          </w:tcPr>
          <w:p w14:paraId="751F792B"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antimonio</w:t>
            </w:r>
          </w:p>
        </w:tc>
        <w:tc>
          <w:tcPr>
            <w:tcW w:w="4228" w:type="dxa"/>
          </w:tcPr>
          <w:p w14:paraId="4CE5D859" w14:textId="5ECEECB8"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antimony</w:t>
            </w:r>
          </w:p>
        </w:tc>
      </w:tr>
      <w:tr w:rsidR="00403A8E" w:rsidRPr="00F01347" w14:paraId="111D383E" w14:textId="3D2E7775" w:rsidTr="00D5123D">
        <w:tc>
          <w:tcPr>
            <w:tcW w:w="895" w:type="dxa"/>
          </w:tcPr>
          <w:p w14:paraId="4919ABEC"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Se</w:t>
            </w:r>
          </w:p>
        </w:tc>
        <w:tc>
          <w:tcPr>
            <w:tcW w:w="4227" w:type="dxa"/>
          </w:tcPr>
          <w:p w14:paraId="78E555E5"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selenio</w:t>
            </w:r>
          </w:p>
        </w:tc>
        <w:tc>
          <w:tcPr>
            <w:tcW w:w="4228" w:type="dxa"/>
          </w:tcPr>
          <w:p w14:paraId="3AA9A210" w14:textId="435C3951"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selenium</w:t>
            </w:r>
          </w:p>
        </w:tc>
      </w:tr>
      <w:tr w:rsidR="00403A8E" w:rsidRPr="00F01347" w14:paraId="2FE3F948" w14:textId="1DB9CB18" w:rsidTr="00D5123D">
        <w:tc>
          <w:tcPr>
            <w:tcW w:w="895" w:type="dxa"/>
          </w:tcPr>
          <w:p w14:paraId="2903545A"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Y</w:t>
            </w:r>
          </w:p>
        </w:tc>
        <w:tc>
          <w:tcPr>
            <w:tcW w:w="4227" w:type="dxa"/>
          </w:tcPr>
          <w:p w14:paraId="7FC7D283"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itrio</w:t>
            </w:r>
          </w:p>
        </w:tc>
        <w:tc>
          <w:tcPr>
            <w:tcW w:w="4228" w:type="dxa"/>
          </w:tcPr>
          <w:p w14:paraId="7BB12BC9" w14:textId="440FB689"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yttrium</w:t>
            </w:r>
          </w:p>
        </w:tc>
      </w:tr>
      <w:tr w:rsidR="00403A8E" w:rsidRPr="00F01347" w14:paraId="72173CF3" w14:textId="3E46ABA7" w:rsidTr="00D5123D">
        <w:tc>
          <w:tcPr>
            <w:tcW w:w="895" w:type="dxa"/>
          </w:tcPr>
          <w:p w14:paraId="57DF0537"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 xml:space="preserve">%DER </w:t>
            </w:r>
          </w:p>
        </w:tc>
        <w:tc>
          <w:tcPr>
            <w:tcW w:w="4227" w:type="dxa"/>
          </w:tcPr>
          <w:p w14:paraId="21D7E274" w14:textId="77777777" w:rsidR="00403A8E" w:rsidRPr="00F01347" w:rsidRDefault="00403A8E" w:rsidP="00403A8E">
            <w:pPr>
              <w:pStyle w:val="texto0"/>
              <w:spacing w:line="226" w:lineRule="exact"/>
              <w:ind w:firstLine="0"/>
              <w:rPr>
                <w:rFonts w:ascii="Verdana" w:hAnsi="Verdana"/>
                <w:sz w:val="16"/>
                <w:szCs w:val="16"/>
              </w:rPr>
            </w:pPr>
            <w:r w:rsidRPr="00F01347">
              <w:rPr>
                <w:rFonts w:ascii="Verdana" w:hAnsi="Verdana"/>
                <w:sz w:val="16"/>
                <w:szCs w:val="16"/>
              </w:rPr>
              <w:t>por ciento de desviación estándar relativa.</w:t>
            </w:r>
          </w:p>
        </w:tc>
        <w:tc>
          <w:tcPr>
            <w:tcW w:w="4228" w:type="dxa"/>
          </w:tcPr>
          <w:p w14:paraId="3833EFEC" w14:textId="29DA8501" w:rsidR="00403A8E" w:rsidRPr="00F01347" w:rsidRDefault="00403A8E" w:rsidP="00403A8E">
            <w:pPr>
              <w:pStyle w:val="texto0"/>
              <w:spacing w:line="226" w:lineRule="exact"/>
              <w:ind w:firstLine="0"/>
              <w:rPr>
                <w:rFonts w:ascii="Verdana" w:hAnsi="Verdana"/>
                <w:sz w:val="16"/>
                <w:szCs w:val="16"/>
                <w:lang w:val="en-US"/>
              </w:rPr>
            </w:pPr>
            <w:r w:rsidRPr="00F01347">
              <w:rPr>
                <w:rFonts w:ascii="Verdana" w:hAnsi="Verdana"/>
                <w:sz w:val="16"/>
                <w:szCs w:val="16"/>
                <w:lang w:val="en-US"/>
              </w:rPr>
              <w:t>percent relative standard deviation.</w:t>
            </w:r>
          </w:p>
        </w:tc>
      </w:tr>
    </w:tbl>
    <w:p w14:paraId="3FD33C6A" w14:textId="77777777" w:rsidR="00204B58" w:rsidRPr="00F01347" w:rsidRDefault="00204B58" w:rsidP="003A601B">
      <w:pPr>
        <w:pStyle w:val="texto0"/>
        <w:spacing w:line="217"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C02AB" w:rsidRPr="00F01347" w14:paraId="68B9C951" w14:textId="51ED5C71" w:rsidTr="00BF684F">
        <w:tc>
          <w:tcPr>
            <w:tcW w:w="4675" w:type="dxa"/>
          </w:tcPr>
          <w:p w14:paraId="5D42DA33" w14:textId="77777777" w:rsidR="001C02AB" w:rsidRPr="00F01347" w:rsidRDefault="001C02AB" w:rsidP="001C02AB">
            <w:pPr>
              <w:pStyle w:val="texto0"/>
              <w:spacing w:line="217" w:lineRule="exact"/>
              <w:ind w:firstLine="0"/>
              <w:rPr>
                <w:rFonts w:ascii="Verdana" w:hAnsi="Verdana"/>
                <w:b/>
                <w:sz w:val="16"/>
                <w:szCs w:val="16"/>
              </w:rPr>
            </w:pPr>
            <w:r w:rsidRPr="00F01347">
              <w:rPr>
                <w:rFonts w:ascii="Verdana" w:hAnsi="Verdana"/>
                <w:b/>
                <w:sz w:val="16"/>
                <w:szCs w:val="16"/>
              </w:rPr>
              <w:t>B.4.2.2 Principio</w:t>
            </w:r>
          </w:p>
        </w:tc>
        <w:tc>
          <w:tcPr>
            <w:tcW w:w="4675" w:type="dxa"/>
          </w:tcPr>
          <w:p w14:paraId="1A00466D" w14:textId="0412696C" w:rsidR="001C02AB" w:rsidRPr="00F01347" w:rsidRDefault="001C02AB" w:rsidP="001C02AB">
            <w:pPr>
              <w:pStyle w:val="texto0"/>
              <w:spacing w:line="217" w:lineRule="exact"/>
              <w:ind w:firstLine="0"/>
              <w:rPr>
                <w:rFonts w:ascii="Verdana" w:hAnsi="Verdana"/>
                <w:b/>
                <w:sz w:val="16"/>
                <w:szCs w:val="16"/>
                <w:lang w:val="en-US"/>
              </w:rPr>
            </w:pPr>
            <w:r w:rsidRPr="00F01347">
              <w:rPr>
                <w:rFonts w:ascii="Verdana" w:hAnsi="Verdana"/>
                <w:b/>
                <w:sz w:val="16"/>
                <w:szCs w:val="16"/>
                <w:lang w:val="en-US"/>
              </w:rPr>
              <w:t>B.4.2.2 Principle</w:t>
            </w:r>
          </w:p>
        </w:tc>
      </w:tr>
      <w:tr w:rsidR="001C02AB" w:rsidRPr="00F01347" w14:paraId="048F2A46" w14:textId="4D2DB380" w:rsidTr="00BF684F">
        <w:tc>
          <w:tcPr>
            <w:tcW w:w="4675" w:type="dxa"/>
          </w:tcPr>
          <w:p w14:paraId="3A6D0CC1" w14:textId="77777777" w:rsidR="001C02AB" w:rsidRPr="00F01347" w:rsidRDefault="001C02AB" w:rsidP="001C02AB">
            <w:pPr>
              <w:pStyle w:val="texto0"/>
              <w:spacing w:line="217" w:lineRule="exact"/>
              <w:ind w:firstLine="0"/>
              <w:rPr>
                <w:rFonts w:ascii="Verdana" w:hAnsi="Verdana"/>
                <w:sz w:val="16"/>
                <w:szCs w:val="16"/>
              </w:rPr>
            </w:pPr>
            <w:r w:rsidRPr="00F01347">
              <w:rPr>
                <w:rFonts w:ascii="Verdana" w:hAnsi="Verdana"/>
                <w:sz w:val="16"/>
                <w:szCs w:val="16"/>
              </w:rPr>
              <w:t>La muestra en solución es aspirada (nebulizada) continuamente en un plasma de argón inductivamente acoplado, donde los analitos de interés se convierten en átomos de fase gaseosa de estado excitado o iones. A medida que los átomos o iones de estado excitado vuelven a su estado fundamental, emiten energía en forma de luz a longitudes de onda que son características de cada elemento. La intensidad de la energía emitida a la longitud de onda elegida es proporcional a la cantidad del elemento en la muestra analizada.</w:t>
            </w:r>
          </w:p>
        </w:tc>
        <w:tc>
          <w:tcPr>
            <w:tcW w:w="4675" w:type="dxa"/>
          </w:tcPr>
          <w:p w14:paraId="6D4C152E" w14:textId="51630024" w:rsidR="001C02AB" w:rsidRPr="00F01347" w:rsidRDefault="001C02AB" w:rsidP="001C02AB">
            <w:pPr>
              <w:pStyle w:val="texto0"/>
              <w:spacing w:line="217" w:lineRule="exact"/>
              <w:ind w:firstLine="0"/>
              <w:rPr>
                <w:rFonts w:ascii="Verdana" w:hAnsi="Verdana"/>
                <w:sz w:val="16"/>
                <w:szCs w:val="16"/>
                <w:lang w:val="en-US"/>
              </w:rPr>
            </w:pPr>
            <w:r w:rsidRPr="00F01347">
              <w:rPr>
                <w:rFonts w:ascii="Verdana" w:hAnsi="Verdana"/>
                <w:sz w:val="16"/>
                <w:szCs w:val="16"/>
                <w:lang w:val="en-US"/>
              </w:rPr>
              <w:t>The sample in solution is continuously aspirated (nebulized) into an inductively coupled argon plasma, where the analytes of interest are converted to excited state gas phase atoms or ions. As excited state atoms or ions return to their ground state, they emit energy in the form of light at wavelengths that are characteristic of each element. The intensity of the energy emitted at the chosen wavelength is proportional to the amount of the element in the analyzed sample.</w:t>
            </w:r>
          </w:p>
        </w:tc>
      </w:tr>
      <w:tr w:rsidR="001C02AB" w:rsidRPr="00F01347" w14:paraId="7FDB4350" w14:textId="1E9AF01E" w:rsidTr="00BF684F">
        <w:tc>
          <w:tcPr>
            <w:tcW w:w="4675" w:type="dxa"/>
          </w:tcPr>
          <w:p w14:paraId="035570F6" w14:textId="77777777" w:rsidR="001C02AB" w:rsidRPr="00F01347" w:rsidRDefault="001C02AB" w:rsidP="001C02AB">
            <w:pPr>
              <w:pStyle w:val="texto0"/>
              <w:spacing w:line="217" w:lineRule="exact"/>
              <w:ind w:firstLine="0"/>
              <w:rPr>
                <w:rFonts w:ascii="Verdana" w:hAnsi="Verdana"/>
                <w:sz w:val="16"/>
                <w:szCs w:val="16"/>
              </w:rPr>
            </w:pPr>
            <w:r w:rsidRPr="00F01347">
              <w:rPr>
                <w:rFonts w:ascii="Verdana" w:hAnsi="Verdana"/>
                <w:sz w:val="16"/>
                <w:szCs w:val="16"/>
              </w:rPr>
              <w:t>Las muestras de agua se conservan mediante tratamiento con ácido y se digieren si es necesario. El análisis directo por ICP-OES debe llevarse a cabo solamente sobre matrices acuosas relativamente limpias.</w:t>
            </w:r>
          </w:p>
        </w:tc>
        <w:tc>
          <w:tcPr>
            <w:tcW w:w="4675" w:type="dxa"/>
          </w:tcPr>
          <w:p w14:paraId="38FA7482" w14:textId="5E094FD9" w:rsidR="001C02AB" w:rsidRPr="00F01347" w:rsidRDefault="001C02AB" w:rsidP="001C02AB">
            <w:pPr>
              <w:pStyle w:val="texto0"/>
              <w:spacing w:line="217" w:lineRule="exact"/>
              <w:ind w:firstLine="0"/>
              <w:rPr>
                <w:rFonts w:ascii="Verdana" w:hAnsi="Verdana"/>
                <w:sz w:val="16"/>
                <w:szCs w:val="16"/>
                <w:lang w:val="en-US"/>
              </w:rPr>
            </w:pPr>
            <w:r w:rsidRPr="00F01347">
              <w:rPr>
                <w:rFonts w:ascii="Verdana" w:hAnsi="Verdana"/>
                <w:sz w:val="16"/>
                <w:szCs w:val="16"/>
                <w:lang w:val="en-US"/>
              </w:rPr>
              <w:t>Water samples are preserved by acid treatment and digested if necessary. Direct analysis by ICP-OES should be carried out only on relatively clean aqueous matrices.</w:t>
            </w:r>
          </w:p>
        </w:tc>
      </w:tr>
      <w:tr w:rsidR="001C02AB" w:rsidRPr="00F01347" w14:paraId="6815ABDC" w14:textId="432FF89F" w:rsidTr="00BF684F">
        <w:tc>
          <w:tcPr>
            <w:tcW w:w="4675" w:type="dxa"/>
          </w:tcPr>
          <w:p w14:paraId="19B24BE1" w14:textId="77777777" w:rsidR="001C02AB" w:rsidRPr="00F01347" w:rsidRDefault="001C02AB" w:rsidP="001C02AB">
            <w:pPr>
              <w:pStyle w:val="texto0"/>
              <w:spacing w:line="217" w:lineRule="exact"/>
              <w:ind w:firstLine="0"/>
              <w:rPr>
                <w:rFonts w:ascii="Verdana" w:hAnsi="Verdana"/>
                <w:b/>
                <w:sz w:val="16"/>
                <w:szCs w:val="16"/>
              </w:rPr>
            </w:pPr>
            <w:r w:rsidRPr="00F01347">
              <w:rPr>
                <w:rFonts w:ascii="Verdana" w:hAnsi="Verdana"/>
                <w:b/>
                <w:sz w:val="16"/>
                <w:szCs w:val="16"/>
              </w:rPr>
              <w:t>B.4.2.3 Alcance y aplicación</w:t>
            </w:r>
          </w:p>
        </w:tc>
        <w:tc>
          <w:tcPr>
            <w:tcW w:w="4675" w:type="dxa"/>
          </w:tcPr>
          <w:p w14:paraId="2261B651" w14:textId="264931D1" w:rsidR="001C02AB" w:rsidRPr="00F01347" w:rsidRDefault="001C02AB" w:rsidP="001C02AB">
            <w:pPr>
              <w:pStyle w:val="texto0"/>
              <w:spacing w:line="217" w:lineRule="exact"/>
              <w:ind w:firstLine="0"/>
              <w:rPr>
                <w:rFonts w:ascii="Verdana" w:hAnsi="Verdana"/>
                <w:b/>
                <w:sz w:val="16"/>
                <w:szCs w:val="16"/>
                <w:lang w:val="en-US"/>
              </w:rPr>
            </w:pPr>
            <w:r w:rsidRPr="00F01347">
              <w:rPr>
                <w:rFonts w:ascii="Verdana" w:hAnsi="Verdana"/>
                <w:b/>
                <w:sz w:val="16"/>
                <w:szCs w:val="16"/>
                <w:lang w:val="en-US"/>
              </w:rPr>
              <w:t>B.4.2.3 Scope and application</w:t>
            </w:r>
          </w:p>
        </w:tc>
      </w:tr>
      <w:tr w:rsidR="001C02AB" w:rsidRPr="00F01347" w14:paraId="1997E6A8" w14:textId="59947E3E" w:rsidTr="00BF684F">
        <w:tc>
          <w:tcPr>
            <w:tcW w:w="4675" w:type="dxa"/>
          </w:tcPr>
          <w:p w14:paraId="226F0ECF" w14:textId="77777777" w:rsidR="001C02AB" w:rsidRPr="00F01347" w:rsidRDefault="001C02AB" w:rsidP="001C02AB">
            <w:pPr>
              <w:pStyle w:val="texto0"/>
              <w:spacing w:line="217" w:lineRule="exact"/>
              <w:ind w:firstLine="0"/>
              <w:rPr>
                <w:rFonts w:ascii="Verdana" w:hAnsi="Verdana"/>
                <w:sz w:val="16"/>
                <w:szCs w:val="16"/>
              </w:rPr>
            </w:pPr>
            <w:r w:rsidRPr="00F01347">
              <w:rPr>
                <w:rFonts w:ascii="Verdana" w:hAnsi="Verdana"/>
                <w:sz w:val="16"/>
                <w:szCs w:val="16"/>
              </w:rPr>
              <w:t xml:space="preserve">El método de Espectrometría de emisión óptica de plasma acoplado inductivamente (ICP-OES) utilizando </w:t>
            </w:r>
            <w:r w:rsidRPr="00F01347">
              <w:rPr>
                <w:rFonts w:ascii="Verdana" w:hAnsi="Verdana"/>
                <w:sz w:val="16"/>
                <w:szCs w:val="16"/>
              </w:rPr>
              <w:lastRenderedPageBreak/>
              <w:t>sistemas ópticos simultáneos o secuenciales y un sistema de plasma de vista axial y radial, es utilizado para la determinación de metales, metaloides y algunos elementos no metálicos en disolución acuosa.</w:t>
            </w:r>
          </w:p>
        </w:tc>
        <w:tc>
          <w:tcPr>
            <w:tcW w:w="4675" w:type="dxa"/>
          </w:tcPr>
          <w:p w14:paraId="30BBF827" w14:textId="141C05C2" w:rsidR="001C02AB" w:rsidRPr="00F01347" w:rsidRDefault="001C02AB" w:rsidP="001C02AB">
            <w:pPr>
              <w:pStyle w:val="texto0"/>
              <w:spacing w:line="217" w:lineRule="exact"/>
              <w:ind w:firstLine="0"/>
              <w:rPr>
                <w:rFonts w:ascii="Verdana" w:hAnsi="Verdana"/>
                <w:sz w:val="16"/>
                <w:szCs w:val="16"/>
                <w:lang w:val="en-US"/>
              </w:rPr>
            </w:pPr>
            <w:r w:rsidRPr="00F01347">
              <w:rPr>
                <w:rFonts w:ascii="Verdana" w:hAnsi="Verdana"/>
                <w:sz w:val="16"/>
                <w:szCs w:val="16"/>
                <w:lang w:val="en-US"/>
              </w:rPr>
              <w:lastRenderedPageBreak/>
              <w:t xml:space="preserve">The Inductively Coupled Plasma Optical Emission Spectrometry (ICP-OES) method using simultaneous or </w:t>
            </w:r>
            <w:r w:rsidRPr="00F01347">
              <w:rPr>
                <w:rFonts w:ascii="Verdana" w:hAnsi="Verdana"/>
                <w:sz w:val="16"/>
                <w:szCs w:val="16"/>
                <w:lang w:val="en-US"/>
              </w:rPr>
              <w:lastRenderedPageBreak/>
              <w:t xml:space="preserve">sequential optical systems and an axial and radial view plasma system, is used for the determination of metals, </w:t>
            </w:r>
            <w:proofErr w:type="gramStart"/>
            <w:r w:rsidRPr="00F01347">
              <w:rPr>
                <w:rFonts w:ascii="Verdana" w:hAnsi="Verdana"/>
                <w:sz w:val="16"/>
                <w:szCs w:val="16"/>
                <w:lang w:val="en-US"/>
              </w:rPr>
              <w:t>metalloids</w:t>
            </w:r>
            <w:proofErr w:type="gramEnd"/>
            <w:r w:rsidRPr="00F01347">
              <w:rPr>
                <w:rFonts w:ascii="Verdana" w:hAnsi="Verdana"/>
                <w:sz w:val="16"/>
                <w:szCs w:val="16"/>
                <w:lang w:val="en-US"/>
              </w:rPr>
              <w:t xml:space="preserve"> and some non-metallic elements in aqueous solution.</w:t>
            </w:r>
          </w:p>
        </w:tc>
      </w:tr>
      <w:tr w:rsidR="001C02AB" w:rsidRPr="00F01347" w14:paraId="6DB2E8B7" w14:textId="7E721CB9" w:rsidTr="00BF684F">
        <w:tc>
          <w:tcPr>
            <w:tcW w:w="4675" w:type="dxa"/>
          </w:tcPr>
          <w:p w14:paraId="73786B22" w14:textId="77777777" w:rsidR="001C02AB" w:rsidRPr="00F01347" w:rsidRDefault="001C02AB" w:rsidP="001C02AB">
            <w:pPr>
              <w:pStyle w:val="texto0"/>
              <w:spacing w:line="217" w:lineRule="exact"/>
              <w:ind w:firstLine="0"/>
              <w:rPr>
                <w:rFonts w:ascii="Verdana" w:hAnsi="Verdana"/>
                <w:sz w:val="16"/>
                <w:szCs w:val="16"/>
              </w:rPr>
            </w:pPr>
            <w:r w:rsidRPr="00F01347">
              <w:rPr>
                <w:rFonts w:ascii="Verdana" w:hAnsi="Verdana"/>
                <w:sz w:val="16"/>
                <w:szCs w:val="16"/>
              </w:rPr>
              <w:lastRenderedPageBreak/>
              <w:t xml:space="preserve">La espectrometría de emisión óptica de plasma acoplado inductivamente (ICP-OES) es una técnica </w:t>
            </w:r>
            <w:proofErr w:type="spellStart"/>
            <w:r w:rsidRPr="00F01347">
              <w:rPr>
                <w:rFonts w:ascii="Verdana" w:hAnsi="Verdana"/>
                <w:sz w:val="16"/>
                <w:szCs w:val="16"/>
              </w:rPr>
              <w:t>espectrométrica</w:t>
            </w:r>
            <w:proofErr w:type="spellEnd"/>
            <w:r w:rsidRPr="00F01347">
              <w:rPr>
                <w:rFonts w:ascii="Verdana" w:hAnsi="Verdana"/>
                <w:sz w:val="16"/>
                <w:szCs w:val="16"/>
              </w:rPr>
              <w:t xml:space="preserve"> utilizada para determinar oligoelementos en soluciones acuosas. En la ICP-OES, una solución de muestra es aspirada (es decir, nebulizada) continuamente en una descarga de argón plasma acoplada inductivamente, donde los analitos de interés se convierten en átomos o iones en fase gaseosa de estado excitado. A medida que los átomos o iones de estado excitado vuelven a su estado fundamental, emiten energía en forma de luz a longitudes de onda que son características de cada elemento específico. La intensidad de la energía emitida a la longitud de onda elegida es proporcional a la cantidad (concentración) de ese elemento en la muestra analizada. Por tanto, determinando las longitudes de onda que son emitidas por una muestra y sus intensidades respectivas, se puede cuantificar la composición elemental de la muestra dada con respecto a un patrón de referencia. Para obtener resultados precisos, el análisis directo de ICP-OES debe llevarse a cabo solamente sobre matrices acuosas relativamente limpias (por ejemplo, muestras de agua subterránea </w:t>
            </w:r>
            <w:proofErr w:type="spellStart"/>
            <w:r w:rsidRPr="00F01347">
              <w:rPr>
                <w:rFonts w:ascii="Verdana" w:hAnsi="Verdana"/>
                <w:sz w:val="16"/>
                <w:szCs w:val="16"/>
              </w:rPr>
              <w:t>pre-filtradas</w:t>
            </w:r>
            <w:proofErr w:type="spellEnd"/>
            <w:r w:rsidRPr="00F01347">
              <w:rPr>
                <w:rFonts w:ascii="Verdana" w:hAnsi="Verdana"/>
                <w:sz w:val="16"/>
                <w:szCs w:val="16"/>
              </w:rPr>
              <w:t>). Otras muestras acuosas y/o sólidas más complejas necesitan digestión ácida antes de su análisis; El analista debe asegurar que se elija un método de digestión de la muestra que sea apropiado para cada analito y el uso previsto de los datos.</w:t>
            </w:r>
          </w:p>
        </w:tc>
        <w:tc>
          <w:tcPr>
            <w:tcW w:w="4675" w:type="dxa"/>
          </w:tcPr>
          <w:p w14:paraId="7AC4DB84" w14:textId="1B141F9A" w:rsidR="001C02AB" w:rsidRPr="00F01347" w:rsidRDefault="001C02AB" w:rsidP="001C02AB">
            <w:pPr>
              <w:pStyle w:val="texto0"/>
              <w:spacing w:line="217" w:lineRule="exact"/>
              <w:ind w:firstLine="0"/>
              <w:rPr>
                <w:rFonts w:ascii="Verdana" w:hAnsi="Verdana"/>
                <w:sz w:val="16"/>
                <w:szCs w:val="16"/>
                <w:lang w:val="en-US"/>
              </w:rPr>
            </w:pPr>
            <w:r w:rsidRPr="00F01347">
              <w:rPr>
                <w:rFonts w:ascii="Verdana" w:hAnsi="Verdana"/>
                <w:sz w:val="16"/>
                <w:szCs w:val="16"/>
                <w:lang w:val="en-US"/>
              </w:rPr>
              <w:t>Inductively coupled plasma optical emission spectrometry (ICP-OES) is a spectrometric technique used to determine trace elements in aqueous solutions. In ICP-OES, a sample solution is continuously aspirated (i.e., nebulized) into an inductively coupled argon plasma discharge, where the analytes of interest are converted to excited-state gas-phase atoms or ions. As excited state atoms or ions return to their ground state, they emit energy in the form of light at wavelengths that are characteristic of each specific element. The intensity of the energy emitted at the chosen wavelength is proportional to the amount (concentration) of that element in the analyzed sample. Therefore, by determining the wavelengths that are emitted by a sample and their respective intensities, the elemental composition of the given sample can be quantified with respect to a reference standard. To obtain accurate results, direct ICP-OES analysis should be carried out only on relatively clean aqueous matrices (e.g., pre-filtered groundwater samples</w:t>
            </w:r>
            <w:r w:rsidR="00913802" w:rsidRPr="00F01347">
              <w:rPr>
                <w:rFonts w:ascii="Verdana" w:hAnsi="Verdana"/>
                <w:sz w:val="16"/>
                <w:szCs w:val="16"/>
                <w:lang w:val="en-US"/>
              </w:rPr>
              <w:t>)</w:t>
            </w:r>
            <w:r w:rsidRPr="00F01347">
              <w:rPr>
                <w:rFonts w:ascii="Verdana" w:hAnsi="Verdana"/>
                <w:sz w:val="16"/>
                <w:szCs w:val="16"/>
                <w:lang w:val="en-US"/>
              </w:rPr>
              <w:t>. Other more complex aqueous and/or solid samples require acid digestion before analysis; The analyst must ensure that a sample digestion method is chosen that is appropriate for each analyte and the intended use of the data.</w:t>
            </w:r>
          </w:p>
        </w:tc>
      </w:tr>
      <w:tr w:rsidR="001C02AB" w:rsidRPr="00F01347" w14:paraId="469BBAF6" w14:textId="4BBAADB9" w:rsidTr="00BF684F">
        <w:tc>
          <w:tcPr>
            <w:tcW w:w="4675" w:type="dxa"/>
          </w:tcPr>
          <w:p w14:paraId="0396ADF1" w14:textId="77777777" w:rsidR="001C02AB" w:rsidRPr="00F01347" w:rsidRDefault="001C02AB" w:rsidP="001C02AB">
            <w:pPr>
              <w:pStyle w:val="texto0"/>
              <w:spacing w:line="217" w:lineRule="exact"/>
              <w:ind w:firstLine="0"/>
              <w:rPr>
                <w:rFonts w:ascii="Verdana" w:hAnsi="Verdana"/>
                <w:b/>
                <w:sz w:val="16"/>
                <w:szCs w:val="16"/>
              </w:rPr>
            </w:pPr>
            <w:r w:rsidRPr="00F01347">
              <w:rPr>
                <w:rFonts w:ascii="Verdana" w:hAnsi="Verdana"/>
                <w:b/>
                <w:sz w:val="16"/>
                <w:szCs w:val="16"/>
              </w:rPr>
              <w:t>B.4.2.4 Equipos y materiales</w:t>
            </w:r>
          </w:p>
        </w:tc>
        <w:tc>
          <w:tcPr>
            <w:tcW w:w="4675" w:type="dxa"/>
          </w:tcPr>
          <w:p w14:paraId="53A765C0" w14:textId="530F5AF2" w:rsidR="001C02AB" w:rsidRPr="00F01347" w:rsidRDefault="001C02AB" w:rsidP="001C02AB">
            <w:pPr>
              <w:pStyle w:val="texto0"/>
              <w:spacing w:line="217" w:lineRule="exact"/>
              <w:ind w:firstLine="0"/>
              <w:rPr>
                <w:rFonts w:ascii="Verdana" w:hAnsi="Verdana"/>
                <w:b/>
                <w:sz w:val="16"/>
                <w:szCs w:val="16"/>
                <w:lang w:val="en-US"/>
              </w:rPr>
            </w:pPr>
            <w:r w:rsidRPr="00F01347">
              <w:rPr>
                <w:rFonts w:ascii="Verdana" w:hAnsi="Verdana"/>
                <w:b/>
                <w:sz w:val="16"/>
                <w:szCs w:val="16"/>
                <w:lang w:val="en-US"/>
              </w:rPr>
              <w:t>B.4.2.4 Equipment and materials</w:t>
            </w:r>
          </w:p>
        </w:tc>
      </w:tr>
      <w:tr w:rsidR="001C02AB" w:rsidRPr="00F01347" w14:paraId="0AF6B2AA" w14:textId="4DB566CD" w:rsidTr="00BF684F">
        <w:tc>
          <w:tcPr>
            <w:tcW w:w="4675" w:type="dxa"/>
          </w:tcPr>
          <w:p w14:paraId="5F6042FC" w14:textId="77777777" w:rsidR="001C02AB" w:rsidRPr="00F01347" w:rsidRDefault="001C02AB" w:rsidP="001C02AB">
            <w:pPr>
              <w:pStyle w:val="texto0"/>
              <w:spacing w:line="217" w:lineRule="exact"/>
              <w:ind w:firstLine="0"/>
              <w:rPr>
                <w:rFonts w:ascii="Verdana" w:hAnsi="Verdana"/>
                <w:sz w:val="16"/>
                <w:szCs w:val="16"/>
              </w:rPr>
            </w:pPr>
            <w:r w:rsidRPr="00F01347">
              <w:rPr>
                <w:rFonts w:ascii="Verdana" w:hAnsi="Verdana"/>
                <w:sz w:val="16"/>
                <w:szCs w:val="16"/>
              </w:rPr>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Pr>
          <w:p w14:paraId="4335AD80" w14:textId="0F20D96C" w:rsidR="001C02AB" w:rsidRPr="00F01347" w:rsidRDefault="001C02AB" w:rsidP="001C02AB">
            <w:pPr>
              <w:pStyle w:val="texto0"/>
              <w:spacing w:line="217" w:lineRule="exact"/>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1C02AB" w:rsidRPr="00F01347" w14:paraId="2D3110CF" w14:textId="31DF00ED" w:rsidTr="00BF684F">
        <w:tc>
          <w:tcPr>
            <w:tcW w:w="4675" w:type="dxa"/>
          </w:tcPr>
          <w:p w14:paraId="3530D390" w14:textId="77777777" w:rsidR="001C02AB" w:rsidRPr="00F01347" w:rsidRDefault="001C02AB" w:rsidP="001C02AB">
            <w:pPr>
              <w:pStyle w:val="texto0"/>
              <w:spacing w:line="217" w:lineRule="exact"/>
              <w:ind w:firstLine="0"/>
              <w:rPr>
                <w:rFonts w:ascii="Verdana" w:hAnsi="Verdana"/>
                <w:b/>
                <w:sz w:val="16"/>
                <w:szCs w:val="16"/>
              </w:rPr>
            </w:pPr>
            <w:proofErr w:type="spellStart"/>
            <w:r w:rsidRPr="00F01347">
              <w:rPr>
                <w:rFonts w:ascii="Verdana" w:hAnsi="Verdana"/>
                <w:b/>
                <w:sz w:val="16"/>
                <w:szCs w:val="16"/>
              </w:rPr>
              <w:t>Automuestreador</w:t>
            </w:r>
            <w:proofErr w:type="spellEnd"/>
            <w:r w:rsidRPr="00F01347">
              <w:rPr>
                <w:rFonts w:ascii="Verdana" w:hAnsi="Verdana"/>
                <w:b/>
                <w:sz w:val="16"/>
                <w:szCs w:val="16"/>
              </w:rPr>
              <w:t>.</w:t>
            </w:r>
          </w:p>
        </w:tc>
        <w:tc>
          <w:tcPr>
            <w:tcW w:w="4675" w:type="dxa"/>
          </w:tcPr>
          <w:p w14:paraId="533350D3" w14:textId="116C26E7" w:rsidR="001C02AB" w:rsidRPr="00F01347" w:rsidRDefault="001C02AB" w:rsidP="001C02AB">
            <w:pPr>
              <w:pStyle w:val="texto0"/>
              <w:spacing w:line="217" w:lineRule="exact"/>
              <w:ind w:firstLine="0"/>
              <w:rPr>
                <w:rFonts w:ascii="Verdana" w:hAnsi="Verdana"/>
                <w:b/>
                <w:sz w:val="16"/>
                <w:szCs w:val="16"/>
                <w:lang w:val="en-US"/>
              </w:rPr>
            </w:pPr>
            <w:r w:rsidRPr="00F01347">
              <w:rPr>
                <w:rFonts w:ascii="Verdana" w:hAnsi="Verdana"/>
                <w:b/>
                <w:sz w:val="16"/>
                <w:szCs w:val="16"/>
                <w:lang w:val="en-US"/>
              </w:rPr>
              <w:t>Autosampler</w:t>
            </w:r>
            <w:r w:rsidR="003E1BA9" w:rsidRPr="00F01347">
              <w:rPr>
                <w:rFonts w:ascii="Verdana" w:hAnsi="Verdana"/>
                <w:b/>
                <w:sz w:val="16"/>
                <w:szCs w:val="16"/>
                <w:lang w:val="en-US"/>
              </w:rPr>
              <w:t>.</w:t>
            </w:r>
          </w:p>
        </w:tc>
      </w:tr>
      <w:tr w:rsidR="001C02AB" w:rsidRPr="00F01347" w14:paraId="1D20F5D7" w14:textId="0336BDF5" w:rsidTr="00BF684F">
        <w:tc>
          <w:tcPr>
            <w:tcW w:w="4675" w:type="dxa"/>
          </w:tcPr>
          <w:p w14:paraId="4E5E9257" w14:textId="77777777" w:rsidR="001C02AB" w:rsidRPr="00F01347" w:rsidRDefault="001C02AB" w:rsidP="001C02AB">
            <w:pPr>
              <w:pStyle w:val="texto0"/>
              <w:spacing w:line="217" w:lineRule="exact"/>
              <w:ind w:firstLine="0"/>
              <w:rPr>
                <w:rFonts w:ascii="Verdana" w:hAnsi="Verdana"/>
                <w:sz w:val="16"/>
                <w:szCs w:val="16"/>
              </w:rPr>
            </w:pPr>
            <w:r w:rsidRPr="00F01347">
              <w:rPr>
                <w:rFonts w:ascii="Verdana" w:hAnsi="Verdana"/>
                <w:b/>
                <w:sz w:val="16"/>
                <w:szCs w:val="16"/>
              </w:rPr>
              <w:t>Balanza analítica</w:t>
            </w:r>
            <w:r w:rsidRPr="00F01347">
              <w:rPr>
                <w:rFonts w:ascii="Verdana" w:hAnsi="Verdana"/>
                <w:sz w:val="16"/>
                <w:szCs w:val="16"/>
              </w:rPr>
              <w:t>, para la preparación de estándares y reactivos.</w:t>
            </w:r>
          </w:p>
        </w:tc>
        <w:tc>
          <w:tcPr>
            <w:tcW w:w="4675" w:type="dxa"/>
          </w:tcPr>
          <w:p w14:paraId="662215E0" w14:textId="389FE103" w:rsidR="001C02AB" w:rsidRPr="00F01347" w:rsidRDefault="001C02AB" w:rsidP="001C02AB">
            <w:pPr>
              <w:pStyle w:val="texto0"/>
              <w:spacing w:line="217" w:lineRule="exact"/>
              <w:ind w:firstLine="0"/>
              <w:rPr>
                <w:rFonts w:ascii="Verdana" w:hAnsi="Verdana"/>
                <w:b/>
                <w:sz w:val="16"/>
                <w:szCs w:val="16"/>
                <w:lang w:val="en-US"/>
              </w:rPr>
            </w:pPr>
            <w:r w:rsidRPr="00F01347">
              <w:rPr>
                <w:rFonts w:ascii="Verdana" w:hAnsi="Verdana"/>
                <w:b/>
                <w:sz w:val="16"/>
                <w:szCs w:val="16"/>
                <w:lang w:val="en-US"/>
              </w:rPr>
              <w:t>Analytical balance</w:t>
            </w:r>
            <w:r w:rsidR="003E1BA9" w:rsidRPr="00F01347">
              <w:rPr>
                <w:rFonts w:ascii="Verdana" w:hAnsi="Verdana"/>
                <w:b/>
                <w:sz w:val="16"/>
                <w:szCs w:val="16"/>
                <w:lang w:val="en-US"/>
              </w:rPr>
              <w:t>,</w:t>
            </w:r>
            <w:r w:rsidRPr="00F01347">
              <w:rPr>
                <w:rFonts w:ascii="Verdana" w:hAnsi="Verdana"/>
                <w:sz w:val="16"/>
                <w:szCs w:val="16"/>
                <w:lang w:val="en-US"/>
              </w:rPr>
              <w:t xml:space="preserve"> for the preparation of standards and reagents.</w:t>
            </w:r>
          </w:p>
        </w:tc>
      </w:tr>
      <w:tr w:rsidR="001C02AB" w:rsidRPr="00F01347" w14:paraId="24D87923" w14:textId="336D33CA" w:rsidTr="00BF684F">
        <w:tc>
          <w:tcPr>
            <w:tcW w:w="4675" w:type="dxa"/>
          </w:tcPr>
          <w:p w14:paraId="1483F19B" w14:textId="77777777" w:rsidR="001C02AB" w:rsidRPr="00F01347" w:rsidRDefault="001C02AB" w:rsidP="001C02AB">
            <w:pPr>
              <w:pStyle w:val="texto0"/>
              <w:spacing w:line="217" w:lineRule="exact"/>
              <w:ind w:firstLine="0"/>
              <w:rPr>
                <w:rFonts w:ascii="Verdana" w:hAnsi="Verdana"/>
                <w:b/>
                <w:sz w:val="16"/>
                <w:szCs w:val="16"/>
              </w:rPr>
            </w:pPr>
            <w:r w:rsidRPr="00F01347">
              <w:rPr>
                <w:rFonts w:ascii="Verdana" w:hAnsi="Verdana"/>
                <w:b/>
                <w:sz w:val="16"/>
                <w:szCs w:val="16"/>
              </w:rPr>
              <w:t>Embudos</w:t>
            </w:r>
          </w:p>
        </w:tc>
        <w:tc>
          <w:tcPr>
            <w:tcW w:w="4675" w:type="dxa"/>
          </w:tcPr>
          <w:p w14:paraId="7F689B5B" w14:textId="35A77CAD" w:rsidR="001C02AB" w:rsidRPr="00F01347" w:rsidRDefault="001C02AB" w:rsidP="001C02AB">
            <w:pPr>
              <w:pStyle w:val="texto0"/>
              <w:spacing w:line="217" w:lineRule="exact"/>
              <w:ind w:firstLine="0"/>
              <w:rPr>
                <w:rFonts w:ascii="Verdana" w:hAnsi="Verdana"/>
                <w:b/>
                <w:sz w:val="16"/>
                <w:szCs w:val="16"/>
                <w:lang w:val="en-US"/>
              </w:rPr>
            </w:pPr>
            <w:r w:rsidRPr="00F01347">
              <w:rPr>
                <w:rFonts w:ascii="Verdana" w:hAnsi="Verdana"/>
                <w:b/>
                <w:sz w:val="16"/>
                <w:szCs w:val="16"/>
                <w:lang w:val="en-US"/>
              </w:rPr>
              <w:t>Funnels</w:t>
            </w:r>
          </w:p>
        </w:tc>
      </w:tr>
      <w:tr w:rsidR="001C02AB" w:rsidRPr="00F01347" w14:paraId="255D4019" w14:textId="63D97542" w:rsidTr="00BF684F">
        <w:tc>
          <w:tcPr>
            <w:tcW w:w="4675" w:type="dxa"/>
          </w:tcPr>
          <w:p w14:paraId="1FAC058A" w14:textId="77777777" w:rsidR="001C02AB" w:rsidRPr="00F01347" w:rsidRDefault="001C02AB" w:rsidP="001C02AB">
            <w:pPr>
              <w:pStyle w:val="texto0"/>
              <w:spacing w:line="220" w:lineRule="exact"/>
              <w:ind w:firstLine="0"/>
              <w:rPr>
                <w:rFonts w:ascii="Verdana" w:hAnsi="Verdana"/>
                <w:sz w:val="16"/>
                <w:szCs w:val="16"/>
              </w:rPr>
            </w:pPr>
            <w:r w:rsidRPr="00F01347">
              <w:rPr>
                <w:rFonts w:ascii="Verdana" w:hAnsi="Verdana"/>
                <w:b/>
                <w:sz w:val="16"/>
                <w:szCs w:val="16"/>
              </w:rPr>
              <w:t>Espectrómetro de emisión controlado a través de una computadora</w:t>
            </w:r>
            <w:r w:rsidRPr="00F01347">
              <w:rPr>
                <w:rFonts w:ascii="Verdana" w:hAnsi="Verdana"/>
                <w:sz w:val="16"/>
                <w:szCs w:val="16"/>
              </w:rPr>
              <w:t>, con capacidad de realizar corrección de fondo.</w:t>
            </w:r>
          </w:p>
        </w:tc>
        <w:tc>
          <w:tcPr>
            <w:tcW w:w="4675" w:type="dxa"/>
          </w:tcPr>
          <w:p w14:paraId="28743F7E" w14:textId="4647FD41" w:rsidR="001C02AB" w:rsidRPr="00F01347" w:rsidRDefault="001C02AB" w:rsidP="001C02AB">
            <w:pPr>
              <w:pStyle w:val="texto0"/>
              <w:spacing w:line="220" w:lineRule="exact"/>
              <w:ind w:firstLine="0"/>
              <w:rPr>
                <w:rFonts w:ascii="Verdana" w:hAnsi="Verdana"/>
                <w:b/>
                <w:sz w:val="16"/>
                <w:szCs w:val="16"/>
                <w:lang w:val="en-US"/>
              </w:rPr>
            </w:pPr>
            <w:r w:rsidRPr="00F01347">
              <w:rPr>
                <w:rFonts w:ascii="Verdana" w:hAnsi="Verdana"/>
                <w:b/>
                <w:sz w:val="16"/>
                <w:szCs w:val="16"/>
                <w:lang w:val="en-US"/>
              </w:rPr>
              <w:t>Computer-controlled emission spectrometer</w:t>
            </w:r>
            <w:r w:rsidR="003E1BA9" w:rsidRPr="00F01347">
              <w:rPr>
                <w:rFonts w:ascii="Verdana" w:hAnsi="Verdana"/>
                <w:b/>
                <w:sz w:val="16"/>
                <w:szCs w:val="16"/>
                <w:lang w:val="en-US"/>
              </w:rPr>
              <w:t>,</w:t>
            </w:r>
            <w:r w:rsidRPr="00F01347">
              <w:rPr>
                <w:rFonts w:ascii="Verdana" w:hAnsi="Verdana"/>
                <w:sz w:val="16"/>
                <w:szCs w:val="16"/>
                <w:lang w:val="en-US"/>
              </w:rPr>
              <w:t xml:space="preserve"> with the ability to perform background correction.</w:t>
            </w:r>
          </w:p>
        </w:tc>
      </w:tr>
      <w:tr w:rsidR="001C02AB" w:rsidRPr="00F01347" w14:paraId="5244E9AD" w14:textId="21778F82" w:rsidTr="00BF684F">
        <w:tc>
          <w:tcPr>
            <w:tcW w:w="4675" w:type="dxa"/>
          </w:tcPr>
          <w:p w14:paraId="0570C512" w14:textId="77777777" w:rsidR="001C02AB" w:rsidRPr="00F01347" w:rsidRDefault="001C02AB" w:rsidP="001C02AB">
            <w:pPr>
              <w:pStyle w:val="texto0"/>
              <w:spacing w:line="220" w:lineRule="exact"/>
              <w:ind w:firstLine="0"/>
              <w:rPr>
                <w:rFonts w:ascii="Verdana" w:hAnsi="Verdana"/>
                <w:sz w:val="16"/>
                <w:szCs w:val="16"/>
              </w:rPr>
            </w:pPr>
            <w:r w:rsidRPr="00F01347">
              <w:rPr>
                <w:rFonts w:ascii="Verdana" w:hAnsi="Verdana"/>
                <w:b/>
                <w:sz w:val="16"/>
                <w:szCs w:val="16"/>
              </w:rPr>
              <w:t>Matraces volumétricos</w:t>
            </w:r>
            <w:r w:rsidRPr="00F01347">
              <w:rPr>
                <w:rFonts w:ascii="Verdana" w:hAnsi="Verdana"/>
                <w:sz w:val="16"/>
                <w:szCs w:val="16"/>
              </w:rPr>
              <w:t xml:space="preserve"> de diferentes capacidades.</w:t>
            </w:r>
          </w:p>
        </w:tc>
        <w:tc>
          <w:tcPr>
            <w:tcW w:w="4675" w:type="dxa"/>
          </w:tcPr>
          <w:p w14:paraId="02C940A7" w14:textId="05909166" w:rsidR="001C02AB" w:rsidRPr="00F01347" w:rsidRDefault="001C02AB" w:rsidP="001C02AB">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Volumetric flasks </w:t>
            </w:r>
            <w:r w:rsidRPr="00F01347">
              <w:rPr>
                <w:rFonts w:ascii="Verdana" w:hAnsi="Verdana"/>
                <w:sz w:val="16"/>
                <w:szCs w:val="16"/>
                <w:lang w:val="en-US"/>
              </w:rPr>
              <w:t>of different capacities.</w:t>
            </w:r>
          </w:p>
        </w:tc>
      </w:tr>
      <w:tr w:rsidR="001C02AB" w:rsidRPr="00F01347" w14:paraId="0B5ED27B" w14:textId="0FE8FEF1" w:rsidTr="00BF684F">
        <w:tc>
          <w:tcPr>
            <w:tcW w:w="4675" w:type="dxa"/>
          </w:tcPr>
          <w:p w14:paraId="38C57D25" w14:textId="77777777" w:rsidR="001C02AB" w:rsidRPr="00F01347" w:rsidRDefault="001C02AB" w:rsidP="001C02AB">
            <w:pPr>
              <w:pStyle w:val="texto0"/>
              <w:spacing w:line="220" w:lineRule="exact"/>
              <w:ind w:firstLine="0"/>
              <w:rPr>
                <w:rFonts w:ascii="Verdana" w:hAnsi="Verdana"/>
                <w:sz w:val="16"/>
                <w:szCs w:val="16"/>
              </w:rPr>
            </w:pPr>
            <w:r w:rsidRPr="00F01347">
              <w:rPr>
                <w:rFonts w:ascii="Verdana" w:hAnsi="Verdana"/>
                <w:b/>
                <w:sz w:val="16"/>
                <w:szCs w:val="16"/>
              </w:rPr>
              <w:t>Pipetas volumétricas de pistón</w:t>
            </w:r>
            <w:r w:rsidRPr="00F01347">
              <w:rPr>
                <w:rFonts w:ascii="Verdana" w:hAnsi="Verdana"/>
                <w:sz w:val="16"/>
                <w:szCs w:val="16"/>
              </w:rPr>
              <w:t xml:space="preserve"> de diferentes capacidades.</w:t>
            </w:r>
          </w:p>
        </w:tc>
        <w:tc>
          <w:tcPr>
            <w:tcW w:w="4675" w:type="dxa"/>
          </w:tcPr>
          <w:p w14:paraId="78890A36" w14:textId="16269680" w:rsidR="001C02AB" w:rsidRPr="00F01347" w:rsidRDefault="001C02AB" w:rsidP="001C02AB">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Volumetric piston pipettes </w:t>
            </w:r>
            <w:r w:rsidRPr="00F01347">
              <w:rPr>
                <w:rFonts w:ascii="Verdana" w:hAnsi="Verdana"/>
                <w:sz w:val="16"/>
                <w:szCs w:val="16"/>
                <w:lang w:val="en-US"/>
              </w:rPr>
              <w:t>of different capacities.</w:t>
            </w:r>
          </w:p>
        </w:tc>
      </w:tr>
      <w:tr w:rsidR="001C02AB" w:rsidRPr="00F01347" w14:paraId="30AED549" w14:textId="65A673EF" w:rsidTr="00BF684F">
        <w:tc>
          <w:tcPr>
            <w:tcW w:w="4675" w:type="dxa"/>
          </w:tcPr>
          <w:p w14:paraId="4FBD6A96" w14:textId="77777777" w:rsidR="001C02AB" w:rsidRPr="00F01347" w:rsidRDefault="001C02AB" w:rsidP="001C02AB">
            <w:pPr>
              <w:pStyle w:val="texto0"/>
              <w:spacing w:line="220" w:lineRule="exact"/>
              <w:ind w:firstLine="0"/>
              <w:rPr>
                <w:rFonts w:ascii="Verdana" w:hAnsi="Verdana"/>
                <w:sz w:val="16"/>
                <w:szCs w:val="16"/>
              </w:rPr>
            </w:pPr>
            <w:r w:rsidRPr="00F01347">
              <w:rPr>
                <w:rFonts w:ascii="Verdana" w:hAnsi="Verdana"/>
                <w:b/>
                <w:sz w:val="16"/>
                <w:szCs w:val="16"/>
              </w:rPr>
              <w:t>Espectrometría de emisión óptica de plasma acoplado inductivamente</w:t>
            </w:r>
            <w:r w:rsidRPr="00F01347">
              <w:rPr>
                <w:rFonts w:ascii="Verdana" w:hAnsi="Verdana"/>
                <w:sz w:val="16"/>
                <w:szCs w:val="16"/>
              </w:rPr>
              <w:t xml:space="preserve"> (ICP-OES).</w:t>
            </w:r>
          </w:p>
        </w:tc>
        <w:tc>
          <w:tcPr>
            <w:tcW w:w="4675" w:type="dxa"/>
          </w:tcPr>
          <w:p w14:paraId="3DBA7A35" w14:textId="616878ED" w:rsidR="001C02AB" w:rsidRPr="00F01347" w:rsidRDefault="001C02AB" w:rsidP="001C02AB">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Inductively coupled plasma optical emission spectrometry </w:t>
            </w:r>
            <w:r w:rsidRPr="00F01347">
              <w:rPr>
                <w:rFonts w:ascii="Verdana" w:hAnsi="Verdana"/>
                <w:sz w:val="16"/>
                <w:szCs w:val="16"/>
                <w:lang w:val="en-US"/>
              </w:rPr>
              <w:t>(ICP-OES).</w:t>
            </w:r>
          </w:p>
        </w:tc>
      </w:tr>
      <w:tr w:rsidR="001C02AB" w:rsidRPr="00F01347" w14:paraId="2DE8CC25" w14:textId="52B7FB09" w:rsidTr="00BF684F">
        <w:tc>
          <w:tcPr>
            <w:tcW w:w="4675" w:type="dxa"/>
          </w:tcPr>
          <w:p w14:paraId="3E390E5D" w14:textId="77777777" w:rsidR="001C02AB" w:rsidRPr="00F01347" w:rsidRDefault="001C02AB" w:rsidP="001C02AB">
            <w:pPr>
              <w:pStyle w:val="texto0"/>
              <w:spacing w:line="220" w:lineRule="exact"/>
              <w:ind w:firstLine="0"/>
              <w:rPr>
                <w:rFonts w:ascii="Verdana" w:hAnsi="Verdana"/>
                <w:b/>
                <w:sz w:val="16"/>
                <w:szCs w:val="16"/>
              </w:rPr>
            </w:pPr>
            <w:r w:rsidRPr="00F01347">
              <w:rPr>
                <w:rFonts w:ascii="Verdana" w:hAnsi="Verdana"/>
                <w:b/>
                <w:sz w:val="16"/>
                <w:szCs w:val="16"/>
              </w:rPr>
              <w:t>Probetas graduadas</w:t>
            </w:r>
          </w:p>
        </w:tc>
        <w:tc>
          <w:tcPr>
            <w:tcW w:w="4675" w:type="dxa"/>
          </w:tcPr>
          <w:p w14:paraId="7726688D" w14:textId="7FF4006C" w:rsidR="001C02AB" w:rsidRPr="00F01347" w:rsidRDefault="001C02AB" w:rsidP="001C02AB">
            <w:pPr>
              <w:pStyle w:val="texto0"/>
              <w:spacing w:line="220" w:lineRule="exact"/>
              <w:ind w:firstLine="0"/>
              <w:rPr>
                <w:rFonts w:ascii="Verdana" w:hAnsi="Verdana"/>
                <w:b/>
                <w:sz w:val="16"/>
                <w:szCs w:val="16"/>
                <w:lang w:val="en-US"/>
              </w:rPr>
            </w:pPr>
            <w:r w:rsidRPr="00F01347">
              <w:rPr>
                <w:rFonts w:ascii="Verdana" w:hAnsi="Verdana"/>
                <w:b/>
                <w:sz w:val="16"/>
                <w:szCs w:val="16"/>
                <w:lang w:val="en-US"/>
              </w:rPr>
              <w:t>Graduated cylinders</w:t>
            </w:r>
          </w:p>
        </w:tc>
      </w:tr>
      <w:tr w:rsidR="001C02AB" w:rsidRPr="00F01347" w14:paraId="47A1B5ED" w14:textId="6F49F795" w:rsidTr="00BF684F">
        <w:tc>
          <w:tcPr>
            <w:tcW w:w="4675" w:type="dxa"/>
          </w:tcPr>
          <w:p w14:paraId="56EC706C" w14:textId="77777777" w:rsidR="001C02AB" w:rsidRPr="00F01347" w:rsidRDefault="001C02AB" w:rsidP="001C02AB">
            <w:pPr>
              <w:pStyle w:val="texto0"/>
              <w:spacing w:line="220" w:lineRule="exact"/>
              <w:ind w:firstLine="0"/>
              <w:rPr>
                <w:rFonts w:ascii="Verdana" w:hAnsi="Verdana"/>
                <w:sz w:val="16"/>
                <w:szCs w:val="16"/>
              </w:rPr>
            </w:pPr>
            <w:r w:rsidRPr="00F01347">
              <w:rPr>
                <w:rFonts w:ascii="Verdana" w:hAnsi="Verdana"/>
                <w:b/>
                <w:sz w:val="16"/>
                <w:szCs w:val="16"/>
              </w:rPr>
              <w:lastRenderedPageBreak/>
              <w:t>Unidad de microondas</w:t>
            </w:r>
            <w:r w:rsidRPr="00F01347">
              <w:rPr>
                <w:rFonts w:ascii="Verdana" w:hAnsi="Verdana"/>
                <w:sz w:val="16"/>
                <w:szCs w:val="16"/>
              </w:rPr>
              <w:t xml:space="preserve"> que proporcione una energía de 600 a 1600 W, dependiendo del número de muestras de capacidad, que pueda programarse dentro de ±10 W de la energía requerida y que cuente con sensor de temperatura y presión y un controlador de microondas.</w:t>
            </w:r>
          </w:p>
        </w:tc>
        <w:tc>
          <w:tcPr>
            <w:tcW w:w="4675" w:type="dxa"/>
          </w:tcPr>
          <w:p w14:paraId="03AC054B" w14:textId="4EC137C1" w:rsidR="001C02AB" w:rsidRPr="00F01347" w:rsidRDefault="001C02AB" w:rsidP="001C02AB">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Microwave unit </w:t>
            </w:r>
            <w:r w:rsidRPr="00F01347">
              <w:rPr>
                <w:rFonts w:ascii="Verdana" w:hAnsi="Verdana"/>
                <w:sz w:val="16"/>
                <w:szCs w:val="16"/>
                <w:lang w:val="en-US"/>
              </w:rPr>
              <w:t>that provides power from 600 to 1600 W, depending on the number of capacity samples, that can be programmed within ±10 W of the required power and that has a temperature and pressure sensor and a microwave controller.</w:t>
            </w:r>
          </w:p>
        </w:tc>
      </w:tr>
      <w:tr w:rsidR="001C02AB" w:rsidRPr="00F01347" w14:paraId="56118462" w14:textId="27E75EFB" w:rsidTr="00BF684F">
        <w:tc>
          <w:tcPr>
            <w:tcW w:w="4675" w:type="dxa"/>
          </w:tcPr>
          <w:p w14:paraId="21CD2502" w14:textId="77777777" w:rsidR="001C02AB" w:rsidRPr="00F01347" w:rsidRDefault="001C02AB" w:rsidP="001C02AB">
            <w:pPr>
              <w:pStyle w:val="texto0"/>
              <w:spacing w:line="217" w:lineRule="exact"/>
              <w:ind w:firstLine="0"/>
              <w:rPr>
                <w:rFonts w:ascii="Verdana" w:hAnsi="Verdana"/>
                <w:sz w:val="16"/>
                <w:szCs w:val="16"/>
              </w:rPr>
            </w:pPr>
            <w:r w:rsidRPr="00F01347">
              <w:rPr>
                <w:rFonts w:ascii="Verdana" w:hAnsi="Verdana"/>
                <w:sz w:val="16"/>
                <w:szCs w:val="16"/>
              </w:rPr>
              <w:t xml:space="preserve">El sistema requiere de vasos de digestión de teflón PFA de 75 a 100 </w:t>
            </w:r>
            <w:proofErr w:type="spellStart"/>
            <w:r w:rsidRPr="00F01347">
              <w:rPr>
                <w:rFonts w:ascii="Verdana" w:hAnsi="Verdana"/>
                <w:sz w:val="16"/>
                <w:szCs w:val="16"/>
              </w:rPr>
              <w:t>mL</w:t>
            </w:r>
            <w:proofErr w:type="spellEnd"/>
            <w:r w:rsidRPr="00F01347">
              <w:rPr>
                <w:rFonts w:ascii="Verdana" w:hAnsi="Verdana"/>
                <w:sz w:val="16"/>
                <w:szCs w:val="16"/>
              </w:rPr>
              <w:t xml:space="preserve"> de capacidad capaces de resistir presiones de 500 psi como máximo y una temperatura máxima de 210 °C.</w:t>
            </w:r>
          </w:p>
        </w:tc>
        <w:tc>
          <w:tcPr>
            <w:tcW w:w="4675" w:type="dxa"/>
          </w:tcPr>
          <w:p w14:paraId="72339AD9" w14:textId="6584BF27" w:rsidR="001C02AB" w:rsidRPr="00F01347" w:rsidRDefault="001C02AB" w:rsidP="001C02AB">
            <w:pPr>
              <w:pStyle w:val="texto0"/>
              <w:spacing w:line="217" w:lineRule="exact"/>
              <w:ind w:firstLine="0"/>
              <w:rPr>
                <w:rFonts w:ascii="Verdana" w:hAnsi="Verdana"/>
                <w:sz w:val="16"/>
                <w:szCs w:val="16"/>
                <w:lang w:val="en-US"/>
              </w:rPr>
            </w:pPr>
            <w:r w:rsidRPr="00F01347">
              <w:rPr>
                <w:rFonts w:ascii="Verdana" w:hAnsi="Verdana"/>
                <w:sz w:val="16"/>
                <w:szCs w:val="16"/>
                <w:lang w:val="en-US"/>
              </w:rPr>
              <w:t>The system requires Teflon PFA digestion vessels of 75 to 100 mL capacity capable of withstanding pressures of 500 psi maximum and a maximum temperature of 210 °C.</w:t>
            </w:r>
          </w:p>
        </w:tc>
      </w:tr>
      <w:tr w:rsidR="001C02AB" w:rsidRPr="00F01347" w14:paraId="0A4FB6B7" w14:textId="382BC6B5" w:rsidTr="00BF684F">
        <w:tc>
          <w:tcPr>
            <w:tcW w:w="4675" w:type="dxa"/>
          </w:tcPr>
          <w:p w14:paraId="79108874" w14:textId="77777777" w:rsidR="001C02AB" w:rsidRPr="00F01347" w:rsidRDefault="001C02AB" w:rsidP="001C02AB">
            <w:pPr>
              <w:pStyle w:val="texto0"/>
              <w:spacing w:line="217" w:lineRule="exact"/>
              <w:ind w:firstLine="0"/>
              <w:rPr>
                <w:rFonts w:ascii="Verdana" w:hAnsi="Verdana"/>
                <w:b/>
                <w:sz w:val="16"/>
                <w:szCs w:val="16"/>
              </w:rPr>
            </w:pPr>
            <w:r w:rsidRPr="00F01347">
              <w:rPr>
                <w:rFonts w:ascii="Verdana" w:hAnsi="Verdana"/>
                <w:b/>
                <w:sz w:val="16"/>
                <w:szCs w:val="16"/>
              </w:rPr>
              <w:t>B.4.2.5 Reactivos y soluciones</w:t>
            </w:r>
          </w:p>
        </w:tc>
        <w:tc>
          <w:tcPr>
            <w:tcW w:w="4675" w:type="dxa"/>
          </w:tcPr>
          <w:p w14:paraId="0272EECA" w14:textId="30A6256B" w:rsidR="001C02AB" w:rsidRPr="00F01347" w:rsidRDefault="001C02AB" w:rsidP="001C02AB">
            <w:pPr>
              <w:pStyle w:val="texto0"/>
              <w:spacing w:line="217" w:lineRule="exact"/>
              <w:ind w:firstLine="0"/>
              <w:rPr>
                <w:rFonts w:ascii="Verdana" w:hAnsi="Verdana"/>
                <w:b/>
                <w:sz w:val="16"/>
                <w:szCs w:val="16"/>
                <w:lang w:val="en-US"/>
              </w:rPr>
            </w:pPr>
            <w:r w:rsidRPr="00F01347">
              <w:rPr>
                <w:rFonts w:ascii="Verdana" w:hAnsi="Verdana"/>
                <w:b/>
                <w:sz w:val="16"/>
                <w:szCs w:val="16"/>
                <w:lang w:val="en-US"/>
              </w:rPr>
              <w:t>B.4.2.5 Reagents and solutions</w:t>
            </w:r>
          </w:p>
        </w:tc>
      </w:tr>
      <w:tr w:rsidR="001C02AB" w:rsidRPr="00F01347" w14:paraId="2A77E47C" w14:textId="6640AC09" w:rsidTr="00BF684F">
        <w:tc>
          <w:tcPr>
            <w:tcW w:w="4675" w:type="dxa"/>
          </w:tcPr>
          <w:p w14:paraId="2F21459A" w14:textId="77777777" w:rsidR="001C02AB" w:rsidRPr="00F01347" w:rsidRDefault="001C02AB" w:rsidP="001C02AB">
            <w:pPr>
              <w:pStyle w:val="texto0"/>
              <w:spacing w:line="217" w:lineRule="exact"/>
              <w:ind w:firstLine="0"/>
              <w:rPr>
                <w:rFonts w:ascii="Verdana" w:hAnsi="Verdana"/>
                <w:sz w:val="16"/>
                <w:szCs w:val="16"/>
              </w:rPr>
            </w:pPr>
            <w:r w:rsidRPr="00F01347">
              <w:rPr>
                <w:rFonts w:ascii="Verdana" w:hAnsi="Verdana"/>
                <w:sz w:val="16"/>
                <w:szCs w:val="16"/>
              </w:rPr>
              <w:t xml:space="preserve">A menos que se indique otro grado, los reactivos que se requieren en el método deben ser tipo ACS (American Chemical </w:t>
            </w:r>
            <w:proofErr w:type="spellStart"/>
            <w:r w:rsidRPr="00F01347">
              <w:rPr>
                <w:rFonts w:ascii="Verdana" w:hAnsi="Verdana"/>
                <w:sz w:val="16"/>
                <w:szCs w:val="16"/>
              </w:rPr>
              <w:t>Society</w:t>
            </w:r>
            <w:proofErr w:type="spellEnd"/>
            <w:r w:rsidRPr="00F01347">
              <w:rPr>
                <w:rFonts w:ascii="Verdana" w:hAnsi="Verdana"/>
                <w:sz w:val="16"/>
                <w:szCs w:val="16"/>
              </w:rPr>
              <w:t>) grado reactivo analítico. Prever que los reactivos sean de la pureza necesaria para permitir su uso sin que afecte la exactitud en la determinación.</w:t>
            </w:r>
          </w:p>
        </w:tc>
        <w:tc>
          <w:tcPr>
            <w:tcW w:w="4675" w:type="dxa"/>
          </w:tcPr>
          <w:p w14:paraId="5A14C583" w14:textId="09D92EEC" w:rsidR="001C02AB" w:rsidRPr="00F01347" w:rsidRDefault="001C02AB" w:rsidP="001C02AB">
            <w:pPr>
              <w:pStyle w:val="texto0"/>
              <w:spacing w:line="217" w:lineRule="exact"/>
              <w:ind w:firstLine="0"/>
              <w:rPr>
                <w:rFonts w:ascii="Verdana" w:hAnsi="Verdana"/>
                <w:sz w:val="16"/>
                <w:szCs w:val="16"/>
                <w:lang w:val="en-US"/>
              </w:rPr>
            </w:pPr>
            <w:r w:rsidRPr="00F01347">
              <w:rPr>
                <w:rFonts w:ascii="Verdana" w:hAnsi="Verdana"/>
                <w:sz w:val="16"/>
                <w:szCs w:val="16"/>
                <w:lang w:val="en-US"/>
              </w:rPr>
              <w:t>Unless another grade is indicated, reagents required in the method must be ACS (American Chemical Society</w:t>
            </w:r>
            <w:r w:rsidR="00913802" w:rsidRPr="00F01347">
              <w:rPr>
                <w:rFonts w:ascii="Verdana" w:hAnsi="Verdana"/>
                <w:sz w:val="16"/>
                <w:szCs w:val="16"/>
                <w:lang w:val="en-US"/>
              </w:rPr>
              <w:t>)</w:t>
            </w:r>
            <w:r w:rsidRPr="00F01347">
              <w:rPr>
                <w:rFonts w:ascii="Verdana" w:hAnsi="Verdana"/>
                <w:sz w:val="16"/>
                <w:szCs w:val="16"/>
                <w:lang w:val="en-US"/>
              </w:rPr>
              <w:t xml:space="preserve"> analytical reagent grade. Provide that the reagents are of the necessary purity to allow their use without affecting the accuracy of the determination.</w:t>
            </w:r>
          </w:p>
        </w:tc>
      </w:tr>
      <w:tr w:rsidR="001C02AB" w:rsidRPr="00F01347" w14:paraId="1791CE12" w14:textId="3F9833C6" w:rsidTr="00BF684F">
        <w:tc>
          <w:tcPr>
            <w:tcW w:w="4675" w:type="dxa"/>
          </w:tcPr>
          <w:p w14:paraId="54854415" w14:textId="77777777" w:rsidR="001C02AB" w:rsidRPr="00F01347" w:rsidRDefault="001C02AB" w:rsidP="001C02AB">
            <w:pPr>
              <w:pStyle w:val="texto0"/>
              <w:spacing w:line="217" w:lineRule="exact"/>
              <w:ind w:firstLine="0"/>
              <w:rPr>
                <w:rFonts w:ascii="Verdana" w:hAnsi="Verdana"/>
                <w:b/>
                <w:sz w:val="16"/>
                <w:szCs w:val="16"/>
              </w:rPr>
            </w:pPr>
            <w:r w:rsidRPr="00F01347">
              <w:rPr>
                <w:rFonts w:ascii="Verdana" w:hAnsi="Verdana"/>
                <w:b/>
                <w:sz w:val="16"/>
                <w:szCs w:val="16"/>
              </w:rPr>
              <w:t>Agua tipo I</w:t>
            </w:r>
          </w:p>
        </w:tc>
        <w:tc>
          <w:tcPr>
            <w:tcW w:w="4675" w:type="dxa"/>
          </w:tcPr>
          <w:p w14:paraId="4D0713E3" w14:textId="32781B80" w:rsidR="001C02AB" w:rsidRPr="00F01347" w:rsidRDefault="001C02AB" w:rsidP="001C02AB">
            <w:pPr>
              <w:pStyle w:val="texto0"/>
              <w:spacing w:line="217" w:lineRule="exact"/>
              <w:ind w:firstLine="0"/>
              <w:rPr>
                <w:rFonts w:ascii="Verdana" w:hAnsi="Verdana"/>
                <w:b/>
                <w:sz w:val="16"/>
                <w:szCs w:val="16"/>
                <w:lang w:val="en-US"/>
              </w:rPr>
            </w:pPr>
            <w:r w:rsidRPr="00F01347">
              <w:rPr>
                <w:rFonts w:ascii="Verdana" w:hAnsi="Verdana"/>
                <w:b/>
                <w:sz w:val="16"/>
                <w:szCs w:val="16"/>
                <w:lang w:val="en-US"/>
              </w:rPr>
              <w:t>Type I water</w:t>
            </w:r>
          </w:p>
        </w:tc>
      </w:tr>
      <w:tr w:rsidR="001C02AB" w:rsidRPr="00F01347" w14:paraId="12E6E548" w14:textId="54FB26B6" w:rsidTr="00BF684F">
        <w:tc>
          <w:tcPr>
            <w:tcW w:w="4675" w:type="dxa"/>
          </w:tcPr>
          <w:p w14:paraId="4F9B465B" w14:textId="77777777" w:rsidR="001C02AB" w:rsidRPr="00F01347" w:rsidRDefault="001C02AB" w:rsidP="001C02AB">
            <w:pPr>
              <w:pStyle w:val="texto0"/>
              <w:spacing w:line="217" w:lineRule="exact"/>
              <w:ind w:firstLine="0"/>
              <w:rPr>
                <w:rFonts w:ascii="Verdana" w:hAnsi="Verdana"/>
                <w:sz w:val="16"/>
                <w:szCs w:val="16"/>
              </w:rPr>
            </w:pPr>
            <w:r w:rsidRPr="00F01347">
              <w:rPr>
                <w:rFonts w:ascii="Verdana" w:hAnsi="Verdana"/>
                <w:b/>
                <w:sz w:val="16"/>
                <w:szCs w:val="16"/>
              </w:rPr>
              <w:t xml:space="preserve">Ácido clorhídrico </w:t>
            </w:r>
            <w:r w:rsidRPr="00F01347">
              <w:rPr>
                <w:rFonts w:ascii="Verdana" w:hAnsi="Verdana"/>
                <w:sz w:val="16"/>
                <w:szCs w:val="16"/>
              </w:rPr>
              <w:t>concentrado (HCl) con la pureza necesaria para evitar contaminación de las muestras.</w:t>
            </w:r>
          </w:p>
        </w:tc>
        <w:tc>
          <w:tcPr>
            <w:tcW w:w="4675" w:type="dxa"/>
          </w:tcPr>
          <w:p w14:paraId="4208EA96" w14:textId="6191DD35" w:rsidR="001C02AB" w:rsidRPr="00F01347" w:rsidRDefault="00AD2FE1" w:rsidP="001C02AB">
            <w:pPr>
              <w:pStyle w:val="texto0"/>
              <w:spacing w:line="217" w:lineRule="exact"/>
              <w:ind w:firstLine="0"/>
              <w:rPr>
                <w:rFonts w:ascii="Verdana" w:hAnsi="Verdana"/>
                <w:b/>
                <w:sz w:val="16"/>
                <w:szCs w:val="16"/>
                <w:lang w:val="en-US"/>
              </w:rPr>
            </w:pPr>
            <w:r w:rsidRPr="00F01347">
              <w:rPr>
                <w:rFonts w:ascii="Verdana" w:hAnsi="Verdana"/>
                <w:b/>
                <w:sz w:val="16"/>
                <w:szCs w:val="16"/>
                <w:lang w:val="en-US"/>
              </w:rPr>
              <w:t>H</w:t>
            </w:r>
            <w:r w:rsidR="001C02AB" w:rsidRPr="00F01347">
              <w:rPr>
                <w:rFonts w:ascii="Verdana" w:hAnsi="Verdana"/>
                <w:b/>
                <w:sz w:val="16"/>
                <w:szCs w:val="16"/>
                <w:lang w:val="en-US"/>
              </w:rPr>
              <w:t xml:space="preserve">ydrochloric acid </w:t>
            </w:r>
            <w:r w:rsidR="001C02AB" w:rsidRPr="00F01347">
              <w:rPr>
                <w:rFonts w:ascii="Verdana" w:hAnsi="Verdana"/>
                <w:sz w:val="16"/>
                <w:szCs w:val="16"/>
                <w:lang w:val="en-US"/>
              </w:rPr>
              <w:t>(HCl) with the necessary purity to avoid contamination of the samples.</w:t>
            </w:r>
          </w:p>
        </w:tc>
      </w:tr>
      <w:tr w:rsidR="001C02AB" w:rsidRPr="00F01347" w14:paraId="1987C3AA" w14:textId="22C63043" w:rsidTr="00BF684F">
        <w:tc>
          <w:tcPr>
            <w:tcW w:w="4675" w:type="dxa"/>
          </w:tcPr>
          <w:p w14:paraId="3EF6B4ED" w14:textId="77777777" w:rsidR="001C02AB" w:rsidRPr="00F01347" w:rsidRDefault="001C02AB" w:rsidP="001C02AB">
            <w:pPr>
              <w:pStyle w:val="texto0"/>
              <w:spacing w:line="217" w:lineRule="exact"/>
              <w:ind w:firstLine="0"/>
              <w:rPr>
                <w:rFonts w:ascii="Verdana" w:hAnsi="Verdana"/>
                <w:sz w:val="16"/>
                <w:szCs w:val="16"/>
              </w:rPr>
            </w:pPr>
            <w:r w:rsidRPr="00F01347">
              <w:rPr>
                <w:rFonts w:ascii="Verdana" w:hAnsi="Verdana"/>
                <w:b/>
                <w:sz w:val="16"/>
                <w:szCs w:val="16"/>
              </w:rPr>
              <w:t>Ácido nítrico concentrado (HNO3)</w:t>
            </w:r>
            <w:r w:rsidRPr="00F01347">
              <w:rPr>
                <w:rFonts w:ascii="Verdana" w:hAnsi="Verdana"/>
                <w:sz w:val="16"/>
                <w:szCs w:val="16"/>
              </w:rPr>
              <w:t xml:space="preserve"> con la pureza necesaria para evitar contaminación de las muestras.</w:t>
            </w:r>
          </w:p>
        </w:tc>
        <w:tc>
          <w:tcPr>
            <w:tcW w:w="4675" w:type="dxa"/>
          </w:tcPr>
          <w:p w14:paraId="28364B1D" w14:textId="27378124" w:rsidR="001C02AB" w:rsidRPr="00F01347" w:rsidRDefault="001C02AB" w:rsidP="001C02AB">
            <w:pPr>
              <w:pStyle w:val="texto0"/>
              <w:spacing w:line="217" w:lineRule="exact"/>
              <w:ind w:firstLine="0"/>
              <w:rPr>
                <w:rFonts w:ascii="Verdana" w:hAnsi="Verdana"/>
                <w:b/>
                <w:sz w:val="16"/>
                <w:szCs w:val="16"/>
                <w:lang w:val="en-US"/>
              </w:rPr>
            </w:pPr>
            <w:r w:rsidRPr="00F01347">
              <w:rPr>
                <w:rFonts w:ascii="Verdana" w:hAnsi="Verdana"/>
                <w:b/>
                <w:sz w:val="16"/>
                <w:szCs w:val="16"/>
                <w:lang w:val="en-US"/>
              </w:rPr>
              <w:t xml:space="preserve">Concentrated nitric acid (HNO3) </w:t>
            </w:r>
            <w:r w:rsidRPr="00F01347">
              <w:rPr>
                <w:rFonts w:ascii="Verdana" w:hAnsi="Verdana"/>
                <w:sz w:val="16"/>
                <w:szCs w:val="16"/>
                <w:lang w:val="en-US"/>
              </w:rPr>
              <w:t>with the necessary purity to avoid contamination of the samples.</w:t>
            </w:r>
          </w:p>
        </w:tc>
      </w:tr>
      <w:tr w:rsidR="001C02AB" w:rsidRPr="00F01347" w14:paraId="65FD85CB" w14:textId="0BD8E7F8" w:rsidTr="00BF684F">
        <w:tc>
          <w:tcPr>
            <w:tcW w:w="4675" w:type="dxa"/>
          </w:tcPr>
          <w:p w14:paraId="086A02E3" w14:textId="77777777"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 xml:space="preserve">Disolución de ácido clorhídrico HCl (1:2). </w:t>
            </w:r>
            <w:r w:rsidRPr="00F01347">
              <w:rPr>
                <w:rFonts w:ascii="Verdana" w:hAnsi="Verdana"/>
                <w:sz w:val="16"/>
                <w:szCs w:val="16"/>
              </w:rPr>
              <w:t xml:space="preserve">Agregar 500 </w:t>
            </w:r>
            <w:proofErr w:type="spellStart"/>
            <w:r w:rsidRPr="00F01347">
              <w:rPr>
                <w:rFonts w:ascii="Verdana" w:hAnsi="Verdana"/>
                <w:sz w:val="16"/>
                <w:szCs w:val="16"/>
              </w:rPr>
              <w:t>mL</w:t>
            </w:r>
            <w:proofErr w:type="spellEnd"/>
            <w:r w:rsidRPr="00F01347">
              <w:rPr>
                <w:rFonts w:ascii="Verdana" w:hAnsi="Verdana"/>
                <w:sz w:val="16"/>
                <w:szCs w:val="16"/>
              </w:rPr>
              <w:t xml:space="preserve"> de HCl concentrado a 400 </w:t>
            </w:r>
            <w:proofErr w:type="spellStart"/>
            <w:r w:rsidRPr="00F01347">
              <w:rPr>
                <w:rFonts w:ascii="Verdana" w:hAnsi="Verdana"/>
                <w:sz w:val="16"/>
                <w:szCs w:val="16"/>
              </w:rPr>
              <w:t>mL</w:t>
            </w:r>
            <w:proofErr w:type="spellEnd"/>
            <w:r w:rsidRPr="00F01347">
              <w:rPr>
                <w:rFonts w:ascii="Verdana" w:hAnsi="Verdana"/>
                <w:sz w:val="16"/>
                <w:szCs w:val="16"/>
              </w:rPr>
              <w:t xml:space="preserve"> de agua contenidos en un matraz volumétrico de 1 L y llevar al volumen.</w:t>
            </w:r>
          </w:p>
        </w:tc>
        <w:tc>
          <w:tcPr>
            <w:tcW w:w="4675" w:type="dxa"/>
          </w:tcPr>
          <w:p w14:paraId="1B47BE9B" w14:textId="17621C5F"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 xml:space="preserve">HCl hydrochloric acid solution (1:2). </w:t>
            </w:r>
            <w:r w:rsidRPr="00F01347">
              <w:rPr>
                <w:rFonts w:ascii="Verdana" w:hAnsi="Verdana"/>
                <w:sz w:val="16"/>
                <w:szCs w:val="16"/>
                <w:lang w:val="en-US"/>
              </w:rPr>
              <w:t>Add 500 mL of concentrated HCl to 400 mL of water contained in a 1 L volumetric flask and bring to volume.</w:t>
            </w:r>
          </w:p>
        </w:tc>
      </w:tr>
      <w:tr w:rsidR="001C02AB" w:rsidRPr="00F01347" w14:paraId="65A48D1F" w14:textId="64F68B7B" w:rsidTr="00BF684F">
        <w:tc>
          <w:tcPr>
            <w:tcW w:w="4675" w:type="dxa"/>
          </w:tcPr>
          <w:p w14:paraId="4A02B9F3" w14:textId="77777777"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Disoluciones patrón estándar para cada analito.</w:t>
            </w:r>
            <w:r w:rsidRPr="00F01347">
              <w:rPr>
                <w:rFonts w:ascii="Verdana" w:hAnsi="Verdana"/>
                <w:sz w:val="16"/>
                <w:szCs w:val="16"/>
              </w:rPr>
              <w:t xml:space="preserve"> Estas disoluciones pueden ser compradas o preparadas a partir de productos químicos de </w:t>
            </w:r>
            <w:proofErr w:type="spellStart"/>
            <w:r w:rsidRPr="00F01347">
              <w:rPr>
                <w:rFonts w:ascii="Verdana" w:hAnsi="Verdana"/>
                <w:sz w:val="16"/>
                <w:szCs w:val="16"/>
              </w:rPr>
              <w:t>ultra-alta</w:t>
            </w:r>
            <w:proofErr w:type="spellEnd"/>
            <w:r w:rsidRPr="00F01347">
              <w:rPr>
                <w:rFonts w:ascii="Verdana" w:hAnsi="Verdana"/>
                <w:sz w:val="16"/>
                <w:szCs w:val="16"/>
              </w:rPr>
              <w:t xml:space="preserve"> pureza (99.99 % o de mayor pureza). Todas las sales deben ser secadas por 1 hora a 105°C, con algunas excepciones específicas anotadas. Muchas sales de metales son extremadamente tóxicas si son inhalados o ingeridos. Lavarse las manos cuidadosamente después de su manejo.</w:t>
            </w:r>
          </w:p>
        </w:tc>
        <w:tc>
          <w:tcPr>
            <w:tcW w:w="4675" w:type="dxa"/>
          </w:tcPr>
          <w:p w14:paraId="6151E7E4" w14:textId="742CDB60"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 xml:space="preserve">Standard solutions for each analyte. </w:t>
            </w:r>
            <w:r w:rsidRPr="00F01347">
              <w:rPr>
                <w:rFonts w:ascii="Verdana" w:hAnsi="Verdana"/>
                <w:sz w:val="16"/>
                <w:szCs w:val="16"/>
                <w:lang w:val="en-US"/>
              </w:rPr>
              <w:t>These solutions can be purchased or prepared from ultra-high purity chemicals (99.99% or higher purity). All salts must be dried for 1 hour at 105°C, with some specific exceptions noted. Many metal salts are extremely toxic if inhaled or ingested. Wash hands carefully after handling.</w:t>
            </w:r>
          </w:p>
        </w:tc>
      </w:tr>
      <w:tr w:rsidR="001C02AB" w:rsidRPr="00F01347" w14:paraId="08353C3D" w14:textId="6CE028CF" w:rsidTr="00BF684F">
        <w:tc>
          <w:tcPr>
            <w:tcW w:w="4675" w:type="dxa"/>
          </w:tcPr>
          <w:p w14:paraId="74C6C30A" w14:textId="77777777" w:rsidR="001C02AB" w:rsidRPr="00F01347" w:rsidRDefault="001C02AB" w:rsidP="001C02AB">
            <w:pPr>
              <w:pStyle w:val="texto0"/>
              <w:spacing w:after="93"/>
              <w:ind w:firstLine="0"/>
              <w:rPr>
                <w:rFonts w:ascii="Verdana" w:hAnsi="Verdana"/>
                <w:sz w:val="16"/>
                <w:szCs w:val="16"/>
              </w:rPr>
            </w:pPr>
            <w:r w:rsidRPr="00F01347">
              <w:rPr>
                <w:rFonts w:ascii="Verdana" w:hAnsi="Verdana"/>
                <w:sz w:val="16"/>
                <w:szCs w:val="16"/>
              </w:rPr>
              <w:t>Para la preparación de las disoluciones estándares concentradas típicas proceder conforme a lo siguiente:</w:t>
            </w:r>
          </w:p>
        </w:tc>
        <w:tc>
          <w:tcPr>
            <w:tcW w:w="4675" w:type="dxa"/>
          </w:tcPr>
          <w:p w14:paraId="6E8A8C80" w14:textId="217472BB" w:rsidR="001C02AB" w:rsidRPr="00F01347" w:rsidRDefault="001C02AB" w:rsidP="001C02AB">
            <w:pPr>
              <w:pStyle w:val="texto0"/>
              <w:spacing w:after="93"/>
              <w:ind w:firstLine="0"/>
              <w:rPr>
                <w:rFonts w:ascii="Verdana" w:hAnsi="Verdana"/>
                <w:sz w:val="16"/>
                <w:szCs w:val="16"/>
                <w:lang w:val="en-US"/>
              </w:rPr>
            </w:pPr>
            <w:r w:rsidRPr="00F01347">
              <w:rPr>
                <w:rFonts w:ascii="Verdana" w:hAnsi="Verdana"/>
                <w:sz w:val="16"/>
                <w:szCs w:val="16"/>
                <w:lang w:val="en-US"/>
              </w:rPr>
              <w:t>To prepare typical concentrated standard solutions, proceed as follows:</w:t>
            </w:r>
          </w:p>
        </w:tc>
      </w:tr>
      <w:tr w:rsidR="001C02AB" w:rsidRPr="00F01347" w14:paraId="34D6E1B6" w14:textId="63F4FDF0" w:rsidTr="00BF684F">
        <w:tc>
          <w:tcPr>
            <w:tcW w:w="4675" w:type="dxa"/>
          </w:tcPr>
          <w:p w14:paraId="7D54AF52" w14:textId="77777777" w:rsidR="001C02AB" w:rsidRPr="00F01347" w:rsidRDefault="001C02AB" w:rsidP="001C02AB">
            <w:pPr>
              <w:pStyle w:val="texto0"/>
              <w:spacing w:after="93"/>
              <w:ind w:firstLine="0"/>
              <w:rPr>
                <w:rFonts w:ascii="Verdana" w:hAnsi="Verdana"/>
                <w:sz w:val="16"/>
                <w:szCs w:val="16"/>
              </w:rPr>
            </w:pPr>
            <w:r w:rsidRPr="00F01347">
              <w:rPr>
                <w:rFonts w:ascii="Verdana" w:hAnsi="Verdana"/>
                <w:sz w:val="16"/>
                <w:szCs w:val="16"/>
              </w:rPr>
              <w:t>Calcular las concentraciones en base al peso de metal puro añadido, o mediante el uso de la fracción del elemento y el peso de la sal de metal añadido.</w:t>
            </w:r>
          </w:p>
        </w:tc>
        <w:tc>
          <w:tcPr>
            <w:tcW w:w="4675" w:type="dxa"/>
          </w:tcPr>
          <w:p w14:paraId="48BED274" w14:textId="0B624069" w:rsidR="001C02AB" w:rsidRPr="00F01347" w:rsidRDefault="001C02AB" w:rsidP="001C02AB">
            <w:pPr>
              <w:pStyle w:val="texto0"/>
              <w:spacing w:after="93"/>
              <w:ind w:firstLine="0"/>
              <w:rPr>
                <w:rFonts w:ascii="Verdana" w:hAnsi="Verdana"/>
                <w:sz w:val="16"/>
                <w:szCs w:val="16"/>
                <w:lang w:val="en-US"/>
              </w:rPr>
            </w:pPr>
            <w:r w:rsidRPr="00F01347">
              <w:rPr>
                <w:rFonts w:ascii="Verdana" w:hAnsi="Verdana"/>
                <w:sz w:val="16"/>
                <w:szCs w:val="16"/>
                <w:lang w:val="en-US"/>
              </w:rPr>
              <w:t>Calculate concentrations based on the weight of pure metal added, or by using the fraction of the element and the weight of the metal salt added.</w:t>
            </w:r>
          </w:p>
        </w:tc>
      </w:tr>
      <w:tr w:rsidR="001C02AB" w:rsidRPr="00F01347" w14:paraId="6E8B6527" w14:textId="1E2F77D7" w:rsidTr="00BF684F">
        <w:tc>
          <w:tcPr>
            <w:tcW w:w="4675" w:type="dxa"/>
          </w:tcPr>
          <w:p w14:paraId="329DE5F3" w14:textId="77777777"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 xml:space="preserve">Disolución concentrada de aluminio, 1 </w:t>
            </w:r>
            <w:proofErr w:type="spellStart"/>
            <w:r w:rsidRPr="00F01347">
              <w:rPr>
                <w:rFonts w:ascii="Verdana" w:hAnsi="Verdana"/>
                <w:b/>
                <w:sz w:val="16"/>
                <w:szCs w:val="16"/>
              </w:rPr>
              <w:t>mL</w:t>
            </w:r>
            <w:proofErr w:type="spellEnd"/>
            <w:r w:rsidRPr="00F01347">
              <w:rPr>
                <w:rFonts w:ascii="Verdana" w:hAnsi="Verdana"/>
                <w:b/>
                <w:sz w:val="16"/>
                <w:szCs w:val="16"/>
              </w:rPr>
              <w:t xml:space="preserve"> = 1 000 µg Al</w:t>
            </w:r>
            <w:r w:rsidRPr="00F01347">
              <w:rPr>
                <w:rFonts w:ascii="Verdana" w:hAnsi="Verdana"/>
                <w:sz w:val="16"/>
                <w:szCs w:val="16"/>
              </w:rPr>
              <w:t xml:space="preserve">. En un vaso disolver 1.0 g </w:t>
            </w:r>
            <w:proofErr w:type="spellStart"/>
            <w:r w:rsidRPr="00F01347">
              <w:rPr>
                <w:rFonts w:ascii="Verdana" w:hAnsi="Verdana"/>
                <w:sz w:val="16"/>
                <w:szCs w:val="16"/>
              </w:rPr>
              <w:t>of</w:t>
            </w:r>
            <w:proofErr w:type="spellEnd"/>
            <w:r w:rsidRPr="00F01347">
              <w:rPr>
                <w:rFonts w:ascii="Verdana" w:hAnsi="Verdana"/>
                <w:sz w:val="16"/>
                <w:szCs w:val="16"/>
              </w:rPr>
              <w:t xml:space="preserve"> aluminio metálico con 4.0 </w:t>
            </w:r>
            <w:proofErr w:type="spellStart"/>
            <w:r w:rsidRPr="00F01347">
              <w:rPr>
                <w:rFonts w:ascii="Verdana" w:hAnsi="Verdana"/>
                <w:sz w:val="16"/>
                <w:szCs w:val="16"/>
              </w:rPr>
              <w:t>mL</w:t>
            </w:r>
            <w:proofErr w:type="spellEnd"/>
            <w:r w:rsidRPr="00F01347">
              <w:rPr>
                <w:rFonts w:ascii="Verdana" w:hAnsi="Verdana"/>
                <w:sz w:val="16"/>
                <w:szCs w:val="16"/>
              </w:rPr>
              <w:t xml:space="preserve"> de HCl (1:1) y 1.0 </w:t>
            </w:r>
            <w:proofErr w:type="spellStart"/>
            <w:r w:rsidRPr="00F01347">
              <w:rPr>
                <w:rFonts w:ascii="Verdana" w:hAnsi="Verdana"/>
                <w:sz w:val="16"/>
                <w:szCs w:val="16"/>
              </w:rPr>
              <w:t>mL</w:t>
            </w:r>
            <w:proofErr w:type="spellEnd"/>
            <w:r w:rsidRPr="00F01347">
              <w:rPr>
                <w:rFonts w:ascii="Verdana" w:hAnsi="Verdana"/>
                <w:sz w:val="16"/>
                <w:szCs w:val="16"/>
              </w:rPr>
              <w:t xml:space="preserve"> de HN03 </w:t>
            </w:r>
            <w:proofErr w:type="spellStart"/>
            <w:r w:rsidRPr="00F01347">
              <w:rPr>
                <w:rFonts w:ascii="Verdana" w:hAnsi="Verdana"/>
                <w:sz w:val="16"/>
                <w:szCs w:val="16"/>
              </w:rPr>
              <w:t>conc</w:t>
            </w:r>
            <w:proofErr w:type="spellEnd"/>
            <w:r w:rsidRPr="00F01347">
              <w:rPr>
                <w:rFonts w:ascii="Verdana" w:hAnsi="Verdana"/>
                <w:sz w:val="16"/>
                <w:szCs w:val="16"/>
              </w:rPr>
              <w:t xml:space="preserve">. Calentar lentamente para disolver el metal. Una vez que se haya disuelto completamente, transferir la disolución cuantitativamente a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xml:space="preserve">, agregar 10.0 </w:t>
            </w:r>
            <w:proofErr w:type="spellStart"/>
            <w:r w:rsidRPr="00F01347">
              <w:rPr>
                <w:rFonts w:ascii="Verdana" w:hAnsi="Verdana"/>
                <w:sz w:val="16"/>
                <w:szCs w:val="16"/>
              </w:rPr>
              <w:t>mL</w:t>
            </w:r>
            <w:proofErr w:type="spellEnd"/>
            <w:r w:rsidRPr="00F01347">
              <w:rPr>
                <w:rFonts w:ascii="Verdana" w:hAnsi="Verdana"/>
                <w:sz w:val="16"/>
                <w:szCs w:val="16"/>
              </w:rPr>
              <w:t xml:space="preserve"> de HCl (1:1) y diluir al volumen con agua grado reactivo.</w:t>
            </w:r>
          </w:p>
        </w:tc>
        <w:tc>
          <w:tcPr>
            <w:tcW w:w="4675" w:type="dxa"/>
          </w:tcPr>
          <w:p w14:paraId="1E1541B5" w14:textId="67FBB1B4"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Concentrated aluminum solution, 1 mL = 1,000 µg Al</w:t>
            </w:r>
            <w:r w:rsidR="003E1BA9" w:rsidRPr="00F01347">
              <w:rPr>
                <w:rFonts w:ascii="Verdana" w:hAnsi="Verdana"/>
                <w:b/>
                <w:sz w:val="16"/>
                <w:szCs w:val="16"/>
                <w:lang w:val="en-US"/>
              </w:rPr>
              <w:t>.</w:t>
            </w:r>
            <w:r w:rsidRPr="00F01347">
              <w:rPr>
                <w:rFonts w:ascii="Verdana" w:hAnsi="Verdana"/>
                <w:sz w:val="16"/>
                <w:szCs w:val="16"/>
                <w:lang w:val="en-US"/>
              </w:rPr>
              <w:t xml:space="preserve"> In a beaker, dissolve 1.0 g of metallic aluminum with 4.0 mL of HCl (1:1) and 1.0 mL of conc</w:t>
            </w:r>
            <w:r w:rsidR="00873AD2" w:rsidRPr="00F01347">
              <w:rPr>
                <w:rFonts w:ascii="Verdana" w:hAnsi="Verdana"/>
                <w:sz w:val="16"/>
                <w:szCs w:val="16"/>
                <w:lang w:val="en-US"/>
              </w:rPr>
              <w:t>entrate</w:t>
            </w:r>
            <w:r w:rsidRPr="00F01347">
              <w:rPr>
                <w:rFonts w:ascii="Verdana" w:hAnsi="Verdana"/>
                <w:sz w:val="16"/>
                <w:szCs w:val="16"/>
                <w:lang w:val="en-US"/>
              </w:rPr>
              <w:t xml:space="preserve"> HN03</w:t>
            </w:r>
            <w:r w:rsidR="003E1BA9" w:rsidRPr="00F01347">
              <w:rPr>
                <w:rFonts w:ascii="Verdana" w:hAnsi="Verdana"/>
                <w:sz w:val="16"/>
                <w:szCs w:val="16"/>
                <w:lang w:val="en-US"/>
              </w:rPr>
              <w:t>.</w:t>
            </w:r>
            <w:r w:rsidRPr="00F01347">
              <w:rPr>
                <w:rFonts w:ascii="Verdana" w:hAnsi="Verdana"/>
                <w:sz w:val="16"/>
                <w:szCs w:val="16"/>
                <w:lang w:val="en-US"/>
              </w:rPr>
              <w:t xml:space="preserve"> Heat slowly to dissolve the metal. Once completely dissolved, transfer the solution quantitatively to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add 10.0 mL of HCl (1:1) and dilute to volume with reagent grade water.</w:t>
            </w:r>
          </w:p>
        </w:tc>
      </w:tr>
      <w:tr w:rsidR="001C02AB" w:rsidRPr="00F01347" w14:paraId="4D968CCB" w14:textId="6573CDE9" w:rsidTr="00BF684F">
        <w:tc>
          <w:tcPr>
            <w:tcW w:w="4675" w:type="dxa"/>
          </w:tcPr>
          <w:p w14:paraId="74B48D1D" w14:textId="77777777"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 xml:space="preserve">Disolución concentrada de antimonio, 1 </w:t>
            </w:r>
            <w:proofErr w:type="spellStart"/>
            <w:r w:rsidRPr="00F01347">
              <w:rPr>
                <w:rFonts w:ascii="Verdana" w:hAnsi="Verdana"/>
                <w:b/>
                <w:sz w:val="16"/>
                <w:szCs w:val="16"/>
              </w:rPr>
              <w:t>mL</w:t>
            </w:r>
            <w:proofErr w:type="spellEnd"/>
            <w:r w:rsidRPr="00F01347">
              <w:rPr>
                <w:rFonts w:ascii="Verdana" w:hAnsi="Verdana"/>
                <w:b/>
                <w:sz w:val="16"/>
                <w:szCs w:val="16"/>
              </w:rPr>
              <w:t xml:space="preserve"> = 1 000 µg Sb</w:t>
            </w:r>
            <w:r w:rsidRPr="00F01347">
              <w:rPr>
                <w:rFonts w:ascii="Verdana" w:hAnsi="Verdana"/>
                <w:sz w:val="16"/>
                <w:szCs w:val="16"/>
              </w:rPr>
              <w:t xml:space="preserve">.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disolver 2.667 3 g de K (</w:t>
            </w:r>
            <w:proofErr w:type="spellStart"/>
            <w:r w:rsidRPr="00F01347">
              <w:rPr>
                <w:rFonts w:ascii="Verdana" w:hAnsi="Verdana"/>
                <w:sz w:val="16"/>
                <w:szCs w:val="16"/>
              </w:rPr>
              <w:t>SbO</w:t>
            </w:r>
            <w:proofErr w:type="spellEnd"/>
            <w:r w:rsidRPr="00F01347">
              <w:rPr>
                <w:rFonts w:ascii="Verdana" w:hAnsi="Verdana"/>
                <w:sz w:val="16"/>
                <w:szCs w:val="16"/>
              </w:rPr>
              <w:t>)C</w:t>
            </w:r>
            <w:r w:rsidRPr="00F01347">
              <w:rPr>
                <w:rFonts w:ascii="Verdana" w:hAnsi="Verdana"/>
                <w:sz w:val="16"/>
                <w:szCs w:val="16"/>
                <w:vertAlign w:val="subscript"/>
              </w:rPr>
              <w:t>4</w:t>
            </w:r>
            <w:r w:rsidRPr="00F01347">
              <w:rPr>
                <w:rFonts w:ascii="Verdana" w:hAnsi="Verdana"/>
                <w:sz w:val="16"/>
                <w:szCs w:val="16"/>
              </w:rPr>
              <w:t>H</w:t>
            </w:r>
            <w:r w:rsidRPr="00F01347">
              <w:rPr>
                <w:rFonts w:ascii="Verdana" w:hAnsi="Verdana"/>
                <w:sz w:val="16"/>
                <w:szCs w:val="16"/>
                <w:vertAlign w:val="subscript"/>
              </w:rPr>
              <w:t>4</w:t>
            </w:r>
            <w:r w:rsidRPr="00F01347">
              <w:rPr>
                <w:rFonts w:ascii="Verdana" w:hAnsi="Verdana"/>
                <w:sz w:val="16"/>
                <w:szCs w:val="16"/>
              </w:rPr>
              <w:t>O</w:t>
            </w:r>
            <w:r w:rsidRPr="00F01347">
              <w:rPr>
                <w:rFonts w:ascii="Verdana" w:hAnsi="Verdana"/>
                <w:sz w:val="16"/>
                <w:szCs w:val="16"/>
                <w:vertAlign w:val="subscript"/>
              </w:rPr>
              <w:t>6</w:t>
            </w:r>
            <w:r w:rsidRPr="00F01347">
              <w:rPr>
                <w:rFonts w:ascii="Verdana" w:hAnsi="Verdana"/>
                <w:sz w:val="16"/>
                <w:szCs w:val="16"/>
              </w:rPr>
              <w:t xml:space="preserve"> (fracción del elemento Sb = 0.374 9), con agua grado reactivo, adicionar 10 </w:t>
            </w:r>
            <w:proofErr w:type="spellStart"/>
            <w:r w:rsidRPr="00F01347">
              <w:rPr>
                <w:rFonts w:ascii="Verdana" w:hAnsi="Verdana"/>
                <w:sz w:val="16"/>
                <w:szCs w:val="16"/>
              </w:rPr>
              <w:t>mL</w:t>
            </w:r>
            <w:proofErr w:type="spellEnd"/>
            <w:r w:rsidRPr="00F01347">
              <w:rPr>
                <w:rFonts w:ascii="Verdana" w:hAnsi="Verdana"/>
                <w:sz w:val="16"/>
                <w:szCs w:val="16"/>
              </w:rPr>
              <w:t xml:space="preserve"> de HCl (1:1), y diluir al volumen con agua.</w:t>
            </w:r>
          </w:p>
        </w:tc>
        <w:tc>
          <w:tcPr>
            <w:tcW w:w="4675" w:type="dxa"/>
          </w:tcPr>
          <w:p w14:paraId="26AF4CEC" w14:textId="065214CE"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Concentrated antimony solution, 1 mL = 1,000 µg Sb</w:t>
            </w:r>
            <w:r w:rsidR="003E1BA9" w:rsidRPr="00F01347">
              <w:rPr>
                <w:rFonts w:ascii="Verdana" w:hAnsi="Verdana"/>
                <w:b/>
                <w:sz w:val="16"/>
                <w:szCs w:val="16"/>
                <w:lang w:val="en-US"/>
              </w:rPr>
              <w:t>.</w:t>
            </w:r>
            <w:r w:rsidRPr="00F01347">
              <w:rPr>
                <w:rFonts w:ascii="Verdana" w:hAnsi="Verdana"/>
                <w:sz w:val="16"/>
                <w:szCs w:val="16"/>
                <w:lang w:val="en-US"/>
              </w:rPr>
              <w:t xml:space="preserve"> In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dissolve 2.667 3 g of K </w:t>
            </w:r>
            <w:r w:rsidR="00CB209C" w:rsidRPr="00F01347">
              <w:rPr>
                <w:rFonts w:ascii="Verdana" w:hAnsi="Verdana"/>
                <w:sz w:val="16"/>
                <w:szCs w:val="16"/>
                <w:lang w:val="en-US"/>
              </w:rPr>
              <w:t>(</w:t>
            </w:r>
            <w:proofErr w:type="spellStart"/>
            <w:r w:rsidRPr="00F01347">
              <w:rPr>
                <w:rFonts w:ascii="Verdana" w:hAnsi="Verdana"/>
                <w:sz w:val="16"/>
                <w:szCs w:val="16"/>
                <w:lang w:val="en-US"/>
              </w:rPr>
              <w:t>SbO</w:t>
            </w:r>
            <w:proofErr w:type="spellEnd"/>
            <w:r w:rsidR="00913802" w:rsidRPr="00F01347">
              <w:rPr>
                <w:rFonts w:ascii="Verdana" w:hAnsi="Verdana"/>
                <w:sz w:val="16"/>
                <w:szCs w:val="16"/>
                <w:lang w:val="en-US"/>
              </w:rPr>
              <w:t>)</w:t>
            </w:r>
            <w:r w:rsidRPr="00F01347">
              <w:rPr>
                <w:rFonts w:ascii="Verdana" w:hAnsi="Verdana"/>
                <w:sz w:val="16"/>
                <w:szCs w:val="16"/>
                <w:lang w:val="en-US"/>
              </w:rPr>
              <w:t>C</w:t>
            </w:r>
            <w:r w:rsidRPr="00F01347">
              <w:rPr>
                <w:rFonts w:ascii="Verdana" w:hAnsi="Verdana"/>
                <w:sz w:val="16"/>
                <w:szCs w:val="16"/>
                <w:vertAlign w:val="subscript"/>
                <w:lang w:val="en-US"/>
              </w:rPr>
              <w:t>4</w:t>
            </w:r>
            <w:r w:rsidRPr="00F01347">
              <w:rPr>
                <w:rFonts w:ascii="Verdana" w:hAnsi="Verdana"/>
                <w:sz w:val="16"/>
                <w:szCs w:val="16"/>
                <w:lang w:val="en-US"/>
              </w:rPr>
              <w:t>H</w:t>
            </w:r>
            <w:r w:rsidRPr="00F01347">
              <w:rPr>
                <w:rFonts w:ascii="Verdana" w:hAnsi="Verdana"/>
                <w:sz w:val="16"/>
                <w:szCs w:val="16"/>
                <w:vertAlign w:val="subscript"/>
                <w:lang w:val="en-US"/>
              </w:rPr>
              <w:t>4</w:t>
            </w:r>
            <w:r w:rsidRPr="00F01347">
              <w:rPr>
                <w:rFonts w:ascii="Verdana" w:hAnsi="Verdana"/>
                <w:sz w:val="16"/>
                <w:szCs w:val="16"/>
                <w:lang w:val="en-US"/>
              </w:rPr>
              <w:t>O</w:t>
            </w:r>
            <w:r w:rsidRPr="00F01347">
              <w:rPr>
                <w:rFonts w:ascii="Verdana" w:hAnsi="Verdana"/>
                <w:sz w:val="16"/>
                <w:szCs w:val="16"/>
                <w:vertAlign w:val="subscript"/>
                <w:lang w:val="en-US"/>
              </w:rPr>
              <w:t xml:space="preserve">6 </w:t>
            </w:r>
            <w:r w:rsidRPr="00F01347">
              <w:rPr>
                <w:rFonts w:ascii="Verdana" w:hAnsi="Verdana"/>
                <w:sz w:val="16"/>
                <w:szCs w:val="16"/>
                <w:lang w:val="en-US"/>
              </w:rPr>
              <w:t>(fraction of the element Sb = 0.374 9), with reagent grade water, add 10 mL of HCl (1:1), and dilute to volume with water.</w:t>
            </w:r>
          </w:p>
        </w:tc>
      </w:tr>
      <w:tr w:rsidR="001C02AB" w:rsidRPr="00F01347" w14:paraId="6984165A" w14:textId="243ED8CB" w:rsidTr="00BF684F">
        <w:tc>
          <w:tcPr>
            <w:tcW w:w="4675" w:type="dxa"/>
          </w:tcPr>
          <w:p w14:paraId="23A419F2" w14:textId="4E30C889"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lastRenderedPageBreak/>
              <w:t xml:space="preserve">Disolución concentrada de arsénico, 1 </w:t>
            </w:r>
            <w:proofErr w:type="spellStart"/>
            <w:r w:rsidRPr="00F01347">
              <w:rPr>
                <w:rFonts w:ascii="Verdana" w:hAnsi="Verdana"/>
                <w:b/>
                <w:sz w:val="16"/>
                <w:szCs w:val="16"/>
              </w:rPr>
              <w:t>mL</w:t>
            </w:r>
            <w:proofErr w:type="spellEnd"/>
            <w:r w:rsidRPr="00F01347">
              <w:rPr>
                <w:rFonts w:ascii="Verdana" w:hAnsi="Verdana"/>
                <w:b/>
                <w:sz w:val="16"/>
                <w:szCs w:val="16"/>
              </w:rPr>
              <w:t xml:space="preserve"> = 1000 µg As.</w:t>
            </w:r>
            <w:r w:rsidRPr="00F01347">
              <w:rPr>
                <w:rFonts w:ascii="Verdana" w:hAnsi="Verdana"/>
                <w:sz w:val="16"/>
                <w:szCs w:val="16"/>
              </w:rPr>
              <w:t xml:space="preserve">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xml:space="preserve"> disolver 1.320 3 g de As</w:t>
            </w:r>
            <w:r w:rsidRPr="00F01347">
              <w:rPr>
                <w:rFonts w:ascii="Verdana" w:hAnsi="Verdana"/>
                <w:sz w:val="16"/>
                <w:szCs w:val="16"/>
                <w:vertAlign w:val="subscript"/>
              </w:rPr>
              <w:t>2</w:t>
            </w:r>
            <w:r w:rsidRPr="00F01347">
              <w:rPr>
                <w:rFonts w:ascii="Verdana" w:hAnsi="Verdana"/>
                <w:sz w:val="16"/>
                <w:szCs w:val="16"/>
              </w:rPr>
              <w:t>O</w:t>
            </w:r>
            <w:r w:rsidRPr="00F01347">
              <w:rPr>
                <w:rFonts w:ascii="Verdana" w:hAnsi="Verdana"/>
                <w:sz w:val="16"/>
                <w:szCs w:val="16"/>
                <w:vertAlign w:val="subscript"/>
              </w:rPr>
              <w:t>3</w:t>
            </w:r>
            <w:r w:rsidRPr="00F01347">
              <w:rPr>
                <w:rFonts w:ascii="Verdana" w:hAnsi="Verdana"/>
                <w:sz w:val="16"/>
                <w:szCs w:val="16"/>
              </w:rPr>
              <w:t xml:space="preserve"> (fracción del elemento As = 0.7574), con 100 </w:t>
            </w:r>
            <w:proofErr w:type="spellStart"/>
            <w:r w:rsidRPr="00F01347">
              <w:rPr>
                <w:rFonts w:ascii="Verdana" w:hAnsi="Verdana"/>
                <w:sz w:val="16"/>
                <w:szCs w:val="16"/>
              </w:rPr>
              <w:t>mL</w:t>
            </w:r>
            <w:proofErr w:type="spellEnd"/>
            <w:r w:rsidRPr="00F01347">
              <w:rPr>
                <w:rFonts w:ascii="Verdana" w:hAnsi="Verdana"/>
                <w:sz w:val="16"/>
                <w:szCs w:val="16"/>
              </w:rPr>
              <w:t xml:space="preserve"> de agua conteniendo 0.4 g de NaOH. Acidificar la disolución con 2 </w:t>
            </w:r>
            <w:proofErr w:type="spellStart"/>
            <w:r w:rsidRPr="00F01347">
              <w:rPr>
                <w:rFonts w:ascii="Verdana" w:hAnsi="Verdana"/>
                <w:sz w:val="16"/>
                <w:szCs w:val="16"/>
              </w:rPr>
              <w:t>mL</w:t>
            </w:r>
            <w:proofErr w:type="spellEnd"/>
            <w:r w:rsidRPr="00F01347">
              <w:rPr>
                <w:rFonts w:ascii="Verdana" w:hAnsi="Verdana"/>
                <w:sz w:val="16"/>
                <w:szCs w:val="16"/>
              </w:rPr>
              <w:t xml:space="preserve"> de HNO</w:t>
            </w:r>
            <w:r w:rsidRPr="00F01347">
              <w:rPr>
                <w:rFonts w:ascii="Verdana" w:hAnsi="Verdana"/>
                <w:spacing w:val="-2"/>
                <w:sz w:val="16"/>
                <w:szCs w:val="16"/>
              </w:rPr>
              <w:t>3</w:t>
            </w:r>
            <w:r w:rsidRPr="00F01347">
              <w:rPr>
                <w:rFonts w:ascii="Verdana" w:hAnsi="Verdana"/>
                <w:sz w:val="16"/>
                <w:szCs w:val="16"/>
              </w:rPr>
              <w:t xml:space="preserve"> </w:t>
            </w:r>
            <w:proofErr w:type="spellStart"/>
            <w:r w:rsidRPr="00F01347">
              <w:rPr>
                <w:rFonts w:ascii="Verdana" w:hAnsi="Verdana"/>
                <w:sz w:val="16"/>
                <w:szCs w:val="16"/>
              </w:rPr>
              <w:t>conc</w:t>
            </w:r>
            <w:proofErr w:type="spellEnd"/>
            <w:r w:rsidRPr="00F01347">
              <w:rPr>
                <w:rFonts w:ascii="Verdana" w:hAnsi="Verdana"/>
                <w:sz w:val="16"/>
                <w:szCs w:val="16"/>
              </w:rPr>
              <w:t>. y diluir al volumen con agua.</w:t>
            </w:r>
          </w:p>
        </w:tc>
        <w:tc>
          <w:tcPr>
            <w:tcW w:w="4675" w:type="dxa"/>
          </w:tcPr>
          <w:p w14:paraId="1A0FB2F3" w14:textId="5559D4B5"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Concentrated arsenic solution, 1 mL = 1</w:t>
            </w:r>
            <w:r w:rsidR="00E65A56">
              <w:rPr>
                <w:rFonts w:ascii="Verdana" w:hAnsi="Verdana"/>
                <w:b/>
                <w:sz w:val="16"/>
                <w:szCs w:val="16"/>
                <w:lang w:val="en-US"/>
              </w:rPr>
              <w:t>,</w:t>
            </w:r>
            <w:r w:rsidRPr="00F01347">
              <w:rPr>
                <w:rFonts w:ascii="Verdana" w:hAnsi="Verdana"/>
                <w:b/>
                <w:sz w:val="16"/>
                <w:szCs w:val="16"/>
                <w:lang w:val="en-US"/>
              </w:rPr>
              <w:t xml:space="preserve">000 µg As. </w:t>
            </w:r>
            <w:r w:rsidRPr="00F01347">
              <w:rPr>
                <w:rFonts w:ascii="Verdana" w:hAnsi="Verdana"/>
                <w:sz w:val="16"/>
                <w:szCs w:val="16"/>
                <w:lang w:val="en-US"/>
              </w:rPr>
              <w:t>In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dissolve 1.320 3 g of As</w:t>
            </w:r>
            <w:r w:rsidRPr="00F01347">
              <w:rPr>
                <w:rFonts w:ascii="Verdana" w:hAnsi="Verdana"/>
                <w:sz w:val="16"/>
                <w:szCs w:val="16"/>
                <w:vertAlign w:val="subscript"/>
                <w:lang w:val="en-US"/>
              </w:rPr>
              <w:t>2</w:t>
            </w:r>
            <w:r w:rsidRPr="00F01347">
              <w:rPr>
                <w:rFonts w:ascii="Verdana" w:hAnsi="Verdana"/>
                <w:sz w:val="16"/>
                <w:szCs w:val="16"/>
                <w:lang w:val="en-US"/>
              </w:rPr>
              <w:t>O</w:t>
            </w:r>
            <w:r w:rsidRPr="00F01347">
              <w:rPr>
                <w:rFonts w:ascii="Verdana" w:hAnsi="Verdana"/>
                <w:sz w:val="16"/>
                <w:szCs w:val="16"/>
                <w:vertAlign w:val="subscript"/>
                <w:lang w:val="en-US"/>
              </w:rPr>
              <w:t xml:space="preserve">3 </w:t>
            </w:r>
            <w:r w:rsidRPr="00F01347">
              <w:rPr>
                <w:rFonts w:ascii="Verdana" w:hAnsi="Verdana"/>
                <w:sz w:val="16"/>
                <w:szCs w:val="16"/>
                <w:lang w:val="en-US"/>
              </w:rPr>
              <w:t xml:space="preserve">(fraction of the element </w:t>
            </w:r>
            <w:proofErr w:type="gramStart"/>
            <w:r w:rsidRPr="00F01347">
              <w:rPr>
                <w:rFonts w:ascii="Verdana" w:hAnsi="Verdana"/>
                <w:sz w:val="16"/>
                <w:szCs w:val="16"/>
                <w:lang w:val="en-US"/>
              </w:rPr>
              <w:t>As</w:t>
            </w:r>
            <w:proofErr w:type="gramEnd"/>
            <w:r w:rsidRPr="00F01347">
              <w:rPr>
                <w:rFonts w:ascii="Verdana" w:hAnsi="Verdana"/>
                <w:sz w:val="16"/>
                <w:szCs w:val="16"/>
                <w:lang w:val="en-US"/>
              </w:rPr>
              <w:t xml:space="preserve"> = 0.7574), with 100 mL of water containing 0.4g of NaOH. Acidify the solution with 2 mL of HNO </w:t>
            </w:r>
            <w:r w:rsidRPr="00F01347">
              <w:rPr>
                <w:rFonts w:ascii="Verdana" w:hAnsi="Verdana"/>
                <w:spacing w:val="-2"/>
                <w:sz w:val="16"/>
                <w:szCs w:val="16"/>
                <w:lang w:val="en-US"/>
              </w:rPr>
              <w:t>3</w:t>
            </w:r>
            <w:r w:rsidRPr="00F01347">
              <w:rPr>
                <w:rFonts w:ascii="Verdana" w:hAnsi="Verdana"/>
                <w:sz w:val="16"/>
                <w:szCs w:val="16"/>
                <w:lang w:val="en-US"/>
              </w:rPr>
              <w:t xml:space="preserve"> conc</w:t>
            </w:r>
            <w:r w:rsidR="003E1BA9" w:rsidRPr="00F01347">
              <w:rPr>
                <w:rFonts w:ascii="Verdana" w:hAnsi="Verdana"/>
                <w:sz w:val="16"/>
                <w:szCs w:val="16"/>
                <w:lang w:val="en-US"/>
              </w:rPr>
              <w:t>.</w:t>
            </w:r>
            <w:r w:rsidRPr="00F01347">
              <w:rPr>
                <w:rFonts w:ascii="Verdana" w:hAnsi="Verdana"/>
                <w:sz w:val="16"/>
                <w:szCs w:val="16"/>
                <w:lang w:val="en-US"/>
              </w:rPr>
              <w:t xml:space="preserve"> and dilute to volume with water.</w:t>
            </w:r>
          </w:p>
        </w:tc>
      </w:tr>
      <w:tr w:rsidR="001C02AB" w:rsidRPr="00F01347" w14:paraId="28D91ED9" w14:textId="1AE6A2BD" w:rsidTr="00BF684F">
        <w:tc>
          <w:tcPr>
            <w:tcW w:w="4675" w:type="dxa"/>
          </w:tcPr>
          <w:p w14:paraId="0B5A78CE" w14:textId="4CFAAFF3"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 xml:space="preserve">Disolución concentrada de Bario, 1 </w:t>
            </w:r>
            <w:proofErr w:type="spellStart"/>
            <w:r w:rsidRPr="00F01347">
              <w:rPr>
                <w:rFonts w:ascii="Verdana" w:hAnsi="Verdana"/>
                <w:b/>
                <w:sz w:val="16"/>
                <w:szCs w:val="16"/>
              </w:rPr>
              <w:t>mL</w:t>
            </w:r>
            <w:proofErr w:type="spellEnd"/>
            <w:r w:rsidRPr="00F01347">
              <w:rPr>
                <w:rFonts w:ascii="Verdana" w:hAnsi="Verdana"/>
                <w:b/>
                <w:sz w:val="16"/>
                <w:szCs w:val="16"/>
              </w:rPr>
              <w:t xml:space="preserve"> = 1 000 µg de Ba</w:t>
            </w:r>
            <w:r w:rsidRPr="00F01347">
              <w:rPr>
                <w:rFonts w:ascii="Verdana" w:hAnsi="Verdana"/>
                <w:sz w:val="16"/>
                <w:szCs w:val="16"/>
              </w:rPr>
              <w:t xml:space="preserve">.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xml:space="preserve"> disolver 1.5163 g de BaCl</w:t>
            </w:r>
            <w:r w:rsidRPr="00F01347">
              <w:rPr>
                <w:rFonts w:ascii="Verdana" w:hAnsi="Verdana"/>
                <w:sz w:val="16"/>
                <w:szCs w:val="16"/>
                <w:vertAlign w:val="subscript"/>
              </w:rPr>
              <w:t>2</w:t>
            </w:r>
            <w:r w:rsidRPr="00F01347">
              <w:rPr>
                <w:rFonts w:ascii="Verdana" w:hAnsi="Verdana"/>
                <w:sz w:val="16"/>
                <w:szCs w:val="16"/>
              </w:rPr>
              <w:t xml:space="preserve"> (fracción del elemento Ba = 0.6595), previamente secado a 250 °C por 2 horas con 10 </w:t>
            </w:r>
            <w:proofErr w:type="spellStart"/>
            <w:r w:rsidRPr="00F01347">
              <w:rPr>
                <w:rFonts w:ascii="Verdana" w:hAnsi="Verdana"/>
                <w:sz w:val="16"/>
                <w:szCs w:val="16"/>
              </w:rPr>
              <w:t>mL</w:t>
            </w:r>
            <w:proofErr w:type="spellEnd"/>
            <w:r w:rsidRPr="00F01347">
              <w:rPr>
                <w:rFonts w:ascii="Verdana" w:hAnsi="Verdana"/>
                <w:sz w:val="16"/>
                <w:szCs w:val="16"/>
              </w:rPr>
              <w:t xml:space="preserve"> de agua y 1 </w:t>
            </w:r>
            <w:proofErr w:type="spellStart"/>
            <w:r w:rsidRPr="00F01347">
              <w:rPr>
                <w:rFonts w:ascii="Verdana" w:hAnsi="Verdana"/>
                <w:sz w:val="16"/>
                <w:szCs w:val="16"/>
              </w:rPr>
              <w:t>mL</w:t>
            </w:r>
            <w:proofErr w:type="spellEnd"/>
            <w:r w:rsidRPr="00F01347">
              <w:rPr>
                <w:rFonts w:ascii="Verdana" w:hAnsi="Verdana"/>
                <w:sz w:val="16"/>
                <w:szCs w:val="16"/>
              </w:rPr>
              <w:t xml:space="preserve"> de HCl (1:1). Adicionar 10 </w:t>
            </w:r>
            <w:proofErr w:type="spellStart"/>
            <w:r w:rsidRPr="00F01347">
              <w:rPr>
                <w:rFonts w:ascii="Verdana" w:hAnsi="Verdana"/>
                <w:sz w:val="16"/>
                <w:szCs w:val="16"/>
              </w:rPr>
              <w:t>mL</w:t>
            </w:r>
            <w:proofErr w:type="spellEnd"/>
            <w:r w:rsidRPr="00F01347">
              <w:rPr>
                <w:rFonts w:ascii="Verdana" w:hAnsi="Verdana"/>
                <w:sz w:val="16"/>
                <w:szCs w:val="16"/>
              </w:rPr>
              <w:t xml:space="preserve"> más de HCl (1:1) y diluir al volumen con agua.</w:t>
            </w:r>
          </w:p>
        </w:tc>
        <w:tc>
          <w:tcPr>
            <w:tcW w:w="4675" w:type="dxa"/>
          </w:tcPr>
          <w:p w14:paraId="1CFDF9C4" w14:textId="1D58625C"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Concentrated Barium solution, 1 mL = 1,000 µg of Ba</w:t>
            </w:r>
            <w:r w:rsidR="003E1BA9" w:rsidRPr="00F01347">
              <w:rPr>
                <w:rFonts w:ascii="Verdana" w:hAnsi="Verdana"/>
                <w:b/>
                <w:sz w:val="16"/>
                <w:szCs w:val="16"/>
                <w:lang w:val="en-US"/>
              </w:rPr>
              <w:t>.</w:t>
            </w:r>
            <w:r w:rsidRPr="00F01347">
              <w:rPr>
                <w:rFonts w:ascii="Verdana" w:hAnsi="Verdana"/>
                <w:sz w:val="16"/>
                <w:szCs w:val="16"/>
                <w:lang w:val="en-US"/>
              </w:rPr>
              <w:t xml:space="preserve"> In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dissolve 1.5163 g of BaCl</w:t>
            </w:r>
            <w:r w:rsidRPr="00F01347">
              <w:rPr>
                <w:rFonts w:ascii="Verdana" w:hAnsi="Verdana"/>
                <w:sz w:val="16"/>
                <w:szCs w:val="16"/>
                <w:vertAlign w:val="subscript"/>
                <w:lang w:val="en-US"/>
              </w:rPr>
              <w:t xml:space="preserve">2 </w:t>
            </w:r>
            <w:r w:rsidRPr="00F01347">
              <w:rPr>
                <w:rFonts w:ascii="Verdana" w:hAnsi="Verdana"/>
                <w:sz w:val="16"/>
                <w:szCs w:val="16"/>
                <w:lang w:val="en-US"/>
              </w:rPr>
              <w:t>(fraction of the element Ba = 0.6595), previously dried at 250 °C for 2 hours with 10 mL of water and 1 mL of HCl (1:1). Add 10 more mL of HCl (1:1) and dilute to volume with water.</w:t>
            </w:r>
          </w:p>
        </w:tc>
      </w:tr>
      <w:tr w:rsidR="001C02AB" w:rsidRPr="00F01347" w14:paraId="762E8C69" w14:textId="070A19A2" w:rsidTr="00BF684F">
        <w:tc>
          <w:tcPr>
            <w:tcW w:w="4675" w:type="dxa"/>
          </w:tcPr>
          <w:p w14:paraId="2C814486" w14:textId="5F15C297"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 xml:space="preserve">Disolución concentrada de Cadmio, 1 </w:t>
            </w:r>
            <w:proofErr w:type="spellStart"/>
            <w:r w:rsidRPr="00F01347">
              <w:rPr>
                <w:rFonts w:ascii="Verdana" w:hAnsi="Verdana"/>
                <w:b/>
                <w:sz w:val="16"/>
                <w:szCs w:val="16"/>
              </w:rPr>
              <w:t>mL</w:t>
            </w:r>
            <w:proofErr w:type="spellEnd"/>
            <w:r w:rsidRPr="00F01347">
              <w:rPr>
                <w:rFonts w:ascii="Verdana" w:hAnsi="Verdana"/>
                <w:b/>
                <w:sz w:val="16"/>
                <w:szCs w:val="16"/>
              </w:rPr>
              <w:t xml:space="preserve"> = 1 000 µg Cd.</w:t>
            </w:r>
            <w:r w:rsidRPr="00F01347">
              <w:rPr>
                <w:rFonts w:ascii="Verdana" w:hAnsi="Verdana"/>
                <w:sz w:val="16"/>
                <w:szCs w:val="16"/>
              </w:rPr>
              <w:t xml:space="preserve">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xml:space="preserve"> disolver 1.142 3 g de </w:t>
            </w:r>
            <w:proofErr w:type="spellStart"/>
            <w:r w:rsidRPr="00F01347">
              <w:rPr>
                <w:rFonts w:ascii="Verdana" w:hAnsi="Verdana"/>
                <w:sz w:val="16"/>
                <w:szCs w:val="16"/>
              </w:rPr>
              <w:t>CdO</w:t>
            </w:r>
            <w:proofErr w:type="spellEnd"/>
            <w:r w:rsidRPr="00F01347">
              <w:rPr>
                <w:rFonts w:ascii="Verdana" w:hAnsi="Verdana"/>
                <w:sz w:val="16"/>
                <w:szCs w:val="16"/>
              </w:rPr>
              <w:t xml:space="preserve"> (fracción del elemento Cd = 0.8754), en una cantidad mínima de HNO3 (1:1). Calentar para incrementar la velocidad de disolución. Adicionar 10 </w:t>
            </w:r>
            <w:proofErr w:type="spellStart"/>
            <w:r w:rsidRPr="00F01347">
              <w:rPr>
                <w:rFonts w:ascii="Verdana" w:hAnsi="Verdana"/>
                <w:sz w:val="16"/>
                <w:szCs w:val="16"/>
              </w:rPr>
              <w:t>mL</w:t>
            </w:r>
            <w:proofErr w:type="spellEnd"/>
            <w:r w:rsidRPr="00F01347">
              <w:rPr>
                <w:rFonts w:ascii="Verdana" w:hAnsi="Verdana"/>
                <w:sz w:val="16"/>
                <w:szCs w:val="16"/>
              </w:rPr>
              <w:t xml:space="preserve"> de HNO</w:t>
            </w:r>
            <w:r w:rsidRPr="00F01347">
              <w:rPr>
                <w:rFonts w:ascii="Verdana" w:hAnsi="Verdana"/>
                <w:sz w:val="16"/>
                <w:szCs w:val="16"/>
                <w:vertAlign w:val="subscript"/>
              </w:rPr>
              <w:t>3</w:t>
            </w:r>
            <w:r w:rsidRPr="00F01347">
              <w:rPr>
                <w:rFonts w:ascii="Verdana" w:hAnsi="Verdana"/>
                <w:sz w:val="16"/>
                <w:szCs w:val="16"/>
              </w:rPr>
              <w:t xml:space="preserve"> concentrado y diluir al volumen con agua.</w:t>
            </w:r>
          </w:p>
        </w:tc>
        <w:tc>
          <w:tcPr>
            <w:tcW w:w="4675" w:type="dxa"/>
          </w:tcPr>
          <w:p w14:paraId="29861878" w14:textId="60D6F8E4"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 xml:space="preserve">Concentrated Cadmium solution, 1 mL = 1,000 µg Cd. </w:t>
            </w:r>
            <w:r w:rsidRPr="00F01347">
              <w:rPr>
                <w:rFonts w:ascii="Verdana" w:hAnsi="Verdana"/>
                <w:sz w:val="16"/>
                <w:szCs w:val="16"/>
                <w:lang w:val="en-US"/>
              </w:rPr>
              <w:t>In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dissolve 1.142 3 g of </w:t>
            </w:r>
            <w:proofErr w:type="spellStart"/>
            <w:r w:rsidRPr="00F01347">
              <w:rPr>
                <w:rFonts w:ascii="Verdana" w:hAnsi="Verdana"/>
                <w:sz w:val="16"/>
                <w:szCs w:val="16"/>
                <w:lang w:val="en-US"/>
              </w:rPr>
              <w:t>CdO</w:t>
            </w:r>
            <w:proofErr w:type="spellEnd"/>
            <w:r w:rsidRPr="00F01347">
              <w:rPr>
                <w:rFonts w:ascii="Verdana" w:hAnsi="Verdana"/>
                <w:sz w:val="16"/>
                <w:szCs w:val="16"/>
                <w:lang w:val="en-US"/>
              </w:rPr>
              <w:t xml:space="preserve"> (fraction of the element Cd = 0.8754), in a minimum amount of HNO3 (1:1). Heat to increase the rate of dissolution. Add 10 mL of concentrated HNO</w:t>
            </w:r>
            <w:r w:rsidRPr="00F01347">
              <w:rPr>
                <w:rFonts w:ascii="Verdana" w:hAnsi="Verdana"/>
                <w:sz w:val="16"/>
                <w:szCs w:val="16"/>
                <w:vertAlign w:val="subscript"/>
                <w:lang w:val="en-US"/>
              </w:rPr>
              <w:t xml:space="preserve">3 </w:t>
            </w:r>
            <w:r w:rsidRPr="00F01347">
              <w:rPr>
                <w:rFonts w:ascii="Verdana" w:hAnsi="Verdana"/>
                <w:sz w:val="16"/>
                <w:szCs w:val="16"/>
                <w:lang w:val="en-US"/>
              </w:rPr>
              <w:t>and dilute to volume with water.</w:t>
            </w:r>
          </w:p>
        </w:tc>
      </w:tr>
      <w:tr w:rsidR="001C02AB" w:rsidRPr="00F01347" w14:paraId="558552A1" w14:textId="065F60FB" w:rsidTr="00BF684F">
        <w:tc>
          <w:tcPr>
            <w:tcW w:w="4675" w:type="dxa"/>
          </w:tcPr>
          <w:p w14:paraId="72CDA023" w14:textId="77777777"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 xml:space="preserve">Disolución concentrada de Cobre, 1 </w:t>
            </w:r>
            <w:proofErr w:type="spellStart"/>
            <w:r w:rsidRPr="00F01347">
              <w:rPr>
                <w:rFonts w:ascii="Verdana" w:hAnsi="Verdana"/>
                <w:b/>
                <w:sz w:val="16"/>
                <w:szCs w:val="16"/>
              </w:rPr>
              <w:t>mL</w:t>
            </w:r>
            <w:proofErr w:type="spellEnd"/>
            <w:r w:rsidRPr="00F01347">
              <w:rPr>
                <w:rFonts w:ascii="Verdana" w:hAnsi="Verdana"/>
                <w:b/>
                <w:sz w:val="16"/>
                <w:szCs w:val="16"/>
              </w:rPr>
              <w:t xml:space="preserve"> = 1 000 µg Cu</w:t>
            </w:r>
            <w:r w:rsidRPr="00F01347">
              <w:rPr>
                <w:rFonts w:ascii="Verdana" w:hAnsi="Verdana"/>
                <w:sz w:val="16"/>
                <w:szCs w:val="16"/>
              </w:rPr>
              <w:t xml:space="preserve">.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xml:space="preserve"> disolver 1.256 4 g de </w:t>
            </w:r>
            <w:proofErr w:type="spellStart"/>
            <w:r w:rsidRPr="00F01347">
              <w:rPr>
                <w:rFonts w:ascii="Verdana" w:hAnsi="Verdana"/>
                <w:sz w:val="16"/>
                <w:szCs w:val="16"/>
              </w:rPr>
              <w:t>CuO</w:t>
            </w:r>
            <w:proofErr w:type="spellEnd"/>
            <w:r w:rsidRPr="00F01347">
              <w:rPr>
                <w:rFonts w:ascii="Verdana" w:hAnsi="Verdana"/>
                <w:sz w:val="16"/>
                <w:szCs w:val="16"/>
              </w:rPr>
              <w:t xml:space="preserve"> (fracción del elemento Cu = 0.798 9) en una cantidad mínima de HNO</w:t>
            </w:r>
            <w:r w:rsidRPr="00F01347">
              <w:rPr>
                <w:rFonts w:ascii="Verdana" w:hAnsi="Verdana"/>
                <w:sz w:val="16"/>
                <w:szCs w:val="16"/>
                <w:vertAlign w:val="subscript"/>
              </w:rPr>
              <w:t>3</w:t>
            </w:r>
            <w:r w:rsidRPr="00F01347">
              <w:rPr>
                <w:rFonts w:ascii="Verdana" w:hAnsi="Verdana"/>
                <w:sz w:val="16"/>
                <w:szCs w:val="16"/>
              </w:rPr>
              <w:t xml:space="preserve"> (1:1). Adicionar 10 </w:t>
            </w:r>
            <w:proofErr w:type="spellStart"/>
            <w:r w:rsidRPr="00F01347">
              <w:rPr>
                <w:rFonts w:ascii="Verdana" w:hAnsi="Verdana"/>
                <w:sz w:val="16"/>
                <w:szCs w:val="16"/>
              </w:rPr>
              <w:t>mL</w:t>
            </w:r>
            <w:proofErr w:type="spellEnd"/>
            <w:r w:rsidRPr="00F01347">
              <w:rPr>
                <w:rFonts w:ascii="Verdana" w:hAnsi="Verdana"/>
                <w:sz w:val="16"/>
                <w:szCs w:val="16"/>
              </w:rPr>
              <w:t xml:space="preserve"> de HNO</w:t>
            </w:r>
            <w:r w:rsidRPr="00F01347">
              <w:rPr>
                <w:rFonts w:ascii="Verdana" w:hAnsi="Verdana"/>
                <w:sz w:val="16"/>
                <w:szCs w:val="16"/>
                <w:vertAlign w:val="subscript"/>
              </w:rPr>
              <w:t>3</w:t>
            </w:r>
            <w:r w:rsidRPr="00F01347">
              <w:rPr>
                <w:rFonts w:ascii="Verdana" w:hAnsi="Verdana"/>
                <w:sz w:val="16"/>
                <w:szCs w:val="16"/>
              </w:rPr>
              <w:t xml:space="preserve"> concentrado y diluir al volumen con agua.</w:t>
            </w:r>
          </w:p>
        </w:tc>
        <w:tc>
          <w:tcPr>
            <w:tcW w:w="4675" w:type="dxa"/>
          </w:tcPr>
          <w:p w14:paraId="1418414C" w14:textId="72420323"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Concentrated Copper solution, 1 mL = 1,000 µg Cu</w:t>
            </w:r>
            <w:r w:rsidR="003E1BA9" w:rsidRPr="00F01347">
              <w:rPr>
                <w:rFonts w:ascii="Verdana" w:hAnsi="Verdana"/>
                <w:b/>
                <w:sz w:val="16"/>
                <w:szCs w:val="16"/>
                <w:lang w:val="en-US"/>
              </w:rPr>
              <w:t>.</w:t>
            </w:r>
            <w:r w:rsidRPr="00F01347">
              <w:rPr>
                <w:rFonts w:ascii="Verdana" w:hAnsi="Verdana"/>
                <w:sz w:val="16"/>
                <w:szCs w:val="16"/>
                <w:lang w:val="en-US"/>
              </w:rPr>
              <w:t xml:space="preserve"> In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dissolve 1.2564 g of </w:t>
            </w:r>
            <w:proofErr w:type="spellStart"/>
            <w:r w:rsidRPr="00F01347">
              <w:rPr>
                <w:rFonts w:ascii="Verdana" w:hAnsi="Verdana"/>
                <w:sz w:val="16"/>
                <w:szCs w:val="16"/>
                <w:lang w:val="en-US"/>
              </w:rPr>
              <w:t>CuO</w:t>
            </w:r>
            <w:proofErr w:type="spellEnd"/>
            <w:r w:rsidRPr="00F01347">
              <w:rPr>
                <w:rFonts w:ascii="Verdana" w:hAnsi="Verdana"/>
                <w:sz w:val="16"/>
                <w:szCs w:val="16"/>
                <w:lang w:val="en-US"/>
              </w:rPr>
              <w:t xml:space="preserve"> (Cu element fraction = 0.7989) in a minimum amount of HNO</w:t>
            </w:r>
            <w:r w:rsidRPr="00F01347">
              <w:rPr>
                <w:rFonts w:ascii="Verdana" w:hAnsi="Verdana"/>
                <w:sz w:val="16"/>
                <w:szCs w:val="16"/>
                <w:vertAlign w:val="subscript"/>
                <w:lang w:val="en-US"/>
              </w:rPr>
              <w:t xml:space="preserve">3 </w:t>
            </w:r>
            <w:r w:rsidRPr="00F01347">
              <w:rPr>
                <w:rFonts w:ascii="Verdana" w:hAnsi="Verdana"/>
                <w:sz w:val="16"/>
                <w:szCs w:val="16"/>
                <w:lang w:val="en-US"/>
              </w:rPr>
              <w:t>(1:1). Add 10 mL of concentrated HNO</w:t>
            </w:r>
            <w:r w:rsidRPr="00F01347">
              <w:rPr>
                <w:rFonts w:ascii="Verdana" w:hAnsi="Verdana"/>
                <w:sz w:val="16"/>
                <w:szCs w:val="16"/>
                <w:vertAlign w:val="subscript"/>
                <w:lang w:val="en-US"/>
              </w:rPr>
              <w:t xml:space="preserve">3 </w:t>
            </w:r>
            <w:r w:rsidRPr="00F01347">
              <w:rPr>
                <w:rFonts w:ascii="Verdana" w:hAnsi="Verdana"/>
                <w:sz w:val="16"/>
                <w:szCs w:val="16"/>
                <w:lang w:val="en-US"/>
              </w:rPr>
              <w:t>and dilute to volume with water.</w:t>
            </w:r>
          </w:p>
        </w:tc>
      </w:tr>
      <w:tr w:rsidR="001C02AB" w:rsidRPr="00F01347" w14:paraId="35DB9C30" w14:textId="0422C3EC" w:rsidTr="00BF684F">
        <w:tc>
          <w:tcPr>
            <w:tcW w:w="4675" w:type="dxa"/>
          </w:tcPr>
          <w:p w14:paraId="76BFC453" w14:textId="77777777"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 xml:space="preserve">Disolución concentrada de Cromo, 1 </w:t>
            </w:r>
            <w:proofErr w:type="spellStart"/>
            <w:r w:rsidRPr="00F01347">
              <w:rPr>
                <w:rFonts w:ascii="Verdana" w:hAnsi="Verdana"/>
                <w:b/>
                <w:sz w:val="16"/>
                <w:szCs w:val="16"/>
              </w:rPr>
              <w:t>mL</w:t>
            </w:r>
            <w:proofErr w:type="spellEnd"/>
            <w:r w:rsidRPr="00F01347">
              <w:rPr>
                <w:rFonts w:ascii="Verdana" w:hAnsi="Verdana"/>
                <w:b/>
                <w:sz w:val="16"/>
                <w:szCs w:val="16"/>
              </w:rPr>
              <w:t xml:space="preserve"> = 1 000 µg Cr</w:t>
            </w:r>
            <w:r w:rsidRPr="00F01347">
              <w:rPr>
                <w:rFonts w:ascii="Verdana" w:hAnsi="Verdana"/>
                <w:sz w:val="16"/>
                <w:szCs w:val="16"/>
              </w:rPr>
              <w:t xml:space="preserve">.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xml:space="preserve"> disolver 1.923 1 g de CrO</w:t>
            </w:r>
            <w:r w:rsidRPr="00F01347">
              <w:rPr>
                <w:rFonts w:ascii="Verdana" w:hAnsi="Verdana"/>
                <w:sz w:val="16"/>
                <w:szCs w:val="16"/>
                <w:vertAlign w:val="subscript"/>
              </w:rPr>
              <w:t>3</w:t>
            </w:r>
            <w:r w:rsidRPr="00F01347">
              <w:rPr>
                <w:rFonts w:ascii="Verdana" w:hAnsi="Verdana"/>
                <w:sz w:val="16"/>
                <w:szCs w:val="16"/>
              </w:rPr>
              <w:t xml:space="preserve"> (fracción del elemento Cr = 0.520 0), en agua. Cuando se haya disuelto </w:t>
            </w:r>
            <w:proofErr w:type="gramStart"/>
            <w:r w:rsidRPr="00F01347">
              <w:rPr>
                <w:rFonts w:ascii="Verdana" w:hAnsi="Verdana"/>
                <w:sz w:val="16"/>
                <w:szCs w:val="16"/>
              </w:rPr>
              <w:t>acidificar  con</w:t>
            </w:r>
            <w:proofErr w:type="gramEnd"/>
            <w:r w:rsidRPr="00F01347">
              <w:rPr>
                <w:rFonts w:ascii="Verdana" w:hAnsi="Verdana"/>
                <w:sz w:val="16"/>
                <w:szCs w:val="16"/>
              </w:rPr>
              <w:t xml:space="preserve"> 10 </w:t>
            </w:r>
            <w:proofErr w:type="spellStart"/>
            <w:r w:rsidRPr="00F01347">
              <w:rPr>
                <w:rFonts w:ascii="Verdana" w:hAnsi="Verdana"/>
                <w:sz w:val="16"/>
                <w:szCs w:val="16"/>
              </w:rPr>
              <w:t>mL</w:t>
            </w:r>
            <w:proofErr w:type="spellEnd"/>
            <w:r w:rsidRPr="00F01347">
              <w:rPr>
                <w:rFonts w:ascii="Verdana" w:hAnsi="Verdana"/>
                <w:sz w:val="16"/>
                <w:szCs w:val="16"/>
              </w:rPr>
              <w:t xml:space="preserve"> de HNO</w:t>
            </w:r>
            <w:r w:rsidRPr="00F01347">
              <w:rPr>
                <w:rFonts w:ascii="Verdana" w:hAnsi="Verdana"/>
                <w:sz w:val="16"/>
                <w:szCs w:val="16"/>
                <w:vertAlign w:val="subscript"/>
              </w:rPr>
              <w:t>3</w:t>
            </w:r>
            <w:r w:rsidRPr="00F01347">
              <w:rPr>
                <w:rFonts w:ascii="Verdana" w:hAnsi="Verdana"/>
                <w:sz w:val="16"/>
                <w:szCs w:val="16"/>
              </w:rPr>
              <w:t xml:space="preserve"> concentrado y diluir al volumen con agua.</w:t>
            </w:r>
          </w:p>
        </w:tc>
        <w:tc>
          <w:tcPr>
            <w:tcW w:w="4675" w:type="dxa"/>
          </w:tcPr>
          <w:p w14:paraId="44C2D717" w14:textId="3969D88E"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Concentrated Chromium solution, 1 mL = 1,000 µg Cr</w:t>
            </w:r>
            <w:r w:rsidR="003E1BA9" w:rsidRPr="00F01347">
              <w:rPr>
                <w:rFonts w:ascii="Verdana" w:hAnsi="Verdana"/>
                <w:b/>
                <w:sz w:val="16"/>
                <w:szCs w:val="16"/>
                <w:lang w:val="en-US"/>
              </w:rPr>
              <w:t>.</w:t>
            </w:r>
            <w:r w:rsidRPr="00F01347">
              <w:rPr>
                <w:rFonts w:ascii="Verdana" w:hAnsi="Verdana"/>
                <w:sz w:val="16"/>
                <w:szCs w:val="16"/>
                <w:lang w:val="en-US"/>
              </w:rPr>
              <w:t xml:space="preserve"> In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dissolve 1.923 1 g of CrO</w:t>
            </w:r>
            <w:r w:rsidRPr="00F01347">
              <w:rPr>
                <w:rFonts w:ascii="Verdana" w:hAnsi="Verdana"/>
                <w:sz w:val="16"/>
                <w:szCs w:val="16"/>
                <w:vertAlign w:val="subscript"/>
                <w:lang w:val="en-US"/>
              </w:rPr>
              <w:t xml:space="preserve">3 </w:t>
            </w:r>
            <w:r w:rsidRPr="00F01347">
              <w:rPr>
                <w:rFonts w:ascii="Verdana" w:hAnsi="Verdana"/>
                <w:sz w:val="16"/>
                <w:szCs w:val="16"/>
                <w:lang w:val="en-US"/>
              </w:rPr>
              <w:t>(fraction of the element Cr = 0.520 0), in water. When it has dissolved, acidify with 10 mL of concentrated HNO</w:t>
            </w:r>
            <w:r w:rsidRPr="00F01347">
              <w:rPr>
                <w:rFonts w:ascii="Verdana" w:hAnsi="Verdana"/>
                <w:sz w:val="16"/>
                <w:szCs w:val="16"/>
                <w:vertAlign w:val="subscript"/>
                <w:lang w:val="en-US"/>
              </w:rPr>
              <w:t xml:space="preserve">3 </w:t>
            </w:r>
            <w:r w:rsidRPr="00F01347">
              <w:rPr>
                <w:rFonts w:ascii="Verdana" w:hAnsi="Verdana"/>
                <w:sz w:val="16"/>
                <w:szCs w:val="16"/>
                <w:lang w:val="en-US"/>
              </w:rPr>
              <w:t>and dilute to volume with water.</w:t>
            </w:r>
          </w:p>
        </w:tc>
      </w:tr>
      <w:tr w:rsidR="001C02AB" w:rsidRPr="00F01347" w14:paraId="3A8F70FC" w14:textId="2E48EE64" w:rsidTr="00BF684F">
        <w:tc>
          <w:tcPr>
            <w:tcW w:w="4675" w:type="dxa"/>
          </w:tcPr>
          <w:p w14:paraId="4503B6FA" w14:textId="77777777"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Disolución concentrada de Fierro (1 000 µg/</w:t>
            </w:r>
            <w:proofErr w:type="spellStart"/>
            <w:r w:rsidRPr="00F01347">
              <w:rPr>
                <w:rFonts w:ascii="Verdana" w:hAnsi="Verdana"/>
                <w:b/>
                <w:sz w:val="16"/>
                <w:szCs w:val="16"/>
              </w:rPr>
              <w:t>mL</w:t>
            </w:r>
            <w:proofErr w:type="spellEnd"/>
            <w:r w:rsidRPr="00F01347">
              <w:rPr>
                <w:rFonts w:ascii="Verdana" w:hAnsi="Verdana"/>
                <w:b/>
                <w:sz w:val="16"/>
                <w:szCs w:val="16"/>
              </w:rPr>
              <w:t xml:space="preserve"> Fe)</w:t>
            </w:r>
            <w:r w:rsidRPr="00F01347">
              <w:rPr>
                <w:rFonts w:ascii="Verdana" w:hAnsi="Verdana"/>
                <w:sz w:val="16"/>
                <w:szCs w:val="16"/>
              </w:rPr>
              <w:t xml:space="preserve"> -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xml:space="preserve"> disolver 1.429 8 g de Fe</w:t>
            </w:r>
            <w:r w:rsidRPr="00F01347">
              <w:rPr>
                <w:rFonts w:ascii="Verdana" w:hAnsi="Verdana"/>
                <w:sz w:val="16"/>
                <w:szCs w:val="16"/>
                <w:vertAlign w:val="subscript"/>
              </w:rPr>
              <w:t>2</w:t>
            </w:r>
            <w:r w:rsidRPr="00F01347">
              <w:rPr>
                <w:rFonts w:ascii="Verdana" w:hAnsi="Verdana"/>
                <w:sz w:val="16"/>
                <w:szCs w:val="16"/>
              </w:rPr>
              <w:t>O</w:t>
            </w:r>
            <w:r w:rsidRPr="00F01347">
              <w:rPr>
                <w:rFonts w:ascii="Verdana" w:hAnsi="Verdana"/>
                <w:sz w:val="16"/>
                <w:szCs w:val="16"/>
                <w:vertAlign w:val="subscript"/>
              </w:rPr>
              <w:t>3</w:t>
            </w:r>
            <w:r w:rsidRPr="00F01347">
              <w:rPr>
                <w:rFonts w:ascii="Verdana" w:hAnsi="Verdana"/>
                <w:sz w:val="16"/>
                <w:szCs w:val="16"/>
              </w:rPr>
              <w:t xml:space="preserve"> en una mezcla caliente de 20 </w:t>
            </w:r>
            <w:proofErr w:type="spellStart"/>
            <w:r w:rsidRPr="00F01347">
              <w:rPr>
                <w:rFonts w:ascii="Verdana" w:hAnsi="Verdana"/>
                <w:sz w:val="16"/>
                <w:szCs w:val="16"/>
              </w:rPr>
              <w:t>mL</w:t>
            </w:r>
            <w:proofErr w:type="spellEnd"/>
            <w:r w:rsidRPr="00F01347">
              <w:rPr>
                <w:rFonts w:ascii="Verdana" w:hAnsi="Verdana"/>
                <w:sz w:val="16"/>
                <w:szCs w:val="16"/>
              </w:rPr>
              <w:t xml:space="preserve"> de HCl al 50 % y 2 </w:t>
            </w:r>
            <w:proofErr w:type="spellStart"/>
            <w:r w:rsidRPr="00F01347">
              <w:rPr>
                <w:rFonts w:ascii="Verdana" w:hAnsi="Verdana"/>
                <w:sz w:val="16"/>
                <w:szCs w:val="16"/>
              </w:rPr>
              <w:t>mL</w:t>
            </w:r>
            <w:proofErr w:type="spellEnd"/>
            <w:r w:rsidRPr="00F01347">
              <w:rPr>
                <w:rFonts w:ascii="Verdana" w:hAnsi="Verdana"/>
                <w:sz w:val="16"/>
                <w:szCs w:val="16"/>
              </w:rPr>
              <w:t xml:space="preserve"> de HNO</w:t>
            </w:r>
            <w:r w:rsidRPr="00F01347">
              <w:rPr>
                <w:rFonts w:ascii="Verdana" w:hAnsi="Verdana"/>
                <w:sz w:val="16"/>
                <w:szCs w:val="16"/>
                <w:vertAlign w:val="subscript"/>
              </w:rPr>
              <w:t>3</w:t>
            </w:r>
            <w:r w:rsidRPr="00F01347">
              <w:rPr>
                <w:rFonts w:ascii="Verdana" w:hAnsi="Verdana"/>
                <w:sz w:val="16"/>
                <w:szCs w:val="16"/>
              </w:rPr>
              <w:t xml:space="preserve"> concentrado. Diluir al volumen con agua.</w:t>
            </w:r>
          </w:p>
        </w:tc>
        <w:tc>
          <w:tcPr>
            <w:tcW w:w="4675" w:type="dxa"/>
          </w:tcPr>
          <w:p w14:paraId="3EEE4307" w14:textId="4F0CC8F0"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 xml:space="preserve">Concentrated Iron solution (1,000 µg/ mL Fe) </w:t>
            </w:r>
            <w:r w:rsidRPr="00F01347">
              <w:rPr>
                <w:rFonts w:ascii="Verdana" w:hAnsi="Verdana"/>
                <w:sz w:val="16"/>
                <w:szCs w:val="16"/>
                <w:lang w:val="en-US"/>
              </w:rPr>
              <w:t>- In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dissolve 1,4298 g of Fe</w:t>
            </w:r>
            <w:r w:rsidRPr="00F01347">
              <w:rPr>
                <w:rFonts w:ascii="Verdana" w:hAnsi="Verdana"/>
                <w:sz w:val="16"/>
                <w:szCs w:val="16"/>
                <w:vertAlign w:val="subscript"/>
                <w:lang w:val="en-US"/>
              </w:rPr>
              <w:t xml:space="preserve">2 </w:t>
            </w:r>
            <w:r w:rsidRPr="00F01347">
              <w:rPr>
                <w:rFonts w:ascii="Verdana" w:hAnsi="Verdana"/>
                <w:sz w:val="16"/>
                <w:szCs w:val="16"/>
                <w:lang w:val="en-US"/>
              </w:rPr>
              <w:t>O</w:t>
            </w:r>
            <w:r w:rsidRPr="00F01347">
              <w:rPr>
                <w:rFonts w:ascii="Verdana" w:hAnsi="Verdana"/>
                <w:sz w:val="16"/>
                <w:szCs w:val="16"/>
                <w:vertAlign w:val="subscript"/>
                <w:lang w:val="en-US"/>
              </w:rPr>
              <w:t xml:space="preserve">3 </w:t>
            </w:r>
            <w:r w:rsidRPr="00F01347">
              <w:rPr>
                <w:rFonts w:ascii="Verdana" w:hAnsi="Verdana"/>
                <w:sz w:val="16"/>
                <w:szCs w:val="16"/>
                <w:lang w:val="en-US"/>
              </w:rPr>
              <w:t>in a hot mixture of 20 mL of 50% HCl and 2 mL of concentrated HNO</w:t>
            </w:r>
            <w:r w:rsidRPr="00F01347">
              <w:rPr>
                <w:rFonts w:ascii="Verdana" w:hAnsi="Verdana"/>
                <w:sz w:val="16"/>
                <w:szCs w:val="16"/>
                <w:vertAlign w:val="subscript"/>
                <w:lang w:val="en-US"/>
              </w:rPr>
              <w:t>3</w:t>
            </w:r>
            <w:r w:rsidR="003E1BA9" w:rsidRPr="00F01347">
              <w:rPr>
                <w:rFonts w:ascii="Verdana" w:hAnsi="Verdana"/>
                <w:sz w:val="16"/>
                <w:szCs w:val="16"/>
                <w:vertAlign w:val="subscript"/>
                <w:lang w:val="en-US"/>
              </w:rPr>
              <w:t>.</w:t>
            </w:r>
            <w:r w:rsidRPr="00F01347">
              <w:rPr>
                <w:rFonts w:ascii="Verdana" w:hAnsi="Verdana"/>
                <w:sz w:val="16"/>
                <w:szCs w:val="16"/>
                <w:vertAlign w:val="subscript"/>
                <w:lang w:val="en-US"/>
              </w:rPr>
              <w:t xml:space="preserve"> </w:t>
            </w:r>
            <w:r w:rsidRPr="00F01347">
              <w:rPr>
                <w:rFonts w:ascii="Verdana" w:hAnsi="Verdana"/>
                <w:sz w:val="16"/>
                <w:szCs w:val="16"/>
                <w:lang w:val="en-US"/>
              </w:rPr>
              <w:t>Dilute to volume with water.</w:t>
            </w:r>
          </w:p>
        </w:tc>
      </w:tr>
      <w:tr w:rsidR="001C02AB" w:rsidRPr="00F01347" w14:paraId="6CC3072C" w14:textId="756917B3" w:rsidTr="00BF684F">
        <w:tc>
          <w:tcPr>
            <w:tcW w:w="4675" w:type="dxa"/>
          </w:tcPr>
          <w:p w14:paraId="2BEE370F" w14:textId="7A4773A6"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 xml:space="preserve">Disolución concentrada de Itrio, 1 </w:t>
            </w:r>
            <w:proofErr w:type="spellStart"/>
            <w:r w:rsidRPr="00F01347">
              <w:rPr>
                <w:rFonts w:ascii="Verdana" w:hAnsi="Verdana"/>
                <w:b/>
                <w:sz w:val="16"/>
                <w:szCs w:val="16"/>
              </w:rPr>
              <w:t>mL</w:t>
            </w:r>
            <w:proofErr w:type="spellEnd"/>
            <w:r w:rsidRPr="00F01347">
              <w:rPr>
                <w:rFonts w:ascii="Verdana" w:hAnsi="Verdana"/>
                <w:b/>
                <w:sz w:val="16"/>
                <w:szCs w:val="16"/>
              </w:rPr>
              <w:t xml:space="preserve"> = 1 000 µg Y.</w:t>
            </w:r>
            <w:r w:rsidRPr="00F01347">
              <w:rPr>
                <w:rFonts w:ascii="Verdana" w:hAnsi="Verdana"/>
                <w:sz w:val="16"/>
                <w:szCs w:val="16"/>
              </w:rPr>
              <w:t xml:space="preserve">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xml:space="preserve"> disolver 4.3081 g de Y(NO</w:t>
            </w:r>
            <w:r w:rsidRPr="00F01347">
              <w:rPr>
                <w:rFonts w:ascii="Verdana" w:hAnsi="Verdana"/>
                <w:sz w:val="16"/>
                <w:szCs w:val="16"/>
                <w:vertAlign w:val="subscript"/>
              </w:rPr>
              <w:t>3</w:t>
            </w:r>
            <w:r w:rsidRPr="00F01347">
              <w:rPr>
                <w:rFonts w:ascii="Verdana" w:hAnsi="Verdana"/>
                <w:sz w:val="16"/>
                <w:szCs w:val="16"/>
              </w:rPr>
              <w:t>)</w:t>
            </w:r>
            <w:r w:rsidRPr="00F01347">
              <w:rPr>
                <w:rFonts w:ascii="Verdana" w:hAnsi="Verdana"/>
                <w:sz w:val="16"/>
                <w:szCs w:val="16"/>
                <w:vertAlign w:val="subscript"/>
              </w:rPr>
              <w:t>3</w:t>
            </w:r>
            <w:r w:rsidRPr="00F01347">
              <w:rPr>
                <w:rFonts w:ascii="Verdana" w:hAnsi="Verdana"/>
                <w:sz w:val="16"/>
                <w:szCs w:val="16"/>
              </w:rPr>
              <w:t>.6H</w:t>
            </w:r>
            <w:r w:rsidRPr="00F01347">
              <w:rPr>
                <w:rFonts w:ascii="Verdana" w:hAnsi="Verdana"/>
                <w:sz w:val="16"/>
                <w:szCs w:val="16"/>
                <w:vertAlign w:val="subscript"/>
              </w:rPr>
              <w:t>2</w:t>
            </w:r>
            <w:r w:rsidRPr="00F01347">
              <w:rPr>
                <w:rFonts w:ascii="Verdana" w:hAnsi="Verdana"/>
                <w:sz w:val="16"/>
                <w:szCs w:val="16"/>
              </w:rPr>
              <w:t>0 (fracción del elemento Y = 0.232 1), en una cantidad mínima de HNO</w:t>
            </w:r>
            <w:r w:rsidRPr="00F01347">
              <w:rPr>
                <w:rFonts w:ascii="Verdana" w:hAnsi="Verdana"/>
                <w:sz w:val="16"/>
                <w:szCs w:val="16"/>
                <w:vertAlign w:val="subscript"/>
              </w:rPr>
              <w:t>3</w:t>
            </w:r>
            <w:r w:rsidRPr="00F01347">
              <w:rPr>
                <w:rFonts w:ascii="Verdana" w:hAnsi="Verdana"/>
                <w:sz w:val="16"/>
                <w:szCs w:val="16"/>
              </w:rPr>
              <w:t xml:space="preserve"> diluido. Adicionar 10 </w:t>
            </w:r>
            <w:proofErr w:type="spellStart"/>
            <w:r w:rsidRPr="00F01347">
              <w:rPr>
                <w:rFonts w:ascii="Verdana" w:hAnsi="Verdana"/>
                <w:sz w:val="16"/>
                <w:szCs w:val="16"/>
              </w:rPr>
              <w:t>mL</w:t>
            </w:r>
            <w:proofErr w:type="spellEnd"/>
            <w:r w:rsidRPr="00F01347">
              <w:rPr>
                <w:rFonts w:ascii="Verdana" w:hAnsi="Verdana"/>
                <w:sz w:val="16"/>
                <w:szCs w:val="16"/>
              </w:rPr>
              <w:t xml:space="preserve"> de HNO</w:t>
            </w:r>
            <w:r w:rsidRPr="00F01347">
              <w:rPr>
                <w:rFonts w:ascii="Verdana" w:hAnsi="Verdana"/>
                <w:sz w:val="16"/>
                <w:szCs w:val="16"/>
                <w:vertAlign w:val="subscript"/>
              </w:rPr>
              <w:t>3</w:t>
            </w:r>
            <w:r w:rsidRPr="00F01347">
              <w:rPr>
                <w:rFonts w:ascii="Verdana" w:hAnsi="Verdana"/>
                <w:sz w:val="16"/>
                <w:szCs w:val="16"/>
              </w:rPr>
              <w:t xml:space="preserve"> concentrado y llevar al volumen con agua.</w:t>
            </w:r>
          </w:p>
        </w:tc>
        <w:tc>
          <w:tcPr>
            <w:tcW w:w="4675" w:type="dxa"/>
          </w:tcPr>
          <w:p w14:paraId="5BBF27C9" w14:textId="0D0F32A5"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Concentrated Yttrium solution, 1 mL = 1</w:t>
            </w:r>
            <w:r w:rsidR="00873AD2" w:rsidRPr="00F01347">
              <w:rPr>
                <w:rFonts w:ascii="Verdana" w:hAnsi="Verdana"/>
                <w:b/>
                <w:sz w:val="16"/>
                <w:szCs w:val="16"/>
                <w:lang w:val="en-US"/>
              </w:rPr>
              <w:t>,</w:t>
            </w:r>
            <w:r w:rsidRPr="00F01347">
              <w:rPr>
                <w:rFonts w:ascii="Verdana" w:hAnsi="Verdana"/>
                <w:b/>
                <w:sz w:val="16"/>
                <w:szCs w:val="16"/>
                <w:lang w:val="en-US"/>
              </w:rPr>
              <w:t xml:space="preserve">000 µg Y. </w:t>
            </w:r>
            <w:r w:rsidRPr="00F01347">
              <w:rPr>
                <w:rFonts w:ascii="Verdana" w:hAnsi="Verdana"/>
                <w:sz w:val="16"/>
                <w:szCs w:val="16"/>
                <w:lang w:val="en-US"/>
              </w:rPr>
              <w:t>In a 1 000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dissolve 4.3081 g of Y(NO</w:t>
            </w:r>
            <w:r w:rsidRPr="00F01347">
              <w:rPr>
                <w:rFonts w:ascii="Verdana" w:hAnsi="Verdana"/>
                <w:sz w:val="16"/>
                <w:szCs w:val="16"/>
                <w:vertAlign w:val="subscript"/>
                <w:lang w:val="en-US"/>
              </w:rPr>
              <w:t>3</w:t>
            </w:r>
            <w:r w:rsidR="00913802" w:rsidRPr="00F01347">
              <w:rPr>
                <w:rFonts w:ascii="Verdana" w:hAnsi="Verdana"/>
                <w:sz w:val="16"/>
                <w:szCs w:val="16"/>
                <w:lang w:val="en-US"/>
              </w:rPr>
              <w:t>)</w:t>
            </w:r>
            <w:r w:rsidRPr="00F01347">
              <w:rPr>
                <w:rFonts w:ascii="Verdana" w:hAnsi="Verdana"/>
                <w:sz w:val="16"/>
                <w:szCs w:val="16"/>
                <w:vertAlign w:val="subscript"/>
                <w:lang w:val="en-US"/>
              </w:rPr>
              <w:t>3</w:t>
            </w:r>
            <w:r w:rsidR="003E1BA9" w:rsidRPr="00F01347">
              <w:rPr>
                <w:rFonts w:ascii="Verdana" w:hAnsi="Verdana"/>
                <w:sz w:val="16"/>
                <w:szCs w:val="16"/>
                <w:vertAlign w:val="subscript"/>
                <w:lang w:val="en-US"/>
              </w:rPr>
              <w:t>.</w:t>
            </w:r>
            <w:r w:rsidRPr="00F01347">
              <w:rPr>
                <w:rFonts w:ascii="Verdana" w:hAnsi="Verdana"/>
                <w:sz w:val="16"/>
                <w:szCs w:val="16"/>
                <w:lang w:val="en-US"/>
              </w:rPr>
              <w:t>6H</w:t>
            </w:r>
            <w:r w:rsidRPr="00F01347">
              <w:rPr>
                <w:rFonts w:ascii="Verdana" w:hAnsi="Verdana"/>
                <w:sz w:val="16"/>
                <w:szCs w:val="16"/>
                <w:vertAlign w:val="subscript"/>
                <w:lang w:val="en-US"/>
              </w:rPr>
              <w:t>2</w:t>
            </w:r>
            <w:r w:rsidRPr="00F01347">
              <w:rPr>
                <w:rFonts w:ascii="Verdana" w:hAnsi="Verdana"/>
                <w:sz w:val="16"/>
                <w:szCs w:val="16"/>
                <w:lang w:val="en-US"/>
              </w:rPr>
              <w:t>0 (element fraction Y = 0.232 1), in a minimum amount of diluted HNO</w:t>
            </w:r>
            <w:r w:rsidRPr="00F01347">
              <w:rPr>
                <w:rFonts w:ascii="Verdana" w:hAnsi="Verdana"/>
                <w:sz w:val="16"/>
                <w:szCs w:val="16"/>
                <w:vertAlign w:val="subscript"/>
                <w:lang w:val="en-US"/>
              </w:rPr>
              <w:t>3</w:t>
            </w:r>
            <w:r w:rsidR="003E1BA9" w:rsidRPr="00F01347">
              <w:rPr>
                <w:rFonts w:ascii="Verdana" w:hAnsi="Verdana"/>
                <w:sz w:val="16"/>
                <w:szCs w:val="16"/>
                <w:vertAlign w:val="subscript"/>
                <w:lang w:val="en-US"/>
              </w:rPr>
              <w:t>.</w:t>
            </w:r>
            <w:r w:rsidRPr="00F01347">
              <w:rPr>
                <w:rFonts w:ascii="Verdana" w:hAnsi="Verdana"/>
                <w:sz w:val="16"/>
                <w:szCs w:val="16"/>
                <w:lang w:val="en-US"/>
              </w:rPr>
              <w:t xml:space="preserve"> Add 10 mL of concentrated HNO</w:t>
            </w:r>
            <w:r w:rsidRPr="00F01347">
              <w:rPr>
                <w:rFonts w:ascii="Verdana" w:hAnsi="Verdana"/>
                <w:sz w:val="16"/>
                <w:szCs w:val="16"/>
                <w:vertAlign w:val="subscript"/>
                <w:lang w:val="en-US"/>
              </w:rPr>
              <w:t xml:space="preserve">3 </w:t>
            </w:r>
            <w:r w:rsidRPr="00F01347">
              <w:rPr>
                <w:rFonts w:ascii="Verdana" w:hAnsi="Verdana"/>
                <w:sz w:val="16"/>
                <w:szCs w:val="16"/>
                <w:lang w:val="en-US"/>
              </w:rPr>
              <w:t>and bring to volume with water.</w:t>
            </w:r>
          </w:p>
        </w:tc>
      </w:tr>
      <w:tr w:rsidR="001C02AB" w:rsidRPr="00F01347" w14:paraId="740DBA2E" w14:textId="2E4BB335" w:rsidTr="00BF684F">
        <w:tc>
          <w:tcPr>
            <w:tcW w:w="4675" w:type="dxa"/>
          </w:tcPr>
          <w:p w14:paraId="10F72331" w14:textId="77777777"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 xml:space="preserve">Disolución concentrada de Manganeso, 1 </w:t>
            </w:r>
            <w:proofErr w:type="spellStart"/>
            <w:r w:rsidRPr="00F01347">
              <w:rPr>
                <w:rFonts w:ascii="Verdana" w:hAnsi="Verdana"/>
                <w:b/>
                <w:sz w:val="16"/>
                <w:szCs w:val="16"/>
              </w:rPr>
              <w:t>mL</w:t>
            </w:r>
            <w:proofErr w:type="spellEnd"/>
            <w:r w:rsidRPr="00F01347">
              <w:rPr>
                <w:rFonts w:ascii="Verdana" w:hAnsi="Verdana"/>
                <w:b/>
                <w:sz w:val="16"/>
                <w:szCs w:val="16"/>
              </w:rPr>
              <w:t xml:space="preserve"> = 1 000 µg Mn</w:t>
            </w:r>
            <w:r w:rsidRPr="00F01347">
              <w:rPr>
                <w:rFonts w:ascii="Verdana" w:hAnsi="Verdana"/>
                <w:sz w:val="16"/>
                <w:szCs w:val="16"/>
              </w:rPr>
              <w:t xml:space="preserve">.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xml:space="preserve"> disolver 1.0 g de manganeso metálico, en una mezcla ácida (10 </w:t>
            </w:r>
            <w:proofErr w:type="spellStart"/>
            <w:r w:rsidRPr="00F01347">
              <w:rPr>
                <w:rFonts w:ascii="Verdana" w:hAnsi="Verdana"/>
                <w:sz w:val="16"/>
                <w:szCs w:val="16"/>
              </w:rPr>
              <w:t>mL</w:t>
            </w:r>
            <w:proofErr w:type="spellEnd"/>
            <w:r w:rsidRPr="00F01347">
              <w:rPr>
                <w:rFonts w:ascii="Verdana" w:hAnsi="Verdana"/>
                <w:sz w:val="16"/>
                <w:szCs w:val="16"/>
              </w:rPr>
              <w:t xml:space="preserve"> de HCl concentrado y 1 </w:t>
            </w:r>
            <w:proofErr w:type="spellStart"/>
            <w:r w:rsidRPr="00F01347">
              <w:rPr>
                <w:rFonts w:ascii="Verdana" w:hAnsi="Verdana"/>
                <w:sz w:val="16"/>
                <w:szCs w:val="16"/>
              </w:rPr>
              <w:t>mL</w:t>
            </w:r>
            <w:proofErr w:type="spellEnd"/>
            <w:r w:rsidRPr="00F01347">
              <w:rPr>
                <w:rFonts w:ascii="Verdana" w:hAnsi="Verdana"/>
                <w:sz w:val="16"/>
                <w:szCs w:val="16"/>
              </w:rPr>
              <w:t xml:space="preserve"> de HNO</w:t>
            </w:r>
            <w:r w:rsidRPr="00F01347">
              <w:rPr>
                <w:rFonts w:ascii="Verdana" w:hAnsi="Verdana"/>
                <w:sz w:val="16"/>
                <w:szCs w:val="16"/>
                <w:vertAlign w:val="subscript"/>
              </w:rPr>
              <w:t>3</w:t>
            </w:r>
            <w:r w:rsidRPr="00F01347">
              <w:rPr>
                <w:rFonts w:ascii="Verdana" w:hAnsi="Verdana"/>
                <w:sz w:val="16"/>
                <w:szCs w:val="16"/>
              </w:rPr>
              <w:t xml:space="preserve"> concentrado) y llevar al volumen con agua.</w:t>
            </w:r>
          </w:p>
        </w:tc>
        <w:tc>
          <w:tcPr>
            <w:tcW w:w="4675" w:type="dxa"/>
          </w:tcPr>
          <w:p w14:paraId="2926C056" w14:textId="1B16A488"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Concentrated solution of Manganese, 1 mL = 1,000 µg Mn</w:t>
            </w:r>
            <w:r w:rsidR="003E1BA9" w:rsidRPr="00F01347">
              <w:rPr>
                <w:rFonts w:ascii="Verdana" w:hAnsi="Verdana"/>
                <w:b/>
                <w:sz w:val="16"/>
                <w:szCs w:val="16"/>
                <w:lang w:val="en-US"/>
              </w:rPr>
              <w:t>.</w:t>
            </w:r>
            <w:r w:rsidRPr="00F01347">
              <w:rPr>
                <w:rFonts w:ascii="Verdana" w:hAnsi="Verdana"/>
                <w:sz w:val="16"/>
                <w:szCs w:val="16"/>
                <w:lang w:val="en-US"/>
              </w:rPr>
              <w:t xml:space="preserve"> In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dissolve 1.0 g of metallic manganese in an acid mixture (10 mL of concentrated HCl and 1 mL of concentrated HNO</w:t>
            </w:r>
            <w:r w:rsidRPr="00F01347">
              <w:rPr>
                <w:rFonts w:ascii="Verdana" w:hAnsi="Verdana"/>
                <w:sz w:val="16"/>
                <w:szCs w:val="16"/>
                <w:vertAlign w:val="subscript"/>
                <w:lang w:val="en-US"/>
              </w:rPr>
              <w:t>3</w:t>
            </w:r>
            <w:r w:rsidR="00913802" w:rsidRPr="00F01347">
              <w:rPr>
                <w:rFonts w:ascii="Verdana" w:hAnsi="Verdana"/>
                <w:sz w:val="16"/>
                <w:szCs w:val="16"/>
                <w:vertAlign w:val="subscript"/>
                <w:lang w:val="en-US"/>
              </w:rPr>
              <w:t>)</w:t>
            </w:r>
            <w:r w:rsidRPr="00F01347">
              <w:rPr>
                <w:rFonts w:ascii="Verdana" w:hAnsi="Verdana"/>
                <w:sz w:val="16"/>
                <w:szCs w:val="16"/>
                <w:lang w:val="en-US"/>
              </w:rPr>
              <w:t xml:space="preserve"> and bring to volume with water.</w:t>
            </w:r>
          </w:p>
        </w:tc>
      </w:tr>
      <w:tr w:rsidR="001C02AB" w:rsidRPr="00F01347" w14:paraId="6D54D593" w14:textId="3433D604" w:rsidTr="00BF684F">
        <w:tc>
          <w:tcPr>
            <w:tcW w:w="4675" w:type="dxa"/>
          </w:tcPr>
          <w:p w14:paraId="4DAC7D6E" w14:textId="77777777"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 xml:space="preserve">Disolución concentrada de Níquel, 1 </w:t>
            </w:r>
            <w:proofErr w:type="spellStart"/>
            <w:r w:rsidRPr="00F01347">
              <w:rPr>
                <w:rFonts w:ascii="Verdana" w:hAnsi="Verdana"/>
                <w:b/>
                <w:sz w:val="16"/>
                <w:szCs w:val="16"/>
              </w:rPr>
              <w:t>mL</w:t>
            </w:r>
            <w:proofErr w:type="spellEnd"/>
            <w:r w:rsidRPr="00F01347">
              <w:rPr>
                <w:rFonts w:ascii="Verdana" w:hAnsi="Verdana"/>
                <w:b/>
                <w:sz w:val="16"/>
                <w:szCs w:val="16"/>
              </w:rPr>
              <w:t xml:space="preserve"> = 1 000 µg Ni.</w:t>
            </w:r>
            <w:r w:rsidRPr="00F01347">
              <w:rPr>
                <w:rFonts w:ascii="Verdana" w:hAnsi="Verdana"/>
                <w:sz w:val="16"/>
                <w:szCs w:val="16"/>
              </w:rPr>
              <w:t xml:space="preserve">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xml:space="preserve"> disolver 1.0 g de níquel metálico en 10 </w:t>
            </w:r>
            <w:proofErr w:type="spellStart"/>
            <w:r w:rsidRPr="00F01347">
              <w:rPr>
                <w:rFonts w:ascii="Verdana" w:hAnsi="Verdana"/>
                <w:sz w:val="16"/>
                <w:szCs w:val="16"/>
              </w:rPr>
              <w:t>mL</w:t>
            </w:r>
            <w:proofErr w:type="spellEnd"/>
            <w:r w:rsidRPr="00F01347">
              <w:rPr>
                <w:rFonts w:ascii="Verdana" w:hAnsi="Verdana"/>
                <w:sz w:val="16"/>
                <w:szCs w:val="16"/>
              </w:rPr>
              <w:t xml:space="preserve"> de HNO</w:t>
            </w:r>
            <w:r w:rsidRPr="00F01347">
              <w:rPr>
                <w:rFonts w:ascii="Verdana" w:hAnsi="Verdana"/>
                <w:sz w:val="16"/>
                <w:szCs w:val="16"/>
                <w:vertAlign w:val="subscript"/>
              </w:rPr>
              <w:t>3</w:t>
            </w:r>
            <w:r w:rsidRPr="00F01347">
              <w:rPr>
                <w:rFonts w:ascii="Verdana" w:hAnsi="Verdana"/>
                <w:sz w:val="16"/>
                <w:szCs w:val="16"/>
              </w:rPr>
              <w:t xml:space="preserve"> concentrado caliente, y llevar al volumen con agua.</w:t>
            </w:r>
          </w:p>
        </w:tc>
        <w:tc>
          <w:tcPr>
            <w:tcW w:w="4675" w:type="dxa"/>
          </w:tcPr>
          <w:p w14:paraId="43A619EA" w14:textId="4EB2BEE9"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 xml:space="preserve">Concentrated Nickel solution, 1 mL = 1,000 µg Ni. </w:t>
            </w:r>
            <w:r w:rsidRPr="00F01347">
              <w:rPr>
                <w:rFonts w:ascii="Verdana" w:hAnsi="Verdana"/>
                <w:sz w:val="16"/>
                <w:szCs w:val="16"/>
                <w:lang w:val="en-US"/>
              </w:rPr>
              <w:t>In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dissolve 1.0 g of nickel metal in 10 mL of hot concentrated </w:t>
            </w:r>
            <w:proofErr w:type="gramStart"/>
            <w:r w:rsidRPr="00F01347">
              <w:rPr>
                <w:rFonts w:ascii="Verdana" w:hAnsi="Verdana"/>
                <w:sz w:val="16"/>
                <w:szCs w:val="16"/>
                <w:lang w:val="en-US"/>
              </w:rPr>
              <w:t>HNO</w:t>
            </w:r>
            <w:r w:rsidRPr="00F01347">
              <w:rPr>
                <w:rFonts w:ascii="Verdana" w:hAnsi="Verdana"/>
                <w:sz w:val="16"/>
                <w:szCs w:val="16"/>
                <w:vertAlign w:val="subscript"/>
                <w:lang w:val="en-US"/>
              </w:rPr>
              <w:t>3</w:t>
            </w:r>
            <w:r w:rsidR="003E1BA9" w:rsidRPr="00F01347">
              <w:rPr>
                <w:rFonts w:ascii="Verdana" w:hAnsi="Verdana"/>
                <w:sz w:val="16"/>
                <w:szCs w:val="16"/>
                <w:vertAlign w:val="subscript"/>
                <w:lang w:val="en-US"/>
              </w:rPr>
              <w:t>,</w:t>
            </w:r>
            <w:r w:rsidRPr="00F01347">
              <w:rPr>
                <w:rFonts w:ascii="Verdana" w:hAnsi="Verdana"/>
                <w:sz w:val="16"/>
                <w:szCs w:val="16"/>
                <w:vertAlign w:val="subscript"/>
                <w:lang w:val="en-US"/>
              </w:rPr>
              <w:t xml:space="preserve"> </w:t>
            </w:r>
            <w:r w:rsidRPr="00F01347">
              <w:rPr>
                <w:rFonts w:ascii="Verdana" w:hAnsi="Verdana"/>
                <w:sz w:val="16"/>
                <w:szCs w:val="16"/>
                <w:lang w:val="en-US"/>
              </w:rPr>
              <w:t>and</w:t>
            </w:r>
            <w:proofErr w:type="gramEnd"/>
            <w:r w:rsidRPr="00F01347">
              <w:rPr>
                <w:rFonts w:ascii="Verdana" w:hAnsi="Verdana"/>
                <w:sz w:val="16"/>
                <w:szCs w:val="16"/>
                <w:lang w:val="en-US"/>
              </w:rPr>
              <w:t xml:space="preserve"> bring to volume with water.</w:t>
            </w:r>
          </w:p>
        </w:tc>
      </w:tr>
      <w:tr w:rsidR="001C02AB" w:rsidRPr="00F01347" w14:paraId="0DCC73BF" w14:textId="1EBE0ACE" w:rsidTr="00BF684F">
        <w:tc>
          <w:tcPr>
            <w:tcW w:w="4675" w:type="dxa"/>
          </w:tcPr>
          <w:p w14:paraId="6A9268D4" w14:textId="3DD51CBA"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 xml:space="preserve">Disolución concentrada de Plata, 1 </w:t>
            </w:r>
            <w:proofErr w:type="spellStart"/>
            <w:r w:rsidRPr="00F01347">
              <w:rPr>
                <w:rFonts w:ascii="Verdana" w:hAnsi="Verdana"/>
                <w:b/>
                <w:sz w:val="16"/>
                <w:szCs w:val="16"/>
              </w:rPr>
              <w:t>mL</w:t>
            </w:r>
            <w:proofErr w:type="spellEnd"/>
            <w:r w:rsidRPr="00F01347">
              <w:rPr>
                <w:rFonts w:ascii="Verdana" w:hAnsi="Verdana"/>
                <w:b/>
                <w:sz w:val="16"/>
                <w:szCs w:val="16"/>
              </w:rPr>
              <w:t xml:space="preserve"> = 1 000 µg </w:t>
            </w:r>
            <w:proofErr w:type="gramStart"/>
            <w:r w:rsidRPr="00F01347">
              <w:rPr>
                <w:rFonts w:ascii="Verdana" w:hAnsi="Verdana"/>
                <w:b/>
                <w:sz w:val="16"/>
                <w:szCs w:val="16"/>
              </w:rPr>
              <w:t>Ag.</w:t>
            </w:r>
            <w:proofErr w:type="gramEnd"/>
            <w:r w:rsidRPr="00F01347">
              <w:rPr>
                <w:rFonts w:ascii="Verdana" w:hAnsi="Verdana"/>
                <w:sz w:val="16"/>
                <w:szCs w:val="16"/>
              </w:rPr>
              <w:t xml:space="preserve">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disolver 1.5748 g AgNO</w:t>
            </w:r>
            <w:r w:rsidRPr="00F01347">
              <w:rPr>
                <w:rFonts w:ascii="Verdana" w:hAnsi="Verdana"/>
                <w:sz w:val="16"/>
                <w:szCs w:val="16"/>
                <w:vertAlign w:val="subscript"/>
              </w:rPr>
              <w:t>3</w:t>
            </w:r>
            <w:r w:rsidRPr="00F01347">
              <w:rPr>
                <w:rFonts w:ascii="Verdana" w:hAnsi="Verdana"/>
                <w:sz w:val="16"/>
                <w:szCs w:val="16"/>
              </w:rPr>
              <w:t xml:space="preserve"> (fracción del elemento Ag = 0.635 0), agua, agregar 10 </w:t>
            </w:r>
            <w:proofErr w:type="spellStart"/>
            <w:r w:rsidRPr="00F01347">
              <w:rPr>
                <w:rFonts w:ascii="Verdana" w:hAnsi="Verdana"/>
                <w:sz w:val="16"/>
                <w:szCs w:val="16"/>
              </w:rPr>
              <w:t>mL</w:t>
            </w:r>
            <w:proofErr w:type="spellEnd"/>
            <w:r w:rsidRPr="00F01347">
              <w:rPr>
                <w:rFonts w:ascii="Verdana" w:hAnsi="Verdana"/>
                <w:sz w:val="16"/>
                <w:szCs w:val="16"/>
              </w:rPr>
              <w:t xml:space="preserve"> de HNO</w:t>
            </w:r>
            <w:r w:rsidRPr="00F01347">
              <w:rPr>
                <w:rFonts w:ascii="Verdana" w:hAnsi="Verdana"/>
                <w:sz w:val="16"/>
                <w:szCs w:val="16"/>
                <w:vertAlign w:val="subscript"/>
              </w:rPr>
              <w:t>3</w:t>
            </w:r>
            <w:r w:rsidRPr="00F01347">
              <w:rPr>
                <w:rFonts w:ascii="Verdana" w:hAnsi="Verdana"/>
                <w:sz w:val="16"/>
                <w:szCs w:val="16"/>
              </w:rPr>
              <w:t xml:space="preserve"> concentrado y llevar al volumen con agua.</w:t>
            </w:r>
          </w:p>
        </w:tc>
        <w:tc>
          <w:tcPr>
            <w:tcW w:w="4675" w:type="dxa"/>
          </w:tcPr>
          <w:p w14:paraId="7BB13ECC" w14:textId="1C1A73B1"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 xml:space="preserve">Concentrated Silver solution, 1 mL = 1,000 µg Ag. </w:t>
            </w:r>
            <w:r w:rsidRPr="00F01347">
              <w:rPr>
                <w:rFonts w:ascii="Verdana" w:hAnsi="Verdana"/>
                <w:sz w:val="16"/>
                <w:szCs w:val="16"/>
                <w:lang w:val="en-US"/>
              </w:rPr>
              <w:t>In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dissolve 1.5748 g AgNO</w:t>
            </w:r>
            <w:r w:rsidRPr="00F01347">
              <w:rPr>
                <w:rFonts w:ascii="Verdana" w:hAnsi="Verdana"/>
                <w:sz w:val="16"/>
                <w:szCs w:val="16"/>
                <w:vertAlign w:val="subscript"/>
                <w:lang w:val="en-US"/>
              </w:rPr>
              <w:t xml:space="preserve">3 </w:t>
            </w:r>
            <w:r w:rsidRPr="00F01347">
              <w:rPr>
                <w:rFonts w:ascii="Verdana" w:hAnsi="Verdana"/>
                <w:sz w:val="16"/>
                <w:szCs w:val="16"/>
                <w:lang w:val="en-US"/>
              </w:rPr>
              <w:t>(fraction of the element Ag = 0.635 0), water, add 10 mL of concentrated HNO</w:t>
            </w:r>
            <w:r w:rsidRPr="00F01347">
              <w:rPr>
                <w:rFonts w:ascii="Verdana" w:hAnsi="Verdana"/>
                <w:sz w:val="16"/>
                <w:szCs w:val="16"/>
                <w:vertAlign w:val="subscript"/>
                <w:lang w:val="en-US"/>
              </w:rPr>
              <w:t xml:space="preserve">3 </w:t>
            </w:r>
            <w:r w:rsidRPr="00F01347">
              <w:rPr>
                <w:rFonts w:ascii="Verdana" w:hAnsi="Verdana"/>
                <w:sz w:val="16"/>
                <w:szCs w:val="16"/>
                <w:lang w:val="en-US"/>
              </w:rPr>
              <w:t>and bring to the volume with water.</w:t>
            </w:r>
          </w:p>
        </w:tc>
      </w:tr>
      <w:tr w:rsidR="001C02AB" w:rsidRPr="00F01347" w14:paraId="2EF52305" w14:textId="5D335D4A" w:rsidTr="00BF684F">
        <w:tc>
          <w:tcPr>
            <w:tcW w:w="4675" w:type="dxa"/>
          </w:tcPr>
          <w:p w14:paraId="77811AFC" w14:textId="1B43CECD"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t xml:space="preserve">Disolución concentrada de Plomo, 1 </w:t>
            </w:r>
            <w:proofErr w:type="spellStart"/>
            <w:r w:rsidRPr="00F01347">
              <w:rPr>
                <w:rFonts w:ascii="Verdana" w:hAnsi="Verdana"/>
                <w:b/>
                <w:sz w:val="16"/>
                <w:szCs w:val="16"/>
              </w:rPr>
              <w:t>mL</w:t>
            </w:r>
            <w:proofErr w:type="spellEnd"/>
            <w:r w:rsidRPr="00F01347">
              <w:rPr>
                <w:rFonts w:ascii="Verdana" w:hAnsi="Verdana"/>
                <w:b/>
                <w:sz w:val="16"/>
                <w:szCs w:val="16"/>
              </w:rPr>
              <w:t xml:space="preserve"> = 1 000 µg Pb</w:t>
            </w:r>
            <w:r w:rsidRPr="00F01347">
              <w:rPr>
                <w:rFonts w:ascii="Verdana" w:hAnsi="Verdana"/>
                <w:sz w:val="16"/>
                <w:szCs w:val="16"/>
              </w:rPr>
              <w:t xml:space="preserve">.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xml:space="preserve"> disolver </w:t>
            </w:r>
            <w:r w:rsidRPr="00F01347">
              <w:rPr>
                <w:rFonts w:ascii="Verdana" w:hAnsi="Verdana"/>
                <w:sz w:val="16"/>
                <w:szCs w:val="16"/>
              </w:rPr>
              <w:lastRenderedPageBreak/>
              <w:t xml:space="preserve">1.598 5 g de </w:t>
            </w:r>
            <w:proofErr w:type="gramStart"/>
            <w:r w:rsidRPr="00F01347">
              <w:rPr>
                <w:rFonts w:ascii="Verdana" w:hAnsi="Verdana"/>
                <w:sz w:val="16"/>
                <w:szCs w:val="16"/>
              </w:rPr>
              <w:t>Pb(</w:t>
            </w:r>
            <w:proofErr w:type="gramEnd"/>
            <w:r w:rsidRPr="00F01347">
              <w:rPr>
                <w:rFonts w:ascii="Verdana" w:hAnsi="Verdana"/>
                <w:sz w:val="16"/>
                <w:szCs w:val="16"/>
              </w:rPr>
              <w:t>NO</w:t>
            </w:r>
            <w:r w:rsidRPr="00F01347">
              <w:rPr>
                <w:rFonts w:ascii="Verdana" w:hAnsi="Verdana"/>
                <w:sz w:val="16"/>
                <w:szCs w:val="16"/>
                <w:vertAlign w:val="subscript"/>
              </w:rPr>
              <w:t>3</w:t>
            </w:r>
            <w:r w:rsidRPr="00F01347">
              <w:rPr>
                <w:rFonts w:ascii="Verdana" w:hAnsi="Verdana"/>
                <w:sz w:val="16"/>
                <w:szCs w:val="16"/>
              </w:rPr>
              <w:t>)</w:t>
            </w:r>
            <w:r w:rsidRPr="00F01347">
              <w:rPr>
                <w:rFonts w:ascii="Verdana" w:hAnsi="Verdana"/>
                <w:sz w:val="16"/>
                <w:szCs w:val="16"/>
                <w:vertAlign w:val="subscript"/>
              </w:rPr>
              <w:t>2</w:t>
            </w:r>
            <w:r w:rsidRPr="00F01347">
              <w:rPr>
                <w:rFonts w:ascii="Verdana" w:hAnsi="Verdana"/>
                <w:sz w:val="16"/>
                <w:szCs w:val="16"/>
              </w:rPr>
              <w:t xml:space="preserve"> (fracción del elemento Pb = 0.6256), en una cantidad mínima de HNO</w:t>
            </w:r>
            <w:r w:rsidRPr="00F01347">
              <w:rPr>
                <w:rFonts w:ascii="Verdana" w:hAnsi="Verdana"/>
                <w:sz w:val="16"/>
                <w:szCs w:val="16"/>
                <w:vertAlign w:val="subscript"/>
              </w:rPr>
              <w:t>3</w:t>
            </w:r>
            <w:r w:rsidRPr="00F01347">
              <w:rPr>
                <w:rFonts w:ascii="Verdana" w:hAnsi="Verdana"/>
                <w:sz w:val="16"/>
                <w:szCs w:val="16"/>
              </w:rPr>
              <w:t xml:space="preserve"> (1:1). Adicionar 10 </w:t>
            </w:r>
            <w:proofErr w:type="spellStart"/>
            <w:r w:rsidRPr="00F01347">
              <w:rPr>
                <w:rFonts w:ascii="Verdana" w:hAnsi="Verdana"/>
                <w:sz w:val="16"/>
                <w:szCs w:val="16"/>
              </w:rPr>
              <w:t>mL</w:t>
            </w:r>
            <w:proofErr w:type="spellEnd"/>
            <w:r w:rsidRPr="00F01347">
              <w:rPr>
                <w:rFonts w:ascii="Verdana" w:hAnsi="Verdana"/>
                <w:sz w:val="16"/>
                <w:szCs w:val="16"/>
              </w:rPr>
              <w:t xml:space="preserve"> más de HNO</w:t>
            </w:r>
            <w:r w:rsidRPr="00F01347">
              <w:rPr>
                <w:rFonts w:ascii="Verdana" w:hAnsi="Verdana"/>
                <w:sz w:val="16"/>
                <w:szCs w:val="16"/>
                <w:vertAlign w:val="subscript"/>
              </w:rPr>
              <w:t>3</w:t>
            </w:r>
            <w:r w:rsidRPr="00F01347">
              <w:rPr>
                <w:rFonts w:ascii="Verdana" w:hAnsi="Verdana"/>
                <w:sz w:val="16"/>
                <w:szCs w:val="16"/>
              </w:rPr>
              <w:t xml:space="preserve"> (1:1) y diluir al volumen con agua.</w:t>
            </w:r>
          </w:p>
        </w:tc>
        <w:tc>
          <w:tcPr>
            <w:tcW w:w="4675" w:type="dxa"/>
          </w:tcPr>
          <w:p w14:paraId="168ECF74" w14:textId="13614D57"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lastRenderedPageBreak/>
              <w:t>Concentrated Lead solution, 1 mL = 1,000 µg Pb</w:t>
            </w:r>
            <w:r w:rsidR="003E1BA9" w:rsidRPr="00F01347">
              <w:rPr>
                <w:rFonts w:ascii="Verdana" w:hAnsi="Verdana"/>
                <w:b/>
                <w:sz w:val="16"/>
                <w:szCs w:val="16"/>
                <w:lang w:val="en-US"/>
              </w:rPr>
              <w:t>.</w:t>
            </w:r>
            <w:r w:rsidRPr="00F01347">
              <w:rPr>
                <w:rFonts w:ascii="Verdana" w:hAnsi="Verdana"/>
                <w:sz w:val="16"/>
                <w:szCs w:val="16"/>
                <w:lang w:val="en-US"/>
              </w:rPr>
              <w:t xml:space="preserve"> In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dissolve 1.5985 g of </w:t>
            </w:r>
            <w:proofErr w:type="gramStart"/>
            <w:r w:rsidRPr="00F01347">
              <w:rPr>
                <w:rFonts w:ascii="Verdana" w:hAnsi="Verdana"/>
                <w:sz w:val="16"/>
                <w:szCs w:val="16"/>
                <w:lang w:val="en-US"/>
              </w:rPr>
              <w:lastRenderedPageBreak/>
              <w:t>Pb</w:t>
            </w:r>
            <w:r w:rsidR="00CB209C" w:rsidRPr="00F01347">
              <w:rPr>
                <w:rFonts w:ascii="Verdana" w:hAnsi="Verdana"/>
                <w:sz w:val="16"/>
                <w:szCs w:val="16"/>
                <w:lang w:val="en-US"/>
              </w:rPr>
              <w:t>(</w:t>
            </w:r>
            <w:proofErr w:type="gramEnd"/>
            <w:r w:rsidRPr="00F01347">
              <w:rPr>
                <w:rFonts w:ascii="Verdana" w:hAnsi="Verdana"/>
                <w:sz w:val="16"/>
                <w:szCs w:val="16"/>
                <w:lang w:val="en-US"/>
              </w:rPr>
              <w:t>NO</w:t>
            </w:r>
            <w:r w:rsidRPr="00F01347">
              <w:rPr>
                <w:rFonts w:ascii="Verdana" w:hAnsi="Verdana"/>
                <w:sz w:val="16"/>
                <w:szCs w:val="16"/>
                <w:vertAlign w:val="subscript"/>
                <w:lang w:val="en-US"/>
              </w:rPr>
              <w:t>3</w:t>
            </w:r>
            <w:r w:rsidR="00913802" w:rsidRPr="00F01347">
              <w:rPr>
                <w:rFonts w:ascii="Verdana" w:hAnsi="Verdana"/>
                <w:sz w:val="16"/>
                <w:szCs w:val="16"/>
                <w:lang w:val="en-US"/>
              </w:rPr>
              <w:t>)</w:t>
            </w:r>
            <w:r w:rsidRPr="00F01347">
              <w:rPr>
                <w:rFonts w:ascii="Verdana" w:hAnsi="Verdana"/>
                <w:sz w:val="16"/>
                <w:szCs w:val="16"/>
                <w:vertAlign w:val="subscript"/>
                <w:lang w:val="en-US"/>
              </w:rPr>
              <w:t xml:space="preserve">2 </w:t>
            </w:r>
            <w:r w:rsidRPr="00F01347">
              <w:rPr>
                <w:rFonts w:ascii="Verdana" w:hAnsi="Verdana"/>
                <w:sz w:val="16"/>
                <w:szCs w:val="16"/>
                <w:lang w:val="en-US"/>
              </w:rPr>
              <w:t xml:space="preserve">(fraction of the element Pb = 0.6256), in a minimum amount of HNO </w:t>
            </w:r>
            <w:r w:rsidRPr="00F01347">
              <w:rPr>
                <w:rFonts w:ascii="Verdana" w:hAnsi="Verdana"/>
                <w:sz w:val="16"/>
                <w:szCs w:val="16"/>
                <w:vertAlign w:val="subscript"/>
                <w:lang w:val="en-US"/>
              </w:rPr>
              <w:t xml:space="preserve">3 </w:t>
            </w:r>
            <w:r w:rsidRPr="00F01347">
              <w:rPr>
                <w:rFonts w:ascii="Verdana" w:hAnsi="Verdana"/>
                <w:sz w:val="16"/>
                <w:szCs w:val="16"/>
                <w:lang w:val="en-US"/>
              </w:rPr>
              <w:t>(1:1). Add 10 more mL of HNO</w:t>
            </w:r>
            <w:r w:rsidRPr="00F01347">
              <w:rPr>
                <w:rFonts w:ascii="Verdana" w:hAnsi="Verdana"/>
                <w:sz w:val="16"/>
                <w:szCs w:val="16"/>
                <w:vertAlign w:val="subscript"/>
                <w:lang w:val="en-US"/>
              </w:rPr>
              <w:t xml:space="preserve">3 </w:t>
            </w:r>
            <w:r w:rsidRPr="00F01347">
              <w:rPr>
                <w:rFonts w:ascii="Verdana" w:hAnsi="Verdana"/>
                <w:sz w:val="16"/>
                <w:szCs w:val="16"/>
                <w:lang w:val="en-US"/>
              </w:rPr>
              <w:t>(1:1) and dilute to volume with water.</w:t>
            </w:r>
          </w:p>
        </w:tc>
      </w:tr>
      <w:tr w:rsidR="001C02AB" w:rsidRPr="00F01347" w14:paraId="6689F7D4" w14:textId="43FD3F17" w:rsidTr="00BF684F">
        <w:tc>
          <w:tcPr>
            <w:tcW w:w="4675" w:type="dxa"/>
          </w:tcPr>
          <w:p w14:paraId="0D4D38D5" w14:textId="47FD9B0C" w:rsidR="001C02AB" w:rsidRPr="00F01347" w:rsidRDefault="001C02AB" w:rsidP="001C02AB">
            <w:pPr>
              <w:pStyle w:val="texto0"/>
              <w:spacing w:after="93"/>
              <w:ind w:firstLine="0"/>
              <w:rPr>
                <w:rFonts w:ascii="Verdana" w:hAnsi="Verdana"/>
                <w:sz w:val="16"/>
                <w:szCs w:val="16"/>
              </w:rPr>
            </w:pPr>
            <w:r w:rsidRPr="00F01347">
              <w:rPr>
                <w:rFonts w:ascii="Verdana" w:hAnsi="Verdana"/>
                <w:b/>
                <w:sz w:val="16"/>
                <w:szCs w:val="16"/>
              </w:rPr>
              <w:lastRenderedPageBreak/>
              <w:t xml:space="preserve">Disolución concentrada de Selenio, 1 </w:t>
            </w:r>
            <w:proofErr w:type="spellStart"/>
            <w:r w:rsidRPr="00F01347">
              <w:rPr>
                <w:rFonts w:ascii="Verdana" w:hAnsi="Verdana"/>
                <w:b/>
                <w:sz w:val="16"/>
                <w:szCs w:val="16"/>
              </w:rPr>
              <w:t>mL</w:t>
            </w:r>
            <w:proofErr w:type="spellEnd"/>
            <w:r w:rsidRPr="00F01347">
              <w:rPr>
                <w:rFonts w:ascii="Verdana" w:hAnsi="Verdana"/>
                <w:b/>
                <w:sz w:val="16"/>
                <w:szCs w:val="16"/>
              </w:rPr>
              <w:t xml:space="preserve"> = 1 000 µg Se.</w:t>
            </w:r>
            <w:r w:rsidRPr="00F01347">
              <w:rPr>
                <w:rFonts w:ascii="Verdana" w:hAnsi="Verdana"/>
                <w:sz w:val="16"/>
                <w:szCs w:val="16"/>
              </w:rPr>
              <w:t xml:space="preserve"> No secar. En un matraz volumétrico de 1 000 </w:t>
            </w:r>
            <w:proofErr w:type="spellStart"/>
            <w:r w:rsidRPr="00F01347">
              <w:rPr>
                <w:rFonts w:ascii="Verdana" w:hAnsi="Verdana"/>
                <w:sz w:val="16"/>
                <w:szCs w:val="16"/>
              </w:rPr>
              <w:t>mL</w:t>
            </w:r>
            <w:proofErr w:type="spellEnd"/>
            <w:r w:rsidRPr="00F01347">
              <w:rPr>
                <w:rFonts w:ascii="Verdana" w:hAnsi="Verdana"/>
                <w:sz w:val="16"/>
                <w:szCs w:val="16"/>
              </w:rPr>
              <w:t xml:space="preserve"> disolver 1.6332 g de H</w:t>
            </w:r>
            <w:r w:rsidRPr="00F01347">
              <w:rPr>
                <w:rFonts w:ascii="Verdana" w:hAnsi="Verdana"/>
                <w:sz w:val="16"/>
                <w:szCs w:val="16"/>
                <w:vertAlign w:val="subscript"/>
              </w:rPr>
              <w:t>2</w:t>
            </w:r>
            <w:r w:rsidRPr="00F01347">
              <w:rPr>
                <w:rFonts w:ascii="Verdana" w:hAnsi="Verdana"/>
                <w:sz w:val="16"/>
                <w:szCs w:val="16"/>
              </w:rPr>
              <w:t>SeO</w:t>
            </w:r>
            <w:r w:rsidRPr="00F01347">
              <w:rPr>
                <w:rFonts w:ascii="Verdana" w:hAnsi="Verdana"/>
                <w:sz w:val="16"/>
                <w:szCs w:val="16"/>
                <w:vertAlign w:val="subscript"/>
              </w:rPr>
              <w:t>3</w:t>
            </w:r>
            <w:r w:rsidRPr="00F01347">
              <w:rPr>
                <w:rFonts w:ascii="Verdana" w:hAnsi="Verdana"/>
                <w:sz w:val="16"/>
                <w:szCs w:val="16"/>
              </w:rPr>
              <w:t xml:space="preserve"> (fracción del elemento Se = 0.612 3) en agua, y llevar al volumen con agua.</w:t>
            </w:r>
          </w:p>
        </w:tc>
        <w:tc>
          <w:tcPr>
            <w:tcW w:w="4675" w:type="dxa"/>
          </w:tcPr>
          <w:p w14:paraId="656A369C" w14:textId="50A07D20" w:rsidR="001C02AB" w:rsidRPr="00F01347" w:rsidRDefault="001C02AB" w:rsidP="001C02AB">
            <w:pPr>
              <w:pStyle w:val="texto0"/>
              <w:spacing w:after="93"/>
              <w:ind w:firstLine="0"/>
              <w:rPr>
                <w:rFonts w:ascii="Verdana" w:hAnsi="Verdana"/>
                <w:b/>
                <w:sz w:val="16"/>
                <w:szCs w:val="16"/>
                <w:lang w:val="en-US"/>
              </w:rPr>
            </w:pPr>
            <w:r w:rsidRPr="00F01347">
              <w:rPr>
                <w:rFonts w:ascii="Verdana" w:hAnsi="Verdana"/>
                <w:b/>
                <w:sz w:val="16"/>
                <w:szCs w:val="16"/>
                <w:lang w:val="en-US"/>
              </w:rPr>
              <w:t xml:space="preserve">Concentrated Selenium solution, 1 mL = 1,000 µg Se. </w:t>
            </w:r>
            <w:r w:rsidRPr="00F01347">
              <w:rPr>
                <w:rFonts w:ascii="Verdana" w:hAnsi="Verdana"/>
                <w:sz w:val="16"/>
                <w:szCs w:val="16"/>
                <w:lang w:val="en-US"/>
              </w:rPr>
              <w:t>Do not dry. In a 1000 mL volumetric flask</w:t>
            </w:r>
            <w:r w:rsidR="003E1BA9" w:rsidRPr="00F01347">
              <w:rPr>
                <w:rFonts w:ascii="Verdana" w:hAnsi="Verdana"/>
                <w:sz w:val="16"/>
                <w:szCs w:val="16"/>
                <w:lang w:val="en-US"/>
              </w:rPr>
              <w:t>,</w:t>
            </w:r>
            <w:r w:rsidRPr="00F01347">
              <w:rPr>
                <w:rFonts w:ascii="Verdana" w:hAnsi="Verdana"/>
                <w:sz w:val="16"/>
                <w:szCs w:val="16"/>
                <w:lang w:val="en-US"/>
              </w:rPr>
              <w:t xml:space="preserve"> dissolve 1.6332 g of H</w:t>
            </w:r>
            <w:r w:rsidRPr="00F01347">
              <w:rPr>
                <w:rFonts w:ascii="Verdana" w:hAnsi="Verdana"/>
                <w:sz w:val="16"/>
                <w:szCs w:val="16"/>
                <w:vertAlign w:val="subscript"/>
                <w:lang w:val="en-US"/>
              </w:rPr>
              <w:t xml:space="preserve">2 </w:t>
            </w:r>
            <w:r w:rsidRPr="00F01347">
              <w:rPr>
                <w:rFonts w:ascii="Verdana" w:hAnsi="Verdana"/>
                <w:sz w:val="16"/>
                <w:szCs w:val="16"/>
                <w:lang w:val="en-US"/>
              </w:rPr>
              <w:t>SeO</w:t>
            </w:r>
            <w:r w:rsidRPr="00F01347">
              <w:rPr>
                <w:rFonts w:ascii="Verdana" w:hAnsi="Verdana"/>
                <w:sz w:val="16"/>
                <w:szCs w:val="16"/>
                <w:vertAlign w:val="subscript"/>
                <w:lang w:val="en-US"/>
              </w:rPr>
              <w:t xml:space="preserve">3 </w:t>
            </w:r>
            <w:r w:rsidRPr="00F01347">
              <w:rPr>
                <w:rFonts w:ascii="Verdana" w:hAnsi="Verdana"/>
                <w:sz w:val="16"/>
                <w:szCs w:val="16"/>
                <w:lang w:val="en-US"/>
              </w:rPr>
              <w:t xml:space="preserve">(fraction of the element Se = 0.612 3) in </w:t>
            </w:r>
            <w:r w:rsidR="00E65A56" w:rsidRPr="00F01347">
              <w:rPr>
                <w:rFonts w:ascii="Verdana" w:hAnsi="Verdana"/>
                <w:sz w:val="16"/>
                <w:szCs w:val="16"/>
                <w:lang w:val="en-US"/>
              </w:rPr>
              <w:t>water and</w:t>
            </w:r>
            <w:r w:rsidRPr="00F01347">
              <w:rPr>
                <w:rFonts w:ascii="Verdana" w:hAnsi="Verdana"/>
                <w:sz w:val="16"/>
                <w:szCs w:val="16"/>
                <w:lang w:val="en-US"/>
              </w:rPr>
              <w:t xml:space="preserve"> bring to volume with water.</w:t>
            </w:r>
          </w:p>
        </w:tc>
      </w:tr>
      <w:tr w:rsidR="001C02AB" w:rsidRPr="00F01347" w14:paraId="415F6E67" w14:textId="4AD83BA6" w:rsidTr="00BF684F">
        <w:tc>
          <w:tcPr>
            <w:tcW w:w="4675" w:type="dxa"/>
          </w:tcPr>
          <w:p w14:paraId="55F55F8C" w14:textId="77777777" w:rsidR="001C02AB" w:rsidRPr="00F01347" w:rsidRDefault="001C02AB" w:rsidP="001C02AB">
            <w:pPr>
              <w:pStyle w:val="texto0"/>
              <w:spacing w:after="93"/>
              <w:ind w:firstLine="0"/>
              <w:rPr>
                <w:rFonts w:ascii="Verdana" w:hAnsi="Verdana"/>
                <w:bCs/>
                <w:sz w:val="16"/>
                <w:szCs w:val="16"/>
              </w:rPr>
            </w:pPr>
            <w:r w:rsidRPr="00F01347">
              <w:rPr>
                <w:rFonts w:ascii="Verdana" w:hAnsi="Verdana"/>
                <w:bCs/>
                <w:sz w:val="16"/>
                <w:szCs w:val="16"/>
              </w:rPr>
              <w:t xml:space="preserve">Soluciones </w:t>
            </w:r>
            <w:proofErr w:type="spellStart"/>
            <w:r w:rsidRPr="00F01347">
              <w:rPr>
                <w:rFonts w:ascii="Verdana" w:hAnsi="Verdana"/>
                <w:bCs/>
                <w:sz w:val="16"/>
                <w:szCs w:val="16"/>
              </w:rPr>
              <w:t>multielemento</w:t>
            </w:r>
            <w:proofErr w:type="spellEnd"/>
            <w:r w:rsidRPr="00F01347">
              <w:rPr>
                <w:rFonts w:ascii="Verdana" w:hAnsi="Verdana"/>
                <w:bCs/>
                <w:sz w:val="16"/>
                <w:szCs w:val="16"/>
              </w:rPr>
              <w:t>, con trazabilidad a NIST comercialmente disponibles, pueden utilizarse para preparar la curva de calibración.</w:t>
            </w:r>
          </w:p>
        </w:tc>
        <w:tc>
          <w:tcPr>
            <w:tcW w:w="4675" w:type="dxa"/>
          </w:tcPr>
          <w:p w14:paraId="64753E0C" w14:textId="664883AB" w:rsidR="001C02AB" w:rsidRPr="00F01347" w:rsidRDefault="001B3F5D" w:rsidP="001C02AB">
            <w:pPr>
              <w:pStyle w:val="texto0"/>
              <w:spacing w:after="93"/>
              <w:ind w:firstLine="0"/>
              <w:rPr>
                <w:rFonts w:ascii="Verdana" w:hAnsi="Verdana"/>
                <w:bCs/>
                <w:sz w:val="16"/>
                <w:szCs w:val="16"/>
                <w:lang w:val="en-US"/>
              </w:rPr>
            </w:pPr>
            <w:r w:rsidRPr="00F01347">
              <w:rPr>
                <w:rFonts w:ascii="Verdana" w:hAnsi="Verdana"/>
                <w:bCs/>
                <w:sz w:val="16"/>
                <w:szCs w:val="16"/>
                <w:lang w:val="en-US"/>
              </w:rPr>
              <w:t>Commercially available NIST-traceable multi-element solutions can be used to prepare the calibration curve.</w:t>
            </w:r>
          </w:p>
        </w:tc>
      </w:tr>
      <w:tr w:rsidR="001C02AB" w:rsidRPr="00F01347" w14:paraId="0053E44B" w14:textId="124659E6" w:rsidTr="00BF684F">
        <w:tc>
          <w:tcPr>
            <w:tcW w:w="4675" w:type="dxa"/>
          </w:tcPr>
          <w:p w14:paraId="051B3884" w14:textId="77777777" w:rsidR="001C02AB" w:rsidRPr="00F01347" w:rsidRDefault="001C02AB" w:rsidP="001C02AB">
            <w:pPr>
              <w:pStyle w:val="texto0"/>
              <w:spacing w:line="232" w:lineRule="exact"/>
              <w:ind w:firstLine="0"/>
              <w:rPr>
                <w:rFonts w:ascii="Verdana" w:hAnsi="Verdana"/>
                <w:b/>
                <w:sz w:val="16"/>
                <w:szCs w:val="16"/>
              </w:rPr>
            </w:pPr>
            <w:r w:rsidRPr="00F01347">
              <w:rPr>
                <w:rFonts w:ascii="Verdana" w:hAnsi="Verdana"/>
                <w:b/>
                <w:sz w:val="16"/>
                <w:szCs w:val="16"/>
              </w:rPr>
              <w:t>B.4.2.6 Procedimiento</w:t>
            </w:r>
          </w:p>
        </w:tc>
        <w:tc>
          <w:tcPr>
            <w:tcW w:w="4675" w:type="dxa"/>
          </w:tcPr>
          <w:p w14:paraId="2FF38C52" w14:textId="05BDB37F" w:rsidR="001C02AB" w:rsidRPr="00F01347" w:rsidRDefault="001C02AB" w:rsidP="001C02AB">
            <w:pPr>
              <w:pStyle w:val="texto0"/>
              <w:spacing w:line="232" w:lineRule="exact"/>
              <w:ind w:firstLine="0"/>
              <w:rPr>
                <w:rFonts w:ascii="Verdana" w:hAnsi="Verdana"/>
                <w:b/>
                <w:sz w:val="16"/>
                <w:szCs w:val="16"/>
                <w:lang w:val="en-US"/>
              </w:rPr>
            </w:pPr>
            <w:r w:rsidRPr="00F01347">
              <w:rPr>
                <w:rFonts w:ascii="Verdana" w:hAnsi="Verdana"/>
                <w:b/>
                <w:sz w:val="16"/>
                <w:szCs w:val="16"/>
                <w:lang w:val="en-US"/>
              </w:rPr>
              <w:t>B.4.2.6 Procedure</w:t>
            </w:r>
          </w:p>
        </w:tc>
      </w:tr>
      <w:tr w:rsidR="001C02AB" w:rsidRPr="00F01347" w14:paraId="4BB2D5A4" w14:textId="05705D04" w:rsidTr="00BF684F">
        <w:tc>
          <w:tcPr>
            <w:tcW w:w="4675" w:type="dxa"/>
          </w:tcPr>
          <w:p w14:paraId="2D69B789" w14:textId="77777777" w:rsidR="001C02AB" w:rsidRPr="00F01347" w:rsidRDefault="001C02AB" w:rsidP="001C02AB">
            <w:pPr>
              <w:pStyle w:val="texto0"/>
              <w:spacing w:line="232" w:lineRule="exact"/>
              <w:ind w:firstLine="0"/>
              <w:rPr>
                <w:rFonts w:ascii="Verdana" w:hAnsi="Verdana"/>
                <w:b/>
                <w:sz w:val="16"/>
                <w:szCs w:val="16"/>
              </w:rPr>
            </w:pPr>
            <w:r w:rsidRPr="00F01347">
              <w:rPr>
                <w:rFonts w:ascii="Verdana" w:hAnsi="Verdana"/>
                <w:b/>
                <w:sz w:val="16"/>
                <w:szCs w:val="16"/>
              </w:rPr>
              <w:t>B.4.2.6.1 Preparación de las muestras</w:t>
            </w:r>
          </w:p>
        </w:tc>
        <w:tc>
          <w:tcPr>
            <w:tcW w:w="4675" w:type="dxa"/>
          </w:tcPr>
          <w:p w14:paraId="42AD05BF" w14:textId="599BBABE" w:rsidR="001C02AB" w:rsidRPr="00F01347" w:rsidRDefault="001C02AB" w:rsidP="001C02AB">
            <w:pPr>
              <w:pStyle w:val="texto0"/>
              <w:spacing w:line="232" w:lineRule="exact"/>
              <w:ind w:firstLine="0"/>
              <w:rPr>
                <w:rFonts w:ascii="Verdana" w:hAnsi="Verdana"/>
                <w:b/>
                <w:sz w:val="16"/>
                <w:szCs w:val="16"/>
                <w:lang w:val="en-US"/>
              </w:rPr>
            </w:pPr>
            <w:r w:rsidRPr="00F01347">
              <w:rPr>
                <w:rFonts w:ascii="Verdana" w:hAnsi="Verdana"/>
                <w:b/>
                <w:sz w:val="16"/>
                <w:szCs w:val="16"/>
                <w:lang w:val="en-US"/>
              </w:rPr>
              <w:t>B.4.2.6.1 Sample preparation</w:t>
            </w:r>
          </w:p>
        </w:tc>
      </w:tr>
      <w:tr w:rsidR="001C02AB" w:rsidRPr="00F01347" w14:paraId="691A5EB2" w14:textId="4F76ED74" w:rsidTr="00BF684F">
        <w:tc>
          <w:tcPr>
            <w:tcW w:w="4675" w:type="dxa"/>
          </w:tcPr>
          <w:p w14:paraId="26BAD8C2"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sz w:val="16"/>
                <w:szCs w:val="16"/>
              </w:rPr>
              <w:t>Es la responsabilidad del laboratorio cumplir con todas las disposiciones aplicables en materia de manejo de residuos, particularmente las reglas de identificación, almacenamiento y disposición de residuos peligrosos.</w:t>
            </w:r>
          </w:p>
        </w:tc>
        <w:tc>
          <w:tcPr>
            <w:tcW w:w="4675" w:type="dxa"/>
          </w:tcPr>
          <w:p w14:paraId="20805761" w14:textId="13E9F56A" w:rsidR="001C02AB" w:rsidRPr="00F01347" w:rsidRDefault="001C02AB" w:rsidP="001C02AB">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It is the responsibility of the laboratory to comply with all applicable provisions regarding waste management, particularly the rules for the identification, </w:t>
            </w:r>
            <w:r w:rsidR="00AE6525" w:rsidRPr="00F01347">
              <w:rPr>
                <w:rFonts w:ascii="Verdana" w:hAnsi="Verdana"/>
                <w:sz w:val="16"/>
                <w:szCs w:val="16"/>
                <w:lang w:val="en-US"/>
              </w:rPr>
              <w:t>storage,</w:t>
            </w:r>
            <w:r w:rsidRPr="00F01347">
              <w:rPr>
                <w:rFonts w:ascii="Verdana" w:hAnsi="Verdana"/>
                <w:sz w:val="16"/>
                <w:szCs w:val="16"/>
                <w:lang w:val="en-US"/>
              </w:rPr>
              <w:t xml:space="preserve"> and disposal of hazardous waste.</w:t>
            </w:r>
          </w:p>
        </w:tc>
      </w:tr>
      <w:tr w:rsidR="001C02AB" w:rsidRPr="00F01347" w14:paraId="766B17AB" w14:textId="737E0310" w:rsidTr="00BF684F">
        <w:tc>
          <w:tcPr>
            <w:tcW w:w="4675" w:type="dxa"/>
          </w:tcPr>
          <w:p w14:paraId="33AFB2CC"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sz w:val="16"/>
                <w:szCs w:val="16"/>
              </w:rPr>
              <w:t>Asegurarse que todo el material utilizado durante el análisis esté libre de contaminación mediante procedimientos de lavado y descontaminación con ácido. Para descontaminar los vasos de digestión se puede utilizar un programa de digestión con el horno de microondas siguiendo las instrucciones del manual del fabricante.</w:t>
            </w:r>
          </w:p>
        </w:tc>
        <w:tc>
          <w:tcPr>
            <w:tcW w:w="4675" w:type="dxa"/>
          </w:tcPr>
          <w:p w14:paraId="4448784B" w14:textId="390FD4A0" w:rsidR="001C02AB" w:rsidRPr="00F01347" w:rsidRDefault="001C02AB" w:rsidP="001C02AB">
            <w:pPr>
              <w:pStyle w:val="texto0"/>
              <w:spacing w:line="232" w:lineRule="exact"/>
              <w:ind w:firstLine="0"/>
              <w:rPr>
                <w:rFonts w:ascii="Verdana" w:hAnsi="Verdana"/>
                <w:sz w:val="16"/>
                <w:szCs w:val="16"/>
                <w:lang w:val="en-US"/>
              </w:rPr>
            </w:pPr>
            <w:r w:rsidRPr="00F01347">
              <w:rPr>
                <w:rFonts w:ascii="Verdana" w:hAnsi="Verdana"/>
                <w:sz w:val="16"/>
                <w:szCs w:val="16"/>
                <w:lang w:val="en-US"/>
              </w:rPr>
              <w:t>Ensure that all material used during analysis is free of contamination through acid washing and decontamination procedures. To decontaminate the digestion vessels, a microwave digestion program can be used following the instructions in the manufacturer's manual.</w:t>
            </w:r>
          </w:p>
        </w:tc>
      </w:tr>
      <w:tr w:rsidR="001C02AB" w:rsidRPr="00F01347" w14:paraId="66BDB33A" w14:textId="37C70FE8" w:rsidTr="00BF684F">
        <w:tc>
          <w:tcPr>
            <w:tcW w:w="4675" w:type="dxa"/>
          </w:tcPr>
          <w:p w14:paraId="0577F9FB"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sz w:val="16"/>
                <w:szCs w:val="16"/>
              </w:rPr>
              <w:t>Si la muestra es incolora, transparente y no presenta turbiedad aparente, no se requiere realizar digestión, sólo adicionar un volumen apropiado de ácido nítrico para ajustar la concentración del ácido al 1% (v/v). Las muestras de control de calidad (ejemplo blanco de calibración, blanco de reactivo), deben someterse a los mismos procedimientos que las muestras incluyendo la adición del estándar interno o igualar la matriz con las disoluciones estándar.</w:t>
            </w:r>
          </w:p>
        </w:tc>
        <w:tc>
          <w:tcPr>
            <w:tcW w:w="4675" w:type="dxa"/>
          </w:tcPr>
          <w:p w14:paraId="6AB9FAB7" w14:textId="2F5CCB61" w:rsidR="001C02AB" w:rsidRPr="00F01347" w:rsidRDefault="001C02AB" w:rsidP="001C02AB">
            <w:pPr>
              <w:pStyle w:val="texto0"/>
              <w:spacing w:line="232" w:lineRule="exact"/>
              <w:ind w:firstLine="0"/>
              <w:rPr>
                <w:rFonts w:ascii="Verdana" w:hAnsi="Verdana"/>
                <w:sz w:val="16"/>
                <w:szCs w:val="16"/>
                <w:lang w:val="en-US"/>
              </w:rPr>
            </w:pPr>
            <w:r w:rsidRPr="00F01347">
              <w:rPr>
                <w:rFonts w:ascii="Verdana" w:hAnsi="Verdana"/>
                <w:sz w:val="16"/>
                <w:szCs w:val="16"/>
                <w:lang w:val="en-US"/>
              </w:rPr>
              <w:t>If the sample is colorless, transparent and has no apparent turbidity, digestion is not required, only adding an appropriate volume of nitric acid to adjust the acid concentration to 1% (v/v). Quality control samples (</w:t>
            </w:r>
            <w:proofErr w:type="gramStart"/>
            <w:r w:rsidRPr="00F01347">
              <w:rPr>
                <w:rFonts w:ascii="Verdana" w:hAnsi="Verdana"/>
                <w:sz w:val="16"/>
                <w:szCs w:val="16"/>
                <w:lang w:val="en-US"/>
              </w:rPr>
              <w:t>e.g.</w:t>
            </w:r>
            <w:proofErr w:type="gramEnd"/>
            <w:r w:rsidRPr="00F01347">
              <w:rPr>
                <w:rFonts w:ascii="Verdana" w:hAnsi="Verdana"/>
                <w:sz w:val="16"/>
                <w:szCs w:val="16"/>
                <w:lang w:val="en-US"/>
              </w:rPr>
              <w:t xml:space="preserve"> calibration blank, reagent blank) must undergo the same procedures as the samples including the addition of the internal standard or equalizing the matrix with standard solutions.</w:t>
            </w:r>
          </w:p>
        </w:tc>
      </w:tr>
      <w:tr w:rsidR="001C02AB" w:rsidRPr="00F01347" w14:paraId="6A2FC276" w14:textId="7F9B1CBA" w:rsidTr="00BF684F">
        <w:tc>
          <w:tcPr>
            <w:tcW w:w="4675" w:type="dxa"/>
          </w:tcPr>
          <w:p w14:paraId="169195E2"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sz w:val="16"/>
                <w:szCs w:val="16"/>
              </w:rPr>
              <w:t xml:space="preserve">En caso de que la muestra presente turbiedad, llevar a cabo la digestión de la muestra. Medir una alícuota de 45 </w:t>
            </w:r>
            <w:proofErr w:type="spellStart"/>
            <w:r w:rsidRPr="00F01347">
              <w:rPr>
                <w:rFonts w:ascii="Verdana" w:hAnsi="Verdana"/>
                <w:sz w:val="16"/>
                <w:szCs w:val="16"/>
              </w:rPr>
              <w:t>mL</w:t>
            </w:r>
            <w:proofErr w:type="spellEnd"/>
            <w:r w:rsidRPr="00F01347">
              <w:rPr>
                <w:rFonts w:ascii="Verdana" w:hAnsi="Verdana"/>
                <w:sz w:val="16"/>
                <w:szCs w:val="16"/>
              </w:rPr>
              <w:t xml:space="preserve"> de muestra homogénea (AGITAR VIGOROSAMENTE LA MUESTRA), y depositar dentro de los vasos de digestión. Tomar 25 </w:t>
            </w:r>
            <w:proofErr w:type="spellStart"/>
            <w:r w:rsidRPr="00F01347">
              <w:rPr>
                <w:rFonts w:ascii="Verdana" w:hAnsi="Verdana"/>
                <w:sz w:val="16"/>
                <w:szCs w:val="16"/>
              </w:rPr>
              <w:t>mL</w:t>
            </w:r>
            <w:proofErr w:type="spellEnd"/>
            <w:r w:rsidRPr="00F01347">
              <w:rPr>
                <w:rFonts w:ascii="Verdana" w:hAnsi="Verdana"/>
                <w:sz w:val="16"/>
                <w:szCs w:val="16"/>
              </w:rPr>
              <w:t xml:space="preserve"> </w:t>
            </w:r>
            <w:proofErr w:type="spellStart"/>
            <w:r w:rsidRPr="00F01347">
              <w:rPr>
                <w:rFonts w:ascii="Verdana" w:hAnsi="Verdana"/>
                <w:sz w:val="16"/>
                <w:szCs w:val="16"/>
              </w:rPr>
              <w:t>ó</w:t>
            </w:r>
            <w:proofErr w:type="spellEnd"/>
            <w:r w:rsidRPr="00F01347">
              <w:rPr>
                <w:rFonts w:ascii="Verdana" w:hAnsi="Verdana"/>
                <w:sz w:val="16"/>
                <w:szCs w:val="16"/>
              </w:rPr>
              <w:t xml:space="preserve"> 10 </w:t>
            </w:r>
            <w:proofErr w:type="spellStart"/>
            <w:r w:rsidRPr="00F01347">
              <w:rPr>
                <w:rFonts w:ascii="Verdana" w:hAnsi="Verdana"/>
                <w:sz w:val="16"/>
                <w:szCs w:val="16"/>
              </w:rPr>
              <w:t>mL</w:t>
            </w:r>
            <w:proofErr w:type="spellEnd"/>
            <w:r w:rsidRPr="00F01347">
              <w:rPr>
                <w:rFonts w:ascii="Verdana" w:hAnsi="Verdana"/>
                <w:sz w:val="16"/>
                <w:szCs w:val="16"/>
              </w:rPr>
              <w:t xml:space="preserve"> de muestra + 20 </w:t>
            </w:r>
            <w:proofErr w:type="spellStart"/>
            <w:r w:rsidRPr="00F01347">
              <w:rPr>
                <w:rFonts w:ascii="Verdana" w:hAnsi="Verdana"/>
                <w:sz w:val="16"/>
                <w:szCs w:val="16"/>
              </w:rPr>
              <w:t>mL</w:t>
            </w:r>
            <w:proofErr w:type="spellEnd"/>
            <w:r w:rsidRPr="00F01347">
              <w:rPr>
                <w:rFonts w:ascii="Verdana" w:hAnsi="Verdana"/>
                <w:sz w:val="16"/>
                <w:szCs w:val="16"/>
              </w:rPr>
              <w:t xml:space="preserve"> de agua tipo I en caso de que la muestra presente materia orgánica o sólidos suspendidos. Adicionar 4 </w:t>
            </w:r>
            <w:proofErr w:type="spellStart"/>
            <w:r w:rsidRPr="00F01347">
              <w:rPr>
                <w:rFonts w:ascii="Verdana" w:hAnsi="Verdana"/>
                <w:sz w:val="16"/>
                <w:szCs w:val="16"/>
              </w:rPr>
              <w:t>mL</w:t>
            </w:r>
            <w:proofErr w:type="spellEnd"/>
            <w:r w:rsidRPr="00F01347">
              <w:rPr>
                <w:rFonts w:ascii="Verdana" w:hAnsi="Verdana"/>
                <w:sz w:val="16"/>
                <w:szCs w:val="16"/>
              </w:rPr>
              <w:t xml:space="preserve"> de HNO3 y 1 </w:t>
            </w:r>
            <w:proofErr w:type="spellStart"/>
            <w:r w:rsidRPr="00F01347">
              <w:rPr>
                <w:rFonts w:ascii="Verdana" w:hAnsi="Verdana"/>
                <w:sz w:val="16"/>
                <w:szCs w:val="16"/>
              </w:rPr>
              <w:t>mL</w:t>
            </w:r>
            <w:proofErr w:type="spellEnd"/>
            <w:r w:rsidRPr="00F01347">
              <w:rPr>
                <w:rFonts w:ascii="Verdana" w:hAnsi="Verdana"/>
                <w:sz w:val="16"/>
                <w:szCs w:val="16"/>
              </w:rPr>
              <w:t xml:space="preserve"> de HCl a cada vaso, tapar y colocar los vasos en el carrusel del horno de microondas. Proceder con la digestión de las muestras utilizando la potencia, rampas de temperatura y tiempo </w:t>
            </w:r>
            <w:proofErr w:type="gramStart"/>
            <w:r w:rsidRPr="00F01347">
              <w:rPr>
                <w:rFonts w:ascii="Verdana" w:hAnsi="Verdana"/>
                <w:sz w:val="16"/>
                <w:szCs w:val="16"/>
              </w:rPr>
              <w:t>de acuerdo a</w:t>
            </w:r>
            <w:proofErr w:type="gramEnd"/>
            <w:r w:rsidRPr="00F01347">
              <w:rPr>
                <w:rFonts w:ascii="Verdana" w:hAnsi="Verdana"/>
                <w:sz w:val="16"/>
                <w:szCs w:val="16"/>
              </w:rPr>
              <w:t xml:space="preserve"> las recomendaciones del proveedor. Preparar un blanco de reactivos utilizando agua tipo I en lugar de muestra y proceder de la misma manera.</w:t>
            </w:r>
          </w:p>
        </w:tc>
        <w:tc>
          <w:tcPr>
            <w:tcW w:w="4675" w:type="dxa"/>
          </w:tcPr>
          <w:p w14:paraId="7CA9F66A" w14:textId="5AA3EEF3" w:rsidR="001C02AB" w:rsidRPr="00F01347" w:rsidRDefault="001C02AB" w:rsidP="001C02AB">
            <w:pPr>
              <w:pStyle w:val="texto0"/>
              <w:spacing w:line="232" w:lineRule="exact"/>
              <w:ind w:firstLine="0"/>
              <w:rPr>
                <w:rFonts w:ascii="Verdana" w:hAnsi="Verdana"/>
                <w:sz w:val="16"/>
                <w:szCs w:val="16"/>
                <w:lang w:val="en-US"/>
              </w:rPr>
            </w:pPr>
            <w:r w:rsidRPr="00F01347">
              <w:rPr>
                <w:rFonts w:ascii="Verdana" w:hAnsi="Verdana"/>
                <w:sz w:val="16"/>
                <w:szCs w:val="16"/>
                <w:lang w:val="en-US"/>
              </w:rPr>
              <w:t>If the sample is turbid, carry out sample digestion. Measure a 45 mL aliquot of homogeneous sample (SHAKE THE SAMPLE VIGOROUSLY</w:t>
            </w:r>
            <w:r w:rsidR="00AE6525" w:rsidRPr="00F01347">
              <w:rPr>
                <w:rFonts w:ascii="Verdana" w:hAnsi="Verdana"/>
                <w:sz w:val="16"/>
                <w:szCs w:val="16"/>
                <w:lang w:val="en-US"/>
              </w:rPr>
              <w:t>) and</w:t>
            </w:r>
            <w:r w:rsidRPr="00F01347">
              <w:rPr>
                <w:rFonts w:ascii="Verdana" w:hAnsi="Verdana"/>
                <w:sz w:val="16"/>
                <w:szCs w:val="16"/>
                <w:lang w:val="en-US"/>
              </w:rPr>
              <w:t xml:space="preserve"> place it inside the digestion vessels. Take 25 mL or 10 mL of sample + 20 mL of type I water in case the sample contains organic matter or suspended solids. Add 4 mL of HNO3 and 1 mL of HCl to each glass, cover and place the glasses on the microwave oven carousel. Proceed with digestion of the samples using power, temperature ramps and time according to the supplier's recommendations. Prepare a reagent blank using type I water instead of sample and proceed in the same way.</w:t>
            </w:r>
          </w:p>
        </w:tc>
      </w:tr>
      <w:tr w:rsidR="001C02AB" w:rsidRPr="00F01347" w14:paraId="5EDAB7E5" w14:textId="4B7E9055" w:rsidTr="00BF684F">
        <w:tc>
          <w:tcPr>
            <w:tcW w:w="4675" w:type="dxa"/>
          </w:tcPr>
          <w:p w14:paraId="45440E05"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sz w:val="16"/>
                <w:szCs w:val="16"/>
              </w:rPr>
              <w:t xml:space="preserve">Una vez realizada la digestión permitir que los vasos se enfríen aproximadamente 5 minutos antes de sacar el carrusel del horno, posteriormente sacar el carrusel del </w:t>
            </w:r>
            <w:r w:rsidRPr="00F01347">
              <w:rPr>
                <w:rFonts w:ascii="Verdana" w:hAnsi="Verdana"/>
                <w:sz w:val="16"/>
                <w:szCs w:val="16"/>
              </w:rPr>
              <w:lastRenderedPageBreak/>
              <w:t>horno y permitir que los vasos alcancen la temperatura ambiente (de 30 a 40 min) antes de destaparlos.</w:t>
            </w:r>
          </w:p>
        </w:tc>
        <w:tc>
          <w:tcPr>
            <w:tcW w:w="4675" w:type="dxa"/>
          </w:tcPr>
          <w:p w14:paraId="5173DB7A" w14:textId="273EFB2E" w:rsidR="001C02AB" w:rsidRPr="00F01347" w:rsidRDefault="001C02AB" w:rsidP="001C02AB">
            <w:pPr>
              <w:pStyle w:val="texto0"/>
              <w:spacing w:line="232" w:lineRule="exact"/>
              <w:ind w:firstLine="0"/>
              <w:rPr>
                <w:rFonts w:ascii="Verdana" w:hAnsi="Verdana"/>
                <w:sz w:val="16"/>
                <w:szCs w:val="16"/>
                <w:lang w:val="en-US"/>
              </w:rPr>
            </w:pPr>
            <w:r w:rsidRPr="00F01347">
              <w:rPr>
                <w:rFonts w:ascii="Verdana" w:hAnsi="Verdana"/>
                <w:sz w:val="16"/>
                <w:szCs w:val="16"/>
                <w:lang w:val="en-US"/>
              </w:rPr>
              <w:lastRenderedPageBreak/>
              <w:t xml:space="preserve">Once digestion is complete, allow the glasses to cool for approximately 5 minutes before removing the carousel from the oven, then remove the carousel from the oven </w:t>
            </w:r>
            <w:r w:rsidRPr="00F01347">
              <w:rPr>
                <w:rFonts w:ascii="Verdana" w:hAnsi="Verdana"/>
                <w:sz w:val="16"/>
                <w:szCs w:val="16"/>
                <w:lang w:val="en-US"/>
              </w:rPr>
              <w:lastRenderedPageBreak/>
              <w:t>and allow the glasses to reach room temperature (30 to 40 minutes) before uncovering them.</w:t>
            </w:r>
          </w:p>
        </w:tc>
      </w:tr>
      <w:tr w:rsidR="001C02AB" w:rsidRPr="00F01347" w14:paraId="7BD0FFC0" w14:textId="54A17EC7" w:rsidTr="00BF684F">
        <w:tc>
          <w:tcPr>
            <w:tcW w:w="4675" w:type="dxa"/>
          </w:tcPr>
          <w:p w14:paraId="07CDC37B"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sz w:val="16"/>
                <w:szCs w:val="16"/>
              </w:rPr>
              <w:lastRenderedPageBreak/>
              <w:t xml:space="preserve">Destapar cuidadosamente cada vaso dentro de la campana de extracción. Llevar la muestra a un volumen final de 50 </w:t>
            </w:r>
            <w:proofErr w:type="spellStart"/>
            <w:r w:rsidRPr="00F01347">
              <w:rPr>
                <w:rFonts w:ascii="Verdana" w:hAnsi="Verdana"/>
                <w:sz w:val="16"/>
                <w:szCs w:val="16"/>
              </w:rPr>
              <w:t>mL</w:t>
            </w:r>
            <w:proofErr w:type="spellEnd"/>
            <w:r w:rsidRPr="00F01347">
              <w:rPr>
                <w:rFonts w:ascii="Verdana" w:hAnsi="Verdana"/>
                <w:sz w:val="16"/>
                <w:szCs w:val="16"/>
              </w:rPr>
              <w:t xml:space="preserve">, si la muestra digerida contiene partículas las cuales puedan obstruir el nebulizador, filtrar utilizando papel filtro Número. 2, 40 </w:t>
            </w:r>
            <w:proofErr w:type="spellStart"/>
            <w:r w:rsidRPr="00F01347">
              <w:rPr>
                <w:rFonts w:ascii="Verdana" w:hAnsi="Verdana"/>
                <w:sz w:val="16"/>
                <w:szCs w:val="16"/>
              </w:rPr>
              <w:t>ó</w:t>
            </w:r>
            <w:proofErr w:type="spellEnd"/>
            <w:r w:rsidRPr="00F01347">
              <w:rPr>
                <w:rFonts w:ascii="Verdana" w:hAnsi="Verdana"/>
                <w:sz w:val="16"/>
                <w:szCs w:val="16"/>
              </w:rPr>
              <w:t xml:space="preserve"> 41, posteriormente transferir a un tubo previamente etiquetado.</w:t>
            </w:r>
          </w:p>
        </w:tc>
        <w:tc>
          <w:tcPr>
            <w:tcW w:w="4675" w:type="dxa"/>
          </w:tcPr>
          <w:p w14:paraId="528981B7" w14:textId="305A774E" w:rsidR="001C02AB" w:rsidRPr="00F01347" w:rsidRDefault="001C02AB" w:rsidP="001C02AB">
            <w:pPr>
              <w:pStyle w:val="texto0"/>
              <w:spacing w:line="232" w:lineRule="exact"/>
              <w:ind w:firstLine="0"/>
              <w:rPr>
                <w:rFonts w:ascii="Verdana" w:hAnsi="Verdana"/>
                <w:sz w:val="16"/>
                <w:szCs w:val="16"/>
                <w:lang w:val="en-US"/>
              </w:rPr>
            </w:pPr>
            <w:r w:rsidRPr="00F01347">
              <w:rPr>
                <w:rFonts w:ascii="Verdana" w:hAnsi="Verdana"/>
                <w:sz w:val="16"/>
                <w:szCs w:val="16"/>
                <w:lang w:val="en-US"/>
              </w:rPr>
              <w:t>Carefully uncover each glass inside the extractor hood. Bring the sample to a final volume of 50 mL</w:t>
            </w:r>
            <w:r w:rsidR="003E1BA9" w:rsidRPr="00F01347">
              <w:rPr>
                <w:rFonts w:ascii="Verdana" w:hAnsi="Verdana"/>
                <w:sz w:val="16"/>
                <w:szCs w:val="16"/>
                <w:lang w:val="en-US"/>
              </w:rPr>
              <w:t>.</w:t>
            </w:r>
            <w:r w:rsidRPr="00F01347">
              <w:rPr>
                <w:rFonts w:ascii="Verdana" w:hAnsi="Verdana"/>
                <w:sz w:val="16"/>
                <w:szCs w:val="16"/>
                <w:lang w:val="en-US"/>
              </w:rPr>
              <w:t xml:space="preserve"> If the digested sample contains particles that could clog the nebulizer, filter using Number filter paper. 2, 40 or 41, then transfer to a previously labeled tube.</w:t>
            </w:r>
          </w:p>
        </w:tc>
      </w:tr>
      <w:tr w:rsidR="001C02AB" w:rsidRPr="00F01347" w14:paraId="6FA6D997" w14:textId="2C0E3071" w:rsidTr="00BF684F">
        <w:tc>
          <w:tcPr>
            <w:tcW w:w="4675" w:type="dxa"/>
          </w:tcPr>
          <w:p w14:paraId="1BF06030" w14:textId="77777777" w:rsidR="001C02AB" w:rsidRPr="00F01347" w:rsidRDefault="001C02AB" w:rsidP="001C02AB">
            <w:pPr>
              <w:pStyle w:val="texto0"/>
              <w:spacing w:line="232" w:lineRule="exact"/>
              <w:ind w:firstLine="0"/>
              <w:rPr>
                <w:rFonts w:ascii="Verdana" w:hAnsi="Verdana"/>
                <w:b/>
                <w:sz w:val="16"/>
                <w:szCs w:val="16"/>
              </w:rPr>
            </w:pPr>
            <w:r w:rsidRPr="00F01347">
              <w:rPr>
                <w:rFonts w:ascii="Verdana" w:hAnsi="Verdana"/>
                <w:b/>
                <w:sz w:val="16"/>
                <w:szCs w:val="16"/>
              </w:rPr>
              <w:t>B.4.2.6.2 Análisis de las muestras en el ICP-OES</w:t>
            </w:r>
          </w:p>
        </w:tc>
        <w:tc>
          <w:tcPr>
            <w:tcW w:w="4675" w:type="dxa"/>
          </w:tcPr>
          <w:p w14:paraId="37653596" w14:textId="6ED7AA5B" w:rsidR="001C02AB" w:rsidRPr="00F01347" w:rsidRDefault="001C02AB" w:rsidP="001C02AB">
            <w:pPr>
              <w:pStyle w:val="texto0"/>
              <w:spacing w:line="232" w:lineRule="exact"/>
              <w:ind w:firstLine="0"/>
              <w:rPr>
                <w:rFonts w:ascii="Verdana" w:hAnsi="Verdana"/>
                <w:b/>
                <w:sz w:val="16"/>
                <w:szCs w:val="16"/>
                <w:lang w:val="en-US"/>
              </w:rPr>
            </w:pPr>
            <w:r w:rsidRPr="00F01347">
              <w:rPr>
                <w:rFonts w:ascii="Verdana" w:hAnsi="Verdana"/>
                <w:b/>
                <w:sz w:val="16"/>
                <w:szCs w:val="16"/>
                <w:lang w:val="en-US"/>
              </w:rPr>
              <w:t>B.4.2.6.2 Analysis of samples in the ICP-OES</w:t>
            </w:r>
          </w:p>
        </w:tc>
      </w:tr>
      <w:tr w:rsidR="001C02AB" w:rsidRPr="00F01347" w14:paraId="7FA61492" w14:textId="3FC86247" w:rsidTr="00BF684F">
        <w:tc>
          <w:tcPr>
            <w:tcW w:w="4675" w:type="dxa"/>
          </w:tcPr>
          <w:p w14:paraId="6EF672FC"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sz w:val="16"/>
                <w:szCs w:val="16"/>
              </w:rPr>
              <w:t>Calibrar el instrumento de acuerdo con los procedimientos recomendados por el fabricante, utilizando la mezcla de disoluciones estándar de calibración. Enjuagar el sistema con el blanco de calibración entre cada estándar o como recomienda el fabricante.</w:t>
            </w:r>
          </w:p>
        </w:tc>
        <w:tc>
          <w:tcPr>
            <w:tcW w:w="4675" w:type="dxa"/>
          </w:tcPr>
          <w:p w14:paraId="056F1CBB" w14:textId="62AF6064" w:rsidR="001C02AB" w:rsidRPr="00F01347" w:rsidRDefault="001C02AB" w:rsidP="001C02AB">
            <w:pPr>
              <w:pStyle w:val="texto0"/>
              <w:spacing w:line="232" w:lineRule="exact"/>
              <w:ind w:firstLine="0"/>
              <w:rPr>
                <w:rFonts w:ascii="Verdana" w:hAnsi="Verdana"/>
                <w:sz w:val="16"/>
                <w:szCs w:val="16"/>
                <w:lang w:val="en-US"/>
              </w:rPr>
            </w:pPr>
            <w:r w:rsidRPr="00F01347">
              <w:rPr>
                <w:rFonts w:ascii="Verdana" w:hAnsi="Verdana"/>
                <w:sz w:val="16"/>
                <w:szCs w:val="16"/>
                <w:lang w:val="en-US"/>
              </w:rPr>
              <w:t>Calibrate the instrument according to the manufacturer's recommended procedures, using the mixture of calibration standard solutions. Flush the system with calibration blank between each standard or as recommended by the manufacturer.</w:t>
            </w:r>
          </w:p>
        </w:tc>
      </w:tr>
      <w:tr w:rsidR="001C02AB" w:rsidRPr="00F01347" w14:paraId="64ED1D4E" w14:textId="2E9A8F8E" w:rsidTr="00BF684F">
        <w:tc>
          <w:tcPr>
            <w:tcW w:w="4675" w:type="dxa"/>
          </w:tcPr>
          <w:p w14:paraId="21701BF4"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sz w:val="16"/>
                <w:szCs w:val="16"/>
              </w:rPr>
              <w:t>Enjuagar el sistema con la disolución blanco de calibración, leer el CVI, el blanco de reactivos y las muestras. Enjuagar el sistema con la disolución blanco de calibración antes del análisis de cada muestra. El tiempo de lavado debe ser un minuto. Una reducción de este tiempo de enjuague deberá demostrarse adecuadamente. Registrar los resultados.</w:t>
            </w:r>
          </w:p>
        </w:tc>
        <w:tc>
          <w:tcPr>
            <w:tcW w:w="4675" w:type="dxa"/>
          </w:tcPr>
          <w:p w14:paraId="7A81FD0B" w14:textId="7D11B590" w:rsidR="001C02AB" w:rsidRPr="00F01347" w:rsidRDefault="001C02AB" w:rsidP="001C02AB">
            <w:pPr>
              <w:pStyle w:val="texto0"/>
              <w:spacing w:line="232" w:lineRule="exact"/>
              <w:ind w:firstLine="0"/>
              <w:rPr>
                <w:rFonts w:ascii="Verdana" w:hAnsi="Verdana"/>
                <w:sz w:val="16"/>
                <w:szCs w:val="16"/>
                <w:lang w:val="en-US"/>
              </w:rPr>
            </w:pPr>
            <w:r w:rsidRPr="00F01347">
              <w:rPr>
                <w:rFonts w:ascii="Verdana" w:hAnsi="Verdana"/>
                <w:sz w:val="16"/>
                <w:szCs w:val="16"/>
                <w:lang w:val="en-US"/>
              </w:rPr>
              <w:t>Rinse the system with the calibration blank solution, read the CVI, reagent blank and samples. Rinse the system with the calibration blank solution before analysis of each sample. Washing time should be one minute. A reduction in this rinse time must be adequately demonstrated. Record the results.</w:t>
            </w:r>
          </w:p>
        </w:tc>
      </w:tr>
      <w:tr w:rsidR="001C02AB" w:rsidRPr="00F01347" w14:paraId="09DFF690" w14:textId="4787CA35" w:rsidTr="00BF684F">
        <w:tc>
          <w:tcPr>
            <w:tcW w:w="4675" w:type="dxa"/>
          </w:tcPr>
          <w:p w14:paraId="778A25FB"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sz w:val="16"/>
                <w:szCs w:val="16"/>
              </w:rPr>
              <w:t>Cuando la calibración inicial se realiza utilizando un solo nivel alto y el blanco de calibración, además del CVI, se debe analizar un LLCCV antes del análisis de las muestras. Analizar después de cada diez muestras y al final del lote de análisis un CCC y un CCB.</w:t>
            </w:r>
          </w:p>
        </w:tc>
        <w:tc>
          <w:tcPr>
            <w:tcW w:w="4675" w:type="dxa"/>
          </w:tcPr>
          <w:p w14:paraId="3F652F57" w14:textId="16B3BCA1" w:rsidR="001C02AB" w:rsidRPr="00F01347" w:rsidRDefault="001C02AB" w:rsidP="001C02AB">
            <w:pPr>
              <w:pStyle w:val="texto0"/>
              <w:spacing w:line="232" w:lineRule="exact"/>
              <w:ind w:firstLine="0"/>
              <w:rPr>
                <w:rFonts w:ascii="Verdana" w:hAnsi="Verdana"/>
                <w:sz w:val="16"/>
                <w:szCs w:val="16"/>
                <w:lang w:val="en-US"/>
              </w:rPr>
            </w:pPr>
            <w:r w:rsidRPr="00F01347">
              <w:rPr>
                <w:rFonts w:ascii="Verdana" w:hAnsi="Verdana"/>
                <w:sz w:val="16"/>
                <w:szCs w:val="16"/>
                <w:lang w:val="en-US"/>
              </w:rPr>
              <w:t>When the initial calibration is performed using a single high level and calibration blank in addition to the CVI, an LLCCV must be analyzed prior to sample analysis. Analyze a CCC and a CC</w:t>
            </w:r>
            <w:r w:rsidR="00BC7170" w:rsidRPr="00F01347">
              <w:rPr>
                <w:rFonts w:ascii="Verdana" w:hAnsi="Verdana"/>
                <w:sz w:val="16"/>
                <w:szCs w:val="16"/>
                <w:lang w:val="en-US"/>
              </w:rPr>
              <w:t>B</w:t>
            </w:r>
            <w:r w:rsidRPr="00F01347">
              <w:rPr>
                <w:rFonts w:ascii="Verdana" w:hAnsi="Verdana"/>
                <w:sz w:val="16"/>
                <w:szCs w:val="16"/>
                <w:lang w:val="en-US"/>
              </w:rPr>
              <w:t xml:space="preserve"> after every ten samples and at the end of the analysis batch.</w:t>
            </w:r>
          </w:p>
        </w:tc>
      </w:tr>
      <w:tr w:rsidR="001C02AB" w:rsidRPr="00F01347" w14:paraId="30C7463F" w14:textId="4C1B4327" w:rsidTr="00BF684F">
        <w:tc>
          <w:tcPr>
            <w:tcW w:w="4675" w:type="dxa"/>
          </w:tcPr>
          <w:p w14:paraId="7002A6D6" w14:textId="77777777" w:rsidR="001C02AB" w:rsidRPr="00F01347" w:rsidRDefault="001C02AB" w:rsidP="001C02AB">
            <w:pPr>
              <w:pStyle w:val="texto0"/>
              <w:spacing w:line="232" w:lineRule="exact"/>
              <w:ind w:firstLine="0"/>
              <w:rPr>
                <w:rFonts w:ascii="Verdana" w:hAnsi="Verdana"/>
                <w:b/>
                <w:sz w:val="16"/>
                <w:szCs w:val="16"/>
              </w:rPr>
            </w:pPr>
            <w:r w:rsidRPr="00F01347">
              <w:rPr>
                <w:rFonts w:ascii="Verdana" w:hAnsi="Verdana"/>
                <w:b/>
                <w:sz w:val="16"/>
                <w:szCs w:val="16"/>
              </w:rPr>
              <w:t>B.4.2.6.3 Análisis de datos y cálculos</w:t>
            </w:r>
          </w:p>
        </w:tc>
        <w:tc>
          <w:tcPr>
            <w:tcW w:w="4675" w:type="dxa"/>
          </w:tcPr>
          <w:p w14:paraId="4CEC045C" w14:textId="6B1C04A8" w:rsidR="001C02AB" w:rsidRPr="00F01347" w:rsidRDefault="001C02AB" w:rsidP="001C02AB">
            <w:pPr>
              <w:pStyle w:val="texto0"/>
              <w:spacing w:line="232" w:lineRule="exact"/>
              <w:ind w:firstLine="0"/>
              <w:rPr>
                <w:rFonts w:ascii="Verdana" w:hAnsi="Verdana"/>
                <w:b/>
                <w:sz w:val="16"/>
                <w:szCs w:val="16"/>
                <w:lang w:val="en-US"/>
              </w:rPr>
            </w:pPr>
            <w:r w:rsidRPr="00F01347">
              <w:rPr>
                <w:rFonts w:ascii="Verdana" w:hAnsi="Verdana"/>
                <w:b/>
                <w:sz w:val="16"/>
                <w:szCs w:val="16"/>
                <w:lang w:val="en-US"/>
              </w:rPr>
              <w:t>B.4.2.6.3 Data analysis and calculations</w:t>
            </w:r>
          </w:p>
        </w:tc>
      </w:tr>
      <w:tr w:rsidR="001C02AB" w:rsidRPr="00F01347" w14:paraId="636AAB62" w14:textId="75FD8C11" w:rsidTr="00BF684F">
        <w:tc>
          <w:tcPr>
            <w:tcW w:w="4675" w:type="dxa"/>
          </w:tcPr>
          <w:p w14:paraId="67DEA4F1"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sz w:val="16"/>
                <w:szCs w:val="16"/>
              </w:rPr>
              <w:t>Reportar directamente los datos generados del instrumento con su factor de dilución en caso de que exista considerando lo siguiente:</w:t>
            </w:r>
          </w:p>
        </w:tc>
        <w:tc>
          <w:tcPr>
            <w:tcW w:w="4675" w:type="dxa"/>
          </w:tcPr>
          <w:p w14:paraId="1AF34E75" w14:textId="2CEBA090" w:rsidR="001C02AB" w:rsidRPr="00F01347" w:rsidRDefault="001C02AB" w:rsidP="001C02AB">
            <w:pPr>
              <w:pStyle w:val="texto0"/>
              <w:spacing w:line="232" w:lineRule="exact"/>
              <w:ind w:firstLine="0"/>
              <w:rPr>
                <w:rFonts w:ascii="Verdana" w:hAnsi="Verdana"/>
                <w:sz w:val="16"/>
                <w:szCs w:val="16"/>
                <w:lang w:val="en-US"/>
              </w:rPr>
            </w:pPr>
            <w:r w:rsidRPr="00F01347">
              <w:rPr>
                <w:rFonts w:ascii="Verdana" w:hAnsi="Verdana"/>
                <w:sz w:val="16"/>
                <w:szCs w:val="16"/>
                <w:lang w:val="en-US"/>
              </w:rPr>
              <w:t>Directly report the data generated from the instrument with its dilution factor if it exists, considering the following:</w:t>
            </w:r>
          </w:p>
        </w:tc>
      </w:tr>
      <w:tr w:rsidR="001C02AB" w:rsidRPr="00F01347" w14:paraId="707371B3" w14:textId="138F113C" w:rsidTr="00BF684F">
        <w:tc>
          <w:tcPr>
            <w:tcW w:w="4675" w:type="dxa"/>
          </w:tcPr>
          <w:p w14:paraId="0E3DB5C8"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sz w:val="16"/>
                <w:szCs w:val="16"/>
              </w:rPr>
              <w:t>Cuando se tenga un %DER mayor del 10 %, pero éste se deba a una lectura errónea de las 3 réplicas realizadas por el equipo, verificar si esa lectura se debió a un error del equipo, en cuyo caso considerar las otras 2 lecturas y evaluar si los resultados son válidos para ser reportados.</w:t>
            </w:r>
          </w:p>
        </w:tc>
        <w:tc>
          <w:tcPr>
            <w:tcW w:w="4675" w:type="dxa"/>
          </w:tcPr>
          <w:p w14:paraId="7294DE6B" w14:textId="7E41B241" w:rsidR="001C02AB" w:rsidRPr="00F01347" w:rsidRDefault="001C02AB" w:rsidP="001C02AB">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When </w:t>
            </w:r>
            <w:r w:rsidR="00D67172" w:rsidRPr="00F01347">
              <w:rPr>
                <w:rFonts w:ascii="Verdana" w:hAnsi="Verdana"/>
                <w:sz w:val="16"/>
                <w:szCs w:val="16"/>
                <w:lang w:val="en-US"/>
              </w:rPr>
              <w:t>there is</w:t>
            </w:r>
            <w:r w:rsidRPr="00F01347">
              <w:rPr>
                <w:rFonts w:ascii="Verdana" w:hAnsi="Verdana"/>
                <w:sz w:val="16"/>
                <w:szCs w:val="16"/>
                <w:lang w:val="en-US"/>
              </w:rPr>
              <w:t xml:space="preserve"> a %DER greater than 10%, but this is due to an erroneous reading of the 3 replicas made by the equipment, verify if that reading was due to an error on the equipment, in which case consider the other 2 readings and evaluate whether the results are valid to be reported.</w:t>
            </w:r>
          </w:p>
        </w:tc>
      </w:tr>
      <w:tr w:rsidR="001C02AB" w:rsidRPr="00F01347" w14:paraId="352C91FA" w14:textId="6306E35F" w:rsidTr="00BF684F">
        <w:tc>
          <w:tcPr>
            <w:tcW w:w="4675" w:type="dxa"/>
          </w:tcPr>
          <w:p w14:paraId="17DDDB23"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sz w:val="16"/>
                <w:szCs w:val="16"/>
              </w:rPr>
              <w:t>Cuando se tenga un %DER menor del 10 % y el valor de la concentración reportada sea mayor que el LDM, verificar que el pico de respuesta del equipo corresponde al metal en cuestión, en cuyo caso se debe reportar la concentración obtenida, de lo contrario reportar como "no detectado" y especificar el valor del límite de detección. Para esto comparar el pico del metal en cuestión sobreponiendo el pico correspondiente del estándar de calibración de concentración más cercana.</w:t>
            </w:r>
          </w:p>
        </w:tc>
        <w:tc>
          <w:tcPr>
            <w:tcW w:w="4675" w:type="dxa"/>
          </w:tcPr>
          <w:p w14:paraId="1A4D9E96" w14:textId="7E255EC7" w:rsidR="001C02AB" w:rsidRPr="00F01347" w:rsidRDefault="001C02AB" w:rsidP="001C02AB">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When </w:t>
            </w:r>
            <w:r w:rsidR="00305400" w:rsidRPr="00F01347">
              <w:rPr>
                <w:rFonts w:ascii="Verdana" w:hAnsi="Verdana"/>
                <w:sz w:val="16"/>
                <w:szCs w:val="16"/>
                <w:lang w:val="en-US"/>
              </w:rPr>
              <w:t>there is</w:t>
            </w:r>
            <w:r w:rsidRPr="00F01347">
              <w:rPr>
                <w:rFonts w:ascii="Verdana" w:hAnsi="Verdana"/>
                <w:sz w:val="16"/>
                <w:szCs w:val="16"/>
                <w:lang w:val="en-US"/>
              </w:rPr>
              <w:t xml:space="preserve"> a %</w:t>
            </w:r>
            <w:r w:rsidR="00BC7170">
              <w:rPr>
                <w:rFonts w:ascii="Verdana" w:hAnsi="Verdana"/>
                <w:sz w:val="16"/>
                <w:szCs w:val="16"/>
                <w:lang w:val="en-US"/>
              </w:rPr>
              <w:t>DER</w:t>
            </w:r>
            <w:r w:rsidRPr="00F01347">
              <w:rPr>
                <w:rFonts w:ascii="Verdana" w:hAnsi="Verdana"/>
                <w:sz w:val="16"/>
                <w:szCs w:val="16"/>
                <w:lang w:val="en-US"/>
              </w:rPr>
              <w:t xml:space="preserve"> of less than 10% and the value of the reported concentration is greater than the LDM, verify that the peak response of the equipment corresponds to the metal in question, in which case the concentration obtained must be reported, otherwise report as "not detected" and specify the detection limit value. To do this, compare the peak of the metal in question by superimposing the corresponding peak of the closest concentration calibration standard.</w:t>
            </w:r>
          </w:p>
        </w:tc>
      </w:tr>
      <w:tr w:rsidR="001C02AB" w:rsidRPr="00F01347" w14:paraId="4752D0DB" w14:textId="1FDD5CFF" w:rsidTr="00BF684F">
        <w:tc>
          <w:tcPr>
            <w:tcW w:w="4675" w:type="dxa"/>
          </w:tcPr>
          <w:p w14:paraId="09E8E982"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b/>
                <w:sz w:val="16"/>
                <w:szCs w:val="16"/>
              </w:rPr>
              <w:t>B.4.2.6.4 Informe de prueba</w:t>
            </w:r>
          </w:p>
        </w:tc>
        <w:tc>
          <w:tcPr>
            <w:tcW w:w="4675" w:type="dxa"/>
          </w:tcPr>
          <w:p w14:paraId="0A456A0C" w14:textId="401043BB" w:rsidR="001C02AB" w:rsidRPr="00F01347" w:rsidRDefault="001C02AB" w:rsidP="001C02AB">
            <w:pPr>
              <w:pStyle w:val="texto0"/>
              <w:spacing w:line="232" w:lineRule="exact"/>
              <w:ind w:firstLine="0"/>
              <w:rPr>
                <w:rFonts w:ascii="Verdana" w:hAnsi="Verdana"/>
                <w:b/>
                <w:sz w:val="16"/>
                <w:szCs w:val="16"/>
                <w:lang w:val="en-US"/>
              </w:rPr>
            </w:pPr>
            <w:r w:rsidRPr="00F01347">
              <w:rPr>
                <w:rFonts w:ascii="Verdana" w:hAnsi="Verdana"/>
                <w:b/>
                <w:sz w:val="16"/>
                <w:szCs w:val="16"/>
                <w:lang w:val="en-US"/>
              </w:rPr>
              <w:t>B.4.2.6.4 Test report</w:t>
            </w:r>
          </w:p>
        </w:tc>
      </w:tr>
      <w:tr w:rsidR="001C02AB" w:rsidRPr="00F01347" w14:paraId="1500F15C" w14:textId="7800E819" w:rsidTr="00BF684F">
        <w:tc>
          <w:tcPr>
            <w:tcW w:w="4675" w:type="dxa"/>
          </w:tcPr>
          <w:p w14:paraId="4F2336FA" w14:textId="77777777" w:rsidR="001C02AB" w:rsidRPr="00F01347" w:rsidRDefault="001C02AB" w:rsidP="001C02AB">
            <w:pPr>
              <w:pStyle w:val="texto0"/>
              <w:spacing w:line="232" w:lineRule="exact"/>
              <w:ind w:firstLine="0"/>
              <w:rPr>
                <w:rFonts w:ascii="Verdana" w:hAnsi="Verdana"/>
                <w:sz w:val="16"/>
                <w:szCs w:val="16"/>
              </w:rPr>
            </w:pPr>
            <w:r w:rsidRPr="00F01347">
              <w:rPr>
                <w:rFonts w:ascii="Verdana" w:hAnsi="Verdana"/>
                <w:sz w:val="16"/>
                <w:szCs w:val="16"/>
              </w:rPr>
              <w:t>Reportar los resultados de las muestras en mg/L</w:t>
            </w:r>
          </w:p>
        </w:tc>
        <w:tc>
          <w:tcPr>
            <w:tcW w:w="4675" w:type="dxa"/>
          </w:tcPr>
          <w:p w14:paraId="55D50FAD" w14:textId="4B0322C4" w:rsidR="001C02AB" w:rsidRPr="00F01347" w:rsidRDefault="001C02AB" w:rsidP="001C02AB">
            <w:pPr>
              <w:pStyle w:val="texto0"/>
              <w:spacing w:line="232" w:lineRule="exact"/>
              <w:ind w:firstLine="0"/>
              <w:rPr>
                <w:rFonts w:ascii="Verdana" w:hAnsi="Verdana"/>
                <w:sz w:val="16"/>
                <w:szCs w:val="16"/>
                <w:lang w:val="en-US"/>
              </w:rPr>
            </w:pPr>
            <w:r w:rsidRPr="00F01347">
              <w:rPr>
                <w:rFonts w:ascii="Verdana" w:hAnsi="Verdana"/>
                <w:sz w:val="16"/>
                <w:szCs w:val="16"/>
                <w:lang w:val="en-US"/>
              </w:rPr>
              <w:t>Report sample results in mg/L</w:t>
            </w:r>
          </w:p>
        </w:tc>
      </w:tr>
      <w:tr w:rsidR="001C02AB" w:rsidRPr="00F01347" w14:paraId="62C098A1" w14:textId="3DDBE8A0" w:rsidTr="00BF684F">
        <w:tc>
          <w:tcPr>
            <w:tcW w:w="4675" w:type="dxa"/>
          </w:tcPr>
          <w:p w14:paraId="60381669" w14:textId="77777777" w:rsidR="001C02AB" w:rsidRPr="00F01347" w:rsidRDefault="001C02AB" w:rsidP="001C02AB">
            <w:pPr>
              <w:pStyle w:val="texto0"/>
              <w:spacing w:line="226" w:lineRule="exact"/>
              <w:ind w:firstLine="0"/>
              <w:rPr>
                <w:rFonts w:ascii="Verdana" w:hAnsi="Verdana"/>
                <w:b/>
                <w:sz w:val="16"/>
                <w:szCs w:val="16"/>
              </w:rPr>
            </w:pPr>
            <w:r w:rsidRPr="00F01347">
              <w:rPr>
                <w:rFonts w:ascii="Verdana" w:hAnsi="Verdana"/>
                <w:b/>
                <w:sz w:val="16"/>
                <w:szCs w:val="16"/>
              </w:rPr>
              <w:t>B.4.2.7 Calibración e interferencias</w:t>
            </w:r>
          </w:p>
        </w:tc>
        <w:tc>
          <w:tcPr>
            <w:tcW w:w="4675" w:type="dxa"/>
          </w:tcPr>
          <w:p w14:paraId="387829D4" w14:textId="52599E21" w:rsidR="001C02AB" w:rsidRPr="00F01347" w:rsidRDefault="001C02AB" w:rsidP="001C02AB">
            <w:pPr>
              <w:pStyle w:val="texto0"/>
              <w:spacing w:line="226" w:lineRule="exact"/>
              <w:ind w:firstLine="0"/>
              <w:rPr>
                <w:rFonts w:ascii="Verdana" w:hAnsi="Verdana"/>
                <w:b/>
                <w:sz w:val="16"/>
                <w:szCs w:val="16"/>
                <w:lang w:val="en-US"/>
              </w:rPr>
            </w:pPr>
            <w:r w:rsidRPr="00F01347">
              <w:rPr>
                <w:rFonts w:ascii="Verdana" w:hAnsi="Verdana"/>
                <w:b/>
                <w:sz w:val="16"/>
                <w:szCs w:val="16"/>
                <w:lang w:val="en-US"/>
              </w:rPr>
              <w:t>B.4.2.7 Calibration and interferences</w:t>
            </w:r>
          </w:p>
        </w:tc>
      </w:tr>
      <w:tr w:rsidR="001C02AB" w:rsidRPr="00F01347" w14:paraId="165B6EF5" w14:textId="4919B516" w:rsidTr="00BF684F">
        <w:tc>
          <w:tcPr>
            <w:tcW w:w="4675" w:type="dxa"/>
          </w:tcPr>
          <w:p w14:paraId="11AC3434" w14:textId="77777777" w:rsidR="001C02AB" w:rsidRPr="00F01347" w:rsidRDefault="001C02AB" w:rsidP="001C02AB">
            <w:pPr>
              <w:pStyle w:val="texto0"/>
              <w:spacing w:line="226" w:lineRule="exact"/>
              <w:ind w:firstLine="0"/>
              <w:rPr>
                <w:rFonts w:ascii="Verdana" w:hAnsi="Verdana"/>
                <w:b/>
                <w:sz w:val="16"/>
                <w:szCs w:val="16"/>
              </w:rPr>
            </w:pPr>
            <w:r w:rsidRPr="00F01347">
              <w:rPr>
                <w:rFonts w:ascii="Verdana" w:hAnsi="Verdana"/>
                <w:b/>
                <w:sz w:val="16"/>
                <w:szCs w:val="16"/>
              </w:rPr>
              <w:lastRenderedPageBreak/>
              <w:t>B.4.2.7.1 Calibración</w:t>
            </w:r>
          </w:p>
        </w:tc>
        <w:tc>
          <w:tcPr>
            <w:tcW w:w="4675" w:type="dxa"/>
          </w:tcPr>
          <w:p w14:paraId="7A44E75A" w14:textId="53144B87" w:rsidR="001C02AB" w:rsidRPr="00F01347" w:rsidRDefault="001C02AB" w:rsidP="001C02AB">
            <w:pPr>
              <w:pStyle w:val="texto0"/>
              <w:spacing w:line="226" w:lineRule="exact"/>
              <w:ind w:firstLine="0"/>
              <w:rPr>
                <w:rFonts w:ascii="Verdana" w:hAnsi="Verdana"/>
                <w:b/>
                <w:sz w:val="16"/>
                <w:szCs w:val="16"/>
                <w:lang w:val="en-US"/>
              </w:rPr>
            </w:pPr>
            <w:r w:rsidRPr="00F01347">
              <w:rPr>
                <w:rFonts w:ascii="Verdana" w:hAnsi="Verdana"/>
                <w:b/>
                <w:sz w:val="16"/>
                <w:szCs w:val="16"/>
                <w:lang w:val="en-US"/>
              </w:rPr>
              <w:t>B.4.2.7.1 Calibration</w:t>
            </w:r>
          </w:p>
        </w:tc>
      </w:tr>
      <w:tr w:rsidR="001C02AB" w:rsidRPr="00F01347" w14:paraId="738BAC4F" w14:textId="6284370C" w:rsidTr="00BF684F">
        <w:tc>
          <w:tcPr>
            <w:tcW w:w="4675" w:type="dxa"/>
          </w:tcPr>
          <w:p w14:paraId="4CBC6C18" w14:textId="77777777" w:rsidR="001C02AB" w:rsidRPr="00F01347" w:rsidRDefault="001C02AB" w:rsidP="001C02AB">
            <w:pPr>
              <w:pStyle w:val="texto0"/>
              <w:spacing w:line="226" w:lineRule="exact"/>
              <w:ind w:firstLine="0"/>
              <w:rPr>
                <w:rFonts w:ascii="Verdana" w:hAnsi="Verdana"/>
                <w:b/>
                <w:sz w:val="16"/>
                <w:szCs w:val="16"/>
              </w:rPr>
            </w:pPr>
            <w:r w:rsidRPr="00F01347">
              <w:rPr>
                <w:rFonts w:ascii="Verdana" w:hAnsi="Verdana"/>
                <w:b/>
                <w:sz w:val="16"/>
                <w:szCs w:val="16"/>
              </w:rPr>
              <w:t>B.4.2.7.1.1 Mezcla de disoluciones estándar de calibración</w:t>
            </w:r>
          </w:p>
        </w:tc>
        <w:tc>
          <w:tcPr>
            <w:tcW w:w="4675" w:type="dxa"/>
          </w:tcPr>
          <w:p w14:paraId="0540C312" w14:textId="4CA25754" w:rsidR="001C02AB" w:rsidRPr="00F01347" w:rsidRDefault="001C02AB" w:rsidP="001C02AB">
            <w:pPr>
              <w:pStyle w:val="texto0"/>
              <w:spacing w:line="226" w:lineRule="exact"/>
              <w:ind w:firstLine="0"/>
              <w:rPr>
                <w:rFonts w:ascii="Verdana" w:hAnsi="Verdana"/>
                <w:b/>
                <w:sz w:val="16"/>
                <w:szCs w:val="16"/>
                <w:lang w:val="en-US"/>
              </w:rPr>
            </w:pPr>
            <w:r w:rsidRPr="00F01347">
              <w:rPr>
                <w:rFonts w:ascii="Verdana" w:hAnsi="Verdana"/>
                <w:b/>
                <w:sz w:val="16"/>
                <w:szCs w:val="16"/>
                <w:lang w:val="en-US"/>
              </w:rPr>
              <w:t>B.4.2.7.1.1 Mixture of calibration standard solutions</w:t>
            </w:r>
          </w:p>
        </w:tc>
      </w:tr>
      <w:tr w:rsidR="001C02AB" w:rsidRPr="00F01347" w14:paraId="49D0C56E" w14:textId="0226D540" w:rsidTr="00BF684F">
        <w:tc>
          <w:tcPr>
            <w:tcW w:w="4675" w:type="dxa"/>
          </w:tcPr>
          <w:p w14:paraId="505E3980" w14:textId="77777777" w:rsidR="001C02AB" w:rsidRPr="00F01347" w:rsidRDefault="001C02AB" w:rsidP="001C02AB">
            <w:pPr>
              <w:pStyle w:val="texto0"/>
              <w:spacing w:line="226" w:lineRule="exact"/>
              <w:ind w:firstLine="0"/>
              <w:rPr>
                <w:rFonts w:ascii="Verdana" w:hAnsi="Verdana"/>
                <w:sz w:val="16"/>
                <w:szCs w:val="16"/>
              </w:rPr>
            </w:pPr>
            <w:r w:rsidRPr="00F01347">
              <w:rPr>
                <w:rFonts w:ascii="Verdana" w:hAnsi="Verdana"/>
                <w:sz w:val="16"/>
                <w:szCs w:val="16"/>
              </w:rPr>
              <w:t xml:space="preserve">Preparar una mezcla de disoluciones estándar de calibración de acuerdo con la Tabla </w:t>
            </w:r>
            <w:r w:rsidRPr="00F01347">
              <w:rPr>
                <w:rFonts w:ascii="Verdana" w:hAnsi="Verdana"/>
                <w:b/>
                <w:color w:val="000000"/>
                <w:sz w:val="16"/>
                <w:szCs w:val="16"/>
              </w:rPr>
              <w:t>B.4.2.-1.</w:t>
            </w:r>
            <w:r w:rsidRPr="00F01347">
              <w:rPr>
                <w:rFonts w:ascii="Verdana" w:hAnsi="Verdana"/>
                <w:sz w:val="16"/>
                <w:szCs w:val="16"/>
              </w:rPr>
              <w:t xml:space="preserve">, mediante la combinación de volúmenes apropiados de las soluciones concentradas. Tener cuidado al preparar la mezcla de estándares para asegurar que los elementos son compatibles y estables juntos. Transferir las disoluciones estándar a envases de </w:t>
            </w:r>
            <w:proofErr w:type="spellStart"/>
            <w:r w:rsidRPr="00F01347">
              <w:rPr>
                <w:rFonts w:ascii="Verdana" w:hAnsi="Verdana"/>
                <w:sz w:val="16"/>
                <w:szCs w:val="16"/>
              </w:rPr>
              <w:t>fluorocarbono</w:t>
            </w:r>
            <w:proofErr w:type="spellEnd"/>
            <w:r w:rsidRPr="00F01347">
              <w:rPr>
                <w:rFonts w:ascii="Verdana" w:hAnsi="Verdana"/>
                <w:sz w:val="16"/>
                <w:szCs w:val="16"/>
              </w:rPr>
              <w:t xml:space="preserve"> (FEP) o envases de polietileno o polipropileno que no hayan sido utilizados previamente para almacenar. Para todas las disoluciones estándar intermedios y de trabajo, especialmente estándares con una concentración baja (&lt;1 mg/L o ppm), debe demostrarse su estabilidad antes de su uso. Preparar la mezcla de estándares con la periodicidad requerida, tomando en cuenta que la concentración puede cambiar con el tiempo. En la Tabla B.4.2-1 se muestran algunas combinaciones típicas de mezclas de disoluciones estándar de calibración.</w:t>
            </w:r>
          </w:p>
        </w:tc>
        <w:tc>
          <w:tcPr>
            <w:tcW w:w="4675" w:type="dxa"/>
          </w:tcPr>
          <w:p w14:paraId="26CFB11F" w14:textId="7B94E01F" w:rsidR="001C02AB" w:rsidRPr="00F01347" w:rsidRDefault="001C02AB" w:rsidP="001C02AB">
            <w:pPr>
              <w:pStyle w:val="texto0"/>
              <w:spacing w:line="226" w:lineRule="exact"/>
              <w:ind w:firstLine="0"/>
              <w:rPr>
                <w:rFonts w:ascii="Verdana" w:hAnsi="Verdana"/>
                <w:sz w:val="16"/>
                <w:szCs w:val="16"/>
                <w:lang w:val="en-US"/>
              </w:rPr>
            </w:pPr>
            <w:r w:rsidRPr="00F01347">
              <w:rPr>
                <w:rFonts w:ascii="Verdana" w:hAnsi="Verdana"/>
                <w:sz w:val="16"/>
                <w:szCs w:val="16"/>
                <w:lang w:val="en-US"/>
              </w:rPr>
              <w:t xml:space="preserve">Prepare a mixture of calibration standard solutions according to Table </w:t>
            </w:r>
            <w:r w:rsidRPr="00F01347">
              <w:rPr>
                <w:rFonts w:ascii="Verdana" w:hAnsi="Verdana"/>
                <w:b/>
                <w:color w:val="000000"/>
                <w:sz w:val="16"/>
                <w:szCs w:val="16"/>
                <w:lang w:val="en-US"/>
              </w:rPr>
              <w:t>B.4.2.-1.</w:t>
            </w:r>
            <w:r w:rsidR="003E1BA9" w:rsidRPr="00F01347">
              <w:rPr>
                <w:rFonts w:ascii="Verdana" w:hAnsi="Verdana"/>
                <w:b/>
                <w:color w:val="000000"/>
                <w:sz w:val="16"/>
                <w:szCs w:val="16"/>
                <w:lang w:val="en-US"/>
              </w:rPr>
              <w:t>,</w:t>
            </w:r>
            <w:r w:rsidRPr="00F01347">
              <w:rPr>
                <w:rFonts w:ascii="Verdana" w:hAnsi="Verdana"/>
                <w:sz w:val="16"/>
                <w:szCs w:val="16"/>
                <w:lang w:val="en-US"/>
              </w:rPr>
              <w:t xml:space="preserve"> by combining appropriate volumes of the concentrated solutions. Take care when preparing the mix of standards to ensure that the elements are compatible and stable together. Transfer standard solutions to fluorocarbon (FEP) containers or polyethylene or polypropylene containers that have not previously been used for storage. For all intermediate and working standard solutions, especially standards with a low concentration (&lt;1 mg/L or ppm), their stability must be demonstrated before use. Prepare the mixture of standards with the required periodicity, </w:t>
            </w:r>
            <w:proofErr w:type="gramStart"/>
            <w:r w:rsidRPr="00F01347">
              <w:rPr>
                <w:rFonts w:ascii="Verdana" w:hAnsi="Verdana"/>
                <w:sz w:val="16"/>
                <w:szCs w:val="16"/>
                <w:lang w:val="en-US"/>
              </w:rPr>
              <w:t>taking into account</w:t>
            </w:r>
            <w:proofErr w:type="gramEnd"/>
            <w:r w:rsidRPr="00F01347">
              <w:rPr>
                <w:rFonts w:ascii="Verdana" w:hAnsi="Verdana"/>
                <w:sz w:val="16"/>
                <w:szCs w:val="16"/>
                <w:lang w:val="en-US"/>
              </w:rPr>
              <w:t xml:space="preserve"> that the concentration may change over time. Some typical combinations of calibration standard solution mixtures are shown in Table B.4.2-1.</w:t>
            </w:r>
          </w:p>
        </w:tc>
      </w:tr>
    </w:tbl>
    <w:p w14:paraId="77105C6D" w14:textId="77777777" w:rsidR="00204B58" w:rsidRPr="00F01347" w:rsidRDefault="00204B58" w:rsidP="003A601B">
      <w:pPr>
        <w:pStyle w:val="texto0"/>
        <w:spacing w:line="226" w:lineRule="exact"/>
        <w:rPr>
          <w:rFonts w:ascii="Verdana" w:hAnsi="Verdana"/>
          <w:sz w:val="16"/>
          <w:szCs w:val="16"/>
          <w:lang w:val="en-US"/>
        </w:rPr>
      </w:pPr>
    </w:p>
    <w:tbl>
      <w:tblPr>
        <w:tblW w:w="3436" w:type="dxa"/>
        <w:tblInd w:w="2500" w:type="dxa"/>
        <w:tblLayout w:type="fixed"/>
        <w:tblCellMar>
          <w:left w:w="70" w:type="dxa"/>
          <w:right w:w="70" w:type="dxa"/>
        </w:tblCellMar>
        <w:tblLook w:val="0000" w:firstRow="0" w:lastRow="0" w:firstColumn="0" w:lastColumn="0" w:noHBand="0" w:noVBand="0"/>
      </w:tblPr>
      <w:tblGrid>
        <w:gridCol w:w="1456"/>
        <w:gridCol w:w="1980"/>
      </w:tblGrid>
      <w:tr w:rsidR="00A74CDF" w:rsidRPr="00F01347" w14:paraId="7216E7ED" w14:textId="77777777">
        <w:trPr>
          <w:trHeight w:val="144"/>
        </w:trPr>
        <w:tc>
          <w:tcPr>
            <w:tcW w:w="3436" w:type="dxa"/>
            <w:gridSpan w:val="2"/>
            <w:tcBorders>
              <w:bottom w:val="single" w:sz="6" w:space="0" w:color="auto"/>
            </w:tcBorders>
            <w:noWrap/>
          </w:tcPr>
          <w:p w14:paraId="5BC3656D" w14:textId="77777777" w:rsidR="00A74CDF" w:rsidRPr="00F01347" w:rsidRDefault="00A74CDF" w:rsidP="003A601B">
            <w:pPr>
              <w:pStyle w:val="texto0"/>
              <w:spacing w:line="226" w:lineRule="exact"/>
              <w:ind w:firstLine="0"/>
              <w:jc w:val="center"/>
              <w:rPr>
                <w:rFonts w:ascii="Verdana" w:hAnsi="Verdana"/>
                <w:b/>
                <w:color w:val="000000"/>
                <w:sz w:val="16"/>
                <w:szCs w:val="16"/>
              </w:rPr>
            </w:pPr>
            <w:r w:rsidRPr="00F01347">
              <w:rPr>
                <w:rFonts w:ascii="Verdana" w:hAnsi="Verdana"/>
                <w:b/>
                <w:color w:val="000000"/>
                <w:sz w:val="16"/>
                <w:szCs w:val="16"/>
              </w:rPr>
              <w:t>Tabla B.4.2.-1.</w:t>
            </w:r>
            <w:r w:rsidRPr="00F01347">
              <w:rPr>
                <w:rFonts w:ascii="Verdana" w:hAnsi="Verdana"/>
                <w:color w:val="000000"/>
                <w:sz w:val="16"/>
                <w:szCs w:val="16"/>
              </w:rPr>
              <w:t xml:space="preserve"> Mezcla de disoluciones estándar de calibración</w:t>
            </w:r>
          </w:p>
        </w:tc>
      </w:tr>
      <w:tr w:rsidR="00A74CDF" w:rsidRPr="00F01347" w14:paraId="761C31E1" w14:textId="77777777">
        <w:trPr>
          <w:trHeight w:val="144"/>
        </w:trPr>
        <w:tc>
          <w:tcPr>
            <w:tcW w:w="1456" w:type="dxa"/>
            <w:tcBorders>
              <w:top w:val="single" w:sz="6" w:space="0" w:color="auto"/>
              <w:left w:val="single" w:sz="6" w:space="0" w:color="auto"/>
              <w:bottom w:val="single" w:sz="6" w:space="0" w:color="auto"/>
              <w:right w:val="single" w:sz="6" w:space="0" w:color="auto"/>
            </w:tcBorders>
          </w:tcPr>
          <w:p w14:paraId="73CC6D6D" w14:textId="77777777" w:rsidR="00A74CDF" w:rsidRPr="00F01347" w:rsidRDefault="00A74CDF" w:rsidP="003A601B">
            <w:pPr>
              <w:pStyle w:val="texto0"/>
              <w:spacing w:line="226" w:lineRule="exact"/>
              <w:ind w:firstLine="0"/>
              <w:jc w:val="center"/>
              <w:rPr>
                <w:rFonts w:ascii="Verdana" w:hAnsi="Verdana"/>
                <w:color w:val="000000"/>
                <w:sz w:val="16"/>
                <w:szCs w:val="16"/>
              </w:rPr>
            </w:pPr>
            <w:r w:rsidRPr="00F01347">
              <w:rPr>
                <w:rFonts w:ascii="Verdana" w:hAnsi="Verdana"/>
                <w:color w:val="000000"/>
                <w:sz w:val="16"/>
                <w:szCs w:val="16"/>
              </w:rPr>
              <w:t>Disolución</w:t>
            </w:r>
          </w:p>
        </w:tc>
        <w:tc>
          <w:tcPr>
            <w:tcW w:w="1980" w:type="dxa"/>
            <w:tcBorders>
              <w:top w:val="single" w:sz="6" w:space="0" w:color="auto"/>
              <w:left w:val="single" w:sz="6" w:space="0" w:color="auto"/>
              <w:bottom w:val="single" w:sz="6" w:space="0" w:color="auto"/>
              <w:right w:val="single" w:sz="6" w:space="0" w:color="auto"/>
            </w:tcBorders>
          </w:tcPr>
          <w:p w14:paraId="048ED208" w14:textId="77777777" w:rsidR="00A74CDF" w:rsidRPr="00F01347" w:rsidRDefault="00A74CDF" w:rsidP="003A601B">
            <w:pPr>
              <w:pStyle w:val="texto0"/>
              <w:spacing w:line="226" w:lineRule="exact"/>
              <w:ind w:firstLine="0"/>
              <w:jc w:val="center"/>
              <w:rPr>
                <w:rFonts w:ascii="Verdana" w:hAnsi="Verdana"/>
                <w:color w:val="000000"/>
                <w:sz w:val="16"/>
                <w:szCs w:val="16"/>
              </w:rPr>
            </w:pPr>
            <w:r w:rsidRPr="00F01347">
              <w:rPr>
                <w:rFonts w:ascii="Verdana" w:hAnsi="Verdana"/>
                <w:color w:val="000000"/>
                <w:sz w:val="16"/>
                <w:szCs w:val="16"/>
              </w:rPr>
              <w:t>Elementos</w:t>
            </w:r>
          </w:p>
        </w:tc>
      </w:tr>
      <w:tr w:rsidR="00A74CDF" w:rsidRPr="00F01347" w14:paraId="6548C14F" w14:textId="77777777">
        <w:trPr>
          <w:trHeight w:val="144"/>
        </w:trPr>
        <w:tc>
          <w:tcPr>
            <w:tcW w:w="1456" w:type="dxa"/>
            <w:tcBorders>
              <w:top w:val="single" w:sz="6" w:space="0" w:color="auto"/>
              <w:left w:val="single" w:sz="6" w:space="0" w:color="auto"/>
              <w:bottom w:val="single" w:sz="6" w:space="0" w:color="auto"/>
              <w:right w:val="single" w:sz="6" w:space="0" w:color="auto"/>
            </w:tcBorders>
          </w:tcPr>
          <w:p w14:paraId="32B26EB0" w14:textId="77777777" w:rsidR="00A74CDF" w:rsidRPr="00F01347" w:rsidRDefault="00A74CDF" w:rsidP="003A601B">
            <w:pPr>
              <w:pStyle w:val="texto0"/>
              <w:spacing w:line="226" w:lineRule="exact"/>
              <w:ind w:firstLine="0"/>
              <w:jc w:val="center"/>
              <w:rPr>
                <w:rFonts w:ascii="Verdana" w:hAnsi="Verdana"/>
                <w:color w:val="000000"/>
                <w:sz w:val="16"/>
                <w:szCs w:val="16"/>
              </w:rPr>
            </w:pPr>
            <w:r w:rsidRPr="00F01347">
              <w:rPr>
                <w:rFonts w:ascii="Verdana" w:hAnsi="Verdana"/>
                <w:color w:val="000000"/>
                <w:sz w:val="16"/>
                <w:szCs w:val="16"/>
              </w:rPr>
              <w:t>I</w:t>
            </w:r>
          </w:p>
        </w:tc>
        <w:tc>
          <w:tcPr>
            <w:tcW w:w="1980" w:type="dxa"/>
            <w:tcBorders>
              <w:top w:val="single" w:sz="6" w:space="0" w:color="auto"/>
              <w:left w:val="single" w:sz="6" w:space="0" w:color="auto"/>
              <w:bottom w:val="single" w:sz="6" w:space="0" w:color="auto"/>
              <w:right w:val="single" w:sz="6" w:space="0" w:color="auto"/>
            </w:tcBorders>
          </w:tcPr>
          <w:p w14:paraId="024D29C9" w14:textId="77777777" w:rsidR="00A74CDF" w:rsidRPr="00F01347" w:rsidRDefault="00A74CDF" w:rsidP="003A601B">
            <w:pPr>
              <w:pStyle w:val="texto0"/>
              <w:spacing w:line="226" w:lineRule="exact"/>
              <w:ind w:firstLine="0"/>
              <w:jc w:val="center"/>
              <w:rPr>
                <w:rFonts w:ascii="Verdana" w:hAnsi="Verdana"/>
                <w:color w:val="000000"/>
                <w:sz w:val="16"/>
                <w:szCs w:val="16"/>
              </w:rPr>
            </w:pPr>
            <w:r w:rsidRPr="00F01347">
              <w:rPr>
                <w:rFonts w:ascii="Verdana" w:hAnsi="Verdana"/>
                <w:color w:val="000000"/>
                <w:sz w:val="16"/>
                <w:szCs w:val="16"/>
              </w:rPr>
              <w:t>Cd, Mn, Pb, Se</w:t>
            </w:r>
          </w:p>
        </w:tc>
      </w:tr>
      <w:tr w:rsidR="00A74CDF" w:rsidRPr="00F01347" w14:paraId="05208BF2" w14:textId="77777777">
        <w:trPr>
          <w:trHeight w:val="144"/>
        </w:trPr>
        <w:tc>
          <w:tcPr>
            <w:tcW w:w="1456" w:type="dxa"/>
            <w:tcBorders>
              <w:top w:val="single" w:sz="6" w:space="0" w:color="auto"/>
              <w:left w:val="single" w:sz="6" w:space="0" w:color="auto"/>
              <w:bottom w:val="single" w:sz="6" w:space="0" w:color="auto"/>
              <w:right w:val="single" w:sz="6" w:space="0" w:color="auto"/>
            </w:tcBorders>
          </w:tcPr>
          <w:p w14:paraId="332CE3DF" w14:textId="77777777" w:rsidR="00A74CDF" w:rsidRPr="00F01347" w:rsidRDefault="00A74CDF" w:rsidP="003A601B">
            <w:pPr>
              <w:pStyle w:val="texto0"/>
              <w:spacing w:line="226" w:lineRule="exact"/>
              <w:ind w:firstLine="0"/>
              <w:jc w:val="center"/>
              <w:rPr>
                <w:rFonts w:ascii="Verdana" w:hAnsi="Verdana"/>
                <w:color w:val="000000"/>
                <w:sz w:val="16"/>
                <w:szCs w:val="16"/>
              </w:rPr>
            </w:pPr>
            <w:r w:rsidRPr="00F01347">
              <w:rPr>
                <w:rFonts w:ascii="Verdana" w:hAnsi="Verdana"/>
                <w:color w:val="000000"/>
                <w:sz w:val="16"/>
                <w:szCs w:val="16"/>
              </w:rPr>
              <w:t>II</w:t>
            </w:r>
          </w:p>
        </w:tc>
        <w:tc>
          <w:tcPr>
            <w:tcW w:w="1980" w:type="dxa"/>
            <w:tcBorders>
              <w:top w:val="single" w:sz="6" w:space="0" w:color="auto"/>
              <w:left w:val="single" w:sz="6" w:space="0" w:color="auto"/>
              <w:bottom w:val="single" w:sz="6" w:space="0" w:color="auto"/>
              <w:right w:val="single" w:sz="6" w:space="0" w:color="auto"/>
            </w:tcBorders>
          </w:tcPr>
          <w:p w14:paraId="5C2EA944" w14:textId="77777777" w:rsidR="00A74CDF" w:rsidRPr="00F01347" w:rsidRDefault="00A74CDF" w:rsidP="003A601B">
            <w:pPr>
              <w:pStyle w:val="texto0"/>
              <w:spacing w:line="226" w:lineRule="exact"/>
              <w:ind w:firstLine="0"/>
              <w:jc w:val="center"/>
              <w:rPr>
                <w:rFonts w:ascii="Verdana" w:hAnsi="Verdana"/>
                <w:color w:val="000000"/>
                <w:sz w:val="16"/>
                <w:szCs w:val="16"/>
              </w:rPr>
            </w:pPr>
            <w:r w:rsidRPr="00F01347">
              <w:rPr>
                <w:rFonts w:ascii="Verdana" w:hAnsi="Verdana"/>
                <w:color w:val="000000"/>
                <w:sz w:val="16"/>
                <w:szCs w:val="16"/>
              </w:rPr>
              <w:t>Ba, Cu, Fe</w:t>
            </w:r>
          </w:p>
        </w:tc>
      </w:tr>
      <w:tr w:rsidR="00A74CDF" w:rsidRPr="00F01347" w14:paraId="1C7FBE2A" w14:textId="77777777">
        <w:trPr>
          <w:trHeight w:val="144"/>
        </w:trPr>
        <w:tc>
          <w:tcPr>
            <w:tcW w:w="1456" w:type="dxa"/>
            <w:tcBorders>
              <w:top w:val="single" w:sz="6" w:space="0" w:color="auto"/>
              <w:left w:val="single" w:sz="6" w:space="0" w:color="auto"/>
              <w:bottom w:val="single" w:sz="6" w:space="0" w:color="auto"/>
              <w:right w:val="single" w:sz="6" w:space="0" w:color="auto"/>
            </w:tcBorders>
          </w:tcPr>
          <w:p w14:paraId="4CA56827" w14:textId="77777777" w:rsidR="00A74CDF" w:rsidRPr="00F01347" w:rsidRDefault="00A74CDF" w:rsidP="003A601B">
            <w:pPr>
              <w:pStyle w:val="texto0"/>
              <w:spacing w:line="226" w:lineRule="exact"/>
              <w:ind w:firstLine="0"/>
              <w:jc w:val="center"/>
              <w:rPr>
                <w:rFonts w:ascii="Verdana" w:hAnsi="Verdana"/>
                <w:color w:val="000000"/>
                <w:sz w:val="16"/>
                <w:szCs w:val="16"/>
              </w:rPr>
            </w:pPr>
            <w:r w:rsidRPr="00F01347">
              <w:rPr>
                <w:rFonts w:ascii="Verdana" w:hAnsi="Verdana"/>
                <w:color w:val="000000"/>
                <w:sz w:val="16"/>
                <w:szCs w:val="16"/>
              </w:rPr>
              <w:t>III</w:t>
            </w:r>
          </w:p>
        </w:tc>
        <w:tc>
          <w:tcPr>
            <w:tcW w:w="1980" w:type="dxa"/>
            <w:tcBorders>
              <w:top w:val="single" w:sz="6" w:space="0" w:color="auto"/>
              <w:left w:val="single" w:sz="6" w:space="0" w:color="auto"/>
              <w:bottom w:val="single" w:sz="6" w:space="0" w:color="auto"/>
              <w:right w:val="single" w:sz="6" w:space="0" w:color="auto"/>
            </w:tcBorders>
          </w:tcPr>
          <w:p w14:paraId="00998493" w14:textId="77777777" w:rsidR="00A74CDF" w:rsidRPr="00F01347" w:rsidRDefault="00A74CDF" w:rsidP="003A601B">
            <w:pPr>
              <w:pStyle w:val="texto0"/>
              <w:spacing w:line="226" w:lineRule="exact"/>
              <w:ind w:firstLine="0"/>
              <w:jc w:val="center"/>
              <w:rPr>
                <w:rFonts w:ascii="Verdana" w:hAnsi="Verdana"/>
                <w:color w:val="000000"/>
                <w:sz w:val="16"/>
                <w:szCs w:val="16"/>
              </w:rPr>
            </w:pPr>
            <w:r w:rsidRPr="00F01347">
              <w:rPr>
                <w:rFonts w:ascii="Verdana" w:hAnsi="Verdana"/>
                <w:color w:val="000000"/>
                <w:sz w:val="16"/>
                <w:szCs w:val="16"/>
              </w:rPr>
              <w:t>As</w:t>
            </w:r>
          </w:p>
        </w:tc>
      </w:tr>
      <w:tr w:rsidR="00A74CDF" w:rsidRPr="00F01347" w14:paraId="7747939E" w14:textId="77777777">
        <w:trPr>
          <w:trHeight w:val="144"/>
        </w:trPr>
        <w:tc>
          <w:tcPr>
            <w:tcW w:w="1456" w:type="dxa"/>
            <w:tcBorders>
              <w:top w:val="single" w:sz="6" w:space="0" w:color="auto"/>
              <w:left w:val="single" w:sz="6" w:space="0" w:color="auto"/>
              <w:bottom w:val="single" w:sz="6" w:space="0" w:color="auto"/>
              <w:right w:val="single" w:sz="6" w:space="0" w:color="auto"/>
            </w:tcBorders>
          </w:tcPr>
          <w:p w14:paraId="6BAF2507" w14:textId="77777777" w:rsidR="00A74CDF" w:rsidRPr="00F01347" w:rsidRDefault="00A74CDF" w:rsidP="003A601B">
            <w:pPr>
              <w:pStyle w:val="texto0"/>
              <w:spacing w:line="226" w:lineRule="exact"/>
              <w:ind w:firstLine="0"/>
              <w:jc w:val="center"/>
              <w:rPr>
                <w:rFonts w:ascii="Verdana" w:hAnsi="Verdana"/>
                <w:color w:val="000000"/>
                <w:sz w:val="16"/>
                <w:szCs w:val="16"/>
              </w:rPr>
            </w:pPr>
            <w:r w:rsidRPr="00F01347">
              <w:rPr>
                <w:rFonts w:ascii="Verdana" w:hAnsi="Verdana"/>
                <w:color w:val="000000"/>
                <w:sz w:val="16"/>
                <w:szCs w:val="16"/>
              </w:rPr>
              <w:t>IV</w:t>
            </w:r>
          </w:p>
        </w:tc>
        <w:tc>
          <w:tcPr>
            <w:tcW w:w="1980" w:type="dxa"/>
            <w:tcBorders>
              <w:top w:val="single" w:sz="6" w:space="0" w:color="auto"/>
              <w:left w:val="single" w:sz="6" w:space="0" w:color="auto"/>
              <w:bottom w:val="single" w:sz="6" w:space="0" w:color="auto"/>
              <w:right w:val="single" w:sz="6" w:space="0" w:color="auto"/>
            </w:tcBorders>
          </w:tcPr>
          <w:p w14:paraId="392C65BB" w14:textId="77777777" w:rsidR="00A74CDF" w:rsidRPr="00F01347" w:rsidRDefault="00A74CDF" w:rsidP="003A601B">
            <w:pPr>
              <w:pStyle w:val="texto0"/>
              <w:spacing w:line="226" w:lineRule="exact"/>
              <w:ind w:firstLine="0"/>
              <w:jc w:val="center"/>
              <w:rPr>
                <w:rFonts w:ascii="Verdana" w:hAnsi="Verdana"/>
                <w:color w:val="000000"/>
                <w:sz w:val="16"/>
                <w:szCs w:val="16"/>
              </w:rPr>
            </w:pPr>
            <w:r w:rsidRPr="00F01347">
              <w:rPr>
                <w:rFonts w:ascii="Verdana" w:hAnsi="Verdana"/>
                <w:color w:val="000000"/>
                <w:sz w:val="16"/>
                <w:szCs w:val="16"/>
              </w:rPr>
              <w:t>Al, Cr, Ni,</w:t>
            </w:r>
          </w:p>
        </w:tc>
      </w:tr>
      <w:tr w:rsidR="00A74CDF" w:rsidRPr="00F01347" w14:paraId="2C33A72D" w14:textId="77777777">
        <w:trPr>
          <w:trHeight w:val="144"/>
        </w:trPr>
        <w:tc>
          <w:tcPr>
            <w:tcW w:w="1456" w:type="dxa"/>
            <w:tcBorders>
              <w:top w:val="single" w:sz="6" w:space="0" w:color="auto"/>
              <w:left w:val="single" w:sz="6" w:space="0" w:color="auto"/>
              <w:bottom w:val="single" w:sz="6" w:space="0" w:color="auto"/>
              <w:right w:val="single" w:sz="6" w:space="0" w:color="auto"/>
            </w:tcBorders>
          </w:tcPr>
          <w:p w14:paraId="0FF708B1" w14:textId="77777777" w:rsidR="00A74CDF" w:rsidRPr="00F01347" w:rsidRDefault="00A74CDF" w:rsidP="003A601B">
            <w:pPr>
              <w:pStyle w:val="texto0"/>
              <w:spacing w:line="226" w:lineRule="exact"/>
              <w:ind w:firstLine="0"/>
              <w:jc w:val="center"/>
              <w:rPr>
                <w:rFonts w:ascii="Verdana" w:hAnsi="Verdana"/>
                <w:color w:val="000000"/>
                <w:sz w:val="16"/>
                <w:szCs w:val="16"/>
              </w:rPr>
            </w:pPr>
            <w:r w:rsidRPr="00F01347">
              <w:rPr>
                <w:rFonts w:ascii="Verdana" w:hAnsi="Verdana"/>
                <w:color w:val="000000"/>
                <w:sz w:val="16"/>
                <w:szCs w:val="16"/>
              </w:rPr>
              <w:t>V</w:t>
            </w:r>
          </w:p>
        </w:tc>
        <w:tc>
          <w:tcPr>
            <w:tcW w:w="1980" w:type="dxa"/>
            <w:tcBorders>
              <w:top w:val="single" w:sz="6" w:space="0" w:color="auto"/>
              <w:left w:val="single" w:sz="6" w:space="0" w:color="auto"/>
              <w:bottom w:val="single" w:sz="6" w:space="0" w:color="auto"/>
              <w:right w:val="single" w:sz="6" w:space="0" w:color="auto"/>
            </w:tcBorders>
          </w:tcPr>
          <w:p w14:paraId="13151E2F" w14:textId="77777777" w:rsidR="00A74CDF" w:rsidRPr="00F01347" w:rsidRDefault="00A74CDF" w:rsidP="003A601B">
            <w:pPr>
              <w:pStyle w:val="texto0"/>
              <w:spacing w:line="226" w:lineRule="exact"/>
              <w:ind w:firstLine="0"/>
              <w:jc w:val="center"/>
              <w:rPr>
                <w:rFonts w:ascii="Verdana" w:hAnsi="Verdana"/>
                <w:color w:val="000000"/>
                <w:sz w:val="16"/>
                <w:szCs w:val="16"/>
              </w:rPr>
            </w:pPr>
            <w:r w:rsidRPr="00F01347">
              <w:rPr>
                <w:rFonts w:ascii="Verdana" w:hAnsi="Verdana"/>
                <w:color w:val="000000"/>
                <w:sz w:val="16"/>
                <w:szCs w:val="16"/>
              </w:rPr>
              <w:t>Ag, Sb</w:t>
            </w:r>
          </w:p>
        </w:tc>
      </w:tr>
    </w:tbl>
    <w:p w14:paraId="54A1225E" w14:textId="77777777" w:rsidR="00A74CDF" w:rsidRPr="00F01347" w:rsidRDefault="00A74CDF" w:rsidP="003A601B">
      <w:pPr>
        <w:pStyle w:val="texto0"/>
        <w:spacing w:line="226" w:lineRule="exact"/>
        <w:rPr>
          <w:rFonts w:ascii="Verdana" w:hAnsi="Verdana"/>
          <w:sz w:val="16"/>
          <w:szCs w:val="16"/>
        </w:rPr>
      </w:pPr>
    </w:p>
    <w:tbl>
      <w:tblPr>
        <w:tblW w:w="3436" w:type="dxa"/>
        <w:tblInd w:w="2500" w:type="dxa"/>
        <w:tblLayout w:type="fixed"/>
        <w:tblCellMar>
          <w:left w:w="70" w:type="dxa"/>
          <w:right w:w="70" w:type="dxa"/>
        </w:tblCellMar>
        <w:tblLook w:val="0000" w:firstRow="0" w:lastRow="0" w:firstColumn="0" w:lastColumn="0" w:noHBand="0" w:noVBand="0"/>
      </w:tblPr>
      <w:tblGrid>
        <w:gridCol w:w="1456"/>
        <w:gridCol w:w="1980"/>
      </w:tblGrid>
      <w:tr w:rsidR="00F57A79" w:rsidRPr="00F01347" w14:paraId="4DFD177C" w14:textId="77777777" w:rsidTr="00CF3AE1">
        <w:trPr>
          <w:trHeight w:val="144"/>
        </w:trPr>
        <w:tc>
          <w:tcPr>
            <w:tcW w:w="3436" w:type="dxa"/>
            <w:gridSpan w:val="2"/>
            <w:tcBorders>
              <w:bottom w:val="single" w:sz="6" w:space="0" w:color="auto"/>
            </w:tcBorders>
            <w:noWrap/>
          </w:tcPr>
          <w:p w14:paraId="521014DC" w14:textId="77777777" w:rsidR="00F57A79" w:rsidRPr="00F01347" w:rsidRDefault="00F57A79" w:rsidP="00CF3AE1">
            <w:pPr>
              <w:pStyle w:val="texto0"/>
              <w:spacing w:line="226"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 xml:space="preserve">Table B.4.2.-1. </w:t>
            </w:r>
            <w:r w:rsidRPr="00F01347">
              <w:rPr>
                <w:rFonts w:ascii="Verdana" w:hAnsi="Verdana"/>
                <w:color w:val="000000"/>
                <w:sz w:val="16"/>
                <w:szCs w:val="16"/>
                <w:lang w:val="en-US"/>
              </w:rPr>
              <w:t>Mixture of calibration standard solutions</w:t>
            </w:r>
          </w:p>
        </w:tc>
      </w:tr>
      <w:tr w:rsidR="00F57A79" w:rsidRPr="00F01347" w14:paraId="74B33512" w14:textId="77777777" w:rsidTr="00CF3AE1">
        <w:trPr>
          <w:trHeight w:val="144"/>
        </w:trPr>
        <w:tc>
          <w:tcPr>
            <w:tcW w:w="1456" w:type="dxa"/>
            <w:tcBorders>
              <w:top w:val="single" w:sz="6" w:space="0" w:color="auto"/>
              <w:left w:val="single" w:sz="6" w:space="0" w:color="auto"/>
              <w:bottom w:val="single" w:sz="6" w:space="0" w:color="auto"/>
              <w:right w:val="single" w:sz="6" w:space="0" w:color="auto"/>
            </w:tcBorders>
          </w:tcPr>
          <w:p w14:paraId="017AC88B" w14:textId="37BEDD9C" w:rsidR="00F57A79" w:rsidRPr="00F01347" w:rsidRDefault="00AA2281" w:rsidP="00CF3AE1">
            <w:pPr>
              <w:pStyle w:val="texto0"/>
              <w:spacing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S</w:t>
            </w:r>
            <w:r w:rsidR="00F57A79" w:rsidRPr="00F01347">
              <w:rPr>
                <w:rFonts w:ascii="Verdana" w:hAnsi="Verdana"/>
                <w:color w:val="000000"/>
                <w:sz w:val="16"/>
                <w:szCs w:val="16"/>
                <w:lang w:val="en-US"/>
              </w:rPr>
              <w:t>olution</w:t>
            </w:r>
          </w:p>
        </w:tc>
        <w:tc>
          <w:tcPr>
            <w:tcW w:w="1980" w:type="dxa"/>
            <w:tcBorders>
              <w:top w:val="single" w:sz="6" w:space="0" w:color="auto"/>
              <w:left w:val="single" w:sz="6" w:space="0" w:color="auto"/>
              <w:bottom w:val="single" w:sz="6" w:space="0" w:color="auto"/>
              <w:right w:val="single" w:sz="6" w:space="0" w:color="auto"/>
            </w:tcBorders>
          </w:tcPr>
          <w:p w14:paraId="5E6C1D77" w14:textId="10882822" w:rsidR="00F57A79" w:rsidRPr="00F01347" w:rsidRDefault="00AA2281" w:rsidP="00CF3AE1">
            <w:pPr>
              <w:pStyle w:val="texto0"/>
              <w:spacing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Elements</w:t>
            </w:r>
          </w:p>
        </w:tc>
      </w:tr>
      <w:tr w:rsidR="00F57A79" w:rsidRPr="00F01347" w14:paraId="147D04FC" w14:textId="77777777" w:rsidTr="00CF3AE1">
        <w:trPr>
          <w:trHeight w:val="144"/>
        </w:trPr>
        <w:tc>
          <w:tcPr>
            <w:tcW w:w="1456" w:type="dxa"/>
            <w:tcBorders>
              <w:top w:val="single" w:sz="6" w:space="0" w:color="auto"/>
              <w:left w:val="single" w:sz="6" w:space="0" w:color="auto"/>
              <w:bottom w:val="single" w:sz="6" w:space="0" w:color="auto"/>
              <w:right w:val="single" w:sz="6" w:space="0" w:color="auto"/>
            </w:tcBorders>
          </w:tcPr>
          <w:p w14:paraId="1A07ECDA" w14:textId="656184BF" w:rsidR="00F57A79" w:rsidRPr="00F01347" w:rsidRDefault="00AA2281" w:rsidP="00CF3AE1">
            <w:pPr>
              <w:pStyle w:val="texto0"/>
              <w:spacing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I</w:t>
            </w:r>
          </w:p>
        </w:tc>
        <w:tc>
          <w:tcPr>
            <w:tcW w:w="1980" w:type="dxa"/>
            <w:tcBorders>
              <w:top w:val="single" w:sz="6" w:space="0" w:color="auto"/>
              <w:left w:val="single" w:sz="6" w:space="0" w:color="auto"/>
              <w:bottom w:val="single" w:sz="6" w:space="0" w:color="auto"/>
              <w:right w:val="single" w:sz="6" w:space="0" w:color="auto"/>
            </w:tcBorders>
          </w:tcPr>
          <w:p w14:paraId="3D161DAB" w14:textId="77777777" w:rsidR="00F57A79" w:rsidRPr="00F01347" w:rsidRDefault="00F57A79" w:rsidP="00CF3AE1">
            <w:pPr>
              <w:pStyle w:val="texto0"/>
              <w:spacing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Cd, Mn, Pb, Se</w:t>
            </w:r>
          </w:p>
        </w:tc>
      </w:tr>
      <w:tr w:rsidR="00F57A79" w:rsidRPr="00F01347" w14:paraId="38BCEFE1" w14:textId="77777777" w:rsidTr="00CF3AE1">
        <w:trPr>
          <w:trHeight w:val="144"/>
        </w:trPr>
        <w:tc>
          <w:tcPr>
            <w:tcW w:w="1456" w:type="dxa"/>
            <w:tcBorders>
              <w:top w:val="single" w:sz="6" w:space="0" w:color="auto"/>
              <w:left w:val="single" w:sz="6" w:space="0" w:color="auto"/>
              <w:bottom w:val="single" w:sz="6" w:space="0" w:color="auto"/>
              <w:right w:val="single" w:sz="6" w:space="0" w:color="auto"/>
            </w:tcBorders>
          </w:tcPr>
          <w:p w14:paraId="1B35058D" w14:textId="77777777" w:rsidR="00F57A79" w:rsidRPr="00F01347" w:rsidRDefault="00F57A79" w:rsidP="00CF3AE1">
            <w:pPr>
              <w:pStyle w:val="texto0"/>
              <w:spacing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II</w:t>
            </w:r>
          </w:p>
        </w:tc>
        <w:tc>
          <w:tcPr>
            <w:tcW w:w="1980" w:type="dxa"/>
            <w:tcBorders>
              <w:top w:val="single" w:sz="6" w:space="0" w:color="auto"/>
              <w:left w:val="single" w:sz="6" w:space="0" w:color="auto"/>
              <w:bottom w:val="single" w:sz="6" w:space="0" w:color="auto"/>
              <w:right w:val="single" w:sz="6" w:space="0" w:color="auto"/>
            </w:tcBorders>
          </w:tcPr>
          <w:p w14:paraId="5C22A912" w14:textId="77777777" w:rsidR="00F57A79" w:rsidRPr="00F01347" w:rsidRDefault="00F57A79" w:rsidP="00CF3AE1">
            <w:pPr>
              <w:pStyle w:val="texto0"/>
              <w:spacing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Ba, Cu, Fe</w:t>
            </w:r>
          </w:p>
        </w:tc>
      </w:tr>
      <w:tr w:rsidR="00F57A79" w:rsidRPr="00F01347" w14:paraId="4B6E7670" w14:textId="77777777" w:rsidTr="00CF3AE1">
        <w:trPr>
          <w:trHeight w:val="144"/>
        </w:trPr>
        <w:tc>
          <w:tcPr>
            <w:tcW w:w="1456" w:type="dxa"/>
            <w:tcBorders>
              <w:top w:val="single" w:sz="6" w:space="0" w:color="auto"/>
              <w:left w:val="single" w:sz="6" w:space="0" w:color="auto"/>
              <w:bottom w:val="single" w:sz="6" w:space="0" w:color="auto"/>
              <w:right w:val="single" w:sz="6" w:space="0" w:color="auto"/>
            </w:tcBorders>
          </w:tcPr>
          <w:p w14:paraId="434B6A7F" w14:textId="77777777" w:rsidR="00F57A79" w:rsidRPr="00F01347" w:rsidRDefault="00F57A79" w:rsidP="00CF3AE1">
            <w:pPr>
              <w:pStyle w:val="texto0"/>
              <w:spacing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III</w:t>
            </w:r>
          </w:p>
        </w:tc>
        <w:tc>
          <w:tcPr>
            <w:tcW w:w="1980" w:type="dxa"/>
            <w:tcBorders>
              <w:top w:val="single" w:sz="6" w:space="0" w:color="auto"/>
              <w:left w:val="single" w:sz="6" w:space="0" w:color="auto"/>
              <w:bottom w:val="single" w:sz="6" w:space="0" w:color="auto"/>
              <w:right w:val="single" w:sz="6" w:space="0" w:color="auto"/>
            </w:tcBorders>
          </w:tcPr>
          <w:p w14:paraId="3F416939" w14:textId="77777777" w:rsidR="00F57A79" w:rsidRPr="00F01347" w:rsidRDefault="00F57A79" w:rsidP="00CF3AE1">
            <w:pPr>
              <w:pStyle w:val="texto0"/>
              <w:spacing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Ace</w:t>
            </w:r>
          </w:p>
        </w:tc>
      </w:tr>
      <w:tr w:rsidR="00F57A79" w:rsidRPr="00F01347" w14:paraId="502B67A1" w14:textId="77777777" w:rsidTr="00CF3AE1">
        <w:trPr>
          <w:trHeight w:val="144"/>
        </w:trPr>
        <w:tc>
          <w:tcPr>
            <w:tcW w:w="1456" w:type="dxa"/>
            <w:tcBorders>
              <w:top w:val="single" w:sz="6" w:space="0" w:color="auto"/>
              <w:left w:val="single" w:sz="6" w:space="0" w:color="auto"/>
              <w:bottom w:val="single" w:sz="6" w:space="0" w:color="auto"/>
              <w:right w:val="single" w:sz="6" w:space="0" w:color="auto"/>
            </w:tcBorders>
          </w:tcPr>
          <w:p w14:paraId="67C29282" w14:textId="77777777" w:rsidR="00F57A79" w:rsidRPr="00F01347" w:rsidRDefault="00F57A79" w:rsidP="00CF3AE1">
            <w:pPr>
              <w:pStyle w:val="texto0"/>
              <w:spacing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IV</w:t>
            </w:r>
          </w:p>
        </w:tc>
        <w:tc>
          <w:tcPr>
            <w:tcW w:w="1980" w:type="dxa"/>
            <w:tcBorders>
              <w:top w:val="single" w:sz="6" w:space="0" w:color="auto"/>
              <w:left w:val="single" w:sz="6" w:space="0" w:color="auto"/>
              <w:bottom w:val="single" w:sz="6" w:space="0" w:color="auto"/>
              <w:right w:val="single" w:sz="6" w:space="0" w:color="auto"/>
            </w:tcBorders>
          </w:tcPr>
          <w:p w14:paraId="2E7B6DAE" w14:textId="77777777" w:rsidR="00F57A79" w:rsidRPr="00F01347" w:rsidRDefault="00F57A79" w:rsidP="00CF3AE1">
            <w:pPr>
              <w:pStyle w:val="texto0"/>
              <w:spacing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Al, Cr, Ni,</w:t>
            </w:r>
          </w:p>
        </w:tc>
      </w:tr>
      <w:tr w:rsidR="00F57A79" w:rsidRPr="00F01347" w14:paraId="4570CF88" w14:textId="77777777" w:rsidTr="00CF3AE1">
        <w:trPr>
          <w:trHeight w:val="144"/>
        </w:trPr>
        <w:tc>
          <w:tcPr>
            <w:tcW w:w="1456" w:type="dxa"/>
            <w:tcBorders>
              <w:top w:val="single" w:sz="6" w:space="0" w:color="auto"/>
              <w:left w:val="single" w:sz="6" w:space="0" w:color="auto"/>
              <w:bottom w:val="single" w:sz="6" w:space="0" w:color="auto"/>
              <w:right w:val="single" w:sz="6" w:space="0" w:color="auto"/>
            </w:tcBorders>
          </w:tcPr>
          <w:p w14:paraId="2C3366E7" w14:textId="77777777" w:rsidR="00F57A79" w:rsidRPr="00F01347" w:rsidRDefault="00F57A79" w:rsidP="00CF3AE1">
            <w:pPr>
              <w:pStyle w:val="texto0"/>
              <w:spacing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V</w:t>
            </w:r>
          </w:p>
        </w:tc>
        <w:tc>
          <w:tcPr>
            <w:tcW w:w="1980" w:type="dxa"/>
            <w:tcBorders>
              <w:top w:val="single" w:sz="6" w:space="0" w:color="auto"/>
              <w:left w:val="single" w:sz="6" w:space="0" w:color="auto"/>
              <w:bottom w:val="single" w:sz="6" w:space="0" w:color="auto"/>
              <w:right w:val="single" w:sz="6" w:space="0" w:color="auto"/>
            </w:tcBorders>
          </w:tcPr>
          <w:p w14:paraId="4AFF7679" w14:textId="77777777" w:rsidR="00F57A79" w:rsidRPr="00F01347" w:rsidRDefault="00F57A79" w:rsidP="00CF3AE1">
            <w:pPr>
              <w:pStyle w:val="texto0"/>
              <w:spacing w:line="22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Ag, Sb</w:t>
            </w:r>
          </w:p>
        </w:tc>
      </w:tr>
    </w:tbl>
    <w:p w14:paraId="41F1F51A" w14:textId="77777777" w:rsidR="00F57A79" w:rsidRPr="00F01347" w:rsidRDefault="00F57A79" w:rsidP="003A601B">
      <w:pPr>
        <w:pStyle w:val="texto0"/>
        <w:spacing w:line="226"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B6C58" w:rsidRPr="00F01347" w14:paraId="6953D7F9" w14:textId="635734D6" w:rsidTr="00AA2281">
        <w:tc>
          <w:tcPr>
            <w:tcW w:w="4675" w:type="dxa"/>
          </w:tcPr>
          <w:p w14:paraId="7A2E9D42" w14:textId="77777777" w:rsidR="007B6C58" w:rsidRPr="00F01347" w:rsidRDefault="007B6C58" w:rsidP="007B6C58">
            <w:pPr>
              <w:pStyle w:val="texto0"/>
              <w:spacing w:line="226" w:lineRule="exact"/>
              <w:ind w:firstLine="0"/>
              <w:rPr>
                <w:rFonts w:ascii="Verdana" w:hAnsi="Verdana"/>
                <w:sz w:val="16"/>
                <w:szCs w:val="16"/>
              </w:rPr>
            </w:pPr>
            <w:r w:rsidRPr="00F01347">
              <w:rPr>
                <w:rFonts w:ascii="Verdana" w:hAnsi="Verdana"/>
                <w:sz w:val="16"/>
                <w:szCs w:val="16"/>
              </w:rPr>
              <w:t xml:space="preserve">Si al adicionar la plata, se forma inicialmente un precipitado, añadir 15 </w:t>
            </w:r>
            <w:proofErr w:type="spellStart"/>
            <w:r w:rsidRPr="00F01347">
              <w:rPr>
                <w:rFonts w:ascii="Verdana" w:hAnsi="Verdana"/>
                <w:sz w:val="16"/>
                <w:szCs w:val="16"/>
              </w:rPr>
              <w:t>mL</w:t>
            </w:r>
            <w:proofErr w:type="spellEnd"/>
            <w:r w:rsidRPr="00F01347">
              <w:rPr>
                <w:rFonts w:ascii="Verdana" w:hAnsi="Verdana"/>
                <w:sz w:val="16"/>
                <w:szCs w:val="16"/>
              </w:rPr>
              <w:t xml:space="preserve"> de agua y calentar el matraz hasta que la disolución se torne clara, la concentración de plata debe limitarse a 2 mg/L. La plata es estable en estas condiciones en una matriz de agua durante 30 días, si está protegida de la luz. Concentraciones más altas de plata requieren HCl adicional.</w:t>
            </w:r>
          </w:p>
        </w:tc>
        <w:tc>
          <w:tcPr>
            <w:tcW w:w="4675" w:type="dxa"/>
          </w:tcPr>
          <w:p w14:paraId="2392DBF2" w14:textId="5C41BFD9" w:rsidR="007B6C58" w:rsidRPr="00F01347" w:rsidRDefault="007B6C58" w:rsidP="007B6C58">
            <w:pPr>
              <w:pStyle w:val="texto0"/>
              <w:spacing w:line="226" w:lineRule="exact"/>
              <w:ind w:firstLine="0"/>
              <w:rPr>
                <w:rFonts w:ascii="Verdana" w:hAnsi="Verdana"/>
                <w:sz w:val="16"/>
                <w:szCs w:val="16"/>
                <w:lang w:val="en-US"/>
              </w:rPr>
            </w:pPr>
            <w:r w:rsidRPr="00F01347">
              <w:rPr>
                <w:rFonts w:ascii="Verdana" w:hAnsi="Verdana"/>
                <w:sz w:val="16"/>
                <w:szCs w:val="16"/>
                <w:lang w:val="en-US"/>
              </w:rPr>
              <w:t>If a precipitate initially forms when adding silver, add 15 mL of water and heat the flask until the solution becomes clear; the silver concentration should be limited to 2 mg/L. Silver is stable under these conditions in a water matrix for 30 days, if protected from light. Higher concentrations of silver require additional HCl.</w:t>
            </w:r>
          </w:p>
        </w:tc>
      </w:tr>
      <w:tr w:rsidR="007B6C58" w:rsidRPr="00F01347" w14:paraId="724FACEE" w14:textId="6E3662F7" w:rsidTr="00AA2281">
        <w:tc>
          <w:tcPr>
            <w:tcW w:w="4675" w:type="dxa"/>
          </w:tcPr>
          <w:p w14:paraId="509153FB" w14:textId="77777777" w:rsidR="007B6C58" w:rsidRPr="00F01347" w:rsidRDefault="007B6C58" w:rsidP="007B6C58">
            <w:pPr>
              <w:pStyle w:val="texto0"/>
              <w:spacing w:line="226" w:lineRule="exact"/>
              <w:ind w:firstLine="0"/>
              <w:rPr>
                <w:rFonts w:ascii="Verdana" w:hAnsi="Verdana"/>
                <w:sz w:val="16"/>
                <w:szCs w:val="16"/>
              </w:rPr>
            </w:pPr>
            <w:r w:rsidRPr="00F01347">
              <w:rPr>
                <w:rFonts w:ascii="Verdana" w:hAnsi="Verdana"/>
                <w:sz w:val="16"/>
                <w:szCs w:val="16"/>
              </w:rPr>
              <w:lastRenderedPageBreak/>
              <w:t>Para preparar el blanco de calibración debe de acidificarse el agua a la misma concentración que los ácidos utilizados en los estándares de calibración.</w:t>
            </w:r>
          </w:p>
        </w:tc>
        <w:tc>
          <w:tcPr>
            <w:tcW w:w="4675" w:type="dxa"/>
          </w:tcPr>
          <w:p w14:paraId="377F8A3A" w14:textId="6169C351" w:rsidR="007B6C58" w:rsidRPr="00F01347" w:rsidRDefault="007B6C58" w:rsidP="007B6C58">
            <w:pPr>
              <w:pStyle w:val="texto0"/>
              <w:spacing w:line="226" w:lineRule="exact"/>
              <w:ind w:firstLine="0"/>
              <w:rPr>
                <w:rFonts w:ascii="Verdana" w:hAnsi="Verdana"/>
                <w:sz w:val="16"/>
                <w:szCs w:val="16"/>
                <w:lang w:val="en-US"/>
              </w:rPr>
            </w:pPr>
            <w:r w:rsidRPr="00F01347">
              <w:rPr>
                <w:rFonts w:ascii="Verdana" w:hAnsi="Verdana"/>
                <w:sz w:val="16"/>
                <w:szCs w:val="16"/>
                <w:lang w:val="en-US"/>
              </w:rPr>
              <w:t>To prepare the calibration blank, the water must be acidified to the same concentration as the acids used in the calibration standards.</w:t>
            </w:r>
          </w:p>
        </w:tc>
      </w:tr>
      <w:tr w:rsidR="007B6C58" w:rsidRPr="00F01347" w14:paraId="1B385DE7" w14:textId="1BA4A3F1" w:rsidTr="00AA2281">
        <w:tc>
          <w:tcPr>
            <w:tcW w:w="4675" w:type="dxa"/>
          </w:tcPr>
          <w:p w14:paraId="75AA241D" w14:textId="77777777" w:rsidR="007B6C58" w:rsidRPr="00F01347" w:rsidRDefault="007B6C58" w:rsidP="007B6C58">
            <w:pPr>
              <w:pStyle w:val="texto0"/>
              <w:spacing w:line="226" w:lineRule="exact"/>
              <w:ind w:firstLine="0"/>
              <w:rPr>
                <w:rFonts w:ascii="Verdana" w:hAnsi="Verdana"/>
                <w:sz w:val="16"/>
                <w:szCs w:val="16"/>
              </w:rPr>
            </w:pPr>
            <w:r w:rsidRPr="00F01347">
              <w:rPr>
                <w:rFonts w:ascii="Verdana" w:hAnsi="Verdana"/>
                <w:sz w:val="16"/>
                <w:szCs w:val="16"/>
              </w:rPr>
              <w:t xml:space="preserve">Los blancos de reactivos de </w:t>
            </w:r>
            <w:proofErr w:type="gramStart"/>
            <w:r w:rsidRPr="00F01347">
              <w:rPr>
                <w:rFonts w:ascii="Verdana" w:hAnsi="Verdana"/>
                <w:sz w:val="16"/>
                <w:szCs w:val="16"/>
              </w:rPr>
              <w:t>laboratorio,</w:t>
            </w:r>
            <w:proofErr w:type="gramEnd"/>
            <w:r w:rsidRPr="00F01347">
              <w:rPr>
                <w:rFonts w:ascii="Verdana" w:hAnsi="Verdana"/>
                <w:sz w:val="16"/>
                <w:szCs w:val="16"/>
              </w:rPr>
              <w:t xml:space="preserve"> deben contener todos los reactivos en los mismos volúmenes que se utilizan para las muestras y ser expuesto al proceso completo de preparación de las muestras incluyendo la digestión cuando es requerida.</w:t>
            </w:r>
          </w:p>
        </w:tc>
        <w:tc>
          <w:tcPr>
            <w:tcW w:w="4675" w:type="dxa"/>
          </w:tcPr>
          <w:p w14:paraId="163225C7" w14:textId="3176F250" w:rsidR="007B6C58" w:rsidRPr="00F01347" w:rsidRDefault="007B6C58" w:rsidP="007B6C58">
            <w:pPr>
              <w:pStyle w:val="texto0"/>
              <w:spacing w:line="226" w:lineRule="exact"/>
              <w:ind w:firstLine="0"/>
              <w:rPr>
                <w:rFonts w:ascii="Verdana" w:hAnsi="Verdana"/>
                <w:sz w:val="16"/>
                <w:szCs w:val="16"/>
                <w:lang w:val="en-US"/>
              </w:rPr>
            </w:pPr>
            <w:r w:rsidRPr="00F01347">
              <w:rPr>
                <w:rFonts w:ascii="Verdana" w:hAnsi="Verdana"/>
                <w:sz w:val="16"/>
                <w:szCs w:val="16"/>
                <w:lang w:val="en-US"/>
              </w:rPr>
              <w:t>Laboratory reagent blanks must contain all reagents in the same volumes as those used for the samples and be exposed to the complete sample preparation process including digestion when required.</w:t>
            </w:r>
          </w:p>
        </w:tc>
      </w:tr>
      <w:tr w:rsidR="007B6C58" w:rsidRPr="00F01347" w14:paraId="64F96FC9" w14:textId="6A8A3C3C" w:rsidTr="00AA2281">
        <w:tc>
          <w:tcPr>
            <w:tcW w:w="4675" w:type="dxa"/>
          </w:tcPr>
          <w:p w14:paraId="5C773A03" w14:textId="77777777" w:rsidR="007B6C58" w:rsidRPr="00F01347" w:rsidRDefault="007B6C58" w:rsidP="007B6C58">
            <w:pPr>
              <w:pStyle w:val="texto0"/>
              <w:spacing w:line="226" w:lineRule="exact"/>
              <w:ind w:firstLine="0"/>
              <w:rPr>
                <w:rFonts w:ascii="Verdana" w:hAnsi="Verdana"/>
                <w:sz w:val="16"/>
                <w:szCs w:val="16"/>
              </w:rPr>
            </w:pPr>
            <w:r w:rsidRPr="00F01347">
              <w:rPr>
                <w:rFonts w:ascii="Verdana" w:hAnsi="Verdana"/>
                <w:sz w:val="16"/>
                <w:szCs w:val="16"/>
              </w:rPr>
              <w:t>En el caso de la disolución estándar de verificación de la calibración inicial (CVI), preparar con las mismas mezclas de ácidos que los estándares de calibración. El CVI debe provenir de una fuente externa y diferente a los estándares de calibración y a una concentración cercana al punto medio de la curva de calibración. El CVI se requiere para la operación inicial y periódica de la verificación de los estándares de calibración y monitorear el desempeño del instrumento y el proceso analítico.</w:t>
            </w:r>
          </w:p>
        </w:tc>
        <w:tc>
          <w:tcPr>
            <w:tcW w:w="4675" w:type="dxa"/>
          </w:tcPr>
          <w:p w14:paraId="5435AAE7" w14:textId="3B3AB284" w:rsidR="007B6C58" w:rsidRPr="00F01347" w:rsidRDefault="007B6C58" w:rsidP="007B6C58">
            <w:pPr>
              <w:pStyle w:val="texto0"/>
              <w:spacing w:line="226" w:lineRule="exact"/>
              <w:ind w:firstLine="0"/>
              <w:rPr>
                <w:rFonts w:ascii="Verdana" w:hAnsi="Verdana"/>
                <w:sz w:val="16"/>
                <w:szCs w:val="16"/>
                <w:lang w:val="en-US"/>
              </w:rPr>
            </w:pPr>
            <w:r w:rsidRPr="00F01347">
              <w:rPr>
                <w:rFonts w:ascii="Verdana" w:hAnsi="Verdana"/>
                <w:sz w:val="16"/>
                <w:szCs w:val="16"/>
                <w:lang w:val="en-US"/>
              </w:rPr>
              <w:t>In the case of the initial calibration verification (CVI) standard solution, prepare with the same acid mixtures as the calibration standards. The CVI must come from a source external to and different from the calibration standards and at a concentration close to the midpoint of the calibration curve. The CVI is required for the initial and periodic operation of verification of calibration standards and monitoring the performance of the instrument and the analytical process.</w:t>
            </w:r>
          </w:p>
        </w:tc>
      </w:tr>
      <w:tr w:rsidR="007B6C58" w:rsidRPr="00F01347" w14:paraId="1E2ADD25" w14:textId="26542974" w:rsidTr="00AA2281">
        <w:tc>
          <w:tcPr>
            <w:tcW w:w="4675" w:type="dxa"/>
          </w:tcPr>
          <w:p w14:paraId="50426509" w14:textId="77777777" w:rsidR="007B6C58" w:rsidRPr="00F01347" w:rsidRDefault="007B6C58" w:rsidP="007B6C58">
            <w:pPr>
              <w:pStyle w:val="texto0"/>
              <w:spacing w:line="226" w:lineRule="exact"/>
              <w:ind w:firstLine="0"/>
              <w:rPr>
                <w:rFonts w:ascii="Verdana" w:hAnsi="Verdana"/>
                <w:sz w:val="16"/>
                <w:szCs w:val="16"/>
              </w:rPr>
            </w:pPr>
            <w:r w:rsidRPr="00F01347">
              <w:rPr>
                <w:rFonts w:ascii="Verdana" w:hAnsi="Verdana"/>
                <w:sz w:val="16"/>
                <w:szCs w:val="16"/>
              </w:rPr>
              <w:t xml:space="preserve">Para la preparación de la disolución de verificación de calibración continua (CCC), preparar concentraciones conocidas de elementos que proporcionan interferencia que servirán para obtener los factores de corrección de interferencia, particularmente aquellos con interferencias conocidas en concentraciones de 0.5 a 1 mg/L. En ausencia del analito a medir, la </w:t>
            </w:r>
            <w:proofErr w:type="spellStart"/>
            <w:r w:rsidRPr="00F01347">
              <w:rPr>
                <w:rFonts w:ascii="Verdana" w:hAnsi="Verdana"/>
                <w:sz w:val="16"/>
                <w:szCs w:val="16"/>
              </w:rPr>
              <w:t>sobrecorrección</w:t>
            </w:r>
            <w:proofErr w:type="spellEnd"/>
            <w:r w:rsidRPr="00F01347">
              <w:rPr>
                <w:rFonts w:ascii="Verdana" w:hAnsi="Verdana"/>
                <w:sz w:val="16"/>
                <w:szCs w:val="16"/>
              </w:rPr>
              <w:t xml:space="preserve"> puede dar un valor negativo que puede ser reportado como cero. Si el instrumento en particular con la </w:t>
            </w:r>
            <w:proofErr w:type="spellStart"/>
            <w:r w:rsidRPr="00F01347">
              <w:rPr>
                <w:rFonts w:ascii="Verdana" w:hAnsi="Verdana"/>
                <w:sz w:val="16"/>
                <w:szCs w:val="16"/>
              </w:rPr>
              <w:t>sobrecorrección</w:t>
            </w:r>
            <w:proofErr w:type="spellEnd"/>
            <w:r w:rsidRPr="00F01347">
              <w:rPr>
                <w:rFonts w:ascii="Verdana" w:hAnsi="Verdana"/>
                <w:sz w:val="16"/>
                <w:szCs w:val="16"/>
              </w:rPr>
              <w:t xml:space="preserve"> da un valor negativo, no será necesaria la fortificación.</w:t>
            </w:r>
          </w:p>
        </w:tc>
        <w:tc>
          <w:tcPr>
            <w:tcW w:w="4675" w:type="dxa"/>
          </w:tcPr>
          <w:p w14:paraId="05C71692" w14:textId="55DF486B" w:rsidR="007B6C58" w:rsidRPr="00F01347" w:rsidRDefault="007B6C58" w:rsidP="007B6C58">
            <w:pPr>
              <w:pStyle w:val="texto0"/>
              <w:spacing w:line="226" w:lineRule="exact"/>
              <w:ind w:firstLine="0"/>
              <w:rPr>
                <w:rFonts w:ascii="Verdana" w:hAnsi="Verdana"/>
                <w:sz w:val="16"/>
                <w:szCs w:val="16"/>
                <w:lang w:val="en-US"/>
              </w:rPr>
            </w:pPr>
            <w:r w:rsidRPr="00F01347">
              <w:rPr>
                <w:rFonts w:ascii="Verdana" w:hAnsi="Verdana"/>
                <w:sz w:val="16"/>
                <w:szCs w:val="16"/>
                <w:lang w:val="en-US"/>
              </w:rPr>
              <w:t xml:space="preserve">For the preparation of the continuous calibration check (CCC) solution, prepare known concentrations of interfering elements that will serve to obtain the interference correction factors, particularly those with known interferences at concentrations of 0.5 to 1 mg/L. In the absence of the analyte to be measured, overcorrection can give a negative value that can be reported as zero. If the </w:t>
            </w:r>
            <w:proofErr w:type="gramStart"/>
            <w:r w:rsidRPr="00F01347">
              <w:rPr>
                <w:rFonts w:ascii="Verdana" w:hAnsi="Verdana"/>
                <w:sz w:val="16"/>
                <w:szCs w:val="16"/>
                <w:lang w:val="en-US"/>
              </w:rPr>
              <w:t>particular instrument</w:t>
            </w:r>
            <w:proofErr w:type="gramEnd"/>
            <w:r w:rsidRPr="00F01347">
              <w:rPr>
                <w:rFonts w:ascii="Verdana" w:hAnsi="Verdana"/>
                <w:sz w:val="16"/>
                <w:szCs w:val="16"/>
                <w:lang w:val="en-US"/>
              </w:rPr>
              <w:t xml:space="preserve"> with the overcorrection gives a negative value, fortification will not be necessary.</w:t>
            </w:r>
          </w:p>
        </w:tc>
      </w:tr>
      <w:tr w:rsidR="007B6C58" w:rsidRPr="00F01347" w14:paraId="5D39DB06" w14:textId="2D466C52" w:rsidTr="00AA2281">
        <w:tc>
          <w:tcPr>
            <w:tcW w:w="4675" w:type="dxa"/>
          </w:tcPr>
          <w:p w14:paraId="6D7283DE" w14:textId="1B3AC7A4" w:rsidR="007B6C58" w:rsidRPr="00F01347" w:rsidRDefault="007B6C58" w:rsidP="007B6C58">
            <w:pPr>
              <w:pStyle w:val="texto0"/>
              <w:spacing w:line="226" w:lineRule="exact"/>
              <w:ind w:firstLine="0"/>
              <w:rPr>
                <w:rFonts w:ascii="Verdana" w:hAnsi="Verdana"/>
                <w:sz w:val="16"/>
                <w:szCs w:val="16"/>
              </w:rPr>
            </w:pPr>
            <w:r w:rsidRPr="00F01347">
              <w:rPr>
                <w:rFonts w:ascii="Verdana" w:hAnsi="Verdana"/>
                <w:sz w:val="16"/>
                <w:szCs w:val="16"/>
              </w:rPr>
              <w:t xml:space="preserve">Una forma adicional de preparar la curva de calibración puede ser empleando soluciones </w:t>
            </w:r>
            <w:proofErr w:type="spellStart"/>
            <w:r w:rsidRPr="00F01347">
              <w:rPr>
                <w:rFonts w:ascii="Verdana" w:hAnsi="Verdana"/>
                <w:sz w:val="16"/>
                <w:szCs w:val="16"/>
              </w:rPr>
              <w:t>multi-elemento</w:t>
            </w:r>
            <w:proofErr w:type="spellEnd"/>
            <w:r w:rsidRPr="00F01347">
              <w:rPr>
                <w:rFonts w:ascii="Verdana" w:hAnsi="Verdana"/>
                <w:sz w:val="16"/>
                <w:szCs w:val="16"/>
              </w:rPr>
              <w:t xml:space="preserve"> con trazabilidad a NIST comercialmente disponibles, por ejemplo: SM-148-009 “ICP SOLUTION STOCK” SOLUCION A (High </w:t>
            </w:r>
            <w:proofErr w:type="spellStart"/>
            <w:r w:rsidRPr="00F01347">
              <w:rPr>
                <w:rFonts w:ascii="Verdana" w:hAnsi="Verdana"/>
                <w:sz w:val="16"/>
                <w:szCs w:val="16"/>
              </w:rPr>
              <w:t>Purity</w:t>
            </w:r>
            <w:proofErr w:type="spellEnd"/>
            <w:r w:rsidRPr="00F01347">
              <w:rPr>
                <w:rFonts w:ascii="Verdana" w:hAnsi="Verdana"/>
                <w:sz w:val="16"/>
                <w:szCs w:val="16"/>
              </w:rPr>
              <w:t xml:space="preserve"> </w:t>
            </w:r>
            <w:proofErr w:type="spellStart"/>
            <w:r w:rsidRPr="00F01347">
              <w:rPr>
                <w:rFonts w:ascii="Verdana" w:hAnsi="Verdana"/>
                <w:sz w:val="16"/>
                <w:szCs w:val="16"/>
              </w:rPr>
              <w:t>Standards</w:t>
            </w:r>
            <w:proofErr w:type="spellEnd"/>
            <w:r w:rsidRPr="00F01347">
              <w:rPr>
                <w:rFonts w:ascii="Verdana" w:hAnsi="Verdana"/>
                <w:sz w:val="16"/>
                <w:szCs w:val="16"/>
              </w:rPr>
              <w:t>) que contiene Arsénico, Bario, Berilio, Boro, Bismuto, Fierro, Plomo, Litio, Manganeso, Selenio, Estroncio y Talio en una concentración de 1000 µg/mL±0.5% en HNO</w:t>
            </w:r>
            <w:r w:rsidRPr="00F01347">
              <w:rPr>
                <w:rFonts w:ascii="Verdana" w:hAnsi="Verdana"/>
                <w:sz w:val="16"/>
                <w:szCs w:val="16"/>
                <w:vertAlign w:val="subscript"/>
              </w:rPr>
              <w:t>3</w:t>
            </w:r>
            <w:r w:rsidRPr="00F01347">
              <w:rPr>
                <w:rFonts w:ascii="Verdana" w:hAnsi="Verdana"/>
                <w:sz w:val="16"/>
                <w:szCs w:val="16"/>
              </w:rPr>
              <w:t xml:space="preserve"> + </w:t>
            </w:r>
            <w:proofErr w:type="spellStart"/>
            <w:r w:rsidRPr="00F01347">
              <w:rPr>
                <w:rFonts w:ascii="Verdana" w:hAnsi="Verdana"/>
                <w:sz w:val="16"/>
                <w:szCs w:val="16"/>
              </w:rPr>
              <w:t>Tr</w:t>
            </w:r>
            <w:proofErr w:type="spellEnd"/>
            <w:r w:rsidRPr="00F01347">
              <w:rPr>
                <w:rFonts w:ascii="Verdana" w:hAnsi="Verdana"/>
                <w:sz w:val="16"/>
                <w:szCs w:val="16"/>
              </w:rPr>
              <w:t>. HF con una densidad 1.098 g/cm</w:t>
            </w:r>
            <w:r w:rsidRPr="00F01347">
              <w:rPr>
                <w:rFonts w:ascii="Verdana" w:hAnsi="Verdana"/>
                <w:sz w:val="16"/>
                <w:szCs w:val="16"/>
                <w:vertAlign w:val="superscript"/>
              </w:rPr>
              <w:t>3</w:t>
            </w:r>
            <w:r w:rsidRPr="00F01347">
              <w:rPr>
                <w:rFonts w:ascii="Verdana" w:hAnsi="Verdana"/>
                <w:sz w:val="16"/>
                <w:szCs w:val="16"/>
              </w:rPr>
              <w:t xml:space="preserve"> </w:t>
            </w:r>
            <w:proofErr w:type="spellStart"/>
            <w:r w:rsidRPr="00F01347">
              <w:rPr>
                <w:rFonts w:ascii="Verdana" w:hAnsi="Verdana"/>
                <w:sz w:val="16"/>
                <w:szCs w:val="16"/>
              </w:rPr>
              <w:t>ó</w:t>
            </w:r>
            <w:proofErr w:type="spellEnd"/>
            <w:r w:rsidRPr="00F01347">
              <w:rPr>
                <w:rFonts w:ascii="Verdana" w:hAnsi="Verdana"/>
                <w:sz w:val="16"/>
                <w:szCs w:val="16"/>
              </w:rPr>
              <w:t xml:space="preserve"> mezcla analítica SM-148-009 (High-</w:t>
            </w:r>
            <w:proofErr w:type="spellStart"/>
            <w:r w:rsidRPr="00F01347">
              <w:rPr>
                <w:rFonts w:ascii="Verdana" w:hAnsi="Verdana"/>
                <w:sz w:val="16"/>
                <w:szCs w:val="16"/>
              </w:rPr>
              <w:t>Purity</w:t>
            </w:r>
            <w:proofErr w:type="spellEnd"/>
            <w:r w:rsidRPr="00F01347">
              <w:rPr>
                <w:rFonts w:ascii="Verdana" w:hAnsi="Verdana"/>
                <w:sz w:val="16"/>
                <w:szCs w:val="16"/>
              </w:rPr>
              <w:t xml:space="preserve"> </w:t>
            </w:r>
            <w:proofErr w:type="spellStart"/>
            <w:r w:rsidRPr="00F01347">
              <w:rPr>
                <w:rFonts w:ascii="Verdana" w:hAnsi="Verdana"/>
                <w:sz w:val="16"/>
                <w:szCs w:val="16"/>
              </w:rPr>
              <w:t>Standards</w:t>
            </w:r>
            <w:proofErr w:type="spellEnd"/>
            <w:r w:rsidRPr="00F01347">
              <w:rPr>
                <w:rFonts w:ascii="Verdana" w:hAnsi="Verdana"/>
                <w:sz w:val="16"/>
                <w:szCs w:val="16"/>
              </w:rPr>
              <w:t>) que contiene Plata, Cadmio, Cromo, Cobalto, Cubre, Molibdeno, Níquel, Estaño, Silicio, Antimonio, Titanio, Vanadio y Zinc en una concentración de 1000µg/</w:t>
            </w:r>
            <w:proofErr w:type="spellStart"/>
            <w:r w:rsidRPr="00F01347">
              <w:rPr>
                <w:rFonts w:ascii="Verdana" w:hAnsi="Verdana"/>
                <w:sz w:val="16"/>
                <w:szCs w:val="16"/>
              </w:rPr>
              <w:t>mL</w:t>
            </w:r>
            <w:proofErr w:type="spellEnd"/>
            <w:r w:rsidR="00902572" w:rsidRPr="00F01347">
              <w:rPr>
                <w:rFonts w:ascii="Verdana" w:hAnsi="Verdana"/>
                <w:sz w:val="16"/>
                <w:szCs w:val="16"/>
              </w:rPr>
              <w:t xml:space="preserve"> </w:t>
            </w:r>
            <w:r w:rsidRPr="00F01347">
              <w:rPr>
                <w:rFonts w:ascii="Verdana" w:hAnsi="Verdana"/>
                <w:sz w:val="16"/>
                <w:szCs w:val="16"/>
              </w:rPr>
              <w:t>±</w:t>
            </w:r>
            <w:r w:rsidR="00902572" w:rsidRPr="00F01347">
              <w:rPr>
                <w:rFonts w:ascii="Verdana" w:hAnsi="Verdana"/>
                <w:sz w:val="16"/>
                <w:szCs w:val="16"/>
              </w:rPr>
              <w:t xml:space="preserve"> </w:t>
            </w:r>
            <w:r w:rsidRPr="00F01347">
              <w:rPr>
                <w:rFonts w:ascii="Verdana" w:hAnsi="Verdana"/>
                <w:sz w:val="16"/>
                <w:szCs w:val="16"/>
              </w:rPr>
              <w:t>0.5% en HNO3 con una densidad 1.084 g/cm</w:t>
            </w:r>
            <w:r w:rsidRPr="00F01347">
              <w:rPr>
                <w:rFonts w:ascii="Verdana" w:hAnsi="Verdana"/>
                <w:sz w:val="16"/>
                <w:szCs w:val="16"/>
                <w:vertAlign w:val="superscript"/>
              </w:rPr>
              <w:t>3</w:t>
            </w:r>
            <w:r w:rsidRPr="00F01347">
              <w:rPr>
                <w:rFonts w:ascii="Verdana" w:hAnsi="Verdana"/>
                <w:sz w:val="16"/>
                <w:szCs w:val="16"/>
              </w:rPr>
              <w:t>. 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Pr>
          <w:p w14:paraId="01B64854" w14:textId="7DAEE668" w:rsidR="007B6C58" w:rsidRPr="00F01347" w:rsidRDefault="007B6C58" w:rsidP="007B6C58">
            <w:pPr>
              <w:pStyle w:val="texto0"/>
              <w:spacing w:line="226" w:lineRule="exact"/>
              <w:ind w:firstLine="0"/>
              <w:rPr>
                <w:rFonts w:ascii="Verdana" w:hAnsi="Verdana"/>
                <w:sz w:val="16"/>
                <w:szCs w:val="16"/>
                <w:lang w:val="en-US"/>
              </w:rPr>
            </w:pPr>
            <w:r w:rsidRPr="00F01347">
              <w:rPr>
                <w:rFonts w:ascii="Verdana" w:hAnsi="Verdana"/>
                <w:sz w:val="16"/>
                <w:szCs w:val="16"/>
                <w:lang w:val="en-US"/>
              </w:rPr>
              <w:t>An additional way to prepare the calibration curve can be using commercially available NIST-traceable multi-element solutions, for example: SM-148-009 “ICP SOLUTION STOCK” SOLUTION A (High Purity Standards</w:t>
            </w:r>
            <w:r w:rsidR="00913802" w:rsidRPr="00F01347">
              <w:rPr>
                <w:rFonts w:ascii="Verdana" w:hAnsi="Verdana"/>
                <w:sz w:val="16"/>
                <w:szCs w:val="16"/>
                <w:lang w:val="en-US"/>
              </w:rPr>
              <w:t>)</w:t>
            </w:r>
            <w:r w:rsidRPr="00F01347">
              <w:rPr>
                <w:rFonts w:ascii="Verdana" w:hAnsi="Verdana"/>
                <w:sz w:val="16"/>
                <w:szCs w:val="16"/>
                <w:lang w:val="en-US"/>
              </w:rPr>
              <w:t xml:space="preserve"> containing Arsenic, Barium, Beryllium, Boron, Bismuth, Iron, Lead, Lithium, Manganese, Selenium, Strontium and Thallium in a concentration of 1000 µg/mL±0.5% in HNO</w:t>
            </w:r>
            <w:r w:rsidRPr="00F01347">
              <w:rPr>
                <w:rFonts w:ascii="Verdana" w:hAnsi="Verdana"/>
                <w:sz w:val="16"/>
                <w:szCs w:val="16"/>
                <w:vertAlign w:val="subscript"/>
                <w:lang w:val="en-US"/>
              </w:rPr>
              <w:t xml:space="preserve">3 </w:t>
            </w:r>
            <w:r w:rsidRPr="00F01347">
              <w:rPr>
                <w:rFonts w:ascii="Verdana" w:hAnsi="Verdana"/>
                <w:sz w:val="16"/>
                <w:szCs w:val="16"/>
                <w:lang w:val="en-US"/>
              </w:rPr>
              <w:t>+ Tr</w:t>
            </w:r>
            <w:r w:rsidR="003E1BA9" w:rsidRPr="00F01347">
              <w:rPr>
                <w:rFonts w:ascii="Verdana" w:hAnsi="Verdana"/>
                <w:sz w:val="16"/>
                <w:szCs w:val="16"/>
                <w:lang w:val="en-US"/>
              </w:rPr>
              <w:t>.</w:t>
            </w:r>
            <w:r w:rsidRPr="00F01347">
              <w:rPr>
                <w:rFonts w:ascii="Verdana" w:hAnsi="Verdana"/>
                <w:sz w:val="16"/>
                <w:szCs w:val="16"/>
                <w:lang w:val="en-US"/>
              </w:rPr>
              <w:t xml:space="preserve"> HF with a density of 1.098 g/cm</w:t>
            </w:r>
            <w:r w:rsidRPr="00F01347">
              <w:rPr>
                <w:rFonts w:ascii="Verdana" w:hAnsi="Verdana"/>
                <w:sz w:val="16"/>
                <w:szCs w:val="16"/>
                <w:vertAlign w:val="superscript"/>
                <w:lang w:val="en-US"/>
              </w:rPr>
              <w:t>3</w:t>
            </w:r>
            <w:r w:rsidRPr="00F01347">
              <w:rPr>
                <w:rFonts w:ascii="Verdana" w:hAnsi="Verdana"/>
                <w:sz w:val="16"/>
                <w:szCs w:val="16"/>
                <w:lang w:val="en-US"/>
              </w:rPr>
              <w:t xml:space="preserve"> or analytical mixture SM-148-009 (High- Purity Standards</w:t>
            </w:r>
            <w:r w:rsidR="00913802" w:rsidRPr="00F01347">
              <w:rPr>
                <w:rFonts w:ascii="Verdana" w:hAnsi="Verdana"/>
                <w:sz w:val="16"/>
                <w:szCs w:val="16"/>
                <w:lang w:val="en-US"/>
              </w:rPr>
              <w:t>)</w:t>
            </w:r>
            <w:r w:rsidRPr="00F01347">
              <w:rPr>
                <w:rFonts w:ascii="Verdana" w:hAnsi="Verdana"/>
                <w:sz w:val="16"/>
                <w:szCs w:val="16"/>
                <w:lang w:val="en-US"/>
              </w:rPr>
              <w:t xml:space="preserve"> containing Silver, Cadmium, Chromium, Cobalt, Cover, Molybdenum, Nickel, Tin, Silicon, Antimony, Titanium, Vanadium and Zinc in a concentration of 1000µg/mL</w:t>
            </w:r>
            <w:r w:rsidR="00902572" w:rsidRPr="00F01347">
              <w:rPr>
                <w:rFonts w:ascii="Verdana" w:hAnsi="Verdana"/>
                <w:sz w:val="16"/>
                <w:szCs w:val="16"/>
                <w:lang w:val="en-US"/>
              </w:rPr>
              <w:t xml:space="preserve"> </w:t>
            </w:r>
            <w:r w:rsidRPr="00F01347">
              <w:rPr>
                <w:rFonts w:ascii="Verdana" w:hAnsi="Verdana"/>
                <w:sz w:val="16"/>
                <w:szCs w:val="16"/>
                <w:lang w:val="en-US"/>
              </w:rPr>
              <w:t>±</w:t>
            </w:r>
            <w:r w:rsidR="00902572" w:rsidRPr="00F01347">
              <w:rPr>
                <w:rFonts w:ascii="Verdana" w:hAnsi="Verdana"/>
                <w:sz w:val="16"/>
                <w:szCs w:val="16"/>
                <w:lang w:val="en-US"/>
              </w:rPr>
              <w:t xml:space="preserve"> </w:t>
            </w:r>
            <w:r w:rsidRPr="00F01347">
              <w:rPr>
                <w:rFonts w:ascii="Verdana" w:hAnsi="Verdana"/>
                <w:sz w:val="16"/>
                <w:szCs w:val="16"/>
                <w:lang w:val="en-US"/>
              </w:rPr>
              <w:t xml:space="preserve">0.5% in HNO3 with a density of 1.084 g/cm </w:t>
            </w:r>
            <w:r w:rsidRPr="00F01347">
              <w:rPr>
                <w:rFonts w:ascii="Verdana" w:hAnsi="Verdana"/>
                <w:sz w:val="16"/>
                <w:szCs w:val="16"/>
                <w:vertAlign w:val="superscript"/>
                <w:lang w:val="en-US"/>
              </w:rPr>
              <w:t>3</w:t>
            </w:r>
            <w:r w:rsidR="003E1BA9" w:rsidRPr="00F01347">
              <w:rPr>
                <w:rFonts w:ascii="Verdana" w:hAnsi="Verdana"/>
                <w:sz w:val="16"/>
                <w:szCs w:val="16"/>
                <w:vertAlign w:val="superscript"/>
                <w:lang w:val="en-US"/>
              </w:rPr>
              <w:t>.</w:t>
            </w:r>
            <w:r w:rsidRPr="00F01347">
              <w:rPr>
                <w:rFonts w:ascii="Verdana" w:hAnsi="Verdana"/>
                <w:sz w:val="16"/>
                <w:szCs w:val="16"/>
                <w:lang w:val="en-US"/>
              </w:rPr>
              <w:t xml:space="preserve"> 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7B6C58" w:rsidRPr="00F01347" w14:paraId="4C31903D" w14:textId="357089B0" w:rsidTr="00AA2281">
        <w:tc>
          <w:tcPr>
            <w:tcW w:w="4675" w:type="dxa"/>
          </w:tcPr>
          <w:p w14:paraId="0F946D4B" w14:textId="77777777" w:rsidR="007B6C58" w:rsidRPr="00F01347" w:rsidRDefault="007B6C58" w:rsidP="007B6C58">
            <w:pPr>
              <w:pStyle w:val="texto0"/>
              <w:ind w:firstLine="0"/>
              <w:rPr>
                <w:rFonts w:ascii="Verdana" w:hAnsi="Verdana"/>
                <w:sz w:val="16"/>
                <w:szCs w:val="16"/>
              </w:rPr>
            </w:pPr>
            <w:r w:rsidRPr="00F01347">
              <w:rPr>
                <w:rFonts w:ascii="Verdana" w:hAnsi="Verdana"/>
                <w:sz w:val="16"/>
                <w:szCs w:val="16"/>
              </w:rPr>
              <w:t>Es recomendable preparar la curva de calibración de forma gravimétrica considerando las densidades correspondientes de la solución concentrada o stock para realizar el cálculo correspondiente de la concentración.</w:t>
            </w:r>
          </w:p>
        </w:tc>
        <w:tc>
          <w:tcPr>
            <w:tcW w:w="4675" w:type="dxa"/>
          </w:tcPr>
          <w:p w14:paraId="395EFCAE" w14:textId="3E30512E" w:rsidR="007B6C58" w:rsidRPr="00F01347" w:rsidRDefault="007B6C58" w:rsidP="007B6C58">
            <w:pPr>
              <w:pStyle w:val="texto0"/>
              <w:ind w:firstLine="0"/>
              <w:rPr>
                <w:rFonts w:ascii="Verdana" w:hAnsi="Verdana"/>
                <w:sz w:val="16"/>
                <w:szCs w:val="16"/>
                <w:lang w:val="en-US"/>
              </w:rPr>
            </w:pPr>
            <w:r w:rsidRPr="00F01347">
              <w:rPr>
                <w:rFonts w:ascii="Verdana" w:hAnsi="Verdana"/>
                <w:sz w:val="16"/>
                <w:szCs w:val="16"/>
                <w:lang w:val="en-US"/>
              </w:rPr>
              <w:t>It is advisable to prepare the calibration curve gravimetrically considering the corresponding densities of the concentrated solution or stock to perform the corresponding concentration calculation.</w:t>
            </w:r>
          </w:p>
        </w:tc>
      </w:tr>
      <w:tr w:rsidR="007B6C58" w:rsidRPr="00F01347" w14:paraId="135C409E" w14:textId="21BFE7D0" w:rsidTr="00AA2281">
        <w:tc>
          <w:tcPr>
            <w:tcW w:w="4675" w:type="dxa"/>
          </w:tcPr>
          <w:p w14:paraId="247764A1" w14:textId="77777777" w:rsidR="007B6C58" w:rsidRPr="00F01347" w:rsidRDefault="007B6C58" w:rsidP="007B6C58">
            <w:pPr>
              <w:pStyle w:val="texto0"/>
              <w:ind w:firstLine="0"/>
              <w:rPr>
                <w:rFonts w:ascii="Verdana" w:hAnsi="Verdana"/>
                <w:sz w:val="16"/>
                <w:szCs w:val="16"/>
              </w:rPr>
            </w:pPr>
            <w:r w:rsidRPr="00F01347">
              <w:rPr>
                <w:rFonts w:ascii="Verdana" w:hAnsi="Verdana"/>
                <w:sz w:val="16"/>
                <w:szCs w:val="16"/>
              </w:rPr>
              <w:lastRenderedPageBreak/>
              <w:t>Para determinar la concentración de las soluciones estándar si se preparan de forma gravimétrica debe utilizarse la ecuación siguiente:</w:t>
            </w:r>
          </w:p>
        </w:tc>
        <w:tc>
          <w:tcPr>
            <w:tcW w:w="4675" w:type="dxa"/>
          </w:tcPr>
          <w:p w14:paraId="5A2CD1D4" w14:textId="5EA73570" w:rsidR="007B6C58" w:rsidRPr="00F01347" w:rsidRDefault="007B6C58" w:rsidP="007B6C58">
            <w:pPr>
              <w:pStyle w:val="texto0"/>
              <w:ind w:firstLine="0"/>
              <w:rPr>
                <w:rFonts w:ascii="Verdana" w:hAnsi="Verdana"/>
                <w:sz w:val="16"/>
                <w:szCs w:val="16"/>
                <w:lang w:val="en-US"/>
              </w:rPr>
            </w:pPr>
            <w:r w:rsidRPr="00F01347">
              <w:rPr>
                <w:rFonts w:ascii="Verdana" w:hAnsi="Verdana"/>
                <w:sz w:val="16"/>
                <w:szCs w:val="16"/>
                <w:lang w:val="en-US"/>
              </w:rPr>
              <w:t>To determine the concentration of standard solutions if they are prepared gravimetrically, the following equation should be used:</w:t>
            </w:r>
          </w:p>
        </w:tc>
      </w:tr>
    </w:tbl>
    <w:p w14:paraId="6461A240" w14:textId="63F9D294" w:rsidR="00A74CDF" w:rsidRPr="00F01347" w:rsidRDefault="00471638" w:rsidP="006D6F6D">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488AD6DA" wp14:editId="20BBE982">
            <wp:extent cx="1104900" cy="390525"/>
            <wp:effectExtent l="0" t="0" r="0" b="0"/>
            <wp:docPr id="36"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04900" cy="3905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06846" w:rsidRPr="00F01347" w14:paraId="52B0C226" w14:textId="268A0F6C" w:rsidTr="006D6F6D">
        <w:tc>
          <w:tcPr>
            <w:tcW w:w="4675" w:type="dxa"/>
          </w:tcPr>
          <w:p w14:paraId="63C9E05A" w14:textId="77777777" w:rsidR="00706846" w:rsidRPr="00F01347" w:rsidRDefault="00706846" w:rsidP="00706846">
            <w:pPr>
              <w:pStyle w:val="texto0"/>
              <w:spacing w:line="234" w:lineRule="exact"/>
              <w:ind w:firstLine="0"/>
              <w:rPr>
                <w:rFonts w:ascii="Verdana" w:hAnsi="Verdana"/>
                <w:b/>
                <w:bCs/>
                <w:sz w:val="16"/>
                <w:szCs w:val="16"/>
              </w:rPr>
            </w:pPr>
            <w:r w:rsidRPr="00F01347">
              <w:rPr>
                <w:rFonts w:ascii="Verdana" w:hAnsi="Verdana"/>
                <w:b/>
                <w:bCs/>
                <w:sz w:val="16"/>
                <w:szCs w:val="16"/>
              </w:rPr>
              <w:t>En donde:</w:t>
            </w:r>
          </w:p>
        </w:tc>
        <w:tc>
          <w:tcPr>
            <w:tcW w:w="4675" w:type="dxa"/>
          </w:tcPr>
          <w:p w14:paraId="197E72C9" w14:textId="04C4A30C" w:rsidR="00706846" w:rsidRPr="00F01347" w:rsidRDefault="00706846" w:rsidP="00706846">
            <w:pPr>
              <w:pStyle w:val="texto0"/>
              <w:spacing w:line="234" w:lineRule="exact"/>
              <w:ind w:firstLine="0"/>
              <w:rPr>
                <w:rFonts w:ascii="Verdana" w:hAnsi="Verdana"/>
                <w:b/>
                <w:bCs/>
                <w:sz w:val="16"/>
                <w:szCs w:val="16"/>
                <w:lang w:val="en-US"/>
              </w:rPr>
            </w:pPr>
            <w:r w:rsidRPr="00F01347">
              <w:rPr>
                <w:rFonts w:ascii="Verdana" w:hAnsi="Verdana"/>
                <w:b/>
                <w:bCs/>
                <w:sz w:val="16"/>
                <w:szCs w:val="16"/>
                <w:lang w:val="en-US"/>
              </w:rPr>
              <w:t>Where:</w:t>
            </w:r>
          </w:p>
        </w:tc>
      </w:tr>
      <w:tr w:rsidR="00706846" w:rsidRPr="00F01347" w14:paraId="5B30207E" w14:textId="3546A6D4" w:rsidTr="006D6F6D">
        <w:tc>
          <w:tcPr>
            <w:tcW w:w="4675" w:type="dxa"/>
          </w:tcPr>
          <w:p w14:paraId="62150365"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C2</w:t>
            </w:r>
            <w:r w:rsidRPr="00F01347">
              <w:rPr>
                <w:rFonts w:ascii="Verdana" w:hAnsi="Verdana"/>
                <w:sz w:val="16"/>
                <w:szCs w:val="16"/>
              </w:rPr>
              <w:tab/>
              <w:t>concentración final mg/L</w:t>
            </w:r>
          </w:p>
        </w:tc>
        <w:tc>
          <w:tcPr>
            <w:tcW w:w="4675" w:type="dxa"/>
          </w:tcPr>
          <w:p w14:paraId="727AED74" w14:textId="06AFB6FD"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C2 </w:t>
            </w:r>
            <w:r w:rsidRPr="00F01347">
              <w:rPr>
                <w:rFonts w:ascii="Verdana" w:hAnsi="Verdana"/>
                <w:sz w:val="16"/>
                <w:szCs w:val="16"/>
                <w:lang w:val="en-US"/>
              </w:rPr>
              <w:tab/>
              <w:t>final concentration mg/L</w:t>
            </w:r>
          </w:p>
        </w:tc>
      </w:tr>
      <w:tr w:rsidR="00706846" w:rsidRPr="00F01347" w14:paraId="2D0CD9BE" w14:textId="32883551" w:rsidTr="006D6F6D">
        <w:tc>
          <w:tcPr>
            <w:tcW w:w="4675" w:type="dxa"/>
          </w:tcPr>
          <w:p w14:paraId="605B63B4"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C1</w:t>
            </w:r>
            <w:r w:rsidRPr="00F01347">
              <w:rPr>
                <w:rFonts w:ascii="Verdana" w:hAnsi="Verdana"/>
                <w:sz w:val="16"/>
                <w:szCs w:val="16"/>
              </w:rPr>
              <w:tab/>
              <w:t>concentración inicial mg/L</w:t>
            </w:r>
          </w:p>
        </w:tc>
        <w:tc>
          <w:tcPr>
            <w:tcW w:w="4675" w:type="dxa"/>
          </w:tcPr>
          <w:p w14:paraId="2E723919" w14:textId="1E0BC128"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C1 </w:t>
            </w:r>
            <w:r w:rsidRPr="00F01347">
              <w:rPr>
                <w:rFonts w:ascii="Verdana" w:hAnsi="Verdana"/>
                <w:sz w:val="16"/>
                <w:szCs w:val="16"/>
                <w:lang w:val="en-US"/>
              </w:rPr>
              <w:tab/>
              <w:t>initial concentration mg/L</w:t>
            </w:r>
          </w:p>
        </w:tc>
      </w:tr>
      <w:tr w:rsidR="00706846" w:rsidRPr="00F01347" w14:paraId="5A218390" w14:textId="1D87F4F1" w:rsidTr="006D6F6D">
        <w:tc>
          <w:tcPr>
            <w:tcW w:w="4675" w:type="dxa"/>
          </w:tcPr>
          <w:p w14:paraId="610A1055"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P1</w:t>
            </w:r>
            <w:r w:rsidRPr="00F01347">
              <w:rPr>
                <w:rFonts w:ascii="Verdana" w:hAnsi="Verdana"/>
                <w:sz w:val="16"/>
                <w:szCs w:val="16"/>
              </w:rPr>
              <w:tab/>
              <w:t>masa del patrón de referencia a diluir en gramos</w:t>
            </w:r>
          </w:p>
        </w:tc>
        <w:tc>
          <w:tcPr>
            <w:tcW w:w="4675" w:type="dxa"/>
          </w:tcPr>
          <w:p w14:paraId="03CC73C2" w14:textId="43FDECAE"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P1 </w:t>
            </w:r>
            <w:r w:rsidRPr="00F01347">
              <w:rPr>
                <w:rFonts w:ascii="Verdana" w:hAnsi="Verdana"/>
                <w:sz w:val="16"/>
                <w:szCs w:val="16"/>
                <w:lang w:val="en-US"/>
              </w:rPr>
              <w:tab/>
              <w:t>mass of the reference standard to be diluted in grams</w:t>
            </w:r>
          </w:p>
        </w:tc>
      </w:tr>
      <w:tr w:rsidR="00706846" w:rsidRPr="00F01347" w14:paraId="56114B3F" w14:textId="354CA94A" w:rsidTr="006D6F6D">
        <w:tc>
          <w:tcPr>
            <w:tcW w:w="4675" w:type="dxa"/>
          </w:tcPr>
          <w:p w14:paraId="52C120B9"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d2</w:t>
            </w:r>
            <w:r w:rsidRPr="00F01347">
              <w:rPr>
                <w:rFonts w:ascii="Verdana" w:hAnsi="Verdana"/>
                <w:sz w:val="16"/>
                <w:szCs w:val="16"/>
              </w:rPr>
              <w:tab/>
              <w:t>densidad del disolvente, HNO</w:t>
            </w:r>
            <w:r w:rsidRPr="00F01347">
              <w:rPr>
                <w:rFonts w:ascii="Verdana" w:hAnsi="Verdana"/>
                <w:sz w:val="16"/>
                <w:szCs w:val="16"/>
                <w:vertAlign w:val="subscript"/>
              </w:rPr>
              <w:t>3</w:t>
            </w:r>
            <w:r w:rsidRPr="00F01347">
              <w:rPr>
                <w:rFonts w:ascii="Verdana" w:hAnsi="Verdana"/>
                <w:sz w:val="16"/>
                <w:szCs w:val="16"/>
              </w:rPr>
              <w:t xml:space="preserve"> al 5% (V/V)</w:t>
            </w:r>
          </w:p>
        </w:tc>
        <w:tc>
          <w:tcPr>
            <w:tcW w:w="4675" w:type="dxa"/>
          </w:tcPr>
          <w:p w14:paraId="59075D23" w14:textId="14C03A6E"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d2 </w:t>
            </w:r>
            <w:r w:rsidRPr="00F01347">
              <w:rPr>
                <w:rFonts w:ascii="Verdana" w:hAnsi="Verdana"/>
                <w:sz w:val="16"/>
                <w:szCs w:val="16"/>
                <w:lang w:val="en-US"/>
              </w:rPr>
              <w:tab/>
              <w:t>solvent density, 5% HNO</w:t>
            </w:r>
            <w:r w:rsidRPr="00F01347">
              <w:rPr>
                <w:rFonts w:ascii="Verdana" w:hAnsi="Verdana"/>
                <w:sz w:val="16"/>
                <w:szCs w:val="16"/>
                <w:vertAlign w:val="subscript"/>
                <w:lang w:val="en-US"/>
              </w:rPr>
              <w:t xml:space="preserve">3 </w:t>
            </w:r>
            <w:r w:rsidRPr="00F01347">
              <w:rPr>
                <w:rFonts w:ascii="Verdana" w:hAnsi="Verdana"/>
                <w:sz w:val="16"/>
                <w:szCs w:val="16"/>
                <w:lang w:val="en-US"/>
              </w:rPr>
              <w:t>(V/V)</w:t>
            </w:r>
          </w:p>
        </w:tc>
      </w:tr>
      <w:tr w:rsidR="00706846" w:rsidRPr="00F01347" w14:paraId="10D117FC" w14:textId="68487449" w:rsidTr="006D6F6D">
        <w:tc>
          <w:tcPr>
            <w:tcW w:w="4675" w:type="dxa"/>
          </w:tcPr>
          <w:p w14:paraId="70809B42"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P2</w:t>
            </w:r>
            <w:r w:rsidRPr="00F01347">
              <w:rPr>
                <w:rFonts w:ascii="Verdana" w:hAnsi="Verdana"/>
                <w:sz w:val="16"/>
                <w:szCs w:val="16"/>
              </w:rPr>
              <w:tab/>
              <w:t>masa final de la disolución, aforo en gramos</w:t>
            </w:r>
          </w:p>
        </w:tc>
        <w:tc>
          <w:tcPr>
            <w:tcW w:w="4675" w:type="dxa"/>
          </w:tcPr>
          <w:p w14:paraId="3EA20344" w14:textId="2B5A5C26"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P2 </w:t>
            </w:r>
            <w:r w:rsidRPr="00F01347">
              <w:rPr>
                <w:rFonts w:ascii="Verdana" w:hAnsi="Verdana"/>
                <w:sz w:val="16"/>
                <w:szCs w:val="16"/>
                <w:lang w:val="en-US"/>
              </w:rPr>
              <w:tab/>
              <w:t>final mass of the solution, volume in grams</w:t>
            </w:r>
          </w:p>
        </w:tc>
      </w:tr>
      <w:tr w:rsidR="00706846" w:rsidRPr="00F01347" w14:paraId="34588BAE" w14:textId="6F8E2BF7" w:rsidTr="006D6F6D">
        <w:tc>
          <w:tcPr>
            <w:tcW w:w="4675" w:type="dxa"/>
          </w:tcPr>
          <w:p w14:paraId="4091CC54"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d1</w:t>
            </w:r>
            <w:r w:rsidRPr="00F01347">
              <w:rPr>
                <w:rFonts w:ascii="Verdana" w:hAnsi="Verdana"/>
                <w:sz w:val="16"/>
                <w:szCs w:val="16"/>
              </w:rPr>
              <w:tab/>
              <w:t>densidad del soluto, material de referencia</w:t>
            </w:r>
          </w:p>
        </w:tc>
        <w:tc>
          <w:tcPr>
            <w:tcW w:w="4675" w:type="dxa"/>
          </w:tcPr>
          <w:p w14:paraId="3C39A3C2" w14:textId="448DE702"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d1 </w:t>
            </w:r>
            <w:r w:rsidRPr="00F01347">
              <w:rPr>
                <w:rFonts w:ascii="Verdana" w:hAnsi="Verdana"/>
                <w:sz w:val="16"/>
                <w:szCs w:val="16"/>
                <w:lang w:val="en-US"/>
              </w:rPr>
              <w:tab/>
              <w:t>solute density, reference material</w:t>
            </w:r>
          </w:p>
        </w:tc>
      </w:tr>
      <w:tr w:rsidR="00706846" w:rsidRPr="00F01347" w14:paraId="6D65364E" w14:textId="0A696849" w:rsidTr="006D6F6D">
        <w:tc>
          <w:tcPr>
            <w:tcW w:w="4675" w:type="dxa"/>
          </w:tcPr>
          <w:p w14:paraId="43F371E5" w14:textId="77777777" w:rsidR="00706846" w:rsidRPr="00F01347" w:rsidRDefault="00706846" w:rsidP="00706846">
            <w:pPr>
              <w:pStyle w:val="texto0"/>
              <w:spacing w:line="234" w:lineRule="exact"/>
              <w:ind w:firstLine="0"/>
              <w:rPr>
                <w:rFonts w:ascii="Verdana" w:hAnsi="Verdana"/>
                <w:b/>
                <w:sz w:val="16"/>
                <w:szCs w:val="16"/>
              </w:rPr>
            </w:pPr>
            <w:r w:rsidRPr="00F01347">
              <w:rPr>
                <w:rFonts w:ascii="Verdana" w:hAnsi="Verdana"/>
                <w:b/>
                <w:sz w:val="16"/>
                <w:szCs w:val="16"/>
              </w:rPr>
              <w:t>B.4.2.7.1.2 Optimización del instrumento</w:t>
            </w:r>
          </w:p>
        </w:tc>
        <w:tc>
          <w:tcPr>
            <w:tcW w:w="4675" w:type="dxa"/>
          </w:tcPr>
          <w:p w14:paraId="08D25E49" w14:textId="12E42354" w:rsidR="00706846" w:rsidRPr="00F01347" w:rsidRDefault="00706846" w:rsidP="00706846">
            <w:pPr>
              <w:pStyle w:val="texto0"/>
              <w:spacing w:line="234" w:lineRule="exact"/>
              <w:ind w:firstLine="0"/>
              <w:rPr>
                <w:rFonts w:ascii="Verdana" w:hAnsi="Verdana"/>
                <w:b/>
                <w:sz w:val="16"/>
                <w:szCs w:val="16"/>
                <w:lang w:val="en-US"/>
              </w:rPr>
            </w:pPr>
            <w:r w:rsidRPr="00F01347">
              <w:rPr>
                <w:rFonts w:ascii="Verdana" w:hAnsi="Verdana"/>
                <w:b/>
                <w:sz w:val="16"/>
                <w:szCs w:val="16"/>
                <w:lang w:val="en-US"/>
              </w:rPr>
              <w:t>B.4.2.7.1.2 Instrument optimization</w:t>
            </w:r>
          </w:p>
        </w:tc>
      </w:tr>
      <w:tr w:rsidR="00706846" w:rsidRPr="00F01347" w14:paraId="024FEFC0" w14:textId="02483A7A" w:rsidTr="006D6F6D">
        <w:tc>
          <w:tcPr>
            <w:tcW w:w="4675" w:type="dxa"/>
          </w:tcPr>
          <w:p w14:paraId="5EE13F8D"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 xml:space="preserve">Cargar el instrumento con los parámetros de funcionamiento adecuados establecidos como se detalla a continuación. Permitir que el instrumento se estabilice térmicamente antes de comenzar con la calibración (generalmente un mínimo de 30 minutos de funcionamiento). Operar el equipo </w:t>
            </w:r>
            <w:proofErr w:type="gramStart"/>
            <w:r w:rsidRPr="00F01347">
              <w:rPr>
                <w:rFonts w:ascii="Verdana" w:hAnsi="Verdana"/>
                <w:sz w:val="16"/>
                <w:szCs w:val="16"/>
              </w:rPr>
              <w:t>de acuerdo a</w:t>
            </w:r>
            <w:proofErr w:type="gramEnd"/>
            <w:r w:rsidRPr="00F01347">
              <w:rPr>
                <w:rFonts w:ascii="Verdana" w:hAnsi="Verdana"/>
                <w:sz w:val="16"/>
                <w:szCs w:val="16"/>
              </w:rPr>
              <w:t xml:space="preserve"> las instrucciones proporcionadas por el fabricante.</w:t>
            </w:r>
          </w:p>
        </w:tc>
        <w:tc>
          <w:tcPr>
            <w:tcW w:w="4675" w:type="dxa"/>
          </w:tcPr>
          <w:p w14:paraId="27F81E5B" w14:textId="552BFAB2"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Load the instrument with the proper operating parameters set as detailed below. Allow the instrument to thermally stabilize before beginning calibration (generally a minimum of 30 minutes of operation). Operate the equipment according to the instructions provided by the manufacturer.</w:t>
            </w:r>
          </w:p>
        </w:tc>
      </w:tr>
      <w:tr w:rsidR="00706846" w:rsidRPr="00F01347" w14:paraId="445555A3" w14:textId="344495C5" w:rsidTr="006D6F6D">
        <w:tc>
          <w:tcPr>
            <w:tcW w:w="4675" w:type="dxa"/>
          </w:tcPr>
          <w:p w14:paraId="4FAD3EF6"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La sensibilidad y los intervalos de trabajo para cada elemento variarán con la longitud de onda, espectrómetro, matriz y condiciones de operación. Consulte las instrucciones del fabricante para las longitudes de onda analíticas recomendadas y los límites de detección del instrumental (LDI).</w:t>
            </w:r>
          </w:p>
        </w:tc>
        <w:tc>
          <w:tcPr>
            <w:tcW w:w="4675" w:type="dxa"/>
          </w:tcPr>
          <w:p w14:paraId="46326F19" w14:textId="7246BFF6"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The sensitivity and working ranges for each element will vary with wavelength, spectrometer, array, and operating conditions. Consult the manufacturer's instructions for recommended analytical wavelengths and instrument detection limits (L</w:t>
            </w:r>
            <w:r w:rsidR="00BC7170">
              <w:rPr>
                <w:rFonts w:ascii="Verdana" w:hAnsi="Verdana"/>
                <w:sz w:val="16"/>
                <w:szCs w:val="16"/>
                <w:lang w:val="en-US"/>
              </w:rPr>
              <w:t>DI</w:t>
            </w:r>
            <w:r w:rsidRPr="00F01347">
              <w:rPr>
                <w:rFonts w:ascii="Verdana" w:hAnsi="Verdana"/>
                <w:sz w:val="16"/>
                <w:szCs w:val="16"/>
                <w:lang w:val="en-US"/>
              </w:rPr>
              <w:t>).</w:t>
            </w:r>
          </w:p>
        </w:tc>
      </w:tr>
      <w:tr w:rsidR="00706846" w:rsidRPr="00F01347" w14:paraId="0F9A0D25" w14:textId="65569ECA" w:rsidTr="006D6F6D">
        <w:tc>
          <w:tcPr>
            <w:tcW w:w="4675" w:type="dxa"/>
          </w:tcPr>
          <w:p w14:paraId="18C318C5"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 xml:space="preserve">Antes de utilizar este procedimiento para el análisis de rutina, se deben realizar las pruebas iniciales de desempeño los cuales deben estar documentados y deben incluir los criterios de selección de los puntos  de corrección de fondo; los intervalos de análisis, las ecuaciones aplicables, así como los límites superiores de estos intervalos; los límites de detección del método y del instrumento; y la determinación y verificación de las ecuaciones de corrección </w:t>
            </w:r>
            <w:proofErr w:type="spellStart"/>
            <w:r w:rsidRPr="00F01347">
              <w:rPr>
                <w:rFonts w:ascii="Verdana" w:hAnsi="Verdana"/>
                <w:sz w:val="16"/>
                <w:szCs w:val="16"/>
              </w:rPr>
              <w:t>interelemento</w:t>
            </w:r>
            <w:proofErr w:type="spellEnd"/>
            <w:r w:rsidRPr="00F01347">
              <w:rPr>
                <w:rFonts w:ascii="Verdana" w:hAnsi="Verdana"/>
                <w:sz w:val="16"/>
                <w:szCs w:val="16"/>
              </w:rPr>
              <w:t xml:space="preserve"> u otras rutinas de corrección de interferencias espectrales.  Estos datos deben ser generados utilizando el mismo instrumento, condiciones de operación y la rutina de calibración que se utilizan para el análisis de muestras.</w:t>
            </w:r>
          </w:p>
        </w:tc>
        <w:tc>
          <w:tcPr>
            <w:tcW w:w="4675" w:type="dxa"/>
          </w:tcPr>
          <w:p w14:paraId="4716A55E" w14:textId="36841B7D"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Before using this procedure for routine analysis, initial performance tests must be performed, which must be documented and must include selection criteria for background correction points; the analysis intervals, the applicable equations, as well as the upper limits of these intervals; the detection limits of the method and instrument; and the determination and verification of interelement correction equations or other spectral interference correction routines. These data must be generated using the same instrument, operating conditions, and calibration routine that are used for sample analysis.</w:t>
            </w:r>
          </w:p>
        </w:tc>
      </w:tr>
      <w:tr w:rsidR="00706846" w:rsidRPr="00F01347" w14:paraId="54020A82" w14:textId="528FC4B3" w:rsidTr="006D6F6D">
        <w:tc>
          <w:tcPr>
            <w:tcW w:w="4675" w:type="dxa"/>
          </w:tcPr>
          <w:p w14:paraId="23F6F42C"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 xml:space="preserve">Las condiciones de operación para soluciones acuosas usualmente varían </w:t>
            </w:r>
            <w:proofErr w:type="gramStart"/>
            <w:r w:rsidRPr="00F01347">
              <w:rPr>
                <w:rFonts w:ascii="Verdana" w:hAnsi="Verdana"/>
                <w:sz w:val="16"/>
                <w:szCs w:val="16"/>
              </w:rPr>
              <w:t>de acuerdo a</w:t>
            </w:r>
            <w:proofErr w:type="gramEnd"/>
            <w:r w:rsidRPr="00F01347">
              <w:rPr>
                <w:rFonts w:ascii="Verdana" w:hAnsi="Verdana"/>
                <w:sz w:val="16"/>
                <w:szCs w:val="16"/>
              </w:rPr>
              <w:t xml:space="preserve"> lo siguiente:</w:t>
            </w:r>
          </w:p>
        </w:tc>
        <w:tc>
          <w:tcPr>
            <w:tcW w:w="4675" w:type="dxa"/>
          </w:tcPr>
          <w:p w14:paraId="7079EA88" w14:textId="051F5F88"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Operating conditions for aqueous solutions usually vary according to the following:</w:t>
            </w:r>
          </w:p>
        </w:tc>
      </w:tr>
      <w:tr w:rsidR="00706846" w:rsidRPr="00F01347" w14:paraId="3179010E" w14:textId="28AD59F7" w:rsidTr="006D6F6D">
        <w:tc>
          <w:tcPr>
            <w:tcW w:w="4675" w:type="dxa"/>
          </w:tcPr>
          <w:p w14:paraId="6D5A04DA"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1100 - 1200 watts de potencia,</w:t>
            </w:r>
          </w:p>
        </w:tc>
        <w:tc>
          <w:tcPr>
            <w:tcW w:w="4675" w:type="dxa"/>
          </w:tcPr>
          <w:p w14:paraId="1D61266F" w14:textId="1FA0A512"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1100 - 1200 watts of power,</w:t>
            </w:r>
          </w:p>
        </w:tc>
      </w:tr>
      <w:tr w:rsidR="00706846" w:rsidRPr="00F01347" w14:paraId="0FD6BBFC" w14:textId="48A0879A" w:rsidTr="006D6F6D">
        <w:tc>
          <w:tcPr>
            <w:tcW w:w="4675" w:type="dxa"/>
          </w:tcPr>
          <w:p w14:paraId="0A2A3242"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14 - 18 mm de altura,</w:t>
            </w:r>
          </w:p>
        </w:tc>
        <w:tc>
          <w:tcPr>
            <w:tcW w:w="4675" w:type="dxa"/>
          </w:tcPr>
          <w:p w14:paraId="517F0C44" w14:textId="70E97402"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14 - 18 mm high,</w:t>
            </w:r>
          </w:p>
        </w:tc>
      </w:tr>
      <w:tr w:rsidR="00706846" w:rsidRPr="00F01347" w14:paraId="79BCE2EE" w14:textId="7331943E" w:rsidTr="006D6F6D">
        <w:tc>
          <w:tcPr>
            <w:tcW w:w="4675" w:type="dxa"/>
          </w:tcPr>
          <w:p w14:paraId="3BF67A41"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15 - 19 L/min de flujo de argón,</w:t>
            </w:r>
          </w:p>
        </w:tc>
        <w:tc>
          <w:tcPr>
            <w:tcW w:w="4675" w:type="dxa"/>
          </w:tcPr>
          <w:p w14:paraId="501105BC" w14:textId="47147413"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15 - 19 L/min argon flow,</w:t>
            </w:r>
          </w:p>
        </w:tc>
      </w:tr>
      <w:tr w:rsidR="00706846" w:rsidRPr="00F01347" w14:paraId="5B20808A" w14:textId="77D2A6CA" w:rsidTr="006D6F6D">
        <w:tc>
          <w:tcPr>
            <w:tcW w:w="4675" w:type="dxa"/>
          </w:tcPr>
          <w:p w14:paraId="5E5AC410"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0.6 - 1.5 L/min flujo de argón en el nebulizador,</w:t>
            </w:r>
          </w:p>
        </w:tc>
        <w:tc>
          <w:tcPr>
            <w:tcW w:w="4675" w:type="dxa"/>
          </w:tcPr>
          <w:p w14:paraId="67558678" w14:textId="76B5E6C6"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0.6 - 1.5 L/min argon flow in the nebulizer,</w:t>
            </w:r>
          </w:p>
        </w:tc>
      </w:tr>
      <w:tr w:rsidR="00706846" w:rsidRPr="00F01347" w14:paraId="7B99CB30" w14:textId="219D7A0C" w:rsidTr="006D6F6D">
        <w:tc>
          <w:tcPr>
            <w:tcW w:w="4675" w:type="dxa"/>
          </w:tcPr>
          <w:p w14:paraId="08F00919"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lastRenderedPageBreak/>
              <w:t>●</w:t>
            </w:r>
            <w:r w:rsidRPr="00F01347">
              <w:rPr>
                <w:rFonts w:ascii="Verdana" w:hAnsi="Verdana"/>
                <w:sz w:val="16"/>
                <w:szCs w:val="16"/>
              </w:rPr>
              <w:tab/>
              <w:t xml:space="preserve">1 - 1.8 </w:t>
            </w:r>
            <w:proofErr w:type="spellStart"/>
            <w:r w:rsidRPr="00F01347">
              <w:rPr>
                <w:rFonts w:ascii="Verdana" w:hAnsi="Verdana"/>
                <w:sz w:val="16"/>
                <w:szCs w:val="16"/>
              </w:rPr>
              <w:t>mL</w:t>
            </w:r>
            <w:proofErr w:type="spellEnd"/>
            <w:r w:rsidRPr="00F01347">
              <w:rPr>
                <w:rFonts w:ascii="Verdana" w:hAnsi="Verdana"/>
                <w:sz w:val="16"/>
                <w:szCs w:val="16"/>
              </w:rPr>
              <w:t xml:space="preserve">/min de velocidad de bombeo de la muestra con un tiempo de </w:t>
            </w:r>
            <w:proofErr w:type="spellStart"/>
            <w:r w:rsidRPr="00F01347">
              <w:rPr>
                <w:rFonts w:ascii="Verdana" w:hAnsi="Verdana"/>
                <w:sz w:val="16"/>
                <w:szCs w:val="16"/>
              </w:rPr>
              <w:t>pre-limpieza</w:t>
            </w:r>
            <w:proofErr w:type="spellEnd"/>
            <w:r w:rsidRPr="00F01347">
              <w:rPr>
                <w:rFonts w:ascii="Verdana" w:hAnsi="Verdana"/>
                <w:sz w:val="16"/>
                <w:szCs w:val="16"/>
              </w:rPr>
              <w:t xml:space="preserve"> de 1 minuto y el tiempo de medición aproximado de 1 segundo por pico de longitud de onda para instrumentos secuenciales y 10 segundos por muestra con instrumentos simultáneos.</w:t>
            </w:r>
          </w:p>
        </w:tc>
        <w:tc>
          <w:tcPr>
            <w:tcW w:w="4675" w:type="dxa"/>
          </w:tcPr>
          <w:p w14:paraId="315FEC96" w14:textId="6BD6AE1B"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1 - 1.8 mL /min sample pump rate with a pre-cleaning time of 1 minute and approximate measurement time of 1 second per wavelength peak for sequential instruments and 10 seconds per sample with simultaneous instruments</w:t>
            </w:r>
            <w:r w:rsidR="003E1BA9" w:rsidRPr="00F01347">
              <w:rPr>
                <w:rFonts w:ascii="Verdana" w:hAnsi="Verdana"/>
                <w:sz w:val="16"/>
                <w:szCs w:val="16"/>
                <w:lang w:val="en-US"/>
              </w:rPr>
              <w:t>.</w:t>
            </w:r>
          </w:p>
        </w:tc>
      </w:tr>
      <w:tr w:rsidR="00706846" w:rsidRPr="00F01347" w14:paraId="78CB9E80" w14:textId="3DC95D2B" w:rsidTr="006D6F6D">
        <w:tc>
          <w:tcPr>
            <w:tcW w:w="4675" w:type="dxa"/>
          </w:tcPr>
          <w:p w14:paraId="5614D8BD"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 xml:space="preserve">Para un plasma axial, las condiciones usualmente varían </w:t>
            </w:r>
            <w:proofErr w:type="gramStart"/>
            <w:r w:rsidRPr="00F01347">
              <w:rPr>
                <w:rFonts w:ascii="Verdana" w:hAnsi="Verdana"/>
                <w:sz w:val="16"/>
                <w:szCs w:val="16"/>
              </w:rPr>
              <w:t>de acuerdo a</w:t>
            </w:r>
            <w:proofErr w:type="gramEnd"/>
            <w:r w:rsidRPr="00F01347">
              <w:rPr>
                <w:rFonts w:ascii="Verdana" w:hAnsi="Verdana"/>
                <w:sz w:val="16"/>
                <w:szCs w:val="16"/>
              </w:rPr>
              <w:t xml:space="preserve"> lo siguiente:</w:t>
            </w:r>
          </w:p>
        </w:tc>
        <w:tc>
          <w:tcPr>
            <w:tcW w:w="4675" w:type="dxa"/>
          </w:tcPr>
          <w:p w14:paraId="71080F23" w14:textId="66C2F2A7"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For an axial plasma, conditions usually vary according to the following:</w:t>
            </w:r>
          </w:p>
        </w:tc>
      </w:tr>
      <w:tr w:rsidR="00706846" w:rsidRPr="00F01347" w14:paraId="4BAA1E45" w14:textId="566C7361" w:rsidTr="006D6F6D">
        <w:tc>
          <w:tcPr>
            <w:tcW w:w="4675" w:type="dxa"/>
          </w:tcPr>
          <w:p w14:paraId="368C9E85"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1100 a 1500 watts de potencia,</w:t>
            </w:r>
          </w:p>
        </w:tc>
        <w:tc>
          <w:tcPr>
            <w:tcW w:w="4675" w:type="dxa"/>
          </w:tcPr>
          <w:p w14:paraId="19932BBA" w14:textId="5FE3E8B4"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1100 to 1500 watts of power,</w:t>
            </w:r>
          </w:p>
        </w:tc>
      </w:tr>
      <w:tr w:rsidR="00706846" w:rsidRPr="00F01347" w14:paraId="480EA176" w14:textId="35F79274" w:rsidTr="006D6F6D">
        <w:tc>
          <w:tcPr>
            <w:tcW w:w="4675" w:type="dxa"/>
          </w:tcPr>
          <w:p w14:paraId="5858219E"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15 a 19 L/min de flujo de argón refrigerante,</w:t>
            </w:r>
          </w:p>
        </w:tc>
        <w:tc>
          <w:tcPr>
            <w:tcW w:w="4675" w:type="dxa"/>
          </w:tcPr>
          <w:p w14:paraId="75BA3724" w14:textId="45631AC8"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15 to 19 L/min coolant argon flow,</w:t>
            </w:r>
          </w:p>
        </w:tc>
      </w:tr>
      <w:tr w:rsidR="00706846" w:rsidRPr="00F01347" w14:paraId="7AA3BB20" w14:textId="0E57A95C" w:rsidTr="006D6F6D">
        <w:tc>
          <w:tcPr>
            <w:tcW w:w="4675" w:type="dxa"/>
          </w:tcPr>
          <w:p w14:paraId="7454F764"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0.6 a 1.5 L/min de caudal de flujo de argón nebulizador,</w:t>
            </w:r>
          </w:p>
        </w:tc>
        <w:tc>
          <w:tcPr>
            <w:tcW w:w="4675" w:type="dxa"/>
          </w:tcPr>
          <w:p w14:paraId="5408DA8E" w14:textId="060738E3"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0.6 to 1.5 L/min nebulizer argon flow rate,</w:t>
            </w:r>
          </w:p>
        </w:tc>
      </w:tr>
      <w:tr w:rsidR="00706846" w:rsidRPr="00F01347" w14:paraId="428DC95A" w14:textId="2030A14C" w:rsidTr="006D6F6D">
        <w:tc>
          <w:tcPr>
            <w:tcW w:w="4675" w:type="dxa"/>
          </w:tcPr>
          <w:p w14:paraId="764EA7F1"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1 a 1.8 </w:t>
            </w:r>
            <w:proofErr w:type="spellStart"/>
            <w:r w:rsidRPr="00F01347">
              <w:rPr>
                <w:rFonts w:ascii="Verdana" w:hAnsi="Verdana"/>
                <w:sz w:val="16"/>
                <w:szCs w:val="16"/>
              </w:rPr>
              <w:t>mL</w:t>
            </w:r>
            <w:proofErr w:type="spellEnd"/>
            <w:r w:rsidRPr="00F01347">
              <w:rPr>
                <w:rFonts w:ascii="Verdana" w:hAnsi="Verdana"/>
                <w:sz w:val="16"/>
                <w:szCs w:val="16"/>
              </w:rPr>
              <w:t xml:space="preserve"> de velocidad de bombeo de la muestra/min con un tiempo de </w:t>
            </w:r>
            <w:proofErr w:type="spellStart"/>
            <w:r w:rsidRPr="00F01347">
              <w:rPr>
                <w:rFonts w:ascii="Verdana" w:hAnsi="Verdana"/>
                <w:sz w:val="16"/>
                <w:szCs w:val="16"/>
              </w:rPr>
              <w:t>pre-limpieza</w:t>
            </w:r>
            <w:proofErr w:type="spellEnd"/>
            <w:r w:rsidRPr="00F01347">
              <w:rPr>
                <w:rFonts w:ascii="Verdana" w:hAnsi="Verdana"/>
                <w:sz w:val="16"/>
                <w:szCs w:val="16"/>
              </w:rPr>
              <w:t xml:space="preserve"> de 1 minuto y tiempo de medición cerca de 1 segundo por pico de longitud de onda para instrumentos secuenciales y 10 segundos por muestra para instrumentos simultáneos.</w:t>
            </w:r>
          </w:p>
        </w:tc>
        <w:tc>
          <w:tcPr>
            <w:tcW w:w="4675" w:type="dxa"/>
          </w:tcPr>
          <w:p w14:paraId="04A8B32F" w14:textId="5E1E01DA"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1 to 1.8 mL sample pump rate/min with a pre-cleaning time of 1 minute and measurement time about 1 second per peak wavelength for sequential instruments and 10 seconds per sample for simultaneous instruments.</w:t>
            </w:r>
          </w:p>
        </w:tc>
      </w:tr>
      <w:tr w:rsidR="00706846" w:rsidRPr="00F01347" w14:paraId="4392D868" w14:textId="1001542E" w:rsidTr="006D6F6D">
        <w:tc>
          <w:tcPr>
            <w:tcW w:w="4675" w:type="dxa"/>
          </w:tcPr>
          <w:p w14:paraId="547264D3" w14:textId="77777777" w:rsidR="00706846" w:rsidRPr="00F01347" w:rsidRDefault="00706846" w:rsidP="00706846">
            <w:pPr>
              <w:pStyle w:val="texto0"/>
              <w:spacing w:line="234" w:lineRule="exact"/>
              <w:ind w:firstLine="0"/>
              <w:rPr>
                <w:rFonts w:ascii="Verdana" w:hAnsi="Verdana"/>
                <w:sz w:val="16"/>
                <w:szCs w:val="16"/>
              </w:rPr>
            </w:pPr>
            <w:r w:rsidRPr="00F01347">
              <w:rPr>
                <w:rFonts w:ascii="Verdana" w:hAnsi="Verdana"/>
                <w:sz w:val="16"/>
                <w:szCs w:val="16"/>
              </w:rPr>
              <w:t>Para alcanzar factores de corrección de interferencia repetibles se recomienda ajustar el flujo de argón aerosol para reproducir la relación de intensidad de Cu/Mn en 324.754 nm y 257.610 nm, respectivamente.</w:t>
            </w:r>
          </w:p>
        </w:tc>
        <w:tc>
          <w:tcPr>
            <w:tcW w:w="4675" w:type="dxa"/>
          </w:tcPr>
          <w:p w14:paraId="1E0730CB" w14:textId="2C1CE04F" w:rsidR="00706846" w:rsidRPr="00F01347" w:rsidRDefault="00706846" w:rsidP="0070684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To achieve repeatable interference correction </w:t>
            </w:r>
            <w:r w:rsidR="00FE5515" w:rsidRPr="00F01347">
              <w:rPr>
                <w:rFonts w:ascii="Verdana" w:hAnsi="Verdana"/>
                <w:sz w:val="16"/>
                <w:szCs w:val="16"/>
                <w:lang w:val="en-US"/>
              </w:rPr>
              <w:t>factors,</w:t>
            </w:r>
            <w:r w:rsidRPr="00F01347">
              <w:rPr>
                <w:rFonts w:ascii="Verdana" w:hAnsi="Verdana"/>
                <w:sz w:val="16"/>
                <w:szCs w:val="16"/>
                <w:lang w:val="en-US"/>
              </w:rPr>
              <w:t xml:space="preserve"> it is recommended to adjust the aerosol argon flux to reproduce the Cu/Mn intensity ratio at 324,754 nm and 257,610 nm, respectively.</w:t>
            </w:r>
          </w:p>
        </w:tc>
      </w:tr>
      <w:tr w:rsidR="00706846" w:rsidRPr="00F01347" w14:paraId="4ACDE66B" w14:textId="00E0704D" w:rsidTr="006D6F6D">
        <w:tc>
          <w:tcPr>
            <w:tcW w:w="4675" w:type="dxa"/>
          </w:tcPr>
          <w:p w14:paraId="7384DAE1" w14:textId="77777777" w:rsidR="00706846" w:rsidRPr="00F01347" w:rsidRDefault="00706846" w:rsidP="00706846">
            <w:pPr>
              <w:pStyle w:val="texto0"/>
              <w:spacing w:line="236" w:lineRule="exact"/>
              <w:ind w:firstLine="0"/>
              <w:rPr>
                <w:rFonts w:ascii="Verdana" w:hAnsi="Verdana"/>
                <w:sz w:val="16"/>
                <w:szCs w:val="16"/>
              </w:rPr>
            </w:pPr>
            <w:r w:rsidRPr="00F01347">
              <w:rPr>
                <w:rFonts w:ascii="Verdana" w:hAnsi="Verdana"/>
                <w:b/>
                <w:sz w:val="16"/>
                <w:szCs w:val="16"/>
              </w:rPr>
              <w:t>B.4.2.7.1.3 Optimización del plasma</w:t>
            </w:r>
          </w:p>
        </w:tc>
        <w:tc>
          <w:tcPr>
            <w:tcW w:w="4675" w:type="dxa"/>
          </w:tcPr>
          <w:p w14:paraId="3D40FC5C" w14:textId="0B4D3AA8" w:rsidR="00706846" w:rsidRPr="00F01347" w:rsidRDefault="00706846" w:rsidP="00706846">
            <w:pPr>
              <w:pStyle w:val="texto0"/>
              <w:spacing w:line="236" w:lineRule="exact"/>
              <w:ind w:firstLine="0"/>
              <w:rPr>
                <w:rFonts w:ascii="Verdana" w:hAnsi="Verdana"/>
                <w:b/>
                <w:sz w:val="16"/>
                <w:szCs w:val="16"/>
                <w:lang w:val="en-US"/>
              </w:rPr>
            </w:pPr>
            <w:r w:rsidRPr="00F01347">
              <w:rPr>
                <w:rFonts w:ascii="Verdana" w:hAnsi="Verdana"/>
                <w:b/>
                <w:sz w:val="16"/>
                <w:szCs w:val="16"/>
                <w:lang w:val="en-US"/>
              </w:rPr>
              <w:t>B.4.2.7.1.3 Plasma optimization</w:t>
            </w:r>
          </w:p>
        </w:tc>
      </w:tr>
      <w:tr w:rsidR="00706846" w:rsidRPr="00F01347" w14:paraId="1819B73D" w14:textId="6DC6DB69" w:rsidTr="006D6F6D">
        <w:tc>
          <w:tcPr>
            <w:tcW w:w="4675" w:type="dxa"/>
          </w:tcPr>
          <w:p w14:paraId="580D7A4D" w14:textId="77777777" w:rsidR="00706846" w:rsidRPr="00F01347" w:rsidRDefault="00706846" w:rsidP="00706846">
            <w:pPr>
              <w:pStyle w:val="texto0"/>
              <w:spacing w:line="236" w:lineRule="exact"/>
              <w:ind w:firstLine="0"/>
              <w:rPr>
                <w:rFonts w:ascii="Verdana" w:hAnsi="Verdana"/>
                <w:sz w:val="16"/>
                <w:szCs w:val="16"/>
              </w:rPr>
            </w:pPr>
            <w:r w:rsidRPr="00F01347">
              <w:rPr>
                <w:rFonts w:ascii="Verdana" w:hAnsi="Verdana"/>
                <w:sz w:val="16"/>
                <w:szCs w:val="16"/>
              </w:rPr>
              <w:t>Optimizar las condiciones de funcionamiento del plasma antes del uso del instrumento. El objetivo de la optimización de plasma es proporcionar un máximo de la señal de fondo de algunos de los elementos menos sensibles en la matriz de análisis. El uso de un controlador de flujo de masa para regular el flujo de gas nebulizador o una fuente de optimización de software facilita en gran medida el procedimiento. No es necesario llevar a cabo esta rutina diariamente, sólo se requiere cuando se ajusta por primera vez un instrumento nuevo, o después de un cambio en las condiciones de funcionamiento. Para la optimización del instrumento se recomienda realizar lo siguiente, o seguir las recomendaciones del fabricante.</w:t>
            </w:r>
          </w:p>
        </w:tc>
        <w:tc>
          <w:tcPr>
            <w:tcW w:w="4675" w:type="dxa"/>
          </w:tcPr>
          <w:p w14:paraId="00DC2DD4" w14:textId="2CCFED30" w:rsidR="00706846" w:rsidRPr="00F01347" w:rsidRDefault="00706846" w:rsidP="00706846">
            <w:pPr>
              <w:pStyle w:val="texto0"/>
              <w:spacing w:line="236" w:lineRule="exact"/>
              <w:ind w:firstLine="0"/>
              <w:rPr>
                <w:rFonts w:ascii="Verdana" w:hAnsi="Verdana"/>
                <w:sz w:val="16"/>
                <w:szCs w:val="16"/>
                <w:lang w:val="en-US"/>
              </w:rPr>
            </w:pPr>
            <w:r w:rsidRPr="00F01347">
              <w:rPr>
                <w:rFonts w:ascii="Verdana" w:hAnsi="Verdana"/>
                <w:sz w:val="16"/>
                <w:szCs w:val="16"/>
                <w:lang w:val="en-US"/>
              </w:rPr>
              <w:t>Optimize plasma operating conditions before using the instrument. The goal of plasma optimization is to provide a maximum of the background signal from some of the less sensitive elements in the analysis matrix. Using a mass flow controller to regulate the nebulizer gas flow or a software optimization source greatly facilitates the procedure. It is not necessary to perform this routine daily, it is only required when adjusting a new instrument for the first time, or after a change in operating conditions. To optimize the instrument, it is recommended to do the following, or follow the manufacturer's recommendations.</w:t>
            </w:r>
          </w:p>
        </w:tc>
      </w:tr>
      <w:tr w:rsidR="00706846" w:rsidRPr="00F01347" w14:paraId="22A8B91C" w14:textId="168641D8" w:rsidTr="006D6F6D">
        <w:tc>
          <w:tcPr>
            <w:tcW w:w="4675" w:type="dxa"/>
          </w:tcPr>
          <w:p w14:paraId="2D975BC7" w14:textId="77777777" w:rsidR="00706846" w:rsidRPr="00F01347" w:rsidRDefault="00706846" w:rsidP="00706846">
            <w:pPr>
              <w:pStyle w:val="texto0"/>
              <w:spacing w:line="236" w:lineRule="exact"/>
              <w:ind w:firstLine="0"/>
              <w:rPr>
                <w:rFonts w:ascii="Verdana" w:hAnsi="Verdana"/>
                <w:sz w:val="16"/>
                <w:szCs w:val="16"/>
              </w:rPr>
            </w:pPr>
            <w:r w:rsidRPr="00F01347">
              <w:rPr>
                <w:rFonts w:ascii="Verdana" w:hAnsi="Verdana"/>
                <w:sz w:val="16"/>
                <w:szCs w:val="16"/>
              </w:rPr>
              <w:t xml:space="preserve">Encender el plasma radial y seleccionar una apropiada potencia de RF incidente. Dejar que el instrumento se encuentre térmicamente estable (entre 30 a 60 minutos) antes de comenzar. Mientras se aspira una disolución de 1 000 µg/L de itrio, seguir las instrucciones del fabricante del instrumento y ajustar el flujo del gas acarreador de aerosol a través del nebulizador hasta que una región de emisión azul definitiva del plasma se extienda aproximadamente de 5 a 20 mm por encima de la parte superior de la bobina de carga. Registrar el flujo del gas nebulizador y el ajuste de presión para futuras referencias. La solución de itrio también se puede utilizar para la alineación óptica gruesa de la antorcha mediante la observación </w:t>
            </w:r>
            <w:r w:rsidRPr="00F01347">
              <w:rPr>
                <w:rFonts w:ascii="Verdana" w:hAnsi="Verdana"/>
                <w:sz w:val="16"/>
                <w:szCs w:val="16"/>
              </w:rPr>
              <w:lastRenderedPageBreak/>
              <w:t>de la superposición de la luz azul sobre la rendija (</w:t>
            </w:r>
            <w:proofErr w:type="spellStart"/>
            <w:r w:rsidRPr="00F01347">
              <w:rPr>
                <w:rFonts w:ascii="Verdana" w:hAnsi="Verdana"/>
                <w:sz w:val="16"/>
                <w:szCs w:val="16"/>
              </w:rPr>
              <w:t>slit</w:t>
            </w:r>
            <w:proofErr w:type="spellEnd"/>
            <w:r w:rsidRPr="00F01347">
              <w:rPr>
                <w:rFonts w:ascii="Verdana" w:hAnsi="Verdana"/>
                <w:sz w:val="16"/>
                <w:szCs w:val="16"/>
              </w:rPr>
              <w:t>) de entrada hacia el sistema óptico.</w:t>
            </w:r>
          </w:p>
        </w:tc>
        <w:tc>
          <w:tcPr>
            <w:tcW w:w="4675" w:type="dxa"/>
          </w:tcPr>
          <w:p w14:paraId="3798B65D" w14:textId="3FCB2015" w:rsidR="00706846" w:rsidRPr="00F01347" w:rsidRDefault="00706846" w:rsidP="00706846">
            <w:pPr>
              <w:pStyle w:val="texto0"/>
              <w:spacing w:line="236" w:lineRule="exact"/>
              <w:ind w:firstLine="0"/>
              <w:rPr>
                <w:rFonts w:ascii="Verdana" w:hAnsi="Verdana"/>
                <w:sz w:val="16"/>
                <w:szCs w:val="16"/>
                <w:lang w:val="en-US"/>
              </w:rPr>
            </w:pPr>
            <w:r w:rsidRPr="00F01347">
              <w:rPr>
                <w:rFonts w:ascii="Verdana" w:hAnsi="Verdana"/>
                <w:sz w:val="16"/>
                <w:szCs w:val="16"/>
                <w:lang w:val="en-US"/>
              </w:rPr>
              <w:lastRenderedPageBreak/>
              <w:t>Turn on the radial plasma and select an appropriate incident RF power. Allow the instrument to be thermally stable (30 to 60 minutes) before beginning. While aspirating a solution of 1000 µg/L of yttrium, follow the instrument manufacturer's instructions and adjust the flow of the aerosol carrier gas through the nebulizer until a definite blue emission region of the plasma extends approximately 5 to 20mm above the top of the charging coil. Record nebulizer gas flow and pressure setting for future reference. The yttrium solution can also be used for coarse optical alignment of the torch by observing the superposition of blue light over the entrance slit into the optical system.</w:t>
            </w:r>
          </w:p>
        </w:tc>
      </w:tr>
      <w:tr w:rsidR="00706846" w:rsidRPr="00F01347" w14:paraId="45686985" w14:textId="04CEBA68" w:rsidTr="006D6F6D">
        <w:tc>
          <w:tcPr>
            <w:tcW w:w="4675" w:type="dxa"/>
          </w:tcPr>
          <w:p w14:paraId="3DD23C84" w14:textId="77777777" w:rsidR="00706846" w:rsidRPr="00F01347" w:rsidRDefault="00706846" w:rsidP="00706846">
            <w:pPr>
              <w:pStyle w:val="texto0"/>
              <w:spacing w:line="236" w:lineRule="exact"/>
              <w:ind w:firstLine="0"/>
              <w:rPr>
                <w:rFonts w:ascii="Verdana" w:hAnsi="Verdana"/>
                <w:sz w:val="16"/>
                <w:szCs w:val="16"/>
              </w:rPr>
            </w:pPr>
            <w:r w:rsidRPr="00F01347">
              <w:rPr>
                <w:rFonts w:ascii="Verdana" w:hAnsi="Verdana"/>
                <w:sz w:val="16"/>
                <w:szCs w:val="16"/>
              </w:rPr>
              <w:t xml:space="preserve">Después de establecer el flujo del gas nebulizador, determinar la velocidad de absorción de solución del nebulizador en </w:t>
            </w:r>
            <w:proofErr w:type="spellStart"/>
            <w:r w:rsidRPr="00F01347">
              <w:rPr>
                <w:rFonts w:ascii="Verdana" w:hAnsi="Verdana"/>
                <w:sz w:val="16"/>
                <w:szCs w:val="16"/>
              </w:rPr>
              <w:t>mL</w:t>
            </w:r>
            <w:proofErr w:type="spellEnd"/>
            <w:r w:rsidRPr="00F01347">
              <w:rPr>
                <w:rFonts w:ascii="Verdana" w:hAnsi="Verdana"/>
                <w:sz w:val="16"/>
                <w:szCs w:val="16"/>
              </w:rPr>
              <w:t>/min mediante la aspiración de un volumen conocido de un blanco de calibración por un período de al menos tres minutos. Dividir el volumen aspirado por el tiempo en minutos y registrar la velocidad de absorción. Colocar la bomba peristáltica para entregar esa velocidad en un flujo constante.</w:t>
            </w:r>
          </w:p>
        </w:tc>
        <w:tc>
          <w:tcPr>
            <w:tcW w:w="4675" w:type="dxa"/>
          </w:tcPr>
          <w:p w14:paraId="09D1C9CD" w14:textId="30999ADC" w:rsidR="00706846" w:rsidRPr="00F01347" w:rsidRDefault="00706846" w:rsidP="00706846">
            <w:pPr>
              <w:pStyle w:val="texto0"/>
              <w:spacing w:line="236" w:lineRule="exact"/>
              <w:ind w:firstLine="0"/>
              <w:rPr>
                <w:rFonts w:ascii="Verdana" w:hAnsi="Verdana"/>
                <w:sz w:val="16"/>
                <w:szCs w:val="16"/>
                <w:lang w:val="en-US"/>
              </w:rPr>
            </w:pPr>
            <w:r w:rsidRPr="00F01347">
              <w:rPr>
                <w:rFonts w:ascii="Verdana" w:hAnsi="Verdana"/>
                <w:sz w:val="16"/>
                <w:szCs w:val="16"/>
                <w:lang w:val="en-US"/>
              </w:rPr>
              <w:t>After establishing the nebulizer gas flow, determine the nebulizer solution absorption rate in mL/min by aspirating a known volume of a calibration blank for a period of at least three minutes. Divide the volume aspirated by the time in minutes and record the rate of absorption. Set the peristaltic pump to deliver that speed in a constant flow.</w:t>
            </w:r>
          </w:p>
        </w:tc>
      </w:tr>
      <w:tr w:rsidR="00706846" w:rsidRPr="00F01347" w14:paraId="41A90C7E" w14:textId="498314A5" w:rsidTr="006D6F6D">
        <w:tc>
          <w:tcPr>
            <w:tcW w:w="4675" w:type="dxa"/>
          </w:tcPr>
          <w:p w14:paraId="51A4FDCA" w14:textId="77777777" w:rsidR="00706846" w:rsidRPr="00F01347" w:rsidRDefault="00706846" w:rsidP="00706846">
            <w:pPr>
              <w:pStyle w:val="texto0"/>
              <w:spacing w:line="236" w:lineRule="exact"/>
              <w:ind w:firstLine="0"/>
              <w:rPr>
                <w:rFonts w:ascii="Verdana" w:hAnsi="Verdana"/>
                <w:sz w:val="16"/>
                <w:szCs w:val="16"/>
              </w:rPr>
            </w:pPr>
            <w:r w:rsidRPr="00F01347">
              <w:rPr>
                <w:rFonts w:ascii="Verdana" w:hAnsi="Verdana"/>
                <w:sz w:val="16"/>
                <w:szCs w:val="16"/>
              </w:rPr>
              <w:t>Calibrar el instrumento para alinearlo ópticamente, como será utilizado durante el análisis. El siguiente procedimiento se puede usar tanto para la optimización horizontal y vertical en el modo radial, pero está descrito para el vertical.</w:t>
            </w:r>
          </w:p>
        </w:tc>
        <w:tc>
          <w:tcPr>
            <w:tcW w:w="4675" w:type="dxa"/>
          </w:tcPr>
          <w:p w14:paraId="44BBD8AE" w14:textId="39B9E8B3" w:rsidR="00706846" w:rsidRPr="00F01347" w:rsidRDefault="00706846" w:rsidP="00706846">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Calibrate the instrument to align it optically, as it will be used during the analysis. The following procedure can be used for both horizontal and vertical optimization in radial </w:t>
            </w:r>
            <w:r w:rsidR="001140F1" w:rsidRPr="00F01347">
              <w:rPr>
                <w:rFonts w:ascii="Verdana" w:hAnsi="Verdana"/>
                <w:sz w:val="16"/>
                <w:szCs w:val="16"/>
                <w:lang w:val="en-US"/>
              </w:rPr>
              <w:t>mode but</w:t>
            </w:r>
            <w:r w:rsidRPr="00F01347">
              <w:rPr>
                <w:rFonts w:ascii="Verdana" w:hAnsi="Verdana"/>
                <w:sz w:val="16"/>
                <w:szCs w:val="16"/>
                <w:lang w:val="en-US"/>
              </w:rPr>
              <w:t xml:space="preserve"> is described for vertical.</w:t>
            </w:r>
          </w:p>
        </w:tc>
      </w:tr>
      <w:tr w:rsidR="00706846" w:rsidRPr="00F01347" w14:paraId="7BD2AA64" w14:textId="4FD87504" w:rsidTr="006D6F6D">
        <w:tc>
          <w:tcPr>
            <w:tcW w:w="4675" w:type="dxa"/>
          </w:tcPr>
          <w:p w14:paraId="0D511D03" w14:textId="77777777" w:rsidR="00706846" w:rsidRPr="00F01347" w:rsidRDefault="00706846" w:rsidP="00706846">
            <w:pPr>
              <w:pStyle w:val="texto0"/>
              <w:spacing w:line="236" w:lineRule="exact"/>
              <w:ind w:firstLine="0"/>
              <w:rPr>
                <w:rFonts w:ascii="Verdana" w:hAnsi="Verdana"/>
                <w:sz w:val="16"/>
                <w:szCs w:val="16"/>
              </w:rPr>
            </w:pPr>
            <w:r w:rsidRPr="00F01347">
              <w:rPr>
                <w:rFonts w:ascii="Verdana" w:hAnsi="Verdana"/>
                <w:sz w:val="16"/>
                <w:szCs w:val="16"/>
              </w:rPr>
              <w:t>Aspirar una disolución que contenga 10 µg/L de varios elementos seleccionados. As, Se, y Pb son los menos sensibles de los elementos y con mayor necesidad de optimización. Sin embargo, otros elementos pueden ser utilizados (Cr, Cu, Li y Mn también se pueden utilizar con éxito). Recolectar datos de intensidad en el pico de longitud de onda para cada analito a intervalos de 1 mm de 14 a 18 mm por encima de la bobina de carga. (Esta región del plasma es referida como la zona analítica). Repetir el procedimiento utilizando el blanco de calibración. Determinar la señal neta a la intensidad de blanco para cada analito para cada ajuste de altura de observación. Elegir la altura para ver el plasma que ofrece las mejores relaciones de intensidad (ratios) neta de los elementos analizados o la relación de intensidad más alta para el elemento de menor sensibilidad. Para la optimización en el modo axial, seguir las instrucciones del fabricante del instrumento.</w:t>
            </w:r>
          </w:p>
        </w:tc>
        <w:tc>
          <w:tcPr>
            <w:tcW w:w="4675" w:type="dxa"/>
          </w:tcPr>
          <w:p w14:paraId="3E0DE947" w14:textId="4B4FDDB5" w:rsidR="00706846" w:rsidRPr="00F01347" w:rsidRDefault="00706846" w:rsidP="00706846">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Aspirate a solution containing 10 µg/L of several selected elements. As, Se, and Pb are the least sensitive of the elements and most in need of optimization. However, other elements can be used (Cr, Cu, </w:t>
            </w:r>
            <w:proofErr w:type="gramStart"/>
            <w:r w:rsidRPr="00F01347">
              <w:rPr>
                <w:rFonts w:ascii="Verdana" w:hAnsi="Verdana"/>
                <w:sz w:val="16"/>
                <w:szCs w:val="16"/>
                <w:lang w:val="en-US"/>
              </w:rPr>
              <w:t>Li</w:t>
            </w:r>
            <w:proofErr w:type="gramEnd"/>
            <w:r w:rsidRPr="00F01347">
              <w:rPr>
                <w:rFonts w:ascii="Verdana" w:hAnsi="Verdana"/>
                <w:sz w:val="16"/>
                <w:szCs w:val="16"/>
                <w:lang w:val="en-US"/>
              </w:rPr>
              <w:t xml:space="preserve"> and Mn can also be used successfully). Collect intensity data at the peak wavelength for each analyte at 1 mm intervals from 14 to 18 mm above the loading coil. (This region of the plasma is referred to as the analytical zone). Repeat the procedure using the calibration blank. Determine the net signal at the blank intensity for each analyte for each observation height setting. Choose the height to view the plasma that offers the best net intensity ratios (ratios) of the analyzed elements or the highest intensity ratio for the element with the least sensitivity. For optimization in axial mode, follow the instrument manufacturer's instructions.</w:t>
            </w:r>
          </w:p>
        </w:tc>
      </w:tr>
      <w:tr w:rsidR="00706846" w:rsidRPr="00F01347" w14:paraId="3312E857" w14:textId="6C4C8B42" w:rsidTr="006D6F6D">
        <w:tc>
          <w:tcPr>
            <w:tcW w:w="4675" w:type="dxa"/>
          </w:tcPr>
          <w:p w14:paraId="5BDFC845" w14:textId="77777777" w:rsidR="00706846" w:rsidRPr="00F01347" w:rsidRDefault="00706846" w:rsidP="00706846">
            <w:pPr>
              <w:pStyle w:val="texto0"/>
              <w:spacing w:line="240" w:lineRule="exact"/>
              <w:ind w:firstLine="0"/>
              <w:rPr>
                <w:rFonts w:ascii="Verdana" w:hAnsi="Verdana"/>
                <w:sz w:val="16"/>
                <w:szCs w:val="16"/>
              </w:rPr>
            </w:pPr>
            <w:r w:rsidRPr="00F01347">
              <w:rPr>
                <w:rFonts w:ascii="Verdana" w:hAnsi="Verdana"/>
                <w:sz w:val="16"/>
                <w:szCs w:val="16"/>
              </w:rPr>
              <w:t>Las condiciones de operación óptimas del instrumento deben proporcionar los límites de detección del instrumental (LDI) más bajos.</w:t>
            </w:r>
          </w:p>
        </w:tc>
        <w:tc>
          <w:tcPr>
            <w:tcW w:w="4675" w:type="dxa"/>
          </w:tcPr>
          <w:p w14:paraId="4F8741AF" w14:textId="51F940DE" w:rsidR="00706846" w:rsidRPr="00F01347" w:rsidRDefault="00706846" w:rsidP="00706846">
            <w:pPr>
              <w:pStyle w:val="texto0"/>
              <w:spacing w:line="240" w:lineRule="exact"/>
              <w:ind w:firstLine="0"/>
              <w:rPr>
                <w:rFonts w:ascii="Verdana" w:hAnsi="Verdana"/>
                <w:sz w:val="16"/>
                <w:szCs w:val="16"/>
                <w:lang w:val="en-US"/>
              </w:rPr>
            </w:pPr>
            <w:r w:rsidRPr="00F01347">
              <w:rPr>
                <w:rFonts w:ascii="Verdana" w:hAnsi="Verdana"/>
                <w:sz w:val="16"/>
                <w:szCs w:val="16"/>
                <w:lang w:val="en-US"/>
              </w:rPr>
              <w:t>Optimal instrument operating conditions should provide the lowest instrument detection limits (LODs).</w:t>
            </w:r>
          </w:p>
        </w:tc>
      </w:tr>
      <w:tr w:rsidR="00706846" w:rsidRPr="00F01347" w14:paraId="73855881" w14:textId="4DF810DD" w:rsidTr="006D6F6D">
        <w:tc>
          <w:tcPr>
            <w:tcW w:w="4675" w:type="dxa"/>
          </w:tcPr>
          <w:p w14:paraId="7768334F" w14:textId="77777777" w:rsidR="00706846" w:rsidRPr="00F01347" w:rsidRDefault="00706846" w:rsidP="00706846">
            <w:pPr>
              <w:pStyle w:val="texto0"/>
              <w:spacing w:line="236" w:lineRule="exact"/>
              <w:ind w:firstLine="0"/>
              <w:rPr>
                <w:rFonts w:ascii="Verdana" w:hAnsi="Verdana"/>
                <w:sz w:val="16"/>
                <w:szCs w:val="16"/>
              </w:rPr>
            </w:pPr>
            <w:r w:rsidRPr="00F01347">
              <w:rPr>
                <w:rFonts w:ascii="Verdana" w:hAnsi="Verdana"/>
                <w:sz w:val="16"/>
                <w:szCs w:val="16"/>
              </w:rPr>
              <w:t xml:space="preserve">Si se cambian las condiciones de operación del instrumento, tales como la energía incidente o flujo de gas nebulizador, o si se instala un tubo inyector nuevo de la antorcha con un orificio de diámetro interno diferente, el plasma y la altura de visión deben ser </w:t>
            </w:r>
            <w:proofErr w:type="spellStart"/>
            <w:r w:rsidRPr="00F01347">
              <w:rPr>
                <w:rFonts w:ascii="Verdana" w:hAnsi="Verdana"/>
                <w:sz w:val="16"/>
                <w:szCs w:val="16"/>
              </w:rPr>
              <w:t>re-optimizados</w:t>
            </w:r>
            <w:proofErr w:type="spellEnd"/>
            <w:r w:rsidRPr="00F01347">
              <w:rPr>
                <w:rFonts w:ascii="Verdana" w:hAnsi="Verdana"/>
                <w:sz w:val="16"/>
                <w:szCs w:val="16"/>
              </w:rPr>
              <w:t>.</w:t>
            </w:r>
          </w:p>
        </w:tc>
        <w:tc>
          <w:tcPr>
            <w:tcW w:w="4675" w:type="dxa"/>
          </w:tcPr>
          <w:p w14:paraId="40ABBB50" w14:textId="48990BA1" w:rsidR="00706846" w:rsidRPr="00F01347" w:rsidRDefault="00706846" w:rsidP="00706846">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If the operating conditions of the instrument are changed, such as the incident energy or nebulizer gas flow, or if a new torch injector tube with a different internal diameter orifice is installed, the plasma and viewing height must be </w:t>
            </w:r>
            <w:r w:rsidR="00AB4A9E" w:rsidRPr="00F01347">
              <w:rPr>
                <w:rFonts w:ascii="Verdana" w:hAnsi="Verdana"/>
                <w:sz w:val="16"/>
                <w:szCs w:val="16"/>
                <w:lang w:val="en-US"/>
              </w:rPr>
              <w:t>re</w:t>
            </w:r>
            <w:r w:rsidRPr="00F01347">
              <w:rPr>
                <w:rFonts w:ascii="Verdana" w:hAnsi="Verdana"/>
                <w:sz w:val="16"/>
                <w:szCs w:val="16"/>
                <w:lang w:val="en-US"/>
              </w:rPr>
              <w:t>-optimized</w:t>
            </w:r>
            <w:r w:rsidR="003E1BA9" w:rsidRPr="00F01347">
              <w:rPr>
                <w:rFonts w:ascii="Verdana" w:hAnsi="Verdana"/>
                <w:sz w:val="16"/>
                <w:szCs w:val="16"/>
                <w:lang w:val="en-US"/>
              </w:rPr>
              <w:t>.</w:t>
            </w:r>
          </w:p>
        </w:tc>
      </w:tr>
      <w:tr w:rsidR="00706846" w:rsidRPr="00F01347" w14:paraId="0E6CEA11" w14:textId="50CB4189" w:rsidTr="006D6F6D">
        <w:tc>
          <w:tcPr>
            <w:tcW w:w="4675" w:type="dxa"/>
          </w:tcPr>
          <w:p w14:paraId="5DA141FA" w14:textId="77777777" w:rsidR="00706846" w:rsidRPr="00F01347" w:rsidRDefault="00706846" w:rsidP="00706846">
            <w:pPr>
              <w:pStyle w:val="texto0"/>
              <w:spacing w:line="240" w:lineRule="exact"/>
              <w:ind w:firstLine="0"/>
              <w:rPr>
                <w:rFonts w:ascii="Verdana" w:hAnsi="Verdana"/>
                <w:sz w:val="16"/>
                <w:szCs w:val="16"/>
              </w:rPr>
            </w:pPr>
            <w:r w:rsidRPr="00F01347">
              <w:rPr>
                <w:rFonts w:ascii="Verdana" w:hAnsi="Verdana"/>
                <w:sz w:val="16"/>
                <w:szCs w:val="16"/>
              </w:rPr>
              <w:t xml:space="preserve">Después de completar la optimización inicial de operación de las condiciones de funcionamiento, y antes de analizar las muestras, el laboratorio debe establecer y verificar inicialmente una rutina de corrección de interferencias espectrales </w:t>
            </w:r>
            <w:proofErr w:type="spellStart"/>
            <w:r w:rsidRPr="00F01347">
              <w:rPr>
                <w:rFonts w:ascii="Verdana" w:hAnsi="Verdana"/>
                <w:sz w:val="16"/>
                <w:szCs w:val="16"/>
              </w:rPr>
              <w:t>interelemento</w:t>
            </w:r>
            <w:proofErr w:type="spellEnd"/>
            <w:r w:rsidRPr="00F01347">
              <w:rPr>
                <w:rFonts w:ascii="Verdana" w:hAnsi="Verdana"/>
                <w:sz w:val="16"/>
                <w:szCs w:val="16"/>
              </w:rPr>
              <w:t xml:space="preserve"> para ser utilizado durante el análisis de la muestra. El criterio para determinar que una interferencia espectral </w:t>
            </w:r>
            <w:proofErr w:type="spellStart"/>
            <w:r w:rsidRPr="00F01347">
              <w:rPr>
                <w:rFonts w:ascii="Verdana" w:hAnsi="Verdana"/>
                <w:sz w:val="16"/>
                <w:szCs w:val="16"/>
              </w:rPr>
              <w:t>interelemento</w:t>
            </w:r>
            <w:proofErr w:type="spellEnd"/>
            <w:r w:rsidRPr="00F01347">
              <w:rPr>
                <w:rFonts w:ascii="Verdana" w:hAnsi="Verdana"/>
                <w:sz w:val="16"/>
                <w:szCs w:val="16"/>
              </w:rPr>
              <w:t xml:space="preserve"> está presente, es una concentración positiva o negativa aparente para el analito que está más allá de un ± del límite establecido cercano a cero. </w:t>
            </w:r>
            <w:r w:rsidRPr="00F01347">
              <w:rPr>
                <w:rFonts w:ascii="Verdana" w:hAnsi="Verdana"/>
                <w:sz w:val="16"/>
                <w:szCs w:val="16"/>
              </w:rPr>
              <w:lastRenderedPageBreak/>
              <w:t>Una vez establecida, la rutina completa debe ser verificada cada seis meses. Sólo una parte de la rutina de corrección se debe verificar con mayor frecuencia o cada vez que se llevan a cabo los análisis. Se deben mantener los registros de las verificaciones iniciales y periódicas.</w:t>
            </w:r>
          </w:p>
        </w:tc>
        <w:tc>
          <w:tcPr>
            <w:tcW w:w="4675" w:type="dxa"/>
          </w:tcPr>
          <w:p w14:paraId="209DF5B2" w14:textId="77C88ABB" w:rsidR="00706846" w:rsidRPr="00F01347" w:rsidRDefault="00706846" w:rsidP="00706846">
            <w:pPr>
              <w:pStyle w:val="texto0"/>
              <w:spacing w:line="240" w:lineRule="exact"/>
              <w:ind w:firstLine="0"/>
              <w:rPr>
                <w:rFonts w:ascii="Verdana" w:hAnsi="Verdana"/>
                <w:sz w:val="16"/>
                <w:szCs w:val="16"/>
                <w:lang w:val="en-US"/>
              </w:rPr>
            </w:pPr>
            <w:r w:rsidRPr="00F01347">
              <w:rPr>
                <w:rFonts w:ascii="Verdana" w:hAnsi="Verdana"/>
                <w:sz w:val="16"/>
                <w:szCs w:val="16"/>
                <w:lang w:val="en-US"/>
              </w:rPr>
              <w:lastRenderedPageBreak/>
              <w:t xml:space="preserve">After completing the initial operational optimization of operating conditions, and before analyzing samples, the laboratory must initially establish and verify an interelement spectral interference correction routine to be used during sample analysis. The criterion for determining that an interelement spectral interference is present is an apparent positive or negative concentration for the analyte that is beyond a ± of the established limit close to zero. Once established, the entire routine should be verified every six months. Only </w:t>
            </w:r>
            <w:r w:rsidRPr="00F01347">
              <w:rPr>
                <w:rFonts w:ascii="Verdana" w:hAnsi="Verdana"/>
                <w:sz w:val="16"/>
                <w:szCs w:val="16"/>
                <w:lang w:val="en-US"/>
              </w:rPr>
              <w:lastRenderedPageBreak/>
              <w:t>part of the correction routine should be checked more frequently or each time tests are performed. Records of initial and periodic verifications must be maintained.</w:t>
            </w:r>
          </w:p>
        </w:tc>
      </w:tr>
      <w:tr w:rsidR="00706846" w:rsidRPr="00F01347" w14:paraId="05B410D1" w14:textId="0A47CC85" w:rsidTr="006D6F6D">
        <w:tc>
          <w:tcPr>
            <w:tcW w:w="4675" w:type="dxa"/>
          </w:tcPr>
          <w:p w14:paraId="035C4447" w14:textId="77777777" w:rsidR="00706846" w:rsidRPr="00F01347" w:rsidRDefault="00706846" w:rsidP="00706846">
            <w:pPr>
              <w:pStyle w:val="texto0"/>
              <w:spacing w:line="236" w:lineRule="exact"/>
              <w:ind w:firstLine="0"/>
              <w:rPr>
                <w:rFonts w:ascii="Verdana" w:hAnsi="Verdana"/>
                <w:sz w:val="16"/>
                <w:szCs w:val="16"/>
              </w:rPr>
            </w:pPr>
            <w:r w:rsidRPr="00F01347">
              <w:rPr>
                <w:rFonts w:ascii="Verdana" w:hAnsi="Verdana"/>
                <w:sz w:val="16"/>
                <w:szCs w:val="16"/>
              </w:rPr>
              <w:lastRenderedPageBreak/>
              <w:t xml:space="preserve">Antes de la calibración diaria, y después del período de calentamiento del instrumento, se tiene que optimizar el flujo del gas nebulizador. Si se utiliza un controlador de flujo de masa, se debe ajustar a la velocidad de flujo optimizado registrado. A fin de mantener válidas las rutinas de corrección </w:t>
            </w:r>
            <w:proofErr w:type="spellStart"/>
            <w:r w:rsidRPr="00F01347">
              <w:rPr>
                <w:rFonts w:ascii="Verdana" w:hAnsi="Verdana"/>
                <w:sz w:val="16"/>
                <w:szCs w:val="16"/>
              </w:rPr>
              <w:t>interelemento</w:t>
            </w:r>
            <w:proofErr w:type="spellEnd"/>
            <w:r w:rsidRPr="00F01347">
              <w:rPr>
                <w:rFonts w:ascii="Verdana" w:hAnsi="Verdana"/>
                <w:sz w:val="16"/>
                <w:szCs w:val="16"/>
              </w:rPr>
              <w:t xml:space="preserve"> espectrales, el flujo de gas nebulizador deberá ser el mismo (el cambio debe ser &lt;2 %) día a día.</w:t>
            </w:r>
          </w:p>
        </w:tc>
        <w:tc>
          <w:tcPr>
            <w:tcW w:w="4675" w:type="dxa"/>
          </w:tcPr>
          <w:p w14:paraId="7F7DD325" w14:textId="202F9938" w:rsidR="00706846" w:rsidRPr="00F01347" w:rsidRDefault="00706846" w:rsidP="00706846">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Before the daily calibration, and after the instrument warm-up period, the nebulizer gas flow must be optimized. If a mass flow controller is used, it should be set to the recorded optimized flow rate. </w:t>
            </w: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keep the spectral interelement correction routines valid</w:t>
            </w:r>
            <w:r w:rsidR="003E1BA9" w:rsidRPr="00F01347">
              <w:rPr>
                <w:rFonts w:ascii="Verdana" w:hAnsi="Verdana"/>
                <w:sz w:val="16"/>
                <w:szCs w:val="16"/>
                <w:lang w:val="en-US"/>
              </w:rPr>
              <w:t>,</w:t>
            </w:r>
            <w:r w:rsidRPr="00F01347">
              <w:rPr>
                <w:rFonts w:ascii="Verdana" w:hAnsi="Verdana"/>
                <w:sz w:val="16"/>
                <w:szCs w:val="16"/>
                <w:lang w:val="en-US"/>
              </w:rPr>
              <w:t xml:space="preserve"> the nebulizer gas flow should be the same (change should be &lt;2%) day to day.</w:t>
            </w:r>
          </w:p>
        </w:tc>
      </w:tr>
      <w:tr w:rsidR="00706846" w:rsidRPr="00F01347" w14:paraId="5E58F2F5" w14:textId="2E31B23A" w:rsidTr="006D6F6D">
        <w:tc>
          <w:tcPr>
            <w:tcW w:w="4675" w:type="dxa"/>
          </w:tcPr>
          <w:p w14:paraId="67F5DE2B" w14:textId="77777777" w:rsidR="00706846" w:rsidRPr="00F01347" w:rsidRDefault="00706846" w:rsidP="00706846">
            <w:pPr>
              <w:pStyle w:val="texto0"/>
              <w:spacing w:line="236" w:lineRule="exact"/>
              <w:ind w:firstLine="0"/>
              <w:rPr>
                <w:rFonts w:ascii="Verdana" w:hAnsi="Verdana"/>
                <w:sz w:val="16"/>
                <w:szCs w:val="16"/>
              </w:rPr>
            </w:pPr>
            <w:r w:rsidRPr="00F01347">
              <w:rPr>
                <w:rFonts w:ascii="Verdana" w:hAnsi="Verdana"/>
                <w:sz w:val="16"/>
                <w:szCs w:val="16"/>
              </w:rPr>
              <w:t xml:space="preserve">Para la operación con disolventes orgánicos, se recomienda el uso de la entrada de argón </w:t>
            </w:r>
            <w:proofErr w:type="gramStart"/>
            <w:r w:rsidRPr="00F01347">
              <w:rPr>
                <w:rFonts w:ascii="Verdana" w:hAnsi="Verdana"/>
                <w:sz w:val="16"/>
                <w:szCs w:val="16"/>
              </w:rPr>
              <w:t>auxiliar</w:t>
            </w:r>
            <w:proofErr w:type="gramEnd"/>
            <w:r w:rsidRPr="00F01347">
              <w:rPr>
                <w:rFonts w:ascii="Verdana" w:hAnsi="Verdana"/>
                <w:sz w:val="16"/>
                <w:szCs w:val="16"/>
              </w:rPr>
              <w:t xml:space="preserve"> así como tubería resistente a los disolventes, el aumento de flujo de argón, la disminución del flujo del nebulizador, y el aumento de potencia de RF, para obtener un funcionamiento estable y mediciones precisas.</w:t>
            </w:r>
          </w:p>
        </w:tc>
        <w:tc>
          <w:tcPr>
            <w:tcW w:w="4675" w:type="dxa"/>
          </w:tcPr>
          <w:p w14:paraId="438F1C7C" w14:textId="1D2B7B62" w:rsidR="00706846" w:rsidRPr="00F01347" w:rsidRDefault="00706846" w:rsidP="00706846">
            <w:pPr>
              <w:pStyle w:val="texto0"/>
              <w:spacing w:line="236" w:lineRule="exact"/>
              <w:ind w:firstLine="0"/>
              <w:rPr>
                <w:rFonts w:ascii="Verdana" w:hAnsi="Verdana"/>
                <w:sz w:val="16"/>
                <w:szCs w:val="16"/>
                <w:lang w:val="en-US"/>
              </w:rPr>
            </w:pPr>
            <w:r w:rsidRPr="00F01347">
              <w:rPr>
                <w:rFonts w:ascii="Verdana" w:hAnsi="Verdana"/>
                <w:sz w:val="16"/>
                <w:szCs w:val="16"/>
                <w:lang w:val="en-US"/>
              </w:rPr>
              <w:t>For operation with organic solvents, it is recommended to use the auxiliary argon inlet as well as solvent resistant tubing, increasing argon flow, decreasing nebulizer flow, and increasing RF power, to obtain a stable operation and accurate measurements.</w:t>
            </w:r>
          </w:p>
        </w:tc>
      </w:tr>
      <w:tr w:rsidR="00706846" w:rsidRPr="00F01347" w14:paraId="26788656" w14:textId="5E2C2A0C" w:rsidTr="006D6F6D">
        <w:tc>
          <w:tcPr>
            <w:tcW w:w="4675" w:type="dxa"/>
          </w:tcPr>
          <w:p w14:paraId="156D8AF5"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b/>
                <w:sz w:val="16"/>
                <w:szCs w:val="16"/>
              </w:rPr>
              <w:t>B.4.2.7.1.4 Optimización del método</w:t>
            </w:r>
          </w:p>
        </w:tc>
        <w:tc>
          <w:tcPr>
            <w:tcW w:w="4675" w:type="dxa"/>
          </w:tcPr>
          <w:p w14:paraId="5F55FDA0" w14:textId="282918BF" w:rsidR="00706846" w:rsidRPr="00F01347" w:rsidRDefault="00706846" w:rsidP="00706846">
            <w:pPr>
              <w:pStyle w:val="texto0"/>
              <w:spacing w:line="232" w:lineRule="exact"/>
              <w:ind w:firstLine="0"/>
              <w:rPr>
                <w:rFonts w:ascii="Verdana" w:hAnsi="Verdana"/>
                <w:b/>
                <w:sz w:val="16"/>
                <w:szCs w:val="16"/>
                <w:lang w:val="en-US"/>
              </w:rPr>
            </w:pPr>
            <w:r w:rsidRPr="00F01347">
              <w:rPr>
                <w:rFonts w:ascii="Verdana" w:hAnsi="Verdana"/>
                <w:b/>
                <w:sz w:val="16"/>
                <w:szCs w:val="16"/>
                <w:lang w:val="en-US"/>
              </w:rPr>
              <w:t>B.4.2.7.1.4 Method optimization</w:t>
            </w:r>
          </w:p>
        </w:tc>
      </w:tr>
      <w:tr w:rsidR="00706846" w:rsidRPr="00F01347" w14:paraId="6E68BD69" w14:textId="458D3697" w:rsidTr="006D6F6D">
        <w:tc>
          <w:tcPr>
            <w:tcW w:w="4675" w:type="dxa"/>
          </w:tcPr>
          <w:p w14:paraId="78C666F5"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t>Establecer el intervalo lineal para cada longitud de onda utilizada mediante la determinación de la señal de respuesta a partir de un mínimo de tres, preferentemente cinco, diferentes patrones de concentración en todo el intervalo. Cada vez que haya un cambio significativo en la respuesta del instrumento se debe determinar nuevamente el intervalo. Como mínimo, el intervalo debe ser revisado cada seis meses.</w:t>
            </w:r>
          </w:p>
        </w:tc>
        <w:tc>
          <w:tcPr>
            <w:tcW w:w="4675" w:type="dxa"/>
          </w:tcPr>
          <w:p w14:paraId="55740C5E" w14:textId="4BA72F6D" w:rsidR="00706846" w:rsidRPr="00F01347" w:rsidRDefault="00706846" w:rsidP="00706846">
            <w:pPr>
              <w:pStyle w:val="texto0"/>
              <w:spacing w:line="232" w:lineRule="exact"/>
              <w:ind w:firstLine="0"/>
              <w:rPr>
                <w:rFonts w:ascii="Verdana" w:hAnsi="Verdana"/>
                <w:sz w:val="16"/>
                <w:szCs w:val="16"/>
                <w:lang w:val="en-US"/>
              </w:rPr>
            </w:pPr>
            <w:r w:rsidRPr="00F01347">
              <w:rPr>
                <w:rFonts w:ascii="Verdana" w:hAnsi="Verdana"/>
                <w:sz w:val="16"/>
                <w:szCs w:val="16"/>
                <w:lang w:val="en-US"/>
              </w:rPr>
              <w:t>Establish the linear range for each wavelength used by determining the signal response from a minimum of three, preferably five, different concentration patterns across the range. Every time there is a significant change in the instrument response, the interval must be determined again. At a minimum, the interval should be reviewed every six months.</w:t>
            </w:r>
          </w:p>
        </w:tc>
      </w:tr>
      <w:tr w:rsidR="00706846" w:rsidRPr="00F01347" w14:paraId="3EA25FCE" w14:textId="400C72AB" w:rsidTr="006D6F6D">
        <w:tc>
          <w:tcPr>
            <w:tcW w:w="4675" w:type="dxa"/>
          </w:tcPr>
          <w:p w14:paraId="43376173"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t xml:space="preserve">Muchos de los metales alcalinos y alcalinotérreos tienen curvas de respuesta no lineales debido a la ionización y a los efectos de </w:t>
            </w:r>
            <w:proofErr w:type="spellStart"/>
            <w:r w:rsidRPr="00F01347">
              <w:rPr>
                <w:rFonts w:ascii="Verdana" w:hAnsi="Verdana"/>
                <w:sz w:val="16"/>
                <w:szCs w:val="16"/>
              </w:rPr>
              <w:t>auto-absorción</w:t>
            </w:r>
            <w:proofErr w:type="spellEnd"/>
            <w:r w:rsidRPr="00F01347">
              <w:rPr>
                <w:rFonts w:ascii="Verdana" w:hAnsi="Verdana"/>
                <w:sz w:val="16"/>
                <w:szCs w:val="16"/>
              </w:rPr>
              <w:t xml:space="preserve">. Estas curvas se pueden utilizar si el instrumento lo permite; sin embargo, el intervalo efectivo debe ser revisado y el ajuste de la curva de segundo orden debe tener un coeficiente de correlación </w:t>
            </w:r>
            <w:r w:rsidRPr="00F01347">
              <w:rPr>
                <w:rFonts w:ascii="Verdana" w:hAnsi="Verdana"/>
                <w:sz w:val="16"/>
                <w:szCs w:val="16"/>
                <w:u w:val="single"/>
              </w:rPr>
              <w:t>&gt;</w:t>
            </w:r>
            <w:r w:rsidRPr="00F01347">
              <w:rPr>
                <w:rFonts w:ascii="Verdana" w:hAnsi="Verdana"/>
                <w:sz w:val="16"/>
                <w:szCs w:val="16"/>
              </w:rPr>
              <w:t xml:space="preserve"> 0.995. Estas respuestas de curvas no lineales deben ser revalidadas y se deben calcular cada seis meses. Estas curvas son mucho más sensibles a los cambios en las condiciones de operación que las lineales y debe realizarse cada vez que se han producido cambios moderados en el equipo.</w:t>
            </w:r>
          </w:p>
        </w:tc>
        <w:tc>
          <w:tcPr>
            <w:tcW w:w="4675" w:type="dxa"/>
          </w:tcPr>
          <w:p w14:paraId="3897D9EC" w14:textId="61FE5820" w:rsidR="00706846" w:rsidRPr="00F01347" w:rsidRDefault="00706846" w:rsidP="00706846">
            <w:pPr>
              <w:pStyle w:val="texto0"/>
              <w:spacing w:line="232" w:lineRule="exact"/>
              <w:ind w:firstLine="0"/>
              <w:rPr>
                <w:rFonts w:ascii="Verdana" w:hAnsi="Verdana"/>
                <w:sz w:val="16"/>
                <w:szCs w:val="16"/>
                <w:lang w:val="en-US"/>
              </w:rPr>
            </w:pPr>
            <w:r w:rsidRPr="00F01347">
              <w:rPr>
                <w:rFonts w:ascii="Verdana" w:hAnsi="Verdana"/>
                <w:sz w:val="16"/>
                <w:szCs w:val="16"/>
                <w:lang w:val="en-US"/>
              </w:rPr>
              <w:t>Many alkali and alkaline earth metals have nonlinear response curves due to ionization and self-absorption effects</w:t>
            </w:r>
            <w:r w:rsidR="003E1BA9" w:rsidRPr="00F01347">
              <w:rPr>
                <w:rFonts w:ascii="Verdana" w:hAnsi="Verdana"/>
                <w:sz w:val="16"/>
                <w:szCs w:val="16"/>
                <w:lang w:val="en-US"/>
              </w:rPr>
              <w:t>.</w:t>
            </w:r>
            <w:r w:rsidRPr="00F01347">
              <w:rPr>
                <w:rFonts w:ascii="Verdana" w:hAnsi="Verdana"/>
                <w:sz w:val="16"/>
                <w:szCs w:val="16"/>
                <w:lang w:val="en-US"/>
              </w:rPr>
              <w:t xml:space="preserve"> These curves can be used if the instrument allows it; however, the effective interval should be </w:t>
            </w:r>
            <w:r w:rsidR="00CC610E" w:rsidRPr="00F01347">
              <w:rPr>
                <w:rFonts w:ascii="Verdana" w:hAnsi="Verdana"/>
                <w:sz w:val="16"/>
                <w:szCs w:val="16"/>
                <w:lang w:val="en-US"/>
              </w:rPr>
              <w:t>revised,</w:t>
            </w:r>
            <w:r w:rsidRPr="00F01347">
              <w:rPr>
                <w:rFonts w:ascii="Verdana" w:hAnsi="Verdana"/>
                <w:sz w:val="16"/>
                <w:szCs w:val="16"/>
                <w:lang w:val="en-US"/>
              </w:rPr>
              <w:t xml:space="preserve"> and the second-order curve fit should have a correlation coefficient </w:t>
            </w:r>
            <w:r w:rsidRPr="00F01347">
              <w:rPr>
                <w:rFonts w:ascii="Verdana" w:hAnsi="Verdana"/>
                <w:sz w:val="16"/>
                <w:szCs w:val="16"/>
                <w:u w:val="single"/>
                <w:lang w:val="en-US"/>
              </w:rPr>
              <w:t xml:space="preserve">&gt; </w:t>
            </w:r>
            <w:r w:rsidRPr="00F01347">
              <w:rPr>
                <w:rFonts w:ascii="Verdana" w:hAnsi="Verdana"/>
                <w:sz w:val="16"/>
                <w:szCs w:val="16"/>
                <w:lang w:val="en-US"/>
              </w:rPr>
              <w:t>0.995. These non-linear curve responses must be revalidated and calculated every six months. These curves are much more sensitive to changes in operating conditions than linear curves and should be performed whenever moderate changes have occurred in the equipment.</w:t>
            </w:r>
          </w:p>
        </w:tc>
      </w:tr>
      <w:tr w:rsidR="00706846" w:rsidRPr="00F01347" w14:paraId="6490DDAF" w14:textId="4D0CE43C" w:rsidTr="006D6F6D">
        <w:tc>
          <w:tcPr>
            <w:tcW w:w="4675" w:type="dxa"/>
          </w:tcPr>
          <w:p w14:paraId="7642324E"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t>Establecer la sensibilidad, el límite de detección del instrumental (LDI), la precisión, el intervalo lineal, y los efectos de interferencia para cada analito individual de cada instrumento en particular. Todas las mediciones deben estar dentro del intervalo lineal del instrumento donde las ecuaciones de corrección son válidas.</w:t>
            </w:r>
          </w:p>
        </w:tc>
        <w:tc>
          <w:tcPr>
            <w:tcW w:w="4675" w:type="dxa"/>
          </w:tcPr>
          <w:p w14:paraId="029CA918" w14:textId="723FE6E7" w:rsidR="00706846" w:rsidRPr="00F01347" w:rsidRDefault="00706846" w:rsidP="00706846">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Establish the sensitivity, instrument detection limit (LOD), precision, linear range, and interference effects for each individual analyte for each </w:t>
            </w:r>
            <w:r w:rsidR="00CC610E" w:rsidRPr="00F01347">
              <w:rPr>
                <w:rFonts w:ascii="Verdana" w:hAnsi="Verdana"/>
                <w:sz w:val="16"/>
                <w:szCs w:val="16"/>
                <w:lang w:val="en-US"/>
              </w:rPr>
              <w:t>instrument</w:t>
            </w:r>
            <w:r w:rsidRPr="00F01347">
              <w:rPr>
                <w:rFonts w:ascii="Verdana" w:hAnsi="Verdana"/>
                <w:sz w:val="16"/>
                <w:szCs w:val="16"/>
                <w:lang w:val="en-US"/>
              </w:rPr>
              <w:t>. All measurements must be within the linear range of the instrument where the correction equations are valid.</w:t>
            </w:r>
          </w:p>
        </w:tc>
      </w:tr>
      <w:tr w:rsidR="00706846" w:rsidRPr="00F01347" w14:paraId="136E4482" w14:textId="748A5DE4" w:rsidTr="006D6F6D">
        <w:tc>
          <w:tcPr>
            <w:tcW w:w="4675" w:type="dxa"/>
          </w:tcPr>
          <w:p w14:paraId="24956C73"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t xml:space="preserve">El laboratorio debe establecer el límite de cuantificación en el nivel bajo del intervalo para cada analito, en la mayoría de los casos es el punto más bajo de la curva de calibración, la verificación inicial se lleva a cabo </w:t>
            </w:r>
            <w:r w:rsidRPr="00F01347">
              <w:rPr>
                <w:rFonts w:ascii="Verdana" w:hAnsi="Verdana"/>
                <w:sz w:val="16"/>
                <w:szCs w:val="16"/>
              </w:rPr>
              <w:lastRenderedPageBreak/>
              <w:t>utilizando 7 replicados de la muestra fortificadas en el nivel bajo y procesadas a través de todas las etapas de preparación y análisis del método. La recuperación media debe ser +/- 35% del valor real y la DER debe ser &lt;20%.</w:t>
            </w:r>
          </w:p>
        </w:tc>
        <w:tc>
          <w:tcPr>
            <w:tcW w:w="4675" w:type="dxa"/>
          </w:tcPr>
          <w:p w14:paraId="7B40E185" w14:textId="6A8CFCDD" w:rsidR="00706846" w:rsidRPr="00F01347" w:rsidRDefault="00706846" w:rsidP="00706846">
            <w:pPr>
              <w:pStyle w:val="texto0"/>
              <w:spacing w:line="232" w:lineRule="exact"/>
              <w:ind w:firstLine="0"/>
              <w:rPr>
                <w:rFonts w:ascii="Verdana" w:hAnsi="Verdana"/>
                <w:sz w:val="16"/>
                <w:szCs w:val="16"/>
                <w:lang w:val="en-US"/>
              </w:rPr>
            </w:pPr>
            <w:r w:rsidRPr="00F01347">
              <w:rPr>
                <w:rFonts w:ascii="Verdana" w:hAnsi="Verdana"/>
                <w:sz w:val="16"/>
                <w:szCs w:val="16"/>
                <w:lang w:val="en-US"/>
              </w:rPr>
              <w:lastRenderedPageBreak/>
              <w:t xml:space="preserve">The laboratory must establish the limit of quantification at the low level of the range for each analyte, in most cases it is the lowest point of the calibration curve, the initial verification is carried out using 7 replicates of the </w:t>
            </w:r>
            <w:r w:rsidRPr="00F01347">
              <w:rPr>
                <w:rFonts w:ascii="Verdana" w:hAnsi="Verdana"/>
                <w:sz w:val="16"/>
                <w:szCs w:val="16"/>
                <w:lang w:val="en-US"/>
              </w:rPr>
              <w:lastRenderedPageBreak/>
              <w:t>sample fortified in the low level and processed through all stages of preparation and analysis of the method. The mean recovery should be +/- 35% of the actual value and the RSD should be &lt;20%.</w:t>
            </w:r>
          </w:p>
        </w:tc>
      </w:tr>
      <w:tr w:rsidR="00706846" w:rsidRPr="00F01347" w14:paraId="2273E511" w14:textId="5111BD8C" w:rsidTr="006D6F6D">
        <w:tc>
          <w:tcPr>
            <w:tcW w:w="4675" w:type="dxa"/>
          </w:tcPr>
          <w:p w14:paraId="0846E2B5"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lastRenderedPageBreak/>
              <w:t xml:space="preserve">La verificación continua </w:t>
            </w:r>
            <w:proofErr w:type="gramStart"/>
            <w:r w:rsidRPr="00F01347">
              <w:rPr>
                <w:rFonts w:ascii="Verdana" w:hAnsi="Verdana"/>
                <w:sz w:val="16"/>
                <w:szCs w:val="16"/>
              </w:rPr>
              <w:t>del el límite</w:t>
            </w:r>
            <w:proofErr w:type="gramEnd"/>
            <w:r w:rsidRPr="00F01347">
              <w:rPr>
                <w:rFonts w:ascii="Verdana" w:hAnsi="Verdana"/>
                <w:sz w:val="16"/>
                <w:szCs w:val="16"/>
              </w:rPr>
              <w:t xml:space="preserve"> de cuantificación en el nivel bajo del intervalo, como mínimo se realiza trimestralmente para validar la capacidad de cuantificación a bajos niveles de concentración del analito.</w:t>
            </w:r>
          </w:p>
        </w:tc>
        <w:tc>
          <w:tcPr>
            <w:tcW w:w="4675" w:type="dxa"/>
          </w:tcPr>
          <w:p w14:paraId="30A175FB" w14:textId="3DCDA432" w:rsidR="00706846" w:rsidRPr="00F01347" w:rsidRDefault="00706846" w:rsidP="00706846">
            <w:pPr>
              <w:pStyle w:val="texto0"/>
              <w:spacing w:line="232" w:lineRule="exact"/>
              <w:ind w:firstLine="0"/>
              <w:rPr>
                <w:rFonts w:ascii="Verdana" w:hAnsi="Verdana"/>
                <w:sz w:val="16"/>
                <w:szCs w:val="16"/>
                <w:lang w:val="en-US"/>
              </w:rPr>
            </w:pPr>
            <w:r w:rsidRPr="00F01347">
              <w:rPr>
                <w:rFonts w:ascii="Verdana" w:hAnsi="Verdana"/>
                <w:sz w:val="16"/>
                <w:szCs w:val="16"/>
                <w:lang w:val="en-US"/>
              </w:rPr>
              <w:t>Continuous verification of the limit of quantitation at the low end of the range is performed at a minimum quarterly to validate the quantitation capacity at low analyte concentration levels.</w:t>
            </w:r>
          </w:p>
        </w:tc>
      </w:tr>
      <w:tr w:rsidR="00706846" w:rsidRPr="00F01347" w14:paraId="2B08491E" w14:textId="1E5D4337" w:rsidTr="006D6F6D">
        <w:tc>
          <w:tcPr>
            <w:tcW w:w="4675" w:type="dxa"/>
          </w:tcPr>
          <w:p w14:paraId="53277033"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t>Para poder utilizar este método el laboratorio debe demostrar que el intervalo de trabajo para cada analito contempla la especificación establecida por las normas oficiales mexicanas correspondientes.</w:t>
            </w:r>
          </w:p>
        </w:tc>
        <w:tc>
          <w:tcPr>
            <w:tcW w:w="4675" w:type="dxa"/>
          </w:tcPr>
          <w:p w14:paraId="7AE84BD3" w14:textId="46462D59" w:rsidR="00706846" w:rsidRPr="00F01347" w:rsidRDefault="00706846" w:rsidP="00706846">
            <w:pPr>
              <w:pStyle w:val="texto0"/>
              <w:spacing w:line="232" w:lineRule="exact"/>
              <w:ind w:firstLine="0"/>
              <w:rPr>
                <w:rFonts w:ascii="Verdana" w:hAnsi="Verdana"/>
                <w:sz w:val="16"/>
                <w:szCs w:val="16"/>
                <w:lang w:val="en-US"/>
              </w:rPr>
            </w:pP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use this method, the laboratory must demonstrate that the working range for each analyte contemplates the specification established by the corresponding </w:t>
            </w:r>
            <w:r w:rsidR="00DF641F" w:rsidRPr="00F01347">
              <w:rPr>
                <w:rFonts w:ascii="Verdana" w:hAnsi="Verdana"/>
                <w:sz w:val="16"/>
                <w:szCs w:val="16"/>
                <w:lang w:val="en-US"/>
              </w:rPr>
              <w:t>O</w:t>
            </w:r>
            <w:r w:rsidRPr="00F01347">
              <w:rPr>
                <w:rFonts w:ascii="Verdana" w:hAnsi="Verdana"/>
                <w:sz w:val="16"/>
                <w:szCs w:val="16"/>
                <w:lang w:val="en-US"/>
              </w:rPr>
              <w:t xml:space="preserve">fficial Mexican </w:t>
            </w:r>
            <w:r w:rsidR="00DF641F" w:rsidRPr="00F01347">
              <w:rPr>
                <w:rFonts w:ascii="Verdana" w:hAnsi="Verdana"/>
                <w:sz w:val="16"/>
                <w:szCs w:val="16"/>
                <w:lang w:val="en-US"/>
              </w:rPr>
              <w:t>S</w:t>
            </w:r>
            <w:r w:rsidRPr="00F01347">
              <w:rPr>
                <w:rFonts w:ascii="Verdana" w:hAnsi="Verdana"/>
                <w:sz w:val="16"/>
                <w:szCs w:val="16"/>
                <w:lang w:val="en-US"/>
              </w:rPr>
              <w:t>tandards.</w:t>
            </w:r>
          </w:p>
        </w:tc>
      </w:tr>
      <w:tr w:rsidR="00706846" w:rsidRPr="00F01347" w14:paraId="5FD005A5" w14:textId="7E2E06E1" w:rsidTr="006D6F6D">
        <w:tc>
          <w:tcPr>
            <w:tcW w:w="4675" w:type="dxa"/>
          </w:tcPr>
          <w:p w14:paraId="77E9CFA6" w14:textId="77777777" w:rsidR="00706846" w:rsidRPr="00F01347" w:rsidRDefault="00706846" w:rsidP="00706846">
            <w:pPr>
              <w:pStyle w:val="texto0"/>
              <w:spacing w:line="232" w:lineRule="exact"/>
              <w:ind w:firstLine="0"/>
              <w:rPr>
                <w:rFonts w:ascii="Verdana" w:hAnsi="Verdana"/>
                <w:b/>
                <w:sz w:val="16"/>
                <w:szCs w:val="16"/>
              </w:rPr>
            </w:pPr>
            <w:r w:rsidRPr="00F01347">
              <w:rPr>
                <w:rFonts w:ascii="Verdana" w:hAnsi="Verdana"/>
                <w:b/>
                <w:sz w:val="16"/>
                <w:szCs w:val="16"/>
              </w:rPr>
              <w:t>B.4.2.7.1.5 Calibración diaria del instrumento</w:t>
            </w:r>
          </w:p>
        </w:tc>
        <w:tc>
          <w:tcPr>
            <w:tcW w:w="4675" w:type="dxa"/>
          </w:tcPr>
          <w:p w14:paraId="46CACEB6" w14:textId="2855F334" w:rsidR="00706846" w:rsidRPr="00F01347" w:rsidRDefault="00706846" w:rsidP="00706846">
            <w:pPr>
              <w:pStyle w:val="texto0"/>
              <w:spacing w:line="232" w:lineRule="exact"/>
              <w:ind w:firstLine="0"/>
              <w:rPr>
                <w:rFonts w:ascii="Verdana" w:hAnsi="Verdana"/>
                <w:b/>
                <w:sz w:val="16"/>
                <w:szCs w:val="16"/>
                <w:lang w:val="en-US"/>
              </w:rPr>
            </w:pPr>
            <w:r w:rsidRPr="00F01347">
              <w:rPr>
                <w:rFonts w:ascii="Verdana" w:hAnsi="Verdana"/>
                <w:b/>
                <w:sz w:val="16"/>
                <w:szCs w:val="16"/>
                <w:lang w:val="en-US"/>
              </w:rPr>
              <w:t>B.4.2.7.1.5 Daily instrument calibration</w:t>
            </w:r>
          </w:p>
        </w:tc>
      </w:tr>
      <w:tr w:rsidR="00706846" w:rsidRPr="00F01347" w14:paraId="15BC11EA" w14:textId="7D484C56" w:rsidTr="006D6F6D">
        <w:tc>
          <w:tcPr>
            <w:tcW w:w="4675" w:type="dxa"/>
          </w:tcPr>
          <w:p w14:paraId="4A756BF9"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t>Los estándares de calibración deben prepararse utilizando el mismo tipo de ácido o combinación de ácidos y en la misma concentración que las muestras.</w:t>
            </w:r>
          </w:p>
        </w:tc>
        <w:tc>
          <w:tcPr>
            <w:tcW w:w="4675" w:type="dxa"/>
          </w:tcPr>
          <w:p w14:paraId="59A58357" w14:textId="045FE703" w:rsidR="00706846" w:rsidRPr="00F01347" w:rsidRDefault="00706846" w:rsidP="00706846">
            <w:pPr>
              <w:pStyle w:val="texto0"/>
              <w:spacing w:line="232" w:lineRule="exact"/>
              <w:ind w:firstLine="0"/>
              <w:rPr>
                <w:rFonts w:ascii="Verdana" w:hAnsi="Verdana"/>
                <w:sz w:val="16"/>
                <w:szCs w:val="16"/>
                <w:lang w:val="en-US"/>
              </w:rPr>
            </w:pPr>
            <w:r w:rsidRPr="00F01347">
              <w:rPr>
                <w:rFonts w:ascii="Verdana" w:hAnsi="Verdana"/>
                <w:sz w:val="16"/>
                <w:szCs w:val="16"/>
                <w:lang w:val="en-US"/>
              </w:rPr>
              <w:t>Calibration standards should be prepared using the same type of acid or combination of acids and at the same concentration as the samples.</w:t>
            </w:r>
          </w:p>
        </w:tc>
      </w:tr>
      <w:tr w:rsidR="00706846" w:rsidRPr="00F01347" w14:paraId="2EAA86F9" w14:textId="5EB67D42" w:rsidTr="006D6F6D">
        <w:tc>
          <w:tcPr>
            <w:tcW w:w="4675" w:type="dxa"/>
          </w:tcPr>
          <w:p w14:paraId="6B080B68"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t xml:space="preserve">Preparar un blanco de calibración y mínimo 3 niveles de concentración para cada uno de los analitos a cuantificar. La concentración más alta no debe ser superior al intervalo lineal del instrumento según lo establecido anteriormente. Calibrar el instrumento diariamente y el coeficiente de correlación </w:t>
            </w:r>
            <w:proofErr w:type="gramStart"/>
            <w:r w:rsidRPr="00F01347">
              <w:rPr>
                <w:rFonts w:ascii="Verdana" w:hAnsi="Verdana"/>
                <w:sz w:val="16"/>
                <w:szCs w:val="16"/>
              </w:rPr>
              <w:t>debe  ser</w:t>
            </w:r>
            <w:proofErr w:type="gramEnd"/>
            <w:r w:rsidRPr="00F01347">
              <w:rPr>
                <w:rFonts w:ascii="Verdana" w:hAnsi="Verdana"/>
                <w:sz w:val="16"/>
                <w:szCs w:val="16"/>
              </w:rPr>
              <w:t xml:space="preserve"> ≥ 0.995.</w:t>
            </w:r>
          </w:p>
        </w:tc>
        <w:tc>
          <w:tcPr>
            <w:tcW w:w="4675" w:type="dxa"/>
          </w:tcPr>
          <w:p w14:paraId="19F04829" w14:textId="6E2E1EC0" w:rsidR="00706846" w:rsidRPr="00F01347" w:rsidRDefault="00706846" w:rsidP="00706846">
            <w:pPr>
              <w:pStyle w:val="texto0"/>
              <w:spacing w:line="232" w:lineRule="exact"/>
              <w:ind w:firstLine="0"/>
              <w:rPr>
                <w:rFonts w:ascii="Verdana" w:hAnsi="Verdana"/>
                <w:sz w:val="16"/>
                <w:szCs w:val="16"/>
                <w:lang w:val="en-US"/>
              </w:rPr>
            </w:pPr>
            <w:r w:rsidRPr="00F01347">
              <w:rPr>
                <w:rFonts w:ascii="Verdana" w:hAnsi="Verdana"/>
                <w:sz w:val="16"/>
                <w:szCs w:val="16"/>
                <w:lang w:val="en-US"/>
              </w:rPr>
              <w:t>Prepare a calibration blank and at least 3 concentration levels for each of the analytes to be quantified. The highest concentration should not be greater than the linear range of the instrument as stated above. Calibrate the instrument daily and the correlation coefficient should be ≥ 0.995.</w:t>
            </w:r>
          </w:p>
        </w:tc>
      </w:tr>
      <w:tr w:rsidR="00706846" w:rsidRPr="00F01347" w14:paraId="7056392D" w14:textId="7C1BAFE9" w:rsidTr="006D6F6D">
        <w:tc>
          <w:tcPr>
            <w:tcW w:w="4675" w:type="dxa"/>
          </w:tcPr>
          <w:p w14:paraId="5F08D167"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t>La calibración inicial puede también realizarse utilizando un blanco de calibración y un solo nivel de concentración (nivel alto); si se realiza de esta manera, la curva resultante debe verificarse con dos disoluciones estándar (niveles bajo y medio del intervalo). El intervalo de aceptación de ambas disoluciones es del 80 a 120%.</w:t>
            </w:r>
          </w:p>
        </w:tc>
        <w:tc>
          <w:tcPr>
            <w:tcW w:w="4675" w:type="dxa"/>
          </w:tcPr>
          <w:p w14:paraId="4D387588" w14:textId="7A5EA295" w:rsidR="00706846" w:rsidRPr="00F01347" w:rsidRDefault="00706846" w:rsidP="00706846">
            <w:pPr>
              <w:pStyle w:val="texto0"/>
              <w:spacing w:line="232" w:lineRule="exact"/>
              <w:ind w:firstLine="0"/>
              <w:rPr>
                <w:rFonts w:ascii="Verdana" w:hAnsi="Verdana"/>
                <w:sz w:val="16"/>
                <w:szCs w:val="16"/>
                <w:lang w:val="en-US"/>
              </w:rPr>
            </w:pPr>
            <w:r w:rsidRPr="00F01347">
              <w:rPr>
                <w:rFonts w:ascii="Verdana" w:hAnsi="Verdana"/>
                <w:sz w:val="16"/>
                <w:szCs w:val="16"/>
                <w:lang w:val="en-US"/>
              </w:rPr>
              <w:t>Initial calibration can also be performed using a calibration blank and a single concentration level (high level); If done this way, the resulting curve must be verified with two standard solutions (low and middle levels of the range). The acceptance range of both solutions is 80 to 120%.</w:t>
            </w:r>
          </w:p>
        </w:tc>
      </w:tr>
      <w:tr w:rsidR="00706846" w:rsidRPr="00F01347" w14:paraId="418C0281" w14:textId="725D7254" w:rsidTr="006D6F6D">
        <w:tc>
          <w:tcPr>
            <w:tcW w:w="4675" w:type="dxa"/>
          </w:tcPr>
          <w:p w14:paraId="36DC6E9B"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t>Comprobar la estandarización del instrumento mediante el análisis apropiado de muestras de control de calidad (MCC) de la siguiente manera:</w:t>
            </w:r>
          </w:p>
        </w:tc>
        <w:tc>
          <w:tcPr>
            <w:tcW w:w="4675" w:type="dxa"/>
          </w:tcPr>
          <w:p w14:paraId="05F7F9FA" w14:textId="1B9031A1" w:rsidR="00706846" w:rsidRPr="00F01347" w:rsidRDefault="00706846" w:rsidP="00706846">
            <w:pPr>
              <w:pStyle w:val="texto0"/>
              <w:spacing w:line="232" w:lineRule="exact"/>
              <w:ind w:firstLine="0"/>
              <w:rPr>
                <w:rFonts w:ascii="Verdana" w:hAnsi="Verdana"/>
                <w:sz w:val="16"/>
                <w:szCs w:val="16"/>
                <w:lang w:val="en-US"/>
              </w:rPr>
            </w:pPr>
            <w:r w:rsidRPr="00F01347">
              <w:rPr>
                <w:rFonts w:ascii="Verdana" w:hAnsi="Verdana"/>
                <w:sz w:val="16"/>
                <w:szCs w:val="16"/>
                <w:lang w:val="en-US"/>
              </w:rPr>
              <w:t>Check instrument standardization by appropriately analyzing quality control (QC) samples as follows:</w:t>
            </w:r>
          </w:p>
        </w:tc>
      </w:tr>
      <w:tr w:rsidR="00706846" w:rsidRPr="00F01347" w14:paraId="109261DE" w14:textId="31AF36D6" w:rsidTr="006D6F6D">
        <w:tc>
          <w:tcPr>
            <w:tcW w:w="4675" w:type="dxa"/>
          </w:tcPr>
          <w:p w14:paraId="3348F2AB"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t>Preparar los estándares de calibración cada vez que se analiza una serie de muestras. Si la CVI se prepara diariamente y los resultados de los análisis del CVI están dentro de los criterios de aceptación, se puede ampliar la vigencia de las disoluciones mientras la disolución CVI cumpla con los criterios establecidos.</w:t>
            </w:r>
          </w:p>
        </w:tc>
        <w:tc>
          <w:tcPr>
            <w:tcW w:w="4675" w:type="dxa"/>
          </w:tcPr>
          <w:p w14:paraId="29D785FD" w14:textId="1E0FB2D8" w:rsidR="00706846" w:rsidRPr="00F01347" w:rsidRDefault="00706846" w:rsidP="00706846">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Prepare calibration standards each time </w:t>
            </w:r>
            <w:r w:rsidR="004A6BE5" w:rsidRPr="00F01347">
              <w:rPr>
                <w:rFonts w:ascii="Verdana" w:hAnsi="Verdana"/>
                <w:sz w:val="16"/>
                <w:szCs w:val="16"/>
                <w:lang w:val="en-US"/>
              </w:rPr>
              <w:t>one</w:t>
            </w:r>
            <w:r w:rsidRPr="00F01347">
              <w:rPr>
                <w:rFonts w:ascii="Verdana" w:hAnsi="Verdana"/>
                <w:sz w:val="16"/>
                <w:szCs w:val="16"/>
                <w:lang w:val="en-US"/>
              </w:rPr>
              <w:t xml:space="preserve"> </w:t>
            </w:r>
            <w:proofErr w:type="gramStart"/>
            <w:r w:rsidRPr="00F01347">
              <w:rPr>
                <w:rFonts w:ascii="Verdana" w:hAnsi="Verdana"/>
                <w:sz w:val="16"/>
                <w:szCs w:val="16"/>
                <w:lang w:val="en-US"/>
              </w:rPr>
              <w:t>analyze</w:t>
            </w:r>
            <w:proofErr w:type="gramEnd"/>
            <w:r w:rsidRPr="00F01347">
              <w:rPr>
                <w:rFonts w:ascii="Verdana" w:hAnsi="Verdana"/>
                <w:sz w:val="16"/>
                <w:szCs w:val="16"/>
                <w:lang w:val="en-US"/>
              </w:rPr>
              <w:t xml:space="preserve"> a series of samples. If the CVI is prepared daily and the CVI analysis results are within the acceptance criteria, the validity of the solutions can be extended </w:t>
            </w:r>
            <w:proofErr w:type="gramStart"/>
            <w:r w:rsidRPr="00F01347">
              <w:rPr>
                <w:rFonts w:ascii="Verdana" w:hAnsi="Verdana"/>
                <w:sz w:val="16"/>
                <w:szCs w:val="16"/>
                <w:lang w:val="en-US"/>
              </w:rPr>
              <w:t>as long as</w:t>
            </w:r>
            <w:proofErr w:type="gramEnd"/>
            <w:r w:rsidRPr="00F01347">
              <w:rPr>
                <w:rFonts w:ascii="Verdana" w:hAnsi="Verdana"/>
                <w:sz w:val="16"/>
                <w:szCs w:val="16"/>
                <w:lang w:val="en-US"/>
              </w:rPr>
              <w:t xml:space="preserve"> the CVI solution meets the established criteria.</w:t>
            </w:r>
          </w:p>
        </w:tc>
      </w:tr>
      <w:tr w:rsidR="00706846" w:rsidRPr="00F01347" w14:paraId="3F681216" w14:textId="4E5F49C7" w:rsidTr="006D6F6D">
        <w:tc>
          <w:tcPr>
            <w:tcW w:w="4675" w:type="dxa"/>
          </w:tcPr>
          <w:p w14:paraId="5AC129A9"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t>El valor absoluto de los resultados del blanco de calibración debe ser menor que el límite de cuantificación en el nivel bajo del intervalo de la muestra de verificación para cada analito, o debe ser menor que el nivel de contaminación aceptable en el blanco especificado durante la validación del método. Si este no es el caso, debe ser identificada y corregida la razón de la condición fuera de control, y las diez muestras anteriores se deben volver a analizar.</w:t>
            </w:r>
          </w:p>
        </w:tc>
        <w:tc>
          <w:tcPr>
            <w:tcW w:w="4675" w:type="dxa"/>
          </w:tcPr>
          <w:p w14:paraId="389E32A2" w14:textId="543D8F51" w:rsidR="00706846" w:rsidRPr="00F01347" w:rsidRDefault="00706846" w:rsidP="00706846">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The absolute value of the calibration blank results must be less than the limit of quantitation at the low end of the verification sample range for each </w:t>
            </w:r>
            <w:r w:rsidR="00396C4C" w:rsidRPr="00F01347">
              <w:rPr>
                <w:rFonts w:ascii="Verdana" w:hAnsi="Verdana"/>
                <w:sz w:val="16"/>
                <w:szCs w:val="16"/>
                <w:lang w:val="en-US"/>
              </w:rPr>
              <w:t>analyte or</w:t>
            </w:r>
            <w:r w:rsidRPr="00F01347">
              <w:rPr>
                <w:rFonts w:ascii="Verdana" w:hAnsi="Verdana"/>
                <w:sz w:val="16"/>
                <w:szCs w:val="16"/>
                <w:lang w:val="en-US"/>
              </w:rPr>
              <w:t xml:space="preserve"> must be less than the acceptable contamination level in the blank specified during validation of the method. If this is not the case, the reason for the out-of-control condition must be identified and corrected, and the previous ten samples must be reanalyzed.</w:t>
            </w:r>
          </w:p>
        </w:tc>
      </w:tr>
      <w:tr w:rsidR="00706846" w:rsidRPr="00F01347" w14:paraId="5E385633" w14:textId="60A30551" w:rsidTr="006D6F6D">
        <w:tc>
          <w:tcPr>
            <w:tcW w:w="4675" w:type="dxa"/>
          </w:tcPr>
          <w:p w14:paraId="168A99BB"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lastRenderedPageBreak/>
              <w:t>Preparar una disolución estándar a una concentración cercana al límite superior. El valor calculado debe estar dentro ± 10 % del valor real.</w:t>
            </w:r>
          </w:p>
        </w:tc>
        <w:tc>
          <w:tcPr>
            <w:tcW w:w="4675" w:type="dxa"/>
          </w:tcPr>
          <w:p w14:paraId="690FECD5" w14:textId="2FA3BE13" w:rsidR="00706846" w:rsidRPr="00F01347" w:rsidRDefault="00706846" w:rsidP="00706846">
            <w:pPr>
              <w:pStyle w:val="texto0"/>
              <w:spacing w:line="232" w:lineRule="exact"/>
              <w:ind w:firstLine="0"/>
              <w:rPr>
                <w:rFonts w:ascii="Verdana" w:hAnsi="Verdana"/>
                <w:sz w:val="16"/>
                <w:szCs w:val="16"/>
                <w:lang w:val="en-US"/>
              </w:rPr>
            </w:pPr>
            <w:r w:rsidRPr="00F01347">
              <w:rPr>
                <w:rFonts w:ascii="Verdana" w:hAnsi="Verdana"/>
                <w:sz w:val="16"/>
                <w:szCs w:val="16"/>
                <w:lang w:val="en-US"/>
              </w:rPr>
              <w:t>Prepare a standard solution at a concentration close to the upper limit. The calculated value must be within ±10% of the actual value.</w:t>
            </w:r>
          </w:p>
        </w:tc>
      </w:tr>
      <w:tr w:rsidR="00706846" w:rsidRPr="00F01347" w14:paraId="3BDFA6F2" w14:textId="304D35A9" w:rsidTr="006D6F6D">
        <w:tc>
          <w:tcPr>
            <w:tcW w:w="4675" w:type="dxa"/>
          </w:tcPr>
          <w:p w14:paraId="324FD65E" w14:textId="77777777" w:rsidR="00706846" w:rsidRPr="00F01347" w:rsidRDefault="00706846" w:rsidP="00706846">
            <w:pPr>
              <w:pStyle w:val="texto0"/>
              <w:spacing w:line="232" w:lineRule="exact"/>
              <w:ind w:firstLine="0"/>
              <w:rPr>
                <w:rFonts w:ascii="Verdana" w:hAnsi="Verdana"/>
                <w:sz w:val="16"/>
                <w:szCs w:val="16"/>
              </w:rPr>
            </w:pPr>
            <w:r w:rsidRPr="00F01347">
              <w:rPr>
                <w:rFonts w:ascii="Verdana" w:hAnsi="Verdana"/>
                <w:sz w:val="16"/>
                <w:szCs w:val="16"/>
              </w:rPr>
              <w:t>Después de la calibración inicial, verificar analizando el CVI, esta disolución debe ser preparada a partir de un material independiente (segunda fuente) en o cerca del nivel medio de la curva de calibración. El criterio de aceptación para el CVI es de ± 10% de su valor real, Si no se cumple este criterio, se debe determinar la causa y volver a calibrar el instrumento antes del análisis de las muestras. Mantener registros de los resultados obtenidos del CVI junto con las muestras.</w:t>
            </w:r>
          </w:p>
        </w:tc>
        <w:tc>
          <w:tcPr>
            <w:tcW w:w="4675" w:type="dxa"/>
          </w:tcPr>
          <w:p w14:paraId="1D104EC4" w14:textId="37BFA988" w:rsidR="00706846" w:rsidRPr="00F01347" w:rsidRDefault="00706846" w:rsidP="00706846">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After the initial calibration, verify by analyzing the CVI, this solution must be prepared from an independent material (second source) at or near the middle level of the calibration curve. The acceptance criterion for the CVI is ± 10% of its actual value. If this criterion is not met, the cause must be </w:t>
            </w:r>
            <w:proofErr w:type="gramStart"/>
            <w:r w:rsidRPr="00F01347">
              <w:rPr>
                <w:rFonts w:ascii="Verdana" w:hAnsi="Verdana"/>
                <w:sz w:val="16"/>
                <w:szCs w:val="16"/>
                <w:lang w:val="en-US"/>
              </w:rPr>
              <w:t>determined</w:t>
            </w:r>
            <w:proofErr w:type="gramEnd"/>
            <w:r w:rsidRPr="00F01347">
              <w:rPr>
                <w:rFonts w:ascii="Verdana" w:hAnsi="Verdana"/>
                <w:sz w:val="16"/>
                <w:szCs w:val="16"/>
                <w:lang w:val="en-US"/>
              </w:rPr>
              <w:t xml:space="preserve"> and the instrument recalibrated before analyzing the samples. Maintain records of the results obtained from the CVI along with the samples.</w:t>
            </w:r>
          </w:p>
        </w:tc>
      </w:tr>
      <w:tr w:rsidR="00706846" w:rsidRPr="00F01347" w14:paraId="3ED00FCC" w14:textId="7FDEAD9B" w:rsidTr="006D6F6D">
        <w:tc>
          <w:tcPr>
            <w:tcW w:w="4675" w:type="dxa"/>
          </w:tcPr>
          <w:p w14:paraId="0E1460BE" w14:textId="77777777" w:rsidR="00706846" w:rsidRPr="00F01347" w:rsidRDefault="00706846" w:rsidP="00706846">
            <w:pPr>
              <w:pStyle w:val="texto0"/>
              <w:spacing w:line="256" w:lineRule="exact"/>
              <w:ind w:firstLine="0"/>
              <w:rPr>
                <w:rFonts w:ascii="Verdana" w:hAnsi="Verdana"/>
                <w:sz w:val="16"/>
                <w:szCs w:val="16"/>
              </w:rPr>
            </w:pPr>
            <w:r w:rsidRPr="00F01347">
              <w:rPr>
                <w:rFonts w:ascii="Verdana" w:hAnsi="Verdana"/>
                <w:sz w:val="16"/>
                <w:szCs w:val="16"/>
              </w:rPr>
              <w:t>La curva de calibración debe ser verificada al final de cada lote de análisis y después de cada 10 muestras mediante el uso de una disolución estándar de verificación de la calibración continua (CCC) y un blanco de calibración continua (CCB). La CCC debe prepararse a partir del mismo material que el CVI en o cerca del nivel medio de la curva de calibración. El criterio de aceptación para el estándar CCC deben ser de ± 10% de su valor real, y el CCB no debe contener analitos de interés mayores a 2 a 3 veces el límite de cuantificación en el nivel bajo del intervalo. Si los resultados obtenidos no se encuentran dentro de los límites especificados, interrumpir el análisis de la muestra, determinar la causa y volver a calibrar el instrumento. Posteriormente, volver a analizar todas las muestras que se corrieron después de la última CCB y CCC aceptables. Mantener registros de los resultados obtenidos junto con las muestras.</w:t>
            </w:r>
          </w:p>
        </w:tc>
        <w:tc>
          <w:tcPr>
            <w:tcW w:w="4675" w:type="dxa"/>
          </w:tcPr>
          <w:p w14:paraId="1CB71AB5" w14:textId="4ED79CF3" w:rsidR="00706846" w:rsidRPr="00F01347" w:rsidRDefault="00706846" w:rsidP="00706846">
            <w:pPr>
              <w:pStyle w:val="texto0"/>
              <w:spacing w:line="256" w:lineRule="exact"/>
              <w:ind w:firstLine="0"/>
              <w:rPr>
                <w:rFonts w:ascii="Verdana" w:hAnsi="Verdana"/>
                <w:sz w:val="16"/>
                <w:szCs w:val="16"/>
                <w:lang w:val="en-US"/>
              </w:rPr>
            </w:pPr>
            <w:r w:rsidRPr="00F01347">
              <w:rPr>
                <w:rFonts w:ascii="Verdana" w:hAnsi="Verdana"/>
                <w:sz w:val="16"/>
                <w:szCs w:val="16"/>
                <w:lang w:val="en-US"/>
              </w:rPr>
              <w:t>The calibration curve must be verified at the end of each analysis batch and after every 10 samples by using a continuous calibration check (CCC) standard solution and a continuous calibration blank (CCB). The CCC should be prepared from the same material as the CVI at or near the middle level of the calibration curve. The acceptance criteria for the CCC standard should be ± 10% of its actual value, and the CCB should not contain analytes of interest greater than 2 to 3 times the limit of quantification at the low end of the range. If the results obtained are not within the specified limits, discontinue sample analysis, determine the cause, and recalibrate the instrument. Subsequently, reanalyze all samples that were run after the last acceptable CCB and CCC. Maintain records of the results obtained along with the samples.</w:t>
            </w:r>
          </w:p>
        </w:tc>
      </w:tr>
      <w:tr w:rsidR="00706846" w:rsidRPr="00F01347" w14:paraId="08031091" w14:textId="50DC7284" w:rsidTr="006D6F6D">
        <w:tc>
          <w:tcPr>
            <w:tcW w:w="4675" w:type="dxa"/>
          </w:tcPr>
          <w:p w14:paraId="4EFAD67B" w14:textId="77777777" w:rsidR="00706846" w:rsidRPr="00F01347" w:rsidRDefault="00706846" w:rsidP="00706846">
            <w:pPr>
              <w:pStyle w:val="texto0"/>
              <w:spacing w:line="256" w:lineRule="exact"/>
              <w:ind w:firstLine="0"/>
              <w:rPr>
                <w:rFonts w:ascii="Verdana" w:hAnsi="Verdana"/>
                <w:sz w:val="16"/>
                <w:szCs w:val="16"/>
              </w:rPr>
            </w:pPr>
            <w:r w:rsidRPr="00F01347">
              <w:rPr>
                <w:rFonts w:ascii="Verdana" w:hAnsi="Verdana"/>
                <w:sz w:val="16"/>
                <w:szCs w:val="16"/>
              </w:rPr>
              <w:t xml:space="preserve">Si se realiza la curva de calibración inicial con un solo estándar de calibración y un blanco, también se debe verificar antes del análisis de las muestras con una disolución estándar de verificación de la calibración de nivel bajo (LLCCV). La disolución estándar LLCCV debe prepararse a partir del mismo material que el CVI en el límite de cuantificación obtenido durante la validación. El criterio de aceptación para el </w:t>
            </w:r>
            <w:proofErr w:type="gramStart"/>
            <w:r w:rsidRPr="00F01347">
              <w:rPr>
                <w:rFonts w:ascii="Verdana" w:hAnsi="Verdana"/>
                <w:sz w:val="16"/>
                <w:szCs w:val="16"/>
              </w:rPr>
              <w:t>LLCCV  es</w:t>
            </w:r>
            <w:proofErr w:type="gramEnd"/>
            <w:r w:rsidRPr="00F01347">
              <w:rPr>
                <w:rFonts w:ascii="Verdana" w:hAnsi="Verdana"/>
                <w:sz w:val="16"/>
                <w:szCs w:val="16"/>
              </w:rPr>
              <w:t xml:space="preserve"> de ± 20% de su valor real. Si el resultado no se encuentra dentro del límite especificado, el análisis de la muestra no puede comenzar hasta que se determine la causa y el resultado del LLCCV sea satisfactorio. El instrumento puede necesitar ser recalibrado o el límite de cuantificación ajustado. Mantener registros de los resultados obtenidos junto con las muestras.</w:t>
            </w:r>
          </w:p>
        </w:tc>
        <w:tc>
          <w:tcPr>
            <w:tcW w:w="4675" w:type="dxa"/>
          </w:tcPr>
          <w:p w14:paraId="34220547" w14:textId="40ACE840" w:rsidR="00706846" w:rsidRPr="00F01347" w:rsidRDefault="00706846" w:rsidP="00706846">
            <w:pPr>
              <w:pStyle w:val="texto0"/>
              <w:spacing w:line="256" w:lineRule="exact"/>
              <w:ind w:firstLine="0"/>
              <w:rPr>
                <w:rFonts w:ascii="Verdana" w:hAnsi="Verdana"/>
                <w:sz w:val="16"/>
                <w:szCs w:val="16"/>
                <w:lang w:val="en-US"/>
              </w:rPr>
            </w:pPr>
            <w:r w:rsidRPr="00F01347">
              <w:rPr>
                <w:rFonts w:ascii="Verdana" w:hAnsi="Verdana"/>
                <w:sz w:val="16"/>
                <w:szCs w:val="16"/>
                <w:lang w:val="en-US"/>
              </w:rPr>
              <w:t xml:space="preserve">If the initial calibration curve is performed with a single calibration standard and a blank, it should also be verified before analysis of the samples with a </w:t>
            </w:r>
            <w:proofErr w:type="gramStart"/>
            <w:r w:rsidRPr="00F01347">
              <w:rPr>
                <w:rFonts w:ascii="Verdana" w:hAnsi="Verdana"/>
                <w:sz w:val="16"/>
                <w:szCs w:val="16"/>
                <w:lang w:val="en-US"/>
              </w:rPr>
              <w:t>low level</w:t>
            </w:r>
            <w:proofErr w:type="gramEnd"/>
            <w:r w:rsidRPr="00F01347">
              <w:rPr>
                <w:rFonts w:ascii="Verdana" w:hAnsi="Verdana"/>
                <w:sz w:val="16"/>
                <w:szCs w:val="16"/>
                <w:lang w:val="en-US"/>
              </w:rPr>
              <w:t xml:space="preserve"> calibration verification (LLCCV) standard solution. The LLCCV standard solution should be prepared from the same material as the CVI at the limit of quantitation obtained during validation. The acceptance criterion for the LLCCV is ± 20% of its real value. If the result is not within the specified limit, sample analysis cannot begin until the cause is determined and the LLCCV result is satisfactory. The instrument may need to be recalibrated or the limit of quantitation adjusted. Maintain records of the results obtained along with the samples.</w:t>
            </w:r>
          </w:p>
        </w:tc>
      </w:tr>
      <w:tr w:rsidR="00706846" w:rsidRPr="00F01347" w14:paraId="10DB0770" w14:textId="4FE0C95B" w:rsidTr="006D6F6D">
        <w:tc>
          <w:tcPr>
            <w:tcW w:w="4675" w:type="dxa"/>
          </w:tcPr>
          <w:p w14:paraId="789F4305" w14:textId="77777777" w:rsidR="00706846" w:rsidRPr="00F01347" w:rsidRDefault="00706846" w:rsidP="00706846">
            <w:pPr>
              <w:pStyle w:val="texto0"/>
              <w:spacing w:line="256" w:lineRule="exact"/>
              <w:ind w:firstLine="0"/>
              <w:rPr>
                <w:rFonts w:ascii="Verdana" w:hAnsi="Verdana"/>
                <w:sz w:val="16"/>
                <w:szCs w:val="16"/>
              </w:rPr>
            </w:pPr>
            <w:r w:rsidRPr="00F01347">
              <w:rPr>
                <w:rFonts w:ascii="Verdana" w:hAnsi="Verdana"/>
                <w:sz w:val="16"/>
                <w:szCs w:val="16"/>
              </w:rPr>
              <w:t>Diluir las muestras cuyo valor esté por encima del nivel alto de la curva de calibración y volver a analizar.</w:t>
            </w:r>
          </w:p>
        </w:tc>
        <w:tc>
          <w:tcPr>
            <w:tcW w:w="4675" w:type="dxa"/>
          </w:tcPr>
          <w:p w14:paraId="7D999992" w14:textId="4456AE26" w:rsidR="00706846" w:rsidRPr="00F01347" w:rsidRDefault="00706846" w:rsidP="00706846">
            <w:pPr>
              <w:pStyle w:val="texto0"/>
              <w:spacing w:line="256" w:lineRule="exact"/>
              <w:ind w:firstLine="0"/>
              <w:rPr>
                <w:rFonts w:ascii="Verdana" w:hAnsi="Verdana"/>
                <w:sz w:val="16"/>
                <w:szCs w:val="16"/>
                <w:lang w:val="en-US"/>
              </w:rPr>
            </w:pPr>
            <w:r w:rsidRPr="00F01347">
              <w:rPr>
                <w:rFonts w:ascii="Verdana" w:hAnsi="Verdana"/>
                <w:sz w:val="16"/>
                <w:szCs w:val="16"/>
                <w:lang w:val="en-US"/>
              </w:rPr>
              <w:t>Dilute samples whose value is above the high level of the calibration curve and reanalyze.</w:t>
            </w:r>
          </w:p>
        </w:tc>
      </w:tr>
      <w:tr w:rsidR="00706846" w:rsidRPr="00F01347" w14:paraId="7E602769" w14:textId="227334E9" w:rsidTr="006D6F6D">
        <w:tc>
          <w:tcPr>
            <w:tcW w:w="4675" w:type="dxa"/>
          </w:tcPr>
          <w:p w14:paraId="3DB90777" w14:textId="77777777" w:rsidR="00706846" w:rsidRPr="00F01347" w:rsidRDefault="00706846" w:rsidP="00706846">
            <w:pPr>
              <w:pStyle w:val="texto0"/>
              <w:spacing w:line="256" w:lineRule="exact"/>
              <w:ind w:firstLine="0"/>
              <w:rPr>
                <w:rFonts w:ascii="Verdana" w:hAnsi="Verdana"/>
                <w:b/>
                <w:sz w:val="16"/>
                <w:szCs w:val="16"/>
              </w:rPr>
            </w:pPr>
            <w:r w:rsidRPr="00F01347">
              <w:rPr>
                <w:rFonts w:ascii="Verdana" w:hAnsi="Verdana"/>
                <w:b/>
                <w:sz w:val="16"/>
                <w:szCs w:val="16"/>
              </w:rPr>
              <w:t>B.4.2.7.2 Interferencias</w:t>
            </w:r>
          </w:p>
        </w:tc>
        <w:tc>
          <w:tcPr>
            <w:tcW w:w="4675" w:type="dxa"/>
          </w:tcPr>
          <w:p w14:paraId="38C191DB" w14:textId="4C63CBE9" w:rsidR="00706846" w:rsidRPr="00F01347" w:rsidRDefault="00706846" w:rsidP="00706846">
            <w:pPr>
              <w:pStyle w:val="texto0"/>
              <w:spacing w:line="256" w:lineRule="exact"/>
              <w:ind w:firstLine="0"/>
              <w:rPr>
                <w:rFonts w:ascii="Verdana" w:hAnsi="Verdana"/>
                <w:b/>
                <w:sz w:val="16"/>
                <w:szCs w:val="16"/>
                <w:lang w:val="en-US"/>
              </w:rPr>
            </w:pPr>
            <w:r w:rsidRPr="00F01347">
              <w:rPr>
                <w:rFonts w:ascii="Verdana" w:hAnsi="Verdana"/>
                <w:b/>
                <w:sz w:val="16"/>
                <w:szCs w:val="16"/>
                <w:lang w:val="en-US"/>
              </w:rPr>
              <w:t>B.4.2.7.2 Interferences</w:t>
            </w:r>
          </w:p>
        </w:tc>
      </w:tr>
      <w:tr w:rsidR="00706846" w:rsidRPr="00F01347" w14:paraId="0532704F" w14:textId="07C3C8DE" w:rsidTr="006D6F6D">
        <w:tc>
          <w:tcPr>
            <w:tcW w:w="4675" w:type="dxa"/>
          </w:tcPr>
          <w:p w14:paraId="49D4D66A" w14:textId="77777777" w:rsidR="00706846" w:rsidRPr="00F01347" w:rsidRDefault="00706846" w:rsidP="00706846">
            <w:pPr>
              <w:pStyle w:val="texto0"/>
              <w:spacing w:line="256" w:lineRule="exact"/>
              <w:ind w:firstLine="0"/>
              <w:rPr>
                <w:rFonts w:ascii="Verdana" w:hAnsi="Verdana"/>
                <w:sz w:val="16"/>
                <w:szCs w:val="16"/>
              </w:rPr>
            </w:pPr>
            <w:r w:rsidRPr="00F01347">
              <w:rPr>
                <w:rFonts w:ascii="Verdana" w:hAnsi="Verdana"/>
                <w:sz w:val="16"/>
                <w:szCs w:val="16"/>
              </w:rPr>
              <w:lastRenderedPageBreak/>
              <w:t>Las interferencias espectrales son causadas por emisión de fenómenos continuos o de recombinación, la luz extraviada de una línea de emisión de un elemento a alta concentración, la sobreposición de líneas espectrales de otro elemento o por sobreposición de espectros de banda moleculares no resueltas.</w:t>
            </w:r>
          </w:p>
        </w:tc>
        <w:tc>
          <w:tcPr>
            <w:tcW w:w="4675" w:type="dxa"/>
          </w:tcPr>
          <w:p w14:paraId="7CFD8E5D" w14:textId="2B9276E6" w:rsidR="00706846" w:rsidRPr="00F01347" w:rsidRDefault="00706846" w:rsidP="00706846">
            <w:pPr>
              <w:pStyle w:val="texto0"/>
              <w:spacing w:line="256" w:lineRule="exact"/>
              <w:ind w:firstLine="0"/>
              <w:rPr>
                <w:rFonts w:ascii="Verdana" w:hAnsi="Verdana"/>
                <w:sz w:val="16"/>
                <w:szCs w:val="16"/>
                <w:lang w:val="en-US"/>
              </w:rPr>
            </w:pPr>
            <w:r w:rsidRPr="00F01347">
              <w:rPr>
                <w:rFonts w:ascii="Verdana" w:hAnsi="Verdana"/>
                <w:sz w:val="16"/>
                <w:szCs w:val="16"/>
                <w:lang w:val="en-US"/>
              </w:rPr>
              <w:t>Spectral interferences are caused by emission from continuous or recombination phenomena, stray light from an emission line of an element at high concentration, the superposition of spectral lines of another element or by superposition of unresolved molecular band spectra.</w:t>
            </w:r>
          </w:p>
        </w:tc>
      </w:tr>
      <w:tr w:rsidR="00706846" w:rsidRPr="00F01347" w14:paraId="7B55E467" w14:textId="58F6FC0A" w:rsidTr="006D6F6D">
        <w:tc>
          <w:tcPr>
            <w:tcW w:w="4675" w:type="dxa"/>
          </w:tcPr>
          <w:p w14:paraId="7B0B4B55" w14:textId="77777777" w:rsidR="00706846" w:rsidRPr="00F01347" w:rsidRDefault="00706846" w:rsidP="00706846">
            <w:pPr>
              <w:pStyle w:val="texto0"/>
              <w:spacing w:line="256" w:lineRule="exact"/>
              <w:ind w:firstLine="0"/>
              <w:rPr>
                <w:rFonts w:ascii="Verdana" w:hAnsi="Verdana"/>
                <w:sz w:val="16"/>
                <w:szCs w:val="16"/>
              </w:rPr>
            </w:pPr>
            <w:r w:rsidRPr="00F01347">
              <w:rPr>
                <w:rFonts w:ascii="Verdana" w:hAnsi="Verdana"/>
                <w:sz w:val="16"/>
                <w:szCs w:val="16"/>
              </w:rPr>
              <w:t xml:space="preserve">La emisión de ruido de fondo de luz extraviada puede compensarse generalmente por la substracción de la emisión de fondo medida a los lados adyacentes del pico de la longitud de onda del elemento. Los barridos espectrales de las muestras o de soluciones </w:t>
            </w:r>
            <w:proofErr w:type="spellStart"/>
            <w:r w:rsidRPr="00F01347">
              <w:rPr>
                <w:rFonts w:ascii="Verdana" w:hAnsi="Verdana"/>
                <w:sz w:val="16"/>
                <w:szCs w:val="16"/>
              </w:rPr>
              <w:t>unielementales</w:t>
            </w:r>
            <w:proofErr w:type="spellEnd"/>
            <w:r w:rsidRPr="00F01347">
              <w:rPr>
                <w:rFonts w:ascii="Verdana" w:hAnsi="Verdana"/>
                <w:sz w:val="16"/>
                <w:szCs w:val="16"/>
              </w:rPr>
              <w:t xml:space="preserve"> en las regiones analíticas puede indicar cuándo es conveniente utilizar una longitud de onda alterna por alguna interferencia espectral, además, puede mostrar las posiciones más apropiadas de corrección de fondo a los lados adyacentes del pico del elemento o a un solo lado. La localización de la posición para medir la intensidad de ruido de fondo va a ser determinada por la complejidad del espectro adyacente al pico de la longitud de onda del analito. Estas localizaciones deben estar libres de interferencias espectrales (</w:t>
            </w:r>
            <w:proofErr w:type="spellStart"/>
            <w:r w:rsidRPr="00F01347">
              <w:rPr>
                <w:rFonts w:ascii="Verdana" w:hAnsi="Verdana"/>
                <w:sz w:val="16"/>
                <w:szCs w:val="16"/>
              </w:rPr>
              <w:t>interelemento</w:t>
            </w:r>
            <w:proofErr w:type="spellEnd"/>
            <w:r w:rsidRPr="00F01347">
              <w:rPr>
                <w:rFonts w:ascii="Verdana" w:hAnsi="Verdana"/>
                <w:sz w:val="16"/>
                <w:szCs w:val="16"/>
              </w:rPr>
              <w:t xml:space="preserve"> o moleculares), o adecuadamente corregidas para reflejar el mismo cambio en la intensidad de fondo como ocurre en el pico de la longitud de onda.</w:t>
            </w:r>
          </w:p>
        </w:tc>
        <w:tc>
          <w:tcPr>
            <w:tcW w:w="4675" w:type="dxa"/>
          </w:tcPr>
          <w:p w14:paraId="162FF044" w14:textId="635D1093" w:rsidR="00706846" w:rsidRPr="00F01347" w:rsidRDefault="00706846" w:rsidP="00706846">
            <w:pPr>
              <w:pStyle w:val="texto0"/>
              <w:spacing w:line="256" w:lineRule="exact"/>
              <w:ind w:firstLine="0"/>
              <w:rPr>
                <w:rFonts w:ascii="Verdana" w:hAnsi="Verdana"/>
                <w:sz w:val="16"/>
                <w:szCs w:val="16"/>
                <w:lang w:val="en-US"/>
              </w:rPr>
            </w:pPr>
            <w:r w:rsidRPr="00F01347">
              <w:rPr>
                <w:rFonts w:ascii="Verdana" w:hAnsi="Verdana"/>
                <w:sz w:val="16"/>
                <w:szCs w:val="16"/>
                <w:lang w:val="en-US"/>
              </w:rPr>
              <w:t xml:space="preserve">Background noise emission from stray light can generally be compensated by subtracting the background emission measured to adjacent sides of the element's wavelength peak. Spectral scans of samples or single-element solutions in the analytical regions can indicate when it is advisable to use an alternate wavelength due to some spectral </w:t>
            </w:r>
            <w:r w:rsidR="000D530D" w:rsidRPr="00F01347">
              <w:rPr>
                <w:rFonts w:ascii="Verdana" w:hAnsi="Verdana"/>
                <w:sz w:val="16"/>
                <w:szCs w:val="16"/>
                <w:lang w:val="en-US"/>
              </w:rPr>
              <w:t>interference and</w:t>
            </w:r>
            <w:r w:rsidRPr="00F01347">
              <w:rPr>
                <w:rFonts w:ascii="Verdana" w:hAnsi="Verdana"/>
                <w:sz w:val="16"/>
                <w:szCs w:val="16"/>
                <w:lang w:val="en-US"/>
              </w:rPr>
              <w:t xml:space="preserve"> can also show the most appropriate positions for background correction to the adjacent sides of the element peak. or on one side only. The location of the position to measure the background noise intensity will be determined by the complexity of the spectrum adjacent to the peak wavelength of the analyte. These locations must be free of spectral interference </w:t>
            </w:r>
            <w:r w:rsidR="00CB209C" w:rsidRPr="00F01347">
              <w:rPr>
                <w:rFonts w:ascii="Verdana" w:hAnsi="Verdana"/>
                <w:sz w:val="16"/>
                <w:szCs w:val="16"/>
                <w:lang w:val="en-US"/>
              </w:rPr>
              <w:t>(</w:t>
            </w:r>
            <w:r w:rsidRPr="00F01347">
              <w:rPr>
                <w:rFonts w:ascii="Verdana" w:hAnsi="Verdana"/>
                <w:sz w:val="16"/>
                <w:szCs w:val="16"/>
                <w:lang w:val="en-US"/>
              </w:rPr>
              <w:t>interelement or molecular), or adequately corrected to reflect the same change in background intensity as occurs at the peak wavelength.</w:t>
            </w:r>
          </w:p>
        </w:tc>
      </w:tr>
      <w:tr w:rsidR="00706846" w:rsidRPr="00F01347" w14:paraId="053624DD" w14:textId="5A0B5C29" w:rsidTr="006D6F6D">
        <w:tc>
          <w:tcPr>
            <w:tcW w:w="4675" w:type="dxa"/>
          </w:tcPr>
          <w:p w14:paraId="29282C3F" w14:textId="77777777" w:rsidR="00706846" w:rsidRPr="00F01347" w:rsidRDefault="00706846" w:rsidP="00706846">
            <w:pPr>
              <w:pStyle w:val="texto0"/>
              <w:spacing w:line="256" w:lineRule="exact"/>
              <w:ind w:firstLine="0"/>
              <w:rPr>
                <w:rFonts w:ascii="Verdana" w:hAnsi="Verdana"/>
                <w:sz w:val="16"/>
                <w:szCs w:val="16"/>
              </w:rPr>
            </w:pPr>
            <w:r w:rsidRPr="00F01347">
              <w:rPr>
                <w:rFonts w:ascii="Verdana" w:hAnsi="Verdana"/>
                <w:sz w:val="16"/>
                <w:szCs w:val="16"/>
              </w:rPr>
              <w:t xml:space="preserve">Las sobreposiciones espectrales pueden evitarse utilizando una longitud de onda alterna o pueden compensarse por ecuaciones que corrigen contribuciones por interferencias </w:t>
            </w:r>
            <w:proofErr w:type="spellStart"/>
            <w:r w:rsidRPr="00F01347">
              <w:rPr>
                <w:rFonts w:ascii="Verdana" w:hAnsi="Verdana"/>
                <w:sz w:val="16"/>
                <w:szCs w:val="16"/>
              </w:rPr>
              <w:t>interelemento</w:t>
            </w:r>
            <w:proofErr w:type="spellEnd"/>
            <w:r w:rsidRPr="00F01347">
              <w:rPr>
                <w:rFonts w:ascii="Verdana" w:hAnsi="Verdana"/>
                <w:sz w:val="16"/>
                <w:szCs w:val="16"/>
              </w:rPr>
              <w:t xml:space="preserve">, los instrumentos que utilizan ecuaciones para la corrección </w:t>
            </w:r>
            <w:proofErr w:type="spellStart"/>
            <w:r w:rsidRPr="00F01347">
              <w:rPr>
                <w:rFonts w:ascii="Verdana" w:hAnsi="Verdana"/>
                <w:sz w:val="16"/>
                <w:szCs w:val="16"/>
              </w:rPr>
              <w:t>interelemento</w:t>
            </w:r>
            <w:proofErr w:type="spellEnd"/>
            <w:r w:rsidRPr="00F01347">
              <w:rPr>
                <w:rFonts w:ascii="Verdana" w:hAnsi="Verdana"/>
                <w:sz w:val="16"/>
                <w:szCs w:val="16"/>
              </w:rPr>
              <w:t xml:space="preserve"> requieren que sean analizados los elementos interferentes al mismo tiempo que los analitos de interés. Cuando estas interferencias no son corregidas, generarán determinaciones falsas positivas o parcialmente positivas. El analista puede aplicar factores de corrección </w:t>
            </w:r>
            <w:proofErr w:type="spellStart"/>
            <w:r w:rsidRPr="00F01347">
              <w:rPr>
                <w:rFonts w:ascii="Verdana" w:hAnsi="Verdana"/>
                <w:sz w:val="16"/>
                <w:szCs w:val="16"/>
              </w:rPr>
              <w:t>interelemento</w:t>
            </w:r>
            <w:proofErr w:type="spellEnd"/>
            <w:r w:rsidRPr="00F01347">
              <w:rPr>
                <w:rFonts w:ascii="Verdana" w:hAnsi="Verdana"/>
                <w:sz w:val="16"/>
                <w:szCs w:val="16"/>
              </w:rPr>
              <w:t xml:space="preserve"> calculados en su instrumento con los intervalos de concentración probados para compensar los efectos de elementos interferentes.</w:t>
            </w:r>
          </w:p>
        </w:tc>
        <w:tc>
          <w:tcPr>
            <w:tcW w:w="4675" w:type="dxa"/>
          </w:tcPr>
          <w:p w14:paraId="00DB7A9F" w14:textId="52784393" w:rsidR="00706846" w:rsidRPr="00F01347" w:rsidRDefault="00706846" w:rsidP="00706846">
            <w:pPr>
              <w:pStyle w:val="texto0"/>
              <w:spacing w:line="256" w:lineRule="exact"/>
              <w:ind w:firstLine="0"/>
              <w:rPr>
                <w:rFonts w:ascii="Verdana" w:hAnsi="Verdana"/>
                <w:sz w:val="16"/>
                <w:szCs w:val="16"/>
                <w:lang w:val="en-US"/>
              </w:rPr>
            </w:pPr>
            <w:r w:rsidRPr="00F01347">
              <w:rPr>
                <w:rFonts w:ascii="Verdana" w:hAnsi="Verdana"/>
                <w:sz w:val="16"/>
                <w:szCs w:val="16"/>
                <w:lang w:val="en-US"/>
              </w:rPr>
              <w:t>Spectral overlaps can be avoided by using an alternating wavelength or can be compensated for by equations that correct for contributions from interelement interferences</w:t>
            </w:r>
            <w:r w:rsidR="003E1BA9" w:rsidRPr="00F01347">
              <w:rPr>
                <w:rFonts w:ascii="Verdana" w:hAnsi="Verdana"/>
                <w:sz w:val="16"/>
                <w:szCs w:val="16"/>
                <w:lang w:val="en-US"/>
              </w:rPr>
              <w:t>.</w:t>
            </w:r>
            <w:r w:rsidRPr="00F01347">
              <w:rPr>
                <w:rFonts w:ascii="Verdana" w:hAnsi="Verdana"/>
                <w:sz w:val="16"/>
                <w:szCs w:val="16"/>
                <w:lang w:val="en-US"/>
              </w:rPr>
              <w:t xml:space="preserve"> Instruments that use equations for interelement correction require that interfering elements be analyzed at the same time as the analytes of interest. When these interferences are not corrected, they will generate false positive or partially positive determinations. The analyst can apply interelement correction factors calculated on his instrument with the tested concentration ranges to compensate for the effects of interfering elements.</w:t>
            </w:r>
          </w:p>
        </w:tc>
      </w:tr>
      <w:tr w:rsidR="00706846" w:rsidRPr="00F01347" w14:paraId="321C7056" w14:textId="49FFA7DF" w:rsidTr="006D6F6D">
        <w:tc>
          <w:tcPr>
            <w:tcW w:w="4675" w:type="dxa"/>
          </w:tcPr>
          <w:p w14:paraId="0930D9B3" w14:textId="77777777" w:rsidR="00706846" w:rsidRPr="00F01347" w:rsidRDefault="00706846" w:rsidP="00706846">
            <w:pPr>
              <w:pStyle w:val="texto0"/>
              <w:spacing w:line="256" w:lineRule="exact"/>
              <w:ind w:firstLine="0"/>
              <w:rPr>
                <w:rFonts w:ascii="Verdana" w:hAnsi="Verdana"/>
                <w:sz w:val="16"/>
                <w:szCs w:val="16"/>
              </w:rPr>
            </w:pPr>
            <w:r w:rsidRPr="00F01347">
              <w:rPr>
                <w:rFonts w:ascii="Verdana" w:hAnsi="Verdana"/>
                <w:sz w:val="16"/>
                <w:szCs w:val="16"/>
              </w:rPr>
              <w:t xml:space="preserve">En la Tabla B.4.2-2, de este Apéndice, se muestran algunas interferencias espectrales (IEC) </w:t>
            </w:r>
            <w:proofErr w:type="gramStart"/>
            <w:r w:rsidRPr="00F01347">
              <w:rPr>
                <w:rFonts w:ascii="Verdana" w:hAnsi="Verdana"/>
                <w:sz w:val="16"/>
                <w:szCs w:val="16"/>
              </w:rPr>
              <w:t>potenciales observadas</w:t>
            </w:r>
            <w:proofErr w:type="gramEnd"/>
            <w:r w:rsidRPr="00F01347">
              <w:rPr>
                <w:rFonts w:ascii="Verdana" w:hAnsi="Verdana"/>
                <w:sz w:val="16"/>
                <w:szCs w:val="16"/>
              </w:rPr>
              <w:t xml:space="preserve"> para las longitudes de onda recomendadas. Cuando se usan ecuaciones de corrección </w:t>
            </w:r>
            <w:proofErr w:type="spellStart"/>
            <w:r w:rsidRPr="00F01347">
              <w:rPr>
                <w:rFonts w:ascii="Verdana" w:hAnsi="Verdana"/>
                <w:sz w:val="16"/>
                <w:szCs w:val="16"/>
              </w:rPr>
              <w:t>interelemento</w:t>
            </w:r>
            <w:proofErr w:type="spellEnd"/>
            <w:r w:rsidRPr="00F01347">
              <w:rPr>
                <w:rFonts w:ascii="Verdana" w:hAnsi="Verdana"/>
                <w:sz w:val="16"/>
                <w:szCs w:val="16"/>
              </w:rPr>
              <w:t>, la interferencia puede expresarse como equivalentes de concentración del analito (es decir, concentraciones de analito falsas positivas) que resultan de 100 mg/L del elemento de interferencia.</w:t>
            </w:r>
          </w:p>
        </w:tc>
        <w:tc>
          <w:tcPr>
            <w:tcW w:w="4675" w:type="dxa"/>
          </w:tcPr>
          <w:p w14:paraId="6FD7FC5C" w14:textId="3DE7507D" w:rsidR="00706846" w:rsidRPr="00F01347" w:rsidRDefault="00706846" w:rsidP="00706846">
            <w:pPr>
              <w:pStyle w:val="texto0"/>
              <w:spacing w:line="256" w:lineRule="exact"/>
              <w:ind w:firstLine="0"/>
              <w:rPr>
                <w:rFonts w:ascii="Verdana" w:hAnsi="Verdana"/>
                <w:sz w:val="16"/>
                <w:szCs w:val="16"/>
                <w:lang w:val="en-US"/>
              </w:rPr>
            </w:pPr>
            <w:r w:rsidRPr="00F01347">
              <w:rPr>
                <w:rFonts w:ascii="Verdana" w:hAnsi="Verdana"/>
                <w:sz w:val="16"/>
                <w:szCs w:val="16"/>
                <w:lang w:val="en-US"/>
              </w:rPr>
              <w:t>Table B.4.2-2 in this Appendix shows some potential spectral interferences observed for the recommended wavelengths. When using interelement correction equations</w:t>
            </w:r>
            <w:r w:rsidR="003E1BA9" w:rsidRPr="00F01347">
              <w:rPr>
                <w:rFonts w:ascii="Verdana" w:hAnsi="Verdana"/>
                <w:sz w:val="16"/>
                <w:szCs w:val="16"/>
                <w:lang w:val="en-US"/>
              </w:rPr>
              <w:t>,</w:t>
            </w:r>
            <w:r w:rsidRPr="00F01347">
              <w:rPr>
                <w:rFonts w:ascii="Verdana" w:hAnsi="Verdana"/>
                <w:sz w:val="16"/>
                <w:szCs w:val="16"/>
                <w:lang w:val="en-US"/>
              </w:rPr>
              <w:t xml:space="preserve"> interference can be expressed as analyte concentration equivalents (i.e., false positive analyte concentrations) resulting from 100 mg/L of the interfering element.</w:t>
            </w:r>
          </w:p>
        </w:tc>
      </w:tr>
      <w:tr w:rsidR="00706846" w:rsidRPr="00F01347" w14:paraId="404B315B" w14:textId="77777777" w:rsidTr="006D6F6D">
        <w:tc>
          <w:tcPr>
            <w:tcW w:w="4675" w:type="dxa"/>
          </w:tcPr>
          <w:p w14:paraId="1A970F68" w14:textId="2BAE7372" w:rsidR="00706846" w:rsidRPr="00F01347" w:rsidRDefault="00706846" w:rsidP="00706846">
            <w:pPr>
              <w:pStyle w:val="texto0"/>
              <w:spacing w:line="256" w:lineRule="exact"/>
              <w:ind w:firstLine="0"/>
              <w:rPr>
                <w:rFonts w:ascii="Verdana" w:hAnsi="Verdana"/>
                <w:sz w:val="16"/>
                <w:szCs w:val="16"/>
              </w:rPr>
            </w:pPr>
            <w:r w:rsidRPr="00F01347">
              <w:rPr>
                <w:rFonts w:ascii="Verdana" w:hAnsi="Verdana"/>
                <w:sz w:val="16"/>
                <w:szCs w:val="16"/>
              </w:rPr>
              <w:t xml:space="preserve">Por ejemplo, si el As se determina a 193.696 nm en una muestra que contiene aproximadamente 10 mg/L de Al, </w:t>
            </w:r>
            <w:r w:rsidRPr="00F01347">
              <w:rPr>
                <w:rFonts w:ascii="Verdana" w:hAnsi="Verdana"/>
                <w:sz w:val="16"/>
                <w:szCs w:val="16"/>
              </w:rPr>
              <w:lastRenderedPageBreak/>
              <w:t>de acuerdo con la Tabla B.4.2-2, de este Apéndice, 100 mg/L de Al producirá una señal falsa positiva para un nivel de As equivalente a aproximadamente 1.3 mg/L. Por lo tanto, la presencia de 10 mg/L de Al resultará en una señal falsa positiva para As equivalente a aproximadamente 0.13 mg/L. Se advierte al usuario que otros instrumentos pueden presentar niveles de interferencia algo diferentes a los mostrados en la Tabla B.4.2-2, de este Apéndice. Los efectos de interferencia deben evaluarse para cada instrumento individual, ya que las intensidades variarán.</w:t>
            </w:r>
          </w:p>
        </w:tc>
        <w:tc>
          <w:tcPr>
            <w:tcW w:w="4675" w:type="dxa"/>
          </w:tcPr>
          <w:p w14:paraId="3036C5B3" w14:textId="2CB05C73" w:rsidR="00706846" w:rsidRPr="00F01347" w:rsidRDefault="00706846" w:rsidP="00706846">
            <w:pPr>
              <w:pStyle w:val="texto0"/>
              <w:spacing w:line="256" w:lineRule="exact"/>
              <w:ind w:firstLine="0"/>
              <w:rPr>
                <w:rFonts w:ascii="Verdana" w:hAnsi="Verdana"/>
                <w:sz w:val="16"/>
                <w:szCs w:val="16"/>
                <w:lang w:val="en-US"/>
              </w:rPr>
            </w:pPr>
            <w:r w:rsidRPr="00F01347">
              <w:rPr>
                <w:rFonts w:ascii="Verdana" w:hAnsi="Verdana"/>
                <w:sz w:val="16"/>
                <w:szCs w:val="16"/>
                <w:lang w:val="en-US"/>
              </w:rPr>
              <w:lastRenderedPageBreak/>
              <w:t xml:space="preserve">For example, if </w:t>
            </w:r>
            <w:proofErr w:type="gramStart"/>
            <w:r w:rsidRPr="00F01347">
              <w:rPr>
                <w:rFonts w:ascii="Verdana" w:hAnsi="Verdana"/>
                <w:sz w:val="16"/>
                <w:szCs w:val="16"/>
                <w:lang w:val="en-US"/>
              </w:rPr>
              <w:t>As</w:t>
            </w:r>
            <w:proofErr w:type="gramEnd"/>
            <w:r w:rsidRPr="00F01347">
              <w:rPr>
                <w:rFonts w:ascii="Verdana" w:hAnsi="Verdana"/>
                <w:sz w:val="16"/>
                <w:szCs w:val="16"/>
                <w:lang w:val="en-US"/>
              </w:rPr>
              <w:t xml:space="preserve"> is determined at 193.696 nm in a sample containing approximately 10 mg/L Al, according </w:t>
            </w:r>
            <w:r w:rsidRPr="00F01347">
              <w:rPr>
                <w:rFonts w:ascii="Verdana" w:hAnsi="Verdana"/>
                <w:sz w:val="16"/>
                <w:szCs w:val="16"/>
                <w:lang w:val="en-US"/>
              </w:rPr>
              <w:lastRenderedPageBreak/>
              <w:t xml:space="preserve">to Table B.4.2-2, of this Appendix, 100 mg/L Al will produce a false positive signal for an As level equivalent to approximately 1.3 mg/L. Therefore, the presence of 10 mg/L Al will result in a false positive signal for </w:t>
            </w:r>
            <w:proofErr w:type="gramStart"/>
            <w:r w:rsidRPr="00F01347">
              <w:rPr>
                <w:rFonts w:ascii="Verdana" w:hAnsi="Verdana"/>
                <w:sz w:val="16"/>
                <w:szCs w:val="16"/>
                <w:lang w:val="en-US"/>
              </w:rPr>
              <w:t>As</w:t>
            </w:r>
            <w:proofErr w:type="gramEnd"/>
            <w:r w:rsidRPr="00F01347">
              <w:rPr>
                <w:rFonts w:ascii="Verdana" w:hAnsi="Verdana"/>
                <w:sz w:val="16"/>
                <w:szCs w:val="16"/>
                <w:lang w:val="en-US"/>
              </w:rPr>
              <w:t xml:space="preserve"> equivalent to approximately 0.13 mg/L. The user is cautioned that other instruments may present interference levels somewhat different than those shown in Table B.4.2-2, of this Appendix. Interference effects must be evaluated for each individual instrument, as intensities will vary.</w:t>
            </w:r>
          </w:p>
        </w:tc>
      </w:tr>
    </w:tbl>
    <w:p w14:paraId="3E0469AA" w14:textId="0E674AD5" w:rsidR="00A74CDF" w:rsidRPr="00F01347" w:rsidRDefault="00A74CDF" w:rsidP="003A601B">
      <w:pPr>
        <w:pStyle w:val="texto0"/>
        <w:spacing w:line="256" w:lineRule="exact"/>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273"/>
        <w:gridCol w:w="1043"/>
        <w:gridCol w:w="742"/>
        <w:gridCol w:w="594"/>
        <w:gridCol w:w="595"/>
        <w:gridCol w:w="594"/>
        <w:gridCol w:w="746"/>
        <w:gridCol w:w="746"/>
        <w:gridCol w:w="595"/>
        <w:gridCol w:w="594"/>
        <w:gridCol w:w="595"/>
        <w:gridCol w:w="595"/>
      </w:tblGrid>
      <w:tr w:rsidR="00A74CDF" w:rsidRPr="00F01347" w14:paraId="72FE5002" w14:textId="77777777">
        <w:trPr>
          <w:trHeight w:val="20"/>
        </w:trPr>
        <w:tc>
          <w:tcPr>
            <w:tcW w:w="8712" w:type="dxa"/>
            <w:gridSpan w:val="12"/>
            <w:tcBorders>
              <w:bottom w:val="single" w:sz="6" w:space="0" w:color="auto"/>
            </w:tcBorders>
            <w:noWrap/>
          </w:tcPr>
          <w:p w14:paraId="4A567CCB"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b/>
                <w:color w:val="000000"/>
                <w:sz w:val="16"/>
                <w:szCs w:val="16"/>
              </w:rPr>
              <w:t xml:space="preserve">Tabla B.4.2-2. </w:t>
            </w:r>
            <w:r w:rsidRPr="00F01347">
              <w:rPr>
                <w:rFonts w:ascii="Verdana" w:hAnsi="Verdana"/>
                <w:color w:val="000000"/>
                <w:sz w:val="16"/>
                <w:szCs w:val="16"/>
              </w:rPr>
              <w:t>Interferencias espectrales potenciales y equivalente de concentración del analito (mg/L) resultantes de la interferencia a un nivel de 100 mg/L en ICP-OES</w:t>
            </w:r>
          </w:p>
        </w:tc>
      </w:tr>
      <w:tr w:rsidR="00A74CDF" w:rsidRPr="00F01347" w14:paraId="459D034D" w14:textId="77777777">
        <w:trPr>
          <w:trHeight w:val="20"/>
        </w:trPr>
        <w:tc>
          <w:tcPr>
            <w:tcW w:w="1273" w:type="dxa"/>
            <w:vMerge w:val="restart"/>
            <w:tcBorders>
              <w:top w:val="single" w:sz="6" w:space="0" w:color="auto"/>
              <w:left w:val="single" w:sz="6" w:space="0" w:color="auto"/>
              <w:right w:val="single" w:sz="6" w:space="0" w:color="auto"/>
            </w:tcBorders>
            <w:vAlign w:val="center"/>
          </w:tcPr>
          <w:p w14:paraId="21505BE2"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b/>
                <w:color w:val="000000"/>
                <w:sz w:val="16"/>
                <w:szCs w:val="16"/>
              </w:rPr>
              <w:t>Analito</w:t>
            </w:r>
          </w:p>
        </w:tc>
        <w:tc>
          <w:tcPr>
            <w:tcW w:w="1043" w:type="dxa"/>
            <w:vMerge w:val="restart"/>
            <w:tcBorders>
              <w:top w:val="single" w:sz="6" w:space="0" w:color="auto"/>
              <w:left w:val="single" w:sz="6" w:space="0" w:color="auto"/>
              <w:right w:val="single" w:sz="6" w:space="0" w:color="auto"/>
            </w:tcBorders>
            <w:vAlign w:val="center"/>
          </w:tcPr>
          <w:p w14:paraId="22E1AA05"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b/>
                <w:color w:val="000000"/>
                <w:sz w:val="16"/>
                <w:szCs w:val="16"/>
              </w:rPr>
              <w:t xml:space="preserve">Longitud de onda </w:t>
            </w:r>
            <w:r w:rsidRPr="00F01347">
              <w:rPr>
                <w:rFonts w:ascii="Verdana" w:hAnsi="Verdana"/>
                <w:b/>
                <w:color w:val="000000"/>
                <w:sz w:val="16"/>
                <w:szCs w:val="16"/>
                <w:vertAlign w:val="superscript"/>
              </w:rPr>
              <w:t>c</w:t>
            </w:r>
            <w:r w:rsidRPr="00F01347">
              <w:rPr>
                <w:rFonts w:ascii="Verdana" w:hAnsi="Verdana"/>
                <w:b/>
                <w:color w:val="000000"/>
                <w:sz w:val="16"/>
                <w:szCs w:val="16"/>
              </w:rPr>
              <w:t xml:space="preserve"> (nm)</w:t>
            </w:r>
          </w:p>
        </w:tc>
        <w:tc>
          <w:tcPr>
            <w:tcW w:w="6396" w:type="dxa"/>
            <w:gridSpan w:val="10"/>
            <w:tcBorders>
              <w:top w:val="single" w:sz="6" w:space="0" w:color="auto"/>
              <w:left w:val="single" w:sz="6" w:space="0" w:color="auto"/>
              <w:bottom w:val="single" w:sz="6" w:space="0" w:color="auto"/>
              <w:right w:val="single" w:sz="6" w:space="0" w:color="auto"/>
            </w:tcBorders>
            <w:vAlign w:val="center"/>
          </w:tcPr>
          <w:p w14:paraId="46444F24" w14:textId="77777777" w:rsidR="00A74CDF" w:rsidRPr="00F01347" w:rsidRDefault="00A74CDF" w:rsidP="003A601B">
            <w:pPr>
              <w:pStyle w:val="texto0"/>
              <w:spacing w:after="62"/>
              <w:ind w:firstLine="0"/>
              <w:jc w:val="center"/>
              <w:rPr>
                <w:rFonts w:ascii="Verdana" w:hAnsi="Verdana"/>
                <w:b/>
                <w:color w:val="000000"/>
                <w:sz w:val="16"/>
                <w:szCs w:val="16"/>
              </w:rPr>
            </w:pPr>
            <w:r w:rsidRPr="00F01347">
              <w:rPr>
                <w:rFonts w:ascii="Verdana" w:hAnsi="Verdana"/>
                <w:b/>
                <w:color w:val="000000"/>
                <w:sz w:val="16"/>
                <w:szCs w:val="16"/>
              </w:rPr>
              <w:t xml:space="preserve">Interferencias </w:t>
            </w:r>
            <w:r w:rsidRPr="00F01347">
              <w:rPr>
                <w:rFonts w:ascii="Verdana" w:hAnsi="Verdana"/>
                <w:b/>
                <w:color w:val="000000"/>
                <w:sz w:val="16"/>
                <w:szCs w:val="16"/>
                <w:vertAlign w:val="superscript"/>
              </w:rPr>
              <w:t>a, b</w:t>
            </w:r>
          </w:p>
        </w:tc>
      </w:tr>
      <w:tr w:rsidR="00A74CDF" w:rsidRPr="00F01347" w14:paraId="01148DEA" w14:textId="77777777">
        <w:trPr>
          <w:trHeight w:val="20"/>
        </w:trPr>
        <w:tc>
          <w:tcPr>
            <w:tcW w:w="1273" w:type="dxa"/>
            <w:vMerge/>
            <w:tcBorders>
              <w:left w:val="single" w:sz="6" w:space="0" w:color="auto"/>
              <w:bottom w:val="single" w:sz="6" w:space="0" w:color="auto"/>
              <w:right w:val="single" w:sz="6" w:space="0" w:color="auto"/>
            </w:tcBorders>
            <w:vAlign w:val="center"/>
          </w:tcPr>
          <w:p w14:paraId="3394780A" w14:textId="77777777" w:rsidR="00A74CDF" w:rsidRPr="00F01347" w:rsidRDefault="00A74CDF" w:rsidP="003A601B">
            <w:pPr>
              <w:pStyle w:val="texto0"/>
              <w:spacing w:after="62"/>
              <w:ind w:firstLine="0"/>
              <w:jc w:val="center"/>
              <w:rPr>
                <w:rFonts w:ascii="Verdana" w:hAnsi="Verdana"/>
                <w:b/>
                <w:color w:val="000000"/>
                <w:sz w:val="16"/>
                <w:szCs w:val="16"/>
              </w:rPr>
            </w:pPr>
          </w:p>
        </w:tc>
        <w:tc>
          <w:tcPr>
            <w:tcW w:w="1043" w:type="dxa"/>
            <w:vMerge/>
            <w:tcBorders>
              <w:left w:val="single" w:sz="6" w:space="0" w:color="auto"/>
              <w:bottom w:val="single" w:sz="6" w:space="0" w:color="auto"/>
              <w:right w:val="single" w:sz="6" w:space="0" w:color="auto"/>
            </w:tcBorders>
            <w:vAlign w:val="center"/>
          </w:tcPr>
          <w:p w14:paraId="61CDF405" w14:textId="77777777" w:rsidR="00A74CDF" w:rsidRPr="00F01347" w:rsidRDefault="00A74CDF" w:rsidP="003A601B">
            <w:pPr>
              <w:pStyle w:val="texto0"/>
              <w:spacing w:after="62"/>
              <w:ind w:firstLine="0"/>
              <w:jc w:val="center"/>
              <w:rPr>
                <w:rFonts w:ascii="Verdana" w:hAnsi="Verdana"/>
                <w:b/>
                <w:color w:val="000000"/>
                <w:sz w:val="16"/>
                <w:szCs w:val="16"/>
              </w:rPr>
            </w:pPr>
          </w:p>
        </w:tc>
        <w:tc>
          <w:tcPr>
            <w:tcW w:w="742" w:type="dxa"/>
            <w:tcBorders>
              <w:top w:val="single" w:sz="6" w:space="0" w:color="auto"/>
              <w:left w:val="single" w:sz="6" w:space="0" w:color="auto"/>
              <w:bottom w:val="single" w:sz="6" w:space="0" w:color="auto"/>
              <w:right w:val="single" w:sz="6" w:space="0" w:color="auto"/>
            </w:tcBorders>
            <w:vAlign w:val="center"/>
          </w:tcPr>
          <w:p w14:paraId="35173C3C" w14:textId="77777777" w:rsidR="00A74CDF" w:rsidRPr="00F01347" w:rsidRDefault="00A74CDF" w:rsidP="003A601B">
            <w:pPr>
              <w:pStyle w:val="texto0"/>
              <w:spacing w:after="62"/>
              <w:ind w:firstLine="0"/>
              <w:jc w:val="center"/>
              <w:rPr>
                <w:rFonts w:ascii="Verdana" w:hAnsi="Verdana"/>
                <w:b/>
                <w:color w:val="000000"/>
                <w:sz w:val="16"/>
                <w:szCs w:val="16"/>
              </w:rPr>
            </w:pPr>
            <w:r w:rsidRPr="00F01347">
              <w:rPr>
                <w:rFonts w:ascii="Verdana" w:hAnsi="Verdana"/>
                <w:b/>
                <w:color w:val="000000"/>
                <w:sz w:val="16"/>
                <w:szCs w:val="16"/>
              </w:rPr>
              <w:t>Al</w:t>
            </w:r>
          </w:p>
        </w:tc>
        <w:tc>
          <w:tcPr>
            <w:tcW w:w="594" w:type="dxa"/>
            <w:tcBorders>
              <w:top w:val="single" w:sz="6" w:space="0" w:color="auto"/>
              <w:left w:val="single" w:sz="6" w:space="0" w:color="auto"/>
              <w:bottom w:val="single" w:sz="6" w:space="0" w:color="auto"/>
              <w:right w:val="single" w:sz="6" w:space="0" w:color="auto"/>
            </w:tcBorders>
            <w:vAlign w:val="center"/>
          </w:tcPr>
          <w:p w14:paraId="576E8A29" w14:textId="77777777" w:rsidR="00A74CDF" w:rsidRPr="00F01347" w:rsidRDefault="00A74CDF" w:rsidP="003A601B">
            <w:pPr>
              <w:pStyle w:val="texto0"/>
              <w:spacing w:after="62"/>
              <w:ind w:firstLine="0"/>
              <w:jc w:val="center"/>
              <w:rPr>
                <w:rFonts w:ascii="Verdana" w:hAnsi="Verdana"/>
                <w:b/>
                <w:color w:val="000000"/>
                <w:sz w:val="16"/>
                <w:szCs w:val="16"/>
              </w:rPr>
            </w:pPr>
            <w:r w:rsidRPr="00F01347">
              <w:rPr>
                <w:rFonts w:ascii="Verdana" w:hAnsi="Verdana"/>
                <w:b/>
                <w:color w:val="000000"/>
                <w:sz w:val="16"/>
                <w:szCs w:val="16"/>
              </w:rPr>
              <w:t>Ca</w:t>
            </w:r>
          </w:p>
        </w:tc>
        <w:tc>
          <w:tcPr>
            <w:tcW w:w="595" w:type="dxa"/>
            <w:tcBorders>
              <w:top w:val="single" w:sz="6" w:space="0" w:color="auto"/>
              <w:left w:val="single" w:sz="6" w:space="0" w:color="auto"/>
              <w:bottom w:val="single" w:sz="6" w:space="0" w:color="auto"/>
              <w:right w:val="single" w:sz="6" w:space="0" w:color="auto"/>
            </w:tcBorders>
            <w:vAlign w:val="center"/>
          </w:tcPr>
          <w:p w14:paraId="46B721DB" w14:textId="77777777" w:rsidR="00A74CDF" w:rsidRPr="00F01347" w:rsidRDefault="00A74CDF" w:rsidP="003A601B">
            <w:pPr>
              <w:pStyle w:val="texto0"/>
              <w:spacing w:after="62"/>
              <w:ind w:firstLine="0"/>
              <w:jc w:val="center"/>
              <w:rPr>
                <w:rFonts w:ascii="Verdana" w:hAnsi="Verdana"/>
                <w:b/>
                <w:color w:val="000000"/>
                <w:sz w:val="16"/>
                <w:szCs w:val="16"/>
              </w:rPr>
            </w:pPr>
            <w:r w:rsidRPr="00F01347">
              <w:rPr>
                <w:rFonts w:ascii="Verdana" w:hAnsi="Verdana"/>
                <w:b/>
                <w:color w:val="000000"/>
                <w:sz w:val="16"/>
                <w:szCs w:val="16"/>
              </w:rPr>
              <w:t>Cr</w:t>
            </w:r>
          </w:p>
        </w:tc>
        <w:tc>
          <w:tcPr>
            <w:tcW w:w="594" w:type="dxa"/>
            <w:tcBorders>
              <w:top w:val="single" w:sz="6" w:space="0" w:color="auto"/>
              <w:left w:val="single" w:sz="6" w:space="0" w:color="auto"/>
              <w:bottom w:val="single" w:sz="6" w:space="0" w:color="auto"/>
              <w:right w:val="single" w:sz="6" w:space="0" w:color="auto"/>
            </w:tcBorders>
            <w:vAlign w:val="center"/>
          </w:tcPr>
          <w:p w14:paraId="7A9ABC07" w14:textId="77777777" w:rsidR="00A74CDF" w:rsidRPr="00F01347" w:rsidRDefault="00A74CDF" w:rsidP="003A601B">
            <w:pPr>
              <w:pStyle w:val="texto0"/>
              <w:spacing w:after="62"/>
              <w:ind w:firstLine="0"/>
              <w:jc w:val="center"/>
              <w:rPr>
                <w:rFonts w:ascii="Verdana" w:hAnsi="Verdana"/>
                <w:b/>
                <w:color w:val="000000"/>
                <w:sz w:val="16"/>
                <w:szCs w:val="16"/>
              </w:rPr>
            </w:pPr>
            <w:r w:rsidRPr="00F01347">
              <w:rPr>
                <w:rFonts w:ascii="Verdana" w:hAnsi="Verdana"/>
                <w:b/>
                <w:color w:val="000000"/>
                <w:sz w:val="16"/>
                <w:szCs w:val="16"/>
              </w:rPr>
              <w:t>Cu</w:t>
            </w:r>
          </w:p>
        </w:tc>
        <w:tc>
          <w:tcPr>
            <w:tcW w:w="746" w:type="dxa"/>
            <w:tcBorders>
              <w:top w:val="single" w:sz="6" w:space="0" w:color="auto"/>
              <w:left w:val="single" w:sz="6" w:space="0" w:color="auto"/>
              <w:bottom w:val="single" w:sz="6" w:space="0" w:color="auto"/>
              <w:right w:val="single" w:sz="6" w:space="0" w:color="auto"/>
            </w:tcBorders>
            <w:vAlign w:val="center"/>
          </w:tcPr>
          <w:p w14:paraId="1D2C40D8" w14:textId="77777777" w:rsidR="00A74CDF" w:rsidRPr="00F01347" w:rsidRDefault="00A74CDF" w:rsidP="003A601B">
            <w:pPr>
              <w:pStyle w:val="texto0"/>
              <w:spacing w:after="62"/>
              <w:ind w:firstLine="0"/>
              <w:jc w:val="center"/>
              <w:rPr>
                <w:rFonts w:ascii="Verdana" w:hAnsi="Verdana"/>
                <w:b/>
                <w:color w:val="000000"/>
                <w:sz w:val="16"/>
                <w:szCs w:val="16"/>
              </w:rPr>
            </w:pPr>
            <w:r w:rsidRPr="00F01347">
              <w:rPr>
                <w:rFonts w:ascii="Verdana" w:hAnsi="Verdana"/>
                <w:b/>
                <w:color w:val="000000"/>
                <w:sz w:val="16"/>
                <w:szCs w:val="16"/>
              </w:rPr>
              <w:t>Fe</w:t>
            </w:r>
          </w:p>
        </w:tc>
        <w:tc>
          <w:tcPr>
            <w:tcW w:w="746" w:type="dxa"/>
            <w:tcBorders>
              <w:top w:val="single" w:sz="6" w:space="0" w:color="auto"/>
              <w:left w:val="single" w:sz="6" w:space="0" w:color="auto"/>
              <w:bottom w:val="single" w:sz="6" w:space="0" w:color="auto"/>
              <w:right w:val="single" w:sz="6" w:space="0" w:color="auto"/>
            </w:tcBorders>
            <w:vAlign w:val="center"/>
          </w:tcPr>
          <w:p w14:paraId="45C07250" w14:textId="77777777" w:rsidR="00A74CDF" w:rsidRPr="00F01347" w:rsidRDefault="00A74CDF" w:rsidP="003A601B">
            <w:pPr>
              <w:pStyle w:val="texto0"/>
              <w:spacing w:after="62"/>
              <w:ind w:firstLine="0"/>
              <w:jc w:val="center"/>
              <w:rPr>
                <w:rFonts w:ascii="Verdana" w:hAnsi="Verdana"/>
                <w:b/>
                <w:color w:val="000000"/>
                <w:sz w:val="16"/>
                <w:szCs w:val="16"/>
              </w:rPr>
            </w:pPr>
            <w:r w:rsidRPr="00F01347">
              <w:rPr>
                <w:rFonts w:ascii="Verdana" w:hAnsi="Verdana"/>
                <w:b/>
                <w:color w:val="000000"/>
                <w:sz w:val="16"/>
                <w:szCs w:val="16"/>
              </w:rPr>
              <w:t>Mg</w:t>
            </w:r>
          </w:p>
        </w:tc>
        <w:tc>
          <w:tcPr>
            <w:tcW w:w="595" w:type="dxa"/>
            <w:tcBorders>
              <w:top w:val="single" w:sz="6" w:space="0" w:color="auto"/>
              <w:left w:val="single" w:sz="6" w:space="0" w:color="auto"/>
              <w:bottom w:val="single" w:sz="6" w:space="0" w:color="auto"/>
              <w:right w:val="single" w:sz="6" w:space="0" w:color="auto"/>
            </w:tcBorders>
            <w:vAlign w:val="center"/>
          </w:tcPr>
          <w:p w14:paraId="02EE4AB9" w14:textId="77777777" w:rsidR="00A74CDF" w:rsidRPr="00F01347" w:rsidRDefault="00A74CDF" w:rsidP="003A601B">
            <w:pPr>
              <w:pStyle w:val="texto0"/>
              <w:spacing w:after="62"/>
              <w:ind w:firstLine="0"/>
              <w:jc w:val="center"/>
              <w:rPr>
                <w:rFonts w:ascii="Verdana" w:hAnsi="Verdana"/>
                <w:b/>
                <w:color w:val="000000"/>
                <w:sz w:val="16"/>
                <w:szCs w:val="16"/>
              </w:rPr>
            </w:pPr>
            <w:r w:rsidRPr="00F01347">
              <w:rPr>
                <w:rFonts w:ascii="Verdana" w:hAnsi="Verdana"/>
                <w:b/>
                <w:color w:val="000000"/>
                <w:sz w:val="16"/>
                <w:szCs w:val="16"/>
              </w:rPr>
              <w:t>Mn</w:t>
            </w:r>
          </w:p>
        </w:tc>
        <w:tc>
          <w:tcPr>
            <w:tcW w:w="594" w:type="dxa"/>
            <w:tcBorders>
              <w:top w:val="single" w:sz="6" w:space="0" w:color="auto"/>
              <w:left w:val="single" w:sz="6" w:space="0" w:color="auto"/>
              <w:bottom w:val="single" w:sz="6" w:space="0" w:color="auto"/>
              <w:right w:val="single" w:sz="6" w:space="0" w:color="auto"/>
            </w:tcBorders>
            <w:vAlign w:val="center"/>
          </w:tcPr>
          <w:p w14:paraId="0AB53EA7" w14:textId="77777777" w:rsidR="00A74CDF" w:rsidRPr="00F01347" w:rsidRDefault="00A74CDF" w:rsidP="003A601B">
            <w:pPr>
              <w:pStyle w:val="texto0"/>
              <w:spacing w:after="62"/>
              <w:ind w:firstLine="0"/>
              <w:jc w:val="center"/>
              <w:rPr>
                <w:rFonts w:ascii="Verdana" w:hAnsi="Verdana"/>
                <w:b/>
                <w:color w:val="000000"/>
                <w:sz w:val="16"/>
                <w:szCs w:val="16"/>
              </w:rPr>
            </w:pPr>
            <w:r w:rsidRPr="00F01347">
              <w:rPr>
                <w:rFonts w:ascii="Verdana" w:hAnsi="Verdana"/>
                <w:b/>
                <w:color w:val="000000"/>
                <w:sz w:val="16"/>
                <w:szCs w:val="16"/>
              </w:rPr>
              <w:t>Ni</w:t>
            </w:r>
          </w:p>
        </w:tc>
        <w:tc>
          <w:tcPr>
            <w:tcW w:w="595" w:type="dxa"/>
            <w:tcBorders>
              <w:top w:val="single" w:sz="6" w:space="0" w:color="auto"/>
              <w:left w:val="single" w:sz="6" w:space="0" w:color="auto"/>
              <w:bottom w:val="single" w:sz="6" w:space="0" w:color="auto"/>
              <w:right w:val="single" w:sz="6" w:space="0" w:color="auto"/>
            </w:tcBorders>
            <w:vAlign w:val="center"/>
          </w:tcPr>
          <w:p w14:paraId="66313CEC" w14:textId="77777777" w:rsidR="00A74CDF" w:rsidRPr="00F01347" w:rsidRDefault="00A74CDF" w:rsidP="003A601B">
            <w:pPr>
              <w:pStyle w:val="texto0"/>
              <w:spacing w:after="62"/>
              <w:ind w:firstLine="0"/>
              <w:jc w:val="center"/>
              <w:rPr>
                <w:rFonts w:ascii="Verdana" w:hAnsi="Verdana"/>
                <w:b/>
                <w:color w:val="000000"/>
                <w:sz w:val="16"/>
                <w:szCs w:val="16"/>
              </w:rPr>
            </w:pPr>
            <w:r w:rsidRPr="00F01347">
              <w:rPr>
                <w:rFonts w:ascii="Verdana" w:hAnsi="Verdana"/>
                <w:b/>
                <w:color w:val="000000"/>
                <w:sz w:val="16"/>
                <w:szCs w:val="16"/>
              </w:rPr>
              <w:t>Tl</w:t>
            </w:r>
          </w:p>
        </w:tc>
        <w:tc>
          <w:tcPr>
            <w:tcW w:w="595" w:type="dxa"/>
            <w:tcBorders>
              <w:top w:val="single" w:sz="6" w:space="0" w:color="auto"/>
              <w:left w:val="single" w:sz="6" w:space="0" w:color="auto"/>
              <w:bottom w:val="single" w:sz="6" w:space="0" w:color="auto"/>
              <w:right w:val="single" w:sz="6" w:space="0" w:color="auto"/>
            </w:tcBorders>
            <w:vAlign w:val="center"/>
          </w:tcPr>
          <w:p w14:paraId="09FB19AC" w14:textId="77777777" w:rsidR="00A74CDF" w:rsidRPr="00F01347" w:rsidRDefault="00A74CDF" w:rsidP="003A601B">
            <w:pPr>
              <w:pStyle w:val="texto0"/>
              <w:spacing w:after="62"/>
              <w:ind w:firstLine="0"/>
              <w:jc w:val="center"/>
              <w:rPr>
                <w:rFonts w:ascii="Verdana" w:hAnsi="Verdana"/>
                <w:b/>
                <w:color w:val="000000"/>
                <w:sz w:val="16"/>
                <w:szCs w:val="16"/>
              </w:rPr>
            </w:pPr>
            <w:r w:rsidRPr="00F01347">
              <w:rPr>
                <w:rFonts w:ascii="Verdana" w:hAnsi="Verdana"/>
                <w:b/>
                <w:color w:val="000000"/>
                <w:sz w:val="16"/>
                <w:szCs w:val="16"/>
              </w:rPr>
              <w:t>V</w:t>
            </w:r>
          </w:p>
        </w:tc>
      </w:tr>
      <w:tr w:rsidR="00A74CDF" w:rsidRPr="00F01347" w14:paraId="50392CE0" w14:textId="77777777">
        <w:trPr>
          <w:trHeight w:val="20"/>
        </w:trPr>
        <w:tc>
          <w:tcPr>
            <w:tcW w:w="1273" w:type="dxa"/>
            <w:tcBorders>
              <w:top w:val="single" w:sz="6" w:space="0" w:color="auto"/>
              <w:left w:val="single" w:sz="6" w:space="0" w:color="auto"/>
              <w:bottom w:val="single" w:sz="6" w:space="0" w:color="auto"/>
              <w:right w:val="single" w:sz="6" w:space="0" w:color="auto"/>
            </w:tcBorders>
            <w:vAlign w:val="center"/>
          </w:tcPr>
          <w:p w14:paraId="0C9506DA"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Aluminio</w:t>
            </w:r>
          </w:p>
        </w:tc>
        <w:tc>
          <w:tcPr>
            <w:tcW w:w="1043" w:type="dxa"/>
            <w:tcBorders>
              <w:top w:val="single" w:sz="6" w:space="0" w:color="auto"/>
              <w:left w:val="single" w:sz="6" w:space="0" w:color="auto"/>
              <w:bottom w:val="single" w:sz="6" w:space="0" w:color="auto"/>
              <w:right w:val="single" w:sz="6" w:space="0" w:color="auto"/>
            </w:tcBorders>
            <w:vAlign w:val="center"/>
          </w:tcPr>
          <w:p w14:paraId="4C349F8E"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308.215</w:t>
            </w:r>
          </w:p>
        </w:tc>
        <w:tc>
          <w:tcPr>
            <w:tcW w:w="742" w:type="dxa"/>
            <w:tcBorders>
              <w:top w:val="single" w:sz="6" w:space="0" w:color="auto"/>
              <w:left w:val="single" w:sz="6" w:space="0" w:color="auto"/>
              <w:bottom w:val="single" w:sz="6" w:space="0" w:color="auto"/>
              <w:right w:val="single" w:sz="6" w:space="0" w:color="auto"/>
            </w:tcBorders>
            <w:vAlign w:val="center"/>
          </w:tcPr>
          <w:p w14:paraId="19D9DF12"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564F747A"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41345C57"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10C73E4A"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46AD57B4"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030A5E6C"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3FD51A65"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0.21</w:t>
            </w:r>
          </w:p>
        </w:tc>
        <w:tc>
          <w:tcPr>
            <w:tcW w:w="594" w:type="dxa"/>
            <w:tcBorders>
              <w:top w:val="single" w:sz="6" w:space="0" w:color="auto"/>
              <w:left w:val="single" w:sz="6" w:space="0" w:color="auto"/>
              <w:bottom w:val="single" w:sz="6" w:space="0" w:color="auto"/>
              <w:right w:val="single" w:sz="6" w:space="0" w:color="auto"/>
            </w:tcBorders>
            <w:vAlign w:val="center"/>
          </w:tcPr>
          <w:p w14:paraId="6D626145"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723A76F8"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47F2FF4E"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1.4</w:t>
            </w:r>
          </w:p>
        </w:tc>
      </w:tr>
      <w:tr w:rsidR="00A74CDF" w:rsidRPr="00F01347" w14:paraId="4A32AF61" w14:textId="77777777">
        <w:trPr>
          <w:trHeight w:val="20"/>
        </w:trPr>
        <w:tc>
          <w:tcPr>
            <w:tcW w:w="1273" w:type="dxa"/>
            <w:tcBorders>
              <w:top w:val="single" w:sz="6" w:space="0" w:color="auto"/>
              <w:left w:val="single" w:sz="6" w:space="0" w:color="auto"/>
              <w:bottom w:val="single" w:sz="6" w:space="0" w:color="auto"/>
              <w:right w:val="single" w:sz="6" w:space="0" w:color="auto"/>
            </w:tcBorders>
            <w:vAlign w:val="center"/>
          </w:tcPr>
          <w:p w14:paraId="3C7B698A"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Antimonio</w:t>
            </w:r>
          </w:p>
        </w:tc>
        <w:tc>
          <w:tcPr>
            <w:tcW w:w="1043" w:type="dxa"/>
            <w:tcBorders>
              <w:top w:val="single" w:sz="6" w:space="0" w:color="auto"/>
              <w:left w:val="single" w:sz="6" w:space="0" w:color="auto"/>
              <w:bottom w:val="single" w:sz="6" w:space="0" w:color="auto"/>
              <w:right w:val="single" w:sz="6" w:space="0" w:color="auto"/>
            </w:tcBorders>
            <w:vAlign w:val="center"/>
          </w:tcPr>
          <w:p w14:paraId="658C96A4"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206.833</w:t>
            </w:r>
          </w:p>
        </w:tc>
        <w:tc>
          <w:tcPr>
            <w:tcW w:w="742" w:type="dxa"/>
            <w:tcBorders>
              <w:top w:val="single" w:sz="6" w:space="0" w:color="auto"/>
              <w:left w:val="single" w:sz="6" w:space="0" w:color="auto"/>
              <w:bottom w:val="single" w:sz="6" w:space="0" w:color="auto"/>
              <w:right w:val="single" w:sz="6" w:space="0" w:color="auto"/>
            </w:tcBorders>
            <w:vAlign w:val="center"/>
          </w:tcPr>
          <w:p w14:paraId="5D7C04AB"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0.47</w:t>
            </w:r>
          </w:p>
        </w:tc>
        <w:tc>
          <w:tcPr>
            <w:tcW w:w="594" w:type="dxa"/>
            <w:tcBorders>
              <w:top w:val="single" w:sz="6" w:space="0" w:color="auto"/>
              <w:left w:val="single" w:sz="6" w:space="0" w:color="auto"/>
              <w:bottom w:val="single" w:sz="6" w:space="0" w:color="auto"/>
              <w:right w:val="single" w:sz="6" w:space="0" w:color="auto"/>
            </w:tcBorders>
            <w:vAlign w:val="center"/>
          </w:tcPr>
          <w:p w14:paraId="79CBEDF5"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1F74C80B"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2.9</w:t>
            </w:r>
          </w:p>
        </w:tc>
        <w:tc>
          <w:tcPr>
            <w:tcW w:w="594" w:type="dxa"/>
            <w:tcBorders>
              <w:top w:val="single" w:sz="6" w:space="0" w:color="auto"/>
              <w:left w:val="single" w:sz="6" w:space="0" w:color="auto"/>
              <w:bottom w:val="single" w:sz="6" w:space="0" w:color="auto"/>
              <w:right w:val="single" w:sz="6" w:space="0" w:color="auto"/>
            </w:tcBorders>
            <w:vAlign w:val="center"/>
          </w:tcPr>
          <w:p w14:paraId="5E2B012C"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32D8D126"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0.08</w:t>
            </w:r>
          </w:p>
        </w:tc>
        <w:tc>
          <w:tcPr>
            <w:tcW w:w="746" w:type="dxa"/>
            <w:tcBorders>
              <w:top w:val="single" w:sz="6" w:space="0" w:color="auto"/>
              <w:left w:val="single" w:sz="6" w:space="0" w:color="auto"/>
              <w:bottom w:val="single" w:sz="6" w:space="0" w:color="auto"/>
              <w:right w:val="single" w:sz="6" w:space="0" w:color="auto"/>
            </w:tcBorders>
            <w:vAlign w:val="center"/>
          </w:tcPr>
          <w:p w14:paraId="42DC625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1BB48A28"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7824D40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37E62266"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0.25</w:t>
            </w:r>
          </w:p>
        </w:tc>
        <w:tc>
          <w:tcPr>
            <w:tcW w:w="595" w:type="dxa"/>
            <w:tcBorders>
              <w:top w:val="single" w:sz="6" w:space="0" w:color="auto"/>
              <w:left w:val="single" w:sz="6" w:space="0" w:color="auto"/>
              <w:bottom w:val="single" w:sz="6" w:space="0" w:color="auto"/>
              <w:right w:val="single" w:sz="6" w:space="0" w:color="auto"/>
            </w:tcBorders>
            <w:vAlign w:val="center"/>
          </w:tcPr>
          <w:p w14:paraId="12C27C99"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0.45</w:t>
            </w:r>
          </w:p>
        </w:tc>
      </w:tr>
      <w:tr w:rsidR="00A74CDF" w:rsidRPr="00F01347" w14:paraId="58D9F7C8" w14:textId="77777777">
        <w:trPr>
          <w:trHeight w:val="20"/>
        </w:trPr>
        <w:tc>
          <w:tcPr>
            <w:tcW w:w="1273" w:type="dxa"/>
            <w:tcBorders>
              <w:top w:val="single" w:sz="6" w:space="0" w:color="auto"/>
              <w:left w:val="single" w:sz="6" w:space="0" w:color="auto"/>
              <w:bottom w:val="single" w:sz="6" w:space="0" w:color="auto"/>
              <w:right w:val="single" w:sz="6" w:space="0" w:color="auto"/>
            </w:tcBorders>
            <w:vAlign w:val="center"/>
          </w:tcPr>
          <w:p w14:paraId="157F061D"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Arsénico</w:t>
            </w:r>
          </w:p>
        </w:tc>
        <w:tc>
          <w:tcPr>
            <w:tcW w:w="1043" w:type="dxa"/>
            <w:tcBorders>
              <w:top w:val="single" w:sz="6" w:space="0" w:color="auto"/>
              <w:left w:val="single" w:sz="6" w:space="0" w:color="auto"/>
              <w:bottom w:val="single" w:sz="6" w:space="0" w:color="auto"/>
              <w:right w:val="single" w:sz="6" w:space="0" w:color="auto"/>
            </w:tcBorders>
            <w:vAlign w:val="center"/>
          </w:tcPr>
          <w:p w14:paraId="451A5343"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193.696</w:t>
            </w:r>
          </w:p>
        </w:tc>
        <w:tc>
          <w:tcPr>
            <w:tcW w:w="742" w:type="dxa"/>
            <w:tcBorders>
              <w:top w:val="single" w:sz="6" w:space="0" w:color="auto"/>
              <w:left w:val="single" w:sz="6" w:space="0" w:color="auto"/>
              <w:bottom w:val="single" w:sz="6" w:space="0" w:color="auto"/>
              <w:right w:val="single" w:sz="6" w:space="0" w:color="auto"/>
            </w:tcBorders>
            <w:vAlign w:val="center"/>
          </w:tcPr>
          <w:p w14:paraId="1DF90B2E"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1.3</w:t>
            </w:r>
          </w:p>
        </w:tc>
        <w:tc>
          <w:tcPr>
            <w:tcW w:w="594" w:type="dxa"/>
            <w:tcBorders>
              <w:top w:val="single" w:sz="6" w:space="0" w:color="auto"/>
              <w:left w:val="single" w:sz="6" w:space="0" w:color="auto"/>
              <w:bottom w:val="single" w:sz="6" w:space="0" w:color="auto"/>
              <w:right w:val="single" w:sz="6" w:space="0" w:color="auto"/>
            </w:tcBorders>
            <w:vAlign w:val="center"/>
          </w:tcPr>
          <w:p w14:paraId="762EB56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78F149FD"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0.44</w:t>
            </w:r>
          </w:p>
        </w:tc>
        <w:tc>
          <w:tcPr>
            <w:tcW w:w="594" w:type="dxa"/>
            <w:tcBorders>
              <w:top w:val="single" w:sz="6" w:space="0" w:color="auto"/>
              <w:left w:val="single" w:sz="6" w:space="0" w:color="auto"/>
              <w:bottom w:val="single" w:sz="6" w:space="0" w:color="auto"/>
              <w:right w:val="single" w:sz="6" w:space="0" w:color="auto"/>
            </w:tcBorders>
            <w:vAlign w:val="center"/>
          </w:tcPr>
          <w:p w14:paraId="5BB06392"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18E8D133"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36AE605A"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5AB339D4"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28BE71C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2D1EB6A2"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0E511D33"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1.1</w:t>
            </w:r>
          </w:p>
        </w:tc>
      </w:tr>
      <w:tr w:rsidR="00A74CDF" w:rsidRPr="00F01347" w14:paraId="5A53AC6D" w14:textId="77777777">
        <w:trPr>
          <w:trHeight w:val="20"/>
        </w:trPr>
        <w:tc>
          <w:tcPr>
            <w:tcW w:w="1273" w:type="dxa"/>
            <w:tcBorders>
              <w:top w:val="single" w:sz="6" w:space="0" w:color="auto"/>
              <w:left w:val="single" w:sz="6" w:space="0" w:color="auto"/>
              <w:bottom w:val="single" w:sz="6" w:space="0" w:color="auto"/>
              <w:right w:val="single" w:sz="6" w:space="0" w:color="auto"/>
            </w:tcBorders>
            <w:vAlign w:val="center"/>
          </w:tcPr>
          <w:p w14:paraId="3D038DB8"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Bario</w:t>
            </w:r>
          </w:p>
        </w:tc>
        <w:tc>
          <w:tcPr>
            <w:tcW w:w="1043" w:type="dxa"/>
            <w:tcBorders>
              <w:top w:val="single" w:sz="6" w:space="0" w:color="auto"/>
              <w:left w:val="single" w:sz="6" w:space="0" w:color="auto"/>
              <w:bottom w:val="single" w:sz="6" w:space="0" w:color="auto"/>
              <w:right w:val="single" w:sz="6" w:space="0" w:color="auto"/>
            </w:tcBorders>
            <w:vAlign w:val="center"/>
          </w:tcPr>
          <w:p w14:paraId="4C60B26C"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455.403</w:t>
            </w:r>
          </w:p>
        </w:tc>
        <w:tc>
          <w:tcPr>
            <w:tcW w:w="742" w:type="dxa"/>
            <w:tcBorders>
              <w:top w:val="single" w:sz="6" w:space="0" w:color="auto"/>
              <w:left w:val="single" w:sz="6" w:space="0" w:color="auto"/>
              <w:bottom w:val="single" w:sz="6" w:space="0" w:color="auto"/>
              <w:right w:val="single" w:sz="6" w:space="0" w:color="auto"/>
            </w:tcBorders>
            <w:vAlign w:val="center"/>
          </w:tcPr>
          <w:p w14:paraId="34A9A643"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6B5C27B0"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496B727D"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3A140073"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2C6209DB"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4820D460"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2E803B19"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0867E7DB"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153671C3"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64B6F7F7"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r>
      <w:tr w:rsidR="00A74CDF" w:rsidRPr="00F01347" w14:paraId="33AAB7D9" w14:textId="77777777">
        <w:trPr>
          <w:trHeight w:val="20"/>
        </w:trPr>
        <w:tc>
          <w:tcPr>
            <w:tcW w:w="1273" w:type="dxa"/>
            <w:tcBorders>
              <w:top w:val="single" w:sz="6" w:space="0" w:color="auto"/>
              <w:left w:val="single" w:sz="6" w:space="0" w:color="auto"/>
              <w:bottom w:val="single" w:sz="6" w:space="0" w:color="auto"/>
              <w:right w:val="single" w:sz="6" w:space="0" w:color="auto"/>
            </w:tcBorders>
            <w:vAlign w:val="center"/>
          </w:tcPr>
          <w:p w14:paraId="570AA870"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Cadmio</w:t>
            </w:r>
          </w:p>
        </w:tc>
        <w:tc>
          <w:tcPr>
            <w:tcW w:w="1043" w:type="dxa"/>
            <w:tcBorders>
              <w:top w:val="single" w:sz="6" w:space="0" w:color="auto"/>
              <w:left w:val="single" w:sz="6" w:space="0" w:color="auto"/>
              <w:bottom w:val="single" w:sz="6" w:space="0" w:color="auto"/>
              <w:right w:val="single" w:sz="6" w:space="0" w:color="auto"/>
            </w:tcBorders>
            <w:vAlign w:val="center"/>
          </w:tcPr>
          <w:p w14:paraId="4EECBE88"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226.502</w:t>
            </w:r>
          </w:p>
        </w:tc>
        <w:tc>
          <w:tcPr>
            <w:tcW w:w="742" w:type="dxa"/>
            <w:tcBorders>
              <w:top w:val="single" w:sz="6" w:space="0" w:color="auto"/>
              <w:left w:val="single" w:sz="6" w:space="0" w:color="auto"/>
              <w:bottom w:val="single" w:sz="6" w:space="0" w:color="auto"/>
              <w:right w:val="single" w:sz="6" w:space="0" w:color="auto"/>
            </w:tcBorders>
            <w:vAlign w:val="center"/>
          </w:tcPr>
          <w:p w14:paraId="6B564C2F"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68B58CAD"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17E2AE6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6E48776F"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6D1AC00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0.03</w:t>
            </w:r>
          </w:p>
        </w:tc>
        <w:tc>
          <w:tcPr>
            <w:tcW w:w="746" w:type="dxa"/>
            <w:tcBorders>
              <w:top w:val="single" w:sz="6" w:space="0" w:color="auto"/>
              <w:left w:val="single" w:sz="6" w:space="0" w:color="auto"/>
              <w:bottom w:val="single" w:sz="6" w:space="0" w:color="auto"/>
              <w:right w:val="single" w:sz="6" w:space="0" w:color="auto"/>
            </w:tcBorders>
            <w:vAlign w:val="center"/>
          </w:tcPr>
          <w:p w14:paraId="3644C8BF"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07D60DE6"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39DFE11C"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0.02</w:t>
            </w:r>
          </w:p>
        </w:tc>
        <w:tc>
          <w:tcPr>
            <w:tcW w:w="595" w:type="dxa"/>
            <w:tcBorders>
              <w:top w:val="single" w:sz="6" w:space="0" w:color="auto"/>
              <w:left w:val="single" w:sz="6" w:space="0" w:color="auto"/>
              <w:bottom w:val="single" w:sz="6" w:space="0" w:color="auto"/>
              <w:right w:val="single" w:sz="6" w:space="0" w:color="auto"/>
            </w:tcBorders>
            <w:vAlign w:val="center"/>
          </w:tcPr>
          <w:p w14:paraId="5CCBBD9F"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0F365D6C"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r>
      <w:tr w:rsidR="00A74CDF" w:rsidRPr="00F01347" w14:paraId="68F1FACE" w14:textId="77777777">
        <w:trPr>
          <w:trHeight w:val="20"/>
        </w:trPr>
        <w:tc>
          <w:tcPr>
            <w:tcW w:w="1273" w:type="dxa"/>
            <w:tcBorders>
              <w:top w:val="single" w:sz="6" w:space="0" w:color="auto"/>
              <w:left w:val="single" w:sz="6" w:space="0" w:color="auto"/>
              <w:bottom w:val="single" w:sz="6" w:space="0" w:color="auto"/>
              <w:right w:val="single" w:sz="6" w:space="0" w:color="auto"/>
            </w:tcBorders>
            <w:vAlign w:val="center"/>
          </w:tcPr>
          <w:p w14:paraId="375BE1D7"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Cobre</w:t>
            </w:r>
          </w:p>
        </w:tc>
        <w:tc>
          <w:tcPr>
            <w:tcW w:w="1043" w:type="dxa"/>
            <w:tcBorders>
              <w:top w:val="single" w:sz="6" w:space="0" w:color="auto"/>
              <w:left w:val="single" w:sz="6" w:space="0" w:color="auto"/>
              <w:bottom w:val="single" w:sz="6" w:space="0" w:color="auto"/>
              <w:right w:val="single" w:sz="6" w:space="0" w:color="auto"/>
            </w:tcBorders>
            <w:vAlign w:val="center"/>
          </w:tcPr>
          <w:p w14:paraId="5AF3BF0F"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324.754</w:t>
            </w:r>
          </w:p>
        </w:tc>
        <w:tc>
          <w:tcPr>
            <w:tcW w:w="742" w:type="dxa"/>
            <w:tcBorders>
              <w:top w:val="single" w:sz="6" w:space="0" w:color="auto"/>
              <w:left w:val="single" w:sz="6" w:space="0" w:color="auto"/>
              <w:bottom w:val="single" w:sz="6" w:space="0" w:color="auto"/>
              <w:right w:val="single" w:sz="6" w:space="0" w:color="auto"/>
            </w:tcBorders>
            <w:vAlign w:val="center"/>
          </w:tcPr>
          <w:p w14:paraId="53F5870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0D49021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44E0EB57"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03B1460C"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42D8DAE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0.003</w:t>
            </w:r>
          </w:p>
        </w:tc>
        <w:tc>
          <w:tcPr>
            <w:tcW w:w="746" w:type="dxa"/>
            <w:tcBorders>
              <w:top w:val="single" w:sz="6" w:space="0" w:color="auto"/>
              <w:left w:val="single" w:sz="6" w:space="0" w:color="auto"/>
              <w:bottom w:val="single" w:sz="6" w:space="0" w:color="auto"/>
              <w:right w:val="single" w:sz="6" w:space="0" w:color="auto"/>
            </w:tcBorders>
            <w:vAlign w:val="center"/>
          </w:tcPr>
          <w:p w14:paraId="1451BD23"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1ED1A190"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6B2FCD7A"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23EABC0E"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0.05</w:t>
            </w:r>
          </w:p>
        </w:tc>
        <w:tc>
          <w:tcPr>
            <w:tcW w:w="595" w:type="dxa"/>
            <w:tcBorders>
              <w:top w:val="single" w:sz="6" w:space="0" w:color="auto"/>
              <w:left w:val="single" w:sz="6" w:space="0" w:color="auto"/>
              <w:bottom w:val="single" w:sz="6" w:space="0" w:color="auto"/>
              <w:right w:val="single" w:sz="6" w:space="0" w:color="auto"/>
            </w:tcBorders>
            <w:vAlign w:val="center"/>
          </w:tcPr>
          <w:p w14:paraId="7F3D2CF0"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0.02</w:t>
            </w:r>
          </w:p>
        </w:tc>
      </w:tr>
      <w:tr w:rsidR="00A74CDF" w:rsidRPr="00F01347" w14:paraId="79463DB5" w14:textId="77777777">
        <w:trPr>
          <w:trHeight w:val="20"/>
        </w:trPr>
        <w:tc>
          <w:tcPr>
            <w:tcW w:w="1273" w:type="dxa"/>
            <w:tcBorders>
              <w:top w:val="single" w:sz="6" w:space="0" w:color="auto"/>
              <w:left w:val="single" w:sz="6" w:space="0" w:color="auto"/>
              <w:bottom w:val="single" w:sz="6" w:space="0" w:color="auto"/>
              <w:right w:val="single" w:sz="6" w:space="0" w:color="auto"/>
            </w:tcBorders>
            <w:vAlign w:val="center"/>
          </w:tcPr>
          <w:p w14:paraId="262FA859"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Cromo</w:t>
            </w:r>
          </w:p>
        </w:tc>
        <w:tc>
          <w:tcPr>
            <w:tcW w:w="1043" w:type="dxa"/>
            <w:tcBorders>
              <w:top w:val="single" w:sz="6" w:space="0" w:color="auto"/>
              <w:left w:val="single" w:sz="6" w:space="0" w:color="auto"/>
              <w:bottom w:val="single" w:sz="6" w:space="0" w:color="auto"/>
              <w:right w:val="single" w:sz="6" w:space="0" w:color="auto"/>
            </w:tcBorders>
            <w:vAlign w:val="center"/>
          </w:tcPr>
          <w:p w14:paraId="0D5A2D4F"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267.716</w:t>
            </w:r>
          </w:p>
        </w:tc>
        <w:tc>
          <w:tcPr>
            <w:tcW w:w="742" w:type="dxa"/>
            <w:tcBorders>
              <w:top w:val="single" w:sz="6" w:space="0" w:color="auto"/>
              <w:left w:val="single" w:sz="6" w:space="0" w:color="auto"/>
              <w:bottom w:val="single" w:sz="6" w:space="0" w:color="auto"/>
              <w:right w:val="single" w:sz="6" w:space="0" w:color="auto"/>
            </w:tcBorders>
            <w:vAlign w:val="center"/>
          </w:tcPr>
          <w:p w14:paraId="5788F468"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3C152946"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12DD4710"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4DFBE21D"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531E604E"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0.003</w:t>
            </w:r>
          </w:p>
        </w:tc>
        <w:tc>
          <w:tcPr>
            <w:tcW w:w="746" w:type="dxa"/>
            <w:tcBorders>
              <w:top w:val="single" w:sz="6" w:space="0" w:color="auto"/>
              <w:left w:val="single" w:sz="6" w:space="0" w:color="auto"/>
              <w:bottom w:val="single" w:sz="6" w:space="0" w:color="auto"/>
              <w:right w:val="single" w:sz="6" w:space="0" w:color="auto"/>
            </w:tcBorders>
            <w:vAlign w:val="center"/>
          </w:tcPr>
          <w:p w14:paraId="4F616E25"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67CB6B2A"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0.04</w:t>
            </w:r>
          </w:p>
        </w:tc>
        <w:tc>
          <w:tcPr>
            <w:tcW w:w="594" w:type="dxa"/>
            <w:tcBorders>
              <w:top w:val="single" w:sz="6" w:space="0" w:color="auto"/>
              <w:left w:val="single" w:sz="6" w:space="0" w:color="auto"/>
              <w:bottom w:val="single" w:sz="6" w:space="0" w:color="auto"/>
              <w:right w:val="single" w:sz="6" w:space="0" w:color="auto"/>
            </w:tcBorders>
            <w:vAlign w:val="center"/>
          </w:tcPr>
          <w:p w14:paraId="01DB0F6A"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4BEB113A"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1400AF00"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0.04</w:t>
            </w:r>
          </w:p>
        </w:tc>
      </w:tr>
      <w:tr w:rsidR="00A74CDF" w:rsidRPr="00F01347" w14:paraId="55A176EA" w14:textId="77777777">
        <w:trPr>
          <w:trHeight w:val="20"/>
        </w:trPr>
        <w:tc>
          <w:tcPr>
            <w:tcW w:w="1273" w:type="dxa"/>
            <w:tcBorders>
              <w:top w:val="single" w:sz="6" w:space="0" w:color="auto"/>
              <w:left w:val="single" w:sz="6" w:space="0" w:color="auto"/>
              <w:bottom w:val="single" w:sz="6" w:space="0" w:color="auto"/>
              <w:right w:val="single" w:sz="6" w:space="0" w:color="auto"/>
            </w:tcBorders>
            <w:vAlign w:val="center"/>
          </w:tcPr>
          <w:p w14:paraId="16BA3720"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Fierro</w:t>
            </w:r>
          </w:p>
        </w:tc>
        <w:tc>
          <w:tcPr>
            <w:tcW w:w="1043" w:type="dxa"/>
            <w:tcBorders>
              <w:top w:val="single" w:sz="6" w:space="0" w:color="auto"/>
              <w:left w:val="single" w:sz="6" w:space="0" w:color="auto"/>
              <w:bottom w:val="single" w:sz="6" w:space="0" w:color="auto"/>
              <w:right w:val="single" w:sz="6" w:space="0" w:color="auto"/>
            </w:tcBorders>
            <w:vAlign w:val="center"/>
          </w:tcPr>
          <w:p w14:paraId="00E18F89"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259.94</w:t>
            </w:r>
          </w:p>
        </w:tc>
        <w:tc>
          <w:tcPr>
            <w:tcW w:w="742" w:type="dxa"/>
            <w:tcBorders>
              <w:top w:val="single" w:sz="6" w:space="0" w:color="auto"/>
              <w:left w:val="single" w:sz="6" w:space="0" w:color="auto"/>
              <w:bottom w:val="single" w:sz="6" w:space="0" w:color="auto"/>
              <w:right w:val="single" w:sz="6" w:space="0" w:color="auto"/>
            </w:tcBorders>
            <w:vAlign w:val="center"/>
          </w:tcPr>
          <w:p w14:paraId="684C242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4C12EA05"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0CA8939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3A31DBAC"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25C51F97"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1659AFFC"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09C11F02"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0.12</w:t>
            </w:r>
          </w:p>
        </w:tc>
        <w:tc>
          <w:tcPr>
            <w:tcW w:w="594" w:type="dxa"/>
            <w:tcBorders>
              <w:top w:val="single" w:sz="6" w:space="0" w:color="auto"/>
              <w:left w:val="single" w:sz="6" w:space="0" w:color="auto"/>
              <w:bottom w:val="single" w:sz="6" w:space="0" w:color="auto"/>
              <w:right w:val="single" w:sz="6" w:space="0" w:color="auto"/>
            </w:tcBorders>
            <w:vAlign w:val="center"/>
          </w:tcPr>
          <w:p w14:paraId="50CF35A4"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3849AAF9"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7D30D67D"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r>
      <w:tr w:rsidR="00A74CDF" w:rsidRPr="00F01347" w14:paraId="31CCA3E0" w14:textId="77777777">
        <w:trPr>
          <w:trHeight w:val="20"/>
        </w:trPr>
        <w:tc>
          <w:tcPr>
            <w:tcW w:w="1273" w:type="dxa"/>
            <w:tcBorders>
              <w:top w:val="single" w:sz="6" w:space="0" w:color="auto"/>
              <w:left w:val="single" w:sz="6" w:space="0" w:color="auto"/>
              <w:bottom w:val="single" w:sz="6" w:space="0" w:color="auto"/>
              <w:right w:val="single" w:sz="6" w:space="0" w:color="auto"/>
            </w:tcBorders>
            <w:vAlign w:val="center"/>
          </w:tcPr>
          <w:p w14:paraId="2E5BD270"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Manganeso</w:t>
            </w:r>
          </w:p>
        </w:tc>
        <w:tc>
          <w:tcPr>
            <w:tcW w:w="1043" w:type="dxa"/>
            <w:tcBorders>
              <w:top w:val="single" w:sz="6" w:space="0" w:color="auto"/>
              <w:left w:val="single" w:sz="6" w:space="0" w:color="auto"/>
              <w:bottom w:val="single" w:sz="6" w:space="0" w:color="auto"/>
              <w:right w:val="single" w:sz="6" w:space="0" w:color="auto"/>
            </w:tcBorders>
            <w:vAlign w:val="center"/>
          </w:tcPr>
          <w:p w14:paraId="13A4EDF4"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257.61</w:t>
            </w:r>
          </w:p>
        </w:tc>
        <w:tc>
          <w:tcPr>
            <w:tcW w:w="742" w:type="dxa"/>
            <w:tcBorders>
              <w:top w:val="single" w:sz="6" w:space="0" w:color="auto"/>
              <w:left w:val="single" w:sz="6" w:space="0" w:color="auto"/>
              <w:bottom w:val="single" w:sz="6" w:space="0" w:color="auto"/>
              <w:right w:val="single" w:sz="6" w:space="0" w:color="auto"/>
            </w:tcBorders>
            <w:vAlign w:val="center"/>
          </w:tcPr>
          <w:p w14:paraId="39496642"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0.005</w:t>
            </w:r>
          </w:p>
        </w:tc>
        <w:tc>
          <w:tcPr>
            <w:tcW w:w="594" w:type="dxa"/>
            <w:tcBorders>
              <w:top w:val="single" w:sz="6" w:space="0" w:color="auto"/>
              <w:left w:val="single" w:sz="6" w:space="0" w:color="auto"/>
              <w:bottom w:val="single" w:sz="6" w:space="0" w:color="auto"/>
              <w:right w:val="single" w:sz="6" w:space="0" w:color="auto"/>
            </w:tcBorders>
            <w:vAlign w:val="center"/>
          </w:tcPr>
          <w:p w14:paraId="4FE4C9CB"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171E4618"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0.01</w:t>
            </w:r>
          </w:p>
        </w:tc>
        <w:tc>
          <w:tcPr>
            <w:tcW w:w="594" w:type="dxa"/>
            <w:tcBorders>
              <w:top w:val="single" w:sz="6" w:space="0" w:color="auto"/>
              <w:left w:val="single" w:sz="6" w:space="0" w:color="auto"/>
              <w:bottom w:val="single" w:sz="6" w:space="0" w:color="auto"/>
              <w:right w:val="single" w:sz="6" w:space="0" w:color="auto"/>
            </w:tcBorders>
            <w:vAlign w:val="center"/>
          </w:tcPr>
          <w:p w14:paraId="7F73B5EC"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15170936"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0.002</w:t>
            </w:r>
          </w:p>
        </w:tc>
        <w:tc>
          <w:tcPr>
            <w:tcW w:w="746" w:type="dxa"/>
            <w:tcBorders>
              <w:top w:val="single" w:sz="6" w:space="0" w:color="auto"/>
              <w:left w:val="single" w:sz="6" w:space="0" w:color="auto"/>
              <w:bottom w:val="single" w:sz="6" w:space="0" w:color="auto"/>
              <w:right w:val="single" w:sz="6" w:space="0" w:color="auto"/>
            </w:tcBorders>
            <w:vAlign w:val="center"/>
          </w:tcPr>
          <w:p w14:paraId="2FC9147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0.002</w:t>
            </w:r>
          </w:p>
        </w:tc>
        <w:tc>
          <w:tcPr>
            <w:tcW w:w="595" w:type="dxa"/>
            <w:tcBorders>
              <w:top w:val="single" w:sz="6" w:space="0" w:color="auto"/>
              <w:left w:val="single" w:sz="6" w:space="0" w:color="auto"/>
              <w:bottom w:val="single" w:sz="6" w:space="0" w:color="auto"/>
              <w:right w:val="single" w:sz="6" w:space="0" w:color="auto"/>
            </w:tcBorders>
            <w:vAlign w:val="center"/>
          </w:tcPr>
          <w:p w14:paraId="5021F2E4"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416FE560"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7CBF77D3"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5864E5B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r>
      <w:tr w:rsidR="00A74CDF" w:rsidRPr="00F01347" w14:paraId="5C9D263A" w14:textId="77777777">
        <w:trPr>
          <w:trHeight w:val="20"/>
        </w:trPr>
        <w:tc>
          <w:tcPr>
            <w:tcW w:w="1273" w:type="dxa"/>
            <w:tcBorders>
              <w:top w:val="single" w:sz="6" w:space="0" w:color="auto"/>
              <w:left w:val="single" w:sz="6" w:space="0" w:color="auto"/>
              <w:bottom w:val="single" w:sz="6" w:space="0" w:color="auto"/>
              <w:right w:val="single" w:sz="6" w:space="0" w:color="auto"/>
            </w:tcBorders>
            <w:vAlign w:val="center"/>
          </w:tcPr>
          <w:p w14:paraId="12B7836C"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Níquel</w:t>
            </w:r>
          </w:p>
        </w:tc>
        <w:tc>
          <w:tcPr>
            <w:tcW w:w="1043" w:type="dxa"/>
            <w:tcBorders>
              <w:top w:val="single" w:sz="6" w:space="0" w:color="auto"/>
              <w:left w:val="single" w:sz="6" w:space="0" w:color="auto"/>
              <w:bottom w:val="single" w:sz="6" w:space="0" w:color="auto"/>
              <w:right w:val="single" w:sz="6" w:space="0" w:color="auto"/>
            </w:tcBorders>
            <w:vAlign w:val="center"/>
          </w:tcPr>
          <w:p w14:paraId="25397ECF"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231.604</w:t>
            </w:r>
          </w:p>
        </w:tc>
        <w:tc>
          <w:tcPr>
            <w:tcW w:w="742" w:type="dxa"/>
            <w:tcBorders>
              <w:top w:val="single" w:sz="6" w:space="0" w:color="auto"/>
              <w:left w:val="single" w:sz="6" w:space="0" w:color="auto"/>
              <w:bottom w:val="single" w:sz="6" w:space="0" w:color="auto"/>
              <w:right w:val="single" w:sz="6" w:space="0" w:color="auto"/>
            </w:tcBorders>
            <w:vAlign w:val="center"/>
          </w:tcPr>
          <w:p w14:paraId="29C283FF"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264E9B57"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30AA19F2"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08B21B6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33D11023"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7664D585"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1560421C"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28D4EA24"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0B2722E0"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77719CE6"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r>
      <w:tr w:rsidR="00A74CDF" w:rsidRPr="00F01347" w14:paraId="2060CDAC" w14:textId="77777777">
        <w:trPr>
          <w:trHeight w:val="20"/>
        </w:trPr>
        <w:tc>
          <w:tcPr>
            <w:tcW w:w="1273" w:type="dxa"/>
            <w:tcBorders>
              <w:top w:val="single" w:sz="6" w:space="0" w:color="auto"/>
              <w:left w:val="single" w:sz="6" w:space="0" w:color="auto"/>
              <w:bottom w:val="single" w:sz="6" w:space="0" w:color="auto"/>
              <w:right w:val="single" w:sz="6" w:space="0" w:color="auto"/>
            </w:tcBorders>
            <w:vAlign w:val="center"/>
          </w:tcPr>
          <w:p w14:paraId="13D076E2"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Plomo</w:t>
            </w:r>
          </w:p>
        </w:tc>
        <w:tc>
          <w:tcPr>
            <w:tcW w:w="1043" w:type="dxa"/>
            <w:tcBorders>
              <w:top w:val="single" w:sz="6" w:space="0" w:color="auto"/>
              <w:left w:val="single" w:sz="6" w:space="0" w:color="auto"/>
              <w:bottom w:val="single" w:sz="6" w:space="0" w:color="auto"/>
              <w:right w:val="single" w:sz="6" w:space="0" w:color="auto"/>
            </w:tcBorders>
            <w:vAlign w:val="center"/>
          </w:tcPr>
          <w:p w14:paraId="3F6D8096"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220.353</w:t>
            </w:r>
          </w:p>
        </w:tc>
        <w:tc>
          <w:tcPr>
            <w:tcW w:w="742" w:type="dxa"/>
            <w:tcBorders>
              <w:top w:val="single" w:sz="6" w:space="0" w:color="auto"/>
              <w:left w:val="single" w:sz="6" w:space="0" w:color="auto"/>
              <w:bottom w:val="single" w:sz="6" w:space="0" w:color="auto"/>
              <w:right w:val="single" w:sz="6" w:space="0" w:color="auto"/>
            </w:tcBorders>
            <w:vAlign w:val="center"/>
          </w:tcPr>
          <w:p w14:paraId="66EAD514"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0.17</w:t>
            </w:r>
          </w:p>
        </w:tc>
        <w:tc>
          <w:tcPr>
            <w:tcW w:w="594" w:type="dxa"/>
            <w:tcBorders>
              <w:top w:val="single" w:sz="6" w:space="0" w:color="auto"/>
              <w:left w:val="single" w:sz="6" w:space="0" w:color="auto"/>
              <w:bottom w:val="single" w:sz="6" w:space="0" w:color="auto"/>
              <w:right w:val="single" w:sz="6" w:space="0" w:color="auto"/>
            </w:tcBorders>
            <w:vAlign w:val="center"/>
          </w:tcPr>
          <w:p w14:paraId="59FD5142"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66232784"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6DAFEB49"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10E244C9"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537590D6"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604235F6"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671CFE80"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5E5C5010"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16784E4E"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r>
      <w:tr w:rsidR="00A74CDF" w:rsidRPr="00F01347" w14:paraId="066A68CE" w14:textId="77777777">
        <w:trPr>
          <w:trHeight w:val="20"/>
        </w:trPr>
        <w:tc>
          <w:tcPr>
            <w:tcW w:w="1273" w:type="dxa"/>
            <w:tcBorders>
              <w:top w:val="single" w:sz="6" w:space="0" w:color="auto"/>
              <w:left w:val="single" w:sz="6" w:space="0" w:color="auto"/>
              <w:bottom w:val="single" w:sz="6" w:space="0" w:color="auto"/>
              <w:right w:val="single" w:sz="6" w:space="0" w:color="auto"/>
            </w:tcBorders>
            <w:vAlign w:val="center"/>
          </w:tcPr>
          <w:p w14:paraId="3CBEEFF7"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Selenio</w:t>
            </w:r>
          </w:p>
        </w:tc>
        <w:tc>
          <w:tcPr>
            <w:tcW w:w="1043" w:type="dxa"/>
            <w:tcBorders>
              <w:top w:val="single" w:sz="6" w:space="0" w:color="auto"/>
              <w:left w:val="single" w:sz="6" w:space="0" w:color="auto"/>
              <w:bottom w:val="single" w:sz="6" w:space="0" w:color="auto"/>
              <w:right w:val="single" w:sz="6" w:space="0" w:color="auto"/>
            </w:tcBorders>
            <w:vAlign w:val="center"/>
          </w:tcPr>
          <w:p w14:paraId="04089E37"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196.026</w:t>
            </w:r>
          </w:p>
        </w:tc>
        <w:tc>
          <w:tcPr>
            <w:tcW w:w="742" w:type="dxa"/>
            <w:tcBorders>
              <w:top w:val="single" w:sz="6" w:space="0" w:color="auto"/>
              <w:left w:val="single" w:sz="6" w:space="0" w:color="auto"/>
              <w:bottom w:val="single" w:sz="6" w:space="0" w:color="auto"/>
              <w:right w:val="single" w:sz="6" w:space="0" w:color="auto"/>
            </w:tcBorders>
            <w:vAlign w:val="center"/>
          </w:tcPr>
          <w:p w14:paraId="59AA6265"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0.23</w:t>
            </w:r>
          </w:p>
        </w:tc>
        <w:tc>
          <w:tcPr>
            <w:tcW w:w="594" w:type="dxa"/>
            <w:tcBorders>
              <w:top w:val="single" w:sz="6" w:space="0" w:color="auto"/>
              <w:left w:val="single" w:sz="6" w:space="0" w:color="auto"/>
              <w:bottom w:val="single" w:sz="6" w:space="0" w:color="auto"/>
              <w:right w:val="single" w:sz="6" w:space="0" w:color="auto"/>
            </w:tcBorders>
            <w:vAlign w:val="center"/>
          </w:tcPr>
          <w:p w14:paraId="788DA24B"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6C97FCC6"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1DC9169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746" w:type="dxa"/>
            <w:tcBorders>
              <w:top w:val="single" w:sz="6" w:space="0" w:color="auto"/>
              <w:left w:val="single" w:sz="6" w:space="0" w:color="auto"/>
              <w:bottom w:val="single" w:sz="6" w:space="0" w:color="auto"/>
              <w:right w:val="single" w:sz="6" w:space="0" w:color="auto"/>
            </w:tcBorders>
            <w:vAlign w:val="center"/>
          </w:tcPr>
          <w:p w14:paraId="46737C09"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0.09</w:t>
            </w:r>
          </w:p>
        </w:tc>
        <w:tc>
          <w:tcPr>
            <w:tcW w:w="746" w:type="dxa"/>
            <w:tcBorders>
              <w:top w:val="single" w:sz="6" w:space="0" w:color="auto"/>
              <w:left w:val="single" w:sz="6" w:space="0" w:color="auto"/>
              <w:bottom w:val="single" w:sz="6" w:space="0" w:color="auto"/>
              <w:right w:val="single" w:sz="6" w:space="0" w:color="auto"/>
            </w:tcBorders>
            <w:vAlign w:val="center"/>
          </w:tcPr>
          <w:p w14:paraId="576A4A6C"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23B5F351"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4" w:type="dxa"/>
            <w:tcBorders>
              <w:top w:val="single" w:sz="6" w:space="0" w:color="auto"/>
              <w:left w:val="single" w:sz="6" w:space="0" w:color="auto"/>
              <w:bottom w:val="single" w:sz="6" w:space="0" w:color="auto"/>
              <w:right w:val="single" w:sz="6" w:space="0" w:color="auto"/>
            </w:tcBorders>
            <w:vAlign w:val="center"/>
          </w:tcPr>
          <w:p w14:paraId="16443B5A"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52A5A5C4"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c>
          <w:tcPr>
            <w:tcW w:w="595" w:type="dxa"/>
            <w:tcBorders>
              <w:top w:val="single" w:sz="6" w:space="0" w:color="auto"/>
              <w:left w:val="single" w:sz="6" w:space="0" w:color="auto"/>
              <w:bottom w:val="single" w:sz="6" w:space="0" w:color="auto"/>
              <w:right w:val="single" w:sz="6" w:space="0" w:color="auto"/>
            </w:tcBorders>
            <w:vAlign w:val="center"/>
          </w:tcPr>
          <w:p w14:paraId="37D52147" w14:textId="77777777" w:rsidR="00A74CDF" w:rsidRPr="00F01347" w:rsidRDefault="00A74CDF" w:rsidP="003A601B">
            <w:pPr>
              <w:pStyle w:val="texto0"/>
              <w:spacing w:after="62"/>
              <w:ind w:firstLine="0"/>
              <w:jc w:val="center"/>
              <w:rPr>
                <w:rFonts w:ascii="Verdana" w:hAnsi="Verdana"/>
                <w:color w:val="000000"/>
                <w:sz w:val="16"/>
                <w:szCs w:val="16"/>
              </w:rPr>
            </w:pPr>
            <w:r w:rsidRPr="00F01347">
              <w:rPr>
                <w:rFonts w:ascii="Verdana" w:hAnsi="Verdana"/>
                <w:color w:val="000000"/>
                <w:sz w:val="16"/>
                <w:szCs w:val="16"/>
              </w:rPr>
              <w:t>-</w:t>
            </w:r>
          </w:p>
        </w:tc>
      </w:tr>
      <w:tr w:rsidR="00A74CDF" w:rsidRPr="00F01347" w14:paraId="2D084140" w14:textId="77777777">
        <w:trPr>
          <w:trHeight w:val="20"/>
        </w:trPr>
        <w:tc>
          <w:tcPr>
            <w:tcW w:w="8712" w:type="dxa"/>
            <w:gridSpan w:val="12"/>
            <w:tcBorders>
              <w:top w:val="single" w:sz="6" w:space="0" w:color="auto"/>
            </w:tcBorders>
          </w:tcPr>
          <w:p w14:paraId="3B43494E" w14:textId="77777777" w:rsidR="00A74CDF" w:rsidRPr="00F01347" w:rsidRDefault="00A74CDF" w:rsidP="003A601B">
            <w:pPr>
              <w:pStyle w:val="texto0"/>
              <w:spacing w:after="62"/>
              <w:ind w:firstLine="0"/>
              <w:rPr>
                <w:rFonts w:ascii="Verdana" w:hAnsi="Verdana"/>
                <w:color w:val="000000"/>
                <w:sz w:val="16"/>
                <w:szCs w:val="16"/>
              </w:rPr>
            </w:pPr>
            <w:r w:rsidRPr="00F01347">
              <w:rPr>
                <w:rFonts w:ascii="Verdana" w:hAnsi="Verdana"/>
                <w:color w:val="000000"/>
                <w:sz w:val="16"/>
                <w:szCs w:val="16"/>
                <w:vertAlign w:val="superscript"/>
              </w:rPr>
              <w:t>a</w:t>
            </w:r>
            <w:r w:rsidRPr="00F01347">
              <w:rPr>
                <w:rFonts w:ascii="Verdana" w:hAnsi="Verdana"/>
                <w:color w:val="000000"/>
                <w:sz w:val="16"/>
                <w:szCs w:val="16"/>
              </w:rPr>
              <w:t xml:space="preserve"> Los guiones indican que no se observó interferencia incluso cuando se introdujeron interferencias en los siguientes niveles:</w:t>
            </w:r>
          </w:p>
          <w:p w14:paraId="1F5FFE18" w14:textId="77777777" w:rsidR="00A74CDF" w:rsidRPr="00F01347" w:rsidRDefault="00A74CDF" w:rsidP="003A601B">
            <w:pPr>
              <w:pStyle w:val="texto0"/>
              <w:tabs>
                <w:tab w:val="left" w:pos="666"/>
                <w:tab w:val="left" w:pos="2466"/>
                <w:tab w:val="left" w:pos="4266"/>
              </w:tabs>
              <w:spacing w:after="62"/>
              <w:ind w:firstLine="0"/>
              <w:rPr>
                <w:rFonts w:ascii="Verdana" w:hAnsi="Verdana"/>
                <w:color w:val="000000"/>
                <w:sz w:val="16"/>
                <w:szCs w:val="16"/>
              </w:rPr>
            </w:pPr>
            <w:r w:rsidRPr="00F01347">
              <w:rPr>
                <w:rFonts w:ascii="Verdana" w:hAnsi="Verdana"/>
                <w:sz w:val="16"/>
                <w:szCs w:val="16"/>
              </w:rPr>
              <w:tab/>
            </w:r>
            <w:r w:rsidRPr="00F01347">
              <w:rPr>
                <w:rFonts w:ascii="Verdana" w:hAnsi="Verdana"/>
                <w:color w:val="000000"/>
                <w:sz w:val="16"/>
                <w:szCs w:val="16"/>
              </w:rPr>
              <w:t>Al a 1 000 mg/L</w:t>
            </w:r>
            <w:r w:rsidRPr="00F01347">
              <w:rPr>
                <w:rFonts w:ascii="Verdana" w:hAnsi="Verdana"/>
                <w:sz w:val="16"/>
                <w:szCs w:val="16"/>
              </w:rPr>
              <w:tab/>
            </w:r>
            <w:r w:rsidRPr="00F01347">
              <w:rPr>
                <w:rFonts w:ascii="Verdana" w:hAnsi="Verdana"/>
                <w:color w:val="000000"/>
                <w:sz w:val="16"/>
                <w:szCs w:val="16"/>
              </w:rPr>
              <w:t>Cu a 200 mg/L</w:t>
            </w:r>
            <w:r w:rsidRPr="00F01347">
              <w:rPr>
                <w:rFonts w:ascii="Verdana" w:hAnsi="Verdana"/>
                <w:sz w:val="16"/>
                <w:szCs w:val="16"/>
              </w:rPr>
              <w:tab/>
            </w:r>
            <w:r w:rsidRPr="00F01347">
              <w:rPr>
                <w:rFonts w:ascii="Verdana" w:hAnsi="Verdana"/>
                <w:color w:val="000000"/>
                <w:sz w:val="16"/>
                <w:szCs w:val="16"/>
              </w:rPr>
              <w:t>Mn a 200 mg/L</w:t>
            </w:r>
          </w:p>
          <w:p w14:paraId="40A3A082" w14:textId="77777777" w:rsidR="00A74CDF" w:rsidRPr="00F01347" w:rsidRDefault="00A74CDF" w:rsidP="003A601B">
            <w:pPr>
              <w:pStyle w:val="texto0"/>
              <w:tabs>
                <w:tab w:val="left" w:pos="666"/>
                <w:tab w:val="left" w:pos="2466"/>
                <w:tab w:val="left" w:pos="4266"/>
              </w:tabs>
              <w:spacing w:after="62"/>
              <w:ind w:firstLine="0"/>
              <w:rPr>
                <w:rFonts w:ascii="Verdana" w:hAnsi="Verdana"/>
                <w:color w:val="000000"/>
                <w:sz w:val="16"/>
                <w:szCs w:val="16"/>
                <w:lang w:val="en-US"/>
              </w:rPr>
            </w:pPr>
            <w:r w:rsidRPr="00F01347">
              <w:rPr>
                <w:rFonts w:ascii="Verdana" w:hAnsi="Verdana"/>
                <w:sz w:val="16"/>
                <w:szCs w:val="16"/>
              </w:rPr>
              <w:tab/>
            </w:r>
            <w:r w:rsidRPr="00F01347">
              <w:rPr>
                <w:rFonts w:ascii="Verdana" w:hAnsi="Verdana"/>
                <w:color w:val="000000"/>
                <w:sz w:val="16"/>
                <w:szCs w:val="16"/>
                <w:lang w:val="en-US"/>
              </w:rPr>
              <w:t>Ca a 1 000 mg/L</w:t>
            </w:r>
            <w:r w:rsidRPr="00F01347">
              <w:rPr>
                <w:rFonts w:ascii="Verdana" w:hAnsi="Verdana"/>
                <w:sz w:val="16"/>
                <w:szCs w:val="16"/>
                <w:lang w:val="en-US"/>
              </w:rPr>
              <w:tab/>
            </w:r>
            <w:r w:rsidRPr="00F01347">
              <w:rPr>
                <w:rFonts w:ascii="Verdana" w:hAnsi="Verdana"/>
                <w:color w:val="000000"/>
                <w:sz w:val="16"/>
                <w:szCs w:val="16"/>
                <w:lang w:val="en-US"/>
              </w:rPr>
              <w:t>Fe a 1 000 mg/L</w:t>
            </w:r>
            <w:r w:rsidRPr="00F01347">
              <w:rPr>
                <w:rFonts w:ascii="Verdana" w:hAnsi="Verdana"/>
                <w:sz w:val="16"/>
                <w:szCs w:val="16"/>
                <w:lang w:val="en-US"/>
              </w:rPr>
              <w:tab/>
            </w:r>
            <w:r w:rsidRPr="00F01347">
              <w:rPr>
                <w:rFonts w:ascii="Verdana" w:hAnsi="Verdana"/>
                <w:color w:val="000000"/>
                <w:sz w:val="16"/>
                <w:szCs w:val="16"/>
                <w:lang w:val="en-US"/>
              </w:rPr>
              <w:t>Tl a 200 mg/L</w:t>
            </w:r>
          </w:p>
          <w:p w14:paraId="60516122" w14:textId="77777777" w:rsidR="00A74CDF" w:rsidRPr="00F01347" w:rsidRDefault="00A74CDF" w:rsidP="003A601B">
            <w:pPr>
              <w:pStyle w:val="texto0"/>
              <w:tabs>
                <w:tab w:val="left" w:pos="666"/>
                <w:tab w:val="left" w:pos="2466"/>
                <w:tab w:val="left" w:pos="4266"/>
              </w:tabs>
              <w:spacing w:after="62"/>
              <w:ind w:firstLine="0"/>
              <w:rPr>
                <w:rFonts w:ascii="Verdana" w:hAnsi="Verdana"/>
                <w:color w:val="000000"/>
                <w:sz w:val="16"/>
                <w:szCs w:val="16"/>
                <w:lang w:val="en-US"/>
              </w:rPr>
            </w:pPr>
            <w:r w:rsidRPr="00F01347">
              <w:rPr>
                <w:rFonts w:ascii="Verdana" w:hAnsi="Verdana"/>
                <w:sz w:val="16"/>
                <w:szCs w:val="16"/>
                <w:lang w:val="en-US"/>
              </w:rPr>
              <w:tab/>
            </w:r>
            <w:r w:rsidRPr="00F01347">
              <w:rPr>
                <w:rFonts w:ascii="Verdana" w:hAnsi="Verdana"/>
                <w:color w:val="000000"/>
                <w:sz w:val="16"/>
                <w:szCs w:val="16"/>
                <w:lang w:val="en-US"/>
              </w:rPr>
              <w:t>Cr a 200 mg/L</w:t>
            </w:r>
            <w:r w:rsidRPr="00F01347">
              <w:rPr>
                <w:rFonts w:ascii="Verdana" w:hAnsi="Verdana"/>
                <w:sz w:val="16"/>
                <w:szCs w:val="16"/>
                <w:lang w:val="en-US"/>
              </w:rPr>
              <w:tab/>
            </w:r>
            <w:r w:rsidRPr="00F01347">
              <w:rPr>
                <w:rFonts w:ascii="Verdana" w:hAnsi="Verdana"/>
                <w:color w:val="000000"/>
                <w:sz w:val="16"/>
                <w:szCs w:val="16"/>
                <w:lang w:val="en-US"/>
              </w:rPr>
              <w:t>Mg a 1 000 mg/L</w:t>
            </w:r>
            <w:r w:rsidRPr="00F01347">
              <w:rPr>
                <w:rFonts w:ascii="Verdana" w:hAnsi="Verdana"/>
                <w:sz w:val="16"/>
                <w:szCs w:val="16"/>
                <w:lang w:val="en-US"/>
              </w:rPr>
              <w:tab/>
            </w:r>
            <w:r w:rsidRPr="00F01347">
              <w:rPr>
                <w:rFonts w:ascii="Verdana" w:hAnsi="Verdana"/>
                <w:color w:val="000000"/>
                <w:sz w:val="16"/>
                <w:szCs w:val="16"/>
                <w:lang w:val="en-US"/>
              </w:rPr>
              <w:t>V a 200 mg/L</w:t>
            </w:r>
          </w:p>
        </w:tc>
      </w:tr>
      <w:tr w:rsidR="00A74CDF" w:rsidRPr="00F01347" w14:paraId="36F176FF" w14:textId="77777777">
        <w:trPr>
          <w:trHeight w:val="20"/>
        </w:trPr>
        <w:tc>
          <w:tcPr>
            <w:tcW w:w="8712" w:type="dxa"/>
            <w:gridSpan w:val="12"/>
          </w:tcPr>
          <w:p w14:paraId="30BBFD4E" w14:textId="77777777" w:rsidR="00A74CDF" w:rsidRPr="00F01347" w:rsidRDefault="00A74CDF" w:rsidP="003A601B">
            <w:pPr>
              <w:pStyle w:val="texto0"/>
              <w:spacing w:after="62"/>
              <w:ind w:firstLine="0"/>
              <w:rPr>
                <w:rFonts w:ascii="Verdana" w:hAnsi="Verdana"/>
                <w:color w:val="000000"/>
                <w:sz w:val="16"/>
                <w:szCs w:val="16"/>
              </w:rPr>
            </w:pPr>
            <w:r w:rsidRPr="00F01347">
              <w:rPr>
                <w:rFonts w:ascii="Verdana" w:hAnsi="Verdana"/>
                <w:color w:val="000000"/>
                <w:sz w:val="16"/>
                <w:szCs w:val="16"/>
                <w:vertAlign w:val="superscript"/>
              </w:rPr>
              <w:t>b</w:t>
            </w:r>
            <w:r w:rsidRPr="00F01347">
              <w:rPr>
                <w:rFonts w:ascii="Verdana" w:hAnsi="Verdana"/>
                <w:color w:val="000000"/>
                <w:sz w:val="16"/>
                <w:szCs w:val="16"/>
              </w:rPr>
              <w:t xml:space="preserve"> Las cifras mostradas anteriormente como equivalentes de concentración de analito no son las concentraciones reales observadas. Para obtener esta cifra añada la concentración indicada a la figura de interferencia.</w:t>
            </w:r>
          </w:p>
        </w:tc>
      </w:tr>
      <w:tr w:rsidR="00A74CDF" w:rsidRPr="00F01347" w14:paraId="030A4CA2" w14:textId="77777777">
        <w:trPr>
          <w:trHeight w:val="20"/>
        </w:trPr>
        <w:tc>
          <w:tcPr>
            <w:tcW w:w="8712" w:type="dxa"/>
            <w:gridSpan w:val="12"/>
          </w:tcPr>
          <w:p w14:paraId="686EF06C" w14:textId="77777777" w:rsidR="00A74CDF" w:rsidRPr="00F01347" w:rsidRDefault="00A74CDF" w:rsidP="003A601B">
            <w:pPr>
              <w:pStyle w:val="texto0"/>
              <w:spacing w:after="62"/>
              <w:ind w:firstLine="0"/>
              <w:rPr>
                <w:rFonts w:ascii="Verdana" w:hAnsi="Verdana"/>
                <w:color w:val="000000"/>
                <w:sz w:val="16"/>
                <w:szCs w:val="16"/>
              </w:rPr>
            </w:pPr>
            <w:r w:rsidRPr="00F01347">
              <w:rPr>
                <w:rFonts w:ascii="Verdana" w:hAnsi="Verdana"/>
                <w:color w:val="000000"/>
                <w:sz w:val="16"/>
                <w:szCs w:val="16"/>
                <w:vertAlign w:val="superscript"/>
              </w:rPr>
              <w:t>c</w:t>
            </w:r>
            <w:r w:rsidRPr="00F01347">
              <w:rPr>
                <w:rFonts w:ascii="Verdana" w:hAnsi="Verdana"/>
                <w:color w:val="000000"/>
                <w:sz w:val="16"/>
                <w:szCs w:val="16"/>
              </w:rPr>
              <w:t xml:space="preserve"> Las interferencias se verán afectadas por la elección de fondo y otras interferencias que pueden estar presentes.</w:t>
            </w:r>
          </w:p>
        </w:tc>
      </w:tr>
    </w:tbl>
    <w:p w14:paraId="6E0D0770" w14:textId="77777777" w:rsidR="00204B58" w:rsidRPr="00F01347" w:rsidRDefault="00204B58" w:rsidP="003A601B">
      <w:pPr>
        <w:pStyle w:val="texto0"/>
        <w:rPr>
          <w:rFonts w:ascii="Verdana" w:hAnsi="Verdana"/>
          <w:sz w:val="16"/>
          <w:szCs w:val="16"/>
        </w:rPr>
      </w:pPr>
    </w:p>
    <w:tbl>
      <w:tblPr>
        <w:tblW w:w="8715" w:type="dxa"/>
        <w:tblInd w:w="144" w:type="dxa"/>
        <w:tblLayout w:type="fixed"/>
        <w:tblCellMar>
          <w:left w:w="70" w:type="dxa"/>
          <w:right w:w="70" w:type="dxa"/>
        </w:tblCellMar>
        <w:tblLook w:val="04A0" w:firstRow="1" w:lastRow="0" w:firstColumn="1" w:lastColumn="0" w:noHBand="0" w:noVBand="1"/>
      </w:tblPr>
      <w:tblGrid>
        <w:gridCol w:w="1274"/>
        <w:gridCol w:w="1102"/>
        <w:gridCol w:w="685"/>
        <w:gridCol w:w="594"/>
        <w:gridCol w:w="595"/>
        <w:gridCol w:w="594"/>
        <w:gridCol w:w="746"/>
        <w:gridCol w:w="746"/>
        <w:gridCol w:w="595"/>
        <w:gridCol w:w="594"/>
        <w:gridCol w:w="595"/>
        <w:gridCol w:w="595"/>
      </w:tblGrid>
      <w:tr w:rsidR="00517583" w:rsidRPr="00F01347" w14:paraId="4D2A1AAF" w14:textId="77777777" w:rsidTr="00236F63">
        <w:trPr>
          <w:trHeight w:val="20"/>
        </w:trPr>
        <w:tc>
          <w:tcPr>
            <w:tcW w:w="8715" w:type="dxa"/>
            <w:gridSpan w:val="12"/>
            <w:tcBorders>
              <w:top w:val="nil"/>
              <w:left w:val="nil"/>
              <w:bottom w:val="single" w:sz="6" w:space="0" w:color="auto"/>
              <w:right w:val="nil"/>
            </w:tcBorders>
            <w:noWrap/>
            <w:hideMark/>
          </w:tcPr>
          <w:p w14:paraId="5EA0780B"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b/>
                <w:color w:val="000000"/>
                <w:sz w:val="16"/>
                <w:szCs w:val="16"/>
                <w:lang w:val="en-US"/>
              </w:rPr>
              <w:t xml:space="preserve">Table B.4.2-2. </w:t>
            </w:r>
            <w:r w:rsidRPr="00F01347">
              <w:rPr>
                <w:rFonts w:ascii="Verdana" w:hAnsi="Verdana"/>
                <w:color w:val="000000"/>
                <w:sz w:val="16"/>
                <w:szCs w:val="16"/>
                <w:lang w:val="en-US"/>
              </w:rPr>
              <w:t>Potential spectral interferences and analyte concentration equivalent (mg/L) resulting from interference at a level of 100 mg/L in ICP-OES</w:t>
            </w:r>
          </w:p>
        </w:tc>
      </w:tr>
      <w:tr w:rsidR="00517583" w:rsidRPr="00F01347" w14:paraId="00E8D66F" w14:textId="77777777" w:rsidTr="00236F63">
        <w:trPr>
          <w:trHeight w:val="20"/>
        </w:trPr>
        <w:tc>
          <w:tcPr>
            <w:tcW w:w="1274" w:type="dxa"/>
            <w:vMerge w:val="restart"/>
            <w:tcBorders>
              <w:top w:val="single" w:sz="6" w:space="0" w:color="auto"/>
              <w:left w:val="single" w:sz="6" w:space="0" w:color="auto"/>
              <w:bottom w:val="single" w:sz="6" w:space="0" w:color="auto"/>
              <w:right w:val="single" w:sz="6" w:space="0" w:color="auto"/>
            </w:tcBorders>
            <w:vAlign w:val="center"/>
            <w:hideMark/>
          </w:tcPr>
          <w:p w14:paraId="634E797F"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b/>
                <w:color w:val="000000"/>
                <w:sz w:val="16"/>
                <w:szCs w:val="16"/>
                <w:lang w:val="en-US"/>
              </w:rPr>
              <w:t>Analyte</w:t>
            </w:r>
          </w:p>
        </w:tc>
        <w:tc>
          <w:tcPr>
            <w:tcW w:w="1102" w:type="dxa"/>
            <w:vMerge w:val="restart"/>
            <w:tcBorders>
              <w:top w:val="single" w:sz="6" w:space="0" w:color="auto"/>
              <w:left w:val="single" w:sz="6" w:space="0" w:color="auto"/>
              <w:bottom w:val="single" w:sz="6" w:space="0" w:color="auto"/>
              <w:right w:val="single" w:sz="6" w:space="0" w:color="auto"/>
            </w:tcBorders>
            <w:vAlign w:val="center"/>
            <w:hideMark/>
          </w:tcPr>
          <w:p w14:paraId="5497F9BE" w14:textId="5F4703D3" w:rsidR="00517583" w:rsidRPr="00F01347" w:rsidRDefault="002935A3">
            <w:pPr>
              <w:pStyle w:val="texto0"/>
              <w:spacing w:after="62"/>
              <w:ind w:firstLine="0"/>
              <w:jc w:val="center"/>
              <w:rPr>
                <w:rFonts w:ascii="Verdana" w:hAnsi="Verdana"/>
                <w:color w:val="000000"/>
                <w:sz w:val="16"/>
                <w:szCs w:val="16"/>
                <w:lang w:val="en-US"/>
              </w:rPr>
            </w:pPr>
            <w:r w:rsidRPr="00F01347">
              <w:rPr>
                <w:rFonts w:ascii="Verdana" w:hAnsi="Verdana"/>
                <w:b/>
                <w:color w:val="000000"/>
                <w:sz w:val="14"/>
                <w:szCs w:val="14"/>
                <w:lang w:val="en-US"/>
              </w:rPr>
              <w:t>Wavelengt</w:t>
            </w:r>
            <w:r w:rsidRPr="002935A3">
              <w:rPr>
                <w:rFonts w:ascii="Verdana" w:hAnsi="Verdana"/>
                <w:b/>
                <w:color w:val="000000"/>
                <w:sz w:val="16"/>
                <w:szCs w:val="16"/>
                <w:lang w:val="en-US"/>
              </w:rPr>
              <w:t>h</w:t>
            </w:r>
            <w:r w:rsidR="00517583" w:rsidRPr="00F01347">
              <w:rPr>
                <w:rFonts w:ascii="Verdana" w:hAnsi="Verdana"/>
                <w:b/>
                <w:color w:val="000000"/>
                <w:sz w:val="16"/>
                <w:szCs w:val="16"/>
                <w:vertAlign w:val="superscript"/>
                <w:lang w:val="en-US"/>
              </w:rPr>
              <w:t xml:space="preserve"> </w:t>
            </w:r>
            <w:r w:rsidR="00517583" w:rsidRPr="00F01347">
              <w:rPr>
                <w:rFonts w:ascii="Verdana" w:hAnsi="Verdana"/>
                <w:b/>
                <w:color w:val="000000"/>
                <w:sz w:val="16"/>
                <w:szCs w:val="16"/>
                <w:lang w:val="en-US"/>
              </w:rPr>
              <w:t>(nm)</w:t>
            </w:r>
          </w:p>
        </w:tc>
        <w:tc>
          <w:tcPr>
            <w:tcW w:w="6339" w:type="dxa"/>
            <w:gridSpan w:val="10"/>
            <w:tcBorders>
              <w:top w:val="single" w:sz="6" w:space="0" w:color="auto"/>
              <w:left w:val="single" w:sz="6" w:space="0" w:color="auto"/>
              <w:bottom w:val="single" w:sz="6" w:space="0" w:color="auto"/>
              <w:right w:val="single" w:sz="6" w:space="0" w:color="auto"/>
            </w:tcBorders>
            <w:vAlign w:val="center"/>
            <w:hideMark/>
          </w:tcPr>
          <w:p w14:paraId="6554CA7C" w14:textId="77777777" w:rsidR="00517583" w:rsidRPr="00F01347" w:rsidRDefault="00517583">
            <w:pPr>
              <w:pStyle w:val="texto0"/>
              <w:spacing w:after="62"/>
              <w:ind w:firstLine="0"/>
              <w:jc w:val="center"/>
              <w:rPr>
                <w:rFonts w:ascii="Verdana" w:hAnsi="Verdana"/>
                <w:b/>
                <w:color w:val="000000"/>
                <w:sz w:val="16"/>
                <w:szCs w:val="16"/>
                <w:lang w:val="en-US"/>
              </w:rPr>
            </w:pPr>
            <w:r w:rsidRPr="00F01347">
              <w:rPr>
                <w:rFonts w:ascii="Verdana" w:hAnsi="Verdana"/>
                <w:b/>
                <w:color w:val="000000"/>
                <w:sz w:val="16"/>
                <w:szCs w:val="16"/>
                <w:lang w:val="en-US"/>
              </w:rPr>
              <w:t xml:space="preserve">Interferences </w:t>
            </w:r>
            <w:r w:rsidRPr="00F01347">
              <w:rPr>
                <w:rFonts w:ascii="Verdana" w:hAnsi="Verdana"/>
                <w:b/>
                <w:color w:val="000000"/>
                <w:sz w:val="16"/>
                <w:szCs w:val="16"/>
                <w:vertAlign w:val="superscript"/>
                <w:lang w:val="en-US"/>
              </w:rPr>
              <w:t>a, b</w:t>
            </w:r>
          </w:p>
        </w:tc>
      </w:tr>
      <w:tr w:rsidR="00517583" w:rsidRPr="00F01347" w14:paraId="5F248A44" w14:textId="77777777" w:rsidTr="00236F63">
        <w:trPr>
          <w:trHeight w:val="20"/>
        </w:trPr>
        <w:tc>
          <w:tcPr>
            <w:tcW w:w="1274" w:type="dxa"/>
            <w:vMerge/>
            <w:tcBorders>
              <w:top w:val="single" w:sz="6" w:space="0" w:color="auto"/>
              <w:left w:val="single" w:sz="6" w:space="0" w:color="auto"/>
              <w:bottom w:val="single" w:sz="6" w:space="0" w:color="auto"/>
              <w:right w:val="single" w:sz="6" w:space="0" w:color="auto"/>
            </w:tcBorders>
            <w:vAlign w:val="center"/>
            <w:hideMark/>
          </w:tcPr>
          <w:p w14:paraId="7F771C90" w14:textId="77777777" w:rsidR="00517583" w:rsidRPr="00F01347" w:rsidRDefault="00517583">
            <w:pPr>
              <w:rPr>
                <w:rFonts w:ascii="Verdana" w:hAnsi="Verdana" w:cs="Arial"/>
                <w:color w:val="000000"/>
                <w:sz w:val="16"/>
                <w:szCs w:val="16"/>
                <w:lang w:val="en-US"/>
              </w:rPr>
            </w:pPr>
          </w:p>
        </w:tc>
        <w:tc>
          <w:tcPr>
            <w:tcW w:w="1102" w:type="dxa"/>
            <w:vMerge/>
            <w:tcBorders>
              <w:top w:val="single" w:sz="6" w:space="0" w:color="auto"/>
              <w:left w:val="single" w:sz="6" w:space="0" w:color="auto"/>
              <w:bottom w:val="single" w:sz="6" w:space="0" w:color="auto"/>
              <w:right w:val="single" w:sz="6" w:space="0" w:color="auto"/>
            </w:tcBorders>
            <w:vAlign w:val="center"/>
            <w:hideMark/>
          </w:tcPr>
          <w:p w14:paraId="178FC204" w14:textId="77777777" w:rsidR="00517583" w:rsidRPr="00F01347" w:rsidRDefault="00517583">
            <w:pPr>
              <w:rPr>
                <w:rFonts w:ascii="Verdana" w:hAnsi="Verdana" w:cs="Arial"/>
                <w:color w:val="000000"/>
                <w:sz w:val="16"/>
                <w:szCs w:val="16"/>
                <w:lang w:val="en-US"/>
              </w:rPr>
            </w:pPr>
          </w:p>
        </w:tc>
        <w:tc>
          <w:tcPr>
            <w:tcW w:w="685" w:type="dxa"/>
            <w:tcBorders>
              <w:top w:val="single" w:sz="6" w:space="0" w:color="auto"/>
              <w:left w:val="single" w:sz="6" w:space="0" w:color="auto"/>
              <w:bottom w:val="single" w:sz="6" w:space="0" w:color="auto"/>
              <w:right w:val="single" w:sz="6" w:space="0" w:color="auto"/>
            </w:tcBorders>
            <w:vAlign w:val="center"/>
            <w:hideMark/>
          </w:tcPr>
          <w:p w14:paraId="0112E2A8" w14:textId="6E614881" w:rsidR="00517583" w:rsidRPr="00F01347" w:rsidRDefault="00357831">
            <w:pPr>
              <w:pStyle w:val="texto0"/>
              <w:spacing w:after="62"/>
              <w:ind w:firstLine="0"/>
              <w:jc w:val="center"/>
              <w:rPr>
                <w:rFonts w:ascii="Verdana" w:hAnsi="Verdana"/>
                <w:b/>
                <w:color w:val="000000"/>
                <w:sz w:val="16"/>
                <w:szCs w:val="16"/>
                <w:lang w:val="en-US"/>
              </w:rPr>
            </w:pPr>
            <w:r w:rsidRPr="00F01347">
              <w:rPr>
                <w:rFonts w:ascii="Verdana" w:hAnsi="Verdana"/>
                <w:b/>
                <w:color w:val="000000"/>
                <w:sz w:val="16"/>
                <w:szCs w:val="16"/>
                <w:lang w:val="en-US"/>
              </w:rPr>
              <w:t>Al</w:t>
            </w:r>
          </w:p>
        </w:tc>
        <w:tc>
          <w:tcPr>
            <w:tcW w:w="594" w:type="dxa"/>
            <w:tcBorders>
              <w:top w:val="single" w:sz="6" w:space="0" w:color="auto"/>
              <w:left w:val="single" w:sz="6" w:space="0" w:color="auto"/>
              <w:bottom w:val="single" w:sz="6" w:space="0" w:color="auto"/>
              <w:right w:val="single" w:sz="6" w:space="0" w:color="auto"/>
            </w:tcBorders>
            <w:vAlign w:val="center"/>
            <w:hideMark/>
          </w:tcPr>
          <w:p w14:paraId="4C8DFA48" w14:textId="77777777" w:rsidR="00517583" w:rsidRPr="00F01347" w:rsidRDefault="00517583">
            <w:pPr>
              <w:pStyle w:val="texto0"/>
              <w:spacing w:after="62"/>
              <w:ind w:firstLine="0"/>
              <w:jc w:val="center"/>
              <w:rPr>
                <w:rFonts w:ascii="Verdana" w:hAnsi="Verdana"/>
                <w:b/>
                <w:color w:val="000000"/>
                <w:sz w:val="16"/>
                <w:szCs w:val="16"/>
                <w:lang w:val="en-US"/>
              </w:rPr>
            </w:pPr>
            <w:r w:rsidRPr="00F01347">
              <w:rPr>
                <w:rFonts w:ascii="Verdana" w:hAnsi="Verdana"/>
                <w:b/>
                <w:color w:val="000000"/>
                <w:sz w:val="16"/>
                <w:szCs w:val="16"/>
                <w:lang w:val="en-US"/>
              </w:rPr>
              <w:t>AC</w:t>
            </w:r>
          </w:p>
        </w:tc>
        <w:tc>
          <w:tcPr>
            <w:tcW w:w="595" w:type="dxa"/>
            <w:tcBorders>
              <w:top w:val="single" w:sz="6" w:space="0" w:color="auto"/>
              <w:left w:val="single" w:sz="6" w:space="0" w:color="auto"/>
              <w:bottom w:val="single" w:sz="6" w:space="0" w:color="auto"/>
              <w:right w:val="single" w:sz="6" w:space="0" w:color="auto"/>
            </w:tcBorders>
            <w:vAlign w:val="center"/>
            <w:hideMark/>
          </w:tcPr>
          <w:p w14:paraId="7DC77F49" w14:textId="77777777" w:rsidR="00517583" w:rsidRPr="00F01347" w:rsidRDefault="00517583">
            <w:pPr>
              <w:pStyle w:val="texto0"/>
              <w:spacing w:after="62"/>
              <w:ind w:firstLine="0"/>
              <w:jc w:val="center"/>
              <w:rPr>
                <w:rFonts w:ascii="Verdana" w:hAnsi="Verdana"/>
                <w:b/>
                <w:color w:val="000000"/>
                <w:sz w:val="16"/>
                <w:szCs w:val="16"/>
                <w:lang w:val="en-US"/>
              </w:rPr>
            </w:pPr>
            <w:r w:rsidRPr="00F01347">
              <w:rPr>
                <w:rFonts w:ascii="Verdana" w:hAnsi="Verdana"/>
                <w:b/>
                <w:color w:val="000000"/>
                <w:sz w:val="16"/>
                <w:szCs w:val="16"/>
                <w:lang w:val="en-US"/>
              </w:rPr>
              <w:t>Cr</w:t>
            </w:r>
          </w:p>
        </w:tc>
        <w:tc>
          <w:tcPr>
            <w:tcW w:w="594" w:type="dxa"/>
            <w:tcBorders>
              <w:top w:val="single" w:sz="6" w:space="0" w:color="auto"/>
              <w:left w:val="single" w:sz="6" w:space="0" w:color="auto"/>
              <w:bottom w:val="single" w:sz="6" w:space="0" w:color="auto"/>
              <w:right w:val="single" w:sz="6" w:space="0" w:color="auto"/>
            </w:tcBorders>
            <w:vAlign w:val="center"/>
            <w:hideMark/>
          </w:tcPr>
          <w:p w14:paraId="696B04BC" w14:textId="77777777" w:rsidR="00517583" w:rsidRPr="00F01347" w:rsidRDefault="00517583">
            <w:pPr>
              <w:pStyle w:val="texto0"/>
              <w:spacing w:after="62"/>
              <w:ind w:firstLine="0"/>
              <w:jc w:val="center"/>
              <w:rPr>
                <w:rFonts w:ascii="Verdana" w:hAnsi="Verdana"/>
                <w:b/>
                <w:color w:val="000000"/>
                <w:sz w:val="16"/>
                <w:szCs w:val="16"/>
                <w:lang w:val="en-US"/>
              </w:rPr>
            </w:pPr>
            <w:r w:rsidRPr="00F01347">
              <w:rPr>
                <w:rFonts w:ascii="Verdana" w:hAnsi="Verdana"/>
                <w:b/>
                <w:color w:val="000000"/>
                <w:sz w:val="16"/>
                <w:szCs w:val="16"/>
                <w:lang w:val="en-US"/>
              </w:rPr>
              <w:t>Cu</w:t>
            </w:r>
          </w:p>
        </w:tc>
        <w:tc>
          <w:tcPr>
            <w:tcW w:w="746" w:type="dxa"/>
            <w:tcBorders>
              <w:top w:val="single" w:sz="6" w:space="0" w:color="auto"/>
              <w:left w:val="single" w:sz="6" w:space="0" w:color="auto"/>
              <w:bottom w:val="single" w:sz="6" w:space="0" w:color="auto"/>
              <w:right w:val="single" w:sz="6" w:space="0" w:color="auto"/>
            </w:tcBorders>
            <w:vAlign w:val="center"/>
            <w:hideMark/>
          </w:tcPr>
          <w:p w14:paraId="49A18BD2" w14:textId="72443CFA" w:rsidR="00517583" w:rsidRPr="00F01347" w:rsidRDefault="00517583">
            <w:pPr>
              <w:pStyle w:val="texto0"/>
              <w:spacing w:after="62"/>
              <w:ind w:firstLine="0"/>
              <w:jc w:val="center"/>
              <w:rPr>
                <w:rFonts w:ascii="Verdana" w:hAnsi="Verdana"/>
                <w:b/>
                <w:color w:val="000000"/>
                <w:sz w:val="16"/>
                <w:szCs w:val="16"/>
                <w:lang w:val="en-US"/>
              </w:rPr>
            </w:pPr>
            <w:r w:rsidRPr="00F01347">
              <w:rPr>
                <w:rFonts w:ascii="Verdana" w:hAnsi="Verdana"/>
                <w:b/>
                <w:color w:val="000000"/>
                <w:sz w:val="16"/>
                <w:szCs w:val="16"/>
                <w:lang w:val="en-US"/>
              </w:rPr>
              <w:t>F</w:t>
            </w:r>
            <w:r w:rsidR="00357831" w:rsidRPr="00F01347">
              <w:rPr>
                <w:rFonts w:ascii="Verdana" w:hAnsi="Verdana"/>
                <w:b/>
                <w:color w:val="000000"/>
                <w:sz w:val="16"/>
                <w:szCs w:val="16"/>
                <w:lang w:val="en-US"/>
              </w:rPr>
              <w:t>e</w:t>
            </w:r>
          </w:p>
        </w:tc>
        <w:tc>
          <w:tcPr>
            <w:tcW w:w="746" w:type="dxa"/>
            <w:tcBorders>
              <w:top w:val="single" w:sz="6" w:space="0" w:color="auto"/>
              <w:left w:val="single" w:sz="6" w:space="0" w:color="auto"/>
              <w:bottom w:val="single" w:sz="6" w:space="0" w:color="auto"/>
              <w:right w:val="single" w:sz="6" w:space="0" w:color="auto"/>
            </w:tcBorders>
            <w:vAlign w:val="center"/>
            <w:hideMark/>
          </w:tcPr>
          <w:p w14:paraId="557DC3DD" w14:textId="77777777" w:rsidR="00517583" w:rsidRPr="00F01347" w:rsidRDefault="00517583">
            <w:pPr>
              <w:pStyle w:val="texto0"/>
              <w:spacing w:after="62"/>
              <w:ind w:firstLine="0"/>
              <w:jc w:val="center"/>
              <w:rPr>
                <w:rFonts w:ascii="Verdana" w:hAnsi="Verdana"/>
                <w:b/>
                <w:color w:val="000000"/>
                <w:sz w:val="16"/>
                <w:szCs w:val="16"/>
                <w:lang w:val="en-US"/>
              </w:rPr>
            </w:pPr>
            <w:r w:rsidRPr="00F01347">
              <w:rPr>
                <w:rFonts w:ascii="Verdana" w:hAnsi="Verdana"/>
                <w:b/>
                <w:color w:val="000000"/>
                <w:sz w:val="16"/>
                <w:szCs w:val="16"/>
                <w:lang w:val="en-US"/>
              </w:rPr>
              <w:t>Mg</w:t>
            </w:r>
          </w:p>
        </w:tc>
        <w:tc>
          <w:tcPr>
            <w:tcW w:w="595" w:type="dxa"/>
            <w:tcBorders>
              <w:top w:val="single" w:sz="6" w:space="0" w:color="auto"/>
              <w:left w:val="single" w:sz="6" w:space="0" w:color="auto"/>
              <w:bottom w:val="single" w:sz="6" w:space="0" w:color="auto"/>
              <w:right w:val="single" w:sz="6" w:space="0" w:color="auto"/>
            </w:tcBorders>
            <w:vAlign w:val="center"/>
            <w:hideMark/>
          </w:tcPr>
          <w:p w14:paraId="54CFE78D" w14:textId="77777777" w:rsidR="00517583" w:rsidRPr="00F01347" w:rsidRDefault="00517583">
            <w:pPr>
              <w:pStyle w:val="texto0"/>
              <w:spacing w:after="62"/>
              <w:ind w:firstLine="0"/>
              <w:jc w:val="center"/>
              <w:rPr>
                <w:rFonts w:ascii="Verdana" w:hAnsi="Verdana"/>
                <w:b/>
                <w:color w:val="000000"/>
                <w:sz w:val="16"/>
                <w:szCs w:val="16"/>
                <w:lang w:val="en-US"/>
              </w:rPr>
            </w:pPr>
            <w:proofErr w:type="spellStart"/>
            <w:r w:rsidRPr="00F01347">
              <w:rPr>
                <w:rFonts w:ascii="Verdana" w:hAnsi="Verdana"/>
                <w:b/>
                <w:color w:val="000000"/>
                <w:sz w:val="16"/>
                <w:szCs w:val="16"/>
                <w:lang w:val="en-US"/>
              </w:rPr>
              <w:t>mn</w:t>
            </w:r>
            <w:proofErr w:type="spellEnd"/>
          </w:p>
        </w:tc>
        <w:tc>
          <w:tcPr>
            <w:tcW w:w="594" w:type="dxa"/>
            <w:tcBorders>
              <w:top w:val="single" w:sz="6" w:space="0" w:color="auto"/>
              <w:left w:val="single" w:sz="6" w:space="0" w:color="auto"/>
              <w:bottom w:val="single" w:sz="6" w:space="0" w:color="auto"/>
              <w:right w:val="single" w:sz="6" w:space="0" w:color="auto"/>
            </w:tcBorders>
            <w:vAlign w:val="center"/>
            <w:hideMark/>
          </w:tcPr>
          <w:p w14:paraId="46F2E623" w14:textId="063BF8E4" w:rsidR="00517583" w:rsidRPr="00F01347" w:rsidRDefault="00357831">
            <w:pPr>
              <w:pStyle w:val="texto0"/>
              <w:spacing w:after="62"/>
              <w:ind w:firstLine="0"/>
              <w:jc w:val="center"/>
              <w:rPr>
                <w:rFonts w:ascii="Verdana" w:hAnsi="Verdana"/>
                <w:b/>
                <w:color w:val="000000"/>
                <w:sz w:val="16"/>
                <w:szCs w:val="16"/>
                <w:lang w:val="en-US"/>
              </w:rPr>
            </w:pPr>
            <w:r w:rsidRPr="00F01347">
              <w:rPr>
                <w:rFonts w:ascii="Verdana" w:hAnsi="Verdana"/>
                <w:b/>
                <w:color w:val="000000"/>
                <w:sz w:val="16"/>
                <w:szCs w:val="16"/>
                <w:lang w:val="en-US"/>
              </w:rPr>
              <w:t>N</w:t>
            </w:r>
            <w:r w:rsidR="008916AC" w:rsidRPr="00F01347">
              <w:rPr>
                <w:rFonts w:ascii="Verdana" w:hAnsi="Verdana"/>
                <w:b/>
                <w:color w:val="000000"/>
                <w:sz w:val="16"/>
                <w:szCs w:val="16"/>
                <w:lang w:val="en-US"/>
              </w:rPr>
              <w:t>i</w:t>
            </w:r>
          </w:p>
        </w:tc>
        <w:tc>
          <w:tcPr>
            <w:tcW w:w="595" w:type="dxa"/>
            <w:tcBorders>
              <w:top w:val="single" w:sz="6" w:space="0" w:color="auto"/>
              <w:left w:val="single" w:sz="6" w:space="0" w:color="auto"/>
              <w:bottom w:val="single" w:sz="6" w:space="0" w:color="auto"/>
              <w:right w:val="single" w:sz="6" w:space="0" w:color="auto"/>
            </w:tcBorders>
            <w:vAlign w:val="center"/>
            <w:hideMark/>
          </w:tcPr>
          <w:p w14:paraId="6F73A55A" w14:textId="77777777" w:rsidR="00517583" w:rsidRPr="00F01347" w:rsidRDefault="00517583">
            <w:pPr>
              <w:pStyle w:val="texto0"/>
              <w:spacing w:after="62"/>
              <w:ind w:firstLine="0"/>
              <w:jc w:val="center"/>
              <w:rPr>
                <w:rFonts w:ascii="Verdana" w:hAnsi="Verdana"/>
                <w:b/>
                <w:color w:val="000000"/>
                <w:sz w:val="16"/>
                <w:szCs w:val="16"/>
                <w:lang w:val="en-US"/>
              </w:rPr>
            </w:pPr>
            <w:r w:rsidRPr="00F01347">
              <w:rPr>
                <w:rFonts w:ascii="Verdana" w:hAnsi="Verdana"/>
                <w:b/>
                <w:color w:val="000000"/>
                <w:sz w:val="16"/>
                <w:szCs w:val="16"/>
                <w:lang w:val="en-US"/>
              </w:rPr>
              <w:t>Tl</w:t>
            </w:r>
          </w:p>
        </w:tc>
        <w:tc>
          <w:tcPr>
            <w:tcW w:w="595" w:type="dxa"/>
            <w:tcBorders>
              <w:top w:val="single" w:sz="6" w:space="0" w:color="auto"/>
              <w:left w:val="single" w:sz="6" w:space="0" w:color="auto"/>
              <w:bottom w:val="single" w:sz="6" w:space="0" w:color="auto"/>
              <w:right w:val="single" w:sz="6" w:space="0" w:color="auto"/>
            </w:tcBorders>
            <w:vAlign w:val="center"/>
            <w:hideMark/>
          </w:tcPr>
          <w:p w14:paraId="429B6954" w14:textId="77777777" w:rsidR="00517583" w:rsidRPr="00F01347" w:rsidRDefault="00517583">
            <w:pPr>
              <w:pStyle w:val="texto0"/>
              <w:spacing w:after="62"/>
              <w:ind w:firstLine="0"/>
              <w:jc w:val="center"/>
              <w:rPr>
                <w:rFonts w:ascii="Verdana" w:hAnsi="Verdana"/>
                <w:b/>
                <w:color w:val="000000"/>
                <w:sz w:val="16"/>
                <w:szCs w:val="16"/>
                <w:lang w:val="en-US"/>
              </w:rPr>
            </w:pPr>
            <w:r w:rsidRPr="00F01347">
              <w:rPr>
                <w:rFonts w:ascii="Verdana" w:hAnsi="Verdana"/>
                <w:b/>
                <w:color w:val="000000"/>
                <w:sz w:val="16"/>
                <w:szCs w:val="16"/>
                <w:lang w:val="en-US"/>
              </w:rPr>
              <w:t>V</w:t>
            </w:r>
          </w:p>
        </w:tc>
      </w:tr>
      <w:tr w:rsidR="00517583" w:rsidRPr="00F01347" w14:paraId="7E5C7777" w14:textId="77777777" w:rsidTr="00236F63">
        <w:trPr>
          <w:trHeight w:val="20"/>
        </w:trPr>
        <w:tc>
          <w:tcPr>
            <w:tcW w:w="1274" w:type="dxa"/>
            <w:tcBorders>
              <w:top w:val="single" w:sz="6" w:space="0" w:color="auto"/>
              <w:left w:val="single" w:sz="6" w:space="0" w:color="auto"/>
              <w:bottom w:val="single" w:sz="6" w:space="0" w:color="auto"/>
              <w:right w:val="single" w:sz="6" w:space="0" w:color="auto"/>
            </w:tcBorders>
            <w:vAlign w:val="center"/>
            <w:hideMark/>
          </w:tcPr>
          <w:p w14:paraId="17D928E0"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Aluminum</w:t>
            </w:r>
          </w:p>
        </w:tc>
        <w:tc>
          <w:tcPr>
            <w:tcW w:w="1102" w:type="dxa"/>
            <w:tcBorders>
              <w:top w:val="single" w:sz="6" w:space="0" w:color="auto"/>
              <w:left w:val="single" w:sz="6" w:space="0" w:color="auto"/>
              <w:bottom w:val="single" w:sz="6" w:space="0" w:color="auto"/>
              <w:right w:val="single" w:sz="6" w:space="0" w:color="auto"/>
            </w:tcBorders>
            <w:vAlign w:val="center"/>
            <w:hideMark/>
          </w:tcPr>
          <w:p w14:paraId="0101C88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308,215</w:t>
            </w:r>
          </w:p>
        </w:tc>
        <w:tc>
          <w:tcPr>
            <w:tcW w:w="685" w:type="dxa"/>
            <w:tcBorders>
              <w:top w:val="single" w:sz="6" w:space="0" w:color="auto"/>
              <w:left w:val="single" w:sz="6" w:space="0" w:color="auto"/>
              <w:bottom w:val="single" w:sz="6" w:space="0" w:color="auto"/>
              <w:right w:val="single" w:sz="6" w:space="0" w:color="auto"/>
            </w:tcBorders>
            <w:vAlign w:val="center"/>
            <w:hideMark/>
          </w:tcPr>
          <w:p w14:paraId="3C75E05E"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112D586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13A46B91"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25BF437D"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358CD386"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769B8F99"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48E0CB3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0.21</w:t>
            </w:r>
          </w:p>
        </w:tc>
        <w:tc>
          <w:tcPr>
            <w:tcW w:w="594" w:type="dxa"/>
            <w:tcBorders>
              <w:top w:val="single" w:sz="6" w:space="0" w:color="auto"/>
              <w:left w:val="single" w:sz="6" w:space="0" w:color="auto"/>
              <w:bottom w:val="single" w:sz="6" w:space="0" w:color="auto"/>
              <w:right w:val="single" w:sz="6" w:space="0" w:color="auto"/>
            </w:tcBorders>
            <w:vAlign w:val="center"/>
            <w:hideMark/>
          </w:tcPr>
          <w:p w14:paraId="72E0760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281C2F0D"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5C45D72B"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1.4</w:t>
            </w:r>
          </w:p>
        </w:tc>
      </w:tr>
      <w:tr w:rsidR="00517583" w:rsidRPr="00F01347" w14:paraId="78127E14" w14:textId="77777777" w:rsidTr="00236F63">
        <w:trPr>
          <w:trHeight w:val="20"/>
        </w:trPr>
        <w:tc>
          <w:tcPr>
            <w:tcW w:w="1274" w:type="dxa"/>
            <w:tcBorders>
              <w:top w:val="single" w:sz="6" w:space="0" w:color="auto"/>
              <w:left w:val="single" w:sz="6" w:space="0" w:color="auto"/>
              <w:bottom w:val="single" w:sz="6" w:space="0" w:color="auto"/>
              <w:right w:val="single" w:sz="6" w:space="0" w:color="auto"/>
            </w:tcBorders>
            <w:vAlign w:val="center"/>
            <w:hideMark/>
          </w:tcPr>
          <w:p w14:paraId="3C60112F"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Antimony</w:t>
            </w:r>
          </w:p>
        </w:tc>
        <w:tc>
          <w:tcPr>
            <w:tcW w:w="1102" w:type="dxa"/>
            <w:tcBorders>
              <w:top w:val="single" w:sz="6" w:space="0" w:color="auto"/>
              <w:left w:val="single" w:sz="6" w:space="0" w:color="auto"/>
              <w:bottom w:val="single" w:sz="6" w:space="0" w:color="auto"/>
              <w:right w:val="single" w:sz="6" w:space="0" w:color="auto"/>
            </w:tcBorders>
            <w:vAlign w:val="center"/>
            <w:hideMark/>
          </w:tcPr>
          <w:p w14:paraId="4C8002C7"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206,833</w:t>
            </w:r>
          </w:p>
        </w:tc>
        <w:tc>
          <w:tcPr>
            <w:tcW w:w="685" w:type="dxa"/>
            <w:tcBorders>
              <w:top w:val="single" w:sz="6" w:space="0" w:color="auto"/>
              <w:left w:val="single" w:sz="6" w:space="0" w:color="auto"/>
              <w:bottom w:val="single" w:sz="6" w:space="0" w:color="auto"/>
              <w:right w:val="single" w:sz="6" w:space="0" w:color="auto"/>
            </w:tcBorders>
            <w:vAlign w:val="center"/>
            <w:hideMark/>
          </w:tcPr>
          <w:p w14:paraId="65F769CD"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0.47</w:t>
            </w:r>
          </w:p>
        </w:tc>
        <w:tc>
          <w:tcPr>
            <w:tcW w:w="594" w:type="dxa"/>
            <w:tcBorders>
              <w:top w:val="single" w:sz="6" w:space="0" w:color="auto"/>
              <w:left w:val="single" w:sz="6" w:space="0" w:color="auto"/>
              <w:bottom w:val="single" w:sz="6" w:space="0" w:color="auto"/>
              <w:right w:val="single" w:sz="6" w:space="0" w:color="auto"/>
            </w:tcBorders>
            <w:vAlign w:val="center"/>
            <w:hideMark/>
          </w:tcPr>
          <w:p w14:paraId="5FA2D1AF"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04531C37"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2.9</w:t>
            </w:r>
          </w:p>
        </w:tc>
        <w:tc>
          <w:tcPr>
            <w:tcW w:w="594" w:type="dxa"/>
            <w:tcBorders>
              <w:top w:val="single" w:sz="6" w:space="0" w:color="auto"/>
              <w:left w:val="single" w:sz="6" w:space="0" w:color="auto"/>
              <w:bottom w:val="single" w:sz="6" w:space="0" w:color="auto"/>
              <w:right w:val="single" w:sz="6" w:space="0" w:color="auto"/>
            </w:tcBorders>
            <w:vAlign w:val="center"/>
            <w:hideMark/>
          </w:tcPr>
          <w:p w14:paraId="036E243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336F978A"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0.08</w:t>
            </w:r>
          </w:p>
        </w:tc>
        <w:tc>
          <w:tcPr>
            <w:tcW w:w="746" w:type="dxa"/>
            <w:tcBorders>
              <w:top w:val="single" w:sz="6" w:space="0" w:color="auto"/>
              <w:left w:val="single" w:sz="6" w:space="0" w:color="auto"/>
              <w:bottom w:val="single" w:sz="6" w:space="0" w:color="auto"/>
              <w:right w:val="single" w:sz="6" w:space="0" w:color="auto"/>
            </w:tcBorders>
            <w:vAlign w:val="center"/>
            <w:hideMark/>
          </w:tcPr>
          <w:p w14:paraId="5B1548E5"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5A9A692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70C0256D"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1668ABE7"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0.25</w:t>
            </w:r>
          </w:p>
        </w:tc>
        <w:tc>
          <w:tcPr>
            <w:tcW w:w="595" w:type="dxa"/>
            <w:tcBorders>
              <w:top w:val="single" w:sz="6" w:space="0" w:color="auto"/>
              <w:left w:val="single" w:sz="6" w:space="0" w:color="auto"/>
              <w:bottom w:val="single" w:sz="6" w:space="0" w:color="auto"/>
              <w:right w:val="single" w:sz="6" w:space="0" w:color="auto"/>
            </w:tcBorders>
            <w:vAlign w:val="center"/>
            <w:hideMark/>
          </w:tcPr>
          <w:p w14:paraId="48978693"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0.45</w:t>
            </w:r>
          </w:p>
        </w:tc>
      </w:tr>
      <w:tr w:rsidR="00517583" w:rsidRPr="00F01347" w14:paraId="19DC4D91" w14:textId="77777777" w:rsidTr="00236F63">
        <w:trPr>
          <w:trHeight w:val="20"/>
        </w:trPr>
        <w:tc>
          <w:tcPr>
            <w:tcW w:w="1274" w:type="dxa"/>
            <w:tcBorders>
              <w:top w:val="single" w:sz="6" w:space="0" w:color="auto"/>
              <w:left w:val="single" w:sz="6" w:space="0" w:color="auto"/>
              <w:bottom w:val="single" w:sz="6" w:space="0" w:color="auto"/>
              <w:right w:val="single" w:sz="6" w:space="0" w:color="auto"/>
            </w:tcBorders>
            <w:vAlign w:val="center"/>
            <w:hideMark/>
          </w:tcPr>
          <w:p w14:paraId="787BCCCF"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Arsenic</w:t>
            </w:r>
          </w:p>
        </w:tc>
        <w:tc>
          <w:tcPr>
            <w:tcW w:w="1102" w:type="dxa"/>
            <w:tcBorders>
              <w:top w:val="single" w:sz="6" w:space="0" w:color="auto"/>
              <w:left w:val="single" w:sz="6" w:space="0" w:color="auto"/>
              <w:bottom w:val="single" w:sz="6" w:space="0" w:color="auto"/>
              <w:right w:val="single" w:sz="6" w:space="0" w:color="auto"/>
            </w:tcBorders>
            <w:vAlign w:val="center"/>
            <w:hideMark/>
          </w:tcPr>
          <w:p w14:paraId="406D11AB"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193,696</w:t>
            </w:r>
          </w:p>
        </w:tc>
        <w:tc>
          <w:tcPr>
            <w:tcW w:w="685" w:type="dxa"/>
            <w:tcBorders>
              <w:top w:val="single" w:sz="6" w:space="0" w:color="auto"/>
              <w:left w:val="single" w:sz="6" w:space="0" w:color="auto"/>
              <w:bottom w:val="single" w:sz="6" w:space="0" w:color="auto"/>
              <w:right w:val="single" w:sz="6" w:space="0" w:color="auto"/>
            </w:tcBorders>
            <w:vAlign w:val="center"/>
            <w:hideMark/>
          </w:tcPr>
          <w:p w14:paraId="334B9953"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1.3</w:t>
            </w:r>
          </w:p>
        </w:tc>
        <w:tc>
          <w:tcPr>
            <w:tcW w:w="594" w:type="dxa"/>
            <w:tcBorders>
              <w:top w:val="single" w:sz="6" w:space="0" w:color="auto"/>
              <w:left w:val="single" w:sz="6" w:space="0" w:color="auto"/>
              <w:bottom w:val="single" w:sz="6" w:space="0" w:color="auto"/>
              <w:right w:val="single" w:sz="6" w:space="0" w:color="auto"/>
            </w:tcBorders>
            <w:vAlign w:val="center"/>
            <w:hideMark/>
          </w:tcPr>
          <w:p w14:paraId="7645D493"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6FF8F9EB"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0.44</w:t>
            </w:r>
          </w:p>
        </w:tc>
        <w:tc>
          <w:tcPr>
            <w:tcW w:w="594" w:type="dxa"/>
            <w:tcBorders>
              <w:top w:val="single" w:sz="6" w:space="0" w:color="auto"/>
              <w:left w:val="single" w:sz="6" w:space="0" w:color="auto"/>
              <w:bottom w:val="single" w:sz="6" w:space="0" w:color="auto"/>
              <w:right w:val="single" w:sz="6" w:space="0" w:color="auto"/>
            </w:tcBorders>
            <w:vAlign w:val="center"/>
            <w:hideMark/>
          </w:tcPr>
          <w:p w14:paraId="3D98A99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24AE5A53"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4FCBE789"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5C7E5440"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75730126"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5800103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157A8F68"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1.1</w:t>
            </w:r>
          </w:p>
        </w:tc>
      </w:tr>
      <w:tr w:rsidR="00517583" w:rsidRPr="00F01347" w14:paraId="0FDF3CF2" w14:textId="77777777" w:rsidTr="00236F63">
        <w:trPr>
          <w:trHeight w:val="20"/>
        </w:trPr>
        <w:tc>
          <w:tcPr>
            <w:tcW w:w="1274" w:type="dxa"/>
            <w:tcBorders>
              <w:top w:val="single" w:sz="6" w:space="0" w:color="auto"/>
              <w:left w:val="single" w:sz="6" w:space="0" w:color="auto"/>
              <w:bottom w:val="single" w:sz="6" w:space="0" w:color="auto"/>
              <w:right w:val="single" w:sz="6" w:space="0" w:color="auto"/>
            </w:tcBorders>
            <w:vAlign w:val="center"/>
            <w:hideMark/>
          </w:tcPr>
          <w:p w14:paraId="339883C6"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Barium</w:t>
            </w:r>
          </w:p>
        </w:tc>
        <w:tc>
          <w:tcPr>
            <w:tcW w:w="1102" w:type="dxa"/>
            <w:tcBorders>
              <w:top w:val="single" w:sz="6" w:space="0" w:color="auto"/>
              <w:left w:val="single" w:sz="6" w:space="0" w:color="auto"/>
              <w:bottom w:val="single" w:sz="6" w:space="0" w:color="auto"/>
              <w:right w:val="single" w:sz="6" w:space="0" w:color="auto"/>
            </w:tcBorders>
            <w:vAlign w:val="center"/>
            <w:hideMark/>
          </w:tcPr>
          <w:p w14:paraId="7D04236F"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455,403</w:t>
            </w:r>
          </w:p>
        </w:tc>
        <w:tc>
          <w:tcPr>
            <w:tcW w:w="685" w:type="dxa"/>
            <w:tcBorders>
              <w:top w:val="single" w:sz="6" w:space="0" w:color="auto"/>
              <w:left w:val="single" w:sz="6" w:space="0" w:color="auto"/>
              <w:bottom w:val="single" w:sz="6" w:space="0" w:color="auto"/>
              <w:right w:val="single" w:sz="6" w:space="0" w:color="auto"/>
            </w:tcBorders>
            <w:vAlign w:val="center"/>
            <w:hideMark/>
          </w:tcPr>
          <w:p w14:paraId="22D057BB"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2DC264E5"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15A5755E"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0794584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610AD64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77CA8C99"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3080B5A1"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54C4B8A1"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19EBDBD9"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085DC1C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r>
      <w:tr w:rsidR="00517583" w:rsidRPr="00F01347" w14:paraId="198A955F" w14:textId="77777777" w:rsidTr="00236F63">
        <w:trPr>
          <w:trHeight w:val="20"/>
        </w:trPr>
        <w:tc>
          <w:tcPr>
            <w:tcW w:w="1274" w:type="dxa"/>
            <w:tcBorders>
              <w:top w:val="single" w:sz="6" w:space="0" w:color="auto"/>
              <w:left w:val="single" w:sz="6" w:space="0" w:color="auto"/>
              <w:bottom w:val="single" w:sz="6" w:space="0" w:color="auto"/>
              <w:right w:val="single" w:sz="6" w:space="0" w:color="auto"/>
            </w:tcBorders>
            <w:vAlign w:val="center"/>
            <w:hideMark/>
          </w:tcPr>
          <w:p w14:paraId="0231C0FF"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Cadmium</w:t>
            </w:r>
          </w:p>
        </w:tc>
        <w:tc>
          <w:tcPr>
            <w:tcW w:w="1102" w:type="dxa"/>
            <w:tcBorders>
              <w:top w:val="single" w:sz="6" w:space="0" w:color="auto"/>
              <w:left w:val="single" w:sz="6" w:space="0" w:color="auto"/>
              <w:bottom w:val="single" w:sz="6" w:space="0" w:color="auto"/>
              <w:right w:val="single" w:sz="6" w:space="0" w:color="auto"/>
            </w:tcBorders>
            <w:vAlign w:val="center"/>
            <w:hideMark/>
          </w:tcPr>
          <w:p w14:paraId="49C5A923"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226,502</w:t>
            </w:r>
          </w:p>
        </w:tc>
        <w:tc>
          <w:tcPr>
            <w:tcW w:w="685" w:type="dxa"/>
            <w:tcBorders>
              <w:top w:val="single" w:sz="6" w:space="0" w:color="auto"/>
              <w:left w:val="single" w:sz="6" w:space="0" w:color="auto"/>
              <w:bottom w:val="single" w:sz="6" w:space="0" w:color="auto"/>
              <w:right w:val="single" w:sz="6" w:space="0" w:color="auto"/>
            </w:tcBorders>
            <w:vAlign w:val="center"/>
            <w:hideMark/>
          </w:tcPr>
          <w:p w14:paraId="3EF68DE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13AE3D1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1E699BD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548BE80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1650865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0.03</w:t>
            </w:r>
          </w:p>
        </w:tc>
        <w:tc>
          <w:tcPr>
            <w:tcW w:w="746" w:type="dxa"/>
            <w:tcBorders>
              <w:top w:val="single" w:sz="6" w:space="0" w:color="auto"/>
              <w:left w:val="single" w:sz="6" w:space="0" w:color="auto"/>
              <w:bottom w:val="single" w:sz="6" w:space="0" w:color="auto"/>
              <w:right w:val="single" w:sz="6" w:space="0" w:color="auto"/>
            </w:tcBorders>
            <w:vAlign w:val="center"/>
            <w:hideMark/>
          </w:tcPr>
          <w:p w14:paraId="2A3DB95A"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1CFC8910"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1F22FCB6"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0.02</w:t>
            </w:r>
          </w:p>
        </w:tc>
        <w:tc>
          <w:tcPr>
            <w:tcW w:w="595" w:type="dxa"/>
            <w:tcBorders>
              <w:top w:val="single" w:sz="6" w:space="0" w:color="auto"/>
              <w:left w:val="single" w:sz="6" w:space="0" w:color="auto"/>
              <w:bottom w:val="single" w:sz="6" w:space="0" w:color="auto"/>
              <w:right w:val="single" w:sz="6" w:space="0" w:color="auto"/>
            </w:tcBorders>
            <w:vAlign w:val="center"/>
            <w:hideMark/>
          </w:tcPr>
          <w:p w14:paraId="1C459A0D"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3533A696"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r>
      <w:tr w:rsidR="00517583" w:rsidRPr="00F01347" w14:paraId="66CCF108" w14:textId="77777777" w:rsidTr="00236F63">
        <w:trPr>
          <w:trHeight w:val="20"/>
        </w:trPr>
        <w:tc>
          <w:tcPr>
            <w:tcW w:w="1274" w:type="dxa"/>
            <w:tcBorders>
              <w:top w:val="single" w:sz="6" w:space="0" w:color="auto"/>
              <w:left w:val="single" w:sz="6" w:space="0" w:color="auto"/>
              <w:bottom w:val="single" w:sz="6" w:space="0" w:color="auto"/>
              <w:right w:val="single" w:sz="6" w:space="0" w:color="auto"/>
            </w:tcBorders>
            <w:vAlign w:val="center"/>
            <w:hideMark/>
          </w:tcPr>
          <w:p w14:paraId="74911EEC"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Copper</w:t>
            </w:r>
          </w:p>
        </w:tc>
        <w:tc>
          <w:tcPr>
            <w:tcW w:w="1102" w:type="dxa"/>
            <w:tcBorders>
              <w:top w:val="single" w:sz="6" w:space="0" w:color="auto"/>
              <w:left w:val="single" w:sz="6" w:space="0" w:color="auto"/>
              <w:bottom w:val="single" w:sz="6" w:space="0" w:color="auto"/>
              <w:right w:val="single" w:sz="6" w:space="0" w:color="auto"/>
            </w:tcBorders>
            <w:vAlign w:val="center"/>
            <w:hideMark/>
          </w:tcPr>
          <w:p w14:paraId="7E5C3386"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324,754</w:t>
            </w:r>
          </w:p>
        </w:tc>
        <w:tc>
          <w:tcPr>
            <w:tcW w:w="685" w:type="dxa"/>
            <w:tcBorders>
              <w:top w:val="single" w:sz="6" w:space="0" w:color="auto"/>
              <w:left w:val="single" w:sz="6" w:space="0" w:color="auto"/>
              <w:bottom w:val="single" w:sz="6" w:space="0" w:color="auto"/>
              <w:right w:val="single" w:sz="6" w:space="0" w:color="auto"/>
            </w:tcBorders>
            <w:vAlign w:val="center"/>
            <w:hideMark/>
          </w:tcPr>
          <w:p w14:paraId="32319C2F"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34417E55"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4F9852C0"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21AB81B8"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4B9C2DE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0.003</w:t>
            </w:r>
          </w:p>
        </w:tc>
        <w:tc>
          <w:tcPr>
            <w:tcW w:w="746" w:type="dxa"/>
            <w:tcBorders>
              <w:top w:val="single" w:sz="6" w:space="0" w:color="auto"/>
              <w:left w:val="single" w:sz="6" w:space="0" w:color="auto"/>
              <w:bottom w:val="single" w:sz="6" w:space="0" w:color="auto"/>
              <w:right w:val="single" w:sz="6" w:space="0" w:color="auto"/>
            </w:tcBorders>
            <w:vAlign w:val="center"/>
            <w:hideMark/>
          </w:tcPr>
          <w:p w14:paraId="4199203A"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2A7624D7"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117028CC"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16D9C1AD"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0.05</w:t>
            </w:r>
          </w:p>
        </w:tc>
        <w:tc>
          <w:tcPr>
            <w:tcW w:w="595" w:type="dxa"/>
            <w:tcBorders>
              <w:top w:val="single" w:sz="6" w:space="0" w:color="auto"/>
              <w:left w:val="single" w:sz="6" w:space="0" w:color="auto"/>
              <w:bottom w:val="single" w:sz="6" w:space="0" w:color="auto"/>
              <w:right w:val="single" w:sz="6" w:space="0" w:color="auto"/>
            </w:tcBorders>
            <w:vAlign w:val="center"/>
            <w:hideMark/>
          </w:tcPr>
          <w:p w14:paraId="3AE7B9BA"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0.02</w:t>
            </w:r>
          </w:p>
        </w:tc>
      </w:tr>
      <w:tr w:rsidR="00517583" w:rsidRPr="00F01347" w14:paraId="3C2FB26A" w14:textId="77777777" w:rsidTr="00236F63">
        <w:trPr>
          <w:trHeight w:val="20"/>
        </w:trPr>
        <w:tc>
          <w:tcPr>
            <w:tcW w:w="1274" w:type="dxa"/>
            <w:tcBorders>
              <w:top w:val="single" w:sz="6" w:space="0" w:color="auto"/>
              <w:left w:val="single" w:sz="6" w:space="0" w:color="auto"/>
              <w:bottom w:val="single" w:sz="6" w:space="0" w:color="auto"/>
              <w:right w:val="single" w:sz="6" w:space="0" w:color="auto"/>
            </w:tcBorders>
            <w:vAlign w:val="center"/>
            <w:hideMark/>
          </w:tcPr>
          <w:p w14:paraId="5F479F4A"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Chrome</w:t>
            </w:r>
          </w:p>
        </w:tc>
        <w:tc>
          <w:tcPr>
            <w:tcW w:w="1102" w:type="dxa"/>
            <w:tcBorders>
              <w:top w:val="single" w:sz="6" w:space="0" w:color="auto"/>
              <w:left w:val="single" w:sz="6" w:space="0" w:color="auto"/>
              <w:bottom w:val="single" w:sz="6" w:space="0" w:color="auto"/>
              <w:right w:val="single" w:sz="6" w:space="0" w:color="auto"/>
            </w:tcBorders>
            <w:vAlign w:val="center"/>
            <w:hideMark/>
          </w:tcPr>
          <w:p w14:paraId="59B6BC7D"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267,716</w:t>
            </w:r>
          </w:p>
        </w:tc>
        <w:tc>
          <w:tcPr>
            <w:tcW w:w="685" w:type="dxa"/>
            <w:tcBorders>
              <w:top w:val="single" w:sz="6" w:space="0" w:color="auto"/>
              <w:left w:val="single" w:sz="6" w:space="0" w:color="auto"/>
              <w:bottom w:val="single" w:sz="6" w:space="0" w:color="auto"/>
              <w:right w:val="single" w:sz="6" w:space="0" w:color="auto"/>
            </w:tcBorders>
            <w:vAlign w:val="center"/>
            <w:hideMark/>
          </w:tcPr>
          <w:p w14:paraId="5269E2BF"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432CA356"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2282EDF0"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13EEE5E9"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4EF6C75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0.003</w:t>
            </w:r>
          </w:p>
        </w:tc>
        <w:tc>
          <w:tcPr>
            <w:tcW w:w="746" w:type="dxa"/>
            <w:tcBorders>
              <w:top w:val="single" w:sz="6" w:space="0" w:color="auto"/>
              <w:left w:val="single" w:sz="6" w:space="0" w:color="auto"/>
              <w:bottom w:val="single" w:sz="6" w:space="0" w:color="auto"/>
              <w:right w:val="single" w:sz="6" w:space="0" w:color="auto"/>
            </w:tcBorders>
            <w:vAlign w:val="center"/>
            <w:hideMark/>
          </w:tcPr>
          <w:p w14:paraId="6C49B76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630D0A95"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0.04</w:t>
            </w:r>
          </w:p>
        </w:tc>
        <w:tc>
          <w:tcPr>
            <w:tcW w:w="594" w:type="dxa"/>
            <w:tcBorders>
              <w:top w:val="single" w:sz="6" w:space="0" w:color="auto"/>
              <w:left w:val="single" w:sz="6" w:space="0" w:color="auto"/>
              <w:bottom w:val="single" w:sz="6" w:space="0" w:color="auto"/>
              <w:right w:val="single" w:sz="6" w:space="0" w:color="auto"/>
            </w:tcBorders>
            <w:vAlign w:val="center"/>
            <w:hideMark/>
          </w:tcPr>
          <w:p w14:paraId="065BEA3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0F344181"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62C1B453"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0.04</w:t>
            </w:r>
          </w:p>
        </w:tc>
      </w:tr>
      <w:tr w:rsidR="00517583" w:rsidRPr="00F01347" w14:paraId="1E3AB904" w14:textId="77777777" w:rsidTr="00236F63">
        <w:trPr>
          <w:trHeight w:val="20"/>
        </w:trPr>
        <w:tc>
          <w:tcPr>
            <w:tcW w:w="1274" w:type="dxa"/>
            <w:tcBorders>
              <w:top w:val="single" w:sz="6" w:space="0" w:color="auto"/>
              <w:left w:val="single" w:sz="6" w:space="0" w:color="auto"/>
              <w:bottom w:val="single" w:sz="6" w:space="0" w:color="auto"/>
              <w:right w:val="single" w:sz="6" w:space="0" w:color="auto"/>
            </w:tcBorders>
            <w:vAlign w:val="center"/>
            <w:hideMark/>
          </w:tcPr>
          <w:p w14:paraId="0CDC535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iron</w:t>
            </w:r>
          </w:p>
        </w:tc>
        <w:tc>
          <w:tcPr>
            <w:tcW w:w="1102" w:type="dxa"/>
            <w:tcBorders>
              <w:top w:val="single" w:sz="6" w:space="0" w:color="auto"/>
              <w:left w:val="single" w:sz="6" w:space="0" w:color="auto"/>
              <w:bottom w:val="single" w:sz="6" w:space="0" w:color="auto"/>
              <w:right w:val="single" w:sz="6" w:space="0" w:color="auto"/>
            </w:tcBorders>
            <w:vAlign w:val="center"/>
            <w:hideMark/>
          </w:tcPr>
          <w:p w14:paraId="7B7516D9"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259.94</w:t>
            </w:r>
          </w:p>
        </w:tc>
        <w:tc>
          <w:tcPr>
            <w:tcW w:w="685" w:type="dxa"/>
            <w:tcBorders>
              <w:top w:val="single" w:sz="6" w:space="0" w:color="auto"/>
              <w:left w:val="single" w:sz="6" w:space="0" w:color="auto"/>
              <w:bottom w:val="single" w:sz="6" w:space="0" w:color="auto"/>
              <w:right w:val="single" w:sz="6" w:space="0" w:color="auto"/>
            </w:tcBorders>
            <w:vAlign w:val="center"/>
            <w:hideMark/>
          </w:tcPr>
          <w:p w14:paraId="55FA8D86"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08142FEA"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097EDC8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62DE190D"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7D73FFE7"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662D4E9B"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732D7CBA"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0.12</w:t>
            </w:r>
          </w:p>
        </w:tc>
        <w:tc>
          <w:tcPr>
            <w:tcW w:w="594" w:type="dxa"/>
            <w:tcBorders>
              <w:top w:val="single" w:sz="6" w:space="0" w:color="auto"/>
              <w:left w:val="single" w:sz="6" w:space="0" w:color="auto"/>
              <w:bottom w:val="single" w:sz="6" w:space="0" w:color="auto"/>
              <w:right w:val="single" w:sz="6" w:space="0" w:color="auto"/>
            </w:tcBorders>
            <w:vAlign w:val="center"/>
            <w:hideMark/>
          </w:tcPr>
          <w:p w14:paraId="3316E568"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106B87BF"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08437060"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r>
      <w:tr w:rsidR="00517583" w:rsidRPr="00F01347" w14:paraId="4EDD52E4" w14:textId="77777777" w:rsidTr="00236F63">
        <w:trPr>
          <w:trHeight w:val="20"/>
        </w:trPr>
        <w:tc>
          <w:tcPr>
            <w:tcW w:w="1274" w:type="dxa"/>
            <w:tcBorders>
              <w:top w:val="single" w:sz="6" w:space="0" w:color="auto"/>
              <w:left w:val="single" w:sz="6" w:space="0" w:color="auto"/>
              <w:bottom w:val="single" w:sz="6" w:space="0" w:color="auto"/>
              <w:right w:val="single" w:sz="6" w:space="0" w:color="auto"/>
            </w:tcBorders>
            <w:vAlign w:val="center"/>
            <w:hideMark/>
          </w:tcPr>
          <w:p w14:paraId="4DD89363"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Manganese</w:t>
            </w:r>
          </w:p>
        </w:tc>
        <w:tc>
          <w:tcPr>
            <w:tcW w:w="1102" w:type="dxa"/>
            <w:tcBorders>
              <w:top w:val="single" w:sz="6" w:space="0" w:color="auto"/>
              <w:left w:val="single" w:sz="6" w:space="0" w:color="auto"/>
              <w:bottom w:val="single" w:sz="6" w:space="0" w:color="auto"/>
              <w:right w:val="single" w:sz="6" w:space="0" w:color="auto"/>
            </w:tcBorders>
            <w:vAlign w:val="center"/>
            <w:hideMark/>
          </w:tcPr>
          <w:p w14:paraId="089B1B01"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257.61</w:t>
            </w:r>
          </w:p>
        </w:tc>
        <w:tc>
          <w:tcPr>
            <w:tcW w:w="685" w:type="dxa"/>
            <w:tcBorders>
              <w:top w:val="single" w:sz="6" w:space="0" w:color="auto"/>
              <w:left w:val="single" w:sz="6" w:space="0" w:color="auto"/>
              <w:bottom w:val="single" w:sz="6" w:space="0" w:color="auto"/>
              <w:right w:val="single" w:sz="6" w:space="0" w:color="auto"/>
            </w:tcBorders>
            <w:vAlign w:val="center"/>
            <w:hideMark/>
          </w:tcPr>
          <w:p w14:paraId="4167A74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0.005</w:t>
            </w:r>
          </w:p>
        </w:tc>
        <w:tc>
          <w:tcPr>
            <w:tcW w:w="594" w:type="dxa"/>
            <w:tcBorders>
              <w:top w:val="single" w:sz="6" w:space="0" w:color="auto"/>
              <w:left w:val="single" w:sz="6" w:space="0" w:color="auto"/>
              <w:bottom w:val="single" w:sz="6" w:space="0" w:color="auto"/>
              <w:right w:val="single" w:sz="6" w:space="0" w:color="auto"/>
            </w:tcBorders>
            <w:vAlign w:val="center"/>
            <w:hideMark/>
          </w:tcPr>
          <w:p w14:paraId="4088B47E"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578128FA"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0.01</w:t>
            </w:r>
          </w:p>
        </w:tc>
        <w:tc>
          <w:tcPr>
            <w:tcW w:w="594" w:type="dxa"/>
            <w:tcBorders>
              <w:top w:val="single" w:sz="6" w:space="0" w:color="auto"/>
              <w:left w:val="single" w:sz="6" w:space="0" w:color="auto"/>
              <w:bottom w:val="single" w:sz="6" w:space="0" w:color="auto"/>
              <w:right w:val="single" w:sz="6" w:space="0" w:color="auto"/>
            </w:tcBorders>
            <w:vAlign w:val="center"/>
            <w:hideMark/>
          </w:tcPr>
          <w:p w14:paraId="110DEB8B"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5E11FC7A"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0.002</w:t>
            </w:r>
          </w:p>
        </w:tc>
        <w:tc>
          <w:tcPr>
            <w:tcW w:w="746" w:type="dxa"/>
            <w:tcBorders>
              <w:top w:val="single" w:sz="6" w:space="0" w:color="auto"/>
              <w:left w:val="single" w:sz="6" w:space="0" w:color="auto"/>
              <w:bottom w:val="single" w:sz="6" w:space="0" w:color="auto"/>
              <w:right w:val="single" w:sz="6" w:space="0" w:color="auto"/>
            </w:tcBorders>
            <w:vAlign w:val="center"/>
            <w:hideMark/>
          </w:tcPr>
          <w:p w14:paraId="730FAB0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0.002</w:t>
            </w:r>
          </w:p>
        </w:tc>
        <w:tc>
          <w:tcPr>
            <w:tcW w:w="595" w:type="dxa"/>
            <w:tcBorders>
              <w:top w:val="single" w:sz="6" w:space="0" w:color="auto"/>
              <w:left w:val="single" w:sz="6" w:space="0" w:color="auto"/>
              <w:bottom w:val="single" w:sz="6" w:space="0" w:color="auto"/>
              <w:right w:val="single" w:sz="6" w:space="0" w:color="auto"/>
            </w:tcBorders>
            <w:vAlign w:val="center"/>
            <w:hideMark/>
          </w:tcPr>
          <w:p w14:paraId="3B207200"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66C230A8"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42D181E3"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7A70A7AB"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r>
      <w:tr w:rsidR="00517583" w:rsidRPr="00F01347" w14:paraId="1FF35351" w14:textId="77777777" w:rsidTr="00236F63">
        <w:trPr>
          <w:trHeight w:val="20"/>
        </w:trPr>
        <w:tc>
          <w:tcPr>
            <w:tcW w:w="1274" w:type="dxa"/>
            <w:tcBorders>
              <w:top w:val="single" w:sz="6" w:space="0" w:color="auto"/>
              <w:left w:val="single" w:sz="6" w:space="0" w:color="auto"/>
              <w:bottom w:val="single" w:sz="6" w:space="0" w:color="auto"/>
              <w:right w:val="single" w:sz="6" w:space="0" w:color="auto"/>
            </w:tcBorders>
            <w:vAlign w:val="center"/>
            <w:hideMark/>
          </w:tcPr>
          <w:p w14:paraId="1BC1D3C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Nickel</w:t>
            </w:r>
          </w:p>
        </w:tc>
        <w:tc>
          <w:tcPr>
            <w:tcW w:w="1102" w:type="dxa"/>
            <w:tcBorders>
              <w:top w:val="single" w:sz="6" w:space="0" w:color="auto"/>
              <w:left w:val="single" w:sz="6" w:space="0" w:color="auto"/>
              <w:bottom w:val="single" w:sz="6" w:space="0" w:color="auto"/>
              <w:right w:val="single" w:sz="6" w:space="0" w:color="auto"/>
            </w:tcBorders>
            <w:vAlign w:val="center"/>
            <w:hideMark/>
          </w:tcPr>
          <w:p w14:paraId="75E5BEFF"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231,604</w:t>
            </w:r>
          </w:p>
        </w:tc>
        <w:tc>
          <w:tcPr>
            <w:tcW w:w="685" w:type="dxa"/>
            <w:tcBorders>
              <w:top w:val="single" w:sz="6" w:space="0" w:color="auto"/>
              <w:left w:val="single" w:sz="6" w:space="0" w:color="auto"/>
              <w:bottom w:val="single" w:sz="6" w:space="0" w:color="auto"/>
              <w:right w:val="single" w:sz="6" w:space="0" w:color="auto"/>
            </w:tcBorders>
            <w:vAlign w:val="center"/>
            <w:hideMark/>
          </w:tcPr>
          <w:p w14:paraId="09DD30B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05A22ACF"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3950EA4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70380CD7"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315181A7"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1EE7ACBA"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38DA12DE"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2112AA70"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642151B8"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6D48E12C"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r>
      <w:tr w:rsidR="00517583" w:rsidRPr="00F01347" w14:paraId="356CF846" w14:textId="77777777" w:rsidTr="00236F63">
        <w:trPr>
          <w:trHeight w:val="20"/>
        </w:trPr>
        <w:tc>
          <w:tcPr>
            <w:tcW w:w="1274" w:type="dxa"/>
            <w:tcBorders>
              <w:top w:val="single" w:sz="6" w:space="0" w:color="auto"/>
              <w:left w:val="single" w:sz="6" w:space="0" w:color="auto"/>
              <w:bottom w:val="single" w:sz="6" w:space="0" w:color="auto"/>
              <w:right w:val="single" w:sz="6" w:space="0" w:color="auto"/>
            </w:tcBorders>
            <w:vAlign w:val="center"/>
            <w:hideMark/>
          </w:tcPr>
          <w:p w14:paraId="54D0077E"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Lead</w:t>
            </w:r>
          </w:p>
        </w:tc>
        <w:tc>
          <w:tcPr>
            <w:tcW w:w="1102" w:type="dxa"/>
            <w:tcBorders>
              <w:top w:val="single" w:sz="6" w:space="0" w:color="auto"/>
              <w:left w:val="single" w:sz="6" w:space="0" w:color="auto"/>
              <w:bottom w:val="single" w:sz="6" w:space="0" w:color="auto"/>
              <w:right w:val="single" w:sz="6" w:space="0" w:color="auto"/>
            </w:tcBorders>
            <w:vAlign w:val="center"/>
            <w:hideMark/>
          </w:tcPr>
          <w:p w14:paraId="4BBC4809"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220,353</w:t>
            </w:r>
          </w:p>
        </w:tc>
        <w:tc>
          <w:tcPr>
            <w:tcW w:w="685" w:type="dxa"/>
            <w:tcBorders>
              <w:top w:val="single" w:sz="6" w:space="0" w:color="auto"/>
              <w:left w:val="single" w:sz="6" w:space="0" w:color="auto"/>
              <w:bottom w:val="single" w:sz="6" w:space="0" w:color="auto"/>
              <w:right w:val="single" w:sz="6" w:space="0" w:color="auto"/>
            </w:tcBorders>
            <w:vAlign w:val="center"/>
            <w:hideMark/>
          </w:tcPr>
          <w:p w14:paraId="11246441"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0.17</w:t>
            </w:r>
          </w:p>
        </w:tc>
        <w:tc>
          <w:tcPr>
            <w:tcW w:w="594" w:type="dxa"/>
            <w:tcBorders>
              <w:top w:val="single" w:sz="6" w:space="0" w:color="auto"/>
              <w:left w:val="single" w:sz="6" w:space="0" w:color="auto"/>
              <w:bottom w:val="single" w:sz="6" w:space="0" w:color="auto"/>
              <w:right w:val="single" w:sz="6" w:space="0" w:color="auto"/>
            </w:tcBorders>
            <w:vAlign w:val="center"/>
            <w:hideMark/>
          </w:tcPr>
          <w:p w14:paraId="3C26C311"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36163885"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0D831BE3"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79D1979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78B0C08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2FD640D3"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4981B365"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0FCC143E"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23314D3E"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r>
      <w:tr w:rsidR="00517583" w:rsidRPr="00F01347" w14:paraId="606CC626" w14:textId="77777777" w:rsidTr="00236F63">
        <w:trPr>
          <w:trHeight w:val="20"/>
        </w:trPr>
        <w:tc>
          <w:tcPr>
            <w:tcW w:w="1274" w:type="dxa"/>
            <w:tcBorders>
              <w:top w:val="single" w:sz="6" w:space="0" w:color="auto"/>
              <w:left w:val="single" w:sz="6" w:space="0" w:color="auto"/>
              <w:bottom w:val="single" w:sz="6" w:space="0" w:color="auto"/>
              <w:right w:val="single" w:sz="6" w:space="0" w:color="auto"/>
            </w:tcBorders>
            <w:vAlign w:val="center"/>
            <w:hideMark/>
          </w:tcPr>
          <w:p w14:paraId="307D6A79"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Selenium</w:t>
            </w:r>
          </w:p>
        </w:tc>
        <w:tc>
          <w:tcPr>
            <w:tcW w:w="1102" w:type="dxa"/>
            <w:tcBorders>
              <w:top w:val="single" w:sz="6" w:space="0" w:color="auto"/>
              <w:left w:val="single" w:sz="6" w:space="0" w:color="auto"/>
              <w:bottom w:val="single" w:sz="6" w:space="0" w:color="auto"/>
              <w:right w:val="single" w:sz="6" w:space="0" w:color="auto"/>
            </w:tcBorders>
            <w:vAlign w:val="center"/>
            <w:hideMark/>
          </w:tcPr>
          <w:p w14:paraId="566A840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196,026</w:t>
            </w:r>
          </w:p>
        </w:tc>
        <w:tc>
          <w:tcPr>
            <w:tcW w:w="685" w:type="dxa"/>
            <w:tcBorders>
              <w:top w:val="single" w:sz="6" w:space="0" w:color="auto"/>
              <w:left w:val="single" w:sz="6" w:space="0" w:color="auto"/>
              <w:bottom w:val="single" w:sz="6" w:space="0" w:color="auto"/>
              <w:right w:val="single" w:sz="6" w:space="0" w:color="auto"/>
            </w:tcBorders>
            <w:vAlign w:val="center"/>
            <w:hideMark/>
          </w:tcPr>
          <w:p w14:paraId="4F57620C"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0.23</w:t>
            </w:r>
          </w:p>
        </w:tc>
        <w:tc>
          <w:tcPr>
            <w:tcW w:w="594" w:type="dxa"/>
            <w:tcBorders>
              <w:top w:val="single" w:sz="6" w:space="0" w:color="auto"/>
              <w:left w:val="single" w:sz="6" w:space="0" w:color="auto"/>
              <w:bottom w:val="single" w:sz="6" w:space="0" w:color="auto"/>
              <w:right w:val="single" w:sz="6" w:space="0" w:color="auto"/>
            </w:tcBorders>
            <w:vAlign w:val="center"/>
            <w:hideMark/>
          </w:tcPr>
          <w:p w14:paraId="665942F8"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096B116B"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6B87E9DE"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746" w:type="dxa"/>
            <w:tcBorders>
              <w:top w:val="single" w:sz="6" w:space="0" w:color="auto"/>
              <w:left w:val="single" w:sz="6" w:space="0" w:color="auto"/>
              <w:bottom w:val="single" w:sz="6" w:space="0" w:color="auto"/>
              <w:right w:val="single" w:sz="6" w:space="0" w:color="auto"/>
            </w:tcBorders>
            <w:vAlign w:val="center"/>
            <w:hideMark/>
          </w:tcPr>
          <w:p w14:paraId="5823EC19"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0.09</w:t>
            </w:r>
          </w:p>
        </w:tc>
        <w:tc>
          <w:tcPr>
            <w:tcW w:w="746" w:type="dxa"/>
            <w:tcBorders>
              <w:top w:val="single" w:sz="6" w:space="0" w:color="auto"/>
              <w:left w:val="single" w:sz="6" w:space="0" w:color="auto"/>
              <w:bottom w:val="single" w:sz="6" w:space="0" w:color="auto"/>
              <w:right w:val="single" w:sz="6" w:space="0" w:color="auto"/>
            </w:tcBorders>
            <w:vAlign w:val="center"/>
            <w:hideMark/>
          </w:tcPr>
          <w:p w14:paraId="75255E0F"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359663A1"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4" w:type="dxa"/>
            <w:tcBorders>
              <w:top w:val="single" w:sz="6" w:space="0" w:color="auto"/>
              <w:left w:val="single" w:sz="6" w:space="0" w:color="auto"/>
              <w:bottom w:val="single" w:sz="6" w:space="0" w:color="auto"/>
              <w:right w:val="single" w:sz="6" w:space="0" w:color="auto"/>
            </w:tcBorders>
            <w:vAlign w:val="center"/>
            <w:hideMark/>
          </w:tcPr>
          <w:p w14:paraId="6578ECD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6B227CF2"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595" w:type="dxa"/>
            <w:tcBorders>
              <w:top w:val="single" w:sz="6" w:space="0" w:color="auto"/>
              <w:left w:val="single" w:sz="6" w:space="0" w:color="auto"/>
              <w:bottom w:val="single" w:sz="6" w:space="0" w:color="auto"/>
              <w:right w:val="single" w:sz="6" w:space="0" w:color="auto"/>
            </w:tcBorders>
            <w:vAlign w:val="center"/>
            <w:hideMark/>
          </w:tcPr>
          <w:p w14:paraId="25203A64" w14:textId="77777777" w:rsidR="00517583" w:rsidRPr="00F01347" w:rsidRDefault="00517583">
            <w:pPr>
              <w:pStyle w:val="texto0"/>
              <w:spacing w:after="62"/>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r>
      <w:tr w:rsidR="00517583" w:rsidRPr="00F01347" w14:paraId="6F939107" w14:textId="77777777" w:rsidTr="00236F63">
        <w:trPr>
          <w:trHeight w:val="20"/>
        </w:trPr>
        <w:tc>
          <w:tcPr>
            <w:tcW w:w="8715" w:type="dxa"/>
            <w:gridSpan w:val="12"/>
            <w:tcBorders>
              <w:top w:val="single" w:sz="6" w:space="0" w:color="auto"/>
              <w:left w:val="nil"/>
              <w:bottom w:val="nil"/>
              <w:right w:val="nil"/>
            </w:tcBorders>
            <w:hideMark/>
          </w:tcPr>
          <w:p w14:paraId="47FA8602" w14:textId="77777777" w:rsidR="00517583" w:rsidRPr="00F01347" w:rsidRDefault="00517583">
            <w:pPr>
              <w:pStyle w:val="texto0"/>
              <w:spacing w:after="62"/>
              <w:ind w:firstLine="0"/>
              <w:rPr>
                <w:rFonts w:ascii="Verdana" w:hAnsi="Verdana"/>
                <w:color w:val="000000"/>
                <w:sz w:val="16"/>
                <w:szCs w:val="16"/>
                <w:lang w:val="en-US"/>
              </w:rPr>
            </w:pPr>
            <w:r w:rsidRPr="00F01347">
              <w:rPr>
                <w:rFonts w:ascii="Verdana" w:hAnsi="Verdana"/>
                <w:color w:val="000000"/>
                <w:sz w:val="16"/>
                <w:szCs w:val="16"/>
                <w:vertAlign w:val="superscript"/>
                <w:lang w:val="en-US"/>
              </w:rPr>
              <w:t xml:space="preserve">a </w:t>
            </w:r>
            <w:r w:rsidRPr="00F01347">
              <w:rPr>
                <w:rFonts w:ascii="Verdana" w:hAnsi="Verdana"/>
                <w:color w:val="000000"/>
                <w:sz w:val="16"/>
                <w:szCs w:val="16"/>
                <w:lang w:val="en-US"/>
              </w:rPr>
              <w:t>Dashes indicate that no interference was observed even when interference was introduced at the following levels:</w:t>
            </w:r>
          </w:p>
          <w:p w14:paraId="70F3CB46" w14:textId="23C23A31" w:rsidR="00517583" w:rsidRPr="00F01347" w:rsidRDefault="00517583">
            <w:pPr>
              <w:pStyle w:val="texto0"/>
              <w:tabs>
                <w:tab w:val="left" w:pos="666"/>
                <w:tab w:val="left" w:pos="2466"/>
                <w:tab w:val="left" w:pos="4266"/>
              </w:tabs>
              <w:spacing w:after="62"/>
              <w:ind w:firstLine="0"/>
              <w:rPr>
                <w:rFonts w:ascii="Verdana" w:hAnsi="Verdana"/>
                <w:color w:val="000000"/>
                <w:sz w:val="16"/>
                <w:szCs w:val="16"/>
                <w:lang w:val="en-US"/>
              </w:rPr>
            </w:pPr>
            <w:r w:rsidRPr="00F01347">
              <w:rPr>
                <w:rFonts w:ascii="Verdana" w:hAnsi="Verdana"/>
                <w:sz w:val="16"/>
                <w:szCs w:val="16"/>
                <w:lang w:val="en-US"/>
              </w:rPr>
              <w:tab/>
            </w:r>
            <w:r w:rsidRPr="00F01347">
              <w:rPr>
                <w:rFonts w:ascii="Verdana" w:hAnsi="Verdana"/>
                <w:color w:val="000000"/>
                <w:sz w:val="16"/>
                <w:szCs w:val="16"/>
                <w:lang w:val="en-US"/>
              </w:rPr>
              <w:t>Al at 1</w:t>
            </w:r>
            <w:r w:rsidR="008916AC" w:rsidRPr="00F01347">
              <w:rPr>
                <w:rFonts w:ascii="Verdana" w:hAnsi="Verdana"/>
                <w:color w:val="000000"/>
                <w:sz w:val="16"/>
                <w:szCs w:val="16"/>
                <w:lang w:val="en-US"/>
              </w:rPr>
              <w:t>,</w:t>
            </w:r>
            <w:r w:rsidRPr="00F01347">
              <w:rPr>
                <w:rFonts w:ascii="Verdana" w:hAnsi="Verdana"/>
                <w:color w:val="000000"/>
                <w:sz w:val="16"/>
                <w:szCs w:val="16"/>
                <w:lang w:val="en-US"/>
              </w:rPr>
              <w:t xml:space="preserve">000 mg/L </w:t>
            </w:r>
            <w:r w:rsidRPr="00F01347">
              <w:rPr>
                <w:rFonts w:ascii="Verdana" w:hAnsi="Verdana"/>
                <w:sz w:val="16"/>
                <w:szCs w:val="16"/>
                <w:lang w:val="en-US"/>
              </w:rPr>
              <w:tab/>
            </w:r>
            <w:r w:rsidRPr="00F01347">
              <w:rPr>
                <w:rFonts w:ascii="Verdana" w:hAnsi="Verdana"/>
                <w:color w:val="000000"/>
                <w:sz w:val="16"/>
                <w:szCs w:val="16"/>
                <w:lang w:val="en-US"/>
              </w:rPr>
              <w:t xml:space="preserve">Cu at 200 mg/L </w:t>
            </w:r>
            <w:r w:rsidRPr="00F01347">
              <w:rPr>
                <w:rFonts w:ascii="Verdana" w:hAnsi="Verdana"/>
                <w:sz w:val="16"/>
                <w:szCs w:val="16"/>
                <w:lang w:val="en-US"/>
              </w:rPr>
              <w:tab/>
            </w:r>
            <w:r w:rsidRPr="00F01347">
              <w:rPr>
                <w:rFonts w:ascii="Verdana" w:hAnsi="Verdana"/>
                <w:color w:val="000000"/>
                <w:sz w:val="16"/>
                <w:szCs w:val="16"/>
                <w:lang w:val="en-US"/>
              </w:rPr>
              <w:t>Mn at 200 mg/L</w:t>
            </w:r>
          </w:p>
          <w:p w14:paraId="53CA2062" w14:textId="77777777" w:rsidR="00517583" w:rsidRPr="00F01347" w:rsidRDefault="00517583">
            <w:pPr>
              <w:pStyle w:val="texto0"/>
              <w:tabs>
                <w:tab w:val="left" w:pos="666"/>
                <w:tab w:val="left" w:pos="2466"/>
                <w:tab w:val="left" w:pos="4266"/>
              </w:tabs>
              <w:spacing w:after="62"/>
              <w:ind w:firstLine="0"/>
              <w:rPr>
                <w:rFonts w:ascii="Verdana" w:hAnsi="Verdana"/>
                <w:color w:val="000000"/>
                <w:sz w:val="16"/>
                <w:szCs w:val="16"/>
                <w:lang w:val="en-US"/>
              </w:rPr>
            </w:pPr>
            <w:r w:rsidRPr="00F01347">
              <w:rPr>
                <w:rFonts w:ascii="Verdana" w:hAnsi="Verdana"/>
                <w:sz w:val="16"/>
                <w:szCs w:val="16"/>
                <w:lang w:val="en-US"/>
              </w:rPr>
              <w:tab/>
            </w:r>
            <w:r w:rsidRPr="00F01347">
              <w:rPr>
                <w:rFonts w:ascii="Verdana" w:hAnsi="Verdana"/>
                <w:color w:val="000000"/>
                <w:sz w:val="16"/>
                <w:szCs w:val="16"/>
                <w:lang w:val="en-US"/>
              </w:rPr>
              <w:t xml:space="preserve">Ca at 1,000 mg/L </w:t>
            </w:r>
            <w:r w:rsidRPr="00F01347">
              <w:rPr>
                <w:rFonts w:ascii="Verdana" w:hAnsi="Verdana"/>
                <w:sz w:val="16"/>
                <w:szCs w:val="16"/>
                <w:lang w:val="en-US"/>
              </w:rPr>
              <w:tab/>
            </w:r>
            <w:r w:rsidRPr="00F01347">
              <w:rPr>
                <w:rFonts w:ascii="Verdana" w:hAnsi="Verdana"/>
                <w:color w:val="000000"/>
                <w:sz w:val="16"/>
                <w:szCs w:val="16"/>
                <w:lang w:val="en-US"/>
              </w:rPr>
              <w:t xml:space="preserve">Fe at 1,000 mg/L </w:t>
            </w:r>
            <w:r w:rsidRPr="00F01347">
              <w:rPr>
                <w:rFonts w:ascii="Verdana" w:hAnsi="Verdana"/>
                <w:sz w:val="16"/>
                <w:szCs w:val="16"/>
                <w:lang w:val="en-US"/>
              </w:rPr>
              <w:tab/>
            </w:r>
            <w:r w:rsidRPr="00F01347">
              <w:rPr>
                <w:rFonts w:ascii="Verdana" w:hAnsi="Verdana"/>
                <w:color w:val="000000"/>
                <w:sz w:val="16"/>
                <w:szCs w:val="16"/>
                <w:lang w:val="en-US"/>
              </w:rPr>
              <w:t>Tl at 200 mg/L</w:t>
            </w:r>
          </w:p>
          <w:p w14:paraId="0C49356F" w14:textId="2A361440" w:rsidR="00517583" w:rsidRPr="00F01347" w:rsidRDefault="00517583">
            <w:pPr>
              <w:pStyle w:val="texto0"/>
              <w:tabs>
                <w:tab w:val="left" w:pos="666"/>
                <w:tab w:val="left" w:pos="2466"/>
                <w:tab w:val="left" w:pos="4266"/>
              </w:tabs>
              <w:spacing w:after="62"/>
              <w:ind w:firstLine="0"/>
              <w:rPr>
                <w:rFonts w:ascii="Verdana" w:hAnsi="Verdana"/>
                <w:color w:val="000000"/>
                <w:sz w:val="16"/>
                <w:szCs w:val="16"/>
                <w:lang w:val="en-US"/>
              </w:rPr>
            </w:pPr>
            <w:r w:rsidRPr="00F01347">
              <w:rPr>
                <w:rFonts w:ascii="Verdana" w:hAnsi="Verdana"/>
                <w:sz w:val="16"/>
                <w:szCs w:val="16"/>
                <w:lang w:val="en-US"/>
              </w:rPr>
              <w:tab/>
            </w:r>
            <w:r w:rsidRPr="00F01347">
              <w:rPr>
                <w:rFonts w:ascii="Verdana" w:hAnsi="Verdana"/>
                <w:color w:val="000000"/>
                <w:sz w:val="16"/>
                <w:szCs w:val="16"/>
                <w:lang w:val="en-US"/>
              </w:rPr>
              <w:t xml:space="preserve">Cr at 200 mg/L </w:t>
            </w:r>
            <w:r w:rsidRPr="00F01347">
              <w:rPr>
                <w:rFonts w:ascii="Verdana" w:hAnsi="Verdana"/>
                <w:sz w:val="16"/>
                <w:szCs w:val="16"/>
                <w:lang w:val="en-US"/>
              </w:rPr>
              <w:tab/>
            </w:r>
            <w:r w:rsidRPr="00F01347">
              <w:rPr>
                <w:rFonts w:ascii="Verdana" w:hAnsi="Verdana"/>
                <w:color w:val="000000"/>
                <w:sz w:val="16"/>
                <w:szCs w:val="16"/>
                <w:lang w:val="en-US"/>
              </w:rPr>
              <w:t>Mg at 1</w:t>
            </w:r>
            <w:r w:rsidR="008916AC" w:rsidRPr="00F01347">
              <w:rPr>
                <w:rFonts w:ascii="Verdana" w:hAnsi="Verdana"/>
                <w:color w:val="000000"/>
                <w:sz w:val="16"/>
                <w:szCs w:val="16"/>
                <w:lang w:val="en-US"/>
              </w:rPr>
              <w:t>,</w:t>
            </w:r>
            <w:r w:rsidRPr="00F01347">
              <w:rPr>
                <w:rFonts w:ascii="Verdana" w:hAnsi="Verdana"/>
                <w:color w:val="000000"/>
                <w:sz w:val="16"/>
                <w:szCs w:val="16"/>
                <w:lang w:val="en-US"/>
              </w:rPr>
              <w:t xml:space="preserve">000 mg/L </w:t>
            </w:r>
            <w:r w:rsidRPr="00F01347">
              <w:rPr>
                <w:rFonts w:ascii="Verdana" w:hAnsi="Verdana"/>
                <w:sz w:val="16"/>
                <w:szCs w:val="16"/>
                <w:lang w:val="en-US"/>
              </w:rPr>
              <w:tab/>
            </w:r>
            <w:r w:rsidRPr="00F01347">
              <w:rPr>
                <w:rFonts w:ascii="Verdana" w:hAnsi="Verdana"/>
                <w:color w:val="000000"/>
                <w:sz w:val="16"/>
                <w:szCs w:val="16"/>
                <w:lang w:val="en-US"/>
              </w:rPr>
              <w:t>V at 200 mg/L</w:t>
            </w:r>
          </w:p>
        </w:tc>
      </w:tr>
      <w:tr w:rsidR="00517583" w:rsidRPr="00F01347" w14:paraId="3FD07353" w14:textId="77777777" w:rsidTr="00236F63">
        <w:trPr>
          <w:trHeight w:val="20"/>
        </w:trPr>
        <w:tc>
          <w:tcPr>
            <w:tcW w:w="8715" w:type="dxa"/>
            <w:gridSpan w:val="12"/>
            <w:hideMark/>
          </w:tcPr>
          <w:p w14:paraId="0B2FB21B" w14:textId="77777777" w:rsidR="00517583" w:rsidRPr="00F01347" w:rsidRDefault="00517583">
            <w:pPr>
              <w:pStyle w:val="texto0"/>
              <w:spacing w:after="62"/>
              <w:ind w:firstLine="0"/>
              <w:rPr>
                <w:rFonts w:ascii="Verdana" w:hAnsi="Verdana"/>
                <w:color w:val="000000"/>
                <w:sz w:val="16"/>
                <w:szCs w:val="16"/>
                <w:lang w:val="en-US"/>
              </w:rPr>
            </w:pPr>
            <w:r w:rsidRPr="00F01347">
              <w:rPr>
                <w:rFonts w:ascii="Verdana" w:hAnsi="Verdana"/>
                <w:color w:val="000000"/>
                <w:sz w:val="16"/>
                <w:szCs w:val="16"/>
                <w:vertAlign w:val="superscript"/>
                <w:lang w:val="en-US"/>
              </w:rPr>
              <w:t xml:space="preserve">b </w:t>
            </w:r>
            <w:proofErr w:type="gramStart"/>
            <w:r w:rsidRPr="00F01347">
              <w:rPr>
                <w:rFonts w:ascii="Verdana" w:hAnsi="Verdana"/>
                <w:color w:val="000000"/>
                <w:sz w:val="16"/>
                <w:szCs w:val="16"/>
                <w:lang w:val="en-US"/>
              </w:rPr>
              <w:t>The</w:t>
            </w:r>
            <w:proofErr w:type="gramEnd"/>
            <w:r w:rsidRPr="00F01347">
              <w:rPr>
                <w:rFonts w:ascii="Verdana" w:hAnsi="Verdana"/>
                <w:color w:val="000000"/>
                <w:sz w:val="16"/>
                <w:szCs w:val="16"/>
                <w:lang w:val="en-US"/>
              </w:rPr>
              <w:t xml:space="preserve"> figures shown above as analyte concentration equivalents are not the actual concentrations observed. To obtain this figure add the indicated concentration to the interference figure.</w:t>
            </w:r>
          </w:p>
        </w:tc>
      </w:tr>
      <w:tr w:rsidR="00517583" w:rsidRPr="00F01347" w14:paraId="0184898B" w14:textId="77777777" w:rsidTr="00236F63">
        <w:trPr>
          <w:trHeight w:val="20"/>
        </w:trPr>
        <w:tc>
          <w:tcPr>
            <w:tcW w:w="8715" w:type="dxa"/>
            <w:gridSpan w:val="12"/>
            <w:hideMark/>
          </w:tcPr>
          <w:p w14:paraId="3AE515DD" w14:textId="77777777" w:rsidR="00517583" w:rsidRPr="00F01347" w:rsidRDefault="00517583">
            <w:pPr>
              <w:pStyle w:val="texto0"/>
              <w:spacing w:after="62"/>
              <w:ind w:firstLine="0"/>
              <w:rPr>
                <w:rFonts w:ascii="Verdana" w:hAnsi="Verdana"/>
                <w:color w:val="000000"/>
                <w:sz w:val="16"/>
                <w:szCs w:val="16"/>
                <w:lang w:val="en-US"/>
              </w:rPr>
            </w:pPr>
            <w:r w:rsidRPr="00F01347">
              <w:rPr>
                <w:rFonts w:ascii="Verdana" w:hAnsi="Verdana"/>
                <w:color w:val="000000"/>
                <w:sz w:val="16"/>
                <w:szCs w:val="16"/>
                <w:vertAlign w:val="superscript"/>
                <w:lang w:val="en-US"/>
              </w:rPr>
              <w:t xml:space="preserve">c </w:t>
            </w:r>
            <w:r w:rsidRPr="00F01347">
              <w:rPr>
                <w:rFonts w:ascii="Verdana" w:hAnsi="Verdana"/>
                <w:color w:val="000000"/>
                <w:sz w:val="16"/>
                <w:szCs w:val="16"/>
                <w:lang w:val="en-US"/>
              </w:rPr>
              <w:t>Interference will be affected by the choice of background and other interference that may be present.</w:t>
            </w:r>
          </w:p>
        </w:tc>
      </w:tr>
    </w:tbl>
    <w:p w14:paraId="549D4D32" w14:textId="77777777" w:rsidR="00517583" w:rsidRPr="00F01347" w:rsidRDefault="00517583" w:rsidP="00517583">
      <w:pPr>
        <w:pStyle w:val="texto0"/>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17583" w:rsidRPr="00F01347" w14:paraId="18A5742A" w14:textId="4C2149B9" w:rsidTr="008916AC">
        <w:tc>
          <w:tcPr>
            <w:tcW w:w="4675" w:type="dxa"/>
          </w:tcPr>
          <w:p w14:paraId="74165AC7" w14:textId="77777777" w:rsidR="00517583" w:rsidRPr="00F01347" w:rsidRDefault="00517583" w:rsidP="00517583">
            <w:pPr>
              <w:pStyle w:val="texto0"/>
              <w:ind w:firstLine="0"/>
              <w:rPr>
                <w:rFonts w:ascii="Verdana" w:hAnsi="Verdana"/>
                <w:sz w:val="16"/>
                <w:szCs w:val="16"/>
              </w:rPr>
            </w:pPr>
            <w:r w:rsidRPr="00F01347">
              <w:rPr>
                <w:rFonts w:ascii="Verdana" w:hAnsi="Verdana"/>
                <w:sz w:val="16"/>
                <w:szCs w:val="16"/>
              </w:rPr>
              <w:t xml:space="preserve">Las interferencias físicas están asociadas con la nebulización de la muestra y el proceso de transporte de </w:t>
            </w:r>
            <w:proofErr w:type="gramStart"/>
            <w:r w:rsidRPr="00F01347">
              <w:rPr>
                <w:rFonts w:ascii="Verdana" w:hAnsi="Verdana"/>
                <w:sz w:val="16"/>
                <w:szCs w:val="16"/>
              </w:rPr>
              <w:t>la misma</w:t>
            </w:r>
            <w:proofErr w:type="gramEnd"/>
            <w:r w:rsidRPr="00F01347">
              <w:rPr>
                <w:rFonts w:ascii="Verdana" w:hAnsi="Verdana"/>
                <w:sz w:val="16"/>
                <w:szCs w:val="16"/>
              </w:rPr>
              <w:t>. Cambios en viscosidad y tensión superficial pueden causar malos resultados, especialmente en muestras conteniendo altas concentraciones de sólidos disueltos o altas concentraciones de ácido. Si existen interferencias físicas, éstas deben ser reducidas: utilizando nebulizadores para un contenido alto de sólidos, diluyendo la muestra, utilizando una bomba peristáltica o utilizando un elemento apropiado como estándar interno. Otro problema que puede ocurrir con un alto contenido de sólidos disueltos es la acumulación de sales en el tubo inyector de la antorcha, lo cual afecta el flujo de transporte del aerosol ocasionando variación instrumental. Este problema puede controlarse utilizando: un nebulizador para un contenido alto de sólidos, humidificando el argón antes de la nebulización, lavando suficientemente entre muestra y muestra o diluyendo la muestra.</w:t>
            </w:r>
          </w:p>
        </w:tc>
        <w:tc>
          <w:tcPr>
            <w:tcW w:w="4675" w:type="dxa"/>
          </w:tcPr>
          <w:p w14:paraId="34162070" w14:textId="2C19A80A" w:rsidR="00517583" w:rsidRPr="00F01347" w:rsidRDefault="00517583" w:rsidP="00517583">
            <w:pPr>
              <w:pStyle w:val="texto0"/>
              <w:ind w:firstLine="0"/>
              <w:rPr>
                <w:rFonts w:ascii="Verdana" w:hAnsi="Verdana"/>
                <w:sz w:val="16"/>
                <w:szCs w:val="16"/>
                <w:lang w:val="en-US"/>
              </w:rPr>
            </w:pPr>
            <w:r w:rsidRPr="00F01347">
              <w:rPr>
                <w:rFonts w:ascii="Verdana" w:hAnsi="Verdana"/>
                <w:sz w:val="16"/>
                <w:szCs w:val="16"/>
                <w:lang w:val="en-US"/>
              </w:rPr>
              <w:t>Physical interferences are associated with the nebulization of the sample and the sample transport process</w:t>
            </w:r>
            <w:r w:rsidR="003E1BA9" w:rsidRPr="00F01347">
              <w:rPr>
                <w:rFonts w:ascii="Verdana" w:hAnsi="Verdana"/>
                <w:sz w:val="16"/>
                <w:szCs w:val="16"/>
                <w:lang w:val="en-US"/>
              </w:rPr>
              <w:t>.</w:t>
            </w:r>
            <w:r w:rsidRPr="00F01347">
              <w:rPr>
                <w:rFonts w:ascii="Verdana" w:hAnsi="Verdana"/>
                <w:sz w:val="16"/>
                <w:szCs w:val="16"/>
                <w:lang w:val="en-US"/>
              </w:rPr>
              <w:t xml:space="preserve"> Changes in viscosity and surface tension can cause poor results, especially in samples containing high concentrations of dissolved solids or high concentrations of acid. If physical interferences exist, these should be reduced: using nebulizers for high solids content, diluting the sample, using a peristaltic </w:t>
            </w:r>
            <w:proofErr w:type="gramStart"/>
            <w:r w:rsidRPr="00F01347">
              <w:rPr>
                <w:rFonts w:ascii="Verdana" w:hAnsi="Verdana"/>
                <w:sz w:val="16"/>
                <w:szCs w:val="16"/>
                <w:lang w:val="en-US"/>
              </w:rPr>
              <w:t>pump</w:t>
            </w:r>
            <w:proofErr w:type="gramEnd"/>
            <w:r w:rsidRPr="00F01347">
              <w:rPr>
                <w:rFonts w:ascii="Verdana" w:hAnsi="Verdana"/>
                <w:sz w:val="16"/>
                <w:szCs w:val="16"/>
                <w:lang w:val="en-US"/>
              </w:rPr>
              <w:t xml:space="preserve"> or using an appropriate element as an internal standard. Another problem that can occur with a high dissolved solids content is the accumulation of salts in the torch injector tube, which affects the aerosol transport flow, causing instrumental variation. This problem can be controlled by using: a high solids nebulizer, humidifying argon before nebulization, sufficiently washing between samples, or diluting the sample.</w:t>
            </w:r>
          </w:p>
        </w:tc>
      </w:tr>
      <w:tr w:rsidR="00517583" w:rsidRPr="00F01347" w14:paraId="50690B4B" w14:textId="70AC2A8B" w:rsidTr="008916AC">
        <w:tc>
          <w:tcPr>
            <w:tcW w:w="4675" w:type="dxa"/>
          </w:tcPr>
          <w:p w14:paraId="1E662A14" w14:textId="57BB162A" w:rsidR="00517583" w:rsidRPr="00F01347" w:rsidRDefault="00517583" w:rsidP="00517583">
            <w:pPr>
              <w:pStyle w:val="texto0"/>
              <w:spacing w:line="220" w:lineRule="exact"/>
              <w:ind w:firstLine="0"/>
              <w:rPr>
                <w:rFonts w:ascii="Verdana" w:hAnsi="Verdana"/>
                <w:sz w:val="16"/>
                <w:szCs w:val="16"/>
              </w:rPr>
            </w:pPr>
            <w:r w:rsidRPr="00F01347">
              <w:rPr>
                <w:rFonts w:ascii="Verdana" w:hAnsi="Verdana"/>
                <w:sz w:val="16"/>
                <w:szCs w:val="16"/>
              </w:rPr>
              <w:t xml:space="preserve">Las interferencias químicas incluyen la formación de compuestos moleculares, efectos de ionización y efectos de vaporización del soluto. Normalmente, estos efectos no son significativos en la técnica </w:t>
            </w:r>
            <w:r w:rsidR="008916AC" w:rsidRPr="00F01347">
              <w:rPr>
                <w:rFonts w:ascii="Verdana" w:hAnsi="Verdana"/>
                <w:sz w:val="16"/>
                <w:szCs w:val="16"/>
              </w:rPr>
              <w:t>de ICP</w:t>
            </w:r>
            <w:r w:rsidRPr="00F01347">
              <w:rPr>
                <w:rFonts w:ascii="Verdana" w:hAnsi="Verdana"/>
                <w:sz w:val="16"/>
                <w:szCs w:val="16"/>
              </w:rPr>
              <w:t xml:space="preserve">-OES, pero si se observan pueden ser minimizadas mediante </w:t>
            </w:r>
            <w:r w:rsidRPr="00F01347">
              <w:rPr>
                <w:rFonts w:ascii="Verdana" w:hAnsi="Verdana"/>
                <w:sz w:val="16"/>
                <w:szCs w:val="16"/>
              </w:rPr>
              <w:lastRenderedPageBreak/>
              <w:t>una cuidadosa selección de las condiciones de operación.</w:t>
            </w:r>
          </w:p>
        </w:tc>
        <w:tc>
          <w:tcPr>
            <w:tcW w:w="4675" w:type="dxa"/>
          </w:tcPr>
          <w:p w14:paraId="17E8FDD3" w14:textId="7F27C63E" w:rsidR="00517583" w:rsidRPr="00F01347" w:rsidRDefault="00517583" w:rsidP="00517583">
            <w:pPr>
              <w:pStyle w:val="texto0"/>
              <w:spacing w:line="220" w:lineRule="exact"/>
              <w:ind w:firstLine="0"/>
              <w:rPr>
                <w:rFonts w:ascii="Verdana" w:hAnsi="Verdana"/>
                <w:sz w:val="16"/>
                <w:szCs w:val="16"/>
                <w:lang w:val="en-US"/>
              </w:rPr>
            </w:pPr>
            <w:r w:rsidRPr="00F01347">
              <w:rPr>
                <w:rFonts w:ascii="Verdana" w:hAnsi="Verdana"/>
                <w:sz w:val="16"/>
                <w:szCs w:val="16"/>
                <w:lang w:val="en-US"/>
              </w:rPr>
              <w:lastRenderedPageBreak/>
              <w:t>Chemical interferences include the formation of molecular compounds, ionization effects, and solute vaporization effects. Normally, these effects are not significant in the ICP -OES technique, but if observed they can be minimized by careful selection of operating conditions.</w:t>
            </w:r>
          </w:p>
        </w:tc>
      </w:tr>
      <w:tr w:rsidR="00517583" w:rsidRPr="00F01347" w14:paraId="6D797D24" w14:textId="284DEBAC" w:rsidTr="008916AC">
        <w:tc>
          <w:tcPr>
            <w:tcW w:w="4675" w:type="dxa"/>
          </w:tcPr>
          <w:p w14:paraId="68E327C4" w14:textId="77777777" w:rsidR="00517583" w:rsidRPr="00F01347" w:rsidRDefault="00517583" w:rsidP="00517583">
            <w:pPr>
              <w:pStyle w:val="texto0"/>
              <w:spacing w:line="220" w:lineRule="exact"/>
              <w:ind w:firstLine="0"/>
              <w:rPr>
                <w:rFonts w:ascii="Verdana" w:hAnsi="Verdana"/>
                <w:sz w:val="16"/>
                <w:szCs w:val="16"/>
              </w:rPr>
            </w:pPr>
            <w:r w:rsidRPr="00F01347">
              <w:rPr>
                <w:rFonts w:ascii="Verdana" w:hAnsi="Verdana"/>
                <w:sz w:val="16"/>
                <w:szCs w:val="16"/>
              </w:rPr>
              <w:t>Las interferencias de efecto de memoria son generadas cuando los analitos de una muestra anterior contribuyen en la medición de una nueva muestra. Los efectos de memoria pueden ocasionarse por la acumulación de la muestra en el tubo del nebulizador, en la antorcha del plasma y en la cámara de nebulización. Si se sospecha de interferencias por efectos de memoria, la muestra debe volver a analizarse después de un periodo prolongado de lavado.</w:t>
            </w:r>
          </w:p>
        </w:tc>
        <w:tc>
          <w:tcPr>
            <w:tcW w:w="4675" w:type="dxa"/>
          </w:tcPr>
          <w:p w14:paraId="5056DD88" w14:textId="33ED3BE0" w:rsidR="00517583" w:rsidRPr="00F01347" w:rsidRDefault="00517583" w:rsidP="00517583">
            <w:pPr>
              <w:pStyle w:val="texto0"/>
              <w:spacing w:line="220" w:lineRule="exact"/>
              <w:ind w:firstLine="0"/>
              <w:rPr>
                <w:rFonts w:ascii="Verdana" w:hAnsi="Verdana"/>
                <w:sz w:val="16"/>
                <w:szCs w:val="16"/>
                <w:lang w:val="en-US"/>
              </w:rPr>
            </w:pPr>
            <w:r w:rsidRPr="00F01347">
              <w:rPr>
                <w:rFonts w:ascii="Verdana" w:hAnsi="Verdana"/>
                <w:sz w:val="16"/>
                <w:szCs w:val="16"/>
                <w:lang w:val="en-US"/>
              </w:rPr>
              <w:t>Memory effect interferences are generated when analytes from a previous sample contribute to the measurement of a new sample. Memory effects can be caused by sample buildup in the nebulizer tube, plasma torch, and nebulizer chamber. If interference from memory effects is suspected, the sample should be reanalyzed after an extended washout period.</w:t>
            </w:r>
          </w:p>
        </w:tc>
      </w:tr>
      <w:tr w:rsidR="00517583" w:rsidRPr="00F01347" w14:paraId="1259C9F6" w14:textId="6550C4C6" w:rsidTr="008916AC">
        <w:tc>
          <w:tcPr>
            <w:tcW w:w="4675" w:type="dxa"/>
          </w:tcPr>
          <w:p w14:paraId="68C2C057" w14:textId="77777777" w:rsidR="00517583" w:rsidRPr="00F01347" w:rsidRDefault="00517583" w:rsidP="00517583">
            <w:pPr>
              <w:pStyle w:val="texto0"/>
              <w:spacing w:line="220" w:lineRule="exact"/>
              <w:ind w:firstLine="0"/>
              <w:rPr>
                <w:rFonts w:ascii="Verdana" w:hAnsi="Verdana"/>
                <w:b/>
                <w:sz w:val="16"/>
                <w:szCs w:val="16"/>
              </w:rPr>
            </w:pPr>
            <w:r w:rsidRPr="00F01347">
              <w:rPr>
                <w:rFonts w:ascii="Verdana" w:hAnsi="Verdana"/>
                <w:b/>
                <w:sz w:val="16"/>
                <w:szCs w:val="16"/>
              </w:rPr>
              <w:t>B.4.2.8 Seguridad</w:t>
            </w:r>
          </w:p>
        </w:tc>
        <w:tc>
          <w:tcPr>
            <w:tcW w:w="4675" w:type="dxa"/>
          </w:tcPr>
          <w:p w14:paraId="6699BB1E" w14:textId="114AF51C" w:rsidR="00517583" w:rsidRPr="00F01347" w:rsidRDefault="00517583" w:rsidP="00517583">
            <w:pPr>
              <w:pStyle w:val="texto0"/>
              <w:spacing w:line="220" w:lineRule="exact"/>
              <w:ind w:firstLine="0"/>
              <w:rPr>
                <w:rFonts w:ascii="Verdana" w:hAnsi="Verdana"/>
                <w:b/>
                <w:sz w:val="16"/>
                <w:szCs w:val="16"/>
                <w:lang w:val="en-US"/>
              </w:rPr>
            </w:pPr>
            <w:r w:rsidRPr="00F01347">
              <w:rPr>
                <w:rFonts w:ascii="Verdana" w:hAnsi="Verdana"/>
                <w:b/>
                <w:sz w:val="16"/>
                <w:szCs w:val="16"/>
                <w:lang w:val="en-US"/>
              </w:rPr>
              <w:t>B.4.2.8 S</w:t>
            </w:r>
            <w:r w:rsidR="008916AC" w:rsidRPr="00F01347">
              <w:rPr>
                <w:rFonts w:ascii="Verdana" w:hAnsi="Verdana"/>
                <w:b/>
                <w:sz w:val="16"/>
                <w:szCs w:val="16"/>
                <w:lang w:val="en-US"/>
              </w:rPr>
              <w:t>afe</w:t>
            </w:r>
            <w:r w:rsidRPr="00F01347">
              <w:rPr>
                <w:rFonts w:ascii="Verdana" w:hAnsi="Verdana"/>
                <w:b/>
                <w:sz w:val="16"/>
                <w:szCs w:val="16"/>
                <w:lang w:val="en-US"/>
              </w:rPr>
              <w:t>ty</w:t>
            </w:r>
          </w:p>
        </w:tc>
      </w:tr>
      <w:tr w:rsidR="00517583" w:rsidRPr="00F01347" w14:paraId="014FA730" w14:textId="050C681A" w:rsidTr="008916AC">
        <w:tc>
          <w:tcPr>
            <w:tcW w:w="4675" w:type="dxa"/>
          </w:tcPr>
          <w:p w14:paraId="19A59B9D" w14:textId="77777777" w:rsidR="00517583" w:rsidRPr="00F01347" w:rsidRDefault="00517583" w:rsidP="00517583">
            <w:pPr>
              <w:pStyle w:val="texto0"/>
              <w:spacing w:line="220" w:lineRule="exact"/>
              <w:ind w:firstLine="0"/>
              <w:rPr>
                <w:rFonts w:ascii="Verdana" w:hAnsi="Verdana"/>
                <w:sz w:val="16"/>
                <w:szCs w:val="16"/>
              </w:rPr>
            </w:pPr>
            <w:r w:rsidRPr="00F01347">
              <w:rPr>
                <w:rFonts w:ascii="Verdana" w:hAnsi="Verdana"/>
                <w:sz w:val="16"/>
                <w:szCs w:val="16"/>
              </w:rPr>
              <w:t xml:space="preserve">Muchas sales de metales utilizadas para la preparación de las diluciones patrón estándar son extremadamente tóxicas si son inhalados o ingeridos. Lavarse las manos cuidadosamente </w:t>
            </w:r>
            <w:proofErr w:type="gramStart"/>
            <w:r w:rsidRPr="00F01347">
              <w:rPr>
                <w:rFonts w:ascii="Verdana" w:hAnsi="Verdana"/>
                <w:sz w:val="16"/>
                <w:szCs w:val="16"/>
              </w:rPr>
              <w:t>después  de</w:t>
            </w:r>
            <w:proofErr w:type="gramEnd"/>
            <w:r w:rsidRPr="00F01347">
              <w:rPr>
                <w:rFonts w:ascii="Verdana" w:hAnsi="Verdana"/>
                <w:sz w:val="16"/>
                <w:szCs w:val="16"/>
              </w:rPr>
              <w:t xml:space="preserve"> su manejo.</w:t>
            </w:r>
          </w:p>
        </w:tc>
        <w:tc>
          <w:tcPr>
            <w:tcW w:w="4675" w:type="dxa"/>
          </w:tcPr>
          <w:p w14:paraId="4802602C" w14:textId="03A9FD81" w:rsidR="00517583" w:rsidRPr="00F01347" w:rsidRDefault="00517583" w:rsidP="00517583">
            <w:pPr>
              <w:pStyle w:val="texto0"/>
              <w:spacing w:line="220" w:lineRule="exact"/>
              <w:ind w:firstLine="0"/>
              <w:rPr>
                <w:rFonts w:ascii="Verdana" w:hAnsi="Verdana"/>
                <w:sz w:val="16"/>
                <w:szCs w:val="16"/>
                <w:lang w:val="en-US"/>
              </w:rPr>
            </w:pPr>
            <w:r w:rsidRPr="00F01347">
              <w:rPr>
                <w:rFonts w:ascii="Verdana" w:hAnsi="Verdana"/>
                <w:sz w:val="16"/>
                <w:szCs w:val="16"/>
                <w:lang w:val="en-US"/>
              </w:rPr>
              <w:t>Many metal salts used for the preparation of standard dilutions are extremely toxic if inhaled or ingested. Wash hands carefully after handling.</w:t>
            </w:r>
          </w:p>
        </w:tc>
      </w:tr>
      <w:tr w:rsidR="00517583" w:rsidRPr="00F01347" w14:paraId="5276086F" w14:textId="6B7A5E2E" w:rsidTr="008916AC">
        <w:tc>
          <w:tcPr>
            <w:tcW w:w="4675" w:type="dxa"/>
          </w:tcPr>
          <w:p w14:paraId="67CD850C" w14:textId="77777777" w:rsidR="00517583" w:rsidRPr="00F01347" w:rsidRDefault="00517583" w:rsidP="00517583">
            <w:pPr>
              <w:pStyle w:val="texto0"/>
              <w:spacing w:line="220" w:lineRule="exact"/>
              <w:ind w:firstLine="0"/>
              <w:rPr>
                <w:rFonts w:ascii="Verdana" w:hAnsi="Verdana"/>
                <w:b/>
                <w:sz w:val="16"/>
                <w:szCs w:val="16"/>
              </w:rPr>
            </w:pPr>
            <w:r w:rsidRPr="00F01347">
              <w:rPr>
                <w:rFonts w:ascii="Verdana" w:hAnsi="Verdana"/>
                <w:b/>
                <w:sz w:val="16"/>
                <w:szCs w:val="16"/>
              </w:rPr>
              <w:t>B.4.2.9 Referencias</w:t>
            </w:r>
          </w:p>
        </w:tc>
        <w:tc>
          <w:tcPr>
            <w:tcW w:w="4675" w:type="dxa"/>
          </w:tcPr>
          <w:p w14:paraId="507BF9AE" w14:textId="203A39A4" w:rsidR="00517583" w:rsidRPr="00F01347" w:rsidRDefault="00517583" w:rsidP="00517583">
            <w:pPr>
              <w:pStyle w:val="texto0"/>
              <w:spacing w:line="220" w:lineRule="exact"/>
              <w:ind w:firstLine="0"/>
              <w:rPr>
                <w:rFonts w:ascii="Verdana" w:hAnsi="Verdana"/>
                <w:b/>
                <w:sz w:val="16"/>
                <w:szCs w:val="16"/>
                <w:lang w:val="en-US"/>
              </w:rPr>
            </w:pPr>
            <w:r w:rsidRPr="00F01347">
              <w:rPr>
                <w:rFonts w:ascii="Verdana" w:hAnsi="Verdana"/>
                <w:b/>
                <w:sz w:val="16"/>
                <w:szCs w:val="16"/>
                <w:lang w:val="en-US"/>
              </w:rPr>
              <w:t>B.4.2.9 References</w:t>
            </w:r>
          </w:p>
        </w:tc>
      </w:tr>
      <w:tr w:rsidR="00517583" w:rsidRPr="00F01347" w14:paraId="2EFC39FC" w14:textId="3FB49D6D" w:rsidTr="008916AC">
        <w:tc>
          <w:tcPr>
            <w:tcW w:w="4675" w:type="dxa"/>
          </w:tcPr>
          <w:p w14:paraId="152E5EEC" w14:textId="77777777" w:rsidR="00517583" w:rsidRPr="00F01347" w:rsidRDefault="00517583" w:rsidP="00517583">
            <w:pPr>
              <w:pStyle w:val="texto0"/>
              <w:spacing w:line="220" w:lineRule="exact"/>
              <w:ind w:firstLine="0"/>
              <w:rPr>
                <w:rFonts w:ascii="Verdana" w:hAnsi="Verdana"/>
                <w:color w:val="000000"/>
                <w:sz w:val="16"/>
                <w:szCs w:val="16"/>
              </w:rPr>
            </w:pPr>
            <w:r w:rsidRPr="00F01347">
              <w:rPr>
                <w:rFonts w:ascii="Verdana" w:hAnsi="Verdana"/>
                <w:color w:val="000000"/>
                <w:sz w:val="16"/>
                <w:szCs w:val="16"/>
                <w:lang w:val="en-US"/>
              </w:rPr>
              <w:t>EPA. 2014.</w:t>
            </w:r>
            <w:r w:rsidRPr="00F01347">
              <w:rPr>
                <w:rFonts w:ascii="Verdana" w:hAnsi="Verdana"/>
                <w:sz w:val="16"/>
                <w:szCs w:val="16"/>
                <w:lang w:val="en-US"/>
              </w:rPr>
              <w:t xml:space="preserve"> </w:t>
            </w:r>
            <w:r w:rsidRPr="00F01347">
              <w:rPr>
                <w:rFonts w:ascii="Verdana" w:hAnsi="Verdana"/>
                <w:color w:val="000000"/>
                <w:sz w:val="16"/>
                <w:szCs w:val="16"/>
                <w:lang w:val="en-US"/>
              </w:rPr>
              <w:t xml:space="preserve">Method 6010D. Inductively coupled plasma—optical emission spectrometry. </w:t>
            </w:r>
            <w:r w:rsidRPr="00F01347">
              <w:rPr>
                <w:rFonts w:ascii="Verdana" w:hAnsi="Verdana"/>
                <w:color w:val="000000"/>
                <w:sz w:val="16"/>
                <w:szCs w:val="16"/>
              </w:rPr>
              <w:t>Rev. 4</w:t>
            </w:r>
          </w:p>
        </w:tc>
        <w:tc>
          <w:tcPr>
            <w:tcW w:w="4675" w:type="dxa"/>
          </w:tcPr>
          <w:p w14:paraId="0F082F13" w14:textId="74C21A3F" w:rsidR="00517583" w:rsidRPr="00F01347" w:rsidRDefault="00517583" w:rsidP="00517583">
            <w:pPr>
              <w:pStyle w:val="texto0"/>
              <w:spacing w:line="220" w:lineRule="exact"/>
              <w:ind w:firstLine="0"/>
              <w:rPr>
                <w:rFonts w:ascii="Verdana" w:hAnsi="Verdana"/>
                <w:color w:val="000000"/>
                <w:sz w:val="16"/>
                <w:szCs w:val="16"/>
                <w:lang w:val="en-US"/>
              </w:rPr>
            </w:pPr>
            <w:r w:rsidRPr="00F01347">
              <w:rPr>
                <w:rFonts w:ascii="Verdana" w:hAnsi="Verdana"/>
                <w:color w:val="000000"/>
                <w:sz w:val="16"/>
                <w:szCs w:val="16"/>
                <w:lang w:val="en-US"/>
              </w:rPr>
              <w:t>EPA. 2014.</w:t>
            </w:r>
            <w:r w:rsidRPr="00F01347">
              <w:rPr>
                <w:rFonts w:ascii="Verdana" w:hAnsi="Verdana"/>
                <w:sz w:val="16"/>
                <w:szCs w:val="16"/>
                <w:lang w:val="en-US"/>
              </w:rPr>
              <w:t xml:space="preserve"> </w:t>
            </w:r>
            <w:r w:rsidRPr="00F01347">
              <w:rPr>
                <w:rFonts w:ascii="Verdana" w:hAnsi="Verdana"/>
                <w:color w:val="000000"/>
                <w:sz w:val="16"/>
                <w:szCs w:val="16"/>
                <w:lang w:val="en-US"/>
              </w:rPr>
              <w:t>Method 6010D. Inductively coupled plasma—optical emission spectrometry. Rev. 4</w:t>
            </w:r>
          </w:p>
        </w:tc>
      </w:tr>
      <w:tr w:rsidR="00517583" w:rsidRPr="00F01347" w14:paraId="1E16123B" w14:textId="357AAC71" w:rsidTr="008916AC">
        <w:tc>
          <w:tcPr>
            <w:tcW w:w="4675" w:type="dxa"/>
          </w:tcPr>
          <w:p w14:paraId="1D493F82" w14:textId="77777777" w:rsidR="00517583" w:rsidRPr="00F01347" w:rsidRDefault="00517583" w:rsidP="00517583">
            <w:pPr>
              <w:pStyle w:val="texto0"/>
              <w:ind w:firstLine="0"/>
              <w:jc w:val="center"/>
              <w:rPr>
                <w:rFonts w:ascii="Verdana" w:hAnsi="Verdana"/>
                <w:b/>
                <w:sz w:val="16"/>
                <w:szCs w:val="16"/>
              </w:rPr>
            </w:pPr>
            <w:r w:rsidRPr="00F01347">
              <w:rPr>
                <w:rFonts w:ascii="Verdana" w:hAnsi="Verdana"/>
                <w:b/>
                <w:sz w:val="16"/>
                <w:szCs w:val="16"/>
              </w:rPr>
              <w:t>B.5 MÉTODO DE PRUEBA PARA LA DETERMINACIÓN DE ÁCIDOS HALOACÉTICOS (ÁCIDO CLOROACÉTICO (MCAA); ÁCIDO DICLOROACÉTICO (DCAA); ÁCIDO TRICLOROACÉTICO (TCAA)) EN AGUA PARA USO Y CONSUMO HUMANO</w:t>
            </w:r>
          </w:p>
        </w:tc>
        <w:tc>
          <w:tcPr>
            <w:tcW w:w="4675" w:type="dxa"/>
          </w:tcPr>
          <w:p w14:paraId="3E364903" w14:textId="5575E2A3" w:rsidR="00517583" w:rsidRPr="00F01347" w:rsidRDefault="00517583" w:rsidP="00517583">
            <w:pPr>
              <w:pStyle w:val="texto0"/>
              <w:ind w:firstLine="0"/>
              <w:jc w:val="center"/>
              <w:rPr>
                <w:rFonts w:ascii="Verdana" w:hAnsi="Verdana"/>
                <w:b/>
                <w:sz w:val="16"/>
                <w:szCs w:val="16"/>
                <w:lang w:val="en-US"/>
              </w:rPr>
            </w:pPr>
            <w:r w:rsidRPr="00F01347">
              <w:rPr>
                <w:rFonts w:ascii="Verdana" w:hAnsi="Verdana"/>
                <w:b/>
                <w:sz w:val="16"/>
                <w:szCs w:val="16"/>
                <w:lang w:val="en-US"/>
              </w:rPr>
              <w:t>B.5 TEST METHOD FOR THE DETERMINATION OF HALOACETIC ACIDS (CHLOROACETIC ACID (MCAA); DICHLOROACETIC ACID (DCAA); TRICLOROACETIC ACID (TCAA)) IN WATER FOR HUMAN USE AND CONSUMPTION</w:t>
            </w:r>
          </w:p>
        </w:tc>
      </w:tr>
      <w:tr w:rsidR="00517583" w:rsidRPr="00F01347" w14:paraId="7D733C6F" w14:textId="205FEF35" w:rsidTr="008916AC">
        <w:tc>
          <w:tcPr>
            <w:tcW w:w="4675" w:type="dxa"/>
          </w:tcPr>
          <w:p w14:paraId="4FC61728" w14:textId="77777777" w:rsidR="00517583" w:rsidRPr="00F01347" w:rsidRDefault="00517583" w:rsidP="00517583">
            <w:pPr>
              <w:pStyle w:val="texto0"/>
              <w:spacing w:line="209" w:lineRule="exact"/>
              <w:ind w:firstLine="0"/>
              <w:rPr>
                <w:rFonts w:ascii="Verdana" w:hAnsi="Verdana"/>
                <w:b/>
                <w:sz w:val="16"/>
                <w:szCs w:val="16"/>
              </w:rPr>
            </w:pPr>
            <w:r w:rsidRPr="00F01347">
              <w:rPr>
                <w:rFonts w:ascii="Verdana" w:hAnsi="Verdana"/>
                <w:b/>
                <w:sz w:val="16"/>
                <w:szCs w:val="16"/>
              </w:rPr>
              <w:t>B.5.1 Definiciones y Términos</w:t>
            </w:r>
          </w:p>
        </w:tc>
        <w:tc>
          <w:tcPr>
            <w:tcW w:w="4675" w:type="dxa"/>
          </w:tcPr>
          <w:p w14:paraId="1B688E23" w14:textId="26847BE1" w:rsidR="00517583" w:rsidRPr="00F01347" w:rsidRDefault="00517583" w:rsidP="00517583">
            <w:pPr>
              <w:pStyle w:val="texto0"/>
              <w:spacing w:line="209" w:lineRule="exact"/>
              <w:ind w:firstLine="0"/>
              <w:rPr>
                <w:rFonts w:ascii="Verdana" w:hAnsi="Verdana"/>
                <w:b/>
                <w:sz w:val="16"/>
                <w:szCs w:val="16"/>
                <w:lang w:val="en-US"/>
              </w:rPr>
            </w:pPr>
            <w:r w:rsidRPr="00F01347">
              <w:rPr>
                <w:rFonts w:ascii="Verdana" w:hAnsi="Verdana"/>
                <w:b/>
                <w:sz w:val="16"/>
                <w:szCs w:val="16"/>
                <w:lang w:val="en-US"/>
              </w:rPr>
              <w:t>B.5.1 Definitions and Terms</w:t>
            </w:r>
          </w:p>
        </w:tc>
      </w:tr>
      <w:tr w:rsidR="00517583" w:rsidRPr="00F01347" w14:paraId="305E124F" w14:textId="4A0456E1" w:rsidTr="008916AC">
        <w:tc>
          <w:tcPr>
            <w:tcW w:w="4675" w:type="dxa"/>
          </w:tcPr>
          <w:p w14:paraId="48E26589"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b/>
                <w:sz w:val="16"/>
                <w:szCs w:val="16"/>
              </w:rPr>
              <w:t>Blanco de calibración</w:t>
            </w:r>
            <w:r w:rsidRPr="00F01347">
              <w:rPr>
                <w:rFonts w:ascii="Verdana" w:hAnsi="Verdana"/>
                <w:sz w:val="16"/>
                <w:szCs w:val="16"/>
              </w:rPr>
              <w:t>, al volumen de agua grado reactivo que se utiliza para calibrar el instrumento. El blanco de calibración es un estándar cero.</w:t>
            </w:r>
          </w:p>
        </w:tc>
        <w:tc>
          <w:tcPr>
            <w:tcW w:w="4675" w:type="dxa"/>
          </w:tcPr>
          <w:p w14:paraId="2385D6B3" w14:textId="794ABCC0" w:rsidR="00517583" w:rsidRPr="00F01347" w:rsidRDefault="00517583" w:rsidP="00517583">
            <w:pPr>
              <w:pStyle w:val="texto0"/>
              <w:spacing w:line="209" w:lineRule="exact"/>
              <w:ind w:firstLine="0"/>
              <w:rPr>
                <w:rFonts w:ascii="Verdana" w:hAnsi="Verdana"/>
                <w:b/>
                <w:sz w:val="16"/>
                <w:szCs w:val="16"/>
                <w:lang w:val="en-US"/>
              </w:rPr>
            </w:pPr>
            <w:r w:rsidRPr="00F01347">
              <w:rPr>
                <w:rFonts w:ascii="Verdana" w:hAnsi="Verdana"/>
                <w:b/>
                <w:sz w:val="16"/>
                <w:szCs w:val="16"/>
                <w:lang w:val="en-US"/>
              </w:rPr>
              <w:t>Calibration blank</w:t>
            </w:r>
            <w:r w:rsidR="003E1BA9" w:rsidRPr="00F01347">
              <w:rPr>
                <w:rFonts w:ascii="Verdana" w:hAnsi="Verdana"/>
                <w:b/>
                <w:sz w:val="16"/>
                <w:szCs w:val="16"/>
                <w:lang w:val="en-US"/>
              </w:rPr>
              <w:t>,</w:t>
            </w:r>
            <w:r w:rsidRPr="00F01347">
              <w:rPr>
                <w:rFonts w:ascii="Verdana" w:hAnsi="Verdana"/>
                <w:sz w:val="16"/>
                <w:szCs w:val="16"/>
                <w:lang w:val="en-US"/>
              </w:rPr>
              <w:t xml:space="preserve"> the volume of reagent grade water used to calibrate the instrument. The calibration blank is a zero standard.</w:t>
            </w:r>
          </w:p>
        </w:tc>
      </w:tr>
      <w:tr w:rsidR="00517583" w:rsidRPr="00F01347" w14:paraId="78B8ADCB" w14:textId="5243ACC1" w:rsidTr="008916AC">
        <w:tc>
          <w:tcPr>
            <w:tcW w:w="4675" w:type="dxa"/>
          </w:tcPr>
          <w:p w14:paraId="23F13CDD"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b/>
                <w:sz w:val="16"/>
                <w:szCs w:val="16"/>
              </w:rPr>
              <w:t>Blanco de campo</w:t>
            </w:r>
            <w:r w:rsidRPr="00F01347">
              <w:rPr>
                <w:rFonts w:ascii="Verdana" w:hAnsi="Verdana"/>
                <w:sz w:val="16"/>
                <w:szCs w:val="16"/>
              </w:rPr>
              <w:t>, a la alícuota de agua grado reactivo que es colocada en un envase para muestra en el laboratorio, empacada para el muestreo y tratada como una muestra en todos los aspectos, incluyendo el contacto con los equipos de campo y expuesta a las condiciones del sitio de muestreo, almacenaje, preservación y todos los procedimientos analíticos, los cuales pueden incluir filtración. El propósito del blanco de campo es determinar si algún procedimiento de campo o transporte de la muestra ha contaminado la muestra.</w:t>
            </w:r>
          </w:p>
        </w:tc>
        <w:tc>
          <w:tcPr>
            <w:tcW w:w="4675" w:type="dxa"/>
          </w:tcPr>
          <w:p w14:paraId="09473E96" w14:textId="76D6EE2F" w:rsidR="00517583" w:rsidRPr="00F01347" w:rsidRDefault="00517583" w:rsidP="00517583">
            <w:pPr>
              <w:pStyle w:val="texto0"/>
              <w:spacing w:line="209" w:lineRule="exact"/>
              <w:ind w:firstLine="0"/>
              <w:rPr>
                <w:rFonts w:ascii="Verdana" w:hAnsi="Verdana"/>
                <w:b/>
                <w:sz w:val="16"/>
                <w:szCs w:val="16"/>
                <w:lang w:val="en-US"/>
              </w:rPr>
            </w:pPr>
            <w:r w:rsidRPr="00F01347">
              <w:rPr>
                <w:rFonts w:ascii="Verdana" w:hAnsi="Verdana"/>
                <w:b/>
                <w:sz w:val="16"/>
                <w:szCs w:val="16"/>
                <w:lang w:val="en-US"/>
              </w:rPr>
              <w:t>Field blank</w:t>
            </w:r>
            <w:r w:rsidR="003E1BA9" w:rsidRPr="00F01347">
              <w:rPr>
                <w:rFonts w:ascii="Verdana" w:hAnsi="Verdana"/>
                <w:b/>
                <w:sz w:val="16"/>
                <w:szCs w:val="16"/>
                <w:lang w:val="en-US"/>
              </w:rPr>
              <w:t>,</w:t>
            </w:r>
            <w:r w:rsidRPr="00F01347">
              <w:rPr>
                <w:rFonts w:ascii="Verdana" w:hAnsi="Verdana"/>
                <w:sz w:val="16"/>
                <w:szCs w:val="16"/>
                <w:lang w:val="en-US"/>
              </w:rPr>
              <w:t xml:space="preserve"> the aliquot of reagent-grade water that is placed in a sample container in the laboratory, packaged for sampling, and treated as a sample in all respects, including contact with field equipment and exposure to field conditions</w:t>
            </w:r>
            <w:r w:rsidR="0053380E" w:rsidRPr="00F01347">
              <w:rPr>
                <w:rFonts w:ascii="Verdana" w:hAnsi="Verdana"/>
                <w:sz w:val="16"/>
                <w:szCs w:val="16"/>
                <w:lang w:val="en-US"/>
              </w:rPr>
              <w:t xml:space="preserve"> </w:t>
            </w:r>
            <w:r w:rsidRPr="00F01347">
              <w:rPr>
                <w:rFonts w:ascii="Verdana" w:hAnsi="Verdana"/>
                <w:sz w:val="16"/>
                <w:szCs w:val="16"/>
                <w:lang w:val="en-US"/>
              </w:rPr>
              <w:t xml:space="preserve">of the sampling site, storage, </w:t>
            </w:r>
            <w:r w:rsidR="008916AC" w:rsidRPr="00F01347">
              <w:rPr>
                <w:rFonts w:ascii="Verdana" w:hAnsi="Verdana"/>
                <w:sz w:val="16"/>
                <w:szCs w:val="16"/>
                <w:lang w:val="en-US"/>
              </w:rPr>
              <w:t>preservation,</w:t>
            </w:r>
            <w:r w:rsidRPr="00F01347">
              <w:rPr>
                <w:rFonts w:ascii="Verdana" w:hAnsi="Verdana"/>
                <w:sz w:val="16"/>
                <w:szCs w:val="16"/>
                <w:lang w:val="en-US"/>
              </w:rPr>
              <w:t xml:space="preserve"> and all analytical procedures, which may include filtration. The purpose of the field blank is to determine if any field procedures or sample transportation have contaminated the sample.</w:t>
            </w:r>
          </w:p>
        </w:tc>
      </w:tr>
      <w:tr w:rsidR="00517583" w:rsidRPr="00F01347" w14:paraId="1D9AE695" w14:textId="67CA0C3D" w:rsidTr="008916AC">
        <w:tc>
          <w:tcPr>
            <w:tcW w:w="4675" w:type="dxa"/>
          </w:tcPr>
          <w:p w14:paraId="5FF037D6"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b/>
                <w:sz w:val="16"/>
                <w:szCs w:val="16"/>
              </w:rPr>
              <w:t>Blanco de reactivos</w:t>
            </w:r>
            <w:r w:rsidRPr="00F01347">
              <w:rPr>
                <w:rFonts w:ascii="Verdana" w:hAnsi="Verdana"/>
                <w:sz w:val="16"/>
                <w:szCs w:val="16"/>
              </w:rPr>
              <w:t>, es una matriz libre de analitos a la cual se le agregan todos los reactivos en los mismos volúmenes o proporciones usadas en el procesamiento de la muestra. El blanco de reactivos debe llevarse a través de la preparación de la muestra y el procedimiento analítico. El blanco de reactivos se usa para documentar la contaminación resultante del proceso analítico.</w:t>
            </w:r>
          </w:p>
        </w:tc>
        <w:tc>
          <w:tcPr>
            <w:tcW w:w="4675" w:type="dxa"/>
          </w:tcPr>
          <w:p w14:paraId="4D44774C" w14:textId="6F19BA4B" w:rsidR="00517583" w:rsidRPr="00F01347" w:rsidRDefault="00517583" w:rsidP="00517583">
            <w:pPr>
              <w:pStyle w:val="texto0"/>
              <w:spacing w:line="209" w:lineRule="exact"/>
              <w:ind w:firstLine="0"/>
              <w:rPr>
                <w:rFonts w:ascii="Verdana" w:hAnsi="Verdana"/>
                <w:b/>
                <w:sz w:val="16"/>
                <w:szCs w:val="16"/>
                <w:lang w:val="en-US"/>
              </w:rPr>
            </w:pPr>
            <w:r w:rsidRPr="00F01347">
              <w:rPr>
                <w:rFonts w:ascii="Verdana" w:hAnsi="Verdana"/>
                <w:b/>
                <w:sz w:val="16"/>
                <w:szCs w:val="16"/>
                <w:lang w:val="en-US"/>
              </w:rPr>
              <w:t xml:space="preserve">Reagent blank </w:t>
            </w:r>
            <w:r w:rsidRPr="00F01347">
              <w:rPr>
                <w:rFonts w:ascii="Verdana" w:hAnsi="Verdana"/>
                <w:sz w:val="16"/>
                <w:szCs w:val="16"/>
                <w:lang w:val="en-US"/>
              </w:rPr>
              <w:t xml:space="preserve">is a matrix free of analytes to which all reagents are added in the same volumes or proportions used in sample processing. The reagent blank must be </w:t>
            </w:r>
            <w:r w:rsidR="0053380E" w:rsidRPr="00F01347">
              <w:rPr>
                <w:rFonts w:ascii="Verdana" w:hAnsi="Verdana"/>
                <w:sz w:val="16"/>
                <w:szCs w:val="16"/>
                <w:lang w:val="en-US"/>
              </w:rPr>
              <w:t>carried out</w:t>
            </w:r>
            <w:r w:rsidRPr="00F01347">
              <w:rPr>
                <w:rFonts w:ascii="Verdana" w:hAnsi="Verdana"/>
                <w:sz w:val="16"/>
                <w:szCs w:val="16"/>
                <w:lang w:val="en-US"/>
              </w:rPr>
              <w:t xml:space="preserve"> through the sample preparation and analytical procedure. The reagent blank is used to document contamination resulting from the analytical process.</w:t>
            </w:r>
          </w:p>
        </w:tc>
      </w:tr>
      <w:tr w:rsidR="00517583" w:rsidRPr="00F01347" w14:paraId="62DA98DC" w14:textId="76617CE1" w:rsidTr="008916AC">
        <w:tc>
          <w:tcPr>
            <w:tcW w:w="4675" w:type="dxa"/>
          </w:tcPr>
          <w:p w14:paraId="5A8CB3CD"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b/>
                <w:sz w:val="16"/>
                <w:szCs w:val="16"/>
              </w:rPr>
              <w:t>Desviación estándar</w:t>
            </w:r>
            <w:r w:rsidRPr="00F01347">
              <w:rPr>
                <w:rFonts w:ascii="Verdana" w:hAnsi="Verdana"/>
                <w:sz w:val="16"/>
                <w:szCs w:val="16"/>
              </w:rPr>
              <w:t>, a la desviación estándar de la muestra (s), calculada a partir de n-1. No se refiere a la desviación estándar poblacional (</w:t>
            </w:r>
            <w:r w:rsidRPr="00F01347">
              <w:rPr>
                <w:rFonts w:ascii="Verdana" w:hAnsi="Verdana"/>
                <w:sz w:val="16"/>
                <w:szCs w:val="16"/>
              </w:rPr>
              <w:sym w:font="Symbol" w:char="F073"/>
            </w:r>
            <w:r w:rsidRPr="00F01347">
              <w:rPr>
                <w:rFonts w:ascii="Verdana" w:hAnsi="Verdana"/>
                <w:sz w:val="16"/>
                <w:szCs w:val="16"/>
              </w:rPr>
              <w:t>), calculada a partir de n.</w:t>
            </w:r>
          </w:p>
        </w:tc>
        <w:tc>
          <w:tcPr>
            <w:tcW w:w="4675" w:type="dxa"/>
          </w:tcPr>
          <w:p w14:paraId="1500B9FA" w14:textId="6AC6BCE3" w:rsidR="00517583" w:rsidRPr="00F01347" w:rsidRDefault="00517583" w:rsidP="00517583">
            <w:pPr>
              <w:pStyle w:val="texto0"/>
              <w:spacing w:line="209" w:lineRule="exact"/>
              <w:ind w:firstLine="0"/>
              <w:rPr>
                <w:rFonts w:ascii="Verdana" w:hAnsi="Verdana"/>
                <w:b/>
                <w:sz w:val="16"/>
                <w:szCs w:val="16"/>
                <w:lang w:val="en-US"/>
              </w:rPr>
            </w:pPr>
            <w:r w:rsidRPr="00F01347">
              <w:rPr>
                <w:rFonts w:ascii="Verdana" w:hAnsi="Verdana"/>
                <w:b/>
                <w:sz w:val="16"/>
                <w:szCs w:val="16"/>
                <w:lang w:val="en-US"/>
              </w:rPr>
              <w:t>Standard deviation</w:t>
            </w:r>
            <w:r w:rsidR="003E1BA9" w:rsidRPr="00F01347">
              <w:rPr>
                <w:rFonts w:ascii="Verdana" w:hAnsi="Verdana"/>
                <w:b/>
                <w:sz w:val="16"/>
                <w:szCs w:val="16"/>
                <w:lang w:val="en-US"/>
              </w:rPr>
              <w:t>,</w:t>
            </w:r>
            <w:r w:rsidRPr="00F01347">
              <w:rPr>
                <w:rFonts w:ascii="Verdana" w:hAnsi="Verdana"/>
                <w:sz w:val="16"/>
                <w:szCs w:val="16"/>
                <w:lang w:val="en-US"/>
              </w:rPr>
              <w:t xml:space="preserve"> the standard deviation of the sample (s), calculated from n-1. It does not refer to the population standard deviation </w:t>
            </w:r>
            <w:r w:rsidR="00CB209C" w:rsidRPr="00F01347">
              <w:rPr>
                <w:rFonts w:ascii="Verdana" w:hAnsi="Verdana"/>
                <w:sz w:val="16"/>
                <w:szCs w:val="16"/>
                <w:lang w:val="en-US"/>
              </w:rPr>
              <w:t>(</w:t>
            </w:r>
            <w:r w:rsidRPr="00F01347">
              <w:rPr>
                <w:rFonts w:ascii="Verdana" w:hAnsi="Verdana"/>
                <w:sz w:val="16"/>
                <w:szCs w:val="16"/>
                <w:lang w:val="en-US"/>
              </w:rPr>
              <w:sym w:font="Symbol" w:char="F073"/>
            </w:r>
            <w:r w:rsidRPr="00F01347">
              <w:rPr>
                <w:rFonts w:ascii="Verdana" w:hAnsi="Verdana"/>
                <w:sz w:val="16"/>
                <w:szCs w:val="16"/>
                <w:lang w:val="en-US"/>
              </w:rPr>
              <w:t>), calculated from n.</w:t>
            </w:r>
          </w:p>
        </w:tc>
      </w:tr>
      <w:tr w:rsidR="00517583" w:rsidRPr="00F01347" w14:paraId="33B08158" w14:textId="49CF801F" w:rsidTr="008916AC">
        <w:tc>
          <w:tcPr>
            <w:tcW w:w="4675" w:type="dxa"/>
          </w:tcPr>
          <w:p w14:paraId="77272482"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b/>
                <w:sz w:val="16"/>
                <w:szCs w:val="16"/>
              </w:rPr>
              <w:t>Estándar de calibración</w:t>
            </w:r>
            <w:r w:rsidRPr="00F01347">
              <w:rPr>
                <w:rFonts w:ascii="Verdana" w:hAnsi="Verdana"/>
                <w:sz w:val="16"/>
                <w:szCs w:val="16"/>
              </w:rPr>
              <w:t xml:space="preserve">, a la solución preparada de un estándar diluido y/o una solución patrón y utilizada </w:t>
            </w:r>
            <w:r w:rsidRPr="00F01347">
              <w:rPr>
                <w:rFonts w:ascii="Verdana" w:hAnsi="Verdana"/>
                <w:sz w:val="16"/>
                <w:szCs w:val="16"/>
              </w:rPr>
              <w:lastRenderedPageBreak/>
              <w:t>para calibrar la respuesta del instrumento con respecto a la concentración del analito.</w:t>
            </w:r>
          </w:p>
        </w:tc>
        <w:tc>
          <w:tcPr>
            <w:tcW w:w="4675" w:type="dxa"/>
          </w:tcPr>
          <w:p w14:paraId="3872F9DB" w14:textId="2F0B4772" w:rsidR="00517583" w:rsidRPr="00F01347" w:rsidRDefault="00517583" w:rsidP="00517583">
            <w:pPr>
              <w:pStyle w:val="texto0"/>
              <w:spacing w:line="209" w:lineRule="exact"/>
              <w:ind w:firstLine="0"/>
              <w:rPr>
                <w:rFonts w:ascii="Verdana" w:hAnsi="Verdana"/>
                <w:b/>
                <w:sz w:val="16"/>
                <w:szCs w:val="16"/>
                <w:lang w:val="en-US"/>
              </w:rPr>
            </w:pPr>
            <w:r w:rsidRPr="00F01347">
              <w:rPr>
                <w:rFonts w:ascii="Verdana" w:hAnsi="Verdana"/>
                <w:b/>
                <w:sz w:val="16"/>
                <w:szCs w:val="16"/>
                <w:lang w:val="en-US"/>
              </w:rPr>
              <w:lastRenderedPageBreak/>
              <w:t>Calibration standard</w:t>
            </w:r>
            <w:r w:rsidR="003E1BA9" w:rsidRPr="00F01347">
              <w:rPr>
                <w:rFonts w:ascii="Verdana" w:hAnsi="Verdana"/>
                <w:b/>
                <w:sz w:val="16"/>
                <w:szCs w:val="16"/>
                <w:lang w:val="en-US"/>
              </w:rPr>
              <w:t>,</w:t>
            </w:r>
            <w:r w:rsidRPr="00F01347">
              <w:rPr>
                <w:rFonts w:ascii="Verdana" w:hAnsi="Verdana"/>
                <w:sz w:val="16"/>
                <w:szCs w:val="16"/>
                <w:lang w:val="en-US"/>
              </w:rPr>
              <w:t xml:space="preserve"> the solution prepared from a diluted standard and/or a standard solution and used to </w:t>
            </w:r>
            <w:r w:rsidRPr="00F01347">
              <w:rPr>
                <w:rFonts w:ascii="Verdana" w:hAnsi="Verdana"/>
                <w:sz w:val="16"/>
                <w:szCs w:val="16"/>
                <w:lang w:val="en-US"/>
              </w:rPr>
              <w:lastRenderedPageBreak/>
              <w:t>calibrate the response of the instrument with respect to the concentration of the analyte.</w:t>
            </w:r>
          </w:p>
        </w:tc>
      </w:tr>
      <w:tr w:rsidR="00517583" w:rsidRPr="00F01347" w14:paraId="72B87CAA" w14:textId="5B4898EA" w:rsidTr="008916AC">
        <w:tc>
          <w:tcPr>
            <w:tcW w:w="4675" w:type="dxa"/>
          </w:tcPr>
          <w:p w14:paraId="155ED906"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b/>
                <w:sz w:val="16"/>
                <w:szCs w:val="16"/>
              </w:rPr>
              <w:lastRenderedPageBreak/>
              <w:t>Estándar de verificación de la calibración</w:t>
            </w:r>
            <w:r w:rsidRPr="00F01347">
              <w:rPr>
                <w:rFonts w:ascii="Verdana" w:hAnsi="Verdana"/>
                <w:sz w:val="16"/>
                <w:szCs w:val="16"/>
              </w:rPr>
              <w:t>, al punto medio del estándar de calibración que es utilizado para verificar la calibración inicial en el tiempo.</w:t>
            </w:r>
          </w:p>
        </w:tc>
        <w:tc>
          <w:tcPr>
            <w:tcW w:w="4675" w:type="dxa"/>
          </w:tcPr>
          <w:p w14:paraId="0B1F2519" w14:textId="21E44ABA" w:rsidR="00517583" w:rsidRPr="00F01347" w:rsidRDefault="00517583" w:rsidP="00517583">
            <w:pPr>
              <w:pStyle w:val="texto0"/>
              <w:spacing w:line="209" w:lineRule="exact"/>
              <w:ind w:firstLine="0"/>
              <w:rPr>
                <w:rFonts w:ascii="Verdana" w:hAnsi="Verdana"/>
                <w:b/>
                <w:sz w:val="16"/>
                <w:szCs w:val="16"/>
                <w:lang w:val="en-US"/>
              </w:rPr>
            </w:pPr>
            <w:r w:rsidRPr="00F01347">
              <w:rPr>
                <w:rFonts w:ascii="Verdana" w:hAnsi="Verdana"/>
                <w:b/>
                <w:sz w:val="16"/>
                <w:szCs w:val="16"/>
                <w:lang w:val="en-US"/>
              </w:rPr>
              <w:t>Calibration verification standard</w:t>
            </w:r>
            <w:r w:rsidR="003E1BA9" w:rsidRPr="00F01347">
              <w:rPr>
                <w:rFonts w:ascii="Verdana" w:hAnsi="Verdana"/>
                <w:b/>
                <w:sz w:val="16"/>
                <w:szCs w:val="16"/>
                <w:lang w:val="en-US"/>
              </w:rPr>
              <w:t>,</w:t>
            </w:r>
            <w:r w:rsidRPr="00F01347">
              <w:rPr>
                <w:rFonts w:ascii="Verdana" w:hAnsi="Verdana"/>
                <w:sz w:val="16"/>
                <w:szCs w:val="16"/>
                <w:lang w:val="en-US"/>
              </w:rPr>
              <w:t xml:space="preserve"> the midpoint of the calibration standard that is used to verify the initial calibration over time.</w:t>
            </w:r>
          </w:p>
        </w:tc>
      </w:tr>
      <w:tr w:rsidR="00517583" w:rsidRPr="00F01347" w14:paraId="771CD068" w14:textId="28CED7EC" w:rsidTr="008916AC">
        <w:tc>
          <w:tcPr>
            <w:tcW w:w="4675" w:type="dxa"/>
          </w:tcPr>
          <w:p w14:paraId="2A937C85"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b/>
                <w:sz w:val="16"/>
                <w:szCs w:val="16"/>
              </w:rPr>
              <w:t>Límite de detección del método (LDM)</w:t>
            </w:r>
            <w:r w:rsidRPr="00F01347">
              <w:rPr>
                <w:rFonts w:ascii="Verdana" w:hAnsi="Verdana"/>
                <w:sz w:val="16"/>
                <w:szCs w:val="16"/>
              </w:rPr>
              <w:t>, a la concentración mínima de un analito que puede identificarse, medirse y reportarse con una confianza del 99% cuando la concentración del analito es mayor a cero.</w:t>
            </w:r>
          </w:p>
        </w:tc>
        <w:tc>
          <w:tcPr>
            <w:tcW w:w="4675" w:type="dxa"/>
          </w:tcPr>
          <w:p w14:paraId="223E4DEE" w14:textId="29532065" w:rsidR="00517583" w:rsidRPr="00F01347" w:rsidRDefault="00517583" w:rsidP="00517583">
            <w:pPr>
              <w:pStyle w:val="texto0"/>
              <w:spacing w:line="209" w:lineRule="exact"/>
              <w:ind w:firstLine="0"/>
              <w:rPr>
                <w:rFonts w:ascii="Verdana" w:hAnsi="Verdana"/>
                <w:b/>
                <w:sz w:val="16"/>
                <w:szCs w:val="16"/>
                <w:lang w:val="en-US"/>
              </w:rPr>
            </w:pPr>
            <w:r w:rsidRPr="00F01347">
              <w:rPr>
                <w:rFonts w:ascii="Verdana" w:hAnsi="Verdana"/>
                <w:b/>
                <w:sz w:val="16"/>
                <w:szCs w:val="16"/>
                <w:lang w:val="en-US"/>
              </w:rPr>
              <w:t>Limit of detection of the method (LD</w:t>
            </w:r>
            <w:r w:rsidR="0053380E" w:rsidRPr="00F01347">
              <w:rPr>
                <w:rFonts w:ascii="Verdana" w:hAnsi="Verdana"/>
                <w:b/>
                <w:sz w:val="16"/>
                <w:szCs w:val="16"/>
                <w:lang w:val="en-US"/>
              </w:rPr>
              <w:t>M</w:t>
            </w:r>
            <w:r w:rsidRPr="00F01347">
              <w:rPr>
                <w:rFonts w:ascii="Verdana" w:hAnsi="Verdana"/>
                <w:b/>
                <w:sz w:val="16"/>
                <w:szCs w:val="16"/>
                <w:lang w:val="en-US"/>
              </w:rPr>
              <w:t>)</w:t>
            </w:r>
            <w:r w:rsidR="003E1BA9" w:rsidRPr="00F01347">
              <w:rPr>
                <w:rFonts w:ascii="Verdana" w:hAnsi="Verdana"/>
                <w:b/>
                <w:sz w:val="16"/>
                <w:szCs w:val="16"/>
                <w:lang w:val="en-US"/>
              </w:rPr>
              <w:t>,</w:t>
            </w:r>
            <w:r w:rsidRPr="00F01347">
              <w:rPr>
                <w:rFonts w:ascii="Verdana" w:hAnsi="Verdana"/>
                <w:sz w:val="16"/>
                <w:szCs w:val="16"/>
                <w:lang w:val="en-US"/>
              </w:rPr>
              <w:t xml:space="preserve"> the minimum concentration of an analyte that can be identified, </w:t>
            </w:r>
            <w:r w:rsidR="0053380E" w:rsidRPr="00F01347">
              <w:rPr>
                <w:rFonts w:ascii="Verdana" w:hAnsi="Verdana"/>
                <w:sz w:val="16"/>
                <w:szCs w:val="16"/>
                <w:lang w:val="en-US"/>
              </w:rPr>
              <w:t>measured,</w:t>
            </w:r>
            <w:r w:rsidRPr="00F01347">
              <w:rPr>
                <w:rFonts w:ascii="Verdana" w:hAnsi="Verdana"/>
                <w:sz w:val="16"/>
                <w:szCs w:val="16"/>
                <w:lang w:val="en-US"/>
              </w:rPr>
              <w:t xml:space="preserve"> and reported with 99% confidence when the concentration of the analyte is greater than zero.</w:t>
            </w:r>
          </w:p>
        </w:tc>
      </w:tr>
      <w:tr w:rsidR="00517583" w:rsidRPr="00F01347" w14:paraId="2C2FF9C0" w14:textId="589543E6" w:rsidTr="008916AC">
        <w:tc>
          <w:tcPr>
            <w:tcW w:w="4675" w:type="dxa"/>
          </w:tcPr>
          <w:p w14:paraId="27741AAC"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b/>
                <w:sz w:val="16"/>
                <w:szCs w:val="16"/>
              </w:rPr>
              <w:t>Límite práctico de cuantificación (LPC)</w:t>
            </w:r>
            <w:r w:rsidRPr="00F01347">
              <w:rPr>
                <w:rFonts w:ascii="Verdana" w:hAnsi="Verdana"/>
                <w:sz w:val="16"/>
                <w:szCs w:val="16"/>
              </w:rPr>
              <w:t>, a la concentración mínima del analito que puede determinarse con un nivel de confianza predeterminado en condiciones rutinarias de operación. Este límite puede establecerse entre 5 a 10 veces el LDM.</w:t>
            </w:r>
          </w:p>
        </w:tc>
        <w:tc>
          <w:tcPr>
            <w:tcW w:w="4675" w:type="dxa"/>
          </w:tcPr>
          <w:p w14:paraId="715AB4D5" w14:textId="31F81723" w:rsidR="00517583" w:rsidRPr="00F01347" w:rsidRDefault="00517583" w:rsidP="00517583">
            <w:pPr>
              <w:pStyle w:val="texto0"/>
              <w:spacing w:line="209" w:lineRule="exact"/>
              <w:ind w:firstLine="0"/>
              <w:rPr>
                <w:rFonts w:ascii="Verdana" w:hAnsi="Verdana"/>
                <w:b/>
                <w:sz w:val="16"/>
                <w:szCs w:val="16"/>
                <w:lang w:val="en-US"/>
              </w:rPr>
            </w:pPr>
            <w:r w:rsidRPr="00F01347">
              <w:rPr>
                <w:rFonts w:ascii="Verdana" w:hAnsi="Verdana"/>
                <w:b/>
                <w:sz w:val="16"/>
                <w:szCs w:val="16"/>
                <w:lang w:val="en-US"/>
              </w:rPr>
              <w:t>Practical limit of quantification (LPC)</w:t>
            </w:r>
            <w:r w:rsidR="003E1BA9" w:rsidRPr="00F01347">
              <w:rPr>
                <w:rFonts w:ascii="Verdana" w:hAnsi="Verdana"/>
                <w:b/>
                <w:sz w:val="16"/>
                <w:szCs w:val="16"/>
                <w:lang w:val="en-US"/>
              </w:rPr>
              <w:t>,</w:t>
            </w:r>
            <w:r w:rsidRPr="00F01347">
              <w:rPr>
                <w:rFonts w:ascii="Verdana" w:hAnsi="Verdana"/>
                <w:sz w:val="16"/>
                <w:szCs w:val="16"/>
                <w:lang w:val="en-US"/>
              </w:rPr>
              <w:t xml:space="preserve"> the minimum concentration of the analyte that can be determined with a predetermined level of confidence under routine operating conditions. This limit can be set between 5 to 10 times the </w:t>
            </w:r>
            <w:r w:rsidR="009F384B">
              <w:rPr>
                <w:rFonts w:ascii="Verdana" w:hAnsi="Verdana"/>
                <w:sz w:val="16"/>
                <w:szCs w:val="16"/>
                <w:lang w:val="en-US"/>
              </w:rPr>
              <w:t>LDM</w:t>
            </w:r>
            <w:r w:rsidRPr="00F01347">
              <w:rPr>
                <w:rFonts w:ascii="Verdana" w:hAnsi="Verdana"/>
                <w:sz w:val="16"/>
                <w:szCs w:val="16"/>
                <w:lang w:val="en-US"/>
              </w:rPr>
              <w:t>.</w:t>
            </w:r>
          </w:p>
        </w:tc>
      </w:tr>
      <w:tr w:rsidR="00517583" w:rsidRPr="00F01347" w14:paraId="05CF8AE8" w14:textId="7354985F" w:rsidTr="008916AC">
        <w:tc>
          <w:tcPr>
            <w:tcW w:w="4675" w:type="dxa"/>
          </w:tcPr>
          <w:p w14:paraId="478CF63E"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b/>
                <w:sz w:val="16"/>
                <w:szCs w:val="16"/>
              </w:rPr>
              <w:t>Matriz adicionada (MA) y Matriz adicionada duplicada (MAD)</w:t>
            </w:r>
            <w:r w:rsidRPr="00F01347">
              <w:rPr>
                <w:rFonts w:ascii="Verdana" w:hAnsi="Verdana"/>
                <w:sz w:val="16"/>
                <w:szCs w:val="16"/>
              </w:rPr>
              <w:t>, a la alícuota de una muestra ambiental para la cual cantidades conocidas de los avalitos del método son añadidas en el laboratorio. Las MA y MAD son analizados exactamente como una muestra. Su propósito es la cuantificación del sesgo y la precisión causada por la matriz de la muestra. Las concentraciones bases de los analitos en la matriz de la muestra debe determinarse en una alícuota separada y los valores medidos en las MA y MAD corregidas con las concentraciones base.</w:t>
            </w:r>
          </w:p>
        </w:tc>
        <w:tc>
          <w:tcPr>
            <w:tcW w:w="4675" w:type="dxa"/>
          </w:tcPr>
          <w:p w14:paraId="0F666C53" w14:textId="3B41345A" w:rsidR="00517583" w:rsidRPr="00F01347" w:rsidRDefault="00517583" w:rsidP="00517583">
            <w:pPr>
              <w:pStyle w:val="texto0"/>
              <w:spacing w:line="209" w:lineRule="exact"/>
              <w:ind w:firstLine="0"/>
              <w:rPr>
                <w:rFonts w:ascii="Verdana" w:hAnsi="Verdana"/>
                <w:b/>
                <w:sz w:val="16"/>
                <w:szCs w:val="16"/>
                <w:lang w:val="en-US"/>
              </w:rPr>
            </w:pPr>
            <w:r w:rsidRPr="00F01347">
              <w:rPr>
                <w:rFonts w:ascii="Verdana" w:hAnsi="Verdana"/>
                <w:b/>
                <w:sz w:val="16"/>
                <w:szCs w:val="16"/>
                <w:lang w:val="en-US"/>
              </w:rPr>
              <w:t>Matrix Added (MA) and Matrix Added Duplicate (MAD)</w:t>
            </w:r>
            <w:r w:rsidR="003E1BA9" w:rsidRPr="00F01347">
              <w:rPr>
                <w:rFonts w:ascii="Verdana" w:hAnsi="Verdana"/>
                <w:b/>
                <w:sz w:val="16"/>
                <w:szCs w:val="16"/>
                <w:lang w:val="en-US"/>
              </w:rPr>
              <w:t>,</w:t>
            </w:r>
            <w:r w:rsidRPr="00F01347">
              <w:rPr>
                <w:rFonts w:ascii="Verdana" w:hAnsi="Verdana"/>
                <w:sz w:val="16"/>
                <w:szCs w:val="16"/>
                <w:lang w:val="en-US"/>
              </w:rPr>
              <w:t xml:space="preserve"> to the aliquot of an environmental sample to which known quantities of the method's </w:t>
            </w:r>
            <w:proofErr w:type="spellStart"/>
            <w:r w:rsidRPr="00F01347">
              <w:rPr>
                <w:rFonts w:ascii="Verdana" w:hAnsi="Verdana"/>
                <w:sz w:val="16"/>
                <w:szCs w:val="16"/>
                <w:lang w:val="en-US"/>
              </w:rPr>
              <w:t>avalites</w:t>
            </w:r>
            <w:proofErr w:type="spellEnd"/>
            <w:r w:rsidRPr="00F01347">
              <w:rPr>
                <w:rFonts w:ascii="Verdana" w:hAnsi="Verdana"/>
                <w:sz w:val="16"/>
                <w:szCs w:val="16"/>
                <w:lang w:val="en-US"/>
              </w:rPr>
              <w:t xml:space="preserve"> are added in the laboratory. The MA and MAD are analyzed exactly as a sample. Its purpose is the quantification of the bias and precision caused by the sample matrix. The base concentrations of the analytes in the sample matrix should be determined in a separate aliquot and the values measured in the MA and MAD corrected with the base concentrations.</w:t>
            </w:r>
          </w:p>
        </w:tc>
      </w:tr>
      <w:tr w:rsidR="00517583" w:rsidRPr="00F01347" w14:paraId="48BEB86E" w14:textId="7214CE5A" w:rsidTr="008916AC">
        <w:tc>
          <w:tcPr>
            <w:tcW w:w="4675" w:type="dxa"/>
          </w:tcPr>
          <w:p w14:paraId="0610ACB8"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b/>
                <w:sz w:val="16"/>
                <w:szCs w:val="16"/>
              </w:rPr>
              <w:t>Muestra de control de calidad (MCC)</w:t>
            </w:r>
            <w:r w:rsidRPr="00F01347">
              <w:rPr>
                <w:rFonts w:ascii="Verdana" w:hAnsi="Verdana"/>
                <w:sz w:val="16"/>
                <w:szCs w:val="16"/>
              </w:rPr>
              <w:t>, a la muestra sintética que contiene todos o un subgrupo de los analitos de interés del método a una concentración conocida. La MCC se obtiene de una fuente externa al laboratorio o es preparada de una fuente diferente de los estándares de la fuente de los estándares de calibración. Se usa para revisar el desempeño del laboratorio con materiales de prueba preparado externamente a los procesos normales de preparación.</w:t>
            </w:r>
          </w:p>
        </w:tc>
        <w:tc>
          <w:tcPr>
            <w:tcW w:w="4675" w:type="dxa"/>
          </w:tcPr>
          <w:p w14:paraId="233D500D" w14:textId="51B06F94" w:rsidR="00517583" w:rsidRPr="00F01347" w:rsidRDefault="00517583" w:rsidP="00517583">
            <w:pPr>
              <w:pStyle w:val="texto0"/>
              <w:spacing w:line="209" w:lineRule="exact"/>
              <w:ind w:firstLine="0"/>
              <w:rPr>
                <w:rFonts w:ascii="Verdana" w:hAnsi="Verdana"/>
                <w:b/>
                <w:sz w:val="16"/>
                <w:szCs w:val="16"/>
                <w:lang w:val="en-US"/>
              </w:rPr>
            </w:pPr>
            <w:r w:rsidRPr="00F01347">
              <w:rPr>
                <w:rFonts w:ascii="Verdana" w:hAnsi="Verdana"/>
                <w:b/>
                <w:sz w:val="16"/>
                <w:szCs w:val="16"/>
                <w:lang w:val="en-US"/>
              </w:rPr>
              <w:t>Quality control sample (MCC)</w:t>
            </w:r>
            <w:r w:rsidR="003E1BA9" w:rsidRPr="00F01347">
              <w:rPr>
                <w:rFonts w:ascii="Verdana" w:hAnsi="Verdana"/>
                <w:b/>
                <w:sz w:val="16"/>
                <w:szCs w:val="16"/>
                <w:lang w:val="en-US"/>
              </w:rPr>
              <w:t>,</w:t>
            </w:r>
            <w:r w:rsidRPr="00F01347">
              <w:rPr>
                <w:rFonts w:ascii="Verdana" w:hAnsi="Verdana"/>
                <w:sz w:val="16"/>
                <w:szCs w:val="16"/>
                <w:lang w:val="en-US"/>
              </w:rPr>
              <w:t xml:space="preserve"> the synthetic sample that contains all or a subgroup of the analytes of interest of the method at a known concentration. The MCC is obtained from a source outside the laboratory or is prepared from a source other than the source of the calibration standards. It is used to review laboratory performance with test materials prepared externally to normal preparation processes.</w:t>
            </w:r>
          </w:p>
        </w:tc>
      </w:tr>
      <w:tr w:rsidR="00517583" w:rsidRPr="00F01347" w14:paraId="01F10FB1" w14:textId="7BA80C47" w:rsidTr="008916AC">
        <w:tc>
          <w:tcPr>
            <w:tcW w:w="4675" w:type="dxa"/>
          </w:tcPr>
          <w:p w14:paraId="57B62688"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b/>
                <w:sz w:val="16"/>
                <w:szCs w:val="16"/>
              </w:rPr>
              <w:t>Rango de trabajo</w:t>
            </w:r>
            <w:r w:rsidRPr="00F01347">
              <w:rPr>
                <w:rFonts w:ascii="Verdana" w:hAnsi="Verdana"/>
                <w:sz w:val="16"/>
                <w:szCs w:val="16"/>
              </w:rPr>
              <w:t>, al rango de la concentración sobre el cual la respuesta del instrumento para el analito es proporcional.</w:t>
            </w:r>
          </w:p>
        </w:tc>
        <w:tc>
          <w:tcPr>
            <w:tcW w:w="4675" w:type="dxa"/>
          </w:tcPr>
          <w:p w14:paraId="78EBF5A7" w14:textId="62D461C9" w:rsidR="00517583" w:rsidRPr="00F01347" w:rsidRDefault="00517583" w:rsidP="00517583">
            <w:pPr>
              <w:pStyle w:val="texto0"/>
              <w:spacing w:line="209" w:lineRule="exact"/>
              <w:ind w:firstLine="0"/>
              <w:rPr>
                <w:rFonts w:ascii="Verdana" w:hAnsi="Verdana"/>
                <w:b/>
                <w:sz w:val="16"/>
                <w:szCs w:val="16"/>
                <w:lang w:val="en-US"/>
              </w:rPr>
            </w:pPr>
            <w:r w:rsidRPr="00F01347">
              <w:rPr>
                <w:rFonts w:ascii="Verdana" w:hAnsi="Verdana"/>
                <w:b/>
                <w:sz w:val="16"/>
                <w:szCs w:val="16"/>
                <w:lang w:val="en-US"/>
              </w:rPr>
              <w:t>Working range</w:t>
            </w:r>
            <w:r w:rsidR="003E1BA9" w:rsidRPr="00F01347">
              <w:rPr>
                <w:rFonts w:ascii="Verdana" w:hAnsi="Verdana"/>
                <w:b/>
                <w:sz w:val="16"/>
                <w:szCs w:val="16"/>
                <w:lang w:val="en-US"/>
              </w:rPr>
              <w:t>,</w:t>
            </w:r>
            <w:r w:rsidRPr="00F01347">
              <w:rPr>
                <w:rFonts w:ascii="Verdana" w:hAnsi="Verdana"/>
                <w:sz w:val="16"/>
                <w:szCs w:val="16"/>
                <w:lang w:val="en-US"/>
              </w:rPr>
              <w:t xml:space="preserve"> the concentration range over which the response of the instrument for the analyte is proportional.</w:t>
            </w:r>
          </w:p>
        </w:tc>
      </w:tr>
      <w:tr w:rsidR="00517583" w:rsidRPr="00F01347" w14:paraId="7C90E4EF" w14:textId="2D1B815D" w:rsidTr="008916AC">
        <w:tc>
          <w:tcPr>
            <w:tcW w:w="4675" w:type="dxa"/>
          </w:tcPr>
          <w:p w14:paraId="17F3BC70" w14:textId="77777777" w:rsidR="00517583" w:rsidRPr="00F01347" w:rsidRDefault="00517583" w:rsidP="00517583">
            <w:pPr>
              <w:pStyle w:val="texto0"/>
              <w:spacing w:line="209" w:lineRule="exact"/>
              <w:ind w:firstLine="0"/>
              <w:rPr>
                <w:rFonts w:ascii="Verdana" w:hAnsi="Verdana"/>
                <w:b/>
                <w:sz w:val="16"/>
                <w:szCs w:val="16"/>
              </w:rPr>
            </w:pPr>
            <w:r w:rsidRPr="00F01347">
              <w:rPr>
                <w:rFonts w:ascii="Verdana" w:hAnsi="Verdana"/>
                <w:b/>
                <w:sz w:val="16"/>
                <w:szCs w:val="16"/>
              </w:rPr>
              <w:t>B.5.2 Símbolos y términos abreviados</w:t>
            </w:r>
          </w:p>
        </w:tc>
        <w:tc>
          <w:tcPr>
            <w:tcW w:w="4675" w:type="dxa"/>
          </w:tcPr>
          <w:p w14:paraId="133E880E" w14:textId="52CC3DE2" w:rsidR="00517583" w:rsidRPr="00F01347" w:rsidRDefault="00517583" w:rsidP="00517583">
            <w:pPr>
              <w:pStyle w:val="texto0"/>
              <w:spacing w:line="209" w:lineRule="exact"/>
              <w:ind w:firstLine="0"/>
              <w:rPr>
                <w:rFonts w:ascii="Verdana" w:hAnsi="Verdana"/>
                <w:b/>
                <w:sz w:val="16"/>
                <w:szCs w:val="16"/>
                <w:lang w:val="en-US"/>
              </w:rPr>
            </w:pPr>
            <w:r w:rsidRPr="00F01347">
              <w:rPr>
                <w:rFonts w:ascii="Verdana" w:hAnsi="Verdana"/>
                <w:b/>
                <w:sz w:val="16"/>
                <w:szCs w:val="16"/>
                <w:lang w:val="en-US"/>
              </w:rPr>
              <w:t>B.5.2 Symbols and abbreviated terms</w:t>
            </w:r>
          </w:p>
        </w:tc>
      </w:tr>
      <w:tr w:rsidR="00517583" w:rsidRPr="00F01347" w14:paraId="1DB0063D" w14:textId="3CD3A9FF" w:rsidTr="008916AC">
        <w:tc>
          <w:tcPr>
            <w:tcW w:w="4675" w:type="dxa"/>
          </w:tcPr>
          <w:p w14:paraId="5DABAA45"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sz w:val="16"/>
                <w:szCs w:val="16"/>
              </w:rPr>
              <w:t xml:space="preserve">CG/DCE </w:t>
            </w:r>
            <w:r w:rsidRPr="00F01347">
              <w:rPr>
                <w:rFonts w:ascii="Verdana" w:hAnsi="Verdana"/>
                <w:sz w:val="16"/>
                <w:szCs w:val="16"/>
              </w:rPr>
              <w:tab/>
              <w:t>cromatografía de gases con captura de electrones</w:t>
            </w:r>
          </w:p>
        </w:tc>
        <w:tc>
          <w:tcPr>
            <w:tcW w:w="4675" w:type="dxa"/>
          </w:tcPr>
          <w:p w14:paraId="1F2D78C6" w14:textId="006EDDA6" w:rsidR="00517583" w:rsidRPr="00F01347" w:rsidRDefault="00517583" w:rsidP="00517583">
            <w:pPr>
              <w:pStyle w:val="texto0"/>
              <w:spacing w:line="209" w:lineRule="exact"/>
              <w:ind w:firstLine="0"/>
              <w:rPr>
                <w:rFonts w:ascii="Verdana" w:hAnsi="Verdana"/>
                <w:sz w:val="16"/>
                <w:szCs w:val="16"/>
                <w:lang w:val="en-US"/>
              </w:rPr>
            </w:pPr>
            <w:r w:rsidRPr="00F01347">
              <w:rPr>
                <w:rFonts w:ascii="Verdana" w:hAnsi="Verdana"/>
                <w:sz w:val="16"/>
                <w:szCs w:val="16"/>
                <w:lang w:val="en-US"/>
              </w:rPr>
              <w:t xml:space="preserve">CG/DCE </w:t>
            </w:r>
            <w:r w:rsidRPr="00F01347">
              <w:rPr>
                <w:rFonts w:ascii="Verdana" w:hAnsi="Verdana"/>
                <w:sz w:val="16"/>
                <w:szCs w:val="16"/>
                <w:lang w:val="en-US"/>
              </w:rPr>
              <w:tab/>
              <w:t>gas chromatography with electron capture</w:t>
            </w:r>
          </w:p>
        </w:tc>
      </w:tr>
      <w:tr w:rsidR="00517583" w:rsidRPr="00F01347" w14:paraId="715E44D2" w14:textId="12839FE8" w:rsidTr="008916AC">
        <w:tc>
          <w:tcPr>
            <w:tcW w:w="4675" w:type="dxa"/>
          </w:tcPr>
          <w:p w14:paraId="04EC1E97"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sz w:val="16"/>
                <w:szCs w:val="16"/>
              </w:rPr>
              <w:t>DCAA</w:t>
            </w:r>
            <w:r w:rsidRPr="00F01347">
              <w:rPr>
                <w:rFonts w:ascii="Verdana" w:hAnsi="Verdana"/>
                <w:sz w:val="16"/>
                <w:szCs w:val="16"/>
              </w:rPr>
              <w:tab/>
              <w:t xml:space="preserve">ácido </w:t>
            </w:r>
            <w:proofErr w:type="spellStart"/>
            <w:r w:rsidRPr="00F01347">
              <w:rPr>
                <w:rFonts w:ascii="Verdana" w:hAnsi="Verdana"/>
                <w:sz w:val="16"/>
                <w:szCs w:val="16"/>
              </w:rPr>
              <w:t>dicloroacético</w:t>
            </w:r>
            <w:proofErr w:type="spellEnd"/>
          </w:p>
        </w:tc>
        <w:tc>
          <w:tcPr>
            <w:tcW w:w="4675" w:type="dxa"/>
          </w:tcPr>
          <w:p w14:paraId="5E9A5189" w14:textId="3839D4EA" w:rsidR="00517583" w:rsidRPr="00F01347" w:rsidRDefault="00517583" w:rsidP="00517583">
            <w:pPr>
              <w:pStyle w:val="texto0"/>
              <w:spacing w:line="209" w:lineRule="exact"/>
              <w:ind w:firstLine="0"/>
              <w:rPr>
                <w:rFonts w:ascii="Verdana" w:hAnsi="Verdana"/>
                <w:sz w:val="16"/>
                <w:szCs w:val="16"/>
                <w:lang w:val="en-US"/>
              </w:rPr>
            </w:pPr>
            <w:r w:rsidRPr="00F01347">
              <w:rPr>
                <w:rFonts w:ascii="Verdana" w:hAnsi="Verdana"/>
                <w:sz w:val="16"/>
                <w:szCs w:val="16"/>
                <w:lang w:val="en-US"/>
              </w:rPr>
              <w:t xml:space="preserve">DCAA </w:t>
            </w:r>
            <w:r w:rsidRPr="00F01347">
              <w:rPr>
                <w:rFonts w:ascii="Verdana" w:hAnsi="Verdana"/>
                <w:sz w:val="16"/>
                <w:szCs w:val="16"/>
                <w:lang w:val="en-US"/>
              </w:rPr>
              <w:tab/>
              <w:t>dichloroacetic acid</w:t>
            </w:r>
          </w:p>
        </w:tc>
      </w:tr>
      <w:tr w:rsidR="00517583" w:rsidRPr="00F01347" w14:paraId="66CE0374" w14:textId="1D9D2F08" w:rsidTr="008916AC">
        <w:tc>
          <w:tcPr>
            <w:tcW w:w="4675" w:type="dxa"/>
          </w:tcPr>
          <w:p w14:paraId="48830E72"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sz w:val="16"/>
                <w:szCs w:val="16"/>
              </w:rPr>
              <w:t>DPR</w:t>
            </w:r>
            <w:r w:rsidRPr="00F01347">
              <w:rPr>
                <w:rFonts w:ascii="Verdana" w:hAnsi="Verdana"/>
                <w:sz w:val="16"/>
                <w:szCs w:val="16"/>
              </w:rPr>
              <w:tab/>
              <w:t>diferencia porcentual relativa</w:t>
            </w:r>
          </w:p>
        </w:tc>
        <w:tc>
          <w:tcPr>
            <w:tcW w:w="4675" w:type="dxa"/>
          </w:tcPr>
          <w:p w14:paraId="32221542" w14:textId="1DA9E3E9" w:rsidR="00517583" w:rsidRPr="00F01347" w:rsidRDefault="00517583" w:rsidP="00517583">
            <w:pPr>
              <w:pStyle w:val="texto0"/>
              <w:spacing w:line="209" w:lineRule="exact"/>
              <w:ind w:firstLine="0"/>
              <w:rPr>
                <w:rFonts w:ascii="Verdana" w:hAnsi="Verdana"/>
                <w:sz w:val="16"/>
                <w:szCs w:val="16"/>
                <w:lang w:val="en-US"/>
              </w:rPr>
            </w:pPr>
            <w:r w:rsidRPr="00F01347">
              <w:rPr>
                <w:rFonts w:ascii="Verdana" w:hAnsi="Verdana"/>
                <w:sz w:val="16"/>
                <w:szCs w:val="16"/>
                <w:lang w:val="en-US"/>
              </w:rPr>
              <w:t xml:space="preserve">DPR </w:t>
            </w:r>
            <w:r w:rsidRPr="00F01347">
              <w:rPr>
                <w:rFonts w:ascii="Verdana" w:hAnsi="Verdana"/>
                <w:sz w:val="16"/>
                <w:szCs w:val="16"/>
                <w:lang w:val="en-US"/>
              </w:rPr>
              <w:tab/>
              <w:t>relative percentage difference</w:t>
            </w:r>
          </w:p>
        </w:tc>
      </w:tr>
      <w:tr w:rsidR="00517583" w:rsidRPr="00F01347" w14:paraId="015CBC8A" w14:textId="4A5635F1" w:rsidTr="008916AC">
        <w:tc>
          <w:tcPr>
            <w:tcW w:w="4675" w:type="dxa"/>
          </w:tcPr>
          <w:p w14:paraId="08676365"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sz w:val="16"/>
                <w:szCs w:val="16"/>
              </w:rPr>
              <w:t>%D</w:t>
            </w:r>
            <w:r w:rsidRPr="00F01347">
              <w:rPr>
                <w:rFonts w:ascii="Verdana" w:hAnsi="Verdana"/>
                <w:sz w:val="16"/>
                <w:szCs w:val="16"/>
              </w:rPr>
              <w:tab/>
              <w:t>diferencia porcentual</w:t>
            </w:r>
          </w:p>
        </w:tc>
        <w:tc>
          <w:tcPr>
            <w:tcW w:w="4675" w:type="dxa"/>
          </w:tcPr>
          <w:p w14:paraId="68604AF9" w14:textId="19992ADA" w:rsidR="00517583" w:rsidRPr="00F01347" w:rsidRDefault="00517583" w:rsidP="00517583">
            <w:pPr>
              <w:pStyle w:val="texto0"/>
              <w:spacing w:line="209" w:lineRule="exact"/>
              <w:ind w:firstLine="0"/>
              <w:rPr>
                <w:rFonts w:ascii="Verdana" w:hAnsi="Verdana"/>
                <w:sz w:val="16"/>
                <w:szCs w:val="16"/>
                <w:lang w:val="en-US"/>
              </w:rPr>
            </w:pPr>
            <w:r w:rsidRPr="00F01347">
              <w:rPr>
                <w:rFonts w:ascii="Verdana" w:hAnsi="Verdana"/>
                <w:sz w:val="16"/>
                <w:szCs w:val="16"/>
                <w:lang w:val="en-US"/>
              </w:rPr>
              <w:t xml:space="preserve">%D </w:t>
            </w:r>
            <w:r w:rsidRPr="00F01347">
              <w:rPr>
                <w:rFonts w:ascii="Verdana" w:hAnsi="Verdana"/>
                <w:sz w:val="16"/>
                <w:szCs w:val="16"/>
                <w:lang w:val="en-US"/>
              </w:rPr>
              <w:tab/>
              <w:t>percentage difference</w:t>
            </w:r>
          </w:p>
        </w:tc>
      </w:tr>
      <w:tr w:rsidR="00517583" w:rsidRPr="00F01347" w14:paraId="342F8EE9" w14:textId="4E856FF1" w:rsidTr="008916AC">
        <w:tc>
          <w:tcPr>
            <w:tcW w:w="4675" w:type="dxa"/>
          </w:tcPr>
          <w:p w14:paraId="5DB99900"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sz w:val="16"/>
                <w:szCs w:val="16"/>
              </w:rPr>
              <w:t xml:space="preserve">LDM </w:t>
            </w:r>
            <w:r w:rsidRPr="00F01347">
              <w:rPr>
                <w:rFonts w:ascii="Verdana" w:hAnsi="Verdana"/>
                <w:sz w:val="16"/>
                <w:szCs w:val="16"/>
              </w:rPr>
              <w:tab/>
              <w:t>límite de detección del método</w:t>
            </w:r>
          </w:p>
        </w:tc>
        <w:tc>
          <w:tcPr>
            <w:tcW w:w="4675" w:type="dxa"/>
          </w:tcPr>
          <w:p w14:paraId="70243CC0" w14:textId="2D7FE678" w:rsidR="00517583" w:rsidRPr="00F01347" w:rsidRDefault="009F384B" w:rsidP="00517583">
            <w:pPr>
              <w:pStyle w:val="texto0"/>
              <w:spacing w:line="209" w:lineRule="exact"/>
              <w:ind w:firstLine="0"/>
              <w:rPr>
                <w:rFonts w:ascii="Verdana" w:hAnsi="Verdana"/>
                <w:sz w:val="16"/>
                <w:szCs w:val="16"/>
                <w:lang w:val="en-US"/>
              </w:rPr>
            </w:pPr>
            <w:r>
              <w:rPr>
                <w:rFonts w:ascii="Verdana" w:hAnsi="Verdana"/>
                <w:sz w:val="16"/>
                <w:szCs w:val="16"/>
                <w:lang w:val="en-US"/>
              </w:rPr>
              <w:t>LDM</w:t>
            </w:r>
            <w:r w:rsidR="00517583" w:rsidRPr="00F01347">
              <w:rPr>
                <w:rFonts w:ascii="Verdana" w:hAnsi="Verdana"/>
                <w:sz w:val="16"/>
                <w:szCs w:val="16"/>
                <w:lang w:val="en-US"/>
              </w:rPr>
              <w:t xml:space="preserve"> </w:t>
            </w:r>
            <w:r w:rsidR="00517583" w:rsidRPr="00F01347">
              <w:rPr>
                <w:rFonts w:ascii="Verdana" w:hAnsi="Verdana"/>
                <w:sz w:val="16"/>
                <w:szCs w:val="16"/>
                <w:lang w:val="en-US"/>
              </w:rPr>
              <w:tab/>
              <w:t>detection limit of the method</w:t>
            </w:r>
          </w:p>
        </w:tc>
      </w:tr>
      <w:tr w:rsidR="00517583" w:rsidRPr="00F01347" w14:paraId="18C1241A" w14:textId="092BCAA7" w:rsidTr="008916AC">
        <w:tc>
          <w:tcPr>
            <w:tcW w:w="4675" w:type="dxa"/>
          </w:tcPr>
          <w:p w14:paraId="1F8A53E4"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sz w:val="16"/>
                <w:szCs w:val="16"/>
              </w:rPr>
              <w:t>LPC</w:t>
            </w:r>
            <w:r w:rsidRPr="00F01347">
              <w:rPr>
                <w:rFonts w:ascii="Verdana" w:hAnsi="Verdana"/>
                <w:sz w:val="16"/>
                <w:szCs w:val="16"/>
              </w:rPr>
              <w:tab/>
              <w:t>límite práctico de cuantificación</w:t>
            </w:r>
          </w:p>
        </w:tc>
        <w:tc>
          <w:tcPr>
            <w:tcW w:w="4675" w:type="dxa"/>
          </w:tcPr>
          <w:p w14:paraId="700A292E" w14:textId="3C82F982" w:rsidR="00517583" w:rsidRPr="00F01347" w:rsidRDefault="00517583" w:rsidP="00517583">
            <w:pPr>
              <w:pStyle w:val="texto0"/>
              <w:spacing w:line="209" w:lineRule="exact"/>
              <w:ind w:firstLine="0"/>
              <w:rPr>
                <w:rFonts w:ascii="Verdana" w:hAnsi="Verdana"/>
                <w:sz w:val="16"/>
                <w:szCs w:val="16"/>
                <w:lang w:val="en-US"/>
              </w:rPr>
            </w:pPr>
            <w:r w:rsidRPr="00F01347">
              <w:rPr>
                <w:rFonts w:ascii="Verdana" w:hAnsi="Verdana"/>
                <w:sz w:val="16"/>
                <w:szCs w:val="16"/>
                <w:lang w:val="en-US"/>
              </w:rPr>
              <w:t xml:space="preserve">LPC </w:t>
            </w:r>
            <w:r w:rsidRPr="00F01347">
              <w:rPr>
                <w:rFonts w:ascii="Verdana" w:hAnsi="Verdana"/>
                <w:sz w:val="16"/>
                <w:szCs w:val="16"/>
                <w:lang w:val="en-US"/>
              </w:rPr>
              <w:tab/>
              <w:t>practical limit of quantification</w:t>
            </w:r>
          </w:p>
        </w:tc>
      </w:tr>
      <w:tr w:rsidR="00517583" w:rsidRPr="00F01347" w14:paraId="4C8A4E2E" w14:textId="18BA339B" w:rsidTr="008916AC">
        <w:tc>
          <w:tcPr>
            <w:tcW w:w="4675" w:type="dxa"/>
          </w:tcPr>
          <w:p w14:paraId="4492BDDB"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sz w:val="16"/>
                <w:szCs w:val="16"/>
              </w:rPr>
              <w:t>MA</w:t>
            </w:r>
            <w:r w:rsidRPr="00F01347">
              <w:rPr>
                <w:rFonts w:ascii="Verdana" w:hAnsi="Verdana"/>
                <w:sz w:val="16"/>
                <w:szCs w:val="16"/>
              </w:rPr>
              <w:tab/>
              <w:t>matriz adicionada</w:t>
            </w:r>
          </w:p>
        </w:tc>
        <w:tc>
          <w:tcPr>
            <w:tcW w:w="4675" w:type="dxa"/>
          </w:tcPr>
          <w:p w14:paraId="3A5A8E43" w14:textId="07AAB803" w:rsidR="00517583" w:rsidRPr="00F01347" w:rsidRDefault="00517583" w:rsidP="00517583">
            <w:pPr>
              <w:pStyle w:val="texto0"/>
              <w:spacing w:line="209" w:lineRule="exact"/>
              <w:ind w:firstLine="0"/>
              <w:rPr>
                <w:rFonts w:ascii="Verdana" w:hAnsi="Verdana"/>
                <w:sz w:val="16"/>
                <w:szCs w:val="16"/>
                <w:lang w:val="en-US"/>
              </w:rPr>
            </w:pPr>
            <w:r w:rsidRPr="00F01347">
              <w:rPr>
                <w:rFonts w:ascii="Verdana" w:hAnsi="Verdana"/>
                <w:sz w:val="16"/>
                <w:szCs w:val="16"/>
                <w:lang w:val="en-US"/>
              </w:rPr>
              <w:t xml:space="preserve">MA </w:t>
            </w:r>
            <w:r w:rsidRPr="00F01347">
              <w:rPr>
                <w:rFonts w:ascii="Verdana" w:hAnsi="Verdana"/>
                <w:sz w:val="16"/>
                <w:szCs w:val="16"/>
                <w:lang w:val="en-US"/>
              </w:rPr>
              <w:tab/>
              <w:t>added matrix</w:t>
            </w:r>
          </w:p>
        </w:tc>
      </w:tr>
      <w:tr w:rsidR="00517583" w:rsidRPr="00F01347" w14:paraId="4405CA09" w14:textId="34341078" w:rsidTr="008916AC">
        <w:tc>
          <w:tcPr>
            <w:tcW w:w="4675" w:type="dxa"/>
          </w:tcPr>
          <w:p w14:paraId="70E60975"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sz w:val="16"/>
                <w:szCs w:val="16"/>
              </w:rPr>
              <w:t>MAD</w:t>
            </w:r>
            <w:r w:rsidRPr="00F01347">
              <w:rPr>
                <w:rFonts w:ascii="Verdana" w:hAnsi="Verdana"/>
                <w:sz w:val="16"/>
                <w:szCs w:val="16"/>
              </w:rPr>
              <w:tab/>
              <w:t>matriz adicionada duplicada</w:t>
            </w:r>
          </w:p>
        </w:tc>
        <w:tc>
          <w:tcPr>
            <w:tcW w:w="4675" w:type="dxa"/>
          </w:tcPr>
          <w:p w14:paraId="4C688F41" w14:textId="3B61FF04" w:rsidR="00517583" w:rsidRPr="00F01347" w:rsidRDefault="00517583" w:rsidP="00517583">
            <w:pPr>
              <w:pStyle w:val="texto0"/>
              <w:spacing w:line="209" w:lineRule="exact"/>
              <w:ind w:firstLine="0"/>
              <w:rPr>
                <w:rFonts w:ascii="Verdana" w:hAnsi="Verdana"/>
                <w:sz w:val="16"/>
                <w:szCs w:val="16"/>
                <w:lang w:val="en-US"/>
              </w:rPr>
            </w:pPr>
            <w:r w:rsidRPr="00F01347">
              <w:rPr>
                <w:rFonts w:ascii="Verdana" w:hAnsi="Verdana"/>
                <w:sz w:val="16"/>
                <w:szCs w:val="16"/>
                <w:lang w:val="en-US"/>
              </w:rPr>
              <w:t xml:space="preserve">MAD </w:t>
            </w:r>
            <w:r w:rsidRPr="00F01347">
              <w:rPr>
                <w:rFonts w:ascii="Verdana" w:hAnsi="Verdana"/>
                <w:sz w:val="16"/>
                <w:szCs w:val="16"/>
                <w:lang w:val="en-US"/>
              </w:rPr>
              <w:tab/>
              <w:t>duplicate addition matrix</w:t>
            </w:r>
          </w:p>
        </w:tc>
      </w:tr>
      <w:tr w:rsidR="00517583" w:rsidRPr="00F01347" w14:paraId="6ED82C15" w14:textId="53B772C0" w:rsidTr="008916AC">
        <w:tc>
          <w:tcPr>
            <w:tcW w:w="4675" w:type="dxa"/>
          </w:tcPr>
          <w:p w14:paraId="2D2490EA"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sz w:val="16"/>
                <w:szCs w:val="16"/>
              </w:rPr>
              <w:t>MCAA</w:t>
            </w:r>
            <w:r w:rsidRPr="00F01347">
              <w:rPr>
                <w:rFonts w:ascii="Verdana" w:hAnsi="Verdana"/>
                <w:sz w:val="16"/>
                <w:szCs w:val="16"/>
              </w:rPr>
              <w:tab/>
              <w:t xml:space="preserve">ácido </w:t>
            </w:r>
            <w:proofErr w:type="spellStart"/>
            <w:r w:rsidRPr="00F01347">
              <w:rPr>
                <w:rFonts w:ascii="Verdana" w:hAnsi="Verdana"/>
                <w:sz w:val="16"/>
                <w:szCs w:val="16"/>
              </w:rPr>
              <w:t>cloroacético</w:t>
            </w:r>
            <w:proofErr w:type="spellEnd"/>
          </w:p>
        </w:tc>
        <w:tc>
          <w:tcPr>
            <w:tcW w:w="4675" w:type="dxa"/>
          </w:tcPr>
          <w:p w14:paraId="3FBA0219" w14:textId="39811193" w:rsidR="00517583" w:rsidRPr="00F01347" w:rsidRDefault="00517583" w:rsidP="00517583">
            <w:pPr>
              <w:pStyle w:val="texto0"/>
              <w:spacing w:line="209" w:lineRule="exact"/>
              <w:ind w:firstLine="0"/>
              <w:rPr>
                <w:rFonts w:ascii="Verdana" w:hAnsi="Verdana"/>
                <w:sz w:val="16"/>
                <w:szCs w:val="16"/>
                <w:lang w:val="en-US"/>
              </w:rPr>
            </w:pPr>
            <w:r w:rsidRPr="00F01347">
              <w:rPr>
                <w:rFonts w:ascii="Verdana" w:hAnsi="Verdana"/>
                <w:sz w:val="16"/>
                <w:szCs w:val="16"/>
                <w:lang w:val="en-US"/>
              </w:rPr>
              <w:t xml:space="preserve">MCAA </w:t>
            </w:r>
            <w:r w:rsidRPr="00F01347">
              <w:rPr>
                <w:rFonts w:ascii="Verdana" w:hAnsi="Verdana"/>
                <w:sz w:val="16"/>
                <w:szCs w:val="16"/>
                <w:lang w:val="en-US"/>
              </w:rPr>
              <w:tab/>
              <w:t>chloroacetic acid</w:t>
            </w:r>
          </w:p>
        </w:tc>
      </w:tr>
      <w:tr w:rsidR="00517583" w:rsidRPr="00F01347" w14:paraId="49C479DE" w14:textId="1DF30F46" w:rsidTr="008916AC">
        <w:tc>
          <w:tcPr>
            <w:tcW w:w="4675" w:type="dxa"/>
          </w:tcPr>
          <w:p w14:paraId="762021FA" w14:textId="77777777" w:rsidR="00517583" w:rsidRPr="00F01347" w:rsidRDefault="00517583" w:rsidP="00517583">
            <w:pPr>
              <w:pStyle w:val="texto0"/>
              <w:spacing w:line="209" w:lineRule="exact"/>
              <w:ind w:firstLine="0"/>
              <w:rPr>
                <w:rFonts w:ascii="Verdana" w:hAnsi="Verdana"/>
                <w:sz w:val="16"/>
                <w:szCs w:val="16"/>
              </w:rPr>
            </w:pPr>
            <w:r w:rsidRPr="00F01347">
              <w:rPr>
                <w:rFonts w:ascii="Verdana" w:hAnsi="Verdana"/>
                <w:sz w:val="16"/>
                <w:szCs w:val="16"/>
              </w:rPr>
              <w:t xml:space="preserve">MTBE </w:t>
            </w:r>
            <w:r w:rsidRPr="00F01347">
              <w:rPr>
                <w:rFonts w:ascii="Verdana" w:hAnsi="Verdana"/>
                <w:sz w:val="16"/>
                <w:szCs w:val="16"/>
              </w:rPr>
              <w:tab/>
            </w:r>
            <w:proofErr w:type="spellStart"/>
            <w:r w:rsidRPr="00F01347">
              <w:rPr>
                <w:rFonts w:ascii="Verdana" w:hAnsi="Verdana"/>
                <w:sz w:val="16"/>
                <w:szCs w:val="16"/>
              </w:rPr>
              <w:t>metil</w:t>
            </w:r>
            <w:proofErr w:type="spellEnd"/>
            <w:r w:rsidRPr="00F01347">
              <w:rPr>
                <w:rFonts w:ascii="Verdana" w:hAnsi="Verdana"/>
                <w:sz w:val="16"/>
                <w:szCs w:val="16"/>
              </w:rPr>
              <w:t xml:space="preserve"> </w:t>
            </w:r>
            <w:proofErr w:type="spellStart"/>
            <w:r w:rsidRPr="00F01347">
              <w:rPr>
                <w:rFonts w:ascii="Verdana" w:hAnsi="Verdana"/>
                <w:sz w:val="16"/>
                <w:szCs w:val="16"/>
              </w:rPr>
              <w:t>terbutil</w:t>
            </w:r>
            <w:proofErr w:type="spellEnd"/>
            <w:r w:rsidRPr="00F01347">
              <w:rPr>
                <w:rFonts w:ascii="Verdana" w:hAnsi="Verdana"/>
                <w:sz w:val="16"/>
                <w:szCs w:val="16"/>
              </w:rPr>
              <w:t xml:space="preserve"> éter</w:t>
            </w:r>
          </w:p>
        </w:tc>
        <w:tc>
          <w:tcPr>
            <w:tcW w:w="4675" w:type="dxa"/>
          </w:tcPr>
          <w:p w14:paraId="109DC314" w14:textId="6F6D8025" w:rsidR="00517583" w:rsidRPr="00F01347" w:rsidRDefault="00517583" w:rsidP="00517583">
            <w:pPr>
              <w:pStyle w:val="texto0"/>
              <w:spacing w:line="209" w:lineRule="exact"/>
              <w:ind w:firstLine="0"/>
              <w:rPr>
                <w:rFonts w:ascii="Verdana" w:hAnsi="Verdana"/>
                <w:sz w:val="16"/>
                <w:szCs w:val="16"/>
                <w:lang w:val="en-US"/>
              </w:rPr>
            </w:pPr>
            <w:r w:rsidRPr="00F01347">
              <w:rPr>
                <w:rFonts w:ascii="Verdana" w:hAnsi="Verdana"/>
                <w:sz w:val="16"/>
                <w:szCs w:val="16"/>
                <w:lang w:val="en-US"/>
              </w:rPr>
              <w:t>MTBE</w:t>
            </w:r>
            <w:r w:rsidRPr="00F01347">
              <w:rPr>
                <w:rFonts w:ascii="Verdana" w:hAnsi="Verdana"/>
                <w:sz w:val="16"/>
                <w:szCs w:val="16"/>
                <w:lang w:val="en-US"/>
              </w:rPr>
              <w:tab/>
            </w:r>
            <w:r w:rsidR="00A16F2B" w:rsidRPr="00F01347">
              <w:rPr>
                <w:rFonts w:ascii="Verdana" w:hAnsi="Verdana"/>
                <w:sz w:val="16"/>
                <w:szCs w:val="16"/>
                <w:lang w:val="en-US"/>
              </w:rPr>
              <w:t>Methyl tert-butyl ether</w:t>
            </w:r>
          </w:p>
        </w:tc>
      </w:tr>
      <w:tr w:rsidR="00517583" w:rsidRPr="00F01347" w14:paraId="12AD36EE" w14:textId="2589037C" w:rsidTr="008916AC">
        <w:tc>
          <w:tcPr>
            <w:tcW w:w="4675" w:type="dxa"/>
          </w:tcPr>
          <w:p w14:paraId="118411D8" w14:textId="77777777" w:rsidR="00517583" w:rsidRPr="00F01347" w:rsidRDefault="00517583" w:rsidP="00517583">
            <w:pPr>
              <w:pStyle w:val="texto0"/>
              <w:ind w:firstLine="0"/>
              <w:rPr>
                <w:rFonts w:ascii="Verdana" w:hAnsi="Verdana"/>
                <w:sz w:val="16"/>
                <w:szCs w:val="16"/>
              </w:rPr>
            </w:pPr>
            <w:r w:rsidRPr="00F01347">
              <w:rPr>
                <w:rFonts w:ascii="Verdana" w:hAnsi="Verdana"/>
                <w:sz w:val="16"/>
                <w:szCs w:val="16"/>
              </w:rPr>
              <w:t xml:space="preserve">TCAA </w:t>
            </w:r>
            <w:r w:rsidRPr="00F01347">
              <w:rPr>
                <w:rFonts w:ascii="Verdana" w:hAnsi="Verdana"/>
                <w:sz w:val="16"/>
                <w:szCs w:val="16"/>
              </w:rPr>
              <w:tab/>
              <w:t>ácido tricloroacético</w:t>
            </w:r>
          </w:p>
        </w:tc>
        <w:tc>
          <w:tcPr>
            <w:tcW w:w="4675" w:type="dxa"/>
          </w:tcPr>
          <w:p w14:paraId="1457709C" w14:textId="3F455DA6" w:rsidR="00517583" w:rsidRPr="00F01347" w:rsidRDefault="00517583" w:rsidP="00517583">
            <w:pPr>
              <w:pStyle w:val="texto0"/>
              <w:ind w:firstLine="0"/>
              <w:rPr>
                <w:rFonts w:ascii="Verdana" w:hAnsi="Verdana"/>
                <w:sz w:val="16"/>
                <w:szCs w:val="16"/>
                <w:lang w:val="en-US"/>
              </w:rPr>
            </w:pPr>
            <w:r w:rsidRPr="00F01347">
              <w:rPr>
                <w:rFonts w:ascii="Verdana" w:hAnsi="Verdana"/>
                <w:sz w:val="16"/>
                <w:szCs w:val="16"/>
                <w:lang w:val="en-US"/>
              </w:rPr>
              <w:t xml:space="preserve">TCAA </w:t>
            </w:r>
            <w:r w:rsidRPr="00F01347">
              <w:rPr>
                <w:rFonts w:ascii="Verdana" w:hAnsi="Verdana"/>
                <w:sz w:val="16"/>
                <w:szCs w:val="16"/>
                <w:lang w:val="en-US"/>
              </w:rPr>
              <w:tab/>
              <w:t>trichloroacetic acid</w:t>
            </w:r>
          </w:p>
        </w:tc>
      </w:tr>
      <w:tr w:rsidR="00517583" w:rsidRPr="00F01347" w14:paraId="00736096" w14:textId="71EC3785" w:rsidTr="008916AC">
        <w:tc>
          <w:tcPr>
            <w:tcW w:w="4675" w:type="dxa"/>
          </w:tcPr>
          <w:p w14:paraId="1A21096D" w14:textId="77777777" w:rsidR="00517583" w:rsidRPr="00F01347" w:rsidRDefault="00517583" w:rsidP="00517583">
            <w:pPr>
              <w:pStyle w:val="texto0"/>
              <w:spacing w:line="236" w:lineRule="exact"/>
              <w:ind w:firstLine="0"/>
              <w:rPr>
                <w:rFonts w:ascii="Verdana" w:hAnsi="Verdana"/>
                <w:b/>
                <w:sz w:val="16"/>
                <w:szCs w:val="16"/>
              </w:rPr>
            </w:pPr>
            <w:r w:rsidRPr="00F01347">
              <w:rPr>
                <w:rFonts w:ascii="Verdana" w:hAnsi="Verdana"/>
                <w:b/>
                <w:sz w:val="16"/>
                <w:szCs w:val="16"/>
              </w:rPr>
              <w:t>B.5.3 Principio</w:t>
            </w:r>
          </w:p>
        </w:tc>
        <w:tc>
          <w:tcPr>
            <w:tcW w:w="4675" w:type="dxa"/>
          </w:tcPr>
          <w:p w14:paraId="0E1AE51A" w14:textId="6326864A" w:rsidR="00517583" w:rsidRPr="00F01347" w:rsidRDefault="00517583" w:rsidP="00517583">
            <w:pPr>
              <w:pStyle w:val="texto0"/>
              <w:spacing w:line="236" w:lineRule="exact"/>
              <w:ind w:firstLine="0"/>
              <w:rPr>
                <w:rFonts w:ascii="Verdana" w:hAnsi="Verdana"/>
                <w:b/>
                <w:sz w:val="16"/>
                <w:szCs w:val="16"/>
                <w:lang w:val="en-US"/>
              </w:rPr>
            </w:pPr>
            <w:r w:rsidRPr="00F01347">
              <w:rPr>
                <w:rFonts w:ascii="Verdana" w:hAnsi="Verdana"/>
                <w:b/>
                <w:sz w:val="16"/>
                <w:szCs w:val="16"/>
                <w:lang w:val="en-US"/>
              </w:rPr>
              <w:t>B.5.3 Principle</w:t>
            </w:r>
          </w:p>
        </w:tc>
      </w:tr>
      <w:tr w:rsidR="00517583" w:rsidRPr="00F01347" w14:paraId="561E0BC9" w14:textId="152C373D" w:rsidTr="008916AC">
        <w:tc>
          <w:tcPr>
            <w:tcW w:w="4675" w:type="dxa"/>
          </w:tcPr>
          <w:p w14:paraId="654D00A1" w14:textId="77777777" w:rsidR="00517583" w:rsidRPr="00F01347" w:rsidRDefault="00517583" w:rsidP="00517583">
            <w:pPr>
              <w:pStyle w:val="texto0"/>
              <w:spacing w:line="236" w:lineRule="exact"/>
              <w:ind w:firstLine="0"/>
              <w:rPr>
                <w:rFonts w:ascii="Verdana" w:hAnsi="Verdana"/>
                <w:sz w:val="16"/>
                <w:szCs w:val="16"/>
              </w:rPr>
            </w:pPr>
            <w:r w:rsidRPr="00F01347">
              <w:rPr>
                <w:rFonts w:ascii="Verdana" w:hAnsi="Verdana"/>
                <w:sz w:val="16"/>
                <w:szCs w:val="16"/>
              </w:rPr>
              <w:lastRenderedPageBreak/>
              <w:t xml:space="preserve">Se ajusta el pH a menos de 0.5 unidades de pH a un volumen medido de 40 </w:t>
            </w:r>
            <w:proofErr w:type="spellStart"/>
            <w:r w:rsidRPr="00F01347">
              <w:rPr>
                <w:rFonts w:ascii="Verdana" w:hAnsi="Verdana"/>
                <w:sz w:val="16"/>
                <w:szCs w:val="16"/>
              </w:rPr>
              <w:t>mL</w:t>
            </w:r>
            <w:proofErr w:type="spellEnd"/>
            <w:r w:rsidRPr="00F01347">
              <w:rPr>
                <w:rFonts w:ascii="Verdana" w:hAnsi="Verdana"/>
                <w:sz w:val="16"/>
                <w:szCs w:val="16"/>
              </w:rPr>
              <w:t xml:space="preserve"> de muestra de agua de uso y consumo humano y se extrae con 4mL de </w:t>
            </w:r>
            <w:proofErr w:type="spellStart"/>
            <w:r w:rsidRPr="00F01347">
              <w:rPr>
                <w:rFonts w:ascii="Verdana" w:hAnsi="Verdana"/>
                <w:sz w:val="16"/>
                <w:szCs w:val="16"/>
              </w:rPr>
              <w:t>Metil</w:t>
            </w:r>
            <w:proofErr w:type="spellEnd"/>
            <w:r w:rsidRPr="00F01347">
              <w:rPr>
                <w:rFonts w:ascii="Verdana" w:hAnsi="Verdana"/>
                <w:sz w:val="16"/>
                <w:szCs w:val="16"/>
              </w:rPr>
              <w:t xml:space="preserve"> </w:t>
            </w:r>
            <w:proofErr w:type="spellStart"/>
            <w:r w:rsidRPr="00F01347">
              <w:rPr>
                <w:rFonts w:ascii="Verdana" w:hAnsi="Verdana"/>
                <w:sz w:val="16"/>
                <w:szCs w:val="16"/>
              </w:rPr>
              <w:t>Terbutil</w:t>
            </w:r>
            <w:proofErr w:type="spellEnd"/>
            <w:r w:rsidRPr="00F01347">
              <w:rPr>
                <w:rFonts w:ascii="Verdana" w:hAnsi="Verdana"/>
                <w:sz w:val="16"/>
                <w:szCs w:val="16"/>
              </w:rPr>
              <w:t xml:space="preserve"> Éter (MTBE). Posteriormente se lleva a cabo la metilación con una solución ácida con metanol y calentamiento, el extracto ácido es neutralizado con una solución de bicarbonato de sodio y los analitos de interés son analizados y cuantificados con columna capilar y CG/CDE</w:t>
            </w:r>
          </w:p>
        </w:tc>
        <w:tc>
          <w:tcPr>
            <w:tcW w:w="4675" w:type="dxa"/>
          </w:tcPr>
          <w:p w14:paraId="5C4FD482" w14:textId="0A7944F3" w:rsidR="00517583" w:rsidRPr="00F01347" w:rsidRDefault="00517583" w:rsidP="00517583">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The pH is adjusted to less than 0.5 pH units to a measured volume of 40 mL of water sample for human use and consumption and extracted with 4 mL of </w:t>
            </w:r>
            <w:r w:rsidR="00A16F2B" w:rsidRPr="00F01347">
              <w:rPr>
                <w:rFonts w:ascii="Verdana" w:hAnsi="Verdana"/>
                <w:sz w:val="16"/>
                <w:szCs w:val="16"/>
                <w:lang w:val="en-US"/>
              </w:rPr>
              <w:t>Methyl tert-butyl ether</w:t>
            </w:r>
            <w:r w:rsidRPr="00F01347">
              <w:rPr>
                <w:rFonts w:ascii="Verdana" w:hAnsi="Verdana"/>
                <w:sz w:val="16"/>
                <w:szCs w:val="16"/>
                <w:lang w:val="en-US"/>
              </w:rPr>
              <w:t xml:space="preserve"> (MTBE). Subsequently, methylation is carried out with an acid solution with methanol and heating, the acid extract is neutralized with a sodium bicarbonate solution and the analytes of interest are analyzed and quantified with a capillary column and C</w:t>
            </w:r>
            <w:r w:rsidR="0006497D" w:rsidRPr="00F01347">
              <w:rPr>
                <w:rFonts w:ascii="Verdana" w:hAnsi="Verdana"/>
                <w:sz w:val="16"/>
                <w:szCs w:val="16"/>
                <w:lang w:val="en-US"/>
              </w:rPr>
              <w:t>G</w:t>
            </w:r>
            <w:r w:rsidRPr="00F01347">
              <w:rPr>
                <w:rFonts w:ascii="Verdana" w:hAnsi="Verdana"/>
                <w:sz w:val="16"/>
                <w:szCs w:val="16"/>
                <w:lang w:val="en-US"/>
              </w:rPr>
              <w:t>/CDE.</w:t>
            </w:r>
          </w:p>
        </w:tc>
      </w:tr>
      <w:tr w:rsidR="00517583" w:rsidRPr="00F01347" w14:paraId="5DA84990" w14:textId="13188601" w:rsidTr="008916AC">
        <w:tc>
          <w:tcPr>
            <w:tcW w:w="4675" w:type="dxa"/>
          </w:tcPr>
          <w:p w14:paraId="59B70784" w14:textId="77777777" w:rsidR="00517583" w:rsidRPr="00F01347" w:rsidRDefault="00517583" w:rsidP="00517583">
            <w:pPr>
              <w:pStyle w:val="texto0"/>
              <w:spacing w:line="236" w:lineRule="exact"/>
              <w:ind w:firstLine="0"/>
              <w:rPr>
                <w:rFonts w:ascii="Verdana" w:hAnsi="Verdana"/>
                <w:b/>
                <w:sz w:val="16"/>
                <w:szCs w:val="16"/>
              </w:rPr>
            </w:pPr>
            <w:r w:rsidRPr="00F01347">
              <w:rPr>
                <w:rFonts w:ascii="Verdana" w:hAnsi="Verdana"/>
                <w:b/>
                <w:sz w:val="16"/>
                <w:szCs w:val="16"/>
              </w:rPr>
              <w:t>B.5.4 Alcance y aplicación</w:t>
            </w:r>
          </w:p>
        </w:tc>
        <w:tc>
          <w:tcPr>
            <w:tcW w:w="4675" w:type="dxa"/>
          </w:tcPr>
          <w:p w14:paraId="2ED9A2BD" w14:textId="470C3555" w:rsidR="00517583" w:rsidRPr="00F01347" w:rsidRDefault="00517583" w:rsidP="00517583">
            <w:pPr>
              <w:pStyle w:val="texto0"/>
              <w:spacing w:line="236" w:lineRule="exact"/>
              <w:ind w:firstLine="0"/>
              <w:rPr>
                <w:rFonts w:ascii="Verdana" w:hAnsi="Verdana"/>
                <w:b/>
                <w:sz w:val="16"/>
                <w:szCs w:val="16"/>
                <w:lang w:val="en-US"/>
              </w:rPr>
            </w:pPr>
            <w:r w:rsidRPr="00F01347">
              <w:rPr>
                <w:rFonts w:ascii="Verdana" w:hAnsi="Verdana"/>
                <w:b/>
                <w:sz w:val="16"/>
                <w:szCs w:val="16"/>
                <w:lang w:val="en-US"/>
              </w:rPr>
              <w:t>B.5.4 Scope and application</w:t>
            </w:r>
          </w:p>
        </w:tc>
      </w:tr>
      <w:tr w:rsidR="00517583" w:rsidRPr="00F01347" w14:paraId="54056D46" w14:textId="5CC65397" w:rsidTr="008916AC">
        <w:tc>
          <w:tcPr>
            <w:tcW w:w="4675" w:type="dxa"/>
          </w:tcPr>
          <w:p w14:paraId="1C1B07C2" w14:textId="77777777" w:rsidR="00517583" w:rsidRPr="00F01347" w:rsidRDefault="00517583" w:rsidP="00517583">
            <w:pPr>
              <w:pStyle w:val="texto0"/>
              <w:spacing w:line="236" w:lineRule="exact"/>
              <w:ind w:firstLine="0"/>
              <w:rPr>
                <w:rFonts w:ascii="Verdana" w:hAnsi="Verdana"/>
                <w:sz w:val="16"/>
                <w:szCs w:val="16"/>
              </w:rPr>
            </w:pPr>
            <w:r w:rsidRPr="00F01347">
              <w:rPr>
                <w:rFonts w:ascii="Verdana" w:hAnsi="Verdana"/>
                <w:sz w:val="16"/>
                <w:szCs w:val="16"/>
              </w:rPr>
              <w:t xml:space="preserve">El método descrito es un procedimiento para la determinación de ácidos </w:t>
            </w:r>
            <w:proofErr w:type="spellStart"/>
            <w:r w:rsidRPr="00F01347">
              <w:rPr>
                <w:rFonts w:ascii="Verdana" w:hAnsi="Verdana"/>
                <w:sz w:val="16"/>
                <w:szCs w:val="16"/>
              </w:rPr>
              <w:t>haloacéticos</w:t>
            </w:r>
            <w:proofErr w:type="spellEnd"/>
            <w:r w:rsidRPr="00F01347">
              <w:rPr>
                <w:rFonts w:ascii="Verdana" w:hAnsi="Verdana"/>
                <w:sz w:val="16"/>
                <w:szCs w:val="16"/>
              </w:rPr>
              <w:t xml:space="preserve"> (ácido </w:t>
            </w:r>
            <w:proofErr w:type="spellStart"/>
            <w:r w:rsidRPr="00F01347">
              <w:rPr>
                <w:rFonts w:ascii="Verdana" w:hAnsi="Verdana"/>
                <w:sz w:val="16"/>
                <w:szCs w:val="16"/>
              </w:rPr>
              <w:t>cloroacético</w:t>
            </w:r>
            <w:proofErr w:type="spellEnd"/>
            <w:r w:rsidRPr="00F01347">
              <w:rPr>
                <w:rFonts w:ascii="Verdana" w:hAnsi="Verdana"/>
                <w:sz w:val="16"/>
                <w:szCs w:val="16"/>
              </w:rPr>
              <w:t xml:space="preserve"> (MCAA); ácido </w:t>
            </w:r>
            <w:proofErr w:type="spellStart"/>
            <w:r w:rsidRPr="00F01347">
              <w:rPr>
                <w:rFonts w:ascii="Verdana" w:hAnsi="Verdana"/>
                <w:sz w:val="16"/>
                <w:szCs w:val="16"/>
              </w:rPr>
              <w:t>dicloroacético</w:t>
            </w:r>
            <w:proofErr w:type="spellEnd"/>
            <w:r w:rsidRPr="00F01347">
              <w:rPr>
                <w:rFonts w:ascii="Verdana" w:hAnsi="Verdana"/>
                <w:sz w:val="16"/>
                <w:szCs w:val="16"/>
              </w:rPr>
              <w:t xml:space="preserve"> (DCAA); ácido tricloroacético (TCAA) en agua de uso y consumo humano proveniente de sistemas de abastecimiento por cromatografía de gases con captura de electrones (CG/DCE).</w:t>
            </w:r>
          </w:p>
        </w:tc>
        <w:tc>
          <w:tcPr>
            <w:tcW w:w="4675" w:type="dxa"/>
          </w:tcPr>
          <w:p w14:paraId="3F81BBB2" w14:textId="470D7449" w:rsidR="00517583" w:rsidRPr="00F01347" w:rsidRDefault="00517583" w:rsidP="00517583">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The method described is a procedure for the determination of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acids </w:t>
            </w:r>
            <w:r w:rsidR="00CB209C" w:rsidRPr="00F01347">
              <w:rPr>
                <w:rFonts w:ascii="Verdana" w:hAnsi="Verdana"/>
                <w:sz w:val="16"/>
                <w:szCs w:val="16"/>
                <w:lang w:val="en-US"/>
              </w:rPr>
              <w:t>(</w:t>
            </w:r>
            <w:r w:rsidRPr="00F01347">
              <w:rPr>
                <w:rFonts w:ascii="Verdana" w:hAnsi="Verdana"/>
                <w:sz w:val="16"/>
                <w:szCs w:val="16"/>
                <w:lang w:val="en-US"/>
              </w:rPr>
              <w:t>chloroacetic acid (MCAA); dichloroacetic acid (DCAA); trichloroacetic acid (TCAA)) in water for human use and consumption from supply systems by gas chromatography with electron capture (CG/DCE).</w:t>
            </w:r>
          </w:p>
        </w:tc>
      </w:tr>
      <w:tr w:rsidR="00517583" w:rsidRPr="00F01347" w14:paraId="38C99B20" w14:textId="64465B31" w:rsidTr="008916AC">
        <w:tc>
          <w:tcPr>
            <w:tcW w:w="4675" w:type="dxa"/>
          </w:tcPr>
          <w:p w14:paraId="6F3E016D" w14:textId="77777777" w:rsidR="00517583" w:rsidRPr="00F01347" w:rsidRDefault="00517583" w:rsidP="00517583">
            <w:pPr>
              <w:pStyle w:val="texto0"/>
              <w:spacing w:line="236" w:lineRule="exact"/>
              <w:ind w:firstLine="0"/>
              <w:rPr>
                <w:rFonts w:ascii="Verdana" w:hAnsi="Verdana"/>
                <w:sz w:val="16"/>
                <w:szCs w:val="16"/>
              </w:rPr>
            </w:pPr>
            <w:r w:rsidRPr="00F01347">
              <w:rPr>
                <w:rFonts w:ascii="Verdana" w:hAnsi="Verdana"/>
                <w:sz w:val="16"/>
                <w:szCs w:val="16"/>
              </w:rPr>
              <w:t>Este método debe ser utilizado sólo bajo la supervisión de analistas expertos en el uso de cromatografía de gases con captura de electrones CG/DCE y en la interpretación de sus resultados. Cada analista debe demostrar la habilidad para generar resultados aceptables con este método.</w:t>
            </w:r>
          </w:p>
        </w:tc>
        <w:tc>
          <w:tcPr>
            <w:tcW w:w="4675" w:type="dxa"/>
          </w:tcPr>
          <w:p w14:paraId="7A255A1D" w14:textId="170C9868" w:rsidR="00517583" w:rsidRPr="00F01347" w:rsidRDefault="00517583" w:rsidP="00517583">
            <w:pPr>
              <w:pStyle w:val="texto0"/>
              <w:spacing w:line="236" w:lineRule="exact"/>
              <w:ind w:firstLine="0"/>
              <w:rPr>
                <w:rFonts w:ascii="Verdana" w:hAnsi="Verdana"/>
                <w:sz w:val="16"/>
                <w:szCs w:val="16"/>
                <w:lang w:val="en-US"/>
              </w:rPr>
            </w:pPr>
            <w:r w:rsidRPr="00F01347">
              <w:rPr>
                <w:rFonts w:ascii="Verdana" w:hAnsi="Verdana"/>
                <w:sz w:val="16"/>
                <w:szCs w:val="16"/>
                <w:lang w:val="en-US"/>
              </w:rPr>
              <w:t>This method should be used only under the supervision of analysts experienced in the use of GC/DCE electron capture gas chromatography and the interpretation of its results. Each analyst must demonstrate the ability to generate acceptable results with this method.</w:t>
            </w:r>
          </w:p>
        </w:tc>
      </w:tr>
      <w:tr w:rsidR="00517583" w:rsidRPr="00F01347" w14:paraId="358F4687" w14:textId="77777777" w:rsidTr="008916AC">
        <w:tc>
          <w:tcPr>
            <w:tcW w:w="4675" w:type="dxa"/>
          </w:tcPr>
          <w:p w14:paraId="0F32B96E" w14:textId="0D9A18CE" w:rsidR="00517583" w:rsidRPr="00F01347" w:rsidRDefault="00517583" w:rsidP="00517583">
            <w:pPr>
              <w:pStyle w:val="texto0"/>
              <w:spacing w:line="236" w:lineRule="exact"/>
              <w:ind w:firstLine="0"/>
              <w:rPr>
                <w:rFonts w:ascii="Verdana" w:hAnsi="Verdana"/>
                <w:sz w:val="16"/>
                <w:szCs w:val="16"/>
              </w:rPr>
            </w:pPr>
            <w:r w:rsidRPr="00F01347">
              <w:rPr>
                <w:rFonts w:ascii="Verdana" w:hAnsi="Verdana"/>
                <w:sz w:val="16"/>
                <w:szCs w:val="16"/>
              </w:rPr>
              <w:t xml:space="preserve">Los métodos analíticos determinados experimentalmente para los ácidos </w:t>
            </w:r>
            <w:proofErr w:type="spellStart"/>
            <w:r w:rsidRPr="00F01347">
              <w:rPr>
                <w:rFonts w:ascii="Verdana" w:hAnsi="Verdana"/>
                <w:sz w:val="16"/>
                <w:szCs w:val="16"/>
              </w:rPr>
              <w:t>haloacéticos</w:t>
            </w:r>
            <w:proofErr w:type="spellEnd"/>
            <w:r w:rsidRPr="00F01347">
              <w:rPr>
                <w:rFonts w:ascii="Verdana" w:hAnsi="Verdana"/>
                <w:sz w:val="16"/>
                <w:szCs w:val="16"/>
              </w:rPr>
              <w:t xml:space="preserve"> se muestran en la Tabla B.5-1, de este Apéndice.</w:t>
            </w:r>
          </w:p>
        </w:tc>
        <w:tc>
          <w:tcPr>
            <w:tcW w:w="4675" w:type="dxa"/>
          </w:tcPr>
          <w:p w14:paraId="28007B84" w14:textId="167F9CF2" w:rsidR="00517583" w:rsidRPr="00F01347" w:rsidRDefault="007C6EEA" w:rsidP="00517583">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The experimentally determined analytical methods for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acids are shown in Table B.5-1, of this Appendix.</w:t>
            </w:r>
          </w:p>
        </w:tc>
      </w:tr>
    </w:tbl>
    <w:p w14:paraId="584C9559" w14:textId="44DA812B" w:rsidR="00A74CDF" w:rsidRPr="00F01347" w:rsidRDefault="00A74CDF" w:rsidP="003A601B">
      <w:pPr>
        <w:pStyle w:val="texto0"/>
        <w:spacing w:line="236" w:lineRule="exact"/>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927"/>
        <w:gridCol w:w="1329"/>
        <w:gridCol w:w="1422"/>
        <w:gridCol w:w="1257"/>
        <w:gridCol w:w="1257"/>
        <w:gridCol w:w="1257"/>
        <w:gridCol w:w="1263"/>
      </w:tblGrid>
      <w:tr w:rsidR="00A74CDF" w:rsidRPr="00F01347" w14:paraId="63CF8901" w14:textId="77777777">
        <w:trPr>
          <w:trHeight w:val="20"/>
        </w:trPr>
        <w:tc>
          <w:tcPr>
            <w:tcW w:w="8619" w:type="dxa"/>
            <w:gridSpan w:val="7"/>
            <w:tcBorders>
              <w:bottom w:val="single" w:sz="6" w:space="0" w:color="auto"/>
            </w:tcBorders>
            <w:shd w:val="clear" w:color="000000" w:fill="FFFFFF"/>
            <w:noWrap/>
          </w:tcPr>
          <w:p w14:paraId="0D0A6BA0"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b/>
                <w:color w:val="000000"/>
                <w:sz w:val="16"/>
                <w:szCs w:val="16"/>
              </w:rPr>
              <w:t xml:space="preserve">Tabla B.5-1. </w:t>
            </w:r>
            <w:r w:rsidRPr="00F01347">
              <w:rPr>
                <w:rFonts w:ascii="Verdana" w:hAnsi="Verdana"/>
                <w:color w:val="000000"/>
                <w:sz w:val="16"/>
                <w:szCs w:val="16"/>
              </w:rPr>
              <w:t xml:space="preserve">Datos de precisión y exactitud de los analitos y límites de detección del método en agua grado reactivo </w:t>
            </w:r>
            <w:r w:rsidRPr="00F01347">
              <w:rPr>
                <w:rFonts w:ascii="Verdana" w:hAnsi="Verdana"/>
                <w:color w:val="000000"/>
                <w:sz w:val="16"/>
                <w:szCs w:val="16"/>
                <w:vertAlign w:val="superscript"/>
              </w:rPr>
              <w:t>a</w:t>
            </w:r>
          </w:p>
        </w:tc>
      </w:tr>
      <w:tr w:rsidR="00A74CDF" w:rsidRPr="00F01347" w14:paraId="4B9F5B2F" w14:textId="77777777">
        <w:trPr>
          <w:trHeight w:val="20"/>
        </w:trPr>
        <w:tc>
          <w:tcPr>
            <w:tcW w:w="916" w:type="dxa"/>
            <w:tcBorders>
              <w:top w:val="single" w:sz="6" w:space="0" w:color="auto"/>
              <w:left w:val="single" w:sz="6" w:space="0" w:color="auto"/>
              <w:bottom w:val="single" w:sz="6" w:space="0" w:color="auto"/>
              <w:right w:val="single" w:sz="6" w:space="0" w:color="auto"/>
            </w:tcBorders>
            <w:shd w:val="clear" w:color="000000" w:fill="FFFFFF"/>
          </w:tcPr>
          <w:p w14:paraId="2BC7C7D4"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Analito</w:t>
            </w:r>
          </w:p>
        </w:tc>
        <w:tc>
          <w:tcPr>
            <w:tcW w:w="1314" w:type="dxa"/>
            <w:tcBorders>
              <w:top w:val="single" w:sz="6" w:space="0" w:color="auto"/>
              <w:left w:val="single" w:sz="6" w:space="0" w:color="auto"/>
              <w:bottom w:val="single" w:sz="6" w:space="0" w:color="auto"/>
              <w:right w:val="single" w:sz="6" w:space="0" w:color="auto"/>
            </w:tcBorders>
            <w:shd w:val="clear" w:color="000000" w:fill="FFFFFF"/>
          </w:tcPr>
          <w:p w14:paraId="2A49C90A"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Concentración fortificada</w:t>
            </w:r>
          </w:p>
        </w:tc>
        <w:tc>
          <w:tcPr>
            <w:tcW w:w="1407" w:type="dxa"/>
            <w:tcBorders>
              <w:top w:val="single" w:sz="6" w:space="0" w:color="auto"/>
              <w:left w:val="single" w:sz="6" w:space="0" w:color="auto"/>
              <w:bottom w:val="single" w:sz="6" w:space="0" w:color="auto"/>
              <w:right w:val="single" w:sz="6" w:space="0" w:color="auto"/>
            </w:tcBorders>
            <w:shd w:val="clear" w:color="000000" w:fill="FFFFFF"/>
          </w:tcPr>
          <w:p w14:paraId="6BB240DF"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Concentración medida media</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306FACB7"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Desviación estándar</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4741AC24"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Desviación estándar relativa</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3D75BBBE"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 xml:space="preserve">Límite de detección del método </w:t>
            </w:r>
            <w:r w:rsidRPr="00F01347">
              <w:rPr>
                <w:rFonts w:ascii="Verdana" w:hAnsi="Verdana"/>
                <w:color w:val="000000"/>
                <w:sz w:val="16"/>
                <w:szCs w:val="16"/>
                <w:vertAlign w:val="superscript"/>
              </w:rPr>
              <w:t>b</w:t>
            </w:r>
          </w:p>
        </w:tc>
        <w:tc>
          <w:tcPr>
            <w:tcW w:w="1250" w:type="dxa"/>
            <w:tcBorders>
              <w:top w:val="single" w:sz="6" w:space="0" w:color="auto"/>
              <w:left w:val="single" w:sz="6" w:space="0" w:color="auto"/>
              <w:bottom w:val="single" w:sz="6" w:space="0" w:color="auto"/>
              <w:right w:val="single" w:sz="6" w:space="0" w:color="auto"/>
            </w:tcBorders>
            <w:shd w:val="clear" w:color="000000" w:fill="FFFFFF"/>
          </w:tcPr>
          <w:p w14:paraId="68B0399E"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 xml:space="preserve">Límite de detección estimado </w:t>
            </w:r>
            <w:r w:rsidRPr="00F01347">
              <w:rPr>
                <w:rFonts w:ascii="Verdana" w:hAnsi="Verdana"/>
                <w:color w:val="000000"/>
                <w:sz w:val="16"/>
                <w:szCs w:val="16"/>
                <w:vertAlign w:val="superscript"/>
              </w:rPr>
              <w:t>c</w:t>
            </w:r>
          </w:p>
        </w:tc>
      </w:tr>
      <w:tr w:rsidR="00A74CDF" w:rsidRPr="00F01347" w14:paraId="685D432E" w14:textId="77777777">
        <w:trPr>
          <w:trHeight w:val="20"/>
        </w:trPr>
        <w:tc>
          <w:tcPr>
            <w:tcW w:w="916" w:type="dxa"/>
            <w:tcBorders>
              <w:top w:val="single" w:sz="6" w:space="0" w:color="auto"/>
              <w:left w:val="single" w:sz="6" w:space="0" w:color="auto"/>
              <w:bottom w:val="single" w:sz="6" w:space="0" w:color="auto"/>
              <w:right w:val="single" w:sz="6" w:space="0" w:color="auto"/>
            </w:tcBorders>
          </w:tcPr>
          <w:p w14:paraId="3B79EC6C" w14:textId="77777777" w:rsidR="00A74CDF" w:rsidRPr="00F01347" w:rsidRDefault="00A74CDF" w:rsidP="003A601B">
            <w:pPr>
              <w:pStyle w:val="texto0"/>
              <w:spacing w:line="236" w:lineRule="exact"/>
              <w:ind w:firstLine="0"/>
              <w:jc w:val="center"/>
              <w:rPr>
                <w:rFonts w:ascii="Verdana" w:hAnsi="Verdana"/>
                <w:color w:val="000000"/>
                <w:sz w:val="16"/>
                <w:szCs w:val="16"/>
              </w:rPr>
            </w:pPr>
          </w:p>
        </w:tc>
        <w:tc>
          <w:tcPr>
            <w:tcW w:w="1314" w:type="dxa"/>
            <w:tcBorders>
              <w:top w:val="single" w:sz="6" w:space="0" w:color="auto"/>
              <w:left w:val="single" w:sz="6" w:space="0" w:color="auto"/>
              <w:bottom w:val="single" w:sz="6" w:space="0" w:color="auto"/>
              <w:right w:val="single" w:sz="6" w:space="0" w:color="auto"/>
            </w:tcBorders>
            <w:shd w:val="clear" w:color="000000" w:fill="FFFFFF"/>
          </w:tcPr>
          <w:p w14:paraId="4F6FB69D"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(µg/L)</w:t>
            </w:r>
          </w:p>
        </w:tc>
        <w:tc>
          <w:tcPr>
            <w:tcW w:w="1407" w:type="dxa"/>
            <w:tcBorders>
              <w:top w:val="single" w:sz="6" w:space="0" w:color="auto"/>
              <w:left w:val="single" w:sz="6" w:space="0" w:color="auto"/>
              <w:bottom w:val="single" w:sz="6" w:space="0" w:color="auto"/>
              <w:right w:val="single" w:sz="6" w:space="0" w:color="auto"/>
            </w:tcBorders>
            <w:shd w:val="clear" w:color="000000" w:fill="FFFFFF"/>
          </w:tcPr>
          <w:p w14:paraId="0BBD748A"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(µg/L)</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7E2C7AE4"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(µg/L)</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0B7375D7"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677C7A11"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(µg/L)</w:t>
            </w:r>
          </w:p>
        </w:tc>
        <w:tc>
          <w:tcPr>
            <w:tcW w:w="1250" w:type="dxa"/>
            <w:tcBorders>
              <w:top w:val="single" w:sz="6" w:space="0" w:color="auto"/>
              <w:left w:val="single" w:sz="6" w:space="0" w:color="auto"/>
              <w:bottom w:val="single" w:sz="6" w:space="0" w:color="auto"/>
              <w:right w:val="single" w:sz="6" w:space="0" w:color="auto"/>
            </w:tcBorders>
            <w:shd w:val="clear" w:color="000000" w:fill="FFFFFF"/>
          </w:tcPr>
          <w:p w14:paraId="2D63CA86"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(µg/L)</w:t>
            </w:r>
          </w:p>
        </w:tc>
      </w:tr>
      <w:tr w:rsidR="00A74CDF" w:rsidRPr="00F01347" w14:paraId="754FD834" w14:textId="77777777">
        <w:trPr>
          <w:trHeight w:val="20"/>
        </w:trPr>
        <w:tc>
          <w:tcPr>
            <w:tcW w:w="916" w:type="dxa"/>
            <w:tcBorders>
              <w:top w:val="single" w:sz="6" w:space="0" w:color="auto"/>
              <w:left w:val="single" w:sz="6" w:space="0" w:color="auto"/>
              <w:bottom w:val="single" w:sz="6" w:space="0" w:color="auto"/>
              <w:right w:val="single" w:sz="6" w:space="0" w:color="auto"/>
            </w:tcBorders>
            <w:shd w:val="clear" w:color="000000" w:fill="FFFFFF"/>
          </w:tcPr>
          <w:p w14:paraId="5CE72702"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MCAA</w:t>
            </w:r>
          </w:p>
        </w:tc>
        <w:tc>
          <w:tcPr>
            <w:tcW w:w="1314" w:type="dxa"/>
            <w:tcBorders>
              <w:top w:val="single" w:sz="6" w:space="0" w:color="auto"/>
              <w:left w:val="single" w:sz="6" w:space="0" w:color="auto"/>
              <w:bottom w:val="single" w:sz="6" w:space="0" w:color="auto"/>
              <w:right w:val="single" w:sz="6" w:space="0" w:color="auto"/>
            </w:tcBorders>
            <w:shd w:val="clear" w:color="000000" w:fill="FFFFFF"/>
          </w:tcPr>
          <w:p w14:paraId="2AD055C3"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0.600</w:t>
            </w:r>
          </w:p>
        </w:tc>
        <w:tc>
          <w:tcPr>
            <w:tcW w:w="1407" w:type="dxa"/>
            <w:tcBorders>
              <w:top w:val="single" w:sz="6" w:space="0" w:color="auto"/>
              <w:left w:val="single" w:sz="6" w:space="0" w:color="auto"/>
              <w:bottom w:val="single" w:sz="6" w:space="0" w:color="auto"/>
              <w:right w:val="single" w:sz="6" w:space="0" w:color="auto"/>
            </w:tcBorders>
            <w:shd w:val="clear" w:color="000000" w:fill="FFFFFF"/>
          </w:tcPr>
          <w:p w14:paraId="1576F21C"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0.516</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0F32CE9A"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0.087</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2B2CA6CA"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17</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6B0759BD"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0.273</w:t>
            </w:r>
          </w:p>
        </w:tc>
        <w:tc>
          <w:tcPr>
            <w:tcW w:w="1250" w:type="dxa"/>
            <w:tcBorders>
              <w:top w:val="single" w:sz="6" w:space="0" w:color="auto"/>
              <w:left w:val="single" w:sz="6" w:space="0" w:color="auto"/>
              <w:bottom w:val="single" w:sz="6" w:space="0" w:color="auto"/>
              <w:right w:val="single" w:sz="6" w:space="0" w:color="auto"/>
            </w:tcBorders>
            <w:shd w:val="clear" w:color="000000" w:fill="FFFFFF"/>
          </w:tcPr>
          <w:p w14:paraId="140A9702"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0.60</w:t>
            </w:r>
          </w:p>
        </w:tc>
      </w:tr>
      <w:tr w:rsidR="00A74CDF" w:rsidRPr="00F01347" w14:paraId="3EF11886" w14:textId="77777777">
        <w:trPr>
          <w:trHeight w:val="20"/>
        </w:trPr>
        <w:tc>
          <w:tcPr>
            <w:tcW w:w="916" w:type="dxa"/>
            <w:tcBorders>
              <w:top w:val="single" w:sz="6" w:space="0" w:color="auto"/>
              <w:left w:val="single" w:sz="6" w:space="0" w:color="auto"/>
              <w:bottom w:val="single" w:sz="6" w:space="0" w:color="auto"/>
              <w:right w:val="single" w:sz="6" w:space="0" w:color="auto"/>
            </w:tcBorders>
            <w:shd w:val="clear" w:color="000000" w:fill="FFFFFF"/>
          </w:tcPr>
          <w:p w14:paraId="132630BD"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DCAA</w:t>
            </w:r>
          </w:p>
        </w:tc>
        <w:tc>
          <w:tcPr>
            <w:tcW w:w="1314" w:type="dxa"/>
            <w:tcBorders>
              <w:top w:val="single" w:sz="6" w:space="0" w:color="auto"/>
              <w:left w:val="single" w:sz="6" w:space="0" w:color="auto"/>
              <w:bottom w:val="single" w:sz="6" w:space="0" w:color="auto"/>
              <w:right w:val="single" w:sz="6" w:space="0" w:color="auto"/>
            </w:tcBorders>
            <w:shd w:val="clear" w:color="000000" w:fill="FFFFFF"/>
          </w:tcPr>
          <w:p w14:paraId="3B28813A"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0.600</w:t>
            </w:r>
          </w:p>
        </w:tc>
        <w:tc>
          <w:tcPr>
            <w:tcW w:w="1407" w:type="dxa"/>
            <w:tcBorders>
              <w:top w:val="single" w:sz="6" w:space="0" w:color="auto"/>
              <w:left w:val="single" w:sz="6" w:space="0" w:color="auto"/>
              <w:bottom w:val="single" w:sz="6" w:space="0" w:color="auto"/>
              <w:right w:val="single" w:sz="6" w:space="0" w:color="auto"/>
            </w:tcBorders>
            <w:shd w:val="clear" w:color="000000" w:fill="FFFFFF"/>
          </w:tcPr>
          <w:p w14:paraId="1BF25B40"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0.494</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3BA35D2C"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0.077</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053A404C"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16</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26C158E3"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0.242</w:t>
            </w:r>
          </w:p>
        </w:tc>
        <w:tc>
          <w:tcPr>
            <w:tcW w:w="1250" w:type="dxa"/>
            <w:tcBorders>
              <w:top w:val="single" w:sz="6" w:space="0" w:color="auto"/>
              <w:left w:val="single" w:sz="6" w:space="0" w:color="auto"/>
              <w:bottom w:val="single" w:sz="6" w:space="0" w:color="auto"/>
              <w:right w:val="single" w:sz="6" w:space="0" w:color="auto"/>
            </w:tcBorders>
            <w:shd w:val="clear" w:color="000000" w:fill="FFFFFF"/>
          </w:tcPr>
          <w:p w14:paraId="627BB58F"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0.24</w:t>
            </w:r>
          </w:p>
        </w:tc>
      </w:tr>
      <w:tr w:rsidR="00A74CDF" w:rsidRPr="00F01347" w14:paraId="637A3D01" w14:textId="77777777">
        <w:trPr>
          <w:trHeight w:val="20"/>
        </w:trPr>
        <w:tc>
          <w:tcPr>
            <w:tcW w:w="916" w:type="dxa"/>
            <w:tcBorders>
              <w:top w:val="single" w:sz="6" w:space="0" w:color="auto"/>
              <w:left w:val="single" w:sz="6" w:space="0" w:color="auto"/>
              <w:bottom w:val="single" w:sz="6" w:space="0" w:color="auto"/>
              <w:right w:val="single" w:sz="6" w:space="0" w:color="auto"/>
            </w:tcBorders>
            <w:shd w:val="clear" w:color="000000" w:fill="FFFFFF"/>
          </w:tcPr>
          <w:p w14:paraId="4246A3E5"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TCAA</w:t>
            </w:r>
          </w:p>
        </w:tc>
        <w:tc>
          <w:tcPr>
            <w:tcW w:w="1314" w:type="dxa"/>
            <w:tcBorders>
              <w:top w:val="single" w:sz="6" w:space="0" w:color="auto"/>
              <w:left w:val="single" w:sz="6" w:space="0" w:color="auto"/>
              <w:bottom w:val="single" w:sz="6" w:space="0" w:color="auto"/>
              <w:right w:val="single" w:sz="6" w:space="0" w:color="auto"/>
            </w:tcBorders>
            <w:shd w:val="clear" w:color="000000" w:fill="FFFFFF"/>
          </w:tcPr>
          <w:p w14:paraId="2B0A7284"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0.200</w:t>
            </w:r>
          </w:p>
        </w:tc>
        <w:tc>
          <w:tcPr>
            <w:tcW w:w="1407" w:type="dxa"/>
            <w:tcBorders>
              <w:top w:val="single" w:sz="6" w:space="0" w:color="auto"/>
              <w:left w:val="single" w:sz="6" w:space="0" w:color="auto"/>
              <w:bottom w:val="single" w:sz="6" w:space="0" w:color="auto"/>
              <w:right w:val="single" w:sz="6" w:space="0" w:color="auto"/>
            </w:tcBorders>
            <w:shd w:val="clear" w:color="000000" w:fill="FFFFFF"/>
          </w:tcPr>
          <w:p w14:paraId="4AD80220"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0.219</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5BD66D19"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0.025</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4C24525D"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11</w:t>
            </w:r>
          </w:p>
        </w:tc>
        <w:tc>
          <w:tcPr>
            <w:tcW w:w="1244" w:type="dxa"/>
            <w:tcBorders>
              <w:top w:val="single" w:sz="6" w:space="0" w:color="auto"/>
              <w:left w:val="single" w:sz="6" w:space="0" w:color="auto"/>
              <w:bottom w:val="single" w:sz="6" w:space="0" w:color="auto"/>
              <w:right w:val="single" w:sz="6" w:space="0" w:color="auto"/>
            </w:tcBorders>
            <w:shd w:val="clear" w:color="000000" w:fill="FFFFFF"/>
          </w:tcPr>
          <w:p w14:paraId="2878A469"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0.079</w:t>
            </w:r>
          </w:p>
        </w:tc>
        <w:tc>
          <w:tcPr>
            <w:tcW w:w="1250" w:type="dxa"/>
            <w:tcBorders>
              <w:top w:val="single" w:sz="6" w:space="0" w:color="auto"/>
              <w:left w:val="single" w:sz="6" w:space="0" w:color="auto"/>
              <w:bottom w:val="single" w:sz="6" w:space="0" w:color="auto"/>
              <w:right w:val="single" w:sz="6" w:space="0" w:color="auto"/>
            </w:tcBorders>
            <w:shd w:val="clear" w:color="000000" w:fill="FFFFFF"/>
          </w:tcPr>
          <w:p w14:paraId="374815D4" w14:textId="77777777" w:rsidR="00A74CDF" w:rsidRPr="00F01347" w:rsidRDefault="00A74CDF" w:rsidP="003A601B">
            <w:pPr>
              <w:pStyle w:val="texto0"/>
              <w:spacing w:line="236" w:lineRule="exact"/>
              <w:ind w:firstLine="0"/>
              <w:jc w:val="center"/>
              <w:rPr>
                <w:rFonts w:ascii="Verdana" w:hAnsi="Verdana"/>
                <w:color w:val="000000"/>
                <w:sz w:val="16"/>
                <w:szCs w:val="16"/>
              </w:rPr>
            </w:pPr>
            <w:r w:rsidRPr="00F01347">
              <w:rPr>
                <w:rFonts w:ascii="Verdana" w:hAnsi="Verdana"/>
                <w:color w:val="000000"/>
                <w:sz w:val="16"/>
                <w:szCs w:val="16"/>
              </w:rPr>
              <w:t>0.20</w:t>
            </w:r>
          </w:p>
        </w:tc>
      </w:tr>
      <w:tr w:rsidR="00A74CDF" w:rsidRPr="00F01347" w14:paraId="3EE6A6FA" w14:textId="77777777">
        <w:trPr>
          <w:trHeight w:val="20"/>
        </w:trPr>
        <w:tc>
          <w:tcPr>
            <w:tcW w:w="8619" w:type="dxa"/>
            <w:gridSpan w:val="7"/>
            <w:tcBorders>
              <w:top w:val="single" w:sz="6" w:space="0" w:color="auto"/>
            </w:tcBorders>
            <w:shd w:val="clear" w:color="000000" w:fill="FFFFFF"/>
          </w:tcPr>
          <w:p w14:paraId="63834B25" w14:textId="77777777" w:rsidR="00A74CDF" w:rsidRPr="00F01347" w:rsidRDefault="00A74CDF" w:rsidP="003A601B">
            <w:pPr>
              <w:pStyle w:val="texto0"/>
              <w:spacing w:line="236" w:lineRule="exact"/>
              <w:ind w:firstLine="0"/>
              <w:rPr>
                <w:rFonts w:ascii="Verdana" w:hAnsi="Verdana"/>
                <w:color w:val="000000"/>
                <w:sz w:val="16"/>
                <w:szCs w:val="16"/>
              </w:rPr>
            </w:pPr>
            <w:proofErr w:type="gramStart"/>
            <w:r w:rsidRPr="00F01347">
              <w:rPr>
                <w:rFonts w:ascii="Verdana" w:hAnsi="Verdana"/>
                <w:color w:val="000000"/>
                <w:sz w:val="16"/>
                <w:szCs w:val="16"/>
                <w:vertAlign w:val="superscript"/>
              </w:rPr>
              <w:t>a</w:t>
            </w:r>
            <w:proofErr w:type="gramEnd"/>
            <w:r w:rsidRPr="00F01347">
              <w:rPr>
                <w:rFonts w:ascii="Verdana" w:hAnsi="Verdana"/>
                <w:color w:val="000000"/>
                <w:sz w:val="16"/>
                <w:szCs w:val="16"/>
              </w:rPr>
              <w:t xml:space="preserve"> Producidas a partir del análisis de siete alícuotas de agua grado reactivo fortificadas.</w:t>
            </w:r>
          </w:p>
        </w:tc>
      </w:tr>
      <w:tr w:rsidR="00A74CDF" w:rsidRPr="00F01347" w14:paraId="7BD39577" w14:textId="77777777">
        <w:trPr>
          <w:trHeight w:val="20"/>
        </w:trPr>
        <w:tc>
          <w:tcPr>
            <w:tcW w:w="8619" w:type="dxa"/>
            <w:gridSpan w:val="7"/>
            <w:shd w:val="clear" w:color="000000" w:fill="FFFFFF"/>
          </w:tcPr>
          <w:p w14:paraId="31A0AB2C" w14:textId="77777777" w:rsidR="00A74CDF" w:rsidRPr="00F01347" w:rsidRDefault="00A74CDF" w:rsidP="003A601B">
            <w:pPr>
              <w:pStyle w:val="texto0"/>
              <w:spacing w:line="236" w:lineRule="exact"/>
              <w:ind w:firstLine="0"/>
              <w:rPr>
                <w:rFonts w:ascii="Verdana" w:hAnsi="Verdana"/>
                <w:color w:val="000000"/>
                <w:sz w:val="16"/>
                <w:szCs w:val="16"/>
              </w:rPr>
            </w:pPr>
            <w:r w:rsidRPr="00F01347">
              <w:rPr>
                <w:rFonts w:ascii="Verdana" w:hAnsi="Verdana"/>
                <w:color w:val="000000"/>
                <w:sz w:val="16"/>
                <w:szCs w:val="16"/>
                <w:vertAlign w:val="superscript"/>
              </w:rPr>
              <w:t>b</w:t>
            </w:r>
            <w:r w:rsidRPr="00F01347">
              <w:rPr>
                <w:rFonts w:ascii="Verdana" w:hAnsi="Verdana"/>
                <w:color w:val="000000"/>
                <w:sz w:val="16"/>
                <w:szCs w:val="16"/>
              </w:rPr>
              <w:t xml:space="preserve"> El MDL es un estimado estadístico del límite de detección. Para determinar el MDL para cada analito, la desviación estándar de la concentración media de los siete replicados es calculada. La desviación estándar es multiplicada por el valor t-</w:t>
            </w:r>
            <w:proofErr w:type="spellStart"/>
            <w:r w:rsidRPr="00F01347">
              <w:rPr>
                <w:rFonts w:ascii="Verdana" w:hAnsi="Verdana"/>
                <w:color w:val="000000"/>
                <w:sz w:val="16"/>
                <w:szCs w:val="16"/>
              </w:rPr>
              <w:t>student</w:t>
            </w:r>
            <w:proofErr w:type="spellEnd"/>
            <w:r w:rsidRPr="00F01347">
              <w:rPr>
                <w:rFonts w:ascii="Verdana" w:hAnsi="Verdana"/>
                <w:color w:val="000000"/>
                <w:sz w:val="16"/>
                <w:szCs w:val="16"/>
              </w:rPr>
              <w:t xml:space="preserve"> a un 99% de confianza y n-1 grados </w:t>
            </w:r>
            <w:r w:rsidR="00121B56" w:rsidRPr="00F01347">
              <w:rPr>
                <w:rFonts w:ascii="Verdana" w:hAnsi="Verdana"/>
                <w:color w:val="000000"/>
                <w:sz w:val="16"/>
                <w:szCs w:val="16"/>
              </w:rPr>
              <w:t>de libertad (3.143 para siete ré</w:t>
            </w:r>
            <w:r w:rsidRPr="00F01347">
              <w:rPr>
                <w:rFonts w:ascii="Verdana" w:hAnsi="Verdana"/>
                <w:color w:val="000000"/>
                <w:sz w:val="16"/>
                <w:szCs w:val="16"/>
              </w:rPr>
              <w:t>plicas) el resultado es el MDL.</w:t>
            </w:r>
          </w:p>
        </w:tc>
      </w:tr>
      <w:tr w:rsidR="00A74CDF" w:rsidRPr="00F01347" w14:paraId="2257AEC4" w14:textId="77777777">
        <w:trPr>
          <w:trHeight w:val="20"/>
        </w:trPr>
        <w:tc>
          <w:tcPr>
            <w:tcW w:w="8619" w:type="dxa"/>
            <w:gridSpan w:val="7"/>
            <w:shd w:val="clear" w:color="000000" w:fill="FFFFFF"/>
          </w:tcPr>
          <w:p w14:paraId="7F19F84D" w14:textId="77777777" w:rsidR="00A74CDF" w:rsidRPr="00F01347" w:rsidRDefault="00A74CDF" w:rsidP="003A601B">
            <w:pPr>
              <w:pStyle w:val="texto0"/>
              <w:spacing w:line="236" w:lineRule="exact"/>
              <w:ind w:firstLine="0"/>
              <w:rPr>
                <w:rFonts w:ascii="Verdana" w:hAnsi="Verdana"/>
                <w:color w:val="000000"/>
                <w:sz w:val="16"/>
                <w:szCs w:val="16"/>
              </w:rPr>
            </w:pPr>
            <w:r w:rsidRPr="00F01347">
              <w:rPr>
                <w:rFonts w:ascii="Verdana" w:hAnsi="Verdana"/>
                <w:color w:val="000000"/>
                <w:sz w:val="16"/>
                <w:szCs w:val="16"/>
                <w:vertAlign w:val="superscript"/>
              </w:rPr>
              <w:t>c</w:t>
            </w:r>
            <w:r w:rsidRPr="00F01347">
              <w:rPr>
                <w:rFonts w:ascii="Verdana" w:hAnsi="Verdana"/>
                <w:color w:val="000000"/>
                <w:sz w:val="16"/>
                <w:szCs w:val="16"/>
              </w:rPr>
              <w:t xml:space="preserve"> El EDL de la misma manera que el MDL o como el nivel de compuesto en una muestra que origina un pico en el extracto final con una relación señal-ruido (S/N) de aproximadamente cinco, o mayor.</w:t>
            </w:r>
          </w:p>
        </w:tc>
      </w:tr>
    </w:tbl>
    <w:p w14:paraId="18D8545F" w14:textId="77777777" w:rsidR="00A74CDF" w:rsidRPr="00F01347" w:rsidRDefault="00A74CDF" w:rsidP="003A601B">
      <w:pPr>
        <w:pStyle w:val="texto0"/>
        <w:spacing w:line="236" w:lineRule="exact"/>
        <w:rPr>
          <w:rFonts w:ascii="Verdana" w:hAnsi="Verdana"/>
          <w:b/>
          <w:sz w:val="16"/>
          <w:szCs w:val="16"/>
        </w:rPr>
      </w:pPr>
    </w:p>
    <w:tbl>
      <w:tblPr>
        <w:tblW w:w="8715" w:type="dxa"/>
        <w:tblInd w:w="144" w:type="dxa"/>
        <w:tblLayout w:type="fixed"/>
        <w:tblCellMar>
          <w:left w:w="70" w:type="dxa"/>
          <w:right w:w="70" w:type="dxa"/>
        </w:tblCellMar>
        <w:tblLook w:val="04A0" w:firstRow="1" w:lastRow="0" w:firstColumn="1" w:lastColumn="0" w:noHBand="0" w:noVBand="1"/>
      </w:tblPr>
      <w:tblGrid>
        <w:gridCol w:w="925"/>
        <w:gridCol w:w="1329"/>
        <w:gridCol w:w="1423"/>
        <w:gridCol w:w="1258"/>
        <w:gridCol w:w="1258"/>
        <w:gridCol w:w="1258"/>
        <w:gridCol w:w="1264"/>
      </w:tblGrid>
      <w:tr w:rsidR="0097149D" w:rsidRPr="00F01347" w14:paraId="6EC89C56" w14:textId="77777777" w:rsidTr="0006497D">
        <w:trPr>
          <w:trHeight w:val="20"/>
        </w:trPr>
        <w:tc>
          <w:tcPr>
            <w:tcW w:w="8715" w:type="dxa"/>
            <w:gridSpan w:val="7"/>
            <w:tcBorders>
              <w:top w:val="nil"/>
              <w:left w:val="nil"/>
              <w:bottom w:val="single" w:sz="6" w:space="0" w:color="auto"/>
              <w:right w:val="nil"/>
            </w:tcBorders>
            <w:shd w:val="clear" w:color="auto" w:fill="FFFFFF"/>
            <w:noWrap/>
            <w:hideMark/>
          </w:tcPr>
          <w:p w14:paraId="715897E8"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b/>
                <w:color w:val="000000"/>
                <w:sz w:val="16"/>
                <w:szCs w:val="16"/>
                <w:lang w:val="en-US"/>
              </w:rPr>
              <w:t xml:space="preserve">Table B.5-1. </w:t>
            </w:r>
            <w:r w:rsidRPr="00F01347">
              <w:rPr>
                <w:rFonts w:ascii="Verdana" w:hAnsi="Verdana"/>
                <w:color w:val="000000"/>
                <w:sz w:val="16"/>
                <w:szCs w:val="16"/>
                <w:lang w:val="en-US"/>
              </w:rPr>
              <w:t xml:space="preserve">Precision and accuracy data of the analytes and detection limits of the method in reagent grade water </w:t>
            </w:r>
            <w:r w:rsidRPr="00F01347">
              <w:rPr>
                <w:rFonts w:ascii="Verdana" w:hAnsi="Verdana"/>
                <w:color w:val="000000"/>
                <w:sz w:val="16"/>
                <w:szCs w:val="16"/>
                <w:vertAlign w:val="superscript"/>
                <w:lang w:val="en-US"/>
              </w:rPr>
              <w:t>a</w:t>
            </w:r>
          </w:p>
        </w:tc>
      </w:tr>
      <w:tr w:rsidR="0097149D" w:rsidRPr="00F01347" w14:paraId="7A573EC1" w14:textId="77777777" w:rsidTr="0006497D">
        <w:trPr>
          <w:trHeight w:val="20"/>
        </w:trPr>
        <w:tc>
          <w:tcPr>
            <w:tcW w:w="925" w:type="dxa"/>
            <w:tcBorders>
              <w:top w:val="single" w:sz="6" w:space="0" w:color="auto"/>
              <w:left w:val="single" w:sz="6" w:space="0" w:color="auto"/>
              <w:bottom w:val="single" w:sz="6" w:space="0" w:color="auto"/>
              <w:right w:val="single" w:sz="6" w:space="0" w:color="auto"/>
            </w:tcBorders>
            <w:shd w:val="clear" w:color="auto" w:fill="FFFFFF"/>
            <w:hideMark/>
          </w:tcPr>
          <w:p w14:paraId="21226F3A"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Analyte</w:t>
            </w:r>
          </w:p>
        </w:tc>
        <w:tc>
          <w:tcPr>
            <w:tcW w:w="1329" w:type="dxa"/>
            <w:tcBorders>
              <w:top w:val="single" w:sz="6" w:space="0" w:color="auto"/>
              <w:left w:val="single" w:sz="6" w:space="0" w:color="auto"/>
              <w:bottom w:val="single" w:sz="6" w:space="0" w:color="auto"/>
              <w:right w:val="single" w:sz="6" w:space="0" w:color="auto"/>
            </w:tcBorders>
            <w:shd w:val="clear" w:color="auto" w:fill="FFFFFF"/>
            <w:hideMark/>
          </w:tcPr>
          <w:p w14:paraId="4111D1C5"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Fortified concentration</w:t>
            </w:r>
          </w:p>
        </w:tc>
        <w:tc>
          <w:tcPr>
            <w:tcW w:w="1423" w:type="dxa"/>
            <w:tcBorders>
              <w:top w:val="single" w:sz="6" w:space="0" w:color="auto"/>
              <w:left w:val="single" w:sz="6" w:space="0" w:color="auto"/>
              <w:bottom w:val="single" w:sz="6" w:space="0" w:color="auto"/>
              <w:right w:val="single" w:sz="6" w:space="0" w:color="auto"/>
            </w:tcBorders>
            <w:shd w:val="clear" w:color="auto" w:fill="FFFFFF"/>
            <w:hideMark/>
          </w:tcPr>
          <w:p w14:paraId="63A95A44"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Average measured concentration</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72F8CB86"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Standard deviation</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4DA4D84D"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Relative standard deviation</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480AEF4B"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Detection limit of method </w:t>
            </w:r>
            <w:r w:rsidRPr="00F01347">
              <w:rPr>
                <w:rFonts w:ascii="Verdana" w:hAnsi="Verdana"/>
                <w:color w:val="000000"/>
                <w:sz w:val="16"/>
                <w:szCs w:val="16"/>
                <w:vertAlign w:val="superscript"/>
                <w:lang w:val="en-US"/>
              </w:rPr>
              <w:t>b</w:t>
            </w:r>
          </w:p>
        </w:tc>
        <w:tc>
          <w:tcPr>
            <w:tcW w:w="1264" w:type="dxa"/>
            <w:tcBorders>
              <w:top w:val="single" w:sz="6" w:space="0" w:color="auto"/>
              <w:left w:val="single" w:sz="6" w:space="0" w:color="auto"/>
              <w:bottom w:val="single" w:sz="6" w:space="0" w:color="auto"/>
              <w:right w:val="single" w:sz="6" w:space="0" w:color="auto"/>
            </w:tcBorders>
            <w:shd w:val="clear" w:color="auto" w:fill="FFFFFF"/>
            <w:hideMark/>
          </w:tcPr>
          <w:p w14:paraId="668AEA9C"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Estimated detection limit </w:t>
            </w:r>
            <w:r w:rsidRPr="00F01347">
              <w:rPr>
                <w:rFonts w:ascii="Verdana" w:hAnsi="Verdana"/>
                <w:color w:val="000000"/>
                <w:sz w:val="16"/>
                <w:szCs w:val="16"/>
                <w:vertAlign w:val="superscript"/>
                <w:lang w:val="en-US"/>
              </w:rPr>
              <w:t>c</w:t>
            </w:r>
          </w:p>
        </w:tc>
      </w:tr>
      <w:tr w:rsidR="0097149D" w:rsidRPr="00F01347" w14:paraId="7EFF14A4" w14:textId="77777777" w:rsidTr="0006497D">
        <w:trPr>
          <w:trHeight w:val="20"/>
        </w:trPr>
        <w:tc>
          <w:tcPr>
            <w:tcW w:w="925" w:type="dxa"/>
            <w:tcBorders>
              <w:top w:val="single" w:sz="6" w:space="0" w:color="auto"/>
              <w:left w:val="single" w:sz="6" w:space="0" w:color="auto"/>
              <w:bottom w:val="single" w:sz="6" w:space="0" w:color="auto"/>
              <w:right w:val="single" w:sz="6" w:space="0" w:color="auto"/>
            </w:tcBorders>
          </w:tcPr>
          <w:p w14:paraId="000F7B63" w14:textId="77777777" w:rsidR="0097149D" w:rsidRPr="00F01347" w:rsidRDefault="0097149D">
            <w:pPr>
              <w:pStyle w:val="texto0"/>
              <w:spacing w:line="236" w:lineRule="exact"/>
              <w:ind w:firstLine="0"/>
              <w:jc w:val="center"/>
              <w:rPr>
                <w:rFonts w:ascii="Verdana" w:hAnsi="Verdana"/>
                <w:color w:val="000000"/>
                <w:sz w:val="16"/>
                <w:szCs w:val="16"/>
                <w:lang w:val="en-US"/>
              </w:rPr>
            </w:pPr>
          </w:p>
        </w:tc>
        <w:tc>
          <w:tcPr>
            <w:tcW w:w="1329" w:type="dxa"/>
            <w:tcBorders>
              <w:top w:val="single" w:sz="6" w:space="0" w:color="auto"/>
              <w:left w:val="single" w:sz="6" w:space="0" w:color="auto"/>
              <w:bottom w:val="single" w:sz="6" w:space="0" w:color="auto"/>
              <w:right w:val="single" w:sz="6" w:space="0" w:color="auto"/>
            </w:tcBorders>
            <w:shd w:val="clear" w:color="auto" w:fill="FFFFFF"/>
            <w:hideMark/>
          </w:tcPr>
          <w:p w14:paraId="6CFD2F72"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(µg/L)</w:t>
            </w:r>
          </w:p>
        </w:tc>
        <w:tc>
          <w:tcPr>
            <w:tcW w:w="1423" w:type="dxa"/>
            <w:tcBorders>
              <w:top w:val="single" w:sz="6" w:space="0" w:color="auto"/>
              <w:left w:val="single" w:sz="6" w:space="0" w:color="auto"/>
              <w:bottom w:val="single" w:sz="6" w:space="0" w:color="auto"/>
              <w:right w:val="single" w:sz="6" w:space="0" w:color="auto"/>
            </w:tcBorders>
            <w:shd w:val="clear" w:color="auto" w:fill="FFFFFF"/>
            <w:hideMark/>
          </w:tcPr>
          <w:p w14:paraId="4812283E"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(µg/L)</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7B9EB580"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(µg/L)</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12A5EDAF"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029C018F"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(µg/L)</w:t>
            </w:r>
          </w:p>
        </w:tc>
        <w:tc>
          <w:tcPr>
            <w:tcW w:w="1264" w:type="dxa"/>
            <w:tcBorders>
              <w:top w:val="single" w:sz="6" w:space="0" w:color="auto"/>
              <w:left w:val="single" w:sz="6" w:space="0" w:color="auto"/>
              <w:bottom w:val="single" w:sz="6" w:space="0" w:color="auto"/>
              <w:right w:val="single" w:sz="6" w:space="0" w:color="auto"/>
            </w:tcBorders>
            <w:shd w:val="clear" w:color="auto" w:fill="FFFFFF"/>
            <w:hideMark/>
          </w:tcPr>
          <w:p w14:paraId="35F47A28"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(µg/L)</w:t>
            </w:r>
          </w:p>
        </w:tc>
      </w:tr>
      <w:tr w:rsidR="0097149D" w:rsidRPr="00F01347" w14:paraId="47320F16" w14:textId="77777777" w:rsidTr="0006497D">
        <w:trPr>
          <w:trHeight w:val="20"/>
        </w:trPr>
        <w:tc>
          <w:tcPr>
            <w:tcW w:w="925" w:type="dxa"/>
            <w:tcBorders>
              <w:top w:val="single" w:sz="6" w:space="0" w:color="auto"/>
              <w:left w:val="single" w:sz="6" w:space="0" w:color="auto"/>
              <w:bottom w:val="single" w:sz="6" w:space="0" w:color="auto"/>
              <w:right w:val="single" w:sz="6" w:space="0" w:color="auto"/>
            </w:tcBorders>
            <w:shd w:val="clear" w:color="auto" w:fill="FFFFFF"/>
            <w:hideMark/>
          </w:tcPr>
          <w:p w14:paraId="1AC7CCB2"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MCAA</w:t>
            </w:r>
          </w:p>
        </w:tc>
        <w:tc>
          <w:tcPr>
            <w:tcW w:w="1329" w:type="dxa"/>
            <w:tcBorders>
              <w:top w:val="single" w:sz="6" w:space="0" w:color="auto"/>
              <w:left w:val="single" w:sz="6" w:space="0" w:color="auto"/>
              <w:bottom w:val="single" w:sz="6" w:space="0" w:color="auto"/>
              <w:right w:val="single" w:sz="6" w:space="0" w:color="auto"/>
            </w:tcBorders>
            <w:shd w:val="clear" w:color="auto" w:fill="FFFFFF"/>
            <w:hideMark/>
          </w:tcPr>
          <w:p w14:paraId="7E04788A"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0.600</w:t>
            </w:r>
          </w:p>
        </w:tc>
        <w:tc>
          <w:tcPr>
            <w:tcW w:w="1423" w:type="dxa"/>
            <w:tcBorders>
              <w:top w:val="single" w:sz="6" w:space="0" w:color="auto"/>
              <w:left w:val="single" w:sz="6" w:space="0" w:color="auto"/>
              <w:bottom w:val="single" w:sz="6" w:space="0" w:color="auto"/>
              <w:right w:val="single" w:sz="6" w:space="0" w:color="auto"/>
            </w:tcBorders>
            <w:shd w:val="clear" w:color="auto" w:fill="FFFFFF"/>
            <w:hideMark/>
          </w:tcPr>
          <w:p w14:paraId="0C9148F6"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0.516</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3CA8BE8A"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0.087</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30A27E50"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17</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64D49628"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0.273</w:t>
            </w:r>
          </w:p>
        </w:tc>
        <w:tc>
          <w:tcPr>
            <w:tcW w:w="1264" w:type="dxa"/>
            <w:tcBorders>
              <w:top w:val="single" w:sz="6" w:space="0" w:color="auto"/>
              <w:left w:val="single" w:sz="6" w:space="0" w:color="auto"/>
              <w:bottom w:val="single" w:sz="6" w:space="0" w:color="auto"/>
              <w:right w:val="single" w:sz="6" w:space="0" w:color="auto"/>
            </w:tcBorders>
            <w:shd w:val="clear" w:color="auto" w:fill="FFFFFF"/>
            <w:hideMark/>
          </w:tcPr>
          <w:p w14:paraId="4A91673B"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0.60</w:t>
            </w:r>
          </w:p>
        </w:tc>
      </w:tr>
      <w:tr w:rsidR="0097149D" w:rsidRPr="00F01347" w14:paraId="0AE1A009" w14:textId="77777777" w:rsidTr="0006497D">
        <w:trPr>
          <w:trHeight w:val="20"/>
        </w:trPr>
        <w:tc>
          <w:tcPr>
            <w:tcW w:w="925" w:type="dxa"/>
            <w:tcBorders>
              <w:top w:val="single" w:sz="6" w:space="0" w:color="auto"/>
              <w:left w:val="single" w:sz="6" w:space="0" w:color="auto"/>
              <w:bottom w:val="single" w:sz="6" w:space="0" w:color="auto"/>
              <w:right w:val="single" w:sz="6" w:space="0" w:color="auto"/>
            </w:tcBorders>
            <w:shd w:val="clear" w:color="auto" w:fill="FFFFFF"/>
            <w:hideMark/>
          </w:tcPr>
          <w:p w14:paraId="667991DC"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DCAA</w:t>
            </w:r>
          </w:p>
        </w:tc>
        <w:tc>
          <w:tcPr>
            <w:tcW w:w="1329" w:type="dxa"/>
            <w:tcBorders>
              <w:top w:val="single" w:sz="6" w:space="0" w:color="auto"/>
              <w:left w:val="single" w:sz="6" w:space="0" w:color="auto"/>
              <w:bottom w:val="single" w:sz="6" w:space="0" w:color="auto"/>
              <w:right w:val="single" w:sz="6" w:space="0" w:color="auto"/>
            </w:tcBorders>
            <w:shd w:val="clear" w:color="auto" w:fill="FFFFFF"/>
            <w:hideMark/>
          </w:tcPr>
          <w:p w14:paraId="60DDA114"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0.600</w:t>
            </w:r>
          </w:p>
        </w:tc>
        <w:tc>
          <w:tcPr>
            <w:tcW w:w="1423" w:type="dxa"/>
            <w:tcBorders>
              <w:top w:val="single" w:sz="6" w:space="0" w:color="auto"/>
              <w:left w:val="single" w:sz="6" w:space="0" w:color="auto"/>
              <w:bottom w:val="single" w:sz="6" w:space="0" w:color="auto"/>
              <w:right w:val="single" w:sz="6" w:space="0" w:color="auto"/>
            </w:tcBorders>
            <w:shd w:val="clear" w:color="auto" w:fill="FFFFFF"/>
            <w:hideMark/>
          </w:tcPr>
          <w:p w14:paraId="31795548"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0.494</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16C97CE8"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0.077</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4AC98A47"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16</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30CA8FE6"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0.242</w:t>
            </w:r>
          </w:p>
        </w:tc>
        <w:tc>
          <w:tcPr>
            <w:tcW w:w="1264" w:type="dxa"/>
            <w:tcBorders>
              <w:top w:val="single" w:sz="6" w:space="0" w:color="auto"/>
              <w:left w:val="single" w:sz="6" w:space="0" w:color="auto"/>
              <w:bottom w:val="single" w:sz="6" w:space="0" w:color="auto"/>
              <w:right w:val="single" w:sz="6" w:space="0" w:color="auto"/>
            </w:tcBorders>
            <w:shd w:val="clear" w:color="auto" w:fill="FFFFFF"/>
            <w:hideMark/>
          </w:tcPr>
          <w:p w14:paraId="65FF36AE"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0.24</w:t>
            </w:r>
          </w:p>
        </w:tc>
      </w:tr>
      <w:tr w:rsidR="0097149D" w:rsidRPr="00F01347" w14:paraId="5D989E14" w14:textId="77777777" w:rsidTr="0006497D">
        <w:trPr>
          <w:trHeight w:val="20"/>
        </w:trPr>
        <w:tc>
          <w:tcPr>
            <w:tcW w:w="925" w:type="dxa"/>
            <w:tcBorders>
              <w:top w:val="single" w:sz="6" w:space="0" w:color="auto"/>
              <w:left w:val="single" w:sz="6" w:space="0" w:color="auto"/>
              <w:bottom w:val="single" w:sz="6" w:space="0" w:color="auto"/>
              <w:right w:val="single" w:sz="6" w:space="0" w:color="auto"/>
            </w:tcBorders>
            <w:shd w:val="clear" w:color="auto" w:fill="FFFFFF"/>
            <w:hideMark/>
          </w:tcPr>
          <w:p w14:paraId="0CC51F30"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CAGR</w:t>
            </w:r>
          </w:p>
        </w:tc>
        <w:tc>
          <w:tcPr>
            <w:tcW w:w="1329" w:type="dxa"/>
            <w:tcBorders>
              <w:top w:val="single" w:sz="6" w:space="0" w:color="auto"/>
              <w:left w:val="single" w:sz="6" w:space="0" w:color="auto"/>
              <w:bottom w:val="single" w:sz="6" w:space="0" w:color="auto"/>
              <w:right w:val="single" w:sz="6" w:space="0" w:color="auto"/>
            </w:tcBorders>
            <w:shd w:val="clear" w:color="auto" w:fill="FFFFFF"/>
            <w:hideMark/>
          </w:tcPr>
          <w:p w14:paraId="014A2478"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0.200</w:t>
            </w:r>
          </w:p>
        </w:tc>
        <w:tc>
          <w:tcPr>
            <w:tcW w:w="1423" w:type="dxa"/>
            <w:tcBorders>
              <w:top w:val="single" w:sz="6" w:space="0" w:color="auto"/>
              <w:left w:val="single" w:sz="6" w:space="0" w:color="auto"/>
              <w:bottom w:val="single" w:sz="6" w:space="0" w:color="auto"/>
              <w:right w:val="single" w:sz="6" w:space="0" w:color="auto"/>
            </w:tcBorders>
            <w:shd w:val="clear" w:color="auto" w:fill="FFFFFF"/>
            <w:hideMark/>
          </w:tcPr>
          <w:p w14:paraId="1465D3A2"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0.219</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21749EA2"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0.025</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11F67559" w14:textId="35663926" w:rsidR="0097149D" w:rsidRPr="00F01347" w:rsidRDefault="008D27AC">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11</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14:paraId="370093EA"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0.079</w:t>
            </w:r>
          </w:p>
        </w:tc>
        <w:tc>
          <w:tcPr>
            <w:tcW w:w="1264" w:type="dxa"/>
            <w:tcBorders>
              <w:top w:val="single" w:sz="6" w:space="0" w:color="auto"/>
              <w:left w:val="single" w:sz="6" w:space="0" w:color="auto"/>
              <w:bottom w:val="single" w:sz="6" w:space="0" w:color="auto"/>
              <w:right w:val="single" w:sz="6" w:space="0" w:color="auto"/>
            </w:tcBorders>
            <w:shd w:val="clear" w:color="auto" w:fill="FFFFFF"/>
            <w:hideMark/>
          </w:tcPr>
          <w:p w14:paraId="2C373929" w14:textId="77777777" w:rsidR="0097149D" w:rsidRPr="00F01347" w:rsidRDefault="0097149D">
            <w:pPr>
              <w:pStyle w:val="texto0"/>
              <w:spacing w:line="236"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0.20</w:t>
            </w:r>
          </w:p>
        </w:tc>
      </w:tr>
      <w:tr w:rsidR="0097149D" w:rsidRPr="00F01347" w14:paraId="5731ED15" w14:textId="77777777" w:rsidTr="0006497D">
        <w:trPr>
          <w:trHeight w:val="20"/>
        </w:trPr>
        <w:tc>
          <w:tcPr>
            <w:tcW w:w="8715" w:type="dxa"/>
            <w:gridSpan w:val="7"/>
            <w:tcBorders>
              <w:top w:val="single" w:sz="6" w:space="0" w:color="auto"/>
              <w:left w:val="nil"/>
              <w:bottom w:val="nil"/>
              <w:right w:val="nil"/>
            </w:tcBorders>
            <w:shd w:val="clear" w:color="auto" w:fill="FFFFFF"/>
            <w:hideMark/>
          </w:tcPr>
          <w:p w14:paraId="42F54A58" w14:textId="77777777" w:rsidR="0097149D" w:rsidRPr="00F01347" w:rsidRDefault="0097149D">
            <w:pPr>
              <w:pStyle w:val="texto0"/>
              <w:spacing w:line="236" w:lineRule="exact"/>
              <w:ind w:firstLine="0"/>
              <w:rPr>
                <w:rFonts w:ascii="Verdana" w:hAnsi="Verdana"/>
                <w:color w:val="000000"/>
                <w:sz w:val="16"/>
                <w:szCs w:val="16"/>
                <w:lang w:val="en-US"/>
              </w:rPr>
            </w:pPr>
            <w:r w:rsidRPr="00F01347">
              <w:rPr>
                <w:rFonts w:ascii="Verdana" w:hAnsi="Verdana"/>
                <w:color w:val="000000"/>
                <w:sz w:val="16"/>
                <w:szCs w:val="16"/>
                <w:vertAlign w:val="superscript"/>
                <w:lang w:val="en-US"/>
              </w:rPr>
              <w:t xml:space="preserve">a </w:t>
            </w:r>
            <w:r w:rsidRPr="00F01347">
              <w:rPr>
                <w:rFonts w:ascii="Verdana" w:hAnsi="Verdana"/>
                <w:color w:val="000000"/>
                <w:sz w:val="16"/>
                <w:szCs w:val="16"/>
                <w:lang w:val="en-US"/>
              </w:rPr>
              <w:t>Produced from the analysis of seven aliquots of fortified reagent grade water.</w:t>
            </w:r>
          </w:p>
        </w:tc>
      </w:tr>
      <w:tr w:rsidR="0097149D" w:rsidRPr="00F01347" w14:paraId="743C8D8A" w14:textId="77777777" w:rsidTr="0006497D">
        <w:trPr>
          <w:trHeight w:val="20"/>
        </w:trPr>
        <w:tc>
          <w:tcPr>
            <w:tcW w:w="8715" w:type="dxa"/>
            <w:gridSpan w:val="7"/>
            <w:shd w:val="clear" w:color="auto" w:fill="FFFFFF"/>
            <w:hideMark/>
          </w:tcPr>
          <w:p w14:paraId="316113AC" w14:textId="77777777" w:rsidR="0097149D" w:rsidRPr="00F01347" w:rsidRDefault="0097149D">
            <w:pPr>
              <w:pStyle w:val="texto0"/>
              <w:spacing w:line="236" w:lineRule="exact"/>
              <w:ind w:firstLine="0"/>
              <w:rPr>
                <w:rFonts w:ascii="Verdana" w:hAnsi="Verdana"/>
                <w:color w:val="000000"/>
                <w:sz w:val="16"/>
                <w:szCs w:val="16"/>
                <w:lang w:val="en-US"/>
              </w:rPr>
            </w:pPr>
            <w:r w:rsidRPr="00F01347">
              <w:rPr>
                <w:rFonts w:ascii="Verdana" w:hAnsi="Verdana"/>
                <w:color w:val="000000"/>
                <w:sz w:val="16"/>
                <w:szCs w:val="16"/>
                <w:vertAlign w:val="superscript"/>
                <w:lang w:val="en-US"/>
              </w:rPr>
              <w:t xml:space="preserve">b </w:t>
            </w:r>
            <w:r w:rsidRPr="00F01347">
              <w:rPr>
                <w:rFonts w:ascii="Verdana" w:hAnsi="Verdana"/>
                <w:color w:val="000000"/>
                <w:sz w:val="16"/>
                <w:szCs w:val="16"/>
                <w:lang w:val="en-US"/>
              </w:rPr>
              <w:t>The MDL is a statistical estimate of the detection limit. To determine the MDL for each analyte, the standard deviation of the mean concentration of the seven replicates is calculated. The standard deviation is multiplied by the t- student value at 99% confidence and n-1 degrees of freedom (3,143 for seven replications) the result is the MDL.</w:t>
            </w:r>
          </w:p>
        </w:tc>
      </w:tr>
      <w:tr w:rsidR="0097149D" w:rsidRPr="00F01347" w14:paraId="2004690B" w14:textId="77777777" w:rsidTr="0006497D">
        <w:trPr>
          <w:trHeight w:val="20"/>
        </w:trPr>
        <w:tc>
          <w:tcPr>
            <w:tcW w:w="8715" w:type="dxa"/>
            <w:gridSpan w:val="7"/>
            <w:shd w:val="clear" w:color="auto" w:fill="FFFFFF"/>
            <w:hideMark/>
          </w:tcPr>
          <w:p w14:paraId="520EE217" w14:textId="77777777" w:rsidR="0097149D" w:rsidRPr="00F01347" w:rsidRDefault="0097149D">
            <w:pPr>
              <w:pStyle w:val="texto0"/>
              <w:spacing w:line="236" w:lineRule="exact"/>
              <w:ind w:firstLine="0"/>
              <w:rPr>
                <w:rFonts w:ascii="Verdana" w:hAnsi="Verdana"/>
                <w:color w:val="000000"/>
                <w:sz w:val="16"/>
                <w:szCs w:val="16"/>
                <w:lang w:val="en-US"/>
              </w:rPr>
            </w:pPr>
            <w:r w:rsidRPr="00F01347">
              <w:rPr>
                <w:rFonts w:ascii="Verdana" w:hAnsi="Verdana"/>
                <w:color w:val="000000"/>
                <w:sz w:val="16"/>
                <w:szCs w:val="16"/>
                <w:vertAlign w:val="superscript"/>
                <w:lang w:val="en-US"/>
              </w:rPr>
              <w:t xml:space="preserve">c </w:t>
            </w:r>
            <w:r w:rsidRPr="00F01347">
              <w:rPr>
                <w:rFonts w:ascii="Verdana" w:hAnsi="Verdana"/>
                <w:color w:val="000000"/>
                <w:sz w:val="16"/>
                <w:szCs w:val="16"/>
                <w:lang w:val="en-US"/>
              </w:rPr>
              <w:t>The EDL in the same manner as the MDL or as the level of compound in a sample that causes a peak in the final extract with a signal-to-noise (S/N) ratio of approximately five, or greater.</w:t>
            </w:r>
          </w:p>
        </w:tc>
      </w:tr>
    </w:tbl>
    <w:p w14:paraId="65B16854" w14:textId="77777777" w:rsidR="0097149D" w:rsidRPr="00F01347" w:rsidRDefault="0097149D" w:rsidP="003A601B">
      <w:pPr>
        <w:pStyle w:val="texto0"/>
        <w:spacing w:line="236"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7149D" w:rsidRPr="00F01347" w14:paraId="1CECFFB2" w14:textId="504A7294" w:rsidTr="008D27AC">
        <w:tc>
          <w:tcPr>
            <w:tcW w:w="4675" w:type="dxa"/>
          </w:tcPr>
          <w:p w14:paraId="1B8A1FA7" w14:textId="77777777" w:rsidR="0097149D" w:rsidRPr="00F01347" w:rsidRDefault="0097149D" w:rsidP="0097149D">
            <w:pPr>
              <w:pStyle w:val="texto0"/>
              <w:spacing w:line="236" w:lineRule="exact"/>
              <w:ind w:firstLine="0"/>
              <w:rPr>
                <w:rFonts w:ascii="Verdana" w:hAnsi="Verdana"/>
                <w:b/>
                <w:sz w:val="16"/>
                <w:szCs w:val="16"/>
              </w:rPr>
            </w:pPr>
            <w:r w:rsidRPr="00F01347">
              <w:rPr>
                <w:rFonts w:ascii="Verdana" w:hAnsi="Verdana"/>
                <w:b/>
                <w:sz w:val="16"/>
                <w:szCs w:val="16"/>
              </w:rPr>
              <w:t>B.5.5 Equipos y materiales</w:t>
            </w:r>
          </w:p>
        </w:tc>
        <w:tc>
          <w:tcPr>
            <w:tcW w:w="4675" w:type="dxa"/>
          </w:tcPr>
          <w:p w14:paraId="531A6BE9" w14:textId="45B95F23" w:rsidR="0097149D" w:rsidRPr="00F01347" w:rsidRDefault="0097149D" w:rsidP="0097149D">
            <w:pPr>
              <w:pStyle w:val="texto0"/>
              <w:spacing w:line="236" w:lineRule="exact"/>
              <w:ind w:firstLine="0"/>
              <w:rPr>
                <w:rFonts w:ascii="Verdana" w:hAnsi="Verdana"/>
                <w:b/>
                <w:sz w:val="16"/>
                <w:szCs w:val="16"/>
                <w:lang w:val="en-US"/>
              </w:rPr>
            </w:pPr>
            <w:r w:rsidRPr="00F01347">
              <w:rPr>
                <w:rFonts w:ascii="Verdana" w:hAnsi="Verdana"/>
                <w:b/>
                <w:sz w:val="16"/>
                <w:szCs w:val="16"/>
                <w:lang w:val="en-US"/>
              </w:rPr>
              <w:t>B.5.5 Equipment and materials</w:t>
            </w:r>
          </w:p>
        </w:tc>
      </w:tr>
      <w:tr w:rsidR="0097149D" w:rsidRPr="00F01347" w14:paraId="3FC0B035" w14:textId="0A8BBC39" w:rsidTr="008D27AC">
        <w:tc>
          <w:tcPr>
            <w:tcW w:w="4675" w:type="dxa"/>
          </w:tcPr>
          <w:p w14:paraId="4B1A01B7" w14:textId="77777777" w:rsidR="0097149D" w:rsidRPr="00F01347" w:rsidRDefault="0097149D" w:rsidP="0097149D">
            <w:pPr>
              <w:pStyle w:val="texto0"/>
              <w:spacing w:line="236" w:lineRule="exact"/>
              <w:ind w:firstLine="0"/>
              <w:rPr>
                <w:rFonts w:ascii="Verdana" w:hAnsi="Verdana"/>
                <w:sz w:val="16"/>
                <w:szCs w:val="16"/>
              </w:rPr>
            </w:pPr>
            <w:r w:rsidRPr="00F01347">
              <w:rPr>
                <w:rFonts w:ascii="Verdana" w:hAnsi="Verdana"/>
                <w:sz w:val="16"/>
                <w:szCs w:val="16"/>
              </w:rPr>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Pr>
          <w:p w14:paraId="2DC07B33" w14:textId="738389DE" w:rsidR="0097149D" w:rsidRPr="00F01347" w:rsidRDefault="0097149D" w:rsidP="0097149D">
            <w:pPr>
              <w:pStyle w:val="texto0"/>
              <w:spacing w:line="236" w:lineRule="exact"/>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97149D" w:rsidRPr="00F01347" w14:paraId="28257774" w14:textId="2C02FDF7" w:rsidTr="008D27AC">
        <w:tc>
          <w:tcPr>
            <w:tcW w:w="4675" w:type="dxa"/>
          </w:tcPr>
          <w:p w14:paraId="5E34BC37" w14:textId="77777777" w:rsidR="0097149D" w:rsidRPr="00F01347" w:rsidRDefault="0097149D" w:rsidP="0097149D">
            <w:pPr>
              <w:pStyle w:val="texto0"/>
              <w:spacing w:line="236" w:lineRule="exact"/>
              <w:ind w:firstLine="0"/>
              <w:rPr>
                <w:rFonts w:ascii="Verdana" w:hAnsi="Verdana"/>
                <w:sz w:val="16"/>
                <w:szCs w:val="16"/>
              </w:rPr>
            </w:pPr>
            <w:r w:rsidRPr="00F01347">
              <w:rPr>
                <w:rFonts w:ascii="Verdana" w:hAnsi="Verdana"/>
                <w:b/>
                <w:sz w:val="16"/>
                <w:szCs w:val="16"/>
              </w:rPr>
              <w:t xml:space="preserve">Balanza analítica. </w:t>
            </w:r>
            <w:r w:rsidRPr="00F01347">
              <w:rPr>
                <w:rFonts w:ascii="Verdana" w:hAnsi="Verdana"/>
                <w:sz w:val="16"/>
                <w:szCs w:val="16"/>
              </w:rPr>
              <w:t>Con precisión de 0.0001 g</w:t>
            </w:r>
          </w:p>
        </w:tc>
        <w:tc>
          <w:tcPr>
            <w:tcW w:w="4675" w:type="dxa"/>
          </w:tcPr>
          <w:p w14:paraId="09D5C646" w14:textId="184D06C8" w:rsidR="0097149D" w:rsidRPr="00F01347" w:rsidRDefault="0097149D" w:rsidP="0097149D">
            <w:pPr>
              <w:pStyle w:val="texto0"/>
              <w:spacing w:line="236" w:lineRule="exact"/>
              <w:ind w:firstLine="0"/>
              <w:rPr>
                <w:rFonts w:ascii="Verdana" w:hAnsi="Verdana"/>
                <w:b/>
                <w:sz w:val="16"/>
                <w:szCs w:val="16"/>
                <w:lang w:val="en-US"/>
              </w:rPr>
            </w:pPr>
            <w:r w:rsidRPr="00F01347">
              <w:rPr>
                <w:rFonts w:ascii="Verdana" w:hAnsi="Verdana"/>
                <w:b/>
                <w:sz w:val="16"/>
                <w:szCs w:val="16"/>
                <w:lang w:val="en-US"/>
              </w:rPr>
              <w:t xml:space="preserve">Analytical balance. </w:t>
            </w:r>
            <w:r w:rsidRPr="00F01347">
              <w:rPr>
                <w:rFonts w:ascii="Verdana" w:hAnsi="Verdana"/>
                <w:sz w:val="16"/>
                <w:szCs w:val="16"/>
                <w:lang w:val="en-US"/>
              </w:rPr>
              <w:t>With precision of 0.0001 g</w:t>
            </w:r>
          </w:p>
        </w:tc>
      </w:tr>
      <w:tr w:rsidR="0097149D" w:rsidRPr="00F01347" w14:paraId="65A0561C" w14:textId="7FA0EBA3" w:rsidTr="008D27AC">
        <w:tc>
          <w:tcPr>
            <w:tcW w:w="4675" w:type="dxa"/>
          </w:tcPr>
          <w:p w14:paraId="40645F14" w14:textId="77777777" w:rsidR="0097149D" w:rsidRPr="00F01347" w:rsidRDefault="0097149D" w:rsidP="0097149D">
            <w:pPr>
              <w:pStyle w:val="texto0"/>
              <w:spacing w:line="236" w:lineRule="exact"/>
              <w:ind w:firstLine="0"/>
              <w:rPr>
                <w:rFonts w:ascii="Verdana" w:hAnsi="Verdana"/>
                <w:sz w:val="16"/>
                <w:szCs w:val="16"/>
              </w:rPr>
            </w:pPr>
            <w:r w:rsidRPr="00F01347">
              <w:rPr>
                <w:rFonts w:ascii="Verdana" w:hAnsi="Verdana"/>
                <w:b/>
                <w:sz w:val="16"/>
                <w:szCs w:val="16"/>
              </w:rPr>
              <w:t>Columna capilar cuantitativa DB 35 MS</w:t>
            </w:r>
            <w:r w:rsidRPr="00F01347">
              <w:rPr>
                <w:rFonts w:ascii="Verdana" w:hAnsi="Verdana"/>
                <w:sz w:val="16"/>
                <w:szCs w:val="16"/>
              </w:rPr>
              <w:t xml:space="preserve">. De </w:t>
            </w:r>
            <w:proofErr w:type="spellStart"/>
            <w:r w:rsidRPr="00F01347">
              <w:rPr>
                <w:rFonts w:ascii="Verdana" w:hAnsi="Verdana"/>
                <w:sz w:val="16"/>
                <w:szCs w:val="16"/>
              </w:rPr>
              <w:t>sílica</w:t>
            </w:r>
            <w:proofErr w:type="spellEnd"/>
            <w:r w:rsidRPr="00F01347">
              <w:rPr>
                <w:rFonts w:ascii="Verdana" w:hAnsi="Verdana"/>
                <w:sz w:val="16"/>
                <w:szCs w:val="16"/>
              </w:rPr>
              <w:t xml:space="preserve"> fundida a 30 m de longitud por 0.25 mm con una fase estacionaria de 35% </w:t>
            </w:r>
            <w:proofErr w:type="spellStart"/>
            <w:r w:rsidRPr="00F01347">
              <w:rPr>
                <w:rFonts w:ascii="Verdana" w:hAnsi="Verdana"/>
                <w:sz w:val="16"/>
                <w:szCs w:val="16"/>
              </w:rPr>
              <w:t>fenil</w:t>
            </w:r>
            <w:proofErr w:type="spellEnd"/>
            <w:r w:rsidRPr="00F01347">
              <w:rPr>
                <w:rFonts w:ascii="Verdana" w:hAnsi="Verdana"/>
                <w:sz w:val="16"/>
                <w:szCs w:val="16"/>
              </w:rPr>
              <w:t xml:space="preserve"> </w:t>
            </w:r>
            <w:proofErr w:type="spellStart"/>
            <w:r w:rsidRPr="00F01347">
              <w:rPr>
                <w:rFonts w:ascii="Verdana" w:hAnsi="Verdana"/>
                <w:sz w:val="16"/>
                <w:szCs w:val="16"/>
              </w:rPr>
              <w:t>metil</w:t>
            </w:r>
            <w:proofErr w:type="spellEnd"/>
            <w:r w:rsidRPr="00F01347">
              <w:rPr>
                <w:rFonts w:ascii="Verdana" w:hAnsi="Verdana"/>
                <w:sz w:val="16"/>
                <w:szCs w:val="16"/>
              </w:rPr>
              <w:t xml:space="preserve"> silicón de 0.25 µm de grosor de película o equivalente.</w:t>
            </w:r>
          </w:p>
        </w:tc>
        <w:tc>
          <w:tcPr>
            <w:tcW w:w="4675" w:type="dxa"/>
          </w:tcPr>
          <w:p w14:paraId="5B7CCC6A" w14:textId="791737DE" w:rsidR="0097149D" w:rsidRPr="00F01347" w:rsidRDefault="0097149D" w:rsidP="0097149D">
            <w:pPr>
              <w:pStyle w:val="texto0"/>
              <w:spacing w:line="236" w:lineRule="exact"/>
              <w:ind w:firstLine="0"/>
              <w:rPr>
                <w:rFonts w:ascii="Verdana" w:hAnsi="Verdana"/>
                <w:b/>
                <w:sz w:val="16"/>
                <w:szCs w:val="16"/>
                <w:lang w:val="en-US"/>
              </w:rPr>
            </w:pPr>
            <w:r w:rsidRPr="00F01347">
              <w:rPr>
                <w:rFonts w:ascii="Verdana" w:hAnsi="Verdana"/>
                <w:b/>
                <w:sz w:val="16"/>
                <w:szCs w:val="16"/>
                <w:lang w:val="en-US"/>
              </w:rPr>
              <w:t>DB 35 MS quantitative capillary column</w:t>
            </w:r>
            <w:r w:rsidR="003E1BA9" w:rsidRPr="00F01347">
              <w:rPr>
                <w:rFonts w:ascii="Verdana" w:hAnsi="Verdana"/>
                <w:b/>
                <w:sz w:val="16"/>
                <w:szCs w:val="16"/>
                <w:lang w:val="en-US"/>
              </w:rPr>
              <w:t>.</w:t>
            </w:r>
            <w:r w:rsidRPr="00F01347">
              <w:rPr>
                <w:rFonts w:ascii="Verdana" w:hAnsi="Verdana"/>
                <w:sz w:val="16"/>
                <w:szCs w:val="16"/>
                <w:lang w:val="en-US"/>
              </w:rPr>
              <w:t xml:space="preserve"> Fused silica at 30 m length by 0.25 mm with a stationary phase of 35 % phenyl 0.25 µm film thickness methyl silicone or equivalent.</w:t>
            </w:r>
          </w:p>
        </w:tc>
      </w:tr>
      <w:tr w:rsidR="0097149D" w:rsidRPr="00F01347" w14:paraId="4DE0B5D2" w14:textId="0DC83B96" w:rsidTr="008D27AC">
        <w:tc>
          <w:tcPr>
            <w:tcW w:w="4675" w:type="dxa"/>
          </w:tcPr>
          <w:p w14:paraId="531453D3" w14:textId="77777777" w:rsidR="0097149D" w:rsidRPr="00F01347" w:rsidRDefault="0097149D" w:rsidP="0097149D">
            <w:pPr>
              <w:pStyle w:val="texto0"/>
              <w:spacing w:line="236" w:lineRule="exact"/>
              <w:ind w:firstLine="0"/>
              <w:rPr>
                <w:rFonts w:ascii="Verdana" w:hAnsi="Verdana"/>
                <w:sz w:val="16"/>
                <w:szCs w:val="16"/>
              </w:rPr>
            </w:pPr>
            <w:r w:rsidRPr="00F01347">
              <w:rPr>
                <w:rFonts w:ascii="Verdana" w:hAnsi="Verdana"/>
                <w:b/>
                <w:sz w:val="16"/>
                <w:szCs w:val="16"/>
              </w:rPr>
              <w:t>Columna capilar de confirmación DB-XLB</w:t>
            </w:r>
            <w:r w:rsidRPr="00F01347">
              <w:rPr>
                <w:rFonts w:ascii="Verdana" w:hAnsi="Verdana"/>
                <w:sz w:val="16"/>
                <w:szCs w:val="16"/>
              </w:rPr>
              <w:t xml:space="preserve">. Capilar de </w:t>
            </w:r>
            <w:proofErr w:type="spellStart"/>
            <w:r w:rsidRPr="00F01347">
              <w:rPr>
                <w:rFonts w:ascii="Verdana" w:hAnsi="Verdana"/>
                <w:sz w:val="16"/>
                <w:szCs w:val="16"/>
              </w:rPr>
              <w:t>sílica</w:t>
            </w:r>
            <w:proofErr w:type="spellEnd"/>
            <w:r w:rsidRPr="00F01347">
              <w:rPr>
                <w:rFonts w:ascii="Verdana" w:hAnsi="Verdana"/>
                <w:sz w:val="16"/>
                <w:szCs w:val="16"/>
              </w:rPr>
              <w:t xml:space="preserve"> fundida de 30 m de longitud por 0.25 mm de diámetro interno con fase estacionaria de </w:t>
            </w:r>
            <w:proofErr w:type="spellStart"/>
            <w:r w:rsidRPr="00F01347">
              <w:rPr>
                <w:rFonts w:ascii="Verdana" w:hAnsi="Verdana"/>
                <w:sz w:val="16"/>
                <w:szCs w:val="16"/>
              </w:rPr>
              <w:t>poliloxano</w:t>
            </w:r>
            <w:proofErr w:type="spellEnd"/>
            <w:r w:rsidRPr="00F01347">
              <w:rPr>
                <w:rFonts w:ascii="Verdana" w:hAnsi="Verdana"/>
                <w:sz w:val="16"/>
                <w:szCs w:val="16"/>
              </w:rPr>
              <w:t xml:space="preserve"> y un grosor de película de 0.25 </w:t>
            </w:r>
            <w:r w:rsidRPr="00F01347">
              <w:rPr>
                <w:rFonts w:ascii="Verdana" w:hAnsi="Verdana"/>
                <w:color w:val="000000"/>
                <w:sz w:val="16"/>
                <w:szCs w:val="16"/>
              </w:rPr>
              <w:t>µ</w:t>
            </w:r>
            <w:r w:rsidRPr="00F01347">
              <w:rPr>
                <w:rFonts w:ascii="Verdana" w:hAnsi="Verdana"/>
                <w:sz w:val="16"/>
                <w:szCs w:val="16"/>
              </w:rPr>
              <w:t>m o equivalente.</w:t>
            </w:r>
          </w:p>
        </w:tc>
        <w:tc>
          <w:tcPr>
            <w:tcW w:w="4675" w:type="dxa"/>
          </w:tcPr>
          <w:p w14:paraId="55A28F41" w14:textId="18F4DF6D" w:rsidR="0097149D" w:rsidRPr="00F01347" w:rsidRDefault="0097149D" w:rsidP="0097149D">
            <w:pPr>
              <w:pStyle w:val="texto0"/>
              <w:spacing w:line="236" w:lineRule="exact"/>
              <w:ind w:firstLine="0"/>
              <w:rPr>
                <w:rFonts w:ascii="Verdana" w:hAnsi="Verdana"/>
                <w:b/>
                <w:sz w:val="16"/>
                <w:szCs w:val="16"/>
                <w:lang w:val="en-US"/>
              </w:rPr>
            </w:pPr>
            <w:r w:rsidRPr="00F01347">
              <w:rPr>
                <w:rFonts w:ascii="Verdana" w:hAnsi="Verdana"/>
                <w:b/>
                <w:sz w:val="16"/>
                <w:szCs w:val="16"/>
                <w:lang w:val="en-US"/>
              </w:rPr>
              <w:t>DB-XLB confirmation capillary column</w:t>
            </w:r>
            <w:r w:rsidR="003E1BA9" w:rsidRPr="00F01347">
              <w:rPr>
                <w:rFonts w:ascii="Verdana" w:hAnsi="Verdana"/>
                <w:b/>
                <w:sz w:val="16"/>
                <w:szCs w:val="16"/>
                <w:lang w:val="en-US"/>
              </w:rPr>
              <w:t>.</w:t>
            </w:r>
            <w:r w:rsidRPr="00F01347">
              <w:rPr>
                <w:rFonts w:ascii="Verdana" w:hAnsi="Verdana"/>
                <w:sz w:val="16"/>
                <w:szCs w:val="16"/>
                <w:lang w:val="en-US"/>
              </w:rPr>
              <w:t xml:space="preserve"> Fused silica capillary 30 m long by 0.25 mm internal diameter with </w:t>
            </w:r>
            <w:proofErr w:type="spellStart"/>
            <w:r w:rsidRPr="00F01347">
              <w:rPr>
                <w:rFonts w:ascii="Verdana" w:hAnsi="Verdana"/>
                <w:sz w:val="16"/>
                <w:szCs w:val="16"/>
                <w:lang w:val="en-US"/>
              </w:rPr>
              <w:t>polyloxane</w:t>
            </w:r>
            <w:proofErr w:type="spellEnd"/>
            <w:r w:rsidRPr="00F01347">
              <w:rPr>
                <w:rFonts w:ascii="Verdana" w:hAnsi="Verdana"/>
                <w:sz w:val="16"/>
                <w:szCs w:val="16"/>
                <w:lang w:val="en-US"/>
              </w:rPr>
              <w:t xml:space="preserve"> stationary phase and a film thickness of 0.25 </w:t>
            </w:r>
            <w:r w:rsidRPr="00F01347">
              <w:rPr>
                <w:rFonts w:ascii="Verdana" w:hAnsi="Verdana"/>
                <w:color w:val="000000"/>
                <w:sz w:val="16"/>
                <w:szCs w:val="16"/>
                <w:lang w:val="en-US"/>
              </w:rPr>
              <w:t xml:space="preserve">µ </w:t>
            </w:r>
            <w:r w:rsidRPr="00F01347">
              <w:rPr>
                <w:rFonts w:ascii="Verdana" w:hAnsi="Verdana"/>
                <w:sz w:val="16"/>
                <w:szCs w:val="16"/>
                <w:lang w:val="en-US"/>
              </w:rPr>
              <w:t>m or equivalent.</w:t>
            </w:r>
          </w:p>
        </w:tc>
      </w:tr>
      <w:tr w:rsidR="0097149D" w:rsidRPr="00F01347" w14:paraId="23EB1039" w14:textId="31D6B757" w:rsidTr="008D27AC">
        <w:tc>
          <w:tcPr>
            <w:tcW w:w="4675" w:type="dxa"/>
          </w:tcPr>
          <w:p w14:paraId="40AC0FE8" w14:textId="77777777" w:rsidR="0097149D" w:rsidRPr="00F01347" w:rsidRDefault="0097149D" w:rsidP="0097149D">
            <w:pPr>
              <w:pStyle w:val="texto0"/>
              <w:spacing w:line="236" w:lineRule="exact"/>
              <w:ind w:firstLine="0"/>
              <w:rPr>
                <w:rFonts w:ascii="Verdana" w:hAnsi="Verdana"/>
                <w:sz w:val="16"/>
                <w:szCs w:val="16"/>
              </w:rPr>
            </w:pPr>
            <w:r w:rsidRPr="00F01347">
              <w:rPr>
                <w:rFonts w:ascii="Verdana" w:hAnsi="Verdana"/>
                <w:b/>
                <w:sz w:val="16"/>
                <w:szCs w:val="16"/>
              </w:rPr>
              <w:t>Cromatógrafo de gases (CG)</w:t>
            </w:r>
            <w:r w:rsidRPr="00F01347">
              <w:rPr>
                <w:rFonts w:ascii="Verdana" w:hAnsi="Verdana"/>
                <w:sz w:val="16"/>
                <w:szCs w:val="16"/>
              </w:rPr>
              <w:t>. Con inyector capilar y detector de captura de electrones (DCE) con sistema computarizado de registro y procesamiento de datos</w:t>
            </w:r>
          </w:p>
        </w:tc>
        <w:tc>
          <w:tcPr>
            <w:tcW w:w="4675" w:type="dxa"/>
          </w:tcPr>
          <w:p w14:paraId="154448A5" w14:textId="0A197590" w:rsidR="0097149D" w:rsidRPr="00F01347" w:rsidRDefault="0097149D" w:rsidP="0097149D">
            <w:pPr>
              <w:pStyle w:val="texto0"/>
              <w:spacing w:line="236" w:lineRule="exact"/>
              <w:ind w:firstLine="0"/>
              <w:rPr>
                <w:rFonts w:ascii="Verdana" w:hAnsi="Verdana"/>
                <w:b/>
                <w:sz w:val="16"/>
                <w:szCs w:val="16"/>
                <w:lang w:val="en-US"/>
              </w:rPr>
            </w:pPr>
            <w:r w:rsidRPr="00F01347">
              <w:rPr>
                <w:rFonts w:ascii="Verdana" w:hAnsi="Verdana"/>
                <w:b/>
                <w:sz w:val="16"/>
                <w:szCs w:val="16"/>
                <w:lang w:val="en-US"/>
              </w:rPr>
              <w:t>Gas chromatograph (GC)</w:t>
            </w:r>
            <w:r w:rsidR="003E1BA9" w:rsidRPr="00F01347">
              <w:rPr>
                <w:rFonts w:ascii="Verdana" w:hAnsi="Verdana"/>
                <w:b/>
                <w:sz w:val="16"/>
                <w:szCs w:val="16"/>
                <w:lang w:val="en-US"/>
              </w:rPr>
              <w:t>.</w:t>
            </w:r>
            <w:r w:rsidRPr="00F01347">
              <w:rPr>
                <w:rFonts w:ascii="Verdana" w:hAnsi="Verdana"/>
                <w:sz w:val="16"/>
                <w:szCs w:val="16"/>
                <w:lang w:val="en-US"/>
              </w:rPr>
              <w:t xml:space="preserve"> With capillary injector and electron capture detector (ECD) with computerized data recording and processing system</w:t>
            </w:r>
          </w:p>
        </w:tc>
      </w:tr>
      <w:tr w:rsidR="0097149D" w:rsidRPr="00F01347" w14:paraId="4ADCEA86" w14:textId="1A82F8F9" w:rsidTr="008D27AC">
        <w:tc>
          <w:tcPr>
            <w:tcW w:w="4675" w:type="dxa"/>
          </w:tcPr>
          <w:p w14:paraId="0BDA257D" w14:textId="77777777" w:rsidR="0097149D" w:rsidRPr="00F01347" w:rsidRDefault="0097149D" w:rsidP="0097149D">
            <w:pPr>
              <w:pStyle w:val="texto0"/>
              <w:spacing w:line="236" w:lineRule="exact"/>
              <w:ind w:firstLine="0"/>
              <w:rPr>
                <w:rFonts w:ascii="Verdana" w:hAnsi="Verdana"/>
                <w:sz w:val="16"/>
                <w:szCs w:val="16"/>
              </w:rPr>
            </w:pPr>
            <w:r w:rsidRPr="00F01347">
              <w:rPr>
                <w:rFonts w:ascii="Verdana" w:hAnsi="Verdana"/>
                <w:b/>
                <w:sz w:val="16"/>
                <w:szCs w:val="16"/>
              </w:rPr>
              <w:t>Matraz volumétrico tipo “A”</w:t>
            </w:r>
            <w:r w:rsidRPr="00F01347">
              <w:rPr>
                <w:rFonts w:ascii="Verdana" w:hAnsi="Verdana"/>
                <w:sz w:val="16"/>
                <w:szCs w:val="16"/>
              </w:rPr>
              <w:t xml:space="preserve">. De 4, 5 y 10 </w:t>
            </w:r>
            <w:proofErr w:type="spellStart"/>
            <w:r w:rsidRPr="00F01347">
              <w:rPr>
                <w:rFonts w:ascii="Verdana" w:hAnsi="Verdana"/>
                <w:sz w:val="16"/>
                <w:szCs w:val="16"/>
              </w:rPr>
              <w:t>mL</w:t>
            </w:r>
            <w:proofErr w:type="spellEnd"/>
            <w:r w:rsidRPr="00F01347">
              <w:rPr>
                <w:rFonts w:ascii="Verdana" w:hAnsi="Verdana"/>
                <w:sz w:val="16"/>
                <w:szCs w:val="16"/>
              </w:rPr>
              <w:t xml:space="preserve"> para la preparación de estándares.</w:t>
            </w:r>
          </w:p>
        </w:tc>
        <w:tc>
          <w:tcPr>
            <w:tcW w:w="4675" w:type="dxa"/>
          </w:tcPr>
          <w:p w14:paraId="2D963722" w14:textId="4771ECCA" w:rsidR="0097149D" w:rsidRPr="00F01347" w:rsidRDefault="0097149D" w:rsidP="0097149D">
            <w:pPr>
              <w:pStyle w:val="texto0"/>
              <w:spacing w:line="236" w:lineRule="exact"/>
              <w:ind w:firstLine="0"/>
              <w:rPr>
                <w:rFonts w:ascii="Verdana" w:hAnsi="Verdana"/>
                <w:b/>
                <w:sz w:val="16"/>
                <w:szCs w:val="16"/>
                <w:lang w:val="en-US"/>
              </w:rPr>
            </w:pPr>
            <w:r w:rsidRPr="00F01347">
              <w:rPr>
                <w:rFonts w:ascii="Verdana" w:hAnsi="Verdana"/>
                <w:b/>
                <w:sz w:val="16"/>
                <w:szCs w:val="16"/>
                <w:lang w:val="en-US"/>
              </w:rPr>
              <w:t>Volumetric flask type “A</w:t>
            </w:r>
            <w:r w:rsidR="002272F5" w:rsidRPr="00F01347">
              <w:rPr>
                <w:rFonts w:ascii="Verdana" w:hAnsi="Verdana"/>
                <w:b/>
                <w:sz w:val="16"/>
                <w:szCs w:val="16"/>
                <w:lang w:val="en-US"/>
              </w:rPr>
              <w:t>.</w:t>
            </w:r>
            <w:r w:rsidRPr="00F01347">
              <w:rPr>
                <w:rFonts w:ascii="Verdana" w:hAnsi="Verdana"/>
                <w:b/>
                <w:sz w:val="16"/>
                <w:szCs w:val="16"/>
                <w:lang w:val="en-US"/>
              </w:rPr>
              <w:t>”</w:t>
            </w:r>
            <w:r w:rsidRPr="00F01347">
              <w:rPr>
                <w:rFonts w:ascii="Verdana" w:hAnsi="Verdana"/>
                <w:sz w:val="16"/>
                <w:szCs w:val="16"/>
                <w:lang w:val="en-US"/>
              </w:rPr>
              <w:t xml:space="preserve"> Of 4, 5 and 10 mL for the preparation of standards.</w:t>
            </w:r>
          </w:p>
        </w:tc>
      </w:tr>
      <w:tr w:rsidR="0097149D" w:rsidRPr="00F01347" w14:paraId="52F6A994" w14:textId="672138DF" w:rsidTr="008D27AC">
        <w:tc>
          <w:tcPr>
            <w:tcW w:w="4675" w:type="dxa"/>
          </w:tcPr>
          <w:p w14:paraId="181E06C6" w14:textId="77777777" w:rsidR="0097149D" w:rsidRPr="00F01347" w:rsidRDefault="0097149D" w:rsidP="0097149D">
            <w:pPr>
              <w:pStyle w:val="texto0"/>
              <w:spacing w:line="236" w:lineRule="exact"/>
              <w:ind w:firstLine="0"/>
              <w:rPr>
                <w:rFonts w:ascii="Verdana" w:hAnsi="Verdana"/>
                <w:sz w:val="16"/>
                <w:szCs w:val="16"/>
              </w:rPr>
            </w:pPr>
            <w:proofErr w:type="spellStart"/>
            <w:r w:rsidRPr="00F01347">
              <w:rPr>
                <w:rFonts w:ascii="Verdana" w:hAnsi="Verdana"/>
                <w:b/>
                <w:sz w:val="16"/>
                <w:szCs w:val="16"/>
              </w:rPr>
              <w:t>Microjeringa</w:t>
            </w:r>
            <w:proofErr w:type="spellEnd"/>
            <w:r w:rsidRPr="00F01347">
              <w:rPr>
                <w:rFonts w:ascii="Verdana" w:hAnsi="Verdana"/>
                <w:b/>
                <w:sz w:val="16"/>
                <w:szCs w:val="16"/>
              </w:rPr>
              <w:t>.</w:t>
            </w:r>
            <w:r w:rsidRPr="00F01347">
              <w:rPr>
                <w:rFonts w:ascii="Verdana" w:hAnsi="Verdana"/>
                <w:sz w:val="16"/>
                <w:szCs w:val="16"/>
              </w:rPr>
              <w:t xml:space="preserve"> De 10, 25, 50, 100 y 500 µL.</w:t>
            </w:r>
          </w:p>
        </w:tc>
        <w:tc>
          <w:tcPr>
            <w:tcW w:w="4675" w:type="dxa"/>
          </w:tcPr>
          <w:p w14:paraId="008FA8C5" w14:textId="37502423" w:rsidR="0097149D" w:rsidRPr="00F01347" w:rsidRDefault="0097149D" w:rsidP="0097149D">
            <w:pPr>
              <w:pStyle w:val="texto0"/>
              <w:spacing w:line="236" w:lineRule="exact"/>
              <w:ind w:firstLine="0"/>
              <w:rPr>
                <w:rFonts w:ascii="Verdana" w:hAnsi="Verdana"/>
                <w:b/>
                <w:sz w:val="16"/>
                <w:szCs w:val="16"/>
                <w:lang w:val="en-US"/>
              </w:rPr>
            </w:pPr>
            <w:proofErr w:type="spellStart"/>
            <w:r w:rsidRPr="00F01347">
              <w:rPr>
                <w:rFonts w:ascii="Verdana" w:hAnsi="Verdana"/>
                <w:b/>
                <w:sz w:val="16"/>
                <w:szCs w:val="16"/>
                <w:lang w:val="en-US"/>
              </w:rPr>
              <w:t>Microsyringe</w:t>
            </w:r>
            <w:proofErr w:type="spellEnd"/>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Of 10, 25, 50, 100 and 500 µL.</w:t>
            </w:r>
          </w:p>
        </w:tc>
      </w:tr>
      <w:tr w:rsidR="0097149D" w:rsidRPr="00F01347" w14:paraId="7FD2E26A" w14:textId="1799779A" w:rsidTr="008D27AC">
        <w:tc>
          <w:tcPr>
            <w:tcW w:w="4675" w:type="dxa"/>
          </w:tcPr>
          <w:p w14:paraId="5BD46FD3" w14:textId="77777777" w:rsidR="0097149D" w:rsidRPr="00F01347" w:rsidRDefault="0097149D" w:rsidP="0097149D">
            <w:pPr>
              <w:pStyle w:val="texto0"/>
              <w:spacing w:line="236" w:lineRule="exact"/>
              <w:ind w:firstLine="0"/>
              <w:rPr>
                <w:rFonts w:ascii="Verdana" w:hAnsi="Verdana"/>
                <w:b/>
                <w:sz w:val="16"/>
                <w:szCs w:val="16"/>
              </w:rPr>
            </w:pPr>
            <w:r w:rsidRPr="00F01347">
              <w:rPr>
                <w:rFonts w:ascii="Verdana" w:hAnsi="Verdana"/>
                <w:b/>
                <w:sz w:val="16"/>
                <w:szCs w:val="16"/>
              </w:rPr>
              <w:t xml:space="preserve">Pipeta volumétrica tipo “A” de 4 </w:t>
            </w:r>
            <w:proofErr w:type="spellStart"/>
            <w:r w:rsidRPr="00F01347">
              <w:rPr>
                <w:rFonts w:ascii="Verdana" w:hAnsi="Verdana"/>
                <w:b/>
                <w:sz w:val="16"/>
                <w:szCs w:val="16"/>
              </w:rPr>
              <w:t>mL</w:t>
            </w:r>
            <w:proofErr w:type="spellEnd"/>
            <w:r w:rsidRPr="00F01347">
              <w:rPr>
                <w:rFonts w:ascii="Verdana" w:hAnsi="Verdana"/>
                <w:b/>
                <w:sz w:val="16"/>
                <w:szCs w:val="16"/>
              </w:rPr>
              <w:t>.</w:t>
            </w:r>
          </w:p>
        </w:tc>
        <w:tc>
          <w:tcPr>
            <w:tcW w:w="4675" w:type="dxa"/>
          </w:tcPr>
          <w:p w14:paraId="758E127D" w14:textId="12FC09D3" w:rsidR="0097149D" w:rsidRPr="00F01347" w:rsidRDefault="0097149D" w:rsidP="0097149D">
            <w:pPr>
              <w:pStyle w:val="texto0"/>
              <w:spacing w:line="236" w:lineRule="exact"/>
              <w:ind w:firstLine="0"/>
              <w:rPr>
                <w:rFonts w:ascii="Verdana" w:hAnsi="Verdana"/>
                <w:b/>
                <w:sz w:val="16"/>
                <w:szCs w:val="16"/>
                <w:lang w:val="en-US"/>
              </w:rPr>
            </w:pPr>
            <w:r w:rsidRPr="00F01347">
              <w:rPr>
                <w:rFonts w:ascii="Verdana" w:hAnsi="Verdana"/>
                <w:b/>
                <w:sz w:val="16"/>
                <w:szCs w:val="16"/>
                <w:lang w:val="en-US"/>
              </w:rPr>
              <w:t>4 mL type “A” volumetric pipette</w:t>
            </w:r>
            <w:r w:rsidR="003E1BA9" w:rsidRPr="00F01347">
              <w:rPr>
                <w:rFonts w:ascii="Verdana" w:hAnsi="Verdana"/>
                <w:b/>
                <w:sz w:val="16"/>
                <w:szCs w:val="16"/>
                <w:lang w:val="en-US"/>
              </w:rPr>
              <w:t>.</w:t>
            </w:r>
          </w:p>
        </w:tc>
      </w:tr>
      <w:tr w:rsidR="0097149D" w:rsidRPr="00F01347" w14:paraId="6BBEEB58" w14:textId="26512B03" w:rsidTr="008D27AC">
        <w:tc>
          <w:tcPr>
            <w:tcW w:w="4675" w:type="dxa"/>
          </w:tcPr>
          <w:p w14:paraId="58450ADF" w14:textId="77777777" w:rsidR="0097149D" w:rsidRPr="00F01347" w:rsidRDefault="0097149D" w:rsidP="0097149D">
            <w:pPr>
              <w:pStyle w:val="texto0"/>
              <w:spacing w:line="218" w:lineRule="exact"/>
              <w:ind w:firstLine="0"/>
              <w:rPr>
                <w:rFonts w:ascii="Verdana" w:hAnsi="Verdana"/>
                <w:b/>
                <w:sz w:val="16"/>
                <w:szCs w:val="16"/>
              </w:rPr>
            </w:pPr>
            <w:r w:rsidRPr="00F01347">
              <w:rPr>
                <w:rFonts w:ascii="Verdana" w:hAnsi="Verdana"/>
                <w:b/>
                <w:sz w:val="16"/>
                <w:szCs w:val="16"/>
              </w:rPr>
              <w:t>B.5.6 Reactivos y soluciones</w:t>
            </w:r>
          </w:p>
        </w:tc>
        <w:tc>
          <w:tcPr>
            <w:tcW w:w="4675" w:type="dxa"/>
          </w:tcPr>
          <w:p w14:paraId="12EBD05C" w14:textId="65F310E6"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B.5.6 Reagents and solutions</w:t>
            </w:r>
          </w:p>
        </w:tc>
      </w:tr>
      <w:tr w:rsidR="0097149D" w:rsidRPr="00F01347" w14:paraId="364D91A1" w14:textId="64917CB4" w:rsidTr="008D27AC">
        <w:tc>
          <w:tcPr>
            <w:tcW w:w="4675" w:type="dxa"/>
          </w:tcPr>
          <w:p w14:paraId="1657831C"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sz w:val="16"/>
                <w:szCs w:val="16"/>
              </w:rPr>
              <w:t xml:space="preserve">Los reactivos que requiere el método deben ser tipo ACS grado reactivo a menos que otra cosa se indique. Se deben preparar 5 niveles como mínimo de diferentes concentraciones de los analitos de interés para servir como disoluciones de calibración. Preparar los </w:t>
            </w:r>
            <w:r w:rsidRPr="00F01347">
              <w:rPr>
                <w:rFonts w:ascii="Verdana" w:hAnsi="Verdana"/>
                <w:sz w:val="16"/>
                <w:szCs w:val="16"/>
              </w:rPr>
              <w:lastRenderedPageBreak/>
              <w:t xml:space="preserve">estándares de calibración de forma gravimétrica si no se cuenta con material calibrado. El almacenaje de las soluciones estándar (patrón, de calibración, interna y estándares </w:t>
            </w:r>
            <w:proofErr w:type="spellStart"/>
            <w:r w:rsidRPr="00F01347">
              <w:rPr>
                <w:rFonts w:ascii="Verdana" w:hAnsi="Verdana"/>
                <w:sz w:val="16"/>
                <w:szCs w:val="16"/>
              </w:rPr>
              <w:t>surrogados</w:t>
            </w:r>
            <w:proofErr w:type="spellEnd"/>
            <w:r w:rsidRPr="00F01347">
              <w:rPr>
                <w:rFonts w:ascii="Verdana" w:hAnsi="Verdana"/>
                <w:sz w:val="16"/>
                <w:szCs w:val="16"/>
              </w:rPr>
              <w:t xml:space="preserve">) debe ser a una temperatura menor a 4°C en viales de 2 </w:t>
            </w:r>
            <w:proofErr w:type="spellStart"/>
            <w:r w:rsidRPr="00F01347">
              <w:rPr>
                <w:rFonts w:ascii="Verdana" w:hAnsi="Verdana"/>
                <w:sz w:val="16"/>
                <w:szCs w:val="16"/>
              </w:rPr>
              <w:t>mL</w:t>
            </w:r>
            <w:proofErr w:type="spellEnd"/>
            <w:r w:rsidRPr="00F01347">
              <w:rPr>
                <w:rFonts w:ascii="Verdana" w:hAnsi="Verdana"/>
                <w:sz w:val="16"/>
                <w:szCs w:val="16"/>
              </w:rPr>
              <w:t>. Todas las soluciones estándares patrón deben reemplazarse después de un año o antes si la rutina de control de calidad indica degradación o evaporación del solvente.</w:t>
            </w:r>
          </w:p>
        </w:tc>
        <w:tc>
          <w:tcPr>
            <w:tcW w:w="4675" w:type="dxa"/>
          </w:tcPr>
          <w:p w14:paraId="3C69F615" w14:textId="08E3322E" w:rsidR="0097149D" w:rsidRPr="00F01347" w:rsidRDefault="0097149D" w:rsidP="0097149D">
            <w:pPr>
              <w:pStyle w:val="texto0"/>
              <w:spacing w:line="218" w:lineRule="exact"/>
              <w:ind w:firstLine="0"/>
              <w:rPr>
                <w:rFonts w:ascii="Verdana" w:hAnsi="Verdana"/>
                <w:sz w:val="16"/>
                <w:szCs w:val="16"/>
                <w:lang w:val="en-US"/>
              </w:rPr>
            </w:pPr>
            <w:r w:rsidRPr="00F01347">
              <w:rPr>
                <w:rFonts w:ascii="Verdana" w:hAnsi="Verdana"/>
                <w:sz w:val="16"/>
                <w:szCs w:val="16"/>
                <w:lang w:val="en-US"/>
              </w:rPr>
              <w:lastRenderedPageBreak/>
              <w:t xml:space="preserve">The reagents required by the method must be ACS reagent grade unless otherwise indicated. At least 5 levels of different concentrations of the analytes of interest should be prepared to serve as calibration solutions. Prepare calibration standards gravimetrically </w:t>
            </w:r>
            <w:r w:rsidRPr="00F01347">
              <w:rPr>
                <w:rFonts w:ascii="Verdana" w:hAnsi="Verdana"/>
                <w:sz w:val="16"/>
                <w:szCs w:val="16"/>
                <w:lang w:val="en-US"/>
              </w:rPr>
              <w:lastRenderedPageBreak/>
              <w:t>if calibrated material is not available. The storage of standard solutions (standard, calibration, internal and surrogate standards</w:t>
            </w:r>
            <w:r w:rsidR="00913802" w:rsidRPr="00F01347">
              <w:rPr>
                <w:rFonts w:ascii="Verdana" w:hAnsi="Verdana"/>
                <w:sz w:val="16"/>
                <w:szCs w:val="16"/>
                <w:lang w:val="en-US"/>
              </w:rPr>
              <w:t>)</w:t>
            </w:r>
            <w:r w:rsidRPr="00F01347">
              <w:rPr>
                <w:rFonts w:ascii="Verdana" w:hAnsi="Verdana"/>
                <w:sz w:val="16"/>
                <w:szCs w:val="16"/>
                <w:lang w:val="en-US"/>
              </w:rPr>
              <w:t xml:space="preserve"> must be at a temperature below 4°C in 2 mL vials</w:t>
            </w:r>
            <w:r w:rsidR="003E1BA9" w:rsidRPr="00F01347">
              <w:rPr>
                <w:rFonts w:ascii="Verdana" w:hAnsi="Verdana"/>
                <w:sz w:val="16"/>
                <w:szCs w:val="16"/>
                <w:lang w:val="en-US"/>
              </w:rPr>
              <w:t>.</w:t>
            </w:r>
            <w:r w:rsidRPr="00F01347">
              <w:rPr>
                <w:rFonts w:ascii="Verdana" w:hAnsi="Verdana"/>
                <w:sz w:val="16"/>
                <w:szCs w:val="16"/>
                <w:lang w:val="en-US"/>
              </w:rPr>
              <w:t xml:space="preserve"> All standard stock solutions should be replaced after one year or sooner if the quality control routine indicates solvent degradation or evaporation.</w:t>
            </w:r>
          </w:p>
        </w:tc>
      </w:tr>
      <w:tr w:rsidR="0097149D" w:rsidRPr="00F01347" w14:paraId="088FCA99" w14:textId="6A313D98" w:rsidTr="008D27AC">
        <w:tc>
          <w:tcPr>
            <w:tcW w:w="4675" w:type="dxa"/>
          </w:tcPr>
          <w:p w14:paraId="58D899C4" w14:textId="77777777" w:rsidR="0097149D" w:rsidRPr="00F01347" w:rsidRDefault="0097149D" w:rsidP="0097149D">
            <w:pPr>
              <w:pStyle w:val="texto0"/>
              <w:spacing w:line="218" w:lineRule="exact"/>
              <w:ind w:firstLine="0"/>
              <w:rPr>
                <w:rFonts w:ascii="Verdana" w:hAnsi="Verdana"/>
                <w:b/>
                <w:sz w:val="16"/>
                <w:szCs w:val="16"/>
              </w:rPr>
            </w:pPr>
            <w:r w:rsidRPr="00F01347">
              <w:rPr>
                <w:rFonts w:ascii="Verdana" w:hAnsi="Verdana"/>
                <w:b/>
                <w:sz w:val="16"/>
                <w:szCs w:val="16"/>
              </w:rPr>
              <w:lastRenderedPageBreak/>
              <w:t xml:space="preserve">Acetona. </w:t>
            </w:r>
            <w:r w:rsidRPr="00F01347">
              <w:rPr>
                <w:rFonts w:ascii="Verdana" w:hAnsi="Verdana"/>
                <w:sz w:val="16"/>
                <w:szCs w:val="16"/>
              </w:rPr>
              <w:t xml:space="preserve">Grado reactivo, </w:t>
            </w:r>
            <w:proofErr w:type="spellStart"/>
            <w:r w:rsidRPr="00F01347">
              <w:rPr>
                <w:rFonts w:ascii="Verdana" w:hAnsi="Verdana"/>
                <w:sz w:val="16"/>
                <w:szCs w:val="16"/>
              </w:rPr>
              <w:t>nanogrado</w:t>
            </w:r>
            <w:proofErr w:type="spellEnd"/>
            <w:r w:rsidRPr="00F01347">
              <w:rPr>
                <w:rFonts w:ascii="Verdana" w:hAnsi="Verdana"/>
                <w:sz w:val="16"/>
                <w:szCs w:val="16"/>
              </w:rPr>
              <w:t xml:space="preserve"> o equivalente.</w:t>
            </w:r>
          </w:p>
        </w:tc>
        <w:tc>
          <w:tcPr>
            <w:tcW w:w="4675" w:type="dxa"/>
          </w:tcPr>
          <w:p w14:paraId="7E14E268" w14:textId="621F36F5"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Acetone. </w:t>
            </w:r>
            <w:r w:rsidRPr="00F01347">
              <w:rPr>
                <w:rFonts w:ascii="Verdana" w:hAnsi="Verdana"/>
                <w:sz w:val="16"/>
                <w:szCs w:val="16"/>
                <w:lang w:val="en-US"/>
              </w:rPr>
              <w:t>Re</w:t>
            </w:r>
            <w:r w:rsidR="00463040" w:rsidRPr="00F01347">
              <w:rPr>
                <w:rFonts w:ascii="Verdana" w:hAnsi="Verdana"/>
                <w:sz w:val="16"/>
                <w:szCs w:val="16"/>
                <w:lang w:val="en-US"/>
              </w:rPr>
              <w:t>agent</w:t>
            </w:r>
            <w:r w:rsidRPr="00F01347">
              <w:rPr>
                <w:rFonts w:ascii="Verdana" w:hAnsi="Verdana"/>
                <w:sz w:val="16"/>
                <w:szCs w:val="16"/>
                <w:lang w:val="en-US"/>
              </w:rPr>
              <w:t xml:space="preserve"> grade, </w:t>
            </w:r>
            <w:proofErr w:type="spellStart"/>
            <w:r w:rsidRPr="00F01347">
              <w:rPr>
                <w:rFonts w:ascii="Verdana" w:hAnsi="Verdana"/>
                <w:sz w:val="16"/>
                <w:szCs w:val="16"/>
                <w:lang w:val="en-US"/>
              </w:rPr>
              <w:t>nanograde</w:t>
            </w:r>
            <w:proofErr w:type="spellEnd"/>
            <w:r w:rsidRPr="00F01347">
              <w:rPr>
                <w:rFonts w:ascii="Verdana" w:hAnsi="Verdana"/>
                <w:sz w:val="16"/>
                <w:szCs w:val="16"/>
                <w:lang w:val="en-US"/>
              </w:rPr>
              <w:t xml:space="preserve"> or equivalent.</w:t>
            </w:r>
          </w:p>
        </w:tc>
      </w:tr>
      <w:tr w:rsidR="0097149D" w:rsidRPr="00F01347" w14:paraId="5A696B8A" w14:textId="78B297A9" w:rsidTr="008D27AC">
        <w:tc>
          <w:tcPr>
            <w:tcW w:w="4675" w:type="dxa"/>
          </w:tcPr>
          <w:p w14:paraId="0F5C139F"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 xml:space="preserve">Argón 95% / </w:t>
            </w:r>
            <w:r w:rsidRPr="00F01347">
              <w:rPr>
                <w:rFonts w:ascii="Verdana" w:hAnsi="Verdana"/>
                <w:sz w:val="16"/>
                <w:szCs w:val="16"/>
              </w:rPr>
              <w:t xml:space="preserve">metano 5% (o nitrógeno), con una pureza ≥ 99.999%, gas auxiliar o </w:t>
            </w:r>
            <w:proofErr w:type="spellStart"/>
            <w:r w:rsidRPr="00F01347">
              <w:rPr>
                <w:rFonts w:ascii="Verdana" w:hAnsi="Verdana"/>
                <w:sz w:val="16"/>
                <w:szCs w:val="16"/>
              </w:rPr>
              <w:t>make</w:t>
            </w:r>
            <w:proofErr w:type="spellEnd"/>
            <w:r w:rsidRPr="00F01347">
              <w:rPr>
                <w:rFonts w:ascii="Verdana" w:hAnsi="Verdana"/>
                <w:sz w:val="16"/>
                <w:szCs w:val="16"/>
              </w:rPr>
              <w:t>-</w:t>
            </w:r>
            <w:proofErr w:type="gramStart"/>
            <w:r w:rsidRPr="00F01347">
              <w:rPr>
                <w:rFonts w:ascii="Verdana" w:hAnsi="Verdana"/>
                <w:sz w:val="16"/>
                <w:szCs w:val="16"/>
              </w:rPr>
              <w:t>up  para</w:t>
            </w:r>
            <w:proofErr w:type="gramEnd"/>
            <w:r w:rsidRPr="00F01347">
              <w:rPr>
                <w:rFonts w:ascii="Verdana" w:hAnsi="Verdana"/>
                <w:sz w:val="16"/>
                <w:szCs w:val="16"/>
              </w:rPr>
              <w:t xml:space="preserve"> el ECD</w:t>
            </w:r>
          </w:p>
        </w:tc>
        <w:tc>
          <w:tcPr>
            <w:tcW w:w="4675" w:type="dxa"/>
          </w:tcPr>
          <w:p w14:paraId="767139C2" w14:textId="2B1D3B5B"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Argon 95% / </w:t>
            </w:r>
            <w:r w:rsidRPr="00F01347">
              <w:rPr>
                <w:rFonts w:ascii="Verdana" w:hAnsi="Verdana"/>
                <w:sz w:val="16"/>
                <w:szCs w:val="16"/>
                <w:lang w:val="en-US"/>
              </w:rPr>
              <w:t>methane 5% (or nitrogen), with a purity ≥ 99.999%, auxiliary or make - up gas for the ECD</w:t>
            </w:r>
          </w:p>
        </w:tc>
      </w:tr>
      <w:tr w:rsidR="0097149D" w:rsidRPr="00F01347" w14:paraId="179B3FB5" w14:textId="12533AC0" w:rsidTr="008D27AC">
        <w:tc>
          <w:tcPr>
            <w:tcW w:w="4675" w:type="dxa"/>
          </w:tcPr>
          <w:p w14:paraId="194F707E"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Bicarbonato de sodio.</w:t>
            </w:r>
            <w:r w:rsidRPr="00F01347">
              <w:rPr>
                <w:rFonts w:ascii="Verdana" w:hAnsi="Verdana"/>
                <w:sz w:val="16"/>
                <w:szCs w:val="16"/>
              </w:rPr>
              <w:t xml:space="preserve"> Grado reactivo.</w:t>
            </w:r>
          </w:p>
        </w:tc>
        <w:tc>
          <w:tcPr>
            <w:tcW w:w="4675" w:type="dxa"/>
          </w:tcPr>
          <w:p w14:paraId="1E018C5A" w14:textId="36F0C603"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Sodium bicarbonate. </w:t>
            </w:r>
            <w:r w:rsidR="00463040" w:rsidRPr="00F01347">
              <w:rPr>
                <w:rFonts w:ascii="Verdana" w:hAnsi="Verdana"/>
                <w:sz w:val="16"/>
                <w:szCs w:val="16"/>
                <w:lang w:val="en-US"/>
              </w:rPr>
              <w:t>Reagent grade</w:t>
            </w:r>
            <w:r w:rsidRPr="00F01347">
              <w:rPr>
                <w:rFonts w:ascii="Verdana" w:hAnsi="Verdana"/>
                <w:sz w:val="16"/>
                <w:szCs w:val="16"/>
                <w:lang w:val="en-US"/>
              </w:rPr>
              <w:t>.</w:t>
            </w:r>
          </w:p>
        </w:tc>
      </w:tr>
      <w:tr w:rsidR="0097149D" w:rsidRPr="00F01347" w14:paraId="0B439038" w14:textId="4B40F6C6" w:rsidTr="008D27AC">
        <w:tc>
          <w:tcPr>
            <w:tcW w:w="4675" w:type="dxa"/>
          </w:tcPr>
          <w:p w14:paraId="39E7C37E"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Cloruro de amonio.</w:t>
            </w:r>
            <w:r w:rsidRPr="00F01347">
              <w:rPr>
                <w:rFonts w:ascii="Verdana" w:hAnsi="Verdana"/>
                <w:sz w:val="16"/>
                <w:szCs w:val="16"/>
              </w:rPr>
              <w:t xml:space="preserve"> Grado reactivo.</w:t>
            </w:r>
          </w:p>
        </w:tc>
        <w:tc>
          <w:tcPr>
            <w:tcW w:w="4675" w:type="dxa"/>
          </w:tcPr>
          <w:p w14:paraId="1647ED97" w14:textId="06D73607"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Ammonium chloride. </w:t>
            </w:r>
            <w:r w:rsidR="00463040" w:rsidRPr="00F01347">
              <w:rPr>
                <w:rFonts w:ascii="Verdana" w:hAnsi="Verdana"/>
                <w:sz w:val="16"/>
                <w:szCs w:val="16"/>
                <w:lang w:val="en-US"/>
              </w:rPr>
              <w:t>Reagent grade</w:t>
            </w:r>
            <w:r w:rsidRPr="00F01347">
              <w:rPr>
                <w:rFonts w:ascii="Verdana" w:hAnsi="Verdana"/>
                <w:sz w:val="16"/>
                <w:szCs w:val="16"/>
                <w:lang w:val="en-US"/>
              </w:rPr>
              <w:t>.</w:t>
            </w:r>
          </w:p>
        </w:tc>
      </w:tr>
      <w:tr w:rsidR="0097149D" w:rsidRPr="00F01347" w14:paraId="3C7656A5" w14:textId="7F07EA47" w:rsidTr="008D27AC">
        <w:tc>
          <w:tcPr>
            <w:tcW w:w="4675" w:type="dxa"/>
          </w:tcPr>
          <w:p w14:paraId="3A0066D9"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 xml:space="preserve">Disolución de 100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cloroacetato</w:t>
            </w:r>
            <w:proofErr w:type="spellEnd"/>
            <w:r w:rsidRPr="00F01347">
              <w:rPr>
                <w:rFonts w:ascii="Verdana" w:hAnsi="Verdana"/>
                <w:b/>
                <w:sz w:val="16"/>
                <w:szCs w:val="16"/>
              </w:rPr>
              <w:t xml:space="preserve">, </w:t>
            </w:r>
            <w:proofErr w:type="spellStart"/>
            <w:r w:rsidRPr="00F01347">
              <w:rPr>
                <w:rFonts w:ascii="Verdana" w:hAnsi="Verdana"/>
                <w:b/>
                <w:sz w:val="16"/>
                <w:szCs w:val="16"/>
              </w:rPr>
              <w:t>dimetilcloroacetato</w:t>
            </w:r>
            <w:proofErr w:type="spellEnd"/>
            <w:r w:rsidRPr="00F01347">
              <w:rPr>
                <w:rFonts w:ascii="Verdana" w:hAnsi="Verdana"/>
                <w:b/>
                <w:sz w:val="16"/>
                <w:szCs w:val="16"/>
              </w:rPr>
              <w:t xml:space="preserve"> y 33.3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tricloroacetato</w:t>
            </w:r>
            <w:proofErr w:type="spellEnd"/>
            <w:r w:rsidRPr="00F01347">
              <w:rPr>
                <w:rFonts w:ascii="Verdana" w:hAnsi="Verdana"/>
                <w:b/>
                <w:sz w:val="16"/>
                <w:szCs w:val="16"/>
              </w:rPr>
              <w:t>.</w:t>
            </w:r>
            <w:r w:rsidRPr="00F01347">
              <w:rPr>
                <w:rFonts w:ascii="Verdana" w:hAnsi="Verdana"/>
                <w:sz w:val="16"/>
                <w:szCs w:val="16"/>
              </w:rPr>
              <w:t xml:space="preserve"> La solución estándar puede prepararse de materiales estándares puros o puede ser una solución certificada. Partir de una solución estándar de </w:t>
            </w:r>
            <w:proofErr w:type="spellStart"/>
            <w:r w:rsidRPr="00F01347">
              <w:rPr>
                <w:rFonts w:ascii="Verdana" w:hAnsi="Verdana"/>
                <w:sz w:val="16"/>
                <w:szCs w:val="16"/>
              </w:rPr>
              <w:t>Metil</w:t>
            </w:r>
            <w:proofErr w:type="spellEnd"/>
            <w:r w:rsidRPr="00F01347">
              <w:rPr>
                <w:rFonts w:ascii="Verdana" w:hAnsi="Verdana"/>
                <w:sz w:val="16"/>
                <w:szCs w:val="16"/>
              </w:rPr>
              <w:t xml:space="preserve"> </w:t>
            </w:r>
            <w:proofErr w:type="spellStart"/>
            <w:r w:rsidRPr="00F01347">
              <w:rPr>
                <w:rFonts w:ascii="Verdana" w:hAnsi="Verdana"/>
                <w:sz w:val="16"/>
                <w:szCs w:val="16"/>
              </w:rPr>
              <w:t>cloroacetato</w:t>
            </w:r>
            <w:proofErr w:type="spellEnd"/>
            <w:r w:rsidRPr="00F01347">
              <w:rPr>
                <w:rFonts w:ascii="Verdana" w:hAnsi="Verdana"/>
                <w:sz w:val="16"/>
                <w:szCs w:val="16"/>
              </w:rPr>
              <w:t xml:space="preserve"> de 3 000 mg/L, </w:t>
            </w:r>
            <w:proofErr w:type="spellStart"/>
            <w:r w:rsidRPr="00F01347">
              <w:rPr>
                <w:rFonts w:ascii="Verdana" w:hAnsi="Verdana"/>
                <w:sz w:val="16"/>
                <w:szCs w:val="16"/>
              </w:rPr>
              <w:t>metil</w:t>
            </w:r>
            <w:proofErr w:type="spellEnd"/>
            <w:r w:rsidRPr="00F01347">
              <w:rPr>
                <w:rFonts w:ascii="Verdana" w:hAnsi="Verdana"/>
                <w:sz w:val="16"/>
                <w:szCs w:val="16"/>
              </w:rPr>
              <w:t xml:space="preserve"> </w:t>
            </w:r>
            <w:proofErr w:type="spellStart"/>
            <w:r w:rsidRPr="00F01347">
              <w:rPr>
                <w:rFonts w:ascii="Verdana" w:hAnsi="Verdana"/>
                <w:sz w:val="16"/>
                <w:szCs w:val="16"/>
              </w:rPr>
              <w:t>dicloroacetato</w:t>
            </w:r>
            <w:proofErr w:type="spellEnd"/>
            <w:r w:rsidRPr="00F01347">
              <w:rPr>
                <w:rFonts w:ascii="Verdana" w:hAnsi="Verdana"/>
                <w:sz w:val="16"/>
                <w:szCs w:val="16"/>
              </w:rPr>
              <w:t xml:space="preserve"> de 3 000 mg/L y </w:t>
            </w:r>
            <w:proofErr w:type="spellStart"/>
            <w:r w:rsidRPr="00F01347">
              <w:rPr>
                <w:rFonts w:ascii="Verdana" w:hAnsi="Verdana"/>
                <w:sz w:val="16"/>
                <w:szCs w:val="16"/>
              </w:rPr>
              <w:t>metil</w:t>
            </w:r>
            <w:proofErr w:type="spellEnd"/>
            <w:r w:rsidRPr="00F01347">
              <w:rPr>
                <w:rFonts w:ascii="Verdana" w:hAnsi="Verdana"/>
                <w:sz w:val="16"/>
                <w:szCs w:val="16"/>
              </w:rPr>
              <w:t xml:space="preserve"> </w:t>
            </w:r>
            <w:proofErr w:type="spellStart"/>
            <w:r w:rsidRPr="00F01347">
              <w:rPr>
                <w:rFonts w:ascii="Verdana" w:hAnsi="Verdana"/>
                <w:sz w:val="16"/>
                <w:szCs w:val="16"/>
              </w:rPr>
              <w:t>tricloroacetato</w:t>
            </w:r>
            <w:proofErr w:type="spellEnd"/>
            <w:r w:rsidRPr="00F01347">
              <w:rPr>
                <w:rFonts w:ascii="Verdana" w:hAnsi="Verdana"/>
                <w:sz w:val="16"/>
                <w:szCs w:val="16"/>
              </w:rPr>
              <w:t xml:space="preserve"> de 1 000 mg/L (en mezcla). En un matraz aforado de 1 </w:t>
            </w:r>
            <w:proofErr w:type="spellStart"/>
            <w:r w:rsidRPr="00F01347">
              <w:rPr>
                <w:rFonts w:ascii="Verdana" w:hAnsi="Verdana"/>
                <w:sz w:val="16"/>
                <w:szCs w:val="16"/>
              </w:rPr>
              <w:t>mL</w:t>
            </w:r>
            <w:proofErr w:type="spellEnd"/>
            <w:r w:rsidRPr="00F01347">
              <w:rPr>
                <w:rFonts w:ascii="Verdana" w:hAnsi="Verdana"/>
                <w:sz w:val="16"/>
                <w:szCs w:val="16"/>
              </w:rPr>
              <w:t xml:space="preserve"> poner 33.3 µL de la mezcla de </w:t>
            </w:r>
            <w:proofErr w:type="spellStart"/>
            <w:r w:rsidRPr="00F01347">
              <w:rPr>
                <w:rFonts w:ascii="Verdana" w:hAnsi="Verdana"/>
                <w:sz w:val="16"/>
                <w:szCs w:val="16"/>
              </w:rPr>
              <w:t>metil</w:t>
            </w:r>
            <w:proofErr w:type="spellEnd"/>
            <w:r w:rsidRPr="00F01347">
              <w:rPr>
                <w:rFonts w:ascii="Verdana" w:hAnsi="Verdana"/>
                <w:sz w:val="16"/>
                <w:szCs w:val="16"/>
              </w:rPr>
              <w:t xml:space="preserve"> </w:t>
            </w:r>
            <w:proofErr w:type="spellStart"/>
            <w:r w:rsidRPr="00F01347">
              <w:rPr>
                <w:rFonts w:ascii="Verdana" w:hAnsi="Verdana"/>
                <w:sz w:val="16"/>
                <w:szCs w:val="16"/>
              </w:rPr>
              <w:t>cloroacetato</w:t>
            </w:r>
            <w:proofErr w:type="spellEnd"/>
            <w:r w:rsidRPr="00F01347">
              <w:rPr>
                <w:rFonts w:ascii="Verdana" w:hAnsi="Verdana"/>
                <w:sz w:val="16"/>
                <w:szCs w:val="16"/>
              </w:rPr>
              <w:t xml:space="preserve">, </w:t>
            </w:r>
            <w:proofErr w:type="spellStart"/>
            <w:r w:rsidRPr="00F01347">
              <w:rPr>
                <w:rFonts w:ascii="Verdana" w:hAnsi="Verdana"/>
                <w:sz w:val="16"/>
                <w:szCs w:val="16"/>
              </w:rPr>
              <w:t>metil</w:t>
            </w:r>
            <w:proofErr w:type="spellEnd"/>
            <w:r w:rsidRPr="00F01347">
              <w:rPr>
                <w:rFonts w:ascii="Verdana" w:hAnsi="Verdana"/>
                <w:sz w:val="16"/>
                <w:szCs w:val="16"/>
              </w:rPr>
              <w:t xml:space="preserve"> </w:t>
            </w:r>
            <w:proofErr w:type="spellStart"/>
            <w:r w:rsidRPr="00F01347">
              <w:rPr>
                <w:rFonts w:ascii="Verdana" w:hAnsi="Verdana"/>
                <w:sz w:val="16"/>
                <w:szCs w:val="16"/>
              </w:rPr>
              <w:t>dicloroacetato</w:t>
            </w:r>
            <w:proofErr w:type="spellEnd"/>
            <w:r w:rsidRPr="00F01347">
              <w:rPr>
                <w:rFonts w:ascii="Verdana" w:hAnsi="Verdana"/>
                <w:sz w:val="16"/>
                <w:szCs w:val="16"/>
              </w:rPr>
              <w:t xml:space="preserve"> y </w:t>
            </w:r>
            <w:proofErr w:type="spellStart"/>
            <w:r w:rsidRPr="00F01347">
              <w:rPr>
                <w:rFonts w:ascii="Verdana" w:hAnsi="Verdana"/>
                <w:sz w:val="16"/>
                <w:szCs w:val="16"/>
              </w:rPr>
              <w:t>metil</w:t>
            </w:r>
            <w:proofErr w:type="spellEnd"/>
            <w:r w:rsidRPr="00F01347">
              <w:rPr>
                <w:rFonts w:ascii="Verdana" w:hAnsi="Verdana"/>
                <w:sz w:val="16"/>
                <w:szCs w:val="16"/>
              </w:rPr>
              <w:t xml:space="preserve"> </w:t>
            </w:r>
            <w:proofErr w:type="spellStart"/>
            <w:r w:rsidRPr="00F01347">
              <w:rPr>
                <w:rFonts w:ascii="Verdana" w:hAnsi="Verdana"/>
                <w:sz w:val="16"/>
                <w:szCs w:val="16"/>
              </w:rPr>
              <w:t>tricloroacetato</w:t>
            </w:r>
            <w:proofErr w:type="spellEnd"/>
            <w:r w:rsidRPr="00F01347">
              <w:rPr>
                <w:rFonts w:ascii="Verdana" w:hAnsi="Verdana"/>
                <w:sz w:val="16"/>
                <w:szCs w:val="16"/>
              </w:rPr>
              <w:t>, aforar con MTBE.</w:t>
            </w:r>
          </w:p>
        </w:tc>
        <w:tc>
          <w:tcPr>
            <w:tcW w:w="4675" w:type="dxa"/>
          </w:tcPr>
          <w:p w14:paraId="6DB3A9E4" w14:textId="002EC3B1" w:rsidR="0097149D" w:rsidRPr="00F01347" w:rsidRDefault="00463040"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M</w:t>
            </w:r>
            <w:r w:rsidR="0097149D" w:rsidRPr="00F01347">
              <w:rPr>
                <w:rFonts w:ascii="Verdana" w:hAnsi="Verdana"/>
                <w:b/>
                <w:sz w:val="16"/>
                <w:szCs w:val="16"/>
                <w:lang w:val="en-US"/>
              </w:rPr>
              <w:t>ethyl chloroacetate</w:t>
            </w:r>
            <w:r w:rsidR="003E1BA9" w:rsidRPr="00F01347">
              <w:rPr>
                <w:rFonts w:ascii="Verdana" w:hAnsi="Verdana"/>
                <w:b/>
                <w:sz w:val="16"/>
                <w:szCs w:val="16"/>
                <w:lang w:val="en-US"/>
              </w:rPr>
              <w:t>,</w:t>
            </w:r>
            <w:r w:rsidR="0097149D" w:rsidRPr="00F01347">
              <w:rPr>
                <w:rFonts w:ascii="Verdana" w:hAnsi="Verdana"/>
                <w:b/>
                <w:sz w:val="16"/>
                <w:szCs w:val="16"/>
                <w:lang w:val="en-US"/>
              </w:rPr>
              <w:t xml:space="preserve"> </w:t>
            </w:r>
            <w:proofErr w:type="spellStart"/>
            <w:r w:rsidR="0097149D" w:rsidRPr="00F01347">
              <w:rPr>
                <w:rFonts w:ascii="Verdana" w:hAnsi="Verdana"/>
                <w:b/>
                <w:sz w:val="16"/>
                <w:szCs w:val="16"/>
                <w:lang w:val="en-US"/>
              </w:rPr>
              <w:t>dimethylchloroacetate</w:t>
            </w:r>
            <w:proofErr w:type="spellEnd"/>
            <w:r w:rsidR="0097149D" w:rsidRPr="00F01347">
              <w:rPr>
                <w:rFonts w:ascii="Verdana" w:hAnsi="Verdana"/>
                <w:b/>
                <w:sz w:val="16"/>
                <w:szCs w:val="16"/>
                <w:lang w:val="en-US"/>
              </w:rPr>
              <w:t xml:space="preserve"> and 33.3 mg/L methyl </w:t>
            </w:r>
            <w:proofErr w:type="spellStart"/>
            <w:r w:rsidR="0097149D" w:rsidRPr="00F01347">
              <w:rPr>
                <w:rFonts w:ascii="Verdana" w:hAnsi="Verdana"/>
                <w:b/>
                <w:sz w:val="16"/>
                <w:szCs w:val="16"/>
                <w:lang w:val="en-US"/>
              </w:rPr>
              <w:t>trichloroacetate</w:t>
            </w:r>
            <w:proofErr w:type="spellEnd"/>
            <w:r w:rsidRPr="00F01347">
              <w:rPr>
                <w:rFonts w:ascii="Verdana" w:hAnsi="Verdana"/>
                <w:b/>
                <w:sz w:val="16"/>
                <w:szCs w:val="16"/>
                <w:lang w:val="en-US"/>
              </w:rPr>
              <w:t xml:space="preserve"> </w:t>
            </w:r>
            <w:r w:rsidRPr="00F01347">
              <w:rPr>
                <w:rFonts w:ascii="Verdana" w:hAnsi="Verdana"/>
                <w:b/>
                <w:sz w:val="16"/>
                <w:szCs w:val="16"/>
                <w:lang w:val="en-US"/>
              </w:rPr>
              <w:t>solution</w:t>
            </w:r>
            <w:r w:rsidR="003E1BA9" w:rsidRPr="00F01347">
              <w:rPr>
                <w:rFonts w:ascii="Verdana" w:hAnsi="Verdana"/>
                <w:b/>
                <w:sz w:val="16"/>
                <w:szCs w:val="16"/>
                <w:lang w:val="en-US"/>
              </w:rPr>
              <w:t>.</w:t>
            </w:r>
            <w:r w:rsidR="0097149D" w:rsidRPr="00F01347">
              <w:rPr>
                <w:rFonts w:ascii="Verdana" w:hAnsi="Verdana"/>
                <w:b/>
                <w:sz w:val="16"/>
                <w:szCs w:val="16"/>
                <w:lang w:val="en-US"/>
              </w:rPr>
              <w:t xml:space="preserve"> </w:t>
            </w:r>
            <w:r w:rsidR="0097149D" w:rsidRPr="00F01347">
              <w:rPr>
                <w:rFonts w:ascii="Verdana" w:hAnsi="Verdana"/>
                <w:sz w:val="16"/>
                <w:szCs w:val="16"/>
                <w:lang w:val="en-US"/>
              </w:rPr>
              <w:t>The standard solution may be prepared from pure standard materials or may be a certified solution. Starting from a standard Methyl solution 3,000 mg/L chloroacetate</w:t>
            </w:r>
            <w:r w:rsidR="003E1BA9" w:rsidRPr="00F01347">
              <w:rPr>
                <w:rFonts w:ascii="Verdana" w:hAnsi="Verdana"/>
                <w:sz w:val="16"/>
                <w:szCs w:val="16"/>
                <w:lang w:val="en-US"/>
              </w:rPr>
              <w:t>,</w:t>
            </w:r>
            <w:r w:rsidR="0097149D" w:rsidRPr="00F01347">
              <w:rPr>
                <w:rFonts w:ascii="Verdana" w:hAnsi="Verdana"/>
                <w:sz w:val="16"/>
                <w:szCs w:val="16"/>
                <w:lang w:val="en-US"/>
              </w:rPr>
              <w:t xml:space="preserve"> methyl 3,000 mg/L dichloroacetate and methyl </w:t>
            </w:r>
            <w:proofErr w:type="spellStart"/>
            <w:r w:rsidR="0097149D" w:rsidRPr="00F01347">
              <w:rPr>
                <w:rFonts w:ascii="Verdana" w:hAnsi="Verdana"/>
                <w:sz w:val="16"/>
                <w:szCs w:val="16"/>
                <w:lang w:val="en-US"/>
              </w:rPr>
              <w:t>trichloroacetate</w:t>
            </w:r>
            <w:proofErr w:type="spellEnd"/>
            <w:r w:rsidR="0097149D" w:rsidRPr="00F01347">
              <w:rPr>
                <w:rFonts w:ascii="Verdana" w:hAnsi="Verdana"/>
                <w:sz w:val="16"/>
                <w:szCs w:val="16"/>
                <w:lang w:val="en-US"/>
              </w:rPr>
              <w:t xml:space="preserve"> 1,000 mg/L (in mixture). In a 1 mL volumetric flask put 33.3 µL of the methyl mixture chloroacetate</w:t>
            </w:r>
            <w:r w:rsidR="003E1BA9" w:rsidRPr="00F01347">
              <w:rPr>
                <w:rFonts w:ascii="Verdana" w:hAnsi="Verdana"/>
                <w:sz w:val="16"/>
                <w:szCs w:val="16"/>
                <w:lang w:val="en-US"/>
              </w:rPr>
              <w:t>,</w:t>
            </w:r>
            <w:r w:rsidR="0097149D" w:rsidRPr="00F01347">
              <w:rPr>
                <w:rFonts w:ascii="Verdana" w:hAnsi="Verdana"/>
                <w:sz w:val="16"/>
                <w:szCs w:val="16"/>
                <w:lang w:val="en-US"/>
              </w:rPr>
              <w:t xml:space="preserve"> methyl dichloroacetate and methyl </w:t>
            </w:r>
            <w:proofErr w:type="spellStart"/>
            <w:r w:rsidR="0097149D" w:rsidRPr="00F01347">
              <w:rPr>
                <w:rFonts w:ascii="Verdana" w:hAnsi="Verdana"/>
                <w:sz w:val="16"/>
                <w:szCs w:val="16"/>
                <w:lang w:val="en-US"/>
              </w:rPr>
              <w:t>trichloroacetate</w:t>
            </w:r>
            <w:proofErr w:type="spellEnd"/>
            <w:r w:rsidR="003E1BA9" w:rsidRPr="00F01347">
              <w:rPr>
                <w:rFonts w:ascii="Verdana" w:hAnsi="Verdana"/>
                <w:sz w:val="16"/>
                <w:szCs w:val="16"/>
                <w:lang w:val="en-US"/>
              </w:rPr>
              <w:t>,</w:t>
            </w:r>
            <w:r w:rsidR="0097149D" w:rsidRPr="00F01347">
              <w:rPr>
                <w:rFonts w:ascii="Verdana" w:hAnsi="Verdana"/>
                <w:sz w:val="16"/>
                <w:szCs w:val="16"/>
                <w:lang w:val="en-US"/>
              </w:rPr>
              <w:t xml:space="preserve"> measure with MTBE.</w:t>
            </w:r>
            <w:r w:rsidRPr="00F01347">
              <w:rPr>
                <w:rFonts w:ascii="Verdana" w:hAnsi="Verdana"/>
                <w:sz w:val="16"/>
                <w:szCs w:val="16"/>
                <w:lang w:val="en-US"/>
              </w:rPr>
              <w:t xml:space="preserve"> </w:t>
            </w:r>
          </w:p>
        </w:tc>
      </w:tr>
      <w:tr w:rsidR="0097149D" w:rsidRPr="00F01347" w14:paraId="08814012" w14:textId="335545E3" w:rsidTr="008D27AC">
        <w:tc>
          <w:tcPr>
            <w:tcW w:w="4675" w:type="dxa"/>
          </w:tcPr>
          <w:p w14:paraId="22E6BA2E"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 xml:space="preserve">Disolución de 1 y 0.33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acetatos.</w:t>
            </w:r>
            <w:r w:rsidRPr="00F01347">
              <w:rPr>
                <w:rFonts w:ascii="Verdana" w:hAnsi="Verdana"/>
                <w:sz w:val="16"/>
                <w:szCs w:val="16"/>
              </w:rPr>
              <w:t xml:space="preserve"> La solución estándar puede prepararse de materiales estándares puros o puede ser una solución certificada. En un matraz aforado de 5 </w:t>
            </w:r>
            <w:proofErr w:type="spellStart"/>
            <w:r w:rsidRPr="00F01347">
              <w:rPr>
                <w:rFonts w:ascii="Verdana" w:hAnsi="Verdana"/>
                <w:sz w:val="16"/>
                <w:szCs w:val="16"/>
              </w:rPr>
              <w:t>mL</w:t>
            </w:r>
            <w:proofErr w:type="spellEnd"/>
            <w:r w:rsidRPr="00F01347">
              <w:rPr>
                <w:rFonts w:ascii="Verdana" w:hAnsi="Verdana"/>
                <w:sz w:val="16"/>
                <w:szCs w:val="16"/>
              </w:rPr>
              <w:t xml:space="preserve"> poner 50 </w:t>
            </w:r>
            <w:r w:rsidRPr="00F01347">
              <w:rPr>
                <w:rFonts w:ascii="Verdana" w:hAnsi="Verdana"/>
                <w:color w:val="000000"/>
                <w:sz w:val="16"/>
                <w:szCs w:val="16"/>
              </w:rPr>
              <w:t>µ</w:t>
            </w:r>
            <w:r w:rsidRPr="00F01347">
              <w:rPr>
                <w:rFonts w:ascii="Verdana" w:hAnsi="Verdana"/>
                <w:sz w:val="16"/>
                <w:szCs w:val="16"/>
              </w:rPr>
              <w:t xml:space="preserve">L de la mezcla de 100 mg/L de </w:t>
            </w:r>
            <w:proofErr w:type="spellStart"/>
            <w:r w:rsidRPr="00F01347">
              <w:rPr>
                <w:rFonts w:ascii="Verdana" w:hAnsi="Verdana"/>
                <w:sz w:val="16"/>
                <w:szCs w:val="16"/>
              </w:rPr>
              <w:t>metil</w:t>
            </w:r>
            <w:proofErr w:type="spellEnd"/>
            <w:r w:rsidRPr="00F01347">
              <w:rPr>
                <w:rFonts w:ascii="Verdana" w:hAnsi="Verdana"/>
                <w:sz w:val="16"/>
                <w:szCs w:val="16"/>
              </w:rPr>
              <w:t xml:space="preserve"> </w:t>
            </w:r>
            <w:proofErr w:type="spellStart"/>
            <w:r w:rsidRPr="00F01347">
              <w:rPr>
                <w:rFonts w:ascii="Verdana" w:hAnsi="Verdana"/>
                <w:sz w:val="16"/>
                <w:szCs w:val="16"/>
              </w:rPr>
              <w:t>cloroacetato</w:t>
            </w:r>
            <w:proofErr w:type="spellEnd"/>
            <w:r w:rsidRPr="00F01347">
              <w:rPr>
                <w:rFonts w:ascii="Verdana" w:hAnsi="Verdana"/>
                <w:sz w:val="16"/>
                <w:szCs w:val="16"/>
              </w:rPr>
              <w:t xml:space="preserve">, 100 mg/L de </w:t>
            </w:r>
            <w:proofErr w:type="spellStart"/>
            <w:r w:rsidRPr="00F01347">
              <w:rPr>
                <w:rFonts w:ascii="Verdana" w:hAnsi="Verdana"/>
                <w:sz w:val="16"/>
                <w:szCs w:val="16"/>
              </w:rPr>
              <w:t>metil</w:t>
            </w:r>
            <w:proofErr w:type="spellEnd"/>
            <w:r w:rsidRPr="00F01347">
              <w:rPr>
                <w:rFonts w:ascii="Verdana" w:hAnsi="Verdana"/>
                <w:sz w:val="16"/>
                <w:szCs w:val="16"/>
              </w:rPr>
              <w:t xml:space="preserve"> </w:t>
            </w:r>
            <w:proofErr w:type="spellStart"/>
            <w:r w:rsidRPr="00F01347">
              <w:rPr>
                <w:rFonts w:ascii="Verdana" w:hAnsi="Verdana"/>
                <w:sz w:val="16"/>
                <w:szCs w:val="16"/>
              </w:rPr>
              <w:t>dicloroacetato</w:t>
            </w:r>
            <w:proofErr w:type="spellEnd"/>
            <w:r w:rsidRPr="00F01347">
              <w:rPr>
                <w:rFonts w:ascii="Verdana" w:hAnsi="Verdana"/>
                <w:sz w:val="16"/>
                <w:szCs w:val="16"/>
              </w:rPr>
              <w:t xml:space="preserve"> y 33.3 mg/L de </w:t>
            </w:r>
            <w:proofErr w:type="spellStart"/>
            <w:r w:rsidRPr="00F01347">
              <w:rPr>
                <w:rFonts w:ascii="Verdana" w:hAnsi="Verdana"/>
                <w:sz w:val="16"/>
                <w:szCs w:val="16"/>
              </w:rPr>
              <w:t>metil</w:t>
            </w:r>
            <w:proofErr w:type="spellEnd"/>
            <w:r w:rsidRPr="00F01347">
              <w:rPr>
                <w:rFonts w:ascii="Verdana" w:hAnsi="Verdana"/>
                <w:sz w:val="16"/>
                <w:szCs w:val="16"/>
              </w:rPr>
              <w:t xml:space="preserve"> </w:t>
            </w:r>
            <w:proofErr w:type="spellStart"/>
            <w:r w:rsidRPr="00F01347">
              <w:rPr>
                <w:rFonts w:ascii="Verdana" w:hAnsi="Verdana"/>
                <w:sz w:val="16"/>
                <w:szCs w:val="16"/>
              </w:rPr>
              <w:t>tricloroacetato</w:t>
            </w:r>
            <w:proofErr w:type="spellEnd"/>
            <w:r w:rsidRPr="00F01347">
              <w:rPr>
                <w:rFonts w:ascii="Verdana" w:hAnsi="Verdana"/>
                <w:sz w:val="16"/>
                <w:szCs w:val="16"/>
              </w:rPr>
              <w:t xml:space="preserve"> y aforar con MTBE. Esta disolución puede servir como estándar de </w:t>
            </w:r>
            <w:proofErr w:type="gramStart"/>
            <w:r w:rsidRPr="00F01347">
              <w:rPr>
                <w:rFonts w:ascii="Verdana" w:hAnsi="Verdana"/>
                <w:sz w:val="16"/>
                <w:szCs w:val="16"/>
              </w:rPr>
              <w:t>calibración  de</w:t>
            </w:r>
            <w:proofErr w:type="gramEnd"/>
            <w:r w:rsidRPr="00F01347">
              <w:rPr>
                <w:rFonts w:ascii="Verdana" w:hAnsi="Verdana"/>
                <w:sz w:val="16"/>
                <w:szCs w:val="16"/>
              </w:rPr>
              <w:t xml:space="preserve"> 1 y 0.33 mg/L.</w:t>
            </w:r>
          </w:p>
        </w:tc>
        <w:tc>
          <w:tcPr>
            <w:tcW w:w="4675" w:type="dxa"/>
          </w:tcPr>
          <w:p w14:paraId="6966E629" w14:textId="69692328"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1 and 0.33 mg/L of methyl acetates</w:t>
            </w:r>
            <w:r w:rsidR="00463040" w:rsidRPr="00F01347">
              <w:rPr>
                <w:rFonts w:ascii="Verdana" w:hAnsi="Verdana"/>
                <w:b/>
                <w:sz w:val="16"/>
                <w:szCs w:val="16"/>
                <w:lang w:val="en-US"/>
              </w:rPr>
              <w:t xml:space="preserve"> solution</w:t>
            </w:r>
            <w:r w:rsidRPr="00F01347">
              <w:rPr>
                <w:rFonts w:ascii="Verdana" w:hAnsi="Verdana"/>
                <w:b/>
                <w:sz w:val="16"/>
                <w:szCs w:val="16"/>
                <w:lang w:val="en-US"/>
              </w:rPr>
              <w:t xml:space="preserve">. </w:t>
            </w:r>
            <w:r w:rsidRPr="00F01347">
              <w:rPr>
                <w:rFonts w:ascii="Verdana" w:hAnsi="Verdana"/>
                <w:sz w:val="16"/>
                <w:szCs w:val="16"/>
                <w:lang w:val="en-US"/>
              </w:rPr>
              <w:t xml:space="preserve">The standard solution may be prepared from pure standard materials or may be a certified solution. In a 5 mL volumetric flask, place 50 </w:t>
            </w:r>
            <w:r w:rsidRPr="00F01347">
              <w:rPr>
                <w:rFonts w:ascii="Verdana" w:hAnsi="Verdana"/>
                <w:color w:val="000000"/>
                <w:sz w:val="16"/>
                <w:szCs w:val="16"/>
                <w:lang w:val="en-US"/>
              </w:rPr>
              <w:t xml:space="preserve">µL of the 100 mg/L </w:t>
            </w:r>
            <w:r w:rsidRPr="00F01347">
              <w:rPr>
                <w:rFonts w:ascii="Verdana" w:hAnsi="Verdana"/>
                <w:sz w:val="16"/>
                <w:szCs w:val="16"/>
                <w:lang w:val="en-US"/>
              </w:rPr>
              <w:t>methyl mixture. chloroacetate</w:t>
            </w:r>
            <w:r w:rsidR="003E1BA9" w:rsidRPr="00F01347">
              <w:rPr>
                <w:rFonts w:ascii="Verdana" w:hAnsi="Verdana"/>
                <w:sz w:val="16"/>
                <w:szCs w:val="16"/>
                <w:lang w:val="en-US"/>
              </w:rPr>
              <w:t>,</w:t>
            </w:r>
            <w:r w:rsidRPr="00F01347">
              <w:rPr>
                <w:rFonts w:ascii="Verdana" w:hAnsi="Verdana"/>
                <w:sz w:val="16"/>
                <w:szCs w:val="16"/>
                <w:lang w:val="en-US"/>
              </w:rPr>
              <w:t xml:space="preserve"> 100 mg/L methyl dichloroacetate and 33.3 mg/L methyl </w:t>
            </w:r>
            <w:proofErr w:type="spellStart"/>
            <w:r w:rsidRPr="00F01347">
              <w:rPr>
                <w:rFonts w:ascii="Verdana" w:hAnsi="Verdana"/>
                <w:sz w:val="16"/>
                <w:szCs w:val="16"/>
                <w:lang w:val="en-US"/>
              </w:rPr>
              <w:t>trichloroacetate</w:t>
            </w:r>
            <w:proofErr w:type="spellEnd"/>
            <w:r w:rsidRPr="00F01347">
              <w:rPr>
                <w:rFonts w:ascii="Verdana" w:hAnsi="Verdana"/>
                <w:sz w:val="16"/>
                <w:szCs w:val="16"/>
                <w:lang w:val="en-US"/>
              </w:rPr>
              <w:t xml:space="preserve"> and volume with MTBE. This solution can serve as a calibration standard of 1 and 0.33 mg/L.</w:t>
            </w:r>
          </w:p>
        </w:tc>
      </w:tr>
      <w:tr w:rsidR="0097149D" w:rsidRPr="00F01347" w14:paraId="1184E4A3" w14:textId="23109F63" w:rsidTr="008D27AC">
        <w:tc>
          <w:tcPr>
            <w:tcW w:w="4675" w:type="dxa"/>
          </w:tcPr>
          <w:p w14:paraId="61839F58"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 xml:space="preserve">Estándar de calibración de 0.01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cloroacetato</w:t>
            </w:r>
            <w:proofErr w:type="spellEnd"/>
            <w:r w:rsidRPr="00F01347">
              <w:rPr>
                <w:rFonts w:ascii="Verdana" w:hAnsi="Verdana"/>
                <w:b/>
                <w:sz w:val="16"/>
                <w:szCs w:val="16"/>
              </w:rPr>
              <w:t xml:space="preserv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dicloroacetato</w:t>
            </w:r>
            <w:proofErr w:type="spellEnd"/>
            <w:r w:rsidRPr="00F01347">
              <w:rPr>
                <w:rFonts w:ascii="Verdana" w:hAnsi="Verdana"/>
                <w:b/>
                <w:sz w:val="16"/>
                <w:szCs w:val="16"/>
              </w:rPr>
              <w:t xml:space="preserve"> y 0.003 3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tricloroacetato</w:t>
            </w:r>
            <w:proofErr w:type="spellEnd"/>
            <w:r w:rsidRPr="00F01347">
              <w:rPr>
                <w:rFonts w:ascii="Verdana" w:hAnsi="Verdana"/>
                <w:b/>
                <w:sz w:val="16"/>
                <w:szCs w:val="16"/>
              </w:rPr>
              <w:t>.</w:t>
            </w:r>
            <w:r w:rsidRPr="00F01347">
              <w:rPr>
                <w:rFonts w:ascii="Verdana" w:hAnsi="Verdana"/>
                <w:sz w:val="16"/>
                <w:szCs w:val="16"/>
              </w:rPr>
              <w:t xml:space="preserve"> En un matraz aforado de 1mL ponga 10 µL de la solución de 1 mg/L y aforar con MTBE. Los estándares de </w:t>
            </w:r>
            <w:proofErr w:type="gramStart"/>
            <w:r w:rsidRPr="00F01347">
              <w:rPr>
                <w:rFonts w:ascii="Verdana" w:hAnsi="Verdana"/>
                <w:sz w:val="16"/>
                <w:szCs w:val="16"/>
              </w:rPr>
              <w:t>calibración,</w:t>
            </w:r>
            <w:proofErr w:type="gramEnd"/>
            <w:r w:rsidRPr="00F01347">
              <w:rPr>
                <w:rFonts w:ascii="Verdana" w:hAnsi="Verdana"/>
                <w:sz w:val="16"/>
                <w:szCs w:val="16"/>
              </w:rPr>
              <w:t xml:space="preserve"> se pueden preparar gravimétricamente.</w:t>
            </w:r>
          </w:p>
        </w:tc>
        <w:tc>
          <w:tcPr>
            <w:tcW w:w="4675" w:type="dxa"/>
          </w:tcPr>
          <w:p w14:paraId="4FBF6C5C" w14:textId="656B3256" w:rsidR="0097149D" w:rsidRPr="00F01347" w:rsidRDefault="00463040"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Calibration Standard </w:t>
            </w:r>
            <w:r w:rsidR="0097149D" w:rsidRPr="00F01347">
              <w:rPr>
                <w:rFonts w:ascii="Verdana" w:hAnsi="Verdana"/>
                <w:b/>
                <w:sz w:val="16"/>
                <w:szCs w:val="16"/>
                <w:lang w:val="en-US"/>
              </w:rPr>
              <w:t>Methyl chloroacetate</w:t>
            </w:r>
            <w:r w:rsidRPr="00F01347">
              <w:rPr>
                <w:rFonts w:ascii="Verdana" w:hAnsi="Verdana"/>
                <w:b/>
                <w:sz w:val="16"/>
                <w:szCs w:val="16"/>
                <w:lang w:val="en-US"/>
              </w:rPr>
              <w:t xml:space="preserve"> of </w:t>
            </w:r>
            <w:r w:rsidRPr="00F01347">
              <w:rPr>
                <w:rFonts w:ascii="Verdana" w:hAnsi="Verdana"/>
                <w:b/>
                <w:sz w:val="16"/>
                <w:szCs w:val="16"/>
                <w:lang w:val="en-US"/>
              </w:rPr>
              <w:t>0.01 mg/L</w:t>
            </w:r>
            <w:r w:rsidR="003E1BA9" w:rsidRPr="00F01347">
              <w:rPr>
                <w:rFonts w:ascii="Verdana" w:hAnsi="Verdana"/>
                <w:b/>
                <w:sz w:val="16"/>
                <w:szCs w:val="16"/>
                <w:lang w:val="en-US"/>
              </w:rPr>
              <w:t>,</w:t>
            </w:r>
            <w:r w:rsidR="0097149D" w:rsidRPr="00F01347">
              <w:rPr>
                <w:rFonts w:ascii="Verdana" w:hAnsi="Verdana"/>
                <w:b/>
                <w:sz w:val="16"/>
                <w:szCs w:val="16"/>
                <w:lang w:val="en-US"/>
              </w:rPr>
              <w:t xml:space="preserve"> methyl dichloroacetate and 0.003 3 mg/L </w:t>
            </w:r>
            <w:r w:rsidRPr="00F01347">
              <w:rPr>
                <w:rFonts w:ascii="Verdana" w:hAnsi="Verdana"/>
                <w:b/>
                <w:sz w:val="16"/>
                <w:szCs w:val="16"/>
                <w:lang w:val="en-US"/>
              </w:rPr>
              <w:t xml:space="preserve">of </w:t>
            </w:r>
            <w:r w:rsidR="0097149D" w:rsidRPr="00F01347">
              <w:rPr>
                <w:rFonts w:ascii="Verdana" w:hAnsi="Verdana"/>
                <w:b/>
                <w:sz w:val="16"/>
                <w:szCs w:val="16"/>
                <w:lang w:val="en-US"/>
              </w:rPr>
              <w:t xml:space="preserve">methyl </w:t>
            </w:r>
            <w:proofErr w:type="spellStart"/>
            <w:r w:rsidR="0097149D" w:rsidRPr="00F01347">
              <w:rPr>
                <w:rFonts w:ascii="Verdana" w:hAnsi="Verdana"/>
                <w:b/>
                <w:sz w:val="16"/>
                <w:szCs w:val="16"/>
                <w:lang w:val="en-US"/>
              </w:rPr>
              <w:t>trichloroacetate</w:t>
            </w:r>
            <w:proofErr w:type="spellEnd"/>
            <w:r w:rsidR="003E1BA9" w:rsidRPr="00F01347">
              <w:rPr>
                <w:rFonts w:ascii="Verdana" w:hAnsi="Verdana"/>
                <w:b/>
                <w:sz w:val="16"/>
                <w:szCs w:val="16"/>
                <w:lang w:val="en-US"/>
              </w:rPr>
              <w:t>.</w:t>
            </w:r>
            <w:r w:rsidR="0097149D" w:rsidRPr="00F01347">
              <w:rPr>
                <w:rFonts w:ascii="Verdana" w:hAnsi="Verdana"/>
                <w:b/>
                <w:sz w:val="16"/>
                <w:szCs w:val="16"/>
                <w:lang w:val="en-US"/>
              </w:rPr>
              <w:t xml:space="preserve"> </w:t>
            </w:r>
            <w:r w:rsidR="0097149D" w:rsidRPr="00F01347">
              <w:rPr>
                <w:rFonts w:ascii="Verdana" w:hAnsi="Verdana"/>
                <w:sz w:val="16"/>
                <w:szCs w:val="16"/>
                <w:lang w:val="en-US"/>
              </w:rPr>
              <w:t>In a 1mL volumetric flask, put 10 µL of the 1 mg/L solution and make up to volume with MTBE. Calibration standards can be prepared gravimetrically.</w:t>
            </w:r>
            <w:r w:rsidRPr="00F01347">
              <w:rPr>
                <w:rFonts w:ascii="Verdana" w:hAnsi="Verdana"/>
                <w:sz w:val="16"/>
                <w:szCs w:val="16"/>
                <w:lang w:val="en-US"/>
              </w:rPr>
              <w:t xml:space="preserve">  </w:t>
            </w:r>
          </w:p>
        </w:tc>
      </w:tr>
      <w:tr w:rsidR="0097149D" w:rsidRPr="00F01347" w14:paraId="7736B7A1" w14:textId="22C27843" w:rsidTr="008D27AC">
        <w:tc>
          <w:tcPr>
            <w:tcW w:w="4675" w:type="dxa"/>
          </w:tcPr>
          <w:p w14:paraId="324409BF"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 xml:space="preserve">Estándar de calibración de 0.02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cloroacetato</w:t>
            </w:r>
            <w:proofErr w:type="spellEnd"/>
            <w:r w:rsidRPr="00F01347">
              <w:rPr>
                <w:rFonts w:ascii="Verdana" w:hAnsi="Verdana"/>
                <w:b/>
                <w:sz w:val="16"/>
                <w:szCs w:val="16"/>
              </w:rPr>
              <w:t xml:space="preserv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dicloroacetato</w:t>
            </w:r>
            <w:proofErr w:type="spellEnd"/>
            <w:r w:rsidRPr="00F01347">
              <w:rPr>
                <w:rFonts w:ascii="Verdana" w:hAnsi="Verdana"/>
                <w:b/>
                <w:sz w:val="16"/>
                <w:szCs w:val="16"/>
              </w:rPr>
              <w:t xml:space="preserve"> y 0.006 6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tricloroacetato</w:t>
            </w:r>
            <w:proofErr w:type="spellEnd"/>
            <w:r w:rsidRPr="00F01347">
              <w:rPr>
                <w:rFonts w:ascii="Verdana" w:hAnsi="Verdana"/>
                <w:b/>
                <w:sz w:val="16"/>
                <w:szCs w:val="16"/>
              </w:rPr>
              <w:t>.</w:t>
            </w:r>
            <w:r w:rsidRPr="00F01347">
              <w:rPr>
                <w:rFonts w:ascii="Verdana" w:hAnsi="Verdana"/>
                <w:sz w:val="16"/>
                <w:szCs w:val="16"/>
              </w:rPr>
              <w:t xml:space="preserve"> En un matraz aforado de 1mL poner 20 µL de la solución de 1mg/L y aforar con MTBE. Los estándares de </w:t>
            </w:r>
            <w:proofErr w:type="gramStart"/>
            <w:r w:rsidRPr="00F01347">
              <w:rPr>
                <w:rFonts w:ascii="Verdana" w:hAnsi="Verdana"/>
                <w:sz w:val="16"/>
                <w:szCs w:val="16"/>
              </w:rPr>
              <w:t>calibración,</w:t>
            </w:r>
            <w:proofErr w:type="gramEnd"/>
            <w:r w:rsidRPr="00F01347">
              <w:rPr>
                <w:rFonts w:ascii="Verdana" w:hAnsi="Verdana"/>
                <w:sz w:val="16"/>
                <w:szCs w:val="16"/>
              </w:rPr>
              <w:t xml:space="preserve"> se pueden preparar gravimétricamente.</w:t>
            </w:r>
          </w:p>
        </w:tc>
        <w:tc>
          <w:tcPr>
            <w:tcW w:w="4675" w:type="dxa"/>
          </w:tcPr>
          <w:p w14:paraId="198C7118" w14:textId="3B938CC0"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Calibration Standard </w:t>
            </w:r>
            <w:r w:rsidR="00463040" w:rsidRPr="00F01347">
              <w:rPr>
                <w:rFonts w:ascii="Verdana" w:hAnsi="Verdana"/>
                <w:b/>
                <w:sz w:val="16"/>
                <w:szCs w:val="16"/>
                <w:lang w:val="en-US"/>
              </w:rPr>
              <w:t xml:space="preserve">of </w:t>
            </w:r>
            <w:r w:rsidR="00463040" w:rsidRPr="00F01347">
              <w:rPr>
                <w:rFonts w:ascii="Verdana" w:hAnsi="Verdana"/>
                <w:b/>
                <w:sz w:val="16"/>
                <w:szCs w:val="16"/>
                <w:lang w:val="en-US"/>
              </w:rPr>
              <w:t xml:space="preserve">Methyl </w:t>
            </w:r>
            <w:r w:rsidRPr="00F01347">
              <w:rPr>
                <w:rFonts w:ascii="Verdana" w:hAnsi="Verdana"/>
                <w:b/>
                <w:sz w:val="16"/>
                <w:szCs w:val="16"/>
                <w:lang w:val="en-US"/>
              </w:rPr>
              <w:t>chloroacetate</w:t>
            </w:r>
            <w:r w:rsidR="00463040" w:rsidRPr="00F01347">
              <w:rPr>
                <w:rFonts w:ascii="Verdana" w:hAnsi="Verdana"/>
                <w:b/>
                <w:sz w:val="16"/>
                <w:szCs w:val="16"/>
                <w:lang w:val="en-US"/>
              </w:rPr>
              <w:t xml:space="preserve"> </w:t>
            </w:r>
            <w:r w:rsidR="00463040" w:rsidRPr="00F01347">
              <w:rPr>
                <w:rFonts w:ascii="Verdana" w:hAnsi="Verdana"/>
                <w:b/>
                <w:sz w:val="16"/>
                <w:szCs w:val="16"/>
                <w:lang w:val="en-US"/>
              </w:rPr>
              <w:t>0.02 mg/L</w:t>
            </w:r>
            <w:r w:rsidR="003E1BA9" w:rsidRPr="00F01347">
              <w:rPr>
                <w:rFonts w:ascii="Verdana" w:hAnsi="Verdana"/>
                <w:b/>
                <w:sz w:val="16"/>
                <w:szCs w:val="16"/>
                <w:lang w:val="en-US"/>
              </w:rPr>
              <w:t>,</w:t>
            </w:r>
            <w:r w:rsidRPr="00F01347">
              <w:rPr>
                <w:rFonts w:ascii="Verdana" w:hAnsi="Verdana"/>
                <w:b/>
                <w:sz w:val="16"/>
                <w:szCs w:val="16"/>
                <w:lang w:val="en-US"/>
              </w:rPr>
              <w:t xml:space="preserve"> methyl dichloroacetate and 0.006 6 mg/L methyl </w:t>
            </w:r>
            <w:proofErr w:type="spellStart"/>
            <w:r w:rsidRPr="00F01347">
              <w:rPr>
                <w:rFonts w:ascii="Verdana" w:hAnsi="Verdana"/>
                <w:b/>
                <w:sz w:val="16"/>
                <w:szCs w:val="16"/>
                <w:lang w:val="en-US"/>
              </w:rPr>
              <w:t>trichloroacetate</w:t>
            </w:r>
            <w:proofErr w:type="spellEnd"/>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In a 1mL volumetric flask, put 20 µL of the 1mg/L solution and make up to volume with MTBE. Calibration standards can be prepared gravimetrically.</w:t>
            </w:r>
            <w:r w:rsidR="00463040" w:rsidRPr="00F01347">
              <w:rPr>
                <w:rFonts w:ascii="Verdana" w:hAnsi="Verdana"/>
                <w:sz w:val="16"/>
                <w:szCs w:val="16"/>
                <w:lang w:val="en-US"/>
              </w:rPr>
              <w:t xml:space="preserve"> </w:t>
            </w:r>
          </w:p>
        </w:tc>
      </w:tr>
      <w:tr w:rsidR="0097149D" w:rsidRPr="00F01347" w14:paraId="01525430" w14:textId="4EF1C1DC" w:rsidTr="008D27AC">
        <w:tc>
          <w:tcPr>
            <w:tcW w:w="4675" w:type="dxa"/>
          </w:tcPr>
          <w:p w14:paraId="092F9420"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 xml:space="preserve">Estándar de calibración de 0.05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cloroacetato</w:t>
            </w:r>
            <w:proofErr w:type="spellEnd"/>
            <w:r w:rsidRPr="00F01347">
              <w:rPr>
                <w:rFonts w:ascii="Verdana" w:hAnsi="Verdana"/>
                <w:b/>
                <w:sz w:val="16"/>
                <w:szCs w:val="16"/>
              </w:rPr>
              <w:t xml:space="preserv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dicloroacetato</w:t>
            </w:r>
            <w:proofErr w:type="spellEnd"/>
            <w:r w:rsidRPr="00F01347">
              <w:rPr>
                <w:rFonts w:ascii="Verdana" w:hAnsi="Verdana"/>
                <w:b/>
                <w:sz w:val="16"/>
                <w:szCs w:val="16"/>
              </w:rPr>
              <w:t xml:space="preserve"> y 0.0166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tricloroacetato</w:t>
            </w:r>
            <w:proofErr w:type="spellEnd"/>
            <w:r w:rsidRPr="00F01347">
              <w:rPr>
                <w:rFonts w:ascii="Verdana" w:hAnsi="Verdana"/>
                <w:b/>
                <w:sz w:val="16"/>
                <w:szCs w:val="16"/>
              </w:rPr>
              <w:t>.</w:t>
            </w:r>
            <w:r w:rsidRPr="00F01347">
              <w:rPr>
                <w:rFonts w:ascii="Verdana" w:hAnsi="Verdana"/>
                <w:sz w:val="16"/>
                <w:szCs w:val="16"/>
              </w:rPr>
              <w:t xml:space="preserve"> En un matraz aforado de 1mL poner 50 µL de la solución de 1 mg/L y aforar con MTBE. Los estándares de </w:t>
            </w:r>
            <w:proofErr w:type="gramStart"/>
            <w:r w:rsidRPr="00F01347">
              <w:rPr>
                <w:rFonts w:ascii="Verdana" w:hAnsi="Verdana"/>
                <w:sz w:val="16"/>
                <w:szCs w:val="16"/>
              </w:rPr>
              <w:t>calibración,</w:t>
            </w:r>
            <w:proofErr w:type="gramEnd"/>
            <w:r w:rsidRPr="00F01347">
              <w:rPr>
                <w:rFonts w:ascii="Verdana" w:hAnsi="Verdana"/>
                <w:sz w:val="16"/>
                <w:szCs w:val="16"/>
              </w:rPr>
              <w:t xml:space="preserve"> se pueden preparar gravimétricamente.</w:t>
            </w:r>
          </w:p>
        </w:tc>
        <w:tc>
          <w:tcPr>
            <w:tcW w:w="4675" w:type="dxa"/>
          </w:tcPr>
          <w:p w14:paraId="2BA6F907" w14:textId="01AB8C4E"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Calibration standard of 0.05 mg/L methyl chloroacetate</w:t>
            </w:r>
            <w:r w:rsidR="003E1BA9" w:rsidRPr="00F01347">
              <w:rPr>
                <w:rFonts w:ascii="Verdana" w:hAnsi="Verdana"/>
                <w:b/>
                <w:sz w:val="16"/>
                <w:szCs w:val="16"/>
                <w:lang w:val="en-US"/>
              </w:rPr>
              <w:t>,</w:t>
            </w:r>
            <w:r w:rsidRPr="00F01347">
              <w:rPr>
                <w:rFonts w:ascii="Verdana" w:hAnsi="Verdana"/>
                <w:b/>
                <w:sz w:val="16"/>
                <w:szCs w:val="16"/>
                <w:lang w:val="en-US"/>
              </w:rPr>
              <w:t xml:space="preserve"> methyl dichloroacetate and 0.0166 mg/L methyl </w:t>
            </w:r>
            <w:proofErr w:type="spellStart"/>
            <w:r w:rsidRPr="00F01347">
              <w:rPr>
                <w:rFonts w:ascii="Verdana" w:hAnsi="Verdana"/>
                <w:b/>
                <w:sz w:val="16"/>
                <w:szCs w:val="16"/>
                <w:lang w:val="en-US"/>
              </w:rPr>
              <w:t>trichloroacetate</w:t>
            </w:r>
            <w:proofErr w:type="spellEnd"/>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In a 1mL volumetric flask, put 50 µL of the 1 mg/L solution and make up to volume with MTBE. Calibration standards can be prepared gravimetrically.</w:t>
            </w:r>
          </w:p>
        </w:tc>
      </w:tr>
      <w:tr w:rsidR="0097149D" w:rsidRPr="00F01347" w14:paraId="6411BD5C" w14:textId="4D882930" w:rsidTr="008D27AC">
        <w:tc>
          <w:tcPr>
            <w:tcW w:w="4675" w:type="dxa"/>
          </w:tcPr>
          <w:p w14:paraId="4E7470A1"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 xml:space="preserve">Estándar de calibración de 0.1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cloroacetato</w:t>
            </w:r>
            <w:proofErr w:type="spellEnd"/>
            <w:r w:rsidRPr="00F01347">
              <w:rPr>
                <w:rFonts w:ascii="Verdana" w:hAnsi="Verdana"/>
                <w:b/>
                <w:sz w:val="16"/>
                <w:szCs w:val="16"/>
              </w:rPr>
              <w:t xml:space="preserv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dicloroacetato</w:t>
            </w:r>
            <w:proofErr w:type="spellEnd"/>
            <w:r w:rsidRPr="00F01347">
              <w:rPr>
                <w:rFonts w:ascii="Verdana" w:hAnsi="Verdana"/>
                <w:b/>
                <w:sz w:val="16"/>
                <w:szCs w:val="16"/>
              </w:rPr>
              <w:t xml:space="preserve"> y 0.033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tricloroacetato</w:t>
            </w:r>
            <w:proofErr w:type="spellEnd"/>
            <w:r w:rsidRPr="00F01347">
              <w:rPr>
                <w:rFonts w:ascii="Verdana" w:hAnsi="Verdana"/>
                <w:b/>
                <w:sz w:val="16"/>
                <w:szCs w:val="16"/>
              </w:rPr>
              <w:t>.</w:t>
            </w:r>
            <w:r w:rsidRPr="00F01347">
              <w:rPr>
                <w:rFonts w:ascii="Verdana" w:hAnsi="Verdana"/>
                <w:sz w:val="16"/>
                <w:szCs w:val="16"/>
              </w:rPr>
              <w:t xml:space="preserve"> En un matraz aforado de 1 </w:t>
            </w:r>
            <w:proofErr w:type="spellStart"/>
            <w:r w:rsidRPr="00F01347">
              <w:rPr>
                <w:rFonts w:ascii="Verdana" w:hAnsi="Verdana"/>
                <w:sz w:val="16"/>
                <w:szCs w:val="16"/>
              </w:rPr>
              <w:t>mL</w:t>
            </w:r>
            <w:proofErr w:type="spellEnd"/>
            <w:r w:rsidRPr="00F01347">
              <w:rPr>
                <w:rFonts w:ascii="Verdana" w:hAnsi="Verdana"/>
                <w:sz w:val="16"/>
                <w:szCs w:val="16"/>
              </w:rPr>
              <w:t xml:space="preserve"> poner 100 µL de la solución de 1 mg/L y aforar con </w:t>
            </w:r>
            <w:r w:rsidRPr="00F01347">
              <w:rPr>
                <w:rFonts w:ascii="Verdana" w:hAnsi="Verdana"/>
                <w:sz w:val="16"/>
                <w:szCs w:val="16"/>
              </w:rPr>
              <w:lastRenderedPageBreak/>
              <w:t xml:space="preserve">MTBE. Los estándares de </w:t>
            </w:r>
            <w:proofErr w:type="gramStart"/>
            <w:r w:rsidRPr="00F01347">
              <w:rPr>
                <w:rFonts w:ascii="Verdana" w:hAnsi="Verdana"/>
                <w:sz w:val="16"/>
                <w:szCs w:val="16"/>
              </w:rPr>
              <w:t>calibración,</w:t>
            </w:r>
            <w:proofErr w:type="gramEnd"/>
            <w:r w:rsidRPr="00F01347">
              <w:rPr>
                <w:rFonts w:ascii="Verdana" w:hAnsi="Verdana"/>
                <w:sz w:val="16"/>
                <w:szCs w:val="16"/>
              </w:rPr>
              <w:t xml:space="preserve"> se pueden preparar gravimétricamente.</w:t>
            </w:r>
          </w:p>
        </w:tc>
        <w:tc>
          <w:tcPr>
            <w:tcW w:w="4675" w:type="dxa"/>
          </w:tcPr>
          <w:p w14:paraId="7BA0F272" w14:textId="72F5432E"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lastRenderedPageBreak/>
              <w:t>Calibration Standard</w:t>
            </w:r>
            <w:r w:rsidR="00463040" w:rsidRPr="00F01347">
              <w:rPr>
                <w:rFonts w:ascii="Verdana" w:hAnsi="Verdana"/>
                <w:b/>
                <w:sz w:val="16"/>
                <w:szCs w:val="16"/>
                <w:lang w:val="en-US"/>
              </w:rPr>
              <w:t xml:space="preserve"> of</w:t>
            </w:r>
            <w:r w:rsidRPr="00F01347">
              <w:rPr>
                <w:rFonts w:ascii="Verdana" w:hAnsi="Verdana"/>
                <w:b/>
                <w:sz w:val="16"/>
                <w:szCs w:val="16"/>
                <w:lang w:val="en-US"/>
              </w:rPr>
              <w:t xml:space="preserve"> </w:t>
            </w:r>
            <w:r w:rsidR="00463040" w:rsidRPr="00F01347">
              <w:rPr>
                <w:rFonts w:ascii="Verdana" w:hAnsi="Verdana"/>
                <w:b/>
                <w:sz w:val="16"/>
                <w:szCs w:val="16"/>
                <w:lang w:val="en-US"/>
              </w:rPr>
              <w:t xml:space="preserve">Methyl </w:t>
            </w:r>
            <w:r w:rsidRPr="00F01347">
              <w:rPr>
                <w:rFonts w:ascii="Verdana" w:hAnsi="Verdana"/>
                <w:b/>
                <w:sz w:val="16"/>
                <w:szCs w:val="16"/>
                <w:lang w:val="en-US"/>
              </w:rPr>
              <w:t>chloroacetate</w:t>
            </w:r>
            <w:r w:rsidR="003E1BA9" w:rsidRPr="00F01347">
              <w:rPr>
                <w:rFonts w:ascii="Verdana" w:hAnsi="Verdana"/>
                <w:b/>
                <w:sz w:val="16"/>
                <w:szCs w:val="16"/>
                <w:lang w:val="en-US"/>
              </w:rPr>
              <w:t>,</w:t>
            </w:r>
            <w:r w:rsidRPr="00F01347">
              <w:rPr>
                <w:rFonts w:ascii="Verdana" w:hAnsi="Verdana"/>
                <w:b/>
                <w:sz w:val="16"/>
                <w:szCs w:val="16"/>
                <w:lang w:val="en-US"/>
              </w:rPr>
              <w:t xml:space="preserve"> methyl dichloroacetate and 0.033 mg/L methyl </w:t>
            </w:r>
            <w:proofErr w:type="spellStart"/>
            <w:r w:rsidRPr="00F01347">
              <w:rPr>
                <w:rFonts w:ascii="Verdana" w:hAnsi="Verdana"/>
                <w:b/>
                <w:sz w:val="16"/>
                <w:szCs w:val="16"/>
                <w:lang w:val="en-US"/>
              </w:rPr>
              <w:t>trichloroacetate</w:t>
            </w:r>
            <w:proofErr w:type="spellEnd"/>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bCs/>
                <w:sz w:val="16"/>
                <w:szCs w:val="16"/>
                <w:lang w:val="en-US"/>
              </w:rPr>
              <w:t>In a 1</w:t>
            </w:r>
            <w:r w:rsidRPr="00F01347">
              <w:rPr>
                <w:rFonts w:ascii="Verdana" w:hAnsi="Verdana"/>
                <w:b/>
                <w:sz w:val="16"/>
                <w:szCs w:val="16"/>
                <w:lang w:val="en-US"/>
              </w:rPr>
              <w:t xml:space="preserve"> </w:t>
            </w:r>
            <w:r w:rsidRPr="00F01347">
              <w:rPr>
                <w:rFonts w:ascii="Verdana" w:hAnsi="Verdana"/>
                <w:sz w:val="16"/>
                <w:szCs w:val="16"/>
                <w:lang w:val="en-US"/>
              </w:rPr>
              <w:t xml:space="preserve">mL volumetric flask, put 100 µL of the 1 mg/L solution and make up to volume with </w:t>
            </w:r>
            <w:r w:rsidRPr="00F01347">
              <w:rPr>
                <w:rFonts w:ascii="Verdana" w:hAnsi="Verdana"/>
                <w:sz w:val="16"/>
                <w:szCs w:val="16"/>
                <w:lang w:val="en-US"/>
              </w:rPr>
              <w:lastRenderedPageBreak/>
              <w:t>MTBE. Calibration standards can be prepared gravimetrically.</w:t>
            </w:r>
          </w:p>
        </w:tc>
      </w:tr>
      <w:tr w:rsidR="0097149D" w:rsidRPr="00F01347" w14:paraId="16B42945" w14:textId="3A365ABD" w:rsidTr="008D27AC">
        <w:tc>
          <w:tcPr>
            <w:tcW w:w="4675" w:type="dxa"/>
          </w:tcPr>
          <w:p w14:paraId="179A54CE"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lastRenderedPageBreak/>
              <w:t xml:space="preserve">Estándar de calibración de 0.2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cloroacetato</w:t>
            </w:r>
            <w:proofErr w:type="spellEnd"/>
            <w:r w:rsidRPr="00F01347">
              <w:rPr>
                <w:rFonts w:ascii="Verdana" w:hAnsi="Verdana"/>
                <w:b/>
                <w:sz w:val="16"/>
                <w:szCs w:val="16"/>
              </w:rPr>
              <w:t xml:space="preserv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dicloroacetato</w:t>
            </w:r>
            <w:proofErr w:type="spellEnd"/>
            <w:r w:rsidRPr="00F01347">
              <w:rPr>
                <w:rFonts w:ascii="Verdana" w:hAnsi="Verdana"/>
                <w:b/>
                <w:sz w:val="16"/>
                <w:szCs w:val="16"/>
              </w:rPr>
              <w:t xml:space="preserve"> y 0.066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tricloroacetato</w:t>
            </w:r>
            <w:proofErr w:type="spellEnd"/>
            <w:r w:rsidRPr="00F01347">
              <w:rPr>
                <w:rFonts w:ascii="Verdana" w:hAnsi="Verdana"/>
                <w:b/>
                <w:sz w:val="16"/>
                <w:szCs w:val="16"/>
              </w:rPr>
              <w:t>.</w:t>
            </w:r>
            <w:r w:rsidRPr="00F01347">
              <w:rPr>
                <w:rFonts w:ascii="Verdana" w:hAnsi="Verdana"/>
                <w:sz w:val="16"/>
                <w:szCs w:val="16"/>
              </w:rPr>
              <w:t xml:space="preserve"> En un matraz aforado de 1 </w:t>
            </w:r>
            <w:proofErr w:type="spellStart"/>
            <w:r w:rsidRPr="00F01347">
              <w:rPr>
                <w:rFonts w:ascii="Verdana" w:hAnsi="Verdana"/>
                <w:sz w:val="16"/>
                <w:szCs w:val="16"/>
              </w:rPr>
              <w:t>mL</w:t>
            </w:r>
            <w:proofErr w:type="spellEnd"/>
            <w:r w:rsidRPr="00F01347">
              <w:rPr>
                <w:rFonts w:ascii="Verdana" w:hAnsi="Verdana"/>
                <w:sz w:val="16"/>
                <w:szCs w:val="16"/>
              </w:rPr>
              <w:t xml:space="preserve"> poner 200 µL de la solución de 1mg/L y aforar con MTBE. Los estándares de </w:t>
            </w:r>
            <w:proofErr w:type="gramStart"/>
            <w:r w:rsidRPr="00F01347">
              <w:rPr>
                <w:rFonts w:ascii="Verdana" w:hAnsi="Verdana"/>
                <w:sz w:val="16"/>
                <w:szCs w:val="16"/>
              </w:rPr>
              <w:t>calibración,</w:t>
            </w:r>
            <w:proofErr w:type="gramEnd"/>
            <w:r w:rsidRPr="00F01347">
              <w:rPr>
                <w:rFonts w:ascii="Verdana" w:hAnsi="Verdana"/>
                <w:sz w:val="16"/>
                <w:szCs w:val="16"/>
              </w:rPr>
              <w:t xml:space="preserve"> se pueden preparar gravimétricamente.</w:t>
            </w:r>
          </w:p>
        </w:tc>
        <w:tc>
          <w:tcPr>
            <w:tcW w:w="4675" w:type="dxa"/>
          </w:tcPr>
          <w:p w14:paraId="5243D941" w14:textId="003397C9"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Calibration Standard</w:t>
            </w:r>
            <w:r w:rsidR="00463040" w:rsidRPr="00F01347">
              <w:rPr>
                <w:rFonts w:ascii="Verdana" w:hAnsi="Verdana"/>
                <w:b/>
                <w:sz w:val="16"/>
                <w:szCs w:val="16"/>
                <w:lang w:val="en-US"/>
              </w:rPr>
              <w:t xml:space="preserve"> </w:t>
            </w:r>
            <w:proofErr w:type="gramStart"/>
            <w:r w:rsidR="00463040" w:rsidRPr="00F01347">
              <w:rPr>
                <w:rFonts w:ascii="Verdana" w:hAnsi="Verdana"/>
                <w:b/>
                <w:sz w:val="16"/>
                <w:szCs w:val="16"/>
                <w:lang w:val="en-US"/>
              </w:rPr>
              <w:t xml:space="preserve">of </w:t>
            </w:r>
            <w:r w:rsidR="00463040" w:rsidRPr="00F01347">
              <w:rPr>
                <w:rFonts w:ascii="Verdana" w:hAnsi="Verdana"/>
                <w:b/>
                <w:sz w:val="16"/>
                <w:szCs w:val="16"/>
                <w:lang w:val="en-US"/>
              </w:rPr>
              <w:t xml:space="preserve"> 0.2</w:t>
            </w:r>
            <w:proofErr w:type="gramEnd"/>
            <w:r w:rsidR="00463040" w:rsidRPr="00F01347">
              <w:rPr>
                <w:rFonts w:ascii="Verdana" w:hAnsi="Verdana"/>
                <w:b/>
                <w:sz w:val="16"/>
                <w:szCs w:val="16"/>
                <w:lang w:val="en-US"/>
              </w:rPr>
              <w:t xml:space="preserve"> mg/L</w:t>
            </w:r>
            <w:r w:rsidRPr="00F01347">
              <w:rPr>
                <w:rFonts w:ascii="Verdana" w:hAnsi="Verdana"/>
                <w:b/>
                <w:sz w:val="16"/>
                <w:szCs w:val="16"/>
                <w:lang w:val="en-US"/>
              </w:rPr>
              <w:t xml:space="preserve"> </w:t>
            </w:r>
            <w:r w:rsidR="00463040" w:rsidRPr="00F01347">
              <w:rPr>
                <w:rFonts w:ascii="Verdana" w:hAnsi="Verdana"/>
                <w:b/>
                <w:sz w:val="16"/>
                <w:szCs w:val="16"/>
                <w:lang w:val="en-US"/>
              </w:rPr>
              <w:t>Methyl</w:t>
            </w:r>
            <w:r w:rsidR="00463040" w:rsidRPr="00F01347">
              <w:rPr>
                <w:rFonts w:ascii="Verdana" w:hAnsi="Verdana"/>
                <w:b/>
                <w:sz w:val="16"/>
                <w:szCs w:val="16"/>
                <w:lang w:val="en-US"/>
              </w:rPr>
              <w:t xml:space="preserve"> </w:t>
            </w:r>
            <w:r w:rsidRPr="00F01347">
              <w:rPr>
                <w:rFonts w:ascii="Verdana" w:hAnsi="Verdana"/>
                <w:b/>
                <w:sz w:val="16"/>
                <w:szCs w:val="16"/>
                <w:lang w:val="en-US"/>
              </w:rPr>
              <w:t>chloroacetate</w:t>
            </w:r>
            <w:r w:rsidR="003E1BA9" w:rsidRPr="00F01347">
              <w:rPr>
                <w:rFonts w:ascii="Verdana" w:hAnsi="Verdana"/>
                <w:b/>
                <w:sz w:val="16"/>
                <w:szCs w:val="16"/>
                <w:lang w:val="en-US"/>
              </w:rPr>
              <w:t>,</w:t>
            </w:r>
            <w:r w:rsidRPr="00F01347">
              <w:rPr>
                <w:rFonts w:ascii="Verdana" w:hAnsi="Verdana"/>
                <w:b/>
                <w:sz w:val="16"/>
                <w:szCs w:val="16"/>
                <w:lang w:val="en-US"/>
              </w:rPr>
              <w:t xml:space="preserve"> methyl dichloroacetate and 0.066 mg/L methyl </w:t>
            </w:r>
            <w:proofErr w:type="spellStart"/>
            <w:r w:rsidRPr="00F01347">
              <w:rPr>
                <w:rFonts w:ascii="Verdana" w:hAnsi="Verdana"/>
                <w:b/>
                <w:sz w:val="16"/>
                <w:szCs w:val="16"/>
                <w:lang w:val="en-US"/>
              </w:rPr>
              <w:t>trichloroacetate</w:t>
            </w:r>
            <w:proofErr w:type="spellEnd"/>
            <w:r w:rsidR="003E1BA9" w:rsidRPr="00F01347">
              <w:rPr>
                <w:rFonts w:ascii="Verdana" w:hAnsi="Verdana"/>
                <w:bCs/>
                <w:sz w:val="16"/>
                <w:szCs w:val="16"/>
                <w:lang w:val="en-US"/>
              </w:rPr>
              <w:t>.</w:t>
            </w:r>
            <w:r w:rsidRPr="00F01347">
              <w:rPr>
                <w:rFonts w:ascii="Verdana" w:hAnsi="Verdana"/>
                <w:bCs/>
                <w:sz w:val="16"/>
                <w:szCs w:val="16"/>
                <w:lang w:val="en-US"/>
              </w:rPr>
              <w:t xml:space="preserve"> In a 1</w:t>
            </w:r>
            <w:r w:rsidRPr="00F01347">
              <w:rPr>
                <w:rFonts w:ascii="Verdana" w:hAnsi="Verdana"/>
                <w:b/>
                <w:sz w:val="16"/>
                <w:szCs w:val="16"/>
                <w:lang w:val="en-US"/>
              </w:rPr>
              <w:t xml:space="preserve"> </w:t>
            </w:r>
            <w:r w:rsidRPr="00F01347">
              <w:rPr>
                <w:rFonts w:ascii="Verdana" w:hAnsi="Verdana"/>
                <w:sz w:val="16"/>
                <w:szCs w:val="16"/>
                <w:lang w:val="en-US"/>
              </w:rPr>
              <w:t>mL volumetric flask, put 200 µL of the 1 mg/L solution and make up to volume with MTBE. Calibration standards can be prepared gravimetrically.</w:t>
            </w:r>
            <w:r w:rsidR="00463040" w:rsidRPr="00F01347">
              <w:rPr>
                <w:rFonts w:ascii="Verdana" w:hAnsi="Verdana"/>
                <w:sz w:val="16"/>
                <w:szCs w:val="16"/>
                <w:lang w:val="en-US"/>
              </w:rPr>
              <w:t xml:space="preserve"> </w:t>
            </w:r>
          </w:p>
        </w:tc>
      </w:tr>
      <w:tr w:rsidR="0097149D" w:rsidRPr="00F01347" w14:paraId="4EF9C806" w14:textId="73F6A5E7" w:rsidTr="008D27AC">
        <w:tc>
          <w:tcPr>
            <w:tcW w:w="4675" w:type="dxa"/>
          </w:tcPr>
          <w:p w14:paraId="18A00C05"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 xml:space="preserve">Estándar de calibración de 0.5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cloroacetato</w:t>
            </w:r>
            <w:proofErr w:type="spellEnd"/>
            <w:r w:rsidRPr="00F01347">
              <w:rPr>
                <w:rFonts w:ascii="Verdana" w:hAnsi="Verdana"/>
                <w:b/>
                <w:sz w:val="16"/>
                <w:szCs w:val="16"/>
              </w:rPr>
              <w:t xml:space="preserv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dicloroacetato</w:t>
            </w:r>
            <w:proofErr w:type="spellEnd"/>
            <w:r w:rsidRPr="00F01347">
              <w:rPr>
                <w:rFonts w:ascii="Verdana" w:hAnsi="Verdana"/>
                <w:b/>
                <w:sz w:val="16"/>
                <w:szCs w:val="16"/>
              </w:rPr>
              <w:t xml:space="preserve"> y 0.166 mg/L de </w:t>
            </w: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tricloroacetato</w:t>
            </w:r>
            <w:proofErr w:type="spellEnd"/>
            <w:r w:rsidRPr="00F01347">
              <w:rPr>
                <w:rFonts w:ascii="Verdana" w:hAnsi="Verdana"/>
                <w:b/>
                <w:sz w:val="16"/>
                <w:szCs w:val="16"/>
              </w:rPr>
              <w:t>.</w:t>
            </w:r>
            <w:r w:rsidRPr="00F01347">
              <w:rPr>
                <w:rFonts w:ascii="Verdana" w:hAnsi="Verdana"/>
                <w:sz w:val="16"/>
                <w:szCs w:val="16"/>
              </w:rPr>
              <w:t xml:space="preserve"> En un matraz aforado de 1 </w:t>
            </w:r>
            <w:proofErr w:type="spellStart"/>
            <w:r w:rsidRPr="00F01347">
              <w:rPr>
                <w:rFonts w:ascii="Verdana" w:hAnsi="Verdana"/>
                <w:sz w:val="16"/>
                <w:szCs w:val="16"/>
              </w:rPr>
              <w:t>mL</w:t>
            </w:r>
            <w:proofErr w:type="spellEnd"/>
            <w:r w:rsidRPr="00F01347">
              <w:rPr>
                <w:rFonts w:ascii="Verdana" w:hAnsi="Verdana"/>
                <w:sz w:val="16"/>
                <w:szCs w:val="16"/>
              </w:rPr>
              <w:t xml:space="preserve"> poner 500 µL de la solución de 1mg/L y aforar con MTBE. Los estándares de </w:t>
            </w:r>
            <w:proofErr w:type="gramStart"/>
            <w:r w:rsidRPr="00F01347">
              <w:rPr>
                <w:rFonts w:ascii="Verdana" w:hAnsi="Verdana"/>
                <w:sz w:val="16"/>
                <w:szCs w:val="16"/>
              </w:rPr>
              <w:t>calibración,</w:t>
            </w:r>
            <w:proofErr w:type="gramEnd"/>
            <w:r w:rsidRPr="00F01347">
              <w:rPr>
                <w:rFonts w:ascii="Verdana" w:hAnsi="Verdana"/>
                <w:sz w:val="16"/>
                <w:szCs w:val="16"/>
              </w:rPr>
              <w:t xml:space="preserve"> se pueden preparar gravimétricamente.</w:t>
            </w:r>
          </w:p>
        </w:tc>
        <w:tc>
          <w:tcPr>
            <w:tcW w:w="4675" w:type="dxa"/>
          </w:tcPr>
          <w:p w14:paraId="5847915E" w14:textId="78512406"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Calibration Standard</w:t>
            </w:r>
            <w:r w:rsidR="00463040" w:rsidRPr="00F01347">
              <w:rPr>
                <w:rFonts w:ascii="Verdana" w:hAnsi="Verdana"/>
                <w:b/>
                <w:sz w:val="16"/>
                <w:szCs w:val="16"/>
                <w:lang w:val="en-US"/>
              </w:rPr>
              <w:t xml:space="preserve"> of </w:t>
            </w:r>
            <w:r w:rsidR="00463040" w:rsidRPr="00F01347">
              <w:rPr>
                <w:rFonts w:ascii="Verdana" w:hAnsi="Verdana"/>
                <w:b/>
                <w:sz w:val="16"/>
                <w:szCs w:val="16"/>
                <w:lang w:val="en-US"/>
              </w:rPr>
              <w:t>0.5 mg/L</w:t>
            </w:r>
            <w:r w:rsidRPr="00F01347">
              <w:rPr>
                <w:rFonts w:ascii="Verdana" w:hAnsi="Verdana"/>
                <w:b/>
                <w:sz w:val="16"/>
                <w:szCs w:val="16"/>
                <w:lang w:val="en-US"/>
              </w:rPr>
              <w:t xml:space="preserve"> </w:t>
            </w:r>
            <w:r w:rsidR="00463040" w:rsidRPr="00F01347">
              <w:rPr>
                <w:rFonts w:ascii="Verdana" w:hAnsi="Verdana"/>
                <w:b/>
                <w:sz w:val="16"/>
                <w:szCs w:val="16"/>
                <w:lang w:val="en-US"/>
              </w:rPr>
              <w:t xml:space="preserve">Methyl </w:t>
            </w:r>
            <w:r w:rsidRPr="00F01347">
              <w:rPr>
                <w:rFonts w:ascii="Verdana" w:hAnsi="Verdana"/>
                <w:b/>
                <w:sz w:val="16"/>
                <w:szCs w:val="16"/>
                <w:lang w:val="en-US"/>
              </w:rPr>
              <w:t>chloroacetate</w:t>
            </w:r>
            <w:r w:rsidR="003E1BA9" w:rsidRPr="00F01347">
              <w:rPr>
                <w:rFonts w:ascii="Verdana" w:hAnsi="Verdana"/>
                <w:b/>
                <w:sz w:val="16"/>
                <w:szCs w:val="16"/>
                <w:lang w:val="en-US"/>
              </w:rPr>
              <w:t>,</w:t>
            </w:r>
            <w:r w:rsidRPr="00F01347">
              <w:rPr>
                <w:rFonts w:ascii="Verdana" w:hAnsi="Verdana"/>
                <w:b/>
                <w:sz w:val="16"/>
                <w:szCs w:val="16"/>
                <w:lang w:val="en-US"/>
              </w:rPr>
              <w:t xml:space="preserve"> methyl dichloroacetate and 0.166 mg/L methyl </w:t>
            </w:r>
            <w:proofErr w:type="spellStart"/>
            <w:r w:rsidRPr="00F01347">
              <w:rPr>
                <w:rFonts w:ascii="Verdana" w:hAnsi="Verdana"/>
                <w:b/>
                <w:sz w:val="16"/>
                <w:szCs w:val="16"/>
                <w:lang w:val="en-US"/>
              </w:rPr>
              <w:t>trichloroacetate</w:t>
            </w:r>
            <w:proofErr w:type="spellEnd"/>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bCs/>
                <w:sz w:val="16"/>
                <w:szCs w:val="16"/>
                <w:lang w:val="en-US"/>
              </w:rPr>
              <w:t>In a 1</w:t>
            </w:r>
            <w:r w:rsidRPr="00F01347">
              <w:rPr>
                <w:rFonts w:ascii="Verdana" w:hAnsi="Verdana"/>
                <w:b/>
                <w:sz w:val="16"/>
                <w:szCs w:val="16"/>
                <w:lang w:val="en-US"/>
              </w:rPr>
              <w:t xml:space="preserve"> </w:t>
            </w:r>
            <w:r w:rsidRPr="00F01347">
              <w:rPr>
                <w:rFonts w:ascii="Verdana" w:hAnsi="Verdana"/>
                <w:sz w:val="16"/>
                <w:szCs w:val="16"/>
                <w:lang w:val="en-US"/>
              </w:rPr>
              <w:t>mL volumetric flask, put 500 µL of the 1 mg/L solution and make up to volume with MTBE. Calibration standards can be prepared gravimetrically.</w:t>
            </w:r>
          </w:p>
        </w:tc>
      </w:tr>
      <w:tr w:rsidR="0097149D" w:rsidRPr="00F01347" w14:paraId="1D498E5E" w14:textId="33280F2E" w:rsidTr="008D27AC">
        <w:tc>
          <w:tcPr>
            <w:tcW w:w="4675" w:type="dxa"/>
          </w:tcPr>
          <w:p w14:paraId="5F7B6E76"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Estándares internos.</w:t>
            </w:r>
            <w:r w:rsidRPr="00F01347">
              <w:rPr>
                <w:rFonts w:ascii="Verdana" w:hAnsi="Verdana"/>
                <w:sz w:val="16"/>
                <w:szCs w:val="16"/>
              </w:rPr>
              <w:t xml:space="preserve"> 1,2,3-tricloropropano. Solución concentrada de 25 mg.</w:t>
            </w:r>
          </w:p>
        </w:tc>
        <w:tc>
          <w:tcPr>
            <w:tcW w:w="4675" w:type="dxa"/>
          </w:tcPr>
          <w:p w14:paraId="22DB2D48" w14:textId="0DB8F1C7"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Internal standards. </w:t>
            </w:r>
            <w:r w:rsidRPr="00F01347">
              <w:rPr>
                <w:rFonts w:ascii="Verdana" w:hAnsi="Verdana"/>
                <w:sz w:val="16"/>
                <w:szCs w:val="16"/>
                <w:lang w:val="en-US"/>
              </w:rPr>
              <w:t>1,2,3-trichloropropane. 25 mg concentrated solution.</w:t>
            </w:r>
          </w:p>
        </w:tc>
      </w:tr>
      <w:tr w:rsidR="0097149D" w:rsidRPr="00F01347" w14:paraId="309C1D23" w14:textId="7A647FCB" w:rsidTr="008D27AC">
        <w:tc>
          <w:tcPr>
            <w:tcW w:w="4675" w:type="dxa"/>
          </w:tcPr>
          <w:p w14:paraId="29E77C66"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 xml:space="preserve">Estándares </w:t>
            </w:r>
            <w:proofErr w:type="spellStart"/>
            <w:r w:rsidRPr="00F01347">
              <w:rPr>
                <w:rFonts w:ascii="Verdana" w:hAnsi="Verdana"/>
                <w:b/>
                <w:sz w:val="16"/>
                <w:szCs w:val="16"/>
              </w:rPr>
              <w:t>surrogados</w:t>
            </w:r>
            <w:proofErr w:type="spellEnd"/>
            <w:r w:rsidRPr="00F01347">
              <w:rPr>
                <w:rFonts w:ascii="Verdana" w:hAnsi="Verdana"/>
                <w:b/>
                <w:sz w:val="16"/>
                <w:szCs w:val="16"/>
              </w:rPr>
              <w:t>.</w:t>
            </w:r>
            <w:r w:rsidRPr="00F01347">
              <w:rPr>
                <w:rFonts w:ascii="Verdana" w:hAnsi="Verdana"/>
                <w:sz w:val="16"/>
                <w:szCs w:val="16"/>
              </w:rPr>
              <w:t xml:space="preserve"> 2,3 ácido </w:t>
            </w:r>
            <w:proofErr w:type="spellStart"/>
            <w:r w:rsidRPr="00F01347">
              <w:rPr>
                <w:rFonts w:ascii="Verdana" w:hAnsi="Verdana"/>
                <w:sz w:val="16"/>
                <w:szCs w:val="16"/>
              </w:rPr>
              <w:t>dibromopropiónico</w:t>
            </w:r>
            <w:proofErr w:type="spellEnd"/>
            <w:r w:rsidRPr="00F01347">
              <w:rPr>
                <w:rFonts w:ascii="Verdana" w:hAnsi="Verdana"/>
                <w:sz w:val="16"/>
                <w:szCs w:val="16"/>
              </w:rPr>
              <w:t>. Solución concentrada de 1 000 mg/L.</w:t>
            </w:r>
          </w:p>
        </w:tc>
        <w:tc>
          <w:tcPr>
            <w:tcW w:w="4675" w:type="dxa"/>
          </w:tcPr>
          <w:p w14:paraId="7C8789C6" w14:textId="70479D2B"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Surrogated standards</w:t>
            </w:r>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 xml:space="preserve">2,3 </w:t>
            </w:r>
            <w:proofErr w:type="spellStart"/>
            <w:r w:rsidRPr="00F01347">
              <w:rPr>
                <w:rFonts w:ascii="Verdana" w:hAnsi="Verdana"/>
                <w:sz w:val="16"/>
                <w:szCs w:val="16"/>
                <w:lang w:val="en-US"/>
              </w:rPr>
              <w:t>dibromopropionic</w:t>
            </w:r>
            <w:proofErr w:type="spellEnd"/>
            <w:r w:rsidRPr="00F01347">
              <w:rPr>
                <w:rFonts w:ascii="Verdana" w:hAnsi="Verdana"/>
                <w:sz w:val="16"/>
                <w:szCs w:val="16"/>
                <w:lang w:val="en-US"/>
              </w:rPr>
              <w:t xml:space="preserve"> acid</w:t>
            </w:r>
            <w:r w:rsidR="003E1BA9" w:rsidRPr="00F01347">
              <w:rPr>
                <w:rFonts w:ascii="Verdana" w:hAnsi="Verdana"/>
                <w:sz w:val="16"/>
                <w:szCs w:val="16"/>
                <w:lang w:val="en-US"/>
              </w:rPr>
              <w:t>.</w:t>
            </w:r>
            <w:r w:rsidRPr="00F01347">
              <w:rPr>
                <w:rFonts w:ascii="Verdana" w:hAnsi="Verdana"/>
                <w:sz w:val="16"/>
                <w:szCs w:val="16"/>
                <w:lang w:val="en-US"/>
              </w:rPr>
              <w:t xml:space="preserve"> Concentrated solution of 1,000 mg/L.</w:t>
            </w:r>
          </w:p>
        </w:tc>
      </w:tr>
      <w:tr w:rsidR="0097149D" w:rsidRPr="00F01347" w14:paraId="2DBF6797" w14:textId="5BC7F415" w:rsidTr="008D27AC">
        <w:tc>
          <w:tcPr>
            <w:tcW w:w="4675" w:type="dxa"/>
          </w:tcPr>
          <w:p w14:paraId="70169783"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Helio (o hidrógeno)</w:t>
            </w:r>
            <w:r w:rsidRPr="00F01347">
              <w:rPr>
                <w:rFonts w:ascii="Verdana" w:hAnsi="Verdana"/>
                <w:sz w:val="16"/>
                <w:szCs w:val="16"/>
              </w:rPr>
              <w:t>, con una pureza ≥ 99.999%, gas de acarreo para GC</w:t>
            </w:r>
          </w:p>
        </w:tc>
        <w:tc>
          <w:tcPr>
            <w:tcW w:w="4675" w:type="dxa"/>
          </w:tcPr>
          <w:p w14:paraId="20EBA5CB" w14:textId="16274C1A"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Helium (or hydrogen)</w:t>
            </w:r>
            <w:r w:rsidR="003E1BA9" w:rsidRPr="00F01347">
              <w:rPr>
                <w:rFonts w:ascii="Verdana" w:hAnsi="Verdana"/>
                <w:b/>
                <w:sz w:val="16"/>
                <w:szCs w:val="16"/>
                <w:lang w:val="en-US"/>
              </w:rPr>
              <w:t>,</w:t>
            </w:r>
            <w:r w:rsidRPr="00F01347">
              <w:rPr>
                <w:rFonts w:ascii="Verdana" w:hAnsi="Verdana"/>
                <w:sz w:val="16"/>
                <w:szCs w:val="16"/>
                <w:lang w:val="en-US"/>
              </w:rPr>
              <w:t xml:space="preserve"> purity ≥ 99.999%, GC carrier gas</w:t>
            </w:r>
          </w:p>
        </w:tc>
      </w:tr>
      <w:tr w:rsidR="0097149D" w:rsidRPr="00F01347" w14:paraId="4AED5834" w14:textId="54A2E33B" w:rsidTr="008D27AC">
        <w:tc>
          <w:tcPr>
            <w:tcW w:w="4675" w:type="dxa"/>
          </w:tcPr>
          <w:p w14:paraId="22F5CE05" w14:textId="77777777" w:rsidR="0097149D" w:rsidRPr="00F01347" w:rsidRDefault="0097149D" w:rsidP="0097149D">
            <w:pPr>
              <w:pStyle w:val="texto0"/>
              <w:spacing w:line="218" w:lineRule="exact"/>
              <w:ind w:firstLine="0"/>
              <w:rPr>
                <w:rFonts w:ascii="Verdana" w:hAnsi="Verdana"/>
                <w:b/>
                <w:sz w:val="16"/>
                <w:szCs w:val="16"/>
              </w:rPr>
            </w:pPr>
            <w:r w:rsidRPr="00F01347">
              <w:rPr>
                <w:rFonts w:ascii="Verdana" w:hAnsi="Verdana"/>
                <w:b/>
                <w:sz w:val="16"/>
                <w:szCs w:val="16"/>
              </w:rPr>
              <w:t xml:space="preserve">Metanol. </w:t>
            </w:r>
            <w:r w:rsidRPr="00F01347">
              <w:rPr>
                <w:rFonts w:ascii="Verdana" w:hAnsi="Verdana"/>
                <w:sz w:val="16"/>
                <w:szCs w:val="16"/>
              </w:rPr>
              <w:t>Grado HPLC o equivalente.</w:t>
            </w:r>
          </w:p>
        </w:tc>
        <w:tc>
          <w:tcPr>
            <w:tcW w:w="4675" w:type="dxa"/>
          </w:tcPr>
          <w:p w14:paraId="07F4201C" w14:textId="7298C633"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Methanol. </w:t>
            </w:r>
            <w:r w:rsidRPr="00F01347">
              <w:rPr>
                <w:rFonts w:ascii="Verdana" w:hAnsi="Verdana"/>
                <w:sz w:val="16"/>
                <w:szCs w:val="16"/>
                <w:lang w:val="en-US"/>
              </w:rPr>
              <w:t>HPLC grade or equivalent.</w:t>
            </w:r>
          </w:p>
        </w:tc>
      </w:tr>
      <w:tr w:rsidR="0097149D" w:rsidRPr="00F01347" w14:paraId="37F0C801" w14:textId="4F9C8EDD" w:rsidTr="008D27AC">
        <w:tc>
          <w:tcPr>
            <w:tcW w:w="4675" w:type="dxa"/>
          </w:tcPr>
          <w:p w14:paraId="0E5D9A2F" w14:textId="77777777" w:rsidR="0097149D" w:rsidRPr="00F01347" w:rsidRDefault="0097149D" w:rsidP="0097149D">
            <w:pPr>
              <w:pStyle w:val="texto0"/>
              <w:spacing w:line="218" w:lineRule="exact"/>
              <w:ind w:firstLine="0"/>
              <w:rPr>
                <w:rFonts w:ascii="Verdana" w:hAnsi="Verdana"/>
                <w:sz w:val="16"/>
                <w:szCs w:val="16"/>
              </w:rPr>
            </w:pPr>
            <w:proofErr w:type="spellStart"/>
            <w:r w:rsidRPr="00F01347">
              <w:rPr>
                <w:rFonts w:ascii="Verdana" w:hAnsi="Verdana"/>
                <w:b/>
                <w:sz w:val="16"/>
                <w:szCs w:val="16"/>
              </w:rPr>
              <w:t>Metil</w:t>
            </w:r>
            <w:proofErr w:type="spellEnd"/>
            <w:r w:rsidRPr="00F01347">
              <w:rPr>
                <w:rFonts w:ascii="Verdana" w:hAnsi="Verdana"/>
                <w:b/>
                <w:sz w:val="16"/>
                <w:szCs w:val="16"/>
              </w:rPr>
              <w:t xml:space="preserve"> </w:t>
            </w:r>
            <w:proofErr w:type="spellStart"/>
            <w:r w:rsidRPr="00F01347">
              <w:rPr>
                <w:rFonts w:ascii="Verdana" w:hAnsi="Verdana"/>
                <w:b/>
                <w:sz w:val="16"/>
                <w:szCs w:val="16"/>
              </w:rPr>
              <w:t>terbutil</w:t>
            </w:r>
            <w:proofErr w:type="spellEnd"/>
            <w:r w:rsidRPr="00F01347">
              <w:rPr>
                <w:rFonts w:ascii="Verdana" w:hAnsi="Verdana"/>
                <w:b/>
                <w:sz w:val="16"/>
                <w:szCs w:val="16"/>
              </w:rPr>
              <w:t xml:space="preserve"> éter.</w:t>
            </w:r>
            <w:r w:rsidRPr="00F01347">
              <w:rPr>
                <w:rFonts w:ascii="Verdana" w:hAnsi="Verdana"/>
                <w:sz w:val="16"/>
                <w:szCs w:val="16"/>
              </w:rPr>
              <w:t xml:space="preserve"> Grado HPLC o equivalente.</w:t>
            </w:r>
          </w:p>
        </w:tc>
        <w:tc>
          <w:tcPr>
            <w:tcW w:w="4675" w:type="dxa"/>
          </w:tcPr>
          <w:p w14:paraId="4421A6A0" w14:textId="69F89340"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Methyl tert-butyl ether. </w:t>
            </w:r>
            <w:r w:rsidRPr="00F01347">
              <w:rPr>
                <w:rFonts w:ascii="Verdana" w:hAnsi="Verdana"/>
                <w:sz w:val="16"/>
                <w:szCs w:val="16"/>
                <w:lang w:val="en-US"/>
              </w:rPr>
              <w:t>HPLC grade or equivalent.</w:t>
            </w:r>
          </w:p>
        </w:tc>
      </w:tr>
      <w:tr w:rsidR="0097149D" w:rsidRPr="00F01347" w14:paraId="4271BC5C" w14:textId="3CB87488" w:rsidTr="008D27AC">
        <w:tc>
          <w:tcPr>
            <w:tcW w:w="4675" w:type="dxa"/>
          </w:tcPr>
          <w:p w14:paraId="2B359A6B"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Solución de ácido sulfúrico en Metanol al 10%.</w:t>
            </w:r>
            <w:r w:rsidRPr="00F01347">
              <w:rPr>
                <w:rFonts w:ascii="Verdana" w:hAnsi="Verdana"/>
                <w:sz w:val="16"/>
                <w:szCs w:val="16"/>
              </w:rPr>
              <w:t xml:space="preserve"> En un matraz aforado de 50 </w:t>
            </w:r>
            <w:proofErr w:type="spellStart"/>
            <w:r w:rsidRPr="00F01347">
              <w:rPr>
                <w:rFonts w:ascii="Verdana" w:hAnsi="Verdana"/>
                <w:sz w:val="16"/>
                <w:szCs w:val="16"/>
              </w:rPr>
              <w:t>mL</w:t>
            </w:r>
            <w:proofErr w:type="spellEnd"/>
            <w:r w:rsidRPr="00F01347">
              <w:rPr>
                <w:rFonts w:ascii="Verdana" w:hAnsi="Verdana"/>
                <w:sz w:val="16"/>
                <w:szCs w:val="16"/>
              </w:rPr>
              <w:t xml:space="preserve"> adicione de 20 a 30 </w:t>
            </w:r>
            <w:proofErr w:type="spellStart"/>
            <w:r w:rsidRPr="00F01347">
              <w:rPr>
                <w:rFonts w:ascii="Verdana" w:hAnsi="Verdana"/>
                <w:sz w:val="16"/>
                <w:szCs w:val="16"/>
              </w:rPr>
              <w:t>mL</w:t>
            </w:r>
            <w:proofErr w:type="spellEnd"/>
            <w:r w:rsidRPr="00F01347">
              <w:rPr>
                <w:rFonts w:ascii="Verdana" w:hAnsi="Verdana"/>
                <w:sz w:val="16"/>
                <w:szCs w:val="16"/>
              </w:rPr>
              <w:t xml:space="preserve"> posteriormente adicione lentamente 5 </w:t>
            </w:r>
            <w:proofErr w:type="spellStart"/>
            <w:r w:rsidRPr="00F01347">
              <w:rPr>
                <w:rFonts w:ascii="Verdana" w:hAnsi="Verdana"/>
                <w:sz w:val="16"/>
                <w:szCs w:val="16"/>
              </w:rPr>
              <w:t>mL</w:t>
            </w:r>
            <w:proofErr w:type="spellEnd"/>
            <w:r w:rsidRPr="00F01347">
              <w:rPr>
                <w:rFonts w:ascii="Verdana" w:hAnsi="Verdana"/>
                <w:sz w:val="16"/>
                <w:szCs w:val="16"/>
              </w:rPr>
              <w:t xml:space="preserve"> de ácido sulfúrico concentrado y afore a 50 </w:t>
            </w:r>
            <w:proofErr w:type="spellStart"/>
            <w:r w:rsidRPr="00F01347">
              <w:rPr>
                <w:rFonts w:ascii="Verdana" w:hAnsi="Verdana"/>
                <w:sz w:val="16"/>
                <w:szCs w:val="16"/>
              </w:rPr>
              <w:t>mL</w:t>
            </w:r>
            <w:proofErr w:type="spellEnd"/>
            <w:r w:rsidRPr="00F01347">
              <w:rPr>
                <w:rFonts w:ascii="Verdana" w:hAnsi="Verdana"/>
                <w:sz w:val="16"/>
                <w:szCs w:val="16"/>
              </w:rPr>
              <w:t xml:space="preserve"> con metanol.</w:t>
            </w:r>
          </w:p>
        </w:tc>
        <w:tc>
          <w:tcPr>
            <w:tcW w:w="4675" w:type="dxa"/>
          </w:tcPr>
          <w:p w14:paraId="0B5B507D" w14:textId="0187A161"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Solution of sulfuric acid in 10% Methanol. In a 50 </w:t>
            </w:r>
            <w:r w:rsidRPr="00F01347">
              <w:rPr>
                <w:rFonts w:ascii="Verdana" w:hAnsi="Verdana"/>
                <w:sz w:val="16"/>
                <w:szCs w:val="16"/>
                <w:lang w:val="en-US"/>
              </w:rPr>
              <w:t>mL volumetric flask, add 20 to 30 mL</w:t>
            </w:r>
            <w:r w:rsidR="003E1BA9" w:rsidRPr="00F01347">
              <w:rPr>
                <w:rFonts w:ascii="Verdana" w:hAnsi="Verdana"/>
                <w:sz w:val="16"/>
                <w:szCs w:val="16"/>
                <w:lang w:val="en-US"/>
              </w:rPr>
              <w:t>,</w:t>
            </w:r>
            <w:r w:rsidRPr="00F01347">
              <w:rPr>
                <w:rFonts w:ascii="Verdana" w:hAnsi="Verdana"/>
                <w:sz w:val="16"/>
                <w:szCs w:val="16"/>
                <w:lang w:val="en-US"/>
              </w:rPr>
              <w:t xml:space="preserve"> then slowly add 5 mL of concentrated sulfuric </w:t>
            </w:r>
            <w:proofErr w:type="gramStart"/>
            <w:r w:rsidRPr="00F01347">
              <w:rPr>
                <w:rFonts w:ascii="Verdana" w:hAnsi="Verdana"/>
                <w:sz w:val="16"/>
                <w:szCs w:val="16"/>
                <w:lang w:val="en-US"/>
              </w:rPr>
              <w:t>acid</w:t>
            </w:r>
            <w:proofErr w:type="gramEnd"/>
            <w:r w:rsidRPr="00F01347">
              <w:rPr>
                <w:rFonts w:ascii="Verdana" w:hAnsi="Verdana"/>
                <w:sz w:val="16"/>
                <w:szCs w:val="16"/>
                <w:lang w:val="en-US"/>
              </w:rPr>
              <w:t xml:space="preserve"> and make up to 50 mL with methanol.</w:t>
            </w:r>
          </w:p>
        </w:tc>
      </w:tr>
      <w:tr w:rsidR="0097149D" w:rsidRPr="00F01347" w14:paraId="4DA47F4E" w14:textId="5C9297E2" w:rsidTr="008D27AC">
        <w:tc>
          <w:tcPr>
            <w:tcW w:w="4675" w:type="dxa"/>
          </w:tcPr>
          <w:p w14:paraId="2053E5D2"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Solución de bicarbonato de sodio saturada.</w:t>
            </w:r>
            <w:r w:rsidRPr="00F01347">
              <w:rPr>
                <w:rFonts w:ascii="Verdana" w:hAnsi="Verdana"/>
                <w:sz w:val="16"/>
                <w:szCs w:val="16"/>
              </w:rPr>
              <w:t xml:space="preserve"> Adicionar el bicarbonato de sodio a un volumen de agua hasta saturación.</w:t>
            </w:r>
          </w:p>
        </w:tc>
        <w:tc>
          <w:tcPr>
            <w:tcW w:w="4675" w:type="dxa"/>
          </w:tcPr>
          <w:p w14:paraId="7ED9AE70" w14:textId="32CB75AD"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Saturated sodium bicarbonate solution. </w:t>
            </w:r>
            <w:r w:rsidRPr="00F01347">
              <w:rPr>
                <w:rFonts w:ascii="Verdana" w:hAnsi="Verdana"/>
                <w:sz w:val="16"/>
                <w:szCs w:val="16"/>
                <w:lang w:val="en-US"/>
              </w:rPr>
              <w:t>Add baking soda to a volume of water until saturation.</w:t>
            </w:r>
          </w:p>
        </w:tc>
      </w:tr>
      <w:tr w:rsidR="0097149D" w:rsidRPr="00F01347" w14:paraId="4366C65C" w14:textId="6E463C98" w:rsidTr="008D27AC">
        <w:tc>
          <w:tcPr>
            <w:tcW w:w="4675" w:type="dxa"/>
          </w:tcPr>
          <w:p w14:paraId="3AB4C142"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Sulfato de cobre pentahidratado.</w:t>
            </w:r>
            <w:r w:rsidRPr="00F01347">
              <w:rPr>
                <w:rFonts w:ascii="Verdana" w:hAnsi="Verdana"/>
                <w:sz w:val="16"/>
                <w:szCs w:val="16"/>
              </w:rPr>
              <w:t xml:space="preserve"> Grado reactivo.</w:t>
            </w:r>
          </w:p>
        </w:tc>
        <w:tc>
          <w:tcPr>
            <w:tcW w:w="4675" w:type="dxa"/>
          </w:tcPr>
          <w:p w14:paraId="178F74B4" w14:textId="02C035E2"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Copper sulfate pentahydrate. </w:t>
            </w:r>
            <w:r w:rsidR="00463040" w:rsidRPr="00F01347">
              <w:rPr>
                <w:rFonts w:ascii="Verdana" w:hAnsi="Verdana"/>
                <w:sz w:val="16"/>
                <w:szCs w:val="16"/>
                <w:lang w:val="en-US"/>
              </w:rPr>
              <w:t>Reagent grade</w:t>
            </w:r>
            <w:r w:rsidRPr="00F01347">
              <w:rPr>
                <w:rFonts w:ascii="Verdana" w:hAnsi="Verdana"/>
                <w:sz w:val="16"/>
                <w:szCs w:val="16"/>
                <w:lang w:val="en-US"/>
              </w:rPr>
              <w:t>.</w:t>
            </w:r>
          </w:p>
        </w:tc>
      </w:tr>
      <w:tr w:rsidR="0097149D" w:rsidRPr="00F01347" w14:paraId="6EFABBD1" w14:textId="2F397378" w:rsidTr="008D27AC">
        <w:tc>
          <w:tcPr>
            <w:tcW w:w="4675" w:type="dxa"/>
          </w:tcPr>
          <w:p w14:paraId="58D498E7" w14:textId="77777777" w:rsidR="0097149D" w:rsidRPr="00F01347" w:rsidRDefault="0097149D" w:rsidP="0097149D">
            <w:pPr>
              <w:pStyle w:val="texto0"/>
              <w:spacing w:line="218" w:lineRule="exact"/>
              <w:ind w:firstLine="0"/>
              <w:rPr>
                <w:rFonts w:ascii="Verdana" w:hAnsi="Verdana"/>
                <w:sz w:val="16"/>
                <w:szCs w:val="16"/>
              </w:rPr>
            </w:pPr>
            <w:r w:rsidRPr="00F01347">
              <w:rPr>
                <w:rFonts w:ascii="Verdana" w:hAnsi="Verdana"/>
                <w:b/>
                <w:sz w:val="16"/>
                <w:szCs w:val="16"/>
              </w:rPr>
              <w:t xml:space="preserve">Sulfato de sodio. </w:t>
            </w:r>
            <w:r w:rsidRPr="00F01347">
              <w:rPr>
                <w:rFonts w:ascii="Verdana" w:hAnsi="Verdana"/>
                <w:sz w:val="16"/>
                <w:szCs w:val="16"/>
              </w:rPr>
              <w:t>Granular anhidro purificado a 600 °C durante 4 horas. Grado reactivo.</w:t>
            </w:r>
          </w:p>
        </w:tc>
        <w:tc>
          <w:tcPr>
            <w:tcW w:w="4675" w:type="dxa"/>
          </w:tcPr>
          <w:p w14:paraId="4A0F80C9" w14:textId="00F45A0E" w:rsidR="0097149D" w:rsidRPr="00F01347" w:rsidRDefault="0097149D" w:rsidP="0097149D">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Sodium sulfate. </w:t>
            </w:r>
            <w:r w:rsidRPr="00F01347">
              <w:rPr>
                <w:rFonts w:ascii="Verdana" w:hAnsi="Verdana"/>
                <w:sz w:val="16"/>
                <w:szCs w:val="16"/>
                <w:lang w:val="en-US"/>
              </w:rPr>
              <w:t xml:space="preserve">Anhydrous granular purified at 600 °C for 4 hours. </w:t>
            </w:r>
            <w:r w:rsidR="00463040" w:rsidRPr="00F01347">
              <w:rPr>
                <w:rFonts w:ascii="Verdana" w:hAnsi="Verdana"/>
                <w:sz w:val="16"/>
                <w:szCs w:val="16"/>
                <w:lang w:val="en-US"/>
              </w:rPr>
              <w:t>Reagent grade</w:t>
            </w:r>
            <w:r w:rsidRPr="00F01347">
              <w:rPr>
                <w:rFonts w:ascii="Verdana" w:hAnsi="Verdana"/>
                <w:sz w:val="16"/>
                <w:szCs w:val="16"/>
                <w:lang w:val="en-US"/>
              </w:rPr>
              <w:t>.</w:t>
            </w:r>
          </w:p>
        </w:tc>
      </w:tr>
      <w:tr w:rsidR="0097149D" w:rsidRPr="00F01347" w14:paraId="52715EAA" w14:textId="5D2F66F2" w:rsidTr="008D27AC">
        <w:tc>
          <w:tcPr>
            <w:tcW w:w="4675" w:type="dxa"/>
          </w:tcPr>
          <w:p w14:paraId="24044254" w14:textId="77777777" w:rsidR="0097149D" w:rsidRPr="00F01347" w:rsidRDefault="0097149D" w:rsidP="0097149D">
            <w:pPr>
              <w:pStyle w:val="texto0"/>
              <w:spacing w:line="224" w:lineRule="exact"/>
              <w:ind w:firstLine="0"/>
              <w:rPr>
                <w:rFonts w:ascii="Verdana" w:hAnsi="Verdana"/>
                <w:b/>
                <w:sz w:val="16"/>
                <w:szCs w:val="16"/>
              </w:rPr>
            </w:pPr>
            <w:r w:rsidRPr="00F01347">
              <w:rPr>
                <w:rFonts w:ascii="Verdana" w:hAnsi="Verdana"/>
                <w:b/>
                <w:sz w:val="16"/>
                <w:szCs w:val="16"/>
              </w:rPr>
              <w:t>B.5.7 Procedimiento</w:t>
            </w:r>
          </w:p>
        </w:tc>
        <w:tc>
          <w:tcPr>
            <w:tcW w:w="4675" w:type="dxa"/>
          </w:tcPr>
          <w:p w14:paraId="7E8D3F3B" w14:textId="448C8A61" w:rsidR="0097149D" w:rsidRPr="00F01347" w:rsidRDefault="0097149D" w:rsidP="0097149D">
            <w:pPr>
              <w:pStyle w:val="texto0"/>
              <w:spacing w:line="224" w:lineRule="exact"/>
              <w:ind w:firstLine="0"/>
              <w:rPr>
                <w:rFonts w:ascii="Verdana" w:hAnsi="Verdana"/>
                <w:b/>
                <w:sz w:val="16"/>
                <w:szCs w:val="16"/>
                <w:lang w:val="en-US"/>
              </w:rPr>
            </w:pPr>
            <w:r w:rsidRPr="00F01347">
              <w:rPr>
                <w:rFonts w:ascii="Verdana" w:hAnsi="Verdana"/>
                <w:b/>
                <w:sz w:val="16"/>
                <w:szCs w:val="16"/>
                <w:lang w:val="en-US"/>
              </w:rPr>
              <w:t>B.5.7 Procedure</w:t>
            </w:r>
          </w:p>
        </w:tc>
      </w:tr>
      <w:tr w:rsidR="0097149D" w:rsidRPr="00F01347" w14:paraId="3A62B661" w14:textId="0EB812D5" w:rsidTr="008D27AC">
        <w:tc>
          <w:tcPr>
            <w:tcW w:w="4675" w:type="dxa"/>
          </w:tcPr>
          <w:p w14:paraId="62498AE7" w14:textId="77777777" w:rsidR="0097149D" w:rsidRPr="00F01347" w:rsidRDefault="0097149D" w:rsidP="0097149D">
            <w:pPr>
              <w:pStyle w:val="texto0"/>
              <w:spacing w:line="224" w:lineRule="exact"/>
              <w:ind w:firstLine="0"/>
              <w:rPr>
                <w:rFonts w:ascii="Verdana" w:hAnsi="Verdana"/>
                <w:b/>
                <w:sz w:val="16"/>
                <w:szCs w:val="16"/>
              </w:rPr>
            </w:pPr>
            <w:r w:rsidRPr="00F01347">
              <w:rPr>
                <w:rFonts w:ascii="Verdana" w:hAnsi="Verdana"/>
                <w:b/>
                <w:sz w:val="16"/>
                <w:szCs w:val="16"/>
              </w:rPr>
              <w:t>B.5.7.1 Recolección, conservación y almacenamiento de muestras</w:t>
            </w:r>
          </w:p>
        </w:tc>
        <w:tc>
          <w:tcPr>
            <w:tcW w:w="4675" w:type="dxa"/>
          </w:tcPr>
          <w:p w14:paraId="46B73DFC" w14:textId="7FBA1DE3" w:rsidR="0097149D" w:rsidRPr="00F01347" w:rsidRDefault="0097149D" w:rsidP="0097149D">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B.5.7.1 Sample collection, </w:t>
            </w:r>
            <w:r w:rsidR="00463040" w:rsidRPr="00F01347">
              <w:rPr>
                <w:rFonts w:ascii="Verdana" w:hAnsi="Verdana"/>
                <w:b/>
                <w:sz w:val="16"/>
                <w:szCs w:val="16"/>
                <w:lang w:val="en-US"/>
              </w:rPr>
              <w:t>preservation,</w:t>
            </w:r>
            <w:r w:rsidRPr="00F01347">
              <w:rPr>
                <w:rFonts w:ascii="Verdana" w:hAnsi="Verdana"/>
                <w:b/>
                <w:sz w:val="16"/>
                <w:szCs w:val="16"/>
                <w:lang w:val="en-US"/>
              </w:rPr>
              <w:t xml:space="preserve"> and storage</w:t>
            </w:r>
          </w:p>
        </w:tc>
      </w:tr>
      <w:tr w:rsidR="0097149D" w:rsidRPr="00F01347" w14:paraId="0793826E" w14:textId="623D7921" w:rsidTr="008D27AC">
        <w:tc>
          <w:tcPr>
            <w:tcW w:w="4675" w:type="dxa"/>
          </w:tcPr>
          <w:p w14:paraId="77FB87BE"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 xml:space="preserve">Es necesario contar con muestras de agua de uso y consumo humano a analizar con un volumen </w:t>
            </w:r>
            <w:proofErr w:type="gramStart"/>
            <w:r w:rsidRPr="00F01347">
              <w:rPr>
                <w:rFonts w:ascii="Verdana" w:hAnsi="Verdana"/>
                <w:sz w:val="16"/>
                <w:szCs w:val="16"/>
              </w:rPr>
              <w:t>de  250</w:t>
            </w:r>
            <w:proofErr w:type="gramEnd"/>
            <w:r w:rsidRPr="00F01347">
              <w:rPr>
                <w:rFonts w:ascii="Verdana" w:hAnsi="Verdana"/>
                <w:sz w:val="16"/>
                <w:szCs w:val="16"/>
              </w:rPr>
              <w:t xml:space="preserve"> </w:t>
            </w:r>
            <w:proofErr w:type="spellStart"/>
            <w:r w:rsidRPr="00F01347">
              <w:rPr>
                <w:rFonts w:ascii="Verdana" w:hAnsi="Verdana"/>
                <w:sz w:val="16"/>
                <w:szCs w:val="16"/>
              </w:rPr>
              <w:t>mL</w:t>
            </w:r>
            <w:proofErr w:type="spellEnd"/>
            <w:r w:rsidRPr="00F01347">
              <w:rPr>
                <w:rFonts w:ascii="Verdana" w:hAnsi="Verdana"/>
                <w:sz w:val="16"/>
                <w:szCs w:val="16"/>
              </w:rPr>
              <w:t xml:space="preserve"> en envase de vidrio ámbar. No se requiere de ningún tratamiento especial en campo. Las muestras y los blancos de campo deberán preservarse con cloruro de amonio y refrigerarse a 4 °C hasta su análisis. Todas las muestras deben extraerse dentro de los 14 días después de la recolección, una vez extraídas se tiene un tiempo de 7 días si se preserva a 4 °C y 14 días si se preserva a -10 °C.</w:t>
            </w:r>
          </w:p>
        </w:tc>
        <w:tc>
          <w:tcPr>
            <w:tcW w:w="4675" w:type="dxa"/>
          </w:tcPr>
          <w:p w14:paraId="6B5CE46A" w14:textId="0DEF4D73"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It is necessary to have samples of water for human use and consumption to analyze with a volume of 250 mL in amber glass container. No special treatment is required in the field. Samples and field blanks should be preserved with ammonium chloride and refrigerated at 4°C until analysis. All samples must be extracted within 14 days after collection, once extracted there is a time of 7 days if preserved at 4 °C and 14 days if preserved at -10 °C.</w:t>
            </w:r>
          </w:p>
        </w:tc>
      </w:tr>
      <w:tr w:rsidR="0097149D" w:rsidRPr="00F01347" w14:paraId="23F522E9" w14:textId="62FA4FEC" w:rsidTr="008D27AC">
        <w:tc>
          <w:tcPr>
            <w:tcW w:w="4675" w:type="dxa"/>
          </w:tcPr>
          <w:p w14:paraId="40FF79EC" w14:textId="77777777" w:rsidR="0097149D" w:rsidRPr="00F01347" w:rsidRDefault="0097149D" w:rsidP="0097149D">
            <w:pPr>
              <w:pStyle w:val="texto0"/>
              <w:spacing w:line="224" w:lineRule="exact"/>
              <w:ind w:firstLine="0"/>
              <w:rPr>
                <w:rFonts w:ascii="Verdana" w:hAnsi="Verdana"/>
                <w:b/>
                <w:sz w:val="16"/>
                <w:szCs w:val="16"/>
              </w:rPr>
            </w:pPr>
            <w:r w:rsidRPr="00F01347">
              <w:rPr>
                <w:rFonts w:ascii="Verdana" w:hAnsi="Verdana"/>
                <w:b/>
                <w:sz w:val="16"/>
                <w:szCs w:val="16"/>
              </w:rPr>
              <w:t>B.5.7.2 Procedimiento analítico</w:t>
            </w:r>
          </w:p>
        </w:tc>
        <w:tc>
          <w:tcPr>
            <w:tcW w:w="4675" w:type="dxa"/>
          </w:tcPr>
          <w:p w14:paraId="37D90DF1" w14:textId="307AFD4F" w:rsidR="0097149D" w:rsidRPr="00F01347" w:rsidRDefault="0097149D" w:rsidP="0097149D">
            <w:pPr>
              <w:pStyle w:val="texto0"/>
              <w:spacing w:line="224" w:lineRule="exact"/>
              <w:ind w:firstLine="0"/>
              <w:rPr>
                <w:rFonts w:ascii="Verdana" w:hAnsi="Verdana"/>
                <w:b/>
                <w:sz w:val="16"/>
                <w:szCs w:val="16"/>
                <w:lang w:val="en-US"/>
              </w:rPr>
            </w:pPr>
            <w:r w:rsidRPr="00F01347">
              <w:rPr>
                <w:rFonts w:ascii="Verdana" w:hAnsi="Verdana"/>
                <w:b/>
                <w:sz w:val="16"/>
                <w:szCs w:val="16"/>
                <w:lang w:val="en-US"/>
              </w:rPr>
              <w:t>B.5.7.2 Analytical procedure</w:t>
            </w:r>
          </w:p>
        </w:tc>
      </w:tr>
      <w:tr w:rsidR="0097149D" w:rsidRPr="00F01347" w14:paraId="226EB766" w14:textId="3489882E" w:rsidTr="008D27AC">
        <w:tc>
          <w:tcPr>
            <w:tcW w:w="4675" w:type="dxa"/>
          </w:tcPr>
          <w:p w14:paraId="0E4905C3" w14:textId="354C49CB"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 xml:space="preserve">Extracción de la muestra. Tomar 40 </w:t>
            </w:r>
            <w:proofErr w:type="spellStart"/>
            <w:r w:rsidRPr="00F01347">
              <w:rPr>
                <w:rFonts w:ascii="Verdana" w:hAnsi="Verdana"/>
                <w:sz w:val="16"/>
                <w:szCs w:val="16"/>
              </w:rPr>
              <w:t>mL</w:t>
            </w:r>
            <w:proofErr w:type="spellEnd"/>
            <w:r w:rsidRPr="00F01347">
              <w:rPr>
                <w:rFonts w:ascii="Verdana" w:hAnsi="Verdana"/>
                <w:sz w:val="16"/>
                <w:szCs w:val="16"/>
              </w:rPr>
              <w:t xml:space="preserve"> de muestra y transferirlo a un vial de 60 </w:t>
            </w:r>
            <w:proofErr w:type="spellStart"/>
            <w:r w:rsidRPr="00F01347">
              <w:rPr>
                <w:rFonts w:ascii="Verdana" w:hAnsi="Verdana"/>
                <w:sz w:val="16"/>
                <w:szCs w:val="16"/>
              </w:rPr>
              <w:t>mL</w:t>
            </w:r>
            <w:proofErr w:type="spellEnd"/>
            <w:r w:rsidRPr="00F01347">
              <w:rPr>
                <w:rFonts w:ascii="Verdana" w:hAnsi="Verdana"/>
                <w:sz w:val="16"/>
                <w:szCs w:val="16"/>
              </w:rPr>
              <w:t xml:space="preserve">, adicionar estándar </w:t>
            </w:r>
            <w:proofErr w:type="spellStart"/>
            <w:r w:rsidRPr="00F01347">
              <w:rPr>
                <w:rFonts w:ascii="Verdana" w:hAnsi="Verdana"/>
                <w:sz w:val="16"/>
                <w:szCs w:val="16"/>
              </w:rPr>
              <w:t>surrogado</w:t>
            </w:r>
            <w:proofErr w:type="spellEnd"/>
            <w:r w:rsidRPr="00F01347">
              <w:rPr>
                <w:rFonts w:ascii="Verdana" w:hAnsi="Verdana"/>
                <w:sz w:val="16"/>
                <w:szCs w:val="16"/>
              </w:rPr>
              <w:t xml:space="preserve"> y compuestos </w:t>
            </w:r>
            <w:proofErr w:type="spellStart"/>
            <w:r w:rsidR="00C50A8A" w:rsidRPr="00F01347">
              <w:rPr>
                <w:rFonts w:ascii="Verdana" w:hAnsi="Verdana"/>
                <w:sz w:val="16"/>
                <w:szCs w:val="16"/>
              </w:rPr>
              <w:t>blank</w:t>
            </w:r>
            <w:proofErr w:type="spellEnd"/>
            <w:r w:rsidRPr="00F01347">
              <w:rPr>
                <w:rFonts w:ascii="Verdana" w:hAnsi="Verdana"/>
                <w:sz w:val="16"/>
                <w:szCs w:val="16"/>
              </w:rPr>
              <w:t xml:space="preserve"> (muestras fortificadas), adicionar por lo menos 2 </w:t>
            </w:r>
            <w:proofErr w:type="spellStart"/>
            <w:r w:rsidRPr="00F01347">
              <w:rPr>
                <w:rFonts w:ascii="Verdana" w:hAnsi="Verdana"/>
                <w:sz w:val="16"/>
                <w:szCs w:val="16"/>
              </w:rPr>
              <w:t>mL</w:t>
            </w:r>
            <w:proofErr w:type="spellEnd"/>
            <w:r w:rsidRPr="00F01347">
              <w:rPr>
                <w:rFonts w:ascii="Verdana" w:hAnsi="Verdana"/>
                <w:sz w:val="16"/>
                <w:szCs w:val="16"/>
              </w:rPr>
              <w:t xml:space="preserve"> de ácido sulfúrico </w:t>
            </w:r>
            <w:r w:rsidRPr="00F01347">
              <w:rPr>
                <w:rFonts w:ascii="Verdana" w:hAnsi="Verdana"/>
                <w:sz w:val="16"/>
                <w:szCs w:val="16"/>
              </w:rPr>
              <w:lastRenderedPageBreak/>
              <w:t xml:space="preserve">concentrado para ajustar su pH menor a 0.5. Verificar con potenciómetro o con papel indicador de pH, rápidamente adicionar 2 g aproximadamente de sulfato cúprico pentahidratado, agitar hasta disolución, </w:t>
            </w:r>
            <w:proofErr w:type="gramStart"/>
            <w:r w:rsidRPr="00F01347">
              <w:rPr>
                <w:rFonts w:ascii="Verdana" w:hAnsi="Verdana"/>
                <w:sz w:val="16"/>
                <w:szCs w:val="16"/>
              </w:rPr>
              <w:t>posteriormente</w:t>
            </w:r>
            <w:proofErr w:type="gramEnd"/>
            <w:r w:rsidRPr="00F01347">
              <w:rPr>
                <w:rFonts w:ascii="Verdana" w:hAnsi="Verdana"/>
                <w:sz w:val="16"/>
                <w:szCs w:val="16"/>
              </w:rPr>
              <w:t xml:space="preserve"> adicionar rápidamente 16 g de sulfato de sodio y agitar de 3 a 5 minutos hasta que casi todo esté disuelto, extraer con 4 </w:t>
            </w:r>
            <w:proofErr w:type="spellStart"/>
            <w:r w:rsidRPr="00F01347">
              <w:rPr>
                <w:rFonts w:ascii="Verdana" w:hAnsi="Verdana"/>
                <w:sz w:val="16"/>
                <w:szCs w:val="16"/>
              </w:rPr>
              <w:t>mL</w:t>
            </w:r>
            <w:proofErr w:type="spellEnd"/>
            <w:r w:rsidRPr="00F01347">
              <w:rPr>
                <w:rFonts w:ascii="Verdana" w:hAnsi="Verdana"/>
                <w:sz w:val="16"/>
                <w:szCs w:val="16"/>
              </w:rPr>
              <w:t xml:space="preserve"> de disolvente (MTBE), agitando vigorosamente durante 2 minutos. Dejar que se separen las fases durante 5 minutos.</w:t>
            </w:r>
          </w:p>
        </w:tc>
        <w:tc>
          <w:tcPr>
            <w:tcW w:w="4675" w:type="dxa"/>
          </w:tcPr>
          <w:p w14:paraId="1B3A0BE1" w14:textId="0798F188"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lastRenderedPageBreak/>
              <w:t xml:space="preserve">Sample extraction. Take 40 mL of sample and transfer it to a 60 mL vial, add surrogate standard and </w:t>
            </w:r>
            <w:r w:rsidR="00C50A8A" w:rsidRPr="00F01347">
              <w:rPr>
                <w:rFonts w:ascii="Verdana" w:hAnsi="Verdana"/>
                <w:sz w:val="16"/>
                <w:szCs w:val="16"/>
                <w:lang w:val="en-US"/>
              </w:rPr>
              <w:t>blank</w:t>
            </w:r>
            <w:r w:rsidRPr="00F01347">
              <w:rPr>
                <w:rFonts w:ascii="Verdana" w:hAnsi="Verdana"/>
                <w:sz w:val="16"/>
                <w:szCs w:val="16"/>
                <w:lang w:val="en-US"/>
              </w:rPr>
              <w:t xml:space="preserve"> compounds (fortified samples), add at least 2 mL of concentrated sulfuric acid to adjust its pH to less than </w:t>
            </w:r>
            <w:r w:rsidRPr="00F01347">
              <w:rPr>
                <w:rFonts w:ascii="Verdana" w:hAnsi="Verdana"/>
                <w:sz w:val="16"/>
                <w:szCs w:val="16"/>
                <w:lang w:val="en-US"/>
              </w:rPr>
              <w:lastRenderedPageBreak/>
              <w:t>0.5. Check with a potentiometer or pH indicator paper, quickly add approximately 2 g of cupric sulfate pentahydrate, stir until dissolved, then quickly add 16 g of sodium sulfate and stir for 3 to 5 minutes until almost everything is dissolved, extract with 4 mL of solvent (MTBE), stirring vigorously for 2 minutes. Let the phases separate for 5 minutes.</w:t>
            </w:r>
          </w:p>
        </w:tc>
      </w:tr>
      <w:tr w:rsidR="0097149D" w:rsidRPr="00F01347" w14:paraId="6D40511B" w14:textId="18859C2C" w:rsidTr="008D27AC">
        <w:tc>
          <w:tcPr>
            <w:tcW w:w="4675" w:type="dxa"/>
          </w:tcPr>
          <w:p w14:paraId="0C7E8851"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lastRenderedPageBreak/>
              <w:t xml:space="preserve">Metilación. Transferir aproximadamente 3 </w:t>
            </w:r>
            <w:proofErr w:type="spellStart"/>
            <w:r w:rsidRPr="00F01347">
              <w:rPr>
                <w:rFonts w:ascii="Verdana" w:hAnsi="Verdana"/>
                <w:sz w:val="16"/>
                <w:szCs w:val="16"/>
              </w:rPr>
              <w:t>mL</w:t>
            </w:r>
            <w:proofErr w:type="spellEnd"/>
            <w:r w:rsidRPr="00F01347">
              <w:rPr>
                <w:rFonts w:ascii="Verdana" w:hAnsi="Verdana"/>
                <w:sz w:val="16"/>
                <w:szCs w:val="16"/>
              </w:rPr>
              <w:t xml:space="preserve"> de la parte superior (MTBE) a un tubo de rosca de 15 cm con tapa y adicionar 1mL de ácido sulfúrico al 10% en metanol. Colocar el tubo en un </w:t>
            </w:r>
            <w:proofErr w:type="spellStart"/>
            <w:r w:rsidRPr="00F01347">
              <w:rPr>
                <w:rFonts w:ascii="Verdana" w:hAnsi="Verdana"/>
                <w:sz w:val="16"/>
                <w:szCs w:val="16"/>
              </w:rPr>
              <w:t>Termoblock</w:t>
            </w:r>
            <w:proofErr w:type="spellEnd"/>
            <w:r w:rsidRPr="00F01347">
              <w:rPr>
                <w:rFonts w:ascii="Verdana" w:hAnsi="Verdana"/>
                <w:sz w:val="16"/>
                <w:szCs w:val="16"/>
              </w:rPr>
              <w:t xml:space="preserve"> a 50 °C durante 2 horas. Pasado este tiempo dejar enfriar y adicionar 4mL de la solución saturada de bicarbonato de sodio; agitar por 2 minutos con cuidado de ventear el dióxido de carbono (CO</w:t>
            </w:r>
            <w:r w:rsidRPr="00F01347">
              <w:rPr>
                <w:rFonts w:ascii="Verdana" w:hAnsi="Verdana"/>
                <w:sz w:val="16"/>
                <w:szCs w:val="16"/>
                <w:vertAlign w:val="subscript"/>
              </w:rPr>
              <w:t>2</w:t>
            </w:r>
            <w:r w:rsidRPr="00F01347">
              <w:rPr>
                <w:rFonts w:ascii="Verdana" w:hAnsi="Verdana"/>
                <w:sz w:val="16"/>
                <w:szCs w:val="16"/>
              </w:rPr>
              <w:t xml:space="preserve">) generado por la reacción y transferir 1 </w:t>
            </w:r>
            <w:proofErr w:type="spellStart"/>
            <w:r w:rsidRPr="00F01347">
              <w:rPr>
                <w:rFonts w:ascii="Verdana" w:hAnsi="Verdana"/>
                <w:sz w:val="16"/>
                <w:szCs w:val="16"/>
              </w:rPr>
              <w:t>mL</w:t>
            </w:r>
            <w:proofErr w:type="spellEnd"/>
            <w:r w:rsidRPr="00F01347">
              <w:rPr>
                <w:rFonts w:ascii="Verdana" w:hAnsi="Verdana"/>
                <w:sz w:val="16"/>
                <w:szCs w:val="16"/>
              </w:rPr>
              <w:t xml:space="preserve"> del MTBE a un vial para su análisis cromatográfico.</w:t>
            </w:r>
          </w:p>
        </w:tc>
        <w:tc>
          <w:tcPr>
            <w:tcW w:w="4675" w:type="dxa"/>
          </w:tcPr>
          <w:p w14:paraId="58C50373" w14:textId="08237554"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Methylation. Transfer approximately 3 mL of the </w:t>
            </w:r>
            <w:r w:rsidR="00463040" w:rsidRPr="00F01347">
              <w:rPr>
                <w:rFonts w:ascii="Verdana" w:hAnsi="Verdana"/>
                <w:sz w:val="16"/>
                <w:szCs w:val="16"/>
                <w:lang w:val="en-US"/>
              </w:rPr>
              <w:t xml:space="preserve">upper </w:t>
            </w:r>
            <w:r w:rsidR="0006497D" w:rsidRPr="00F01347">
              <w:rPr>
                <w:rFonts w:ascii="Verdana" w:hAnsi="Verdana"/>
                <w:sz w:val="16"/>
                <w:szCs w:val="16"/>
                <w:lang w:val="en-US"/>
              </w:rPr>
              <w:t>part (</w:t>
            </w:r>
            <w:r w:rsidRPr="00F01347">
              <w:rPr>
                <w:rFonts w:ascii="Verdana" w:hAnsi="Verdana"/>
                <w:sz w:val="16"/>
                <w:szCs w:val="16"/>
                <w:lang w:val="en-US"/>
              </w:rPr>
              <w:t>MTBE) to a 15 cm screw-top tube with a cap and add 1 mL of 10% sulfuric acid in methanol. Place the tube in a Thermoblock at 50 °C for 2 hours. After this time, let it cool and add 4mL of the saturated sodium bicarbonate solution; Shake for 2 minutes being careful to vent the carbon dioxide (CO</w:t>
            </w:r>
            <w:r w:rsidRPr="00F01347">
              <w:rPr>
                <w:rFonts w:ascii="Verdana" w:hAnsi="Verdana"/>
                <w:sz w:val="16"/>
                <w:szCs w:val="16"/>
                <w:vertAlign w:val="subscript"/>
                <w:lang w:val="en-US"/>
              </w:rPr>
              <w:t>2</w:t>
            </w:r>
            <w:r w:rsidR="00913802" w:rsidRPr="00F01347">
              <w:rPr>
                <w:rFonts w:ascii="Verdana" w:hAnsi="Verdana"/>
                <w:sz w:val="16"/>
                <w:szCs w:val="16"/>
                <w:vertAlign w:val="subscript"/>
                <w:lang w:val="en-US"/>
              </w:rPr>
              <w:t>)</w:t>
            </w:r>
            <w:r w:rsidRPr="00F01347">
              <w:rPr>
                <w:rFonts w:ascii="Verdana" w:hAnsi="Verdana"/>
                <w:sz w:val="16"/>
                <w:szCs w:val="16"/>
                <w:lang w:val="en-US"/>
              </w:rPr>
              <w:t xml:space="preserve"> generated by the reaction and transfer 1 mL of the MTBE to a vial for chromatographic analysis.</w:t>
            </w:r>
          </w:p>
        </w:tc>
      </w:tr>
      <w:tr w:rsidR="0097149D" w:rsidRPr="00F01347" w14:paraId="29E5FEC1" w14:textId="014E615A" w:rsidTr="008D27AC">
        <w:tc>
          <w:tcPr>
            <w:tcW w:w="4675" w:type="dxa"/>
          </w:tcPr>
          <w:p w14:paraId="5774762A"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Las condiciones utilizadas para el análisis de extractos de muestras son las siguientes:</w:t>
            </w:r>
          </w:p>
        </w:tc>
        <w:tc>
          <w:tcPr>
            <w:tcW w:w="4675" w:type="dxa"/>
          </w:tcPr>
          <w:p w14:paraId="36F96B13" w14:textId="665D95FF"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The conditions used for the analysis of sample extracts are the following:</w:t>
            </w:r>
          </w:p>
        </w:tc>
      </w:tr>
      <w:tr w:rsidR="0097149D" w:rsidRPr="00F01347" w14:paraId="5C6972D8" w14:textId="76F9C3FE" w:rsidTr="008D27AC">
        <w:tc>
          <w:tcPr>
            <w:tcW w:w="4675" w:type="dxa"/>
          </w:tcPr>
          <w:p w14:paraId="776AEF40"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Gas acarreador – hidrógeno</w:t>
            </w:r>
          </w:p>
        </w:tc>
        <w:tc>
          <w:tcPr>
            <w:tcW w:w="4675" w:type="dxa"/>
          </w:tcPr>
          <w:p w14:paraId="66E0DE8F" w14:textId="2F503932"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Carrier gas – hydrogen</w:t>
            </w:r>
          </w:p>
        </w:tc>
      </w:tr>
      <w:tr w:rsidR="0097149D" w:rsidRPr="00F01347" w14:paraId="278DF994" w14:textId="067DC8DC" w:rsidTr="008D27AC">
        <w:tc>
          <w:tcPr>
            <w:tcW w:w="4675" w:type="dxa"/>
          </w:tcPr>
          <w:p w14:paraId="5467A767"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Presión en columna – 9.4 psi</w:t>
            </w:r>
          </w:p>
        </w:tc>
        <w:tc>
          <w:tcPr>
            <w:tcW w:w="4675" w:type="dxa"/>
          </w:tcPr>
          <w:p w14:paraId="228F4277" w14:textId="33AEF9AC"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Column pressure – 9.4 psi</w:t>
            </w:r>
          </w:p>
        </w:tc>
      </w:tr>
      <w:tr w:rsidR="0097149D" w:rsidRPr="00F01347" w14:paraId="4E636CEE" w14:textId="17D4BED8" w:rsidTr="008D27AC">
        <w:tc>
          <w:tcPr>
            <w:tcW w:w="4675" w:type="dxa"/>
          </w:tcPr>
          <w:p w14:paraId="0CAC7078"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Temperatura del inyector – 200 °C</w:t>
            </w:r>
          </w:p>
        </w:tc>
        <w:tc>
          <w:tcPr>
            <w:tcW w:w="4675" w:type="dxa"/>
          </w:tcPr>
          <w:p w14:paraId="57AA2D73" w14:textId="5AAD1266"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Injector temperature – 200°C</w:t>
            </w:r>
          </w:p>
        </w:tc>
      </w:tr>
      <w:tr w:rsidR="0097149D" w:rsidRPr="00F01347" w14:paraId="385B01C8" w14:textId="3638AD86" w:rsidTr="008D27AC">
        <w:tc>
          <w:tcPr>
            <w:tcW w:w="4675" w:type="dxa"/>
          </w:tcPr>
          <w:p w14:paraId="5756CF49"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Temperatura del detector – 310 °C</w:t>
            </w:r>
          </w:p>
        </w:tc>
        <w:tc>
          <w:tcPr>
            <w:tcW w:w="4675" w:type="dxa"/>
          </w:tcPr>
          <w:p w14:paraId="3765AC3F" w14:textId="3CA7C7DE"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Detector temperature – 310°C</w:t>
            </w:r>
          </w:p>
        </w:tc>
      </w:tr>
      <w:tr w:rsidR="0097149D" w:rsidRPr="00F01347" w14:paraId="0030CDA9" w14:textId="6D26FF63" w:rsidTr="008D27AC">
        <w:tc>
          <w:tcPr>
            <w:tcW w:w="4675" w:type="dxa"/>
          </w:tcPr>
          <w:p w14:paraId="16601C77"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Temperatura inicial – 40 °C</w:t>
            </w:r>
          </w:p>
        </w:tc>
        <w:tc>
          <w:tcPr>
            <w:tcW w:w="4675" w:type="dxa"/>
          </w:tcPr>
          <w:p w14:paraId="0C207AF8" w14:textId="0BAB704F"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Initial temperature – 40 °C</w:t>
            </w:r>
          </w:p>
        </w:tc>
      </w:tr>
      <w:tr w:rsidR="0097149D" w:rsidRPr="00F01347" w14:paraId="3F1ECD94" w14:textId="11582033" w:rsidTr="008D27AC">
        <w:tc>
          <w:tcPr>
            <w:tcW w:w="4675" w:type="dxa"/>
          </w:tcPr>
          <w:p w14:paraId="6B4E8A5C"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Tiempo inicial 1 - 2.0 minutos</w:t>
            </w:r>
          </w:p>
        </w:tc>
        <w:tc>
          <w:tcPr>
            <w:tcW w:w="4675" w:type="dxa"/>
          </w:tcPr>
          <w:p w14:paraId="7CD808DC" w14:textId="4B004650"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Initial time 1 - 2.0 minutes</w:t>
            </w:r>
          </w:p>
        </w:tc>
      </w:tr>
      <w:tr w:rsidR="0097149D" w:rsidRPr="00F01347" w14:paraId="6B4CB683" w14:textId="5B0E391D" w:rsidTr="008D27AC">
        <w:tc>
          <w:tcPr>
            <w:tcW w:w="4675" w:type="dxa"/>
          </w:tcPr>
          <w:p w14:paraId="1BC18D0C"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Rampa 1 – 10 °C/minutos</w:t>
            </w:r>
          </w:p>
        </w:tc>
        <w:tc>
          <w:tcPr>
            <w:tcW w:w="4675" w:type="dxa"/>
          </w:tcPr>
          <w:p w14:paraId="4BB1E26E" w14:textId="64964D11"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Ramp 1 – 10°C/minutes</w:t>
            </w:r>
          </w:p>
        </w:tc>
      </w:tr>
      <w:tr w:rsidR="0097149D" w:rsidRPr="00F01347" w14:paraId="74AAD85C" w14:textId="27DD1319" w:rsidTr="008D27AC">
        <w:tc>
          <w:tcPr>
            <w:tcW w:w="4675" w:type="dxa"/>
          </w:tcPr>
          <w:p w14:paraId="79029F6C"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Temperatura final 1 – 80 °C</w:t>
            </w:r>
          </w:p>
        </w:tc>
        <w:tc>
          <w:tcPr>
            <w:tcW w:w="4675" w:type="dxa"/>
          </w:tcPr>
          <w:p w14:paraId="673264B8" w14:textId="7517757E"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Final temperature 1 – 80 °C</w:t>
            </w:r>
          </w:p>
        </w:tc>
      </w:tr>
      <w:tr w:rsidR="0097149D" w:rsidRPr="00F01347" w14:paraId="4EE484CE" w14:textId="2068619C" w:rsidTr="008D27AC">
        <w:tc>
          <w:tcPr>
            <w:tcW w:w="4675" w:type="dxa"/>
          </w:tcPr>
          <w:p w14:paraId="593B3170"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Tiempo final 1 – 0 minutos</w:t>
            </w:r>
          </w:p>
        </w:tc>
        <w:tc>
          <w:tcPr>
            <w:tcW w:w="4675" w:type="dxa"/>
          </w:tcPr>
          <w:p w14:paraId="5F754F6C" w14:textId="20034754"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Final time 1 – 0 minutes</w:t>
            </w:r>
          </w:p>
        </w:tc>
      </w:tr>
      <w:tr w:rsidR="0097149D" w:rsidRPr="00F01347" w14:paraId="1C5D41D2" w14:textId="39544CAE" w:rsidTr="008D27AC">
        <w:tc>
          <w:tcPr>
            <w:tcW w:w="4675" w:type="dxa"/>
          </w:tcPr>
          <w:p w14:paraId="2FC7BAFD"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Rampa 2 – 35 °C/minutos</w:t>
            </w:r>
          </w:p>
        </w:tc>
        <w:tc>
          <w:tcPr>
            <w:tcW w:w="4675" w:type="dxa"/>
          </w:tcPr>
          <w:p w14:paraId="720E7F3B" w14:textId="38D4325D"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Ramp 2 – 35°C/minutes</w:t>
            </w:r>
          </w:p>
        </w:tc>
      </w:tr>
      <w:tr w:rsidR="0097149D" w:rsidRPr="00F01347" w14:paraId="288199B6" w14:textId="4D34E629" w:rsidTr="008D27AC">
        <w:tc>
          <w:tcPr>
            <w:tcW w:w="4675" w:type="dxa"/>
          </w:tcPr>
          <w:p w14:paraId="40B2DAD3" w14:textId="77777777" w:rsidR="0097149D" w:rsidRPr="00F01347" w:rsidRDefault="0097149D" w:rsidP="0097149D">
            <w:pPr>
              <w:pStyle w:val="texto0"/>
              <w:spacing w:line="228" w:lineRule="exact"/>
              <w:ind w:firstLine="0"/>
              <w:rPr>
                <w:rFonts w:ascii="Verdana" w:hAnsi="Verdana"/>
                <w:sz w:val="16"/>
                <w:szCs w:val="16"/>
              </w:rPr>
            </w:pPr>
            <w:r w:rsidRPr="00F01347">
              <w:rPr>
                <w:rFonts w:ascii="Verdana" w:hAnsi="Verdana"/>
                <w:sz w:val="16"/>
                <w:szCs w:val="16"/>
              </w:rPr>
              <w:t>Temperatura final 2- 300 °C</w:t>
            </w:r>
          </w:p>
        </w:tc>
        <w:tc>
          <w:tcPr>
            <w:tcW w:w="4675" w:type="dxa"/>
          </w:tcPr>
          <w:p w14:paraId="016EA1DE" w14:textId="3F9CF340" w:rsidR="0097149D" w:rsidRPr="00F01347" w:rsidRDefault="0097149D" w:rsidP="0097149D">
            <w:pPr>
              <w:pStyle w:val="texto0"/>
              <w:spacing w:line="228" w:lineRule="exact"/>
              <w:ind w:firstLine="0"/>
              <w:rPr>
                <w:rFonts w:ascii="Verdana" w:hAnsi="Verdana"/>
                <w:sz w:val="16"/>
                <w:szCs w:val="16"/>
                <w:lang w:val="en-US"/>
              </w:rPr>
            </w:pPr>
            <w:r w:rsidRPr="00F01347">
              <w:rPr>
                <w:rFonts w:ascii="Verdana" w:hAnsi="Verdana"/>
                <w:sz w:val="16"/>
                <w:szCs w:val="16"/>
                <w:lang w:val="en-US"/>
              </w:rPr>
              <w:t>Final temperature 2- 300 °C</w:t>
            </w:r>
          </w:p>
        </w:tc>
      </w:tr>
      <w:tr w:rsidR="0097149D" w:rsidRPr="00F01347" w14:paraId="0AE7C84C" w14:textId="2C4D3FF5" w:rsidTr="008D27AC">
        <w:tc>
          <w:tcPr>
            <w:tcW w:w="4675" w:type="dxa"/>
          </w:tcPr>
          <w:p w14:paraId="0EF2926B" w14:textId="77777777" w:rsidR="0097149D" w:rsidRPr="00F01347" w:rsidRDefault="0097149D" w:rsidP="0097149D">
            <w:pPr>
              <w:pStyle w:val="texto0"/>
              <w:spacing w:line="228" w:lineRule="exact"/>
              <w:ind w:firstLine="0"/>
              <w:rPr>
                <w:rFonts w:ascii="Verdana" w:hAnsi="Verdana"/>
                <w:sz w:val="16"/>
                <w:szCs w:val="16"/>
              </w:rPr>
            </w:pPr>
            <w:r w:rsidRPr="00F01347">
              <w:rPr>
                <w:rFonts w:ascii="Verdana" w:hAnsi="Verdana"/>
                <w:sz w:val="16"/>
                <w:szCs w:val="16"/>
              </w:rPr>
              <w:t>Tiempo final 2 – 0 minutos</w:t>
            </w:r>
          </w:p>
        </w:tc>
        <w:tc>
          <w:tcPr>
            <w:tcW w:w="4675" w:type="dxa"/>
          </w:tcPr>
          <w:p w14:paraId="2A9B525A" w14:textId="032CB373" w:rsidR="0097149D" w:rsidRPr="00F01347" w:rsidRDefault="0097149D" w:rsidP="0097149D">
            <w:pPr>
              <w:pStyle w:val="texto0"/>
              <w:spacing w:line="228" w:lineRule="exact"/>
              <w:ind w:firstLine="0"/>
              <w:rPr>
                <w:rFonts w:ascii="Verdana" w:hAnsi="Verdana"/>
                <w:sz w:val="16"/>
                <w:szCs w:val="16"/>
                <w:lang w:val="en-US"/>
              </w:rPr>
            </w:pPr>
            <w:r w:rsidRPr="00F01347">
              <w:rPr>
                <w:rFonts w:ascii="Verdana" w:hAnsi="Verdana"/>
                <w:sz w:val="16"/>
                <w:szCs w:val="16"/>
                <w:lang w:val="en-US"/>
              </w:rPr>
              <w:t>Final time 2 – 0 minutes</w:t>
            </w:r>
          </w:p>
        </w:tc>
      </w:tr>
      <w:tr w:rsidR="0097149D" w:rsidRPr="00F01347" w14:paraId="6FCCBEE8" w14:textId="767F342E" w:rsidTr="008D27AC">
        <w:tc>
          <w:tcPr>
            <w:tcW w:w="4675" w:type="dxa"/>
          </w:tcPr>
          <w:p w14:paraId="78FBD2A3" w14:textId="77777777" w:rsidR="0097149D" w:rsidRPr="00F01347" w:rsidRDefault="0097149D" w:rsidP="0097149D">
            <w:pPr>
              <w:pStyle w:val="texto0"/>
              <w:spacing w:line="228" w:lineRule="exact"/>
              <w:ind w:firstLine="0"/>
              <w:rPr>
                <w:rFonts w:ascii="Verdana" w:hAnsi="Verdana"/>
                <w:sz w:val="16"/>
                <w:szCs w:val="16"/>
              </w:rPr>
            </w:pPr>
            <w:r w:rsidRPr="00F01347">
              <w:rPr>
                <w:rFonts w:ascii="Verdana" w:hAnsi="Verdana"/>
                <w:sz w:val="16"/>
                <w:szCs w:val="16"/>
              </w:rPr>
              <w:t>Inyección Split – relación 10:1</w:t>
            </w:r>
          </w:p>
        </w:tc>
        <w:tc>
          <w:tcPr>
            <w:tcW w:w="4675" w:type="dxa"/>
          </w:tcPr>
          <w:p w14:paraId="0901BC1B" w14:textId="64ECE40B" w:rsidR="0097149D" w:rsidRPr="00F01347" w:rsidRDefault="0097149D" w:rsidP="0097149D">
            <w:pPr>
              <w:pStyle w:val="texto0"/>
              <w:spacing w:line="228" w:lineRule="exact"/>
              <w:ind w:firstLine="0"/>
              <w:rPr>
                <w:rFonts w:ascii="Verdana" w:hAnsi="Verdana"/>
                <w:sz w:val="16"/>
                <w:szCs w:val="16"/>
                <w:lang w:val="en-US"/>
              </w:rPr>
            </w:pPr>
            <w:r w:rsidRPr="00F01347">
              <w:rPr>
                <w:rFonts w:ascii="Verdana" w:hAnsi="Verdana"/>
                <w:sz w:val="16"/>
                <w:szCs w:val="16"/>
                <w:lang w:val="en-US"/>
              </w:rPr>
              <w:t>Split injection – 10:1 ratio</w:t>
            </w:r>
          </w:p>
        </w:tc>
      </w:tr>
      <w:tr w:rsidR="0097149D" w:rsidRPr="00F01347" w14:paraId="4453CBE6" w14:textId="4511657F" w:rsidTr="008D27AC">
        <w:tc>
          <w:tcPr>
            <w:tcW w:w="4675" w:type="dxa"/>
          </w:tcPr>
          <w:p w14:paraId="1CC4C8B0" w14:textId="77777777" w:rsidR="0097149D" w:rsidRPr="00F01347" w:rsidRDefault="0097149D" w:rsidP="0097149D">
            <w:pPr>
              <w:pStyle w:val="texto0"/>
              <w:spacing w:line="228" w:lineRule="exact"/>
              <w:ind w:firstLine="0"/>
              <w:rPr>
                <w:rFonts w:ascii="Verdana" w:hAnsi="Verdana"/>
                <w:sz w:val="16"/>
                <w:szCs w:val="16"/>
              </w:rPr>
            </w:pPr>
            <w:r w:rsidRPr="00F01347">
              <w:rPr>
                <w:rFonts w:ascii="Verdana" w:hAnsi="Verdana"/>
                <w:sz w:val="16"/>
                <w:szCs w:val="16"/>
              </w:rPr>
              <w:t>En el procedimiento de análisis con el método de estándar interno, agregar el estándar al extracto de la muestra antes de aforar (opcional).</w:t>
            </w:r>
          </w:p>
        </w:tc>
        <w:tc>
          <w:tcPr>
            <w:tcW w:w="4675" w:type="dxa"/>
          </w:tcPr>
          <w:p w14:paraId="476F9FA3" w14:textId="6EF56CB6" w:rsidR="0097149D" w:rsidRPr="00F01347" w:rsidRDefault="0097149D" w:rsidP="0097149D">
            <w:pPr>
              <w:pStyle w:val="texto0"/>
              <w:spacing w:line="228" w:lineRule="exact"/>
              <w:ind w:firstLine="0"/>
              <w:rPr>
                <w:rFonts w:ascii="Verdana" w:hAnsi="Verdana"/>
                <w:sz w:val="16"/>
                <w:szCs w:val="16"/>
                <w:lang w:val="en-US"/>
              </w:rPr>
            </w:pPr>
            <w:r w:rsidRPr="00F01347">
              <w:rPr>
                <w:rFonts w:ascii="Verdana" w:hAnsi="Verdana"/>
                <w:sz w:val="16"/>
                <w:szCs w:val="16"/>
                <w:lang w:val="en-US"/>
              </w:rPr>
              <w:t>In the analysis procedure with the internal standard method, add the standard to the sample extract before measuring (optional).</w:t>
            </w:r>
          </w:p>
        </w:tc>
      </w:tr>
      <w:tr w:rsidR="0097149D" w:rsidRPr="00F01347" w14:paraId="7788F50B" w14:textId="6F9D5CBF" w:rsidTr="008D27AC">
        <w:tc>
          <w:tcPr>
            <w:tcW w:w="4675" w:type="dxa"/>
          </w:tcPr>
          <w:p w14:paraId="5DC206BA" w14:textId="77777777" w:rsidR="0097149D" w:rsidRPr="00F01347" w:rsidRDefault="0097149D" w:rsidP="0097149D">
            <w:pPr>
              <w:pStyle w:val="texto0"/>
              <w:spacing w:line="228" w:lineRule="exact"/>
              <w:ind w:firstLine="0"/>
              <w:rPr>
                <w:rFonts w:ascii="Verdana" w:hAnsi="Verdana"/>
                <w:sz w:val="16"/>
                <w:szCs w:val="16"/>
              </w:rPr>
            </w:pPr>
            <w:r w:rsidRPr="00F01347">
              <w:rPr>
                <w:rFonts w:ascii="Verdana" w:hAnsi="Verdana"/>
                <w:sz w:val="16"/>
                <w:szCs w:val="16"/>
              </w:rPr>
              <w:t>Inyectar un volumen adecuado (1 a 3 µL) del extracto de la muestra o estándar en el cromatógrafo de gases. Registro el volumen final del extracto y el área del pico resultante.</w:t>
            </w:r>
          </w:p>
        </w:tc>
        <w:tc>
          <w:tcPr>
            <w:tcW w:w="4675" w:type="dxa"/>
          </w:tcPr>
          <w:p w14:paraId="02FC102A" w14:textId="5858767B" w:rsidR="0097149D" w:rsidRPr="00F01347" w:rsidRDefault="0097149D" w:rsidP="0097149D">
            <w:pPr>
              <w:pStyle w:val="texto0"/>
              <w:spacing w:line="228" w:lineRule="exact"/>
              <w:ind w:firstLine="0"/>
              <w:rPr>
                <w:rFonts w:ascii="Verdana" w:hAnsi="Verdana"/>
                <w:sz w:val="16"/>
                <w:szCs w:val="16"/>
                <w:lang w:val="en-US"/>
              </w:rPr>
            </w:pPr>
            <w:r w:rsidRPr="00F01347">
              <w:rPr>
                <w:rFonts w:ascii="Verdana" w:hAnsi="Verdana"/>
                <w:sz w:val="16"/>
                <w:szCs w:val="16"/>
                <w:lang w:val="en-US"/>
              </w:rPr>
              <w:t>Inject an appropriate volume (1 to 3 µL) of the sample extract or standard into the gas chromatograph. Record the final volume of the extract and the area of the resulting peak.</w:t>
            </w:r>
          </w:p>
        </w:tc>
      </w:tr>
      <w:tr w:rsidR="0097149D" w:rsidRPr="00F01347" w14:paraId="5D910B6A" w14:textId="38CBA0EC" w:rsidTr="008D27AC">
        <w:tc>
          <w:tcPr>
            <w:tcW w:w="4675" w:type="dxa"/>
          </w:tcPr>
          <w:p w14:paraId="5C2DA147" w14:textId="77777777" w:rsidR="0097149D" w:rsidRPr="00F01347" w:rsidRDefault="0097149D" w:rsidP="0097149D">
            <w:pPr>
              <w:pStyle w:val="texto0"/>
              <w:spacing w:line="228" w:lineRule="exact"/>
              <w:ind w:firstLine="0"/>
              <w:rPr>
                <w:rFonts w:ascii="Verdana" w:hAnsi="Verdana"/>
                <w:sz w:val="16"/>
                <w:szCs w:val="16"/>
              </w:rPr>
            </w:pPr>
            <w:r w:rsidRPr="00F01347">
              <w:rPr>
                <w:rFonts w:ascii="Verdana" w:hAnsi="Verdana"/>
                <w:sz w:val="16"/>
                <w:szCs w:val="16"/>
              </w:rPr>
              <w:t xml:space="preserve">Identificar los ácidos </w:t>
            </w:r>
            <w:proofErr w:type="spellStart"/>
            <w:r w:rsidRPr="00F01347">
              <w:rPr>
                <w:rFonts w:ascii="Verdana" w:hAnsi="Verdana"/>
                <w:sz w:val="16"/>
                <w:szCs w:val="16"/>
              </w:rPr>
              <w:t>haloacéticos</w:t>
            </w:r>
            <w:proofErr w:type="spellEnd"/>
            <w:r w:rsidRPr="00F01347">
              <w:rPr>
                <w:rFonts w:ascii="Verdana" w:hAnsi="Verdana"/>
                <w:sz w:val="16"/>
                <w:szCs w:val="16"/>
              </w:rPr>
              <w:t xml:space="preserve"> en la muestra comparando los tiempos de retención de los picos en el cromatograma de muestra con los tiempos de retención de los picos en los cromatogramas de los estándares.</w:t>
            </w:r>
          </w:p>
        </w:tc>
        <w:tc>
          <w:tcPr>
            <w:tcW w:w="4675" w:type="dxa"/>
          </w:tcPr>
          <w:p w14:paraId="76E94FC7" w14:textId="4BAD2947" w:rsidR="0097149D" w:rsidRPr="00F01347" w:rsidRDefault="00463040" w:rsidP="0097149D">
            <w:pPr>
              <w:pStyle w:val="texto0"/>
              <w:spacing w:line="228" w:lineRule="exact"/>
              <w:ind w:firstLine="0"/>
              <w:rPr>
                <w:rFonts w:ascii="Verdana" w:hAnsi="Verdana"/>
                <w:sz w:val="16"/>
                <w:szCs w:val="16"/>
                <w:lang w:val="en-US"/>
              </w:rPr>
            </w:pPr>
            <w:r w:rsidRPr="00F01347">
              <w:rPr>
                <w:rFonts w:ascii="Verdana" w:hAnsi="Verdana"/>
                <w:sz w:val="16"/>
                <w:szCs w:val="16"/>
                <w:lang w:val="en-US"/>
              </w:rPr>
              <w:t xml:space="preserve">Identify the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acids in the sample by comparing the retention times of the peaks in the sample chromatogram with the retention times of the peaks in the chromatograms of the standards.</w:t>
            </w:r>
          </w:p>
        </w:tc>
      </w:tr>
      <w:tr w:rsidR="0097149D" w:rsidRPr="00F01347" w14:paraId="7C2D9793" w14:textId="3054F433" w:rsidTr="008D27AC">
        <w:tc>
          <w:tcPr>
            <w:tcW w:w="4675" w:type="dxa"/>
          </w:tcPr>
          <w:p w14:paraId="206FCD8F" w14:textId="77777777" w:rsidR="0097149D" w:rsidRPr="00F01347" w:rsidRDefault="0097149D" w:rsidP="0097149D">
            <w:pPr>
              <w:pStyle w:val="texto0"/>
              <w:spacing w:line="228" w:lineRule="exact"/>
              <w:ind w:firstLine="0"/>
              <w:rPr>
                <w:rFonts w:ascii="Verdana" w:hAnsi="Verdana"/>
                <w:sz w:val="16"/>
                <w:szCs w:val="16"/>
              </w:rPr>
            </w:pPr>
            <w:r w:rsidRPr="00F01347">
              <w:rPr>
                <w:rFonts w:ascii="Verdana" w:hAnsi="Verdana"/>
                <w:sz w:val="16"/>
                <w:szCs w:val="16"/>
              </w:rPr>
              <w:t>Si la respuesta del pico sobrepasa el intervalo de concentración de la curva patrón, diluir el extracto y analizar nuevamente.</w:t>
            </w:r>
          </w:p>
        </w:tc>
        <w:tc>
          <w:tcPr>
            <w:tcW w:w="4675" w:type="dxa"/>
          </w:tcPr>
          <w:p w14:paraId="462927FC" w14:textId="3733D941" w:rsidR="0097149D" w:rsidRPr="00F01347" w:rsidRDefault="0097149D" w:rsidP="0097149D">
            <w:pPr>
              <w:pStyle w:val="texto0"/>
              <w:spacing w:line="228" w:lineRule="exact"/>
              <w:ind w:firstLine="0"/>
              <w:rPr>
                <w:rFonts w:ascii="Verdana" w:hAnsi="Verdana"/>
                <w:sz w:val="16"/>
                <w:szCs w:val="16"/>
                <w:lang w:val="en-US"/>
              </w:rPr>
            </w:pPr>
            <w:r w:rsidRPr="00F01347">
              <w:rPr>
                <w:rFonts w:ascii="Verdana" w:hAnsi="Verdana"/>
                <w:sz w:val="16"/>
                <w:szCs w:val="16"/>
                <w:lang w:val="en-US"/>
              </w:rPr>
              <w:t xml:space="preserve">If the peak response exceeds the concentration range of the standard curve, dilute the </w:t>
            </w:r>
            <w:r w:rsidR="00463040" w:rsidRPr="00F01347">
              <w:rPr>
                <w:rFonts w:ascii="Verdana" w:hAnsi="Verdana"/>
                <w:sz w:val="16"/>
                <w:szCs w:val="16"/>
                <w:lang w:val="en-US"/>
              </w:rPr>
              <w:t>extract,</w:t>
            </w:r>
            <w:r w:rsidRPr="00F01347">
              <w:rPr>
                <w:rFonts w:ascii="Verdana" w:hAnsi="Verdana"/>
                <w:sz w:val="16"/>
                <w:szCs w:val="16"/>
                <w:lang w:val="en-US"/>
              </w:rPr>
              <w:t xml:space="preserve"> and analyze again.</w:t>
            </w:r>
          </w:p>
        </w:tc>
      </w:tr>
      <w:tr w:rsidR="0097149D" w:rsidRPr="00F01347" w14:paraId="7A848D9B" w14:textId="0AA9D6A6" w:rsidTr="008D27AC">
        <w:tc>
          <w:tcPr>
            <w:tcW w:w="4675" w:type="dxa"/>
          </w:tcPr>
          <w:p w14:paraId="7C1CDE2E" w14:textId="77777777" w:rsidR="0097149D" w:rsidRPr="00F01347" w:rsidRDefault="0097149D" w:rsidP="0097149D">
            <w:pPr>
              <w:pStyle w:val="texto0"/>
              <w:spacing w:line="228" w:lineRule="exact"/>
              <w:ind w:firstLine="0"/>
              <w:rPr>
                <w:rFonts w:ascii="Verdana" w:hAnsi="Verdana"/>
                <w:sz w:val="16"/>
                <w:szCs w:val="16"/>
              </w:rPr>
            </w:pPr>
            <w:r w:rsidRPr="00F01347">
              <w:rPr>
                <w:rFonts w:ascii="Verdana" w:hAnsi="Verdana"/>
                <w:sz w:val="16"/>
                <w:szCs w:val="16"/>
              </w:rPr>
              <w:lastRenderedPageBreak/>
              <w:t xml:space="preserve">La identificación de los ácidos </w:t>
            </w:r>
            <w:proofErr w:type="spellStart"/>
            <w:r w:rsidRPr="00F01347">
              <w:rPr>
                <w:rFonts w:ascii="Verdana" w:hAnsi="Verdana"/>
                <w:sz w:val="16"/>
                <w:szCs w:val="16"/>
              </w:rPr>
              <w:t>haloacéticos</w:t>
            </w:r>
            <w:proofErr w:type="spellEnd"/>
            <w:r w:rsidRPr="00F01347">
              <w:rPr>
                <w:rFonts w:ascii="Verdana" w:hAnsi="Verdana"/>
                <w:sz w:val="16"/>
                <w:szCs w:val="16"/>
              </w:rPr>
              <w:t xml:space="preserve"> utilizando en este método un detector de captura de electrones se basa en la concordancia entre los tiempos de retención de los picos en el cromatograma de la muestra con los intervalos de los tiempos de retención establecidos a través del análisis de los estándares.</w:t>
            </w:r>
          </w:p>
        </w:tc>
        <w:tc>
          <w:tcPr>
            <w:tcW w:w="4675" w:type="dxa"/>
          </w:tcPr>
          <w:p w14:paraId="309C481E" w14:textId="087695D9" w:rsidR="0097149D" w:rsidRPr="00F01347" w:rsidRDefault="00463040" w:rsidP="0097149D">
            <w:pPr>
              <w:pStyle w:val="texto0"/>
              <w:spacing w:line="228" w:lineRule="exact"/>
              <w:ind w:firstLine="0"/>
              <w:rPr>
                <w:rFonts w:ascii="Verdana" w:hAnsi="Verdana"/>
                <w:sz w:val="16"/>
                <w:szCs w:val="16"/>
                <w:lang w:val="en-US"/>
              </w:rPr>
            </w:pPr>
            <w:r w:rsidRPr="00F01347">
              <w:rPr>
                <w:rFonts w:ascii="Verdana" w:hAnsi="Verdana"/>
                <w:sz w:val="16"/>
                <w:szCs w:val="16"/>
                <w:lang w:val="en-US"/>
              </w:rPr>
              <w:t xml:space="preserve">The identification of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acids using an electron capture detector in this method is based on the agreement between the retention times of the peaks in the chromatogram of the sample with the retention time intervals established through the analysis of the standards.</w:t>
            </w:r>
          </w:p>
        </w:tc>
      </w:tr>
      <w:tr w:rsidR="0097149D" w:rsidRPr="00F01347" w14:paraId="1AF4249D" w14:textId="0782AA5A" w:rsidTr="008D27AC">
        <w:tc>
          <w:tcPr>
            <w:tcW w:w="4675" w:type="dxa"/>
          </w:tcPr>
          <w:p w14:paraId="4A398019" w14:textId="77777777" w:rsidR="0097149D" w:rsidRPr="00F01347" w:rsidRDefault="0097149D" w:rsidP="0097149D">
            <w:pPr>
              <w:pStyle w:val="texto0"/>
              <w:spacing w:line="224" w:lineRule="exact"/>
              <w:ind w:firstLine="0"/>
              <w:rPr>
                <w:rFonts w:ascii="Verdana" w:hAnsi="Verdana"/>
                <w:sz w:val="16"/>
                <w:szCs w:val="16"/>
              </w:rPr>
            </w:pPr>
            <w:r w:rsidRPr="00F01347">
              <w:rPr>
                <w:rFonts w:ascii="Verdana" w:hAnsi="Verdana"/>
                <w:sz w:val="16"/>
                <w:szCs w:val="16"/>
              </w:rPr>
              <w:t>La identificación tentativa de un analito ocurre cuando un pico del extracto de una muestra cae dentro del intervalo de tiempo de retención establecido para un analito problema específico. Cada identificación tentativa debe confirmarse.</w:t>
            </w:r>
          </w:p>
        </w:tc>
        <w:tc>
          <w:tcPr>
            <w:tcW w:w="4675" w:type="dxa"/>
          </w:tcPr>
          <w:p w14:paraId="3ACE0461" w14:textId="6C4D158B" w:rsidR="0097149D" w:rsidRPr="00F01347" w:rsidRDefault="0097149D" w:rsidP="0097149D">
            <w:pPr>
              <w:pStyle w:val="texto0"/>
              <w:spacing w:line="224" w:lineRule="exact"/>
              <w:ind w:firstLine="0"/>
              <w:rPr>
                <w:rFonts w:ascii="Verdana" w:hAnsi="Verdana"/>
                <w:sz w:val="16"/>
                <w:szCs w:val="16"/>
                <w:lang w:val="en-US"/>
              </w:rPr>
            </w:pPr>
            <w:r w:rsidRPr="00F01347">
              <w:rPr>
                <w:rFonts w:ascii="Verdana" w:hAnsi="Verdana"/>
                <w:sz w:val="16"/>
                <w:szCs w:val="16"/>
                <w:lang w:val="en-US"/>
              </w:rPr>
              <w:t>Tentative identification of an analyte occurs when a peak from a sample extract falls within the retention time interval established for a specific test analyte. Each attempted identification must be confirmed.</w:t>
            </w:r>
          </w:p>
        </w:tc>
      </w:tr>
      <w:tr w:rsidR="0097149D" w:rsidRPr="00F01347" w14:paraId="1CDEE11E" w14:textId="2D1977BC" w:rsidTr="008D27AC">
        <w:tc>
          <w:tcPr>
            <w:tcW w:w="4675" w:type="dxa"/>
          </w:tcPr>
          <w:p w14:paraId="232D533C" w14:textId="77777777" w:rsidR="0097149D" w:rsidRPr="00F01347" w:rsidRDefault="0097149D" w:rsidP="0097149D">
            <w:pPr>
              <w:pStyle w:val="texto0"/>
              <w:spacing w:line="236" w:lineRule="exact"/>
              <w:ind w:firstLine="0"/>
              <w:rPr>
                <w:rFonts w:ascii="Verdana" w:hAnsi="Verdana"/>
                <w:sz w:val="16"/>
                <w:szCs w:val="16"/>
              </w:rPr>
            </w:pPr>
            <w:r w:rsidRPr="00F01347">
              <w:rPr>
                <w:rFonts w:ascii="Verdana" w:hAnsi="Verdana"/>
                <w:sz w:val="16"/>
                <w:szCs w:val="16"/>
              </w:rPr>
              <w:t xml:space="preserve">La cuantificación de los ácidos </w:t>
            </w:r>
            <w:proofErr w:type="spellStart"/>
            <w:r w:rsidRPr="00F01347">
              <w:rPr>
                <w:rFonts w:ascii="Verdana" w:hAnsi="Verdana"/>
                <w:sz w:val="16"/>
                <w:szCs w:val="16"/>
              </w:rPr>
              <w:t>haloacéticos</w:t>
            </w:r>
            <w:proofErr w:type="spellEnd"/>
            <w:r w:rsidRPr="00F01347">
              <w:rPr>
                <w:rFonts w:ascii="Verdana" w:hAnsi="Verdana"/>
                <w:sz w:val="16"/>
                <w:szCs w:val="16"/>
              </w:rPr>
              <w:t>, puede realizarse usando la técnica de estándar interno o estándar externo calculando la concentración.</w:t>
            </w:r>
          </w:p>
        </w:tc>
        <w:tc>
          <w:tcPr>
            <w:tcW w:w="4675" w:type="dxa"/>
          </w:tcPr>
          <w:p w14:paraId="45132749" w14:textId="40805F5A" w:rsidR="0097149D" w:rsidRPr="00F01347" w:rsidRDefault="00463040" w:rsidP="0097149D">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The quantification of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acids can be carried out using the internal standard or external standard technique by calculating the concentration.</w:t>
            </w:r>
          </w:p>
        </w:tc>
      </w:tr>
      <w:tr w:rsidR="0097149D" w:rsidRPr="00F01347" w14:paraId="1526D8F0" w14:textId="1C71C355" w:rsidTr="008D27AC">
        <w:tc>
          <w:tcPr>
            <w:tcW w:w="4675" w:type="dxa"/>
          </w:tcPr>
          <w:p w14:paraId="2D6EF7D8" w14:textId="77777777" w:rsidR="0097149D" w:rsidRPr="00F01347" w:rsidRDefault="0097149D" w:rsidP="0097149D">
            <w:pPr>
              <w:pStyle w:val="texto0"/>
              <w:spacing w:line="236" w:lineRule="exact"/>
              <w:ind w:firstLine="0"/>
              <w:rPr>
                <w:rFonts w:ascii="Verdana" w:hAnsi="Verdana"/>
                <w:sz w:val="16"/>
                <w:szCs w:val="16"/>
              </w:rPr>
            </w:pPr>
            <w:r w:rsidRPr="00F01347">
              <w:rPr>
                <w:rFonts w:ascii="Verdana" w:hAnsi="Verdana"/>
                <w:sz w:val="16"/>
                <w:szCs w:val="16"/>
              </w:rPr>
              <w:t xml:space="preserve">Puede usarse la confirmación por cromatografía de gases acoplada a espectrometría de masas (Gas </w:t>
            </w:r>
            <w:proofErr w:type="spellStart"/>
            <w:r w:rsidRPr="00F01347">
              <w:rPr>
                <w:rFonts w:ascii="Verdana" w:hAnsi="Verdana"/>
                <w:sz w:val="16"/>
                <w:szCs w:val="16"/>
              </w:rPr>
              <w:t>chromatography</w:t>
            </w:r>
            <w:proofErr w:type="spellEnd"/>
            <w:r w:rsidRPr="00F01347">
              <w:rPr>
                <w:rFonts w:ascii="Verdana" w:hAnsi="Verdana"/>
                <w:sz w:val="16"/>
                <w:szCs w:val="16"/>
              </w:rPr>
              <w:t>–</w:t>
            </w:r>
            <w:proofErr w:type="spellStart"/>
            <w:r w:rsidRPr="00F01347">
              <w:rPr>
                <w:rFonts w:ascii="Verdana" w:hAnsi="Verdana"/>
                <w:sz w:val="16"/>
                <w:szCs w:val="16"/>
              </w:rPr>
              <w:t>mass</w:t>
            </w:r>
            <w:proofErr w:type="spellEnd"/>
            <w:r w:rsidRPr="00F01347">
              <w:rPr>
                <w:rFonts w:ascii="Verdana" w:hAnsi="Verdana"/>
                <w:sz w:val="16"/>
                <w:szCs w:val="16"/>
              </w:rPr>
              <w:t xml:space="preserve"> </w:t>
            </w:r>
            <w:proofErr w:type="spellStart"/>
            <w:r w:rsidRPr="00F01347">
              <w:rPr>
                <w:rFonts w:ascii="Verdana" w:hAnsi="Verdana"/>
                <w:sz w:val="16"/>
                <w:szCs w:val="16"/>
              </w:rPr>
              <w:t>spectrometry</w:t>
            </w:r>
            <w:proofErr w:type="spellEnd"/>
            <w:r w:rsidRPr="00F01347">
              <w:rPr>
                <w:rFonts w:ascii="Verdana" w:hAnsi="Verdana"/>
                <w:sz w:val="16"/>
                <w:szCs w:val="16"/>
              </w:rPr>
              <w:t>, GC/MS) en conjunción con el análisis siempre y cuando la concentración sea suficiente para su detección por CG/EM o bien por medio de una columna confirmatoria.</w:t>
            </w:r>
          </w:p>
        </w:tc>
        <w:tc>
          <w:tcPr>
            <w:tcW w:w="4675" w:type="dxa"/>
          </w:tcPr>
          <w:p w14:paraId="535F530B" w14:textId="66BBB27E" w:rsidR="0097149D" w:rsidRPr="00F01347" w:rsidRDefault="000275CE" w:rsidP="0097149D">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Confirmation by gas chromatography–mass spectrometry (GC/MS) can be used in conjunction with the analysis </w:t>
            </w:r>
            <w:proofErr w:type="gramStart"/>
            <w:r w:rsidRPr="00F01347">
              <w:rPr>
                <w:rFonts w:ascii="Verdana" w:hAnsi="Verdana"/>
                <w:sz w:val="16"/>
                <w:szCs w:val="16"/>
                <w:lang w:val="en-US"/>
              </w:rPr>
              <w:t>as long as</w:t>
            </w:r>
            <w:proofErr w:type="gramEnd"/>
            <w:r w:rsidRPr="00F01347">
              <w:rPr>
                <w:rFonts w:ascii="Verdana" w:hAnsi="Verdana"/>
                <w:sz w:val="16"/>
                <w:szCs w:val="16"/>
                <w:lang w:val="en-US"/>
              </w:rPr>
              <w:t xml:space="preserve"> the concentration is sufficient for detection by </w:t>
            </w:r>
            <w:r w:rsidRPr="00F01347">
              <w:rPr>
                <w:rFonts w:ascii="Verdana" w:hAnsi="Verdana"/>
                <w:sz w:val="16"/>
                <w:szCs w:val="16"/>
                <w:lang w:val="en-US"/>
              </w:rPr>
              <w:t>CG/EM</w:t>
            </w:r>
            <w:r w:rsidRPr="00F01347">
              <w:rPr>
                <w:rFonts w:ascii="Verdana" w:hAnsi="Verdana"/>
                <w:sz w:val="16"/>
                <w:szCs w:val="16"/>
                <w:lang w:val="en-US"/>
              </w:rPr>
              <w:t xml:space="preserve"> or by column confirmatory.</w:t>
            </w:r>
          </w:p>
        </w:tc>
      </w:tr>
      <w:tr w:rsidR="0097149D" w:rsidRPr="00F01347" w14:paraId="252A4F64" w14:textId="7D4A9801" w:rsidTr="008D27AC">
        <w:tc>
          <w:tcPr>
            <w:tcW w:w="4675" w:type="dxa"/>
          </w:tcPr>
          <w:p w14:paraId="0E5D1CE6" w14:textId="77777777" w:rsidR="0097149D" w:rsidRPr="00F01347" w:rsidRDefault="0097149D" w:rsidP="0097149D">
            <w:pPr>
              <w:pStyle w:val="texto0"/>
              <w:spacing w:line="236" w:lineRule="exact"/>
              <w:ind w:firstLine="0"/>
              <w:rPr>
                <w:rFonts w:ascii="Verdana" w:hAnsi="Verdana"/>
                <w:sz w:val="16"/>
                <w:szCs w:val="16"/>
              </w:rPr>
            </w:pPr>
            <w:r w:rsidRPr="00F01347">
              <w:rPr>
                <w:rFonts w:ascii="Verdana" w:hAnsi="Verdana"/>
                <w:sz w:val="16"/>
                <w:szCs w:val="16"/>
              </w:rPr>
              <w:t xml:space="preserve">El CG/EM debe calibrarse para los analitos problema. Cuando se usa una técnica SIM, los iones y los tiempos de retención deben ser característicos de los ácidos </w:t>
            </w:r>
            <w:proofErr w:type="spellStart"/>
            <w:r w:rsidRPr="00F01347">
              <w:rPr>
                <w:rFonts w:ascii="Verdana" w:hAnsi="Verdana"/>
                <w:sz w:val="16"/>
                <w:szCs w:val="16"/>
              </w:rPr>
              <w:t>haloacéticos</w:t>
            </w:r>
            <w:proofErr w:type="spellEnd"/>
            <w:r w:rsidRPr="00F01347">
              <w:rPr>
                <w:rFonts w:ascii="Verdana" w:hAnsi="Verdana"/>
                <w:sz w:val="16"/>
                <w:szCs w:val="16"/>
              </w:rPr>
              <w:t xml:space="preserve"> a ser confirmados.</w:t>
            </w:r>
          </w:p>
        </w:tc>
        <w:tc>
          <w:tcPr>
            <w:tcW w:w="4675" w:type="dxa"/>
          </w:tcPr>
          <w:p w14:paraId="31B66A8E" w14:textId="27B60A49" w:rsidR="0097149D" w:rsidRPr="00F01347" w:rsidRDefault="0097149D" w:rsidP="0097149D">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The </w:t>
            </w:r>
            <w:r w:rsidR="000275CE" w:rsidRPr="00F01347">
              <w:rPr>
                <w:rFonts w:ascii="Verdana" w:hAnsi="Verdana"/>
                <w:sz w:val="16"/>
                <w:szCs w:val="16"/>
                <w:lang w:val="en-US"/>
              </w:rPr>
              <w:t>CG/EM</w:t>
            </w:r>
            <w:r w:rsidRPr="00F01347">
              <w:rPr>
                <w:rFonts w:ascii="Verdana" w:hAnsi="Verdana"/>
                <w:sz w:val="16"/>
                <w:szCs w:val="16"/>
                <w:lang w:val="en-US"/>
              </w:rPr>
              <w:t xml:space="preserve"> must be calibrated for the test analytes. When using a SIM technique, the ions and retention times should be characteristic of the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acids to be confirmed.</w:t>
            </w:r>
          </w:p>
        </w:tc>
      </w:tr>
      <w:tr w:rsidR="0097149D" w:rsidRPr="00F01347" w14:paraId="6D3D994E" w14:textId="0419E6C5" w:rsidTr="008D27AC">
        <w:tc>
          <w:tcPr>
            <w:tcW w:w="4675" w:type="dxa"/>
          </w:tcPr>
          <w:p w14:paraId="63346CC4" w14:textId="77777777" w:rsidR="0097149D" w:rsidRPr="00F01347" w:rsidRDefault="0097149D" w:rsidP="0097149D">
            <w:pPr>
              <w:pStyle w:val="texto0"/>
              <w:spacing w:line="236" w:lineRule="exact"/>
              <w:ind w:firstLine="0"/>
              <w:rPr>
                <w:rFonts w:ascii="Verdana" w:hAnsi="Verdana"/>
                <w:sz w:val="16"/>
                <w:szCs w:val="16"/>
              </w:rPr>
            </w:pPr>
            <w:r w:rsidRPr="00F01347">
              <w:rPr>
                <w:rFonts w:ascii="Verdana" w:hAnsi="Verdana"/>
                <w:sz w:val="16"/>
                <w:szCs w:val="16"/>
              </w:rPr>
              <w:t>La confirmación de CD/EM debe completarse analizando los mismos extractos utilizados para el análisis CG/DCE y los extractos del blanco asociado.</w:t>
            </w:r>
          </w:p>
        </w:tc>
        <w:tc>
          <w:tcPr>
            <w:tcW w:w="4675" w:type="dxa"/>
          </w:tcPr>
          <w:p w14:paraId="70B6C551" w14:textId="56A1D996" w:rsidR="0097149D" w:rsidRPr="00F01347" w:rsidRDefault="0097149D" w:rsidP="0097149D">
            <w:pPr>
              <w:pStyle w:val="texto0"/>
              <w:spacing w:line="236" w:lineRule="exact"/>
              <w:ind w:firstLine="0"/>
              <w:rPr>
                <w:rFonts w:ascii="Verdana" w:hAnsi="Verdana"/>
                <w:sz w:val="16"/>
                <w:szCs w:val="16"/>
                <w:lang w:val="en-US"/>
              </w:rPr>
            </w:pPr>
            <w:r w:rsidRPr="00F01347">
              <w:rPr>
                <w:rFonts w:ascii="Verdana" w:hAnsi="Verdana"/>
                <w:sz w:val="16"/>
                <w:szCs w:val="16"/>
                <w:lang w:val="en-US"/>
              </w:rPr>
              <w:t>CD/</w:t>
            </w:r>
            <w:r w:rsidR="0006497D">
              <w:rPr>
                <w:rFonts w:ascii="Verdana" w:hAnsi="Verdana"/>
                <w:sz w:val="16"/>
                <w:szCs w:val="16"/>
                <w:lang w:val="en-US"/>
              </w:rPr>
              <w:t>EM</w:t>
            </w:r>
            <w:r w:rsidRPr="00F01347">
              <w:rPr>
                <w:rFonts w:ascii="Verdana" w:hAnsi="Verdana"/>
                <w:sz w:val="16"/>
                <w:szCs w:val="16"/>
                <w:lang w:val="en-US"/>
              </w:rPr>
              <w:t xml:space="preserve"> confirmation should be completed by analyzing the same extracts used for the C</w:t>
            </w:r>
            <w:r w:rsidR="0006497D" w:rsidRPr="00F01347">
              <w:rPr>
                <w:rFonts w:ascii="Verdana" w:hAnsi="Verdana"/>
                <w:sz w:val="16"/>
                <w:szCs w:val="16"/>
                <w:lang w:val="en-US"/>
              </w:rPr>
              <w:t>G</w:t>
            </w:r>
            <w:r w:rsidRPr="00F01347">
              <w:rPr>
                <w:rFonts w:ascii="Verdana" w:hAnsi="Verdana"/>
                <w:sz w:val="16"/>
                <w:szCs w:val="16"/>
                <w:lang w:val="en-US"/>
              </w:rPr>
              <w:t>/DCE analysis and the associated blank extracts.</w:t>
            </w:r>
          </w:p>
        </w:tc>
      </w:tr>
      <w:tr w:rsidR="0097149D" w:rsidRPr="00F01347" w14:paraId="01D3C4BF" w14:textId="1B786206" w:rsidTr="008D27AC">
        <w:tc>
          <w:tcPr>
            <w:tcW w:w="4675" w:type="dxa"/>
          </w:tcPr>
          <w:p w14:paraId="6F2F3A12" w14:textId="77777777" w:rsidR="0097149D" w:rsidRPr="00F01347" w:rsidRDefault="0097149D" w:rsidP="0097149D">
            <w:pPr>
              <w:pStyle w:val="texto0"/>
              <w:spacing w:line="236" w:lineRule="exact"/>
              <w:ind w:firstLine="0"/>
              <w:rPr>
                <w:rFonts w:ascii="Verdana" w:hAnsi="Verdana"/>
                <w:b/>
                <w:sz w:val="16"/>
                <w:szCs w:val="16"/>
              </w:rPr>
            </w:pPr>
            <w:r w:rsidRPr="00F01347">
              <w:rPr>
                <w:rFonts w:ascii="Verdana" w:hAnsi="Verdana"/>
                <w:b/>
                <w:sz w:val="16"/>
                <w:szCs w:val="16"/>
              </w:rPr>
              <w:t>B.5.7.3 Análisis de datos y cálculos</w:t>
            </w:r>
          </w:p>
        </w:tc>
        <w:tc>
          <w:tcPr>
            <w:tcW w:w="4675" w:type="dxa"/>
          </w:tcPr>
          <w:p w14:paraId="74554C14" w14:textId="71BDA999" w:rsidR="0097149D" w:rsidRPr="00F01347" w:rsidRDefault="0097149D" w:rsidP="0097149D">
            <w:pPr>
              <w:pStyle w:val="texto0"/>
              <w:spacing w:line="236" w:lineRule="exact"/>
              <w:ind w:firstLine="0"/>
              <w:rPr>
                <w:rFonts w:ascii="Verdana" w:hAnsi="Verdana"/>
                <w:b/>
                <w:sz w:val="16"/>
                <w:szCs w:val="16"/>
                <w:lang w:val="en-US"/>
              </w:rPr>
            </w:pPr>
            <w:r w:rsidRPr="00F01347">
              <w:rPr>
                <w:rFonts w:ascii="Verdana" w:hAnsi="Verdana"/>
                <w:b/>
                <w:sz w:val="16"/>
                <w:szCs w:val="16"/>
                <w:lang w:val="en-US"/>
              </w:rPr>
              <w:t>B.5.7.3 Data analysis and calculations</w:t>
            </w:r>
          </w:p>
        </w:tc>
      </w:tr>
      <w:tr w:rsidR="0097149D" w:rsidRPr="00F01347" w14:paraId="1D1F2BEE" w14:textId="52D89FFB" w:rsidTr="008D27AC">
        <w:tc>
          <w:tcPr>
            <w:tcW w:w="4675" w:type="dxa"/>
          </w:tcPr>
          <w:p w14:paraId="342F7EC5" w14:textId="77777777" w:rsidR="0097149D" w:rsidRPr="00F01347" w:rsidRDefault="0097149D" w:rsidP="0097149D">
            <w:pPr>
              <w:pStyle w:val="texto0"/>
              <w:spacing w:line="236" w:lineRule="exact"/>
              <w:ind w:firstLine="0"/>
              <w:rPr>
                <w:rFonts w:ascii="Verdana" w:hAnsi="Verdana"/>
                <w:sz w:val="16"/>
                <w:szCs w:val="16"/>
              </w:rPr>
            </w:pPr>
            <w:r w:rsidRPr="00F01347">
              <w:rPr>
                <w:rFonts w:ascii="Verdana" w:hAnsi="Verdana"/>
                <w:sz w:val="16"/>
                <w:szCs w:val="16"/>
              </w:rPr>
              <w:t xml:space="preserve">Para determinar la concentración de los ácidos </w:t>
            </w:r>
            <w:proofErr w:type="spellStart"/>
            <w:r w:rsidRPr="00F01347">
              <w:rPr>
                <w:rFonts w:ascii="Verdana" w:hAnsi="Verdana"/>
                <w:sz w:val="16"/>
                <w:szCs w:val="16"/>
              </w:rPr>
              <w:t>haloacéticos</w:t>
            </w:r>
            <w:proofErr w:type="spellEnd"/>
            <w:r w:rsidRPr="00F01347">
              <w:rPr>
                <w:rFonts w:ascii="Verdana" w:hAnsi="Verdana"/>
                <w:sz w:val="16"/>
                <w:szCs w:val="16"/>
              </w:rPr>
              <w:t>, calcular la concentración en muestras líquidas mediante la siguiente ecuación:</w:t>
            </w:r>
          </w:p>
        </w:tc>
        <w:tc>
          <w:tcPr>
            <w:tcW w:w="4675" w:type="dxa"/>
          </w:tcPr>
          <w:p w14:paraId="5B7E5525" w14:textId="0931765E" w:rsidR="0097149D" w:rsidRPr="00F01347" w:rsidRDefault="0097149D" w:rsidP="0097149D">
            <w:pPr>
              <w:pStyle w:val="texto0"/>
              <w:spacing w:line="236" w:lineRule="exact"/>
              <w:ind w:firstLine="0"/>
              <w:rPr>
                <w:rFonts w:ascii="Verdana" w:hAnsi="Verdana"/>
                <w:sz w:val="16"/>
                <w:szCs w:val="16"/>
                <w:lang w:val="en-US"/>
              </w:rPr>
            </w:pPr>
            <w:r w:rsidRPr="00F01347">
              <w:rPr>
                <w:rFonts w:ascii="Verdana" w:hAnsi="Verdana"/>
                <w:sz w:val="16"/>
                <w:szCs w:val="16"/>
                <w:lang w:val="en-US"/>
              </w:rPr>
              <w:t xml:space="preserve">To determine the concentration of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acids</w:t>
            </w:r>
            <w:r w:rsidR="003E1BA9" w:rsidRPr="00F01347">
              <w:rPr>
                <w:rFonts w:ascii="Verdana" w:hAnsi="Verdana"/>
                <w:sz w:val="16"/>
                <w:szCs w:val="16"/>
                <w:lang w:val="en-US"/>
              </w:rPr>
              <w:t>,</w:t>
            </w:r>
            <w:r w:rsidRPr="00F01347">
              <w:rPr>
                <w:rFonts w:ascii="Verdana" w:hAnsi="Verdana"/>
                <w:sz w:val="16"/>
                <w:szCs w:val="16"/>
                <w:lang w:val="en-US"/>
              </w:rPr>
              <w:t xml:space="preserve"> calculate the concentration in liquid samples using the following equation:</w:t>
            </w:r>
          </w:p>
        </w:tc>
      </w:tr>
    </w:tbl>
    <w:p w14:paraId="7060244B" w14:textId="05B4439A" w:rsidR="00337D1B" w:rsidRPr="00F01347" w:rsidRDefault="00337D1B" w:rsidP="000275CE">
      <w:pPr>
        <w:pStyle w:val="texto0"/>
        <w:spacing w:line="240" w:lineRule="auto"/>
        <w:ind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6F922D08" wp14:editId="55D66DB0">
            <wp:extent cx="3019425" cy="333375"/>
            <wp:effectExtent l="0" t="0" r="0" b="0"/>
            <wp:docPr id="37"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19425" cy="333375"/>
                    </a:xfrm>
                    <a:prstGeom prst="rect">
                      <a:avLst/>
                    </a:prstGeom>
                    <a:noFill/>
                    <a:ln>
                      <a:noFill/>
                    </a:ln>
                  </pic:spPr>
                </pic:pic>
              </a:graphicData>
            </a:graphic>
          </wp:inline>
        </w:drawing>
      </w:r>
    </w:p>
    <w:p w14:paraId="5F4A9D5D" w14:textId="24A838B8" w:rsidR="000275CE" w:rsidRPr="00F01347" w:rsidRDefault="000275CE" w:rsidP="000275CE">
      <w:pPr>
        <w:pStyle w:val="texto0"/>
        <w:spacing w:line="240" w:lineRule="auto"/>
        <w:ind w:firstLine="0"/>
        <w:jc w:val="center"/>
        <w:rPr>
          <w:rFonts w:ascii="Verdana" w:hAnsi="Verdana"/>
          <w:sz w:val="16"/>
          <w:szCs w:val="16"/>
        </w:rPr>
      </w:pPr>
      <w:r w:rsidRPr="00F01347">
        <w:rPr>
          <w:noProof/>
        </w:rPr>
        <w:drawing>
          <wp:inline distT="0" distB="0" distL="0" distR="0" wp14:anchorId="6494B865" wp14:editId="49F2FC8F">
            <wp:extent cx="3133344" cy="468404"/>
            <wp:effectExtent l="0" t="0" r="0" b="8255"/>
            <wp:docPr id="1322745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45047" name=""/>
                    <pic:cNvPicPr/>
                  </pic:nvPicPr>
                  <pic:blipFill rotWithShape="1">
                    <a:blip r:embed="rId54"/>
                    <a:srcRect l="38981" t="35373" r="34256" b="57515"/>
                    <a:stretch/>
                  </pic:blipFill>
                  <pic:spPr bwMode="auto">
                    <a:xfrm>
                      <a:off x="0" y="0"/>
                      <a:ext cx="3294084" cy="49243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D2A9A" w:rsidRPr="00F01347" w14:paraId="74AB03BD" w14:textId="77777777" w:rsidTr="000275CE">
        <w:tc>
          <w:tcPr>
            <w:tcW w:w="4675" w:type="dxa"/>
          </w:tcPr>
          <w:p w14:paraId="75385EED" w14:textId="77777777" w:rsidR="00DD2A9A" w:rsidRPr="00F01347" w:rsidRDefault="00DD2A9A" w:rsidP="00DD2A9A">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0E9E9446" w14:textId="4DC6AD27" w:rsidR="00DD2A9A" w:rsidRPr="00F01347" w:rsidRDefault="00DD2A9A" w:rsidP="00DD2A9A">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DD2A9A" w:rsidRPr="00F01347" w14:paraId="75174C47" w14:textId="77777777" w:rsidTr="000275CE">
        <w:tc>
          <w:tcPr>
            <w:tcW w:w="4675" w:type="dxa"/>
          </w:tcPr>
          <w:p w14:paraId="5FBB6058" w14:textId="77777777" w:rsidR="00DD2A9A" w:rsidRPr="00F01347" w:rsidRDefault="00DD2A9A" w:rsidP="00DD2A9A">
            <w:pPr>
              <w:pStyle w:val="texto0"/>
              <w:spacing w:line="226" w:lineRule="exact"/>
              <w:ind w:firstLine="0"/>
              <w:rPr>
                <w:rFonts w:ascii="Verdana" w:hAnsi="Verdana"/>
                <w:sz w:val="16"/>
                <w:szCs w:val="16"/>
              </w:rPr>
            </w:pPr>
            <w:r w:rsidRPr="00F01347">
              <w:rPr>
                <w:rFonts w:ascii="Verdana" w:hAnsi="Verdana"/>
                <w:sz w:val="16"/>
                <w:szCs w:val="16"/>
              </w:rPr>
              <w:t>A</w:t>
            </w:r>
            <w:r w:rsidRPr="00F01347">
              <w:rPr>
                <w:rFonts w:ascii="Verdana" w:hAnsi="Verdana"/>
                <w:sz w:val="16"/>
                <w:szCs w:val="16"/>
              </w:rPr>
              <w:tab/>
              <w:t>área del parámetro a medir</w:t>
            </w:r>
          </w:p>
        </w:tc>
        <w:tc>
          <w:tcPr>
            <w:tcW w:w="4675" w:type="dxa"/>
          </w:tcPr>
          <w:p w14:paraId="326C0562" w14:textId="07D11D78" w:rsidR="00DD2A9A" w:rsidRPr="00F01347" w:rsidRDefault="000275CE" w:rsidP="00DD2A9A">
            <w:pPr>
              <w:pStyle w:val="texto0"/>
              <w:spacing w:line="226" w:lineRule="exact"/>
              <w:ind w:firstLine="0"/>
              <w:rPr>
                <w:rFonts w:ascii="Verdana" w:hAnsi="Verdana"/>
                <w:sz w:val="16"/>
                <w:szCs w:val="16"/>
                <w:lang w:val="en-US"/>
              </w:rPr>
            </w:pPr>
            <w:proofErr w:type="gramStart"/>
            <w:r w:rsidRPr="00F01347">
              <w:rPr>
                <w:rFonts w:ascii="Verdana" w:hAnsi="Verdana"/>
                <w:sz w:val="16"/>
                <w:szCs w:val="16"/>
                <w:lang w:val="en-US"/>
              </w:rPr>
              <w:t>A</w:t>
            </w:r>
            <w:proofErr w:type="gramEnd"/>
            <w:r w:rsidR="00DD2A9A" w:rsidRPr="00F01347">
              <w:rPr>
                <w:rFonts w:ascii="Verdana" w:hAnsi="Verdana"/>
                <w:sz w:val="16"/>
                <w:szCs w:val="16"/>
                <w:lang w:val="en-US"/>
              </w:rPr>
              <w:t xml:space="preserve"> </w:t>
            </w:r>
            <w:r w:rsidR="00DD2A9A" w:rsidRPr="00F01347">
              <w:rPr>
                <w:rFonts w:ascii="Verdana" w:hAnsi="Verdana"/>
                <w:sz w:val="16"/>
                <w:szCs w:val="16"/>
                <w:lang w:val="en-US"/>
              </w:rPr>
              <w:tab/>
              <w:t>area of the parameter to be measured</w:t>
            </w:r>
          </w:p>
        </w:tc>
      </w:tr>
      <w:tr w:rsidR="00DD2A9A" w:rsidRPr="00F01347" w14:paraId="4618F15B" w14:textId="77777777" w:rsidTr="000275CE">
        <w:tc>
          <w:tcPr>
            <w:tcW w:w="4675" w:type="dxa"/>
          </w:tcPr>
          <w:p w14:paraId="19D62B2B" w14:textId="77777777" w:rsidR="00DD2A9A" w:rsidRPr="00F01347" w:rsidRDefault="00DD2A9A" w:rsidP="00DD2A9A">
            <w:pPr>
              <w:pStyle w:val="texto0"/>
              <w:spacing w:line="226" w:lineRule="exact"/>
              <w:ind w:firstLine="0"/>
              <w:rPr>
                <w:rFonts w:ascii="Verdana" w:hAnsi="Verdana"/>
                <w:sz w:val="16"/>
                <w:szCs w:val="16"/>
              </w:rPr>
            </w:pPr>
            <w:r w:rsidRPr="00F01347">
              <w:rPr>
                <w:rFonts w:ascii="Verdana" w:hAnsi="Verdana"/>
                <w:sz w:val="16"/>
                <w:szCs w:val="16"/>
              </w:rPr>
              <w:t>b</w:t>
            </w:r>
            <w:r w:rsidRPr="00F01347">
              <w:rPr>
                <w:rFonts w:ascii="Verdana" w:hAnsi="Verdana"/>
                <w:sz w:val="16"/>
                <w:szCs w:val="16"/>
              </w:rPr>
              <w:tab/>
              <w:t>ordenada al origen de la regresión lineal (de la curva de calibración)</w:t>
            </w:r>
          </w:p>
        </w:tc>
        <w:tc>
          <w:tcPr>
            <w:tcW w:w="4675" w:type="dxa"/>
          </w:tcPr>
          <w:p w14:paraId="4842CF56" w14:textId="0BFCFABE" w:rsidR="00DD2A9A" w:rsidRPr="00F01347" w:rsidRDefault="00DD2A9A" w:rsidP="00DD2A9A">
            <w:pPr>
              <w:pStyle w:val="texto0"/>
              <w:spacing w:line="226" w:lineRule="exact"/>
              <w:ind w:firstLine="0"/>
              <w:rPr>
                <w:rFonts w:ascii="Verdana" w:hAnsi="Verdana"/>
                <w:sz w:val="16"/>
                <w:szCs w:val="16"/>
                <w:lang w:val="en-US"/>
              </w:rPr>
            </w:pPr>
            <w:r w:rsidRPr="00F01347">
              <w:rPr>
                <w:rFonts w:ascii="Verdana" w:hAnsi="Verdana"/>
                <w:sz w:val="16"/>
                <w:szCs w:val="16"/>
                <w:lang w:val="en-US"/>
              </w:rPr>
              <w:t xml:space="preserve">b </w:t>
            </w:r>
            <w:r w:rsidRPr="00F01347">
              <w:rPr>
                <w:rFonts w:ascii="Verdana" w:hAnsi="Verdana"/>
                <w:sz w:val="16"/>
                <w:szCs w:val="16"/>
                <w:lang w:val="en-US"/>
              </w:rPr>
              <w:tab/>
              <w:t>ordinate to the origin of the linear regression (of the calibration curve)</w:t>
            </w:r>
          </w:p>
        </w:tc>
      </w:tr>
      <w:tr w:rsidR="00DD2A9A" w:rsidRPr="00F01347" w14:paraId="459AA775" w14:textId="77777777" w:rsidTr="000275CE">
        <w:tc>
          <w:tcPr>
            <w:tcW w:w="4675" w:type="dxa"/>
          </w:tcPr>
          <w:p w14:paraId="45F0051A" w14:textId="77777777" w:rsidR="00DD2A9A" w:rsidRPr="00F01347" w:rsidRDefault="00DD2A9A" w:rsidP="00DD2A9A">
            <w:pPr>
              <w:pStyle w:val="texto0"/>
              <w:spacing w:line="226" w:lineRule="exact"/>
              <w:ind w:firstLine="0"/>
              <w:rPr>
                <w:rFonts w:ascii="Verdana" w:hAnsi="Verdana"/>
                <w:sz w:val="16"/>
                <w:szCs w:val="16"/>
              </w:rPr>
            </w:pPr>
            <w:r w:rsidRPr="00F01347">
              <w:rPr>
                <w:rFonts w:ascii="Verdana" w:hAnsi="Verdana"/>
                <w:sz w:val="16"/>
                <w:szCs w:val="16"/>
              </w:rPr>
              <w:t>m</w:t>
            </w:r>
            <w:r w:rsidRPr="00F01347">
              <w:rPr>
                <w:rFonts w:ascii="Verdana" w:hAnsi="Verdana"/>
                <w:sz w:val="16"/>
                <w:szCs w:val="16"/>
              </w:rPr>
              <w:tab/>
              <w:t>pendiente de la regresión lineal (de la curva de calibración)</w:t>
            </w:r>
          </w:p>
        </w:tc>
        <w:tc>
          <w:tcPr>
            <w:tcW w:w="4675" w:type="dxa"/>
          </w:tcPr>
          <w:p w14:paraId="24009681" w14:textId="032C0625" w:rsidR="00DD2A9A" w:rsidRPr="00F01347" w:rsidRDefault="00DD2A9A" w:rsidP="00DD2A9A">
            <w:pPr>
              <w:pStyle w:val="texto0"/>
              <w:spacing w:line="226" w:lineRule="exact"/>
              <w:ind w:firstLine="0"/>
              <w:rPr>
                <w:rFonts w:ascii="Verdana" w:hAnsi="Verdana"/>
                <w:sz w:val="16"/>
                <w:szCs w:val="16"/>
                <w:lang w:val="en-US"/>
              </w:rPr>
            </w:pPr>
            <w:r w:rsidRPr="00F01347">
              <w:rPr>
                <w:rFonts w:ascii="Verdana" w:hAnsi="Verdana"/>
                <w:sz w:val="16"/>
                <w:szCs w:val="16"/>
                <w:lang w:val="en-US"/>
              </w:rPr>
              <w:t xml:space="preserve">m </w:t>
            </w:r>
            <w:r w:rsidRPr="00F01347">
              <w:rPr>
                <w:rFonts w:ascii="Verdana" w:hAnsi="Verdana"/>
                <w:sz w:val="16"/>
                <w:szCs w:val="16"/>
                <w:lang w:val="en-US"/>
              </w:rPr>
              <w:tab/>
              <w:t>slope of linear regression (of calibration curve)</w:t>
            </w:r>
          </w:p>
        </w:tc>
      </w:tr>
      <w:tr w:rsidR="00DD2A9A" w:rsidRPr="00F01347" w14:paraId="6A9D4CEB" w14:textId="77777777" w:rsidTr="000275CE">
        <w:tc>
          <w:tcPr>
            <w:tcW w:w="4675" w:type="dxa"/>
          </w:tcPr>
          <w:p w14:paraId="5917101D" w14:textId="77777777" w:rsidR="00DD2A9A" w:rsidRPr="00F01347" w:rsidRDefault="00DD2A9A" w:rsidP="00DD2A9A">
            <w:pPr>
              <w:pStyle w:val="texto0"/>
              <w:spacing w:line="226" w:lineRule="exact"/>
              <w:ind w:firstLine="0"/>
              <w:rPr>
                <w:rFonts w:ascii="Verdana" w:hAnsi="Verdana"/>
                <w:sz w:val="16"/>
                <w:szCs w:val="16"/>
              </w:rPr>
            </w:pPr>
            <w:r w:rsidRPr="00F01347">
              <w:rPr>
                <w:rFonts w:ascii="Verdana" w:hAnsi="Verdana"/>
                <w:sz w:val="16"/>
                <w:szCs w:val="16"/>
              </w:rPr>
              <w:t>V</w:t>
            </w:r>
            <w:r w:rsidRPr="00F01347">
              <w:rPr>
                <w:rFonts w:ascii="Verdana" w:hAnsi="Verdana"/>
                <w:sz w:val="16"/>
                <w:szCs w:val="16"/>
                <w:vertAlign w:val="subscript"/>
              </w:rPr>
              <w:t>a</w:t>
            </w:r>
            <w:r w:rsidRPr="00F01347">
              <w:rPr>
                <w:rFonts w:ascii="Verdana" w:hAnsi="Verdana"/>
                <w:sz w:val="16"/>
                <w:szCs w:val="16"/>
              </w:rPr>
              <w:tab/>
              <w:t xml:space="preserve">volumen final del extracto en </w:t>
            </w:r>
            <w:proofErr w:type="spellStart"/>
            <w:r w:rsidRPr="00F01347">
              <w:rPr>
                <w:rFonts w:ascii="Verdana" w:hAnsi="Verdana"/>
                <w:sz w:val="16"/>
                <w:szCs w:val="16"/>
              </w:rPr>
              <w:t>mL</w:t>
            </w:r>
            <w:proofErr w:type="spellEnd"/>
          </w:p>
        </w:tc>
        <w:tc>
          <w:tcPr>
            <w:tcW w:w="4675" w:type="dxa"/>
          </w:tcPr>
          <w:p w14:paraId="64D215DB" w14:textId="15CA7D9A" w:rsidR="00DD2A9A" w:rsidRPr="00F01347" w:rsidRDefault="00DD2A9A" w:rsidP="00DD2A9A">
            <w:pPr>
              <w:pStyle w:val="texto0"/>
              <w:spacing w:line="226" w:lineRule="exact"/>
              <w:ind w:firstLine="0"/>
              <w:rPr>
                <w:rFonts w:ascii="Verdana" w:hAnsi="Verdana"/>
                <w:sz w:val="16"/>
                <w:szCs w:val="16"/>
                <w:lang w:val="en-US"/>
              </w:rPr>
            </w:pPr>
            <w:r w:rsidRPr="00F01347">
              <w:rPr>
                <w:rFonts w:ascii="Verdana" w:hAnsi="Verdana"/>
                <w:sz w:val="16"/>
                <w:szCs w:val="16"/>
                <w:lang w:val="en-US"/>
              </w:rPr>
              <w:t>V</w:t>
            </w:r>
            <w:r w:rsidR="000275CE" w:rsidRPr="00F01347">
              <w:rPr>
                <w:rFonts w:ascii="Verdana" w:hAnsi="Verdana"/>
                <w:sz w:val="16"/>
                <w:szCs w:val="16"/>
                <w:vertAlign w:val="subscript"/>
                <w:lang w:val="en-US"/>
              </w:rPr>
              <w:t>a</w:t>
            </w:r>
            <w:r w:rsidRPr="00F01347">
              <w:rPr>
                <w:rFonts w:ascii="Verdana" w:hAnsi="Verdana"/>
                <w:sz w:val="16"/>
                <w:szCs w:val="16"/>
                <w:vertAlign w:val="subscript"/>
                <w:lang w:val="en-US"/>
              </w:rPr>
              <w:t xml:space="preserve"> </w:t>
            </w:r>
            <w:r w:rsidRPr="00F01347">
              <w:rPr>
                <w:rFonts w:ascii="Verdana" w:hAnsi="Verdana"/>
                <w:sz w:val="16"/>
                <w:szCs w:val="16"/>
                <w:lang w:val="en-US"/>
              </w:rPr>
              <w:tab/>
              <w:t>final volume of the extract in mL</w:t>
            </w:r>
          </w:p>
        </w:tc>
      </w:tr>
      <w:tr w:rsidR="00DD2A9A" w:rsidRPr="00F01347" w14:paraId="26179B03" w14:textId="77777777" w:rsidTr="000275CE">
        <w:tc>
          <w:tcPr>
            <w:tcW w:w="4675" w:type="dxa"/>
          </w:tcPr>
          <w:p w14:paraId="2F9CD5D3" w14:textId="77777777" w:rsidR="00DD2A9A" w:rsidRPr="00F01347" w:rsidRDefault="00DD2A9A" w:rsidP="00DD2A9A">
            <w:pPr>
              <w:pStyle w:val="texto0"/>
              <w:spacing w:line="226" w:lineRule="exact"/>
              <w:ind w:firstLine="0"/>
              <w:rPr>
                <w:rFonts w:ascii="Verdana" w:hAnsi="Verdana"/>
                <w:sz w:val="16"/>
                <w:szCs w:val="16"/>
              </w:rPr>
            </w:pPr>
            <w:r w:rsidRPr="00F01347">
              <w:rPr>
                <w:rFonts w:ascii="Verdana" w:hAnsi="Verdana"/>
                <w:sz w:val="16"/>
                <w:szCs w:val="16"/>
              </w:rPr>
              <w:t>f</w:t>
            </w:r>
            <w:r w:rsidRPr="00F01347">
              <w:rPr>
                <w:rFonts w:ascii="Verdana" w:hAnsi="Verdana"/>
                <w:sz w:val="16"/>
                <w:szCs w:val="16"/>
              </w:rPr>
              <w:tab/>
              <w:t>factor de dilución</w:t>
            </w:r>
          </w:p>
        </w:tc>
        <w:tc>
          <w:tcPr>
            <w:tcW w:w="4675" w:type="dxa"/>
          </w:tcPr>
          <w:p w14:paraId="2EC3BC32" w14:textId="1FD2103A" w:rsidR="00DD2A9A" w:rsidRPr="00F01347" w:rsidRDefault="00DD2A9A" w:rsidP="00DD2A9A">
            <w:pPr>
              <w:pStyle w:val="texto0"/>
              <w:spacing w:line="226" w:lineRule="exact"/>
              <w:ind w:firstLine="0"/>
              <w:rPr>
                <w:rFonts w:ascii="Verdana" w:hAnsi="Verdana"/>
                <w:sz w:val="16"/>
                <w:szCs w:val="16"/>
                <w:lang w:val="en-US"/>
              </w:rPr>
            </w:pPr>
            <w:r w:rsidRPr="00F01347">
              <w:rPr>
                <w:rFonts w:ascii="Verdana" w:hAnsi="Verdana"/>
                <w:sz w:val="16"/>
                <w:szCs w:val="16"/>
                <w:lang w:val="en-US"/>
              </w:rPr>
              <w:t xml:space="preserve">f </w:t>
            </w:r>
            <w:r w:rsidRPr="00F01347">
              <w:rPr>
                <w:rFonts w:ascii="Verdana" w:hAnsi="Verdana"/>
                <w:sz w:val="16"/>
                <w:szCs w:val="16"/>
                <w:lang w:val="en-US"/>
              </w:rPr>
              <w:tab/>
              <w:t>dilution factor</w:t>
            </w:r>
          </w:p>
        </w:tc>
      </w:tr>
      <w:tr w:rsidR="00DD2A9A" w:rsidRPr="00F01347" w14:paraId="39D19F5D" w14:textId="77777777" w:rsidTr="000275CE">
        <w:tc>
          <w:tcPr>
            <w:tcW w:w="4675" w:type="dxa"/>
          </w:tcPr>
          <w:p w14:paraId="72A29B8D" w14:textId="77777777" w:rsidR="00DD2A9A" w:rsidRPr="00F01347" w:rsidRDefault="00DD2A9A" w:rsidP="00DD2A9A">
            <w:pPr>
              <w:pStyle w:val="texto0"/>
              <w:spacing w:line="226" w:lineRule="exact"/>
              <w:ind w:firstLine="0"/>
              <w:rPr>
                <w:rFonts w:ascii="Verdana" w:hAnsi="Verdana"/>
                <w:sz w:val="16"/>
                <w:szCs w:val="16"/>
              </w:rPr>
            </w:pPr>
            <w:proofErr w:type="spellStart"/>
            <w:r w:rsidRPr="00F01347">
              <w:rPr>
                <w:rFonts w:ascii="Verdana" w:hAnsi="Verdana"/>
                <w:sz w:val="16"/>
                <w:szCs w:val="16"/>
              </w:rPr>
              <w:t>V</w:t>
            </w:r>
            <w:r w:rsidRPr="00F01347">
              <w:rPr>
                <w:rFonts w:ascii="Verdana" w:hAnsi="Verdana"/>
                <w:sz w:val="16"/>
                <w:szCs w:val="16"/>
                <w:vertAlign w:val="subscript"/>
              </w:rPr>
              <w:t>m</w:t>
            </w:r>
            <w:proofErr w:type="spellEnd"/>
            <w:r w:rsidRPr="00F01347">
              <w:rPr>
                <w:rFonts w:ascii="Verdana" w:hAnsi="Verdana"/>
                <w:sz w:val="16"/>
                <w:szCs w:val="16"/>
              </w:rPr>
              <w:tab/>
              <w:t xml:space="preserve">volumen de muestra extraída en </w:t>
            </w:r>
            <w:proofErr w:type="spellStart"/>
            <w:r w:rsidRPr="00F01347">
              <w:rPr>
                <w:rFonts w:ascii="Verdana" w:hAnsi="Verdana"/>
                <w:sz w:val="16"/>
                <w:szCs w:val="16"/>
              </w:rPr>
              <w:t>mL</w:t>
            </w:r>
            <w:proofErr w:type="spellEnd"/>
          </w:p>
        </w:tc>
        <w:tc>
          <w:tcPr>
            <w:tcW w:w="4675" w:type="dxa"/>
          </w:tcPr>
          <w:p w14:paraId="63366BC7" w14:textId="14413B70" w:rsidR="00DD2A9A" w:rsidRPr="00F01347" w:rsidRDefault="00DD2A9A" w:rsidP="00DD2A9A">
            <w:pPr>
              <w:pStyle w:val="texto0"/>
              <w:spacing w:line="226" w:lineRule="exact"/>
              <w:ind w:firstLine="0"/>
              <w:rPr>
                <w:rFonts w:ascii="Verdana" w:hAnsi="Verdana"/>
                <w:sz w:val="16"/>
                <w:szCs w:val="16"/>
                <w:lang w:val="en-US"/>
              </w:rPr>
            </w:pPr>
            <w:proofErr w:type="spellStart"/>
            <w:r w:rsidRPr="00F01347">
              <w:rPr>
                <w:rFonts w:ascii="Verdana" w:hAnsi="Verdana"/>
                <w:sz w:val="16"/>
                <w:szCs w:val="16"/>
                <w:lang w:val="en-US"/>
              </w:rPr>
              <w:t>V</w:t>
            </w:r>
            <w:r w:rsidRPr="00F01347">
              <w:rPr>
                <w:rFonts w:ascii="Verdana" w:hAnsi="Verdana"/>
                <w:sz w:val="16"/>
                <w:szCs w:val="16"/>
                <w:vertAlign w:val="subscript"/>
                <w:lang w:val="en-US"/>
              </w:rPr>
              <w:t>m</w:t>
            </w:r>
            <w:proofErr w:type="spellEnd"/>
            <w:r w:rsidRPr="00F01347">
              <w:rPr>
                <w:rFonts w:ascii="Verdana" w:hAnsi="Verdana"/>
                <w:sz w:val="16"/>
                <w:szCs w:val="16"/>
                <w:vertAlign w:val="subscript"/>
                <w:lang w:val="en-US"/>
              </w:rPr>
              <w:t xml:space="preserve"> </w:t>
            </w:r>
            <w:r w:rsidRPr="00F01347">
              <w:rPr>
                <w:rFonts w:ascii="Verdana" w:hAnsi="Verdana"/>
                <w:sz w:val="16"/>
                <w:szCs w:val="16"/>
                <w:lang w:val="en-US"/>
              </w:rPr>
              <w:tab/>
              <w:t>volume of sample extracted in mL</w:t>
            </w:r>
          </w:p>
        </w:tc>
      </w:tr>
      <w:tr w:rsidR="00DD2A9A" w:rsidRPr="00F01347" w14:paraId="6B7A1A02" w14:textId="77777777" w:rsidTr="000275CE">
        <w:tc>
          <w:tcPr>
            <w:tcW w:w="4675" w:type="dxa"/>
          </w:tcPr>
          <w:p w14:paraId="39DB861B" w14:textId="77777777" w:rsidR="00DD2A9A" w:rsidRPr="00F01347" w:rsidRDefault="00DD2A9A" w:rsidP="00DD2A9A">
            <w:pPr>
              <w:pStyle w:val="texto0"/>
              <w:spacing w:line="226" w:lineRule="exact"/>
              <w:ind w:firstLine="0"/>
              <w:rPr>
                <w:rFonts w:ascii="Verdana" w:hAnsi="Verdana"/>
                <w:b/>
                <w:sz w:val="16"/>
                <w:szCs w:val="16"/>
              </w:rPr>
            </w:pPr>
            <w:r w:rsidRPr="00F01347">
              <w:rPr>
                <w:rFonts w:ascii="Verdana" w:hAnsi="Verdana"/>
                <w:b/>
                <w:sz w:val="16"/>
                <w:szCs w:val="16"/>
              </w:rPr>
              <w:t>B.5.7.4 Informe de prueba</w:t>
            </w:r>
          </w:p>
        </w:tc>
        <w:tc>
          <w:tcPr>
            <w:tcW w:w="4675" w:type="dxa"/>
          </w:tcPr>
          <w:p w14:paraId="35B4930D" w14:textId="222CDD22" w:rsidR="00DD2A9A" w:rsidRPr="00F01347" w:rsidRDefault="00DD2A9A" w:rsidP="00DD2A9A">
            <w:pPr>
              <w:pStyle w:val="texto0"/>
              <w:spacing w:line="226" w:lineRule="exact"/>
              <w:ind w:firstLine="0"/>
              <w:rPr>
                <w:rFonts w:ascii="Verdana" w:hAnsi="Verdana"/>
                <w:b/>
                <w:sz w:val="16"/>
                <w:szCs w:val="16"/>
                <w:lang w:val="en-US"/>
              </w:rPr>
            </w:pPr>
            <w:r w:rsidRPr="00F01347">
              <w:rPr>
                <w:rFonts w:ascii="Verdana" w:hAnsi="Verdana"/>
                <w:b/>
                <w:sz w:val="16"/>
                <w:szCs w:val="16"/>
                <w:lang w:val="en-US"/>
              </w:rPr>
              <w:t>B.5.7.4 Test report</w:t>
            </w:r>
          </w:p>
        </w:tc>
      </w:tr>
      <w:tr w:rsidR="00DD2A9A" w:rsidRPr="00F01347" w14:paraId="42E4C824" w14:textId="77777777" w:rsidTr="000275CE">
        <w:tc>
          <w:tcPr>
            <w:tcW w:w="4675" w:type="dxa"/>
          </w:tcPr>
          <w:p w14:paraId="4644B916" w14:textId="77777777" w:rsidR="00DD2A9A" w:rsidRPr="00F01347" w:rsidRDefault="00DD2A9A" w:rsidP="00DD2A9A">
            <w:pPr>
              <w:pStyle w:val="texto0"/>
              <w:spacing w:line="226" w:lineRule="exact"/>
              <w:ind w:firstLine="0"/>
              <w:rPr>
                <w:rFonts w:ascii="Verdana" w:hAnsi="Verdana"/>
                <w:sz w:val="16"/>
                <w:szCs w:val="16"/>
              </w:rPr>
            </w:pPr>
            <w:r w:rsidRPr="00F01347">
              <w:rPr>
                <w:rFonts w:ascii="Verdana" w:hAnsi="Verdana"/>
                <w:sz w:val="16"/>
                <w:szCs w:val="16"/>
              </w:rPr>
              <w:lastRenderedPageBreak/>
              <w:t xml:space="preserve">Reportar el resultado como µg/L de ácido </w:t>
            </w:r>
            <w:proofErr w:type="spellStart"/>
            <w:r w:rsidRPr="00F01347">
              <w:rPr>
                <w:rFonts w:ascii="Verdana" w:hAnsi="Verdana"/>
                <w:sz w:val="16"/>
                <w:szCs w:val="16"/>
              </w:rPr>
              <w:t>cloroacético</w:t>
            </w:r>
            <w:proofErr w:type="spellEnd"/>
            <w:r w:rsidRPr="00F01347">
              <w:rPr>
                <w:rFonts w:ascii="Verdana" w:hAnsi="Verdana"/>
                <w:sz w:val="16"/>
                <w:szCs w:val="16"/>
              </w:rPr>
              <w:t xml:space="preserve">, ácido </w:t>
            </w:r>
            <w:proofErr w:type="spellStart"/>
            <w:r w:rsidRPr="00F01347">
              <w:rPr>
                <w:rFonts w:ascii="Verdana" w:hAnsi="Verdana"/>
                <w:sz w:val="16"/>
                <w:szCs w:val="16"/>
              </w:rPr>
              <w:t>dicloroacético</w:t>
            </w:r>
            <w:proofErr w:type="spellEnd"/>
            <w:r w:rsidRPr="00F01347">
              <w:rPr>
                <w:rFonts w:ascii="Verdana" w:hAnsi="Verdana"/>
                <w:sz w:val="16"/>
                <w:szCs w:val="16"/>
              </w:rPr>
              <w:t xml:space="preserve"> y ácido tricloroacético</w:t>
            </w:r>
          </w:p>
        </w:tc>
        <w:tc>
          <w:tcPr>
            <w:tcW w:w="4675" w:type="dxa"/>
          </w:tcPr>
          <w:p w14:paraId="557D4C4B" w14:textId="31ACADB0" w:rsidR="00DD2A9A" w:rsidRPr="00F01347" w:rsidRDefault="00DD2A9A" w:rsidP="00DD2A9A">
            <w:pPr>
              <w:pStyle w:val="texto0"/>
              <w:spacing w:line="226" w:lineRule="exact"/>
              <w:ind w:firstLine="0"/>
              <w:rPr>
                <w:rFonts w:ascii="Verdana" w:hAnsi="Verdana"/>
                <w:sz w:val="16"/>
                <w:szCs w:val="16"/>
                <w:lang w:val="en-US"/>
              </w:rPr>
            </w:pPr>
            <w:r w:rsidRPr="00F01347">
              <w:rPr>
                <w:rFonts w:ascii="Verdana" w:hAnsi="Verdana"/>
                <w:sz w:val="16"/>
                <w:szCs w:val="16"/>
                <w:lang w:val="en-US"/>
              </w:rPr>
              <w:t>Report the result as µg/L of chloroacetic acid</w:t>
            </w:r>
            <w:r w:rsidR="003E1BA9" w:rsidRPr="00F01347">
              <w:rPr>
                <w:rFonts w:ascii="Verdana" w:hAnsi="Verdana"/>
                <w:sz w:val="16"/>
                <w:szCs w:val="16"/>
                <w:lang w:val="en-US"/>
              </w:rPr>
              <w:t>,</w:t>
            </w:r>
            <w:r w:rsidRPr="00F01347">
              <w:rPr>
                <w:rFonts w:ascii="Verdana" w:hAnsi="Verdana"/>
                <w:sz w:val="16"/>
                <w:szCs w:val="16"/>
                <w:lang w:val="en-US"/>
              </w:rPr>
              <w:t xml:space="preserve"> dichloroacetic acid and trichloroacetic acid</w:t>
            </w:r>
          </w:p>
        </w:tc>
      </w:tr>
      <w:tr w:rsidR="00DD2A9A" w:rsidRPr="00F01347" w14:paraId="1273F403" w14:textId="77777777" w:rsidTr="000275CE">
        <w:tc>
          <w:tcPr>
            <w:tcW w:w="4675" w:type="dxa"/>
          </w:tcPr>
          <w:p w14:paraId="5DDEE052" w14:textId="77777777" w:rsidR="00DD2A9A" w:rsidRPr="00F01347" w:rsidRDefault="00DD2A9A" w:rsidP="00DD2A9A">
            <w:pPr>
              <w:pStyle w:val="texto0"/>
              <w:spacing w:line="226" w:lineRule="exact"/>
              <w:ind w:firstLine="0"/>
              <w:rPr>
                <w:rFonts w:ascii="Verdana" w:hAnsi="Verdana"/>
                <w:b/>
                <w:sz w:val="16"/>
                <w:szCs w:val="16"/>
              </w:rPr>
            </w:pPr>
            <w:r w:rsidRPr="00F01347">
              <w:rPr>
                <w:rFonts w:ascii="Verdana" w:hAnsi="Verdana"/>
                <w:b/>
                <w:sz w:val="16"/>
                <w:szCs w:val="16"/>
              </w:rPr>
              <w:t>B.5.8 Control de calidad, calibración e interferencias</w:t>
            </w:r>
          </w:p>
        </w:tc>
        <w:tc>
          <w:tcPr>
            <w:tcW w:w="4675" w:type="dxa"/>
          </w:tcPr>
          <w:p w14:paraId="4A50A26C" w14:textId="071D9B85" w:rsidR="00DD2A9A" w:rsidRPr="00F01347" w:rsidRDefault="00DD2A9A" w:rsidP="00DD2A9A">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B.5.8 Quality control, </w:t>
            </w:r>
            <w:r w:rsidR="000275CE" w:rsidRPr="00F01347">
              <w:rPr>
                <w:rFonts w:ascii="Verdana" w:hAnsi="Verdana"/>
                <w:b/>
                <w:sz w:val="16"/>
                <w:szCs w:val="16"/>
                <w:lang w:val="en-US"/>
              </w:rPr>
              <w:t>calibration,</w:t>
            </w:r>
            <w:r w:rsidRPr="00F01347">
              <w:rPr>
                <w:rFonts w:ascii="Verdana" w:hAnsi="Verdana"/>
                <w:b/>
                <w:sz w:val="16"/>
                <w:szCs w:val="16"/>
                <w:lang w:val="en-US"/>
              </w:rPr>
              <w:t xml:space="preserve"> and interferences</w:t>
            </w:r>
          </w:p>
        </w:tc>
      </w:tr>
      <w:tr w:rsidR="00DD2A9A" w:rsidRPr="00F01347" w14:paraId="31DF50CC" w14:textId="77777777" w:rsidTr="000275CE">
        <w:tc>
          <w:tcPr>
            <w:tcW w:w="4675" w:type="dxa"/>
          </w:tcPr>
          <w:p w14:paraId="0564C45A" w14:textId="77777777" w:rsidR="00DD2A9A" w:rsidRPr="00F01347" w:rsidRDefault="00DD2A9A" w:rsidP="00DD2A9A">
            <w:pPr>
              <w:pStyle w:val="texto0"/>
              <w:spacing w:line="226" w:lineRule="exact"/>
              <w:ind w:firstLine="0"/>
              <w:rPr>
                <w:rFonts w:ascii="Verdana" w:hAnsi="Verdana"/>
                <w:b/>
                <w:sz w:val="16"/>
                <w:szCs w:val="16"/>
              </w:rPr>
            </w:pPr>
            <w:r w:rsidRPr="00F01347">
              <w:rPr>
                <w:rFonts w:ascii="Verdana" w:hAnsi="Verdana"/>
                <w:b/>
                <w:sz w:val="16"/>
                <w:szCs w:val="16"/>
              </w:rPr>
              <w:t>B.5.8.1 Control de calidad</w:t>
            </w:r>
          </w:p>
        </w:tc>
        <w:tc>
          <w:tcPr>
            <w:tcW w:w="4675" w:type="dxa"/>
          </w:tcPr>
          <w:p w14:paraId="05CD5916" w14:textId="4B36BA58" w:rsidR="00DD2A9A" w:rsidRPr="00F01347" w:rsidRDefault="00DD2A9A" w:rsidP="00DD2A9A">
            <w:pPr>
              <w:pStyle w:val="texto0"/>
              <w:spacing w:line="226" w:lineRule="exact"/>
              <w:ind w:firstLine="0"/>
              <w:rPr>
                <w:rFonts w:ascii="Verdana" w:hAnsi="Verdana"/>
                <w:b/>
                <w:sz w:val="16"/>
                <w:szCs w:val="16"/>
                <w:lang w:val="en-US"/>
              </w:rPr>
            </w:pPr>
            <w:r w:rsidRPr="00F01347">
              <w:rPr>
                <w:rFonts w:ascii="Verdana" w:hAnsi="Verdana"/>
                <w:b/>
                <w:sz w:val="16"/>
                <w:szCs w:val="16"/>
                <w:lang w:val="en-US"/>
              </w:rPr>
              <w:t>B.5.8.1 Quality control</w:t>
            </w:r>
          </w:p>
        </w:tc>
      </w:tr>
      <w:tr w:rsidR="00DD2A9A" w:rsidRPr="00F01347" w14:paraId="66D44802" w14:textId="77777777" w:rsidTr="000275CE">
        <w:tc>
          <w:tcPr>
            <w:tcW w:w="4675" w:type="dxa"/>
          </w:tcPr>
          <w:p w14:paraId="5F2B779A" w14:textId="77777777" w:rsidR="00DD2A9A" w:rsidRPr="00F01347" w:rsidRDefault="00DD2A9A" w:rsidP="00DD2A9A">
            <w:pPr>
              <w:pStyle w:val="texto0"/>
              <w:spacing w:line="232" w:lineRule="exact"/>
              <w:ind w:firstLine="0"/>
              <w:rPr>
                <w:rFonts w:ascii="Verdana" w:hAnsi="Verdana"/>
                <w:sz w:val="16"/>
                <w:szCs w:val="16"/>
              </w:rPr>
            </w:pPr>
            <w:r w:rsidRPr="00F01347">
              <w:rPr>
                <w:rFonts w:ascii="Verdana" w:hAnsi="Verdana"/>
                <w:b/>
                <w:sz w:val="16"/>
                <w:szCs w:val="16"/>
              </w:rPr>
              <w:t xml:space="preserve">B.5.8.1.1 </w:t>
            </w:r>
            <w:r w:rsidRPr="00F01347">
              <w:rPr>
                <w:rFonts w:ascii="Verdana" w:hAnsi="Verdana"/>
                <w:sz w:val="16"/>
                <w:szCs w:val="16"/>
              </w:rPr>
              <w:t>Debe de llevarse a cabo una verificación del equipo. La verificación del detector de DCE debe realizarse de acuerdo con el manual de operación del equipo.</w:t>
            </w:r>
          </w:p>
        </w:tc>
        <w:tc>
          <w:tcPr>
            <w:tcW w:w="4675" w:type="dxa"/>
          </w:tcPr>
          <w:p w14:paraId="21983274" w14:textId="0D979EA9" w:rsidR="00DD2A9A" w:rsidRPr="00F01347" w:rsidRDefault="00DD2A9A" w:rsidP="00DD2A9A">
            <w:pPr>
              <w:pStyle w:val="texto0"/>
              <w:spacing w:line="232" w:lineRule="exact"/>
              <w:ind w:firstLine="0"/>
              <w:rPr>
                <w:rFonts w:ascii="Verdana" w:hAnsi="Verdana"/>
                <w:b/>
                <w:sz w:val="16"/>
                <w:szCs w:val="16"/>
                <w:lang w:val="en-US"/>
              </w:rPr>
            </w:pPr>
            <w:r w:rsidRPr="00F01347">
              <w:rPr>
                <w:rFonts w:ascii="Verdana" w:hAnsi="Verdana"/>
                <w:b/>
                <w:sz w:val="16"/>
                <w:szCs w:val="16"/>
                <w:lang w:val="en-US"/>
              </w:rPr>
              <w:t xml:space="preserve">B.5.8.1.1 </w:t>
            </w:r>
            <w:r w:rsidRPr="00F01347">
              <w:rPr>
                <w:rFonts w:ascii="Verdana" w:hAnsi="Verdana"/>
                <w:sz w:val="16"/>
                <w:szCs w:val="16"/>
                <w:lang w:val="en-US"/>
              </w:rPr>
              <w:t>An equipment verification must be carried out. Verification of the DCE detector must be performed in accordance with the equipment operation manual.</w:t>
            </w:r>
          </w:p>
        </w:tc>
      </w:tr>
      <w:tr w:rsidR="00DD2A9A" w:rsidRPr="00F01347" w14:paraId="72A30078" w14:textId="77777777" w:rsidTr="000275CE">
        <w:tc>
          <w:tcPr>
            <w:tcW w:w="4675" w:type="dxa"/>
          </w:tcPr>
          <w:p w14:paraId="78DB5395" w14:textId="77777777" w:rsidR="00DD2A9A" w:rsidRPr="00F01347" w:rsidRDefault="00DD2A9A" w:rsidP="00DD2A9A">
            <w:pPr>
              <w:pStyle w:val="texto0"/>
              <w:spacing w:line="232" w:lineRule="exact"/>
              <w:ind w:firstLine="0"/>
              <w:rPr>
                <w:rFonts w:ascii="Verdana" w:hAnsi="Verdana"/>
                <w:sz w:val="16"/>
                <w:szCs w:val="16"/>
              </w:rPr>
            </w:pPr>
            <w:r w:rsidRPr="00F01347">
              <w:rPr>
                <w:rFonts w:ascii="Verdana" w:hAnsi="Verdana"/>
                <w:sz w:val="16"/>
                <w:szCs w:val="16"/>
              </w:rPr>
              <w:t>Verificar que los flujos de gases y condiciones cromatográficas sean las adecuadas.</w:t>
            </w:r>
          </w:p>
        </w:tc>
        <w:tc>
          <w:tcPr>
            <w:tcW w:w="4675" w:type="dxa"/>
          </w:tcPr>
          <w:p w14:paraId="112279B0" w14:textId="0CAE60F6" w:rsidR="00DD2A9A" w:rsidRPr="00F01347" w:rsidRDefault="00DD2A9A" w:rsidP="00DD2A9A">
            <w:pPr>
              <w:pStyle w:val="texto0"/>
              <w:spacing w:line="232" w:lineRule="exact"/>
              <w:ind w:firstLine="0"/>
              <w:rPr>
                <w:rFonts w:ascii="Verdana" w:hAnsi="Verdana"/>
                <w:sz w:val="16"/>
                <w:szCs w:val="16"/>
                <w:lang w:val="en-US"/>
              </w:rPr>
            </w:pPr>
            <w:r w:rsidRPr="00F01347">
              <w:rPr>
                <w:rFonts w:ascii="Verdana" w:hAnsi="Verdana"/>
                <w:sz w:val="16"/>
                <w:szCs w:val="16"/>
                <w:lang w:val="en-US"/>
              </w:rPr>
              <w:t>Verify that the gas flows and chromatographic conditions are adequate.</w:t>
            </w:r>
          </w:p>
        </w:tc>
      </w:tr>
      <w:tr w:rsidR="00DD2A9A" w:rsidRPr="00F01347" w14:paraId="7BB40040" w14:textId="77777777" w:rsidTr="000275CE">
        <w:tc>
          <w:tcPr>
            <w:tcW w:w="4675" w:type="dxa"/>
          </w:tcPr>
          <w:p w14:paraId="7255E9E3" w14:textId="77777777" w:rsidR="00DD2A9A" w:rsidRPr="00F01347" w:rsidRDefault="00DD2A9A" w:rsidP="00DD2A9A">
            <w:pPr>
              <w:pStyle w:val="texto0"/>
              <w:spacing w:line="232" w:lineRule="exact"/>
              <w:ind w:firstLine="0"/>
              <w:rPr>
                <w:rFonts w:ascii="Verdana" w:hAnsi="Verdana"/>
                <w:sz w:val="16"/>
                <w:szCs w:val="16"/>
              </w:rPr>
            </w:pPr>
            <w:r w:rsidRPr="00F01347">
              <w:rPr>
                <w:rFonts w:ascii="Verdana" w:hAnsi="Verdana"/>
                <w:sz w:val="16"/>
                <w:szCs w:val="16"/>
              </w:rPr>
              <w:t>Verificación de blanco electrónico. Realizar una corrida con las condiciones cromatográficas del método, pero sin inyectar nada, si el cromatograma presenta picos a cualquier tiempo de retención, se purga el sistema poniendo el horno a 300°C durante 15 minutos y se repite el análisis del blanco electrónico.</w:t>
            </w:r>
          </w:p>
        </w:tc>
        <w:tc>
          <w:tcPr>
            <w:tcW w:w="4675" w:type="dxa"/>
          </w:tcPr>
          <w:p w14:paraId="64FA91B0" w14:textId="0DEB3B43" w:rsidR="00DD2A9A" w:rsidRPr="00F01347" w:rsidRDefault="00DD2A9A" w:rsidP="00DD2A9A">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Electronic </w:t>
            </w:r>
            <w:r w:rsidR="00C50A8A" w:rsidRPr="00F01347">
              <w:rPr>
                <w:rFonts w:ascii="Verdana" w:hAnsi="Verdana"/>
                <w:sz w:val="16"/>
                <w:szCs w:val="16"/>
                <w:lang w:val="en-US"/>
              </w:rPr>
              <w:t>blank</w:t>
            </w:r>
            <w:r w:rsidRPr="00F01347">
              <w:rPr>
                <w:rFonts w:ascii="Verdana" w:hAnsi="Verdana"/>
                <w:sz w:val="16"/>
                <w:szCs w:val="16"/>
                <w:lang w:val="en-US"/>
              </w:rPr>
              <w:t xml:space="preserve"> verification. Perform a run with the chromatographic conditions of the method, but without injecting anything. If the chromatogram presents peaks at any retention time, purge the system by placing the oven at 300°C for 15 minutes and repeat the analysis of the electronic blank.</w:t>
            </w:r>
          </w:p>
        </w:tc>
      </w:tr>
      <w:tr w:rsidR="00DD2A9A" w:rsidRPr="00F01347" w14:paraId="38617A2B" w14:textId="77777777" w:rsidTr="000275CE">
        <w:tc>
          <w:tcPr>
            <w:tcW w:w="4675" w:type="dxa"/>
          </w:tcPr>
          <w:p w14:paraId="437A85FF" w14:textId="77777777" w:rsidR="00DD2A9A" w:rsidRPr="00F01347" w:rsidRDefault="00DD2A9A" w:rsidP="00DD2A9A">
            <w:pPr>
              <w:pStyle w:val="texto0"/>
              <w:spacing w:line="232" w:lineRule="exact"/>
              <w:ind w:firstLine="0"/>
              <w:rPr>
                <w:rFonts w:ascii="Verdana" w:hAnsi="Verdana"/>
                <w:sz w:val="16"/>
                <w:szCs w:val="16"/>
              </w:rPr>
            </w:pPr>
            <w:r w:rsidRPr="00F01347">
              <w:rPr>
                <w:rFonts w:ascii="Verdana" w:hAnsi="Verdana"/>
                <w:b/>
                <w:sz w:val="16"/>
                <w:szCs w:val="16"/>
              </w:rPr>
              <w:t xml:space="preserve">B.5.8.1.2 </w:t>
            </w:r>
            <w:r w:rsidRPr="00F01347">
              <w:rPr>
                <w:rFonts w:ascii="Verdana" w:hAnsi="Verdana"/>
                <w:sz w:val="16"/>
                <w:szCs w:val="16"/>
              </w:rPr>
              <w:t xml:space="preserve">Verificación de la calibración inicial. Deberá realizarse inyectando los estándares de calibración preparados y se considerará lineal si </w:t>
            </w:r>
            <w:proofErr w:type="spellStart"/>
            <w:r w:rsidRPr="00F01347">
              <w:rPr>
                <w:rFonts w:ascii="Verdana" w:hAnsi="Verdana"/>
                <w:sz w:val="16"/>
                <w:szCs w:val="16"/>
              </w:rPr>
              <w:t>el</w:t>
            </w:r>
            <w:proofErr w:type="spellEnd"/>
            <w:r w:rsidRPr="00F01347">
              <w:rPr>
                <w:rFonts w:ascii="Verdana" w:hAnsi="Verdana"/>
                <w:sz w:val="16"/>
                <w:szCs w:val="16"/>
              </w:rPr>
              <w:t xml:space="preserve"> % de la desviación estándar relativa (%RSD) de los factores de calibración (CF) es menor o igual al 20%, los cálculos se realizan con las siguientes ecuaciones:</w:t>
            </w:r>
          </w:p>
        </w:tc>
        <w:tc>
          <w:tcPr>
            <w:tcW w:w="4675" w:type="dxa"/>
          </w:tcPr>
          <w:p w14:paraId="4E734D18" w14:textId="28CDE65A" w:rsidR="00DD2A9A" w:rsidRPr="00F01347" w:rsidRDefault="00DD2A9A" w:rsidP="00DD2A9A">
            <w:pPr>
              <w:pStyle w:val="texto0"/>
              <w:spacing w:line="232" w:lineRule="exact"/>
              <w:ind w:firstLine="0"/>
              <w:rPr>
                <w:rFonts w:ascii="Verdana" w:hAnsi="Verdana"/>
                <w:b/>
                <w:sz w:val="16"/>
                <w:szCs w:val="16"/>
                <w:lang w:val="en-US"/>
              </w:rPr>
            </w:pPr>
            <w:r w:rsidRPr="00F01347">
              <w:rPr>
                <w:rFonts w:ascii="Verdana" w:hAnsi="Verdana"/>
                <w:b/>
                <w:sz w:val="16"/>
                <w:szCs w:val="16"/>
                <w:lang w:val="en-US"/>
              </w:rPr>
              <w:t xml:space="preserve">B.5.8.1.2 </w:t>
            </w:r>
            <w:r w:rsidRPr="00F01347">
              <w:rPr>
                <w:rFonts w:ascii="Verdana" w:hAnsi="Verdana"/>
                <w:sz w:val="16"/>
                <w:szCs w:val="16"/>
                <w:lang w:val="en-US"/>
              </w:rPr>
              <w:t>Verification of initial calibration. It must be carried out by injecting the prepared calibration standards and will be considered linear if the % of the relative standard deviation (%RSD) of the calibration factors (CF) is less than or equal to 20%. The calculations are carried out with the following equations:</w:t>
            </w:r>
          </w:p>
        </w:tc>
      </w:tr>
    </w:tbl>
    <w:p w14:paraId="57238DB2" w14:textId="77777777" w:rsidR="00337D1B" w:rsidRPr="00F01347" w:rsidRDefault="00337D1B" w:rsidP="003A601B">
      <w:pPr>
        <w:pStyle w:val="texto0"/>
        <w:spacing w:line="240" w:lineRule="auto"/>
        <w:ind w:left="630" w:firstLine="0"/>
        <w:rPr>
          <w:rFonts w:ascii="Verdana" w:hAnsi="Verdana"/>
          <w:sz w:val="16"/>
          <w:szCs w:val="16"/>
        </w:rPr>
      </w:pPr>
    </w:p>
    <w:p w14:paraId="1D21C987" w14:textId="44890221" w:rsidR="00A74CDF" w:rsidRPr="00F01347" w:rsidRDefault="00471638" w:rsidP="002D50AA">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5BBCFD49" wp14:editId="41C9118D">
            <wp:extent cx="2200275" cy="333375"/>
            <wp:effectExtent l="0" t="0" r="0" b="0"/>
            <wp:docPr id="38"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00275" cy="333375"/>
                    </a:xfrm>
                    <a:prstGeom prst="rect">
                      <a:avLst/>
                    </a:prstGeom>
                    <a:noFill/>
                    <a:ln>
                      <a:noFill/>
                    </a:ln>
                  </pic:spPr>
                </pic:pic>
              </a:graphicData>
            </a:graphic>
          </wp:inline>
        </w:drawing>
      </w:r>
    </w:p>
    <w:p w14:paraId="5FE234E4" w14:textId="11D80083" w:rsidR="00337D1B" w:rsidRPr="00F01347" w:rsidRDefault="003E173F" w:rsidP="003E173F">
      <w:pPr>
        <w:pStyle w:val="texto0"/>
        <w:spacing w:line="240" w:lineRule="auto"/>
        <w:ind w:left="630" w:firstLine="0"/>
        <w:jc w:val="center"/>
        <w:rPr>
          <w:rFonts w:ascii="Verdana" w:hAnsi="Verdana"/>
          <w:sz w:val="16"/>
          <w:szCs w:val="16"/>
        </w:rPr>
      </w:pPr>
      <w:r w:rsidRPr="00F01347">
        <w:rPr>
          <w:noProof/>
        </w:rPr>
        <w:drawing>
          <wp:inline distT="0" distB="0" distL="0" distR="0" wp14:anchorId="26986374" wp14:editId="412E9D7B">
            <wp:extent cx="2175571" cy="617081"/>
            <wp:effectExtent l="0" t="0" r="0" b="0"/>
            <wp:docPr id="20954638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463850" name="Picture 1" descr="A screenshot of a computer&#10;&#10;Description automatically generated"/>
                    <pic:cNvPicPr/>
                  </pic:nvPicPr>
                  <pic:blipFill rotWithShape="1">
                    <a:blip r:embed="rId56"/>
                    <a:srcRect l="34156" t="44673" r="45231" b="44933"/>
                    <a:stretch/>
                  </pic:blipFill>
                  <pic:spPr bwMode="auto">
                    <a:xfrm>
                      <a:off x="0" y="0"/>
                      <a:ext cx="2252872" cy="639007"/>
                    </a:xfrm>
                    <a:prstGeom prst="rect">
                      <a:avLst/>
                    </a:prstGeom>
                    <a:ln>
                      <a:noFill/>
                    </a:ln>
                    <a:extLst>
                      <a:ext uri="{53640926-AAD7-44D8-BBD7-CCE9431645EC}">
                        <a14:shadowObscured xmlns:a14="http://schemas.microsoft.com/office/drawing/2010/main"/>
                      </a:ext>
                    </a:extLst>
                  </pic:spPr>
                </pic:pic>
              </a:graphicData>
            </a:graphic>
          </wp:inline>
        </w:drawing>
      </w:r>
    </w:p>
    <w:p w14:paraId="343D08A6" w14:textId="76E59474" w:rsidR="00A74CDF" w:rsidRPr="00F01347" w:rsidRDefault="00471638" w:rsidP="00E47822">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7C4DB800" wp14:editId="372739EA">
            <wp:extent cx="1343025" cy="314325"/>
            <wp:effectExtent l="0" t="0" r="0" b="0"/>
            <wp:docPr id="3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43025" cy="3143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904D2" w:rsidRPr="00F01347" w14:paraId="2A0CF30D" w14:textId="620233EC" w:rsidTr="003E173F">
        <w:tc>
          <w:tcPr>
            <w:tcW w:w="4675" w:type="dxa"/>
          </w:tcPr>
          <w:p w14:paraId="7275BE28" w14:textId="77777777" w:rsidR="008904D2" w:rsidRPr="00F01347" w:rsidRDefault="008904D2" w:rsidP="008904D2">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098EBE6D" w14:textId="5D3059C7" w:rsidR="008904D2" w:rsidRPr="00F01347" w:rsidRDefault="008904D2" w:rsidP="008904D2">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8904D2" w:rsidRPr="00F01347" w14:paraId="01E95229" w14:textId="7B6A2C10" w:rsidTr="003E173F">
        <w:tc>
          <w:tcPr>
            <w:tcW w:w="4675" w:type="dxa"/>
          </w:tcPr>
          <w:p w14:paraId="4DD51090" w14:textId="77777777" w:rsidR="008904D2" w:rsidRPr="00F01347" w:rsidRDefault="008904D2" w:rsidP="008904D2">
            <w:pPr>
              <w:pStyle w:val="texto0"/>
              <w:spacing w:line="228" w:lineRule="exact"/>
              <w:ind w:firstLine="0"/>
              <w:rPr>
                <w:rFonts w:ascii="Verdana" w:hAnsi="Verdana"/>
                <w:sz w:val="16"/>
                <w:szCs w:val="16"/>
              </w:rPr>
            </w:pPr>
            <w:r w:rsidRPr="00F01347">
              <w:rPr>
                <w:rFonts w:ascii="Verdana" w:hAnsi="Verdana"/>
                <w:sz w:val="16"/>
                <w:szCs w:val="16"/>
              </w:rPr>
              <w:t>SDCF</w:t>
            </w:r>
            <w:r w:rsidRPr="00F01347">
              <w:rPr>
                <w:rFonts w:ascii="Verdana" w:hAnsi="Verdana"/>
                <w:sz w:val="16"/>
                <w:szCs w:val="16"/>
              </w:rPr>
              <w:tab/>
              <w:t>desviación estándar de los factores de calibración</w:t>
            </w:r>
          </w:p>
        </w:tc>
        <w:tc>
          <w:tcPr>
            <w:tcW w:w="4675" w:type="dxa"/>
          </w:tcPr>
          <w:p w14:paraId="33295B1F" w14:textId="22F1082D" w:rsidR="008904D2" w:rsidRPr="00F01347" w:rsidRDefault="008904D2" w:rsidP="008904D2">
            <w:pPr>
              <w:pStyle w:val="texto0"/>
              <w:spacing w:line="228" w:lineRule="exact"/>
              <w:ind w:firstLine="0"/>
              <w:rPr>
                <w:rFonts w:ascii="Verdana" w:hAnsi="Verdana"/>
                <w:sz w:val="16"/>
                <w:szCs w:val="16"/>
                <w:lang w:val="en-US"/>
              </w:rPr>
            </w:pPr>
            <w:r w:rsidRPr="00F01347">
              <w:rPr>
                <w:rFonts w:ascii="Verdana" w:hAnsi="Verdana"/>
                <w:sz w:val="16"/>
                <w:szCs w:val="16"/>
                <w:lang w:val="en-US"/>
              </w:rPr>
              <w:t xml:space="preserve">SDCF </w:t>
            </w:r>
            <w:r w:rsidRPr="00F01347">
              <w:rPr>
                <w:rFonts w:ascii="Verdana" w:hAnsi="Verdana"/>
                <w:sz w:val="16"/>
                <w:szCs w:val="16"/>
                <w:lang w:val="en-US"/>
              </w:rPr>
              <w:tab/>
              <w:t>standard deviation of calibration factors</w:t>
            </w:r>
          </w:p>
        </w:tc>
      </w:tr>
      <w:tr w:rsidR="008904D2" w:rsidRPr="00F01347" w14:paraId="2E62954E" w14:textId="62B4DCEA" w:rsidTr="003E173F">
        <w:tc>
          <w:tcPr>
            <w:tcW w:w="4675" w:type="dxa"/>
          </w:tcPr>
          <w:p w14:paraId="6F01AD4F" w14:textId="77777777" w:rsidR="008904D2" w:rsidRPr="00F01347" w:rsidRDefault="008904D2" w:rsidP="008904D2">
            <w:pPr>
              <w:pStyle w:val="texto0"/>
              <w:spacing w:line="228" w:lineRule="exact"/>
              <w:ind w:firstLine="0"/>
              <w:rPr>
                <w:rFonts w:ascii="Verdana" w:hAnsi="Verdana"/>
                <w:sz w:val="16"/>
                <w:szCs w:val="16"/>
              </w:rPr>
            </w:pPr>
            <w:r w:rsidRPr="00F01347">
              <w:rPr>
                <w:rFonts w:ascii="Verdana" w:hAnsi="Verdana"/>
                <w:sz w:val="16"/>
                <w:szCs w:val="16"/>
              </w:rPr>
              <w:t>CF</w:t>
            </w:r>
            <w:r w:rsidRPr="00F01347">
              <w:rPr>
                <w:rFonts w:ascii="Verdana" w:hAnsi="Verdana"/>
                <w:sz w:val="16"/>
                <w:szCs w:val="16"/>
              </w:rPr>
              <w:tab/>
              <w:t>promedio de los factores de calibración</w:t>
            </w:r>
          </w:p>
        </w:tc>
        <w:tc>
          <w:tcPr>
            <w:tcW w:w="4675" w:type="dxa"/>
          </w:tcPr>
          <w:p w14:paraId="4F8BDA38" w14:textId="13D37ADF" w:rsidR="008904D2" w:rsidRPr="00F01347" w:rsidRDefault="008904D2" w:rsidP="008904D2">
            <w:pPr>
              <w:pStyle w:val="texto0"/>
              <w:spacing w:line="228" w:lineRule="exact"/>
              <w:ind w:firstLine="0"/>
              <w:rPr>
                <w:rFonts w:ascii="Verdana" w:hAnsi="Verdana"/>
                <w:sz w:val="16"/>
                <w:szCs w:val="16"/>
                <w:lang w:val="en-US"/>
              </w:rPr>
            </w:pPr>
            <w:r w:rsidRPr="00F01347">
              <w:rPr>
                <w:rFonts w:ascii="Verdana" w:hAnsi="Verdana"/>
                <w:sz w:val="16"/>
                <w:szCs w:val="16"/>
                <w:lang w:val="en-US"/>
              </w:rPr>
              <w:t xml:space="preserve">CF </w:t>
            </w:r>
            <w:r w:rsidRPr="00F01347">
              <w:rPr>
                <w:rFonts w:ascii="Verdana" w:hAnsi="Verdana"/>
                <w:sz w:val="16"/>
                <w:szCs w:val="16"/>
                <w:lang w:val="en-US"/>
              </w:rPr>
              <w:tab/>
              <w:t>of calibration factors</w:t>
            </w:r>
          </w:p>
        </w:tc>
      </w:tr>
      <w:tr w:rsidR="008904D2" w:rsidRPr="00F01347" w14:paraId="7557B539" w14:textId="79070EF6" w:rsidTr="003E173F">
        <w:tc>
          <w:tcPr>
            <w:tcW w:w="4675" w:type="dxa"/>
          </w:tcPr>
          <w:p w14:paraId="1706A795" w14:textId="77777777" w:rsidR="008904D2" w:rsidRPr="00F01347" w:rsidRDefault="008904D2" w:rsidP="008904D2">
            <w:pPr>
              <w:pStyle w:val="texto0"/>
              <w:spacing w:line="228" w:lineRule="exact"/>
              <w:ind w:firstLine="0"/>
              <w:rPr>
                <w:rFonts w:ascii="Verdana" w:hAnsi="Verdana"/>
                <w:sz w:val="16"/>
                <w:szCs w:val="16"/>
              </w:rPr>
            </w:pPr>
            <w:r w:rsidRPr="00F01347">
              <w:rPr>
                <w:rFonts w:ascii="Verdana" w:hAnsi="Verdana"/>
                <w:sz w:val="16"/>
                <w:szCs w:val="16"/>
              </w:rPr>
              <w:t>La verificación de la calibración inicial puede también efectuarse mediante la regresión por mínimos cuadrados en la cual el criterio de aceptación es que el factor de correlación “r” sea mayor o igual a 0.99.</w:t>
            </w:r>
          </w:p>
        </w:tc>
        <w:tc>
          <w:tcPr>
            <w:tcW w:w="4675" w:type="dxa"/>
          </w:tcPr>
          <w:p w14:paraId="1ED5E08A" w14:textId="331D6C4B" w:rsidR="008904D2" w:rsidRPr="00F01347" w:rsidRDefault="008904D2" w:rsidP="008904D2">
            <w:pPr>
              <w:pStyle w:val="texto0"/>
              <w:spacing w:line="228" w:lineRule="exact"/>
              <w:ind w:firstLine="0"/>
              <w:rPr>
                <w:rFonts w:ascii="Verdana" w:hAnsi="Verdana"/>
                <w:sz w:val="16"/>
                <w:szCs w:val="16"/>
                <w:lang w:val="en-US"/>
              </w:rPr>
            </w:pPr>
            <w:r w:rsidRPr="00F01347">
              <w:rPr>
                <w:rFonts w:ascii="Verdana" w:hAnsi="Verdana"/>
                <w:sz w:val="16"/>
                <w:szCs w:val="16"/>
                <w:lang w:val="en-US"/>
              </w:rPr>
              <w:t>Verification of the initial calibration can also be carried out through least squares regression in which the acceptance criterion is that the correlation factor “r” is greater than or equal to 0.99.</w:t>
            </w:r>
          </w:p>
        </w:tc>
      </w:tr>
      <w:tr w:rsidR="008904D2" w:rsidRPr="00F01347" w14:paraId="12D1B1D3" w14:textId="5889E3D7" w:rsidTr="003E173F">
        <w:tc>
          <w:tcPr>
            <w:tcW w:w="4675" w:type="dxa"/>
          </w:tcPr>
          <w:p w14:paraId="40D05174" w14:textId="77777777" w:rsidR="008904D2" w:rsidRPr="00F01347" w:rsidRDefault="008904D2" w:rsidP="008904D2">
            <w:pPr>
              <w:pStyle w:val="texto0"/>
              <w:spacing w:line="228" w:lineRule="exact"/>
              <w:ind w:firstLine="0"/>
              <w:rPr>
                <w:rFonts w:ascii="Verdana" w:hAnsi="Verdana"/>
                <w:sz w:val="16"/>
                <w:szCs w:val="16"/>
              </w:rPr>
            </w:pPr>
            <w:r w:rsidRPr="00F01347">
              <w:rPr>
                <w:rFonts w:ascii="Verdana" w:hAnsi="Verdana"/>
                <w:sz w:val="16"/>
                <w:szCs w:val="16"/>
              </w:rPr>
              <w:t xml:space="preserve">Si los criterios para </w:t>
            </w:r>
            <w:proofErr w:type="spellStart"/>
            <w:r w:rsidRPr="00F01347">
              <w:rPr>
                <w:rFonts w:ascii="Verdana" w:hAnsi="Verdana"/>
                <w:sz w:val="16"/>
                <w:szCs w:val="16"/>
              </w:rPr>
              <w:t>el</w:t>
            </w:r>
            <w:proofErr w:type="spellEnd"/>
            <w:r w:rsidRPr="00F01347">
              <w:rPr>
                <w:rFonts w:ascii="Verdana" w:hAnsi="Verdana"/>
                <w:sz w:val="16"/>
                <w:szCs w:val="16"/>
              </w:rPr>
              <w:t xml:space="preserve"> %RSD o r no se cumplen se procede a la revisión del sistema cromatográfico y la preparación de las disoluciones de calibración.</w:t>
            </w:r>
          </w:p>
        </w:tc>
        <w:tc>
          <w:tcPr>
            <w:tcW w:w="4675" w:type="dxa"/>
          </w:tcPr>
          <w:p w14:paraId="3CF6875F" w14:textId="514E596D" w:rsidR="008904D2" w:rsidRPr="00F01347" w:rsidRDefault="008904D2" w:rsidP="008904D2">
            <w:pPr>
              <w:pStyle w:val="texto0"/>
              <w:spacing w:line="228" w:lineRule="exact"/>
              <w:ind w:firstLine="0"/>
              <w:rPr>
                <w:rFonts w:ascii="Verdana" w:hAnsi="Verdana"/>
                <w:sz w:val="16"/>
                <w:szCs w:val="16"/>
                <w:lang w:val="en-US"/>
              </w:rPr>
            </w:pPr>
            <w:r w:rsidRPr="00F01347">
              <w:rPr>
                <w:rFonts w:ascii="Verdana" w:hAnsi="Verdana"/>
                <w:sz w:val="16"/>
                <w:szCs w:val="16"/>
                <w:lang w:val="en-US"/>
              </w:rPr>
              <w:t xml:space="preserve">If the criteria for the %RSD or are not met, the chromatographic system is </w:t>
            </w:r>
            <w:r w:rsidR="00CC4C35" w:rsidRPr="00F01347">
              <w:rPr>
                <w:rFonts w:ascii="Verdana" w:hAnsi="Verdana"/>
                <w:sz w:val="16"/>
                <w:szCs w:val="16"/>
                <w:lang w:val="en-US"/>
              </w:rPr>
              <w:t>reviewed,</w:t>
            </w:r>
            <w:r w:rsidRPr="00F01347">
              <w:rPr>
                <w:rFonts w:ascii="Verdana" w:hAnsi="Verdana"/>
                <w:sz w:val="16"/>
                <w:szCs w:val="16"/>
                <w:lang w:val="en-US"/>
              </w:rPr>
              <w:t xml:space="preserve"> and the calibration solutions are prepared.</w:t>
            </w:r>
          </w:p>
        </w:tc>
      </w:tr>
      <w:tr w:rsidR="008904D2" w:rsidRPr="00F01347" w14:paraId="34ED580C" w14:textId="142E6412" w:rsidTr="003E173F">
        <w:tc>
          <w:tcPr>
            <w:tcW w:w="4675" w:type="dxa"/>
          </w:tcPr>
          <w:p w14:paraId="119FA799" w14:textId="77777777" w:rsidR="008904D2" w:rsidRPr="00F01347" w:rsidRDefault="008904D2" w:rsidP="008904D2">
            <w:pPr>
              <w:pStyle w:val="texto0"/>
              <w:ind w:firstLine="0"/>
              <w:rPr>
                <w:rFonts w:ascii="Verdana" w:hAnsi="Verdana"/>
                <w:sz w:val="16"/>
                <w:szCs w:val="16"/>
              </w:rPr>
            </w:pPr>
            <w:r w:rsidRPr="00F01347">
              <w:rPr>
                <w:rFonts w:ascii="Verdana" w:hAnsi="Verdana"/>
                <w:sz w:val="16"/>
                <w:szCs w:val="16"/>
              </w:rPr>
              <w:t>Posteriormente la curva de calibración será vigente, si el análisis de un punto intermedio de la curva no presenta una variación de la concentración mayor al 15% y que será calculada de la siguiente manera:</w:t>
            </w:r>
          </w:p>
        </w:tc>
        <w:tc>
          <w:tcPr>
            <w:tcW w:w="4675" w:type="dxa"/>
          </w:tcPr>
          <w:p w14:paraId="52C1CF85" w14:textId="72D9FE23" w:rsidR="008904D2" w:rsidRPr="00F01347" w:rsidRDefault="008904D2" w:rsidP="008904D2">
            <w:pPr>
              <w:pStyle w:val="texto0"/>
              <w:ind w:firstLine="0"/>
              <w:rPr>
                <w:rFonts w:ascii="Verdana" w:hAnsi="Verdana"/>
                <w:sz w:val="16"/>
                <w:szCs w:val="16"/>
                <w:lang w:val="en-US"/>
              </w:rPr>
            </w:pPr>
            <w:r w:rsidRPr="00F01347">
              <w:rPr>
                <w:rFonts w:ascii="Verdana" w:hAnsi="Verdana"/>
                <w:sz w:val="16"/>
                <w:szCs w:val="16"/>
                <w:lang w:val="en-US"/>
              </w:rPr>
              <w:t>Subsequently, the calibration curve will be valid if the analysis of an intermediate point of the curve does not present a variation in concentration greater than 15% and will be calculated as follows:</w:t>
            </w:r>
          </w:p>
        </w:tc>
      </w:tr>
    </w:tbl>
    <w:p w14:paraId="30DAAEA2" w14:textId="10012343" w:rsidR="00A74CDF" w:rsidRPr="00F01347" w:rsidRDefault="00471638" w:rsidP="00CC4C35">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lastRenderedPageBreak/>
        <w:drawing>
          <wp:inline distT="0" distB="0" distL="0" distR="0" wp14:anchorId="4C98DA13" wp14:editId="536CCCFF">
            <wp:extent cx="3257550" cy="323850"/>
            <wp:effectExtent l="0" t="0" r="0" b="0"/>
            <wp:docPr id="40"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57550" cy="323850"/>
                    </a:xfrm>
                    <a:prstGeom prst="rect">
                      <a:avLst/>
                    </a:prstGeom>
                    <a:noFill/>
                    <a:ln>
                      <a:noFill/>
                    </a:ln>
                  </pic:spPr>
                </pic:pic>
              </a:graphicData>
            </a:graphic>
          </wp:inline>
        </w:drawing>
      </w:r>
    </w:p>
    <w:p w14:paraId="254F7D16" w14:textId="1EE57482" w:rsidR="0055757A" w:rsidRPr="00F01347" w:rsidRDefault="00552083" w:rsidP="00552083">
      <w:pPr>
        <w:pStyle w:val="texto0"/>
        <w:spacing w:line="240" w:lineRule="auto"/>
        <w:ind w:left="630" w:firstLine="0"/>
        <w:jc w:val="center"/>
        <w:rPr>
          <w:rFonts w:ascii="Verdana" w:hAnsi="Verdana"/>
          <w:sz w:val="16"/>
          <w:szCs w:val="16"/>
        </w:rPr>
      </w:pPr>
      <w:r w:rsidRPr="00F01347">
        <w:rPr>
          <w:noProof/>
        </w:rPr>
        <w:drawing>
          <wp:inline distT="0" distB="0" distL="0" distR="0" wp14:anchorId="63B35A31" wp14:editId="6A2762A6">
            <wp:extent cx="2974403" cy="621792"/>
            <wp:effectExtent l="0" t="0" r="0" b="6985"/>
            <wp:docPr id="2515614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61431" name="Picture 1" descr="A screenshot of a computer&#10;&#10;Description automatically generated"/>
                    <pic:cNvPicPr/>
                  </pic:nvPicPr>
                  <pic:blipFill rotWithShape="1">
                    <a:blip r:embed="rId59"/>
                    <a:srcRect l="43282" t="34644" r="29231" b="55140"/>
                    <a:stretch/>
                  </pic:blipFill>
                  <pic:spPr bwMode="auto">
                    <a:xfrm>
                      <a:off x="0" y="0"/>
                      <a:ext cx="3021636" cy="63166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85DCA" w:rsidRPr="00F01347" w14:paraId="6394E737" w14:textId="43384B54" w:rsidTr="00552083">
        <w:tc>
          <w:tcPr>
            <w:tcW w:w="4675" w:type="dxa"/>
          </w:tcPr>
          <w:p w14:paraId="2162BA61" w14:textId="77777777" w:rsidR="00C85DCA" w:rsidRPr="00F01347" w:rsidRDefault="00C85DCA" w:rsidP="00C85DCA">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61AEADEE" w14:textId="71D16A62" w:rsidR="00C85DCA" w:rsidRPr="00F01347" w:rsidRDefault="00C85DCA" w:rsidP="00C85DCA">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C85DCA" w:rsidRPr="00F01347" w14:paraId="0BC237CF" w14:textId="44ECCC86" w:rsidTr="00552083">
        <w:tc>
          <w:tcPr>
            <w:tcW w:w="4675" w:type="dxa"/>
          </w:tcPr>
          <w:p w14:paraId="627709DC" w14:textId="77777777" w:rsidR="00C85DCA" w:rsidRPr="00F01347" w:rsidRDefault="00C85DCA" w:rsidP="00C85DCA">
            <w:pPr>
              <w:pStyle w:val="texto0"/>
              <w:ind w:firstLine="0"/>
              <w:rPr>
                <w:rFonts w:ascii="Verdana" w:hAnsi="Verdana"/>
                <w:sz w:val="16"/>
                <w:szCs w:val="16"/>
              </w:rPr>
            </w:pPr>
            <w:r w:rsidRPr="00F01347">
              <w:rPr>
                <w:rFonts w:ascii="Verdana" w:hAnsi="Verdana"/>
                <w:sz w:val="16"/>
                <w:szCs w:val="16"/>
              </w:rPr>
              <w:t>CC</w:t>
            </w:r>
            <w:r w:rsidRPr="00F01347">
              <w:rPr>
                <w:rFonts w:ascii="Verdana" w:hAnsi="Verdana"/>
                <w:sz w:val="16"/>
                <w:szCs w:val="16"/>
              </w:rPr>
              <w:tab/>
              <w:t>concentración calculada</w:t>
            </w:r>
          </w:p>
        </w:tc>
        <w:tc>
          <w:tcPr>
            <w:tcW w:w="4675" w:type="dxa"/>
          </w:tcPr>
          <w:p w14:paraId="4B6F190E" w14:textId="09EB36F1" w:rsidR="00C85DCA" w:rsidRPr="00F01347" w:rsidRDefault="00C85DCA" w:rsidP="00C85DCA">
            <w:pPr>
              <w:pStyle w:val="texto0"/>
              <w:ind w:firstLine="0"/>
              <w:rPr>
                <w:rFonts w:ascii="Verdana" w:hAnsi="Verdana"/>
                <w:sz w:val="16"/>
                <w:szCs w:val="16"/>
                <w:lang w:val="en-US"/>
              </w:rPr>
            </w:pPr>
            <w:r w:rsidRPr="00F01347">
              <w:rPr>
                <w:rFonts w:ascii="Verdana" w:hAnsi="Verdana"/>
                <w:sz w:val="16"/>
                <w:szCs w:val="16"/>
                <w:lang w:val="en-US"/>
              </w:rPr>
              <w:t xml:space="preserve">CC </w:t>
            </w:r>
            <w:r w:rsidRPr="00F01347">
              <w:rPr>
                <w:rFonts w:ascii="Verdana" w:hAnsi="Verdana"/>
                <w:sz w:val="16"/>
                <w:szCs w:val="16"/>
                <w:lang w:val="en-US"/>
              </w:rPr>
              <w:tab/>
              <w:t>calculated concentration</w:t>
            </w:r>
          </w:p>
        </w:tc>
      </w:tr>
      <w:tr w:rsidR="00C85DCA" w:rsidRPr="00F01347" w14:paraId="1DCFCCC4" w14:textId="77041F88" w:rsidTr="00552083">
        <w:tc>
          <w:tcPr>
            <w:tcW w:w="4675" w:type="dxa"/>
          </w:tcPr>
          <w:p w14:paraId="34E3AF7B" w14:textId="77777777" w:rsidR="00C85DCA" w:rsidRPr="00F01347" w:rsidRDefault="00C85DCA" w:rsidP="00C85DCA">
            <w:pPr>
              <w:pStyle w:val="texto0"/>
              <w:ind w:firstLine="0"/>
              <w:rPr>
                <w:rFonts w:ascii="Verdana" w:hAnsi="Verdana"/>
                <w:sz w:val="16"/>
                <w:szCs w:val="16"/>
              </w:rPr>
            </w:pPr>
            <w:r w:rsidRPr="00F01347">
              <w:rPr>
                <w:rFonts w:ascii="Verdana" w:hAnsi="Verdana"/>
                <w:sz w:val="16"/>
                <w:szCs w:val="16"/>
              </w:rPr>
              <w:t>CT</w:t>
            </w:r>
            <w:r w:rsidRPr="00F01347">
              <w:rPr>
                <w:rFonts w:ascii="Verdana" w:hAnsi="Verdana"/>
                <w:sz w:val="16"/>
                <w:szCs w:val="16"/>
              </w:rPr>
              <w:tab/>
              <w:t>concentración teórica</w:t>
            </w:r>
          </w:p>
        </w:tc>
        <w:tc>
          <w:tcPr>
            <w:tcW w:w="4675" w:type="dxa"/>
          </w:tcPr>
          <w:p w14:paraId="743AAC3B" w14:textId="1FA764B0" w:rsidR="00C85DCA" w:rsidRPr="00F01347" w:rsidRDefault="00C85DCA" w:rsidP="00C85DCA">
            <w:pPr>
              <w:pStyle w:val="texto0"/>
              <w:ind w:firstLine="0"/>
              <w:rPr>
                <w:rFonts w:ascii="Verdana" w:hAnsi="Verdana"/>
                <w:sz w:val="16"/>
                <w:szCs w:val="16"/>
                <w:lang w:val="en-US"/>
              </w:rPr>
            </w:pPr>
            <w:r w:rsidRPr="00F01347">
              <w:rPr>
                <w:rFonts w:ascii="Verdana" w:hAnsi="Verdana"/>
                <w:sz w:val="16"/>
                <w:szCs w:val="16"/>
                <w:lang w:val="en-US"/>
              </w:rPr>
              <w:t xml:space="preserve">CT </w:t>
            </w:r>
            <w:r w:rsidRPr="00F01347">
              <w:rPr>
                <w:rFonts w:ascii="Verdana" w:hAnsi="Verdana"/>
                <w:sz w:val="16"/>
                <w:szCs w:val="16"/>
                <w:lang w:val="en-US"/>
              </w:rPr>
              <w:tab/>
              <w:t>theoretical concentration</w:t>
            </w:r>
          </w:p>
        </w:tc>
      </w:tr>
      <w:tr w:rsidR="00C85DCA" w:rsidRPr="00F01347" w14:paraId="3DE45AA0" w14:textId="33A9AD9F" w:rsidTr="00552083">
        <w:tc>
          <w:tcPr>
            <w:tcW w:w="4675" w:type="dxa"/>
          </w:tcPr>
          <w:p w14:paraId="47EF2ED4" w14:textId="77777777" w:rsidR="00C85DCA" w:rsidRPr="00F01347" w:rsidRDefault="00C85DCA" w:rsidP="00C85DCA">
            <w:pPr>
              <w:pStyle w:val="texto0"/>
              <w:ind w:firstLine="0"/>
              <w:rPr>
                <w:rFonts w:ascii="Verdana" w:hAnsi="Verdana"/>
                <w:sz w:val="16"/>
                <w:szCs w:val="16"/>
              </w:rPr>
            </w:pPr>
            <w:r w:rsidRPr="00F01347">
              <w:rPr>
                <w:rFonts w:ascii="Verdana" w:hAnsi="Verdana"/>
                <w:sz w:val="16"/>
                <w:szCs w:val="16"/>
              </w:rPr>
              <w:t>o si se utiliza el factor de calibración</w:t>
            </w:r>
          </w:p>
        </w:tc>
        <w:tc>
          <w:tcPr>
            <w:tcW w:w="4675" w:type="dxa"/>
          </w:tcPr>
          <w:p w14:paraId="0F768DCC" w14:textId="73CE830F" w:rsidR="00C85DCA" w:rsidRPr="00F01347" w:rsidRDefault="00C85DCA" w:rsidP="00C85DCA">
            <w:pPr>
              <w:pStyle w:val="texto0"/>
              <w:ind w:firstLine="0"/>
              <w:rPr>
                <w:rFonts w:ascii="Verdana" w:hAnsi="Verdana"/>
                <w:sz w:val="16"/>
                <w:szCs w:val="16"/>
                <w:lang w:val="en-US"/>
              </w:rPr>
            </w:pPr>
            <w:r w:rsidRPr="00F01347">
              <w:rPr>
                <w:rFonts w:ascii="Verdana" w:hAnsi="Verdana"/>
                <w:sz w:val="16"/>
                <w:szCs w:val="16"/>
                <w:lang w:val="en-US"/>
              </w:rPr>
              <w:t>or if the calibration factor is used</w:t>
            </w:r>
          </w:p>
        </w:tc>
      </w:tr>
    </w:tbl>
    <w:p w14:paraId="0F9F9C91" w14:textId="77777777" w:rsidR="0055757A" w:rsidRPr="00F01347" w:rsidRDefault="0055757A" w:rsidP="003A601B">
      <w:pPr>
        <w:pStyle w:val="texto0"/>
        <w:rPr>
          <w:rFonts w:ascii="Verdana" w:hAnsi="Verdana"/>
          <w:sz w:val="16"/>
          <w:szCs w:val="16"/>
          <w:lang w:val="en-US"/>
        </w:rPr>
      </w:pPr>
    </w:p>
    <w:p w14:paraId="172B8870" w14:textId="727FAE71" w:rsidR="00A74CDF" w:rsidRPr="00F01347" w:rsidRDefault="00471638" w:rsidP="0055550B">
      <w:pPr>
        <w:pStyle w:val="texto0"/>
        <w:spacing w:line="240" w:lineRule="auto"/>
        <w:ind w:left="720" w:hanging="90"/>
        <w:jc w:val="center"/>
        <w:rPr>
          <w:rFonts w:ascii="Verdana" w:hAnsi="Verdana"/>
          <w:sz w:val="16"/>
          <w:szCs w:val="16"/>
        </w:rPr>
      </w:pPr>
      <w:r w:rsidRPr="00F01347">
        <w:rPr>
          <w:rFonts w:ascii="Verdana" w:hAnsi="Verdana"/>
          <w:noProof/>
          <w:sz w:val="16"/>
          <w:szCs w:val="16"/>
          <w:lang w:eastAsia="es-MX"/>
        </w:rPr>
        <w:drawing>
          <wp:inline distT="0" distB="0" distL="0" distR="0" wp14:anchorId="1EF2F155" wp14:editId="46E5A1DE">
            <wp:extent cx="2714625" cy="314325"/>
            <wp:effectExtent l="0" t="0" r="0" b="0"/>
            <wp:docPr id="41"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14625" cy="314325"/>
                    </a:xfrm>
                    <a:prstGeom prst="rect">
                      <a:avLst/>
                    </a:prstGeom>
                    <a:noFill/>
                    <a:ln>
                      <a:noFill/>
                    </a:ln>
                  </pic:spPr>
                </pic:pic>
              </a:graphicData>
            </a:graphic>
          </wp:inline>
        </w:drawing>
      </w:r>
    </w:p>
    <w:p w14:paraId="2E7DE33E" w14:textId="77777777" w:rsidR="0055550B" w:rsidRPr="00F01347" w:rsidRDefault="0055550B" w:rsidP="0055550B">
      <w:pPr>
        <w:pStyle w:val="texto0"/>
        <w:spacing w:line="240" w:lineRule="auto"/>
        <w:ind w:left="720" w:hanging="90"/>
        <w:jc w:val="center"/>
        <w:rPr>
          <w:rFonts w:ascii="Verdana" w:hAnsi="Verdana"/>
          <w:sz w:val="16"/>
          <w:szCs w:val="16"/>
        </w:rPr>
      </w:pPr>
    </w:p>
    <w:p w14:paraId="0562C4B5" w14:textId="39211611" w:rsidR="0055550B" w:rsidRPr="00F01347" w:rsidRDefault="0055550B" w:rsidP="0055550B">
      <w:pPr>
        <w:pStyle w:val="texto0"/>
        <w:spacing w:line="240" w:lineRule="auto"/>
        <w:ind w:left="720" w:hanging="90"/>
        <w:jc w:val="center"/>
        <w:rPr>
          <w:rFonts w:ascii="Verdana" w:hAnsi="Verdana"/>
          <w:sz w:val="16"/>
          <w:szCs w:val="16"/>
        </w:rPr>
      </w:pPr>
      <w:r w:rsidRPr="00F01347">
        <w:rPr>
          <w:noProof/>
        </w:rPr>
        <w:drawing>
          <wp:inline distT="0" distB="0" distL="0" distR="0" wp14:anchorId="45585A80" wp14:editId="634B3604">
            <wp:extent cx="2962656" cy="466838"/>
            <wp:effectExtent l="0" t="0" r="0" b="9525"/>
            <wp:docPr id="181680264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02649" name="Picture 1" descr="A screenshot of a computer&#10;&#10;Description automatically generated"/>
                    <pic:cNvPicPr/>
                  </pic:nvPicPr>
                  <pic:blipFill rotWithShape="1">
                    <a:blip r:embed="rId61"/>
                    <a:srcRect l="37853" t="35744" r="37436" b="57333"/>
                    <a:stretch/>
                  </pic:blipFill>
                  <pic:spPr bwMode="auto">
                    <a:xfrm>
                      <a:off x="0" y="0"/>
                      <a:ext cx="3086697" cy="48638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A49CB" w:rsidRPr="00F01347" w14:paraId="0F329EF2" w14:textId="0EDD5074" w:rsidTr="0055550B">
        <w:tc>
          <w:tcPr>
            <w:tcW w:w="4675" w:type="dxa"/>
          </w:tcPr>
          <w:p w14:paraId="7C5620BB" w14:textId="77777777" w:rsidR="000A49CB" w:rsidRPr="00F01347" w:rsidRDefault="000A49CB" w:rsidP="000A49CB">
            <w:pPr>
              <w:pStyle w:val="texto0"/>
              <w:spacing w:after="80" w:line="220" w:lineRule="exact"/>
              <w:ind w:firstLine="0"/>
              <w:rPr>
                <w:rFonts w:ascii="Verdana" w:hAnsi="Verdana"/>
                <w:b/>
                <w:bCs/>
                <w:sz w:val="16"/>
                <w:szCs w:val="16"/>
              </w:rPr>
            </w:pPr>
            <w:r w:rsidRPr="00F01347">
              <w:rPr>
                <w:rFonts w:ascii="Verdana" w:hAnsi="Verdana"/>
                <w:b/>
                <w:bCs/>
                <w:sz w:val="16"/>
                <w:szCs w:val="16"/>
              </w:rPr>
              <w:t>En donde:</w:t>
            </w:r>
          </w:p>
        </w:tc>
        <w:tc>
          <w:tcPr>
            <w:tcW w:w="4675" w:type="dxa"/>
          </w:tcPr>
          <w:p w14:paraId="5B64313B" w14:textId="188CB688" w:rsidR="000A49CB" w:rsidRPr="00F01347" w:rsidRDefault="000A49CB" w:rsidP="000A49CB">
            <w:pPr>
              <w:pStyle w:val="texto0"/>
              <w:spacing w:after="80" w:line="220" w:lineRule="exact"/>
              <w:ind w:firstLine="0"/>
              <w:rPr>
                <w:rFonts w:ascii="Verdana" w:hAnsi="Verdana"/>
                <w:b/>
                <w:bCs/>
                <w:sz w:val="16"/>
                <w:szCs w:val="16"/>
                <w:lang w:val="en-US"/>
              </w:rPr>
            </w:pPr>
            <w:r w:rsidRPr="00F01347">
              <w:rPr>
                <w:rFonts w:ascii="Verdana" w:hAnsi="Verdana"/>
                <w:b/>
                <w:bCs/>
                <w:sz w:val="16"/>
                <w:szCs w:val="16"/>
                <w:lang w:val="en-US"/>
              </w:rPr>
              <w:t>Where:</w:t>
            </w:r>
          </w:p>
        </w:tc>
      </w:tr>
      <w:tr w:rsidR="000A49CB" w:rsidRPr="00F01347" w14:paraId="71F8FFB8" w14:textId="44F3F71D" w:rsidTr="0055550B">
        <w:tc>
          <w:tcPr>
            <w:tcW w:w="4675" w:type="dxa"/>
          </w:tcPr>
          <w:p w14:paraId="24086AE1" w14:textId="77777777" w:rsidR="000A49CB" w:rsidRPr="00F01347" w:rsidRDefault="000A49CB" w:rsidP="000A49CB">
            <w:pPr>
              <w:pStyle w:val="texto0"/>
              <w:spacing w:after="80" w:line="220" w:lineRule="exact"/>
              <w:ind w:firstLine="0"/>
              <w:rPr>
                <w:rFonts w:ascii="Verdana" w:hAnsi="Verdana"/>
                <w:sz w:val="16"/>
                <w:szCs w:val="16"/>
              </w:rPr>
            </w:pPr>
            <w:proofErr w:type="spellStart"/>
            <w:r w:rsidRPr="00F01347">
              <w:rPr>
                <w:rFonts w:ascii="Verdana" w:hAnsi="Verdana"/>
                <w:sz w:val="16"/>
                <w:szCs w:val="16"/>
              </w:rPr>
              <w:t>CFv</w:t>
            </w:r>
            <w:proofErr w:type="spellEnd"/>
            <w:r w:rsidRPr="00F01347">
              <w:rPr>
                <w:rFonts w:ascii="Verdana" w:hAnsi="Verdana"/>
                <w:sz w:val="16"/>
                <w:szCs w:val="16"/>
              </w:rPr>
              <w:tab/>
              <w:t>factor de calibración de cada compuesto en el estándar de verificación</w:t>
            </w:r>
          </w:p>
        </w:tc>
        <w:tc>
          <w:tcPr>
            <w:tcW w:w="4675" w:type="dxa"/>
          </w:tcPr>
          <w:p w14:paraId="5E5BFCF5" w14:textId="69432DDC" w:rsidR="000A49CB" w:rsidRPr="00F01347" w:rsidRDefault="000A49CB" w:rsidP="000A49CB">
            <w:pPr>
              <w:pStyle w:val="texto0"/>
              <w:spacing w:after="80" w:line="220" w:lineRule="exact"/>
              <w:ind w:firstLine="0"/>
              <w:rPr>
                <w:rFonts w:ascii="Verdana" w:hAnsi="Verdana"/>
                <w:sz w:val="16"/>
                <w:szCs w:val="16"/>
                <w:lang w:val="en-US"/>
              </w:rPr>
            </w:pPr>
            <w:proofErr w:type="spellStart"/>
            <w:r w:rsidRPr="00F01347">
              <w:rPr>
                <w:rFonts w:ascii="Verdana" w:hAnsi="Verdana"/>
                <w:sz w:val="16"/>
                <w:szCs w:val="16"/>
                <w:lang w:val="en-US"/>
              </w:rPr>
              <w:t>CFv</w:t>
            </w:r>
            <w:proofErr w:type="spellEnd"/>
            <w:r w:rsidRPr="00F01347">
              <w:rPr>
                <w:rFonts w:ascii="Verdana" w:hAnsi="Verdana"/>
                <w:sz w:val="16"/>
                <w:szCs w:val="16"/>
                <w:lang w:val="en-US"/>
              </w:rPr>
              <w:t xml:space="preserve"> </w:t>
            </w:r>
            <w:r w:rsidRPr="00F01347">
              <w:rPr>
                <w:rFonts w:ascii="Verdana" w:hAnsi="Verdana"/>
                <w:sz w:val="16"/>
                <w:szCs w:val="16"/>
                <w:lang w:val="en-US"/>
              </w:rPr>
              <w:tab/>
              <w:t>calibration factor of each compound in the verification standard</w:t>
            </w:r>
          </w:p>
        </w:tc>
      </w:tr>
      <w:tr w:rsidR="000A49CB" w:rsidRPr="00F01347" w14:paraId="0E619321" w14:textId="538D08A6" w:rsidTr="0055550B">
        <w:tc>
          <w:tcPr>
            <w:tcW w:w="4675" w:type="dxa"/>
          </w:tcPr>
          <w:p w14:paraId="787728B5" w14:textId="77777777" w:rsidR="000A49CB" w:rsidRPr="00F01347" w:rsidRDefault="000A49CB" w:rsidP="000A49CB">
            <w:pPr>
              <w:pStyle w:val="texto0"/>
              <w:spacing w:after="80" w:line="220" w:lineRule="exact"/>
              <w:ind w:firstLine="0"/>
              <w:rPr>
                <w:rFonts w:ascii="Verdana" w:hAnsi="Verdana"/>
                <w:sz w:val="16"/>
                <w:szCs w:val="16"/>
              </w:rPr>
            </w:pPr>
            <w:r w:rsidRPr="00F01347">
              <w:rPr>
                <w:rFonts w:ascii="Verdana" w:hAnsi="Verdana"/>
                <w:sz w:val="16"/>
                <w:szCs w:val="16"/>
              </w:rPr>
              <w:t>CT</w:t>
            </w:r>
            <w:r w:rsidRPr="00F01347">
              <w:rPr>
                <w:rFonts w:ascii="Verdana" w:hAnsi="Verdana"/>
                <w:sz w:val="16"/>
                <w:szCs w:val="16"/>
              </w:rPr>
              <w:tab/>
              <w:t>factor de calibración del compuesto de la calibración inicial</w:t>
            </w:r>
          </w:p>
        </w:tc>
        <w:tc>
          <w:tcPr>
            <w:tcW w:w="4675" w:type="dxa"/>
          </w:tcPr>
          <w:p w14:paraId="6491B6D2" w14:textId="51434270" w:rsidR="000A49CB" w:rsidRPr="00F01347" w:rsidRDefault="000A49CB" w:rsidP="000A49CB">
            <w:pPr>
              <w:pStyle w:val="texto0"/>
              <w:spacing w:after="80" w:line="220" w:lineRule="exact"/>
              <w:ind w:firstLine="0"/>
              <w:rPr>
                <w:rFonts w:ascii="Verdana" w:hAnsi="Verdana"/>
                <w:sz w:val="16"/>
                <w:szCs w:val="16"/>
                <w:lang w:val="en-US"/>
              </w:rPr>
            </w:pPr>
            <w:r w:rsidRPr="00F01347">
              <w:rPr>
                <w:rFonts w:ascii="Verdana" w:hAnsi="Verdana"/>
                <w:sz w:val="16"/>
                <w:szCs w:val="16"/>
                <w:lang w:val="en-US"/>
              </w:rPr>
              <w:t xml:space="preserve">CT </w:t>
            </w:r>
            <w:r w:rsidRPr="00F01347">
              <w:rPr>
                <w:rFonts w:ascii="Verdana" w:hAnsi="Verdana"/>
                <w:sz w:val="16"/>
                <w:szCs w:val="16"/>
                <w:lang w:val="en-US"/>
              </w:rPr>
              <w:tab/>
              <w:t>compound calibration factor from initial calibration</w:t>
            </w:r>
          </w:p>
        </w:tc>
      </w:tr>
      <w:tr w:rsidR="000A49CB" w:rsidRPr="00F01347" w14:paraId="11D82F82" w14:textId="0277C64A" w:rsidTr="0055550B">
        <w:tc>
          <w:tcPr>
            <w:tcW w:w="4675" w:type="dxa"/>
          </w:tcPr>
          <w:p w14:paraId="505617B4" w14:textId="77777777" w:rsidR="000A49CB" w:rsidRPr="00F01347" w:rsidRDefault="000A49CB" w:rsidP="000A49CB">
            <w:pPr>
              <w:pStyle w:val="texto0"/>
              <w:spacing w:after="80" w:line="220" w:lineRule="exact"/>
              <w:ind w:firstLine="0"/>
              <w:rPr>
                <w:rFonts w:ascii="Verdana" w:hAnsi="Verdana"/>
                <w:sz w:val="16"/>
                <w:szCs w:val="16"/>
              </w:rPr>
            </w:pPr>
            <w:r w:rsidRPr="00F01347">
              <w:rPr>
                <w:rFonts w:ascii="Verdana" w:hAnsi="Verdana"/>
                <w:sz w:val="16"/>
                <w:szCs w:val="16"/>
              </w:rPr>
              <w:t>Si el criterio de aceptación para la diferencia porcentual es mayor al 15% se procederá a la revisión del sistema cromatográfico y a la preparación de la solución estándar utilizada.</w:t>
            </w:r>
          </w:p>
        </w:tc>
        <w:tc>
          <w:tcPr>
            <w:tcW w:w="4675" w:type="dxa"/>
          </w:tcPr>
          <w:p w14:paraId="47FEC3BF" w14:textId="4240E01C" w:rsidR="000A49CB" w:rsidRPr="00F01347" w:rsidRDefault="000A49CB" w:rsidP="000A49CB">
            <w:pPr>
              <w:pStyle w:val="texto0"/>
              <w:spacing w:after="80" w:line="220" w:lineRule="exact"/>
              <w:ind w:firstLine="0"/>
              <w:rPr>
                <w:rFonts w:ascii="Verdana" w:hAnsi="Verdana"/>
                <w:sz w:val="16"/>
                <w:szCs w:val="16"/>
                <w:lang w:val="en-US"/>
              </w:rPr>
            </w:pPr>
            <w:r w:rsidRPr="00F01347">
              <w:rPr>
                <w:rFonts w:ascii="Verdana" w:hAnsi="Verdana"/>
                <w:sz w:val="16"/>
                <w:szCs w:val="16"/>
                <w:lang w:val="en-US"/>
              </w:rPr>
              <w:t xml:space="preserve">If the acceptance criterion for the percentage difference is greater than 15%, the chromatographic system will be </w:t>
            </w:r>
            <w:r w:rsidR="0006497D" w:rsidRPr="00F01347">
              <w:rPr>
                <w:rFonts w:ascii="Verdana" w:hAnsi="Verdana"/>
                <w:sz w:val="16"/>
                <w:szCs w:val="16"/>
                <w:lang w:val="en-US"/>
              </w:rPr>
              <w:t>reviewed,</w:t>
            </w:r>
            <w:r w:rsidRPr="00F01347">
              <w:rPr>
                <w:rFonts w:ascii="Verdana" w:hAnsi="Verdana"/>
                <w:sz w:val="16"/>
                <w:szCs w:val="16"/>
                <w:lang w:val="en-US"/>
              </w:rPr>
              <w:t xml:space="preserve"> and the standard solution used will be prepared.</w:t>
            </w:r>
          </w:p>
        </w:tc>
      </w:tr>
      <w:tr w:rsidR="000A49CB" w:rsidRPr="00F01347" w14:paraId="6A647056" w14:textId="7AC4CC83" w:rsidTr="0055550B">
        <w:tc>
          <w:tcPr>
            <w:tcW w:w="4675" w:type="dxa"/>
          </w:tcPr>
          <w:p w14:paraId="2DA33CE9" w14:textId="77777777" w:rsidR="000A49CB" w:rsidRPr="00F01347" w:rsidRDefault="000A49CB" w:rsidP="000A49CB">
            <w:pPr>
              <w:pStyle w:val="texto0"/>
              <w:spacing w:after="80" w:line="220" w:lineRule="exact"/>
              <w:ind w:firstLine="0"/>
              <w:rPr>
                <w:rFonts w:ascii="Verdana" w:hAnsi="Verdana"/>
                <w:sz w:val="16"/>
                <w:szCs w:val="16"/>
              </w:rPr>
            </w:pPr>
            <w:r w:rsidRPr="00F01347">
              <w:rPr>
                <w:rFonts w:ascii="Verdana" w:hAnsi="Verdana"/>
                <w:b/>
                <w:sz w:val="16"/>
                <w:szCs w:val="16"/>
              </w:rPr>
              <w:t xml:space="preserve">B.5.8.1.3 </w:t>
            </w:r>
            <w:r w:rsidRPr="00F01347">
              <w:rPr>
                <w:rFonts w:ascii="Verdana" w:hAnsi="Verdana"/>
                <w:sz w:val="16"/>
                <w:szCs w:val="16"/>
              </w:rPr>
              <w:t xml:space="preserve">Verificación de contaminación de los reactivos. Los blancos de reactivos no deben presentar ningún tipo de contaminante al tiempo de retención de los ácidos </w:t>
            </w:r>
            <w:proofErr w:type="spellStart"/>
            <w:r w:rsidRPr="00F01347">
              <w:rPr>
                <w:rFonts w:ascii="Verdana" w:hAnsi="Verdana"/>
                <w:sz w:val="16"/>
                <w:szCs w:val="16"/>
              </w:rPr>
              <w:t>haloacéticos</w:t>
            </w:r>
            <w:proofErr w:type="spellEnd"/>
            <w:r w:rsidRPr="00F01347">
              <w:rPr>
                <w:rFonts w:ascii="Verdana" w:hAnsi="Verdana"/>
                <w:sz w:val="16"/>
                <w:szCs w:val="16"/>
              </w:rPr>
              <w:t xml:space="preserve"> medidos, por lo que es importante que los reactivos utilizados cumplan con las especificaciones mencionadas.</w:t>
            </w:r>
          </w:p>
        </w:tc>
        <w:tc>
          <w:tcPr>
            <w:tcW w:w="4675" w:type="dxa"/>
          </w:tcPr>
          <w:p w14:paraId="6AE6B253" w14:textId="0F8ACC6F" w:rsidR="000A49CB" w:rsidRPr="00F01347" w:rsidRDefault="000A49CB" w:rsidP="000A49CB">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 xml:space="preserve">B.5.8.1.3 </w:t>
            </w:r>
            <w:r w:rsidRPr="00F01347">
              <w:rPr>
                <w:rFonts w:ascii="Verdana" w:hAnsi="Verdana"/>
                <w:sz w:val="16"/>
                <w:szCs w:val="16"/>
                <w:lang w:val="en-US"/>
              </w:rPr>
              <w:t xml:space="preserve">Verification of reagent contamination. The reagent blanks must not present any type of contaminant at the retention time of the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acids measured, so it is important that the reagents used meet the </w:t>
            </w:r>
            <w:proofErr w:type="gramStart"/>
            <w:r w:rsidRPr="00F01347">
              <w:rPr>
                <w:rFonts w:ascii="Verdana" w:hAnsi="Verdana"/>
                <w:sz w:val="16"/>
                <w:szCs w:val="16"/>
                <w:lang w:val="en-US"/>
              </w:rPr>
              <w:t>aforementioned specifications</w:t>
            </w:r>
            <w:proofErr w:type="gramEnd"/>
            <w:r w:rsidRPr="00F01347">
              <w:rPr>
                <w:rFonts w:ascii="Verdana" w:hAnsi="Verdana"/>
                <w:sz w:val="16"/>
                <w:szCs w:val="16"/>
                <w:lang w:val="en-US"/>
              </w:rPr>
              <w:t>.</w:t>
            </w:r>
          </w:p>
        </w:tc>
      </w:tr>
      <w:tr w:rsidR="000A49CB" w:rsidRPr="00F01347" w14:paraId="09FA1724" w14:textId="073A4D33" w:rsidTr="0055550B">
        <w:tc>
          <w:tcPr>
            <w:tcW w:w="4675" w:type="dxa"/>
          </w:tcPr>
          <w:p w14:paraId="2A368E33" w14:textId="77777777" w:rsidR="000A49CB" w:rsidRPr="00F01347" w:rsidRDefault="000A49CB" w:rsidP="000A49CB">
            <w:pPr>
              <w:pStyle w:val="texto0"/>
              <w:spacing w:after="80" w:line="220" w:lineRule="exact"/>
              <w:ind w:firstLine="0"/>
              <w:rPr>
                <w:rFonts w:ascii="Verdana" w:hAnsi="Verdana"/>
                <w:sz w:val="16"/>
                <w:szCs w:val="16"/>
              </w:rPr>
            </w:pPr>
            <w:r w:rsidRPr="00F01347">
              <w:rPr>
                <w:rFonts w:ascii="Verdana" w:hAnsi="Verdana"/>
                <w:sz w:val="16"/>
                <w:szCs w:val="16"/>
              </w:rPr>
              <w:t xml:space="preserve">Si los resultados de los blancos indican contaminación con picos a T.R. de los ácidos </w:t>
            </w:r>
            <w:proofErr w:type="spellStart"/>
            <w:r w:rsidRPr="00F01347">
              <w:rPr>
                <w:rFonts w:ascii="Verdana" w:hAnsi="Verdana"/>
                <w:sz w:val="16"/>
                <w:szCs w:val="16"/>
              </w:rPr>
              <w:t>haloacéticos</w:t>
            </w:r>
            <w:proofErr w:type="spellEnd"/>
            <w:r w:rsidRPr="00F01347">
              <w:rPr>
                <w:rFonts w:ascii="Verdana" w:hAnsi="Verdana"/>
                <w:sz w:val="16"/>
                <w:szCs w:val="16"/>
              </w:rPr>
              <w:t xml:space="preserve">, </w:t>
            </w:r>
            <w:proofErr w:type="gramStart"/>
            <w:r w:rsidRPr="00F01347">
              <w:rPr>
                <w:rFonts w:ascii="Verdana" w:hAnsi="Verdana"/>
                <w:sz w:val="16"/>
                <w:szCs w:val="16"/>
              </w:rPr>
              <w:t>ésta</w:t>
            </w:r>
            <w:proofErr w:type="gramEnd"/>
            <w:r w:rsidRPr="00F01347">
              <w:rPr>
                <w:rFonts w:ascii="Verdana" w:hAnsi="Verdana"/>
                <w:sz w:val="16"/>
                <w:szCs w:val="16"/>
              </w:rPr>
              <w:t xml:space="preserve"> contaminación debe ser menor a los límites de regulación asociada a los ácidos </w:t>
            </w:r>
            <w:proofErr w:type="spellStart"/>
            <w:r w:rsidRPr="00F01347">
              <w:rPr>
                <w:rFonts w:ascii="Verdana" w:hAnsi="Verdana"/>
                <w:sz w:val="16"/>
                <w:szCs w:val="16"/>
              </w:rPr>
              <w:t>haloacéticos</w:t>
            </w:r>
            <w:proofErr w:type="spellEnd"/>
            <w:r w:rsidRPr="00F01347">
              <w:rPr>
                <w:rFonts w:ascii="Verdana" w:hAnsi="Verdana"/>
                <w:sz w:val="16"/>
                <w:szCs w:val="16"/>
              </w:rPr>
              <w:t xml:space="preserve"> o menor al 5% de los resultados de los mismos en las muestras.</w:t>
            </w:r>
          </w:p>
        </w:tc>
        <w:tc>
          <w:tcPr>
            <w:tcW w:w="4675" w:type="dxa"/>
          </w:tcPr>
          <w:p w14:paraId="62B04144" w14:textId="5A300DD6" w:rsidR="000A49CB" w:rsidRPr="00F01347" w:rsidRDefault="000A49CB" w:rsidP="000A49CB">
            <w:pPr>
              <w:pStyle w:val="texto0"/>
              <w:spacing w:after="80" w:line="220" w:lineRule="exact"/>
              <w:ind w:firstLine="0"/>
              <w:rPr>
                <w:rFonts w:ascii="Verdana" w:hAnsi="Verdana"/>
                <w:sz w:val="16"/>
                <w:szCs w:val="16"/>
                <w:lang w:val="en-US"/>
              </w:rPr>
            </w:pPr>
            <w:r w:rsidRPr="00F01347">
              <w:rPr>
                <w:rFonts w:ascii="Verdana" w:hAnsi="Verdana"/>
                <w:sz w:val="16"/>
                <w:szCs w:val="16"/>
                <w:lang w:val="en-US"/>
              </w:rPr>
              <w:t xml:space="preserve">If the results of the blanks indicate contamination with TR peaks of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acids</w:t>
            </w:r>
            <w:r w:rsidR="003E1BA9" w:rsidRPr="00F01347">
              <w:rPr>
                <w:rFonts w:ascii="Verdana" w:hAnsi="Verdana"/>
                <w:sz w:val="16"/>
                <w:szCs w:val="16"/>
                <w:lang w:val="en-US"/>
              </w:rPr>
              <w:t>,</w:t>
            </w:r>
            <w:r w:rsidRPr="00F01347">
              <w:rPr>
                <w:rFonts w:ascii="Verdana" w:hAnsi="Verdana"/>
                <w:sz w:val="16"/>
                <w:szCs w:val="16"/>
                <w:lang w:val="en-US"/>
              </w:rPr>
              <w:t xml:space="preserve"> this contamination must be less than the regulation limits associated with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acids or less than 5% of their results in the samples.</w:t>
            </w:r>
          </w:p>
        </w:tc>
      </w:tr>
      <w:tr w:rsidR="000A49CB" w:rsidRPr="00F01347" w14:paraId="44873EA2" w14:textId="1E20CE0B" w:rsidTr="0055550B">
        <w:tc>
          <w:tcPr>
            <w:tcW w:w="4675" w:type="dxa"/>
          </w:tcPr>
          <w:p w14:paraId="5A568709" w14:textId="77777777" w:rsidR="000A49CB" w:rsidRPr="00F01347" w:rsidRDefault="000A49CB" w:rsidP="000A49CB">
            <w:pPr>
              <w:pStyle w:val="texto0"/>
              <w:spacing w:after="80" w:line="220" w:lineRule="exact"/>
              <w:ind w:firstLine="0"/>
              <w:rPr>
                <w:rFonts w:ascii="Verdana" w:hAnsi="Verdana"/>
                <w:sz w:val="16"/>
                <w:szCs w:val="16"/>
              </w:rPr>
            </w:pPr>
            <w:r w:rsidRPr="00F01347">
              <w:rPr>
                <w:rFonts w:ascii="Verdana" w:hAnsi="Verdana"/>
                <w:sz w:val="16"/>
                <w:szCs w:val="16"/>
              </w:rPr>
              <w:t>Si los resultados de los blancos no cumplen con los criterios mencionados debe localizar la fuente de contaminación y extraer y analizar nuevamente las muestras asociadas al blanco contaminado.</w:t>
            </w:r>
          </w:p>
        </w:tc>
        <w:tc>
          <w:tcPr>
            <w:tcW w:w="4675" w:type="dxa"/>
          </w:tcPr>
          <w:p w14:paraId="6B8D2C2C" w14:textId="2C038B5E" w:rsidR="000A49CB" w:rsidRPr="00F01347" w:rsidRDefault="000A49CB" w:rsidP="000A49CB">
            <w:pPr>
              <w:pStyle w:val="texto0"/>
              <w:spacing w:after="80" w:line="220" w:lineRule="exact"/>
              <w:ind w:firstLine="0"/>
              <w:rPr>
                <w:rFonts w:ascii="Verdana" w:hAnsi="Verdana"/>
                <w:sz w:val="16"/>
                <w:szCs w:val="16"/>
                <w:lang w:val="en-US"/>
              </w:rPr>
            </w:pPr>
            <w:r w:rsidRPr="00F01347">
              <w:rPr>
                <w:rFonts w:ascii="Verdana" w:hAnsi="Verdana"/>
                <w:sz w:val="16"/>
                <w:szCs w:val="16"/>
                <w:lang w:val="en-US"/>
              </w:rPr>
              <w:t xml:space="preserve">If the results of the blanks do not meet the </w:t>
            </w:r>
            <w:proofErr w:type="gramStart"/>
            <w:r w:rsidRPr="00F01347">
              <w:rPr>
                <w:rFonts w:ascii="Verdana" w:hAnsi="Verdana"/>
                <w:sz w:val="16"/>
                <w:szCs w:val="16"/>
                <w:lang w:val="en-US"/>
              </w:rPr>
              <w:t>aforementioned criteria</w:t>
            </w:r>
            <w:proofErr w:type="gramEnd"/>
            <w:r w:rsidRPr="00F01347">
              <w:rPr>
                <w:rFonts w:ascii="Verdana" w:hAnsi="Verdana"/>
                <w:sz w:val="16"/>
                <w:szCs w:val="16"/>
                <w:lang w:val="en-US"/>
              </w:rPr>
              <w:t xml:space="preserve">, </w:t>
            </w:r>
            <w:r w:rsidR="004A6BE5" w:rsidRPr="00F01347">
              <w:rPr>
                <w:rFonts w:ascii="Verdana" w:hAnsi="Verdana"/>
                <w:sz w:val="16"/>
                <w:szCs w:val="16"/>
                <w:lang w:val="en-US"/>
              </w:rPr>
              <w:t>one</w:t>
            </w:r>
            <w:r w:rsidRPr="00F01347">
              <w:rPr>
                <w:rFonts w:ascii="Verdana" w:hAnsi="Verdana"/>
                <w:sz w:val="16"/>
                <w:szCs w:val="16"/>
                <w:lang w:val="en-US"/>
              </w:rPr>
              <w:t xml:space="preserve"> must locate the source of contamination and extract and reanalyze the samples associated with the contaminated blank.</w:t>
            </w:r>
          </w:p>
        </w:tc>
      </w:tr>
      <w:tr w:rsidR="000A49CB" w:rsidRPr="00F01347" w14:paraId="63AFE217" w14:textId="78A8A7C8" w:rsidTr="0055550B">
        <w:tc>
          <w:tcPr>
            <w:tcW w:w="4675" w:type="dxa"/>
          </w:tcPr>
          <w:p w14:paraId="137AA8F1" w14:textId="77777777" w:rsidR="000A49CB" w:rsidRPr="00F01347" w:rsidRDefault="000A49CB" w:rsidP="000A49CB">
            <w:pPr>
              <w:pStyle w:val="texto0"/>
              <w:spacing w:after="80" w:line="220" w:lineRule="exact"/>
              <w:ind w:firstLine="0"/>
              <w:rPr>
                <w:rFonts w:ascii="Verdana" w:hAnsi="Verdana"/>
                <w:sz w:val="16"/>
                <w:szCs w:val="16"/>
              </w:rPr>
            </w:pPr>
            <w:r w:rsidRPr="00F01347">
              <w:rPr>
                <w:rFonts w:ascii="Verdana" w:hAnsi="Verdana"/>
                <w:sz w:val="16"/>
                <w:szCs w:val="16"/>
              </w:rPr>
              <w:t>Use también los blancos de reactivos para verificar la contaminación por arrastre de muestras con altas concentraciones en análisis secuenciales.</w:t>
            </w:r>
          </w:p>
        </w:tc>
        <w:tc>
          <w:tcPr>
            <w:tcW w:w="4675" w:type="dxa"/>
          </w:tcPr>
          <w:p w14:paraId="79398F06" w14:textId="5DB655F7" w:rsidR="000A49CB" w:rsidRPr="00F01347" w:rsidRDefault="000A49CB" w:rsidP="000A49CB">
            <w:pPr>
              <w:pStyle w:val="texto0"/>
              <w:spacing w:after="80" w:line="220" w:lineRule="exact"/>
              <w:ind w:firstLine="0"/>
              <w:rPr>
                <w:rFonts w:ascii="Verdana" w:hAnsi="Verdana"/>
                <w:sz w:val="16"/>
                <w:szCs w:val="16"/>
                <w:lang w:val="en-US"/>
              </w:rPr>
            </w:pPr>
            <w:r w:rsidRPr="00F01347">
              <w:rPr>
                <w:rFonts w:ascii="Verdana" w:hAnsi="Verdana"/>
                <w:sz w:val="16"/>
                <w:szCs w:val="16"/>
                <w:lang w:val="en-US"/>
              </w:rPr>
              <w:t>Also use reagent blanks to check for carryover contamination of samples with high concentrations in sequential analyses.</w:t>
            </w:r>
          </w:p>
        </w:tc>
      </w:tr>
      <w:tr w:rsidR="000A49CB" w:rsidRPr="00F01347" w14:paraId="1CA12B25" w14:textId="740F8049" w:rsidTr="0055550B">
        <w:tc>
          <w:tcPr>
            <w:tcW w:w="4675" w:type="dxa"/>
          </w:tcPr>
          <w:p w14:paraId="6D818390" w14:textId="77777777" w:rsidR="000A49CB" w:rsidRPr="00F01347" w:rsidRDefault="000A49CB" w:rsidP="000A49CB">
            <w:pPr>
              <w:pStyle w:val="texto0"/>
              <w:spacing w:after="80" w:line="220" w:lineRule="exact"/>
              <w:ind w:firstLine="0"/>
              <w:rPr>
                <w:rFonts w:ascii="Verdana" w:hAnsi="Verdana"/>
                <w:sz w:val="16"/>
                <w:szCs w:val="16"/>
              </w:rPr>
            </w:pPr>
            <w:r w:rsidRPr="00F01347">
              <w:rPr>
                <w:rFonts w:ascii="Verdana" w:hAnsi="Verdana"/>
                <w:b/>
                <w:sz w:val="16"/>
                <w:szCs w:val="16"/>
              </w:rPr>
              <w:t xml:space="preserve">B.5.8.1.4 </w:t>
            </w:r>
            <w:r w:rsidRPr="00F01347">
              <w:rPr>
                <w:rFonts w:ascii="Verdana" w:hAnsi="Verdana"/>
                <w:sz w:val="16"/>
                <w:szCs w:val="16"/>
              </w:rPr>
              <w:t>Verificación del lote analítico.</w:t>
            </w:r>
            <w:r w:rsidRPr="00F01347">
              <w:rPr>
                <w:rFonts w:ascii="Verdana" w:hAnsi="Verdana"/>
                <w:b/>
                <w:sz w:val="16"/>
                <w:szCs w:val="16"/>
              </w:rPr>
              <w:t xml:space="preserve"> </w:t>
            </w:r>
            <w:r w:rsidRPr="00F01347">
              <w:rPr>
                <w:rFonts w:ascii="Verdana" w:hAnsi="Verdana"/>
                <w:sz w:val="16"/>
                <w:szCs w:val="16"/>
              </w:rPr>
              <w:t xml:space="preserve">Por cada lote analítico se analice una muestra de control de calidad y se calcula el % de recuperación de cada analito y </w:t>
            </w:r>
            <w:proofErr w:type="spellStart"/>
            <w:r w:rsidRPr="00F01347">
              <w:rPr>
                <w:rFonts w:ascii="Verdana" w:hAnsi="Verdana"/>
                <w:sz w:val="16"/>
                <w:szCs w:val="16"/>
              </w:rPr>
              <w:lastRenderedPageBreak/>
              <w:t>surrogados</w:t>
            </w:r>
            <w:proofErr w:type="spellEnd"/>
            <w:r w:rsidRPr="00F01347">
              <w:rPr>
                <w:rFonts w:ascii="Verdana" w:hAnsi="Verdana"/>
                <w:sz w:val="16"/>
                <w:szCs w:val="16"/>
              </w:rPr>
              <w:t xml:space="preserve"> de la muestra control, los cuales deberán estar dentro del rango de 70 a 130%. De no ser así se revisará la preparación de la muestra control y el sistema cromatográfico. Realizar la corrección necesaria y reanalizar la muestra control.</w:t>
            </w:r>
          </w:p>
        </w:tc>
        <w:tc>
          <w:tcPr>
            <w:tcW w:w="4675" w:type="dxa"/>
          </w:tcPr>
          <w:p w14:paraId="11B972D3" w14:textId="370CD619" w:rsidR="000A49CB" w:rsidRPr="00F01347" w:rsidRDefault="000A49CB" w:rsidP="000A49CB">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lastRenderedPageBreak/>
              <w:t xml:space="preserve">B.5.8.1.4 </w:t>
            </w:r>
            <w:r w:rsidRPr="00F01347">
              <w:rPr>
                <w:rFonts w:ascii="Verdana" w:hAnsi="Verdana"/>
                <w:sz w:val="16"/>
                <w:szCs w:val="16"/>
                <w:lang w:val="en-US"/>
              </w:rPr>
              <w:t>Verification of the analytical batch.</w:t>
            </w:r>
            <w:r w:rsidRPr="00F01347">
              <w:rPr>
                <w:rFonts w:ascii="Verdana" w:hAnsi="Verdana"/>
                <w:b/>
                <w:sz w:val="16"/>
                <w:szCs w:val="16"/>
                <w:lang w:val="en-US"/>
              </w:rPr>
              <w:t xml:space="preserve"> </w:t>
            </w:r>
            <w:r w:rsidRPr="00F01347">
              <w:rPr>
                <w:rFonts w:ascii="Verdana" w:hAnsi="Verdana"/>
                <w:sz w:val="16"/>
                <w:szCs w:val="16"/>
                <w:lang w:val="en-US"/>
              </w:rPr>
              <w:t xml:space="preserve">For each analytical batch, a quality control sample is analyzed and the % recovery of each analyte and surrogates from </w:t>
            </w:r>
            <w:r w:rsidRPr="00F01347">
              <w:rPr>
                <w:rFonts w:ascii="Verdana" w:hAnsi="Verdana"/>
                <w:sz w:val="16"/>
                <w:szCs w:val="16"/>
                <w:lang w:val="en-US"/>
              </w:rPr>
              <w:lastRenderedPageBreak/>
              <w:t>the control sample is calculated, which should be within the range of 70 to 130%. If not, the preparation of the control sample and the chromatographic system will be reviewed. Make the necessary correction and reanalyze the control sample.</w:t>
            </w:r>
          </w:p>
        </w:tc>
      </w:tr>
      <w:tr w:rsidR="000A49CB" w:rsidRPr="00F01347" w14:paraId="31A1D9CE" w14:textId="6DF726C7" w:rsidTr="0055550B">
        <w:tc>
          <w:tcPr>
            <w:tcW w:w="4675" w:type="dxa"/>
          </w:tcPr>
          <w:p w14:paraId="6E00D96B" w14:textId="77777777" w:rsidR="000A49CB" w:rsidRPr="00F01347" w:rsidRDefault="000A49CB" w:rsidP="000A49CB">
            <w:pPr>
              <w:pStyle w:val="texto0"/>
              <w:spacing w:after="80" w:line="220" w:lineRule="exact"/>
              <w:ind w:firstLine="0"/>
              <w:rPr>
                <w:rFonts w:ascii="Verdana" w:hAnsi="Verdana"/>
                <w:sz w:val="16"/>
                <w:szCs w:val="16"/>
              </w:rPr>
            </w:pPr>
            <w:r w:rsidRPr="00F01347">
              <w:rPr>
                <w:rFonts w:ascii="Verdana" w:hAnsi="Verdana"/>
                <w:b/>
                <w:sz w:val="16"/>
                <w:szCs w:val="16"/>
              </w:rPr>
              <w:lastRenderedPageBreak/>
              <w:t xml:space="preserve">B.5.8.1.5 </w:t>
            </w:r>
            <w:r w:rsidRPr="00F01347">
              <w:rPr>
                <w:rFonts w:ascii="Verdana" w:hAnsi="Verdana"/>
                <w:sz w:val="16"/>
                <w:szCs w:val="16"/>
              </w:rPr>
              <w:t>Verificación de interferencias de matriz. La verificación de interferencias por parte de la muestra se lleva a cabo mediante las muestras fortificadas. El laboratorio debe realizar el análisis de muestras fortificadas y muestras duplicadas, fortificar una muestra por cada lote. Las muestras fortificadas y muestras duplicadas sólo se analizarán cuando por las características de la muestra se sospeche de interferencias de matriz o donde sean parte de un plan de aseguramiento de calidad de un proyecto.</w:t>
            </w:r>
          </w:p>
        </w:tc>
        <w:tc>
          <w:tcPr>
            <w:tcW w:w="4675" w:type="dxa"/>
          </w:tcPr>
          <w:p w14:paraId="3D97A358" w14:textId="027E501B" w:rsidR="000A49CB" w:rsidRPr="00F01347" w:rsidRDefault="000A49CB" w:rsidP="000A49CB">
            <w:pPr>
              <w:pStyle w:val="texto0"/>
              <w:spacing w:after="80" w:line="220" w:lineRule="exact"/>
              <w:ind w:firstLine="0"/>
              <w:rPr>
                <w:rFonts w:ascii="Verdana" w:hAnsi="Verdana"/>
                <w:b/>
                <w:sz w:val="16"/>
                <w:szCs w:val="16"/>
                <w:lang w:val="en-US"/>
              </w:rPr>
            </w:pPr>
            <w:r w:rsidRPr="00F01347">
              <w:rPr>
                <w:rFonts w:ascii="Verdana" w:hAnsi="Verdana"/>
                <w:b/>
                <w:sz w:val="16"/>
                <w:szCs w:val="16"/>
                <w:lang w:val="en-US"/>
              </w:rPr>
              <w:t xml:space="preserve">B.5.8.1.5 </w:t>
            </w:r>
            <w:r w:rsidRPr="00F01347">
              <w:rPr>
                <w:rFonts w:ascii="Verdana" w:hAnsi="Verdana"/>
                <w:sz w:val="16"/>
                <w:szCs w:val="16"/>
                <w:lang w:val="en-US"/>
              </w:rPr>
              <w:t>Matrix interference verification. Interference verification by sample is carried out using the spiked samples. The laboratory must perform the analysis of fortified samples and duplicate samples, fortifying one sample for each batch. Fortified samples and duplicate samples will only be analyzed when due to the characteristics of the sample, matrix interferences are suspected or where they are part of a project quality assurance plan.</w:t>
            </w:r>
          </w:p>
        </w:tc>
      </w:tr>
      <w:tr w:rsidR="000A49CB" w:rsidRPr="00F01347" w14:paraId="50651CC4" w14:textId="27CDE7AE" w:rsidTr="0055550B">
        <w:tc>
          <w:tcPr>
            <w:tcW w:w="4675" w:type="dxa"/>
          </w:tcPr>
          <w:p w14:paraId="292D7819" w14:textId="77777777" w:rsidR="000A49CB" w:rsidRPr="00F01347" w:rsidRDefault="000A49CB" w:rsidP="000A49CB">
            <w:pPr>
              <w:pStyle w:val="texto0"/>
              <w:spacing w:after="80" w:line="220" w:lineRule="exact"/>
              <w:ind w:firstLine="0"/>
              <w:rPr>
                <w:rFonts w:ascii="Verdana" w:hAnsi="Verdana"/>
                <w:sz w:val="16"/>
                <w:szCs w:val="16"/>
              </w:rPr>
            </w:pPr>
            <w:r w:rsidRPr="00F01347">
              <w:rPr>
                <w:rFonts w:ascii="Verdana" w:hAnsi="Verdana"/>
                <w:sz w:val="16"/>
                <w:szCs w:val="16"/>
              </w:rPr>
              <w:t>Para determinar el efecto de la matriz en el recobro del analito. Debe analizar una muestra fortificada por cada lote de muestras. Calcular el % de recobro, el cual debe encontrarse dentro del 70 al 130%. Si los valores no cumplen con lo especificado, el sistema analítico está fuera de control, determine las causas y corrija el problema. Documente las incidencias y acciones correctivas.</w:t>
            </w:r>
          </w:p>
        </w:tc>
        <w:tc>
          <w:tcPr>
            <w:tcW w:w="4675" w:type="dxa"/>
          </w:tcPr>
          <w:p w14:paraId="213DB79C" w14:textId="55190EDD" w:rsidR="000A49CB" w:rsidRPr="00F01347" w:rsidRDefault="000A49CB" w:rsidP="000A49CB">
            <w:pPr>
              <w:pStyle w:val="texto0"/>
              <w:spacing w:after="80" w:line="220" w:lineRule="exact"/>
              <w:ind w:firstLine="0"/>
              <w:rPr>
                <w:rFonts w:ascii="Verdana" w:hAnsi="Verdana"/>
                <w:sz w:val="16"/>
                <w:szCs w:val="16"/>
                <w:lang w:val="en-US"/>
              </w:rPr>
            </w:pPr>
            <w:r w:rsidRPr="00F01347">
              <w:rPr>
                <w:rFonts w:ascii="Verdana" w:hAnsi="Verdana"/>
                <w:sz w:val="16"/>
                <w:szCs w:val="16"/>
                <w:lang w:val="en-US"/>
              </w:rPr>
              <w:t xml:space="preserve">To determine the effect of the matrix on the recovery of the analyte. </w:t>
            </w:r>
            <w:r w:rsidR="004A6BE5" w:rsidRPr="00F01347">
              <w:rPr>
                <w:rFonts w:ascii="Verdana" w:hAnsi="Verdana"/>
                <w:sz w:val="16"/>
                <w:szCs w:val="16"/>
                <w:lang w:val="en-US"/>
              </w:rPr>
              <w:t>One</w:t>
            </w:r>
            <w:r w:rsidRPr="00F01347">
              <w:rPr>
                <w:rFonts w:ascii="Verdana" w:hAnsi="Verdana"/>
                <w:sz w:val="16"/>
                <w:szCs w:val="16"/>
                <w:lang w:val="en-US"/>
              </w:rPr>
              <w:t xml:space="preserve"> must analyze one fortified sample per batch of samples. Calculate the % recovery, which should be within 70 to 130%. If the values do not meet the specifications, the analytical system is out of control, determine the causes and correct the problem. Document incidents and corrective actions.</w:t>
            </w:r>
          </w:p>
        </w:tc>
      </w:tr>
      <w:tr w:rsidR="000A49CB" w:rsidRPr="00F01347" w14:paraId="667CED95" w14:textId="67CFF40E" w:rsidTr="0055550B">
        <w:tc>
          <w:tcPr>
            <w:tcW w:w="4675" w:type="dxa"/>
          </w:tcPr>
          <w:p w14:paraId="520D6232" w14:textId="77777777" w:rsidR="000A49CB" w:rsidRPr="00F01347" w:rsidRDefault="000A49CB" w:rsidP="000A49CB">
            <w:pPr>
              <w:pStyle w:val="texto0"/>
              <w:spacing w:after="80"/>
              <w:ind w:firstLine="0"/>
              <w:rPr>
                <w:rFonts w:ascii="Verdana" w:hAnsi="Verdana"/>
                <w:sz w:val="16"/>
                <w:szCs w:val="16"/>
              </w:rPr>
            </w:pPr>
            <w:r w:rsidRPr="00F01347">
              <w:rPr>
                <w:rFonts w:ascii="Verdana" w:hAnsi="Verdana"/>
                <w:sz w:val="16"/>
                <w:szCs w:val="16"/>
              </w:rPr>
              <w:t>Para determinar el efecto de la matriz en la precisión del analito - precisión de la matriz duplicada. Analizar una muestra duplicada. Calcular la diferencia porcentual relativa, también llamada DPR, entre la muestra y se duplicada para cada analito, con la siguiente ecuación:</w:t>
            </w:r>
          </w:p>
        </w:tc>
        <w:tc>
          <w:tcPr>
            <w:tcW w:w="4675" w:type="dxa"/>
          </w:tcPr>
          <w:p w14:paraId="2FD2A58A" w14:textId="543F641F" w:rsidR="000A49CB" w:rsidRPr="00F01347" w:rsidRDefault="000A49CB" w:rsidP="000A49CB">
            <w:pPr>
              <w:pStyle w:val="texto0"/>
              <w:spacing w:after="80"/>
              <w:ind w:firstLine="0"/>
              <w:rPr>
                <w:rFonts w:ascii="Verdana" w:hAnsi="Verdana"/>
                <w:sz w:val="16"/>
                <w:szCs w:val="16"/>
                <w:lang w:val="en-US"/>
              </w:rPr>
            </w:pPr>
            <w:r w:rsidRPr="00F01347">
              <w:rPr>
                <w:rFonts w:ascii="Verdana" w:hAnsi="Verdana"/>
                <w:sz w:val="16"/>
                <w:szCs w:val="16"/>
                <w:lang w:val="en-US"/>
              </w:rPr>
              <w:t>To determine the effect of matrix on analyte precision - duplicate matrix precision. Analyze a duplicate sample. Calculate the relative percentage difference, also called RPD, between the sample and duplicate for each analyte, with the following equation:</w:t>
            </w:r>
          </w:p>
        </w:tc>
      </w:tr>
    </w:tbl>
    <w:p w14:paraId="6403CE2F" w14:textId="25805CB0" w:rsidR="00A74CDF" w:rsidRPr="00F01347" w:rsidRDefault="00471638" w:rsidP="00837791">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692108F7" wp14:editId="4F590778">
            <wp:extent cx="1371600" cy="447675"/>
            <wp:effectExtent l="0" t="0" r="0" b="0"/>
            <wp:docPr id="42"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71600" cy="4476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70ED3" w:rsidRPr="00F01347" w14:paraId="63E2B8FD" w14:textId="2646D6D5" w:rsidTr="00837791">
        <w:tc>
          <w:tcPr>
            <w:tcW w:w="4675" w:type="dxa"/>
          </w:tcPr>
          <w:p w14:paraId="051A7AB9" w14:textId="77777777" w:rsidR="00A70ED3" w:rsidRPr="00F01347" w:rsidRDefault="00A70ED3" w:rsidP="00A70ED3">
            <w:pPr>
              <w:pStyle w:val="texto0"/>
              <w:spacing w:line="210" w:lineRule="exact"/>
              <w:ind w:firstLine="0"/>
              <w:rPr>
                <w:rFonts w:ascii="Verdana" w:hAnsi="Verdana"/>
                <w:b/>
                <w:bCs/>
                <w:sz w:val="16"/>
                <w:szCs w:val="16"/>
              </w:rPr>
            </w:pPr>
            <w:r w:rsidRPr="00F01347">
              <w:rPr>
                <w:rFonts w:ascii="Verdana" w:hAnsi="Verdana"/>
                <w:b/>
                <w:bCs/>
                <w:sz w:val="16"/>
                <w:szCs w:val="16"/>
              </w:rPr>
              <w:t>En donde:</w:t>
            </w:r>
          </w:p>
        </w:tc>
        <w:tc>
          <w:tcPr>
            <w:tcW w:w="4675" w:type="dxa"/>
          </w:tcPr>
          <w:p w14:paraId="06AC7523" w14:textId="7FD21354" w:rsidR="00A70ED3" w:rsidRPr="00F01347" w:rsidRDefault="00A70ED3" w:rsidP="00A70ED3">
            <w:pPr>
              <w:pStyle w:val="texto0"/>
              <w:spacing w:line="210" w:lineRule="exact"/>
              <w:ind w:firstLine="0"/>
              <w:rPr>
                <w:rFonts w:ascii="Verdana" w:hAnsi="Verdana"/>
                <w:b/>
                <w:bCs/>
                <w:sz w:val="16"/>
                <w:szCs w:val="16"/>
                <w:lang w:val="en-US"/>
              </w:rPr>
            </w:pPr>
            <w:r w:rsidRPr="00F01347">
              <w:rPr>
                <w:rFonts w:ascii="Verdana" w:hAnsi="Verdana"/>
                <w:b/>
                <w:bCs/>
                <w:sz w:val="16"/>
                <w:szCs w:val="16"/>
                <w:lang w:val="en-US"/>
              </w:rPr>
              <w:t>Where:</w:t>
            </w:r>
          </w:p>
        </w:tc>
      </w:tr>
      <w:tr w:rsidR="00A70ED3" w:rsidRPr="00F01347" w14:paraId="1C4D0797" w14:textId="192CA594" w:rsidTr="00837791">
        <w:tc>
          <w:tcPr>
            <w:tcW w:w="4675" w:type="dxa"/>
          </w:tcPr>
          <w:p w14:paraId="0BDF9B14" w14:textId="77777777" w:rsidR="00A70ED3" w:rsidRPr="00F01347" w:rsidRDefault="00A70ED3" w:rsidP="00A70ED3">
            <w:pPr>
              <w:pStyle w:val="texto0"/>
              <w:spacing w:line="210" w:lineRule="exact"/>
              <w:ind w:firstLine="0"/>
              <w:rPr>
                <w:rFonts w:ascii="Verdana" w:hAnsi="Verdana"/>
                <w:sz w:val="16"/>
                <w:szCs w:val="16"/>
              </w:rPr>
            </w:pPr>
            <w:r w:rsidRPr="00F01347">
              <w:rPr>
                <w:rFonts w:ascii="Verdana" w:hAnsi="Verdana"/>
                <w:sz w:val="16"/>
                <w:szCs w:val="16"/>
              </w:rPr>
              <w:t>C1</w:t>
            </w:r>
            <w:r w:rsidRPr="00F01347">
              <w:rPr>
                <w:rFonts w:ascii="Verdana" w:hAnsi="Verdana"/>
                <w:sz w:val="16"/>
                <w:szCs w:val="16"/>
              </w:rPr>
              <w:tab/>
              <w:t>concentración de la primera muestra</w:t>
            </w:r>
          </w:p>
        </w:tc>
        <w:tc>
          <w:tcPr>
            <w:tcW w:w="4675" w:type="dxa"/>
          </w:tcPr>
          <w:p w14:paraId="60D8CE0B" w14:textId="393C6F08" w:rsidR="00A70ED3" w:rsidRPr="00F01347" w:rsidRDefault="00A70ED3" w:rsidP="00A70ED3">
            <w:pPr>
              <w:pStyle w:val="texto0"/>
              <w:spacing w:line="210" w:lineRule="exact"/>
              <w:ind w:firstLine="0"/>
              <w:rPr>
                <w:rFonts w:ascii="Verdana" w:hAnsi="Verdana"/>
                <w:sz w:val="16"/>
                <w:szCs w:val="16"/>
                <w:lang w:val="en-US"/>
              </w:rPr>
            </w:pPr>
            <w:r w:rsidRPr="00F01347">
              <w:rPr>
                <w:rFonts w:ascii="Verdana" w:hAnsi="Verdana"/>
                <w:sz w:val="16"/>
                <w:szCs w:val="16"/>
                <w:lang w:val="en-US"/>
              </w:rPr>
              <w:t xml:space="preserve">C1 </w:t>
            </w:r>
            <w:r w:rsidRPr="00F01347">
              <w:rPr>
                <w:rFonts w:ascii="Verdana" w:hAnsi="Verdana"/>
                <w:sz w:val="16"/>
                <w:szCs w:val="16"/>
                <w:lang w:val="en-US"/>
              </w:rPr>
              <w:tab/>
              <w:t>concentration of the first sample</w:t>
            </w:r>
          </w:p>
        </w:tc>
      </w:tr>
      <w:tr w:rsidR="00A70ED3" w:rsidRPr="00F01347" w14:paraId="04CA7487" w14:textId="17123B89" w:rsidTr="00837791">
        <w:tc>
          <w:tcPr>
            <w:tcW w:w="4675" w:type="dxa"/>
          </w:tcPr>
          <w:p w14:paraId="5228DD9B" w14:textId="77777777" w:rsidR="00A70ED3" w:rsidRPr="00F01347" w:rsidRDefault="00A70ED3" w:rsidP="00A70ED3">
            <w:pPr>
              <w:pStyle w:val="texto0"/>
              <w:spacing w:line="210" w:lineRule="exact"/>
              <w:ind w:firstLine="0"/>
              <w:rPr>
                <w:rFonts w:ascii="Verdana" w:hAnsi="Verdana"/>
                <w:sz w:val="16"/>
                <w:szCs w:val="16"/>
              </w:rPr>
            </w:pPr>
            <w:r w:rsidRPr="00F01347">
              <w:rPr>
                <w:rFonts w:ascii="Verdana" w:hAnsi="Verdana"/>
                <w:sz w:val="16"/>
                <w:szCs w:val="16"/>
              </w:rPr>
              <w:t>C2</w:t>
            </w:r>
            <w:r w:rsidRPr="00F01347">
              <w:rPr>
                <w:rFonts w:ascii="Verdana" w:hAnsi="Verdana"/>
                <w:sz w:val="16"/>
                <w:szCs w:val="16"/>
              </w:rPr>
              <w:tab/>
              <w:t>concentración de la segunda muestra (muestra duplicada)</w:t>
            </w:r>
          </w:p>
        </w:tc>
        <w:tc>
          <w:tcPr>
            <w:tcW w:w="4675" w:type="dxa"/>
          </w:tcPr>
          <w:p w14:paraId="3182A886" w14:textId="5E7C66F0" w:rsidR="00A70ED3" w:rsidRPr="00F01347" w:rsidRDefault="00A70ED3" w:rsidP="00A70ED3">
            <w:pPr>
              <w:pStyle w:val="texto0"/>
              <w:spacing w:line="210" w:lineRule="exact"/>
              <w:ind w:firstLine="0"/>
              <w:rPr>
                <w:rFonts w:ascii="Verdana" w:hAnsi="Verdana"/>
                <w:sz w:val="16"/>
                <w:szCs w:val="16"/>
                <w:lang w:val="en-US"/>
              </w:rPr>
            </w:pPr>
            <w:r w:rsidRPr="00F01347">
              <w:rPr>
                <w:rFonts w:ascii="Verdana" w:hAnsi="Verdana"/>
                <w:sz w:val="16"/>
                <w:szCs w:val="16"/>
                <w:lang w:val="en-US"/>
              </w:rPr>
              <w:t xml:space="preserve">C2 </w:t>
            </w:r>
            <w:r w:rsidRPr="00F01347">
              <w:rPr>
                <w:rFonts w:ascii="Verdana" w:hAnsi="Verdana"/>
                <w:sz w:val="16"/>
                <w:szCs w:val="16"/>
                <w:lang w:val="en-US"/>
              </w:rPr>
              <w:tab/>
              <w:t>concentration of the second sample (duplicate sample)</w:t>
            </w:r>
          </w:p>
        </w:tc>
      </w:tr>
      <w:tr w:rsidR="00A70ED3" w:rsidRPr="00F01347" w14:paraId="22A7CB99" w14:textId="5CCD9251" w:rsidTr="00837791">
        <w:tc>
          <w:tcPr>
            <w:tcW w:w="4675" w:type="dxa"/>
          </w:tcPr>
          <w:p w14:paraId="65E52420" w14:textId="77777777" w:rsidR="00A70ED3" w:rsidRPr="00F01347" w:rsidRDefault="00A70ED3" w:rsidP="00A70ED3">
            <w:pPr>
              <w:pStyle w:val="texto0"/>
              <w:spacing w:line="210" w:lineRule="exact"/>
              <w:ind w:firstLine="0"/>
              <w:rPr>
                <w:rFonts w:ascii="Verdana" w:hAnsi="Verdana"/>
                <w:sz w:val="16"/>
                <w:szCs w:val="16"/>
              </w:rPr>
            </w:pPr>
            <w:r w:rsidRPr="00F01347">
              <w:rPr>
                <w:rFonts w:ascii="Verdana" w:hAnsi="Verdana"/>
                <w:sz w:val="16"/>
                <w:szCs w:val="16"/>
              </w:rPr>
              <w:t xml:space="preserve">La DPR de cada analito obtenido entre la muestra y la duplicada debe ser </w:t>
            </w:r>
            <w:r w:rsidRPr="00F01347">
              <w:rPr>
                <w:rFonts w:ascii="Verdana" w:hAnsi="Verdana"/>
                <w:sz w:val="16"/>
                <w:szCs w:val="16"/>
                <w:u w:val="single"/>
              </w:rPr>
              <w:t>&lt;</w:t>
            </w:r>
            <w:r w:rsidRPr="00F01347">
              <w:rPr>
                <w:rFonts w:ascii="Verdana" w:hAnsi="Verdana"/>
                <w:sz w:val="16"/>
                <w:szCs w:val="16"/>
              </w:rPr>
              <w:t>20%. Si los valores no cumplen con lo especificado, el sistema analítico está fuera de control, determine las causas y corrija el problema, documente las incidencias y acciones correctivas. Repita el análisis sólo del lote asociado con la muestra y la duplicada que provocó que la prueba del DPR fallara.</w:t>
            </w:r>
          </w:p>
        </w:tc>
        <w:tc>
          <w:tcPr>
            <w:tcW w:w="4675" w:type="dxa"/>
          </w:tcPr>
          <w:p w14:paraId="55730B63" w14:textId="6585E7A4" w:rsidR="00A70ED3" w:rsidRPr="00F01347" w:rsidRDefault="00A70ED3" w:rsidP="00A70ED3">
            <w:pPr>
              <w:pStyle w:val="texto0"/>
              <w:spacing w:line="210" w:lineRule="exact"/>
              <w:ind w:firstLine="0"/>
              <w:rPr>
                <w:rFonts w:ascii="Verdana" w:hAnsi="Verdana"/>
                <w:sz w:val="16"/>
                <w:szCs w:val="16"/>
                <w:lang w:val="en-US"/>
              </w:rPr>
            </w:pPr>
            <w:r w:rsidRPr="00F01347">
              <w:rPr>
                <w:rFonts w:ascii="Verdana" w:hAnsi="Verdana"/>
                <w:sz w:val="16"/>
                <w:szCs w:val="16"/>
                <w:lang w:val="en-US"/>
              </w:rPr>
              <w:t xml:space="preserve">The DPR of each analyte obtained between the sample and the duplicate must be </w:t>
            </w:r>
            <w:r w:rsidRPr="00F01347">
              <w:rPr>
                <w:rFonts w:ascii="Verdana" w:hAnsi="Verdana"/>
                <w:sz w:val="16"/>
                <w:szCs w:val="16"/>
                <w:u w:val="single"/>
                <w:lang w:val="en-US"/>
              </w:rPr>
              <w:t xml:space="preserve">&lt; </w:t>
            </w:r>
            <w:r w:rsidRPr="00F01347">
              <w:rPr>
                <w:rFonts w:ascii="Verdana" w:hAnsi="Verdana"/>
                <w:sz w:val="16"/>
                <w:szCs w:val="16"/>
                <w:lang w:val="en-US"/>
              </w:rPr>
              <w:t>20%. If the values do not meet the specifications, the analytical system is out of control, determine the causes and correct the problem, document the incidents and corrective actions. Retest only the lot associated with the sample and the duplicate that caused the DPR test to fail.</w:t>
            </w:r>
          </w:p>
        </w:tc>
      </w:tr>
      <w:tr w:rsidR="00A70ED3" w:rsidRPr="00F01347" w14:paraId="50CB1FD9" w14:textId="418ABB15" w:rsidTr="00837791">
        <w:tc>
          <w:tcPr>
            <w:tcW w:w="4675" w:type="dxa"/>
          </w:tcPr>
          <w:p w14:paraId="1A3A7C9C" w14:textId="77777777" w:rsidR="00A70ED3" w:rsidRPr="00F01347" w:rsidRDefault="00A70ED3" w:rsidP="00A70ED3">
            <w:pPr>
              <w:pStyle w:val="texto0"/>
              <w:ind w:firstLine="0"/>
              <w:rPr>
                <w:rFonts w:ascii="Verdana" w:hAnsi="Verdana"/>
                <w:sz w:val="16"/>
                <w:szCs w:val="16"/>
              </w:rPr>
            </w:pPr>
            <w:r w:rsidRPr="00F01347">
              <w:rPr>
                <w:rFonts w:ascii="Verdana" w:hAnsi="Verdana"/>
                <w:b/>
                <w:sz w:val="16"/>
                <w:szCs w:val="16"/>
              </w:rPr>
              <w:t xml:space="preserve">B.5.8.1.6 </w:t>
            </w:r>
            <w:r w:rsidRPr="00F01347">
              <w:rPr>
                <w:rFonts w:ascii="Verdana" w:hAnsi="Verdana"/>
                <w:sz w:val="16"/>
                <w:szCs w:val="16"/>
              </w:rPr>
              <w:t xml:space="preserve">Verificación de la estabilidad de la curva de calibración. En cada lote analizado, si más de 25 muestras van a ser analizadas durante el día, verificar la curva de calibración analizando un estándar de concentración media del intervalo de trabajo al principio del lote y después de cada 25 muestras </w:t>
            </w:r>
            <w:proofErr w:type="spellStart"/>
            <w:r w:rsidRPr="00F01347">
              <w:rPr>
                <w:rFonts w:ascii="Verdana" w:hAnsi="Verdana"/>
                <w:sz w:val="16"/>
                <w:szCs w:val="16"/>
              </w:rPr>
              <w:t>ó</w:t>
            </w:r>
            <w:proofErr w:type="spellEnd"/>
            <w:r w:rsidRPr="00F01347">
              <w:rPr>
                <w:rFonts w:ascii="Verdana" w:hAnsi="Verdana"/>
                <w:sz w:val="16"/>
                <w:szCs w:val="16"/>
              </w:rPr>
              <w:t xml:space="preserve"> 12 horas de análisis continuo.</w:t>
            </w:r>
          </w:p>
        </w:tc>
        <w:tc>
          <w:tcPr>
            <w:tcW w:w="4675" w:type="dxa"/>
          </w:tcPr>
          <w:p w14:paraId="0237DE83" w14:textId="5D147257" w:rsidR="00A70ED3" w:rsidRPr="00F01347" w:rsidRDefault="00A70ED3" w:rsidP="00A70ED3">
            <w:pPr>
              <w:pStyle w:val="texto0"/>
              <w:ind w:firstLine="0"/>
              <w:rPr>
                <w:rFonts w:ascii="Verdana" w:hAnsi="Verdana"/>
                <w:b/>
                <w:sz w:val="16"/>
                <w:szCs w:val="16"/>
                <w:lang w:val="en-US"/>
              </w:rPr>
            </w:pPr>
            <w:r w:rsidRPr="00F01347">
              <w:rPr>
                <w:rFonts w:ascii="Verdana" w:hAnsi="Verdana"/>
                <w:b/>
                <w:sz w:val="16"/>
                <w:szCs w:val="16"/>
                <w:lang w:val="en-US"/>
              </w:rPr>
              <w:t xml:space="preserve">B.5.8.1.6 </w:t>
            </w:r>
            <w:r w:rsidRPr="00F01347">
              <w:rPr>
                <w:rFonts w:ascii="Verdana" w:hAnsi="Verdana"/>
                <w:sz w:val="16"/>
                <w:szCs w:val="16"/>
                <w:lang w:val="en-US"/>
              </w:rPr>
              <w:t>Verification of the stability of the calibration curve. In each batch analyzed, if more than 25 samples are to be analyzed during the day, verify the calibration curve by analyzing a standard of medium concentration of the working range at the beginning of the batch and after every 25 samples or 12 hours of continuous analysis.</w:t>
            </w:r>
          </w:p>
        </w:tc>
      </w:tr>
      <w:tr w:rsidR="00A70ED3" w:rsidRPr="00F01347" w14:paraId="3D4D3126" w14:textId="01FBFFC3" w:rsidTr="00837791">
        <w:tc>
          <w:tcPr>
            <w:tcW w:w="4675" w:type="dxa"/>
          </w:tcPr>
          <w:p w14:paraId="1B91A3FF" w14:textId="77777777" w:rsidR="00A70ED3" w:rsidRPr="00F01347" w:rsidRDefault="00A70ED3" w:rsidP="00A70ED3">
            <w:pPr>
              <w:pStyle w:val="texto0"/>
              <w:ind w:firstLine="0"/>
              <w:rPr>
                <w:rFonts w:ascii="Verdana" w:hAnsi="Verdana"/>
                <w:sz w:val="16"/>
                <w:szCs w:val="16"/>
              </w:rPr>
            </w:pPr>
            <w:r w:rsidRPr="00F01347">
              <w:rPr>
                <w:rFonts w:ascii="Verdana" w:hAnsi="Verdana"/>
                <w:sz w:val="16"/>
                <w:szCs w:val="16"/>
              </w:rPr>
              <w:t xml:space="preserve">Calcule el factor de calibración o la concentración para cada ácido </w:t>
            </w:r>
            <w:proofErr w:type="spellStart"/>
            <w:r w:rsidRPr="00F01347">
              <w:rPr>
                <w:rFonts w:ascii="Verdana" w:hAnsi="Verdana"/>
                <w:sz w:val="16"/>
                <w:szCs w:val="16"/>
              </w:rPr>
              <w:t>haloacético</w:t>
            </w:r>
            <w:proofErr w:type="spellEnd"/>
            <w:r w:rsidRPr="00F01347">
              <w:rPr>
                <w:rFonts w:ascii="Verdana" w:hAnsi="Verdana"/>
                <w:sz w:val="16"/>
                <w:szCs w:val="16"/>
              </w:rPr>
              <w:t xml:space="preserve"> del estándar de concentración media y la diferencia porcentual (%D) con la siguiente ecuación:</w:t>
            </w:r>
          </w:p>
        </w:tc>
        <w:tc>
          <w:tcPr>
            <w:tcW w:w="4675" w:type="dxa"/>
          </w:tcPr>
          <w:p w14:paraId="3B8F8D5E" w14:textId="747365CB" w:rsidR="00A70ED3" w:rsidRPr="00F01347" w:rsidRDefault="00A70ED3" w:rsidP="00A70ED3">
            <w:pPr>
              <w:pStyle w:val="texto0"/>
              <w:ind w:firstLine="0"/>
              <w:rPr>
                <w:rFonts w:ascii="Verdana" w:hAnsi="Verdana"/>
                <w:sz w:val="16"/>
                <w:szCs w:val="16"/>
                <w:lang w:val="en-US"/>
              </w:rPr>
            </w:pPr>
            <w:r w:rsidRPr="00F01347">
              <w:rPr>
                <w:rFonts w:ascii="Verdana" w:hAnsi="Verdana"/>
                <w:sz w:val="16"/>
                <w:szCs w:val="16"/>
                <w:lang w:val="en-US"/>
              </w:rPr>
              <w:t xml:space="preserve">Calculate the calibration factor or concentration for each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 of the half-concentration standard and the percent difference (%D) with the following equation:</w:t>
            </w:r>
          </w:p>
        </w:tc>
      </w:tr>
    </w:tbl>
    <w:p w14:paraId="30A0AAB4" w14:textId="2571129E" w:rsidR="00A74CDF" w:rsidRPr="00F01347" w:rsidRDefault="00471638" w:rsidP="00142E13">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lastRenderedPageBreak/>
        <w:drawing>
          <wp:inline distT="0" distB="0" distL="0" distR="0" wp14:anchorId="3361E9B0" wp14:editId="7402AB43">
            <wp:extent cx="2628900" cy="352425"/>
            <wp:effectExtent l="0" t="0" r="0" b="0"/>
            <wp:docPr id="43"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28900" cy="352425"/>
                    </a:xfrm>
                    <a:prstGeom prst="rect">
                      <a:avLst/>
                    </a:prstGeom>
                    <a:noFill/>
                    <a:ln>
                      <a:noFill/>
                    </a:ln>
                  </pic:spPr>
                </pic:pic>
              </a:graphicData>
            </a:graphic>
          </wp:inline>
        </w:drawing>
      </w:r>
    </w:p>
    <w:p w14:paraId="41CF1957" w14:textId="410BFA65" w:rsidR="0045745A" w:rsidRPr="00F01347" w:rsidRDefault="0045745A" w:rsidP="00142E13">
      <w:pPr>
        <w:pStyle w:val="texto0"/>
        <w:spacing w:line="240" w:lineRule="auto"/>
        <w:ind w:left="630" w:firstLine="0"/>
        <w:jc w:val="center"/>
        <w:rPr>
          <w:rFonts w:ascii="Verdana" w:hAnsi="Verdana"/>
          <w:sz w:val="16"/>
          <w:szCs w:val="16"/>
        </w:rPr>
      </w:pPr>
      <w:r w:rsidRPr="00F01347">
        <w:rPr>
          <w:noProof/>
        </w:rPr>
        <w:drawing>
          <wp:inline distT="0" distB="0" distL="0" distR="0" wp14:anchorId="0391BBBA" wp14:editId="42440623">
            <wp:extent cx="3029712" cy="585994"/>
            <wp:effectExtent l="0" t="0" r="0" b="5080"/>
            <wp:docPr id="14818882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888245" name="Picture 1" descr="A screenshot of a computer&#10;&#10;Description automatically generated"/>
                    <pic:cNvPicPr/>
                  </pic:nvPicPr>
                  <pic:blipFill rotWithShape="1">
                    <a:blip r:embed="rId64"/>
                    <a:srcRect l="37019" t="35008" r="38052" b="56420"/>
                    <a:stretch/>
                  </pic:blipFill>
                  <pic:spPr bwMode="auto">
                    <a:xfrm>
                      <a:off x="0" y="0"/>
                      <a:ext cx="3189925" cy="61698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A6875" w:rsidRPr="00F01347" w14:paraId="04682094" w14:textId="34F2F71A" w:rsidTr="005E3FEC">
        <w:tc>
          <w:tcPr>
            <w:tcW w:w="4675" w:type="dxa"/>
          </w:tcPr>
          <w:p w14:paraId="483DC2D4" w14:textId="77777777" w:rsidR="00FA6875" w:rsidRPr="00F01347" w:rsidRDefault="00FA6875" w:rsidP="00FA6875">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67FE7D21" w14:textId="4137F9A8" w:rsidR="00FA6875" w:rsidRPr="00F01347" w:rsidRDefault="00FA6875" w:rsidP="00FA6875">
            <w:pPr>
              <w:pStyle w:val="texto0"/>
              <w:ind w:firstLine="0"/>
              <w:rPr>
                <w:rFonts w:ascii="Verdana" w:hAnsi="Verdana"/>
                <w:b/>
                <w:bCs/>
                <w:sz w:val="16"/>
                <w:szCs w:val="16"/>
              </w:rPr>
            </w:pPr>
            <w:proofErr w:type="spellStart"/>
            <w:r w:rsidRPr="00F01347">
              <w:rPr>
                <w:rFonts w:ascii="Verdana" w:hAnsi="Verdana"/>
                <w:b/>
                <w:bCs/>
                <w:sz w:val="16"/>
                <w:szCs w:val="16"/>
              </w:rPr>
              <w:t>Where</w:t>
            </w:r>
            <w:proofErr w:type="spellEnd"/>
            <w:r w:rsidRPr="00F01347">
              <w:rPr>
                <w:rFonts w:ascii="Verdana" w:hAnsi="Verdana"/>
                <w:b/>
                <w:bCs/>
                <w:sz w:val="16"/>
                <w:szCs w:val="16"/>
              </w:rPr>
              <w:t>:</w:t>
            </w:r>
          </w:p>
        </w:tc>
      </w:tr>
      <w:tr w:rsidR="00FA6875" w:rsidRPr="00F01347" w14:paraId="56A35A8F" w14:textId="612D8EBB" w:rsidTr="005E3FEC">
        <w:tc>
          <w:tcPr>
            <w:tcW w:w="4675" w:type="dxa"/>
          </w:tcPr>
          <w:p w14:paraId="29B66DE9" w14:textId="77777777" w:rsidR="00FA6875" w:rsidRPr="00F01347" w:rsidRDefault="00FA6875" w:rsidP="00FA6875">
            <w:pPr>
              <w:pStyle w:val="texto0"/>
              <w:ind w:firstLine="0"/>
              <w:rPr>
                <w:rFonts w:ascii="Verdana" w:hAnsi="Verdana"/>
                <w:sz w:val="16"/>
                <w:szCs w:val="16"/>
              </w:rPr>
            </w:pPr>
            <w:r w:rsidRPr="00F01347">
              <w:rPr>
                <w:rFonts w:ascii="Verdana" w:hAnsi="Verdana"/>
                <w:sz w:val="16"/>
                <w:szCs w:val="16"/>
              </w:rPr>
              <w:t>FC1</w:t>
            </w:r>
            <w:r w:rsidRPr="00F01347">
              <w:rPr>
                <w:rFonts w:ascii="Verdana" w:hAnsi="Verdana"/>
                <w:sz w:val="16"/>
                <w:szCs w:val="16"/>
              </w:rPr>
              <w:tab/>
              <w:t xml:space="preserve">factor de calibración promedio para cada ácido </w:t>
            </w:r>
            <w:proofErr w:type="spellStart"/>
            <w:r w:rsidRPr="00F01347">
              <w:rPr>
                <w:rFonts w:ascii="Verdana" w:hAnsi="Verdana"/>
                <w:sz w:val="16"/>
                <w:szCs w:val="16"/>
              </w:rPr>
              <w:t>haloacético</w:t>
            </w:r>
            <w:proofErr w:type="spellEnd"/>
            <w:r w:rsidRPr="00F01347">
              <w:rPr>
                <w:rFonts w:ascii="Verdana" w:hAnsi="Verdana"/>
                <w:sz w:val="16"/>
                <w:szCs w:val="16"/>
              </w:rPr>
              <w:t xml:space="preserve"> en la curva de calibración, o la concentración nominal del estándar de verificación.</w:t>
            </w:r>
          </w:p>
        </w:tc>
        <w:tc>
          <w:tcPr>
            <w:tcW w:w="4675" w:type="dxa"/>
          </w:tcPr>
          <w:p w14:paraId="2BC97B52" w14:textId="1B71767A" w:rsidR="00FA6875" w:rsidRPr="00F01347" w:rsidRDefault="00FA6875" w:rsidP="00FA6875">
            <w:pPr>
              <w:pStyle w:val="texto0"/>
              <w:ind w:firstLine="0"/>
              <w:rPr>
                <w:rFonts w:ascii="Verdana" w:hAnsi="Verdana"/>
                <w:sz w:val="16"/>
                <w:szCs w:val="16"/>
                <w:lang w:val="en-US"/>
              </w:rPr>
            </w:pPr>
            <w:r w:rsidRPr="00F01347">
              <w:rPr>
                <w:rFonts w:ascii="Verdana" w:hAnsi="Verdana"/>
                <w:sz w:val="16"/>
                <w:szCs w:val="16"/>
                <w:lang w:val="en-US"/>
              </w:rPr>
              <w:t xml:space="preserve">FC1 </w:t>
            </w:r>
            <w:r w:rsidRPr="00F01347">
              <w:rPr>
                <w:rFonts w:ascii="Verdana" w:hAnsi="Verdana"/>
                <w:sz w:val="16"/>
                <w:szCs w:val="16"/>
                <w:lang w:val="en-US"/>
              </w:rPr>
              <w:tab/>
              <w:t xml:space="preserve">average calibration factor for each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 in the calibration curve, or the nominal concentration of the verification standard.</w:t>
            </w:r>
          </w:p>
        </w:tc>
      </w:tr>
      <w:tr w:rsidR="00FA6875" w:rsidRPr="00F01347" w14:paraId="56E75D7F" w14:textId="6360678C" w:rsidTr="005E3FEC">
        <w:tc>
          <w:tcPr>
            <w:tcW w:w="4675" w:type="dxa"/>
          </w:tcPr>
          <w:p w14:paraId="53D614C3" w14:textId="77777777" w:rsidR="00FA6875" w:rsidRPr="00F01347" w:rsidRDefault="00FA6875" w:rsidP="00FA6875">
            <w:pPr>
              <w:pStyle w:val="texto0"/>
              <w:ind w:firstLine="0"/>
              <w:rPr>
                <w:rFonts w:ascii="Verdana" w:hAnsi="Verdana"/>
                <w:sz w:val="16"/>
                <w:szCs w:val="16"/>
              </w:rPr>
            </w:pPr>
            <w:r w:rsidRPr="00F01347">
              <w:rPr>
                <w:rFonts w:ascii="Verdana" w:hAnsi="Verdana"/>
                <w:sz w:val="16"/>
                <w:szCs w:val="16"/>
              </w:rPr>
              <w:t>FC2</w:t>
            </w:r>
            <w:r w:rsidRPr="00F01347">
              <w:rPr>
                <w:rFonts w:ascii="Verdana" w:hAnsi="Verdana"/>
                <w:sz w:val="16"/>
                <w:szCs w:val="16"/>
              </w:rPr>
              <w:tab/>
              <w:t xml:space="preserve">factor de calibración promedio para cada ácido </w:t>
            </w:r>
            <w:proofErr w:type="spellStart"/>
            <w:r w:rsidRPr="00F01347">
              <w:rPr>
                <w:rFonts w:ascii="Verdana" w:hAnsi="Verdana"/>
                <w:sz w:val="16"/>
                <w:szCs w:val="16"/>
              </w:rPr>
              <w:t>haloacético</w:t>
            </w:r>
            <w:proofErr w:type="spellEnd"/>
            <w:r w:rsidRPr="00F01347">
              <w:rPr>
                <w:rFonts w:ascii="Verdana" w:hAnsi="Verdana"/>
                <w:sz w:val="16"/>
                <w:szCs w:val="16"/>
              </w:rPr>
              <w:t xml:space="preserve"> en el estándar de concentración media, o la concentración calculada en el estándar de verificación.</w:t>
            </w:r>
          </w:p>
        </w:tc>
        <w:tc>
          <w:tcPr>
            <w:tcW w:w="4675" w:type="dxa"/>
          </w:tcPr>
          <w:p w14:paraId="04714087" w14:textId="6ADAF4FE" w:rsidR="00FA6875" w:rsidRPr="00F01347" w:rsidRDefault="00FA6875" w:rsidP="00FA6875">
            <w:pPr>
              <w:pStyle w:val="texto0"/>
              <w:ind w:firstLine="0"/>
              <w:rPr>
                <w:rFonts w:ascii="Verdana" w:hAnsi="Verdana"/>
                <w:sz w:val="16"/>
                <w:szCs w:val="16"/>
                <w:lang w:val="en-US"/>
              </w:rPr>
            </w:pPr>
            <w:r w:rsidRPr="00F01347">
              <w:rPr>
                <w:rFonts w:ascii="Verdana" w:hAnsi="Verdana"/>
                <w:sz w:val="16"/>
                <w:szCs w:val="16"/>
                <w:lang w:val="en-US"/>
              </w:rPr>
              <w:t xml:space="preserve">FC2 </w:t>
            </w:r>
            <w:r w:rsidRPr="00F01347">
              <w:rPr>
                <w:rFonts w:ascii="Verdana" w:hAnsi="Verdana"/>
                <w:sz w:val="16"/>
                <w:szCs w:val="16"/>
                <w:lang w:val="en-US"/>
              </w:rPr>
              <w:tab/>
              <w:t xml:space="preserve">average calibration factor for each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 in the half-concentration standard, or the calculated concentration in the verification standard.</w:t>
            </w:r>
          </w:p>
        </w:tc>
      </w:tr>
      <w:tr w:rsidR="00FA6875" w:rsidRPr="00F01347" w14:paraId="214FB58B" w14:textId="6EF7C453" w:rsidTr="005E3FEC">
        <w:tc>
          <w:tcPr>
            <w:tcW w:w="4675" w:type="dxa"/>
          </w:tcPr>
          <w:p w14:paraId="04FAB71E" w14:textId="77777777" w:rsidR="00FA6875" w:rsidRPr="00F01347" w:rsidRDefault="00FA6875" w:rsidP="00FA6875">
            <w:pPr>
              <w:pStyle w:val="texto0"/>
              <w:ind w:firstLine="0"/>
              <w:rPr>
                <w:rFonts w:ascii="Verdana" w:hAnsi="Verdana"/>
                <w:sz w:val="16"/>
                <w:szCs w:val="16"/>
              </w:rPr>
            </w:pPr>
            <w:r w:rsidRPr="00F01347">
              <w:rPr>
                <w:rFonts w:ascii="Verdana" w:hAnsi="Verdana"/>
                <w:sz w:val="16"/>
                <w:szCs w:val="16"/>
              </w:rPr>
              <w:t>El valor obtenido del % de la diferencia (%D) deberá ser menor al 15% de no ser así verificar la vigencia, revisar también el sistema cromatográfico y determinar la causa de la falla y corregir, de no lograr corregir la falla, recalibrar nuevamente y en el caso de que la falla del estándar de verificación sea en un lote mayor de 25 muestras reanalice las 10 muestras anteriores al estándar de verificación que falló.</w:t>
            </w:r>
          </w:p>
        </w:tc>
        <w:tc>
          <w:tcPr>
            <w:tcW w:w="4675" w:type="dxa"/>
          </w:tcPr>
          <w:p w14:paraId="323395E5" w14:textId="6CF5A9D5" w:rsidR="00FA6875" w:rsidRPr="00F01347" w:rsidRDefault="00FA6875" w:rsidP="00FA6875">
            <w:pPr>
              <w:pStyle w:val="texto0"/>
              <w:ind w:firstLine="0"/>
              <w:rPr>
                <w:rFonts w:ascii="Verdana" w:hAnsi="Verdana"/>
                <w:sz w:val="16"/>
                <w:szCs w:val="16"/>
                <w:lang w:val="en-US"/>
              </w:rPr>
            </w:pPr>
            <w:r w:rsidRPr="00F01347">
              <w:rPr>
                <w:rFonts w:ascii="Verdana" w:hAnsi="Verdana"/>
                <w:sz w:val="16"/>
                <w:szCs w:val="16"/>
                <w:lang w:val="en-US"/>
              </w:rPr>
              <w:t xml:space="preserve">The value obtained from the % of the difference (%D) must be less than 15%, otherwise verify the validity, also review the chromatographic </w:t>
            </w:r>
            <w:proofErr w:type="gramStart"/>
            <w:r w:rsidRPr="00F01347">
              <w:rPr>
                <w:rFonts w:ascii="Verdana" w:hAnsi="Verdana"/>
                <w:sz w:val="16"/>
                <w:szCs w:val="16"/>
                <w:lang w:val="en-US"/>
              </w:rPr>
              <w:t>system</w:t>
            </w:r>
            <w:proofErr w:type="gramEnd"/>
            <w:r w:rsidRPr="00F01347">
              <w:rPr>
                <w:rFonts w:ascii="Verdana" w:hAnsi="Verdana"/>
                <w:sz w:val="16"/>
                <w:szCs w:val="16"/>
                <w:lang w:val="en-US"/>
              </w:rPr>
              <w:t xml:space="preserve"> and determine the cause of the failure and correct it, if the failure cannot be corrected, recalibrate again. and </w:t>
            </w:r>
            <w:proofErr w:type="gramStart"/>
            <w:r w:rsidRPr="00F01347">
              <w:rPr>
                <w:rFonts w:ascii="Verdana" w:hAnsi="Verdana"/>
                <w:sz w:val="16"/>
                <w:szCs w:val="16"/>
                <w:lang w:val="en-US"/>
              </w:rPr>
              <w:t>in the event that</w:t>
            </w:r>
            <w:proofErr w:type="gramEnd"/>
            <w:r w:rsidRPr="00F01347">
              <w:rPr>
                <w:rFonts w:ascii="Verdana" w:hAnsi="Verdana"/>
                <w:sz w:val="16"/>
                <w:szCs w:val="16"/>
                <w:lang w:val="en-US"/>
              </w:rPr>
              <w:t xml:space="preserve"> the failure of the verification standard is in a batch greater than 25 samples, reanalyze the 10 samples prior to the verification standard that failed.</w:t>
            </w:r>
          </w:p>
        </w:tc>
      </w:tr>
      <w:tr w:rsidR="00FA6875" w:rsidRPr="00F01347" w14:paraId="7EFEA354" w14:textId="449BE607" w:rsidTr="005E3FEC">
        <w:tc>
          <w:tcPr>
            <w:tcW w:w="4675" w:type="dxa"/>
          </w:tcPr>
          <w:p w14:paraId="09F45F74" w14:textId="77777777" w:rsidR="00FA6875" w:rsidRPr="00F01347" w:rsidRDefault="00FA6875" w:rsidP="00FA6875">
            <w:pPr>
              <w:pStyle w:val="texto0"/>
              <w:ind w:firstLine="0"/>
              <w:rPr>
                <w:rFonts w:ascii="Verdana" w:hAnsi="Verdana"/>
                <w:sz w:val="16"/>
                <w:szCs w:val="16"/>
              </w:rPr>
            </w:pPr>
            <w:r w:rsidRPr="00F01347">
              <w:rPr>
                <w:rFonts w:ascii="Verdana" w:hAnsi="Verdana"/>
                <w:b/>
                <w:sz w:val="16"/>
                <w:szCs w:val="16"/>
              </w:rPr>
              <w:t>B.5.8.1.7</w:t>
            </w:r>
            <w:r w:rsidRPr="00F01347">
              <w:rPr>
                <w:rFonts w:ascii="Verdana" w:hAnsi="Verdana"/>
                <w:sz w:val="16"/>
                <w:szCs w:val="16"/>
              </w:rPr>
              <w:t xml:space="preserve"> Verificación de estándares </w:t>
            </w:r>
            <w:proofErr w:type="spellStart"/>
            <w:r w:rsidRPr="00F01347">
              <w:rPr>
                <w:rFonts w:ascii="Verdana" w:hAnsi="Verdana"/>
                <w:sz w:val="16"/>
                <w:szCs w:val="16"/>
              </w:rPr>
              <w:t>surrogados</w:t>
            </w:r>
            <w:proofErr w:type="spellEnd"/>
            <w:r w:rsidRPr="00F01347">
              <w:rPr>
                <w:rFonts w:ascii="Verdana" w:hAnsi="Verdana"/>
                <w:sz w:val="16"/>
                <w:szCs w:val="16"/>
              </w:rPr>
              <w:t xml:space="preserve">. Evaluar los datos de recobro de los </w:t>
            </w:r>
            <w:proofErr w:type="spellStart"/>
            <w:r w:rsidRPr="00F01347">
              <w:rPr>
                <w:rFonts w:ascii="Verdana" w:hAnsi="Verdana"/>
                <w:sz w:val="16"/>
                <w:szCs w:val="16"/>
              </w:rPr>
              <w:t>surrogados</w:t>
            </w:r>
            <w:proofErr w:type="spellEnd"/>
            <w:r w:rsidRPr="00F01347">
              <w:rPr>
                <w:rFonts w:ascii="Verdana" w:hAnsi="Verdana"/>
                <w:sz w:val="16"/>
                <w:szCs w:val="16"/>
              </w:rPr>
              <w:t xml:space="preserve"> de las muestras. Calcular el % de recuperación de los estándares </w:t>
            </w:r>
            <w:proofErr w:type="spellStart"/>
            <w:r w:rsidRPr="00F01347">
              <w:rPr>
                <w:rFonts w:ascii="Verdana" w:hAnsi="Verdana"/>
                <w:sz w:val="16"/>
                <w:szCs w:val="16"/>
              </w:rPr>
              <w:t>surrogados</w:t>
            </w:r>
            <w:proofErr w:type="spellEnd"/>
            <w:r w:rsidRPr="00F01347">
              <w:rPr>
                <w:rFonts w:ascii="Verdana" w:hAnsi="Verdana"/>
                <w:sz w:val="16"/>
                <w:szCs w:val="16"/>
              </w:rPr>
              <w:t xml:space="preserve"> en blancos, muestras control, muestras fortificadas (si se realizaron), muestras duplicadas (si se realizaron) y muestras reales, con la siguiente ecuación:</w:t>
            </w:r>
          </w:p>
        </w:tc>
        <w:tc>
          <w:tcPr>
            <w:tcW w:w="4675" w:type="dxa"/>
          </w:tcPr>
          <w:p w14:paraId="2BD469D2" w14:textId="09162FBF" w:rsidR="00FA6875" w:rsidRPr="00F01347" w:rsidRDefault="00FA6875" w:rsidP="00FA6875">
            <w:pPr>
              <w:pStyle w:val="texto0"/>
              <w:ind w:firstLine="0"/>
              <w:rPr>
                <w:rFonts w:ascii="Verdana" w:hAnsi="Verdana"/>
                <w:b/>
                <w:sz w:val="16"/>
                <w:szCs w:val="16"/>
                <w:lang w:val="en-US"/>
              </w:rPr>
            </w:pPr>
            <w:r w:rsidRPr="00F01347">
              <w:rPr>
                <w:rFonts w:ascii="Verdana" w:hAnsi="Verdana"/>
                <w:b/>
                <w:sz w:val="16"/>
                <w:szCs w:val="16"/>
                <w:lang w:val="en-US"/>
              </w:rPr>
              <w:t xml:space="preserve">B.5.8.1.7 </w:t>
            </w:r>
            <w:r w:rsidRPr="00F01347">
              <w:rPr>
                <w:rFonts w:ascii="Verdana" w:hAnsi="Verdana"/>
                <w:sz w:val="16"/>
                <w:szCs w:val="16"/>
                <w:lang w:val="en-US"/>
              </w:rPr>
              <w:t>Verification of surrogate standards</w:t>
            </w:r>
            <w:r w:rsidR="003E1BA9" w:rsidRPr="00F01347">
              <w:rPr>
                <w:rFonts w:ascii="Verdana" w:hAnsi="Verdana"/>
                <w:sz w:val="16"/>
                <w:szCs w:val="16"/>
                <w:lang w:val="en-US"/>
              </w:rPr>
              <w:t>.</w:t>
            </w:r>
            <w:r w:rsidRPr="00F01347">
              <w:rPr>
                <w:rFonts w:ascii="Verdana" w:hAnsi="Verdana"/>
                <w:sz w:val="16"/>
                <w:szCs w:val="16"/>
                <w:lang w:val="en-US"/>
              </w:rPr>
              <w:t xml:space="preserve"> Evaluate the recovery data of the surrogates of the samples. Calculate the % recovery of the surrogate standards in blanks, control samples, fortified samples (if performed), duplicate samples (if performed) and real samples, with the following equation:</w:t>
            </w:r>
          </w:p>
        </w:tc>
      </w:tr>
    </w:tbl>
    <w:p w14:paraId="738F37AF" w14:textId="5CD83524" w:rsidR="00A74CDF" w:rsidRPr="00F01347" w:rsidRDefault="00471638" w:rsidP="00C01BE9">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4E4EC560" wp14:editId="2FA15F77">
            <wp:extent cx="1800225" cy="333375"/>
            <wp:effectExtent l="0" t="0" r="0" b="0"/>
            <wp:docPr id="44"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00225" cy="333375"/>
                    </a:xfrm>
                    <a:prstGeom prst="rect">
                      <a:avLst/>
                    </a:prstGeom>
                    <a:noFill/>
                    <a:ln>
                      <a:noFill/>
                    </a:ln>
                  </pic:spPr>
                </pic:pic>
              </a:graphicData>
            </a:graphic>
          </wp:inline>
        </w:drawing>
      </w:r>
    </w:p>
    <w:p w14:paraId="227F01C7" w14:textId="74679E79" w:rsidR="008F5DC7" w:rsidRPr="00F01347" w:rsidRDefault="008F5DC7" w:rsidP="00C01BE9">
      <w:pPr>
        <w:pStyle w:val="texto0"/>
        <w:spacing w:line="240" w:lineRule="auto"/>
        <w:ind w:left="630" w:firstLine="0"/>
        <w:jc w:val="center"/>
        <w:rPr>
          <w:rFonts w:ascii="Verdana" w:hAnsi="Verdana"/>
          <w:sz w:val="16"/>
          <w:szCs w:val="16"/>
        </w:rPr>
      </w:pPr>
      <w:r w:rsidRPr="00F01347">
        <w:rPr>
          <w:noProof/>
        </w:rPr>
        <w:drawing>
          <wp:inline distT="0" distB="0" distL="0" distR="0" wp14:anchorId="46378DA1" wp14:editId="6D2B6A79">
            <wp:extent cx="2054761" cy="585216"/>
            <wp:effectExtent l="0" t="0" r="3175" b="5715"/>
            <wp:docPr id="14942327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232775" name="Picture 1" descr="A screenshot of a computer&#10;&#10;Description automatically generated"/>
                    <pic:cNvPicPr/>
                  </pic:nvPicPr>
                  <pic:blipFill rotWithShape="1">
                    <a:blip r:embed="rId66"/>
                    <a:srcRect l="25128" t="35738" r="58665" b="56056"/>
                    <a:stretch/>
                  </pic:blipFill>
                  <pic:spPr bwMode="auto">
                    <a:xfrm>
                      <a:off x="0" y="0"/>
                      <a:ext cx="2106345" cy="59990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E29A3" w:rsidRPr="00F01347" w14:paraId="057739F7" w14:textId="4CAAC988" w:rsidTr="008F5DC7">
        <w:tc>
          <w:tcPr>
            <w:tcW w:w="4675" w:type="dxa"/>
          </w:tcPr>
          <w:p w14:paraId="4321DF10" w14:textId="77777777" w:rsidR="00BE29A3" w:rsidRPr="00F01347" w:rsidRDefault="00BE29A3" w:rsidP="00BE29A3">
            <w:pPr>
              <w:pStyle w:val="texto0"/>
              <w:spacing w:line="224" w:lineRule="exact"/>
              <w:ind w:firstLine="0"/>
              <w:rPr>
                <w:rFonts w:ascii="Verdana" w:hAnsi="Verdana"/>
                <w:b/>
                <w:bCs/>
                <w:sz w:val="16"/>
                <w:szCs w:val="16"/>
              </w:rPr>
            </w:pPr>
            <w:r w:rsidRPr="00F01347">
              <w:rPr>
                <w:rFonts w:ascii="Verdana" w:hAnsi="Verdana"/>
                <w:b/>
                <w:bCs/>
                <w:sz w:val="16"/>
                <w:szCs w:val="16"/>
              </w:rPr>
              <w:t>En donde:</w:t>
            </w:r>
          </w:p>
        </w:tc>
        <w:tc>
          <w:tcPr>
            <w:tcW w:w="4675" w:type="dxa"/>
          </w:tcPr>
          <w:p w14:paraId="4F024EA2" w14:textId="2B29AAE6" w:rsidR="00BE29A3" w:rsidRPr="00F01347" w:rsidRDefault="00BE29A3" w:rsidP="00BE29A3">
            <w:pPr>
              <w:pStyle w:val="texto0"/>
              <w:spacing w:line="224" w:lineRule="exact"/>
              <w:ind w:firstLine="0"/>
              <w:rPr>
                <w:rFonts w:ascii="Verdana" w:hAnsi="Verdana"/>
                <w:b/>
                <w:bCs/>
                <w:sz w:val="16"/>
                <w:szCs w:val="16"/>
                <w:lang w:val="en-US"/>
              </w:rPr>
            </w:pPr>
            <w:r w:rsidRPr="00F01347">
              <w:rPr>
                <w:rFonts w:ascii="Verdana" w:hAnsi="Verdana"/>
                <w:b/>
                <w:bCs/>
                <w:sz w:val="16"/>
                <w:szCs w:val="16"/>
                <w:lang w:val="en-US"/>
              </w:rPr>
              <w:t>Where:</w:t>
            </w:r>
          </w:p>
        </w:tc>
      </w:tr>
      <w:tr w:rsidR="00BE29A3" w:rsidRPr="00F01347" w14:paraId="325E31AE" w14:textId="0492DBC4" w:rsidTr="008F5DC7">
        <w:tc>
          <w:tcPr>
            <w:tcW w:w="4675" w:type="dxa"/>
          </w:tcPr>
          <w:p w14:paraId="49F76157"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sz w:val="16"/>
                <w:szCs w:val="16"/>
              </w:rPr>
              <w:t>C1</w:t>
            </w:r>
            <w:r w:rsidRPr="00F01347">
              <w:rPr>
                <w:rFonts w:ascii="Verdana" w:hAnsi="Verdana"/>
                <w:sz w:val="16"/>
                <w:szCs w:val="16"/>
              </w:rPr>
              <w:tab/>
              <w:t xml:space="preserve">concentración calculada de </w:t>
            </w:r>
            <w:proofErr w:type="spellStart"/>
            <w:r w:rsidRPr="00F01347">
              <w:rPr>
                <w:rFonts w:ascii="Verdana" w:hAnsi="Verdana"/>
                <w:sz w:val="16"/>
                <w:szCs w:val="16"/>
              </w:rPr>
              <w:t>surrogados</w:t>
            </w:r>
            <w:proofErr w:type="spellEnd"/>
            <w:r w:rsidRPr="00F01347">
              <w:rPr>
                <w:rFonts w:ascii="Verdana" w:hAnsi="Verdana"/>
                <w:sz w:val="16"/>
                <w:szCs w:val="16"/>
              </w:rPr>
              <w:t xml:space="preserve"> en la muestra</w:t>
            </w:r>
          </w:p>
        </w:tc>
        <w:tc>
          <w:tcPr>
            <w:tcW w:w="4675" w:type="dxa"/>
          </w:tcPr>
          <w:p w14:paraId="1105A1FB" w14:textId="788DF2CC" w:rsidR="00BE29A3" w:rsidRPr="00F01347" w:rsidRDefault="00BE29A3" w:rsidP="00BE29A3">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C1 </w:t>
            </w:r>
            <w:r w:rsidRPr="00F01347">
              <w:rPr>
                <w:rFonts w:ascii="Verdana" w:hAnsi="Verdana"/>
                <w:sz w:val="16"/>
                <w:szCs w:val="16"/>
                <w:lang w:val="en-US"/>
              </w:rPr>
              <w:tab/>
              <w:t>calculated concentration of surrogates in the sample</w:t>
            </w:r>
          </w:p>
        </w:tc>
      </w:tr>
      <w:tr w:rsidR="00BE29A3" w:rsidRPr="00F01347" w14:paraId="6201533B" w14:textId="093494D0" w:rsidTr="008F5DC7">
        <w:tc>
          <w:tcPr>
            <w:tcW w:w="4675" w:type="dxa"/>
          </w:tcPr>
          <w:p w14:paraId="62A4A957"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sz w:val="16"/>
                <w:szCs w:val="16"/>
              </w:rPr>
              <w:t>C2</w:t>
            </w:r>
            <w:r w:rsidRPr="00F01347">
              <w:rPr>
                <w:rFonts w:ascii="Verdana" w:hAnsi="Verdana"/>
                <w:sz w:val="16"/>
                <w:szCs w:val="16"/>
              </w:rPr>
              <w:tab/>
              <w:t xml:space="preserve">concentración nominal del </w:t>
            </w:r>
            <w:proofErr w:type="spellStart"/>
            <w:r w:rsidRPr="00F01347">
              <w:rPr>
                <w:rFonts w:ascii="Verdana" w:hAnsi="Verdana"/>
                <w:sz w:val="16"/>
                <w:szCs w:val="16"/>
              </w:rPr>
              <w:t>surrogado</w:t>
            </w:r>
            <w:proofErr w:type="spellEnd"/>
            <w:r w:rsidRPr="00F01347">
              <w:rPr>
                <w:rFonts w:ascii="Verdana" w:hAnsi="Verdana"/>
                <w:sz w:val="16"/>
                <w:szCs w:val="16"/>
              </w:rPr>
              <w:t xml:space="preserve"> adicionado a la muestra</w:t>
            </w:r>
          </w:p>
        </w:tc>
        <w:tc>
          <w:tcPr>
            <w:tcW w:w="4675" w:type="dxa"/>
          </w:tcPr>
          <w:p w14:paraId="413DAD3B" w14:textId="78A8739E" w:rsidR="00BE29A3" w:rsidRPr="00F01347" w:rsidRDefault="00BE29A3" w:rsidP="00BE29A3">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C2 </w:t>
            </w:r>
            <w:r w:rsidRPr="00F01347">
              <w:rPr>
                <w:rFonts w:ascii="Verdana" w:hAnsi="Verdana"/>
                <w:sz w:val="16"/>
                <w:szCs w:val="16"/>
                <w:lang w:val="en-US"/>
              </w:rPr>
              <w:tab/>
              <w:t>nominal concentration of the surrogate added to the sample</w:t>
            </w:r>
          </w:p>
        </w:tc>
      </w:tr>
      <w:tr w:rsidR="00BE29A3" w:rsidRPr="00F01347" w14:paraId="09FC28A4" w14:textId="5D89D672" w:rsidTr="008F5DC7">
        <w:tc>
          <w:tcPr>
            <w:tcW w:w="4675" w:type="dxa"/>
          </w:tcPr>
          <w:p w14:paraId="67E2FC76"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sz w:val="16"/>
                <w:szCs w:val="16"/>
              </w:rPr>
              <w:t>Si los valores no cumplen con los especificados, determinar las causas y corregir el problema, documentar las incidencias y acciones correctivas e incluirlas en el expediente del desarrollo inicial del desempeño del método.</w:t>
            </w:r>
          </w:p>
        </w:tc>
        <w:tc>
          <w:tcPr>
            <w:tcW w:w="4675" w:type="dxa"/>
          </w:tcPr>
          <w:p w14:paraId="0BF4B9FF" w14:textId="79021988" w:rsidR="00BE29A3" w:rsidRPr="00F01347" w:rsidRDefault="00BE29A3" w:rsidP="00BE29A3">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If the values do not meet those specified, determine the causes and correct the problem, document the incidents and corrective </w:t>
            </w:r>
            <w:r w:rsidR="00B0550C" w:rsidRPr="00F01347">
              <w:rPr>
                <w:rFonts w:ascii="Verdana" w:hAnsi="Verdana"/>
                <w:sz w:val="16"/>
                <w:szCs w:val="16"/>
                <w:lang w:val="en-US"/>
              </w:rPr>
              <w:t>actions,</w:t>
            </w:r>
            <w:r w:rsidRPr="00F01347">
              <w:rPr>
                <w:rFonts w:ascii="Verdana" w:hAnsi="Verdana"/>
                <w:sz w:val="16"/>
                <w:szCs w:val="16"/>
                <w:lang w:val="en-US"/>
              </w:rPr>
              <w:t xml:space="preserve"> and include them in the file of the initial development of the performance of the method.</w:t>
            </w:r>
          </w:p>
        </w:tc>
      </w:tr>
      <w:tr w:rsidR="00BE29A3" w:rsidRPr="00F01347" w14:paraId="593F76E7" w14:textId="428FA857" w:rsidTr="008F5DC7">
        <w:tc>
          <w:tcPr>
            <w:tcW w:w="4675" w:type="dxa"/>
          </w:tcPr>
          <w:p w14:paraId="29AFD307"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sz w:val="16"/>
                <w:szCs w:val="16"/>
              </w:rPr>
              <w:t xml:space="preserve">El %R deberá estar entre el 70% y el 130% de recuperación de no ser así verificar la preparación de la muestra que falló y el sistema cromatográfico, determinar la causa de la falla y corregir, de no encontrarla, repetir la extracción de la muestra y volver a analizar si </w:t>
            </w:r>
            <w:proofErr w:type="spellStart"/>
            <w:r w:rsidRPr="00F01347">
              <w:rPr>
                <w:rFonts w:ascii="Verdana" w:hAnsi="Verdana"/>
                <w:sz w:val="16"/>
                <w:szCs w:val="16"/>
              </w:rPr>
              <w:t>el</w:t>
            </w:r>
            <w:proofErr w:type="spellEnd"/>
            <w:r w:rsidRPr="00F01347">
              <w:rPr>
                <w:rFonts w:ascii="Verdana" w:hAnsi="Verdana"/>
                <w:sz w:val="16"/>
                <w:szCs w:val="16"/>
              </w:rPr>
              <w:t xml:space="preserve"> %R está fuera del rango de aceptación, </w:t>
            </w:r>
            <w:r w:rsidRPr="00F01347">
              <w:rPr>
                <w:rFonts w:ascii="Verdana" w:hAnsi="Verdana"/>
                <w:sz w:val="16"/>
                <w:szCs w:val="16"/>
              </w:rPr>
              <w:lastRenderedPageBreak/>
              <w:t>llenar hoja de incidencia y reportar como interferencia de matriz y los resultados obtenidos.</w:t>
            </w:r>
          </w:p>
        </w:tc>
        <w:tc>
          <w:tcPr>
            <w:tcW w:w="4675" w:type="dxa"/>
          </w:tcPr>
          <w:p w14:paraId="1C39EC7F" w14:textId="4DB01C51" w:rsidR="00BE29A3" w:rsidRPr="00F01347" w:rsidRDefault="00BE29A3" w:rsidP="00BE29A3">
            <w:pPr>
              <w:pStyle w:val="texto0"/>
              <w:spacing w:line="224" w:lineRule="exact"/>
              <w:ind w:firstLine="0"/>
              <w:rPr>
                <w:rFonts w:ascii="Verdana" w:hAnsi="Verdana"/>
                <w:sz w:val="16"/>
                <w:szCs w:val="16"/>
                <w:lang w:val="en-US"/>
              </w:rPr>
            </w:pPr>
            <w:r w:rsidRPr="00F01347">
              <w:rPr>
                <w:rFonts w:ascii="Verdana" w:hAnsi="Verdana"/>
                <w:sz w:val="16"/>
                <w:szCs w:val="16"/>
                <w:lang w:val="en-US"/>
              </w:rPr>
              <w:lastRenderedPageBreak/>
              <w:t xml:space="preserve">The %R must be between 70% and 130% recovery, otherwise verify the preparation of the sample that failed and the chromatographic system, determine the cause of the failure and correct it, if not found, repeat the extraction of the sample. sample and reanalyze if the %R </w:t>
            </w:r>
            <w:proofErr w:type="gramStart"/>
            <w:r w:rsidRPr="00F01347">
              <w:rPr>
                <w:rFonts w:ascii="Verdana" w:hAnsi="Verdana"/>
                <w:sz w:val="16"/>
                <w:szCs w:val="16"/>
                <w:lang w:val="en-US"/>
              </w:rPr>
              <w:t>is</w:t>
            </w:r>
            <w:proofErr w:type="gramEnd"/>
            <w:r w:rsidRPr="00F01347">
              <w:rPr>
                <w:rFonts w:ascii="Verdana" w:hAnsi="Verdana"/>
                <w:sz w:val="16"/>
                <w:szCs w:val="16"/>
                <w:lang w:val="en-US"/>
              </w:rPr>
              <w:t xml:space="preserve"> outside the acceptance range, fill out an </w:t>
            </w:r>
            <w:r w:rsidRPr="00F01347">
              <w:rPr>
                <w:rFonts w:ascii="Verdana" w:hAnsi="Verdana"/>
                <w:sz w:val="16"/>
                <w:szCs w:val="16"/>
                <w:lang w:val="en-US"/>
              </w:rPr>
              <w:lastRenderedPageBreak/>
              <w:t>incident sheet and report as matrix interference and the results obtained.</w:t>
            </w:r>
          </w:p>
        </w:tc>
      </w:tr>
      <w:tr w:rsidR="00BE29A3" w:rsidRPr="00F01347" w14:paraId="7FB5D19E" w14:textId="386247BE" w:rsidTr="008F5DC7">
        <w:tc>
          <w:tcPr>
            <w:tcW w:w="4675" w:type="dxa"/>
          </w:tcPr>
          <w:p w14:paraId="72C16112"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b/>
                <w:sz w:val="16"/>
                <w:szCs w:val="16"/>
              </w:rPr>
              <w:lastRenderedPageBreak/>
              <w:t>B.5.8.1.8</w:t>
            </w:r>
            <w:r w:rsidRPr="00F01347">
              <w:rPr>
                <w:rFonts w:ascii="Verdana" w:hAnsi="Verdana"/>
                <w:sz w:val="16"/>
                <w:szCs w:val="16"/>
              </w:rPr>
              <w:t xml:space="preserve"> Verificación de estándares internos (sólo para calibración de estándares internos). Compare el área de el o los estándares internos de las muestras con el área promedio de los estándares internos obtenidos de los puntos de calibración, el valor obtenido en el o los estándares internos de la muestra no deben ser menores a 50% ni mayores a 200% del valor promedio obtenido en la curva de calibración para cada estándar interno.</w:t>
            </w:r>
          </w:p>
        </w:tc>
        <w:tc>
          <w:tcPr>
            <w:tcW w:w="4675" w:type="dxa"/>
          </w:tcPr>
          <w:p w14:paraId="2D670BCE" w14:textId="783B1B7A" w:rsidR="00BE29A3" w:rsidRPr="00F01347" w:rsidRDefault="00BE29A3" w:rsidP="00BE29A3">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B.5.8.1.8 </w:t>
            </w:r>
            <w:r w:rsidRPr="00F01347">
              <w:rPr>
                <w:rFonts w:ascii="Verdana" w:hAnsi="Verdana"/>
                <w:sz w:val="16"/>
                <w:szCs w:val="16"/>
                <w:lang w:val="en-US"/>
              </w:rPr>
              <w:t>Verification of internal standards (only for calibration of internal standards). Compare the area of the internal standard(s) of the samples with the average area of the internal standards obtained from the calibration points, the value obtained in the internal standard(s) of the sample should not be less than 50% nor greater than 200 % of the average value obtained in the calibration curve for each internal standard.</w:t>
            </w:r>
          </w:p>
        </w:tc>
      </w:tr>
      <w:tr w:rsidR="00BE29A3" w:rsidRPr="00F01347" w14:paraId="57DFA6F4" w14:textId="26D4F80D" w:rsidTr="008F5DC7">
        <w:tc>
          <w:tcPr>
            <w:tcW w:w="4675" w:type="dxa"/>
          </w:tcPr>
          <w:p w14:paraId="7D3791C1"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sz w:val="16"/>
                <w:szCs w:val="16"/>
              </w:rPr>
              <w:t>Si los valores no cumplen con lo especificado, el sistema analítico está fuera de control, determinar las causas y corregir el problema, documentar las incidencias y acciones correctivas e incluirlas en el expediente del desarrollo inicial del desempeño del método.</w:t>
            </w:r>
          </w:p>
        </w:tc>
        <w:tc>
          <w:tcPr>
            <w:tcW w:w="4675" w:type="dxa"/>
          </w:tcPr>
          <w:p w14:paraId="533CDB32" w14:textId="27F15865" w:rsidR="00BE29A3" w:rsidRPr="00F01347" w:rsidRDefault="00BE29A3" w:rsidP="00BE29A3">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If the values do not meet the specifications, the analytical system is out of control, determine the causes and correct the problem, document the incidents and corrective </w:t>
            </w:r>
            <w:r w:rsidR="00440BFD" w:rsidRPr="00F01347">
              <w:rPr>
                <w:rFonts w:ascii="Verdana" w:hAnsi="Verdana"/>
                <w:sz w:val="16"/>
                <w:szCs w:val="16"/>
                <w:lang w:val="en-US"/>
              </w:rPr>
              <w:t>actions,</w:t>
            </w:r>
            <w:r w:rsidRPr="00F01347">
              <w:rPr>
                <w:rFonts w:ascii="Verdana" w:hAnsi="Verdana"/>
                <w:sz w:val="16"/>
                <w:szCs w:val="16"/>
                <w:lang w:val="en-US"/>
              </w:rPr>
              <w:t xml:space="preserve"> and include them in the file of the initial development of the performance of the method.</w:t>
            </w:r>
          </w:p>
        </w:tc>
      </w:tr>
      <w:tr w:rsidR="00BE29A3" w:rsidRPr="00F01347" w14:paraId="4715E271" w14:textId="0F5B0912" w:rsidTr="008F5DC7">
        <w:tc>
          <w:tcPr>
            <w:tcW w:w="4675" w:type="dxa"/>
          </w:tcPr>
          <w:p w14:paraId="3A14B2A3"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b/>
                <w:sz w:val="16"/>
                <w:szCs w:val="16"/>
              </w:rPr>
              <w:t>B.5.8.1.9</w:t>
            </w:r>
            <w:r w:rsidRPr="00F01347">
              <w:rPr>
                <w:rFonts w:ascii="Verdana" w:hAnsi="Verdana"/>
                <w:sz w:val="16"/>
                <w:szCs w:val="16"/>
              </w:rPr>
              <w:t xml:space="preserve"> Composición del lote analítico (para cada 20 muestras):</w:t>
            </w:r>
          </w:p>
        </w:tc>
        <w:tc>
          <w:tcPr>
            <w:tcW w:w="4675" w:type="dxa"/>
          </w:tcPr>
          <w:p w14:paraId="3277AF23" w14:textId="44DF0B88" w:rsidR="00BE29A3" w:rsidRPr="00F01347" w:rsidRDefault="00BE29A3" w:rsidP="00BE29A3">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B.5.8.1.9 </w:t>
            </w:r>
            <w:r w:rsidRPr="00F01347">
              <w:rPr>
                <w:rFonts w:ascii="Verdana" w:hAnsi="Verdana"/>
                <w:sz w:val="16"/>
                <w:szCs w:val="16"/>
                <w:lang w:val="en-US"/>
              </w:rPr>
              <w:t>Composition of the analytical batch (for every 20 samples):</w:t>
            </w:r>
          </w:p>
        </w:tc>
      </w:tr>
      <w:tr w:rsidR="00BE29A3" w:rsidRPr="00F01347" w14:paraId="78D57E2F" w14:textId="29CFEDD5" w:rsidTr="008F5DC7">
        <w:tc>
          <w:tcPr>
            <w:tcW w:w="4675" w:type="dxa"/>
          </w:tcPr>
          <w:p w14:paraId="2D9CF0FA"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sz w:val="16"/>
                <w:szCs w:val="16"/>
              </w:rPr>
              <w:t>1 blanco electrónico</w:t>
            </w:r>
          </w:p>
        </w:tc>
        <w:tc>
          <w:tcPr>
            <w:tcW w:w="4675" w:type="dxa"/>
          </w:tcPr>
          <w:p w14:paraId="28E3CE43" w14:textId="6FD9DE4D" w:rsidR="00BE29A3" w:rsidRPr="00F01347" w:rsidRDefault="00BE29A3" w:rsidP="00BE29A3">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1 electronic </w:t>
            </w:r>
            <w:r w:rsidR="00C50A8A" w:rsidRPr="00F01347">
              <w:rPr>
                <w:rFonts w:ascii="Verdana" w:hAnsi="Verdana"/>
                <w:sz w:val="16"/>
                <w:szCs w:val="16"/>
                <w:lang w:val="en-US"/>
              </w:rPr>
              <w:t>blank</w:t>
            </w:r>
          </w:p>
        </w:tc>
      </w:tr>
      <w:tr w:rsidR="00BE29A3" w:rsidRPr="00F01347" w14:paraId="6976B03F" w14:textId="31E59781" w:rsidTr="008F5DC7">
        <w:tc>
          <w:tcPr>
            <w:tcW w:w="4675" w:type="dxa"/>
          </w:tcPr>
          <w:p w14:paraId="3156C956"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sz w:val="16"/>
                <w:szCs w:val="16"/>
              </w:rPr>
              <w:t>2 muestra de verificación de la calibración continua</w:t>
            </w:r>
          </w:p>
        </w:tc>
        <w:tc>
          <w:tcPr>
            <w:tcW w:w="4675" w:type="dxa"/>
          </w:tcPr>
          <w:p w14:paraId="4FF210D2" w14:textId="59AD6319" w:rsidR="00BE29A3" w:rsidRPr="00F01347" w:rsidRDefault="00BE29A3" w:rsidP="00BE29A3">
            <w:pPr>
              <w:pStyle w:val="texto0"/>
              <w:spacing w:line="224" w:lineRule="exact"/>
              <w:ind w:firstLine="0"/>
              <w:rPr>
                <w:rFonts w:ascii="Verdana" w:hAnsi="Verdana"/>
                <w:sz w:val="16"/>
                <w:szCs w:val="16"/>
                <w:lang w:val="en-US"/>
              </w:rPr>
            </w:pPr>
            <w:r w:rsidRPr="00F01347">
              <w:rPr>
                <w:rFonts w:ascii="Verdana" w:hAnsi="Verdana"/>
                <w:sz w:val="16"/>
                <w:szCs w:val="16"/>
                <w:lang w:val="en-US"/>
              </w:rPr>
              <w:t>2 continuous calibration verification sample</w:t>
            </w:r>
          </w:p>
        </w:tc>
      </w:tr>
      <w:tr w:rsidR="00BE29A3" w:rsidRPr="00F01347" w14:paraId="0290FE63" w14:textId="2629CF61" w:rsidTr="008F5DC7">
        <w:tc>
          <w:tcPr>
            <w:tcW w:w="4675" w:type="dxa"/>
          </w:tcPr>
          <w:p w14:paraId="09545015"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sz w:val="16"/>
                <w:szCs w:val="16"/>
              </w:rPr>
              <w:t>3 blanco de reactivos</w:t>
            </w:r>
          </w:p>
        </w:tc>
        <w:tc>
          <w:tcPr>
            <w:tcW w:w="4675" w:type="dxa"/>
          </w:tcPr>
          <w:p w14:paraId="2D0592C8" w14:textId="6BBFA293" w:rsidR="00BE29A3" w:rsidRPr="00F01347" w:rsidRDefault="00BE29A3" w:rsidP="00BE29A3">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3 reagent </w:t>
            </w:r>
            <w:proofErr w:type="gramStart"/>
            <w:r w:rsidRPr="00F01347">
              <w:rPr>
                <w:rFonts w:ascii="Verdana" w:hAnsi="Verdana"/>
                <w:sz w:val="16"/>
                <w:szCs w:val="16"/>
                <w:lang w:val="en-US"/>
              </w:rPr>
              <w:t>blank</w:t>
            </w:r>
            <w:proofErr w:type="gramEnd"/>
          </w:p>
        </w:tc>
      </w:tr>
      <w:tr w:rsidR="00BE29A3" w:rsidRPr="00F01347" w14:paraId="1DF6FB07" w14:textId="25E70112" w:rsidTr="008F5DC7">
        <w:tc>
          <w:tcPr>
            <w:tcW w:w="4675" w:type="dxa"/>
          </w:tcPr>
          <w:p w14:paraId="0F7BDDC1"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sz w:val="16"/>
                <w:szCs w:val="16"/>
              </w:rPr>
              <w:t>4 muestra de control de calidad</w:t>
            </w:r>
          </w:p>
        </w:tc>
        <w:tc>
          <w:tcPr>
            <w:tcW w:w="4675" w:type="dxa"/>
          </w:tcPr>
          <w:p w14:paraId="2A20DCCB" w14:textId="31CCE235" w:rsidR="00BE29A3" w:rsidRPr="00F01347" w:rsidRDefault="00BE29A3" w:rsidP="00BE29A3">
            <w:pPr>
              <w:pStyle w:val="texto0"/>
              <w:spacing w:line="224" w:lineRule="exact"/>
              <w:ind w:firstLine="0"/>
              <w:rPr>
                <w:rFonts w:ascii="Verdana" w:hAnsi="Verdana"/>
                <w:sz w:val="16"/>
                <w:szCs w:val="16"/>
                <w:lang w:val="en-US"/>
              </w:rPr>
            </w:pPr>
            <w:r w:rsidRPr="00F01347">
              <w:rPr>
                <w:rFonts w:ascii="Verdana" w:hAnsi="Verdana"/>
                <w:sz w:val="16"/>
                <w:szCs w:val="16"/>
                <w:lang w:val="en-US"/>
              </w:rPr>
              <w:t>4 quality control sample</w:t>
            </w:r>
          </w:p>
        </w:tc>
      </w:tr>
      <w:tr w:rsidR="00BE29A3" w:rsidRPr="00F01347" w14:paraId="1D2DDFD6" w14:textId="1C03F06F" w:rsidTr="008F5DC7">
        <w:tc>
          <w:tcPr>
            <w:tcW w:w="4675" w:type="dxa"/>
          </w:tcPr>
          <w:p w14:paraId="2708F1B8"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sz w:val="16"/>
                <w:szCs w:val="16"/>
              </w:rPr>
              <w:t>5 muestras real no. 1</w:t>
            </w:r>
          </w:p>
        </w:tc>
        <w:tc>
          <w:tcPr>
            <w:tcW w:w="4675" w:type="dxa"/>
          </w:tcPr>
          <w:p w14:paraId="5E2B87E5" w14:textId="1C0EC806" w:rsidR="00BE29A3" w:rsidRPr="00F01347" w:rsidRDefault="00BE29A3" w:rsidP="00BE29A3">
            <w:pPr>
              <w:pStyle w:val="texto0"/>
              <w:spacing w:line="224" w:lineRule="exact"/>
              <w:ind w:firstLine="0"/>
              <w:rPr>
                <w:rFonts w:ascii="Verdana" w:hAnsi="Verdana"/>
                <w:sz w:val="16"/>
                <w:szCs w:val="16"/>
                <w:lang w:val="en-US"/>
              </w:rPr>
            </w:pPr>
            <w:r w:rsidRPr="00F01347">
              <w:rPr>
                <w:rFonts w:ascii="Verdana" w:hAnsi="Verdana"/>
                <w:sz w:val="16"/>
                <w:szCs w:val="16"/>
                <w:lang w:val="en-US"/>
              </w:rPr>
              <w:t>5 samples real no. 1</w:t>
            </w:r>
          </w:p>
        </w:tc>
      </w:tr>
      <w:tr w:rsidR="00BE29A3" w:rsidRPr="00F01347" w14:paraId="47F015FF" w14:textId="6DDEC647" w:rsidTr="008F5DC7">
        <w:tc>
          <w:tcPr>
            <w:tcW w:w="4675" w:type="dxa"/>
          </w:tcPr>
          <w:p w14:paraId="03F0CCDE"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sz w:val="16"/>
                <w:szCs w:val="16"/>
              </w:rPr>
              <w:t>6 a 14 muestra real no. 2 a 10</w:t>
            </w:r>
          </w:p>
        </w:tc>
        <w:tc>
          <w:tcPr>
            <w:tcW w:w="4675" w:type="dxa"/>
          </w:tcPr>
          <w:p w14:paraId="16699465" w14:textId="7E1C4D91" w:rsidR="00BE29A3" w:rsidRPr="00F01347" w:rsidRDefault="00BE29A3" w:rsidP="00BE29A3">
            <w:pPr>
              <w:pStyle w:val="texto0"/>
              <w:spacing w:line="224" w:lineRule="exact"/>
              <w:ind w:firstLine="0"/>
              <w:rPr>
                <w:rFonts w:ascii="Verdana" w:hAnsi="Verdana"/>
                <w:sz w:val="16"/>
                <w:szCs w:val="16"/>
                <w:lang w:val="en-US"/>
              </w:rPr>
            </w:pPr>
            <w:r w:rsidRPr="00F01347">
              <w:rPr>
                <w:rFonts w:ascii="Verdana" w:hAnsi="Verdana"/>
                <w:sz w:val="16"/>
                <w:szCs w:val="16"/>
                <w:lang w:val="en-US"/>
              </w:rPr>
              <w:t>6 to 14 actual sample no. 2 to 10</w:t>
            </w:r>
          </w:p>
        </w:tc>
      </w:tr>
      <w:tr w:rsidR="00BE29A3" w:rsidRPr="00F01347" w14:paraId="78F05143" w14:textId="6149BE1C" w:rsidTr="008F5DC7">
        <w:tc>
          <w:tcPr>
            <w:tcW w:w="4675" w:type="dxa"/>
          </w:tcPr>
          <w:p w14:paraId="6088BE10" w14:textId="77777777" w:rsidR="00BE29A3" w:rsidRPr="00F01347" w:rsidRDefault="00BE29A3" w:rsidP="00BE29A3">
            <w:pPr>
              <w:pStyle w:val="texto0"/>
              <w:spacing w:line="224" w:lineRule="exact"/>
              <w:ind w:firstLine="0"/>
              <w:rPr>
                <w:rFonts w:ascii="Verdana" w:hAnsi="Verdana"/>
                <w:sz w:val="16"/>
                <w:szCs w:val="16"/>
              </w:rPr>
            </w:pPr>
            <w:r w:rsidRPr="00F01347">
              <w:rPr>
                <w:rFonts w:ascii="Verdana" w:hAnsi="Verdana"/>
                <w:sz w:val="16"/>
                <w:szCs w:val="16"/>
              </w:rPr>
              <w:t>15 muestra de verificación de la calibración continua</w:t>
            </w:r>
          </w:p>
        </w:tc>
        <w:tc>
          <w:tcPr>
            <w:tcW w:w="4675" w:type="dxa"/>
          </w:tcPr>
          <w:p w14:paraId="650F14A2" w14:textId="1ED8A725" w:rsidR="00BE29A3" w:rsidRPr="00F01347" w:rsidRDefault="00BE29A3" w:rsidP="00BE29A3">
            <w:pPr>
              <w:pStyle w:val="texto0"/>
              <w:spacing w:line="224" w:lineRule="exact"/>
              <w:ind w:firstLine="0"/>
              <w:rPr>
                <w:rFonts w:ascii="Verdana" w:hAnsi="Verdana"/>
                <w:sz w:val="16"/>
                <w:szCs w:val="16"/>
                <w:lang w:val="en-US"/>
              </w:rPr>
            </w:pPr>
            <w:r w:rsidRPr="00F01347">
              <w:rPr>
                <w:rFonts w:ascii="Verdana" w:hAnsi="Verdana"/>
                <w:sz w:val="16"/>
                <w:szCs w:val="16"/>
                <w:lang w:val="en-US"/>
              </w:rPr>
              <w:t>15 continuous calibration verification sample</w:t>
            </w:r>
          </w:p>
        </w:tc>
      </w:tr>
      <w:tr w:rsidR="00BE29A3" w:rsidRPr="00F01347" w14:paraId="2D22A520" w14:textId="0572E4C2" w:rsidTr="008F5DC7">
        <w:tc>
          <w:tcPr>
            <w:tcW w:w="4675" w:type="dxa"/>
          </w:tcPr>
          <w:p w14:paraId="366A754C" w14:textId="77777777" w:rsidR="00BE29A3" w:rsidRPr="00F01347" w:rsidRDefault="00BE29A3" w:rsidP="00BE29A3">
            <w:pPr>
              <w:pStyle w:val="texto0"/>
              <w:ind w:firstLine="0"/>
              <w:rPr>
                <w:rFonts w:ascii="Verdana" w:hAnsi="Verdana"/>
                <w:sz w:val="16"/>
                <w:szCs w:val="16"/>
              </w:rPr>
            </w:pPr>
            <w:r w:rsidRPr="00F01347">
              <w:rPr>
                <w:rFonts w:ascii="Verdana" w:hAnsi="Verdana"/>
                <w:sz w:val="16"/>
                <w:szCs w:val="16"/>
              </w:rPr>
              <w:t>16 a 25 muestra real no.11 a 20</w:t>
            </w:r>
          </w:p>
        </w:tc>
        <w:tc>
          <w:tcPr>
            <w:tcW w:w="4675" w:type="dxa"/>
          </w:tcPr>
          <w:p w14:paraId="23BEAA10" w14:textId="7890E678" w:rsidR="00BE29A3" w:rsidRPr="00F01347" w:rsidRDefault="00BE29A3" w:rsidP="00BE29A3">
            <w:pPr>
              <w:pStyle w:val="texto0"/>
              <w:ind w:firstLine="0"/>
              <w:rPr>
                <w:rFonts w:ascii="Verdana" w:hAnsi="Verdana"/>
                <w:sz w:val="16"/>
                <w:szCs w:val="16"/>
                <w:lang w:val="en-US"/>
              </w:rPr>
            </w:pPr>
            <w:r w:rsidRPr="00F01347">
              <w:rPr>
                <w:rFonts w:ascii="Verdana" w:hAnsi="Verdana"/>
                <w:sz w:val="16"/>
                <w:szCs w:val="16"/>
                <w:lang w:val="en-US"/>
              </w:rPr>
              <w:t>16 to 25 real sample no.11 to 20</w:t>
            </w:r>
          </w:p>
        </w:tc>
      </w:tr>
      <w:tr w:rsidR="00BE29A3" w:rsidRPr="00F01347" w14:paraId="2A8C2D20" w14:textId="0A6038F7" w:rsidTr="008F5DC7">
        <w:tc>
          <w:tcPr>
            <w:tcW w:w="4675" w:type="dxa"/>
          </w:tcPr>
          <w:p w14:paraId="25257F2A" w14:textId="77777777" w:rsidR="00BE29A3" w:rsidRPr="00F01347" w:rsidRDefault="00BE29A3" w:rsidP="00BE29A3">
            <w:pPr>
              <w:pStyle w:val="texto0"/>
              <w:ind w:firstLine="0"/>
              <w:rPr>
                <w:rFonts w:ascii="Verdana" w:hAnsi="Verdana"/>
                <w:sz w:val="16"/>
                <w:szCs w:val="16"/>
              </w:rPr>
            </w:pPr>
            <w:r w:rsidRPr="00F01347">
              <w:rPr>
                <w:rFonts w:ascii="Verdana" w:hAnsi="Verdana"/>
                <w:sz w:val="16"/>
                <w:szCs w:val="16"/>
              </w:rPr>
              <w:t>26 muestra duplicada (si se realizó)</w:t>
            </w:r>
          </w:p>
        </w:tc>
        <w:tc>
          <w:tcPr>
            <w:tcW w:w="4675" w:type="dxa"/>
          </w:tcPr>
          <w:p w14:paraId="28760B3D" w14:textId="69E673FD" w:rsidR="00BE29A3" w:rsidRPr="00F01347" w:rsidRDefault="00BE29A3" w:rsidP="00BE29A3">
            <w:pPr>
              <w:pStyle w:val="texto0"/>
              <w:ind w:firstLine="0"/>
              <w:rPr>
                <w:rFonts w:ascii="Verdana" w:hAnsi="Verdana"/>
                <w:sz w:val="16"/>
                <w:szCs w:val="16"/>
                <w:lang w:val="en-US"/>
              </w:rPr>
            </w:pPr>
            <w:r w:rsidRPr="00F01347">
              <w:rPr>
                <w:rFonts w:ascii="Verdana" w:hAnsi="Verdana"/>
                <w:sz w:val="16"/>
                <w:szCs w:val="16"/>
                <w:lang w:val="en-US"/>
              </w:rPr>
              <w:t>26 duplicate sample (if performed)</w:t>
            </w:r>
          </w:p>
        </w:tc>
      </w:tr>
      <w:tr w:rsidR="00BE29A3" w:rsidRPr="00F01347" w14:paraId="03D5B4DE" w14:textId="323F54E4" w:rsidTr="008F5DC7">
        <w:tc>
          <w:tcPr>
            <w:tcW w:w="4675" w:type="dxa"/>
          </w:tcPr>
          <w:p w14:paraId="5EABE74F" w14:textId="77777777" w:rsidR="00BE29A3" w:rsidRPr="00F01347" w:rsidRDefault="00BE29A3" w:rsidP="00BE29A3">
            <w:pPr>
              <w:pStyle w:val="texto0"/>
              <w:ind w:firstLine="0"/>
              <w:rPr>
                <w:rFonts w:ascii="Verdana" w:hAnsi="Verdana"/>
                <w:sz w:val="16"/>
                <w:szCs w:val="16"/>
              </w:rPr>
            </w:pPr>
            <w:r w:rsidRPr="00F01347">
              <w:rPr>
                <w:rFonts w:ascii="Verdana" w:hAnsi="Verdana"/>
                <w:sz w:val="16"/>
                <w:szCs w:val="16"/>
              </w:rPr>
              <w:t>27 muestra adicionada (si se realizó)</w:t>
            </w:r>
          </w:p>
        </w:tc>
        <w:tc>
          <w:tcPr>
            <w:tcW w:w="4675" w:type="dxa"/>
          </w:tcPr>
          <w:p w14:paraId="42A87569" w14:textId="48FCAE6A" w:rsidR="00BE29A3" w:rsidRPr="00F01347" w:rsidRDefault="00BE29A3" w:rsidP="00BE29A3">
            <w:pPr>
              <w:pStyle w:val="texto0"/>
              <w:ind w:firstLine="0"/>
              <w:rPr>
                <w:rFonts w:ascii="Verdana" w:hAnsi="Verdana"/>
                <w:sz w:val="16"/>
                <w:szCs w:val="16"/>
                <w:lang w:val="en-US"/>
              </w:rPr>
            </w:pPr>
            <w:r w:rsidRPr="00F01347">
              <w:rPr>
                <w:rFonts w:ascii="Verdana" w:hAnsi="Verdana"/>
                <w:sz w:val="16"/>
                <w:szCs w:val="16"/>
                <w:lang w:val="en-US"/>
              </w:rPr>
              <w:t>27 added sample (if performed)</w:t>
            </w:r>
          </w:p>
        </w:tc>
      </w:tr>
      <w:tr w:rsidR="00BE29A3" w:rsidRPr="00F01347" w14:paraId="634E5D45" w14:textId="2791FAD5" w:rsidTr="008F5DC7">
        <w:tc>
          <w:tcPr>
            <w:tcW w:w="4675" w:type="dxa"/>
          </w:tcPr>
          <w:p w14:paraId="38886318" w14:textId="77777777" w:rsidR="00BE29A3" w:rsidRPr="00F01347" w:rsidRDefault="00BE29A3" w:rsidP="00BE29A3">
            <w:pPr>
              <w:pStyle w:val="texto0"/>
              <w:ind w:firstLine="0"/>
              <w:rPr>
                <w:rFonts w:ascii="Verdana" w:hAnsi="Verdana"/>
                <w:sz w:val="16"/>
                <w:szCs w:val="16"/>
              </w:rPr>
            </w:pPr>
            <w:r w:rsidRPr="00F01347">
              <w:rPr>
                <w:rFonts w:ascii="Verdana" w:hAnsi="Verdana"/>
                <w:sz w:val="16"/>
                <w:szCs w:val="16"/>
              </w:rPr>
              <w:t>28 muestra de verificación de la calibración continua</w:t>
            </w:r>
          </w:p>
        </w:tc>
        <w:tc>
          <w:tcPr>
            <w:tcW w:w="4675" w:type="dxa"/>
          </w:tcPr>
          <w:p w14:paraId="26507979" w14:textId="20BBFBDD" w:rsidR="00BE29A3" w:rsidRPr="00F01347" w:rsidRDefault="00BE29A3" w:rsidP="00BE29A3">
            <w:pPr>
              <w:pStyle w:val="texto0"/>
              <w:ind w:firstLine="0"/>
              <w:rPr>
                <w:rFonts w:ascii="Verdana" w:hAnsi="Verdana"/>
                <w:sz w:val="16"/>
                <w:szCs w:val="16"/>
                <w:lang w:val="en-US"/>
              </w:rPr>
            </w:pPr>
            <w:r w:rsidRPr="00F01347">
              <w:rPr>
                <w:rFonts w:ascii="Verdana" w:hAnsi="Verdana"/>
                <w:sz w:val="16"/>
                <w:szCs w:val="16"/>
                <w:lang w:val="en-US"/>
              </w:rPr>
              <w:t>28 continuous calibration verification sample</w:t>
            </w:r>
          </w:p>
        </w:tc>
      </w:tr>
      <w:tr w:rsidR="00BE29A3" w:rsidRPr="00F01347" w14:paraId="19E92B16" w14:textId="31B38F32" w:rsidTr="008F5DC7">
        <w:tc>
          <w:tcPr>
            <w:tcW w:w="4675" w:type="dxa"/>
          </w:tcPr>
          <w:p w14:paraId="505CF9D4" w14:textId="77777777" w:rsidR="00BE29A3" w:rsidRPr="00F01347" w:rsidRDefault="00BE29A3" w:rsidP="00BE29A3">
            <w:pPr>
              <w:pStyle w:val="texto0"/>
              <w:ind w:firstLine="0"/>
              <w:rPr>
                <w:rFonts w:ascii="Verdana" w:hAnsi="Verdana"/>
                <w:sz w:val="16"/>
                <w:szCs w:val="16"/>
              </w:rPr>
            </w:pPr>
            <w:r w:rsidRPr="00F01347">
              <w:rPr>
                <w:rFonts w:ascii="Verdana" w:hAnsi="Verdana"/>
                <w:sz w:val="16"/>
                <w:szCs w:val="16"/>
              </w:rPr>
              <w:t>Las muestras de verificación de la calibración continua se correrán cada 10 muestras reales y al final de cada lote.</w:t>
            </w:r>
          </w:p>
        </w:tc>
        <w:tc>
          <w:tcPr>
            <w:tcW w:w="4675" w:type="dxa"/>
          </w:tcPr>
          <w:p w14:paraId="50894DED" w14:textId="66BA2194" w:rsidR="00BE29A3" w:rsidRPr="00F01347" w:rsidRDefault="00BE29A3" w:rsidP="00BE29A3">
            <w:pPr>
              <w:pStyle w:val="texto0"/>
              <w:ind w:firstLine="0"/>
              <w:rPr>
                <w:rFonts w:ascii="Verdana" w:hAnsi="Verdana"/>
                <w:sz w:val="16"/>
                <w:szCs w:val="16"/>
                <w:lang w:val="en-US"/>
              </w:rPr>
            </w:pPr>
            <w:r w:rsidRPr="00F01347">
              <w:rPr>
                <w:rFonts w:ascii="Verdana" w:hAnsi="Verdana"/>
                <w:sz w:val="16"/>
                <w:szCs w:val="16"/>
                <w:lang w:val="en-US"/>
              </w:rPr>
              <w:t>Continuous calibration verification samples will be run every 10 actual samples and at the end of each batch.</w:t>
            </w:r>
          </w:p>
        </w:tc>
      </w:tr>
      <w:tr w:rsidR="00BE29A3" w:rsidRPr="00F01347" w14:paraId="62270CED" w14:textId="09E7B288" w:rsidTr="008F5DC7">
        <w:tc>
          <w:tcPr>
            <w:tcW w:w="4675" w:type="dxa"/>
          </w:tcPr>
          <w:p w14:paraId="2126A224" w14:textId="77777777" w:rsidR="00BE29A3" w:rsidRPr="00F01347" w:rsidRDefault="00BE29A3" w:rsidP="00BE29A3">
            <w:pPr>
              <w:pStyle w:val="texto0"/>
              <w:ind w:firstLine="0"/>
              <w:rPr>
                <w:rFonts w:ascii="Verdana" w:hAnsi="Verdana"/>
                <w:sz w:val="16"/>
                <w:szCs w:val="16"/>
              </w:rPr>
            </w:pPr>
            <w:r w:rsidRPr="00F01347">
              <w:rPr>
                <w:rFonts w:ascii="Verdana" w:hAnsi="Verdana"/>
                <w:b/>
                <w:sz w:val="16"/>
                <w:szCs w:val="16"/>
              </w:rPr>
              <w:t xml:space="preserve">B.5.8.1.10 </w:t>
            </w:r>
            <w:r w:rsidRPr="00F01347">
              <w:rPr>
                <w:rFonts w:ascii="Verdana" w:hAnsi="Verdana"/>
                <w:sz w:val="16"/>
                <w:szCs w:val="16"/>
              </w:rPr>
              <w:t>Dependiendo de los requerimientos del programa específico de control de calidad, puede requerirse los duplicados de campo, para evaluar la precisión y la exactitud del muestreo y técnicas de transportación de la muestra.</w:t>
            </w:r>
          </w:p>
        </w:tc>
        <w:tc>
          <w:tcPr>
            <w:tcW w:w="4675" w:type="dxa"/>
          </w:tcPr>
          <w:p w14:paraId="18B8C0E8" w14:textId="0DA711DF" w:rsidR="00BE29A3" w:rsidRPr="00F01347" w:rsidRDefault="00BE29A3" w:rsidP="00BE29A3">
            <w:pPr>
              <w:pStyle w:val="texto0"/>
              <w:ind w:firstLine="0"/>
              <w:rPr>
                <w:rFonts w:ascii="Verdana" w:hAnsi="Verdana"/>
                <w:b/>
                <w:sz w:val="16"/>
                <w:szCs w:val="16"/>
                <w:lang w:val="en-US"/>
              </w:rPr>
            </w:pPr>
            <w:r w:rsidRPr="00F01347">
              <w:rPr>
                <w:rFonts w:ascii="Verdana" w:hAnsi="Verdana"/>
                <w:b/>
                <w:sz w:val="16"/>
                <w:szCs w:val="16"/>
                <w:lang w:val="en-US"/>
              </w:rPr>
              <w:t xml:space="preserve">B.5.8.1.10 </w:t>
            </w:r>
            <w:r w:rsidRPr="00F01347">
              <w:rPr>
                <w:rFonts w:ascii="Verdana" w:hAnsi="Verdana"/>
                <w:sz w:val="16"/>
                <w:szCs w:val="16"/>
                <w:lang w:val="en-US"/>
              </w:rPr>
              <w:t>Depending on the requirements of the specific quality control program, field duplicates may be required to evaluate the precision and accuracy of sampling and sample transportation techniques.</w:t>
            </w:r>
          </w:p>
        </w:tc>
      </w:tr>
      <w:tr w:rsidR="00BE29A3" w:rsidRPr="00F01347" w14:paraId="54716902" w14:textId="77777777" w:rsidTr="008F5DC7">
        <w:tc>
          <w:tcPr>
            <w:tcW w:w="4675" w:type="dxa"/>
          </w:tcPr>
          <w:p w14:paraId="326A2B14" w14:textId="1240328E" w:rsidR="00BE29A3" w:rsidRPr="00F01347" w:rsidRDefault="00BE29A3" w:rsidP="00BE29A3">
            <w:pPr>
              <w:pStyle w:val="texto0"/>
              <w:rPr>
                <w:rFonts w:ascii="Verdana" w:hAnsi="Verdana"/>
                <w:sz w:val="16"/>
                <w:szCs w:val="16"/>
              </w:rPr>
            </w:pPr>
            <w:r w:rsidRPr="00F01347">
              <w:rPr>
                <w:rFonts w:ascii="Verdana" w:hAnsi="Verdana"/>
                <w:b/>
                <w:sz w:val="16"/>
                <w:szCs w:val="16"/>
              </w:rPr>
              <w:t xml:space="preserve">B.5.8.1.11 </w:t>
            </w:r>
            <w:r w:rsidRPr="00F01347">
              <w:rPr>
                <w:rFonts w:ascii="Verdana" w:hAnsi="Verdana"/>
                <w:sz w:val="16"/>
                <w:szCs w:val="16"/>
              </w:rPr>
              <w:t>Especificaciones de aceptación y rechazo</w:t>
            </w:r>
          </w:p>
        </w:tc>
        <w:tc>
          <w:tcPr>
            <w:tcW w:w="4675" w:type="dxa"/>
          </w:tcPr>
          <w:p w14:paraId="2E036CCB" w14:textId="5D654917" w:rsidR="00BE29A3" w:rsidRPr="00F01347" w:rsidRDefault="00BE29A3" w:rsidP="00BE29A3">
            <w:pPr>
              <w:pStyle w:val="texto0"/>
              <w:ind w:firstLine="0"/>
              <w:rPr>
                <w:rFonts w:ascii="Verdana" w:hAnsi="Verdana"/>
                <w:b/>
                <w:sz w:val="16"/>
                <w:szCs w:val="16"/>
                <w:lang w:val="en-US"/>
              </w:rPr>
            </w:pPr>
            <w:r w:rsidRPr="00F01347">
              <w:rPr>
                <w:rFonts w:ascii="Verdana" w:hAnsi="Verdana"/>
                <w:b/>
                <w:sz w:val="16"/>
                <w:szCs w:val="16"/>
                <w:lang w:val="en-US"/>
              </w:rPr>
              <w:t xml:space="preserve">B.5.8.1.11 </w:t>
            </w:r>
            <w:r w:rsidRPr="00F01347">
              <w:rPr>
                <w:rFonts w:ascii="Verdana" w:hAnsi="Verdana"/>
                <w:sz w:val="16"/>
                <w:szCs w:val="16"/>
                <w:lang w:val="en-US"/>
              </w:rPr>
              <w:t>Acceptance and rejection specifications</w:t>
            </w:r>
          </w:p>
        </w:tc>
      </w:tr>
    </w:tbl>
    <w:p w14:paraId="433F6D78" w14:textId="77777777" w:rsidR="0055757A" w:rsidRPr="00F01347" w:rsidRDefault="0055757A" w:rsidP="003A601B">
      <w:pPr>
        <w:pStyle w:val="texto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365"/>
        <w:gridCol w:w="4347"/>
      </w:tblGrid>
      <w:tr w:rsidR="00A74CDF" w:rsidRPr="00F01347" w14:paraId="31CD59EA" w14:textId="77777777">
        <w:trPr>
          <w:trHeight w:val="144"/>
        </w:trPr>
        <w:tc>
          <w:tcPr>
            <w:tcW w:w="8712" w:type="dxa"/>
            <w:gridSpan w:val="2"/>
            <w:tcBorders>
              <w:top w:val="single" w:sz="6" w:space="0" w:color="auto"/>
              <w:left w:val="single" w:sz="6" w:space="0" w:color="auto"/>
              <w:bottom w:val="single" w:sz="6" w:space="0" w:color="auto"/>
              <w:right w:val="single" w:sz="6" w:space="0" w:color="auto"/>
            </w:tcBorders>
            <w:noWrap/>
          </w:tcPr>
          <w:p w14:paraId="28B48E8C"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VERIFICACIÓN DEL EQUIPO</w:t>
            </w:r>
          </w:p>
        </w:tc>
      </w:tr>
      <w:tr w:rsidR="00A74CDF" w:rsidRPr="00F01347" w14:paraId="3D4EFBAD" w14:textId="77777777">
        <w:trPr>
          <w:trHeight w:val="144"/>
        </w:trPr>
        <w:tc>
          <w:tcPr>
            <w:tcW w:w="4365" w:type="dxa"/>
            <w:tcBorders>
              <w:top w:val="single" w:sz="6" w:space="0" w:color="auto"/>
              <w:left w:val="single" w:sz="6" w:space="0" w:color="auto"/>
              <w:bottom w:val="single" w:sz="6" w:space="0" w:color="auto"/>
              <w:right w:val="single" w:sz="6" w:space="0" w:color="auto"/>
            </w:tcBorders>
          </w:tcPr>
          <w:p w14:paraId="2DFF43AB"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Punto de Verificación</w:t>
            </w:r>
          </w:p>
        </w:tc>
        <w:tc>
          <w:tcPr>
            <w:tcW w:w="4347" w:type="dxa"/>
            <w:tcBorders>
              <w:top w:val="single" w:sz="6" w:space="0" w:color="auto"/>
              <w:left w:val="single" w:sz="6" w:space="0" w:color="auto"/>
              <w:bottom w:val="single" w:sz="6" w:space="0" w:color="auto"/>
              <w:right w:val="single" w:sz="6" w:space="0" w:color="auto"/>
            </w:tcBorders>
          </w:tcPr>
          <w:p w14:paraId="34D3D2E9"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Criterio</w:t>
            </w:r>
          </w:p>
        </w:tc>
      </w:tr>
      <w:tr w:rsidR="00A74CDF" w:rsidRPr="00F01347" w14:paraId="506AC121" w14:textId="77777777">
        <w:trPr>
          <w:trHeight w:val="144"/>
        </w:trPr>
        <w:tc>
          <w:tcPr>
            <w:tcW w:w="4365" w:type="dxa"/>
            <w:tcBorders>
              <w:top w:val="single" w:sz="6" w:space="0" w:color="auto"/>
              <w:left w:val="single" w:sz="6" w:space="0" w:color="auto"/>
              <w:bottom w:val="single" w:sz="6" w:space="0" w:color="auto"/>
              <w:right w:val="single" w:sz="6" w:space="0" w:color="auto"/>
            </w:tcBorders>
          </w:tcPr>
          <w:p w14:paraId="1A19FD2F"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Equipo libre de interferencias (blanco electrónico)</w:t>
            </w:r>
          </w:p>
        </w:tc>
        <w:tc>
          <w:tcPr>
            <w:tcW w:w="4347" w:type="dxa"/>
            <w:tcBorders>
              <w:top w:val="single" w:sz="6" w:space="0" w:color="auto"/>
              <w:left w:val="single" w:sz="6" w:space="0" w:color="auto"/>
              <w:bottom w:val="single" w:sz="6" w:space="0" w:color="auto"/>
              <w:right w:val="single" w:sz="6" w:space="0" w:color="auto"/>
            </w:tcBorders>
          </w:tcPr>
          <w:p w14:paraId="7212A5AD"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El blanco electrónico no debe presentar ningún pico o perfil de picos en ningún tiempo de retención</w:t>
            </w:r>
          </w:p>
        </w:tc>
      </w:tr>
      <w:tr w:rsidR="00A74CDF" w:rsidRPr="00F01347" w14:paraId="0636B429" w14:textId="77777777">
        <w:trPr>
          <w:trHeight w:val="144"/>
        </w:trPr>
        <w:tc>
          <w:tcPr>
            <w:tcW w:w="8712" w:type="dxa"/>
            <w:gridSpan w:val="2"/>
            <w:tcBorders>
              <w:top w:val="single" w:sz="6" w:space="0" w:color="auto"/>
              <w:left w:val="single" w:sz="6" w:space="0" w:color="auto"/>
              <w:bottom w:val="single" w:sz="6" w:space="0" w:color="auto"/>
              <w:right w:val="single" w:sz="6" w:space="0" w:color="auto"/>
            </w:tcBorders>
          </w:tcPr>
          <w:p w14:paraId="2A7FDC64"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VERIFICACIÓN DE LA CALIBRACIÓN INICIAL</w:t>
            </w:r>
          </w:p>
        </w:tc>
      </w:tr>
      <w:tr w:rsidR="00A74CDF" w:rsidRPr="00F01347" w14:paraId="61A308AC" w14:textId="77777777">
        <w:trPr>
          <w:trHeight w:val="144"/>
        </w:trPr>
        <w:tc>
          <w:tcPr>
            <w:tcW w:w="4365" w:type="dxa"/>
            <w:tcBorders>
              <w:top w:val="single" w:sz="6" w:space="0" w:color="auto"/>
              <w:left w:val="single" w:sz="6" w:space="0" w:color="auto"/>
              <w:bottom w:val="single" w:sz="6" w:space="0" w:color="auto"/>
              <w:right w:val="single" w:sz="6" w:space="0" w:color="auto"/>
            </w:tcBorders>
          </w:tcPr>
          <w:p w14:paraId="7BAA3579"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Punto de Verificación</w:t>
            </w:r>
          </w:p>
        </w:tc>
        <w:tc>
          <w:tcPr>
            <w:tcW w:w="4347" w:type="dxa"/>
            <w:tcBorders>
              <w:top w:val="single" w:sz="6" w:space="0" w:color="auto"/>
              <w:left w:val="single" w:sz="6" w:space="0" w:color="auto"/>
              <w:bottom w:val="single" w:sz="6" w:space="0" w:color="auto"/>
              <w:right w:val="single" w:sz="6" w:space="0" w:color="auto"/>
            </w:tcBorders>
          </w:tcPr>
          <w:p w14:paraId="4BD26615"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Criterio</w:t>
            </w:r>
          </w:p>
        </w:tc>
      </w:tr>
      <w:tr w:rsidR="00A74CDF" w:rsidRPr="00F01347" w14:paraId="07B631F8" w14:textId="77777777">
        <w:trPr>
          <w:trHeight w:val="144"/>
        </w:trPr>
        <w:tc>
          <w:tcPr>
            <w:tcW w:w="4365" w:type="dxa"/>
            <w:tcBorders>
              <w:top w:val="single" w:sz="6" w:space="0" w:color="auto"/>
              <w:left w:val="single" w:sz="6" w:space="0" w:color="auto"/>
              <w:bottom w:val="single" w:sz="6" w:space="0" w:color="auto"/>
              <w:right w:val="single" w:sz="6" w:space="0" w:color="auto"/>
            </w:tcBorders>
          </w:tcPr>
          <w:p w14:paraId="46908E8B"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Evaluación de la mezcla de verificación (punto intermedio de la curva)</w:t>
            </w:r>
          </w:p>
        </w:tc>
        <w:tc>
          <w:tcPr>
            <w:tcW w:w="4347" w:type="dxa"/>
            <w:tcBorders>
              <w:top w:val="single" w:sz="6" w:space="0" w:color="auto"/>
              <w:left w:val="single" w:sz="6" w:space="0" w:color="auto"/>
              <w:bottom w:val="single" w:sz="6" w:space="0" w:color="auto"/>
              <w:right w:val="single" w:sz="6" w:space="0" w:color="auto"/>
            </w:tcBorders>
          </w:tcPr>
          <w:p w14:paraId="32B93F17"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Diferencia de concentración ≤15%</w:t>
            </w:r>
          </w:p>
        </w:tc>
      </w:tr>
      <w:tr w:rsidR="00A74CDF" w:rsidRPr="00F01347" w14:paraId="0532D317" w14:textId="77777777">
        <w:trPr>
          <w:trHeight w:val="144"/>
        </w:trPr>
        <w:tc>
          <w:tcPr>
            <w:tcW w:w="8712" w:type="dxa"/>
            <w:gridSpan w:val="2"/>
            <w:tcBorders>
              <w:top w:val="single" w:sz="6" w:space="0" w:color="auto"/>
              <w:left w:val="single" w:sz="6" w:space="0" w:color="auto"/>
              <w:bottom w:val="single" w:sz="6" w:space="0" w:color="auto"/>
              <w:right w:val="single" w:sz="6" w:space="0" w:color="auto"/>
            </w:tcBorders>
          </w:tcPr>
          <w:p w14:paraId="73A7BE0C"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VERIFICACIÓN DE LA CONTAMINACIÓN DE REACTIVOS</w:t>
            </w:r>
          </w:p>
        </w:tc>
      </w:tr>
      <w:tr w:rsidR="00A74CDF" w:rsidRPr="00F01347" w14:paraId="64FEDD9D" w14:textId="77777777">
        <w:trPr>
          <w:trHeight w:val="144"/>
        </w:trPr>
        <w:tc>
          <w:tcPr>
            <w:tcW w:w="4365" w:type="dxa"/>
            <w:tcBorders>
              <w:top w:val="single" w:sz="6" w:space="0" w:color="auto"/>
              <w:left w:val="single" w:sz="6" w:space="0" w:color="auto"/>
              <w:bottom w:val="single" w:sz="6" w:space="0" w:color="auto"/>
              <w:right w:val="single" w:sz="6" w:space="0" w:color="auto"/>
            </w:tcBorders>
          </w:tcPr>
          <w:p w14:paraId="09D8CF3C"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Punto de Verificación</w:t>
            </w:r>
          </w:p>
        </w:tc>
        <w:tc>
          <w:tcPr>
            <w:tcW w:w="4347" w:type="dxa"/>
            <w:tcBorders>
              <w:top w:val="single" w:sz="6" w:space="0" w:color="auto"/>
              <w:left w:val="single" w:sz="6" w:space="0" w:color="auto"/>
              <w:bottom w:val="single" w:sz="6" w:space="0" w:color="auto"/>
              <w:right w:val="single" w:sz="6" w:space="0" w:color="auto"/>
            </w:tcBorders>
          </w:tcPr>
          <w:p w14:paraId="5D92D4E9"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Criterio</w:t>
            </w:r>
          </w:p>
        </w:tc>
      </w:tr>
      <w:tr w:rsidR="00A74CDF" w:rsidRPr="00F01347" w14:paraId="0C0C5F35" w14:textId="77777777">
        <w:trPr>
          <w:trHeight w:val="144"/>
        </w:trPr>
        <w:tc>
          <w:tcPr>
            <w:tcW w:w="4365" w:type="dxa"/>
            <w:tcBorders>
              <w:top w:val="single" w:sz="6" w:space="0" w:color="auto"/>
              <w:left w:val="single" w:sz="6" w:space="0" w:color="auto"/>
              <w:bottom w:val="single" w:sz="6" w:space="0" w:color="auto"/>
              <w:right w:val="single" w:sz="6" w:space="0" w:color="auto"/>
            </w:tcBorders>
          </w:tcPr>
          <w:p w14:paraId="2088AA40"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Blanco de reactivos</w:t>
            </w:r>
          </w:p>
        </w:tc>
        <w:tc>
          <w:tcPr>
            <w:tcW w:w="4347" w:type="dxa"/>
            <w:tcBorders>
              <w:top w:val="single" w:sz="6" w:space="0" w:color="auto"/>
              <w:left w:val="single" w:sz="6" w:space="0" w:color="auto"/>
              <w:bottom w:val="single" w:sz="6" w:space="0" w:color="auto"/>
              <w:right w:val="single" w:sz="6" w:space="0" w:color="auto"/>
            </w:tcBorders>
          </w:tcPr>
          <w:p w14:paraId="35F82767"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No debe presentar picos al tiempo de retención de los analitos &gt; al LDM</w:t>
            </w:r>
          </w:p>
        </w:tc>
      </w:tr>
      <w:tr w:rsidR="00A74CDF" w:rsidRPr="00F01347" w14:paraId="7964536A" w14:textId="77777777">
        <w:trPr>
          <w:trHeight w:val="144"/>
        </w:trPr>
        <w:tc>
          <w:tcPr>
            <w:tcW w:w="8712" w:type="dxa"/>
            <w:gridSpan w:val="2"/>
            <w:tcBorders>
              <w:top w:val="single" w:sz="6" w:space="0" w:color="auto"/>
              <w:left w:val="single" w:sz="6" w:space="0" w:color="auto"/>
              <w:bottom w:val="single" w:sz="6" w:space="0" w:color="auto"/>
              <w:right w:val="single" w:sz="6" w:space="0" w:color="auto"/>
            </w:tcBorders>
          </w:tcPr>
          <w:p w14:paraId="51AD1DFD"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VERIFICACIÓN DEL PROCESO ANALÍTICO</w:t>
            </w:r>
          </w:p>
        </w:tc>
      </w:tr>
      <w:tr w:rsidR="00A74CDF" w:rsidRPr="00F01347" w14:paraId="78E37D44" w14:textId="77777777">
        <w:trPr>
          <w:trHeight w:val="144"/>
        </w:trPr>
        <w:tc>
          <w:tcPr>
            <w:tcW w:w="4365" w:type="dxa"/>
            <w:tcBorders>
              <w:top w:val="single" w:sz="6" w:space="0" w:color="auto"/>
              <w:left w:val="single" w:sz="6" w:space="0" w:color="auto"/>
              <w:bottom w:val="single" w:sz="6" w:space="0" w:color="auto"/>
              <w:right w:val="single" w:sz="6" w:space="0" w:color="auto"/>
            </w:tcBorders>
          </w:tcPr>
          <w:p w14:paraId="18E107EA"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Punto de Verificación</w:t>
            </w:r>
          </w:p>
        </w:tc>
        <w:tc>
          <w:tcPr>
            <w:tcW w:w="4347" w:type="dxa"/>
            <w:tcBorders>
              <w:top w:val="single" w:sz="6" w:space="0" w:color="auto"/>
              <w:left w:val="single" w:sz="6" w:space="0" w:color="auto"/>
              <w:bottom w:val="single" w:sz="6" w:space="0" w:color="auto"/>
              <w:right w:val="single" w:sz="6" w:space="0" w:color="auto"/>
            </w:tcBorders>
          </w:tcPr>
          <w:p w14:paraId="0BF95FF9"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Criterio</w:t>
            </w:r>
          </w:p>
        </w:tc>
      </w:tr>
      <w:tr w:rsidR="00A74CDF" w:rsidRPr="00F01347" w14:paraId="35950BFC" w14:textId="77777777">
        <w:trPr>
          <w:trHeight w:val="144"/>
        </w:trPr>
        <w:tc>
          <w:tcPr>
            <w:tcW w:w="4365" w:type="dxa"/>
            <w:tcBorders>
              <w:top w:val="single" w:sz="6" w:space="0" w:color="auto"/>
              <w:left w:val="single" w:sz="6" w:space="0" w:color="auto"/>
              <w:bottom w:val="single" w:sz="6" w:space="0" w:color="auto"/>
              <w:right w:val="single" w:sz="6" w:space="0" w:color="auto"/>
            </w:tcBorders>
          </w:tcPr>
          <w:p w14:paraId="4A49812E"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Muestra control de calidad</w:t>
            </w:r>
          </w:p>
        </w:tc>
        <w:tc>
          <w:tcPr>
            <w:tcW w:w="4347" w:type="dxa"/>
            <w:tcBorders>
              <w:top w:val="single" w:sz="6" w:space="0" w:color="auto"/>
              <w:left w:val="single" w:sz="6" w:space="0" w:color="auto"/>
              <w:bottom w:val="single" w:sz="6" w:space="0" w:color="auto"/>
              <w:right w:val="single" w:sz="6" w:space="0" w:color="auto"/>
            </w:tcBorders>
          </w:tcPr>
          <w:p w14:paraId="00ED95B6"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 de recuperación de 70 a 130%</w:t>
            </w:r>
          </w:p>
        </w:tc>
      </w:tr>
      <w:tr w:rsidR="00A74CDF" w:rsidRPr="00F01347" w14:paraId="4C4E0900" w14:textId="77777777">
        <w:trPr>
          <w:trHeight w:val="144"/>
        </w:trPr>
        <w:tc>
          <w:tcPr>
            <w:tcW w:w="8712" w:type="dxa"/>
            <w:gridSpan w:val="2"/>
            <w:tcBorders>
              <w:top w:val="single" w:sz="6" w:space="0" w:color="auto"/>
              <w:left w:val="single" w:sz="6" w:space="0" w:color="auto"/>
              <w:bottom w:val="single" w:sz="6" w:space="0" w:color="auto"/>
              <w:right w:val="single" w:sz="6" w:space="0" w:color="auto"/>
            </w:tcBorders>
          </w:tcPr>
          <w:p w14:paraId="31F9841D"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b/>
                <w:sz w:val="16"/>
                <w:szCs w:val="16"/>
              </w:rPr>
              <w:t>VERIFICACIÓN DE INTERFERENCIAS DE MATRIZ</w:t>
            </w:r>
          </w:p>
        </w:tc>
      </w:tr>
      <w:tr w:rsidR="00A74CDF" w:rsidRPr="00F01347" w14:paraId="75F42BFD" w14:textId="77777777">
        <w:trPr>
          <w:trHeight w:val="144"/>
        </w:trPr>
        <w:tc>
          <w:tcPr>
            <w:tcW w:w="4365" w:type="dxa"/>
            <w:tcBorders>
              <w:top w:val="single" w:sz="6" w:space="0" w:color="auto"/>
              <w:left w:val="single" w:sz="6" w:space="0" w:color="auto"/>
              <w:bottom w:val="single" w:sz="6" w:space="0" w:color="auto"/>
              <w:right w:val="single" w:sz="6" w:space="0" w:color="auto"/>
            </w:tcBorders>
          </w:tcPr>
          <w:p w14:paraId="68BC353E"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Punto de Verificación</w:t>
            </w:r>
          </w:p>
        </w:tc>
        <w:tc>
          <w:tcPr>
            <w:tcW w:w="4347" w:type="dxa"/>
            <w:tcBorders>
              <w:top w:val="single" w:sz="6" w:space="0" w:color="auto"/>
              <w:left w:val="single" w:sz="6" w:space="0" w:color="auto"/>
              <w:bottom w:val="single" w:sz="6" w:space="0" w:color="auto"/>
              <w:right w:val="single" w:sz="6" w:space="0" w:color="auto"/>
            </w:tcBorders>
          </w:tcPr>
          <w:p w14:paraId="1753691D"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Criterio</w:t>
            </w:r>
          </w:p>
        </w:tc>
      </w:tr>
      <w:tr w:rsidR="00A74CDF" w:rsidRPr="00F01347" w14:paraId="16BF6AF2" w14:textId="77777777">
        <w:trPr>
          <w:trHeight w:val="144"/>
        </w:trPr>
        <w:tc>
          <w:tcPr>
            <w:tcW w:w="4365" w:type="dxa"/>
            <w:tcBorders>
              <w:top w:val="single" w:sz="6" w:space="0" w:color="auto"/>
              <w:left w:val="single" w:sz="6" w:space="0" w:color="auto"/>
              <w:bottom w:val="single" w:sz="6" w:space="0" w:color="auto"/>
              <w:right w:val="single" w:sz="6" w:space="0" w:color="auto"/>
            </w:tcBorders>
          </w:tcPr>
          <w:p w14:paraId="33487A6D"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Evaluación de muestras adicionadas</w:t>
            </w:r>
          </w:p>
        </w:tc>
        <w:tc>
          <w:tcPr>
            <w:tcW w:w="4347" w:type="dxa"/>
            <w:tcBorders>
              <w:top w:val="single" w:sz="6" w:space="0" w:color="auto"/>
              <w:left w:val="single" w:sz="6" w:space="0" w:color="auto"/>
              <w:bottom w:val="single" w:sz="6" w:space="0" w:color="auto"/>
              <w:right w:val="single" w:sz="6" w:space="0" w:color="auto"/>
            </w:tcBorders>
          </w:tcPr>
          <w:p w14:paraId="7E8D88A0"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 de recuperación de 70 a 130%</w:t>
            </w:r>
          </w:p>
        </w:tc>
      </w:tr>
      <w:tr w:rsidR="00A74CDF" w:rsidRPr="00F01347" w14:paraId="1FCCA258" w14:textId="77777777">
        <w:trPr>
          <w:trHeight w:val="144"/>
        </w:trPr>
        <w:tc>
          <w:tcPr>
            <w:tcW w:w="4365" w:type="dxa"/>
            <w:tcBorders>
              <w:top w:val="single" w:sz="6" w:space="0" w:color="auto"/>
              <w:left w:val="single" w:sz="6" w:space="0" w:color="auto"/>
              <w:bottom w:val="single" w:sz="6" w:space="0" w:color="auto"/>
              <w:right w:val="single" w:sz="6" w:space="0" w:color="auto"/>
            </w:tcBorders>
          </w:tcPr>
          <w:p w14:paraId="48769377"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Evaluación de muestras duplicadas</w:t>
            </w:r>
          </w:p>
        </w:tc>
        <w:tc>
          <w:tcPr>
            <w:tcW w:w="4347" w:type="dxa"/>
            <w:tcBorders>
              <w:top w:val="single" w:sz="6" w:space="0" w:color="auto"/>
              <w:left w:val="single" w:sz="6" w:space="0" w:color="auto"/>
              <w:bottom w:val="single" w:sz="6" w:space="0" w:color="auto"/>
              <w:right w:val="single" w:sz="6" w:space="0" w:color="auto"/>
            </w:tcBorders>
          </w:tcPr>
          <w:p w14:paraId="08041600"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La DPR entre la muestra y la muestra duplicada deberá cumplir con el criterio de aceptación ≤20%</w:t>
            </w:r>
          </w:p>
        </w:tc>
      </w:tr>
      <w:tr w:rsidR="00A74CDF" w:rsidRPr="00F01347" w14:paraId="350969C0" w14:textId="77777777">
        <w:trPr>
          <w:trHeight w:val="144"/>
        </w:trPr>
        <w:tc>
          <w:tcPr>
            <w:tcW w:w="8712" w:type="dxa"/>
            <w:gridSpan w:val="2"/>
            <w:tcBorders>
              <w:top w:val="single" w:sz="6" w:space="0" w:color="auto"/>
              <w:left w:val="single" w:sz="6" w:space="0" w:color="auto"/>
              <w:bottom w:val="single" w:sz="6" w:space="0" w:color="auto"/>
              <w:right w:val="single" w:sz="6" w:space="0" w:color="auto"/>
            </w:tcBorders>
          </w:tcPr>
          <w:p w14:paraId="087CC11F"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ESTABILIDAD DE LA CURVA DE CALIBRACIÓN</w:t>
            </w:r>
          </w:p>
        </w:tc>
      </w:tr>
      <w:tr w:rsidR="00A74CDF" w:rsidRPr="00F01347" w14:paraId="1A6D0FDA" w14:textId="77777777">
        <w:trPr>
          <w:trHeight w:val="144"/>
        </w:trPr>
        <w:tc>
          <w:tcPr>
            <w:tcW w:w="4365" w:type="dxa"/>
            <w:tcBorders>
              <w:top w:val="single" w:sz="6" w:space="0" w:color="auto"/>
              <w:left w:val="single" w:sz="6" w:space="0" w:color="auto"/>
              <w:bottom w:val="single" w:sz="6" w:space="0" w:color="auto"/>
              <w:right w:val="single" w:sz="6" w:space="0" w:color="auto"/>
            </w:tcBorders>
          </w:tcPr>
          <w:p w14:paraId="452ABA06"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Punto de Verificación</w:t>
            </w:r>
          </w:p>
        </w:tc>
        <w:tc>
          <w:tcPr>
            <w:tcW w:w="4347" w:type="dxa"/>
            <w:tcBorders>
              <w:top w:val="single" w:sz="6" w:space="0" w:color="auto"/>
              <w:left w:val="single" w:sz="6" w:space="0" w:color="auto"/>
              <w:bottom w:val="single" w:sz="6" w:space="0" w:color="auto"/>
              <w:right w:val="single" w:sz="6" w:space="0" w:color="auto"/>
            </w:tcBorders>
          </w:tcPr>
          <w:p w14:paraId="132F58C4"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Criterio</w:t>
            </w:r>
          </w:p>
        </w:tc>
      </w:tr>
      <w:tr w:rsidR="00A74CDF" w:rsidRPr="00F01347" w14:paraId="63A1FEFD" w14:textId="77777777">
        <w:trPr>
          <w:trHeight w:val="144"/>
        </w:trPr>
        <w:tc>
          <w:tcPr>
            <w:tcW w:w="4365" w:type="dxa"/>
            <w:tcBorders>
              <w:top w:val="single" w:sz="6" w:space="0" w:color="auto"/>
              <w:left w:val="single" w:sz="6" w:space="0" w:color="auto"/>
              <w:bottom w:val="single" w:sz="6" w:space="0" w:color="auto"/>
              <w:right w:val="single" w:sz="6" w:space="0" w:color="auto"/>
            </w:tcBorders>
          </w:tcPr>
          <w:p w14:paraId="6505DDF5"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Evaluación del estándar de verificación (cada 12h continuas de análisis)</w:t>
            </w:r>
          </w:p>
        </w:tc>
        <w:tc>
          <w:tcPr>
            <w:tcW w:w="4347" w:type="dxa"/>
            <w:tcBorders>
              <w:top w:val="single" w:sz="6" w:space="0" w:color="auto"/>
              <w:left w:val="single" w:sz="6" w:space="0" w:color="auto"/>
              <w:bottom w:val="single" w:sz="6" w:space="0" w:color="auto"/>
              <w:right w:val="single" w:sz="6" w:space="0" w:color="auto"/>
            </w:tcBorders>
          </w:tcPr>
          <w:p w14:paraId="2D20EFF3"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Diferencia de concentración ≤15%</w:t>
            </w:r>
          </w:p>
        </w:tc>
      </w:tr>
    </w:tbl>
    <w:p w14:paraId="58C01536" w14:textId="77777777" w:rsidR="00A74CDF" w:rsidRPr="00F01347" w:rsidRDefault="00A74CDF" w:rsidP="003A601B">
      <w:pPr>
        <w:pStyle w:val="texto0"/>
        <w:rPr>
          <w:rFonts w:ascii="Verdana" w:hAnsi="Verdana"/>
          <w:b/>
          <w:sz w:val="16"/>
          <w:szCs w:val="16"/>
        </w:rPr>
      </w:pPr>
    </w:p>
    <w:p w14:paraId="5BE497EE" w14:textId="77777777" w:rsidR="00DA341B" w:rsidRPr="00F01347" w:rsidRDefault="00DA341B" w:rsidP="00DA341B">
      <w:pPr>
        <w:pStyle w:val="texto0"/>
        <w:rPr>
          <w:rFonts w:ascii="Verdana" w:hAnsi="Verdana"/>
          <w:sz w:val="16"/>
          <w:szCs w:val="16"/>
          <w:lang w:val="en"/>
        </w:rPr>
      </w:pPr>
    </w:p>
    <w:p w14:paraId="51DA4B92" w14:textId="77777777" w:rsidR="0098410F" w:rsidRPr="00F01347" w:rsidRDefault="0098410F" w:rsidP="00DA341B">
      <w:pPr>
        <w:pStyle w:val="texto0"/>
        <w:rPr>
          <w:rFonts w:ascii="Verdana" w:hAnsi="Verdana"/>
          <w:sz w:val="16"/>
          <w:szCs w:val="16"/>
          <w:lang w:val="en"/>
        </w:rPr>
      </w:pPr>
    </w:p>
    <w:tbl>
      <w:tblPr>
        <w:tblW w:w="8715" w:type="dxa"/>
        <w:tblInd w:w="144" w:type="dxa"/>
        <w:tblLayout w:type="fixed"/>
        <w:tblCellMar>
          <w:left w:w="72" w:type="dxa"/>
          <w:right w:w="72" w:type="dxa"/>
        </w:tblCellMar>
        <w:tblLook w:val="04A0" w:firstRow="1" w:lastRow="0" w:firstColumn="1" w:lastColumn="0" w:noHBand="0" w:noVBand="1"/>
      </w:tblPr>
      <w:tblGrid>
        <w:gridCol w:w="4367"/>
        <w:gridCol w:w="4348"/>
      </w:tblGrid>
      <w:tr w:rsidR="00DA341B" w:rsidRPr="00F01347" w14:paraId="466D6ECB" w14:textId="77777777" w:rsidTr="0006497D">
        <w:trPr>
          <w:trHeight w:val="144"/>
        </w:trPr>
        <w:tc>
          <w:tcPr>
            <w:tcW w:w="8715" w:type="dxa"/>
            <w:gridSpan w:val="2"/>
            <w:tcBorders>
              <w:top w:val="single" w:sz="6" w:space="0" w:color="auto"/>
              <w:left w:val="single" w:sz="6" w:space="0" w:color="auto"/>
              <w:bottom w:val="single" w:sz="6" w:space="0" w:color="auto"/>
              <w:right w:val="single" w:sz="6" w:space="0" w:color="auto"/>
            </w:tcBorders>
            <w:noWrap/>
            <w:hideMark/>
          </w:tcPr>
          <w:p w14:paraId="6BA57B05"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EQUIPMENT VERIFICATION</w:t>
            </w:r>
          </w:p>
        </w:tc>
      </w:tr>
      <w:tr w:rsidR="00DA341B" w:rsidRPr="00F01347" w14:paraId="68465E3D" w14:textId="77777777" w:rsidTr="0006497D">
        <w:trPr>
          <w:trHeight w:val="144"/>
        </w:trPr>
        <w:tc>
          <w:tcPr>
            <w:tcW w:w="4367" w:type="dxa"/>
            <w:tcBorders>
              <w:top w:val="single" w:sz="6" w:space="0" w:color="auto"/>
              <w:left w:val="single" w:sz="6" w:space="0" w:color="auto"/>
              <w:bottom w:val="single" w:sz="6" w:space="0" w:color="auto"/>
              <w:right w:val="single" w:sz="6" w:space="0" w:color="auto"/>
            </w:tcBorders>
            <w:hideMark/>
          </w:tcPr>
          <w:p w14:paraId="6F4044E0"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Verification Point</w:t>
            </w:r>
          </w:p>
        </w:tc>
        <w:tc>
          <w:tcPr>
            <w:tcW w:w="4348" w:type="dxa"/>
            <w:tcBorders>
              <w:top w:val="single" w:sz="6" w:space="0" w:color="auto"/>
              <w:left w:val="single" w:sz="6" w:space="0" w:color="auto"/>
              <w:bottom w:val="single" w:sz="6" w:space="0" w:color="auto"/>
              <w:right w:val="single" w:sz="6" w:space="0" w:color="auto"/>
            </w:tcBorders>
            <w:hideMark/>
          </w:tcPr>
          <w:p w14:paraId="0F9F2B22"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Criterion</w:t>
            </w:r>
          </w:p>
        </w:tc>
      </w:tr>
      <w:tr w:rsidR="00DA341B" w:rsidRPr="00F01347" w14:paraId="35AA4FC0" w14:textId="77777777" w:rsidTr="0006497D">
        <w:trPr>
          <w:trHeight w:val="144"/>
        </w:trPr>
        <w:tc>
          <w:tcPr>
            <w:tcW w:w="4367" w:type="dxa"/>
            <w:tcBorders>
              <w:top w:val="single" w:sz="6" w:space="0" w:color="auto"/>
              <w:left w:val="single" w:sz="6" w:space="0" w:color="auto"/>
              <w:bottom w:val="single" w:sz="6" w:space="0" w:color="auto"/>
              <w:right w:val="single" w:sz="6" w:space="0" w:color="auto"/>
            </w:tcBorders>
            <w:hideMark/>
          </w:tcPr>
          <w:p w14:paraId="6E9A2E69"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Interference-free equipment (electronic white)</w:t>
            </w:r>
          </w:p>
        </w:tc>
        <w:tc>
          <w:tcPr>
            <w:tcW w:w="4348" w:type="dxa"/>
            <w:tcBorders>
              <w:top w:val="single" w:sz="6" w:space="0" w:color="auto"/>
              <w:left w:val="single" w:sz="6" w:space="0" w:color="auto"/>
              <w:bottom w:val="single" w:sz="6" w:space="0" w:color="auto"/>
              <w:right w:val="single" w:sz="6" w:space="0" w:color="auto"/>
            </w:tcBorders>
            <w:hideMark/>
          </w:tcPr>
          <w:p w14:paraId="2BF373B2" w14:textId="63F085C8"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 xml:space="preserve">The electronic </w:t>
            </w:r>
            <w:r w:rsidR="00C50A8A" w:rsidRPr="00F01347">
              <w:rPr>
                <w:rFonts w:ascii="Verdana" w:hAnsi="Verdana"/>
                <w:sz w:val="16"/>
                <w:szCs w:val="16"/>
                <w:lang w:val="en-US"/>
              </w:rPr>
              <w:t>blank</w:t>
            </w:r>
            <w:r w:rsidRPr="00F01347">
              <w:rPr>
                <w:rFonts w:ascii="Verdana" w:hAnsi="Verdana"/>
                <w:sz w:val="16"/>
                <w:szCs w:val="16"/>
                <w:lang w:val="en-US"/>
              </w:rPr>
              <w:t xml:space="preserve"> must not exhibit any peak or peak profile at any retention time.</w:t>
            </w:r>
          </w:p>
        </w:tc>
      </w:tr>
      <w:tr w:rsidR="00DA341B" w:rsidRPr="00F01347" w14:paraId="78430CE0" w14:textId="77777777" w:rsidTr="0006497D">
        <w:trPr>
          <w:trHeight w:val="144"/>
        </w:trPr>
        <w:tc>
          <w:tcPr>
            <w:tcW w:w="8715" w:type="dxa"/>
            <w:gridSpan w:val="2"/>
            <w:tcBorders>
              <w:top w:val="single" w:sz="6" w:space="0" w:color="auto"/>
              <w:left w:val="single" w:sz="6" w:space="0" w:color="auto"/>
              <w:bottom w:val="single" w:sz="6" w:space="0" w:color="auto"/>
              <w:right w:val="single" w:sz="6" w:space="0" w:color="auto"/>
            </w:tcBorders>
            <w:hideMark/>
          </w:tcPr>
          <w:p w14:paraId="61C25BA7"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b/>
                <w:sz w:val="16"/>
                <w:szCs w:val="16"/>
                <w:lang w:val="en-US"/>
              </w:rPr>
              <w:t>INITIAL CALIBRATION VERIFICATION</w:t>
            </w:r>
          </w:p>
        </w:tc>
      </w:tr>
      <w:tr w:rsidR="00DA341B" w:rsidRPr="00F01347" w14:paraId="07A0085E" w14:textId="77777777" w:rsidTr="0006497D">
        <w:trPr>
          <w:trHeight w:val="144"/>
        </w:trPr>
        <w:tc>
          <w:tcPr>
            <w:tcW w:w="4367" w:type="dxa"/>
            <w:tcBorders>
              <w:top w:val="single" w:sz="6" w:space="0" w:color="auto"/>
              <w:left w:val="single" w:sz="6" w:space="0" w:color="auto"/>
              <w:bottom w:val="single" w:sz="6" w:space="0" w:color="auto"/>
              <w:right w:val="single" w:sz="6" w:space="0" w:color="auto"/>
            </w:tcBorders>
            <w:hideMark/>
          </w:tcPr>
          <w:p w14:paraId="3F51ED34"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Verification Point</w:t>
            </w:r>
          </w:p>
        </w:tc>
        <w:tc>
          <w:tcPr>
            <w:tcW w:w="4348" w:type="dxa"/>
            <w:tcBorders>
              <w:top w:val="single" w:sz="6" w:space="0" w:color="auto"/>
              <w:left w:val="single" w:sz="6" w:space="0" w:color="auto"/>
              <w:bottom w:val="single" w:sz="6" w:space="0" w:color="auto"/>
              <w:right w:val="single" w:sz="6" w:space="0" w:color="auto"/>
            </w:tcBorders>
            <w:hideMark/>
          </w:tcPr>
          <w:p w14:paraId="4505B93C"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Criterion</w:t>
            </w:r>
          </w:p>
        </w:tc>
      </w:tr>
      <w:tr w:rsidR="00DA341B" w:rsidRPr="00F01347" w14:paraId="5887F73A" w14:textId="77777777" w:rsidTr="0006497D">
        <w:trPr>
          <w:trHeight w:val="144"/>
        </w:trPr>
        <w:tc>
          <w:tcPr>
            <w:tcW w:w="4367" w:type="dxa"/>
            <w:tcBorders>
              <w:top w:val="single" w:sz="6" w:space="0" w:color="auto"/>
              <w:left w:val="single" w:sz="6" w:space="0" w:color="auto"/>
              <w:bottom w:val="single" w:sz="6" w:space="0" w:color="auto"/>
              <w:right w:val="single" w:sz="6" w:space="0" w:color="auto"/>
            </w:tcBorders>
            <w:hideMark/>
          </w:tcPr>
          <w:p w14:paraId="216DC243"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Evaluation of the verification mixture (middle point of the curve)</w:t>
            </w:r>
          </w:p>
        </w:tc>
        <w:tc>
          <w:tcPr>
            <w:tcW w:w="4348" w:type="dxa"/>
            <w:tcBorders>
              <w:top w:val="single" w:sz="6" w:space="0" w:color="auto"/>
              <w:left w:val="single" w:sz="6" w:space="0" w:color="auto"/>
              <w:bottom w:val="single" w:sz="6" w:space="0" w:color="auto"/>
              <w:right w:val="single" w:sz="6" w:space="0" w:color="auto"/>
            </w:tcBorders>
            <w:hideMark/>
          </w:tcPr>
          <w:p w14:paraId="0AC23C17"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Concentration difference ≤15%</w:t>
            </w:r>
          </w:p>
        </w:tc>
      </w:tr>
      <w:tr w:rsidR="00DA341B" w:rsidRPr="00F01347" w14:paraId="50D4763D" w14:textId="77777777" w:rsidTr="0006497D">
        <w:trPr>
          <w:trHeight w:val="144"/>
        </w:trPr>
        <w:tc>
          <w:tcPr>
            <w:tcW w:w="8715" w:type="dxa"/>
            <w:gridSpan w:val="2"/>
            <w:tcBorders>
              <w:top w:val="single" w:sz="6" w:space="0" w:color="auto"/>
              <w:left w:val="single" w:sz="6" w:space="0" w:color="auto"/>
              <w:bottom w:val="single" w:sz="6" w:space="0" w:color="auto"/>
              <w:right w:val="single" w:sz="6" w:space="0" w:color="auto"/>
            </w:tcBorders>
            <w:hideMark/>
          </w:tcPr>
          <w:p w14:paraId="732440BD"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b/>
                <w:sz w:val="16"/>
                <w:szCs w:val="16"/>
                <w:lang w:val="en-US"/>
              </w:rPr>
              <w:t>VERIFICATION OF CONTAMINATION OF REAGENTS</w:t>
            </w:r>
          </w:p>
        </w:tc>
      </w:tr>
      <w:tr w:rsidR="00DA341B" w:rsidRPr="00F01347" w14:paraId="679E7E5A" w14:textId="77777777" w:rsidTr="0006497D">
        <w:trPr>
          <w:trHeight w:val="144"/>
        </w:trPr>
        <w:tc>
          <w:tcPr>
            <w:tcW w:w="4367" w:type="dxa"/>
            <w:tcBorders>
              <w:top w:val="single" w:sz="6" w:space="0" w:color="auto"/>
              <w:left w:val="single" w:sz="6" w:space="0" w:color="auto"/>
              <w:bottom w:val="single" w:sz="6" w:space="0" w:color="auto"/>
              <w:right w:val="single" w:sz="6" w:space="0" w:color="auto"/>
            </w:tcBorders>
            <w:hideMark/>
          </w:tcPr>
          <w:p w14:paraId="01C8EB70"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Verification Point</w:t>
            </w:r>
          </w:p>
        </w:tc>
        <w:tc>
          <w:tcPr>
            <w:tcW w:w="4348" w:type="dxa"/>
            <w:tcBorders>
              <w:top w:val="single" w:sz="6" w:space="0" w:color="auto"/>
              <w:left w:val="single" w:sz="6" w:space="0" w:color="auto"/>
              <w:bottom w:val="single" w:sz="6" w:space="0" w:color="auto"/>
              <w:right w:val="single" w:sz="6" w:space="0" w:color="auto"/>
            </w:tcBorders>
            <w:hideMark/>
          </w:tcPr>
          <w:p w14:paraId="13FCE309"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Criterion</w:t>
            </w:r>
          </w:p>
        </w:tc>
      </w:tr>
      <w:tr w:rsidR="00DA341B" w:rsidRPr="00F01347" w14:paraId="0E9A742B" w14:textId="77777777" w:rsidTr="0006497D">
        <w:trPr>
          <w:trHeight w:val="144"/>
        </w:trPr>
        <w:tc>
          <w:tcPr>
            <w:tcW w:w="4367" w:type="dxa"/>
            <w:tcBorders>
              <w:top w:val="single" w:sz="6" w:space="0" w:color="auto"/>
              <w:left w:val="single" w:sz="6" w:space="0" w:color="auto"/>
              <w:bottom w:val="single" w:sz="6" w:space="0" w:color="auto"/>
              <w:right w:val="single" w:sz="6" w:space="0" w:color="auto"/>
            </w:tcBorders>
            <w:hideMark/>
          </w:tcPr>
          <w:p w14:paraId="4662285F"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Reagent blank</w:t>
            </w:r>
          </w:p>
        </w:tc>
        <w:tc>
          <w:tcPr>
            <w:tcW w:w="4348" w:type="dxa"/>
            <w:tcBorders>
              <w:top w:val="single" w:sz="6" w:space="0" w:color="auto"/>
              <w:left w:val="single" w:sz="6" w:space="0" w:color="auto"/>
              <w:bottom w:val="single" w:sz="6" w:space="0" w:color="auto"/>
              <w:right w:val="single" w:sz="6" w:space="0" w:color="auto"/>
            </w:tcBorders>
            <w:hideMark/>
          </w:tcPr>
          <w:p w14:paraId="3EB3B102"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It should not present peaks at the retention time of the analytes &gt; the LDM</w:t>
            </w:r>
          </w:p>
        </w:tc>
      </w:tr>
      <w:tr w:rsidR="00DA341B" w:rsidRPr="00F01347" w14:paraId="54CDA5D9" w14:textId="77777777" w:rsidTr="0006497D">
        <w:trPr>
          <w:trHeight w:val="144"/>
        </w:trPr>
        <w:tc>
          <w:tcPr>
            <w:tcW w:w="8715" w:type="dxa"/>
            <w:gridSpan w:val="2"/>
            <w:tcBorders>
              <w:top w:val="single" w:sz="6" w:space="0" w:color="auto"/>
              <w:left w:val="single" w:sz="6" w:space="0" w:color="auto"/>
              <w:bottom w:val="single" w:sz="6" w:space="0" w:color="auto"/>
              <w:right w:val="single" w:sz="6" w:space="0" w:color="auto"/>
            </w:tcBorders>
            <w:hideMark/>
          </w:tcPr>
          <w:p w14:paraId="56675250"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b/>
                <w:sz w:val="16"/>
                <w:szCs w:val="16"/>
                <w:lang w:val="en-US"/>
              </w:rPr>
              <w:t>VERIFICATION OF THE ANALYTICAL PROCESS</w:t>
            </w:r>
          </w:p>
        </w:tc>
      </w:tr>
      <w:tr w:rsidR="00DA341B" w:rsidRPr="00F01347" w14:paraId="6FF78591" w14:textId="77777777" w:rsidTr="0006497D">
        <w:trPr>
          <w:trHeight w:val="144"/>
        </w:trPr>
        <w:tc>
          <w:tcPr>
            <w:tcW w:w="4367" w:type="dxa"/>
            <w:tcBorders>
              <w:top w:val="single" w:sz="6" w:space="0" w:color="auto"/>
              <w:left w:val="single" w:sz="6" w:space="0" w:color="auto"/>
              <w:bottom w:val="single" w:sz="6" w:space="0" w:color="auto"/>
              <w:right w:val="single" w:sz="6" w:space="0" w:color="auto"/>
            </w:tcBorders>
            <w:hideMark/>
          </w:tcPr>
          <w:p w14:paraId="7060470D"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Verification Point</w:t>
            </w:r>
          </w:p>
        </w:tc>
        <w:tc>
          <w:tcPr>
            <w:tcW w:w="4348" w:type="dxa"/>
            <w:tcBorders>
              <w:top w:val="single" w:sz="6" w:space="0" w:color="auto"/>
              <w:left w:val="single" w:sz="6" w:space="0" w:color="auto"/>
              <w:bottom w:val="single" w:sz="6" w:space="0" w:color="auto"/>
              <w:right w:val="single" w:sz="6" w:space="0" w:color="auto"/>
            </w:tcBorders>
            <w:hideMark/>
          </w:tcPr>
          <w:p w14:paraId="3892BA08"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Criterion</w:t>
            </w:r>
          </w:p>
        </w:tc>
      </w:tr>
      <w:tr w:rsidR="00DA341B" w:rsidRPr="00F01347" w14:paraId="715208F1" w14:textId="77777777" w:rsidTr="0006497D">
        <w:trPr>
          <w:trHeight w:val="144"/>
        </w:trPr>
        <w:tc>
          <w:tcPr>
            <w:tcW w:w="4367" w:type="dxa"/>
            <w:tcBorders>
              <w:top w:val="single" w:sz="6" w:space="0" w:color="auto"/>
              <w:left w:val="single" w:sz="6" w:space="0" w:color="auto"/>
              <w:bottom w:val="single" w:sz="6" w:space="0" w:color="auto"/>
              <w:right w:val="single" w:sz="6" w:space="0" w:color="auto"/>
            </w:tcBorders>
            <w:hideMark/>
          </w:tcPr>
          <w:p w14:paraId="05CC0284"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Sample quality control</w:t>
            </w:r>
          </w:p>
        </w:tc>
        <w:tc>
          <w:tcPr>
            <w:tcW w:w="4348" w:type="dxa"/>
            <w:tcBorders>
              <w:top w:val="single" w:sz="6" w:space="0" w:color="auto"/>
              <w:left w:val="single" w:sz="6" w:space="0" w:color="auto"/>
              <w:bottom w:val="single" w:sz="6" w:space="0" w:color="auto"/>
              <w:right w:val="single" w:sz="6" w:space="0" w:color="auto"/>
            </w:tcBorders>
            <w:hideMark/>
          </w:tcPr>
          <w:p w14:paraId="7E8938B9"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 recovery from 70 to 130%</w:t>
            </w:r>
          </w:p>
        </w:tc>
      </w:tr>
      <w:tr w:rsidR="00DA341B" w:rsidRPr="00F01347" w14:paraId="4366BF7D" w14:textId="77777777" w:rsidTr="0006497D">
        <w:trPr>
          <w:trHeight w:val="144"/>
        </w:trPr>
        <w:tc>
          <w:tcPr>
            <w:tcW w:w="8715" w:type="dxa"/>
            <w:gridSpan w:val="2"/>
            <w:tcBorders>
              <w:top w:val="single" w:sz="6" w:space="0" w:color="auto"/>
              <w:left w:val="single" w:sz="6" w:space="0" w:color="auto"/>
              <w:bottom w:val="single" w:sz="6" w:space="0" w:color="auto"/>
              <w:right w:val="single" w:sz="6" w:space="0" w:color="auto"/>
            </w:tcBorders>
            <w:hideMark/>
          </w:tcPr>
          <w:p w14:paraId="732DE994"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b/>
                <w:sz w:val="16"/>
                <w:szCs w:val="16"/>
                <w:lang w:val="en-US"/>
              </w:rPr>
              <w:t>MATRIX INTERFERENCE CHECK</w:t>
            </w:r>
          </w:p>
        </w:tc>
      </w:tr>
      <w:tr w:rsidR="00DA341B" w:rsidRPr="00F01347" w14:paraId="132E0F9E" w14:textId="77777777" w:rsidTr="0006497D">
        <w:trPr>
          <w:trHeight w:val="144"/>
        </w:trPr>
        <w:tc>
          <w:tcPr>
            <w:tcW w:w="4367" w:type="dxa"/>
            <w:tcBorders>
              <w:top w:val="single" w:sz="6" w:space="0" w:color="auto"/>
              <w:left w:val="single" w:sz="6" w:space="0" w:color="auto"/>
              <w:bottom w:val="single" w:sz="6" w:space="0" w:color="auto"/>
              <w:right w:val="single" w:sz="6" w:space="0" w:color="auto"/>
            </w:tcBorders>
            <w:hideMark/>
          </w:tcPr>
          <w:p w14:paraId="57CCE777"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Verification Point</w:t>
            </w:r>
          </w:p>
        </w:tc>
        <w:tc>
          <w:tcPr>
            <w:tcW w:w="4348" w:type="dxa"/>
            <w:tcBorders>
              <w:top w:val="single" w:sz="6" w:space="0" w:color="auto"/>
              <w:left w:val="single" w:sz="6" w:space="0" w:color="auto"/>
              <w:bottom w:val="single" w:sz="6" w:space="0" w:color="auto"/>
              <w:right w:val="single" w:sz="6" w:space="0" w:color="auto"/>
            </w:tcBorders>
            <w:hideMark/>
          </w:tcPr>
          <w:p w14:paraId="6AD89DE3"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Criterion</w:t>
            </w:r>
          </w:p>
        </w:tc>
      </w:tr>
      <w:tr w:rsidR="00DA341B" w:rsidRPr="00F01347" w14:paraId="3CB8A71A" w14:textId="77777777" w:rsidTr="0006497D">
        <w:trPr>
          <w:trHeight w:val="144"/>
        </w:trPr>
        <w:tc>
          <w:tcPr>
            <w:tcW w:w="4367" w:type="dxa"/>
            <w:tcBorders>
              <w:top w:val="single" w:sz="6" w:space="0" w:color="auto"/>
              <w:left w:val="single" w:sz="6" w:space="0" w:color="auto"/>
              <w:bottom w:val="single" w:sz="6" w:space="0" w:color="auto"/>
              <w:right w:val="single" w:sz="6" w:space="0" w:color="auto"/>
            </w:tcBorders>
            <w:hideMark/>
          </w:tcPr>
          <w:p w14:paraId="6919E781"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Evaluation of added samples</w:t>
            </w:r>
          </w:p>
        </w:tc>
        <w:tc>
          <w:tcPr>
            <w:tcW w:w="4348" w:type="dxa"/>
            <w:tcBorders>
              <w:top w:val="single" w:sz="6" w:space="0" w:color="auto"/>
              <w:left w:val="single" w:sz="6" w:space="0" w:color="auto"/>
              <w:bottom w:val="single" w:sz="6" w:space="0" w:color="auto"/>
              <w:right w:val="single" w:sz="6" w:space="0" w:color="auto"/>
            </w:tcBorders>
            <w:hideMark/>
          </w:tcPr>
          <w:p w14:paraId="21D3282A"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 recovery from 70 to 130%</w:t>
            </w:r>
          </w:p>
        </w:tc>
      </w:tr>
      <w:tr w:rsidR="00DA341B" w:rsidRPr="00F01347" w14:paraId="1CC614DF" w14:textId="77777777" w:rsidTr="0006497D">
        <w:trPr>
          <w:trHeight w:val="144"/>
        </w:trPr>
        <w:tc>
          <w:tcPr>
            <w:tcW w:w="4367" w:type="dxa"/>
            <w:tcBorders>
              <w:top w:val="single" w:sz="6" w:space="0" w:color="auto"/>
              <w:left w:val="single" w:sz="6" w:space="0" w:color="auto"/>
              <w:bottom w:val="single" w:sz="6" w:space="0" w:color="auto"/>
              <w:right w:val="single" w:sz="6" w:space="0" w:color="auto"/>
            </w:tcBorders>
            <w:hideMark/>
          </w:tcPr>
          <w:p w14:paraId="12EF741A"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Evaluation of duplicate samples</w:t>
            </w:r>
          </w:p>
        </w:tc>
        <w:tc>
          <w:tcPr>
            <w:tcW w:w="4348" w:type="dxa"/>
            <w:tcBorders>
              <w:top w:val="single" w:sz="6" w:space="0" w:color="auto"/>
              <w:left w:val="single" w:sz="6" w:space="0" w:color="auto"/>
              <w:bottom w:val="single" w:sz="6" w:space="0" w:color="auto"/>
              <w:right w:val="single" w:sz="6" w:space="0" w:color="auto"/>
            </w:tcBorders>
            <w:hideMark/>
          </w:tcPr>
          <w:p w14:paraId="0745D341"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The DPR between the sample and the duplicate sample must meet the acceptance criterion ≤20%</w:t>
            </w:r>
          </w:p>
        </w:tc>
      </w:tr>
      <w:tr w:rsidR="00DA341B" w:rsidRPr="00F01347" w14:paraId="137BA8A3" w14:textId="77777777" w:rsidTr="0006497D">
        <w:trPr>
          <w:trHeight w:val="144"/>
        </w:trPr>
        <w:tc>
          <w:tcPr>
            <w:tcW w:w="8715" w:type="dxa"/>
            <w:gridSpan w:val="2"/>
            <w:tcBorders>
              <w:top w:val="single" w:sz="6" w:space="0" w:color="auto"/>
              <w:left w:val="single" w:sz="6" w:space="0" w:color="auto"/>
              <w:bottom w:val="single" w:sz="6" w:space="0" w:color="auto"/>
              <w:right w:val="single" w:sz="6" w:space="0" w:color="auto"/>
            </w:tcBorders>
            <w:hideMark/>
          </w:tcPr>
          <w:p w14:paraId="761B6196"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CALIBRATION CURVE STABILITY</w:t>
            </w:r>
          </w:p>
        </w:tc>
      </w:tr>
      <w:tr w:rsidR="00DA341B" w:rsidRPr="00F01347" w14:paraId="6472BD1A" w14:textId="77777777" w:rsidTr="0006497D">
        <w:trPr>
          <w:trHeight w:val="144"/>
        </w:trPr>
        <w:tc>
          <w:tcPr>
            <w:tcW w:w="4367" w:type="dxa"/>
            <w:tcBorders>
              <w:top w:val="single" w:sz="6" w:space="0" w:color="auto"/>
              <w:left w:val="single" w:sz="6" w:space="0" w:color="auto"/>
              <w:bottom w:val="single" w:sz="6" w:space="0" w:color="auto"/>
              <w:right w:val="single" w:sz="6" w:space="0" w:color="auto"/>
            </w:tcBorders>
            <w:hideMark/>
          </w:tcPr>
          <w:p w14:paraId="0A01337C"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Verification Point</w:t>
            </w:r>
          </w:p>
        </w:tc>
        <w:tc>
          <w:tcPr>
            <w:tcW w:w="4348" w:type="dxa"/>
            <w:tcBorders>
              <w:top w:val="single" w:sz="6" w:space="0" w:color="auto"/>
              <w:left w:val="single" w:sz="6" w:space="0" w:color="auto"/>
              <w:bottom w:val="single" w:sz="6" w:space="0" w:color="auto"/>
              <w:right w:val="single" w:sz="6" w:space="0" w:color="auto"/>
            </w:tcBorders>
            <w:hideMark/>
          </w:tcPr>
          <w:p w14:paraId="6B20CD59" w14:textId="77777777" w:rsidR="00DA341B" w:rsidRPr="00F01347" w:rsidRDefault="00DA341B">
            <w:pPr>
              <w:pStyle w:val="texto0"/>
              <w:ind w:firstLine="0"/>
              <w:jc w:val="center"/>
              <w:rPr>
                <w:rFonts w:ascii="Verdana" w:hAnsi="Verdana"/>
                <w:b/>
                <w:sz w:val="16"/>
                <w:szCs w:val="16"/>
                <w:lang w:val="en-US"/>
              </w:rPr>
            </w:pPr>
            <w:r w:rsidRPr="00F01347">
              <w:rPr>
                <w:rFonts w:ascii="Verdana" w:hAnsi="Verdana"/>
                <w:b/>
                <w:sz w:val="16"/>
                <w:szCs w:val="16"/>
                <w:lang w:val="en-US"/>
              </w:rPr>
              <w:t>Criterion</w:t>
            </w:r>
          </w:p>
        </w:tc>
      </w:tr>
      <w:tr w:rsidR="00DA341B" w:rsidRPr="00F01347" w14:paraId="3B6AA949" w14:textId="77777777" w:rsidTr="0006497D">
        <w:trPr>
          <w:trHeight w:val="144"/>
        </w:trPr>
        <w:tc>
          <w:tcPr>
            <w:tcW w:w="4367" w:type="dxa"/>
            <w:tcBorders>
              <w:top w:val="single" w:sz="6" w:space="0" w:color="auto"/>
              <w:left w:val="single" w:sz="6" w:space="0" w:color="auto"/>
              <w:bottom w:val="single" w:sz="6" w:space="0" w:color="auto"/>
              <w:right w:val="single" w:sz="6" w:space="0" w:color="auto"/>
            </w:tcBorders>
            <w:hideMark/>
          </w:tcPr>
          <w:p w14:paraId="20CD6C55"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Evaluation of the verification standard (every 12 continuous hours of analysis)</w:t>
            </w:r>
          </w:p>
        </w:tc>
        <w:tc>
          <w:tcPr>
            <w:tcW w:w="4348" w:type="dxa"/>
            <w:tcBorders>
              <w:top w:val="single" w:sz="6" w:space="0" w:color="auto"/>
              <w:left w:val="single" w:sz="6" w:space="0" w:color="auto"/>
              <w:bottom w:val="single" w:sz="6" w:space="0" w:color="auto"/>
              <w:right w:val="single" w:sz="6" w:space="0" w:color="auto"/>
            </w:tcBorders>
            <w:hideMark/>
          </w:tcPr>
          <w:p w14:paraId="03C1C336" w14:textId="77777777" w:rsidR="00DA341B" w:rsidRPr="00F01347" w:rsidRDefault="00DA341B">
            <w:pPr>
              <w:pStyle w:val="texto0"/>
              <w:ind w:firstLine="0"/>
              <w:jc w:val="center"/>
              <w:rPr>
                <w:rFonts w:ascii="Verdana" w:hAnsi="Verdana"/>
                <w:sz w:val="16"/>
                <w:szCs w:val="16"/>
                <w:lang w:val="en-US"/>
              </w:rPr>
            </w:pPr>
            <w:r w:rsidRPr="00F01347">
              <w:rPr>
                <w:rFonts w:ascii="Verdana" w:hAnsi="Verdana"/>
                <w:sz w:val="16"/>
                <w:szCs w:val="16"/>
                <w:lang w:val="en-US"/>
              </w:rPr>
              <w:t>Concentration difference ≤15%</w:t>
            </w:r>
          </w:p>
        </w:tc>
      </w:tr>
    </w:tbl>
    <w:p w14:paraId="05ED37FB" w14:textId="77777777" w:rsidR="00DA341B" w:rsidRPr="00F01347" w:rsidRDefault="00DA341B" w:rsidP="00DA341B">
      <w:pPr>
        <w:pStyle w:val="texto0"/>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341B" w:rsidRPr="00F01347" w14:paraId="4DF55C93" w14:textId="1731F8D8" w:rsidTr="00153C15">
        <w:tc>
          <w:tcPr>
            <w:tcW w:w="4675" w:type="dxa"/>
          </w:tcPr>
          <w:p w14:paraId="61672B4F" w14:textId="77777777" w:rsidR="00DA341B" w:rsidRPr="00F01347" w:rsidRDefault="00DA341B" w:rsidP="00DA341B">
            <w:pPr>
              <w:pStyle w:val="texto0"/>
              <w:ind w:firstLine="0"/>
              <w:rPr>
                <w:rFonts w:ascii="Verdana" w:hAnsi="Verdana"/>
                <w:b/>
                <w:sz w:val="16"/>
                <w:szCs w:val="16"/>
              </w:rPr>
            </w:pPr>
            <w:r w:rsidRPr="00F01347">
              <w:rPr>
                <w:rFonts w:ascii="Verdana" w:hAnsi="Verdana"/>
                <w:b/>
                <w:sz w:val="16"/>
                <w:szCs w:val="16"/>
              </w:rPr>
              <w:t>B.5.8.2 Calibración</w:t>
            </w:r>
          </w:p>
        </w:tc>
        <w:tc>
          <w:tcPr>
            <w:tcW w:w="4675" w:type="dxa"/>
          </w:tcPr>
          <w:p w14:paraId="73242AC4" w14:textId="18040CF5"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B.5.8.2 Calibration</w:t>
            </w:r>
          </w:p>
        </w:tc>
      </w:tr>
      <w:tr w:rsidR="00DA341B" w:rsidRPr="00F01347" w14:paraId="24FADB34" w14:textId="65676F6D" w:rsidTr="00153C15">
        <w:tc>
          <w:tcPr>
            <w:tcW w:w="4675" w:type="dxa"/>
          </w:tcPr>
          <w:p w14:paraId="58ED5C4D"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Las condiciones de operación del cromatógrafo de gases están definidas por el tipo de columna elegida.</w:t>
            </w:r>
          </w:p>
        </w:tc>
        <w:tc>
          <w:tcPr>
            <w:tcW w:w="4675" w:type="dxa"/>
          </w:tcPr>
          <w:p w14:paraId="4C2A9638" w14:textId="6E71E2BA"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The operating conditions of the gas chromatograph are defined by the type of column chosen.</w:t>
            </w:r>
          </w:p>
        </w:tc>
      </w:tr>
      <w:tr w:rsidR="00DA341B" w:rsidRPr="00F01347" w14:paraId="202D2692" w14:textId="31EBFD52" w:rsidTr="00153C15">
        <w:tc>
          <w:tcPr>
            <w:tcW w:w="4675" w:type="dxa"/>
          </w:tcPr>
          <w:p w14:paraId="46B81C94"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Una vez establecidas las condiciones de operación inyecte un volumen adecuado (1 a 3 µL) de cada estándar de calibración. Otros volúmenes pueden ser utilizados si así lo requiere la sensibilidad de los compuestos de interés.</w:t>
            </w:r>
          </w:p>
        </w:tc>
        <w:tc>
          <w:tcPr>
            <w:tcW w:w="4675" w:type="dxa"/>
          </w:tcPr>
          <w:p w14:paraId="4561F58D" w14:textId="2213DD9A"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Once operating conditions are established, inject an appropriate volume (1 to 3 µL) of each calibration standard. Other volumes can be used if the sensitivity of the compounds of interest requires it.</w:t>
            </w:r>
          </w:p>
        </w:tc>
      </w:tr>
      <w:tr w:rsidR="00DA341B" w:rsidRPr="00F01347" w14:paraId="0C34879A" w14:textId="47D7C44B" w:rsidTr="00153C15">
        <w:tc>
          <w:tcPr>
            <w:tcW w:w="4675" w:type="dxa"/>
          </w:tcPr>
          <w:p w14:paraId="7F2D697B"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Para llevar a cabo el procedimiento de calibración, analizar cada estándar de calibración a partir de las disoluciones. Si la técnica de cuantificación elegida es por estándar externo construir una curva de área o altura de pico contra concentración y verificar la linealidad de la curva.</w:t>
            </w:r>
          </w:p>
        </w:tc>
        <w:tc>
          <w:tcPr>
            <w:tcW w:w="4675" w:type="dxa"/>
          </w:tcPr>
          <w:p w14:paraId="3B92477D" w14:textId="6F29234D"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To carry out the calibration procedure, analyze each calibration standard from the solutions. If the quantification technique chosen is by external standard, construct a curve of area or peak height against concentration and verify the linearity of the curve.</w:t>
            </w:r>
          </w:p>
        </w:tc>
      </w:tr>
      <w:tr w:rsidR="00DA341B" w:rsidRPr="00F01347" w14:paraId="5C8F4AE8" w14:textId="1784D960" w:rsidTr="00153C15">
        <w:tc>
          <w:tcPr>
            <w:tcW w:w="4675" w:type="dxa"/>
          </w:tcPr>
          <w:p w14:paraId="5642D26C"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 xml:space="preserve">Si la DSR de cada ácido </w:t>
            </w:r>
            <w:proofErr w:type="spellStart"/>
            <w:r w:rsidRPr="00F01347">
              <w:rPr>
                <w:rFonts w:ascii="Verdana" w:hAnsi="Verdana"/>
                <w:sz w:val="16"/>
                <w:szCs w:val="16"/>
              </w:rPr>
              <w:t>haloacético</w:t>
            </w:r>
            <w:proofErr w:type="spellEnd"/>
            <w:r w:rsidRPr="00F01347">
              <w:rPr>
                <w:rFonts w:ascii="Verdana" w:hAnsi="Verdana"/>
                <w:sz w:val="16"/>
                <w:szCs w:val="16"/>
              </w:rPr>
              <w:t xml:space="preserve"> es </w:t>
            </w:r>
            <w:r w:rsidRPr="00F01347">
              <w:rPr>
                <w:rFonts w:ascii="Verdana" w:hAnsi="Verdana"/>
                <w:sz w:val="16"/>
                <w:szCs w:val="16"/>
              </w:rPr>
              <w:sym w:font="Symbol" w:char="F0A3"/>
            </w:r>
            <w:r w:rsidRPr="00F01347">
              <w:rPr>
                <w:rFonts w:ascii="Verdana" w:hAnsi="Verdana"/>
                <w:sz w:val="16"/>
                <w:szCs w:val="16"/>
              </w:rPr>
              <w:t>20%, entonces la respuesta del instrumento es considerada lineal y el factor de calibración promedio FC o FR puede utilizarse para la cuantificación de los resultados de las muestras. Si la DSR es mayor que 20%, entonces no puede asumirse linealidad.</w:t>
            </w:r>
          </w:p>
        </w:tc>
        <w:tc>
          <w:tcPr>
            <w:tcW w:w="4675" w:type="dxa"/>
          </w:tcPr>
          <w:p w14:paraId="5E93F3D1" w14:textId="183C3052"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 xml:space="preserve">If the DSR of each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 is </w:t>
            </w:r>
            <w:r w:rsidRPr="00F01347">
              <w:rPr>
                <w:rFonts w:ascii="Verdana" w:hAnsi="Verdana"/>
                <w:sz w:val="16"/>
                <w:szCs w:val="16"/>
                <w:lang w:val="en-US"/>
              </w:rPr>
              <w:sym w:font="Symbol" w:char="F0A3"/>
            </w:r>
            <w:r w:rsidRPr="00F01347">
              <w:rPr>
                <w:rFonts w:ascii="Verdana" w:hAnsi="Verdana"/>
                <w:sz w:val="16"/>
                <w:szCs w:val="16"/>
                <w:lang w:val="en-US"/>
              </w:rPr>
              <w:t xml:space="preserve">20%, then the instrument response is considered </w:t>
            </w:r>
            <w:proofErr w:type="gramStart"/>
            <w:r w:rsidRPr="00F01347">
              <w:rPr>
                <w:rFonts w:ascii="Verdana" w:hAnsi="Verdana"/>
                <w:sz w:val="16"/>
                <w:szCs w:val="16"/>
                <w:lang w:val="en-US"/>
              </w:rPr>
              <w:t>linear</w:t>
            </w:r>
            <w:proofErr w:type="gramEnd"/>
            <w:r w:rsidRPr="00F01347">
              <w:rPr>
                <w:rFonts w:ascii="Verdana" w:hAnsi="Verdana"/>
                <w:sz w:val="16"/>
                <w:szCs w:val="16"/>
                <w:lang w:val="en-US"/>
              </w:rPr>
              <w:t xml:space="preserve"> and the average calibration factor FC or FR can be used for quantification of sample results. If the DSR is greater than 20%, then linearity cannot be assumed.</w:t>
            </w:r>
          </w:p>
        </w:tc>
      </w:tr>
      <w:tr w:rsidR="00DA341B" w:rsidRPr="00F01347" w14:paraId="38E3B7B6" w14:textId="66CC8B6B" w:rsidTr="00153C15">
        <w:tc>
          <w:tcPr>
            <w:tcW w:w="4675" w:type="dxa"/>
          </w:tcPr>
          <w:p w14:paraId="00397FAD"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lastRenderedPageBreak/>
              <w:t>Si se utiliza regresión lineal por mínimos cuadrados, deberá obtener el factor de correlación “r” para cada analito, el cual deberá ser mayor o igual a 0.99 si “r” es menor a este valor, la curva de calibración no es lineal y deberá verificarse la preparación de los estándares de calibración y el sistema cromatográfico y repetir la calibración.</w:t>
            </w:r>
          </w:p>
        </w:tc>
        <w:tc>
          <w:tcPr>
            <w:tcW w:w="4675" w:type="dxa"/>
          </w:tcPr>
          <w:p w14:paraId="500D799D" w14:textId="58166A44"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t>If linear regression by least squares is used, the correlation factor “r” must be obtained for each analyte, which must be greater than or equal to 0.99. If “r” is less than this value, the calibration curve is not linear and must be Verify the preparation of the calibration standards and the chromatographic system and repeat the calibration.</w:t>
            </w:r>
          </w:p>
        </w:tc>
      </w:tr>
      <w:tr w:rsidR="00DA341B" w:rsidRPr="00F01347" w14:paraId="3D282160" w14:textId="07E044D7" w:rsidTr="00153C15">
        <w:tc>
          <w:tcPr>
            <w:tcW w:w="4675" w:type="dxa"/>
          </w:tcPr>
          <w:p w14:paraId="130B8CE0"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t>Si el valor del FR sobre el rango de trabajo es constante, es decir, menor que el 20% de la desviación estándar relativa, el FR puede tomarse como invariable y el promedio del FR puede utilizarse para los cálculos, Alternativamente, los resultados pueden utilizarse para graficar una curva de calibración de los promedios de la respuesta contra FR.</w:t>
            </w:r>
          </w:p>
        </w:tc>
        <w:tc>
          <w:tcPr>
            <w:tcW w:w="4675" w:type="dxa"/>
          </w:tcPr>
          <w:p w14:paraId="41BDAD12" w14:textId="6EF7A08C"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t xml:space="preserve">If the value of the FR over the working range is constant, that is, less than 20% of the relative standard deviation, the FR can be taken as </w:t>
            </w:r>
            <w:proofErr w:type="gramStart"/>
            <w:r w:rsidRPr="00F01347">
              <w:rPr>
                <w:rFonts w:ascii="Verdana" w:hAnsi="Verdana"/>
                <w:sz w:val="16"/>
                <w:szCs w:val="16"/>
                <w:lang w:val="en-US"/>
              </w:rPr>
              <w:t>invariant</w:t>
            </w:r>
            <w:proofErr w:type="gramEnd"/>
            <w:r w:rsidRPr="00F01347">
              <w:rPr>
                <w:rFonts w:ascii="Verdana" w:hAnsi="Verdana"/>
                <w:sz w:val="16"/>
                <w:szCs w:val="16"/>
                <w:lang w:val="en-US"/>
              </w:rPr>
              <w:t xml:space="preserve"> and the average of the FR can be used for the calculations. Alternatively, the results can be used to plot a calibration curve of response averages against FR.</w:t>
            </w:r>
          </w:p>
        </w:tc>
      </w:tr>
      <w:tr w:rsidR="00DA341B" w:rsidRPr="00F01347" w14:paraId="432A2F46" w14:textId="19052603" w:rsidTr="00153C15">
        <w:tc>
          <w:tcPr>
            <w:tcW w:w="4675" w:type="dxa"/>
          </w:tcPr>
          <w:p w14:paraId="47953BF6"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t>La curva de calibración o FR deben verificarse en cada lote de análisis, por medio de la medición de uno más estándares de calibración. Si la respuesta para cualquier parámetro varía de la respuesta predicha por más de ±15%, la prueba debe repetirse utilizando un estándar de calibración nuevo. Alternativamente, deberá prepararse una nueva curva de calibración para cada parámetro.</w:t>
            </w:r>
          </w:p>
        </w:tc>
        <w:tc>
          <w:tcPr>
            <w:tcW w:w="4675" w:type="dxa"/>
          </w:tcPr>
          <w:p w14:paraId="758FF8C2" w14:textId="2CD6FFA4"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t>The calibration curve or FR must be verified in each batch of analysis, by measuring one or more calibration standards. If the response for any parameter varies from the predicted response by more than ±15%, the test should be repeated using a new calibration standard. Alternatively, a new calibration curve should be prepared for each parameter.</w:t>
            </w:r>
          </w:p>
        </w:tc>
      </w:tr>
      <w:tr w:rsidR="00DA341B" w:rsidRPr="00F01347" w14:paraId="59F4BA42" w14:textId="31489588" w:rsidTr="00153C15">
        <w:tc>
          <w:tcPr>
            <w:tcW w:w="4675" w:type="dxa"/>
          </w:tcPr>
          <w:p w14:paraId="44646147"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t>Debe verificarse la estabilidad de la curva de calibración. En cada lote analizado durante el día, la curva de calibración debe verificarse con un estándar de concentración media del rango de trabajo al principio del lote, después de cada 10 muestras y al final de cada lote de análisis. El valor DR de la muestra debe estar dentro del 15% del valor de la calibración inicial, de no ser así entonces debe identificar el problema, corregir y repetirse la verificación de la calibración.</w:t>
            </w:r>
          </w:p>
        </w:tc>
        <w:tc>
          <w:tcPr>
            <w:tcW w:w="4675" w:type="dxa"/>
          </w:tcPr>
          <w:p w14:paraId="489D4086" w14:textId="4F19F5E4"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t>The stability of the calibration curve must be verified. In each batch tested during the day, the calibration curve should be checked with a standard of mid-working range concentration at the beginning of the batch, after every 10 samples, and at the end of each batch of analysis. The DR value of the sample must be within 15% of the initial calibration value, if not then the problem must be identified, corrected and the calibration verification repeated.</w:t>
            </w:r>
          </w:p>
        </w:tc>
      </w:tr>
      <w:tr w:rsidR="00DA341B" w:rsidRPr="00F01347" w14:paraId="66429E9D" w14:textId="68F255CE" w:rsidTr="00153C15">
        <w:tc>
          <w:tcPr>
            <w:tcW w:w="4675" w:type="dxa"/>
          </w:tcPr>
          <w:p w14:paraId="1C9A4B2C" w14:textId="77777777" w:rsidR="00DA341B" w:rsidRPr="00F01347" w:rsidRDefault="00DA341B" w:rsidP="00DA341B">
            <w:pPr>
              <w:pStyle w:val="texto0"/>
              <w:spacing w:line="211" w:lineRule="exact"/>
              <w:ind w:firstLine="0"/>
              <w:rPr>
                <w:rFonts w:ascii="Verdana" w:hAnsi="Verdana"/>
                <w:b/>
                <w:sz w:val="16"/>
                <w:szCs w:val="16"/>
              </w:rPr>
            </w:pPr>
            <w:r w:rsidRPr="00F01347">
              <w:rPr>
                <w:rFonts w:ascii="Verdana" w:hAnsi="Verdana"/>
                <w:b/>
                <w:sz w:val="16"/>
                <w:szCs w:val="16"/>
              </w:rPr>
              <w:t>B.5.8.3 Interferencias</w:t>
            </w:r>
          </w:p>
        </w:tc>
        <w:tc>
          <w:tcPr>
            <w:tcW w:w="4675" w:type="dxa"/>
          </w:tcPr>
          <w:p w14:paraId="33D2B09B" w14:textId="31FB1853" w:rsidR="00DA341B" w:rsidRPr="00F01347" w:rsidRDefault="00DA341B" w:rsidP="00DA341B">
            <w:pPr>
              <w:pStyle w:val="texto0"/>
              <w:spacing w:line="211" w:lineRule="exact"/>
              <w:ind w:firstLine="0"/>
              <w:rPr>
                <w:rFonts w:ascii="Verdana" w:hAnsi="Verdana"/>
                <w:b/>
                <w:sz w:val="16"/>
                <w:szCs w:val="16"/>
                <w:lang w:val="en-US"/>
              </w:rPr>
            </w:pPr>
            <w:r w:rsidRPr="00F01347">
              <w:rPr>
                <w:rFonts w:ascii="Verdana" w:hAnsi="Verdana"/>
                <w:b/>
                <w:sz w:val="16"/>
                <w:szCs w:val="16"/>
                <w:lang w:val="en-US"/>
              </w:rPr>
              <w:t>B.5.8.3 Interferences</w:t>
            </w:r>
          </w:p>
        </w:tc>
      </w:tr>
      <w:tr w:rsidR="00DA341B" w:rsidRPr="00F01347" w14:paraId="3C53A61C" w14:textId="18284207" w:rsidTr="00153C15">
        <w:tc>
          <w:tcPr>
            <w:tcW w:w="4675" w:type="dxa"/>
          </w:tcPr>
          <w:p w14:paraId="24CBDFC1"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t xml:space="preserve">Las interferencias </w:t>
            </w:r>
            <w:proofErr w:type="spellStart"/>
            <w:r w:rsidRPr="00F01347">
              <w:rPr>
                <w:rFonts w:ascii="Verdana" w:hAnsi="Verdana"/>
                <w:sz w:val="16"/>
                <w:szCs w:val="16"/>
              </w:rPr>
              <w:t>co-extraídas</w:t>
            </w:r>
            <w:proofErr w:type="spellEnd"/>
            <w:r w:rsidRPr="00F01347">
              <w:rPr>
                <w:rFonts w:ascii="Verdana" w:hAnsi="Verdana"/>
                <w:sz w:val="16"/>
                <w:szCs w:val="16"/>
              </w:rPr>
              <w:t xml:space="preserve"> con la muestra variarán considerablemente de matriz a matriz. Mientras las técnicas de limpieza generales se proporcionan como parte de este método, algunas muestras deben requerir de una limpieza adicional para obtener la ejecución de un grado de discriminación y cuantificación. Las fuentes de interferencias en este método pueden ser debidas, entre otras, las siguientes:</w:t>
            </w:r>
          </w:p>
        </w:tc>
        <w:tc>
          <w:tcPr>
            <w:tcW w:w="4675" w:type="dxa"/>
          </w:tcPr>
          <w:p w14:paraId="5B79CED9" w14:textId="08E10298"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t>Interferences co-extracted with the sample will vary considerably from matrix to matrix. While general cleaning techniques are provided as part of this method, some samples may require additional cleaning to achieve a degree of discrimination and quantification. The sources of interference in this method may be due, among others, to the following:</w:t>
            </w:r>
          </w:p>
        </w:tc>
      </w:tr>
      <w:tr w:rsidR="00DA341B" w:rsidRPr="00F01347" w14:paraId="731F214A" w14:textId="5BDFDE24" w:rsidTr="00153C15">
        <w:tc>
          <w:tcPr>
            <w:tcW w:w="4675" w:type="dxa"/>
          </w:tcPr>
          <w:p w14:paraId="70186672"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t xml:space="preserve">Las interferencias de </w:t>
            </w:r>
            <w:proofErr w:type="gramStart"/>
            <w:r w:rsidRPr="00F01347">
              <w:rPr>
                <w:rFonts w:ascii="Verdana" w:hAnsi="Verdana"/>
                <w:sz w:val="16"/>
                <w:szCs w:val="16"/>
              </w:rPr>
              <w:t>matriz,</w:t>
            </w:r>
            <w:proofErr w:type="gramEnd"/>
            <w:r w:rsidRPr="00F01347">
              <w:rPr>
                <w:rFonts w:ascii="Verdana" w:hAnsi="Verdana"/>
                <w:sz w:val="16"/>
                <w:szCs w:val="16"/>
              </w:rPr>
              <w:t xml:space="preserve"> son los compuestos extraídos de las muestras y con las que el detector tiene alguna respuesta, para eliminar este tipo de interferencias se utilizan los procedimientos de limpieza de los extractos adecuados.</w:t>
            </w:r>
          </w:p>
        </w:tc>
        <w:tc>
          <w:tcPr>
            <w:tcW w:w="4675" w:type="dxa"/>
          </w:tcPr>
          <w:p w14:paraId="3659F03B" w14:textId="3B2D3DE9"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t>Matrix interferences are the compounds extracted from the samples and with which the detector has some response. To eliminate this type of interference, appropriate extract cleaning procedures are used.</w:t>
            </w:r>
          </w:p>
        </w:tc>
      </w:tr>
      <w:tr w:rsidR="00DA341B" w:rsidRPr="00F01347" w14:paraId="04EE5766" w14:textId="447A9ACF" w:rsidTr="00153C15">
        <w:tc>
          <w:tcPr>
            <w:tcW w:w="4675" w:type="dxa"/>
          </w:tcPr>
          <w:p w14:paraId="0C4D1A15"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t>Las interferencias instrumentales, son aquellas ocasionadas por las impurezas del gas de acarreo o por fallas del instrumento, para la cual se verifican blancos electrónicos y procedimientos de limpieza térmica.</w:t>
            </w:r>
          </w:p>
        </w:tc>
        <w:tc>
          <w:tcPr>
            <w:tcW w:w="4675" w:type="dxa"/>
          </w:tcPr>
          <w:p w14:paraId="2E91C846" w14:textId="6AC7604A"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t xml:space="preserve">Instrumental interferences are those caused by impurities in the carrier gas or by instrument failures, for which electronic </w:t>
            </w:r>
            <w:r w:rsidR="005E7555" w:rsidRPr="00F01347">
              <w:rPr>
                <w:rFonts w:ascii="Verdana" w:hAnsi="Verdana"/>
                <w:sz w:val="16"/>
                <w:szCs w:val="16"/>
                <w:lang w:val="en-US"/>
              </w:rPr>
              <w:t>blanks</w:t>
            </w:r>
            <w:r w:rsidRPr="00F01347">
              <w:rPr>
                <w:rFonts w:ascii="Verdana" w:hAnsi="Verdana"/>
                <w:sz w:val="16"/>
                <w:szCs w:val="16"/>
                <w:lang w:val="en-US"/>
              </w:rPr>
              <w:t xml:space="preserve"> and thermal cleaning procedures are verified.</w:t>
            </w:r>
          </w:p>
        </w:tc>
      </w:tr>
      <w:tr w:rsidR="00DA341B" w:rsidRPr="00F01347" w14:paraId="57A14A24" w14:textId="6BB37912" w:rsidTr="00153C15">
        <w:tc>
          <w:tcPr>
            <w:tcW w:w="4675" w:type="dxa"/>
          </w:tcPr>
          <w:p w14:paraId="469B8745"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t xml:space="preserve">Las interferencias por ftalatos introducidos durante la preparación de las muestras pueden dar un problema mayor en la determinación de los </w:t>
            </w:r>
            <w:proofErr w:type="spellStart"/>
            <w:r w:rsidRPr="00F01347">
              <w:rPr>
                <w:rFonts w:ascii="Verdana" w:hAnsi="Verdana"/>
                <w:sz w:val="16"/>
                <w:szCs w:val="16"/>
              </w:rPr>
              <w:t>haloacéticos</w:t>
            </w:r>
            <w:proofErr w:type="spellEnd"/>
            <w:r w:rsidRPr="00F01347">
              <w:rPr>
                <w:rFonts w:ascii="Verdana" w:hAnsi="Verdana"/>
                <w:sz w:val="16"/>
                <w:szCs w:val="16"/>
              </w:rPr>
              <w:t>.</w:t>
            </w:r>
          </w:p>
        </w:tc>
        <w:tc>
          <w:tcPr>
            <w:tcW w:w="4675" w:type="dxa"/>
          </w:tcPr>
          <w:p w14:paraId="5F388FB0" w14:textId="2D66D8E2"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t xml:space="preserve">Interferences from phthalates introduced during sample preparation can cause a major problem in the determination of </w:t>
            </w:r>
            <w:proofErr w:type="spellStart"/>
            <w:r w:rsidRPr="00F01347">
              <w:rPr>
                <w:rFonts w:ascii="Verdana" w:hAnsi="Verdana"/>
                <w:sz w:val="16"/>
                <w:szCs w:val="16"/>
                <w:lang w:val="en-US"/>
              </w:rPr>
              <w:t>haloacetics</w:t>
            </w:r>
            <w:proofErr w:type="spellEnd"/>
            <w:r w:rsidR="003E1BA9" w:rsidRPr="00F01347">
              <w:rPr>
                <w:rFonts w:ascii="Verdana" w:hAnsi="Verdana"/>
                <w:sz w:val="16"/>
                <w:szCs w:val="16"/>
                <w:lang w:val="en-US"/>
              </w:rPr>
              <w:t>.</w:t>
            </w:r>
          </w:p>
        </w:tc>
      </w:tr>
      <w:tr w:rsidR="00DA341B" w:rsidRPr="00F01347" w14:paraId="3F017542" w14:textId="58CB3501" w:rsidTr="00153C15">
        <w:tc>
          <w:tcPr>
            <w:tcW w:w="4675" w:type="dxa"/>
          </w:tcPr>
          <w:p w14:paraId="61A62C61"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t xml:space="preserve">Los contenedores comunes de plástico varían en la cantidad de ftalatos los cuales son extraídos fácilmente o lixiviados de los mismos materiales durante las operaciones del laboratorio. Las interferencias de ftalatos pueden disminuirse de mejor forma, impidiendo </w:t>
            </w:r>
            <w:r w:rsidRPr="00F01347">
              <w:rPr>
                <w:rFonts w:ascii="Verdana" w:hAnsi="Verdana"/>
                <w:sz w:val="16"/>
                <w:szCs w:val="16"/>
              </w:rPr>
              <w:lastRenderedPageBreak/>
              <w:t>el contacto con cualquier material plástico y revisando todos los solventes y reactivos por contaminación de ftalatos.</w:t>
            </w:r>
          </w:p>
        </w:tc>
        <w:tc>
          <w:tcPr>
            <w:tcW w:w="4675" w:type="dxa"/>
          </w:tcPr>
          <w:p w14:paraId="06BD45C7" w14:textId="2B9ADC05"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lastRenderedPageBreak/>
              <w:t xml:space="preserve">Common plastic containers vary in the amount of phthalates which are easily extracted or leached from the same materials during laboratory operations. Phthalate interference can best be minimized by preventing contact with any plastic materials and </w:t>
            </w:r>
            <w:r w:rsidRPr="00F01347">
              <w:rPr>
                <w:rFonts w:ascii="Verdana" w:hAnsi="Verdana"/>
                <w:sz w:val="16"/>
                <w:szCs w:val="16"/>
                <w:lang w:val="en-US"/>
              </w:rPr>
              <w:lastRenderedPageBreak/>
              <w:t>checking all solvents and reagents for phthalate contamination.</w:t>
            </w:r>
          </w:p>
        </w:tc>
      </w:tr>
      <w:tr w:rsidR="00DA341B" w:rsidRPr="00F01347" w14:paraId="26706737" w14:textId="49DB3DFC" w:rsidTr="00153C15">
        <w:tc>
          <w:tcPr>
            <w:tcW w:w="4675" w:type="dxa"/>
          </w:tcPr>
          <w:p w14:paraId="35FC2DA8"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lastRenderedPageBreak/>
              <w:t>Para eliminar una contaminación de ftalatos, se requiere de una limpieza exhaustiva de los solventes reactivos y material de vidrio.</w:t>
            </w:r>
          </w:p>
        </w:tc>
        <w:tc>
          <w:tcPr>
            <w:tcW w:w="4675" w:type="dxa"/>
          </w:tcPr>
          <w:p w14:paraId="7AE5C7A8" w14:textId="6EF76C7A"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t>To eliminate phthalate contamination, thorough cleaning of reactive solvents and glassware is required.</w:t>
            </w:r>
          </w:p>
        </w:tc>
      </w:tr>
      <w:tr w:rsidR="00DA341B" w:rsidRPr="00F01347" w14:paraId="142CFF40" w14:textId="1F54A6DB" w:rsidTr="00153C15">
        <w:tc>
          <w:tcPr>
            <w:tcW w:w="4675" w:type="dxa"/>
          </w:tcPr>
          <w:p w14:paraId="41347303"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t>Estos materiales pueden removerse a través del uso del método de limpieza con ácido sulfúrico/permanganato.</w:t>
            </w:r>
          </w:p>
        </w:tc>
        <w:tc>
          <w:tcPr>
            <w:tcW w:w="4675" w:type="dxa"/>
          </w:tcPr>
          <w:p w14:paraId="0D91D1B0" w14:textId="25097B29"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t>These materials can be removed through the use of the sulfuric acid/permanganate cleaning method.</w:t>
            </w:r>
          </w:p>
        </w:tc>
      </w:tr>
      <w:tr w:rsidR="00DA341B" w:rsidRPr="00F01347" w14:paraId="1597BEEC" w14:textId="27F2BF21" w:rsidTr="00153C15">
        <w:tc>
          <w:tcPr>
            <w:tcW w:w="4675" w:type="dxa"/>
          </w:tcPr>
          <w:p w14:paraId="1D4906D4"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t>Los límites de detección en las muestras reales dependerán de las interferencias presentes en las mismas por lo que es muy importante tener en cuenta que pueden variar hasta en magnitudes de 10 a 1000 veces (factores de concentración de las muestras).</w:t>
            </w:r>
          </w:p>
        </w:tc>
        <w:tc>
          <w:tcPr>
            <w:tcW w:w="4675" w:type="dxa"/>
          </w:tcPr>
          <w:p w14:paraId="269B1368" w14:textId="77C68AAA"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t>The detection limits in real samples will depend on the interferences present in them, so it is very important to keep in mind that they can vary up to magnitudes of 10 to 1000 times (sample concentration factors).</w:t>
            </w:r>
          </w:p>
        </w:tc>
      </w:tr>
      <w:tr w:rsidR="00DA341B" w:rsidRPr="00F01347" w14:paraId="5B7E2429" w14:textId="256C1B88" w:rsidTr="00153C15">
        <w:tc>
          <w:tcPr>
            <w:tcW w:w="4675" w:type="dxa"/>
          </w:tcPr>
          <w:p w14:paraId="79841748" w14:textId="77777777" w:rsidR="00DA341B" w:rsidRPr="00F01347" w:rsidRDefault="00DA341B" w:rsidP="00DA341B">
            <w:pPr>
              <w:pStyle w:val="texto0"/>
              <w:spacing w:line="211" w:lineRule="exact"/>
              <w:ind w:firstLine="0"/>
              <w:rPr>
                <w:rFonts w:ascii="Verdana" w:hAnsi="Verdana"/>
                <w:b/>
                <w:sz w:val="16"/>
                <w:szCs w:val="16"/>
              </w:rPr>
            </w:pPr>
            <w:r w:rsidRPr="00F01347">
              <w:rPr>
                <w:rFonts w:ascii="Verdana" w:hAnsi="Verdana"/>
                <w:b/>
                <w:sz w:val="16"/>
                <w:szCs w:val="16"/>
              </w:rPr>
              <w:t>B.5.9 Seguridad, prevención de contaminación y manejo de residuos</w:t>
            </w:r>
          </w:p>
        </w:tc>
        <w:tc>
          <w:tcPr>
            <w:tcW w:w="4675" w:type="dxa"/>
          </w:tcPr>
          <w:p w14:paraId="3F68ECB9" w14:textId="16C2937F" w:rsidR="00DA341B" w:rsidRPr="00F01347" w:rsidRDefault="00DA341B" w:rsidP="00DA341B">
            <w:pPr>
              <w:pStyle w:val="texto0"/>
              <w:spacing w:line="211" w:lineRule="exact"/>
              <w:ind w:firstLine="0"/>
              <w:rPr>
                <w:rFonts w:ascii="Verdana" w:hAnsi="Verdana"/>
                <w:b/>
                <w:sz w:val="16"/>
                <w:szCs w:val="16"/>
                <w:lang w:val="en-US"/>
              </w:rPr>
            </w:pPr>
            <w:r w:rsidRPr="00F01347">
              <w:rPr>
                <w:rFonts w:ascii="Verdana" w:hAnsi="Verdana"/>
                <w:b/>
                <w:sz w:val="16"/>
                <w:szCs w:val="16"/>
                <w:lang w:val="en-US"/>
              </w:rPr>
              <w:t>B.5.9 Safety, pollution prevention and waste management</w:t>
            </w:r>
          </w:p>
        </w:tc>
      </w:tr>
      <w:tr w:rsidR="00DA341B" w:rsidRPr="00F01347" w14:paraId="14B50FBB" w14:textId="75B536F0" w:rsidTr="00153C15">
        <w:tc>
          <w:tcPr>
            <w:tcW w:w="4675" w:type="dxa"/>
          </w:tcPr>
          <w:p w14:paraId="113E0E3E"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t xml:space="preserve">Cada reactivo utilizado en estos procedimientos debe ser tratado como un riesgo potencial para la salud y la exposición a estos materiales debe ser minimizada. Cada laboratorio es responsable de mantener un conocimiento de las regulaciones respecto a la manipulación segura de cualquier producto químico usado en este método. Debe ponerse a disposición de todo el personal involucrado en el análisis las hojas de datos de seguridad de los productos químicos. Debe de utilizarse equipo de protección personal apropiado para el manejo de muestras y estándares. Los estándares primarios de los ácidos </w:t>
            </w:r>
            <w:proofErr w:type="spellStart"/>
            <w:r w:rsidRPr="00F01347">
              <w:rPr>
                <w:rFonts w:ascii="Verdana" w:hAnsi="Verdana"/>
                <w:sz w:val="16"/>
                <w:szCs w:val="16"/>
              </w:rPr>
              <w:t>haloacéticos</w:t>
            </w:r>
            <w:proofErr w:type="spellEnd"/>
            <w:r w:rsidRPr="00F01347">
              <w:rPr>
                <w:rFonts w:ascii="Verdana" w:hAnsi="Verdana"/>
                <w:sz w:val="16"/>
                <w:szCs w:val="16"/>
              </w:rPr>
              <w:t xml:space="preserve"> deberán prepararse en una campana. Cuando el analista maneje altas concentraciones de compuestos tóxicos deberá utilizarse un respirador de gases tóxicos.</w:t>
            </w:r>
          </w:p>
        </w:tc>
        <w:tc>
          <w:tcPr>
            <w:tcW w:w="4675" w:type="dxa"/>
          </w:tcPr>
          <w:p w14:paraId="44098DBF" w14:textId="1955E6A0"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t xml:space="preserve">Each reagent used in these procedures should be treated as a potential health risk and exposure to these materials should be minimized. Each laboratory is responsible for maintaining </w:t>
            </w:r>
            <w:r w:rsidR="00711ACE" w:rsidRPr="00F01347">
              <w:rPr>
                <w:rFonts w:ascii="Verdana" w:hAnsi="Verdana"/>
                <w:sz w:val="16"/>
                <w:szCs w:val="16"/>
                <w:lang w:val="en-US"/>
              </w:rPr>
              <w:t>knowledge</w:t>
            </w:r>
            <w:r w:rsidRPr="00F01347">
              <w:rPr>
                <w:rFonts w:ascii="Verdana" w:hAnsi="Verdana"/>
                <w:sz w:val="16"/>
                <w:szCs w:val="16"/>
                <w:lang w:val="en-US"/>
              </w:rPr>
              <w:t xml:space="preserve"> of the regulations regarding the safe handling of any chemicals used in this method. Chemical </w:t>
            </w:r>
            <w:r w:rsidR="00FE21E4" w:rsidRPr="00F01347">
              <w:rPr>
                <w:rFonts w:ascii="Verdana" w:hAnsi="Verdana"/>
                <w:sz w:val="16"/>
                <w:szCs w:val="16"/>
                <w:lang w:val="en-US"/>
              </w:rPr>
              <w:t>Safety Data Sheets</w:t>
            </w:r>
            <w:r w:rsidRPr="00F01347">
              <w:rPr>
                <w:rFonts w:ascii="Verdana" w:hAnsi="Verdana"/>
                <w:sz w:val="16"/>
                <w:szCs w:val="16"/>
                <w:lang w:val="en-US"/>
              </w:rPr>
              <w:t xml:space="preserve"> should be made available to all personnel involved in the analysis. Appropriate personal protective equipment must be used when handling samples and standards. Primary standards for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acids should be prepared in a hood. When the analyst handles high concentrations of toxic compounds, a toxic gas respirator must be used.</w:t>
            </w:r>
          </w:p>
        </w:tc>
      </w:tr>
      <w:tr w:rsidR="00DA341B" w:rsidRPr="00F01347" w14:paraId="2617AD1C" w14:textId="165DBBC4" w:rsidTr="00153C15">
        <w:tc>
          <w:tcPr>
            <w:tcW w:w="4675" w:type="dxa"/>
          </w:tcPr>
          <w:p w14:paraId="01293D0C" w14:textId="77777777" w:rsidR="00DA341B" w:rsidRPr="00F01347" w:rsidRDefault="00DA341B" w:rsidP="00DA341B">
            <w:pPr>
              <w:pStyle w:val="texto0"/>
              <w:spacing w:line="211" w:lineRule="exact"/>
              <w:ind w:firstLine="0"/>
              <w:rPr>
                <w:rFonts w:ascii="Verdana" w:hAnsi="Verdana"/>
                <w:sz w:val="16"/>
                <w:szCs w:val="16"/>
              </w:rPr>
            </w:pPr>
            <w:r w:rsidRPr="00F01347">
              <w:rPr>
                <w:rFonts w:ascii="Verdana" w:hAnsi="Verdana"/>
                <w:sz w:val="16"/>
                <w:szCs w:val="16"/>
              </w:rPr>
              <w:t>Es responsabilidad del laboratorio cumplir con todos los reglamentos federales, estatales y locales referentes al manejo de residuos, particularmente las reglas de identificación, almacenamiento y disposición de residuos peligrosos.</w:t>
            </w:r>
          </w:p>
        </w:tc>
        <w:tc>
          <w:tcPr>
            <w:tcW w:w="4675" w:type="dxa"/>
          </w:tcPr>
          <w:p w14:paraId="24F901E8" w14:textId="671A4E04" w:rsidR="00DA341B" w:rsidRPr="00F01347" w:rsidRDefault="00DA341B" w:rsidP="00DA341B">
            <w:pPr>
              <w:pStyle w:val="texto0"/>
              <w:spacing w:line="211" w:lineRule="exact"/>
              <w:ind w:firstLine="0"/>
              <w:rPr>
                <w:rFonts w:ascii="Verdana" w:hAnsi="Verdana"/>
                <w:sz w:val="16"/>
                <w:szCs w:val="16"/>
                <w:lang w:val="en-US"/>
              </w:rPr>
            </w:pPr>
            <w:r w:rsidRPr="00F01347">
              <w:rPr>
                <w:rFonts w:ascii="Verdana" w:hAnsi="Verdana"/>
                <w:sz w:val="16"/>
                <w:szCs w:val="16"/>
                <w:lang w:val="en-US"/>
              </w:rPr>
              <w:t xml:space="preserve">It is the laboratory's responsibility to comply with all federal, </w:t>
            </w:r>
            <w:r w:rsidR="009612D7" w:rsidRPr="00F01347">
              <w:rPr>
                <w:rFonts w:ascii="Verdana" w:hAnsi="Verdana"/>
                <w:sz w:val="16"/>
                <w:szCs w:val="16"/>
                <w:lang w:val="en-US"/>
              </w:rPr>
              <w:t>state,</w:t>
            </w:r>
            <w:r w:rsidRPr="00F01347">
              <w:rPr>
                <w:rFonts w:ascii="Verdana" w:hAnsi="Verdana"/>
                <w:sz w:val="16"/>
                <w:szCs w:val="16"/>
                <w:lang w:val="en-US"/>
              </w:rPr>
              <w:t xml:space="preserve"> and local regulations regarding waste management, particularly the rules for the identification, </w:t>
            </w:r>
            <w:proofErr w:type="gramStart"/>
            <w:r w:rsidRPr="00F01347">
              <w:rPr>
                <w:rFonts w:ascii="Verdana" w:hAnsi="Verdana"/>
                <w:sz w:val="16"/>
                <w:szCs w:val="16"/>
                <w:lang w:val="en-US"/>
              </w:rPr>
              <w:t>storage</w:t>
            </w:r>
            <w:proofErr w:type="gramEnd"/>
            <w:r w:rsidRPr="00F01347">
              <w:rPr>
                <w:rFonts w:ascii="Verdana" w:hAnsi="Verdana"/>
                <w:sz w:val="16"/>
                <w:szCs w:val="16"/>
                <w:lang w:val="en-US"/>
              </w:rPr>
              <w:t xml:space="preserve"> and disposal of hazardous waste.</w:t>
            </w:r>
          </w:p>
        </w:tc>
      </w:tr>
      <w:tr w:rsidR="00DA341B" w:rsidRPr="00F01347" w14:paraId="6965BA2A" w14:textId="2CA9249C" w:rsidTr="00153C15">
        <w:tc>
          <w:tcPr>
            <w:tcW w:w="4675" w:type="dxa"/>
          </w:tcPr>
          <w:p w14:paraId="7558C40A" w14:textId="77777777"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 xml:space="preserve">B.5.10 </w:t>
            </w:r>
            <w:proofErr w:type="spellStart"/>
            <w:r w:rsidRPr="00F01347">
              <w:rPr>
                <w:rFonts w:ascii="Verdana" w:hAnsi="Verdana"/>
                <w:b/>
                <w:sz w:val="16"/>
                <w:szCs w:val="16"/>
                <w:lang w:val="en-US"/>
              </w:rPr>
              <w:t>Referencias</w:t>
            </w:r>
            <w:proofErr w:type="spellEnd"/>
          </w:p>
        </w:tc>
        <w:tc>
          <w:tcPr>
            <w:tcW w:w="4675" w:type="dxa"/>
          </w:tcPr>
          <w:p w14:paraId="6FEE35DB" w14:textId="4D71E446"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B.5.10 References</w:t>
            </w:r>
          </w:p>
        </w:tc>
      </w:tr>
      <w:tr w:rsidR="00DA341B" w:rsidRPr="00F01347" w14:paraId="6D5D2197" w14:textId="5013E952" w:rsidTr="00153C15">
        <w:tc>
          <w:tcPr>
            <w:tcW w:w="4675" w:type="dxa"/>
          </w:tcPr>
          <w:p w14:paraId="7EA3CF85" w14:textId="77777777" w:rsidR="00DA341B" w:rsidRPr="00F01347" w:rsidRDefault="00DA341B" w:rsidP="00DA341B">
            <w:pPr>
              <w:pStyle w:val="texto0"/>
              <w:ind w:firstLine="0"/>
              <w:rPr>
                <w:rFonts w:ascii="Verdana" w:hAnsi="Verdana"/>
                <w:color w:val="000000"/>
                <w:sz w:val="16"/>
                <w:szCs w:val="16"/>
              </w:rPr>
            </w:pPr>
            <w:r w:rsidRPr="00F01347">
              <w:rPr>
                <w:rFonts w:ascii="Verdana" w:hAnsi="Verdana"/>
                <w:color w:val="000000"/>
                <w:sz w:val="16"/>
                <w:szCs w:val="16"/>
                <w:lang w:val="en-US"/>
              </w:rPr>
              <w:t xml:space="preserve">EPA. 1995. Method 552.2 Determination of </w:t>
            </w:r>
            <w:proofErr w:type="spellStart"/>
            <w:r w:rsidRPr="00F01347">
              <w:rPr>
                <w:rFonts w:ascii="Verdana" w:hAnsi="Verdana"/>
                <w:color w:val="000000"/>
                <w:sz w:val="16"/>
                <w:szCs w:val="16"/>
                <w:lang w:val="en-US"/>
              </w:rPr>
              <w:t>Haloacetics</w:t>
            </w:r>
            <w:proofErr w:type="spellEnd"/>
            <w:r w:rsidRPr="00F01347">
              <w:rPr>
                <w:rFonts w:ascii="Verdana" w:hAnsi="Verdana"/>
                <w:color w:val="000000"/>
                <w:sz w:val="16"/>
                <w:szCs w:val="16"/>
                <w:lang w:val="en-US"/>
              </w:rPr>
              <w:t xml:space="preserve"> Acids and Dalapon in Drinking Water by Liquid-Liquid Extraction, Derivatization and Gas Chromatography with Electron Capture Detector. </w:t>
            </w:r>
            <w:r w:rsidRPr="00F01347">
              <w:rPr>
                <w:rFonts w:ascii="Verdana" w:hAnsi="Verdana"/>
                <w:color w:val="000000"/>
                <w:sz w:val="16"/>
                <w:szCs w:val="16"/>
              </w:rPr>
              <w:t>Rev. 1.0</w:t>
            </w:r>
          </w:p>
        </w:tc>
        <w:tc>
          <w:tcPr>
            <w:tcW w:w="4675" w:type="dxa"/>
          </w:tcPr>
          <w:p w14:paraId="26EABE24" w14:textId="254F2C3F" w:rsidR="00DA341B" w:rsidRPr="00F01347" w:rsidRDefault="00DA341B" w:rsidP="00DA341B">
            <w:pPr>
              <w:pStyle w:val="texto0"/>
              <w:ind w:firstLine="0"/>
              <w:rPr>
                <w:rFonts w:ascii="Verdana" w:hAnsi="Verdana"/>
                <w:color w:val="000000"/>
                <w:sz w:val="16"/>
                <w:szCs w:val="16"/>
                <w:lang w:val="en-US"/>
              </w:rPr>
            </w:pPr>
            <w:r w:rsidRPr="00F01347">
              <w:rPr>
                <w:rFonts w:ascii="Verdana" w:hAnsi="Verdana"/>
                <w:color w:val="000000"/>
                <w:sz w:val="16"/>
                <w:szCs w:val="16"/>
                <w:lang w:val="en-US"/>
              </w:rPr>
              <w:t xml:space="preserve">EPA. 1995. Method 552.2 Determination of </w:t>
            </w:r>
            <w:proofErr w:type="spellStart"/>
            <w:r w:rsidRPr="00F01347">
              <w:rPr>
                <w:rFonts w:ascii="Verdana" w:hAnsi="Verdana"/>
                <w:color w:val="000000"/>
                <w:sz w:val="16"/>
                <w:szCs w:val="16"/>
                <w:lang w:val="en-US"/>
              </w:rPr>
              <w:t>Haloacetic</w:t>
            </w:r>
            <w:proofErr w:type="spellEnd"/>
            <w:r w:rsidRPr="00F01347">
              <w:rPr>
                <w:rFonts w:ascii="Verdana" w:hAnsi="Verdana"/>
                <w:color w:val="000000"/>
                <w:sz w:val="16"/>
                <w:szCs w:val="16"/>
                <w:lang w:val="en-US"/>
              </w:rPr>
              <w:t xml:space="preserve"> Acids and Dalapon in Drinking Water by Liquid-Liquid Extraction, Derivatization and Gas Chromatography with Electron Capture Detector. Rev. 1.0</w:t>
            </w:r>
          </w:p>
        </w:tc>
      </w:tr>
      <w:tr w:rsidR="00DA341B" w:rsidRPr="00F01347" w14:paraId="7F347943" w14:textId="2078125C" w:rsidTr="00153C15">
        <w:tc>
          <w:tcPr>
            <w:tcW w:w="4675" w:type="dxa"/>
          </w:tcPr>
          <w:p w14:paraId="28DE9CDC" w14:textId="77777777" w:rsidR="00DA341B" w:rsidRPr="00F01347" w:rsidRDefault="00DA341B" w:rsidP="00DA341B">
            <w:pPr>
              <w:pStyle w:val="texto0"/>
              <w:ind w:firstLine="0"/>
              <w:jc w:val="center"/>
              <w:rPr>
                <w:rFonts w:ascii="Verdana" w:hAnsi="Verdana"/>
                <w:b/>
                <w:sz w:val="16"/>
                <w:szCs w:val="16"/>
              </w:rPr>
            </w:pPr>
            <w:r w:rsidRPr="00F01347">
              <w:rPr>
                <w:rFonts w:ascii="Verdana" w:hAnsi="Verdana"/>
                <w:b/>
                <w:sz w:val="16"/>
                <w:szCs w:val="16"/>
              </w:rPr>
              <w:t xml:space="preserve">B.6 MÉTODO DE PRUEBA PARA LA DETERMINACIÓN DE BROMATO, CLORATO Y </w:t>
            </w:r>
            <w:proofErr w:type="gramStart"/>
            <w:r w:rsidRPr="00F01347">
              <w:rPr>
                <w:rFonts w:ascii="Verdana" w:hAnsi="Verdana"/>
                <w:b/>
                <w:sz w:val="16"/>
                <w:szCs w:val="16"/>
              </w:rPr>
              <w:t>CLORITO  EN</w:t>
            </w:r>
            <w:proofErr w:type="gramEnd"/>
            <w:r w:rsidRPr="00F01347">
              <w:rPr>
                <w:rFonts w:ascii="Verdana" w:hAnsi="Verdana"/>
                <w:b/>
                <w:sz w:val="16"/>
                <w:szCs w:val="16"/>
              </w:rPr>
              <w:t xml:space="preserve"> AGUA PARA USO Y CONSUMO HUMANO</w:t>
            </w:r>
          </w:p>
        </w:tc>
        <w:tc>
          <w:tcPr>
            <w:tcW w:w="4675" w:type="dxa"/>
          </w:tcPr>
          <w:p w14:paraId="3965197B" w14:textId="6961260E" w:rsidR="00DA341B" w:rsidRPr="00F01347" w:rsidRDefault="00DA341B" w:rsidP="00DA341B">
            <w:pPr>
              <w:pStyle w:val="texto0"/>
              <w:ind w:firstLine="0"/>
              <w:jc w:val="center"/>
              <w:rPr>
                <w:rFonts w:ascii="Verdana" w:hAnsi="Verdana"/>
                <w:b/>
                <w:sz w:val="16"/>
                <w:szCs w:val="16"/>
                <w:lang w:val="en-US"/>
              </w:rPr>
            </w:pPr>
            <w:r w:rsidRPr="00F01347">
              <w:rPr>
                <w:rFonts w:ascii="Verdana" w:hAnsi="Verdana"/>
                <w:b/>
                <w:sz w:val="16"/>
                <w:szCs w:val="16"/>
                <w:lang w:val="en-US"/>
              </w:rPr>
              <w:t>B.6 TEST METHOD FOR THE DETERMINATION OF BROMATE, CHLORATE AND CHLORITE IN WATER FOR HUMAN USE AND CONSUMPTION</w:t>
            </w:r>
          </w:p>
        </w:tc>
      </w:tr>
      <w:tr w:rsidR="00DA341B" w:rsidRPr="00F01347" w14:paraId="41E070B1" w14:textId="0C09C075" w:rsidTr="00153C15">
        <w:tc>
          <w:tcPr>
            <w:tcW w:w="4675" w:type="dxa"/>
          </w:tcPr>
          <w:p w14:paraId="1B1CFB46" w14:textId="77777777" w:rsidR="00DA341B" w:rsidRPr="00F01347" w:rsidRDefault="00DA341B" w:rsidP="00DA341B">
            <w:pPr>
              <w:pStyle w:val="texto0"/>
              <w:ind w:firstLine="0"/>
              <w:rPr>
                <w:rFonts w:ascii="Verdana" w:hAnsi="Verdana"/>
                <w:b/>
                <w:sz w:val="16"/>
                <w:szCs w:val="16"/>
              </w:rPr>
            </w:pPr>
            <w:r w:rsidRPr="00F01347">
              <w:rPr>
                <w:rFonts w:ascii="Verdana" w:hAnsi="Verdana"/>
                <w:b/>
                <w:sz w:val="16"/>
                <w:szCs w:val="16"/>
              </w:rPr>
              <w:t>B.6.1 Definiciones y términos</w:t>
            </w:r>
          </w:p>
        </w:tc>
        <w:tc>
          <w:tcPr>
            <w:tcW w:w="4675" w:type="dxa"/>
          </w:tcPr>
          <w:p w14:paraId="6D28FDED" w14:textId="4EFDD7A1"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B.6.1 Definitions and terms</w:t>
            </w:r>
          </w:p>
        </w:tc>
      </w:tr>
      <w:tr w:rsidR="00DA341B" w:rsidRPr="00F01347" w14:paraId="4982C98A" w14:textId="467764C6" w:rsidTr="00153C15">
        <w:tc>
          <w:tcPr>
            <w:tcW w:w="4675" w:type="dxa"/>
          </w:tcPr>
          <w:p w14:paraId="5A4FFBFC" w14:textId="77777777" w:rsidR="00DA341B" w:rsidRPr="00F01347" w:rsidRDefault="00DA341B" w:rsidP="00DA341B">
            <w:pPr>
              <w:pStyle w:val="texto0"/>
              <w:ind w:firstLine="0"/>
              <w:rPr>
                <w:rFonts w:ascii="Verdana" w:hAnsi="Verdana"/>
                <w:sz w:val="16"/>
                <w:szCs w:val="16"/>
              </w:rPr>
            </w:pPr>
            <w:r w:rsidRPr="00F01347">
              <w:rPr>
                <w:rFonts w:ascii="Verdana" w:hAnsi="Verdana"/>
                <w:b/>
                <w:sz w:val="16"/>
                <w:szCs w:val="16"/>
              </w:rPr>
              <w:t xml:space="preserve">Blanco de campo, </w:t>
            </w:r>
            <w:r w:rsidRPr="00F01347">
              <w:rPr>
                <w:rFonts w:ascii="Verdana" w:hAnsi="Verdana"/>
                <w:sz w:val="16"/>
                <w:szCs w:val="16"/>
              </w:rPr>
              <w:t>a la</w:t>
            </w:r>
            <w:r w:rsidRPr="00F01347">
              <w:rPr>
                <w:rFonts w:ascii="Verdana" w:hAnsi="Verdana"/>
                <w:b/>
                <w:sz w:val="16"/>
                <w:szCs w:val="16"/>
              </w:rPr>
              <w:t xml:space="preserve"> </w:t>
            </w:r>
            <w:r w:rsidRPr="00F01347">
              <w:rPr>
                <w:rFonts w:ascii="Verdana" w:hAnsi="Verdana"/>
                <w:sz w:val="16"/>
                <w:szCs w:val="16"/>
              </w:rPr>
              <w:t xml:space="preserve">alícuota de agua grado reactivo que es colocada en un envase para muestra en el laboratorio, empacada para el muestreo y tratada como una muestra en todos los aspectos, incluyendo el contacto con los equipos de campo y expuesta a las condiciones del sitio de muestreo, almacenaje, preservación y todos los procedimientos analíticos, los cuales pueden incluir filtración. El propósito del blanco de campo es determinar cuál procedimiento de campo </w:t>
            </w:r>
            <w:r w:rsidRPr="00F01347">
              <w:rPr>
                <w:rFonts w:ascii="Verdana" w:hAnsi="Verdana"/>
                <w:sz w:val="16"/>
                <w:szCs w:val="16"/>
              </w:rPr>
              <w:lastRenderedPageBreak/>
              <w:t>o transporte de muestra y ambiente ha contaminado la muestra.</w:t>
            </w:r>
          </w:p>
        </w:tc>
        <w:tc>
          <w:tcPr>
            <w:tcW w:w="4675" w:type="dxa"/>
          </w:tcPr>
          <w:p w14:paraId="6D61E335" w14:textId="5AF4393B"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lastRenderedPageBreak/>
              <w:t xml:space="preserve">Field </w:t>
            </w:r>
            <w:r w:rsidR="00C50A8A" w:rsidRPr="00F01347">
              <w:rPr>
                <w:rFonts w:ascii="Verdana" w:hAnsi="Verdana"/>
                <w:b/>
                <w:sz w:val="16"/>
                <w:szCs w:val="16"/>
                <w:lang w:val="en-US"/>
              </w:rPr>
              <w:t>blank</w:t>
            </w:r>
            <w:r w:rsidRPr="00F01347">
              <w:rPr>
                <w:rFonts w:ascii="Verdana" w:hAnsi="Verdana"/>
                <w:b/>
                <w:sz w:val="16"/>
                <w:szCs w:val="16"/>
                <w:lang w:val="en-US"/>
              </w:rPr>
              <w:t xml:space="preserve">, </w:t>
            </w:r>
            <w:r w:rsidR="00C37CBA" w:rsidRPr="00F01347">
              <w:rPr>
                <w:rFonts w:ascii="Verdana" w:hAnsi="Verdana"/>
                <w:bCs/>
                <w:sz w:val="16"/>
                <w:szCs w:val="16"/>
                <w:lang w:val="en-US"/>
              </w:rPr>
              <w:t>the</w:t>
            </w:r>
            <w:r w:rsidR="00C37CBA" w:rsidRPr="00F01347">
              <w:rPr>
                <w:rFonts w:ascii="Verdana" w:hAnsi="Verdana"/>
                <w:b/>
                <w:sz w:val="16"/>
                <w:szCs w:val="16"/>
                <w:lang w:val="en-US"/>
              </w:rPr>
              <w:t xml:space="preserve"> </w:t>
            </w:r>
            <w:r w:rsidRPr="00F01347">
              <w:rPr>
                <w:rFonts w:ascii="Verdana" w:hAnsi="Verdana"/>
                <w:sz w:val="16"/>
                <w:szCs w:val="16"/>
                <w:lang w:val="en-US"/>
              </w:rPr>
              <w:t>aliquot of reagent grade water that is placed in a sample container in the laboratory, packaged for sampling and treated as a sample in all respects, including contact with field equipment and exposed to the conditions of the sampling site, storage</w:t>
            </w:r>
            <w:r w:rsidR="003E1BA9" w:rsidRPr="00F01347">
              <w:rPr>
                <w:rFonts w:ascii="Verdana" w:hAnsi="Verdana"/>
                <w:sz w:val="16"/>
                <w:szCs w:val="16"/>
                <w:lang w:val="en-US"/>
              </w:rPr>
              <w:t>,</w:t>
            </w:r>
            <w:r w:rsidRPr="00F01347">
              <w:rPr>
                <w:rFonts w:ascii="Verdana" w:hAnsi="Verdana"/>
                <w:sz w:val="16"/>
                <w:szCs w:val="16"/>
                <w:lang w:val="en-US"/>
              </w:rPr>
              <w:t xml:space="preserve"> </w:t>
            </w:r>
            <w:r w:rsidR="00C37CBA" w:rsidRPr="00F01347">
              <w:rPr>
                <w:rFonts w:ascii="Verdana" w:hAnsi="Verdana"/>
                <w:sz w:val="16"/>
                <w:szCs w:val="16"/>
                <w:lang w:val="en-US"/>
              </w:rPr>
              <w:t>preservation,</w:t>
            </w:r>
            <w:r w:rsidRPr="00F01347">
              <w:rPr>
                <w:rFonts w:ascii="Verdana" w:hAnsi="Verdana"/>
                <w:sz w:val="16"/>
                <w:szCs w:val="16"/>
                <w:lang w:val="en-US"/>
              </w:rPr>
              <w:t xml:space="preserve"> and all analytical procedures, which may include filtration. The purpose of the field blank is to determine which field procedure or sample transport and environment has contaminated the sample.</w:t>
            </w:r>
          </w:p>
        </w:tc>
      </w:tr>
      <w:tr w:rsidR="00DA341B" w:rsidRPr="00F01347" w14:paraId="2CD565C3" w14:textId="4426DDFF" w:rsidTr="00153C15">
        <w:tc>
          <w:tcPr>
            <w:tcW w:w="4675" w:type="dxa"/>
          </w:tcPr>
          <w:p w14:paraId="397A888D" w14:textId="77777777" w:rsidR="00DA341B" w:rsidRPr="00F01347" w:rsidRDefault="00DA341B" w:rsidP="00DA341B">
            <w:pPr>
              <w:pStyle w:val="texto0"/>
              <w:ind w:firstLine="0"/>
              <w:rPr>
                <w:rFonts w:ascii="Verdana" w:hAnsi="Verdana"/>
                <w:sz w:val="16"/>
                <w:szCs w:val="16"/>
              </w:rPr>
            </w:pPr>
            <w:r w:rsidRPr="00F01347">
              <w:rPr>
                <w:rFonts w:ascii="Verdana" w:hAnsi="Verdana"/>
                <w:b/>
                <w:sz w:val="16"/>
                <w:szCs w:val="16"/>
              </w:rPr>
              <w:t>Desviación estándar</w:t>
            </w:r>
            <w:r w:rsidRPr="00F01347">
              <w:rPr>
                <w:rFonts w:ascii="Verdana" w:hAnsi="Verdana"/>
                <w:sz w:val="16"/>
                <w:szCs w:val="16"/>
              </w:rPr>
              <w:t>, a la desviación estándar de la muestra (s), calculada a partir de n-1.</w:t>
            </w:r>
          </w:p>
        </w:tc>
        <w:tc>
          <w:tcPr>
            <w:tcW w:w="4675" w:type="dxa"/>
          </w:tcPr>
          <w:p w14:paraId="221F5C07" w14:textId="664462C0"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Standard deviation</w:t>
            </w:r>
            <w:r w:rsidR="003E1BA9" w:rsidRPr="00F01347">
              <w:rPr>
                <w:rFonts w:ascii="Verdana" w:hAnsi="Verdana"/>
                <w:b/>
                <w:sz w:val="16"/>
                <w:szCs w:val="16"/>
                <w:lang w:val="en-US"/>
              </w:rPr>
              <w:t>,</w:t>
            </w:r>
            <w:r w:rsidRPr="00F01347">
              <w:rPr>
                <w:rFonts w:ascii="Verdana" w:hAnsi="Verdana"/>
                <w:sz w:val="16"/>
                <w:szCs w:val="16"/>
                <w:lang w:val="en-US"/>
              </w:rPr>
              <w:t xml:space="preserve"> the standard deviation of the sample(s), calculated from n-1.</w:t>
            </w:r>
          </w:p>
        </w:tc>
      </w:tr>
      <w:tr w:rsidR="00DA341B" w:rsidRPr="00F01347" w14:paraId="4E590880" w14:textId="6661F1E0" w:rsidTr="00153C15">
        <w:tc>
          <w:tcPr>
            <w:tcW w:w="4675" w:type="dxa"/>
          </w:tcPr>
          <w:p w14:paraId="11ADA9D5" w14:textId="77777777" w:rsidR="00DA341B" w:rsidRPr="00F01347" w:rsidRDefault="00DA341B" w:rsidP="00DA341B">
            <w:pPr>
              <w:pStyle w:val="texto0"/>
              <w:ind w:firstLine="0"/>
              <w:rPr>
                <w:rFonts w:ascii="Verdana" w:hAnsi="Verdana"/>
                <w:sz w:val="16"/>
                <w:szCs w:val="16"/>
              </w:rPr>
            </w:pPr>
            <w:r w:rsidRPr="00F01347">
              <w:rPr>
                <w:rFonts w:ascii="Verdana" w:hAnsi="Verdana"/>
                <w:b/>
                <w:sz w:val="16"/>
                <w:szCs w:val="16"/>
              </w:rPr>
              <w:t>Disolución madre</w:t>
            </w:r>
            <w:r w:rsidRPr="00F01347">
              <w:rPr>
                <w:rFonts w:ascii="Verdana" w:hAnsi="Verdana"/>
                <w:sz w:val="16"/>
                <w:szCs w:val="16"/>
              </w:rPr>
              <w:t>, corresponde a la disolución de máxima concentración en un análisis. Es a partir de esta disolución que se preparan las disoluciones de trabajo.</w:t>
            </w:r>
          </w:p>
        </w:tc>
        <w:tc>
          <w:tcPr>
            <w:tcW w:w="4675" w:type="dxa"/>
          </w:tcPr>
          <w:p w14:paraId="56890BD8" w14:textId="7056BBF4" w:rsidR="00DA341B" w:rsidRPr="00F01347" w:rsidRDefault="00DA341B" w:rsidP="00DA341B">
            <w:pPr>
              <w:pStyle w:val="texto0"/>
              <w:ind w:firstLine="0"/>
              <w:rPr>
                <w:rFonts w:ascii="Verdana" w:hAnsi="Verdana"/>
                <w:b/>
                <w:sz w:val="16"/>
                <w:szCs w:val="16"/>
                <w:lang w:val="en-US"/>
              </w:rPr>
            </w:pPr>
            <w:proofErr w:type="gramStart"/>
            <w:r w:rsidRPr="00F01347">
              <w:rPr>
                <w:rFonts w:ascii="Verdana" w:hAnsi="Verdana"/>
                <w:b/>
                <w:sz w:val="16"/>
                <w:szCs w:val="16"/>
                <w:lang w:val="en-US"/>
              </w:rPr>
              <w:t>Mother solution</w:t>
            </w:r>
            <w:r w:rsidR="003E1BA9" w:rsidRPr="00F01347">
              <w:rPr>
                <w:rFonts w:ascii="Verdana" w:hAnsi="Verdana"/>
                <w:b/>
                <w:sz w:val="16"/>
                <w:szCs w:val="16"/>
                <w:lang w:val="en-US"/>
              </w:rPr>
              <w:t>,</w:t>
            </w:r>
            <w:proofErr w:type="gramEnd"/>
            <w:r w:rsidRPr="00F01347">
              <w:rPr>
                <w:rFonts w:ascii="Verdana" w:hAnsi="Verdana"/>
                <w:sz w:val="16"/>
                <w:szCs w:val="16"/>
                <w:lang w:val="en-US"/>
              </w:rPr>
              <w:t xml:space="preserve"> corresponds to the solution of maximum concentration in an analysis. It is from this solution that the working solutions are prepared.</w:t>
            </w:r>
          </w:p>
        </w:tc>
      </w:tr>
      <w:tr w:rsidR="00DA341B" w:rsidRPr="00F01347" w14:paraId="6E03E80B" w14:textId="123421CD" w:rsidTr="00153C15">
        <w:tc>
          <w:tcPr>
            <w:tcW w:w="4675" w:type="dxa"/>
          </w:tcPr>
          <w:p w14:paraId="48A7F236" w14:textId="77777777" w:rsidR="00DA341B" w:rsidRPr="00F01347" w:rsidRDefault="00DA341B" w:rsidP="00DA341B">
            <w:pPr>
              <w:pStyle w:val="texto0"/>
              <w:ind w:firstLine="0"/>
              <w:rPr>
                <w:rFonts w:ascii="Verdana" w:hAnsi="Verdana"/>
                <w:sz w:val="16"/>
                <w:szCs w:val="16"/>
              </w:rPr>
            </w:pPr>
            <w:r w:rsidRPr="00F01347">
              <w:rPr>
                <w:rFonts w:ascii="Verdana" w:hAnsi="Verdana"/>
                <w:b/>
                <w:sz w:val="16"/>
                <w:szCs w:val="16"/>
              </w:rPr>
              <w:t>Disolución patrón</w:t>
            </w:r>
            <w:r w:rsidRPr="00F01347">
              <w:rPr>
                <w:rFonts w:ascii="Verdana" w:hAnsi="Verdana"/>
                <w:sz w:val="16"/>
                <w:szCs w:val="16"/>
              </w:rPr>
              <w:t>, a la disolución de concentración conocida preparada a partir de un patrón primario.</w:t>
            </w:r>
          </w:p>
        </w:tc>
        <w:tc>
          <w:tcPr>
            <w:tcW w:w="4675" w:type="dxa"/>
          </w:tcPr>
          <w:p w14:paraId="75017F46" w14:textId="15EA937F"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Standard solution</w:t>
            </w:r>
            <w:r w:rsidR="003E1BA9" w:rsidRPr="00F01347">
              <w:rPr>
                <w:rFonts w:ascii="Verdana" w:hAnsi="Verdana"/>
                <w:b/>
                <w:sz w:val="16"/>
                <w:szCs w:val="16"/>
                <w:lang w:val="en-US"/>
              </w:rPr>
              <w:t>,</w:t>
            </w:r>
            <w:r w:rsidRPr="00F01347">
              <w:rPr>
                <w:rFonts w:ascii="Verdana" w:hAnsi="Verdana"/>
                <w:sz w:val="16"/>
                <w:szCs w:val="16"/>
                <w:lang w:val="en-US"/>
              </w:rPr>
              <w:t xml:space="preserve"> the solution of known concentration prepared from a primary standard.</w:t>
            </w:r>
          </w:p>
        </w:tc>
      </w:tr>
      <w:tr w:rsidR="00DA341B" w:rsidRPr="00F01347" w14:paraId="7361BA84" w14:textId="74507CC5" w:rsidTr="00153C15">
        <w:tc>
          <w:tcPr>
            <w:tcW w:w="4675" w:type="dxa"/>
          </w:tcPr>
          <w:p w14:paraId="26E9D373" w14:textId="77777777" w:rsidR="00DA341B" w:rsidRPr="00F01347" w:rsidRDefault="00DA341B" w:rsidP="00DA341B">
            <w:pPr>
              <w:pStyle w:val="texto0"/>
              <w:ind w:firstLine="0"/>
              <w:rPr>
                <w:rFonts w:ascii="Verdana" w:hAnsi="Verdana"/>
                <w:sz w:val="16"/>
                <w:szCs w:val="16"/>
              </w:rPr>
            </w:pPr>
            <w:r w:rsidRPr="00F01347">
              <w:rPr>
                <w:rFonts w:ascii="Verdana" w:hAnsi="Verdana"/>
                <w:b/>
                <w:sz w:val="16"/>
                <w:szCs w:val="16"/>
              </w:rPr>
              <w:t>Estándar de calibración</w:t>
            </w:r>
            <w:r w:rsidRPr="00F01347">
              <w:rPr>
                <w:rFonts w:ascii="Verdana" w:hAnsi="Verdana"/>
                <w:sz w:val="16"/>
                <w:szCs w:val="16"/>
              </w:rPr>
              <w:t>, a la solución preparada de un estándar diluido y/o una solución patrón y utilizada para calibrar la respuesta del instrumento con respecto a la concentración del analito.</w:t>
            </w:r>
          </w:p>
        </w:tc>
        <w:tc>
          <w:tcPr>
            <w:tcW w:w="4675" w:type="dxa"/>
          </w:tcPr>
          <w:p w14:paraId="4ECF760B" w14:textId="3CB44C1D"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Calibration standard</w:t>
            </w:r>
            <w:r w:rsidR="003E1BA9" w:rsidRPr="00F01347">
              <w:rPr>
                <w:rFonts w:ascii="Verdana" w:hAnsi="Verdana"/>
                <w:b/>
                <w:sz w:val="16"/>
                <w:szCs w:val="16"/>
                <w:lang w:val="en-US"/>
              </w:rPr>
              <w:t>,</w:t>
            </w:r>
            <w:r w:rsidRPr="00F01347">
              <w:rPr>
                <w:rFonts w:ascii="Verdana" w:hAnsi="Verdana"/>
                <w:sz w:val="16"/>
                <w:szCs w:val="16"/>
                <w:lang w:val="en-US"/>
              </w:rPr>
              <w:t xml:space="preserve"> the solution prepared from a diluted standard and/or a standard solution and used to calibrate the response of the instrument with respect to the concentration of the analyte.</w:t>
            </w:r>
          </w:p>
        </w:tc>
      </w:tr>
      <w:tr w:rsidR="00DA341B" w:rsidRPr="00F01347" w14:paraId="5600B624" w14:textId="15767B51" w:rsidTr="00153C15">
        <w:tc>
          <w:tcPr>
            <w:tcW w:w="4675" w:type="dxa"/>
          </w:tcPr>
          <w:p w14:paraId="073D4EB2" w14:textId="77777777" w:rsidR="00DA341B" w:rsidRPr="00F01347" w:rsidRDefault="00DA341B" w:rsidP="00DA341B">
            <w:pPr>
              <w:pStyle w:val="texto0"/>
              <w:ind w:firstLine="0"/>
              <w:rPr>
                <w:rFonts w:ascii="Verdana" w:hAnsi="Verdana"/>
                <w:sz w:val="16"/>
                <w:szCs w:val="16"/>
              </w:rPr>
            </w:pPr>
            <w:r w:rsidRPr="00F01347">
              <w:rPr>
                <w:rFonts w:ascii="Verdana" w:hAnsi="Verdana"/>
                <w:b/>
                <w:sz w:val="16"/>
                <w:szCs w:val="16"/>
              </w:rPr>
              <w:t>Estándar de verificación de la calibración</w:t>
            </w:r>
            <w:r w:rsidRPr="00F01347">
              <w:rPr>
                <w:rFonts w:ascii="Verdana" w:hAnsi="Verdana"/>
                <w:sz w:val="16"/>
                <w:szCs w:val="16"/>
              </w:rPr>
              <w:t>, punto medio del estándar de calibración que es utilizado para verificar la calibración inicial en el tiempo.</w:t>
            </w:r>
          </w:p>
        </w:tc>
        <w:tc>
          <w:tcPr>
            <w:tcW w:w="4675" w:type="dxa"/>
          </w:tcPr>
          <w:p w14:paraId="7D659D33" w14:textId="74A08B01"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Calibration verification standard</w:t>
            </w:r>
            <w:r w:rsidR="003E1BA9" w:rsidRPr="00F01347">
              <w:rPr>
                <w:rFonts w:ascii="Verdana" w:hAnsi="Verdana"/>
                <w:b/>
                <w:sz w:val="16"/>
                <w:szCs w:val="16"/>
                <w:lang w:val="en-US"/>
              </w:rPr>
              <w:t>,</w:t>
            </w:r>
            <w:r w:rsidRPr="00F01347">
              <w:rPr>
                <w:rFonts w:ascii="Verdana" w:hAnsi="Verdana"/>
                <w:sz w:val="16"/>
                <w:szCs w:val="16"/>
                <w:lang w:val="en-US"/>
              </w:rPr>
              <w:t xml:space="preserve"> midpoint of the calibration standard that is used to verify the initial calibration over time.</w:t>
            </w:r>
          </w:p>
        </w:tc>
      </w:tr>
      <w:tr w:rsidR="00DA341B" w:rsidRPr="00F01347" w14:paraId="7BB82323" w14:textId="4CE2A00B" w:rsidTr="00153C15">
        <w:tc>
          <w:tcPr>
            <w:tcW w:w="4675" w:type="dxa"/>
          </w:tcPr>
          <w:p w14:paraId="745854BF" w14:textId="77777777" w:rsidR="00DA341B" w:rsidRPr="00F01347" w:rsidRDefault="00DA341B" w:rsidP="00DA341B">
            <w:pPr>
              <w:pStyle w:val="texto0"/>
              <w:ind w:firstLine="0"/>
              <w:rPr>
                <w:rFonts w:ascii="Verdana" w:hAnsi="Verdana"/>
                <w:sz w:val="16"/>
                <w:szCs w:val="16"/>
              </w:rPr>
            </w:pPr>
            <w:r w:rsidRPr="00F01347">
              <w:rPr>
                <w:rFonts w:ascii="Verdana" w:hAnsi="Verdana"/>
                <w:b/>
                <w:sz w:val="16"/>
                <w:szCs w:val="16"/>
              </w:rPr>
              <w:t xml:space="preserve">Intervalo de trabajo, </w:t>
            </w:r>
            <w:r w:rsidRPr="00F01347">
              <w:rPr>
                <w:rFonts w:ascii="Verdana" w:hAnsi="Verdana"/>
                <w:sz w:val="16"/>
                <w:szCs w:val="16"/>
              </w:rPr>
              <w:t>intervalo de la concentración sobre la cual la respuesta del instrumento para el analito es proporcional.</w:t>
            </w:r>
          </w:p>
        </w:tc>
        <w:tc>
          <w:tcPr>
            <w:tcW w:w="4675" w:type="dxa"/>
          </w:tcPr>
          <w:p w14:paraId="2D229EF0" w14:textId="6657CF8C"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 xml:space="preserve">Working range, </w:t>
            </w:r>
            <w:r w:rsidRPr="00F01347">
              <w:rPr>
                <w:rFonts w:ascii="Verdana" w:hAnsi="Verdana"/>
                <w:sz w:val="16"/>
                <w:szCs w:val="16"/>
                <w:lang w:val="en-US"/>
              </w:rPr>
              <w:t>concentration range over which the response of the instrument for the analyte is proportional.</w:t>
            </w:r>
          </w:p>
        </w:tc>
      </w:tr>
      <w:tr w:rsidR="00DA341B" w:rsidRPr="00F01347" w14:paraId="56B45E08" w14:textId="6287C858" w:rsidTr="00153C15">
        <w:tc>
          <w:tcPr>
            <w:tcW w:w="4675" w:type="dxa"/>
          </w:tcPr>
          <w:p w14:paraId="6228EA60" w14:textId="77777777" w:rsidR="00DA341B" w:rsidRPr="00F01347" w:rsidRDefault="00DA341B" w:rsidP="00DA341B">
            <w:pPr>
              <w:pStyle w:val="texto0"/>
              <w:ind w:firstLine="0"/>
              <w:rPr>
                <w:rFonts w:ascii="Verdana" w:hAnsi="Verdana"/>
                <w:sz w:val="16"/>
                <w:szCs w:val="16"/>
              </w:rPr>
            </w:pPr>
            <w:r w:rsidRPr="00F01347">
              <w:rPr>
                <w:rFonts w:ascii="Verdana" w:hAnsi="Verdana"/>
                <w:b/>
                <w:sz w:val="16"/>
                <w:szCs w:val="16"/>
              </w:rPr>
              <w:t>Matriz adicionada (MA) y Matriz adicionada duplicada (MAD)</w:t>
            </w:r>
            <w:r w:rsidRPr="00F01347">
              <w:rPr>
                <w:rFonts w:ascii="Verdana" w:hAnsi="Verdana"/>
                <w:sz w:val="16"/>
                <w:szCs w:val="16"/>
              </w:rPr>
              <w:t>, a la alícuota de una muestra ambiental para la cual cantidades conocidas de los analitos del método son añadidas en el laboratorio. Las MA y MAD son analizados exactamente como una muestra. Su propósito es la cuantificación del sesgo y la precisión causada por la matriz de la muestra. Las concentraciones bases de los analitos en la matriz de la muestra debe determinarse en una alícuota separada y los valores medidos en las MA y MAD corregidas con las concentraciones base.</w:t>
            </w:r>
          </w:p>
        </w:tc>
        <w:tc>
          <w:tcPr>
            <w:tcW w:w="4675" w:type="dxa"/>
          </w:tcPr>
          <w:p w14:paraId="0E1DCDFC" w14:textId="5D4ADDB9"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Matrix added (MA) and Matrix added duplicate (MAD)</w:t>
            </w:r>
            <w:r w:rsidR="003E1BA9" w:rsidRPr="00F01347">
              <w:rPr>
                <w:rFonts w:ascii="Verdana" w:hAnsi="Verdana"/>
                <w:b/>
                <w:sz w:val="16"/>
                <w:szCs w:val="16"/>
                <w:lang w:val="en-US"/>
              </w:rPr>
              <w:t>,</w:t>
            </w:r>
            <w:r w:rsidRPr="00F01347">
              <w:rPr>
                <w:rFonts w:ascii="Verdana" w:hAnsi="Verdana"/>
                <w:sz w:val="16"/>
                <w:szCs w:val="16"/>
                <w:lang w:val="en-US"/>
              </w:rPr>
              <w:t xml:space="preserve"> the aliquot of an environmental sample to which known quantities of the method analytes are added in the laboratory. The MA and MAD are analyzed exactly as a sample. Its purpose is the quantification of the bias and precision caused by the sample matrix. The base concentrations of the analytes in the sample matrix should be determined in a separate aliquot and the values measured in the MA and MAD corrected with the base concentrations.</w:t>
            </w:r>
          </w:p>
        </w:tc>
      </w:tr>
      <w:tr w:rsidR="00DA341B" w:rsidRPr="00F01347" w14:paraId="6828CBDA" w14:textId="695E38E2" w:rsidTr="00153C15">
        <w:tc>
          <w:tcPr>
            <w:tcW w:w="4675" w:type="dxa"/>
          </w:tcPr>
          <w:p w14:paraId="60884E18" w14:textId="77777777" w:rsidR="00DA341B" w:rsidRPr="00F01347" w:rsidRDefault="00DA341B" w:rsidP="00DA341B">
            <w:pPr>
              <w:pStyle w:val="texto0"/>
              <w:ind w:firstLine="0"/>
              <w:rPr>
                <w:rFonts w:ascii="Verdana" w:hAnsi="Verdana"/>
                <w:sz w:val="16"/>
                <w:szCs w:val="16"/>
              </w:rPr>
            </w:pPr>
            <w:r w:rsidRPr="00F01347">
              <w:rPr>
                <w:rFonts w:ascii="Verdana" w:hAnsi="Verdana"/>
                <w:b/>
                <w:sz w:val="16"/>
                <w:szCs w:val="16"/>
              </w:rPr>
              <w:t>Muestra de control de calidad (MCC)</w:t>
            </w:r>
            <w:r w:rsidRPr="00F01347">
              <w:rPr>
                <w:rFonts w:ascii="Verdana" w:hAnsi="Verdana"/>
                <w:sz w:val="16"/>
                <w:szCs w:val="16"/>
              </w:rPr>
              <w:t>, a la muestra sintética que contiene todos o un subgrupo de los analitos de interés del método a una concentración conocida. La MCC se obtiene de una fuente externa al laboratorio o es preparada de una fuente diferente de los estándares de la fuente de los estándares de calibración. Se usa para revisar el desempeño del laboratorio con materiales de prueba preparado externamente a los procesos normales de preparación.</w:t>
            </w:r>
          </w:p>
        </w:tc>
        <w:tc>
          <w:tcPr>
            <w:tcW w:w="4675" w:type="dxa"/>
          </w:tcPr>
          <w:p w14:paraId="5EB91470" w14:textId="0730A476"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Quality control sample (MCC)</w:t>
            </w:r>
            <w:r w:rsidR="003E1BA9" w:rsidRPr="00F01347">
              <w:rPr>
                <w:rFonts w:ascii="Verdana" w:hAnsi="Verdana"/>
                <w:b/>
                <w:sz w:val="16"/>
                <w:szCs w:val="16"/>
                <w:lang w:val="en-US"/>
              </w:rPr>
              <w:t>,</w:t>
            </w:r>
            <w:r w:rsidRPr="00F01347">
              <w:rPr>
                <w:rFonts w:ascii="Verdana" w:hAnsi="Verdana"/>
                <w:sz w:val="16"/>
                <w:szCs w:val="16"/>
                <w:lang w:val="en-US"/>
              </w:rPr>
              <w:t xml:space="preserve"> the synthetic sample that contains all or a subgroup of the analytes of interest of the method at a known concentration. The MCC is obtained from a source outside the laboratory or is prepared from a source other than the source of the calibration standards. It is used to review laboratory performance with test materials prepared externally to normal preparation processes.</w:t>
            </w:r>
          </w:p>
        </w:tc>
      </w:tr>
      <w:tr w:rsidR="00DA341B" w:rsidRPr="00F01347" w14:paraId="1BB6CB58" w14:textId="38359BE8" w:rsidTr="00153C15">
        <w:tc>
          <w:tcPr>
            <w:tcW w:w="4675" w:type="dxa"/>
          </w:tcPr>
          <w:p w14:paraId="002161EF" w14:textId="77777777" w:rsidR="00DA341B" w:rsidRPr="00F01347" w:rsidRDefault="00DA341B" w:rsidP="00DA341B">
            <w:pPr>
              <w:pStyle w:val="texto0"/>
              <w:ind w:firstLine="0"/>
              <w:rPr>
                <w:rFonts w:ascii="Verdana" w:hAnsi="Verdana"/>
                <w:sz w:val="16"/>
                <w:szCs w:val="16"/>
              </w:rPr>
            </w:pPr>
            <w:r w:rsidRPr="00F01347">
              <w:rPr>
                <w:rFonts w:ascii="Verdana" w:hAnsi="Verdana"/>
                <w:b/>
                <w:sz w:val="16"/>
                <w:szCs w:val="16"/>
              </w:rPr>
              <w:t>Patrón primario</w:t>
            </w:r>
            <w:r w:rsidRPr="00F01347">
              <w:rPr>
                <w:rFonts w:ascii="Verdana" w:hAnsi="Verdana"/>
                <w:sz w:val="16"/>
                <w:szCs w:val="16"/>
              </w:rPr>
              <w:t>, al patrón que es designado o reconocido ampliamente como un patrón que tiene las más altas cualidades metrológicas y cuyo valor es aceptado sin referencia a otros patrones de la misma magnitud.</w:t>
            </w:r>
          </w:p>
        </w:tc>
        <w:tc>
          <w:tcPr>
            <w:tcW w:w="4675" w:type="dxa"/>
          </w:tcPr>
          <w:p w14:paraId="7BAAF1D6" w14:textId="611149DB"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Primary standard</w:t>
            </w:r>
            <w:r w:rsidR="003E1BA9" w:rsidRPr="00F01347">
              <w:rPr>
                <w:rFonts w:ascii="Verdana" w:hAnsi="Verdana"/>
                <w:b/>
                <w:sz w:val="16"/>
                <w:szCs w:val="16"/>
                <w:lang w:val="en-US"/>
              </w:rPr>
              <w:t>,</w:t>
            </w:r>
            <w:r w:rsidRPr="00F01347">
              <w:rPr>
                <w:rFonts w:ascii="Verdana" w:hAnsi="Verdana"/>
                <w:sz w:val="16"/>
                <w:szCs w:val="16"/>
                <w:lang w:val="en-US"/>
              </w:rPr>
              <w:t xml:space="preserve"> a standard that is designated or widely recognized as a standard that has the highest metrological qualities and whose value is accepted without reference to other standards of the same magnitude.</w:t>
            </w:r>
          </w:p>
        </w:tc>
      </w:tr>
      <w:tr w:rsidR="00DA341B" w:rsidRPr="00F01347" w14:paraId="7756A710" w14:textId="7E1BB1D9" w:rsidTr="00153C15">
        <w:tc>
          <w:tcPr>
            <w:tcW w:w="4675" w:type="dxa"/>
          </w:tcPr>
          <w:p w14:paraId="4EA3A751" w14:textId="77777777" w:rsidR="00DA341B" w:rsidRPr="00F01347" w:rsidRDefault="00DA341B" w:rsidP="00DA341B">
            <w:pPr>
              <w:pStyle w:val="texto0"/>
              <w:ind w:firstLine="0"/>
              <w:rPr>
                <w:rFonts w:ascii="Verdana" w:hAnsi="Verdana"/>
                <w:b/>
                <w:sz w:val="16"/>
                <w:szCs w:val="16"/>
              </w:rPr>
            </w:pPr>
            <w:r w:rsidRPr="00F01347">
              <w:rPr>
                <w:rFonts w:ascii="Verdana" w:hAnsi="Verdana"/>
                <w:b/>
                <w:sz w:val="16"/>
                <w:szCs w:val="16"/>
              </w:rPr>
              <w:t>B.6.2 Símbolos y términos abreviados</w:t>
            </w:r>
          </w:p>
        </w:tc>
        <w:tc>
          <w:tcPr>
            <w:tcW w:w="4675" w:type="dxa"/>
          </w:tcPr>
          <w:p w14:paraId="0782C826" w14:textId="60737BBC"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B.6.2 Symbols and abbreviated terms</w:t>
            </w:r>
          </w:p>
        </w:tc>
      </w:tr>
      <w:tr w:rsidR="00DA341B" w:rsidRPr="00F01347" w14:paraId="7D6E4029" w14:textId="742A6CE6" w:rsidTr="00153C15">
        <w:tc>
          <w:tcPr>
            <w:tcW w:w="4675" w:type="dxa"/>
          </w:tcPr>
          <w:p w14:paraId="52540C72"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DSR</w:t>
            </w:r>
            <w:r w:rsidRPr="00F01347">
              <w:rPr>
                <w:rFonts w:ascii="Verdana" w:hAnsi="Verdana"/>
                <w:sz w:val="16"/>
                <w:szCs w:val="16"/>
              </w:rPr>
              <w:tab/>
              <w:t>desviación estándar relativa</w:t>
            </w:r>
          </w:p>
        </w:tc>
        <w:tc>
          <w:tcPr>
            <w:tcW w:w="4675" w:type="dxa"/>
          </w:tcPr>
          <w:p w14:paraId="1AA0AA8B" w14:textId="495ECE03"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 xml:space="preserve">DSR </w:t>
            </w:r>
            <w:r w:rsidRPr="00F01347">
              <w:rPr>
                <w:rFonts w:ascii="Verdana" w:hAnsi="Verdana"/>
                <w:sz w:val="16"/>
                <w:szCs w:val="16"/>
                <w:lang w:val="en-US"/>
              </w:rPr>
              <w:tab/>
              <w:t>relative standard deviation</w:t>
            </w:r>
          </w:p>
        </w:tc>
      </w:tr>
      <w:tr w:rsidR="00DA341B" w:rsidRPr="00F01347" w14:paraId="68C6683D" w14:textId="12FBC574" w:rsidTr="00153C15">
        <w:tc>
          <w:tcPr>
            <w:tcW w:w="4675" w:type="dxa"/>
          </w:tcPr>
          <w:p w14:paraId="09A0616E"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EDA</w:t>
            </w:r>
            <w:r w:rsidRPr="00F01347">
              <w:rPr>
                <w:rFonts w:ascii="Verdana" w:hAnsi="Verdana"/>
                <w:sz w:val="16"/>
                <w:szCs w:val="16"/>
              </w:rPr>
              <w:tab/>
              <w:t>etilendiamina</w:t>
            </w:r>
          </w:p>
        </w:tc>
        <w:tc>
          <w:tcPr>
            <w:tcW w:w="4675" w:type="dxa"/>
          </w:tcPr>
          <w:p w14:paraId="5FD2A3B1" w14:textId="55122673"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 xml:space="preserve">EDA </w:t>
            </w:r>
            <w:r w:rsidRPr="00F01347">
              <w:rPr>
                <w:rFonts w:ascii="Verdana" w:hAnsi="Verdana"/>
                <w:sz w:val="16"/>
                <w:szCs w:val="16"/>
                <w:lang w:val="en-US"/>
              </w:rPr>
              <w:tab/>
              <w:t>ethylenediamine</w:t>
            </w:r>
          </w:p>
        </w:tc>
      </w:tr>
      <w:tr w:rsidR="00DA341B" w:rsidRPr="00F01347" w14:paraId="0FD736F0" w14:textId="030FB4C8" w:rsidTr="00153C15">
        <w:tc>
          <w:tcPr>
            <w:tcW w:w="4675" w:type="dxa"/>
          </w:tcPr>
          <w:p w14:paraId="1E99DD9B"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µS</w:t>
            </w:r>
            <w:r w:rsidRPr="00F01347">
              <w:rPr>
                <w:rFonts w:ascii="Verdana" w:hAnsi="Verdana"/>
                <w:sz w:val="16"/>
                <w:szCs w:val="16"/>
              </w:rPr>
              <w:tab/>
            </w:r>
            <w:proofErr w:type="spellStart"/>
            <w:r w:rsidRPr="00F01347">
              <w:rPr>
                <w:rFonts w:ascii="Verdana" w:hAnsi="Verdana"/>
                <w:sz w:val="16"/>
                <w:szCs w:val="16"/>
              </w:rPr>
              <w:t>microsiemens</w:t>
            </w:r>
            <w:proofErr w:type="spellEnd"/>
          </w:p>
        </w:tc>
        <w:tc>
          <w:tcPr>
            <w:tcW w:w="4675" w:type="dxa"/>
          </w:tcPr>
          <w:p w14:paraId="0C97184D" w14:textId="3459F00E"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 xml:space="preserve">µS </w:t>
            </w:r>
            <w:r w:rsidRPr="00F01347">
              <w:rPr>
                <w:rFonts w:ascii="Verdana" w:hAnsi="Verdana"/>
                <w:sz w:val="16"/>
                <w:szCs w:val="16"/>
                <w:lang w:val="en-US"/>
              </w:rPr>
              <w:tab/>
            </w:r>
            <w:proofErr w:type="spellStart"/>
            <w:r w:rsidRPr="00F01347">
              <w:rPr>
                <w:rFonts w:ascii="Verdana" w:hAnsi="Verdana"/>
                <w:sz w:val="16"/>
                <w:szCs w:val="16"/>
                <w:lang w:val="en-US"/>
              </w:rPr>
              <w:t>microsiemens</w:t>
            </w:r>
            <w:proofErr w:type="spellEnd"/>
          </w:p>
        </w:tc>
      </w:tr>
      <w:tr w:rsidR="00DA341B" w:rsidRPr="00F01347" w14:paraId="52C4C979" w14:textId="68B15EB0" w:rsidTr="00153C15">
        <w:tc>
          <w:tcPr>
            <w:tcW w:w="4675" w:type="dxa"/>
          </w:tcPr>
          <w:p w14:paraId="4E634E6F"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 xml:space="preserve">M </w:t>
            </w:r>
            <w:r w:rsidRPr="00F01347">
              <w:rPr>
                <w:rFonts w:ascii="Verdana" w:hAnsi="Verdana"/>
                <w:sz w:val="16"/>
                <w:szCs w:val="16"/>
              </w:rPr>
              <w:tab/>
              <w:t>matriz</w:t>
            </w:r>
          </w:p>
        </w:tc>
        <w:tc>
          <w:tcPr>
            <w:tcW w:w="4675" w:type="dxa"/>
          </w:tcPr>
          <w:p w14:paraId="778A66E4" w14:textId="795B2099"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 xml:space="preserve">M </w:t>
            </w:r>
            <w:r w:rsidRPr="00F01347">
              <w:rPr>
                <w:rFonts w:ascii="Verdana" w:hAnsi="Verdana"/>
                <w:sz w:val="16"/>
                <w:szCs w:val="16"/>
                <w:lang w:val="en-US"/>
              </w:rPr>
              <w:tab/>
              <w:t>matrix</w:t>
            </w:r>
          </w:p>
        </w:tc>
      </w:tr>
      <w:tr w:rsidR="00DA341B" w:rsidRPr="00F01347" w14:paraId="48F49689" w14:textId="450E359F" w:rsidTr="00153C15">
        <w:tc>
          <w:tcPr>
            <w:tcW w:w="4675" w:type="dxa"/>
          </w:tcPr>
          <w:p w14:paraId="6271F5EE"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MA</w:t>
            </w:r>
            <w:r w:rsidRPr="00F01347">
              <w:rPr>
                <w:rFonts w:ascii="Verdana" w:hAnsi="Verdana"/>
                <w:sz w:val="16"/>
                <w:szCs w:val="16"/>
              </w:rPr>
              <w:tab/>
              <w:t>matriz adicionada</w:t>
            </w:r>
          </w:p>
        </w:tc>
        <w:tc>
          <w:tcPr>
            <w:tcW w:w="4675" w:type="dxa"/>
          </w:tcPr>
          <w:p w14:paraId="4D2BE71C" w14:textId="37FE93C8"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 xml:space="preserve">MA </w:t>
            </w:r>
            <w:r w:rsidRPr="00F01347">
              <w:rPr>
                <w:rFonts w:ascii="Verdana" w:hAnsi="Verdana"/>
                <w:sz w:val="16"/>
                <w:szCs w:val="16"/>
                <w:lang w:val="en-US"/>
              </w:rPr>
              <w:tab/>
              <w:t>added matrix</w:t>
            </w:r>
          </w:p>
        </w:tc>
      </w:tr>
      <w:tr w:rsidR="00DA341B" w:rsidRPr="00F01347" w14:paraId="2CF1322F" w14:textId="418FE055" w:rsidTr="00153C15">
        <w:tc>
          <w:tcPr>
            <w:tcW w:w="4675" w:type="dxa"/>
          </w:tcPr>
          <w:p w14:paraId="6A3FCEE6"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MAD</w:t>
            </w:r>
            <w:r w:rsidRPr="00F01347">
              <w:rPr>
                <w:rFonts w:ascii="Verdana" w:hAnsi="Verdana"/>
                <w:sz w:val="16"/>
                <w:szCs w:val="16"/>
              </w:rPr>
              <w:tab/>
              <w:t>matriz adicionada duplicada</w:t>
            </w:r>
          </w:p>
        </w:tc>
        <w:tc>
          <w:tcPr>
            <w:tcW w:w="4675" w:type="dxa"/>
          </w:tcPr>
          <w:p w14:paraId="479DEF86" w14:textId="3C781F6C"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 xml:space="preserve">MAD </w:t>
            </w:r>
            <w:r w:rsidRPr="00F01347">
              <w:rPr>
                <w:rFonts w:ascii="Verdana" w:hAnsi="Verdana"/>
                <w:sz w:val="16"/>
                <w:szCs w:val="16"/>
                <w:lang w:val="en-US"/>
              </w:rPr>
              <w:tab/>
              <w:t>duplicate addition matrix</w:t>
            </w:r>
          </w:p>
        </w:tc>
      </w:tr>
      <w:tr w:rsidR="00DA341B" w:rsidRPr="00F01347" w14:paraId="0E389C6F" w14:textId="620CB9BA" w:rsidTr="00153C15">
        <w:tc>
          <w:tcPr>
            <w:tcW w:w="4675" w:type="dxa"/>
          </w:tcPr>
          <w:p w14:paraId="3C1F0CBE"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lastRenderedPageBreak/>
              <w:t>MCC</w:t>
            </w:r>
            <w:r w:rsidRPr="00F01347">
              <w:rPr>
                <w:rFonts w:ascii="Verdana" w:hAnsi="Verdana"/>
                <w:sz w:val="16"/>
                <w:szCs w:val="16"/>
              </w:rPr>
              <w:tab/>
              <w:t>muestra de control de calidad</w:t>
            </w:r>
          </w:p>
        </w:tc>
        <w:tc>
          <w:tcPr>
            <w:tcW w:w="4675" w:type="dxa"/>
          </w:tcPr>
          <w:p w14:paraId="1D3DFF7F" w14:textId="675A3BD0"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 xml:space="preserve">MCC </w:t>
            </w:r>
            <w:r w:rsidRPr="00F01347">
              <w:rPr>
                <w:rFonts w:ascii="Verdana" w:hAnsi="Verdana"/>
                <w:sz w:val="16"/>
                <w:szCs w:val="16"/>
                <w:lang w:val="en-US"/>
              </w:rPr>
              <w:tab/>
              <w:t>quality control sample</w:t>
            </w:r>
          </w:p>
        </w:tc>
      </w:tr>
      <w:tr w:rsidR="00DA341B" w:rsidRPr="00F01347" w14:paraId="29A8404B" w14:textId="0F3CA34E" w:rsidTr="00153C15">
        <w:tc>
          <w:tcPr>
            <w:tcW w:w="4675" w:type="dxa"/>
          </w:tcPr>
          <w:p w14:paraId="2CD605C6"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MDL</w:t>
            </w:r>
            <w:r w:rsidRPr="00F01347">
              <w:rPr>
                <w:rFonts w:ascii="Verdana" w:hAnsi="Verdana"/>
                <w:sz w:val="16"/>
                <w:szCs w:val="16"/>
              </w:rPr>
              <w:tab/>
              <w:t>límite de detección del método</w:t>
            </w:r>
          </w:p>
        </w:tc>
        <w:tc>
          <w:tcPr>
            <w:tcW w:w="4675" w:type="dxa"/>
          </w:tcPr>
          <w:p w14:paraId="2451B051" w14:textId="0BB582A4"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 xml:space="preserve">MDL </w:t>
            </w:r>
            <w:r w:rsidRPr="00F01347">
              <w:rPr>
                <w:rFonts w:ascii="Verdana" w:hAnsi="Verdana"/>
                <w:sz w:val="16"/>
                <w:szCs w:val="16"/>
                <w:lang w:val="en-US"/>
              </w:rPr>
              <w:tab/>
              <w:t>method detection limit</w:t>
            </w:r>
          </w:p>
        </w:tc>
      </w:tr>
      <w:tr w:rsidR="00DA341B" w:rsidRPr="00F01347" w14:paraId="2E87075A" w14:textId="58B5ABDB" w:rsidTr="00153C15">
        <w:tc>
          <w:tcPr>
            <w:tcW w:w="4675" w:type="dxa"/>
          </w:tcPr>
          <w:p w14:paraId="36B73C09"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MDUP</w:t>
            </w:r>
            <w:r w:rsidRPr="00F01347">
              <w:rPr>
                <w:rFonts w:ascii="Verdana" w:hAnsi="Verdana"/>
                <w:sz w:val="16"/>
                <w:szCs w:val="16"/>
              </w:rPr>
              <w:tab/>
              <w:t>matriz duplicada</w:t>
            </w:r>
          </w:p>
        </w:tc>
        <w:tc>
          <w:tcPr>
            <w:tcW w:w="4675" w:type="dxa"/>
          </w:tcPr>
          <w:p w14:paraId="4C8ED569" w14:textId="69FB1282"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 xml:space="preserve">MDUP </w:t>
            </w:r>
            <w:r w:rsidRPr="00F01347">
              <w:rPr>
                <w:rFonts w:ascii="Verdana" w:hAnsi="Verdana"/>
                <w:sz w:val="16"/>
                <w:szCs w:val="16"/>
                <w:lang w:val="en-US"/>
              </w:rPr>
              <w:tab/>
              <w:t xml:space="preserve">duplicate </w:t>
            </w:r>
            <w:r w:rsidR="00317895" w:rsidRPr="00F01347">
              <w:rPr>
                <w:rFonts w:ascii="Verdana" w:hAnsi="Verdana"/>
                <w:sz w:val="16"/>
                <w:szCs w:val="16"/>
                <w:lang w:val="en-US"/>
              </w:rPr>
              <w:t>matrix</w:t>
            </w:r>
          </w:p>
        </w:tc>
      </w:tr>
      <w:tr w:rsidR="00DA341B" w:rsidRPr="00F01347" w14:paraId="4C5005D5" w14:textId="61FAED66" w:rsidTr="00153C15">
        <w:tc>
          <w:tcPr>
            <w:tcW w:w="4675" w:type="dxa"/>
          </w:tcPr>
          <w:p w14:paraId="0D31D89F" w14:textId="77777777" w:rsidR="00DA341B" w:rsidRPr="00F01347" w:rsidRDefault="00DA341B" w:rsidP="00DA341B">
            <w:pPr>
              <w:pStyle w:val="texto0"/>
              <w:ind w:firstLine="0"/>
              <w:rPr>
                <w:rFonts w:ascii="Verdana" w:hAnsi="Verdana"/>
                <w:b/>
                <w:sz w:val="16"/>
                <w:szCs w:val="16"/>
              </w:rPr>
            </w:pPr>
            <w:r w:rsidRPr="00F01347">
              <w:rPr>
                <w:rFonts w:ascii="Verdana" w:hAnsi="Verdana"/>
                <w:b/>
                <w:sz w:val="16"/>
                <w:szCs w:val="16"/>
              </w:rPr>
              <w:t>B.6.3 Principio</w:t>
            </w:r>
          </w:p>
        </w:tc>
        <w:tc>
          <w:tcPr>
            <w:tcW w:w="4675" w:type="dxa"/>
          </w:tcPr>
          <w:p w14:paraId="72724136" w14:textId="325893F9"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B.6.3 Principle</w:t>
            </w:r>
          </w:p>
        </w:tc>
      </w:tr>
      <w:tr w:rsidR="00DA341B" w:rsidRPr="00F01347" w14:paraId="57CB6325" w14:textId="551F6D57" w:rsidTr="00153C15">
        <w:tc>
          <w:tcPr>
            <w:tcW w:w="4675" w:type="dxa"/>
          </w:tcPr>
          <w:p w14:paraId="34FC8D74"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 xml:space="preserve">La muestra es filtrada a través de un filtro de 0.45 µm en caso de presentar sedimentos o turbidez, posteriormente se le adicionan 50 µL de una disolución de EDA junto con el estándar </w:t>
            </w:r>
            <w:proofErr w:type="spellStart"/>
            <w:r w:rsidRPr="00F01347">
              <w:rPr>
                <w:rFonts w:ascii="Verdana" w:hAnsi="Verdana"/>
                <w:sz w:val="16"/>
                <w:szCs w:val="16"/>
              </w:rPr>
              <w:t>surrogado</w:t>
            </w:r>
            <w:proofErr w:type="spellEnd"/>
            <w:r w:rsidRPr="00F01347">
              <w:rPr>
                <w:rFonts w:ascii="Verdana" w:hAnsi="Verdana"/>
                <w:sz w:val="16"/>
                <w:szCs w:val="16"/>
              </w:rPr>
              <w:t xml:space="preserve"> y se analiza por la técnica de cromatografía de intercambio iónico con supresión.</w:t>
            </w:r>
          </w:p>
        </w:tc>
        <w:tc>
          <w:tcPr>
            <w:tcW w:w="4675" w:type="dxa"/>
          </w:tcPr>
          <w:p w14:paraId="31B27CBF" w14:textId="0B318024"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The sample is filtered through a 0.45 µm filter if it presents sediments or turbidity, subsequently 50 µL of an EDA solution is added along with the surrogate standard and it is analyzed by the ion exchange chromatography technique with suppression.</w:t>
            </w:r>
          </w:p>
        </w:tc>
      </w:tr>
      <w:tr w:rsidR="00DA341B" w:rsidRPr="00F01347" w14:paraId="22BF42F9" w14:textId="3709FAA3" w:rsidTr="00153C15">
        <w:tc>
          <w:tcPr>
            <w:tcW w:w="4675" w:type="dxa"/>
          </w:tcPr>
          <w:p w14:paraId="30A771A3" w14:textId="77777777" w:rsidR="00DA341B" w:rsidRPr="00F01347" w:rsidRDefault="00DA341B" w:rsidP="00DA341B">
            <w:pPr>
              <w:pStyle w:val="texto0"/>
              <w:ind w:firstLine="0"/>
              <w:rPr>
                <w:rFonts w:ascii="Verdana" w:hAnsi="Verdana"/>
                <w:b/>
                <w:sz w:val="16"/>
                <w:szCs w:val="16"/>
              </w:rPr>
            </w:pPr>
            <w:r w:rsidRPr="00F01347">
              <w:rPr>
                <w:rFonts w:ascii="Verdana" w:hAnsi="Verdana"/>
                <w:b/>
                <w:sz w:val="16"/>
                <w:szCs w:val="16"/>
              </w:rPr>
              <w:t>B.6.4 Alcance y aplicación</w:t>
            </w:r>
          </w:p>
        </w:tc>
        <w:tc>
          <w:tcPr>
            <w:tcW w:w="4675" w:type="dxa"/>
          </w:tcPr>
          <w:p w14:paraId="14E1233F" w14:textId="050D9FE7" w:rsidR="00DA341B" w:rsidRPr="00F01347" w:rsidRDefault="00DA341B" w:rsidP="00DA341B">
            <w:pPr>
              <w:pStyle w:val="texto0"/>
              <w:ind w:firstLine="0"/>
              <w:rPr>
                <w:rFonts w:ascii="Verdana" w:hAnsi="Verdana"/>
                <w:b/>
                <w:sz w:val="16"/>
                <w:szCs w:val="16"/>
                <w:lang w:val="en-US"/>
              </w:rPr>
            </w:pPr>
            <w:r w:rsidRPr="00F01347">
              <w:rPr>
                <w:rFonts w:ascii="Verdana" w:hAnsi="Verdana"/>
                <w:b/>
                <w:sz w:val="16"/>
                <w:szCs w:val="16"/>
                <w:lang w:val="en-US"/>
              </w:rPr>
              <w:t>B.6.4 Scope and application</w:t>
            </w:r>
          </w:p>
        </w:tc>
      </w:tr>
      <w:tr w:rsidR="00DA341B" w:rsidRPr="00F01347" w14:paraId="24D792CC" w14:textId="293A4474" w:rsidTr="00153C15">
        <w:tc>
          <w:tcPr>
            <w:tcW w:w="4675" w:type="dxa"/>
          </w:tcPr>
          <w:p w14:paraId="1E790C3F" w14:textId="77777777" w:rsidR="00DA341B" w:rsidRPr="00F01347" w:rsidRDefault="00DA341B" w:rsidP="00DA341B">
            <w:pPr>
              <w:pStyle w:val="texto0"/>
              <w:ind w:firstLine="0"/>
              <w:rPr>
                <w:rFonts w:ascii="Verdana" w:hAnsi="Verdana"/>
                <w:sz w:val="16"/>
                <w:szCs w:val="16"/>
              </w:rPr>
            </w:pPr>
            <w:r w:rsidRPr="00F01347">
              <w:rPr>
                <w:rFonts w:ascii="Verdana" w:hAnsi="Verdana"/>
                <w:sz w:val="16"/>
                <w:szCs w:val="16"/>
              </w:rPr>
              <w:t xml:space="preserve">Este método es utilizado para la determinación de aniones comunes e inorgánicos subproductos de la desinfección de agua por cromatografía de intercambio iónico y detector </w:t>
            </w:r>
            <w:proofErr w:type="spellStart"/>
            <w:r w:rsidRPr="00F01347">
              <w:rPr>
                <w:rFonts w:ascii="Verdana" w:hAnsi="Verdana"/>
                <w:sz w:val="16"/>
                <w:szCs w:val="16"/>
              </w:rPr>
              <w:t>conductimétrico</w:t>
            </w:r>
            <w:proofErr w:type="spellEnd"/>
            <w:r w:rsidRPr="00F01347">
              <w:rPr>
                <w:rFonts w:ascii="Verdana" w:hAnsi="Verdana"/>
                <w:sz w:val="16"/>
                <w:szCs w:val="16"/>
              </w:rPr>
              <w:t xml:space="preserve"> con supresor en muestras de agua para uso y consumo humano.</w:t>
            </w:r>
          </w:p>
        </w:tc>
        <w:tc>
          <w:tcPr>
            <w:tcW w:w="4675" w:type="dxa"/>
          </w:tcPr>
          <w:p w14:paraId="3B60CF50" w14:textId="76BC0495" w:rsidR="00DA341B" w:rsidRPr="00F01347" w:rsidRDefault="00DA341B" w:rsidP="00DA341B">
            <w:pPr>
              <w:pStyle w:val="texto0"/>
              <w:ind w:firstLine="0"/>
              <w:rPr>
                <w:rFonts w:ascii="Verdana" w:hAnsi="Verdana"/>
                <w:sz w:val="16"/>
                <w:szCs w:val="16"/>
                <w:lang w:val="en-US"/>
              </w:rPr>
            </w:pPr>
            <w:r w:rsidRPr="00F01347">
              <w:rPr>
                <w:rFonts w:ascii="Verdana" w:hAnsi="Verdana"/>
                <w:sz w:val="16"/>
                <w:szCs w:val="16"/>
                <w:lang w:val="en-US"/>
              </w:rPr>
              <w:t>This method is used for the determination of common anions and inorganic by-products of water disinfection by ion exchange chromatography and conductimetric detector with suppressor in water samples for human use and consumption.</w:t>
            </w:r>
          </w:p>
        </w:tc>
      </w:tr>
      <w:tr w:rsidR="00DA341B" w:rsidRPr="00F01347" w14:paraId="6AD9BFFF" w14:textId="2C766B19" w:rsidTr="00153C15">
        <w:tc>
          <w:tcPr>
            <w:tcW w:w="4675" w:type="dxa"/>
          </w:tcPr>
          <w:p w14:paraId="7D2761A4" w14:textId="77777777" w:rsidR="00DA341B" w:rsidRPr="00F01347" w:rsidRDefault="00DA341B" w:rsidP="00DA341B">
            <w:pPr>
              <w:pStyle w:val="texto0"/>
              <w:spacing w:line="230" w:lineRule="exact"/>
              <w:ind w:firstLine="0"/>
              <w:rPr>
                <w:rFonts w:ascii="Verdana" w:hAnsi="Verdana"/>
                <w:sz w:val="16"/>
                <w:szCs w:val="16"/>
              </w:rPr>
            </w:pPr>
            <w:r w:rsidRPr="00F01347">
              <w:rPr>
                <w:rFonts w:ascii="Verdana" w:hAnsi="Verdana"/>
                <w:sz w:val="16"/>
                <w:szCs w:val="16"/>
              </w:rPr>
              <w:t>Los aniones que pueden ser determinados a través de este método comprenden aniones inorgánicos subproductos de la desinfección (clorito, clorato, bromuro y bromato).</w:t>
            </w:r>
          </w:p>
        </w:tc>
        <w:tc>
          <w:tcPr>
            <w:tcW w:w="4675" w:type="dxa"/>
          </w:tcPr>
          <w:p w14:paraId="55F76ABC" w14:textId="2608B3A7" w:rsidR="00DA341B" w:rsidRPr="00F01347" w:rsidRDefault="00DA341B" w:rsidP="00DA341B">
            <w:pPr>
              <w:pStyle w:val="texto0"/>
              <w:spacing w:line="230" w:lineRule="exact"/>
              <w:ind w:firstLine="0"/>
              <w:rPr>
                <w:rFonts w:ascii="Verdana" w:hAnsi="Verdana"/>
                <w:sz w:val="16"/>
                <w:szCs w:val="16"/>
                <w:lang w:val="en-US"/>
              </w:rPr>
            </w:pPr>
            <w:r w:rsidRPr="00F01347">
              <w:rPr>
                <w:rFonts w:ascii="Verdana" w:hAnsi="Verdana"/>
                <w:sz w:val="16"/>
                <w:szCs w:val="16"/>
                <w:lang w:val="en-US"/>
              </w:rPr>
              <w:t>The anions that can be determined through this method include inorganic anions by-products of disinfection (chlorite, chlorate, bromide and bromate).</w:t>
            </w:r>
          </w:p>
        </w:tc>
      </w:tr>
      <w:tr w:rsidR="00DA341B" w:rsidRPr="00F01347" w14:paraId="399B5A58" w14:textId="7CBFCF85" w:rsidTr="00153C15">
        <w:tc>
          <w:tcPr>
            <w:tcW w:w="4675" w:type="dxa"/>
          </w:tcPr>
          <w:p w14:paraId="3EA7775F" w14:textId="77777777" w:rsidR="00DA341B" w:rsidRPr="00F01347" w:rsidRDefault="00DA341B" w:rsidP="00DA341B">
            <w:pPr>
              <w:pStyle w:val="texto0"/>
              <w:spacing w:line="230" w:lineRule="exact"/>
              <w:ind w:firstLine="0"/>
              <w:rPr>
                <w:rFonts w:ascii="Verdana" w:hAnsi="Verdana"/>
                <w:sz w:val="16"/>
                <w:szCs w:val="16"/>
              </w:rPr>
            </w:pPr>
            <w:r w:rsidRPr="00F01347">
              <w:rPr>
                <w:rFonts w:ascii="Verdana" w:hAnsi="Verdana"/>
                <w:sz w:val="16"/>
                <w:szCs w:val="16"/>
              </w:rPr>
              <w:t>El método descrito es un procedimiento para la determinación de bromato, bromuro, clorato y clorito por cromatografía iónica en agua para uso y consumo humano.</w:t>
            </w:r>
          </w:p>
        </w:tc>
        <w:tc>
          <w:tcPr>
            <w:tcW w:w="4675" w:type="dxa"/>
          </w:tcPr>
          <w:p w14:paraId="6589196D" w14:textId="7C3E9D85" w:rsidR="00DA341B" w:rsidRPr="00F01347" w:rsidRDefault="00DA341B" w:rsidP="00DA341B">
            <w:pPr>
              <w:pStyle w:val="texto0"/>
              <w:spacing w:line="230" w:lineRule="exact"/>
              <w:ind w:firstLine="0"/>
              <w:rPr>
                <w:rFonts w:ascii="Verdana" w:hAnsi="Verdana"/>
                <w:sz w:val="16"/>
                <w:szCs w:val="16"/>
                <w:lang w:val="en-US"/>
              </w:rPr>
            </w:pPr>
            <w:r w:rsidRPr="00F01347">
              <w:rPr>
                <w:rFonts w:ascii="Verdana" w:hAnsi="Verdana"/>
                <w:sz w:val="16"/>
                <w:szCs w:val="16"/>
                <w:lang w:val="en-US"/>
              </w:rPr>
              <w:t xml:space="preserve">The method described is a procedure for the determination of bromate, bromide, </w:t>
            </w:r>
            <w:r w:rsidR="00317895" w:rsidRPr="00F01347">
              <w:rPr>
                <w:rFonts w:ascii="Verdana" w:hAnsi="Verdana"/>
                <w:sz w:val="16"/>
                <w:szCs w:val="16"/>
                <w:lang w:val="en-US"/>
              </w:rPr>
              <w:t>chlorate,</w:t>
            </w:r>
            <w:r w:rsidRPr="00F01347">
              <w:rPr>
                <w:rFonts w:ascii="Verdana" w:hAnsi="Verdana"/>
                <w:sz w:val="16"/>
                <w:szCs w:val="16"/>
                <w:lang w:val="en-US"/>
              </w:rPr>
              <w:t xml:space="preserve"> and chlorite by ion chromatography in water for human use and consumption.</w:t>
            </w:r>
          </w:p>
        </w:tc>
      </w:tr>
      <w:tr w:rsidR="00DA341B" w:rsidRPr="00F01347" w14:paraId="60FE816A" w14:textId="5ABE5F30" w:rsidTr="00153C15">
        <w:tc>
          <w:tcPr>
            <w:tcW w:w="4675" w:type="dxa"/>
          </w:tcPr>
          <w:p w14:paraId="17E5ABDA" w14:textId="77777777" w:rsidR="00DA341B" w:rsidRPr="00F01347" w:rsidRDefault="00DA341B" w:rsidP="00DA341B">
            <w:pPr>
              <w:pStyle w:val="texto0"/>
              <w:spacing w:line="230" w:lineRule="exact"/>
              <w:ind w:firstLine="0"/>
              <w:rPr>
                <w:rFonts w:ascii="Verdana" w:hAnsi="Verdana"/>
                <w:b/>
                <w:sz w:val="16"/>
                <w:szCs w:val="16"/>
              </w:rPr>
            </w:pPr>
            <w:r w:rsidRPr="00F01347">
              <w:rPr>
                <w:rFonts w:ascii="Verdana" w:hAnsi="Verdana"/>
                <w:b/>
                <w:sz w:val="16"/>
                <w:szCs w:val="16"/>
              </w:rPr>
              <w:t>B.6.5 Equipos y materiales</w:t>
            </w:r>
          </w:p>
        </w:tc>
        <w:tc>
          <w:tcPr>
            <w:tcW w:w="4675" w:type="dxa"/>
          </w:tcPr>
          <w:p w14:paraId="5456A3A1" w14:textId="6B244EA8"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B.6.5 Equipment and materials</w:t>
            </w:r>
          </w:p>
        </w:tc>
      </w:tr>
      <w:tr w:rsidR="00DA341B" w:rsidRPr="00F01347" w14:paraId="0981E375" w14:textId="5F7FC4C6" w:rsidTr="00153C15">
        <w:tc>
          <w:tcPr>
            <w:tcW w:w="4675" w:type="dxa"/>
          </w:tcPr>
          <w:p w14:paraId="1EB7BAB1" w14:textId="77777777" w:rsidR="00DA341B" w:rsidRPr="00F01347" w:rsidRDefault="00DA341B" w:rsidP="00DA341B">
            <w:pPr>
              <w:pStyle w:val="texto0"/>
              <w:spacing w:line="230" w:lineRule="exact"/>
              <w:ind w:firstLine="0"/>
              <w:rPr>
                <w:rFonts w:ascii="Verdana" w:hAnsi="Verdana"/>
                <w:sz w:val="16"/>
                <w:szCs w:val="16"/>
              </w:rPr>
            </w:pPr>
            <w:r w:rsidRPr="00F01347">
              <w:rPr>
                <w:rFonts w:ascii="Verdana" w:hAnsi="Verdana"/>
                <w:sz w:val="16"/>
                <w:szCs w:val="16"/>
              </w:rPr>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Pr>
          <w:p w14:paraId="43ACCBD4" w14:textId="6AEA7F2F" w:rsidR="00DA341B" w:rsidRPr="00F01347" w:rsidRDefault="00DA341B" w:rsidP="00DA341B">
            <w:pPr>
              <w:pStyle w:val="texto0"/>
              <w:spacing w:line="230" w:lineRule="exact"/>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DA341B" w:rsidRPr="00F01347" w14:paraId="2B932C92" w14:textId="0DE54551" w:rsidTr="00153C15">
        <w:tc>
          <w:tcPr>
            <w:tcW w:w="4675" w:type="dxa"/>
          </w:tcPr>
          <w:p w14:paraId="56FFBA19" w14:textId="77777777" w:rsidR="00DA341B" w:rsidRPr="00F01347" w:rsidRDefault="00DA341B" w:rsidP="00DA341B">
            <w:pPr>
              <w:pStyle w:val="texto0"/>
              <w:spacing w:line="230" w:lineRule="exact"/>
              <w:ind w:firstLine="0"/>
              <w:rPr>
                <w:rFonts w:ascii="Verdana" w:hAnsi="Verdana"/>
                <w:sz w:val="16"/>
                <w:szCs w:val="16"/>
              </w:rPr>
            </w:pPr>
            <w:r w:rsidRPr="00F01347">
              <w:rPr>
                <w:rFonts w:ascii="Verdana" w:hAnsi="Verdana"/>
                <w:sz w:val="16"/>
                <w:szCs w:val="16"/>
              </w:rPr>
              <w:t>Sólo se mencionan los equipos y materiales que no son de uso común en el laboratorio analítico. Todo el material volumétrico utilizado debe ser clase A o estar verificada su calibración.</w:t>
            </w:r>
          </w:p>
        </w:tc>
        <w:tc>
          <w:tcPr>
            <w:tcW w:w="4675" w:type="dxa"/>
          </w:tcPr>
          <w:p w14:paraId="2FA0FB76" w14:textId="411E2D87" w:rsidR="00DA341B" w:rsidRPr="00F01347" w:rsidRDefault="00DA341B" w:rsidP="00DA341B">
            <w:pPr>
              <w:pStyle w:val="texto0"/>
              <w:spacing w:line="230" w:lineRule="exact"/>
              <w:ind w:firstLine="0"/>
              <w:rPr>
                <w:rFonts w:ascii="Verdana" w:hAnsi="Verdana"/>
                <w:sz w:val="16"/>
                <w:szCs w:val="16"/>
                <w:lang w:val="en-US"/>
              </w:rPr>
            </w:pPr>
            <w:r w:rsidRPr="00F01347">
              <w:rPr>
                <w:rFonts w:ascii="Verdana" w:hAnsi="Verdana"/>
                <w:sz w:val="16"/>
                <w:szCs w:val="16"/>
                <w:lang w:val="en-US"/>
              </w:rPr>
              <w:t>Only equipment and materials that are not commonly used in the analytical laboratory are mentioned. All volumetric material used must be class A or its calibration verified.</w:t>
            </w:r>
          </w:p>
        </w:tc>
      </w:tr>
      <w:tr w:rsidR="00DA341B" w:rsidRPr="00F01347" w14:paraId="4F3295C4" w14:textId="4DB10009" w:rsidTr="00153C15">
        <w:tc>
          <w:tcPr>
            <w:tcW w:w="4675" w:type="dxa"/>
          </w:tcPr>
          <w:p w14:paraId="4821AE90" w14:textId="77777777" w:rsidR="00DA341B" w:rsidRPr="00F01347" w:rsidRDefault="00DA341B" w:rsidP="00DA341B">
            <w:pPr>
              <w:pStyle w:val="texto0"/>
              <w:spacing w:line="230" w:lineRule="exact"/>
              <w:ind w:firstLine="0"/>
              <w:rPr>
                <w:rFonts w:ascii="Verdana" w:hAnsi="Verdana"/>
                <w:sz w:val="16"/>
                <w:szCs w:val="16"/>
              </w:rPr>
            </w:pPr>
            <w:r w:rsidRPr="00F01347">
              <w:rPr>
                <w:rFonts w:ascii="Verdana" w:hAnsi="Verdana"/>
                <w:b/>
                <w:sz w:val="16"/>
                <w:szCs w:val="16"/>
              </w:rPr>
              <w:t xml:space="preserve">Balanza analítica. </w:t>
            </w:r>
            <w:r w:rsidRPr="00F01347">
              <w:rPr>
                <w:rFonts w:ascii="Verdana" w:hAnsi="Verdana"/>
                <w:sz w:val="16"/>
                <w:szCs w:val="16"/>
              </w:rPr>
              <w:t>Con precisión de 0.0001 g</w:t>
            </w:r>
          </w:p>
        </w:tc>
        <w:tc>
          <w:tcPr>
            <w:tcW w:w="4675" w:type="dxa"/>
          </w:tcPr>
          <w:p w14:paraId="1A5B26AC" w14:textId="3DC56CD5"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Analytical balance. </w:t>
            </w:r>
            <w:r w:rsidRPr="00F01347">
              <w:rPr>
                <w:rFonts w:ascii="Verdana" w:hAnsi="Verdana"/>
                <w:sz w:val="16"/>
                <w:szCs w:val="16"/>
                <w:lang w:val="en-US"/>
              </w:rPr>
              <w:t>With precision of 0.0001 g</w:t>
            </w:r>
          </w:p>
        </w:tc>
      </w:tr>
      <w:tr w:rsidR="00DA341B" w:rsidRPr="00F01347" w14:paraId="6F11CF7C" w14:textId="667B197C" w:rsidTr="00153C15">
        <w:tc>
          <w:tcPr>
            <w:tcW w:w="4675" w:type="dxa"/>
          </w:tcPr>
          <w:p w14:paraId="62A856AB" w14:textId="77777777" w:rsidR="00DA341B" w:rsidRPr="00F01347" w:rsidRDefault="00DA341B" w:rsidP="00DA341B">
            <w:pPr>
              <w:pStyle w:val="texto0"/>
              <w:spacing w:line="230" w:lineRule="exact"/>
              <w:ind w:firstLine="0"/>
              <w:rPr>
                <w:rFonts w:ascii="Verdana" w:hAnsi="Verdana"/>
                <w:sz w:val="16"/>
                <w:szCs w:val="16"/>
              </w:rPr>
            </w:pPr>
            <w:r w:rsidRPr="00F01347">
              <w:rPr>
                <w:rFonts w:ascii="Verdana" w:hAnsi="Verdana"/>
                <w:b/>
                <w:sz w:val="16"/>
                <w:szCs w:val="16"/>
              </w:rPr>
              <w:t>Columna de intercambio aniónico</w:t>
            </w:r>
            <w:r w:rsidRPr="00F01347">
              <w:rPr>
                <w:rFonts w:ascii="Verdana" w:hAnsi="Verdana"/>
                <w:sz w:val="16"/>
                <w:szCs w:val="16"/>
              </w:rPr>
              <w:t xml:space="preserve">, que cumpla con el desempeño requerido de este método, por </w:t>
            </w:r>
            <w:proofErr w:type="gramStart"/>
            <w:r w:rsidRPr="00F01347">
              <w:rPr>
                <w:rFonts w:ascii="Verdana" w:hAnsi="Verdana"/>
                <w:sz w:val="16"/>
                <w:szCs w:val="16"/>
              </w:rPr>
              <w:t>ejemplo</w:t>
            </w:r>
            <w:proofErr w:type="gramEnd"/>
            <w:r w:rsidRPr="00F01347">
              <w:rPr>
                <w:rFonts w:ascii="Verdana" w:hAnsi="Verdana"/>
                <w:sz w:val="16"/>
                <w:szCs w:val="16"/>
              </w:rPr>
              <w:t xml:space="preserve"> con tamaño de partícula de 5 µm, 25 cm de longitud y 4.0 mm de diámetro interno o equivalente y </w:t>
            </w:r>
            <w:proofErr w:type="spellStart"/>
            <w:r w:rsidRPr="00F01347">
              <w:rPr>
                <w:rFonts w:ascii="Verdana" w:hAnsi="Verdana"/>
                <w:sz w:val="16"/>
                <w:szCs w:val="16"/>
              </w:rPr>
              <w:t>guardacolumna</w:t>
            </w:r>
            <w:proofErr w:type="spellEnd"/>
            <w:r w:rsidRPr="00F01347">
              <w:rPr>
                <w:rFonts w:ascii="Verdana" w:hAnsi="Verdana"/>
                <w:sz w:val="16"/>
                <w:szCs w:val="16"/>
              </w:rPr>
              <w:t xml:space="preserve"> 7.2 X 4.6 mm</w:t>
            </w:r>
          </w:p>
        </w:tc>
        <w:tc>
          <w:tcPr>
            <w:tcW w:w="4675" w:type="dxa"/>
          </w:tcPr>
          <w:p w14:paraId="1B8DA54E" w14:textId="3549EB2C"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Anion exchange column</w:t>
            </w:r>
            <w:r w:rsidR="003E1BA9" w:rsidRPr="00F01347">
              <w:rPr>
                <w:rFonts w:ascii="Verdana" w:hAnsi="Verdana"/>
                <w:b/>
                <w:sz w:val="16"/>
                <w:szCs w:val="16"/>
                <w:lang w:val="en-US"/>
              </w:rPr>
              <w:t>,</w:t>
            </w:r>
            <w:r w:rsidRPr="00F01347">
              <w:rPr>
                <w:rFonts w:ascii="Verdana" w:hAnsi="Verdana"/>
                <w:sz w:val="16"/>
                <w:szCs w:val="16"/>
                <w:lang w:val="en-US"/>
              </w:rPr>
              <w:t xml:space="preserve"> which meets the required performance of this method, for example with a particle size of 5 µm, 25 cm in length and 4.0 mm internal diameter or equivalent and guard column 7.2 X 4.6 mm</w:t>
            </w:r>
          </w:p>
        </w:tc>
      </w:tr>
      <w:tr w:rsidR="00DA341B" w:rsidRPr="00F01347" w14:paraId="70767CB0" w14:textId="0606E179" w:rsidTr="00153C15">
        <w:tc>
          <w:tcPr>
            <w:tcW w:w="4675" w:type="dxa"/>
          </w:tcPr>
          <w:p w14:paraId="1951C16F" w14:textId="77777777" w:rsidR="00DA341B" w:rsidRPr="00F01347" w:rsidRDefault="00DA341B" w:rsidP="00DA341B">
            <w:pPr>
              <w:pStyle w:val="texto0"/>
              <w:spacing w:line="230" w:lineRule="exact"/>
              <w:ind w:firstLine="0"/>
              <w:rPr>
                <w:rFonts w:ascii="Verdana" w:hAnsi="Verdana"/>
                <w:b/>
                <w:sz w:val="16"/>
                <w:szCs w:val="16"/>
              </w:rPr>
            </w:pPr>
            <w:r w:rsidRPr="00F01347">
              <w:rPr>
                <w:rFonts w:ascii="Verdana" w:hAnsi="Verdana"/>
                <w:b/>
                <w:sz w:val="16"/>
                <w:szCs w:val="16"/>
              </w:rPr>
              <w:t>Cromatógrafo de intercambio iónico</w:t>
            </w:r>
          </w:p>
        </w:tc>
        <w:tc>
          <w:tcPr>
            <w:tcW w:w="4675" w:type="dxa"/>
          </w:tcPr>
          <w:p w14:paraId="51048698" w14:textId="75BBE2D9"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Ion exchange chromatograph</w:t>
            </w:r>
          </w:p>
        </w:tc>
      </w:tr>
      <w:tr w:rsidR="00DA341B" w:rsidRPr="00F01347" w14:paraId="19D7A28D" w14:textId="5A0E4FBB" w:rsidTr="00153C15">
        <w:tc>
          <w:tcPr>
            <w:tcW w:w="4675" w:type="dxa"/>
          </w:tcPr>
          <w:p w14:paraId="0C9A6314" w14:textId="77777777" w:rsidR="00DA341B" w:rsidRPr="00F01347" w:rsidRDefault="00DA341B" w:rsidP="00DA341B">
            <w:pPr>
              <w:pStyle w:val="texto0"/>
              <w:spacing w:line="230" w:lineRule="exact"/>
              <w:ind w:firstLine="0"/>
              <w:rPr>
                <w:rFonts w:ascii="Verdana" w:hAnsi="Verdana"/>
                <w:b/>
                <w:sz w:val="16"/>
                <w:szCs w:val="16"/>
              </w:rPr>
            </w:pPr>
            <w:r w:rsidRPr="00F01347">
              <w:rPr>
                <w:rFonts w:ascii="Verdana" w:hAnsi="Verdana"/>
                <w:b/>
                <w:sz w:val="16"/>
                <w:szCs w:val="16"/>
              </w:rPr>
              <w:t xml:space="preserve">Detector </w:t>
            </w:r>
            <w:proofErr w:type="spellStart"/>
            <w:r w:rsidRPr="00F01347">
              <w:rPr>
                <w:rFonts w:ascii="Verdana" w:hAnsi="Verdana"/>
                <w:b/>
                <w:sz w:val="16"/>
                <w:szCs w:val="16"/>
              </w:rPr>
              <w:t>conductimétrico</w:t>
            </w:r>
            <w:proofErr w:type="spellEnd"/>
            <w:r w:rsidRPr="00F01347">
              <w:rPr>
                <w:rFonts w:ascii="Verdana" w:hAnsi="Verdana"/>
                <w:b/>
                <w:sz w:val="16"/>
                <w:szCs w:val="16"/>
              </w:rPr>
              <w:t xml:space="preserve">, </w:t>
            </w:r>
            <w:r w:rsidRPr="00F01347">
              <w:rPr>
                <w:rFonts w:ascii="Verdana" w:hAnsi="Verdana"/>
                <w:sz w:val="16"/>
                <w:szCs w:val="16"/>
              </w:rPr>
              <w:t>con un intervalo de trabajo de 0.01 a 5000 µS en 12 pasos, capaz de trabajar con polaridad positiva o negativa o equivalente.</w:t>
            </w:r>
          </w:p>
        </w:tc>
        <w:tc>
          <w:tcPr>
            <w:tcW w:w="4675" w:type="dxa"/>
          </w:tcPr>
          <w:p w14:paraId="72159804" w14:textId="11490ED0"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Conductimetric detector</w:t>
            </w:r>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with a working range of 0.01 to 5000 µS in 12 steps, capable of working with positive or negative polarity or equivalent.</w:t>
            </w:r>
          </w:p>
        </w:tc>
      </w:tr>
      <w:tr w:rsidR="00DA341B" w:rsidRPr="00F01347" w14:paraId="58D4638C" w14:textId="1353B7AA" w:rsidTr="00153C15">
        <w:tc>
          <w:tcPr>
            <w:tcW w:w="4675" w:type="dxa"/>
          </w:tcPr>
          <w:p w14:paraId="0083BC1D" w14:textId="77777777" w:rsidR="00DA341B" w:rsidRPr="00F01347" w:rsidRDefault="00DA341B" w:rsidP="00DA341B">
            <w:pPr>
              <w:pStyle w:val="texto0"/>
              <w:spacing w:line="230" w:lineRule="exact"/>
              <w:ind w:firstLine="0"/>
              <w:rPr>
                <w:rFonts w:ascii="Verdana" w:hAnsi="Verdana"/>
                <w:sz w:val="16"/>
                <w:szCs w:val="16"/>
              </w:rPr>
            </w:pPr>
            <w:r w:rsidRPr="00F01347">
              <w:rPr>
                <w:rFonts w:ascii="Verdana" w:hAnsi="Verdana"/>
                <w:b/>
                <w:sz w:val="16"/>
                <w:szCs w:val="16"/>
              </w:rPr>
              <w:t>Filtros para jeringa de celulosa</w:t>
            </w:r>
            <w:r w:rsidRPr="00F01347">
              <w:rPr>
                <w:rFonts w:ascii="Verdana" w:hAnsi="Verdana"/>
                <w:sz w:val="16"/>
                <w:szCs w:val="16"/>
              </w:rPr>
              <w:t xml:space="preserve"> regenerada de 0.45µm de poro y 13mm de diámetro. De ser necesario use filtros de limpieza SPE-IC para eliminar interferencias de otros iones.</w:t>
            </w:r>
          </w:p>
        </w:tc>
        <w:tc>
          <w:tcPr>
            <w:tcW w:w="4675" w:type="dxa"/>
          </w:tcPr>
          <w:p w14:paraId="0DB9B02E" w14:textId="7E2D2B30"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cellulose syringe filters </w:t>
            </w:r>
            <w:r w:rsidRPr="00F01347">
              <w:rPr>
                <w:rFonts w:ascii="Verdana" w:hAnsi="Verdana"/>
                <w:sz w:val="16"/>
                <w:szCs w:val="16"/>
                <w:lang w:val="en-US"/>
              </w:rPr>
              <w:t>with a pore size of 0.45µm and a diameter of 13mm. If necessary, use SPE-IC cleaning filters to eliminate interference from other ions.</w:t>
            </w:r>
          </w:p>
        </w:tc>
      </w:tr>
      <w:tr w:rsidR="00DA341B" w:rsidRPr="00F01347" w14:paraId="69209CDA" w14:textId="7D499A43" w:rsidTr="00153C15">
        <w:tc>
          <w:tcPr>
            <w:tcW w:w="4675" w:type="dxa"/>
          </w:tcPr>
          <w:p w14:paraId="66FBE8D8" w14:textId="77777777" w:rsidR="00DA341B" w:rsidRPr="00F01347" w:rsidRDefault="00DA341B" w:rsidP="00DA341B">
            <w:pPr>
              <w:pStyle w:val="texto0"/>
              <w:spacing w:line="230" w:lineRule="exact"/>
              <w:ind w:firstLine="0"/>
              <w:rPr>
                <w:rFonts w:ascii="Verdana" w:hAnsi="Verdana"/>
                <w:b/>
                <w:sz w:val="16"/>
                <w:szCs w:val="16"/>
              </w:rPr>
            </w:pPr>
            <w:r w:rsidRPr="00F01347">
              <w:rPr>
                <w:rFonts w:ascii="Verdana" w:hAnsi="Verdana"/>
                <w:b/>
                <w:sz w:val="16"/>
                <w:szCs w:val="16"/>
              </w:rPr>
              <w:lastRenderedPageBreak/>
              <w:t xml:space="preserve">Jeringa de vidrio o de plástico de 3 </w:t>
            </w:r>
            <w:proofErr w:type="spellStart"/>
            <w:r w:rsidRPr="00F01347">
              <w:rPr>
                <w:rFonts w:ascii="Verdana" w:hAnsi="Verdana"/>
                <w:b/>
                <w:sz w:val="16"/>
                <w:szCs w:val="16"/>
              </w:rPr>
              <w:t>mL</w:t>
            </w:r>
            <w:proofErr w:type="spellEnd"/>
          </w:p>
        </w:tc>
        <w:tc>
          <w:tcPr>
            <w:tcW w:w="4675" w:type="dxa"/>
          </w:tcPr>
          <w:p w14:paraId="0BAFF8CD" w14:textId="25DEBE49"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mL glass or plastic syringe</w:t>
            </w:r>
          </w:p>
        </w:tc>
      </w:tr>
      <w:tr w:rsidR="00DA341B" w:rsidRPr="00F01347" w14:paraId="43D0363E" w14:textId="01D98212" w:rsidTr="00153C15">
        <w:tc>
          <w:tcPr>
            <w:tcW w:w="4675" w:type="dxa"/>
          </w:tcPr>
          <w:p w14:paraId="232E571A" w14:textId="77777777" w:rsidR="00DA341B" w:rsidRPr="00F01347" w:rsidRDefault="00DA341B" w:rsidP="00DA341B">
            <w:pPr>
              <w:pStyle w:val="texto0"/>
              <w:spacing w:line="230" w:lineRule="exact"/>
              <w:ind w:firstLine="0"/>
              <w:rPr>
                <w:rFonts w:ascii="Verdana" w:hAnsi="Verdana"/>
                <w:b/>
                <w:sz w:val="16"/>
                <w:szCs w:val="16"/>
              </w:rPr>
            </w:pPr>
            <w:r w:rsidRPr="00F01347">
              <w:rPr>
                <w:rFonts w:ascii="Verdana" w:hAnsi="Verdana"/>
                <w:b/>
                <w:sz w:val="16"/>
                <w:szCs w:val="16"/>
              </w:rPr>
              <w:t>Matraz volumétrico de 1 L</w:t>
            </w:r>
          </w:p>
        </w:tc>
        <w:tc>
          <w:tcPr>
            <w:tcW w:w="4675" w:type="dxa"/>
          </w:tcPr>
          <w:p w14:paraId="105FA8EF" w14:textId="6D36B515"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1 L volumetric flask</w:t>
            </w:r>
          </w:p>
        </w:tc>
      </w:tr>
      <w:tr w:rsidR="00DA341B" w:rsidRPr="00F01347" w14:paraId="7E3D5FC7" w14:textId="7C463C1A" w:rsidTr="00153C15">
        <w:tc>
          <w:tcPr>
            <w:tcW w:w="4675" w:type="dxa"/>
          </w:tcPr>
          <w:p w14:paraId="25BDD266" w14:textId="77777777" w:rsidR="00DA341B" w:rsidRPr="00F01347" w:rsidRDefault="00DA341B" w:rsidP="00DA341B">
            <w:pPr>
              <w:pStyle w:val="texto0"/>
              <w:spacing w:line="230" w:lineRule="exact"/>
              <w:ind w:firstLine="0"/>
              <w:rPr>
                <w:rFonts w:ascii="Verdana" w:hAnsi="Verdana"/>
                <w:sz w:val="16"/>
                <w:szCs w:val="16"/>
              </w:rPr>
            </w:pPr>
            <w:proofErr w:type="spellStart"/>
            <w:r w:rsidRPr="00F01347">
              <w:rPr>
                <w:rFonts w:ascii="Verdana" w:hAnsi="Verdana"/>
                <w:b/>
                <w:sz w:val="16"/>
                <w:szCs w:val="16"/>
              </w:rPr>
              <w:t>Microjeringas</w:t>
            </w:r>
            <w:proofErr w:type="spellEnd"/>
            <w:r w:rsidRPr="00F01347">
              <w:rPr>
                <w:rFonts w:ascii="Verdana" w:hAnsi="Verdana"/>
                <w:b/>
                <w:sz w:val="16"/>
                <w:szCs w:val="16"/>
              </w:rPr>
              <w:t xml:space="preserve"> </w:t>
            </w:r>
            <w:r w:rsidRPr="00F01347">
              <w:rPr>
                <w:rFonts w:ascii="Verdana" w:hAnsi="Verdana"/>
                <w:sz w:val="16"/>
                <w:szCs w:val="16"/>
              </w:rPr>
              <w:t>de 10, 50, 100 y 500 µL</w:t>
            </w:r>
          </w:p>
        </w:tc>
        <w:tc>
          <w:tcPr>
            <w:tcW w:w="4675" w:type="dxa"/>
          </w:tcPr>
          <w:p w14:paraId="2D7CA74F" w14:textId="66CDDA2B" w:rsidR="00DA341B" w:rsidRPr="00F01347" w:rsidRDefault="00DA341B" w:rsidP="00DA341B">
            <w:pPr>
              <w:pStyle w:val="texto0"/>
              <w:spacing w:line="230" w:lineRule="exact"/>
              <w:ind w:firstLine="0"/>
              <w:rPr>
                <w:rFonts w:ascii="Verdana" w:hAnsi="Verdana"/>
                <w:b/>
                <w:sz w:val="16"/>
                <w:szCs w:val="16"/>
                <w:lang w:val="en-US"/>
              </w:rPr>
            </w:pPr>
            <w:proofErr w:type="spellStart"/>
            <w:r w:rsidRPr="00F01347">
              <w:rPr>
                <w:rFonts w:ascii="Verdana" w:hAnsi="Verdana"/>
                <w:b/>
                <w:sz w:val="16"/>
                <w:szCs w:val="16"/>
                <w:lang w:val="en-US"/>
              </w:rPr>
              <w:t>Microsyringes</w:t>
            </w:r>
            <w:proofErr w:type="spellEnd"/>
            <w:r w:rsidRPr="00F01347">
              <w:rPr>
                <w:rFonts w:ascii="Verdana" w:hAnsi="Verdana"/>
                <w:b/>
                <w:sz w:val="16"/>
                <w:szCs w:val="16"/>
                <w:lang w:val="en-US"/>
              </w:rPr>
              <w:t xml:space="preserve"> </w:t>
            </w:r>
            <w:r w:rsidRPr="00F01347">
              <w:rPr>
                <w:rFonts w:ascii="Verdana" w:hAnsi="Verdana"/>
                <w:sz w:val="16"/>
                <w:szCs w:val="16"/>
                <w:lang w:val="en-US"/>
              </w:rPr>
              <w:t>of 10, 50, 100 and 500 µL</w:t>
            </w:r>
          </w:p>
        </w:tc>
      </w:tr>
      <w:tr w:rsidR="00DA341B" w:rsidRPr="00F01347" w14:paraId="232CBAE3" w14:textId="7F5B91BF" w:rsidTr="00153C15">
        <w:tc>
          <w:tcPr>
            <w:tcW w:w="4675" w:type="dxa"/>
          </w:tcPr>
          <w:p w14:paraId="13905580" w14:textId="77777777" w:rsidR="00DA341B" w:rsidRPr="00F01347" w:rsidRDefault="00DA341B" w:rsidP="00DA341B">
            <w:pPr>
              <w:pStyle w:val="texto0"/>
              <w:spacing w:line="230" w:lineRule="exact"/>
              <w:ind w:firstLine="0"/>
              <w:rPr>
                <w:rFonts w:ascii="Verdana" w:hAnsi="Verdana"/>
                <w:b/>
                <w:sz w:val="16"/>
                <w:szCs w:val="16"/>
              </w:rPr>
            </w:pPr>
            <w:r w:rsidRPr="00F01347">
              <w:rPr>
                <w:rFonts w:ascii="Verdana" w:hAnsi="Verdana"/>
                <w:b/>
                <w:sz w:val="16"/>
                <w:szCs w:val="16"/>
              </w:rPr>
              <w:t xml:space="preserve">Pipeta volumétrica de 10 </w:t>
            </w:r>
            <w:proofErr w:type="spellStart"/>
            <w:r w:rsidRPr="00F01347">
              <w:rPr>
                <w:rFonts w:ascii="Verdana" w:hAnsi="Verdana"/>
                <w:b/>
                <w:sz w:val="16"/>
                <w:szCs w:val="16"/>
              </w:rPr>
              <w:t>mL</w:t>
            </w:r>
            <w:proofErr w:type="spellEnd"/>
          </w:p>
        </w:tc>
        <w:tc>
          <w:tcPr>
            <w:tcW w:w="4675" w:type="dxa"/>
          </w:tcPr>
          <w:p w14:paraId="76F35893" w14:textId="02378110"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10 mL volumetric pipette</w:t>
            </w:r>
          </w:p>
        </w:tc>
      </w:tr>
      <w:tr w:rsidR="00DA341B" w:rsidRPr="00F01347" w14:paraId="54BD88F8" w14:textId="6F341CD3" w:rsidTr="00153C15">
        <w:tc>
          <w:tcPr>
            <w:tcW w:w="4675" w:type="dxa"/>
          </w:tcPr>
          <w:p w14:paraId="060A5077" w14:textId="77777777" w:rsidR="00DA341B" w:rsidRPr="00F01347" w:rsidRDefault="00DA341B" w:rsidP="00DA341B">
            <w:pPr>
              <w:pStyle w:val="texto0"/>
              <w:spacing w:line="230" w:lineRule="exact"/>
              <w:ind w:firstLine="0"/>
              <w:rPr>
                <w:rFonts w:ascii="Verdana" w:hAnsi="Verdana"/>
                <w:b/>
                <w:sz w:val="16"/>
                <w:szCs w:val="16"/>
              </w:rPr>
            </w:pPr>
            <w:r w:rsidRPr="00F01347">
              <w:rPr>
                <w:rFonts w:ascii="Verdana" w:hAnsi="Verdana"/>
                <w:b/>
                <w:sz w:val="16"/>
                <w:szCs w:val="16"/>
              </w:rPr>
              <w:t>Supresor</w:t>
            </w:r>
          </w:p>
        </w:tc>
        <w:tc>
          <w:tcPr>
            <w:tcW w:w="4675" w:type="dxa"/>
          </w:tcPr>
          <w:p w14:paraId="3D42CBFB" w14:textId="265EE355"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Suppressor</w:t>
            </w:r>
          </w:p>
        </w:tc>
      </w:tr>
      <w:tr w:rsidR="00DA341B" w:rsidRPr="00F01347" w14:paraId="5AB736F2" w14:textId="3B7CD0B3" w:rsidTr="00153C15">
        <w:tc>
          <w:tcPr>
            <w:tcW w:w="4675" w:type="dxa"/>
          </w:tcPr>
          <w:p w14:paraId="063C8497" w14:textId="77777777" w:rsidR="00DA341B" w:rsidRPr="00F01347" w:rsidRDefault="00DA341B" w:rsidP="00DA341B">
            <w:pPr>
              <w:pStyle w:val="texto0"/>
              <w:spacing w:line="230" w:lineRule="exact"/>
              <w:ind w:firstLine="0"/>
              <w:rPr>
                <w:rFonts w:ascii="Verdana" w:hAnsi="Verdana"/>
                <w:b/>
                <w:sz w:val="16"/>
                <w:szCs w:val="16"/>
              </w:rPr>
            </w:pPr>
            <w:r w:rsidRPr="00F01347">
              <w:rPr>
                <w:rFonts w:ascii="Verdana" w:hAnsi="Verdana"/>
                <w:b/>
                <w:sz w:val="16"/>
                <w:szCs w:val="16"/>
              </w:rPr>
              <w:t xml:space="preserve">Termostato de columna </w:t>
            </w:r>
            <w:r w:rsidRPr="00F01347">
              <w:rPr>
                <w:rFonts w:ascii="Verdana" w:hAnsi="Verdana"/>
                <w:sz w:val="16"/>
                <w:szCs w:val="16"/>
              </w:rPr>
              <w:t>(intervalo de temperatura ambiente a 60°C)</w:t>
            </w:r>
          </w:p>
        </w:tc>
        <w:tc>
          <w:tcPr>
            <w:tcW w:w="4675" w:type="dxa"/>
          </w:tcPr>
          <w:p w14:paraId="3E5F476F" w14:textId="21440747"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Column thermostat </w:t>
            </w:r>
            <w:r w:rsidRPr="00F01347">
              <w:rPr>
                <w:rFonts w:ascii="Verdana" w:hAnsi="Verdana"/>
                <w:sz w:val="16"/>
                <w:szCs w:val="16"/>
                <w:lang w:val="en-US"/>
              </w:rPr>
              <w:t>(ambient temperature range to 60°C)</w:t>
            </w:r>
          </w:p>
        </w:tc>
      </w:tr>
      <w:tr w:rsidR="00DA341B" w:rsidRPr="00F01347" w14:paraId="10BE21FB" w14:textId="59990886" w:rsidTr="00153C15">
        <w:tc>
          <w:tcPr>
            <w:tcW w:w="4675" w:type="dxa"/>
          </w:tcPr>
          <w:p w14:paraId="41C3D48E" w14:textId="77777777" w:rsidR="00DA341B" w:rsidRPr="00F01347" w:rsidRDefault="00DA341B" w:rsidP="00DA341B">
            <w:pPr>
              <w:pStyle w:val="texto0"/>
              <w:spacing w:line="230" w:lineRule="exact"/>
              <w:ind w:firstLine="0"/>
              <w:rPr>
                <w:rFonts w:ascii="Verdana" w:hAnsi="Verdana"/>
                <w:b/>
                <w:sz w:val="16"/>
                <w:szCs w:val="16"/>
              </w:rPr>
            </w:pPr>
            <w:r w:rsidRPr="00F01347">
              <w:rPr>
                <w:rFonts w:ascii="Verdana" w:hAnsi="Verdana"/>
                <w:b/>
                <w:sz w:val="16"/>
                <w:szCs w:val="16"/>
              </w:rPr>
              <w:t>B.6.6 Reactivos y soluciones</w:t>
            </w:r>
          </w:p>
        </w:tc>
        <w:tc>
          <w:tcPr>
            <w:tcW w:w="4675" w:type="dxa"/>
          </w:tcPr>
          <w:p w14:paraId="5EE8F0F8" w14:textId="49D7FFA4"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B.6.6 Reagents and solutions</w:t>
            </w:r>
          </w:p>
        </w:tc>
      </w:tr>
      <w:tr w:rsidR="00DA341B" w:rsidRPr="00F01347" w14:paraId="196D617D" w14:textId="302AEBC7" w:rsidTr="00153C15">
        <w:tc>
          <w:tcPr>
            <w:tcW w:w="4675" w:type="dxa"/>
          </w:tcPr>
          <w:p w14:paraId="692A5E37" w14:textId="77777777" w:rsidR="00DA341B" w:rsidRPr="00F01347" w:rsidRDefault="00DA341B" w:rsidP="00DA341B">
            <w:pPr>
              <w:pStyle w:val="texto0"/>
              <w:spacing w:line="230" w:lineRule="exact"/>
              <w:ind w:firstLine="0"/>
              <w:rPr>
                <w:rFonts w:ascii="Verdana" w:hAnsi="Verdana"/>
                <w:sz w:val="16"/>
                <w:szCs w:val="16"/>
              </w:rPr>
            </w:pPr>
            <w:r w:rsidRPr="00F01347">
              <w:rPr>
                <w:rFonts w:ascii="Verdana" w:hAnsi="Verdana"/>
                <w:sz w:val="16"/>
                <w:szCs w:val="16"/>
              </w:rPr>
              <w:t>Los reactivos que requiere el método deben ser tipo ACS grado reactivo a menos que otra cosa se indique.</w:t>
            </w:r>
          </w:p>
        </w:tc>
        <w:tc>
          <w:tcPr>
            <w:tcW w:w="4675" w:type="dxa"/>
          </w:tcPr>
          <w:p w14:paraId="79A3ED9B" w14:textId="7E77100A" w:rsidR="00DA341B" w:rsidRPr="00F01347" w:rsidRDefault="00DA341B" w:rsidP="00DA341B">
            <w:pPr>
              <w:pStyle w:val="texto0"/>
              <w:spacing w:line="230" w:lineRule="exact"/>
              <w:ind w:firstLine="0"/>
              <w:rPr>
                <w:rFonts w:ascii="Verdana" w:hAnsi="Verdana"/>
                <w:sz w:val="16"/>
                <w:szCs w:val="16"/>
                <w:lang w:val="en-US"/>
              </w:rPr>
            </w:pPr>
            <w:r w:rsidRPr="00F01347">
              <w:rPr>
                <w:rFonts w:ascii="Verdana" w:hAnsi="Verdana"/>
                <w:sz w:val="16"/>
                <w:szCs w:val="16"/>
                <w:lang w:val="en-US"/>
              </w:rPr>
              <w:t>The reagents required by the method must be ACS reagent grade unless otherwise indicated.</w:t>
            </w:r>
          </w:p>
        </w:tc>
      </w:tr>
      <w:tr w:rsidR="00DA341B" w:rsidRPr="00F01347" w14:paraId="37D904B7" w14:textId="10A69361" w:rsidTr="00153C15">
        <w:tc>
          <w:tcPr>
            <w:tcW w:w="4675" w:type="dxa"/>
          </w:tcPr>
          <w:p w14:paraId="1441B568" w14:textId="77777777" w:rsidR="00DA341B" w:rsidRPr="00F01347" w:rsidRDefault="00DA341B" w:rsidP="00DA341B">
            <w:pPr>
              <w:pStyle w:val="texto0"/>
              <w:spacing w:line="230" w:lineRule="exact"/>
              <w:ind w:firstLine="0"/>
              <w:rPr>
                <w:rFonts w:ascii="Verdana" w:hAnsi="Verdana"/>
                <w:b/>
                <w:sz w:val="16"/>
                <w:szCs w:val="16"/>
              </w:rPr>
            </w:pPr>
            <w:r w:rsidRPr="00F01347">
              <w:rPr>
                <w:rFonts w:ascii="Verdana" w:hAnsi="Verdana"/>
                <w:b/>
                <w:sz w:val="16"/>
                <w:szCs w:val="16"/>
              </w:rPr>
              <w:t xml:space="preserve">Agua grado HPLC. </w:t>
            </w:r>
            <w:r w:rsidRPr="00F01347">
              <w:rPr>
                <w:rFonts w:ascii="Verdana" w:hAnsi="Verdana"/>
                <w:sz w:val="16"/>
                <w:szCs w:val="16"/>
              </w:rPr>
              <w:t xml:space="preserve">A menos que otra cosa se indique, el agua utilizada debe cumplir con las siguientes características: ser grado reactivo </w:t>
            </w:r>
            <w:proofErr w:type="gramStart"/>
            <w:r w:rsidRPr="00F01347">
              <w:rPr>
                <w:rFonts w:ascii="Verdana" w:hAnsi="Verdana"/>
                <w:sz w:val="16"/>
                <w:szCs w:val="16"/>
              </w:rPr>
              <w:t>de acuerdo al</w:t>
            </w:r>
            <w:proofErr w:type="gramEnd"/>
            <w:r w:rsidRPr="00F01347">
              <w:rPr>
                <w:rFonts w:ascii="Verdana" w:hAnsi="Verdana"/>
                <w:sz w:val="16"/>
                <w:szCs w:val="16"/>
              </w:rPr>
              <w:t xml:space="preserve"> estándar de la Sociedad Americana para Pruebas y Materiales tipo I (ASTM, American </w:t>
            </w:r>
            <w:proofErr w:type="spellStart"/>
            <w:r w:rsidRPr="00F01347">
              <w:rPr>
                <w:rFonts w:ascii="Verdana" w:hAnsi="Verdana"/>
                <w:sz w:val="16"/>
                <w:szCs w:val="16"/>
              </w:rPr>
              <w:t>Society</w:t>
            </w:r>
            <w:proofErr w:type="spellEnd"/>
            <w:r w:rsidRPr="00F01347">
              <w:rPr>
                <w:rFonts w:ascii="Verdana" w:hAnsi="Verdana"/>
                <w:sz w:val="16"/>
                <w:szCs w:val="16"/>
              </w:rPr>
              <w:t xml:space="preserve"> </w:t>
            </w:r>
            <w:proofErr w:type="spellStart"/>
            <w:r w:rsidRPr="00F01347">
              <w:rPr>
                <w:rFonts w:ascii="Verdana" w:hAnsi="Verdana"/>
                <w:sz w:val="16"/>
                <w:szCs w:val="16"/>
              </w:rPr>
              <w:t>for</w:t>
            </w:r>
            <w:proofErr w:type="spellEnd"/>
            <w:r w:rsidRPr="00F01347">
              <w:rPr>
                <w:rFonts w:ascii="Verdana" w:hAnsi="Verdana"/>
                <w:sz w:val="16"/>
                <w:szCs w:val="16"/>
              </w:rPr>
              <w:t xml:space="preserve"> </w:t>
            </w:r>
            <w:proofErr w:type="spellStart"/>
            <w:r w:rsidRPr="00F01347">
              <w:rPr>
                <w:rFonts w:ascii="Verdana" w:hAnsi="Verdana"/>
                <w:sz w:val="16"/>
                <w:szCs w:val="16"/>
              </w:rPr>
              <w:t>Testing</w:t>
            </w:r>
            <w:proofErr w:type="spellEnd"/>
            <w:r w:rsidRPr="00F01347">
              <w:rPr>
                <w:rFonts w:ascii="Verdana" w:hAnsi="Verdana"/>
                <w:sz w:val="16"/>
                <w:szCs w:val="16"/>
              </w:rPr>
              <w:t xml:space="preserve"> and </w:t>
            </w:r>
            <w:proofErr w:type="spellStart"/>
            <w:r w:rsidRPr="00F01347">
              <w:rPr>
                <w:rFonts w:ascii="Verdana" w:hAnsi="Verdana"/>
                <w:sz w:val="16"/>
                <w:szCs w:val="16"/>
              </w:rPr>
              <w:t>Materials</w:t>
            </w:r>
            <w:proofErr w:type="spellEnd"/>
            <w:r w:rsidRPr="00F01347">
              <w:rPr>
                <w:rFonts w:ascii="Verdana" w:hAnsi="Verdana"/>
                <w:sz w:val="16"/>
                <w:szCs w:val="16"/>
              </w:rPr>
              <w:t xml:space="preserve">), libre de compuestos orgánicos y que no presente interferencia. El agua utilizada en la fase móvil debe ser filtrada a través de una </w:t>
            </w:r>
            <w:proofErr w:type="gramStart"/>
            <w:r w:rsidRPr="00F01347">
              <w:rPr>
                <w:rFonts w:ascii="Verdana" w:hAnsi="Verdana"/>
                <w:sz w:val="16"/>
                <w:szCs w:val="16"/>
              </w:rPr>
              <w:t>membrana  de</w:t>
            </w:r>
            <w:proofErr w:type="gramEnd"/>
            <w:r w:rsidRPr="00F01347">
              <w:rPr>
                <w:rFonts w:ascii="Verdana" w:hAnsi="Verdana"/>
                <w:sz w:val="16"/>
                <w:szCs w:val="16"/>
              </w:rPr>
              <w:t xml:space="preserve"> 0.45 a 0.20 µm.</w:t>
            </w:r>
          </w:p>
        </w:tc>
        <w:tc>
          <w:tcPr>
            <w:tcW w:w="4675" w:type="dxa"/>
          </w:tcPr>
          <w:p w14:paraId="61709C12" w14:textId="7A0E9012"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HPLC grade water. </w:t>
            </w:r>
            <w:r w:rsidRPr="00F01347">
              <w:rPr>
                <w:rFonts w:ascii="Verdana" w:hAnsi="Verdana"/>
                <w:sz w:val="16"/>
                <w:szCs w:val="16"/>
                <w:lang w:val="en-US"/>
              </w:rPr>
              <w:t xml:space="preserve">Unless otherwise indicated, the water used must meet the following </w:t>
            </w:r>
            <w:r w:rsidR="007D3637" w:rsidRPr="00F01347">
              <w:rPr>
                <w:rFonts w:ascii="Verdana" w:hAnsi="Verdana"/>
                <w:sz w:val="16"/>
                <w:szCs w:val="16"/>
                <w:lang w:val="en-US"/>
              </w:rPr>
              <w:t>characteristics</w:t>
            </w:r>
            <w:r w:rsidRPr="00F01347">
              <w:rPr>
                <w:rFonts w:ascii="Verdana" w:hAnsi="Verdana"/>
                <w:sz w:val="16"/>
                <w:szCs w:val="16"/>
                <w:lang w:val="en-US"/>
              </w:rPr>
              <w:t xml:space="preserve"> be reagent grade according to the American Society for Testing and Materials Type I (ASTM) standard</w:t>
            </w:r>
            <w:r w:rsidR="003E1BA9" w:rsidRPr="00F01347">
              <w:rPr>
                <w:rFonts w:ascii="Verdana" w:hAnsi="Verdana"/>
                <w:sz w:val="16"/>
                <w:szCs w:val="16"/>
                <w:lang w:val="en-US"/>
              </w:rPr>
              <w:t>.</w:t>
            </w:r>
            <w:r w:rsidRPr="00F01347">
              <w:rPr>
                <w:rFonts w:ascii="Verdana" w:hAnsi="Verdana"/>
                <w:sz w:val="16"/>
                <w:szCs w:val="16"/>
                <w:lang w:val="en-US"/>
              </w:rPr>
              <w:t xml:space="preserve"> for Testing and Materials</w:t>
            </w:r>
            <w:r w:rsidR="00913802" w:rsidRPr="00F01347">
              <w:rPr>
                <w:rFonts w:ascii="Verdana" w:hAnsi="Verdana"/>
                <w:sz w:val="16"/>
                <w:szCs w:val="16"/>
                <w:lang w:val="en-US"/>
              </w:rPr>
              <w:t>)</w:t>
            </w:r>
            <w:r w:rsidRPr="00F01347">
              <w:rPr>
                <w:rFonts w:ascii="Verdana" w:hAnsi="Verdana"/>
                <w:sz w:val="16"/>
                <w:szCs w:val="16"/>
                <w:lang w:val="en-US"/>
              </w:rPr>
              <w:t>, free of organic compounds and that does not present interference. The water used in the mobile phase must be filtered through a 0.45 to 0.20 µm membrane</w:t>
            </w:r>
            <w:r w:rsidR="003E1BA9" w:rsidRPr="00F01347">
              <w:rPr>
                <w:rFonts w:ascii="Verdana" w:hAnsi="Verdana"/>
                <w:sz w:val="16"/>
                <w:szCs w:val="16"/>
                <w:lang w:val="en-US"/>
              </w:rPr>
              <w:t>.</w:t>
            </w:r>
          </w:p>
        </w:tc>
      </w:tr>
      <w:tr w:rsidR="00DA341B" w:rsidRPr="00F01347" w14:paraId="7CB3B8C8" w14:textId="70B4717D" w:rsidTr="00153C15">
        <w:tc>
          <w:tcPr>
            <w:tcW w:w="4675" w:type="dxa"/>
          </w:tcPr>
          <w:p w14:paraId="1B96A139" w14:textId="77777777" w:rsidR="00DA341B" w:rsidRPr="00F01347" w:rsidRDefault="00DA341B" w:rsidP="00DA341B">
            <w:pPr>
              <w:pStyle w:val="texto0"/>
              <w:spacing w:line="230" w:lineRule="exact"/>
              <w:ind w:firstLine="0"/>
              <w:rPr>
                <w:rFonts w:ascii="Verdana" w:hAnsi="Verdana"/>
                <w:b/>
                <w:sz w:val="16"/>
                <w:szCs w:val="16"/>
              </w:rPr>
            </w:pPr>
            <w:r w:rsidRPr="00F01347">
              <w:rPr>
                <w:rFonts w:ascii="Verdana" w:hAnsi="Verdana"/>
                <w:b/>
                <w:sz w:val="16"/>
                <w:szCs w:val="16"/>
              </w:rPr>
              <w:t>Bromato 1000 mg/L</w:t>
            </w:r>
            <w:r w:rsidRPr="00F01347">
              <w:rPr>
                <w:rFonts w:ascii="Verdana" w:hAnsi="Verdana"/>
                <w:sz w:val="16"/>
                <w:szCs w:val="16"/>
              </w:rPr>
              <w:t xml:space="preserve"> material de referencia en solución</w:t>
            </w:r>
          </w:p>
        </w:tc>
        <w:tc>
          <w:tcPr>
            <w:tcW w:w="4675" w:type="dxa"/>
          </w:tcPr>
          <w:p w14:paraId="5572C876" w14:textId="37E45E82"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Bromate 1000 mg/L </w:t>
            </w:r>
            <w:r w:rsidRPr="00F01347">
              <w:rPr>
                <w:rFonts w:ascii="Verdana" w:hAnsi="Verdana"/>
                <w:sz w:val="16"/>
                <w:szCs w:val="16"/>
                <w:lang w:val="en-US"/>
              </w:rPr>
              <w:t>reference material in solution</w:t>
            </w:r>
          </w:p>
        </w:tc>
      </w:tr>
      <w:tr w:rsidR="00DA341B" w:rsidRPr="00F01347" w14:paraId="3A67FB6D" w14:textId="4B3A9827" w:rsidTr="00153C15">
        <w:tc>
          <w:tcPr>
            <w:tcW w:w="4675" w:type="dxa"/>
          </w:tcPr>
          <w:p w14:paraId="15C4CFE3" w14:textId="77777777" w:rsidR="00DA341B" w:rsidRPr="00F01347" w:rsidRDefault="00DA341B" w:rsidP="00DA341B">
            <w:pPr>
              <w:pStyle w:val="texto0"/>
              <w:spacing w:line="230" w:lineRule="exact"/>
              <w:ind w:firstLine="0"/>
              <w:rPr>
                <w:rFonts w:ascii="Verdana" w:hAnsi="Verdana"/>
                <w:sz w:val="16"/>
                <w:szCs w:val="16"/>
              </w:rPr>
            </w:pPr>
            <w:r w:rsidRPr="00F01347">
              <w:rPr>
                <w:rFonts w:ascii="Verdana" w:hAnsi="Verdana"/>
                <w:b/>
                <w:sz w:val="16"/>
                <w:szCs w:val="16"/>
              </w:rPr>
              <w:t>Bicarbonato de sodio</w:t>
            </w:r>
            <w:r w:rsidRPr="00F01347">
              <w:rPr>
                <w:rFonts w:ascii="Verdana" w:hAnsi="Verdana"/>
                <w:sz w:val="16"/>
                <w:szCs w:val="16"/>
              </w:rPr>
              <w:t xml:space="preserve"> sal 100% o solución concentrada 0.5 M</w:t>
            </w:r>
          </w:p>
        </w:tc>
        <w:tc>
          <w:tcPr>
            <w:tcW w:w="4675" w:type="dxa"/>
          </w:tcPr>
          <w:p w14:paraId="21EBE357" w14:textId="4F0A748C"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Baking soda </w:t>
            </w:r>
            <w:r w:rsidRPr="00F01347">
              <w:rPr>
                <w:rFonts w:ascii="Verdana" w:hAnsi="Verdana"/>
                <w:sz w:val="16"/>
                <w:szCs w:val="16"/>
                <w:lang w:val="en-US"/>
              </w:rPr>
              <w:t>100% salt or 0.5 M concentrated solution</w:t>
            </w:r>
          </w:p>
        </w:tc>
      </w:tr>
      <w:tr w:rsidR="00DA341B" w:rsidRPr="00F01347" w14:paraId="2D31F10B" w14:textId="20B87B98" w:rsidTr="00153C15">
        <w:tc>
          <w:tcPr>
            <w:tcW w:w="4675" w:type="dxa"/>
          </w:tcPr>
          <w:p w14:paraId="422554C5" w14:textId="77777777" w:rsidR="00DA341B" w:rsidRPr="00F01347" w:rsidRDefault="00DA341B" w:rsidP="00DA341B">
            <w:pPr>
              <w:pStyle w:val="texto0"/>
              <w:spacing w:line="230" w:lineRule="exact"/>
              <w:ind w:firstLine="0"/>
              <w:rPr>
                <w:rFonts w:ascii="Verdana" w:hAnsi="Verdana"/>
                <w:sz w:val="16"/>
                <w:szCs w:val="16"/>
              </w:rPr>
            </w:pPr>
            <w:r w:rsidRPr="00F01347">
              <w:rPr>
                <w:rFonts w:ascii="Verdana" w:hAnsi="Verdana"/>
                <w:b/>
                <w:sz w:val="16"/>
                <w:szCs w:val="16"/>
              </w:rPr>
              <w:t>Clorato 1000 mg/L</w:t>
            </w:r>
            <w:r w:rsidRPr="00F01347">
              <w:rPr>
                <w:rFonts w:ascii="Verdana" w:hAnsi="Verdana"/>
                <w:sz w:val="16"/>
                <w:szCs w:val="16"/>
              </w:rPr>
              <w:t xml:space="preserve"> material de referencia en solución</w:t>
            </w:r>
          </w:p>
        </w:tc>
        <w:tc>
          <w:tcPr>
            <w:tcW w:w="4675" w:type="dxa"/>
          </w:tcPr>
          <w:p w14:paraId="606A4890" w14:textId="5F25F819"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Chlorate 1000 mg/L </w:t>
            </w:r>
            <w:r w:rsidRPr="00F01347">
              <w:rPr>
                <w:rFonts w:ascii="Verdana" w:hAnsi="Verdana"/>
                <w:sz w:val="16"/>
                <w:szCs w:val="16"/>
                <w:lang w:val="en-US"/>
              </w:rPr>
              <w:t>reference material in solution</w:t>
            </w:r>
          </w:p>
        </w:tc>
      </w:tr>
      <w:tr w:rsidR="00DA341B" w:rsidRPr="00F01347" w14:paraId="3F8B29A2" w14:textId="2D5A2F9E" w:rsidTr="00153C15">
        <w:tc>
          <w:tcPr>
            <w:tcW w:w="4675" w:type="dxa"/>
          </w:tcPr>
          <w:p w14:paraId="6FF906EA" w14:textId="77777777" w:rsidR="00DA341B" w:rsidRPr="00F01347" w:rsidRDefault="00DA341B" w:rsidP="00DA341B">
            <w:pPr>
              <w:pStyle w:val="texto0"/>
              <w:spacing w:line="230" w:lineRule="exact"/>
              <w:ind w:firstLine="0"/>
              <w:rPr>
                <w:rFonts w:ascii="Verdana" w:hAnsi="Verdana"/>
                <w:b/>
                <w:sz w:val="16"/>
                <w:szCs w:val="16"/>
              </w:rPr>
            </w:pPr>
            <w:r w:rsidRPr="00F01347">
              <w:rPr>
                <w:rFonts w:ascii="Verdana" w:hAnsi="Verdana"/>
                <w:b/>
                <w:sz w:val="16"/>
                <w:szCs w:val="16"/>
              </w:rPr>
              <w:t>Clorito 1000 mg/L</w:t>
            </w:r>
            <w:r w:rsidRPr="00F01347">
              <w:rPr>
                <w:rFonts w:ascii="Verdana" w:hAnsi="Verdana"/>
                <w:sz w:val="16"/>
                <w:szCs w:val="16"/>
              </w:rPr>
              <w:t xml:space="preserve"> material de referencia en solución</w:t>
            </w:r>
          </w:p>
        </w:tc>
        <w:tc>
          <w:tcPr>
            <w:tcW w:w="4675" w:type="dxa"/>
          </w:tcPr>
          <w:p w14:paraId="77E1930B" w14:textId="4EABBDBC"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Chlorite 1000 mg/L </w:t>
            </w:r>
            <w:r w:rsidRPr="00F01347">
              <w:rPr>
                <w:rFonts w:ascii="Verdana" w:hAnsi="Verdana"/>
                <w:sz w:val="16"/>
                <w:szCs w:val="16"/>
                <w:lang w:val="en-US"/>
              </w:rPr>
              <w:t>reference material in solution</w:t>
            </w:r>
          </w:p>
        </w:tc>
      </w:tr>
      <w:tr w:rsidR="00DA341B" w:rsidRPr="00F01347" w14:paraId="2FE9CBA2" w14:textId="2DC39312" w:rsidTr="00153C15">
        <w:tc>
          <w:tcPr>
            <w:tcW w:w="4675" w:type="dxa"/>
          </w:tcPr>
          <w:p w14:paraId="58C8F19C" w14:textId="77777777" w:rsidR="00DA341B" w:rsidRPr="00F01347" w:rsidRDefault="00DA341B" w:rsidP="00DA341B">
            <w:pPr>
              <w:pStyle w:val="texto0"/>
              <w:spacing w:line="230" w:lineRule="exact"/>
              <w:ind w:firstLine="0"/>
              <w:rPr>
                <w:rFonts w:ascii="Verdana" w:hAnsi="Verdana"/>
                <w:b/>
                <w:sz w:val="16"/>
                <w:szCs w:val="16"/>
              </w:rPr>
            </w:pPr>
            <w:proofErr w:type="spellStart"/>
            <w:r w:rsidRPr="00F01347">
              <w:rPr>
                <w:rFonts w:ascii="Verdana" w:hAnsi="Verdana"/>
                <w:b/>
                <w:sz w:val="16"/>
                <w:szCs w:val="16"/>
              </w:rPr>
              <w:t>Dicloroacetato</w:t>
            </w:r>
            <w:proofErr w:type="spellEnd"/>
            <w:r w:rsidRPr="00F01347">
              <w:rPr>
                <w:rFonts w:ascii="Verdana" w:hAnsi="Verdana"/>
                <w:b/>
                <w:sz w:val="16"/>
                <w:szCs w:val="16"/>
              </w:rPr>
              <w:t xml:space="preserve"> de Potasio sal</w:t>
            </w:r>
            <w:r w:rsidRPr="00F01347">
              <w:rPr>
                <w:rFonts w:ascii="Verdana" w:hAnsi="Verdana"/>
                <w:sz w:val="16"/>
                <w:szCs w:val="16"/>
              </w:rPr>
              <w:t xml:space="preserve"> (</w:t>
            </w:r>
            <w:proofErr w:type="spellStart"/>
            <w:r w:rsidRPr="00F01347">
              <w:rPr>
                <w:rFonts w:ascii="Verdana" w:hAnsi="Verdana"/>
                <w:sz w:val="16"/>
                <w:szCs w:val="16"/>
              </w:rPr>
              <w:t>surrogado</w:t>
            </w:r>
            <w:proofErr w:type="spellEnd"/>
            <w:r w:rsidRPr="00F01347">
              <w:rPr>
                <w:rFonts w:ascii="Verdana" w:hAnsi="Verdana"/>
                <w:sz w:val="16"/>
                <w:szCs w:val="16"/>
              </w:rPr>
              <w:t>)</w:t>
            </w:r>
          </w:p>
        </w:tc>
        <w:tc>
          <w:tcPr>
            <w:tcW w:w="4675" w:type="dxa"/>
          </w:tcPr>
          <w:p w14:paraId="42EDD602" w14:textId="40F199F2"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Potassium dichloroacetate salt </w:t>
            </w:r>
            <w:r w:rsidR="00CB209C" w:rsidRPr="00F01347">
              <w:rPr>
                <w:rFonts w:ascii="Verdana" w:hAnsi="Verdana"/>
                <w:sz w:val="16"/>
                <w:szCs w:val="16"/>
                <w:lang w:val="en-US"/>
              </w:rPr>
              <w:t>(</w:t>
            </w:r>
            <w:r w:rsidRPr="00F01347">
              <w:rPr>
                <w:rFonts w:ascii="Verdana" w:hAnsi="Verdana"/>
                <w:sz w:val="16"/>
                <w:szCs w:val="16"/>
                <w:lang w:val="en-US"/>
              </w:rPr>
              <w:t>surrogated</w:t>
            </w:r>
            <w:r w:rsidR="00913802" w:rsidRPr="00F01347">
              <w:rPr>
                <w:rFonts w:ascii="Verdana" w:hAnsi="Verdana"/>
                <w:sz w:val="16"/>
                <w:szCs w:val="16"/>
                <w:lang w:val="en-US"/>
              </w:rPr>
              <w:t>)</w:t>
            </w:r>
          </w:p>
        </w:tc>
      </w:tr>
      <w:tr w:rsidR="00DA341B" w:rsidRPr="00F01347" w14:paraId="278BA9B8" w14:textId="230EF503" w:rsidTr="00153C15">
        <w:tc>
          <w:tcPr>
            <w:tcW w:w="4675" w:type="dxa"/>
          </w:tcPr>
          <w:p w14:paraId="3735D726" w14:textId="77777777" w:rsidR="00DA341B" w:rsidRPr="00F01347" w:rsidRDefault="00DA341B" w:rsidP="00DA341B">
            <w:pPr>
              <w:pStyle w:val="texto0"/>
              <w:spacing w:line="230" w:lineRule="exact"/>
              <w:ind w:firstLine="0"/>
              <w:rPr>
                <w:rFonts w:ascii="Verdana" w:hAnsi="Verdana"/>
                <w:sz w:val="16"/>
                <w:szCs w:val="16"/>
              </w:rPr>
            </w:pPr>
            <w:r w:rsidRPr="00F01347">
              <w:rPr>
                <w:rFonts w:ascii="Verdana" w:hAnsi="Verdana"/>
                <w:b/>
                <w:sz w:val="16"/>
                <w:szCs w:val="16"/>
              </w:rPr>
              <w:t xml:space="preserve">Dilución 1000 mg/L de etilendiamina, </w:t>
            </w:r>
            <w:r w:rsidRPr="00F01347">
              <w:rPr>
                <w:rFonts w:ascii="Verdana" w:hAnsi="Verdana"/>
                <w:sz w:val="16"/>
                <w:szCs w:val="16"/>
              </w:rPr>
              <w:t xml:space="preserve">diluir 6 µL de EDA en 2 </w:t>
            </w:r>
            <w:proofErr w:type="spellStart"/>
            <w:r w:rsidRPr="00F01347">
              <w:rPr>
                <w:rFonts w:ascii="Verdana" w:hAnsi="Verdana"/>
                <w:sz w:val="16"/>
                <w:szCs w:val="16"/>
              </w:rPr>
              <w:t>mL</w:t>
            </w:r>
            <w:proofErr w:type="spellEnd"/>
            <w:r w:rsidRPr="00F01347">
              <w:rPr>
                <w:rFonts w:ascii="Verdana" w:hAnsi="Verdana"/>
                <w:sz w:val="16"/>
                <w:szCs w:val="16"/>
              </w:rPr>
              <w:t xml:space="preserve"> de agua, mezclar y aforar a 5 </w:t>
            </w:r>
            <w:proofErr w:type="spellStart"/>
            <w:proofErr w:type="gramStart"/>
            <w:r w:rsidRPr="00F01347">
              <w:rPr>
                <w:rFonts w:ascii="Verdana" w:hAnsi="Verdana"/>
                <w:sz w:val="16"/>
                <w:szCs w:val="16"/>
              </w:rPr>
              <w:t>mL</w:t>
            </w:r>
            <w:proofErr w:type="spellEnd"/>
            <w:r w:rsidRPr="00F01347">
              <w:rPr>
                <w:rFonts w:ascii="Verdana" w:hAnsi="Verdana"/>
                <w:sz w:val="16"/>
                <w:szCs w:val="16"/>
              </w:rPr>
              <w:t xml:space="preserve">  con</w:t>
            </w:r>
            <w:proofErr w:type="gramEnd"/>
            <w:r w:rsidRPr="00F01347">
              <w:rPr>
                <w:rFonts w:ascii="Verdana" w:hAnsi="Verdana"/>
                <w:sz w:val="16"/>
                <w:szCs w:val="16"/>
              </w:rPr>
              <w:t xml:space="preserve"> agua.</w:t>
            </w:r>
          </w:p>
        </w:tc>
        <w:tc>
          <w:tcPr>
            <w:tcW w:w="4675" w:type="dxa"/>
          </w:tcPr>
          <w:p w14:paraId="0FDA3F3F" w14:textId="215D6D7A"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Dilution 1000 mg/L of ethylenediamine, </w:t>
            </w:r>
            <w:r w:rsidRPr="00F01347">
              <w:rPr>
                <w:rFonts w:ascii="Verdana" w:hAnsi="Verdana"/>
                <w:sz w:val="16"/>
                <w:szCs w:val="16"/>
                <w:lang w:val="en-US"/>
              </w:rPr>
              <w:t>dilute 6 µL of EDA in 2 mL of water, mix and make up to 5 mL with water.</w:t>
            </w:r>
          </w:p>
        </w:tc>
      </w:tr>
      <w:tr w:rsidR="00DA341B" w:rsidRPr="00F01347" w14:paraId="33E42AF1" w14:textId="0F0F4982" w:rsidTr="00153C15">
        <w:tc>
          <w:tcPr>
            <w:tcW w:w="4675" w:type="dxa"/>
          </w:tcPr>
          <w:p w14:paraId="33FAB450" w14:textId="77777777" w:rsidR="00DA341B" w:rsidRPr="00F01347" w:rsidRDefault="00DA341B" w:rsidP="00DA341B">
            <w:pPr>
              <w:pStyle w:val="texto0"/>
              <w:spacing w:line="230" w:lineRule="exact"/>
              <w:ind w:firstLine="0"/>
              <w:rPr>
                <w:rFonts w:ascii="Verdana" w:hAnsi="Verdana"/>
                <w:sz w:val="16"/>
                <w:szCs w:val="16"/>
              </w:rPr>
            </w:pPr>
            <w:r w:rsidRPr="00F01347">
              <w:rPr>
                <w:rFonts w:ascii="Verdana" w:hAnsi="Verdana"/>
                <w:b/>
                <w:sz w:val="16"/>
                <w:szCs w:val="16"/>
              </w:rPr>
              <w:t>Disolución 100 mg/</w:t>
            </w:r>
            <w:proofErr w:type="spellStart"/>
            <w:r w:rsidRPr="00F01347">
              <w:rPr>
                <w:rFonts w:ascii="Verdana" w:hAnsi="Verdana"/>
                <w:b/>
                <w:sz w:val="16"/>
                <w:szCs w:val="16"/>
              </w:rPr>
              <w:t>mL</w:t>
            </w:r>
            <w:proofErr w:type="spellEnd"/>
            <w:r w:rsidRPr="00F01347">
              <w:rPr>
                <w:rFonts w:ascii="Verdana" w:hAnsi="Verdana"/>
                <w:b/>
                <w:sz w:val="16"/>
                <w:szCs w:val="16"/>
              </w:rPr>
              <w:t xml:space="preserve"> de etilendiamina (preservador), </w:t>
            </w:r>
            <w:r w:rsidRPr="00F01347">
              <w:rPr>
                <w:rFonts w:ascii="Verdana" w:hAnsi="Verdana"/>
                <w:sz w:val="16"/>
                <w:szCs w:val="16"/>
              </w:rPr>
              <w:t xml:space="preserve">diluir 2.5 </w:t>
            </w:r>
            <w:proofErr w:type="spellStart"/>
            <w:r w:rsidRPr="00F01347">
              <w:rPr>
                <w:rFonts w:ascii="Verdana" w:hAnsi="Verdana"/>
                <w:sz w:val="16"/>
                <w:szCs w:val="16"/>
              </w:rPr>
              <w:t>mL</w:t>
            </w:r>
            <w:proofErr w:type="spellEnd"/>
            <w:r w:rsidRPr="00F01347">
              <w:rPr>
                <w:rFonts w:ascii="Verdana" w:hAnsi="Verdana"/>
                <w:sz w:val="16"/>
                <w:szCs w:val="16"/>
              </w:rPr>
              <w:t xml:space="preserve"> de EDA en 10mL de agua y aforar a 25 </w:t>
            </w:r>
            <w:proofErr w:type="spellStart"/>
            <w:r w:rsidRPr="00F01347">
              <w:rPr>
                <w:rFonts w:ascii="Verdana" w:hAnsi="Verdana"/>
                <w:sz w:val="16"/>
                <w:szCs w:val="16"/>
              </w:rPr>
              <w:t>mL</w:t>
            </w:r>
            <w:proofErr w:type="spellEnd"/>
            <w:r w:rsidRPr="00F01347">
              <w:rPr>
                <w:rFonts w:ascii="Verdana" w:hAnsi="Verdana"/>
                <w:sz w:val="16"/>
                <w:szCs w:val="16"/>
              </w:rPr>
              <w:t xml:space="preserve"> con agua.</w:t>
            </w:r>
          </w:p>
        </w:tc>
        <w:tc>
          <w:tcPr>
            <w:tcW w:w="4675" w:type="dxa"/>
          </w:tcPr>
          <w:p w14:paraId="5883CBAE" w14:textId="183DA2E3"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Dissolve 100 mg/ mL of ethylenediamine (preservative), </w:t>
            </w:r>
            <w:r w:rsidRPr="00F01347">
              <w:rPr>
                <w:rFonts w:ascii="Verdana" w:hAnsi="Verdana"/>
                <w:sz w:val="16"/>
                <w:szCs w:val="16"/>
                <w:lang w:val="en-US"/>
              </w:rPr>
              <w:t>dilute 2.5 mL of EDA in 10mL of water and make up to 25 mL with water.</w:t>
            </w:r>
          </w:p>
        </w:tc>
      </w:tr>
      <w:tr w:rsidR="00DA341B" w:rsidRPr="00F01347" w14:paraId="48463C89" w14:textId="21E49F01" w:rsidTr="00153C15">
        <w:tc>
          <w:tcPr>
            <w:tcW w:w="4675" w:type="dxa"/>
          </w:tcPr>
          <w:p w14:paraId="53503D23" w14:textId="77777777" w:rsidR="00DA341B" w:rsidRPr="00F01347" w:rsidRDefault="00DA341B" w:rsidP="00DA341B">
            <w:pPr>
              <w:pStyle w:val="texto0"/>
              <w:spacing w:line="230" w:lineRule="exact"/>
              <w:ind w:firstLine="0"/>
              <w:rPr>
                <w:rFonts w:ascii="Verdana" w:hAnsi="Verdana"/>
                <w:sz w:val="16"/>
                <w:szCs w:val="16"/>
              </w:rPr>
            </w:pPr>
            <w:r w:rsidRPr="00F01347">
              <w:rPr>
                <w:rFonts w:ascii="Verdana" w:hAnsi="Verdana"/>
                <w:b/>
                <w:sz w:val="16"/>
                <w:szCs w:val="16"/>
              </w:rPr>
              <w:t>Disolución de 50 mg/L EDA,</w:t>
            </w:r>
            <w:r w:rsidRPr="00F01347">
              <w:rPr>
                <w:rFonts w:ascii="Verdana" w:hAnsi="Verdana"/>
                <w:sz w:val="16"/>
                <w:szCs w:val="16"/>
              </w:rPr>
              <w:t xml:space="preserve"> esta solución se usa para diluir las muestras aforar todas las soluciones estándar y mezcla de verificación de aniones. Tomar 0.5 </w:t>
            </w:r>
            <w:proofErr w:type="spellStart"/>
            <w:r w:rsidRPr="00F01347">
              <w:rPr>
                <w:rFonts w:ascii="Verdana" w:hAnsi="Verdana"/>
                <w:sz w:val="16"/>
                <w:szCs w:val="16"/>
              </w:rPr>
              <w:t>mL</w:t>
            </w:r>
            <w:proofErr w:type="spellEnd"/>
            <w:r w:rsidRPr="00F01347">
              <w:rPr>
                <w:rFonts w:ascii="Verdana" w:hAnsi="Verdana"/>
                <w:sz w:val="16"/>
                <w:szCs w:val="16"/>
              </w:rPr>
              <w:t xml:space="preserve"> de la solución 1000 mg/L de EDA y </w:t>
            </w:r>
            <w:proofErr w:type="gramStart"/>
            <w:r w:rsidRPr="00F01347">
              <w:rPr>
                <w:rFonts w:ascii="Verdana" w:hAnsi="Verdana"/>
                <w:sz w:val="16"/>
                <w:szCs w:val="16"/>
              </w:rPr>
              <w:t>aforar  a</w:t>
            </w:r>
            <w:proofErr w:type="gramEnd"/>
            <w:r w:rsidRPr="00F01347">
              <w:rPr>
                <w:rFonts w:ascii="Verdana" w:hAnsi="Verdana"/>
                <w:sz w:val="16"/>
                <w:szCs w:val="16"/>
              </w:rPr>
              <w:t xml:space="preserve"> 10 </w:t>
            </w:r>
            <w:proofErr w:type="spellStart"/>
            <w:r w:rsidRPr="00F01347">
              <w:rPr>
                <w:rFonts w:ascii="Verdana" w:hAnsi="Verdana"/>
                <w:sz w:val="16"/>
                <w:szCs w:val="16"/>
              </w:rPr>
              <w:t>mL</w:t>
            </w:r>
            <w:proofErr w:type="spellEnd"/>
            <w:r w:rsidRPr="00F01347">
              <w:rPr>
                <w:rFonts w:ascii="Verdana" w:hAnsi="Verdana"/>
                <w:sz w:val="16"/>
                <w:szCs w:val="16"/>
              </w:rPr>
              <w:t xml:space="preserve"> con agua.</w:t>
            </w:r>
          </w:p>
        </w:tc>
        <w:tc>
          <w:tcPr>
            <w:tcW w:w="4675" w:type="dxa"/>
          </w:tcPr>
          <w:p w14:paraId="5AB4A6BB" w14:textId="0F9E8F79"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50 mg/L EDA solution, </w:t>
            </w:r>
            <w:r w:rsidRPr="00F01347">
              <w:rPr>
                <w:rFonts w:ascii="Verdana" w:hAnsi="Verdana"/>
                <w:sz w:val="16"/>
                <w:szCs w:val="16"/>
                <w:lang w:val="en-US"/>
              </w:rPr>
              <w:t>this solution is used to dilute volumetric samples, all standard solutions and anion check mix. Take 0.5 mL of the 1000 mg/L EDA solution and make up to 10 mL with water.</w:t>
            </w:r>
          </w:p>
        </w:tc>
      </w:tr>
      <w:tr w:rsidR="00DA341B" w:rsidRPr="00F01347" w14:paraId="45E824B1" w14:textId="779A0992" w:rsidTr="00153C15">
        <w:tc>
          <w:tcPr>
            <w:tcW w:w="4675" w:type="dxa"/>
          </w:tcPr>
          <w:p w14:paraId="498D1EEC" w14:textId="77777777" w:rsidR="00DA341B" w:rsidRPr="00F01347" w:rsidRDefault="00DA341B" w:rsidP="00DA341B">
            <w:pPr>
              <w:pStyle w:val="texto0"/>
              <w:spacing w:line="230" w:lineRule="exact"/>
              <w:ind w:firstLine="0"/>
              <w:rPr>
                <w:rFonts w:ascii="Verdana" w:hAnsi="Verdana"/>
                <w:b/>
                <w:sz w:val="16"/>
                <w:szCs w:val="16"/>
              </w:rPr>
            </w:pPr>
            <w:r w:rsidRPr="00F01347">
              <w:rPr>
                <w:rFonts w:ascii="Verdana" w:hAnsi="Verdana"/>
                <w:b/>
                <w:sz w:val="16"/>
                <w:szCs w:val="16"/>
              </w:rPr>
              <w:t xml:space="preserve">Etilendiamina (EDA) </w:t>
            </w:r>
            <w:r w:rsidRPr="00F01347">
              <w:rPr>
                <w:rFonts w:ascii="Verdana" w:hAnsi="Verdana"/>
                <w:sz w:val="16"/>
                <w:szCs w:val="16"/>
              </w:rPr>
              <w:t>ensayo 99.9% o equivalente.</w:t>
            </w:r>
          </w:p>
        </w:tc>
        <w:tc>
          <w:tcPr>
            <w:tcW w:w="4675" w:type="dxa"/>
          </w:tcPr>
          <w:p w14:paraId="6B6E0EDD" w14:textId="50F2C07D" w:rsidR="00DA341B" w:rsidRPr="00F01347" w:rsidRDefault="00DA341B" w:rsidP="00DA341B">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Ethylenediamine (EDA) </w:t>
            </w:r>
            <w:r w:rsidRPr="00F01347">
              <w:rPr>
                <w:rFonts w:ascii="Verdana" w:hAnsi="Verdana"/>
                <w:sz w:val="16"/>
                <w:szCs w:val="16"/>
                <w:lang w:val="en-US"/>
              </w:rPr>
              <w:t>assay 99.9% or equivalent.</w:t>
            </w:r>
          </w:p>
        </w:tc>
      </w:tr>
      <w:tr w:rsidR="00DA341B" w:rsidRPr="00F01347" w14:paraId="72B797E7" w14:textId="5395F562" w:rsidTr="00153C15">
        <w:tc>
          <w:tcPr>
            <w:tcW w:w="4675" w:type="dxa"/>
          </w:tcPr>
          <w:p w14:paraId="75D475C9" w14:textId="77777777" w:rsidR="00DA341B" w:rsidRPr="00F01347" w:rsidRDefault="00DA341B" w:rsidP="00DA341B">
            <w:pPr>
              <w:pStyle w:val="texto0"/>
              <w:spacing w:line="232" w:lineRule="exact"/>
              <w:ind w:firstLine="0"/>
              <w:rPr>
                <w:rFonts w:ascii="Verdana" w:hAnsi="Verdana"/>
                <w:b/>
                <w:sz w:val="16"/>
                <w:szCs w:val="16"/>
              </w:rPr>
            </w:pPr>
            <w:r w:rsidRPr="00F01347">
              <w:rPr>
                <w:rFonts w:ascii="Verdana" w:hAnsi="Verdana"/>
                <w:b/>
                <w:sz w:val="16"/>
                <w:szCs w:val="16"/>
              </w:rPr>
              <w:t>B.6.7 Procedimiento</w:t>
            </w:r>
          </w:p>
        </w:tc>
        <w:tc>
          <w:tcPr>
            <w:tcW w:w="4675" w:type="dxa"/>
          </w:tcPr>
          <w:p w14:paraId="3AF39827" w14:textId="0BCF69B5" w:rsidR="00DA341B" w:rsidRPr="00F01347" w:rsidRDefault="00DA341B" w:rsidP="00DA341B">
            <w:pPr>
              <w:pStyle w:val="texto0"/>
              <w:spacing w:line="232" w:lineRule="exact"/>
              <w:ind w:firstLine="0"/>
              <w:rPr>
                <w:rFonts w:ascii="Verdana" w:hAnsi="Verdana"/>
                <w:b/>
                <w:sz w:val="16"/>
                <w:szCs w:val="16"/>
                <w:lang w:val="en-US"/>
              </w:rPr>
            </w:pPr>
            <w:r w:rsidRPr="00F01347">
              <w:rPr>
                <w:rFonts w:ascii="Verdana" w:hAnsi="Verdana"/>
                <w:b/>
                <w:sz w:val="16"/>
                <w:szCs w:val="16"/>
                <w:lang w:val="en-US"/>
              </w:rPr>
              <w:t>B.6.7 Procedure</w:t>
            </w:r>
          </w:p>
        </w:tc>
      </w:tr>
      <w:tr w:rsidR="00DA341B" w:rsidRPr="00F01347" w14:paraId="504A84D7" w14:textId="03C78CEB" w:rsidTr="00153C15">
        <w:tc>
          <w:tcPr>
            <w:tcW w:w="4675" w:type="dxa"/>
          </w:tcPr>
          <w:p w14:paraId="084B6ABD" w14:textId="77777777" w:rsidR="00DA341B" w:rsidRPr="00F01347" w:rsidRDefault="00DA341B" w:rsidP="00DA341B">
            <w:pPr>
              <w:pStyle w:val="texto0"/>
              <w:spacing w:line="232" w:lineRule="exact"/>
              <w:ind w:firstLine="0"/>
              <w:rPr>
                <w:rFonts w:ascii="Verdana" w:hAnsi="Verdana"/>
                <w:sz w:val="16"/>
                <w:szCs w:val="16"/>
              </w:rPr>
            </w:pPr>
            <w:r w:rsidRPr="00F01347">
              <w:rPr>
                <w:rFonts w:ascii="Verdana" w:hAnsi="Verdana"/>
                <w:b/>
                <w:sz w:val="16"/>
                <w:szCs w:val="16"/>
              </w:rPr>
              <w:t>B.6.7.1 Muestreo, preservación y manejo de muestra</w:t>
            </w:r>
          </w:p>
        </w:tc>
        <w:tc>
          <w:tcPr>
            <w:tcW w:w="4675" w:type="dxa"/>
          </w:tcPr>
          <w:p w14:paraId="1975C07B" w14:textId="7A2BCE6F" w:rsidR="00DA341B" w:rsidRPr="00F01347" w:rsidRDefault="00DA341B" w:rsidP="00DA341B">
            <w:pPr>
              <w:pStyle w:val="texto0"/>
              <w:spacing w:line="232" w:lineRule="exact"/>
              <w:ind w:firstLine="0"/>
              <w:rPr>
                <w:rFonts w:ascii="Verdana" w:hAnsi="Verdana"/>
                <w:b/>
                <w:sz w:val="16"/>
                <w:szCs w:val="16"/>
                <w:lang w:val="en-US"/>
              </w:rPr>
            </w:pPr>
            <w:r w:rsidRPr="00F01347">
              <w:rPr>
                <w:rFonts w:ascii="Verdana" w:hAnsi="Verdana"/>
                <w:b/>
                <w:sz w:val="16"/>
                <w:szCs w:val="16"/>
                <w:lang w:val="en-US"/>
              </w:rPr>
              <w:t xml:space="preserve">B.6.7.1 Sampling, </w:t>
            </w:r>
            <w:r w:rsidR="00A41B51" w:rsidRPr="00F01347">
              <w:rPr>
                <w:rFonts w:ascii="Verdana" w:hAnsi="Verdana"/>
                <w:b/>
                <w:sz w:val="16"/>
                <w:szCs w:val="16"/>
                <w:lang w:val="en-US"/>
              </w:rPr>
              <w:t>preservation,</w:t>
            </w:r>
            <w:r w:rsidRPr="00F01347">
              <w:rPr>
                <w:rFonts w:ascii="Verdana" w:hAnsi="Verdana"/>
                <w:b/>
                <w:sz w:val="16"/>
                <w:szCs w:val="16"/>
                <w:lang w:val="en-US"/>
              </w:rPr>
              <w:t xml:space="preserve"> and sample handling</w:t>
            </w:r>
          </w:p>
        </w:tc>
      </w:tr>
      <w:tr w:rsidR="00DA341B" w:rsidRPr="00F01347" w14:paraId="33DE142B" w14:textId="5158049A" w:rsidTr="00153C15">
        <w:tc>
          <w:tcPr>
            <w:tcW w:w="4675" w:type="dxa"/>
          </w:tcPr>
          <w:p w14:paraId="55D6FE13" w14:textId="77777777" w:rsidR="00DA341B" w:rsidRPr="00F01347" w:rsidRDefault="00DA341B" w:rsidP="00DA341B">
            <w:pPr>
              <w:pStyle w:val="texto0"/>
              <w:spacing w:line="232" w:lineRule="exact"/>
              <w:ind w:firstLine="0"/>
              <w:rPr>
                <w:rFonts w:ascii="Verdana" w:hAnsi="Verdana"/>
                <w:sz w:val="16"/>
                <w:szCs w:val="16"/>
              </w:rPr>
            </w:pPr>
            <w:r w:rsidRPr="00F01347">
              <w:rPr>
                <w:rFonts w:ascii="Verdana" w:hAnsi="Verdana"/>
                <w:sz w:val="16"/>
                <w:szCs w:val="16"/>
              </w:rPr>
              <w:t xml:space="preserve">Tomar una muestra de mínimo 50 </w:t>
            </w:r>
            <w:proofErr w:type="spellStart"/>
            <w:r w:rsidRPr="00F01347">
              <w:rPr>
                <w:rFonts w:ascii="Verdana" w:hAnsi="Verdana"/>
                <w:sz w:val="16"/>
                <w:szCs w:val="16"/>
              </w:rPr>
              <w:t>mL</w:t>
            </w:r>
            <w:proofErr w:type="spellEnd"/>
            <w:r w:rsidRPr="00F01347">
              <w:rPr>
                <w:rFonts w:ascii="Verdana" w:hAnsi="Verdana"/>
                <w:sz w:val="16"/>
                <w:szCs w:val="16"/>
              </w:rPr>
              <w:t xml:space="preserve"> en un recipiente de plástico o vidrio ámbar. Sólo en caso de que la muestra contenga dióxido de cloro burbujear con helio o nitrógeno.</w:t>
            </w:r>
          </w:p>
        </w:tc>
        <w:tc>
          <w:tcPr>
            <w:tcW w:w="4675" w:type="dxa"/>
          </w:tcPr>
          <w:p w14:paraId="38B5727E" w14:textId="2165A847" w:rsidR="00DA341B" w:rsidRPr="00F01347" w:rsidRDefault="00DA341B" w:rsidP="00DA341B">
            <w:pPr>
              <w:pStyle w:val="texto0"/>
              <w:spacing w:line="232" w:lineRule="exact"/>
              <w:ind w:firstLine="0"/>
              <w:rPr>
                <w:rFonts w:ascii="Verdana" w:hAnsi="Verdana"/>
                <w:sz w:val="16"/>
                <w:szCs w:val="16"/>
                <w:lang w:val="en-US"/>
              </w:rPr>
            </w:pPr>
            <w:r w:rsidRPr="00F01347">
              <w:rPr>
                <w:rFonts w:ascii="Verdana" w:hAnsi="Verdana"/>
                <w:sz w:val="16"/>
                <w:szCs w:val="16"/>
                <w:lang w:val="en-US"/>
              </w:rPr>
              <w:t>Take a sample of at least 50 mL in an amber plastic or glass container. Only if the sample contains chlorine dioxide, bubble with helium or nitrogen.</w:t>
            </w:r>
          </w:p>
        </w:tc>
      </w:tr>
      <w:tr w:rsidR="00DA341B" w:rsidRPr="00F01347" w14:paraId="642E8409" w14:textId="0A4209BF" w:rsidTr="00153C15">
        <w:tc>
          <w:tcPr>
            <w:tcW w:w="4675" w:type="dxa"/>
          </w:tcPr>
          <w:p w14:paraId="69B8735C" w14:textId="77777777" w:rsidR="00DA341B" w:rsidRPr="00F01347" w:rsidRDefault="00DA341B" w:rsidP="00DA341B">
            <w:pPr>
              <w:pStyle w:val="texto0"/>
              <w:spacing w:line="232" w:lineRule="exact"/>
              <w:ind w:firstLine="0"/>
              <w:rPr>
                <w:rFonts w:ascii="Verdana" w:hAnsi="Verdana"/>
                <w:sz w:val="16"/>
                <w:szCs w:val="16"/>
              </w:rPr>
            </w:pPr>
            <w:r w:rsidRPr="00F01347">
              <w:rPr>
                <w:rFonts w:ascii="Verdana" w:hAnsi="Verdana"/>
                <w:sz w:val="16"/>
                <w:szCs w:val="16"/>
              </w:rPr>
              <w:t xml:space="preserve">Para preservar la muestra, adicionar 0.1 </w:t>
            </w:r>
            <w:proofErr w:type="spellStart"/>
            <w:r w:rsidRPr="00F01347">
              <w:rPr>
                <w:rFonts w:ascii="Verdana" w:hAnsi="Verdana"/>
                <w:sz w:val="16"/>
                <w:szCs w:val="16"/>
              </w:rPr>
              <w:t>mL</w:t>
            </w:r>
            <w:proofErr w:type="spellEnd"/>
            <w:r w:rsidRPr="00F01347">
              <w:rPr>
                <w:rFonts w:ascii="Verdana" w:hAnsi="Verdana"/>
                <w:sz w:val="16"/>
                <w:szCs w:val="16"/>
              </w:rPr>
              <w:t xml:space="preserve"> de EDA de 100 mg/</w:t>
            </w:r>
            <w:proofErr w:type="spellStart"/>
            <w:r w:rsidRPr="00F01347">
              <w:rPr>
                <w:rFonts w:ascii="Verdana" w:hAnsi="Verdana"/>
                <w:sz w:val="16"/>
                <w:szCs w:val="16"/>
              </w:rPr>
              <w:t>mL</w:t>
            </w:r>
            <w:proofErr w:type="spellEnd"/>
            <w:r w:rsidRPr="00F01347">
              <w:rPr>
                <w:rFonts w:ascii="Verdana" w:hAnsi="Verdana"/>
                <w:sz w:val="16"/>
                <w:szCs w:val="16"/>
              </w:rPr>
              <w:t xml:space="preserve">, la concentración final es de 50 mg/L de </w:t>
            </w:r>
            <w:r w:rsidRPr="00F01347">
              <w:rPr>
                <w:rFonts w:ascii="Verdana" w:hAnsi="Verdana"/>
                <w:sz w:val="16"/>
                <w:szCs w:val="16"/>
              </w:rPr>
              <w:lastRenderedPageBreak/>
              <w:t>EDA en la muestra. Las muestras deben mantenerse a una temperatura de 2 a 4°C desde el momento de su obtención hasta una hora antes del análisis.</w:t>
            </w:r>
          </w:p>
        </w:tc>
        <w:tc>
          <w:tcPr>
            <w:tcW w:w="4675" w:type="dxa"/>
          </w:tcPr>
          <w:p w14:paraId="227C9E15" w14:textId="70ECD0C0" w:rsidR="00DA341B" w:rsidRPr="00F01347" w:rsidRDefault="00DA341B" w:rsidP="00DA341B">
            <w:pPr>
              <w:pStyle w:val="texto0"/>
              <w:spacing w:line="232" w:lineRule="exact"/>
              <w:ind w:firstLine="0"/>
              <w:rPr>
                <w:rFonts w:ascii="Verdana" w:hAnsi="Verdana"/>
                <w:sz w:val="16"/>
                <w:szCs w:val="16"/>
                <w:lang w:val="en-US"/>
              </w:rPr>
            </w:pPr>
            <w:r w:rsidRPr="00F01347">
              <w:rPr>
                <w:rFonts w:ascii="Verdana" w:hAnsi="Verdana"/>
                <w:sz w:val="16"/>
                <w:szCs w:val="16"/>
                <w:lang w:val="en-US"/>
              </w:rPr>
              <w:lastRenderedPageBreak/>
              <w:t>To preserve the sample, add 0.1 mL of 100 mg/ mL EDA</w:t>
            </w:r>
            <w:r w:rsidR="003E1BA9" w:rsidRPr="00F01347">
              <w:rPr>
                <w:rFonts w:ascii="Verdana" w:hAnsi="Verdana"/>
                <w:sz w:val="16"/>
                <w:szCs w:val="16"/>
                <w:lang w:val="en-US"/>
              </w:rPr>
              <w:t>,</w:t>
            </w:r>
            <w:r w:rsidRPr="00F01347">
              <w:rPr>
                <w:rFonts w:ascii="Verdana" w:hAnsi="Verdana"/>
                <w:sz w:val="16"/>
                <w:szCs w:val="16"/>
                <w:lang w:val="en-US"/>
              </w:rPr>
              <w:t xml:space="preserve"> the final concentration is 50 mg/L of EDA in the </w:t>
            </w:r>
            <w:r w:rsidRPr="00F01347">
              <w:rPr>
                <w:rFonts w:ascii="Verdana" w:hAnsi="Verdana"/>
                <w:sz w:val="16"/>
                <w:szCs w:val="16"/>
                <w:lang w:val="en-US"/>
              </w:rPr>
              <w:lastRenderedPageBreak/>
              <w:t>sample. Samples should be kept at a temperature of 2 to 4°C from the time of collection until one hour before analysis.</w:t>
            </w:r>
          </w:p>
        </w:tc>
      </w:tr>
      <w:tr w:rsidR="00DA341B" w:rsidRPr="00F01347" w14:paraId="0854BCDF" w14:textId="7225DBBE" w:rsidTr="00153C15">
        <w:tc>
          <w:tcPr>
            <w:tcW w:w="4675" w:type="dxa"/>
          </w:tcPr>
          <w:p w14:paraId="678C3186" w14:textId="77777777" w:rsidR="00DA341B" w:rsidRPr="00F01347" w:rsidRDefault="00DA341B" w:rsidP="00DA341B">
            <w:pPr>
              <w:pStyle w:val="texto0"/>
              <w:spacing w:line="232" w:lineRule="exact"/>
              <w:ind w:firstLine="0"/>
              <w:rPr>
                <w:rFonts w:ascii="Verdana" w:hAnsi="Verdana"/>
                <w:sz w:val="16"/>
                <w:szCs w:val="16"/>
              </w:rPr>
            </w:pPr>
            <w:r w:rsidRPr="00F01347">
              <w:rPr>
                <w:rFonts w:ascii="Verdana" w:hAnsi="Verdana"/>
                <w:sz w:val="16"/>
                <w:szCs w:val="16"/>
              </w:rPr>
              <w:lastRenderedPageBreak/>
              <w:t>El tiempo límite para el análisis es de 14 días a partir de su recolección.</w:t>
            </w:r>
          </w:p>
        </w:tc>
        <w:tc>
          <w:tcPr>
            <w:tcW w:w="4675" w:type="dxa"/>
          </w:tcPr>
          <w:p w14:paraId="316C08C0" w14:textId="096B53B0" w:rsidR="00DA341B" w:rsidRPr="00F01347" w:rsidRDefault="00DA341B" w:rsidP="00DA341B">
            <w:pPr>
              <w:pStyle w:val="texto0"/>
              <w:spacing w:line="232" w:lineRule="exact"/>
              <w:ind w:firstLine="0"/>
              <w:rPr>
                <w:rFonts w:ascii="Verdana" w:hAnsi="Verdana"/>
                <w:sz w:val="16"/>
                <w:szCs w:val="16"/>
                <w:lang w:val="en-US"/>
              </w:rPr>
            </w:pPr>
            <w:r w:rsidRPr="00F01347">
              <w:rPr>
                <w:rFonts w:ascii="Verdana" w:hAnsi="Verdana"/>
                <w:sz w:val="16"/>
                <w:szCs w:val="16"/>
                <w:lang w:val="en-US"/>
              </w:rPr>
              <w:t>The time limit for analysis is 14 days from collection.</w:t>
            </w:r>
          </w:p>
        </w:tc>
      </w:tr>
      <w:tr w:rsidR="00DA341B" w:rsidRPr="00F01347" w14:paraId="30FB6B55" w14:textId="2727B9EF" w:rsidTr="00153C15">
        <w:tc>
          <w:tcPr>
            <w:tcW w:w="4675" w:type="dxa"/>
          </w:tcPr>
          <w:p w14:paraId="35DE6CA9" w14:textId="77777777" w:rsidR="00DA341B" w:rsidRPr="00F01347" w:rsidRDefault="00DA341B" w:rsidP="00DA341B">
            <w:pPr>
              <w:pStyle w:val="texto0"/>
              <w:spacing w:line="232" w:lineRule="exact"/>
              <w:ind w:firstLine="0"/>
              <w:rPr>
                <w:rFonts w:ascii="Verdana" w:hAnsi="Verdana"/>
                <w:b/>
                <w:sz w:val="16"/>
                <w:szCs w:val="16"/>
              </w:rPr>
            </w:pPr>
            <w:r w:rsidRPr="00F01347">
              <w:rPr>
                <w:rFonts w:ascii="Verdana" w:hAnsi="Verdana"/>
                <w:b/>
                <w:sz w:val="16"/>
                <w:szCs w:val="16"/>
              </w:rPr>
              <w:t>B.6.7.2 Procedimiento analítico</w:t>
            </w:r>
          </w:p>
        </w:tc>
        <w:tc>
          <w:tcPr>
            <w:tcW w:w="4675" w:type="dxa"/>
          </w:tcPr>
          <w:p w14:paraId="3A14E00A" w14:textId="75763AB6" w:rsidR="00DA341B" w:rsidRPr="00F01347" w:rsidRDefault="00DA341B" w:rsidP="00DA341B">
            <w:pPr>
              <w:pStyle w:val="texto0"/>
              <w:spacing w:line="232" w:lineRule="exact"/>
              <w:ind w:firstLine="0"/>
              <w:rPr>
                <w:rFonts w:ascii="Verdana" w:hAnsi="Verdana"/>
                <w:b/>
                <w:sz w:val="16"/>
                <w:szCs w:val="16"/>
                <w:lang w:val="en-US"/>
              </w:rPr>
            </w:pPr>
            <w:r w:rsidRPr="00F01347">
              <w:rPr>
                <w:rFonts w:ascii="Verdana" w:hAnsi="Verdana"/>
                <w:b/>
                <w:sz w:val="16"/>
                <w:szCs w:val="16"/>
                <w:lang w:val="en-US"/>
              </w:rPr>
              <w:t>B.6.7.2 Analytical procedure</w:t>
            </w:r>
          </w:p>
        </w:tc>
      </w:tr>
      <w:tr w:rsidR="00DA341B" w:rsidRPr="00F01347" w14:paraId="27630DEC" w14:textId="28EDFAF0" w:rsidTr="00153C15">
        <w:tc>
          <w:tcPr>
            <w:tcW w:w="4675" w:type="dxa"/>
          </w:tcPr>
          <w:p w14:paraId="385170D9" w14:textId="77777777" w:rsidR="00DA341B" w:rsidRPr="00F01347" w:rsidRDefault="00DA341B" w:rsidP="00DA341B">
            <w:pPr>
              <w:pStyle w:val="texto0"/>
              <w:spacing w:line="232" w:lineRule="exact"/>
              <w:ind w:firstLine="0"/>
              <w:rPr>
                <w:rFonts w:ascii="Verdana" w:hAnsi="Verdana"/>
                <w:sz w:val="16"/>
                <w:szCs w:val="16"/>
              </w:rPr>
            </w:pPr>
            <w:r w:rsidRPr="00F01347">
              <w:rPr>
                <w:rFonts w:ascii="Verdana" w:hAnsi="Verdana"/>
                <w:sz w:val="16"/>
                <w:szCs w:val="16"/>
              </w:rPr>
              <w:t>Para preparar la muestra, dejar que la muestra mantenida a baja temperatura se encuentra a temperatura ambiente antes del análisis.</w:t>
            </w:r>
          </w:p>
        </w:tc>
        <w:tc>
          <w:tcPr>
            <w:tcW w:w="4675" w:type="dxa"/>
          </w:tcPr>
          <w:p w14:paraId="4CC08355" w14:textId="53B745A9" w:rsidR="00DA341B" w:rsidRPr="00F01347" w:rsidRDefault="00DA341B" w:rsidP="00DA341B">
            <w:pPr>
              <w:pStyle w:val="texto0"/>
              <w:spacing w:line="232" w:lineRule="exact"/>
              <w:ind w:firstLine="0"/>
              <w:rPr>
                <w:rFonts w:ascii="Verdana" w:hAnsi="Verdana"/>
                <w:sz w:val="16"/>
                <w:szCs w:val="16"/>
                <w:lang w:val="en-US"/>
              </w:rPr>
            </w:pPr>
            <w:r w:rsidRPr="00F01347">
              <w:rPr>
                <w:rFonts w:ascii="Verdana" w:hAnsi="Verdana"/>
                <w:sz w:val="16"/>
                <w:szCs w:val="16"/>
                <w:lang w:val="en-US"/>
              </w:rPr>
              <w:t>To prepare the sample, let the low-temperature sample come to room temperature before analysis.</w:t>
            </w:r>
          </w:p>
        </w:tc>
      </w:tr>
      <w:tr w:rsidR="00DA341B" w:rsidRPr="00F01347" w14:paraId="6403EB03" w14:textId="14FA5CF8" w:rsidTr="00153C15">
        <w:tc>
          <w:tcPr>
            <w:tcW w:w="4675" w:type="dxa"/>
          </w:tcPr>
          <w:p w14:paraId="1E19EF74" w14:textId="77777777" w:rsidR="00DA341B" w:rsidRPr="00F01347" w:rsidRDefault="00DA341B" w:rsidP="00DA341B">
            <w:pPr>
              <w:pStyle w:val="texto0"/>
              <w:spacing w:line="232" w:lineRule="exact"/>
              <w:ind w:firstLine="0"/>
              <w:rPr>
                <w:rFonts w:ascii="Verdana" w:hAnsi="Verdana"/>
                <w:sz w:val="16"/>
                <w:szCs w:val="16"/>
              </w:rPr>
            </w:pPr>
            <w:r w:rsidRPr="00F01347">
              <w:rPr>
                <w:rFonts w:ascii="Verdana" w:hAnsi="Verdana"/>
                <w:sz w:val="16"/>
                <w:szCs w:val="16"/>
              </w:rPr>
              <w:t xml:space="preserve">De ser necesario pasar la muestra por un filtro de 0.45 µm para eliminar partículas o pase la muestra por un cartucho de SPE-IC para eliminar la interferencia de aniones como fluoruros y cloruros. Si la muestra es agua embotellada, adicionar de solución de EDA y </w:t>
            </w:r>
            <w:proofErr w:type="spellStart"/>
            <w:r w:rsidRPr="00F01347">
              <w:rPr>
                <w:rFonts w:ascii="Verdana" w:hAnsi="Verdana"/>
                <w:sz w:val="16"/>
                <w:szCs w:val="16"/>
              </w:rPr>
              <w:t>surrogado</w:t>
            </w:r>
            <w:proofErr w:type="spellEnd"/>
            <w:r w:rsidRPr="00F01347">
              <w:rPr>
                <w:rFonts w:ascii="Verdana" w:hAnsi="Verdana"/>
                <w:sz w:val="16"/>
                <w:szCs w:val="16"/>
              </w:rPr>
              <w:t xml:space="preserve"> a 1 </w:t>
            </w:r>
            <w:proofErr w:type="spellStart"/>
            <w:r w:rsidRPr="00F01347">
              <w:rPr>
                <w:rFonts w:ascii="Verdana" w:hAnsi="Verdana"/>
                <w:sz w:val="16"/>
                <w:szCs w:val="16"/>
              </w:rPr>
              <w:t>mL</w:t>
            </w:r>
            <w:proofErr w:type="spellEnd"/>
            <w:r w:rsidRPr="00F01347">
              <w:rPr>
                <w:rFonts w:ascii="Verdana" w:hAnsi="Verdana"/>
                <w:sz w:val="16"/>
                <w:szCs w:val="16"/>
              </w:rPr>
              <w:t xml:space="preserve"> de muestra previo al análisis cromatográfico.</w:t>
            </w:r>
          </w:p>
        </w:tc>
        <w:tc>
          <w:tcPr>
            <w:tcW w:w="4675" w:type="dxa"/>
          </w:tcPr>
          <w:p w14:paraId="63CD5B53" w14:textId="38F853D0" w:rsidR="00DA341B" w:rsidRPr="00F01347" w:rsidRDefault="00DA341B" w:rsidP="00DA341B">
            <w:pPr>
              <w:pStyle w:val="texto0"/>
              <w:spacing w:line="232" w:lineRule="exact"/>
              <w:ind w:firstLine="0"/>
              <w:rPr>
                <w:rFonts w:ascii="Verdana" w:hAnsi="Verdana"/>
                <w:sz w:val="16"/>
                <w:szCs w:val="16"/>
                <w:lang w:val="en-US"/>
              </w:rPr>
            </w:pPr>
            <w:r w:rsidRPr="00F01347">
              <w:rPr>
                <w:rFonts w:ascii="Verdana" w:hAnsi="Verdana"/>
                <w:sz w:val="16"/>
                <w:szCs w:val="16"/>
                <w:lang w:val="en-US"/>
              </w:rPr>
              <w:t>If necessary, pass the sample through a 0.45 µm filter to eliminate particles or pass the sample through a SPE-IC cartridge to eliminate interference from anions such as fluorides and chlorides. If the sample is bottled water, add EDA solution and surrogate to 1 mL of sample prior to chromatographic analysis.</w:t>
            </w:r>
          </w:p>
        </w:tc>
      </w:tr>
      <w:tr w:rsidR="00DA341B" w:rsidRPr="00F01347" w14:paraId="2C52136E" w14:textId="33A5FB82" w:rsidTr="00153C15">
        <w:tc>
          <w:tcPr>
            <w:tcW w:w="4675" w:type="dxa"/>
          </w:tcPr>
          <w:p w14:paraId="055BC2F0" w14:textId="77777777" w:rsidR="00DA341B" w:rsidRPr="00F01347" w:rsidRDefault="00DA341B" w:rsidP="00DA341B">
            <w:pPr>
              <w:pStyle w:val="texto0"/>
              <w:spacing w:line="232" w:lineRule="exact"/>
              <w:ind w:firstLine="0"/>
              <w:rPr>
                <w:rFonts w:ascii="Verdana" w:hAnsi="Verdana"/>
                <w:sz w:val="16"/>
                <w:szCs w:val="16"/>
              </w:rPr>
            </w:pPr>
            <w:r w:rsidRPr="00F01347">
              <w:rPr>
                <w:rFonts w:ascii="Verdana" w:hAnsi="Verdana"/>
                <w:sz w:val="16"/>
                <w:szCs w:val="16"/>
              </w:rPr>
              <w:t xml:space="preserve">Para realizar al análisis, debe operar el equipo como se indica en el instructivo de operación correspondiente y permitir que se estabilice por lo menos 60 minutos antes de iniciar el análisis con las condiciones instrumentales establecidas. Elaborar la secuencia de análisis </w:t>
            </w:r>
            <w:proofErr w:type="gramStart"/>
            <w:r w:rsidRPr="00F01347">
              <w:rPr>
                <w:rFonts w:ascii="Verdana" w:hAnsi="Verdana"/>
                <w:sz w:val="16"/>
                <w:szCs w:val="16"/>
              </w:rPr>
              <w:t>de acuerdo a</w:t>
            </w:r>
            <w:proofErr w:type="gramEnd"/>
            <w:r w:rsidRPr="00F01347">
              <w:rPr>
                <w:rFonts w:ascii="Verdana" w:hAnsi="Verdana"/>
                <w:sz w:val="16"/>
                <w:szCs w:val="16"/>
              </w:rPr>
              <w:t xml:space="preserve"> lo indicado en la composición del lote analítico. Iniciar el análisis. Verificar que se cumpla con el control de calidad y criterios de aceptación y rechazo.</w:t>
            </w:r>
          </w:p>
        </w:tc>
        <w:tc>
          <w:tcPr>
            <w:tcW w:w="4675" w:type="dxa"/>
          </w:tcPr>
          <w:p w14:paraId="01AE7F59" w14:textId="13CCA2CD" w:rsidR="00DA341B" w:rsidRPr="00F01347" w:rsidRDefault="00DA341B" w:rsidP="00DA341B">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To carry out the analysis, </w:t>
            </w:r>
            <w:r w:rsidR="004A6BE5" w:rsidRPr="00F01347">
              <w:rPr>
                <w:rFonts w:ascii="Verdana" w:hAnsi="Verdana"/>
                <w:sz w:val="16"/>
                <w:szCs w:val="16"/>
                <w:lang w:val="en-US"/>
              </w:rPr>
              <w:t>one</w:t>
            </w:r>
            <w:r w:rsidRPr="00F01347">
              <w:rPr>
                <w:rFonts w:ascii="Verdana" w:hAnsi="Verdana"/>
                <w:sz w:val="16"/>
                <w:szCs w:val="16"/>
                <w:lang w:val="en-US"/>
              </w:rPr>
              <w:t xml:space="preserve"> must operate the equipment as indicated in the corresponding operating instructions and allow it to stabilize for at least 60 minutes before starting the analysis with the established instrumental conditions. Prepare the analysis sequence according to what is indicated in the composition of the analytical batch. Start the analysis. Verify that quality control and acceptance and rejection criteria are met.</w:t>
            </w:r>
          </w:p>
        </w:tc>
      </w:tr>
      <w:tr w:rsidR="00DA341B" w:rsidRPr="00F01347" w14:paraId="60F7B57F" w14:textId="0BFE722A" w:rsidTr="00153C15">
        <w:tc>
          <w:tcPr>
            <w:tcW w:w="4675" w:type="dxa"/>
          </w:tcPr>
          <w:p w14:paraId="63C03D2C" w14:textId="77777777" w:rsidR="00DA341B" w:rsidRPr="00F01347" w:rsidRDefault="00DA341B" w:rsidP="00DA341B">
            <w:pPr>
              <w:pStyle w:val="texto0"/>
              <w:spacing w:line="232" w:lineRule="exact"/>
              <w:ind w:firstLine="0"/>
              <w:rPr>
                <w:rFonts w:ascii="Verdana" w:hAnsi="Verdana"/>
                <w:sz w:val="16"/>
                <w:szCs w:val="16"/>
              </w:rPr>
            </w:pPr>
            <w:r w:rsidRPr="00F01347">
              <w:rPr>
                <w:rFonts w:ascii="Verdana" w:hAnsi="Verdana"/>
                <w:sz w:val="16"/>
                <w:szCs w:val="16"/>
              </w:rPr>
              <w:t>La identificación cualitativa de cada compuesto determinado por este método está basada en la comparación del tiempo de retención. Los compuestos son identificados como presentes cuando el tiempo de retención del compuesto detectado es ±5% del tiempo estándar de referencia. Si se tiene duda en la identificación por interferencias en la muestra realizar una adición de los analitos de interés a la muestra para evaluar si se mantiene la concentración y la recuperación de la adición.</w:t>
            </w:r>
          </w:p>
        </w:tc>
        <w:tc>
          <w:tcPr>
            <w:tcW w:w="4675" w:type="dxa"/>
          </w:tcPr>
          <w:p w14:paraId="3B6E6FA1" w14:textId="00AAD680" w:rsidR="00DA341B" w:rsidRPr="00F01347" w:rsidRDefault="00DA341B" w:rsidP="00DA341B">
            <w:pPr>
              <w:pStyle w:val="texto0"/>
              <w:spacing w:line="232" w:lineRule="exact"/>
              <w:ind w:firstLine="0"/>
              <w:rPr>
                <w:rFonts w:ascii="Verdana" w:hAnsi="Verdana"/>
                <w:sz w:val="16"/>
                <w:szCs w:val="16"/>
                <w:lang w:val="en-US"/>
              </w:rPr>
            </w:pPr>
            <w:r w:rsidRPr="00F01347">
              <w:rPr>
                <w:rFonts w:ascii="Verdana" w:hAnsi="Verdana"/>
                <w:sz w:val="16"/>
                <w:szCs w:val="16"/>
                <w:lang w:val="en-US"/>
              </w:rPr>
              <w:t>The qualitative identification of each compound determined by this method is based on the comparison of retention time. Compounds are identified as present when the retention time of the detected compound is ±5% of the reference standard time. If there is doubt in the identification due to interferences in the sample, add the analytes of interest to the sample to evaluate if the concentration and recovery of the addition are maintained.</w:t>
            </w:r>
          </w:p>
        </w:tc>
      </w:tr>
      <w:tr w:rsidR="00DA341B" w:rsidRPr="00F01347" w14:paraId="41E3249E" w14:textId="3F50534C" w:rsidTr="00153C15">
        <w:tc>
          <w:tcPr>
            <w:tcW w:w="4675" w:type="dxa"/>
          </w:tcPr>
          <w:p w14:paraId="19FAB449" w14:textId="77777777" w:rsidR="00DA341B" w:rsidRPr="00F01347" w:rsidRDefault="00DA341B" w:rsidP="00DA341B">
            <w:pPr>
              <w:pStyle w:val="texto0"/>
              <w:spacing w:line="232" w:lineRule="exact"/>
              <w:ind w:firstLine="0"/>
              <w:rPr>
                <w:rFonts w:ascii="Verdana" w:hAnsi="Verdana"/>
                <w:b/>
                <w:sz w:val="16"/>
                <w:szCs w:val="16"/>
              </w:rPr>
            </w:pPr>
            <w:r w:rsidRPr="00F01347">
              <w:rPr>
                <w:rFonts w:ascii="Verdana" w:hAnsi="Verdana"/>
                <w:b/>
                <w:sz w:val="16"/>
                <w:szCs w:val="16"/>
              </w:rPr>
              <w:t>B.6.7.3 Análisis de datos y cálculos</w:t>
            </w:r>
          </w:p>
        </w:tc>
        <w:tc>
          <w:tcPr>
            <w:tcW w:w="4675" w:type="dxa"/>
          </w:tcPr>
          <w:p w14:paraId="07985E75" w14:textId="34F38D2B" w:rsidR="00DA341B" w:rsidRPr="00F01347" w:rsidRDefault="00DA341B" w:rsidP="00DA341B">
            <w:pPr>
              <w:pStyle w:val="texto0"/>
              <w:spacing w:line="232" w:lineRule="exact"/>
              <w:ind w:firstLine="0"/>
              <w:rPr>
                <w:rFonts w:ascii="Verdana" w:hAnsi="Verdana"/>
                <w:b/>
                <w:sz w:val="16"/>
                <w:szCs w:val="16"/>
                <w:lang w:val="en-US"/>
              </w:rPr>
            </w:pPr>
            <w:r w:rsidRPr="00F01347">
              <w:rPr>
                <w:rFonts w:ascii="Verdana" w:hAnsi="Verdana"/>
                <w:b/>
                <w:sz w:val="16"/>
                <w:szCs w:val="16"/>
                <w:lang w:val="en-US"/>
              </w:rPr>
              <w:t>B.6.7.3 Data analysis and calculations</w:t>
            </w:r>
          </w:p>
        </w:tc>
      </w:tr>
      <w:tr w:rsidR="00DA341B" w:rsidRPr="00F01347" w14:paraId="2D501953" w14:textId="3190F9B3" w:rsidTr="00153C15">
        <w:tc>
          <w:tcPr>
            <w:tcW w:w="4675" w:type="dxa"/>
          </w:tcPr>
          <w:p w14:paraId="4200A1E8" w14:textId="77777777" w:rsidR="00DA341B" w:rsidRPr="00F01347" w:rsidRDefault="00DA341B" w:rsidP="00DA341B">
            <w:pPr>
              <w:pStyle w:val="texto0"/>
              <w:spacing w:line="232" w:lineRule="exact"/>
              <w:ind w:firstLine="0"/>
              <w:rPr>
                <w:rFonts w:ascii="Verdana" w:hAnsi="Verdana"/>
                <w:sz w:val="16"/>
                <w:szCs w:val="16"/>
              </w:rPr>
            </w:pPr>
            <w:r w:rsidRPr="00F01347">
              <w:rPr>
                <w:rFonts w:ascii="Verdana" w:hAnsi="Verdana"/>
                <w:sz w:val="16"/>
                <w:szCs w:val="16"/>
              </w:rPr>
              <w:t>Una vez que se han identificado los compuestos por su tiempo de retención, efectuar la cuantificación integrando cada pico para obtener el área correspondiente. El software del instrumento genera un reporte de cuantificación (raw data) con respecto a la curva de calibración, dicho reporte contiene las áreas, los tiempos de retención y la concentración obtenida. Calcular la concentración final del compuesto detectado con la siguiente ecuación:</w:t>
            </w:r>
          </w:p>
        </w:tc>
        <w:tc>
          <w:tcPr>
            <w:tcW w:w="4675" w:type="dxa"/>
          </w:tcPr>
          <w:p w14:paraId="21C827F0" w14:textId="7E7B8BF3" w:rsidR="00DA341B" w:rsidRPr="00F01347" w:rsidRDefault="00DA341B" w:rsidP="00DA341B">
            <w:pPr>
              <w:pStyle w:val="texto0"/>
              <w:spacing w:line="232" w:lineRule="exact"/>
              <w:ind w:firstLine="0"/>
              <w:rPr>
                <w:rFonts w:ascii="Verdana" w:hAnsi="Verdana"/>
                <w:sz w:val="16"/>
                <w:szCs w:val="16"/>
                <w:lang w:val="en-US"/>
              </w:rPr>
            </w:pPr>
            <w:r w:rsidRPr="00F01347">
              <w:rPr>
                <w:rFonts w:ascii="Verdana" w:hAnsi="Verdana"/>
                <w:sz w:val="16"/>
                <w:szCs w:val="16"/>
                <w:lang w:val="en-US"/>
              </w:rPr>
              <w:t>Once the compounds have been identified by their retention time, carry out the quantification by integrating each peak to obtain the corresponding area. The instrument software generates a quantification report (raw data) with respect to the calibration curve, this report contains the areas, retention times and the concentration obtained. Calculate the final concentration of the detected compound with the following equation:</w:t>
            </w:r>
          </w:p>
        </w:tc>
      </w:tr>
    </w:tbl>
    <w:p w14:paraId="5D39FE96" w14:textId="6CA2BF6B" w:rsidR="00A74CDF" w:rsidRPr="00F01347" w:rsidRDefault="00471638" w:rsidP="005C689A">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3EF6D5CF" wp14:editId="7C47E17F">
            <wp:extent cx="2209800" cy="314325"/>
            <wp:effectExtent l="0" t="0" r="0" b="0"/>
            <wp:docPr id="45"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09800" cy="314325"/>
                    </a:xfrm>
                    <a:prstGeom prst="rect">
                      <a:avLst/>
                    </a:prstGeom>
                    <a:noFill/>
                    <a:ln>
                      <a:noFill/>
                    </a:ln>
                  </pic:spPr>
                </pic:pic>
              </a:graphicData>
            </a:graphic>
          </wp:inline>
        </w:drawing>
      </w:r>
    </w:p>
    <w:p w14:paraId="0C1C4D81" w14:textId="78395FB0" w:rsidR="00C85E52" w:rsidRPr="00F01347" w:rsidRDefault="00C85E52" w:rsidP="005C689A">
      <w:pPr>
        <w:pStyle w:val="texto0"/>
        <w:spacing w:line="240" w:lineRule="auto"/>
        <w:ind w:left="630" w:firstLine="0"/>
        <w:jc w:val="center"/>
        <w:rPr>
          <w:rFonts w:ascii="Verdana" w:hAnsi="Verdana"/>
          <w:sz w:val="16"/>
          <w:szCs w:val="16"/>
        </w:rPr>
      </w:pPr>
      <w:r w:rsidRPr="00F01347">
        <w:rPr>
          <w:noProof/>
        </w:rPr>
        <w:drawing>
          <wp:inline distT="0" distB="0" distL="0" distR="0" wp14:anchorId="4C18EBAE" wp14:editId="0D354D98">
            <wp:extent cx="2541871" cy="463296"/>
            <wp:effectExtent l="0" t="0" r="0" b="0"/>
            <wp:docPr id="7234762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476252" name="Picture 1" descr="A screenshot of a computer&#10;&#10;Description automatically generated"/>
                    <pic:cNvPicPr/>
                  </pic:nvPicPr>
                  <pic:blipFill rotWithShape="1">
                    <a:blip r:embed="rId68"/>
                    <a:srcRect l="22974" t="36285" r="56202" b="56968"/>
                    <a:stretch/>
                  </pic:blipFill>
                  <pic:spPr bwMode="auto">
                    <a:xfrm>
                      <a:off x="0" y="0"/>
                      <a:ext cx="2581165" cy="47045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261A8" w:rsidRPr="00F01347" w14:paraId="249B0E5D" w14:textId="095860AB" w:rsidTr="00C85E52">
        <w:tc>
          <w:tcPr>
            <w:tcW w:w="4675" w:type="dxa"/>
          </w:tcPr>
          <w:p w14:paraId="0053A985" w14:textId="77777777" w:rsidR="004261A8" w:rsidRPr="00F01347" w:rsidRDefault="004261A8" w:rsidP="004261A8">
            <w:pPr>
              <w:pStyle w:val="texto0"/>
              <w:ind w:firstLine="0"/>
              <w:rPr>
                <w:rFonts w:ascii="Verdana" w:hAnsi="Verdana"/>
                <w:b/>
                <w:bCs/>
                <w:sz w:val="16"/>
                <w:szCs w:val="16"/>
              </w:rPr>
            </w:pPr>
            <w:r w:rsidRPr="00F01347">
              <w:rPr>
                <w:rFonts w:ascii="Verdana" w:hAnsi="Verdana"/>
                <w:b/>
                <w:bCs/>
                <w:sz w:val="16"/>
                <w:szCs w:val="16"/>
              </w:rPr>
              <w:lastRenderedPageBreak/>
              <w:t>En donde:</w:t>
            </w:r>
          </w:p>
        </w:tc>
        <w:tc>
          <w:tcPr>
            <w:tcW w:w="4675" w:type="dxa"/>
          </w:tcPr>
          <w:p w14:paraId="1E813BC4" w14:textId="0721F01C" w:rsidR="004261A8" w:rsidRPr="00F01347" w:rsidRDefault="004261A8" w:rsidP="004261A8">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4261A8" w:rsidRPr="00F01347" w14:paraId="11CD969B" w14:textId="799BEBB0" w:rsidTr="00C85E52">
        <w:tc>
          <w:tcPr>
            <w:tcW w:w="4675" w:type="dxa"/>
          </w:tcPr>
          <w:p w14:paraId="6B82BE5B" w14:textId="77777777" w:rsidR="004261A8" w:rsidRPr="00F01347" w:rsidRDefault="004261A8" w:rsidP="004261A8">
            <w:pPr>
              <w:pStyle w:val="texto0"/>
              <w:ind w:firstLine="0"/>
              <w:rPr>
                <w:rFonts w:ascii="Verdana" w:hAnsi="Verdana"/>
                <w:sz w:val="16"/>
                <w:szCs w:val="16"/>
              </w:rPr>
            </w:pPr>
            <w:r w:rsidRPr="00F01347">
              <w:rPr>
                <w:rFonts w:ascii="Verdana" w:hAnsi="Verdana"/>
                <w:sz w:val="16"/>
                <w:szCs w:val="16"/>
              </w:rPr>
              <w:t>D</w:t>
            </w:r>
            <w:r w:rsidRPr="00F01347">
              <w:rPr>
                <w:rFonts w:ascii="Verdana" w:hAnsi="Verdana"/>
                <w:sz w:val="16"/>
                <w:szCs w:val="16"/>
              </w:rPr>
              <w:tab/>
              <w:t>dilución del extracto, volumen aforo (µ</w:t>
            </w:r>
            <w:proofErr w:type="gramStart"/>
            <w:r w:rsidRPr="00F01347">
              <w:rPr>
                <w:rFonts w:ascii="Verdana" w:hAnsi="Verdana"/>
                <w:sz w:val="16"/>
                <w:szCs w:val="16"/>
              </w:rPr>
              <w:t>L)/</w:t>
            </w:r>
            <w:proofErr w:type="gramEnd"/>
            <w:r w:rsidRPr="00F01347">
              <w:rPr>
                <w:rFonts w:ascii="Verdana" w:hAnsi="Verdana"/>
                <w:sz w:val="16"/>
                <w:szCs w:val="16"/>
              </w:rPr>
              <w:t>volumen tomado de la muestra (µL)</w:t>
            </w:r>
          </w:p>
        </w:tc>
        <w:tc>
          <w:tcPr>
            <w:tcW w:w="4675" w:type="dxa"/>
          </w:tcPr>
          <w:p w14:paraId="6DADB0D3" w14:textId="776D2632" w:rsidR="004261A8" w:rsidRPr="00F01347" w:rsidRDefault="004261A8" w:rsidP="004261A8">
            <w:pPr>
              <w:pStyle w:val="texto0"/>
              <w:ind w:firstLine="0"/>
              <w:rPr>
                <w:rFonts w:ascii="Verdana" w:hAnsi="Verdana"/>
                <w:sz w:val="16"/>
                <w:szCs w:val="16"/>
                <w:lang w:val="en-US"/>
              </w:rPr>
            </w:pPr>
            <w:r w:rsidRPr="00F01347">
              <w:rPr>
                <w:rFonts w:ascii="Verdana" w:hAnsi="Verdana"/>
                <w:sz w:val="16"/>
                <w:szCs w:val="16"/>
                <w:lang w:val="en-US"/>
              </w:rPr>
              <w:t xml:space="preserve">D </w:t>
            </w:r>
            <w:r w:rsidRPr="00F01347">
              <w:rPr>
                <w:rFonts w:ascii="Verdana" w:hAnsi="Verdana"/>
                <w:sz w:val="16"/>
                <w:szCs w:val="16"/>
                <w:lang w:val="en-US"/>
              </w:rPr>
              <w:tab/>
              <w:t>dilution of the extract, volume (µ L)/ volume taken from the sample (µL)</w:t>
            </w:r>
          </w:p>
        </w:tc>
      </w:tr>
      <w:tr w:rsidR="004261A8" w:rsidRPr="00F01347" w14:paraId="7BCAAA71" w14:textId="7CA52071" w:rsidTr="00C85E52">
        <w:tc>
          <w:tcPr>
            <w:tcW w:w="4675" w:type="dxa"/>
          </w:tcPr>
          <w:p w14:paraId="1717815E" w14:textId="77777777" w:rsidR="004261A8" w:rsidRPr="00F01347" w:rsidRDefault="004261A8" w:rsidP="004261A8">
            <w:pPr>
              <w:pStyle w:val="texto0"/>
              <w:spacing w:line="222" w:lineRule="exact"/>
              <w:ind w:firstLine="0"/>
              <w:rPr>
                <w:rFonts w:ascii="Verdana" w:hAnsi="Verdana"/>
                <w:b/>
                <w:sz w:val="16"/>
                <w:szCs w:val="16"/>
              </w:rPr>
            </w:pPr>
            <w:r w:rsidRPr="00F01347">
              <w:rPr>
                <w:rFonts w:ascii="Verdana" w:hAnsi="Verdana"/>
                <w:b/>
                <w:sz w:val="16"/>
                <w:szCs w:val="16"/>
              </w:rPr>
              <w:t>B.6.7.4 Informe de prueba.</w:t>
            </w:r>
          </w:p>
        </w:tc>
        <w:tc>
          <w:tcPr>
            <w:tcW w:w="4675" w:type="dxa"/>
          </w:tcPr>
          <w:p w14:paraId="65DA9180" w14:textId="2CBFEB94" w:rsidR="004261A8" w:rsidRPr="00F01347" w:rsidRDefault="004261A8" w:rsidP="004261A8">
            <w:pPr>
              <w:pStyle w:val="texto0"/>
              <w:spacing w:line="222" w:lineRule="exact"/>
              <w:ind w:firstLine="0"/>
              <w:rPr>
                <w:rFonts w:ascii="Verdana" w:hAnsi="Verdana"/>
                <w:b/>
                <w:sz w:val="16"/>
                <w:szCs w:val="16"/>
                <w:lang w:val="en-US"/>
              </w:rPr>
            </w:pPr>
            <w:r w:rsidRPr="00F01347">
              <w:rPr>
                <w:rFonts w:ascii="Verdana" w:hAnsi="Verdana"/>
                <w:b/>
                <w:sz w:val="16"/>
                <w:szCs w:val="16"/>
                <w:lang w:val="en-US"/>
              </w:rPr>
              <w:t>B.6.7.4 Test report.</w:t>
            </w:r>
          </w:p>
        </w:tc>
      </w:tr>
      <w:tr w:rsidR="004261A8" w:rsidRPr="00F01347" w14:paraId="0E5C9900" w14:textId="03279FD9" w:rsidTr="00C85E52">
        <w:tc>
          <w:tcPr>
            <w:tcW w:w="4675" w:type="dxa"/>
          </w:tcPr>
          <w:p w14:paraId="28F9B334" w14:textId="77777777" w:rsidR="004261A8" w:rsidRPr="00F01347" w:rsidRDefault="004261A8" w:rsidP="004261A8">
            <w:pPr>
              <w:pStyle w:val="texto0"/>
              <w:spacing w:line="222" w:lineRule="exact"/>
              <w:ind w:firstLine="0"/>
              <w:rPr>
                <w:rFonts w:ascii="Verdana" w:hAnsi="Verdana"/>
                <w:sz w:val="16"/>
                <w:szCs w:val="16"/>
              </w:rPr>
            </w:pPr>
            <w:r w:rsidRPr="00F01347">
              <w:rPr>
                <w:rFonts w:ascii="Verdana" w:hAnsi="Verdana"/>
                <w:sz w:val="16"/>
                <w:szCs w:val="16"/>
              </w:rPr>
              <w:t>Reportar el resultado como mg/L de bromato, mg/L de clorato o mg/L de clorito</w:t>
            </w:r>
          </w:p>
        </w:tc>
        <w:tc>
          <w:tcPr>
            <w:tcW w:w="4675" w:type="dxa"/>
          </w:tcPr>
          <w:p w14:paraId="222BF70A" w14:textId="59BD6ACD" w:rsidR="004261A8" w:rsidRPr="00F01347" w:rsidRDefault="004261A8" w:rsidP="004261A8">
            <w:pPr>
              <w:pStyle w:val="texto0"/>
              <w:spacing w:line="222" w:lineRule="exact"/>
              <w:ind w:firstLine="0"/>
              <w:rPr>
                <w:rFonts w:ascii="Verdana" w:hAnsi="Verdana"/>
                <w:sz w:val="16"/>
                <w:szCs w:val="16"/>
                <w:lang w:val="en-US"/>
              </w:rPr>
            </w:pPr>
            <w:r w:rsidRPr="00F01347">
              <w:rPr>
                <w:rFonts w:ascii="Verdana" w:hAnsi="Verdana"/>
                <w:sz w:val="16"/>
                <w:szCs w:val="16"/>
                <w:lang w:val="en-US"/>
              </w:rPr>
              <w:t>Report the result as mg/L bromate, mg/L chlorate or mg/L chlorite</w:t>
            </w:r>
          </w:p>
        </w:tc>
      </w:tr>
      <w:tr w:rsidR="004261A8" w:rsidRPr="00F01347" w14:paraId="1E220909" w14:textId="7AF078E1" w:rsidTr="00C85E52">
        <w:tc>
          <w:tcPr>
            <w:tcW w:w="4675" w:type="dxa"/>
          </w:tcPr>
          <w:p w14:paraId="116656F1" w14:textId="77777777" w:rsidR="004261A8" w:rsidRPr="00F01347" w:rsidRDefault="004261A8" w:rsidP="004261A8">
            <w:pPr>
              <w:pStyle w:val="texto0"/>
              <w:spacing w:line="222" w:lineRule="exact"/>
              <w:ind w:firstLine="0"/>
              <w:rPr>
                <w:rFonts w:ascii="Verdana" w:hAnsi="Verdana"/>
                <w:b/>
                <w:sz w:val="16"/>
                <w:szCs w:val="16"/>
              </w:rPr>
            </w:pPr>
            <w:r w:rsidRPr="00F01347">
              <w:rPr>
                <w:rFonts w:ascii="Verdana" w:hAnsi="Verdana"/>
                <w:b/>
                <w:sz w:val="16"/>
                <w:szCs w:val="16"/>
              </w:rPr>
              <w:t>B.6.8 Control de calidad, calibración e interferencias</w:t>
            </w:r>
          </w:p>
        </w:tc>
        <w:tc>
          <w:tcPr>
            <w:tcW w:w="4675" w:type="dxa"/>
          </w:tcPr>
          <w:p w14:paraId="765A4B97" w14:textId="1FF3094C" w:rsidR="004261A8" w:rsidRPr="00F01347" w:rsidRDefault="004261A8" w:rsidP="004261A8">
            <w:pPr>
              <w:pStyle w:val="texto0"/>
              <w:spacing w:line="222" w:lineRule="exact"/>
              <w:ind w:firstLine="0"/>
              <w:rPr>
                <w:rFonts w:ascii="Verdana" w:hAnsi="Verdana"/>
                <w:b/>
                <w:sz w:val="16"/>
                <w:szCs w:val="16"/>
                <w:lang w:val="en-US"/>
              </w:rPr>
            </w:pPr>
            <w:r w:rsidRPr="00F01347">
              <w:rPr>
                <w:rFonts w:ascii="Verdana" w:hAnsi="Verdana"/>
                <w:b/>
                <w:sz w:val="16"/>
                <w:szCs w:val="16"/>
                <w:lang w:val="en-US"/>
              </w:rPr>
              <w:t xml:space="preserve">B.6.8 Quality control, </w:t>
            </w:r>
            <w:r w:rsidR="009A56C7" w:rsidRPr="00F01347">
              <w:rPr>
                <w:rFonts w:ascii="Verdana" w:hAnsi="Verdana"/>
                <w:b/>
                <w:sz w:val="16"/>
                <w:szCs w:val="16"/>
                <w:lang w:val="en-US"/>
              </w:rPr>
              <w:t>calibration,</w:t>
            </w:r>
            <w:r w:rsidRPr="00F01347">
              <w:rPr>
                <w:rFonts w:ascii="Verdana" w:hAnsi="Verdana"/>
                <w:b/>
                <w:sz w:val="16"/>
                <w:szCs w:val="16"/>
                <w:lang w:val="en-US"/>
              </w:rPr>
              <w:t xml:space="preserve"> and interferences</w:t>
            </w:r>
          </w:p>
        </w:tc>
      </w:tr>
      <w:tr w:rsidR="004261A8" w:rsidRPr="00F01347" w14:paraId="06E26D1F" w14:textId="13073150" w:rsidTr="00C85E52">
        <w:tc>
          <w:tcPr>
            <w:tcW w:w="4675" w:type="dxa"/>
          </w:tcPr>
          <w:p w14:paraId="1AC15B90" w14:textId="77777777" w:rsidR="004261A8" w:rsidRPr="00F01347" w:rsidRDefault="004261A8" w:rsidP="004261A8">
            <w:pPr>
              <w:pStyle w:val="texto0"/>
              <w:spacing w:line="222" w:lineRule="exact"/>
              <w:ind w:firstLine="0"/>
              <w:rPr>
                <w:rFonts w:ascii="Verdana" w:hAnsi="Verdana"/>
                <w:sz w:val="16"/>
                <w:szCs w:val="16"/>
              </w:rPr>
            </w:pPr>
            <w:r w:rsidRPr="00F01347">
              <w:rPr>
                <w:rFonts w:ascii="Verdana" w:hAnsi="Verdana"/>
                <w:b/>
                <w:sz w:val="16"/>
                <w:szCs w:val="16"/>
              </w:rPr>
              <w:t>B.6.8.1 Control de calidad.</w:t>
            </w:r>
          </w:p>
        </w:tc>
        <w:tc>
          <w:tcPr>
            <w:tcW w:w="4675" w:type="dxa"/>
          </w:tcPr>
          <w:p w14:paraId="15FB839C" w14:textId="5456B573" w:rsidR="004261A8" w:rsidRPr="00F01347" w:rsidRDefault="004261A8" w:rsidP="004261A8">
            <w:pPr>
              <w:pStyle w:val="texto0"/>
              <w:spacing w:line="222" w:lineRule="exact"/>
              <w:ind w:firstLine="0"/>
              <w:rPr>
                <w:rFonts w:ascii="Verdana" w:hAnsi="Verdana"/>
                <w:b/>
                <w:sz w:val="16"/>
                <w:szCs w:val="16"/>
                <w:lang w:val="en-US"/>
              </w:rPr>
            </w:pPr>
            <w:r w:rsidRPr="00F01347">
              <w:rPr>
                <w:rFonts w:ascii="Verdana" w:hAnsi="Verdana"/>
                <w:b/>
                <w:sz w:val="16"/>
                <w:szCs w:val="16"/>
                <w:lang w:val="en-US"/>
              </w:rPr>
              <w:t>B.6.8.1 Quality control.</w:t>
            </w:r>
          </w:p>
        </w:tc>
      </w:tr>
      <w:tr w:rsidR="004261A8" w:rsidRPr="00F01347" w14:paraId="684B16E4" w14:textId="3A0DDFDF" w:rsidTr="00C85E52">
        <w:tc>
          <w:tcPr>
            <w:tcW w:w="4675" w:type="dxa"/>
          </w:tcPr>
          <w:p w14:paraId="3780EE84" w14:textId="77777777" w:rsidR="004261A8" w:rsidRPr="00F01347" w:rsidRDefault="004261A8" w:rsidP="004261A8">
            <w:pPr>
              <w:pStyle w:val="texto0"/>
              <w:spacing w:line="222" w:lineRule="exact"/>
              <w:ind w:firstLine="0"/>
              <w:rPr>
                <w:rFonts w:ascii="Verdana" w:hAnsi="Verdana"/>
                <w:sz w:val="16"/>
                <w:szCs w:val="16"/>
              </w:rPr>
            </w:pPr>
            <w:r w:rsidRPr="00F01347">
              <w:rPr>
                <w:rFonts w:ascii="Verdana" w:hAnsi="Verdana"/>
                <w:b/>
                <w:sz w:val="16"/>
                <w:szCs w:val="16"/>
              </w:rPr>
              <w:t>B.6.8.1.1</w:t>
            </w:r>
            <w:r w:rsidRPr="00F01347">
              <w:rPr>
                <w:rFonts w:ascii="Verdana" w:hAnsi="Verdana"/>
                <w:sz w:val="16"/>
                <w:szCs w:val="16"/>
              </w:rPr>
              <w:t xml:space="preserve"> Verificación del equipo. Verificar que el equipo opere adecuadamente de acuerdo con el instructivo de operación correspondiente. Verificar las condiciones del detector: intervalo: 1 µs; temperatura de celda 35°C; temperatura de columna: 45°C; polaridad: positiva; control: local.</w:t>
            </w:r>
          </w:p>
        </w:tc>
        <w:tc>
          <w:tcPr>
            <w:tcW w:w="4675" w:type="dxa"/>
          </w:tcPr>
          <w:p w14:paraId="415236FE" w14:textId="1D7BDFFC" w:rsidR="004261A8" w:rsidRPr="00F01347" w:rsidRDefault="004261A8" w:rsidP="004261A8">
            <w:pPr>
              <w:pStyle w:val="texto0"/>
              <w:spacing w:line="222" w:lineRule="exact"/>
              <w:ind w:firstLine="0"/>
              <w:rPr>
                <w:rFonts w:ascii="Verdana" w:hAnsi="Verdana"/>
                <w:b/>
                <w:sz w:val="16"/>
                <w:szCs w:val="16"/>
                <w:lang w:val="en-US"/>
              </w:rPr>
            </w:pPr>
            <w:r w:rsidRPr="00F01347">
              <w:rPr>
                <w:rFonts w:ascii="Verdana" w:hAnsi="Verdana"/>
                <w:b/>
                <w:sz w:val="16"/>
                <w:szCs w:val="16"/>
                <w:lang w:val="en-US"/>
              </w:rPr>
              <w:t xml:space="preserve">B.6.8.1.1 </w:t>
            </w:r>
            <w:r w:rsidRPr="00F01347">
              <w:rPr>
                <w:rFonts w:ascii="Verdana" w:hAnsi="Verdana"/>
                <w:sz w:val="16"/>
                <w:szCs w:val="16"/>
                <w:lang w:val="en-US"/>
              </w:rPr>
              <w:t>Equipment verification. Verify that the equipment operates properly in accordance with the corresponding operating instructions. Check detector conditions: interval: 1 µs; cell temperature 35°C; column temperature: 45°C; polarity: positive; control: local.</w:t>
            </w:r>
          </w:p>
        </w:tc>
      </w:tr>
      <w:tr w:rsidR="004261A8" w:rsidRPr="00F01347" w14:paraId="35832393" w14:textId="6F86753C" w:rsidTr="00C85E52">
        <w:tc>
          <w:tcPr>
            <w:tcW w:w="4675" w:type="dxa"/>
          </w:tcPr>
          <w:p w14:paraId="23BA19F9" w14:textId="77777777" w:rsidR="004261A8" w:rsidRPr="00F01347" w:rsidRDefault="004261A8" w:rsidP="004261A8">
            <w:pPr>
              <w:pStyle w:val="texto0"/>
              <w:spacing w:line="222" w:lineRule="exact"/>
              <w:ind w:firstLine="0"/>
              <w:rPr>
                <w:rFonts w:ascii="Verdana" w:hAnsi="Verdana"/>
                <w:sz w:val="16"/>
                <w:szCs w:val="16"/>
              </w:rPr>
            </w:pPr>
            <w:r w:rsidRPr="00F01347">
              <w:rPr>
                <w:rFonts w:ascii="Verdana" w:hAnsi="Verdana"/>
                <w:b/>
                <w:sz w:val="16"/>
                <w:szCs w:val="16"/>
              </w:rPr>
              <w:t>B.6.8.1.2</w:t>
            </w:r>
            <w:r w:rsidRPr="00F01347">
              <w:rPr>
                <w:rFonts w:ascii="Verdana" w:hAnsi="Verdana"/>
                <w:sz w:val="16"/>
                <w:szCs w:val="16"/>
              </w:rPr>
              <w:t xml:space="preserve"> Verificación de la calibración inicial. Analizar un punto medio de la curva y verificar que los valores obtenidos de la concentración para cada compuesto tengan ±25% de variación con respecto a los obtenidos en la curva de calibración inicial, de no ser así, debe preparar y analizar una nueva curva de calibración.</w:t>
            </w:r>
          </w:p>
        </w:tc>
        <w:tc>
          <w:tcPr>
            <w:tcW w:w="4675" w:type="dxa"/>
          </w:tcPr>
          <w:p w14:paraId="144C63A7" w14:textId="344C8CE8" w:rsidR="004261A8" w:rsidRPr="00F01347" w:rsidRDefault="004261A8" w:rsidP="004261A8">
            <w:pPr>
              <w:pStyle w:val="texto0"/>
              <w:spacing w:line="222" w:lineRule="exact"/>
              <w:ind w:firstLine="0"/>
              <w:rPr>
                <w:rFonts w:ascii="Verdana" w:hAnsi="Verdana"/>
                <w:b/>
                <w:sz w:val="16"/>
                <w:szCs w:val="16"/>
                <w:lang w:val="en-US"/>
              </w:rPr>
            </w:pPr>
            <w:r w:rsidRPr="00F01347">
              <w:rPr>
                <w:rFonts w:ascii="Verdana" w:hAnsi="Verdana"/>
                <w:b/>
                <w:sz w:val="16"/>
                <w:szCs w:val="16"/>
                <w:lang w:val="en-US"/>
              </w:rPr>
              <w:t xml:space="preserve">B.6.8.1.2 </w:t>
            </w:r>
            <w:r w:rsidRPr="00F01347">
              <w:rPr>
                <w:rFonts w:ascii="Verdana" w:hAnsi="Verdana"/>
                <w:sz w:val="16"/>
                <w:szCs w:val="16"/>
                <w:lang w:val="en-US"/>
              </w:rPr>
              <w:t>Verification of initial calibration. Analyze a midpoint of the curve and verify that the concentration values obtained for each compound have ±25% variation with respect to those obtained in the initial calibration curve. If not, a new calibration curve must be prepared and analyzed. calibration.</w:t>
            </w:r>
          </w:p>
        </w:tc>
      </w:tr>
      <w:tr w:rsidR="004261A8" w:rsidRPr="00F01347" w14:paraId="138B5001" w14:textId="54A2305F" w:rsidTr="00C85E52">
        <w:tc>
          <w:tcPr>
            <w:tcW w:w="4675" w:type="dxa"/>
          </w:tcPr>
          <w:p w14:paraId="02F88823" w14:textId="77777777" w:rsidR="004261A8" w:rsidRPr="00F01347" w:rsidRDefault="004261A8" w:rsidP="004261A8">
            <w:pPr>
              <w:pStyle w:val="texto0"/>
              <w:spacing w:line="222" w:lineRule="exact"/>
              <w:ind w:firstLine="0"/>
              <w:rPr>
                <w:rFonts w:ascii="Verdana" w:hAnsi="Verdana"/>
                <w:sz w:val="16"/>
                <w:szCs w:val="16"/>
              </w:rPr>
            </w:pPr>
            <w:r w:rsidRPr="00F01347">
              <w:rPr>
                <w:rFonts w:ascii="Verdana" w:hAnsi="Verdana"/>
                <w:b/>
                <w:sz w:val="16"/>
                <w:szCs w:val="16"/>
              </w:rPr>
              <w:t>B.6.8.1.3</w:t>
            </w:r>
            <w:r w:rsidRPr="00F01347">
              <w:rPr>
                <w:rFonts w:ascii="Verdana" w:hAnsi="Verdana"/>
                <w:sz w:val="16"/>
                <w:szCs w:val="16"/>
              </w:rPr>
              <w:t xml:space="preserve"> Verificación de contaminación de reactivos. El blanco electrónico no debe presentar ningún tipo de contaminante que interfiera con los analitos medidos, por lo que es importante que los reactivos utilizados cumplan con las especificaciones mencionadas.</w:t>
            </w:r>
          </w:p>
        </w:tc>
        <w:tc>
          <w:tcPr>
            <w:tcW w:w="4675" w:type="dxa"/>
          </w:tcPr>
          <w:p w14:paraId="6D268C6B" w14:textId="77C66942" w:rsidR="004261A8" w:rsidRPr="00F01347" w:rsidRDefault="004261A8" w:rsidP="004261A8">
            <w:pPr>
              <w:pStyle w:val="texto0"/>
              <w:spacing w:line="222" w:lineRule="exact"/>
              <w:ind w:firstLine="0"/>
              <w:rPr>
                <w:rFonts w:ascii="Verdana" w:hAnsi="Verdana"/>
                <w:b/>
                <w:sz w:val="16"/>
                <w:szCs w:val="16"/>
                <w:lang w:val="en-US"/>
              </w:rPr>
            </w:pPr>
            <w:r w:rsidRPr="00F01347">
              <w:rPr>
                <w:rFonts w:ascii="Verdana" w:hAnsi="Verdana"/>
                <w:b/>
                <w:sz w:val="16"/>
                <w:szCs w:val="16"/>
                <w:lang w:val="en-US"/>
              </w:rPr>
              <w:t xml:space="preserve">B.6.8.1.3 </w:t>
            </w:r>
            <w:r w:rsidRPr="00F01347">
              <w:rPr>
                <w:rFonts w:ascii="Verdana" w:hAnsi="Verdana"/>
                <w:sz w:val="16"/>
                <w:szCs w:val="16"/>
                <w:lang w:val="en-US"/>
              </w:rPr>
              <w:t xml:space="preserve">Reagent contamination verification. The electronic blank must not present any type of contaminant that interferes with the analytes measured, so it is important that the reagents used meet the </w:t>
            </w:r>
            <w:proofErr w:type="gramStart"/>
            <w:r w:rsidRPr="00F01347">
              <w:rPr>
                <w:rFonts w:ascii="Verdana" w:hAnsi="Verdana"/>
                <w:sz w:val="16"/>
                <w:szCs w:val="16"/>
                <w:lang w:val="en-US"/>
              </w:rPr>
              <w:t>aforementioned specifications</w:t>
            </w:r>
            <w:proofErr w:type="gramEnd"/>
            <w:r w:rsidRPr="00F01347">
              <w:rPr>
                <w:rFonts w:ascii="Verdana" w:hAnsi="Verdana"/>
                <w:sz w:val="16"/>
                <w:szCs w:val="16"/>
                <w:lang w:val="en-US"/>
              </w:rPr>
              <w:t>.</w:t>
            </w:r>
          </w:p>
        </w:tc>
      </w:tr>
      <w:tr w:rsidR="004261A8" w:rsidRPr="00F01347" w14:paraId="39FB6038" w14:textId="103A6BBB" w:rsidTr="00C85E52">
        <w:tc>
          <w:tcPr>
            <w:tcW w:w="4675" w:type="dxa"/>
          </w:tcPr>
          <w:p w14:paraId="6288ED10"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sz w:val="16"/>
                <w:szCs w:val="16"/>
              </w:rPr>
              <w:t>Los resultados de los blancos de reactivos deben ser menores al límite de detección del método y no presentar compuestos que pudieran interferir con la identificación y/o cuantificación de los analitos medidos.</w:t>
            </w:r>
          </w:p>
        </w:tc>
        <w:tc>
          <w:tcPr>
            <w:tcW w:w="4675" w:type="dxa"/>
          </w:tcPr>
          <w:p w14:paraId="2C43A2D3" w14:textId="11C10609" w:rsidR="004261A8" w:rsidRPr="00F01347" w:rsidRDefault="004261A8" w:rsidP="004261A8">
            <w:pPr>
              <w:pStyle w:val="texto0"/>
              <w:spacing w:line="247" w:lineRule="exact"/>
              <w:ind w:firstLine="0"/>
              <w:rPr>
                <w:rFonts w:ascii="Verdana" w:hAnsi="Verdana"/>
                <w:sz w:val="16"/>
                <w:szCs w:val="16"/>
                <w:lang w:val="en-US"/>
              </w:rPr>
            </w:pPr>
            <w:r w:rsidRPr="00F01347">
              <w:rPr>
                <w:rFonts w:ascii="Verdana" w:hAnsi="Verdana"/>
                <w:sz w:val="16"/>
                <w:szCs w:val="16"/>
                <w:lang w:val="en-US"/>
              </w:rPr>
              <w:t>The results of the reagent blanks must be lower than the detection limit of the method and must not present compounds that could interfere with the identification and/or quantification of the measured analytes.</w:t>
            </w:r>
          </w:p>
        </w:tc>
      </w:tr>
      <w:tr w:rsidR="004261A8" w:rsidRPr="00F01347" w14:paraId="560139F3" w14:textId="578BC9D6" w:rsidTr="00C85E52">
        <w:tc>
          <w:tcPr>
            <w:tcW w:w="4675" w:type="dxa"/>
          </w:tcPr>
          <w:p w14:paraId="7BA72346"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sz w:val="16"/>
                <w:szCs w:val="16"/>
              </w:rPr>
              <w:t>Si los resultados de los blancos no cumplen con los criterios mencionados se debe localizar la fuente de contaminación y/o problema instrumental para evaluar si es necesario analizar nuevamente las muestras.</w:t>
            </w:r>
          </w:p>
        </w:tc>
        <w:tc>
          <w:tcPr>
            <w:tcW w:w="4675" w:type="dxa"/>
          </w:tcPr>
          <w:p w14:paraId="28CAEBB6" w14:textId="351140E4" w:rsidR="004261A8" w:rsidRPr="00F01347" w:rsidRDefault="004261A8" w:rsidP="004261A8">
            <w:pPr>
              <w:pStyle w:val="texto0"/>
              <w:spacing w:line="247" w:lineRule="exact"/>
              <w:ind w:firstLine="0"/>
              <w:rPr>
                <w:rFonts w:ascii="Verdana" w:hAnsi="Verdana"/>
                <w:sz w:val="16"/>
                <w:szCs w:val="16"/>
                <w:lang w:val="en-US"/>
              </w:rPr>
            </w:pPr>
            <w:r w:rsidRPr="00F01347">
              <w:rPr>
                <w:rFonts w:ascii="Verdana" w:hAnsi="Verdana"/>
                <w:sz w:val="16"/>
                <w:szCs w:val="16"/>
                <w:lang w:val="en-US"/>
              </w:rPr>
              <w:t xml:space="preserve">If the results of the blanks do not meet the </w:t>
            </w:r>
            <w:proofErr w:type="gramStart"/>
            <w:r w:rsidRPr="00F01347">
              <w:rPr>
                <w:rFonts w:ascii="Verdana" w:hAnsi="Verdana"/>
                <w:sz w:val="16"/>
                <w:szCs w:val="16"/>
                <w:lang w:val="en-US"/>
              </w:rPr>
              <w:t>aforementioned criteria</w:t>
            </w:r>
            <w:proofErr w:type="gramEnd"/>
            <w:r w:rsidRPr="00F01347">
              <w:rPr>
                <w:rFonts w:ascii="Verdana" w:hAnsi="Verdana"/>
                <w:sz w:val="16"/>
                <w:szCs w:val="16"/>
                <w:lang w:val="en-US"/>
              </w:rPr>
              <w:t>, the source of contamination and/or instrumental problem must be located to evaluate whether it is necessary to analyze the samples again.</w:t>
            </w:r>
          </w:p>
        </w:tc>
      </w:tr>
      <w:tr w:rsidR="004261A8" w:rsidRPr="00F01347" w14:paraId="450D980C" w14:textId="1E86F955" w:rsidTr="00C85E52">
        <w:tc>
          <w:tcPr>
            <w:tcW w:w="4675" w:type="dxa"/>
          </w:tcPr>
          <w:p w14:paraId="0819137F"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sz w:val="16"/>
                <w:szCs w:val="16"/>
              </w:rPr>
              <w:t>Utilizar también blancos para verificar la contaminación por arrastre de muestras con altas concentraciones en la secuencia analítica.</w:t>
            </w:r>
          </w:p>
        </w:tc>
        <w:tc>
          <w:tcPr>
            <w:tcW w:w="4675" w:type="dxa"/>
          </w:tcPr>
          <w:p w14:paraId="3B17FC5C" w14:textId="71F33873" w:rsidR="004261A8" w:rsidRPr="00F01347" w:rsidRDefault="004261A8" w:rsidP="004261A8">
            <w:pPr>
              <w:pStyle w:val="texto0"/>
              <w:spacing w:line="247" w:lineRule="exact"/>
              <w:ind w:firstLine="0"/>
              <w:rPr>
                <w:rFonts w:ascii="Verdana" w:hAnsi="Verdana"/>
                <w:sz w:val="16"/>
                <w:szCs w:val="16"/>
                <w:lang w:val="en-US"/>
              </w:rPr>
            </w:pPr>
            <w:r w:rsidRPr="00F01347">
              <w:rPr>
                <w:rFonts w:ascii="Verdana" w:hAnsi="Verdana"/>
                <w:sz w:val="16"/>
                <w:szCs w:val="16"/>
                <w:lang w:val="en-US"/>
              </w:rPr>
              <w:t>Also use blanks to verify contamination by carryover of samples with high concentrations in the analytical sequence.</w:t>
            </w:r>
          </w:p>
        </w:tc>
      </w:tr>
      <w:tr w:rsidR="004261A8" w:rsidRPr="00F01347" w14:paraId="45F1D08F" w14:textId="6B58FCA0" w:rsidTr="00C85E52">
        <w:tc>
          <w:tcPr>
            <w:tcW w:w="4675" w:type="dxa"/>
          </w:tcPr>
          <w:p w14:paraId="358EE4F1"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t>B.6.8.1.4</w:t>
            </w:r>
            <w:r w:rsidRPr="00F01347">
              <w:rPr>
                <w:rFonts w:ascii="Verdana" w:hAnsi="Verdana"/>
                <w:sz w:val="16"/>
                <w:szCs w:val="16"/>
              </w:rPr>
              <w:t xml:space="preserve"> Verificación del proceso analítico. La muestra de control de calidad (MCC) preparada por el área de control de calidad se procesa de igual manera que las muestras. Los resultados obtenidos de la muestra control se evalúan contra los criterios de aceptación.</w:t>
            </w:r>
          </w:p>
        </w:tc>
        <w:tc>
          <w:tcPr>
            <w:tcW w:w="4675" w:type="dxa"/>
          </w:tcPr>
          <w:p w14:paraId="4FE07146" w14:textId="1AC99AE0"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B.6.8.1.4 </w:t>
            </w:r>
            <w:r w:rsidRPr="00F01347">
              <w:rPr>
                <w:rFonts w:ascii="Verdana" w:hAnsi="Verdana"/>
                <w:sz w:val="16"/>
                <w:szCs w:val="16"/>
                <w:lang w:val="en-US"/>
              </w:rPr>
              <w:t>Verification of the analytical process. The quality control sample (QC) prepared by the quality control area is processed in the same way as the samples. The results obtained from the control sample are evaluated against the acceptance criteria.</w:t>
            </w:r>
          </w:p>
        </w:tc>
      </w:tr>
      <w:tr w:rsidR="004261A8" w:rsidRPr="00F01347" w14:paraId="306C9CD9" w14:textId="33864632" w:rsidTr="00C85E52">
        <w:tc>
          <w:tcPr>
            <w:tcW w:w="4675" w:type="dxa"/>
          </w:tcPr>
          <w:p w14:paraId="68DAE413"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t>B.6.8.1.5</w:t>
            </w:r>
            <w:r w:rsidRPr="00F01347">
              <w:rPr>
                <w:rFonts w:ascii="Verdana" w:hAnsi="Verdana"/>
                <w:sz w:val="16"/>
                <w:szCs w:val="16"/>
              </w:rPr>
              <w:t xml:space="preserve"> Verificación de interferencias de matriz</w:t>
            </w:r>
          </w:p>
        </w:tc>
        <w:tc>
          <w:tcPr>
            <w:tcW w:w="4675" w:type="dxa"/>
          </w:tcPr>
          <w:p w14:paraId="413FBEBC" w14:textId="43474A08"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B.6.8.1.5 </w:t>
            </w:r>
            <w:r w:rsidRPr="00F01347">
              <w:rPr>
                <w:rFonts w:ascii="Verdana" w:hAnsi="Verdana"/>
                <w:sz w:val="16"/>
                <w:szCs w:val="16"/>
                <w:lang w:val="en-US"/>
              </w:rPr>
              <w:t>Matrix Interference Check</w:t>
            </w:r>
          </w:p>
        </w:tc>
      </w:tr>
      <w:tr w:rsidR="004261A8" w:rsidRPr="00F01347" w14:paraId="4B6AA3CC" w14:textId="6E057DF3" w:rsidTr="00C85E52">
        <w:tc>
          <w:tcPr>
            <w:tcW w:w="4675" w:type="dxa"/>
          </w:tcPr>
          <w:p w14:paraId="51C9F28B"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sz w:val="16"/>
                <w:szCs w:val="16"/>
              </w:rPr>
              <w:t>La verificación de interferencias de matriz se lleva a cabo mediante las muestras adicionadas (MA) y si lo considera necesario muestras adicionadas duplicadas MAD.</w:t>
            </w:r>
          </w:p>
        </w:tc>
        <w:tc>
          <w:tcPr>
            <w:tcW w:w="4675" w:type="dxa"/>
          </w:tcPr>
          <w:p w14:paraId="63BDC1B8" w14:textId="20EFF9C3" w:rsidR="004261A8" w:rsidRPr="00F01347" w:rsidRDefault="004261A8" w:rsidP="004261A8">
            <w:pPr>
              <w:pStyle w:val="texto0"/>
              <w:spacing w:line="247" w:lineRule="exact"/>
              <w:ind w:firstLine="0"/>
              <w:rPr>
                <w:rFonts w:ascii="Verdana" w:hAnsi="Verdana"/>
                <w:sz w:val="16"/>
                <w:szCs w:val="16"/>
                <w:lang w:val="en-US"/>
              </w:rPr>
            </w:pPr>
            <w:r w:rsidRPr="00F01347">
              <w:rPr>
                <w:rFonts w:ascii="Verdana" w:hAnsi="Verdana"/>
                <w:sz w:val="16"/>
                <w:szCs w:val="16"/>
                <w:lang w:val="en-US"/>
              </w:rPr>
              <w:t>Verification of matrix interferences is carried out using the spiked samples (MA) and if deemed necessary duplicate spiked samples MAD.</w:t>
            </w:r>
          </w:p>
        </w:tc>
      </w:tr>
      <w:tr w:rsidR="004261A8" w:rsidRPr="00F01347" w14:paraId="7D3CEFAA" w14:textId="776208BA" w:rsidTr="00C85E52">
        <w:tc>
          <w:tcPr>
            <w:tcW w:w="4675" w:type="dxa"/>
          </w:tcPr>
          <w:p w14:paraId="551AB920"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sz w:val="16"/>
                <w:szCs w:val="16"/>
              </w:rPr>
              <w:lastRenderedPageBreak/>
              <w:t>Para determinar el efecto de la matriz en la recuperación del analito, calcular el porcentaje de recuperación. El % de recuperación debe estar dentro de los criterios de aceptación del 75 a 125% de exactitud y 10% DSR de precisión. Si los valores no cumplen con lo especificado, evaluar las causas, documentar las incidencias y realizar las acciones correctivas que se requieran.</w:t>
            </w:r>
          </w:p>
        </w:tc>
        <w:tc>
          <w:tcPr>
            <w:tcW w:w="4675" w:type="dxa"/>
          </w:tcPr>
          <w:p w14:paraId="06F5C813" w14:textId="26DD9DEC" w:rsidR="004261A8" w:rsidRPr="00F01347" w:rsidRDefault="004261A8" w:rsidP="004261A8">
            <w:pPr>
              <w:pStyle w:val="texto0"/>
              <w:spacing w:line="247" w:lineRule="exact"/>
              <w:ind w:firstLine="0"/>
              <w:rPr>
                <w:rFonts w:ascii="Verdana" w:hAnsi="Verdana"/>
                <w:sz w:val="16"/>
                <w:szCs w:val="16"/>
                <w:lang w:val="en-US"/>
              </w:rPr>
            </w:pPr>
            <w:r w:rsidRPr="00F01347">
              <w:rPr>
                <w:rFonts w:ascii="Verdana" w:hAnsi="Verdana"/>
                <w:sz w:val="16"/>
                <w:szCs w:val="16"/>
                <w:lang w:val="en-US"/>
              </w:rPr>
              <w:t xml:space="preserve">To determine the effect of the matrix on analyte recovery, calculate the percent recovery. The % recall must be within the acceptance criteria of 75 to 125% accuracy and 10% DSR precision. If the values do not meet the specifications, evaluate the causes, document the </w:t>
            </w:r>
            <w:r w:rsidR="009A56C7" w:rsidRPr="00F01347">
              <w:rPr>
                <w:rFonts w:ascii="Verdana" w:hAnsi="Verdana"/>
                <w:sz w:val="16"/>
                <w:szCs w:val="16"/>
                <w:lang w:val="en-US"/>
              </w:rPr>
              <w:t>incidents,</w:t>
            </w:r>
            <w:r w:rsidRPr="00F01347">
              <w:rPr>
                <w:rFonts w:ascii="Verdana" w:hAnsi="Verdana"/>
                <w:sz w:val="16"/>
                <w:szCs w:val="16"/>
                <w:lang w:val="en-US"/>
              </w:rPr>
              <w:t xml:space="preserve"> and carry out the corrective actions required.</w:t>
            </w:r>
          </w:p>
        </w:tc>
      </w:tr>
      <w:tr w:rsidR="004261A8" w:rsidRPr="00F01347" w14:paraId="5185FE70" w14:textId="68B67D2B" w:rsidTr="00C85E52">
        <w:tc>
          <w:tcPr>
            <w:tcW w:w="4675" w:type="dxa"/>
          </w:tcPr>
          <w:p w14:paraId="25C3544E"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sz w:val="16"/>
                <w:szCs w:val="16"/>
              </w:rPr>
              <w:t>Para determinar el efecto de la matriz en la precisión del analito a través de la matriz adicionada duplicada (MAD), calcular la desviación estándar relativa (DSR) entre la MA y la MAD. La DPR entre la MA y la MAD debe estar dentro de los criterios de aceptación del 75 a 125% de exactitud y 10% DSR de precisión. Si los valores no cumplen con lo especificado, evaluar las causas, documentar las incidencias y realizar las acciones correctivas que se requieran.</w:t>
            </w:r>
          </w:p>
        </w:tc>
        <w:tc>
          <w:tcPr>
            <w:tcW w:w="4675" w:type="dxa"/>
          </w:tcPr>
          <w:p w14:paraId="3BECBF07" w14:textId="7B12C2F7" w:rsidR="004261A8" w:rsidRPr="00F01347" w:rsidRDefault="004261A8" w:rsidP="004261A8">
            <w:pPr>
              <w:pStyle w:val="texto0"/>
              <w:spacing w:line="247" w:lineRule="exact"/>
              <w:ind w:firstLine="0"/>
              <w:rPr>
                <w:rFonts w:ascii="Verdana" w:hAnsi="Verdana"/>
                <w:sz w:val="16"/>
                <w:szCs w:val="16"/>
                <w:lang w:val="en-US"/>
              </w:rPr>
            </w:pPr>
            <w:r w:rsidRPr="00F01347">
              <w:rPr>
                <w:rFonts w:ascii="Verdana" w:hAnsi="Verdana"/>
                <w:sz w:val="16"/>
                <w:szCs w:val="16"/>
                <w:lang w:val="en-US"/>
              </w:rPr>
              <w:t>To determine the effect of matrix on analyte precision through matrix added duplicate (MAD), calculate the relative standard deviation (</w:t>
            </w:r>
            <w:r w:rsidR="009A56C7" w:rsidRPr="00F01347">
              <w:rPr>
                <w:rFonts w:ascii="Verdana" w:hAnsi="Verdana"/>
                <w:sz w:val="16"/>
                <w:szCs w:val="16"/>
                <w:lang w:val="en-US"/>
              </w:rPr>
              <w:t>DSR</w:t>
            </w:r>
            <w:r w:rsidRPr="00F01347">
              <w:rPr>
                <w:rFonts w:ascii="Verdana" w:hAnsi="Verdana"/>
                <w:sz w:val="16"/>
                <w:szCs w:val="16"/>
                <w:lang w:val="en-US"/>
              </w:rPr>
              <w:t xml:space="preserve">) between MA and MAD. The DPR between the MA and MAD must be within the acceptance criteria of 75 to 125% accuracy and 10% DSR precision. If the values do not meet the specifications, evaluate the causes, document the </w:t>
            </w:r>
            <w:proofErr w:type="gramStart"/>
            <w:r w:rsidRPr="00F01347">
              <w:rPr>
                <w:rFonts w:ascii="Verdana" w:hAnsi="Verdana"/>
                <w:sz w:val="16"/>
                <w:szCs w:val="16"/>
                <w:lang w:val="en-US"/>
              </w:rPr>
              <w:t>incidents</w:t>
            </w:r>
            <w:proofErr w:type="gramEnd"/>
            <w:r w:rsidRPr="00F01347">
              <w:rPr>
                <w:rFonts w:ascii="Verdana" w:hAnsi="Verdana"/>
                <w:sz w:val="16"/>
                <w:szCs w:val="16"/>
                <w:lang w:val="en-US"/>
              </w:rPr>
              <w:t xml:space="preserve"> and carry out the corrective actions required.</w:t>
            </w:r>
          </w:p>
        </w:tc>
      </w:tr>
      <w:tr w:rsidR="004261A8" w:rsidRPr="00F01347" w14:paraId="4F5D0A2A" w14:textId="05131E80" w:rsidTr="00C85E52">
        <w:tc>
          <w:tcPr>
            <w:tcW w:w="4675" w:type="dxa"/>
          </w:tcPr>
          <w:p w14:paraId="1C7F012E"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sz w:val="16"/>
                <w:szCs w:val="16"/>
              </w:rPr>
              <w:t>Para determinar el efecto de la matriz en la precisión del analito a través de la precisión de la matriz (M) y su matriz duplicada (MDUP), calcular la desviación estándar relativa (DSR) entre la M y la MDUP. La DPR entre la M y la MDUP debe estar dentro de los criterios de aceptación del 75 a 125% de exactitud y 10% DSR de precisión. Si los valores no cumplen con lo especificado, evaluar las causas, documentar las incidencias y realizar las acciones correctivas que se requieran.</w:t>
            </w:r>
          </w:p>
        </w:tc>
        <w:tc>
          <w:tcPr>
            <w:tcW w:w="4675" w:type="dxa"/>
          </w:tcPr>
          <w:p w14:paraId="4985BC10" w14:textId="6940B642" w:rsidR="004261A8" w:rsidRPr="00F01347" w:rsidRDefault="004261A8" w:rsidP="004261A8">
            <w:pPr>
              <w:pStyle w:val="texto0"/>
              <w:spacing w:line="247" w:lineRule="exact"/>
              <w:ind w:firstLine="0"/>
              <w:rPr>
                <w:rFonts w:ascii="Verdana" w:hAnsi="Verdana"/>
                <w:sz w:val="16"/>
                <w:szCs w:val="16"/>
                <w:lang w:val="en-US"/>
              </w:rPr>
            </w:pPr>
            <w:r w:rsidRPr="00F01347">
              <w:rPr>
                <w:rFonts w:ascii="Verdana" w:hAnsi="Verdana"/>
                <w:sz w:val="16"/>
                <w:szCs w:val="16"/>
                <w:lang w:val="en-US"/>
              </w:rPr>
              <w:t xml:space="preserve">To determine the effect of the matrix on the precision of the analyte through the precision of the matrix (M) and its duplicate matrix (MDUP), calculate the relative standard deviation (RSD) between the M and the MDUP. The DPR between the M and the MDUP must be within the acceptance criteria of 75 to 125% accuracy and 10% DSR precision. If the values do not meet the specifications, evaluate the causes, document the </w:t>
            </w:r>
            <w:r w:rsidR="00E5025E" w:rsidRPr="00F01347">
              <w:rPr>
                <w:rFonts w:ascii="Verdana" w:hAnsi="Verdana"/>
                <w:sz w:val="16"/>
                <w:szCs w:val="16"/>
                <w:lang w:val="en-US"/>
              </w:rPr>
              <w:t>incidents,</w:t>
            </w:r>
            <w:r w:rsidRPr="00F01347">
              <w:rPr>
                <w:rFonts w:ascii="Verdana" w:hAnsi="Verdana"/>
                <w:sz w:val="16"/>
                <w:szCs w:val="16"/>
                <w:lang w:val="en-US"/>
              </w:rPr>
              <w:t xml:space="preserve"> and carry out the corrective actions required.</w:t>
            </w:r>
          </w:p>
        </w:tc>
      </w:tr>
      <w:tr w:rsidR="004261A8" w:rsidRPr="00F01347" w14:paraId="42A950F2" w14:textId="48ADA33E" w:rsidTr="00C85E52">
        <w:tc>
          <w:tcPr>
            <w:tcW w:w="4675" w:type="dxa"/>
          </w:tcPr>
          <w:p w14:paraId="3F5BDFE6"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t>B.6.8.1.6</w:t>
            </w:r>
            <w:r w:rsidRPr="00F01347">
              <w:rPr>
                <w:rFonts w:ascii="Verdana" w:hAnsi="Verdana"/>
                <w:sz w:val="16"/>
                <w:szCs w:val="16"/>
              </w:rPr>
              <w:t xml:space="preserve"> Verificación de la estabilidad de la curva de calibración. Verificar que la curva de calibración sea estable durante el lote analítico analizando una mezcla de verificación cada 10 corridas y observando que cumpla con los criterios establecidos.</w:t>
            </w:r>
          </w:p>
        </w:tc>
        <w:tc>
          <w:tcPr>
            <w:tcW w:w="4675" w:type="dxa"/>
          </w:tcPr>
          <w:p w14:paraId="485C6434" w14:textId="7B00BCDF"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B.6.8.1.6 </w:t>
            </w:r>
            <w:r w:rsidRPr="00F01347">
              <w:rPr>
                <w:rFonts w:ascii="Verdana" w:hAnsi="Verdana"/>
                <w:sz w:val="16"/>
                <w:szCs w:val="16"/>
                <w:lang w:val="en-US"/>
              </w:rPr>
              <w:t>Verification of the stability of the calibration curve. Verify that the calibration curve is stable during the analytical batch by analyzing a verification mixture every 10 runs and observing that it meets the established criteria.</w:t>
            </w:r>
          </w:p>
        </w:tc>
      </w:tr>
      <w:tr w:rsidR="004261A8" w:rsidRPr="00F01347" w14:paraId="4FCA5A34" w14:textId="162FA459" w:rsidTr="00C85E52">
        <w:tc>
          <w:tcPr>
            <w:tcW w:w="4675" w:type="dxa"/>
          </w:tcPr>
          <w:p w14:paraId="74933E4F"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t xml:space="preserve">B.6.8.1.7 </w:t>
            </w:r>
            <w:r w:rsidRPr="00F01347">
              <w:rPr>
                <w:rFonts w:ascii="Verdana" w:hAnsi="Verdana"/>
                <w:sz w:val="16"/>
                <w:szCs w:val="16"/>
              </w:rPr>
              <w:t>Composición del lote analítico</w:t>
            </w:r>
          </w:p>
        </w:tc>
        <w:tc>
          <w:tcPr>
            <w:tcW w:w="4675" w:type="dxa"/>
          </w:tcPr>
          <w:p w14:paraId="3CC0962A" w14:textId="665AAB13"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B.6.8.1.7 </w:t>
            </w:r>
            <w:r w:rsidRPr="00F01347">
              <w:rPr>
                <w:rFonts w:ascii="Verdana" w:hAnsi="Verdana"/>
                <w:sz w:val="16"/>
                <w:szCs w:val="16"/>
                <w:lang w:val="en-US"/>
              </w:rPr>
              <w:t>Composition of the analytical batch</w:t>
            </w:r>
          </w:p>
        </w:tc>
      </w:tr>
      <w:tr w:rsidR="004261A8" w:rsidRPr="00F01347" w14:paraId="33C3050E" w14:textId="766F13F5" w:rsidTr="00C85E52">
        <w:tc>
          <w:tcPr>
            <w:tcW w:w="4675" w:type="dxa"/>
          </w:tcPr>
          <w:p w14:paraId="20F36053"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sz w:val="16"/>
                <w:szCs w:val="16"/>
              </w:rPr>
              <w:t>El lote analítico debe estar compuesto por las siguientes muestras:</w:t>
            </w:r>
          </w:p>
        </w:tc>
        <w:tc>
          <w:tcPr>
            <w:tcW w:w="4675" w:type="dxa"/>
          </w:tcPr>
          <w:p w14:paraId="1E5D9E0F" w14:textId="3F61DFAE" w:rsidR="004261A8" w:rsidRPr="00F01347" w:rsidRDefault="004261A8" w:rsidP="004261A8">
            <w:pPr>
              <w:pStyle w:val="texto0"/>
              <w:spacing w:line="247" w:lineRule="exact"/>
              <w:ind w:firstLine="0"/>
              <w:rPr>
                <w:rFonts w:ascii="Verdana" w:hAnsi="Verdana"/>
                <w:sz w:val="16"/>
                <w:szCs w:val="16"/>
                <w:lang w:val="en-US"/>
              </w:rPr>
            </w:pPr>
            <w:r w:rsidRPr="00F01347">
              <w:rPr>
                <w:rFonts w:ascii="Verdana" w:hAnsi="Verdana"/>
                <w:sz w:val="16"/>
                <w:szCs w:val="16"/>
                <w:lang w:val="en-US"/>
              </w:rPr>
              <w:t>The analytical batch must be composed of the following samples:</w:t>
            </w:r>
          </w:p>
        </w:tc>
      </w:tr>
      <w:tr w:rsidR="004261A8" w:rsidRPr="00F01347" w14:paraId="7CF91F34" w14:textId="5AF7841E" w:rsidTr="00C85E52">
        <w:tc>
          <w:tcPr>
            <w:tcW w:w="4675" w:type="dxa"/>
          </w:tcPr>
          <w:p w14:paraId="5BA5A6B4"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t>B.6.8.1.7.1</w:t>
            </w:r>
            <w:r w:rsidRPr="00F01347">
              <w:rPr>
                <w:rFonts w:ascii="Verdana" w:hAnsi="Verdana"/>
                <w:sz w:val="16"/>
                <w:szCs w:val="16"/>
              </w:rPr>
              <w:t xml:space="preserve"> blanco electrónico</w:t>
            </w:r>
          </w:p>
        </w:tc>
        <w:tc>
          <w:tcPr>
            <w:tcW w:w="4675" w:type="dxa"/>
          </w:tcPr>
          <w:p w14:paraId="64946C6E" w14:textId="2BD6F227"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B.6.8.1.7.1 </w:t>
            </w:r>
            <w:r w:rsidRPr="00F01347">
              <w:rPr>
                <w:rFonts w:ascii="Verdana" w:hAnsi="Verdana"/>
                <w:sz w:val="16"/>
                <w:szCs w:val="16"/>
                <w:lang w:val="en-US"/>
              </w:rPr>
              <w:t xml:space="preserve">electronic </w:t>
            </w:r>
            <w:r w:rsidR="00C50A8A" w:rsidRPr="00F01347">
              <w:rPr>
                <w:rFonts w:ascii="Verdana" w:hAnsi="Verdana"/>
                <w:sz w:val="16"/>
                <w:szCs w:val="16"/>
                <w:lang w:val="en-US"/>
              </w:rPr>
              <w:t>blank</w:t>
            </w:r>
          </w:p>
        </w:tc>
      </w:tr>
      <w:tr w:rsidR="004261A8" w:rsidRPr="00F01347" w14:paraId="3390083A" w14:textId="1FFB3256" w:rsidTr="00C85E52">
        <w:tc>
          <w:tcPr>
            <w:tcW w:w="4675" w:type="dxa"/>
          </w:tcPr>
          <w:p w14:paraId="7C2F0998"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t>B.6.8.1.7.2</w:t>
            </w:r>
            <w:r w:rsidRPr="00F01347">
              <w:rPr>
                <w:rFonts w:ascii="Verdana" w:hAnsi="Verdana"/>
                <w:sz w:val="16"/>
                <w:szCs w:val="16"/>
              </w:rPr>
              <w:t xml:space="preserve"> blanco de agua</w:t>
            </w:r>
          </w:p>
        </w:tc>
        <w:tc>
          <w:tcPr>
            <w:tcW w:w="4675" w:type="dxa"/>
          </w:tcPr>
          <w:p w14:paraId="02C6CC1C" w14:textId="5ECF22A3"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B.6.8.1.7.2 </w:t>
            </w:r>
            <w:r w:rsidRPr="00F01347">
              <w:rPr>
                <w:rFonts w:ascii="Verdana" w:hAnsi="Verdana"/>
                <w:sz w:val="16"/>
                <w:szCs w:val="16"/>
                <w:lang w:val="en-US"/>
              </w:rPr>
              <w:t xml:space="preserve">water </w:t>
            </w:r>
            <w:r w:rsidR="00C50A8A" w:rsidRPr="00F01347">
              <w:rPr>
                <w:rFonts w:ascii="Verdana" w:hAnsi="Verdana"/>
                <w:sz w:val="16"/>
                <w:szCs w:val="16"/>
                <w:lang w:val="en-US"/>
              </w:rPr>
              <w:t>blank</w:t>
            </w:r>
          </w:p>
        </w:tc>
      </w:tr>
      <w:tr w:rsidR="004261A8" w:rsidRPr="00F01347" w14:paraId="6C49BFA9" w14:textId="17967505" w:rsidTr="00C85E52">
        <w:tc>
          <w:tcPr>
            <w:tcW w:w="4675" w:type="dxa"/>
          </w:tcPr>
          <w:p w14:paraId="37986439"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t>B.6.8.1.7.3</w:t>
            </w:r>
            <w:r w:rsidRPr="00F01347">
              <w:rPr>
                <w:rFonts w:ascii="Verdana" w:hAnsi="Verdana"/>
                <w:sz w:val="16"/>
                <w:szCs w:val="16"/>
              </w:rPr>
              <w:t xml:space="preserve"> muestra de verificación de la calibración</w:t>
            </w:r>
          </w:p>
        </w:tc>
        <w:tc>
          <w:tcPr>
            <w:tcW w:w="4675" w:type="dxa"/>
          </w:tcPr>
          <w:p w14:paraId="0214054E" w14:textId="2BFF0A07"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B.6.8.1.7.3 </w:t>
            </w:r>
            <w:r w:rsidRPr="00F01347">
              <w:rPr>
                <w:rFonts w:ascii="Verdana" w:hAnsi="Verdana"/>
                <w:sz w:val="16"/>
                <w:szCs w:val="16"/>
                <w:lang w:val="en-US"/>
              </w:rPr>
              <w:t>calibration verification sample</w:t>
            </w:r>
          </w:p>
        </w:tc>
      </w:tr>
      <w:tr w:rsidR="004261A8" w:rsidRPr="00F01347" w14:paraId="218B1A7C" w14:textId="41E7CE19" w:rsidTr="00C85E52">
        <w:tc>
          <w:tcPr>
            <w:tcW w:w="4675" w:type="dxa"/>
          </w:tcPr>
          <w:p w14:paraId="644AB83E"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t>B.6.8.1.7.4</w:t>
            </w:r>
            <w:r w:rsidRPr="00F01347">
              <w:rPr>
                <w:rFonts w:ascii="Verdana" w:hAnsi="Verdana"/>
                <w:sz w:val="16"/>
                <w:szCs w:val="16"/>
              </w:rPr>
              <w:t xml:space="preserve"> muestra de control de calidad</w:t>
            </w:r>
          </w:p>
        </w:tc>
        <w:tc>
          <w:tcPr>
            <w:tcW w:w="4675" w:type="dxa"/>
          </w:tcPr>
          <w:p w14:paraId="74DA5DFC" w14:textId="72307772"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B.6.8.1.7.4 </w:t>
            </w:r>
            <w:r w:rsidRPr="00F01347">
              <w:rPr>
                <w:rFonts w:ascii="Verdana" w:hAnsi="Verdana"/>
                <w:sz w:val="16"/>
                <w:szCs w:val="16"/>
                <w:lang w:val="en-US"/>
              </w:rPr>
              <w:t>quality control sample</w:t>
            </w:r>
          </w:p>
        </w:tc>
      </w:tr>
      <w:tr w:rsidR="004261A8" w:rsidRPr="00F01347" w14:paraId="0D3AA2F2" w14:textId="583EF875" w:rsidTr="00C85E52">
        <w:tc>
          <w:tcPr>
            <w:tcW w:w="4675" w:type="dxa"/>
          </w:tcPr>
          <w:p w14:paraId="7083D977"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t>B.6.8.1.7.5</w:t>
            </w:r>
            <w:r w:rsidRPr="00F01347">
              <w:rPr>
                <w:rFonts w:ascii="Verdana" w:hAnsi="Verdana"/>
                <w:sz w:val="16"/>
                <w:szCs w:val="16"/>
              </w:rPr>
              <w:t xml:space="preserve"> muestra real no. 1</w:t>
            </w:r>
          </w:p>
        </w:tc>
        <w:tc>
          <w:tcPr>
            <w:tcW w:w="4675" w:type="dxa"/>
          </w:tcPr>
          <w:p w14:paraId="02CE8FDA" w14:textId="48634680"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B.6.8.1.7.5 </w:t>
            </w:r>
            <w:r w:rsidRPr="00F01347">
              <w:rPr>
                <w:rFonts w:ascii="Verdana" w:hAnsi="Verdana"/>
                <w:sz w:val="16"/>
                <w:szCs w:val="16"/>
                <w:lang w:val="en-US"/>
              </w:rPr>
              <w:t>actual sample no. 1</w:t>
            </w:r>
          </w:p>
        </w:tc>
      </w:tr>
      <w:tr w:rsidR="004261A8" w:rsidRPr="00F01347" w14:paraId="490AD3D5" w14:textId="5CE06084" w:rsidTr="00C85E52">
        <w:tc>
          <w:tcPr>
            <w:tcW w:w="4675" w:type="dxa"/>
          </w:tcPr>
          <w:p w14:paraId="1D89C302"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t>B.6.8.1.7.6</w:t>
            </w:r>
            <w:r w:rsidRPr="00F01347">
              <w:rPr>
                <w:rFonts w:ascii="Verdana" w:hAnsi="Verdana"/>
                <w:sz w:val="16"/>
                <w:szCs w:val="16"/>
              </w:rPr>
              <w:t xml:space="preserve"> muestra real adicionada</w:t>
            </w:r>
          </w:p>
        </w:tc>
        <w:tc>
          <w:tcPr>
            <w:tcW w:w="4675" w:type="dxa"/>
          </w:tcPr>
          <w:p w14:paraId="26E383BE" w14:textId="23948088"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B.6.8.1.7.6 </w:t>
            </w:r>
            <w:r w:rsidRPr="00F01347">
              <w:rPr>
                <w:rFonts w:ascii="Verdana" w:hAnsi="Verdana"/>
                <w:sz w:val="16"/>
                <w:szCs w:val="16"/>
                <w:lang w:val="en-US"/>
              </w:rPr>
              <w:t>added real sample</w:t>
            </w:r>
          </w:p>
        </w:tc>
      </w:tr>
      <w:tr w:rsidR="004261A8" w:rsidRPr="00F01347" w14:paraId="61A44B9F" w14:textId="2A1681D7" w:rsidTr="00C85E52">
        <w:tc>
          <w:tcPr>
            <w:tcW w:w="4675" w:type="dxa"/>
          </w:tcPr>
          <w:p w14:paraId="3F6D5D62"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t>B.6.8.1.7.7</w:t>
            </w:r>
            <w:r w:rsidRPr="00F01347">
              <w:rPr>
                <w:rFonts w:ascii="Verdana" w:hAnsi="Verdana"/>
                <w:sz w:val="16"/>
                <w:szCs w:val="16"/>
              </w:rPr>
              <w:t xml:space="preserve"> muestra real no. 2</w:t>
            </w:r>
          </w:p>
        </w:tc>
        <w:tc>
          <w:tcPr>
            <w:tcW w:w="4675" w:type="dxa"/>
          </w:tcPr>
          <w:p w14:paraId="3C7FDD7D" w14:textId="1313A7B1"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B.6.8.1.7.7 </w:t>
            </w:r>
            <w:r w:rsidRPr="00F01347">
              <w:rPr>
                <w:rFonts w:ascii="Verdana" w:hAnsi="Verdana"/>
                <w:sz w:val="16"/>
                <w:szCs w:val="16"/>
                <w:lang w:val="en-US"/>
              </w:rPr>
              <w:t>actual sample no. 2</w:t>
            </w:r>
          </w:p>
        </w:tc>
      </w:tr>
      <w:tr w:rsidR="004261A8" w:rsidRPr="00F01347" w14:paraId="54FE108C" w14:textId="405AF715" w:rsidTr="00C85E52">
        <w:tc>
          <w:tcPr>
            <w:tcW w:w="4675" w:type="dxa"/>
          </w:tcPr>
          <w:p w14:paraId="76F5F67D"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t>B.6.8.1.7.8</w:t>
            </w:r>
            <w:r w:rsidRPr="00F01347">
              <w:rPr>
                <w:rFonts w:ascii="Verdana" w:hAnsi="Verdana"/>
                <w:sz w:val="16"/>
                <w:szCs w:val="16"/>
              </w:rPr>
              <w:t xml:space="preserve"> muestra real duplicada</w:t>
            </w:r>
          </w:p>
        </w:tc>
        <w:tc>
          <w:tcPr>
            <w:tcW w:w="4675" w:type="dxa"/>
          </w:tcPr>
          <w:p w14:paraId="7CC5BB5D" w14:textId="71944018"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B.6.8.1.7.8 </w:t>
            </w:r>
            <w:r w:rsidR="00E5025E" w:rsidRPr="00F01347">
              <w:rPr>
                <w:rFonts w:ascii="Verdana" w:hAnsi="Verdana"/>
                <w:sz w:val="16"/>
                <w:szCs w:val="16"/>
                <w:lang w:val="en-US"/>
              </w:rPr>
              <w:t>d</w:t>
            </w:r>
            <w:r w:rsidRPr="00F01347">
              <w:rPr>
                <w:rFonts w:ascii="Verdana" w:hAnsi="Verdana"/>
                <w:sz w:val="16"/>
                <w:szCs w:val="16"/>
                <w:lang w:val="en-US"/>
              </w:rPr>
              <w:t>uplicate actual sample</w:t>
            </w:r>
          </w:p>
        </w:tc>
      </w:tr>
      <w:tr w:rsidR="004261A8" w:rsidRPr="00F01347" w14:paraId="3820451E" w14:textId="3839221F" w:rsidTr="00C85E52">
        <w:tc>
          <w:tcPr>
            <w:tcW w:w="4675" w:type="dxa"/>
          </w:tcPr>
          <w:p w14:paraId="31CD9D82"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t>B.6.8.1.7.9</w:t>
            </w:r>
            <w:r w:rsidRPr="00F01347">
              <w:rPr>
                <w:rFonts w:ascii="Verdana" w:hAnsi="Verdana"/>
                <w:sz w:val="16"/>
                <w:szCs w:val="16"/>
              </w:rPr>
              <w:t xml:space="preserve"> muestra real no. 2 a 10</w:t>
            </w:r>
          </w:p>
        </w:tc>
        <w:tc>
          <w:tcPr>
            <w:tcW w:w="4675" w:type="dxa"/>
          </w:tcPr>
          <w:p w14:paraId="02DEBEE1" w14:textId="62C71EE0"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B.6.8.1.7.9 </w:t>
            </w:r>
            <w:r w:rsidRPr="00F01347">
              <w:rPr>
                <w:rFonts w:ascii="Verdana" w:hAnsi="Verdana"/>
                <w:sz w:val="16"/>
                <w:szCs w:val="16"/>
                <w:lang w:val="en-US"/>
              </w:rPr>
              <w:t>actual sample no. 2 to 10</w:t>
            </w:r>
          </w:p>
        </w:tc>
      </w:tr>
      <w:tr w:rsidR="004261A8" w:rsidRPr="00F01347" w14:paraId="5EC837A1" w14:textId="243C3925" w:rsidTr="00C85E52">
        <w:tc>
          <w:tcPr>
            <w:tcW w:w="4675" w:type="dxa"/>
          </w:tcPr>
          <w:p w14:paraId="49084EEA"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sz w:val="16"/>
                <w:szCs w:val="16"/>
              </w:rPr>
              <w:t xml:space="preserve">Dependiendo de los requerimientos del programa específico de control de calidad, pueden ser requeridas </w:t>
            </w:r>
            <w:r w:rsidRPr="00F01347">
              <w:rPr>
                <w:rFonts w:ascii="Verdana" w:hAnsi="Verdana"/>
                <w:sz w:val="16"/>
                <w:szCs w:val="16"/>
              </w:rPr>
              <w:lastRenderedPageBreak/>
              <w:t>muestras duplicadas de campo para evaluar la precisión y exactitud del muestreo, así como las técnicas de transportación y almacenamiento de la muestra.</w:t>
            </w:r>
          </w:p>
        </w:tc>
        <w:tc>
          <w:tcPr>
            <w:tcW w:w="4675" w:type="dxa"/>
          </w:tcPr>
          <w:p w14:paraId="35690813" w14:textId="0BF856E9" w:rsidR="004261A8" w:rsidRPr="00F01347" w:rsidRDefault="004261A8" w:rsidP="004261A8">
            <w:pPr>
              <w:pStyle w:val="texto0"/>
              <w:spacing w:line="247" w:lineRule="exact"/>
              <w:ind w:firstLine="0"/>
              <w:rPr>
                <w:rFonts w:ascii="Verdana" w:hAnsi="Verdana"/>
                <w:sz w:val="16"/>
                <w:szCs w:val="16"/>
                <w:lang w:val="en-US"/>
              </w:rPr>
            </w:pPr>
            <w:r w:rsidRPr="00F01347">
              <w:rPr>
                <w:rFonts w:ascii="Verdana" w:hAnsi="Verdana"/>
                <w:sz w:val="16"/>
                <w:szCs w:val="16"/>
                <w:lang w:val="en-US"/>
              </w:rPr>
              <w:lastRenderedPageBreak/>
              <w:t xml:space="preserve">Depending on the requirements of the specific quality control program, duplicate field samples may be </w:t>
            </w:r>
            <w:r w:rsidRPr="00F01347">
              <w:rPr>
                <w:rFonts w:ascii="Verdana" w:hAnsi="Verdana"/>
                <w:sz w:val="16"/>
                <w:szCs w:val="16"/>
                <w:lang w:val="en-US"/>
              </w:rPr>
              <w:lastRenderedPageBreak/>
              <w:t>required to evaluate the precision and accuracy of sampling, as well as sample transportation and storage techniques.</w:t>
            </w:r>
          </w:p>
        </w:tc>
      </w:tr>
      <w:tr w:rsidR="004261A8" w:rsidRPr="00F01347" w14:paraId="3C01CBB4" w14:textId="65AADDBB" w:rsidTr="00C85E52">
        <w:tc>
          <w:tcPr>
            <w:tcW w:w="4675" w:type="dxa"/>
          </w:tcPr>
          <w:p w14:paraId="420B0669" w14:textId="77777777" w:rsidR="004261A8" w:rsidRPr="00F01347" w:rsidRDefault="004261A8" w:rsidP="004261A8">
            <w:pPr>
              <w:pStyle w:val="texto0"/>
              <w:spacing w:line="247" w:lineRule="exact"/>
              <w:ind w:firstLine="0"/>
              <w:rPr>
                <w:rFonts w:ascii="Verdana" w:hAnsi="Verdana"/>
                <w:sz w:val="16"/>
                <w:szCs w:val="16"/>
              </w:rPr>
            </w:pPr>
            <w:r w:rsidRPr="00F01347">
              <w:rPr>
                <w:rFonts w:ascii="Verdana" w:hAnsi="Verdana"/>
                <w:b/>
                <w:sz w:val="16"/>
                <w:szCs w:val="16"/>
              </w:rPr>
              <w:lastRenderedPageBreak/>
              <w:t>B.6.8.1.8</w:t>
            </w:r>
            <w:r w:rsidRPr="00F01347">
              <w:rPr>
                <w:rFonts w:ascii="Verdana" w:hAnsi="Verdana"/>
                <w:sz w:val="16"/>
                <w:szCs w:val="16"/>
              </w:rPr>
              <w:t xml:space="preserve"> La Tabla B.6-1, de este Apéndice, muestra las especificaciones de aceptación y rechazo de las verificaciones de control de calidad del método.</w:t>
            </w:r>
          </w:p>
        </w:tc>
        <w:tc>
          <w:tcPr>
            <w:tcW w:w="4675" w:type="dxa"/>
          </w:tcPr>
          <w:p w14:paraId="67094CD0" w14:textId="512AF2D3" w:rsidR="004261A8" w:rsidRPr="00F01347" w:rsidRDefault="004261A8" w:rsidP="004261A8">
            <w:pPr>
              <w:pStyle w:val="texto0"/>
              <w:spacing w:line="247" w:lineRule="exact"/>
              <w:ind w:firstLine="0"/>
              <w:rPr>
                <w:rFonts w:ascii="Verdana" w:hAnsi="Verdana"/>
                <w:b/>
                <w:sz w:val="16"/>
                <w:szCs w:val="16"/>
                <w:lang w:val="en-US"/>
              </w:rPr>
            </w:pPr>
            <w:r w:rsidRPr="00F01347">
              <w:rPr>
                <w:rFonts w:ascii="Verdana" w:hAnsi="Verdana"/>
                <w:b/>
                <w:sz w:val="16"/>
                <w:szCs w:val="16"/>
                <w:lang w:val="en-US"/>
              </w:rPr>
              <w:t xml:space="preserve">B.6.8.1.8 </w:t>
            </w:r>
            <w:r w:rsidRPr="00F01347">
              <w:rPr>
                <w:rFonts w:ascii="Verdana" w:hAnsi="Verdana"/>
                <w:sz w:val="16"/>
                <w:szCs w:val="16"/>
                <w:lang w:val="en-US"/>
              </w:rPr>
              <w:t>Table B.6-1, in this Appendix, shows the acceptance and rejection specifications of the method quality control verifications.</w:t>
            </w:r>
          </w:p>
        </w:tc>
      </w:tr>
    </w:tbl>
    <w:p w14:paraId="4C70B9F9" w14:textId="77777777" w:rsidR="0055757A" w:rsidRPr="00F01347" w:rsidRDefault="0055757A" w:rsidP="003A601B">
      <w:pPr>
        <w:pStyle w:val="texto0"/>
        <w:rPr>
          <w:rFonts w:ascii="Verdana" w:hAnsi="Verdana"/>
          <w:b/>
          <w:sz w:val="16"/>
          <w:szCs w:val="16"/>
          <w:lang w:val="en-US"/>
        </w:rPr>
      </w:pPr>
    </w:p>
    <w:p w14:paraId="34756355" w14:textId="77777777" w:rsidR="0055757A" w:rsidRPr="00F01347" w:rsidRDefault="0055757A" w:rsidP="003A601B">
      <w:pPr>
        <w:pStyle w:val="texto0"/>
        <w:rPr>
          <w:rFonts w:ascii="Verdana" w:hAnsi="Verdana"/>
          <w:b/>
          <w:sz w:val="16"/>
          <w:szCs w:val="16"/>
          <w:lang w:val="en-US"/>
        </w:rPr>
      </w:pPr>
    </w:p>
    <w:p w14:paraId="00EAF747" w14:textId="1B9B6B70" w:rsidR="00A74CDF" w:rsidRPr="00F01347" w:rsidRDefault="00A74CDF" w:rsidP="003A601B">
      <w:pPr>
        <w:pStyle w:val="texto0"/>
        <w:rPr>
          <w:rFonts w:ascii="Verdana" w:hAnsi="Verdana"/>
          <w:sz w:val="16"/>
          <w:szCs w:val="16"/>
        </w:rPr>
      </w:pPr>
      <w:r w:rsidRPr="00F01347">
        <w:rPr>
          <w:rFonts w:ascii="Verdana" w:hAnsi="Verdana"/>
          <w:b/>
          <w:sz w:val="16"/>
          <w:szCs w:val="16"/>
        </w:rPr>
        <w:t xml:space="preserve">Tabla B.6-1. </w:t>
      </w:r>
      <w:r w:rsidRPr="00F01347">
        <w:rPr>
          <w:rFonts w:ascii="Verdana" w:hAnsi="Verdana"/>
          <w:sz w:val="16"/>
          <w:szCs w:val="16"/>
        </w:rPr>
        <w:t>Especificaciones de aceptación y rechazo de las verificaciones de control de calidad</w:t>
      </w:r>
      <w:r w:rsidR="000550B5" w:rsidRPr="00F01347">
        <w:rPr>
          <w:rFonts w:ascii="Verdana" w:hAnsi="Verdana"/>
          <w:sz w:val="16"/>
          <w:szCs w:val="16"/>
        </w:rPr>
        <w:t xml:space="preserve"> </w:t>
      </w:r>
      <w:r w:rsidRPr="00F01347">
        <w:rPr>
          <w:rFonts w:ascii="Verdana" w:hAnsi="Verdana"/>
          <w:sz w:val="16"/>
          <w:szCs w:val="16"/>
        </w:rPr>
        <w:t>del método.</w:t>
      </w:r>
    </w:p>
    <w:tbl>
      <w:tblPr>
        <w:tblW w:w="8712" w:type="dxa"/>
        <w:tblInd w:w="144" w:type="dxa"/>
        <w:tblLayout w:type="fixed"/>
        <w:tblCellMar>
          <w:left w:w="72" w:type="dxa"/>
          <w:right w:w="72" w:type="dxa"/>
        </w:tblCellMar>
        <w:tblLook w:val="0000" w:firstRow="0" w:lastRow="0" w:firstColumn="0" w:lastColumn="0" w:noHBand="0" w:noVBand="0"/>
      </w:tblPr>
      <w:tblGrid>
        <w:gridCol w:w="4365"/>
        <w:gridCol w:w="4347"/>
      </w:tblGrid>
      <w:tr w:rsidR="00A74CDF" w:rsidRPr="00F01347" w14:paraId="6449E79E" w14:textId="77777777">
        <w:trPr>
          <w:trHeight w:val="144"/>
        </w:trPr>
        <w:tc>
          <w:tcPr>
            <w:tcW w:w="8658" w:type="dxa"/>
            <w:gridSpan w:val="2"/>
            <w:tcBorders>
              <w:top w:val="single" w:sz="6" w:space="0" w:color="auto"/>
              <w:left w:val="single" w:sz="6" w:space="0" w:color="auto"/>
              <w:bottom w:val="single" w:sz="6" w:space="0" w:color="auto"/>
              <w:right w:val="single" w:sz="6" w:space="0" w:color="auto"/>
            </w:tcBorders>
            <w:noWrap/>
          </w:tcPr>
          <w:p w14:paraId="511D18B6"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VERIFICACIÓN DEL EQUIPO</w:t>
            </w:r>
          </w:p>
        </w:tc>
      </w:tr>
      <w:tr w:rsidR="00A74CDF" w:rsidRPr="00F01347" w14:paraId="10A79F0A"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0247741D"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Punto de Verificación</w:t>
            </w:r>
          </w:p>
        </w:tc>
        <w:tc>
          <w:tcPr>
            <w:tcW w:w="4320" w:type="dxa"/>
            <w:tcBorders>
              <w:top w:val="single" w:sz="6" w:space="0" w:color="auto"/>
              <w:left w:val="single" w:sz="6" w:space="0" w:color="auto"/>
              <w:bottom w:val="single" w:sz="6" w:space="0" w:color="auto"/>
              <w:right w:val="single" w:sz="6" w:space="0" w:color="auto"/>
            </w:tcBorders>
          </w:tcPr>
          <w:p w14:paraId="0A3E3C9A"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Criterio</w:t>
            </w:r>
          </w:p>
        </w:tc>
      </w:tr>
      <w:tr w:rsidR="00A74CDF" w:rsidRPr="00F01347" w14:paraId="56809751"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098D0ADC"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Equipo libre de interferencias (blanco electrónico)</w:t>
            </w:r>
          </w:p>
        </w:tc>
        <w:tc>
          <w:tcPr>
            <w:tcW w:w="4320" w:type="dxa"/>
            <w:tcBorders>
              <w:top w:val="single" w:sz="6" w:space="0" w:color="auto"/>
              <w:left w:val="single" w:sz="6" w:space="0" w:color="auto"/>
              <w:bottom w:val="single" w:sz="6" w:space="0" w:color="auto"/>
              <w:right w:val="single" w:sz="6" w:space="0" w:color="auto"/>
            </w:tcBorders>
          </w:tcPr>
          <w:p w14:paraId="02E6420D"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 xml:space="preserve">No presentar interferencias al </w:t>
            </w:r>
            <w:proofErr w:type="spellStart"/>
            <w:r w:rsidRPr="00F01347">
              <w:rPr>
                <w:rFonts w:ascii="Verdana" w:hAnsi="Verdana"/>
                <w:sz w:val="16"/>
                <w:szCs w:val="16"/>
              </w:rPr>
              <w:t>t</w:t>
            </w:r>
            <w:r w:rsidRPr="00F01347">
              <w:rPr>
                <w:rFonts w:ascii="Verdana" w:hAnsi="Verdana"/>
                <w:sz w:val="16"/>
                <w:szCs w:val="16"/>
                <w:vertAlign w:val="subscript"/>
              </w:rPr>
              <w:t>r</w:t>
            </w:r>
            <w:proofErr w:type="spellEnd"/>
            <w:r w:rsidRPr="00F01347">
              <w:rPr>
                <w:rFonts w:ascii="Verdana" w:hAnsi="Verdana"/>
                <w:sz w:val="16"/>
                <w:szCs w:val="16"/>
              </w:rPr>
              <w:t xml:space="preserve"> de los analitos</w:t>
            </w:r>
          </w:p>
        </w:tc>
      </w:tr>
      <w:tr w:rsidR="00A74CDF" w:rsidRPr="00F01347" w14:paraId="308D0ED7" w14:textId="77777777">
        <w:trPr>
          <w:trHeight w:val="144"/>
        </w:trPr>
        <w:tc>
          <w:tcPr>
            <w:tcW w:w="8658" w:type="dxa"/>
            <w:gridSpan w:val="2"/>
            <w:tcBorders>
              <w:top w:val="single" w:sz="6" w:space="0" w:color="auto"/>
              <w:left w:val="single" w:sz="6" w:space="0" w:color="auto"/>
              <w:bottom w:val="single" w:sz="6" w:space="0" w:color="auto"/>
              <w:right w:val="single" w:sz="6" w:space="0" w:color="auto"/>
            </w:tcBorders>
          </w:tcPr>
          <w:p w14:paraId="1E39F587"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b/>
                <w:sz w:val="16"/>
                <w:szCs w:val="16"/>
              </w:rPr>
              <w:t>VERIFICACIÓN DE LA CALIBRACIÓN INICIAL</w:t>
            </w:r>
          </w:p>
        </w:tc>
      </w:tr>
      <w:tr w:rsidR="00A74CDF" w:rsidRPr="00F01347" w14:paraId="6D47C5F4"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2E7F1CEE"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Punto de Verificación</w:t>
            </w:r>
          </w:p>
        </w:tc>
        <w:tc>
          <w:tcPr>
            <w:tcW w:w="4320" w:type="dxa"/>
            <w:tcBorders>
              <w:top w:val="single" w:sz="6" w:space="0" w:color="auto"/>
              <w:left w:val="single" w:sz="6" w:space="0" w:color="auto"/>
              <w:bottom w:val="single" w:sz="6" w:space="0" w:color="auto"/>
              <w:right w:val="single" w:sz="6" w:space="0" w:color="auto"/>
            </w:tcBorders>
          </w:tcPr>
          <w:p w14:paraId="5D85B398"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Criterio</w:t>
            </w:r>
          </w:p>
        </w:tc>
      </w:tr>
      <w:tr w:rsidR="00A74CDF" w:rsidRPr="00F01347" w14:paraId="50301CBE"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75820584"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Evaluación del % diferencia de la concentración de la mezcla de verificación (punto intermedio de la curva de calibración)</w:t>
            </w:r>
          </w:p>
        </w:tc>
        <w:tc>
          <w:tcPr>
            <w:tcW w:w="4320" w:type="dxa"/>
            <w:tcBorders>
              <w:top w:val="single" w:sz="6" w:space="0" w:color="auto"/>
              <w:left w:val="single" w:sz="6" w:space="0" w:color="auto"/>
              <w:bottom w:val="single" w:sz="6" w:space="0" w:color="auto"/>
              <w:right w:val="single" w:sz="6" w:space="0" w:color="auto"/>
            </w:tcBorders>
          </w:tcPr>
          <w:p w14:paraId="181A9E1A"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%RSD ≤25%</w:t>
            </w:r>
          </w:p>
        </w:tc>
      </w:tr>
      <w:tr w:rsidR="00A74CDF" w:rsidRPr="00F01347" w14:paraId="7A4490A7" w14:textId="77777777">
        <w:trPr>
          <w:trHeight w:val="144"/>
        </w:trPr>
        <w:tc>
          <w:tcPr>
            <w:tcW w:w="8658" w:type="dxa"/>
            <w:gridSpan w:val="2"/>
            <w:tcBorders>
              <w:top w:val="single" w:sz="6" w:space="0" w:color="auto"/>
              <w:left w:val="single" w:sz="6" w:space="0" w:color="auto"/>
              <w:bottom w:val="single" w:sz="6" w:space="0" w:color="auto"/>
              <w:right w:val="single" w:sz="6" w:space="0" w:color="auto"/>
            </w:tcBorders>
          </w:tcPr>
          <w:p w14:paraId="60CB81EF"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b/>
                <w:sz w:val="16"/>
                <w:szCs w:val="16"/>
              </w:rPr>
              <w:t>VERIFICACIÓN DE LA CONTAMINACIÓN DE REACTIVOS</w:t>
            </w:r>
          </w:p>
        </w:tc>
      </w:tr>
      <w:tr w:rsidR="00A74CDF" w:rsidRPr="00F01347" w14:paraId="186A09FF"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336E46E9"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Punto de Verificación</w:t>
            </w:r>
          </w:p>
        </w:tc>
        <w:tc>
          <w:tcPr>
            <w:tcW w:w="4320" w:type="dxa"/>
            <w:tcBorders>
              <w:top w:val="single" w:sz="6" w:space="0" w:color="auto"/>
              <w:left w:val="single" w:sz="6" w:space="0" w:color="auto"/>
              <w:bottom w:val="single" w:sz="6" w:space="0" w:color="auto"/>
              <w:right w:val="single" w:sz="6" w:space="0" w:color="auto"/>
            </w:tcBorders>
          </w:tcPr>
          <w:p w14:paraId="28A33662"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Criterio</w:t>
            </w:r>
          </w:p>
        </w:tc>
      </w:tr>
      <w:tr w:rsidR="00A74CDF" w:rsidRPr="00F01347" w14:paraId="7D0C291E"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370E3E8C"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Blanco de agua</w:t>
            </w:r>
          </w:p>
        </w:tc>
        <w:tc>
          <w:tcPr>
            <w:tcW w:w="4320" w:type="dxa"/>
            <w:tcBorders>
              <w:top w:val="single" w:sz="6" w:space="0" w:color="auto"/>
              <w:left w:val="single" w:sz="6" w:space="0" w:color="auto"/>
              <w:bottom w:val="single" w:sz="6" w:space="0" w:color="auto"/>
              <w:right w:val="single" w:sz="6" w:space="0" w:color="auto"/>
            </w:tcBorders>
          </w:tcPr>
          <w:p w14:paraId="38826291"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 xml:space="preserve">No presentar interferencias al </w:t>
            </w:r>
            <w:proofErr w:type="spellStart"/>
            <w:r w:rsidRPr="00F01347">
              <w:rPr>
                <w:rFonts w:ascii="Verdana" w:hAnsi="Verdana"/>
                <w:sz w:val="16"/>
                <w:szCs w:val="16"/>
              </w:rPr>
              <w:t>t</w:t>
            </w:r>
            <w:r w:rsidRPr="00F01347">
              <w:rPr>
                <w:rFonts w:ascii="Verdana" w:hAnsi="Verdana"/>
                <w:sz w:val="16"/>
                <w:szCs w:val="16"/>
                <w:vertAlign w:val="subscript"/>
              </w:rPr>
              <w:t>r</w:t>
            </w:r>
            <w:proofErr w:type="spellEnd"/>
            <w:r w:rsidRPr="00F01347">
              <w:rPr>
                <w:rFonts w:ascii="Verdana" w:hAnsi="Verdana"/>
                <w:sz w:val="16"/>
                <w:szCs w:val="16"/>
              </w:rPr>
              <w:t xml:space="preserve"> de los analitos</w:t>
            </w:r>
          </w:p>
        </w:tc>
      </w:tr>
      <w:tr w:rsidR="00A74CDF" w:rsidRPr="00F01347" w14:paraId="476ABE89" w14:textId="77777777">
        <w:trPr>
          <w:trHeight w:val="144"/>
        </w:trPr>
        <w:tc>
          <w:tcPr>
            <w:tcW w:w="8658" w:type="dxa"/>
            <w:gridSpan w:val="2"/>
            <w:tcBorders>
              <w:top w:val="single" w:sz="6" w:space="0" w:color="auto"/>
              <w:left w:val="single" w:sz="6" w:space="0" w:color="auto"/>
              <w:bottom w:val="single" w:sz="6" w:space="0" w:color="auto"/>
              <w:right w:val="single" w:sz="6" w:space="0" w:color="auto"/>
            </w:tcBorders>
          </w:tcPr>
          <w:p w14:paraId="569258EF"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b/>
                <w:sz w:val="16"/>
                <w:szCs w:val="16"/>
              </w:rPr>
              <w:t>VERIFICACIÓN DEL PROCESO ANALÍTICO</w:t>
            </w:r>
          </w:p>
        </w:tc>
      </w:tr>
      <w:tr w:rsidR="00A74CDF" w:rsidRPr="00F01347" w14:paraId="5F59C459"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651C7552"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Punto de Verificación</w:t>
            </w:r>
          </w:p>
        </w:tc>
        <w:tc>
          <w:tcPr>
            <w:tcW w:w="4320" w:type="dxa"/>
            <w:tcBorders>
              <w:top w:val="single" w:sz="6" w:space="0" w:color="auto"/>
              <w:left w:val="single" w:sz="6" w:space="0" w:color="auto"/>
              <w:bottom w:val="single" w:sz="6" w:space="0" w:color="auto"/>
              <w:right w:val="single" w:sz="6" w:space="0" w:color="auto"/>
            </w:tcBorders>
          </w:tcPr>
          <w:p w14:paraId="0FCDA5AE"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Criterio</w:t>
            </w:r>
          </w:p>
        </w:tc>
      </w:tr>
      <w:tr w:rsidR="00A74CDF" w:rsidRPr="00F01347" w14:paraId="1DE0444F"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11CE76C2"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Muestra control de calidad</w:t>
            </w:r>
          </w:p>
        </w:tc>
        <w:tc>
          <w:tcPr>
            <w:tcW w:w="4320" w:type="dxa"/>
            <w:tcBorders>
              <w:top w:val="single" w:sz="6" w:space="0" w:color="auto"/>
              <w:left w:val="single" w:sz="6" w:space="0" w:color="auto"/>
              <w:bottom w:val="single" w:sz="6" w:space="0" w:color="auto"/>
              <w:right w:val="single" w:sz="6" w:space="0" w:color="auto"/>
            </w:tcBorders>
          </w:tcPr>
          <w:p w14:paraId="38AE9D96"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 de recuperación de 75 a 125%</w:t>
            </w:r>
          </w:p>
        </w:tc>
      </w:tr>
      <w:tr w:rsidR="00A74CDF" w:rsidRPr="00F01347" w14:paraId="5B726E21" w14:textId="77777777">
        <w:trPr>
          <w:trHeight w:val="144"/>
        </w:trPr>
        <w:tc>
          <w:tcPr>
            <w:tcW w:w="8658" w:type="dxa"/>
            <w:gridSpan w:val="2"/>
            <w:tcBorders>
              <w:top w:val="single" w:sz="6" w:space="0" w:color="auto"/>
              <w:left w:val="single" w:sz="6" w:space="0" w:color="auto"/>
              <w:bottom w:val="single" w:sz="6" w:space="0" w:color="auto"/>
              <w:right w:val="single" w:sz="6" w:space="0" w:color="auto"/>
            </w:tcBorders>
          </w:tcPr>
          <w:p w14:paraId="3FA942BF"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b/>
                <w:sz w:val="16"/>
                <w:szCs w:val="16"/>
              </w:rPr>
              <w:t>VERIFICACIÓN DE INTERFERENCIAS DE MATRIZ</w:t>
            </w:r>
          </w:p>
        </w:tc>
      </w:tr>
      <w:tr w:rsidR="00A74CDF" w:rsidRPr="00F01347" w14:paraId="59F77DF2"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4FF7D289"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Punto de Verificación</w:t>
            </w:r>
          </w:p>
        </w:tc>
        <w:tc>
          <w:tcPr>
            <w:tcW w:w="4320" w:type="dxa"/>
            <w:tcBorders>
              <w:top w:val="single" w:sz="6" w:space="0" w:color="auto"/>
              <w:left w:val="single" w:sz="6" w:space="0" w:color="auto"/>
              <w:bottom w:val="single" w:sz="6" w:space="0" w:color="auto"/>
              <w:right w:val="single" w:sz="6" w:space="0" w:color="auto"/>
            </w:tcBorders>
          </w:tcPr>
          <w:p w14:paraId="7154B6D8"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Criterio</w:t>
            </w:r>
          </w:p>
        </w:tc>
      </w:tr>
      <w:tr w:rsidR="00A74CDF" w:rsidRPr="00F01347" w14:paraId="7B3E5E67"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06A781F6"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Evaluación de muestras adicionadas</w:t>
            </w:r>
          </w:p>
        </w:tc>
        <w:tc>
          <w:tcPr>
            <w:tcW w:w="4320" w:type="dxa"/>
            <w:tcBorders>
              <w:top w:val="single" w:sz="6" w:space="0" w:color="auto"/>
              <w:left w:val="single" w:sz="6" w:space="0" w:color="auto"/>
              <w:bottom w:val="single" w:sz="6" w:space="0" w:color="auto"/>
              <w:right w:val="single" w:sz="6" w:space="0" w:color="auto"/>
            </w:tcBorders>
          </w:tcPr>
          <w:p w14:paraId="6331740F"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 de recuperación de 75 a 125%</w:t>
            </w:r>
          </w:p>
        </w:tc>
      </w:tr>
      <w:tr w:rsidR="00A74CDF" w:rsidRPr="00F01347" w14:paraId="78C0F734"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22B89865"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Evaluación de muestras adicionadas duplicadas</w:t>
            </w:r>
          </w:p>
        </w:tc>
        <w:tc>
          <w:tcPr>
            <w:tcW w:w="4320" w:type="dxa"/>
            <w:tcBorders>
              <w:top w:val="single" w:sz="6" w:space="0" w:color="auto"/>
              <w:left w:val="single" w:sz="6" w:space="0" w:color="auto"/>
              <w:bottom w:val="single" w:sz="6" w:space="0" w:color="auto"/>
              <w:right w:val="single" w:sz="6" w:space="0" w:color="auto"/>
            </w:tcBorders>
          </w:tcPr>
          <w:p w14:paraId="1EBB21A7"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 de recuperación de 75 a 125%</w:t>
            </w:r>
          </w:p>
          <w:p w14:paraId="0C06B7AC"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%DPR de 20%</w:t>
            </w:r>
          </w:p>
        </w:tc>
      </w:tr>
      <w:tr w:rsidR="00A74CDF" w:rsidRPr="00F01347" w14:paraId="43059A7D"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1DD88F29"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Evaluación de muestras duplicadas</w:t>
            </w:r>
          </w:p>
        </w:tc>
        <w:tc>
          <w:tcPr>
            <w:tcW w:w="4320" w:type="dxa"/>
            <w:tcBorders>
              <w:top w:val="single" w:sz="6" w:space="0" w:color="auto"/>
              <w:left w:val="single" w:sz="6" w:space="0" w:color="auto"/>
              <w:bottom w:val="single" w:sz="6" w:space="0" w:color="auto"/>
              <w:right w:val="single" w:sz="6" w:space="0" w:color="auto"/>
            </w:tcBorders>
          </w:tcPr>
          <w:p w14:paraId="17F8E8BF"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%DPR de 20%</w:t>
            </w:r>
          </w:p>
        </w:tc>
      </w:tr>
      <w:tr w:rsidR="00A74CDF" w:rsidRPr="00F01347" w14:paraId="4D133BF1" w14:textId="77777777">
        <w:trPr>
          <w:trHeight w:val="144"/>
        </w:trPr>
        <w:tc>
          <w:tcPr>
            <w:tcW w:w="8658" w:type="dxa"/>
            <w:gridSpan w:val="2"/>
            <w:tcBorders>
              <w:top w:val="single" w:sz="6" w:space="0" w:color="auto"/>
              <w:left w:val="single" w:sz="6" w:space="0" w:color="auto"/>
              <w:bottom w:val="single" w:sz="6" w:space="0" w:color="auto"/>
              <w:right w:val="single" w:sz="6" w:space="0" w:color="auto"/>
            </w:tcBorders>
          </w:tcPr>
          <w:p w14:paraId="4904829A"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ESTABILIDAD DE LA CURVA DE CALIBRACIÓN</w:t>
            </w:r>
          </w:p>
        </w:tc>
      </w:tr>
      <w:tr w:rsidR="00A74CDF" w:rsidRPr="00F01347" w14:paraId="7C7D5137"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75EF58E6"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Punto de Verificación</w:t>
            </w:r>
          </w:p>
        </w:tc>
        <w:tc>
          <w:tcPr>
            <w:tcW w:w="4320" w:type="dxa"/>
            <w:tcBorders>
              <w:top w:val="single" w:sz="6" w:space="0" w:color="auto"/>
              <w:left w:val="single" w:sz="6" w:space="0" w:color="auto"/>
              <w:bottom w:val="single" w:sz="6" w:space="0" w:color="auto"/>
              <w:right w:val="single" w:sz="6" w:space="0" w:color="auto"/>
            </w:tcBorders>
          </w:tcPr>
          <w:p w14:paraId="7A327347" w14:textId="77777777" w:rsidR="00A74CDF" w:rsidRPr="00F01347" w:rsidRDefault="00A74CDF" w:rsidP="003A601B">
            <w:pPr>
              <w:pStyle w:val="texto0"/>
              <w:spacing w:line="208" w:lineRule="exact"/>
              <w:ind w:firstLine="0"/>
              <w:jc w:val="center"/>
              <w:rPr>
                <w:rFonts w:ascii="Verdana" w:hAnsi="Verdana"/>
                <w:b/>
                <w:sz w:val="16"/>
                <w:szCs w:val="16"/>
              </w:rPr>
            </w:pPr>
            <w:r w:rsidRPr="00F01347">
              <w:rPr>
                <w:rFonts w:ascii="Verdana" w:hAnsi="Verdana"/>
                <w:b/>
                <w:sz w:val="16"/>
                <w:szCs w:val="16"/>
              </w:rPr>
              <w:t>Criterio</w:t>
            </w:r>
          </w:p>
        </w:tc>
      </w:tr>
      <w:tr w:rsidR="00A74CDF" w:rsidRPr="00F01347" w14:paraId="64220EAA" w14:textId="77777777">
        <w:trPr>
          <w:trHeight w:val="144"/>
        </w:trPr>
        <w:tc>
          <w:tcPr>
            <w:tcW w:w="4338" w:type="dxa"/>
            <w:tcBorders>
              <w:top w:val="single" w:sz="6" w:space="0" w:color="auto"/>
              <w:left w:val="single" w:sz="6" w:space="0" w:color="auto"/>
              <w:bottom w:val="single" w:sz="6" w:space="0" w:color="auto"/>
              <w:right w:val="single" w:sz="6" w:space="0" w:color="auto"/>
            </w:tcBorders>
          </w:tcPr>
          <w:p w14:paraId="6EA1B6DE"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Evaluación de la mezcla de verificación continua</w:t>
            </w:r>
          </w:p>
        </w:tc>
        <w:tc>
          <w:tcPr>
            <w:tcW w:w="4320" w:type="dxa"/>
            <w:tcBorders>
              <w:top w:val="single" w:sz="6" w:space="0" w:color="auto"/>
              <w:left w:val="single" w:sz="6" w:space="0" w:color="auto"/>
              <w:bottom w:val="single" w:sz="6" w:space="0" w:color="auto"/>
              <w:right w:val="single" w:sz="6" w:space="0" w:color="auto"/>
            </w:tcBorders>
          </w:tcPr>
          <w:p w14:paraId="4CF167A5" w14:textId="77777777" w:rsidR="00A74CDF" w:rsidRPr="00F01347" w:rsidRDefault="00A74CDF" w:rsidP="003A601B">
            <w:pPr>
              <w:pStyle w:val="texto0"/>
              <w:spacing w:line="208" w:lineRule="exact"/>
              <w:ind w:firstLine="0"/>
              <w:jc w:val="center"/>
              <w:rPr>
                <w:rFonts w:ascii="Verdana" w:hAnsi="Verdana"/>
                <w:sz w:val="16"/>
                <w:szCs w:val="16"/>
              </w:rPr>
            </w:pPr>
            <w:r w:rsidRPr="00F01347">
              <w:rPr>
                <w:rFonts w:ascii="Verdana" w:hAnsi="Verdana"/>
                <w:sz w:val="16"/>
                <w:szCs w:val="16"/>
              </w:rPr>
              <w:t>%RSD ≤25%</w:t>
            </w:r>
          </w:p>
        </w:tc>
      </w:tr>
    </w:tbl>
    <w:p w14:paraId="099974EA" w14:textId="77777777" w:rsidR="00A74CDF" w:rsidRPr="00F01347" w:rsidRDefault="00A74CDF" w:rsidP="003A601B">
      <w:pPr>
        <w:pStyle w:val="texto0"/>
        <w:rPr>
          <w:rFonts w:ascii="Verdana" w:hAnsi="Verdana"/>
          <w:sz w:val="16"/>
          <w:szCs w:val="16"/>
        </w:rPr>
      </w:pPr>
    </w:p>
    <w:p w14:paraId="22A23AC7" w14:textId="77777777" w:rsidR="0061518F" w:rsidRPr="00F01347" w:rsidRDefault="0061518F" w:rsidP="00E733F4">
      <w:pPr>
        <w:pStyle w:val="texto0"/>
        <w:rPr>
          <w:rFonts w:ascii="Verdana" w:hAnsi="Verdana"/>
          <w:b/>
          <w:sz w:val="16"/>
          <w:szCs w:val="16"/>
          <w:lang w:val="en-US"/>
        </w:rPr>
      </w:pPr>
    </w:p>
    <w:p w14:paraId="06ABA54F" w14:textId="77777777" w:rsidR="0061518F" w:rsidRPr="00F01347" w:rsidRDefault="0061518F" w:rsidP="00E733F4">
      <w:pPr>
        <w:pStyle w:val="texto0"/>
        <w:rPr>
          <w:rFonts w:ascii="Verdana" w:hAnsi="Verdana"/>
          <w:b/>
          <w:sz w:val="16"/>
          <w:szCs w:val="16"/>
          <w:lang w:val="en-US"/>
        </w:rPr>
      </w:pPr>
    </w:p>
    <w:p w14:paraId="29796EBA" w14:textId="77777777" w:rsidR="0061518F" w:rsidRPr="00F01347" w:rsidRDefault="0061518F" w:rsidP="00E733F4">
      <w:pPr>
        <w:pStyle w:val="texto0"/>
        <w:rPr>
          <w:rFonts w:ascii="Verdana" w:hAnsi="Verdana"/>
          <w:b/>
          <w:sz w:val="16"/>
          <w:szCs w:val="16"/>
          <w:lang w:val="en-US"/>
        </w:rPr>
      </w:pPr>
    </w:p>
    <w:p w14:paraId="49C65C08" w14:textId="77777777" w:rsidR="0061518F" w:rsidRPr="00F01347" w:rsidRDefault="0061518F" w:rsidP="00E733F4">
      <w:pPr>
        <w:pStyle w:val="texto0"/>
        <w:rPr>
          <w:rFonts w:ascii="Verdana" w:hAnsi="Verdana"/>
          <w:b/>
          <w:sz w:val="16"/>
          <w:szCs w:val="16"/>
          <w:lang w:val="en-US"/>
        </w:rPr>
      </w:pPr>
    </w:p>
    <w:p w14:paraId="06BBF450" w14:textId="77777777" w:rsidR="0061518F" w:rsidRPr="00F01347" w:rsidRDefault="0061518F" w:rsidP="00E733F4">
      <w:pPr>
        <w:pStyle w:val="texto0"/>
        <w:rPr>
          <w:rFonts w:ascii="Verdana" w:hAnsi="Verdana"/>
          <w:b/>
          <w:sz w:val="16"/>
          <w:szCs w:val="16"/>
          <w:lang w:val="en-US"/>
        </w:rPr>
      </w:pPr>
    </w:p>
    <w:p w14:paraId="37DB8DB1" w14:textId="77777777" w:rsidR="0061518F" w:rsidRPr="00F01347" w:rsidRDefault="0061518F" w:rsidP="00E733F4">
      <w:pPr>
        <w:pStyle w:val="texto0"/>
        <w:rPr>
          <w:rFonts w:ascii="Verdana" w:hAnsi="Verdana"/>
          <w:b/>
          <w:sz w:val="16"/>
          <w:szCs w:val="16"/>
          <w:lang w:val="en-US"/>
        </w:rPr>
      </w:pPr>
    </w:p>
    <w:p w14:paraId="73ED24D6" w14:textId="77777777" w:rsidR="0061518F" w:rsidRPr="00F01347" w:rsidRDefault="0061518F" w:rsidP="00E733F4">
      <w:pPr>
        <w:pStyle w:val="texto0"/>
        <w:rPr>
          <w:rFonts w:ascii="Verdana" w:hAnsi="Verdana"/>
          <w:b/>
          <w:sz w:val="16"/>
          <w:szCs w:val="16"/>
          <w:lang w:val="en-US"/>
        </w:rPr>
      </w:pPr>
    </w:p>
    <w:p w14:paraId="1EDE920B" w14:textId="77777777" w:rsidR="0061518F" w:rsidRPr="00F01347" w:rsidRDefault="0061518F" w:rsidP="00E733F4">
      <w:pPr>
        <w:pStyle w:val="texto0"/>
        <w:rPr>
          <w:rFonts w:ascii="Verdana" w:hAnsi="Verdana"/>
          <w:b/>
          <w:sz w:val="16"/>
          <w:szCs w:val="16"/>
          <w:lang w:val="en-US"/>
        </w:rPr>
      </w:pPr>
    </w:p>
    <w:p w14:paraId="10ADC13F" w14:textId="77777777" w:rsidR="0061518F" w:rsidRPr="00F01347" w:rsidRDefault="0061518F" w:rsidP="00E733F4">
      <w:pPr>
        <w:pStyle w:val="texto0"/>
        <w:rPr>
          <w:rFonts w:ascii="Verdana" w:hAnsi="Verdana"/>
          <w:b/>
          <w:sz w:val="16"/>
          <w:szCs w:val="16"/>
          <w:lang w:val="en-US"/>
        </w:rPr>
      </w:pPr>
    </w:p>
    <w:p w14:paraId="28A26D4B" w14:textId="5B957B73" w:rsidR="00E733F4" w:rsidRPr="00F01347" w:rsidRDefault="00E733F4" w:rsidP="00E733F4">
      <w:pPr>
        <w:pStyle w:val="texto0"/>
        <w:rPr>
          <w:rFonts w:ascii="Verdana" w:hAnsi="Verdana"/>
          <w:sz w:val="16"/>
          <w:szCs w:val="16"/>
          <w:lang w:val="en"/>
        </w:rPr>
      </w:pPr>
      <w:r w:rsidRPr="00F01347">
        <w:rPr>
          <w:rFonts w:ascii="Verdana" w:hAnsi="Verdana"/>
          <w:b/>
          <w:sz w:val="16"/>
          <w:szCs w:val="16"/>
          <w:lang w:val="en-US"/>
        </w:rPr>
        <w:lastRenderedPageBreak/>
        <w:t xml:space="preserve">Table B.6-1. </w:t>
      </w:r>
      <w:r w:rsidRPr="00F01347">
        <w:rPr>
          <w:rFonts w:ascii="Verdana" w:hAnsi="Verdana"/>
          <w:sz w:val="16"/>
          <w:szCs w:val="16"/>
          <w:lang w:val="en-US"/>
        </w:rPr>
        <w:t>Specifications for acceptance and rejection of method quality control verifications.</w:t>
      </w:r>
    </w:p>
    <w:tbl>
      <w:tblPr>
        <w:tblW w:w="8715" w:type="dxa"/>
        <w:tblInd w:w="144" w:type="dxa"/>
        <w:tblLayout w:type="fixed"/>
        <w:tblCellMar>
          <w:left w:w="72" w:type="dxa"/>
          <w:right w:w="72" w:type="dxa"/>
        </w:tblCellMar>
        <w:tblLook w:val="04A0" w:firstRow="1" w:lastRow="0" w:firstColumn="1" w:lastColumn="0" w:noHBand="0" w:noVBand="1"/>
      </w:tblPr>
      <w:tblGrid>
        <w:gridCol w:w="4367"/>
        <w:gridCol w:w="4348"/>
      </w:tblGrid>
      <w:tr w:rsidR="00E733F4" w:rsidRPr="00F01347" w14:paraId="2B82EA6F" w14:textId="77777777" w:rsidTr="00E733F4">
        <w:trPr>
          <w:trHeight w:val="144"/>
        </w:trPr>
        <w:tc>
          <w:tcPr>
            <w:tcW w:w="8658" w:type="dxa"/>
            <w:gridSpan w:val="2"/>
            <w:tcBorders>
              <w:top w:val="single" w:sz="6" w:space="0" w:color="auto"/>
              <w:left w:val="single" w:sz="6" w:space="0" w:color="auto"/>
              <w:bottom w:val="single" w:sz="6" w:space="0" w:color="auto"/>
              <w:right w:val="single" w:sz="6" w:space="0" w:color="auto"/>
            </w:tcBorders>
            <w:noWrap/>
            <w:hideMark/>
          </w:tcPr>
          <w:p w14:paraId="7A47B1F5"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EQUIPMENT VERIFICATION</w:t>
            </w:r>
          </w:p>
        </w:tc>
      </w:tr>
      <w:tr w:rsidR="00E733F4" w:rsidRPr="00F01347" w14:paraId="7E6F5CC5"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5868637D"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Verification Point</w:t>
            </w:r>
          </w:p>
        </w:tc>
        <w:tc>
          <w:tcPr>
            <w:tcW w:w="4320" w:type="dxa"/>
            <w:tcBorders>
              <w:top w:val="single" w:sz="6" w:space="0" w:color="auto"/>
              <w:left w:val="single" w:sz="6" w:space="0" w:color="auto"/>
              <w:bottom w:val="single" w:sz="6" w:space="0" w:color="auto"/>
              <w:right w:val="single" w:sz="6" w:space="0" w:color="auto"/>
            </w:tcBorders>
            <w:hideMark/>
          </w:tcPr>
          <w:p w14:paraId="37BD90F8"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Criterion</w:t>
            </w:r>
          </w:p>
        </w:tc>
      </w:tr>
      <w:tr w:rsidR="00E733F4" w:rsidRPr="00F01347" w14:paraId="2F168F32"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1146FA3D"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Interference-free equipment (electronic white)</w:t>
            </w:r>
          </w:p>
        </w:tc>
        <w:tc>
          <w:tcPr>
            <w:tcW w:w="4320" w:type="dxa"/>
            <w:tcBorders>
              <w:top w:val="single" w:sz="6" w:space="0" w:color="auto"/>
              <w:left w:val="single" w:sz="6" w:space="0" w:color="auto"/>
              <w:bottom w:val="single" w:sz="6" w:space="0" w:color="auto"/>
              <w:right w:val="single" w:sz="6" w:space="0" w:color="auto"/>
            </w:tcBorders>
            <w:hideMark/>
          </w:tcPr>
          <w:p w14:paraId="6AFAB59F"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 xml:space="preserve">Do not present interferences </w:t>
            </w:r>
            <w:r w:rsidRPr="00F01347">
              <w:rPr>
                <w:rFonts w:ascii="Verdana" w:hAnsi="Verdana"/>
                <w:sz w:val="16"/>
                <w:szCs w:val="16"/>
                <w:vertAlign w:val="subscript"/>
                <w:lang w:val="en-US"/>
              </w:rPr>
              <w:t xml:space="preserve">to </w:t>
            </w:r>
            <w:r w:rsidRPr="00F01347">
              <w:rPr>
                <w:rFonts w:ascii="Verdana" w:hAnsi="Verdana"/>
                <w:sz w:val="16"/>
                <w:szCs w:val="16"/>
                <w:lang w:val="en-US"/>
              </w:rPr>
              <w:t>the analytes</w:t>
            </w:r>
          </w:p>
        </w:tc>
      </w:tr>
      <w:tr w:rsidR="00E733F4" w:rsidRPr="00F01347" w14:paraId="46AAC3F8" w14:textId="77777777" w:rsidTr="00E733F4">
        <w:trPr>
          <w:trHeight w:val="144"/>
        </w:trPr>
        <w:tc>
          <w:tcPr>
            <w:tcW w:w="8658" w:type="dxa"/>
            <w:gridSpan w:val="2"/>
            <w:tcBorders>
              <w:top w:val="single" w:sz="6" w:space="0" w:color="auto"/>
              <w:left w:val="single" w:sz="6" w:space="0" w:color="auto"/>
              <w:bottom w:val="single" w:sz="6" w:space="0" w:color="auto"/>
              <w:right w:val="single" w:sz="6" w:space="0" w:color="auto"/>
            </w:tcBorders>
            <w:hideMark/>
          </w:tcPr>
          <w:p w14:paraId="0F804383"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b/>
                <w:sz w:val="16"/>
                <w:szCs w:val="16"/>
                <w:lang w:val="en-US"/>
              </w:rPr>
              <w:t>INITIAL CALIBRATION VERIFICATION</w:t>
            </w:r>
          </w:p>
        </w:tc>
      </w:tr>
      <w:tr w:rsidR="00E733F4" w:rsidRPr="00F01347" w14:paraId="480AD09D"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202CD098"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Verification Point</w:t>
            </w:r>
          </w:p>
        </w:tc>
        <w:tc>
          <w:tcPr>
            <w:tcW w:w="4320" w:type="dxa"/>
            <w:tcBorders>
              <w:top w:val="single" w:sz="6" w:space="0" w:color="auto"/>
              <w:left w:val="single" w:sz="6" w:space="0" w:color="auto"/>
              <w:bottom w:val="single" w:sz="6" w:space="0" w:color="auto"/>
              <w:right w:val="single" w:sz="6" w:space="0" w:color="auto"/>
            </w:tcBorders>
            <w:hideMark/>
          </w:tcPr>
          <w:p w14:paraId="724B2657"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Criterion</w:t>
            </w:r>
          </w:p>
        </w:tc>
      </w:tr>
      <w:tr w:rsidR="00E733F4" w:rsidRPr="00F01347" w14:paraId="7C428111"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61F1FE5C"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Evaluation of the % difference in the concentration of the verification mixture (intermediate point of the calibration curve)</w:t>
            </w:r>
          </w:p>
        </w:tc>
        <w:tc>
          <w:tcPr>
            <w:tcW w:w="4320" w:type="dxa"/>
            <w:tcBorders>
              <w:top w:val="single" w:sz="6" w:space="0" w:color="auto"/>
              <w:left w:val="single" w:sz="6" w:space="0" w:color="auto"/>
              <w:bottom w:val="single" w:sz="6" w:space="0" w:color="auto"/>
              <w:right w:val="single" w:sz="6" w:space="0" w:color="auto"/>
            </w:tcBorders>
            <w:hideMark/>
          </w:tcPr>
          <w:p w14:paraId="1BB7FBC5"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%RSD ≤25%</w:t>
            </w:r>
          </w:p>
        </w:tc>
      </w:tr>
      <w:tr w:rsidR="00E733F4" w:rsidRPr="00F01347" w14:paraId="23DB83FE" w14:textId="77777777" w:rsidTr="00E733F4">
        <w:trPr>
          <w:trHeight w:val="144"/>
        </w:trPr>
        <w:tc>
          <w:tcPr>
            <w:tcW w:w="8658" w:type="dxa"/>
            <w:gridSpan w:val="2"/>
            <w:tcBorders>
              <w:top w:val="single" w:sz="6" w:space="0" w:color="auto"/>
              <w:left w:val="single" w:sz="6" w:space="0" w:color="auto"/>
              <w:bottom w:val="single" w:sz="6" w:space="0" w:color="auto"/>
              <w:right w:val="single" w:sz="6" w:space="0" w:color="auto"/>
            </w:tcBorders>
            <w:hideMark/>
          </w:tcPr>
          <w:p w14:paraId="1E5E547A"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b/>
                <w:sz w:val="16"/>
                <w:szCs w:val="16"/>
                <w:lang w:val="en-US"/>
              </w:rPr>
              <w:t>VERIFICATION OF CONTAMINATION OF REAGENTS</w:t>
            </w:r>
          </w:p>
        </w:tc>
      </w:tr>
      <w:tr w:rsidR="00E733F4" w:rsidRPr="00F01347" w14:paraId="2323A5F1"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37637F8A"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Verification Point</w:t>
            </w:r>
          </w:p>
        </w:tc>
        <w:tc>
          <w:tcPr>
            <w:tcW w:w="4320" w:type="dxa"/>
            <w:tcBorders>
              <w:top w:val="single" w:sz="6" w:space="0" w:color="auto"/>
              <w:left w:val="single" w:sz="6" w:space="0" w:color="auto"/>
              <w:bottom w:val="single" w:sz="6" w:space="0" w:color="auto"/>
              <w:right w:val="single" w:sz="6" w:space="0" w:color="auto"/>
            </w:tcBorders>
            <w:hideMark/>
          </w:tcPr>
          <w:p w14:paraId="7F20A9EB"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Criterion</w:t>
            </w:r>
          </w:p>
        </w:tc>
      </w:tr>
      <w:tr w:rsidR="00E733F4" w:rsidRPr="00F01347" w14:paraId="659E4BD1"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29A1D4E9" w14:textId="3984FE41"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 xml:space="preserve">water </w:t>
            </w:r>
            <w:r w:rsidR="000444CD" w:rsidRPr="00F01347">
              <w:rPr>
                <w:rFonts w:ascii="Verdana" w:hAnsi="Verdana"/>
                <w:sz w:val="16"/>
                <w:szCs w:val="16"/>
                <w:lang w:val="en-US"/>
              </w:rPr>
              <w:t>blank</w:t>
            </w:r>
          </w:p>
        </w:tc>
        <w:tc>
          <w:tcPr>
            <w:tcW w:w="4320" w:type="dxa"/>
            <w:tcBorders>
              <w:top w:val="single" w:sz="6" w:space="0" w:color="auto"/>
              <w:left w:val="single" w:sz="6" w:space="0" w:color="auto"/>
              <w:bottom w:val="single" w:sz="6" w:space="0" w:color="auto"/>
              <w:right w:val="single" w:sz="6" w:space="0" w:color="auto"/>
            </w:tcBorders>
            <w:hideMark/>
          </w:tcPr>
          <w:p w14:paraId="4071B7A0" w14:textId="2416A633"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 xml:space="preserve">Do not present interferences </w:t>
            </w:r>
            <w:proofErr w:type="gramStart"/>
            <w:r w:rsidR="000444CD" w:rsidRPr="00F01347">
              <w:rPr>
                <w:rFonts w:ascii="Verdana" w:hAnsi="Verdana"/>
                <w:sz w:val="16"/>
                <w:szCs w:val="16"/>
                <w:vertAlign w:val="subscript"/>
                <w:lang w:val="en-US"/>
              </w:rPr>
              <w:t>a</w:t>
            </w:r>
            <w:r w:rsidRPr="00F01347">
              <w:rPr>
                <w:rFonts w:ascii="Verdana" w:hAnsi="Verdana"/>
                <w:sz w:val="16"/>
                <w:szCs w:val="16"/>
                <w:vertAlign w:val="subscript"/>
                <w:lang w:val="en-US"/>
              </w:rPr>
              <w:t xml:space="preserve"> </w:t>
            </w:r>
            <w:r w:rsidRPr="00F01347">
              <w:rPr>
                <w:rFonts w:ascii="Verdana" w:hAnsi="Verdana"/>
                <w:sz w:val="16"/>
                <w:szCs w:val="16"/>
                <w:lang w:val="en-US"/>
              </w:rPr>
              <w:t>the</w:t>
            </w:r>
            <w:proofErr w:type="gramEnd"/>
            <w:r w:rsidRPr="00F01347">
              <w:rPr>
                <w:rFonts w:ascii="Verdana" w:hAnsi="Verdana"/>
                <w:sz w:val="16"/>
                <w:szCs w:val="16"/>
                <w:lang w:val="en-US"/>
              </w:rPr>
              <w:t xml:space="preserve"> analytes</w:t>
            </w:r>
          </w:p>
        </w:tc>
      </w:tr>
      <w:tr w:rsidR="00E733F4" w:rsidRPr="00F01347" w14:paraId="25288867" w14:textId="77777777" w:rsidTr="00E733F4">
        <w:trPr>
          <w:trHeight w:val="144"/>
        </w:trPr>
        <w:tc>
          <w:tcPr>
            <w:tcW w:w="8658" w:type="dxa"/>
            <w:gridSpan w:val="2"/>
            <w:tcBorders>
              <w:top w:val="single" w:sz="6" w:space="0" w:color="auto"/>
              <w:left w:val="single" w:sz="6" w:space="0" w:color="auto"/>
              <w:bottom w:val="single" w:sz="6" w:space="0" w:color="auto"/>
              <w:right w:val="single" w:sz="6" w:space="0" w:color="auto"/>
            </w:tcBorders>
            <w:hideMark/>
          </w:tcPr>
          <w:p w14:paraId="04CF70D7"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b/>
                <w:sz w:val="16"/>
                <w:szCs w:val="16"/>
                <w:lang w:val="en-US"/>
              </w:rPr>
              <w:t>VERIFICATION OF THE ANALYTICAL PROCESS</w:t>
            </w:r>
          </w:p>
        </w:tc>
      </w:tr>
      <w:tr w:rsidR="00E733F4" w:rsidRPr="00F01347" w14:paraId="3503799A"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1F0595E9"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Verification Point</w:t>
            </w:r>
          </w:p>
        </w:tc>
        <w:tc>
          <w:tcPr>
            <w:tcW w:w="4320" w:type="dxa"/>
            <w:tcBorders>
              <w:top w:val="single" w:sz="6" w:space="0" w:color="auto"/>
              <w:left w:val="single" w:sz="6" w:space="0" w:color="auto"/>
              <w:bottom w:val="single" w:sz="6" w:space="0" w:color="auto"/>
              <w:right w:val="single" w:sz="6" w:space="0" w:color="auto"/>
            </w:tcBorders>
            <w:hideMark/>
          </w:tcPr>
          <w:p w14:paraId="3454D1DA"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Criterion</w:t>
            </w:r>
          </w:p>
        </w:tc>
      </w:tr>
      <w:tr w:rsidR="00E733F4" w:rsidRPr="00F01347" w14:paraId="46DC2241"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615CE7E1"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Sample quality control</w:t>
            </w:r>
          </w:p>
        </w:tc>
        <w:tc>
          <w:tcPr>
            <w:tcW w:w="4320" w:type="dxa"/>
            <w:tcBorders>
              <w:top w:val="single" w:sz="6" w:space="0" w:color="auto"/>
              <w:left w:val="single" w:sz="6" w:space="0" w:color="auto"/>
              <w:bottom w:val="single" w:sz="6" w:space="0" w:color="auto"/>
              <w:right w:val="single" w:sz="6" w:space="0" w:color="auto"/>
            </w:tcBorders>
            <w:hideMark/>
          </w:tcPr>
          <w:p w14:paraId="443881E6"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 recovery from 75 to 125%</w:t>
            </w:r>
          </w:p>
        </w:tc>
      </w:tr>
      <w:tr w:rsidR="00E733F4" w:rsidRPr="00F01347" w14:paraId="54C188E3" w14:textId="77777777" w:rsidTr="00E733F4">
        <w:trPr>
          <w:trHeight w:val="144"/>
        </w:trPr>
        <w:tc>
          <w:tcPr>
            <w:tcW w:w="8658" w:type="dxa"/>
            <w:gridSpan w:val="2"/>
            <w:tcBorders>
              <w:top w:val="single" w:sz="6" w:space="0" w:color="auto"/>
              <w:left w:val="single" w:sz="6" w:space="0" w:color="auto"/>
              <w:bottom w:val="single" w:sz="6" w:space="0" w:color="auto"/>
              <w:right w:val="single" w:sz="6" w:space="0" w:color="auto"/>
            </w:tcBorders>
            <w:hideMark/>
          </w:tcPr>
          <w:p w14:paraId="061AFF51"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b/>
                <w:sz w:val="16"/>
                <w:szCs w:val="16"/>
                <w:lang w:val="en-US"/>
              </w:rPr>
              <w:t>MATRIX INTERFERENCE CHECK</w:t>
            </w:r>
          </w:p>
        </w:tc>
      </w:tr>
      <w:tr w:rsidR="00E733F4" w:rsidRPr="00F01347" w14:paraId="0634BDAB"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1FAD4ABA"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Verification Point</w:t>
            </w:r>
          </w:p>
        </w:tc>
        <w:tc>
          <w:tcPr>
            <w:tcW w:w="4320" w:type="dxa"/>
            <w:tcBorders>
              <w:top w:val="single" w:sz="6" w:space="0" w:color="auto"/>
              <w:left w:val="single" w:sz="6" w:space="0" w:color="auto"/>
              <w:bottom w:val="single" w:sz="6" w:space="0" w:color="auto"/>
              <w:right w:val="single" w:sz="6" w:space="0" w:color="auto"/>
            </w:tcBorders>
            <w:hideMark/>
          </w:tcPr>
          <w:p w14:paraId="56188860"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Criterion</w:t>
            </w:r>
          </w:p>
        </w:tc>
      </w:tr>
      <w:tr w:rsidR="00E733F4" w:rsidRPr="00F01347" w14:paraId="36FCBEB2"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305D0717"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Evaluation of added samples</w:t>
            </w:r>
          </w:p>
        </w:tc>
        <w:tc>
          <w:tcPr>
            <w:tcW w:w="4320" w:type="dxa"/>
            <w:tcBorders>
              <w:top w:val="single" w:sz="6" w:space="0" w:color="auto"/>
              <w:left w:val="single" w:sz="6" w:space="0" w:color="auto"/>
              <w:bottom w:val="single" w:sz="6" w:space="0" w:color="auto"/>
              <w:right w:val="single" w:sz="6" w:space="0" w:color="auto"/>
            </w:tcBorders>
            <w:hideMark/>
          </w:tcPr>
          <w:p w14:paraId="7BE5B925"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 recovery from 75 to 125%</w:t>
            </w:r>
          </w:p>
        </w:tc>
      </w:tr>
      <w:tr w:rsidR="00E733F4" w:rsidRPr="00F01347" w14:paraId="6C466903"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192C8F0E"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Evaluation of duplicate spiked samples</w:t>
            </w:r>
          </w:p>
        </w:tc>
        <w:tc>
          <w:tcPr>
            <w:tcW w:w="4320" w:type="dxa"/>
            <w:tcBorders>
              <w:top w:val="single" w:sz="6" w:space="0" w:color="auto"/>
              <w:left w:val="single" w:sz="6" w:space="0" w:color="auto"/>
              <w:bottom w:val="single" w:sz="6" w:space="0" w:color="auto"/>
              <w:right w:val="single" w:sz="6" w:space="0" w:color="auto"/>
            </w:tcBorders>
            <w:hideMark/>
          </w:tcPr>
          <w:p w14:paraId="5D78BE23"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 recovery from 75 to 125%</w:t>
            </w:r>
          </w:p>
          <w:p w14:paraId="7C232B70"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%DPR of 20%</w:t>
            </w:r>
          </w:p>
        </w:tc>
      </w:tr>
      <w:tr w:rsidR="00E733F4" w:rsidRPr="00F01347" w14:paraId="53ABC9BF"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643785B5"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Evaluation of duplicate samples</w:t>
            </w:r>
          </w:p>
        </w:tc>
        <w:tc>
          <w:tcPr>
            <w:tcW w:w="4320" w:type="dxa"/>
            <w:tcBorders>
              <w:top w:val="single" w:sz="6" w:space="0" w:color="auto"/>
              <w:left w:val="single" w:sz="6" w:space="0" w:color="auto"/>
              <w:bottom w:val="single" w:sz="6" w:space="0" w:color="auto"/>
              <w:right w:val="single" w:sz="6" w:space="0" w:color="auto"/>
            </w:tcBorders>
            <w:hideMark/>
          </w:tcPr>
          <w:p w14:paraId="41116711"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%DPR of 20%</w:t>
            </w:r>
          </w:p>
        </w:tc>
      </w:tr>
      <w:tr w:rsidR="00E733F4" w:rsidRPr="00F01347" w14:paraId="1E597D9F" w14:textId="77777777" w:rsidTr="00E733F4">
        <w:trPr>
          <w:trHeight w:val="144"/>
        </w:trPr>
        <w:tc>
          <w:tcPr>
            <w:tcW w:w="8658" w:type="dxa"/>
            <w:gridSpan w:val="2"/>
            <w:tcBorders>
              <w:top w:val="single" w:sz="6" w:space="0" w:color="auto"/>
              <w:left w:val="single" w:sz="6" w:space="0" w:color="auto"/>
              <w:bottom w:val="single" w:sz="6" w:space="0" w:color="auto"/>
              <w:right w:val="single" w:sz="6" w:space="0" w:color="auto"/>
            </w:tcBorders>
            <w:hideMark/>
          </w:tcPr>
          <w:p w14:paraId="006784AC"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CALIBRATION CURVE STABILITY</w:t>
            </w:r>
          </w:p>
        </w:tc>
      </w:tr>
      <w:tr w:rsidR="00E733F4" w:rsidRPr="00F01347" w14:paraId="290BF2F4"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6A350D02"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Verification Point</w:t>
            </w:r>
          </w:p>
        </w:tc>
        <w:tc>
          <w:tcPr>
            <w:tcW w:w="4320" w:type="dxa"/>
            <w:tcBorders>
              <w:top w:val="single" w:sz="6" w:space="0" w:color="auto"/>
              <w:left w:val="single" w:sz="6" w:space="0" w:color="auto"/>
              <w:bottom w:val="single" w:sz="6" w:space="0" w:color="auto"/>
              <w:right w:val="single" w:sz="6" w:space="0" w:color="auto"/>
            </w:tcBorders>
            <w:hideMark/>
          </w:tcPr>
          <w:p w14:paraId="1041028F" w14:textId="77777777" w:rsidR="00E733F4" w:rsidRPr="00F01347" w:rsidRDefault="00E733F4">
            <w:pPr>
              <w:pStyle w:val="texto0"/>
              <w:spacing w:line="208" w:lineRule="exact"/>
              <w:ind w:firstLine="0"/>
              <w:jc w:val="center"/>
              <w:rPr>
                <w:rFonts w:ascii="Verdana" w:hAnsi="Verdana"/>
                <w:b/>
                <w:sz w:val="16"/>
                <w:szCs w:val="16"/>
                <w:lang w:val="en-US"/>
              </w:rPr>
            </w:pPr>
            <w:r w:rsidRPr="00F01347">
              <w:rPr>
                <w:rFonts w:ascii="Verdana" w:hAnsi="Verdana"/>
                <w:b/>
                <w:sz w:val="16"/>
                <w:szCs w:val="16"/>
                <w:lang w:val="en-US"/>
              </w:rPr>
              <w:t>Criterion</w:t>
            </w:r>
          </w:p>
        </w:tc>
      </w:tr>
      <w:tr w:rsidR="00E733F4" w:rsidRPr="00F01347" w14:paraId="69470C65" w14:textId="77777777" w:rsidTr="00E733F4">
        <w:trPr>
          <w:trHeight w:val="144"/>
        </w:trPr>
        <w:tc>
          <w:tcPr>
            <w:tcW w:w="4338" w:type="dxa"/>
            <w:tcBorders>
              <w:top w:val="single" w:sz="6" w:space="0" w:color="auto"/>
              <w:left w:val="single" w:sz="6" w:space="0" w:color="auto"/>
              <w:bottom w:val="single" w:sz="6" w:space="0" w:color="auto"/>
              <w:right w:val="single" w:sz="6" w:space="0" w:color="auto"/>
            </w:tcBorders>
            <w:hideMark/>
          </w:tcPr>
          <w:p w14:paraId="4A744DA9"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Continuous Verification Mix Evaluation</w:t>
            </w:r>
          </w:p>
        </w:tc>
        <w:tc>
          <w:tcPr>
            <w:tcW w:w="4320" w:type="dxa"/>
            <w:tcBorders>
              <w:top w:val="single" w:sz="6" w:space="0" w:color="auto"/>
              <w:left w:val="single" w:sz="6" w:space="0" w:color="auto"/>
              <w:bottom w:val="single" w:sz="6" w:space="0" w:color="auto"/>
              <w:right w:val="single" w:sz="6" w:space="0" w:color="auto"/>
            </w:tcBorders>
            <w:hideMark/>
          </w:tcPr>
          <w:p w14:paraId="6AD4301F" w14:textId="77777777" w:rsidR="00E733F4" w:rsidRPr="00F01347" w:rsidRDefault="00E733F4">
            <w:pPr>
              <w:pStyle w:val="texto0"/>
              <w:spacing w:line="208" w:lineRule="exact"/>
              <w:ind w:firstLine="0"/>
              <w:jc w:val="center"/>
              <w:rPr>
                <w:rFonts w:ascii="Verdana" w:hAnsi="Verdana"/>
                <w:sz w:val="16"/>
                <w:szCs w:val="16"/>
                <w:lang w:val="en-US"/>
              </w:rPr>
            </w:pPr>
            <w:r w:rsidRPr="00F01347">
              <w:rPr>
                <w:rFonts w:ascii="Verdana" w:hAnsi="Verdana"/>
                <w:sz w:val="16"/>
                <w:szCs w:val="16"/>
                <w:lang w:val="en-US"/>
              </w:rPr>
              <w:t>%RSD ≤25%</w:t>
            </w:r>
          </w:p>
        </w:tc>
      </w:tr>
    </w:tbl>
    <w:p w14:paraId="65B377B3" w14:textId="77777777" w:rsidR="00E733F4" w:rsidRPr="00F01347" w:rsidRDefault="00E733F4" w:rsidP="00E733F4">
      <w:pPr>
        <w:pStyle w:val="texto0"/>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733F4" w:rsidRPr="00F01347" w14:paraId="05F44C39" w14:textId="249B2570" w:rsidTr="00F5558C">
        <w:tc>
          <w:tcPr>
            <w:tcW w:w="4675" w:type="dxa"/>
          </w:tcPr>
          <w:p w14:paraId="1894224B" w14:textId="77777777" w:rsidR="00E733F4" w:rsidRPr="00F01347" w:rsidRDefault="00E733F4" w:rsidP="00E733F4">
            <w:pPr>
              <w:pStyle w:val="texto0"/>
              <w:ind w:firstLine="0"/>
              <w:rPr>
                <w:rFonts w:ascii="Verdana" w:hAnsi="Verdana"/>
                <w:sz w:val="16"/>
                <w:szCs w:val="16"/>
              </w:rPr>
            </w:pPr>
            <w:r w:rsidRPr="00F01347">
              <w:rPr>
                <w:rFonts w:ascii="Verdana" w:hAnsi="Verdana"/>
                <w:b/>
                <w:sz w:val="16"/>
                <w:szCs w:val="16"/>
              </w:rPr>
              <w:t>B.6.8.2 Calibración</w:t>
            </w:r>
          </w:p>
        </w:tc>
        <w:tc>
          <w:tcPr>
            <w:tcW w:w="4675" w:type="dxa"/>
          </w:tcPr>
          <w:p w14:paraId="6EF7F45B" w14:textId="484870E6" w:rsidR="00E733F4" w:rsidRPr="00F01347" w:rsidRDefault="00E733F4" w:rsidP="00E733F4">
            <w:pPr>
              <w:pStyle w:val="texto0"/>
              <w:ind w:firstLine="0"/>
              <w:rPr>
                <w:rFonts w:ascii="Verdana" w:hAnsi="Verdana"/>
                <w:b/>
                <w:sz w:val="16"/>
                <w:szCs w:val="16"/>
                <w:lang w:val="en-US"/>
              </w:rPr>
            </w:pPr>
            <w:r w:rsidRPr="00F01347">
              <w:rPr>
                <w:rFonts w:ascii="Verdana" w:hAnsi="Verdana"/>
                <w:b/>
                <w:sz w:val="16"/>
                <w:szCs w:val="16"/>
                <w:lang w:val="en-US"/>
              </w:rPr>
              <w:t>B.6.8.2 Calibration</w:t>
            </w:r>
          </w:p>
        </w:tc>
      </w:tr>
      <w:tr w:rsidR="00E733F4" w:rsidRPr="00F01347" w14:paraId="585512F1" w14:textId="608F80A0" w:rsidTr="00F5558C">
        <w:tc>
          <w:tcPr>
            <w:tcW w:w="4675" w:type="dxa"/>
          </w:tcPr>
          <w:p w14:paraId="081CEA4C" w14:textId="77777777" w:rsidR="00E733F4" w:rsidRPr="00F01347" w:rsidRDefault="00E733F4" w:rsidP="00E733F4">
            <w:pPr>
              <w:pStyle w:val="texto0"/>
              <w:ind w:firstLine="0"/>
              <w:rPr>
                <w:rFonts w:ascii="Verdana" w:hAnsi="Verdana"/>
                <w:sz w:val="16"/>
                <w:szCs w:val="16"/>
              </w:rPr>
            </w:pPr>
            <w:r w:rsidRPr="00F01347">
              <w:rPr>
                <w:rFonts w:ascii="Verdana" w:hAnsi="Verdana"/>
                <w:sz w:val="16"/>
                <w:szCs w:val="16"/>
              </w:rPr>
              <w:t xml:space="preserve">Debe llevar a cabo la estabilización del equipo a las condiciones instrumentales del método. Colocar el frasco lleno con el amortiguador de bicarbonato de sodio 4 </w:t>
            </w:r>
            <w:proofErr w:type="spellStart"/>
            <w:r w:rsidRPr="00F01347">
              <w:rPr>
                <w:rFonts w:ascii="Verdana" w:hAnsi="Verdana"/>
                <w:sz w:val="16"/>
                <w:szCs w:val="16"/>
              </w:rPr>
              <w:t>miliMolar</w:t>
            </w:r>
            <w:proofErr w:type="spellEnd"/>
            <w:r w:rsidRPr="00F01347">
              <w:rPr>
                <w:rFonts w:ascii="Verdana" w:hAnsi="Verdana"/>
                <w:sz w:val="16"/>
                <w:szCs w:val="16"/>
              </w:rPr>
              <w:t xml:space="preserve"> en la posición A. Desgasificar con helio la fase móvil por 10 minutos. Verificar que esté instalada la columna. Operar el equipo como se indica en el instructivo de operación correspondiente.</w:t>
            </w:r>
          </w:p>
        </w:tc>
        <w:tc>
          <w:tcPr>
            <w:tcW w:w="4675" w:type="dxa"/>
          </w:tcPr>
          <w:p w14:paraId="7C466B30" w14:textId="1E200A16" w:rsidR="00E733F4" w:rsidRPr="00F01347" w:rsidRDefault="00E733F4" w:rsidP="00E733F4">
            <w:pPr>
              <w:pStyle w:val="texto0"/>
              <w:ind w:firstLine="0"/>
              <w:rPr>
                <w:rFonts w:ascii="Verdana" w:hAnsi="Verdana"/>
                <w:sz w:val="16"/>
                <w:szCs w:val="16"/>
                <w:lang w:val="en-US"/>
              </w:rPr>
            </w:pPr>
            <w:r w:rsidRPr="00F01347">
              <w:rPr>
                <w:rFonts w:ascii="Verdana" w:hAnsi="Verdana"/>
                <w:sz w:val="16"/>
                <w:szCs w:val="16"/>
                <w:lang w:val="en-US"/>
              </w:rPr>
              <w:t xml:space="preserve">It must carry out the stabilization of the equipment to the instrumental conditions of the method. Place the bottle filled with the 4 </w:t>
            </w:r>
            <w:proofErr w:type="spellStart"/>
            <w:r w:rsidRPr="00F01347">
              <w:rPr>
                <w:rFonts w:ascii="Verdana" w:hAnsi="Verdana"/>
                <w:sz w:val="16"/>
                <w:szCs w:val="16"/>
                <w:lang w:val="en-US"/>
              </w:rPr>
              <w:t>milliMolar</w:t>
            </w:r>
            <w:proofErr w:type="spellEnd"/>
            <w:r w:rsidRPr="00F01347">
              <w:rPr>
                <w:rFonts w:ascii="Verdana" w:hAnsi="Verdana"/>
                <w:sz w:val="16"/>
                <w:szCs w:val="16"/>
                <w:lang w:val="en-US"/>
              </w:rPr>
              <w:t xml:space="preserve"> sodium bicarbonate buffer in position A. Degas the mobile phase with helium for 10 minutes. Verify that the column is installed. Operate the equipment as indicated in the corresponding operating instructions.</w:t>
            </w:r>
          </w:p>
        </w:tc>
      </w:tr>
      <w:tr w:rsidR="00E733F4" w:rsidRPr="00F01347" w14:paraId="5706921D" w14:textId="7C23F647" w:rsidTr="00F5558C">
        <w:tc>
          <w:tcPr>
            <w:tcW w:w="4675" w:type="dxa"/>
          </w:tcPr>
          <w:p w14:paraId="52C47D45" w14:textId="77777777" w:rsidR="00E733F4" w:rsidRPr="00F01347" w:rsidRDefault="00E733F4" w:rsidP="00E733F4">
            <w:pPr>
              <w:pStyle w:val="texto0"/>
              <w:ind w:firstLine="0"/>
              <w:rPr>
                <w:rFonts w:ascii="Verdana" w:hAnsi="Verdana"/>
                <w:sz w:val="16"/>
                <w:szCs w:val="16"/>
              </w:rPr>
            </w:pPr>
            <w:r w:rsidRPr="00F01347">
              <w:rPr>
                <w:rFonts w:ascii="Verdana" w:hAnsi="Verdana"/>
                <w:sz w:val="16"/>
                <w:szCs w:val="16"/>
              </w:rPr>
              <w:t xml:space="preserve">Preparar la curva de calibración a partir de las disoluciones concentradas preparadas por control de calidad, se recomienda preparar dos soluciones de trabajo </w:t>
            </w:r>
            <w:proofErr w:type="gramStart"/>
            <w:r w:rsidRPr="00F01347">
              <w:rPr>
                <w:rFonts w:ascii="Verdana" w:hAnsi="Verdana"/>
                <w:sz w:val="16"/>
                <w:szCs w:val="16"/>
              </w:rPr>
              <w:t>de acuerdo al</w:t>
            </w:r>
            <w:proofErr w:type="gramEnd"/>
            <w:r w:rsidRPr="00F01347">
              <w:rPr>
                <w:rFonts w:ascii="Verdana" w:hAnsi="Verdana"/>
                <w:sz w:val="16"/>
                <w:szCs w:val="16"/>
              </w:rPr>
              <w:t xml:space="preserve"> intervalo de trabajo deseado:</w:t>
            </w:r>
          </w:p>
        </w:tc>
        <w:tc>
          <w:tcPr>
            <w:tcW w:w="4675" w:type="dxa"/>
          </w:tcPr>
          <w:p w14:paraId="0AAC08BE" w14:textId="4E2FC25C" w:rsidR="00E733F4" w:rsidRPr="00F01347" w:rsidRDefault="00E733F4" w:rsidP="00E733F4">
            <w:pPr>
              <w:pStyle w:val="texto0"/>
              <w:ind w:firstLine="0"/>
              <w:rPr>
                <w:rFonts w:ascii="Verdana" w:hAnsi="Verdana"/>
                <w:sz w:val="16"/>
                <w:szCs w:val="16"/>
                <w:lang w:val="en-US"/>
              </w:rPr>
            </w:pPr>
            <w:r w:rsidRPr="00F01347">
              <w:rPr>
                <w:rFonts w:ascii="Verdana" w:hAnsi="Verdana"/>
                <w:sz w:val="16"/>
                <w:szCs w:val="16"/>
                <w:lang w:val="en-US"/>
              </w:rPr>
              <w:t>Prepare the calibration curve from the concentrated solutions prepared by quality control. It is recommended to prepare two working solutions according to the desired working range:</w:t>
            </w:r>
          </w:p>
        </w:tc>
      </w:tr>
      <w:tr w:rsidR="00E733F4" w:rsidRPr="00F01347" w14:paraId="1920A767" w14:textId="1D6019B9" w:rsidTr="00F5558C">
        <w:tc>
          <w:tcPr>
            <w:tcW w:w="4675" w:type="dxa"/>
          </w:tcPr>
          <w:p w14:paraId="32203867" w14:textId="77777777" w:rsidR="00E733F4" w:rsidRPr="00F01347" w:rsidRDefault="00E733F4" w:rsidP="00E733F4">
            <w:pPr>
              <w:pStyle w:val="texto0"/>
              <w:ind w:firstLine="0"/>
              <w:rPr>
                <w:rFonts w:ascii="Verdana" w:hAnsi="Verdana"/>
                <w:sz w:val="16"/>
                <w:szCs w:val="16"/>
              </w:rPr>
            </w:pPr>
            <w:r w:rsidRPr="00F01347">
              <w:rPr>
                <w:rFonts w:ascii="Verdana" w:hAnsi="Verdana"/>
                <w:sz w:val="16"/>
                <w:szCs w:val="16"/>
              </w:rPr>
              <w:t xml:space="preserve">A partir de las disoluciones concentradas de aniones calcular la masa que será utilizada para preparar los niveles de la curva de calibración en una masa de aforo de 1 g, </w:t>
            </w:r>
            <w:proofErr w:type="gramStart"/>
            <w:r w:rsidRPr="00F01347">
              <w:rPr>
                <w:rFonts w:ascii="Verdana" w:hAnsi="Verdana"/>
                <w:sz w:val="16"/>
                <w:szCs w:val="16"/>
              </w:rPr>
              <w:t>de acuerdo a</w:t>
            </w:r>
            <w:proofErr w:type="gramEnd"/>
            <w:r w:rsidRPr="00F01347">
              <w:rPr>
                <w:rFonts w:ascii="Verdana" w:hAnsi="Verdana"/>
                <w:sz w:val="16"/>
                <w:szCs w:val="16"/>
              </w:rPr>
              <w:t xml:space="preserve"> la siguiente ecuación:</w:t>
            </w:r>
          </w:p>
        </w:tc>
        <w:tc>
          <w:tcPr>
            <w:tcW w:w="4675" w:type="dxa"/>
          </w:tcPr>
          <w:p w14:paraId="0AC7905F" w14:textId="1940317F" w:rsidR="00E733F4" w:rsidRPr="00F01347" w:rsidRDefault="00E733F4" w:rsidP="00E733F4">
            <w:pPr>
              <w:pStyle w:val="texto0"/>
              <w:ind w:firstLine="0"/>
              <w:rPr>
                <w:rFonts w:ascii="Verdana" w:hAnsi="Verdana"/>
                <w:sz w:val="16"/>
                <w:szCs w:val="16"/>
                <w:lang w:val="en-US"/>
              </w:rPr>
            </w:pPr>
            <w:r w:rsidRPr="00F01347">
              <w:rPr>
                <w:rFonts w:ascii="Verdana" w:hAnsi="Verdana"/>
                <w:sz w:val="16"/>
                <w:szCs w:val="16"/>
                <w:lang w:val="en-US"/>
              </w:rPr>
              <w:t>From the concentrated anion solutions, calculate the mass that will be used to prepare the levels of the calibration curve in a mass of 1 g, according to the following equation:</w:t>
            </w:r>
          </w:p>
        </w:tc>
      </w:tr>
    </w:tbl>
    <w:p w14:paraId="3D416A65" w14:textId="1DAEA60D" w:rsidR="00A74CDF" w:rsidRPr="00F01347" w:rsidRDefault="00471638" w:rsidP="006A66C9">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1E752930" wp14:editId="05D6D4CE">
            <wp:extent cx="1152525" cy="323850"/>
            <wp:effectExtent l="0" t="0" r="0" b="0"/>
            <wp:docPr id="46"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52525" cy="323850"/>
                    </a:xfrm>
                    <a:prstGeom prst="rect">
                      <a:avLst/>
                    </a:prstGeom>
                    <a:noFill/>
                    <a:ln>
                      <a:noFill/>
                    </a:ln>
                  </pic:spPr>
                </pic:pic>
              </a:graphicData>
            </a:graphic>
          </wp:inline>
        </w:drawing>
      </w:r>
    </w:p>
    <w:p w14:paraId="2A990394" w14:textId="77777777" w:rsidR="006A66C9" w:rsidRPr="00F01347" w:rsidRDefault="006A66C9" w:rsidP="006A66C9">
      <w:pPr>
        <w:pStyle w:val="texto0"/>
        <w:spacing w:line="240" w:lineRule="auto"/>
        <w:ind w:left="630" w:firstLine="0"/>
        <w:jc w:val="center"/>
        <w:rPr>
          <w:rFonts w:ascii="Verdana" w:hAnsi="Verdana"/>
          <w:sz w:val="16"/>
          <w:szCs w:val="16"/>
        </w:rPr>
      </w:pPr>
    </w:p>
    <w:p w14:paraId="50533134" w14:textId="77777777" w:rsidR="006A66C9" w:rsidRPr="00F01347" w:rsidRDefault="006A66C9" w:rsidP="006A66C9">
      <w:pPr>
        <w:pStyle w:val="texto0"/>
        <w:spacing w:line="240" w:lineRule="auto"/>
        <w:ind w:left="630"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B6F54" w:rsidRPr="00F01347" w14:paraId="56060A43" w14:textId="13E3F0BA" w:rsidTr="006A66C9">
        <w:tc>
          <w:tcPr>
            <w:tcW w:w="4675" w:type="dxa"/>
          </w:tcPr>
          <w:p w14:paraId="58CD4612" w14:textId="77777777" w:rsidR="007B6F54" w:rsidRPr="00F01347" w:rsidRDefault="007B6F54" w:rsidP="007B6F54">
            <w:pPr>
              <w:pStyle w:val="texto0"/>
              <w:ind w:firstLine="0"/>
              <w:rPr>
                <w:rFonts w:ascii="Verdana" w:hAnsi="Verdana"/>
                <w:b/>
                <w:bCs/>
                <w:sz w:val="16"/>
                <w:szCs w:val="16"/>
              </w:rPr>
            </w:pPr>
            <w:r w:rsidRPr="00F01347">
              <w:rPr>
                <w:rFonts w:ascii="Verdana" w:hAnsi="Verdana"/>
                <w:b/>
                <w:bCs/>
                <w:sz w:val="16"/>
                <w:szCs w:val="16"/>
              </w:rPr>
              <w:lastRenderedPageBreak/>
              <w:t>En donde:</w:t>
            </w:r>
          </w:p>
        </w:tc>
        <w:tc>
          <w:tcPr>
            <w:tcW w:w="4675" w:type="dxa"/>
          </w:tcPr>
          <w:p w14:paraId="2A96BC4E" w14:textId="7C5D9429" w:rsidR="007B6F54" w:rsidRPr="00F01347" w:rsidRDefault="007B6F54" w:rsidP="007B6F54">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7B6F54" w:rsidRPr="00F01347" w14:paraId="500E70DB" w14:textId="1D9038AA" w:rsidTr="006A66C9">
        <w:tc>
          <w:tcPr>
            <w:tcW w:w="4675" w:type="dxa"/>
          </w:tcPr>
          <w:p w14:paraId="40C4917E" w14:textId="77777777" w:rsidR="007B6F54" w:rsidRPr="00F01347" w:rsidRDefault="007B6F54" w:rsidP="007B6F54">
            <w:pPr>
              <w:pStyle w:val="texto0"/>
              <w:ind w:firstLine="0"/>
              <w:rPr>
                <w:rFonts w:ascii="Verdana" w:hAnsi="Verdana"/>
                <w:sz w:val="16"/>
                <w:szCs w:val="16"/>
              </w:rPr>
            </w:pPr>
            <w:r w:rsidRPr="00F01347">
              <w:rPr>
                <w:rFonts w:ascii="Verdana" w:hAnsi="Verdana"/>
                <w:sz w:val="16"/>
                <w:szCs w:val="16"/>
              </w:rPr>
              <w:t>P1</w:t>
            </w:r>
            <w:r w:rsidRPr="00F01347">
              <w:rPr>
                <w:rFonts w:ascii="Verdana" w:hAnsi="Verdana"/>
                <w:sz w:val="16"/>
                <w:szCs w:val="16"/>
              </w:rPr>
              <w:tab/>
              <w:t>peso de la disolución de referencia (g)</w:t>
            </w:r>
          </w:p>
        </w:tc>
        <w:tc>
          <w:tcPr>
            <w:tcW w:w="4675" w:type="dxa"/>
          </w:tcPr>
          <w:p w14:paraId="40DA8828" w14:textId="2D09E607" w:rsidR="007B6F54" w:rsidRPr="00F01347" w:rsidRDefault="007B6F54" w:rsidP="007B6F54">
            <w:pPr>
              <w:pStyle w:val="texto0"/>
              <w:ind w:firstLine="0"/>
              <w:rPr>
                <w:rFonts w:ascii="Verdana" w:hAnsi="Verdana"/>
                <w:sz w:val="16"/>
                <w:szCs w:val="16"/>
                <w:lang w:val="en-US"/>
              </w:rPr>
            </w:pPr>
            <w:r w:rsidRPr="00F01347">
              <w:rPr>
                <w:rFonts w:ascii="Verdana" w:hAnsi="Verdana"/>
                <w:sz w:val="16"/>
                <w:szCs w:val="16"/>
                <w:lang w:val="en-US"/>
              </w:rPr>
              <w:t xml:space="preserve">P1 </w:t>
            </w:r>
            <w:r w:rsidRPr="00F01347">
              <w:rPr>
                <w:rFonts w:ascii="Verdana" w:hAnsi="Verdana"/>
                <w:sz w:val="16"/>
                <w:szCs w:val="16"/>
                <w:lang w:val="en-US"/>
              </w:rPr>
              <w:tab/>
              <w:t>weight of reference solution (g)</w:t>
            </w:r>
          </w:p>
        </w:tc>
      </w:tr>
      <w:tr w:rsidR="007B6F54" w:rsidRPr="00F01347" w14:paraId="54C5191E" w14:textId="739CEDAD" w:rsidTr="006A66C9">
        <w:tc>
          <w:tcPr>
            <w:tcW w:w="4675" w:type="dxa"/>
          </w:tcPr>
          <w:p w14:paraId="550C527B" w14:textId="77777777" w:rsidR="007B6F54" w:rsidRPr="00F01347" w:rsidRDefault="007B6F54" w:rsidP="007B6F54">
            <w:pPr>
              <w:pStyle w:val="texto0"/>
              <w:ind w:firstLine="0"/>
              <w:rPr>
                <w:rFonts w:ascii="Verdana" w:hAnsi="Verdana"/>
                <w:sz w:val="16"/>
                <w:szCs w:val="16"/>
              </w:rPr>
            </w:pPr>
            <w:r w:rsidRPr="00F01347">
              <w:rPr>
                <w:rFonts w:ascii="Verdana" w:hAnsi="Verdana"/>
                <w:sz w:val="16"/>
                <w:szCs w:val="16"/>
              </w:rPr>
              <w:t>C2</w:t>
            </w:r>
            <w:r w:rsidRPr="00F01347">
              <w:rPr>
                <w:rFonts w:ascii="Verdana" w:hAnsi="Verdana"/>
                <w:sz w:val="16"/>
                <w:szCs w:val="16"/>
              </w:rPr>
              <w:tab/>
              <w:t>concentración del nivel de concentración requerido (mg/L)</w:t>
            </w:r>
          </w:p>
        </w:tc>
        <w:tc>
          <w:tcPr>
            <w:tcW w:w="4675" w:type="dxa"/>
          </w:tcPr>
          <w:p w14:paraId="66570825" w14:textId="6FCA5B34" w:rsidR="007B6F54" w:rsidRPr="00F01347" w:rsidRDefault="007B6F54" w:rsidP="007B6F54">
            <w:pPr>
              <w:pStyle w:val="texto0"/>
              <w:ind w:firstLine="0"/>
              <w:rPr>
                <w:rFonts w:ascii="Verdana" w:hAnsi="Verdana"/>
                <w:sz w:val="16"/>
                <w:szCs w:val="16"/>
                <w:lang w:val="en-US"/>
              </w:rPr>
            </w:pPr>
            <w:r w:rsidRPr="00F01347">
              <w:rPr>
                <w:rFonts w:ascii="Verdana" w:hAnsi="Verdana"/>
                <w:sz w:val="16"/>
                <w:szCs w:val="16"/>
                <w:lang w:val="en-US"/>
              </w:rPr>
              <w:t xml:space="preserve">C2 </w:t>
            </w:r>
            <w:r w:rsidRPr="00F01347">
              <w:rPr>
                <w:rFonts w:ascii="Verdana" w:hAnsi="Verdana"/>
                <w:sz w:val="16"/>
                <w:szCs w:val="16"/>
                <w:lang w:val="en-US"/>
              </w:rPr>
              <w:tab/>
              <w:t>concentration of the required concentration level (mg/L)</w:t>
            </w:r>
          </w:p>
        </w:tc>
      </w:tr>
      <w:tr w:rsidR="007B6F54" w:rsidRPr="00F01347" w14:paraId="3B6B6C77" w14:textId="35F0B16C" w:rsidTr="006A66C9">
        <w:tc>
          <w:tcPr>
            <w:tcW w:w="4675" w:type="dxa"/>
          </w:tcPr>
          <w:p w14:paraId="286164F9" w14:textId="77777777" w:rsidR="007B6F54" w:rsidRPr="00F01347" w:rsidRDefault="007B6F54" w:rsidP="007B6F54">
            <w:pPr>
              <w:pStyle w:val="texto0"/>
              <w:ind w:firstLine="0"/>
              <w:rPr>
                <w:rFonts w:ascii="Verdana" w:hAnsi="Verdana"/>
                <w:sz w:val="16"/>
                <w:szCs w:val="16"/>
              </w:rPr>
            </w:pPr>
            <w:r w:rsidRPr="00F01347">
              <w:rPr>
                <w:rFonts w:ascii="Verdana" w:hAnsi="Verdana"/>
                <w:sz w:val="16"/>
                <w:szCs w:val="16"/>
              </w:rPr>
              <w:t>C1</w:t>
            </w:r>
            <w:r w:rsidRPr="00F01347">
              <w:rPr>
                <w:rFonts w:ascii="Verdana" w:hAnsi="Verdana"/>
                <w:sz w:val="16"/>
                <w:szCs w:val="16"/>
              </w:rPr>
              <w:tab/>
              <w:t>concentración de la solución de referencia (mg/L)</w:t>
            </w:r>
          </w:p>
        </w:tc>
        <w:tc>
          <w:tcPr>
            <w:tcW w:w="4675" w:type="dxa"/>
          </w:tcPr>
          <w:p w14:paraId="6DD358D8" w14:textId="4119D0BA" w:rsidR="007B6F54" w:rsidRPr="00F01347" w:rsidRDefault="007B6F54" w:rsidP="007B6F54">
            <w:pPr>
              <w:pStyle w:val="texto0"/>
              <w:ind w:firstLine="0"/>
              <w:rPr>
                <w:rFonts w:ascii="Verdana" w:hAnsi="Verdana"/>
                <w:sz w:val="16"/>
                <w:szCs w:val="16"/>
                <w:lang w:val="en-US"/>
              </w:rPr>
            </w:pPr>
            <w:r w:rsidRPr="00F01347">
              <w:rPr>
                <w:rFonts w:ascii="Verdana" w:hAnsi="Verdana"/>
                <w:sz w:val="16"/>
                <w:szCs w:val="16"/>
                <w:lang w:val="en-US"/>
              </w:rPr>
              <w:t xml:space="preserve">C1 </w:t>
            </w:r>
            <w:r w:rsidRPr="00F01347">
              <w:rPr>
                <w:rFonts w:ascii="Verdana" w:hAnsi="Verdana"/>
                <w:sz w:val="16"/>
                <w:szCs w:val="16"/>
                <w:lang w:val="en-US"/>
              </w:rPr>
              <w:tab/>
              <w:t>concentration of reference solution (mg/L)</w:t>
            </w:r>
          </w:p>
        </w:tc>
      </w:tr>
      <w:tr w:rsidR="007B6F54" w:rsidRPr="00F01347" w14:paraId="0AB66092" w14:textId="66403958" w:rsidTr="006A66C9">
        <w:tc>
          <w:tcPr>
            <w:tcW w:w="4675" w:type="dxa"/>
          </w:tcPr>
          <w:p w14:paraId="232CDA10" w14:textId="77777777" w:rsidR="007B6F54" w:rsidRPr="00F01347" w:rsidRDefault="007B6F54" w:rsidP="007B6F54">
            <w:pPr>
              <w:pStyle w:val="texto0"/>
              <w:ind w:firstLine="0"/>
              <w:rPr>
                <w:rFonts w:ascii="Verdana" w:hAnsi="Verdana"/>
                <w:sz w:val="16"/>
                <w:szCs w:val="16"/>
              </w:rPr>
            </w:pPr>
            <w:r w:rsidRPr="00F01347">
              <w:rPr>
                <w:rFonts w:ascii="Verdana" w:hAnsi="Verdana"/>
                <w:sz w:val="16"/>
                <w:szCs w:val="16"/>
              </w:rPr>
              <w:t>P2</w:t>
            </w:r>
            <w:r w:rsidRPr="00F01347">
              <w:rPr>
                <w:rFonts w:ascii="Verdana" w:hAnsi="Verdana"/>
                <w:sz w:val="16"/>
                <w:szCs w:val="16"/>
              </w:rPr>
              <w:tab/>
              <w:t>peso de aforo del nivel de concentración requerido (g); será igual a 1 a menos que el volumen de aforo sea diferente a 1 g</w:t>
            </w:r>
          </w:p>
        </w:tc>
        <w:tc>
          <w:tcPr>
            <w:tcW w:w="4675" w:type="dxa"/>
          </w:tcPr>
          <w:p w14:paraId="48E4C3C1" w14:textId="16694CB6" w:rsidR="007B6F54" w:rsidRPr="00F01347" w:rsidRDefault="007B6F54" w:rsidP="007B6F54">
            <w:pPr>
              <w:pStyle w:val="texto0"/>
              <w:ind w:firstLine="0"/>
              <w:rPr>
                <w:rFonts w:ascii="Verdana" w:hAnsi="Verdana"/>
                <w:sz w:val="16"/>
                <w:szCs w:val="16"/>
                <w:lang w:val="en-US"/>
              </w:rPr>
            </w:pPr>
            <w:r w:rsidRPr="00F01347">
              <w:rPr>
                <w:rFonts w:ascii="Verdana" w:hAnsi="Verdana"/>
                <w:sz w:val="16"/>
                <w:szCs w:val="16"/>
                <w:lang w:val="en-US"/>
              </w:rPr>
              <w:t xml:space="preserve">P2 </w:t>
            </w:r>
            <w:r w:rsidRPr="00F01347">
              <w:rPr>
                <w:rFonts w:ascii="Verdana" w:hAnsi="Verdana"/>
                <w:sz w:val="16"/>
                <w:szCs w:val="16"/>
                <w:lang w:val="en-US"/>
              </w:rPr>
              <w:tab/>
              <w:t>gauging weight of the required concentration level (g); will be equal to 1 unless the gauging volume is different than 1 g</w:t>
            </w:r>
          </w:p>
        </w:tc>
      </w:tr>
      <w:tr w:rsidR="007B6F54" w:rsidRPr="00F01347" w14:paraId="48DEC4EC" w14:textId="4A005B07" w:rsidTr="006A66C9">
        <w:tc>
          <w:tcPr>
            <w:tcW w:w="4675" w:type="dxa"/>
          </w:tcPr>
          <w:p w14:paraId="11A382D4" w14:textId="77777777" w:rsidR="007B6F54" w:rsidRPr="00F01347" w:rsidRDefault="007B6F54" w:rsidP="007B6F54">
            <w:pPr>
              <w:pStyle w:val="texto0"/>
              <w:ind w:firstLine="0"/>
              <w:rPr>
                <w:rFonts w:ascii="Verdana" w:hAnsi="Verdana"/>
                <w:sz w:val="16"/>
                <w:szCs w:val="16"/>
              </w:rPr>
            </w:pPr>
            <w:r w:rsidRPr="00F01347">
              <w:rPr>
                <w:rFonts w:ascii="Verdana" w:hAnsi="Verdana"/>
                <w:sz w:val="16"/>
                <w:szCs w:val="16"/>
              </w:rPr>
              <w:t>D1</w:t>
            </w:r>
            <w:r w:rsidRPr="00F01347">
              <w:rPr>
                <w:rFonts w:ascii="Verdana" w:hAnsi="Verdana"/>
                <w:sz w:val="16"/>
                <w:szCs w:val="16"/>
              </w:rPr>
              <w:tab/>
              <w:t>densidad de la disolución de referencia (g/</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0AB0E50D" w14:textId="083147A6" w:rsidR="007B6F54" w:rsidRPr="00F01347" w:rsidRDefault="007B6F54" w:rsidP="007B6F54">
            <w:pPr>
              <w:pStyle w:val="texto0"/>
              <w:ind w:firstLine="0"/>
              <w:rPr>
                <w:rFonts w:ascii="Verdana" w:hAnsi="Verdana"/>
                <w:sz w:val="16"/>
                <w:szCs w:val="16"/>
                <w:lang w:val="en-US"/>
              </w:rPr>
            </w:pPr>
            <w:r w:rsidRPr="00F01347">
              <w:rPr>
                <w:rFonts w:ascii="Verdana" w:hAnsi="Verdana"/>
                <w:sz w:val="16"/>
                <w:szCs w:val="16"/>
                <w:lang w:val="en-US"/>
              </w:rPr>
              <w:t xml:space="preserve">D1 </w:t>
            </w:r>
            <w:r w:rsidRPr="00F01347">
              <w:rPr>
                <w:rFonts w:ascii="Verdana" w:hAnsi="Verdana"/>
                <w:sz w:val="16"/>
                <w:szCs w:val="16"/>
                <w:lang w:val="en-US"/>
              </w:rPr>
              <w:tab/>
              <w:t>density of the reference solution (g/ mL</w:t>
            </w:r>
            <w:r w:rsidR="00913802" w:rsidRPr="00F01347">
              <w:rPr>
                <w:rFonts w:ascii="Verdana" w:hAnsi="Verdana"/>
                <w:sz w:val="16"/>
                <w:szCs w:val="16"/>
                <w:lang w:val="en-US"/>
              </w:rPr>
              <w:t>)</w:t>
            </w:r>
          </w:p>
        </w:tc>
      </w:tr>
      <w:tr w:rsidR="007B6F54" w:rsidRPr="00F01347" w14:paraId="102178E9" w14:textId="54204A4F" w:rsidTr="006A66C9">
        <w:tc>
          <w:tcPr>
            <w:tcW w:w="4675" w:type="dxa"/>
          </w:tcPr>
          <w:p w14:paraId="25357DA2" w14:textId="77777777" w:rsidR="007B6F54" w:rsidRPr="00F01347" w:rsidRDefault="007B6F54" w:rsidP="007B6F54">
            <w:pPr>
              <w:pStyle w:val="texto0"/>
              <w:ind w:firstLine="0"/>
              <w:rPr>
                <w:rFonts w:ascii="Verdana" w:hAnsi="Verdana"/>
                <w:sz w:val="16"/>
                <w:szCs w:val="16"/>
              </w:rPr>
            </w:pPr>
            <w:r w:rsidRPr="00F01347">
              <w:rPr>
                <w:rFonts w:ascii="Verdana" w:hAnsi="Verdana"/>
                <w:sz w:val="16"/>
                <w:szCs w:val="16"/>
              </w:rPr>
              <w:t>D2</w:t>
            </w:r>
            <w:r w:rsidRPr="00F01347">
              <w:rPr>
                <w:rFonts w:ascii="Verdana" w:hAnsi="Verdana"/>
                <w:sz w:val="16"/>
                <w:szCs w:val="16"/>
              </w:rPr>
              <w:tab/>
              <w:t>densidad del disolvente de aforo (g/</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75CFAB69" w14:textId="5714D56D" w:rsidR="007B6F54" w:rsidRPr="00F01347" w:rsidRDefault="007B6F54" w:rsidP="007B6F54">
            <w:pPr>
              <w:pStyle w:val="texto0"/>
              <w:ind w:firstLine="0"/>
              <w:rPr>
                <w:rFonts w:ascii="Verdana" w:hAnsi="Verdana"/>
                <w:sz w:val="16"/>
                <w:szCs w:val="16"/>
                <w:lang w:val="en-US"/>
              </w:rPr>
            </w:pPr>
            <w:r w:rsidRPr="00F01347">
              <w:rPr>
                <w:rFonts w:ascii="Verdana" w:hAnsi="Verdana"/>
                <w:sz w:val="16"/>
                <w:szCs w:val="16"/>
                <w:lang w:val="en-US"/>
              </w:rPr>
              <w:t xml:space="preserve">D2 </w:t>
            </w:r>
            <w:r w:rsidRPr="00F01347">
              <w:rPr>
                <w:rFonts w:ascii="Verdana" w:hAnsi="Verdana"/>
                <w:sz w:val="16"/>
                <w:szCs w:val="16"/>
                <w:lang w:val="en-US"/>
              </w:rPr>
              <w:tab/>
              <w:t>density of the volumetric solvent (g/ mL</w:t>
            </w:r>
            <w:r w:rsidR="00913802" w:rsidRPr="00F01347">
              <w:rPr>
                <w:rFonts w:ascii="Verdana" w:hAnsi="Verdana"/>
                <w:sz w:val="16"/>
                <w:szCs w:val="16"/>
                <w:lang w:val="en-US"/>
              </w:rPr>
              <w:t>)</w:t>
            </w:r>
          </w:p>
        </w:tc>
      </w:tr>
      <w:tr w:rsidR="007B6F54" w:rsidRPr="00F01347" w14:paraId="7543AE56" w14:textId="5472AB5B" w:rsidTr="006A66C9">
        <w:tc>
          <w:tcPr>
            <w:tcW w:w="4675" w:type="dxa"/>
          </w:tcPr>
          <w:p w14:paraId="6F2839F0" w14:textId="77777777" w:rsidR="007B6F54" w:rsidRPr="00F01347" w:rsidRDefault="007B6F54" w:rsidP="007B6F54">
            <w:pPr>
              <w:pStyle w:val="texto0"/>
              <w:ind w:firstLine="0"/>
              <w:rPr>
                <w:rFonts w:ascii="Verdana" w:hAnsi="Verdana"/>
                <w:sz w:val="16"/>
                <w:szCs w:val="16"/>
              </w:rPr>
            </w:pPr>
            <w:r w:rsidRPr="00F01347">
              <w:rPr>
                <w:rFonts w:ascii="Verdana" w:hAnsi="Verdana"/>
                <w:sz w:val="16"/>
                <w:szCs w:val="16"/>
              </w:rPr>
              <w:t>Calcular la concentración real de cada uno de los niveles de concentración utilizando la ecuación siguiente:</w:t>
            </w:r>
          </w:p>
        </w:tc>
        <w:tc>
          <w:tcPr>
            <w:tcW w:w="4675" w:type="dxa"/>
          </w:tcPr>
          <w:p w14:paraId="4E2499A6" w14:textId="063E7B94" w:rsidR="007B6F54" w:rsidRPr="00F01347" w:rsidRDefault="007B6F54" w:rsidP="007B6F54">
            <w:pPr>
              <w:pStyle w:val="texto0"/>
              <w:ind w:firstLine="0"/>
              <w:rPr>
                <w:rFonts w:ascii="Verdana" w:hAnsi="Verdana"/>
                <w:sz w:val="16"/>
                <w:szCs w:val="16"/>
                <w:lang w:val="en-US"/>
              </w:rPr>
            </w:pPr>
            <w:r w:rsidRPr="00F01347">
              <w:rPr>
                <w:rFonts w:ascii="Verdana" w:hAnsi="Verdana"/>
                <w:sz w:val="16"/>
                <w:szCs w:val="16"/>
                <w:lang w:val="en-US"/>
              </w:rPr>
              <w:t>Calculate the actual concentration for each of the concentration levels using the following equation:</w:t>
            </w:r>
          </w:p>
        </w:tc>
      </w:tr>
    </w:tbl>
    <w:p w14:paraId="0344C091" w14:textId="50FFF41D" w:rsidR="00A74CDF" w:rsidRPr="00F01347" w:rsidRDefault="00471638" w:rsidP="006A66C9">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0FB9D8C1" wp14:editId="134173B0">
            <wp:extent cx="1190625" cy="323850"/>
            <wp:effectExtent l="0" t="0" r="0" b="0"/>
            <wp:docPr id="47"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90625" cy="3238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87391" w:rsidRPr="00F01347" w14:paraId="33DA8A84" w14:textId="2E0FF042" w:rsidTr="006A66C9">
        <w:tc>
          <w:tcPr>
            <w:tcW w:w="4675" w:type="dxa"/>
          </w:tcPr>
          <w:p w14:paraId="65EC4331" w14:textId="77777777" w:rsidR="00987391" w:rsidRPr="00F01347" w:rsidRDefault="00987391" w:rsidP="00987391">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3480D205" w14:textId="6E8390B3" w:rsidR="00987391" w:rsidRPr="00F01347" w:rsidRDefault="00987391" w:rsidP="00987391">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987391" w:rsidRPr="00F01347" w14:paraId="4E8740E8" w14:textId="1E27ED75" w:rsidTr="006A66C9">
        <w:tc>
          <w:tcPr>
            <w:tcW w:w="4675" w:type="dxa"/>
          </w:tcPr>
          <w:p w14:paraId="6200AA04" w14:textId="77777777" w:rsidR="00987391" w:rsidRPr="00F01347" w:rsidRDefault="00987391" w:rsidP="00987391">
            <w:pPr>
              <w:pStyle w:val="texto0"/>
              <w:ind w:firstLine="0"/>
              <w:rPr>
                <w:rFonts w:ascii="Verdana" w:hAnsi="Verdana"/>
                <w:sz w:val="16"/>
                <w:szCs w:val="16"/>
              </w:rPr>
            </w:pPr>
            <w:r w:rsidRPr="00F01347">
              <w:rPr>
                <w:rFonts w:ascii="Verdana" w:hAnsi="Verdana"/>
                <w:sz w:val="16"/>
                <w:szCs w:val="16"/>
              </w:rPr>
              <w:t>C3</w:t>
            </w:r>
            <w:r w:rsidRPr="00F01347">
              <w:rPr>
                <w:rFonts w:ascii="Verdana" w:hAnsi="Verdana"/>
                <w:sz w:val="16"/>
                <w:szCs w:val="16"/>
              </w:rPr>
              <w:tab/>
              <w:t>concentración real de cada nivel (mg/L)</w:t>
            </w:r>
          </w:p>
        </w:tc>
        <w:tc>
          <w:tcPr>
            <w:tcW w:w="4675" w:type="dxa"/>
          </w:tcPr>
          <w:p w14:paraId="7CCD6F80" w14:textId="485310DF" w:rsidR="00987391" w:rsidRPr="00F01347" w:rsidRDefault="00987391" w:rsidP="00987391">
            <w:pPr>
              <w:pStyle w:val="texto0"/>
              <w:ind w:firstLine="0"/>
              <w:rPr>
                <w:rFonts w:ascii="Verdana" w:hAnsi="Verdana"/>
                <w:sz w:val="16"/>
                <w:szCs w:val="16"/>
                <w:lang w:val="en-US"/>
              </w:rPr>
            </w:pPr>
            <w:r w:rsidRPr="00F01347">
              <w:rPr>
                <w:rFonts w:ascii="Verdana" w:hAnsi="Verdana"/>
                <w:sz w:val="16"/>
                <w:szCs w:val="16"/>
                <w:lang w:val="en-US"/>
              </w:rPr>
              <w:t xml:space="preserve">C3 </w:t>
            </w:r>
            <w:r w:rsidRPr="00F01347">
              <w:rPr>
                <w:rFonts w:ascii="Verdana" w:hAnsi="Verdana"/>
                <w:sz w:val="16"/>
                <w:szCs w:val="16"/>
                <w:lang w:val="en-US"/>
              </w:rPr>
              <w:tab/>
              <w:t>actual concentration of each level (mg/L)</w:t>
            </w:r>
          </w:p>
        </w:tc>
      </w:tr>
      <w:tr w:rsidR="00987391" w:rsidRPr="00F01347" w14:paraId="4EECE0D0" w14:textId="696F3BD3" w:rsidTr="006A66C9">
        <w:tc>
          <w:tcPr>
            <w:tcW w:w="4675" w:type="dxa"/>
          </w:tcPr>
          <w:p w14:paraId="35D1DBE0" w14:textId="77777777" w:rsidR="00987391" w:rsidRPr="00F01347" w:rsidRDefault="00987391" w:rsidP="00987391">
            <w:pPr>
              <w:pStyle w:val="texto0"/>
              <w:ind w:firstLine="0"/>
              <w:rPr>
                <w:rFonts w:ascii="Verdana" w:hAnsi="Verdana"/>
                <w:sz w:val="16"/>
                <w:szCs w:val="16"/>
              </w:rPr>
            </w:pPr>
            <w:r w:rsidRPr="00F01347">
              <w:rPr>
                <w:rFonts w:ascii="Verdana" w:hAnsi="Verdana"/>
                <w:sz w:val="16"/>
                <w:szCs w:val="16"/>
              </w:rPr>
              <w:t>C1</w:t>
            </w:r>
            <w:r w:rsidRPr="00F01347">
              <w:rPr>
                <w:rFonts w:ascii="Verdana" w:hAnsi="Verdana"/>
                <w:sz w:val="16"/>
                <w:szCs w:val="16"/>
              </w:rPr>
              <w:tab/>
              <w:t>concentración de la mezcla de referencia utilizada (mg/L)</w:t>
            </w:r>
          </w:p>
        </w:tc>
        <w:tc>
          <w:tcPr>
            <w:tcW w:w="4675" w:type="dxa"/>
          </w:tcPr>
          <w:p w14:paraId="6B5704F0" w14:textId="35BB1FF1" w:rsidR="00987391" w:rsidRPr="00F01347" w:rsidRDefault="00987391" w:rsidP="00987391">
            <w:pPr>
              <w:pStyle w:val="texto0"/>
              <w:ind w:firstLine="0"/>
              <w:rPr>
                <w:rFonts w:ascii="Verdana" w:hAnsi="Verdana"/>
                <w:sz w:val="16"/>
                <w:szCs w:val="16"/>
                <w:lang w:val="en-US"/>
              </w:rPr>
            </w:pPr>
            <w:r w:rsidRPr="00F01347">
              <w:rPr>
                <w:rFonts w:ascii="Verdana" w:hAnsi="Verdana"/>
                <w:sz w:val="16"/>
                <w:szCs w:val="16"/>
                <w:lang w:val="en-US"/>
              </w:rPr>
              <w:t xml:space="preserve">C1 </w:t>
            </w:r>
            <w:r w:rsidRPr="00F01347">
              <w:rPr>
                <w:rFonts w:ascii="Verdana" w:hAnsi="Verdana"/>
                <w:sz w:val="16"/>
                <w:szCs w:val="16"/>
                <w:lang w:val="en-US"/>
              </w:rPr>
              <w:tab/>
              <w:t>concentration of the reference mixture used (mg/L)</w:t>
            </w:r>
          </w:p>
        </w:tc>
      </w:tr>
      <w:tr w:rsidR="00987391" w:rsidRPr="00F01347" w14:paraId="7D6A641F" w14:textId="18BE309F" w:rsidTr="006A66C9">
        <w:tc>
          <w:tcPr>
            <w:tcW w:w="4675" w:type="dxa"/>
          </w:tcPr>
          <w:p w14:paraId="70796D7E" w14:textId="77777777" w:rsidR="00987391" w:rsidRPr="00F01347" w:rsidRDefault="00987391" w:rsidP="00987391">
            <w:pPr>
              <w:pStyle w:val="texto0"/>
              <w:ind w:firstLine="0"/>
              <w:rPr>
                <w:rFonts w:ascii="Verdana" w:hAnsi="Verdana"/>
                <w:sz w:val="16"/>
                <w:szCs w:val="16"/>
              </w:rPr>
            </w:pPr>
            <w:r w:rsidRPr="00F01347">
              <w:rPr>
                <w:rFonts w:ascii="Verdana" w:hAnsi="Verdana"/>
                <w:sz w:val="16"/>
                <w:szCs w:val="16"/>
              </w:rPr>
              <w:t>P1</w:t>
            </w:r>
            <w:r w:rsidRPr="00F01347">
              <w:rPr>
                <w:rFonts w:ascii="Verdana" w:hAnsi="Verdana"/>
                <w:sz w:val="16"/>
                <w:szCs w:val="16"/>
              </w:rPr>
              <w:tab/>
              <w:t>peso de la mezcla de referencia utilizada (g)</w:t>
            </w:r>
          </w:p>
        </w:tc>
        <w:tc>
          <w:tcPr>
            <w:tcW w:w="4675" w:type="dxa"/>
          </w:tcPr>
          <w:p w14:paraId="535C0878" w14:textId="66C52DBA" w:rsidR="00987391" w:rsidRPr="00F01347" w:rsidRDefault="00987391" w:rsidP="00987391">
            <w:pPr>
              <w:pStyle w:val="texto0"/>
              <w:ind w:firstLine="0"/>
              <w:rPr>
                <w:rFonts w:ascii="Verdana" w:hAnsi="Verdana"/>
                <w:sz w:val="16"/>
                <w:szCs w:val="16"/>
                <w:lang w:val="en-US"/>
              </w:rPr>
            </w:pPr>
            <w:r w:rsidRPr="00F01347">
              <w:rPr>
                <w:rFonts w:ascii="Verdana" w:hAnsi="Verdana"/>
                <w:sz w:val="16"/>
                <w:szCs w:val="16"/>
                <w:lang w:val="en-US"/>
              </w:rPr>
              <w:t xml:space="preserve">P1 </w:t>
            </w:r>
            <w:r w:rsidRPr="00F01347">
              <w:rPr>
                <w:rFonts w:ascii="Verdana" w:hAnsi="Verdana"/>
                <w:sz w:val="16"/>
                <w:szCs w:val="16"/>
                <w:lang w:val="en-US"/>
              </w:rPr>
              <w:tab/>
              <w:t>weight of the reference mixture used (g)</w:t>
            </w:r>
          </w:p>
        </w:tc>
      </w:tr>
      <w:tr w:rsidR="00987391" w:rsidRPr="00F01347" w14:paraId="2BE14454" w14:textId="69F7C66D" w:rsidTr="006A66C9">
        <w:tc>
          <w:tcPr>
            <w:tcW w:w="4675" w:type="dxa"/>
          </w:tcPr>
          <w:p w14:paraId="758FE215" w14:textId="77777777" w:rsidR="00987391" w:rsidRPr="00F01347" w:rsidRDefault="00987391" w:rsidP="00987391">
            <w:pPr>
              <w:pStyle w:val="texto0"/>
              <w:ind w:firstLine="0"/>
              <w:rPr>
                <w:rFonts w:ascii="Verdana" w:hAnsi="Verdana"/>
                <w:sz w:val="16"/>
                <w:szCs w:val="16"/>
              </w:rPr>
            </w:pPr>
            <w:r w:rsidRPr="00F01347">
              <w:rPr>
                <w:rFonts w:ascii="Verdana" w:hAnsi="Verdana"/>
                <w:sz w:val="16"/>
                <w:szCs w:val="16"/>
              </w:rPr>
              <w:t>P3</w:t>
            </w:r>
            <w:r w:rsidRPr="00F01347">
              <w:rPr>
                <w:rFonts w:ascii="Verdana" w:hAnsi="Verdana"/>
                <w:sz w:val="16"/>
                <w:szCs w:val="16"/>
              </w:rPr>
              <w:tab/>
              <w:t>peso de aforo del nivel de concentración requerido (g); será igual a 1 a menos que el volumen de aforo sea diferente a 1 g</w:t>
            </w:r>
          </w:p>
        </w:tc>
        <w:tc>
          <w:tcPr>
            <w:tcW w:w="4675" w:type="dxa"/>
          </w:tcPr>
          <w:p w14:paraId="6184315E" w14:textId="357815DB" w:rsidR="00987391" w:rsidRPr="00F01347" w:rsidRDefault="00987391" w:rsidP="00987391">
            <w:pPr>
              <w:pStyle w:val="texto0"/>
              <w:ind w:firstLine="0"/>
              <w:rPr>
                <w:rFonts w:ascii="Verdana" w:hAnsi="Verdana"/>
                <w:sz w:val="16"/>
                <w:szCs w:val="16"/>
                <w:lang w:val="en-US"/>
              </w:rPr>
            </w:pPr>
            <w:r w:rsidRPr="00F01347">
              <w:rPr>
                <w:rFonts w:ascii="Verdana" w:hAnsi="Verdana"/>
                <w:sz w:val="16"/>
                <w:szCs w:val="16"/>
                <w:lang w:val="en-US"/>
              </w:rPr>
              <w:t xml:space="preserve">P3 </w:t>
            </w:r>
            <w:r w:rsidRPr="00F01347">
              <w:rPr>
                <w:rFonts w:ascii="Verdana" w:hAnsi="Verdana"/>
                <w:sz w:val="16"/>
                <w:szCs w:val="16"/>
                <w:lang w:val="en-US"/>
              </w:rPr>
              <w:tab/>
              <w:t>gauging weight of the required concentration level (g); will be equal to 1 unless the gauging volume is different than 1 g</w:t>
            </w:r>
          </w:p>
        </w:tc>
      </w:tr>
      <w:tr w:rsidR="00987391" w:rsidRPr="00F01347" w14:paraId="373E9D6C" w14:textId="655CA4B9" w:rsidTr="006A66C9">
        <w:tc>
          <w:tcPr>
            <w:tcW w:w="4675" w:type="dxa"/>
          </w:tcPr>
          <w:p w14:paraId="7C07185D" w14:textId="77777777" w:rsidR="00987391" w:rsidRPr="00F01347" w:rsidRDefault="00987391" w:rsidP="00987391">
            <w:pPr>
              <w:pStyle w:val="texto0"/>
              <w:ind w:firstLine="0"/>
              <w:rPr>
                <w:rFonts w:ascii="Verdana" w:hAnsi="Verdana"/>
                <w:sz w:val="16"/>
                <w:szCs w:val="16"/>
              </w:rPr>
            </w:pPr>
            <w:r w:rsidRPr="00F01347">
              <w:rPr>
                <w:rFonts w:ascii="Verdana" w:hAnsi="Verdana"/>
                <w:sz w:val="16"/>
                <w:szCs w:val="16"/>
              </w:rPr>
              <w:t>D1</w:t>
            </w:r>
            <w:r w:rsidRPr="00F01347">
              <w:rPr>
                <w:rFonts w:ascii="Verdana" w:hAnsi="Verdana"/>
                <w:sz w:val="16"/>
                <w:szCs w:val="16"/>
              </w:rPr>
              <w:tab/>
              <w:t>densidad de la mezcla de referencia (g/</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2E282F4A" w14:textId="79027FAE" w:rsidR="00987391" w:rsidRPr="00F01347" w:rsidRDefault="00987391" w:rsidP="00987391">
            <w:pPr>
              <w:pStyle w:val="texto0"/>
              <w:ind w:firstLine="0"/>
              <w:rPr>
                <w:rFonts w:ascii="Verdana" w:hAnsi="Verdana"/>
                <w:sz w:val="16"/>
                <w:szCs w:val="16"/>
                <w:lang w:val="en-US"/>
              </w:rPr>
            </w:pPr>
            <w:r w:rsidRPr="00F01347">
              <w:rPr>
                <w:rFonts w:ascii="Verdana" w:hAnsi="Verdana"/>
                <w:sz w:val="16"/>
                <w:szCs w:val="16"/>
                <w:lang w:val="en-US"/>
              </w:rPr>
              <w:t xml:space="preserve">D1 </w:t>
            </w:r>
            <w:r w:rsidRPr="00F01347">
              <w:rPr>
                <w:rFonts w:ascii="Verdana" w:hAnsi="Verdana"/>
                <w:sz w:val="16"/>
                <w:szCs w:val="16"/>
                <w:lang w:val="en-US"/>
              </w:rPr>
              <w:tab/>
              <w:t>density of the reference mixture (g/ mL</w:t>
            </w:r>
            <w:r w:rsidR="00913802" w:rsidRPr="00F01347">
              <w:rPr>
                <w:rFonts w:ascii="Verdana" w:hAnsi="Verdana"/>
                <w:sz w:val="16"/>
                <w:szCs w:val="16"/>
                <w:lang w:val="en-US"/>
              </w:rPr>
              <w:t>)</w:t>
            </w:r>
          </w:p>
        </w:tc>
      </w:tr>
      <w:tr w:rsidR="00987391" w:rsidRPr="00F01347" w14:paraId="020CA8AE" w14:textId="4525D524" w:rsidTr="006A66C9">
        <w:tc>
          <w:tcPr>
            <w:tcW w:w="4675" w:type="dxa"/>
          </w:tcPr>
          <w:p w14:paraId="782A18F7" w14:textId="77777777" w:rsidR="00987391" w:rsidRPr="00F01347" w:rsidRDefault="00987391" w:rsidP="00987391">
            <w:pPr>
              <w:pStyle w:val="texto0"/>
              <w:ind w:firstLine="0"/>
              <w:rPr>
                <w:rFonts w:ascii="Verdana" w:hAnsi="Verdana"/>
                <w:sz w:val="16"/>
                <w:szCs w:val="16"/>
              </w:rPr>
            </w:pPr>
            <w:r w:rsidRPr="00F01347">
              <w:rPr>
                <w:rFonts w:ascii="Verdana" w:hAnsi="Verdana"/>
                <w:sz w:val="16"/>
                <w:szCs w:val="16"/>
              </w:rPr>
              <w:t>D3</w:t>
            </w:r>
            <w:r w:rsidRPr="00F01347">
              <w:rPr>
                <w:rFonts w:ascii="Verdana" w:hAnsi="Verdana"/>
                <w:sz w:val="16"/>
                <w:szCs w:val="16"/>
              </w:rPr>
              <w:tab/>
              <w:t>densidad del disolvente de aforo (g/</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576E8E3C" w14:textId="5E32F0C6" w:rsidR="00987391" w:rsidRPr="00F01347" w:rsidRDefault="00987391" w:rsidP="00987391">
            <w:pPr>
              <w:pStyle w:val="texto0"/>
              <w:ind w:firstLine="0"/>
              <w:rPr>
                <w:rFonts w:ascii="Verdana" w:hAnsi="Verdana"/>
                <w:sz w:val="16"/>
                <w:szCs w:val="16"/>
                <w:lang w:val="en-US"/>
              </w:rPr>
            </w:pPr>
            <w:r w:rsidRPr="00F01347">
              <w:rPr>
                <w:rFonts w:ascii="Verdana" w:hAnsi="Verdana"/>
                <w:sz w:val="16"/>
                <w:szCs w:val="16"/>
                <w:lang w:val="en-US"/>
              </w:rPr>
              <w:t xml:space="preserve">D3 </w:t>
            </w:r>
            <w:r w:rsidRPr="00F01347">
              <w:rPr>
                <w:rFonts w:ascii="Verdana" w:hAnsi="Verdana"/>
                <w:sz w:val="16"/>
                <w:szCs w:val="16"/>
                <w:lang w:val="en-US"/>
              </w:rPr>
              <w:tab/>
              <w:t>density of the volumetric solvent (g/ mL</w:t>
            </w:r>
            <w:r w:rsidR="00913802" w:rsidRPr="00F01347">
              <w:rPr>
                <w:rFonts w:ascii="Verdana" w:hAnsi="Verdana"/>
                <w:sz w:val="16"/>
                <w:szCs w:val="16"/>
                <w:lang w:val="en-US"/>
              </w:rPr>
              <w:t>)</w:t>
            </w:r>
          </w:p>
        </w:tc>
      </w:tr>
      <w:tr w:rsidR="00987391" w:rsidRPr="00F01347" w14:paraId="063A0060" w14:textId="409D0356" w:rsidTr="006A66C9">
        <w:tc>
          <w:tcPr>
            <w:tcW w:w="4675" w:type="dxa"/>
          </w:tcPr>
          <w:p w14:paraId="3AAFD2E2" w14:textId="77777777" w:rsidR="00987391" w:rsidRPr="00F01347" w:rsidRDefault="00987391" w:rsidP="00987391">
            <w:pPr>
              <w:pStyle w:val="texto0"/>
              <w:ind w:firstLine="0"/>
              <w:rPr>
                <w:rFonts w:ascii="Verdana" w:hAnsi="Verdana"/>
                <w:sz w:val="16"/>
                <w:szCs w:val="16"/>
              </w:rPr>
            </w:pPr>
            <w:r w:rsidRPr="00F01347">
              <w:rPr>
                <w:rFonts w:ascii="Verdana" w:hAnsi="Verdana"/>
                <w:sz w:val="16"/>
                <w:szCs w:val="16"/>
              </w:rPr>
              <w:t>Las Tablas B.6-2 y B.6-2 Bis, de este Apéndice muestran un ejemplo para la preparación de la curva de calibración bromato, clorito y clorato.</w:t>
            </w:r>
          </w:p>
        </w:tc>
        <w:tc>
          <w:tcPr>
            <w:tcW w:w="4675" w:type="dxa"/>
          </w:tcPr>
          <w:p w14:paraId="6295DF78" w14:textId="602908FA" w:rsidR="00987391" w:rsidRPr="00F01347" w:rsidRDefault="00987391" w:rsidP="00987391">
            <w:pPr>
              <w:pStyle w:val="texto0"/>
              <w:ind w:firstLine="0"/>
              <w:rPr>
                <w:rFonts w:ascii="Verdana" w:hAnsi="Verdana"/>
                <w:sz w:val="16"/>
                <w:szCs w:val="16"/>
                <w:lang w:val="en-US"/>
              </w:rPr>
            </w:pPr>
            <w:r w:rsidRPr="00F01347">
              <w:rPr>
                <w:rFonts w:ascii="Verdana" w:hAnsi="Verdana"/>
                <w:sz w:val="16"/>
                <w:szCs w:val="16"/>
                <w:lang w:val="en-US"/>
              </w:rPr>
              <w:t>Tables B.6-2 and B.6-2 Bis, of this Appendix show an example for the preparation of the bromate, chlorite and chlorate calibration curve.</w:t>
            </w:r>
          </w:p>
        </w:tc>
      </w:tr>
    </w:tbl>
    <w:p w14:paraId="399529BB" w14:textId="77777777" w:rsidR="0055757A" w:rsidRPr="00F01347" w:rsidRDefault="0055757A" w:rsidP="003A601B">
      <w:pPr>
        <w:pStyle w:val="texto0"/>
        <w:rPr>
          <w:rFonts w:ascii="Verdana" w:hAnsi="Verdana"/>
          <w:sz w:val="16"/>
          <w:szCs w:val="16"/>
          <w:lang w:val="en-US"/>
        </w:rPr>
      </w:pPr>
    </w:p>
    <w:tbl>
      <w:tblPr>
        <w:tblW w:w="8712" w:type="dxa"/>
        <w:tblInd w:w="144" w:type="dxa"/>
        <w:shd w:val="clear" w:color="auto" w:fill="FFFFFF"/>
        <w:tblLayout w:type="fixed"/>
        <w:tblCellMar>
          <w:left w:w="72" w:type="dxa"/>
          <w:right w:w="72" w:type="dxa"/>
        </w:tblCellMar>
        <w:tblLook w:val="0000" w:firstRow="0" w:lastRow="0" w:firstColumn="0" w:lastColumn="0" w:noHBand="0" w:noVBand="0"/>
      </w:tblPr>
      <w:tblGrid>
        <w:gridCol w:w="764"/>
        <w:gridCol w:w="1268"/>
        <w:gridCol w:w="1007"/>
        <w:gridCol w:w="2103"/>
        <w:gridCol w:w="1249"/>
        <w:gridCol w:w="2321"/>
      </w:tblGrid>
      <w:tr w:rsidR="00A74CDF" w:rsidRPr="00F01347" w14:paraId="5D0DF718" w14:textId="77777777">
        <w:trPr>
          <w:trHeight w:val="20"/>
        </w:trPr>
        <w:tc>
          <w:tcPr>
            <w:tcW w:w="8735" w:type="dxa"/>
            <w:gridSpan w:val="6"/>
            <w:tcBorders>
              <w:bottom w:val="single" w:sz="6" w:space="0" w:color="auto"/>
            </w:tcBorders>
            <w:shd w:val="clear" w:color="auto" w:fill="FFFFFF"/>
            <w:noWrap/>
          </w:tcPr>
          <w:p w14:paraId="5974487E" w14:textId="77777777" w:rsidR="00A74CDF" w:rsidRPr="00F01347" w:rsidRDefault="00A74CDF" w:rsidP="003A601B">
            <w:pPr>
              <w:pStyle w:val="texto0"/>
              <w:spacing w:after="80"/>
              <w:ind w:firstLine="0"/>
              <w:rPr>
                <w:rFonts w:ascii="Verdana" w:hAnsi="Verdana"/>
                <w:sz w:val="16"/>
                <w:szCs w:val="16"/>
              </w:rPr>
            </w:pPr>
            <w:r w:rsidRPr="00F01347">
              <w:rPr>
                <w:rFonts w:ascii="Verdana" w:hAnsi="Verdana"/>
                <w:b/>
                <w:sz w:val="16"/>
                <w:szCs w:val="16"/>
              </w:rPr>
              <w:t>Tabla B.6-2.</w:t>
            </w:r>
            <w:r w:rsidRPr="00F01347">
              <w:rPr>
                <w:rFonts w:ascii="Verdana" w:hAnsi="Verdana"/>
                <w:sz w:val="16"/>
                <w:szCs w:val="16"/>
              </w:rPr>
              <w:t xml:space="preserve"> Ejemplo de preparación de la curva de calibración para bromato</w:t>
            </w:r>
          </w:p>
        </w:tc>
      </w:tr>
      <w:tr w:rsidR="00A74CDF" w:rsidRPr="00F01347" w14:paraId="7B5DC3A8"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7BCD2E14" w14:textId="77777777" w:rsidR="00A74CDF" w:rsidRPr="00F01347" w:rsidRDefault="00A74CDF" w:rsidP="003A601B">
            <w:pPr>
              <w:pStyle w:val="texto0"/>
              <w:spacing w:after="80"/>
              <w:ind w:firstLine="0"/>
              <w:jc w:val="center"/>
              <w:rPr>
                <w:rFonts w:ascii="Verdana" w:hAnsi="Verdana"/>
                <w:b/>
                <w:sz w:val="16"/>
                <w:szCs w:val="16"/>
              </w:rPr>
            </w:pPr>
            <w:r w:rsidRPr="00F01347">
              <w:rPr>
                <w:rFonts w:ascii="Verdana" w:hAnsi="Verdana"/>
                <w:b/>
                <w:sz w:val="16"/>
                <w:szCs w:val="16"/>
              </w:rPr>
              <w:t>Punto</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096DB7B8" w14:textId="77777777" w:rsidR="00A74CDF" w:rsidRPr="00F01347" w:rsidRDefault="00A74CDF" w:rsidP="003A601B">
            <w:pPr>
              <w:pStyle w:val="texto0"/>
              <w:spacing w:after="80"/>
              <w:ind w:firstLine="0"/>
              <w:jc w:val="center"/>
              <w:rPr>
                <w:rFonts w:ascii="Verdana" w:hAnsi="Verdana"/>
                <w:b/>
                <w:sz w:val="16"/>
                <w:szCs w:val="16"/>
              </w:rPr>
            </w:pPr>
            <w:r w:rsidRPr="00F01347">
              <w:rPr>
                <w:rFonts w:ascii="Verdana" w:hAnsi="Verdana"/>
                <w:b/>
                <w:sz w:val="16"/>
                <w:szCs w:val="16"/>
              </w:rPr>
              <w:t>Peso del estándar</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512DCA76" w14:textId="77777777" w:rsidR="00A74CDF" w:rsidRPr="00F01347" w:rsidRDefault="00A74CDF" w:rsidP="003A601B">
            <w:pPr>
              <w:pStyle w:val="texto0"/>
              <w:spacing w:after="80"/>
              <w:ind w:firstLine="0"/>
              <w:jc w:val="center"/>
              <w:rPr>
                <w:rFonts w:ascii="Verdana" w:hAnsi="Verdana"/>
                <w:b/>
                <w:sz w:val="16"/>
                <w:szCs w:val="16"/>
              </w:rPr>
            </w:pPr>
            <w:r w:rsidRPr="00F01347">
              <w:rPr>
                <w:rFonts w:ascii="Verdana" w:hAnsi="Verdana"/>
                <w:b/>
                <w:sz w:val="16"/>
                <w:szCs w:val="16"/>
              </w:rPr>
              <w:t>Peso de agua (g)</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64BCE8AE" w14:textId="77777777" w:rsidR="00A74CDF" w:rsidRPr="00F01347" w:rsidRDefault="00A74CDF" w:rsidP="003A601B">
            <w:pPr>
              <w:pStyle w:val="texto0"/>
              <w:spacing w:after="80"/>
              <w:ind w:firstLine="0"/>
              <w:jc w:val="center"/>
              <w:rPr>
                <w:rFonts w:ascii="Verdana" w:hAnsi="Verdana"/>
                <w:b/>
                <w:sz w:val="16"/>
                <w:szCs w:val="16"/>
              </w:rPr>
            </w:pPr>
            <w:r w:rsidRPr="00F01347">
              <w:rPr>
                <w:rFonts w:ascii="Verdana" w:hAnsi="Verdana"/>
                <w:b/>
                <w:sz w:val="16"/>
                <w:szCs w:val="16"/>
              </w:rPr>
              <w:t>Concentración del estándar (mg/L)</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3E3756EB" w14:textId="77777777" w:rsidR="00A74CDF" w:rsidRPr="00F01347" w:rsidRDefault="00A74CDF" w:rsidP="003A601B">
            <w:pPr>
              <w:pStyle w:val="texto0"/>
              <w:spacing w:after="80"/>
              <w:ind w:firstLine="0"/>
              <w:jc w:val="center"/>
              <w:rPr>
                <w:rFonts w:ascii="Verdana" w:hAnsi="Verdana"/>
                <w:b/>
                <w:sz w:val="16"/>
                <w:szCs w:val="16"/>
              </w:rPr>
            </w:pPr>
            <w:r w:rsidRPr="00F01347">
              <w:rPr>
                <w:rFonts w:ascii="Verdana" w:hAnsi="Verdana"/>
                <w:b/>
                <w:sz w:val="16"/>
                <w:szCs w:val="16"/>
              </w:rPr>
              <w:t>Volumen de aforo (g)</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6C0E4AF0" w14:textId="77777777" w:rsidR="00A74CDF" w:rsidRPr="00F01347" w:rsidRDefault="00A74CDF" w:rsidP="003A601B">
            <w:pPr>
              <w:pStyle w:val="texto0"/>
              <w:spacing w:after="80"/>
              <w:ind w:firstLine="0"/>
              <w:jc w:val="center"/>
              <w:rPr>
                <w:rFonts w:ascii="Verdana" w:hAnsi="Verdana"/>
                <w:b/>
                <w:sz w:val="16"/>
                <w:szCs w:val="16"/>
              </w:rPr>
            </w:pPr>
            <w:r w:rsidRPr="00F01347">
              <w:rPr>
                <w:rFonts w:ascii="Verdana" w:hAnsi="Verdana"/>
                <w:b/>
                <w:sz w:val="16"/>
                <w:szCs w:val="16"/>
              </w:rPr>
              <w:t>Concentración obtenida en muestra (</w:t>
            </w:r>
            <w:r w:rsidRPr="00F01347">
              <w:rPr>
                <w:rFonts w:ascii="Verdana" w:hAnsi="Verdana"/>
                <w:b/>
                <w:bCs/>
                <w:sz w:val="16"/>
                <w:szCs w:val="16"/>
              </w:rPr>
              <w:t>µg/L</w:t>
            </w:r>
            <w:r w:rsidRPr="00F01347">
              <w:rPr>
                <w:rFonts w:ascii="Verdana" w:hAnsi="Verdana"/>
                <w:b/>
                <w:sz w:val="16"/>
                <w:szCs w:val="16"/>
              </w:rPr>
              <w:t>)</w:t>
            </w:r>
          </w:p>
        </w:tc>
      </w:tr>
      <w:tr w:rsidR="00A74CDF" w:rsidRPr="00F01347" w14:paraId="6071FDF8"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57280894"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1</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35DDFC0B"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0.010</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201B0984"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1.19</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4848C66C"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0.5</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2AF1034A"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1.2</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7B17F07E"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4.0</w:t>
            </w:r>
          </w:p>
        </w:tc>
      </w:tr>
      <w:tr w:rsidR="00A74CDF" w:rsidRPr="00F01347" w14:paraId="347E7272"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1028F807"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2</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0EBFCB5C"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0.017</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6EE93F57"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0.99</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052FF248"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0.5</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1B6E696F"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1</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75CF806B"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8.0</w:t>
            </w:r>
          </w:p>
        </w:tc>
      </w:tr>
      <w:tr w:rsidR="00A74CDF" w:rsidRPr="00F01347" w14:paraId="37B50A58"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71F956B4"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3</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058028B0"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0.026</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20A58DA1"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0.975</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0A371AFB"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0.5</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7F12B937"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1</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0C586F5D"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13.0</w:t>
            </w:r>
          </w:p>
        </w:tc>
      </w:tr>
      <w:tr w:rsidR="00A74CDF" w:rsidRPr="00F01347" w14:paraId="34B0154B"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375A975A"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4</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296D392E"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0.050</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5E375940"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0.95</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0C67C74B"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0.5</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04552FF6"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1</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531DAE2F"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25.0</w:t>
            </w:r>
          </w:p>
        </w:tc>
      </w:tr>
      <w:tr w:rsidR="00A74CDF" w:rsidRPr="00F01347" w14:paraId="7618EF84"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622DBE61"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5</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0FED6ACE"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0.220</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222712F7"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0.78</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500F5510"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0.5</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773F1DA7"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1</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4B617D83"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110.0</w:t>
            </w:r>
          </w:p>
        </w:tc>
      </w:tr>
      <w:tr w:rsidR="00A74CDF" w:rsidRPr="00F01347" w14:paraId="719BC4C0"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35A98E7E"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6</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44CC5536"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0.070</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6DEDBF7F"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0.93</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54D864E5"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5.0</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0CA3857A"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1</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78445C74" w14:textId="77777777" w:rsidR="00A74CDF" w:rsidRPr="00F01347" w:rsidRDefault="00A74CDF" w:rsidP="003A601B">
            <w:pPr>
              <w:pStyle w:val="texto0"/>
              <w:spacing w:after="80"/>
              <w:ind w:firstLine="0"/>
              <w:jc w:val="center"/>
              <w:rPr>
                <w:rFonts w:ascii="Verdana" w:hAnsi="Verdana"/>
                <w:sz w:val="16"/>
                <w:szCs w:val="16"/>
              </w:rPr>
            </w:pPr>
            <w:r w:rsidRPr="00F01347">
              <w:rPr>
                <w:rFonts w:ascii="Verdana" w:hAnsi="Verdana"/>
                <w:sz w:val="16"/>
                <w:szCs w:val="16"/>
              </w:rPr>
              <w:t>350.0</w:t>
            </w:r>
          </w:p>
        </w:tc>
      </w:tr>
    </w:tbl>
    <w:p w14:paraId="7FD7E844" w14:textId="77777777" w:rsidR="00A74CDF" w:rsidRPr="00F01347" w:rsidRDefault="00A74CDF" w:rsidP="003A601B">
      <w:pPr>
        <w:pStyle w:val="texto0"/>
        <w:rPr>
          <w:rFonts w:ascii="Verdana" w:hAnsi="Verdana"/>
          <w:sz w:val="16"/>
          <w:szCs w:val="16"/>
        </w:rPr>
      </w:pPr>
    </w:p>
    <w:p w14:paraId="26D477C9" w14:textId="77777777" w:rsidR="005B3BF2" w:rsidRPr="00F01347" w:rsidRDefault="005B3BF2" w:rsidP="003A601B">
      <w:pPr>
        <w:pStyle w:val="texto0"/>
        <w:rPr>
          <w:rFonts w:ascii="Verdana" w:hAnsi="Verdana"/>
          <w:sz w:val="16"/>
          <w:szCs w:val="16"/>
        </w:rPr>
      </w:pPr>
    </w:p>
    <w:p w14:paraId="77F0C283" w14:textId="77777777" w:rsidR="005B3BF2" w:rsidRPr="00F01347" w:rsidRDefault="005B3BF2" w:rsidP="003A601B">
      <w:pPr>
        <w:pStyle w:val="texto0"/>
        <w:rPr>
          <w:rFonts w:ascii="Verdana" w:hAnsi="Verdana"/>
          <w:sz w:val="16"/>
          <w:szCs w:val="16"/>
        </w:rPr>
      </w:pPr>
    </w:p>
    <w:p w14:paraId="740930B4" w14:textId="77777777" w:rsidR="005B3BF2" w:rsidRPr="00F01347" w:rsidRDefault="005B3BF2" w:rsidP="003A601B">
      <w:pPr>
        <w:pStyle w:val="texto0"/>
        <w:rPr>
          <w:rFonts w:ascii="Verdana" w:hAnsi="Verdana"/>
          <w:sz w:val="16"/>
          <w:szCs w:val="16"/>
        </w:rPr>
      </w:pPr>
    </w:p>
    <w:p w14:paraId="16F30FD5" w14:textId="77777777" w:rsidR="005B3BF2" w:rsidRPr="00F01347" w:rsidRDefault="005B3BF2" w:rsidP="003A601B">
      <w:pPr>
        <w:pStyle w:val="texto0"/>
        <w:rPr>
          <w:rFonts w:ascii="Verdana" w:hAnsi="Verdana"/>
          <w:sz w:val="16"/>
          <w:szCs w:val="16"/>
        </w:rPr>
      </w:pPr>
    </w:p>
    <w:p w14:paraId="45D44149" w14:textId="77777777" w:rsidR="005B3BF2" w:rsidRPr="00F01347" w:rsidRDefault="005B3BF2" w:rsidP="003A601B">
      <w:pPr>
        <w:pStyle w:val="texto0"/>
        <w:rPr>
          <w:rFonts w:ascii="Verdana" w:hAnsi="Verdana"/>
          <w:sz w:val="16"/>
          <w:szCs w:val="16"/>
        </w:rPr>
      </w:pPr>
    </w:p>
    <w:tbl>
      <w:tblPr>
        <w:tblW w:w="8712" w:type="dxa"/>
        <w:tblInd w:w="144" w:type="dxa"/>
        <w:shd w:val="clear" w:color="auto" w:fill="FFFFFF"/>
        <w:tblLayout w:type="fixed"/>
        <w:tblCellMar>
          <w:left w:w="72" w:type="dxa"/>
          <w:right w:w="72" w:type="dxa"/>
        </w:tblCellMar>
        <w:tblLook w:val="0000" w:firstRow="0" w:lastRow="0" w:firstColumn="0" w:lastColumn="0" w:noHBand="0" w:noVBand="0"/>
      </w:tblPr>
      <w:tblGrid>
        <w:gridCol w:w="764"/>
        <w:gridCol w:w="1268"/>
        <w:gridCol w:w="1007"/>
        <w:gridCol w:w="2103"/>
        <w:gridCol w:w="1249"/>
        <w:gridCol w:w="2321"/>
      </w:tblGrid>
      <w:tr w:rsidR="00A74CDF" w:rsidRPr="00F01347" w14:paraId="42163334" w14:textId="77777777">
        <w:trPr>
          <w:trHeight w:val="20"/>
        </w:trPr>
        <w:tc>
          <w:tcPr>
            <w:tcW w:w="8735" w:type="dxa"/>
            <w:gridSpan w:val="6"/>
            <w:tcBorders>
              <w:bottom w:val="single" w:sz="6" w:space="0" w:color="auto"/>
            </w:tcBorders>
            <w:shd w:val="clear" w:color="auto" w:fill="FFFFFF"/>
            <w:noWrap/>
          </w:tcPr>
          <w:p w14:paraId="18F675E9" w14:textId="0F8D8DD3" w:rsidR="00A74CDF" w:rsidRPr="00F01347" w:rsidRDefault="00A74CDF" w:rsidP="003A601B">
            <w:pPr>
              <w:pStyle w:val="texto0"/>
              <w:spacing w:after="80"/>
              <w:ind w:firstLine="0"/>
              <w:rPr>
                <w:rFonts w:ascii="Verdana" w:hAnsi="Verdana"/>
                <w:sz w:val="16"/>
                <w:szCs w:val="16"/>
                <w:lang w:val="en-US"/>
              </w:rPr>
            </w:pPr>
            <w:r w:rsidRPr="00F01347">
              <w:rPr>
                <w:rFonts w:ascii="Verdana" w:hAnsi="Verdana"/>
                <w:b/>
                <w:sz w:val="16"/>
                <w:szCs w:val="16"/>
                <w:lang w:val="en-US"/>
              </w:rPr>
              <w:lastRenderedPageBreak/>
              <w:t>Tabl</w:t>
            </w:r>
            <w:r w:rsidR="00B508EC" w:rsidRPr="00F01347">
              <w:rPr>
                <w:rFonts w:ascii="Verdana" w:hAnsi="Verdana"/>
                <w:b/>
                <w:sz w:val="16"/>
                <w:szCs w:val="16"/>
                <w:lang w:val="en-US"/>
              </w:rPr>
              <w:t>e</w:t>
            </w:r>
            <w:r w:rsidRPr="00F01347">
              <w:rPr>
                <w:rFonts w:ascii="Verdana" w:hAnsi="Verdana"/>
                <w:b/>
                <w:sz w:val="16"/>
                <w:szCs w:val="16"/>
                <w:lang w:val="en-US"/>
              </w:rPr>
              <w:t xml:space="preserve"> B.6-2 Bis.</w:t>
            </w:r>
            <w:r w:rsidRPr="00F01347">
              <w:rPr>
                <w:rFonts w:ascii="Verdana" w:hAnsi="Verdana"/>
                <w:sz w:val="16"/>
                <w:szCs w:val="16"/>
                <w:lang w:val="en-US"/>
              </w:rPr>
              <w:t xml:space="preserve"> </w:t>
            </w:r>
            <w:r w:rsidR="00577747" w:rsidRPr="00F01347">
              <w:rPr>
                <w:rFonts w:ascii="Verdana" w:hAnsi="Verdana"/>
                <w:sz w:val="16"/>
                <w:szCs w:val="16"/>
                <w:lang w:val="en-US"/>
              </w:rPr>
              <w:t>Example of preparation of the calibration curve for chlorate and chlorite.</w:t>
            </w:r>
          </w:p>
        </w:tc>
      </w:tr>
      <w:tr w:rsidR="00A74CDF" w:rsidRPr="00F01347" w14:paraId="228ABD3C"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68B71746" w14:textId="24A95552" w:rsidR="00A74CDF" w:rsidRPr="00F01347" w:rsidRDefault="00A74CDF" w:rsidP="003A601B">
            <w:pPr>
              <w:pStyle w:val="texto0"/>
              <w:spacing w:after="80"/>
              <w:ind w:firstLine="0"/>
              <w:jc w:val="center"/>
              <w:rPr>
                <w:rFonts w:ascii="Verdana" w:hAnsi="Verdana"/>
                <w:b/>
                <w:sz w:val="16"/>
                <w:szCs w:val="16"/>
                <w:lang w:val="en-US"/>
              </w:rPr>
            </w:pPr>
            <w:r w:rsidRPr="00F01347">
              <w:rPr>
                <w:rFonts w:ascii="Verdana" w:hAnsi="Verdana"/>
                <w:b/>
                <w:sz w:val="16"/>
                <w:szCs w:val="16"/>
                <w:lang w:val="en-US"/>
              </w:rPr>
              <w:t>P</w:t>
            </w:r>
            <w:r w:rsidR="00577747" w:rsidRPr="00F01347">
              <w:rPr>
                <w:rFonts w:ascii="Verdana" w:hAnsi="Verdana"/>
                <w:b/>
                <w:sz w:val="16"/>
                <w:szCs w:val="16"/>
                <w:lang w:val="en-US"/>
              </w:rPr>
              <w:t>oint</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5304B9E9" w14:textId="3AF7622C" w:rsidR="00A74CDF" w:rsidRPr="00F01347" w:rsidRDefault="00577747" w:rsidP="003A601B">
            <w:pPr>
              <w:pStyle w:val="texto0"/>
              <w:spacing w:after="80"/>
              <w:ind w:firstLine="0"/>
              <w:jc w:val="center"/>
              <w:rPr>
                <w:rFonts w:ascii="Verdana" w:hAnsi="Verdana"/>
                <w:b/>
                <w:sz w:val="16"/>
                <w:szCs w:val="16"/>
                <w:lang w:val="en-US"/>
              </w:rPr>
            </w:pPr>
            <w:r w:rsidRPr="00F01347">
              <w:rPr>
                <w:rFonts w:ascii="Verdana" w:hAnsi="Verdana"/>
                <w:b/>
                <w:sz w:val="16"/>
                <w:szCs w:val="16"/>
                <w:lang w:val="en-US"/>
              </w:rPr>
              <w:t>Weight of the standard</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775D058B" w14:textId="3AF796F5" w:rsidR="00A74CDF" w:rsidRPr="00F01347" w:rsidRDefault="005C624A" w:rsidP="003A601B">
            <w:pPr>
              <w:pStyle w:val="texto0"/>
              <w:spacing w:after="80"/>
              <w:ind w:firstLine="0"/>
              <w:jc w:val="center"/>
              <w:rPr>
                <w:rFonts w:ascii="Verdana" w:hAnsi="Verdana"/>
                <w:b/>
                <w:sz w:val="16"/>
                <w:szCs w:val="16"/>
                <w:lang w:val="en-US"/>
              </w:rPr>
            </w:pPr>
            <w:r w:rsidRPr="00F01347">
              <w:rPr>
                <w:rFonts w:ascii="Verdana" w:hAnsi="Verdana"/>
                <w:b/>
                <w:sz w:val="16"/>
                <w:szCs w:val="16"/>
                <w:lang w:val="en-US"/>
              </w:rPr>
              <w:t>Weight of water</w:t>
            </w:r>
            <w:r w:rsidR="00A74CDF" w:rsidRPr="00F01347">
              <w:rPr>
                <w:rFonts w:ascii="Verdana" w:hAnsi="Verdana"/>
                <w:b/>
                <w:sz w:val="16"/>
                <w:szCs w:val="16"/>
                <w:lang w:val="en-US"/>
              </w:rPr>
              <w:t xml:space="preserve"> (g)</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46AAA6E6" w14:textId="7237D916" w:rsidR="00A74CDF" w:rsidRPr="00F01347" w:rsidRDefault="005C624A" w:rsidP="003A601B">
            <w:pPr>
              <w:pStyle w:val="texto0"/>
              <w:spacing w:after="80"/>
              <w:ind w:firstLine="0"/>
              <w:jc w:val="center"/>
              <w:rPr>
                <w:rFonts w:ascii="Verdana" w:hAnsi="Verdana"/>
                <w:b/>
                <w:sz w:val="16"/>
                <w:szCs w:val="16"/>
                <w:lang w:val="en-US"/>
              </w:rPr>
            </w:pPr>
            <w:r w:rsidRPr="00F01347">
              <w:rPr>
                <w:rFonts w:ascii="Verdana" w:hAnsi="Verdana"/>
                <w:b/>
                <w:sz w:val="16"/>
                <w:szCs w:val="16"/>
                <w:lang w:val="en-US"/>
              </w:rPr>
              <w:t>Concentration of the standard</w:t>
            </w:r>
            <w:r w:rsidR="00A74CDF" w:rsidRPr="00F01347">
              <w:rPr>
                <w:rFonts w:ascii="Verdana" w:hAnsi="Verdana"/>
                <w:b/>
                <w:sz w:val="16"/>
                <w:szCs w:val="16"/>
                <w:lang w:val="en-US"/>
              </w:rPr>
              <w:t xml:space="preserve"> (mg/L)</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1BD193B5" w14:textId="17947C0C" w:rsidR="00A74CDF" w:rsidRPr="00F01347" w:rsidRDefault="005C624A" w:rsidP="003A601B">
            <w:pPr>
              <w:pStyle w:val="texto0"/>
              <w:spacing w:after="80"/>
              <w:ind w:firstLine="0"/>
              <w:jc w:val="center"/>
              <w:rPr>
                <w:rFonts w:ascii="Verdana" w:hAnsi="Verdana"/>
                <w:b/>
                <w:sz w:val="16"/>
                <w:szCs w:val="16"/>
                <w:lang w:val="en-US"/>
              </w:rPr>
            </w:pPr>
            <w:r w:rsidRPr="00F01347">
              <w:rPr>
                <w:rFonts w:ascii="Verdana" w:hAnsi="Verdana"/>
                <w:b/>
                <w:sz w:val="16"/>
                <w:szCs w:val="16"/>
                <w:lang w:val="en-US"/>
              </w:rPr>
              <w:t xml:space="preserve">Volume of </w:t>
            </w:r>
            <w:r w:rsidR="005B3BF2" w:rsidRPr="00F01347">
              <w:rPr>
                <w:rFonts w:ascii="Verdana" w:hAnsi="Verdana"/>
                <w:b/>
                <w:sz w:val="16"/>
                <w:szCs w:val="16"/>
                <w:lang w:val="en-US"/>
              </w:rPr>
              <w:t>capacity</w:t>
            </w:r>
            <w:r w:rsidR="00A74CDF" w:rsidRPr="00F01347">
              <w:rPr>
                <w:rFonts w:ascii="Verdana" w:hAnsi="Verdana"/>
                <w:b/>
                <w:sz w:val="16"/>
                <w:szCs w:val="16"/>
                <w:lang w:val="en-US"/>
              </w:rPr>
              <w:t xml:space="preserve"> (g)</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521C4B8A" w14:textId="2E5A2E71" w:rsidR="00A74CDF" w:rsidRPr="00F01347" w:rsidRDefault="005B3BF2" w:rsidP="003A601B">
            <w:pPr>
              <w:pStyle w:val="texto0"/>
              <w:spacing w:after="80"/>
              <w:ind w:firstLine="0"/>
              <w:jc w:val="center"/>
              <w:rPr>
                <w:rFonts w:ascii="Verdana" w:hAnsi="Verdana"/>
                <w:b/>
                <w:sz w:val="16"/>
                <w:szCs w:val="16"/>
                <w:lang w:val="en-US"/>
              </w:rPr>
            </w:pPr>
            <w:r w:rsidRPr="00F01347">
              <w:rPr>
                <w:rFonts w:ascii="Verdana" w:hAnsi="Verdana"/>
                <w:b/>
                <w:sz w:val="16"/>
                <w:szCs w:val="16"/>
                <w:lang w:val="en-US"/>
              </w:rPr>
              <w:t>Concentration obtained in sample</w:t>
            </w:r>
            <w:r w:rsidR="00A74CDF" w:rsidRPr="00F01347">
              <w:rPr>
                <w:rFonts w:ascii="Verdana" w:hAnsi="Verdana"/>
                <w:b/>
                <w:sz w:val="16"/>
                <w:szCs w:val="16"/>
                <w:lang w:val="en-US"/>
              </w:rPr>
              <w:t xml:space="preserve"> (</w:t>
            </w:r>
            <w:r w:rsidR="00A74CDF" w:rsidRPr="00F01347">
              <w:rPr>
                <w:rFonts w:ascii="Verdana" w:hAnsi="Verdana"/>
                <w:b/>
                <w:bCs/>
                <w:sz w:val="16"/>
                <w:szCs w:val="16"/>
                <w:lang w:val="en-US"/>
              </w:rPr>
              <w:t>µg/L</w:t>
            </w:r>
            <w:r w:rsidR="00A74CDF" w:rsidRPr="00F01347">
              <w:rPr>
                <w:rFonts w:ascii="Verdana" w:hAnsi="Verdana"/>
                <w:b/>
                <w:sz w:val="16"/>
                <w:szCs w:val="16"/>
                <w:lang w:val="en-US"/>
              </w:rPr>
              <w:t>)</w:t>
            </w:r>
          </w:p>
        </w:tc>
      </w:tr>
      <w:tr w:rsidR="00A74CDF" w:rsidRPr="00F01347" w14:paraId="308CD0AA"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3F8A60F1"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1</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3AB5D598"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0.10</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6CCFEC1A"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0.90</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7FA19103"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0.50</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74450BC2"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1.0</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17E1126E"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50.0</w:t>
            </w:r>
          </w:p>
        </w:tc>
      </w:tr>
      <w:tr w:rsidR="00A74CDF" w:rsidRPr="00F01347" w14:paraId="5648FA29"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252DE745"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2</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6D0E0FEA"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0.150</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4F8579A5"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0.850</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4E988FAC"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0.50</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4DCCA66E"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1.0</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3F19A7D9"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75.0</w:t>
            </w:r>
          </w:p>
        </w:tc>
      </w:tr>
      <w:tr w:rsidR="00A74CDF" w:rsidRPr="00F01347" w14:paraId="283D396F"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48B1D7ED"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3</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69B5818D"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0.250</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7337F1FC"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0.750</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444B42BD"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0.50</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164C1F9C"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1.0</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01655A13"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125.0</w:t>
            </w:r>
          </w:p>
        </w:tc>
      </w:tr>
      <w:tr w:rsidR="00A74CDF" w:rsidRPr="00F01347" w14:paraId="594D2F43"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4FD12972"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4</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262FE2C1"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0.30</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161ACA4D"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0.70</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1CCFAAB1"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0.50</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65D3FD0C"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1.0</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109FB0C5"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150.0</w:t>
            </w:r>
          </w:p>
        </w:tc>
      </w:tr>
      <w:tr w:rsidR="00A74CDF" w:rsidRPr="00F01347" w14:paraId="4E785090"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011AF1F0"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5</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01C03A71"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0.50</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468EA1A5"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0.50</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68DC1CCD"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0.50</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5F49DE9B"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1.0</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2FEDBCFF" w14:textId="77777777" w:rsidR="00A74CDF" w:rsidRPr="00F01347" w:rsidRDefault="00A74CDF" w:rsidP="003A601B">
            <w:pPr>
              <w:pStyle w:val="texto0"/>
              <w:spacing w:after="80"/>
              <w:ind w:firstLine="0"/>
              <w:jc w:val="center"/>
              <w:rPr>
                <w:rFonts w:ascii="Verdana" w:hAnsi="Verdana"/>
                <w:sz w:val="16"/>
                <w:szCs w:val="16"/>
                <w:lang w:val="en-US"/>
              </w:rPr>
            </w:pPr>
            <w:r w:rsidRPr="00F01347">
              <w:rPr>
                <w:rFonts w:ascii="Verdana" w:hAnsi="Verdana"/>
                <w:sz w:val="16"/>
                <w:szCs w:val="16"/>
                <w:lang w:val="en-US"/>
              </w:rPr>
              <w:t>250.0</w:t>
            </w:r>
          </w:p>
        </w:tc>
      </w:tr>
      <w:tr w:rsidR="00A74CDF" w:rsidRPr="00F01347" w14:paraId="23DEB161" w14:textId="77777777">
        <w:trPr>
          <w:trHeight w:val="20"/>
        </w:trPr>
        <w:tc>
          <w:tcPr>
            <w:tcW w:w="766" w:type="dxa"/>
            <w:tcBorders>
              <w:top w:val="single" w:sz="6" w:space="0" w:color="auto"/>
              <w:left w:val="single" w:sz="6" w:space="0" w:color="auto"/>
              <w:bottom w:val="single" w:sz="6" w:space="0" w:color="auto"/>
              <w:right w:val="single" w:sz="6" w:space="0" w:color="auto"/>
            </w:tcBorders>
            <w:shd w:val="clear" w:color="auto" w:fill="FFFFFF"/>
          </w:tcPr>
          <w:p w14:paraId="78B77A8D" w14:textId="77777777" w:rsidR="00A74CDF" w:rsidRPr="00F01347" w:rsidRDefault="00A74CDF" w:rsidP="003A601B">
            <w:pPr>
              <w:pStyle w:val="texto0"/>
              <w:ind w:firstLine="0"/>
              <w:jc w:val="center"/>
              <w:rPr>
                <w:rFonts w:ascii="Verdana" w:hAnsi="Verdana"/>
                <w:sz w:val="16"/>
                <w:szCs w:val="16"/>
                <w:lang w:val="en-US"/>
              </w:rPr>
            </w:pPr>
            <w:r w:rsidRPr="00F01347">
              <w:rPr>
                <w:rFonts w:ascii="Verdana" w:hAnsi="Verdana"/>
                <w:sz w:val="16"/>
                <w:szCs w:val="16"/>
                <w:lang w:val="en-US"/>
              </w:rPr>
              <w:t>6</w:t>
            </w:r>
          </w:p>
        </w:tc>
        <w:tc>
          <w:tcPr>
            <w:tcW w:w="1271" w:type="dxa"/>
            <w:tcBorders>
              <w:top w:val="single" w:sz="6" w:space="0" w:color="auto"/>
              <w:left w:val="single" w:sz="6" w:space="0" w:color="auto"/>
              <w:bottom w:val="single" w:sz="6" w:space="0" w:color="auto"/>
              <w:right w:val="single" w:sz="6" w:space="0" w:color="auto"/>
            </w:tcBorders>
            <w:shd w:val="clear" w:color="auto" w:fill="FFFFFF"/>
          </w:tcPr>
          <w:p w14:paraId="31E5760C" w14:textId="77777777" w:rsidR="00A74CDF" w:rsidRPr="00F01347" w:rsidRDefault="00A74CDF" w:rsidP="003A601B">
            <w:pPr>
              <w:pStyle w:val="texto0"/>
              <w:ind w:firstLine="0"/>
              <w:jc w:val="center"/>
              <w:rPr>
                <w:rFonts w:ascii="Verdana" w:hAnsi="Verdana"/>
                <w:sz w:val="16"/>
                <w:szCs w:val="16"/>
                <w:lang w:val="en-US"/>
              </w:rPr>
            </w:pPr>
            <w:r w:rsidRPr="00F01347">
              <w:rPr>
                <w:rFonts w:ascii="Verdana" w:hAnsi="Verdana"/>
                <w:sz w:val="16"/>
                <w:szCs w:val="16"/>
                <w:lang w:val="en-US"/>
              </w:rPr>
              <w:t>1.0</w:t>
            </w:r>
          </w:p>
        </w:tc>
        <w:tc>
          <w:tcPr>
            <w:tcW w:w="1010" w:type="dxa"/>
            <w:tcBorders>
              <w:top w:val="single" w:sz="6" w:space="0" w:color="auto"/>
              <w:left w:val="single" w:sz="6" w:space="0" w:color="auto"/>
              <w:bottom w:val="single" w:sz="6" w:space="0" w:color="auto"/>
              <w:right w:val="single" w:sz="6" w:space="0" w:color="auto"/>
            </w:tcBorders>
            <w:shd w:val="clear" w:color="auto" w:fill="FFFFFF"/>
          </w:tcPr>
          <w:p w14:paraId="4AEE89E5" w14:textId="77777777" w:rsidR="00A74CDF" w:rsidRPr="00F01347" w:rsidRDefault="00A74CDF" w:rsidP="003A601B">
            <w:pPr>
              <w:pStyle w:val="texto0"/>
              <w:ind w:firstLine="0"/>
              <w:jc w:val="center"/>
              <w:rPr>
                <w:rFonts w:ascii="Verdana" w:hAnsi="Verdana"/>
                <w:sz w:val="16"/>
                <w:szCs w:val="16"/>
                <w:lang w:val="en-US"/>
              </w:rPr>
            </w:pPr>
            <w:r w:rsidRPr="00F01347">
              <w:rPr>
                <w:rFonts w:ascii="Verdana" w:hAnsi="Verdana"/>
                <w:sz w:val="16"/>
                <w:szCs w:val="16"/>
                <w:lang w:val="en-US"/>
              </w:rPr>
              <w:t>19.0</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14:paraId="3C2CE05F" w14:textId="77777777" w:rsidR="00A74CDF" w:rsidRPr="00F01347" w:rsidRDefault="00A74CDF" w:rsidP="003A601B">
            <w:pPr>
              <w:pStyle w:val="texto0"/>
              <w:ind w:firstLine="0"/>
              <w:jc w:val="center"/>
              <w:rPr>
                <w:rFonts w:ascii="Verdana" w:hAnsi="Verdana"/>
                <w:sz w:val="16"/>
                <w:szCs w:val="16"/>
                <w:lang w:val="en-US"/>
              </w:rPr>
            </w:pPr>
            <w:r w:rsidRPr="00F01347">
              <w:rPr>
                <w:rFonts w:ascii="Verdana" w:hAnsi="Verdana"/>
                <w:sz w:val="16"/>
                <w:szCs w:val="16"/>
                <w:lang w:val="en-US"/>
              </w:rPr>
              <w:t>10.0</w:t>
            </w:r>
          </w:p>
        </w:tc>
        <w:tc>
          <w:tcPr>
            <w:tcW w:w="1252" w:type="dxa"/>
            <w:tcBorders>
              <w:top w:val="single" w:sz="6" w:space="0" w:color="auto"/>
              <w:left w:val="single" w:sz="6" w:space="0" w:color="auto"/>
              <w:bottom w:val="single" w:sz="6" w:space="0" w:color="auto"/>
              <w:right w:val="single" w:sz="6" w:space="0" w:color="auto"/>
            </w:tcBorders>
            <w:shd w:val="clear" w:color="auto" w:fill="FFFFFF"/>
          </w:tcPr>
          <w:p w14:paraId="20A86F9C" w14:textId="77777777" w:rsidR="00A74CDF" w:rsidRPr="00F01347" w:rsidRDefault="00A74CDF" w:rsidP="003A601B">
            <w:pPr>
              <w:pStyle w:val="texto0"/>
              <w:ind w:firstLine="0"/>
              <w:jc w:val="center"/>
              <w:rPr>
                <w:rFonts w:ascii="Verdana" w:hAnsi="Verdana"/>
                <w:sz w:val="16"/>
                <w:szCs w:val="16"/>
                <w:lang w:val="en-US"/>
              </w:rPr>
            </w:pPr>
            <w:r w:rsidRPr="00F01347">
              <w:rPr>
                <w:rFonts w:ascii="Verdana" w:hAnsi="Verdana"/>
                <w:sz w:val="16"/>
                <w:szCs w:val="16"/>
                <w:lang w:val="en-US"/>
              </w:rPr>
              <w:t>20.0</w:t>
            </w:r>
          </w:p>
        </w:tc>
        <w:tc>
          <w:tcPr>
            <w:tcW w:w="2327" w:type="dxa"/>
            <w:tcBorders>
              <w:top w:val="single" w:sz="6" w:space="0" w:color="auto"/>
              <w:left w:val="single" w:sz="6" w:space="0" w:color="auto"/>
              <w:bottom w:val="single" w:sz="6" w:space="0" w:color="auto"/>
              <w:right w:val="single" w:sz="6" w:space="0" w:color="auto"/>
            </w:tcBorders>
            <w:shd w:val="clear" w:color="auto" w:fill="FFFFFF"/>
          </w:tcPr>
          <w:p w14:paraId="78CE7801" w14:textId="77777777" w:rsidR="00A74CDF" w:rsidRPr="00F01347" w:rsidRDefault="00A74CDF" w:rsidP="003A601B">
            <w:pPr>
              <w:pStyle w:val="texto0"/>
              <w:ind w:firstLine="0"/>
              <w:jc w:val="center"/>
              <w:rPr>
                <w:rFonts w:ascii="Verdana" w:hAnsi="Verdana"/>
                <w:sz w:val="16"/>
                <w:szCs w:val="16"/>
                <w:lang w:val="en-US"/>
              </w:rPr>
            </w:pPr>
            <w:r w:rsidRPr="00F01347">
              <w:rPr>
                <w:rFonts w:ascii="Verdana" w:hAnsi="Verdana"/>
                <w:sz w:val="16"/>
                <w:szCs w:val="16"/>
                <w:lang w:val="en-US"/>
              </w:rPr>
              <w:t>500.0</w:t>
            </w:r>
          </w:p>
        </w:tc>
      </w:tr>
    </w:tbl>
    <w:p w14:paraId="3147A92F" w14:textId="77777777" w:rsidR="00A74CDF" w:rsidRPr="00F01347" w:rsidRDefault="00A74CDF" w:rsidP="003A601B">
      <w:pPr>
        <w:pStyle w:val="texto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55D79" w:rsidRPr="00F01347" w14:paraId="28C8DA24" w14:textId="4018D2A0" w:rsidTr="005B3BF2">
        <w:tc>
          <w:tcPr>
            <w:tcW w:w="4675" w:type="dxa"/>
          </w:tcPr>
          <w:p w14:paraId="3FD6A6C6" w14:textId="77777777" w:rsidR="00055D79" w:rsidRPr="00F01347" w:rsidRDefault="00055D79" w:rsidP="00055D79">
            <w:pPr>
              <w:pStyle w:val="texto0"/>
              <w:spacing w:line="224" w:lineRule="exact"/>
              <w:ind w:firstLine="0"/>
              <w:rPr>
                <w:rFonts w:ascii="Verdana" w:hAnsi="Verdana"/>
                <w:sz w:val="16"/>
                <w:szCs w:val="16"/>
              </w:rPr>
            </w:pPr>
            <w:r w:rsidRPr="00F01347">
              <w:rPr>
                <w:rFonts w:ascii="Verdana" w:hAnsi="Verdana"/>
                <w:sz w:val="16"/>
                <w:szCs w:val="16"/>
              </w:rPr>
              <w:t xml:space="preserve">Analizar los estándares de calibración </w:t>
            </w:r>
            <w:proofErr w:type="gramStart"/>
            <w:r w:rsidRPr="00F01347">
              <w:rPr>
                <w:rFonts w:ascii="Verdana" w:hAnsi="Verdana"/>
                <w:sz w:val="16"/>
                <w:szCs w:val="16"/>
              </w:rPr>
              <w:t>de acuerdo a</w:t>
            </w:r>
            <w:proofErr w:type="gramEnd"/>
            <w:r w:rsidRPr="00F01347">
              <w:rPr>
                <w:rFonts w:ascii="Verdana" w:hAnsi="Verdana"/>
                <w:sz w:val="16"/>
                <w:szCs w:val="16"/>
              </w:rPr>
              <w:t xml:space="preserve"> las condiciones instrumentales establecidas durante la validación del método.</w:t>
            </w:r>
          </w:p>
        </w:tc>
        <w:tc>
          <w:tcPr>
            <w:tcW w:w="4675" w:type="dxa"/>
          </w:tcPr>
          <w:p w14:paraId="13550BD6" w14:textId="6C186D66" w:rsidR="00055D79" w:rsidRPr="00F01347" w:rsidRDefault="00055D79" w:rsidP="00055D79">
            <w:pPr>
              <w:pStyle w:val="texto0"/>
              <w:spacing w:line="224" w:lineRule="exact"/>
              <w:ind w:firstLine="0"/>
              <w:rPr>
                <w:rFonts w:ascii="Verdana" w:hAnsi="Verdana"/>
                <w:sz w:val="16"/>
                <w:szCs w:val="16"/>
                <w:lang w:val="en-US"/>
              </w:rPr>
            </w:pPr>
            <w:r w:rsidRPr="00F01347">
              <w:rPr>
                <w:rFonts w:ascii="Verdana" w:hAnsi="Verdana"/>
                <w:sz w:val="16"/>
                <w:szCs w:val="16"/>
                <w:lang w:val="en-US"/>
              </w:rPr>
              <w:t>Analyze calibration standards according to the instrumental conditions established during method validation.</w:t>
            </w:r>
          </w:p>
        </w:tc>
      </w:tr>
      <w:tr w:rsidR="00055D79" w:rsidRPr="00F01347" w14:paraId="16376C42" w14:textId="5EB0F85A" w:rsidTr="005B3BF2">
        <w:tc>
          <w:tcPr>
            <w:tcW w:w="4675" w:type="dxa"/>
          </w:tcPr>
          <w:p w14:paraId="3C65533F" w14:textId="77777777" w:rsidR="00055D79" w:rsidRPr="00F01347" w:rsidRDefault="00055D79" w:rsidP="00055D79">
            <w:pPr>
              <w:pStyle w:val="texto0"/>
              <w:spacing w:line="224" w:lineRule="exact"/>
              <w:ind w:firstLine="0"/>
              <w:rPr>
                <w:rFonts w:ascii="Verdana" w:hAnsi="Verdana"/>
                <w:sz w:val="16"/>
                <w:szCs w:val="16"/>
              </w:rPr>
            </w:pPr>
            <w:r w:rsidRPr="00F01347">
              <w:rPr>
                <w:rFonts w:ascii="Verdana" w:hAnsi="Verdana"/>
                <w:sz w:val="16"/>
                <w:szCs w:val="16"/>
              </w:rPr>
              <w:t xml:space="preserve">Con los datos de concentración en mg/L y la señal obtenida en cada nivel (área), realizar una curva de concentración. Calcular las relaciones de concentración y área para cada compuesto y cada nivel, por medio de una curva de calibración calculada por mínimos cuadrados </w:t>
            </w:r>
            <w:proofErr w:type="gramStart"/>
            <w:r w:rsidRPr="00F01347">
              <w:rPr>
                <w:rFonts w:ascii="Verdana" w:hAnsi="Verdana"/>
                <w:sz w:val="16"/>
                <w:szCs w:val="16"/>
              </w:rPr>
              <w:t>de acuerdo a</w:t>
            </w:r>
            <w:proofErr w:type="gramEnd"/>
            <w:r w:rsidRPr="00F01347">
              <w:rPr>
                <w:rFonts w:ascii="Verdana" w:hAnsi="Verdana"/>
                <w:sz w:val="16"/>
                <w:szCs w:val="16"/>
              </w:rPr>
              <w:t xml:space="preserve"> la ecuación:</w:t>
            </w:r>
          </w:p>
        </w:tc>
        <w:tc>
          <w:tcPr>
            <w:tcW w:w="4675" w:type="dxa"/>
          </w:tcPr>
          <w:p w14:paraId="46348F0E" w14:textId="0029D0A7" w:rsidR="00055D79" w:rsidRPr="00F01347" w:rsidRDefault="00055D79" w:rsidP="00055D79">
            <w:pPr>
              <w:pStyle w:val="texto0"/>
              <w:spacing w:line="224" w:lineRule="exact"/>
              <w:ind w:firstLine="0"/>
              <w:rPr>
                <w:rFonts w:ascii="Verdana" w:hAnsi="Verdana"/>
                <w:sz w:val="16"/>
                <w:szCs w:val="16"/>
                <w:lang w:val="en-US"/>
              </w:rPr>
            </w:pPr>
            <w:r w:rsidRPr="00F01347">
              <w:rPr>
                <w:rFonts w:ascii="Verdana" w:hAnsi="Verdana"/>
                <w:sz w:val="16"/>
                <w:szCs w:val="16"/>
                <w:lang w:val="en-US"/>
              </w:rPr>
              <w:t>With the concentration data in mg/L and the signal obtained at each level (area), create a concentration curve. Calculate the concentration and area relationships for each compound and each level, using a calibration curve calculated by least squares according to the equation:</w:t>
            </w:r>
          </w:p>
        </w:tc>
      </w:tr>
      <w:tr w:rsidR="00055D79" w:rsidRPr="00F01347" w14:paraId="4004F7E5" w14:textId="49D96447" w:rsidTr="005B3BF2">
        <w:tc>
          <w:tcPr>
            <w:tcW w:w="4675" w:type="dxa"/>
          </w:tcPr>
          <w:p w14:paraId="6740E7AE" w14:textId="77777777" w:rsidR="00055D79" w:rsidRPr="00F01347" w:rsidRDefault="00055D79" w:rsidP="00055D79">
            <w:pPr>
              <w:pStyle w:val="texto0"/>
              <w:spacing w:line="240" w:lineRule="auto"/>
              <w:ind w:firstLine="0"/>
              <w:rPr>
                <w:rFonts w:ascii="Verdana" w:hAnsi="Verdana" w:cs="Times New Roman"/>
                <w:i/>
                <w:noProof/>
                <w:sz w:val="16"/>
                <w:szCs w:val="16"/>
                <w:lang w:eastAsia="es-MX"/>
              </w:rPr>
            </w:pPr>
            <w:r w:rsidRPr="00F01347">
              <w:rPr>
                <w:rFonts w:ascii="Verdana" w:hAnsi="Verdana" w:cs="Times New Roman"/>
                <w:i/>
                <w:noProof/>
                <w:sz w:val="16"/>
                <w:szCs w:val="16"/>
                <w:lang w:eastAsia="es-MX"/>
              </w:rPr>
              <w:t>y = mx + b</w:t>
            </w:r>
          </w:p>
        </w:tc>
        <w:tc>
          <w:tcPr>
            <w:tcW w:w="4675" w:type="dxa"/>
          </w:tcPr>
          <w:p w14:paraId="33E8C9B1" w14:textId="5F364E0A" w:rsidR="00055D79" w:rsidRPr="00F01347" w:rsidRDefault="00055D79" w:rsidP="00055D79">
            <w:pPr>
              <w:pStyle w:val="texto0"/>
              <w:spacing w:line="240" w:lineRule="auto"/>
              <w:ind w:firstLine="0"/>
              <w:rPr>
                <w:rFonts w:ascii="Verdana" w:hAnsi="Verdana" w:cs="Times New Roman"/>
                <w:i/>
                <w:noProof/>
                <w:sz w:val="16"/>
                <w:szCs w:val="16"/>
                <w:lang w:val="en-US" w:eastAsia="es-MX"/>
              </w:rPr>
            </w:pPr>
            <w:r w:rsidRPr="00F01347">
              <w:rPr>
                <w:rFonts w:ascii="Verdana" w:hAnsi="Verdana" w:cs="Times New Roman"/>
                <w:i/>
                <w:noProof/>
                <w:sz w:val="16"/>
                <w:szCs w:val="16"/>
                <w:lang w:val="en-US" w:eastAsia="es-MX"/>
              </w:rPr>
              <w:t>y = mx + b</w:t>
            </w:r>
          </w:p>
        </w:tc>
      </w:tr>
      <w:tr w:rsidR="00055D79" w:rsidRPr="00F01347" w14:paraId="32BC939D" w14:textId="406CAE45" w:rsidTr="005B3BF2">
        <w:tc>
          <w:tcPr>
            <w:tcW w:w="4675" w:type="dxa"/>
          </w:tcPr>
          <w:p w14:paraId="19A6E56F" w14:textId="77777777" w:rsidR="00055D79" w:rsidRPr="00F01347" w:rsidRDefault="00055D79" w:rsidP="00055D79">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246674D8" w14:textId="415CB864" w:rsidR="00055D79" w:rsidRPr="00F01347" w:rsidRDefault="00055D79" w:rsidP="00055D79">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055D79" w:rsidRPr="00F01347" w14:paraId="185B7823" w14:textId="233CC3D9" w:rsidTr="005B3BF2">
        <w:tc>
          <w:tcPr>
            <w:tcW w:w="4675" w:type="dxa"/>
          </w:tcPr>
          <w:p w14:paraId="0777C209" w14:textId="77777777" w:rsidR="00055D79" w:rsidRPr="00F01347" w:rsidRDefault="00055D79" w:rsidP="00055D79">
            <w:pPr>
              <w:pStyle w:val="texto0"/>
              <w:ind w:firstLine="0"/>
              <w:rPr>
                <w:rFonts w:ascii="Verdana" w:hAnsi="Verdana"/>
                <w:sz w:val="16"/>
                <w:szCs w:val="16"/>
              </w:rPr>
            </w:pPr>
            <w:r w:rsidRPr="00F01347">
              <w:rPr>
                <w:rFonts w:ascii="Verdana" w:hAnsi="Verdana"/>
                <w:sz w:val="16"/>
                <w:szCs w:val="16"/>
              </w:rPr>
              <w:t>x</w:t>
            </w:r>
            <w:r w:rsidRPr="00F01347">
              <w:rPr>
                <w:rFonts w:ascii="Verdana" w:hAnsi="Verdana"/>
                <w:sz w:val="16"/>
                <w:szCs w:val="16"/>
              </w:rPr>
              <w:tab/>
              <w:t>concentración</w:t>
            </w:r>
          </w:p>
        </w:tc>
        <w:tc>
          <w:tcPr>
            <w:tcW w:w="4675" w:type="dxa"/>
          </w:tcPr>
          <w:p w14:paraId="6D3224E2" w14:textId="1D1AA5A1" w:rsidR="00055D79" w:rsidRPr="00F01347" w:rsidRDefault="00055D79" w:rsidP="00055D79">
            <w:pPr>
              <w:pStyle w:val="texto0"/>
              <w:ind w:firstLine="0"/>
              <w:rPr>
                <w:rFonts w:ascii="Verdana" w:hAnsi="Verdana"/>
                <w:sz w:val="16"/>
                <w:szCs w:val="16"/>
                <w:lang w:val="en-US"/>
              </w:rPr>
            </w:pPr>
            <w:r w:rsidRPr="00F01347">
              <w:rPr>
                <w:rFonts w:ascii="Verdana" w:hAnsi="Verdana"/>
                <w:sz w:val="16"/>
                <w:szCs w:val="16"/>
                <w:lang w:val="en-US"/>
              </w:rPr>
              <w:t xml:space="preserve">x </w:t>
            </w:r>
            <w:r w:rsidRPr="00F01347">
              <w:rPr>
                <w:rFonts w:ascii="Verdana" w:hAnsi="Verdana"/>
                <w:sz w:val="16"/>
                <w:szCs w:val="16"/>
                <w:lang w:val="en-US"/>
              </w:rPr>
              <w:tab/>
              <w:t>concentration</w:t>
            </w:r>
          </w:p>
        </w:tc>
      </w:tr>
      <w:tr w:rsidR="00055D79" w:rsidRPr="00F01347" w14:paraId="4C0AB329" w14:textId="1C1A3A49" w:rsidTr="005B3BF2">
        <w:tc>
          <w:tcPr>
            <w:tcW w:w="4675" w:type="dxa"/>
          </w:tcPr>
          <w:p w14:paraId="081C9848" w14:textId="77777777" w:rsidR="00055D79" w:rsidRPr="00F01347" w:rsidRDefault="00055D79" w:rsidP="00055D79">
            <w:pPr>
              <w:pStyle w:val="texto0"/>
              <w:ind w:firstLine="0"/>
              <w:rPr>
                <w:rFonts w:ascii="Verdana" w:hAnsi="Verdana"/>
                <w:sz w:val="16"/>
                <w:szCs w:val="16"/>
              </w:rPr>
            </w:pPr>
            <w:r w:rsidRPr="00F01347">
              <w:rPr>
                <w:rFonts w:ascii="Verdana" w:hAnsi="Verdana"/>
                <w:sz w:val="16"/>
                <w:szCs w:val="16"/>
              </w:rPr>
              <w:t>m</w:t>
            </w:r>
            <w:r w:rsidRPr="00F01347">
              <w:rPr>
                <w:rFonts w:ascii="Verdana" w:hAnsi="Verdana"/>
                <w:sz w:val="16"/>
                <w:szCs w:val="16"/>
              </w:rPr>
              <w:tab/>
              <w:t>factor de calibración (pendiente)</w:t>
            </w:r>
          </w:p>
        </w:tc>
        <w:tc>
          <w:tcPr>
            <w:tcW w:w="4675" w:type="dxa"/>
          </w:tcPr>
          <w:p w14:paraId="353AB53F" w14:textId="2250C80A" w:rsidR="00055D79" w:rsidRPr="00F01347" w:rsidRDefault="00055D79" w:rsidP="00055D79">
            <w:pPr>
              <w:pStyle w:val="texto0"/>
              <w:ind w:firstLine="0"/>
              <w:rPr>
                <w:rFonts w:ascii="Verdana" w:hAnsi="Verdana"/>
                <w:sz w:val="16"/>
                <w:szCs w:val="16"/>
                <w:lang w:val="en-US"/>
              </w:rPr>
            </w:pPr>
            <w:r w:rsidRPr="00F01347">
              <w:rPr>
                <w:rFonts w:ascii="Verdana" w:hAnsi="Verdana"/>
                <w:sz w:val="16"/>
                <w:szCs w:val="16"/>
                <w:lang w:val="en-US"/>
              </w:rPr>
              <w:t xml:space="preserve">m </w:t>
            </w:r>
            <w:r w:rsidRPr="00F01347">
              <w:rPr>
                <w:rFonts w:ascii="Verdana" w:hAnsi="Verdana"/>
                <w:sz w:val="16"/>
                <w:szCs w:val="16"/>
                <w:lang w:val="en-US"/>
              </w:rPr>
              <w:tab/>
              <w:t>calibration factor (slope)</w:t>
            </w:r>
          </w:p>
        </w:tc>
      </w:tr>
      <w:tr w:rsidR="00055D79" w:rsidRPr="00F01347" w14:paraId="69201CAD" w14:textId="12B3DF8E" w:rsidTr="005B3BF2">
        <w:tc>
          <w:tcPr>
            <w:tcW w:w="4675" w:type="dxa"/>
          </w:tcPr>
          <w:p w14:paraId="5187FDCA" w14:textId="77777777" w:rsidR="00055D79" w:rsidRPr="00F01347" w:rsidRDefault="00055D79" w:rsidP="00055D79">
            <w:pPr>
              <w:pStyle w:val="texto0"/>
              <w:ind w:firstLine="0"/>
              <w:rPr>
                <w:rFonts w:ascii="Verdana" w:hAnsi="Verdana"/>
                <w:sz w:val="16"/>
                <w:szCs w:val="16"/>
              </w:rPr>
            </w:pPr>
            <w:r w:rsidRPr="00F01347">
              <w:rPr>
                <w:rFonts w:ascii="Verdana" w:hAnsi="Verdana"/>
                <w:sz w:val="16"/>
                <w:szCs w:val="16"/>
              </w:rPr>
              <w:t>y</w:t>
            </w:r>
            <w:r w:rsidRPr="00F01347">
              <w:rPr>
                <w:rFonts w:ascii="Verdana" w:hAnsi="Verdana"/>
                <w:sz w:val="16"/>
                <w:szCs w:val="16"/>
              </w:rPr>
              <w:tab/>
              <w:t>área del compuesto</w:t>
            </w:r>
          </w:p>
        </w:tc>
        <w:tc>
          <w:tcPr>
            <w:tcW w:w="4675" w:type="dxa"/>
          </w:tcPr>
          <w:p w14:paraId="19941358" w14:textId="051C8C51" w:rsidR="00055D79" w:rsidRPr="00F01347" w:rsidRDefault="005B3BF2" w:rsidP="00055D79">
            <w:pPr>
              <w:pStyle w:val="texto0"/>
              <w:ind w:firstLine="0"/>
              <w:rPr>
                <w:rFonts w:ascii="Verdana" w:hAnsi="Verdana"/>
                <w:sz w:val="16"/>
                <w:szCs w:val="16"/>
                <w:lang w:val="en-US"/>
              </w:rPr>
            </w:pPr>
            <w:r w:rsidRPr="00F01347">
              <w:rPr>
                <w:rFonts w:ascii="Verdana" w:hAnsi="Verdana"/>
                <w:sz w:val="16"/>
                <w:szCs w:val="16"/>
                <w:lang w:val="en-US"/>
              </w:rPr>
              <w:t>y</w:t>
            </w:r>
            <w:r w:rsidR="00055D79" w:rsidRPr="00F01347">
              <w:rPr>
                <w:rFonts w:ascii="Verdana" w:hAnsi="Verdana"/>
                <w:sz w:val="16"/>
                <w:szCs w:val="16"/>
                <w:lang w:val="en-US"/>
              </w:rPr>
              <w:t xml:space="preserve"> </w:t>
            </w:r>
            <w:r w:rsidR="00055D79" w:rsidRPr="00F01347">
              <w:rPr>
                <w:rFonts w:ascii="Verdana" w:hAnsi="Verdana"/>
                <w:sz w:val="16"/>
                <w:szCs w:val="16"/>
                <w:lang w:val="en-US"/>
              </w:rPr>
              <w:tab/>
              <w:t>area of the compound</w:t>
            </w:r>
          </w:p>
        </w:tc>
      </w:tr>
      <w:tr w:rsidR="00055D79" w:rsidRPr="00F01347" w14:paraId="5EAB02C7" w14:textId="4466AB80" w:rsidTr="005B3BF2">
        <w:tc>
          <w:tcPr>
            <w:tcW w:w="4675" w:type="dxa"/>
          </w:tcPr>
          <w:p w14:paraId="0FF90113" w14:textId="77777777" w:rsidR="00055D79" w:rsidRPr="00F01347" w:rsidRDefault="00055D79" w:rsidP="00055D79">
            <w:pPr>
              <w:pStyle w:val="texto0"/>
              <w:ind w:firstLine="0"/>
              <w:rPr>
                <w:rFonts w:ascii="Verdana" w:hAnsi="Verdana"/>
                <w:sz w:val="16"/>
                <w:szCs w:val="16"/>
              </w:rPr>
            </w:pPr>
            <w:r w:rsidRPr="00F01347">
              <w:rPr>
                <w:rFonts w:ascii="Verdana" w:hAnsi="Verdana"/>
                <w:sz w:val="16"/>
                <w:szCs w:val="16"/>
              </w:rPr>
              <w:t>b</w:t>
            </w:r>
            <w:r w:rsidRPr="00F01347">
              <w:rPr>
                <w:rFonts w:ascii="Verdana" w:hAnsi="Verdana"/>
                <w:sz w:val="16"/>
                <w:szCs w:val="16"/>
              </w:rPr>
              <w:tab/>
              <w:t>ordenada al origen (expresado como respuesta)</w:t>
            </w:r>
          </w:p>
        </w:tc>
        <w:tc>
          <w:tcPr>
            <w:tcW w:w="4675" w:type="dxa"/>
          </w:tcPr>
          <w:p w14:paraId="31CE168E" w14:textId="59398353" w:rsidR="00055D79" w:rsidRPr="00F01347" w:rsidRDefault="00055D79" w:rsidP="00055D79">
            <w:pPr>
              <w:pStyle w:val="texto0"/>
              <w:ind w:firstLine="0"/>
              <w:rPr>
                <w:rFonts w:ascii="Verdana" w:hAnsi="Verdana"/>
                <w:sz w:val="16"/>
                <w:szCs w:val="16"/>
                <w:lang w:val="en-US"/>
              </w:rPr>
            </w:pPr>
            <w:r w:rsidRPr="00F01347">
              <w:rPr>
                <w:rFonts w:ascii="Verdana" w:hAnsi="Verdana"/>
                <w:sz w:val="16"/>
                <w:szCs w:val="16"/>
                <w:lang w:val="en-US"/>
              </w:rPr>
              <w:t xml:space="preserve">b </w:t>
            </w:r>
            <w:r w:rsidRPr="00F01347">
              <w:rPr>
                <w:rFonts w:ascii="Verdana" w:hAnsi="Verdana"/>
                <w:sz w:val="16"/>
                <w:szCs w:val="16"/>
                <w:lang w:val="en-US"/>
              </w:rPr>
              <w:tab/>
              <w:t>ordered to the origin (expressed as a response)</w:t>
            </w:r>
          </w:p>
        </w:tc>
      </w:tr>
      <w:tr w:rsidR="00055D79" w:rsidRPr="00F01347" w14:paraId="63EF9FF8" w14:textId="7BDECAE0" w:rsidTr="005B3BF2">
        <w:tc>
          <w:tcPr>
            <w:tcW w:w="4675" w:type="dxa"/>
          </w:tcPr>
          <w:p w14:paraId="61967411" w14:textId="77777777" w:rsidR="00055D79" w:rsidRPr="00F01347" w:rsidRDefault="00055D79" w:rsidP="00055D79">
            <w:pPr>
              <w:pStyle w:val="texto0"/>
              <w:spacing w:line="240" w:lineRule="exact"/>
              <w:ind w:firstLine="0"/>
              <w:rPr>
                <w:rFonts w:ascii="Verdana" w:hAnsi="Verdana"/>
                <w:sz w:val="16"/>
                <w:szCs w:val="16"/>
              </w:rPr>
            </w:pPr>
            <w:r w:rsidRPr="00F01347">
              <w:rPr>
                <w:rFonts w:ascii="Verdana" w:hAnsi="Verdana"/>
                <w:sz w:val="16"/>
                <w:szCs w:val="16"/>
              </w:rPr>
              <w:t>Evaluar la linealidad de la curva de calibración por medio del coeficiente de correlación, el cual debe ser mayor a 0.995. Evaluar también el coeficiente de variación del factor de calibración, el cual debe ser menor o igual al 15%.</w:t>
            </w:r>
          </w:p>
        </w:tc>
        <w:tc>
          <w:tcPr>
            <w:tcW w:w="4675" w:type="dxa"/>
          </w:tcPr>
          <w:p w14:paraId="2D19FB12" w14:textId="0E6FE4BE" w:rsidR="00055D79" w:rsidRPr="00F01347" w:rsidRDefault="00055D79" w:rsidP="00055D79">
            <w:pPr>
              <w:pStyle w:val="texto0"/>
              <w:spacing w:line="240" w:lineRule="exact"/>
              <w:ind w:firstLine="0"/>
              <w:rPr>
                <w:rFonts w:ascii="Verdana" w:hAnsi="Verdana"/>
                <w:sz w:val="16"/>
                <w:szCs w:val="16"/>
                <w:lang w:val="en-US"/>
              </w:rPr>
            </w:pPr>
            <w:r w:rsidRPr="00F01347">
              <w:rPr>
                <w:rFonts w:ascii="Verdana" w:hAnsi="Verdana"/>
                <w:sz w:val="16"/>
                <w:szCs w:val="16"/>
                <w:lang w:val="en-US"/>
              </w:rPr>
              <w:t>Evaluate the linearity of the calibration curve through the correlation coefficient, which must be greater than 0.995. Also evaluate the coefficient of variation of the calibration factor, which must be less than or equal to 15%.</w:t>
            </w:r>
          </w:p>
        </w:tc>
      </w:tr>
      <w:tr w:rsidR="00055D79" w:rsidRPr="00F01347" w14:paraId="69600FFA" w14:textId="690C5BA8" w:rsidTr="005B3BF2">
        <w:tc>
          <w:tcPr>
            <w:tcW w:w="4675" w:type="dxa"/>
          </w:tcPr>
          <w:p w14:paraId="7AD8C73B" w14:textId="77777777" w:rsidR="00055D79" w:rsidRPr="00F01347" w:rsidRDefault="00055D79" w:rsidP="00055D79">
            <w:pPr>
              <w:pStyle w:val="texto0"/>
              <w:spacing w:line="240" w:lineRule="exact"/>
              <w:ind w:firstLine="0"/>
              <w:rPr>
                <w:rFonts w:ascii="Verdana" w:hAnsi="Verdana"/>
                <w:sz w:val="16"/>
                <w:szCs w:val="16"/>
              </w:rPr>
            </w:pPr>
            <w:r w:rsidRPr="00F01347">
              <w:rPr>
                <w:rFonts w:ascii="Verdana" w:hAnsi="Verdana"/>
                <w:sz w:val="16"/>
                <w:szCs w:val="16"/>
              </w:rPr>
              <w:t>Si el coeficiente de correlación es menor a 0.995 o el coeficiente de variación del factor de calibración es mayor de 15% verificar las condiciones de operación, áreas y concentraciones para evaluar si hay algún error y corregir. Si fuera necesario, analizar nuevamente el compuesto en el o los niveles de calibración que fueran necesarios.</w:t>
            </w:r>
          </w:p>
        </w:tc>
        <w:tc>
          <w:tcPr>
            <w:tcW w:w="4675" w:type="dxa"/>
          </w:tcPr>
          <w:p w14:paraId="1A2527A2" w14:textId="7E50AB2B" w:rsidR="00055D79" w:rsidRPr="00F01347" w:rsidRDefault="00055D79" w:rsidP="00055D79">
            <w:pPr>
              <w:pStyle w:val="texto0"/>
              <w:spacing w:line="240" w:lineRule="exact"/>
              <w:ind w:firstLine="0"/>
              <w:rPr>
                <w:rFonts w:ascii="Verdana" w:hAnsi="Verdana"/>
                <w:sz w:val="16"/>
                <w:szCs w:val="16"/>
                <w:lang w:val="en-US"/>
              </w:rPr>
            </w:pPr>
            <w:r w:rsidRPr="00F01347">
              <w:rPr>
                <w:rFonts w:ascii="Verdana" w:hAnsi="Verdana"/>
                <w:sz w:val="16"/>
                <w:szCs w:val="16"/>
                <w:lang w:val="en-US"/>
              </w:rPr>
              <w:t xml:space="preserve">If the correlation coefficient is less than 0.995 or the coefficient of variation of the calibration factor is greater than 15%, verify the operating conditions, </w:t>
            </w:r>
            <w:r w:rsidR="004A44A0" w:rsidRPr="00F01347">
              <w:rPr>
                <w:rFonts w:ascii="Verdana" w:hAnsi="Verdana"/>
                <w:sz w:val="16"/>
                <w:szCs w:val="16"/>
                <w:lang w:val="en-US"/>
              </w:rPr>
              <w:t>areas,</w:t>
            </w:r>
            <w:r w:rsidRPr="00F01347">
              <w:rPr>
                <w:rFonts w:ascii="Verdana" w:hAnsi="Verdana"/>
                <w:sz w:val="16"/>
                <w:szCs w:val="16"/>
                <w:lang w:val="en-US"/>
              </w:rPr>
              <w:t xml:space="preserve"> and concentrations to evaluate if there is any error and correct. If necessary, analyze the compound again at the calibration level(s) that are necessary.</w:t>
            </w:r>
          </w:p>
        </w:tc>
      </w:tr>
      <w:tr w:rsidR="00055D79" w:rsidRPr="00F01347" w14:paraId="5007D6D2" w14:textId="5A702103" w:rsidTr="005B3BF2">
        <w:tc>
          <w:tcPr>
            <w:tcW w:w="4675" w:type="dxa"/>
          </w:tcPr>
          <w:p w14:paraId="2551D93E" w14:textId="77777777" w:rsidR="00055D79" w:rsidRPr="00F01347" w:rsidRDefault="00055D79" w:rsidP="00055D79">
            <w:pPr>
              <w:pStyle w:val="texto0"/>
              <w:spacing w:line="240" w:lineRule="exact"/>
              <w:ind w:firstLine="0"/>
              <w:rPr>
                <w:rFonts w:ascii="Verdana" w:hAnsi="Verdana"/>
                <w:sz w:val="16"/>
                <w:szCs w:val="16"/>
              </w:rPr>
            </w:pPr>
            <w:r w:rsidRPr="00F01347">
              <w:rPr>
                <w:rFonts w:ascii="Verdana" w:hAnsi="Verdana"/>
                <w:sz w:val="16"/>
                <w:szCs w:val="16"/>
              </w:rPr>
              <w:t>Si detecta que el problema es la disolución estándar a partir de la cual fue preparado, reemplácelo y analice nuevamente.</w:t>
            </w:r>
          </w:p>
        </w:tc>
        <w:tc>
          <w:tcPr>
            <w:tcW w:w="4675" w:type="dxa"/>
          </w:tcPr>
          <w:p w14:paraId="1AAF4536" w14:textId="510BA35E" w:rsidR="00055D79" w:rsidRPr="00F01347" w:rsidRDefault="00055D79" w:rsidP="00055D79">
            <w:pPr>
              <w:pStyle w:val="texto0"/>
              <w:spacing w:line="240" w:lineRule="exact"/>
              <w:ind w:firstLine="0"/>
              <w:rPr>
                <w:rFonts w:ascii="Verdana" w:hAnsi="Verdana"/>
                <w:sz w:val="16"/>
                <w:szCs w:val="16"/>
                <w:lang w:val="en-US"/>
              </w:rPr>
            </w:pPr>
            <w:r w:rsidRPr="00F01347">
              <w:rPr>
                <w:rFonts w:ascii="Verdana" w:hAnsi="Verdana"/>
                <w:sz w:val="16"/>
                <w:szCs w:val="16"/>
                <w:lang w:val="en-US"/>
              </w:rPr>
              <w:t xml:space="preserve">If </w:t>
            </w:r>
            <w:r w:rsidR="004A44A0" w:rsidRPr="00F01347">
              <w:rPr>
                <w:rFonts w:ascii="Verdana" w:hAnsi="Verdana"/>
                <w:sz w:val="16"/>
                <w:szCs w:val="16"/>
                <w:lang w:val="en-US"/>
              </w:rPr>
              <w:t>it is detected</w:t>
            </w:r>
            <w:r w:rsidRPr="00F01347">
              <w:rPr>
                <w:rFonts w:ascii="Verdana" w:hAnsi="Verdana"/>
                <w:sz w:val="16"/>
                <w:szCs w:val="16"/>
                <w:lang w:val="en-US"/>
              </w:rPr>
              <w:t xml:space="preserve"> that the problem is the standard solution from which it was prepared, replace </w:t>
            </w:r>
            <w:proofErr w:type="gramStart"/>
            <w:r w:rsidRPr="00F01347">
              <w:rPr>
                <w:rFonts w:ascii="Verdana" w:hAnsi="Verdana"/>
                <w:sz w:val="16"/>
                <w:szCs w:val="16"/>
                <w:lang w:val="en-US"/>
              </w:rPr>
              <w:t>it</w:t>
            </w:r>
            <w:proofErr w:type="gramEnd"/>
            <w:r w:rsidRPr="00F01347">
              <w:rPr>
                <w:rFonts w:ascii="Verdana" w:hAnsi="Verdana"/>
                <w:sz w:val="16"/>
                <w:szCs w:val="16"/>
                <w:lang w:val="en-US"/>
              </w:rPr>
              <w:t xml:space="preserve"> and analyze again.</w:t>
            </w:r>
          </w:p>
        </w:tc>
      </w:tr>
      <w:tr w:rsidR="00055D79" w:rsidRPr="00F01347" w14:paraId="57C7504C" w14:textId="7CD329BE" w:rsidTr="005B3BF2">
        <w:tc>
          <w:tcPr>
            <w:tcW w:w="4675" w:type="dxa"/>
          </w:tcPr>
          <w:p w14:paraId="57C91213" w14:textId="77777777" w:rsidR="00055D79" w:rsidRPr="00F01347" w:rsidRDefault="00055D79" w:rsidP="00055D79">
            <w:pPr>
              <w:pStyle w:val="texto0"/>
              <w:spacing w:line="240" w:lineRule="exact"/>
              <w:ind w:firstLine="0"/>
              <w:rPr>
                <w:rFonts w:ascii="Verdana" w:hAnsi="Verdana"/>
                <w:sz w:val="16"/>
                <w:szCs w:val="16"/>
              </w:rPr>
            </w:pPr>
            <w:r w:rsidRPr="00F01347">
              <w:rPr>
                <w:rFonts w:ascii="Verdana" w:hAnsi="Verdana"/>
                <w:sz w:val="16"/>
                <w:szCs w:val="16"/>
              </w:rPr>
              <w:t xml:space="preserve">Una vez que ha cumplido con lo descrito anteriormente, revisar que la calibración inicial siga vigente; esto lo debe evaluar con la verificación de la estabilidad de la curva de calibración a través de la disolución estándar de un punto de la curva. De la misma manera la verificación de la estabilidad de la curva debe llevarse </w:t>
            </w:r>
            <w:r w:rsidRPr="00F01347">
              <w:rPr>
                <w:rFonts w:ascii="Verdana" w:hAnsi="Verdana"/>
                <w:sz w:val="16"/>
                <w:szCs w:val="16"/>
              </w:rPr>
              <w:lastRenderedPageBreak/>
              <w:t>al inicio de cada lote analítico (posterior a la verificación del equipo y verificación de los reactivos de la fase móvil) y después de 10 horas de análisis (aproximadamente cada 10 muestras).</w:t>
            </w:r>
          </w:p>
        </w:tc>
        <w:tc>
          <w:tcPr>
            <w:tcW w:w="4675" w:type="dxa"/>
          </w:tcPr>
          <w:p w14:paraId="4BF55AC7" w14:textId="36FFCE1E" w:rsidR="00055D79" w:rsidRPr="00F01347" w:rsidRDefault="00F202F9" w:rsidP="00055D79">
            <w:pPr>
              <w:pStyle w:val="texto0"/>
              <w:spacing w:line="240" w:lineRule="exact"/>
              <w:ind w:firstLine="0"/>
              <w:rPr>
                <w:rFonts w:ascii="Verdana" w:hAnsi="Verdana"/>
                <w:sz w:val="16"/>
                <w:szCs w:val="16"/>
                <w:lang w:val="en-US"/>
              </w:rPr>
            </w:pPr>
            <w:r w:rsidRPr="00F01347">
              <w:rPr>
                <w:rFonts w:ascii="Verdana" w:hAnsi="Verdana"/>
                <w:sz w:val="16"/>
                <w:szCs w:val="16"/>
                <w:lang w:val="en-US"/>
              </w:rPr>
              <w:lastRenderedPageBreak/>
              <w:t>After compliance</w:t>
            </w:r>
            <w:r w:rsidR="00055D79" w:rsidRPr="00F01347">
              <w:rPr>
                <w:rFonts w:ascii="Verdana" w:hAnsi="Verdana"/>
                <w:sz w:val="16"/>
                <w:szCs w:val="16"/>
                <w:lang w:val="en-US"/>
              </w:rPr>
              <w:t xml:space="preserve"> with what is described above, check that the initial calibration is still valid; This must be evaluated by verifying the stability of the calibration curve through the standard dissolution of a point on the curve. In the same way, the verification of the stability of the curve must be carried out at the beginning of </w:t>
            </w:r>
            <w:r w:rsidR="00055D79" w:rsidRPr="00F01347">
              <w:rPr>
                <w:rFonts w:ascii="Verdana" w:hAnsi="Verdana"/>
                <w:sz w:val="16"/>
                <w:szCs w:val="16"/>
                <w:lang w:val="en-US"/>
              </w:rPr>
              <w:lastRenderedPageBreak/>
              <w:t>each analytical batch (after verification of the equipment and verification of the mobile phase reagents) and after 10 hours of analysis (approximately every 10 samples).</w:t>
            </w:r>
          </w:p>
        </w:tc>
      </w:tr>
      <w:tr w:rsidR="00055D79" w:rsidRPr="00F01347" w14:paraId="4EA77984" w14:textId="3BF3634C" w:rsidTr="005B3BF2">
        <w:tc>
          <w:tcPr>
            <w:tcW w:w="4675" w:type="dxa"/>
          </w:tcPr>
          <w:p w14:paraId="146054F2" w14:textId="77777777" w:rsidR="00055D79" w:rsidRPr="00F01347" w:rsidRDefault="00055D79" w:rsidP="00055D79">
            <w:pPr>
              <w:pStyle w:val="texto0"/>
              <w:spacing w:line="240" w:lineRule="exact"/>
              <w:ind w:firstLine="0"/>
              <w:rPr>
                <w:rFonts w:ascii="Verdana" w:hAnsi="Verdana"/>
                <w:b/>
                <w:sz w:val="16"/>
                <w:szCs w:val="16"/>
              </w:rPr>
            </w:pPr>
            <w:r w:rsidRPr="00F01347">
              <w:rPr>
                <w:rFonts w:ascii="Verdana" w:hAnsi="Verdana"/>
                <w:b/>
                <w:sz w:val="16"/>
                <w:szCs w:val="16"/>
              </w:rPr>
              <w:lastRenderedPageBreak/>
              <w:t>B.6.8.3 Interferencias</w:t>
            </w:r>
          </w:p>
        </w:tc>
        <w:tc>
          <w:tcPr>
            <w:tcW w:w="4675" w:type="dxa"/>
          </w:tcPr>
          <w:p w14:paraId="03352F48" w14:textId="275E2063" w:rsidR="00055D79" w:rsidRPr="00F01347" w:rsidRDefault="00055D79" w:rsidP="00055D79">
            <w:pPr>
              <w:pStyle w:val="texto0"/>
              <w:spacing w:line="240" w:lineRule="exact"/>
              <w:ind w:firstLine="0"/>
              <w:rPr>
                <w:rFonts w:ascii="Verdana" w:hAnsi="Verdana"/>
                <w:b/>
                <w:sz w:val="16"/>
                <w:szCs w:val="16"/>
                <w:lang w:val="en-US"/>
              </w:rPr>
            </w:pPr>
            <w:r w:rsidRPr="00F01347">
              <w:rPr>
                <w:rFonts w:ascii="Verdana" w:hAnsi="Verdana"/>
                <w:b/>
                <w:sz w:val="16"/>
                <w:szCs w:val="16"/>
                <w:lang w:val="en-US"/>
              </w:rPr>
              <w:t>B.6.8.3 Interferences</w:t>
            </w:r>
          </w:p>
        </w:tc>
      </w:tr>
      <w:tr w:rsidR="00055D79" w:rsidRPr="00F01347" w14:paraId="7C28EB1F" w14:textId="326892DC" w:rsidTr="005B3BF2">
        <w:tc>
          <w:tcPr>
            <w:tcW w:w="4675" w:type="dxa"/>
          </w:tcPr>
          <w:p w14:paraId="09EDA03D" w14:textId="77777777" w:rsidR="00055D79" w:rsidRPr="00F01347" w:rsidRDefault="00055D79" w:rsidP="00055D79">
            <w:pPr>
              <w:pStyle w:val="texto0"/>
              <w:spacing w:line="240" w:lineRule="exact"/>
              <w:ind w:firstLine="0"/>
              <w:rPr>
                <w:rFonts w:ascii="Verdana" w:hAnsi="Verdana"/>
                <w:sz w:val="16"/>
                <w:szCs w:val="16"/>
              </w:rPr>
            </w:pPr>
            <w:r w:rsidRPr="00F01347">
              <w:rPr>
                <w:rFonts w:ascii="Verdana" w:hAnsi="Verdana"/>
                <w:sz w:val="16"/>
                <w:szCs w:val="16"/>
              </w:rPr>
              <w:t>La necesidad de cuantificar niveles bajos de productos para la desinfección y sus precursores en presencia de niveles mucho más altos de los aniones comunes representa un problema analítico. Cualquier material iónico que coeluye con un analito de interés interferirá con la determinación de este analito. Se ha demostrado que el bromato es sujeto a interferencias positivas en algunas matrices. La interferencia es usualmente detectable como un pico aplanado. Esto puede ser a menudo eliminado al pasar la muestra a través de un cartucho de Hidrógeno (</w:t>
            </w:r>
            <w:proofErr w:type="spellStart"/>
            <w:r w:rsidRPr="00F01347">
              <w:rPr>
                <w:rFonts w:ascii="Verdana" w:hAnsi="Verdana"/>
                <w:sz w:val="16"/>
                <w:szCs w:val="16"/>
              </w:rPr>
              <w:t>Dionex</w:t>
            </w:r>
            <w:proofErr w:type="spellEnd"/>
            <w:r w:rsidRPr="00F01347">
              <w:rPr>
                <w:rFonts w:ascii="Verdana" w:hAnsi="Verdana"/>
                <w:sz w:val="16"/>
                <w:szCs w:val="16"/>
              </w:rPr>
              <w:t xml:space="preserve"> PN 039596). Este problema puede ser abordado mediante la selección de diferentes combinaciones de columna/eluyente o por la dilución del eluyente, lo cual incrementará los tiempos de retención y dispersará el cromatograma.</w:t>
            </w:r>
          </w:p>
        </w:tc>
        <w:tc>
          <w:tcPr>
            <w:tcW w:w="4675" w:type="dxa"/>
          </w:tcPr>
          <w:p w14:paraId="70D6D16B" w14:textId="4793D7B1" w:rsidR="00055D79" w:rsidRPr="00F01347" w:rsidRDefault="00055D79" w:rsidP="00055D79">
            <w:pPr>
              <w:pStyle w:val="texto0"/>
              <w:spacing w:line="240" w:lineRule="exact"/>
              <w:ind w:firstLine="0"/>
              <w:rPr>
                <w:rFonts w:ascii="Verdana" w:hAnsi="Verdana"/>
                <w:sz w:val="16"/>
                <w:szCs w:val="16"/>
                <w:lang w:val="en-US"/>
              </w:rPr>
            </w:pPr>
            <w:r w:rsidRPr="00F01347">
              <w:rPr>
                <w:rFonts w:ascii="Verdana" w:hAnsi="Verdana"/>
                <w:sz w:val="16"/>
                <w:szCs w:val="16"/>
                <w:lang w:val="en-US"/>
              </w:rPr>
              <w:t xml:space="preserve">The need to quantify low levels of disinfection products and their precursors in the presence of much higher levels of common anions represents an analytical problem. Any ionic material that coelutes with an analyte of interest will interfere with the determination of this analyte. Bromate has been shown to be subject to positive interferences in some matrices. The interference is usually detectable as a flattened peak. This can often be eliminated by passing the sample through a Hydrogen cartridge </w:t>
            </w:r>
            <w:r w:rsidR="00CB209C" w:rsidRPr="00F01347">
              <w:rPr>
                <w:rFonts w:ascii="Verdana" w:hAnsi="Verdana"/>
                <w:sz w:val="16"/>
                <w:szCs w:val="16"/>
                <w:lang w:val="en-US"/>
              </w:rPr>
              <w:t>(</w:t>
            </w:r>
            <w:proofErr w:type="spellStart"/>
            <w:r w:rsidRPr="00F01347">
              <w:rPr>
                <w:rFonts w:ascii="Verdana" w:hAnsi="Verdana"/>
                <w:sz w:val="16"/>
                <w:szCs w:val="16"/>
                <w:lang w:val="en-US"/>
              </w:rPr>
              <w:t>Dionex</w:t>
            </w:r>
            <w:proofErr w:type="spellEnd"/>
            <w:r w:rsidRPr="00F01347">
              <w:rPr>
                <w:rFonts w:ascii="Verdana" w:hAnsi="Verdana"/>
                <w:sz w:val="16"/>
                <w:szCs w:val="16"/>
                <w:lang w:val="en-US"/>
              </w:rPr>
              <w:t xml:space="preserve"> PN 039596). This problem can be addressed by selecting different column/eluent combinations or by diluting the eluent, which will increase retention times and disperse the chromatogram.</w:t>
            </w:r>
          </w:p>
        </w:tc>
      </w:tr>
      <w:tr w:rsidR="00055D79" w:rsidRPr="00F01347" w14:paraId="12803F31" w14:textId="64A5A280" w:rsidTr="005B3BF2">
        <w:tc>
          <w:tcPr>
            <w:tcW w:w="4675" w:type="dxa"/>
          </w:tcPr>
          <w:p w14:paraId="48D0EF7C" w14:textId="77777777" w:rsidR="00055D79" w:rsidRPr="00F01347" w:rsidRDefault="00055D79" w:rsidP="00055D79">
            <w:pPr>
              <w:pStyle w:val="texto0"/>
              <w:spacing w:line="240" w:lineRule="exact"/>
              <w:ind w:firstLine="0"/>
              <w:rPr>
                <w:rFonts w:ascii="Verdana" w:hAnsi="Verdana"/>
                <w:sz w:val="16"/>
                <w:szCs w:val="16"/>
              </w:rPr>
            </w:pPr>
            <w:r w:rsidRPr="00F01347">
              <w:rPr>
                <w:rFonts w:ascii="Verdana" w:hAnsi="Verdana"/>
                <w:sz w:val="16"/>
                <w:szCs w:val="16"/>
              </w:rPr>
              <w:t xml:space="preserve">Adicionalmente, el cloruro o cualquier otro analito no blanco presente en una concentración inusualmente alta puede </w:t>
            </w:r>
            <w:proofErr w:type="spellStart"/>
            <w:r w:rsidRPr="00F01347">
              <w:rPr>
                <w:rFonts w:ascii="Verdana" w:hAnsi="Verdana"/>
                <w:sz w:val="16"/>
                <w:szCs w:val="16"/>
              </w:rPr>
              <w:t>sobrelaparse</w:t>
            </w:r>
            <w:proofErr w:type="spellEnd"/>
            <w:r w:rsidRPr="00F01347">
              <w:rPr>
                <w:rFonts w:ascii="Verdana" w:hAnsi="Verdana"/>
                <w:sz w:val="16"/>
                <w:szCs w:val="16"/>
              </w:rPr>
              <w:t xml:space="preserve"> con el analito de interés lo suficiente para causar problemas en la cuantificación o puede ocasionar desviaciones en los tiempos de retención. La dilución de una muestra puede resolver este problema. Debe de tenerse el suficiente cuidado para evitar la acumulación de una muestra de alta concentración a la muestra subsecuente. Las interferencias del método también pueden causar la contaminación de reactivos, agua grado reactivo, cristalería de laboratorio, jeringas y otros equipos utilizados en el procesamiento de la muestra.</w:t>
            </w:r>
            <w:r w:rsidRPr="00F01347">
              <w:rPr>
                <w:rFonts w:ascii="Verdana" w:hAnsi="Verdana"/>
                <w:sz w:val="16"/>
                <w:szCs w:val="16"/>
              </w:rPr>
              <w:tab/>
            </w:r>
          </w:p>
        </w:tc>
        <w:tc>
          <w:tcPr>
            <w:tcW w:w="4675" w:type="dxa"/>
          </w:tcPr>
          <w:p w14:paraId="4157F4D9" w14:textId="3CF04FF6" w:rsidR="00055D79" w:rsidRPr="00F01347" w:rsidRDefault="00055D79" w:rsidP="00055D79">
            <w:pPr>
              <w:pStyle w:val="texto0"/>
              <w:spacing w:line="240" w:lineRule="exact"/>
              <w:ind w:firstLine="0"/>
              <w:rPr>
                <w:rFonts w:ascii="Verdana" w:hAnsi="Verdana"/>
                <w:sz w:val="16"/>
                <w:szCs w:val="16"/>
                <w:lang w:val="en-US"/>
              </w:rPr>
            </w:pPr>
            <w:r w:rsidRPr="00F01347">
              <w:rPr>
                <w:rFonts w:ascii="Verdana" w:hAnsi="Verdana"/>
                <w:sz w:val="16"/>
                <w:szCs w:val="16"/>
                <w:lang w:val="en-US"/>
              </w:rPr>
              <w:t>Additionally, chloride or any other non-</w:t>
            </w:r>
            <w:r w:rsidR="00C50A8A" w:rsidRPr="00F01347">
              <w:rPr>
                <w:rFonts w:ascii="Verdana" w:hAnsi="Verdana"/>
                <w:sz w:val="16"/>
                <w:szCs w:val="16"/>
                <w:lang w:val="en-US"/>
              </w:rPr>
              <w:t>blank</w:t>
            </w:r>
            <w:r w:rsidRPr="00F01347">
              <w:rPr>
                <w:rFonts w:ascii="Verdana" w:hAnsi="Verdana"/>
                <w:sz w:val="16"/>
                <w:szCs w:val="16"/>
                <w:lang w:val="en-US"/>
              </w:rPr>
              <w:t xml:space="preserve"> analyte present at an unusually high concentration may overlap with the analyte of interest enough to cause problems in quantitation or may cause deviations in retention times. Diluting a sample can solve this problem. Sufficient care must be taken to avoid accumulation of a high concentration sample to the subsequent sample. Method interferences can also cause contamination of reagents, reagent-grade water, laboratory glassware, syringes, and other equipment used in sample processing.</w:t>
            </w:r>
            <w:r w:rsidRPr="00F01347">
              <w:rPr>
                <w:rFonts w:ascii="Verdana" w:hAnsi="Verdana"/>
                <w:sz w:val="16"/>
                <w:szCs w:val="16"/>
                <w:lang w:val="en-US"/>
              </w:rPr>
              <w:tab/>
            </w:r>
          </w:p>
        </w:tc>
      </w:tr>
      <w:tr w:rsidR="00055D79" w:rsidRPr="00F01347" w14:paraId="22A2FB0B" w14:textId="160F0163" w:rsidTr="005B3BF2">
        <w:tc>
          <w:tcPr>
            <w:tcW w:w="4675" w:type="dxa"/>
          </w:tcPr>
          <w:p w14:paraId="5D04F7CA" w14:textId="77777777" w:rsidR="00055D79" w:rsidRPr="00F01347" w:rsidRDefault="00055D79" w:rsidP="00055D79">
            <w:pPr>
              <w:pStyle w:val="texto0"/>
              <w:spacing w:line="240" w:lineRule="exact"/>
              <w:ind w:firstLine="0"/>
              <w:rPr>
                <w:rFonts w:ascii="Verdana" w:hAnsi="Verdana"/>
                <w:sz w:val="16"/>
                <w:szCs w:val="16"/>
              </w:rPr>
            </w:pPr>
            <w:r w:rsidRPr="00F01347">
              <w:rPr>
                <w:rFonts w:ascii="Verdana" w:hAnsi="Verdana"/>
                <w:sz w:val="16"/>
                <w:szCs w:val="16"/>
              </w:rPr>
              <w:t xml:space="preserve">En el análisis de muestras con alta concentración de otros aniones (fluoruros, cloruros, nitratos, etc.) o con alta fuerza iónica, algunos analitos pueden coeluir con las interferencias de la matriz, </w:t>
            </w:r>
            <w:proofErr w:type="spellStart"/>
            <w:r w:rsidRPr="00F01347">
              <w:rPr>
                <w:rFonts w:ascii="Verdana" w:hAnsi="Verdana"/>
                <w:sz w:val="16"/>
                <w:szCs w:val="16"/>
              </w:rPr>
              <w:t>eluir</w:t>
            </w:r>
            <w:proofErr w:type="spellEnd"/>
            <w:r w:rsidRPr="00F01347">
              <w:rPr>
                <w:rFonts w:ascii="Verdana" w:hAnsi="Verdana"/>
                <w:sz w:val="16"/>
                <w:szCs w:val="16"/>
              </w:rPr>
              <w:t xml:space="preserve"> sobre los picos interferentes o sufrir desplazamiento del tiempo de retención debido a la sobrecarga de los sitios activos de la columna, por lo que dependiendo de las interferencias pueden ser necesarias la confirmación por el uso de un detector alterno, columna y/o fase móvil alternas, dilución o pretratamiento de la muestras.</w:t>
            </w:r>
          </w:p>
        </w:tc>
        <w:tc>
          <w:tcPr>
            <w:tcW w:w="4675" w:type="dxa"/>
          </w:tcPr>
          <w:p w14:paraId="58B4E4F1" w14:textId="6C3CA1C3" w:rsidR="00055D79" w:rsidRPr="00F01347" w:rsidRDefault="00055D79" w:rsidP="00055D79">
            <w:pPr>
              <w:pStyle w:val="texto0"/>
              <w:spacing w:line="240" w:lineRule="exact"/>
              <w:ind w:firstLine="0"/>
              <w:rPr>
                <w:rFonts w:ascii="Verdana" w:hAnsi="Verdana"/>
                <w:sz w:val="16"/>
                <w:szCs w:val="16"/>
                <w:lang w:val="en-US"/>
              </w:rPr>
            </w:pPr>
            <w:r w:rsidRPr="00F01347">
              <w:rPr>
                <w:rFonts w:ascii="Verdana" w:hAnsi="Verdana"/>
                <w:sz w:val="16"/>
                <w:szCs w:val="16"/>
                <w:lang w:val="en-US"/>
              </w:rPr>
              <w:t>In the analysis of samples with high concentration of other anions (fluorides, chlorides, nitrates, etc.) or with high ionic strength, some analytes may coelute with matrix interferences, elute above interfering peaks or suffer retention time shift due to the overload of the active sites of the column, so depending on the interferences, confirmation may be necessary by using an alternate detector, alternate column and/or mobile phase, dilution or pretreatment of the samples.</w:t>
            </w:r>
          </w:p>
        </w:tc>
      </w:tr>
      <w:tr w:rsidR="00055D79" w:rsidRPr="00F01347" w14:paraId="5CCE24BD" w14:textId="5EEABFC0" w:rsidTr="005B3BF2">
        <w:tc>
          <w:tcPr>
            <w:tcW w:w="4675" w:type="dxa"/>
          </w:tcPr>
          <w:p w14:paraId="618595BB" w14:textId="1FE936BF" w:rsidR="00055D79" w:rsidRPr="00F01347" w:rsidRDefault="00055D79" w:rsidP="00055D79">
            <w:pPr>
              <w:pStyle w:val="texto0"/>
              <w:spacing w:line="240" w:lineRule="exact"/>
              <w:ind w:firstLine="0"/>
              <w:rPr>
                <w:rFonts w:ascii="Verdana" w:hAnsi="Verdana"/>
                <w:sz w:val="16"/>
                <w:szCs w:val="16"/>
              </w:rPr>
            </w:pPr>
            <w:r w:rsidRPr="00F01347">
              <w:rPr>
                <w:rFonts w:ascii="Verdana" w:hAnsi="Verdana"/>
                <w:sz w:val="16"/>
                <w:szCs w:val="16"/>
              </w:rPr>
              <w:t xml:space="preserve">Pueden presentarse interferencias de matriz, entre las cuales se encuentran la </w:t>
            </w:r>
            <w:proofErr w:type="spellStart"/>
            <w:r w:rsidRPr="00F01347">
              <w:rPr>
                <w:rFonts w:ascii="Verdana" w:hAnsi="Verdana"/>
                <w:sz w:val="16"/>
                <w:szCs w:val="16"/>
              </w:rPr>
              <w:t>coelución</w:t>
            </w:r>
            <w:proofErr w:type="spellEnd"/>
            <w:r w:rsidRPr="00F01347">
              <w:rPr>
                <w:rFonts w:ascii="Verdana" w:hAnsi="Verdana"/>
                <w:sz w:val="16"/>
                <w:szCs w:val="16"/>
              </w:rPr>
              <w:t xml:space="preserve"> </w:t>
            </w:r>
            <w:r w:rsidR="00B94D03" w:rsidRPr="00F01347">
              <w:rPr>
                <w:rFonts w:ascii="Verdana" w:hAnsi="Verdana"/>
                <w:sz w:val="16"/>
                <w:szCs w:val="16"/>
              </w:rPr>
              <w:t>directa de</w:t>
            </w:r>
            <w:r w:rsidRPr="00F01347">
              <w:rPr>
                <w:rFonts w:ascii="Verdana" w:hAnsi="Verdana"/>
                <w:sz w:val="16"/>
                <w:szCs w:val="16"/>
              </w:rPr>
              <w:t xml:space="preserve"> las interferencias con los analitos, la </w:t>
            </w:r>
            <w:proofErr w:type="spellStart"/>
            <w:r w:rsidRPr="00F01347">
              <w:rPr>
                <w:rFonts w:ascii="Verdana" w:hAnsi="Verdana"/>
                <w:sz w:val="16"/>
                <w:szCs w:val="16"/>
              </w:rPr>
              <w:t>coelución</w:t>
            </w:r>
            <w:proofErr w:type="spellEnd"/>
            <w:r w:rsidRPr="00F01347">
              <w:rPr>
                <w:rFonts w:ascii="Verdana" w:hAnsi="Verdana"/>
                <w:sz w:val="16"/>
                <w:szCs w:val="16"/>
              </w:rPr>
              <w:t xml:space="preserve"> con los analitos debido a altas concentraciones de las interferencias y el desplazamiento de los tiempos de retención de los analitos debida a la fuerza </w:t>
            </w:r>
            <w:proofErr w:type="gramStart"/>
            <w:r w:rsidRPr="00F01347">
              <w:rPr>
                <w:rFonts w:ascii="Verdana" w:hAnsi="Verdana"/>
                <w:sz w:val="16"/>
                <w:szCs w:val="16"/>
              </w:rPr>
              <w:t>iónica  de</w:t>
            </w:r>
            <w:proofErr w:type="gramEnd"/>
            <w:r w:rsidRPr="00F01347">
              <w:rPr>
                <w:rFonts w:ascii="Verdana" w:hAnsi="Verdana"/>
                <w:sz w:val="16"/>
                <w:szCs w:val="16"/>
              </w:rPr>
              <w:t xml:space="preserve"> la muestra.</w:t>
            </w:r>
          </w:p>
        </w:tc>
        <w:tc>
          <w:tcPr>
            <w:tcW w:w="4675" w:type="dxa"/>
          </w:tcPr>
          <w:p w14:paraId="6ECB1492" w14:textId="16B53621" w:rsidR="00055D79" w:rsidRPr="00F01347" w:rsidRDefault="00055D79" w:rsidP="00055D79">
            <w:pPr>
              <w:pStyle w:val="texto0"/>
              <w:spacing w:line="240" w:lineRule="exact"/>
              <w:ind w:firstLine="0"/>
              <w:rPr>
                <w:rFonts w:ascii="Verdana" w:hAnsi="Verdana"/>
                <w:sz w:val="16"/>
                <w:szCs w:val="16"/>
                <w:lang w:val="en-US"/>
              </w:rPr>
            </w:pPr>
            <w:r w:rsidRPr="00F01347">
              <w:rPr>
                <w:rFonts w:ascii="Verdana" w:hAnsi="Verdana"/>
                <w:sz w:val="16"/>
                <w:szCs w:val="16"/>
                <w:lang w:val="en-US"/>
              </w:rPr>
              <w:t xml:space="preserve">Matrix interferences may </w:t>
            </w:r>
            <w:r w:rsidR="00B94D03" w:rsidRPr="00F01347">
              <w:rPr>
                <w:rFonts w:ascii="Verdana" w:hAnsi="Verdana"/>
                <w:sz w:val="16"/>
                <w:szCs w:val="16"/>
                <w:lang w:val="en-US"/>
              </w:rPr>
              <w:t>appear</w:t>
            </w:r>
            <w:r w:rsidRPr="00F01347">
              <w:rPr>
                <w:rFonts w:ascii="Verdana" w:hAnsi="Verdana"/>
                <w:sz w:val="16"/>
                <w:szCs w:val="16"/>
                <w:lang w:val="en-US"/>
              </w:rPr>
              <w:t>, including coelution. direct interference with analytes, coelution with analytes due to high concentrations of interferences, and shifting of analyte retention times due to the ionic strength of the sample.</w:t>
            </w:r>
          </w:p>
        </w:tc>
      </w:tr>
      <w:tr w:rsidR="00055D79" w:rsidRPr="00F01347" w14:paraId="7FE5E1D9" w14:textId="68303107" w:rsidTr="005B3BF2">
        <w:tc>
          <w:tcPr>
            <w:tcW w:w="4675" w:type="dxa"/>
          </w:tcPr>
          <w:p w14:paraId="6B643F86" w14:textId="77777777" w:rsidR="00055D79" w:rsidRPr="00F01347" w:rsidRDefault="00055D79" w:rsidP="00055D79">
            <w:pPr>
              <w:pStyle w:val="texto0"/>
              <w:spacing w:line="240" w:lineRule="exact"/>
              <w:ind w:firstLine="0"/>
              <w:rPr>
                <w:rFonts w:ascii="Verdana" w:hAnsi="Verdana"/>
                <w:sz w:val="16"/>
                <w:szCs w:val="16"/>
              </w:rPr>
            </w:pPr>
            <w:r w:rsidRPr="00F01347">
              <w:rPr>
                <w:rFonts w:ascii="Verdana" w:hAnsi="Verdana"/>
                <w:sz w:val="16"/>
                <w:szCs w:val="16"/>
              </w:rPr>
              <w:lastRenderedPageBreak/>
              <w:t>Por otra parte, pueden también presentarse interferencias instrumentales. Los solventes, reactivos, material de vidrio y cualquier otro material utilizado durante el procesamiento de la muestra, pueden producir una elevación de la línea base y causar errores en la interpretación de los cromatogramas. Debe demostrarse que todos estos materiales están libres de interferencias, llevando a cabo el análisis de blancos electrónicos y de reactivos bajo las condiciones del análisis.</w:t>
            </w:r>
          </w:p>
        </w:tc>
        <w:tc>
          <w:tcPr>
            <w:tcW w:w="4675" w:type="dxa"/>
          </w:tcPr>
          <w:p w14:paraId="1BD5C943" w14:textId="2CFB6BE1" w:rsidR="00055D79" w:rsidRPr="00F01347" w:rsidRDefault="00055D79" w:rsidP="00055D79">
            <w:pPr>
              <w:pStyle w:val="texto0"/>
              <w:spacing w:line="240" w:lineRule="exact"/>
              <w:ind w:firstLine="0"/>
              <w:rPr>
                <w:rFonts w:ascii="Verdana" w:hAnsi="Verdana"/>
                <w:sz w:val="16"/>
                <w:szCs w:val="16"/>
                <w:lang w:val="en-US"/>
              </w:rPr>
            </w:pPr>
            <w:r w:rsidRPr="00F01347">
              <w:rPr>
                <w:rFonts w:ascii="Verdana" w:hAnsi="Verdana"/>
                <w:sz w:val="16"/>
                <w:szCs w:val="16"/>
                <w:lang w:val="en-US"/>
              </w:rPr>
              <w:t xml:space="preserve">On the other hand, instrumental interferences may also occur. Solvents, reagents, glassware, and any other materials used during sample processing can cause elevation of the baseline and cause errors in the interpretation of chromatograms. It must be demonstrated that all these materials are free of interference by carrying out the analysis of electronic </w:t>
            </w:r>
            <w:r w:rsidR="005E7555" w:rsidRPr="00F01347">
              <w:rPr>
                <w:rFonts w:ascii="Verdana" w:hAnsi="Verdana"/>
                <w:sz w:val="16"/>
                <w:szCs w:val="16"/>
                <w:lang w:val="en-US"/>
              </w:rPr>
              <w:t>blanks</w:t>
            </w:r>
            <w:r w:rsidRPr="00F01347">
              <w:rPr>
                <w:rFonts w:ascii="Verdana" w:hAnsi="Verdana"/>
                <w:sz w:val="16"/>
                <w:szCs w:val="16"/>
                <w:lang w:val="en-US"/>
              </w:rPr>
              <w:t xml:space="preserve"> and reagents under the conditions of the analysis.</w:t>
            </w:r>
          </w:p>
        </w:tc>
      </w:tr>
      <w:tr w:rsidR="00055D79" w:rsidRPr="00F01347" w14:paraId="40294B69" w14:textId="0A4FC7CD" w:rsidTr="005B3BF2">
        <w:tc>
          <w:tcPr>
            <w:tcW w:w="4675" w:type="dxa"/>
          </w:tcPr>
          <w:p w14:paraId="311650DF" w14:textId="77777777" w:rsidR="00055D79" w:rsidRPr="00F01347" w:rsidRDefault="00055D79" w:rsidP="00055D79">
            <w:pPr>
              <w:pStyle w:val="texto0"/>
              <w:spacing w:line="240" w:lineRule="exact"/>
              <w:ind w:firstLine="0"/>
              <w:rPr>
                <w:rFonts w:ascii="Verdana" w:hAnsi="Verdana"/>
                <w:sz w:val="16"/>
                <w:szCs w:val="16"/>
              </w:rPr>
            </w:pPr>
            <w:r w:rsidRPr="00F01347">
              <w:rPr>
                <w:rFonts w:ascii="Verdana" w:hAnsi="Verdana"/>
                <w:sz w:val="16"/>
                <w:szCs w:val="16"/>
              </w:rPr>
              <w:t xml:space="preserve">El solvente utilizado en el equipo para el análisis (bicarbonato de sodio 4 </w:t>
            </w:r>
            <w:proofErr w:type="spellStart"/>
            <w:r w:rsidRPr="00F01347">
              <w:rPr>
                <w:rFonts w:ascii="Verdana" w:hAnsi="Verdana"/>
                <w:sz w:val="16"/>
                <w:szCs w:val="16"/>
              </w:rPr>
              <w:t>mM</w:t>
            </w:r>
            <w:proofErr w:type="spellEnd"/>
            <w:r w:rsidRPr="00F01347">
              <w:rPr>
                <w:rFonts w:ascii="Verdana" w:hAnsi="Verdana"/>
                <w:sz w:val="16"/>
                <w:szCs w:val="16"/>
              </w:rPr>
              <w:t>) debe ser desgasificado para eliminar el aire de éste y evitar que interfiera incrementando el ruido de la línea base y disminuyendo la sensibilidad.</w:t>
            </w:r>
          </w:p>
        </w:tc>
        <w:tc>
          <w:tcPr>
            <w:tcW w:w="4675" w:type="dxa"/>
          </w:tcPr>
          <w:p w14:paraId="31B0B766" w14:textId="6BF5B15C" w:rsidR="00055D79" w:rsidRPr="00F01347" w:rsidRDefault="00FE21E4" w:rsidP="00055D79">
            <w:pPr>
              <w:pStyle w:val="texto0"/>
              <w:spacing w:line="240" w:lineRule="exact"/>
              <w:ind w:firstLine="0"/>
              <w:rPr>
                <w:rFonts w:ascii="Verdana" w:hAnsi="Verdana"/>
                <w:sz w:val="16"/>
                <w:szCs w:val="16"/>
                <w:lang w:val="en-US"/>
              </w:rPr>
            </w:pPr>
            <w:r w:rsidRPr="00F01347">
              <w:rPr>
                <w:rFonts w:ascii="Verdana" w:hAnsi="Verdana"/>
                <w:sz w:val="16"/>
                <w:szCs w:val="16"/>
                <w:lang w:val="en-US"/>
              </w:rPr>
              <w:t>The solvent used in the equipment for the analysis (4 mM sodium bicarbonate) must be degassed to eliminate air from it and prevent it from interfering by increasing baseline noise and decreasing sensitivity.</w:t>
            </w:r>
          </w:p>
        </w:tc>
      </w:tr>
      <w:tr w:rsidR="00055D79" w:rsidRPr="00F01347" w14:paraId="03EAFFD1" w14:textId="1FA18791" w:rsidTr="005B3BF2">
        <w:tc>
          <w:tcPr>
            <w:tcW w:w="4675" w:type="dxa"/>
          </w:tcPr>
          <w:p w14:paraId="0B3ED12A" w14:textId="77777777" w:rsidR="00055D79" w:rsidRPr="00F01347" w:rsidRDefault="00055D79" w:rsidP="00055D79">
            <w:pPr>
              <w:pStyle w:val="texto0"/>
              <w:spacing w:line="240" w:lineRule="exact"/>
              <w:ind w:firstLine="0"/>
              <w:rPr>
                <w:rFonts w:ascii="Verdana" w:hAnsi="Verdana"/>
                <w:sz w:val="16"/>
                <w:szCs w:val="16"/>
              </w:rPr>
            </w:pPr>
            <w:r w:rsidRPr="00F01347">
              <w:rPr>
                <w:rFonts w:ascii="Verdana" w:hAnsi="Verdana"/>
                <w:sz w:val="16"/>
                <w:szCs w:val="16"/>
              </w:rPr>
              <w:t xml:space="preserve">El método utiliza el detector </w:t>
            </w:r>
            <w:proofErr w:type="spellStart"/>
            <w:r w:rsidRPr="00F01347">
              <w:rPr>
                <w:rFonts w:ascii="Verdana" w:hAnsi="Verdana"/>
                <w:sz w:val="16"/>
                <w:szCs w:val="16"/>
              </w:rPr>
              <w:t>conductimétrico</w:t>
            </w:r>
            <w:proofErr w:type="spellEnd"/>
            <w:r w:rsidRPr="00F01347">
              <w:rPr>
                <w:rFonts w:ascii="Verdana" w:hAnsi="Verdana"/>
                <w:sz w:val="16"/>
                <w:szCs w:val="16"/>
              </w:rPr>
              <w:t xml:space="preserve"> con supresor, sin embargo, algunas muestras presentan compuestos que tienen tiempos de retención tardíos por lo que pueden coeluir con los analitos determinados en la siguiente muestra y puede ser necesario realizar la confirmación de la presencia de los analitos reanalizando la muestra después de un blanco electrónico.</w:t>
            </w:r>
          </w:p>
        </w:tc>
        <w:tc>
          <w:tcPr>
            <w:tcW w:w="4675" w:type="dxa"/>
          </w:tcPr>
          <w:p w14:paraId="12DA7C4D" w14:textId="1296F630" w:rsidR="00055D79" w:rsidRPr="00F01347" w:rsidRDefault="00055D79" w:rsidP="00055D79">
            <w:pPr>
              <w:pStyle w:val="texto0"/>
              <w:spacing w:line="240" w:lineRule="exact"/>
              <w:ind w:firstLine="0"/>
              <w:rPr>
                <w:rFonts w:ascii="Verdana" w:hAnsi="Verdana"/>
                <w:sz w:val="16"/>
                <w:szCs w:val="16"/>
                <w:lang w:val="en-US"/>
              </w:rPr>
            </w:pPr>
            <w:r w:rsidRPr="00F01347">
              <w:rPr>
                <w:rFonts w:ascii="Verdana" w:hAnsi="Verdana"/>
                <w:sz w:val="16"/>
                <w:szCs w:val="16"/>
                <w:lang w:val="en-US"/>
              </w:rPr>
              <w:t xml:space="preserve">The method uses the conductance detector with suppressor, however, some samples present compounds that have late retention times so they can coelute with the analytes determined in the next sample and it may be necessary to confirm the presence of the analytes by reanalyzing the sample after an electronic </w:t>
            </w:r>
            <w:r w:rsidR="00C50A8A" w:rsidRPr="00F01347">
              <w:rPr>
                <w:rFonts w:ascii="Verdana" w:hAnsi="Verdana"/>
                <w:sz w:val="16"/>
                <w:szCs w:val="16"/>
                <w:lang w:val="en-US"/>
              </w:rPr>
              <w:t>blank</w:t>
            </w:r>
            <w:r w:rsidRPr="00F01347">
              <w:rPr>
                <w:rFonts w:ascii="Verdana" w:hAnsi="Verdana"/>
                <w:sz w:val="16"/>
                <w:szCs w:val="16"/>
                <w:lang w:val="en-US"/>
              </w:rPr>
              <w:t>.</w:t>
            </w:r>
          </w:p>
        </w:tc>
      </w:tr>
      <w:tr w:rsidR="00055D79" w:rsidRPr="00F01347" w14:paraId="584C4A2E" w14:textId="1CC239E1" w:rsidTr="005B3BF2">
        <w:tc>
          <w:tcPr>
            <w:tcW w:w="4675" w:type="dxa"/>
          </w:tcPr>
          <w:p w14:paraId="6964BA4F" w14:textId="77777777" w:rsidR="00055D79" w:rsidRPr="00F01347" w:rsidRDefault="00055D79" w:rsidP="00055D79">
            <w:pPr>
              <w:pStyle w:val="texto0"/>
              <w:spacing w:line="220" w:lineRule="exact"/>
              <w:ind w:firstLine="0"/>
              <w:rPr>
                <w:rFonts w:ascii="Verdana" w:hAnsi="Verdana"/>
                <w:b/>
                <w:sz w:val="16"/>
                <w:szCs w:val="16"/>
              </w:rPr>
            </w:pPr>
            <w:r w:rsidRPr="00F01347">
              <w:rPr>
                <w:rFonts w:ascii="Verdana" w:hAnsi="Verdana"/>
                <w:b/>
                <w:sz w:val="16"/>
                <w:szCs w:val="16"/>
              </w:rPr>
              <w:t>B.6.9 Seguridad y manejo de residuos</w:t>
            </w:r>
          </w:p>
        </w:tc>
        <w:tc>
          <w:tcPr>
            <w:tcW w:w="4675" w:type="dxa"/>
          </w:tcPr>
          <w:p w14:paraId="62333E09" w14:textId="195D345E"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B.6.9 Safety and waste management</w:t>
            </w:r>
          </w:p>
        </w:tc>
      </w:tr>
      <w:tr w:rsidR="00055D79" w:rsidRPr="00F01347" w14:paraId="3DD8DE13" w14:textId="7451855F" w:rsidTr="005B3BF2">
        <w:tc>
          <w:tcPr>
            <w:tcW w:w="4675" w:type="dxa"/>
          </w:tcPr>
          <w:p w14:paraId="01C6AC9E"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Cada reactivo utilizado en estos procedimientos debe ser tratado como un riesgo potencial para la salud y la exposición a estos materiales debe ser minimizada. Cada laboratorio es responsable de mantener un conocimiento de las regulaciones respecto a la manipulación segura de cualquier producto químico usado en este método. Debe ponerse a disposición de todo el personal involucrado en el análisis las hojas de datos de seguridad de los productos químicos. Debe de utilizarse equipo de protección personal apropiado para el manejo de muestras y estándares. Los estándares primarios deberán prepararse en una campana. Cuando el analista maneje altas concentraciones de compuestos tóxicos deberá utilizarse un respirador de gases tóxicos. Algunos de los analitos y sustancias manejados en este método pueden ser clasificados como conocidos o sospechosos carcinógenos para humanos o mamíferos por lo que cual deberán de tomarse las precauciones necesarias.</w:t>
            </w:r>
          </w:p>
        </w:tc>
        <w:tc>
          <w:tcPr>
            <w:tcW w:w="4675" w:type="dxa"/>
          </w:tcPr>
          <w:p w14:paraId="76769175" w14:textId="22901DCA"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Each reagent used in these procedures should be treated as a potential health risk and exposure to these materials should be minimized. Each laboratory is responsible for maintaining an understanding of the regulations regarding the safe handling of any chemicals used in this method. Chemical </w:t>
            </w:r>
            <w:r w:rsidR="00FE21E4" w:rsidRPr="00F01347">
              <w:rPr>
                <w:rFonts w:ascii="Verdana" w:hAnsi="Verdana"/>
                <w:sz w:val="16"/>
                <w:szCs w:val="16"/>
                <w:lang w:val="en-US"/>
              </w:rPr>
              <w:t>Safety Data Sheets</w:t>
            </w:r>
            <w:r w:rsidRPr="00F01347">
              <w:rPr>
                <w:rFonts w:ascii="Verdana" w:hAnsi="Verdana"/>
                <w:sz w:val="16"/>
                <w:szCs w:val="16"/>
                <w:lang w:val="en-US"/>
              </w:rPr>
              <w:t xml:space="preserve"> should be made available to all personnel involved in the analysis. Appropriate personal protective equipment must be used when handling samples and standards. Primary standards should be prepared in a hood. When the analyst handles high concentrations of toxic compounds, a toxic gas respirator must be used. Some of the analytes and substances handled in this method can be classified as known or suspected carcinogens for humans or mammals, so the necessary precautions must be taken.</w:t>
            </w:r>
          </w:p>
        </w:tc>
      </w:tr>
      <w:tr w:rsidR="00055D79" w:rsidRPr="00F01347" w14:paraId="0FB20E01" w14:textId="3A3AEC13" w:rsidTr="005B3BF2">
        <w:tc>
          <w:tcPr>
            <w:tcW w:w="4675" w:type="dxa"/>
          </w:tcPr>
          <w:p w14:paraId="43CC4CFB" w14:textId="77777777"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B.6.10 </w:t>
            </w:r>
            <w:proofErr w:type="spellStart"/>
            <w:r w:rsidRPr="00F01347">
              <w:rPr>
                <w:rFonts w:ascii="Verdana" w:hAnsi="Verdana"/>
                <w:b/>
                <w:sz w:val="16"/>
                <w:szCs w:val="16"/>
                <w:lang w:val="en-US"/>
              </w:rPr>
              <w:t>Referencias</w:t>
            </w:r>
            <w:proofErr w:type="spellEnd"/>
          </w:p>
        </w:tc>
        <w:tc>
          <w:tcPr>
            <w:tcW w:w="4675" w:type="dxa"/>
          </w:tcPr>
          <w:p w14:paraId="017F6CA6" w14:textId="76416286"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B.6.10 References</w:t>
            </w:r>
          </w:p>
        </w:tc>
      </w:tr>
      <w:tr w:rsidR="00055D79" w:rsidRPr="00F01347" w14:paraId="13BD33EA" w14:textId="3E701B23" w:rsidTr="005B3BF2">
        <w:tc>
          <w:tcPr>
            <w:tcW w:w="4675" w:type="dxa"/>
          </w:tcPr>
          <w:p w14:paraId="3CD00784" w14:textId="77777777" w:rsidR="00055D79" w:rsidRPr="00F01347" w:rsidRDefault="00055D79" w:rsidP="00055D79">
            <w:pPr>
              <w:pStyle w:val="texto0"/>
              <w:spacing w:line="220" w:lineRule="exact"/>
              <w:ind w:firstLine="0"/>
              <w:rPr>
                <w:rFonts w:ascii="Verdana" w:hAnsi="Verdana"/>
                <w:color w:val="000000"/>
                <w:sz w:val="16"/>
                <w:szCs w:val="16"/>
                <w:lang w:val="en-US"/>
              </w:rPr>
            </w:pPr>
            <w:r w:rsidRPr="00F01347">
              <w:rPr>
                <w:rFonts w:ascii="Verdana" w:hAnsi="Verdana"/>
                <w:color w:val="000000"/>
                <w:sz w:val="16"/>
                <w:szCs w:val="16"/>
                <w:lang w:val="en-US"/>
              </w:rPr>
              <w:t>EPA. 1997. Method 300.1</w:t>
            </w:r>
            <w:r w:rsidRPr="00F01347">
              <w:rPr>
                <w:rFonts w:ascii="Verdana" w:hAnsi="Verdana"/>
                <w:sz w:val="16"/>
                <w:szCs w:val="16"/>
                <w:lang w:val="en-US"/>
              </w:rPr>
              <w:t xml:space="preserve"> determination of inorganic anions in drinking water by ion </w:t>
            </w:r>
            <w:proofErr w:type="gramStart"/>
            <w:r w:rsidRPr="00F01347">
              <w:rPr>
                <w:rFonts w:ascii="Verdana" w:hAnsi="Verdana"/>
                <w:sz w:val="16"/>
                <w:szCs w:val="16"/>
                <w:lang w:val="en-US"/>
              </w:rPr>
              <w:t xml:space="preserve">chromatography  </w:t>
            </w:r>
            <w:r w:rsidRPr="00F01347">
              <w:rPr>
                <w:rFonts w:ascii="Verdana" w:hAnsi="Verdana"/>
                <w:color w:val="000000"/>
                <w:sz w:val="16"/>
                <w:szCs w:val="16"/>
                <w:lang w:val="en-US"/>
              </w:rPr>
              <w:t>Rev.</w:t>
            </w:r>
            <w:proofErr w:type="gramEnd"/>
            <w:r w:rsidRPr="00F01347">
              <w:rPr>
                <w:rFonts w:ascii="Verdana" w:hAnsi="Verdana"/>
                <w:color w:val="000000"/>
                <w:sz w:val="16"/>
                <w:szCs w:val="16"/>
                <w:lang w:val="en-US"/>
              </w:rPr>
              <w:t xml:space="preserve"> 1.0</w:t>
            </w:r>
          </w:p>
        </w:tc>
        <w:tc>
          <w:tcPr>
            <w:tcW w:w="4675" w:type="dxa"/>
          </w:tcPr>
          <w:p w14:paraId="6DCDD797" w14:textId="456D9C86" w:rsidR="00055D79" w:rsidRPr="00F01347" w:rsidRDefault="00055D79" w:rsidP="00055D79">
            <w:pPr>
              <w:pStyle w:val="texto0"/>
              <w:spacing w:line="220"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EPA. 1997. Method 300.1 </w:t>
            </w:r>
            <w:r w:rsidRPr="00F01347">
              <w:rPr>
                <w:rFonts w:ascii="Verdana" w:hAnsi="Verdana"/>
                <w:sz w:val="16"/>
                <w:szCs w:val="16"/>
                <w:lang w:val="en-US"/>
              </w:rPr>
              <w:t xml:space="preserve">determination of inorganic anions in drinking water by ion chromatography </w:t>
            </w:r>
            <w:r w:rsidRPr="00F01347">
              <w:rPr>
                <w:rFonts w:ascii="Verdana" w:hAnsi="Verdana"/>
                <w:color w:val="000000"/>
                <w:sz w:val="16"/>
                <w:szCs w:val="16"/>
                <w:lang w:val="en-US"/>
              </w:rPr>
              <w:t>Rev. 1.0</w:t>
            </w:r>
          </w:p>
        </w:tc>
      </w:tr>
      <w:tr w:rsidR="00055D79" w:rsidRPr="00F01347" w14:paraId="4E04E2DF" w14:textId="1BA7D60F" w:rsidTr="005B3BF2">
        <w:tc>
          <w:tcPr>
            <w:tcW w:w="4675" w:type="dxa"/>
          </w:tcPr>
          <w:p w14:paraId="5C7D4D21" w14:textId="77777777"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Standard methods for examination of water and wastewater. 4110 D. Ion Chromatographic Determination of Oxyhalides and Bromide.</w:t>
            </w:r>
          </w:p>
        </w:tc>
        <w:tc>
          <w:tcPr>
            <w:tcW w:w="4675" w:type="dxa"/>
          </w:tcPr>
          <w:p w14:paraId="10CBB3ED" w14:textId="191AA59C"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Standard methods for examination of water and wastewater. 4110 D. Ion Chromatographic Determination of Oxyhalides and Bromide.</w:t>
            </w:r>
          </w:p>
        </w:tc>
      </w:tr>
      <w:tr w:rsidR="00055D79" w:rsidRPr="00F01347" w14:paraId="575B797B" w14:textId="3FA4606A" w:rsidTr="005B3BF2">
        <w:tc>
          <w:tcPr>
            <w:tcW w:w="4675" w:type="dxa"/>
          </w:tcPr>
          <w:p w14:paraId="2C8076D4" w14:textId="77777777" w:rsidR="00055D79" w:rsidRPr="00F01347" w:rsidRDefault="00055D79" w:rsidP="00055D79">
            <w:pPr>
              <w:pStyle w:val="texto0"/>
              <w:spacing w:line="220" w:lineRule="exact"/>
              <w:ind w:firstLine="0"/>
              <w:jc w:val="center"/>
              <w:rPr>
                <w:rFonts w:ascii="Verdana" w:hAnsi="Verdana"/>
                <w:b/>
                <w:sz w:val="16"/>
                <w:szCs w:val="16"/>
              </w:rPr>
            </w:pPr>
            <w:r w:rsidRPr="00F01347">
              <w:rPr>
                <w:rFonts w:ascii="Verdana" w:hAnsi="Verdana"/>
                <w:b/>
                <w:sz w:val="16"/>
                <w:szCs w:val="16"/>
              </w:rPr>
              <w:lastRenderedPageBreak/>
              <w:t xml:space="preserve">B.7 MÉTODOS DE PRUEBA PARA LA DETERMINACIÓN DE NITRÓGENO </w:t>
            </w:r>
            <w:proofErr w:type="gramStart"/>
            <w:r w:rsidRPr="00F01347">
              <w:rPr>
                <w:rFonts w:ascii="Verdana" w:hAnsi="Verdana"/>
                <w:b/>
                <w:sz w:val="16"/>
                <w:szCs w:val="16"/>
              </w:rPr>
              <w:t>AMONIACAL  EN</w:t>
            </w:r>
            <w:proofErr w:type="gramEnd"/>
            <w:r w:rsidRPr="00F01347">
              <w:rPr>
                <w:rFonts w:ascii="Verdana" w:hAnsi="Verdana"/>
                <w:b/>
                <w:sz w:val="16"/>
                <w:szCs w:val="16"/>
              </w:rPr>
              <w:t xml:space="preserve"> AGUA PARA USO Y CONSUMO HUMANO</w:t>
            </w:r>
          </w:p>
        </w:tc>
        <w:tc>
          <w:tcPr>
            <w:tcW w:w="4675" w:type="dxa"/>
          </w:tcPr>
          <w:p w14:paraId="2013A1D2" w14:textId="2E501ED9" w:rsidR="00055D79" w:rsidRPr="00F01347" w:rsidRDefault="00055D79" w:rsidP="00055D79">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B.7 TEST METHODS FOR THE DETERMINATION OF AMMONIAC NITROGEN IN WATER FOR HUMAN USE AND CONSUMPTION</w:t>
            </w:r>
          </w:p>
        </w:tc>
      </w:tr>
      <w:tr w:rsidR="00055D79" w:rsidRPr="00F01347" w14:paraId="03DBA6BF" w14:textId="42D2B024" w:rsidTr="005B3BF2">
        <w:tc>
          <w:tcPr>
            <w:tcW w:w="4675" w:type="dxa"/>
          </w:tcPr>
          <w:p w14:paraId="6B50550C"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Para la determinación de nitrógeno amoniacal (NH3-N) para el cumplimiento de esta Norma, se podrá utilizar indistintamente el:</w:t>
            </w:r>
          </w:p>
        </w:tc>
        <w:tc>
          <w:tcPr>
            <w:tcW w:w="4675" w:type="dxa"/>
          </w:tcPr>
          <w:p w14:paraId="27BC2C4C" w14:textId="52BC481E"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For the determination of ammoniacal nitrogen (NH3-N) for compliance with this Standard, the following may be used interchangeably:</w:t>
            </w:r>
          </w:p>
        </w:tc>
      </w:tr>
      <w:tr w:rsidR="00055D79" w:rsidRPr="00F01347" w14:paraId="27DB7EE3" w14:textId="5DC3C73E" w:rsidTr="005B3BF2">
        <w:tc>
          <w:tcPr>
            <w:tcW w:w="4675" w:type="dxa"/>
          </w:tcPr>
          <w:p w14:paraId="1C98AAC1"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método de prueba por titulación para la determinación de nitrógeno amoniacal en agua para uso y consumo humano (contenido en el punto B.7.1, de este Apéndice),</w:t>
            </w:r>
          </w:p>
        </w:tc>
        <w:tc>
          <w:tcPr>
            <w:tcW w:w="4675" w:type="dxa"/>
          </w:tcPr>
          <w:p w14:paraId="3ABF7775" w14:textId="1C278636"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titration test method for the determination of ammoniacal nitrogen in water for human use and consumption (contained in point B.7.1 of this Appendix),</w:t>
            </w:r>
          </w:p>
        </w:tc>
      </w:tr>
      <w:tr w:rsidR="00055D79" w:rsidRPr="00F01347" w14:paraId="485562AE" w14:textId="14C3E651" w:rsidTr="005B3BF2">
        <w:tc>
          <w:tcPr>
            <w:tcW w:w="4675" w:type="dxa"/>
          </w:tcPr>
          <w:p w14:paraId="2A9F9CF6"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método de prueba para la determinación de nitrógeno amoniacal en agua para uso y consumo humano por electrodo selectivo de amoníaco (contenido en el punto B.7.2, de este Apéndice),</w:t>
            </w:r>
          </w:p>
        </w:tc>
        <w:tc>
          <w:tcPr>
            <w:tcW w:w="4675" w:type="dxa"/>
          </w:tcPr>
          <w:p w14:paraId="3A67807A" w14:textId="33547AE4"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test method for the determination of ammoniacal nitrogen in water for human use and consumption by ammonia selective electrode (contained in point B.7.2 of this Appendix),</w:t>
            </w:r>
          </w:p>
        </w:tc>
      </w:tr>
      <w:tr w:rsidR="00055D79" w:rsidRPr="00F01347" w14:paraId="34BBAD41" w14:textId="7D1EF6BA" w:rsidTr="005B3BF2">
        <w:tc>
          <w:tcPr>
            <w:tcW w:w="4675" w:type="dxa"/>
          </w:tcPr>
          <w:p w14:paraId="0EB79AD6"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método de prueba para la determinación de nitrógeno amoniacal en agua para uso y consumo humano con </w:t>
            </w:r>
            <w:proofErr w:type="spellStart"/>
            <w:r w:rsidRPr="00F01347">
              <w:rPr>
                <w:rFonts w:ascii="Verdana" w:hAnsi="Verdana"/>
                <w:sz w:val="16"/>
                <w:szCs w:val="16"/>
              </w:rPr>
              <w:t>fenato</w:t>
            </w:r>
            <w:proofErr w:type="spellEnd"/>
            <w:r w:rsidRPr="00F01347">
              <w:rPr>
                <w:rFonts w:ascii="Verdana" w:hAnsi="Verdana"/>
                <w:sz w:val="16"/>
                <w:szCs w:val="16"/>
              </w:rPr>
              <w:t xml:space="preserve"> (contenido en el punto B.7.3, de este Apéndice), o</w:t>
            </w:r>
          </w:p>
        </w:tc>
        <w:tc>
          <w:tcPr>
            <w:tcW w:w="4675" w:type="dxa"/>
          </w:tcPr>
          <w:p w14:paraId="27EC3814" w14:textId="5A60974D"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test method for the determination of ammoniacal nitrogen in water for human use and consumption with phenate (contained in point B.7.3</w:t>
            </w:r>
            <w:r w:rsidR="003E1BA9" w:rsidRPr="00F01347">
              <w:rPr>
                <w:rFonts w:ascii="Verdana" w:hAnsi="Verdana"/>
                <w:sz w:val="16"/>
                <w:szCs w:val="16"/>
                <w:lang w:val="en-US"/>
              </w:rPr>
              <w:t>,</w:t>
            </w:r>
            <w:r w:rsidRPr="00F01347">
              <w:rPr>
                <w:rFonts w:ascii="Verdana" w:hAnsi="Verdana"/>
                <w:sz w:val="16"/>
                <w:szCs w:val="16"/>
                <w:lang w:val="en-US"/>
              </w:rPr>
              <w:t xml:space="preserve"> of this Appendix), or</w:t>
            </w:r>
          </w:p>
        </w:tc>
      </w:tr>
      <w:tr w:rsidR="00055D79" w:rsidRPr="00F01347" w14:paraId="53AEBC62" w14:textId="53DDBAF2" w:rsidTr="005B3BF2">
        <w:tc>
          <w:tcPr>
            <w:tcW w:w="4675" w:type="dxa"/>
          </w:tcPr>
          <w:p w14:paraId="1EF26238"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método de prueba para la determinación de nitrógeno amoniacal en agua para uso y consumo humano por colorimetría automatizada (contenido en el punto B.7.4, de este Apéndice).</w:t>
            </w:r>
          </w:p>
        </w:tc>
        <w:tc>
          <w:tcPr>
            <w:tcW w:w="4675" w:type="dxa"/>
          </w:tcPr>
          <w:p w14:paraId="7C59C781" w14:textId="28104618"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test method for the determination of ammoniacal nitrogen in water for human use and consumption by automated colorimetry (contained in point B.7.4 of this Appendix).</w:t>
            </w:r>
          </w:p>
        </w:tc>
      </w:tr>
      <w:tr w:rsidR="00055D79" w:rsidRPr="00F01347" w14:paraId="05BC8758" w14:textId="52D1A284" w:rsidTr="005B3BF2">
        <w:tc>
          <w:tcPr>
            <w:tcW w:w="4675" w:type="dxa"/>
          </w:tcPr>
          <w:p w14:paraId="717DE4B9"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Los dos principales factores que determinan la selección del método para determinar amoníaco son la concentración y la presencia de interferencias. De manera general, una determinación manual directa de bajas concentraciones de amoníaco está restringida a aguas de uso y consumo humano, aguas superficiales y subterráneas de buena calidad. Por otras fuentes, y donde existen interferencias presentes o se requiere una mayor precisión, puede requerirse una destilación preliminar (contenido en el punto B.7.5, de este Apéndice).</w:t>
            </w:r>
          </w:p>
        </w:tc>
        <w:tc>
          <w:tcPr>
            <w:tcW w:w="4675" w:type="dxa"/>
          </w:tcPr>
          <w:p w14:paraId="4F548C20" w14:textId="0424B409"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The two main factors determining the selection of the method for determining ammonia are concentration and the presence of interferences. In general, a direct manual determination of low ammonia concentrations is restricted to water for human use and consumption, surface water and groundwater of good quality. For other sources, and where interferences are present or greater precision is required, a preliminary distillation may be required (contained in point B.7.5</w:t>
            </w:r>
            <w:r w:rsidR="003E1BA9" w:rsidRPr="00F01347">
              <w:rPr>
                <w:rFonts w:ascii="Verdana" w:hAnsi="Verdana"/>
                <w:sz w:val="16"/>
                <w:szCs w:val="16"/>
                <w:lang w:val="en-US"/>
              </w:rPr>
              <w:t>,</w:t>
            </w:r>
            <w:r w:rsidRPr="00F01347">
              <w:rPr>
                <w:rFonts w:ascii="Verdana" w:hAnsi="Verdana"/>
                <w:sz w:val="16"/>
                <w:szCs w:val="16"/>
                <w:lang w:val="en-US"/>
              </w:rPr>
              <w:t xml:space="preserve"> of this Appendix).</w:t>
            </w:r>
          </w:p>
        </w:tc>
      </w:tr>
      <w:tr w:rsidR="00055D79" w:rsidRPr="00F01347" w14:paraId="355B57EA" w14:textId="3ED78AD8" w:rsidTr="005B3BF2">
        <w:tc>
          <w:tcPr>
            <w:tcW w:w="4675" w:type="dxa"/>
          </w:tcPr>
          <w:p w14:paraId="2CA0F171"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 xml:space="preserve">El método para la determinación de amoníaco en agua de uso y consumo </w:t>
            </w:r>
            <w:proofErr w:type="gramStart"/>
            <w:r w:rsidRPr="00F01347">
              <w:rPr>
                <w:rFonts w:ascii="Verdana" w:hAnsi="Verdana"/>
                <w:sz w:val="16"/>
                <w:szCs w:val="16"/>
              </w:rPr>
              <w:t>humano,</w:t>
            </w:r>
            <w:proofErr w:type="gramEnd"/>
            <w:r w:rsidRPr="00F01347">
              <w:rPr>
                <w:rFonts w:ascii="Verdana" w:hAnsi="Verdana"/>
                <w:sz w:val="16"/>
                <w:szCs w:val="16"/>
              </w:rPr>
              <w:t xml:space="preserve"> ya sea por titulación (punto B.7.1, de este Apéndice), por electrodo selectivo de amoníaco (punto B.7.2, de este Apéndice), con </w:t>
            </w:r>
            <w:proofErr w:type="spellStart"/>
            <w:r w:rsidRPr="00F01347">
              <w:rPr>
                <w:rFonts w:ascii="Verdana" w:hAnsi="Verdana"/>
                <w:sz w:val="16"/>
                <w:szCs w:val="16"/>
              </w:rPr>
              <w:t>fenato</w:t>
            </w:r>
            <w:proofErr w:type="spellEnd"/>
            <w:r w:rsidRPr="00F01347">
              <w:rPr>
                <w:rFonts w:ascii="Verdana" w:hAnsi="Verdana"/>
                <w:sz w:val="16"/>
                <w:szCs w:val="16"/>
              </w:rPr>
              <w:t xml:space="preserve"> (punto B.7.3, de este Apéndice) o por colorimetría automatizada (punto B.7.4, de este Apéndice), debe seleccionarse considerando la concentración de amoníaco presente en la muestra:</w:t>
            </w:r>
          </w:p>
        </w:tc>
        <w:tc>
          <w:tcPr>
            <w:tcW w:w="4675" w:type="dxa"/>
          </w:tcPr>
          <w:p w14:paraId="6DF652BD" w14:textId="13180427"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The method for the determination of ammonia in water for human use and consumption, either by titration (point B.7.1, of this Appendix), by ammonia selective electrode (point B.7.2, of this Appendix), with phenate (point B.7.3, of this Appendix) or by automated colorimetry (point B.7.4, of this Appendix), must be selected considering the concentration of ammonia present in the sample:</w:t>
            </w:r>
          </w:p>
        </w:tc>
      </w:tr>
      <w:tr w:rsidR="00055D79" w:rsidRPr="00F01347" w14:paraId="537D7BF0" w14:textId="488EF289" w:rsidTr="005B3BF2">
        <w:tc>
          <w:tcPr>
            <w:tcW w:w="4675" w:type="dxa"/>
          </w:tcPr>
          <w:p w14:paraId="0C487A03"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El procedimiento de destilación y de determinación por titulación es utilizado especialmente para concentraciones de NH</w:t>
            </w:r>
            <w:r w:rsidRPr="00F01347">
              <w:rPr>
                <w:rFonts w:ascii="Verdana" w:hAnsi="Verdana"/>
                <w:sz w:val="16"/>
                <w:szCs w:val="16"/>
                <w:vertAlign w:val="subscript"/>
              </w:rPr>
              <w:t>3</w:t>
            </w:r>
            <w:r w:rsidRPr="00F01347">
              <w:rPr>
                <w:rFonts w:ascii="Verdana" w:hAnsi="Verdana"/>
                <w:sz w:val="16"/>
                <w:szCs w:val="16"/>
              </w:rPr>
              <w:t>-N mayores a 5mg/L, utilizando ácido bórico como absorbente después de la destilación si el destilado será titulado.</w:t>
            </w:r>
          </w:p>
        </w:tc>
        <w:tc>
          <w:tcPr>
            <w:tcW w:w="4675" w:type="dxa"/>
          </w:tcPr>
          <w:p w14:paraId="2EFB43D1" w14:textId="0F7D4951"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The distillation and determination procedure by titration is used especially for NH</w:t>
            </w:r>
            <w:r w:rsidRPr="00F01347">
              <w:rPr>
                <w:rFonts w:ascii="Verdana" w:hAnsi="Verdana"/>
                <w:sz w:val="16"/>
                <w:szCs w:val="16"/>
                <w:vertAlign w:val="subscript"/>
                <w:lang w:val="en-US"/>
              </w:rPr>
              <w:t xml:space="preserve">3 </w:t>
            </w:r>
            <w:r w:rsidRPr="00F01347">
              <w:rPr>
                <w:rFonts w:ascii="Verdana" w:hAnsi="Verdana"/>
                <w:sz w:val="16"/>
                <w:szCs w:val="16"/>
                <w:lang w:val="en-US"/>
              </w:rPr>
              <w:t>-N concentrations greater than 5mg/L, using boric acid as an absorbent after distillation if the distillate will be titrated.</w:t>
            </w:r>
          </w:p>
        </w:tc>
      </w:tr>
      <w:tr w:rsidR="00055D79" w:rsidRPr="00F01347" w14:paraId="30EAE0CD" w14:textId="5EBB00A2" w:rsidTr="005B3BF2">
        <w:tc>
          <w:tcPr>
            <w:tcW w:w="4675" w:type="dxa"/>
          </w:tcPr>
          <w:p w14:paraId="10087E88"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El método por electrodo selectivo de amoníaco es aplicable en un intervalo de 0.03 a 1,400 mg de NH</w:t>
            </w:r>
            <w:r w:rsidRPr="00F01347">
              <w:rPr>
                <w:rFonts w:ascii="Verdana" w:hAnsi="Verdana"/>
                <w:sz w:val="16"/>
                <w:szCs w:val="16"/>
                <w:vertAlign w:val="subscript"/>
              </w:rPr>
              <w:t>3</w:t>
            </w:r>
            <w:r w:rsidRPr="00F01347">
              <w:rPr>
                <w:rFonts w:ascii="Verdana" w:hAnsi="Verdana"/>
                <w:sz w:val="16"/>
                <w:szCs w:val="16"/>
              </w:rPr>
              <w:t>-N/L.</w:t>
            </w:r>
          </w:p>
        </w:tc>
        <w:tc>
          <w:tcPr>
            <w:tcW w:w="4675" w:type="dxa"/>
          </w:tcPr>
          <w:p w14:paraId="47142E8D" w14:textId="54725CF3"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The ammonia selective electrode method is applicable in a range of 0.03 to 1,400 mg of NH</w:t>
            </w:r>
            <w:r w:rsidRPr="00F01347">
              <w:rPr>
                <w:rFonts w:ascii="Verdana" w:hAnsi="Verdana"/>
                <w:sz w:val="16"/>
                <w:szCs w:val="16"/>
                <w:vertAlign w:val="subscript"/>
                <w:lang w:val="en-US"/>
              </w:rPr>
              <w:t xml:space="preserve">3 </w:t>
            </w:r>
            <w:r w:rsidRPr="00F01347">
              <w:rPr>
                <w:rFonts w:ascii="Verdana" w:hAnsi="Verdana"/>
                <w:sz w:val="16"/>
                <w:szCs w:val="16"/>
                <w:lang w:val="en-US"/>
              </w:rPr>
              <w:t>-N/L.</w:t>
            </w:r>
          </w:p>
        </w:tc>
      </w:tr>
      <w:tr w:rsidR="00055D79" w:rsidRPr="00F01347" w14:paraId="622BEFAE" w14:textId="13251CB9" w:rsidTr="005B3BF2">
        <w:tc>
          <w:tcPr>
            <w:tcW w:w="4675" w:type="dxa"/>
          </w:tcPr>
          <w:p w14:paraId="3DBEF78F"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El método manual con </w:t>
            </w:r>
            <w:proofErr w:type="spellStart"/>
            <w:r w:rsidRPr="00F01347">
              <w:rPr>
                <w:rFonts w:ascii="Verdana" w:hAnsi="Verdana"/>
                <w:sz w:val="16"/>
                <w:szCs w:val="16"/>
              </w:rPr>
              <w:t>fenato</w:t>
            </w:r>
            <w:proofErr w:type="spellEnd"/>
            <w:r w:rsidRPr="00F01347">
              <w:rPr>
                <w:rFonts w:ascii="Verdana" w:hAnsi="Verdana"/>
                <w:sz w:val="16"/>
                <w:szCs w:val="16"/>
              </w:rPr>
              <w:t xml:space="preserve"> es aplicable tanto para agua dulce como salada y es lineal a 0.6 mg NH3-N/L. Destilar en ácido sulfúrico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como </w:t>
            </w:r>
            <w:r w:rsidRPr="00F01347">
              <w:rPr>
                <w:rFonts w:ascii="Verdana" w:hAnsi="Verdana"/>
                <w:sz w:val="16"/>
                <w:szCs w:val="16"/>
              </w:rPr>
              <w:lastRenderedPageBreak/>
              <w:t xml:space="preserve">absorbente para el método con </w:t>
            </w:r>
            <w:proofErr w:type="spellStart"/>
            <w:r w:rsidRPr="00F01347">
              <w:rPr>
                <w:rFonts w:ascii="Verdana" w:hAnsi="Verdana"/>
                <w:sz w:val="16"/>
                <w:szCs w:val="16"/>
              </w:rPr>
              <w:t>fenato</w:t>
            </w:r>
            <w:proofErr w:type="spellEnd"/>
            <w:r w:rsidRPr="00F01347">
              <w:rPr>
                <w:rFonts w:ascii="Verdana" w:hAnsi="Verdana"/>
                <w:sz w:val="16"/>
                <w:szCs w:val="16"/>
              </w:rPr>
              <w:t xml:space="preserve"> cuando se encuentran interferencias presentes.</w:t>
            </w:r>
          </w:p>
        </w:tc>
        <w:tc>
          <w:tcPr>
            <w:tcW w:w="4675" w:type="dxa"/>
          </w:tcPr>
          <w:p w14:paraId="11CB9936" w14:textId="2DAB0AB7"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lastRenderedPageBreak/>
              <w:t xml:space="preserve">● </w:t>
            </w:r>
            <w:r w:rsidRPr="00F01347">
              <w:rPr>
                <w:rFonts w:ascii="Verdana" w:hAnsi="Verdana"/>
                <w:sz w:val="16"/>
                <w:szCs w:val="16"/>
                <w:lang w:val="en-US"/>
              </w:rPr>
              <w:tab/>
              <w:t>The manual method with phenate is applicable for both fresh and salt water and is linear at 0.6 mg NH3-N/L. Distill in sulfuric acid (H</w:t>
            </w:r>
            <w:r w:rsidRPr="00F01347">
              <w:rPr>
                <w:rFonts w:ascii="Verdana" w:hAnsi="Verdana"/>
                <w:sz w:val="16"/>
                <w:szCs w:val="16"/>
                <w:vertAlign w:val="subscript"/>
                <w:lang w:val="en-US"/>
              </w:rPr>
              <w:t xml:space="preserve">2 </w:t>
            </w:r>
            <w:r w:rsidRPr="00F01347">
              <w:rPr>
                <w:rFonts w:ascii="Verdana" w:hAnsi="Verdana"/>
                <w:sz w:val="16"/>
                <w:szCs w:val="16"/>
                <w:lang w:val="en-US"/>
              </w:rPr>
              <w:t>SO</w:t>
            </w:r>
            <w:r w:rsidRPr="00F01347">
              <w:rPr>
                <w:rFonts w:ascii="Verdana" w:hAnsi="Verdana"/>
                <w:sz w:val="16"/>
                <w:szCs w:val="16"/>
                <w:vertAlign w:val="subscript"/>
                <w:lang w:val="en-US"/>
              </w:rPr>
              <w:t>4</w:t>
            </w:r>
            <w:r w:rsidR="00913802" w:rsidRPr="00F01347">
              <w:rPr>
                <w:rFonts w:ascii="Verdana" w:hAnsi="Verdana"/>
                <w:sz w:val="16"/>
                <w:szCs w:val="16"/>
                <w:vertAlign w:val="subscript"/>
                <w:lang w:val="en-US"/>
              </w:rPr>
              <w:t>)</w:t>
            </w:r>
            <w:r w:rsidRPr="00F01347">
              <w:rPr>
                <w:rFonts w:ascii="Verdana" w:hAnsi="Verdana"/>
                <w:sz w:val="16"/>
                <w:szCs w:val="16"/>
                <w:lang w:val="en-US"/>
              </w:rPr>
              <w:t xml:space="preserve"> as an absorbent for the phenate method when interferences are present.</w:t>
            </w:r>
          </w:p>
        </w:tc>
      </w:tr>
      <w:tr w:rsidR="00055D79" w:rsidRPr="00F01347" w14:paraId="1704655C" w14:textId="61C32070" w:rsidTr="005B3BF2">
        <w:tc>
          <w:tcPr>
            <w:tcW w:w="4675" w:type="dxa"/>
          </w:tcPr>
          <w:p w14:paraId="4A96D208"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El método automatizado es aplicable para un intervalo de 0.02 a 2 mg NH</w:t>
            </w:r>
            <w:r w:rsidRPr="00F01347">
              <w:rPr>
                <w:rFonts w:ascii="Verdana" w:hAnsi="Verdana"/>
                <w:sz w:val="16"/>
                <w:szCs w:val="16"/>
                <w:vertAlign w:val="subscript"/>
              </w:rPr>
              <w:t>3</w:t>
            </w:r>
            <w:r w:rsidRPr="00F01347">
              <w:rPr>
                <w:rFonts w:ascii="Verdana" w:hAnsi="Verdana"/>
                <w:sz w:val="16"/>
                <w:szCs w:val="16"/>
              </w:rPr>
              <w:t>-N/L.</w:t>
            </w:r>
          </w:p>
        </w:tc>
        <w:tc>
          <w:tcPr>
            <w:tcW w:w="4675" w:type="dxa"/>
          </w:tcPr>
          <w:p w14:paraId="15C0423B" w14:textId="15C6E1F4"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The automated method is applicable for a range of 0.02 to 2 mg NH</w:t>
            </w:r>
            <w:r w:rsidRPr="00F01347">
              <w:rPr>
                <w:rFonts w:ascii="Verdana" w:hAnsi="Verdana"/>
                <w:sz w:val="16"/>
                <w:szCs w:val="16"/>
                <w:vertAlign w:val="subscript"/>
                <w:lang w:val="en-US"/>
              </w:rPr>
              <w:t xml:space="preserve">3 </w:t>
            </w:r>
            <w:r w:rsidRPr="00F01347">
              <w:rPr>
                <w:rFonts w:ascii="Verdana" w:hAnsi="Verdana"/>
                <w:sz w:val="16"/>
                <w:szCs w:val="16"/>
                <w:lang w:val="en-US"/>
              </w:rPr>
              <w:t>-N/L.</w:t>
            </w:r>
          </w:p>
        </w:tc>
      </w:tr>
      <w:tr w:rsidR="00055D79" w:rsidRPr="00F01347" w14:paraId="0F6B5485" w14:textId="12FBBF6E" w:rsidTr="005B3BF2">
        <w:tc>
          <w:tcPr>
            <w:tcW w:w="4675" w:type="dxa"/>
          </w:tcPr>
          <w:p w14:paraId="1EB135D8"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 xml:space="preserve">Asimismo, en el caso de la presencia de interferencias puede llevarse a cabo una destilación preliminar (punto B.7.5, de este Apéndice). La destilación preliminar puede llevarse a cabo cuando el método por titulación o el método con </w:t>
            </w:r>
            <w:proofErr w:type="spellStart"/>
            <w:r w:rsidRPr="00F01347">
              <w:rPr>
                <w:rFonts w:ascii="Verdana" w:hAnsi="Verdana"/>
                <w:sz w:val="16"/>
                <w:szCs w:val="16"/>
              </w:rPr>
              <w:t>fenato</w:t>
            </w:r>
            <w:proofErr w:type="spellEnd"/>
            <w:r w:rsidRPr="00F01347">
              <w:rPr>
                <w:rFonts w:ascii="Verdana" w:hAnsi="Verdana"/>
                <w:sz w:val="16"/>
                <w:szCs w:val="16"/>
              </w:rPr>
              <w:t xml:space="preserve"> son utilizados. El amoníaco destilado puede entonces ser determinado tanto colorimétricamente por el método con </w:t>
            </w:r>
            <w:proofErr w:type="spellStart"/>
            <w:r w:rsidRPr="00F01347">
              <w:rPr>
                <w:rFonts w:ascii="Verdana" w:hAnsi="Verdana"/>
                <w:sz w:val="16"/>
                <w:szCs w:val="16"/>
              </w:rPr>
              <w:t>fenato</w:t>
            </w:r>
            <w:proofErr w:type="spellEnd"/>
            <w:r w:rsidRPr="00F01347">
              <w:rPr>
                <w:rFonts w:ascii="Verdana" w:hAnsi="Verdana"/>
                <w:sz w:val="16"/>
                <w:szCs w:val="16"/>
              </w:rPr>
              <w:t xml:space="preserve"> o por titulación con una mezcla de indicadores o un medidor de pH. La selección entre el método colorimétrico y los métodos de acidimetría depende de la </w:t>
            </w:r>
            <w:proofErr w:type="gramStart"/>
            <w:r w:rsidRPr="00F01347">
              <w:rPr>
                <w:rFonts w:ascii="Verdana" w:hAnsi="Verdana"/>
                <w:sz w:val="16"/>
                <w:szCs w:val="16"/>
              </w:rPr>
              <w:t>concentración  de</w:t>
            </w:r>
            <w:proofErr w:type="gramEnd"/>
            <w:r w:rsidRPr="00F01347">
              <w:rPr>
                <w:rFonts w:ascii="Verdana" w:hAnsi="Verdana"/>
                <w:sz w:val="16"/>
                <w:szCs w:val="16"/>
              </w:rPr>
              <w:t xml:space="preserve"> amoníaco.</w:t>
            </w:r>
          </w:p>
        </w:tc>
        <w:tc>
          <w:tcPr>
            <w:tcW w:w="4675" w:type="dxa"/>
          </w:tcPr>
          <w:p w14:paraId="5EEB926F" w14:textId="2B9D85A3"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Likewise, in the case of the presence of interferences, a preliminary distillation can be carried out (point B.7.5, of this Appendix). Preliminary distillation can be carried out when the titration method or the phenate method are used. The distilled ammonia can then be determined either </w:t>
            </w:r>
            <w:proofErr w:type="spellStart"/>
            <w:r w:rsidRPr="00F01347">
              <w:rPr>
                <w:rFonts w:ascii="Verdana" w:hAnsi="Verdana"/>
                <w:sz w:val="16"/>
                <w:szCs w:val="16"/>
                <w:lang w:val="en-US"/>
              </w:rPr>
              <w:t>colorimetrically</w:t>
            </w:r>
            <w:proofErr w:type="spellEnd"/>
            <w:r w:rsidRPr="00F01347">
              <w:rPr>
                <w:rFonts w:ascii="Verdana" w:hAnsi="Verdana"/>
                <w:sz w:val="16"/>
                <w:szCs w:val="16"/>
                <w:lang w:val="en-US"/>
              </w:rPr>
              <w:t xml:space="preserve"> by the phenate method or by titration with a mixture of indicators or a pH meter. The selection between the colorimetric method and acidimetry methods depends on the ammonia concentration</w:t>
            </w:r>
            <w:r w:rsidR="003E1BA9" w:rsidRPr="00F01347">
              <w:rPr>
                <w:rFonts w:ascii="Verdana" w:hAnsi="Verdana"/>
                <w:sz w:val="16"/>
                <w:szCs w:val="16"/>
                <w:lang w:val="en-US"/>
              </w:rPr>
              <w:t>.</w:t>
            </w:r>
          </w:p>
        </w:tc>
      </w:tr>
      <w:tr w:rsidR="00055D79" w:rsidRPr="00F01347" w14:paraId="55AA0696" w14:textId="2D7E97CA" w:rsidTr="005B3BF2">
        <w:tc>
          <w:tcPr>
            <w:tcW w:w="4675" w:type="dxa"/>
          </w:tcPr>
          <w:p w14:paraId="23963CDF" w14:textId="77777777" w:rsidR="00055D79" w:rsidRPr="00F01347" w:rsidRDefault="00055D79" w:rsidP="00055D79">
            <w:pPr>
              <w:pStyle w:val="texto0"/>
              <w:spacing w:line="220" w:lineRule="exact"/>
              <w:ind w:firstLine="0"/>
              <w:jc w:val="center"/>
              <w:rPr>
                <w:rFonts w:ascii="Verdana" w:hAnsi="Verdana"/>
                <w:b/>
                <w:sz w:val="16"/>
                <w:szCs w:val="16"/>
              </w:rPr>
            </w:pPr>
            <w:r w:rsidRPr="00F01347">
              <w:rPr>
                <w:rFonts w:ascii="Verdana" w:hAnsi="Verdana"/>
                <w:b/>
                <w:sz w:val="16"/>
                <w:szCs w:val="16"/>
              </w:rPr>
              <w:t>B.7.1 MÉTODO DE PRUEBA POR TITULACIÓN PARA LA DETERMINACIÓN DE NITRÓGENO AMONIACAL EN AGUA PARA USO Y CONSUMO HUMANO</w:t>
            </w:r>
          </w:p>
        </w:tc>
        <w:tc>
          <w:tcPr>
            <w:tcW w:w="4675" w:type="dxa"/>
          </w:tcPr>
          <w:p w14:paraId="6C91EC22" w14:textId="544B15D4" w:rsidR="00055D79" w:rsidRPr="00F01347" w:rsidRDefault="00055D79" w:rsidP="00055D79">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B.7.1 TITLE TEST METHOD FOR THE DETERMINATION OF AMMONIA NITROGEN IN WATER FOR HUMAN USE AND CONSUMPTION</w:t>
            </w:r>
          </w:p>
        </w:tc>
      </w:tr>
      <w:tr w:rsidR="00055D79" w:rsidRPr="00F01347" w14:paraId="77C40F04" w14:textId="7D798055" w:rsidTr="005B3BF2">
        <w:tc>
          <w:tcPr>
            <w:tcW w:w="4675" w:type="dxa"/>
          </w:tcPr>
          <w:p w14:paraId="76CB7E95" w14:textId="77777777" w:rsidR="00055D79" w:rsidRPr="00F01347" w:rsidRDefault="00055D79" w:rsidP="00055D79">
            <w:pPr>
              <w:pStyle w:val="texto0"/>
              <w:spacing w:line="220" w:lineRule="exact"/>
              <w:ind w:firstLine="0"/>
              <w:rPr>
                <w:rFonts w:ascii="Verdana" w:hAnsi="Verdana"/>
                <w:b/>
                <w:sz w:val="16"/>
                <w:szCs w:val="16"/>
              </w:rPr>
            </w:pPr>
            <w:r w:rsidRPr="00F01347">
              <w:rPr>
                <w:rFonts w:ascii="Verdana" w:hAnsi="Verdana"/>
                <w:b/>
                <w:sz w:val="16"/>
                <w:szCs w:val="16"/>
              </w:rPr>
              <w:t>B.7.1.1 Principio</w:t>
            </w:r>
          </w:p>
        </w:tc>
        <w:tc>
          <w:tcPr>
            <w:tcW w:w="4675" w:type="dxa"/>
          </w:tcPr>
          <w:p w14:paraId="393D30A5" w14:textId="5F913B6F"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B.7.1.1 Principle</w:t>
            </w:r>
          </w:p>
        </w:tc>
      </w:tr>
      <w:tr w:rsidR="00055D79" w:rsidRPr="00F01347" w14:paraId="69208532" w14:textId="5878FED6" w:rsidTr="005B3BF2">
        <w:tc>
          <w:tcPr>
            <w:tcW w:w="4675" w:type="dxa"/>
          </w:tcPr>
          <w:p w14:paraId="3780F414"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La muestra es amortiguada en un pH de 9.5 con una disolución amortiguadora de borato para disminuir la hidrólisis de cianatos y compuestos orgánicos nitrogenados. Ésta es tratada a través de una destilación preliminar (punto B.7.5, de este Apéndice) dentro de una disolución de ácido bórico. El amoníaco destilado es determinado por titulación con un estándar de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y un indicador mixto o un medidor de pH.</w:t>
            </w:r>
          </w:p>
        </w:tc>
        <w:tc>
          <w:tcPr>
            <w:tcW w:w="4675" w:type="dxa"/>
          </w:tcPr>
          <w:p w14:paraId="34D54F07" w14:textId="63CF33F7"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The sample is buffered at a pH of 9.5 with a borate buffer solution to reduce the hydrolysis of cyanates and organic nitrogen compounds. This is treated through a preliminary distillation (point B.7.5, of this Appendix) within a solution of boric acid. The distilled ammonia is determined by titration with an H</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 xml:space="preserve">4 </w:t>
            </w:r>
            <w:r w:rsidRPr="00F01347">
              <w:rPr>
                <w:rFonts w:ascii="Verdana" w:hAnsi="Verdana"/>
                <w:sz w:val="16"/>
                <w:szCs w:val="16"/>
                <w:lang w:val="en-US"/>
              </w:rPr>
              <w:t>standard and a mixed indicator or pH meter.</w:t>
            </w:r>
          </w:p>
        </w:tc>
      </w:tr>
      <w:tr w:rsidR="00055D79" w:rsidRPr="00F01347" w14:paraId="408D6244" w14:textId="5709BB59" w:rsidTr="005B3BF2">
        <w:tc>
          <w:tcPr>
            <w:tcW w:w="4675" w:type="dxa"/>
          </w:tcPr>
          <w:p w14:paraId="1FA2B884"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b/>
                <w:sz w:val="16"/>
                <w:szCs w:val="16"/>
              </w:rPr>
              <w:t>B.7.1.2 Alcance y aplicación</w:t>
            </w:r>
          </w:p>
        </w:tc>
        <w:tc>
          <w:tcPr>
            <w:tcW w:w="4675" w:type="dxa"/>
          </w:tcPr>
          <w:p w14:paraId="2B651C1A" w14:textId="1C2EF747"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B.7.1.2 Scope and application</w:t>
            </w:r>
          </w:p>
        </w:tc>
      </w:tr>
      <w:tr w:rsidR="00055D79" w:rsidRPr="00F01347" w14:paraId="0AEB2A99" w14:textId="698C5F25" w:rsidTr="005B3BF2">
        <w:tc>
          <w:tcPr>
            <w:tcW w:w="4675" w:type="dxa"/>
          </w:tcPr>
          <w:p w14:paraId="0AFF9B08"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El método por titulación es utilizado para la determinación de nitrógeno amoniacal en muestras de agua para uso y consumo humano que han sido previamente sometidas a un proceso de destilación preliminar (punto B.7.5, de este Apéndice).</w:t>
            </w:r>
          </w:p>
        </w:tc>
        <w:tc>
          <w:tcPr>
            <w:tcW w:w="4675" w:type="dxa"/>
          </w:tcPr>
          <w:p w14:paraId="492AF77E" w14:textId="50D116EA"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The titration method is used for the determination of ammoniacal nitrogen in water samples for human use and consumption that have previously been subjected to a preliminary distillation process (point B.7.5, of this Appendix).</w:t>
            </w:r>
          </w:p>
        </w:tc>
      </w:tr>
      <w:tr w:rsidR="00055D79" w:rsidRPr="00F01347" w14:paraId="456D4090" w14:textId="3A579E2B" w:rsidTr="005B3BF2">
        <w:tc>
          <w:tcPr>
            <w:tcW w:w="4675" w:type="dxa"/>
          </w:tcPr>
          <w:p w14:paraId="7ACDD4E5"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sz w:val="16"/>
                <w:szCs w:val="16"/>
              </w:rPr>
              <w:t>El procedimiento de destilación y de determinación por titulación es utilizado especialmente para concentraciones de NH</w:t>
            </w:r>
            <w:r w:rsidRPr="00F01347">
              <w:rPr>
                <w:rFonts w:ascii="Verdana" w:hAnsi="Verdana"/>
                <w:sz w:val="16"/>
                <w:szCs w:val="16"/>
                <w:vertAlign w:val="subscript"/>
              </w:rPr>
              <w:t>3</w:t>
            </w:r>
            <w:r w:rsidRPr="00F01347">
              <w:rPr>
                <w:rFonts w:ascii="Verdana" w:hAnsi="Verdana"/>
                <w:sz w:val="16"/>
                <w:szCs w:val="16"/>
              </w:rPr>
              <w:t>-N mayores a 5 mg/L, utilizando ácido bórico como absorbente después de la destilación.</w:t>
            </w:r>
          </w:p>
        </w:tc>
        <w:tc>
          <w:tcPr>
            <w:tcW w:w="4675" w:type="dxa"/>
          </w:tcPr>
          <w:p w14:paraId="4E5BB162" w14:textId="1F097548" w:rsidR="00055D79" w:rsidRPr="00F01347" w:rsidRDefault="00055D79" w:rsidP="00055D79">
            <w:pPr>
              <w:pStyle w:val="texto0"/>
              <w:spacing w:line="220" w:lineRule="exact"/>
              <w:ind w:firstLine="0"/>
              <w:rPr>
                <w:rFonts w:ascii="Verdana" w:hAnsi="Verdana"/>
                <w:sz w:val="16"/>
                <w:szCs w:val="16"/>
                <w:lang w:val="en-US"/>
              </w:rPr>
            </w:pPr>
            <w:r w:rsidRPr="00F01347">
              <w:rPr>
                <w:rFonts w:ascii="Verdana" w:hAnsi="Verdana"/>
                <w:sz w:val="16"/>
                <w:szCs w:val="16"/>
                <w:lang w:val="en-US"/>
              </w:rPr>
              <w:t>The distillation and determination procedure by titration is used especially for NH</w:t>
            </w:r>
            <w:r w:rsidRPr="00F01347">
              <w:rPr>
                <w:rFonts w:ascii="Verdana" w:hAnsi="Verdana"/>
                <w:sz w:val="16"/>
                <w:szCs w:val="16"/>
                <w:vertAlign w:val="subscript"/>
                <w:lang w:val="en-US"/>
              </w:rPr>
              <w:t xml:space="preserve">3 </w:t>
            </w:r>
            <w:r w:rsidRPr="00F01347">
              <w:rPr>
                <w:rFonts w:ascii="Verdana" w:hAnsi="Verdana"/>
                <w:sz w:val="16"/>
                <w:szCs w:val="16"/>
                <w:lang w:val="en-US"/>
              </w:rPr>
              <w:t>-N concentrations greater than 5 mg/L, using boric acid as an absorbent after distillation.</w:t>
            </w:r>
          </w:p>
        </w:tc>
      </w:tr>
      <w:tr w:rsidR="00055D79" w:rsidRPr="00F01347" w14:paraId="7F9F0C70" w14:textId="499192B4" w:rsidTr="005B3BF2">
        <w:tc>
          <w:tcPr>
            <w:tcW w:w="4675" w:type="dxa"/>
          </w:tcPr>
          <w:p w14:paraId="0B52B965" w14:textId="77777777" w:rsidR="00055D79" w:rsidRPr="00F01347" w:rsidRDefault="00055D79" w:rsidP="00055D79">
            <w:pPr>
              <w:pStyle w:val="texto0"/>
              <w:spacing w:line="220" w:lineRule="exact"/>
              <w:ind w:firstLine="0"/>
              <w:rPr>
                <w:rFonts w:ascii="Verdana" w:hAnsi="Verdana"/>
                <w:b/>
                <w:sz w:val="16"/>
                <w:szCs w:val="16"/>
              </w:rPr>
            </w:pPr>
            <w:r w:rsidRPr="00F01347">
              <w:rPr>
                <w:rFonts w:ascii="Verdana" w:hAnsi="Verdana"/>
                <w:b/>
                <w:sz w:val="16"/>
                <w:szCs w:val="16"/>
              </w:rPr>
              <w:t>B.7.1.3 Equipos y materiales</w:t>
            </w:r>
          </w:p>
        </w:tc>
        <w:tc>
          <w:tcPr>
            <w:tcW w:w="4675" w:type="dxa"/>
          </w:tcPr>
          <w:p w14:paraId="70B5D2AA" w14:textId="54017B45"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B.7.1.3 Equipment and materials</w:t>
            </w:r>
          </w:p>
        </w:tc>
      </w:tr>
      <w:tr w:rsidR="00055D79" w:rsidRPr="00F01347" w14:paraId="73B518D9" w14:textId="692C5908" w:rsidTr="005B3BF2">
        <w:tc>
          <w:tcPr>
            <w:tcW w:w="4675" w:type="dxa"/>
          </w:tcPr>
          <w:p w14:paraId="13AD2019" w14:textId="77777777" w:rsidR="00055D79" w:rsidRPr="00F01347" w:rsidRDefault="00055D79" w:rsidP="00055D79">
            <w:pPr>
              <w:pStyle w:val="texto0"/>
              <w:spacing w:line="220" w:lineRule="exact"/>
              <w:ind w:firstLine="0"/>
              <w:rPr>
                <w:rFonts w:ascii="Verdana" w:hAnsi="Verdana"/>
                <w:b/>
                <w:sz w:val="16"/>
                <w:szCs w:val="16"/>
              </w:rPr>
            </w:pPr>
            <w:r w:rsidRPr="00F01347">
              <w:rPr>
                <w:rFonts w:ascii="Verdana" w:hAnsi="Verdana"/>
                <w:b/>
                <w:sz w:val="16"/>
                <w:szCs w:val="16"/>
              </w:rPr>
              <w:t>Cristalería</w:t>
            </w:r>
            <w:r w:rsidRPr="00F01347">
              <w:rPr>
                <w:rFonts w:ascii="Verdana" w:hAnsi="Verdana"/>
                <w:sz w:val="16"/>
                <w:szCs w:val="16"/>
              </w:rPr>
              <w:t>. Básica de laboratorio</w:t>
            </w:r>
          </w:p>
        </w:tc>
        <w:tc>
          <w:tcPr>
            <w:tcW w:w="4675" w:type="dxa"/>
          </w:tcPr>
          <w:p w14:paraId="656073BA" w14:textId="42811F99"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Glassware</w:t>
            </w:r>
            <w:r w:rsidR="003E1BA9" w:rsidRPr="00F01347">
              <w:rPr>
                <w:rFonts w:ascii="Verdana" w:hAnsi="Verdana"/>
                <w:b/>
                <w:sz w:val="16"/>
                <w:szCs w:val="16"/>
                <w:lang w:val="en-US"/>
              </w:rPr>
              <w:t>.</w:t>
            </w:r>
            <w:r w:rsidRPr="00F01347">
              <w:rPr>
                <w:rFonts w:ascii="Verdana" w:hAnsi="Verdana"/>
                <w:sz w:val="16"/>
                <w:szCs w:val="16"/>
                <w:lang w:val="en-US"/>
              </w:rPr>
              <w:t xml:space="preserve"> Basic laboratory</w:t>
            </w:r>
          </w:p>
        </w:tc>
      </w:tr>
      <w:tr w:rsidR="00055D79" w:rsidRPr="00F01347" w14:paraId="307F711E" w14:textId="39648CFF" w:rsidTr="005B3BF2">
        <w:tc>
          <w:tcPr>
            <w:tcW w:w="4675" w:type="dxa"/>
          </w:tcPr>
          <w:p w14:paraId="05873EC3"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b/>
                <w:sz w:val="16"/>
                <w:szCs w:val="16"/>
              </w:rPr>
              <w:t xml:space="preserve">Dispositivo para destilación </w:t>
            </w:r>
            <w:r w:rsidRPr="00F01347">
              <w:rPr>
                <w:rFonts w:ascii="Verdana" w:hAnsi="Verdana"/>
                <w:sz w:val="16"/>
                <w:szCs w:val="16"/>
              </w:rPr>
              <w:t>(punto B.7.5, de este Apéndice)</w:t>
            </w:r>
          </w:p>
        </w:tc>
        <w:tc>
          <w:tcPr>
            <w:tcW w:w="4675" w:type="dxa"/>
          </w:tcPr>
          <w:p w14:paraId="6181DD30" w14:textId="3772334B"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Distillation device </w:t>
            </w:r>
            <w:r w:rsidRPr="00F01347">
              <w:rPr>
                <w:rFonts w:ascii="Verdana" w:hAnsi="Verdana"/>
                <w:sz w:val="16"/>
                <w:szCs w:val="16"/>
                <w:lang w:val="en-US"/>
              </w:rPr>
              <w:t>(point B.7.5, of this Appendix)</w:t>
            </w:r>
          </w:p>
        </w:tc>
      </w:tr>
      <w:tr w:rsidR="00055D79" w:rsidRPr="00F01347" w14:paraId="7C537D38" w14:textId="3E34409E" w:rsidTr="005B3BF2">
        <w:tc>
          <w:tcPr>
            <w:tcW w:w="4675" w:type="dxa"/>
          </w:tcPr>
          <w:p w14:paraId="2423612B" w14:textId="77777777" w:rsidR="00055D79" w:rsidRPr="00F01347" w:rsidRDefault="00055D79" w:rsidP="00055D79">
            <w:pPr>
              <w:pStyle w:val="texto0"/>
              <w:spacing w:line="220" w:lineRule="exact"/>
              <w:ind w:firstLine="0"/>
              <w:rPr>
                <w:rFonts w:ascii="Verdana" w:hAnsi="Verdana"/>
                <w:b/>
                <w:sz w:val="16"/>
                <w:szCs w:val="16"/>
              </w:rPr>
            </w:pPr>
            <w:r w:rsidRPr="00F01347">
              <w:rPr>
                <w:rFonts w:ascii="Verdana" w:hAnsi="Verdana"/>
                <w:b/>
                <w:sz w:val="16"/>
                <w:szCs w:val="16"/>
              </w:rPr>
              <w:t>B.7.1.4 Reactivos y soluciones</w:t>
            </w:r>
          </w:p>
        </w:tc>
        <w:tc>
          <w:tcPr>
            <w:tcW w:w="4675" w:type="dxa"/>
          </w:tcPr>
          <w:p w14:paraId="759FD505" w14:textId="3326A641"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B.7.1.4 Reagents and solutions</w:t>
            </w:r>
          </w:p>
        </w:tc>
      </w:tr>
      <w:tr w:rsidR="00055D79" w:rsidRPr="00F01347" w14:paraId="1FF1C3ED" w14:textId="681A2CD7" w:rsidTr="005B3BF2">
        <w:tc>
          <w:tcPr>
            <w:tcW w:w="4675" w:type="dxa"/>
          </w:tcPr>
          <w:p w14:paraId="29F7BBF1"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b/>
                <w:sz w:val="16"/>
                <w:szCs w:val="16"/>
              </w:rPr>
              <w:t xml:space="preserve">Agua grado reactivo. </w:t>
            </w:r>
            <w:r w:rsidRPr="00F01347">
              <w:rPr>
                <w:rFonts w:ascii="Verdana" w:hAnsi="Verdana"/>
                <w:sz w:val="16"/>
                <w:szCs w:val="16"/>
              </w:rPr>
              <w:t>Debe utilizarse agua libre de amoníaco en la preparación de todos los reactivos y soluciones.</w:t>
            </w:r>
          </w:p>
        </w:tc>
        <w:tc>
          <w:tcPr>
            <w:tcW w:w="4675" w:type="dxa"/>
          </w:tcPr>
          <w:p w14:paraId="4F37222D" w14:textId="6CC4D591"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Reagent grade water. </w:t>
            </w:r>
            <w:r w:rsidRPr="00F01347">
              <w:rPr>
                <w:rFonts w:ascii="Verdana" w:hAnsi="Verdana"/>
                <w:sz w:val="16"/>
                <w:szCs w:val="16"/>
                <w:lang w:val="en-US"/>
              </w:rPr>
              <w:t>Ammonia-free water should be used in the preparation of all reagents and solutions.</w:t>
            </w:r>
          </w:p>
        </w:tc>
      </w:tr>
      <w:tr w:rsidR="00055D79" w:rsidRPr="00F01347" w14:paraId="33EFFFAF" w14:textId="36182813" w:rsidTr="005B3BF2">
        <w:tc>
          <w:tcPr>
            <w:tcW w:w="4675" w:type="dxa"/>
          </w:tcPr>
          <w:p w14:paraId="18F6177E"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b/>
                <w:sz w:val="16"/>
                <w:szCs w:val="16"/>
              </w:rPr>
              <w:t>Mezcla de indicadores</w:t>
            </w:r>
            <w:r w:rsidRPr="00F01347">
              <w:rPr>
                <w:rFonts w:ascii="Verdana" w:hAnsi="Verdana"/>
                <w:sz w:val="16"/>
                <w:szCs w:val="16"/>
              </w:rPr>
              <w:t xml:space="preserve">. Disolver 200 mg de indicador rojo </w:t>
            </w:r>
            <w:proofErr w:type="spellStart"/>
            <w:r w:rsidRPr="00F01347">
              <w:rPr>
                <w:rFonts w:ascii="Verdana" w:hAnsi="Verdana"/>
                <w:sz w:val="16"/>
                <w:szCs w:val="16"/>
              </w:rPr>
              <w:t>metil</w:t>
            </w:r>
            <w:proofErr w:type="spellEnd"/>
            <w:r w:rsidRPr="00F01347">
              <w:rPr>
                <w:rFonts w:ascii="Verdana" w:hAnsi="Verdana"/>
                <w:sz w:val="16"/>
                <w:szCs w:val="16"/>
              </w:rPr>
              <w:t xml:space="preserve"> en 100 </w:t>
            </w:r>
            <w:proofErr w:type="spellStart"/>
            <w:r w:rsidRPr="00F01347">
              <w:rPr>
                <w:rFonts w:ascii="Verdana" w:hAnsi="Verdana"/>
                <w:sz w:val="16"/>
                <w:szCs w:val="16"/>
              </w:rPr>
              <w:t>mL</w:t>
            </w:r>
            <w:proofErr w:type="spellEnd"/>
            <w:r w:rsidRPr="00F01347">
              <w:rPr>
                <w:rFonts w:ascii="Verdana" w:hAnsi="Verdana"/>
                <w:sz w:val="16"/>
                <w:szCs w:val="16"/>
              </w:rPr>
              <w:t xml:space="preserve"> de alcohol etílico o isopropílico al 95%. Disolver 100 mg de azul de metileno en 50 </w:t>
            </w:r>
            <w:proofErr w:type="spellStart"/>
            <w:r w:rsidRPr="00F01347">
              <w:rPr>
                <w:rFonts w:ascii="Verdana" w:hAnsi="Verdana"/>
                <w:sz w:val="16"/>
                <w:szCs w:val="16"/>
              </w:rPr>
              <w:t>mL</w:t>
            </w:r>
            <w:proofErr w:type="spellEnd"/>
            <w:r w:rsidRPr="00F01347">
              <w:rPr>
                <w:rFonts w:ascii="Verdana" w:hAnsi="Verdana"/>
                <w:sz w:val="16"/>
                <w:szCs w:val="16"/>
              </w:rPr>
              <w:t xml:space="preserve"> de alcohol etílico o isopropílico al 95%. Combinar las soluciones. Esta disolución debe de ser preparada mensualmente.</w:t>
            </w:r>
          </w:p>
        </w:tc>
        <w:tc>
          <w:tcPr>
            <w:tcW w:w="4675" w:type="dxa"/>
          </w:tcPr>
          <w:p w14:paraId="57C634E5" w14:textId="729746A7"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Mix of indicators</w:t>
            </w:r>
            <w:r w:rsidR="003E1BA9" w:rsidRPr="00F01347">
              <w:rPr>
                <w:rFonts w:ascii="Verdana" w:hAnsi="Verdana"/>
                <w:b/>
                <w:sz w:val="16"/>
                <w:szCs w:val="16"/>
                <w:lang w:val="en-US"/>
              </w:rPr>
              <w:t>.</w:t>
            </w:r>
            <w:r w:rsidRPr="00F01347">
              <w:rPr>
                <w:rFonts w:ascii="Verdana" w:hAnsi="Verdana"/>
                <w:sz w:val="16"/>
                <w:szCs w:val="16"/>
                <w:lang w:val="en-US"/>
              </w:rPr>
              <w:t xml:space="preserve"> Dissolve 200 mg of methyl red indicator in 100 mL of 95% ethyl or isopropyl alcohol. Dissolve 100 mg of methylene blue in 50 mL of 95% ethyl or isopropyl alcohol. Combine the solutions. This solution must be prepared monthly.</w:t>
            </w:r>
          </w:p>
        </w:tc>
      </w:tr>
      <w:tr w:rsidR="00055D79" w:rsidRPr="00F01347" w14:paraId="7E00A499" w14:textId="3C4A617F" w:rsidTr="005B3BF2">
        <w:tc>
          <w:tcPr>
            <w:tcW w:w="4675" w:type="dxa"/>
          </w:tcPr>
          <w:p w14:paraId="1930BE49"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b/>
                <w:sz w:val="16"/>
                <w:szCs w:val="16"/>
              </w:rPr>
              <w:lastRenderedPageBreak/>
              <w:t>Disolución indicadora de ácido bórico (H</w:t>
            </w:r>
            <w:r w:rsidRPr="00F01347">
              <w:rPr>
                <w:rFonts w:ascii="Verdana" w:hAnsi="Verdana"/>
                <w:b/>
                <w:sz w:val="16"/>
                <w:szCs w:val="16"/>
                <w:vertAlign w:val="subscript"/>
              </w:rPr>
              <w:t>3</w:t>
            </w:r>
            <w:r w:rsidRPr="00F01347">
              <w:rPr>
                <w:rFonts w:ascii="Verdana" w:hAnsi="Verdana"/>
                <w:b/>
                <w:sz w:val="16"/>
                <w:szCs w:val="16"/>
              </w:rPr>
              <w:t>BO</w:t>
            </w:r>
            <w:r w:rsidRPr="00F01347">
              <w:rPr>
                <w:rFonts w:ascii="Verdana" w:hAnsi="Verdana"/>
                <w:b/>
                <w:sz w:val="16"/>
                <w:szCs w:val="16"/>
                <w:vertAlign w:val="subscript"/>
              </w:rPr>
              <w:t>3</w:t>
            </w:r>
            <w:r w:rsidRPr="00F01347">
              <w:rPr>
                <w:rFonts w:ascii="Verdana" w:hAnsi="Verdana"/>
                <w:b/>
                <w:sz w:val="16"/>
                <w:szCs w:val="16"/>
              </w:rPr>
              <w:t>)</w:t>
            </w:r>
            <w:r w:rsidRPr="00F01347">
              <w:rPr>
                <w:rFonts w:ascii="Verdana" w:hAnsi="Verdana"/>
                <w:sz w:val="16"/>
                <w:szCs w:val="16"/>
              </w:rPr>
              <w:t>. Disolver 20 g de H</w:t>
            </w:r>
            <w:r w:rsidRPr="00F01347">
              <w:rPr>
                <w:rFonts w:ascii="Verdana" w:hAnsi="Verdana"/>
                <w:sz w:val="16"/>
                <w:szCs w:val="16"/>
                <w:vertAlign w:val="subscript"/>
              </w:rPr>
              <w:t>3</w:t>
            </w:r>
            <w:r w:rsidRPr="00F01347">
              <w:rPr>
                <w:rFonts w:ascii="Verdana" w:hAnsi="Verdana"/>
                <w:sz w:val="16"/>
                <w:szCs w:val="16"/>
              </w:rPr>
              <w:t>BO</w:t>
            </w:r>
            <w:r w:rsidRPr="00F01347">
              <w:rPr>
                <w:rFonts w:ascii="Verdana" w:hAnsi="Verdana"/>
                <w:sz w:val="16"/>
                <w:szCs w:val="16"/>
                <w:vertAlign w:val="subscript"/>
              </w:rPr>
              <w:t>3</w:t>
            </w:r>
            <w:r w:rsidRPr="00F01347">
              <w:rPr>
                <w:rFonts w:ascii="Verdana" w:hAnsi="Verdana"/>
                <w:sz w:val="16"/>
                <w:szCs w:val="16"/>
              </w:rPr>
              <w:t xml:space="preserve"> en agua, añadir 10 </w:t>
            </w:r>
            <w:proofErr w:type="spellStart"/>
            <w:r w:rsidRPr="00F01347">
              <w:rPr>
                <w:rFonts w:ascii="Verdana" w:hAnsi="Verdana"/>
                <w:sz w:val="16"/>
                <w:szCs w:val="16"/>
              </w:rPr>
              <w:t>mL</w:t>
            </w:r>
            <w:proofErr w:type="spellEnd"/>
            <w:r w:rsidRPr="00F01347">
              <w:rPr>
                <w:rFonts w:ascii="Verdana" w:hAnsi="Verdana"/>
                <w:sz w:val="16"/>
                <w:szCs w:val="16"/>
              </w:rPr>
              <w:t xml:space="preserve"> de la mezcla de indicadores y diluir a 1 L. Esta disolución debe de ser preparada mensualmente.</w:t>
            </w:r>
          </w:p>
        </w:tc>
        <w:tc>
          <w:tcPr>
            <w:tcW w:w="4675" w:type="dxa"/>
          </w:tcPr>
          <w:p w14:paraId="0C8B1709" w14:textId="0FD1C32F"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Indicator solution of boric acid (H</w:t>
            </w:r>
            <w:r w:rsidRPr="00F01347">
              <w:rPr>
                <w:rFonts w:ascii="Verdana" w:hAnsi="Verdana"/>
                <w:b/>
                <w:sz w:val="16"/>
                <w:szCs w:val="16"/>
                <w:vertAlign w:val="subscript"/>
                <w:lang w:val="en-US"/>
              </w:rPr>
              <w:t xml:space="preserve">3 </w:t>
            </w:r>
            <w:r w:rsidRPr="00F01347">
              <w:rPr>
                <w:rFonts w:ascii="Verdana" w:hAnsi="Verdana"/>
                <w:b/>
                <w:sz w:val="16"/>
                <w:szCs w:val="16"/>
                <w:lang w:val="en-US"/>
              </w:rPr>
              <w:t>BO</w:t>
            </w:r>
            <w:r w:rsidRPr="00F01347">
              <w:rPr>
                <w:rFonts w:ascii="Verdana" w:hAnsi="Verdana"/>
                <w:b/>
                <w:sz w:val="16"/>
                <w:szCs w:val="16"/>
                <w:vertAlign w:val="subscript"/>
                <w:lang w:val="en-US"/>
              </w:rPr>
              <w:t>3</w:t>
            </w:r>
            <w:r w:rsidR="00913802" w:rsidRPr="00F01347">
              <w:rPr>
                <w:rFonts w:ascii="Verdana" w:hAnsi="Verdana"/>
                <w:b/>
                <w:sz w:val="16"/>
                <w:szCs w:val="16"/>
                <w:vertAlign w:val="subscript"/>
                <w:lang w:val="en-US"/>
              </w:rPr>
              <w:t>)</w:t>
            </w:r>
            <w:r w:rsidR="003E1BA9" w:rsidRPr="00F01347">
              <w:rPr>
                <w:rFonts w:ascii="Verdana" w:hAnsi="Verdana"/>
                <w:b/>
                <w:sz w:val="16"/>
                <w:szCs w:val="16"/>
                <w:lang w:val="en-US"/>
              </w:rPr>
              <w:t>.</w:t>
            </w:r>
            <w:r w:rsidRPr="00F01347">
              <w:rPr>
                <w:rFonts w:ascii="Verdana" w:hAnsi="Verdana"/>
                <w:sz w:val="16"/>
                <w:szCs w:val="16"/>
                <w:lang w:val="en-US"/>
              </w:rPr>
              <w:t xml:space="preserve"> Dissolve 20 g of H</w:t>
            </w:r>
            <w:r w:rsidRPr="00F01347">
              <w:rPr>
                <w:rFonts w:ascii="Verdana" w:hAnsi="Verdana"/>
                <w:sz w:val="16"/>
                <w:szCs w:val="16"/>
                <w:vertAlign w:val="subscript"/>
                <w:lang w:val="en-US"/>
              </w:rPr>
              <w:t xml:space="preserve">3 </w:t>
            </w:r>
            <w:r w:rsidRPr="00F01347">
              <w:rPr>
                <w:rFonts w:ascii="Verdana" w:hAnsi="Verdana"/>
                <w:sz w:val="16"/>
                <w:szCs w:val="16"/>
                <w:lang w:val="en-US"/>
              </w:rPr>
              <w:t>BO</w:t>
            </w:r>
            <w:r w:rsidRPr="00F01347">
              <w:rPr>
                <w:rFonts w:ascii="Verdana" w:hAnsi="Verdana"/>
                <w:sz w:val="16"/>
                <w:szCs w:val="16"/>
                <w:vertAlign w:val="subscript"/>
                <w:lang w:val="en-US"/>
              </w:rPr>
              <w:t xml:space="preserve">3 </w:t>
            </w:r>
            <w:r w:rsidRPr="00F01347">
              <w:rPr>
                <w:rFonts w:ascii="Verdana" w:hAnsi="Verdana"/>
                <w:sz w:val="16"/>
                <w:szCs w:val="16"/>
                <w:lang w:val="en-US"/>
              </w:rPr>
              <w:t>in water, add 10 mL of the indicator mixture and dilute to 1 L. This solution must be prepared monthly.</w:t>
            </w:r>
          </w:p>
        </w:tc>
      </w:tr>
      <w:tr w:rsidR="00055D79" w:rsidRPr="00F01347" w14:paraId="0E4E811D" w14:textId="278CF0FE" w:rsidTr="005B3BF2">
        <w:tc>
          <w:tcPr>
            <w:tcW w:w="4675" w:type="dxa"/>
          </w:tcPr>
          <w:p w14:paraId="79B7769E"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b/>
                <w:sz w:val="16"/>
                <w:szCs w:val="16"/>
              </w:rPr>
              <w:t>Titulante de ácido sulfúrico estandarizado 0.02N</w:t>
            </w:r>
            <w:r w:rsidRPr="00F01347">
              <w:rPr>
                <w:rFonts w:ascii="Verdana" w:hAnsi="Verdana"/>
                <w:sz w:val="16"/>
                <w:szCs w:val="16"/>
              </w:rPr>
              <w:t>. Preparar y estandarizar la disolución. Para mayor precisión, estandarizar el titulante contra una cantidad de carbonato de sodio (Na</w:t>
            </w:r>
            <w:r w:rsidRPr="00F01347">
              <w:rPr>
                <w:rFonts w:ascii="Verdana" w:hAnsi="Verdana"/>
                <w:sz w:val="16"/>
                <w:szCs w:val="16"/>
                <w:vertAlign w:val="subscript"/>
              </w:rPr>
              <w:t>2</w:t>
            </w:r>
            <w:r w:rsidRPr="00F01347">
              <w:rPr>
                <w:rFonts w:ascii="Verdana" w:hAnsi="Verdana"/>
                <w:sz w:val="16"/>
                <w:szCs w:val="16"/>
              </w:rPr>
              <w:t>CO</w:t>
            </w:r>
            <w:r w:rsidRPr="00F01347">
              <w:rPr>
                <w:rFonts w:ascii="Verdana" w:hAnsi="Verdana"/>
                <w:sz w:val="16"/>
                <w:szCs w:val="16"/>
                <w:vertAlign w:val="subscript"/>
              </w:rPr>
              <w:t>3</w:t>
            </w:r>
            <w:r w:rsidRPr="00F01347">
              <w:rPr>
                <w:rFonts w:ascii="Verdana" w:hAnsi="Verdana"/>
                <w:sz w:val="16"/>
                <w:szCs w:val="16"/>
              </w:rPr>
              <w:t xml:space="preserve">) que ha sido incorporada a la disolución indicadora de ácido bórico para producir las condiciones reales de titulación de la muestra; 1 </w:t>
            </w:r>
            <w:proofErr w:type="spellStart"/>
            <w:r w:rsidRPr="00F01347">
              <w:rPr>
                <w:rFonts w:ascii="Verdana" w:hAnsi="Verdana"/>
                <w:sz w:val="16"/>
                <w:szCs w:val="16"/>
              </w:rPr>
              <w:t>mL</w:t>
            </w:r>
            <w:proofErr w:type="spellEnd"/>
            <w:r w:rsidRPr="00F01347">
              <w:rPr>
                <w:rFonts w:ascii="Verdana" w:hAnsi="Verdana"/>
                <w:sz w:val="16"/>
                <w:szCs w:val="16"/>
              </w:rPr>
              <w:t xml:space="preserve">=14 X normalidad X 1 000 µg N (Para 0.02 N, 1 </w:t>
            </w:r>
            <w:proofErr w:type="spellStart"/>
            <w:r w:rsidRPr="00F01347">
              <w:rPr>
                <w:rFonts w:ascii="Verdana" w:hAnsi="Verdana"/>
                <w:sz w:val="16"/>
                <w:szCs w:val="16"/>
              </w:rPr>
              <w:t>mL</w:t>
            </w:r>
            <w:proofErr w:type="spellEnd"/>
            <w:r w:rsidRPr="00F01347">
              <w:rPr>
                <w:rFonts w:ascii="Verdana" w:hAnsi="Verdana"/>
                <w:sz w:val="16"/>
                <w:szCs w:val="16"/>
              </w:rPr>
              <w:t>= 280 µg N).</w:t>
            </w:r>
          </w:p>
        </w:tc>
        <w:tc>
          <w:tcPr>
            <w:tcW w:w="4675" w:type="dxa"/>
          </w:tcPr>
          <w:p w14:paraId="650601AF" w14:textId="19BAD759"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Standardized sulfuric acid titrant 0.02N</w:t>
            </w:r>
            <w:r w:rsidR="003E1BA9" w:rsidRPr="00F01347">
              <w:rPr>
                <w:rFonts w:ascii="Verdana" w:hAnsi="Verdana"/>
                <w:b/>
                <w:sz w:val="16"/>
                <w:szCs w:val="16"/>
                <w:lang w:val="en-US"/>
              </w:rPr>
              <w:t>.</w:t>
            </w:r>
            <w:r w:rsidRPr="00F01347">
              <w:rPr>
                <w:rFonts w:ascii="Verdana" w:hAnsi="Verdana"/>
                <w:sz w:val="16"/>
                <w:szCs w:val="16"/>
                <w:lang w:val="en-US"/>
              </w:rPr>
              <w:t xml:space="preserve"> Prepare and standardize the solution. For greater precision, standardize the titrant against an amount of sodium carbonate (Na</w:t>
            </w:r>
            <w:r w:rsidRPr="00F01347">
              <w:rPr>
                <w:rFonts w:ascii="Verdana" w:hAnsi="Verdana"/>
                <w:sz w:val="16"/>
                <w:szCs w:val="16"/>
                <w:vertAlign w:val="subscript"/>
                <w:lang w:val="en-US"/>
              </w:rPr>
              <w:t xml:space="preserve">2 </w:t>
            </w:r>
            <w:r w:rsidRPr="00F01347">
              <w:rPr>
                <w:rFonts w:ascii="Verdana" w:hAnsi="Verdana"/>
                <w:sz w:val="16"/>
                <w:szCs w:val="16"/>
                <w:lang w:val="en-US"/>
              </w:rPr>
              <w:t>CO</w:t>
            </w:r>
            <w:r w:rsidRPr="00F01347">
              <w:rPr>
                <w:rFonts w:ascii="Verdana" w:hAnsi="Verdana"/>
                <w:sz w:val="16"/>
                <w:szCs w:val="16"/>
                <w:vertAlign w:val="subscript"/>
                <w:lang w:val="en-US"/>
              </w:rPr>
              <w:t>3</w:t>
            </w:r>
            <w:r w:rsidR="00913802" w:rsidRPr="00F01347">
              <w:rPr>
                <w:rFonts w:ascii="Verdana" w:hAnsi="Verdana"/>
                <w:sz w:val="16"/>
                <w:szCs w:val="16"/>
                <w:vertAlign w:val="subscript"/>
                <w:lang w:val="en-US"/>
              </w:rPr>
              <w:t>)</w:t>
            </w:r>
            <w:r w:rsidRPr="00F01347">
              <w:rPr>
                <w:rFonts w:ascii="Verdana" w:hAnsi="Verdana"/>
                <w:sz w:val="16"/>
                <w:szCs w:val="16"/>
                <w:lang w:val="en-US"/>
              </w:rPr>
              <w:t xml:space="preserve"> that has been incorporated into the boric acid indicator solution to produce the actual sample titration conditions; 1 mL = 14 </w:t>
            </w:r>
            <w:r w:rsidR="00FE21E4" w:rsidRPr="00F01347">
              <w:rPr>
                <w:rFonts w:ascii="Verdana" w:hAnsi="Verdana"/>
                <w:sz w:val="16"/>
                <w:szCs w:val="16"/>
                <w:lang w:val="en-US"/>
              </w:rPr>
              <w:t>X normali</w:t>
            </w:r>
            <w:r w:rsidR="00FE21E4" w:rsidRPr="00F01347">
              <w:rPr>
                <w:rFonts w:ascii="Verdana" w:hAnsi="Verdana"/>
                <w:sz w:val="16"/>
                <w:szCs w:val="16"/>
                <w:lang w:val="en-US"/>
              </w:rPr>
              <w:t>ty</w:t>
            </w:r>
            <w:r w:rsidR="00FE21E4" w:rsidRPr="00F01347">
              <w:rPr>
                <w:rFonts w:ascii="Verdana" w:hAnsi="Verdana"/>
                <w:sz w:val="16"/>
                <w:szCs w:val="16"/>
                <w:lang w:val="en-US"/>
              </w:rPr>
              <w:t xml:space="preserve"> X 1 000 µg N (</w:t>
            </w:r>
            <w:r w:rsidR="00FE21E4" w:rsidRPr="00F01347">
              <w:rPr>
                <w:rFonts w:ascii="Verdana" w:hAnsi="Verdana"/>
                <w:sz w:val="16"/>
                <w:szCs w:val="16"/>
                <w:lang w:val="en-US"/>
              </w:rPr>
              <w:t>For</w:t>
            </w:r>
            <w:r w:rsidR="00FE21E4" w:rsidRPr="00F01347">
              <w:rPr>
                <w:rFonts w:ascii="Verdana" w:hAnsi="Verdana"/>
                <w:sz w:val="16"/>
                <w:szCs w:val="16"/>
                <w:lang w:val="en-US"/>
              </w:rPr>
              <w:t xml:space="preserve"> 0.02 N, 1 mL= 280 µg N).</w:t>
            </w:r>
          </w:p>
        </w:tc>
      </w:tr>
      <w:tr w:rsidR="00055D79" w:rsidRPr="00F01347" w14:paraId="69F7D1F7" w14:textId="426B4411" w:rsidTr="005B3BF2">
        <w:tc>
          <w:tcPr>
            <w:tcW w:w="4675" w:type="dxa"/>
          </w:tcPr>
          <w:p w14:paraId="74BBF6CB" w14:textId="77777777" w:rsidR="00055D79" w:rsidRPr="00F01347" w:rsidRDefault="00055D79" w:rsidP="00055D79">
            <w:pPr>
              <w:pStyle w:val="texto0"/>
              <w:spacing w:line="220" w:lineRule="exact"/>
              <w:ind w:firstLine="0"/>
              <w:rPr>
                <w:rFonts w:ascii="Verdana" w:hAnsi="Verdana"/>
                <w:b/>
                <w:sz w:val="16"/>
                <w:szCs w:val="16"/>
              </w:rPr>
            </w:pPr>
            <w:r w:rsidRPr="00F01347">
              <w:rPr>
                <w:rFonts w:ascii="Verdana" w:hAnsi="Verdana"/>
                <w:b/>
                <w:sz w:val="16"/>
                <w:szCs w:val="16"/>
              </w:rPr>
              <w:t>B.7.1.5 Procedimiento</w:t>
            </w:r>
          </w:p>
        </w:tc>
        <w:tc>
          <w:tcPr>
            <w:tcW w:w="4675" w:type="dxa"/>
          </w:tcPr>
          <w:p w14:paraId="281F0915" w14:textId="4D3FC7F4"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B.7.1.5 Procedure</w:t>
            </w:r>
          </w:p>
        </w:tc>
      </w:tr>
      <w:tr w:rsidR="00055D79" w:rsidRPr="00F01347" w14:paraId="7C3B85B5" w14:textId="23090FDB" w:rsidTr="005B3BF2">
        <w:tc>
          <w:tcPr>
            <w:tcW w:w="4675" w:type="dxa"/>
          </w:tcPr>
          <w:p w14:paraId="633ED342" w14:textId="77777777" w:rsidR="00055D79" w:rsidRPr="00F01347" w:rsidRDefault="00055D79" w:rsidP="00055D79">
            <w:pPr>
              <w:pStyle w:val="texto0"/>
              <w:spacing w:line="220" w:lineRule="exact"/>
              <w:ind w:firstLine="0"/>
              <w:rPr>
                <w:rFonts w:ascii="Verdana" w:hAnsi="Verdana"/>
                <w:sz w:val="16"/>
                <w:szCs w:val="16"/>
              </w:rPr>
            </w:pPr>
            <w:r w:rsidRPr="00F01347">
              <w:rPr>
                <w:rFonts w:ascii="Verdana" w:hAnsi="Verdana"/>
                <w:b/>
                <w:sz w:val="16"/>
                <w:szCs w:val="16"/>
              </w:rPr>
              <w:t>B.7.1.5.1 Preparación de las muestras</w:t>
            </w:r>
          </w:p>
        </w:tc>
        <w:tc>
          <w:tcPr>
            <w:tcW w:w="4675" w:type="dxa"/>
          </w:tcPr>
          <w:p w14:paraId="2DB206B9" w14:textId="22E6C9A3"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b/>
                <w:sz w:val="16"/>
                <w:szCs w:val="16"/>
                <w:lang w:val="en-US"/>
              </w:rPr>
              <w:t>B.7.1.5.1 Sample preparation</w:t>
            </w:r>
          </w:p>
        </w:tc>
      </w:tr>
      <w:tr w:rsidR="00055D79" w:rsidRPr="00F01347" w14:paraId="729A71D0" w14:textId="77777777" w:rsidTr="005B3BF2">
        <w:tc>
          <w:tcPr>
            <w:tcW w:w="4675" w:type="dxa"/>
          </w:tcPr>
          <w:p w14:paraId="2AAE6B00" w14:textId="75A3EF04" w:rsidR="00055D79" w:rsidRPr="00F01347" w:rsidRDefault="00055D79" w:rsidP="00055D79">
            <w:pPr>
              <w:pStyle w:val="texto0"/>
              <w:spacing w:line="220" w:lineRule="exact"/>
              <w:ind w:firstLine="0"/>
              <w:rPr>
                <w:rFonts w:ascii="Verdana" w:hAnsi="Verdana"/>
                <w:b/>
                <w:sz w:val="16"/>
                <w:szCs w:val="16"/>
              </w:rPr>
            </w:pPr>
            <w:r w:rsidRPr="00F01347">
              <w:rPr>
                <w:rFonts w:ascii="Verdana" w:hAnsi="Verdana"/>
                <w:sz w:val="16"/>
                <w:szCs w:val="16"/>
              </w:rPr>
              <w:t>Para seleccionar el volumen de la muestra para el método de destilación – titulación puede utilizar la Tabla B.7.1-1, de este Apéndice:</w:t>
            </w:r>
          </w:p>
        </w:tc>
        <w:tc>
          <w:tcPr>
            <w:tcW w:w="4675" w:type="dxa"/>
          </w:tcPr>
          <w:p w14:paraId="004BAF8D" w14:textId="4B5C57FA" w:rsidR="00055D79" w:rsidRPr="00F01347" w:rsidRDefault="00055D79" w:rsidP="00055D79">
            <w:pPr>
              <w:pStyle w:val="texto0"/>
              <w:spacing w:line="220" w:lineRule="exact"/>
              <w:ind w:firstLine="0"/>
              <w:rPr>
                <w:rFonts w:ascii="Verdana" w:hAnsi="Verdana"/>
                <w:b/>
                <w:sz w:val="16"/>
                <w:szCs w:val="16"/>
                <w:lang w:val="en-US"/>
              </w:rPr>
            </w:pPr>
            <w:r w:rsidRPr="00F01347">
              <w:rPr>
                <w:rFonts w:ascii="Verdana" w:hAnsi="Verdana"/>
                <w:sz w:val="16"/>
                <w:szCs w:val="16"/>
                <w:lang w:val="en-US"/>
              </w:rPr>
              <w:t xml:space="preserve">To select the sample volume for the distillation – titration method </w:t>
            </w:r>
            <w:r w:rsidR="004A6BE5" w:rsidRPr="00F01347">
              <w:rPr>
                <w:rFonts w:ascii="Verdana" w:hAnsi="Verdana"/>
                <w:sz w:val="16"/>
                <w:szCs w:val="16"/>
                <w:lang w:val="en-US"/>
              </w:rPr>
              <w:t>one</w:t>
            </w:r>
            <w:r w:rsidRPr="00F01347">
              <w:rPr>
                <w:rFonts w:ascii="Verdana" w:hAnsi="Verdana"/>
                <w:sz w:val="16"/>
                <w:szCs w:val="16"/>
                <w:lang w:val="en-US"/>
              </w:rPr>
              <w:t xml:space="preserve"> can use Table B.7.1-1, of this Appendix:</w:t>
            </w:r>
          </w:p>
        </w:tc>
      </w:tr>
    </w:tbl>
    <w:p w14:paraId="5E3A8AC8" w14:textId="08927520" w:rsidR="00A74CDF" w:rsidRPr="00F01347" w:rsidRDefault="00A74CDF" w:rsidP="003A601B">
      <w:pPr>
        <w:pStyle w:val="texto0"/>
        <w:spacing w:line="220" w:lineRule="exact"/>
        <w:rPr>
          <w:rFonts w:ascii="Verdana" w:hAnsi="Verdana"/>
          <w:sz w:val="16"/>
          <w:szCs w:val="16"/>
          <w:lang w:val="en-US"/>
        </w:rPr>
      </w:pPr>
    </w:p>
    <w:tbl>
      <w:tblPr>
        <w:tblW w:w="3708" w:type="dxa"/>
        <w:tblInd w:w="2502" w:type="dxa"/>
        <w:tblLayout w:type="fixed"/>
        <w:tblCellMar>
          <w:left w:w="72" w:type="dxa"/>
          <w:right w:w="72" w:type="dxa"/>
        </w:tblCellMar>
        <w:tblLook w:val="0000" w:firstRow="0" w:lastRow="0" w:firstColumn="0" w:lastColumn="0" w:noHBand="0" w:noVBand="0"/>
      </w:tblPr>
      <w:tblGrid>
        <w:gridCol w:w="2088"/>
        <w:gridCol w:w="1620"/>
      </w:tblGrid>
      <w:tr w:rsidR="00A74CDF" w:rsidRPr="00F01347" w14:paraId="7F33D7FC" w14:textId="77777777">
        <w:trPr>
          <w:trHeight w:val="144"/>
        </w:trPr>
        <w:tc>
          <w:tcPr>
            <w:tcW w:w="3708" w:type="dxa"/>
            <w:gridSpan w:val="2"/>
            <w:tcBorders>
              <w:bottom w:val="single" w:sz="6" w:space="0" w:color="auto"/>
            </w:tcBorders>
            <w:noWrap/>
          </w:tcPr>
          <w:p w14:paraId="06EAF7DF"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b/>
                <w:sz w:val="16"/>
                <w:szCs w:val="16"/>
              </w:rPr>
              <w:t>Tabla B.7.1-1.</w:t>
            </w:r>
            <w:r w:rsidRPr="00F01347">
              <w:rPr>
                <w:rFonts w:ascii="Verdana" w:hAnsi="Verdana"/>
                <w:sz w:val="16"/>
                <w:szCs w:val="16"/>
              </w:rPr>
              <w:t xml:space="preserve"> Volumen de la muestra para el método de destilación-titulación</w:t>
            </w:r>
          </w:p>
        </w:tc>
      </w:tr>
      <w:tr w:rsidR="00A74CDF" w:rsidRPr="00F01347" w14:paraId="2617F84E" w14:textId="77777777">
        <w:trPr>
          <w:trHeight w:val="144"/>
        </w:trPr>
        <w:tc>
          <w:tcPr>
            <w:tcW w:w="2088" w:type="dxa"/>
            <w:tcBorders>
              <w:top w:val="single" w:sz="6" w:space="0" w:color="auto"/>
              <w:left w:val="single" w:sz="6" w:space="0" w:color="auto"/>
              <w:bottom w:val="single" w:sz="6" w:space="0" w:color="auto"/>
              <w:right w:val="single" w:sz="6" w:space="0" w:color="auto"/>
            </w:tcBorders>
          </w:tcPr>
          <w:p w14:paraId="02F1E4AC" w14:textId="77777777" w:rsidR="00A74CDF" w:rsidRPr="00F01347" w:rsidRDefault="00A74CDF" w:rsidP="003A601B">
            <w:pPr>
              <w:pStyle w:val="texto0"/>
              <w:spacing w:line="220" w:lineRule="exact"/>
              <w:ind w:firstLine="0"/>
              <w:jc w:val="center"/>
              <w:rPr>
                <w:rFonts w:ascii="Verdana" w:hAnsi="Verdana"/>
                <w:b/>
                <w:sz w:val="16"/>
                <w:szCs w:val="16"/>
              </w:rPr>
            </w:pPr>
            <w:r w:rsidRPr="00F01347">
              <w:rPr>
                <w:rFonts w:ascii="Verdana" w:hAnsi="Verdana"/>
                <w:b/>
                <w:sz w:val="16"/>
                <w:szCs w:val="16"/>
              </w:rPr>
              <w:t>Nitrógeno amoniacal en la muestra</w:t>
            </w:r>
          </w:p>
          <w:p w14:paraId="14DE535C" w14:textId="77777777" w:rsidR="00A74CDF" w:rsidRPr="00F01347" w:rsidRDefault="00A74CDF" w:rsidP="003A601B">
            <w:pPr>
              <w:pStyle w:val="texto0"/>
              <w:spacing w:line="220" w:lineRule="exact"/>
              <w:ind w:firstLine="0"/>
              <w:jc w:val="center"/>
              <w:rPr>
                <w:rFonts w:ascii="Verdana" w:hAnsi="Verdana"/>
                <w:b/>
                <w:sz w:val="16"/>
                <w:szCs w:val="16"/>
              </w:rPr>
            </w:pPr>
            <w:r w:rsidRPr="00F01347">
              <w:rPr>
                <w:rFonts w:ascii="Verdana" w:hAnsi="Verdana"/>
                <w:b/>
                <w:sz w:val="16"/>
                <w:szCs w:val="16"/>
              </w:rPr>
              <w:t>(mg/L)</w:t>
            </w:r>
          </w:p>
        </w:tc>
        <w:tc>
          <w:tcPr>
            <w:tcW w:w="1620" w:type="dxa"/>
            <w:tcBorders>
              <w:top w:val="single" w:sz="6" w:space="0" w:color="auto"/>
              <w:left w:val="single" w:sz="6" w:space="0" w:color="auto"/>
              <w:bottom w:val="single" w:sz="6" w:space="0" w:color="auto"/>
              <w:right w:val="single" w:sz="6" w:space="0" w:color="auto"/>
            </w:tcBorders>
          </w:tcPr>
          <w:p w14:paraId="30309EBB" w14:textId="77777777" w:rsidR="00A74CDF" w:rsidRPr="00F01347" w:rsidRDefault="00A74CDF" w:rsidP="003A601B">
            <w:pPr>
              <w:pStyle w:val="texto0"/>
              <w:spacing w:line="220" w:lineRule="exact"/>
              <w:ind w:firstLine="0"/>
              <w:jc w:val="center"/>
              <w:rPr>
                <w:rFonts w:ascii="Verdana" w:hAnsi="Verdana"/>
                <w:b/>
                <w:sz w:val="16"/>
                <w:szCs w:val="16"/>
              </w:rPr>
            </w:pPr>
            <w:r w:rsidRPr="00F01347">
              <w:rPr>
                <w:rFonts w:ascii="Verdana" w:hAnsi="Verdana"/>
                <w:b/>
                <w:sz w:val="16"/>
                <w:szCs w:val="16"/>
              </w:rPr>
              <w:t>Volumen de la muestra</w:t>
            </w:r>
          </w:p>
          <w:p w14:paraId="54464027" w14:textId="77777777" w:rsidR="00A74CDF" w:rsidRPr="00F01347" w:rsidRDefault="00A74CDF" w:rsidP="003A601B">
            <w:pPr>
              <w:pStyle w:val="texto0"/>
              <w:spacing w:line="220" w:lineRule="exact"/>
              <w:ind w:firstLine="0"/>
              <w:jc w:val="center"/>
              <w:rPr>
                <w:rFonts w:ascii="Verdana" w:hAnsi="Verdana"/>
                <w:b/>
                <w:sz w:val="16"/>
                <w:szCs w:val="16"/>
              </w:rPr>
            </w:pPr>
            <w:r w:rsidRPr="00F01347">
              <w:rPr>
                <w:rFonts w:ascii="Verdana" w:hAnsi="Verdana"/>
                <w:b/>
                <w:sz w:val="16"/>
                <w:szCs w:val="16"/>
              </w:rPr>
              <w:t>(</w:t>
            </w:r>
            <w:proofErr w:type="spellStart"/>
            <w:r w:rsidRPr="00F01347">
              <w:rPr>
                <w:rFonts w:ascii="Verdana" w:hAnsi="Verdana"/>
                <w:b/>
                <w:sz w:val="16"/>
                <w:szCs w:val="16"/>
              </w:rPr>
              <w:t>mL</w:t>
            </w:r>
            <w:proofErr w:type="spellEnd"/>
            <w:r w:rsidRPr="00F01347">
              <w:rPr>
                <w:rFonts w:ascii="Verdana" w:hAnsi="Verdana"/>
                <w:b/>
                <w:sz w:val="16"/>
                <w:szCs w:val="16"/>
              </w:rPr>
              <w:t>)</w:t>
            </w:r>
          </w:p>
        </w:tc>
      </w:tr>
      <w:tr w:rsidR="00A74CDF" w:rsidRPr="00F01347" w14:paraId="6E66D6AC" w14:textId="77777777">
        <w:trPr>
          <w:trHeight w:val="144"/>
        </w:trPr>
        <w:tc>
          <w:tcPr>
            <w:tcW w:w="2088" w:type="dxa"/>
            <w:tcBorders>
              <w:top w:val="single" w:sz="6" w:space="0" w:color="auto"/>
              <w:left w:val="single" w:sz="6" w:space="0" w:color="auto"/>
              <w:bottom w:val="single" w:sz="6" w:space="0" w:color="auto"/>
              <w:right w:val="single" w:sz="6" w:space="0" w:color="auto"/>
            </w:tcBorders>
          </w:tcPr>
          <w:p w14:paraId="009D7D8A"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5 a 10</w:t>
            </w:r>
          </w:p>
        </w:tc>
        <w:tc>
          <w:tcPr>
            <w:tcW w:w="1620" w:type="dxa"/>
            <w:tcBorders>
              <w:top w:val="single" w:sz="6" w:space="0" w:color="auto"/>
              <w:left w:val="single" w:sz="6" w:space="0" w:color="auto"/>
              <w:bottom w:val="single" w:sz="6" w:space="0" w:color="auto"/>
              <w:right w:val="single" w:sz="6" w:space="0" w:color="auto"/>
            </w:tcBorders>
          </w:tcPr>
          <w:p w14:paraId="34E5C943"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250</w:t>
            </w:r>
          </w:p>
        </w:tc>
      </w:tr>
      <w:tr w:rsidR="00A74CDF" w:rsidRPr="00F01347" w14:paraId="2DE12584" w14:textId="77777777">
        <w:trPr>
          <w:trHeight w:val="144"/>
        </w:trPr>
        <w:tc>
          <w:tcPr>
            <w:tcW w:w="2088" w:type="dxa"/>
            <w:tcBorders>
              <w:top w:val="single" w:sz="6" w:space="0" w:color="auto"/>
              <w:left w:val="single" w:sz="6" w:space="0" w:color="auto"/>
              <w:bottom w:val="single" w:sz="6" w:space="0" w:color="auto"/>
              <w:right w:val="single" w:sz="6" w:space="0" w:color="auto"/>
            </w:tcBorders>
          </w:tcPr>
          <w:p w14:paraId="7A4666D3"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10 a 20</w:t>
            </w:r>
          </w:p>
        </w:tc>
        <w:tc>
          <w:tcPr>
            <w:tcW w:w="1620" w:type="dxa"/>
            <w:tcBorders>
              <w:top w:val="single" w:sz="6" w:space="0" w:color="auto"/>
              <w:left w:val="single" w:sz="6" w:space="0" w:color="auto"/>
              <w:bottom w:val="single" w:sz="6" w:space="0" w:color="auto"/>
              <w:right w:val="single" w:sz="6" w:space="0" w:color="auto"/>
            </w:tcBorders>
          </w:tcPr>
          <w:p w14:paraId="79E3A941"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100</w:t>
            </w:r>
          </w:p>
        </w:tc>
      </w:tr>
      <w:tr w:rsidR="00A74CDF" w:rsidRPr="00F01347" w14:paraId="020AE2E0" w14:textId="77777777">
        <w:trPr>
          <w:trHeight w:val="144"/>
        </w:trPr>
        <w:tc>
          <w:tcPr>
            <w:tcW w:w="2088" w:type="dxa"/>
            <w:tcBorders>
              <w:top w:val="single" w:sz="6" w:space="0" w:color="auto"/>
              <w:left w:val="single" w:sz="6" w:space="0" w:color="auto"/>
              <w:bottom w:val="single" w:sz="6" w:space="0" w:color="auto"/>
              <w:right w:val="single" w:sz="6" w:space="0" w:color="auto"/>
            </w:tcBorders>
          </w:tcPr>
          <w:p w14:paraId="3168F905"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20 a 50</w:t>
            </w:r>
          </w:p>
        </w:tc>
        <w:tc>
          <w:tcPr>
            <w:tcW w:w="1620" w:type="dxa"/>
            <w:tcBorders>
              <w:top w:val="single" w:sz="6" w:space="0" w:color="auto"/>
              <w:left w:val="single" w:sz="6" w:space="0" w:color="auto"/>
              <w:bottom w:val="single" w:sz="6" w:space="0" w:color="auto"/>
              <w:right w:val="single" w:sz="6" w:space="0" w:color="auto"/>
            </w:tcBorders>
          </w:tcPr>
          <w:p w14:paraId="2325F3E8"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50.0</w:t>
            </w:r>
          </w:p>
        </w:tc>
      </w:tr>
      <w:tr w:rsidR="00A74CDF" w:rsidRPr="00F01347" w14:paraId="4CFF9E20" w14:textId="77777777">
        <w:trPr>
          <w:trHeight w:val="144"/>
        </w:trPr>
        <w:tc>
          <w:tcPr>
            <w:tcW w:w="2088" w:type="dxa"/>
            <w:tcBorders>
              <w:top w:val="single" w:sz="6" w:space="0" w:color="auto"/>
              <w:left w:val="single" w:sz="6" w:space="0" w:color="auto"/>
              <w:bottom w:val="single" w:sz="6" w:space="0" w:color="auto"/>
              <w:right w:val="single" w:sz="6" w:space="0" w:color="auto"/>
            </w:tcBorders>
          </w:tcPr>
          <w:p w14:paraId="76AE6BCF"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50 a 100</w:t>
            </w:r>
          </w:p>
        </w:tc>
        <w:tc>
          <w:tcPr>
            <w:tcW w:w="1620" w:type="dxa"/>
            <w:tcBorders>
              <w:top w:val="single" w:sz="6" w:space="0" w:color="auto"/>
              <w:left w:val="single" w:sz="6" w:space="0" w:color="auto"/>
              <w:bottom w:val="single" w:sz="6" w:space="0" w:color="auto"/>
              <w:right w:val="single" w:sz="6" w:space="0" w:color="auto"/>
            </w:tcBorders>
          </w:tcPr>
          <w:p w14:paraId="1C6AEC80" w14:textId="77777777" w:rsidR="00A74CDF" w:rsidRPr="00F01347" w:rsidRDefault="00A74CDF" w:rsidP="003A601B">
            <w:pPr>
              <w:pStyle w:val="texto0"/>
              <w:spacing w:line="220" w:lineRule="exact"/>
              <w:ind w:firstLine="0"/>
              <w:jc w:val="center"/>
              <w:rPr>
                <w:rFonts w:ascii="Verdana" w:hAnsi="Verdana"/>
                <w:sz w:val="16"/>
                <w:szCs w:val="16"/>
              </w:rPr>
            </w:pPr>
            <w:r w:rsidRPr="00F01347">
              <w:rPr>
                <w:rFonts w:ascii="Verdana" w:hAnsi="Verdana"/>
                <w:sz w:val="16"/>
                <w:szCs w:val="16"/>
              </w:rPr>
              <w:t>25.0</w:t>
            </w:r>
          </w:p>
        </w:tc>
      </w:tr>
    </w:tbl>
    <w:p w14:paraId="0562113D" w14:textId="77777777" w:rsidR="00A74CDF" w:rsidRPr="00F01347" w:rsidRDefault="00A74CDF" w:rsidP="003A601B">
      <w:pPr>
        <w:pStyle w:val="texto0"/>
        <w:spacing w:line="220" w:lineRule="exact"/>
        <w:rPr>
          <w:rFonts w:ascii="Verdana" w:hAnsi="Verdana"/>
          <w:b/>
          <w:sz w:val="16"/>
          <w:szCs w:val="16"/>
        </w:rPr>
      </w:pPr>
    </w:p>
    <w:p w14:paraId="475A46CE" w14:textId="77777777" w:rsidR="008D2361" w:rsidRPr="00F01347" w:rsidRDefault="008D2361" w:rsidP="008D2361">
      <w:pPr>
        <w:pStyle w:val="texto0"/>
        <w:spacing w:line="220" w:lineRule="exact"/>
        <w:rPr>
          <w:rFonts w:ascii="Verdana" w:hAnsi="Verdana"/>
          <w:sz w:val="16"/>
          <w:szCs w:val="16"/>
          <w:lang w:val="en"/>
        </w:rPr>
      </w:pPr>
    </w:p>
    <w:tbl>
      <w:tblPr>
        <w:tblW w:w="3705" w:type="dxa"/>
        <w:tblInd w:w="2502" w:type="dxa"/>
        <w:tblLayout w:type="fixed"/>
        <w:tblCellMar>
          <w:left w:w="72" w:type="dxa"/>
          <w:right w:w="72" w:type="dxa"/>
        </w:tblCellMar>
        <w:tblLook w:val="04A0" w:firstRow="1" w:lastRow="0" w:firstColumn="1" w:lastColumn="0" w:noHBand="0" w:noVBand="1"/>
      </w:tblPr>
      <w:tblGrid>
        <w:gridCol w:w="2086"/>
        <w:gridCol w:w="1619"/>
      </w:tblGrid>
      <w:tr w:rsidR="008D2361" w:rsidRPr="00F01347" w14:paraId="5DED20C0" w14:textId="77777777" w:rsidTr="008D2361">
        <w:trPr>
          <w:trHeight w:val="144"/>
        </w:trPr>
        <w:tc>
          <w:tcPr>
            <w:tcW w:w="3708" w:type="dxa"/>
            <w:gridSpan w:val="2"/>
            <w:tcBorders>
              <w:top w:val="nil"/>
              <w:left w:val="nil"/>
              <w:bottom w:val="single" w:sz="6" w:space="0" w:color="auto"/>
              <w:right w:val="nil"/>
            </w:tcBorders>
            <w:noWrap/>
            <w:hideMark/>
          </w:tcPr>
          <w:p w14:paraId="6D5B2D7E" w14:textId="77777777" w:rsidR="008D2361" w:rsidRPr="00F01347" w:rsidRDefault="008D2361">
            <w:pPr>
              <w:pStyle w:val="texto0"/>
              <w:spacing w:line="220" w:lineRule="exact"/>
              <w:ind w:firstLine="0"/>
              <w:jc w:val="center"/>
              <w:rPr>
                <w:rFonts w:ascii="Verdana" w:hAnsi="Verdana"/>
                <w:sz w:val="16"/>
                <w:szCs w:val="16"/>
                <w:lang w:val="en-US"/>
              </w:rPr>
            </w:pPr>
            <w:r w:rsidRPr="00F01347">
              <w:rPr>
                <w:rFonts w:ascii="Verdana" w:hAnsi="Verdana"/>
                <w:b/>
                <w:sz w:val="16"/>
                <w:szCs w:val="16"/>
                <w:lang w:val="en-US"/>
              </w:rPr>
              <w:t xml:space="preserve">Table B.7.1-1. </w:t>
            </w:r>
            <w:r w:rsidRPr="00F01347">
              <w:rPr>
                <w:rFonts w:ascii="Verdana" w:hAnsi="Verdana"/>
                <w:sz w:val="16"/>
                <w:szCs w:val="16"/>
                <w:lang w:val="en-US"/>
              </w:rPr>
              <w:t>Sample volume for the distillation-titration method</w:t>
            </w:r>
          </w:p>
        </w:tc>
      </w:tr>
      <w:tr w:rsidR="008D2361" w:rsidRPr="00F01347" w14:paraId="24088491" w14:textId="77777777" w:rsidTr="008D2361">
        <w:trPr>
          <w:trHeight w:val="144"/>
        </w:trPr>
        <w:tc>
          <w:tcPr>
            <w:tcW w:w="2088" w:type="dxa"/>
            <w:tcBorders>
              <w:top w:val="single" w:sz="6" w:space="0" w:color="auto"/>
              <w:left w:val="single" w:sz="6" w:space="0" w:color="auto"/>
              <w:bottom w:val="single" w:sz="6" w:space="0" w:color="auto"/>
              <w:right w:val="single" w:sz="6" w:space="0" w:color="auto"/>
            </w:tcBorders>
            <w:hideMark/>
          </w:tcPr>
          <w:p w14:paraId="6D0E47D4" w14:textId="77777777" w:rsidR="008D2361" w:rsidRPr="00F01347" w:rsidRDefault="008D2361">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Ammoniacal nitrogen in the sample</w:t>
            </w:r>
          </w:p>
          <w:p w14:paraId="57E6874D" w14:textId="77777777" w:rsidR="008D2361" w:rsidRPr="00F01347" w:rsidRDefault="008D2361">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(mg/L)</w:t>
            </w:r>
          </w:p>
        </w:tc>
        <w:tc>
          <w:tcPr>
            <w:tcW w:w="1620" w:type="dxa"/>
            <w:tcBorders>
              <w:top w:val="single" w:sz="6" w:space="0" w:color="auto"/>
              <w:left w:val="single" w:sz="6" w:space="0" w:color="auto"/>
              <w:bottom w:val="single" w:sz="6" w:space="0" w:color="auto"/>
              <w:right w:val="single" w:sz="6" w:space="0" w:color="auto"/>
            </w:tcBorders>
            <w:hideMark/>
          </w:tcPr>
          <w:p w14:paraId="41E17568" w14:textId="77777777" w:rsidR="008D2361" w:rsidRPr="00F01347" w:rsidRDefault="008D2361">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Sample volume</w:t>
            </w:r>
          </w:p>
          <w:p w14:paraId="0161E7DC" w14:textId="1396F86F" w:rsidR="008D2361" w:rsidRPr="00F01347" w:rsidRDefault="00CB209C">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w:t>
            </w:r>
            <w:r w:rsidR="008D2361" w:rsidRPr="00F01347">
              <w:rPr>
                <w:rFonts w:ascii="Verdana" w:hAnsi="Verdana"/>
                <w:b/>
                <w:sz w:val="16"/>
                <w:szCs w:val="16"/>
                <w:lang w:val="en-US"/>
              </w:rPr>
              <w:t>mL</w:t>
            </w:r>
            <w:r w:rsidR="00913802" w:rsidRPr="00F01347">
              <w:rPr>
                <w:rFonts w:ascii="Verdana" w:hAnsi="Verdana"/>
                <w:b/>
                <w:sz w:val="16"/>
                <w:szCs w:val="16"/>
                <w:lang w:val="en-US"/>
              </w:rPr>
              <w:t>)</w:t>
            </w:r>
          </w:p>
        </w:tc>
      </w:tr>
      <w:tr w:rsidR="008D2361" w:rsidRPr="00F01347" w14:paraId="6EB08798" w14:textId="77777777" w:rsidTr="008D2361">
        <w:trPr>
          <w:trHeight w:val="144"/>
        </w:trPr>
        <w:tc>
          <w:tcPr>
            <w:tcW w:w="2088" w:type="dxa"/>
            <w:tcBorders>
              <w:top w:val="single" w:sz="6" w:space="0" w:color="auto"/>
              <w:left w:val="single" w:sz="6" w:space="0" w:color="auto"/>
              <w:bottom w:val="single" w:sz="6" w:space="0" w:color="auto"/>
              <w:right w:val="single" w:sz="6" w:space="0" w:color="auto"/>
            </w:tcBorders>
            <w:hideMark/>
          </w:tcPr>
          <w:p w14:paraId="75D27781" w14:textId="77777777" w:rsidR="008D2361" w:rsidRPr="00F01347" w:rsidRDefault="008D2361">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5 to 10</w:t>
            </w:r>
          </w:p>
        </w:tc>
        <w:tc>
          <w:tcPr>
            <w:tcW w:w="1620" w:type="dxa"/>
            <w:tcBorders>
              <w:top w:val="single" w:sz="6" w:space="0" w:color="auto"/>
              <w:left w:val="single" w:sz="6" w:space="0" w:color="auto"/>
              <w:bottom w:val="single" w:sz="6" w:space="0" w:color="auto"/>
              <w:right w:val="single" w:sz="6" w:space="0" w:color="auto"/>
            </w:tcBorders>
            <w:hideMark/>
          </w:tcPr>
          <w:p w14:paraId="263F8A7C" w14:textId="77777777" w:rsidR="008D2361" w:rsidRPr="00F01347" w:rsidRDefault="008D2361">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250</w:t>
            </w:r>
          </w:p>
        </w:tc>
      </w:tr>
      <w:tr w:rsidR="008D2361" w:rsidRPr="00F01347" w14:paraId="66F94EA1" w14:textId="77777777" w:rsidTr="008D2361">
        <w:trPr>
          <w:trHeight w:val="144"/>
        </w:trPr>
        <w:tc>
          <w:tcPr>
            <w:tcW w:w="2088" w:type="dxa"/>
            <w:tcBorders>
              <w:top w:val="single" w:sz="6" w:space="0" w:color="auto"/>
              <w:left w:val="single" w:sz="6" w:space="0" w:color="auto"/>
              <w:bottom w:val="single" w:sz="6" w:space="0" w:color="auto"/>
              <w:right w:val="single" w:sz="6" w:space="0" w:color="auto"/>
            </w:tcBorders>
            <w:hideMark/>
          </w:tcPr>
          <w:p w14:paraId="054EB62D" w14:textId="77777777" w:rsidR="008D2361" w:rsidRPr="00F01347" w:rsidRDefault="008D2361">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10 to 20</w:t>
            </w:r>
          </w:p>
        </w:tc>
        <w:tc>
          <w:tcPr>
            <w:tcW w:w="1620" w:type="dxa"/>
            <w:tcBorders>
              <w:top w:val="single" w:sz="6" w:space="0" w:color="auto"/>
              <w:left w:val="single" w:sz="6" w:space="0" w:color="auto"/>
              <w:bottom w:val="single" w:sz="6" w:space="0" w:color="auto"/>
              <w:right w:val="single" w:sz="6" w:space="0" w:color="auto"/>
            </w:tcBorders>
            <w:hideMark/>
          </w:tcPr>
          <w:p w14:paraId="37AF9BD0" w14:textId="77777777" w:rsidR="008D2361" w:rsidRPr="00F01347" w:rsidRDefault="008D2361">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100</w:t>
            </w:r>
          </w:p>
        </w:tc>
      </w:tr>
      <w:tr w:rsidR="008D2361" w:rsidRPr="00F01347" w14:paraId="09ED3A01" w14:textId="77777777" w:rsidTr="008D2361">
        <w:trPr>
          <w:trHeight w:val="144"/>
        </w:trPr>
        <w:tc>
          <w:tcPr>
            <w:tcW w:w="2088" w:type="dxa"/>
            <w:tcBorders>
              <w:top w:val="single" w:sz="6" w:space="0" w:color="auto"/>
              <w:left w:val="single" w:sz="6" w:space="0" w:color="auto"/>
              <w:bottom w:val="single" w:sz="6" w:space="0" w:color="auto"/>
              <w:right w:val="single" w:sz="6" w:space="0" w:color="auto"/>
            </w:tcBorders>
            <w:hideMark/>
          </w:tcPr>
          <w:p w14:paraId="054A6F0D" w14:textId="77777777" w:rsidR="008D2361" w:rsidRPr="00F01347" w:rsidRDefault="008D2361">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20 to 50</w:t>
            </w:r>
          </w:p>
        </w:tc>
        <w:tc>
          <w:tcPr>
            <w:tcW w:w="1620" w:type="dxa"/>
            <w:tcBorders>
              <w:top w:val="single" w:sz="6" w:space="0" w:color="auto"/>
              <w:left w:val="single" w:sz="6" w:space="0" w:color="auto"/>
              <w:bottom w:val="single" w:sz="6" w:space="0" w:color="auto"/>
              <w:right w:val="single" w:sz="6" w:space="0" w:color="auto"/>
            </w:tcBorders>
            <w:hideMark/>
          </w:tcPr>
          <w:p w14:paraId="1393032B" w14:textId="77777777" w:rsidR="008D2361" w:rsidRPr="00F01347" w:rsidRDefault="008D2361">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50.0</w:t>
            </w:r>
          </w:p>
        </w:tc>
      </w:tr>
      <w:tr w:rsidR="008D2361" w:rsidRPr="00F01347" w14:paraId="37052A7D" w14:textId="77777777" w:rsidTr="008D2361">
        <w:trPr>
          <w:trHeight w:val="144"/>
        </w:trPr>
        <w:tc>
          <w:tcPr>
            <w:tcW w:w="2088" w:type="dxa"/>
            <w:tcBorders>
              <w:top w:val="single" w:sz="6" w:space="0" w:color="auto"/>
              <w:left w:val="single" w:sz="6" w:space="0" w:color="auto"/>
              <w:bottom w:val="single" w:sz="6" w:space="0" w:color="auto"/>
              <w:right w:val="single" w:sz="6" w:space="0" w:color="auto"/>
            </w:tcBorders>
            <w:hideMark/>
          </w:tcPr>
          <w:p w14:paraId="6CD6E05F" w14:textId="77777777" w:rsidR="008D2361" w:rsidRPr="00F01347" w:rsidRDefault="008D2361">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50 to 100</w:t>
            </w:r>
          </w:p>
        </w:tc>
        <w:tc>
          <w:tcPr>
            <w:tcW w:w="1620" w:type="dxa"/>
            <w:tcBorders>
              <w:top w:val="single" w:sz="6" w:space="0" w:color="auto"/>
              <w:left w:val="single" w:sz="6" w:space="0" w:color="auto"/>
              <w:bottom w:val="single" w:sz="6" w:space="0" w:color="auto"/>
              <w:right w:val="single" w:sz="6" w:space="0" w:color="auto"/>
            </w:tcBorders>
            <w:hideMark/>
          </w:tcPr>
          <w:p w14:paraId="0A6A9C91" w14:textId="77777777" w:rsidR="008D2361" w:rsidRPr="00F01347" w:rsidRDefault="008D2361">
            <w:pPr>
              <w:pStyle w:val="texto0"/>
              <w:spacing w:line="220" w:lineRule="exact"/>
              <w:ind w:firstLine="0"/>
              <w:jc w:val="center"/>
              <w:rPr>
                <w:rFonts w:ascii="Verdana" w:hAnsi="Verdana"/>
                <w:sz w:val="16"/>
                <w:szCs w:val="16"/>
                <w:lang w:val="en-US"/>
              </w:rPr>
            </w:pPr>
            <w:r w:rsidRPr="00F01347">
              <w:rPr>
                <w:rFonts w:ascii="Verdana" w:hAnsi="Verdana"/>
                <w:sz w:val="16"/>
                <w:szCs w:val="16"/>
                <w:lang w:val="en-US"/>
              </w:rPr>
              <w:t>25.0</w:t>
            </w:r>
          </w:p>
        </w:tc>
      </w:tr>
    </w:tbl>
    <w:p w14:paraId="5C3BBFA5" w14:textId="77777777" w:rsidR="008D2361" w:rsidRPr="00F01347" w:rsidRDefault="008D2361" w:rsidP="008D2361">
      <w:pPr>
        <w:pStyle w:val="texto0"/>
        <w:spacing w:line="220"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D2361" w:rsidRPr="00F01347" w14:paraId="30720136" w14:textId="0F30E8D9" w:rsidTr="00FE21E4">
        <w:tc>
          <w:tcPr>
            <w:tcW w:w="4675" w:type="dxa"/>
          </w:tcPr>
          <w:p w14:paraId="6DC818F3" w14:textId="77777777" w:rsidR="008D2361" w:rsidRPr="00F01347" w:rsidRDefault="008D2361" w:rsidP="008D2361">
            <w:pPr>
              <w:pStyle w:val="texto0"/>
              <w:spacing w:line="220" w:lineRule="exact"/>
              <w:ind w:firstLine="0"/>
              <w:rPr>
                <w:rFonts w:ascii="Verdana" w:hAnsi="Verdana"/>
                <w:b/>
                <w:sz w:val="16"/>
                <w:szCs w:val="16"/>
              </w:rPr>
            </w:pPr>
            <w:r w:rsidRPr="00F01347">
              <w:rPr>
                <w:rFonts w:ascii="Verdana" w:hAnsi="Verdana"/>
                <w:b/>
                <w:sz w:val="16"/>
                <w:szCs w:val="16"/>
              </w:rPr>
              <w:t>B.7.1.5.2 Procedimiento analítico</w:t>
            </w:r>
          </w:p>
        </w:tc>
        <w:tc>
          <w:tcPr>
            <w:tcW w:w="4675" w:type="dxa"/>
          </w:tcPr>
          <w:p w14:paraId="626196B6" w14:textId="761ADF64" w:rsidR="008D2361" w:rsidRPr="00F01347" w:rsidRDefault="008D2361" w:rsidP="008D2361">
            <w:pPr>
              <w:pStyle w:val="texto0"/>
              <w:spacing w:line="220" w:lineRule="exact"/>
              <w:ind w:firstLine="0"/>
              <w:rPr>
                <w:rFonts w:ascii="Verdana" w:hAnsi="Verdana"/>
                <w:b/>
                <w:sz w:val="16"/>
                <w:szCs w:val="16"/>
                <w:lang w:val="en-US"/>
              </w:rPr>
            </w:pPr>
            <w:r w:rsidRPr="00F01347">
              <w:rPr>
                <w:rFonts w:ascii="Verdana" w:hAnsi="Verdana"/>
                <w:b/>
                <w:sz w:val="16"/>
                <w:szCs w:val="16"/>
                <w:lang w:val="en-US"/>
              </w:rPr>
              <w:t>B.7.1.5.2 Analytical procedure</w:t>
            </w:r>
          </w:p>
        </w:tc>
      </w:tr>
      <w:tr w:rsidR="008D2361" w:rsidRPr="00F01347" w14:paraId="018EA6DE" w14:textId="3D9121C5" w:rsidTr="00FE21E4">
        <w:tc>
          <w:tcPr>
            <w:tcW w:w="4675" w:type="dxa"/>
          </w:tcPr>
          <w:p w14:paraId="20A553DA" w14:textId="77777777" w:rsidR="008D2361" w:rsidRPr="00F01347" w:rsidRDefault="008D2361" w:rsidP="008D2361">
            <w:pPr>
              <w:pStyle w:val="texto0"/>
              <w:spacing w:line="220" w:lineRule="exact"/>
              <w:ind w:firstLine="0"/>
              <w:rPr>
                <w:rFonts w:ascii="Verdana" w:hAnsi="Verdana"/>
                <w:sz w:val="16"/>
                <w:szCs w:val="16"/>
              </w:rPr>
            </w:pPr>
            <w:r w:rsidRPr="00F01347">
              <w:rPr>
                <w:rFonts w:ascii="Verdana" w:hAnsi="Verdana"/>
                <w:sz w:val="16"/>
                <w:szCs w:val="16"/>
              </w:rPr>
              <w:t>Llevar a cabo la destilación (punto B.7.5, de este Apéndice) utilizando una disolución indicadora de ácido bórico como absorbente para el destilado.</w:t>
            </w:r>
          </w:p>
        </w:tc>
        <w:tc>
          <w:tcPr>
            <w:tcW w:w="4675" w:type="dxa"/>
          </w:tcPr>
          <w:p w14:paraId="03C96387" w14:textId="7FF8E920" w:rsidR="008D2361" w:rsidRPr="00F01347" w:rsidRDefault="008D2361" w:rsidP="008D2361">
            <w:pPr>
              <w:pStyle w:val="texto0"/>
              <w:spacing w:line="220" w:lineRule="exact"/>
              <w:ind w:firstLine="0"/>
              <w:rPr>
                <w:rFonts w:ascii="Verdana" w:hAnsi="Verdana"/>
                <w:sz w:val="16"/>
                <w:szCs w:val="16"/>
                <w:lang w:val="en-US"/>
              </w:rPr>
            </w:pPr>
            <w:r w:rsidRPr="00F01347">
              <w:rPr>
                <w:rFonts w:ascii="Verdana" w:hAnsi="Verdana"/>
                <w:sz w:val="16"/>
                <w:szCs w:val="16"/>
                <w:lang w:val="en-US"/>
              </w:rPr>
              <w:t>Carry out the distillation (point B.7.5, of this Appendix) using an indicator solution of boric acid as an absorbent for the distillate.</w:t>
            </w:r>
          </w:p>
        </w:tc>
      </w:tr>
      <w:tr w:rsidR="008D2361" w:rsidRPr="00F01347" w14:paraId="3298BA7D" w14:textId="7C570CE4" w:rsidTr="00FE21E4">
        <w:tc>
          <w:tcPr>
            <w:tcW w:w="4675" w:type="dxa"/>
          </w:tcPr>
          <w:p w14:paraId="58A44FDD" w14:textId="77777777" w:rsidR="008D2361" w:rsidRPr="00F01347" w:rsidRDefault="008D2361" w:rsidP="008D2361">
            <w:pPr>
              <w:pStyle w:val="texto0"/>
              <w:spacing w:line="220" w:lineRule="exact"/>
              <w:ind w:firstLine="0"/>
              <w:rPr>
                <w:rFonts w:ascii="Verdana" w:hAnsi="Verdana"/>
                <w:sz w:val="16"/>
                <w:szCs w:val="16"/>
              </w:rPr>
            </w:pPr>
            <w:r w:rsidRPr="00F01347">
              <w:rPr>
                <w:rFonts w:ascii="Verdana" w:hAnsi="Verdana"/>
                <w:sz w:val="16"/>
                <w:szCs w:val="16"/>
              </w:rPr>
              <w:t>Titular el amoniaco en el destilado con un titulante estándar 0.02N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hasta que el indicador vire a un </w:t>
            </w:r>
            <w:proofErr w:type="gramStart"/>
            <w:r w:rsidRPr="00F01347">
              <w:rPr>
                <w:rFonts w:ascii="Verdana" w:hAnsi="Verdana"/>
                <w:sz w:val="16"/>
                <w:szCs w:val="16"/>
              </w:rPr>
              <w:t>lavanda pálido</w:t>
            </w:r>
            <w:proofErr w:type="gramEnd"/>
            <w:r w:rsidRPr="00F01347">
              <w:rPr>
                <w:rFonts w:ascii="Verdana" w:hAnsi="Verdana"/>
                <w:sz w:val="16"/>
                <w:szCs w:val="16"/>
              </w:rPr>
              <w:t>.</w:t>
            </w:r>
          </w:p>
        </w:tc>
        <w:tc>
          <w:tcPr>
            <w:tcW w:w="4675" w:type="dxa"/>
          </w:tcPr>
          <w:p w14:paraId="329683A9" w14:textId="5411FD3F" w:rsidR="008D2361" w:rsidRPr="00F01347" w:rsidRDefault="00FE21E4" w:rsidP="008D2361">
            <w:pPr>
              <w:pStyle w:val="texto0"/>
              <w:spacing w:line="220" w:lineRule="exact"/>
              <w:ind w:firstLine="0"/>
              <w:rPr>
                <w:rFonts w:ascii="Verdana" w:hAnsi="Verdana"/>
                <w:sz w:val="16"/>
                <w:szCs w:val="16"/>
                <w:lang w:val="en-US"/>
              </w:rPr>
            </w:pPr>
            <w:r w:rsidRPr="00F01347">
              <w:rPr>
                <w:rFonts w:ascii="Verdana" w:hAnsi="Verdana"/>
                <w:sz w:val="16"/>
                <w:szCs w:val="16"/>
                <w:lang w:val="en-US"/>
              </w:rPr>
              <w:t>Titrate the ammonia in the distillate with a standard 0.02N H2SO4 titrant until the indicator turns a pale lavender.</w:t>
            </w:r>
          </w:p>
        </w:tc>
      </w:tr>
      <w:tr w:rsidR="008D2361" w:rsidRPr="00F01347" w14:paraId="630420CC" w14:textId="6056D969" w:rsidTr="00FE21E4">
        <w:tc>
          <w:tcPr>
            <w:tcW w:w="4675" w:type="dxa"/>
          </w:tcPr>
          <w:p w14:paraId="28370D40" w14:textId="77777777" w:rsidR="008D2361" w:rsidRPr="00F01347" w:rsidRDefault="008D2361" w:rsidP="008D2361">
            <w:pPr>
              <w:pStyle w:val="texto0"/>
              <w:ind w:firstLine="0"/>
              <w:rPr>
                <w:rFonts w:ascii="Verdana" w:hAnsi="Verdana"/>
                <w:sz w:val="16"/>
                <w:szCs w:val="16"/>
              </w:rPr>
            </w:pPr>
            <w:r w:rsidRPr="00F01347">
              <w:rPr>
                <w:rFonts w:ascii="Verdana" w:hAnsi="Verdana"/>
                <w:sz w:val="16"/>
                <w:szCs w:val="16"/>
              </w:rPr>
              <w:lastRenderedPageBreak/>
              <w:t>Llevar un blanco a través de todos los pasos del procedimiento y aplicar la corrección necesaria a los resultados.</w:t>
            </w:r>
          </w:p>
        </w:tc>
        <w:tc>
          <w:tcPr>
            <w:tcW w:w="4675" w:type="dxa"/>
          </w:tcPr>
          <w:p w14:paraId="7EDF8907" w14:textId="2736E96C" w:rsidR="008D2361" w:rsidRPr="00F01347" w:rsidRDefault="008D2361" w:rsidP="008D2361">
            <w:pPr>
              <w:pStyle w:val="texto0"/>
              <w:ind w:firstLine="0"/>
              <w:rPr>
                <w:rFonts w:ascii="Verdana" w:hAnsi="Verdana"/>
                <w:sz w:val="16"/>
                <w:szCs w:val="16"/>
                <w:lang w:val="en-US"/>
              </w:rPr>
            </w:pPr>
            <w:r w:rsidRPr="00F01347">
              <w:rPr>
                <w:rFonts w:ascii="Verdana" w:hAnsi="Verdana"/>
                <w:sz w:val="16"/>
                <w:szCs w:val="16"/>
                <w:lang w:val="en-US"/>
              </w:rPr>
              <w:t>Take a blank through all steps of the procedure and apply the necessary correction to the results.</w:t>
            </w:r>
          </w:p>
        </w:tc>
      </w:tr>
      <w:tr w:rsidR="008D2361" w:rsidRPr="00F01347" w14:paraId="173A497E" w14:textId="045FB3B5" w:rsidTr="00FE21E4">
        <w:tc>
          <w:tcPr>
            <w:tcW w:w="4675" w:type="dxa"/>
          </w:tcPr>
          <w:p w14:paraId="306B1611" w14:textId="77777777" w:rsidR="008D2361" w:rsidRPr="00F01347" w:rsidRDefault="008D2361" w:rsidP="008D2361">
            <w:pPr>
              <w:pStyle w:val="texto0"/>
              <w:ind w:firstLine="0"/>
              <w:rPr>
                <w:rFonts w:ascii="Verdana" w:hAnsi="Verdana"/>
                <w:b/>
                <w:sz w:val="16"/>
                <w:szCs w:val="16"/>
              </w:rPr>
            </w:pPr>
            <w:r w:rsidRPr="00F01347">
              <w:rPr>
                <w:rFonts w:ascii="Verdana" w:hAnsi="Verdana"/>
                <w:b/>
                <w:sz w:val="16"/>
                <w:szCs w:val="16"/>
              </w:rPr>
              <w:t>B.7.1.5.3 Análisis de datos y cálculos</w:t>
            </w:r>
          </w:p>
        </w:tc>
        <w:tc>
          <w:tcPr>
            <w:tcW w:w="4675" w:type="dxa"/>
          </w:tcPr>
          <w:p w14:paraId="667DCF4A" w14:textId="00A5AC81" w:rsidR="008D2361" w:rsidRPr="00F01347" w:rsidRDefault="008D2361" w:rsidP="008D2361">
            <w:pPr>
              <w:pStyle w:val="texto0"/>
              <w:ind w:firstLine="0"/>
              <w:rPr>
                <w:rFonts w:ascii="Verdana" w:hAnsi="Verdana"/>
                <w:b/>
                <w:sz w:val="16"/>
                <w:szCs w:val="16"/>
                <w:lang w:val="en-US"/>
              </w:rPr>
            </w:pPr>
            <w:r w:rsidRPr="00F01347">
              <w:rPr>
                <w:rFonts w:ascii="Verdana" w:hAnsi="Verdana"/>
                <w:b/>
                <w:sz w:val="16"/>
                <w:szCs w:val="16"/>
                <w:lang w:val="en-US"/>
              </w:rPr>
              <w:t>B.7.1.5.3 Data analysis and calculations</w:t>
            </w:r>
          </w:p>
        </w:tc>
      </w:tr>
      <w:tr w:rsidR="008D2361" w:rsidRPr="00F01347" w14:paraId="64219AB8" w14:textId="6A3BD925" w:rsidTr="00FE21E4">
        <w:tc>
          <w:tcPr>
            <w:tcW w:w="4675" w:type="dxa"/>
          </w:tcPr>
          <w:p w14:paraId="32222CE8" w14:textId="77777777" w:rsidR="008D2361" w:rsidRPr="00F01347" w:rsidRDefault="008D2361" w:rsidP="008D2361">
            <w:pPr>
              <w:pStyle w:val="texto0"/>
              <w:ind w:firstLine="0"/>
              <w:rPr>
                <w:rFonts w:ascii="Verdana" w:hAnsi="Verdana"/>
                <w:sz w:val="16"/>
                <w:szCs w:val="16"/>
              </w:rPr>
            </w:pPr>
            <w:r w:rsidRPr="00F01347">
              <w:rPr>
                <w:rFonts w:ascii="Verdana" w:hAnsi="Verdana"/>
                <w:sz w:val="16"/>
                <w:szCs w:val="16"/>
              </w:rPr>
              <w:t>Calcular el nitrógeno amoniacal presente en las muestras utilizando la siguiente fórmula:</w:t>
            </w:r>
          </w:p>
        </w:tc>
        <w:tc>
          <w:tcPr>
            <w:tcW w:w="4675" w:type="dxa"/>
          </w:tcPr>
          <w:p w14:paraId="150661FF" w14:textId="6ED7834A" w:rsidR="008D2361" w:rsidRPr="00F01347" w:rsidRDefault="008D2361" w:rsidP="008D2361">
            <w:pPr>
              <w:pStyle w:val="texto0"/>
              <w:ind w:firstLine="0"/>
              <w:rPr>
                <w:rFonts w:ascii="Verdana" w:hAnsi="Verdana"/>
                <w:sz w:val="16"/>
                <w:szCs w:val="16"/>
                <w:lang w:val="en-US"/>
              </w:rPr>
            </w:pPr>
            <w:r w:rsidRPr="00F01347">
              <w:rPr>
                <w:rFonts w:ascii="Verdana" w:hAnsi="Verdana"/>
                <w:sz w:val="16"/>
                <w:szCs w:val="16"/>
                <w:lang w:val="en-US"/>
              </w:rPr>
              <w:t>Calculate the ammoniacal nitrogen present in the samples using the following formula:</w:t>
            </w:r>
          </w:p>
        </w:tc>
      </w:tr>
    </w:tbl>
    <w:p w14:paraId="1CCFDD94" w14:textId="77777777" w:rsidR="0055757A" w:rsidRPr="00F01347" w:rsidRDefault="0055757A" w:rsidP="003A601B">
      <w:pPr>
        <w:pStyle w:val="texto0"/>
        <w:rPr>
          <w:rFonts w:ascii="Verdana" w:hAnsi="Verdana"/>
          <w:sz w:val="16"/>
          <w:szCs w:val="16"/>
          <w:lang w:val="en-US"/>
        </w:rPr>
      </w:pPr>
    </w:p>
    <w:p w14:paraId="6E082A72" w14:textId="3C173BF6" w:rsidR="00A74CDF" w:rsidRPr="00F01347" w:rsidRDefault="00471638" w:rsidP="00FE21E4">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67BD0E12" wp14:editId="3C73A895">
            <wp:extent cx="2124075" cy="323850"/>
            <wp:effectExtent l="0" t="0" r="0" b="0"/>
            <wp:docPr id="48"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24075" cy="323850"/>
                    </a:xfrm>
                    <a:prstGeom prst="rect">
                      <a:avLst/>
                    </a:prstGeom>
                    <a:noFill/>
                    <a:ln>
                      <a:noFill/>
                    </a:ln>
                  </pic:spPr>
                </pic:pic>
              </a:graphicData>
            </a:graphic>
          </wp:inline>
        </w:drawing>
      </w:r>
    </w:p>
    <w:p w14:paraId="71FFEB25" w14:textId="78D0D598" w:rsidR="009E6861" w:rsidRPr="00F01347" w:rsidRDefault="009E6861" w:rsidP="00FE21E4">
      <w:pPr>
        <w:pStyle w:val="texto0"/>
        <w:spacing w:line="240" w:lineRule="auto"/>
        <w:ind w:left="630" w:firstLine="0"/>
        <w:jc w:val="center"/>
        <w:rPr>
          <w:rFonts w:ascii="Verdana" w:hAnsi="Verdana"/>
          <w:sz w:val="16"/>
          <w:szCs w:val="16"/>
        </w:rPr>
      </w:pPr>
      <w:r w:rsidRPr="00F01347">
        <w:rPr>
          <w:noProof/>
        </w:rPr>
        <w:drawing>
          <wp:inline distT="0" distB="0" distL="0" distR="0" wp14:anchorId="7E9F1A08" wp14:editId="43A169DA">
            <wp:extent cx="2207626" cy="475488"/>
            <wp:effectExtent l="0" t="0" r="2540" b="1270"/>
            <wp:docPr id="18019521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52114" name="Picture 1" descr="A screenshot of a computer&#10;&#10;Description automatically generated"/>
                    <pic:cNvPicPr/>
                  </pic:nvPicPr>
                  <pic:blipFill rotWithShape="1">
                    <a:blip r:embed="rId72"/>
                    <a:srcRect l="22769" t="35738" r="57228" b="56603"/>
                    <a:stretch/>
                  </pic:blipFill>
                  <pic:spPr bwMode="auto">
                    <a:xfrm>
                      <a:off x="0" y="0"/>
                      <a:ext cx="2237586" cy="48194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70763" w:rsidRPr="00F01347" w14:paraId="3532A18C" w14:textId="10499D15" w:rsidTr="009E6861">
        <w:tc>
          <w:tcPr>
            <w:tcW w:w="4675" w:type="dxa"/>
          </w:tcPr>
          <w:p w14:paraId="3436CBBB" w14:textId="77777777" w:rsidR="00F70763" w:rsidRPr="00F01347" w:rsidRDefault="00F70763" w:rsidP="00F70763">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731BDD62" w14:textId="5F3F021B" w:rsidR="00F70763" w:rsidRPr="00F01347" w:rsidRDefault="00F70763" w:rsidP="00F70763">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F70763" w:rsidRPr="00F01347" w14:paraId="3DB2B24A" w14:textId="2ED9E13A" w:rsidTr="009E6861">
        <w:tc>
          <w:tcPr>
            <w:tcW w:w="4675" w:type="dxa"/>
          </w:tcPr>
          <w:p w14:paraId="726C3ED0" w14:textId="77777777" w:rsidR="00F70763" w:rsidRPr="00F01347" w:rsidRDefault="00F70763" w:rsidP="00F70763">
            <w:pPr>
              <w:pStyle w:val="texto0"/>
              <w:ind w:firstLine="0"/>
              <w:rPr>
                <w:rFonts w:ascii="Verdana" w:hAnsi="Verdana"/>
                <w:sz w:val="16"/>
                <w:szCs w:val="16"/>
              </w:rPr>
            </w:pPr>
            <w:r w:rsidRPr="00F01347">
              <w:rPr>
                <w:rFonts w:ascii="Verdana" w:hAnsi="Verdana"/>
                <w:sz w:val="16"/>
                <w:szCs w:val="16"/>
              </w:rPr>
              <w:t>A</w:t>
            </w:r>
            <w:r w:rsidRPr="00F01347">
              <w:rPr>
                <w:rFonts w:ascii="Verdana" w:hAnsi="Verdana"/>
                <w:sz w:val="16"/>
                <w:szCs w:val="16"/>
              </w:rPr>
              <w:tab/>
              <w:t>volumen de H2SO4 titulado en la muestra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77A22D62" w14:textId="2DA20831" w:rsidR="00F70763" w:rsidRPr="00F01347" w:rsidRDefault="00F70763" w:rsidP="00F70763">
            <w:pPr>
              <w:pStyle w:val="texto0"/>
              <w:ind w:firstLine="0"/>
              <w:rPr>
                <w:rFonts w:ascii="Verdana" w:hAnsi="Verdana"/>
                <w:sz w:val="16"/>
                <w:szCs w:val="16"/>
                <w:lang w:val="en-US"/>
              </w:rPr>
            </w:pPr>
            <w:r w:rsidRPr="00F01347">
              <w:rPr>
                <w:rFonts w:ascii="Verdana" w:hAnsi="Verdana"/>
                <w:sz w:val="16"/>
                <w:szCs w:val="16"/>
                <w:lang w:val="en-US"/>
              </w:rPr>
              <w:t xml:space="preserve">A </w:t>
            </w:r>
            <w:r w:rsidRPr="00F01347">
              <w:rPr>
                <w:rFonts w:ascii="Verdana" w:hAnsi="Verdana"/>
                <w:sz w:val="16"/>
                <w:szCs w:val="16"/>
                <w:lang w:val="en-US"/>
              </w:rPr>
              <w:tab/>
              <w:t xml:space="preserve">volume of H2SO4 titrated in the sample </w:t>
            </w:r>
            <w:r w:rsidR="00CB209C" w:rsidRPr="00F01347">
              <w:rPr>
                <w:rFonts w:ascii="Verdana" w:hAnsi="Verdana"/>
                <w:sz w:val="16"/>
                <w:szCs w:val="16"/>
                <w:lang w:val="en-US"/>
              </w:rPr>
              <w:t>(</w:t>
            </w:r>
            <w:r w:rsidRPr="00F01347">
              <w:rPr>
                <w:rFonts w:ascii="Verdana" w:hAnsi="Verdana"/>
                <w:sz w:val="16"/>
                <w:szCs w:val="16"/>
                <w:lang w:val="en-US"/>
              </w:rPr>
              <w:t>mL</w:t>
            </w:r>
            <w:r w:rsidR="00913802" w:rsidRPr="00F01347">
              <w:rPr>
                <w:rFonts w:ascii="Verdana" w:hAnsi="Verdana"/>
                <w:sz w:val="16"/>
                <w:szCs w:val="16"/>
                <w:lang w:val="en-US"/>
              </w:rPr>
              <w:t>)</w:t>
            </w:r>
          </w:p>
        </w:tc>
      </w:tr>
      <w:tr w:rsidR="00F70763" w:rsidRPr="00F01347" w14:paraId="2D8E78BE" w14:textId="160AC360" w:rsidTr="009E6861">
        <w:tc>
          <w:tcPr>
            <w:tcW w:w="4675" w:type="dxa"/>
          </w:tcPr>
          <w:p w14:paraId="0B6E9D20" w14:textId="77777777" w:rsidR="00F70763" w:rsidRPr="00F01347" w:rsidRDefault="00F70763" w:rsidP="00F70763">
            <w:pPr>
              <w:pStyle w:val="texto0"/>
              <w:ind w:firstLine="0"/>
              <w:rPr>
                <w:rFonts w:ascii="Verdana" w:hAnsi="Verdana"/>
                <w:sz w:val="16"/>
                <w:szCs w:val="16"/>
              </w:rPr>
            </w:pPr>
            <w:r w:rsidRPr="00F01347">
              <w:rPr>
                <w:rFonts w:ascii="Verdana" w:hAnsi="Verdana"/>
                <w:sz w:val="16"/>
                <w:szCs w:val="16"/>
              </w:rPr>
              <w:t>B</w:t>
            </w:r>
            <w:r w:rsidRPr="00F01347">
              <w:rPr>
                <w:rFonts w:ascii="Verdana" w:hAnsi="Verdana"/>
                <w:sz w:val="16"/>
                <w:szCs w:val="16"/>
              </w:rPr>
              <w:tab/>
              <w:t>volumen de H2SO4 titulado en el blanco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35F5F24C" w14:textId="582750B2" w:rsidR="00F70763" w:rsidRPr="00F01347" w:rsidRDefault="00F70763" w:rsidP="00F70763">
            <w:pPr>
              <w:pStyle w:val="texto0"/>
              <w:ind w:firstLine="0"/>
              <w:rPr>
                <w:rFonts w:ascii="Verdana" w:hAnsi="Verdana"/>
                <w:sz w:val="16"/>
                <w:szCs w:val="16"/>
                <w:lang w:val="en-US"/>
              </w:rPr>
            </w:pPr>
            <w:r w:rsidRPr="00F01347">
              <w:rPr>
                <w:rFonts w:ascii="Verdana" w:hAnsi="Verdana"/>
                <w:sz w:val="16"/>
                <w:szCs w:val="16"/>
                <w:lang w:val="en-US"/>
              </w:rPr>
              <w:t xml:space="preserve">B </w:t>
            </w:r>
            <w:r w:rsidRPr="00F01347">
              <w:rPr>
                <w:rFonts w:ascii="Verdana" w:hAnsi="Verdana"/>
                <w:sz w:val="16"/>
                <w:szCs w:val="16"/>
                <w:lang w:val="en-US"/>
              </w:rPr>
              <w:tab/>
              <w:t xml:space="preserve">volume of H2SO4 titrated in the blank </w:t>
            </w:r>
            <w:r w:rsidR="00CB209C" w:rsidRPr="00F01347">
              <w:rPr>
                <w:rFonts w:ascii="Verdana" w:hAnsi="Verdana"/>
                <w:sz w:val="16"/>
                <w:szCs w:val="16"/>
                <w:lang w:val="en-US"/>
              </w:rPr>
              <w:t>(</w:t>
            </w:r>
            <w:r w:rsidRPr="00F01347">
              <w:rPr>
                <w:rFonts w:ascii="Verdana" w:hAnsi="Verdana"/>
                <w:sz w:val="16"/>
                <w:szCs w:val="16"/>
                <w:lang w:val="en-US"/>
              </w:rPr>
              <w:t>mL</w:t>
            </w:r>
            <w:r w:rsidR="00913802" w:rsidRPr="00F01347">
              <w:rPr>
                <w:rFonts w:ascii="Verdana" w:hAnsi="Verdana"/>
                <w:sz w:val="16"/>
                <w:szCs w:val="16"/>
                <w:lang w:val="en-US"/>
              </w:rPr>
              <w:t>)</w:t>
            </w:r>
          </w:p>
        </w:tc>
      </w:tr>
      <w:tr w:rsidR="00F70763" w:rsidRPr="00F01347" w14:paraId="143BCFB4" w14:textId="3843DBBE" w:rsidTr="009E6861">
        <w:tc>
          <w:tcPr>
            <w:tcW w:w="4675" w:type="dxa"/>
          </w:tcPr>
          <w:p w14:paraId="4DBAD9A1" w14:textId="77777777" w:rsidR="00F70763" w:rsidRPr="00F01347" w:rsidRDefault="00F70763" w:rsidP="00F70763">
            <w:pPr>
              <w:pStyle w:val="texto0"/>
              <w:ind w:firstLine="0"/>
              <w:rPr>
                <w:rFonts w:ascii="Verdana" w:hAnsi="Verdana"/>
                <w:b/>
                <w:sz w:val="16"/>
                <w:szCs w:val="16"/>
              </w:rPr>
            </w:pPr>
            <w:r w:rsidRPr="00F01347">
              <w:rPr>
                <w:rFonts w:ascii="Verdana" w:hAnsi="Verdana"/>
                <w:b/>
                <w:sz w:val="16"/>
                <w:szCs w:val="16"/>
              </w:rPr>
              <w:t>B.7.1.5.4 Informe de prueba.</w:t>
            </w:r>
          </w:p>
        </w:tc>
        <w:tc>
          <w:tcPr>
            <w:tcW w:w="4675" w:type="dxa"/>
          </w:tcPr>
          <w:p w14:paraId="1E51D188" w14:textId="1905C474" w:rsidR="00F70763" w:rsidRPr="00F01347" w:rsidRDefault="00F70763" w:rsidP="00F70763">
            <w:pPr>
              <w:pStyle w:val="texto0"/>
              <w:ind w:firstLine="0"/>
              <w:rPr>
                <w:rFonts w:ascii="Verdana" w:hAnsi="Verdana"/>
                <w:b/>
                <w:sz w:val="16"/>
                <w:szCs w:val="16"/>
                <w:lang w:val="en-US"/>
              </w:rPr>
            </w:pPr>
            <w:r w:rsidRPr="00F01347">
              <w:rPr>
                <w:rFonts w:ascii="Verdana" w:hAnsi="Verdana"/>
                <w:b/>
                <w:sz w:val="16"/>
                <w:szCs w:val="16"/>
                <w:lang w:val="en-US"/>
              </w:rPr>
              <w:t>B.7.1.5.4 Test report.</w:t>
            </w:r>
          </w:p>
        </w:tc>
      </w:tr>
      <w:tr w:rsidR="00F70763" w:rsidRPr="00F01347" w14:paraId="5BE76B47" w14:textId="1C6600B7" w:rsidTr="009E6861">
        <w:tc>
          <w:tcPr>
            <w:tcW w:w="4675" w:type="dxa"/>
          </w:tcPr>
          <w:p w14:paraId="559BFA8A" w14:textId="77777777" w:rsidR="00F70763" w:rsidRPr="00F01347" w:rsidRDefault="00F70763" w:rsidP="00F70763">
            <w:pPr>
              <w:pStyle w:val="texto0"/>
              <w:ind w:firstLine="0"/>
              <w:rPr>
                <w:rFonts w:ascii="Verdana" w:hAnsi="Verdana"/>
                <w:sz w:val="16"/>
                <w:szCs w:val="16"/>
              </w:rPr>
            </w:pPr>
            <w:r w:rsidRPr="00F01347">
              <w:rPr>
                <w:rFonts w:ascii="Verdana" w:hAnsi="Verdana"/>
                <w:sz w:val="16"/>
                <w:szCs w:val="16"/>
              </w:rPr>
              <w:t>Reportar el resultado como nitrógeno amoniacal en mg/L</w:t>
            </w:r>
          </w:p>
        </w:tc>
        <w:tc>
          <w:tcPr>
            <w:tcW w:w="4675" w:type="dxa"/>
          </w:tcPr>
          <w:p w14:paraId="103638B0" w14:textId="0D4E6232" w:rsidR="00F70763" w:rsidRPr="00F01347" w:rsidRDefault="00F70763" w:rsidP="00F70763">
            <w:pPr>
              <w:pStyle w:val="texto0"/>
              <w:ind w:firstLine="0"/>
              <w:rPr>
                <w:rFonts w:ascii="Verdana" w:hAnsi="Verdana"/>
                <w:sz w:val="16"/>
                <w:szCs w:val="16"/>
                <w:lang w:val="en-US"/>
              </w:rPr>
            </w:pPr>
            <w:r w:rsidRPr="00F01347">
              <w:rPr>
                <w:rFonts w:ascii="Verdana" w:hAnsi="Verdana"/>
                <w:sz w:val="16"/>
                <w:szCs w:val="16"/>
                <w:lang w:val="en-US"/>
              </w:rPr>
              <w:t>Report the result as ammoniacal nitrogen in mg/L</w:t>
            </w:r>
          </w:p>
        </w:tc>
      </w:tr>
      <w:tr w:rsidR="00F70763" w:rsidRPr="00F01347" w14:paraId="4B37931F" w14:textId="0381A64D" w:rsidTr="009E6861">
        <w:tc>
          <w:tcPr>
            <w:tcW w:w="4675" w:type="dxa"/>
          </w:tcPr>
          <w:p w14:paraId="580B7941" w14:textId="77777777" w:rsidR="00F70763" w:rsidRPr="00F01347" w:rsidRDefault="00F70763" w:rsidP="00F70763">
            <w:pPr>
              <w:pStyle w:val="texto0"/>
              <w:ind w:firstLine="0"/>
              <w:rPr>
                <w:rFonts w:ascii="Verdana" w:hAnsi="Verdana"/>
                <w:b/>
                <w:sz w:val="16"/>
                <w:szCs w:val="16"/>
              </w:rPr>
            </w:pPr>
            <w:r w:rsidRPr="00F01347">
              <w:rPr>
                <w:rFonts w:ascii="Verdana" w:hAnsi="Verdana"/>
                <w:b/>
                <w:sz w:val="16"/>
                <w:szCs w:val="16"/>
              </w:rPr>
              <w:t>B.7.1.6 Control de calidad, calibración e interferencias</w:t>
            </w:r>
          </w:p>
        </w:tc>
        <w:tc>
          <w:tcPr>
            <w:tcW w:w="4675" w:type="dxa"/>
          </w:tcPr>
          <w:p w14:paraId="1FD5987D" w14:textId="7189CE4E" w:rsidR="00F70763" w:rsidRPr="00F01347" w:rsidRDefault="00F70763" w:rsidP="00F70763">
            <w:pPr>
              <w:pStyle w:val="texto0"/>
              <w:ind w:firstLine="0"/>
              <w:rPr>
                <w:rFonts w:ascii="Verdana" w:hAnsi="Verdana"/>
                <w:b/>
                <w:sz w:val="16"/>
                <w:szCs w:val="16"/>
                <w:lang w:val="en-US"/>
              </w:rPr>
            </w:pPr>
            <w:r w:rsidRPr="00F01347">
              <w:rPr>
                <w:rFonts w:ascii="Verdana" w:hAnsi="Verdana"/>
                <w:b/>
                <w:sz w:val="16"/>
                <w:szCs w:val="16"/>
                <w:lang w:val="en-US"/>
              </w:rPr>
              <w:t xml:space="preserve">B.7.1.6 Quality control, </w:t>
            </w:r>
            <w:r w:rsidR="009E6861" w:rsidRPr="00F01347">
              <w:rPr>
                <w:rFonts w:ascii="Verdana" w:hAnsi="Verdana"/>
                <w:b/>
                <w:sz w:val="16"/>
                <w:szCs w:val="16"/>
                <w:lang w:val="en-US"/>
              </w:rPr>
              <w:t>calibration,</w:t>
            </w:r>
            <w:r w:rsidRPr="00F01347">
              <w:rPr>
                <w:rFonts w:ascii="Verdana" w:hAnsi="Verdana"/>
                <w:b/>
                <w:sz w:val="16"/>
                <w:szCs w:val="16"/>
                <w:lang w:val="en-US"/>
              </w:rPr>
              <w:t xml:space="preserve"> and interferences</w:t>
            </w:r>
          </w:p>
        </w:tc>
      </w:tr>
      <w:tr w:rsidR="00F70763" w:rsidRPr="00F01347" w14:paraId="4C2A4838" w14:textId="5BF25020" w:rsidTr="009E6861">
        <w:tc>
          <w:tcPr>
            <w:tcW w:w="4675" w:type="dxa"/>
          </w:tcPr>
          <w:p w14:paraId="2E13E44E" w14:textId="77777777" w:rsidR="00F70763" w:rsidRPr="00F01347" w:rsidRDefault="00F70763" w:rsidP="00F70763">
            <w:pPr>
              <w:pStyle w:val="texto0"/>
              <w:ind w:firstLine="0"/>
              <w:rPr>
                <w:rFonts w:ascii="Verdana" w:hAnsi="Verdana"/>
                <w:sz w:val="16"/>
                <w:szCs w:val="16"/>
              </w:rPr>
            </w:pPr>
            <w:r w:rsidRPr="00F01347">
              <w:rPr>
                <w:rFonts w:ascii="Verdana" w:hAnsi="Verdana"/>
                <w:sz w:val="16"/>
                <w:szCs w:val="16"/>
              </w:rPr>
              <w:t>Tres muestras sintéticas que contenían amoniaco y otros constituyentes disueltos en agua reactivo fueron destiladas y analizadas por titulación, obteniendo la desviación estándar relativa y los errores relativos mostrados en la Tabla B.7.1-2</w:t>
            </w:r>
          </w:p>
        </w:tc>
        <w:tc>
          <w:tcPr>
            <w:tcW w:w="4675" w:type="dxa"/>
          </w:tcPr>
          <w:p w14:paraId="79F8CEC9" w14:textId="61BFAC10" w:rsidR="00F70763" w:rsidRPr="00F01347" w:rsidRDefault="00F70763" w:rsidP="00F70763">
            <w:pPr>
              <w:pStyle w:val="texto0"/>
              <w:ind w:firstLine="0"/>
              <w:rPr>
                <w:rFonts w:ascii="Verdana" w:hAnsi="Verdana"/>
                <w:sz w:val="16"/>
                <w:szCs w:val="16"/>
                <w:lang w:val="en-US"/>
              </w:rPr>
            </w:pPr>
            <w:r w:rsidRPr="00F01347">
              <w:rPr>
                <w:rFonts w:ascii="Verdana" w:hAnsi="Verdana"/>
                <w:sz w:val="16"/>
                <w:szCs w:val="16"/>
                <w:lang w:val="en-US"/>
              </w:rPr>
              <w:t>Three synthetic samples containing ammonia and other constituents dissolved in reagent water were distilled and analyzed by titration, obtaining the relative standard deviation and relative errors shown in Table B.7.1-2</w:t>
            </w:r>
          </w:p>
        </w:tc>
      </w:tr>
    </w:tbl>
    <w:p w14:paraId="5D98A49D" w14:textId="77777777" w:rsidR="0055757A" w:rsidRPr="00F01347" w:rsidRDefault="0055757A" w:rsidP="003A601B">
      <w:pPr>
        <w:pStyle w:val="texto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840"/>
        <w:gridCol w:w="1645"/>
        <w:gridCol w:w="2006"/>
        <w:gridCol w:w="2010"/>
        <w:gridCol w:w="1475"/>
        <w:gridCol w:w="736"/>
      </w:tblGrid>
      <w:tr w:rsidR="00A74CDF" w:rsidRPr="00F01347" w14:paraId="48E3DEE8" w14:textId="77777777" w:rsidTr="009E6861">
        <w:trPr>
          <w:trHeight w:val="20"/>
        </w:trPr>
        <w:tc>
          <w:tcPr>
            <w:tcW w:w="8712" w:type="dxa"/>
            <w:gridSpan w:val="6"/>
            <w:tcBorders>
              <w:bottom w:val="single" w:sz="6" w:space="0" w:color="auto"/>
            </w:tcBorders>
            <w:noWrap/>
          </w:tcPr>
          <w:p w14:paraId="43A5C0D7"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b/>
                <w:sz w:val="15"/>
                <w:szCs w:val="15"/>
              </w:rPr>
              <w:t>Tabla B.7.1-2.</w:t>
            </w:r>
            <w:r w:rsidRPr="00F01347">
              <w:rPr>
                <w:rFonts w:ascii="Verdana" w:hAnsi="Verdana"/>
                <w:sz w:val="15"/>
                <w:szCs w:val="15"/>
              </w:rPr>
              <w:t xml:space="preserve"> Desviaciones estándar y errores relativos en la determinación de nitrógeno amoniacal en tres muestras sintéticas</w:t>
            </w:r>
          </w:p>
        </w:tc>
      </w:tr>
      <w:tr w:rsidR="00A74CDF" w:rsidRPr="00F01347" w14:paraId="1701EFF5" w14:textId="77777777" w:rsidTr="009E6861">
        <w:trPr>
          <w:trHeight w:val="20"/>
        </w:trPr>
        <w:tc>
          <w:tcPr>
            <w:tcW w:w="840" w:type="dxa"/>
            <w:tcBorders>
              <w:top w:val="single" w:sz="6" w:space="0" w:color="auto"/>
              <w:left w:val="single" w:sz="6" w:space="0" w:color="auto"/>
              <w:bottom w:val="single" w:sz="6" w:space="0" w:color="auto"/>
              <w:right w:val="single" w:sz="6" w:space="0" w:color="auto"/>
            </w:tcBorders>
          </w:tcPr>
          <w:p w14:paraId="68EB4C36"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Muestra</w:t>
            </w:r>
          </w:p>
        </w:tc>
        <w:tc>
          <w:tcPr>
            <w:tcW w:w="1645" w:type="dxa"/>
            <w:tcBorders>
              <w:top w:val="single" w:sz="6" w:space="0" w:color="auto"/>
              <w:left w:val="single" w:sz="6" w:space="0" w:color="auto"/>
              <w:bottom w:val="single" w:sz="6" w:space="0" w:color="auto"/>
              <w:right w:val="single" w:sz="6" w:space="0" w:color="auto"/>
            </w:tcBorders>
          </w:tcPr>
          <w:p w14:paraId="25D79CF8"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Concentración de NH3-N/L (µg/L)</w:t>
            </w:r>
          </w:p>
        </w:tc>
        <w:tc>
          <w:tcPr>
            <w:tcW w:w="2006" w:type="dxa"/>
            <w:tcBorders>
              <w:top w:val="single" w:sz="6" w:space="0" w:color="auto"/>
              <w:left w:val="single" w:sz="6" w:space="0" w:color="auto"/>
              <w:bottom w:val="single" w:sz="6" w:space="0" w:color="auto"/>
              <w:right w:val="single" w:sz="6" w:space="0" w:color="auto"/>
            </w:tcBorders>
          </w:tcPr>
          <w:p w14:paraId="5BAD9867"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Otros constituyentes en la muestra sintética</w:t>
            </w:r>
          </w:p>
        </w:tc>
        <w:tc>
          <w:tcPr>
            <w:tcW w:w="2010" w:type="dxa"/>
            <w:tcBorders>
              <w:top w:val="single" w:sz="6" w:space="0" w:color="auto"/>
              <w:left w:val="single" w:sz="6" w:space="0" w:color="auto"/>
              <w:bottom w:val="single" w:sz="6" w:space="0" w:color="auto"/>
              <w:right w:val="single" w:sz="6" w:space="0" w:color="auto"/>
            </w:tcBorders>
          </w:tcPr>
          <w:p w14:paraId="2DBC9E1B"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Número de laboratorios participantes</w:t>
            </w:r>
          </w:p>
        </w:tc>
        <w:tc>
          <w:tcPr>
            <w:tcW w:w="1475" w:type="dxa"/>
            <w:tcBorders>
              <w:top w:val="single" w:sz="6" w:space="0" w:color="auto"/>
              <w:left w:val="single" w:sz="6" w:space="0" w:color="auto"/>
              <w:bottom w:val="single" w:sz="6" w:space="0" w:color="auto"/>
              <w:right w:val="single" w:sz="6" w:space="0" w:color="auto"/>
            </w:tcBorders>
          </w:tcPr>
          <w:p w14:paraId="380A40DC"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Desviación estándar relativa</w:t>
            </w:r>
          </w:p>
        </w:tc>
        <w:tc>
          <w:tcPr>
            <w:tcW w:w="736" w:type="dxa"/>
            <w:tcBorders>
              <w:top w:val="single" w:sz="6" w:space="0" w:color="auto"/>
              <w:left w:val="single" w:sz="6" w:space="0" w:color="auto"/>
              <w:bottom w:val="single" w:sz="6" w:space="0" w:color="auto"/>
              <w:right w:val="single" w:sz="6" w:space="0" w:color="auto"/>
            </w:tcBorders>
          </w:tcPr>
          <w:p w14:paraId="7C670399"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Error relativo</w:t>
            </w:r>
          </w:p>
        </w:tc>
      </w:tr>
      <w:tr w:rsidR="00A74CDF" w:rsidRPr="00F01347" w14:paraId="11304A15" w14:textId="77777777" w:rsidTr="009E6861">
        <w:trPr>
          <w:trHeight w:val="20"/>
        </w:trPr>
        <w:tc>
          <w:tcPr>
            <w:tcW w:w="840" w:type="dxa"/>
            <w:tcBorders>
              <w:top w:val="single" w:sz="6" w:space="0" w:color="auto"/>
              <w:left w:val="single" w:sz="6" w:space="0" w:color="auto"/>
              <w:bottom w:val="single" w:sz="6" w:space="0" w:color="auto"/>
              <w:right w:val="single" w:sz="6" w:space="0" w:color="auto"/>
            </w:tcBorders>
          </w:tcPr>
          <w:p w14:paraId="405F48B8"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1</w:t>
            </w:r>
          </w:p>
        </w:tc>
        <w:tc>
          <w:tcPr>
            <w:tcW w:w="1645" w:type="dxa"/>
            <w:tcBorders>
              <w:top w:val="single" w:sz="6" w:space="0" w:color="auto"/>
              <w:left w:val="single" w:sz="6" w:space="0" w:color="auto"/>
              <w:bottom w:val="single" w:sz="6" w:space="0" w:color="auto"/>
              <w:right w:val="single" w:sz="6" w:space="0" w:color="auto"/>
            </w:tcBorders>
          </w:tcPr>
          <w:p w14:paraId="227595F5"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200</w:t>
            </w:r>
          </w:p>
        </w:tc>
        <w:tc>
          <w:tcPr>
            <w:tcW w:w="2006" w:type="dxa"/>
            <w:tcBorders>
              <w:top w:val="single" w:sz="6" w:space="0" w:color="auto"/>
              <w:left w:val="single" w:sz="6" w:space="0" w:color="auto"/>
              <w:bottom w:val="single" w:sz="6" w:space="0" w:color="auto"/>
              <w:right w:val="single" w:sz="6" w:space="0" w:color="auto"/>
            </w:tcBorders>
          </w:tcPr>
          <w:p w14:paraId="1406AD0D"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10 mg Cl</w:t>
            </w:r>
            <w:r w:rsidRPr="00F01347">
              <w:rPr>
                <w:rFonts w:ascii="Verdana" w:hAnsi="Verdana"/>
                <w:sz w:val="15"/>
                <w:szCs w:val="15"/>
                <w:vertAlign w:val="superscript"/>
              </w:rPr>
              <w:t>-</w:t>
            </w:r>
            <w:r w:rsidRPr="00F01347">
              <w:rPr>
                <w:rFonts w:ascii="Verdana" w:hAnsi="Verdana"/>
                <w:sz w:val="15"/>
                <w:szCs w:val="15"/>
              </w:rPr>
              <w:t>/L</w:t>
            </w:r>
          </w:p>
          <w:p w14:paraId="5F29856A"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1.0 mg NO</w:t>
            </w:r>
            <w:r w:rsidRPr="00F01347">
              <w:rPr>
                <w:rFonts w:ascii="Verdana" w:hAnsi="Verdana"/>
                <w:sz w:val="15"/>
                <w:szCs w:val="15"/>
                <w:vertAlign w:val="subscript"/>
              </w:rPr>
              <w:t>3</w:t>
            </w:r>
            <w:r w:rsidRPr="00F01347">
              <w:rPr>
                <w:rFonts w:ascii="Verdana" w:hAnsi="Verdana"/>
                <w:sz w:val="15"/>
                <w:szCs w:val="15"/>
                <w:vertAlign w:val="superscript"/>
              </w:rPr>
              <w:t>—</w:t>
            </w:r>
            <w:r w:rsidRPr="00F01347">
              <w:rPr>
                <w:rFonts w:ascii="Verdana" w:hAnsi="Verdana"/>
                <w:sz w:val="15"/>
                <w:szCs w:val="15"/>
              </w:rPr>
              <w:t>N/L</w:t>
            </w:r>
          </w:p>
          <w:p w14:paraId="56F02E77"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1.5 N orgánico/L</w:t>
            </w:r>
          </w:p>
          <w:p w14:paraId="573367D7"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10.0 mg PO</w:t>
            </w:r>
            <w:r w:rsidRPr="00F01347">
              <w:rPr>
                <w:rFonts w:ascii="Verdana" w:hAnsi="Verdana"/>
                <w:sz w:val="15"/>
                <w:szCs w:val="15"/>
                <w:vertAlign w:val="subscript"/>
              </w:rPr>
              <w:t>4</w:t>
            </w:r>
            <w:r w:rsidRPr="00F01347">
              <w:rPr>
                <w:rFonts w:ascii="Verdana" w:hAnsi="Verdana"/>
                <w:sz w:val="15"/>
                <w:szCs w:val="15"/>
                <w:vertAlign w:val="superscript"/>
              </w:rPr>
              <w:t>3-</w:t>
            </w:r>
            <w:r w:rsidRPr="00F01347">
              <w:rPr>
                <w:rFonts w:ascii="Verdana" w:hAnsi="Verdana"/>
                <w:sz w:val="15"/>
                <w:szCs w:val="15"/>
              </w:rPr>
              <w:t>/L</w:t>
            </w:r>
          </w:p>
          <w:p w14:paraId="6A23906C"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 xml:space="preserve">5.0 mg </w:t>
            </w:r>
            <w:proofErr w:type="spellStart"/>
            <w:r w:rsidRPr="00F01347">
              <w:rPr>
                <w:rFonts w:ascii="Verdana" w:hAnsi="Verdana"/>
                <w:sz w:val="15"/>
                <w:szCs w:val="15"/>
              </w:rPr>
              <w:t>sílica</w:t>
            </w:r>
            <w:proofErr w:type="spellEnd"/>
            <w:r w:rsidRPr="00F01347">
              <w:rPr>
                <w:rFonts w:ascii="Verdana" w:hAnsi="Verdana"/>
                <w:sz w:val="15"/>
                <w:szCs w:val="15"/>
              </w:rPr>
              <w:t>/L</w:t>
            </w:r>
          </w:p>
        </w:tc>
        <w:tc>
          <w:tcPr>
            <w:tcW w:w="2010" w:type="dxa"/>
            <w:tcBorders>
              <w:top w:val="single" w:sz="6" w:space="0" w:color="auto"/>
              <w:left w:val="single" w:sz="6" w:space="0" w:color="auto"/>
              <w:bottom w:val="single" w:sz="6" w:space="0" w:color="auto"/>
              <w:right w:val="single" w:sz="6" w:space="0" w:color="auto"/>
            </w:tcBorders>
          </w:tcPr>
          <w:p w14:paraId="71687FF5"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21</w:t>
            </w:r>
          </w:p>
        </w:tc>
        <w:tc>
          <w:tcPr>
            <w:tcW w:w="1475" w:type="dxa"/>
            <w:tcBorders>
              <w:top w:val="single" w:sz="6" w:space="0" w:color="auto"/>
              <w:left w:val="single" w:sz="6" w:space="0" w:color="auto"/>
              <w:bottom w:val="single" w:sz="6" w:space="0" w:color="auto"/>
              <w:right w:val="single" w:sz="6" w:space="0" w:color="auto"/>
            </w:tcBorders>
          </w:tcPr>
          <w:p w14:paraId="5101DC74"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69.8%</w:t>
            </w:r>
          </w:p>
        </w:tc>
        <w:tc>
          <w:tcPr>
            <w:tcW w:w="736" w:type="dxa"/>
            <w:tcBorders>
              <w:top w:val="single" w:sz="6" w:space="0" w:color="auto"/>
              <w:left w:val="single" w:sz="6" w:space="0" w:color="auto"/>
              <w:bottom w:val="single" w:sz="6" w:space="0" w:color="auto"/>
              <w:right w:val="single" w:sz="6" w:space="0" w:color="auto"/>
            </w:tcBorders>
          </w:tcPr>
          <w:p w14:paraId="4F73311F"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20%</w:t>
            </w:r>
          </w:p>
        </w:tc>
      </w:tr>
      <w:tr w:rsidR="00A74CDF" w:rsidRPr="00F01347" w14:paraId="70DE5035" w14:textId="77777777" w:rsidTr="009E6861">
        <w:trPr>
          <w:trHeight w:val="20"/>
        </w:trPr>
        <w:tc>
          <w:tcPr>
            <w:tcW w:w="840" w:type="dxa"/>
            <w:tcBorders>
              <w:top w:val="single" w:sz="6" w:space="0" w:color="auto"/>
              <w:left w:val="single" w:sz="6" w:space="0" w:color="auto"/>
              <w:bottom w:val="single" w:sz="6" w:space="0" w:color="auto"/>
              <w:right w:val="single" w:sz="6" w:space="0" w:color="auto"/>
            </w:tcBorders>
          </w:tcPr>
          <w:p w14:paraId="0496B69D"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2</w:t>
            </w:r>
          </w:p>
        </w:tc>
        <w:tc>
          <w:tcPr>
            <w:tcW w:w="1645" w:type="dxa"/>
            <w:tcBorders>
              <w:top w:val="single" w:sz="6" w:space="0" w:color="auto"/>
              <w:left w:val="single" w:sz="6" w:space="0" w:color="auto"/>
              <w:bottom w:val="single" w:sz="6" w:space="0" w:color="auto"/>
              <w:right w:val="single" w:sz="6" w:space="0" w:color="auto"/>
            </w:tcBorders>
          </w:tcPr>
          <w:p w14:paraId="24E8543E"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800</w:t>
            </w:r>
          </w:p>
        </w:tc>
        <w:tc>
          <w:tcPr>
            <w:tcW w:w="2006" w:type="dxa"/>
            <w:tcBorders>
              <w:top w:val="single" w:sz="6" w:space="0" w:color="auto"/>
              <w:left w:val="single" w:sz="6" w:space="0" w:color="auto"/>
              <w:bottom w:val="single" w:sz="6" w:space="0" w:color="auto"/>
              <w:right w:val="single" w:sz="6" w:space="0" w:color="auto"/>
            </w:tcBorders>
          </w:tcPr>
          <w:p w14:paraId="7FF492A1"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200 mg Cl</w:t>
            </w:r>
            <w:r w:rsidRPr="00F01347">
              <w:rPr>
                <w:rFonts w:ascii="Verdana" w:hAnsi="Verdana"/>
                <w:sz w:val="15"/>
                <w:szCs w:val="15"/>
                <w:vertAlign w:val="superscript"/>
              </w:rPr>
              <w:t>-</w:t>
            </w:r>
            <w:r w:rsidRPr="00F01347">
              <w:rPr>
                <w:rFonts w:ascii="Verdana" w:hAnsi="Verdana"/>
                <w:sz w:val="15"/>
                <w:szCs w:val="15"/>
              </w:rPr>
              <w:t>/L</w:t>
            </w:r>
          </w:p>
          <w:p w14:paraId="64AA2EF6"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1.0 mg NO</w:t>
            </w:r>
            <w:r w:rsidRPr="00F01347">
              <w:rPr>
                <w:rFonts w:ascii="Verdana" w:hAnsi="Verdana"/>
                <w:sz w:val="15"/>
                <w:szCs w:val="15"/>
                <w:vertAlign w:val="subscript"/>
              </w:rPr>
              <w:t>3</w:t>
            </w:r>
            <w:r w:rsidRPr="00F01347">
              <w:rPr>
                <w:rFonts w:ascii="Verdana" w:hAnsi="Verdana"/>
                <w:sz w:val="15"/>
                <w:szCs w:val="15"/>
                <w:vertAlign w:val="superscript"/>
              </w:rPr>
              <w:t>—</w:t>
            </w:r>
            <w:r w:rsidRPr="00F01347">
              <w:rPr>
                <w:rFonts w:ascii="Verdana" w:hAnsi="Verdana"/>
                <w:sz w:val="15"/>
                <w:szCs w:val="15"/>
              </w:rPr>
              <w:t>N/L</w:t>
            </w:r>
          </w:p>
          <w:p w14:paraId="6FD87299"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0.8 mg orgánico/L</w:t>
            </w:r>
          </w:p>
          <w:p w14:paraId="5DB1529D"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5.0 mg PO</w:t>
            </w:r>
            <w:r w:rsidRPr="00F01347">
              <w:rPr>
                <w:rFonts w:ascii="Verdana" w:hAnsi="Verdana"/>
                <w:sz w:val="15"/>
                <w:szCs w:val="15"/>
                <w:vertAlign w:val="subscript"/>
              </w:rPr>
              <w:t>4</w:t>
            </w:r>
            <w:r w:rsidRPr="00F01347">
              <w:rPr>
                <w:rFonts w:ascii="Verdana" w:hAnsi="Verdana"/>
                <w:sz w:val="15"/>
                <w:szCs w:val="15"/>
                <w:vertAlign w:val="superscript"/>
              </w:rPr>
              <w:t>3-</w:t>
            </w:r>
            <w:r w:rsidRPr="00F01347">
              <w:rPr>
                <w:rFonts w:ascii="Verdana" w:hAnsi="Verdana"/>
                <w:sz w:val="15"/>
                <w:szCs w:val="15"/>
              </w:rPr>
              <w:t>/L</w:t>
            </w:r>
          </w:p>
          <w:p w14:paraId="76BB34C3"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 xml:space="preserve">15.0 mg </w:t>
            </w:r>
            <w:proofErr w:type="spellStart"/>
            <w:r w:rsidRPr="00F01347">
              <w:rPr>
                <w:rFonts w:ascii="Verdana" w:hAnsi="Verdana"/>
                <w:sz w:val="15"/>
                <w:szCs w:val="15"/>
              </w:rPr>
              <w:t>sílica</w:t>
            </w:r>
            <w:proofErr w:type="spellEnd"/>
            <w:r w:rsidRPr="00F01347">
              <w:rPr>
                <w:rFonts w:ascii="Verdana" w:hAnsi="Verdana"/>
                <w:sz w:val="15"/>
                <w:szCs w:val="15"/>
              </w:rPr>
              <w:t>/L</w:t>
            </w:r>
          </w:p>
        </w:tc>
        <w:tc>
          <w:tcPr>
            <w:tcW w:w="2010" w:type="dxa"/>
            <w:tcBorders>
              <w:top w:val="single" w:sz="6" w:space="0" w:color="auto"/>
              <w:left w:val="single" w:sz="6" w:space="0" w:color="auto"/>
              <w:bottom w:val="single" w:sz="6" w:space="0" w:color="auto"/>
              <w:right w:val="single" w:sz="6" w:space="0" w:color="auto"/>
            </w:tcBorders>
          </w:tcPr>
          <w:p w14:paraId="06E413FB"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20</w:t>
            </w:r>
          </w:p>
        </w:tc>
        <w:tc>
          <w:tcPr>
            <w:tcW w:w="1475" w:type="dxa"/>
            <w:tcBorders>
              <w:top w:val="single" w:sz="6" w:space="0" w:color="auto"/>
              <w:left w:val="single" w:sz="6" w:space="0" w:color="auto"/>
              <w:bottom w:val="single" w:sz="6" w:space="0" w:color="auto"/>
              <w:right w:val="single" w:sz="6" w:space="0" w:color="auto"/>
            </w:tcBorders>
          </w:tcPr>
          <w:p w14:paraId="76DF3077"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28.6%</w:t>
            </w:r>
          </w:p>
        </w:tc>
        <w:tc>
          <w:tcPr>
            <w:tcW w:w="736" w:type="dxa"/>
            <w:tcBorders>
              <w:top w:val="single" w:sz="6" w:space="0" w:color="auto"/>
              <w:left w:val="single" w:sz="6" w:space="0" w:color="auto"/>
              <w:bottom w:val="single" w:sz="6" w:space="0" w:color="auto"/>
              <w:right w:val="single" w:sz="6" w:space="0" w:color="auto"/>
            </w:tcBorders>
          </w:tcPr>
          <w:p w14:paraId="6B532C7B"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5%</w:t>
            </w:r>
          </w:p>
        </w:tc>
      </w:tr>
      <w:tr w:rsidR="00A74CDF" w:rsidRPr="00F01347" w14:paraId="5A0DC36E" w14:textId="77777777" w:rsidTr="009E6861">
        <w:trPr>
          <w:trHeight w:val="20"/>
        </w:trPr>
        <w:tc>
          <w:tcPr>
            <w:tcW w:w="840" w:type="dxa"/>
            <w:tcBorders>
              <w:top w:val="single" w:sz="6" w:space="0" w:color="auto"/>
              <w:left w:val="single" w:sz="6" w:space="0" w:color="auto"/>
              <w:bottom w:val="single" w:sz="6" w:space="0" w:color="auto"/>
              <w:right w:val="single" w:sz="6" w:space="0" w:color="auto"/>
            </w:tcBorders>
          </w:tcPr>
          <w:p w14:paraId="1BB80641"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3</w:t>
            </w:r>
          </w:p>
        </w:tc>
        <w:tc>
          <w:tcPr>
            <w:tcW w:w="1645" w:type="dxa"/>
            <w:tcBorders>
              <w:top w:val="single" w:sz="6" w:space="0" w:color="auto"/>
              <w:left w:val="single" w:sz="6" w:space="0" w:color="auto"/>
              <w:bottom w:val="single" w:sz="6" w:space="0" w:color="auto"/>
              <w:right w:val="single" w:sz="6" w:space="0" w:color="auto"/>
            </w:tcBorders>
          </w:tcPr>
          <w:p w14:paraId="7DD4AEF8"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1500</w:t>
            </w:r>
          </w:p>
        </w:tc>
        <w:tc>
          <w:tcPr>
            <w:tcW w:w="2006" w:type="dxa"/>
            <w:tcBorders>
              <w:top w:val="single" w:sz="6" w:space="0" w:color="auto"/>
              <w:left w:val="single" w:sz="6" w:space="0" w:color="auto"/>
              <w:bottom w:val="single" w:sz="6" w:space="0" w:color="auto"/>
              <w:right w:val="single" w:sz="6" w:space="0" w:color="auto"/>
            </w:tcBorders>
          </w:tcPr>
          <w:p w14:paraId="63496B9C"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400 mg Cl-/L</w:t>
            </w:r>
          </w:p>
          <w:p w14:paraId="12B221E8"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1.0 mg NO</w:t>
            </w:r>
            <w:r w:rsidRPr="00F01347">
              <w:rPr>
                <w:rFonts w:ascii="Verdana" w:hAnsi="Verdana"/>
                <w:sz w:val="15"/>
                <w:szCs w:val="15"/>
                <w:vertAlign w:val="subscript"/>
              </w:rPr>
              <w:t>3</w:t>
            </w:r>
            <w:r w:rsidRPr="00F01347">
              <w:rPr>
                <w:rFonts w:ascii="Verdana" w:hAnsi="Verdana"/>
                <w:sz w:val="15"/>
                <w:szCs w:val="15"/>
                <w:vertAlign w:val="superscript"/>
              </w:rPr>
              <w:t>—</w:t>
            </w:r>
            <w:r w:rsidRPr="00F01347">
              <w:rPr>
                <w:rFonts w:ascii="Verdana" w:hAnsi="Verdana"/>
                <w:sz w:val="15"/>
                <w:szCs w:val="15"/>
              </w:rPr>
              <w:t>N/L</w:t>
            </w:r>
          </w:p>
          <w:p w14:paraId="56CB79C7"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0.2 mg orgánico/L</w:t>
            </w:r>
          </w:p>
          <w:p w14:paraId="570B9F7C"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lastRenderedPageBreak/>
              <w:t>0.5 mg PO</w:t>
            </w:r>
            <w:r w:rsidRPr="00F01347">
              <w:rPr>
                <w:rFonts w:ascii="Verdana" w:hAnsi="Verdana"/>
                <w:sz w:val="15"/>
                <w:szCs w:val="15"/>
                <w:vertAlign w:val="subscript"/>
              </w:rPr>
              <w:t>4</w:t>
            </w:r>
            <w:r w:rsidRPr="00F01347">
              <w:rPr>
                <w:rFonts w:ascii="Verdana" w:hAnsi="Verdana"/>
                <w:sz w:val="15"/>
                <w:szCs w:val="15"/>
                <w:vertAlign w:val="superscript"/>
              </w:rPr>
              <w:t>3-</w:t>
            </w:r>
            <w:r w:rsidRPr="00F01347">
              <w:rPr>
                <w:rFonts w:ascii="Verdana" w:hAnsi="Verdana"/>
                <w:sz w:val="15"/>
                <w:szCs w:val="15"/>
              </w:rPr>
              <w:t>/L</w:t>
            </w:r>
          </w:p>
          <w:p w14:paraId="73F229DE"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 xml:space="preserve">30.0 mg </w:t>
            </w:r>
            <w:proofErr w:type="spellStart"/>
            <w:r w:rsidRPr="00F01347">
              <w:rPr>
                <w:rFonts w:ascii="Verdana" w:hAnsi="Verdana"/>
                <w:sz w:val="15"/>
                <w:szCs w:val="15"/>
              </w:rPr>
              <w:t>sílica</w:t>
            </w:r>
            <w:proofErr w:type="spellEnd"/>
            <w:r w:rsidRPr="00F01347">
              <w:rPr>
                <w:rFonts w:ascii="Verdana" w:hAnsi="Verdana"/>
                <w:sz w:val="15"/>
                <w:szCs w:val="15"/>
              </w:rPr>
              <w:t>/L</w:t>
            </w:r>
          </w:p>
        </w:tc>
        <w:tc>
          <w:tcPr>
            <w:tcW w:w="2010" w:type="dxa"/>
            <w:tcBorders>
              <w:top w:val="single" w:sz="6" w:space="0" w:color="auto"/>
              <w:left w:val="single" w:sz="6" w:space="0" w:color="auto"/>
              <w:bottom w:val="single" w:sz="6" w:space="0" w:color="auto"/>
              <w:right w:val="single" w:sz="6" w:space="0" w:color="auto"/>
            </w:tcBorders>
          </w:tcPr>
          <w:p w14:paraId="2C3D10FA"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lastRenderedPageBreak/>
              <w:t>21</w:t>
            </w:r>
          </w:p>
        </w:tc>
        <w:tc>
          <w:tcPr>
            <w:tcW w:w="1475" w:type="dxa"/>
            <w:tcBorders>
              <w:top w:val="single" w:sz="6" w:space="0" w:color="auto"/>
              <w:left w:val="single" w:sz="6" w:space="0" w:color="auto"/>
              <w:bottom w:val="single" w:sz="6" w:space="0" w:color="auto"/>
              <w:right w:val="single" w:sz="6" w:space="0" w:color="auto"/>
            </w:tcBorders>
          </w:tcPr>
          <w:p w14:paraId="3DC10CE1"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21.6%</w:t>
            </w:r>
          </w:p>
        </w:tc>
        <w:tc>
          <w:tcPr>
            <w:tcW w:w="736" w:type="dxa"/>
            <w:tcBorders>
              <w:top w:val="single" w:sz="6" w:space="0" w:color="auto"/>
              <w:left w:val="single" w:sz="6" w:space="0" w:color="auto"/>
              <w:bottom w:val="single" w:sz="6" w:space="0" w:color="auto"/>
              <w:right w:val="single" w:sz="6" w:space="0" w:color="auto"/>
            </w:tcBorders>
          </w:tcPr>
          <w:p w14:paraId="3217E736" w14:textId="77777777" w:rsidR="00A74CDF" w:rsidRPr="00F01347" w:rsidRDefault="00A74CDF" w:rsidP="003A601B">
            <w:pPr>
              <w:pStyle w:val="texto0"/>
              <w:spacing w:line="228" w:lineRule="exact"/>
              <w:ind w:firstLine="0"/>
              <w:jc w:val="center"/>
              <w:rPr>
                <w:rFonts w:ascii="Verdana" w:hAnsi="Verdana"/>
                <w:sz w:val="15"/>
                <w:szCs w:val="15"/>
              </w:rPr>
            </w:pPr>
            <w:r w:rsidRPr="00F01347">
              <w:rPr>
                <w:rFonts w:ascii="Verdana" w:hAnsi="Verdana"/>
                <w:sz w:val="15"/>
                <w:szCs w:val="15"/>
              </w:rPr>
              <w:t>2.6%</w:t>
            </w:r>
          </w:p>
        </w:tc>
      </w:tr>
    </w:tbl>
    <w:p w14:paraId="5D0F315E" w14:textId="77777777" w:rsidR="00A74CDF" w:rsidRPr="00F01347" w:rsidRDefault="00A74CDF" w:rsidP="003A601B">
      <w:pPr>
        <w:pStyle w:val="texto0"/>
        <w:spacing w:line="228" w:lineRule="exact"/>
        <w:rPr>
          <w:rFonts w:ascii="Verdana" w:hAnsi="Verdana"/>
          <w:b/>
          <w:sz w:val="16"/>
          <w:szCs w:val="16"/>
        </w:rPr>
      </w:pPr>
    </w:p>
    <w:p w14:paraId="324BCEA5" w14:textId="77777777" w:rsidR="00065A86" w:rsidRPr="00F01347" w:rsidRDefault="00065A86" w:rsidP="00065A86">
      <w:pPr>
        <w:pStyle w:val="texto0"/>
        <w:rPr>
          <w:rFonts w:ascii="Verdana" w:hAnsi="Verdana"/>
          <w:sz w:val="16"/>
          <w:szCs w:val="16"/>
          <w:lang w:val="en"/>
        </w:rPr>
      </w:pPr>
    </w:p>
    <w:tbl>
      <w:tblPr>
        <w:tblW w:w="8715" w:type="dxa"/>
        <w:tblInd w:w="144" w:type="dxa"/>
        <w:tblLayout w:type="fixed"/>
        <w:tblCellMar>
          <w:left w:w="72" w:type="dxa"/>
          <w:right w:w="72" w:type="dxa"/>
        </w:tblCellMar>
        <w:tblLook w:val="04A0" w:firstRow="1" w:lastRow="0" w:firstColumn="1" w:lastColumn="0" w:noHBand="0" w:noVBand="1"/>
      </w:tblPr>
      <w:tblGrid>
        <w:gridCol w:w="841"/>
        <w:gridCol w:w="1646"/>
        <w:gridCol w:w="2006"/>
        <w:gridCol w:w="2010"/>
        <w:gridCol w:w="1475"/>
        <w:gridCol w:w="737"/>
      </w:tblGrid>
      <w:tr w:rsidR="00065A86" w:rsidRPr="00F01347" w14:paraId="2ED136C6" w14:textId="77777777" w:rsidTr="00065A86">
        <w:trPr>
          <w:trHeight w:val="20"/>
        </w:trPr>
        <w:tc>
          <w:tcPr>
            <w:tcW w:w="8683" w:type="dxa"/>
            <w:gridSpan w:val="6"/>
            <w:tcBorders>
              <w:top w:val="nil"/>
              <w:left w:val="nil"/>
              <w:bottom w:val="single" w:sz="6" w:space="0" w:color="auto"/>
              <w:right w:val="nil"/>
            </w:tcBorders>
            <w:noWrap/>
            <w:hideMark/>
          </w:tcPr>
          <w:p w14:paraId="214352EE"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b/>
                <w:sz w:val="15"/>
                <w:szCs w:val="15"/>
                <w:lang w:val="en-US"/>
              </w:rPr>
              <w:t xml:space="preserve">Table B.7.1-2. </w:t>
            </w:r>
            <w:r w:rsidRPr="00F01347">
              <w:rPr>
                <w:rFonts w:ascii="Verdana" w:hAnsi="Verdana"/>
                <w:sz w:val="15"/>
                <w:szCs w:val="15"/>
                <w:lang w:val="en-US"/>
              </w:rPr>
              <w:t>Standard deviations and relative errors in the determination of ammoniacal nitrogen in three synthetic samples</w:t>
            </w:r>
          </w:p>
        </w:tc>
      </w:tr>
      <w:tr w:rsidR="00065A86" w:rsidRPr="00F01347" w14:paraId="328B42DE" w14:textId="77777777" w:rsidTr="00065A86">
        <w:trPr>
          <w:trHeight w:val="20"/>
        </w:trPr>
        <w:tc>
          <w:tcPr>
            <w:tcW w:w="837" w:type="dxa"/>
            <w:tcBorders>
              <w:top w:val="single" w:sz="6" w:space="0" w:color="auto"/>
              <w:left w:val="single" w:sz="6" w:space="0" w:color="auto"/>
              <w:bottom w:val="single" w:sz="6" w:space="0" w:color="auto"/>
              <w:right w:val="single" w:sz="6" w:space="0" w:color="auto"/>
            </w:tcBorders>
            <w:hideMark/>
          </w:tcPr>
          <w:p w14:paraId="2B2F1A41"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Sample</w:t>
            </w:r>
          </w:p>
        </w:tc>
        <w:tc>
          <w:tcPr>
            <w:tcW w:w="1640" w:type="dxa"/>
            <w:tcBorders>
              <w:top w:val="single" w:sz="6" w:space="0" w:color="auto"/>
              <w:left w:val="single" w:sz="6" w:space="0" w:color="auto"/>
              <w:bottom w:val="single" w:sz="6" w:space="0" w:color="auto"/>
              <w:right w:val="single" w:sz="6" w:space="0" w:color="auto"/>
            </w:tcBorders>
            <w:hideMark/>
          </w:tcPr>
          <w:p w14:paraId="490EFEAA"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NH3-N/L concentration (µg/L)</w:t>
            </w:r>
          </w:p>
        </w:tc>
        <w:tc>
          <w:tcPr>
            <w:tcW w:w="1999" w:type="dxa"/>
            <w:tcBorders>
              <w:top w:val="single" w:sz="6" w:space="0" w:color="auto"/>
              <w:left w:val="single" w:sz="6" w:space="0" w:color="auto"/>
              <w:bottom w:val="single" w:sz="6" w:space="0" w:color="auto"/>
              <w:right w:val="single" w:sz="6" w:space="0" w:color="auto"/>
            </w:tcBorders>
            <w:hideMark/>
          </w:tcPr>
          <w:p w14:paraId="5F4C8B6F"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Other constituents in the synthetic sample</w:t>
            </w:r>
          </w:p>
        </w:tc>
        <w:tc>
          <w:tcPr>
            <w:tcW w:w="2003" w:type="dxa"/>
            <w:tcBorders>
              <w:top w:val="single" w:sz="6" w:space="0" w:color="auto"/>
              <w:left w:val="single" w:sz="6" w:space="0" w:color="auto"/>
              <w:bottom w:val="single" w:sz="6" w:space="0" w:color="auto"/>
              <w:right w:val="single" w:sz="6" w:space="0" w:color="auto"/>
            </w:tcBorders>
            <w:hideMark/>
          </w:tcPr>
          <w:p w14:paraId="168E0CB3"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Number of participating laboratories</w:t>
            </w:r>
          </w:p>
        </w:tc>
        <w:tc>
          <w:tcPr>
            <w:tcW w:w="1470" w:type="dxa"/>
            <w:tcBorders>
              <w:top w:val="single" w:sz="6" w:space="0" w:color="auto"/>
              <w:left w:val="single" w:sz="6" w:space="0" w:color="auto"/>
              <w:bottom w:val="single" w:sz="6" w:space="0" w:color="auto"/>
              <w:right w:val="single" w:sz="6" w:space="0" w:color="auto"/>
            </w:tcBorders>
            <w:hideMark/>
          </w:tcPr>
          <w:p w14:paraId="6289EDAA"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Relative standard deviation</w:t>
            </w:r>
          </w:p>
        </w:tc>
        <w:tc>
          <w:tcPr>
            <w:tcW w:w="734" w:type="dxa"/>
            <w:tcBorders>
              <w:top w:val="single" w:sz="6" w:space="0" w:color="auto"/>
              <w:left w:val="single" w:sz="6" w:space="0" w:color="auto"/>
              <w:bottom w:val="single" w:sz="6" w:space="0" w:color="auto"/>
              <w:right w:val="single" w:sz="6" w:space="0" w:color="auto"/>
            </w:tcBorders>
            <w:hideMark/>
          </w:tcPr>
          <w:p w14:paraId="606F8D44"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Relative error</w:t>
            </w:r>
          </w:p>
        </w:tc>
      </w:tr>
      <w:tr w:rsidR="00065A86" w:rsidRPr="00F01347" w14:paraId="4CA85E7E" w14:textId="77777777" w:rsidTr="00065A86">
        <w:trPr>
          <w:trHeight w:val="20"/>
        </w:trPr>
        <w:tc>
          <w:tcPr>
            <w:tcW w:w="837" w:type="dxa"/>
            <w:tcBorders>
              <w:top w:val="single" w:sz="6" w:space="0" w:color="auto"/>
              <w:left w:val="single" w:sz="6" w:space="0" w:color="auto"/>
              <w:bottom w:val="single" w:sz="6" w:space="0" w:color="auto"/>
              <w:right w:val="single" w:sz="6" w:space="0" w:color="auto"/>
            </w:tcBorders>
            <w:hideMark/>
          </w:tcPr>
          <w:p w14:paraId="23911E55"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1</w:t>
            </w:r>
          </w:p>
        </w:tc>
        <w:tc>
          <w:tcPr>
            <w:tcW w:w="1640" w:type="dxa"/>
            <w:tcBorders>
              <w:top w:val="single" w:sz="6" w:space="0" w:color="auto"/>
              <w:left w:val="single" w:sz="6" w:space="0" w:color="auto"/>
              <w:bottom w:val="single" w:sz="6" w:space="0" w:color="auto"/>
              <w:right w:val="single" w:sz="6" w:space="0" w:color="auto"/>
            </w:tcBorders>
            <w:hideMark/>
          </w:tcPr>
          <w:p w14:paraId="11457AFF"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200</w:t>
            </w:r>
          </w:p>
        </w:tc>
        <w:tc>
          <w:tcPr>
            <w:tcW w:w="1999" w:type="dxa"/>
            <w:tcBorders>
              <w:top w:val="single" w:sz="6" w:space="0" w:color="auto"/>
              <w:left w:val="single" w:sz="6" w:space="0" w:color="auto"/>
              <w:bottom w:val="single" w:sz="6" w:space="0" w:color="auto"/>
              <w:right w:val="single" w:sz="6" w:space="0" w:color="auto"/>
            </w:tcBorders>
            <w:hideMark/>
          </w:tcPr>
          <w:p w14:paraId="318C537E"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 xml:space="preserve">10 mg Cl </w:t>
            </w:r>
            <w:r w:rsidRPr="00F01347">
              <w:rPr>
                <w:rFonts w:ascii="Verdana" w:hAnsi="Verdana"/>
                <w:sz w:val="15"/>
                <w:szCs w:val="15"/>
                <w:vertAlign w:val="superscript"/>
                <w:lang w:val="en-US"/>
              </w:rPr>
              <w:t xml:space="preserve">- </w:t>
            </w:r>
            <w:r w:rsidRPr="00F01347">
              <w:rPr>
                <w:rFonts w:ascii="Verdana" w:hAnsi="Verdana"/>
                <w:sz w:val="15"/>
                <w:szCs w:val="15"/>
                <w:lang w:val="en-US"/>
              </w:rPr>
              <w:t>/L</w:t>
            </w:r>
          </w:p>
          <w:p w14:paraId="6F6BCDDB" w14:textId="4646D423"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1.0 mg NO</w:t>
            </w:r>
            <w:r w:rsidRPr="00F01347">
              <w:rPr>
                <w:rFonts w:ascii="Verdana" w:hAnsi="Verdana"/>
                <w:sz w:val="15"/>
                <w:szCs w:val="15"/>
                <w:vertAlign w:val="subscript"/>
                <w:lang w:val="en-US"/>
              </w:rPr>
              <w:t xml:space="preserve">3 </w:t>
            </w:r>
            <w:r w:rsidRPr="00F01347">
              <w:rPr>
                <w:rFonts w:ascii="Verdana" w:hAnsi="Verdana"/>
                <w:sz w:val="15"/>
                <w:szCs w:val="15"/>
                <w:vertAlign w:val="superscript"/>
                <w:lang w:val="en-US"/>
              </w:rPr>
              <w:t xml:space="preserve">— </w:t>
            </w:r>
            <w:r w:rsidRPr="00F01347">
              <w:rPr>
                <w:rFonts w:ascii="Verdana" w:hAnsi="Verdana"/>
                <w:sz w:val="15"/>
                <w:szCs w:val="15"/>
                <w:lang w:val="en-US"/>
              </w:rPr>
              <w:t>N/L</w:t>
            </w:r>
          </w:p>
          <w:p w14:paraId="15C53688"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1.5 N organic/L</w:t>
            </w:r>
          </w:p>
          <w:p w14:paraId="49C9CF81" w14:textId="0C2D70A3"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10.0 mg PO</w:t>
            </w:r>
            <w:r w:rsidRPr="00F01347">
              <w:rPr>
                <w:rFonts w:ascii="Verdana" w:hAnsi="Verdana"/>
                <w:sz w:val="15"/>
                <w:szCs w:val="15"/>
                <w:vertAlign w:val="subscript"/>
                <w:lang w:val="en-US"/>
              </w:rPr>
              <w:t xml:space="preserve">4 </w:t>
            </w:r>
            <w:r w:rsidRPr="00F01347">
              <w:rPr>
                <w:rFonts w:ascii="Verdana" w:hAnsi="Verdana"/>
                <w:sz w:val="15"/>
                <w:szCs w:val="15"/>
                <w:vertAlign w:val="superscript"/>
                <w:lang w:val="en-US"/>
              </w:rPr>
              <w:t xml:space="preserve">3- </w:t>
            </w:r>
            <w:r w:rsidRPr="00F01347">
              <w:rPr>
                <w:rFonts w:ascii="Verdana" w:hAnsi="Verdana"/>
                <w:sz w:val="15"/>
                <w:szCs w:val="15"/>
                <w:lang w:val="en-US"/>
              </w:rPr>
              <w:t>/L</w:t>
            </w:r>
          </w:p>
          <w:p w14:paraId="5E2A685F"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5.0 mg silica /L</w:t>
            </w:r>
          </w:p>
        </w:tc>
        <w:tc>
          <w:tcPr>
            <w:tcW w:w="2003" w:type="dxa"/>
            <w:tcBorders>
              <w:top w:val="single" w:sz="6" w:space="0" w:color="auto"/>
              <w:left w:val="single" w:sz="6" w:space="0" w:color="auto"/>
              <w:bottom w:val="single" w:sz="6" w:space="0" w:color="auto"/>
              <w:right w:val="single" w:sz="6" w:space="0" w:color="auto"/>
            </w:tcBorders>
            <w:hideMark/>
          </w:tcPr>
          <w:p w14:paraId="1BF2DC8E" w14:textId="55B298AB" w:rsidR="00065A86" w:rsidRPr="00F01347" w:rsidRDefault="009E6861">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21</w:t>
            </w:r>
          </w:p>
        </w:tc>
        <w:tc>
          <w:tcPr>
            <w:tcW w:w="1470" w:type="dxa"/>
            <w:tcBorders>
              <w:top w:val="single" w:sz="6" w:space="0" w:color="auto"/>
              <w:left w:val="single" w:sz="6" w:space="0" w:color="auto"/>
              <w:bottom w:val="single" w:sz="6" w:space="0" w:color="auto"/>
              <w:right w:val="single" w:sz="6" w:space="0" w:color="auto"/>
            </w:tcBorders>
            <w:hideMark/>
          </w:tcPr>
          <w:p w14:paraId="4F03F778"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69.8%</w:t>
            </w:r>
          </w:p>
        </w:tc>
        <w:tc>
          <w:tcPr>
            <w:tcW w:w="734" w:type="dxa"/>
            <w:tcBorders>
              <w:top w:val="single" w:sz="6" w:space="0" w:color="auto"/>
              <w:left w:val="single" w:sz="6" w:space="0" w:color="auto"/>
              <w:bottom w:val="single" w:sz="6" w:space="0" w:color="auto"/>
              <w:right w:val="single" w:sz="6" w:space="0" w:color="auto"/>
            </w:tcBorders>
            <w:hideMark/>
          </w:tcPr>
          <w:p w14:paraId="6639A629"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twenty%</w:t>
            </w:r>
          </w:p>
        </w:tc>
      </w:tr>
      <w:tr w:rsidR="00065A86" w:rsidRPr="00F01347" w14:paraId="6F6EF2C4" w14:textId="77777777" w:rsidTr="00065A86">
        <w:trPr>
          <w:trHeight w:val="20"/>
        </w:trPr>
        <w:tc>
          <w:tcPr>
            <w:tcW w:w="837" w:type="dxa"/>
            <w:tcBorders>
              <w:top w:val="single" w:sz="6" w:space="0" w:color="auto"/>
              <w:left w:val="single" w:sz="6" w:space="0" w:color="auto"/>
              <w:bottom w:val="single" w:sz="6" w:space="0" w:color="auto"/>
              <w:right w:val="single" w:sz="6" w:space="0" w:color="auto"/>
            </w:tcBorders>
            <w:hideMark/>
          </w:tcPr>
          <w:p w14:paraId="723DDB51"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2</w:t>
            </w:r>
          </w:p>
        </w:tc>
        <w:tc>
          <w:tcPr>
            <w:tcW w:w="1640" w:type="dxa"/>
            <w:tcBorders>
              <w:top w:val="single" w:sz="6" w:space="0" w:color="auto"/>
              <w:left w:val="single" w:sz="6" w:space="0" w:color="auto"/>
              <w:bottom w:val="single" w:sz="6" w:space="0" w:color="auto"/>
              <w:right w:val="single" w:sz="6" w:space="0" w:color="auto"/>
            </w:tcBorders>
            <w:hideMark/>
          </w:tcPr>
          <w:p w14:paraId="4A13A092"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800</w:t>
            </w:r>
          </w:p>
        </w:tc>
        <w:tc>
          <w:tcPr>
            <w:tcW w:w="1999" w:type="dxa"/>
            <w:tcBorders>
              <w:top w:val="single" w:sz="6" w:space="0" w:color="auto"/>
              <w:left w:val="single" w:sz="6" w:space="0" w:color="auto"/>
              <w:bottom w:val="single" w:sz="6" w:space="0" w:color="auto"/>
              <w:right w:val="single" w:sz="6" w:space="0" w:color="auto"/>
            </w:tcBorders>
            <w:hideMark/>
          </w:tcPr>
          <w:p w14:paraId="6E03DB7A"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 xml:space="preserve">200 mg Cl </w:t>
            </w:r>
            <w:r w:rsidRPr="00F01347">
              <w:rPr>
                <w:rFonts w:ascii="Verdana" w:hAnsi="Verdana"/>
                <w:sz w:val="15"/>
                <w:szCs w:val="15"/>
                <w:vertAlign w:val="superscript"/>
                <w:lang w:val="en-US"/>
              </w:rPr>
              <w:t xml:space="preserve">- </w:t>
            </w:r>
            <w:r w:rsidRPr="00F01347">
              <w:rPr>
                <w:rFonts w:ascii="Verdana" w:hAnsi="Verdana"/>
                <w:sz w:val="15"/>
                <w:szCs w:val="15"/>
                <w:lang w:val="en-US"/>
              </w:rPr>
              <w:t>/L</w:t>
            </w:r>
          </w:p>
          <w:p w14:paraId="2507BA61" w14:textId="0A2D6FFA"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1.0 mg NO</w:t>
            </w:r>
            <w:r w:rsidRPr="00F01347">
              <w:rPr>
                <w:rFonts w:ascii="Verdana" w:hAnsi="Verdana"/>
                <w:sz w:val="15"/>
                <w:szCs w:val="15"/>
                <w:vertAlign w:val="subscript"/>
                <w:lang w:val="en-US"/>
              </w:rPr>
              <w:t xml:space="preserve">3 </w:t>
            </w:r>
            <w:r w:rsidRPr="00F01347">
              <w:rPr>
                <w:rFonts w:ascii="Verdana" w:hAnsi="Verdana"/>
                <w:sz w:val="15"/>
                <w:szCs w:val="15"/>
                <w:vertAlign w:val="superscript"/>
                <w:lang w:val="en-US"/>
              </w:rPr>
              <w:t xml:space="preserve">— </w:t>
            </w:r>
            <w:r w:rsidRPr="00F01347">
              <w:rPr>
                <w:rFonts w:ascii="Verdana" w:hAnsi="Verdana"/>
                <w:sz w:val="15"/>
                <w:szCs w:val="15"/>
                <w:lang w:val="en-US"/>
              </w:rPr>
              <w:t>N/L</w:t>
            </w:r>
          </w:p>
          <w:p w14:paraId="3485D3CF"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0.8 mg organic/L</w:t>
            </w:r>
          </w:p>
          <w:p w14:paraId="0D1B8B5D" w14:textId="2645220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5.0 mg PO</w:t>
            </w:r>
            <w:r w:rsidRPr="00F01347">
              <w:rPr>
                <w:rFonts w:ascii="Verdana" w:hAnsi="Verdana"/>
                <w:sz w:val="15"/>
                <w:szCs w:val="15"/>
                <w:vertAlign w:val="subscript"/>
                <w:lang w:val="en-US"/>
              </w:rPr>
              <w:t xml:space="preserve">4 </w:t>
            </w:r>
            <w:r w:rsidRPr="00F01347">
              <w:rPr>
                <w:rFonts w:ascii="Verdana" w:hAnsi="Verdana"/>
                <w:sz w:val="15"/>
                <w:szCs w:val="15"/>
                <w:vertAlign w:val="superscript"/>
                <w:lang w:val="en-US"/>
              </w:rPr>
              <w:t xml:space="preserve">3- </w:t>
            </w:r>
            <w:r w:rsidRPr="00F01347">
              <w:rPr>
                <w:rFonts w:ascii="Verdana" w:hAnsi="Verdana"/>
                <w:sz w:val="15"/>
                <w:szCs w:val="15"/>
                <w:lang w:val="en-US"/>
              </w:rPr>
              <w:t>/L</w:t>
            </w:r>
          </w:p>
          <w:p w14:paraId="74BE161F"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15.0 mg silica /L</w:t>
            </w:r>
          </w:p>
        </w:tc>
        <w:tc>
          <w:tcPr>
            <w:tcW w:w="2003" w:type="dxa"/>
            <w:tcBorders>
              <w:top w:val="single" w:sz="6" w:space="0" w:color="auto"/>
              <w:left w:val="single" w:sz="6" w:space="0" w:color="auto"/>
              <w:bottom w:val="single" w:sz="6" w:space="0" w:color="auto"/>
              <w:right w:val="single" w:sz="6" w:space="0" w:color="auto"/>
            </w:tcBorders>
            <w:hideMark/>
          </w:tcPr>
          <w:p w14:paraId="3B638AF7" w14:textId="15C955E3" w:rsidR="00065A86" w:rsidRPr="00F01347" w:rsidRDefault="009E6861">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20</w:t>
            </w:r>
          </w:p>
        </w:tc>
        <w:tc>
          <w:tcPr>
            <w:tcW w:w="1470" w:type="dxa"/>
            <w:tcBorders>
              <w:top w:val="single" w:sz="6" w:space="0" w:color="auto"/>
              <w:left w:val="single" w:sz="6" w:space="0" w:color="auto"/>
              <w:bottom w:val="single" w:sz="6" w:space="0" w:color="auto"/>
              <w:right w:val="single" w:sz="6" w:space="0" w:color="auto"/>
            </w:tcBorders>
            <w:hideMark/>
          </w:tcPr>
          <w:p w14:paraId="74D6E830"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28.6%</w:t>
            </w:r>
          </w:p>
        </w:tc>
        <w:tc>
          <w:tcPr>
            <w:tcW w:w="734" w:type="dxa"/>
            <w:tcBorders>
              <w:top w:val="single" w:sz="6" w:space="0" w:color="auto"/>
              <w:left w:val="single" w:sz="6" w:space="0" w:color="auto"/>
              <w:bottom w:val="single" w:sz="6" w:space="0" w:color="auto"/>
              <w:right w:val="single" w:sz="6" w:space="0" w:color="auto"/>
            </w:tcBorders>
            <w:hideMark/>
          </w:tcPr>
          <w:p w14:paraId="73967E0F"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5%</w:t>
            </w:r>
          </w:p>
        </w:tc>
      </w:tr>
      <w:tr w:rsidR="00065A86" w:rsidRPr="00F01347" w14:paraId="3F0AC360" w14:textId="77777777" w:rsidTr="00065A86">
        <w:trPr>
          <w:trHeight w:val="20"/>
        </w:trPr>
        <w:tc>
          <w:tcPr>
            <w:tcW w:w="837" w:type="dxa"/>
            <w:tcBorders>
              <w:top w:val="single" w:sz="6" w:space="0" w:color="auto"/>
              <w:left w:val="single" w:sz="6" w:space="0" w:color="auto"/>
              <w:bottom w:val="single" w:sz="6" w:space="0" w:color="auto"/>
              <w:right w:val="single" w:sz="6" w:space="0" w:color="auto"/>
            </w:tcBorders>
            <w:hideMark/>
          </w:tcPr>
          <w:p w14:paraId="0E644A02"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3</w:t>
            </w:r>
          </w:p>
        </w:tc>
        <w:tc>
          <w:tcPr>
            <w:tcW w:w="1640" w:type="dxa"/>
            <w:tcBorders>
              <w:top w:val="single" w:sz="6" w:space="0" w:color="auto"/>
              <w:left w:val="single" w:sz="6" w:space="0" w:color="auto"/>
              <w:bottom w:val="single" w:sz="6" w:space="0" w:color="auto"/>
              <w:right w:val="single" w:sz="6" w:space="0" w:color="auto"/>
            </w:tcBorders>
            <w:hideMark/>
          </w:tcPr>
          <w:p w14:paraId="3877EB7F"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1500</w:t>
            </w:r>
          </w:p>
        </w:tc>
        <w:tc>
          <w:tcPr>
            <w:tcW w:w="1999" w:type="dxa"/>
            <w:tcBorders>
              <w:top w:val="single" w:sz="6" w:space="0" w:color="auto"/>
              <w:left w:val="single" w:sz="6" w:space="0" w:color="auto"/>
              <w:bottom w:val="single" w:sz="6" w:space="0" w:color="auto"/>
              <w:right w:val="single" w:sz="6" w:space="0" w:color="auto"/>
            </w:tcBorders>
            <w:hideMark/>
          </w:tcPr>
          <w:p w14:paraId="6B922686"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400 mg Cl-/L</w:t>
            </w:r>
          </w:p>
          <w:p w14:paraId="60DCD624" w14:textId="37D89088"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1.0 mg NO</w:t>
            </w:r>
            <w:r w:rsidRPr="00F01347">
              <w:rPr>
                <w:rFonts w:ascii="Verdana" w:hAnsi="Verdana"/>
                <w:sz w:val="15"/>
                <w:szCs w:val="15"/>
                <w:vertAlign w:val="subscript"/>
                <w:lang w:val="en-US"/>
              </w:rPr>
              <w:t xml:space="preserve">3 </w:t>
            </w:r>
            <w:r w:rsidRPr="00F01347">
              <w:rPr>
                <w:rFonts w:ascii="Verdana" w:hAnsi="Verdana"/>
                <w:sz w:val="15"/>
                <w:szCs w:val="15"/>
                <w:vertAlign w:val="superscript"/>
                <w:lang w:val="en-US"/>
              </w:rPr>
              <w:t xml:space="preserve">— </w:t>
            </w:r>
            <w:r w:rsidRPr="00F01347">
              <w:rPr>
                <w:rFonts w:ascii="Verdana" w:hAnsi="Verdana"/>
                <w:sz w:val="15"/>
                <w:szCs w:val="15"/>
                <w:lang w:val="en-US"/>
              </w:rPr>
              <w:t>N/L</w:t>
            </w:r>
          </w:p>
          <w:p w14:paraId="13101FD6"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0.2 mg organic/L</w:t>
            </w:r>
          </w:p>
          <w:p w14:paraId="6CA218C6" w14:textId="45371BD1"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0.5 mg PO</w:t>
            </w:r>
            <w:r w:rsidRPr="00F01347">
              <w:rPr>
                <w:rFonts w:ascii="Verdana" w:hAnsi="Verdana"/>
                <w:sz w:val="15"/>
                <w:szCs w:val="15"/>
                <w:vertAlign w:val="subscript"/>
                <w:lang w:val="en-US"/>
              </w:rPr>
              <w:t xml:space="preserve">4 </w:t>
            </w:r>
            <w:r w:rsidRPr="00F01347">
              <w:rPr>
                <w:rFonts w:ascii="Verdana" w:hAnsi="Verdana"/>
                <w:sz w:val="15"/>
                <w:szCs w:val="15"/>
                <w:vertAlign w:val="superscript"/>
                <w:lang w:val="en-US"/>
              </w:rPr>
              <w:t xml:space="preserve">3- </w:t>
            </w:r>
            <w:r w:rsidRPr="00F01347">
              <w:rPr>
                <w:rFonts w:ascii="Verdana" w:hAnsi="Verdana"/>
                <w:sz w:val="15"/>
                <w:szCs w:val="15"/>
                <w:lang w:val="en-US"/>
              </w:rPr>
              <w:t>/L</w:t>
            </w:r>
          </w:p>
          <w:p w14:paraId="219D6170"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30.0 mg silica /L</w:t>
            </w:r>
          </w:p>
        </w:tc>
        <w:tc>
          <w:tcPr>
            <w:tcW w:w="2003" w:type="dxa"/>
            <w:tcBorders>
              <w:top w:val="single" w:sz="6" w:space="0" w:color="auto"/>
              <w:left w:val="single" w:sz="6" w:space="0" w:color="auto"/>
              <w:bottom w:val="single" w:sz="6" w:space="0" w:color="auto"/>
              <w:right w:val="single" w:sz="6" w:space="0" w:color="auto"/>
            </w:tcBorders>
            <w:hideMark/>
          </w:tcPr>
          <w:p w14:paraId="2DAFC2C1" w14:textId="5976A659" w:rsidR="00065A86" w:rsidRPr="00F01347" w:rsidRDefault="009E6861">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21</w:t>
            </w:r>
          </w:p>
        </w:tc>
        <w:tc>
          <w:tcPr>
            <w:tcW w:w="1470" w:type="dxa"/>
            <w:tcBorders>
              <w:top w:val="single" w:sz="6" w:space="0" w:color="auto"/>
              <w:left w:val="single" w:sz="6" w:space="0" w:color="auto"/>
              <w:bottom w:val="single" w:sz="6" w:space="0" w:color="auto"/>
              <w:right w:val="single" w:sz="6" w:space="0" w:color="auto"/>
            </w:tcBorders>
            <w:hideMark/>
          </w:tcPr>
          <w:p w14:paraId="4ACF4160"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21.6%</w:t>
            </w:r>
          </w:p>
        </w:tc>
        <w:tc>
          <w:tcPr>
            <w:tcW w:w="734" w:type="dxa"/>
            <w:tcBorders>
              <w:top w:val="single" w:sz="6" w:space="0" w:color="auto"/>
              <w:left w:val="single" w:sz="6" w:space="0" w:color="auto"/>
              <w:bottom w:val="single" w:sz="6" w:space="0" w:color="auto"/>
              <w:right w:val="single" w:sz="6" w:space="0" w:color="auto"/>
            </w:tcBorders>
            <w:hideMark/>
          </w:tcPr>
          <w:p w14:paraId="0C0BE2DC" w14:textId="77777777" w:rsidR="00065A86" w:rsidRPr="00F01347" w:rsidRDefault="00065A86">
            <w:pPr>
              <w:pStyle w:val="texto0"/>
              <w:spacing w:line="228" w:lineRule="exact"/>
              <w:ind w:firstLine="0"/>
              <w:jc w:val="center"/>
              <w:rPr>
                <w:rFonts w:ascii="Verdana" w:hAnsi="Verdana"/>
                <w:sz w:val="15"/>
                <w:szCs w:val="15"/>
                <w:lang w:val="en-US"/>
              </w:rPr>
            </w:pPr>
            <w:r w:rsidRPr="00F01347">
              <w:rPr>
                <w:rFonts w:ascii="Verdana" w:hAnsi="Verdana"/>
                <w:sz w:val="15"/>
                <w:szCs w:val="15"/>
                <w:lang w:val="en-US"/>
              </w:rPr>
              <w:t>2.6%</w:t>
            </w:r>
          </w:p>
        </w:tc>
      </w:tr>
    </w:tbl>
    <w:p w14:paraId="1AF60F39" w14:textId="77777777" w:rsidR="00065A86" w:rsidRPr="00F01347" w:rsidRDefault="00065A86" w:rsidP="00065A86">
      <w:pPr>
        <w:pStyle w:val="texto0"/>
        <w:spacing w:line="228"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65A86" w:rsidRPr="00F01347" w14:paraId="273AA206" w14:textId="11F88181" w:rsidTr="009E6861">
        <w:tc>
          <w:tcPr>
            <w:tcW w:w="4675" w:type="dxa"/>
          </w:tcPr>
          <w:p w14:paraId="673CEC1A" w14:textId="77777777" w:rsidR="00065A86" w:rsidRPr="00F01347" w:rsidRDefault="00065A86" w:rsidP="00065A86">
            <w:pPr>
              <w:pStyle w:val="texto0"/>
              <w:spacing w:line="228" w:lineRule="exact"/>
              <w:ind w:firstLine="0"/>
              <w:rPr>
                <w:rFonts w:ascii="Verdana" w:hAnsi="Verdana"/>
                <w:b/>
                <w:sz w:val="16"/>
                <w:szCs w:val="16"/>
              </w:rPr>
            </w:pPr>
            <w:r w:rsidRPr="00F01347">
              <w:rPr>
                <w:rFonts w:ascii="Verdana" w:hAnsi="Verdana"/>
                <w:b/>
                <w:sz w:val="16"/>
                <w:szCs w:val="16"/>
              </w:rPr>
              <w:t>B.7.1.7 Referencias</w:t>
            </w:r>
          </w:p>
        </w:tc>
        <w:tc>
          <w:tcPr>
            <w:tcW w:w="4675" w:type="dxa"/>
          </w:tcPr>
          <w:p w14:paraId="058CED5C" w14:textId="1CC62181" w:rsidR="00065A86" w:rsidRPr="00F01347" w:rsidRDefault="00065A86" w:rsidP="00065A86">
            <w:pPr>
              <w:pStyle w:val="texto0"/>
              <w:spacing w:line="228" w:lineRule="exact"/>
              <w:ind w:firstLine="0"/>
              <w:rPr>
                <w:rFonts w:ascii="Verdana" w:hAnsi="Verdana"/>
                <w:b/>
                <w:sz w:val="16"/>
                <w:szCs w:val="16"/>
                <w:lang w:val="en-US"/>
              </w:rPr>
            </w:pPr>
            <w:r w:rsidRPr="00F01347">
              <w:rPr>
                <w:rFonts w:ascii="Verdana" w:hAnsi="Verdana"/>
                <w:b/>
                <w:sz w:val="16"/>
                <w:szCs w:val="16"/>
                <w:lang w:val="en-US"/>
              </w:rPr>
              <w:t>B.7.1.7 References</w:t>
            </w:r>
          </w:p>
        </w:tc>
      </w:tr>
      <w:tr w:rsidR="00065A86" w:rsidRPr="00F01347" w14:paraId="6C6F17A9" w14:textId="00B43400" w:rsidTr="009E6861">
        <w:tc>
          <w:tcPr>
            <w:tcW w:w="4675" w:type="dxa"/>
          </w:tcPr>
          <w:p w14:paraId="0F668E55" w14:textId="77777777" w:rsidR="00065A86" w:rsidRPr="00F01347" w:rsidRDefault="00065A86" w:rsidP="00065A86">
            <w:pPr>
              <w:pStyle w:val="texto0"/>
              <w:spacing w:line="228" w:lineRule="exact"/>
              <w:ind w:firstLine="0"/>
              <w:rPr>
                <w:rFonts w:ascii="Verdana" w:hAnsi="Verdana"/>
                <w:sz w:val="16"/>
                <w:szCs w:val="16"/>
              </w:rPr>
            </w:pPr>
            <w:r w:rsidRPr="00F01347">
              <w:rPr>
                <w:rFonts w:ascii="Verdana" w:hAnsi="Verdana"/>
                <w:sz w:val="16"/>
                <w:szCs w:val="16"/>
                <w:lang w:val="en-US"/>
              </w:rPr>
              <w:t xml:space="preserve">Standard methods for examination of water and wastewater. </w:t>
            </w:r>
            <w:r w:rsidRPr="00F01347">
              <w:rPr>
                <w:rFonts w:ascii="Verdana" w:hAnsi="Verdana"/>
                <w:sz w:val="16"/>
                <w:szCs w:val="16"/>
              </w:rPr>
              <w:t xml:space="preserve">4500-NH3 C. </w:t>
            </w:r>
            <w:proofErr w:type="spellStart"/>
            <w:r w:rsidRPr="00F01347">
              <w:rPr>
                <w:rFonts w:ascii="Verdana" w:hAnsi="Verdana"/>
                <w:sz w:val="16"/>
                <w:szCs w:val="16"/>
              </w:rPr>
              <w:t>Titrimetric</w:t>
            </w:r>
            <w:proofErr w:type="spellEnd"/>
            <w:r w:rsidRPr="00F01347">
              <w:rPr>
                <w:rFonts w:ascii="Verdana" w:hAnsi="Verdana"/>
                <w:sz w:val="16"/>
                <w:szCs w:val="16"/>
              </w:rPr>
              <w:t xml:space="preserve"> </w:t>
            </w:r>
            <w:proofErr w:type="spellStart"/>
            <w:r w:rsidRPr="00F01347">
              <w:rPr>
                <w:rFonts w:ascii="Verdana" w:hAnsi="Verdana"/>
                <w:sz w:val="16"/>
                <w:szCs w:val="16"/>
              </w:rPr>
              <w:t>Method</w:t>
            </w:r>
            <w:proofErr w:type="spellEnd"/>
          </w:p>
        </w:tc>
        <w:tc>
          <w:tcPr>
            <w:tcW w:w="4675" w:type="dxa"/>
          </w:tcPr>
          <w:p w14:paraId="1C3B9036" w14:textId="78001E96" w:rsidR="00065A86" w:rsidRPr="00F01347" w:rsidRDefault="00065A86" w:rsidP="00065A86">
            <w:pPr>
              <w:pStyle w:val="texto0"/>
              <w:spacing w:line="228" w:lineRule="exact"/>
              <w:ind w:firstLine="0"/>
              <w:rPr>
                <w:rFonts w:ascii="Verdana" w:hAnsi="Verdana"/>
                <w:sz w:val="16"/>
                <w:szCs w:val="16"/>
                <w:lang w:val="en-US"/>
              </w:rPr>
            </w:pPr>
            <w:r w:rsidRPr="00F01347">
              <w:rPr>
                <w:rFonts w:ascii="Verdana" w:hAnsi="Verdana"/>
                <w:sz w:val="16"/>
                <w:szCs w:val="16"/>
                <w:lang w:val="en-US"/>
              </w:rPr>
              <w:t>Standard methods for examination of water and wastewater. 4500-NH3 C. Titrimetric method</w:t>
            </w:r>
          </w:p>
        </w:tc>
      </w:tr>
      <w:tr w:rsidR="00065A86" w:rsidRPr="00F01347" w14:paraId="77204623" w14:textId="450B5977" w:rsidTr="009E6861">
        <w:tc>
          <w:tcPr>
            <w:tcW w:w="4675" w:type="dxa"/>
          </w:tcPr>
          <w:p w14:paraId="7CEBA4DA" w14:textId="77777777" w:rsidR="00065A86" w:rsidRPr="00F01347" w:rsidRDefault="00065A86" w:rsidP="00065A86">
            <w:pPr>
              <w:pStyle w:val="texto0"/>
              <w:spacing w:line="228" w:lineRule="exact"/>
              <w:ind w:firstLine="0"/>
              <w:jc w:val="center"/>
              <w:rPr>
                <w:rFonts w:ascii="Verdana" w:hAnsi="Verdana"/>
                <w:b/>
                <w:sz w:val="16"/>
                <w:szCs w:val="16"/>
              </w:rPr>
            </w:pPr>
            <w:r w:rsidRPr="00F01347">
              <w:rPr>
                <w:rFonts w:ascii="Verdana" w:hAnsi="Verdana"/>
                <w:b/>
                <w:sz w:val="16"/>
                <w:szCs w:val="16"/>
              </w:rPr>
              <w:t>B.7.2 MÉTODO DE PRUEBA PARA LA DETERMINACIÓN DE NITRÓGENO AMONIACAL EN AGUA PARA USO Y CONSUMO HUMANO POR ELECTRODO SELECTIVO DE AMONÍACO</w:t>
            </w:r>
          </w:p>
        </w:tc>
        <w:tc>
          <w:tcPr>
            <w:tcW w:w="4675" w:type="dxa"/>
          </w:tcPr>
          <w:p w14:paraId="5F73F2B9" w14:textId="37A260B2" w:rsidR="00065A86" w:rsidRPr="00F01347" w:rsidRDefault="00065A86" w:rsidP="00065A86">
            <w:pPr>
              <w:pStyle w:val="texto0"/>
              <w:spacing w:line="228" w:lineRule="exact"/>
              <w:ind w:firstLine="0"/>
              <w:jc w:val="center"/>
              <w:rPr>
                <w:rFonts w:ascii="Verdana" w:hAnsi="Verdana"/>
                <w:b/>
                <w:sz w:val="16"/>
                <w:szCs w:val="16"/>
                <w:lang w:val="en-US"/>
              </w:rPr>
            </w:pPr>
            <w:r w:rsidRPr="00F01347">
              <w:rPr>
                <w:rFonts w:ascii="Verdana" w:hAnsi="Verdana"/>
                <w:b/>
                <w:sz w:val="16"/>
                <w:szCs w:val="16"/>
                <w:lang w:val="en-US"/>
              </w:rPr>
              <w:t>B.7.2 TEST METHOD FOR THE DETERMINATION OF AMMONIA NITROGEN IN WATER FOR HUMAN USE AND CONSUMPTION BY SELECTIVE AMMONIA ELECTRODE</w:t>
            </w:r>
          </w:p>
        </w:tc>
      </w:tr>
      <w:tr w:rsidR="00065A86" w:rsidRPr="00F01347" w14:paraId="3CD2BC11" w14:textId="16CFA425" w:rsidTr="009E6861">
        <w:tc>
          <w:tcPr>
            <w:tcW w:w="4675" w:type="dxa"/>
          </w:tcPr>
          <w:p w14:paraId="2C2FB22A" w14:textId="77777777" w:rsidR="00065A86" w:rsidRPr="00F01347" w:rsidRDefault="00065A86" w:rsidP="00065A86">
            <w:pPr>
              <w:pStyle w:val="texto0"/>
              <w:spacing w:line="228" w:lineRule="exact"/>
              <w:ind w:firstLine="0"/>
              <w:rPr>
                <w:rFonts w:ascii="Verdana" w:hAnsi="Verdana"/>
                <w:b/>
                <w:sz w:val="16"/>
                <w:szCs w:val="16"/>
              </w:rPr>
            </w:pPr>
            <w:r w:rsidRPr="00F01347">
              <w:rPr>
                <w:rFonts w:ascii="Verdana" w:hAnsi="Verdana"/>
                <w:b/>
                <w:sz w:val="16"/>
                <w:szCs w:val="16"/>
              </w:rPr>
              <w:t>B.7.2.1 Principio</w:t>
            </w:r>
          </w:p>
        </w:tc>
        <w:tc>
          <w:tcPr>
            <w:tcW w:w="4675" w:type="dxa"/>
          </w:tcPr>
          <w:p w14:paraId="36D8D53E" w14:textId="6B645E69" w:rsidR="00065A86" w:rsidRPr="00F01347" w:rsidRDefault="00065A86" w:rsidP="00065A86">
            <w:pPr>
              <w:pStyle w:val="texto0"/>
              <w:spacing w:line="228" w:lineRule="exact"/>
              <w:ind w:firstLine="0"/>
              <w:rPr>
                <w:rFonts w:ascii="Verdana" w:hAnsi="Verdana"/>
                <w:b/>
                <w:sz w:val="16"/>
                <w:szCs w:val="16"/>
                <w:lang w:val="en-US"/>
              </w:rPr>
            </w:pPr>
            <w:r w:rsidRPr="00F01347">
              <w:rPr>
                <w:rFonts w:ascii="Verdana" w:hAnsi="Verdana"/>
                <w:b/>
                <w:sz w:val="16"/>
                <w:szCs w:val="16"/>
                <w:lang w:val="en-US"/>
              </w:rPr>
              <w:t>B.7.2.1 Principle</w:t>
            </w:r>
          </w:p>
        </w:tc>
      </w:tr>
      <w:tr w:rsidR="00065A86" w:rsidRPr="00F01347" w14:paraId="51088C46" w14:textId="0F1FA87B" w:rsidTr="009E6861">
        <w:tc>
          <w:tcPr>
            <w:tcW w:w="4675" w:type="dxa"/>
          </w:tcPr>
          <w:p w14:paraId="7B85A499" w14:textId="77777777" w:rsidR="00065A86" w:rsidRPr="00F01347" w:rsidRDefault="00065A86" w:rsidP="00065A86">
            <w:pPr>
              <w:pStyle w:val="texto0"/>
              <w:spacing w:line="228" w:lineRule="exact"/>
              <w:ind w:firstLine="0"/>
              <w:rPr>
                <w:rFonts w:ascii="Verdana" w:hAnsi="Verdana"/>
                <w:sz w:val="16"/>
                <w:szCs w:val="16"/>
              </w:rPr>
            </w:pPr>
            <w:r w:rsidRPr="00F01347">
              <w:rPr>
                <w:rFonts w:ascii="Verdana" w:hAnsi="Verdana"/>
                <w:sz w:val="16"/>
                <w:szCs w:val="16"/>
              </w:rPr>
              <w:t>El método para la determinación de nitrógeno amoniacal en agua para uso y consumo humano por electrodo selectivo de amoníaco utiliza una membrana permeable a gas hidrofóbico para separar la muestra de la disolución interna del electrodo de cloruro de amonio.</w:t>
            </w:r>
          </w:p>
        </w:tc>
        <w:tc>
          <w:tcPr>
            <w:tcW w:w="4675" w:type="dxa"/>
          </w:tcPr>
          <w:p w14:paraId="4C8F21FE" w14:textId="0486C282" w:rsidR="00065A86" w:rsidRPr="00F01347" w:rsidRDefault="00065A86" w:rsidP="00065A86">
            <w:pPr>
              <w:pStyle w:val="texto0"/>
              <w:spacing w:line="228" w:lineRule="exact"/>
              <w:ind w:firstLine="0"/>
              <w:rPr>
                <w:rFonts w:ascii="Verdana" w:hAnsi="Verdana"/>
                <w:sz w:val="16"/>
                <w:szCs w:val="16"/>
                <w:lang w:val="en-US"/>
              </w:rPr>
            </w:pPr>
            <w:r w:rsidRPr="00F01347">
              <w:rPr>
                <w:rFonts w:ascii="Verdana" w:hAnsi="Verdana"/>
                <w:sz w:val="16"/>
                <w:szCs w:val="16"/>
                <w:lang w:val="en-US"/>
              </w:rPr>
              <w:t>The method for the determination of ammoniacal nitrogen in water for human use and consumption by ammonia-selective electrode uses a membrane permeable to hydrophobic gas to separate the sample from the internal solution of the ammonium chloride electrode.</w:t>
            </w:r>
          </w:p>
        </w:tc>
      </w:tr>
      <w:tr w:rsidR="00065A86" w:rsidRPr="00F01347" w14:paraId="4DCFA141" w14:textId="7235F04C" w:rsidTr="009E6861">
        <w:tc>
          <w:tcPr>
            <w:tcW w:w="4675" w:type="dxa"/>
          </w:tcPr>
          <w:p w14:paraId="4FFA3BA9" w14:textId="77777777" w:rsidR="00065A86" w:rsidRPr="00F01347" w:rsidRDefault="00065A86" w:rsidP="00065A86">
            <w:pPr>
              <w:pStyle w:val="texto0"/>
              <w:ind w:firstLine="0"/>
              <w:rPr>
                <w:rFonts w:ascii="Verdana" w:hAnsi="Verdana"/>
                <w:sz w:val="16"/>
                <w:szCs w:val="16"/>
              </w:rPr>
            </w:pPr>
            <w:r w:rsidRPr="00F01347">
              <w:rPr>
                <w:rFonts w:ascii="Verdana" w:hAnsi="Verdana"/>
                <w:sz w:val="16"/>
                <w:szCs w:val="16"/>
              </w:rPr>
              <w:t>El amoníaco disuelto (NH</w:t>
            </w:r>
            <w:r w:rsidRPr="00F01347">
              <w:rPr>
                <w:rFonts w:ascii="Verdana" w:hAnsi="Verdana"/>
                <w:sz w:val="16"/>
                <w:szCs w:val="16"/>
                <w:vertAlign w:val="subscript"/>
              </w:rPr>
              <w:t>3(</w:t>
            </w:r>
            <w:proofErr w:type="spellStart"/>
            <w:r w:rsidRPr="00F01347">
              <w:rPr>
                <w:rFonts w:ascii="Verdana" w:hAnsi="Verdana"/>
                <w:sz w:val="16"/>
                <w:szCs w:val="16"/>
                <w:vertAlign w:val="subscript"/>
              </w:rPr>
              <w:t>aq</w:t>
            </w:r>
            <w:proofErr w:type="spellEnd"/>
            <w:r w:rsidRPr="00F01347">
              <w:rPr>
                <w:rFonts w:ascii="Verdana" w:hAnsi="Verdana"/>
                <w:sz w:val="16"/>
                <w:szCs w:val="16"/>
                <w:vertAlign w:val="subscript"/>
              </w:rPr>
              <w:t>)</w:t>
            </w:r>
            <w:r w:rsidRPr="00F01347">
              <w:rPr>
                <w:rFonts w:ascii="Verdana" w:hAnsi="Verdana"/>
                <w:sz w:val="16"/>
                <w:szCs w:val="16"/>
              </w:rPr>
              <w:t xml:space="preserve"> y NH</w:t>
            </w:r>
            <w:r w:rsidRPr="00F01347">
              <w:rPr>
                <w:rFonts w:ascii="Verdana" w:hAnsi="Verdana"/>
                <w:sz w:val="16"/>
                <w:szCs w:val="16"/>
                <w:vertAlign w:val="superscript"/>
              </w:rPr>
              <w:t>4+</w:t>
            </w:r>
            <w:r w:rsidRPr="00F01347">
              <w:rPr>
                <w:rFonts w:ascii="Verdana" w:hAnsi="Verdana"/>
                <w:sz w:val="16"/>
                <w:szCs w:val="16"/>
              </w:rPr>
              <w:t>) es convertido a NH</w:t>
            </w:r>
            <w:r w:rsidRPr="00F01347">
              <w:rPr>
                <w:rFonts w:ascii="Verdana" w:hAnsi="Verdana"/>
                <w:sz w:val="16"/>
                <w:szCs w:val="16"/>
                <w:vertAlign w:val="subscript"/>
              </w:rPr>
              <w:t>3(</w:t>
            </w:r>
            <w:proofErr w:type="spellStart"/>
            <w:r w:rsidRPr="00F01347">
              <w:rPr>
                <w:rFonts w:ascii="Verdana" w:hAnsi="Verdana"/>
                <w:sz w:val="16"/>
                <w:szCs w:val="16"/>
                <w:vertAlign w:val="subscript"/>
              </w:rPr>
              <w:t>aq</w:t>
            </w:r>
            <w:proofErr w:type="spellEnd"/>
            <w:r w:rsidRPr="00F01347">
              <w:rPr>
                <w:rFonts w:ascii="Verdana" w:hAnsi="Verdana"/>
                <w:sz w:val="16"/>
                <w:szCs w:val="16"/>
                <w:vertAlign w:val="subscript"/>
              </w:rPr>
              <w:t>)</w:t>
            </w:r>
            <w:r w:rsidRPr="00F01347">
              <w:rPr>
                <w:rFonts w:ascii="Verdana" w:hAnsi="Verdana"/>
                <w:sz w:val="16"/>
                <w:szCs w:val="16"/>
              </w:rPr>
              <w:t xml:space="preserve"> aumentando el pH a cerca de 11 con una base fuerte. El NH</w:t>
            </w:r>
            <w:r w:rsidRPr="00F01347">
              <w:rPr>
                <w:rFonts w:ascii="Verdana" w:hAnsi="Verdana"/>
                <w:sz w:val="16"/>
                <w:szCs w:val="16"/>
                <w:vertAlign w:val="subscript"/>
              </w:rPr>
              <w:t>3(</w:t>
            </w:r>
            <w:proofErr w:type="spellStart"/>
            <w:r w:rsidRPr="00F01347">
              <w:rPr>
                <w:rFonts w:ascii="Verdana" w:hAnsi="Verdana"/>
                <w:sz w:val="16"/>
                <w:szCs w:val="16"/>
                <w:vertAlign w:val="subscript"/>
              </w:rPr>
              <w:t>aq</w:t>
            </w:r>
            <w:proofErr w:type="spellEnd"/>
            <w:r w:rsidRPr="00F01347">
              <w:rPr>
                <w:rFonts w:ascii="Verdana" w:hAnsi="Verdana"/>
                <w:sz w:val="16"/>
                <w:szCs w:val="16"/>
                <w:vertAlign w:val="subscript"/>
              </w:rPr>
              <w:t>)</w:t>
            </w:r>
            <w:r w:rsidRPr="00F01347">
              <w:rPr>
                <w:rFonts w:ascii="Verdana" w:hAnsi="Verdana"/>
                <w:sz w:val="16"/>
                <w:szCs w:val="16"/>
              </w:rPr>
              <w:t xml:space="preserve"> es difundido a través de la membrana y cambia el pH de la disolución interna que es determinado por un electrodo de pH. El nivel fijo de </w:t>
            </w:r>
            <w:r w:rsidRPr="00F01347">
              <w:rPr>
                <w:rFonts w:ascii="Verdana" w:hAnsi="Verdana"/>
                <w:sz w:val="16"/>
                <w:szCs w:val="16"/>
              </w:rPr>
              <w:lastRenderedPageBreak/>
              <w:t>cloruro en la disolución interna es determinado por un electrodo de ion selectivo a cloruro que sirve como un electrodo de referencia. La determinación potenciométrica es realizada con un medidor de pH que cuenta con una escala expandida de milivolts o con un medidor de ion específico.</w:t>
            </w:r>
          </w:p>
        </w:tc>
        <w:tc>
          <w:tcPr>
            <w:tcW w:w="4675" w:type="dxa"/>
          </w:tcPr>
          <w:p w14:paraId="1A508607" w14:textId="15A4949E" w:rsidR="00065A86" w:rsidRPr="00F01347" w:rsidRDefault="00065A86" w:rsidP="00065A86">
            <w:pPr>
              <w:pStyle w:val="texto0"/>
              <w:ind w:firstLine="0"/>
              <w:rPr>
                <w:rFonts w:ascii="Verdana" w:hAnsi="Verdana"/>
                <w:sz w:val="16"/>
                <w:szCs w:val="16"/>
                <w:lang w:val="en-US"/>
              </w:rPr>
            </w:pPr>
            <w:r w:rsidRPr="00F01347">
              <w:rPr>
                <w:rFonts w:ascii="Verdana" w:hAnsi="Verdana"/>
                <w:sz w:val="16"/>
                <w:szCs w:val="16"/>
                <w:lang w:val="en-US"/>
              </w:rPr>
              <w:lastRenderedPageBreak/>
              <w:t>The dissolved ammonia (NH</w:t>
            </w:r>
            <w:r w:rsidRPr="00F01347">
              <w:rPr>
                <w:rFonts w:ascii="Verdana" w:hAnsi="Verdana"/>
                <w:sz w:val="16"/>
                <w:szCs w:val="16"/>
                <w:vertAlign w:val="subscript"/>
                <w:lang w:val="en-US"/>
              </w:rPr>
              <w:t>3</w:t>
            </w:r>
            <w:r w:rsidR="00CB209C" w:rsidRPr="00F01347">
              <w:rPr>
                <w:rFonts w:ascii="Verdana" w:hAnsi="Verdana"/>
                <w:sz w:val="16"/>
                <w:szCs w:val="16"/>
                <w:vertAlign w:val="subscript"/>
                <w:lang w:val="en-US"/>
              </w:rPr>
              <w:t>(</w:t>
            </w:r>
            <w:proofErr w:type="spellStart"/>
            <w:r w:rsidRPr="00F01347">
              <w:rPr>
                <w:rFonts w:ascii="Verdana" w:hAnsi="Verdana"/>
                <w:sz w:val="16"/>
                <w:szCs w:val="16"/>
                <w:vertAlign w:val="subscript"/>
                <w:lang w:val="en-US"/>
              </w:rPr>
              <w:t>aq</w:t>
            </w:r>
            <w:proofErr w:type="spellEnd"/>
            <w:r w:rsidR="00913802" w:rsidRPr="00F01347">
              <w:rPr>
                <w:rFonts w:ascii="Verdana" w:hAnsi="Verdana"/>
                <w:sz w:val="16"/>
                <w:szCs w:val="16"/>
                <w:vertAlign w:val="subscript"/>
                <w:lang w:val="en-US"/>
              </w:rPr>
              <w:t>)</w:t>
            </w:r>
            <w:r w:rsidRPr="00F01347">
              <w:rPr>
                <w:rFonts w:ascii="Verdana" w:hAnsi="Verdana"/>
                <w:sz w:val="16"/>
                <w:szCs w:val="16"/>
                <w:vertAlign w:val="subscript"/>
                <w:lang w:val="en-US"/>
              </w:rPr>
              <w:t xml:space="preserve"> </w:t>
            </w:r>
            <w:r w:rsidRPr="00F01347">
              <w:rPr>
                <w:rFonts w:ascii="Verdana" w:hAnsi="Verdana"/>
                <w:sz w:val="16"/>
                <w:szCs w:val="16"/>
                <w:lang w:val="en-US"/>
              </w:rPr>
              <w:t>and NH</w:t>
            </w:r>
            <w:r w:rsidRPr="00F01347">
              <w:rPr>
                <w:rFonts w:ascii="Verdana" w:hAnsi="Verdana"/>
                <w:sz w:val="16"/>
                <w:szCs w:val="16"/>
                <w:vertAlign w:val="superscript"/>
                <w:lang w:val="en-US"/>
              </w:rPr>
              <w:t>4+</w:t>
            </w:r>
            <w:r w:rsidR="00913802" w:rsidRPr="00F01347">
              <w:rPr>
                <w:rFonts w:ascii="Verdana" w:hAnsi="Verdana"/>
                <w:sz w:val="16"/>
                <w:szCs w:val="16"/>
                <w:vertAlign w:val="superscript"/>
                <w:lang w:val="en-US"/>
              </w:rPr>
              <w:t>)</w:t>
            </w:r>
            <w:r w:rsidRPr="00F01347">
              <w:rPr>
                <w:rFonts w:ascii="Verdana" w:hAnsi="Verdana"/>
                <w:sz w:val="16"/>
                <w:szCs w:val="16"/>
                <w:lang w:val="en-US"/>
              </w:rPr>
              <w:t xml:space="preserve"> is converted to NH</w:t>
            </w:r>
            <w:r w:rsidRPr="00F01347">
              <w:rPr>
                <w:rFonts w:ascii="Verdana" w:hAnsi="Verdana"/>
                <w:sz w:val="16"/>
                <w:szCs w:val="16"/>
                <w:vertAlign w:val="subscript"/>
                <w:lang w:val="en-US"/>
              </w:rPr>
              <w:t>3</w:t>
            </w:r>
            <w:r w:rsidR="00CB209C" w:rsidRPr="00F01347">
              <w:rPr>
                <w:rFonts w:ascii="Verdana" w:hAnsi="Verdana"/>
                <w:sz w:val="16"/>
                <w:szCs w:val="16"/>
                <w:vertAlign w:val="subscript"/>
                <w:lang w:val="en-US"/>
              </w:rPr>
              <w:t>(</w:t>
            </w:r>
            <w:proofErr w:type="spellStart"/>
            <w:r w:rsidRPr="00F01347">
              <w:rPr>
                <w:rFonts w:ascii="Verdana" w:hAnsi="Verdana"/>
                <w:sz w:val="16"/>
                <w:szCs w:val="16"/>
                <w:vertAlign w:val="subscript"/>
                <w:lang w:val="en-US"/>
              </w:rPr>
              <w:t>aq</w:t>
            </w:r>
            <w:proofErr w:type="spellEnd"/>
            <w:r w:rsidR="00913802" w:rsidRPr="00F01347">
              <w:rPr>
                <w:rFonts w:ascii="Verdana" w:hAnsi="Verdana"/>
                <w:sz w:val="16"/>
                <w:szCs w:val="16"/>
                <w:vertAlign w:val="subscript"/>
                <w:lang w:val="en-US"/>
              </w:rPr>
              <w:t>)</w:t>
            </w:r>
            <w:r w:rsidRPr="00F01347">
              <w:rPr>
                <w:rFonts w:ascii="Verdana" w:hAnsi="Verdana"/>
                <w:sz w:val="16"/>
                <w:szCs w:val="16"/>
                <w:vertAlign w:val="subscript"/>
                <w:lang w:val="en-US"/>
              </w:rPr>
              <w:t xml:space="preserve"> </w:t>
            </w:r>
            <w:r w:rsidRPr="00F01347">
              <w:rPr>
                <w:rFonts w:ascii="Verdana" w:hAnsi="Verdana"/>
                <w:sz w:val="16"/>
                <w:szCs w:val="16"/>
                <w:lang w:val="en-US"/>
              </w:rPr>
              <w:t>increasing the pH to about 11 with a strong base. NH</w:t>
            </w:r>
            <w:r w:rsidRPr="00F01347">
              <w:rPr>
                <w:rFonts w:ascii="Verdana" w:hAnsi="Verdana"/>
                <w:sz w:val="16"/>
                <w:szCs w:val="16"/>
                <w:vertAlign w:val="subscript"/>
                <w:lang w:val="en-US"/>
              </w:rPr>
              <w:t>3</w:t>
            </w:r>
            <w:r w:rsidR="00CB209C" w:rsidRPr="00F01347">
              <w:rPr>
                <w:rFonts w:ascii="Verdana" w:hAnsi="Verdana"/>
                <w:sz w:val="16"/>
                <w:szCs w:val="16"/>
                <w:vertAlign w:val="subscript"/>
                <w:lang w:val="en-US"/>
              </w:rPr>
              <w:t>(</w:t>
            </w:r>
            <w:proofErr w:type="spellStart"/>
            <w:r w:rsidRPr="00F01347">
              <w:rPr>
                <w:rFonts w:ascii="Verdana" w:hAnsi="Verdana"/>
                <w:sz w:val="16"/>
                <w:szCs w:val="16"/>
                <w:vertAlign w:val="subscript"/>
                <w:lang w:val="en-US"/>
              </w:rPr>
              <w:t>aq</w:t>
            </w:r>
            <w:proofErr w:type="spellEnd"/>
            <w:r w:rsidR="00913802" w:rsidRPr="00F01347">
              <w:rPr>
                <w:rFonts w:ascii="Verdana" w:hAnsi="Verdana"/>
                <w:sz w:val="16"/>
                <w:szCs w:val="16"/>
                <w:vertAlign w:val="subscript"/>
                <w:lang w:val="en-US"/>
              </w:rPr>
              <w:t>)</w:t>
            </w:r>
            <w:r w:rsidRPr="00F01347">
              <w:rPr>
                <w:rFonts w:ascii="Verdana" w:hAnsi="Verdana"/>
                <w:sz w:val="16"/>
                <w:szCs w:val="16"/>
                <w:vertAlign w:val="subscript"/>
                <w:lang w:val="en-US"/>
              </w:rPr>
              <w:t xml:space="preserve"> </w:t>
            </w:r>
            <w:r w:rsidRPr="00F01347">
              <w:rPr>
                <w:rFonts w:ascii="Verdana" w:hAnsi="Verdana"/>
                <w:sz w:val="16"/>
                <w:szCs w:val="16"/>
                <w:lang w:val="en-US"/>
              </w:rPr>
              <w:t xml:space="preserve">diffuses through the membrane and changes the pH of the internal solution, which is determined by a pH electrode. The fixed level of chloride </w:t>
            </w:r>
            <w:r w:rsidRPr="00F01347">
              <w:rPr>
                <w:rFonts w:ascii="Verdana" w:hAnsi="Verdana"/>
                <w:sz w:val="16"/>
                <w:szCs w:val="16"/>
                <w:lang w:val="en-US"/>
              </w:rPr>
              <w:lastRenderedPageBreak/>
              <w:t>in the internal solution is determined by a chloride-selective ion electrode that serves as a reference electrode. Potentiometric determination is performed with a pH meter that has an expanded millivolt scale or with a specific ion meter.</w:t>
            </w:r>
          </w:p>
        </w:tc>
      </w:tr>
      <w:tr w:rsidR="00065A86" w:rsidRPr="00F01347" w14:paraId="4D603AA8" w14:textId="7117633E" w:rsidTr="009E6861">
        <w:tc>
          <w:tcPr>
            <w:tcW w:w="4675" w:type="dxa"/>
          </w:tcPr>
          <w:p w14:paraId="316A12CE" w14:textId="77777777" w:rsidR="00065A86" w:rsidRPr="00F01347" w:rsidRDefault="00065A86" w:rsidP="00065A86">
            <w:pPr>
              <w:pStyle w:val="texto0"/>
              <w:ind w:firstLine="0"/>
              <w:rPr>
                <w:rFonts w:ascii="Verdana" w:hAnsi="Verdana"/>
                <w:sz w:val="16"/>
                <w:szCs w:val="16"/>
              </w:rPr>
            </w:pPr>
            <w:r w:rsidRPr="00F01347">
              <w:rPr>
                <w:rFonts w:ascii="Verdana" w:hAnsi="Verdana"/>
                <w:b/>
                <w:sz w:val="16"/>
                <w:szCs w:val="16"/>
              </w:rPr>
              <w:lastRenderedPageBreak/>
              <w:t>B.7.2.2 Alcance y aplicación</w:t>
            </w:r>
          </w:p>
        </w:tc>
        <w:tc>
          <w:tcPr>
            <w:tcW w:w="4675" w:type="dxa"/>
          </w:tcPr>
          <w:p w14:paraId="29472FD2" w14:textId="035EEDF7"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B.7.2.2 Scope and application</w:t>
            </w:r>
          </w:p>
        </w:tc>
      </w:tr>
      <w:tr w:rsidR="00065A86" w:rsidRPr="00F01347" w14:paraId="30475D68" w14:textId="1FF9F3C6" w:rsidTr="009E6861">
        <w:tc>
          <w:tcPr>
            <w:tcW w:w="4675" w:type="dxa"/>
          </w:tcPr>
          <w:p w14:paraId="7FB7265B" w14:textId="6A236414" w:rsidR="00065A86" w:rsidRPr="00F01347" w:rsidRDefault="00065A86" w:rsidP="00065A86">
            <w:pPr>
              <w:pStyle w:val="texto0"/>
              <w:ind w:firstLine="0"/>
              <w:rPr>
                <w:rFonts w:ascii="Verdana" w:hAnsi="Verdana"/>
                <w:sz w:val="16"/>
                <w:szCs w:val="16"/>
              </w:rPr>
            </w:pPr>
            <w:r w:rsidRPr="00F01347">
              <w:rPr>
                <w:rFonts w:ascii="Verdana" w:hAnsi="Verdana"/>
                <w:sz w:val="16"/>
                <w:szCs w:val="16"/>
              </w:rPr>
              <w:t>Este método es aplicable para la determinación de NH</w:t>
            </w:r>
            <w:r w:rsidRPr="00F01347">
              <w:rPr>
                <w:rFonts w:ascii="Verdana" w:hAnsi="Verdana"/>
                <w:sz w:val="16"/>
                <w:szCs w:val="16"/>
                <w:vertAlign w:val="subscript"/>
              </w:rPr>
              <w:t>3</w:t>
            </w:r>
            <w:r w:rsidRPr="00F01347">
              <w:rPr>
                <w:rFonts w:ascii="Verdana" w:hAnsi="Verdana"/>
                <w:sz w:val="16"/>
                <w:szCs w:val="16"/>
              </w:rPr>
              <w:t>-N/L en un intervalo de 0.03 a 1 400 mg/</w:t>
            </w:r>
            <w:r w:rsidR="0043798B" w:rsidRPr="00F01347">
              <w:rPr>
                <w:rFonts w:ascii="Verdana" w:hAnsi="Verdana"/>
                <w:sz w:val="16"/>
                <w:szCs w:val="16"/>
              </w:rPr>
              <w:t>L en</w:t>
            </w:r>
            <w:r w:rsidRPr="00F01347">
              <w:rPr>
                <w:rFonts w:ascii="Verdana" w:hAnsi="Verdana"/>
                <w:sz w:val="16"/>
                <w:szCs w:val="16"/>
              </w:rPr>
              <w:t xml:space="preserve"> agua potable.</w:t>
            </w:r>
          </w:p>
        </w:tc>
        <w:tc>
          <w:tcPr>
            <w:tcW w:w="4675" w:type="dxa"/>
          </w:tcPr>
          <w:p w14:paraId="5309BC5C" w14:textId="01033335" w:rsidR="00065A86" w:rsidRPr="00F01347" w:rsidRDefault="00065A86" w:rsidP="00065A86">
            <w:pPr>
              <w:pStyle w:val="texto0"/>
              <w:ind w:firstLine="0"/>
              <w:rPr>
                <w:rFonts w:ascii="Verdana" w:hAnsi="Verdana"/>
                <w:sz w:val="16"/>
                <w:szCs w:val="16"/>
                <w:lang w:val="en-US"/>
              </w:rPr>
            </w:pPr>
            <w:r w:rsidRPr="00F01347">
              <w:rPr>
                <w:rFonts w:ascii="Verdana" w:hAnsi="Verdana"/>
                <w:sz w:val="16"/>
                <w:szCs w:val="16"/>
                <w:lang w:val="en-US"/>
              </w:rPr>
              <w:t>This method is applicable for the determination of NH</w:t>
            </w:r>
            <w:r w:rsidRPr="00F01347">
              <w:rPr>
                <w:rFonts w:ascii="Verdana" w:hAnsi="Verdana"/>
                <w:sz w:val="16"/>
                <w:szCs w:val="16"/>
                <w:vertAlign w:val="subscript"/>
                <w:lang w:val="en-US"/>
              </w:rPr>
              <w:t xml:space="preserve">3 </w:t>
            </w:r>
            <w:r w:rsidRPr="00F01347">
              <w:rPr>
                <w:rFonts w:ascii="Verdana" w:hAnsi="Verdana"/>
                <w:sz w:val="16"/>
                <w:szCs w:val="16"/>
                <w:lang w:val="en-US"/>
              </w:rPr>
              <w:t>-N/L in a range of 0.03 to 1</w:t>
            </w:r>
            <w:r w:rsidR="00362C02" w:rsidRPr="00F01347">
              <w:rPr>
                <w:rFonts w:ascii="Verdana" w:hAnsi="Verdana"/>
                <w:sz w:val="16"/>
                <w:szCs w:val="16"/>
                <w:lang w:val="en-US"/>
              </w:rPr>
              <w:t>,</w:t>
            </w:r>
            <w:r w:rsidRPr="00F01347">
              <w:rPr>
                <w:rFonts w:ascii="Verdana" w:hAnsi="Verdana"/>
                <w:sz w:val="16"/>
                <w:szCs w:val="16"/>
                <w:lang w:val="en-US"/>
              </w:rPr>
              <w:t>400 mg/L in drinking water.</w:t>
            </w:r>
          </w:p>
        </w:tc>
      </w:tr>
      <w:tr w:rsidR="00065A86" w:rsidRPr="00F01347" w14:paraId="25AA1432" w14:textId="4D6E870B" w:rsidTr="009E6861">
        <w:tc>
          <w:tcPr>
            <w:tcW w:w="4675" w:type="dxa"/>
          </w:tcPr>
          <w:p w14:paraId="3CD72B6F" w14:textId="77777777" w:rsidR="00065A86" w:rsidRPr="00F01347" w:rsidRDefault="00065A86" w:rsidP="00065A86">
            <w:pPr>
              <w:pStyle w:val="texto0"/>
              <w:ind w:firstLine="0"/>
              <w:rPr>
                <w:rFonts w:ascii="Verdana" w:hAnsi="Verdana"/>
                <w:sz w:val="16"/>
                <w:szCs w:val="16"/>
              </w:rPr>
            </w:pPr>
            <w:r w:rsidRPr="00F01347">
              <w:rPr>
                <w:rFonts w:ascii="Verdana" w:hAnsi="Verdana"/>
                <w:sz w:val="16"/>
                <w:szCs w:val="16"/>
              </w:rPr>
              <w:t>La medición puede ser afectada por concentraciones altas de iones disueltos, pero no por el color o la turbiedad. Por lo cual, no es necesario llevar a cabo la destilación de la muestra. Las soluciones estándar y las muestras deben tener la misma temperatura y contener cerca de los mismos niveles totales y especies disueltas.</w:t>
            </w:r>
          </w:p>
        </w:tc>
        <w:tc>
          <w:tcPr>
            <w:tcW w:w="4675" w:type="dxa"/>
          </w:tcPr>
          <w:p w14:paraId="243F80B9" w14:textId="6CB7FCF0" w:rsidR="00065A86" w:rsidRPr="00F01347" w:rsidRDefault="00065A86" w:rsidP="00065A86">
            <w:pPr>
              <w:pStyle w:val="texto0"/>
              <w:ind w:firstLine="0"/>
              <w:rPr>
                <w:rFonts w:ascii="Verdana" w:hAnsi="Verdana"/>
                <w:sz w:val="16"/>
                <w:szCs w:val="16"/>
                <w:lang w:val="en-US"/>
              </w:rPr>
            </w:pPr>
            <w:r w:rsidRPr="00F01347">
              <w:rPr>
                <w:rFonts w:ascii="Verdana" w:hAnsi="Verdana"/>
                <w:sz w:val="16"/>
                <w:szCs w:val="16"/>
                <w:lang w:val="en-US"/>
              </w:rPr>
              <w:t>The measurement can be affected by high concentrations of dissolved ions, but not by color or turbidity. Therefore, it is not necessary to carry out distillation of the sample. Standard solutions and samples should have the same temperature and contain close to the same levels of total and dissolved species.</w:t>
            </w:r>
          </w:p>
        </w:tc>
      </w:tr>
      <w:tr w:rsidR="00065A86" w:rsidRPr="00F01347" w14:paraId="05336B06" w14:textId="6905D667" w:rsidTr="009E6861">
        <w:tc>
          <w:tcPr>
            <w:tcW w:w="4675" w:type="dxa"/>
          </w:tcPr>
          <w:p w14:paraId="08D597F6" w14:textId="77777777" w:rsidR="00065A86" w:rsidRPr="00F01347" w:rsidRDefault="00065A86" w:rsidP="00065A86">
            <w:pPr>
              <w:pStyle w:val="texto0"/>
              <w:ind w:firstLine="0"/>
              <w:rPr>
                <w:rFonts w:ascii="Verdana" w:hAnsi="Verdana"/>
                <w:sz w:val="16"/>
                <w:szCs w:val="16"/>
              </w:rPr>
            </w:pPr>
            <w:r w:rsidRPr="00F01347">
              <w:rPr>
                <w:rFonts w:ascii="Verdana" w:hAnsi="Verdana"/>
                <w:sz w:val="16"/>
                <w:szCs w:val="16"/>
              </w:rPr>
              <w:t>El método por electrodo selectivo de amoníaco responde lentamente debajo de 1 mg NH</w:t>
            </w:r>
            <w:r w:rsidRPr="00F01347">
              <w:rPr>
                <w:rFonts w:ascii="Verdana" w:hAnsi="Verdana"/>
                <w:sz w:val="16"/>
                <w:szCs w:val="16"/>
                <w:vertAlign w:val="subscript"/>
              </w:rPr>
              <w:t>3</w:t>
            </w:r>
            <w:r w:rsidRPr="00F01347">
              <w:rPr>
                <w:rFonts w:ascii="Verdana" w:hAnsi="Verdana"/>
                <w:sz w:val="16"/>
                <w:szCs w:val="16"/>
              </w:rPr>
              <w:t>-N/L, por lo que deben utilizarse tiempos largos de inmersión del electrodo (2 o 3 minutos) para obtener lecturas estables.</w:t>
            </w:r>
          </w:p>
        </w:tc>
        <w:tc>
          <w:tcPr>
            <w:tcW w:w="4675" w:type="dxa"/>
          </w:tcPr>
          <w:p w14:paraId="1FFF2E99" w14:textId="344A97B7" w:rsidR="00065A86" w:rsidRPr="00F01347" w:rsidRDefault="00065A86" w:rsidP="00065A86">
            <w:pPr>
              <w:pStyle w:val="texto0"/>
              <w:ind w:firstLine="0"/>
              <w:rPr>
                <w:rFonts w:ascii="Verdana" w:hAnsi="Verdana"/>
                <w:sz w:val="16"/>
                <w:szCs w:val="16"/>
                <w:lang w:val="en-US"/>
              </w:rPr>
            </w:pPr>
            <w:r w:rsidRPr="00F01347">
              <w:rPr>
                <w:rFonts w:ascii="Verdana" w:hAnsi="Verdana"/>
                <w:sz w:val="16"/>
                <w:szCs w:val="16"/>
                <w:lang w:val="en-US"/>
              </w:rPr>
              <w:t>The ammonia-selective electrode method responds slowly below 1 mg NH</w:t>
            </w:r>
            <w:r w:rsidRPr="00F01347">
              <w:rPr>
                <w:rFonts w:ascii="Verdana" w:hAnsi="Verdana"/>
                <w:sz w:val="16"/>
                <w:szCs w:val="16"/>
                <w:vertAlign w:val="subscript"/>
                <w:lang w:val="en-US"/>
              </w:rPr>
              <w:t>3</w:t>
            </w:r>
            <w:r w:rsidRPr="00F01347">
              <w:rPr>
                <w:rFonts w:ascii="Verdana" w:hAnsi="Verdana"/>
                <w:sz w:val="16"/>
                <w:szCs w:val="16"/>
                <w:lang w:val="en-US"/>
              </w:rPr>
              <w:t>-N/L, so long electrode immersion times (2 or 3 minutes) should be used to obtain stable readings.</w:t>
            </w:r>
          </w:p>
        </w:tc>
      </w:tr>
      <w:tr w:rsidR="00065A86" w:rsidRPr="00F01347" w14:paraId="52F424AB" w14:textId="0ABA6A58" w:rsidTr="009E6861">
        <w:tc>
          <w:tcPr>
            <w:tcW w:w="4675" w:type="dxa"/>
          </w:tcPr>
          <w:p w14:paraId="209D7091" w14:textId="77777777" w:rsidR="00065A86" w:rsidRPr="00F01347" w:rsidRDefault="00065A86" w:rsidP="00065A86">
            <w:pPr>
              <w:pStyle w:val="texto0"/>
              <w:ind w:firstLine="0"/>
              <w:rPr>
                <w:rFonts w:ascii="Verdana" w:hAnsi="Verdana"/>
                <w:b/>
                <w:sz w:val="16"/>
                <w:szCs w:val="16"/>
              </w:rPr>
            </w:pPr>
            <w:r w:rsidRPr="00F01347">
              <w:rPr>
                <w:rFonts w:ascii="Verdana" w:hAnsi="Verdana"/>
                <w:b/>
                <w:sz w:val="16"/>
                <w:szCs w:val="16"/>
              </w:rPr>
              <w:t>B.7.2.3 Equipos y materiales</w:t>
            </w:r>
          </w:p>
        </w:tc>
        <w:tc>
          <w:tcPr>
            <w:tcW w:w="4675" w:type="dxa"/>
          </w:tcPr>
          <w:p w14:paraId="2C8E764E" w14:textId="747DF72D"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B.7.2.3 Equipment and materials</w:t>
            </w:r>
          </w:p>
        </w:tc>
      </w:tr>
      <w:tr w:rsidR="00065A86" w:rsidRPr="00F01347" w14:paraId="6DCA00FB" w14:textId="4F3EC499" w:rsidTr="009E6861">
        <w:tc>
          <w:tcPr>
            <w:tcW w:w="4675" w:type="dxa"/>
          </w:tcPr>
          <w:p w14:paraId="7B2FA496" w14:textId="77777777" w:rsidR="00065A86" w:rsidRPr="00F01347" w:rsidRDefault="00065A86" w:rsidP="00065A86">
            <w:pPr>
              <w:pStyle w:val="texto0"/>
              <w:ind w:firstLine="0"/>
              <w:rPr>
                <w:rFonts w:ascii="Verdana" w:hAnsi="Verdana"/>
                <w:sz w:val="16"/>
                <w:szCs w:val="16"/>
              </w:rPr>
            </w:pPr>
            <w:r w:rsidRPr="00F01347">
              <w:rPr>
                <w:rFonts w:ascii="Verdana" w:hAnsi="Verdana"/>
                <w:b/>
                <w:sz w:val="16"/>
                <w:szCs w:val="16"/>
              </w:rPr>
              <w:t>Agitador magnético.</w:t>
            </w:r>
            <w:r w:rsidRPr="00F01347">
              <w:rPr>
                <w:rFonts w:ascii="Verdana" w:hAnsi="Verdana"/>
                <w:sz w:val="16"/>
                <w:szCs w:val="16"/>
              </w:rPr>
              <w:t xml:space="preserve"> Aislado térmicamente con barra de agitación cubierta de </w:t>
            </w:r>
            <w:proofErr w:type="spellStart"/>
            <w:r w:rsidRPr="00F01347">
              <w:rPr>
                <w:rFonts w:ascii="Verdana" w:hAnsi="Verdana"/>
                <w:sz w:val="16"/>
                <w:szCs w:val="16"/>
              </w:rPr>
              <w:t>tetrafluoroetileno</w:t>
            </w:r>
            <w:proofErr w:type="spellEnd"/>
            <w:r w:rsidRPr="00F01347">
              <w:rPr>
                <w:rFonts w:ascii="Verdana" w:hAnsi="Verdana"/>
                <w:sz w:val="16"/>
                <w:szCs w:val="16"/>
              </w:rPr>
              <w:t xml:space="preserve"> (TFE)</w:t>
            </w:r>
          </w:p>
        </w:tc>
        <w:tc>
          <w:tcPr>
            <w:tcW w:w="4675" w:type="dxa"/>
          </w:tcPr>
          <w:p w14:paraId="36090889" w14:textId="1F808192"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 xml:space="preserve">Magnetic stirrer. Thermally insulated with </w:t>
            </w:r>
            <w:r w:rsidRPr="00F01347">
              <w:rPr>
                <w:rFonts w:ascii="Verdana" w:hAnsi="Verdana"/>
                <w:sz w:val="16"/>
                <w:szCs w:val="16"/>
                <w:lang w:val="en-US"/>
              </w:rPr>
              <w:t>tetrafluoroethylene (TFE) coated stir bar</w:t>
            </w:r>
          </w:p>
        </w:tc>
      </w:tr>
      <w:tr w:rsidR="00065A86" w:rsidRPr="00F01347" w14:paraId="52CBCEB7" w14:textId="73F55831" w:rsidTr="009E6861">
        <w:tc>
          <w:tcPr>
            <w:tcW w:w="4675" w:type="dxa"/>
          </w:tcPr>
          <w:p w14:paraId="79948C00" w14:textId="77777777" w:rsidR="00065A86" w:rsidRPr="00F01347" w:rsidRDefault="00065A86" w:rsidP="00065A86">
            <w:pPr>
              <w:pStyle w:val="texto0"/>
              <w:ind w:firstLine="0"/>
              <w:rPr>
                <w:rFonts w:ascii="Verdana" w:hAnsi="Verdana"/>
                <w:b/>
                <w:sz w:val="16"/>
                <w:szCs w:val="16"/>
              </w:rPr>
            </w:pPr>
            <w:r w:rsidRPr="00F01347">
              <w:rPr>
                <w:rFonts w:ascii="Verdana" w:hAnsi="Verdana"/>
                <w:b/>
                <w:sz w:val="16"/>
                <w:szCs w:val="16"/>
              </w:rPr>
              <w:t>Electrodo selectivo de amoníaco</w:t>
            </w:r>
          </w:p>
        </w:tc>
        <w:tc>
          <w:tcPr>
            <w:tcW w:w="4675" w:type="dxa"/>
          </w:tcPr>
          <w:p w14:paraId="26453F85" w14:textId="1FF77A35"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Ammonia Selective Electrode</w:t>
            </w:r>
          </w:p>
        </w:tc>
      </w:tr>
      <w:tr w:rsidR="00065A86" w:rsidRPr="00F01347" w14:paraId="1EC34141" w14:textId="518D10E7" w:rsidTr="009E6861">
        <w:tc>
          <w:tcPr>
            <w:tcW w:w="4675" w:type="dxa"/>
          </w:tcPr>
          <w:p w14:paraId="6FC61FEA" w14:textId="77777777" w:rsidR="00065A86" w:rsidRPr="00F01347" w:rsidRDefault="00065A86" w:rsidP="00065A86">
            <w:pPr>
              <w:pStyle w:val="texto0"/>
              <w:ind w:firstLine="0"/>
              <w:rPr>
                <w:rFonts w:ascii="Verdana" w:hAnsi="Verdana"/>
                <w:sz w:val="16"/>
                <w:szCs w:val="16"/>
              </w:rPr>
            </w:pPr>
            <w:r w:rsidRPr="00F01347">
              <w:rPr>
                <w:rFonts w:ascii="Verdana" w:hAnsi="Verdana"/>
                <w:b/>
                <w:sz w:val="16"/>
                <w:szCs w:val="16"/>
              </w:rPr>
              <w:t>Potenciómetro</w:t>
            </w:r>
            <w:r w:rsidRPr="00F01347">
              <w:rPr>
                <w:rFonts w:ascii="Verdana" w:hAnsi="Verdana"/>
                <w:sz w:val="16"/>
                <w:szCs w:val="16"/>
              </w:rPr>
              <w:t>. Medidor de pH con una escala expandida en milivoltios (</w:t>
            </w:r>
            <w:proofErr w:type="spellStart"/>
            <w:r w:rsidRPr="00F01347">
              <w:rPr>
                <w:rFonts w:ascii="Verdana" w:hAnsi="Verdana"/>
                <w:sz w:val="16"/>
                <w:szCs w:val="16"/>
              </w:rPr>
              <w:t>mV</w:t>
            </w:r>
            <w:proofErr w:type="spellEnd"/>
            <w:r w:rsidRPr="00F01347">
              <w:rPr>
                <w:rFonts w:ascii="Verdana" w:hAnsi="Verdana"/>
                <w:sz w:val="16"/>
                <w:szCs w:val="16"/>
              </w:rPr>
              <w:t xml:space="preserve">) con una resolución </w:t>
            </w:r>
            <w:proofErr w:type="gramStart"/>
            <w:r w:rsidRPr="00F01347">
              <w:rPr>
                <w:rFonts w:ascii="Verdana" w:hAnsi="Verdana"/>
                <w:sz w:val="16"/>
                <w:szCs w:val="16"/>
              </w:rPr>
              <w:t>de  0.1</w:t>
            </w:r>
            <w:proofErr w:type="gramEnd"/>
            <w:r w:rsidRPr="00F01347">
              <w:rPr>
                <w:rFonts w:ascii="Verdana" w:hAnsi="Verdana"/>
                <w:sz w:val="16"/>
                <w:szCs w:val="16"/>
              </w:rPr>
              <w:t xml:space="preserve"> </w:t>
            </w:r>
            <w:proofErr w:type="spellStart"/>
            <w:r w:rsidRPr="00F01347">
              <w:rPr>
                <w:rFonts w:ascii="Verdana" w:hAnsi="Verdana"/>
                <w:sz w:val="16"/>
                <w:szCs w:val="16"/>
              </w:rPr>
              <w:t>mV</w:t>
            </w:r>
            <w:proofErr w:type="spellEnd"/>
            <w:r w:rsidRPr="00F01347">
              <w:rPr>
                <w:rFonts w:ascii="Verdana" w:hAnsi="Verdana"/>
                <w:sz w:val="16"/>
                <w:szCs w:val="16"/>
              </w:rPr>
              <w:t xml:space="preserve"> entre -700 </w:t>
            </w:r>
            <w:proofErr w:type="spellStart"/>
            <w:r w:rsidRPr="00F01347">
              <w:rPr>
                <w:rFonts w:ascii="Verdana" w:hAnsi="Verdana"/>
                <w:sz w:val="16"/>
                <w:szCs w:val="16"/>
              </w:rPr>
              <w:t>mV</w:t>
            </w:r>
            <w:proofErr w:type="spellEnd"/>
            <w:r w:rsidRPr="00F01347">
              <w:rPr>
                <w:rFonts w:ascii="Verdana" w:hAnsi="Verdana"/>
                <w:sz w:val="16"/>
                <w:szCs w:val="16"/>
              </w:rPr>
              <w:t xml:space="preserve"> y +700 </w:t>
            </w:r>
            <w:proofErr w:type="spellStart"/>
            <w:r w:rsidRPr="00F01347">
              <w:rPr>
                <w:rFonts w:ascii="Verdana" w:hAnsi="Verdana"/>
                <w:sz w:val="16"/>
                <w:szCs w:val="16"/>
              </w:rPr>
              <w:t>mV</w:t>
            </w:r>
            <w:proofErr w:type="spellEnd"/>
            <w:r w:rsidRPr="00F01347">
              <w:rPr>
                <w:rFonts w:ascii="Verdana" w:hAnsi="Verdana"/>
                <w:sz w:val="16"/>
                <w:szCs w:val="16"/>
              </w:rPr>
              <w:t xml:space="preserve"> o un medidor de ion específico.</w:t>
            </w:r>
          </w:p>
        </w:tc>
        <w:tc>
          <w:tcPr>
            <w:tcW w:w="4675" w:type="dxa"/>
          </w:tcPr>
          <w:p w14:paraId="2BCE419D" w14:textId="5A7C3883"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Potentiometer</w:t>
            </w:r>
            <w:r w:rsidR="003E1BA9" w:rsidRPr="00F01347">
              <w:rPr>
                <w:rFonts w:ascii="Verdana" w:hAnsi="Verdana"/>
                <w:b/>
                <w:sz w:val="16"/>
                <w:szCs w:val="16"/>
                <w:lang w:val="en-US"/>
              </w:rPr>
              <w:t>.</w:t>
            </w:r>
            <w:r w:rsidRPr="00F01347">
              <w:rPr>
                <w:rFonts w:ascii="Verdana" w:hAnsi="Verdana"/>
                <w:sz w:val="16"/>
                <w:szCs w:val="16"/>
                <w:lang w:val="en-US"/>
              </w:rPr>
              <w:t xml:space="preserve"> pH meter with an expanded scale in millivolts </w:t>
            </w:r>
            <w:r w:rsidR="00CB209C" w:rsidRPr="00F01347">
              <w:rPr>
                <w:rFonts w:ascii="Verdana" w:hAnsi="Verdana"/>
                <w:sz w:val="16"/>
                <w:szCs w:val="16"/>
                <w:lang w:val="en-US"/>
              </w:rPr>
              <w:t>(</w:t>
            </w:r>
            <w:r w:rsidRPr="00F01347">
              <w:rPr>
                <w:rFonts w:ascii="Verdana" w:hAnsi="Verdana"/>
                <w:sz w:val="16"/>
                <w:szCs w:val="16"/>
                <w:lang w:val="en-US"/>
              </w:rPr>
              <w:t>mV</w:t>
            </w:r>
            <w:r w:rsidR="00913802" w:rsidRPr="00F01347">
              <w:rPr>
                <w:rFonts w:ascii="Verdana" w:hAnsi="Verdana"/>
                <w:sz w:val="16"/>
                <w:szCs w:val="16"/>
                <w:lang w:val="en-US"/>
              </w:rPr>
              <w:t>)</w:t>
            </w:r>
            <w:r w:rsidRPr="00F01347">
              <w:rPr>
                <w:rFonts w:ascii="Verdana" w:hAnsi="Verdana"/>
                <w:sz w:val="16"/>
                <w:szCs w:val="16"/>
                <w:lang w:val="en-US"/>
              </w:rPr>
              <w:t xml:space="preserve"> with a resolution of 0.1 mV between -700 mV and +700 mV or a specific ion meter.</w:t>
            </w:r>
          </w:p>
        </w:tc>
      </w:tr>
      <w:tr w:rsidR="00065A86" w:rsidRPr="00F01347" w14:paraId="1916A2AE" w14:textId="07B881C4" w:rsidTr="009E6861">
        <w:tc>
          <w:tcPr>
            <w:tcW w:w="4675" w:type="dxa"/>
          </w:tcPr>
          <w:p w14:paraId="43AB2E29" w14:textId="77777777" w:rsidR="00065A86" w:rsidRPr="00F01347" w:rsidRDefault="00065A86" w:rsidP="00065A86">
            <w:pPr>
              <w:pStyle w:val="texto0"/>
              <w:ind w:firstLine="0"/>
              <w:rPr>
                <w:rFonts w:ascii="Verdana" w:hAnsi="Verdana"/>
                <w:b/>
                <w:sz w:val="16"/>
                <w:szCs w:val="16"/>
              </w:rPr>
            </w:pPr>
            <w:r w:rsidRPr="00F01347">
              <w:rPr>
                <w:rFonts w:ascii="Verdana" w:hAnsi="Verdana"/>
                <w:b/>
                <w:sz w:val="16"/>
                <w:szCs w:val="16"/>
              </w:rPr>
              <w:t>B.7.2.4 Reactivos y soluciones</w:t>
            </w:r>
          </w:p>
        </w:tc>
        <w:tc>
          <w:tcPr>
            <w:tcW w:w="4675" w:type="dxa"/>
          </w:tcPr>
          <w:p w14:paraId="4C56F5D3" w14:textId="5B4F1CD4"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B.7.2.4 Reagents and solutions</w:t>
            </w:r>
          </w:p>
        </w:tc>
      </w:tr>
      <w:tr w:rsidR="00065A86" w:rsidRPr="00F01347" w14:paraId="001190D6" w14:textId="01FB8AA1" w:rsidTr="009E6861">
        <w:tc>
          <w:tcPr>
            <w:tcW w:w="4675" w:type="dxa"/>
          </w:tcPr>
          <w:p w14:paraId="146BA124" w14:textId="77777777" w:rsidR="00065A86" w:rsidRPr="00F01347" w:rsidRDefault="00065A86" w:rsidP="00065A86">
            <w:pPr>
              <w:pStyle w:val="texto0"/>
              <w:ind w:firstLine="0"/>
              <w:rPr>
                <w:rFonts w:ascii="Verdana" w:hAnsi="Verdana"/>
                <w:b/>
                <w:sz w:val="16"/>
                <w:szCs w:val="16"/>
              </w:rPr>
            </w:pPr>
            <w:r w:rsidRPr="00F01347">
              <w:rPr>
                <w:rFonts w:ascii="Verdana" w:hAnsi="Verdana"/>
                <w:b/>
                <w:sz w:val="16"/>
                <w:szCs w:val="16"/>
              </w:rPr>
              <w:t>Agua reactivo libre de amoníaco</w:t>
            </w:r>
          </w:p>
        </w:tc>
        <w:tc>
          <w:tcPr>
            <w:tcW w:w="4675" w:type="dxa"/>
          </w:tcPr>
          <w:p w14:paraId="2A01FA03" w14:textId="0511EAC7"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Ammonia-free reagent water</w:t>
            </w:r>
          </w:p>
        </w:tc>
      </w:tr>
      <w:tr w:rsidR="00065A86" w:rsidRPr="00F01347" w14:paraId="16AAC042" w14:textId="4CD3F24B" w:rsidTr="009E6861">
        <w:tc>
          <w:tcPr>
            <w:tcW w:w="4675" w:type="dxa"/>
          </w:tcPr>
          <w:p w14:paraId="3CEE2268" w14:textId="77777777" w:rsidR="00065A86" w:rsidRPr="00F01347" w:rsidRDefault="00065A86" w:rsidP="00065A86">
            <w:pPr>
              <w:pStyle w:val="texto0"/>
              <w:ind w:firstLine="0"/>
              <w:rPr>
                <w:rFonts w:ascii="Verdana" w:hAnsi="Verdana"/>
                <w:b/>
                <w:sz w:val="16"/>
                <w:szCs w:val="16"/>
              </w:rPr>
            </w:pPr>
            <w:r w:rsidRPr="00F01347">
              <w:rPr>
                <w:rFonts w:ascii="Verdana" w:hAnsi="Verdana"/>
                <w:b/>
                <w:sz w:val="16"/>
                <w:szCs w:val="16"/>
              </w:rPr>
              <w:t>Hidróxido de sodio 10N</w:t>
            </w:r>
          </w:p>
        </w:tc>
        <w:tc>
          <w:tcPr>
            <w:tcW w:w="4675" w:type="dxa"/>
          </w:tcPr>
          <w:p w14:paraId="7A030700" w14:textId="1B688E24"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Sodium hydroxide 10N</w:t>
            </w:r>
          </w:p>
        </w:tc>
      </w:tr>
      <w:tr w:rsidR="00065A86" w:rsidRPr="00F01347" w14:paraId="6B11B1D7" w14:textId="02C710EC" w:rsidTr="009E6861">
        <w:tc>
          <w:tcPr>
            <w:tcW w:w="4675" w:type="dxa"/>
          </w:tcPr>
          <w:p w14:paraId="2F9E683D" w14:textId="77777777" w:rsidR="00065A86" w:rsidRPr="00F01347" w:rsidRDefault="00065A86" w:rsidP="00065A86">
            <w:pPr>
              <w:pStyle w:val="texto0"/>
              <w:ind w:firstLine="0"/>
              <w:rPr>
                <w:rFonts w:ascii="Verdana" w:hAnsi="Verdana"/>
                <w:b/>
                <w:sz w:val="16"/>
                <w:szCs w:val="16"/>
              </w:rPr>
            </w:pPr>
            <w:r w:rsidRPr="00F01347">
              <w:rPr>
                <w:rFonts w:ascii="Verdana" w:hAnsi="Verdana"/>
                <w:b/>
                <w:sz w:val="16"/>
                <w:szCs w:val="16"/>
              </w:rPr>
              <w:t>Soluciones estándar de cloruro de amonio.</w:t>
            </w:r>
          </w:p>
        </w:tc>
        <w:tc>
          <w:tcPr>
            <w:tcW w:w="4675" w:type="dxa"/>
          </w:tcPr>
          <w:p w14:paraId="29E0EBB4" w14:textId="1521B740"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Standard solutions of ammonium chloride.</w:t>
            </w:r>
          </w:p>
        </w:tc>
      </w:tr>
      <w:tr w:rsidR="00065A86" w:rsidRPr="00F01347" w14:paraId="5FF9BE5C" w14:textId="50342657" w:rsidTr="009E6861">
        <w:tc>
          <w:tcPr>
            <w:tcW w:w="4675" w:type="dxa"/>
          </w:tcPr>
          <w:p w14:paraId="20E08276" w14:textId="77777777" w:rsidR="00065A86" w:rsidRPr="00F01347" w:rsidRDefault="00065A86" w:rsidP="00065A86">
            <w:pPr>
              <w:pStyle w:val="texto0"/>
              <w:ind w:firstLine="0"/>
              <w:rPr>
                <w:rFonts w:ascii="Verdana" w:hAnsi="Verdana"/>
                <w:sz w:val="16"/>
                <w:szCs w:val="16"/>
              </w:rPr>
            </w:pPr>
            <w:r w:rsidRPr="00F01347">
              <w:rPr>
                <w:rFonts w:ascii="Verdana" w:hAnsi="Verdana"/>
                <w:b/>
                <w:sz w:val="16"/>
                <w:szCs w:val="16"/>
              </w:rPr>
              <w:t>Disolución NaOH/EDTA, 10N.</w:t>
            </w:r>
            <w:r w:rsidRPr="00F01347">
              <w:rPr>
                <w:rFonts w:ascii="Verdana" w:hAnsi="Verdana"/>
                <w:sz w:val="16"/>
                <w:szCs w:val="16"/>
              </w:rPr>
              <w:t xml:space="preserve"> Disolver 400 g de NaOH en 800 </w:t>
            </w:r>
            <w:proofErr w:type="spellStart"/>
            <w:r w:rsidRPr="00F01347">
              <w:rPr>
                <w:rFonts w:ascii="Verdana" w:hAnsi="Verdana"/>
                <w:sz w:val="16"/>
                <w:szCs w:val="16"/>
              </w:rPr>
              <w:t>mL</w:t>
            </w:r>
            <w:proofErr w:type="spellEnd"/>
            <w:r w:rsidRPr="00F01347">
              <w:rPr>
                <w:rFonts w:ascii="Verdana" w:hAnsi="Verdana"/>
                <w:sz w:val="16"/>
                <w:szCs w:val="16"/>
              </w:rPr>
              <w:t xml:space="preserve"> de agua. Añadir 45.2 g de la sal </w:t>
            </w:r>
            <w:proofErr w:type="spellStart"/>
            <w:r w:rsidRPr="00F01347">
              <w:rPr>
                <w:rFonts w:ascii="Verdana" w:hAnsi="Verdana"/>
                <w:sz w:val="16"/>
                <w:szCs w:val="16"/>
              </w:rPr>
              <w:t>tetrasódica</w:t>
            </w:r>
            <w:proofErr w:type="spellEnd"/>
            <w:r w:rsidRPr="00F01347">
              <w:rPr>
                <w:rFonts w:ascii="Verdana" w:hAnsi="Verdana"/>
                <w:sz w:val="16"/>
                <w:szCs w:val="16"/>
              </w:rPr>
              <w:t xml:space="preserve"> del ácido </w:t>
            </w:r>
            <w:proofErr w:type="spellStart"/>
            <w:r w:rsidRPr="00F01347">
              <w:rPr>
                <w:rFonts w:ascii="Verdana" w:hAnsi="Verdana"/>
                <w:sz w:val="16"/>
                <w:szCs w:val="16"/>
              </w:rPr>
              <w:t>etilendiaminotetracético</w:t>
            </w:r>
            <w:proofErr w:type="spellEnd"/>
            <w:r w:rsidRPr="00F01347">
              <w:rPr>
                <w:rFonts w:ascii="Verdana" w:hAnsi="Verdana"/>
                <w:sz w:val="16"/>
                <w:szCs w:val="16"/>
              </w:rPr>
              <w:t xml:space="preserve">, </w:t>
            </w:r>
            <w:proofErr w:type="spellStart"/>
            <w:r w:rsidRPr="00F01347">
              <w:rPr>
                <w:rFonts w:ascii="Verdana" w:hAnsi="Verdana"/>
                <w:sz w:val="16"/>
                <w:szCs w:val="16"/>
              </w:rPr>
              <w:t>tetrahidratada</w:t>
            </w:r>
            <w:proofErr w:type="spellEnd"/>
            <w:r w:rsidRPr="00F01347">
              <w:rPr>
                <w:rFonts w:ascii="Verdana" w:hAnsi="Verdana"/>
                <w:sz w:val="16"/>
                <w:szCs w:val="16"/>
              </w:rPr>
              <w:t xml:space="preserve"> (Na</w:t>
            </w:r>
            <w:r w:rsidRPr="00F01347">
              <w:rPr>
                <w:rFonts w:ascii="Verdana" w:hAnsi="Verdana"/>
                <w:sz w:val="16"/>
                <w:szCs w:val="16"/>
                <w:vertAlign w:val="subscript"/>
              </w:rPr>
              <w:t>4</w:t>
            </w:r>
            <w:r w:rsidRPr="00F01347">
              <w:rPr>
                <w:rFonts w:ascii="Verdana" w:hAnsi="Verdana"/>
                <w:sz w:val="16"/>
                <w:szCs w:val="16"/>
              </w:rPr>
              <w:t>EDTA 4H</w:t>
            </w:r>
            <w:r w:rsidRPr="00F01347">
              <w:rPr>
                <w:rFonts w:ascii="Verdana" w:hAnsi="Verdana"/>
                <w:sz w:val="16"/>
                <w:szCs w:val="16"/>
                <w:vertAlign w:val="subscript"/>
              </w:rPr>
              <w:t>2</w:t>
            </w:r>
            <w:r w:rsidRPr="00F01347">
              <w:rPr>
                <w:rFonts w:ascii="Verdana" w:hAnsi="Verdana"/>
                <w:sz w:val="16"/>
                <w:szCs w:val="16"/>
              </w:rPr>
              <w:t xml:space="preserve">O) y agitar hasta disolver. Enfriar y diluir a 1 000 </w:t>
            </w:r>
            <w:proofErr w:type="spellStart"/>
            <w:r w:rsidRPr="00F01347">
              <w:rPr>
                <w:rFonts w:ascii="Verdana" w:hAnsi="Verdana"/>
                <w:sz w:val="16"/>
                <w:szCs w:val="16"/>
              </w:rPr>
              <w:t>mL</w:t>
            </w:r>
            <w:proofErr w:type="spellEnd"/>
          </w:p>
        </w:tc>
        <w:tc>
          <w:tcPr>
            <w:tcW w:w="4675" w:type="dxa"/>
          </w:tcPr>
          <w:p w14:paraId="7BAFA9E0" w14:textId="21172B34"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 xml:space="preserve">NaOH/EDTA solution, 10N. </w:t>
            </w:r>
            <w:r w:rsidRPr="00F01347">
              <w:rPr>
                <w:rFonts w:ascii="Verdana" w:hAnsi="Verdana"/>
                <w:sz w:val="16"/>
                <w:szCs w:val="16"/>
                <w:lang w:val="en-US"/>
              </w:rPr>
              <w:t xml:space="preserve">Dissolve 400 g of NaOH in 800 mL of water. Add 45.2 g of the tetrasodium salt of </w:t>
            </w:r>
            <w:proofErr w:type="spellStart"/>
            <w:r w:rsidRPr="00F01347">
              <w:rPr>
                <w:rFonts w:ascii="Verdana" w:hAnsi="Verdana"/>
                <w:sz w:val="16"/>
                <w:szCs w:val="16"/>
                <w:lang w:val="en-US"/>
              </w:rPr>
              <w:t>ethylenediaminetetracetic</w:t>
            </w:r>
            <w:proofErr w:type="spellEnd"/>
            <w:r w:rsidRPr="00F01347">
              <w:rPr>
                <w:rFonts w:ascii="Verdana" w:hAnsi="Verdana"/>
                <w:sz w:val="16"/>
                <w:szCs w:val="16"/>
                <w:lang w:val="en-US"/>
              </w:rPr>
              <w:t xml:space="preserve"> acid</w:t>
            </w:r>
            <w:r w:rsidR="003E1BA9" w:rsidRPr="00F01347">
              <w:rPr>
                <w:rFonts w:ascii="Verdana" w:hAnsi="Verdana"/>
                <w:sz w:val="16"/>
                <w:szCs w:val="16"/>
                <w:lang w:val="en-US"/>
              </w:rPr>
              <w:t>,</w:t>
            </w:r>
            <w:r w:rsidRPr="00F01347">
              <w:rPr>
                <w:rFonts w:ascii="Verdana" w:hAnsi="Verdana"/>
                <w:sz w:val="16"/>
                <w:szCs w:val="16"/>
                <w:lang w:val="en-US"/>
              </w:rPr>
              <w:t xml:space="preserve"> tetrahydrate (Na</w:t>
            </w:r>
            <w:r w:rsidRPr="00F01347">
              <w:rPr>
                <w:rFonts w:ascii="Verdana" w:hAnsi="Verdana"/>
                <w:sz w:val="16"/>
                <w:szCs w:val="16"/>
                <w:vertAlign w:val="subscript"/>
                <w:lang w:val="en-US"/>
              </w:rPr>
              <w:t xml:space="preserve">4 </w:t>
            </w:r>
            <w:r w:rsidRPr="00F01347">
              <w:rPr>
                <w:rFonts w:ascii="Verdana" w:hAnsi="Verdana"/>
                <w:sz w:val="16"/>
                <w:szCs w:val="16"/>
                <w:lang w:val="en-US"/>
              </w:rPr>
              <w:t>EDTA 4H</w:t>
            </w:r>
            <w:r w:rsidRPr="00F01347">
              <w:rPr>
                <w:rFonts w:ascii="Verdana" w:hAnsi="Verdana"/>
                <w:sz w:val="16"/>
                <w:szCs w:val="16"/>
                <w:vertAlign w:val="subscript"/>
                <w:lang w:val="en-US"/>
              </w:rPr>
              <w:t>2</w:t>
            </w:r>
            <w:r w:rsidRPr="00F01347">
              <w:rPr>
                <w:rFonts w:ascii="Verdana" w:hAnsi="Verdana"/>
                <w:sz w:val="16"/>
                <w:szCs w:val="16"/>
                <w:lang w:val="en-US"/>
              </w:rPr>
              <w:t>O) and stir until dissolved. Cool and dilute to 1,000 mL</w:t>
            </w:r>
            <w:r w:rsidR="003E1BA9" w:rsidRPr="00F01347">
              <w:rPr>
                <w:rFonts w:ascii="Verdana" w:hAnsi="Verdana"/>
                <w:sz w:val="16"/>
                <w:szCs w:val="16"/>
                <w:lang w:val="en-US"/>
              </w:rPr>
              <w:t>.</w:t>
            </w:r>
          </w:p>
        </w:tc>
      </w:tr>
      <w:tr w:rsidR="00065A86" w:rsidRPr="00F01347" w14:paraId="67C51054" w14:textId="4F19FE38" w:rsidTr="009E6861">
        <w:tc>
          <w:tcPr>
            <w:tcW w:w="4675" w:type="dxa"/>
          </w:tcPr>
          <w:p w14:paraId="0B08B2EE" w14:textId="77777777" w:rsidR="00065A86" w:rsidRPr="00F01347" w:rsidRDefault="00065A86" w:rsidP="00065A86">
            <w:pPr>
              <w:pStyle w:val="texto0"/>
              <w:ind w:firstLine="0"/>
              <w:rPr>
                <w:rFonts w:ascii="Verdana" w:hAnsi="Verdana"/>
                <w:sz w:val="16"/>
                <w:szCs w:val="16"/>
              </w:rPr>
            </w:pPr>
            <w:r w:rsidRPr="00F01347">
              <w:rPr>
                <w:rFonts w:ascii="Verdana" w:hAnsi="Verdana"/>
                <w:b/>
                <w:sz w:val="16"/>
                <w:szCs w:val="16"/>
              </w:rPr>
              <w:t>Disolución concentrada de cloruro de amonio (NH</w:t>
            </w:r>
            <w:r w:rsidRPr="00F01347">
              <w:rPr>
                <w:rFonts w:ascii="Verdana" w:hAnsi="Verdana"/>
                <w:b/>
                <w:sz w:val="16"/>
                <w:szCs w:val="16"/>
                <w:vertAlign w:val="subscript"/>
              </w:rPr>
              <w:t>4</w:t>
            </w:r>
            <w:r w:rsidRPr="00F01347">
              <w:rPr>
                <w:rFonts w:ascii="Verdana" w:hAnsi="Verdana"/>
                <w:b/>
                <w:sz w:val="16"/>
                <w:szCs w:val="16"/>
              </w:rPr>
              <w:t>Cl).</w:t>
            </w:r>
            <w:r w:rsidRPr="00F01347">
              <w:rPr>
                <w:rFonts w:ascii="Verdana" w:hAnsi="Verdana"/>
                <w:sz w:val="16"/>
                <w:szCs w:val="16"/>
              </w:rPr>
              <w:t xml:space="preserve"> Disolver 3.819 g de cloruro de amonio (NH</w:t>
            </w:r>
            <w:r w:rsidRPr="00F01347">
              <w:rPr>
                <w:rFonts w:ascii="Verdana" w:hAnsi="Verdana"/>
                <w:sz w:val="16"/>
                <w:szCs w:val="16"/>
                <w:vertAlign w:val="subscript"/>
              </w:rPr>
              <w:t>4</w:t>
            </w:r>
            <w:r w:rsidRPr="00F01347">
              <w:rPr>
                <w:rFonts w:ascii="Verdana" w:hAnsi="Verdana"/>
                <w:sz w:val="16"/>
                <w:szCs w:val="16"/>
              </w:rPr>
              <w:t xml:space="preserve">Cl) anhidro (secado a 100°C) en agua y diluir a 1 000 </w:t>
            </w:r>
            <w:proofErr w:type="spellStart"/>
            <w:r w:rsidRPr="00F01347">
              <w:rPr>
                <w:rFonts w:ascii="Verdana" w:hAnsi="Verdana"/>
                <w:sz w:val="16"/>
                <w:szCs w:val="16"/>
              </w:rPr>
              <w:t>mL</w:t>
            </w:r>
            <w:proofErr w:type="spellEnd"/>
            <w:r w:rsidRPr="00F01347">
              <w:rPr>
                <w:rFonts w:ascii="Verdana" w:hAnsi="Verdana"/>
                <w:sz w:val="16"/>
                <w:szCs w:val="16"/>
              </w:rPr>
              <w:t xml:space="preserve">; 1 </w:t>
            </w:r>
            <w:proofErr w:type="spellStart"/>
            <w:r w:rsidRPr="00F01347">
              <w:rPr>
                <w:rFonts w:ascii="Verdana" w:hAnsi="Verdana"/>
                <w:sz w:val="16"/>
                <w:szCs w:val="16"/>
              </w:rPr>
              <w:t>mL</w:t>
            </w:r>
            <w:proofErr w:type="spellEnd"/>
            <w:r w:rsidRPr="00F01347">
              <w:rPr>
                <w:rFonts w:ascii="Verdana" w:hAnsi="Verdana"/>
                <w:sz w:val="16"/>
                <w:szCs w:val="16"/>
              </w:rPr>
              <w:t>=1 mg N=1.22 mg de amoniaco.</w:t>
            </w:r>
          </w:p>
        </w:tc>
        <w:tc>
          <w:tcPr>
            <w:tcW w:w="4675" w:type="dxa"/>
          </w:tcPr>
          <w:p w14:paraId="333A7C64" w14:textId="651D3188"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Concentrated solution of ammonium chloride (NH</w:t>
            </w:r>
            <w:r w:rsidRPr="00F01347">
              <w:rPr>
                <w:rFonts w:ascii="Verdana" w:hAnsi="Verdana"/>
                <w:b/>
                <w:sz w:val="16"/>
                <w:szCs w:val="16"/>
                <w:vertAlign w:val="subscript"/>
                <w:lang w:val="en-US"/>
              </w:rPr>
              <w:t>4</w:t>
            </w:r>
            <w:r w:rsidRPr="00F01347">
              <w:rPr>
                <w:rFonts w:ascii="Verdana" w:hAnsi="Verdana"/>
                <w:b/>
                <w:sz w:val="16"/>
                <w:szCs w:val="16"/>
                <w:lang w:val="en-US"/>
              </w:rPr>
              <w:t xml:space="preserve">Cl). </w:t>
            </w:r>
            <w:r w:rsidRPr="00F01347">
              <w:rPr>
                <w:rFonts w:ascii="Verdana" w:hAnsi="Verdana"/>
                <w:sz w:val="16"/>
                <w:szCs w:val="16"/>
                <w:lang w:val="en-US"/>
              </w:rPr>
              <w:t>Dissolve 3,819 g of anhydrous ammonium chloride (NH</w:t>
            </w:r>
            <w:r w:rsidRPr="00F01347">
              <w:rPr>
                <w:rFonts w:ascii="Verdana" w:hAnsi="Verdana"/>
                <w:sz w:val="16"/>
                <w:szCs w:val="16"/>
                <w:vertAlign w:val="subscript"/>
                <w:lang w:val="en-US"/>
              </w:rPr>
              <w:t xml:space="preserve">4 </w:t>
            </w:r>
            <w:r w:rsidRPr="00F01347">
              <w:rPr>
                <w:rFonts w:ascii="Verdana" w:hAnsi="Verdana"/>
                <w:sz w:val="16"/>
                <w:szCs w:val="16"/>
                <w:lang w:val="en-US"/>
              </w:rPr>
              <w:t>Cl) (dried at 100°C) in water and dilute to 1,000 mL; 1 mL =1 mg N=1.22 mg of ammonia.</w:t>
            </w:r>
          </w:p>
        </w:tc>
      </w:tr>
      <w:tr w:rsidR="00065A86" w:rsidRPr="00F01347" w14:paraId="21424C11" w14:textId="5D52F36E" w:rsidTr="009E6861">
        <w:tc>
          <w:tcPr>
            <w:tcW w:w="4675" w:type="dxa"/>
          </w:tcPr>
          <w:p w14:paraId="0E104561" w14:textId="77777777" w:rsidR="00065A86" w:rsidRPr="00F01347" w:rsidRDefault="00065A86" w:rsidP="00065A86">
            <w:pPr>
              <w:pStyle w:val="texto0"/>
              <w:ind w:firstLine="0"/>
              <w:rPr>
                <w:rFonts w:ascii="Verdana" w:hAnsi="Verdana"/>
                <w:b/>
                <w:sz w:val="16"/>
                <w:szCs w:val="16"/>
              </w:rPr>
            </w:pPr>
            <w:r w:rsidRPr="00F01347">
              <w:rPr>
                <w:rFonts w:ascii="Verdana" w:hAnsi="Verdana"/>
                <w:b/>
                <w:sz w:val="16"/>
                <w:szCs w:val="16"/>
              </w:rPr>
              <w:t>B.7.2.5 Procedimiento</w:t>
            </w:r>
          </w:p>
        </w:tc>
        <w:tc>
          <w:tcPr>
            <w:tcW w:w="4675" w:type="dxa"/>
          </w:tcPr>
          <w:p w14:paraId="5251A3B1" w14:textId="15D2EBE6"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B.7.2.5 Procedure</w:t>
            </w:r>
          </w:p>
        </w:tc>
      </w:tr>
      <w:tr w:rsidR="00065A86" w:rsidRPr="00F01347" w14:paraId="7ABF92F6" w14:textId="3CA94642" w:rsidTr="009E6861">
        <w:tc>
          <w:tcPr>
            <w:tcW w:w="4675" w:type="dxa"/>
          </w:tcPr>
          <w:p w14:paraId="076CFA00" w14:textId="77777777" w:rsidR="00065A86" w:rsidRPr="00F01347" w:rsidRDefault="00065A86" w:rsidP="00065A86">
            <w:pPr>
              <w:pStyle w:val="texto0"/>
              <w:ind w:firstLine="0"/>
              <w:rPr>
                <w:rFonts w:ascii="Verdana" w:hAnsi="Verdana"/>
                <w:b/>
                <w:sz w:val="16"/>
                <w:szCs w:val="16"/>
              </w:rPr>
            </w:pPr>
            <w:r w:rsidRPr="00F01347">
              <w:rPr>
                <w:rFonts w:ascii="Verdana" w:hAnsi="Verdana"/>
                <w:b/>
                <w:sz w:val="16"/>
                <w:szCs w:val="16"/>
              </w:rPr>
              <w:t>B.7.2.5.1 Preparación de estándares</w:t>
            </w:r>
          </w:p>
        </w:tc>
        <w:tc>
          <w:tcPr>
            <w:tcW w:w="4675" w:type="dxa"/>
          </w:tcPr>
          <w:p w14:paraId="44F93302" w14:textId="57B0896E"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B.7.2.5.1 Preparation of standards</w:t>
            </w:r>
          </w:p>
        </w:tc>
      </w:tr>
      <w:tr w:rsidR="00065A86" w:rsidRPr="00F01347" w14:paraId="1D47E022" w14:textId="17CE241C" w:rsidTr="009E6861">
        <w:tc>
          <w:tcPr>
            <w:tcW w:w="4675" w:type="dxa"/>
          </w:tcPr>
          <w:p w14:paraId="2275D3B7" w14:textId="77777777" w:rsidR="00065A86" w:rsidRPr="00F01347" w:rsidRDefault="00065A86" w:rsidP="00065A86">
            <w:pPr>
              <w:pStyle w:val="texto0"/>
              <w:ind w:firstLine="0"/>
              <w:rPr>
                <w:rFonts w:ascii="Verdana" w:hAnsi="Verdana"/>
                <w:sz w:val="16"/>
                <w:szCs w:val="16"/>
              </w:rPr>
            </w:pPr>
            <w:r w:rsidRPr="00F01347">
              <w:rPr>
                <w:rFonts w:ascii="Verdana" w:hAnsi="Verdana"/>
                <w:sz w:val="16"/>
                <w:szCs w:val="16"/>
              </w:rPr>
              <w:t>Preparar una serie de disoluciones estándar por diluciones decimales a partir de una disolución patrón concentrada de NH4Cl que cubran las concentraciones de 1000, 100, 10, 1 y 0.1 mg NH</w:t>
            </w:r>
            <w:r w:rsidRPr="00F01347">
              <w:rPr>
                <w:rFonts w:ascii="Verdana" w:hAnsi="Verdana"/>
                <w:sz w:val="16"/>
                <w:szCs w:val="16"/>
                <w:vertAlign w:val="subscript"/>
              </w:rPr>
              <w:t>3</w:t>
            </w:r>
            <w:r w:rsidRPr="00F01347">
              <w:rPr>
                <w:rFonts w:ascii="Verdana" w:hAnsi="Verdana"/>
                <w:sz w:val="16"/>
                <w:szCs w:val="16"/>
              </w:rPr>
              <w:t>-N/L.</w:t>
            </w:r>
          </w:p>
        </w:tc>
        <w:tc>
          <w:tcPr>
            <w:tcW w:w="4675" w:type="dxa"/>
          </w:tcPr>
          <w:p w14:paraId="5A4C03E9" w14:textId="0BEE6D5A" w:rsidR="00065A86" w:rsidRPr="00F01347" w:rsidRDefault="00065A86" w:rsidP="00065A86">
            <w:pPr>
              <w:pStyle w:val="texto0"/>
              <w:ind w:firstLine="0"/>
              <w:rPr>
                <w:rFonts w:ascii="Verdana" w:hAnsi="Verdana"/>
                <w:sz w:val="16"/>
                <w:szCs w:val="16"/>
                <w:lang w:val="en-US"/>
              </w:rPr>
            </w:pPr>
            <w:r w:rsidRPr="00F01347">
              <w:rPr>
                <w:rFonts w:ascii="Verdana" w:hAnsi="Verdana"/>
                <w:sz w:val="16"/>
                <w:szCs w:val="16"/>
                <w:lang w:val="en-US"/>
              </w:rPr>
              <w:t>Prepare a series of standard solutions by decimal dilutions from a concentrated standard solution of NH4Cl covering the concentrations of 1000, 100, 10, 1 and 0.1 mg NH</w:t>
            </w:r>
            <w:r w:rsidRPr="00F01347">
              <w:rPr>
                <w:rFonts w:ascii="Verdana" w:hAnsi="Verdana"/>
                <w:sz w:val="16"/>
                <w:szCs w:val="16"/>
                <w:vertAlign w:val="subscript"/>
                <w:lang w:val="en-US"/>
              </w:rPr>
              <w:t>3</w:t>
            </w:r>
            <w:r w:rsidRPr="00F01347">
              <w:rPr>
                <w:rFonts w:ascii="Verdana" w:hAnsi="Verdana"/>
                <w:sz w:val="16"/>
                <w:szCs w:val="16"/>
                <w:lang w:val="en-US"/>
              </w:rPr>
              <w:t>-N/L</w:t>
            </w:r>
            <w:r w:rsidR="003E1BA9" w:rsidRPr="00F01347">
              <w:rPr>
                <w:rFonts w:ascii="Verdana" w:hAnsi="Verdana"/>
                <w:sz w:val="16"/>
                <w:szCs w:val="16"/>
                <w:vertAlign w:val="subscript"/>
                <w:lang w:val="en-US"/>
              </w:rPr>
              <w:t>.</w:t>
            </w:r>
          </w:p>
        </w:tc>
      </w:tr>
      <w:tr w:rsidR="00065A86" w:rsidRPr="00F01347" w14:paraId="47489F80" w14:textId="445BB79F" w:rsidTr="009E6861">
        <w:tc>
          <w:tcPr>
            <w:tcW w:w="4675" w:type="dxa"/>
          </w:tcPr>
          <w:p w14:paraId="696E4B38" w14:textId="77777777" w:rsidR="00065A86" w:rsidRPr="00F01347" w:rsidRDefault="00065A86" w:rsidP="00065A86">
            <w:pPr>
              <w:pStyle w:val="texto0"/>
              <w:ind w:firstLine="0"/>
              <w:rPr>
                <w:rFonts w:ascii="Verdana" w:hAnsi="Verdana"/>
                <w:b/>
                <w:sz w:val="16"/>
                <w:szCs w:val="16"/>
              </w:rPr>
            </w:pPr>
            <w:r w:rsidRPr="00F01347">
              <w:rPr>
                <w:rFonts w:ascii="Verdana" w:hAnsi="Verdana"/>
                <w:b/>
                <w:sz w:val="16"/>
                <w:szCs w:val="16"/>
              </w:rPr>
              <w:t>B.7.2.5.2 Calibración de potenciómetro</w:t>
            </w:r>
          </w:p>
        </w:tc>
        <w:tc>
          <w:tcPr>
            <w:tcW w:w="4675" w:type="dxa"/>
          </w:tcPr>
          <w:p w14:paraId="0DA02AC7" w14:textId="371D8608" w:rsidR="00065A86" w:rsidRPr="00F01347" w:rsidRDefault="00065A86" w:rsidP="00065A86">
            <w:pPr>
              <w:pStyle w:val="texto0"/>
              <w:ind w:firstLine="0"/>
              <w:rPr>
                <w:rFonts w:ascii="Verdana" w:hAnsi="Verdana"/>
                <w:b/>
                <w:sz w:val="16"/>
                <w:szCs w:val="16"/>
                <w:lang w:val="en-US"/>
              </w:rPr>
            </w:pPr>
            <w:r w:rsidRPr="00F01347">
              <w:rPr>
                <w:rFonts w:ascii="Verdana" w:hAnsi="Verdana"/>
                <w:b/>
                <w:sz w:val="16"/>
                <w:szCs w:val="16"/>
                <w:lang w:val="en-US"/>
              </w:rPr>
              <w:t>B.7.2.5.2 Potentiometer calibration</w:t>
            </w:r>
          </w:p>
        </w:tc>
      </w:tr>
      <w:tr w:rsidR="00065A86" w:rsidRPr="00F01347" w14:paraId="6D34FBB3" w14:textId="48996C7D" w:rsidTr="009E6861">
        <w:tc>
          <w:tcPr>
            <w:tcW w:w="4675" w:type="dxa"/>
          </w:tcPr>
          <w:p w14:paraId="481BCA84" w14:textId="77777777" w:rsidR="00065A86" w:rsidRPr="00F01347" w:rsidRDefault="00065A86" w:rsidP="00065A86">
            <w:pPr>
              <w:pStyle w:val="texto0"/>
              <w:ind w:firstLine="0"/>
              <w:rPr>
                <w:rFonts w:ascii="Verdana" w:hAnsi="Verdana"/>
                <w:sz w:val="16"/>
                <w:szCs w:val="16"/>
              </w:rPr>
            </w:pPr>
            <w:r w:rsidRPr="00F01347">
              <w:rPr>
                <w:rFonts w:ascii="Verdana" w:hAnsi="Verdana"/>
                <w:sz w:val="16"/>
                <w:szCs w:val="16"/>
              </w:rPr>
              <w:lastRenderedPageBreak/>
              <w:t xml:space="preserve">Poner 100 </w:t>
            </w:r>
            <w:proofErr w:type="spellStart"/>
            <w:r w:rsidRPr="00F01347">
              <w:rPr>
                <w:rFonts w:ascii="Verdana" w:hAnsi="Verdana"/>
                <w:sz w:val="16"/>
                <w:szCs w:val="16"/>
              </w:rPr>
              <w:t>mL</w:t>
            </w:r>
            <w:proofErr w:type="spellEnd"/>
            <w:r w:rsidRPr="00F01347">
              <w:rPr>
                <w:rFonts w:ascii="Verdana" w:hAnsi="Verdana"/>
                <w:sz w:val="16"/>
                <w:szCs w:val="16"/>
              </w:rPr>
              <w:t xml:space="preserve"> de cada disolución estándar en un vaso de precipitados de 150 </w:t>
            </w:r>
            <w:proofErr w:type="spellStart"/>
            <w:r w:rsidRPr="00F01347">
              <w:rPr>
                <w:rFonts w:ascii="Verdana" w:hAnsi="Verdana"/>
                <w:sz w:val="16"/>
                <w:szCs w:val="16"/>
              </w:rPr>
              <w:t>mL</w:t>
            </w:r>
            <w:proofErr w:type="spellEnd"/>
            <w:r w:rsidRPr="00F01347">
              <w:rPr>
                <w:rFonts w:ascii="Verdana" w:hAnsi="Verdana"/>
                <w:sz w:val="16"/>
                <w:szCs w:val="16"/>
              </w:rPr>
              <w:t>. Sumergir el electrodo en el estándar de concentración más baja y mezclar con un agitador magnético.</w:t>
            </w:r>
          </w:p>
        </w:tc>
        <w:tc>
          <w:tcPr>
            <w:tcW w:w="4675" w:type="dxa"/>
          </w:tcPr>
          <w:p w14:paraId="40E3D020" w14:textId="31148276" w:rsidR="00065A86" w:rsidRPr="00F01347" w:rsidRDefault="00065A86" w:rsidP="00065A86">
            <w:pPr>
              <w:pStyle w:val="texto0"/>
              <w:ind w:firstLine="0"/>
              <w:rPr>
                <w:rFonts w:ascii="Verdana" w:hAnsi="Verdana"/>
                <w:sz w:val="16"/>
                <w:szCs w:val="16"/>
                <w:lang w:val="en-US"/>
              </w:rPr>
            </w:pPr>
            <w:r w:rsidRPr="00F01347">
              <w:rPr>
                <w:rFonts w:ascii="Verdana" w:hAnsi="Verdana"/>
                <w:sz w:val="16"/>
                <w:szCs w:val="16"/>
                <w:lang w:val="en-US"/>
              </w:rPr>
              <w:t>Put 100 mL of each standard solution in a 150 mL beaker</w:t>
            </w:r>
            <w:r w:rsidR="003E1BA9" w:rsidRPr="00F01347">
              <w:rPr>
                <w:rFonts w:ascii="Verdana" w:hAnsi="Verdana"/>
                <w:sz w:val="16"/>
                <w:szCs w:val="16"/>
                <w:lang w:val="en-US"/>
              </w:rPr>
              <w:t>.</w:t>
            </w:r>
            <w:r w:rsidRPr="00F01347">
              <w:rPr>
                <w:rFonts w:ascii="Verdana" w:hAnsi="Verdana"/>
                <w:sz w:val="16"/>
                <w:szCs w:val="16"/>
                <w:lang w:val="en-US"/>
              </w:rPr>
              <w:t xml:space="preserve"> Immerse the electrode in the lowest concentration standard and mix with a magnetic stirrer.</w:t>
            </w:r>
          </w:p>
        </w:tc>
      </w:tr>
      <w:tr w:rsidR="00065A86" w:rsidRPr="00F01347" w14:paraId="7E01BA37" w14:textId="5C619EF5" w:rsidTr="009E6861">
        <w:tc>
          <w:tcPr>
            <w:tcW w:w="4675" w:type="dxa"/>
          </w:tcPr>
          <w:p w14:paraId="24A8E263" w14:textId="77777777" w:rsidR="00065A86" w:rsidRPr="00F01347" w:rsidRDefault="00065A86" w:rsidP="00065A86">
            <w:pPr>
              <w:pStyle w:val="texto0"/>
              <w:ind w:firstLine="0"/>
              <w:rPr>
                <w:rFonts w:ascii="Verdana" w:hAnsi="Verdana"/>
                <w:sz w:val="16"/>
                <w:szCs w:val="16"/>
              </w:rPr>
            </w:pPr>
            <w:r w:rsidRPr="00F01347">
              <w:rPr>
                <w:rFonts w:ascii="Verdana" w:hAnsi="Verdana"/>
                <w:sz w:val="16"/>
                <w:szCs w:val="16"/>
              </w:rPr>
              <w:t>Limitar la velocidad del agitador para minimizar la posible pérdida de amoníaco de la disolución. Mantener ella misma velocidad de agitación y una temperatura de 25 °C durante la calibración y determinación.</w:t>
            </w:r>
          </w:p>
        </w:tc>
        <w:tc>
          <w:tcPr>
            <w:tcW w:w="4675" w:type="dxa"/>
          </w:tcPr>
          <w:p w14:paraId="281C0528" w14:textId="0EF77C48" w:rsidR="00065A86" w:rsidRPr="00F01347" w:rsidRDefault="00065A86" w:rsidP="00065A86">
            <w:pPr>
              <w:pStyle w:val="texto0"/>
              <w:ind w:firstLine="0"/>
              <w:rPr>
                <w:rFonts w:ascii="Verdana" w:hAnsi="Verdana"/>
                <w:sz w:val="16"/>
                <w:szCs w:val="16"/>
                <w:lang w:val="en-US"/>
              </w:rPr>
            </w:pPr>
            <w:r w:rsidRPr="00F01347">
              <w:rPr>
                <w:rFonts w:ascii="Verdana" w:hAnsi="Verdana"/>
                <w:sz w:val="16"/>
                <w:szCs w:val="16"/>
                <w:lang w:val="en-US"/>
              </w:rPr>
              <w:t>Limit the speed of the stirrer to minimize the possible loss of ammonia from the solution. Maintain the same stirring speed and a temperature of 25 °C during calibration and determination.</w:t>
            </w:r>
          </w:p>
        </w:tc>
      </w:tr>
      <w:tr w:rsidR="00065A86" w:rsidRPr="00F01347" w14:paraId="14B50C83" w14:textId="0189A48D" w:rsidTr="009E6861">
        <w:tc>
          <w:tcPr>
            <w:tcW w:w="4675" w:type="dxa"/>
          </w:tcPr>
          <w:p w14:paraId="2351D069" w14:textId="77777777" w:rsidR="00065A86" w:rsidRPr="00F01347" w:rsidRDefault="00065A86" w:rsidP="00065A86">
            <w:pPr>
              <w:pStyle w:val="texto0"/>
              <w:ind w:firstLine="0"/>
              <w:rPr>
                <w:rFonts w:ascii="Verdana" w:hAnsi="Verdana"/>
                <w:sz w:val="16"/>
                <w:szCs w:val="16"/>
              </w:rPr>
            </w:pPr>
            <w:r w:rsidRPr="00F01347">
              <w:rPr>
                <w:rFonts w:ascii="Verdana" w:hAnsi="Verdana"/>
                <w:sz w:val="16"/>
                <w:szCs w:val="16"/>
              </w:rPr>
              <w:t xml:space="preserve">Añadir un volumen suficiente de disolución NaOH 10N (usualmente 1 </w:t>
            </w:r>
            <w:proofErr w:type="spellStart"/>
            <w:r w:rsidRPr="00F01347">
              <w:rPr>
                <w:rFonts w:ascii="Verdana" w:hAnsi="Verdana"/>
                <w:sz w:val="16"/>
                <w:szCs w:val="16"/>
              </w:rPr>
              <w:t>mL</w:t>
            </w:r>
            <w:proofErr w:type="spellEnd"/>
            <w:r w:rsidRPr="00F01347">
              <w:rPr>
                <w:rFonts w:ascii="Verdana" w:hAnsi="Verdana"/>
                <w:sz w:val="16"/>
                <w:szCs w:val="16"/>
              </w:rPr>
              <w:t xml:space="preserve"> es suficiente) para aumentar el pH a cerca de 11.</w:t>
            </w:r>
          </w:p>
        </w:tc>
        <w:tc>
          <w:tcPr>
            <w:tcW w:w="4675" w:type="dxa"/>
          </w:tcPr>
          <w:p w14:paraId="187A6C86" w14:textId="47678729" w:rsidR="00065A86" w:rsidRPr="00F01347" w:rsidRDefault="00065A86" w:rsidP="00065A86">
            <w:pPr>
              <w:pStyle w:val="texto0"/>
              <w:ind w:firstLine="0"/>
              <w:rPr>
                <w:rFonts w:ascii="Verdana" w:hAnsi="Verdana"/>
                <w:sz w:val="16"/>
                <w:szCs w:val="16"/>
                <w:lang w:val="en-US"/>
              </w:rPr>
            </w:pPr>
            <w:r w:rsidRPr="00F01347">
              <w:rPr>
                <w:rFonts w:ascii="Verdana" w:hAnsi="Verdana"/>
                <w:sz w:val="16"/>
                <w:szCs w:val="16"/>
                <w:lang w:val="en-US"/>
              </w:rPr>
              <w:t>Add a sufficient volume of 10N NaOH solution (usually 1 mL is sufficient) to increase the pH to about 11.</w:t>
            </w:r>
          </w:p>
        </w:tc>
      </w:tr>
      <w:tr w:rsidR="00065A86" w:rsidRPr="00F01347" w14:paraId="2299C8E9" w14:textId="4BD35596" w:rsidTr="009E6861">
        <w:tc>
          <w:tcPr>
            <w:tcW w:w="4675" w:type="dxa"/>
          </w:tcPr>
          <w:p w14:paraId="00ADB232" w14:textId="77777777" w:rsidR="00065A86" w:rsidRPr="00F01347" w:rsidRDefault="00065A86" w:rsidP="00065A86">
            <w:pPr>
              <w:pStyle w:val="texto0"/>
              <w:ind w:firstLine="0"/>
              <w:rPr>
                <w:rFonts w:ascii="Verdana" w:hAnsi="Verdana"/>
                <w:sz w:val="16"/>
                <w:szCs w:val="16"/>
              </w:rPr>
            </w:pPr>
            <w:r w:rsidRPr="00F01347">
              <w:rPr>
                <w:rFonts w:ascii="Verdana" w:hAnsi="Verdana"/>
                <w:sz w:val="16"/>
                <w:szCs w:val="16"/>
              </w:rPr>
              <w:t xml:space="preserve">Si la presencia de plata o mercurio es posible, usar una disolución de NaOH/EDTA en lugar </w:t>
            </w:r>
            <w:proofErr w:type="gramStart"/>
            <w:r w:rsidRPr="00F01347">
              <w:rPr>
                <w:rFonts w:ascii="Verdana" w:hAnsi="Verdana"/>
                <w:sz w:val="16"/>
                <w:szCs w:val="16"/>
              </w:rPr>
              <w:t>de  disolución</w:t>
            </w:r>
            <w:proofErr w:type="gramEnd"/>
            <w:r w:rsidRPr="00F01347">
              <w:rPr>
                <w:rFonts w:ascii="Verdana" w:hAnsi="Verdana"/>
                <w:sz w:val="16"/>
                <w:szCs w:val="16"/>
              </w:rPr>
              <w:t xml:space="preserve"> NaOH.</w:t>
            </w:r>
          </w:p>
        </w:tc>
        <w:tc>
          <w:tcPr>
            <w:tcW w:w="4675" w:type="dxa"/>
          </w:tcPr>
          <w:p w14:paraId="058733E0" w14:textId="278C368D" w:rsidR="00065A86" w:rsidRPr="00F01347" w:rsidRDefault="00065A86" w:rsidP="00065A86">
            <w:pPr>
              <w:pStyle w:val="texto0"/>
              <w:ind w:firstLine="0"/>
              <w:rPr>
                <w:rFonts w:ascii="Verdana" w:hAnsi="Verdana"/>
                <w:sz w:val="16"/>
                <w:szCs w:val="16"/>
                <w:lang w:val="en-US"/>
              </w:rPr>
            </w:pPr>
            <w:r w:rsidRPr="00F01347">
              <w:rPr>
                <w:rFonts w:ascii="Verdana" w:hAnsi="Verdana"/>
                <w:sz w:val="16"/>
                <w:szCs w:val="16"/>
                <w:lang w:val="en-US"/>
              </w:rPr>
              <w:t>If the presence of silver or mercury is possible, use a NaOH/EDTA solution instead of NaOH solution</w:t>
            </w:r>
            <w:r w:rsidR="003E1BA9" w:rsidRPr="00F01347">
              <w:rPr>
                <w:rFonts w:ascii="Verdana" w:hAnsi="Verdana"/>
                <w:sz w:val="16"/>
                <w:szCs w:val="16"/>
                <w:lang w:val="en-US"/>
              </w:rPr>
              <w:t>.</w:t>
            </w:r>
          </w:p>
        </w:tc>
      </w:tr>
      <w:tr w:rsidR="00065A86" w:rsidRPr="00F01347" w14:paraId="7A62B779" w14:textId="0B8859CC" w:rsidTr="009E6861">
        <w:tc>
          <w:tcPr>
            <w:tcW w:w="4675" w:type="dxa"/>
          </w:tcPr>
          <w:p w14:paraId="00BD5496" w14:textId="77777777" w:rsidR="00065A86" w:rsidRPr="00F01347" w:rsidRDefault="00065A86" w:rsidP="00065A86">
            <w:pPr>
              <w:pStyle w:val="texto0"/>
              <w:ind w:firstLine="0"/>
              <w:rPr>
                <w:rFonts w:ascii="Verdana" w:hAnsi="Verdana"/>
                <w:sz w:val="16"/>
                <w:szCs w:val="16"/>
              </w:rPr>
            </w:pPr>
            <w:r w:rsidRPr="00F01347">
              <w:rPr>
                <w:rFonts w:ascii="Verdana" w:hAnsi="Verdana"/>
                <w:sz w:val="16"/>
                <w:szCs w:val="16"/>
              </w:rPr>
              <w:t xml:space="preserve">Si es necesario añadir más de 1 </w:t>
            </w:r>
            <w:proofErr w:type="spellStart"/>
            <w:r w:rsidRPr="00F01347">
              <w:rPr>
                <w:rFonts w:ascii="Verdana" w:hAnsi="Verdana"/>
                <w:sz w:val="16"/>
                <w:szCs w:val="16"/>
              </w:rPr>
              <w:t>mL</w:t>
            </w:r>
            <w:proofErr w:type="spellEnd"/>
            <w:r w:rsidRPr="00F01347">
              <w:rPr>
                <w:rFonts w:ascii="Verdana" w:hAnsi="Verdana"/>
                <w:sz w:val="16"/>
                <w:szCs w:val="16"/>
              </w:rPr>
              <w:t xml:space="preserve"> de disolución NaOH o NaOH/EDTA registrar el volumen utilizado, debido a que es requerido en los cálculos.</w:t>
            </w:r>
          </w:p>
        </w:tc>
        <w:tc>
          <w:tcPr>
            <w:tcW w:w="4675" w:type="dxa"/>
          </w:tcPr>
          <w:p w14:paraId="08E9AA8C" w14:textId="7CF908F9" w:rsidR="00065A86" w:rsidRPr="00F01347" w:rsidRDefault="00065A86" w:rsidP="00065A86">
            <w:pPr>
              <w:pStyle w:val="texto0"/>
              <w:ind w:firstLine="0"/>
              <w:rPr>
                <w:rFonts w:ascii="Verdana" w:hAnsi="Verdana"/>
                <w:sz w:val="16"/>
                <w:szCs w:val="16"/>
                <w:lang w:val="en-US"/>
              </w:rPr>
            </w:pPr>
            <w:r w:rsidRPr="00F01347">
              <w:rPr>
                <w:rFonts w:ascii="Verdana" w:hAnsi="Verdana"/>
                <w:sz w:val="16"/>
                <w:szCs w:val="16"/>
                <w:lang w:val="en-US"/>
              </w:rPr>
              <w:t>If it is necessary to add more than 1 mL of NaOH or NaOH/EDTA solution, record the volume used, because it is required in the calculations.</w:t>
            </w:r>
          </w:p>
        </w:tc>
      </w:tr>
      <w:tr w:rsidR="00065A86" w:rsidRPr="00F01347" w14:paraId="13F5D323" w14:textId="33A32BB8" w:rsidTr="009E6861">
        <w:tc>
          <w:tcPr>
            <w:tcW w:w="4675" w:type="dxa"/>
          </w:tcPr>
          <w:p w14:paraId="38258F43" w14:textId="77777777" w:rsidR="00065A86" w:rsidRPr="00F01347" w:rsidRDefault="00065A86" w:rsidP="00065A86">
            <w:pPr>
              <w:pStyle w:val="texto0"/>
              <w:ind w:firstLine="0"/>
              <w:rPr>
                <w:rFonts w:ascii="Verdana" w:hAnsi="Verdana"/>
                <w:sz w:val="16"/>
                <w:szCs w:val="16"/>
              </w:rPr>
            </w:pPr>
            <w:r w:rsidRPr="00F01347">
              <w:rPr>
                <w:rFonts w:ascii="Verdana" w:hAnsi="Verdana"/>
                <w:sz w:val="16"/>
                <w:szCs w:val="16"/>
              </w:rPr>
              <w:t>Mantener el electrodo en la disolución hasta obtener una lectura estable en milivolts. No añadir disolución NaOH antes de sumergir el electrodo, debido a que el amoniaco puede perderse a partir de la disolución básica. Repetir el procedimiento con el resto de los estándares, procediendo de la concentración más baja a la más alta.</w:t>
            </w:r>
          </w:p>
        </w:tc>
        <w:tc>
          <w:tcPr>
            <w:tcW w:w="4675" w:type="dxa"/>
          </w:tcPr>
          <w:p w14:paraId="15D10EC2" w14:textId="78DA2181" w:rsidR="00065A86" w:rsidRPr="00F01347" w:rsidRDefault="00065A86" w:rsidP="00065A86">
            <w:pPr>
              <w:pStyle w:val="texto0"/>
              <w:ind w:firstLine="0"/>
              <w:rPr>
                <w:rFonts w:ascii="Verdana" w:hAnsi="Verdana"/>
                <w:sz w:val="16"/>
                <w:szCs w:val="16"/>
                <w:lang w:val="en-US"/>
              </w:rPr>
            </w:pPr>
            <w:r w:rsidRPr="00F01347">
              <w:rPr>
                <w:rFonts w:ascii="Verdana" w:hAnsi="Verdana"/>
                <w:sz w:val="16"/>
                <w:szCs w:val="16"/>
                <w:lang w:val="en-US"/>
              </w:rPr>
              <w:t>Keep the electrode in the solution until a stable reading in millivolts is obtained. Do not add NaOH solution before immersing the electrode, because ammonia may be lost from the basic solution. Repeat the procedure with the rest of the standards, proceeding from the lowest concentration to the highest.</w:t>
            </w:r>
          </w:p>
        </w:tc>
      </w:tr>
      <w:tr w:rsidR="00065A86" w:rsidRPr="00F01347" w14:paraId="302F1FE6" w14:textId="70D90654" w:rsidTr="009E6861">
        <w:tc>
          <w:tcPr>
            <w:tcW w:w="4675" w:type="dxa"/>
          </w:tcPr>
          <w:p w14:paraId="58B1985D" w14:textId="77777777" w:rsidR="00065A86" w:rsidRPr="00F01347" w:rsidRDefault="00065A86" w:rsidP="00065A86">
            <w:pPr>
              <w:pStyle w:val="texto0"/>
              <w:ind w:firstLine="0"/>
              <w:rPr>
                <w:rFonts w:ascii="Verdana" w:hAnsi="Verdana"/>
                <w:sz w:val="16"/>
                <w:szCs w:val="16"/>
              </w:rPr>
            </w:pPr>
            <w:r w:rsidRPr="00F01347">
              <w:rPr>
                <w:rFonts w:ascii="Verdana" w:hAnsi="Verdana"/>
                <w:sz w:val="16"/>
                <w:szCs w:val="16"/>
              </w:rPr>
              <w:t>Esperar hasta que la lectura se estabilice (al menos 2 o 3 minutos) antes de registrar los milivolts para los estándares y las muestras que contienen una concentración ≤1 mg NH</w:t>
            </w:r>
            <w:r w:rsidRPr="00F01347">
              <w:rPr>
                <w:rFonts w:ascii="Verdana" w:hAnsi="Verdana"/>
                <w:sz w:val="16"/>
                <w:szCs w:val="16"/>
                <w:vertAlign w:val="subscript"/>
              </w:rPr>
              <w:t>3</w:t>
            </w:r>
            <w:r w:rsidRPr="00F01347">
              <w:rPr>
                <w:rFonts w:ascii="Verdana" w:hAnsi="Verdana"/>
                <w:sz w:val="16"/>
                <w:szCs w:val="16"/>
              </w:rPr>
              <w:t>-N/L.</w:t>
            </w:r>
          </w:p>
        </w:tc>
        <w:tc>
          <w:tcPr>
            <w:tcW w:w="4675" w:type="dxa"/>
          </w:tcPr>
          <w:p w14:paraId="50D4BFB2" w14:textId="51E58327" w:rsidR="00065A86" w:rsidRPr="00F01347" w:rsidRDefault="00065A86" w:rsidP="00065A86">
            <w:pPr>
              <w:pStyle w:val="texto0"/>
              <w:ind w:firstLine="0"/>
              <w:rPr>
                <w:rFonts w:ascii="Verdana" w:hAnsi="Verdana"/>
                <w:sz w:val="16"/>
                <w:szCs w:val="16"/>
                <w:lang w:val="en-US"/>
              </w:rPr>
            </w:pPr>
            <w:r w:rsidRPr="00F01347">
              <w:rPr>
                <w:rFonts w:ascii="Verdana" w:hAnsi="Verdana"/>
                <w:sz w:val="16"/>
                <w:szCs w:val="16"/>
                <w:lang w:val="en-US"/>
              </w:rPr>
              <w:t>Wait until the reading stabilizes (at least 2 or 3 minutes) before recording millivolts for standards and samples containing a concentration</w:t>
            </w:r>
            <w:r w:rsidR="00B623F0" w:rsidRPr="00F01347">
              <w:rPr>
                <w:rFonts w:ascii="Verdana" w:hAnsi="Verdana"/>
                <w:sz w:val="16"/>
                <w:szCs w:val="16"/>
                <w:lang w:val="en-US"/>
              </w:rPr>
              <w:t xml:space="preserve"> </w:t>
            </w:r>
            <w:r w:rsidR="0043798B" w:rsidRPr="00F01347">
              <w:rPr>
                <w:rFonts w:ascii="Verdana" w:hAnsi="Verdana"/>
                <w:sz w:val="16"/>
                <w:szCs w:val="16"/>
                <w:lang w:val="en-US"/>
              </w:rPr>
              <w:t>of ≤</w:t>
            </w:r>
            <w:r w:rsidRPr="00F01347">
              <w:rPr>
                <w:rFonts w:ascii="Verdana" w:hAnsi="Verdana"/>
                <w:sz w:val="16"/>
                <w:szCs w:val="16"/>
                <w:lang w:val="en-US"/>
              </w:rPr>
              <w:t xml:space="preserve">1 mg NH </w:t>
            </w:r>
            <w:r w:rsidRPr="00F01347">
              <w:rPr>
                <w:rFonts w:ascii="Verdana" w:hAnsi="Verdana"/>
                <w:sz w:val="16"/>
                <w:szCs w:val="16"/>
                <w:vertAlign w:val="subscript"/>
                <w:lang w:val="en-US"/>
              </w:rPr>
              <w:t xml:space="preserve">3 </w:t>
            </w:r>
            <w:r w:rsidRPr="00F01347">
              <w:rPr>
                <w:rFonts w:ascii="Verdana" w:hAnsi="Verdana"/>
                <w:sz w:val="16"/>
                <w:szCs w:val="16"/>
                <w:lang w:val="en-US"/>
              </w:rPr>
              <w:t>-N/L.</w:t>
            </w:r>
          </w:p>
        </w:tc>
      </w:tr>
      <w:tr w:rsidR="00065A86" w:rsidRPr="00F01347" w14:paraId="3C6F0F54" w14:textId="0AB3D59D" w:rsidTr="009E6861">
        <w:tc>
          <w:tcPr>
            <w:tcW w:w="4675" w:type="dxa"/>
          </w:tcPr>
          <w:p w14:paraId="1AE7748D" w14:textId="77777777" w:rsidR="00065A86" w:rsidRPr="00F01347" w:rsidRDefault="00065A86" w:rsidP="00065A86">
            <w:pPr>
              <w:pStyle w:val="texto0"/>
              <w:spacing w:line="232" w:lineRule="exact"/>
              <w:ind w:firstLine="0"/>
              <w:rPr>
                <w:rFonts w:ascii="Verdana" w:hAnsi="Verdana"/>
                <w:b/>
                <w:sz w:val="16"/>
                <w:szCs w:val="16"/>
              </w:rPr>
            </w:pPr>
            <w:r w:rsidRPr="00F01347">
              <w:rPr>
                <w:rFonts w:ascii="Verdana" w:hAnsi="Verdana"/>
                <w:b/>
                <w:sz w:val="16"/>
                <w:szCs w:val="16"/>
              </w:rPr>
              <w:t>B.7.2.5.3 Preparación de la curva estándar</w:t>
            </w:r>
          </w:p>
        </w:tc>
        <w:tc>
          <w:tcPr>
            <w:tcW w:w="4675" w:type="dxa"/>
          </w:tcPr>
          <w:p w14:paraId="30169332" w14:textId="4D1EBE2B" w:rsidR="00065A86" w:rsidRPr="00F01347" w:rsidRDefault="00065A86" w:rsidP="00065A86">
            <w:pPr>
              <w:pStyle w:val="texto0"/>
              <w:spacing w:line="232" w:lineRule="exact"/>
              <w:ind w:firstLine="0"/>
              <w:rPr>
                <w:rFonts w:ascii="Verdana" w:hAnsi="Verdana"/>
                <w:b/>
                <w:sz w:val="16"/>
                <w:szCs w:val="16"/>
                <w:lang w:val="en-US"/>
              </w:rPr>
            </w:pPr>
            <w:r w:rsidRPr="00F01347">
              <w:rPr>
                <w:rFonts w:ascii="Verdana" w:hAnsi="Verdana"/>
                <w:b/>
                <w:sz w:val="16"/>
                <w:szCs w:val="16"/>
                <w:lang w:val="en-US"/>
              </w:rPr>
              <w:t>B.7.2.5.3 Preparation of the standard curve</w:t>
            </w:r>
          </w:p>
        </w:tc>
      </w:tr>
      <w:tr w:rsidR="00065A86" w:rsidRPr="00F01347" w14:paraId="5A2FE365" w14:textId="52FED6CD" w:rsidTr="009E6861">
        <w:tc>
          <w:tcPr>
            <w:tcW w:w="4675" w:type="dxa"/>
          </w:tcPr>
          <w:p w14:paraId="0BABD5A5" w14:textId="77777777" w:rsidR="00065A86" w:rsidRPr="00F01347" w:rsidRDefault="00065A86" w:rsidP="00065A86">
            <w:pPr>
              <w:pStyle w:val="texto0"/>
              <w:spacing w:line="232" w:lineRule="exact"/>
              <w:ind w:firstLine="0"/>
              <w:rPr>
                <w:rFonts w:ascii="Verdana" w:hAnsi="Verdana"/>
                <w:sz w:val="16"/>
                <w:szCs w:val="16"/>
              </w:rPr>
            </w:pPr>
            <w:r w:rsidRPr="00F01347">
              <w:rPr>
                <w:rFonts w:ascii="Verdana" w:hAnsi="Verdana"/>
                <w:sz w:val="16"/>
                <w:szCs w:val="16"/>
              </w:rPr>
              <w:t>Obtener la gráfica de la ecuación de concentración con el log de la concentración del de NH</w:t>
            </w:r>
            <w:r w:rsidRPr="00F01347">
              <w:rPr>
                <w:rFonts w:ascii="Verdana" w:hAnsi="Verdana"/>
                <w:sz w:val="16"/>
                <w:szCs w:val="16"/>
                <w:vertAlign w:val="subscript"/>
              </w:rPr>
              <w:t>3</w:t>
            </w:r>
            <w:r w:rsidRPr="00F01347">
              <w:rPr>
                <w:rFonts w:ascii="Verdana" w:hAnsi="Verdana"/>
                <w:sz w:val="16"/>
                <w:szCs w:val="16"/>
              </w:rPr>
              <w:t>-N/L en mg en el eje x y el potencial en milivolts en el eje y. Si el electrodo funciona apropiadamente un cambio de 10 veces la concentración de NH</w:t>
            </w:r>
            <w:r w:rsidRPr="00F01347">
              <w:rPr>
                <w:rFonts w:ascii="Verdana" w:hAnsi="Verdana"/>
                <w:sz w:val="16"/>
                <w:szCs w:val="16"/>
                <w:vertAlign w:val="subscript"/>
              </w:rPr>
              <w:t>3</w:t>
            </w:r>
            <w:r w:rsidRPr="00F01347">
              <w:rPr>
                <w:rFonts w:ascii="Verdana" w:hAnsi="Verdana"/>
                <w:sz w:val="16"/>
                <w:szCs w:val="16"/>
              </w:rPr>
              <w:t xml:space="preserve">-N produce un cambio en el potencial de cerca de 59 </w:t>
            </w:r>
            <w:proofErr w:type="spellStart"/>
            <w:r w:rsidRPr="00F01347">
              <w:rPr>
                <w:rFonts w:ascii="Verdana" w:hAnsi="Verdana"/>
                <w:sz w:val="16"/>
                <w:szCs w:val="16"/>
              </w:rPr>
              <w:t>mV</w:t>
            </w:r>
            <w:proofErr w:type="spellEnd"/>
            <w:r w:rsidRPr="00F01347">
              <w:rPr>
                <w:rFonts w:ascii="Verdana" w:hAnsi="Verdana"/>
                <w:sz w:val="16"/>
                <w:szCs w:val="16"/>
              </w:rPr>
              <w:t>.</w:t>
            </w:r>
          </w:p>
        </w:tc>
        <w:tc>
          <w:tcPr>
            <w:tcW w:w="4675" w:type="dxa"/>
          </w:tcPr>
          <w:p w14:paraId="1583576F" w14:textId="06B9C355" w:rsidR="00065A86" w:rsidRPr="00F01347" w:rsidRDefault="00065A86" w:rsidP="00065A86">
            <w:pPr>
              <w:pStyle w:val="texto0"/>
              <w:spacing w:line="232" w:lineRule="exact"/>
              <w:ind w:firstLine="0"/>
              <w:rPr>
                <w:rFonts w:ascii="Verdana" w:hAnsi="Verdana"/>
                <w:sz w:val="16"/>
                <w:szCs w:val="16"/>
                <w:lang w:val="en-US"/>
              </w:rPr>
            </w:pPr>
            <w:r w:rsidRPr="00F01347">
              <w:rPr>
                <w:rFonts w:ascii="Verdana" w:hAnsi="Verdana"/>
                <w:sz w:val="16"/>
                <w:szCs w:val="16"/>
                <w:lang w:val="en-US"/>
              </w:rPr>
              <w:t>Obtain the graph of the concentration equation with the log of the concentration of NH</w:t>
            </w:r>
            <w:r w:rsidRPr="00F01347">
              <w:rPr>
                <w:rFonts w:ascii="Verdana" w:hAnsi="Verdana"/>
                <w:sz w:val="16"/>
                <w:szCs w:val="16"/>
                <w:vertAlign w:val="subscript"/>
                <w:lang w:val="en-US"/>
              </w:rPr>
              <w:t xml:space="preserve">3 </w:t>
            </w:r>
            <w:r w:rsidRPr="00F01347">
              <w:rPr>
                <w:rFonts w:ascii="Verdana" w:hAnsi="Verdana"/>
                <w:sz w:val="16"/>
                <w:szCs w:val="16"/>
                <w:lang w:val="en-US"/>
              </w:rPr>
              <w:t>-N/L in mg on the x-axis and the potential in millivolts on the y-axis. If the electrode is functioning properly, a 10-fold change in NH</w:t>
            </w:r>
            <w:r w:rsidRPr="00F01347">
              <w:rPr>
                <w:rFonts w:ascii="Verdana" w:hAnsi="Verdana"/>
                <w:sz w:val="16"/>
                <w:szCs w:val="16"/>
                <w:vertAlign w:val="subscript"/>
                <w:lang w:val="en-US"/>
              </w:rPr>
              <w:t>3 -</w:t>
            </w:r>
            <w:r w:rsidRPr="00F01347">
              <w:rPr>
                <w:rFonts w:ascii="Verdana" w:hAnsi="Verdana"/>
                <w:sz w:val="16"/>
                <w:szCs w:val="16"/>
                <w:lang w:val="en-US"/>
              </w:rPr>
              <w:t>N</w:t>
            </w:r>
            <w:r w:rsidRPr="00F01347">
              <w:rPr>
                <w:rFonts w:ascii="Verdana" w:hAnsi="Verdana"/>
                <w:sz w:val="16"/>
                <w:szCs w:val="16"/>
                <w:vertAlign w:val="subscript"/>
                <w:lang w:val="en-US"/>
              </w:rPr>
              <w:t xml:space="preserve"> </w:t>
            </w:r>
            <w:r w:rsidRPr="00F01347">
              <w:rPr>
                <w:rFonts w:ascii="Verdana" w:hAnsi="Verdana"/>
                <w:sz w:val="16"/>
                <w:szCs w:val="16"/>
                <w:lang w:val="en-US"/>
              </w:rPr>
              <w:t>concentration produces a change in potential of about 59 mV</w:t>
            </w:r>
            <w:r w:rsidR="003E1BA9" w:rsidRPr="00F01347">
              <w:rPr>
                <w:rFonts w:ascii="Verdana" w:hAnsi="Verdana"/>
                <w:sz w:val="16"/>
                <w:szCs w:val="16"/>
                <w:lang w:val="en-US"/>
              </w:rPr>
              <w:t>.</w:t>
            </w:r>
          </w:p>
        </w:tc>
      </w:tr>
      <w:tr w:rsidR="00065A86" w:rsidRPr="00F01347" w14:paraId="269B6F46" w14:textId="03BE106E" w:rsidTr="009E6861">
        <w:tc>
          <w:tcPr>
            <w:tcW w:w="4675" w:type="dxa"/>
          </w:tcPr>
          <w:p w14:paraId="7A338C54" w14:textId="77777777" w:rsidR="00065A86" w:rsidRPr="00F01347" w:rsidRDefault="00065A86" w:rsidP="00065A86">
            <w:pPr>
              <w:pStyle w:val="texto0"/>
              <w:spacing w:line="232" w:lineRule="exact"/>
              <w:ind w:firstLine="0"/>
              <w:rPr>
                <w:rFonts w:ascii="Verdana" w:hAnsi="Verdana"/>
                <w:b/>
                <w:sz w:val="16"/>
                <w:szCs w:val="16"/>
              </w:rPr>
            </w:pPr>
            <w:r w:rsidRPr="00F01347">
              <w:rPr>
                <w:rFonts w:ascii="Verdana" w:hAnsi="Verdana"/>
                <w:b/>
                <w:sz w:val="16"/>
                <w:szCs w:val="16"/>
              </w:rPr>
              <w:t>B.7.2.5.4 Procedimiento analítico</w:t>
            </w:r>
          </w:p>
        </w:tc>
        <w:tc>
          <w:tcPr>
            <w:tcW w:w="4675" w:type="dxa"/>
          </w:tcPr>
          <w:p w14:paraId="2D88FC11" w14:textId="4DA3A4F2" w:rsidR="00065A86" w:rsidRPr="00F01347" w:rsidRDefault="00065A86" w:rsidP="00065A86">
            <w:pPr>
              <w:pStyle w:val="texto0"/>
              <w:spacing w:line="232" w:lineRule="exact"/>
              <w:ind w:firstLine="0"/>
              <w:rPr>
                <w:rFonts w:ascii="Verdana" w:hAnsi="Verdana"/>
                <w:b/>
                <w:sz w:val="16"/>
                <w:szCs w:val="16"/>
                <w:lang w:val="en-US"/>
              </w:rPr>
            </w:pPr>
            <w:r w:rsidRPr="00F01347">
              <w:rPr>
                <w:rFonts w:ascii="Verdana" w:hAnsi="Verdana"/>
                <w:b/>
                <w:sz w:val="16"/>
                <w:szCs w:val="16"/>
                <w:lang w:val="en-US"/>
              </w:rPr>
              <w:t>B.7.2.5.4 Analytical procedure</w:t>
            </w:r>
          </w:p>
        </w:tc>
      </w:tr>
      <w:tr w:rsidR="00065A86" w:rsidRPr="00F01347" w14:paraId="4837503E" w14:textId="764F9FA9" w:rsidTr="009E6861">
        <w:tc>
          <w:tcPr>
            <w:tcW w:w="4675" w:type="dxa"/>
          </w:tcPr>
          <w:p w14:paraId="3408948A" w14:textId="77777777" w:rsidR="00065A86" w:rsidRPr="00F01347" w:rsidRDefault="00065A86" w:rsidP="00065A86">
            <w:pPr>
              <w:pStyle w:val="texto0"/>
              <w:spacing w:line="232" w:lineRule="exact"/>
              <w:ind w:firstLine="0"/>
              <w:rPr>
                <w:rFonts w:ascii="Verdana" w:hAnsi="Verdana"/>
                <w:sz w:val="16"/>
                <w:szCs w:val="16"/>
              </w:rPr>
            </w:pPr>
            <w:r w:rsidRPr="00F01347">
              <w:rPr>
                <w:rFonts w:ascii="Verdana" w:hAnsi="Verdana"/>
                <w:sz w:val="16"/>
                <w:szCs w:val="16"/>
              </w:rPr>
              <w:t>Diluir si es necesario para llevar la concentración de NH</w:t>
            </w:r>
            <w:r w:rsidRPr="00F01347">
              <w:rPr>
                <w:rFonts w:ascii="Verdana" w:hAnsi="Verdana"/>
                <w:sz w:val="16"/>
                <w:szCs w:val="16"/>
                <w:vertAlign w:val="subscript"/>
              </w:rPr>
              <w:t>3</w:t>
            </w:r>
            <w:r w:rsidRPr="00F01347">
              <w:rPr>
                <w:rFonts w:ascii="Verdana" w:hAnsi="Verdana"/>
                <w:sz w:val="16"/>
                <w:szCs w:val="16"/>
              </w:rPr>
              <w:t>-N dentro del intervalo de la curva de calibración.</w:t>
            </w:r>
          </w:p>
        </w:tc>
        <w:tc>
          <w:tcPr>
            <w:tcW w:w="4675" w:type="dxa"/>
          </w:tcPr>
          <w:p w14:paraId="67AD0D87" w14:textId="629E0B38" w:rsidR="00065A86" w:rsidRPr="00F01347" w:rsidRDefault="00065A86" w:rsidP="00065A86">
            <w:pPr>
              <w:pStyle w:val="texto0"/>
              <w:spacing w:line="232" w:lineRule="exact"/>
              <w:ind w:firstLine="0"/>
              <w:rPr>
                <w:rFonts w:ascii="Verdana" w:hAnsi="Verdana"/>
                <w:sz w:val="16"/>
                <w:szCs w:val="16"/>
                <w:lang w:val="en-US"/>
              </w:rPr>
            </w:pPr>
            <w:r w:rsidRPr="00F01347">
              <w:rPr>
                <w:rFonts w:ascii="Verdana" w:hAnsi="Verdana"/>
                <w:sz w:val="16"/>
                <w:szCs w:val="16"/>
                <w:lang w:val="en-US"/>
              </w:rPr>
              <w:t>Dilute if necessary to bring the NH</w:t>
            </w:r>
            <w:r w:rsidRPr="00F01347">
              <w:rPr>
                <w:rFonts w:ascii="Verdana" w:hAnsi="Verdana"/>
                <w:sz w:val="16"/>
                <w:szCs w:val="16"/>
                <w:vertAlign w:val="subscript"/>
                <w:lang w:val="en-US"/>
              </w:rPr>
              <w:t xml:space="preserve">3 </w:t>
            </w:r>
            <w:r w:rsidRPr="00F01347">
              <w:rPr>
                <w:rFonts w:ascii="Verdana" w:hAnsi="Verdana"/>
                <w:sz w:val="16"/>
                <w:szCs w:val="16"/>
                <w:lang w:val="en-US"/>
              </w:rPr>
              <w:t>-N concentration within the range of the calibration curve.</w:t>
            </w:r>
          </w:p>
        </w:tc>
      </w:tr>
      <w:tr w:rsidR="00065A86" w:rsidRPr="00F01347" w14:paraId="75CA9C24" w14:textId="2FCC1FFC" w:rsidTr="009E6861">
        <w:tc>
          <w:tcPr>
            <w:tcW w:w="4675" w:type="dxa"/>
          </w:tcPr>
          <w:p w14:paraId="0D0E39C3" w14:textId="77777777" w:rsidR="00065A86" w:rsidRPr="00F01347" w:rsidRDefault="00065A86" w:rsidP="00065A86">
            <w:pPr>
              <w:pStyle w:val="texto0"/>
              <w:spacing w:line="232" w:lineRule="exact"/>
              <w:ind w:firstLine="0"/>
              <w:rPr>
                <w:rFonts w:ascii="Verdana" w:hAnsi="Verdana"/>
                <w:sz w:val="16"/>
                <w:szCs w:val="16"/>
              </w:rPr>
            </w:pPr>
            <w:r w:rsidRPr="00F01347">
              <w:rPr>
                <w:rFonts w:ascii="Verdana" w:hAnsi="Verdana"/>
                <w:sz w:val="16"/>
                <w:szCs w:val="16"/>
              </w:rPr>
              <w:t xml:space="preserve">Colocar 100 </w:t>
            </w:r>
            <w:proofErr w:type="spellStart"/>
            <w:r w:rsidRPr="00F01347">
              <w:rPr>
                <w:rFonts w:ascii="Verdana" w:hAnsi="Verdana"/>
                <w:sz w:val="16"/>
                <w:szCs w:val="16"/>
              </w:rPr>
              <w:t>mL</w:t>
            </w:r>
            <w:proofErr w:type="spellEnd"/>
            <w:r w:rsidRPr="00F01347">
              <w:rPr>
                <w:rFonts w:ascii="Verdana" w:hAnsi="Verdana"/>
                <w:sz w:val="16"/>
                <w:szCs w:val="16"/>
              </w:rPr>
              <w:t xml:space="preserve"> de muestra en un vaso de precipitados de 150 </w:t>
            </w:r>
            <w:proofErr w:type="spellStart"/>
            <w:r w:rsidRPr="00F01347">
              <w:rPr>
                <w:rFonts w:ascii="Verdana" w:hAnsi="Verdana"/>
                <w:sz w:val="16"/>
                <w:szCs w:val="16"/>
              </w:rPr>
              <w:t>mL</w:t>
            </w:r>
            <w:proofErr w:type="spellEnd"/>
            <w:r w:rsidRPr="00F01347">
              <w:rPr>
                <w:rFonts w:ascii="Verdana" w:hAnsi="Verdana"/>
                <w:sz w:val="16"/>
                <w:szCs w:val="16"/>
              </w:rPr>
              <w:t xml:space="preserve"> y seguir el mismo procedimiento descrito para la calibración del electrómetro. Registrar el volumen de disolución NaOH 10 N añadido. Leer la concentración de NH</w:t>
            </w:r>
            <w:r w:rsidRPr="00F01347">
              <w:rPr>
                <w:rFonts w:ascii="Verdana" w:hAnsi="Verdana"/>
                <w:sz w:val="16"/>
                <w:szCs w:val="16"/>
                <w:vertAlign w:val="subscript"/>
              </w:rPr>
              <w:t>3</w:t>
            </w:r>
            <w:r w:rsidRPr="00F01347">
              <w:rPr>
                <w:rFonts w:ascii="Verdana" w:hAnsi="Verdana"/>
                <w:sz w:val="16"/>
                <w:szCs w:val="16"/>
              </w:rPr>
              <w:t>-N a partir de la curva estándar.</w:t>
            </w:r>
          </w:p>
        </w:tc>
        <w:tc>
          <w:tcPr>
            <w:tcW w:w="4675" w:type="dxa"/>
          </w:tcPr>
          <w:p w14:paraId="44F3E51B" w14:textId="6B4EB912" w:rsidR="00065A86" w:rsidRPr="00F01347" w:rsidRDefault="00065A86" w:rsidP="00065A86">
            <w:pPr>
              <w:pStyle w:val="texto0"/>
              <w:spacing w:line="232" w:lineRule="exact"/>
              <w:ind w:firstLine="0"/>
              <w:rPr>
                <w:rFonts w:ascii="Verdana" w:hAnsi="Verdana"/>
                <w:sz w:val="16"/>
                <w:szCs w:val="16"/>
                <w:lang w:val="en-US"/>
              </w:rPr>
            </w:pPr>
            <w:r w:rsidRPr="00F01347">
              <w:rPr>
                <w:rFonts w:ascii="Verdana" w:hAnsi="Verdana"/>
                <w:sz w:val="16"/>
                <w:szCs w:val="16"/>
                <w:lang w:val="en-US"/>
              </w:rPr>
              <w:t>Place 100 mL of sample in a 150 mL beaker and follow the same procedure described for calibrating the electrometer. Record the volume of 10 N NaOH solution added. Read the concentration of NH</w:t>
            </w:r>
            <w:r w:rsidRPr="00F01347">
              <w:rPr>
                <w:rFonts w:ascii="Verdana" w:hAnsi="Verdana"/>
                <w:sz w:val="16"/>
                <w:szCs w:val="16"/>
                <w:vertAlign w:val="subscript"/>
                <w:lang w:val="en-US"/>
              </w:rPr>
              <w:t>3</w:t>
            </w:r>
            <w:r w:rsidRPr="00F01347">
              <w:rPr>
                <w:rFonts w:ascii="Verdana" w:hAnsi="Verdana"/>
                <w:sz w:val="16"/>
                <w:szCs w:val="16"/>
                <w:lang w:val="en-US"/>
              </w:rPr>
              <w:t>-N from the standard curve.</w:t>
            </w:r>
          </w:p>
        </w:tc>
      </w:tr>
      <w:tr w:rsidR="00065A86" w:rsidRPr="00F01347" w14:paraId="227A7818" w14:textId="1B9EB250" w:rsidTr="009E6861">
        <w:tc>
          <w:tcPr>
            <w:tcW w:w="4675" w:type="dxa"/>
          </w:tcPr>
          <w:p w14:paraId="78D51B05" w14:textId="77777777" w:rsidR="00065A86" w:rsidRPr="00F01347" w:rsidRDefault="00065A86" w:rsidP="00065A86">
            <w:pPr>
              <w:pStyle w:val="texto0"/>
              <w:spacing w:line="232" w:lineRule="exact"/>
              <w:ind w:firstLine="0"/>
              <w:rPr>
                <w:rFonts w:ascii="Verdana" w:hAnsi="Verdana"/>
                <w:b/>
                <w:sz w:val="16"/>
                <w:szCs w:val="16"/>
              </w:rPr>
            </w:pPr>
            <w:r w:rsidRPr="00F01347">
              <w:rPr>
                <w:rFonts w:ascii="Verdana" w:hAnsi="Verdana"/>
                <w:b/>
                <w:sz w:val="16"/>
                <w:szCs w:val="16"/>
              </w:rPr>
              <w:t>B.7.2.5.5 Análisis de datos y cálculos</w:t>
            </w:r>
          </w:p>
        </w:tc>
        <w:tc>
          <w:tcPr>
            <w:tcW w:w="4675" w:type="dxa"/>
          </w:tcPr>
          <w:p w14:paraId="322B54C6" w14:textId="2577043F" w:rsidR="00065A86" w:rsidRPr="00F01347" w:rsidRDefault="00065A86" w:rsidP="00065A86">
            <w:pPr>
              <w:pStyle w:val="texto0"/>
              <w:spacing w:line="232" w:lineRule="exact"/>
              <w:ind w:firstLine="0"/>
              <w:rPr>
                <w:rFonts w:ascii="Verdana" w:hAnsi="Verdana"/>
                <w:b/>
                <w:sz w:val="16"/>
                <w:szCs w:val="16"/>
                <w:lang w:val="en-US"/>
              </w:rPr>
            </w:pPr>
            <w:r w:rsidRPr="00F01347">
              <w:rPr>
                <w:rFonts w:ascii="Verdana" w:hAnsi="Verdana"/>
                <w:b/>
                <w:sz w:val="16"/>
                <w:szCs w:val="16"/>
                <w:lang w:val="en-US"/>
              </w:rPr>
              <w:t>B.7.2.5.5 Data analysis and calculations</w:t>
            </w:r>
          </w:p>
        </w:tc>
      </w:tr>
      <w:tr w:rsidR="00065A86" w:rsidRPr="00F01347" w14:paraId="6138D620" w14:textId="07FCAD1F" w:rsidTr="009E6861">
        <w:tc>
          <w:tcPr>
            <w:tcW w:w="4675" w:type="dxa"/>
          </w:tcPr>
          <w:p w14:paraId="4F5DEC23" w14:textId="77777777" w:rsidR="00065A86" w:rsidRPr="00F01347" w:rsidRDefault="00065A86" w:rsidP="00065A86">
            <w:pPr>
              <w:pStyle w:val="texto0"/>
              <w:spacing w:line="232" w:lineRule="exact"/>
              <w:ind w:firstLine="0"/>
              <w:rPr>
                <w:rFonts w:ascii="Verdana" w:hAnsi="Verdana"/>
                <w:sz w:val="16"/>
                <w:szCs w:val="16"/>
              </w:rPr>
            </w:pPr>
            <w:r w:rsidRPr="00F01347">
              <w:rPr>
                <w:rFonts w:ascii="Verdana" w:hAnsi="Verdana"/>
                <w:sz w:val="16"/>
                <w:szCs w:val="16"/>
              </w:rPr>
              <w:t>Calcular el nitrógeno amoniacal presente en las muestras utilizando la siguiente fórmula:</w:t>
            </w:r>
          </w:p>
        </w:tc>
        <w:tc>
          <w:tcPr>
            <w:tcW w:w="4675" w:type="dxa"/>
          </w:tcPr>
          <w:p w14:paraId="038A2634" w14:textId="61EAB92E" w:rsidR="00065A86" w:rsidRPr="00F01347" w:rsidRDefault="00065A86" w:rsidP="00065A86">
            <w:pPr>
              <w:pStyle w:val="texto0"/>
              <w:spacing w:line="232" w:lineRule="exact"/>
              <w:ind w:firstLine="0"/>
              <w:rPr>
                <w:rFonts w:ascii="Verdana" w:hAnsi="Verdana"/>
                <w:sz w:val="16"/>
                <w:szCs w:val="16"/>
                <w:lang w:val="en-US"/>
              </w:rPr>
            </w:pPr>
            <w:r w:rsidRPr="00F01347">
              <w:rPr>
                <w:rFonts w:ascii="Verdana" w:hAnsi="Verdana"/>
                <w:sz w:val="16"/>
                <w:szCs w:val="16"/>
                <w:lang w:val="en-US"/>
              </w:rPr>
              <w:t>Calculate the ammoniacal nitrogen present in the samples using the following formula:</w:t>
            </w:r>
          </w:p>
        </w:tc>
      </w:tr>
    </w:tbl>
    <w:p w14:paraId="6D7AD157" w14:textId="0E1CEDC9" w:rsidR="00A74CDF" w:rsidRPr="00F01347" w:rsidRDefault="00471638" w:rsidP="00A57A94">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5AD1BDF3" wp14:editId="68C9505D">
            <wp:extent cx="2200275" cy="342900"/>
            <wp:effectExtent l="0" t="0" r="0" b="0"/>
            <wp:docPr id="49"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00275" cy="3429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41828" w:rsidRPr="00F01347" w14:paraId="5CC50CF8" w14:textId="3C88154C" w:rsidTr="00A57A94">
        <w:tc>
          <w:tcPr>
            <w:tcW w:w="4675" w:type="dxa"/>
          </w:tcPr>
          <w:p w14:paraId="5970F071" w14:textId="77777777" w:rsidR="00441828" w:rsidRPr="00F01347" w:rsidRDefault="00441828" w:rsidP="00441828">
            <w:pPr>
              <w:pStyle w:val="texto0"/>
              <w:spacing w:line="248" w:lineRule="exact"/>
              <w:ind w:firstLine="0"/>
              <w:rPr>
                <w:rFonts w:ascii="Verdana" w:hAnsi="Verdana"/>
                <w:b/>
                <w:bCs/>
                <w:sz w:val="16"/>
                <w:szCs w:val="16"/>
              </w:rPr>
            </w:pPr>
            <w:r w:rsidRPr="00F01347">
              <w:rPr>
                <w:rFonts w:ascii="Verdana" w:hAnsi="Verdana"/>
                <w:b/>
                <w:bCs/>
                <w:sz w:val="16"/>
                <w:szCs w:val="16"/>
              </w:rPr>
              <w:t>En donde:</w:t>
            </w:r>
          </w:p>
        </w:tc>
        <w:tc>
          <w:tcPr>
            <w:tcW w:w="4675" w:type="dxa"/>
          </w:tcPr>
          <w:p w14:paraId="4BA5DF46" w14:textId="6F113FF6" w:rsidR="00441828" w:rsidRPr="00F01347" w:rsidRDefault="00441828" w:rsidP="00441828">
            <w:pPr>
              <w:pStyle w:val="texto0"/>
              <w:spacing w:line="248" w:lineRule="exact"/>
              <w:ind w:firstLine="0"/>
              <w:rPr>
                <w:rFonts w:ascii="Verdana" w:hAnsi="Verdana"/>
                <w:b/>
                <w:bCs/>
                <w:sz w:val="16"/>
                <w:szCs w:val="16"/>
                <w:lang w:val="en-US"/>
              </w:rPr>
            </w:pPr>
            <w:r w:rsidRPr="00F01347">
              <w:rPr>
                <w:rFonts w:ascii="Verdana" w:hAnsi="Verdana"/>
                <w:b/>
                <w:bCs/>
                <w:sz w:val="16"/>
                <w:szCs w:val="16"/>
                <w:lang w:val="en-US"/>
              </w:rPr>
              <w:t>Where:</w:t>
            </w:r>
          </w:p>
        </w:tc>
      </w:tr>
      <w:tr w:rsidR="00441828" w:rsidRPr="00F01347" w14:paraId="300F2697" w14:textId="4744DE14" w:rsidTr="00A57A94">
        <w:tc>
          <w:tcPr>
            <w:tcW w:w="4675" w:type="dxa"/>
          </w:tcPr>
          <w:p w14:paraId="0E8F71D8" w14:textId="77777777" w:rsidR="00441828" w:rsidRPr="00F01347" w:rsidRDefault="00441828" w:rsidP="00441828">
            <w:pPr>
              <w:pStyle w:val="texto0"/>
              <w:spacing w:line="248" w:lineRule="exact"/>
              <w:ind w:firstLine="0"/>
              <w:rPr>
                <w:rFonts w:ascii="Verdana" w:hAnsi="Verdana"/>
                <w:sz w:val="16"/>
                <w:szCs w:val="16"/>
              </w:rPr>
            </w:pPr>
            <w:r w:rsidRPr="00F01347">
              <w:rPr>
                <w:rFonts w:ascii="Verdana" w:hAnsi="Verdana"/>
                <w:sz w:val="16"/>
                <w:szCs w:val="16"/>
              </w:rPr>
              <w:t>A</w:t>
            </w:r>
            <w:r w:rsidRPr="00F01347">
              <w:rPr>
                <w:rFonts w:ascii="Verdana" w:hAnsi="Verdana"/>
                <w:sz w:val="16"/>
                <w:szCs w:val="16"/>
              </w:rPr>
              <w:tab/>
              <w:t>factor de dilución</w:t>
            </w:r>
          </w:p>
        </w:tc>
        <w:tc>
          <w:tcPr>
            <w:tcW w:w="4675" w:type="dxa"/>
          </w:tcPr>
          <w:p w14:paraId="380870A5" w14:textId="03CFC538" w:rsidR="00441828" w:rsidRPr="00F01347" w:rsidRDefault="00441828" w:rsidP="00441828">
            <w:pPr>
              <w:pStyle w:val="texto0"/>
              <w:spacing w:line="248" w:lineRule="exact"/>
              <w:ind w:firstLine="0"/>
              <w:rPr>
                <w:rFonts w:ascii="Verdana" w:hAnsi="Verdana"/>
                <w:sz w:val="16"/>
                <w:szCs w:val="16"/>
                <w:lang w:val="en-US"/>
              </w:rPr>
            </w:pPr>
            <w:r w:rsidRPr="00F01347">
              <w:rPr>
                <w:rFonts w:ascii="Verdana" w:hAnsi="Verdana"/>
                <w:sz w:val="16"/>
                <w:szCs w:val="16"/>
                <w:lang w:val="en-US"/>
              </w:rPr>
              <w:t xml:space="preserve">A </w:t>
            </w:r>
            <w:r w:rsidRPr="00F01347">
              <w:rPr>
                <w:rFonts w:ascii="Verdana" w:hAnsi="Verdana"/>
                <w:sz w:val="16"/>
                <w:szCs w:val="16"/>
                <w:lang w:val="en-US"/>
              </w:rPr>
              <w:tab/>
              <w:t>dilution factor</w:t>
            </w:r>
          </w:p>
        </w:tc>
      </w:tr>
      <w:tr w:rsidR="00441828" w:rsidRPr="00F01347" w14:paraId="7C28B3BA" w14:textId="1C5D57FF" w:rsidTr="00A57A94">
        <w:tc>
          <w:tcPr>
            <w:tcW w:w="4675" w:type="dxa"/>
          </w:tcPr>
          <w:p w14:paraId="50482E65" w14:textId="77777777" w:rsidR="00441828" w:rsidRPr="00F01347" w:rsidRDefault="00441828" w:rsidP="00441828">
            <w:pPr>
              <w:pStyle w:val="texto0"/>
              <w:spacing w:line="248" w:lineRule="exact"/>
              <w:ind w:firstLine="0"/>
              <w:rPr>
                <w:rFonts w:ascii="Verdana" w:hAnsi="Verdana"/>
                <w:sz w:val="16"/>
                <w:szCs w:val="16"/>
              </w:rPr>
            </w:pPr>
            <w:r w:rsidRPr="00F01347">
              <w:rPr>
                <w:rFonts w:ascii="Verdana" w:hAnsi="Verdana"/>
                <w:sz w:val="16"/>
                <w:szCs w:val="16"/>
              </w:rPr>
              <w:lastRenderedPageBreak/>
              <w:t>B</w:t>
            </w:r>
            <w:r w:rsidRPr="00F01347">
              <w:rPr>
                <w:rFonts w:ascii="Verdana" w:hAnsi="Verdana"/>
                <w:sz w:val="16"/>
                <w:szCs w:val="16"/>
              </w:rPr>
              <w:tab/>
              <w:t>concentración de NH</w:t>
            </w:r>
            <w:r w:rsidRPr="00F01347">
              <w:rPr>
                <w:rFonts w:ascii="Verdana" w:hAnsi="Verdana"/>
                <w:sz w:val="16"/>
                <w:szCs w:val="16"/>
                <w:vertAlign w:val="subscript"/>
              </w:rPr>
              <w:t>3</w:t>
            </w:r>
            <w:r w:rsidRPr="00F01347">
              <w:rPr>
                <w:rFonts w:ascii="Verdana" w:hAnsi="Verdana"/>
                <w:sz w:val="16"/>
                <w:szCs w:val="16"/>
              </w:rPr>
              <w:t>-N/L, mg/L, a partir de la curva de calibración</w:t>
            </w:r>
          </w:p>
        </w:tc>
        <w:tc>
          <w:tcPr>
            <w:tcW w:w="4675" w:type="dxa"/>
          </w:tcPr>
          <w:p w14:paraId="44059286" w14:textId="73258BF7" w:rsidR="00441828" w:rsidRPr="00F01347" w:rsidRDefault="00441828" w:rsidP="00441828">
            <w:pPr>
              <w:pStyle w:val="texto0"/>
              <w:spacing w:line="248" w:lineRule="exact"/>
              <w:ind w:firstLine="0"/>
              <w:rPr>
                <w:rFonts w:ascii="Verdana" w:hAnsi="Verdana"/>
                <w:sz w:val="16"/>
                <w:szCs w:val="16"/>
                <w:lang w:val="en-US"/>
              </w:rPr>
            </w:pPr>
            <w:r w:rsidRPr="00F01347">
              <w:rPr>
                <w:rFonts w:ascii="Verdana" w:hAnsi="Verdana"/>
                <w:sz w:val="16"/>
                <w:szCs w:val="16"/>
                <w:lang w:val="en-US"/>
              </w:rPr>
              <w:t xml:space="preserve">B </w:t>
            </w:r>
            <w:r w:rsidRPr="00F01347">
              <w:rPr>
                <w:rFonts w:ascii="Verdana" w:hAnsi="Verdana"/>
                <w:sz w:val="16"/>
                <w:szCs w:val="16"/>
                <w:lang w:val="en-US"/>
              </w:rPr>
              <w:tab/>
              <w:t>NH</w:t>
            </w:r>
            <w:r w:rsidRPr="00F01347">
              <w:rPr>
                <w:rFonts w:ascii="Verdana" w:hAnsi="Verdana"/>
                <w:sz w:val="16"/>
                <w:szCs w:val="16"/>
                <w:vertAlign w:val="subscript"/>
                <w:lang w:val="en-US"/>
              </w:rPr>
              <w:t xml:space="preserve">3 </w:t>
            </w:r>
            <w:r w:rsidRPr="00F01347">
              <w:rPr>
                <w:rFonts w:ascii="Verdana" w:hAnsi="Verdana"/>
                <w:sz w:val="16"/>
                <w:szCs w:val="16"/>
                <w:lang w:val="en-US"/>
              </w:rPr>
              <w:t>concentration</w:t>
            </w:r>
            <w:r w:rsidRPr="00F01347">
              <w:rPr>
                <w:rFonts w:ascii="Verdana" w:hAnsi="Verdana"/>
                <w:sz w:val="16"/>
                <w:szCs w:val="16"/>
                <w:vertAlign w:val="subscript"/>
                <w:lang w:val="en-US"/>
              </w:rPr>
              <w:t xml:space="preserve"> </w:t>
            </w:r>
            <w:r w:rsidRPr="00F01347">
              <w:rPr>
                <w:rFonts w:ascii="Verdana" w:hAnsi="Verdana"/>
                <w:sz w:val="16"/>
                <w:szCs w:val="16"/>
                <w:lang w:val="en-US"/>
              </w:rPr>
              <w:t>-N/L, mg/L, from calibration curve</w:t>
            </w:r>
          </w:p>
        </w:tc>
      </w:tr>
      <w:tr w:rsidR="00441828" w:rsidRPr="00F01347" w14:paraId="1D75C00F" w14:textId="5B8A9176" w:rsidTr="00A57A94">
        <w:tc>
          <w:tcPr>
            <w:tcW w:w="4675" w:type="dxa"/>
          </w:tcPr>
          <w:p w14:paraId="4083DB02" w14:textId="77777777" w:rsidR="00441828" w:rsidRPr="00F01347" w:rsidRDefault="00441828" w:rsidP="00441828">
            <w:pPr>
              <w:pStyle w:val="texto0"/>
              <w:spacing w:line="248" w:lineRule="exact"/>
              <w:ind w:firstLine="0"/>
              <w:rPr>
                <w:rFonts w:ascii="Verdana" w:hAnsi="Verdana"/>
                <w:sz w:val="16"/>
                <w:szCs w:val="16"/>
              </w:rPr>
            </w:pPr>
            <w:r w:rsidRPr="00F01347">
              <w:rPr>
                <w:rFonts w:ascii="Verdana" w:hAnsi="Verdana"/>
                <w:sz w:val="16"/>
                <w:szCs w:val="16"/>
              </w:rPr>
              <w:t>C</w:t>
            </w:r>
            <w:r w:rsidRPr="00F01347">
              <w:rPr>
                <w:rFonts w:ascii="Verdana" w:hAnsi="Verdana"/>
                <w:sz w:val="16"/>
                <w:szCs w:val="16"/>
              </w:rPr>
              <w:tab/>
              <w:t xml:space="preserve">volumen de disolución NaOH 10N añadida a los estándares de calibración, </w:t>
            </w:r>
            <w:proofErr w:type="spellStart"/>
            <w:r w:rsidRPr="00F01347">
              <w:rPr>
                <w:rFonts w:ascii="Verdana" w:hAnsi="Verdana"/>
                <w:sz w:val="16"/>
                <w:szCs w:val="16"/>
              </w:rPr>
              <w:t>mL</w:t>
            </w:r>
            <w:proofErr w:type="spellEnd"/>
          </w:p>
        </w:tc>
        <w:tc>
          <w:tcPr>
            <w:tcW w:w="4675" w:type="dxa"/>
          </w:tcPr>
          <w:p w14:paraId="6DFB3D6C" w14:textId="711D0E99" w:rsidR="00441828" w:rsidRPr="00F01347" w:rsidRDefault="00441828" w:rsidP="00441828">
            <w:pPr>
              <w:pStyle w:val="texto0"/>
              <w:spacing w:line="248" w:lineRule="exact"/>
              <w:ind w:firstLine="0"/>
              <w:rPr>
                <w:rFonts w:ascii="Verdana" w:hAnsi="Verdana"/>
                <w:sz w:val="16"/>
                <w:szCs w:val="16"/>
                <w:lang w:val="en-US"/>
              </w:rPr>
            </w:pPr>
            <w:r w:rsidRPr="00F01347">
              <w:rPr>
                <w:rFonts w:ascii="Verdana" w:hAnsi="Verdana"/>
                <w:sz w:val="16"/>
                <w:szCs w:val="16"/>
                <w:lang w:val="en-US"/>
              </w:rPr>
              <w:t xml:space="preserve">C </w:t>
            </w:r>
            <w:r w:rsidRPr="00F01347">
              <w:rPr>
                <w:rFonts w:ascii="Verdana" w:hAnsi="Verdana"/>
                <w:sz w:val="16"/>
                <w:szCs w:val="16"/>
                <w:lang w:val="en-US"/>
              </w:rPr>
              <w:tab/>
              <w:t>volume of 10N NaOH solution added to calibration standards, mL</w:t>
            </w:r>
          </w:p>
        </w:tc>
      </w:tr>
      <w:tr w:rsidR="00441828" w:rsidRPr="00F01347" w14:paraId="78FD1169" w14:textId="51F0D4E4" w:rsidTr="00A57A94">
        <w:tc>
          <w:tcPr>
            <w:tcW w:w="4675" w:type="dxa"/>
          </w:tcPr>
          <w:p w14:paraId="4955BB3E" w14:textId="77777777" w:rsidR="00441828" w:rsidRPr="00F01347" w:rsidRDefault="00441828" w:rsidP="00441828">
            <w:pPr>
              <w:pStyle w:val="texto0"/>
              <w:spacing w:line="248" w:lineRule="exact"/>
              <w:ind w:firstLine="0"/>
              <w:rPr>
                <w:rFonts w:ascii="Verdana" w:hAnsi="Verdana"/>
                <w:sz w:val="16"/>
                <w:szCs w:val="16"/>
              </w:rPr>
            </w:pPr>
            <w:r w:rsidRPr="00F01347">
              <w:rPr>
                <w:rFonts w:ascii="Verdana" w:hAnsi="Verdana"/>
                <w:sz w:val="16"/>
                <w:szCs w:val="16"/>
              </w:rPr>
              <w:t>D</w:t>
            </w:r>
            <w:r w:rsidRPr="00F01347">
              <w:rPr>
                <w:rFonts w:ascii="Verdana" w:hAnsi="Verdana"/>
                <w:sz w:val="16"/>
                <w:szCs w:val="16"/>
              </w:rPr>
              <w:tab/>
              <w:t xml:space="preserve">volumen de disolución NaOH 10N añadida a la muestra, </w:t>
            </w:r>
            <w:proofErr w:type="spellStart"/>
            <w:r w:rsidRPr="00F01347">
              <w:rPr>
                <w:rFonts w:ascii="Verdana" w:hAnsi="Verdana"/>
                <w:sz w:val="16"/>
                <w:szCs w:val="16"/>
              </w:rPr>
              <w:t>mL</w:t>
            </w:r>
            <w:proofErr w:type="spellEnd"/>
          </w:p>
        </w:tc>
        <w:tc>
          <w:tcPr>
            <w:tcW w:w="4675" w:type="dxa"/>
          </w:tcPr>
          <w:p w14:paraId="1F240B5E" w14:textId="02C5E4EB" w:rsidR="00441828" w:rsidRPr="00F01347" w:rsidRDefault="00441828" w:rsidP="00441828">
            <w:pPr>
              <w:pStyle w:val="texto0"/>
              <w:spacing w:line="248" w:lineRule="exact"/>
              <w:ind w:firstLine="0"/>
              <w:rPr>
                <w:rFonts w:ascii="Verdana" w:hAnsi="Verdana"/>
                <w:sz w:val="16"/>
                <w:szCs w:val="16"/>
                <w:lang w:val="en-US"/>
              </w:rPr>
            </w:pPr>
            <w:r w:rsidRPr="00F01347">
              <w:rPr>
                <w:rFonts w:ascii="Verdana" w:hAnsi="Verdana"/>
                <w:sz w:val="16"/>
                <w:szCs w:val="16"/>
                <w:lang w:val="en-US"/>
              </w:rPr>
              <w:t xml:space="preserve">D </w:t>
            </w:r>
            <w:r w:rsidRPr="00F01347">
              <w:rPr>
                <w:rFonts w:ascii="Verdana" w:hAnsi="Verdana"/>
                <w:sz w:val="16"/>
                <w:szCs w:val="16"/>
                <w:lang w:val="en-US"/>
              </w:rPr>
              <w:tab/>
              <w:t>volume of 10N NaOH solution added to the sample, mL</w:t>
            </w:r>
          </w:p>
        </w:tc>
      </w:tr>
      <w:tr w:rsidR="00441828" w:rsidRPr="00F01347" w14:paraId="3C10A8BD" w14:textId="3853463E" w:rsidTr="00A57A94">
        <w:tc>
          <w:tcPr>
            <w:tcW w:w="4675" w:type="dxa"/>
          </w:tcPr>
          <w:p w14:paraId="1F91EBD2" w14:textId="77777777" w:rsidR="00441828" w:rsidRPr="00F01347" w:rsidRDefault="00441828" w:rsidP="00441828">
            <w:pPr>
              <w:pStyle w:val="texto0"/>
              <w:spacing w:line="248" w:lineRule="exact"/>
              <w:ind w:firstLine="0"/>
              <w:rPr>
                <w:rFonts w:ascii="Verdana" w:hAnsi="Verdana"/>
                <w:b/>
                <w:sz w:val="16"/>
                <w:szCs w:val="16"/>
              </w:rPr>
            </w:pPr>
            <w:r w:rsidRPr="00F01347">
              <w:rPr>
                <w:rFonts w:ascii="Verdana" w:hAnsi="Verdana"/>
                <w:b/>
                <w:sz w:val="16"/>
                <w:szCs w:val="16"/>
              </w:rPr>
              <w:t>B.7.2.5.6 Informe de prueba.</w:t>
            </w:r>
          </w:p>
        </w:tc>
        <w:tc>
          <w:tcPr>
            <w:tcW w:w="4675" w:type="dxa"/>
          </w:tcPr>
          <w:p w14:paraId="6DBA7896" w14:textId="7CEBBD0C" w:rsidR="00441828" w:rsidRPr="00F01347" w:rsidRDefault="00441828" w:rsidP="00441828">
            <w:pPr>
              <w:pStyle w:val="texto0"/>
              <w:spacing w:line="248" w:lineRule="exact"/>
              <w:ind w:firstLine="0"/>
              <w:rPr>
                <w:rFonts w:ascii="Verdana" w:hAnsi="Verdana"/>
                <w:b/>
                <w:sz w:val="16"/>
                <w:szCs w:val="16"/>
                <w:lang w:val="en-US"/>
              </w:rPr>
            </w:pPr>
            <w:r w:rsidRPr="00F01347">
              <w:rPr>
                <w:rFonts w:ascii="Verdana" w:hAnsi="Verdana"/>
                <w:b/>
                <w:sz w:val="16"/>
                <w:szCs w:val="16"/>
                <w:lang w:val="en-US"/>
              </w:rPr>
              <w:t>B.7.2.5.6 Test report.</w:t>
            </w:r>
          </w:p>
        </w:tc>
      </w:tr>
      <w:tr w:rsidR="00441828" w:rsidRPr="00F01347" w14:paraId="5F85A907" w14:textId="4D4BB968" w:rsidTr="00A57A94">
        <w:tc>
          <w:tcPr>
            <w:tcW w:w="4675" w:type="dxa"/>
          </w:tcPr>
          <w:p w14:paraId="66261F25" w14:textId="77777777" w:rsidR="00441828" w:rsidRPr="00F01347" w:rsidRDefault="00441828" w:rsidP="00441828">
            <w:pPr>
              <w:pStyle w:val="texto0"/>
              <w:spacing w:line="248" w:lineRule="exact"/>
              <w:ind w:firstLine="0"/>
              <w:rPr>
                <w:rFonts w:ascii="Verdana" w:hAnsi="Verdana"/>
                <w:sz w:val="16"/>
                <w:szCs w:val="16"/>
              </w:rPr>
            </w:pPr>
            <w:r w:rsidRPr="00F01347">
              <w:rPr>
                <w:rFonts w:ascii="Verdana" w:hAnsi="Verdana"/>
                <w:sz w:val="16"/>
                <w:szCs w:val="16"/>
              </w:rPr>
              <w:t>Reportar el resultado como nitrógeno amoniacal en mg/L</w:t>
            </w:r>
          </w:p>
        </w:tc>
        <w:tc>
          <w:tcPr>
            <w:tcW w:w="4675" w:type="dxa"/>
          </w:tcPr>
          <w:p w14:paraId="6D14A478" w14:textId="7AC05F9B" w:rsidR="00441828" w:rsidRPr="00F01347" w:rsidRDefault="00441828" w:rsidP="00441828">
            <w:pPr>
              <w:pStyle w:val="texto0"/>
              <w:spacing w:line="248" w:lineRule="exact"/>
              <w:ind w:firstLine="0"/>
              <w:rPr>
                <w:rFonts w:ascii="Verdana" w:hAnsi="Verdana"/>
                <w:sz w:val="16"/>
                <w:szCs w:val="16"/>
                <w:lang w:val="en-US"/>
              </w:rPr>
            </w:pPr>
            <w:r w:rsidRPr="00F01347">
              <w:rPr>
                <w:rFonts w:ascii="Verdana" w:hAnsi="Verdana"/>
                <w:sz w:val="16"/>
                <w:szCs w:val="16"/>
                <w:lang w:val="en-US"/>
              </w:rPr>
              <w:t>Report the result as ammoniacal nitrogen in mg/L</w:t>
            </w:r>
          </w:p>
        </w:tc>
      </w:tr>
      <w:tr w:rsidR="00441828" w:rsidRPr="00F01347" w14:paraId="477AF850" w14:textId="34A50A4D" w:rsidTr="00A57A94">
        <w:tc>
          <w:tcPr>
            <w:tcW w:w="4675" w:type="dxa"/>
          </w:tcPr>
          <w:p w14:paraId="25B26289" w14:textId="77777777" w:rsidR="00441828" w:rsidRPr="00F01347" w:rsidRDefault="00441828" w:rsidP="00441828">
            <w:pPr>
              <w:pStyle w:val="texto0"/>
              <w:spacing w:line="248" w:lineRule="exact"/>
              <w:ind w:firstLine="0"/>
              <w:rPr>
                <w:rFonts w:ascii="Verdana" w:hAnsi="Verdana"/>
                <w:b/>
                <w:sz w:val="16"/>
                <w:szCs w:val="16"/>
                <w:lang w:val="en-US"/>
              </w:rPr>
            </w:pPr>
            <w:r w:rsidRPr="00F01347">
              <w:rPr>
                <w:rFonts w:ascii="Verdana" w:hAnsi="Verdana"/>
                <w:b/>
                <w:sz w:val="16"/>
                <w:szCs w:val="16"/>
                <w:lang w:val="en-US"/>
              </w:rPr>
              <w:t xml:space="preserve">B.7.2.6 </w:t>
            </w:r>
            <w:proofErr w:type="spellStart"/>
            <w:r w:rsidRPr="00F01347">
              <w:rPr>
                <w:rFonts w:ascii="Verdana" w:hAnsi="Verdana"/>
                <w:b/>
                <w:sz w:val="16"/>
                <w:szCs w:val="16"/>
                <w:lang w:val="en-US"/>
              </w:rPr>
              <w:t>Referencias</w:t>
            </w:r>
            <w:proofErr w:type="spellEnd"/>
          </w:p>
        </w:tc>
        <w:tc>
          <w:tcPr>
            <w:tcW w:w="4675" w:type="dxa"/>
          </w:tcPr>
          <w:p w14:paraId="3A88FEC5" w14:textId="4120C3F4" w:rsidR="00441828" w:rsidRPr="00F01347" w:rsidRDefault="00441828" w:rsidP="00441828">
            <w:pPr>
              <w:pStyle w:val="texto0"/>
              <w:spacing w:line="248" w:lineRule="exact"/>
              <w:ind w:firstLine="0"/>
              <w:rPr>
                <w:rFonts w:ascii="Verdana" w:hAnsi="Verdana"/>
                <w:b/>
                <w:sz w:val="16"/>
                <w:szCs w:val="16"/>
                <w:lang w:val="en-US"/>
              </w:rPr>
            </w:pPr>
            <w:r w:rsidRPr="00F01347">
              <w:rPr>
                <w:rFonts w:ascii="Verdana" w:hAnsi="Verdana"/>
                <w:b/>
                <w:sz w:val="16"/>
                <w:szCs w:val="16"/>
                <w:lang w:val="en-US"/>
              </w:rPr>
              <w:t>B.7.2.6 References</w:t>
            </w:r>
          </w:p>
        </w:tc>
      </w:tr>
      <w:tr w:rsidR="00441828" w:rsidRPr="00F01347" w14:paraId="1270132C" w14:textId="5BCF659A" w:rsidTr="00A57A94">
        <w:tc>
          <w:tcPr>
            <w:tcW w:w="4675" w:type="dxa"/>
          </w:tcPr>
          <w:p w14:paraId="5394E708" w14:textId="77777777" w:rsidR="00441828" w:rsidRPr="00F01347" w:rsidRDefault="00441828" w:rsidP="00441828">
            <w:pPr>
              <w:pStyle w:val="texto0"/>
              <w:spacing w:line="248" w:lineRule="exact"/>
              <w:ind w:firstLine="0"/>
              <w:rPr>
                <w:rFonts w:ascii="Verdana" w:hAnsi="Verdana"/>
                <w:sz w:val="16"/>
                <w:szCs w:val="16"/>
                <w:lang w:val="en-US"/>
              </w:rPr>
            </w:pPr>
            <w:r w:rsidRPr="00F01347">
              <w:rPr>
                <w:rFonts w:ascii="Verdana" w:hAnsi="Verdana"/>
                <w:sz w:val="16"/>
                <w:szCs w:val="16"/>
                <w:lang w:val="en-US"/>
              </w:rPr>
              <w:t>Standard methods for examination of water and wastewater. 4500-NH3 D. Ammonia-selective electrode method.</w:t>
            </w:r>
          </w:p>
        </w:tc>
        <w:tc>
          <w:tcPr>
            <w:tcW w:w="4675" w:type="dxa"/>
          </w:tcPr>
          <w:p w14:paraId="3E79A8D3" w14:textId="210A5138" w:rsidR="00441828" w:rsidRPr="00F01347" w:rsidRDefault="00441828" w:rsidP="00441828">
            <w:pPr>
              <w:pStyle w:val="texto0"/>
              <w:spacing w:line="248" w:lineRule="exact"/>
              <w:ind w:firstLine="0"/>
              <w:rPr>
                <w:rFonts w:ascii="Verdana" w:hAnsi="Verdana"/>
                <w:sz w:val="16"/>
                <w:szCs w:val="16"/>
                <w:lang w:val="en-US"/>
              </w:rPr>
            </w:pPr>
            <w:r w:rsidRPr="00F01347">
              <w:rPr>
                <w:rFonts w:ascii="Verdana" w:hAnsi="Verdana"/>
                <w:sz w:val="16"/>
                <w:szCs w:val="16"/>
                <w:lang w:val="en-US"/>
              </w:rPr>
              <w:t>Standard methods for examination of water and wastewater. 4500-NH3 D. Ammonia-selective electrode method.</w:t>
            </w:r>
          </w:p>
        </w:tc>
      </w:tr>
      <w:tr w:rsidR="00441828" w:rsidRPr="00F01347" w14:paraId="34D278D3" w14:textId="183758B3" w:rsidTr="00A57A94">
        <w:tc>
          <w:tcPr>
            <w:tcW w:w="4675" w:type="dxa"/>
          </w:tcPr>
          <w:p w14:paraId="709C3CB9" w14:textId="77777777" w:rsidR="00441828" w:rsidRPr="00F01347" w:rsidRDefault="00441828" w:rsidP="00441828">
            <w:pPr>
              <w:pStyle w:val="texto0"/>
              <w:ind w:firstLine="0"/>
              <w:jc w:val="center"/>
              <w:rPr>
                <w:rFonts w:ascii="Verdana" w:hAnsi="Verdana"/>
                <w:b/>
                <w:sz w:val="16"/>
                <w:szCs w:val="16"/>
              </w:rPr>
            </w:pPr>
            <w:r w:rsidRPr="00F01347">
              <w:rPr>
                <w:rFonts w:ascii="Verdana" w:hAnsi="Verdana"/>
                <w:b/>
                <w:sz w:val="16"/>
                <w:szCs w:val="16"/>
              </w:rPr>
              <w:t xml:space="preserve">B.7.3 MÉTODO DE PRUEBA PARA LA DETERMINACIÓN DE NITRÓGENO </w:t>
            </w:r>
            <w:proofErr w:type="gramStart"/>
            <w:r w:rsidRPr="00F01347">
              <w:rPr>
                <w:rFonts w:ascii="Verdana" w:hAnsi="Verdana"/>
                <w:b/>
                <w:sz w:val="16"/>
                <w:szCs w:val="16"/>
              </w:rPr>
              <w:t>AMONIACAL  EN</w:t>
            </w:r>
            <w:proofErr w:type="gramEnd"/>
            <w:r w:rsidRPr="00F01347">
              <w:rPr>
                <w:rFonts w:ascii="Verdana" w:hAnsi="Verdana"/>
                <w:b/>
                <w:sz w:val="16"/>
                <w:szCs w:val="16"/>
              </w:rPr>
              <w:t xml:space="preserve"> AGUA PARA USO Y CONSUMO HUMANO CON FENATO</w:t>
            </w:r>
          </w:p>
        </w:tc>
        <w:tc>
          <w:tcPr>
            <w:tcW w:w="4675" w:type="dxa"/>
          </w:tcPr>
          <w:p w14:paraId="1E528B3E" w14:textId="23DA8233" w:rsidR="00441828" w:rsidRPr="00F01347" w:rsidRDefault="00441828" w:rsidP="00441828">
            <w:pPr>
              <w:pStyle w:val="texto0"/>
              <w:ind w:firstLine="0"/>
              <w:jc w:val="center"/>
              <w:rPr>
                <w:rFonts w:ascii="Verdana" w:hAnsi="Verdana"/>
                <w:b/>
                <w:sz w:val="16"/>
                <w:szCs w:val="16"/>
                <w:lang w:val="en-US"/>
              </w:rPr>
            </w:pPr>
            <w:r w:rsidRPr="00F01347">
              <w:rPr>
                <w:rFonts w:ascii="Verdana" w:hAnsi="Verdana"/>
                <w:b/>
                <w:sz w:val="16"/>
                <w:szCs w:val="16"/>
                <w:lang w:val="en-US"/>
              </w:rPr>
              <w:t>B.7.3 TEST METHOD FOR THE DETERMINATION OF AMMONIAC NITROGEN IN WATER FOR HUMAN USE AND CONSUMPTION WITH PHENATE</w:t>
            </w:r>
          </w:p>
        </w:tc>
      </w:tr>
      <w:tr w:rsidR="00441828" w:rsidRPr="00F01347" w14:paraId="73C2338D" w14:textId="619EBE97" w:rsidTr="00A57A94">
        <w:tc>
          <w:tcPr>
            <w:tcW w:w="4675" w:type="dxa"/>
          </w:tcPr>
          <w:p w14:paraId="0971F49F" w14:textId="77777777" w:rsidR="00441828" w:rsidRPr="00F01347" w:rsidRDefault="00441828" w:rsidP="00441828">
            <w:pPr>
              <w:pStyle w:val="texto0"/>
              <w:spacing w:line="248" w:lineRule="exact"/>
              <w:ind w:firstLine="0"/>
              <w:rPr>
                <w:rFonts w:ascii="Verdana" w:hAnsi="Verdana"/>
                <w:b/>
                <w:sz w:val="16"/>
                <w:szCs w:val="16"/>
              </w:rPr>
            </w:pPr>
            <w:r w:rsidRPr="00F01347">
              <w:rPr>
                <w:rFonts w:ascii="Verdana" w:hAnsi="Verdana"/>
                <w:b/>
                <w:sz w:val="16"/>
                <w:szCs w:val="16"/>
              </w:rPr>
              <w:t>B.7.3.1 Principio</w:t>
            </w:r>
          </w:p>
        </w:tc>
        <w:tc>
          <w:tcPr>
            <w:tcW w:w="4675" w:type="dxa"/>
          </w:tcPr>
          <w:p w14:paraId="220281BF" w14:textId="10C1A27E" w:rsidR="00441828" w:rsidRPr="00F01347" w:rsidRDefault="00441828" w:rsidP="00441828">
            <w:pPr>
              <w:pStyle w:val="texto0"/>
              <w:spacing w:line="248" w:lineRule="exact"/>
              <w:ind w:firstLine="0"/>
              <w:rPr>
                <w:rFonts w:ascii="Verdana" w:hAnsi="Verdana"/>
                <w:b/>
                <w:sz w:val="16"/>
                <w:szCs w:val="16"/>
                <w:lang w:val="en-US"/>
              </w:rPr>
            </w:pPr>
            <w:r w:rsidRPr="00F01347">
              <w:rPr>
                <w:rFonts w:ascii="Verdana" w:hAnsi="Verdana"/>
                <w:b/>
                <w:sz w:val="16"/>
                <w:szCs w:val="16"/>
                <w:lang w:val="en-US"/>
              </w:rPr>
              <w:t>B.7.3.1 Principle</w:t>
            </w:r>
          </w:p>
        </w:tc>
      </w:tr>
      <w:tr w:rsidR="00441828" w:rsidRPr="00F01347" w14:paraId="573F72B5" w14:textId="0DA731EB" w:rsidTr="00A57A94">
        <w:tc>
          <w:tcPr>
            <w:tcW w:w="4675" w:type="dxa"/>
          </w:tcPr>
          <w:p w14:paraId="7C40A679" w14:textId="77777777" w:rsidR="00441828" w:rsidRPr="00F01347" w:rsidRDefault="00441828" w:rsidP="00441828">
            <w:pPr>
              <w:pStyle w:val="texto0"/>
              <w:spacing w:line="252" w:lineRule="exact"/>
              <w:ind w:firstLine="0"/>
              <w:rPr>
                <w:rFonts w:ascii="Verdana" w:hAnsi="Verdana"/>
                <w:sz w:val="16"/>
                <w:szCs w:val="16"/>
              </w:rPr>
            </w:pPr>
            <w:r w:rsidRPr="00F01347">
              <w:rPr>
                <w:rFonts w:ascii="Verdana" w:hAnsi="Verdana"/>
                <w:sz w:val="16"/>
                <w:szCs w:val="16"/>
              </w:rPr>
              <w:t xml:space="preserve">Un compuesto de color azul intenso es formado por la reacción de amoniaco, hipoclorito y fenol, catalizada por una sal de manganeso. El ion amonio reacciona con el hipoclorito y fenol en medio alcalino en presencia de </w:t>
            </w:r>
            <w:proofErr w:type="spellStart"/>
            <w:r w:rsidRPr="00F01347">
              <w:rPr>
                <w:rFonts w:ascii="Verdana" w:hAnsi="Verdana"/>
                <w:sz w:val="16"/>
                <w:szCs w:val="16"/>
              </w:rPr>
              <w:t>nitroferricianuro</w:t>
            </w:r>
            <w:proofErr w:type="spellEnd"/>
            <w:r w:rsidRPr="00F01347">
              <w:rPr>
                <w:rFonts w:ascii="Verdana" w:hAnsi="Verdana"/>
                <w:sz w:val="16"/>
                <w:szCs w:val="16"/>
              </w:rPr>
              <w:t xml:space="preserve"> para producir un compuesto colorido azul de </w:t>
            </w:r>
            <w:proofErr w:type="spellStart"/>
            <w:r w:rsidRPr="00F01347">
              <w:rPr>
                <w:rFonts w:ascii="Verdana" w:hAnsi="Verdana"/>
                <w:sz w:val="16"/>
                <w:szCs w:val="16"/>
              </w:rPr>
              <w:t>indofenol</w:t>
            </w:r>
            <w:proofErr w:type="spellEnd"/>
            <w:r w:rsidRPr="00F01347">
              <w:rPr>
                <w:rFonts w:ascii="Verdana" w:hAnsi="Verdana"/>
                <w:sz w:val="16"/>
                <w:szCs w:val="16"/>
              </w:rPr>
              <w:t>.</w:t>
            </w:r>
          </w:p>
        </w:tc>
        <w:tc>
          <w:tcPr>
            <w:tcW w:w="4675" w:type="dxa"/>
          </w:tcPr>
          <w:p w14:paraId="6232C52F" w14:textId="6AAEA4FD" w:rsidR="00441828" w:rsidRPr="00F01347" w:rsidRDefault="00441828" w:rsidP="00441828">
            <w:pPr>
              <w:pStyle w:val="texto0"/>
              <w:spacing w:line="252" w:lineRule="exact"/>
              <w:ind w:firstLine="0"/>
              <w:rPr>
                <w:rFonts w:ascii="Verdana" w:hAnsi="Verdana"/>
                <w:sz w:val="16"/>
                <w:szCs w:val="16"/>
                <w:lang w:val="en-US"/>
              </w:rPr>
            </w:pPr>
            <w:r w:rsidRPr="00F01347">
              <w:rPr>
                <w:rFonts w:ascii="Verdana" w:hAnsi="Verdana"/>
                <w:sz w:val="16"/>
                <w:szCs w:val="16"/>
                <w:lang w:val="en-US"/>
              </w:rPr>
              <w:t xml:space="preserve">An intense blue compound is formed by the reaction of ammonia, </w:t>
            </w:r>
            <w:r w:rsidR="001F6B99" w:rsidRPr="00F01347">
              <w:rPr>
                <w:rFonts w:ascii="Verdana" w:hAnsi="Verdana"/>
                <w:sz w:val="16"/>
                <w:szCs w:val="16"/>
                <w:lang w:val="en-US"/>
              </w:rPr>
              <w:t>hypochlorite,</w:t>
            </w:r>
            <w:r w:rsidRPr="00F01347">
              <w:rPr>
                <w:rFonts w:ascii="Verdana" w:hAnsi="Verdana"/>
                <w:sz w:val="16"/>
                <w:szCs w:val="16"/>
                <w:lang w:val="en-US"/>
              </w:rPr>
              <w:t xml:space="preserve"> and phenol, catalyzed by a manganese salt. The ammonium ion reacts with hypochlorite and phenol in alkaline medium in the presence of nitroferricyanide to produce a colorful blue compound of indophenol</w:t>
            </w:r>
            <w:r w:rsidR="003E1BA9" w:rsidRPr="00F01347">
              <w:rPr>
                <w:rFonts w:ascii="Verdana" w:hAnsi="Verdana"/>
                <w:sz w:val="16"/>
                <w:szCs w:val="16"/>
                <w:lang w:val="en-US"/>
              </w:rPr>
              <w:t>.</w:t>
            </w:r>
          </w:p>
        </w:tc>
      </w:tr>
      <w:tr w:rsidR="00441828" w:rsidRPr="00F01347" w14:paraId="4D65D238" w14:textId="5FB71EEE" w:rsidTr="00A57A94">
        <w:tc>
          <w:tcPr>
            <w:tcW w:w="4675" w:type="dxa"/>
          </w:tcPr>
          <w:p w14:paraId="3820623F" w14:textId="77777777" w:rsidR="00441828" w:rsidRPr="00F01347" w:rsidRDefault="00441828" w:rsidP="00441828">
            <w:pPr>
              <w:pStyle w:val="texto0"/>
              <w:spacing w:line="252" w:lineRule="exact"/>
              <w:ind w:firstLine="0"/>
              <w:rPr>
                <w:rFonts w:ascii="Verdana" w:hAnsi="Verdana"/>
                <w:b/>
                <w:sz w:val="16"/>
                <w:szCs w:val="16"/>
              </w:rPr>
            </w:pPr>
            <w:r w:rsidRPr="00F01347">
              <w:rPr>
                <w:rFonts w:ascii="Verdana" w:hAnsi="Verdana"/>
                <w:b/>
                <w:sz w:val="16"/>
                <w:szCs w:val="16"/>
              </w:rPr>
              <w:t>B.7.3.2 Alcance y aplicación</w:t>
            </w:r>
          </w:p>
        </w:tc>
        <w:tc>
          <w:tcPr>
            <w:tcW w:w="4675" w:type="dxa"/>
          </w:tcPr>
          <w:p w14:paraId="0F2A75B1" w14:textId="1EDCEC9B" w:rsidR="00441828" w:rsidRPr="00F01347" w:rsidRDefault="00441828" w:rsidP="00441828">
            <w:pPr>
              <w:pStyle w:val="texto0"/>
              <w:spacing w:line="252" w:lineRule="exact"/>
              <w:ind w:firstLine="0"/>
              <w:rPr>
                <w:rFonts w:ascii="Verdana" w:hAnsi="Verdana"/>
                <w:b/>
                <w:sz w:val="16"/>
                <w:szCs w:val="16"/>
                <w:lang w:val="en-US"/>
              </w:rPr>
            </w:pPr>
            <w:r w:rsidRPr="00F01347">
              <w:rPr>
                <w:rFonts w:ascii="Verdana" w:hAnsi="Verdana"/>
                <w:b/>
                <w:sz w:val="16"/>
                <w:szCs w:val="16"/>
                <w:lang w:val="en-US"/>
              </w:rPr>
              <w:t>B.7.3.2 Scope and application</w:t>
            </w:r>
          </w:p>
        </w:tc>
      </w:tr>
      <w:tr w:rsidR="00441828" w:rsidRPr="00F01347" w14:paraId="378849EC" w14:textId="73D415FF" w:rsidTr="00A57A94">
        <w:tc>
          <w:tcPr>
            <w:tcW w:w="4675" w:type="dxa"/>
          </w:tcPr>
          <w:p w14:paraId="563E852F" w14:textId="77777777" w:rsidR="00441828" w:rsidRPr="00F01347" w:rsidRDefault="00441828" w:rsidP="00441828">
            <w:pPr>
              <w:pStyle w:val="texto0"/>
              <w:spacing w:line="252" w:lineRule="exact"/>
              <w:ind w:firstLine="0"/>
              <w:rPr>
                <w:rFonts w:ascii="Verdana" w:hAnsi="Verdana"/>
                <w:sz w:val="16"/>
                <w:szCs w:val="16"/>
              </w:rPr>
            </w:pPr>
            <w:r w:rsidRPr="00F01347">
              <w:rPr>
                <w:rFonts w:ascii="Verdana" w:hAnsi="Verdana"/>
                <w:sz w:val="16"/>
                <w:szCs w:val="16"/>
              </w:rPr>
              <w:t xml:space="preserve">El método con </w:t>
            </w:r>
            <w:proofErr w:type="spellStart"/>
            <w:r w:rsidRPr="00F01347">
              <w:rPr>
                <w:rFonts w:ascii="Verdana" w:hAnsi="Verdana"/>
                <w:sz w:val="16"/>
                <w:szCs w:val="16"/>
              </w:rPr>
              <w:t>fenato</w:t>
            </w:r>
            <w:proofErr w:type="spellEnd"/>
            <w:r w:rsidRPr="00F01347">
              <w:rPr>
                <w:rFonts w:ascii="Verdana" w:hAnsi="Verdana"/>
                <w:sz w:val="16"/>
                <w:szCs w:val="16"/>
              </w:rPr>
              <w:t xml:space="preserve"> es utilizado para la determinación de nitrógeno amoniacal en muestras de agua para uso y consumo humano que han sido previamente sometidas a un proceso de destilación preliminar (contenido en el punto B.7.5 de este Apéndice) para eliminar interferencias. Destilar en ácido sulfúrico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como absorbente para el método con </w:t>
            </w:r>
            <w:proofErr w:type="spellStart"/>
            <w:r w:rsidRPr="00F01347">
              <w:rPr>
                <w:rFonts w:ascii="Verdana" w:hAnsi="Verdana"/>
                <w:sz w:val="16"/>
                <w:szCs w:val="16"/>
              </w:rPr>
              <w:t>fenato</w:t>
            </w:r>
            <w:proofErr w:type="spellEnd"/>
            <w:r w:rsidRPr="00F01347">
              <w:rPr>
                <w:rFonts w:ascii="Verdana" w:hAnsi="Verdana"/>
                <w:sz w:val="16"/>
                <w:szCs w:val="16"/>
              </w:rPr>
              <w:t xml:space="preserve"> cuando se encuentran interferencias presentes.</w:t>
            </w:r>
          </w:p>
        </w:tc>
        <w:tc>
          <w:tcPr>
            <w:tcW w:w="4675" w:type="dxa"/>
          </w:tcPr>
          <w:p w14:paraId="2A5CD285" w14:textId="1C250863" w:rsidR="00441828" w:rsidRPr="00F01347" w:rsidRDefault="001F6B99" w:rsidP="00441828">
            <w:pPr>
              <w:pStyle w:val="texto0"/>
              <w:spacing w:line="252" w:lineRule="exact"/>
              <w:ind w:firstLine="0"/>
              <w:rPr>
                <w:rFonts w:ascii="Verdana" w:hAnsi="Verdana"/>
                <w:sz w:val="16"/>
                <w:szCs w:val="16"/>
                <w:lang w:val="en-US"/>
              </w:rPr>
            </w:pPr>
            <w:r w:rsidRPr="00F01347">
              <w:rPr>
                <w:rFonts w:ascii="Verdana" w:hAnsi="Verdana"/>
                <w:sz w:val="16"/>
                <w:szCs w:val="16"/>
                <w:lang w:val="en-US"/>
              </w:rPr>
              <w:t xml:space="preserve">The </w:t>
            </w:r>
            <w:r w:rsidR="00441828" w:rsidRPr="00F01347">
              <w:rPr>
                <w:rFonts w:ascii="Verdana" w:hAnsi="Verdana"/>
                <w:sz w:val="16"/>
                <w:szCs w:val="16"/>
                <w:lang w:val="en-US"/>
              </w:rPr>
              <w:t>phenate method is used for the determination of ammoniacal nitrogen in water samples for human use and consumption that have previously been subjected to a preliminary distillation process (contained in point B.7.5 of this Appendix) to eliminate interferences. Distill in sulfuric acid (H</w:t>
            </w:r>
            <w:r w:rsidR="00441828" w:rsidRPr="00F01347">
              <w:rPr>
                <w:rFonts w:ascii="Verdana" w:hAnsi="Verdana"/>
                <w:sz w:val="16"/>
                <w:szCs w:val="16"/>
                <w:vertAlign w:val="subscript"/>
                <w:lang w:val="en-US"/>
              </w:rPr>
              <w:t>2</w:t>
            </w:r>
            <w:r w:rsidR="00441828" w:rsidRPr="00F01347">
              <w:rPr>
                <w:rFonts w:ascii="Verdana" w:hAnsi="Verdana"/>
                <w:sz w:val="16"/>
                <w:szCs w:val="16"/>
                <w:lang w:val="en-US"/>
              </w:rPr>
              <w:t>SO</w:t>
            </w:r>
            <w:r w:rsidR="00441828" w:rsidRPr="00F01347">
              <w:rPr>
                <w:rFonts w:ascii="Verdana" w:hAnsi="Verdana"/>
                <w:sz w:val="16"/>
                <w:szCs w:val="16"/>
                <w:vertAlign w:val="subscript"/>
                <w:lang w:val="en-US"/>
              </w:rPr>
              <w:t>4</w:t>
            </w:r>
            <w:r w:rsidR="00913802" w:rsidRPr="00F01347">
              <w:rPr>
                <w:rFonts w:ascii="Verdana" w:hAnsi="Verdana"/>
                <w:sz w:val="16"/>
                <w:szCs w:val="16"/>
                <w:vertAlign w:val="subscript"/>
                <w:lang w:val="en-US"/>
              </w:rPr>
              <w:t>)</w:t>
            </w:r>
            <w:r w:rsidR="00441828" w:rsidRPr="00F01347">
              <w:rPr>
                <w:rFonts w:ascii="Verdana" w:hAnsi="Verdana"/>
                <w:sz w:val="16"/>
                <w:szCs w:val="16"/>
                <w:lang w:val="en-US"/>
              </w:rPr>
              <w:t xml:space="preserve"> as an absorbent for the phenate method when interferences are present.</w:t>
            </w:r>
          </w:p>
        </w:tc>
      </w:tr>
      <w:tr w:rsidR="00441828" w:rsidRPr="00F01347" w14:paraId="4E9B1468" w14:textId="42A82C67" w:rsidTr="00A57A94">
        <w:tc>
          <w:tcPr>
            <w:tcW w:w="4675" w:type="dxa"/>
          </w:tcPr>
          <w:p w14:paraId="0288A127" w14:textId="77777777" w:rsidR="00441828" w:rsidRPr="00F01347" w:rsidRDefault="00441828" w:rsidP="00441828">
            <w:pPr>
              <w:pStyle w:val="texto0"/>
              <w:spacing w:line="252" w:lineRule="exact"/>
              <w:ind w:firstLine="0"/>
              <w:rPr>
                <w:rFonts w:ascii="Verdana" w:hAnsi="Verdana"/>
                <w:sz w:val="16"/>
                <w:szCs w:val="16"/>
              </w:rPr>
            </w:pPr>
            <w:r w:rsidRPr="00F01347">
              <w:rPr>
                <w:rFonts w:ascii="Verdana" w:hAnsi="Verdana"/>
                <w:sz w:val="16"/>
                <w:szCs w:val="16"/>
              </w:rPr>
              <w:t xml:space="preserve">El método manual con </w:t>
            </w:r>
            <w:proofErr w:type="spellStart"/>
            <w:r w:rsidRPr="00F01347">
              <w:rPr>
                <w:rFonts w:ascii="Verdana" w:hAnsi="Verdana"/>
                <w:sz w:val="16"/>
                <w:szCs w:val="16"/>
              </w:rPr>
              <w:t>fenato</w:t>
            </w:r>
            <w:proofErr w:type="spellEnd"/>
            <w:r w:rsidRPr="00F01347">
              <w:rPr>
                <w:rFonts w:ascii="Verdana" w:hAnsi="Verdana"/>
                <w:sz w:val="16"/>
                <w:szCs w:val="16"/>
              </w:rPr>
              <w:t xml:space="preserve"> es aplicable tanto para agua dulce como salada y es lineal a 0.6mg NH</w:t>
            </w:r>
            <w:r w:rsidRPr="00F01347">
              <w:rPr>
                <w:rFonts w:ascii="Verdana" w:hAnsi="Verdana"/>
                <w:sz w:val="16"/>
                <w:szCs w:val="16"/>
                <w:vertAlign w:val="subscript"/>
              </w:rPr>
              <w:t>3</w:t>
            </w:r>
            <w:r w:rsidRPr="00F01347">
              <w:rPr>
                <w:rFonts w:ascii="Verdana" w:hAnsi="Verdana"/>
                <w:sz w:val="16"/>
                <w:szCs w:val="16"/>
              </w:rPr>
              <w:t>-N/L.</w:t>
            </w:r>
          </w:p>
        </w:tc>
        <w:tc>
          <w:tcPr>
            <w:tcW w:w="4675" w:type="dxa"/>
          </w:tcPr>
          <w:p w14:paraId="48BC4B07" w14:textId="4C87FAC6" w:rsidR="00441828" w:rsidRPr="00F01347" w:rsidRDefault="00441828" w:rsidP="00441828">
            <w:pPr>
              <w:pStyle w:val="texto0"/>
              <w:spacing w:line="252" w:lineRule="exact"/>
              <w:ind w:firstLine="0"/>
              <w:rPr>
                <w:rFonts w:ascii="Verdana" w:hAnsi="Verdana"/>
                <w:sz w:val="16"/>
                <w:szCs w:val="16"/>
                <w:lang w:val="en-US"/>
              </w:rPr>
            </w:pPr>
            <w:r w:rsidRPr="00F01347">
              <w:rPr>
                <w:rFonts w:ascii="Verdana" w:hAnsi="Verdana"/>
                <w:sz w:val="16"/>
                <w:szCs w:val="16"/>
                <w:lang w:val="en-US"/>
              </w:rPr>
              <w:t>The manual method with phenate is applicable for both fresh and salt water and is linear at 0.6mg NH</w:t>
            </w:r>
            <w:r w:rsidRPr="00F01347">
              <w:rPr>
                <w:rFonts w:ascii="Verdana" w:hAnsi="Verdana"/>
                <w:sz w:val="16"/>
                <w:szCs w:val="16"/>
                <w:vertAlign w:val="subscript"/>
                <w:lang w:val="en-US"/>
              </w:rPr>
              <w:t xml:space="preserve">3 </w:t>
            </w:r>
            <w:r w:rsidRPr="00F01347">
              <w:rPr>
                <w:rFonts w:ascii="Verdana" w:hAnsi="Verdana"/>
                <w:sz w:val="16"/>
                <w:szCs w:val="16"/>
                <w:lang w:val="en-US"/>
              </w:rPr>
              <w:t>-N/L.</w:t>
            </w:r>
          </w:p>
        </w:tc>
      </w:tr>
      <w:tr w:rsidR="00441828" w:rsidRPr="00F01347" w14:paraId="503A2F43" w14:textId="035045A8" w:rsidTr="00A57A94">
        <w:tc>
          <w:tcPr>
            <w:tcW w:w="4675" w:type="dxa"/>
          </w:tcPr>
          <w:p w14:paraId="2E6ABF50" w14:textId="77777777" w:rsidR="00441828" w:rsidRPr="00F01347" w:rsidRDefault="00441828" w:rsidP="00441828">
            <w:pPr>
              <w:pStyle w:val="texto0"/>
              <w:spacing w:line="252" w:lineRule="exact"/>
              <w:ind w:firstLine="0"/>
              <w:rPr>
                <w:rFonts w:ascii="Verdana" w:hAnsi="Verdana"/>
                <w:b/>
                <w:sz w:val="16"/>
                <w:szCs w:val="16"/>
              </w:rPr>
            </w:pPr>
            <w:r w:rsidRPr="00F01347">
              <w:rPr>
                <w:rFonts w:ascii="Verdana" w:hAnsi="Verdana"/>
                <w:b/>
                <w:sz w:val="16"/>
                <w:szCs w:val="16"/>
              </w:rPr>
              <w:t>B.7.3.3 Equipos y materiales</w:t>
            </w:r>
          </w:p>
        </w:tc>
        <w:tc>
          <w:tcPr>
            <w:tcW w:w="4675" w:type="dxa"/>
          </w:tcPr>
          <w:p w14:paraId="398CEEBC" w14:textId="2B9EC53D" w:rsidR="00441828" w:rsidRPr="00F01347" w:rsidRDefault="00441828" w:rsidP="00441828">
            <w:pPr>
              <w:pStyle w:val="texto0"/>
              <w:spacing w:line="252" w:lineRule="exact"/>
              <w:ind w:firstLine="0"/>
              <w:rPr>
                <w:rFonts w:ascii="Verdana" w:hAnsi="Verdana"/>
                <w:b/>
                <w:sz w:val="16"/>
                <w:szCs w:val="16"/>
                <w:lang w:val="en-US"/>
              </w:rPr>
            </w:pPr>
            <w:r w:rsidRPr="00F01347">
              <w:rPr>
                <w:rFonts w:ascii="Verdana" w:hAnsi="Verdana"/>
                <w:b/>
                <w:sz w:val="16"/>
                <w:szCs w:val="16"/>
                <w:lang w:val="en-US"/>
              </w:rPr>
              <w:t>B.7.3.3 Equipment and materials</w:t>
            </w:r>
          </w:p>
        </w:tc>
      </w:tr>
      <w:tr w:rsidR="00441828" w:rsidRPr="00F01347" w14:paraId="5B95D1C5" w14:textId="422C6402" w:rsidTr="00A57A94">
        <w:tc>
          <w:tcPr>
            <w:tcW w:w="4675" w:type="dxa"/>
          </w:tcPr>
          <w:p w14:paraId="6333F6F4" w14:textId="77777777" w:rsidR="00441828" w:rsidRPr="00F01347" w:rsidRDefault="00441828" w:rsidP="00441828">
            <w:pPr>
              <w:pStyle w:val="texto0"/>
              <w:spacing w:line="252" w:lineRule="exact"/>
              <w:ind w:firstLine="0"/>
              <w:rPr>
                <w:rFonts w:ascii="Verdana" w:hAnsi="Verdana"/>
                <w:b/>
                <w:sz w:val="16"/>
                <w:szCs w:val="16"/>
              </w:rPr>
            </w:pPr>
            <w:r w:rsidRPr="00F01347">
              <w:rPr>
                <w:rFonts w:ascii="Verdana" w:hAnsi="Verdana"/>
                <w:b/>
                <w:sz w:val="16"/>
                <w:szCs w:val="16"/>
              </w:rPr>
              <w:t>Agitador magnético</w:t>
            </w:r>
          </w:p>
        </w:tc>
        <w:tc>
          <w:tcPr>
            <w:tcW w:w="4675" w:type="dxa"/>
          </w:tcPr>
          <w:p w14:paraId="3C05837C" w14:textId="05018C88" w:rsidR="00441828" w:rsidRPr="00F01347" w:rsidRDefault="00441828" w:rsidP="00441828">
            <w:pPr>
              <w:pStyle w:val="texto0"/>
              <w:spacing w:line="252" w:lineRule="exact"/>
              <w:ind w:firstLine="0"/>
              <w:rPr>
                <w:rFonts w:ascii="Verdana" w:hAnsi="Verdana"/>
                <w:b/>
                <w:sz w:val="16"/>
                <w:szCs w:val="16"/>
                <w:lang w:val="en-US"/>
              </w:rPr>
            </w:pPr>
            <w:r w:rsidRPr="00F01347">
              <w:rPr>
                <w:rFonts w:ascii="Verdana" w:hAnsi="Verdana"/>
                <w:b/>
                <w:sz w:val="16"/>
                <w:szCs w:val="16"/>
                <w:lang w:val="en-US"/>
              </w:rPr>
              <w:t>Magnetic stirrer</w:t>
            </w:r>
          </w:p>
        </w:tc>
      </w:tr>
      <w:tr w:rsidR="00441828" w:rsidRPr="00F01347" w14:paraId="38520EE4" w14:textId="24063090" w:rsidTr="00A57A94">
        <w:tc>
          <w:tcPr>
            <w:tcW w:w="4675" w:type="dxa"/>
          </w:tcPr>
          <w:p w14:paraId="1D9D5852" w14:textId="77777777" w:rsidR="00441828" w:rsidRPr="00F01347" w:rsidRDefault="00441828" w:rsidP="00441828">
            <w:pPr>
              <w:pStyle w:val="texto0"/>
              <w:spacing w:line="248" w:lineRule="exact"/>
              <w:ind w:firstLine="0"/>
              <w:rPr>
                <w:rFonts w:ascii="Verdana" w:hAnsi="Verdana"/>
                <w:sz w:val="16"/>
                <w:szCs w:val="16"/>
              </w:rPr>
            </w:pPr>
            <w:r w:rsidRPr="00F01347">
              <w:rPr>
                <w:rFonts w:ascii="Verdana" w:hAnsi="Verdana"/>
                <w:b/>
                <w:sz w:val="16"/>
                <w:szCs w:val="16"/>
              </w:rPr>
              <w:t>Espectrofotómetro</w:t>
            </w:r>
            <w:r w:rsidRPr="00F01347">
              <w:rPr>
                <w:rFonts w:ascii="Verdana" w:hAnsi="Verdana"/>
                <w:sz w:val="16"/>
                <w:szCs w:val="16"/>
              </w:rPr>
              <w:t>, para usar a 630 nm con un paso de luz de 1 cm o mayor.</w:t>
            </w:r>
          </w:p>
        </w:tc>
        <w:tc>
          <w:tcPr>
            <w:tcW w:w="4675" w:type="dxa"/>
          </w:tcPr>
          <w:p w14:paraId="1C81D2FD" w14:textId="7E89406A" w:rsidR="00441828" w:rsidRPr="00F01347" w:rsidRDefault="00441828" w:rsidP="00441828">
            <w:pPr>
              <w:pStyle w:val="texto0"/>
              <w:spacing w:line="248" w:lineRule="exact"/>
              <w:ind w:firstLine="0"/>
              <w:rPr>
                <w:rFonts w:ascii="Verdana" w:hAnsi="Verdana"/>
                <w:b/>
                <w:sz w:val="16"/>
                <w:szCs w:val="16"/>
                <w:lang w:val="en-US"/>
              </w:rPr>
            </w:pPr>
            <w:r w:rsidRPr="00F01347">
              <w:rPr>
                <w:rFonts w:ascii="Verdana" w:hAnsi="Verdana"/>
                <w:b/>
                <w:sz w:val="16"/>
                <w:szCs w:val="16"/>
                <w:lang w:val="en-US"/>
              </w:rPr>
              <w:t>Spectrophotometer</w:t>
            </w:r>
            <w:r w:rsidR="003E1BA9" w:rsidRPr="00F01347">
              <w:rPr>
                <w:rFonts w:ascii="Verdana" w:hAnsi="Verdana"/>
                <w:b/>
                <w:sz w:val="16"/>
                <w:szCs w:val="16"/>
                <w:lang w:val="en-US"/>
              </w:rPr>
              <w:t>,</w:t>
            </w:r>
            <w:r w:rsidRPr="00F01347">
              <w:rPr>
                <w:rFonts w:ascii="Verdana" w:hAnsi="Verdana"/>
                <w:sz w:val="16"/>
                <w:szCs w:val="16"/>
                <w:lang w:val="en-US"/>
              </w:rPr>
              <w:t xml:space="preserve"> for use at 630 nm with a light path of 1 cm or greater.</w:t>
            </w:r>
          </w:p>
        </w:tc>
      </w:tr>
      <w:tr w:rsidR="00441828" w:rsidRPr="00F01347" w14:paraId="340EC9DF" w14:textId="5CFF5C26" w:rsidTr="00A57A94">
        <w:tc>
          <w:tcPr>
            <w:tcW w:w="4675" w:type="dxa"/>
          </w:tcPr>
          <w:p w14:paraId="3F121725" w14:textId="77777777" w:rsidR="00441828" w:rsidRPr="00F01347" w:rsidRDefault="00441828" w:rsidP="00441828">
            <w:pPr>
              <w:pStyle w:val="texto0"/>
              <w:spacing w:line="248" w:lineRule="exact"/>
              <w:ind w:firstLine="0"/>
              <w:rPr>
                <w:rFonts w:ascii="Verdana" w:hAnsi="Verdana"/>
                <w:b/>
                <w:sz w:val="16"/>
                <w:szCs w:val="16"/>
              </w:rPr>
            </w:pPr>
            <w:r w:rsidRPr="00F01347">
              <w:rPr>
                <w:rFonts w:ascii="Verdana" w:hAnsi="Verdana"/>
                <w:b/>
                <w:sz w:val="16"/>
                <w:szCs w:val="16"/>
              </w:rPr>
              <w:t>B.7.3.4 Reactivos y soluciones</w:t>
            </w:r>
          </w:p>
        </w:tc>
        <w:tc>
          <w:tcPr>
            <w:tcW w:w="4675" w:type="dxa"/>
          </w:tcPr>
          <w:p w14:paraId="4B7F03A2" w14:textId="648D2D7B" w:rsidR="00441828" w:rsidRPr="00F01347" w:rsidRDefault="00441828" w:rsidP="00441828">
            <w:pPr>
              <w:pStyle w:val="texto0"/>
              <w:spacing w:line="248" w:lineRule="exact"/>
              <w:ind w:firstLine="0"/>
              <w:rPr>
                <w:rFonts w:ascii="Verdana" w:hAnsi="Verdana"/>
                <w:b/>
                <w:sz w:val="16"/>
                <w:szCs w:val="16"/>
                <w:lang w:val="en-US"/>
              </w:rPr>
            </w:pPr>
            <w:r w:rsidRPr="00F01347">
              <w:rPr>
                <w:rFonts w:ascii="Verdana" w:hAnsi="Verdana"/>
                <w:b/>
                <w:sz w:val="16"/>
                <w:szCs w:val="16"/>
                <w:lang w:val="en-US"/>
              </w:rPr>
              <w:t>B.7.3.4 Reagents and solutions</w:t>
            </w:r>
          </w:p>
        </w:tc>
      </w:tr>
      <w:tr w:rsidR="00441828" w:rsidRPr="00F01347" w14:paraId="1A4B9F6A" w14:textId="69D21A43" w:rsidTr="00A57A94">
        <w:tc>
          <w:tcPr>
            <w:tcW w:w="4675" w:type="dxa"/>
          </w:tcPr>
          <w:p w14:paraId="36634B46" w14:textId="77777777" w:rsidR="00441828" w:rsidRPr="00F01347" w:rsidRDefault="00441828" w:rsidP="00441828">
            <w:pPr>
              <w:pStyle w:val="texto0"/>
              <w:spacing w:line="248" w:lineRule="exact"/>
              <w:ind w:firstLine="0"/>
              <w:rPr>
                <w:rFonts w:ascii="Verdana" w:hAnsi="Verdana"/>
                <w:sz w:val="16"/>
                <w:szCs w:val="16"/>
              </w:rPr>
            </w:pPr>
            <w:r w:rsidRPr="00F01347">
              <w:rPr>
                <w:rFonts w:ascii="Verdana" w:hAnsi="Verdana"/>
                <w:b/>
                <w:sz w:val="16"/>
                <w:szCs w:val="16"/>
              </w:rPr>
              <w:t xml:space="preserve">Agua libre de amoníaco. </w:t>
            </w:r>
            <w:r w:rsidRPr="00F01347">
              <w:rPr>
                <w:rFonts w:ascii="Verdana" w:hAnsi="Verdana"/>
                <w:sz w:val="16"/>
                <w:szCs w:val="16"/>
              </w:rPr>
              <w:t>Utilizar para la preparación de todos los reactivos.</w:t>
            </w:r>
          </w:p>
        </w:tc>
        <w:tc>
          <w:tcPr>
            <w:tcW w:w="4675" w:type="dxa"/>
          </w:tcPr>
          <w:p w14:paraId="3C467A72" w14:textId="1716AFE9" w:rsidR="00441828" w:rsidRPr="00F01347" w:rsidRDefault="00441828" w:rsidP="00441828">
            <w:pPr>
              <w:pStyle w:val="texto0"/>
              <w:spacing w:line="248" w:lineRule="exact"/>
              <w:ind w:firstLine="0"/>
              <w:rPr>
                <w:rFonts w:ascii="Verdana" w:hAnsi="Verdana"/>
                <w:b/>
                <w:sz w:val="16"/>
                <w:szCs w:val="16"/>
                <w:lang w:val="en-US"/>
              </w:rPr>
            </w:pPr>
            <w:r w:rsidRPr="00F01347">
              <w:rPr>
                <w:rFonts w:ascii="Verdana" w:hAnsi="Verdana"/>
                <w:b/>
                <w:sz w:val="16"/>
                <w:szCs w:val="16"/>
                <w:lang w:val="en-US"/>
              </w:rPr>
              <w:t xml:space="preserve">Ammonia free water. </w:t>
            </w:r>
            <w:r w:rsidRPr="00F01347">
              <w:rPr>
                <w:rFonts w:ascii="Verdana" w:hAnsi="Verdana"/>
                <w:sz w:val="16"/>
                <w:szCs w:val="16"/>
                <w:lang w:val="en-US"/>
              </w:rPr>
              <w:t>Use for the preparation of all reagents.</w:t>
            </w:r>
          </w:p>
        </w:tc>
      </w:tr>
      <w:tr w:rsidR="00441828" w:rsidRPr="00F01347" w14:paraId="4D27F0B6" w14:textId="63127CB6" w:rsidTr="00A57A94">
        <w:tc>
          <w:tcPr>
            <w:tcW w:w="4675" w:type="dxa"/>
          </w:tcPr>
          <w:p w14:paraId="622F56F5" w14:textId="77777777" w:rsidR="00441828" w:rsidRPr="00F01347" w:rsidRDefault="00441828" w:rsidP="00441828">
            <w:pPr>
              <w:pStyle w:val="texto0"/>
              <w:spacing w:line="248" w:lineRule="exact"/>
              <w:ind w:firstLine="0"/>
              <w:rPr>
                <w:rFonts w:ascii="Verdana" w:hAnsi="Verdana"/>
                <w:sz w:val="16"/>
                <w:szCs w:val="16"/>
              </w:rPr>
            </w:pPr>
            <w:r w:rsidRPr="00F01347">
              <w:rPr>
                <w:rFonts w:ascii="Verdana" w:hAnsi="Verdana"/>
                <w:b/>
                <w:sz w:val="16"/>
                <w:szCs w:val="16"/>
              </w:rPr>
              <w:t xml:space="preserve">Reactivo de ácido hipocloroso. </w:t>
            </w:r>
            <w:r w:rsidRPr="00F01347">
              <w:rPr>
                <w:rFonts w:ascii="Verdana" w:hAnsi="Verdana"/>
                <w:sz w:val="16"/>
                <w:szCs w:val="16"/>
              </w:rPr>
              <w:t xml:space="preserve">A 40 </w:t>
            </w:r>
            <w:proofErr w:type="spellStart"/>
            <w:r w:rsidRPr="00F01347">
              <w:rPr>
                <w:rFonts w:ascii="Verdana" w:hAnsi="Verdana"/>
                <w:sz w:val="16"/>
                <w:szCs w:val="16"/>
              </w:rPr>
              <w:t>mL</w:t>
            </w:r>
            <w:proofErr w:type="spellEnd"/>
            <w:r w:rsidRPr="00F01347">
              <w:rPr>
                <w:rFonts w:ascii="Verdana" w:hAnsi="Verdana"/>
                <w:sz w:val="16"/>
                <w:szCs w:val="16"/>
              </w:rPr>
              <w:t xml:space="preserve"> de agua reactivo añadir 10 </w:t>
            </w:r>
            <w:proofErr w:type="spellStart"/>
            <w:r w:rsidRPr="00F01347">
              <w:rPr>
                <w:rFonts w:ascii="Verdana" w:hAnsi="Verdana"/>
                <w:sz w:val="16"/>
                <w:szCs w:val="16"/>
              </w:rPr>
              <w:t>mL</w:t>
            </w:r>
            <w:proofErr w:type="spellEnd"/>
            <w:r w:rsidRPr="00F01347">
              <w:rPr>
                <w:rFonts w:ascii="Verdana" w:hAnsi="Verdana"/>
                <w:sz w:val="16"/>
                <w:szCs w:val="16"/>
              </w:rPr>
              <w:t xml:space="preserve"> de una disolución al 5-6% de hipoclorito de sodio (</w:t>
            </w:r>
            <w:proofErr w:type="spellStart"/>
            <w:r w:rsidRPr="00F01347">
              <w:rPr>
                <w:rFonts w:ascii="Verdana" w:hAnsi="Verdana"/>
                <w:sz w:val="16"/>
                <w:szCs w:val="16"/>
              </w:rPr>
              <w:t>NaOCl</w:t>
            </w:r>
            <w:proofErr w:type="spellEnd"/>
            <w:r w:rsidRPr="00F01347">
              <w:rPr>
                <w:rFonts w:ascii="Verdana" w:hAnsi="Verdana"/>
                <w:sz w:val="16"/>
                <w:szCs w:val="16"/>
              </w:rPr>
              <w:t>)</w:t>
            </w:r>
            <w:r w:rsidRPr="00F01347">
              <w:rPr>
                <w:rFonts w:ascii="Verdana" w:hAnsi="Verdana"/>
                <w:b/>
                <w:sz w:val="16"/>
                <w:szCs w:val="16"/>
              </w:rPr>
              <w:t xml:space="preserve"> </w:t>
            </w:r>
            <w:r w:rsidRPr="00F01347">
              <w:rPr>
                <w:rFonts w:ascii="Verdana" w:hAnsi="Verdana"/>
                <w:sz w:val="16"/>
                <w:szCs w:val="16"/>
              </w:rPr>
              <w:t xml:space="preserve">preparada o adquirida </w:t>
            </w:r>
            <w:r w:rsidRPr="00F01347">
              <w:rPr>
                <w:rFonts w:ascii="Verdana" w:hAnsi="Verdana"/>
                <w:sz w:val="16"/>
                <w:szCs w:val="16"/>
              </w:rPr>
              <w:lastRenderedPageBreak/>
              <w:t>comercialmente. Ajustar el pH a 6.5-7.0 con HCl. Preparar este reactivo inestable semanalmente.</w:t>
            </w:r>
          </w:p>
        </w:tc>
        <w:tc>
          <w:tcPr>
            <w:tcW w:w="4675" w:type="dxa"/>
          </w:tcPr>
          <w:p w14:paraId="57473AB7" w14:textId="52482668" w:rsidR="00441828" w:rsidRPr="00F01347" w:rsidRDefault="00441828" w:rsidP="00441828">
            <w:pPr>
              <w:pStyle w:val="texto0"/>
              <w:spacing w:line="248" w:lineRule="exact"/>
              <w:ind w:firstLine="0"/>
              <w:rPr>
                <w:rFonts w:ascii="Verdana" w:hAnsi="Verdana"/>
                <w:b/>
                <w:sz w:val="16"/>
                <w:szCs w:val="16"/>
                <w:lang w:val="en-US"/>
              </w:rPr>
            </w:pPr>
            <w:r w:rsidRPr="00F01347">
              <w:rPr>
                <w:rFonts w:ascii="Verdana" w:hAnsi="Verdana"/>
                <w:b/>
                <w:sz w:val="16"/>
                <w:szCs w:val="16"/>
                <w:lang w:val="en-US"/>
              </w:rPr>
              <w:lastRenderedPageBreak/>
              <w:t xml:space="preserve">Hypochlorous acid reagent. </w:t>
            </w:r>
            <w:r w:rsidRPr="00F01347">
              <w:rPr>
                <w:rFonts w:ascii="Verdana" w:hAnsi="Verdana"/>
                <w:sz w:val="16"/>
                <w:szCs w:val="16"/>
                <w:lang w:val="en-US"/>
              </w:rPr>
              <w:t xml:space="preserve">To 40 mL of reagent water add 10 mL of a 5-6% solution of sodium hypochlorite </w:t>
            </w:r>
            <w:r w:rsidR="00CB209C" w:rsidRPr="00F01347">
              <w:rPr>
                <w:rFonts w:ascii="Verdana" w:hAnsi="Verdana"/>
                <w:sz w:val="16"/>
                <w:szCs w:val="16"/>
                <w:lang w:val="en-US"/>
              </w:rPr>
              <w:t>(</w:t>
            </w:r>
            <w:proofErr w:type="spellStart"/>
            <w:r w:rsidRPr="00F01347">
              <w:rPr>
                <w:rFonts w:ascii="Verdana" w:hAnsi="Verdana"/>
                <w:sz w:val="16"/>
                <w:szCs w:val="16"/>
                <w:lang w:val="en-US"/>
              </w:rPr>
              <w:t>NaOCl</w:t>
            </w:r>
            <w:proofErr w:type="spellEnd"/>
            <w:r w:rsidR="00913802" w:rsidRPr="00F01347">
              <w:rPr>
                <w:rFonts w:ascii="Verdana" w:hAnsi="Verdana"/>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 xml:space="preserve">prepared or purchased </w:t>
            </w:r>
            <w:r w:rsidRPr="00F01347">
              <w:rPr>
                <w:rFonts w:ascii="Verdana" w:hAnsi="Verdana"/>
                <w:sz w:val="16"/>
                <w:szCs w:val="16"/>
                <w:lang w:val="en-US"/>
              </w:rPr>
              <w:lastRenderedPageBreak/>
              <w:t>commercially. Adjust the pH to 6.5-7.0 with HCl. Prepare this unstable reagent weekly.</w:t>
            </w:r>
          </w:p>
        </w:tc>
      </w:tr>
      <w:tr w:rsidR="00441828" w:rsidRPr="00F01347" w14:paraId="0D46630D" w14:textId="65913754" w:rsidTr="00A57A94">
        <w:tc>
          <w:tcPr>
            <w:tcW w:w="4675" w:type="dxa"/>
          </w:tcPr>
          <w:p w14:paraId="104A4BB0" w14:textId="77777777" w:rsidR="00441828" w:rsidRPr="00F01347" w:rsidRDefault="00441828" w:rsidP="00441828">
            <w:pPr>
              <w:pStyle w:val="texto0"/>
              <w:spacing w:line="224" w:lineRule="exact"/>
              <w:ind w:firstLine="0"/>
              <w:rPr>
                <w:rFonts w:ascii="Verdana" w:hAnsi="Verdana"/>
                <w:sz w:val="16"/>
                <w:szCs w:val="16"/>
              </w:rPr>
            </w:pPr>
            <w:r w:rsidRPr="00F01347">
              <w:rPr>
                <w:rFonts w:ascii="Verdana" w:hAnsi="Verdana"/>
                <w:b/>
                <w:sz w:val="16"/>
                <w:szCs w:val="16"/>
              </w:rPr>
              <w:lastRenderedPageBreak/>
              <w:t xml:space="preserve">Reactivo de </w:t>
            </w:r>
            <w:proofErr w:type="spellStart"/>
            <w:r w:rsidRPr="00F01347">
              <w:rPr>
                <w:rFonts w:ascii="Verdana" w:hAnsi="Verdana"/>
                <w:b/>
                <w:sz w:val="16"/>
                <w:szCs w:val="16"/>
              </w:rPr>
              <w:t>fenato</w:t>
            </w:r>
            <w:proofErr w:type="spellEnd"/>
            <w:r w:rsidRPr="00F01347">
              <w:rPr>
                <w:rFonts w:ascii="Verdana" w:hAnsi="Verdana"/>
                <w:b/>
                <w:sz w:val="16"/>
                <w:szCs w:val="16"/>
              </w:rPr>
              <w:t>.</w:t>
            </w:r>
            <w:r w:rsidRPr="00F01347">
              <w:rPr>
                <w:rFonts w:ascii="Verdana" w:hAnsi="Verdana"/>
                <w:sz w:val="16"/>
                <w:szCs w:val="16"/>
              </w:rPr>
              <w:t xml:space="preserve"> Disolver 2.5 g de NaOH y 10g de fenol C</w:t>
            </w:r>
            <w:r w:rsidRPr="00F01347">
              <w:rPr>
                <w:rFonts w:ascii="Verdana" w:hAnsi="Verdana"/>
                <w:sz w:val="16"/>
                <w:szCs w:val="16"/>
                <w:vertAlign w:val="subscript"/>
              </w:rPr>
              <w:t>6</w:t>
            </w:r>
            <w:r w:rsidRPr="00F01347">
              <w:rPr>
                <w:rFonts w:ascii="Verdana" w:hAnsi="Verdana"/>
                <w:sz w:val="16"/>
                <w:szCs w:val="16"/>
              </w:rPr>
              <w:t>H</w:t>
            </w:r>
            <w:r w:rsidRPr="00F01347">
              <w:rPr>
                <w:rFonts w:ascii="Verdana" w:hAnsi="Verdana"/>
                <w:sz w:val="16"/>
                <w:szCs w:val="16"/>
                <w:vertAlign w:val="subscript"/>
              </w:rPr>
              <w:t>5</w:t>
            </w:r>
            <w:r w:rsidRPr="00F01347">
              <w:rPr>
                <w:rFonts w:ascii="Verdana" w:hAnsi="Verdana"/>
                <w:sz w:val="16"/>
                <w:szCs w:val="16"/>
              </w:rPr>
              <w:t xml:space="preserve">OH en 100 </w:t>
            </w:r>
            <w:proofErr w:type="spellStart"/>
            <w:r w:rsidRPr="00F01347">
              <w:rPr>
                <w:rFonts w:ascii="Verdana" w:hAnsi="Verdana"/>
                <w:sz w:val="16"/>
                <w:szCs w:val="16"/>
              </w:rPr>
              <w:t>mL</w:t>
            </w:r>
            <w:proofErr w:type="spellEnd"/>
            <w:r w:rsidRPr="00F01347">
              <w:rPr>
                <w:rFonts w:ascii="Verdana" w:hAnsi="Verdana"/>
                <w:sz w:val="16"/>
                <w:szCs w:val="16"/>
              </w:rPr>
              <w:t xml:space="preserve"> de agua reactivo. Debido a que este reactivo se oscurece preparar semanalmente. Debe tenerse precaución al utilizar el fenol.</w:t>
            </w:r>
          </w:p>
        </w:tc>
        <w:tc>
          <w:tcPr>
            <w:tcW w:w="4675" w:type="dxa"/>
          </w:tcPr>
          <w:p w14:paraId="0F04806A" w14:textId="1D903641" w:rsidR="00441828" w:rsidRPr="00F01347" w:rsidRDefault="00441828" w:rsidP="00441828">
            <w:pPr>
              <w:pStyle w:val="texto0"/>
              <w:spacing w:line="224" w:lineRule="exact"/>
              <w:ind w:firstLine="0"/>
              <w:rPr>
                <w:rFonts w:ascii="Verdana" w:hAnsi="Verdana"/>
                <w:b/>
                <w:sz w:val="16"/>
                <w:szCs w:val="16"/>
                <w:lang w:val="en-US"/>
              </w:rPr>
            </w:pPr>
            <w:r w:rsidRPr="00F01347">
              <w:rPr>
                <w:rFonts w:ascii="Verdana" w:hAnsi="Verdana"/>
                <w:b/>
                <w:sz w:val="16"/>
                <w:szCs w:val="16"/>
                <w:lang w:val="en-US"/>
              </w:rPr>
              <w:t>Phenate reagent</w:t>
            </w:r>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Dissolve 2.5 g of NaOH and 10 g of phenol C</w:t>
            </w:r>
            <w:r w:rsidRPr="00F01347">
              <w:rPr>
                <w:rFonts w:ascii="Verdana" w:hAnsi="Verdana"/>
                <w:sz w:val="16"/>
                <w:szCs w:val="16"/>
                <w:vertAlign w:val="subscript"/>
                <w:lang w:val="en-US"/>
              </w:rPr>
              <w:t>6</w:t>
            </w:r>
            <w:r w:rsidRPr="00F01347">
              <w:rPr>
                <w:rFonts w:ascii="Verdana" w:hAnsi="Verdana"/>
                <w:sz w:val="16"/>
                <w:szCs w:val="16"/>
                <w:lang w:val="en-US"/>
              </w:rPr>
              <w:t>H</w:t>
            </w:r>
            <w:r w:rsidRPr="00F01347">
              <w:rPr>
                <w:rFonts w:ascii="Verdana" w:hAnsi="Verdana"/>
                <w:sz w:val="16"/>
                <w:szCs w:val="16"/>
                <w:vertAlign w:val="subscript"/>
                <w:lang w:val="en-US"/>
              </w:rPr>
              <w:t>5</w:t>
            </w:r>
            <w:r w:rsidRPr="00F01347">
              <w:rPr>
                <w:rFonts w:ascii="Verdana" w:hAnsi="Verdana"/>
                <w:sz w:val="16"/>
                <w:szCs w:val="16"/>
                <w:lang w:val="en-US"/>
              </w:rPr>
              <w:t>OH in 100 mL of reagent water. Because this reagent darkens prepare weekly. Caution should be taken when using phenol.</w:t>
            </w:r>
          </w:p>
        </w:tc>
      </w:tr>
      <w:tr w:rsidR="00441828" w:rsidRPr="00F01347" w14:paraId="5D0957D3" w14:textId="73E7755A" w:rsidTr="00A57A94">
        <w:tc>
          <w:tcPr>
            <w:tcW w:w="4675" w:type="dxa"/>
          </w:tcPr>
          <w:p w14:paraId="6052A178" w14:textId="77777777" w:rsidR="00441828" w:rsidRPr="00F01347" w:rsidRDefault="00441828" w:rsidP="00441828">
            <w:pPr>
              <w:pStyle w:val="texto0"/>
              <w:spacing w:line="224" w:lineRule="exact"/>
              <w:ind w:firstLine="0"/>
              <w:rPr>
                <w:rFonts w:ascii="Verdana" w:hAnsi="Verdana"/>
                <w:sz w:val="16"/>
                <w:szCs w:val="16"/>
              </w:rPr>
            </w:pPr>
            <w:r w:rsidRPr="00F01347">
              <w:rPr>
                <w:rFonts w:ascii="Verdana" w:hAnsi="Verdana"/>
                <w:b/>
                <w:sz w:val="16"/>
                <w:szCs w:val="16"/>
              </w:rPr>
              <w:t>Disolución patrón concentrada de amonio.</w:t>
            </w:r>
            <w:r w:rsidRPr="00F01347">
              <w:rPr>
                <w:rFonts w:ascii="Verdana" w:hAnsi="Verdana"/>
                <w:sz w:val="16"/>
                <w:szCs w:val="16"/>
              </w:rPr>
              <w:t xml:space="preserve"> Disolver 381.9 mg de NH</w:t>
            </w:r>
            <w:r w:rsidRPr="00F01347">
              <w:rPr>
                <w:rFonts w:ascii="Verdana" w:hAnsi="Verdana"/>
                <w:sz w:val="16"/>
                <w:szCs w:val="16"/>
                <w:vertAlign w:val="subscript"/>
              </w:rPr>
              <w:t>4</w:t>
            </w:r>
            <w:r w:rsidRPr="00F01347">
              <w:rPr>
                <w:rFonts w:ascii="Verdana" w:hAnsi="Verdana"/>
                <w:sz w:val="16"/>
                <w:szCs w:val="16"/>
              </w:rPr>
              <w:t xml:space="preserve">CL anhidro secado a 100 °C, en agua reactivo y diluir a 1 000 </w:t>
            </w:r>
            <w:proofErr w:type="spellStart"/>
            <w:r w:rsidRPr="00F01347">
              <w:rPr>
                <w:rFonts w:ascii="Verdana" w:hAnsi="Verdana"/>
                <w:sz w:val="16"/>
                <w:szCs w:val="16"/>
              </w:rPr>
              <w:t>mL</w:t>
            </w:r>
            <w:proofErr w:type="spellEnd"/>
            <w:r w:rsidRPr="00F01347">
              <w:rPr>
                <w:rFonts w:ascii="Verdana" w:hAnsi="Verdana"/>
                <w:sz w:val="16"/>
                <w:szCs w:val="16"/>
              </w:rPr>
              <w:t xml:space="preserve">; 1 </w:t>
            </w:r>
            <w:proofErr w:type="spellStart"/>
            <w:r w:rsidRPr="00F01347">
              <w:rPr>
                <w:rFonts w:ascii="Verdana" w:hAnsi="Verdana"/>
                <w:sz w:val="16"/>
                <w:szCs w:val="16"/>
              </w:rPr>
              <w:t>mL</w:t>
            </w:r>
            <w:proofErr w:type="spellEnd"/>
            <w:r w:rsidRPr="00F01347">
              <w:rPr>
                <w:rFonts w:ascii="Verdana" w:hAnsi="Verdana"/>
                <w:sz w:val="16"/>
                <w:szCs w:val="16"/>
              </w:rPr>
              <w:t>=100 µg N=122 µg NH</w:t>
            </w:r>
            <w:r w:rsidRPr="00F01347">
              <w:rPr>
                <w:rFonts w:ascii="Verdana" w:hAnsi="Verdana"/>
                <w:sz w:val="16"/>
                <w:szCs w:val="16"/>
                <w:vertAlign w:val="subscript"/>
              </w:rPr>
              <w:t>3</w:t>
            </w:r>
          </w:p>
        </w:tc>
        <w:tc>
          <w:tcPr>
            <w:tcW w:w="4675" w:type="dxa"/>
          </w:tcPr>
          <w:p w14:paraId="118DF7AF" w14:textId="407E1EE6" w:rsidR="00441828" w:rsidRPr="00F01347" w:rsidRDefault="00441828" w:rsidP="00441828">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Concentrated standard ammonium solution. </w:t>
            </w:r>
            <w:r w:rsidRPr="00F01347">
              <w:rPr>
                <w:rFonts w:ascii="Verdana" w:hAnsi="Verdana"/>
                <w:sz w:val="16"/>
                <w:szCs w:val="16"/>
                <w:lang w:val="en-US"/>
              </w:rPr>
              <w:t xml:space="preserve">Dissolve 381.9 mg of anhydrous NH </w:t>
            </w:r>
            <w:r w:rsidRPr="00F01347">
              <w:rPr>
                <w:rFonts w:ascii="Verdana" w:hAnsi="Verdana"/>
                <w:sz w:val="16"/>
                <w:szCs w:val="16"/>
                <w:vertAlign w:val="subscript"/>
                <w:lang w:val="en-US"/>
              </w:rPr>
              <w:t xml:space="preserve">4 </w:t>
            </w:r>
            <w:r w:rsidRPr="00F01347">
              <w:rPr>
                <w:rFonts w:ascii="Verdana" w:hAnsi="Verdana"/>
                <w:sz w:val="16"/>
                <w:szCs w:val="16"/>
                <w:lang w:val="en-US"/>
              </w:rPr>
              <w:t xml:space="preserve">CL, dried at 100 °C, in reagent water and dilute to 1,000 </w:t>
            </w:r>
            <w:proofErr w:type="gramStart"/>
            <w:r w:rsidRPr="00F01347">
              <w:rPr>
                <w:rFonts w:ascii="Verdana" w:hAnsi="Verdana"/>
                <w:sz w:val="16"/>
                <w:szCs w:val="16"/>
                <w:lang w:val="en-US"/>
              </w:rPr>
              <w:t>mL ;</w:t>
            </w:r>
            <w:proofErr w:type="gramEnd"/>
            <w:r w:rsidRPr="00F01347">
              <w:rPr>
                <w:rFonts w:ascii="Verdana" w:hAnsi="Verdana"/>
                <w:sz w:val="16"/>
                <w:szCs w:val="16"/>
                <w:lang w:val="en-US"/>
              </w:rPr>
              <w:t xml:space="preserve"> 1 mL =100 µg N=122 µg NH</w:t>
            </w:r>
            <w:r w:rsidRPr="00F01347">
              <w:rPr>
                <w:rFonts w:ascii="Verdana" w:hAnsi="Verdana"/>
                <w:sz w:val="16"/>
                <w:szCs w:val="16"/>
                <w:vertAlign w:val="subscript"/>
                <w:lang w:val="en-US"/>
              </w:rPr>
              <w:t>3</w:t>
            </w:r>
          </w:p>
        </w:tc>
      </w:tr>
      <w:tr w:rsidR="00441828" w:rsidRPr="00F01347" w14:paraId="73A10127" w14:textId="1722E044" w:rsidTr="00A57A94">
        <w:tc>
          <w:tcPr>
            <w:tcW w:w="4675" w:type="dxa"/>
          </w:tcPr>
          <w:p w14:paraId="4A7B34AF" w14:textId="77777777" w:rsidR="00441828" w:rsidRPr="00F01347" w:rsidRDefault="00441828" w:rsidP="00441828">
            <w:pPr>
              <w:pStyle w:val="texto0"/>
              <w:spacing w:line="224" w:lineRule="exact"/>
              <w:ind w:firstLine="0"/>
              <w:rPr>
                <w:rFonts w:ascii="Verdana" w:hAnsi="Verdana"/>
                <w:b/>
                <w:sz w:val="16"/>
                <w:szCs w:val="16"/>
              </w:rPr>
            </w:pPr>
            <w:r w:rsidRPr="00F01347">
              <w:rPr>
                <w:rFonts w:ascii="Verdana" w:hAnsi="Verdana"/>
                <w:b/>
                <w:sz w:val="16"/>
                <w:szCs w:val="16"/>
              </w:rPr>
              <w:t>Solución patrón de trabajo de amonio</w:t>
            </w:r>
            <w:r w:rsidRPr="00F01347">
              <w:rPr>
                <w:rFonts w:ascii="Verdana" w:hAnsi="Verdana"/>
                <w:sz w:val="16"/>
                <w:szCs w:val="16"/>
              </w:rPr>
              <w:t xml:space="preserve">. Diluir 5 </w:t>
            </w:r>
            <w:proofErr w:type="spellStart"/>
            <w:r w:rsidRPr="00F01347">
              <w:rPr>
                <w:rFonts w:ascii="Verdana" w:hAnsi="Verdana"/>
                <w:sz w:val="16"/>
                <w:szCs w:val="16"/>
              </w:rPr>
              <w:t>mL</w:t>
            </w:r>
            <w:proofErr w:type="spellEnd"/>
            <w:r w:rsidRPr="00F01347">
              <w:rPr>
                <w:rFonts w:ascii="Verdana" w:hAnsi="Verdana"/>
                <w:sz w:val="16"/>
                <w:szCs w:val="16"/>
              </w:rPr>
              <w:t xml:space="preserve"> de la solución concentrada de amonio en 1 000 </w:t>
            </w:r>
            <w:proofErr w:type="spellStart"/>
            <w:r w:rsidRPr="00F01347">
              <w:rPr>
                <w:rFonts w:ascii="Verdana" w:hAnsi="Verdana"/>
                <w:sz w:val="16"/>
                <w:szCs w:val="16"/>
              </w:rPr>
              <w:t>mL</w:t>
            </w:r>
            <w:proofErr w:type="spellEnd"/>
            <w:r w:rsidRPr="00F01347">
              <w:rPr>
                <w:rFonts w:ascii="Verdana" w:hAnsi="Verdana"/>
                <w:sz w:val="16"/>
                <w:szCs w:val="16"/>
              </w:rPr>
              <w:t xml:space="preserve"> de agua reactivo; 1 </w:t>
            </w:r>
            <w:proofErr w:type="spellStart"/>
            <w:r w:rsidRPr="00F01347">
              <w:rPr>
                <w:rFonts w:ascii="Verdana" w:hAnsi="Verdana"/>
                <w:sz w:val="16"/>
                <w:szCs w:val="16"/>
              </w:rPr>
              <w:t>mL</w:t>
            </w:r>
            <w:proofErr w:type="spellEnd"/>
            <w:r w:rsidRPr="00F01347">
              <w:rPr>
                <w:rFonts w:ascii="Verdana" w:hAnsi="Verdana"/>
                <w:sz w:val="16"/>
                <w:szCs w:val="16"/>
              </w:rPr>
              <w:t>= 0.500 µg N=0.610 µg NH</w:t>
            </w:r>
            <w:r w:rsidRPr="00F01347">
              <w:rPr>
                <w:rFonts w:ascii="Verdana" w:hAnsi="Verdana"/>
                <w:sz w:val="16"/>
                <w:szCs w:val="16"/>
                <w:vertAlign w:val="subscript"/>
              </w:rPr>
              <w:t>3</w:t>
            </w:r>
          </w:p>
        </w:tc>
        <w:tc>
          <w:tcPr>
            <w:tcW w:w="4675" w:type="dxa"/>
          </w:tcPr>
          <w:p w14:paraId="30024DD9" w14:textId="41743BBD" w:rsidR="00441828" w:rsidRPr="00F01347" w:rsidRDefault="00441828" w:rsidP="00441828">
            <w:pPr>
              <w:pStyle w:val="texto0"/>
              <w:spacing w:line="224" w:lineRule="exact"/>
              <w:ind w:firstLine="0"/>
              <w:rPr>
                <w:rFonts w:ascii="Verdana" w:hAnsi="Verdana"/>
                <w:b/>
                <w:sz w:val="16"/>
                <w:szCs w:val="16"/>
                <w:lang w:val="en-US"/>
              </w:rPr>
            </w:pPr>
            <w:r w:rsidRPr="00F01347">
              <w:rPr>
                <w:rFonts w:ascii="Verdana" w:hAnsi="Verdana"/>
                <w:b/>
                <w:sz w:val="16"/>
                <w:szCs w:val="16"/>
                <w:lang w:val="en-US"/>
              </w:rPr>
              <w:t>Ammonium working standard solution</w:t>
            </w:r>
            <w:r w:rsidR="003E1BA9" w:rsidRPr="00F01347">
              <w:rPr>
                <w:rFonts w:ascii="Verdana" w:hAnsi="Verdana"/>
                <w:b/>
                <w:sz w:val="16"/>
                <w:szCs w:val="16"/>
                <w:lang w:val="en-US"/>
              </w:rPr>
              <w:t>.</w:t>
            </w:r>
            <w:r w:rsidRPr="00F01347">
              <w:rPr>
                <w:rFonts w:ascii="Verdana" w:hAnsi="Verdana"/>
                <w:sz w:val="16"/>
                <w:szCs w:val="16"/>
                <w:lang w:val="en-US"/>
              </w:rPr>
              <w:t xml:space="preserve"> Dilute 5 mL of the concentrated ammonium solution in 1,000 mL of reagent water; 1 mL = 0.500 µg N=0.610 µg NH</w:t>
            </w:r>
            <w:r w:rsidRPr="00F01347">
              <w:rPr>
                <w:rFonts w:ascii="Verdana" w:hAnsi="Verdana"/>
                <w:sz w:val="16"/>
                <w:szCs w:val="16"/>
                <w:vertAlign w:val="subscript"/>
                <w:lang w:val="en-US"/>
              </w:rPr>
              <w:t>3</w:t>
            </w:r>
          </w:p>
        </w:tc>
      </w:tr>
      <w:tr w:rsidR="00441828" w:rsidRPr="00F01347" w14:paraId="1FB7D6E4" w14:textId="0EDAEAA9" w:rsidTr="00A57A94">
        <w:tc>
          <w:tcPr>
            <w:tcW w:w="4675" w:type="dxa"/>
          </w:tcPr>
          <w:p w14:paraId="02B61E5F" w14:textId="77777777" w:rsidR="00441828" w:rsidRPr="00F01347" w:rsidRDefault="00441828" w:rsidP="00441828">
            <w:pPr>
              <w:pStyle w:val="texto0"/>
              <w:spacing w:line="224" w:lineRule="exact"/>
              <w:ind w:firstLine="0"/>
              <w:rPr>
                <w:rFonts w:ascii="Verdana" w:hAnsi="Verdana"/>
                <w:sz w:val="16"/>
                <w:szCs w:val="16"/>
              </w:rPr>
            </w:pPr>
            <w:r w:rsidRPr="00F01347">
              <w:rPr>
                <w:rFonts w:ascii="Verdana" w:hAnsi="Verdana"/>
                <w:b/>
                <w:sz w:val="16"/>
                <w:szCs w:val="16"/>
              </w:rPr>
              <w:t>Disolución de sulfato manganoso (</w:t>
            </w:r>
            <w:r w:rsidRPr="00F01347">
              <w:rPr>
                <w:rFonts w:ascii="Verdana" w:hAnsi="Verdana"/>
                <w:sz w:val="16"/>
                <w:szCs w:val="16"/>
              </w:rPr>
              <w:t>MnSO</w:t>
            </w:r>
            <w:r w:rsidRPr="00F01347">
              <w:rPr>
                <w:rFonts w:ascii="Verdana" w:hAnsi="Verdana"/>
                <w:sz w:val="16"/>
                <w:szCs w:val="16"/>
                <w:vertAlign w:val="subscript"/>
              </w:rPr>
              <w:t>4</w:t>
            </w:r>
            <w:r w:rsidRPr="00F01347">
              <w:rPr>
                <w:rFonts w:ascii="Verdana" w:hAnsi="Verdana"/>
                <w:sz w:val="16"/>
                <w:szCs w:val="16"/>
              </w:rPr>
              <w:t>·H</w:t>
            </w:r>
            <w:r w:rsidRPr="00F01347">
              <w:rPr>
                <w:rFonts w:ascii="Verdana" w:hAnsi="Verdana"/>
                <w:sz w:val="16"/>
                <w:szCs w:val="16"/>
                <w:vertAlign w:val="subscript"/>
              </w:rPr>
              <w:t>2</w:t>
            </w:r>
            <w:r w:rsidRPr="00F01347">
              <w:rPr>
                <w:rFonts w:ascii="Verdana" w:hAnsi="Verdana"/>
                <w:sz w:val="16"/>
                <w:szCs w:val="16"/>
              </w:rPr>
              <w:t>O</w:t>
            </w:r>
            <w:r w:rsidRPr="00F01347">
              <w:rPr>
                <w:rFonts w:ascii="Verdana" w:hAnsi="Verdana"/>
                <w:b/>
                <w:sz w:val="16"/>
                <w:szCs w:val="16"/>
              </w:rPr>
              <w:t>) 0.003 M</w:t>
            </w:r>
            <w:r w:rsidRPr="00F01347">
              <w:rPr>
                <w:rFonts w:ascii="Verdana" w:hAnsi="Verdana"/>
                <w:sz w:val="16"/>
                <w:szCs w:val="16"/>
              </w:rPr>
              <w:t>. Disolver 50 mg de sulfato manganoso (MnSO</w:t>
            </w:r>
            <w:r w:rsidRPr="00F01347">
              <w:rPr>
                <w:rFonts w:ascii="Verdana" w:hAnsi="Verdana"/>
                <w:sz w:val="16"/>
                <w:szCs w:val="16"/>
                <w:vertAlign w:val="subscript"/>
              </w:rPr>
              <w:t>4</w:t>
            </w:r>
            <w:r w:rsidRPr="00F01347">
              <w:rPr>
                <w:rFonts w:ascii="Verdana" w:hAnsi="Verdana"/>
                <w:sz w:val="16"/>
                <w:szCs w:val="16"/>
              </w:rPr>
              <w:t>·H</w:t>
            </w:r>
            <w:r w:rsidRPr="00F01347">
              <w:rPr>
                <w:rFonts w:ascii="Verdana" w:hAnsi="Verdana"/>
                <w:sz w:val="16"/>
                <w:szCs w:val="16"/>
                <w:vertAlign w:val="subscript"/>
              </w:rPr>
              <w:t>2</w:t>
            </w:r>
            <w:r w:rsidRPr="00F01347">
              <w:rPr>
                <w:rFonts w:ascii="Verdana" w:hAnsi="Verdana"/>
                <w:sz w:val="16"/>
                <w:szCs w:val="16"/>
              </w:rPr>
              <w:t xml:space="preserve">O) en 100 </w:t>
            </w:r>
            <w:proofErr w:type="spellStart"/>
            <w:r w:rsidRPr="00F01347">
              <w:rPr>
                <w:rFonts w:ascii="Verdana" w:hAnsi="Verdana"/>
                <w:sz w:val="16"/>
                <w:szCs w:val="16"/>
              </w:rPr>
              <w:t>mL</w:t>
            </w:r>
            <w:proofErr w:type="spellEnd"/>
            <w:r w:rsidRPr="00F01347">
              <w:rPr>
                <w:rFonts w:ascii="Verdana" w:hAnsi="Verdana"/>
                <w:sz w:val="16"/>
                <w:szCs w:val="16"/>
              </w:rPr>
              <w:t xml:space="preserve"> de agua</w:t>
            </w:r>
          </w:p>
        </w:tc>
        <w:tc>
          <w:tcPr>
            <w:tcW w:w="4675" w:type="dxa"/>
          </w:tcPr>
          <w:p w14:paraId="7F6900D9" w14:textId="6A0FF68E" w:rsidR="00441828" w:rsidRPr="00F01347" w:rsidRDefault="00441828" w:rsidP="00441828">
            <w:pPr>
              <w:pStyle w:val="texto0"/>
              <w:spacing w:line="224" w:lineRule="exact"/>
              <w:ind w:firstLine="0"/>
              <w:rPr>
                <w:rFonts w:ascii="Verdana" w:hAnsi="Verdana"/>
                <w:b/>
                <w:sz w:val="16"/>
                <w:szCs w:val="16"/>
                <w:lang w:val="en-US"/>
              </w:rPr>
            </w:pPr>
            <w:r w:rsidRPr="00F01347">
              <w:rPr>
                <w:rFonts w:ascii="Verdana" w:hAnsi="Verdana"/>
                <w:b/>
                <w:sz w:val="16"/>
                <w:szCs w:val="16"/>
                <w:lang w:val="en-US"/>
              </w:rPr>
              <w:t xml:space="preserve">Manganous sulfate solution </w:t>
            </w:r>
            <w:r w:rsidR="00CB209C" w:rsidRPr="00F01347">
              <w:rPr>
                <w:rFonts w:ascii="Verdana" w:hAnsi="Verdana"/>
                <w:b/>
                <w:sz w:val="16"/>
                <w:szCs w:val="16"/>
                <w:lang w:val="en-US"/>
              </w:rPr>
              <w:t>(</w:t>
            </w:r>
            <w:r w:rsidRPr="00F01347">
              <w:rPr>
                <w:rFonts w:ascii="Verdana" w:hAnsi="Verdana"/>
                <w:sz w:val="16"/>
                <w:szCs w:val="16"/>
                <w:lang w:val="en-US"/>
              </w:rPr>
              <w:t>MnSO</w:t>
            </w:r>
            <w:r w:rsidRPr="00F01347">
              <w:rPr>
                <w:rFonts w:ascii="Verdana" w:hAnsi="Verdana"/>
                <w:sz w:val="16"/>
                <w:szCs w:val="16"/>
                <w:vertAlign w:val="subscript"/>
                <w:lang w:val="en-US"/>
              </w:rPr>
              <w:t xml:space="preserve">4 </w:t>
            </w:r>
            <w:r w:rsidRPr="00F01347">
              <w:rPr>
                <w:rFonts w:ascii="Verdana" w:hAnsi="Verdana"/>
                <w:sz w:val="16"/>
                <w:szCs w:val="16"/>
                <w:lang w:val="en-US"/>
              </w:rPr>
              <w:t>·H</w:t>
            </w:r>
            <w:r w:rsidRPr="00F01347">
              <w:rPr>
                <w:rFonts w:ascii="Verdana" w:hAnsi="Verdana"/>
                <w:sz w:val="16"/>
                <w:szCs w:val="16"/>
                <w:vertAlign w:val="subscript"/>
                <w:lang w:val="en-US"/>
              </w:rPr>
              <w:t xml:space="preserve">2 </w:t>
            </w:r>
            <w:r w:rsidRPr="00F01347">
              <w:rPr>
                <w:rFonts w:ascii="Verdana" w:hAnsi="Verdana"/>
                <w:sz w:val="16"/>
                <w:szCs w:val="16"/>
                <w:lang w:val="en-US"/>
              </w:rPr>
              <w:t>O</w:t>
            </w:r>
            <w:r w:rsidR="00913802" w:rsidRPr="00F01347">
              <w:rPr>
                <w:rFonts w:ascii="Verdana" w:hAnsi="Verdana"/>
                <w:sz w:val="16"/>
                <w:szCs w:val="16"/>
                <w:lang w:val="en-US"/>
              </w:rPr>
              <w:t>)</w:t>
            </w:r>
            <w:r w:rsidRPr="00F01347">
              <w:rPr>
                <w:rFonts w:ascii="Verdana" w:hAnsi="Verdana"/>
                <w:b/>
                <w:sz w:val="16"/>
                <w:szCs w:val="16"/>
                <w:lang w:val="en-US"/>
              </w:rPr>
              <w:t xml:space="preserve"> 0.003 </w:t>
            </w:r>
            <w:r w:rsidRPr="00F01347">
              <w:rPr>
                <w:rFonts w:ascii="Verdana" w:hAnsi="Verdana"/>
                <w:b/>
                <w:bCs/>
                <w:sz w:val="16"/>
                <w:szCs w:val="16"/>
                <w:lang w:val="en-US"/>
              </w:rPr>
              <w:t>M</w:t>
            </w:r>
            <w:r w:rsidRPr="00F01347">
              <w:rPr>
                <w:rFonts w:ascii="Verdana" w:hAnsi="Verdana"/>
                <w:sz w:val="16"/>
                <w:szCs w:val="16"/>
                <w:lang w:val="en-US"/>
              </w:rPr>
              <w:t>. Dissolve 50 mg of manganous sulfate (MnSO</w:t>
            </w:r>
            <w:r w:rsidRPr="00F01347">
              <w:rPr>
                <w:rFonts w:ascii="Verdana" w:hAnsi="Verdana"/>
                <w:sz w:val="16"/>
                <w:szCs w:val="16"/>
                <w:vertAlign w:val="subscript"/>
                <w:lang w:val="en-US"/>
              </w:rPr>
              <w:t xml:space="preserve">4 </w:t>
            </w:r>
            <w:r w:rsidRPr="00F01347">
              <w:rPr>
                <w:rFonts w:ascii="Verdana" w:hAnsi="Verdana"/>
                <w:sz w:val="16"/>
                <w:szCs w:val="16"/>
                <w:lang w:val="en-US"/>
              </w:rPr>
              <w:t>·H</w:t>
            </w:r>
            <w:r w:rsidRPr="00F01347">
              <w:rPr>
                <w:rFonts w:ascii="Verdana" w:hAnsi="Verdana"/>
                <w:sz w:val="16"/>
                <w:szCs w:val="16"/>
                <w:vertAlign w:val="subscript"/>
                <w:lang w:val="en-US"/>
              </w:rPr>
              <w:t xml:space="preserve">2 </w:t>
            </w:r>
            <w:r w:rsidRPr="00F01347">
              <w:rPr>
                <w:rFonts w:ascii="Verdana" w:hAnsi="Verdana"/>
                <w:sz w:val="16"/>
                <w:szCs w:val="16"/>
                <w:lang w:val="en-US"/>
              </w:rPr>
              <w:t>O) in 100 mL of water</w:t>
            </w:r>
          </w:p>
        </w:tc>
      </w:tr>
      <w:tr w:rsidR="00441828" w:rsidRPr="00F01347" w14:paraId="3A376736" w14:textId="4512FA35" w:rsidTr="00A57A94">
        <w:tc>
          <w:tcPr>
            <w:tcW w:w="4675" w:type="dxa"/>
          </w:tcPr>
          <w:p w14:paraId="6ABB9B08" w14:textId="77777777" w:rsidR="00441828" w:rsidRPr="00F01347" w:rsidRDefault="00441828" w:rsidP="00441828">
            <w:pPr>
              <w:pStyle w:val="texto0"/>
              <w:spacing w:line="224" w:lineRule="exact"/>
              <w:ind w:firstLine="0"/>
              <w:rPr>
                <w:rFonts w:ascii="Verdana" w:hAnsi="Verdana"/>
                <w:b/>
                <w:sz w:val="16"/>
                <w:szCs w:val="16"/>
              </w:rPr>
            </w:pPr>
            <w:r w:rsidRPr="00F01347">
              <w:rPr>
                <w:rFonts w:ascii="Verdana" w:hAnsi="Verdana"/>
                <w:b/>
                <w:sz w:val="16"/>
                <w:szCs w:val="16"/>
              </w:rPr>
              <w:t>B.7.3.5 Procedimiento</w:t>
            </w:r>
          </w:p>
        </w:tc>
        <w:tc>
          <w:tcPr>
            <w:tcW w:w="4675" w:type="dxa"/>
          </w:tcPr>
          <w:p w14:paraId="04158B0A" w14:textId="542B9833" w:rsidR="00441828" w:rsidRPr="00F01347" w:rsidRDefault="00441828" w:rsidP="00441828">
            <w:pPr>
              <w:pStyle w:val="texto0"/>
              <w:spacing w:line="224" w:lineRule="exact"/>
              <w:ind w:firstLine="0"/>
              <w:rPr>
                <w:rFonts w:ascii="Verdana" w:hAnsi="Verdana"/>
                <w:b/>
                <w:sz w:val="16"/>
                <w:szCs w:val="16"/>
                <w:lang w:val="en-US"/>
              </w:rPr>
            </w:pPr>
            <w:r w:rsidRPr="00F01347">
              <w:rPr>
                <w:rFonts w:ascii="Verdana" w:hAnsi="Verdana"/>
                <w:b/>
                <w:sz w:val="16"/>
                <w:szCs w:val="16"/>
                <w:lang w:val="en-US"/>
              </w:rPr>
              <w:t>B.7.3.5 Procedure</w:t>
            </w:r>
          </w:p>
        </w:tc>
      </w:tr>
      <w:tr w:rsidR="00441828" w:rsidRPr="00F01347" w14:paraId="009DE21D" w14:textId="4D448C34" w:rsidTr="00A57A94">
        <w:tc>
          <w:tcPr>
            <w:tcW w:w="4675" w:type="dxa"/>
          </w:tcPr>
          <w:p w14:paraId="7A7F4C45" w14:textId="77777777" w:rsidR="00441828" w:rsidRPr="00F01347" w:rsidRDefault="00441828" w:rsidP="00441828">
            <w:pPr>
              <w:pStyle w:val="texto0"/>
              <w:spacing w:line="224" w:lineRule="exact"/>
              <w:ind w:firstLine="0"/>
              <w:rPr>
                <w:rFonts w:ascii="Verdana" w:hAnsi="Verdana"/>
                <w:b/>
                <w:sz w:val="16"/>
                <w:szCs w:val="16"/>
              </w:rPr>
            </w:pPr>
            <w:r w:rsidRPr="00F01347">
              <w:rPr>
                <w:rFonts w:ascii="Verdana" w:hAnsi="Verdana"/>
                <w:b/>
                <w:sz w:val="16"/>
                <w:szCs w:val="16"/>
              </w:rPr>
              <w:t>B.7.3.5.1 Procedimiento analítico</w:t>
            </w:r>
          </w:p>
        </w:tc>
        <w:tc>
          <w:tcPr>
            <w:tcW w:w="4675" w:type="dxa"/>
          </w:tcPr>
          <w:p w14:paraId="59C3775D" w14:textId="277AC20F" w:rsidR="00441828" w:rsidRPr="00F01347" w:rsidRDefault="00441828" w:rsidP="00441828">
            <w:pPr>
              <w:pStyle w:val="texto0"/>
              <w:spacing w:line="224" w:lineRule="exact"/>
              <w:ind w:firstLine="0"/>
              <w:rPr>
                <w:rFonts w:ascii="Verdana" w:hAnsi="Verdana"/>
                <w:b/>
                <w:sz w:val="16"/>
                <w:szCs w:val="16"/>
                <w:lang w:val="en-US"/>
              </w:rPr>
            </w:pPr>
            <w:r w:rsidRPr="00F01347">
              <w:rPr>
                <w:rFonts w:ascii="Verdana" w:hAnsi="Verdana"/>
                <w:b/>
                <w:sz w:val="16"/>
                <w:szCs w:val="16"/>
                <w:lang w:val="en-US"/>
              </w:rPr>
              <w:t>B.7.3.5.1 Analytical procedure</w:t>
            </w:r>
          </w:p>
        </w:tc>
      </w:tr>
      <w:tr w:rsidR="00441828" w:rsidRPr="00F01347" w14:paraId="22F685D5" w14:textId="156EADE9" w:rsidTr="00A57A94">
        <w:tc>
          <w:tcPr>
            <w:tcW w:w="4675" w:type="dxa"/>
          </w:tcPr>
          <w:p w14:paraId="43F82D81" w14:textId="77777777" w:rsidR="00441828" w:rsidRPr="00F01347" w:rsidRDefault="00441828" w:rsidP="00441828">
            <w:pPr>
              <w:pStyle w:val="texto0"/>
              <w:spacing w:line="224" w:lineRule="exact"/>
              <w:ind w:firstLine="0"/>
              <w:rPr>
                <w:rFonts w:ascii="Verdana" w:hAnsi="Verdana"/>
                <w:sz w:val="16"/>
                <w:szCs w:val="16"/>
              </w:rPr>
            </w:pPr>
            <w:r w:rsidRPr="00F01347">
              <w:rPr>
                <w:rFonts w:ascii="Verdana" w:hAnsi="Verdana"/>
                <w:sz w:val="16"/>
                <w:szCs w:val="16"/>
              </w:rPr>
              <w:t xml:space="preserve">A una muestra de 10 </w:t>
            </w:r>
            <w:proofErr w:type="spellStart"/>
            <w:r w:rsidRPr="00F01347">
              <w:rPr>
                <w:rFonts w:ascii="Verdana" w:hAnsi="Verdana"/>
                <w:sz w:val="16"/>
                <w:szCs w:val="16"/>
              </w:rPr>
              <w:t>mL</w:t>
            </w:r>
            <w:proofErr w:type="spellEnd"/>
            <w:r w:rsidRPr="00F01347">
              <w:rPr>
                <w:rFonts w:ascii="Verdana" w:hAnsi="Verdana"/>
                <w:sz w:val="16"/>
                <w:szCs w:val="16"/>
              </w:rPr>
              <w:t xml:space="preserve"> contenida en un vaso de precipitados de 50 </w:t>
            </w:r>
            <w:proofErr w:type="spellStart"/>
            <w:r w:rsidRPr="00F01347">
              <w:rPr>
                <w:rFonts w:ascii="Verdana" w:hAnsi="Verdana"/>
                <w:sz w:val="16"/>
                <w:szCs w:val="16"/>
              </w:rPr>
              <w:t>mL</w:t>
            </w:r>
            <w:proofErr w:type="spellEnd"/>
            <w:r w:rsidRPr="00F01347">
              <w:rPr>
                <w:rFonts w:ascii="Verdana" w:hAnsi="Verdana"/>
                <w:sz w:val="16"/>
                <w:szCs w:val="16"/>
              </w:rPr>
              <w:t xml:space="preserve"> añadir una gota (0.05mL) de disolución MnSO</w:t>
            </w:r>
            <w:r w:rsidRPr="00F01347">
              <w:rPr>
                <w:rFonts w:ascii="Verdana" w:hAnsi="Verdana"/>
                <w:sz w:val="16"/>
                <w:szCs w:val="16"/>
                <w:vertAlign w:val="subscript"/>
              </w:rPr>
              <w:t>4</w:t>
            </w:r>
            <w:r w:rsidRPr="00F01347">
              <w:rPr>
                <w:rFonts w:ascii="Verdana" w:hAnsi="Verdana"/>
                <w:sz w:val="16"/>
                <w:szCs w:val="16"/>
              </w:rPr>
              <w:t xml:space="preserve">. Colocar sobre un agitador magnético y añadir 0.5 </w:t>
            </w:r>
            <w:proofErr w:type="spellStart"/>
            <w:r w:rsidRPr="00F01347">
              <w:rPr>
                <w:rFonts w:ascii="Verdana" w:hAnsi="Verdana"/>
                <w:sz w:val="16"/>
                <w:szCs w:val="16"/>
              </w:rPr>
              <w:t>mL</w:t>
            </w:r>
            <w:proofErr w:type="spellEnd"/>
            <w:r w:rsidRPr="00F01347">
              <w:rPr>
                <w:rFonts w:ascii="Verdana" w:hAnsi="Verdana"/>
                <w:sz w:val="16"/>
                <w:szCs w:val="16"/>
              </w:rPr>
              <w:t xml:space="preserve"> de disolución de ácido hipocloroso. Inmediatamente añadir por goteo 0.6 </w:t>
            </w:r>
            <w:proofErr w:type="spellStart"/>
            <w:r w:rsidRPr="00F01347">
              <w:rPr>
                <w:rFonts w:ascii="Verdana" w:hAnsi="Verdana"/>
                <w:sz w:val="16"/>
                <w:szCs w:val="16"/>
              </w:rPr>
              <w:t>mL</w:t>
            </w:r>
            <w:proofErr w:type="spellEnd"/>
            <w:r w:rsidRPr="00F01347">
              <w:rPr>
                <w:rFonts w:ascii="Verdana" w:hAnsi="Verdana"/>
                <w:sz w:val="16"/>
                <w:szCs w:val="16"/>
              </w:rPr>
              <w:t xml:space="preserve"> de reactivo de </w:t>
            </w:r>
            <w:proofErr w:type="spellStart"/>
            <w:r w:rsidRPr="00F01347">
              <w:rPr>
                <w:rFonts w:ascii="Verdana" w:hAnsi="Verdana"/>
                <w:sz w:val="16"/>
                <w:szCs w:val="16"/>
              </w:rPr>
              <w:t>fenato</w:t>
            </w:r>
            <w:proofErr w:type="spellEnd"/>
            <w:r w:rsidRPr="00F01347">
              <w:rPr>
                <w:rFonts w:ascii="Verdana" w:hAnsi="Verdana"/>
                <w:sz w:val="16"/>
                <w:szCs w:val="16"/>
              </w:rPr>
              <w:t>.</w:t>
            </w:r>
          </w:p>
        </w:tc>
        <w:tc>
          <w:tcPr>
            <w:tcW w:w="4675" w:type="dxa"/>
          </w:tcPr>
          <w:p w14:paraId="52127B3E" w14:textId="6CE54E40" w:rsidR="00441828" w:rsidRPr="00F01347" w:rsidRDefault="009740E5" w:rsidP="00441828">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To a </w:t>
            </w:r>
            <w:r w:rsidR="00441828" w:rsidRPr="00F01347">
              <w:rPr>
                <w:rFonts w:ascii="Verdana" w:hAnsi="Verdana"/>
                <w:sz w:val="16"/>
                <w:szCs w:val="16"/>
                <w:lang w:val="en-US"/>
              </w:rPr>
              <w:t>mL sample contained in a 50 mL beaker, add a drop (0.05 mL) of MnSO</w:t>
            </w:r>
            <w:r w:rsidR="00441828" w:rsidRPr="00F01347">
              <w:rPr>
                <w:rFonts w:ascii="Verdana" w:hAnsi="Verdana"/>
                <w:sz w:val="16"/>
                <w:szCs w:val="16"/>
                <w:vertAlign w:val="subscript"/>
                <w:lang w:val="en-US"/>
              </w:rPr>
              <w:t xml:space="preserve">4 </w:t>
            </w:r>
            <w:r w:rsidR="00441828" w:rsidRPr="00F01347">
              <w:rPr>
                <w:rFonts w:ascii="Verdana" w:hAnsi="Verdana"/>
                <w:sz w:val="16"/>
                <w:szCs w:val="16"/>
                <w:lang w:val="en-US"/>
              </w:rPr>
              <w:t>solution</w:t>
            </w:r>
            <w:r w:rsidR="003E1BA9" w:rsidRPr="00F01347">
              <w:rPr>
                <w:rFonts w:ascii="Verdana" w:hAnsi="Verdana"/>
                <w:sz w:val="16"/>
                <w:szCs w:val="16"/>
                <w:lang w:val="en-US"/>
              </w:rPr>
              <w:t>.</w:t>
            </w:r>
            <w:r w:rsidR="00441828" w:rsidRPr="00F01347">
              <w:rPr>
                <w:rFonts w:ascii="Verdana" w:hAnsi="Verdana"/>
                <w:sz w:val="16"/>
                <w:szCs w:val="16"/>
                <w:lang w:val="en-US"/>
              </w:rPr>
              <w:t xml:space="preserve"> Place on a magnetic stirrer and add 0.5 mL of hypochlorous acid solution. Immediately add 0.6 mL of phenate reagent dropwise</w:t>
            </w:r>
            <w:r w:rsidR="003E1BA9" w:rsidRPr="00F01347">
              <w:rPr>
                <w:rFonts w:ascii="Verdana" w:hAnsi="Verdana"/>
                <w:sz w:val="16"/>
                <w:szCs w:val="16"/>
                <w:lang w:val="en-US"/>
              </w:rPr>
              <w:t>.</w:t>
            </w:r>
          </w:p>
        </w:tc>
      </w:tr>
      <w:tr w:rsidR="00441828" w:rsidRPr="00F01347" w14:paraId="4BB87226" w14:textId="54C5F082" w:rsidTr="00A57A94">
        <w:tc>
          <w:tcPr>
            <w:tcW w:w="4675" w:type="dxa"/>
          </w:tcPr>
          <w:p w14:paraId="667904C2" w14:textId="77777777" w:rsidR="00441828" w:rsidRPr="00F01347" w:rsidRDefault="00441828" w:rsidP="00441828">
            <w:pPr>
              <w:pStyle w:val="texto0"/>
              <w:spacing w:line="224" w:lineRule="exact"/>
              <w:ind w:firstLine="0"/>
              <w:rPr>
                <w:rFonts w:ascii="Verdana" w:hAnsi="Verdana"/>
                <w:sz w:val="16"/>
                <w:szCs w:val="16"/>
              </w:rPr>
            </w:pPr>
            <w:r w:rsidRPr="00F01347">
              <w:rPr>
                <w:rFonts w:ascii="Verdana" w:hAnsi="Verdana"/>
                <w:sz w:val="16"/>
                <w:szCs w:val="16"/>
              </w:rPr>
              <w:t xml:space="preserve">Añadir el reactivo sin tardarse utilizando una pipeta </w:t>
            </w:r>
            <w:proofErr w:type="spellStart"/>
            <w:r w:rsidRPr="00F01347">
              <w:rPr>
                <w:rFonts w:ascii="Verdana" w:hAnsi="Verdana"/>
                <w:sz w:val="16"/>
                <w:szCs w:val="16"/>
              </w:rPr>
              <w:t>beral</w:t>
            </w:r>
            <w:proofErr w:type="spellEnd"/>
            <w:r w:rsidRPr="00F01347">
              <w:rPr>
                <w:rFonts w:ascii="Verdana" w:hAnsi="Verdana"/>
                <w:sz w:val="16"/>
                <w:szCs w:val="16"/>
              </w:rPr>
              <w:t xml:space="preserve"> para una conveniente adición del reactivo. Marcar la pipeta para ácido hipocloroso al nivel de 0.5 </w:t>
            </w:r>
            <w:proofErr w:type="spellStart"/>
            <w:r w:rsidRPr="00F01347">
              <w:rPr>
                <w:rFonts w:ascii="Verdana" w:hAnsi="Verdana"/>
                <w:sz w:val="16"/>
                <w:szCs w:val="16"/>
              </w:rPr>
              <w:t>mL</w:t>
            </w:r>
            <w:proofErr w:type="spellEnd"/>
            <w:r w:rsidRPr="00F01347">
              <w:rPr>
                <w:rFonts w:ascii="Verdana" w:hAnsi="Verdana"/>
                <w:sz w:val="16"/>
                <w:szCs w:val="16"/>
              </w:rPr>
              <w:t xml:space="preserve"> y liberar el reactivo de </w:t>
            </w:r>
            <w:proofErr w:type="spellStart"/>
            <w:r w:rsidRPr="00F01347">
              <w:rPr>
                <w:rFonts w:ascii="Verdana" w:hAnsi="Verdana"/>
                <w:sz w:val="16"/>
                <w:szCs w:val="16"/>
              </w:rPr>
              <w:t>fenato</w:t>
            </w:r>
            <w:proofErr w:type="spellEnd"/>
            <w:r w:rsidRPr="00F01347">
              <w:rPr>
                <w:rFonts w:ascii="Verdana" w:hAnsi="Verdana"/>
                <w:sz w:val="16"/>
                <w:szCs w:val="16"/>
              </w:rPr>
              <w:t xml:space="preserve"> de la pipeta que ha sido calibrada contando el número de gotas previamente contadas que son equivalentes a un total de 0.6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48A8995F" w14:textId="2B7F2E81" w:rsidR="00441828" w:rsidRPr="00F01347" w:rsidRDefault="00441828" w:rsidP="00441828">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Add the reagent without delay using a </w:t>
            </w:r>
            <w:proofErr w:type="spellStart"/>
            <w:r w:rsidRPr="00F01347">
              <w:rPr>
                <w:rFonts w:ascii="Verdana" w:hAnsi="Verdana"/>
                <w:sz w:val="16"/>
                <w:szCs w:val="16"/>
                <w:lang w:val="en-US"/>
              </w:rPr>
              <w:t>beral</w:t>
            </w:r>
            <w:proofErr w:type="spellEnd"/>
            <w:r w:rsidRPr="00F01347">
              <w:rPr>
                <w:rFonts w:ascii="Verdana" w:hAnsi="Verdana"/>
                <w:sz w:val="16"/>
                <w:szCs w:val="16"/>
                <w:lang w:val="en-US"/>
              </w:rPr>
              <w:t xml:space="preserve"> pipette for convenient addition of the reagent. Mark the pipette for hypochlorous acid at the 0.5 mL level and release the phenate reagent from the pipette that has been calibrated by counting the number of previously counted drops that are equivalent to a total of 0.6 mL</w:t>
            </w:r>
            <w:r w:rsidR="003E1BA9" w:rsidRPr="00F01347">
              <w:rPr>
                <w:rFonts w:ascii="Verdana" w:hAnsi="Verdana"/>
                <w:sz w:val="16"/>
                <w:szCs w:val="16"/>
                <w:lang w:val="en-US"/>
              </w:rPr>
              <w:t>.</w:t>
            </w:r>
          </w:p>
        </w:tc>
      </w:tr>
      <w:tr w:rsidR="00441828" w:rsidRPr="00F01347" w14:paraId="5F996B73" w14:textId="603903E1" w:rsidTr="00A57A94">
        <w:tc>
          <w:tcPr>
            <w:tcW w:w="4675" w:type="dxa"/>
          </w:tcPr>
          <w:p w14:paraId="7DFFF651" w14:textId="77777777" w:rsidR="00441828" w:rsidRPr="00F01347" w:rsidRDefault="00441828" w:rsidP="00441828">
            <w:pPr>
              <w:pStyle w:val="texto0"/>
              <w:spacing w:line="224" w:lineRule="exact"/>
              <w:ind w:firstLine="0"/>
              <w:rPr>
                <w:rFonts w:ascii="Verdana" w:hAnsi="Verdana"/>
                <w:sz w:val="16"/>
                <w:szCs w:val="16"/>
              </w:rPr>
            </w:pPr>
            <w:r w:rsidRPr="00F01347">
              <w:rPr>
                <w:rFonts w:ascii="Verdana" w:hAnsi="Verdana"/>
                <w:sz w:val="16"/>
                <w:szCs w:val="16"/>
              </w:rPr>
              <w:t xml:space="preserve">Agitar vigorosamente durante la adición de los reactivos. Debido a que la intensidad del color es </w:t>
            </w:r>
            <w:proofErr w:type="gramStart"/>
            <w:r w:rsidRPr="00F01347">
              <w:rPr>
                <w:rFonts w:ascii="Verdana" w:hAnsi="Verdana"/>
                <w:sz w:val="16"/>
                <w:szCs w:val="16"/>
              </w:rPr>
              <w:t>afectado</w:t>
            </w:r>
            <w:proofErr w:type="gramEnd"/>
            <w:r w:rsidRPr="00F01347">
              <w:rPr>
                <w:rFonts w:ascii="Verdana" w:hAnsi="Verdana"/>
                <w:sz w:val="16"/>
                <w:szCs w:val="16"/>
              </w:rPr>
              <w:t xml:space="preserve"> por el tiempo que llevan preparados los reactivos, llevar un blanco y un estándar a través del procedimiento con cada lote de muestras. Medir la absorbancia utilizando un blanco de reactivos para establecer la lectura cero en el espectrofotómetro. La formación de color se completa en 10 minutos y es estable por al menos 24 horas. A pesar de que el color azul tiene un máximo de absorbancia a 630 nm, pueden realizarse determinaciones satisfactorias en la región de 600 a 660 nm.</w:t>
            </w:r>
          </w:p>
        </w:tc>
        <w:tc>
          <w:tcPr>
            <w:tcW w:w="4675" w:type="dxa"/>
          </w:tcPr>
          <w:p w14:paraId="0656C594" w14:textId="34071B12" w:rsidR="00441828" w:rsidRPr="00F01347" w:rsidRDefault="00441828" w:rsidP="00441828">
            <w:pPr>
              <w:pStyle w:val="texto0"/>
              <w:spacing w:line="224" w:lineRule="exact"/>
              <w:ind w:firstLine="0"/>
              <w:rPr>
                <w:rFonts w:ascii="Verdana" w:hAnsi="Verdana"/>
                <w:sz w:val="16"/>
                <w:szCs w:val="16"/>
                <w:lang w:val="en-US"/>
              </w:rPr>
            </w:pPr>
            <w:r w:rsidRPr="00F01347">
              <w:rPr>
                <w:rFonts w:ascii="Verdana" w:hAnsi="Verdana"/>
                <w:sz w:val="16"/>
                <w:szCs w:val="16"/>
                <w:lang w:val="en-US"/>
              </w:rPr>
              <w:t>Shake vigorously during addition of reagents. Because color intensity is affected by the length of time the reagents have been prepared, carry a blank and standard through the procedure with each batch of samples. Measure the absorbance using a reagent blank to establish the zero reading on the spectrophotometer. Color formation is complete in 10 minutes and is stable for at least 24 hours. Although the blue color has a maximum absorbance at 630 nm, satisfactory determinations can be made in the region of 600 to 660 nm.</w:t>
            </w:r>
          </w:p>
        </w:tc>
      </w:tr>
      <w:tr w:rsidR="00441828" w:rsidRPr="00F01347" w14:paraId="14C6A185" w14:textId="07EB64F7" w:rsidTr="00A57A94">
        <w:tc>
          <w:tcPr>
            <w:tcW w:w="4675" w:type="dxa"/>
          </w:tcPr>
          <w:p w14:paraId="1BBBF585" w14:textId="77777777" w:rsidR="00441828" w:rsidRPr="00F01347" w:rsidRDefault="00441828" w:rsidP="00441828">
            <w:pPr>
              <w:pStyle w:val="texto0"/>
              <w:ind w:firstLine="0"/>
              <w:rPr>
                <w:rFonts w:ascii="Verdana" w:hAnsi="Verdana"/>
                <w:sz w:val="16"/>
                <w:szCs w:val="16"/>
              </w:rPr>
            </w:pPr>
            <w:r w:rsidRPr="00F01347">
              <w:rPr>
                <w:rFonts w:ascii="Verdana" w:hAnsi="Verdana"/>
                <w:sz w:val="16"/>
                <w:szCs w:val="16"/>
              </w:rPr>
              <w:t>Preparar una curva de calibración en el intervalo de 0.1 a 5 µg de NH</w:t>
            </w:r>
            <w:r w:rsidRPr="00F01347">
              <w:rPr>
                <w:rFonts w:ascii="Verdana" w:hAnsi="Verdana"/>
                <w:sz w:val="16"/>
                <w:szCs w:val="16"/>
                <w:vertAlign w:val="subscript"/>
              </w:rPr>
              <w:t>3</w:t>
            </w:r>
            <w:r w:rsidRPr="00F01347">
              <w:rPr>
                <w:rFonts w:ascii="Verdana" w:hAnsi="Verdana"/>
                <w:sz w:val="16"/>
                <w:szCs w:val="16"/>
              </w:rPr>
              <w:t>-N, tratado los estándares de la misma manera que las muestras.</w:t>
            </w:r>
          </w:p>
        </w:tc>
        <w:tc>
          <w:tcPr>
            <w:tcW w:w="4675" w:type="dxa"/>
          </w:tcPr>
          <w:p w14:paraId="6C8D0F53" w14:textId="74D82517" w:rsidR="00441828" w:rsidRPr="00F01347" w:rsidRDefault="00441828" w:rsidP="00441828">
            <w:pPr>
              <w:pStyle w:val="texto0"/>
              <w:ind w:firstLine="0"/>
              <w:rPr>
                <w:rFonts w:ascii="Verdana" w:hAnsi="Verdana"/>
                <w:sz w:val="16"/>
                <w:szCs w:val="16"/>
                <w:lang w:val="en-US"/>
              </w:rPr>
            </w:pPr>
            <w:r w:rsidRPr="00F01347">
              <w:rPr>
                <w:rFonts w:ascii="Verdana" w:hAnsi="Verdana"/>
                <w:sz w:val="16"/>
                <w:szCs w:val="16"/>
                <w:lang w:val="en-US"/>
              </w:rPr>
              <w:t>Prepare a calibration curve in the range of 0.1 to 5 µg NH</w:t>
            </w:r>
            <w:r w:rsidRPr="00F01347">
              <w:rPr>
                <w:rFonts w:ascii="Verdana" w:hAnsi="Verdana"/>
                <w:sz w:val="16"/>
                <w:szCs w:val="16"/>
                <w:vertAlign w:val="subscript"/>
                <w:lang w:val="en-US"/>
              </w:rPr>
              <w:t>3</w:t>
            </w:r>
            <w:r w:rsidRPr="00F01347">
              <w:rPr>
                <w:rFonts w:ascii="Verdana" w:hAnsi="Verdana"/>
                <w:sz w:val="16"/>
                <w:szCs w:val="16"/>
                <w:lang w:val="en-US"/>
              </w:rPr>
              <w:t>-N, treating the standards in the same way as the samples.</w:t>
            </w:r>
          </w:p>
        </w:tc>
      </w:tr>
      <w:tr w:rsidR="00441828" w:rsidRPr="00F01347" w14:paraId="65C2351E" w14:textId="13C6F6BC" w:rsidTr="00A57A94">
        <w:tc>
          <w:tcPr>
            <w:tcW w:w="4675" w:type="dxa"/>
          </w:tcPr>
          <w:p w14:paraId="232F399E" w14:textId="77777777" w:rsidR="00441828" w:rsidRPr="00F01347" w:rsidRDefault="00441828" w:rsidP="00441828">
            <w:pPr>
              <w:pStyle w:val="texto0"/>
              <w:ind w:firstLine="0"/>
              <w:rPr>
                <w:rFonts w:ascii="Verdana" w:hAnsi="Verdana"/>
                <w:b/>
                <w:sz w:val="16"/>
                <w:szCs w:val="16"/>
              </w:rPr>
            </w:pPr>
            <w:r w:rsidRPr="00F01347">
              <w:rPr>
                <w:rFonts w:ascii="Verdana" w:hAnsi="Verdana"/>
                <w:b/>
                <w:sz w:val="16"/>
                <w:szCs w:val="16"/>
              </w:rPr>
              <w:t>B.7.3.5.2 Análisis de datos y cálculos</w:t>
            </w:r>
          </w:p>
        </w:tc>
        <w:tc>
          <w:tcPr>
            <w:tcW w:w="4675" w:type="dxa"/>
          </w:tcPr>
          <w:p w14:paraId="52F45706" w14:textId="7818976E" w:rsidR="00441828" w:rsidRPr="00F01347" w:rsidRDefault="00441828" w:rsidP="00441828">
            <w:pPr>
              <w:pStyle w:val="texto0"/>
              <w:ind w:firstLine="0"/>
              <w:rPr>
                <w:rFonts w:ascii="Verdana" w:hAnsi="Verdana"/>
                <w:b/>
                <w:sz w:val="16"/>
                <w:szCs w:val="16"/>
                <w:lang w:val="en-US"/>
              </w:rPr>
            </w:pPr>
            <w:r w:rsidRPr="00F01347">
              <w:rPr>
                <w:rFonts w:ascii="Verdana" w:hAnsi="Verdana"/>
                <w:b/>
                <w:sz w:val="16"/>
                <w:szCs w:val="16"/>
                <w:lang w:val="en-US"/>
              </w:rPr>
              <w:t>B.7.3.5.2 Data analysis and calculations</w:t>
            </w:r>
          </w:p>
        </w:tc>
      </w:tr>
      <w:tr w:rsidR="00441828" w:rsidRPr="00F01347" w14:paraId="58309627" w14:textId="4EDCB4CD" w:rsidTr="00A57A94">
        <w:tc>
          <w:tcPr>
            <w:tcW w:w="4675" w:type="dxa"/>
          </w:tcPr>
          <w:p w14:paraId="667CAE1E" w14:textId="77777777" w:rsidR="00441828" w:rsidRPr="00F01347" w:rsidRDefault="00441828" w:rsidP="00441828">
            <w:pPr>
              <w:pStyle w:val="texto0"/>
              <w:ind w:firstLine="0"/>
              <w:rPr>
                <w:rFonts w:ascii="Verdana" w:hAnsi="Verdana"/>
                <w:sz w:val="16"/>
                <w:szCs w:val="16"/>
              </w:rPr>
            </w:pPr>
            <w:r w:rsidRPr="00F01347">
              <w:rPr>
                <w:rFonts w:ascii="Verdana" w:hAnsi="Verdana"/>
                <w:sz w:val="16"/>
                <w:szCs w:val="16"/>
              </w:rPr>
              <w:t>Graficar las lecturas de absorbancia contra concentración, obtener la ecuación de la recta, y comparar las lecturas de las muestras con ésta.</w:t>
            </w:r>
          </w:p>
        </w:tc>
        <w:tc>
          <w:tcPr>
            <w:tcW w:w="4675" w:type="dxa"/>
          </w:tcPr>
          <w:p w14:paraId="041101B4" w14:textId="62764F85" w:rsidR="00441828" w:rsidRPr="00F01347" w:rsidRDefault="00441828" w:rsidP="00441828">
            <w:pPr>
              <w:pStyle w:val="texto0"/>
              <w:ind w:firstLine="0"/>
              <w:rPr>
                <w:rFonts w:ascii="Verdana" w:hAnsi="Verdana"/>
                <w:sz w:val="16"/>
                <w:szCs w:val="16"/>
                <w:lang w:val="en-US"/>
              </w:rPr>
            </w:pPr>
            <w:r w:rsidRPr="00F01347">
              <w:rPr>
                <w:rFonts w:ascii="Verdana" w:hAnsi="Verdana"/>
                <w:sz w:val="16"/>
                <w:szCs w:val="16"/>
                <w:lang w:val="en-US"/>
              </w:rPr>
              <w:t>Plot the absorbance readings against concentration, obtain the equation of the line, and compare the sample readings with it.</w:t>
            </w:r>
          </w:p>
        </w:tc>
      </w:tr>
      <w:tr w:rsidR="00441828" w:rsidRPr="00F01347" w14:paraId="42941B72" w14:textId="643029FB" w:rsidTr="00A57A94">
        <w:tc>
          <w:tcPr>
            <w:tcW w:w="4675" w:type="dxa"/>
          </w:tcPr>
          <w:p w14:paraId="5AFD4D87" w14:textId="77777777" w:rsidR="00441828" w:rsidRPr="00F01347" w:rsidRDefault="00441828" w:rsidP="00441828">
            <w:pPr>
              <w:pStyle w:val="texto0"/>
              <w:ind w:firstLine="0"/>
              <w:rPr>
                <w:rFonts w:ascii="Verdana" w:hAnsi="Verdana"/>
                <w:sz w:val="16"/>
                <w:szCs w:val="16"/>
              </w:rPr>
            </w:pPr>
            <w:r w:rsidRPr="00F01347">
              <w:rPr>
                <w:rFonts w:ascii="Verdana" w:hAnsi="Verdana"/>
                <w:sz w:val="16"/>
                <w:szCs w:val="16"/>
              </w:rPr>
              <w:t>La concentración de amoníaco puede ser calculada utilizando la siguiente ecuación:</w:t>
            </w:r>
          </w:p>
        </w:tc>
        <w:tc>
          <w:tcPr>
            <w:tcW w:w="4675" w:type="dxa"/>
          </w:tcPr>
          <w:p w14:paraId="26C77619" w14:textId="6FD58531" w:rsidR="00441828" w:rsidRPr="00F01347" w:rsidRDefault="00441828" w:rsidP="00441828">
            <w:pPr>
              <w:pStyle w:val="texto0"/>
              <w:ind w:firstLine="0"/>
              <w:rPr>
                <w:rFonts w:ascii="Verdana" w:hAnsi="Verdana"/>
                <w:sz w:val="16"/>
                <w:szCs w:val="16"/>
                <w:lang w:val="en-US"/>
              </w:rPr>
            </w:pPr>
            <w:r w:rsidRPr="00F01347">
              <w:rPr>
                <w:rFonts w:ascii="Verdana" w:hAnsi="Verdana"/>
                <w:sz w:val="16"/>
                <w:szCs w:val="16"/>
                <w:lang w:val="en-US"/>
              </w:rPr>
              <w:t>The ammonia concentration can be calculated using the following equation:</w:t>
            </w:r>
          </w:p>
        </w:tc>
      </w:tr>
    </w:tbl>
    <w:p w14:paraId="3998DAB2" w14:textId="7ED00C87" w:rsidR="00A74CDF" w:rsidRPr="00F01347" w:rsidRDefault="00471638" w:rsidP="003603F9">
      <w:pPr>
        <w:pStyle w:val="texto0"/>
        <w:spacing w:line="240" w:lineRule="auto"/>
        <w:ind w:left="630" w:firstLine="0"/>
        <w:jc w:val="center"/>
        <w:rPr>
          <w:rFonts w:ascii="Verdana" w:hAnsi="Verdana"/>
          <w:sz w:val="16"/>
          <w:szCs w:val="16"/>
        </w:rPr>
      </w:pPr>
      <w:r w:rsidRPr="00F01347">
        <w:rPr>
          <w:rFonts w:ascii="Verdana" w:hAnsi="Verdana"/>
          <w:noProof/>
          <w:sz w:val="16"/>
          <w:szCs w:val="16"/>
        </w:rPr>
        <w:lastRenderedPageBreak/>
        <w:drawing>
          <wp:inline distT="0" distB="0" distL="0" distR="0" wp14:anchorId="3B710552" wp14:editId="45C057DB">
            <wp:extent cx="2781300" cy="314325"/>
            <wp:effectExtent l="0" t="0" r="0" b="0"/>
            <wp:docPr id="5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81300" cy="314325"/>
                    </a:xfrm>
                    <a:prstGeom prst="rect">
                      <a:avLst/>
                    </a:prstGeom>
                    <a:noFill/>
                    <a:ln>
                      <a:noFill/>
                    </a:ln>
                  </pic:spPr>
                </pic:pic>
              </a:graphicData>
            </a:graphic>
          </wp:inline>
        </w:drawing>
      </w:r>
    </w:p>
    <w:p w14:paraId="27F0572F" w14:textId="429B2B09" w:rsidR="003603F9" w:rsidRPr="00F01347" w:rsidRDefault="003603F9" w:rsidP="003603F9">
      <w:pPr>
        <w:pStyle w:val="texto0"/>
        <w:spacing w:line="240" w:lineRule="auto"/>
        <w:ind w:left="630" w:firstLine="0"/>
        <w:jc w:val="center"/>
        <w:rPr>
          <w:rFonts w:ascii="Verdana" w:hAnsi="Verdana"/>
          <w:sz w:val="16"/>
          <w:szCs w:val="16"/>
        </w:rPr>
      </w:pPr>
      <w:r w:rsidRPr="00F01347">
        <w:rPr>
          <w:noProof/>
        </w:rPr>
        <w:drawing>
          <wp:inline distT="0" distB="0" distL="0" distR="0" wp14:anchorId="55CEC4EC" wp14:editId="573DBC9A">
            <wp:extent cx="3072896" cy="584200"/>
            <wp:effectExtent l="0" t="0" r="0" b="6350"/>
            <wp:docPr id="19906258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25808" name="Picture 1" descr="A screenshot of a computer&#10;&#10;Description automatically generated"/>
                    <pic:cNvPicPr/>
                  </pic:nvPicPr>
                  <pic:blipFill rotWithShape="1">
                    <a:blip r:embed="rId75"/>
                    <a:srcRect l="22666" t="48684" r="50351" b="42196"/>
                    <a:stretch/>
                  </pic:blipFill>
                  <pic:spPr bwMode="auto">
                    <a:xfrm>
                      <a:off x="0" y="0"/>
                      <a:ext cx="3090159" cy="58748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E1BC6" w:rsidRPr="00F01347" w14:paraId="2FCD76C9" w14:textId="289007E7" w:rsidTr="003603F9">
        <w:tc>
          <w:tcPr>
            <w:tcW w:w="4675" w:type="dxa"/>
          </w:tcPr>
          <w:p w14:paraId="7431A680" w14:textId="77777777" w:rsidR="000E1BC6" w:rsidRPr="00317168" w:rsidRDefault="000E1BC6" w:rsidP="000E1BC6">
            <w:pPr>
              <w:pStyle w:val="texto0"/>
              <w:ind w:firstLine="0"/>
              <w:rPr>
                <w:rFonts w:ascii="Verdana" w:hAnsi="Verdana"/>
                <w:b/>
                <w:bCs/>
                <w:sz w:val="16"/>
                <w:szCs w:val="16"/>
              </w:rPr>
            </w:pPr>
            <w:r w:rsidRPr="00317168">
              <w:rPr>
                <w:rFonts w:ascii="Verdana" w:hAnsi="Verdana"/>
                <w:b/>
                <w:bCs/>
                <w:sz w:val="16"/>
                <w:szCs w:val="16"/>
              </w:rPr>
              <w:t>En donde:</w:t>
            </w:r>
          </w:p>
        </w:tc>
        <w:tc>
          <w:tcPr>
            <w:tcW w:w="4675" w:type="dxa"/>
          </w:tcPr>
          <w:p w14:paraId="388BF977" w14:textId="6A866871" w:rsidR="000E1BC6" w:rsidRPr="00317168" w:rsidRDefault="000E1BC6" w:rsidP="000E1BC6">
            <w:pPr>
              <w:pStyle w:val="texto0"/>
              <w:ind w:firstLine="0"/>
              <w:rPr>
                <w:rFonts w:ascii="Verdana" w:hAnsi="Verdana"/>
                <w:b/>
                <w:bCs/>
                <w:sz w:val="16"/>
                <w:szCs w:val="16"/>
                <w:lang w:val="en-US"/>
              </w:rPr>
            </w:pPr>
            <w:r w:rsidRPr="00317168">
              <w:rPr>
                <w:rFonts w:ascii="Verdana" w:hAnsi="Verdana"/>
                <w:b/>
                <w:bCs/>
                <w:sz w:val="16"/>
                <w:szCs w:val="16"/>
                <w:lang w:val="en-US"/>
              </w:rPr>
              <w:t>Where:</w:t>
            </w:r>
          </w:p>
        </w:tc>
      </w:tr>
      <w:tr w:rsidR="000E1BC6" w:rsidRPr="00F01347" w14:paraId="19CDACD8" w14:textId="18000053" w:rsidTr="003603F9">
        <w:tc>
          <w:tcPr>
            <w:tcW w:w="4675" w:type="dxa"/>
          </w:tcPr>
          <w:p w14:paraId="7852C147" w14:textId="77777777" w:rsidR="000E1BC6" w:rsidRPr="00F01347" w:rsidRDefault="000E1BC6" w:rsidP="000E1BC6">
            <w:pPr>
              <w:pStyle w:val="texto0"/>
              <w:spacing w:line="234" w:lineRule="exact"/>
              <w:ind w:firstLine="0"/>
              <w:rPr>
                <w:rFonts w:ascii="Verdana" w:hAnsi="Verdana"/>
                <w:sz w:val="16"/>
                <w:szCs w:val="16"/>
              </w:rPr>
            </w:pPr>
            <w:r w:rsidRPr="00F01347">
              <w:rPr>
                <w:rFonts w:ascii="Verdana" w:hAnsi="Verdana"/>
                <w:sz w:val="16"/>
                <w:szCs w:val="16"/>
              </w:rPr>
              <w:t>A</w:t>
            </w:r>
            <w:r w:rsidRPr="00F01347">
              <w:rPr>
                <w:rFonts w:ascii="Verdana" w:hAnsi="Verdana"/>
                <w:sz w:val="16"/>
                <w:szCs w:val="16"/>
              </w:rPr>
              <w:tab/>
              <w:t>absorbancia de la muestra</w:t>
            </w:r>
          </w:p>
        </w:tc>
        <w:tc>
          <w:tcPr>
            <w:tcW w:w="4675" w:type="dxa"/>
          </w:tcPr>
          <w:p w14:paraId="53192B32" w14:textId="28D39FE3" w:rsidR="000E1BC6" w:rsidRPr="00F01347" w:rsidRDefault="000E1BC6" w:rsidP="000E1BC6">
            <w:pPr>
              <w:pStyle w:val="texto0"/>
              <w:spacing w:line="234" w:lineRule="exact"/>
              <w:ind w:firstLine="0"/>
              <w:rPr>
                <w:rFonts w:ascii="Verdana" w:hAnsi="Verdana"/>
                <w:sz w:val="16"/>
                <w:szCs w:val="16"/>
                <w:lang w:val="en-US"/>
              </w:rPr>
            </w:pPr>
            <w:proofErr w:type="gramStart"/>
            <w:r w:rsidRPr="00F01347">
              <w:rPr>
                <w:rFonts w:ascii="Verdana" w:hAnsi="Verdana"/>
                <w:sz w:val="16"/>
                <w:szCs w:val="16"/>
                <w:lang w:val="en-US"/>
              </w:rPr>
              <w:t>A</w:t>
            </w:r>
            <w:proofErr w:type="gramEnd"/>
            <w:r w:rsidR="003603F9" w:rsidRPr="00F01347">
              <w:rPr>
                <w:rFonts w:ascii="Verdana" w:hAnsi="Verdana"/>
                <w:sz w:val="16"/>
                <w:szCs w:val="16"/>
                <w:lang w:val="en-US"/>
              </w:rPr>
              <w:t xml:space="preserve">        a</w:t>
            </w:r>
            <w:r w:rsidRPr="00F01347">
              <w:rPr>
                <w:rFonts w:ascii="Verdana" w:hAnsi="Verdana"/>
                <w:sz w:val="16"/>
                <w:szCs w:val="16"/>
                <w:lang w:val="en-US"/>
              </w:rPr>
              <w:t>bsorbance of the sample</w:t>
            </w:r>
          </w:p>
        </w:tc>
      </w:tr>
      <w:tr w:rsidR="000E1BC6" w:rsidRPr="00F01347" w14:paraId="1926D33F" w14:textId="504F5A39" w:rsidTr="003603F9">
        <w:tc>
          <w:tcPr>
            <w:tcW w:w="4675" w:type="dxa"/>
          </w:tcPr>
          <w:p w14:paraId="026C8B40" w14:textId="77777777" w:rsidR="000E1BC6" w:rsidRPr="00F01347" w:rsidRDefault="000E1BC6" w:rsidP="000E1BC6">
            <w:pPr>
              <w:pStyle w:val="texto0"/>
              <w:spacing w:line="234" w:lineRule="exact"/>
              <w:ind w:firstLine="0"/>
              <w:rPr>
                <w:rFonts w:ascii="Verdana" w:hAnsi="Verdana"/>
                <w:sz w:val="16"/>
                <w:szCs w:val="16"/>
              </w:rPr>
            </w:pPr>
            <w:r w:rsidRPr="00F01347">
              <w:rPr>
                <w:rFonts w:ascii="Verdana" w:hAnsi="Verdana"/>
                <w:sz w:val="16"/>
                <w:szCs w:val="16"/>
              </w:rPr>
              <w:t>B</w:t>
            </w:r>
            <w:r w:rsidRPr="00F01347">
              <w:rPr>
                <w:rFonts w:ascii="Verdana" w:hAnsi="Verdana"/>
                <w:sz w:val="16"/>
                <w:szCs w:val="16"/>
              </w:rPr>
              <w:tab/>
              <w:t>NH</w:t>
            </w:r>
            <w:r w:rsidRPr="00F01347">
              <w:rPr>
                <w:rFonts w:ascii="Verdana" w:hAnsi="Verdana"/>
                <w:sz w:val="16"/>
                <w:szCs w:val="16"/>
                <w:vertAlign w:val="subscript"/>
              </w:rPr>
              <w:t>3</w:t>
            </w:r>
            <w:r w:rsidRPr="00F01347">
              <w:rPr>
                <w:rFonts w:ascii="Verdana" w:hAnsi="Verdana"/>
                <w:sz w:val="16"/>
                <w:szCs w:val="16"/>
              </w:rPr>
              <w:t>-N en el estándar, µg</w:t>
            </w:r>
          </w:p>
        </w:tc>
        <w:tc>
          <w:tcPr>
            <w:tcW w:w="4675" w:type="dxa"/>
          </w:tcPr>
          <w:p w14:paraId="0F452469" w14:textId="64F3B2C4" w:rsidR="000E1BC6" w:rsidRPr="00F01347" w:rsidRDefault="000E1BC6" w:rsidP="000E1BC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B </w:t>
            </w:r>
            <w:r w:rsidRPr="00F01347">
              <w:rPr>
                <w:rFonts w:ascii="Verdana" w:hAnsi="Verdana"/>
                <w:sz w:val="16"/>
                <w:szCs w:val="16"/>
                <w:lang w:val="en-US"/>
              </w:rPr>
              <w:tab/>
              <w:t>NH</w:t>
            </w:r>
            <w:r w:rsidRPr="00F01347">
              <w:rPr>
                <w:rFonts w:ascii="Verdana" w:hAnsi="Verdana"/>
                <w:sz w:val="16"/>
                <w:szCs w:val="16"/>
                <w:vertAlign w:val="subscript"/>
                <w:lang w:val="en-US"/>
              </w:rPr>
              <w:t>3</w:t>
            </w:r>
            <w:r w:rsidRPr="00F01347">
              <w:rPr>
                <w:rFonts w:ascii="Verdana" w:hAnsi="Verdana"/>
                <w:sz w:val="16"/>
                <w:szCs w:val="16"/>
                <w:lang w:val="en-US"/>
              </w:rPr>
              <w:t>-N in the standard, µg</w:t>
            </w:r>
          </w:p>
        </w:tc>
      </w:tr>
      <w:tr w:rsidR="000E1BC6" w:rsidRPr="00F01347" w14:paraId="10EBE109" w14:textId="23AE01D9" w:rsidTr="003603F9">
        <w:tc>
          <w:tcPr>
            <w:tcW w:w="4675" w:type="dxa"/>
          </w:tcPr>
          <w:p w14:paraId="0182C5D3" w14:textId="77777777" w:rsidR="000E1BC6" w:rsidRPr="00F01347" w:rsidRDefault="000E1BC6" w:rsidP="000E1BC6">
            <w:pPr>
              <w:pStyle w:val="texto0"/>
              <w:spacing w:line="234" w:lineRule="exact"/>
              <w:ind w:firstLine="0"/>
              <w:rPr>
                <w:rFonts w:ascii="Verdana" w:hAnsi="Verdana"/>
                <w:sz w:val="16"/>
                <w:szCs w:val="16"/>
              </w:rPr>
            </w:pPr>
            <w:r w:rsidRPr="00F01347">
              <w:rPr>
                <w:rFonts w:ascii="Verdana" w:hAnsi="Verdana"/>
                <w:sz w:val="16"/>
                <w:szCs w:val="16"/>
              </w:rPr>
              <w:t>C</w:t>
            </w:r>
            <w:r w:rsidRPr="00F01347">
              <w:rPr>
                <w:rFonts w:ascii="Verdana" w:hAnsi="Verdana"/>
                <w:sz w:val="16"/>
                <w:szCs w:val="16"/>
              </w:rPr>
              <w:tab/>
              <w:t>absorbancia del estándar</w:t>
            </w:r>
          </w:p>
        </w:tc>
        <w:tc>
          <w:tcPr>
            <w:tcW w:w="4675" w:type="dxa"/>
          </w:tcPr>
          <w:p w14:paraId="6589AE42" w14:textId="03A34B59" w:rsidR="000E1BC6" w:rsidRPr="00F01347" w:rsidRDefault="000E1BC6" w:rsidP="000E1BC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C </w:t>
            </w:r>
            <w:r w:rsidRPr="00F01347">
              <w:rPr>
                <w:rFonts w:ascii="Verdana" w:hAnsi="Verdana"/>
                <w:sz w:val="16"/>
                <w:szCs w:val="16"/>
                <w:lang w:val="en-US"/>
              </w:rPr>
              <w:tab/>
              <w:t>absorbance of the standard</w:t>
            </w:r>
          </w:p>
        </w:tc>
      </w:tr>
      <w:tr w:rsidR="000E1BC6" w:rsidRPr="00F01347" w14:paraId="50A4B559" w14:textId="5CE431D0" w:rsidTr="003603F9">
        <w:tc>
          <w:tcPr>
            <w:tcW w:w="4675" w:type="dxa"/>
          </w:tcPr>
          <w:p w14:paraId="4424BE48" w14:textId="77777777" w:rsidR="000E1BC6" w:rsidRPr="00F01347" w:rsidRDefault="000E1BC6" w:rsidP="000E1BC6">
            <w:pPr>
              <w:pStyle w:val="texto0"/>
              <w:spacing w:line="234" w:lineRule="exact"/>
              <w:ind w:firstLine="0"/>
              <w:rPr>
                <w:rFonts w:ascii="Verdana" w:hAnsi="Verdana"/>
                <w:sz w:val="16"/>
                <w:szCs w:val="16"/>
              </w:rPr>
            </w:pPr>
            <w:r w:rsidRPr="00F01347">
              <w:rPr>
                <w:rFonts w:ascii="Verdana" w:hAnsi="Verdana"/>
                <w:sz w:val="16"/>
                <w:szCs w:val="16"/>
              </w:rPr>
              <w:t>S</w:t>
            </w:r>
            <w:r w:rsidRPr="00F01347">
              <w:rPr>
                <w:rFonts w:ascii="Verdana" w:hAnsi="Verdana"/>
                <w:sz w:val="16"/>
                <w:szCs w:val="16"/>
              </w:rPr>
              <w:tab/>
              <w:t xml:space="preserve">volumen de la muestra utilizado, </w:t>
            </w:r>
            <w:proofErr w:type="spellStart"/>
            <w:r w:rsidRPr="00F01347">
              <w:rPr>
                <w:rFonts w:ascii="Verdana" w:hAnsi="Verdana"/>
                <w:sz w:val="16"/>
                <w:szCs w:val="16"/>
              </w:rPr>
              <w:t>mL</w:t>
            </w:r>
            <w:proofErr w:type="spellEnd"/>
          </w:p>
        </w:tc>
        <w:tc>
          <w:tcPr>
            <w:tcW w:w="4675" w:type="dxa"/>
          </w:tcPr>
          <w:p w14:paraId="3957E2D0" w14:textId="2A8E4A15" w:rsidR="000E1BC6" w:rsidRPr="00F01347" w:rsidRDefault="000E1BC6" w:rsidP="000E1BC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S </w:t>
            </w:r>
            <w:r w:rsidRPr="00F01347">
              <w:rPr>
                <w:rFonts w:ascii="Verdana" w:hAnsi="Verdana"/>
                <w:sz w:val="16"/>
                <w:szCs w:val="16"/>
                <w:lang w:val="en-US"/>
              </w:rPr>
              <w:tab/>
              <w:t>sample volume used, mL</w:t>
            </w:r>
          </w:p>
        </w:tc>
      </w:tr>
      <w:tr w:rsidR="000E1BC6" w:rsidRPr="00F01347" w14:paraId="4B8D6376" w14:textId="22726C05" w:rsidTr="003603F9">
        <w:tc>
          <w:tcPr>
            <w:tcW w:w="4675" w:type="dxa"/>
          </w:tcPr>
          <w:p w14:paraId="59CDE9C0" w14:textId="77777777" w:rsidR="000E1BC6" w:rsidRPr="00F01347" w:rsidRDefault="000E1BC6" w:rsidP="000E1BC6">
            <w:pPr>
              <w:pStyle w:val="texto0"/>
              <w:spacing w:line="234" w:lineRule="exact"/>
              <w:ind w:firstLine="0"/>
              <w:rPr>
                <w:rFonts w:ascii="Verdana" w:hAnsi="Verdana"/>
                <w:sz w:val="16"/>
                <w:szCs w:val="16"/>
              </w:rPr>
            </w:pPr>
            <w:r w:rsidRPr="00F01347">
              <w:rPr>
                <w:rFonts w:ascii="Verdana" w:hAnsi="Verdana"/>
                <w:sz w:val="16"/>
                <w:szCs w:val="16"/>
              </w:rPr>
              <w:t>D</w:t>
            </w:r>
            <w:r w:rsidRPr="00F01347">
              <w:rPr>
                <w:rFonts w:ascii="Verdana" w:hAnsi="Verdana"/>
                <w:sz w:val="16"/>
                <w:szCs w:val="16"/>
              </w:rPr>
              <w:tab/>
              <w:t xml:space="preserve">volumen del destilado total colectado, </w:t>
            </w:r>
            <w:proofErr w:type="spellStart"/>
            <w:r w:rsidRPr="00F01347">
              <w:rPr>
                <w:rFonts w:ascii="Verdana" w:hAnsi="Verdana"/>
                <w:sz w:val="16"/>
                <w:szCs w:val="16"/>
              </w:rPr>
              <w:t>mL</w:t>
            </w:r>
            <w:proofErr w:type="spellEnd"/>
            <w:r w:rsidRPr="00F01347">
              <w:rPr>
                <w:rFonts w:ascii="Verdana" w:hAnsi="Verdana"/>
                <w:sz w:val="16"/>
                <w:szCs w:val="16"/>
              </w:rPr>
              <w:t>, incluyendo el ácido absorbente, el agente neutralizante y al agua libre de amoniaco añadida</w:t>
            </w:r>
          </w:p>
        </w:tc>
        <w:tc>
          <w:tcPr>
            <w:tcW w:w="4675" w:type="dxa"/>
          </w:tcPr>
          <w:p w14:paraId="1AA6C39A" w14:textId="2C3E118D" w:rsidR="000E1BC6" w:rsidRPr="00F01347" w:rsidRDefault="000E1BC6" w:rsidP="000E1BC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D </w:t>
            </w:r>
            <w:r w:rsidRPr="00F01347">
              <w:rPr>
                <w:rFonts w:ascii="Verdana" w:hAnsi="Verdana"/>
                <w:sz w:val="16"/>
                <w:szCs w:val="16"/>
                <w:lang w:val="en-US"/>
              </w:rPr>
              <w:tab/>
              <w:t>volume of the total distillate collected, mL</w:t>
            </w:r>
            <w:r w:rsidR="003E1BA9" w:rsidRPr="00F01347">
              <w:rPr>
                <w:rFonts w:ascii="Verdana" w:hAnsi="Verdana"/>
                <w:sz w:val="16"/>
                <w:szCs w:val="16"/>
                <w:lang w:val="en-US"/>
              </w:rPr>
              <w:t>,</w:t>
            </w:r>
            <w:r w:rsidRPr="00F01347">
              <w:rPr>
                <w:rFonts w:ascii="Verdana" w:hAnsi="Verdana"/>
                <w:sz w:val="16"/>
                <w:szCs w:val="16"/>
                <w:lang w:val="en-US"/>
              </w:rPr>
              <w:t xml:space="preserve"> including the absorbent acid, the neutralizing </w:t>
            </w:r>
            <w:proofErr w:type="gramStart"/>
            <w:r w:rsidRPr="00F01347">
              <w:rPr>
                <w:rFonts w:ascii="Verdana" w:hAnsi="Verdana"/>
                <w:sz w:val="16"/>
                <w:szCs w:val="16"/>
                <w:lang w:val="en-US"/>
              </w:rPr>
              <w:t>agent</w:t>
            </w:r>
            <w:proofErr w:type="gramEnd"/>
            <w:r w:rsidRPr="00F01347">
              <w:rPr>
                <w:rFonts w:ascii="Verdana" w:hAnsi="Verdana"/>
                <w:sz w:val="16"/>
                <w:szCs w:val="16"/>
                <w:lang w:val="en-US"/>
              </w:rPr>
              <w:t xml:space="preserve"> and the added ammonia-free water</w:t>
            </w:r>
          </w:p>
        </w:tc>
      </w:tr>
      <w:tr w:rsidR="000E1BC6" w:rsidRPr="00F01347" w14:paraId="0C5E4D64" w14:textId="10FB2705" w:rsidTr="003603F9">
        <w:tc>
          <w:tcPr>
            <w:tcW w:w="4675" w:type="dxa"/>
          </w:tcPr>
          <w:p w14:paraId="0A2D7140" w14:textId="77777777" w:rsidR="000E1BC6" w:rsidRPr="00F01347" w:rsidRDefault="000E1BC6" w:rsidP="000E1BC6">
            <w:pPr>
              <w:pStyle w:val="texto0"/>
              <w:spacing w:line="234" w:lineRule="exact"/>
              <w:ind w:firstLine="0"/>
              <w:rPr>
                <w:rFonts w:ascii="Verdana" w:hAnsi="Verdana"/>
                <w:sz w:val="16"/>
                <w:szCs w:val="16"/>
              </w:rPr>
            </w:pPr>
            <w:r w:rsidRPr="00F01347">
              <w:rPr>
                <w:rFonts w:ascii="Verdana" w:hAnsi="Verdana"/>
                <w:sz w:val="16"/>
                <w:szCs w:val="16"/>
              </w:rPr>
              <w:t>E</w:t>
            </w:r>
            <w:r w:rsidRPr="00F01347">
              <w:rPr>
                <w:rFonts w:ascii="Verdana" w:hAnsi="Verdana"/>
                <w:sz w:val="16"/>
                <w:szCs w:val="16"/>
              </w:rPr>
              <w:tab/>
              <w:t xml:space="preserve">volumen del destilado utilizado para el desarrollo de color, </w:t>
            </w:r>
            <w:proofErr w:type="spellStart"/>
            <w:r w:rsidRPr="00F01347">
              <w:rPr>
                <w:rFonts w:ascii="Verdana" w:hAnsi="Verdana"/>
                <w:sz w:val="16"/>
                <w:szCs w:val="16"/>
              </w:rPr>
              <w:t>mL</w:t>
            </w:r>
            <w:proofErr w:type="spellEnd"/>
          </w:p>
        </w:tc>
        <w:tc>
          <w:tcPr>
            <w:tcW w:w="4675" w:type="dxa"/>
          </w:tcPr>
          <w:p w14:paraId="0E1494EE" w14:textId="7B6A928A" w:rsidR="000E1BC6" w:rsidRPr="00F01347" w:rsidRDefault="000E1BC6" w:rsidP="000E1BC6">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E </w:t>
            </w:r>
            <w:r w:rsidRPr="00F01347">
              <w:rPr>
                <w:rFonts w:ascii="Verdana" w:hAnsi="Verdana"/>
                <w:sz w:val="16"/>
                <w:szCs w:val="16"/>
                <w:lang w:val="en-US"/>
              </w:rPr>
              <w:tab/>
              <w:t>volume of distillate used for color development, mL</w:t>
            </w:r>
          </w:p>
        </w:tc>
      </w:tr>
      <w:tr w:rsidR="000E1BC6" w:rsidRPr="00F01347" w14:paraId="567CAB00" w14:textId="17CCC1B9" w:rsidTr="003603F9">
        <w:tc>
          <w:tcPr>
            <w:tcW w:w="4675" w:type="dxa"/>
          </w:tcPr>
          <w:p w14:paraId="18CB9E18" w14:textId="77777777" w:rsidR="000E1BC6" w:rsidRPr="00F01347" w:rsidRDefault="000E1BC6" w:rsidP="000E1BC6">
            <w:pPr>
              <w:pStyle w:val="texto0"/>
              <w:spacing w:line="234" w:lineRule="exact"/>
              <w:ind w:firstLine="0"/>
              <w:rPr>
                <w:rFonts w:ascii="Verdana" w:hAnsi="Verdana"/>
                <w:sz w:val="16"/>
                <w:szCs w:val="16"/>
              </w:rPr>
            </w:pPr>
            <w:r w:rsidRPr="00F01347">
              <w:rPr>
                <w:rFonts w:ascii="Verdana" w:hAnsi="Verdana"/>
                <w:sz w:val="16"/>
                <w:szCs w:val="16"/>
              </w:rPr>
              <w:t>El radio D/E aplica sólo para muestras destiladas</w:t>
            </w:r>
          </w:p>
        </w:tc>
        <w:tc>
          <w:tcPr>
            <w:tcW w:w="4675" w:type="dxa"/>
          </w:tcPr>
          <w:p w14:paraId="25308DCE" w14:textId="4284B317" w:rsidR="000E1BC6" w:rsidRPr="00F01347" w:rsidRDefault="000E1BC6" w:rsidP="000E1BC6">
            <w:pPr>
              <w:pStyle w:val="texto0"/>
              <w:spacing w:line="234" w:lineRule="exact"/>
              <w:ind w:firstLine="0"/>
              <w:rPr>
                <w:rFonts w:ascii="Verdana" w:hAnsi="Verdana"/>
                <w:sz w:val="16"/>
                <w:szCs w:val="16"/>
                <w:lang w:val="en-US"/>
              </w:rPr>
            </w:pPr>
            <w:r w:rsidRPr="00F01347">
              <w:rPr>
                <w:rFonts w:ascii="Verdana" w:hAnsi="Verdana"/>
                <w:sz w:val="16"/>
                <w:szCs w:val="16"/>
                <w:lang w:val="en-US"/>
              </w:rPr>
              <w:t>The D/E ratio applies only to distilled samples.</w:t>
            </w:r>
          </w:p>
        </w:tc>
      </w:tr>
      <w:tr w:rsidR="000E1BC6" w:rsidRPr="00F01347" w14:paraId="6031AAA0" w14:textId="6052DF2B" w:rsidTr="003603F9">
        <w:tc>
          <w:tcPr>
            <w:tcW w:w="4675" w:type="dxa"/>
          </w:tcPr>
          <w:p w14:paraId="07B90641" w14:textId="77777777" w:rsidR="000E1BC6" w:rsidRPr="00F01347" w:rsidRDefault="000E1BC6" w:rsidP="000E1BC6">
            <w:pPr>
              <w:pStyle w:val="texto0"/>
              <w:spacing w:line="234" w:lineRule="exact"/>
              <w:ind w:firstLine="0"/>
              <w:rPr>
                <w:rFonts w:ascii="Verdana" w:hAnsi="Verdana"/>
                <w:b/>
                <w:sz w:val="16"/>
                <w:szCs w:val="16"/>
              </w:rPr>
            </w:pPr>
            <w:r w:rsidRPr="00F01347">
              <w:rPr>
                <w:rFonts w:ascii="Verdana" w:hAnsi="Verdana"/>
                <w:b/>
                <w:sz w:val="16"/>
                <w:szCs w:val="16"/>
              </w:rPr>
              <w:t>B.7.3.5.3 Informe de prueba</w:t>
            </w:r>
          </w:p>
        </w:tc>
        <w:tc>
          <w:tcPr>
            <w:tcW w:w="4675" w:type="dxa"/>
          </w:tcPr>
          <w:p w14:paraId="664864DD" w14:textId="77D7560A" w:rsidR="000E1BC6" w:rsidRPr="00F01347" w:rsidRDefault="000E1BC6" w:rsidP="000E1BC6">
            <w:pPr>
              <w:pStyle w:val="texto0"/>
              <w:spacing w:line="234" w:lineRule="exact"/>
              <w:ind w:firstLine="0"/>
              <w:rPr>
                <w:rFonts w:ascii="Verdana" w:hAnsi="Verdana"/>
                <w:b/>
                <w:sz w:val="16"/>
                <w:szCs w:val="16"/>
                <w:lang w:val="en-US"/>
              </w:rPr>
            </w:pPr>
            <w:r w:rsidRPr="00F01347">
              <w:rPr>
                <w:rFonts w:ascii="Verdana" w:hAnsi="Verdana"/>
                <w:b/>
                <w:sz w:val="16"/>
                <w:szCs w:val="16"/>
                <w:lang w:val="en-US"/>
              </w:rPr>
              <w:t>B.7.3.5.3 Test report</w:t>
            </w:r>
          </w:p>
        </w:tc>
      </w:tr>
      <w:tr w:rsidR="000E1BC6" w:rsidRPr="00F01347" w14:paraId="7AC32417" w14:textId="6046A088" w:rsidTr="003603F9">
        <w:tc>
          <w:tcPr>
            <w:tcW w:w="4675" w:type="dxa"/>
          </w:tcPr>
          <w:p w14:paraId="6C6BB31C" w14:textId="77777777" w:rsidR="000E1BC6" w:rsidRPr="00F01347" w:rsidRDefault="000E1BC6" w:rsidP="000E1BC6">
            <w:pPr>
              <w:pStyle w:val="texto0"/>
              <w:spacing w:line="234" w:lineRule="exact"/>
              <w:ind w:firstLine="0"/>
              <w:rPr>
                <w:rFonts w:ascii="Verdana" w:hAnsi="Verdana"/>
                <w:sz w:val="16"/>
                <w:szCs w:val="16"/>
              </w:rPr>
            </w:pPr>
            <w:r w:rsidRPr="00F01347">
              <w:rPr>
                <w:rFonts w:ascii="Verdana" w:hAnsi="Verdana"/>
                <w:sz w:val="16"/>
                <w:szCs w:val="16"/>
              </w:rPr>
              <w:t>Reportar el resultado como nitrógeno amoniacal en mg/L</w:t>
            </w:r>
          </w:p>
        </w:tc>
        <w:tc>
          <w:tcPr>
            <w:tcW w:w="4675" w:type="dxa"/>
          </w:tcPr>
          <w:p w14:paraId="1089795F" w14:textId="1B0CB1ED" w:rsidR="000E1BC6" w:rsidRPr="00F01347" w:rsidRDefault="000E1BC6" w:rsidP="000E1BC6">
            <w:pPr>
              <w:pStyle w:val="texto0"/>
              <w:spacing w:line="234" w:lineRule="exact"/>
              <w:ind w:firstLine="0"/>
              <w:rPr>
                <w:rFonts w:ascii="Verdana" w:hAnsi="Verdana"/>
                <w:sz w:val="16"/>
                <w:szCs w:val="16"/>
                <w:lang w:val="en-US"/>
              </w:rPr>
            </w:pPr>
            <w:r w:rsidRPr="00F01347">
              <w:rPr>
                <w:rFonts w:ascii="Verdana" w:hAnsi="Verdana"/>
                <w:sz w:val="16"/>
                <w:szCs w:val="16"/>
                <w:lang w:val="en-US"/>
              </w:rPr>
              <w:t>Report the result as ammoniacal nitrogen in mg/L</w:t>
            </w:r>
          </w:p>
        </w:tc>
      </w:tr>
      <w:tr w:rsidR="000E1BC6" w:rsidRPr="00F01347" w14:paraId="32FDE03F" w14:textId="4EE82D58" w:rsidTr="003603F9">
        <w:tc>
          <w:tcPr>
            <w:tcW w:w="4675" w:type="dxa"/>
          </w:tcPr>
          <w:p w14:paraId="2B4C8E5A" w14:textId="77777777" w:rsidR="000E1BC6" w:rsidRPr="00F01347" w:rsidRDefault="000E1BC6" w:rsidP="000E1BC6">
            <w:pPr>
              <w:pStyle w:val="texto0"/>
              <w:spacing w:line="228" w:lineRule="exact"/>
              <w:ind w:firstLine="0"/>
              <w:rPr>
                <w:rFonts w:ascii="Verdana" w:hAnsi="Verdana"/>
                <w:b/>
                <w:sz w:val="16"/>
                <w:szCs w:val="16"/>
              </w:rPr>
            </w:pPr>
            <w:r w:rsidRPr="00F01347">
              <w:rPr>
                <w:rFonts w:ascii="Verdana" w:hAnsi="Verdana"/>
                <w:b/>
                <w:sz w:val="16"/>
                <w:szCs w:val="16"/>
              </w:rPr>
              <w:t>B.7.3.6 Interferencias</w:t>
            </w:r>
          </w:p>
        </w:tc>
        <w:tc>
          <w:tcPr>
            <w:tcW w:w="4675" w:type="dxa"/>
          </w:tcPr>
          <w:p w14:paraId="3C205878" w14:textId="511280FA" w:rsidR="000E1BC6" w:rsidRPr="00F01347" w:rsidRDefault="000E1BC6" w:rsidP="000E1BC6">
            <w:pPr>
              <w:pStyle w:val="texto0"/>
              <w:spacing w:line="228" w:lineRule="exact"/>
              <w:ind w:firstLine="0"/>
              <w:rPr>
                <w:rFonts w:ascii="Verdana" w:hAnsi="Verdana"/>
                <w:b/>
                <w:sz w:val="16"/>
                <w:szCs w:val="16"/>
                <w:lang w:val="en-US"/>
              </w:rPr>
            </w:pPr>
            <w:r w:rsidRPr="00F01347">
              <w:rPr>
                <w:rFonts w:ascii="Verdana" w:hAnsi="Verdana"/>
                <w:b/>
                <w:sz w:val="16"/>
                <w:szCs w:val="16"/>
                <w:lang w:val="en-US"/>
              </w:rPr>
              <w:t>B.7.3.6 Interferences</w:t>
            </w:r>
          </w:p>
        </w:tc>
      </w:tr>
      <w:tr w:rsidR="000E1BC6" w:rsidRPr="00F01347" w14:paraId="58EF935F" w14:textId="2D7AA5AA" w:rsidTr="003603F9">
        <w:tc>
          <w:tcPr>
            <w:tcW w:w="4675" w:type="dxa"/>
          </w:tcPr>
          <w:p w14:paraId="5090AAA6" w14:textId="77777777" w:rsidR="000E1BC6" w:rsidRPr="00F01347" w:rsidRDefault="000E1BC6" w:rsidP="000E1BC6">
            <w:pPr>
              <w:pStyle w:val="texto0"/>
              <w:spacing w:line="228" w:lineRule="exact"/>
              <w:ind w:firstLine="0"/>
              <w:rPr>
                <w:rFonts w:ascii="Verdana" w:hAnsi="Verdana"/>
                <w:sz w:val="16"/>
                <w:szCs w:val="16"/>
              </w:rPr>
            </w:pPr>
            <w:r w:rsidRPr="00F01347">
              <w:rPr>
                <w:rFonts w:ascii="Verdana" w:hAnsi="Verdana"/>
                <w:sz w:val="16"/>
                <w:szCs w:val="16"/>
              </w:rPr>
              <w:t>Una alcalinidad mayor a 500 mg como carbonato de calcio (CaCO</w:t>
            </w:r>
            <w:proofErr w:type="gramStart"/>
            <w:r w:rsidRPr="00F01347">
              <w:rPr>
                <w:rFonts w:ascii="Verdana" w:hAnsi="Verdana"/>
                <w:sz w:val="16"/>
                <w:szCs w:val="16"/>
                <w:vertAlign w:val="subscript"/>
              </w:rPr>
              <w:t>3</w:t>
            </w:r>
            <w:r w:rsidRPr="00F01347">
              <w:rPr>
                <w:rFonts w:ascii="Verdana" w:hAnsi="Verdana"/>
                <w:sz w:val="16"/>
                <w:szCs w:val="16"/>
              </w:rPr>
              <w:t>)/</w:t>
            </w:r>
            <w:proofErr w:type="gramEnd"/>
            <w:r w:rsidRPr="00F01347">
              <w:rPr>
                <w:rFonts w:ascii="Verdana" w:hAnsi="Verdana"/>
                <w:sz w:val="16"/>
                <w:szCs w:val="16"/>
              </w:rPr>
              <w:t>L, una acidez encima de 100 mg como CaCO</w:t>
            </w:r>
            <w:r w:rsidRPr="00F01347">
              <w:rPr>
                <w:rFonts w:ascii="Verdana" w:hAnsi="Verdana"/>
                <w:sz w:val="16"/>
                <w:szCs w:val="16"/>
                <w:vertAlign w:val="subscript"/>
              </w:rPr>
              <w:t>3</w:t>
            </w:r>
            <w:r w:rsidRPr="00F01347">
              <w:rPr>
                <w:rFonts w:ascii="Verdana" w:hAnsi="Verdana"/>
                <w:sz w:val="16"/>
                <w:szCs w:val="16"/>
              </w:rPr>
              <w:t>/L y la turbidez interfieren con el método, Por lo cual es necesario remover estas interferencias con una destilación preliminar (ver punto B.7.5, de este Apéndice).</w:t>
            </w:r>
          </w:p>
        </w:tc>
        <w:tc>
          <w:tcPr>
            <w:tcW w:w="4675" w:type="dxa"/>
          </w:tcPr>
          <w:p w14:paraId="553229C6" w14:textId="741DEA88" w:rsidR="000E1BC6" w:rsidRPr="00F01347" w:rsidRDefault="000E1BC6" w:rsidP="000E1BC6">
            <w:pPr>
              <w:pStyle w:val="texto0"/>
              <w:spacing w:line="228" w:lineRule="exact"/>
              <w:ind w:firstLine="0"/>
              <w:rPr>
                <w:rFonts w:ascii="Verdana" w:hAnsi="Verdana"/>
                <w:sz w:val="16"/>
                <w:szCs w:val="16"/>
                <w:lang w:val="en-US"/>
              </w:rPr>
            </w:pPr>
            <w:r w:rsidRPr="00F01347">
              <w:rPr>
                <w:rFonts w:ascii="Verdana" w:hAnsi="Verdana"/>
                <w:sz w:val="16"/>
                <w:szCs w:val="16"/>
                <w:lang w:val="en-US"/>
              </w:rPr>
              <w:t>An alkalinity greater than 500 mg as calcium carbonate (CaCO</w:t>
            </w:r>
            <w:r w:rsidRPr="00F01347">
              <w:rPr>
                <w:rFonts w:ascii="Verdana" w:hAnsi="Verdana"/>
                <w:sz w:val="16"/>
                <w:szCs w:val="16"/>
                <w:vertAlign w:val="subscript"/>
                <w:lang w:val="en-US"/>
              </w:rPr>
              <w:t>3</w:t>
            </w:r>
            <w:r w:rsidR="00913802" w:rsidRPr="00F01347">
              <w:rPr>
                <w:rFonts w:ascii="Verdana" w:hAnsi="Verdana"/>
                <w:sz w:val="16"/>
                <w:szCs w:val="16"/>
                <w:vertAlign w:val="subscript"/>
                <w:lang w:val="en-US"/>
              </w:rPr>
              <w:t>)</w:t>
            </w:r>
            <w:r w:rsidRPr="00F01347">
              <w:rPr>
                <w:rFonts w:ascii="Verdana" w:hAnsi="Verdana"/>
                <w:sz w:val="16"/>
                <w:szCs w:val="16"/>
                <w:lang w:val="en-US"/>
              </w:rPr>
              <w:t>/ L, an acidity greater than 100 mg as CaCO</w:t>
            </w:r>
            <w:r w:rsidRPr="00F01347">
              <w:rPr>
                <w:rFonts w:ascii="Verdana" w:hAnsi="Verdana"/>
                <w:sz w:val="16"/>
                <w:szCs w:val="16"/>
                <w:vertAlign w:val="subscript"/>
                <w:lang w:val="en-US"/>
              </w:rPr>
              <w:t xml:space="preserve">3 </w:t>
            </w:r>
            <w:r w:rsidRPr="00F01347">
              <w:rPr>
                <w:rFonts w:ascii="Verdana" w:hAnsi="Verdana"/>
                <w:sz w:val="16"/>
                <w:szCs w:val="16"/>
                <w:lang w:val="en-US"/>
              </w:rPr>
              <w:t>/L and turbidity interfere with the method, so it is necessary to remove these interferences with a preliminary distillation (see point B.7.5, of this Appendix).</w:t>
            </w:r>
          </w:p>
        </w:tc>
      </w:tr>
      <w:tr w:rsidR="000E1BC6" w:rsidRPr="00F01347" w14:paraId="5A639107" w14:textId="5F22F1FF" w:rsidTr="003603F9">
        <w:tc>
          <w:tcPr>
            <w:tcW w:w="4675" w:type="dxa"/>
          </w:tcPr>
          <w:p w14:paraId="79F58105" w14:textId="77777777" w:rsidR="000E1BC6" w:rsidRPr="00F01347" w:rsidRDefault="000E1BC6" w:rsidP="000E1BC6">
            <w:pPr>
              <w:pStyle w:val="texto0"/>
              <w:spacing w:line="228" w:lineRule="exact"/>
              <w:ind w:firstLine="0"/>
              <w:rPr>
                <w:rFonts w:ascii="Verdana" w:hAnsi="Verdana"/>
                <w:b/>
                <w:sz w:val="16"/>
                <w:szCs w:val="16"/>
                <w:lang w:val="en-US"/>
              </w:rPr>
            </w:pPr>
            <w:r w:rsidRPr="00F01347">
              <w:rPr>
                <w:rFonts w:ascii="Verdana" w:hAnsi="Verdana"/>
                <w:b/>
                <w:sz w:val="16"/>
                <w:szCs w:val="16"/>
                <w:lang w:val="en-US"/>
              </w:rPr>
              <w:t xml:space="preserve">B.7.3.7 </w:t>
            </w:r>
            <w:proofErr w:type="spellStart"/>
            <w:r w:rsidRPr="00F01347">
              <w:rPr>
                <w:rFonts w:ascii="Verdana" w:hAnsi="Verdana"/>
                <w:b/>
                <w:sz w:val="16"/>
                <w:szCs w:val="16"/>
                <w:lang w:val="en-US"/>
              </w:rPr>
              <w:t>Referencias</w:t>
            </w:r>
            <w:proofErr w:type="spellEnd"/>
          </w:p>
        </w:tc>
        <w:tc>
          <w:tcPr>
            <w:tcW w:w="4675" w:type="dxa"/>
          </w:tcPr>
          <w:p w14:paraId="5AAABBF8" w14:textId="44B8508A" w:rsidR="000E1BC6" w:rsidRPr="00F01347" w:rsidRDefault="000E1BC6" w:rsidP="000E1BC6">
            <w:pPr>
              <w:pStyle w:val="texto0"/>
              <w:spacing w:line="228" w:lineRule="exact"/>
              <w:ind w:firstLine="0"/>
              <w:rPr>
                <w:rFonts w:ascii="Verdana" w:hAnsi="Verdana"/>
                <w:b/>
                <w:sz w:val="16"/>
                <w:szCs w:val="16"/>
                <w:lang w:val="en-US"/>
              </w:rPr>
            </w:pPr>
            <w:r w:rsidRPr="00F01347">
              <w:rPr>
                <w:rFonts w:ascii="Verdana" w:hAnsi="Verdana"/>
                <w:b/>
                <w:sz w:val="16"/>
                <w:szCs w:val="16"/>
                <w:lang w:val="en-US"/>
              </w:rPr>
              <w:t>B.7.3.7 References</w:t>
            </w:r>
          </w:p>
        </w:tc>
      </w:tr>
      <w:tr w:rsidR="000E1BC6" w:rsidRPr="00F01347" w14:paraId="2CB3382A" w14:textId="286B2183" w:rsidTr="003603F9">
        <w:tc>
          <w:tcPr>
            <w:tcW w:w="4675" w:type="dxa"/>
          </w:tcPr>
          <w:p w14:paraId="38BFAF42" w14:textId="77777777" w:rsidR="000E1BC6" w:rsidRPr="00F01347" w:rsidRDefault="000E1BC6" w:rsidP="000E1BC6">
            <w:pPr>
              <w:pStyle w:val="texto0"/>
              <w:spacing w:line="228" w:lineRule="exact"/>
              <w:ind w:firstLine="0"/>
              <w:rPr>
                <w:rFonts w:ascii="Verdana" w:hAnsi="Verdana"/>
                <w:sz w:val="16"/>
                <w:szCs w:val="16"/>
                <w:lang w:val="en-US"/>
              </w:rPr>
            </w:pPr>
            <w:r w:rsidRPr="00F01347">
              <w:rPr>
                <w:rFonts w:ascii="Verdana" w:hAnsi="Verdana"/>
                <w:sz w:val="16"/>
                <w:szCs w:val="16"/>
                <w:lang w:val="en-US"/>
              </w:rPr>
              <w:t>Standard methods for examination of water and wastewater. 1975. 4500-NH3 D. Phenate Method. 14 ed.</w:t>
            </w:r>
          </w:p>
        </w:tc>
        <w:tc>
          <w:tcPr>
            <w:tcW w:w="4675" w:type="dxa"/>
          </w:tcPr>
          <w:p w14:paraId="30F15C7B" w14:textId="6DF6A0BC" w:rsidR="000E1BC6" w:rsidRPr="00F01347" w:rsidRDefault="000E1BC6" w:rsidP="000E1BC6">
            <w:pPr>
              <w:pStyle w:val="texto0"/>
              <w:spacing w:line="228" w:lineRule="exact"/>
              <w:ind w:firstLine="0"/>
              <w:rPr>
                <w:rFonts w:ascii="Verdana" w:hAnsi="Verdana"/>
                <w:sz w:val="16"/>
                <w:szCs w:val="16"/>
                <w:lang w:val="en-US"/>
              </w:rPr>
            </w:pPr>
            <w:r w:rsidRPr="00F01347">
              <w:rPr>
                <w:rFonts w:ascii="Verdana" w:hAnsi="Verdana"/>
                <w:sz w:val="16"/>
                <w:szCs w:val="16"/>
                <w:lang w:val="en-US"/>
              </w:rPr>
              <w:t>Standard methods for examination of water and wastewater. 1975. 4500-NH3 D. Phenate Method. 14 ed.</w:t>
            </w:r>
          </w:p>
        </w:tc>
      </w:tr>
      <w:tr w:rsidR="000E1BC6" w:rsidRPr="00F01347" w14:paraId="79BA37F1" w14:textId="0D73AA1F" w:rsidTr="003603F9">
        <w:tc>
          <w:tcPr>
            <w:tcW w:w="4675" w:type="dxa"/>
          </w:tcPr>
          <w:p w14:paraId="727E7E25" w14:textId="77777777" w:rsidR="000E1BC6" w:rsidRPr="00F01347" w:rsidRDefault="000E1BC6" w:rsidP="000E1BC6">
            <w:pPr>
              <w:pStyle w:val="texto0"/>
              <w:ind w:firstLine="0"/>
              <w:jc w:val="center"/>
              <w:rPr>
                <w:rFonts w:ascii="Verdana" w:hAnsi="Verdana"/>
                <w:b/>
                <w:sz w:val="16"/>
                <w:szCs w:val="16"/>
              </w:rPr>
            </w:pPr>
            <w:r w:rsidRPr="00F01347">
              <w:rPr>
                <w:rFonts w:ascii="Verdana" w:hAnsi="Verdana"/>
                <w:b/>
                <w:sz w:val="16"/>
                <w:szCs w:val="16"/>
              </w:rPr>
              <w:t xml:space="preserve">B.7.4 MÉTODO DE PRUEBA PARA LA DETERMINACIÓN DE NITRÓGENO </w:t>
            </w:r>
            <w:proofErr w:type="gramStart"/>
            <w:r w:rsidRPr="00F01347">
              <w:rPr>
                <w:rFonts w:ascii="Verdana" w:hAnsi="Verdana"/>
                <w:b/>
                <w:sz w:val="16"/>
                <w:szCs w:val="16"/>
              </w:rPr>
              <w:t>AMONIACAL  EN</w:t>
            </w:r>
            <w:proofErr w:type="gramEnd"/>
            <w:r w:rsidRPr="00F01347">
              <w:rPr>
                <w:rFonts w:ascii="Verdana" w:hAnsi="Verdana"/>
                <w:b/>
                <w:sz w:val="16"/>
                <w:szCs w:val="16"/>
              </w:rPr>
              <w:t xml:space="preserve"> AGUA PARA USO Y CONSUMO HUMANO POR COLORIMETRÍA AUTOMATIZADA</w:t>
            </w:r>
          </w:p>
        </w:tc>
        <w:tc>
          <w:tcPr>
            <w:tcW w:w="4675" w:type="dxa"/>
          </w:tcPr>
          <w:p w14:paraId="295215DE" w14:textId="29814E00" w:rsidR="000E1BC6" w:rsidRPr="00F01347" w:rsidRDefault="000E1BC6" w:rsidP="000E1BC6">
            <w:pPr>
              <w:pStyle w:val="texto0"/>
              <w:ind w:firstLine="0"/>
              <w:jc w:val="center"/>
              <w:rPr>
                <w:rFonts w:ascii="Verdana" w:hAnsi="Verdana"/>
                <w:b/>
                <w:sz w:val="16"/>
                <w:szCs w:val="16"/>
                <w:lang w:val="en-US"/>
              </w:rPr>
            </w:pPr>
            <w:r w:rsidRPr="00F01347">
              <w:rPr>
                <w:rFonts w:ascii="Verdana" w:hAnsi="Verdana"/>
                <w:b/>
                <w:sz w:val="16"/>
                <w:szCs w:val="16"/>
                <w:lang w:val="en-US"/>
              </w:rPr>
              <w:t>B.7.4 TEST METHOD FOR THE DETERMINATION OF AMMONIAC NITROGEN IN WATER FOR HUMAN USE AND CONSUMPTION BY AUTOMATED COLORIMETRY</w:t>
            </w:r>
          </w:p>
        </w:tc>
      </w:tr>
      <w:tr w:rsidR="000E1BC6" w:rsidRPr="00F01347" w14:paraId="5A289800" w14:textId="59120C1C" w:rsidTr="003603F9">
        <w:tc>
          <w:tcPr>
            <w:tcW w:w="4675" w:type="dxa"/>
          </w:tcPr>
          <w:p w14:paraId="780104F8" w14:textId="77777777" w:rsidR="000E1BC6" w:rsidRPr="00F01347" w:rsidRDefault="000E1BC6" w:rsidP="000E1BC6">
            <w:pPr>
              <w:pStyle w:val="texto0"/>
              <w:ind w:firstLine="0"/>
              <w:rPr>
                <w:rFonts w:ascii="Verdana" w:hAnsi="Verdana"/>
                <w:b/>
                <w:sz w:val="16"/>
                <w:szCs w:val="16"/>
              </w:rPr>
            </w:pPr>
            <w:r w:rsidRPr="00F01347">
              <w:rPr>
                <w:rFonts w:ascii="Verdana" w:hAnsi="Verdana"/>
                <w:b/>
                <w:sz w:val="16"/>
                <w:szCs w:val="16"/>
              </w:rPr>
              <w:t>B.7.4.1 Definiciones y términos</w:t>
            </w:r>
          </w:p>
        </w:tc>
        <w:tc>
          <w:tcPr>
            <w:tcW w:w="4675" w:type="dxa"/>
          </w:tcPr>
          <w:p w14:paraId="24677F04" w14:textId="609A19A9"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B.7.4.1 Definitions and terms</w:t>
            </w:r>
          </w:p>
        </w:tc>
      </w:tr>
      <w:tr w:rsidR="000E1BC6" w:rsidRPr="00F01347" w14:paraId="0433139B" w14:textId="2871C9E9" w:rsidTr="003603F9">
        <w:tc>
          <w:tcPr>
            <w:tcW w:w="4675" w:type="dxa"/>
          </w:tcPr>
          <w:p w14:paraId="625C2638"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Análisis de blanco analítico</w:t>
            </w:r>
            <w:r w:rsidRPr="00F01347">
              <w:rPr>
                <w:rFonts w:ascii="Verdana" w:hAnsi="Verdana"/>
                <w:sz w:val="16"/>
                <w:szCs w:val="16"/>
              </w:rPr>
              <w:t>, someter una alícuota de agua reactivo a todo el proceso de análisis por el cual pasa una muestra real. Los laboratorios deben realizar los análisis de blancos para corregir la señal de fondo del sistema de medición. El análisis de blancos se realizará en forma periódica o con cada lote de muestras según lo requiera el método.</w:t>
            </w:r>
          </w:p>
        </w:tc>
        <w:tc>
          <w:tcPr>
            <w:tcW w:w="4675" w:type="dxa"/>
          </w:tcPr>
          <w:p w14:paraId="305BB46E" w14:textId="401FBD6A"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Analytical blank analysis</w:t>
            </w:r>
            <w:r w:rsidR="003E1BA9" w:rsidRPr="00F01347">
              <w:rPr>
                <w:rFonts w:ascii="Verdana" w:hAnsi="Verdana"/>
                <w:b/>
                <w:sz w:val="16"/>
                <w:szCs w:val="16"/>
                <w:lang w:val="en-US"/>
              </w:rPr>
              <w:t>,</w:t>
            </w:r>
            <w:r w:rsidRPr="00F01347">
              <w:rPr>
                <w:rFonts w:ascii="Verdana" w:hAnsi="Verdana"/>
                <w:sz w:val="16"/>
                <w:szCs w:val="16"/>
                <w:lang w:val="en-US"/>
              </w:rPr>
              <w:t xml:space="preserve"> subjecting an aliquot of reagent water to the entire analysis process that a real sample goes through. Laboratories must perform blank analyzes to correct the background signal of the measurement system. Blank analysis will be performed periodically or with each batch of samples as required by the method.</w:t>
            </w:r>
          </w:p>
        </w:tc>
      </w:tr>
      <w:tr w:rsidR="000E1BC6" w:rsidRPr="00F01347" w14:paraId="7933C3F3" w14:textId="3FD1020C" w:rsidTr="003603F9">
        <w:tc>
          <w:tcPr>
            <w:tcW w:w="4675" w:type="dxa"/>
          </w:tcPr>
          <w:p w14:paraId="3683CBF2"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Blanco,</w:t>
            </w:r>
            <w:r w:rsidRPr="00F01347">
              <w:rPr>
                <w:rFonts w:ascii="Verdana" w:hAnsi="Verdana"/>
                <w:sz w:val="16"/>
                <w:szCs w:val="16"/>
              </w:rPr>
              <w:t xml:space="preserve"> al agua reactivo o matriz equivalente a la que no se le aplica ninguna parte del procedimiento analítico y sirve para evaluar la señal de fondo.</w:t>
            </w:r>
          </w:p>
        </w:tc>
        <w:tc>
          <w:tcPr>
            <w:tcW w:w="4675" w:type="dxa"/>
          </w:tcPr>
          <w:p w14:paraId="50484A3E" w14:textId="6734680B"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 xml:space="preserve">Blank, </w:t>
            </w:r>
            <w:r w:rsidRPr="00F01347">
              <w:rPr>
                <w:rFonts w:ascii="Verdana" w:hAnsi="Verdana"/>
                <w:sz w:val="16"/>
                <w:szCs w:val="16"/>
                <w:lang w:val="en-US"/>
              </w:rPr>
              <w:t>reagent water or equivalent matrix to which no part of the analytical procedure is applied and serves to evaluate the background signal.</w:t>
            </w:r>
          </w:p>
        </w:tc>
      </w:tr>
      <w:tr w:rsidR="000E1BC6" w:rsidRPr="00F01347" w14:paraId="2D7B73AD" w14:textId="5A702930" w:rsidTr="003603F9">
        <w:tc>
          <w:tcPr>
            <w:tcW w:w="4675" w:type="dxa"/>
          </w:tcPr>
          <w:p w14:paraId="51F13497"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Blanco analítico o de reactivos</w:t>
            </w:r>
            <w:r w:rsidRPr="00F01347">
              <w:rPr>
                <w:rFonts w:ascii="Verdana" w:hAnsi="Verdana"/>
                <w:sz w:val="16"/>
                <w:szCs w:val="16"/>
              </w:rPr>
              <w:t xml:space="preserve">, al agua reactivo o matriz equivalente que no contiene, por adición </w:t>
            </w:r>
            <w:r w:rsidRPr="00F01347">
              <w:rPr>
                <w:rFonts w:ascii="Verdana" w:hAnsi="Verdana"/>
                <w:sz w:val="16"/>
                <w:szCs w:val="16"/>
              </w:rPr>
              <w:lastRenderedPageBreak/>
              <w:t>deliberada, la presencia de ningún analito o sustancia por determinar, pero que contiene los mismos disolventes, reactivos y se somete al mismo procedimiento analítico que la muestra problema.</w:t>
            </w:r>
          </w:p>
        </w:tc>
        <w:tc>
          <w:tcPr>
            <w:tcW w:w="4675" w:type="dxa"/>
          </w:tcPr>
          <w:p w14:paraId="1BE8EC9C" w14:textId="04738729"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lastRenderedPageBreak/>
              <w:t>Analytical or reagent blank</w:t>
            </w:r>
            <w:r w:rsidR="003E1BA9" w:rsidRPr="00F01347">
              <w:rPr>
                <w:rFonts w:ascii="Verdana" w:hAnsi="Verdana"/>
                <w:b/>
                <w:sz w:val="16"/>
                <w:szCs w:val="16"/>
                <w:lang w:val="en-US"/>
              </w:rPr>
              <w:t>,</w:t>
            </w:r>
            <w:r w:rsidRPr="00F01347">
              <w:rPr>
                <w:rFonts w:ascii="Verdana" w:hAnsi="Verdana"/>
                <w:sz w:val="16"/>
                <w:szCs w:val="16"/>
                <w:lang w:val="en-US"/>
              </w:rPr>
              <w:t xml:space="preserve"> reagent water or equivalent matrix that does not contain, by deliberate </w:t>
            </w:r>
            <w:r w:rsidRPr="00F01347">
              <w:rPr>
                <w:rFonts w:ascii="Verdana" w:hAnsi="Verdana"/>
                <w:sz w:val="16"/>
                <w:szCs w:val="16"/>
                <w:lang w:val="en-US"/>
              </w:rPr>
              <w:lastRenderedPageBreak/>
              <w:t>addition, the presence of any analyte or substance to be determined, but that contains the same solvents, reagents and is subjected to the same analytical procedure as the test sample.</w:t>
            </w:r>
          </w:p>
        </w:tc>
      </w:tr>
      <w:tr w:rsidR="000E1BC6" w:rsidRPr="00F01347" w14:paraId="5E6D2204" w14:textId="1A5B0B0E" w:rsidTr="003603F9">
        <w:tc>
          <w:tcPr>
            <w:tcW w:w="4675" w:type="dxa"/>
          </w:tcPr>
          <w:p w14:paraId="7411801F"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lastRenderedPageBreak/>
              <w:t>Blanco fortificado,</w:t>
            </w:r>
            <w:r w:rsidRPr="00F01347">
              <w:rPr>
                <w:rFonts w:ascii="Verdana" w:hAnsi="Verdana"/>
                <w:sz w:val="16"/>
                <w:szCs w:val="16"/>
              </w:rPr>
              <w:t xml:space="preserve"> al estándar preparado a partir de una muestra blanco (agua o agua reactivo) a la cual se agrega el analito en una concentración conocida y no necesariamente de una fuente diferente a la que se usa para la calibración. Se prepara al menos uno por cada lote de muestras.</w:t>
            </w:r>
          </w:p>
        </w:tc>
        <w:tc>
          <w:tcPr>
            <w:tcW w:w="4675" w:type="dxa"/>
          </w:tcPr>
          <w:p w14:paraId="31C3D095" w14:textId="7A4CB7B6"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 xml:space="preserve">Fortified blank, </w:t>
            </w:r>
            <w:r w:rsidRPr="00F01347">
              <w:rPr>
                <w:rFonts w:ascii="Verdana" w:hAnsi="Verdana"/>
                <w:sz w:val="16"/>
                <w:szCs w:val="16"/>
                <w:lang w:val="en-US"/>
              </w:rPr>
              <w:t>the standard prepared from a blank sample (water or reagent water) to which the analyte is added in a known concentration and not necessarily from a source different from that used for calibration. At least one is prepared for each batch of samples.</w:t>
            </w:r>
          </w:p>
        </w:tc>
      </w:tr>
      <w:tr w:rsidR="000E1BC6" w:rsidRPr="00F01347" w14:paraId="0454AB36" w14:textId="2AB1B300" w:rsidTr="003603F9">
        <w:tc>
          <w:tcPr>
            <w:tcW w:w="4675" w:type="dxa"/>
          </w:tcPr>
          <w:p w14:paraId="1BBEDDEE"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Calibración</w:t>
            </w:r>
            <w:r w:rsidRPr="00F01347">
              <w:rPr>
                <w:rFonts w:ascii="Verdana" w:hAnsi="Verdana"/>
                <w:sz w:val="16"/>
                <w:szCs w:val="16"/>
              </w:rPr>
              <w:t>, al conjunto de operaciones que establecen, bajo condiciones específicas, la relación entre los valores de una magnitud indicados por un instrumento o sistema de medición, o los valores representados por una medida materializada y los valores correspondientes de la magnitud, realizados por los patrones, efectuando una corrección del instrumento de medición para llevarlo a las condiciones iniciales de funcionamiento.</w:t>
            </w:r>
          </w:p>
        </w:tc>
        <w:tc>
          <w:tcPr>
            <w:tcW w:w="4675" w:type="dxa"/>
          </w:tcPr>
          <w:p w14:paraId="7E2CCCFB" w14:textId="738F357C"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Calibration</w:t>
            </w:r>
            <w:r w:rsidR="003E1BA9" w:rsidRPr="00F01347">
              <w:rPr>
                <w:rFonts w:ascii="Verdana" w:hAnsi="Verdana"/>
                <w:b/>
                <w:sz w:val="16"/>
                <w:szCs w:val="16"/>
                <w:lang w:val="en-US"/>
              </w:rPr>
              <w:t>,</w:t>
            </w:r>
            <w:r w:rsidRPr="00F01347">
              <w:rPr>
                <w:rFonts w:ascii="Verdana" w:hAnsi="Verdana"/>
                <w:sz w:val="16"/>
                <w:szCs w:val="16"/>
                <w:lang w:val="en-US"/>
              </w:rPr>
              <w:t xml:space="preserve"> the set of operations that establish, under specific conditions, the relationship between the values of a magnitude indicated by an instrument or measurement system, or the values represented by a materialized measurement and the corresponding values of the magnitude, made by the standards</w:t>
            </w:r>
            <w:r w:rsidR="003E1BA9" w:rsidRPr="00F01347">
              <w:rPr>
                <w:rFonts w:ascii="Verdana" w:hAnsi="Verdana"/>
                <w:sz w:val="16"/>
                <w:szCs w:val="16"/>
                <w:lang w:val="en-US"/>
              </w:rPr>
              <w:t>,</w:t>
            </w:r>
            <w:r w:rsidRPr="00F01347">
              <w:rPr>
                <w:rFonts w:ascii="Verdana" w:hAnsi="Verdana"/>
                <w:sz w:val="16"/>
                <w:szCs w:val="16"/>
                <w:lang w:val="en-US"/>
              </w:rPr>
              <w:t xml:space="preserve"> carrying out a correction of the measuring instrument to bring it to the initial operating conditions.</w:t>
            </w:r>
          </w:p>
        </w:tc>
      </w:tr>
      <w:tr w:rsidR="000E1BC6" w:rsidRPr="00F01347" w14:paraId="06486315" w14:textId="165C8E81" w:rsidTr="003603F9">
        <w:tc>
          <w:tcPr>
            <w:tcW w:w="4675" w:type="dxa"/>
          </w:tcPr>
          <w:p w14:paraId="3F38EF7D"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Desviación estándar experimental</w:t>
            </w:r>
            <w:r w:rsidRPr="00F01347">
              <w:rPr>
                <w:rFonts w:ascii="Verdana" w:hAnsi="Verdana"/>
                <w:sz w:val="16"/>
                <w:szCs w:val="16"/>
              </w:rPr>
              <w:t xml:space="preserve">, para una serie de mediciones </w:t>
            </w:r>
            <w:proofErr w:type="gramStart"/>
            <w:r w:rsidRPr="00F01347">
              <w:rPr>
                <w:rFonts w:ascii="Verdana" w:hAnsi="Verdana"/>
                <w:sz w:val="16"/>
                <w:szCs w:val="16"/>
              </w:rPr>
              <w:t>del mismo</w:t>
            </w:r>
            <w:proofErr w:type="gramEnd"/>
            <w:r w:rsidRPr="00F01347">
              <w:rPr>
                <w:rFonts w:ascii="Verdana" w:hAnsi="Verdana"/>
                <w:sz w:val="16"/>
                <w:szCs w:val="16"/>
              </w:rPr>
              <w:t xml:space="preserve"> mensurando, es la magnitud que caracteriza la dispersión de los resultados.</w:t>
            </w:r>
          </w:p>
        </w:tc>
        <w:tc>
          <w:tcPr>
            <w:tcW w:w="4675" w:type="dxa"/>
          </w:tcPr>
          <w:p w14:paraId="77D39CB0" w14:textId="25CC2C2C"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Experimental standard deviation</w:t>
            </w:r>
            <w:r w:rsidR="003E1BA9" w:rsidRPr="00F01347">
              <w:rPr>
                <w:rFonts w:ascii="Verdana" w:hAnsi="Verdana"/>
                <w:b/>
                <w:sz w:val="16"/>
                <w:szCs w:val="16"/>
                <w:lang w:val="en-US"/>
              </w:rPr>
              <w:t>,</w:t>
            </w:r>
            <w:r w:rsidRPr="00F01347">
              <w:rPr>
                <w:rFonts w:ascii="Verdana" w:hAnsi="Verdana"/>
                <w:sz w:val="16"/>
                <w:szCs w:val="16"/>
                <w:lang w:val="en-US"/>
              </w:rPr>
              <w:t xml:space="preserve"> for a series of measurements of the same measurand, is the magnitude that characterizes the dispersion of the results.</w:t>
            </w:r>
          </w:p>
        </w:tc>
      </w:tr>
      <w:tr w:rsidR="000E1BC6" w:rsidRPr="00F01347" w14:paraId="086B1CAC" w14:textId="4E2966D7" w:rsidTr="003603F9">
        <w:tc>
          <w:tcPr>
            <w:tcW w:w="4675" w:type="dxa"/>
          </w:tcPr>
          <w:p w14:paraId="220DD9D9"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Disolución estándar</w:t>
            </w:r>
            <w:r w:rsidRPr="00F01347">
              <w:rPr>
                <w:rFonts w:ascii="Verdana" w:hAnsi="Verdana"/>
                <w:sz w:val="16"/>
                <w:szCs w:val="16"/>
              </w:rPr>
              <w:t>, a la disolución de concentración conocida preparada a partir de un patrón primario.</w:t>
            </w:r>
          </w:p>
        </w:tc>
        <w:tc>
          <w:tcPr>
            <w:tcW w:w="4675" w:type="dxa"/>
          </w:tcPr>
          <w:p w14:paraId="255B129D" w14:textId="0EBC4CA2"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Standard solution</w:t>
            </w:r>
            <w:r w:rsidR="003E1BA9" w:rsidRPr="00F01347">
              <w:rPr>
                <w:rFonts w:ascii="Verdana" w:hAnsi="Verdana"/>
                <w:b/>
                <w:sz w:val="16"/>
                <w:szCs w:val="16"/>
                <w:lang w:val="en-US"/>
              </w:rPr>
              <w:t>,</w:t>
            </w:r>
            <w:r w:rsidRPr="00F01347">
              <w:rPr>
                <w:rFonts w:ascii="Verdana" w:hAnsi="Verdana"/>
                <w:sz w:val="16"/>
                <w:szCs w:val="16"/>
                <w:lang w:val="en-US"/>
              </w:rPr>
              <w:t xml:space="preserve"> to the solution of known concentration prepared from a primary standard.</w:t>
            </w:r>
          </w:p>
        </w:tc>
      </w:tr>
      <w:tr w:rsidR="000E1BC6" w:rsidRPr="00F01347" w14:paraId="42091E7D" w14:textId="61C123AB" w:rsidTr="003603F9">
        <w:tc>
          <w:tcPr>
            <w:tcW w:w="4675" w:type="dxa"/>
          </w:tcPr>
          <w:p w14:paraId="1037A6DD"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Disolución madre</w:t>
            </w:r>
            <w:r w:rsidRPr="00F01347">
              <w:rPr>
                <w:rFonts w:ascii="Verdana" w:hAnsi="Verdana"/>
                <w:sz w:val="16"/>
                <w:szCs w:val="16"/>
              </w:rPr>
              <w:t>, corresponde a la disolución de máxima concentración en un análisis. Es a partir de esta disolución que se preparan las disoluciones de trabajo.</w:t>
            </w:r>
          </w:p>
        </w:tc>
        <w:tc>
          <w:tcPr>
            <w:tcW w:w="4675" w:type="dxa"/>
          </w:tcPr>
          <w:p w14:paraId="49822FD6" w14:textId="2710461E" w:rsidR="000E1BC6" w:rsidRPr="00F01347" w:rsidRDefault="000209D2" w:rsidP="000E1BC6">
            <w:pPr>
              <w:pStyle w:val="texto0"/>
              <w:ind w:firstLine="0"/>
              <w:rPr>
                <w:rFonts w:ascii="Verdana" w:hAnsi="Verdana"/>
                <w:b/>
                <w:sz w:val="16"/>
                <w:szCs w:val="16"/>
                <w:lang w:val="en-US"/>
              </w:rPr>
            </w:pPr>
            <w:r w:rsidRPr="00F01347">
              <w:rPr>
                <w:rFonts w:ascii="Verdana" w:hAnsi="Verdana"/>
                <w:b/>
                <w:sz w:val="16"/>
                <w:szCs w:val="16"/>
                <w:lang w:val="en-US"/>
              </w:rPr>
              <w:t>Mother solution</w:t>
            </w:r>
            <w:r w:rsidR="000E1BC6" w:rsidRPr="00F01347">
              <w:rPr>
                <w:rFonts w:ascii="Verdana" w:hAnsi="Verdana"/>
                <w:sz w:val="16"/>
                <w:szCs w:val="16"/>
                <w:lang w:val="en-US"/>
              </w:rPr>
              <w:t xml:space="preserve"> corresponds to the solution of maximum concentration in an analysis. It is from this solution that the working solutions are prepared.</w:t>
            </w:r>
          </w:p>
        </w:tc>
      </w:tr>
      <w:tr w:rsidR="000E1BC6" w:rsidRPr="00F01347" w14:paraId="1A416BD7" w14:textId="2D41AD5D" w:rsidTr="003603F9">
        <w:tc>
          <w:tcPr>
            <w:tcW w:w="4675" w:type="dxa"/>
          </w:tcPr>
          <w:p w14:paraId="72E36FB5"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Disolución patrón</w:t>
            </w:r>
            <w:r w:rsidRPr="00F01347">
              <w:rPr>
                <w:rFonts w:ascii="Verdana" w:hAnsi="Verdana"/>
                <w:sz w:val="16"/>
                <w:szCs w:val="16"/>
              </w:rPr>
              <w:t>, a la disolución de concentración conocida preparada a partir de un patrón primario.</w:t>
            </w:r>
          </w:p>
        </w:tc>
        <w:tc>
          <w:tcPr>
            <w:tcW w:w="4675" w:type="dxa"/>
          </w:tcPr>
          <w:p w14:paraId="4BA4A300" w14:textId="62003BE2"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Standard solution</w:t>
            </w:r>
            <w:r w:rsidR="003E1BA9" w:rsidRPr="00F01347">
              <w:rPr>
                <w:rFonts w:ascii="Verdana" w:hAnsi="Verdana"/>
                <w:b/>
                <w:sz w:val="16"/>
                <w:szCs w:val="16"/>
                <w:lang w:val="en-US"/>
              </w:rPr>
              <w:t>,</w:t>
            </w:r>
            <w:r w:rsidRPr="00F01347">
              <w:rPr>
                <w:rFonts w:ascii="Verdana" w:hAnsi="Verdana"/>
                <w:sz w:val="16"/>
                <w:szCs w:val="16"/>
                <w:lang w:val="en-US"/>
              </w:rPr>
              <w:t xml:space="preserve"> the solution of known concentration prepared from a primary standard.</w:t>
            </w:r>
          </w:p>
        </w:tc>
      </w:tr>
      <w:tr w:rsidR="000E1BC6" w:rsidRPr="00F01347" w14:paraId="66C0649F" w14:textId="09CEF9BE" w:rsidTr="003603F9">
        <w:tc>
          <w:tcPr>
            <w:tcW w:w="4675" w:type="dxa"/>
          </w:tcPr>
          <w:p w14:paraId="5AD2DEF6"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Exactitud</w:t>
            </w:r>
            <w:r w:rsidRPr="00F01347">
              <w:rPr>
                <w:rFonts w:ascii="Verdana" w:hAnsi="Verdana"/>
                <w:sz w:val="16"/>
                <w:szCs w:val="16"/>
              </w:rPr>
              <w:t>, proximidad de concordancia entre el resultado de una medición y un valor verdadero del mesurado.</w:t>
            </w:r>
          </w:p>
        </w:tc>
        <w:tc>
          <w:tcPr>
            <w:tcW w:w="4675" w:type="dxa"/>
          </w:tcPr>
          <w:p w14:paraId="644FA82A" w14:textId="11F8E4B6"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Accuracy</w:t>
            </w:r>
            <w:r w:rsidR="003E1BA9" w:rsidRPr="00F01347">
              <w:rPr>
                <w:rFonts w:ascii="Verdana" w:hAnsi="Verdana"/>
                <w:b/>
                <w:sz w:val="16"/>
                <w:szCs w:val="16"/>
                <w:lang w:val="en-US"/>
              </w:rPr>
              <w:t>,</w:t>
            </w:r>
            <w:r w:rsidRPr="00F01347">
              <w:rPr>
                <w:rFonts w:ascii="Verdana" w:hAnsi="Verdana"/>
                <w:sz w:val="16"/>
                <w:szCs w:val="16"/>
                <w:lang w:val="en-US"/>
              </w:rPr>
              <w:t xml:space="preserve"> proximity of agreement between the result of a measurement and a true value of the measured one.</w:t>
            </w:r>
          </w:p>
        </w:tc>
      </w:tr>
      <w:tr w:rsidR="000E1BC6" w:rsidRPr="00F01347" w14:paraId="4073CFAA" w14:textId="43EF4525" w:rsidTr="003603F9">
        <w:tc>
          <w:tcPr>
            <w:tcW w:w="4675" w:type="dxa"/>
          </w:tcPr>
          <w:p w14:paraId="7DE11F1E"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Límite de detección del método (LDM</w:t>
            </w:r>
            <w:r w:rsidRPr="00F01347">
              <w:rPr>
                <w:rFonts w:ascii="Verdana" w:hAnsi="Verdana"/>
                <w:sz w:val="16"/>
                <w:szCs w:val="16"/>
              </w:rPr>
              <w:t xml:space="preserve">), a la concentración mínima del analito que puede </w:t>
            </w:r>
            <w:proofErr w:type="gramStart"/>
            <w:r w:rsidRPr="00F01347">
              <w:rPr>
                <w:rFonts w:ascii="Verdana" w:hAnsi="Verdana"/>
                <w:sz w:val="16"/>
                <w:szCs w:val="16"/>
              </w:rPr>
              <w:t>detectarse</w:t>
            </w:r>
            <w:proofErr w:type="gramEnd"/>
            <w:r w:rsidRPr="00F01347">
              <w:rPr>
                <w:rFonts w:ascii="Verdana" w:hAnsi="Verdana"/>
                <w:sz w:val="16"/>
                <w:szCs w:val="16"/>
              </w:rPr>
              <w:t xml:space="preserve"> pero no necesariamente cuantificarse bajo las condiciones de operación establecidas. Este límite de detección generalmente se logra por analistas experimentados con equipo bien calibrado y bajo condiciones no rutinarias.</w:t>
            </w:r>
          </w:p>
        </w:tc>
        <w:tc>
          <w:tcPr>
            <w:tcW w:w="4675" w:type="dxa"/>
          </w:tcPr>
          <w:p w14:paraId="4D3C880A" w14:textId="6CEF92D9"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Limit of detection of the method (LD</w:t>
            </w:r>
            <w:r w:rsidR="000209D2" w:rsidRPr="00F01347">
              <w:rPr>
                <w:rFonts w:ascii="Verdana" w:hAnsi="Verdana"/>
                <w:b/>
                <w:sz w:val="16"/>
                <w:szCs w:val="16"/>
                <w:lang w:val="en-US"/>
              </w:rPr>
              <w:t>M</w:t>
            </w:r>
            <w:r w:rsidR="00913802" w:rsidRPr="00F01347">
              <w:rPr>
                <w:rFonts w:ascii="Verdana" w:hAnsi="Verdana"/>
                <w:b/>
                <w:sz w:val="16"/>
                <w:szCs w:val="16"/>
                <w:lang w:val="en-US"/>
              </w:rPr>
              <w:t>)</w:t>
            </w:r>
            <w:r w:rsidRPr="00F01347">
              <w:rPr>
                <w:rFonts w:ascii="Verdana" w:hAnsi="Verdana"/>
                <w:sz w:val="16"/>
                <w:szCs w:val="16"/>
                <w:lang w:val="en-US"/>
              </w:rPr>
              <w:t>, the minimum concentration of the analyte that can be detected but not necessarily quantified under the established operating conditions. This detection limit is usually achieved by experienced analysts with well-calibrated equipment and under non-routine conditions.</w:t>
            </w:r>
          </w:p>
        </w:tc>
      </w:tr>
      <w:tr w:rsidR="000E1BC6" w:rsidRPr="00F01347" w14:paraId="32340380" w14:textId="7FC20B0F" w:rsidTr="003603F9">
        <w:tc>
          <w:tcPr>
            <w:tcW w:w="4675" w:type="dxa"/>
          </w:tcPr>
          <w:p w14:paraId="35F279B6" w14:textId="77777777" w:rsidR="000E1BC6" w:rsidRPr="00F01347" w:rsidRDefault="000E1BC6" w:rsidP="000E1BC6">
            <w:pPr>
              <w:pStyle w:val="texto0"/>
              <w:spacing w:line="220" w:lineRule="exact"/>
              <w:ind w:firstLine="0"/>
              <w:rPr>
                <w:rFonts w:ascii="Verdana" w:hAnsi="Verdana"/>
                <w:sz w:val="16"/>
                <w:szCs w:val="16"/>
              </w:rPr>
            </w:pPr>
            <w:r w:rsidRPr="00F01347">
              <w:rPr>
                <w:rFonts w:ascii="Verdana" w:hAnsi="Verdana"/>
                <w:b/>
                <w:sz w:val="16"/>
                <w:szCs w:val="16"/>
              </w:rPr>
              <w:t>Límite práctico de cuantificación (LPC)</w:t>
            </w:r>
            <w:r w:rsidRPr="00F01347">
              <w:rPr>
                <w:rFonts w:ascii="Verdana" w:hAnsi="Verdana"/>
                <w:sz w:val="16"/>
                <w:szCs w:val="16"/>
              </w:rPr>
              <w:t>, a la concentración mínima del analito que puede determinarse con un nivel de confianza predeterminado en condiciones rutinarias de operación. Este límite puede establecerse entre 5 a 10 veces el LDM.</w:t>
            </w:r>
          </w:p>
        </w:tc>
        <w:tc>
          <w:tcPr>
            <w:tcW w:w="4675" w:type="dxa"/>
          </w:tcPr>
          <w:p w14:paraId="522F39EE" w14:textId="2B301C3E" w:rsidR="000E1BC6" w:rsidRPr="00F01347" w:rsidRDefault="000E1BC6" w:rsidP="000E1BC6">
            <w:pPr>
              <w:pStyle w:val="texto0"/>
              <w:spacing w:line="220" w:lineRule="exact"/>
              <w:ind w:firstLine="0"/>
              <w:rPr>
                <w:rFonts w:ascii="Verdana" w:hAnsi="Verdana"/>
                <w:b/>
                <w:sz w:val="16"/>
                <w:szCs w:val="16"/>
                <w:lang w:val="en-US"/>
              </w:rPr>
            </w:pPr>
            <w:r w:rsidRPr="00F01347">
              <w:rPr>
                <w:rFonts w:ascii="Verdana" w:hAnsi="Verdana"/>
                <w:b/>
                <w:sz w:val="16"/>
                <w:szCs w:val="16"/>
                <w:lang w:val="en-US"/>
              </w:rPr>
              <w:t>Practical limit of quantification (LPC)</w:t>
            </w:r>
            <w:r w:rsidR="003E1BA9" w:rsidRPr="00F01347">
              <w:rPr>
                <w:rFonts w:ascii="Verdana" w:hAnsi="Verdana"/>
                <w:b/>
                <w:sz w:val="16"/>
                <w:szCs w:val="16"/>
                <w:lang w:val="en-US"/>
              </w:rPr>
              <w:t>,</w:t>
            </w:r>
            <w:r w:rsidRPr="00F01347">
              <w:rPr>
                <w:rFonts w:ascii="Verdana" w:hAnsi="Verdana"/>
                <w:sz w:val="16"/>
                <w:szCs w:val="16"/>
                <w:lang w:val="en-US"/>
              </w:rPr>
              <w:t xml:space="preserve"> the minimum concentration of the analyte that can be determined with a predetermined level of confidence under routine operating conditions. This limit can be set between 5 to 10 times the </w:t>
            </w:r>
            <w:r w:rsidR="000209D2" w:rsidRPr="00F01347">
              <w:rPr>
                <w:rFonts w:ascii="Verdana" w:hAnsi="Verdana"/>
                <w:sz w:val="16"/>
                <w:szCs w:val="16"/>
                <w:lang w:val="en-US"/>
              </w:rPr>
              <w:t>LDM</w:t>
            </w:r>
            <w:r w:rsidRPr="00F01347">
              <w:rPr>
                <w:rFonts w:ascii="Verdana" w:hAnsi="Verdana"/>
                <w:sz w:val="16"/>
                <w:szCs w:val="16"/>
                <w:lang w:val="en-US"/>
              </w:rPr>
              <w:t>.</w:t>
            </w:r>
          </w:p>
        </w:tc>
      </w:tr>
      <w:tr w:rsidR="000E1BC6" w:rsidRPr="00F01347" w14:paraId="41E681B6" w14:textId="01E9303E" w:rsidTr="003603F9">
        <w:tc>
          <w:tcPr>
            <w:tcW w:w="4675" w:type="dxa"/>
          </w:tcPr>
          <w:p w14:paraId="10770AD0" w14:textId="77777777" w:rsidR="000E1BC6" w:rsidRPr="00F01347" w:rsidRDefault="000E1BC6" w:rsidP="000E1BC6">
            <w:pPr>
              <w:pStyle w:val="texto0"/>
              <w:spacing w:line="220" w:lineRule="exact"/>
              <w:ind w:firstLine="0"/>
              <w:rPr>
                <w:rFonts w:ascii="Verdana" w:hAnsi="Verdana"/>
                <w:sz w:val="16"/>
                <w:szCs w:val="16"/>
              </w:rPr>
            </w:pPr>
            <w:r w:rsidRPr="00F01347">
              <w:rPr>
                <w:rFonts w:ascii="Verdana" w:hAnsi="Verdana"/>
                <w:b/>
                <w:sz w:val="16"/>
                <w:szCs w:val="16"/>
              </w:rPr>
              <w:t>Material de referencia,</w:t>
            </w:r>
            <w:r w:rsidRPr="00F01347">
              <w:rPr>
                <w:rFonts w:ascii="Verdana" w:hAnsi="Verdana"/>
                <w:sz w:val="16"/>
                <w:szCs w:val="16"/>
              </w:rPr>
              <w:t xml:space="preserve"> al material o sustancia en el cual uno o más valores de sus propiedades son suficientemente homogéneos y bien definidos, para ser utilizadas para la calibración de aparatos, la evaluación de un método de medición o para asignar valores a los materiales.</w:t>
            </w:r>
          </w:p>
        </w:tc>
        <w:tc>
          <w:tcPr>
            <w:tcW w:w="4675" w:type="dxa"/>
          </w:tcPr>
          <w:p w14:paraId="69EC6588" w14:textId="4E1543E2" w:rsidR="000E1BC6" w:rsidRPr="00F01347" w:rsidRDefault="000E1BC6" w:rsidP="000E1BC6">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Reference material, </w:t>
            </w:r>
            <w:r w:rsidRPr="00F01347">
              <w:rPr>
                <w:rFonts w:ascii="Verdana" w:hAnsi="Verdana"/>
                <w:sz w:val="16"/>
                <w:szCs w:val="16"/>
                <w:lang w:val="en-US"/>
              </w:rPr>
              <w:t>the material or substance in which one or more values of its properties are sufficiently homogeneous and well defined, to be used for the calibration of devices, the evaluation of a measurement method or to assign values to materials.</w:t>
            </w:r>
          </w:p>
        </w:tc>
      </w:tr>
      <w:tr w:rsidR="000E1BC6" w:rsidRPr="00F01347" w14:paraId="1A03F8BE" w14:textId="567E72FC" w:rsidTr="003603F9">
        <w:tc>
          <w:tcPr>
            <w:tcW w:w="4675" w:type="dxa"/>
          </w:tcPr>
          <w:p w14:paraId="430B0D24" w14:textId="77777777" w:rsidR="000E1BC6" w:rsidRPr="00F01347" w:rsidRDefault="000E1BC6" w:rsidP="000E1BC6">
            <w:pPr>
              <w:pStyle w:val="texto0"/>
              <w:spacing w:line="220" w:lineRule="exact"/>
              <w:ind w:firstLine="0"/>
              <w:rPr>
                <w:rFonts w:ascii="Verdana" w:hAnsi="Verdana"/>
                <w:sz w:val="16"/>
                <w:szCs w:val="16"/>
              </w:rPr>
            </w:pPr>
            <w:r w:rsidRPr="00F01347">
              <w:rPr>
                <w:rFonts w:ascii="Verdana" w:hAnsi="Verdana"/>
                <w:b/>
                <w:sz w:val="16"/>
                <w:szCs w:val="16"/>
              </w:rPr>
              <w:t>Material de referencia certificado</w:t>
            </w:r>
            <w:r w:rsidRPr="00F01347">
              <w:rPr>
                <w:rFonts w:ascii="Verdana" w:hAnsi="Verdana"/>
                <w:sz w:val="16"/>
                <w:szCs w:val="16"/>
              </w:rPr>
              <w:t xml:space="preserve">, al material de referencia, acompañado de un certificado, en el cual uno o más valores de las propiedades están certificados </w:t>
            </w:r>
            <w:r w:rsidRPr="00F01347">
              <w:rPr>
                <w:rFonts w:ascii="Verdana" w:hAnsi="Verdana"/>
                <w:sz w:val="16"/>
                <w:szCs w:val="16"/>
              </w:rPr>
              <w:lastRenderedPageBreak/>
              <w:t>por un procedimiento que establece la trazabilidad a una realización exacta de la unidad en la cual se expresa los valores de la propiedad, y en el que cada valor certificado se acompaña de una incertidumbre con un nivel declarado de confianza.</w:t>
            </w:r>
          </w:p>
        </w:tc>
        <w:tc>
          <w:tcPr>
            <w:tcW w:w="4675" w:type="dxa"/>
          </w:tcPr>
          <w:p w14:paraId="4C0E0896" w14:textId="0D05343C" w:rsidR="000E1BC6" w:rsidRPr="00F01347" w:rsidRDefault="000E1BC6" w:rsidP="000E1BC6">
            <w:pPr>
              <w:pStyle w:val="texto0"/>
              <w:spacing w:line="220" w:lineRule="exact"/>
              <w:ind w:firstLine="0"/>
              <w:rPr>
                <w:rFonts w:ascii="Verdana" w:hAnsi="Verdana"/>
                <w:b/>
                <w:sz w:val="16"/>
                <w:szCs w:val="16"/>
                <w:lang w:val="en-US"/>
              </w:rPr>
            </w:pPr>
            <w:r w:rsidRPr="00F01347">
              <w:rPr>
                <w:rFonts w:ascii="Verdana" w:hAnsi="Verdana"/>
                <w:b/>
                <w:sz w:val="16"/>
                <w:szCs w:val="16"/>
                <w:lang w:val="en-US"/>
              </w:rPr>
              <w:lastRenderedPageBreak/>
              <w:t>Certified reference material</w:t>
            </w:r>
            <w:r w:rsidR="003E1BA9" w:rsidRPr="00F01347">
              <w:rPr>
                <w:rFonts w:ascii="Verdana" w:hAnsi="Verdana"/>
                <w:b/>
                <w:sz w:val="16"/>
                <w:szCs w:val="16"/>
                <w:lang w:val="en-US"/>
              </w:rPr>
              <w:t>,</w:t>
            </w:r>
            <w:r w:rsidRPr="00F01347">
              <w:rPr>
                <w:rFonts w:ascii="Verdana" w:hAnsi="Verdana"/>
                <w:sz w:val="16"/>
                <w:szCs w:val="16"/>
                <w:lang w:val="en-US"/>
              </w:rPr>
              <w:t xml:space="preserve"> a reference material, accompanied by a certificate, in which one or more property values are certified by a procedure that </w:t>
            </w:r>
            <w:r w:rsidRPr="00F01347">
              <w:rPr>
                <w:rFonts w:ascii="Verdana" w:hAnsi="Verdana"/>
                <w:sz w:val="16"/>
                <w:szCs w:val="16"/>
                <w:lang w:val="en-US"/>
              </w:rPr>
              <w:lastRenderedPageBreak/>
              <w:t>establishes traceability to an exact embodiment of the unit in which the values of the property are expressed. property, and in which each certified value is accompanied by an uncertainty with a stated level of confidence.</w:t>
            </w:r>
          </w:p>
        </w:tc>
      </w:tr>
      <w:tr w:rsidR="000E1BC6" w:rsidRPr="00F01347" w14:paraId="7D56402E" w14:textId="3796BBC7" w:rsidTr="003603F9">
        <w:tc>
          <w:tcPr>
            <w:tcW w:w="4675" w:type="dxa"/>
          </w:tcPr>
          <w:p w14:paraId="256A629F" w14:textId="77777777" w:rsidR="000E1BC6" w:rsidRPr="00F01347" w:rsidRDefault="000E1BC6" w:rsidP="000E1BC6">
            <w:pPr>
              <w:pStyle w:val="texto0"/>
              <w:spacing w:line="220" w:lineRule="exact"/>
              <w:ind w:firstLine="0"/>
              <w:rPr>
                <w:rFonts w:ascii="Verdana" w:hAnsi="Verdana"/>
                <w:sz w:val="16"/>
                <w:szCs w:val="16"/>
              </w:rPr>
            </w:pPr>
            <w:r w:rsidRPr="00F01347">
              <w:rPr>
                <w:rFonts w:ascii="Verdana" w:hAnsi="Verdana"/>
                <w:b/>
                <w:sz w:val="16"/>
                <w:szCs w:val="16"/>
              </w:rPr>
              <w:lastRenderedPageBreak/>
              <w:t>Medición</w:t>
            </w:r>
            <w:r w:rsidRPr="00F01347">
              <w:rPr>
                <w:rFonts w:ascii="Verdana" w:hAnsi="Verdana"/>
                <w:sz w:val="16"/>
                <w:szCs w:val="16"/>
              </w:rPr>
              <w:t>, al conjunto de operaciones que tiene por objeto determinar el valor de la magnitud.</w:t>
            </w:r>
          </w:p>
        </w:tc>
        <w:tc>
          <w:tcPr>
            <w:tcW w:w="4675" w:type="dxa"/>
          </w:tcPr>
          <w:p w14:paraId="2CAEA16D" w14:textId="09BACD72" w:rsidR="000E1BC6" w:rsidRPr="00F01347" w:rsidRDefault="000E1BC6" w:rsidP="000E1BC6">
            <w:pPr>
              <w:pStyle w:val="texto0"/>
              <w:spacing w:line="220" w:lineRule="exact"/>
              <w:ind w:firstLine="0"/>
              <w:rPr>
                <w:rFonts w:ascii="Verdana" w:hAnsi="Verdana"/>
                <w:b/>
                <w:sz w:val="16"/>
                <w:szCs w:val="16"/>
                <w:lang w:val="en-US"/>
              </w:rPr>
            </w:pPr>
            <w:r w:rsidRPr="00F01347">
              <w:rPr>
                <w:rFonts w:ascii="Verdana" w:hAnsi="Verdana"/>
                <w:b/>
                <w:sz w:val="16"/>
                <w:szCs w:val="16"/>
                <w:lang w:val="en-US"/>
              </w:rPr>
              <w:t>Measurement</w:t>
            </w:r>
            <w:r w:rsidR="003E1BA9" w:rsidRPr="00F01347">
              <w:rPr>
                <w:rFonts w:ascii="Verdana" w:hAnsi="Verdana"/>
                <w:b/>
                <w:sz w:val="16"/>
                <w:szCs w:val="16"/>
                <w:lang w:val="en-US"/>
              </w:rPr>
              <w:t>,</w:t>
            </w:r>
            <w:r w:rsidRPr="00F01347">
              <w:rPr>
                <w:rFonts w:ascii="Verdana" w:hAnsi="Verdana"/>
                <w:sz w:val="16"/>
                <w:szCs w:val="16"/>
                <w:lang w:val="en-US"/>
              </w:rPr>
              <w:t xml:space="preserve"> the set of operations that aims to determine the value of the magnitude.</w:t>
            </w:r>
          </w:p>
        </w:tc>
      </w:tr>
      <w:tr w:rsidR="000E1BC6" w:rsidRPr="00F01347" w14:paraId="3A1A83B0" w14:textId="28D9244C" w:rsidTr="003603F9">
        <w:tc>
          <w:tcPr>
            <w:tcW w:w="4675" w:type="dxa"/>
          </w:tcPr>
          <w:p w14:paraId="70E91D6B" w14:textId="77777777" w:rsidR="000E1BC6" w:rsidRPr="00F01347" w:rsidRDefault="000E1BC6" w:rsidP="000E1BC6">
            <w:pPr>
              <w:pStyle w:val="texto0"/>
              <w:spacing w:line="220" w:lineRule="exact"/>
              <w:ind w:firstLine="0"/>
              <w:rPr>
                <w:rFonts w:ascii="Verdana" w:hAnsi="Verdana"/>
                <w:sz w:val="16"/>
                <w:szCs w:val="16"/>
              </w:rPr>
            </w:pPr>
            <w:r w:rsidRPr="00F01347">
              <w:rPr>
                <w:rFonts w:ascii="Verdana" w:hAnsi="Verdana"/>
                <w:b/>
                <w:sz w:val="16"/>
                <w:szCs w:val="16"/>
              </w:rPr>
              <w:t>Mensurando</w:t>
            </w:r>
            <w:r w:rsidRPr="00F01347">
              <w:rPr>
                <w:rFonts w:ascii="Verdana" w:hAnsi="Verdana"/>
                <w:sz w:val="16"/>
                <w:szCs w:val="16"/>
              </w:rPr>
              <w:t>, a la magnitud particular sujeta a medición.</w:t>
            </w:r>
          </w:p>
        </w:tc>
        <w:tc>
          <w:tcPr>
            <w:tcW w:w="4675" w:type="dxa"/>
          </w:tcPr>
          <w:p w14:paraId="2D524E74" w14:textId="6FB8505C" w:rsidR="000E1BC6" w:rsidRPr="00F01347" w:rsidRDefault="000E1BC6" w:rsidP="000E1BC6">
            <w:pPr>
              <w:pStyle w:val="texto0"/>
              <w:spacing w:line="220" w:lineRule="exact"/>
              <w:ind w:firstLine="0"/>
              <w:rPr>
                <w:rFonts w:ascii="Verdana" w:hAnsi="Verdana"/>
                <w:b/>
                <w:sz w:val="16"/>
                <w:szCs w:val="16"/>
                <w:lang w:val="en-US"/>
              </w:rPr>
            </w:pPr>
            <w:r w:rsidRPr="00F01347">
              <w:rPr>
                <w:rFonts w:ascii="Verdana" w:hAnsi="Verdana"/>
                <w:b/>
                <w:sz w:val="16"/>
                <w:szCs w:val="16"/>
                <w:lang w:val="en-US"/>
              </w:rPr>
              <w:t>Measuring</w:t>
            </w:r>
            <w:r w:rsidR="003E1BA9" w:rsidRPr="00F01347">
              <w:rPr>
                <w:rFonts w:ascii="Verdana" w:hAnsi="Verdana"/>
                <w:b/>
                <w:sz w:val="16"/>
                <w:szCs w:val="16"/>
                <w:lang w:val="en-US"/>
              </w:rPr>
              <w:t>,</w:t>
            </w:r>
            <w:r w:rsidRPr="00F01347">
              <w:rPr>
                <w:rFonts w:ascii="Verdana" w:hAnsi="Verdana"/>
                <w:sz w:val="16"/>
                <w:szCs w:val="16"/>
                <w:lang w:val="en-US"/>
              </w:rPr>
              <w:t xml:space="preserve"> the particular magnitude subject to measurement.</w:t>
            </w:r>
          </w:p>
        </w:tc>
      </w:tr>
      <w:tr w:rsidR="000E1BC6" w:rsidRPr="00F01347" w14:paraId="38E9B9A8" w14:textId="0A4722BD" w:rsidTr="003603F9">
        <w:tc>
          <w:tcPr>
            <w:tcW w:w="4675" w:type="dxa"/>
          </w:tcPr>
          <w:p w14:paraId="263ACD7B" w14:textId="77777777" w:rsidR="000E1BC6" w:rsidRPr="00F01347" w:rsidRDefault="000E1BC6" w:rsidP="000E1BC6">
            <w:pPr>
              <w:pStyle w:val="texto0"/>
              <w:spacing w:line="220" w:lineRule="exact"/>
              <w:ind w:firstLine="0"/>
              <w:rPr>
                <w:rFonts w:ascii="Verdana" w:hAnsi="Verdana"/>
                <w:sz w:val="16"/>
                <w:szCs w:val="16"/>
              </w:rPr>
            </w:pPr>
            <w:r w:rsidRPr="00F01347">
              <w:rPr>
                <w:rFonts w:ascii="Verdana" w:hAnsi="Verdana"/>
                <w:b/>
                <w:sz w:val="16"/>
                <w:szCs w:val="16"/>
              </w:rPr>
              <w:t>Muestra de control de calidad (MCC),</w:t>
            </w:r>
            <w:r w:rsidRPr="00F01347">
              <w:rPr>
                <w:rFonts w:ascii="Verdana" w:hAnsi="Verdana"/>
                <w:sz w:val="16"/>
                <w:szCs w:val="16"/>
              </w:rPr>
              <w:t xml:space="preserve"> a la muestra que contiene todos o un subgrupo de los analitos del método a concentraciones conocidas. Las MCC se obtienen de una fuente externa al laboratorio o bien se pueden preparar por el analista de una fuente de estándares diferentes de la fuente de los estándares de calibración.</w:t>
            </w:r>
          </w:p>
        </w:tc>
        <w:tc>
          <w:tcPr>
            <w:tcW w:w="4675" w:type="dxa"/>
          </w:tcPr>
          <w:p w14:paraId="660C6BD3" w14:textId="5D5E0C06" w:rsidR="000E1BC6" w:rsidRPr="00F01347" w:rsidRDefault="000E1BC6" w:rsidP="000E1BC6">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Quality control sample (MCC), </w:t>
            </w:r>
            <w:r w:rsidRPr="00F01347">
              <w:rPr>
                <w:rFonts w:ascii="Verdana" w:hAnsi="Verdana"/>
                <w:sz w:val="16"/>
                <w:szCs w:val="16"/>
                <w:lang w:val="en-US"/>
              </w:rPr>
              <w:t>the sample containing all or a subset of the method analytes at known concentrations. MCCs are obtained from a source outside the laboratory or may be prepared by the analyst from a source of standards other than the source of the calibration standards.</w:t>
            </w:r>
          </w:p>
        </w:tc>
      </w:tr>
      <w:tr w:rsidR="000E1BC6" w:rsidRPr="00F01347" w14:paraId="5F55FE90" w14:textId="62E053EA" w:rsidTr="003603F9">
        <w:tc>
          <w:tcPr>
            <w:tcW w:w="4675" w:type="dxa"/>
          </w:tcPr>
          <w:p w14:paraId="798430ED" w14:textId="77777777" w:rsidR="000E1BC6" w:rsidRPr="00F01347" w:rsidRDefault="000E1BC6" w:rsidP="000E1BC6">
            <w:pPr>
              <w:pStyle w:val="texto0"/>
              <w:spacing w:line="220" w:lineRule="exact"/>
              <w:ind w:firstLine="0"/>
              <w:rPr>
                <w:rFonts w:ascii="Verdana" w:hAnsi="Verdana"/>
                <w:sz w:val="16"/>
                <w:szCs w:val="16"/>
              </w:rPr>
            </w:pPr>
            <w:r w:rsidRPr="00F01347">
              <w:rPr>
                <w:rFonts w:ascii="Verdana" w:hAnsi="Verdana"/>
                <w:b/>
                <w:sz w:val="16"/>
                <w:szCs w:val="16"/>
              </w:rPr>
              <w:t>Parámetro</w:t>
            </w:r>
            <w:r w:rsidRPr="00F01347">
              <w:rPr>
                <w:rFonts w:ascii="Verdana" w:hAnsi="Verdana"/>
                <w:sz w:val="16"/>
                <w:szCs w:val="16"/>
              </w:rPr>
              <w:t>, a la variable que se utiliza como referencia para determinar la calidad del agua.</w:t>
            </w:r>
          </w:p>
        </w:tc>
        <w:tc>
          <w:tcPr>
            <w:tcW w:w="4675" w:type="dxa"/>
          </w:tcPr>
          <w:p w14:paraId="53001DD6" w14:textId="710499BC" w:rsidR="000E1BC6" w:rsidRPr="00F01347" w:rsidRDefault="000E1BC6" w:rsidP="000E1BC6">
            <w:pPr>
              <w:pStyle w:val="texto0"/>
              <w:spacing w:line="220" w:lineRule="exact"/>
              <w:ind w:firstLine="0"/>
              <w:rPr>
                <w:rFonts w:ascii="Verdana" w:hAnsi="Verdana"/>
                <w:b/>
                <w:sz w:val="16"/>
                <w:szCs w:val="16"/>
                <w:lang w:val="en-US"/>
              </w:rPr>
            </w:pPr>
            <w:r w:rsidRPr="00F01347">
              <w:rPr>
                <w:rFonts w:ascii="Verdana" w:hAnsi="Verdana"/>
                <w:b/>
                <w:sz w:val="16"/>
                <w:szCs w:val="16"/>
                <w:lang w:val="en-US"/>
              </w:rPr>
              <w:t>Parameter</w:t>
            </w:r>
            <w:r w:rsidR="003E1BA9" w:rsidRPr="00F01347">
              <w:rPr>
                <w:rFonts w:ascii="Verdana" w:hAnsi="Verdana"/>
                <w:b/>
                <w:sz w:val="16"/>
                <w:szCs w:val="16"/>
                <w:lang w:val="en-US"/>
              </w:rPr>
              <w:t>,</w:t>
            </w:r>
            <w:r w:rsidRPr="00F01347">
              <w:rPr>
                <w:rFonts w:ascii="Verdana" w:hAnsi="Verdana"/>
                <w:sz w:val="16"/>
                <w:szCs w:val="16"/>
                <w:lang w:val="en-US"/>
              </w:rPr>
              <w:t xml:space="preserve"> the variable that is used as a reference to determine the quality of the water.</w:t>
            </w:r>
          </w:p>
        </w:tc>
      </w:tr>
      <w:tr w:rsidR="000E1BC6" w:rsidRPr="00F01347" w14:paraId="6FCFE159" w14:textId="74AC3D47" w:rsidTr="003603F9">
        <w:tc>
          <w:tcPr>
            <w:tcW w:w="4675" w:type="dxa"/>
          </w:tcPr>
          <w:p w14:paraId="0113CDEE" w14:textId="77777777" w:rsidR="000E1BC6" w:rsidRPr="00F01347" w:rsidRDefault="000E1BC6" w:rsidP="000E1BC6">
            <w:pPr>
              <w:pStyle w:val="texto0"/>
              <w:spacing w:line="220" w:lineRule="exact"/>
              <w:ind w:firstLine="0"/>
              <w:rPr>
                <w:rFonts w:ascii="Verdana" w:hAnsi="Verdana"/>
                <w:sz w:val="16"/>
                <w:szCs w:val="16"/>
              </w:rPr>
            </w:pPr>
            <w:r w:rsidRPr="00F01347">
              <w:rPr>
                <w:rFonts w:ascii="Verdana" w:hAnsi="Verdana"/>
                <w:b/>
                <w:sz w:val="16"/>
                <w:szCs w:val="16"/>
              </w:rPr>
              <w:t>Patrón de medición,</w:t>
            </w:r>
            <w:r w:rsidRPr="00F01347">
              <w:rPr>
                <w:rFonts w:ascii="Verdana" w:hAnsi="Verdana"/>
                <w:sz w:val="16"/>
                <w:szCs w:val="16"/>
              </w:rPr>
              <w:t xml:space="preserve"> al material de referencia, instrumento de medición, medida materializada o sistema de medición destinado a definir, realizar, conservar o reproducir una unidad o uno o más valores de una magnitud para utilizarse como referencia.</w:t>
            </w:r>
          </w:p>
        </w:tc>
        <w:tc>
          <w:tcPr>
            <w:tcW w:w="4675" w:type="dxa"/>
          </w:tcPr>
          <w:p w14:paraId="0EB7CAE7" w14:textId="1C3C3529" w:rsidR="000E1BC6" w:rsidRPr="00F01347" w:rsidRDefault="000E1BC6" w:rsidP="000E1BC6">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Measurement standard, </w:t>
            </w:r>
            <w:r w:rsidRPr="00F01347">
              <w:rPr>
                <w:rFonts w:ascii="Verdana" w:hAnsi="Verdana"/>
                <w:sz w:val="16"/>
                <w:szCs w:val="16"/>
                <w:lang w:val="en-US"/>
              </w:rPr>
              <w:t xml:space="preserve">reference material, measuring instrument, materialized measure or measurement system intended to define, perform, </w:t>
            </w:r>
            <w:r w:rsidR="000209D2" w:rsidRPr="00F01347">
              <w:rPr>
                <w:rFonts w:ascii="Verdana" w:hAnsi="Verdana"/>
                <w:sz w:val="16"/>
                <w:szCs w:val="16"/>
                <w:lang w:val="en-US"/>
              </w:rPr>
              <w:t>preserve,</w:t>
            </w:r>
            <w:r w:rsidRPr="00F01347">
              <w:rPr>
                <w:rFonts w:ascii="Verdana" w:hAnsi="Verdana"/>
                <w:sz w:val="16"/>
                <w:szCs w:val="16"/>
                <w:lang w:val="en-US"/>
              </w:rPr>
              <w:t xml:space="preserve"> or reproduce a unit or one or more values of a magnitude to be used as a reference.</w:t>
            </w:r>
          </w:p>
        </w:tc>
      </w:tr>
      <w:tr w:rsidR="000E1BC6" w:rsidRPr="00F01347" w14:paraId="7EFF09B9" w14:textId="340618CB" w:rsidTr="003603F9">
        <w:tc>
          <w:tcPr>
            <w:tcW w:w="4675" w:type="dxa"/>
          </w:tcPr>
          <w:p w14:paraId="150514E3"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Patrón de referencia</w:t>
            </w:r>
            <w:r w:rsidRPr="00F01347">
              <w:rPr>
                <w:rFonts w:ascii="Verdana" w:hAnsi="Verdana"/>
                <w:sz w:val="16"/>
                <w:szCs w:val="16"/>
              </w:rPr>
              <w:t>, al patrón en general de la más alta calidad metrológica disponible en un lugar dado, o en una organización determinada de la cual se derivan las mediciones realizadas en dicho lugar.</w:t>
            </w:r>
          </w:p>
        </w:tc>
        <w:tc>
          <w:tcPr>
            <w:tcW w:w="4675" w:type="dxa"/>
          </w:tcPr>
          <w:p w14:paraId="68F205D3" w14:textId="5A00CD5B"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Reference standard</w:t>
            </w:r>
            <w:r w:rsidR="003E1BA9" w:rsidRPr="00F01347">
              <w:rPr>
                <w:rFonts w:ascii="Verdana" w:hAnsi="Verdana"/>
                <w:b/>
                <w:sz w:val="16"/>
                <w:szCs w:val="16"/>
                <w:lang w:val="en-US"/>
              </w:rPr>
              <w:t>,</w:t>
            </w:r>
            <w:r w:rsidRPr="00F01347">
              <w:rPr>
                <w:rFonts w:ascii="Verdana" w:hAnsi="Verdana"/>
                <w:sz w:val="16"/>
                <w:szCs w:val="16"/>
                <w:lang w:val="en-US"/>
              </w:rPr>
              <w:t xml:space="preserve"> the general standard of the highest metrological quality available at a given location, or at a given organization from which the measurements made at said location are derived.</w:t>
            </w:r>
          </w:p>
        </w:tc>
      </w:tr>
      <w:tr w:rsidR="000E1BC6" w:rsidRPr="00F01347" w14:paraId="3C746621" w14:textId="6670D5D5" w:rsidTr="003603F9">
        <w:tc>
          <w:tcPr>
            <w:tcW w:w="4675" w:type="dxa"/>
          </w:tcPr>
          <w:p w14:paraId="1925066E"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Patrón de trabajo</w:t>
            </w:r>
            <w:r w:rsidRPr="00F01347">
              <w:rPr>
                <w:rFonts w:ascii="Verdana" w:hAnsi="Verdana"/>
                <w:sz w:val="16"/>
                <w:szCs w:val="16"/>
              </w:rPr>
              <w:t>, al patrón que es usado rutinariamente para calibrar o controlar las medidas materializadas, instrumentos de medición o los materiales de referencia.</w:t>
            </w:r>
          </w:p>
        </w:tc>
        <w:tc>
          <w:tcPr>
            <w:tcW w:w="4675" w:type="dxa"/>
          </w:tcPr>
          <w:p w14:paraId="11C83AC0" w14:textId="17F0E191"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Working standard</w:t>
            </w:r>
            <w:r w:rsidR="003E1BA9" w:rsidRPr="00F01347">
              <w:rPr>
                <w:rFonts w:ascii="Verdana" w:hAnsi="Verdana"/>
                <w:b/>
                <w:sz w:val="16"/>
                <w:szCs w:val="16"/>
                <w:lang w:val="en-US"/>
              </w:rPr>
              <w:t>,</w:t>
            </w:r>
            <w:r w:rsidRPr="00F01347">
              <w:rPr>
                <w:rFonts w:ascii="Verdana" w:hAnsi="Verdana"/>
                <w:sz w:val="16"/>
                <w:szCs w:val="16"/>
                <w:lang w:val="en-US"/>
              </w:rPr>
              <w:t xml:space="preserve"> the standard that is routinely used to calibrate or control materialized measurements, measuring instruments or reference materials.</w:t>
            </w:r>
          </w:p>
        </w:tc>
      </w:tr>
      <w:tr w:rsidR="000E1BC6" w:rsidRPr="00F01347" w14:paraId="14A59522" w14:textId="34C79241" w:rsidTr="003603F9">
        <w:tc>
          <w:tcPr>
            <w:tcW w:w="4675" w:type="dxa"/>
          </w:tcPr>
          <w:p w14:paraId="587ED45B"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Patrón nacional de medición</w:t>
            </w:r>
            <w:r w:rsidRPr="00F01347">
              <w:rPr>
                <w:rFonts w:ascii="Verdana" w:hAnsi="Verdana"/>
                <w:sz w:val="16"/>
                <w:szCs w:val="16"/>
              </w:rPr>
              <w:t>, al patrón reconocido por una decisión nacional en un país, que sirve de base para asignar valores a otros patrones de la magnitud concerniente.</w:t>
            </w:r>
          </w:p>
        </w:tc>
        <w:tc>
          <w:tcPr>
            <w:tcW w:w="4675" w:type="dxa"/>
          </w:tcPr>
          <w:p w14:paraId="67428D85" w14:textId="12F5968D"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National measurement standard</w:t>
            </w:r>
            <w:r w:rsidR="003E1BA9" w:rsidRPr="00F01347">
              <w:rPr>
                <w:rFonts w:ascii="Verdana" w:hAnsi="Verdana"/>
                <w:b/>
                <w:sz w:val="16"/>
                <w:szCs w:val="16"/>
                <w:lang w:val="en-US"/>
              </w:rPr>
              <w:t>,</w:t>
            </w:r>
            <w:r w:rsidRPr="00F01347">
              <w:rPr>
                <w:rFonts w:ascii="Verdana" w:hAnsi="Verdana"/>
                <w:sz w:val="16"/>
                <w:szCs w:val="16"/>
                <w:lang w:val="en-US"/>
              </w:rPr>
              <w:t xml:space="preserve"> the standard recognized by a national decision in a country, which serves as a basis for assigning values to other standards of the magnitude concerned.</w:t>
            </w:r>
          </w:p>
        </w:tc>
      </w:tr>
      <w:tr w:rsidR="000E1BC6" w:rsidRPr="00F01347" w14:paraId="33CE3DF1" w14:textId="7DEDAD00" w:rsidTr="003603F9">
        <w:tc>
          <w:tcPr>
            <w:tcW w:w="4675" w:type="dxa"/>
          </w:tcPr>
          <w:p w14:paraId="2F56E64F"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Patrón primario</w:t>
            </w:r>
            <w:r w:rsidRPr="00F01347">
              <w:rPr>
                <w:rFonts w:ascii="Verdana" w:hAnsi="Verdana"/>
                <w:sz w:val="16"/>
                <w:szCs w:val="16"/>
              </w:rPr>
              <w:t>, al patrón que es designado o reconocido ampliamente como un patrón que tiene las más altas cualidades metrológicas y cuyo valor es aceptado sin referencia a otros patrones de la misma magnitud.</w:t>
            </w:r>
          </w:p>
        </w:tc>
        <w:tc>
          <w:tcPr>
            <w:tcW w:w="4675" w:type="dxa"/>
          </w:tcPr>
          <w:p w14:paraId="2212E21F" w14:textId="1AA255DF"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Primary standard</w:t>
            </w:r>
            <w:r w:rsidR="003E1BA9" w:rsidRPr="00F01347">
              <w:rPr>
                <w:rFonts w:ascii="Verdana" w:hAnsi="Verdana"/>
                <w:b/>
                <w:sz w:val="16"/>
                <w:szCs w:val="16"/>
                <w:lang w:val="en-US"/>
              </w:rPr>
              <w:t>,</w:t>
            </w:r>
            <w:r w:rsidRPr="00F01347">
              <w:rPr>
                <w:rFonts w:ascii="Verdana" w:hAnsi="Verdana"/>
                <w:sz w:val="16"/>
                <w:szCs w:val="16"/>
                <w:lang w:val="en-US"/>
              </w:rPr>
              <w:t xml:space="preserve"> a standard that is designated or widely recognized as a standard that has the highest metrological qualities and whose value is accepted without reference to other standards of the same magnitude.</w:t>
            </w:r>
          </w:p>
        </w:tc>
      </w:tr>
      <w:tr w:rsidR="000E1BC6" w:rsidRPr="00F01347" w14:paraId="2FB23A1A" w14:textId="151E3587" w:rsidTr="003603F9">
        <w:tc>
          <w:tcPr>
            <w:tcW w:w="4675" w:type="dxa"/>
          </w:tcPr>
          <w:p w14:paraId="0A2B06D8"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Patrón secundario</w:t>
            </w:r>
            <w:r w:rsidRPr="00F01347">
              <w:rPr>
                <w:rFonts w:ascii="Verdana" w:hAnsi="Verdana"/>
                <w:sz w:val="16"/>
                <w:szCs w:val="16"/>
              </w:rPr>
              <w:t>, al patrón cuyo valor es establecido por comparación con un patrón primario de la misma magnitud.</w:t>
            </w:r>
          </w:p>
        </w:tc>
        <w:tc>
          <w:tcPr>
            <w:tcW w:w="4675" w:type="dxa"/>
          </w:tcPr>
          <w:p w14:paraId="42F84B78" w14:textId="02A697C6"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Secondary standard</w:t>
            </w:r>
            <w:r w:rsidR="003E1BA9" w:rsidRPr="00F01347">
              <w:rPr>
                <w:rFonts w:ascii="Verdana" w:hAnsi="Verdana"/>
                <w:b/>
                <w:sz w:val="16"/>
                <w:szCs w:val="16"/>
                <w:lang w:val="en-US"/>
              </w:rPr>
              <w:t>,</w:t>
            </w:r>
            <w:r w:rsidRPr="00F01347">
              <w:rPr>
                <w:rFonts w:ascii="Verdana" w:hAnsi="Verdana"/>
                <w:sz w:val="16"/>
                <w:szCs w:val="16"/>
                <w:lang w:val="en-US"/>
              </w:rPr>
              <w:t xml:space="preserve"> the standard whose value is established by comparison with a primary standard of the same magnitude.</w:t>
            </w:r>
          </w:p>
        </w:tc>
      </w:tr>
      <w:tr w:rsidR="000E1BC6" w:rsidRPr="00F01347" w14:paraId="38182869" w14:textId="3EF5ECD4" w:rsidTr="003603F9">
        <w:tc>
          <w:tcPr>
            <w:tcW w:w="4675" w:type="dxa"/>
          </w:tcPr>
          <w:p w14:paraId="636BC2AC" w14:textId="77777777" w:rsidR="000E1BC6" w:rsidRPr="00F01347" w:rsidRDefault="000E1BC6" w:rsidP="000E1BC6">
            <w:pPr>
              <w:pStyle w:val="texto0"/>
              <w:ind w:firstLine="0"/>
              <w:rPr>
                <w:rFonts w:ascii="Verdana" w:hAnsi="Verdana"/>
                <w:sz w:val="16"/>
                <w:szCs w:val="16"/>
              </w:rPr>
            </w:pPr>
            <w:r w:rsidRPr="00F01347">
              <w:rPr>
                <w:rFonts w:ascii="Verdana" w:hAnsi="Verdana"/>
                <w:b/>
                <w:sz w:val="16"/>
                <w:szCs w:val="16"/>
              </w:rPr>
              <w:t>Precisión</w:t>
            </w:r>
            <w:r w:rsidRPr="00F01347">
              <w:rPr>
                <w:rFonts w:ascii="Verdana" w:hAnsi="Verdana"/>
                <w:sz w:val="16"/>
                <w:szCs w:val="16"/>
              </w:rPr>
              <w:t>, al grado de concordancia entre resultados analíticos individuales cuando el procedimiento analítico se aplica repetidamente a diferentes alícuotas o porciones de una muestra homogénea. Usualmente se expresa en términos del intervalo de confianza o incertidumbre.</w:t>
            </w:r>
          </w:p>
        </w:tc>
        <w:tc>
          <w:tcPr>
            <w:tcW w:w="4675" w:type="dxa"/>
          </w:tcPr>
          <w:p w14:paraId="7B8B69E9" w14:textId="7DB1C729"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Precision</w:t>
            </w:r>
            <w:r w:rsidR="003E1BA9" w:rsidRPr="00F01347">
              <w:rPr>
                <w:rFonts w:ascii="Verdana" w:hAnsi="Verdana"/>
                <w:b/>
                <w:sz w:val="16"/>
                <w:szCs w:val="16"/>
                <w:lang w:val="en-US"/>
              </w:rPr>
              <w:t>,</w:t>
            </w:r>
            <w:r w:rsidRPr="00F01347">
              <w:rPr>
                <w:rFonts w:ascii="Verdana" w:hAnsi="Verdana"/>
                <w:sz w:val="16"/>
                <w:szCs w:val="16"/>
                <w:lang w:val="en-US"/>
              </w:rPr>
              <w:t xml:space="preserve"> the degree of agreement between individual analytical results when the analytical procedure is applied repeatedly to different aliquots or portions of a homogeneous sample. It is usually expressed in terms of the confidence interval or uncertainty.</w:t>
            </w:r>
          </w:p>
        </w:tc>
      </w:tr>
      <w:tr w:rsidR="000E1BC6" w:rsidRPr="00F01347" w14:paraId="6AD3427C" w14:textId="5C4FF281" w:rsidTr="003603F9">
        <w:tc>
          <w:tcPr>
            <w:tcW w:w="4675" w:type="dxa"/>
          </w:tcPr>
          <w:p w14:paraId="11D31B84" w14:textId="77777777" w:rsidR="000E1BC6" w:rsidRPr="00F01347" w:rsidRDefault="000E1BC6" w:rsidP="000E1BC6">
            <w:pPr>
              <w:pStyle w:val="texto0"/>
              <w:ind w:firstLine="0"/>
              <w:rPr>
                <w:rFonts w:ascii="Verdana" w:hAnsi="Verdana"/>
                <w:b/>
                <w:sz w:val="16"/>
                <w:szCs w:val="16"/>
              </w:rPr>
            </w:pPr>
            <w:r w:rsidRPr="00F01347">
              <w:rPr>
                <w:rFonts w:ascii="Verdana" w:hAnsi="Verdana"/>
                <w:b/>
                <w:sz w:val="16"/>
                <w:szCs w:val="16"/>
              </w:rPr>
              <w:t>B.7.4.2 Símbolos y términos abreviados</w:t>
            </w:r>
          </w:p>
        </w:tc>
        <w:tc>
          <w:tcPr>
            <w:tcW w:w="4675" w:type="dxa"/>
          </w:tcPr>
          <w:p w14:paraId="02171B8E" w14:textId="070DFF9C"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B.7.4.2 Symbols and abbreviated terms</w:t>
            </w:r>
          </w:p>
        </w:tc>
      </w:tr>
      <w:tr w:rsidR="000E1BC6" w:rsidRPr="00F01347" w14:paraId="38975AD5" w14:textId="359D55D3" w:rsidTr="003603F9">
        <w:tc>
          <w:tcPr>
            <w:tcW w:w="4675" w:type="dxa"/>
          </w:tcPr>
          <w:p w14:paraId="45AA7D57" w14:textId="77777777" w:rsidR="000E1BC6" w:rsidRPr="00F01347" w:rsidRDefault="000E1BC6" w:rsidP="000E1BC6">
            <w:pPr>
              <w:pStyle w:val="texto0"/>
              <w:ind w:firstLine="0"/>
              <w:rPr>
                <w:rFonts w:ascii="Verdana" w:hAnsi="Verdana"/>
                <w:sz w:val="16"/>
                <w:szCs w:val="16"/>
              </w:rPr>
            </w:pPr>
            <w:r w:rsidRPr="00F01347">
              <w:rPr>
                <w:rFonts w:ascii="Verdana" w:hAnsi="Verdana"/>
                <w:sz w:val="16"/>
                <w:szCs w:val="16"/>
              </w:rPr>
              <w:t>CCC</w:t>
            </w:r>
            <w:r w:rsidRPr="00F01347">
              <w:rPr>
                <w:rFonts w:ascii="Verdana" w:hAnsi="Verdana"/>
                <w:sz w:val="16"/>
                <w:szCs w:val="16"/>
              </w:rPr>
              <w:tab/>
              <w:t>verificación de calibración continúa</w:t>
            </w:r>
          </w:p>
        </w:tc>
        <w:tc>
          <w:tcPr>
            <w:tcW w:w="4675" w:type="dxa"/>
          </w:tcPr>
          <w:p w14:paraId="6FF255F8" w14:textId="3F13C310" w:rsidR="000E1BC6" w:rsidRPr="00F01347" w:rsidRDefault="000E1BC6" w:rsidP="000E1BC6">
            <w:pPr>
              <w:pStyle w:val="texto0"/>
              <w:ind w:firstLine="0"/>
              <w:rPr>
                <w:rFonts w:ascii="Verdana" w:hAnsi="Verdana"/>
                <w:sz w:val="16"/>
                <w:szCs w:val="16"/>
                <w:lang w:val="en-US"/>
              </w:rPr>
            </w:pPr>
            <w:r w:rsidRPr="00F01347">
              <w:rPr>
                <w:rFonts w:ascii="Verdana" w:hAnsi="Verdana"/>
                <w:sz w:val="16"/>
                <w:szCs w:val="16"/>
                <w:lang w:val="en-US"/>
              </w:rPr>
              <w:t xml:space="preserve">CCC </w:t>
            </w:r>
            <w:r w:rsidRPr="00F01347">
              <w:rPr>
                <w:rFonts w:ascii="Verdana" w:hAnsi="Verdana"/>
                <w:sz w:val="16"/>
                <w:szCs w:val="16"/>
                <w:lang w:val="en-US"/>
              </w:rPr>
              <w:tab/>
              <w:t>calibration check continues</w:t>
            </w:r>
          </w:p>
        </w:tc>
      </w:tr>
      <w:tr w:rsidR="000E1BC6" w:rsidRPr="00F01347" w14:paraId="6FED2763" w14:textId="6BAD9166" w:rsidTr="003603F9">
        <w:tc>
          <w:tcPr>
            <w:tcW w:w="4675" w:type="dxa"/>
          </w:tcPr>
          <w:p w14:paraId="21846A42" w14:textId="77777777" w:rsidR="000E1BC6" w:rsidRPr="00F01347" w:rsidRDefault="000E1BC6" w:rsidP="000E1BC6">
            <w:pPr>
              <w:pStyle w:val="texto0"/>
              <w:ind w:firstLine="0"/>
              <w:rPr>
                <w:rFonts w:ascii="Verdana" w:hAnsi="Verdana"/>
                <w:sz w:val="16"/>
                <w:szCs w:val="16"/>
              </w:rPr>
            </w:pPr>
            <w:r w:rsidRPr="00F01347">
              <w:rPr>
                <w:rFonts w:ascii="Verdana" w:hAnsi="Verdana"/>
                <w:sz w:val="16"/>
                <w:szCs w:val="16"/>
              </w:rPr>
              <w:t xml:space="preserve">ICV </w:t>
            </w:r>
            <w:r w:rsidRPr="00F01347">
              <w:rPr>
                <w:rFonts w:ascii="Verdana" w:hAnsi="Verdana"/>
                <w:sz w:val="16"/>
                <w:szCs w:val="16"/>
              </w:rPr>
              <w:tab/>
              <w:t>verificación inicial de la calibración</w:t>
            </w:r>
          </w:p>
        </w:tc>
        <w:tc>
          <w:tcPr>
            <w:tcW w:w="4675" w:type="dxa"/>
          </w:tcPr>
          <w:p w14:paraId="7CAFF01C" w14:textId="742F09E9" w:rsidR="000E1BC6" w:rsidRPr="00F01347" w:rsidRDefault="000E1BC6" w:rsidP="000E1BC6">
            <w:pPr>
              <w:pStyle w:val="texto0"/>
              <w:ind w:firstLine="0"/>
              <w:rPr>
                <w:rFonts w:ascii="Verdana" w:hAnsi="Verdana"/>
                <w:sz w:val="16"/>
                <w:szCs w:val="16"/>
                <w:lang w:val="en-US"/>
              </w:rPr>
            </w:pPr>
            <w:r w:rsidRPr="00F01347">
              <w:rPr>
                <w:rFonts w:ascii="Verdana" w:hAnsi="Verdana"/>
                <w:sz w:val="16"/>
                <w:szCs w:val="16"/>
                <w:lang w:val="en-US"/>
              </w:rPr>
              <w:t xml:space="preserve">ICV </w:t>
            </w:r>
            <w:r w:rsidRPr="00F01347">
              <w:rPr>
                <w:rFonts w:ascii="Verdana" w:hAnsi="Verdana"/>
                <w:sz w:val="16"/>
                <w:szCs w:val="16"/>
                <w:lang w:val="en-US"/>
              </w:rPr>
              <w:tab/>
              <w:t>initial calibration check</w:t>
            </w:r>
          </w:p>
        </w:tc>
      </w:tr>
      <w:tr w:rsidR="000E1BC6" w:rsidRPr="00F01347" w14:paraId="237D1C9E" w14:textId="2E3E3406" w:rsidTr="003603F9">
        <w:tc>
          <w:tcPr>
            <w:tcW w:w="4675" w:type="dxa"/>
          </w:tcPr>
          <w:p w14:paraId="780CF0C1" w14:textId="77777777" w:rsidR="000E1BC6" w:rsidRPr="00F01347" w:rsidRDefault="000E1BC6" w:rsidP="000E1BC6">
            <w:pPr>
              <w:pStyle w:val="texto0"/>
              <w:ind w:firstLine="0"/>
              <w:rPr>
                <w:rFonts w:ascii="Verdana" w:hAnsi="Verdana"/>
                <w:sz w:val="16"/>
                <w:szCs w:val="16"/>
              </w:rPr>
            </w:pPr>
            <w:r w:rsidRPr="00F01347">
              <w:rPr>
                <w:rFonts w:ascii="Verdana" w:hAnsi="Verdana"/>
                <w:sz w:val="16"/>
                <w:szCs w:val="16"/>
              </w:rPr>
              <w:lastRenderedPageBreak/>
              <w:t>MCC</w:t>
            </w:r>
            <w:r w:rsidRPr="00F01347">
              <w:rPr>
                <w:rFonts w:ascii="Verdana" w:hAnsi="Verdana"/>
                <w:sz w:val="16"/>
                <w:szCs w:val="16"/>
              </w:rPr>
              <w:tab/>
              <w:t>muestra de control de calidad</w:t>
            </w:r>
          </w:p>
        </w:tc>
        <w:tc>
          <w:tcPr>
            <w:tcW w:w="4675" w:type="dxa"/>
          </w:tcPr>
          <w:p w14:paraId="235EA66B" w14:textId="4B9C2C53" w:rsidR="000E1BC6" w:rsidRPr="00F01347" w:rsidRDefault="000E1BC6" w:rsidP="000E1BC6">
            <w:pPr>
              <w:pStyle w:val="texto0"/>
              <w:ind w:firstLine="0"/>
              <w:rPr>
                <w:rFonts w:ascii="Verdana" w:hAnsi="Verdana"/>
                <w:sz w:val="16"/>
                <w:szCs w:val="16"/>
                <w:lang w:val="en-US"/>
              </w:rPr>
            </w:pPr>
            <w:r w:rsidRPr="00F01347">
              <w:rPr>
                <w:rFonts w:ascii="Verdana" w:hAnsi="Verdana"/>
                <w:sz w:val="16"/>
                <w:szCs w:val="16"/>
                <w:lang w:val="en-US"/>
              </w:rPr>
              <w:t xml:space="preserve">MCC </w:t>
            </w:r>
            <w:r w:rsidRPr="00F01347">
              <w:rPr>
                <w:rFonts w:ascii="Verdana" w:hAnsi="Verdana"/>
                <w:sz w:val="16"/>
                <w:szCs w:val="16"/>
                <w:lang w:val="en-US"/>
              </w:rPr>
              <w:tab/>
              <w:t>quality control sample</w:t>
            </w:r>
          </w:p>
        </w:tc>
      </w:tr>
      <w:tr w:rsidR="000E1BC6" w:rsidRPr="00F01347" w14:paraId="7F831CE7" w14:textId="4CD35E30" w:rsidTr="003603F9">
        <w:tc>
          <w:tcPr>
            <w:tcW w:w="4675" w:type="dxa"/>
          </w:tcPr>
          <w:p w14:paraId="11BFA0A9" w14:textId="77777777" w:rsidR="000E1BC6" w:rsidRPr="00F01347" w:rsidRDefault="000E1BC6" w:rsidP="000E1BC6">
            <w:pPr>
              <w:pStyle w:val="texto0"/>
              <w:ind w:firstLine="0"/>
              <w:rPr>
                <w:rFonts w:ascii="Verdana" w:hAnsi="Verdana"/>
                <w:sz w:val="16"/>
                <w:szCs w:val="16"/>
              </w:rPr>
            </w:pPr>
            <w:r w:rsidRPr="00F01347">
              <w:rPr>
                <w:rFonts w:ascii="Verdana" w:hAnsi="Verdana"/>
                <w:sz w:val="16"/>
                <w:szCs w:val="16"/>
              </w:rPr>
              <w:t>LDM</w:t>
            </w:r>
            <w:r w:rsidRPr="00F01347">
              <w:rPr>
                <w:rFonts w:ascii="Verdana" w:hAnsi="Verdana"/>
                <w:sz w:val="16"/>
                <w:szCs w:val="16"/>
              </w:rPr>
              <w:tab/>
              <w:t>límite de detección del método</w:t>
            </w:r>
          </w:p>
        </w:tc>
        <w:tc>
          <w:tcPr>
            <w:tcW w:w="4675" w:type="dxa"/>
          </w:tcPr>
          <w:p w14:paraId="63D1310D" w14:textId="643EAD79" w:rsidR="000E1BC6" w:rsidRPr="00F01347" w:rsidRDefault="00F82E3B" w:rsidP="000E1BC6">
            <w:pPr>
              <w:pStyle w:val="texto0"/>
              <w:ind w:firstLine="0"/>
              <w:rPr>
                <w:rFonts w:ascii="Verdana" w:hAnsi="Verdana"/>
                <w:sz w:val="16"/>
                <w:szCs w:val="16"/>
                <w:lang w:val="en-US"/>
              </w:rPr>
            </w:pPr>
            <w:r>
              <w:rPr>
                <w:rFonts w:ascii="Verdana" w:hAnsi="Verdana"/>
                <w:sz w:val="16"/>
                <w:szCs w:val="16"/>
                <w:lang w:val="en-US"/>
              </w:rPr>
              <w:t>LDM</w:t>
            </w:r>
            <w:r w:rsidR="000E1BC6" w:rsidRPr="00F01347">
              <w:rPr>
                <w:rFonts w:ascii="Verdana" w:hAnsi="Verdana"/>
                <w:sz w:val="16"/>
                <w:szCs w:val="16"/>
                <w:lang w:val="en-US"/>
              </w:rPr>
              <w:t xml:space="preserve"> </w:t>
            </w:r>
            <w:r w:rsidR="000E1BC6" w:rsidRPr="00F01347">
              <w:rPr>
                <w:rFonts w:ascii="Verdana" w:hAnsi="Verdana"/>
                <w:sz w:val="16"/>
                <w:szCs w:val="16"/>
                <w:lang w:val="en-US"/>
              </w:rPr>
              <w:tab/>
              <w:t>detection limit of the method</w:t>
            </w:r>
          </w:p>
        </w:tc>
      </w:tr>
      <w:tr w:rsidR="000E1BC6" w:rsidRPr="00F01347" w14:paraId="584CB194" w14:textId="1F62B988" w:rsidTr="003603F9">
        <w:tc>
          <w:tcPr>
            <w:tcW w:w="4675" w:type="dxa"/>
          </w:tcPr>
          <w:p w14:paraId="63F8BBE2" w14:textId="77777777" w:rsidR="000E1BC6" w:rsidRPr="00F01347" w:rsidRDefault="000E1BC6" w:rsidP="000E1BC6">
            <w:pPr>
              <w:pStyle w:val="texto0"/>
              <w:ind w:firstLine="0"/>
              <w:rPr>
                <w:rFonts w:ascii="Verdana" w:hAnsi="Verdana"/>
                <w:sz w:val="16"/>
                <w:szCs w:val="16"/>
              </w:rPr>
            </w:pPr>
            <w:r w:rsidRPr="00F01347">
              <w:rPr>
                <w:rFonts w:ascii="Verdana" w:hAnsi="Verdana"/>
                <w:sz w:val="16"/>
                <w:szCs w:val="16"/>
              </w:rPr>
              <w:t>LPC</w:t>
            </w:r>
            <w:r w:rsidRPr="00F01347">
              <w:rPr>
                <w:rFonts w:ascii="Verdana" w:hAnsi="Verdana"/>
                <w:sz w:val="16"/>
                <w:szCs w:val="16"/>
              </w:rPr>
              <w:tab/>
              <w:t>límite práctico de cuantificación</w:t>
            </w:r>
          </w:p>
        </w:tc>
        <w:tc>
          <w:tcPr>
            <w:tcW w:w="4675" w:type="dxa"/>
          </w:tcPr>
          <w:p w14:paraId="2974544D" w14:textId="33C2E265" w:rsidR="000E1BC6" w:rsidRPr="00F01347" w:rsidRDefault="000E1BC6" w:rsidP="000E1BC6">
            <w:pPr>
              <w:pStyle w:val="texto0"/>
              <w:ind w:firstLine="0"/>
              <w:rPr>
                <w:rFonts w:ascii="Verdana" w:hAnsi="Verdana"/>
                <w:sz w:val="16"/>
                <w:szCs w:val="16"/>
                <w:lang w:val="en-US"/>
              </w:rPr>
            </w:pPr>
            <w:r w:rsidRPr="00F01347">
              <w:rPr>
                <w:rFonts w:ascii="Verdana" w:hAnsi="Verdana"/>
                <w:sz w:val="16"/>
                <w:szCs w:val="16"/>
                <w:lang w:val="en-US"/>
              </w:rPr>
              <w:t xml:space="preserve">LPC </w:t>
            </w:r>
            <w:r w:rsidRPr="00F01347">
              <w:rPr>
                <w:rFonts w:ascii="Verdana" w:hAnsi="Verdana"/>
                <w:sz w:val="16"/>
                <w:szCs w:val="16"/>
                <w:lang w:val="en-US"/>
              </w:rPr>
              <w:tab/>
              <w:t>practical limit of quantification</w:t>
            </w:r>
          </w:p>
        </w:tc>
      </w:tr>
      <w:tr w:rsidR="000E1BC6" w:rsidRPr="00F01347" w14:paraId="2F214992" w14:textId="0551C5B6" w:rsidTr="003603F9">
        <w:tc>
          <w:tcPr>
            <w:tcW w:w="4675" w:type="dxa"/>
          </w:tcPr>
          <w:p w14:paraId="11456ADD" w14:textId="77777777" w:rsidR="000E1BC6" w:rsidRPr="00F01347" w:rsidRDefault="000E1BC6" w:rsidP="000E1BC6">
            <w:pPr>
              <w:pStyle w:val="texto0"/>
              <w:ind w:firstLine="0"/>
              <w:rPr>
                <w:rFonts w:ascii="Verdana" w:hAnsi="Verdana"/>
                <w:sz w:val="16"/>
                <w:szCs w:val="16"/>
              </w:rPr>
            </w:pPr>
            <w:r w:rsidRPr="00F01347">
              <w:rPr>
                <w:rFonts w:ascii="Verdana" w:hAnsi="Verdana"/>
                <w:sz w:val="16"/>
                <w:szCs w:val="16"/>
              </w:rPr>
              <w:t>µ</w:t>
            </w:r>
            <w:proofErr w:type="spellStart"/>
            <w:r w:rsidRPr="00F01347">
              <w:rPr>
                <w:rFonts w:ascii="Verdana" w:hAnsi="Verdana"/>
                <w:sz w:val="16"/>
                <w:szCs w:val="16"/>
              </w:rPr>
              <w:t>uA</w:t>
            </w:r>
            <w:proofErr w:type="spellEnd"/>
            <w:r w:rsidRPr="00F01347">
              <w:rPr>
                <w:rFonts w:ascii="Verdana" w:hAnsi="Verdana"/>
                <w:sz w:val="16"/>
                <w:szCs w:val="16"/>
              </w:rPr>
              <w:tab/>
              <w:t>micro unidad de absorbancia</w:t>
            </w:r>
          </w:p>
        </w:tc>
        <w:tc>
          <w:tcPr>
            <w:tcW w:w="4675" w:type="dxa"/>
          </w:tcPr>
          <w:p w14:paraId="2D1A8C9E" w14:textId="4CD02968" w:rsidR="000E1BC6" w:rsidRPr="00F01347" w:rsidRDefault="000E1BC6" w:rsidP="000E1BC6">
            <w:pPr>
              <w:pStyle w:val="texto0"/>
              <w:ind w:firstLine="0"/>
              <w:rPr>
                <w:rFonts w:ascii="Verdana" w:hAnsi="Verdana"/>
                <w:sz w:val="16"/>
                <w:szCs w:val="16"/>
                <w:lang w:val="en-US"/>
              </w:rPr>
            </w:pPr>
            <w:r w:rsidRPr="00F01347">
              <w:rPr>
                <w:rFonts w:ascii="Verdana" w:hAnsi="Verdana"/>
                <w:sz w:val="16"/>
                <w:szCs w:val="16"/>
                <w:lang w:val="en-US"/>
              </w:rPr>
              <w:t xml:space="preserve">µuA </w:t>
            </w:r>
            <w:r w:rsidRPr="00F01347">
              <w:rPr>
                <w:rFonts w:ascii="Verdana" w:hAnsi="Verdana"/>
                <w:sz w:val="16"/>
                <w:szCs w:val="16"/>
                <w:lang w:val="en-US"/>
              </w:rPr>
              <w:tab/>
              <w:t>micro unit of absorbance</w:t>
            </w:r>
          </w:p>
        </w:tc>
      </w:tr>
      <w:tr w:rsidR="000E1BC6" w:rsidRPr="00F01347" w14:paraId="29EB06DA" w14:textId="284D260C" w:rsidTr="003603F9">
        <w:tc>
          <w:tcPr>
            <w:tcW w:w="4675" w:type="dxa"/>
          </w:tcPr>
          <w:p w14:paraId="2B10431A" w14:textId="77777777" w:rsidR="000E1BC6" w:rsidRPr="00F01347" w:rsidRDefault="000E1BC6" w:rsidP="000E1BC6">
            <w:pPr>
              <w:pStyle w:val="texto0"/>
              <w:ind w:firstLine="0"/>
              <w:rPr>
                <w:rFonts w:ascii="Verdana" w:hAnsi="Verdana"/>
                <w:sz w:val="16"/>
                <w:szCs w:val="16"/>
              </w:rPr>
            </w:pPr>
            <w:r w:rsidRPr="00F01347">
              <w:rPr>
                <w:sz w:val="16"/>
                <w:szCs w:val="16"/>
              </w:rPr>
              <w:t>►</w:t>
            </w:r>
            <w:r w:rsidRPr="00F01347">
              <w:rPr>
                <w:rFonts w:ascii="Verdana" w:hAnsi="Verdana"/>
                <w:sz w:val="16"/>
                <w:szCs w:val="16"/>
              </w:rPr>
              <w:tab/>
              <w:t>bot</w:t>
            </w:r>
            <w:r w:rsidRPr="00F01347">
              <w:rPr>
                <w:rFonts w:ascii="Verdana" w:hAnsi="Verdana" w:cs="Verdana"/>
                <w:sz w:val="16"/>
                <w:szCs w:val="16"/>
              </w:rPr>
              <w:t>ó</w:t>
            </w:r>
            <w:r w:rsidRPr="00F01347">
              <w:rPr>
                <w:rFonts w:ascii="Verdana" w:hAnsi="Verdana"/>
                <w:sz w:val="16"/>
                <w:szCs w:val="16"/>
              </w:rPr>
              <w:t>n de inicio de l</w:t>
            </w:r>
            <w:r w:rsidRPr="00F01347">
              <w:rPr>
                <w:rFonts w:ascii="Verdana" w:hAnsi="Verdana" w:cs="Verdana"/>
                <w:sz w:val="16"/>
                <w:szCs w:val="16"/>
              </w:rPr>
              <w:t>í</w:t>
            </w:r>
            <w:r w:rsidRPr="00F01347">
              <w:rPr>
                <w:rFonts w:ascii="Verdana" w:hAnsi="Verdana"/>
                <w:sz w:val="16"/>
                <w:szCs w:val="16"/>
              </w:rPr>
              <w:t>nea base</w:t>
            </w:r>
          </w:p>
        </w:tc>
        <w:tc>
          <w:tcPr>
            <w:tcW w:w="4675" w:type="dxa"/>
          </w:tcPr>
          <w:p w14:paraId="32B953C1" w14:textId="3A302384" w:rsidR="000E1BC6" w:rsidRPr="00F01347" w:rsidRDefault="000E1BC6" w:rsidP="000E1BC6">
            <w:pPr>
              <w:pStyle w:val="texto0"/>
              <w:ind w:firstLine="0"/>
              <w:rPr>
                <w:sz w:val="16"/>
                <w:szCs w:val="16"/>
                <w:lang w:val="en-US"/>
              </w:rPr>
            </w:pPr>
            <w:r w:rsidRPr="00F01347">
              <w:rPr>
                <w:sz w:val="16"/>
                <w:szCs w:val="16"/>
                <w:lang w:val="en-US"/>
              </w:rPr>
              <w:t xml:space="preserve">► </w:t>
            </w:r>
            <w:r w:rsidRPr="00F01347">
              <w:rPr>
                <w:rFonts w:ascii="Verdana" w:hAnsi="Verdana"/>
                <w:sz w:val="16"/>
                <w:szCs w:val="16"/>
                <w:lang w:val="en-US"/>
              </w:rPr>
              <w:tab/>
            </w:r>
            <w:r w:rsidRPr="00F01347">
              <w:rPr>
                <w:rFonts w:ascii="Verdana" w:hAnsi="Verdana" w:cs="Verdana"/>
                <w:sz w:val="16"/>
                <w:szCs w:val="16"/>
                <w:lang w:val="en-US"/>
              </w:rPr>
              <w:t xml:space="preserve">Baseline </w:t>
            </w:r>
            <w:r w:rsidRPr="00F01347">
              <w:rPr>
                <w:rFonts w:ascii="Verdana" w:hAnsi="Verdana"/>
                <w:sz w:val="16"/>
                <w:szCs w:val="16"/>
                <w:lang w:val="en-US"/>
              </w:rPr>
              <w:t xml:space="preserve">start button </w:t>
            </w:r>
            <w:r w:rsidRPr="00F01347">
              <w:rPr>
                <w:rFonts w:ascii="Verdana" w:hAnsi="Verdana" w:cs="Verdana"/>
                <w:sz w:val="16"/>
                <w:szCs w:val="16"/>
                <w:lang w:val="en-US"/>
              </w:rPr>
              <w:t xml:space="preserve">_ </w:t>
            </w:r>
            <w:r w:rsidRPr="00F01347">
              <w:rPr>
                <w:rFonts w:ascii="Verdana" w:hAnsi="Verdana"/>
                <w:sz w:val="16"/>
                <w:szCs w:val="16"/>
                <w:lang w:val="en-US"/>
              </w:rPr>
              <w:t>_</w:t>
            </w:r>
          </w:p>
        </w:tc>
      </w:tr>
      <w:tr w:rsidR="000E1BC6" w:rsidRPr="00F01347" w14:paraId="1FAABBB7" w14:textId="4C89B0CC" w:rsidTr="003603F9">
        <w:tc>
          <w:tcPr>
            <w:tcW w:w="4675" w:type="dxa"/>
          </w:tcPr>
          <w:p w14:paraId="38729AD5" w14:textId="77777777" w:rsidR="000E1BC6" w:rsidRPr="00F01347" w:rsidRDefault="000E1BC6" w:rsidP="000E1BC6">
            <w:pPr>
              <w:pStyle w:val="texto0"/>
              <w:ind w:firstLine="0"/>
              <w:rPr>
                <w:rFonts w:ascii="Verdana" w:hAnsi="Verdana"/>
                <w:sz w:val="16"/>
                <w:szCs w:val="16"/>
              </w:rPr>
            </w:pPr>
            <w:r w:rsidRPr="00F01347">
              <w:rPr>
                <w:sz w:val="16"/>
                <w:szCs w:val="16"/>
              </w:rPr>
              <w:t>►►</w:t>
            </w:r>
            <w:r w:rsidRPr="00F01347">
              <w:rPr>
                <w:rFonts w:ascii="Verdana" w:hAnsi="Verdana"/>
                <w:sz w:val="16"/>
                <w:szCs w:val="16"/>
              </w:rPr>
              <w:tab/>
              <w:t>bot</w:t>
            </w:r>
            <w:r w:rsidRPr="00F01347">
              <w:rPr>
                <w:rFonts w:ascii="Verdana" w:hAnsi="Verdana" w:cs="Verdana"/>
                <w:sz w:val="16"/>
                <w:szCs w:val="16"/>
              </w:rPr>
              <w:t>ó</w:t>
            </w:r>
            <w:r w:rsidRPr="00F01347">
              <w:rPr>
                <w:rFonts w:ascii="Verdana" w:hAnsi="Verdana"/>
                <w:sz w:val="16"/>
                <w:szCs w:val="16"/>
              </w:rPr>
              <w:t>n de inicio de an</w:t>
            </w:r>
            <w:r w:rsidRPr="00F01347">
              <w:rPr>
                <w:rFonts w:ascii="Verdana" w:hAnsi="Verdana" w:cs="Verdana"/>
                <w:sz w:val="16"/>
                <w:szCs w:val="16"/>
              </w:rPr>
              <w:t>á</w:t>
            </w:r>
            <w:r w:rsidRPr="00F01347">
              <w:rPr>
                <w:rFonts w:ascii="Verdana" w:hAnsi="Verdana"/>
                <w:sz w:val="16"/>
                <w:szCs w:val="16"/>
              </w:rPr>
              <w:t>lisis</w:t>
            </w:r>
          </w:p>
        </w:tc>
        <w:tc>
          <w:tcPr>
            <w:tcW w:w="4675" w:type="dxa"/>
          </w:tcPr>
          <w:p w14:paraId="59506A8F" w14:textId="63CF544B" w:rsidR="000E1BC6" w:rsidRPr="00F01347" w:rsidRDefault="000E1BC6" w:rsidP="000E1BC6">
            <w:pPr>
              <w:pStyle w:val="texto0"/>
              <w:ind w:firstLine="0"/>
              <w:rPr>
                <w:sz w:val="16"/>
                <w:szCs w:val="16"/>
                <w:lang w:val="en-US"/>
              </w:rPr>
            </w:pPr>
            <w:r w:rsidRPr="00F01347">
              <w:rPr>
                <w:sz w:val="16"/>
                <w:szCs w:val="16"/>
                <w:lang w:val="en-US"/>
              </w:rPr>
              <w:t xml:space="preserve">►► </w:t>
            </w:r>
            <w:r w:rsidRPr="00F01347">
              <w:rPr>
                <w:rFonts w:ascii="Verdana" w:hAnsi="Verdana"/>
                <w:sz w:val="16"/>
                <w:szCs w:val="16"/>
                <w:lang w:val="en-US"/>
              </w:rPr>
              <w:tab/>
              <w:t xml:space="preserve">start </w:t>
            </w:r>
            <w:r w:rsidRPr="00F01347">
              <w:rPr>
                <w:rFonts w:ascii="Verdana" w:hAnsi="Verdana" w:cs="Verdana"/>
                <w:sz w:val="16"/>
                <w:szCs w:val="16"/>
                <w:lang w:val="en-US"/>
              </w:rPr>
              <w:t xml:space="preserve">analysis </w:t>
            </w:r>
            <w:r w:rsidRPr="00F01347">
              <w:rPr>
                <w:rFonts w:ascii="Verdana" w:hAnsi="Verdana"/>
                <w:sz w:val="16"/>
                <w:szCs w:val="16"/>
                <w:lang w:val="en-US"/>
              </w:rPr>
              <w:t xml:space="preserve">button </w:t>
            </w:r>
            <w:r w:rsidRPr="00F01347">
              <w:rPr>
                <w:rFonts w:ascii="Verdana" w:hAnsi="Verdana" w:cs="Verdana"/>
                <w:sz w:val="16"/>
                <w:szCs w:val="16"/>
                <w:lang w:val="en-US"/>
              </w:rPr>
              <w:t xml:space="preserve">_ </w:t>
            </w:r>
            <w:r w:rsidRPr="00F01347">
              <w:rPr>
                <w:rFonts w:ascii="Verdana" w:hAnsi="Verdana"/>
                <w:sz w:val="16"/>
                <w:szCs w:val="16"/>
                <w:lang w:val="en-US"/>
              </w:rPr>
              <w:t>_</w:t>
            </w:r>
          </w:p>
        </w:tc>
      </w:tr>
      <w:tr w:rsidR="000E1BC6" w:rsidRPr="00F01347" w14:paraId="5F6B9148" w14:textId="0CFEF6E4" w:rsidTr="003603F9">
        <w:tc>
          <w:tcPr>
            <w:tcW w:w="4675" w:type="dxa"/>
          </w:tcPr>
          <w:p w14:paraId="73F02941" w14:textId="77777777" w:rsidR="000E1BC6" w:rsidRPr="00F01347" w:rsidRDefault="000E1BC6" w:rsidP="000E1BC6">
            <w:pPr>
              <w:pStyle w:val="texto0"/>
              <w:ind w:firstLine="0"/>
              <w:rPr>
                <w:rFonts w:ascii="Verdana" w:hAnsi="Verdana"/>
                <w:b/>
                <w:sz w:val="16"/>
                <w:szCs w:val="16"/>
              </w:rPr>
            </w:pPr>
            <w:r w:rsidRPr="00F01347">
              <w:rPr>
                <w:rFonts w:ascii="Verdana" w:hAnsi="Verdana"/>
                <w:b/>
                <w:sz w:val="16"/>
                <w:szCs w:val="16"/>
              </w:rPr>
              <w:t>B.7.4.3 Principio</w:t>
            </w:r>
          </w:p>
        </w:tc>
        <w:tc>
          <w:tcPr>
            <w:tcW w:w="4675" w:type="dxa"/>
          </w:tcPr>
          <w:p w14:paraId="2C52320A" w14:textId="23E1BD2E" w:rsidR="000E1BC6" w:rsidRPr="00F01347" w:rsidRDefault="000E1BC6" w:rsidP="000E1BC6">
            <w:pPr>
              <w:pStyle w:val="texto0"/>
              <w:ind w:firstLine="0"/>
              <w:rPr>
                <w:rFonts w:ascii="Verdana" w:hAnsi="Verdana"/>
                <w:b/>
                <w:sz w:val="16"/>
                <w:szCs w:val="16"/>
                <w:lang w:val="en-US"/>
              </w:rPr>
            </w:pPr>
            <w:r w:rsidRPr="00F01347">
              <w:rPr>
                <w:rFonts w:ascii="Verdana" w:hAnsi="Verdana"/>
                <w:b/>
                <w:sz w:val="16"/>
                <w:szCs w:val="16"/>
                <w:lang w:val="en-US"/>
              </w:rPr>
              <w:t>B.7.4.3 Principle</w:t>
            </w:r>
          </w:p>
        </w:tc>
      </w:tr>
      <w:tr w:rsidR="000E1BC6" w:rsidRPr="00F01347" w14:paraId="7B20C56C" w14:textId="0B586D59" w:rsidTr="003603F9">
        <w:tc>
          <w:tcPr>
            <w:tcW w:w="4675" w:type="dxa"/>
          </w:tcPr>
          <w:p w14:paraId="3CB15BEF" w14:textId="77777777" w:rsidR="000E1BC6" w:rsidRPr="00F01347" w:rsidRDefault="000E1BC6" w:rsidP="000E1BC6">
            <w:pPr>
              <w:pStyle w:val="texto0"/>
              <w:ind w:firstLine="0"/>
              <w:rPr>
                <w:rFonts w:ascii="Verdana" w:hAnsi="Verdana"/>
                <w:sz w:val="16"/>
                <w:szCs w:val="16"/>
              </w:rPr>
            </w:pPr>
            <w:r w:rsidRPr="00F01347">
              <w:rPr>
                <w:rFonts w:ascii="Verdana" w:hAnsi="Verdana"/>
                <w:sz w:val="16"/>
                <w:szCs w:val="16"/>
              </w:rPr>
              <w:t xml:space="preserve">El amonio reacciona con el hipoclorito para generar cloramina. Ésta reacciona con el fenol en medio alcalino y en presencia de </w:t>
            </w:r>
            <w:proofErr w:type="spellStart"/>
            <w:r w:rsidRPr="00F01347">
              <w:rPr>
                <w:rFonts w:ascii="Verdana" w:hAnsi="Verdana"/>
                <w:sz w:val="16"/>
                <w:szCs w:val="16"/>
              </w:rPr>
              <w:t>nitroferricianuro</w:t>
            </w:r>
            <w:proofErr w:type="spellEnd"/>
            <w:r w:rsidRPr="00F01347">
              <w:rPr>
                <w:rFonts w:ascii="Verdana" w:hAnsi="Verdana"/>
                <w:sz w:val="16"/>
                <w:szCs w:val="16"/>
              </w:rPr>
              <w:t xml:space="preserve"> para producir azul de </w:t>
            </w:r>
            <w:proofErr w:type="spellStart"/>
            <w:r w:rsidRPr="00F01347">
              <w:rPr>
                <w:rFonts w:ascii="Verdana" w:hAnsi="Verdana"/>
                <w:sz w:val="16"/>
                <w:szCs w:val="16"/>
              </w:rPr>
              <w:t>indofenol</w:t>
            </w:r>
            <w:proofErr w:type="spellEnd"/>
            <w:r w:rsidRPr="00F01347">
              <w:rPr>
                <w:rFonts w:ascii="Verdana" w:hAnsi="Verdana"/>
                <w:sz w:val="16"/>
                <w:szCs w:val="16"/>
              </w:rPr>
              <w:t xml:space="preserve">, cuya concentración es proporcional a la concentración de amonio en la muestra (Fig. B.7.4-1, de este Apéndice). La concentración del azul de </w:t>
            </w:r>
            <w:proofErr w:type="spellStart"/>
            <w:r w:rsidRPr="00F01347">
              <w:rPr>
                <w:rFonts w:ascii="Verdana" w:hAnsi="Verdana"/>
                <w:sz w:val="16"/>
                <w:szCs w:val="16"/>
              </w:rPr>
              <w:t>indofenol</w:t>
            </w:r>
            <w:proofErr w:type="spellEnd"/>
            <w:r w:rsidRPr="00F01347">
              <w:rPr>
                <w:rFonts w:ascii="Verdana" w:hAnsi="Verdana"/>
                <w:sz w:val="16"/>
                <w:szCs w:val="16"/>
              </w:rPr>
              <w:t xml:space="preserve"> se cuantifica leyendo a una longitud de onda de 660 nm.</w:t>
            </w:r>
          </w:p>
        </w:tc>
        <w:tc>
          <w:tcPr>
            <w:tcW w:w="4675" w:type="dxa"/>
          </w:tcPr>
          <w:p w14:paraId="5A67AAD3" w14:textId="31DDE296" w:rsidR="000E1BC6" w:rsidRPr="00F01347" w:rsidRDefault="000E1BC6" w:rsidP="000E1BC6">
            <w:pPr>
              <w:pStyle w:val="texto0"/>
              <w:ind w:firstLine="0"/>
              <w:rPr>
                <w:rFonts w:ascii="Verdana" w:hAnsi="Verdana"/>
                <w:sz w:val="16"/>
                <w:szCs w:val="16"/>
                <w:lang w:val="en-US"/>
              </w:rPr>
            </w:pPr>
            <w:r w:rsidRPr="00F01347">
              <w:rPr>
                <w:rFonts w:ascii="Verdana" w:hAnsi="Verdana"/>
                <w:sz w:val="16"/>
                <w:szCs w:val="16"/>
                <w:lang w:val="en-US"/>
              </w:rPr>
              <w:t>Ammonium reacts with hypochlorite to generate chloramine. This reacts with phenol in an alkaline medium and in the presence of nitroferricyanide to produce indophenol blue</w:t>
            </w:r>
            <w:r w:rsidR="003E1BA9" w:rsidRPr="00F01347">
              <w:rPr>
                <w:rFonts w:ascii="Verdana" w:hAnsi="Verdana"/>
                <w:sz w:val="16"/>
                <w:szCs w:val="16"/>
                <w:lang w:val="en-US"/>
              </w:rPr>
              <w:t>,</w:t>
            </w:r>
            <w:r w:rsidRPr="00F01347">
              <w:rPr>
                <w:rFonts w:ascii="Verdana" w:hAnsi="Verdana"/>
                <w:sz w:val="16"/>
                <w:szCs w:val="16"/>
                <w:lang w:val="en-US"/>
              </w:rPr>
              <w:t xml:space="preserve"> whose concentration is proportional to the concentration of ammonium in the sample (Fig. B.7.4-1, of this Appendix). The concentration of indophenol blue is quantified by reading at a wavelength of 660 nm.</w:t>
            </w:r>
          </w:p>
        </w:tc>
      </w:tr>
    </w:tbl>
    <w:p w14:paraId="5B92C38C" w14:textId="3CB68CCC" w:rsidR="00A74CDF" w:rsidRPr="00F01347" w:rsidRDefault="0072312A" w:rsidP="003A601B">
      <w:pPr>
        <w:pStyle w:val="texto0"/>
        <w:spacing w:line="240" w:lineRule="auto"/>
        <w:ind w:firstLine="0"/>
        <w:jc w:val="center"/>
        <w:rPr>
          <w:rFonts w:ascii="Verdana" w:hAnsi="Verdana"/>
          <w:sz w:val="16"/>
          <w:szCs w:val="16"/>
        </w:rPr>
      </w:pPr>
      <w:r w:rsidRPr="00F01347">
        <w:rPr>
          <w:noProof/>
        </w:rPr>
        <w:drawing>
          <wp:inline distT="0" distB="0" distL="0" distR="0" wp14:anchorId="42444E05" wp14:editId="0FDEE425">
            <wp:extent cx="5929874" cy="3845560"/>
            <wp:effectExtent l="0" t="0" r="0" b="2540"/>
            <wp:docPr id="1837379251" name="Picture 1"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79251" name="Picture 1" descr="A computer screen shot of a computer screen&#10;&#10;Description automatically generated"/>
                    <pic:cNvPicPr/>
                  </pic:nvPicPr>
                  <pic:blipFill rotWithShape="1">
                    <a:blip r:embed="rId76"/>
                    <a:srcRect l="39744" t="27503" r="11624" b="16429"/>
                    <a:stretch/>
                  </pic:blipFill>
                  <pic:spPr bwMode="auto">
                    <a:xfrm>
                      <a:off x="0" y="0"/>
                      <a:ext cx="5964490" cy="3868009"/>
                    </a:xfrm>
                    <a:prstGeom prst="rect">
                      <a:avLst/>
                    </a:prstGeom>
                    <a:ln>
                      <a:noFill/>
                    </a:ln>
                    <a:extLst>
                      <a:ext uri="{53640926-AAD7-44D8-BBD7-CCE9431645EC}">
                        <a14:shadowObscured xmlns:a14="http://schemas.microsoft.com/office/drawing/2010/main"/>
                      </a:ext>
                    </a:extLst>
                  </pic:spPr>
                </pic:pic>
              </a:graphicData>
            </a:graphic>
          </wp:inline>
        </w:drawing>
      </w:r>
    </w:p>
    <w:p w14:paraId="2864C420" w14:textId="29B2A630" w:rsidR="00A74CDF" w:rsidRPr="00F01347" w:rsidRDefault="00A74CDF" w:rsidP="003A601B">
      <w:pPr>
        <w:pStyle w:val="texto0"/>
        <w:ind w:left="540" w:right="742"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16C4E" w:rsidRPr="00F01347" w14:paraId="114A4A21" w14:textId="77777777" w:rsidTr="0072312A">
        <w:tc>
          <w:tcPr>
            <w:tcW w:w="4675" w:type="dxa"/>
          </w:tcPr>
          <w:p w14:paraId="4B7FCCC4" w14:textId="459E56CE" w:rsidR="00916C4E" w:rsidRPr="00F01347" w:rsidRDefault="003C21DE" w:rsidP="00025836">
            <w:pPr>
              <w:pStyle w:val="texto0"/>
              <w:ind w:firstLine="0"/>
              <w:rPr>
                <w:rFonts w:ascii="Verdana" w:hAnsi="Verdana"/>
                <w:b/>
                <w:sz w:val="16"/>
                <w:szCs w:val="16"/>
              </w:rPr>
            </w:pPr>
            <w:r w:rsidRPr="00F01347">
              <w:rPr>
                <w:rFonts w:ascii="Verdana" w:hAnsi="Verdana"/>
                <w:b/>
                <w:sz w:val="16"/>
                <w:szCs w:val="16"/>
              </w:rPr>
              <w:t>Fig. B.7.4-1.</w:t>
            </w:r>
            <w:r w:rsidRPr="00F01347">
              <w:rPr>
                <w:rFonts w:ascii="Verdana" w:hAnsi="Verdana"/>
                <w:sz w:val="16"/>
                <w:szCs w:val="16"/>
              </w:rPr>
              <w:t xml:space="preserve"> Formación del </w:t>
            </w:r>
            <w:proofErr w:type="spellStart"/>
            <w:r w:rsidRPr="00F01347">
              <w:rPr>
                <w:rFonts w:ascii="Verdana" w:hAnsi="Verdana"/>
                <w:sz w:val="16"/>
                <w:szCs w:val="16"/>
              </w:rPr>
              <w:t>indofenol</w:t>
            </w:r>
            <w:proofErr w:type="spellEnd"/>
            <w:r w:rsidRPr="00F01347">
              <w:rPr>
                <w:rFonts w:ascii="Verdana" w:hAnsi="Verdana"/>
                <w:sz w:val="16"/>
                <w:szCs w:val="16"/>
              </w:rPr>
              <w:t xml:space="preserve"> de color azul producto de la reacción del </w:t>
            </w:r>
            <w:proofErr w:type="spellStart"/>
            <w:r w:rsidRPr="00F01347">
              <w:rPr>
                <w:rFonts w:ascii="Verdana" w:hAnsi="Verdana"/>
                <w:sz w:val="16"/>
                <w:szCs w:val="16"/>
              </w:rPr>
              <w:t>ión</w:t>
            </w:r>
            <w:proofErr w:type="spellEnd"/>
            <w:r w:rsidRPr="00F01347">
              <w:rPr>
                <w:rFonts w:ascii="Verdana" w:hAnsi="Verdana"/>
                <w:sz w:val="16"/>
                <w:szCs w:val="16"/>
              </w:rPr>
              <w:t xml:space="preserve"> amonio con hipoclorito y fenol en medio básico en presencia de </w:t>
            </w:r>
            <w:proofErr w:type="spellStart"/>
            <w:r w:rsidRPr="00F01347">
              <w:rPr>
                <w:rFonts w:ascii="Verdana" w:hAnsi="Verdana"/>
                <w:sz w:val="16"/>
                <w:szCs w:val="16"/>
              </w:rPr>
              <w:t>nitroferricianuro</w:t>
            </w:r>
            <w:proofErr w:type="spellEnd"/>
            <w:r w:rsidRPr="00F01347">
              <w:rPr>
                <w:rFonts w:ascii="Verdana" w:hAnsi="Verdana"/>
                <w:sz w:val="16"/>
                <w:szCs w:val="16"/>
              </w:rPr>
              <w:t>.</w:t>
            </w:r>
          </w:p>
        </w:tc>
        <w:tc>
          <w:tcPr>
            <w:tcW w:w="4675" w:type="dxa"/>
          </w:tcPr>
          <w:p w14:paraId="00DF4AEE" w14:textId="1847588B" w:rsidR="00916C4E" w:rsidRPr="00F01347" w:rsidRDefault="003C21DE" w:rsidP="00025836">
            <w:pPr>
              <w:pStyle w:val="texto0"/>
              <w:ind w:firstLine="0"/>
              <w:rPr>
                <w:rFonts w:ascii="Verdana" w:hAnsi="Verdana"/>
                <w:b/>
                <w:sz w:val="16"/>
                <w:szCs w:val="16"/>
                <w:lang w:val="en-US"/>
              </w:rPr>
            </w:pPr>
            <w:r w:rsidRPr="00F01347">
              <w:rPr>
                <w:rFonts w:ascii="Verdana" w:hAnsi="Verdana"/>
                <w:b/>
                <w:sz w:val="16"/>
                <w:szCs w:val="16"/>
                <w:lang w:val="en-US"/>
              </w:rPr>
              <w:t xml:space="preserve">Fig. B.7.4-1. </w:t>
            </w:r>
            <w:r w:rsidRPr="00F01347">
              <w:rPr>
                <w:rFonts w:ascii="Verdana" w:hAnsi="Verdana"/>
                <w:bCs/>
                <w:sz w:val="16"/>
                <w:szCs w:val="16"/>
                <w:lang w:val="en-US"/>
              </w:rPr>
              <w:t>Formation of blue indophenol product of the reaction of the ammonium ion with hypochlorite and phenol in a basic medium in the presence of nitroferricyanide</w:t>
            </w:r>
            <w:r w:rsidR="003E1BA9" w:rsidRPr="00F01347">
              <w:rPr>
                <w:rFonts w:ascii="Verdana" w:hAnsi="Verdana"/>
                <w:bCs/>
                <w:sz w:val="16"/>
                <w:szCs w:val="16"/>
                <w:lang w:val="en-US"/>
              </w:rPr>
              <w:t>.</w:t>
            </w:r>
          </w:p>
        </w:tc>
      </w:tr>
      <w:tr w:rsidR="003C21DE" w:rsidRPr="00F01347" w14:paraId="4C7F7A67" w14:textId="0A2720D2" w:rsidTr="0072312A">
        <w:tc>
          <w:tcPr>
            <w:tcW w:w="4675" w:type="dxa"/>
          </w:tcPr>
          <w:p w14:paraId="1B920967" w14:textId="77777777" w:rsidR="003C21DE" w:rsidRPr="00F01347" w:rsidRDefault="003C21DE" w:rsidP="003C21DE">
            <w:pPr>
              <w:pStyle w:val="texto0"/>
              <w:ind w:firstLine="0"/>
              <w:rPr>
                <w:rFonts w:ascii="Verdana" w:hAnsi="Verdana"/>
                <w:b/>
                <w:sz w:val="16"/>
                <w:szCs w:val="16"/>
              </w:rPr>
            </w:pPr>
            <w:r w:rsidRPr="00F01347">
              <w:rPr>
                <w:rFonts w:ascii="Verdana" w:hAnsi="Verdana"/>
                <w:b/>
                <w:sz w:val="16"/>
                <w:szCs w:val="16"/>
              </w:rPr>
              <w:t>B.7.4.4 Alcance y aplicación</w:t>
            </w:r>
          </w:p>
        </w:tc>
        <w:tc>
          <w:tcPr>
            <w:tcW w:w="4675" w:type="dxa"/>
          </w:tcPr>
          <w:p w14:paraId="1A22D07D" w14:textId="0D47B6BE" w:rsidR="003C21DE" w:rsidRPr="00F01347" w:rsidRDefault="003C21DE" w:rsidP="003C21DE">
            <w:pPr>
              <w:pStyle w:val="texto0"/>
              <w:ind w:firstLine="0"/>
              <w:rPr>
                <w:rFonts w:ascii="Verdana" w:hAnsi="Verdana"/>
                <w:b/>
                <w:sz w:val="16"/>
                <w:szCs w:val="16"/>
                <w:lang w:val="en-US"/>
              </w:rPr>
            </w:pPr>
            <w:r w:rsidRPr="00F01347">
              <w:rPr>
                <w:rFonts w:ascii="Verdana" w:hAnsi="Verdana"/>
                <w:b/>
                <w:sz w:val="16"/>
                <w:szCs w:val="16"/>
                <w:lang w:val="en-US"/>
              </w:rPr>
              <w:t>B.7.4.4 Scope and application</w:t>
            </w:r>
          </w:p>
        </w:tc>
      </w:tr>
      <w:tr w:rsidR="003C21DE" w:rsidRPr="00F01347" w14:paraId="585C5BAB" w14:textId="7A601333" w:rsidTr="0072312A">
        <w:tc>
          <w:tcPr>
            <w:tcW w:w="4675" w:type="dxa"/>
          </w:tcPr>
          <w:p w14:paraId="51878DEB" w14:textId="77777777" w:rsidR="003C21DE" w:rsidRPr="00F01347" w:rsidRDefault="003C21DE" w:rsidP="003C21DE">
            <w:pPr>
              <w:pStyle w:val="texto0"/>
              <w:ind w:firstLine="0"/>
              <w:rPr>
                <w:rFonts w:ascii="Verdana" w:hAnsi="Verdana"/>
                <w:sz w:val="16"/>
                <w:szCs w:val="16"/>
              </w:rPr>
            </w:pPr>
            <w:r w:rsidRPr="00F01347">
              <w:rPr>
                <w:rFonts w:ascii="Verdana" w:hAnsi="Verdana"/>
                <w:sz w:val="16"/>
                <w:szCs w:val="16"/>
              </w:rPr>
              <w:t>Este método se usa para determinar la concentración de nitrógeno amoniacal (N-NH</w:t>
            </w:r>
            <w:r w:rsidRPr="00F01347">
              <w:rPr>
                <w:rFonts w:ascii="Verdana" w:hAnsi="Verdana"/>
                <w:sz w:val="16"/>
                <w:szCs w:val="16"/>
                <w:vertAlign w:val="subscript"/>
              </w:rPr>
              <w:t>3</w:t>
            </w:r>
            <w:r w:rsidRPr="00F01347">
              <w:rPr>
                <w:rFonts w:ascii="Verdana" w:hAnsi="Verdana"/>
                <w:sz w:val="16"/>
                <w:szCs w:val="16"/>
              </w:rPr>
              <w:t xml:space="preserve">) en un intervalo de 0.01 a 2.0 mg/L en agua potable, natural, subterránea y superficial. El intervalo de trabajo se puede extender </w:t>
            </w:r>
            <w:r w:rsidRPr="00F01347">
              <w:rPr>
                <w:rFonts w:ascii="Verdana" w:hAnsi="Verdana"/>
                <w:sz w:val="16"/>
                <w:szCs w:val="16"/>
              </w:rPr>
              <w:lastRenderedPageBreak/>
              <w:t>hacia concentraciones más altas mediante la dilución de las muestras.</w:t>
            </w:r>
          </w:p>
        </w:tc>
        <w:tc>
          <w:tcPr>
            <w:tcW w:w="4675" w:type="dxa"/>
          </w:tcPr>
          <w:p w14:paraId="52CD85F6" w14:textId="77597FD7" w:rsidR="003C21DE" w:rsidRPr="00F01347" w:rsidRDefault="003C21DE" w:rsidP="003C21DE">
            <w:pPr>
              <w:pStyle w:val="texto0"/>
              <w:ind w:firstLine="0"/>
              <w:rPr>
                <w:rFonts w:ascii="Verdana" w:hAnsi="Verdana"/>
                <w:sz w:val="16"/>
                <w:szCs w:val="16"/>
                <w:lang w:val="en-US"/>
              </w:rPr>
            </w:pPr>
            <w:r w:rsidRPr="00F01347">
              <w:rPr>
                <w:rFonts w:ascii="Verdana" w:hAnsi="Verdana"/>
                <w:sz w:val="16"/>
                <w:szCs w:val="16"/>
                <w:lang w:val="en-US"/>
              </w:rPr>
              <w:lastRenderedPageBreak/>
              <w:t>This method is used to determine the concentration of ammoniacal nitrogen (N-NH</w:t>
            </w:r>
            <w:r w:rsidRPr="00F01347">
              <w:rPr>
                <w:rFonts w:ascii="Verdana" w:hAnsi="Verdana"/>
                <w:sz w:val="16"/>
                <w:szCs w:val="16"/>
                <w:vertAlign w:val="subscript"/>
                <w:lang w:val="en-US"/>
              </w:rPr>
              <w:t>3</w:t>
            </w:r>
            <w:r w:rsidR="00913802" w:rsidRPr="00F01347">
              <w:rPr>
                <w:rFonts w:ascii="Verdana" w:hAnsi="Verdana"/>
                <w:sz w:val="16"/>
                <w:szCs w:val="16"/>
                <w:vertAlign w:val="subscript"/>
                <w:lang w:val="en-US"/>
              </w:rPr>
              <w:t>)</w:t>
            </w:r>
            <w:r w:rsidRPr="00F01347">
              <w:rPr>
                <w:rFonts w:ascii="Verdana" w:hAnsi="Verdana"/>
                <w:sz w:val="16"/>
                <w:szCs w:val="16"/>
                <w:lang w:val="en-US"/>
              </w:rPr>
              <w:t xml:space="preserve"> in a range of 0.01 to 2.0 mg/L in drinking, natural, groundwater and surface </w:t>
            </w:r>
            <w:r w:rsidRPr="00F01347">
              <w:rPr>
                <w:rFonts w:ascii="Verdana" w:hAnsi="Verdana"/>
                <w:sz w:val="16"/>
                <w:szCs w:val="16"/>
                <w:lang w:val="en-US"/>
              </w:rPr>
              <w:lastRenderedPageBreak/>
              <w:t>water. The working range can be extended toward higher concentrations by diluting the samples.</w:t>
            </w:r>
          </w:p>
        </w:tc>
      </w:tr>
      <w:tr w:rsidR="003C21DE" w:rsidRPr="00F01347" w14:paraId="23750FCD" w14:textId="5714C26B" w:rsidTr="0072312A">
        <w:tc>
          <w:tcPr>
            <w:tcW w:w="4675" w:type="dxa"/>
          </w:tcPr>
          <w:p w14:paraId="6A358D27" w14:textId="77777777" w:rsidR="003C21DE" w:rsidRPr="00F01347" w:rsidRDefault="003C21DE" w:rsidP="003C21DE">
            <w:pPr>
              <w:pStyle w:val="texto0"/>
              <w:ind w:firstLine="0"/>
              <w:rPr>
                <w:rFonts w:ascii="Verdana" w:hAnsi="Verdana"/>
                <w:b/>
                <w:sz w:val="16"/>
                <w:szCs w:val="16"/>
              </w:rPr>
            </w:pPr>
            <w:r w:rsidRPr="00F01347">
              <w:rPr>
                <w:rFonts w:ascii="Verdana" w:hAnsi="Verdana"/>
                <w:b/>
                <w:sz w:val="16"/>
                <w:szCs w:val="16"/>
              </w:rPr>
              <w:lastRenderedPageBreak/>
              <w:t>B.7.4.5 Equipos y materiales</w:t>
            </w:r>
          </w:p>
        </w:tc>
        <w:tc>
          <w:tcPr>
            <w:tcW w:w="4675" w:type="dxa"/>
          </w:tcPr>
          <w:p w14:paraId="5273785C" w14:textId="3F8AD3B0" w:rsidR="003C21DE" w:rsidRPr="00F01347" w:rsidRDefault="003C21DE" w:rsidP="003C21DE">
            <w:pPr>
              <w:pStyle w:val="texto0"/>
              <w:ind w:firstLine="0"/>
              <w:rPr>
                <w:rFonts w:ascii="Verdana" w:hAnsi="Verdana"/>
                <w:b/>
                <w:sz w:val="16"/>
                <w:szCs w:val="16"/>
                <w:lang w:val="en-US"/>
              </w:rPr>
            </w:pPr>
            <w:r w:rsidRPr="00F01347">
              <w:rPr>
                <w:rFonts w:ascii="Verdana" w:hAnsi="Verdana"/>
                <w:b/>
                <w:sz w:val="16"/>
                <w:szCs w:val="16"/>
                <w:lang w:val="en-US"/>
              </w:rPr>
              <w:t>B.7.4.5 Equipment and materials</w:t>
            </w:r>
          </w:p>
        </w:tc>
      </w:tr>
      <w:tr w:rsidR="003C21DE" w:rsidRPr="00F01347" w14:paraId="5FACA3C2" w14:textId="45DDD5FA" w:rsidTr="0072312A">
        <w:tc>
          <w:tcPr>
            <w:tcW w:w="4675" w:type="dxa"/>
          </w:tcPr>
          <w:p w14:paraId="5CEBDDE6" w14:textId="77777777" w:rsidR="003C21DE" w:rsidRPr="00F01347" w:rsidRDefault="003C21DE" w:rsidP="003C21DE">
            <w:pPr>
              <w:pStyle w:val="texto0"/>
              <w:ind w:firstLine="0"/>
              <w:rPr>
                <w:rFonts w:ascii="Verdana" w:hAnsi="Verdana"/>
                <w:sz w:val="16"/>
                <w:szCs w:val="16"/>
              </w:rPr>
            </w:pPr>
            <w:r w:rsidRPr="00F01347">
              <w:rPr>
                <w:rFonts w:ascii="Verdana" w:hAnsi="Verdana"/>
                <w:sz w:val="16"/>
                <w:szCs w:val="16"/>
              </w:rPr>
              <w:t>Sólo se mencionan los equipos y materiales que no son de uso común en el laboratorio analítico.</w:t>
            </w:r>
          </w:p>
        </w:tc>
        <w:tc>
          <w:tcPr>
            <w:tcW w:w="4675" w:type="dxa"/>
          </w:tcPr>
          <w:p w14:paraId="6A66A884" w14:textId="4BE7DF21" w:rsidR="003C21DE" w:rsidRPr="00F01347" w:rsidRDefault="003C21DE" w:rsidP="003C21DE">
            <w:pPr>
              <w:pStyle w:val="texto0"/>
              <w:ind w:firstLine="0"/>
              <w:rPr>
                <w:rFonts w:ascii="Verdana" w:hAnsi="Verdana"/>
                <w:sz w:val="16"/>
                <w:szCs w:val="16"/>
                <w:lang w:val="en-US"/>
              </w:rPr>
            </w:pPr>
            <w:r w:rsidRPr="00F01347">
              <w:rPr>
                <w:rFonts w:ascii="Verdana" w:hAnsi="Verdana"/>
                <w:sz w:val="16"/>
                <w:szCs w:val="16"/>
                <w:lang w:val="en-US"/>
              </w:rPr>
              <w:t>Only equipment and materials that are not commonly used in the analytical laboratory are mentioned.</w:t>
            </w:r>
          </w:p>
        </w:tc>
      </w:tr>
      <w:tr w:rsidR="003C21DE" w:rsidRPr="00F01347" w14:paraId="65130B81" w14:textId="6CE7833C" w:rsidTr="0072312A">
        <w:tc>
          <w:tcPr>
            <w:tcW w:w="4675" w:type="dxa"/>
          </w:tcPr>
          <w:p w14:paraId="7D133632" w14:textId="77777777" w:rsidR="003C21DE" w:rsidRPr="00F01347" w:rsidRDefault="003C21DE" w:rsidP="003C21DE">
            <w:pPr>
              <w:pStyle w:val="texto0"/>
              <w:ind w:firstLine="0"/>
              <w:rPr>
                <w:rFonts w:ascii="Verdana" w:hAnsi="Verdana"/>
                <w:sz w:val="16"/>
                <w:szCs w:val="16"/>
              </w:rPr>
            </w:pPr>
            <w:r w:rsidRPr="00F01347">
              <w:rPr>
                <w:rFonts w:ascii="Verdana" w:hAnsi="Verdana"/>
                <w:b/>
                <w:sz w:val="16"/>
                <w:szCs w:val="16"/>
              </w:rPr>
              <w:t>Analizador automático</w:t>
            </w:r>
            <w:r w:rsidRPr="00F01347">
              <w:rPr>
                <w:rFonts w:ascii="Verdana" w:hAnsi="Verdana"/>
                <w:sz w:val="16"/>
                <w:szCs w:val="16"/>
              </w:rPr>
              <w:t xml:space="preserve">, que incluya bomba peristáltica de canales múltiples, </w:t>
            </w:r>
            <w:proofErr w:type="spellStart"/>
            <w:r w:rsidRPr="00F01347">
              <w:rPr>
                <w:rFonts w:ascii="Verdana" w:hAnsi="Verdana"/>
                <w:sz w:val="16"/>
                <w:szCs w:val="16"/>
              </w:rPr>
              <w:t>automuestreador</w:t>
            </w:r>
            <w:proofErr w:type="spellEnd"/>
            <w:r w:rsidRPr="00F01347">
              <w:rPr>
                <w:rFonts w:ascii="Verdana" w:hAnsi="Verdana"/>
                <w:sz w:val="16"/>
                <w:szCs w:val="16"/>
              </w:rPr>
              <w:t>, detector fotométrico con celda de flujo, sistema de recopilación de datos y cartucho configurado para el análisis de nitrógeno amoniacal (Fig. B.7.4-2, de este Apéndice). Si se usa el equipo en la modalidad de FIA, el equipo debe contar con la válvula apropiada. El siguiente diagrama considera el uso del equipo automatizado en su modalidad de flujo segmentado (SFA).</w:t>
            </w:r>
          </w:p>
        </w:tc>
        <w:tc>
          <w:tcPr>
            <w:tcW w:w="4675" w:type="dxa"/>
          </w:tcPr>
          <w:p w14:paraId="08A2959A" w14:textId="086E611B" w:rsidR="003C21DE" w:rsidRPr="00F01347" w:rsidRDefault="003C21DE" w:rsidP="003C21DE">
            <w:pPr>
              <w:pStyle w:val="texto0"/>
              <w:ind w:firstLine="0"/>
              <w:rPr>
                <w:rFonts w:ascii="Verdana" w:hAnsi="Verdana"/>
                <w:b/>
                <w:sz w:val="16"/>
                <w:szCs w:val="16"/>
                <w:lang w:val="en-US"/>
              </w:rPr>
            </w:pPr>
            <w:r w:rsidRPr="00F01347">
              <w:rPr>
                <w:rFonts w:ascii="Verdana" w:hAnsi="Verdana"/>
                <w:b/>
                <w:sz w:val="16"/>
                <w:szCs w:val="16"/>
                <w:lang w:val="en-US"/>
              </w:rPr>
              <w:t>Automatic analyzer</w:t>
            </w:r>
            <w:r w:rsidR="003E1BA9" w:rsidRPr="00F01347">
              <w:rPr>
                <w:rFonts w:ascii="Verdana" w:hAnsi="Verdana"/>
                <w:b/>
                <w:sz w:val="16"/>
                <w:szCs w:val="16"/>
                <w:lang w:val="en-US"/>
              </w:rPr>
              <w:t>,</w:t>
            </w:r>
            <w:r w:rsidRPr="00F01347">
              <w:rPr>
                <w:rFonts w:ascii="Verdana" w:hAnsi="Verdana"/>
                <w:sz w:val="16"/>
                <w:szCs w:val="16"/>
                <w:lang w:val="en-US"/>
              </w:rPr>
              <w:t xml:space="preserve"> including multi-channel peristaltic pump, autosampler</w:t>
            </w:r>
            <w:r w:rsidR="003E1BA9" w:rsidRPr="00F01347">
              <w:rPr>
                <w:rFonts w:ascii="Verdana" w:hAnsi="Verdana"/>
                <w:sz w:val="16"/>
                <w:szCs w:val="16"/>
                <w:lang w:val="en-US"/>
              </w:rPr>
              <w:t>,</w:t>
            </w:r>
            <w:r w:rsidRPr="00F01347">
              <w:rPr>
                <w:rFonts w:ascii="Verdana" w:hAnsi="Verdana"/>
                <w:sz w:val="16"/>
                <w:szCs w:val="16"/>
                <w:lang w:val="en-US"/>
              </w:rPr>
              <w:t xml:space="preserve"> photometric detector with flow cell, data collection system, and cartridge configured for ammoniacal nitrogen analysis (Fig. B.7.4-2, of this Appendix). If the equipment is used in FIA mode, the equipment must have the appropriate valve. The following diagram considers the use of automated equipment in its segmented flow mode (SFA).</w:t>
            </w:r>
          </w:p>
        </w:tc>
      </w:tr>
    </w:tbl>
    <w:p w14:paraId="7D94EF13" w14:textId="225CDA9F" w:rsidR="00A74CDF" w:rsidRPr="00F01347" w:rsidRDefault="00C8657C" w:rsidP="003A601B">
      <w:pPr>
        <w:pStyle w:val="texto0"/>
        <w:spacing w:line="240" w:lineRule="auto"/>
        <w:ind w:firstLine="0"/>
        <w:jc w:val="center"/>
        <w:rPr>
          <w:rFonts w:ascii="Verdana" w:hAnsi="Verdana"/>
          <w:sz w:val="16"/>
          <w:szCs w:val="16"/>
        </w:rPr>
      </w:pPr>
      <w:r w:rsidRPr="00F01347">
        <w:rPr>
          <w:noProof/>
        </w:rPr>
        <w:drawing>
          <wp:inline distT="0" distB="0" distL="0" distR="0" wp14:anchorId="5F3BD376" wp14:editId="6B64F92D">
            <wp:extent cx="5592460" cy="3436088"/>
            <wp:effectExtent l="0" t="0" r="8255" b="0"/>
            <wp:docPr id="1943201404"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201404" name="Picture 1" descr="A computer screen shot of a computer&#10;&#10;Description automatically generated"/>
                    <pic:cNvPicPr/>
                  </pic:nvPicPr>
                  <pic:blipFill rotWithShape="1">
                    <a:blip r:embed="rId77"/>
                    <a:srcRect l="31487" t="21516" r="11582" b="16300"/>
                    <a:stretch/>
                  </pic:blipFill>
                  <pic:spPr bwMode="auto">
                    <a:xfrm>
                      <a:off x="0" y="0"/>
                      <a:ext cx="5640808" cy="346579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5705C" w:rsidRPr="00F01347" w14:paraId="2B97342C" w14:textId="10411580" w:rsidTr="00C8657C">
        <w:tc>
          <w:tcPr>
            <w:tcW w:w="4675" w:type="dxa"/>
          </w:tcPr>
          <w:p w14:paraId="3C873F61" w14:textId="77777777" w:rsidR="0035705C" w:rsidRPr="00F01347" w:rsidRDefault="0035705C" w:rsidP="0035705C">
            <w:pPr>
              <w:pStyle w:val="texto0"/>
              <w:spacing w:line="232" w:lineRule="exact"/>
              <w:ind w:firstLine="0"/>
              <w:rPr>
                <w:rFonts w:ascii="Verdana" w:hAnsi="Verdana"/>
                <w:color w:val="000000"/>
                <w:sz w:val="16"/>
                <w:szCs w:val="16"/>
              </w:rPr>
            </w:pPr>
            <w:r w:rsidRPr="00F01347">
              <w:rPr>
                <w:rFonts w:ascii="Verdana" w:hAnsi="Verdana"/>
                <w:b/>
                <w:sz w:val="16"/>
                <w:szCs w:val="16"/>
              </w:rPr>
              <w:t>Fig. B.7.4-2</w:t>
            </w:r>
            <w:r w:rsidRPr="00F01347">
              <w:rPr>
                <w:rFonts w:ascii="Verdana" w:hAnsi="Verdana"/>
                <w:sz w:val="16"/>
                <w:szCs w:val="16"/>
              </w:rPr>
              <w:t xml:space="preserve">. </w:t>
            </w:r>
            <w:r w:rsidRPr="00F01347">
              <w:rPr>
                <w:rFonts w:ascii="Verdana" w:hAnsi="Verdana"/>
                <w:color w:val="000000"/>
                <w:sz w:val="16"/>
                <w:szCs w:val="16"/>
              </w:rPr>
              <w:t>Configuración del cartucho para el análisis de N-NH</w:t>
            </w:r>
            <w:r w:rsidRPr="00F01347">
              <w:rPr>
                <w:rFonts w:ascii="Verdana" w:hAnsi="Verdana"/>
                <w:color w:val="000000"/>
                <w:sz w:val="16"/>
                <w:szCs w:val="16"/>
                <w:vertAlign w:val="subscript"/>
              </w:rPr>
              <w:t>3</w:t>
            </w:r>
          </w:p>
        </w:tc>
        <w:tc>
          <w:tcPr>
            <w:tcW w:w="4675" w:type="dxa"/>
          </w:tcPr>
          <w:p w14:paraId="2BE29C74" w14:textId="1628CC33" w:rsidR="0035705C" w:rsidRPr="00F01347" w:rsidRDefault="0035705C" w:rsidP="0035705C">
            <w:pPr>
              <w:pStyle w:val="texto0"/>
              <w:spacing w:line="232" w:lineRule="exact"/>
              <w:ind w:firstLine="0"/>
              <w:rPr>
                <w:rFonts w:ascii="Verdana" w:hAnsi="Verdana"/>
                <w:b/>
                <w:sz w:val="16"/>
                <w:szCs w:val="16"/>
                <w:lang w:val="en-US"/>
              </w:rPr>
            </w:pPr>
            <w:r w:rsidRPr="00F01347">
              <w:rPr>
                <w:rFonts w:ascii="Verdana" w:hAnsi="Verdana"/>
                <w:b/>
                <w:sz w:val="16"/>
                <w:szCs w:val="16"/>
                <w:lang w:val="en-US"/>
              </w:rPr>
              <w:t>Fig. B.7.4-2</w:t>
            </w:r>
            <w:r w:rsidR="003E1BA9" w:rsidRPr="00F01347">
              <w:rPr>
                <w:rFonts w:ascii="Verdana" w:hAnsi="Verdana"/>
                <w:b/>
                <w:sz w:val="16"/>
                <w:szCs w:val="16"/>
                <w:lang w:val="en-US"/>
              </w:rPr>
              <w:t>.</w:t>
            </w:r>
            <w:r w:rsidRPr="00F01347">
              <w:rPr>
                <w:rFonts w:ascii="Verdana" w:hAnsi="Verdana"/>
                <w:sz w:val="16"/>
                <w:szCs w:val="16"/>
                <w:lang w:val="en-US"/>
              </w:rPr>
              <w:t xml:space="preserve"> Cartridge configuration for N-NH</w:t>
            </w:r>
            <w:r w:rsidRPr="00F01347">
              <w:rPr>
                <w:rFonts w:ascii="Verdana" w:hAnsi="Verdana"/>
                <w:color w:val="000000"/>
                <w:sz w:val="16"/>
                <w:szCs w:val="16"/>
                <w:vertAlign w:val="subscript"/>
                <w:lang w:val="en-US"/>
              </w:rPr>
              <w:t xml:space="preserve">3 </w:t>
            </w:r>
            <w:r w:rsidRPr="00F01347">
              <w:rPr>
                <w:rFonts w:ascii="Verdana" w:hAnsi="Verdana"/>
                <w:color w:val="000000"/>
                <w:sz w:val="16"/>
                <w:szCs w:val="16"/>
                <w:lang w:val="en-US"/>
              </w:rPr>
              <w:t>analysis</w:t>
            </w:r>
          </w:p>
        </w:tc>
      </w:tr>
      <w:tr w:rsidR="0035705C" w:rsidRPr="00F01347" w14:paraId="77867AB5" w14:textId="35559F6D" w:rsidTr="00C8657C">
        <w:tc>
          <w:tcPr>
            <w:tcW w:w="4675" w:type="dxa"/>
          </w:tcPr>
          <w:p w14:paraId="62B93DD8" w14:textId="77777777" w:rsidR="0035705C" w:rsidRPr="00F01347" w:rsidRDefault="0035705C" w:rsidP="0035705C">
            <w:pPr>
              <w:pStyle w:val="texto0"/>
              <w:spacing w:line="232" w:lineRule="exact"/>
              <w:ind w:firstLine="0"/>
              <w:rPr>
                <w:rFonts w:ascii="Verdana" w:hAnsi="Verdana"/>
                <w:sz w:val="16"/>
                <w:szCs w:val="16"/>
              </w:rPr>
            </w:pPr>
            <w:r w:rsidRPr="00F01347">
              <w:rPr>
                <w:rFonts w:ascii="Verdana" w:hAnsi="Verdana"/>
                <w:b/>
                <w:sz w:val="16"/>
                <w:szCs w:val="16"/>
              </w:rPr>
              <w:t>Agitador rotatorio</w:t>
            </w:r>
          </w:p>
        </w:tc>
        <w:tc>
          <w:tcPr>
            <w:tcW w:w="4675" w:type="dxa"/>
          </w:tcPr>
          <w:p w14:paraId="30D1DC42" w14:textId="0A7BFC35" w:rsidR="0035705C" w:rsidRPr="00F01347" w:rsidRDefault="0035705C" w:rsidP="0035705C">
            <w:pPr>
              <w:pStyle w:val="texto0"/>
              <w:spacing w:line="232" w:lineRule="exact"/>
              <w:ind w:firstLine="0"/>
              <w:rPr>
                <w:rFonts w:ascii="Verdana" w:hAnsi="Verdana"/>
                <w:b/>
                <w:sz w:val="16"/>
                <w:szCs w:val="16"/>
                <w:lang w:val="en-US"/>
              </w:rPr>
            </w:pPr>
            <w:r w:rsidRPr="00F01347">
              <w:rPr>
                <w:rFonts w:ascii="Verdana" w:hAnsi="Verdana"/>
                <w:b/>
                <w:sz w:val="16"/>
                <w:szCs w:val="16"/>
                <w:lang w:val="en-US"/>
              </w:rPr>
              <w:t>Rotary agitator</w:t>
            </w:r>
          </w:p>
        </w:tc>
      </w:tr>
      <w:tr w:rsidR="0035705C" w:rsidRPr="00F01347" w14:paraId="105D7FEA" w14:textId="11C1BBD9" w:rsidTr="00C8657C">
        <w:tc>
          <w:tcPr>
            <w:tcW w:w="4675" w:type="dxa"/>
          </w:tcPr>
          <w:p w14:paraId="7D1E5987" w14:textId="77777777" w:rsidR="0035705C" w:rsidRPr="00F01347" w:rsidRDefault="0035705C" w:rsidP="0035705C">
            <w:pPr>
              <w:pStyle w:val="texto0"/>
              <w:spacing w:line="232" w:lineRule="exact"/>
              <w:ind w:firstLine="0"/>
              <w:rPr>
                <w:rFonts w:ascii="Verdana" w:hAnsi="Verdana"/>
                <w:b/>
                <w:sz w:val="16"/>
                <w:szCs w:val="16"/>
              </w:rPr>
            </w:pPr>
            <w:r w:rsidRPr="00F01347">
              <w:rPr>
                <w:rFonts w:ascii="Verdana" w:hAnsi="Verdana"/>
                <w:b/>
                <w:sz w:val="16"/>
                <w:szCs w:val="16"/>
              </w:rPr>
              <w:t>Balanza</w:t>
            </w:r>
          </w:p>
        </w:tc>
        <w:tc>
          <w:tcPr>
            <w:tcW w:w="4675" w:type="dxa"/>
          </w:tcPr>
          <w:p w14:paraId="505026C8" w14:textId="518730CE" w:rsidR="0035705C" w:rsidRPr="00F01347" w:rsidRDefault="0035705C" w:rsidP="0035705C">
            <w:pPr>
              <w:pStyle w:val="texto0"/>
              <w:spacing w:line="232" w:lineRule="exact"/>
              <w:ind w:firstLine="0"/>
              <w:rPr>
                <w:rFonts w:ascii="Verdana" w:hAnsi="Verdana"/>
                <w:b/>
                <w:sz w:val="16"/>
                <w:szCs w:val="16"/>
                <w:lang w:val="en-US"/>
              </w:rPr>
            </w:pPr>
            <w:r w:rsidRPr="00F01347">
              <w:rPr>
                <w:rFonts w:ascii="Verdana" w:hAnsi="Verdana"/>
                <w:b/>
                <w:sz w:val="16"/>
                <w:szCs w:val="16"/>
                <w:lang w:val="en-US"/>
              </w:rPr>
              <w:t>Balance</w:t>
            </w:r>
          </w:p>
        </w:tc>
      </w:tr>
      <w:tr w:rsidR="0035705C" w:rsidRPr="00F01347" w14:paraId="34D7050C" w14:textId="097A86BA" w:rsidTr="00C8657C">
        <w:tc>
          <w:tcPr>
            <w:tcW w:w="4675" w:type="dxa"/>
          </w:tcPr>
          <w:p w14:paraId="6E00EED3" w14:textId="77777777" w:rsidR="0035705C" w:rsidRPr="00F01347" w:rsidRDefault="0035705C" w:rsidP="0035705C">
            <w:pPr>
              <w:pStyle w:val="texto0"/>
              <w:spacing w:line="232" w:lineRule="exact"/>
              <w:ind w:firstLine="0"/>
              <w:rPr>
                <w:rFonts w:ascii="Verdana" w:hAnsi="Verdana"/>
                <w:b/>
                <w:sz w:val="16"/>
                <w:szCs w:val="16"/>
              </w:rPr>
            </w:pPr>
            <w:r w:rsidRPr="00F01347">
              <w:rPr>
                <w:rFonts w:ascii="Verdana" w:hAnsi="Verdana"/>
                <w:b/>
                <w:sz w:val="16"/>
                <w:szCs w:val="16"/>
              </w:rPr>
              <w:t>Embudos de filtración</w:t>
            </w:r>
          </w:p>
        </w:tc>
        <w:tc>
          <w:tcPr>
            <w:tcW w:w="4675" w:type="dxa"/>
          </w:tcPr>
          <w:p w14:paraId="3C8F4BB0" w14:textId="4A68277A" w:rsidR="0035705C" w:rsidRPr="00F01347" w:rsidRDefault="0035705C" w:rsidP="0035705C">
            <w:pPr>
              <w:pStyle w:val="texto0"/>
              <w:spacing w:line="232" w:lineRule="exact"/>
              <w:ind w:firstLine="0"/>
              <w:rPr>
                <w:rFonts w:ascii="Verdana" w:hAnsi="Verdana"/>
                <w:b/>
                <w:sz w:val="16"/>
                <w:szCs w:val="16"/>
                <w:lang w:val="en-US"/>
              </w:rPr>
            </w:pPr>
            <w:r w:rsidRPr="00F01347">
              <w:rPr>
                <w:rFonts w:ascii="Verdana" w:hAnsi="Verdana"/>
                <w:b/>
                <w:sz w:val="16"/>
                <w:szCs w:val="16"/>
                <w:lang w:val="en-US"/>
              </w:rPr>
              <w:t>Filtration funnels</w:t>
            </w:r>
          </w:p>
        </w:tc>
      </w:tr>
      <w:tr w:rsidR="0035705C" w:rsidRPr="00F01347" w14:paraId="0F7554E5" w14:textId="71035DA0" w:rsidTr="00C8657C">
        <w:tc>
          <w:tcPr>
            <w:tcW w:w="4675" w:type="dxa"/>
          </w:tcPr>
          <w:p w14:paraId="37E96285" w14:textId="77777777" w:rsidR="0035705C" w:rsidRPr="00F01347" w:rsidRDefault="0035705C" w:rsidP="0035705C">
            <w:pPr>
              <w:pStyle w:val="texto0"/>
              <w:spacing w:line="232" w:lineRule="exact"/>
              <w:ind w:firstLine="0"/>
              <w:rPr>
                <w:rFonts w:ascii="Verdana" w:hAnsi="Verdana"/>
                <w:sz w:val="16"/>
                <w:szCs w:val="16"/>
              </w:rPr>
            </w:pPr>
            <w:r w:rsidRPr="00F01347">
              <w:rPr>
                <w:rFonts w:ascii="Verdana" w:hAnsi="Verdana"/>
                <w:b/>
                <w:sz w:val="16"/>
                <w:szCs w:val="16"/>
              </w:rPr>
              <w:t>Material de vidrio</w:t>
            </w:r>
            <w:r w:rsidRPr="00F01347">
              <w:rPr>
                <w:rFonts w:ascii="Verdana" w:hAnsi="Verdana"/>
                <w:sz w:val="16"/>
                <w:szCs w:val="16"/>
              </w:rPr>
              <w:t xml:space="preserve"> lavado </w:t>
            </w:r>
            <w:proofErr w:type="gramStart"/>
            <w:r w:rsidRPr="00F01347">
              <w:rPr>
                <w:rFonts w:ascii="Verdana" w:hAnsi="Verdana"/>
                <w:sz w:val="16"/>
                <w:szCs w:val="16"/>
              </w:rPr>
              <w:t>de acuerdo al</w:t>
            </w:r>
            <w:proofErr w:type="gramEnd"/>
            <w:r w:rsidRPr="00F01347">
              <w:rPr>
                <w:rFonts w:ascii="Verdana" w:hAnsi="Verdana"/>
                <w:sz w:val="16"/>
                <w:szCs w:val="16"/>
              </w:rPr>
              <w:t xml:space="preserve"> instructivo de control de calidad.</w:t>
            </w:r>
          </w:p>
        </w:tc>
        <w:tc>
          <w:tcPr>
            <w:tcW w:w="4675" w:type="dxa"/>
          </w:tcPr>
          <w:p w14:paraId="292BB3E5" w14:textId="3F267791" w:rsidR="0035705C" w:rsidRPr="00F01347" w:rsidRDefault="00C8657C" w:rsidP="0035705C">
            <w:pPr>
              <w:pStyle w:val="texto0"/>
              <w:spacing w:line="232" w:lineRule="exact"/>
              <w:ind w:firstLine="0"/>
              <w:rPr>
                <w:rFonts w:ascii="Verdana" w:hAnsi="Verdana"/>
                <w:b/>
                <w:sz w:val="16"/>
                <w:szCs w:val="16"/>
                <w:lang w:val="en-US"/>
              </w:rPr>
            </w:pPr>
            <w:r w:rsidRPr="00F01347">
              <w:rPr>
                <w:rFonts w:ascii="Verdana" w:hAnsi="Verdana"/>
                <w:b/>
                <w:sz w:val="16"/>
                <w:szCs w:val="16"/>
                <w:lang w:val="en-US"/>
              </w:rPr>
              <w:t>G</w:t>
            </w:r>
            <w:r w:rsidR="0035705C" w:rsidRPr="00F01347">
              <w:rPr>
                <w:rFonts w:ascii="Verdana" w:hAnsi="Verdana"/>
                <w:b/>
                <w:sz w:val="16"/>
                <w:szCs w:val="16"/>
                <w:lang w:val="en-US"/>
              </w:rPr>
              <w:t xml:space="preserve">lass material </w:t>
            </w:r>
            <w:r w:rsidRPr="00F01347">
              <w:rPr>
                <w:rFonts w:ascii="Verdana" w:hAnsi="Verdana"/>
                <w:bCs/>
                <w:sz w:val="16"/>
                <w:szCs w:val="16"/>
                <w:lang w:val="en-US"/>
              </w:rPr>
              <w:t>w</w:t>
            </w:r>
            <w:r w:rsidRPr="00F01347">
              <w:rPr>
                <w:rFonts w:ascii="Verdana" w:hAnsi="Verdana"/>
                <w:sz w:val="16"/>
                <w:szCs w:val="16"/>
                <w:lang w:val="en-US"/>
              </w:rPr>
              <w:t xml:space="preserve">ashed </w:t>
            </w:r>
            <w:r w:rsidR="0035705C" w:rsidRPr="00F01347">
              <w:rPr>
                <w:rFonts w:ascii="Verdana" w:hAnsi="Verdana"/>
                <w:sz w:val="16"/>
                <w:szCs w:val="16"/>
                <w:lang w:val="en-US"/>
              </w:rPr>
              <w:t>according to quality control instructions.</w:t>
            </w:r>
          </w:p>
        </w:tc>
      </w:tr>
      <w:tr w:rsidR="0035705C" w:rsidRPr="00F01347" w14:paraId="679EEFA1" w14:textId="09BB8C5D" w:rsidTr="00C8657C">
        <w:tc>
          <w:tcPr>
            <w:tcW w:w="4675" w:type="dxa"/>
          </w:tcPr>
          <w:p w14:paraId="2346A119" w14:textId="77777777" w:rsidR="0035705C" w:rsidRPr="00F01347" w:rsidRDefault="0035705C" w:rsidP="0035705C">
            <w:pPr>
              <w:pStyle w:val="texto0"/>
              <w:spacing w:line="232" w:lineRule="exact"/>
              <w:ind w:firstLine="0"/>
              <w:rPr>
                <w:rFonts w:ascii="Verdana" w:hAnsi="Verdana"/>
                <w:b/>
                <w:sz w:val="16"/>
                <w:szCs w:val="16"/>
              </w:rPr>
            </w:pPr>
            <w:r w:rsidRPr="00F01347">
              <w:rPr>
                <w:rFonts w:ascii="Verdana" w:hAnsi="Verdana"/>
                <w:b/>
                <w:sz w:val="16"/>
                <w:szCs w:val="16"/>
              </w:rPr>
              <w:t>Potenciómetro o tiras reactivas indicadoras de pH</w:t>
            </w:r>
          </w:p>
        </w:tc>
        <w:tc>
          <w:tcPr>
            <w:tcW w:w="4675" w:type="dxa"/>
          </w:tcPr>
          <w:p w14:paraId="7B049476" w14:textId="7D509774" w:rsidR="0035705C" w:rsidRPr="00F01347" w:rsidRDefault="0035705C" w:rsidP="0035705C">
            <w:pPr>
              <w:pStyle w:val="texto0"/>
              <w:spacing w:line="232" w:lineRule="exact"/>
              <w:ind w:firstLine="0"/>
              <w:rPr>
                <w:rFonts w:ascii="Verdana" w:hAnsi="Verdana"/>
                <w:b/>
                <w:sz w:val="16"/>
                <w:szCs w:val="16"/>
                <w:lang w:val="en-US"/>
              </w:rPr>
            </w:pPr>
            <w:r w:rsidRPr="00F01347">
              <w:rPr>
                <w:rFonts w:ascii="Verdana" w:hAnsi="Verdana"/>
                <w:b/>
                <w:sz w:val="16"/>
                <w:szCs w:val="16"/>
                <w:lang w:val="en-US"/>
              </w:rPr>
              <w:t>Potentiometer or pH indicator test strips</w:t>
            </w:r>
          </w:p>
        </w:tc>
      </w:tr>
      <w:tr w:rsidR="0035705C" w:rsidRPr="00F01347" w14:paraId="7D72A10A" w14:textId="6E48993C" w:rsidTr="00C8657C">
        <w:tc>
          <w:tcPr>
            <w:tcW w:w="4675" w:type="dxa"/>
          </w:tcPr>
          <w:p w14:paraId="575BF27E" w14:textId="77777777" w:rsidR="0035705C" w:rsidRPr="00F01347" w:rsidRDefault="0035705C" w:rsidP="0035705C">
            <w:pPr>
              <w:pStyle w:val="texto0"/>
              <w:spacing w:line="232" w:lineRule="exact"/>
              <w:ind w:firstLine="0"/>
              <w:rPr>
                <w:rFonts w:ascii="Verdana" w:hAnsi="Verdana"/>
                <w:sz w:val="16"/>
                <w:szCs w:val="16"/>
              </w:rPr>
            </w:pPr>
            <w:r w:rsidRPr="00F01347">
              <w:rPr>
                <w:rFonts w:ascii="Verdana" w:hAnsi="Verdana"/>
                <w:b/>
                <w:sz w:val="16"/>
                <w:szCs w:val="16"/>
              </w:rPr>
              <w:t>Papel filtro,</w:t>
            </w:r>
            <w:r w:rsidRPr="00F01347">
              <w:rPr>
                <w:rFonts w:ascii="Verdana" w:hAnsi="Verdana"/>
                <w:sz w:val="16"/>
                <w:szCs w:val="16"/>
              </w:rPr>
              <w:t xml:space="preserve"> de tamaño de poro de 2.5 µm o menor.</w:t>
            </w:r>
          </w:p>
        </w:tc>
        <w:tc>
          <w:tcPr>
            <w:tcW w:w="4675" w:type="dxa"/>
          </w:tcPr>
          <w:p w14:paraId="722B8895" w14:textId="17CF2BBD" w:rsidR="0035705C" w:rsidRPr="00F01347" w:rsidRDefault="0035705C" w:rsidP="0035705C">
            <w:pPr>
              <w:pStyle w:val="texto0"/>
              <w:spacing w:line="232" w:lineRule="exact"/>
              <w:ind w:firstLine="0"/>
              <w:rPr>
                <w:rFonts w:ascii="Verdana" w:hAnsi="Verdana"/>
                <w:b/>
                <w:sz w:val="16"/>
                <w:szCs w:val="16"/>
                <w:lang w:val="en-US"/>
              </w:rPr>
            </w:pPr>
            <w:r w:rsidRPr="00F01347">
              <w:rPr>
                <w:rFonts w:ascii="Verdana" w:hAnsi="Verdana"/>
                <w:b/>
                <w:sz w:val="16"/>
                <w:szCs w:val="16"/>
                <w:lang w:val="en-US"/>
              </w:rPr>
              <w:t xml:space="preserve">Filter paper, </w:t>
            </w:r>
            <w:r w:rsidRPr="00F01347">
              <w:rPr>
                <w:rFonts w:ascii="Verdana" w:hAnsi="Verdana"/>
                <w:sz w:val="16"/>
                <w:szCs w:val="16"/>
                <w:lang w:val="en-US"/>
              </w:rPr>
              <w:t>pore size 2.5 µm or smaller.</w:t>
            </w:r>
          </w:p>
        </w:tc>
      </w:tr>
      <w:tr w:rsidR="0035705C" w:rsidRPr="00F01347" w14:paraId="537942E3" w14:textId="7A726E48" w:rsidTr="00C8657C">
        <w:tc>
          <w:tcPr>
            <w:tcW w:w="4675" w:type="dxa"/>
          </w:tcPr>
          <w:p w14:paraId="3198F199" w14:textId="77777777" w:rsidR="0035705C" w:rsidRPr="00F01347" w:rsidRDefault="0035705C" w:rsidP="0035705C">
            <w:pPr>
              <w:pStyle w:val="texto0"/>
              <w:spacing w:line="232" w:lineRule="exact"/>
              <w:ind w:firstLine="0"/>
              <w:rPr>
                <w:rFonts w:ascii="Verdana" w:hAnsi="Verdana"/>
                <w:b/>
                <w:sz w:val="16"/>
                <w:szCs w:val="16"/>
              </w:rPr>
            </w:pPr>
            <w:r w:rsidRPr="00F01347">
              <w:rPr>
                <w:rFonts w:ascii="Verdana" w:hAnsi="Verdana"/>
                <w:b/>
                <w:sz w:val="16"/>
                <w:szCs w:val="16"/>
              </w:rPr>
              <w:t>B.7.4.6 Reactivos y soluciones</w:t>
            </w:r>
          </w:p>
        </w:tc>
        <w:tc>
          <w:tcPr>
            <w:tcW w:w="4675" w:type="dxa"/>
          </w:tcPr>
          <w:p w14:paraId="12FDCB73" w14:textId="01CDA909" w:rsidR="0035705C" w:rsidRPr="00F01347" w:rsidRDefault="0035705C" w:rsidP="0035705C">
            <w:pPr>
              <w:pStyle w:val="texto0"/>
              <w:spacing w:line="232" w:lineRule="exact"/>
              <w:ind w:firstLine="0"/>
              <w:rPr>
                <w:rFonts w:ascii="Verdana" w:hAnsi="Verdana"/>
                <w:b/>
                <w:sz w:val="16"/>
                <w:szCs w:val="16"/>
                <w:lang w:val="en-US"/>
              </w:rPr>
            </w:pPr>
            <w:r w:rsidRPr="00F01347">
              <w:rPr>
                <w:rFonts w:ascii="Verdana" w:hAnsi="Verdana"/>
                <w:b/>
                <w:sz w:val="16"/>
                <w:szCs w:val="16"/>
                <w:lang w:val="en-US"/>
              </w:rPr>
              <w:t>B.7.4.6 Reagents and solutions</w:t>
            </w:r>
          </w:p>
        </w:tc>
      </w:tr>
      <w:tr w:rsidR="0035705C" w:rsidRPr="00F01347" w14:paraId="3FA2C742" w14:textId="25A2A54D" w:rsidTr="00C8657C">
        <w:tc>
          <w:tcPr>
            <w:tcW w:w="4675" w:type="dxa"/>
          </w:tcPr>
          <w:p w14:paraId="6E07E32A" w14:textId="77777777" w:rsidR="0035705C" w:rsidRPr="00F01347" w:rsidRDefault="0035705C" w:rsidP="0035705C">
            <w:pPr>
              <w:pStyle w:val="texto0"/>
              <w:spacing w:line="232" w:lineRule="exact"/>
              <w:ind w:firstLine="0"/>
              <w:rPr>
                <w:rFonts w:ascii="Verdana" w:hAnsi="Verdana"/>
                <w:sz w:val="16"/>
                <w:szCs w:val="16"/>
              </w:rPr>
            </w:pPr>
            <w:r w:rsidRPr="00F01347">
              <w:rPr>
                <w:rFonts w:ascii="Verdana" w:hAnsi="Verdana"/>
                <w:b/>
                <w:sz w:val="16"/>
                <w:szCs w:val="16"/>
              </w:rPr>
              <w:t xml:space="preserve">B.7.4.6.1 </w:t>
            </w:r>
            <w:r w:rsidRPr="00F01347">
              <w:rPr>
                <w:rFonts w:ascii="Verdana" w:hAnsi="Verdana"/>
                <w:sz w:val="16"/>
                <w:szCs w:val="16"/>
              </w:rPr>
              <w:t>Los reactivos empleados en este método se indican en la Tabla B.7.4-1, de este Apéndice.</w:t>
            </w:r>
          </w:p>
        </w:tc>
        <w:tc>
          <w:tcPr>
            <w:tcW w:w="4675" w:type="dxa"/>
          </w:tcPr>
          <w:p w14:paraId="6BAC309E" w14:textId="49DA7AA9" w:rsidR="0035705C" w:rsidRPr="00F01347" w:rsidRDefault="0035705C" w:rsidP="0035705C">
            <w:pPr>
              <w:pStyle w:val="texto0"/>
              <w:spacing w:line="232" w:lineRule="exact"/>
              <w:ind w:firstLine="0"/>
              <w:rPr>
                <w:rFonts w:ascii="Verdana" w:hAnsi="Verdana"/>
                <w:b/>
                <w:sz w:val="16"/>
                <w:szCs w:val="16"/>
                <w:lang w:val="en-US"/>
              </w:rPr>
            </w:pPr>
            <w:r w:rsidRPr="00F01347">
              <w:rPr>
                <w:rFonts w:ascii="Verdana" w:hAnsi="Verdana"/>
                <w:b/>
                <w:sz w:val="16"/>
                <w:szCs w:val="16"/>
                <w:lang w:val="en-US"/>
              </w:rPr>
              <w:t xml:space="preserve">B.7.4.6.1 </w:t>
            </w:r>
            <w:r w:rsidRPr="00F01347">
              <w:rPr>
                <w:rFonts w:ascii="Verdana" w:hAnsi="Verdana"/>
                <w:sz w:val="16"/>
                <w:szCs w:val="16"/>
                <w:lang w:val="en-US"/>
              </w:rPr>
              <w:t>The reagents used in this method are indicated in Table B.7.4-1, of this Appendix.</w:t>
            </w:r>
          </w:p>
        </w:tc>
      </w:tr>
    </w:tbl>
    <w:tbl>
      <w:tblPr>
        <w:tblW w:w="8712" w:type="dxa"/>
        <w:tblInd w:w="144" w:type="dxa"/>
        <w:tblLayout w:type="fixed"/>
        <w:tblCellMar>
          <w:left w:w="70" w:type="dxa"/>
          <w:right w:w="70" w:type="dxa"/>
        </w:tblCellMar>
        <w:tblLook w:val="0000" w:firstRow="0" w:lastRow="0" w:firstColumn="0" w:lastColumn="0" w:noHBand="0" w:noVBand="0"/>
      </w:tblPr>
      <w:tblGrid>
        <w:gridCol w:w="3679"/>
        <w:gridCol w:w="2175"/>
        <w:gridCol w:w="1497"/>
        <w:gridCol w:w="1361"/>
      </w:tblGrid>
      <w:tr w:rsidR="00A74CDF" w:rsidRPr="00F01347" w14:paraId="046D02A8" w14:textId="77777777" w:rsidTr="00890333">
        <w:trPr>
          <w:trHeight w:val="20"/>
        </w:trPr>
        <w:tc>
          <w:tcPr>
            <w:tcW w:w="8712" w:type="dxa"/>
            <w:gridSpan w:val="4"/>
            <w:tcBorders>
              <w:bottom w:val="single" w:sz="6" w:space="0" w:color="auto"/>
            </w:tcBorders>
            <w:noWrap/>
          </w:tcPr>
          <w:p w14:paraId="3D3DBC49"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b/>
                <w:sz w:val="16"/>
                <w:szCs w:val="16"/>
              </w:rPr>
              <w:lastRenderedPageBreak/>
              <w:t>Tabla B.7.4-1</w:t>
            </w:r>
            <w:r w:rsidRPr="00F01347">
              <w:rPr>
                <w:rFonts w:ascii="Verdana" w:hAnsi="Verdana"/>
                <w:sz w:val="16"/>
                <w:szCs w:val="16"/>
              </w:rPr>
              <w:t>. Reactivos empleados en el método de análisis.</w:t>
            </w:r>
          </w:p>
        </w:tc>
      </w:tr>
      <w:tr w:rsidR="00A74CDF" w:rsidRPr="00F01347" w14:paraId="403E7BC9" w14:textId="77777777" w:rsidTr="00890333">
        <w:trPr>
          <w:trHeight w:val="20"/>
        </w:trPr>
        <w:tc>
          <w:tcPr>
            <w:tcW w:w="3679" w:type="dxa"/>
            <w:tcBorders>
              <w:top w:val="single" w:sz="6" w:space="0" w:color="auto"/>
              <w:left w:val="single" w:sz="6" w:space="0" w:color="auto"/>
              <w:bottom w:val="single" w:sz="6" w:space="0" w:color="auto"/>
              <w:right w:val="single" w:sz="6" w:space="0" w:color="auto"/>
            </w:tcBorders>
          </w:tcPr>
          <w:p w14:paraId="650B9B1B" w14:textId="77777777" w:rsidR="00A74CDF" w:rsidRPr="00F01347" w:rsidRDefault="00A74CDF" w:rsidP="003A601B">
            <w:pPr>
              <w:pStyle w:val="texto0"/>
              <w:spacing w:line="232" w:lineRule="exact"/>
              <w:ind w:firstLine="0"/>
              <w:jc w:val="center"/>
              <w:rPr>
                <w:rFonts w:ascii="Verdana" w:hAnsi="Verdana"/>
                <w:b/>
                <w:color w:val="000000"/>
                <w:sz w:val="16"/>
                <w:szCs w:val="16"/>
              </w:rPr>
            </w:pPr>
            <w:r w:rsidRPr="00F01347">
              <w:rPr>
                <w:rFonts w:ascii="Verdana" w:hAnsi="Verdana"/>
                <w:b/>
                <w:color w:val="000000"/>
                <w:sz w:val="16"/>
                <w:szCs w:val="16"/>
              </w:rPr>
              <w:t>Nombre</w:t>
            </w:r>
          </w:p>
        </w:tc>
        <w:tc>
          <w:tcPr>
            <w:tcW w:w="2175" w:type="dxa"/>
            <w:tcBorders>
              <w:top w:val="single" w:sz="6" w:space="0" w:color="auto"/>
              <w:left w:val="single" w:sz="6" w:space="0" w:color="auto"/>
              <w:bottom w:val="single" w:sz="6" w:space="0" w:color="auto"/>
              <w:right w:val="single" w:sz="6" w:space="0" w:color="auto"/>
            </w:tcBorders>
          </w:tcPr>
          <w:p w14:paraId="094A3DDE" w14:textId="77777777" w:rsidR="00A74CDF" w:rsidRPr="00F01347" w:rsidRDefault="00A74CDF" w:rsidP="003A601B">
            <w:pPr>
              <w:pStyle w:val="texto0"/>
              <w:spacing w:line="232" w:lineRule="exact"/>
              <w:ind w:firstLine="0"/>
              <w:jc w:val="center"/>
              <w:rPr>
                <w:rFonts w:ascii="Verdana" w:hAnsi="Verdana"/>
                <w:b/>
                <w:color w:val="000000"/>
                <w:sz w:val="16"/>
                <w:szCs w:val="16"/>
              </w:rPr>
            </w:pPr>
            <w:r w:rsidRPr="00F01347">
              <w:rPr>
                <w:rFonts w:ascii="Verdana" w:hAnsi="Verdana"/>
                <w:b/>
                <w:color w:val="000000"/>
                <w:sz w:val="16"/>
                <w:szCs w:val="16"/>
              </w:rPr>
              <w:t>Fórmula</w:t>
            </w:r>
          </w:p>
        </w:tc>
        <w:tc>
          <w:tcPr>
            <w:tcW w:w="1497" w:type="dxa"/>
            <w:tcBorders>
              <w:top w:val="single" w:sz="6" w:space="0" w:color="auto"/>
              <w:left w:val="single" w:sz="6" w:space="0" w:color="auto"/>
              <w:bottom w:val="single" w:sz="6" w:space="0" w:color="auto"/>
              <w:right w:val="single" w:sz="6" w:space="0" w:color="auto"/>
            </w:tcBorders>
          </w:tcPr>
          <w:p w14:paraId="00342613" w14:textId="77777777" w:rsidR="00A74CDF" w:rsidRPr="00F01347" w:rsidRDefault="00A74CDF" w:rsidP="003A601B">
            <w:pPr>
              <w:pStyle w:val="texto0"/>
              <w:spacing w:line="232" w:lineRule="exact"/>
              <w:ind w:firstLine="0"/>
              <w:jc w:val="center"/>
              <w:rPr>
                <w:rFonts w:ascii="Verdana" w:hAnsi="Verdana"/>
                <w:b/>
                <w:color w:val="000000"/>
                <w:sz w:val="16"/>
                <w:szCs w:val="16"/>
              </w:rPr>
            </w:pPr>
            <w:r w:rsidRPr="00F01347">
              <w:rPr>
                <w:rFonts w:ascii="Verdana" w:hAnsi="Verdana"/>
                <w:b/>
                <w:color w:val="000000"/>
                <w:sz w:val="16"/>
                <w:szCs w:val="16"/>
              </w:rPr>
              <w:t>Peso molecular (g/mol)</w:t>
            </w:r>
          </w:p>
        </w:tc>
        <w:tc>
          <w:tcPr>
            <w:tcW w:w="1361" w:type="dxa"/>
            <w:tcBorders>
              <w:top w:val="single" w:sz="6" w:space="0" w:color="auto"/>
              <w:left w:val="single" w:sz="6" w:space="0" w:color="auto"/>
              <w:bottom w:val="single" w:sz="6" w:space="0" w:color="auto"/>
              <w:right w:val="single" w:sz="6" w:space="0" w:color="auto"/>
            </w:tcBorders>
          </w:tcPr>
          <w:p w14:paraId="6BA551C2" w14:textId="77777777" w:rsidR="00A74CDF" w:rsidRPr="00F01347" w:rsidRDefault="00A74CDF" w:rsidP="003A601B">
            <w:pPr>
              <w:pStyle w:val="texto0"/>
              <w:spacing w:line="232" w:lineRule="exact"/>
              <w:ind w:firstLine="0"/>
              <w:jc w:val="center"/>
              <w:rPr>
                <w:rFonts w:ascii="Verdana" w:hAnsi="Verdana"/>
                <w:b/>
                <w:color w:val="000000"/>
                <w:sz w:val="16"/>
                <w:szCs w:val="16"/>
              </w:rPr>
            </w:pPr>
            <w:r w:rsidRPr="00F01347">
              <w:rPr>
                <w:rFonts w:ascii="Verdana" w:hAnsi="Verdana"/>
                <w:b/>
                <w:color w:val="000000"/>
                <w:sz w:val="16"/>
                <w:szCs w:val="16"/>
              </w:rPr>
              <w:t>No. CAS</w:t>
            </w:r>
          </w:p>
        </w:tc>
      </w:tr>
      <w:tr w:rsidR="00A74CDF" w:rsidRPr="00F01347" w14:paraId="7DBCB82B" w14:textId="77777777" w:rsidTr="00890333">
        <w:trPr>
          <w:trHeight w:val="20"/>
        </w:trPr>
        <w:tc>
          <w:tcPr>
            <w:tcW w:w="3679" w:type="dxa"/>
            <w:tcBorders>
              <w:top w:val="single" w:sz="6" w:space="0" w:color="auto"/>
              <w:left w:val="single" w:sz="6" w:space="0" w:color="auto"/>
              <w:bottom w:val="single" w:sz="6" w:space="0" w:color="auto"/>
              <w:right w:val="single" w:sz="6" w:space="0" w:color="auto"/>
            </w:tcBorders>
          </w:tcPr>
          <w:p w14:paraId="381F9D12"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Sulfato de amonio</w:t>
            </w:r>
          </w:p>
        </w:tc>
        <w:tc>
          <w:tcPr>
            <w:tcW w:w="2175" w:type="dxa"/>
            <w:tcBorders>
              <w:top w:val="single" w:sz="6" w:space="0" w:color="auto"/>
              <w:left w:val="single" w:sz="6" w:space="0" w:color="auto"/>
              <w:bottom w:val="single" w:sz="6" w:space="0" w:color="auto"/>
              <w:right w:val="single" w:sz="6" w:space="0" w:color="auto"/>
            </w:tcBorders>
          </w:tcPr>
          <w:p w14:paraId="2FD98738"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(NH</w:t>
            </w:r>
            <w:r w:rsidRPr="00F01347">
              <w:rPr>
                <w:rFonts w:ascii="Verdana" w:hAnsi="Verdana"/>
                <w:color w:val="000000"/>
                <w:sz w:val="16"/>
                <w:szCs w:val="16"/>
                <w:vertAlign w:val="subscript"/>
              </w:rPr>
              <w:t>4</w:t>
            </w:r>
            <w:r w:rsidRPr="00F01347">
              <w:rPr>
                <w:rFonts w:ascii="Verdana" w:hAnsi="Verdana"/>
                <w:color w:val="000000"/>
                <w:sz w:val="16"/>
                <w:szCs w:val="16"/>
              </w:rPr>
              <w:t>)</w:t>
            </w:r>
            <w:r w:rsidRPr="00F01347">
              <w:rPr>
                <w:rFonts w:ascii="Verdana" w:hAnsi="Verdana"/>
                <w:color w:val="000000"/>
                <w:sz w:val="16"/>
                <w:szCs w:val="16"/>
                <w:vertAlign w:val="subscript"/>
              </w:rPr>
              <w:t>2</w:t>
            </w:r>
            <w:r w:rsidRPr="00F01347">
              <w:rPr>
                <w:rFonts w:ascii="Verdana" w:hAnsi="Verdana"/>
                <w:color w:val="000000"/>
                <w:sz w:val="16"/>
                <w:szCs w:val="16"/>
              </w:rPr>
              <w:t>SO</w:t>
            </w:r>
            <w:r w:rsidRPr="00F01347">
              <w:rPr>
                <w:rFonts w:ascii="Verdana" w:hAnsi="Verdana"/>
                <w:color w:val="000000"/>
                <w:sz w:val="16"/>
                <w:szCs w:val="16"/>
                <w:vertAlign w:val="subscript"/>
              </w:rPr>
              <w:t>4</w:t>
            </w:r>
          </w:p>
        </w:tc>
        <w:tc>
          <w:tcPr>
            <w:tcW w:w="1497" w:type="dxa"/>
            <w:tcBorders>
              <w:top w:val="single" w:sz="6" w:space="0" w:color="auto"/>
              <w:left w:val="single" w:sz="6" w:space="0" w:color="auto"/>
              <w:bottom w:val="single" w:sz="6" w:space="0" w:color="auto"/>
              <w:right w:val="single" w:sz="6" w:space="0" w:color="auto"/>
            </w:tcBorders>
          </w:tcPr>
          <w:p w14:paraId="4725345A"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132.14</w:t>
            </w:r>
          </w:p>
        </w:tc>
        <w:tc>
          <w:tcPr>
            <w:tcW w:w="1361" w:type="dxa"/>
            <w:tcBorders>
              <w:top w:val="single" w:sz="6" w:space="0" w:color="auto"/>
              <w:left w:val="single" w:sz="6" w:space="0" w:color="auto"/>
              <w:bottom w:val="single" w:sz="6" w:space="0" w:color="auto"/>
              <w:right w:val="single" w:sz="6" w:space="0" w:color="auto"/>
            </w:tcBorders>
          </w:tcPr>
          <w:p w14:paraId="795645B2"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7783-20-2</w:t>
            </w:r>
          </w:p>
        </w:tc>
      </w:tr>
      <w:tr w:rsidR="00A74CDF" w:rsidRPr="00F01347" w14:paraId="56FC0E36" w14:textId="77777777" w:rsidTr="00890333">
        <w:trPr>
          <w:trHeight w:val="20"/>
        </w:trPr>
        <w:tc>
          <w:tcPr>
            <w:tcW w:w="3679" w:type="dxa"/>
            <w:tcBorders>
              <w:top w:val="single" w:sz="6" w:space="0" w:color="auto"/>
              <w:left w:val="single" w:sz="6" w:space="0" w:color="auto"/>
              <w:bottom w:val="single" w:sz="6" w:space="0" w:color="auto"/>
              <w:right w:val="single" w:sz="6" w:space="0" w:color="auto"/>
            </w:tcBorders>
          </w:tcPr>
          <w:p w14:paraId="4BF24939"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Hidróxido de sodio</w:t>
            </w:r>
          </w:p>
        </w:tc>
        <w:tc>
          <w:tcPr>
            <w:tcW w:w="2175" w:type="dxa"/>
            <w:tcBorders>
              <w:top w:val="single" w:sz="6" w:space="0" w:color="auto"/>
              <w:left w:val="single" w:sz="6" w:space="0" w:color="auto"/>
              <w:bottom w:val="single" w:sz="6" w:space="0" w:color="auto"/>
              <w:right w:val="single" w:sz="6" w:space="0" w:color="auto"/>
            </w:tcBorders>
          </w:tcPr>
          <w:p w14:paraId="28EFF66F"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NaOH</w:t>
            </w:r>
          </w:p>
        </w:tc>
        <w:tc>
          <w:tcPr>
            <w:tcW w:w="1497" w:type="dxa"/>
            <w:tcBorders>
              <w:top w:val="single" w:sz="6" w:space="0" w:color="auto"/>
              <w:left w:val="single" w:sz="6" w:space="0" w:color="auto"/>
              <w:bottom w:val="single" w:sz="6" w:space="0" w:color="auto"/>
              <w:right w:val="single" w:sz="6" w:space="0" w:color="auto"/>
            </w:tcBorders>
          </w:tcPr>
          <w:p w14:paraId="18CDDB4A"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40</w:t>
            </w:r>
          </w:p>
        </w:tc>
        <w:tc>
          <w:tcPr>
            <w:tcW w:w="1361" w:type="dxa"/>
            <w:tcBorders>
              <w:top w:val="single" w:sz="6" w:space="0" w:color="auto"/>
              <w:left w:val="single" w:sz="6" w:space="0" w:color="auto"/>
              <w:bottom w:val="single" w:sz="6" w:space="0" w:color="auto"/>
              <w:right w:val="single" w:sz="6" w:space="0" w:color="auto"/>
            </w:tcBorders>
          </w:tcPr>
          <w:p w14:paraId="2C626CFE"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1310-73-2</w:t>
            </w:r>
          </w:p>
        </w:tc>
      </w:tr>
      <w:tr w:rsidR="00A74CDF" w:rsidRPr="00F01347" w14:paraId="1E112AB3" w14:textId="77777777" w:rsidTr="00890333">
        <w:trPr>
          <w:trHeight w:val="20"/>
        </w:trPr>
        <w:tc>
          <w:tcPr>
            <w:tcW w:w="3679" w:type="dxa"/>
            <w:tcBorders>
              <w:top w:val="single" w:sz="6" w:space="0" w:color="auto"/>
              <w:left w:val="single" w:sz="6" w:space="0" w:color="auto"/>
              <w:bottom w:val="single" w:sz="6" w:space="0" w:color="auto"/>
              <w:right w:val="single" w:sz="6" w:space="0" w:color="auto"/>
            </w:tcBorders>
          </w:tcPr>
          <w:p w14:paraId="1EBA0177"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Fenol</w:t>
            </w:r>
          </w:p>
        </w:tc>
        <w:tc>
          <w:tcPr>
            <w:tcW w:w="2175" w:type="dxa"/>
            <w:tcBorders>
              <w:top w:val="single" w:sz="6" w:space="0" w:color="auto"/>
              <w:left w:val="single" w:sz="6" w:space="0" w:color="auto"/>
              <w:bottom w:val="single" w:sz="6" w:space="0" w:color="auto"/>
              <w:right w:val="single" w:sz="6" w:space="0" w:color="auto"/>
            </w:tcBorders>
          </w:tcPr>
          <w:p w14:paraId="60D6EF85"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C</w:t>
            </w:r>
            <w:r w:rsidRPr="00F01347">
              <w:rPr>
                <w:rFonts w:ascii="Verdana" w:hAnsi="Verdana"/>
                <w:color w:val="000000"/>
                <w:sz w:val="16"/>
                <w:szCs w:val="16"/>
                <w:vertAlign w:val="subscript"/>
              </w:rPr>
              <w:t>6</w:t>
            </w:r>
            <w:r w:rsidRPr="00F01347">
              <w:rPr>
                <w:rFonts w:ascii="Verdana" w:hAnsi="Verdana"/>
                <w:color w:val="000000"/>
                <w:sz w:val="16"/>
                <w:szCs w:val="16"/>
              </w:rPr>
              <w:t>H</w:t>
            </w:r>
            <w:r w:rsidRPr="00F01347">
              <w:rPr>
                <w:rFonts w:ascii="Verdana" w:hAnsi="Verdana"/>
                <w:color w:val="000000"/>
                <w:sz w:val="16"/>
                <w:szCs w:val="16"/>
                <w:vertAlign w:val="subscript"/>
              </w:rPr>
              <w:t>5</w:t>
            </w:r>
            <w:r w:rsidRPr="00F01347">
              <w:rPr>
                <w:rFonts w:ascii="Verdana" w:hAnsi="Verdana"/>
                <w:color w:val="000000"/>
                <w:sz w:val="16"/>
                <w:szCs w:val="16"/>
              </w:rPr>
              <w:t>OH</w:t>
            </w:r>
          </w:p>
        </w:tc>
        <w:tc>
          <w:tcPr>
            <w:tcW w:w="1497" w:type="dxa"/>
            <w:tcBorders>
              <w:top w:val="single" w:sz="6" w:space="0" w:color="auto"/>
              <w:left w:val="single" w:sz="6" w:space="0" w:color="auto"/>
              <w:bottom w:val="single" w:sz="6" w:space="0" w:color="auto"/>
              <w:right w:val="single" w:sz="6" w:space="0" w:color="auto"/>
            </w:tcBorders>
          </w:tcPr>
          <w:p w14:paraId="30AFB17C"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94.11</w:t>
            </w:r>
          </w:p>
        </w:tc>
        <w:tc>
          <w:tcPr>
            <w:tcW w:w="1361" w:type="dxa"/>
            <w:tcBorders>
              <w:top w:val="single" w:sz="6" w:space="0" w:color="auto"/>
              <w:left w:val="single" w:sz="6" w:space="0" w:color="auto"/>
              <w:bottom w:val="single" w:sz="6" w:space="0" w:color="auto"/>
              <w:right w:val="single" w:sz="6" w:space="0" w:color="auto"/>
            </w:tcBorders>
          </w:tcPr>
          <w:p w14:paraId="5F38B8AA"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108-95-2</w:t>
            </w:r>
          </w:p>
        </w:tc>
      </w:tr>
      <w:tr w:rsidR="00A74CDF" w:rsidRPr="00F01347" w14:paraId="65788AC5" w14:textId="77777777" w:rsidTr="00890333">
        <w:trPr>
          <w:trHeight w:val="20"/>
        </w:trPr>
        <w:tc>
          <w:tcPr>
            <w:tcW w:w="3679" w:type="dxa"/>
            <w:tcBorders>
              <w:top w:val="single" w:sz="6" w:space="0" w:color="auto"/>
              <w:left w:val="single" w:sz="6" w:space="0" w:color="auto"/>
              <w:bottom w:val="single" w:sz="6" w:space="0" w:color="auto"/>
              <w:right w:val="single" w:sz="6" w:space="0" w:color="auto"/>
            </w:tcBorders>
          </w:tcPr>
          <w:p w14:paraId="139FDFCF"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 xml:space="preserve">Sal disódica del ácido etilendiaminotetraacético </w:t>
            </w:r>
            <w:proofErr w:type="spellStart"/>
            <w:r w:rsidRPr="00F01347">
              <w:rPr>
                <w:rFonts w:ascii="Verdana" w:hAnsi="Verdana"/>
                <w:color w:val="000000"/>
                <w:sz w:val="16"/>
                <w:szCs w:val="16"/>
              </w:rPr>
              <w:t>dihidratada</w:t>
            </w:r>
            <w:proofErr w:type="spellEnd"/>
          </w:p>
        </w:tc>
        <w:tc>
          <w:tcPr>
            <w:tcW w:w="2175" w:type="dxa"/>
            <w:tcBorders>
              <w:top w:val="single" w:sz="6" w:space="0" w:color="auto"/>
              <w:left w:val="single" w:sz="6" w:space="0" w:color="auto"/>
              <w:bottom w:val="single" w:sz="6" w:space="0" w:color="auto"/>
              <w:right w:val="single" w:sz="6" w:space="0" w:color="auto"/>
            </w:tcBorders>
          </w:tcPr>
          <w:p w14:paraId="7759C650"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C</w:t>
            </w:r>
            <w:r w:rsidRPr="00F01347">
              <w:rPr>
                <w:rFonts w:ascii="Verdana" w:hAnsi="Verdana"/>
                <w:color w:val="000000"/>
                <w:sz w:val="16"/>
                <w:szCs w:val="16"/>
                <w:vertAlign w:val="subscript"/>
              </w:rPr>
              <w:t>10</w:t>
            </w:r>
            <w:r w:rsidRPr="00F01347">
              <w:rPr>
                <w:rFonts w:ascii="Verdana" w:hAnsi="Verdana"/>
                <w:color w:val="000000"/>
                <w:sz w:val="16"/>
                <w:szCs w:val="16"/>
              </w:rPr>
              <w:t>H</w:t>
            </w:r>
            <w:r w:rsidRPr="00F01347">
              <w:rPr>
                <w:rFonts w:ascii="Verdana" w:hAnsi="Verdana"/>
                <w:color w:val="000000"/>
                <w:sz w:val="16"/>
                <w:szCs w:val="16"/>
                <w:vertAlign w:val="subscript"/>
              </w:rPr>
              <w:t>16</w:t>
            </w:r>
            <w:r w:rsidRPr="00F01347">
              <w:rPr>
                <w:rFonts w:ascii="Verdana" w:hAnsi="Verdana"/>
                <w:color w:val="000000"/>
                <w:sz w:val="16"/>
                <w:szCs w:val="16"/>
              </w:rPr>
              <w:t>N</w:t>
            </w:r>
            <w:r w:rsidRPr="00F01347">
              <w:rPr>
                <w:rFonts w:ascii="Verdana" w:hAnsi="Verdana"/>
                <w:color w:val="000000"/>
                <w:sz w:val="16"/>
                <w:szCs w:val="16"/>
                <w:vertAlign w:val="subscript"/>
              </w:rPr>
              <w:t>2</w:t>
            </w:r>
            <w:r w:rsidRPr="00F01347">
              <w:rPr>
                <w:rFonts w:ascii="Verdana" w:hAnsi="Verdana"/>
                <w:color w:val="000000"/>
                <w:sz w:val="16"/>
                <w:szCs w:val="16"/>
              </w:rPr>
              <w:t>Na</w:t>
            </w:r>
            <w:r w:rsidRPr="00F01347">
              <w:rPr>
                <w:rFonts w:ascii="Verdana" w:hAnsi="Verdana"/>
                <w:color w:val="000000"/>
                <w:sz w:val="16"/>
                <w:szCs w:val="16"/>
                <w:vertAlign w:val="subscript"/>
              </w:rPr>
              <w:t>2</w:t>
            </w:r>
            <w:r w:rsidRPr="00F01347">
              <w:rPr>
                <w:rFonts w:ascii="Verdana" w:hAnsi="Verdana"/>
                <w:color w:val="000000"/>
                <w:sz w:val="16"/>
                <w:szCs w:val="16"/>
              </w:rPr>
              <w:t>O</w:t>
            </w:r>
            <w:r w:rsidRPr="00F01347">
              <w:rPr>
                <w:rFonts w:ascii="Verdana" w:hAnsi="Verdana"/>
                <w:color w:val="000000"/>
                <w:sz w:val="16"/>
                <w:szCs w:val="16"/>
                <w:vertAlign w:val="subscript"/>
              </w:rPr>
              <w:t>8</w:t>
            </w:r>
            <w:r w:rsidRPr="00F01347">
              <w:rPr>
                <w:rFonts w:ascii="Verdana" w:hAnsi="Verdana"/>
                <w:color w:val="000000"/>
                <w:sz w:val="16"/>
                <w:szCs w:val="16"/>
              </w:rPr>
              <w:t xml:space="preserve"> • 2 H</w:t>
            </w:r>
            <w:r w:rsidRPr="00F01347">
              <w:rPr>
                <w:rFonts w:ascii="Verdana" w:hAnsi="Verdana"/>
                <w:color w:val="000000"/>
                <w:sz w:val="16"/>
                <w:szCs w:val="16"/>
                <w:vertAlign w:val="subscript"/>
              </w:rPr>
              <w:t>2</w:t>
            </w:r>
            <w:r w:rsidRPr="00F01347">
              <w:rPr>
                <w:rFonts w:ascii="Verdana" w:hAnsi="Verdana"/>
                <w:color w:val="000000"/>
                <w:sz w:val="16"/>
                <w:szCs w:val="16"/>
              </w:rPr>
              <w:t>O</w:t>
            </w:r>
          </w:p>
        </w:tc>
        <w:tc>
          <w:tcPr>
            <w:tcW w:w="1497" w:type="dxa"/>
            <w:tcBorders>
              <w:top w:val="single" w:sz="6" w:space="0" w:color="auto"/>
              <w:left w:val="single" w:sz="6" w:space="0" w:color="auto"/>
              <w:bottom w:val="single" w:sz="6" w:space="0" w:color="auto"/>
              <w:right w:val="single" w:sz="6" w:space="0" w:color="auto"/>
            </w:tcBorders>
          </w:tcPr>
          <w:p w14:paraId="4A19DB28"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372.24</w:t>
            </w:r>
          </w:p>
        </w:tc>
        <w:tc>
          <w:tcPr>
            <w:tcW w:w="1361" w:type="dxa"/>
            <w:tcBorders>
              <w:top w:val="single" w:sz="6" w:space="0" w:color="auto"/>
              <w:left w:val="single" w:sz="6" w:space="0" w:color="auto"/>
              <w:bottom w:val="single" w:sz="6" w:space="0" w:color="auto"/>
              <w:right w:val="single" w:sz="6" w:space="0" w:color="auto"/>
            </w:tcBorders>
          </w:tcPr>
          <w:p w14:paraId="5CF95D2E"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6381-92-6</w:t>
            </w:r>
          </w:p>
        </w:tc>
      </w:tr>
      <w:tr w:rsidR="00A74CDF" w:rsidRPr="00F01347" w14:paraId="69803B84" w14:textId="77777777" w:rsidTr="00890333">
        <w:trPr>
          <w:trHeight w:val="20"/>
        </w:trPr>
        <w:tc>
          <w:tcPr>
            <w:tcW w:w="3679" w:type="dxa"/>
            <w:tcBorders>
              <w:top w:val="single" w:sz="6" w:space="0" w:color="auto"/>
              <w:left w:val="single" w:sz="6" w:space="0" w:color="auto"/>
              <w:bottom w:val="single" w:sz="6" w:space="0" w:color="auto"/>
              <w:right w:val="single" w:sz="6" w:space="0" w:color="auto"/>
            </w:tcBorders>
          </w:tcPr>
          <w:p w14:paraId="5C709855"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Hipoclorito de sodio (5% de cloro disponible)</w:t>
            </w:r>
          </w:p>
        </w:tc>
        <w:tc>
          <w:tcPr>
            <w:tcW w:w="2175" w:type="dxa"/>
            <w:tcBorders>
              <w:top w:val="single" w:sz="6" w:space="0" w:color="auto"/>
              <w:left w:val="single" w:sz="6" w:space="0" w:color="auto"/>
              <w:bottom w:val="single" w:sz="6" w:space="0" w:color="auto"/>
              <w:right w:val="single" w:sz="6" w:space="0" w:color="auto"/>
            </w:tcBorders>
          </w:tcPr>
          <w:p w14:paraId="6690DCE1"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NaClO</w:t>
            </w:r>
          </w:p>
        </w:tc>
        <w:tc>
          <w:tcPr>
            <w:tcW w:w="1497" w:type="dxa"/>
            <w:tcBorders>
              <w:top w:val="single" w:sz="6" w:space="0" w:color="auto"/>
              <w:left w:val="single" w:sz="6" w:space="0" w:color="auto"/>
              <w:bottom w:val="single" w:sz="6" w:space="0" w:color="auto"/>
              <w:right w:val="single" w:sz="6" w:space="0" w:color="auto"/>
            </w:tcBorders>
          </w:tcPr>
          <w:p w14:paraId="5E768212"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74.44</w:t>
            </w:r>
          </w:p>
        </w:tc>
        <w:tc>
          <w:tcPr>
            <w:tcW w:w="1361" w:type="dxa"/>
            <w:tcBorders>
              <w:top w:val="single" w:sz="6" w:space="0" w:color="auto"/>
              <w:left w:val="single" w:sz="6" w:space="0" w:color="auto"/>
              <w:bottom w:val="single" w:sz="6" w:space="0" w:color="auto"/>
              <w:right w:val="single" w:sz="6" w:space="0" w:color="auto"/>
            </w:tcBorders>
          </w:tcPr>
          <w:p w14:paraId="0368E0AF"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7681-52-9</w:t>
            </w:r>
          </w:p>
        </w:tc>
      </w:tr>
      <w:tr w:rsidR="00A74CDF" w:rsidRPr="00F01347" w14:paraId="2E5C17D3" w14:textId="77777777" w:rsidTr="00890333">
        <w:trPr>
          <w:trHeight w:val="20"/>
        </w:trPr>
        <w:tc>
          <w:tcPr>
            <w:tcW w:w="3679" w:type="dxa"/>
            <w:tcBorders>
              <w:top w:val="single" w:sz="6" w:space="0" w:color="auto"/>
              <w:left w:val="single" w:sz="6" w:space="0" w:color="auto"/>
              <w:bottom w:val="single" w:sz="6" w:space="0" w:color="auto"/>
              <w:right w:val="single" w:sz="6" w:space="0" w:color="auto"/>
            </w:tcBorders>
          </w:tcPr>
          <w:p w14:paraId="77781BA7" w14:textId="77777777" w:rsidR="00A74CDF" w:rsidRPr="00F01347" w:rsidRDefault="00A74CDF" w:rsidP="003A601B">
            <w:pPr>
              <w:pStyle w:val="texto0"/>
              <w:ind w:firstLine="0"/>
              <w:jc w:val="center"/>
              <w:rPr>
                <w:rFonts w:ascii="Verdana" w:hAnsi="Verdana"/>
                <w:color w:val="000000"/>
                <w:sz w:val="16"/>
                <w:szCs w:val="16"/>
              </w:rPr>
            </w:pPr>
            <w:proofErr w:type="spellStart"/>
            <w:r w:rsidRPr="00F01347">
              <w:rPr>
                <w:rFonts w:ascii="Verdana" w:hAnsi="Verdana"/>
                <w:color w:val="000000"/>
                <w:sz w:val="16"/>
                <w:szCs w:val="16"/>
              </w:rPr>
              <w:t>Nitroferricianuro</w:t>
            </w:r>
            <w:proofErr w:type="spellEnd"/>
            <w:r w:rsidRPr="00F01347">
              <w:rPr>
                <w:rFonts w:ascii="Verdana" w:hAnsi="Verdana"/>
                <w:color w:val="000000"/>
                <w:sz w:val="16"/>
                <w:szCs w:val="16"/>
              </w:rPr>
              <w:t xml:space="preserve"> de sodio </w:t>
            </w:r>
            <w:proofErr w:type="spellStart"/>
            <w:r w:rsidRPr="00F01347">
              <w:rPr>
                <w:rFonts w:ascii="Verdana" w:hAnsi="Verdana"/>
                <w:color w:val="000000"/>
                <w:sz w:val="16"/>
                <w:szCs w:val="16"/>
              </w:rPr>
              <w:t>dihidratado</w:t>
            </w:r>
            <w:proofErr w:type="spellEnd"/>
          </w:p>
        </w:tc>
        <w:tc>
          <w:tcPr>
            <w:tcW w:w="2175" w:type="dxa"/>
            <w:tcBorders>
              <w:top w:val="single" w:sz="6" w:space="0" w:color="auto"/>
              <w:left w:val="single" w:sz="6" w:space="0" w:color="auto"/>
              <w:bottom w:val="single" w:sz="6" w:space="0" w:color="auto"/>
              <w:right w:val="single" w:sz="6" w:space="0" w:color="auto"/>
            </w:tcBorders>
          </w:tcPr>
          <w:p w14:paraId="55C9DAAA"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Na</w:t>
            </w:r>
            <w:r w:rsidRPr="00F01347">
              <w:rPr>
                <w:rFonts w:ascii="Verdana" w:hAnsi="Verdana"/>
                <w:color w:val="000000"/>
                <w:sz w:val="16"/>
                <w:szCs w:val="16"/>
                <w:vertAlign w:val="subscript"/>
              </w:rPr>
              <w:t>2</w:t>
            </w:r>
            <w:r w:rsidRPr="00F01347">
              <w:rPr>
                <w:rFonts w:ascii="Verdana" w:hAnsi="Verdana"/>
                <w:color w:val="000000"/>
                <w:sz w:val="16"/>
                <w:szCs w:val="16"/>
              </w:rPr>
              <w:t>[</w:t>
            </w:r>
            <w:proofErr w:type="gramStart"/>
            <w:r w:rsidRPr="00F01347">
              <w:rPr>
                <w:rFonts w:ascii="Verdana" w:hAnsi="Verdana"/>
                <w:color w:val="000000"/>
                <w:sz w:val="16"/>
                <w:szCs w:val="16"/>
              </w:rPr>
              <w:t>Fe(</w:t>
            </w:r>
            <w:proofErr w:type="gramEnd"/>
            <w:r w:rsidRPr="00F01347">
              <w:rPr>
                <w:rFonts w:ascii="Verdana" w:hAnsi="Verdana"/>
                <w:color w:val="000000"/>
                <w:sz w:val="16"/>
                <w:szCs w:val="16"/>
              </w:rPr>
              <w:t>CN)</w:t>
            </w:r>
            <w:r w:rsidRPr="00F01347">
              <w:rPr>
                <w:rFonts w:ascii="Verdana" w:hAnsi="Verdana"/>
                <w:color w:val="000000"/>
                <w:sz w:val="16"/>
                <w:szCs w:val="16"/>
                <w:vertAlign w:val="subscript"/>
              </w:rPr>
              <w:t>5</w:t>
            </w:r>
            <w:r w:rsidRPr="00F01347">
              <w:rPr>
                <w:rFonts w:ascii="Verdana" w:hAnsi="Verdana"/>
                <w:color w:val="000000"/>
                <w:sz w:val="16"/>
                <w:szCs w:val="16"/>
              </w:rPr>
              <w:t>NO] • 2H</w:t>
            </w:r>
            <w:r w:rsidRPr="00F01347">
              <w:rPr>
                <w:rFonts w:ascii="Verdana" w:hAnsi="Verdana"/>
                <w:color w:val="000000"/>
                <w:sz w:val="16"/>
                <w:szCs w:val="16"/>
                <w:vertAlign w:val="subscript"/>
              </w:rPr>
              <w:t>2</w:t>
            </w:r>
            <w:r w:rsidRPr="00F01347">
              <w:rPr>
                <w:rFonts w:ascii="Verdana" w:hAnsi="Verdana"/>
                <w:color w:val="000000"/>
                <w:sz w:val="16"/>
                <w:szCs w:val="16"/>
              </w:rPr>
              <w:t>O</w:t>
            </w:r>
          </w:p>
        </w:tc>
        <w:tc>
          <w:tcPr>
            <w:tcW w:w="1497" w:type="dxa"/>
            <w:tcBorders>
              <w:top w:val="single" w:sz="6" w:space="0" w:color="auto"/>
              <w:left w:val="single" w:sz="6" w:space="0" w:color="auto"/>
              <w:bottom w:val="single" w:sz="6" w:space="0" w:color="auto"/>
              <w:right w:val="single" w:sz="6" w:space="0" w:color="auto"/>
            </w:tcBorders>
          </w:tcPr>
          <w:p w14:paraId="3BD6957B"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297.95</w:t>
            </w:r>
          </w:p>
        </w:tc>
        <w:tc>
          <w:tcPr>
            <w:tcW w:w="1361" w:type="dxa"/>
            <w:tcBorders>
              <w:top w:val="single" w:sz="6" w:space="0" w:color="auto"/>
              <w:left w:val="single" w:sz="6" w:space="0" w:color="auto"/>
              <w:bottom w:val="single" w:sz="6" w:space="0" w:color="auto"/>
              <w:right w:val="single" w:sz="6" w:space="0" w:color="auto"/>
            </w:tcBorders>
          </w:tcPr>
          <w:p w14:paraId="323174D7"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13755-38-9</w:t>
            </w:r>
          </w:p>
        </w:tc>
      </w:tr>
      <w:tr w:rsidR="00A74CDF" w:rsidRPr="00F01347" w14:paraId="6C3E8DA7" w14:textId="77777777" w:rsidTr="00890333">
        <w:trPr>
          <w:trHeight w:val="20"/>
        </w:trPr>
        <w:tc>
          <w:tcPr>
            <w:tcW w:w="3679" w:type="dxa"/>
            <w:tcBorders>
              <w:top w:val="single" w:sz="6" w:space="0" w:color="auto"/>
              <w:left w:val="single" w:sz="6" w:space="0" w:color="auto"/>
              <w:bottom w:val="single" w:sz="6" w:space="0" w:color="auto"/>
              <w:right w:val="single" w:sz="6" w:space="0" w:color="auto"/>
            </w:tcBorders>
          </w:tcPr>
          <w:p w14:paraId="1E0ACA94"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Ácido sulfúrico concentrado</w:t>
            </w:r>
          </w:p>
        </w:tc>
        <w:tc>
          <w:tcPr>
            <w:tcW w:w="2175" w:type="dxa"/>
            <w:tcBorders>
              <w:top w:val="single" w:sz="6" w:space="0" w:color="auto"/>
              <w:left w:val="single" w:sz="6" w:space="0" w:color="auto"/>
              <w:bottom w:val="single" w:sz="6" w:space="0" w:color="auto"/>
              <w:right w:val="single" w:sz="6" w:space="0" w:color="auto"/>
            </w:tcBorders>
          </w:tcPr>
          <w:p w14:paraId="1F0A49D6"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H</w:t>
            </w:r>
            <w:r w:rsidRPr="00F01347">
              <w:rPr>
                <w:rFonts w:ascii="Verdana" w:hAnsi="Verdana"/>
                <w:color w:val="000000"/>
                <w:sz w:val="16"/>
                <w:szCs w:val="16"/>
                <w:vertAlign w:val="subscript"/>
              </w:rPr>
              <w:t>2</w:t>
            </w:r>
            <w:r w:rsidRPr="00F01347">
              <w:rPr>
                <w:rFonts w:ascii="Verdana" w:hAnsi="Verdana"/>
                <w:color w:val="000000"/>
                <w:sz w:val="16"/>
                <w:szCs w:val="16"/>
              </w:rPr>
              <w:t>SO</w:t>
            </w:r>
            <w:r w:rsidRPr="00F01347">
              <w:rPr>
                <w:rFonts w:ascii="Verdana" w:hAnsi="Verdana"/>
                <w:color w:val="000000"/>
                <w:sz w:val="16"/>
                <w:szCs w:val="16"/>
                <w:vertAlign w:val="subscript"/>
              </w:rPr>
              <w:t>4</w:t>
            </w:r>
          </w:p>
        </w:tc>
        <w:tc>
          <w:tcPr>
            <w:tcW w:w="1497" w:type="dxa"/>
            <w:tcBorders>
              <w:top w:val="single" w:sz="6" w:space="0" w:color="auto"/>
              <w:left w:val="single" w:sz="6" w:space="0" w:color="auto"/>
              <w:bottom w:val="single" w:sz="6" w:space="0" w:color="auto"/>
              <w:right w:val="single" w:sz="6" w:space="0" w:color="auto"/>
            </w:tcBorders>
          </w:tcPr>
          <w:p w14:paraId="68BF67D0"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98.08</w:t>
            </w:r>
          </w:p>
        </w:tc>
        <w:tc>
          <w:tcPr>
            <w:tcW w:w="1361" w:type="dxa"/>
            <w:tcBorders>
              <w:top w:val="single" w:sz="6" w:space="0" w:color="auto"/>
              <w:left w:val="single" w:sz="6" w:space="0" w:color="auto"/>
              <w:bottom w:val="single" w:sz="6" w:space="0" w:color="auto"/>
              <w:right w:val="single" w:sz="6" w:space="0" w:color="auto"/>
            </w:tcBorders>
          </w:tcPr>
          <w:p w14:paraId="11FE84EF"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7664-93-9</w:t>
            </w:r>
          </w:p>
        </w:tc>
      </w:tr>
      <w:tr w:rsidR="00A74CDF" w:rsidRPr="00F01347" w14:paraId="620A6C91" w14:textId="77777777" w:rsidTr="00890333">
        <w:trPr>
          <w:trHeight w:val="20"/>
        </w:trPr>
        <w:tc>
          <w:tcPr>
            <w:tcW w:w="3679" w:type="dxa"/>
            <w:tcBorders>
              <w:top w:val="single" w:sz="6" w:space="0" w:color="auto"/>
              <w:left w:val="single" w:sz="6" w:space="0" w:color="auto"/>
              <w:bottom w:val="single" w:sz="6" w:space="0" w:color="auto"/>
              <w:right w:val="single" w:sz="6" w:space="0" w:color="auto"/>
            </w:tcBorders>
          </w:tcPr>
          <w:p w14:paraId="36CD2ECA"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Cloruro de Potasio</w:t>
            </w:r>
          </w:p>
        </w:tc>
        <w:tc>
          <w:tcPr>
            <w:tcW w:w="2175" w:type="dxa"/>
            <w:tcBorders>
              <w:top w:val="single" w:sz="6" w:space="0" w:color="auto"/>
              <w:left w:val="single" w:sz="6" w:space="0" w:color="auto"/>
              <w:bottom w:val="single" w:sz="6" w:space="0" w:color="auto"/>
              <w:right w:val="single" w:sz="6" w:space="0" w:color="auto"/>
            </w:tcBorders>
          </w:tcPr>
          <w:p w14:paraId="7888BD3E"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KCl</w:t>
            </w:r>
          </w:p>
        </w:tc>
        <w:tc>
          <w:tcPr>
            <w:tcW w:w="1497" w:type="dxa"/>
            <w:tcBorders>
              <w:top w:val="single" w:sz="6" w:space="0" w:color="auto"/>
              <w:left w:val="single" w:sz="6" w:space="0" w:color="auto"/>
              <w:bottom w:val="single" w:sz="6" w:space="0" w:color="auto"/>
              <w:right w:val="single" w:sz="6" w:space="0" w:color="auto"/>
            </w:tcBorders>
          </w:tcPr>
          <w:p w14:paraId="30D0E6C4"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74.55</w:t>
            </w:r>
          </w:p>
        </w:tc>
        <w:tc>
          <w:tcPr>
            <w:tcW w:w="1361" w:type="dxa"/>
            <w:tcBorders>
              <w:top w:val="single" w:sz="6" w:space="0" w:color="auto"/>
              <w:left w:val="single" w:sz="6" w:space="0" w:color="auto"/>
              <w:bottom w:val="single" w:sz="6" w:space="0" w:color="auto"/>
              <w:right w:val="single" w:sz="6" w:space="0" w:color="auto"/>
            </w:tcBorders>
          </w:tcPr>
          <w:p w14:paraId="5931AEC4"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7447-40-7</w:t>
            </w:r>
          </w:p>
        </w:tc>
      </w:tr>
      <w:tr w:rsidR="00A74CDF" w:rsidRPr="00F01347" w14:paraId="39DC3647" w14:textId="77777777" w:rsidTr="00890333">
        <w:trPr>
          <w:trHeight w:val="20"/>
        </w:trPr>
        <w:tc>
          <w:tcPr>
            <w:tcW w:w="3679" w:type="dxa"/>
            <w:tcBorders>
              <w:top w:val="single" w:sz="6" w:space="0" w:color="auto"/>
              <w:left w:val="single" w:sz="6" w:space="0" w:color="auto"/>
              <w:bottom w:val="single" w:sz="6" w:space="0" w:color="auto"/>
              <w:right w:val="single" w:sz="6" w:space="0" w:color="auto"/>
            </w:tcBorders>
          </w:tcPr>
          <w:p w14:paraId="44F3EEF0" w14:textId="5F716130" w:rsidR="00A74CDF" w:rsidRPr="00F01347" w:rsidRDefault="00A74CDF" w:rsidP="003A601B">
            <w:pPr>
              <w:pStyle w:val="texto0"/>
              <w:ind w:firstLine="0"/>
              <w:jc w:val="center"/>
              <w:rPr>
                <w:rFonts w:ascii="Verdana" w:hAnsi="Verdana"/>
                <w:color w:val="000000"/>
                <w:sz w:val="16"/>
                <w:szCs w:val="16"/>
              </w:rPr>
            </w:pPr>
            <w:proofErr w:type="spellStart"/>
            <w:r w:rsidRPr="00F01347">
              <w:rPr>
                <w:rFonts w:ascii="Verdana" w:hAnsi="Verdana"/>
                <w:color w:val="000000"/>
                <w:sz w:val="16"/>
                <w:szCs w:val="16"/>
              </w:rPr>
              <w:t>Brij</w:t>
            </w:r>
            <w:proofErr w:type="spellEnd"/>
            <w:r w:rsidR="00471638" w:rsidRPr="00F01347">
              <w:rPr>
                <w:rFonts w:ascii="Verdana" w:hAnsi="Verdana"/>
                <w:b/>
                <w:noProof/>
                <w:sz w:val="16"/>
                <w:szCs w:val="16"/>
              </w:rPr>
              <w:drawing>
                <wp:inline distT="0" distB="0" distL="0" distR="0" wp14:anchorId="39A47EAE" wp14:editId="3E5BB667">
                  <wp:extent cx="95250" cy="95250"/>
                  <wp:effectExtent l="0" t="0" r="0" b="0"/>
                  <wp:docPr id="5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01347">
              <w:rPr>
                <w:rFonts w:ascii="Verdana" w:hAnsi="Verdana"/>
                <w:color w:val="000000"/>
                <w:sz w:val="16"/>
                <w:szCs w:val="16"/>
              </w:rPr>
              <w:t xml:space="preserve">-35 (disolución al 21 </w:t>
            </w:r>
            <w:proofErr w:type="spellStart"/>
            <w:r w:rsidRPr="00F01347">
              <w:rPr>
                <w:rFonts w:ascii="Verdana" w:hAnsi="Verdana"/>
                <w:color w:val="000000"/>
                <w:sz w:val="16"/>
                <w:szCs w:val="16"/>
              </w:rPr>
              <w:t>ó</w:t>
            </w:r>
            <w:proofErr w:type="spellEnd"/>
            <w:r w:rsidRPr="00F01347">
              <w:rPr>
                <w:rFonts w:ascii="Verdana" w:hAnsi="Verdana"/>
                <w:color w:val="000000"/>
                <w:sz w:val="16"/>
                <w:szCs w:val="16"/>
              </w:rPr>
              <w:t xml:space="preserve"> 30% w/v)</w:t>
            </w:r>
          </w:p>
        </w:tc>
        <w:tc>
          <w:tcPr>
            <w:tcW w:w="2175" w:type="dxa"/>
            <w:tcBorders>
              <w:top w:val="single" w:sz="6" w:space="0" w:color="auto"/>
              <w:left w:val="single" w:sz="6" w:space="0" w:color="auto"/>
              <w:bottom w:val="single" w:sz="6" w:space="0" w:color="auto"/>
              <w:right w:val="single" w:sz="6" w:space="0" w:color="auto"/>
            </w:tcBorders>
          </w:tcPr>
          <w:p w14:paraId="5D22351E"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w:t>
            </w:r>
          </w:p>
        </w:tc>
        <w:tc>
          <w:tcPr>
            <w:tcW w:w="1497" w:type="dxa"/>
            <w:tcBorders>
              <w:top w:val="single" w:sz="6" w:space="0" w:color="auto"/>
              <w:left w:val="single" w:sz="6" w:space="0" w:color="auto"/>
              <w:bottom w:val="single" w:sz="6" w:space="0" w:color="auto"/>
              <w:right w:val="single" w:sz="6" w:space="0" w:color="auto"/>
            </w:tcBorders>
          </w:tcPr>
          <w:p w14:paraId="045CA821"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w:t>
            </w:r>
          </w:p>
        </w:tc>
        <w:tc>
          <w:tcPr>
            <w:tcW w:w="1361" w:type="dxa"/>
            <w:tcBorders>
              <w:top w:val="single" w:sz="6" w:space="0" w:color="auto"/>
              <w:left w:val="single" w:sz="6" w:space="0" w:color="auto"/>
              <w:bottom w:val="single" w:sz="6" w:space="0" w:color="auto"/>
              <w:right w:val="single" w:sz="6" w:space="0" w:color="auto"/>
            </w:tcBorders>
          </w:tcPr>
          <w:p w14:paraId="71AAA080"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A21-0110-33</w:t>
            </w:r>
            <w:r w:rsidRPr="00F01347">
              <w:rPr>
                <w:rFonts w:ascii="Verdana" w:hAnsi="Verdana"/>
                <w:color w:val="000000"/>
                <w:sz w:val="16"/>
                <w:szCs w:val="16"/>
                <w:vertAlign w:val="superscript"/>
              </w:rPr>
              <w:t>a</w:t>
            </w:r>
          </w:p>
        </w:tc>
      </w:tr>
      <w:tr w:rsidR="00A74CDF" w:rsidRPr="00F01347" w14:paraId="3EDCA584" w14:textId="77777777" w:rsidTr="00890333">
        <w:trPr>
          <w:trHeight w:val="20"/>
        </w:trPr>
        <w:tc>
          <w:tcPr>
            <w:tcW w:w="3679" w:type="dxa"/>
            <w:tcBorders>
              <w:top w:val="single" w:sz="6" w:space="0" w:color="auto"/>
              <w:left w:val="single" w:sz="6" w:space="0" w:color="auto"/>
              <w:bottom w:val="single" w:sz="6" w:space="0" w:color="auto"/>
              <w:right w:val="single" w:sz="6" w:space="0" w:color="auto"/>
            </w:tcBorders>
          </w:tcPr>
          <w:p w14:paraId="501B0B4C"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Agua desionizada</w:t>
            </w:r>
          </w:p>
        </w:tc>
        <w:tc>
          <w:tcPr>
            <w:tcW w:w="2175" w:type="dxa"/>
            <w:tcBorders>
              <w:top w:val="single" w:sz="6" w:space="0" w:color="auto"/>
              <w:left w:val="single" w:sz="6" w:space="0" w:color="auto"/>
              <w:bottom w:val="single" w:sz="6" w:space="0" w:color="auto"/>
              <w:right w:val="single" w:sz="6" w:space="0" w:color="auto"/>
            </w:tcBorders>
          </w:tcPr>
          <w:p w14:paraId="388D43B8"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H</w:t>
            </w:r>
            <w:r w:rsidRPr="00F01347">
              <w:rPr>
                <w:rFonts w:ascii="Verdana" w:hAnsi="Verdana"/>
                <w:color w:val="000000"/>
                <w:sz w:val="16"/>
                <w:szCs w:val="16"/>
                <w:vertAlign w:val="subscript"/>
              </w:rPr>
              <w:t>2</w:t>
            </w:r>
            <w:r w:rsidRPr="00F01347">
              <w:rPr>
                <w:rFonts w:ascii="Verdana" w:hAnsi="Verdana"/>
                <w:color w:val="000000"/>
                <w:sz w:val="16"/>
                <w:szCs w:val="16"/>
              </w:rPr>
              <w:t>O</w:t>
            </w:r>
          </w:p>
        </w:tc>
        <w:tc>
          <w:tcPr>
            <w:tcW w:w="1497" w:type="dxa"/>
            <w:tcBorders>
              <w:top w:val="single" w:sz="6" w:space="0" w:color="auto"/>
              <w:left w:val="single" w:sz="6" w:space="0" w:color="auto"/>
              <w:bottom w:val="single" w:sz="6" w:space="0" w:color="auto"/>
              <w:right w:val="single" w:sz="6" w:space="0" w:color="auto"/>
            </w:tcBorders>
          </w:tcPr>
          <w:p w14:paraId="1E6BACE8"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18</w:t>
            </w:r>
          </w:p>
        </w:tc>
        <w:tc>
          <w:tcPr>
            <w:tcW w:w="1361" w:type="dxa"/>
            <w:tcBorders>
              <w:top w:val="single" w:sz="6" w:space="0" w:color="auto"/>
              <w:left w:val="single" w:sz="6" w:space="0" w:color="auto"/>
              <w:bottom w:val="single" w:sz="6" w:space="0" w:color="auto"/>
              <w:right w:val="single" w:sz="6" w:space="0" w:color="auto"/>
            </w:tcBorders>
          </w:tcPr>
          <w:p w14:paraId="23D50990"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7732-18-5</w:t>
            </w:r>
          </w:p>
        </w:tc>
      </w:tr>
      <w:tr w:rsidR="00A74CDF" w:rsidRPr="00F01347" w14:paraId="560CE323" w14:textId="77777777" w:rsidTr="00890333">
        <w:trPr>
          <w:trHeight w:val="20"/>
        </w:trPr>
        <w:tc>
          <w:tcPr>
            <w:tcW w:w="3679" w:type="dxa"/>
            <w:tcBorders>
              <w:top w:val="single" w:sz="6" w:space="0" w:color="auto"/>
              <w:left w:val="single" w:sz="6" w:space="0" w:color="auto"/>
              <w:bottom w:val="single" w:sz="6" w:space="0" w:color="auto"/>
              <w:right w:val="single" w:sz="6" w:space="0" w:color="auto"/>
            </w:tcBorders>
          </w:tcPr>
          <w:p w14:paraId="31C68861"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Tiosulfato de sodio pentahidratado</w:t>
            </w:r>
          </w:p>
        </w:tc>
        <w:tc>
          <w:tcPr>
            <w:tcW w:w="2175" w:type="dxa"/>
            <w:tcBorders>
              <w:top w:val="single" w:sz="6" w:space="0" w:color="auto"/>
              <w:left w:val="single" w:sz="6" w:space="0" w:color="auto"/>
              <w:bottom w:val="single" w:sz="6" w:space="0" w:color="auto"/>
              <w:right w:val="single" w:sz="6" w:space="0" w:color="auto"/>
            </w:tcBorders>
          </w:tcPr>
          <w:p w14:paraId="286AB965"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Na</w:t>
            </w:r>
            <w:r w:rsidRPr="00F01347">
              <w:rPr>
                <w:rFonts w:ascii="Verdana" w:hAnsi="Verdana"/>
                <w:color w:val="000000"/>
                <w:sz w:val="16"/>
                <w:szCs w:val="16"/>
                <w:vertAlign w:val="subscript"/>
              </w:rPr>
              <w:t>2</w:t>
            </w:r>
            <w:r w:rsidRPr="00F01347">
              <w:rPr>
                <w:rFonts w:ascii="Verdana" w:hAnsi="Verdana"/>
                <w:color w:val="000000"/>
                <w:sz w:val="16"/>
                <w:szCs w:val="16"/>
              </w:rPr>
              <w:t>S</w:t>
            </w:r>
            <w:r w:rsidRPr="00F01347">
              <w:rPr>
                <w:rFonts w:ascii="Verdana" w:hAnsi="Verdana"/>
                <w:color w:val="000000"/>
                <w:sz w:val="16"/>
                <w:szCs w:val="16"/>
                <w:vertAlign w:val="subscript"/>
              </w:rPr>
              <w:t>2</w:t>
            </w:r>
            <w:r w:rsidRPr="00F01347">
              <w:rPr>
                <w:rFonts w:ascii="Verdana" w:hAnsi="Verdana"/>
                <w:color w:val="000000"/>
                <w:sz w:val="16"/>
                <w:szCs w:val="16"/>
              </w:rPr>
              <w:t>O</w:t>
            </w:r>
            <w:r w:rsidRPr="00F01347">
              <w:rPr>
                <w:rFonts w:ascii="Verdana" w:hAnsi="Verdana"/>
                <w:color w:val="000000"/>
                <w:sz w:val="16"/>
                <w:szCs w:val="16"/>
                <w:vertAlign w:val="subscript"/>
              </w:rPr>
              <w:t>3</w:t>
            </w:r>
            <w:r w:rsidRPr="00F01347">
              <w:rPr>
                <w:rFonts w:ascii="Verdana" w:hAnsi="Verdana"/>
                <w:color w:val="000000"/>
                <w:sz w:val="16"/>
                <w:szCs w:val="16"/>
              </w:rPr>
              <w:t xml:space="preserve"> * 5 H</w:t>
            </w:r>
            <w:r w:rsidRPr="00F01347">
              <w:rPr>
                <w:rFonts w:ascii="Verdana" w:hAnsi="Verdana"/>
                <w:color w:val="000000"/>
                <w:sz w:val="16"/>
                <w:szCs w:val="16"/>
                <w:vertAlign w:val="subscript"/>
              </w:rPr>
              <w:t>2</w:t>
            </w:r>
            <w:r w:rsidRPr="00F01347">
              <w:rPr>
                <w:rFonts w:ascii="Verdana" w:hAnsi="Verdana"/>
                <w:color w:val="000000"/>
                <w:sz w:val="16"/>
                <w:szCs w:val="16"/>
              </w:rPr>
              <w:t>O</w:t>
            </w:r>
          </w:p>
        </w:tc>
        <w:tc>
          <w:tcPr>
            <w:tcW w:w="1497" w:type="dxa"/>
            <w:tcBorders>
              <w:top w:val="single" w:sz="6" w:space="0" w:color="auto"/>
              <w:left w:val="single" w:sz="6" w:space="0" w:color="auto"/>
              <w:bottom w:val="single" w:sz="6" w:space="0" w:color="auto"/>
              <w:right w:val="single" w:sz="6" w:space="0" w:color="auto"/>
            </w:tcBorders>
          </w:tcPr>
          <w:p w14:paraId="21572E76"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248.19</w:t>
            </w:r>
          </w:p>
        </w:tc>
        <w:tc>
          <w:tcPr>
            <w:tcW w:w="1361" w:type="dxa"/>
            <w:tcBorders>
              <w:top w:val="single" w:sz="6" w:space="0" w:color="auto"/>
              <w:left w:val="single" w:sz="6" w:space="0" w:color="auto"/>
              <w:bottom w:val="single" w:sz="6" w:space="0" w:color="auto"/>
              <w:right w:val="single" w:sz="6" w:space="0" w:color="auto"/>
            </w:tcBorders>
          </w:tcPr>
          <w:p w14:paraId="289E2562"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10102-17-7</w:t>
            </w:r>
          </w:p>
        </w:tc>
      </w:tr>
      <w:tr w:rsidR="00A74CDF" w:rsidRPr="00F01347" w14:paraId="12AEF89A" w14:textId="77777777" w:rsidTr="00890333">
        <w:trPr>
          <w:trHeight w:val="20"/>
        </w:trPr>
        <w:tc>
          <w:tcPr>
            <w:tcW w:w="8712" w:type="dxa"/>
            <w:gridSpan w:val="4"/>
            <w:tcBorders>
              <w:top w:val="single" w:sz="6" w:space="0" w:color="auto"/>
            </w:tcBorders>
          </w:tcPr>
          <w:p w14:paraId="47729AF1" w14:textId="77777777" w:rsidR="00A74CDF" w:rsidRPr="00F01347" w:rsidRDefault="00A74CDF" w:rsidP="003A601B">
            <w:pPr>
              <w:pStyle w:val="texto0"/>
              <w:ind w:firstLine="0"/>
              <w:rPr>
                <w:rFonts w:ascii="Verdana" w:hAnsi="Verdana"/>
                <w:color w:val="000000"/>
                <w:sz w:val="16"/>
                <w:szCs w:val="16"/>
              </w:rPr>
            </w:pPr>
            <w:r w:rsidRPr="00F01347">
              <w:rPr>
                <w:rFonts w:ascii="Verdana" w:hAnsi="Verdana"/>
                <w:sz w:val="16"/>
                <w:szCs w:val="16"/>
                <w:vertAlign w:val="superscript"/>
              </w:rPr>
              <w:t>a</w:t>
            </w:r>
            <w:r w:rsidRPr="00F01347">
              <w:rPr>
                <w:rFonts w:ascii="Verdana" w:hAnsi="Verdana"/>
                <w:sz w:val="16"/>
                <w:szCs w:val="16"/>
              </w:rPr>
              <w:t xml:space="preserve"> Número de parte del distribuidor (</w:t>
            </w:r>
            <w:proofErr w:type="spellStart"/>
            <w:r w:rsidRPr="00F01347">
              <w:rPr>
                <w:rFonts w:ascii="Verdana" w:hAnsi="Verdana"/>
                <w:sz w:val="16"/>
                <w:szCs w:val="16"/>
              </w:rPr>
              <w:t>Ezkem</w:t>
            </w:r>
            <w:proofErr w:type="spellEnd"/>
            <w:r w:rsidRPr="00F01347">
              <w:rPr>
                <w:rFonts w:ascii="Verdana" w:hAnsi="Verdana"/>
                <w:sz w:val="16"/>
                <w:szCs w:val="16"/>
              </w:rPr>
              <w:t>). 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r>
    </w:tbl>
    <w:p w14:paraId="5D83F8BF" w14:textId="77777777" w:rsidR="00A74CDF" w:rsidRPr="00F01347" w:rsidRDefault="00A74CDF" w:rsidP="003A601B">
      <w:pPr>
        <w:pStyle w:val="texto0"/>
        <w:rPr>
          <w:rFonts w:ascii="Verdana" w:hAnsi="Verdana"/>
          <w:b/>
          <w:sz w:val="16"/>
          <w:szCs w:val="16"/>
        </w:rPr>
      </w:pPr>
    </w:p>
    <w:tbl>
      <w:tblPr>
        <w:tblW w:w="8715" w:type="dxa"/>
        <w:tblInd w:w="144" w:type="dxa"/>
        <w:tblLayout w:type="fixed"/>
        <w:tblCellMar>
          <w:left w:w="70" w:type="dxa"/>
          <w:right w:w="70" w:type="dxa"/>
        </w:tblCellMar>
        <w:tblLook w:val="04A0" w:firstRow="1" w:lastRow="0" w:firstColumn="1" w:lastColumn="0" w:noHBand="0" w:noVBand="1"/>
      </w:tblPr>
      <w:tblGrid>
        <w:gridCol w:w="3680"/>
        <w:gridCol w:w="2175"/>
        <w:gridCol w:w="1498"/>
        <w:gridCol w:w="1362"/>
      </w:tblGrid>
      <w:tr w:rsidR="005F282B" w:rsidRPr="00F01347" w14:paraId="19639959" w14:textId="77777777" w:rsidTr="006844B7">
        <w:trPr>
          <w:trHeight w:val="20"/>
        </w:trPr>
        <w:tc>
          <w:tcPr>
            <w:tcW w:w="8715" w:type="dxa"/>
            <w:gridSpan w:val="4"/>
            <w:tcBorders>
              <w:top w:val="nil"/>
              <w:left w:val="nil"/>
              <w:bottom w:val="single" w:sz="6" w:space="0" w:color="auto"/>
              <w:right w:val="nil"/>
            </w:tcBorders>
            <w:noWrap/>
            <w:hideMark/>
          </w:tcPr>
          <w:p w14:paraId="7820B242" w14:textId="52E56313" w:rsidR="005F282B" w:rsidRPr="00F01347" w:rsidRDefault="005F282B">
            <w:pPr>
              <w:pStyle w:val="texto0"/>
              <w:spacing w:line="232" w:lineRule="exact"/>
              <w:ind w:firstLine="0"/>
              <w:jc w:val="center"/>
              <w:rPr>
                <w:rFonts w:ascii="Verdana" w:hAnsi="Verdana"/>
                <w:color w:val="000000"/>
                <w:sz w:val="16"/>
                <w:szCs w:val="16"/>
                <w:lang w:val="en-US"/>
              </w:rPr>
            </w:pPr>
            <w:r w:rsidRPr="00F01347">
              <w:rPr>
                <w:rFonts w:ascii="Verdana" w:hAnsi="Verdana"/>
                <w:b/>
                <w:sz w:val="16"/>
                <w:szCs w:val="16"/>
                <w:lang w:val="en-US"/>
              </w:rPr>
              <w:t>Table B.7.4-1</w:t>
            </w:r>
            <w:r w:rsidR="003E1BA9" w:rsidRPr="00F01347">
              <w:rPr>
                <w:rFonts w:ascii="Verdana" w:hAnsi="Verdana"/>
                <w:b/>
                <w:sz w:val="16"/>
                <w:szCs w:val="16"/>
                <w:lang w:val="en-US"/>
              </w:rPr>
              <w:t>.</w:t>
            </w:r>
            <w:r w:rsidRPr="00F01347">
              <w:rPr>
                <w:rFonts w:ascii="Verdana" w:hAnsi="Verdana"/>
                <w:sz w:val="16"/>
                <w:szCs w:val="16"/>
                <w:lang w:val="en-US"/>
              </w:rPr>
              <w:t xml:space="preserve"> Reagents used in the analysis method.</w:t>
            </w:r>
          </w:p>
        </w:tc>
      </w:tr>
      <w:tr w:rsidR="005F282B" w:rsidRPr="00F01347" w14:paraId="6FBC2E85" w14:textId="77777777" w:rsidTr="006844B7">
        <w:trPr>
          <w:trHeight w:val="20"/>
        </w:trPr>
        <w:tc>
          <w:tcPr>
            <w:tcW w:w="3680" w:type="dxa"/>
            <w:tcBorders>
              <w:top w:val="single" w:sz="6" w:space="0" w:color="auto"/>
              <w:left w:val="single" w:sz="6" w:space="0" w:color="auto"/>
              <w:bottom w:val="single" w:sz="6" w:space="0" w:color="auto"/>
              <w:right w:val="single" w:sz="6" w:space="0" w:color="auto"/>
            </w:tcBorders>
            <w:hideMark/>
          </w:tcPr>
          <w:p w14:paraId="1CFE991E" w14:textId="77777777" w:rsidR="005F282B" w:rsidRPr="00F01347" w:rsidRDefault="005F282B">
            <w:pPr>
              <w:pStyle w:val="texto0"/>
              <w:spacing w:line="232"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Name</w:t>
            </w:r>
          </w:p>
        </w:tc>
        <w:tc>
          <w:tcPr>
            <w:tcW w:w="2175" w:type="dxa"/>
            <w:tcBorders>
              <w:top w:val="single" w:sz="6" w:space="0" w:color="auto"/>
              <w:left w:val="single" w:sz="6" w:space="0" w:color="auto"/>
              <w:bottom w:val="single" w:sz="6" w:space="0" w:color="auto"/>
              <w:right w:val="single" w:sz="6" w:space="0" w:color="auto"/>
            </w:tcBorders>
            <w:hideMark/>
          </w:tcPr>
          <w:p w14:paraId="6E44C6B3" w14:textId="77777777" w:rsidR="005F282B" w:rsidRPr="00F01347" w:rsidRDefault="005F282B">
            <w:pPr>
              <w:pStyle w:val="texto0"/>
              <w:spacing w:line="232"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Formula</w:t>
            </w:r>
          </w:p>
        </w:tc>
        <w:tc>
          <w:tcPr>
            <w:tcW w:w="1498" w:type="dxa"/>
            <w:tcBorders>
              <w:top w:val="single" w:sz="6" w:space="0" w:color="auto"/>
              <w:left w:val="single" w:sz="6" w:space="0" w:color="auto"/>
              <w:bottom w:val="single" w:sz="6" w:space="0" w:color="auto"/>
              <w:right w:val="single" w:sz="6" w:space="0" w:color="auto"/>
            </w:tcBorders>
            <w:hideMark/>
          </w:tcPr>
          <w:p w14:paraId="5F87A0B6" w14:textId="77777777" w:rsidR="005F282B" w:rsidRPr="00F01347" w:rsidRDefault="005F282B">
            <w:pPr>
              <w:pStyle w:val="texto0"/>
              <w:spacing w:line="232"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Molecular weight (g/mol)</w:t>
            </w:r>
          </w:p>
        </w:tc>
        <w:tc>
          <w:tcPr>
            <w:tcW w:w="1362" w:type="dxa"/>
            <w:tcBorders>
              <w:top w:val="single" w:sz="6" w:space="0" w:color="auto"/>
              <w:left w:val="single" w:sz="6" w:space="0" w:color="auto"/>
              <w:bottom w:val="single" w:sz="6" w:space="0" w:color="auto"/>
              <w:right w:val="single" w:sz="6" w:space="0" w:color="auto"/>
            </w:tcBorders>
            <w:hideMark/>
          </w:tcPr>
          <w:p w14:paraId="712D3E4E" w14:textId="77777777" w:rsidR="005F282B" w:rsidRPr="00F01347" w:rsidRDefault="005F282B">
            <w:pPr>
              <w:pStyle w:val="texto0"/>
              <w:spacing w:line="232" w:lineRule="exact"/>
              <w:ind w:firstLine="0"/>
              <w:jc w:val="center"/>
              <w:rPr>
                <w:rFonts w:ascii="Verdana" w:hAnsi="Verdana"/>
                <w:b/>
                <w:color w:val="000000"/>
                <w:sz w:val="16"/>
                <w:szCs w:val="16"/>
                <w:lang w:val="en-US"/>
              </w:rPr>
            </w:pPr>
            <w:r w:rsidRPr="00F01347">
              <w:rPr>
                <w:rFonts w:ascii="Verdana" w:hAnsi="Verdana"/>
                <w:b/>
                <w:color w:val="000000"/>
                <w:sz w:val="16"/>
                <w:szCs w:val="16"/>
                <w:lang w:val="en-US"/>
              </w:rPr>
              <w:t>CAS No.</w:t>
            </w:r>
          </w:p>
        </w:tc>
      </w:tr>
      <w:tr w:rsidR="006844B7" w:rsidRPr="00F01347" w14:paraId="630223F9" w14:textId="77777777" w:rsidTr="006844B7">
        <w:trPr>
          <w:trHeight w:val="20"/>
        </w:trPr>
        <w:tc>
          <w:tcPr>
            <w:tcW w:w="3680" w:type="dxa"/>
            <w:tcBorders>
              <w:top w:val="single" w:sz="6" w:space="0" w:color="auto"/>
              <w:left w:val="single" w:sz="6" w:space="0" w:color="auto"/>
              <w:bottom w:val="single" w:sz="6" w:space="0" w:color="auto"/>
              <w:right w:val="single" w:sz="6" w:space="0" w:color="auto"/>
            </w:tcBorders>
            <w:hideMark/>
          </w:tcPr>
          <w:p w14:paraId="21518BA5" w14:textId="77777777"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Ammonium sulphate</w:t>
            </w:r>
          </w:p>
        </w:tc>
        <w:tc>
          <w:tcPr>
            <w:tcW w:w="2175" w:type="dxa"/>
            <w:tcBorders>
              <w:top w:val="single" w:sz="6" w:space="0" w:color="auto"/>
              <w:left w:val="single" w:sz="6" w:space="0" w:color="auto"/>
              <w:bottom w:val="single" w:sz="6" w:space="0" w:color="auto"/>
              <w:right w:val="single" w:sz="6" w:space="0" w:color="auto"/>
            </w:tcBorders>
          </w:tcPr>
          <w:p w14:paraId="5066FF00" w14:textId="4ACAA8F6"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rPr>
              <w:t>(NH</w:t>
            </w:r>
            <w:r w:rsidRPr="00F01347">
              <w:rPr>
                <w:rFonts w:ascii="Verdana" w:hAnsi="Verdana"/>
                <w:color w:val="000000"/>
                <w:sz w:val="16"/>
                <w:szCs w:val="16"/>
                <w:vertAlign w:val="subscript"/>
              </w:rPr>
              <w:t>4</w:t>
            </w:r>
            <w:r w:rsidRPr="00F01347">
              <w:rPr>
                <w:rFonts w:ascii="Verdana" w:hAnsi="Verdana"/>
                <w:color w:val="000000"/>
                <w:sz w:val="16"/>
                <w:szCs w:val="16"/>
              </w:rPr>
              <w:t>)</w:t>
            </w:r>
            <w:r w:rsidRPr="00F01347">
              <w:rPr>
                <w:rFonts w:ascii="Verdana" w:hAnsi="Verdana"/>
                <w:color w:val="000000"/>
                <w:sz w:val="16"/>
                <w:szCs w:val="16"/>
                <w:vertAlign w:val="subscript"/>
              </w:rPr>
              <w:t>2</w:t>
            </w:r>
            <w:r w:rsidRPr="00F01347">
              <w:rPr>
                <w:rFonts w:ascii="Verdana" w:hAnsi="Verdana"/>
                <w:color w:val="000000"/>
                <w:sz w:val="16"/>
                <w:szCs w:val="16"/>
              </w:rPr>
              <w:t>SO</w:t>
            </w:r>
            <w:r w:rsidRPr="00F01347">
              <w:rPr>
                <w:rFonts w:ascii="Verdana" w:hAnsi="Verdana"/>
                <w:color w:val="000000"/>
                <w:sz w:val="16"/>
                <w:szCs w:val="16"/>
                <w:vertAlign w:val="subscript"/>
              </w:rPr>
              <w:t>4</w:t>
            </w:r>
          </w:p>
        </w:tc>
        <w:tc>
          <w:tcPr>
            <w:tcW w:w="1498" w:type="dxa"/>
            <w:tcBorders>
              <w:top w:val="single" w:sz="6" w:space="0" w:color="auto"/>
              <w:left w:val="single" w:sz="6" w:space="0" w:color="auto"/>
              <w:bottom w:val="single" w:sz="6" w:space="0" w:color="auto"/>
              <w:right w:val="single" w:sz="6" w:space="0" w:color="auto"/>
            </w:tcBorders>
            <w:hideMark/>
          </w:tcPr>
          <w:p w14:paraId="1A517679" w14:textId="77777777"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132.14</w:t>
            </w:r>
          </w:p>
        </w:tc>
        <w:tc>
          <w:tcPr>
            <w:tcW w:w="1362" w:type="dxa"/>
            <w:tcBorders>
              <w:top w:val="single" w:sz="6" w:space="0" w:color="auto"/>
              <w:left w:val="single" w:sz="6" w:space="0" w:color="auto"/>
              <w:bottom w:val="single" w:sz="6" w:space="0" w:color="auto"/>
              <w:right w:val="single" w:sz="6" w:space="0" w:color="auto"/>
            </w:tcBorders>
            <w:hideMark/>
          </w:tcPr>
          <w:p w14:paraId="423AC0C5" w14:textId="77777777"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7783-20-2</w:t>
            </w:r>
          </w:p>
        </w:tc>
      </w:tr>
      <w:tr w:rsidR="006844B7" w:rsidRPr="00F01347" w14:paraId="16715995" w14:textId="77777777" w:rsidTr="006844B7">
        <w:trPr>
          <w:trHeight w:val="20"/>
        </w:trPr>
        <w:tc>
          <w:tcPr>
            <w:tcW w:w="3680" w:type="dxa"/>
            <w:tcBorders>
              <w:top w:val="single" w:sz="6" w:space="0" w:color="auto"/>
              <w:left w:val="single" w:sz="6" w:space="0" w:color="auto"/>
              <w:bottom w:val="single" w:sz="6" w:space="0" w:color="auto"/>
              <w:right w:val="single" w:sz="6" w:space="0" w:color="auto"/>
            </w:tcBorders>
            <w:hideMark/>
          </w:tcPr>
          <w:p w14:paraId="642B0290" w14:textId="33363067"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Sodium hydroxide</w:t>
            </w:r>
          </w:p>
        </w:tc>
        <w:tc>
          <w:tcPr>
            <w:tcW w:w="2175" w:type="dxa"/>
            <w:tcBorders>
              <w:top w:val="single" w:sz="6" w:space="0" w:color="auto"/>
              <w:left w:val="single" w:sz="6" w:space="0" w:color="auto"/>
              <w:bottom w:val="single" w:sz="6" w:space="0" w:color="auto"/>
              <w:right w:val="single" w:sz="6" w:space="0" w:color="auto"/>
            </w:tcBorders>
          </w:tcPr>
          <w:p w14:paraId="610E38DC" w14:textId="5BC0BA8F"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rPr>
              <w:t>NaOH</w:t>
            </w:r>
          </w:p>
        </w:tc>
        <w:tc>
          <w:tcPr>
            <w:tcW w:w="1498" w:type="dxa"/>
            <w:tcBorders>
              <w:top w:val="single" w:sz="6" w:space="0" w:color="auto"/>
              <w:left w:val="single" w:sz="6" w:space="0" w:color="auto"/>
              <w:bottom w:val="single" w:sz="6" w:space="0" w:color="auto"/>
              <w:right w:val="single" w:sz="6" w:space="0" w:color="auto"/>
            </w:tcBorders>
            <w:hideMark/>
          </w:tcPr>
          <w:p w14:paraId="79A834FF" w14:textId="77777777"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40</w:t>
            </w:r>
          </w:p>
        </w:tc>
        <w:tc>
          <w:tcPr>
            <w:tcW w:w="1362" w:type="dxa"/>
            <w:tcBorders>
              <w:top w:val="single" w:sz="6" w:space="0" w:color="auto"/>
              <w:left w:val="single" w:sz="6" w:space="0" w:color="auto"/>
              <w:bottom w:val="single" w:sz="6" w:space="0" w:color="auto"/>
              <w:right w:val="single" w:sz="6" w:space="0" w:color="auto"/>
            </w:tcBorders>
            <w:hideMark/>
          </w:tcPr>
          <w:p w14:paraId="45061C1D" w14:textId="77777777"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1310-73-2</w:t>
            </w:r>
          </w:p>
        </w:tc>
      </w:tr>
      <w:tr w:rsidR="006844B7" w:rsidRPr="00F01347" w14:paraId="514E19DE" w14:textId="77777777" w:rsidTr="006844B7">
        <w:trPr>
          <w:trHeight w:val="20"/>
        </w:trPr>
        <w:tc>
          <w:tcPr>
            <w:tcW w:w="3680" w:type="dxa"/>
            <w:tcBorders>
              <w:top w:val="single" w:sz="6" w:space="0" w:color="auto"/>
              <w:left w:val="single" w:sz="6" w:space="0" w:color="auto"/>
              <w:bottom w:val="single" w:sz="6" w:space="0" w:color="auto"/>
              <w:right w:val="single" w:sz="6" w:space="0" w:color="auto"/>
            </w:tcBorders>
            <w:hideMark/>
          </w:tcPr>
          <w:p w14:paraId="158662D4" w14:textId="77777777"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Phenol</w:t>
            </w:r>
          </w:p>
        </w:tc>
        <w:tc>
          <w:tcPr>
            <w:tcW w:w="2175" w:type="dxa"/>
            <w:tcBorders>
              <w:top w:val="single" w:sz="6" w:space="0" w:color="auto"/>
              <w:left w:val="single" w:sz="6" w:space="0" w:color="auto"/>
              <w:bottom w:val="single" w:sz="6" w:space="0" w:color="auto"/>
              <w:right w:val="single" w:sz="6" w:space="0" w:color="auto"/>
            </w:tcBorders>
          </w:tcPr>
          <w:p w14:paraId="5F8A0D3F" w14:textId="0BC1EDF3"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rPr>
              <w:t>C</w:t>
            </w:r>
            <w:r w:rsidRPr="00F01347">
              <w:rPr>
                <w:rFonts w:ascii="Verdana" w:hAnsi="Verdana"/>
                <w:color w:val="000000"/>
                <w:sz w:val="16"/>
                <w:szCs w:val="16"/>
                <w:vertAlign w:val="subscript"/>
              </w:rPr>
              <w:t>6</w:t>
            </w:r>
            <w:r w:rsidRPr="00F01347">
              <w:rPr>
                <w:rFonts w:ascii="Verdana" w:hAnsi="Verdana"/>
                <w:color w:val="000000"/>
                <w:sz w:val="16"/>
                <w:szCs w:val="16"/>
              </w:rPr>
              <w:t>H</w:t>
            </w:r>
            <w:r w:rsidRPr="00F01347">
              <w:rPr>
                <w:rFonts w:ascii="Verdana" w:hAnsi="Verdana"/>
                <w:color w:val="000000"/>
                <w:sz w:val="16"/>
                <w:szCs w:val="16"/>
                <w:vertAlign w:val="subscript"/>
              </w:rPr>
              <w:t>5</w:t>
            </w:r>
            <w:r w:rsidRPr="00F01347">
              <w:rPr>
                <w:rFonts w:ascii="Verdana" w:hAnsi="Verdana"/>
                <w:color w:val="000000"/>
                <w:sz w:val="16"/>
                <w:szCs w:val="16"/>
              </w:rPr>
              <w:t>OH</w:t>
            </w:r>
          </w:p>
        </w:tc>
        <w:tc>
          <w:tcPr>
            <w:tcW w:w="1498" w:type="dxa"/>
            <w:tcBorders>
              <w:top w:val="single" w:sz="6" w:space="0" w:color="auto"/>
              <w:left w:val="single" w:sz="6" w:space="0" w:color="auto"/>
              <w:bottom w:val="single" w:sz="6" w:space="0" w:color="auto"/>
              <w:right w:val="single" w:sz="6" w:space="0" w:color="auto"/>
            </w:tcBorders>
            <w:hideMark/>
          </w:tcPr>
          <w:p w14:paraId="4E2B067F" w14:textId="77777777"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94.11</w:t>
            </w:r>
          </w:p>
        </w:tc>
        <w:tc>
          <w:tcPr>
            <w:tcW w:w="1362" w:type="dxa"/>
            <w:tcBorders>
              <w:top w:val="single" w:sz="6" w:space="0" w:color="auto"/>
              <w:left w:val="single" w:sz="6" w:space="0" w:color="auto"/>
              <w:bottom w:val="single" w:sz="6" w:space="0" w:color="auto"/>
              <w:right w:val="single" w:sz="6" w:space="0" w:color="auto"/>
            </w:tcBorders>
            <w:hideMark/>
          </w:tcPr>
          <w:p w14:paraId="63A52375" w14:textId="77777777"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108-95-2</w:t>
            </w:r>
          </w:p>
        </w:tc>
      </w:tr>
      <w:tr w:rsidR="006844B7" w:rsidRPr="00F01347" w14:paraId="09E4BFB1" w14:textId="77777777" w:rsidTr="006844B7">
        <w:trPr>
          <w:trHeight w:val="20"/>
        </w:trPr>
        <w:tc>
          <w:tcPr>
            <w:tcW w:w="3680" w:type="dxa"/>
            <w:tcBorders>
              <w:top w:val="single" w:sz="6" w:space="0" w:color="auto"/>
              <w:left w:val="single" w:sz="6" w:space="0" w:color="auto"/>
              <w:bottom w:val="single" w:sz="6" w:space="0" w:color="auto"/>
              <w:right w:val="single" w:sz="6" w:space="0" w:color="auto"/>
            </w:tcBorders>
            <w:hideMark/>
          </w:tcPr>
          <w:p w14:paraId="3C4335BC" w14:textId="77777777"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Ethylenediaminetetraacetic acid disodium salt dihydrate</w:t>
            </w:r>
          </w:p>
        </w:tc>
        <w:tc>
          <w:tcPr>
            <w:tcW w:w="2175" w:type="dxa"/>
            <w:tcBorders>
              <w:top w:val="single" w:sz="6" w:space="0" w:color="auto"/>
              <w:left w:val="single" w:sz="6" w:space="0" w:color="auto"/>
              <w:bottom w:val="single" w:sz="6" w:space="0" w:color="auto"/>
              <w:right w:val="single" w:sz="6" w:space="0" w:color="auto"/>
            </w:tcBorders>
          </w:tcPr>
          <w:p w14:paraId="79715033" w14:textId="29D22945"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rPr>
              <w:t>C</w:t>
            </w:r>
            <w:r w:rsidRPr="00F01347">
              <w:rPr>
                <w:rFonts w:ascii="Verdana" w:hAnsi="Verdana"/>
                <w:color w:val="000000"/>
                <w:sz w:val="16"/>
                <w:szCs w:val="16"/>
                <w:vertAlign w:val="subscript"/>
              </w:rPr>
              <w:t>10</w:t>
            </w:r>
            <w:r w:rsidRPr="00F01347">
              <w:rPr>
                <w:rFonts w:ascii="Verdana" w:hAnsi="Verdana"/>
                <w:color w:val="000000"/>
                <w:sz w:val="16"/>
                <w:szCs w:val="16"/>
              </w:rPr>
              <w:t>H</w:t>
            </w:r>
            <w:r w:rsidRPr="00F01347">
              <w:rPr>
                <w:rFonts w:ascii="Verdana" w:hAnsi="Verdana"/>
                <w:color w:val="000000"/>
                <w:sz w:val="16"/>
                <w:szCs w:val="16"/>
                <w:vertAlign w:val="subscript"/>
              </w:rPr>
              <w:t>16</w:t>
            </w:r>
            <w:r w:rsidRPr="00F01347">
              <w:rPr>
                <w:rFonts w:ascii="Verdana" w:hAnsi="Verdana"/>
                <w:color w:val="000000"/>
                <w:sz w:val="16"/>
                <w:szCs w:val="16"/>
              </w:rPr>
              <w:t>N</w:t>
            </w:r>
            <w:r w:rsidRPr="00F01347">
              <w:rPr>
                <w:rFonts w:ascii="Verdana" w:hAnsi="Verdana"/>
                <w:color w:val="000000"/>
                <w:sz w:val="16"/>
                <w:szCs w:val="16"/>
                <w:vertAlign w:val="subscript"/>
              </w:rPr>
              <w:t>2</w:t>
            </w:r>
            <w:r w:rsidRPr="00F01347">
              <w:rPr>
                <w:rFonts w:ascii="Verdana" w:hAnsi="Verdana"/>
                <w:color w:val="000000"/>
                <w:sz w:val="16"/>
                <w:szCs w:val="16"/>
              </w:rPr>
              <w:t>Na</w:t>
            </w:r>
            <w:r w:rsidRPr="00F01347">
              <w:rPr>
                <w:rFonts w:ascii="Verdana" w:hAnsi="Verdana"/>
                <w:color w:val="000000"/>
                <w:sz w:val="16"/>
                <w:szCs w:val="16"/>
                <w:vertAlign w:val="subscript"/>
              </w:rPr>
              <w:t>2</w:t>
            </w:r>
            <w:r w:rsidRPr="00F01347">
              <w:rPr>
                <w:rFonts w:ascii="Verdana" w:hAnsi="Verdana"/>
                <w:color w:val="000000"/>
                <w:sz w:val="16"/>
                <w:szCs w:val="16"/>
              </w:rPr>
              <w:t>O</w:t>
            </w:r>
            <w:r w:rsidRPr="00F01347">
              <w:rPr>
                <w:rFonts w:ascii="Verdana" w:hAnsi="Verdana"/>
                <w:color w:val="000000"/>
                <w:sz w:val="16"/>
                <w:szCs w:val="16"/>
                <w:vertAlign w:val="subscript"/>
              </w:rPr>
              <w:t>8</w:t>
            </w:r>
            <w:r w:rsidRPr="00F01347">
              <w:rPr>
                <w:rFonts w:ascii="Verdana" w:hAnsi="Verdana"/>
                <w:color w:val="000000"/>
                <w:sz w:val="16"/>
                <w:szCs w:val="16"/>
              </w:rPr>
              <w:t xml:space="preserve"> • 2 H</w:t>
            </w:r>
            <w:r w:rsidRPr="00F01347">
              <w:rPr>
                <w:rFonts w:ascii="Verdana" w:hAnsi="Verdana"/>
                <w:color w:val="000000"/>
                <w:sz w:val="16"/>
                <w:szCs w:val="16"/>
                <w:vertAlign w:val="subscript"/>
              </w:rPr>
              <w:t>2</w:t>
            </w:r>
            <w:r w:rsidRPr="00F01347">
              <w:rPr>
                <w:rFonts w:ascii="Verdana" w:hAnsi="Verdana"/>
                <w:color w:val="000000"/>
                <w:sz w:val="16"/>
                <w:szCs w:val="16"/>
              </w:rPr>
              <w:t>O</w:t>
            </w:r>
          </w:p>
        </w:tc>
        <w:tc>
          <w:tcPr>
            <w:tcW w:w="1498" w:type="dxa"/>
            <w:tcBorders>
              <w:top w:val="single" w:sz="6" w:space="0" w:color="auto"/>
              <w:left w:val="single" w:sz="6" w:space="0" w:color="auto"/>
              <w:bottom w:val="single" w:sz="6" w:space="0" w:color="auto"/>
              <w:right w:val="single" w:sz="6" w:space="0" w:color="auto"/>
            </w:tcBorders>
            <w:hideMark/>
          </w:tcPr>
          <w:p w14:paraId="0B1EABBE" w14:textId="77777777"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372.24</w:t>
            </w:r>
          </w:p>
        </w:tc>
        <w:tc>
          <w:tcPr>
            <w:tcW w:w="1362" w:type="dxa"/>
            <w:tcBorders>
              <w:top w:val="single" w:sz="6" w:space="0" w:color="auto"/>
              <w:left w:val="single" w:sz="6" w:space="0" w:color="auto"/>
              <w:bottom w:val="single" w:sz="6" w:space="0" w:color="auto"/>
              <w:right w:val="single" w:sz="6" w:space="0" w:color="auto"/>
            </w:tcBorders>
            <w:hideMark/>
          </w:tcPr>
          <w:p w14:paraId="32AF4B33" w14:textId="77777777" w:rsidR="006844B7" w:rsidRPr="00F01347" w:rsidRDefault="006844B7" w:rsidP="006844B7">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6381-92-6</w:t>
            </w:r>
          </w:p>
        </w:tc>
      </w:tr>
      <w:tr w:rsidR="006844B7" w:rsidRPr="00F01347" w14:paraId="597946FF" w14:textId="77777777" w:rsidTr="006844B7">
        <w:trPr>
          <w:trHeight w:val="20"/>
        </w:trPr>
        <w:tc>
          <w:tcPr>
            <w:tcW w:w="3680" w:type="dxa"/>
            <w:tcBorders>
              <w:top w:val="single" w:sz="6" w:space="0" w:color="auto"/>
              <w:left w:val="single" w:sz="6" w:space="0" w:color="auto"/>
              <w:bottom w:val="single" w:sz="6" w:space="0" w:color="auto"/>
              <w:right w:val="single" w:sz="6" w:space="0" w:color="auto"/>
            </w:tcBorders>
            <w:hideMark/>
          </w:tcPr>
          <w:p w14:paraId="279AACD0"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Sodium hypochlorite (5% available chlorine)</w:t>
            </w:r>
          </w:p>
        </w:tc>
        <w:tc>
          <w:tcPr>
            <w:tcW w:w="2175" w:type="dxa"/>
            <w:tcBorders>
              <w:top w:val="single" w:sz="6" w:space="0" w:color="auto"/>
              <w:left w:val="single" w:sz="6" w:space="0" w:color="auto"/>
              <w:bottom w:val="single" w:sz="6" w:space="0" w:color="auto"/>
              <w:right w:val="single" w:sz="6" w:space="0" w:color="auto"/>
            </w:tcBorders>
          </w:tcPr>
          <w:p w14:paraId="73E47449" w14:textId="7E85F30F"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rPr>
              <w:t>NaClO</w:t>
            </w:r>
          </w:p>
        </w:tc>
        <w:tc>
          <w:tcPr>
            <w:tcW w:w="1498" w:type="dxa"/>
            <w:tcBorders>
              <w:top w:val="single" w:sz="6" w:space="0" w:color="auto"/>
              <w:left w:val="single" w:sz="6" w:space="0" w:color="auto"/>
              <w:bottom w:val="single" w:sz="6" w:space="0" w:color="auto"/>
              <w:right w:val="single" w:sz="6" w:space="0" w:color="auto"/>
            </w:tcBorders>
            <w:hideMark/>
          </w:tcPr>
          <w:p w14:paraId="1E4E14B9"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74.44</w:t>
            </w:r>
          </w:p>
        </w:tc>
        <w:tc>
          <w:tcPr>
            <w:tcW w:w="1362" w:type="dxa"/>
            <w:tcBorders>
              <w:top w:val="single" w:sz="6" w:space="0" w:color="auto"/>
              <w:left w:val="single" w:sz="6" w:space="0" w:color="auto"/>
              <w:bottom w:val="single" w:sz="6" w:space="0" w:color="auto"/>
              <w:right w:val="single" w:sz="6" w:space="0" w:color="auto"/>
            </w:tcBorders>
            <w:hideMark/>
          </w:tcPr>
          <w:p w14:paraId="347DCEF4"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7681-52-9</w:t>
            </w:r>
          </w:p>
        </w:tc>
      </w:tr>
      <w:tr w:rsidR="006844B7" w:rsidRPr="00F01347" w14:paraId="6751B7BC" w14:textId="77777777" w:rsidTr="006844B7">
        <w:trPr>
          <w:trHeight w:val="20"/>
        </w:trPr>
        <w:tc>
          <w:tcPr>
            <w:tcW w:w="3680" w:type="dxa"/>
            <w:tcBorders>
              <w:top w:val="single" w:sz="6" w:space="0" w:color="auto"/>
              <w:left w:val="single" w:sz="6" w:space="0" w:color="auto"/>
              <w:bottom w:val="single" w:sz="6" w:space="0" w:color="auto"/>
              <w:right w:val="single" w:sz="6" w:space="0" w:color="auto"/>
            </w:tcBorders>
            <w:hideMark/>
          </w:tcPr>
          <w:p w14:paraId="1CA5951B"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Sodium nitroferricyanide dihydrate</w:t>
            </w:r>
          </w:p>
        </w:tc>
        <w:tc>
          <w:tcPr>
            <w:tcW w:w="2175" w:type="dxa"/>
            <w:tcBorders>
              <w:top w:val="single" w:sz="6" w:space="0" w:color="auto"/>
              <w:left w:val="single" w:sz="6" w:space="0" w:color="auto"/>
              <w:bottom w:val="single" w:sz="6" w:space="0" w:color="auto"/>
              <w:right w:val="single" w:sz="6" w:space="0" w:color="auto"/>
            </w:tcBorders>
          </w:tcPr>
          <w:p w14:paraId="1755F8F0" w14:textId="73CA9316" w:rsidR="006844B7" w:rsidRPr="00F01347" w:rsidRDefault="006844B7" w:rsidP="006844B7">
            <w:pPr>
              <w:pStyle w:val="texto0"/>
              <w:ind w:firstLine="0"/>
              <w:jc w:val="center"/>
              <w:rPr>
                <w:rFonts w:ascii="Verdana" w:hAnsi="Verdana"/>
                <w:color w:val="000000"/>
                <w:sz w:val="16"/>
                <w:szCs w:val="16"/>
              </w:rPr>
            </w:pPr>
            <w:r w:rsidRPr="00F01347">
              <w:rPr>
                <w:rFonts w:ascii="Verdana" w:hAnsi="Verdana"/>
                <w:color w:val="000000"/>
                <w:sz w:val="16"/>
                <w:szCs w:val="16"/>
              </w:rPr>
              <w:t>Na</w:t>
            </w:r>
            <w:r w:rsidRPr="00F01347">
              <w:rPr>
                <w:rFonts w:ascii="Verdana" w:hAnsi="Verdana"/>
                <w:color w:val="000000"/>
                <w:sz w:val="16"/>
                <w:szCs w:val="16"/>
                <w:vertAlign w:val="subscript"/>
              </w:rPr>
              <w:t>2</w:t>
            </w:r>
            <w:r w:rsidRPr="00F01347">
              <w:rPr>
                <w:rFonts w:ascii="Verdana" w:hAnsi="Verdana"/>
                <w:color w:val="000000"/>
                <w:sz w:val="16"/>
                <w:szCs w:val="16"/>
              </w:rPr>
              <w:t>[</w:t>
            </w:r>
            <w:proofErr w:type="gramStart"/>
            <w:r w:rsidRPr="00F01347">
              <w:rPr>
                <w:rFonts w:ascii="Verdana" w:hAnsi="Verdana"/>
                <w:color w:val="000000"/>
                <w:sz w:val="16"/>
                <w:szCs w:val="16"/>
              </w:rPr>
              <w:t>Fe(</w:t>
            </w:r>
            <w:proofErr w:type="gramEnd"/>
            <w:r w:rsidRPr="00F01347">
              <w:rPr>
                <w:rFonts w:ascii="Verdana" w:hAnsi="Verdana"/>
                <w:color w:val="000000"/>
                <w:sz w:val="16"/>
                <w:szCs w:val="16"/>
              </w:rPr>
              <w:t>CN)</w:t>
            </w:r>
            <w:r w:rsidRPr="00F01347">
              <w:rPr>
                <w:rFonts w:ascii="Verdana" w:hAnsi="Verdana"/>
                <w:color w:val="000000"/>
                <w:sz w:val="16"/>
                <w:szCs w:val="16"/>
                <w:vertAlign w:val="subscript"/>
              </w:rPr>
              <w:t>5</w:t>
            </w:r>
            <w:r w:rsidRPr="00F01347">
              <w:rPr>
                <w:rFonts w:ascii="Verdana" w:hAnsi="Verdana"/>
                <w:color w:val="000000"/>
                <w:sz w:val="16"/>
                <w:szCs w:val="16"/>
              </w:rPr>
              <w:t>NO] • 2H</w:t>
            </w:r>
            <w:r w:rsidRPr="00F01347">
              <w:rPr>
                <w:rFonts w:ascii="Verdana" w:hAnsi="Verdana"/>
                <w:color w:val="000000"/>
                <w:sz w:val="16"/>
                <w:szCs w:val="16"/>
                <w:vertAlign w:val="subscript"/>
              </w:rPr>
              <w:t>2</w:t>
            </w:r>
            <w:r w:rsidRPr="00F01347">
              <w:rPr>
                <w:rFonts w:ascii="Verdana" w:hAnsi="Verdana"/>
                <w:color w:val="000000"/>
                <w:sz w:val="16"/>
                <w:szCs w:val="16"/>
              </w:rPr>
              <w:t>O</w:t>
            </w:r>
          </w:p>
        </w:tc>
        <w:tc>
          <w:tcPr>
            <w:tcW w:w="1498" w:type="dxa"/>
            <w:tcBorders>
              <w:top w:val="single" w:sz="6" w:space="0" w:color="auto"/>
              <w:left w:val="single" w:sz="6" w:space="0" w:color="auto"/>
              <w:bottom w:val="single" w:sz="6" w:space="0" w:color="auto"/>
              <w:right w:val="single" w:sz="6" w:space="0" w:color="auto"/>
            </w:tcBorders>
            <w:hideMark/>
          </w:tcPr>
          <w:p w14:paraId="583BD7A4"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297.95</w:t>
            </w:r>
          </w:p>
        </w:tc>
        <w:tc>
          <w:tcPr>
            <w:tcW w:w="1362" w:type="dxa"/>
            <w:tcBorders>
              <w:top w:val="single" w:sz="6" w:space="0" w:color="auto"/>
              <w:left w:val="single" w:sz="6" w:space="0" w:color="auto"/>
              <w:bottom w:val="single" w:sz="6" w:space="0" w:color="auto"/>
              <w:right w:val="single" w:sz="6" w:space="0" w:color="auto"/>
            </w:tcBorders>
            <w:hideMark/>
          </w:tcPr>
          <w:p w14:paraId="0ACCA139"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13755-38-9</w:t>
            </w:r>
          </w:p>
        </w:tc>
      </w:tr>
      <w:tr w:rsidR="006844B7" w:rsidRPr="00F01347" w14:paraId="300EBDD2" w14:textId="77777777" w:rsidTr="006844B7">
        <w:trPr>
          <w:trHeight w:val="20"/>
        </w:trPr>
        <w:tc>
          <w:tcPr>
            <w:tcW w:w="3680" w:type="dxa"/>
            <w:tcBorders>
              <w:top w:val="single" w:sz="6" w:space="0" w:color="auto"/>
              <w:left w:val="single" w:sz="6" w:space="0" w:color="auto"/>
              <w:bottom w:val="single" w:sz="6" w:space="0" w:color="auto"/>
              <w:right w:val="single" w:sz="6" w:space="0" w:color="auto"/>
            </w:tcBorders>
            <w:hideMark/>
          </w:tcPr>
          <w:p w14:paraId="450291B2"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concentrated sulfuric acid</w:t>
            </w:r>
          </w:p>
        </w:tc>
        <w:tc>
          <w:tcPr>
            <w:tcW w:w="2175" w:type="dxa"/>
            <w:tcBorders>
              <w:top w:val="single" w:sz="6" w:space="0" w:color="auto"/>
              <w:left w:val="single" w:sz="6" w:space="0" w:color="auto"/>
              <w:bottom w:val="single" w:sz="6" w:space="0" w:color="auto"/>
              <w:right w:val="single" w:sz="6" w:space="0" w:color="auto"/>
            </w:tcBorders>
          </w:tcPr>
          <w:p w14:paraId="0E9C30CF" w14:textId="3D79B0F2"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rPr>
              <w:t>H</w:t>
            </w:r>
            <w:r w:rsidRPr="00F01347">
              <w:rPr>
                <w:rFonts w:ascii="Verdana" w:hAnsi="Verdana"/>
                <w:color w:val="000000"/>
                <w:sz w:val="16"/>
                <w:szCs w:val="16"/>
                <w:vertAlign w:val="subscript"/>
              </w:rPr>
              <w:t>2</w:t>
            </w:r>
            <w:r w:rsidRPr="00F01347">
              <w:rPr>
                <w:rFonts w:ascii="Verdana" w:hAnsi="Verdana"/>
                <w:color w:val="000000"/>
                <w:sz w:val="16"/>
                <w:szCs w:val="16"/>
              </w:rPr>
              <w:t>SO</w:t>
            </w:r>
            <w:r w:rsidRPr="00F01347">
              <w:rPr>
                <w:rFonts w:ascii="Verdana" w:hAnsi="Verdana"/>
                <w:color w:val="000000"/>
                <w:sz w:val="16"/>
                <w:szCs w:val="16"/>
                <w:vertAlign w:val="subscript"/>
              </w:rPr>
              <w:t>4</w:t>
            </w:r>
          </w:p>
        </w:tc>
        <w:tc>
          <w:tcPr>
            <w:tcW w:w="1498" w:type="dxa"/>
            <w:tcBorders>
              <w:top w:val="single" w:sz="6" w:space="0" w:color="auto"/>
              <w:left w:val="single" w:sz="6" w:space="0" w:color="auto"/>
              <w:bottom w:val="single" w:sz="6" w:space="0" w:color="auto"/>
              <w:right w:val="single" w:sz="6" w:space="0" w:color="auto"/>
            </w:tcBorders>
            <w:hideMark/>
          </w:tcPr>
          <w:p w14:paraId="19093232"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98.08</w:t>
            </w:r>
          </w:p>
        </w:tc>
        <w:tc>
          <w:tcPr>
            <w:tcW w:w="1362" w:type="dxa"/>
            <w:tcBorders>
              <w:top w:val="single" w:sz="6" w:space="0" w:color="auto"/>
              <w:left w:val="single" w:sz="6" w:space="0" w:color="auto"/>
              <w:bottom w:val="single" w:sz="6" w:space="0" w:color="auto"/>
              <w:right w:val="single" w:sz="6" w:space="0" w:color="auto"/>
            </w:tcBorders>
            <w:hideMark/>
          </w:tcPr>
          <w:p w14:paraId="10D75619"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7664-93-9</w:t>
            </w:r>
          </w:p>
        </w:tc>
      </w:tr>
      <w:tr w:rsidR="006844B7" w:rsidRPr="00F01347" w14:paraId="0384AFD6" w14:textId="77777777" w:rsidTr="006844B7">
        <w:trPr>
          <w:trHeight w:val="20"/>
        </w:trPr>
        <w:tc>
          <w:tcPr>
            <w:tcW w:w="3680" w:type="dxa"/>
            <w:tcBorders>
              <w:top w:val="single" w:sz="6" w:space="0" w:color="auto"/>
              <w:left w:val="single" w:sz="6" w:space="0" w:color="auto"/>
              <w:bottom w:val="single" w:sz="6" w:space="0" w:color="auto"/>
              <w:right w:val="single" w:sz="6" w:space="0" w:color="auto"/>
            </w:tcBorders>
            <w:hideMark/>
          </w:tcPr>
          <w:p w14:paraId="4094F8BB"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Potassium chloride</w:t>
            </w:r>
          </w:p>
        </w:tc>
        <w:tc>
          <w:tcPr>
            <w:tcW w:w="2175" w:type="dxa"/>
            <w:tcBorders>
              <w:top w:val="single" w:sz="6" w:space="0" w:color="auto"/>
              <w:left w:val="single" w:sz="6" w:space="0" w:color="auto"/>
              <w:bottom w:val="single" w:sz="6" w:space="0" w:color="auto"/>
              <w:right w:val="single" w:sz="6" w:space="0" w:color="auto"/>
            </w:tcBorders>
          </w:tcPr>
          <w:p w14:paraId="2E16F6CD" w14:textId="00861ACB"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rPr>
              <w:t>KCl</w:t>
            </w:r>
          </w:p>
        </w:tc>
        <w:tc>
          <w:tcPr>
            <w:tcW w:w="1498" w:type="dxa"/>
            <w:tcBorders>
              <w:top w:val="single" w:sz="6" w:space="0" w:color="auto"/>
              <w:left w:val="single" w:sz="6" w:space="0" w:color="auto"/>
              <w:bottom w:val="single" w:sz="6" w:space="0" w:color="auto"/>
              <w:right w:val="single" w:sz="6" w:space="0" w:color="auto"/>
            </w:tcBorders>
            <w:hideMark/>
          </w:tcPr>
          <w:p w14:paraId="4206DA48"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74.55</w:t>
            </w:r>
          </w:p>
        </w:tc>
        <w:tc>
          <w:tcPr>
            <w:tcW w:w="1362" w:type="dxa"/>
            <w:tcBorders>
              <w:top w:val="single" w:sz="6" w:space="0" w:color="auto"/>
              <w:left w:val="single" w:sz="6" w:space="0" w:color="auto"/>
              <w:bottom w:val="single" w:sz="6" w:space="0" w:color="auto"/>
              <w:right w:val="single" w:sz="6" w:space="0" w:color="auto"/>
            </w:tcBorders>
            <w:hideMark/>
          </w:tcPr>
          <w:p w14:paraId="1BF0E4C2"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7447-40-7</w:t>
            </w:r>
          </w:p>
        </w:tc>
      </w:tr>
      <w:tr w:rsidR="006844B7" w:rsidRPr="00F01347" w14:paraId="2CA9FC94" w14:textId="77777777" w:rsidTr="006844B7">
        <w:trPr>
          <w:trHeight w:val="20"/>
        </w:trPr>
        <w:tc>
          <w:tcPr>
            <w:tcW w:w="3680" w:type="dxa"/>
            <w:tcBorders>
              <w:top w:val="single" w:sz="6" w:space="0" w:color="auto"/>
              <w:left w:val="single" w:sz="6" w:space="0" w:color="auto"/>
              <w:bottom w:val="single" w:sz="6" w:space="0" w:color="auto"/>
              <w:right w:val="single" w:sz="6" w:space="0" w:color="auto"/>
            </w:tcBorders>
            <w:hideMark/>
          </w:tcPr>
          <w:p w14:paraId="145A518D" w14:textId="53987EE0"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Brij </w:t>
            </w:r>
            <w:r w:rsidRPr="00F01347">
              <w:rPr>
                <w:rFonts w:ascii="Verdana" w:hAnsi="Verdana"/>
                <w:b/>
                <w:noProof/>
                <w:sz w:val="16"/>
                <w:szCs w:val="16"/>
                <w:lang w:val="en-US"/>
              </w:rPr>
              <w:drawing>
                <wp:inline distT="0" distB="0" distL="0" distR="0" wp14:anchorId="61042C34" wp14:editId="1BCAF151">
                  <wp:extent cx="95250" cy="95250"/>
                  <wp:effectExtent l="0" t="0" r="0" b="0"/>
                  <wp:docPr id="1768247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01347">
              <w:rPr>
                <w:rFonts w:ascii="Verdana" w:hAnsi="Verdana"/>
                <w:color w:val="000000"/>
                <w:sz w:val="16"/>
                <w:szCs w:val="16"/>
                <w:lang w:val="en-US"/>
              </w:rPr>
              <w:t>-35 (21 or 30% w/v solution)</w:t>
            </w:r>
          </w:p>
        </w:tc>
        <w:tc>
          <w:tcPr>
            <w:tcW w:w="2175" w:type="dxa"/>
            <w:tcBorders>
              <w:top w:val="single" w:sz="6" w:space="0" w:color="auto"/>
              <w:left w:val="single" w:sz="6" w:space="0" w:color="auto"/>
              <w:bottom w:val="single" w:sz="6" w:space="0" w:color="auto"/>
              <w:right w:val="single" w:sz="6" w:space="0" w:color="auto"/>
            </w:tcBorders>
          </w:tcPr>
          <w:p w14:paraId="67F75986" w14:textId="33BEA049"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rPr>
              <w:t>---</w:t>
            </w:r>
          </w:p>
        </w:tc>
        <w:tc>
          <w:tcPr>
            <w:tcW w:w="1498" w:type="dxa"/>
            <w:tcBorders>
              <w:top w:val="single" w:sz="6" w:space="0" w:color="auto"/>
              <w:left w:val="single" w:sz="6" w:space="0" w:color="auto"/>
              <w:bottom w:val="single" w:sz="6" w:space="0" w:color="auto"/>
              <w:right w:val="single" w:sz="6" w:space="0" w:color="auto"/>
            </w:tcBorders>
            <w:hideMark/>
          </w:tcPr>
          <w:p w14:paraId="17325894"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w:t>
            </w:r>
          </w:p>
        </w:tc>
        <w:tc>
          <w:tcPr>
            <w:tcW w:w="1362" w:type="dxa"/>
            <w:tcBorders>
              <w:top w:val="single" w:sz="6" w:space="0" w:color="auto"/>
              <w:left w:val="single" w:sz="6" w:space="0" w:color="auto"/>
              <w:bottom w:val="single" w:sz="6" w:space="0" w:color="auto"/>
              <w:right w:val="single" w:sz="6" w:space="0" w:color="auto"/>
            </w:tcBorders>
            <w:hideMark/>
          </w:tcPr>
          <w:p w14:paraId="017CD2A7" w14:textId="1C0347FD"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A21-0110-33</w:t>
            </w:r>
            <w:r w:rsidRPr="00F01347">
              <w:rPr>
                <w:rFonts w:ascii="Verdana" w:hAnsi="Verdana"/>
                <w:color w:val="000000"/>
                <w:sz w:val="16"/>
                <w:szCs w:val="16"/>
                <w:vertAlign w:val="superscript"/>
                <w:lang w:val="en-US"/>
              </w:rPr>
              <w:t>a</w:t>
            </w:r>
          </w:p>
        </w:tc>
      </w:tr>
      <w:tr w:rsidR="006844B7" w:rsidRPr="00F01347" w14:paraId="71DE18C4" w14:textId="77777777" w:rsidTr="006844B7">
        <w:trPr>
          <w:trHeight w:val="20"/>
        </w:trPr>
        <w:tc>
          <w:tcPr>
            <w:tcW w:w="3680" w:type="dxa"/>
            <w:tcBorders>
              <w:top w:val="single" w:sz="6" w:space="0" w:color="auto"/>
              <w:left w:val="single" w:sz="6" w:space="0" w:color="auto"/>
              <w:bottom w:val="single" w:sz="6" w:space="0" w:color="auto"/>
              <w:right w:val="single" w:sz="6" w:space="0" w:color="auto"/>
            </w:tcBorders>
            <w:hideMark/>
          </w:tcPr>
          <w:p w14:paraId="104B7E2E"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Deionized water</w:t>
            </w:r>
          </w:p>
        </w:tc>
        <w:tc>
          <w:tcPr>
            <w:tcW w:w="2175" w:type="dxa"/>
            <w:tcBorders>
              <w:top w:val="single" w:sz="6" w:space="0" w:color="auto"/>
              <w:left w:val="single" w:sz="6" w:space="0" w:color="auto"/>
              <w:bottom w:val="single" w:sz="6" w:space="0" w:color="auto"/>
              <w:right w:val="single" w:sz="6" w:space="0" w:color="auto"/>
            </w:tcBorders>
          </w:tcPr>
          <w:p w14:paraId="3B346378" w14:textId="3317CF63"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rPr>
              <w:t>H</w:t>
            </w:r>
            <w:r w:rsidRPr="00F01347">
              <w:rPr>
                <w:rFonts w:ascii="Verdana" w:hAnsi="Verdana"/>
                <w:color w:val="000000"/>
                <w:sz w:val="16"/>
                <w:szCs w:val="16"/>
                <w:vertAlign w:val="subscript"/>
              </w:rPr>
              <w:t>2</w:t>
            </w:r>
            <w:r w:rsidRPr="00F01347">
              <w:rPr>
                <w:rFonts w:ascii="Verdana" w:hAnsi="Verdana"/>
                <w:color w:val="000000"/>
                <w:sz w:val="16"/>
                <w:szCs w:val="16"/>
              </w:rPr>
              <w:t>O</w:t>
            </w:r>
          </w:p>
        </w:tc>
        <w:tc>
          <w:tcPr>
            <w:tcW w:w="1498" w:type="dxa"/>
            <w:tcBorders>
              <w:top w:val="single" w:sz="6" w:space="0" w:color="auto"/>
              <w:left w:val="single" w:sz="6" w:space="0" w:color="auto"/>
              <w:bottom w:val="single" w:sz="6" w:space="0" w:color="auto"/>
              <w:right w:val="single" w:sz="6" w:space="0" w:color="auto"/>
            </w:tcBorders>
            <w:hideMark/>
          </w:tcPr>
          <w:p w14:paraId="63D8CFFD"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18</w:t>
            </w:r>
          </w:p>
        </w:tc>
        <w:tc>
          <w:tcPr>
            <w:tcW w:w="1362" w:type="dxa"/>
            <w:tcBorders>
              <w:top w:val="single" w:sz="6" w:space="0" w:color="auto"/>
              <w:left w:val="single" w:sz="6" w:space="0" w:color="auto"/>
              <w:bottom w:val="single" w:sz="6" w:space="0" w:color="auto"/>
              <w:right w:val="single" w:sz="6" w:space="0" w:color="auto"/>
            </w:tcBorders>
            <w:hideMark/>
          </w:tcPr>
          <w:p w14:paraId="0FB019E5"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7732-18-5</w:t>
            </w:r>
          </w:p>
        </w:tc>
      </w:tr>
      <w:tr w:rsidR="006844B7" w:rsidRPr="00F01347" w14:paraId="502133BB" w14:textId="77777777" w:rsidTr="006844B7">
        <w:trPr>
          <w:trHeight w:val="20"/>
        </w:trPr>
        <w:tc>
          <w:tcPr>
            <w:tcW w:w="3680" w:type="dxa"/>
            <w:tcBorders>
              <w:top w:val="single" w:sz="6" w:space="0" w:color="auto"/>
              <w:left w:val="single" w:sz="6" w:space="0" w:color="auto"/>
              <w:bottom w:val="single" w:sz="6" w:space="0" w:color="auto"/>
              <w:right w:val="single" w:sz="6" w:space="0" w:color="auto"/>
            </w:tcBorders>
            <w:hideMark/>
          </w:tcPr>
          <w:p w14:paraId="70690858"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Sodium thiosulfate pentahydrate</w:t>
            </w:r>
          </w:p>
        </w:tc>
        <w:tc>
          <w:tcPr>
            <w:tcW w:w="2175" w:type="dxa"/>
            <w:tcBorders>
              <w:top w:val="single" w:sz="6" w:space="0" w:color="auto"/>
              <w:left w:val="single" w:sz="6" w:space="0" w:color="auto"/>
              <w:bottom w:val="single" w:sz="6" w:space="0" w:color="auto"/>
              <w:right w:val="single" w:sz="6" w:space="0" w:color="auto"/>
            </w:tcBorders>
          </w:tcPr>
          <w:p w14:paraId="0871FC9A" w14:textId="337BD72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rPr>
              <w:t>Na</w:t>
            </w:r>
            <w:r w:rsidRPr="00F01347">
              <w:rPr>
                <w:rFonts w:ascii="Verdana" w:hAnsi="Verdana"/>
                <w:color w:val="000000"/>
                <w:sz w:val="16"/>
                <w:szCs w:val="16"/>
                <w:vertAlign w:val="subscript"/>
              </w:rPr>
              <w:t>2</w:t>
            </w:r>
            <w:r w:rsidRPr="00F01347">
              <w:rPr>
                <w:rFonts w:ascii="Verdana" w:hAnsi="Verdana"/>
                <w:color w:val="000000"/>
                <w:sz w:val="16"/>
                <w:szCs w:val="16"/>
              </w:rPr>
              <w:t>S</w:t>
            </w:r>
            <w:r w:rsidRPr="00F01347">
              <w:rPr>
                <w:rFonts w:ascii="Verdana" w:hAnsi="Verdana"/>
                <w:color w:val="000000"/>
                <w:sz w:val="16"/>
                <w:szCs w:val="16"/>
                <w:vertAlign w:val="subscript"/>
              </w:rPr>
              <w:t>2</w:t>
            </w:r>
            <w:r w:rsidRPr="00F01347">
              <w:rPr>
                <w:rFonts w:ascii="Verdana" w:hAnsi="Verdana"/>
                <w:color w:val="000000"/>
                <w:sz w:val="16"/>
                <w:szCs w:val="16"/>
              </w:rPr>
              <w:t>O</w:t>
            </w:r>
            <w:r w:rsidRPr="00F01347">
              <w:rPr>
                <w:rFonts w:ascii="Verdana" w:hAnsi="Verdana"/>
                <w:color w:val="000000"/>
                <w:sz w:val="16"/>
                <w:szCs w:val="16"/>
                <w:vertAlign w:val="subscript"/>
              </w:rPr>
              <w:t>3</w:t>
            </w:r>
            <w:r w:rsidRPr="00F01347">
              <w:rPr>
                <w:rFonts w:ascii="Verdana" w:hAnsi="Verdana"/>
                <w:color w:val="000000"/>
                <w:sz w:val="16"/>
                <w:szCs w:val="16"/>
              </w:rPr>
              <w:t xml:space="preserve"> * 5 H</w:t>
            </w:r>
            <w:r w:rsidRPr="00F01347">
              <w:rPr>
                <w:rFonts w:ascii="Verdana" w:hAnsi="Verdana"/>
                <w:color w:val="000000"/>
                <w:sz w:val="16"/>
                <w:szCs w:val="16"/>
                <w:vertAlign w:val="subscript"/>
              </w:rPr>
              <w:t>2</w:t>
            </w:r>
            <w:r w:rsidRPr="00F01347">
              <w:rPr>
                <w:rFonts w:ascii="Verdana" w:hAnsi="Verdana"/>
                <w:color w:val="000000"/>
                <w:sz w:val="16"/>
                <w:szCs w:val="16"/>
              </w:rPr>
              <w:t>O</w:t>
            </w:r>
          </w:p>
        </w:tc>
        <w:tc>
          <w:tcPr>
            <w:tcW w:w="1498" w:type="dxa"/>
            <w:tcBorders>
              <w:top w:val="single" w:sz="6" w:space="0" w:color="auto"/>
              <w:left w:val="single" w:sz="6" w:space="0" w:color="auto"/>
              <w:bottom w:val="single" w:sz="6" w:space="0" w:color="auto"/>
              <w:right w:val="single" w:sz="6" w:space="0" w:color="auto"/>
            </w:tcBorders>
            <w:hideMark/>
          </w:tcPr>
          <w:p w14:paraId="17F45153"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248.19</w:t>
            </w:r>
          </w:p>
        </w:tc>
        <w:tc>
          <w:tcPr>
            <w:tcW w:w="1362" w:type="dxa"/>
            <w:tcBorders>
              <w:top w:val="single" w:sz="6" w:space="0" w:color="auto"/>
              <w:left w:val="single" w:sz="6" w:space="0" w:color="auto"/>
              <w:bottom w:val="single" w:sz="6" w:space="0" w:color="auto"/>
              <w:right w:val="single" w:sz="6" w:space="0" w:color="auto"/>
            </w:tcBorders>
            <w:hideMark/>
          </w:tcPr>
          <w:p w14:paraId="12E0AB88" w14:textId="77777777" w:rsidR="006844B7" w:rsidRPr="00F01347" w:rsidRDefault="006844B7" w:rsidP="006844B7">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10102-17-7</w:t>
            </w:r>
          </w:p>
        </w:tc>
      </w:tr>
      <w:tr w:rsidR="006844B7" w:rsidRPr="00F01347" w14:paraId="06454F8B" w14:textId="77777777" w:rsidTr="006844B7">
        <w:trPr>
          <w:trHeight w:val="20"/>
        </w:trPr>
        <w:tc>
          <w:tcPr>
            <w:tcW w:w="8715" w:type="dxa"/>
            <w:gridSpan w:val="4"/>
            <w:tcBorders>
              <w:top w:val="single" w:sz="6" w:space="0" w:color="auto"/>
              <w:left w:val="nil"/>
              <w:bottom w:val="nil"/>
              <w:right w:val="nil"/>
            </w:tcBorders>
            <w:hideMark/>
          </w:tcPr>
          <w:p w14:paraId="24CA7709" w14:textId="430ABDAF" w:rsidR="006844B7" w:rsidRPr="00F01347" w:rsidRDefault="006844B7" w:rsidP="006844B7">
            <w:pPr>
              <w:pStyle w:val="texto0"/>
              <w:ind w:firstLine="0"/>
              <w:rPr>
                <w:rFonts w:ascii="Verdana" w:hAnsi="Verdana"/>
                <w:color w:val="000000"/>
                <w:sz w:val="16"/>
                <w:szCs w:val="16"/>
                <w:lang w:val="en-US"/>
              </w:rPr>
            </w:pPr>
            <w:r w:rsidRPr="00F01347">
              <w:rPr>
                <w:rFonts w:ascii="Verdana" w:hAnsi="Verdana"/>
                <w:sz w:val="16"/>
                <w:szCs w:val="16"/>
                <w:vertAlign w:val="superscript"/>
                <w:lang w:val="en-US"/>
              </w:rPr>
              <w:lastRenderedPageBreak/>
              <w:t xml:space="preserve">a </w:t>
            </w:r>
            <w:r w:rsidRPr="00F01347">
              <w:rPr>
                <w:rFonts w:ascii="Verdana" w:hAnsi="Verdana"/>
                <w:sz w:val="16"/>
                <w:szCs w:val="16"/>
                <w:lang w:val="en-US"/>
              </w:rPr>
              <w:t>Distributor part number (</w:t>
            </w:r>
            <w:proofErr w:type="spellStart"/>
            <w:r w:rsidRPr="00F01347">
              <w:rPr>
                <w:rFonts w:ascii="Verdana" w:hAnsi="Verdana"/>
                <w:sz w:val="16"/>
                <w:szCs w:val="16"/>
                <w:lang w:val="en-US"/>
              </w:rPr>
              <w:t>Ezkem</w:t>
            </w:r>
            <w:proofErr w:type="spellEnd"/>
            <w:r w:rsidRPr="00F01347">
              <w:rPr>
                <w:rFonts w:ascii="Verdana" w:hAnsi="Verdana"/>
                <w:sz w:val="16"/>
                <w:szCs w:val="16"/>
                <w:lang w:val="en-US"/>
              </w:rPr>
              <w:t>). 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bl>
    <w:p w14:paraId="11C4BED9" w14:textId="77777777" w:rsidR="005F282B" w:rsidRPr="00F01347" w:rsidRDefault="005F282B" w:rsidP="003A601B">
      <w:pPr>
        <w:pStyle w:val="texto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F282B" w:rsidRPr="00F01347" w14:paraId="1A268843" w14:textId="1583B583" w:rsidTr="008468D4">
        <w:tc>
          <w:tcPr>
            <w:tcW w:w="4675" w:type="dxa"/>
          </w:tcPr>
          <w:p w14:paraId="7E5B9315" w14:textId="77777777" w:rsidR="005F282B" w:rsidRPr="00F01347" w:rsidRDefault="005F282B" w:rsidP="005F282B">
            <w:pPr>
              <w:pStyle w:val="texto0"/>
              <w:ind w:firstLine="0"/>
              <w:rPr>
                <w:rFonts w:ascii="Verdana" w:hAnsi="Verdana"/>
                <w:sz w:val="16"/>
                <w:szCs w:val="16"/>
              </w:rPr>
            </w:pPr>
            <w:r w:rsidRPr="00F01347">
              <w:rPr>
                <w:rFonts w:ascii="Verdana" w:hAnsi="Verdana"/>
                <w:b/>
                <w:sz w:val="16"/>
                <w:szCs w:val="16"/>
              </w:rPr>
              <w:t>B.7.4.6.2 Preparación de reactivos</w:t>
            </w:r>
          </w:p>
        </w:tc>
        <w:tc>
          <w:tcPr>
            <w:tcW w:w="4675" w:type="dxa"/>
          </w:tcPr>
          <w:p w14:paraId="78D70D85" w14:textId="6E672282" w:rsidR="005F282B" w:rsidRPr="00F01347" w:rsidRDefault="005F282B" w:rsidP="005F282B">
            <w:pPr>
              <w:pStyle w:val="texto0"/>
              <w:ind w:firstLine="0"/>
              <w:rPr>
                <w:rFonts w:ascii="Verdana" w:hAnsi="Verdana"/>
                <w:b/>
                <w:sz w:val="16"/>
                <w:szCs w:val="16"/>
                <w:lang w:val="en-US"/>
              </w:rPr>
            </w:pPr>
            <w:r w:rsidRPr="00F01347">
              <w:rPr>
                <w:rFonts w:ascii="Verdana" w:hAnsi="Verdana"/>
                <w:b/>
                <w:sz w:val="16"/>
                <w:szCs w:val="16"/>
                <w:lang w:val="en-US"/>
              </w:rPr>
              <w:t>B.7.4.6.2 Preparation of reagents</w:t>
            </w:r>
          </w:p>
        </w:tc>
      </w:tr>
      <w:tr w:rsidR="005F282B" w:rsidRPr="00F01347" w14:paraId="493BE586" w14:textId="3FA53AE4" w:rsidTr="008468D4">
        <w:tc>
          <w:tcPr>
            <w:tcW w:w="4675" w:type="dxa"/>
          </w:tcPr>
          <w:p w14:paraId="53464117" w14:textId="77777777" w:rsidR="005F282B" w:rsidRPr="00F01347" w:rsidRDefault="005F282B" w:rsidP="005F282B">
            <w:pPr>
              <w:pStyle w:val="texto0"/>
              <w:ind w:firstLine="0"/>
              <w:rPr>
                <w:rFonts w:ascii="Verdana" w:hAnsi="Verdana"/>
                <w:sz w:val="16"/>
                <w:szCs w:val="16"/>
              </w:rPr>
            </w:pPr>
            <w:r w:rsidRPr="00F01347">
              <w:rPr>
                <w:rFonts w:ascii="Verdana" w:hAnsi="Verdana"/>
                <w:sz w:val="16"/>
                <w:szCs w:val="16"/>
              </w:rPr>
              <w:t>Para mejores resultados, filtrar con membrana de 0.45µm todas las disoluciones de los reactivos preparados antes de usarlos. Se puede hacer uso de agua tipo I y desgasificada, para la obtención de mejores resultados.</w:t>
            </w:r>
          </w:p>
        </w:tc>
        <w:tc>
          <w:tcPr>
            <w:tcW w:w="4675" w:type="dxa"/>
          </w:tcPr>
          <w:p w14:paraId="40D12162" w14:textId="340E6F52" w:rsidR="005F282B" w:rsidRPr="00F01347" w:rsidRDefault="005F282B" w:rsidP="005F282B">
            <w:pPr>
              <w:pStyle w:val="texto0"/>
              <w:ind w:firstLine="0"/>
              <w:rPr>
                <w:rFonts w:ascii="Verdana" w:hAnsi="Verdana"/>
                <w:sz w:val="16"/>
                <w:szCs w:val="16"/>
                <w:lang w:val="en-US"/>
              </w:rPr>
            </w:pPr>
            <w:r w:rsidRPr="00F01347">
              <w:rPr>
                <w:rFonts w:ascii="Verdana" w:hAnsi="Verdana"/>
                <w:sz w:val="16"/>
                <w:szCs w:val="16"/>
                <w:lang w:val="en-US"/>
              </w:rPr>
              <w:t xml:space="preserve">For best results, filter all solutions of the prepared reagents with a 0.45µm membrane before using them. </w:t>
            </w:r>
            <w:r w:rsidR="004A6BE5" w:rsidRPr="00F01347">
              <w:rPr>
                <w:rFonts w:ascii="Verdana" w:hAnsi="Verdana"/>
                <w:sz w:val="16"/>
                <w:szCs w:val="16"/>
                <w:lang w:val="en-US"/>
              </w:rPr>
              <w:t>One</w:t>
            </w:r>
            <w:r w:rsidRPr="00F01347">
              <w:rPr>
                <w:rFonts w:ascii="Verdana" w:hAnsi="Verdana"/>
                <w:sz w:val="16"/>
                <w:szCs w:val="16"/>
                <w:lang w:val="en-US"/>
              </w:rPr>
              <w:t xml:space="preserve"> can use type I and degassed water to obtain better results.</w:t>
            </w:r>
          </w:p>
        </w:tc>
      </w:tr>
      <w:tr w:rsidR="005F282B" w:rsidRPr="00F01347" w14:paraId="6BDC4A7D" w14:textId="119DA613" w:rsidTr="008468D4">
        <w:tc>
          <w:tcPr>
            <w:tcW w:w="4675" w:type="dxa"/>
          </w:tcPr>
          <w:p w14:paraId="19E11B2D" w14:textId="77777777" w:rsidR="005F282B" w:rsidRPr="00F01347" w:rsidRDefault="005F282B" w:rsidP="005F282B">
            <w:pPr>
              <w:pStyle w:val="texto0"/>
              <w:ind w:firstLine="0"/>
              <w:rPr>
                <w:rFonts w:ascii="Verdana" w:hAnsi="Verdana"/>
                <w:sz w:val="16"/>
                <w:szCs w:val="16"/>
              </w:rPr>
            </w:pPr>
            <w:r w:rsidRPr="00F01347">
              <w:rPr>
                <w:rFonts w:ascii="Verdana" w:hAnsi="Verdana"/>
                <w:b/>
                <w:sz w:val="16"/>
                <w:szCs w:val="16"/>
              </w:rPr>
              <w:t xml:space="preserve">B.7.4.6.2.1 </w:t>
            </w:r>
            <w:r w:rsidRPr="00F01347">
              <w:rPr>
                <w:rFonts w:ascii="Verdana" w:hAnsi="Verdana"/>
                <w:sz w:val="16"/>
                <w:szCs w:val="16"/>
              </w:rPr>
              <w:t>Agua reactivo.</w:t>
            </w:r>
          </w:p>
        </w:tc>
        <w:tc>
          <w:tcPr>
            <w:tcW w:w="4675" w:type="dxa"/>
          </w:tcPr>
          <w:p w14:paraId="67F8F2A7" w14:textId="791A5076" w:rsidR="005F282B" w:rsidRPr="00F01347" w:rsidRDefault="005F282B" w:rsidP="005F282B">
            <w:pPr>
              <w:pStyle w:val="texto0"/>
              <w:ind w:firstLine="0"/>
              <w:rPr>
                <w:rFonts w:ascii="Verdana" w:hAnsi="Verdana"/>
                <w:b/>
                <w:sz w:val="16"/>
                <w:szCs w:val="16"/>
                <w:lang w:val="en-US"/>
              </w:rPr>
            </w:pPr>
            <w:r w:rsidRPr="00F01347">
              <w:rPr>
                <w:rFonts w:ascii="Verdana" w:hAnsi="Verdana"/>
                <w:b/>
                <w:sz w:val="16"/>
                <w:szCs w:val="16"/>
                <w:lang w:val="en-US"/>
              </w:rPr>
              <w:t xml:space="preserve">B.7.4.6.2.1 </w:t>
            </w:r>
            <w:r w:rsidRPr="00F01347">
              <w:rPr>
                <w:rFonts w:ascii="Verdana" w:hAnsi="Verdana"/>
                <w:sz w:val="16"/>
                <w:szCs w:val="16"/>
                <w:lang w:val="en-US"/>
              </w:rPr>
              <w:t>Reagent water.</w:t>
            </w:r>
          </w:p>
        </w:tc>
      </w:tr>
      <w:tr w:rsidR="005F282B" w:rsidRPr="00F01347" w14:paraId="2F879583" w14:textId="7F2DC930" w:rsidTr="008468D4">
        <w:tc>
          <w:tcPr>
            <w:tcW w:w="4675" w:type="dxa"/>
          </w:tcPr>
          <w:p w14:paraId="7D227FA3" w14:textId="77777777" w:rsidR="005F282B" w:rsidRPr="00F01347" w:rsidRDefault="005F282B" w:rsidP="005F282B">
            <w:pPr>
              <w:pStyle w:val="texto0"/>
              <w:spacing w:line="214" w:lineRule="exact"/>
              <w:ind w:firstLine="0"/>
              <w:rPr>
                <w:rFonts w:ascii="Verdana" w:hAnsi="Verdana"/>
                <w:sz w:val="16"/>
                <w:szCs w:val="16"/>
              </w:rPr>
            </w:pPr>
            <w:r w:rsidRPr="00F01347">
              <w:rPr>
                <w:rFonts w:ascii="Verdana" w:hAnsi="Verdana"/>
                <w:sz w:val="16"/>
                <w:szCs w:val="16"/>
              </w:rPr>
              <w:t xml:space="preserve">Debe ser agua libre de amonio, pH de 5.0 a 8.0 y conductividad máxima de 5 µS/cm a 25ºC. Adicionalmente se puede hacer un tratamiento de desgasificación del agua a utilizar si el analista lo considera prudente con base en el ruido instrumental obtenido en el equipo. (Se sugiere realizar con </w:t>
            </w:r>
            <w:proofErr w:type="gramStart"/>
            <w:r w:rsidRPr="00F01347">
              <w:rPr>
                <w:rFonts w:ascii="Verdana" w:hAnsi="Verdana"/>
                <w:sz w:val="16"/>
                <w:szCs w:val="16"/>
              </w:rPr>
              <w:t>ruido  instrumental</w:t>
            </w:r>
            <w:proofErr w:type="gramEnd"/>
            <w:r w:rsidRPr="00F01347">
              <w:rPr>
                <w:rFonts w:ascii="Verdana" w:hAnsi="Verdana"/>
                <w:sz w:val="16"/>
                <w:szCs w:val="16"/>
              </w:rPr>
              <w:t xml:space="preserve"> &gt; 1000 µ</w:t>
            </w:r>
            <w:proofErr w:type="spellStart"/>
            <w:r w:rsidRPr="00F01347">
              <w:rPr>
                <w:rFonts w:ascii="Verdana" w:hAnsi="Verdana"/>
                <w:sz w:val="16"/>
                <w:szCs w:val="16"/>
              </w:rPr>
              <w:t>uA</w:t>
            </w:r>
            <w:proofErr w:type="spellEnd"/>
            <w:r w:rsidRPr="00F01347">
              <w:rPr>
                <w:rFonts w:ascii="Verdana" w:hAnsi="Verdana"/>
                <w:sz w:val="16"/>
                <w:szCs w:val="16"/>
              </w:rPr>
              <w:t>). La desgasificación puede realizarse a través de someter el agua desionizada a un vacío fuerte durante 15 a 20 minutos; agitar magnéticamente o someter a un ultrasonido por 20 minutos; purgar el agua con nitrógeno gaseoso (u otro gas inerte) con ayuda de un material poroso por 5 minutos o hervir el agua desionizada en un matraz Erlenmeyer por 15 minutos y dejar enfriar a temperatura ambiente cubriendo la boca del matraz con un vaso de precipitados invertido. Una vez desgasificada el agua, guardar en un contenedor cerrado para evitar que absorba gases atmosféricos.</w:t>
            </w:r>
          </w:p>
        </w:tc>
        <w:tc>
          <w:tcPr>
            <w:tcW w:w="4675" w:type="dxa"/>
          </w:tcPr>
          <w:p w14:paraId="1A8C3272" w14:textId="421ADA7D" w:rsidR="005F282B" w:rsidRPr="00F01347" w:rsidRDefault="005F282B" w:rsidP="005F282B">
            <w:pPr>
              <w:pStyle w:val="texto0"/>
              <w:spacing w:line="214" w:lineRule="exact"/>
              <w:ind w:firstLine="0"/>
              <w:rPr>
                <w:rFonts w:ascii="Verdana" w:hAnsi="Verdana"/>
                <w:sz w:val="16"/>
                <w:szCs w:val="16"/>
                <w:lang w:val="en-US"/>
              </w:rPr>
            </w:pPr>
            <w:r w:rsidRPr="00F01347">
              <w:rPr>
                <w:rFonts w:ascii="Verdana" w:hAnsi="Verdana"/>
                <w:sz w:val="16"/>
                <w:szCs w:val="16"/>
                <w:lang w:val="en-US"/>
              </w:rPr>
              <w:t>It must be ammonium-free water, pH of 5.0 to 8.0 and maximum conductivity of 5 µS/cm at 25ºC. Additionally, a degassing treatment of the water to be used can be performed if the analyst considers it prudent based on the instrumental noise obtained in the equipment. (It is suggested to perform with instrumental noise &gt; 1000 µuA</w:t>
            </w:r>
            <w:r w:rsidR="00913802" w:rsidRPr="00F01347">
              <w:rPr>
                <w:rFonts w:ascii="Verdana" w:hAnsi="Verdana"/>
                <w:sz w:val="16"/>
                <w:szCs w:val="16"/>
                <w:lang w:val="en-US"/>
              </w:rPr>
              <w:t>)</w:t>
            </w:r>
            <w:r w:rsidRPr="00F01347">
              <w:rPr>
                <w:rFonts w:ascii="Verdana" w:hAnsi="Verdana"/>
                <w:sz w:val="16"/>
                <w:szCs w:val="16"/>
                <w:lang w:val="en-US"/>
              </w:rPr>
              <w:t xml:space="preserve">. Degassing can be accomplished by subjecting the deionized water to a strong vacuum for 15 to 20 minutes; magnetically stir or ultrasound for 20 minutes; </w:t>
            </w:r>
            <w:r w:rsidR="008468D4" w:rsidRPr="00F01347">
              <w:rPr>
                <w:rFonts w:ascii="Verdana" w:hAnsi="Verdana"/>
                <w:sz w:val="16"/>
                <w:szCs w:val="16"/>
                <w:lang w:val="en-US"/>
              </w:rPr>
              <w:t>p</w:t>
            </w:r>
            <w:r w:rsidRPr="00F01347">
              <w:rPr>
                <w:rFonts w:ascii="Verdana" w:hAnsi="Verdana"/>
                <w:sz w:val="16"/>
                <w:szCs w:val="16"/>
                <w:lang w:val="en-US"/>
              </w:rPr>
              <w:t xml:space="preserve">urge the water with nitrogen gas (or other inert gas) using a porous material for 5 minutes or boil the deionized water in an Erlenmeyer flask for 15 minutes and let it cool to room temperature by covering the mouth of the flask with an inverted </w:t>
            </w:r>
            <w:r w:rsidR="00537371" w:rsidRPr="00F01347">
              <w:rPr>
                <w:rFonts w:ascii="Verdana" w:hAnsi="Verdana"/>
                <w:sz w:val="16"/>
                <w:szCs w:val="16"/>
                <w:lang w:val="en-US"/>
              </w:rPr>
              <w:t>beaker.</w:t>
            </w:r>
            <w:r w:rsidRPr="00F01347">
              <w:rPr>
                <w:rFonts w:ascii="Verdana" w:hAnsi="Verdana"/>
                <w:sz w:val="16"/>
                <w:szCs w:val="16"/>
                <w:lang w:val="en-US"/>
              </w:rPr>
              <w:t xml:space="preserve"> Once the water has been degassed, store it in a closed container to prevent it from absorbing atmospheric gases.</w:t>
            </w:r>
          </w:p>
        </w:tc>
      </w:tr>
      <w:tr w:rsidR="005F282B" w:rsidRPr="00F01347" w14:paraId="5E6FF052" w14:textId="545B4B57" w:rsidTr="008468D4">
        <w:tc>
          <w:tcPr>
            <w:tcW w:w="4675" w:type="dxa"/>
          </w:tcPr>
          <w:p w14:paraId="7F7FA1D2" w14:textId="77777777" w:rsidR="005F282B" w:rsidRPr="00F01347" w:rsidRDefault="005F282B" w:rsidP="005F282B">
            <w:pPr>
              <w:pStyle w:val="texto0"/>
              <w:spacing w:line="214" w:lineRule="exact"/>
              <w:ind w:firstLine="0"/>
              <w:rPr>
                <w:rFonts w:ascii="Verdana" w:hAnsi="Verdana"/>
                <w:sz w:val="16"/>
                <w:szCs w:val="16"/>
              </w:rPr>
            </w:pPr>
            <w:r w:rsidRPr="00F01347">
              <w:rPr>
                <w:rFonts w:ascii="Verdana" w:hAnsi="Verdana"/>
                <w:b/>
                <w:sz w:val="16"/>
                <w:szCs w:val="16"/>
              </w:rPr>
              <w:t xml:space="preserve">B.7.4.6.2.2 </w:t>
            </w:r>
            <w:r w:rsidRPr="00F01347">
              <w:rPr>
                <w:rFonts w:ascii="Verdana" w:hAnsi="Verdana"/>
                <w:sz w:val="16"/>
                <w:szCs w:val="16"/>
              </w:rPr>
              <w:t xml:space="preserve">Disolución de arranque / disolución de lavado. Esta disolución se usa para ambos propósitos. Añadir 0.5 </w:t>
            </w:r>
            <w:proofErr w:type="spellStart"/>
            <w:r w:rsidRPr="00F01347">
              <w:rPr>
                <w:rFonts w:ascii="Verdana" w:hAnsi="Verdana"/>
                <w:sz w:val="16"/>
                <w:szCs w:val="16"/>
              </w:rPr>
              <w:t>mL</w:t>
            </w:r>
            <w:proofErr w:type="spellEnd"/>
            <w:r w:rsidRPr="00F01347">
              <w:rPr>
                <w:rFonts w:ascii="Verdana" w:hAnsi="Verdana"/>
                <w:sz w:val="16"/>
                <w:szCs w:val="16"/>
              </w:rPr>
              <w:t xml:space="preserve"> de Brij-35 a 500 </w:t>
            </w:r>
            <w:proofErr w:type="spellStart"/>
            <w:r w:rsidRPr="00F01347">
              <w:rPr>
                <w:rFonts w:ascii="Verdana" w:hAnsi="Verdana"/>
                <w:sz w:val="16"/>
                <w:szCs w:val="16"/>
              </w:rPr>
              <w:t>mL</w:t>
            </w:r>
            <w:proofErr w:type="spellEnd"/>
            <w:r w:rsidRPr="00F01347">
              <w:rPr>
                <w:rFonts w:ascii="Verdana" w:hAnsi="Verdana"/>
                <w:sz w:val="16"/>
                <w:szCs w:val="16"/>
              </w:rPr>
              <w:t xml:space="preserve"> de agua desionizada. Mezcle suavemente.</w:t>
            </w:r>
          </w:p>
        </w:tc>
        <w:tc>
          <w:tcPr>
            <w:tcW w:w="4675" w:type="dxa"/>
          </w:tcPr>
          <w:p w14:paraId="4D661A21" w14:textId="3B3AB6FD" w:rsidR="005F282B" w:rsidRPr="00F01347" w:rsidRDefault="005F282B" w:rsidP="005F282B">
            <w:pPr>
              <w:pStyle w:val="texto0"/>
              <w:spacing w:line="214" w:lineRule="exact"/>
              <w:ind w:firstLine="0"/>
              <w:rPr>
                <w:rFonts w:ascii="Verdana" w:hAnsi="Verdana"/>
                <w:b/>
                <w:sz w:val="16"/>
                <w:szCs w:val="16"/>
                <w:lang w:val="en-US"/>
              </w:rPr>
            </w:pPr>
            <w:r w:rsidRPr="00F01347">
              <w:rPr>
                <w:rFonts w:ascii="Verdana" w:hAnsi="Verdana"/>
                <w:b/>
                <w:sz w:val="16"/>
                <w:szCs w:val="16"/>
                <w:lang w:val="en-US"/>
              </w:rPr>
              <w:t xml:space="preserve">B.7.4.6.2.2 </w:t>
            </w:r>
            <w:r w:rsidRPr="00F01347">
              <w:rPr>
                <w:rFonts w:ascii="Verdana" w:hAnsi="Verdana"/>
                <w:sz w:val="16"/>
                <w:szCs w:val="16"/>
                <w:lang w:val="en-US"/>
              </w:rPr>
              <w:t>Starting solution/ washing solution. This solution is used for both purposes. Add 0.5 mL of Brij-35 to 500 mL of deionized water. Mix gently.</w:t>
            </w:r>
          </w:p>
        </w:tc>
      </w:tr>
      <w:tr w:rsidR="005F282B" w:rsidRPr="00F01347" w14:paraId="0A078818" w14:textId="71F43151" w:rsidTr="008468D4">
        <w:tc>
          <w:tcPr>
            <w:tcW w:w="4675" w:type="dxa"/>
          </w:tcPr>
          <w:p w14:paraId="07635D86" w14:textId="77777777" w:rsidR="005F282B" w:rsidRPr="00F01347" w:rsidRDefault="005F282B" w:rsidP="005F282B">
            <w:pPr>
              <w:pStyle w:val="texto0"/>
              <w:spacing w:line="214" w:lineRule="exact"/>
              <w:ind w:firstLine="0"/>
              <w:rPr>
                <w:rFonts w:ascii="Verdana" w:hAnsi="Verdana"/>
                <w:sz w:val="16"/>
                <w:szCs w:val="16"/>
              </w:rPr>
            </w:pPr>
            <w:r w:rsidRPr="00F01347">
              <w:rPr>
                <w:rFonts w:ascii="Verdana" w:hAnsi="Verdana"/>
                <w:b/>
                <w:sz w:val="16"/>
                <w:szCs w:val="16"/>
              </w:rPr>
              <w:t xml:space="preserve">B.7.4.6.2.3 </w:t>
            </w:r>
            <w:r w:rsidRPr="00F01347">
              <w:rPr>
                <w:rFonts w:ascii="Verdana" w:hAnsi="Verdana"/>
                <w:sz w:val="16"/>
                <w:szCs w:val="16"/>
              </w:rPr>
              <w:t xml:space="preserve">Reactivo concentrado complejante, Sal disódica del ácido etilendiaminotetraacético </w:t>
            </w:r>
            <w:proofErr w:type="spellStart"/>
            <w:r w:rsidRPr="00F01347">
              <w:rPr>
                <w:rFonts w:ascii="Verdana" w:hAnsi="Verdana"/>
                <w:sz w:val="16"/>
                <w:szCs w:val="16"/>
              </w:rPr>
              <w:t>dihidratada</w:t>
            </w:r>
            <w:proofErr w:type="spellEnd"/>
            <w:r w:rsidRPr="00F01347">
              <w:rPr>
                <w:rFonts w:ascii="Verdana" w:hAnsi="Verdana"/>
                <w:sz w:val="16"/>
                <w:szCs w:val="16"/>
              </w:rPr>
              <w:t xml:space="preserve"> al 5% p/v (1 L). Disolver 50 g de la Sal disódica del ácido etilendiaminotetraacético </w:t>
            </w:r>
            <w:proofErr w:type="spellStart"/>
            <w:r w:rsidRPr="00F01347">
              <w:rPr>
                <w:rFonts w:ascii="Verdana" w:hAnsi="Verdana"/>
                <w:sz w:val="16"/>
                <w:szCs w:val="16"/>
              </w:rPr>
              <w:t>dihidratada</w:t>
            </w:r>
            <w:proofErr w:type="spellEnd"/>
            <w:r w:rsidRPr="00F01347">
              <w:rPr>
                <w:rFonts w:ascii="Verdana" w:hAnsi="Verdana"/>
                <w:sz w:val="16"/>
                <w:szCs w:val="16"/>
              </w:rPr>
              <w:t xml:space="preserve"> y aproximadamente 1 g de hidróxido de sodio (aproximadamente 6 perlas) en aproximadamente 800 </w:t>
            </w:r>
            <w:proofErr w:type="spellStart"/>
            <w:r w:rsidRPr="00F01347">
              <w:rPr>
                <w:rFonts w:ascii="Verdana" w:hAnsi="Verdana"/>
                <w:sz w:val="16"/>
                <w:szCs w:val="16"/>
              </w:rPr>
              <w:t>mL</w:t>
            </w:r>
            <w:proofErr w:type="spellEnd"/>
            <w:r w:rsidRPr="00F01347">
              <w:rPr>
                <w:rFonts w:ascii="Verdana" w:hAnsi="Verdana"/>
                <w:sz w:val="16"/>
                <w:szCs w:val="16"/>
              </w:rPr>
              <w:t xml:space="preserve"> de agua desionizada. Llevar a un volumen final de 1 L con agua desionizada.</w:t>
            </w:r>
          </w:p>
        </w:tc>
        <w:tc>
          <w:tcPr>
            <w:tcW w:w="4675" w:type="dxa"/>
          </w:tcPr>
          <w:p w14:paraId="4014E9CF" w14:textId="0B283FDB" w:rsidR="005F282B" w:rsidRPr="00F01347" w:rsidRDefault="005F282B" w:rsidP="005F282B">
            <w:pPr>
              <w:pStyle w:val="texto0"/>
              <w:spacing w:line="214" w:lineRule="exact"/>
              <w:ind w:firstLine="0"/>
              <w:rPr>
                <w:rFonts w:ascii="Verdana" w:hAnsi="Verdana"/>
                <w:b/>
                <w:sz w:val="16"/>
                <w:szCs w:val="16"/>
                <w:lang w:val="en-US"/>
              </w:rPr>
            </w:pPr>
            <w:r w:rsidRPr="00F01347">
              <w:rPr>
                <w:rFonts w:ascii="Verdana" w:hAnsi="Verdana"/>
                <w:b/>
                <w:sz w:val="16"/>
                <w:szCs w:val="16"/>
                <w:lang w:val="en-US"/>
              </w:rPr>
              <w:t xml:space="preserve">B.7.4.6.2.3 </w:t>
            </w:r>
            <w:r w:rsidRPr="00F01347">
              <w:rPr>
                <w:rFonts w:ascii="Verdana" w:hAnsi="Verdana"/>
                <w:sz w:val="16"/>
                <w:szCs w:val="16"/>
                <w:lang w:val="en-US"/>
              </w:rPr>
              <w:t>Concentrated complexing reagent, Disodium salt of ethylenediaminetetraacetic acid dihydrate at 5% w/v (1 L). Dissolve 50 g of ethylenediaminetetraacetic acid disodium salt dihydrate and approximately 1 g of sodium hydroxide (approximately 6 beads) in approximately 800 mL of deionized water. Bring to a final volume of 1 L with deionized water.</w:t>
            </w:r>
          </w:p>
        </w:tc>
      </w:tr>
      <w:tr w:rsidR="005F282B" w:rsidRPr="00F01347" w14:paraId="41800083" w14:textId="27263472" w:rsidTr="008468D4">
        <w:tc>
          <w:tcPr>
            <w:tcW w:w="4675" w:type="dxa"/>
          </w:tcPr>
          <w:p w14:paraId="5DFCACDA" w14:textId="77777777" w:rsidR="005F282B" w:rsidRPr="00F01347" w:rsidRDefault="005F282B" w:rsidP="005F282B">
            <w:pPr>
              <w:pStyle w:val="texto0"/>
              <w:spacing w:line="214" w:lineRule="exact"/>
              <w:ind w:firstLine="0"/>
              <w:rPr>
                <w:rFonts w:ascii="Verdana" w:hAnsi="Verdana"/>
                <w:sz w:val="16"/>
                <w:szCs w:val="16"/>
              </w:rPr>
            </w:pPr>
            <w:r w:rsidRPr="00F01347">
              <w:rPr>
                <w:rFonts w:ascii="Verdana" w:hAnsi="Verdana"/>
                <w:b/>
                <w:sz w:val="16"/>
                <w:szCs w:val="16"/>
              </w:rPr>
              <w:t xml:space="preserve">B.7.4.6.2.4 </w:t>
            </w:r>
            <w:r w:rsidRPr="00F01347">
              <w:rPr>
                <w:rFonts w:ascii="Verdana" w:hAnsi="Verdana"/>
                <w:sz w:val="16"/>
                <w:szCs w:val="16"/>
              </w:rPr>
              <w:t xml:space="preserve">Reactivo complejante de trabajo (250 </w:t>
            </w:r>
            <w:proofErr w:type="spellStart"/>
            <w:r w:rsidRPr="00F01347">
              <w:rPr>
                <w:rFonts w:ascii="Verdana" w:hAnsi="Verdana"/>
                <w:sz w:val="16"/>
                <w:szCs w:val="16"/>
              </w:rPr>
              <w:t>mL</w:t>
            </w:r>
            <w:proofErr w:type="spellEnd"/>
            <w:r w:rsidRPr="00F01347">
              <w:rPr>
                <w:rFonts w:ascii="Verdana" w:hAnsi="Verdana"/>
                <w:sz w:val="16"/>
                <w:szCs w:val="16"/>
              </w:rPr>
              <w:t xml:space="preserve">). Tomar 250 </w:t>
            </w:r>
            <w:proofErr w:type="spellStart"/>
            <w:r w:rsidRPr="00F01347">
              <w:rPr>
                <w:rFonts w:ascii="Verdana" w:hAnsi="Verdana"/>
                <w:sz w:val="16"/>
                <w:szCs w:val="16"/>
              </w:rPr>
              <w:t>mL</w:t>
            </w:r>
            <w:proofErr w:type="spellEnd"/>
            <w:r w:rsidRPr="00F01347">
              <w:rPr>
                <w:rFonts w:ascii="Verdana" w:hAnsi="Verdana"/>
                <w:sz w:val="16"/>
                <w:szCs w:val="16"/>
              </w:rPr>
              <w:t xml:space="preserve"> del reactivo complejante de EDTA, añadir 250 µL de detergente Brij-35 y mezclar suavemente. Este volumen es suficiente para un análisis de 8 horas. Preparar esta disolución cada vez que se analice un lote.</w:t>
            </w:r>
          </w:p>
        </w:tc>
        <w:tc>
          <w:tcPr>
            <w:tcW w:w="4675" w:type="dxa"/>
          </w:tcPr>
          <w:p w14:paraId="7FB6BA4C" w14:textId="334AC54E" w:rsidR="005F282B" w:rsidRPr="00F01347" w:rsidRDefault="005F282B" w:rsidP="005F282B">
            <w:pPr>
              <w:pStyle w:val="texto0"/>
              <w:spacing w:line="214" w:lineRule="exact"/>
              <w:ind w:firstLine="0"/>
              <w:rPr>
                <w:rFonts w:ascii="Verdana" w:hAnsi="Verdana"/>
                <w:b/>
                <w:sz w:val="16"/>
                <w:szCs w:val="16"/>
                <w:lang w:val="en-US"/>
              </w:rPr>
            </w:pPr>
            <w:r w:rsidRPr="00F01347">
              <w:rPr>
                <w:rFonts w:ascii="Verdana" w:hAnsi="Verdana"/>
                <w:b/>
                <w:sz w:val="16"/>
                <w:szCs w:val="16"/>
                <w:lang w:val="en-US"/>
              </w:rPr>
              <w:t xml:space="preserve">B.7.4.6.2.4 </w:t>
            </w:r>
            <w:r w:rsidRPr="00F01347">
              <w:rPr>
                <w:rFonts w:ascii="Verdana" w:hAnsi="Verdana"/>
                <w:sz w:val="16"/>
                <w:szCs w:val="16"/>
                <w:lang w:val="en-US"/>
              </w:rPr>
              <w:t>Working complexing reagent (250 mL</w:t>
            </w:r>
            <w:r w:rsidR="00913802" w:rsidRPr="00F01347">
              <w:rPr>
                <w:rFonts w:ascii="Verdana" w:hAnsi="Verdana"/>
                <w:sz w:val="16"/>
                <w:szCs w:val="16"/>
                <w:lang w:val="en-US"/>
              </w:rPr>
              <w:t>)</w:t>
            </w:r>
            <w:r w:rsidRPr="00F01347">
              <w:rPr>
                <w:rFonts w:ascii="Verdana" w:hAnsi="Verdana"/>
                <w:sz w:val="16"/>
                <w:szCs w:val="16"/>
                <w:lang w:val="en-US"/>
              </w:rPr>
              <w:t>. Take 250 mL of EDTA complexing reagent, add 250 µL of Brij-35 detergent and mix gently. This volume is sufficient for an 8-hour analysis. Prepare this solution each time a batch is analyzed.</w:t>
            </w:r>
          </w:p>
        </w:tc>
      </w:tr>
      <w:tr w:rsidR="005F282B" w:rsidRPr="00F01347" w14:paraId="32E31CB5" w14:textId="0A1BB039" w:rsidTr="008468D4">
        <w:tc>
          <w:tcPr>
            <w:tcW w:w="4675" w:type="dxa"/>
          </w:tcPr>
          <w:p w14:paraId="66A068D8" w14:textId="77777777" w:rsidR="005F282B" w:rsidRPr="00F01347" w:rsidRDefault="005F282B" w:rsidP="005F282B">
            <w:pPr>
              <w:pStyle w:val="texto0"/>
              <w:spacing w:line="214" w:lineRule="exact"/>
              <w:ind w:firstLine="0"/>
              <w:rPr>
                <w:rFonts w:ascii="Verdana" w:hAnsi="Verdana"/>
                <w:sz w:val="16"/>
                <w:szCs w:val="16"/>
              </w:rPr>
            </w:pPr>
            <w:r w:rsidRPr="00F01347">
              <w:rPr>
                <w:rFonts w:ascii="Verdana" w:hAnsi="Verdana"/>
                <w:b/>
                <w:sz w:val="16"/>
                <w:szCs w:val="16"/>
              </w:rPr>
              <w:t xml:space="preserve">B.7.4.6.2.5 </w:t>
            </w:r>
            <w:r w:rsidRPr="00F01347">
              <w:rPr>
                <w:rFonts w:ascii="Verdana" w:hAnsi="Verdana"/>
                <w:sz w:val="16"/>
                <w:szCs w:val="16"/>
              </w:rPr>
              <w:t xml:space="preserve">Disolución concentrada de hidróxido de sodio 10 N (1 L). Mientras agita, añadir cuidadosamente 400 g de hidróxido de sodio sólido a aproximadamente 500 </w:t>
            </w:r>
            <w:proofErr w:type="spellStart"/>
            <w:r w:rsidRPr="00F01347">
              <w:rPr>
                <w:rFonts w:ascii="Verdana" w:hAnsi="Verdana"/>
                <w:sz w:val="16"/>
                <w:szCs w:val="16"/>
              </w:rPr>
              <w:t>mL</w:t>
            </w:r>
            <w:proofErr w:type="spellEnd"/>
            <w:r w:rsidRPr="00F01347">
              <w:rPr>
                <w:rFonts w:ascii="Verdana" w:hAnsi="Verdana"/>
                <w:sz w:val="16"/>
                <w:szCs w:val="16"/>
              </w:rPr>
              <w:t xml:space="preserve"> de agua. Dejar enfriar a temperatura ambiente y diluir a 1 000 </w:t>
            </w:r>
            <w:proofErr w:type="spellStart"/>
            <w:r w:rsidRPr="00F01347">
              <w:rPr>
                <w:rFonts w:ascii="Verdana" w:hAnsi="Verdana"/>
                <w:sz w:val="16"/>
                <w:szCs w:val="16"/>
              </w:rPr>
              <w:t>mL</w:t>
            </w:r>
            <w:proofErr w:type="spellEnd"/>
            <w:r w:rsidRPr="00F01347">
              <w:rPr>
                <w:rFonts w:ascii="Verdana" w:hAnsi="Verdana"/>
                <w:sz w:val="16"/>
                <w:szCs w:val="16"/>
              </w:rPr>
              <w:t xml:space="preserve"> con agua. Mezclar bien. Guardar en un recipiente de polietileno.  Es importante considerar que al disolver el hidróxido de sodio en agua se libera </w:t>
            </w:r>
            <w:r w:rsidRPr="00F01347">
              <w:rPr>
                <w:rFonts w:ascii="Verdana" w:hAnsi="Verdana"/>
                <w:sz w:val="16"/>
                <w:szCs w:val="16"/>
              </w:rPr>
              <w:lastRenderedPageBreak/>
              <w:t>una gran cantidad de calor por lo que deben tomarse las precauciones necesarias.</w:t>
            </w:r>
          </w:p>
        </w:tc>
        <w:tc>
          <w:tcPr>
            <w:tcW w:w="4675" w:type="dxa"/>
          </w:tcPr>
          <w:p w14:paraId="634431C7" w14:textId="3972E059" w:rsidR="005F282B" w:rsidRPr="00F01347" w:rsidRDefault="005F282B" w:rsidP="005F282B">
            <w:pPr>
              <w:pStyle w:val="texto0"/>
              <w:spacing w:line="214" w:lineRule="exact"/>
              <w:ind w:firstLine="0"/>
              <w:rPr>
                <w:rFonts w:ascii="Verdana" w:hAnsi="Verdana"/>
                <w:b/>
                <w:sz w:val="16"/>
                <w:szCs w:val="16"/>
                <w:lang w:val="en-US"/>
              </w:rPr>
            </w:pPr>
            <w:r w:rsidRPr="00F01347">
              <w:rPr>
                <w:rFonts w:ascii="Verdana" w:hAnsi="Verdana"/>
                <w:b/>
                <w:sz w:val="16"/>
                <w:szCs w:val="16"/>
                <w:lang w:val="en-US"/>
              </w:rPr>
              <w:lastRenderedPageBreak/>
              <w:t xml:space="preserve">B.7.4.6.2.5 </w:t>
            </w:r>
            <w:r w:rsidRPr="00F01347">
              <w:rPr>
                <w:rFonts w:ascii="Verdana" w:hAnsi="Verdana"/>
                <w:sz w:val="16"/>
                <w:szCs w:val="16"/>
                <w:lang w:val="en-US"/>
              </w:rPr>
              <w:t xml:space="preserve">Concentrated solution of 10 N sodium hydroxide (1 L). While stirring, carefully add 400 g of solid sodium hydroxide to approximately 500 mL of water. Let cool to room temperature and dilute to 1,000 mL with water. Mix well. Store in a polyethylene container. It is important to consider that dissolving </w:t>
            </w:r>
            <w:r w:rsidRPr="00F01347">
              <w:rPr>
                <w:rFonts w:ascii="Verdana" w:hAnsi="Verdana"/>
                <w:sz w:val="16"/>
                <w:szCs w:val="16"/>
                <w:lang w:val="en-US"/>
              </w:rPr>
              <w:lastRenderedPageBreak/>
              <w:t>sodium hydroxide in water releases a large amount of heat, so the necessary precautions must be taken.</w:t>
            </w:r>
          </w:p>
        </w:tc>
      </w:tr>
      <w:tr w:rsidR="005F282B" w:rsidRPr="00F01347" w14:paraId="6979E276" w14:textId="6DA2E440" w:rsidTr="008468D4">
        <w:tc>
          <w:tcPr>
            <w:tcW w:w="4675" w:type="dxa"/>
          </w:tcPr>
          <w:p w14:paraId="4DD1175B" w14:textId="77777777" w:rsidR="005F282B" w:rsidRPr="00F01347" w:rsidRDefault="005F282B" w:rsidP="005F282B">
            <w:pPr>
              <w:pStyle w:val="texto0"/>
              <w:spacing w:line="214" w:lineRule="exact"/>
              <w:ind w:firstLine="0"/>
              <w:rPr>
                <w:rFonts w:ascii="Verdana" w:hAnsi="Verdana"/>
                <w:sz w:val="16"/>
                <w:szCs w:val="16"/>
              </w:rPr>
            </w:pPr>
            <w:r w:rsidRPr="00F01347">
              <w:rPr>
                <w:rFonts w:ascii="Verdana" w:hAnsi="Verdana"/>
                <w:b/>
                <w:sz w:val="16"/>
                <w:szCs w:val="16"/>
              </w:rPr>
              <w:lastRenderedPageBreak/>
              <w:t xml:space="preserve">B.7.4.6.2.6 </w:t>
            </w:r>
            <w:r w:rsidRPr="00F01347">
              <w:rPr>
                <w:rFonts w:ascii="Verdana" w:hAnsi="Verdana"/>
                <w:sz w:val="16"/>
                <w:szCs w:val="16"/>
              </w:rPr>
              <w:t xml:space="preserve">Fenol alcalino (1 L). Mientras agita, añada cuidadosamente 80 </w:t>
            </w:r>
            <w:proofErr w:type="spellStart"/>
            <w:r w:rsidRPr="00F01347">
              <w:rPr>
                <w:rFonts w:ascii="Verdana" w:hAnsi="Verdana"/>
                <w:sz w:val="16"/>
                <w:szCs w:val="16"/>
              </w:rPr>
              <w:t>mL</w:t>
            </w:r>
            <w:proofErr w:type="spellEnd"/>
            <w:r w:rsidRPr="00F01347">
              <w:rPr>
                <w:rFonts w:ascii="Verdana" w:hAnsi="Verdana"/>
                <w:sz w:val="16"/>
                <w:szCs w:val="16"/>
              </w:rPr>
              <w:t xml:space="preserve"> de la disolución de NaOH 10 N a aproximadamente 700 </w:t>
            </w:r>
            <w:proofErr w:type="spellStart"/>
            <w:r w:rsidRPr="00F01347">
              <w:rPr>
                <w:rFonts w:ascii="Verdana" w:hAnsi="Verdana"/>
                <w:sz w:val="16"/>
                <w:szCs w:val="16"/>
              </w:rPr>
              <w:t>mL</w:t>
            </w:r>
            <w:proofErr w:type="spellEnd"/>
            <w:r w:rsidRPr="00F01347">
              <w:rPr>
                <w:rFonts w:ascii="Verdana" w:hAnsi="Verdana"/>
                <w:sz w:val="16"/>
                <w:szCs w:val="16"/>
              </w:rPr>
              <w:t xml:space="preserve"> de agua. Enfríe la disolución en un baño de hielo si es necesario. Mientras agita, añada cuidadosamente 83 g de fenol en pequeñas porciones, enfriando la disolución después de cada adición. Lleve a un volumen final de 1 000 </w:t>
            </w:r>
            <w:proofErr w:type="spellStart"/>
            <w:r w:rsidRPr="00F01347">
              <w:rPr>
                <w:rFonts w:ascii="Verdana" w:hAnsi="Verdana"/>
                <w:sz w:val="16"/>
                <w:szCs w:val="16"/>
              </w:rPr>
              <w:t>mL</w:t>
            </w:r>
            <w:proofErr w:type="spellEnd"/>
            <w:r w:rsidRPr="00F01347">
              <w:rPr>
                <w:rFonts w:ascii="Verdana" w:hAnsi="Verdana"/>
                <w:sz w:val="16"/>
                <w:szCs w:val="16"/>
              </w:rPr>
              <w:t xml:space="preserve"> con agua desionizada y mezcle bien. Guarde en un frasco ámbar a 4 °C. Esta disolución es estable hasta por 6 semanas si se guarda en estas condiciones. Al disolver hidróxido de sodio o fenol en agua se libera una gran cantidad de calor. Tome las precauciones necesarias. La disolución de fenol alcalino debe presentar un color paja tenue. Deséchela si se torna de </w:t>
            </w:r>
            <w:proofErr w:type="gramStart"/>
            <w:r w:rsidRPr="00F01347">
              <w:rPr>
                <w:rFonts w:ascii="Verdana" w:hAnsi="Verdana"/>
                <w:sz w:val="16"/>
                <w:szCs w:val="16"/>
              </w:rPr>
              <w:t>color  ámbar</w:t>
            </w:r>
            <w:proofErr w:type="gramEnd"/>
            <w:r w:rsidRPr="00F01347">
              <w:rPr>
                <w:rFonts w:ascii="Verdana" w:hAnsi="Verdana"/>
                <w:sz w:val="16"/>
                <w:szCs w:val="16"/>
              </w:rPr>
              <w:t xml:space="preserve"> oscuro.</w:t>
            </w:r>
          </w:p>
        </w:tc>
        <w:tc>
          <w:tcPr>
            <w:tcW w:w="4675" w:type="dxa"/>
          </w:tcPr>
          <w:p w14:paraId="1D1B4DC8" w14:textId="6CFB86E8" w:rsidR="005F282B" w:rsidRPr="00F01347" w:rsidRDefault="005F282B" w:rsidP="005F282B">
            <w:pPr>
              <w:pStyle w:val="texto0"/>
              <w:spacing w:line="214" w:lineRule="exact"/>
              <w:ind w:firstLine="0"/>
              <w:rPr>
                <w:rFonts w:ascii="Verdana" w:hAnsi="Verdana"/>
                <w:b/>
                <w:sz w:val="16"/>
                <w:szCs w:val="16"/>
                <w:lang w:val="en-US"/>
              </w:rPr>
            </w:pPr>
            <w:r w:rsidRPr="00F01347">
              <w:rPr>
                <w:rFonts w:ascii="Verdana" w:hAnsi="Verdana"/>
                <w:b/>
                <w:sz w:val="16"/>
                <w:szCs w:val="16"/>
                <w:lang w:val="en-US"/>
              </w:rPr>
              <w:t xml:space="preserve">B.7.4.6.2.6 </w:t>
            </w:r>
            <w:r w:rsidRPr="00F01347">
              <w:rPr>
                <w:rFonts w:ascii="Verdana" w:hAnsi="Verdana"/>
                <w:sz w:val="16"/>
                <w:szCs w:val="16"/>
                <w:lang w:val="en-US"/>
              </w:rPr>
              <w:t>Alkaline phenol (1 L). While stirring, carefully add 80 mL of the 10 N NaOH solution to approximately 700 mL of water. Cool the solution in an ice bath if necessary. While stirring, carefully add 83 g of phenol in small portions, cooling the solution after each addition. Bring to a final volume of 1,000 mL with deionized water and mix well. Store in an amber bottle at 4°C. This solution is stable for up to 6 weeks if stored under these conditions. Dissolving sodium hydroxide or phenol in water releases a large amount of heat. Take necessary precautions. The alkaline phenol solution should have a light straw color. Discard it if it turns a dark amber color</w:t>
            </w:r>
            <w:r w:rsidR="003E1BA9" w:rsidRPr="00F01347">
              <w:rPr>
                <w:rFonts w:ascii="Verdana" w:hAnsi="Verdana"/>
                <w:sz w:val="16"/>
                <w:szCs w:val="16"/>
                <w:lang w:val="en-US"/>
              </w:rPr>
              <w:t>.</w:t>
            </w:r>
          </w:p>
        </w:tc>
      </w:tr>
      <w:tr w:rsidR="005F282B" w:rsidRPr="00F01347" w14:paraId="6A46310A" w14:textId="287F4E76" w:rsidTr="008468D4">
        <w:tc>
          <w:tcPr>
            <w:tcW w:w="4675" w:type="dxa"/>
          </w:tcPr>
          <w:p w14:paraId="03F1B1FF" w14:textId="77777777" w:rsidR="005F282B" w:rsidRPr="00F01347" w:rsidRDefault="005F282B" w:rsidP="005F282B">
            <w:pPr>
              <w:pStyle w:val="texto0"/>
              <w:ind w:firstLine="0"/>
              <w:rPr>
                <w:rFonts w:ascii="Verdana" w:hAnsi="Verdana"/>
                <w:sz w:val="16"/>
                <w:szCs w:val="16"/>
              </w:rPr>
            </w:pPr>
            <w:r w:rsidRPr="00F01347">
              <w:rPr>
                <w:rFonts w:ascii="Verdana" w:hAnsi="Verdana"/>
                <w:b/>
                <w:sz w:val="16"/>
                <w:szCs w:val="16"/>
              </w:rPr>
              <w:t xml:space="preserve">B.7.4.6.2.7 </w:t>
            </w:r>
            <w:r w:rsidRPr="00F01347">
              <w:rPr>
                <w:rFonts w:ascii="Verdana" w:hAnsi="Verdana"/>
                <w:sz w:val="16"/>
                <w:szCs w:val="16"/>
              </w:rPr>
              <w:t xml:space="preserve">Disolución de hipoclorito de sodio de trabajo (100 </w:t>
            </w:r>
            <w:proofErr w:type="spellStart"/>
            <w:r w:rsidRPr="00F01347">
              <w:rPr>
                <w:rFonts w:ascii="Verdana" w:hAnsi="Verdana"/>
                <w:sz w:val="16"/>
                <w:szCs w:val="16"/>
              </w:rPr>
              <w:t>mL</w:t>
            </w:r>
            <w:proofErr w:type="spellEnd"/>
            <w:r w:rsidRPr="00F01347">
              <w:rPr>
                <w:rFonts w:ascii="Verdana" w:hAnsi="Verdana"/>
                <w:sz w:val="16"/>
                <w:szCs w:val="16"/>
              </w:rPr>
              <w:t xml:space="preserve">). Tome 50 </w:t>
            </w:r>
            <w:proofErr w:type="spellStart"/>
            <w:r w:rsidRPr="00F01347">
              <w:rPr>
                <w:rFonts w:ascii="Verdana" w:hAnsi="Verdana"/>
                <w:sz w:val="16"/>
                <w:szCs w:val="16"/>
              </w:rPr>
              <w:t>mL</w:t>
            </w:r>
            <w:proofErr w:type="spellEnd"/>
            <w:r w:rsidRPr="00F01347">
              <w:rPr>
                <w:rFonts w:ascii="Verdana" w:hAnsi="Verdana"/>
                <w:sz w:val="16"/>
                <w:szCs w:val="16"/>
              </w:rPr>
              <w:t xml:space="preserve"> de la disolución de hipoclorito de sodio comercial (5% de cloro disponible) y mézclelos con 30 </w:t>
            </w:r>
            <w:proofErr w:type="spellStart"/>
            <w:r w:rsidRPr="00F01347">
              <w:rPr>
                <w:rFonts w:ascii="Verdana" w:hAnsi="Verdana"/>
                <w:sz w:val="16"/>
                <w:szCs w:val="16"/>
              </w:rPr>
              <w:t>mL</w:t>
            </w:r>
            <w:proofErr w:type="spellEnd"/>
            <w:r w:rsidRPr="00F01347">
              <w:rPr>
                <w:rFonts w:ascii="Verdana" w:hAnsi="Verdana"/>
                <w:sz w:val="16"/>
                <w:szCs w:val="16"/>
              </w:rPr>
              <w:t xml:space="preserve"> de agua desionizada. Llevar a un volumen final de 100 </w:t>
            </w:r>
            <w:proofErr w:type="spellStart"/>
            <w:r w:rsidRPr="00F01347">
              <w:rPr>
                <w:rFonts w:ascii="Verdana" w:hAnsi="Verdana"/>
                <w:sz w:val="16"/>
                <w:szCs w:val="16"/>
              </w:rPr>
              <w:t>mL</w:t>
            </w:r>
            <w:proofErr w:type="spellEnd"/>
            <w:r w:rsidRPr="00F01347">
              <w:rPr>
                <w:rFonts w:ascii="Verdana" w:hAnsi="Verdana"/>
                <w:sz w:val="16"/>
                <w:szCs w:val="16"/>
              </w:rPr>
              <w:t xml:space="preserve"> con agua y mezclar bien. Debido a la volatilidad del hipoclorito de sodio, no es posible almacenar esta disolución. Prepare este reactivo cada vez que realice un análisis.</w:t>
            </w:r>
          </w:p>
        </w:tc>
        <w:tc>
          <w:tcPr>
            <w:tcW w:w="4675" w:type="dxa"/>
          </w:tcPr>
          <w:p w14:paraId="36F1DE7B" w14:textId="7A06B53F" w:rsidR="005F282B" w:rsidRPr="00F01347" w:rsidRDefault="005F282B" w:rsidP="005F282B">
            <w:pPr>
              <w:pStyle w:val="texto0"/>
              <w:ind w:firstLine="0"/>
              <w:rPr>
                <w:rFonts w:ascii="Verdana" w:hAnsi="Verdana"/>
                <w:b/>
                <w:sz w:val="16"/>
                <w:szCs w:val="16"/>
                <w:lang w:val="en-US"/>
              </w:rPr>
            </w:pPr>
            <w:r w:rsidRPr="00F01347">
              <w:rPr>
                <w:rFonts w:ascii="Verdana" w:hAnsi="Verdana"/>
                <w:b/>
                <w:sz w:val="16"/>
                <w:szCs w:val="16"/>
                <w:lang w:val="en-US"/>
              </w:rPr>
              <w:t xml:space="preserve">B.7.4.6.2.7 </w:t>
            </w:r>
            <w:r w:rsidRPr="00F01347">
              <w:rPr>
                <w:rFonts w:ascii="Verdana" w:hAnsi="Verdana"/>
                <w:sz w:val="16"/>
                <w:szCs w:val="16"/>
                <w:lang w:val="en-US"/>
              </w:rPr>
              <w:t>Working sodium hypochlorite solution (100 mL</w:t>
            </w:r>
            <w:r w:rsidR="00913802" w:rsidRPr="00F01347">
              <w:rPr>
                <w:rFonts w:ascii="Verdana" w:hAnsi="Verdana"/>
                <w:sz w:val="16"/>
                <w:szCs w:val="16"/>
                <w:lang w:val="en-US"/>
              </w:rPr>
              <w:t>)</w:t>
            </w:r>
            <w:r w:rsidRPr="00F01347">
              <w:rPr>
                <w:rFonts w:ascii="Verdana" w:hAnsi="Verdana"/>
                <w:sz w:val="16"/>
                <w:szCs w:val="16"/>
                <w:lang w:val="en-US"/>
              </w:rPr>
              <w:t xml:space="preserve">. Take 50 mL of commercial sodium hypochlorite solution (5% available chlorine) and mix it with 30 mL of deionized water. Bring to a final volume of 100 mL with water and mix well. Due to the volatility of sodium hypochlorite, it is not possible to store this solution. Prepare this reagent each time </w:t>
            </w:r>
            <w:r w:rsidR="00A42EB5" w:rsidRPr="00F01347">
              <w:rPr>
                <w:rFonts w:ascii="Verdana" w:hAnsi="Verdana"/>
                <w:sz w:val="16"/>
                <w:szCs w:val="16"/>
                <w:lang w:val="en-US"/>
              </w:rPr>
              <w:t>the</w:t>
            </w:r>
            <w:r w:rsidRPr="00F01347">
              <w:rPr>
                <w:rFonts w:ascii="Verdana" w:hAnsi="Verdana"/>
                <w:sz w:val="16"/>
                <w:szCs w:val="16"/>
                <w:lang w:val="en-US"/>
              </w:rPr>
              <w:t xml:space="preserve"> test</w:t>
            </w:r>
            <w:r w:rsidR="00A42EB5" w:rsidRPr="00F01347">
              <w:rPr>
                <w:rFonts w:ascii="Verdana" w:hAnsi="Verdana"/>
                <w:sz w:val="16"/>
                <w:szCs w:val="16"/>
                <w:lang w:val="en-US"/>
              </w:rPr>
              <w:t xml:space="preserve"> is carried out</w:t>
            </w:r>
            <w:r w:rsidRPr="00F01347">
              <w:rPr>
                <w:rFonts w:ascii="Verdana" w:hAnsi="Verdana"/>
                <w:sz w:val="16"/>
                <w:szCs w:val="16"/>
                <w:lang w:val="en-US"/>
              </w:rPr>
              <w:t>.</w:t>
            </w:r>
          </w:p>
        </w:tc>
      </w:tr>
      <w:tr w:rsidR="005F282B" w:rsidRPr="00F01347" w14:paraId="6901BA7F" w14:textId="602E0CAD" w:rsidTr="008468D4">
        <w:tc>
          <w:tcPr>
            <w:tcW w:w="4675" w:type="dxa"/>
          </w:tcPr>
          <w:p w14:paraId="21D44FAF"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b/>
                <w:sz w:val="16"/>
                <w:szCs w:val="16"/>
              </w:rPr>
              <w:t xml:space="preserve">B.7.4.6.2.8 </w:t>
            </w:r>
            <w:proofErr w:type="spellStart"/>
            <w:r w:rsidRPr="00F01347">
              <w:rPr>
                <w:rFonts w:ascii="Verdana" w:hAnsi="Verdana"/>
                <w:sz w:val="16"/>
                <w:szCs w:val="16"/>
              </w:rPr>
              <w:t>Nitroferricianuro</w:t>
            </w:r>
            <w:proofErr w:type="spellEnd"/>
            <w:r w:rsidRPr="00F01347">
              <w:rPr>
                <w:rFonts w:ascii="Verdana" w:hAnsi="Verdana"/>
                <w:sz w:val="16"/>
                <w:szCs w:val="16"/>
              </w:rPr>
              <w:t xml:space="preserve"> de sodio (1 L). Pesar y disolver 0.5 g de </w:t>
            </w:r>
            <w:proofErr w:type="spellStart"/>
            <w:r w:rsidRPr="00F01347">
              <w:rPr>
                <w:rFonts w:ascii="Verdana" w:hAnsi="Verdana"/>
                <w:sz w:val="16"/>
                <w:szCs w:val="16"/>
              </w:rPr>
              <w:t>nitroferricianuro</w:t>
            </w:r>
            <w:proofErr w:type="spellEnd"/>
            <w:r w:rsidRPr="00F01347">
              <w:rPr>
                <w:rFonts w:ascii="Verdana" w:hAnsi="Verdana"/>
                <w:sz w:val="16"/>
                <w:szCs w:val="16"/>
              </w:rPr>
              <w:t xml:space="preserve"> de sodio </w:t>
            </w:r>
            <w:proofErr w:type="spellStart"/>
            <w:r w:rsidRPr="00F01347">
              <w:rPr>
                <w:rFonts w:ascii="Verdana" w:hAnsi="Verdana"/>
                <w:sz w:val="16"/>
                <w:szCs w:val="16"/>
              </w:rPr>
              <w:t>dihidratado</w:t>
            </w:r>
            <w:proofErr w:type="spellEnd"/>
            <w:r w:rsidRPr="00F01347">
              <w:rPr>
                <w:rFonts w:ascii="Verdana" w:hAnsi="Verdana"/>
                <w:sz w:val="16"/>
                <w:szCs w:val="16"/>
              </w:rPr>
              <w:t xml:space="preserve"> en aproximadamente 800 </w:t>
            </w:r>
            <w:proofErr w:type="spellStart"/>
            <w:r w:rsidRPr="00F01347">
              <w:rPr>
                <w:rFonts w:ascii="Verdana" w:hAnsi="Verdana"/>
                <w:sz w:val="16"/>
                <w:szCs w:val="16"/>
              </w:rPr>
              <w:t>mL</w:t>
            </w:r>
            <w:proofErr w:type="spellEnd"/>
            <w:r w:rsidRPr="00F01347">
              <w:rPr>
                <w:rFonts w:ascii="Verdana" w:hAnsi="Verdana"/>
                <w:sz w:val="16"/>
                <w:szCs w:val="16"/>
              </w:rPr>
              <w:t xml:space="preserve"> de agua. Llevar a un volumen final de 1 000 </w:t>
            </w:r>
            <w:proofErr w:type="spellStart"/>
            <w:r w:rsidRPr="00F01347">
              <w:rPr>
                <w:rFonts w:ascii="Verdana" w:hAnsi="Verdana"/>
                <w:sz w:val="16"/>
                <w:szCs w:val="16"/>
              </w:rPr>
              <w:t>mL</w:t>
            </w:r>
            <w:proofErr w:type="spellEnd"/>
            <w:r w:rsidRPr="00F01347">
              <w:rPr>
                <w:rFonts w:ascii="Verdana" w:hAnsi="Verdana"/>
                <w:sz w:val="16"/>
                <w:szCs w:val="16"/>
              </w:rPr>
              <w:t xml:space="preserve"> y mezcle bien. Guardar en un frasco ámbar. Esta disolución es estable hasta por 6 semanas si se mantiene a 4 °C.</w:t>
            </w:r>
          </w:p>
        </w:tc>
        <w:tc>
          <w:tcPr>
            <w:tcW w:w="4675" w:type="dxa"/>
          </w:tcPr>
          <w:p w14:paraId="61A92D2D" w14:textId="403D5830" w:rsidR="005F282B" w:rsidRPr="00F01347" w:rsidRDefault="005F282B" w:rsidP="005F282B">
            <w:pPr>
              <w:pStyle w:val="texto0"/>
              <w:spacing w:line="232" w:lineRule="exact"/>
              <w:ind w:firstLine="0"/>
              <w:rPr>
                <w:rFonts w:ascii="Verdana" w:hAnsi="Verdana"/>
                <w:b/>
                <w:sz w:val="16"/>
                <w:szCs w:val="16"/>
                <w:lang w:val="en-US"/>
              </w:rPr>
            </w:pPr>
            <w:r w:rsidRPr="00F01347">
              <w:rPr>
                <w:rFonts w:ascii="Verdana" w:hAnsi="Verdana"/>
                <w:b/>
                <w:sz w:val="16"/>
                <w:szCs w:val="16"/>
                <w:lang w:val="en-US"/>
              </w:rPr>
              <w:t xml:space="preserve">B.7.4.6.2.8 </w:t>
            </w:r>
            <w:r w:rsidRPr="00F01347">
              <w:rPr>
                <w:rFonts w:ascii="Verdana" w:hAnsi="Verdana"/>
                <w:sz w:val="16"/>
                <w:szCs w:val="16"/>
                <w:lang w:val="en-US"/>
              </w:rPr>
              <w:t>Sodium nitroferricyanide (1 L). Weigh and dissolve 0.5 g of sodium nitroferricyanide dihydrate in approximately 800 mL of water. Bring to a final volume of 1,000 mL and mix well. Store in an amber bottle. This solution is stable for up to 6 weeks if kept at 4°C.</w:t>
            </w:r>
          </w:p>
        </w:tc>
      </w:tr>
      <w:tr w:rsidR="005F282B" w:rsidRPr="00F01347" w14:paraId="350FD37C" w14:textId="0660456E" w:rsidTr="008468D4">
        <w:tc>
          <w:tcPr>
            <w:tcW w:w="4675" w:type="dxa"/>
          </w:tcPr>
          <w:p w14:paraId="025C96BF"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b/>
                <w:sz w:val="16"/>
                <w:szCs w:val="16"/>
              </w:rPr>
              <w:t xml:space="preserve">B.7.4.6.2.9 </w:t>
            </w:r>
            <w:r w:rsidRPr="00F01347">
              <w:rPr>
                <w:rFonts w:ascii="Verdana" w:hAnsi="Verdana"/>
                <w:sz w:val="16"/>
                <w:szCs w:val="16"/>
              </w:rPr>
              <w:t>Hidróxido de sodio, disolución 10N (1L). Mientras se agita, adicionar cuidadosamente 400 g de hidróxido de sodio a aproximadamente 500 ml de agua desionizada, en un vaso de precipitados inmerso en baño refrigerante. Diluir con agua desionizada hasta alcanzar un volumen final de 1 000 ml, envasar en recipiente de plástico.</w:t>
            </w:r>
          </w:p>
        </w:tc>
        <w:tc>
          <w:tcPr>
            <w:tcW w:w="4675" w:type="dxa"/>
          </w:tcPr>
          <w:p w14:paraId="3654380C" w14:textId="0C6CFFC2" w:rsidR="005F282B" w:rsidRPr="00F01347" w:rsidRDefault="005F282B" w:rsidP="005F282B">
            <w:pPr>
              <w:pStyle w:val="texto0"/>
              <w:spacing w:line="232" w:lineRule="exact"/>
              <w:ind w:firstLine="0"/>
              <w:rPr>
                <w:rFonts w:ascii="Verdana" w:hAnsi="Verdana"/>
                <w:b/>
                <w:sz w:val="16"/>
                <w:szCs w:val="16"/>
                <w:lang w:val="en-US"/>
              </w:rPr>
            </w:pPr>
            <w:r w:rsidRPr="00F01347">
              <w:rPr>
                <w:rFonts w:ascii="Verdana" w:hAnsi="Verdana"/>
                <w:b/>
                <w:sz w:val="16"/>
                <w:szCs w:val="16"/>
                <w:lang w:val="en-US"/>
              </w:rPr>
              <w:t xml:space="preserve">B.7.4.6.2.9 </w:t>
            </w:r>
            <w:r w:rsidRPr="00F01347">
              <w:rPr>
                <w:rFonts w:ascii="Verdana" w:hAnsi="Verdana"/>
                <w:sz w:val="16"/>
                <w:szCs w:val="16"/>
                <w:lang w:val="en-US"/>
              </w:rPr>
              <w:t>Sodium hydroxide, 10N solution (1L). While stirring, carefully add 400 g of sodium hydroxide to approximately 500 ml of deionized water, in a beaker immersed in a cooling bath. Dilute with deionized water until reaching a final volume of 1,000 ml, package in a plastic container.</w:t>
            </w:r>
          </w:p>
        </w:tc>
      </w:tr>
      <w:tr w:rsidR="005F282B" w:rsidRPr="00F01347" w14:paraId="65F64491" w14:textId="53BE0253" w:rsidTr="008468D4">
        <w:tc>
          <w:tcPr>
            <w:tcW w:w="4675" w:type="dxa"/>
          </w:tcPr>
          <w:p w14:paraId="3B311B6F"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b/>
                <w:sz w:val="16"/>
                <w:szCs w:val="16"/>
              </w:rPr>
              <w:t xml:space="preserve">B.7.4.6.2.10 </w:t>
            </w:r>
            <w:r w:rsidRPr="00F01347">
              <w:rPr>
                <w:rFonts w:ascii="Verdana" w:hAnsi="Verdana"/>
                <w:sz w:val="16"/>
                <w:szCs w:val="16"/>
              </w:rPr>
              <w:t>Disolución madre de 1 000 mg/L de nitrógeno amoniacal (N-NH3). Preparación volumétrica. Pesar con precisión 0.471 7 g de sulfato de amonio, (NH</w:t>
            </w:r>
            <w:r w:rsidRPr="00F01347">
              <w:rPr>
                <w:rFonts w:ascii="Verdana" w:hAnsi="Verdana"/>
                <w:sz w:val="16"/>
                <w:szCs w:val="16"/>
                <w:vertAlign w:val="subscript"/>
              </w:rPr>
              <w:t>4</w:t>
            </w:r>
            <w:r w:rsidRPr="00F01347">
              <w:rPr>
                <w:rFonts w:ascii="Verdana" w:hAnsi="Verdana"/>
                <w:sz w:val="16"/>
                <w:szCs w:val="16"/>
              </w:rPr>
              <w:t>)</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secado previamente a 105 ± 3 °C que cuente con la pureza necesaria para ser considerado como material de referencia y el certificado que lo demuestre. Disolver en aproximadamente 80 </w:t>
            </w:r>
            <w:proofErr w:type="spellStart"/>
            <w:r w:rsidRPr="00F01347">
              <w:rPr>
                <w:rFonts w:ascii="Verdana" w:hAnsi="Verdana"/>
                <w:sz w:val="16"/>
                <w:szCs w:val="16"/>
              </w:rPr>
              <w:t>mL</w:t>
            </w:r>
            <w:proofErr w:type="spellEnd"/>
            <w:r w:rsidRPr="00F01347">
              <w:rPr>
                <w:rFonts w:ascii="Verdana" w:hAnsi="Verdana"/>
                <w:sz w:val="16"/>
                <w:szCs w:val="16"/>
              </w:rPr>
              <w:t xml:space="preserve"> de agua desionizada dentro de un matraz aforado y verificado. Diluya hasta 100 </w:t>
            </w:r>
            <w:proofErr w:type="spellStart"/>
            <w:r w:rsidRPr="00F01347">
              <w:rPr>
                <w:rFonts w:ascii="Verdana" w:hAnsi="Verdana"/>
                <w:sz w:val="16"/>
                <w:szCs w:val="16"/>
              </w:rPr>
              <w:t>mL</w:t>
            </w:r>
            <w:proofErr w:type="spellEnd"/>
            <w:r w:rsidRPr="00F01347">
              <w:rPr>
                <w:rFonts w:ascii="Verdana" w:hAnsi="Verdana"/>
                <w:sz w:val="16"/>
                <w:szCs w:val="16"/>
              </w:rPr>
              <w:t xml:space="preserve"> con agua desionizada. Guarde en un frasco y preserve con 3 gotas de cloroformo. Esta disolución es estable por tres meses si se conserva en refrigeración. La preparación de esta solución madre es recomendable hacerla gravimétricamente, la estabilidad de la solución puede ser hasta de 6 meses en condiciones de almacenamiento adecuadas.</w:t>
            </w:r>
          </w:p>
        </w:tc>
        <w:tc>
          <w:tcPr>
            <w:tcW w:w="4675" w:type="dxa"/>
          </w:tcPr>
          <w:p w14:paraId="3B6BFD53" w14:textId="69597C0A" w:rsidR="005F282B" w:rsidRPr="00F01347" w:rsidRDefault="005F282B" w:rsidP="005F282B">
            <w:pPr>
              <w:pStyle w:val="texto0"/>
              <w:spacing w:line="232" w:lineRule="exact"/>
              <w:ind w:firstLine="0"/>
              <w:rPr>
                <w:rFonts w:ascii="Verdana" w:hAnsi="Verdana"/>
                <w:b/>
                <w:sz w:val="16"/>
                <w:szCs w:val="16"/>
                <w:lang w:val="en-US"/>
              </w:rPr>
            </w:pPr>
            <w:r w:rsidRPr="00F01347">
              <w:rPr>
                <w:rFonts w:ascii="Verdana" w:hAnsi="Verdana"/>
                <w:b/>
                <w:sz w:val="16"/>
                <w:szCs w:val="16"/>
                <w:lang w:val="en-US"/>
              </w:rPr>
              <w:t xml:space="preserve">B.7.4.6.2.10 </w:t>
            </w:r>
            <w:r w:rsidRPr="00F01347">
              <w:rPr>
                <w:rFonts w:ascii="Verdana" w:hAnsi="Verdana"/>
                <w:sz w:val="16"/>
                <w:szCs w:val="16"/>
                <w:lang w:val="en-US"/>
              </w:rPr>
              <w:t xml:space="preserve">Stock solution of 1,000 mg/L of ammoniacal nitrogen (N-NH3). Volumetric preparation. Accurately weigh </w:t>
            </w:r>
            <w:r w:rsidR="00F4512D" w:rsidRPr="00F01347">
              <w:rPr>
                <w:rFonts w:ascii="Verdana" w:hAnsi="Verdana"/>
                <w:sz w:val="16"/>
                <w:szCs w:val="16"/>
                <w:lang w:val="en-US"/>
              </w:rPr>
              <w:t>0.4717 g</w:t>
            </w:r>
            <w:r w:rsidRPr="00F01347">
              <w:rPr>
                <w:rFonts w:ascii="Verdana" w:hAnsi="Verdana"/>
                <w:sz w:val="16"/>
                <w:szCs w:val="16"/>
                <w:lang w:val="en-US"/>
              </w:rPr>
              <w:t xml:space="preserve"> of ammonium sulfate, </w:t>
            </w:r>
            <w:r w:rsidR="00F4512D" w:rsidRPr="00F01347">
              <w:rPr>
                <w:rFonts w:ascii="Verdana" w:hAnsi="Verdana"/>
                <w:sz w:val="16"/>
                <w:szCs w:val="16"/>
                <w:lang w:val="en-US"/>
              </w:rPr>
              <w:t>(NH</w:t>
            </w:r>
            <w:r w:rsidR="00F4512D" w:rsidRPr="00F01347">
              <w:rPr>
                <w:rFonts w:ascii="Verdana" w:hAnsi="Verdana"/>
                <w:sz w:val="16"/>
                <w:szCs w:val="16"/>
                <w:vertAlign w:val="subscript"/>
                <w:lang w:val="en-US"/>
              </w:rPr>
              <w:t>4</w:t>
            </w:r>
            <w:r w:rsidR="00F4512D" w:rsidRPr="00F01347">
              <w:rPr>
                <w:rFonts w:ascii="Verdana" w:hAnsi="Verdana"/>
                <w:sz w:val="16"/>
                <w:szCs w:val="16"/>
                <w:lang w:val="en-US"/>
              </w:rPr>
              <w:t>)</w:t>
            </w:r>
            <w:r w:rsidR="00F4512D" w:rsidRPr="00F01347">
              <w:rPr>
                <w:rFonts w:ascii="Verdana" w:hAnsi="Verdana"/>
                <w:sz w:val="16"/>
                <w:szCs w:val="16"/>
                <w:vertAlign w:val="subscript"/>
                <w:lang w:val="en-US"/>
              </w:rPr>
              <w:t>2</w:t>
            </w:r>
            <w:r w:rsidR="00F4512D" w:rsidRPr="00F01347">
              <w:rPr>
                <w:rFonts w:ascii="Verdana" w:hAnsi="Verdana"/>
                <w:sz w:val="16"/>
                <w:szCs w:val="16"/>
                <w:lang w:val="en-US"/>
              </w:rPr>
              <w:t>SO</w:t>
            </w:r>
            <w:r w:rsidR="00F4512D" w:rsidRPr="00F01347">
              <w:rPr>
                <w:rFonts w:ascii="Verdana" w:hAnsi="Verdana"/>
                <w:sz w:val="16"/>
                <w:szCs w:val="16"/>
                <w:vertAlign w:val="subscript"/>
                <w:lang w:val="en-US"/>
              </w:rPr>
              <w:t>4</w:t>
            </w:r>
            <w:r w:rsidR="00F4512D" w:rsidRPr="00F01347">
              <w:rPr>
                <w:rFonts w:ascii="Verdana" w:hAnsi="Verdana"/>
                <w:sz w:val="16"/>
                <w:szCs w:val="16"/>
                <w:lang w:val="en-US"/>
              </w:rPr>
              <w:t xml:space="preserve">, </w:t>
            </w:r>
            <w:r w:rsidRPr="00F01347">
              <w:rPr>
                <w:rFonts w:ascii="Verdana" w:hAnsi="Verdana"/>
                <w:sz w:val="16"/>
                <w:szCs w:val="16"/>
                <w:lang w:val="en-US"/>
              </w:rPr>
              <w:t>previously dried at 105 ± 3 °C that has the necessary purity to be considered as a reference material and the certificate proving it. Dissolve in approximately 80 mL of deionized water in a volumetric and checked flask. Dilute to 100 mL with deionized water. Store in a jar and preserve with 3 drops of chloroform. This solution is stable for three months if kept refrigerated. It is advisable to prepare this mother solution gravimetrically; the stability of the solution can be up to 6 months under adequate storage conditions.</w:t>
            </w:r>
            <w:r w:rsidR="00F4512D" w:rsidRPr="00F01347">
              <w:rPr>
                <w:rFonts w:ascii="Verdana" w:hAnsi="Verdana"/>
                <w:sz w:val="16"/>
                <w:szCs w:val="16"/>
                <w:lang w:val="en-US"/>
              </w:rPr>
              <w:t xml:space="preserve"> </w:t>
            </w:r>
          </w:p>
        </w:tc>
      </w:tr>
      <w:tr w:rsidR="005F282B" w:rsidRPr="00F01347" w14:paraId="37D52C79" w14:textId="6F39DD83" w:rsidTr="008468D4">
        <w:tc>
          <w:tcPr>
            <w:tcW w:w="4675" w:type="dxa"/>
          </w:tcPr>
          <w:p w14:paraId="33B16750"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b/>
                <w:sz w:val="16"/>
                <w:szCs w:val="16"/>
              </w:rPr>
              <w:t xml:space="preserve">B.7.4.6.2.11 </w:t>
            </w:r>
            <w:r w:rsidRPr="00F01347">
              <w:rPr>
                <w:rFonts w:ascii="Verdana" w:hAnsi="Verdana"/>
                <w:sz w:val="16"/>
                <w:szCs w:val="16"/>
              </w:rPr>
              <w:t xml:space="preserve">Disolución madre de 1 000 mg/L de nitrógeno amoniacal (N-NH3). Preparación </w:t>
            </w:r>
            <w:r w:rsidRPr="00F01347">
              <w:rPr>
                <w:rFonts w:ascii="Verdana" w:hAnsi="Verdana"/>
                <w:sz w:val="16"/>
                <w:szCs w:val="16"/>
              </w:rPr>
              <w:lastRenderedPageBreak/>
              <w:t>gravimétrica. Realizar la preparación de la disolución en un contenedor de plástico y de volumen adecuado para este fin. Agregar agua desionizada cuidadosamente hasta alcanzar un peso de 100 g.</w:t>
            </w:r>
          </w:p>
        </w:tc>
        <w:tc>
          <w:tcPr>
            <w:tcW w:w="4675" w:type="dxa"/>
          </w:tcPr>
          <w:p w14:paraId="19F3E33A" w14:textId="28E319C3" w:rsidR="005F282B" w:rsidRPr="00F01347" w:rsidRDefault="005F282B" w:rsidP="005F282B">
            <w:pPr>
              <w:pStyle w:val="texto0"/>
              <w:spacing w:line="232" w:lineRule="exact"/>
              <w:ind w:firstLine="0"/>
              <w:rPr>
                <w:rFonts w:ascii="Verdana" w:hAnsi="Verdana"/>
                <w:b/>
                <w:sz w:val="16"/>
                <w:szCs w:val="16"/>
                <w:lang w:val="en-US"/>
              </w:rPr>
            </w:pPr>
            <w:r w:rsidRPr="00F01347">
              <w:rPr>
                <w:rFonts w:ascii="Verdana" w:hAnsi="Verdana"/>
                <w:b/>
                <w:sz w:val="16"/>
                <w:szCs w:val="16"/>
                <w:lang w:val="en-US"/>
              </w:rPr>
              <w:lastRenderedPageBreak/>
              <w:t xml:space="preserve">B.7.4.6.2.11 </w:t>
            </w:r>
            <w:r w:rsidRPr="00F01347">
              <w:rPr>
                <w:rFonts w:ascii="Verdana" w:hAnsi="Verdana"/>
                <w:sz w:val="16"/>
                <w:szCs w:val="16"/>
                <w:lang w:val="en-US"/>
              </w:rPr>
              <w:t xml:space="preserve">Stock solution of 1,000 mg/L of ammoniacal nitrogen (N-NH3). Gravimetric </w:t>
            </w:r>
            <w:r w:rsidRPr="00F01347">
              <w:rPr>
                <w:rFonts w:ascii="Verdana" w:hAnsi="Verdana"/>
                <w:sz w:val="16"/>
                <w:szCs w:val="16"/>
                <w:lang w:val="en-US"/>
              </w:rPr>
              <w:lastRenderedPageBreak/>
              <w:t>preparation. Prepare the solution in a plastic container of adequate volume for this purpose. Add deionized water carefully until reaching a weight of 100 g.</w:t>
            </w:r>
          </w:p>
        </w:tc>
      </w:tr>
      <w:tr w:rsidR="005F282B" w:rsidRPr="00F01347" w14:paraId="199B8985" w14:textId="002198DF" w:rsidTr="008468D4">
        <w:tc>
          <w:tcPr>
            <w:tcW w:w="4675" w:type="dxa"/>
          </w:tcPr>
          <w:p w14:paraId="0817F195" w14:textId="77777777" w:rsidR="005F282B" w:rsidRPr="00F01347" w:rsidRDefault="005F282B" w:rsidP="005F282B">
            <w:pPr>
              <w:pStyle w:val="texto0"/>
              <w:spacing w:line="232" w:lineRule="exact"/>
              <w:ind w:firstLine="0"/>
              <w:rPr>
                <w:rFonts w:ascii="Verdana" w:hAnsi="Verdana"/>
                <w:b/>
                <w:sz w:val="16"/>
                <w:szCs w:val="16"/>
              </w:rPr>
            </w:pPr>
            <w:r w:rsidRPr="00F01347">
              <w:rPr>
                <w:rFonts w:ascii="Verdana" w:hAnsi="Verdana"/>
                <w:b/>
                <w:sz w:val="16"/>
                <w:szCs w:val="16"/>
              </w:rPr>
              <w:lastRenderedPageBreak/>
              <w:t>B.7.4.7 Procedimiento</w:t>
            </w:r>
          </w:p>
        </w:tc>
        <w:tc>
          <w:tcPr>
            <w:tcW w:w="4675" w:type="dxa"/>
          </w:tcPr>
          <w:p w14:paraId="23F253A4" w14:textId="2B600A75" w:rsidR="005F282B" w:rsidRPr="00F01347" w:rsidRDefault="005F282B" w:rsidP="005F282B">
            <w:pPr>
              <w:pStyle w:val="texto0"/>
              <w:spacing w:line="232" w:lineRule="exact"/>
              <w:ind w:firstLine="0"/>
              <w:rPr>
                <w:rFonts w:ascii="Verdana" w:hAnsi="Verdana"/>
                <w:b/>
                <w:sz w:val="16"/>
                <w:szCs w:val="16"/>
                <w:lang w:val="en-US"/>
              </w:rPr>
            </w:pPr>
            <w:r w:rsidRPr="00F01347">
              <w:rPr>
                <w:rFonts w:ascii="Verdana" w:hAnsi="Verdana"/>
                <w:b/>
                <w:sz w:val="16"/>
                <w:szCs w:val="16"/>
                <w:lang w:val="en-US"/>
              </w:rPr>
              <w:t>B.7.4.7 Procedure</w:t>
            </w:r>
          </w:p>
        </w:tc>
      </w:tr>
      <w:tr w:rsidR="005F282B" w:rsidRPr="00F01347" w14:paraId="73A271C1" w14:textId="07559382" w:rsidTr="008468D4">
        <w:tc>
          <w:tcPr>
            <w:tcW w:w="4675" w:type="dxa"/>
          </w:tcPr>
          <w:p w14:paraId="7EF7631E" w14:textId="77777777" w:rsidR="005F282B" w:rsidRPr="00F01347" w:rsidRDefault="005F282B" w:rsidP="005F282B">
            <w:pPr>
              <w:pStyle w:val="texto0"/>
              <w:spacing w:line="232" w:lineRule="exact"/>
              <w:ind w:firstLine="0"/>
              <w:rPr>
                <w:rFonts w:ascii="Verdana" w:hAnsi="Verdana"/>
                <w:b/>
                <w:sz w:val="16"/>
                <w:szCs w:val="16"/>
              </w:rPr>
            </w:pPr>
            <w:r w:rsidRPr="00F01347">
              <w:rPr>
                <w:rFonts w:ascii="Verdana" w:hAnsi="Verdana"/>
                <w:b/>
                <w:sz w:val="16"/>
                <w:szCs w:val="16"/>
              </w:rPr>
              <w:t>B.7.4.7.1 Recolección, conservación y almacenamiento de muestras</w:t>
            </w:r>
          </w:p>
        </w:tc>
        <w:tc>
          <w:tcPr>
            <w:tcW w:w="4675" w:type="dxa"/>
          </w:tcPr>
          <w:p w14:paraId="7908A8BB" w14:textId="1E7E0252" w:rsidR="005F282B" w:rsidRPr="00F01347" w:rsidRDefault="005F282B" w:rsidP="005F282B">
            <w:pPr>
              <w:pStyle w:val="texto0"/>
              <w:spacing w:line="232" w:lineRule="exact"/>
              <w:ind w:firstLine="0"/>
              <w:rPr>
                <w:rFonts w:ascii="Verdana" w:hAnsi="Verdana"/>
                <w:b/>
                <w:sz w:val="16"/>
                <w:szCs w:val="16"/>
                <w:lang w:val="en-US"/>
              </w:rPr>
            </w:pPr>
            <w:r w:rsidRPr="00F01347">
              <w:rPr>
                <w:rFonts w:ascii="Verdana" w:hAnsi="Verdana"/>
                <w:b/>
                <w:sz w:val="16"/>
                <w:szCs w:val="16"/>
                <w:lang w:val="en-US"/>
              </w:rPr>
              <w:t xml:space="preserve">B.7.4.7.1 Sample collection, </w:t>
            </w:r>
            <w:proofErr w:type="gramStart"/>
            <w:r w:rsidRPr="00F01347">
              <w:rPr>
                <w:rFonts w:ascii="Verdana" w:hAnsi="Verdana"/>
                <w:b/>
                <w:sz w:val="16"/>
                <w:szCs w:val="16"/>
                <w:lang w:val="en-US"/>
              </w:rPr>
              <w:t>preservation</w:t>
            </w:r>
            <w:proofErr w:type="gramEnd"/>
            <w:r w:rsidRPr="00F01347">
              <w:rPr>
                <w:rFonts w:ascii="Verdana" w:hAnsi="Verdana"/>
                <w:b/>
                <w:sz w:val="16"/>
                <w:szCs w:val="16"/>
                <w:lang w:val="en-US"/>
              </w:rPr>
              <w:t xml:space="preserve"> and storage</w:t>
            </w:r>
          </w:p>
        </w:tc>
      </w:tr>
      <w:tr w:rsidR="005F282B" w:rsidRPr="00F01347" w14:paraId="35095B93" w14:textId="01605B9F" w:rsidTr="008468D4">
        <w:tc>
          <w:tcPr>
            <w:tcW w:w="4675" w:type="dxa"/>
          </w:tcPr>
          <w:p w14:paraId="39F2DCB2"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sz w:val="16"/>
                <w:szCs w:val="16"/>
              </w:rPr>
              <w:t>Las muestras se colectan en envases de vidrio o plástico limpios.</w:t>
            </w:r>
          </w:p>
        </w:tc>
        <w:tc>
          <w:tcPr>
            <w:tcW w:w="4675" w:type="dxa"/>
          </w:tcPr>
          <w:p w14:paraId="68A7A260" w14:textId="632BD921" w:rsidR="005F282B" w:rsidRPr="00F01347" w:rsidRDefault="005F282B" w:rsidP="005F282B">
            <w:pPr>
              <w:pStyle w:val="texto0"/>
              <w:spacing w:line="232" w:lineRule="exact"/>
              <w:ind w:firstLine="0"/>
              <w:rPr>
                <w:rFonts w:ascii="Verdana" w:hAnsi="Verdana"/>
                <w:sz w:val="16"/>
                <w:szCs w:val="16"/>
                <w:lang w:val="en-US"/>
              </w:rPr>
            </w:pPr>
            <w:r w:rsidRPr="00F01347">
              <w:rPr>
                <w:rFonts w:ascii="Verdana" w:hAnsi="Verdana"/>
                <w:sz w:val="16"/>
                <w:szCs w:val="16"/>
                <w:lang w:val="en-US"/>
              </w:rPr>
              <w:t>Samples are collected in clean glass or plastic containers.</w:t>
            </w:r>
          </w:p>
        </w:tc>
      </w:tr>
      <w:tr w:rsidR="005F282B" w:rsidRPr="00F01347" w14:paraId="16DD1E9E" w14:textId="171C5FDC" w:rsidTr="008468D4">
        <w:tc>
          <w:tcPr>
            <w:tcW w:w="4675" w:type="dxa"/>
          </w:tcPr>
          <w:p w14:paraId="430AF81C"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sz w:val="16"/>
                <w:szCs w:val="16"/>
              </w:rPr>
              <w:t xml:space="preserve">El volumen de muestra debe ser suficiente para garantizar que se tenga una muestra representativa, que permita el análisis de duplicados si es necesario y que minimice la cantidad de desechos generados. Se sugiere tomar un volumen de muestra entre 50 y 100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36962B8D" w14:textId="509429DD" w:rsidR="005F282B" w:rsidRPr="00F01347" w:rsidRDefault="005F282B" w:rsidP="005F282B">
            <w:pPr>
              <w:pStyle w:val="texto0"/>
              <w:spacing w:line="232" w:lineRule="exact"/>
              <w:ind w:firstLine="0"/>
              <w:rPr>
                <w:rFonts w:ascii="Verdana" w:hAnsi="Verdana"/>
                <w:sz w:val="16"/>
                <w:szCs w:val="16"/>
                <w:lang w:val="en-US"/>
              </w:rPr>
            </w:pPr>
            <w:r w:rsidRPr="00F01347">
              <w:rPr>
                <w:rFonts w:ascii="Verdana" w:hAnsi="Verdana"/>
                <w:sz w:val="16"/>
                <w:szCs w:val="16"/>
                <w:lang w:val="en-US"/>
              </w:rPr>
              <w:t>The sample volume should be sufficient to ensure that a representative sample is available, to allow analysis of duplicates if necessary, and to minimize the amount of waste generated. It is suggested to take a sample volume between 50 and 100 mL</w:t>
            </w:r>
            <w:r w:rsidR="003E1BA9" w:rsidRPr="00F01347">
              <w:rPr>
                <w:rFonts w:ascii="Verdana" w:hAnsi="Verdana"/>
                <w:sz w:val="16"/>
                <w:szCs w:val="16"/>
                <w:lang w:val="en-US"/>
              </w:rPr>
              <w:t>.</w:t>
            </w:r>
          </w:p>
        </w:tc>
      </w:tr>
      <w:tr w:rsidR="005F282B" w:rsidRPr="00F01347" w14:paraId="767B4219" w14:textId="4419EBE3" w:rsidTr="008468D4">
        <w:tc>
          <w:tcPr>
            <w:tcW w:w="4675" w:type="dxa"/>
          </w:tcPr>
          <w:p w14:paraId="3BEC6213"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sz w:val="16"/>
                <w:szCs w:val="16"/>
              </w:rPr>
              <w:t>Es posible determinar la concentración de nitrógeno amoniacal en las muestras sin preservar si se analizan inmediatamente después de su recolección.</w:t>
            </w:r>
          </w:p>
        </w:tc>
        <w:tc>
          <w:tcPr>
            <w:tcW w:w="4675" w:type="dxa"/>
          </w:tcPr>
          <w:p w14:paraId="317B41F3" w14:textId="3D839BD8" w:rsidR="005F282B" w:rsidRPr="00F01347" w:rsidRDefault="005F282B" w:rsidP="005F282B">
            <w:pPr>
              <w:pStyle w:val="texto0"/>
              <w:spacing w:line="232" w:lineRule="exact"/>
              <w:ind w:firstLine="0"/>
              <w:rPr>
                <w:rFonts w:ascii="Verdana" w:hAnsi="Verdana"/>
                <w:sz w:val="16"/>
                <w:szCs w:val="16"/>
                <w:lang w:val="en-US"/>
              </w:rPr>
            </w:pPr>
            <w:r w:rsidRPr="00F01347">
              <w:rPr>
                <w:rFonts w:ascii="Verdana" w:hAnsi="Verdana"/>
                <w:sz w:val="16"/>
                <w:szCs w:val="16"/>
                <w:lang w:val="en-US"/>
              </w:rPr>
              <w:t>It is possible to determine the concentration of ammoniacal nitrogen in unpreserved samples if they are analyzed immediately after collection.</w:t>
            </w:r>
          </w:p>
        </w:tc>
      </w:tr>
      <w:tr w:rsidR="005F282B" w:rsidRPr="00F01347" w14:paraId="30FF5795" w14:textId="113FCAB3" w:rsidTr="008468D4">
        <w:tc>
          <w:tcPr>
            <w:tcW w:w="4675" w:type="dxa"/>
          </w:tcPr>
          <w:p w14:paraId="71A3B90F"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sz w:val="16"/>
                <w:szCs w:val="16"/>
              </w:rPr>
              <w:t>Si no es posible analizar las muestras inmediatamente preservarlas añadiendo ácido sulfúrico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hasta obtener un pH &lt; 2 y mantenerlas a 4 °C hasta su análisis.</w:t>
            </w:r>
          </w:p>
        </w:tc>
        <w:tc>
          <w:tcPr>
            <w:tcW w:w="4675" w:type="dxa"/>
          </w:tcPr>
          <w:p w14:paraId="574FE641" w14:textId="5FE5D0C3" w:rsidR="005F282B" w:rsidRPr="00F01347" w:rsidRDefault="005F282B" w:rsidP="005F282B">
            <w:pPr>
              <w:pStyle w:val="texto0"/>
              <w:spacing w:line="232" w:lineRule="exact"/>
              <w:ind w:firstLine="0"/>
              <w:rPr>
                <w:rFonts w:ascii="Verdana" w:hAnsi="Verdana"/>
                <w:sz w:val="16"/>
                <w:szCs w:val="16"/>
                <w:lang w:val="en-US"/>
              </w:rPr>
            </w:pPr>
            <w:r w:rsidRPr="00F01347">
              <w:rPr>
                <w:rFonts w:ascii="Verdana" w:hAnsi="Verdana"/>
                <w:sz w:val="16"/>
                <w:szCs w:val="16"/>
                <w:lang w:val="en-US"/>
              </w:rPr>
              <w:t>If it is not possible to analyze the samples immediately, preserve them by adding sulfuric acid (H</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4</w:t>
            </w:r>
            <w:r w:rsidR="00913802" w:rsidRPr="00F01347">
              <w:rPr>
                <w:rFonts w:ascii="Verdana" w:hAnsi="Verdana"/>
                <w:sz w:val="16"/>
                <w:szCs w:val="16"/>
                <w:vertAlign w:val="subscript"/>
                <w:lang w:val="en-US"/>
              </w:rPr>
              <w:t>)</w:t>
            </w:r>
            <w:r w:rsidRPr="00F01347">
              <w:rPr>
                <w:rFonts w:ascii="Verdana" w:hAnsi="Verdana"/>
                <w:sz w:val="16"/>
                <w:szCs w:val="16"/>
                <w:lang w:val="en-US"/>
              </w:rPr>
              <w:t xml:space="preserve"> until a pH &lt; 2 is obtained and keep them at 4 °C until analysis.</w:t>
            </w:r>
          </w:p>
        </w:tc>
      </w:tr>
      <w:tr w:rsidR="005F282B" w:rsidRPr="00F01347" w14:paraId="1069D14B" w14:textId="43C32809" w:rsidTr="008468D4">
        <w:tc>
          <w:tcPr>
            <w:tcW w:w="4675" w:type="dxa"/>
          </w:tcPr>
          <w:p w14:paraId="4ECFAE98"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sz w:val="16"/>
                <w:szCs w:val="16"/>
              </w:rPr>
              <w:t>Las muestras preservadas deben analizarse tan pronto como sea posible después de su recolección. Pueden almacenarse hasta por 28 días si se mantienen a 4 °C.</w:t>
            </w:r>
          </w:p>
        </w:tc>
        <w:tc>
          <w:tcPr>
            <w:tcW w:w="4675" w:type="dxa"/>
          </w:tcPr>
          <w:p w14:paraId="30E3CA18" w14:textId="4C3D8C00" w:rsidR="005F282B" w:rsidRPr="00F01347" w:rsidRDefault="005F282B" w:rsidP="005F282B">
            <w:pPr>
              <w:pStyle w:val="texto0"/>
              <w:spacing w:line="232" w:lineRule="exact"/>
              <w:ind w:firstLine="0"/>
              <w:rPr>
                <w:rFonts w:ascii="Verdana" w:hAnsi="Verdana"/>
                <w:sz w:val="16"/>
                <w:szCs w:val="16"/>
                <w:lang w:val="en-US"/>
              </w:rPr>
            </w:pPr>
            <w:r w:rsidRPr="00F01347">
              <w:rPr>
                <w:rFonts w:ascii="Verdana" w:hAnsi="Verdana"/>
                <w:sz w:val="16"/>
                <w:szCs w:val="16"/>
                <w:lang w:val="en-US"/>
              </w:rPr>
              <w:t>Preserved samples should be analyzed as soon as possible after collection. They can be stored for up to 28 days if kept at 4°C.</w:t>
            </w:r>
          </w:p>
        </w:tc>
      </w:tr>
      <w:tr w:rsidR="005F282B" w:rsidRPr="00F01347" w14:paraId="70B7A111" w14:textId="50806BB3" w:rsidTr="008468D4">
        <w:tc>
          <w:tcPr>
            <w:tcW w:w="4675" w:type="dxa"/>
          </w:tcPr>
          <w:p w14:paraId="468ED614"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sz w:val="16"/>
                <w:szCs w:val="16"/>
              </w:rPr>
              <w:t>Ajuste el pH de las muestras entre 5 y 8 antes de analizarlas con NaOH.</w:t>
            </w:r>
          </w:p>
        </w:tc>
        <w:tc>
          <w:tcPr>
            <w:tcW w:w="4675" w:type="dxa"/>
          </w:tcPr>
          <w:p w14:paraId="69B0965B" w14:textId="7030B0BE" w:rsidR="005F282B" w:rsidRPr="00F01347" w:rsidRDefault="005F282B" w:rsidP="005F282B">
            <w:pPr>
              <w:pStyle w:val="texto0"/>
              <w:spacing w:line="232" w:lineRule="exact"/>
              <w:ind w:firstLine="0"/>
              <w:rPr>
                <w:rFonts w:ascii="Verdana" w:hAnsi="Verdana"/>
                <w:sz w:val="16"/>
                <w:szCs w:val="16"/>
                <w:lang w:val="en-US"/>
              </w:rPr>
            </w:pPr>
            <w:r w:rsidRPr="00F01347">
              <w:rPr>
                <w:rFonts w:ascii="Verdana" w:hAnsi="Verdana"/>
                <w:sz w:val="16"/>
                <w:szCs w:val="16"/>
                <w:lang w:val="en-US"/>
              </w:rPr>
              <w:t>Adjust the pH of the samples between 5 and 8 before analyzing them with NaOH.</w:t>
            </w:r>
          </w:p>
        </w:tc>
      </w:tr>
      <w:tr w:rsidR="005F282B" w:rsidRPr="00F01347" w14:paraId="6F43239B" w14:textId="519B4353" w:rsidTr="008468D4">
        <w:tc>
          <w:tcPr>
            <w:tcW w:w="4675" w:type="dxa"/>
          </w:tcPr>
          <w:p w14:paraId="4FAB0748" w14:textId="77777777" w:rsidR="005F282B" w:rsidRPr="00F01347" w:rsidRDefault="005F282B" w:rsidP="005F282B">
            <w:pPr>
              <w:pStyle w:val="texto0"/>
              <w:spacing w:line="232" w:lineRule="exact"/>
              <w:ind w:firstLine="0"/>
              <w:rPr>
                <w:rFonts w:ascii="Verdana" w:hAnsi="Verdana"/>
                <w:b/>
                <w:sz w:val="16"/>
                <w:szCs w:val="16"/>
              </w:rPr>
            </w:pPr>
            <w:r w:rsidRPr="00F01347">
              <w:rPr>
                <w:rFonts w:ascii="Verdana" w:hAnsi="Verdana"/>
                <w:b/>
                <w:sz w:val="16"/>
                <w:szCs w:val="16"/>
              </w:rPr>
              <w:t>B.7.4.7.2 Preparación de muestras</w:t>
            </w:r>
          </w:p>
        </w:tc>
        <w:tc>
          <w:tcPr>
            <w:tcW w:w="4675" w:type="dxa"/>
          </w:tcPr>
          <w:p w14:paraId="4C729899" w14:textId="16F95393" w:rsidR="005F282B" w:rsidRPr="00F01347" w:rsidRDefault="005F282B" w:rsidP="005F282B">
            <w:pPr>
              <w:pStyle w:val="texto0"/>
              <w:spacing w:line="232" w:lineRule="exact"/>
              <w:ind w:firstLine="0"/>
              <w:rPr>
                <w:rFonts w:ascii="Verdana" w:hAnsi="Verdana"/>
                <w:b/>
                <w:sz w:val="16"/>
                <w:szCs w:val="16"/>
                <w:lang w:val="en-US"/>
              </w:rPr>
            </w:pPr>
            <w:r w:rsidRPr="00F01347">
              <w:rPr>
                <w:rFonts w:ascii="Verdana" w:hAnsi="Verdana"/>
                <w:b/>
                <w:sz w:val="16"/>
                <w:szCs w:val="16"/>
                <w:lang w:val="en-US"/>
              </w:rPr>
              <w:t>B.7.4.7.2 Sample preparation</w:t>
            </w:r>
          </w:p>
        </w:tc>
      </w:tr>
      <w:tr w:rsidR="005F282B" w:rsidRPr="00F01347" w14:paraId="5CB8D6DB" w14:textId="0A27B9DB" w:rsidTr="008468D4">
        <w:tc>
          <w:tcPr>
            <w:tcW w:w="4675" w:type="dxa"/>
          </w:tcPr>
          <w:p w14:paraId="7DB9D1F6" w14:textId="77777777" w:rsidR="005F282B" w:rsidRPr="00F01347" w:rsidRDefault="005F282B" w:rsidP="005F282B">
            <w:pPr>
              <w:pStyle w:val="texto0"/>
              <w:spacing w:line="238" w:lineRule="exact"/>
              <w:ind w:firstLine="0"/>
              <w:rPr>
                <w:rFonts w:ascii="Verdana" w:hAnsi="Verdana"/>
                <w:sz w:val="16"/>
                <w:szCs w:val="16"/>
              </w:rPr>
            </w:pPr>
            <w:r w:rsidRPr="00F01347">
              <w:rPr>
                <w:rFonts w:ascii="Verdana" w:hAnsi="Verdana"/>
                <w:sz w:val="16"/>
                <w:szCs w:val="16"/>
              </w:rPr>
              <w:t xml:space="preserve">Tome un volumen suficiente de muestra para filtrarlo y recuperar un volumen de filtrado de al menos 9 </w:t>
            </w:r>
            <w:proofErr w:type="spellStart"/>
            <w:r w:rsidRPr="00F01347">
              <w:rPr>
                <w:rFonts w:ascii="Verdana" w:hAnsi="Verdana"/>
                <w:sz w:val="16"/>
                <w:szCs w:val="16"/>
              </w:rPr>
              <w:t>mL</w:t>
            </w:r>
            <w:proofErr w:type="spellEnd"/>
            <w:r w:rsidRPr="00F01347">
              <w:rPr>
                <w:rFonts w:ascii="Verdana" w:hAnsi="Verdana"/>
                <w:sz w:val="16"/>
                <w:szCs w:val="16"/>
              </w:rPr>
              <w:t xml:space="preserve">. Generalmente un volumen de 50 </w:t>
            </w:r>
            <w:proofErr w:type="spellStart"/>
            <w:r w:rsidRPr="00F01347">
              <w:rPr>
                <w:rFonts w:ascii="Verdana" w:hAnsi="Verdana"/>
                <w:sz w:val="16"/>
                <w:szCs w:val="16"/>
              </w:rPr>
              <w:t>mL</w:t>
            </w:r>
            <w:proofErr w:type="spellEnd"/>
            <w:r w:rsidRPr="00F01347">
              <w:rPr>
                <w:rFonts w:ascii="Verdana" w:hAnsi="Verdana"/>
                <w:sz w:val="16"/>
                <w:szCs w:val="16"/>
              </w:rPr>
              <w:t xml:space="preserve"> de muestra es suficiente. Si se sospecha o se sabe de la presencia de cloro residual se trata la muestra en la filtración agregando una pizca de tiosulfato de sodio, sulfito de sodio o algún otro agente equivalente.</w:t>
            </w:r>
          </w:p>
        </w:tc>
        <w:tc>
          <w:tcPr>
            <w:tcW w:w="4675" w:type="dxa"/>
          </w:tcPr>
          <w:p w14:paraId="3111B6BD" w14:textId="470F5C59" w:rsidR="005F282B" w:rsidRPr="00F01347" w:rsidRDefault="005F282B" w:rsidP="005F282B">
            <w:pPr>
              <w:pStyle w:val="texto0"/>
              <w:spacing w:line="238" w:lineRule="exact"/>
              <w:ind w:firstLine="0"/>
              <w:rPr>
                <w:rFonts w:ascii="Verdana" w:hAnsi="Verdana"/>
                <w:sz w:val="16"/>
                <w:szCs w:val="16"/>
                <w:lang w:val="en-US"/>
              </w:rPr>
            </w:pPr>
            <w:r w:rsidRPr="00F01347">
              <w:rPr>
                <w:rFonts w:ascii="Verdana" w:hAnsi="Verdana"/>
                <w:sz w:val="16"/>
                <w:szCs w:val="16"/>
                <w:lang w:val="en-US"/>
              </w:rPr>
              <w:t>Take a sufficient volume of sample to filter it and recover a filtrate volume of at least 9 mL</w:t>
            </w:r>
            <w:r w:rsidR="003E1BA9" w:rsidRPr="00F01347">
              <w:rPr>
                <w:rFonts w:ascii="Verdana" w:hAnsi="Verdana"/>
                <w:sz w:val="16"/>
                <w:szCs w:val="16"/>
                <w:lang w:val="en-US"/>
              </w:rPr>
              <w:t>.</w:t>
            </w:r>
            <w:r w:rsidRPr="00F01347">
              <w:rPr>
                <w:rFonts w:ascii="Verdana" w:hAnsi="Verdana"/>
                <w:sz w:val="16"/>
                <w:szCs w:val="16"/>
                <w:lang w:val="en-US"/>
              </w:rPr>
              <w:t xml:space="preserve"> </w:t>
            </w:r>
            <w:r w:rsidR="00537371" w:rsidRPr="00F01347">
              <w:rPr>
                <w:rFonts w:ascii="Verdana" w:hAnsi="Verdana"/>
                <w:sz w:val="16"/>
                <w:szCs w:val="16"/>
                <w:lang w:val="en-US"/>
              </w:rPr>
              <w:t>Generally,</w:t>
            </w:r>
            <w:r w:rsidRPr="00F01347">
              <w:rPr>
                <w:rFonts w:ascii="Verdana" w:hAnsi="Verdana"/>
                <w:sz w:val="16"/>
                <w:szCs w:val="16"/>
                <w:lang w:val="en-US"/>
              </w:rPr>
              <w:t xml:space="preserve"> a volume of 50 mL of sample is sufficient. If the presence of residual chlorine is suspected or known, the sample is treated in the filtration by adding a pinch of sodium thiosulfate, sodium sulfite or some other equivalent agent.</w:t>
            </w:r>
          </w:p>
        </w:tc>
      </w:tr>
      <w:tr w:rsidR="005F282B" w:rsidRPr="00F01347" w14:paraId="32861972" w14:textId="552A1CDA" w:rsidTr="008468D4">
        <w:tc>
          <w:tcPr>
            <w:tcW w:w="4675" w:type="dxa"/>
          </w:tcPr>
          <w:p w14:paraId="3A177F94" w14:textId="77777777" w:rsidR="005F282B" w:rsidRPr="00F01347" w:rsidRDefault="005F282B" w:rsidP="005F282B">
            <w:pPr>
              <w:pStyle w:val="texto0"/>
              <w:spacing w:line="238" w:lineRule="exact"/>
              <w:ind w:firstLine="0"/>
              <w:rPr>
                <w:rFonts w:ascii="Verdana" w:hAnsi="Verdana"/>
                <w:sz w:val="16"/>
                <w:szCs w:val="16"/>
              </w:rPr>
            </w:pPr>
            <w:r w:rsidRPr="00F01347">
              <w:rPr>
                <w:rFonts w:ascii="Verdana" w:hAnsi="Verdana"/>
                <w:sz w:val="16"/>
                <w:szCs w:val="16"/>
              </w:rPr>
              <w:t>Filtrar las muestras con papel filtro de poro mediano. Un tamaño de poro de 2.5 µm es suficiente, aunque se puede usar un tamaño de poro más pequeño. Las muestras aparentemente limpias y que sean además de origen potable pueden no ser filtradas antes de neutralizarlas.</w:t>
            </w:r>
          </w:p>
        </w:tc>
        <w:tc>
          <w:tcPr>
            <w:tcW w:w="4675" w:type="dxa"/>
          </w:tcPr>
          <w:p w14:paraId="4BA1CACF" w14:textId="562C887A" w:rsidR="005F282B" w:rsidRPr="00F01347" w:rsidRDefault="005F282B" w:rsidP="005F282B">
            <w:pPr>
              <w:pStyle w:val="texto0"/>
              <w:spacing w:line="238" w:lineRule="exact"/>
              <w:ind w:firstLine="0"/>
              <w:rPr>
                <w:rFonts w:ascii="Verdana" w:hAnsi="Verdana"/>
                <w:sz w:val="16"/>
                <w:szCs w:val="16"/>
                <w:lang w:val="en-US"/>
              </w:rPr>
            </w:pPr>
            <w:r w:rsidRPr="00F01347">
              <w:rPr>
                <w:rFonts w:ascii="Verdana" w:hAnsi="Verdana"/>
                <w:sz w:val="16"/>
                <w:szCs w:val="16"/>
                <w:lang w:val="en-US"/>
              </w:rPr>
              <w:t xml:space="preserve">Filter the samples with medium-pore filter paper. A pore size of 2.5 µm is sufficient, although a smaller pore size can be used. </w:t>
            </w:r>
            <w:r w:rsidR="00C91787" w:rsidRPr="00F01347">
              <w:rPr>
                <w:rFonts w:ascii="Verdana" w:hAnsi="Verdana"/>
                <w:sz w:val="16"/>
                <w:szCs w:val="16"/>
                <w:lang w:val="en-US"/>
              </w:rPr>
              <w:t>The a</w:t>
            </w:r>
            <w:r w:rsidRPr="00F01347">
              <w:rPr>
                <w:rFonts w:ascii="Verdana" w:hAnsi="Verdana"/>
                <w:sz w:val="16"/>
                <w:szCs w:val="16"/>
                <w:lang w:val="en-US"/>
              </w:rPr>
              <w:t>pparently clean samples that are also of potable origin may not be filtered before neutralization.</w:t>
            </w:r>
          </w:p>
        </w:tc>
      </w:tr>
      <w:tr w:rsidR="005F282B" w:rsidRPr="00F01347" w14:paraId="3A48B69D" w14:textId="679B7E87" w:rsidTr="008468D4">
        <w:tc>
          <w:tcPr>
            <w:tcW w:w="4675" w:type="dxa"/>
          </w:tcPr>
          <w:p w14:paraId="5D8B0B98" w14:textId="77777777" w:rsidR="005F282B" w:rsidRPr="00F01347" w:rsidRDefault="005F282B" w:rsidP="005F282B">
            <w:pPr>
              <w:pStyle w:val="texto0"/>
              <w:spacing w:line="238" w:lineRule="exact"/>
              <w:ind w:firstLine="0"/>
              <w:rPr>
                <w:rFonts w:ascii="Verdana" w:hAnsi="Verdana"/>
                <w:sz w:val="16"/>
                <w:szCs w:val="16"/>
              </w:rPr>
            </w:pPr>
            <w:r w:rsidRPr="00F01347">
              <w:rPr>
                <w:rFonts w:ascii="Verdana" w:hAnsi="Verdana"/>
                <w:sz w:val="16"/>
                <w:szCs w:val="16"/>
              </w:rPr>
              <w:t>Si las muestras filtradas aún presentan coloración, adicione una pizca de carbón activado, agite y fíltrelas nuevamente.</w:t>
            </w:r>
          </w:p>
        </w:tc>
        <w:tc>
          <w:tcPr>
            <w:tcW w:w="4675" w:type="dxa"/>
          </w:tcPr>
          <w:p w14:paraId="5351DCFB" w14:textId="69A46960" w:rsidR="005F282B" w:rsidRPr="00F01347" w:rsidRDefault="005F282B" w:rsidP="005F282B">
            <w:pPr>
              <w:pStyle w:val="texto0"/>
              <w:spacing w:line="238" w:lineRule="exact"/>
              <w:ind w:firstLine="0"/>
              <w:rPr>
                <w:rFonts w:ascii="Verdana" w:hAnsi="Verdana"/>
                <w:sz w:val="16"/>
                <w:szCs w:val="16"/>
                <w:lang w:val="en-US"/>
              </w:rPr>
            </w:pPr>
            <w:r w:rsidRPr="00F01347">
              <w:rPr>
                <w:rFonts w:ascii="Verdana" w:hAnsi="Verdana"/>
                <w:sz w:val="16"/>
                <w:szCs w:val="16"/>
                <w:lang w:val="en-US"/>
              </w:rPr>
              <w:t xml:space="preserve">If the filtered samples still show color, add a pinch of activated carbon, </w:t>
            </w:r>
            <w:r w:rsidR="003554D6" w:rsidRPr="00F01347">
              <w:rPr>
                <w:rFonts w:ascii="Verdana" w:hAnsi="Verdana"/>
                <w:sz w:val="16"/>
                <w:szCs w:val="16"/>
                <w:lang w:val="en-US"/>
              </w:rPr>
              <w:t>shake,</w:t>
            </w:r>
            <w:r w:rsidRPr="00F01347">
              <w:rPr>
                <w:rFonts w:ascii="Verdana" w:hAnsi="Verdana"/>
                <w:sz w:val="16"/>
                <w:szCs w:val="16"/>
                <w:lang w:val="en-US"/>
              </w:rPr>
              <w:t xml:space="preserve"> and filter them again.</w:t>
            </w:r>
          </w:p>
        </w:tc>
      </w:tr>
      <w:tr w:rsidR="005F282B" w:rsidRPr="00F01347" w14:paraId="1600CCBE" w14:textId="4665D7B1" w:rsidTr="008468D4">
        <w:tc>
          <w:tcPr>
            <w:tcW w:w="4675" w:type="dxa"/>
          </w:tcPr>
          <w:p w14:paraId="12926A32"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sz w:val="16"/>
                <w:szCs w:val="16"/>
              </w:rPr>
              <w:t>Verifique el pH de las muestras con tiras reactivas indicadoras de pH o con un potenciómetro. Ajuste el pH de las muestras entre 5 y 8 con NaOH 10 N.</w:t>
            </w:r>
          </w:p>
        </w:tc>
        <w:tc>
          <w:tcPr>
            <w:tcW w:w="4675" w:type="dxa"/>
          </w:tcPr>
          <w:p w14:paraId="4C107D89" w14:textId="7A94CB8E" w:rsidR="005F282B" w:rsidRPr="00F01347" w:rsidRDefault="005F282B" w:rsidP="005F282B">
            <w:pPr>
              <w:pStyle w:val="texto0"/>
              <w:spacing w:line="232" w:lineRule="exact"/>
              <w:ind w:firstLine="0"/>
              <w:rPr>
                <w:rFonts w:ascii="Verdana" w:hAnsi="Verdana"/>
                <w:sz w:val="16"/>
                <w:szCs w:val="16"/>
                <w:lang w:val="en-US"/>
              </w:rPr>
            </w:pPr>
            <w:r w:rsidRPr="00F01347">
              <w:rPr>
                <w:rFonts w:ascii="Verdana" w:hAnsi="Verdana"/>
                <w:sz w:val="16"/>
                <w:szCs w:val="16"/>
                <w:lang w:val="en-US"/>
              </w:rPr>
              <w:t>Check the pH of the samples with pH indicator test strips or a potentiometer. Adjust the pH of the samples between 5 and 8 with 10 N NaOH.</w:t>
            </w:r>
          </w:p>
        </w:tc>
      </w:tr>
      <w:tr w:rsidR="005F282B" w:rsidRPr="00F01347" w14:paraId="2A823E03" w14:textId="4AE9C9CB" w:rsidTr="008468D4">
        <w:tc>
          <w:tcPr>
            <w:tcW w:w="4675" w:type="dxa"/>
          </w:tcPr>
          <w:p w14:paraId="37BB60ED"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sz w:val="16"/>
                <w:szCs w:val="16"/>
              </w:rPr>
              <w:lastRenderedPageBreak/>
              <w:t>Transfiera el líquido filtrado a viales de vidrio de 10mL para su análisis.</w:t>
            </w:r>
          </w:p>
        </w:tc>
        <w:tc>
          <w:tcPr>
            <w:tcW w:w="4675" w:type="dxa"/>
          </w:tcPr>
          <w:p w14:paraId="05EF3EE6" w14:textId="3951F242" w:rsidR="005F282B" w:rsidRPr="00F01347" w:rsidRDefault="005F282B" w:rsidP="005F282B">
            <w:pPr>
              <w:pStyle w:val="texto0"/>
              <w:spacing w:line="232" w:lineRule="exact"/>
              <w:ind w:firstLine="0"/>
              <w:rPr>
                <w:rFonts w:ascii="Verdana" w:hAnsi="Verdana"/>
                <w:sz w:val="16"/>
                <w:szCs w:val="16"/>
                <w:lang w:val="en-US"/>
              </w:rPr>
            </w:pPr>
            <w:r w:rsidRPr="00F01347">
              <w:rPr>
                <w:rFonts w:ascii="Verdana" w:hAnsi="Verdana"/>
                <w:sz w:val="16"/>
                <w:szCs w:val="16"/>
                <w:lang w:val="en-US"/>
              </w:rPr>
              <w:t>Transfer the filtered liquid to 10mL glass vials for analysis.</w:t>
            </w:r>
          </w:p>
        </w:tc>
      </w:tr>
      <w:tr w:rsidR="005F282B" w:rsidRPr="00F01347" w14:paraId="3227C834" w14:textId="654000E5" w:rsidTr="008468D4">
        <w:tc>
          <w:tcPr>
            <w:tcW w:w="4675" w:type="dxa"/>
          </w:tcPr>
          <w:p w14:paraId="6191D1BA"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sz w:val="16"/>
                <w:szCs w:val="16"/>
              </w:rPr>
              <w:t xml:space="preserve">En caso de que se tengan muestras de hielo, se toma un fragmento de éste buscando que la alícuota sea representativa y se coloca en un envase adecuado para contenerlo, después de unos minutos que la muestra ya sea líquida se envasa en tubos de 10 </w:t>
            </w:r>
            <w:proofErr w:type="spellStart"/>
            <w:r w:rsidRPr="00F01347">
              <w:rPr>
                <w:rFonts w:ascii="Verdana" w:hAnsi="Verdana"/>
                <w:sz w:val="16"/>
                <w:szCs w:val="16"/>
              </w:rPr>
              <w:t>mL</w:t>
            </w:r>
            <w:proofErr w:type="spellEnd"/>
            <w:r w:rsidRPr="00F01347">
              <w:rPr>
                <w:rFonts w:ascii="Verdana" w:hAnsi="Verdana"/>
                <w:sz w:val="16"/>
                <w:szCs w:val="16"/>
              </w:rPr>
              <w:t xml:space="preserve"> para su análisis.</w:t>
            </w:r>
          </w:p>
        </w:tc>
        <w:tc>
          <w:tcPr>
            <w:tcW w:w="4675" w:type="dxa"/>
          </w:tcPr>
          <w:p w14:paraId="636F4F98" w14:textId="2255B181" w:rsidR="005F282B" w:rsidRPr="00F01347" w:rsidRDefault="003554D6" w:rsidP="005F282B">
            <w:pPr>
              <w:pStyle w:val="texto0"/>
              <w:spacing w:line="232" w:lineRule="exact"/>
              <w:ind w:firstLine="0"/>
              <w:rPr>
                <w:rFonts w:ascii="Verdana" w:hAnsi="Verdana"/>
                <w:sz w:val="16"/>
                <w:szCs w:val="16"/>
                <w:lang w:val="en-US"/>
              </w:rPr>
            </w:pPr>
            <w:r w:rsidRPr="00F01347">
              <w:rPr>
                <w:rFonts w:ascii="Verdana" w:hAnsi="Verdana"/>
                <w:sz w:val="16"/>
                <w:szCs w:val="16"/>
                <w:lang w:val="en-US"/>
              </w:rPr>
              <w:t>When there are</w:t>
            </w:r>
            <w:r w:rsidR="005F282B" w:rsidRPr="00F01347">
              <w:rPr>
                <w:rFonts w:ascii="Verdana" w:hAnsi="Verdana"/>
                <w:sz w:val="16"/>
                <w:szCs w:val="16"/>
                <w:lang w:val="en-US"/>
              </w:rPr>
              <w:t xml:space="preserve"> ice samples, take a fragment of it, ensuring that the aliquot is representative and place it in a suitable container to contain it. After a few minutes, once the sample is liquid, it is packaged in 10 mL tubes to </w:t>
            </w:r>
            <w:r w:rsidR="004A6BE5" w:rsidRPr="00F01347">
              <w:rPr>
                <w:rFonts w:ascii="Verdana" w:hAnsi="Verdana"/>
                <w:sz w:val="16"/>
                <w:szCs w:val="16"/>
                <w:lang w:val="en-US"/>
              </w:rPr>
              <w:t>one</w:t>
            </w:r>
            <w:r w:rsidR="005F282B" w:rsidRPr="00F01347">
              <w:rPr>
                <w:rFonts w:ascii="Verdana" w:hAnsi="Verdana"/>
                <w:sz w:val="16"/>
                <w:szCs w:val="16"/>
                <w:lang w:val="en-US"/>
              </w:rPr>
              <w:t>r analysis.</w:t>
            </w:r>
          </w:p>
        </w:tc>
      </w:tr>
      <w:tr w:rsidR="005F282B" w:rsidRPr="00F01347" w14:paraId="78354700" w14:textId="420835B5" w:rsidTr="008468D4">
        <w:tc>
          <w:tcPr>
            <w:tcW w:w="4675" w:type="dxa"/>
          </w:tcPr>
          <w:p w14:paraId="3B38417E" w14:textId="77777777" w:rsidR="005F282B" w:rsidRPr="00F01347" w:rsidRDefault="005F282B" w:rsidP="005F282B">
            <w:pPr>
              <w:pStyle w:val="texto0"/>
              <w:spacing w:line="232" w:lineRule="exact"/>
              <w:ind w:firstLine="0"/>
              <w:rPr>
                <w:rFonts w:ascii="Verdana" w:hAnsi="Verdana"/>
                <w:sz w:val="16"/>
                <w:szCs w:val="16"/>
              </w:rPr>
            </w:pPr>
            <w:r w:rsidRPr="00F01347">
              <w:rPr>
                <w:rFonts w:ascii="Verdana" w:hAnsi="Verdana"/>
                <w:sz w:val="16"/>
                <w:szCs w:val="16"/>
              </w:rPr>
              <w:t xml:space="preserve">En caso de tener una muestra de agua envasada, se toma alícuota directamente en el recipiente original y envasando en tubos de 10 </w:t>
            </w:r>
            <w:proofErr w:type="spellStart"/>
            <w:r w:rsidRPr="00F01347">
              <w:rPr>
                <w:rFonts w:ascii="Verdana" w:hAnsi="Verdana"/>
                <w:sz w:val="16"/>
                <w:szCs w:val="16"/>
              </w:rPr>
              <w:t>mL</w:t>
            </w:r>
            <w:proofErr w:type="spellEnd"/>
            <w:r w:rsidRPr="00F01347">
              <w:rPr>
                <w:rFonts w:ascii="Verdana" w:hAnsi="Verdana"/>
                <w:sz w:val="16"/>
                <w:szCs w:val="16"/>
              </w:rPr>
              <w:t xml:space="preserve"> para su análisis posterior.</w:t>
            </w:r>
          </w:p>
        </w:tc>
        <w:tc>
          <w:tcPr>
            <w:tcW w:w="4675" w:type="dxa"/>
          </w:tcPr>
          <w:p w14:paraId="5001344C" w14:textId="7C680D53" w:rsidR="005F282B" w:rsidRPr="00F01347" w:rsidRDefault="005F282B" w:rsidP="005F282B">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If </w:t>
            </w:r>
            <w:r w:rsidR="003554D6" w:rsidRPr="00F01347">
              <w:rPr>
                <w:rFonts w:ascii="Verdana" w:hAnsi="Verdana"/>
                <w:sz w:val="16"/>
                <w:szCs w:val="16"/>
                <w:lang w:val="en-US"/>
              </w:rPr>
              <w:t>there is</w:t>
            </w:r>
            <w:r w:rsidRPr="00F01347">
              <w:rPr>
                <w:rFonts w:ascii="Verdana" w:hAnsi="Verdana"/>
                <w:sz w:val="16"/>
                <w:szCs w:val="16"/>
                <w:lang w:val="en-US"/>
              </w:rPr>
              <w:t xml:space="preserve"> a packaged water sample, take an aliquot directly from the original container and package it in 10 mL tubes for subsequent analysis.</w:t>
            </w:r>
          </w:p>
        </w:tc>
      </w:tr>
      <w:tr w:rsidR="005F282B" w:rsidRPr="00F01347" w14:paraId="0DA2D4EA" w14:textId="3237CF8A" w:rsidTr="008468D4">
        <w:tc>
          <w:tcPr>
            <w:tcW w:w="4675" w:type="dxa"/>
          </w:tcPr>
          <w:p w14:paraId="2EF1CF1A" w14:textId="77777777" w:rsidR="005F282B" w:rsidRPr="00F01347" w:rsidRDefault="005F282B" w:rsidP="005F282B">
            <w:pPr>
              <w:pStyle w:val="texto0"/>
              <w:spacing w:line="218" w:lineRule="exact"/>
              <w:ind w:firstLine="0"/>
              <w:rPr>
                <w:rFonts w:ascii="Verdana" w:hAnsi="Verdana"/>
                <w:b/>
                <w:sz w:val="16"/>
                <w:szCs w:val="16"/>
              </w:rPr>
            </w:pPr>
            <w:r w:rsidRPr="00F01347">
              <w:rPr>
                <w:rFonts w:ascii="Verdana" w:hAnsi="Verdana"/>
                <w:b/>
                <w:sz w:val="16"/>
                <w:szCs w:val="16"/>
              </w:rPr>
              <w:t xml:space="preserve">B.7.4.7.3 Preparación del </w:t>
            </w:r>
            <w:proofErr w:type="spellStart"/>
            <w:r w:rsidRPr="00F01347">
              <w:rPr>
                <w:rFonts w:ascii="Verdana" w:hAnsi="Verdana"/>
                <w:b/>
                <w:sz w:val="16"/>
                <w:szCs w:val="16"/>
              </w:rPr>
              <w:t>autoanalizador</w:t>
            </w:r>
            <w:proofErr w:type="spellEnd"/>
          </w:p>
        </w:tc>
        <w:tc>
          <w:tcPr>
            <w:tcW w:w="4675" w:type="dxa"/>
          </w:tcPr>
          <w:p w14:paraId="2221A1CC" w14:textId="012BBFE2" w:rsidR="005F282B" w:rsidRPr="00F01347" w:rsidRDefault="005F282B" w:rsidP="005F282B">
            <w:pPr>
              <w:pStyle w:val="texto0"/>
              <w:spacing w:line="218" w:lineRule="exact"/>
              <w:ind w:firstLine="0"/>
              <w:rPr>
                <w:rFonts w:ascii="Verdana" w:hAnsi="Verdana"/>
                <w:b/>
                <w:sz w:val="16"/>
                <w:szCs w:val="16"/>
                <w:lang w:val="en-US"/>
              </w:rPr>
            </w:pPr>
            <w:r w:rsidRPr="00F01347">
              <w:rPr>
                <w:rFonts w:ascii="Verdana" w:hAnsi="Verdana"/>
                <w:b/>
                <w:sz w:val="16"/>
                <w:szCs w:val="16"/>
                <w:lang w:val="en-US"/>
              </w:rPr>
              <w:t>B.7.4.7.3 Preparation of the autoanalyzer</w:t>
            </w:r>
          </w:p>
        </w:tc>
      </w:tr>
      <w:tr w:rsidR="005F282B" w:rsidRPr="00F01347" w14:paraId="2D49880D" w14:textId="4DFA2669" w:rsidTr="008468D4">
        <w:tc>
          <w:tcPr>
            <w:tcW w:w="4675" w:type="dxa"/>
          </w:tcPr>
          <w:p w14:paraId="3ACEDEE3"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Configure el equipo como lo indica el Manual del Usuario respectivo y asegúrese de que todos los módulos estén encendidos.</w:t>
            </w:r>
          </w:p>
        </w:tc>
        <w:tc>
          <w:tcPr>
            <w:tcW w:w="4675" w:type="dxa"/>
          </w:tcPr>
          <w:p w14:paraId="10A056E0" w14:textId="066CECB7"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Configure the equipment as indicated in the respective User Manual and ensure that all modules are turned on.</w:t>
            </w:r>
          </w:p>
        </w:tc>
      </w:tr>
      <w:tr w:rsidR="005F282B" w:rsidRPr="00F01347" w14:paraId="712DB2A6" w14:textId="6EF53C2F" w:rsidTr="008468D4">
        <w:tc>
          <w:tcPr>
            <w:tcW w:w="4675" w:type="dxa"/>
          </w:tcPr>
          <w:p w14:paraId="78F52F8A"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Verifique que las conexiones de las mangueras estén configuradas en el cartucho como muestra el diagrama de la Figura B.7.4-2.</w:t>
            </w:r>
          </w:p>
        </w:tc>
        <w:tc>
          <w:tcPr>
            <w:tcW w:w="4675" w:type="dxa"/>
          </w:tcPr>
          <w:p w14:paraId="5112D9AC" w14:textId="1BC1D105"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Verify that the hose connections are configured on the cartridge as shown in the diagram in Figure B.7.4-2.</w:t>
            </w:r>
          </w:p>
        </w:tc>
      </w:tr>
      <w:tr w:rsidR="005F282B" w:rsidRPr="00F01347" w14:paraId="79C1A4C5" w14:textId="3F10585E" w:rsidTr="008468D4">
        <w:tc>
          <w:tcPr>
            <w:tcW w:w="4675" w:type="dxa"/>
          </w:tcPr>
          <w:p w14:paraId="012B6B57"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Asegúrese de tener instalado el filtro de 660 nm en el detector.</w:t>
            </w:r>
          </w:p>
        </w:tc>
        <w:tc>
          <w:tcPr>
            <w:tcW w:w="4675" w:type="dxa"/>
          </w:tcPr>
          <w:p w14:paraId="711ADCAC" w14:textId="42437F7B"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 xml:space="preserve">Make sure </w:t>
            </w:r>
            <w:r w:rsidR="00071DA6" w:rsidRPr="00F01347">
              <w:rPr>
                <w:rFonts w:ascii="Verdana" w:hAnsi="Verdana"/>
                <w:sz w:val="16"/>
                <w:szCs w:val="16"/>
                <w:lang w:val="en-US"/>
              </w:rPr>
              <w:t>there is</w:t>
            </w:r>
            <w:r w:rsidRPr="00F01347">
              <w:rPr>
                <w:rFonts w:ascii="Verdana" w:hAnsi="Verdana"/>
                <w:sz w:val="16"/>
                <w:szCs w:val="16"/>
                <w:lang w:val="en-US"/>
              </w:rPr>
              <w:t xml:space="preserve"> the 660 nm filter installed on the detector.</w:t>
            </w:r>
          </w:p>
        </w:tc>
      </w:tr>
      <w:tr w:rsidR="005F282B" w:rsidRPr="00F01347" w14:paraId="33A6A138" w14:textId="3077FCCC" w:rsidTr="008468D4">
        <w:tc>
          <w:tcPr>
            <w:tcW w:w="4675" w:type="dxa"/>
          </w:tcPr>
          <w:p w14:paraId="14DB144E"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Active el calentador del cartucho y verifique que la temperatura sea de 50 °C.</w:t>
            </w:r>
          </w:p>
        </w:tc>
        <w:tc>
          <w:tcPr>
            <w:tcW w:w="4675" w:type="dxa"/>
          </w:tcPr>
          <w:p w14:paraId="0629E093" w14:textId="42C9CB58"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Activate the cartridge heater and check that the temperature is 50°C.</w:t>
            </w:r>
          </w:p>
        </w:tc>
      </w:tr>
      <w:tr w:rsidR="005F282B" w:rsidRPr="00F01347" w14:paraId="498E78CF" w14:textId="7AFC2C14" w:rsidTr="008468D4">
        <w:tc>
          <w:tcPr>
            <w:tcW w:w="4675" w:type="dxa"/>
          </w:tcPr>
          <w:p w14:paraId="1A83B39E"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 xml:space="preserve">Llene el depósito de enjuague del </w:t>
            </w:r>
            <w:proofErr w:type="spellStart"/>
            <w:r w:rsidRPr="00F01347">
              <w:rPr>
                <w:rFonts w:ascii="Verdana" w:hAnsi="Verdana"/>
                <w:sz w:val="16"/>
                <w:szCs w:val="16"/>
              </w:rPr>
              <w:t>automuestreador</w:t>
            </w:r>
            <w:proofErr w:type="spellEnd"/>
            <w:r w:rsidRPr="00F01347">
              <w:rPr>
                <w:rFonts w:ascii="Verdana" w:hAnsi="Verdana"/>
                <w:sz w:val="16"/>
                <w:szCs w:val="16"/>
              </w:rPr>
              <w:t xml:space="preserve"> con agua.</w:t>
            </w:r>
          </w:p>
        </w:tc>
        <w:tc>
          <w:tcPr>
            <w:tcW w:w="4675" w:type="dxa"/>
          </w:tcPr>
          <w:p w14:paraId="373405F6" w14:textId="44C8E2B7" w:rsidR="005F282B" w:rsidRPr="00F01347" w:rsidRDefault="00177486"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 xml:space="preserve">Fill the </w:t>
            </w:r>
            <w:r w:rsidR="005F282B" w:rsidRPr="00F01347">
              <w:rPr>
                <w:rFonts w:ascii="Verdana" w:hAnsi="Verdana"/>
                <w:sz w:val="16"/>
                <w:szCs w:val="16"/>
                <w:lang w:val="en-US"/>
              </w:rPr>
              <w:t>autosampler rinse tank with water.</w:t>
            </w:r>
          </w:p>
        </w:tc>
      </w:tr>
      <w:tr w:rsidR="005F282B" w:rsidRPr="00F01347" w14:paraId="739DF709" w14:textId="5B60963A" w:rsidTr="008468D4">
        <w:tc>
          <w:tcPr>
            <w:tcW w:w="4675" w:type="dxa"/>
          </w:tcPr>
          <w:p w14:paraId="79BD70D1" w14:textId="77777777" w:rsidR="005F282B" w:rsidRPr="00F01347" w:rsidRDefault="005F282B" w:rsidP="005F282B">
            <w:pPr>
              <w:pStyle w:val="texto0"/>
              <w:spacing w:line="218" w:lineRule="exact"/>
              <w:ind w:firstLine="0"/>
              <w:rPr>
                <w:rFonts w:ascii="Verdana" w:hAnsi="Verdana"/>
                <w:b/>
                <w:sz w:val="16"/>
                <w:szCs w:val="16"/>
              </w:rPr>
            </w:pPr>
            <w:r w:rsidRPr="00F01347">
              <w:rPr>
                <w:rFonts w:ascii="Verdana" w:hAnsi="Verdana"/>
                <w:b/>
                <w:sz w:val="16"/>
                <w:szCs w:val="16"/>
              </w:rPr>
              <w:t>B.7.4.7.4 Estabilización del equipo</w:t>
            </w:r>
          </w:p>
        </w:tc>
        <w:tc>
          <w:tcPr>
            <w:tcW w:w="4675" w:type="dxa"/>
          </w:tcPr>
          <w:p w14:paraId="23702276" w14:textId="2FE20EE9" w:rsidR="005F282B" w:rsidRPr="00F01347" w:rsidRDefault="005F282B" w:rsidP="005F282B">
            <w:pPr>
              <w:pStyle w:val="texto0"/>
              <w:spacing w:line="218" w:lineRule="exact"/>
              <w:ind w:firstLine="0"/>
              <w:rPr>
                <w:rFonts w:ascii="Verdana" w:hAnsi="Verdana"/>
                <w:b/>
                <w:sz w:val="16"/>
                <w:szCs w:val="16"/>
                <w:lang w:val="en-US"/>
              </w:rPr>
            </w:pPr>
            <w:r w:rsidRPr="00F01347">
              <w:rPr>
                <w:rFonts w:ascii="Verdana" w:hAnsi="Verdana"/>
                <w:b/>
                <w:sz w:val="16"/>
                <w:szCs w:val="16"/>
                <w:lang w:val="en-US"/>
              </w:rPr>
              <w:t>B.7.4.7.4 Equipment stabilization</w:t>
            </w:r>
          </w:p>
        </w:tc>
      </w:tr>
      <w:tr w:rsidR="005F282B" w:rsidRPr="00F01347" w14:paraId="3F633DE9" w14:textId="3705454C" w:rsidTr="008468D4">
        <w:tc>
          <w:tcPr>
            <w:tcW w:w="4675" w:type="dxa"/>
          </w:tcPr>
          <w:p w14:paraId="0E1B10E1"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 xml:space="preserve">Abrir el programa del equipo y asegurarse que la cánula del </w:t>
            </w:r>
            <w:proofErr w:type="spellStart"/>
            <w:r w:rsidRPr="00F01347">
              <w:rPr>
                <w:rFonts w:ascii="Verdana" w:hAnsi="Verdana"/>
                <w:sz w:val="16"/>
                <w:szCs w:val="16"/>
              </w:rPr>
              <w:t>automuestreador</w:t>
            </w:r>
            <w:proofErr w:type="spellEnd"/>
            <w:r w:rsidRPr="00F01347">
              <w:rPr>
                <w:rFonts w:ascii="Verdana" w:hAnsi="Verdana"/>
                <w:sz w:val="16"/>
                <w:szCs w:val="16"/>
              </w:rPr>
              <w:t xml:space="preserve"> se introduzca en la cavidad de enjuague.</w:t>
            </w:r>
          </w:p>
        </w:tc>
        <w:tc>
          <w:tcPr>
            <w:tcW w:w="4675" w:type="dxa"/>
          </w:tcPr>
          <w:p w14:paraId="604034D2" w14:textId="0E62BFF6"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Open the equipment program and ensure that the autosampler cannula is inserted into the rinsing cavity.</w:t>
            </w:r>
          </w:p>
        </w:tc>
      </w:tr>
      <w:tr w:rsidR="005F282B" w:rsidRPr="00F01347" w14:paraId="20658A20" w14:textId="198E7681" w:rsidTr="008468D4">
        <w:tc>
          <w:tcPr>
            <w:tcW w:w="4675" w:type="dxa"/>
          </w:tcPr>
          <w:p w14:paraId="5D4AF9FF"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 xml:space="preserve">Conecte la manguera del reactivo complejante de trabajo (EDTA) a un recipiente con disolución de arranque/lavado y las mangueras del resto de los reactivos a un recipiente con agua. Asegure las grapas de todas las mangueras en la bomba presionándolas hacia abajo hasta que escuche un “clic” y levante todas las palancas correspondientes para presionar las mangueras contra los rodillos de la bomba peristáltica. Accione la bomba a una velocidad de 40% permitiendo que el agua y la disolución de arranque fluyan por </w:t>
            </w:r>
            <w:proofErr w:type="gramStart"/>
            <w:r w:rsidRPr="00F01347">
              <w:rPr>
                <w:rFonts w:ascii="Verdana" w:hAnsi="Verdana"/>
                <w:sz w:val="16"/>
                <w:szCs w:val="16"/>
              </w:rPr>
              <w:t>todo  el</w:t>
            </w:r>
            <w:proofErr w:type="gramEnd"/>
            <w:r w:rsidRPr="00F01347">
              <w:rPr>
                <w:rFonts w:ascii="Verdana" w:hAnsi="Verdana"/>
                <w:sz w:val="16"/>
                <w:szCs w:val="16"/>
              </w:rPr>
              <w:t xml:space="preserve"> sistema.</w:t>
            </w:r>
          </w:p>
        </w:tc>
        <w:tc>
          <w:tcPr>
            <w:tcW w:w="4675" w:type="dxa"/>
          </w:tcPr>
          <w:p w14:paraId="0964E764" w14:textId="4CC0A9E6"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 xml:space="preserve">Connect the working complexing reagent (EDTA) hose to a container with starter/wash solution and the hoses for the rest of the reagents to a container with water. Secure the clamps on all hoses on the pump by pressing them down until </w:t>
            </w:r>
            <w:r w:rsidR="004A6BE5" w:rsidRPr="00F01347">
              <w:rPr>
                <w:rFonts w:ascii="Verdana" w:hAnsi="Verdana"/>
                <w:sz w:val="16"/>
                <w:szCs w:val="16"/>
                <w:lang w:val="en-US"/>
              </w:rPr>
              <w:t>one</w:t>
            </w:r>
            <w:r w:rsidRPr="00F01347">
              <w:rPr>
                <w:rFonts w:ascii="Verdana" w:hAnsi="Verdana"/>
                <w:sz w:val="16"/>
                <w:szCs w:val="16"/>
                <w:lang w:val="en-US"/>
              </w:rPr>
              <w:t xml:space="preserve"> hear a “click” and lift all corresponding levers to press the hoses against the rollers of the peristaltic pump. Operate the pump at a speed of 40% allowing the water and starting solution to flow throughout the system.</w:t>
            </w:r>
          </w:p>
        </w:tc>
      </w:tr>
      <w:tr w:rsidR="005F282B" w:rsidRPr="00F01347" w14:paraId="662910E2" w14:textId="74FB1636" w:rsidTr="008468D4">
        <w:tc>
          <w:tcPr>
            <w:tcW w:w="4675" w:type="dxa"/>
          </w:tcPr>
          <w:p w14:paraId="7270A2F9"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Asegúrese de que no existan fugas en las conexiones, que no haya mangueras presionadas y que los flujos en las mangueras sean constantes.</w:t>
            </w:r>
          </w:p>
        </w:tc>
        <w:tc>
          <w:tcPr>
            <w:tcW w:w="4675" w:type="dxa"/>
          </w:tcPr>
          <w:p w14:paraId="5F9003C3" w14:textId="0DE536F1"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Make sure there are no leaks at the connections, that there are no pinched hoses, and that the flows in the hoses are constant.</w:t>
            </w:r>
          </w:p>
        </w:tc>
      </w:tr>
      <w:tr w:rsidR="005F282B" w:rsidRPr="00F01347" w14:paraId="6321660C" w14:textId="5AD50B9D" w:rsidTr="008468D4">
        <w:tc>
          <w:tcPr>
            <w:tcW w:w="4675" w:type="dxa"/>
          </w:tcPr>
          <w:p w14:paraId="507993A1" w14:textId="77777777" w:rsidR="005F282B" w:rsidRPr="00F01347" w:rsidRDefault="005F282B" w:rsidP="005F282B">
            <w:pPr>
              <w:pStyle w:val="texto0"/>
              <w:spacing w:line="218" w:lineRule="exact"/>
              <w:ind w:firstLine="0"/>
              <w:rPr>
                <w:rFonts w:ascii="Verdana" w:hAnsi="Verdana"/>
                <w:b/>
                <w:sz w:val="16"/>
                <w:szCs w:val="16"/>
              </w:rPr>
            </w:pPr>
            <w:r w:rsidRPr="00F01347">
              <w:rPr>
                <w:rFonts w:ascii="Verdana" w:hAnsi="Verdana"/>
                <w:b/>
                <w:sz w:val="16"/>
                <w:szCs w:val="16"/>
              </w:rPr>
              <w:t>B.7.4.7.5 Verificación de la línea base</w:t>
            </w:r>
          </w:p>
        </w:tc>
        <w:tc>
          <w:tcPr>
            <w:tcW w:w="4675" w:type="dxa"/>
          </w:tcPr>
          <w:p w14:paraId="3A2B7D9F" w14:textId="2D797852" w:rsidR="005F282B" w:rsidRPr="00F01347" w:rsidRDefault="005F282B" w:rsidP="005F282B">
            <w:pPr>
              <w:pStyle w:val="texto0"/>
              <w:spacing w:line="218" w:lineRule="exact"/>
              <w:ind w:firstLine="0"/>
              <w:rPr>
                <w:rFonts w:ascii="Verdana" w:hAnsi="Verdana"/>
                <w:b/>
                <w:sz w:val="16"/>
                <w:szCs w:val="16"/>
                <w:lang w:val="en-US"/>
              </w:rPr>
            </w:pPr>
            <w:r w:rsidRPr="00F01347">
              <w:rPr>
                <w:rFonts w:ascii="Verdana" w:hAnsi="Verdana"/>
                <w:b/>
                <w:sz w:val="16"/>
                <w:szCs w:val="16"/>
                <w:lang w:val="en-US"/>
              </w:rPr>
              <w:t>B.7.4.7.5 Baseline verification</w:t>
            </w:r>
          </w:p>
        </w:tc>
      </w:tr>
      <w:tr w:rsidR="005F282B" w:rsidRPr="00F01347" w14:paraId="34E50AF1" w14:textId="7EE57B78" w:rsidTr="008468D4">
        <w:tc>
          <w:tcPr>
            <w:tcW w:w="4675" w:type="dxa"/>
          </w:tcPr>
          <w:p w14:paraId="1354BD0B"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Crear o cargar un método apropiado para el análisis de N-NH</w:t>
            </w:r>
            <w:r w:rsidRPr="00F01347">
              <w:rPr>
                <w:rFonts w:ascii="Verdana" w:hAnsi="Verdana"/>
                <w:sz w:val="16"/>
                <w:szCs w:val="16"/>
                <w:vertAlign w:val="subscript"/>
              </w:rPr>
              <w:t>3</w:t>
            </w:r>
            <w:r w:rsidRPr="00F01347">
              <w:rPr>
                <w:rFonts w:ascii="Verdana" w:hAnsi="Verdana"/>
                <w:sz w:val="16"/>
                <w:szCs w:val="16"/>
              </w:rPr>
              <w:t xml:space="preserve"> en el programa del equipo. Consultar el Manual del Usuario respectivo del programa para mayor referencia.</w:t>
            </w:r>
          </w:p>
        </w:tc>
        <w:tc>
          <w:tcPr>
            <w:tcW w:w="4675" w:type="dxa"/>
          </w:tcPr>
          <w:p w14:paraId="44BEB224" w14:textId="78F1E33E" w:rsidR="005F282B" w:rsidRPr="00F01347" w:rsidRDefault="00E85BB7"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Create or load an appropriate method for N-NH</w:t>
            </w:r>
            <w:r w:rsidRPr="00F01347">
              <w:rPr>
                <w:rFonts w:ascii="Verdana" w:hAnsi="Verdana"/>
                <w:sz w:val="16"/>
                <w:szCs w:val="16"/>
                <w:vertAlign w:val="subscript"/>
                <w:lang w:val="en-US"/>
              </w:rPr>
              <w:t>3</w:t>
            </w:r>
            <w:r w:rsidRPr="00F01347">
              <w:rPr>
                <w:rFonts w:ascii="Verdana" w:hAnsi="Verdana"/>
                <w:sz w:val="16"/>
                <w:szCs w:val="16"/>
                <w:lang w:val="en-US"/>
              </w:rPr>
              <w:t xml:space="preserve"> analysis into the computer program. Consult the respective User Manual of the program for further reference.</w:t>
            </w:r>
          </w:p>
        </w:tc>
      </w:tr>
      <w:tr w:rsidR="005F282B" w:rsidRPr="00F01347" w14:paraId="52D29086" w14:textId="2AF70F59" w:rsidTr="008468D4">
        <w:tc>
          <w:tcPr>
            <w:tcW w:w="4675" w:type="dxa"/>
          </w:tcPr>
          <w:p w14:paraId="51E17F04"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Crear una secuencia que incluya las muestras que conforman el lote analítico y los controles de calidad. Consultar el Manual del Usuario respectivo del programa para mayor referencia.</w:t>
            </w:r>
          </w:p>
        </w:tc>
        <w:tc>
          <w:tcPr>
            <w:tcW w:w="4675" w:type="dxa"/>
          </w:tcPr>
          <w:p w14:paraId="6314959B" w14:textId="14792ED1"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Create a sequence that includes the samples that make up the analytical batch and the quality controls. Consult the respective User Manual of the program for further reference.</w:t>
            </w:r>
          </w:p>
        </w:tc>
      </w:tr>
      <w:tr w:rsidR="005F282B" w:rsidRPr="00F01347" w14:paraId="43E9132E" w14:textId="1D5E16C3" w:rsidTr="008468D4">
        <w:tc>
          <w:tcPr>
            <w:tcW w:w="4675" w:type="dxa"/>
          </w:tcPr>
          <w:p w14:paraId="72FF36E0"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lastRenderedPageBreak/>
              <w:t>Seleccionar la opción del menú de la ventana principal del programa del equipo. Introducir el nombre y clave del analista, seleccionar el método y la secuencia a usarse en el análisis e indique un nombre y una ruta para guardar los resultados del análisis.</w:t>
            </w:r>
          </w:p>
        </w:tc>
        <w:tc>
          <w:tcPr>
            <w:tcW w:w="4675" w:type="dxa"/>
          </w:tcPr>
          <w:p w14:paraId="3D9BF3E8" w14:textId="0805B7E2"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Select the option from the menu of the main window of the computer program. Enter the name and password of the analyst, select the method and sequence to be used in the analysis, and indicate a name and path to save the analysis results.</w:t>
            </w:r>
          </w:p>
        </w:tc>
      </w:tr>
      <w:tr w:rsidR="005F282B" w:rsidRPr="00F01347" w14:paraId="71386783" w14:textId="6C333122" w:rsidTr="008468D4">
        <w:tc>
          <w:tcPr>
            <w:tcW w:w="4675" w:type="dxa"/>
          </w:tcPr>
          <w:p w14:paraId="5F91A373"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Comenzar el monitoreo de la línea base presionando el botón respectivo que generalmente tiene el símbolo (</w:t>
            </w:r>
            <w:r w:rsidRPr="00F01347">
              <w:rPr>
                <w:sz w:val="16"/>
                <w:szCs w:val="16"/>
              </w:rPr>
              <w:t>►</w:t>
            </w:r>
            <w:r w:rsidRPr="00F01347">
              <w:rPr>
                <w:rFonts w:ascii="Verdana" w:hAnsi="Verdana"/>
                <w:sz w:val="16"/>
                <w:szCs w:val="16"/>
              </w:rPr>
              <w:t>) ubicado en el margen izquierdo de la pantalla de obtención de datos. Monitorear la línea base por unos minutos. Su magnitud no debe sobrepasar las 1000 µ</w:t>
            </w:r>
            <w:proofErr w:type="spellStart"/>
            <w:r w:rsidRPr="00F01347">
              <w:rPr>
                <w:rFonts w:ascii="Verdana" w:hAnsi="Verdana"/>
                <w:sz w:val="16"/>
                <w:szCs w:val="16"/>
              </w:rPr>
              <w:t>uA</w:t>
            </w:r>
            <w:proofErr w:type="spellEnd"/>
            <w:r w:rsidRPr="00F01347">
              <w:rPr>
                <w:rFonts w:ascii="Verdana" w:hAnsi="Verdana"/>
                <w:sz w:val="16"/>
                <w:szCs w:val="16"/>
              </w:rPr>
              <w:t xml:space="preserve"> y su deriva (desplazamiento hacia arriba o hacia abajo) no debe ser mayor a las 500 µ</w:t>
            </w:r>
            <w:proofErr w:type="spellStart"/>
            <w:r w:rsidRPr="00F01347">
              <w:rPr>
                <w:rFonts w:ascii="Verdana" w:hAnsi="Verdana"/>
                <w:sz w:val="16"/>
                <w:szCs w:val="16"/>
              </w:rPr>
              <w:t>uA</w:t>
            </w:r>
            <w:proofErr w:type="spellEnd"/>
            <w:r w:rsidRPr="00F01347">
              <w:rPr>
                <w:rFonts w:ascii="Verdana" w:hAnsi="Verdana"/>
                <w:sz w:val="16"/>
                <w:szCs w:val="16"/>
              </w:rPr>
              <w:t xml:space="preserve"> en 300 segundos.</w:t>
            </w:r>
          </w:p>
        </w:tc>
        <w:tc>
          <w:tcPr>
            <w:tcW w:w="4675" w:type="dxa"/>
          </w:tcPr>
          <w:p w14:paraId="02F0E110" w14:textId="56941D26"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 xml:space="preserve">Start baseline monitoring by pressing the respective button that generally has the symbol </w:t>
            </w:r>
            <w:r w:rsidR="00CB209C" w:rsidRPr="00F01347">
              <w:rPr>
                <w:rFonts w:ascii="Verdana" w:hAnsi="Verdana"/>
                <w:sz w:val="16"/>
                <w:szCs w:val="16"/>
                <w:lang w:val="en-US"/>
              </w:rPr>
              <w:t>(</w:t>
            </w:r>
            <w:r w:rsidRPr="00F01347">
              <w:rPr>
                <w:sz w:val="16"/>
                <w:szCs w:val="16"/>
                <w:lang w:val="en-US"/>
              </w:rPr>
              <w:t>►</w:t>
            </w:r>
            <w:r w:rsidR="00913802" w:rsidRPr="00F01347">
              <w:rPr>
                <w:sz w:val="16"/>
                <w:szCs w:val="16"/>
                <w:lang w:val="en-US"/>
              </w:rPr>
              <w:t>)</w:t>
            </w:r>
            <w:r w:rsidRPr="00F01347">
              <w:rPr>
                <w:rFonts w:ascii="Verdana" w:hAnsi="Verdana"/>
                <w:sz w:val="16"/>
                <w:szCs w:val="16"/>
                <w:lang w:val="en-US"/>
              </w:rPr>
              <w:t xml:space="preserve"> located on the left side of the data collection screen. Monitor the baseline for a few minutes. Its magnitude must not exceed 1000 µ uA and its drift (up or down displacement) must not be greater than 500 µ uA in 300 seconds.</w:t>
            </w:r>
          </w:p>
        </w:tc>
      </w:tr>
      <w:tr w:rsidR="005F282B" w:rsidRPr="00F01347" w14:paraId="3039D9C1" w14:textId="1CA65C2E" w:rsidTr="008468D4">
        <w:tc>
          <w:tcPr>
            <w:tcW w:w="4675" w:type="dxa"/>
          </w:tcPr>
          <w:p w14:paraId="1BE80CA5"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Si observa fluctuaciones grandes en la línea base o una deriva continua probablemente se deba a la presencia de burbujas en la celda de flujo. Extraer estas burbujas tomando la manguera a la salida del flujo de la celda y forme un bucle con ella. Presionar con los dedos el punto donde se sobreponen las dos secciones de la manguera y tire ligeramente mientras presiona, sosteniendo con la otra mano la porción de la manguera más próxima a la celda de flujo. Observar si se estabiliza la línea base. Repita esta operación hasta que la línea base sea estable.</w:t>
            </w:r>
          </w:p>
        </w:tc>
        <w:tc>
          <w:tcPr>
            <w:tcW w:w="4675" w:type="dxa"/>
          </w:tcPr>
          <w:p w14:paraId="352B07DC" w14:textId="76CB3B2D"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If large fluctuations</w:t>
            </w:r>
            <w:r w:rsidR="00731A7B" w:rsidRPr="00F01347">
              <w:rPr>
                <w:rFonts w:ascii="Verdana" w:hAnsi="Verdana"/>
                <w:sz w:val="16"/>
                <w:szCs w:val="16"/>
                <w:lang w:val="en-US"/>
              </w:rPr>
              <w:t xml:space="preserve"> are observed</w:t>
            </w:r>
            <w:r w:rsidRPr="00F01347">
              <w:rPr>
                <w:rFonts w:ascii="Verdana" w:hAnsi="Verdana"/>
                <w:sz w:val="16"/>
                <w:szCs w:val="16"/>
                <w:lang w:val="en-US"/>
              </w:rPr>
              <w:t xml:space="preserve"> in the baseline or a continuous drift it is probably due to the presence of bubbles in the flow cell. Extract these bubbles by taking the hose at the flow outlet of the cell and forming a loop with it. Press with </w:t>
            </w:r>
            <w:r w:rsidR="004A6BE5" w:rsidRPr="00F01347">
              <w:rPr>
                <w:rFonts w:ascii="Verdana" w:hAnsi="Verdana"/>
                <w:sz w:val="16"/>
                <w:szCs w:val="16"/>
                <w:lang w:val="en-US"/>
              </w:rPr>
              <w:t>one</w:t>
            </w:r>
            <w:r w:rsidRPr="00F01347">
              <w:rPr>
                <w:rFonts w:ascii="Verdana" w:hAnsi="Verdana"/>
                <w:sz w:val="16"/>
                <w:szCs w:val="16"/>
                <w:lang w:val="en-US"/>
              </w:rPr>
              <w:t xml:space="preserve">r fingers where the two sections of the hose overlap and pull lightly while pressing, holding the portion of the hose closest to the flow cell with </w:t>
            </w:r>
            <w:r w:rsidR="004A6BE5" w:rsidRPr="00F01347">
              <w:rPr>
                <w:rFonts w:ascii="Verdana" w:hAnsi="Verdana"/>
                <w:sz w:val="16"/>
                <w:szCs w:val="16"/>
                <w:lang w:val="en-US"/>
              </w:rPr>
              <w:t>one</w:t>
            </w:r>
            <w:r w:rsidRPr="00F01347">
              <w:rPr>
                <w:rFonts w:ascii="Verdana" w:hAnsi="Verdana"/>
                <w:sz w:val="16"/>
                <w:szCs w:val="16"/>
                <w:lang w:val="en-US"/>
              </w:rPr>
              <w:t>r other hand. Observe if the baseline stabilizes. Repeat this operation until the baseline is stable.</w:t>
            </w:r>
          </w:p>
        </w:tc>
      </w:tr>
      <w:tr w:rsidR="005F282B" w:rsidRPr="00F01347" w14:paraId="22B2DD0D" w14:textId="50752A79" w:rsidTr="008468D4">
        <w:tc>
          <w:tcPr>
            <w:tcW w:w="4675" w:type="dxa"/>
          </w:tcPr>
          <w:p w14:paraId="3663835A"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Conectar todas las mangueras a los recipientes de los reactivos correspondientes y verifique nuevamente las condiciones de la línea base.</w:t>
            </w:r>
          </w:p>
        </w:tc>
        <w:tc>
          <w:tcPr>
            <w:tcW w:w="4675" w:type="dxa"/>
          </w:tcPr>
          <w:p w14:paraId="39EB42F8" w14:textId="2794A315"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Connect all hoses to the corresponding reagent containers and check baseline conditions again.</w:t>
            </w:r>
          </w:p>
        </w:tc>
      </w:tr>
      <w:tr w:rsidR="005F282B" w:rsidRPr="00F01347" w14:paraId="4F63327E" w14:textId="61336B02" w:rsidTr="008468D4">
        <w:tc>
          <w:tcPr>
            <w:tcW w:w="4675" w:type="dxa"/>
          </w:tcPr>
          <w:p w14:paraId="42D70EE5" w14:textId="77777777" w:rsidR="005F282B" w:rsidRPr="00F01347" w:rsidRDefault="005F282B" w:rsidP="005F282B">
            <w:pPr>
              <w:pStyle w:val="texto0"/>
              <w:spacing w:line="218" w:lineRule="exact"/>
              <w:ind w:firstLine="0"/>
              <w:rPr>
                <w:rFonts w:ascii="Verdana" w:hAnsi="Verdana"/>
                <w:b/>
                <w:sz w:val="16"/>
                <w:szCs w:val="16"/>
              </w:rPr>
            </w:pPr>
            <w:r w:rsidRPr="00F01347">
              <w:rPr>
                <w:rFonts w:ascii="Verdana" w:hAnsi="Verdana"/>
                <w:b/>
                <w:sz w:val="16"/>
                <w:szCs w:val="16"/>
              </w:rPr>
              <w:t>B.7.4.7.6 Análisis</w:t>
            </w:r>
          </w:p>
        </w:tc>
        <w:tc>
          <w:tcPr>
            <w:tcW w:w="4675" w:type="dxa"/>
          </w:tcPr>
          <w:p w14:paraId="0C9D10F5" w14:textId="0C413486" w:rsidR="005F282B" w:rsidRPr="00F01347" w:rsidRDefault="005F282B" w:rsidP="005F282B">
            <w:pPr>
              <w:pStyle w:val="texto0"/>
              <w:spacing w:line="218" w:lineRule="exact"/>
              <w:ind w:firstLine="0"/>
              <w:rPr>
                <w:rFonts w:ascii="Verdana" w:hAnsi="Verdana"/>
                <w:b/>
                <w:sz w:val="16"/>
                <w:szCs w:val="16"/>
                <w:lang w:val="en-US"/>
              </w:rPr>
            </w:pPr>
            <w:r w:rsidRPr="00F01347">
              <w:rPr>
                <w:rFonts w:ascii="Verdana" w:hAnsi="Verdana"/>
                <w:b/>
                <w:sz w:val="16"/>
                <w:szCs w:val="16"/>
                <w:lang w:val="en-US"/>
              </w:rPr>
              <w:t>B.7.4.7.6 Analysis</w:t>
            </w:r>
          </w:p>
        </w:tc>
      </w:tr>
      <w:tr w:rsidR="005F282B" w:rsidRPr="00F01347" w14:paraId="0D61455F" w14:textId="196A3E42" w:rsidTr="008468D4">
        <w:tc>
          <w:tcPr>
            <w:tcW w:w="4675" w:type="dxa"/>
          </w:tcPr>
          <w:p w14:paraId="2B94FAAB"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 xml:space="preserve">Coloque la(s) gradilla(s) con los estándares y las muestras en el </w:t>
            </w:r>
            <w:proofErr w:type="spellStart"/>
            <w:r w:rsidRPr="00F01347">
              <w:rPr>
                <w:rFonts w:ascii="Verdana" w:hAnsi="Verdana"/>
                <w:sz w:val="16"/>
                <w:szCs w:val="16"/>
              </w:rPr>
              <w:t>automuestreador</w:t>
            </w:r>
            <w:proofErr w:type="spellEnd"/>
            <w:r w:rsidRPr="00F01347">
              <w:rPr>
                <w:rFonts w:ascii="Verdana" w:hAnsi="Verdana"/>
                <w:sz w:val="16"/>
                <w:szCs w:val="16"/>
              </w:rPr>
              <w:t xml:space="preserve">. Verifique que las posiciones de los tubos coincidan con las especificadas en la secuencia de análisis. La matriz de los </w:t>
            </w:r>
            <w:proofErr w:type="spellStart"/>
            <w:r w:rsidRPr="00F01347">
              <w:rPr>
                <w:rFonts w:ascii="Verdana" w:hAnsi="Verdana"/>
                <w:sz w:val="16"/>
                <w:szCs w:val="16"/>
              </w:rPr>
              <w:t>calibrantes</w:t>
            </w:r>
            <w:proofErr w:type="spellEnd"/>
            <w:r w:rsidRPr="00F01347">
              <w:rPr>
                <w:rFonts w:ascii="Verdana" w:hAnsi="Verdana"/>
                <w:sz w:val="16"/>
                <w:szCs w:val="16"/>
              </w:rPr>
              <w:t>, blancos y muestras sintéticas deben tener la misma matriz que las muestras analizadas.</w:t>
            </w:r>
          </w:p>
        </w:tc>
        <w:tc>
          <w:tcPr>
            <w:tcW w:w="4675" w:type="dxa"/>
          </w:tcPr>
          <w:p w14:paraId="1BE31CAB" w14:textId="6102F3D2" w:rsidR="005F282B" w:rsidRPr="00F01347" w:rsidRDefault="00FF4043"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Place the rack(s) with standards and samples in the autosampler. Verify that the tube positions match those specified in the analysis sequence. The matrix of calibrants, blanks and synthetic samples must have the same matrix as the samples analyzed.</w:t>
            </w:r>
          </w:p>
        </w:tc>
      </w:tr>
      <w:tr w:rsidR="005F282B" w:rsidRPr="00F01347" w14:paraId="3EA368A5" w14:textId="249A24DA" w:rsidTr="008468D4">
        <w:tc>
          <w:tcPr>
            <w:tcW w:w="4675" w:type="dxa"/>
          </w:tcPr>
          <w:p w14:paraId="67AEF96B"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Inicie el análisis presionando el botón respectivo que generalmente tiene el símbolo (</w:t>
            </w:r>
            <w:r w:rsidRPr="00F01347">
              <w:rPr>
                <w:sz w:val="16"/>
                <w:szCs w:val="16"/>
              </w:rPr>
              <w:t>►►</w:t>
            </w:r>
            <w:r w:rsidRPr="00F01347">
              <w:rPr>
                <w:rFonts w:ascii="Verdana" w:hAnsi="Verdana"/>
                <w:sz w:val="16"/>
                <w:szCs w:val="16"/>
              </w:rPr>
              <w:t>) ubicado en el margen izquierdo de la pantalla de obtenci</w:t>
            </w:r>
            <w:r w:rsidRPr="00F01347">
              <w:rPr>
                <w:rFonts w:ascii="Verdana" w:hAnsi="Verdana" w:cs="Verdana"/>
                <w:sz w:val="16"/>
                <w:szCs w:val="16"/>
              </w:rPr>
              <w:t>ó</w:t>
            </w:r>
            <w:r w:rsidRPr="00F01347">
              <w:rPr>
                <w:rFonts w:ascii="Verdana" w:hAnsi="Verdana"/>
                <w:sz w:val="16"/>
                <w:szCs w:val="16"/>
              </w:rPr>
              <w:t>n de datos. Esto inicia el an</w:t>
            </w:r>
            <w:r w:rsidRPr="00F01347">
              <w:rPr>
                <w:rFonts w:ascii="Verdana" w:hAnsi="Verdana" w:cs="Verdana"/>
                <w:sz w:val="16"/>
                <w:szCs w:val="16"/>
              </w:rPr>
              <w:t>á</w:t>
            </w:r>
            <w:r w:rsidRPr="00F01347">
              <w:rPr>
                <w:rFonts w:ascii="Verdana" w:hAnsi="Verdana"/>
                <w:sz w:val="16"/>
                <w:szCs w:val="16"/>
              </w:rPr>
              <w:t xml:space="preserve">lisis </w:t>
            </w:r>
            <w:proofErr w:type="gramStart"/>
            <w:r w:rsidRPr="00F01347">
              <w:rPr>
                <w:rFonts w:ascii="Verdana" w:hAnsi="Verdana"/>
                <w:sz w:val="16"/>
                <w:szCs w:val="16"/>
              </w:rPr>
              <w:t>de acuerdo a</w:t>
            </w:r>
            <w:proofErr w:type="gramEnd"/>
            <w:r w:rsidRPr="00F01347">
              <w:rPr>
                <w:rFonts w:ascii="Verdana" w:hAnsi="Verdana"/>
                <w:sz w:val="16"/>
                <w:szCs w:val="16"/>
              </w:rPr>
              <w:t xml:space="preserve"> la secuencia cargada.</w:t>
            </w:r>
          </w:p>
        </w:tc>
        <w:tc>
          <w:tcPr>
            <w:tcW w:w="4675" w:type="dxa"/>
          </w:tcPr>
          <w:p w14:paraId="488480D5" w14:textId="28828C41"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 xml:space="preserve">Start the analysis by pressing the respective button that generally has the symbol </w:t>
            </w:r>
            <w:r w:rsidR="00CB209C" w:rsidRPr="00F01347">
              <w:rPr>
                <w:rFonts w:ascii="Verdana" w:hAnsi="Verdana"/>
                <w:sz w:val="16"/>
                <w:szCs w:val="16"/>
                <w:lang w:val="en-US"/>
              </w:rPr>
              <w:t>(</w:t>
            </w:r>
            <w:r w:rsidRPr="00F01347">
              <w:rPr>
                <w:sz w:val="16"/>
                <w:szCs w:val="16"/>
                <w:lang w:val="en-US"/>
              </w:rPr>
              <w:t>►►</w:t>
            </w:r>
            <w:r w:rsidR="00913802" w:rsidRPr="00F01347">
              <w:rPr>
                <w:sz w:val="16"/>
                <w:szCs w:val="16"/>
                <w:lang w:val="en-US"/>
              </w:rPr>
              <w:t>)</w:t>
            </w:r>
            <w:r w:rsidRPr="00F01347">
              <w:rPr>
                <w:rFonts w:ascii="Verdana" w:hAnsi="Verdana"/>
                <w:sz w:val="16"/>
                <w:szCs w:val="16"/>
                <w:lang w:val="en-US"/>
              </w:rPr>
              <w:t xml:space="preserve"> located on the left side of the data </w:t>
            </w:r>
            <w:r w:rsidRPr="00F01347">
              <w:rPr>
                <w:rFonts w:ascii="Verdana" w:hAnsi="Verdana" w:cs="Verdana"/>
                <w:sz w:val="16"/>
                <w:szCs w:val="16"/>
                <w:lang w:val="en-US"/>
              </w:rPr>
              <w:t xml:space="preserve">collection screen. </w:t>
            </w:r>
            <w:r w:rsidRPr="00F01347">
              <w:rPr>
                <w:rFonts w:ascii="Verdana" w:hAnsi="Verdana"/>
                <w:sz w:val="16"/>
                <w:szCs w:val="16"/>
                <w:lang w:val="en-US"/>
              </w:rPr>
              <w:t xml:space="preserve">This starts the analysis </w:t>
            </w:r>
            <w:r w:rsidRPr="00F01347">
              <w:rPr>
                <w:rFonts w:ascii="Verdana" w:hAnsi="Verdana" w:cs="Verdana"/>
                <w:sz w:val="16"/>
                <w:szCs w:val="16"/>
                <w:lang w:val="en-US"/>
              </w:rPr>
              <w:t xml:space="preserve">according </w:t>
            </w:r>
            <w:r w:rsidRPr="00F01347">
              <w:rPr>
                <w:rFonts w:ascii="Verdana" w:hAnsi="Verdana"/>
                <w:sz w:val="16"/>
                <w:szCs w:val="16"/>
                <w:lang w:val="en-US"/>
              </w:rPr>
              <w:t>to the loaded sequence.</w:t>
            </w:r>
          </w:p>
        </w:tc>
      </w:tr>
      <w:tr w:rsidR="005F282B" w:rsidRPr="00F01347" w14:paraId="74C9440F" w14:textId="3D750F48" w:rsidTr="008468D4">
        <w:tc>
          <w:tcPr>
            <w:tcW w:w="4675" w:type="dxa"/>
          </w:tcPr>
          <w:p w14:paraId="1DF25590" w14:textId="77777777" w:rsidR="005F282B" w:rsidRPr="00F01347" w:rsidRDefault="005F282B" w:rsidP="005F282B">
            <w:pPr>
              <w:pStyle w:val="texto0"/>
              <w:spacing w:line="218" w:lineRule="exact"/>
              <w:ind w:firstLine="0"/>
              <w:rPr>
                <w:rFonts w:ascii="Verdana" w:hAnsi="Verdana"/>
                <w:sz w:val="16"/>
                <w:szCs w:val="16"/>
              </w:rPr>
            </w:pPr>
            <w:r w:rsidRPr="00F01347">
              <w:rPr>
                <w:rFonts w:ascii="Verdana" w:hAnsi="Verdana"/>
                <w:sz w:val="16"/>
                <w:szCs w:val="16"/>
              </w:rPr>
              <w:t>De ser necesario, realice las diluciones de las muestras que se encuentren fuera del intervalo de trabajo e inclúyalas al final de la secuencia. Anexe también al final de la secuencia las muestras para las que se hayan obtenido resultados poco confiables debido a anomalías durante su análisis, tal como el arrastre de la muestra anterior o el paso de alguna burbuja por el detector. Para anexar muestras a la secuencia abra la tabla durante el análisis del lote presionando el botón correspondiente ubicado en el margen izquierdo de la pantalla de obtención de datos e introduzca la información en las posiciones disponibles al final de la secuencia.</w:t>
            </w:r>
          </w:p>
        </w:tc>
        <w:tc>
          <w:tcPr>
            <w:tcW w:w="4675" w:type="dxa"/>
          </w:tcPr>
          <w:p w14:paraId="4ED821DC" w14:textId="3528E6AC" w:rsidR="005F282B" w:rsidRPr="00F01347" w:rsidRDefault="005F282B" w:rsidP="005F282B">
            <w:pPr>
              <w:pStyle w:val="texto0"/>
              <w:spacing w:line="218" w:lineRule="exact"/>
              <w:ind w:firstLine="0"/>
              <w:rPr>
                <w:rFonts w:ascii="Verdana" w:hAnsi="Verdana"/>
                <w:sz w:val="16"/>
                <w:szCs w:val="16"/>
                <w:lang w:val="en-US"/>
              </w:rPr>
            </w:pPr>
            <w:r w:rsidRPr="00F01347">
              <w:rPr>
                <w:rFonts w:ascii="Verdana" w:hAnsi="Verdana"/>
                <w:sz w:val="16"/>
                <w:szCs w:val="16"/>
                <w:lang w:val="en-US"/>
              </w:rPr>
              <w:t>If necessary, dilute samples outside the working range and include them at the end of the sequence. Also attach to the end of the sequence samples for which unreliable results have been obtained due to anomalies during their analysis, such as the carryover of the previous sample or the passage of a bubble through the detector. To add samples to the sequence, open the table during the batch analysis by pressing the corresponding button located on the left side of the data collection screen and enter the information in the positions available at the end of the sequence.</w:t>
            </w:r>
          </w:p>
        </w:tc>
      </w:tr>
      <w:tr w:rsidR="005F282B" w:rsidRPr="00F01347" w14:paraId="37B745D4" w14:textId="78C353FB" w:rsidTr="008468D4">
        <w:tc>
          <w:tcPr>
            <w:tcW w:w="4675" w:type="dxa"/>
          </w:tcPr>
          <w:p w14:paraId="6844EFFA"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 xml:space="preserve">Una vez terminado el análisis, cambie la manguera del reactivo complejante de trabajo (EDTA) a un recipiente con disolución de arranque/lavado y las mangueras del </w:t>
            </w:r>
            <w:r w:rsidRPr="00F01347">
              <w:rPr>
                <w:rFonts w:ascii="Verdana" w:hAnsi="Verdana"/>
                <w:sz w:val="16"/>
                <w:szCs w:val="16"/>
              </w:rPr>
              <w:lastRenderedPageBreak/>
              <w:t>resto de los reactivos a un recipiente con agua desionizada.</w:t>
            </w:r>
          </w:p>
        </w:tc>
        <w:tc>
          <w:tcPr>
            <w:tcW w:w="4675" w:type="dxa"/>
          </w:tcPr>
          <w:p w14:paraId="7879AA62" w14:textId="7D262F12"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lastRenderedPageBreak/>
              <w:t>Once the analysis is complete, change the working complexing reagent (EDTA) hose to a container with starting/wash solution and the remaining reagent hoses to a container with deionized water.</w:t>
            </w:r>
          </w:p>
        </w:tc>
      </w:tr>
      <w:tr w:rsidR="005F282B" w:rsidRPr="00F01347" w14:paraId="1F76EFB6" w14:textId="5B26931E" w:rsidTr="008468D4">
        <w:tc>
          <w:tcPr>
            <w:tcW w:w="4675" w:type="dxa"/>
          </w:tcPr>
          <w:p w14:paraId="0CFEA119"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Deje fluir por todo el sistema el agua desionizada y la disolución de lavado por 15 minutos para limpiarlo.</w:t>
            </w:r>
          </w:p>
        </w:tc>
        <w:tc>
          <w:tcPr>
            <w:tcW w:w="4675" w:type="dxa"/>
          </w:tcPr>
          <w:p w14:paraId="71E6D53D" w14:textId="3CE8B688"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Allow deionized water and flushing solution to flow through the system for 15 minutes to clean it.</w:t>
            </w:r>
          </w:p>
        </w:tc>
      </w:tr>
      <w:tr w:rsidR="005F282B" w:rsidRPr="00F01347" w14:paraId="3C510AEF" w14:textId="6CD26C5B" w:rsidTr="008468D4">
        <w:tc>
          <w:tcPr>
            <w:tcW w:w="4675" w:type="dxa"/>
          </w:tcPr>
          <w:p w14:paraId="30D6D25D"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Detenga la bomba, libere las grapas de las mangueras en la bomba peristáltica, apague el equipo y vacíe el recipiente de desechos.</w:t>
            </w:r>
          </w:p>
        </w:tc>
        <w:tc>
          <w:tcPr>
            <w:tcW w:w="4675" w:type="dxa"/>
          </w:tcPr>
          <w:p w14:paraId="5F93BFCA" w14:textId="46AF55F3"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Stop the pump, release the hose clips on the peristaltic pump, turn off the equipment, and empty the waste container.</w:t>
            </w:r>
          </w:p>
        </w:tc>
      </w:tr>
      <w:tr w:rsidR="005F282B" w:rsidRPr="00F01347" w14:paraId="59721A2E" w14:textId="67C8C4A3" w:rsidTr="008468D4">
        <w:tc>
          <w:tcPr>
            <w:tcW w:w="4675" w:type="dxa"/>
          </w:tcPr>
          <w:p w14:paraId="0C1D41CD"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Si observa precipitación al conectar la línea del fenol alcalino, puede deberse a una baja calidad de los reactivos, en particular del EDTA, o demasiado Brij-35.</w:t>
            </w:r>
          </w:p>
        </w:tc>
        <w:tc>
          <w:tcPr>
            <w:tcW w:w="4675" w:type="dxa"/>
          </w:tcPr>
          <w:p w14:paraId="1C2C82A0" w14:textId="55D8EDF8"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If precipitation</w:t>
            </w:r>
            <w:r w:rsidR="001233D7" w:rsidRPr="00F01347">
              <w:rPr>
                <w:rFonts w:ascii="Verdana" w:hAnsi="Verdana"/>
                <w:sz w:val="16"/>
                <w:szCs w:val="16"/>
                <w:lang w:val="en-US"/>
              </w:rPr>
              <w:t xml:space="preserve"> is observed</w:t>
            </w:r>
            <w:r w:rsidRPr="00F01347">
              <w:rPr>
                <w:rFonts w:ascii="Verdana" w:hAnsi="Verdana"/>
                <w:sz w:val="16"/>
                <w:szCs w:val="16"/>
                <w:lang w:val="en-US"/>
              </w:rPr>
              <w:t xml:space="preserve"> when connecting the alkaline phenol line, it may be due to poor reagent quality, particularly EDTA, or too much Brij-35.</w:t>
            </w:r>
          </w:p>
        </w:tc>
      </w:tr>
      <w:tr w:rsidR="005F282B" w:rsidRPr="00F01347" w14:paraId="40891D85" w14:textId="434533DD" w:rsidTr="008468D4">
        <w:tc>
          <w:tcPr>
            <w:tcW w:w="4675" w:type="dxa"/>
          </w:tcPr>
          <w:p w14:paraId="09634635"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La precipitación al conectar el fenol alcalino también puede presentarse si la muestra contiene calcio o magnesio en tal cantidad que sobrepase la capacidad complejante del EDTA. Si eso ocurre, aumente la concentración de EDTA en el reactivo complejante. Se sugiere aumentar la cantidad en un 50%, ya que demasiado EDTA ocasiona un aumento considerable en el ruido.</w:t>
            </w:r>
          </w:p>
        </w:tc>
        <w:tc>
          <w:tcPr>
            <w:tcW w:w="4675" w:type="dxa"/>
          </w:tcPr>
          <w:p w14:paraId="50E36D84" w14:textId="274BEF27"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Precipitation upon connection of alkaline phenol can also occur if the sample contains calcium or magnesium in such an amount that it exceeds the complexing capacity of EDTA. If this occurs, increase the concentration of EDTA in the complexing reagent. It is suggested to increase the amount by 50%, since too much EDTA causes a considerable increase in noise.</w:t>
            </w:r>
          </w:p>
        </w:tc>
      </w:tr>
      <w:tr w:rsidR="005F282B" w:rsidRPr="00F01347" w14:paraId="5C68E0F4" w14:textId="66421793" w:rsidTr="008468D4">
        <w:tc>
          <w:tcPr>
            <w:tcW w:w="4675" w:type="dxa"/>
          </w:tcPr>
          <w:p w14:paraId="673E4EFB"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El pH del medio cuando sale de la celda de flujo debe ser aproximadamente de 12. Verifíquelo con tiras reactivas indicadoras de pH.</w:t>
            </w:r>
          </w:p>
        </w:tc>
        <w:tc>
          <w:tcPr>
            <w:tcW w:w="4675" w:type="dxa"/>
          </w:tcPr>
          <w:p w14:paraId="108F441D" w14:textId="272268E9"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The pH of the medium when it leaves the flow cell should be approximately 12. Check with pH indicator test strips.</w:t>
            </w:r>
          </w:p>
        </w:tc>
      </w:tr>
      <w:tr w:rsidR="005F282B" w:rsidRPr="00F01347" w14:paraId="6E1EFB80" w14:textId="7970BE19" w:rsidTr="008468D4">
        <w:tc>
          <w:tcPr>
            <w:tcW w:w="4675" w:type="dxa"/>
          </w:tcPr>
          <w:p w14:paraId="3E8ACE74"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Para mejorar el desempeño del método a bajas concentraciones se recomienda:</w:t>
            </w:r>
          </w:p>
        </w:tc>
        <w:tc>
          <w:tcPr>
            <w:tcW w:w="4675" w:type="dxa"/>
          </w:tcPr>
          <w:p w14:paraId="7539C522" w14:textId="6E1F7FE5"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To improve the performance of the method at low concentrations it is recommended:</w:t>
            </w:r>
          </w:p>
        </w:tc>
      </w:tr>
      <w:tr w:rsidR="005F282B" w:rsidRPr="00F01347" w14:paraId="5340E2E6" w14:textId="314AC762" w:rsidTr="008468D4">
        <w:tc>
          <w:tcPr>
            <w:tcW w:w="4675" w:type="dxa"/>
          </w:tcPr>
          <w:p w14:paraId="35A342A7"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Preparar una dilución 1:10 de la disolución complejante de trabajo.</w:t>
            </w:r>
          </w:p>
        </w:tc>
        <w:tc>
          <w:tcPr>
            <w:tcW w:w="4675" w:type="dxa"/>
          </w:tcPr>
          <w:p w14:paraId="1CCFC9A7" w14:textId="497A5872"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Prepare a 1:10 dilution of the working complexing solution.</w:t>
            </w:r>
          </w:p>
        </w:tc>
      </w:tr>
      <w:tr w:rsidR="005F282B" w:rsidRPr="00F01347" w14:paraId="64DE6AB2" w14:textId="4E6A8C9C" w:rsidTr="008468D4">
        <w:tc>
          <w:tcPr>
            <w:tcW w:w="4675" w:type="dxa"/>
          </w:tcPr>
          <w:p w14:paraId="7B4D7069"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Disminuir el intervalo de trabajo de manera que se acerque a la concentración de las muestras.</w:t>
            </w:r>
          </w:p>
        </w:tc>
        <w:tc>
          <w:tcPr>
            <w:tcW w:w="4675" w:type="dxa"/>
          </w:tcPr>
          <w:p w14:paraId="68A110D0" w14:textId="759FE8C0"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Decrease the working interval so that it approaches the concentration of the samples.</w:t>
            </w:r>
          </w:p>
        </w:tc>
      </w:tr>
      <w:tr w:rsidR="005F282B" w:rsidRPr="00F01347" w14:paraId="57D21A07" w14:textId="723A34BF" w:rsidTr="008468D4">
        <w:tc>
          <w:tcPr>
            <w:tcW w:w="4675" w:type="dxa"/>
          </w:tcPr>
          <w:p w14:paraId="43B026ED"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Aumentar el tiempo de duración del ciclo en las condiciones del método para mejorar el desempeño del método a concentraciones altas.</w:t>
            </w:r>
          </w:p>
        </w:tc>
        <w:tc>
          <w:tcPr>
            <w:tcW w:w="4675" w:type="dxa"/>
          </w:tcPr>
          <w:p w14:paraId="3E06749B" w14:textId="12B0F7B4"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Increase cycle time at method conditions to improve method performance at high concentrations.</w:t>
            </w:r>
          </w:p>
        </w:tc>
      </w:tr>
      <w:tr w:rsidR="005F282B" w:rsidRPr="00F01347" w14:paraId="789C6071" w14:textId="073886E4" w:rsidTr="008468D4">
        <w:tc>
          <w:tcPr>
            <w:tcW w:w="4675" w:type="dxa"/>
          </w:tcPr>
          <w:p w14:paraId="323D66C5" w14:textId="77777777" w:rsidR="005F282B" w:rsidRPr="00F01347" w:rsidRDefault="005F282B" w:rsidP="005F282B">
            <w:pPr>
              <w:pStyle w:val="texto0"/>
              <w:spacing w:line="239" w:lineRule="exact"/>
              <w:ind w:firstLine="0"/>
              <w:rPr>
                <w:rFonts w:ascii="Verdana" w:hAnsi="Verdana"/>
                <w:b/>
                <w:sz w:val="16"/>
                <w:szCs w:val="16"/>
              </w:rPr>
            </w:pPr>
            <w:r w:rsidRPr="00F01347">
              <w:rPr>
                <w:rFonts w:ascii="Verdana" w:hAnsi="Verdana"/>
                <w:b/>
                <w:sz w:val="16"/>
                <w:szCs w:val="16"/>
              </w:rPr>
              <w:t>B.7.4.7.7 Análisis de datos y cálculos</w:t>
            </w:r>
          </w:p>
        </w:tc>
        <w:tc>
          <w:tcPr>
            <w:tcW w:w="4675" w:type="dxa"/>
          </w:tcPr>
          <w:p w14:paraId="1E9B8C62" w14:textId="2A1B61E0" w:rsidR="005F282B" w:rsidRPr="00F01347" w:rsidRDefault="005F282B" w:rsidP="005F282B">
            <w:pPr>
              <w:pStyle w:val="texto0"/>
              <w:spacing w:line="239" w:lineRule="exact"/>
              <w:ind w:firstLine="0"/>
              <w:rPr>
                <w:rFonts w:ascii="Verdana" w:hAnsi="Verdana"/>
                <w:b/>
                <w:sz w:val="16"/>
                <w:szCs w:val="16"/>
                <w:lang w:val="en-US"/>
              </w:rPr>
            </w:pPr>
            <w:r w:rsidRPr="00F01347">
              <w:rPr>
                <w:rFonts w:ascii="Verdana" w:hAnsi="Verdana"/>
                <w:b/>
                <w:sz w:val="16"/>
                <w:szCs w:val="16"/>
                <w:lang w:val="en-US"/>
              </w:rPr>
              <w:t>B.7.4.7.7 Data analysis and calculations</w:t>
            </w:r>
          </w:p>
        </w:tc>
      </w:tr>
      <w:tr w:rsidR="005F282B" w:rsidRPr="00F01347" w14:paraId="286EAC86" w14:textId="446A3954" w:rsidTr="008468D4">
        <w:tc>
          <w:tcPr>
            <w:tcW w:w="4675" w:type="dxa"/>
          </w:tcPr>
          <w:p w14:paraId="222CB6D4"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La curva de calibración permite al equipo calcular automáticamente la concentración de las muestras. Las unidades de los valores arrojados son las mismas que se usaron para los estándares, que son mg/</w:t>
            </w:r>
            <w:proofErr w:type="gramStart"/>
            <w:r w:rsidRPr="00F01347">
              <w:rPr>
                <w:rFonts w:ascii="Verdana" w:hAnsi="Verdana"/>
                <w:sz w:val="16"/>
                <w:szCs w:val="16"/>
              </w:rPr>
              <w:t>L  de</w:t>
            </w:r>
            <w:proofErr w:type="gramEnd"/>
            <w:r w:rsidRPr="00F01347">
              <w:rPr>
                <w:rFonts w:ascii="Verdana" w:hAnsi="Verdana"/>
                <w:sz w:val="16"/>
                <w:szCs w:val="16"/>
              </w:rPr>
              <w:t xml:space="preserve"> N-NH</w:t>
            </w:r>
            <w:r w:rsidRPr="00F01347">
              <w:rPr>
                <w:rFonts w:ascii="Verdana" w:hAnsi="Verdana"/>
                <w:sz w:val="16"/>
                <w:szCs w:val="16"/>
                <w:vertAlign w:val="subscript"/>
              </w:rPr>
              <w:t>3</w:t>
            </w:r>
            <w:r w:rsidRPr="00F01347">
              <w:rPr>
                <w:rFonts w:ascii="Verdana" w:hAnsi="Verdana"/>
                <w:sz w:val="16"/>
                <w:szCs w:val="16"/>
              </w:rPr>
              <w:t>.</w:t>
            </w:r>
          </w:p>
        </w:tc>
        <w:tc>
          <w:tcPr>
            <w:tcW w:w="4675" w:type="dxa"/>
          </w:tcPr>
          <w:p w14:paraId="3A2613BF" w14:textId="7E2E16EF"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The calibration curve allows the equipment to automatically calculate the concentration of the samples. The units of the values returned are the same as those used for the standards, which are mg/ L of N-NH</w:t>
            </w:r>
            <w:r w:rsidRPr="00F01347">
              <w:rPr>
                <w:rFonts w:ascii="Verdana" w:hAnsi="Verdana"/>
                <w:sz w:val="16"/>
                <w:szCs w:val="16"/>
                <w:vertAlign w:val="subscript"/>
                <w:lang w:val="en-US"/>
              </w:rPr>
              <w:t>3</w:t>
            </w:r>
            <w:r w:rsidR="003E1BA9" w:rsidRPr="00F01347">
              <w:rPr>
                <w:rFonts w:ascii="Verdana" w:hAnsi="Verdana"/>
                <w:sz w:val="16"/>
                <w:szCs w:val="16"/>
                <w:vertAlign w:val="subscript"/>
                <w:lang w:val="en-US"/>
              </w:rPr>
              <w:t>.</w:t>
            </w:r>
          </w:p>
        </w:tc>
      </w:tr>
      <w:tr w:rsidR="005F282B" w:rsidRPr="00F01347" w14:paraId="1CA357A9" w14:textId="4D0E6EBA" w:rsidTr="008468D4">
        <w:tc>
          <w:tcPr>
            <w:tcW w:w="4675" w:type="dxa"/>
          </w:tcPr>
          <w:p w14:paraId="38DD4B6D" w14:textId="77777777" w:rsidR="005F282B" w:rsidRPr="00F01347" w:rsidRDefault="005F282B" w:rsidP="005F282B">
            <w:pPr>
              <w:pStyle w:val="texto0"/>
              <w:spacing w:line="239" w:lineRule="exact"/>
              <w:ind w:firstLine="0"/>
              <w:rPr>
                <w:rFonts w:ascii="Verdana" w:hAnsi="Verdana"/>
                <w:b/>
                <w:sz w:val="16"/>
                <w:szCs w:val="16"/>
              </w:rPr>
            </w:pPr>
            <w:r w:rsidRPr="00F01347">
              <w:rPr>
                <w:rFonts w:ascii="Verdana" w:hAnsi="Verdana"/>
                <w:b/>
                <w:sz w:val="16"/>
                <w:szCs w:val="16"/>
              </w:rPr>
              <w:t>B.7.4.7.8 Informe de prueba.</w:t>
            </w:r>
          </w:p>
        </w:tc>
        <w:tc>
          <w:tcPr>
            <w:tcW w:w="4675" w:type="dxa"/>
          </w:tcPr>
          <w:p w14:paraId="3DBAB747" w14:textId="7FA8E8EC" w:rsidR="005F282B" w:rsidRPr="00F01347" w:rsidRDefault="005F282B" w:rsidP="005F282B">
            <w:pPr>
              <w:pStyle w:val="texto0"/>
              <w:spacing w:line="239" w:lineRule="exact"/>
              <w:ind w:firstLine="0"/>
              <w:rPr>
                <w:rFonts w:ascii="Verdana" w:hAnsi="Verdana"/>
                <w:b/>
                <w:sz w:val="16"/>
                <w:szCs w:val="16"/>
                <w:lang w:val="en-US"/>
              </w:rPr>
            </w:pPr>
            <w:r w:rsidRPr="00F01347">
              <w:rPr>
                <w:rFonts w:ascii="Verdana" w:hAnsi="Verdana"/>
                <w:b/>
                <w:sz w:val="16"/>
                <w:szCs w:val="16"/>
                <w:lang w:val="en-US"/>
              </w:rPr>
              <w:t>B.7.4.7.8 Test report.</w:t>
            </w:r>
          </w:p>
        </w:tc>
      </w:tr>
      <w:tr w:rsidR="005F282B" w:rsidRPr="00F01347" w14:paraId="1CA1340D" w14:textId="3DB495F1" w:rsidTr="008468D4">
        <w:tc>
          <w:tcPr>
            <w:tcW w:w="4675" w:type="dxa"/>
          </w:tcPr>
          <w:p w14:paraId="4166B7AD"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Reportar el resultado como mg/L de nitrógeno amoniacal (N-NH</w:t>
            </w:r>
            <w:r w:rsidRPr="00F01347">
              <w:rPr>
                <w:rFonts w:ascii="Verdana" w:hAnsi="Verdana"/>
                <w:sz w:val="16"/>
                <w:szCs w:val="16"/>
                <w:vertAlign w:val="subscript"/>
              </w:rPr>
              <w:t>3</w:t>
            </w:r>
            <w:r w:rsidRPr="00F01347">
              <w:rPr>
                <w:rFonts w:ascii="Verdana" w:hAnsi="Verdana"/>
                <w:sz w:val="16"/>
                <w:szCs w:val="16"/>
              </w:rPr>
              <w:t>).</w:t>
            </w:r>
          </w:p>
        </w:tc>
        <w:tc>
          <w:tcPr>
            <w:tcW w:w="4675" w:type="dxa"/>
          </w:tcPr>
          <w:p w14:paraId="53E9182A" w14:textId="08C6ADF8"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Report the result as mg/L of ammoniacal nitrogen (N-NH</w:t>
            </w:r>
            <w:r w:rsidRPr="00F01347">
              <w:rPr>
                <w:rFonts w:ascii="Verdana" w:hAnsi="Verdana"/>
                <w:sz w:val="16"/>
                <w:szCs w:val="16"/>
                <w:vertAlign w:val="subscript"/>
                <w:lang w:val="en-US"/>
              </w:rPr>
              <w:t>3</w:t>
            </w:r>
            <w:r w:rsidR="00913802" w:rsidRPr="00F01347">
              <w:rPr>
                <w:rFonts w:ascii="Verdana" w:hAnsi="Verdana"/>
                <w:sz w:val="16"/>
                <w:szCs w:val="16"/>
                <w:lang w:val="en-US"/>
              </w:rPr>
              <w:t>)</w:t>
            </w:r>
            <w:r w:rsidRPr="00F01347">
              <w:rPr>
                <w:rFonts w:ascii="Verdana" w:hAnsi="Verdana"/>
                <w:sz w:val="16"/>
                <w:szCs w:val="16"/>
                <w:lang w:val="en-US"/>
              </w:rPr>
              <w:t>.</w:t>
            </w:r>
          </w:p>
        </w:tc>
      </w:tr>
      <w:tr w:rsidR="005F282B" w:rsidRPr="00F01347" w14:paraId="6A30C7F5" w14:textId="554FE4F2" w:rsidTr="008468D4">
        <w:tc>
          <w:tcPr>
            <w:tcW w:w="4675" w:type="dxa"/>
          </w:tcPr>
          <w:p w14:paraId="6F56A625" w14:textId="77777777" w:rsidR="005F282B" w:rsidRPr="00F01347" w:rsidRDefault="005F282B" w:rsidP="005F282B">
            <w:pPr>
              <w:pStyle w:val="texto0"/>
              <w:spacing w:line="239" w:lineRule="exact"/>
              <w:ind w:firstLine="0"/>
              <w:rPr>
                <w:rFonts w:ascii="Verdana" w:hAnsi="Verdana"/>
                <w:b/>
                <w:sz w:val="16"/>
                <w:szCs w:val="16"/>
              </w:rPr>
            </w:pPr>
            <w:r w:rsidRPr="00F01347">
              <w:rPr>
                <w:rFonts w:ascii="Verdana" w:hAnsi="Verdana"/>
                <w:b/>
                <w:sz w:val="16"/>
                <w:szCs w:val="16"/>
              </w:rPr>
              <w:t>B.7.4.8 Control de calidad, calibración e interferencias</w:t>
            </w:r>
          </w:p>
        </w:tc>
        <w:tc>
          <w:tcPr>
            <w:tcW w:w="4675" w:type="dxa"/>
          </w:tcPr>
          <w:p w14:paraId="750EEE3B" w14:textId="35C4D130" w:rsidR="005F282B" w:rsidRPr="00F01347" w:rsidRDefault="005F282B" w:rsidP="005F282B">
            <w:pPr>
              <w:pStyle w:val="texto0"/>
              <w:spacing w:line="239" w:lineRule="exact"/>
              <w:ind w:firstLine="0"/>
              <w:rPr>
                <w:rFonts w:ascii="Verdana" w:hAnsi="Verdana"/>
                <w:b/>
                <w:sz w:val="16"/>
                <w:szCs w:val="16"/>
                <w:lang w:val="en-US"/>
              </w:rPr>
            </w:pPr>
            <w:r w:rsidRPr="00F01347">
              <w:rPr>
                <w:rFonts w:ascii="Verdana" w:hAnsi="Verdana"/>
                <w:b/>
                <w:sz w:val="16"/>
                <w:szCs w:val="16"/>
                <w:lang w:val="en-US"/>
              </w:rPr>
              <w:t xml:space="preserve">B.7.4.8 Quality control, </w:t>
            </w:r>
            <w:r w:rsidR="001233D7" w:rsidRPr="00F01347">
              <w:rPr>
                <w:rFonts w:ascii="Verdana" w:hAnsi="Verdana"/>
                <w:b/>
                <w:sz w:val="16"/>
                <w:szCs w:val="16"/>
                <w:lang w:val="en-US"/>
              </w:rPr>
              <w:t>calibration,</w:t>
            </w:r>
            <w:r w:rsidRPr="00F01347">
              <w:rPr>
                <w:rFonts w:ascii="Verdana" w:hAnsi="Verdana"/>
                <w:b/>
                <w:sz w:val="16"/>
                <w:szCs w:val="16"/>
                <w:lang w:val="en-US"/>
              </w:rPr>
              <w:t xml:space="preserve"> and interferences</w:t>
            </w:r>
          </w:p>
        </w:tc>
      </w:tr>
      <w:tr w:rsidR="005F282B" w:rsidRPr="00F01347" w14:paraId="39128219" w14:textId="7F69E2B5" w:rsidTr="008468D4">
        <w:tc>
          <w:tcPr>
            <w:tcW w:w="4675" w:type="dxa"/>
          </w:tcPr>
          <w:p w14:paraId="6C73FF35" w14:textId="77777777" w:rsidR="005F282B" w:rsidRPr="00F01347" w:rsidRDefault="005F282B" w:rsidP="005F282B">
            <w:pPr>
              <w:pStyle w:val="texto0"/>
              <w:spacing w:line="239" w:lineRule="exact"/>
              <w:ind w:firstLine="0"/>
              <w:rPr>
                <w:rFonts w:ascii="Verdana" w:hAnsi="Verdana"/>
                <w:b/>
                <w:sz w:val="16"/>
                <w:szCs w:val="16"/>
              </w:rPr>
            </w:pPr>
            <w:r w:rsidRPr="00F01347">
              <w:rPr>
                <w:rFonts w:ascii="Verdana" w:hAnsi="Verdana"/>
                <w:b/>
                <w:sz w:val="16"/>
                <w:szCs w:val="16"/>
              </w:rPr>
              <w:t>B.7.4.8.1 Control de Calidad</w:t>
            </w:r>
          </w:p>
        </w:tc>
        <w:tc>
          <w:tcPr>
            <w:tcW w:w="4675" w:type="dxa"/>
          </w:tcPr>
          <w:p w14:paraId="1C2B33D1" w14:textId="3E3A86C6" w:rsidR="005F282B" w:rsidRPr="00F01347" w:rsidRDefault="005F282B" w:rsidP="005F282B">
            <w:pPr>
              <w:pStyle w:val="texto0"/>
              <w:spacing w:line="239" w:lineRule="exact"/>
              <w:ind w:firstLine="0"/>
              <w:rPr>
                <w:rFonts w:ascii="Verdana" w:hAnsi="Verdana"/>
                <w:b/>
                <w:sz w:val="16"/>
                <w:szCs w:val="16"/>
                <w:lang w:val="en-US"/>
              </w:rPr>
            </w:pPr>
            <w:r w:rsidRPr="00F01347">
              <w:rPr>
                <w:rFonts w:ascii="Verdana" w:hAnsi="Verdana"/>
                <w:b/>
                <w:sz w:val="16"/>
                <w:szCs w:val="16"/>
                <w:lang w:val="en-US"/>
              </w:rPr>
              <w:t>B.7.4.8.1 Quality Control</w:t>
            </w:r>
          </w:p>
        </w:tc>
      </w:tr>
      <w:tr w:rsidR="005F282B" w:rsidRPr="00F01347" w14:paraId="5FF2E644" w14:textId="49107EA6" w:rsidTr="008468D4">
        <w:tc>
          <w:tcPr>
            <w:tcW w:w="4675" w:type="dxa"/>
          </w:tcPr>
          <w:p w14:paraId="1615DE03"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b/>
                <w:sz w:val="16"/>
                <w:szCs w:val="16"/>
              </w:rPr>
              <w:t xml:space="preserve">B.7.4.8.1.1 </w:t>
            </w:r>
            <w:r w:rsidRPr="00F01347">
              <w:rPr>
                <w:rFonts w:ascii="Verdana" w:hAnsi="Verdana"/>
                <w:sz w:val="16"/>
                <w:szCs w:val="16"/>
              </w:rPr>
              <w:t>Verificación del equipo. Asegure el buen funcionamiento del equipo verificando los Indicadores de Calidad de la técnica.</w:t>
            </w:r>
          </w:p>
        </w:tc>
        <w:tc>
          <w:tcPr>
            <w:tcW w:w="4675" w:type="dxa"/>
          </w:tcPr>
          <w:p w14:paraId="18D786AA" w14:textId="66513AA9" w:rsidR="005F282B" w:rsidRPr="00F01347" w:rsidRDefault="005F282B" w:rsidP="005F282B">
            <w:pPr>
              <w:pStyle w:val="texto0"/>
              <w:spacing w:line="239" w:lineRule="exact"/>
              <w:ind w:firstLine="0"/>
              <w:rPr>
                <w:rFonts w:ascii="Verdana" w:hAnsi="Verdana"/>
                <w:b/>
                <w:sz w:val="16"/>
                <w:szCs w:val="16"/>
                <w:lang w:val="en-US"/>
              </w:rPr>
            </w:pPr>
            <w:r w:rsidRPr="00F01347">
              <w:rPr>
                <w:rFonts w:ascii="Verdana" w:hAnsi="Verdana"/>
                <w:b/>
                <w:sz w:val="16"/>
                <w:szCs w:val="16"/>
                <w:lang w:val="en-US"/>
              </w:rPr>
              <w:t xml:space="preserve">B.7.4.8.1.1 </w:t>
            </w:r>
            <w:r w:rsidRPr="00F01347">
              <w:rPr>
                <w:rFonts w:ascii="Verdana" w:hAnsi="Verdana"/>
                <w:sz w:val="16"/>
                <w:szCs w:val="16"/>
                <w:lang w:val="en-US"/>
              </w:rPr>
              <w:t>Equipment verification. Ensure the proper functioning of the equipment by verifying the Quality Indicators of the technique.</w:t>
            </w:r>
          </w:p>
        </w:tc>
      </w:tr>
      <w:tr w:rsidR="005F282B" w:rsidRPr="00F01347" w14:paraId="22051839" w14:textId="27EDE5F7" w:rsidTr="008468D4">
        <w:tc>
          <w:tcPr>
            <w:tcW w:w="4675" w:type="dxa"/>
          </w:tcPr>
          <w:p w14:paraId="04789BFE" w14:textId="77777777" w:rsidR="005F282B" w:rsidRPr="00F01347" w:rsidRDefault="005F282B" w:rsidP="005F282B">
            <w:pPr>
              <w:pStyle w:val="texto0"/>
              <w:spacing w:line="239" w:lineRule="exact"/>
              <w:ind w:firstLine="0"/>
              <w:rPr>
                <w:rFonts w:ascii="Verdana" w:hAnsi="Verdana"/>
                <w:b/>
                <w:sz w:val="16"/>
                <w:szCs w:val="16"/>
              </w:rPr>
            </w:pPr>
            <w:r w:rsidRPr="00F01347">
              <w:rPr>
                <w:rFonts w:ascii="Verdana" w:hAnsi="Verdana"/>
                <w:b/>
                <w:sz w:val="16"/>
                <w:szCs w:val="16"/>
              </w:rPr>
              <w:t xml:space="preserve">B.7.4.8.1.2 </w:t>
            </w:r>
            <w:r w:rsidRPr="00F01347">
              <w:rPr>
                <w:rFonts w:ascii="Verdana" w:hAnsi="Verdana"/>
                <w:sz w:val="16"/>
                <w:szCs w:val="16"/>
              </w:rPr>
              <w:t>Verificación de la calibración.</w:t>
            </w:r>
          </w:p>
        </w:tc>
        <w:tc>
          <w:tcPr>
            <w:tcW w:w="4675" w:type="dxa"/>
          </w:tcPr>
          <w:p w14:paraId="6C9C0101" w14:textId="55445257" w:rsidR="005F282B" w:rsidRPr="00F01347" w:rsidRDefault="005F282B" w:rsidP="005F282B">
            <w:pPr>
              <w:pStyle w:val="texto0"/>
              <w:spacing w:line="239" w:lineRule="exact"/>
              <w:ind w:firstLine="0"/>
              <w:rPr>
                <w:rFonts w:ascii="Verdana" w:hAnsi="Verdana"/>
                <w:b/>
                <w:sz w:val="16"/>
                <w:szCs w:val="16"/>
                <w:lang w:val="en-US"/>
              </w:rPr>
            </w:pPr>
            <w:r w:rsidRPr="00F01347">
              <w:rPr>
                <w:rFonts w:ascii="Verdana" w:hAnsi="Verdana"/>
                <w:b/>
                <w:sz w:val="16"/>
                <w:szCs w:val="16"/>
                <w:lang w:val="en-US"/>
              </w:rPr>
              <w:t xml:space="preserve">B.7.4.8.1.2 </w:t>
            </w:r>
            <w:r w:rsidRPr="00F01347">
              <w:rPr>
                <w:rFonts w:ascii="Verdana" w:hAnsi="Verdana"/>
                <w:sz w:val="16"/>
                <w:szCs w:val="16"/>
                <w:lang w:val="en-US"/>
              </w:rPr>
              <w:t>Calibration verification.</w:t>
            </w:r>
          </w:p>
        </w:tc>
      </w:tr>
      <w:tr w:rsidR="005F282B" w:rsidRPr="00F01347" w14:paraId="79FC37A4" w14:textId="65FFBF9F" w:rsidTr="008468D4">
        <w:tc>
          <w:tcPr>
            <w:tcW w:w="4675" w:type="dxa"/>
          </w:tcPr>
          <w:p w14:paraId="387EF7FB"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lastRenderedPageBreak/>
              <w:t xml:space="preserve">Si para cuantificar la concentración de analito en las muestras y los controles de calidad se emplea una curva de calibración cargada en el programa obtenida anteriormente (en la validación parcial del método), se emplea la respuesta que arroja el pico de sincronía para evaluar la veracidad de la curva. Se compara la respuesta obtenida para este pico con el promedio de las respuestas obtenidas en la validación del método para un estándar de la misma concentración. La diferencia entre estas dos respuestas no debe ser </w:t>
            </w:r>
            <w:proofErr w:type="gramStart"/>
            <w:r w:rsidRPr="00F01347">
              <w:rPr>
                <w:rFonts w:ascii="Verdana" w:hAnsi="Verdana"/>
                <w:sz w:val="16"/>
                <w:szCs w:val="16"/>
              </w:rPr>
              <w:t>mayor  al</w:t>
            </w:r>
            <w:proofErr w:type="gramEnd"/>
            <w:r w:rsidRPr="00F01347">
              <w:rPr>
                <w:rFonts w:ascii="Verdana" w:hAnsi="Verdana"/>
                <w:sz w:val="16"/>
                <w:szCs w:val="16"/>
              </w:rPr>
              <w:t xml:space="preserve"> 15%.</w:t>
            </w:r>
          </w:p>
        </w:tc>
        <w:tc>
          <w:tcPr>
            <w:tcW w:w="4675" w:type="dxa"/>
          </w:tcPr>
          <w:p w14:paraId="1F6715FF" w14:textId="3917B17E"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If a previously obtained calibration curve loaded into the program is used to quantify the analyte concentration in the samples and quality controls (in the partial validation of the method), the response that gives the synchrony peak is used to evaluate the veracity of the curve. The response obtained for this peak is compared with the average of the responses obtained in the validation of the method for a standard of the same concentration. The difference between these two answers should not be more than 15%.</w:t>
            </w:r>
          </w:p>
        </w:tc>
      </w:tr>
      <w:tr w:rsidR="005F282B" w:rsidRPr="00F01347" w14:paraId="0CE14776" w14:textId="4C8D6D35" w:rsidTr="008468D4">
        <w:tc>
          <w:tcPr>
            <w:tcW w:w="4675" w:type="dxa"/>
          </w:tcPr>
          <w:p w14:paraId="5BEF7827"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Si se hace uso de una curva de calibración nueva para cuantificar la concentración de analito en las muestras y los controles de calidad en un lote, se debe preparar un estándar de verificación inicial de la calibración (ICV), el cual contiene al analito en una concentración conocida y que se encuentra dentro del intervalo de trabajo. Se sugiere que esta concentración sea menor o igual al punto medio de la curva de calibración. Este estándar debe ser preparado a partir de una fuente alterna a la que se empleó para construir la curva de calibración.</w:t>
            </w:r>
          </w:p>
        </w:tc>
        <w:tc>
          <w:tcPr>
            <w:tcW w:w="4675" w:type="dxa"/>
          </w:tcPr>
          <w:p w14:paraId="68A364FD" w14:textId="5D00F91A"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If a new calibration curve is used to quantify the analyte concentration in samples and quality controls in a batch, an initial calibration verification (ICV) standard must be prepared, which contains the analyte in a known concentration and which is within the working range. It is suggested that this concentration be less than or equal to the midpoint of the calibration curve. This standard must be prepared from an alternative source to that used to construct the calibration curve.</w:t>
            </w:r>
          </w:p>
        </w:tc>
      </w:tr>
      <w:tr w:rsidR="005F282B" w:rsidRPr="00F01347" w14:paraId="627F1229" w14:textId="4EECB280" w:rsidTr="008468D4">
        <w:tc>
          <w:tcPr>
            <w:tcW w:w="4675" w:type="dxa"/>
          </w:tcPr>
          <w:p w14:paraId="397F44CC"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b/>
                <w:sz w:val="16"/>
                <w:szCs w:val="16"/>
              </w:rPr>
              <w:t>B.7.4.8.1.3</w:t>
            </w:r>
            <w:r w:rsidRPr="00F01347">
              <w:rPr>
                <w:rFonts w:ascii="Verdana" w:hAnsi="Verdana"/>
                <w:sz w:val="16"/>
                <w:szCs w:val="16"/>
              </w:rPr>
              <w:t xml:space="preserve"> Verificación de contaminación de reactivos.</w:t>
            </w:r>
          </w:p>
        </w:tc>
        <w:tc>
          <w:tcPr>
            <w:tcW w:w="4675" w:type="dxa"/>
          </w:tcPr>
          <w:p w14:paraId="6988C6B8" w14:textId="09613B7B" w:rsidR="005F282B" w:rsidRPr="00F01347" w:rsidRDefault="005F282B" w:rsidP="005F282B">
            <w:pPr>
              <w:pStyle w:val="texto0"/>
              <w:spacing w:line="239" w:lineRule="exact"/>
              <w:ind w:firstLine="0"/>
              <w:rPr>
                <w:rFonts w:ascii="Verdana" w:hAnsi="Verdana"/>
                <w:b/>
                <w:sz w:val="16"/>
                <w:szCs w:val="16"/>
                <w:lang w:val="en-US"/>
              </w:rPr>
            </w:pPr>
            <w:r w:rsidRPr="00F01347">
              <w:rPr>
                <w:rFonts w:ascii="Verdana" w:hAnsi="Verdana"/>
                <w:b/>
                <w:sz w:val="16"/>
                <w:szCs w:val="16"/>
                <w:lang w:val="en-US"/>
              </w:rPr>
              <w:t xml:space="preserve">B.7.4.8.1.3 </w:t>
            </w:r>
            <w:r w:rsidRPr="00F01347">
              <w:rPr>
                <w:rFonts w:ascii="Verdana" w:hAnsi="Verdana"/>
                <w:sz w:val="16"/>
                <w:szCs w:val="16"/>
                <w:lang w:val="en-US"/>
              </w:rPr>
              <w:t>Verification of reagent contamination.</w:t>
            </w:r>
          </w:p>
        </w:tc>
      </w:tr>
      <w:tr w:rsidR="005F282B" w:rsidRPr="00F01347" w14:paraId="58EBEDC9" w14:textId="43F6E674" w:rsidTr="008468D4">
        <w:tc>
          <w:tcPr>
            <w:tcW w:w="4675" w:type="dxa"/>
          </w:tcPr>
          <w:p w14:paraId="3FE896BF" w14:textId="77777777" w:rsidR="005F282B" w:rsidRPr="00F01347" w:rsidRDefault="005F282B" w:rsidP="005F282B">
            <w:pPr>
              <w:pStyle w:val="texto0"/>
              <w:spacing w:line="239" w:lineRule="exact"/>
              <w:ind w:firstLine="0"/>
              <w:rPr>
                <w:rFonts w:ascii="Verdana" w:hAnsi="Verdana"/>
                <w:sz w:val="16"/>
                <w:szCs w:val="16"/>
              </w:rPr>
            </w:pPr>
            <w:r w:rsidRPr="00F01347">
              <w:rPr>
                <w:rFonts w:ascii="Verdana" w:hAnsi="Verdana"/>
                <w:sz w:val="16"/>
                <w:szCs w:val="16"/>
              </w:rPr>
              <w:t xml:space="preserve">Se prepara un blanco de reactivos tomando una alícuota de agua desionizada y sometiéndola al mismo procedimiento de preparación y de análisis que el resto de las muestras. La lectura para este blanco de reactivos debe arrojar un valor menor al límite de detección del método. Se debe incluir una </w:t>
            </w:r>
            <w:proofErr w:type="gramStart"/>
            <w:r w:rsidRPr="00F01347">
              <w:rPr>
                <w:rFonts w:ascii="Verdana" w:hAnsi="Verdana"/>
                <w:sz w:val="16"/>
                <w:szCs w:val="16"/>
              </w:rPr>
              <w:t>muestra blanco</w:t>
            </w:r>
            <w:proofErr w:type="gramEnd"/>
            <w:r w:rsidRPr="00F01347">
              <w:rPr>
                <w:rFonts w:ascii="Verdana" w:hAnsi="Verdana"/>
                <w:sz w:val="16"/>
                <w:szCs w:val="16"/>
              </w:rPr>
              <w:t xml:space="preserve"> por cada 20 muestras reales.</w:t>
            </w:r>
          </w:p>
        </w:tc>
        <w:tc>
          <w:tcPr>
            <w:tcW w:w="4675" w:type="dxa"/>
          </w:tcPr>
          <w:p w14:paraId="71F3BD17" w14:textId="723399C6" w:rsidR="005F282B" w:rsidRPr="00F01347" w:rsidRDefault="005F282B" w:rsidP="005F282B">
            <w:pPr>
              <w:pStyle w:val="texto0"/>
              <w:spacing w:line="239" w:lineRule="exact"/>
              <w:ind w:firstLine="0"/>
              <w:rPr>
                <w:rFonts w:ascii="Verdana" w:hAnsi="Verdana"/>
                <w:sz w:val="16"/>
                <w:szCs w:val="16"/>
                <w:lang w:val="en-US"/>
              </w:rPr>
            </w:pPr>
            <w:r w:rsidRPr="00F01347">
              <w:rPr>
                <w:rFonts w:ascii="Verdana" w:hAnsi="Verdana"/>
                <w:sz w:val="16"/>
                <w:szCs w:val="16"/>
                <w:lang w:val="en-US"/>
              </w:rPr>
              <w:t>A reagent blank is prepared by taking an aliquot of deionized water and subjecting it to the same preparation and analysis procedure as the rest of the samples. The reading for this reagent blank must yield a value lower than the detection limit of the method. One blank sample should be included for every 20 real samples.</w:t>
            </w:r>
          </w:p>
        </w:tc>
      </w:tr>
      <w:tr w:rsidR="005F282B" w:rsidRPr="00F01347" w14:paraId="2C3D5D31" w14:textId="0C5D225F" w:rsidTr="008468D4">
        <w:tc>
          <w:tcPr>
            <w:tcW w:w="4675" w:type="dxa"/>
          </w:tcPr>
          <w:p w14:paraId="6E0E0E09" w14:textId="77777777" w:rsidR="005F282B" w:rsidRPr="00F01347" w:rsidRDefault="005F282B" w:rsidP="005F282B">
            <w:pPr>
              <w:pStyle w:val="texto0"/>
              <w:spacing w:after="94" w:line="212" w:lineRule="exact"/>
              <w:ind w:firstLine="0"/>
              <w:rPr>
                <w:rFonts w:ascii="Verdana" w:hAnsi="Verdana"/>
                <w:sz w:val="16"/>
                <w:szCs w:val="16"/>
              </w:rPr>
            </w:pPr>
            <w:r w:rsidRPr="00F01347">
              <w:rPr>
                <w:rFonts w:ascii="Verdana" w:hAnsi="Verdana"/>
                <w:b/>
                <w:sz w:val="16"/>
                <w:szCs w:val="16"/>
              </w:rPr>
              <w:t>B.7.4.8.1.4</w:t>
            </w:r>
            <w:r w:rsidRPr="00F01347">
              <w:rPr>
                <w:rFonts w:ascii="Verdana" w:hAnsi="Verdana"/>
                <w:sz w:val="16"/>
                <w:szCs w:val="16"/>
              </w:rPr>
              <w:t xml:space="preserve"> Verificación del proceso analítico.</w:t>
            </w:r>
          </w:p>
        </w:tc>
        <w:tc>
          <w:tcPr>
            <w:tcW w:w="4675" w:type="dxa"/>
          </w:tcPr>
          <w:p w14:paraId="6BFC51ED" w14:textId="409F34B2" w:rsidR="005F282B" w:rsidRPr="00F01347" w:rsidRDefault="005F282B" w:rsidP="005F282B">
            <w:pPr>
              <w:pStyle w:val="texto0"/>
              <w:spacing w:after="94" w:line="212" w:lineRule="exact"/>
              <w:ind w:firstLine="0"/>
              <w:rPr>
                <w:rFonts w:ascii="Verdana" w:hAnsi="Verdana"/>
                <w:b/>
                <w:sz w:val="16"/>
                <w:szCs w:val="16"/>
                <w:lang w:val="en-US"/>
              </w:rPr>
            </w:pPr>
            <w:r w:rsidRPr="00F01347">
              <w:rPr>
                <w:rFonts w:ascii="Verdana" w:hAnsi="Verdana"/>
                <w:b/>
                <w:sz w:val="16"/>
                <w:szCs w:val="16"/>
                <w:lang w:val="en-US"/>
              </w:rPr>
              <w:t xml:space="preserve">B.7.4.8.1.4 </w:t>
            </w:r>
            <w:r w:rsidRPr="00F01347">
              <w:rPr>
                <w:rFonts w:ascii="Verdana" w:hAnsi="Verdana"/>
                <w:sz w:val="16"/>
                <w:szCs w:val="16"/>
                <w:lang w:val="en-US"/>
              </w:rPr>
              <w:t>Verification of the analytical process.</w:t>
            </w:r>
          </w:p>
        </w:tc>
      </w:tr>
      <w:tr w:rsidR="005F282B" w:rsidRPr="00F01347" w14:paraId="5A8A5A6D" w14:textId="41088B09" w:rsidTr="008468D4">
        <w:tc>
          <w:tcPr>
            <w:tcW w:w="4675" w:type="dxa"/>
          </w:tcPr>
          <w:p w14:paraId="492CE642" w14:textId="77777777" w:rsidR="005F282B" w:rsidRPr="00F01347" w:rsidRDefault="005F282B" w:rsidP="005F282B">
            <w:pPr>
              <w:pStyle w:val="texto0"/>
              <w:spacing w:after="94" w:line="212" w:lineRule="exact"/>
              <w:ind w:firstLine="0"/>
              <w:rPr>
                <w:rFonts w:ascii="Verdana" w:hAnsi="Verdana"/>
                <w:sz w:val="16"/>
                <w:szCs w:val="16"/>
              </w:rPr>
            </w:pPr>
            <w:r w:rsidRPr="00F01347">
              <w:rPr>
                <w:rFonts w:ascii="Verdana" w:hAnsi="Verdana"/>
                <w:sz w:val="16"/>
                <w:szCs w:val="16"/>
              </w:rPr>
              <w:t>Se emplean diferentes muestras para verificar el proceso analítico:</w:t>
            </w:r>
          </w:p>
        </w:tc>
        <w:tc>
          <w:tcPr>
            <w:tcW w:w="4675" w:type="dxa"/>
          </w:tcPr>
          <w:p w14:paraId="7FCAAE5C" w14:textId="36B55C91" w:rsidR="005F282B" w:rsidRPr="00F01347" w:rsidRDefault="005F282B" w:rsidP="005F282B">
            <w:pPr>
              <w:pStyle w:val="texto0"/>
              <w:spacing w:after="94" w:line="212" w:lineRule="exact"/>
              <w:ind w:firstLine="0"/>
              <w:rPr>
                <w:rFonts w:ascii="Verdana" w:hAnsi="Verdana"/>
                <w:sz w:val="16"/>
                <w:szCs w:val="16"/>
                <w:lang w:val="en-US"/>
              </w:rPr>
            </w:pPr>
            <w:r w:rsidRPr="00F01347">
              <w:rPr>
                <w:rFonts w:ascii="Verdana" w:hAnsi="Verdana"/>
                <w:sz w:val="16"/>
                <w:szCs w:val="16"/>
                <w:lang w:val="en-US"/>
              </w:rPr>
              <w:t>Different samples are used to verify the analytical process:</w:t>
            </w:r>
          </w:p>
        </w:tc>
      </w:tr>
      <w:tr w:rsidR="005F282B" w:rsidRPr="00F01347" w14:paraId="2BF509A7" w14:textId="2874EC03" w:rsidTr="008468D4">
        <w:tc>
          <w:tcPr>
            <w:tcW w:w="4675" w:type="dxa"/>
          </w:tcPr>
          <w:p w14:paraId="08BBE962" w14:textId="77777777" w:rsidR="005F282B" w:rsidRPr="00F01347" w:rsidRDefault="005F282B" w:rsidP="005F282B">
            <w:pPr>
              <w:pStyle w:val="texto0"/>
              <w:spacing w:after="94" w:line="21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Verificación inicial de la calibración (ICV).</w:t>
            </w:r>
          </w:p>
        </w:tc>
        <w:tc>
          <w:tcPr>
            <w:tcW w:w="4675" w:type="dxa"/>
          </w:tcPr>
          <w:p w14:paraId="288EEB1C" w14:textId="66AD0096" w:rsidR="005F282B" w:rsidRPr="00F01347" w:rsidRDefault="005F282B" w:rsidP="005F282B">
            <w:pPr>
              <w:pStyle w:val="texto0"/>
              <w:spacing w:after="94" w:line="21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Initial Calibration Verification (ICV).</w:t>
            </w:r>
          </w:p>
        </w:tc>
      </w:tr>
      <w:tr w:rsidR="005F282B" w:rsidRPr="00F01347" w14:paraId="36E15848" w14:textId="4377A78C" w:rsidTr="008468D4">
        <w:tc>
          <w:tcPr>
            <w:tcW w:w="4675" w:type="dxa"/>
          </w:tcPr>
          <w:p w14:paraId="72801638" w14:textId="77777777" w:rsidR="005F282B" w:rsidRPr="00F01347" w:rsidRDefault="005F282B" w:rsidP="005F282B">
            <w:pPr>
              <w:pStyle w:val="texto0"/>
              <w:spacing w:after="94" w:line="21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Verificación de calibración continua (CCC). Con el propósito de comprobar que la calibración verificada al inicio se mantenga vigente durante todo el análisis del lote, se debe analizar a intervalos regulares una disolución estándar de concentración conocida. Se sugiere que ésta sea de concentración menor o igual al punto intermedio de la curva. El recobro entre el valor nominal de esta disolución y el valor obtenido en cada medición no debe ser mayor al 10%.</w:t>
            </w:r>
          </w:p>
        </w:tc>
        <w:tc>
          <w:tcPr>
            <w:tcW w:w="4675" w:type="dxa"/>
          </w:tcPr>
          <w:p w14:paraId="60638624" w14:textId="15FC7980" w:rsidR="005F282B" w:rsidRPr="00F01347" w:rsidRDefault="005F282B" w:rsidP="005F282B">
            <w:pPr>
              <w:pStyle w:val="texto0"/>
              <w:spacing w:after="94" w:line="21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 xml:space="preserve">Continuous Calibration Verification (CCC). </w:t>
            </w: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verify that the calibration verified at the beginning remains valid throughout the batch analysis, a standard solution of known concentration must be analyzed at regular intervals. It is suggested that this be a concentration less than or equal to the intermediate point of the curve. The recovery between the nominal value of this solution and the value obtained in each measurement should not be greater than 10%.</w:t>
            </w:r>
          </w:p>
        </w:tc>
      </w:tr>
      <w:tr w:rsidR="005F282B" w:rsidRPr="00F01347" w14:paraId="11575D85" w14:textId="340E8389" w:rsidTr="008468D4">
        <w:tc>
          <w:tcPr>
            <w:tcW w:w="4675" w:type="dxa"/>
          </w:tcPr>
          <w:p w14:paraId="7E049865" w14:textId="77777777" w:rsidR="005F282B" w:rsidRPr="00F01347" w:rsidRDefault="005F282B" w:rsidP="005F282B">
            <w:pPr>
              <w:pStyle w:val="texto0"/>
              <w:spacing w:after="94" w:line="21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Verificación de la linealidad de la curva de calibración. El programa del equipo ajusta una ecuación a los pares de datos obtenidos para las muestras con las que se construyó la curva de calibración.</w:t>
            </w:r>
          </w:p>
        </w:tc>
        <w:tc>
          <w:tcPr>
            <w:tcW w:w="4675" w:type="dxa"/>
          </w:tcPr>
          <w:p w14:paraId="2BD8EE92" w14:textId="11CDD269" w:rsidR="005F282B" w:rsidRPr="00F01347" w:rsidRDefault="005F282B" w:rsidP="005F282B">
            <w:pPr>
              <w:pStyle w:val="texto0"/>
              <w:spacing w:after="94" w:line="21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Verification of the linearity of the calibration curve. The equipment's program fits an equation to the pairs of data obtained for the samples with which the calibration curve was constructed.</w:t>
            </w:r>
          </w:p>
        </w:tc>
      </w:tr>
      <w:tr w:rsidR="005F282B" w:rsidRPr="00F01347" w14:paraId="4F073597" w14:textId="3245FB7A" w:rsidTr="008468D4">
        <w:tc>
          <w:tcPr>
            <w:tcW w:w="4675" w:type="dxa"/>
          </w:tcPr>
          <w:p w14:paraId="5FAB707C" w14:textId="77777777" w:rsidR="005F282B" w:rsidRPr="00F01347" w:rsidRDefault="005F282B" w:rsidP="005F282B">
            <w:pPr>
              <w:pStyle w:val="texto0"/>
              <w:spacing w:after="94" w:line="21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Este ajuste suele ser de primer orden, aunque puede ser de segundo orden si el intervalo de trabajo es demasiado amplio. Además de la función ajustada, </w:t>
            </w:r>
            <w:r w:rsidRPr="00F01347">
              <w:rPr>
                <w:rFonts w:ascii="Verdana" w:hAnsi="Verdana"/>
                <w:sz w:val="16"/>
                <w:szCs w:val="16"/>
              </w:rPr>
              <w:lastRenderedPageBreak/>
              <w:t>el programa arroja un coeficiente de correlación lineal, el cual debe ser igual o mayor a 0.995.</w:t>
            </w:r>
          </w:p>
        </w:tc>
        <w:tc>
          <w:tcPr>
            <w:tcW w:w="4675" w:type="dxa"/>
          </w:tcPr>
          <w:p w14:paraId="41CD4E9D" w14:textId="200DAE62" w:rsidR="005F282B" w:rsidRPr="00F01347" w:rsidRDefault="005F282B" w:rsidP="005F282B">
            <w:pPr>
              <w:pStyle w:val="texto0"/>
              <w:spacing w:after="94" w:line="212" w:lineRule="exact"/>
              <w:ind w:firstLine="0"/>
              <w:rPr>
                <w:rFonts w:ascii="Verdana" w:hAnsi="Verdana"/>
                <w:sz w:val="16"/>
                <w:szCs w:val="16"/>
                <w:lang w:val="en-US"/>
              </w:rPr>
            </w:pPr>
            <w:r w:rsidRPr="00F01347">
              <w:rPr>
                <w:rFonts w:ascii="Verdana" w:hAnsi="Verdana"/>
                <w:sz w:val="16"/>
                <w:szCs w:val="16"/>
                <w:lang w:val="en-US"/>
              </w:rPr>
              <w:lastRenderedPageBreak/>
              <w:t xml:space="preserve">● </w:t>
            </w:r>
            <w:r w:rsidRPr="00F01347">
              <w:rPr>
                <w:rFonts w:ascii="Verdana" w:hAnsi="Verdana"/>
                <w:sz w:val="16"/>
                <w:szCs w:val="16"/>
                <w:lang w:val="en-US"/>
              </w:rPr>
              <w:tab/>
              <w:t xml:space="preserve">This adjustment is usually first order, although it can be second order if the working range is too wide. In addition to the fitted function, the program returns a </w:t>
            </w:r>
            <w:r w:rsidRPr="00F01347">
              <w:rPr>
                <w:rFonts w:ascii="Verdana" w:hAnsi="Verdana"/>
                <w:sz w:val="16"/>
                <w:szCs w:val="16"/>
                <w:lang w:val="en-US"/>
              </w:rPr>
              <w:lastRenderedPageBreak/>
              <w:t>linear correlation coefficient, which must be equal to or greater than 0.995.</w:t>
            </w:r>
          </w:p>
        </w:tc>
      </w:tr>
      <w:tr w:rsidR="005F282B" w:rsidRPr="00F01347" w14:paraId="23EDB8FA" w14:textId="67403294" w:rsidTr="008468D4">
        <w:tc>
          <w:tcPr>
            <w:tcW w:w="4675" w:type="dxa"/>
          </w:tcPr>
          <w:p w14:paraId="629FB4F3" w14:textId="77777777" w:rsidR="005F282B" w:rsidRPr="00F01347" w:rsidRDefault="005F282B" w:rsidP="005F282B">
            <w:pPr>
              <w:pStyle w:val="texto0"/>
              <w:spacing w:after="94" w:line="212" w:lineRule="exact"/>
              <w:ind w:firstLine="0"/>
              <w:rPr>
                <w:rFonts w:ascii="Verdana" w:hAnsi="Verdana"/>
                <w:sz w:val="16"/>
                <w:szCs w:val="16"/>
              </w:rPr>
            </w:pPr>
            <w:r w:rsidRPr="00F01347">
              <w:rPr>
                <w:rFonts w:ascii="Verdana" w:hAnsi="Verdana"/>
                <w:sz w:val="16"/>
                <w:szCs w:val="16"/>
              </w:rPr>
              <w:lastRenderedPageBreak/>
              <w:t>●</w:t>
            </w:r>
            <w:r w:rsidRPr="00F01347">
              <w:rPr>
                <w:rFonts w:ascii="Verdana" w:hAnsi="Verdana"/>
                <w:sz w:val="16"/>
                <w:szCs w:val="16"/>
              </w:rPr>
              <w:tab/>
              <w:t>Muestra control de calidad. Se analiza una muestra sintética de concentración conocida (muestra QC), siendo lo más recomendable prepararla a partir de una fuente diferente a la curva de calibración por cada 20 muestras reales. El recobro entre el resultado obtenido y el valor nominal de esta muestra no debe ser mayor al 10%.</w:t>
            </w:r>
          </w:p>
        </w:tc>
        <w:tc>
          <w:tcPr>
            <w:tcW w:w="4675" w:type="dxa"/>
          </w:tcPr>
          <w:p w14:paraId="24E1557F" w14:textId="47E7ADD5" w:rsidR="005F282B" w:rsidRPr="00F01347" w:rsidRDefault="005F282B" w:rsidP="005F282B">
            <w:pPr>
              <w:pStyle w:val="texto0"/>
              <w:spacing w:after="94" w:line="21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Shows quality control. A synthetic sample of known concentration (QC sample) is analyzed, and it is most advisable to prepare it from a different source than the calibration curve for every 20 real samples. The recovery between the result obtained and the nominal value of this sample should not be greater than 10%.</w:t>
            </w:r>
          </w:p>
        </w:tc>
      </w:tr>
      <w:tr w:rsidR="005F282B" w:rsidRPr="00F01347" w14:paraId="70D0C3D3" w14:textId="4FDF5CC1" w:rsidTr="008468D4">
        <w:tc>
          <w:tcPr>
            <w:tcW w:w="4675" w:type="dxa"/>
          </w:tcPr>
          <w:p w14:paraId="71DE1B78" w14:textId="77777777" w:rsidR="005F282B" w:rsidRPr="00F01347" w:rsidRDefault="005F282B" w:rsidP="005F282B">
            <w:pPr>
              <w:pStyle w:val="texto0"/>
              <w:spacing w:after="94" w:line="21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Verificación de repetibilidad de los análisis. Se selecciona al menos una muestra por cada matriz del lote analizado para prepararla y analizarla por duplicado o bien el 10% del total de muestras. Con ello se verifica la repetibilidad del proceso al cual se someten las muestras. La diferencia porcentual relativa entre los dos valores obtenidos no debe superar el 20%.</w:t>
            </w:r>
          </w:p>
        </w:tc>
        <w:tc>
          <w:tcPr>
            <w:tcW w:w="4675" w:type="dxa"/>
          </w:tcPr>
          <w:p w14:paraId="46F62511" w14:textId="1E04A21E" w:rsidR="005F282B" w:rsidRPr="00F01347" w:rsidRDefault="005F282B" w:rsidP="005F282B">
            <w:pPr>
              <w:pStyle w:val="texto0"/>
              <w:spacing w:after="94" w:line="21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Verification of repeatability of the analyzes. At least one sample is selected for each matrix of the batch analyzed to prepare and analyze it in duplicate or 10% of the total samples. This verifies the repeatability of the process to which the samples are subjected. The relative percentage difference between the two values obtained must not exceed 20%.</w:t>
            </w:r>
          </w:p>
        </w:tc>
      </w:tr>
      <w:tr w:rsidR="005F282B" w:rsidRPr="00F01347" w14:paraId="4A21AB08" w14:textId="74D8F290" w:rsidTr="008468D4">
        <w:tc>
          <w:tcPr>
            <w:tcW w:w="4675" w:type="dxa"/>
          </w:tcPr>
          <w:p w14:paraId="13F571F6" w14:textId="77777777" w:rsidR="005F282B" w:rsidRPr="00F01347" w:rsidRDefault="005F282B" w:rsidP="005F282B">
            <w:pPr>
              <w:pStyle w:val="texto0"/>
              <w:spacing w:after="94" w:line="212"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Verificación de interferencias de matriz. Se deben adicionar al menos dos muestras por cada matriz del lote analizado. Las muestras seleccionadas se adicionan con una concentración conocida de analito, la cual se recomienda que sea igual a la establecida como máximo permisible por alguna entidad reguladora o, en su caso, que sea entre una y cinco veces la concentración del analito presente originalmente en la muestra o si este dato se desconoce se recomienda adicionar una concentración del punto medio hacia abajo de la curva de calibración. Comparando las concentraciones de analito en la muestra sin adicionar y en la adicionada se obtiene un recobro de la adición, el cual debe de estar entre el 80 y el 120 %. Se recomienda que las muestras que se dupliquen sean las mismas que se adicionan. Y si se prepara un blanco fortificado, que éste tenga la misma concentración de las muestras adicionadas.</w:t>
            </w:r>
          </w:p>
        </w:tc>
        <w:tc>
          <w:tcPr>
            <w:tcW w:w="4675" w:type="dxa"/>
          </w:tcPr>
          <w:p w14:paraId="41DE6F4E" w14:textId="32CC154B" w:rsidR="005F282B" w:rsidRPr="00F01347" w:rsidRDefault="005F282B" w:rsidP="005F282B">
            <w:pPr>
              <w:pStyle w:val="texto0"/>
              <w:spacing w:after="94" w:line="212"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Matrix interference check. At least two samples must be added for each matrix of the batch analyzed. The selected samples are added with a known concentration of analyte, which is recommended to be equal to that established as the maximum allowable by some regulatory entity or, where appropriate, to be between one and five times the concentration of the analyte originally present in the sample. sample or if this data is unknown, it is recommended to add a concentration from the midpoint down the calibration curve. Comparing the analyte concentrations in the unadded sample and in the added sample, a recovery of the addition is obtained, which must be between 80 and 120%. It is recommended that the samples that are duplicated be the same ones that are added. And if a fortified white is prepared, it must have the same concentration as the added samples.</w:t>
            </w:r>
          </w:p>
        </w:tc>
      </w:tr>
      <w:tr w:rsidR="005F282B" w:rsidRPr="00F01347" w14:paraId="4ACD2AD8" w14:textId="77777777" w:rsidTr="008468D4">
        <w:tc>
          <w:tcPr>
            <w:tcW w:w="4675" w:type="dxa"/>
          </w:tcPr>
          <w:p w14:paraId="55E0F733" w14:textId="4E50B4CF" w:rsidR="005F282B" w:rsidRPr="00F01347" w:rsidRDefault="005F282B" w:rsidP="00F167DD">
            <w:pPr>
              <w:pStyle w:val="texto0"/>
              <w:ind w:left="720" w:hanging="432"/>
              <w:rPr>
                <w:rFonts w:ascii="Verdana" w:hAnsi="Verdana"/>
                <w:sz w:val="16"/>
                <w:szCs w:val="16"/>
              </w:rPr>
            </w:pPr>
            <w:r w:rsidRPr="00F01347">
              <w:rPr>
                <w:rFonts w:ascii="Verdana" w:hAnsi="Verdana"/>
                <w:sz w:val="16"/>
                <w:szCs w:val="16"/>
              </w:rPr>
              <w:t>●</w:t>
            </w:r>
            <w:r w:rsidRPr="00F01347">
              <w:rPr>
                <w:rFonts w:ascii="Verdana" w:hAnsi="Verdana"/>
                <w:sz w:val="16"/>
                <w:szCs w:val="16"/>
              </w:rPr>
              <w:tab/>
              <w:t>Composición del lote. El lote analítico debe conformarse como se indica en la Tabla B.7.4-</w:t>
            </w:r>
            <w:proofErr w:type="gramStart"/>
            <w:r w:rsidRPr="00F01347">
              <w:rPr>
                <w:rFonts w:ascii="Verdana" w:hAnsi="Verdana"/>
                <w:sz w:val="16"/>
                <w:szCs w:val="16"/>
              </w:rPr>
              <w:t>2,  de</w:t>
            </w:r>
            <w:proofErr w:type="gramEnd"/>
            <w:r w:rsidRPr="00F01347">
              <w:rPr>
                <w:rFonts w:ascii="Verdana" w:hAnsi="Verdana"/>
                <w:sz w:val="16"/>
                <w:szCs w:val="16"/>
              </w:rPr>
              <w:t xml:space="preserve"> este Apéndice.</w:t>
            </w:r>
          </w:p>
        </w:tc>
        <w:tc>
          <w:tcPr>
            <w:tcW w:w="4675" w:type="dxa"/>
          </w:tcPr>
          <w:p w14:paraId="327843C8" w14:textId="7A144ABD" w:rsidR="005F282B" w:rsidRPr="00F01347" w:rsidRDefault="005F282B" w:rsidP="00F167DD">
            <w:pPr>
              <w:pStyle w:val="texto0"/>
              <w:ind w:left="720" w:hanging="432"/>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Composition of the lot. The analytical batch must be formed as indicated in Table B.7.4-2 of this Appendix.</w:t>
            </w:r>
          </w:p>
        </w:tc>
      </w:tr>
    </w:tbl>
    <w:p w14:paraId="3D9555B9" w14:textId="77777777" w:rsidR="0055757A" w:rsidRPr="00F01347" w:rsidRDefault="0055757A" w:rsidP="003A601B">
      <w:pPr>
        <w:pStyle w:val="texto0"/>
        <w:ind w:left="720" w:hanging="432"/>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05"/>
        <w:gridCol w:w="1266"/>
        <w:gridCol w:w="6341"/>
      </w:tblGrid>
      <w:tr w:rsidR="00A74CDF" w:rsidRPr="00F01347" w14:paraId="2A7DE8C0" w14:textId="77777777">
        <w:trPr>
          <w:trHeight w:val="20"/>
        </w:trPr>
        <w:tc>
          <w:tcPr>
            <w:tcW w:w="8712" w:type="dxa"/>
            <w:gridSpan w:val="3"/>
            <w:tcBorders>
              <w:bottom w:val="single" w:sz="6" w:space="0" w:color="auto"/>
            </w:tcBorders>
            <w:noWrap/>
          </w:tcPr>
          <w:p w14:paraId="29EDFFDF"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b/>
                <w:color w:val="000000"/>
                <w:sz w:val="16"/>
                <w:szCs w:val="16"/>
              </w:rPr>
              <w:t>Tabla B.7.4-2.</w:t>
            </w:r>
            <w:r w:rsidRPr="00F01347">
              <w:rPr>
                <w:rFonts w:ascii="Verdana" w:hAnsi="Verdana"/>
                <w:color w:val="000000"/>
                <w:sz w:val="16"/>
                <w:szCs w:val="16"/>
              </w:rPr>
              <w:t xml:space="preserve"> Composición del lote analítico por colorimetría automatizada.</w:t>
            </w:r>
          </w:p>
        </w:tc>
      </w:tr>
      <w:tr w:rsidR="00A74CDF" w:rsidRPr="00F01347" w14:paraId="2131661B"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3B56E651"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Orden en secuencia</w:t>
            </w:r>
          </w:p>
        </w:tc>
        <w:tc>
          <w:tcPr>
            <w:tcW w:w="1266" w:type="dxa"/>
            <w:tcBorders>
              <w:top w:val="single" w:sz="6" w:space="0" w:color="auto"/>
              <w:left w:val="single" w:sz="6" w:space="0" w:color="auto"/>
              <w:bottom w:val="single" w:sz="6" w:space="0" w:color="auto"/>
              <w:right w:val="single" w:sz="6" w:space="0" w:color="auto"/>
            </w:tcBorders>
          </w:tcPr>
          <w:p w14:paraId="0FCE7FBB"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Tipo de muestra</w:t>
            </w:r>
          </w:p>
        </w:tc>
        <w:tc>
          <w:tcPr>
            <w:tcW w:w="6341" w:type="dxa"/>
            <w:tcBorders>
              <w:top w:val="single" w:sz="6" w:space="0" w:color="auto"/>
              <w:left w:val="single" w:sz="6" w:space="0" w:color="auto"/>
              <w:bottom w:val="single" w:sz="6" w:space="0" w:color="auto"/>
              <w:right w:val="single" w:sz="6" w:space="0" w:color="auto"/>
            </w:tcBorders>
          </w:tcPr>
          <w:p w14:paraId="0006D54C"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Función</w:t>
            </w:r>
          </w:p>
        </w:tc>
      </w:tr>
      <w:tr w:rsidR="00A74CDF" w:rsidRPr="00F01347" w14:paraId="6E107212"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7F26D4B3"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1</w:t>
            </w:r>
          </w:p>
        </w:tc>
        <w:tc>
          <w:tcPr>
            <w:tcW w:w="1266" w:type="dxa"/>
            <w:tcBorders>
              <w:top w:val="single" w:sz="6" w:space="0" w:color="auto"/>
              <w:left w:val="single" w:sz="6" w:space="0" w:color="auto"/>
              <w:bottom w:val="single" w:sz="6" w:space="0" w:color="auto"/>
              <w:right w:val="single" w:sz="6" w:space="0" w:color="auto"/>
            </w:tcBorders>
          </w:tcPr>
          <w:p w14:paraId="0FBADC07"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Pico de sincronía</w:t>
            </w:r>
          </w:p>
        </w:tc>
        <w:tc>
          <w:tcPr>
            <w:tcW w:w="6341" w:type="dxa"/>
            <w:tcBorders>
              <w:top w:val="single" w:sz="6" w:space="0" w:color="auto"/>
              <w:left w:val="single" w:sz="6" w:space="0" w:color="auto"/>
              <w:bottom w:val="single" w:sz="6" w:space="0" w:color="auto"/>
              <w:right w:val="single" w:sz="6" w:space="0" w:color="auto"/>
            </w:tcBorders>
          </w:tcPr>
          <w:p w14:paraId="0E97BBE8" w14:textId="77777777" w:rsidR="00A74CDF" w:rsidRPr="00F01347" w:rsidRDefault="00A74CDF" w:rsidP="003A601B">
            <w:pPr>
              <w:pStyle w:val="texto0"/>
              <w:spacing w:line="212" w:lineRule="exact"/>
              <w:ind w:firstLine="0"/>
              <w:rPr>
                <w:rFonts w:ascii="Verdana" w:hAnsi="Verdana"/>
                <w:color w:val="000000"/>
                <w:sz w:val="16"/>
                <w:szCs w:val="16"/>
              </w:rPr>
            </w:pPr>
            <w:r w:rsidRPr="00F01347">
              <w:rPr>
                <w:rFonts w:ascii="Verdana" w:hAnsi="Verdana"/>
                <w:color w:val="000000"/>
                <w:sz w:val="16"/>
                <w:szCs w:val="16"/>
              </w:rPr>
              <w:t>Primer pico que detecta el equipo. A partir de este el programa comienza a contar la duración de los ciclos de toma de muestra.</w:t>
            </w:r>
          </w:p>
        </w:tc>
      </w:tr>
      <w:tr w:rsidR="00A74CDF" w:rsidRPr="00F01347" w14:paraId="5575B3B0"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07F4FEA0"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2</w:t>
            </w:r>
          </w:p>
        </w:tc>
        <w:tc>
          <w:tcPr>
            <w:tcW w:w="1266" w:type="dxa"/>
            <w:tcBorders>
              <w:top w:val="single" w:sz="6" w:space="0" w:color="auto"/>
              <w:left w:val="single" w:sz="6" w:space="0" w:color="auto"/>
              <w:bottom w:val="single" w:sz="6" w:space="0" w:color="auto"/>
              <w:right w:val="single" w:sz="6" w:space="0" w:color="auto"/>
            </w:tcBorders>
          </w:tcPr>
          <w:p w14:paraId="5CD8EAC2"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Arrastre (</w:t>
            </w:r>
            <w:proofErr w:type="spellStart"/>
            <w:r w:rsidRPr="00F01347">
              <w:rPr>
                <w:rFonts w:ascii="Verdana" w:hAnsi="Verdana"/>
                <w:i/>
                <w:color w:val="000000"/>
                <w:sz w:val="16"/>
                <w:szCs w:val="16"/>
              </w:rPr>
              <w:t>carryover</w:t>
            </w:r>
            <w:proofErr w:type="spellEnd"/>
            <w:r w:rsidRPr="00F01347">
              <w:rPr>
                <w:rFonts w:ascii="Verdana" w:hAnsi="Verdana"/>
                <w:color w:val="000000"/>
                <w:sz w:val="16"/>
                <w:szCs w:val="16"/>
              </w:rPr>
              <w:t>)</w:t>
            </w:r>
          </w:p>
        </w:tc>
        <w:tc>
          <w:tcPr>
            <w:tcW w:w="6341" w:type="dxa"/>
            <w:tcBorders>
              <w:top w:val="single" w:sz="6" w:space="0" w:color="auto"/>
              <w:left w:val="single" w:sz="6" w:space="0" w:color="auto"/>
              <w:bottom w:val="single" w:sz="6" w:space="0" w:color="auto"/>
              <w:right w:val="single" w:sz="6" w:space="0" w:color="auto"/>
            </w:tcBorders>
          </w:tcPr>
          <w:p w14:paraId="08B2FBE2" w14:textId="77777777" w:rsidR="00A74CDF" w:rsidRPr="00F01347" w:rsidRDefault="00A74CDF" w:rsidP="003A601B">
            <w:pPr>
              <w:pStyle w:val="texto0"/>
              <w:spacing w:line="212" w:lineRule="exact"/>
              <w:ind w:firstLine="0"/>
              <w:rPr>
                <w:rFonts w:ascii="Verdana" w:hAnsi="Verdana"/>
                <w:color w:val="000000"/>
                <w:sz w:val="16"/>
                <w:szCs w:val="16"/>
              </w:rPr>
            </w:pPr>
            <w:r w:rsidRPr="00F01347">
              <w:rPr>
                <w:rFonts w:ascii="Verdana" w:hAnsi="Verdana"/>
                <w:color w:val="000000"/>
                <w:sz w:val="16"/>
                <w:szCs w:val="16"/>
              </w:rPr>
              <w:t>Con éste el equipo calcula qué porcentaje del pico de sincronía está siendo cuantificado en la siguiente toma de muestra.</w:t>
            </w:r>
          </w:p>
        </w:tc>
      </w:tr>
      <w:tr w:rsidR="00A74CDF" w:rsidRPr="00F01347" w14:paraId="0E616010"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1F7B55AF"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3</w:t>
            </w:r>
          </w:p>
        </w:tc>
        <w:tc>
          <w:tcPr>
            <w:tcW w:w="1266" w:type="dxa"/>
            <w:tcBorders>
              <w:top w:val="single" w:sz="6" w:space="0" w:color="auto"/>
              <w:left w:val="single" w:sz="6" w:space="0" w:color="auto"/>
              <w:bottom w:val="single" w:sz="6" w:space="0" w:color="auto"/>
              <w:right w:val="single" w:sz="6" w:space="0" w:color="auto"/>
            </w:tcBorders>
          </w:tcPr>
          <w:p w14:paraId="5992DFE2"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Enjuague (</w:t>
            </w:r>
            <w:proofErr w:type="spellStart"/>
            <w:r w:rsidRPr="00F01347">
              <w:rPr>
                <w:rFonts w:ascii="Verdana" w:hAnsi="Verdana"/>
                <w:i/>
                <w:color w:val="000000"/>
                <w:sz w:val="16"/>
                <w:szCs w:val="16"/>
              </w:rPr>
              <w:t>wash</w:t>
            </w:r>
            <w:proofErr w:type="spellEnd"/>
            <w:r w:rsidRPr="00F01347">
              <w:rPr>
                <w:rFonts w:ascii="Verdana" w:hAnsi="Verdana"/>
                <w:color w:val="000000"/>
                <w:sz w:val="16"/>
                <w:szCs w:val="16"/>
              </w:rPr>
              <w:t>)</w:t>
            </w:r>
          </w:p>
        </w:tc>
        <w:tc>
          <w:tcPr>
            <w:tcW w:w="6341" w:type="dxa"/>
            <w:tcBorders>
              <w:top w:val="single" w:sz="6" w:space="0" w:color="auto"/>
              <w:left w:val="single" w:sz="6" w:space="0" w:color="auto"/>
              <w:bottom w:val="single" w:sz="6" w:space="0" w:color="auto"/>
              <w:right w:val="single" w:sz="6" w:space="0" w:color="auto"/>
            </w:tcBorders>
          </w:tcPr>
          <w:p w14:paraId="72A3BB9D" w14:textId="77777777" w:rsidR="00A74CDF" w:rsidRPr="00F01347" w:rsidRDefault="00A74CDF" w:rsidP="003A601B">
            <w:pPr>
              <w:pStyle w:val="texto0"/>
              <w:spacing w:line="212" w:lineRule="exact"/>
              <w:ind w:firstLine="0"/>
              <w:rPr>
                <w:rFonts w:ascii="Verdana" w:hAnsi="Verdana"/>
                <w:color w:val="000000"/>
                <w:sz w:val="16"/>
                <w:szCs w:val="16"/>
              </w:rPr>
            </w:pPr>
            <w:r w:rsidRPr="00F01347">
              <w:rPr>
                <w:rFonts w:ascii="Verdana" w:hAnsi="Verdana"/>
                <w:color w:val="000000"/>
                <w:sz w:val="16"/>
                <w:szCs w:val="16"/>
              </w:rPr>
              <w:t>Limpia las líneas de los restos de las inyecciones anteriores.</w:t>
            </w:r>
          </w:p>
        </w:tc>
      </w:tr>
      <w:tr w:rsidR="00A74CDF" w:rsidRPr="00F01347" w14:paraId="0BEBAC8F"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48AEFA30"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4</w:t>
            </w:r>
          </w:p>
        </w:tc>
        <w:tc>
          <w:tcPr>
            <w:tcW w:w="1266" w:type="dxa"/>
            <w:tcBorders>
              <w:top w:val="single" w:sz="6" w:space="0" w:color="auto"/>
              <w:left w:val="single" w:sz="6" w:space="0" w:color="auto"/>
              <w:bottom w:val="single" w:sz="6" w:space="0" w:color="auto"/>
              <w:right w:val="single" w:sz="6" w:space="0" w:color="auto"/>
            </w:tcBorders>
          </w:tcPr>
          <w:p w14:paraId="7BC0DC00"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Línea base</w:t>
            </w:r>
          </w:p>
        </w:tc>
        <w:tc>
          <w:tcPr>
            <w:tcW w:w="6341" w:type="dxa"/>
            <w:tcBorders>
              <w:top w:val="single" w:sz="6" w:space="0" w:color="auto"/>
              <w:left w:val="single" w:sz="6" w:space="0" w:color="auto"/>
              <w:bottom w:val="single" w:sz="6" w:space="0" w:color="auto"/>
              <w:right w:val="single" w:sz="6" w:space="0" w:color="auto"/>
            </w:tcBorders>
          </w:tcPr>
          <w:p w14:paraId="30C4E0AA" w14:textId="77777777" w:rsidR="00A74CDF" w:rsidRPr="00F01347" w:rsidRDefault="00A74CDF" w:rsidP="003A601B">
            <w:pPr>
              <w:pStyle w:val="texto0"/>
              <w:spacing w:line="212" w:lineRule="exact"/>
              <w:ind w:firstLine="0"/>
              <w:rPr>
                <w:rFonts w:ascii="Verdana" w:hAnsi="Verdana"/>
                <w:color w:val="000000"/>
                <w:sz w:val="16"/>
                <w:szCs w:val="16"/>
              </w:rPr>
            </w:pPr>
            <w:r w:rsidRPr="00F01347">
              <w:rPr>
                <w:rFonts w:ascii="Verdana" w:hAnsi="Verdana"/>
                <w:color w:val="000000"/>
                <w:sz w:val="16"/>
                <w:szCs w:val="16"/>
              </w:rPr>
              <w:t>Establece un punto de anclaje para la línea base.</w:t>
            </w:r>
          </w:p>
        </w:tc>
      </w:tr>
      <w:tr w:rsidR="00A74CDF" w:rsidRPr="00F01347" w14:paraId="599848CB"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6B479268"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5</w:t>
            </w:r>
          </w:p>
        </w:tc>
        <w:tc>
          <w:tcPr>
            <w:tcW w:w="1266" w:type="dxa"/>
            <w:tcBorders>
              <w:top w:val="single" w:sz="6" w:space="0" w:color="auto"/>
              <w:left w:val="single" w:sz="6" w:space="0" w:color="auto"/>
              <w:bottom w:val="single" w:sz="6" w:space="0" w:color="auto"/>
              <w:right w:val="single" w:sz="6" w:space="0" w:color="auto"/>
            </w:tcBorders>
          </w:tcPr>
          <w:p w14:paraId="33C8A348"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Estándares de calibración</w:t>
            </w:r>
          </w:p>
        </w:tc>
        <w:tc>
          <w:tcPr>
            <w:tcW w:w="6341" w:type="dxa"/>
            <w:tcBorders>
              <w:top w:val="single" w:sz="6" w:space="0" w:color="auto"/>
              <w:left w:val="single" w:sz="6" w:space="0" w:color="auto"/>
              <w:bottom w:val="single" w:sz="6" w:space="0" w:color="auto"/>
              <w:right w:val="single" w:sz="6" w:space="0" w:color="auto"/>
            </w:tcBorders>
          </w:tcPr>
          <w:p w14:paraId="332CD29B" w14:textId="77777777" w:rsidR="00A74CDF" w:rsidRPr="00F01347" w:rsidRDefault="00A74CDF" w:rsidP="003A601B">
            <w:pPr>
              <w:pStyle w:val="texto0"/>
              <w:spacing w:line="212" w:lineRule="exact"/>
              <w:ind w:firstLine="0"/>
              <w:rPr>
                <w:rFonts w:ascii="Verdana" w:hAnsi="Verdana"/>
                <w:color w:val="000000"/>
                <w:sz w:val="16"/>
                <w:szCs w:val="16"/>
              </w:rPr>
            </w:pPr>
            <w:r w:rsidRPr="00F01347">
              <w:rPr>
                <w:rFonts w:ascii="Verdana" w:hAnsi="Verdana"/>
                <w:color w:val="000000"/>
                <w:sz w:val="16"/>
                <w:szCs w:val="16"/>
              </w:rPr>
              <w:t>Serie de estándares de diferente concentración que el equipo usa para construir la curva de calibración. Se omiten si se emplea una curva cargada en el equipo.</w:t>
            </w:r>
          </w:p>
        </w:tc>
      </w:tr>
      <w:tr w:rsidR="00A74CDF" w:rsidRPr="00F01347" w14:paraId="1A4AB18F"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422D6E56"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6</w:t>
            </w:r>
          </w:p>
        </w:tc>
        <w:tc>
          <w:tcPr>
            <w:tcW w:w="1266" w:type="dxa"/>
            <w:tcBorders>
              <w:top w:val="single" w:sz="6" w:space="0" w:color="auto"/>
              <w:left w:val="single" w:sz="6" w:space="0" w:color="auto"/>
              <w:bottom w:val="single" w:sz="6" w:space="0" w:color="auto"/>
              <w:right w:val="single" w:sz="6" w:space="0" w:color="auto"/>
            </w:tcBorders>
          </w:tcPr>
          <w:p w14:paraId="63EEA3DE"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Enjuague</w:t>
            </w:r>
          </w:p>
        </w:tc>
        <w:tc>
          <w:tcPr>
            <w:tcW w:w="6341" w:type="dxa"/>
            <w:tcBorders>
              <w:top w:val="single" w:sz="6" w:space="0" w:color="auto"/>
              <w:left w:val="single" w:sz="6" w:space="0" w:color="auto"/>
              <w:bottom w:val="single" w:sz="6" w:space="0" w:color="auto"/>
              <w:right w:val="single" w:sz="6" w:space="0" w:color="auto"/>
            </w:tcBorders>
          </w:tcPr>
          <w:p w14:paraId="5511788E" w14:textId="77777777" w:rsidR="00A74CDF" w:rsidRPr="00F01347" w:rsidRDefault="00A74CDF" w:rsidP="003A601B">
            <w:pPr>
              <w:pStyle w:val="texto0"/>
              <w:spacing w:line="212" w:lineRule="exact"/>
              <w:ind w:firstLine="0"/>
              <w:rPr>
                <w:rFonts w:ascii="Verdana" w:hAnsi="Verdana"/>
                <w:color w:val="000000"/>
                <w:sz w:val="16"/>
                <w:szCs w:val="16"/>
              </w:rPr>
            </w:pPr>
            <w:r w:rsidRPr="00F01347">
              <w:rPr>
                <w:rFonts w:ascii="Verdana" w:hAnsi="Verdana"/>
                <w:color w:val="000000"/>
                <w:sz w:val="16"/>
                <w:szCs w:val="16"/>
              </w:rPr>
              <w:t>Limpia las líneas de los restos de las inyecciones anteriores.</w:t>
            </w:r>
          </w:p>
        </w:tc>
      </w:tr>
      <w:tr w:rsidR="00A74CDF" w:rsidRPr="00F01347" w14:paraId="0C1835F2"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3E8A89D9"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7</w:t>
            </w:r>
          </w:p>
        </w:tc>
        <w:tc>
          <w:tcPr>
            <w:tcW w:w="1266" w:type="dxa"/>
            <w:tcBorders>
              <w:top w:val="single" w:sz="6" w:space="0" w:color="auto"/>
              <w:left w:val="single" w:sz="6" w:space="0" w:color="auto"/>
              <w:bottom w:val="single" w:sz="6" w:space="0" w:color="auto"/>
              <w:right w:val="single" w:sz="6" w:space="0" w:color="auto"/>
            </w:tcBorders>
          </w:tcPr>
          <w:p w14:paraId="63D72DEF"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Línea base</w:t>
            </w:r>
          </w:p>
        </w:tc>
        <w:tc>
          <w:tcPr>
            <w:tcW w:w="6341" w:type="dxa"/>
            <w:tcBorders>
              <w:top w:val="single" w:sz="6" w:space="0" w:color="auto"/>
              <w:left w:val="single" w:sz="6" w:space="0" w:color="auto"/>
              <w:bottom w:val="single" w:sz="6" w:space="0" w:color="auto"/>
              <w:right w:val="single" w:sz="6" w:space="0" w:color="auto"/>
            </w:tcBorders>
          </w:tcPr>
          <w:p w14:paraId="510A1D70" w14:textId="77777777" w:rsidR="00A74CDF" w:rsidRPr="00F01347" w:rsidRDefault="00A74CDF" w:rsidP="003A601B">
            <w:pPr>
              <w:pStyle w:val="texto0"/>
              <w:spacing w:line="212" w:lineRule="exact"/>
              <w:ind w:firstLine="0"/>
              <w:rPr>
                <w:rFonts w:ascii="Verdana" w:hAnsi="Verdana"/>
                <w:color w:val="000000"/>
                <w:sz w:val="16"/>
                <w:szCs w:val="16"/>
              </w:rPr>
            </w:pPr>
            <w:r w:rsidRPr="00F01347">
              <w:rPr>
                <w:rFonts w:ascii="Verdana" w:hAnsi="Verdana"/>
                <w:color w:val="000000"/>
                <w:sz w:val="16"/>
                <w:szCs w:val="16"/>
              </w:rPr>
              <w:t>Establece un punto de anclaje para la línea base.</w:t>
            </w:r>
          </w:p>
        </w:tc>
      </w:tr>
      <w:tr w:rsidR="00A74CDF" w:rsidRPr="00F01347" w14:paraId="2F481934"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17DA39BE"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lastRenderedPageBreak/>
              <w:t>8</w:t>
            </w:r>
          </w:p>
        </w:tc>
        <w:tc>
          <w:tcPr>
            <w:tcW w:w="1266" w:type="dxa"/>
            <w:tcBorders>
              <w:top w:val="single" w:sz="6" w:space="0" w:color="auto"/>
              <w:left w:val="single" w:sz="6" w:space="0" w:color="auto"/>
              <w:bottom w:val="single" w:sz="6" w:space="0" w:color="auto"/>
              <w:right w:val="single" w:sz="6" w:space="0" w:color="auto"/>
            </w:tcBorders>
          </w:tcPr>
          <w:p w14:paraId="29E5E3AC" w14:textId="77777777" w:rsidR="00A74CDF" w:rsidRPr="00F01347" w:rsidRDefault="00A74CDF" w:rsidP="003A601B">
            <w:pPr>
              <w:pStyle w:val="texto0"/>
              <w:spacing w:line="212" w:lineRule="exact"/>
              <w:ind w:firstLine="0"/>
              <w:jc w:val="center"/>
              <w:rPr>
                <w:rFonts w:ascii="Verdana" w:hAnsi="Verdana"/>
                <w:color w:val="000000"/>
                <w:sz w:val="16"/>
                <w:szCs w:val="16"/>
              </w:rPr>
            </w:pPr>
            <w:r w:rsidRPr="00F01347">
              <w:rPr>
                <w:rFonts w:ascii="Verdana" w:hAnsi="Verdana"/>
                <w:color w:val="000000"/>
                <w:sz w:val="16"/>
                <w:szCs w:val="16"/>
              </w:rPr>
              <w:t>Estándar de verificación inicial de la calibración</w:t>
            </w:r>
          </w:p>
        </w:tc>
        <w:tc>
          <w:tcPr>
            <w:tcW w:w="6341" w:type="dxa"/>
            <w:tcBorders>
              <w:top w:val="single" w:sz="6" w:space="0" w:color="auto"/>
              <w:left w:val="single" w:sz="6" w:space="0" w:color="auto"/>
              <w:bottom w:val="single" w:sz="6" w:space="0" w:color="auto"/>
              <w:right w:val="single" w:sz="6" w:space="0" w:color="auto"/>
            </w:tcBorders>
          </w:tcPr>
          <w:p w14:paraId="735C196B" w14:textId="77777777" w:rsidR="00A74CDF" w:rsidRPr="00F01347" w:rsidRDefault="00A74CDF" w:rsidP="003A601B">
            <w:pPr>
              <w:pStyle w:val="texto0"/>
              <w:spacing w:line="212" w:lineRule="exact"/>
              <w:ind w:firstLine="0"/>
              <w:rPr>
                <w:rFonts w:ascii="Verdana" w:hAnsi="Verdana"/>
                <w:color w:val="000000"/>
                <w:sz w:val="16"/>
                <w:szCs w:val="16"/>
              </w:rPr>
            </w:pPr>
            <w:r w:rsidRPr="00F01347">
              <w:rPr>
                <w:rFonts w:ascii="Verdana" w:hAnsi="Verdana"/>
                <w:color w:val="000000"/>
                <w:sz w:val="16"/>
                <w:szCs w:val="16"/>
              </w:rPr>
              <w:t>Si se hace uso de una curva de calibración nueva para cuantificar la concentración de analito en las muestras y los controles de calidad en un lote, se debe preparar un estándar de verificación inicial de la calibración (ICV), el cual contiene al analito en una concentración conocida y que se encuentra dentro del intervalo de trabajo.</w:t>
            </w:r>
          </w:p>
        </w:tc>
      </w:tr>
      <w:tr w:rsidR="00A74CDF" w:rsidRPr="00F01347" w14:paraId="29F63260"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7BFBB920"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9</w:t>
            </w:r>
          </w:p>
        </w:tc>
        <w:tc>
          <w:tcPr>
            <w:tcW w:w="1266" w:type="dxa"/>
            <w:tcBorders>
              <w:top w:val="single" w:sz="6" w:space="0" w:color="auto"/>
              <w:left w:val="single" w:sz="6" w:space="0" w:color="auto"/>
              <w:bottom w:val="single" w:sz="6" w:space="0" w:color="auto"/>
              <w:right w:val="single" w:sz="6" w:space="0" w:color="auto"/>
            </w:tcBorders>
          </w:tcPr>
          <w:p w14:paraId="02FA0DA5"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Estándar de verificación continúa de la calibración</w:t>
            </w:r>
          </w:p>
        </w:tc>
        <w:tc>
          <w:tcPr>
            <w:tcW w:w="6341" w:type="dxa"/>
            <w:tcBorders>
              <w:top w:val="single" w:sz="6" w:space="0" w:color="auto"/>
              <w:left w:val="single" w:sz="6" w:space="0" w:color="auto"/>
              <w:bottom w:val="single" w:sz="6" w:space="0" w:color="auto"/>
              <w:right w:val="single" w:sz="6" w:space="0" w:color="auto"/>
            </w:tcBorders>
          </w:tcPr>
          <w:p w14:paraId="4DEA20B9"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Con el propósito de comprobar que la calibración verificada al inicio se mantenga vigente durante todo el análisis del lote, se debe analizar a intervalos regulares una disolución estándar de concentración conocida. Se analiza una vez cada diez muestras reales y con al menos el 10% de las muestras.</w:t>
            </w:r>
          </w:p>
        </w:tc>
      </w:tr>
      <w:tr w:rsidR="00A74CDF" w:rsidRPr="00F01347" w14:paraId="313A6B6D"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64F75D32"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10</w:t>
            </w:r>
          </w:p>
        </w:tc>
        <w:tc>
          <w:tcPr>
            <w:tcW w:w="1266" w:type="dxa"/>
            <w:tcBorders>
              <w:top w:val="single" w:sz="6" w:space="0" w:color="auto"/>
              <w:left w:val="single" w:sz="6" w:space="0" w:color="auto"/>
              <w:bottom w:val="single" w:sz="6" w:space="0" w:color="auto"/>
              <w:right w:val="single" w:sz="6" w:space="0" w:color="auto"/>
            </w:tcBorders>
          </w:tcPr>
          <w:p w14:paraId="00BF3C95"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Enjuague</w:t>
            </w:r>
          </w:p>
        </w:tc>
        <w:tc>
          <w:tcPr>
            <w:tcW w:w="6341" w:type="dxa"/>
            <w:tcBorders>
              <w:top w:val="single" w:sz="6" w:space="0" w:color="auto"/>
              <w:left w:val="single" w:sz="6" w:space="0" w:color="auto"/>
              <w:bottom w:val="single" w:sz="6" w:space="0" w:color="auto"/>
              <w:right w:val="single" w:sz="6" w:space="0" w:color="auto"/>
            </w:tcBorders>
          </w:tcPr>
          <w:p w14:paraId="4383C571"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Limpia las líneas de los restos de las inyecciones anteriores.</w:t>
            </w:r>
          </w:p>
        </w:tc>
      </w:tr>
      <w:tr w:rsidR="00A74CDF" w:rsidRPr="00F01347" w14:paraId="61433934"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2937FEB4"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11</w:t>
            </w:r>
          </w:p>
        </w:tc>
        <w:tc>
          <w:tcPr>
            <w:tcW w:w="1266" w:type="dxa"/>
            <w:tcBorders>
              <w:top w:val="single" w:sz="6" w:space="0" w:color="auto"/>
              <w:left w:val="single" w:sz="6" w:space="0" w:color="auto"/>
              <w:bottom w:val="single" w:sz="6" w:space="0" w:color="auto"/>
              <w:right w:val="single" w:sz="6" w:space="0" w:color="auto"/>
            </w:tcBorders>
          </w:tcPr>
          <w:p w14:paraId="64330B84"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Línea base</w:t>
            </w:r>
          </w:p>
        </w:tc>
        <w:tc>
          <w:tcPr>
            <w:tcW w:w="6341" w:type="dxa"/>
            <w:tcBorders>
              <w:top w:val="single" w:sz="6" w:space="0" w:color="auto"/>
              <w:left w:val="single" w:sz="6" w:space="0" w:color="auto"/>
              <w:bottom w:val="single" w:sz="6" w:space="0" w:color="auto"/>
              <w:right w:val="single" w:sz="6" w:space="0" w:color="auto"/>
            </w:tcBorders>
          </w:tcPr>
          <w:p w14:paraId="154DB5C6"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Establece un punto de anclaje para la línea base.</w:t>
            </w:r>
          </w:p>
        </w:tc>
      </w:tr>
      <w:tr w:rsidR="00A74CDF" w:rsidRPr="00F01347" w14:paraId="1D2212BE"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6AF67CA5"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12</w:t>
            </w:r>
          </w:p>
        </w:tc>
        <w:tc>
          <w:tcPr>
            <w:tcW w:w="1266" w:type="dxa"/>
            <w:tcBorders>
              <w:top w:val="single" w:sz="6" w:space="0" w:color="auto"/>
              <w:left w:val="single" w:sz="6" w:space="0" w:color="auto"/>
              <w:bottom w:val="single" w:sz="6" w:space="0" w:color="auto"/>
              <w:right w:val="single" w:sz="6" w:space="0" w:color="auto"/>
            </w:tcBorders>
          </w:tcPr>
          <w:p w14:paraId="0D18B058"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Blanco de reactivos</w:t>
            </w:r>
          </w:p>
        </w:tc>
        <w:tc>
          <w:tcPr>
            <w:tcW w:w="6341" w:type="dxa"/>
            <w:tcBorders>
              <w:top w:val="single" w:sz="6" w:space="0" w:color="auto"/>
              <w:left w:val="single" w:sz="6" w:space="0" w:color="auto"/>
              <w:bottom w:val="single" w:sz="6" w:space="0" w:color="auto"/>
              <w:right w:val="single" w:sz="6" w:space="0" w:color="auto"/>
            </w:tcBorders>
          </w:tcPr>
          <w:p w14:paraId="0731D0C0"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La lectura para este blanco de reactivos debe arrojar un valor menor al límite de detección del método.</w:t>
            </w:r>
          </w:p>
        </w:tc>
      </w:tr>
      <w:tr w:rsidR="00A74CDF" w:rsidRPr="00F01347" w14:paraId="18DF04EA"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3F35D751"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13</w:t>
            </w:r>
          </w:p>
        </w:tc>
        <w:tc>
          <w:tcPr>
            <w:tcW w:w="1266" w:type="dxa"/>
            <w:tcBorders>
              <w:top w:val="single" w:sz="6" w:space="0" w:color="auto"/>
              <w:left w:val="single" w:sz="6" w:space="0" w:color="auto"/>
              <w:bottom w:val="single" w:sz="6" w:space="0" w:color="auto"/>
              <w:right w:val="single" w:sz="6" w:space="0" w:color="auto"/>
            </w:tcBorders>
          </w:tcPr>
          <w:p w14:paraId="0F922588"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Muestra QC</w:t>
            </w:r>
          </w:p>
        </w:tc>
        <w:tc>
          <w:tcPr>
            <w:tcW w:w="6341" w:type="dxa"/>
            <w:tcBorders>
              <w:top w:val="single" w:sz="6" w:space="0" w:color="auto"/>
              <w:left w:val="single" w:sz="6" w:space="0" w:color="auto"/>
              <w:bottom w:val="single" w:sz="6" w:space="0" w:color="auto"/>
              <w:right w:val="single" w:sz="6" w:space="0" w:color="auto"/>
            </w:tcBorders>
          </w:tcPr>
          <w:p w14:paraId="74B6837B"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Se recomienda inyectar un blanco después de esta muestra ya que si su concentración es demasiado alta se puede presentar un arrastre en la siguiente muestra.</w:t>
            </w:r>
          </w:p>
        </w:tc>
      </w:tr>
      <w:tr w:rsidR="00A74CDF" w:rsidRPr="00F01347" w14:paraId="501422A1" w14:textId="77777777">
        <w:trPr>
          <w:trHeight w:val="20"/>
        </w:trPr>
        <w:tc>
          <w:tcPr>
            <w:tcW w:w="1105" w:type="dxa"/>
            <w:tcBorders>
              <w:top w:val="single" w:sz="6" w:space="0" w:color="auto"/>
              <w:left w:val="single" w:sz="6" w:space="0" w:color="auto"/>
              <w:bottom w:val="single" w:sz="6" w:space="0" w:color="auto"/>
              <w:right w:val="single" w:sz="6" w:space="0" w:color="auto"/>
            </w:tcBorders>
          </w:tcPr>
          <w:p w14:paraId="3ECC48F8"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14</w:t>
            </w:r>
          </w:p>
        </w:tc>
        <w:tc>
          <w:tcPr>
            <w:tcW w:w="1266" w:type="dxa"/>
            <w:tcBorders>
              <w:top w:val="single" w:sz="6" w:space="0" w:color="auto"/>
              <w:left w:val="single" w:sz="6" w:space="0" w:color="auto"/>
              <w:bottom w:val="single" w:sz="6" w:space="0" w:color="auto"/>
              <w:right w:val="single" w:sz="6" w:space="0" w:color="auto"/>
            </w:tcBorders>
          </w:tcPr>
          <w:p w14:paraId="3E182244"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color w:val="000000"/>
                <w:sz w:val="16"/>
                <w:szCs w:val="16"/>
              </w:rPr>
              <w:t>Muestras desconocidas o problema</w:t>
            </w:r>
          </w:p>
        </w:tc>
        <w:tc>
          <w:tcPr>
            <w:tcW w:w="6341" w:type="dxa"/>
            <w:tcBorders>
              <w:top w:val="single" w:sz="6" w:space="0" w:color="auto"/>
              <w:left w:val="single" w:sz="6" w:space="0" w:color="auto"/>
              <w:bottom w:val="single" w:sz="6" w:space="0" w:color="auto"/>
              <w:right w:val="single" w:sz="6" w:space="0" w:color="auto"/>
            </w:tcBorders>
          </w:tcPr>
          <w:p w14:paraId="3EE7722E"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Muestras problema. Se incluyen muestras duplicadas y adicionadas.</w:t>
            </w:r>
          </w:p>
        </w:tc>
      </w:tr>
    </w:tbl>
    <w:p w14:paraId="7ABEB41F" w14:textId="77777777" w:rsidR="0055757A" w:rsidRPr="00F01347" w:rsidRDefault="0055757A" w:rsidP="0055757A">
      <w:pPr>
        <w:pStyle w:val="texto0"/>
        <w:spacing w:line="232" w:lineRule="exact"/>
        <w:ind w:firstLine="0"/>
        <w:rPr>
          <w:rFonts w:ascii="Verdana" w:hAnsi="Verdana"/>
          <w:sz w:val="16"/>
          <w:szCs w:val="16"/>
        </w:rPr>
      </w:pPr>
    </w:p>
    <w:tbl>
      <w:tblPr>
        <w:tblW w:w="8715" w:type="dxa"/>
        <w:tblInd w:w="144" w:type="dxa"/>
        <w:tblLayout w:type="fixed"/>
        <w:tblCellMar>
          <w:left w:w="70" w:type="dxa"/>
          <w:right w:w="70" w:type="dxa"/>
        </w:tblCellMar>
        <w:tblLook w:val="04A0" w:firstRow="1" w:lastRow="0" w:firstColumn="1" w:lastColumn="0" w:noHBand="0" w:noVBand="1"/>
      </w:tblPr>
      <w:tblGrid>
        <w:gridCol w:w="1106"/>
        <w:gridCol w:w="1266"/>
        <w:gridCol w:w="6343"/>
      </w:tblGrid>
      <w:tr w:rsidR="00866280" w:rsidRPr="00F01347" w14:paraId="7056895A" w14:textId="77777777" w:rsidTr="00866280">
        <w:trPr>
          <w:trHeight w:val="20"/>
        </w:trPr>
        <w:tc>
          <w:tcPr>
            <w:tcW w:w="8712" w:type="dxa"/>
            <w:gridSpan w:val="3"/>
            <w:tcBorders>
              <w:top w:val="nil"/>
              <w:left w:val="nil"/>
              <w:bottom w:val="single" w:sz="6" w:space="0" w:color="auto"/>
              <w:right w:val="nil"/>
            </w:tcBorders>
            <w:noWrap/>
            <w:hideMark/>
          </w:tcPr>
          <w:p w14:paraId="4E2158BF" w14:textId="77777777" w:rsidR="00866280" w:rsidRPr="00F01347" w:rsidRDefault="00866280">
            <w:pPr>
              <w:pStyle w:val="texto0"/>
              <w:ind w:firstLine="0"/>
              <w:jc w:val="center"/>
              <w:rPr>
                <w:rFonts w:ascii="Verdana" w:hAnsi="Verdana"/>
                <w:color w:val="000000"/>
                <w:sz w:val="16"/>
                <w:szCs w:val="16"/>
                <w:lang w:val="en-US"/>
              </w:rPr>
            </w:pPr>
            <w:r w:rsidRPr="00F01347">
              <w:rPr>
                <w:rFonts w:ascii="Verdana" w:hAnsi="Verdana"/>
                <w:b/>
                <w:color w:val="000000"/>
                <w:sz w:val="16"/>
                <w:szCs w:val="16"/>
                <w:lang w:val="en-US"/>
              </w:rPr>
              <w:t xml:space="preserve">Table B.7.4-2. </w:t>
            </w:r>
            <w:r w:rsidRPr="00F01347">
              <w:rPr>
                <w:rFonts w:ascii="Verdana" w:hAnsi="Verdana"/>
                <w:color w:val="000000"/>
                <w:sz w:val="16"/>
                <w:szCs w:val="16"/>
                <w:lang w:val="en-US"/>
              </w:rPr>
              <w:t>Composition of the analytical batch by automated colorimetry.</w:t>
            </w:r>
          </w:p>
        </w:tc>
      </w:tr>
      <w:tr w:rsidR="00866280" w:rsidRPr="00F01347" w14:paraId="2903F9DE"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42E02619" w14:textId="77777777" w:rsidR="00866280" w:rsidRPr="00F01347" w:rsidRDefault="00866280">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order in sequence</w:t>
            </w:r>
          </w:p>
        </w:tc>
        <w:tc>
          <w:tcPr>
            <w:tcW w:w="1266" w:type="dxa"/>
            <w:tcBorders>
              <w:top w:val="single" w:sz="6" w:space="0" w:color="auto"/>
              <w:left w:val="single" w:sz="6" w:space="0" w:color="auto"/>
              <w:bottom w:val="single" w:sz="6" w:space="0" w:color="auto"/>
              <w:right w:val="single" w:sz="6" w:space="0" w:color="auto"/>
            </w:tcBorders>
            <w:hideMark/>
          </w:tcPr>
          <w:p w14:paraId="2C227635" w14:textId="77777777" w:rsidR="00866280" w:rsidRPr="00F01347" w:rsidRDefault="00866280">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Type of sample</w:t>
            </w:r>
          </w:p>
        </w:tc>
        <w:tc>
          <w:tcPr>
            <w:tcW w:w="6341" w:type="dxa"/>
            <w:tcBorders>
              <w:top w:val="single" w:sz="6" w:space="0" w:color="auto"/>
              <w:left w:val="single" w:sz="6" w:space="0" w:color="auto"/>
              <w:bottom w:val="single" w:sz="6" w:space="0" w:color="auto"/>
              <w:right w:val="single" w:sz="6" w:space="0" w:color="auto"/>
            </w:tcBorders>
            <w:hideMark/>
          </w:tcPr>
          <w:p w14:paraId="411DA306" w14:textId="77777777" w:rsidR="00866280" w:rsidRPr="00F01347" w:rsidRDefault="00866280">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Function</w:t>
            </w:r>
          </w:p>
        </w:tc>
      </w:tr>
      <w:tr w:rsidR="00866280" w:rsidRPr="00F01347" w14:paraId="0BF3F4CE"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18958794"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w:t>
            </w:r>
          </w:p>
        </w:tc>
        <w:tc>
          <w:tcPr>
            <w:tcW w:w="1266" w:type="dxa"/>
            <w:tcBorders>
              <w:top w:val="single" w:sz="6" w:space="0" w:color="auto"/>
              <w:left w:val="single" w:sz="6" w:space="0" w:color="auto"/>
              <w:bottom w:val="single" w:sz="6" w:space="0" w:color="auto"/>
              <w:right w:val="single" w:sz="6" w:space="0" w:color="auto"/>
            </w:tcBorders>
            <w:hideMark/>
          </w:tcPr>
          <w:p w14:paraId="3B7EE8A5"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Sync Peak</w:t>
            </w:r>
          </w:p>
        </w:tc>
        <w:tc>
          <w:tcPr>
            <w:tcW w:w="6341" w:type="dxa"/>
            <w:tcBorders>
              <w:top w:val="single" w:sz="6" w:space="0" w:color="auto"/>
              <w:left w:val="single" w:sz="6" w:space="0" w:color="auto"/>
              <w:bottom w:val="single" w:sz="6" w:space="0" w:color="auto"/>
              <w:right w:val="single" w:sz="6" w:space="0" w:color="auto"/>
            </w:tcBorders>
            <w:hideMark/>
          </w:tcPr>
          <w:p w14:paraId="0EAFDE68" w14:textId="77777777" w:rsidR="00866280" w:rsidRPr="00F01347" w:rsidRDefault="00866280">
            <w:pPr>
              <w:pStyle w:val="texto0"/>
              <w:spacing w:line="212" w:lineRule="exact"/>
              <w:ind w:firstLine="0"/>
              <w:rPr>
                <w:rFonts w:ascii="Verdana" w:hAnsi="Verdana"/>
                <w:color w:val="000000"/>
                <w:sz w:val="16"/>
                <w:szCs w:val="16"/>
                <w:lang w:val="en-US"/>
              </w:rPr>
            </w:pPr>
            <w:r w:rsidRPr="00F01347">
              <w:rPr>
                <w:rFonts w:ascii="Verdana" w:hAnsi="Verdana"/>
                <w:color w:val="000000"/>
                <w:sz w:val="16"/>
                <w:szCs w:val="16"/>
                <w:lang w:val="en-US"/>
              </w:rPr>
              <w:t>First peak detected by the equipment. From this point on, the program begins to count the duration of the sampling cycles.</w:t>
            </w:r>
          </w:p>
        </w:tc>
      </w:tr>
      <w:tr w:rsidR="00866280" w:rsidRPr="00F01347" w14:paraId="2B7C730A"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29033F14"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2</w:t>
            </w:r>
          </w:p>
        </w:tc>
        <w:tc>
          <w:tcPr>
            <w:tcW w:w="1266" w:type="dxa"/>
            <w:tcBorders>
              <w:top w:val="single" w:sz="6" w:space="0" w:color="auto"/>
              <w:left w:val="single" w:sz="6" w:space="0" w:color="auto"/>
              <w:bottom w:val="single" w:sz="6" w:space="0" w:color="auto"/>
              <w:right w:val="single" w:sz="6" w:space="0" w:color="auto"/>
            </w:tcBorders>
            <w:hideMark/>
          </w:tcPr>
          <w:p w14:paraId="7C97BD9A" w14:textId="7FA81324" w:rsidR="00866280" w:rsidRPr="00F01347" w:rsidRDefault="004D603E">
            <w:pPr>
              <w:pStyle w:val="texto0"/>
              <w:spacing w:line="212" w:lineRule="exact"/>
              <w:ind w:firstLine="0"/>
              <w:jc w:val="center"/>
              <w:rPr>
                <w:rFonts w:ascii="Verdana" w:hAnsi="Verdana"/>
                <w:iCs/>
                <w:color w:val="000000"/>
                <w:sz w:val="16"/>
                <w:szCs w:val="16"/>
                <w:lang w:val="en-US"/>
              </w:rPr>
            </w:pPr>
            <w:r w:rsidRPr="00F01347">
              <w:rPr>
                <w:rFonts w:ascii="Verdana" w:hAnsi="Verdana"/>
                <w:iCs/>
                <w:color w:val="000000"/>
                <w:sz w:val="16"/>
                <w:szCs w:val="16"/>
                <w:lang w:val="en-US"/>
              </w:rPr>
              <w:t>C</w:t>
            </w:r>
            <w:r w:rsidR="00866280" w:rsidRPr="00F01347">
              <w:rPr>
                <w:rFonts w:ascii="Verdana" w:hAnsi="Verdana"/>
                <w:iCs/>
                <w:color w:val="000000"/>
                <w:sz w:val="16"/>
                <w:szCs w:val="16"/>
                <w:lang w:val="en-US"/>
              </w:rPr>
              <w:t>arryover</w:t>
            </w:r>
          </w:p>
        </w:tc>
        <w:tc>
          <w:tcPr>
            <w:tcW w:w="6341" w:type="dxa"/>
            <w:tcBorders>
              <w:top w:val="single" w:sz="6" w:space="0" w:color="auto"/>
              <w:left w:val="single" w:sz="6" w:space="0" w:color="auto"/>
              <w:bottom w:val="single" w:sz="6" w:space="0" w:color="auto"/>
              <w:right w:val="single" w:sz="6" w:space="0" w:color="auto"/>
            </w:tcBorders>
            <w:hideMark/>
          </w:tcPr>
          <w:p w14:paraId="6451A6E4" w14:textId="77777777" w:rsidR="00866280" w:rsidRPr="00F01347" w:rsidRDefault="00866280">
            <w:pPr>
              <w:pStyle w:val="texto0"/>
              <w:spacing w:line="212" w:lineRule="exact"/>
              <w:ind w:firstLine="0"/>
              <w:rPr>
                <w:rFonts w:ascii="Verdana" w:hAnsi="Verdana"/>
                <w:color w:val="000000"/>
                <w:sz w:val="16"/>
                <w:szCs w:val="16"/>
                <w:lang w:val="en-US"/>
              </w:rPr>
            </w:pPr>
            <w:r w:rsidRPr="00F01347">
              <w:rPr>
                <w:rFonts w:ascii="Verdana" w:hAnsi="Verdana"/>
                <w:color w:val="000000"/>
                <w:sz w:val="16"/>
                <w:szCs w:val="16"/>
                <w:lang w:val="en-US"/>
              </w:rPr>
              <w:t>With this the equipment calculates what percentage of the synchrony peak is being quantified in the next sample collection.</w:t>
            </w:r>
          </w:p>
        </w:tc>
      </w:tr>
      <w:tr w:rsidR="00866280" w:rsidRPr="00F01347" w14:paraId="086208B7"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605603EC"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3</w:t>
            </w:r>
          </w:p>
        </w:tc>
        <w:tc>
          <w:tcPr>
            <w:tcW w:w="1266" w:type="dxa"/>
            <w:tcBorders>
              <w:top w:val="single" w:sz="6" w:space="0" w:color="auto"/>
              <w:left w:val="single" w:sz="6" w:space="0" w:color="auto"/>
              <w:bottom w:val="single" w:sz="6" w:space="0" w:color="auto"/>
              <w:right w:val="single" w:sz="6" w:space="0" w:color="auto"/>
            </w:tcBorders>
            <w:hideMark/>
          </w:tcPr>
          <w:p w14:paraId="5EE164E7" w14:textId="61949A90"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Rinse</w:t>
            </w:r>
          </w:p>
        </w:tc>
        <w:tc>
          <w:tcPr>
            <w:tcW w:w="6341" w:type="dxa"/>
            <w:tcBorders>
              <w:top w:val="single" w:sz="6" w:space="0" w:color="auto"/>
              <w:left w:val="single" w:sz="6" w:space="0" w:color="auto"/>
              <w:bottom w:val="single" w:sz="6" w:space="0" w:color="auto"/>
              <w:right w:val="single" w:sz="6" w:space="0" w:color="auto"/>
            </w:tcBorders>
            <w:hideMark/>
          </w:tcPr>
          <w:p w14:paraId="07E8C88A" w14:textId="77777777" w:rsidR="00866280" w:rsidRPr="00F01347" w:rsidRDefault="00866280">
            <w:pPr>
              <w:pStyle w:val="texto0"/>
              <w:spacing w:line="212" w:lineRule="exact"/>
              <w:ind w:firstLine="0"/>
              <w:rPr>
                <w:rFonts w:ascii="Verdana" w:hAnsi="Verdana"/>
                <w:color w:val="000000"/>
                <w:sz w:val="16"/>
                <w:szCs w:val="16"/>
                <w:lang w:val="en-US"/>
              </w:rPr>
            </w:pPr>
            <w:r w:rsidRPr="00F01347">
              <w:rPr>
                <w:rFonts w:ascii="Verdana" w:hAnsi="Verdana"/>
                <w:color w:val="000000"/>
                <w:sz w:val="16"/>
                <w:szCs w:val="16"/>
                <w:lang w:val="en-US"/>
              </w:rPr>
              <w:t>Clean the lines of the remains of previous injections.</w:t>
            </w:r>
          </w:p>
        </w:tc>
      </w:tr>
      <w:tr w:rsidR="00866280" w:rsidRPr="00F01347" w14:paraId="3C31D2A1"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33F4F8E6"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4</w:t>
            </w:r>
          </w:p>
        </w:tc>
        <w:tc>
          <w:tcPr>
            <w:tcW w:w="1266" w:type="dxa"/>
            <w:tcBorders>
              <w:top w:val="single" w:sz="6" w:space="0" w:color="auto"/>
              <w:left w:val="single" w:sz="6" w:space="0" w:color="auto"/>
              <w:bottom w:val="single" w:sz="6" w:space="0" w:color="auto"/>
              <w:right w:val="single" w:sz="6" w:space="0" w:color="auto"/>
            </w:tcBorders>
            <w:hideMark/>
          </w:tcPr>
          <w:p w14:paraId="57FD4DAB"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Base line</w:t>
            </w:r>
          </w:p>
        </w:tc>
        <w:tc>
          <w:tcPr>
            <w:tcW w:w="6341" w:type="dxa"/>
            <w:tcBorders>
              <w:top w:val="single" w:sz="6" w:space="0" w:color="auto"/>
              <w:left w:val="single" w:sz="6" w:space="0" w:color="auto"/>
              <w:bottom w:val="single" w:sz="6" w:space="0" w:color="auto"/>
              <w:right w:val="single" w:sz="6" w:space="0" w:color="auto"/>
            </w:tcBorders>
            <w:hideMark/>
          </w:tcPr>
          <w:p w14:paraId="2B998937" w14:textId="77777777" w:rsidR="00866280" w:rsidRPr="00F01347" w:rsidRDefault="00866280">
            <w:pPr>
              <w:pStyle w:val="texto0"/>
              <w:spacing w:line="212" w:lineRule="exact"/>
              <w:ind w:firstLine="0"/>
              <w:rPr>
                <w:rFonts w:ascii="Verdana" w:hAnsi="Verdana"/>
                <w:color w:val="000000"/>
                <w:sz w:val="16"/>
                <w:szCs w:val="16"/>
                <w:lang w:val="en-US"/>
              </w:rPr>
            </w:pPr>
            <w:r w:rsidRPr="00F01347">
              <w:rPr>
                <w:rFonts w:ascii="Verdana" w:hAnsi="Verdana"/>
                <w:color w:val="000000"/>
                <w:sz w:val="16"/>
                <w:szCs w:val="16"/>
                <w:lang w:val="en-US"/>
              </w:rPr>
              <w:t>Set an anchor point for the baseline.</w:t>
            </w:r>
          </w:p>
        </w:tc>
      </w:tr>
      <w:tr w:rsidR="00866280" w:rsidRPr="00F01347" w14:paraId="02AFA9F7"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5E6A478C"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5</w:t>
            </w:r>
          </w:p>
        </w:tc>
        <w:tc>
          <w:tcPr>
            <w:tcW w:w="1266" w:type="dxa"/>
            <w:tcBorders>
              <w:top w:val="single" w:sz="6" w:space="0" w:color="auto"/>
              <w:left w:val="single" w:sz="6" w:space="0" w:color="auto"/>
              <w:bottom w:val="single" w:sz="6" w:space="0" w:color="auto"/>
              <w:right w:val="single" w:sz="6" w:space="0" w:color="auto"/>
            </w:tcBorders>
            <w:hideMark/>
          </w:tcPr>
          <w:p w14:paraId="2E47B6A1"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Calibration standards</w:t>
            </w:r>
          </w:p>
        </w:tc>
        <w:tc>
          <w:tcPr>
            <w:tcW w:w="6341" w:type="dxa"/>
            <w:tcBorders>
              <w:top w:val="single" w:sz="6" w:space="0" w:color="auto"/>
              <w:left w:val="single" w:sz="6" w:space="0" w:color="auto"/>
              <w:bottom w:val="single" w:sz="6" w:space="0" w:color="auto"/>
              <w:right w:val="single" w:sz="6" w:space="0" w:color="auto"/>
            </w:tcBorders>
            <w:hideMark/>
          </w:tcPr>
          <w:p w14:paraId="10360021" w14:textId="77777777" w:rsidR="00866280" w:rsidRPr="00F01347" w:rsidRDefault="00866280">
            <w:pPr>
              <w:pStyle w:val="texto0"/>
              <w:spacing w:line="212" w:lineRule="exact"/>
              <w:ind w:firstLine="0"/>
              <w:rPr>
                <w:rFonts w:ascii="Verdana" w:hAnsi="Verdana"/>
                <w:color w:val="000000"/>
                <w:sz w:val="16"/>
                <w:szCs w:val="16"/>
                <w:lang w:val="en-US"/>
              </w:rPr>
            </w:pPr>
            <w:r w:rsidRPr="00F01347">
              <w:rPr>
                <w:rFonts w:ascii="Verdana" w:hAnsi="Verdana"/>
                <w:color w:val="000000"/>
                <w:sz w:val="16"/>
                <w:szCs w:val="16"/>
                <w:lang w:val="en-US"/>
              </w:rPr>
              <w:t>Series of standards of different concentrations that the team uses to build the calibration curve. They are omitted if a curve loaded in the equipment is used.</w:t>
            </w:r>
          </w:p>
        </w:tc>
      </w:tr>
      <w:tr w:rsidR="00866280" w:rsidRPr="00F01347" w14:paraId="20D2384A"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28181025"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6</w:t>
            </w:r>
          </w:p>
        </w:tc>
        <w:tc>
          <w:tcPr>
            <w:tcW w:w="1266" w:type="dxa"/>
            <w:tcBorders>
              <w:top w:val="single" w:sz="6" w:space="0" w:color="auto"/>
              <w:left w:val="single" w:sz="6" w:space="0" w:color="auto"/>
              <w:bottom w:val="single" w:sz="6" w:space="0" w:color="auto"/>
              <w:right w:val="single" w:sz="6" w:space="0" w:color="auto"/>
            </w:tcBorders>
            <w:hideMark/>
          </w:tcPr>
          <w:p w14:paraId="3E3023C0"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Rinse</w:t>
            </w:r>
          </w:p>
        </w:tc>
        <w:tc>
          <w:tcPr>
            <w:tcW w:w="6341" w:type="dxa"/>
            <w:tcBorders>
              <w:top w:val="single" w:sz="6" w:space="0" w:color="auto"/>
              <w:left w:val="single" w:sz="6" w:space="0" w:color="auto"/>
              <w:bottom w:val="single" w:sz="6" w:space="0" w:color="auto"/>
              <w:right w:val="single" w:sz="6" w:space="0" w:color="auto"/>
            </w:tcBorders>
            <w:hideMark/>
          </w:tcPr>
          <w:p w14:paraId="57D85218" w14:textId="77777777" w:rsidR="00866280" w:rsidRPr="00F01347" w:rsidRDefault="00866280">
            <w:pPr>
              <w:pStyle w:val="texto0"/>
              <w:spacing w:line="212" w:lineRule="exact"/>
              <w:ind w:firstLine="0"/>
              <w:rPr>
                <w:rFonts w:ascii="Verdana" w:hAnsi="Verdana"/>
                <w:color w:val="000000"/>
                <w:sz w:val="16"/>
                <w:szCs w:val="16"/>
                <w:lang w:val="en-US"/>
              </w:rPr>
            </w:pPr>
            <w:r w:rsidRPr="00F01347">
              <w:rPr>
                <w:rFonts w:ascii="Verdana" w:hAnsi="Verdana"/>
                <w:color w:val="000000"/>
                <w:sz w:val="16"/>
                <w:szCs w:val="16"/>
                <w:lang w:val="en-US"/>
              </w:rPr>
              <w:t>Clean the lines of the remains of previous injections.</w:t>
            </w:r>
          </w:p>
        </w:tc>
      </w:tr>
      <w:tr w:rsidR="00866280" w:rsidRPr="00F01347" w14:paraId="49E55469"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3BC632FE"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7</w:t>
            </w:r>
          </w:p>
        </w:tc>
        <w:tc>
          <w:tcPr>
            <w:tcW w:w="1266" w:type="dxa"/>
            <w:tcBorders>
              <w:top w:val="single" w:sz="6" w:space="0" w:color="auto"/>
              <w:left w:val="single" w:sz="6" w:space="0" w:color="auto"/>
              <w:bottom w:val="single" w:sz="6" w:space="0" w:color="auto"/>
              <w:right w:val="single" w:sz="6" w:space="0" w:color="auto"/>
            </w:tcBorders>
            <w:hideMark/>
          </w:tcPr>
          <w:p w14:paraId="3D9F1862"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Base line</w:t>
            </w:r>
          </w:p>
        </w:tc>
        <w:tc>
          <w:tcPr>
            <w:tcW w:w="6341" w:type="dxa"/>
            <w:tcBorders>
              <w:top w:val="single" w:sz="6" w:space="0" w:color="auto"/>
              <w:left w:val="single" w:sz="6" w:space="0" w:color="auto"/>
              <w:bottom w:val="single" w:sz="6" w:space="0" w:color="auto"/>
              <w:right w:val="single" w:sz="6" w:space="0" w:color="auto"/>
            </w:tcBorders>
            <w:hideMark/>
          </w:tcPr>
          <w:p w14:paraId="1B7746D7" w14:textId="77777777" w:rsidR="00866280" w:rsidRPr="00F01347" w:rsidRDefault="00866280">
            <w:pPr>
              <w:pStyle w:val="texto0"/>
              <w:spacing w:line="212" w:lineRule="exact"/>
              <w:ind w:firstLine="0"/>
              <w:rPr>
                <w:rFonts w:ascii="Verdana" w:hAnsi="Verdana"/>
                <w:color w:val="000000"/>
                <w:sz w:val="16"/>
                <w:szCs w:val="16"/>
                <w:lang w:val="en-US"/>
              </w:rPr>
            </w:pPr>
            <w:r w:rsidRPr="00F01347">
              <w:rPr>
                <w:rFonts w:ascii="Verdana" w:hAnsi="Verdana"/>
                <w:color w:val="000000"/>
                <w:sz w:val="16"/>
                <w:szCs w:val="16"/>
                <w:lang w:val="en-US"/>
              </w:rPr>
              <w:t>Set an anchor point for the baseline.</w:t>
            </w:r>
          </w:p>
        </w:tc>
      </w:tr>
      <w:tr w:rsidR="00866280" w:rsidRPr="00F01347" w14:paraId="676357E1"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7DE423B9"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8</w:t>
            </w:r>
          </w:p>
        </w:tc>
        <w:tc>
          <w:tcPr>
            <w:tcW w:w="1266" w:type="dxa"/>
            <w:tcBorders>
              <w:top w:val="single" w:sz="6" w:space="0" w:color="auto"/>
              <w:left w:val="single" w:sz="6" w:space="0" w:color="auto"/>
              <w:bottom w:val="single" w:sz="6" w:space="0" w:color="auto"/>
              <w:right w:val="single" w:sz="6" w:space="0" w:color="auto"/>
            </w:tcBorders>
            <w:hideMark/>
          </w:tcPr>
          <w:p w14:paraId="343B5968" w14:textId="77777777" w:rsidR="00866280" w:rsidRPr="00F01347" w:rsidRDefault="00866280">
            <w:pPr>
              <w:pStyle w:val="texto0"/>
              <w:spacing w:line="21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Initial Calibration Verification Standard</w:t>
            </w:r>
          </w:p>
        </w:tc>
        <w:tc>
          <w:tcPr>
            <w:tcW w:w="6341" w:type="dxa"/>
            <w:tcBorders>
              <w:top w:val="single" w:sz="6" w:space="0" w:color="auto"/>
              <w:left w:val="single" w:sz="6" w:space="0" w:color="auto"/>
              <w:bottom w:val="single" w:sz="6" w:space="0" w:color="auto"/>
              <w:right w:val="single" w:sz="6" w:space="0" w:color="auto"/>
            </w:tcBorders>
            <w:hideMark/>
          </w:tcPr>
          <w:p w14:paraId="63E1C584" w14:textId="77777777" w:rsidR="00866280" w:rsidRPr="00F01347" w:rsidRDefault="00866280">
            <w:pPr>
              <w:pStyle w:val="texto0"/>
              <w:spacing w:line="212" w:lineRule="exact"/>
              <w:ind w:firstLine="0"/>
              <w:rPr>
                <w:rFonts w:ascii="Verdana" w:hAnsi="Verdana"/>
                <w:color w:val="000000"/>
                <w:sz w:val="16"/>
                <w:szCs w:val="16"/>
                <w:lang w:val="en-US"/>
              </w:rPr>
            </w:pPr>
            <w:r w:rsidRPr="00F01347">
              <w:rPr>
                <w:rFonts w:ascii="Verdana" w:hAnsi="Verdana"/>
                <w:color w:val="000000"/>
                <w:sz w:val="16"/>
                <w:szCs w:val="16"/>
                <w:lang w:val="en-US"/>
              </w:rPr>
              <w:t>If a new calibration curve is used to quantify the analyte concentration in samples and quality controls in a batch, an initial calibration verification (ICV) standard must be prepared, which contains the analyte in a known concentration and which is within the working range.</w:t>
            </w:r>
          </w:p>
        </w:tc>
      </w:tr>
      <w:tr w:rsidR="00866280" w:rsidRPr="00F01347" w14:paraId="09A0E316"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692F4766" w14:textId="77777777" w:rsidR="00866280" w:rsidRPr="00F01347" w:rsidRDefault="00866280">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9</w:t>
            </w:r>
          </w:p>
        </w:tc>
        <w:tc>
          <w:tcPr>
            <w:tcW w:w="1266" w:type="dxa"/>
            <w:tcBorders>
              <w:top w:val="single" w:sz="6" w:space="0" w:color="auto"/>
              <w:left w:val="single" w:sz="6" w:space="0" w:color="auto"/>
              <w:bottom w:val="single" w:sz="6" w:space="0" w:color="auto"/>
              <w:right w:val="single" w:sz="6" w:space="0" w:color="auto"/>
            </w:tcBorders>
            <w:hideMark/>
          </w:tcPr>
          <w:p w14:paraId="55D30D23" w14:textId="77777777" w:rsidR="00866280" w:rsidRPr="00F01347" w:rsidRDefault="00866280">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Continuous Calibration Verification Standard</w:t>
            </w:r>
          </w:p>
        </w:tc>
        <w:tc>
          <w:tcPr>
            <w:tcW w:w="6341" w:type="dxa"/>
            <w:tcBorders>
              <w:top w:val="single" w:sz="6" w:space="0" w:color="auto"/>
              <w:left w:val="single" w:sz="6" w:space="0" w:color="auto"/>
              <w:bottom w:val="single" w:sz="6" w:space="0" w:color="auto"/>
              <w:right w:val="single" w:sz="6" w:space="0" w:color="auto"/>
            </w:tcBorders>
            <w:hideMark/>
          </w:tcPr>
          <w:p w14:paraId="1CABE5F0" w14:textId="77777777" w:rsidR="00866280" w:rsidRPr="00F01347" w:rsidRDefault="00866280">
            <w:pPr>
              <w:pStyle w:val="texto0"/>
              <w:spacing w:line="232" w:lineRule="exact"/>
              <w:ind w:firstLine="0"/>
              <w:rPr>
                <w:rFonts w:ascii="Verdana" w:hAnsi="Verdana"/>
                <w:color w:val="000000"/>
                <w:sz w:val="16"/>
                <w:szCs w:val="16"/>
                <w:lang w:val="en-US"/>
              </w:rPr>
            </w:pPr>
            <w:proofErr w:type="gramStart"/>
            <w:r w:rsidRPr="00F01347">
              <w:rPr>
                <w:rFonts w:ascii="Verdana" w:hAnsi="Verdana"/>
                <w:color w:val="000000"/>
                <w:sz w:val="16"/>
                <w:szCs w:val="16"/>
                <w:lang w:val="en-US"/>
              </w:rPr>
              <w:t>In order to</w:t>
            </w:r>
            <w:proofErr w:type="gramEnd"/>
            <w:r w:rsidRPr="00F01347">
              <w:rPr>
                <w:rFonts w:ascii="Verdana" w:hAnsi="Verdana"/>
                <w:color w:val="000000"/>
                <w:sz w:val="16"/>
                <w:szCs w:val="16"/>
                <w:lang w:val="en-US"/>
              </w:rPr>
              <w:t xml:space="preserve"> verify that the calibration verified at the beginning remains valid throughout the batch analysis, a standard solution of known concentration must be analyzed at regular intervals. It is analyzed once every ten real samples and with at least 10% of the samples.</w:t>
            </w:r>
          </w:p>
        </w:tc>
      </w:tr>
      <w:tr w:rsidR="00866280" w:rsidRPr="00F01347" w14:paraId="7F7C5404"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7C346D9F" w14:textId="77777777" w:rsidR="00866280" w:rsidRPr="00F01347" w:rsidRDefault="00866280">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10</w:t>
            </w:r>
          </w:p>
        </w:tc>
        <w:tc>
          <w:tcPr>
            <w:tcW w:w="1266" w:type="dxa"/>
            <w:tcBorders>
              <w:top w:val="single" w:sz="6" w:space="0" w:color="auto"/>
              <w:left w:val="single" w:sz="6" w:space="0" w:color="auto"/>
              <w:bottom w:val="single" w:sz="6" w:space="0" w:color="auto"/>
              <w:right w:val="single" w:sz="6" w:space="0" w:color="auto"/>
            </w:tcBorders>
            <w:hideMark/>
          </w:tcPr>
          <w:p w14:paraId="025E7A88" w14:textId="77777777" w:rsidR="00866280" w:rsidRPr="00F01347" w:rsidRDefault="00866280">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Rinse</w:t>
            </w:r>
          </w:p>
        </w:tc>
        <w:tc>
          <w:tcPr>
            <w:tcW w:w="6341" w:type="dxa"/>
            <w:tcBorders>
              <w:top w:val="single" w:sz="6" w:space="0" w:color="auto"/>
              <w:left w:val="single" w:sz="6" w:space="0" w:color="auto"/>
              <w:bottom w:val="single" w:sz="6" w:space="0" w:color="auto"/>
              <w:right w:val="single" w:sz="6" w:space="0" w:color="auto"/>
            </w:tcBorders>
            <w:hideMark/>
          </w:tcPr>
          <w:p w14:paraId="7D8F59FE" w14:textId="77777777" w:rsidR="00866280" w:rsidRPr="00F01347" w:rsidRDefault="0086628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Clean the lines of the remains of previous injections.</w:t>
            </w:r>
          </w:p>
        </w:tc>
      </w:tr>
      <w:tr w:rsidR="00866280" w:rsidRPr="00F01347" w14:paraId="7BAA20AA"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5FB02034" w14:textId="4F1FC3C3" w:rsidR="00866280" w:rsidRPr="00F01347" w:rsidRDefault="00D727AE">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11</w:t>
            </w:r>
          </w:p>
        </w:tc>
        <w:tc>
          <w:tcPr>
            <w:tcW w:w="1266" w:type="dxa"/>
            <w:tcBorders>
              <w:top w:val="single" w:sz="6" w:space="0" w:color="auto"/>
              <w:left w:val="single" w:sz="6" w:space="0" w:color="auto"/>
              <w:bottom w:val="single" w:sz="6" w:space="0" w:color="auto"/>
              <w:right w:val="single" w:sz="6" w:space="0" w:color="auto"/>
            </w:tcBorders>
            <w:hideMark/>
          </w:tcPr>
          <w:p w14:paraId="02D04363" w14:textId="77777777" w:rsidR="00866280" w:rsidRPr="00F01347" w:rsidRDefault="00866280">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Base line</w:t>
            </w:r>
          </w:p>
        </w:tc>
        <w:tc>
          <w:tcPr>
            <w:tcW w:w="6341" w:type="dxa"/>
            <w:tcBorders>
              <w:top w:val="single" w:sz="6" w:space="0" w:color="auto"/>
              <w:left w:val="single" w:sz="6" w:space="0" w:color="auto"/>
              <w:bottom w:val="single" w:sz="6" w:space="0" w:color="auto"/>
              <w:right w:val="single" w:sz="6" w:space="0" w:color="auto"/>
            </w:tcBorders>
            <w:hideMark/>
          </w:tcPr>
          <w:p w14:paraId="0AB5CDF0" w14:textId="77777777" w:rsidR="00866280" w:rsidRPr="00F01347" w:rsidRDefault="0086628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Set an anchor point for the baseline.</w:t>
            </w:r>
          </w:p>
        </w:tc>
      </w:tr>
      <w:tr w:rsidR="00866280" w:rsidRPr="00F01347" w14:paraId="24B9D222"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48B41E99" w14:textId="77777777" w:rsidR="00866280" w:rsidRPr="00F01347" w:rsidRDefault="00866280">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12</w:t>
            </w:r>
          </w:p>
        </w:tc>
        <w:tc>
          <w:tcPr>
            <w:tcW w:w="1266" w:type="dxa"/>
            <w:tcBorders>
              <w:top w:val="single" w:sz="6" w:space="0" w:color="auto"/>
              <w:left w:val="single" w:sz="6" w:space="0" w:color="auto"/>
              <w:bottom w:val="single" w:sz="6" w:space="0" w:color="auto"/>
              <w:right w:val="single" w:sz="6" w:space="0" w:color="auto"/>
            </w:tcBorders>
            <w:hideMark/>
          </w:tcPr>
          <w:p w14:paraId="4106A016" w14:textId="77777777" w:rsidR="00866280" w:rsidRPr="00F01347" w:rsidRDefault="00866280">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Reagent blank</w:t>
            </w:r>
          </w:p>
        </w:tc>
        <w:tc>
          <w:tcPr>
            <w:tcW w:w="6341" w:type="dxa"/>
            <w:tcBorders>
              <w:top w:val="single" w:sz="6" w:space="0" w:color="auto"/>
              <w:left w:val="single" w:sz="6" w:space="0" w:color="auto"/>
              <w:bottom w:val="single" w:sz="6" w:space="0" w:color="auto"/>
              <w:right w:val="single" w:sz="6" w:space="0" w:color="auto"/>
            </w:tcBorders>
            <w:hideMark/>
          </w:tcPr>
          <w:p w14:paraId="363830ED" w14:textId="77777777" w:rsidR="00866280" w:rsidRPr="00F01347" w:rsidRDefault="0086628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The reading for this reagent blank must yield a value lower than the detection limit of the method.</w:t>
            </w:r>
          </w:p>
        </w:tc>
      </w:tr>
      <w:tr w:rsidR="00866280" w:rsidRPr="00F01347" w14:paraId="07101C4E"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07BF3A9F" w14:textId="77777777" w:rsidR="00866280" w:rsidRPr="00F01347" w:rsidRDefault="00866280">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lastRenderedPageBreak/>
              <w:t>13</w:t>
            </w:r>
          </w:p>
        </w:tc>
        <w:tc>
          <w:tcPr>
            <w:tcW w:w="1266" w:type="dxa"/>
            <w:tcBorders>
              <w:top w:val="single" w:sz="6" w:space="0" w:color="auto"/>
              <w:left w:val="single" w:sz="6" w:space="0" w:color="auto"/>
              <w:bottom w:val="single" w:sz="6" w:space="0" w:color="auto"/>
              <w:right w:val="single" w:sz="6" w:space="0" w:color="auto"/>
            </w:tcBorders>
            <w:hideMark/>
          </w:tcPr>
          <w:p w14:paraId="4E389830" w14:textId="77777777" w:rsidR="00866280" w:rsidRPr="00F01347" w:rsidRDefault="00866280">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QC Sample</w:t>
            </w:r>
          </w:p>
        </w:tc>
        <w:tc>
          <w:tcPr>
            <w:tcW w:w="6341" w:type="dxa"/>
            <w:tcBorders>
              <w:top w:val="single" w:sz="6" w:space="0" w:color="auto"/>
              <w:left w:val="single" w:sz="6" w:space="0" w:color="auto"/>
              <w:bottom w:val="single" w:sz="6" w:space="0" w:color="auto"/>
              <w:right w:val="single" w:sz="6" w:space="0" w:color="auto"/>
            </w:tcBorders>
            <w:hideMark/>
          </w:tcPr>
          <w:p w14:paraId="6C334CA4" w14:textId="77777777" w:rsidR="00866280" w:rsidRPr="00F01347" w:rsidRDefault="0086628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It is recommended to inject a blank after this sample since if its concentration is too high, carryover may occur in the next sample.</w:t>
            </w:r>
          </w:p>
        </w:tc>
      </w:tr>
      <w:tr w:rsidR="00866280" w:rsidRPr="00F01347" w14:paraId="4CB65D3E" w14:textId="77777777" w:rsidTr="00866280">
        <w:trPr>
          <w:trHeight w:val="20"/>
        </w:trPr>
        <w:tc>
          <w:tcPr>
            <w:tcW w:w="1105" w:type="dxa"/>
            <w:tcBorders>
              <w:top w:val="single" w:sz="6" w:space="0" w:color="auto"/>
              <w:left w:val="single" w:sz="6" w:space="0" w:color="auto"/>
              <w:bottom w:val="single" w:sz="6" w:space="0" w:color="auto"/>
              <w:right w:val="single" w:sz="6" w:space="0" w:color="auto"/>
            </w:tcBorders>
            <w:hideMark/>
          </w:tcPr>
          <w:p w14:paraId="101A7F08" w14:textId="77777777" w:rsidR="00866280" w:rsidRPr="00F01347" w:rsidRDefault="00866280">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14</w:t>
            </w:r>
          </w:p>
        </w:tc>
        <w:tc>
          <w:tcPr>
            <w:tcW w:w="1266" w:type="dxa"/>
            <w:tcBorders>
              <w:top w:val="single" w:sz="6" w:space="0" w:color="auto"/>
              <w:left w:val="single" w:sz="6" w:space="0" w:color="auto"/>
              <w:bottom w:val="single" w:sz="6" w:space="0" w:color="auto"/>
              <w:right w:val="single" w:sz="6" w:space="0" w:color="auto"/>
            </w:tcBorders>
            <w:hideMark/>
          </w:tcPr>
          <w:p w14:paraId="63880D34" w14:textId="77777777" w:rsidR="00866280" w:rsidRPr="00F01347" w:rsidRDefault="00866280">
            <w:pPr>
              <w:pStyle w:val="texto0"/>
              <w:spacing w:line="232" w:lineRule="exact"/>
              <w:ind w:firstLine="0"/>
              <w:jc w:val="center"/>
              <w:rPr>
                <w:rFonts w:ascii="Verdana" w:hAnsi="Verdana"/>
                <w:color w:val="000000"/>
                <w:sz w:val="16"/>
                <w:szCs w:val="16"/>
                <w:lang w:val="en-US"/>
              </w:rPr>
            </w:pPr>
            <w:r w:rsidRPr="00F01347">
              <w:rPr>
                <w:rFonts w:ascii="Verdana" w:hAnsi="Verdana"/>
                <w:color w:val="000000"/>
                <w:sz w:val="16"/>
                <w:szCs w:val="16"/>
                <w:lang w:val="en-US"/>
              </w:rPr>
              <w:t>Unknown samples or problem</w:t>
            </w:r>
          </w:p>
        </w:tc>
        <w:tc>
          <w:tcPr>
            <w:tcW w:w="6341" w:type="dxa"/>
            <w:tcBorders>
              <w:top w:val="single" w:sz="6" w:space="0" w:color="auto"/>
              <w:left w:val="single" w:sz="6" w:space="0" w:color="auto"/>
              <w:bottom w:val="single" w:sz="6" w:space="0" w:color="auto"/>
              <w:right w:val="single" w:sz="6" w:space="0" w:color="auto"/>
            </w:tcBorders>
            <w:hideMark/>
          </w:tcPr>
          <w:p w14:paraId="756F5FAD" w14:textId="77777777" w:rsidR="00866280" w:rsidRPr="00F01347" w:rsidRDefault="0086628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Problem samples. Duplicate and added samples are included.</w:t>
            </w:r>
          </w:p>
        </w:tc>
      </w:tr>
    </w:tbl>
    <w:p w14:paraId="1339B176" w14:textId="77777777" w:rsidR="0055757A" w:rsidRPr="00F01347" w:rsidRDefault="0055757A" w:rsidP="0055757A">
      <w:pPr>
        <w:pStyle w:val="texto0"/>
        <w:spacing w:line="232" w:lineRule="exact"/>
        <w:ind w:firstLine="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5757A" w:rsidRPr="00F01347" w14:paraId="3E36FCD5" w14:textId="77777777" w:rsidTr="00DC02C5">
        <w:tc>
          <w:tcPr>
            <w:tcW w:w="4675" w:type="dxa"/>
          </w:tcPr>
          <w:p w14:paraId="4982320C" w14:textId="02E9DF4D" w:rsidR="0055757A" w:rsidRPr="00F01347" w:rsidRDefault="0055757A" w:rsidP="0055757A">
            <w:pPr>
              <w:pStyle w:val="texto0"/>
              <w:spacing w:line="232" w:lineRule="exact"/>
              <w:ind w:firstLine="0"/>
              <w:rPr>
                <w:rFonts w:ascii="Verdana" w:hAnsi="Verdana"/>
                <w:sz w:val="16"/>
                <w:szCs w:val="16"/>
              </w:rPr>
            </w:pPr>
            <w:r w:rsidRPr="00F01347">
              <w:rPr>
                <w:rFonts w:ascii="Verdana" w:hAnsi="Verdana"/>
                <w:sz w:val="16"/>
                <w:szCs w:val="16"/>
              </w:rPr>
              <w:t>Dependiendo de los requerimientos del programa específico de control de calidad, pueden ser requeridas muestras duplicadas de campo para evaluar la precisión y exactitud del muestreo, así como las técnicas de transportación y almacenamiento de la muestra.</w:t>
            </w:r>
          </w:p>
        </w:tc>
        <w:tc>
          <w:tcPr>
            <w:tcW w:w="4675" w:type="dxa"/>
          </w:tcPr>
          <w:p w14:paraId="22C6C317" w14:textId="0DC8F035" w:rsidR="0055757A" w:rsidRPr="00F01347" w:rsidRDefault="00866280" w:rsidP="0055757A">
            <w:pPr>
              <w:pStyle w:val="texto0"/>
              <w:spacing w:line="232" w:lineRule="exact"/>
              <w:ind w:firstLine="0"/>
              <w:rPr>
                <w:rFonts w:ascii="Verdana" w:hAnsi="Verdana"/>
                <w:sz w:val="16"/>
                <w:szCs w:val="16"/>
                <w:lang w:val="en"/>
              </w:rPr>
            </w:pPr>
            <w:r w:rsidRPr="00F01347">
              <w:rPr>
                <w:rFonts w:ascii="Verdana" w:hAnsi="Verdana"/>
                <w:sz w:val="16"/>
                <w:szCs w:val="16"/>
                <w:lang w:val="en-US"/>
              </w:rPr>
              <w:t>Depending on the requirements of the specific quality control program, duplicate field samples may be required to evaluate the precision and accuracy of sampling, as well as sample transportation and storage techniques.</w:t>
            </w:r>
          </w:p>
        </w:tc>
      </w:tr>
      <w:tr w:rsidR="0055757A" w:rsidRPr="00F01347" w14:paraId="625593C2" w14:textId="77777777" w:rsidTr="00DC02C5">
        <w:tc>
          <w:tcPr>
            <w:tcW w:w="4675" w:type="dxa"/>
          </w:tcPr>
          <w:p w14:paraId="7587ABC0" w14:textId="77777777" w:rsidR="0055757A" w:rsidRPr="00F01347" w:rsidRDefault="0055757A" w:rsidP="00DC02C5">
            <w:pPr>
              <w:pStyle w:val="texto0"/>
              <w:spacing w:line="232" w:lineRule="exact"/>
              <w:ind w:firstLine="0"/>
              <w:rPr>
                <w:rFonts w:ascii="Verdana" w:hAnsi="Verdana"/>
                <w:sz w:val="16"/>
                <w:szCs w:val="16"/>
              </w:rPr>
            </w:pPr>
            <w:r w:rsidRPr="00F01347">
              <w:rPr>
                <w:rFonts w:ascii="Verdana" w:hAnsi="Verdana"/>
                <w:sz w:val="16"/>
                <w:szCs w:val="16"/>
              </w:rPr>
              <w:t>La Tabla B.7.4-3, de este Apéndice resume los controles de calidad mencionados en esta sección, así como sus criterios de aceptación.</w:t>
            </w:r>
          </w:p>
          <w:p w14:paraId="5E8E490D" w14:textId="77777777" w:rsidR="0055757A" w:rsidRPr="00F01347" w:rsidRDefault="0055757A" w:rsidP="0055757A">
            <w:pPr>
              <w:pStyle w:val="texto0"/>
              <w:spacing w:line="232" w:lineRule="exact"/>
              <w:ind w:firstLine="0"/>
              <w:rPr>
                <w:rFonts w:ascii="Verdana" w:hAnsi="Verdana"/>
                <w:sz w:val="16"/>
                <w:szCs w:val="16"/>
              </w:rPr>
            </w:pPr>
          </w:p>
        </w:tc>
        <w:tc>
          <w:tcPr>
            <w:tcW w:w="4675" w:type="dxa"/>
          </w:tcPr>
          <w:p w14:paraId="30B1F8D6" w14:textId="77777777" w:rsidR="00866280" w:rsidRPr="00F01347" w:rsidRDefault="00866280" w:rsidP="00DC02C5">
            <w:pPr>
              <w:pStyle w:val="texto0"/>
              <w:spacing w:line="232" w:lineRule="exact"/>
              <w:ind w:firstLine="0"/>
              <w:rPr>
                <w:rFonts w:ascii="Verdana" w:hAnsi="Verdana"/>
                <w:sz w:val="16"/>
                <w:szCs w:val="16"/>
                <w:lang w:val="en"/>
              </w:rPr>
            </w:pPr>
            <w:r w:rsidRPr="00F01347">
              <w:rPr>
                <w:rFonts w:ascii="Verdana" w:hAnsi="Verdana"/>
                <w:sz w:val="16"/>
                <w:szCs w:val="16"/>
                <w:lang w:val="en-US"/>
              </w:rPr>
              <w:t>Table B.7.4-3, of this Appendix summarizes the quality controls mentioned in this section, as well as their acceptance criteria.</w:t>
            </w:r>
          </w:p>
          <w:p w14:paraId="1395511D" w14:textId="77777777" w:rsidR="0055757A" w:rsidRPr="00F01347" w:rsidRDefault="0055757A" w:rsidP="0055757A">
            <w:pPr>
              <w:pStyle w:val="texto0"/>
              <w:spacing w:line="232" w:lineRule="exact"/>
              <w:ind w:firstLine="0"/>
              <w:rPr>
                <w:rFonts w:ascii="Verdana" w:hAnsi="Verdana"/>
                <w:sz w:val="16"/>
                <w:szCs w:val="16"/>
                <w:lang w:val="en"/>
              </w:rPr>
            </w:pPr>
          </w:p>
        </w:tc>
      </w:tr>
    </w:tbl>
    <w:p w14:paraId="596970F5" w14:textId="77777777" w:rsidR="0055757A" w:rsidRPr="00F01347" w:rsidRDefault="0055757A" w:rsidP="003A601B">
      <w:pPr>
        <w:pStyle w:val="texto0"/>
        <w:spacing w:line="232" w:lineRule="exact"/>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4775"/>
        <w:gridCol w:w="3937"/>
      </w:tblGrid>
      <w:tr w:rsidR="00A74CDF" w:rsidRPr="00F01347" w14:paraId="531465EE" w14:textId="77777777">
        <w:trPr>
          <w:trHeight w:val="20"/>
        </w:trPr>
        <w:tc>
          <w:tcPr>
            <w:tcW w:w="8712" w:type="dxa"/>
            <w:gridSpan w:val="2"/>
            <w:tcBorders>
              <w:bottom w:val="single" w:sz="6" w:space="0" w:color="auto"/>
            </w:tcBorders>
            <w:noWrap/>
          </w:tcPr>
          <w:p w14:paraId="2197AEAA" w14:textId="77777777" w:rsidR="00A74CDF" w:rsidRPr="00F01347" w:rsidRDefault="00A74CDF" w:rsidP="003A601B">
            <w:pPr>
              <w:pStyle w:val="texto0"/>
              <w:spacing w:line="232" w:lineRule="exact"/>
              <w:ind w:firstLine="0"/>
              <w:jc w:val="center"/>
              <w:rPr>
                <w:rFonts w:ascii="Verdana" w:hAnsi="Verdana"/>
                <w:color w:val="000000"/>
                <w:sz w:val="16"/>
                <w:szCs w:val="16"/>
              </w:rPr>
            </w:pPr>
            <w:r w:rsidRPr="00F01347">
              <w:rPr>
                <w:rFonts w:ascii="Verdana" w:hAnsi="Verdana"/>
                <w:b/>
                <w:color w:val="000000"/>
                <w:sz w:val="16"/>
                <w:szCs w:val="16"/>
              </w:rPr>
              <w:t>Tabla B.7.4-3.</w:t>
            </w:r>
            <w:r w:rsidRPr="00F01347">
              <w:rPr>
                <w:rFonts w:ascii="Verdana" w:hAnsi="Verdana"/>
                <w:color w:val="000000"/>
                <w:sz w:val="16"/>
                <w:szCs w:val="16"/>
              </w:rPr>
              <w:t xml:space="preserve"> </w:t>
            </w:r>
            <w:proofErr w:type="gramStart"/>
            <w:r w:rsidRPr="00F01347">
              <w:rPr>
                <w:rFonts w:ascii="Verdana" w:hAnsi="Verdana"/>
                <w:color w:val="000000"/>
                <w:sz w:val="16"/>
                <w:szCs w:val="16"/>
              </w:rPr>
              <w:t>Puntos a verificar</w:t>
            </w:r>
            <w:proofErr w:type="gramEnd"/>
            <w:r w:rsidRPr="00F01347">
              <w:rPr>
                <w:rFonts w:ascii="Verdana" w:hAnsi="Verdana"/>
                <w:color w:val="000000"/>
                <w:sz w:val="16"/>
                <w:szCs w:val="16"/>
              </w:rPr>
              <w:t xml:space="preserve"> en el análisis de un lote, así como sus criterios de aceptación.</w:t>
            </w:r>
          </w:p>
        </w:tc>
      </w:tr>
      <w:tr w:rsidR="00A74CDF" w:rsidRPr="00F01347" w14:paraId="74495312" w14:textId="77777777">
        <w:trPr>
          <w:trHeight w:val="20"/>
        </w:trPr>
        <w:tc>
          <w:tcPr>
            <w:tcW w:w="4775" w:type="dxa"/>
            <w:tcBorders>
              <w:top w:val="single" w:sz="6" w:space="0" w:color="auto"/>
              <w:left w:val="single" w:sz="6" w:space="0" w:color="auto"/>
              <w:bottom w:val="single" w:sz="6" w:space="0" w:color="auto"/>
              <w:right w:val="single" w:sz="6" w:space="0" w:color="auto"/>
            </w:tcBorders>
          </w:tcPr>
          <w:p w14:paraId="509741D0" w14:textId="77777777" w:rsidR="00A74CDF" w:rsidRPr="00F01347" w:rsidRDefault="00A74CDF" w:rsidP="003A601B">
            <w:pPr>
              <w:pStyle w:val="texto0"/>
              <w:spacing w:line="232" w:lineRule="exact"/>
              <w:ind w:firstLine="0"/>
              <w:rPr>
                <w:rFonts w:ascii="Verdana" w:hAnsi="Verdana"/>
                <w:b/>
                <w:color w:val="000000"/>
                <w:sz w:val="16"/>
                <w:szCs w:val="16"/>
              </w:rPr>
            </w:pPr>
            <w:r w:rsidRPr="00F01347">
              <w:rPr>
                <w:rFonts w:ascii="Verdana" w:hAnsi="Verdana"/>
                <w:b/>
                <w:color w:val="000000"/>
                <w:sz w:val="16"/>
                <w:szCs w:val="16"/>
              </w:rPr>
              <w:t>Tipo de verificación</w:t>
            </w:r>
          </w:p>
        </w:tc>
        <w:tc>
          <w:tcPr>
            <w:tcW w:w="3937" w:type="dxa"/>
            <w:tcBorders>
              <w:top w:val="single" w:sz="6" w:space="0" w:color="auto"/>
              <w:left w:val="single" w:sz="6" w:space="0" w:color="auto"/>
              <w:bottom w:val="single" w:sz="6" w:space="0" w:color="auto"/>
              <w:right w:val="single" w:sz="6" w:space="0" w:color="auto"/>
            </w:tcBorders>
          </w:tcPr>
          <w:p w14:paraId="55C4A70C" w14:textId="77777777" w:rsidR="00A74CDF" w:rsidRPr="00F01347" w:rsidRDefault="00A74CDF" w:rsidP="003A601B">
            <w:pPr>
              <w:pStyle w:val="texto0"/>
              <w:spacing w:line="232" w:lineRule="exact"/>
              <w:ind w:firstLine="0"/>
              <w:rPr>
                <w:rFonts w:ascii="Verdana" w:hAnsi="Verdana"/>
                <w:b/>
                <w:color w:val="000000"/>
                <w:sz w:val="16"/>
                <w:szCs w:val="16"/>
              </w:rPr>
            </w:pPr>
            <w:r w:rsidRPr="00F01347">
              <w:rPr>
                <w:rFonts w:ascii="Verdana" w:hAnsi="Verdana"/>
                <w:b/>
                <w:color w:val="000000"/>
                <w:sz w:val="16"/>
                <w:szCs w:val="16"/>
              </w:rPr>
              <w:t>Criterio de aceptación</w:t>
            </w:r>
          </w:p>
        </w:tc>
      </w:tr>
      <w:tr w:rsidR="00A74CDF" w:rsidRPr="00F01347" w14:paraId="068B5E8A" w14:textId="77777777">
        <w:trPr>
          <w:trHeight w:val="20"/>
        </w:trPr>
        <w:tc>
          <w:tcPr>
            <w:tcW w:w="4775" w:type="dxa"/>
            <w:tcBorders>
              <w:top w:val="single" w:sz="6" w:space="0" w:color="auto"/>
              <w:left w:val="single" w:sz="6" w:space="0" w:color="auto"/>
              <w:bottom w:val="single" w:sz="6" w:space="0" w:color="auto"/>
              <w:right w:val="single" w:sz="6" w:space="0" w:color="auto"/>
            </w:tcBorders>
          </w:tcPr>
          <w:p w14:paraId="3C04BFF7"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 xml:space="preserve">Verificación inicial de la </w:t>
            </w:r>
            <w:proofErr w:type="gramStart"/>
            <w:r w:rsidRPr="00F01347">
              <w:rPr>
                <w:rFonts w:ascii="Verdana" w:hAnsi="Verdana"/>
                <w:color w:val="000000"/>
                <w:sz w:val="16"/>
                <w:szCs w:val="16"/>
              </w:rPr>
              <w:t>calibración(</w:t>
            </w:r>
            <w:proofErr w:type="gramEnd"/>
            <w:r w:rsidRPr="00F01347">
              <w:rPr>
                <w:rFonts w:ascii="Verdana" w:hAnsi="Verdana"/>
                <w:color w:val="000000"/>
                <w:sz w:val="16"/>
                <w:szCs w:val="16"/>
              </w:rPr>
              <w:t>pico de sincronía)</w:t>
            </w:r>
          </w:p>
        </w:tc>
        <w:tc>
          <w:tcPr>
            <w:tcW w:w="3937" w:type="dxa"/>
            <w:tcBorders>
              <w:top w:val="single" w:sz="6" w:space="0" w:color="auto"/>
              <w:left w:val="single" w:sz="6" w:space="0" w:color="auto"/>
              <w:bottom w:val="single" w:sz="6" w:space="0" w:color="auto"/>
              <w:right w:val="single" w:sz="6" w:space="0" w:color="auto"/>
            </w:tcBorders>
          </w:tcPr>
          <w:p w14:paraId="1D454C43"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Diferencia menor al 15%</w:t>
            </w:r>
          </w:p>
        </w:tc>
      </w:tr>
      <w:tr w:rsidR="00A74CDF" w:rsidRPr="00F01347" w14:paraId="781C0174" w14:textId="77777777">
        <w:trPr>
          <w:trHeight w:val="20"/>
        </w:trPr>
        <w:tc>
          <w:tcPr>
            <w:tcW w:w="4775" w:type="dxa"/>
            <w:tcBorders>
              <w:top w:val="single" w:sz="6" w:space="0" w:color="auto"/>
              <w:left w:val="single" w:sz="6" w:space="0" w:color="auto"/>
              <w:bottom w:val="single" w:sz="6" w:space="0" w:color="auto"/>
              <w:right w:val="single" w:sz="6" w:space="0" w:color="auto"/>
            </w:tcBorders>
          </w:tcPr>
          <w:p w14:paraId="2BB69074"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Verificación inicial de la calibración (ICV)</w:t>
            </w:r>
          </w:p>
        </w:tc>
        <w:tc>
          <w:tcPr>
            <w:tcW w:w="3937" w:type="dxa"/>
            <w:tcBorders>
              <w:top w:val="single" w:sz="6" w:space="0" w:color="auto"/>
              <w:left w:val="single" w:sz="6" w:space="0" w:color="auto"/>
              <w:bottom w:val="single" w:sz="6" w:space="0" w:color="auto"/>
              <w:right w:val="single" w:sz="6" w:space="0" w:color="auto"/>
            </w:tcBorders>
          </w:tcPr>
          <w:p w14:paraId="15D06E16"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Diferencia menor al 10%</w:t>
            </w:r>
          </w:p>
        </w:tc>
      </w:tr>
      <w:tr w:rsidR="00A74CDF" w:rsidRPr="00F01347" w14:paraId="081EA722" w14:textId="77777777">
        <w:trPr>
          <w:trHeight w:val="20"/>
        </w:trPr>
        <w:tc>
          <w:tcPr>
            <w:tcW w:w="4775" w:type="dxa"/>
            <w:tcBorders>
              <w:top w:val="single" w:sz="6" w:space="0" w:color="auto"/>
              <w:left w:val="single" w:sz="6" w:space="0" w:color="auto"/>
              <w:bottom w:val="single" w:sz="6" w:space="0" w:color="auto"/>
              <w:right w:val="single" w:sz="6" w:space="0" w:color="auto"/>
            </w:tcBorders>
          </w:tcPr>
          <w:p w14:paraId="6570B992"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Verificación de la linealidad de la curva de calibración</w:t>
            </w:r>
          </w:p>
        </w:tc>
        <w:tc>
          <w:tcPr>
            <w:tcW w:w="3937" w:type="dxa"/>
            <w:tcBorders>
              <w:top w:val="single" w:sz="6" w:space="0" w:color="auto"/>
              <w:left w:val="single" w:sz="6" w:space="0" w:color="auto"/>
              <w:bottom w:val="single" w:sz="6" w:space="0" w:color="auto"/>
              <w:right w:val="single" w:sz="6" w:space="0" w:color="auto"/>
            </w:tcBorders>
          </w:tcPr>
          <w:p w14:paraId="308C0EC0"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Coeficiente de correlación mayor a 0.995</w:t>
            </w:r>
          </w:p>
        </w:tc>
      </w:tr>
      <w:tr w:rsidR="00A74CDF" w:rsidRPr="00F01347" w14:paraId="3F91486A" w14:textId="77777777">
        <w:trPr>
          <w:trHeight w:val="20"/>
        </w:trPr>
        <w:tc>
          <w:tcPr>
            <w:tcW w:w="4775" w:type="dxa"/>
            <w:tcBorders>
              <w:top w:val="single" w:sz="6" w:space="0" w:color="auto"/>
              <w:left w:val="single" w:sz="6" w:space="0" w:color="auto"/>
              <w:bottom w:val="single" w:sz="6" w:space="0" w:color="auto"/>
              <w:right w:val="single" w:sz="6" w:space="0" w:color="auto"/>
            </w:tcBorders>
          </w:tcPr>
          <w:p w14:paraId="1AFE6C7D"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Blanco de reactivos</w:t>
            </w:r>
          </w:p>
        </w:tc>
        <w:tc>
          <w:tcPr>
            <w:tcW w:w="3937" w:type="dxa"/>
            <w:tcBorders>
              <w:top w:val="single" w:sz="6" w:space="0" w:color="auto"/>
              <w:left w:val="single" w:sz="6" w:space="0" w:color="auto"/>
              <w:bottom w:val="single" w:sz="6" w:space="0" w:color="auto"/>
              <w:right w:val="single" w:sz="6" w:space="0" w:color="auto"/>
            </w:tcBorders>
          </w:tcPr>
          <w:p w14:paraId="2D94C689"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Concentración menor al LDM.</w:t>
            </w:r>
          </w:p>
        </w:tc>
      </w:tr>
      <w:tr w:rsidR="00A74CDF" w:rsidRPr="00F01347" w14:paraId="4B2B962E" w14:textId="77777777">
        <w:trPr>
          <w:trHeight w:val="20"/>
        </w:trPr>
        <w:tc>
          <w:tcPr>
            <w:tcW w:w="4775" w:type="dxa"/>
            <w:tcBorders>
              <w:top w:val="single" w:sz="6" w:space="0" w:color="auto"/>
              <w:left w:val="single" w:sz="6" w:space="0" w:color="auto"/>
              <w:bottom w:val="single" w:sz="6" w:space="0" w:color="auto"/>
              <w:right w:val="single" w:sz="6" w:space="0" w:color="auto"/>
            </w:tcBorders>
          </w:tcPr>
          <w:p w14:paraId="4393F1C2"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 xml:space="preserve">Muestra de control de calidad (QC) y blancos fortificados </w:t>
            </w:r>
          </w:p>
        </w:tc>
        <w:tc>
          <w:tcPr>
            <w:tcW w:w="3937" w:type="dxa"/>
            <w:tcBorders>
              <w:top w:val="single" w:sz="6" w:space="0" w:color="auto"/>
              <w:left w:val="single" w:sz="6" w:space="0" w:color="auto"/>
              <w:bottom w:val="single" w:sz="6" w:space="0" w:color="auto"/>
              <w:right w:val="single" w:sz="6" w:space="0" w:color="auto"/>
            </w:tcBorders>
          </w:tcPr>
          <w:p w14:paraId="1DAE84DB"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Recobro entre el 90 y 110%</w:t>
            </w:r>
          </w:p>
        </w:tc>
      </w:tr>
      <w:tr w:rsidR="00A74CDF" w:rsidRPr="00F01347" w14:paraId="75F67FA6" w14:textId="77777777">
        <w:trPr>
          <w:trHeight w:val="20"/>
        </w:trPr>
        <w:tc>
          <w:tcPr>
            <w:tcW w:w="4775" w:type="dxa"/>
            <w:tcBorders>
              <w:top w:val="single" w:sz="6" w:space="0" w:color="auto"/>
              <w:left w:val="single" w:sz="6" w:space="0" w:color="auto"/>
              <w:bottom w:val="single" w:sz="6" w:space="0" w:color="auto"/>
              <w:right w:val="single" w:sz="6" w:space="0" w:color="auto"/>
            </w:tcBorders>
          </w:tcPr>
          <w:p w14:paraId="622D4DA2"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Muestra(s) duplicada(s)</w:t>
            </w:r>
          </w:p>
        </w:tc>
        <w:tc>
          <w:tcPr>
            <w:tcW w:w="3937" w:type="dxa"/>
            <w:tcBorders>
              <w:top w:val="single" w:sz="6" w:space="0" w:color="auto"/>
              <w:left w:val="single" w:sz="6" w:space="0" w:color="auto"/>
              <w:bottom w:val="single" w:sz="6" w:space="0" w:color="auto"/>
              <w:right w:val="single" w:sz="6" w:space="0" w:color="auto"/>
            </w:tcBorders>
          </w:tcPr>
          <w:p w14:paraId="7F082168"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DPR &lt; 20%</w:t>
            </w:r>
          </w:p>
        </w:tc>
      </w:tr>
      <w:tr w:rsidR="00A74CDF" w:rsidRPr="00F01347" w14:paraId="57E76FF8" w14:textId="77777777">
        <w:trPr>
          <w:trHeight w:val="20"/>
        </w:trPr>
        <w:tc>
          <w:tcPr>
            <w:tcW w:w="4775" w:type="dxa"/>
            <w:tcBorders>
              <w:top w:val="single" w:sz="6" w:space="0" w:color="auto"/>
              <w:left w:val="single" w:sz="6" w:space="0" w:color="auto"/>
              <w:bottom w:val="single" w:sz="6" w:space="0" w:color="auto"/>
              <w:right w:val="single" w:sz="6" w:space="0" w:color="auto"/>
            </w:tcBorders>
          </w:tcPr>
          <w:p w14:paraId="0C8C00AA"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Muestra(s) adicionada(s)</w:t>
            </w:r>
          </w:p>
        </w:tc>
        <w:tc>
          <w:tcPr>
            <w:tcW w:w="3937" w:type="dxa"/>
            <w:tcBorders>
              <w:top w:val="single" w:sz="6" w:space="0" w:color="auto"/>
              <w:left w:val="single" w:sz="6" w:space="0" w:color="auto"/>
              <w:bottom w:val="single" w:sz="6" w:space="0" w:color="auto"/>
              <w:right w:val="single" w:sz="6" w:space="0" w:color="auto"/>
            </w:tcBorders>
          </w:tcPr>
          <w:p w14:paraId="720228E3"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Recobro entre el 80 y 120%</w:t>
            </w:r>
          </w:p>
        </w:tc>
      </w:tr>
      <w:tr w:rsidR="00A74CDF" w:rsidRPr="00F01347" w14:paraId="795D9547" w14:textId="77777777">
        <w:trPr>
          <w:trHeight w:val="20"/>
        </w:trPr>
        <w:tc>
          <w:tcPr>
            <w:tcW w:w="4775" w:type="dxa"/>
            <w:tcBorders>
              <w:top w:val="single" w:sz="6" w:space="0" w:color="auto"/>
              <w:left w:val="single" w:sz="6" w:space="0" w:color="auto"/>
              <w:bottom w:val="single" w:sz="6" w:space="0" w:color="auto"/>
              <w:right w:val="single" w:sz="6" w:space="0" w:color="auto"/>
            </w:tcBorders>
          </w:tcPr>
          <w:p w14:paraId="64BF5F53"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Verificación de calibración continua (CCC)</w:t>
            </w:r>
          </w:p>
        </w:tc>
        <w:tc>
          <w:tcPr>
            <w:tcW w:w="3937" w:type="dxa"/>
            <w:tcBorders>
              <w:top w:val="single" w:sz="6" w:space="0" w:color="auto"/>
              <w:left w:val="single" w:sz="6" w:space="0" w:color="auto"/>
              <w:bottom w:val="single" w:sz="6" w:space="0" w:color="auto"/>
              <w:right w:val="single" w:sz="6" w:space="0" w:color="auto"/>
            </w:tcBorders>
          </w:tcPr>
          <w:p w14:paraId="1CB8D204" w14:textId="77777777" w:rsidR="00A74CDF" w:rsidRPr="00F01347" w:rsidRDefault="00A74CDF" w:rsidP="003A601B">
            <w:pPr>
              <w:pStyle w:val="texto0"/>
              <w:spacing w:line="232" w:lineRule="exact"/>
              <w:ind w:firstLine="0"/>
              <w:rPr>
                <w:rFonts w:ascii="Verdana" w:hAnsi="Verdana"/>
                <w:color w:val="000000"/>
                <w:sz w:val="16"/>
                <w:szCs w:val="16"/>
              </w:rPr>
            </w:pPr>
            <w:r w:rsidRPr="00F01347">
              <w:rPr>
                <w:rFonts w:ascii="Verdana" w:hAnsi="Verdana"/>
                <w:color w:val="000000"/>
                <w:sz w:val="16"/>
                <w:szCs w:val="16"/>
              </w:rPr>
              <w:t>Recobro menor al 10%</w:t>
            </w:r>
          </w:p>
        </w:tc>
      </w:tr>
    </w:tbl>
    <w:p w14:paraId="0E4BFEAA" w14:textId="77777777" w:rsidR="00866280" w:rsidRPr="00F01347" w:rsidRDefault="00866280" w:rsidP="003A601B">
      <w:pPr>
        <w:pStyle w:val="texto0"/>
        <w:spacing w:line="232" w:lineRule="exact"/>
        <w:rPr>
          <w:rFonts w:ascii="Verdana" w:hAnsi="Verdana"/>
          <w:sz w:val="16"/>
          <w:szCs w:val="16"/>
          <w:lang w:val="en"/>
        </w:rPr>
      </w:pPr>
    </w:p>
    <w:p w14:paraId="09BF91F7" w14:textId="77777777" w:rsidR="009C21B0" w:rsidRPr="00F01347" w:rsidRDefault="009C21B0" w:rsidP="009C21B0">
      <w:pPr>
        <w:pStyle w:val="texto0"/>
        <w:spacing w:line="232" w:lineRule="exact"/>
        <w:rPr>
          <w:rFonts w:ascii="Verdana" w:hAnsi="Verdana"/>
          <w:sz w:val="16"/>
          <w:szCs w:val="16"/>
          <w:lang w:val="en"/>
        </w:rPr>
      </w:pPr>
    </w:p>
    <w:tbl>
      <w:tblPr>
        <w:tblW w:w="8715" w:type="dxa"/>
        <w:tblInd w:w="144" w:type="dxa"/>
        <w:tblLayout w:type="fixed"/>
        <w:tblCellMar>
          <w:left w:w="70" w:type="dxa"/>
          <w:right w:w="70" w:type="dxa"/>
        </w:tblCellMar>
        <w:tblLook w:val="04A0" w:firstRow="1" w:lastRow="0" w:firstColumn="1" w:lastColumn="0" w:noHBand="0" w:noVBand="1"/>
      </w:tblPr>
      <w:tblGrid>
        <w:gridCol w:w="4777"/>
        <w:gridCol w:w="3938"/>
      </w:tblGrid>
      <w:tr w:rsidR="009C21B0" w:rsidRPr="00F01347" w14:paraId="23734387" w14:textId="77777777" w:rsidTr="009C21B0">
        <w:trPr>
          <w:trHeight w:val="20"/>
        </w:trPr>
        <w:tc>
          <w:tcPr>
            <w:tcW w:w="8712" w:type="dxa"/>
            <w:gridSpan w:val="2"/>
            <w:tcBorders>
              <w:top w:val="nil"/>
              <w:left w:val="nil"/>
              <w:bottom w:val="single" w:sz="6" w:space="0" w:color="auto"/>
              <w:right w:val="nil"/>
            </w:tcBorders>
            <w:noWrap/>
            <w:hideMark/>
          </w:tcPr>
          <w:p w14:paraId="154F6F73" w14:textId="77777777" w:rsidR="009C21B0" w:rsidRPr="00F01347" w:rsidRDefault="009C21B0">
            <w:pPr>
              <w:pStyle w:val="texto0"/>
              <w:spacing w:line="232" w:lineRule="exact"/>
              <w:ind w:firstLine="0"/>
              <w:jc w:val="center"/>
              <w:rPr>
                <w:rFonts w:ascii="Verdana" w:hAnsi="Verdana"/>
                <w:color w:val="000000"/>
                <w:sz w:val="16"/>
                <w:szCs w:val="16"/>
                <w:lang w:val="en-US"/>
              </w:rPr>
            </w:pPr>
            <w:r w:rsidRPr="00F01347">
              <w:rPr>
                <w:rFonts w:ascii="Verdana" w:hAnsi="Verdana"/>
                <w:b/>
                <w:color w:val="000000"/>
                <w:sz w:val="16"/>
                <w:szCs w:val="16"/>
                <w:lang w:val="en-US"/>
              </w:rPr>
              <w:t>Table B.7.4-3.</w:t>
            </w:r>
            <w:r w:rsidRPr="00F01347">
              <w:rPr>
                <w:rFonts w:ascii="Verdana" w:hAnsi="Verdana"/>
                <w:color w:val="000000"/>
                <w:sz w:val="16"/>
                <w:szCs w:val="16"/>
                <w:lang w:val="en-US"/>
              </w:rPr>
              <w:t xml:space="preserve"> Points to verify in the analysis of a batch, as well as its acceptance criteria.</w:t>
            </w:r>
          </w:p>
        </w:tc>
      </w:tr>
      <w:tr w:rsidR="009C21B0" w:rsidRPr="00F01347" w14:paraId="72D4A250" w14:textId="77777777" w:rsidTr="009C21B0">
        <w:trPr>
          <w:trHeight w:val="20"/>
        </w:trPr>
        <w:tc>
          <w:tcPr>
            <w:tcW w:w="4775" w:type="dxa"/>
            <w:tcBorders>
              <w:top w:val="single" w:sz="6" w:space="0" w:color="auto"/>
              <w:left w:val="single" w:sz="6" w:space="0" w:color="auto"/>
              <w:bottom w:val="single" w:sz="6" w:space="0" w:color="auto"/>
              <w:right w:val="single" w:sz="6" w:space="0" w:color="auto"/>
            </w:tcBorders>
            <w:hideMark/>
          </w:tcPr>
          <w:p w14:paraId="17F26717" w14:textId="77777777" w:rsidR="009C21B0" w:rsidRPr="00F01347" w:rsidRDefault="009C21B0">
            <w:pPr>
              <w:pStyle w:val="texto0"/>
              <w:spacing w:line="232" w:lineRule="exact"/>
              <w:ind w:firstLine="0"/>
              <w:rPr>
                <w:rFonts w:ascii="Verdana" w:hAnsi="Verdana"/>
                <w:b/>
                <w:color w:val="000000"/>
                <w:sz w:val="16"/>
                <w:szCs w:val="16"/>
                <w:lang w:val="en-US"/>
              </w:rPr>
            </w:pPr>
            <w:r w:rsidRPr="00F01347">
              <w:rPr>
                <w:rFonts w:ascii="Verdana" w:hAnsi="Verdana"/>
                <w:b/>
                <w:color w:val="000000"/>
                <w:sz w:val="16"/>
                <w:szCs w:val="16"/>
                <w:lang w:val="en-US"/>
              </w:rPr>
              <w:t>Verification Type</w:t>
            </w:r>
          </w:p>
        </w:tc>
        <w:tc>
          <w:tcPr>
            <w:tcW w:w="3937" w:type="dxa"/>
            <w:tcBorders>
              <w:top w:val="single" w:sz="6" w:space="0" w:color="auto"/>
              <w:left w:val="single" w:sz="6" w:space="0" w:color="auto"/>
              <w:bottom w:val="single" w:sz="6" w:space="0" w:color="auto"/>
              <w:right w:val="single" w:sz="6" w:space="0" w:color="auto"/>
            </w:tcBorders>
            <w:hideMark/>
          </w:tcPr>
          <w:p w14:paraId="4969970D" w14:textId="77777777" w:rsidR="009C21B0" w:rsidRPr="00F01347" w:rsidRDefault="009C21B0">
            <w:pPr>
              <w:pStyle w:val="texto0"/>
              <w:spacing w:line="232" w:lineRule="exact"/>
              <w:ind w:firstLine="0"/>
              <w:rPr>
                <w:rFonts w:ascii="Verdana" w:hAnsi="Verdana"/>
                <w:b/>
                <w:color w:val="000000"/>
                <w:sz w:val="16"/>
                <w:szCs w:val="16"/>
                <w:lang w:val="en-US"/>
              </w:rPr>
            </w:pPr>
            <w:r w:rsidRPr="00F01347">
              <w:rPr>
                <w:rFonts w:ascii="Verdana" w:hAnsi="Verdana"/>
                <w:b/>
                <w:color w:val="000000"/>
                <w:sz w:val="16"/>
                <w:szCs w:val="16"/>
                <w:lang w:val="en-US"/>
              </w:rPr>
              <w:t>Acceptance requirements</w:t>
            </w:r>
          </w:p>
        </w:tc>
      </w:tr>
      <w:tr w:rsidR="009C21B0" w:rsidRPr="00F01347" w14:paraId="2C0F1338" w14:textId="77777777" w:rsidTr="009C21B0">
        <w:trPr>
          <w:trHeight w:val="20"/>
        </w:trPr>
        <w:tc>
          <w:tcPr>
            <w:tcW w:w="4775" w:type="dxa"/>
            <w:tcBorders>
              <w:top w:val="single" w:sz="6" w:space="0" w:color="auto"/>
              <w:left w:val="single" w:sz="6" w:space="0" w:color="auto"/>
              <w:bottom w:val="single" w:sz="6" w:space="0" w:color="auto"/>
              <w:right w:val="single" w:sz="6" w:space="0" w:color="auto"/>
            </w:tcBorders>
            <w:hideMark/>
          </w:tcPr>
          <w:p w14:paraId="6263DA09" w14:textId="12A4096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Initial calibration check </w:t>
            </w:r>
            <w:r w:rsidR="00CB209C" w:rsidRPr="00F01347">
              <w:rPr>
                <w:rFonts w:ascii="Verdana" w:hAnsi="Verdana"/>
                <w:color w:val="000000"/>
                <w:sz w:val="16"/>
                <w:szCs w:val="16"/>
                <w:lang w:val="en-US"/>
              </w:rPr>
              <w:t>(</w:t>
            </w:r>
            <w:r w:rsidRPr="00F01347">
              <w:rPr>
                <w:rFonts w:ascii="Verdana" w:hAnsi="Verdana"/>
                <w:color w:val="000000"/>
                <w:sz w:val="16"/>
                <w:szCs w:val="16"/>
                <w:lang w:val="en-US"/>
              </w:rPr>
              <w:t>synchrony peak)</w:t>
            </w:r>
          </w:p>
        </w:tc>
        <w:tc>
          <w:tcPr>
            <w:tcW w:w="3937" w:type="dxa"/>
            <w:tcBorders>
              <w:top w:val="single" w:sz="6" w:space="0" w:color="auto"/>
              <w:left w:val="single" w:sz="6" w:space="0" w:color="auto"/>
              <w:bottom w:val="single" w:sz="6" w:space="0" w:color="auto"/>
              <w:right w:val="single" w:sz="6" w:space="0" w:color="auto"/>
            </w:tcBorders>
            <w:hideMark/>
          </w:tcPr>
          <w:p w14:paraId="2BB07897"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Difference less than 15%</w:t>
            </w:r>
          </w:p>
        </w:tc>
      </w:tr>
      <w:tr w:rsidR="009C21B0" w:rsidRPr="00F01347" w14:paraId="50DFDA7F" w14:textId="77777777" w:rsidTr="009C21B0">
        <w:trPr>
          <w:trHeight w:val="20"/>
        </w:trPr>
        <w:tc>
          <w:tcPr>
            <w:tcW w:w="4775" w:type="dxa"/>
            <w:tcBorders>
              <w:top w:val="single" w:sz="6" w:space="0" w:color="auto"/>
              <w:left w:val="single" w:sz="6" w:space="0" w:color="auto"/>
              <w:bottom w:val="single" w:sz="6" w:space="0" w:color="auto"/>
              <w:right w:val="single" w:sz="6" w:space="0" w:color="auto"/>
            </w:tcBorders>
            <w:hideMark/>
          </w:tcPr>
          <w:p w14:paraId="5961276E"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Initial Calibration Verification (ICV)</w:t>
            </w:r>
          </w:p>
        </w:tc>
        <w:tc>
          <w:tcPr>
            <w:tcW w:w="3937" w:type="dxa"/>
            <w:tcBorders>
              <w:top w:val="single" w:sz="6" w:space="0" w:color="auto"/>
              <w:left w:val="single" w:sz="6" w:space="0" w:color="auto"/>
              <w:bottom w:val="single" w:sz="6" w:space="0" w:color="auto"/>
              <w:right w:val="single" w:sz="6" w:space="0" w:color="auto"/>
            </w:tcBorders>
            <w:hideMark/>
          </w:tcPr>
          <w:p w14:paraId="7F3289DD"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Difference less than 10%</w:t>
            </w:r>
          </w:p>
        </w:tc>
      </w:tr>
      <w:tr w:rsidR="009C21B0" w:rsidRPr="00F01347" w14:paraId="12CE269A" w14:textId="77777777" w:rsidTr="009C21B0">
        <w:trPr>
          <w:trHeight w:val="20"/>
        </w:trPr>
        <w:tc>
          <w:tcPr>
            <w:tcW w:w="4775" w:type="dxa"/>
            <w:tcBorders>
              <w:top w:val="single" w:sz="6" w:space="0" w:color="auto"/>
              <w:left w:val="single" w:sz="6" w:space="0" w:color="auto"/>
              <w:bottom w:val="single" w:sz="6" w:space="0" w:color="auto"/>
              <w:right w:val="single" w:sz="6" w:space="0" w:color="auto"/>
            </w:tcBorders>
            <w:hideMark/>
          </w:tcPr>
          <w:p w14:paraId="36CE13AD"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Calibration Curve Linearity Verification</w:t>
            </w:r>
          </w:p>
        </w:tc>
        <w:tc>
          <w:tcPr>
            <w:tcW w:w="3937" w:type="dxa"/>
            <w:tcBorders>
              <w:top w:val="single" w:sz="6" w:space="0" w:color="auto"/>
              <w:left w:val="single" w:sz="6" w:space="0" w:color="auto"/>
              <w:bottom w:val="single" w:sz="6" w:space="0" w:color="auto"/>
              <w:right w:val="single" w:sz="6" w:space="0" w:color="auto"/>
            </w:tcBorders>
            <w:hideMark/>
          </w:tcPr>
          <w:p w14:paraId="1AD5B003"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Correlation coefficient greater than 0.995</w:t>
            </w:r>
          </w:p>
        </w:tc>
      </w:tr>
      <w:tr w:rsidR="009C21B0" w:rsidRPr="00F01347" w14:paraId="5D22FFD3" w14:textId="77777777" w:rsidTr="009C21B0">
        <w:trPr>
          <w:trHeight w:val="20"/>
        </w:trPr>
        <w:tc>
          <w:tcPr>
            <w:tcW w:w="4775" w:type="dxa"/>
            <w:tcBorders>
              <w:top w:val="single" w:sz="6" w:space="0" w:color="auto"/>
              <w:left w:val="single" w:sz="6" w:space="0" w:color="auto"/>
              <w:bottom w:val="single" w:sz="6" w:space="0" w:color="auto"/>
              <w:right w:val="single" w:sz="6" w:space="0" w:color="auto"/>
            </w:tcBorders>
            <w:hideMark/>
          </w:tcPr>
          <w:p w14:paraId="09ABAEAD"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Reagent blank</w:t>
            </w:r>
          </w:p>
        </w:tc>
        <w:tc>
          <w:tcPr>
            <w:tcW w:w="3937" w:type="dxa"/>
            <w:tcBorders>
              <w:top w:val="single" w:sz="6" w:space="0" w:color="auto"/>
              <w:left w:val="single" w:sz="6" w:space="0" w:color="auto"/>
              <w:bottom w:val="single" w:sz="6" w:space="0" w:color="auto"/>
              <w:right w:val="single" w:sz="6" w:space="0" w:color="auto"/>
            </w:tcBorders>
            <w:hideMark/>
          </w:tcPr>
          <w:p w14:paraId="1A58D653"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Concentration less than the MDL.</w:t>
            </w:r>
          </w:p>
        </w:tc>
      </w:tr>
      <w:tr w:rsidR="009C21B0" w:rsidRPr="00F01347" w14:paraId="1CF6AD76" w14:textId="77777777" w:rsidTr="009C21B0">
        <w:trPr>
          <w:trHeight w:val="20"/>
        </w:trPr>
        <w:tc>
          <w:tcPr>
            <w:tcW w:w="4775" w:type="dxa"/>
            <w:tcBorders>
              <w:top w:val="single" w:sz="6" w:space="0" w:color="auto"/>
              <w:left w:val="single" w:sz="6" w:space="0" w:color="auto"/>
              <w:bottom w:val="single" w:sz="6" w:space="0" w:color="auto"/>
              <w:right w:val="single" w:sz="6" w:space="0" w:color="auto"/>
            </w:tcBorders>
            <w:hideMark/>
          </w:tcPr>
          <w:p w14:paraId="22BD1B0B" w14:textId="29612AC9"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Quality control (QC) sample and fortified </w:t>
            </w:r>
            <w:r w:rsidR="005E7555" w:rsidRPr="00F01347">
              <w:rPr>
                <w:rFonts w:ascii="Verdana" w:hAnsi="Verdana"/>
                <w:color w:val="000000"/>
                <w:sz w:val="16"/>
                <w:szCs w:val="16"/>
                <w:lang w:val="en-US"/>
              </w:rPr>
              <w:t>blanks</w:t>
            </w:r>
          </w:p>
        </w:tc>
        <w:tc>
          <w:tcPr>
            <w:tcW w:w="3937" w:type="dxa"/>
            <w:tcBorders>
              <w:top w:val="single" w:sz="6" w:space="0" w:color="auto"/>
              <w:left w:val="single" w:sz="6" w:space="0" w:color="auto"/>
              <w:bottom w:val="single" w:sz="6" w:space="0" w:color="auto"/>
              <w:right w:val="single" w:sz="6" w:space="0" w:color="auto"/>
            </w:tcBorders>
            <w:hideMark/>
          </w:tcPr>
          <w:p w14:paraId="4BC34339"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Recovery between 90 and 110%</w:t>
            </w:r>
          </w:p>
        </w:tc>
      </w:tr>
      <w:tr w:rsidR="009C21B0" w:rsidRPr="00F01347" w14:paraId="61DD5F36" w14:textId="77777777" w:rsidTr="009C21B0">
        <w:trPr>
          <w:trHeight w:val="20"/>
        </w:trPr>
        <w:tc>
          <w:tcPr>
            <w:tcW w:w="4775" w:type="dxa"/>
            <w:tcBorders>
              <w:top w:val="single" w:sz="6" w:space="0" w:color="auto"/>
              <w:left w:val="single" w:sz="6" w:space="0" w:color="auto"/>
              <w:bottom w:val="single" w:sz="6" w:space="0" w:color="auto"/>
              <w:right w:val="single" w:sz="6" w:space="0" w:color="auto"/>
            </w:tcBorders>
            <w:hideMark/>
          </w:tcPr>
          <w:p w14:paraId="3E6953D8"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Duplicate sample(s)</w:t>
            </w:r>
          </w:p>
        </w:tc>
        <w:tc>
          <w:tcPr>
            <w:tcW w:w="3937" w:type="dxa"/>
            <w:tcBorders>
              <w:top w:val="single" w:sz="6" w:space="0" w:color="auto"/>
              <w:left w:val="single" w:sz="6" w:space="0" w:color="auto"/>
              <w:bottom w:val="single" w:sz="6" w:space="0" w:color="auto"/>
              <w:right w:val="single" w:sz="6" w:space="0" w:color="auto"/>
            </w:tcBorders>
            <w:hideMark/>
          </w:tcPr>
          <w:p w14:paraId="69C26659"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DPR &lt; 20%</w:t>
            </w:r>
          </w:p>
        </w:tc>
      </w:tr>
      <w:tr w:rsidR="009C21B0" w:rsidRPr="00F01347" w14:paraId="14CBFBE2" w14:textId="77777777" w:rsidTr="009C21B0">
        <w:trPr>
          <w:trHeight w:val="20"/>
        </w:trPr>
        <w:tc>
          <w:tcPr>
            <w:tcW w:w="4775" w:type="dxa"/>
            <w:tcBorders>
              <w:top w:val="single" w:sz="6" w:space="0" w:color="auto"/>
              <w:left w:val="single" w:sz="6" w:space="0" w:color="auto"/>
              <w:bottom w:val="single" w:sz="6" w:space="0" w:color="auto"/>
              <w:right w:val="single" w:sz="6" w:space="0" w:color="auto"/>
            </w:tcBorders>
            <w:hideMark/>
          </w:tcPr>
          <w:p w14:paraId="049A96A1"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Added sample(s)</w:t>
            </w:r>
          </w:p>
        </w:tc>
        <w:tc>
          <w:tcPr>
            <w:tcW w:w="3937" w:type="dxa"/>
            <w:tcBorders>
              <w:top w:val="single" w:sz="6" w:space="0" w:color="auto"/>
              <w:left w:val="single" w:sz="6" w:space="0" w:color="auto"/>
              <w:bottom w:val="single" w:sz="6" w:space="0" w:color="auto"/>
              <w:right w:val="single" w:sz="6" w:space="0" w:color="auto"/>
            </w:tcBorders>
            <w:hideMark/>
          </w:tcPr>
          <w:p w14:paraId="39914334"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Recovery between 80 and 120%</w:t>
            </w:r>
          </w:p>
        </w:tc>
      </w:tr>
      <w:tr w:rsidR="009C21B0" w:rsidRPr="00F01347" w14:paraId="608CDEBB" w14:textId="77777777" w:rsidTr="009C21B0">
        <w:trPr>
          <w:trHeight w:val="20"/>
        </w:trPr>
        <w:tc>
          <w:tcPr>
            <w:tcW w:w="4775" w:type="dxa"/>
            <w:tcBorders>
              <w:top w:val="single" w:sz="6" w:space="0" w:color="auto"/>
              <w:left w:val="single" w:sz="6" w:space="0" w:color="auto"/>
              <w:bottom w:val="single" w:sz="6" w:space="0" w:color="auto"/>
              <w:right w:val="single" w:sz="6" w:space="0" w:color="auto"/>
            </w:tcBorders>
            <w:hideMark/>
          </w:tcPr>
          <w:p w14:paraId="708AC658"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Continuous Calibration Verification (CCC)</w:t>
            </w:r>
          </w:p>
        </w:tc>
        <w:tc>
          <w:tcPr>
            <w:tcW w:w="3937" w:type="dxa"/>
            <w:tcBorders>
              <w:top w:val="single" w:sz="6" w:space="0" w:color="auto"/>
              <w:left w:val="single" w:sz="6" w:space="0" w:color="auto"/>
              <w:bottom w:val="single" w:sz="6" w:space="0" w:color="auto"/>
              <w:right w:val="single" w:sz="6" w:space="0" w:color="auto"/>
            </w:tcBorders>
            <w:hideMark/>
          </w:tcPr>
          <w:p w14:paraId="16E8157B" w14:textId="77777777" w:rsidR="009C21B0" w:rsidRPr="00F01347" w:rsidRDefault="009C21B0">
            <w:pPr>
              <w:pStyle w:val="texto0"/>
              <w:spacing w:line="232" w:lineRule="exact"/>
              <w:ind w:firstLine="0"/>
              <w:rPr>
                <w:rFonts w:ascii="Verdana" w:hAnsi="Verdana"/>
                <w:color w:val="000000"/>
                <w:sz w:val="16"/>
                <w:szCs w:val="16"/>
                <w:lang w:val="en-US"/>
              </w:rPr>
            </w:pPr>
            <w:r w:rsidRPr="00F01347">
              <w:rPr>
                <w:rFonts w:ascii="Verdana" w:hAnsi="Verdana"/>
                <w:color w:val="000000"/>
                <w:sz w:val="16"/>
                <w:szCs w:val="16"/>
                <w:lang w:val="en-US"/>
              </w:rPr>
              <w:t>Recovery less than 10%</w:t>
            </w:r>
          </w:p>
        </w:tc>
      </w:tr>
    </w:tbl>
    <w:p w14:paraId="151F64D9" w14:textId="77777777" w:rsidR="009C21B0" w:rsidRPr="00F01347" w:rsidRDefault="009C21B0" w:rsidP="003A601B">
      <w:pPr>
        <w:pStyle w:val="texto0"/>
        <w:spacing w:line="232" w:lineRule="exact"/>
        <w:rPr>
          <w:rFonts w:ascii="Verdana" w:hAnsi="Verdana"/>
          <w:sz w:val="16"/>
          <w:szCs w:val="16"/>
          <w:lang w:val="en"/>
        </w:rPr>
      </w:pPr>
    </w:p>
    <w:p w14:paraId="7AC99FD5" w14:textId="77777777" w:rsidR="00866280" w:rsidRPr="00F01347" w:rsidRDefault="00866280" w:rsidP="003A601B">
      <w:pPr>
        <w:pStyle w:val="texto0"/>
        <w:spacing w:line="232"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5757A" w:rsidRPr="00F01347" w14:paraId="72832EBC" w14:textId="5A17D6C9" w:rsidTr="00DF056B">
        <w:tc>
          <w:tcPr>
            <w:tcW w:w="4675" w:type="dxa"/>
          </w:tcPr>
          <w:p w14:paraId="2AC8C03A" w14:textId="77777777" w:rsidR="0055757A" w:rsidRPr="00F01347" w:rsidRDefault="0055757A" w:rsidP="001E0DE7">
            <w:pPr>
              <w:pStyle w:val="texto0"/>
              <w:spacing w:line="232" w:lineRule="exact"/>
              <w:ind w:firstLine="0"/>
              <w:rPr>
                <w:rFonts w:ascii="Verdana" w:hAnsi="Verdana"/>
                <w:b/>
                <w:sz w:val="16"/>
                <w:szCs w:val="16"/>
              </w:rPr>
            </w:pPr>
            <w:r w:rsidRPr="00F01347">
              <w:rPr>
                <w:rFonts w:ascii="Verdana" w:hAnsi="Verdana"/>
                <w:b/>
                <w:sz w:val="16"/>
                <w:szCs w:val="16"/>
              </w:rPr>
              <w:lastRenderedPageBreak/>
              <w:t>B.7.4.8.2 Calibración</w:t>
            </w:r>
          </w:p>
        </w:tc>
        <w:tc>
          <w:tcPr>
            <w:tcW w:w="4675" w:type="dxa"/>
          </w:tcPr>
          <w:p w14:paraId="5F97C17F" w14:textId="639C3C7A" w:rsidR="0055757A" w:rsidRPr="00F01347" w:rsidRDefault="009C21B0" w:rsidP="001E0DE7">
            <w:pPr>
              <w:pStyle w:val="texto0"/>
              <w:spacing w:line="232" w:lineRule="exact"/>
              <w:ind w:firstLine="0"/>
              <w:rPr>
                <w:rFonts w:ascii="Verdana" w:hAnsi="Verdana"/>
                <w:b/>
                <w:sz w:val="16"/>
                <w:szCs w:val="16"/>
                <w:lang w:val="en-US"/>
              </w:rPr>
            </w:pPr>
            <w:r w:rsidRPr="00F01347">
              <w:rPr>
                <w:rFonts w:ascii="Verdana" w:hAnsi="Verdana"/>
                <w:b/>
                <w:sz w:val="16"/>
                <w:szCs w:val="16"/>
                <w:lang w:val="en-US"/>
              </w:rPr>
              <w:t>B.7.4.8.2 Calibration</w:t>
            </w:r>
          </w:p>
        </w:tc>
      </w:tr>
      <w:tr w:rsidR="0055757A" w:rsidRPr="00F01347" w14:paraId="26A3DC14" w14:textId="16A82AB1" w:rsidTr="00DF056B">
        <w:tc>
          <w:tcPr>
            <w:tcW w:w="4675" w:type="dxa"/>
          </w:tcPr>
          <w:p w14:paraId="2DA4CEF2" w14:textId="77777777" w:rsidR="0055757A" w:rsidRPr="00F01347" w:rsidRDefault="0055757A" w:rsidP="001E0DE7">
            <w:pPr>
              <w:pStyle w:val="texto0"/>
              <w:spacing w:line="232" w:lineRule="exact"/>
              <w:ind w:firstLine="0"/>
              <w:rPr>
                <w:rFonts w:ascii="Verdana" w:hAnsi="Verdana"/>
                <w:sz w:val="16"/>
                <w:szCs w:val="16"/>
              </w:rPr>
            </w:pPr>
            <w:r w:rsidRPr="00F01347">
              <w:rPr>
                <w:rFonts w:ascii="Verdana" w:hAnsi="Verdana"/>
                <w:sz w:val="16"/>
                <w:szCs w:val="16"/>
              </w:rPr>
              <w:t>Si para cuantificar la concentración de N-NH</w:t>
            </w:r>
            <w:r w:rsidRPr="00F01347">
              <w:rPr>
                <w:rFonts w:ascii="Verdana" w:hAnsi="Verdana"/>
                <w:sz w:val="16"/>
                <w:szCs w:val="16"/>
                <w:vertAlign w:val="subscript"/>
              </w:rPr>
              <w:t>3</w:t>
            </w:r>
            <w:r w:rsidRPr="00F01347">
              <w:rPr>
                <w:rFonts w:ascii="Verdana" w:hAnsi="Verdana"/>
                <w:sz w:val="16"/>
                <w:szCs w:val="16"/>
              </w:rPr>
              <w:t xml:space="preserve"> se emplea una curva obtenida anteriormente en la validación parcial del método, solamente verifique la calibración del instrumento. Esto es preparando una disolución conocida como pico de sincronía que es equivalente a una concentración del último punto de la curva de calibración y un estándar de verificación continua de la calibración los cuales se recomienda sean de una fuente diferente con la que se validó el método.</w:t>
            </w:r>
          </w:p>
        </w:tc>
        <w:tc>
          <w:tcPr>
            <w:tcW w:w="4675" w:type="dxa"/>
          </w:tcPr>
          <w:p w14:paraId="4C7A92B4" w14:textId="15C7779A" w:rsidR="0055757A" w:rsidRPr="00F01347" w:rsidRDefault="00DD3E19" w:rsidP="001E0DE7">
            <w:pPr>
              <w:pStyle w:val="texto0"/>
              <w:spacing w:line="232" w:lineRule="exact"/>
              <w:ind w:firstLine="0"/>
              <w:rPr>
                <w:rFonts w:ascii="Verdana" w:hAnsi="Verdana"/>
                <w:sz w:val="16"/>
                <w:szCs w:val="16"/>
                <w:lang w:val="en-US"/>
              </w:rPr>
            </w:pPr>
            <w:r w:rsidRPr="00F01347">
              <w:rPr>
                <w:rFonts w:ascii="Verdana" w:hAnsi="Verdana"/>
                <w:sz w:val="16"/>
                <w:szCs w:val="16"/>
                <w:lang w:val="en-US"/>
              </w:rPr>
              <w:t>If a curve obtained previously in the partial validation of the method is used to quantify the concentration of N-NH3, only verify the calibration of the instrument. This is by preparing a solution known as a synchrony peak that is equivalent to a concentration of the last point of the calibration curve and a continuous calibration verification standard which is recommended to be from a different source with which the method was validated.</w:t>
            </w:r>
          </w:p>
        </w:tc>
      </w:tr>
      <w:tr w:rsidR="0055757A" w:rsidRPr="00F01347" w14:paraId="3A98B6F6" w14:textId="4F81FC88" w:rsidTr="00DF056B">
        <w:tc>
          <w:tcPr>
            <w:tcW w:w="4675" w:type="dxa"/>
          </w:tcPr>
          <w:p w14:paraId="773EADA6" w14:textId="77777777" w:rsidR="0055757A" w:rsidRPr="00F01347" w:rsidRDefault="0055757A" w:rsidP="001E0DE7">
            <w:pPr>
              <w:pStyle w:val="texto0"/>
              <w:spacing w:line="232" w:lineRule="exact"/>
              <w:ind w:firstLine="0"/>
              <w:rPr>
                <w:rFonts w:ascii="Verdana" w:hAnsi="Verdana"/>
                <w:sz w:val="16"/>
                <w:szCs w:val="16"/>
              </w:rPr>
            </w:pPr>
            <w:r w:rsidRPr="00F01347">
              <w:rPr>
                <w:rFonts w:ascii="Verdana" w:hAnsi="Verdana"/>
                <w:sz w:val="16"/>
                <w:szCs w:val="16"/>
              </w:rPr>
              <w:t>Si se requiere de una curva de calibración nueva para cuantificar la concentración de analito en las muestras y en los controles de calidad de un lote, o para realizar una nueva validación parcial del método, prepárela usando material volumétrico verificado, o bien, gravimétricamente empleando una balanza calibrada.</w:t>
            </w:r>
          </w:p>
        </w:tc>
        <w:tc>
          <w:tcPr>
            <w:tcW w:w="4675" w:type="dxa"/>
          </w:tcPr>
          <w:p w14:paraId="48C1DC13" w14:textId="44C432F5" w:rsidR="0055757A" w:rsidRPr="00F01347" w:rsidRDefault="009C21B0" w:rsidP="001E0DE7">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If a new calibration curve is required to quantify the analyte concentration in samples and quality controls of a batch, or to perform a new partial validation of the method, prepare it </w:t>
            </w:r>
            <w:proofErr w:type="gramStart"/>
            <w:r w:rsidRPr="00F01347">
              <w:rPr>
                <w:rFonts w:ascii="Verdana" w:hAnsi="Verdana"/>
                <w:sz w:val="16"/>
                <w:szCs w:val="16"/>
                <w:lang w:val="en-US"/>
              </w:rPr>
              <w:t>using</w:t>
            </w:r>
            <w:proofErr w:type="gramEnd"/>
            <w:r w:rsidRPr="00F01347">
              <w:rPr>
                <w:rFonts w:ascii="Verdana" w:hAnsi="Verdana"/>
                <w:sz w:val="16"/>
                <w:szCs w:val="16"/>
                <w:lang w:val="en-US"/>
              </w:rPr>
              <w:t xml:space="preserve"> verified volumetric material, or gravimetrically using a calibrated scale.</w:t>
            </w:r>
          </w:p>
        </w:tc>
      </w:tr>
      <w:tr w:rsidR="0055757A" w:rsidRPr="00F01347" w14:paraId="6559FD88" w14:textId="676B7033" w:rsidTr="00DF056B">
        <w:tc>
          <w:tcPr>
            <w:tcW w:w="4675" w:type="dxa"/>
          </w:tcPr>
          <w:p w14:paraId="0FAFC660" w14:textId="77777777" w:rsidR="0055757A" w:rsidRPr="00F01347" w:rsidRDefault="0055757A" w:rsidP="001E0DE7">
            <w:pPr>
              <w:pStyle w:val="texto0"/>
              <w:spacing w:line="232" w:lineRule="exact"/>
              <w:ind w:firstLine="0"/>
              <w:rPr>
                <w:rFonts w:ascii="Verdana" w:hAnsi="Verdana"/>
                <w:sz w:val="16"/>
                <w:szCs w:val="16"/>
              </w:rPr>
            </w:pPr>
            <w:r w:rsidRPr="00F01347">
              <w:rPr>
                <w:rFonts w:ascii="Verdana" w:hAnsi="Verdana"/>
                <w:sz w:val="16"/>
                <w:szCs w:val="16"/>
              </w:rPr>
              <w:t>Disolución intermedia de N-NH</w:t>
            </w:r>
            <w:r w:rsidRPr="00F01347">
              <w:rPr>
                <w:rFonts w:ascii="Verdana" w:hAnsi="Verdana"/>
                <w:sz w:val="16"/>
                <w:szCs w:val="16"/>
                <w:vertAlign w:val="subscript"/>
              </w:rPr>
              <w:t>3</w:t>
            </w:r>
            <w:r w:rsidRPr="00F01347">
              <w:rPr>
                <w:rFonts w:ascii="Verdana" w:hAnsi="Verdana"/>
                <w:sz w:val="16"/>
                <w:szCs w:val="16"/>
              </w:rPr>
              <w:t xml:space="preserve">. Tome 1 </w:t>
            </w:r>
            <w:proofErr w:type="spellStart"/>
            <w:r w:rsidRPr="00F01347">
              <w:rPr>
                <w:rFonts w:ascii="Verdana" w:hAnsi="Verdana"/>
                <w:sz w:val="16"/>
                <w:szCs w:val="16"/>
              </w:rPr>
              <w:t>mL</w:t>
            </w:r>
            <w:proofErr w:type="spellEnd"/>
            <w:r w:rsidRPr="00F01347">
              <w:rPr>
                <w:rFonts w:ascii="Verdana" w:hAnsi="Verdana"/>
                <w:sz w:val="16"/>
                <w:szCs w:val="16"/>
              </w:rPr>
              <w:t xml:space="preserve"> de la disolución madre de 1 000 mg/L de N-NH</w:t>
            </w:r>
            <w:r w:rsidRPr="00F01347">
              <w:rPr>
                <w:rFonts w:ascii="Verdana" w:hAnsi="Verdana"/>
                <w:sz w:val="16"/>
                <w:szCs w:val="16"/>
                <w:vertAlign w:val="subscript"/>
              </w:rPr>
              <w:t>3</w:t>
            </w:r>
            <w:r w:rsidRPr="00F01347">
              <w:rPr>
                <w:rFonts w:ascii="Verdana" w:hAnsi="Verdana"/>
                <w:sz w:val="16"/>
                <w:szCs w:val="16"/>
              </w:rPr>
              <w:t xml:space="preserve"> y lleve a un volumen final de 100 </w:t>
            </w:r>
            <w:proofErr w:type="spellStart"/>
            <w:r w:rsidRPr="00F01347">
              <w:rPr>
                <w:rFonts w:ascii="Verdana" w:hAnsi="Verdana"/>
                <w:sz w:val="16"/>
                <w:szCs w:val="16"/>
              </w:rPr>
              <w:t>mL</w:t>
            </w:r>
            <w:proofErr w:type="spellEnd"/>
            <w:r w:rsidRPr="00F01347">
              <w:rPr>
                <w:rFonts w:ascii="Verdana" w:hAnsi="Verdana"/>
                <w:sz w:val="16"/>
                <w:szCs w:val="16"/>
              </w:rPr>
              <w:t xml:space="preserve"> con agua desionizada. Con ello se obtiene una concentración de 10 mg/L de N-NH</w:t>
            </w:r>
            <w:r w:rsidRPr="00F01347">
              <w:rPr>
                <w:rFonts w:ascii="Verdana" w:hAnsi="Verdana"/>
                <w:sz w:val="16"/>
                <w:szCs w:val="16"/>
                <w:vertAlign w:val="subscript"/>
              </w:rPr>
              <w:t>3</w:t>
            </w:r>
            <w:r w:rsidRPr="00F01347">
              <w:rPr>
                <w:rFonts w:ascii="Verdana" w:hAnsi="Verdana"/>
                <w:sz w:val="16"/>
                <w:szCs w:val="16"/>
              </w:rPr>
              <w:t>.</w:t>
            </w:r>
          </w:p>
        </w:tc>
        <w:tc>
          <w:tcPr>
            <w:tcW w:w="4675" w:type="dxa"/>
          </w:tcPr>
          <w:p w14:paraId="1FBC32B7" w14:textId="7E3DA5C8" w:rsidR="0055757A" w:rsidRPr="00F01347" w:rsidRDefault="009C21B0" w:rsidP="001E0DE7">
            <w:pPr>
              <w:pStyle w:val="texto0"/>
              <w:spacing w:line="232" w:lineRule="exact"/>
              <w:ind w:firstLine="0"/>
              <w:rPr>
                <w:rFonts w:ascii="Verdana" w:hAnsi="Verdana"/>
                <w:sz w:val="16"/>
                <w:szCs w:val="16"/>
                <w:lang w:val="en-US"/>
              </w:rPr>
            </w:pPr>
            <w:r w:rsidRPr="00F01347">
              <w:rPr>
                <w:rFonts w:ascii="Verdana" w:hAnsi="Verdana"/>
                <w:sz w:val="16"/>
                <w:szCs w:val="16"/>
                <w:lang w:val="en-US"/>
              </w:rPr>
              <w:t>Intermediate solution of N-NH</w:t>
            </w:r>
            <w:r w:rsidRPr="00F01347">
              <w:rPr>
                <w:rFonts w:ascii="Verdana" w:hAnsi="Verdana"/>
                <w:sz w:val="16"/>
                <w:szCs w:val="16"/>
                <w:vertAlign w:val="subscript"/>
                <w:lang w:val="en-US"/>
              </w:rPr>
              <w:t>3</w:t>
            </w:r>
            <w:r w:rsidR="003E1BA9" w:rsidRPr="00F01347">
              <w:rPr>
                <w:rFonts w:ascii="Verdana" w:hAnsi="Verdana"/>
                <w:sz w:val="16"/>
                <w:szCs w:val="16"/>
                <w:vertAlign w:val="subscript"/>
                <w:lang w:val="en-US"/>
              </w:rPr>
              <w:t>.</w:t>
            </w:r>
            <w:r w:rsidRPr="00F01347">
              <w:rPr>
                <w:rFonts w:ascii="Verdana" w:hAnsi="Verdana"/>
                <w:sz w:val="16"/>
                <w:szCs w:val="16"/>
                <w:lang w:val="en-US"/>
              </w:rPr>
              <w:t xml:space="preserve"> Take 1 mL of the stock solution of 1,000 mg/L of N-NH</w:t>
            </w:r>
            <w:r w:rsidRPr="00F01347">
              <w:rPr>
                <w:rFonts w:ascii="Verdana" w:hAnsi="Verdana"/>
                <w:sz w:val="16"/>
                <w:szCs w:val="16"/>
                <w:vertAlign w:val="subscript"/>
                <w:lang w:val="en-US"/>
              </w:rPr>
              <w:t xml:space="preserve">3 </w:t>
            </w:r>
            <w:r w:rsidRPr="00F01347">
              <w:rPr>
                <w:rFonts w:ascii="Verdana" w:hAnsi="Verdana"/>
                <w:sz w:val="16"/>
                <w:szCs w:val="16"/>
                <w:lang w:val="en-US"/>
              </w:rPr>
              <w:t>and make up to a final volume of 100 mL with deionized water. This results in a concentration of 10 mg/L of N-NH</w:t>
            </w:r>
            <w:r w:rsidRPr="00F01347">
              <w:rPr>
                <w:rFonts w:ascii="Verdana" w:hAnsi="Verdana"/>
                <w:sz w:val="16"/>
                <w:szCs w:val="16"/>
                <w:vertAlign w:val="subscript"/>
                <w:lang w:val="en-US"/>
              </w:rPr>
              <w:t>3</w:t>
            </w:r>
            <w:r w:rsidR="003E1BA9" w:rsidRPr="00F01347">
              <w:rPr>
                <w:rFonts w:ascii="Verdana" w:hAnsi="Verdana"/>
                <w:sz w:val="16"/>
                <w:szCs w:val="16"/>
                <w:vertAlign w:val="subscript"/>
                <w:lang w:val="en-US"/>
              </w:rPr>
              <w:t>.</w:t>
            </w:r>
          </w:p>
        </w:tc>
      </w:tr>
      <w:tr w:rsidR="0055757A" w:rsidRPr="00F01347" w14:paraId="2CD6C57D" w14:textId="57D7BF32" w:rsidTr="00DF056B">
        <w:tc>
          <w:tcPr>
            <w:tcW w:w="4675" w:type="dxa"/>
          </w:tcPr>
          <w:p w14:paraId="48602E23" w14:textId="77777777" w:rsidR="0055757A" w:rsidRPr="00F01347" w:rsidRDefault="0055757A" w:rsidP="001E0DE7">
            <w:pPr>
              <w:pStyle w:val="texto0"/>
              <w:ind w:firstLine="0"/>
              <w:rPr>
                <w:rFonts w:ascii="Verdana" w:hAnsi="Verdana"/>
                <w:sz w:val="16"/>
                <w:szCs w:val="16"/>
              </w:rPr>
            </w:pPr>
            <w:r w:rsidRPr="00F01347">
              <w:rPr>
                <w:rFonts w:ascii="Verdana" w:hAnsi="Verdana"/>
                <w:sz w:val="16"/>
                <w:szCs w:val="16"/>
              </w:rPr>
              <w:t>En la Tabla B.7.4-4, de este Apéndice, se muestran las cantidades sugeridas para obtener una curva de N-NH</w:t>
            </w:r>
            <w:r w:rsidRPr="00F01347">
              <w:rPr>
                <w:rFonts w:ascii="Verdana" w:hAnsi="Verdana"/>
                <w:sz w:val="16"/>
                <w:szCs w:val="16"/>
                <w:vertAlign w:val="subscript"/>
              </w:rPr>
              <w:t>3</w:t>
            </w:r>
            <w:r w:rsidRPr="00F01347">
              <w:rPr>
                <w:rFonts w:ascii="Verdana" w:hAnsi="Verdana"/>
                <w:sz w:val="16"/>
                <w:szCs w:val="16"/>
              </w:rPr>
              <w:t xml:space="preserve"> en el intervalo de 0.01 a 5 mg/L a partir de la disolución intermedia de N-NH</w:t>
            </w:r>
            <w:r w:rsidRPr="00F01347">
              <w:rPr>
                <w:rFonts w:ascii="Verdana" w:hAnsi="Verdana"/>
                <w:sz w:val="16"/>
                <w:szCs w:val="16"/>
                <w:vertAlign w:val="subscript"/>
              </w:rPr>
              <w:t>3</w:t>
            </w:r>
            <w:r w:rsidRPr="00F01347">
              <w:rPr>
                <w:rFonts w:ascii="Verdana" w:hAnsi="Verdana"/>
                <w:sz w:val="16"/>
                <w:szCs w:val="16"/>
              </w:rPr>
              <w:t>.</w:t>
            </w:r>
          </w:p>
        </w:tc>
        <w:tc>
          <w:tcPr>
            <w:tcW w:w="4675" w:type="dxa"/>
          </w:tcPr>
          <w:p w14:paraId="0ACEC6D8" w14:textId="17FC6139" w:rsidR="0055757A" w:rsidRPr="00F01347" w:rsidRDefault="009C21B0" w:rsidP="001E0DE7">
            <w:pPr>
              <w:pStyle w:val="texto0"/>
              <w:ind w:firstLine="0"/>
              <w:rPr>
                <w:rFonts w:ascii="Verdana" w:hAnsi="Verdana"/>
                <w:sz w:val="16"/>
                <w:szCs w:val="16"/>
                <w:lang w:val="en-US"/>
              </w:rPr>
            </w:pPr>
            <w:r w:rsidRPr="00F01347">
              <w:rPr>
                <w:rFonts w:ascii="Verdana" w:hAnsi="Verdana"/>
                <w:sz w:val="16"/>
                <w:szCs w:val="16"/>
                <w:lang w:val="en-US"/>
              </w:rPr>
              <w:t>Table B.7.4-4, of this Appendix, shows the amounts suggested to obtain an N-NH</w:t>
            </w:r>
            <w:r w:rsidRPr="00F01347">
              <w:rPr>
                <w:rFonts w:ascii="Verdana" w:hAnsi="Verdana"/>
                <w:sz w:val="16"/>
                <w:szCs w:val="16"/>
                <w:vertAlign w:val="subscript"/>
                <w:lang w:val="en-US"/>
              </w:rPr>
              <w:t xml:space="preserve">3 </w:t>
            </w:r>
            <w:r w:rsidRPr="00F01347">
              <w:rPr>
                <w:rFonts w:ascii="Verdana" w:hAnsi="Verdana"/>
                <w:sz w:val="16"/>
                <w:szCs w:val="16"/>
                <w:lang w:val="en-US"/>
              </w:rPr>
              <w:t>curve</w:t>
            </w:r>
            <w:r w:rsidRPr="00F01347">
              <w:rPr>
                <w:rFonts w:ascii="Verdana" w:hAnsi="Verdana"/>
                <w:sz w:val="16"/>
                <w:szCs w:val="16"/>
                <w:vertAlign w:val="subscript"/>
                <w:lang w:val="en-US"/>
              </w:rPr>
              <w:t xml:space="preserve"> </w:t>
            </w:r>
            <w:r w:rsidRPr="00F01347">
              <w:rPr>
                <w:rFonts w:ascii="Verdana" w:hAnsi="Verdana"/>
                <w:sz w:val="16"/>
                <w:szCs w:val="16"/>
                <w:lang w:val="en-US"/>
              </w:rPr>
              <w:t>in the range of 0.01 to 5 mg/L from the intermediate N-NH</w:t>
            </w:r>
            <w:r w:rsidRPr="00F01347">
              <w:rPr>
                <w:rFonts w:ascii="Verdana" w:hAnsi="Verdana"/>
                <w:sz w:val="16"/>
                <w:szCs w:val="16"/>
                <w:vertAlign w:val="subscript"/>
                <w:lang w:val="en-US"/>
              </w:rPr>
              <w:t xml:space="preserve">3 </w:t>
            </w:r>
            <w:r w:rsidRPr="00F01347">
              <w:rPr>
                <w:rFonts w:ascii="Verdana" w:hAnsi="Verdana"/>
                <w:sz w:val="16"/>
                <w:szCs w:val="16"/>
                <w:lang w:val="en-US"/>
              </w:rPr>
              <w:t>solution</w:t>
            </w:r>
            <w:r w:rsidR="003E1BA9" w:rsidRPr="00F01347">
              <w:rPr>
                <w:rFonts w:ascii="Verdana" w:hAnsi="Verdana"/>
                <w:sz w:val="16"/>
                <w:szCs w:val="16"/>
                <w:lang w:val="en-US"/>
              </w:rPr>
              <w:t>.</w:t>
            </w:r>
          </w:p>
        </w:tc>
      </w:tr>
    </w:tbl>
    <w:p w14:paraId="0B0BAAA3" w14:textId="77777777" w:rsidR="0055757A" w:rsidRPr="00F01347" w:rsidRDefault="0055757A" w:rsidP="003A601B">
      <w:pPr>
        <w:pStyle w:val="texto0"/>
        <w:rPr>
          <w:rFonts w:ascii="Verdana" w:hAnsi="Verdana"/>
          <w:sz w:val="16"/>
          <w:szCs w:val="16"/>
          <w:lang w:val="en-US"/>
        </w:rPr>
      </w:pPr>
    </w:p>
    <w:tbl>
      <w:tblPr>
        <w:tblW w:w="6570" w:type="dxa"/>
        <w:tblInd w:w="1240" w:type="dxa"/>
        <w:tblLayout w:type="fixed"/>
        <w:tblCellMar>
          <w:left w:w="70" w:type="dxa"/>
          <w:right w:w="70" w:type="dxa"/>
        </w:tblCellMar>
        <w:tblLook w:val="0000" w:firstRow="0" w:lastRow="0" w:firstColumn="0" w:lastColumn="0" w:noHBand="0" w:noVBand="0"/>
      </w:tblPr>
      <w:tblGrid>
        <w:gridCol w:w="1726"/>
        <w:gridCol w:w="1334"/>
        <w:gridCol w:w="1440"/>
        <w:gridCol w:w="2070"/>
      </w:tblGrid>
      <w:tr w:rsidR="00A74CDF" w:rsidRPr="00F01347" w14:paraId="4E42D7CC" w14:textId="77777777">
        <w:trPr>
          <w:trHeight w:val="144"/>
        </w:trPr>
        <w:tc>
          <w:tcPr>
            <w:tcW w:w="6570" w:type="dxa"/>
            <w:gridSpan w:val="4"/>
            <w:tcBorders>
              <w:bottom w:val="single" w:sz="6" w:space="0" w:color="auto"/>
            </w:tcBorders>
            <w:noWrap/>
          </w:tcPr>
          <w:p w14:paraId="6B198CFE"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b/>
                <w:color w:val="000000"/>
                <w:sz w:val="16"/>
                <w:szCs w:val="16"/>
              </w:rPr>
              <w:t xml:space="preserve">Tabla B.7.4-4. </w:t>
            </w:r>
            <w:r w:rsidRPr="00F01347">
              <w:rPr>
                <w:rFonts w:ascii="Verdana" w:hAnsi="Verdana"/>
                <w:color w:val="000000"/>
                <w:sz w:val="16"/>
                <w:szCs w:val="16"/>
              </w:rPr>
              <w:t>Cantidades sugeridas para construir una curva de calibración en el intervalo de trabajo.</w:t>
            </w:r>
          </w:p>
        </w:tc>
      </w:tr>
      <w:tr w:rsidR="00A74CDF" w:rsidRPr="00F01347" w14:paraId="00D402ED" w14:textId="77777777">
        <w:trPr>
          <w:trHeight w:val="144"/>
        </w:trPr>
        <w:tc>
          <w:tcPr>
            <w:tcW w:w="1726" w:type="dxa"/>
            <w:tcBorders>
              <w:top w:val="single" w:sz="6" w:space="0" w:color="auto"/>
              <w:left w:val="single" w:sz="6" w:space="0" w:color="auto"/>
              <w:bottom w:val="single" w:sz="6" w:space="0" w:color="auto"/>
              <w:right w:val="single" w:sz="6" w:space="0" w:color="auto"/>
            </w:tcBorders>
          </w:tcPr>
          <w:p w14:paraId="755D79C2"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Concentración del estándar (mg/L) N-NH</w:t>
            </w:r>
            <w:r w:rsidRPr="00F01347">
              <w:rPr>
                <w:rFonts w:ascii="Verdana" w:hAnsi="Verdana"/>
                <w:b/>
                <w:color w:val="000000"/>
                <w:sz w:val="16"/>
                <w:szCs w:val="16"/>
                <w:vertAlign w:val="subscript"/>
              </w:rPr>
              <w:t>3</w:t>
            </w:r>
          </w:p>
        </w:tc>
        <w:tc>
          <w:tcPr>
            <w:tcW w:w="1334" w:type="dxa"/>
            <w:tcBorders>
              <w:top w:val="single" w:sz="6" w:space="0" w:color="auto"/>
              <w:left w:val="single" w:sz="6" w:space="0" w:color="auto"/>
              <w:bottom w:val="single" w:sz="6" w:space="0" w:color="auto"/>
              <w:right w:val="single" w:sz="6" w:space="0" w:color="auto"/>
            </w:tcBorders>
          </w:tcPr>
          <w:p w14:paraId="1E1500B7"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Volumen de estándar (</w:t>
            </w:r>
            <w:proofErr w:type="spellStart"/>
            <w:r w:rsidRPr="00F01347">
              <w:rPr>
                <w:rFonts w:ascii="Verdana" w:hAnsi="Verdana"/>
                <w:b/>
                <w:color w:val="000000"/>
                <w:sz w:val="16"/>
                <w:szCs w:val="16"/>
              </w:rPr>
              <w:t>mL</w:t>
            </w:r>
            <w:proofErr w:type="spellEnd"/>
            <w:r w:rsidRPr="00F01347">
              <w:rPr>
                <w:rFonts w:ascii="Verdana" w:hAnsi="Verdana"/>
                <w:b/>
                <w:color w:val="000000"/>
                <w:sz w:val="16"/>
                <w:szCs w:val="16"/>
              </w:rPr>
              <w:t>)</w:t>
            </w:r>
          </w:p>
        </w:tc>
        <w:tc>
          <w:tcPr>
            <w:tcW w:w="1440" w:type="dxa"/>
            <w:tcBorders>
              <w:top w:val="single" w:sz="6" w:space="0" w:color="auto"/>
              <w:left w:val="single" w:sz="6" w:space="0" w:color="auto"/>
              <w:bottom w:val="single" w:sz="6" w:space="0" w:color="auto"/>
              <w:right w:val="single" w:sz="6" w:space="0" w:color="auto"/>
            </w:tcBorders>
          </w:tcPr>
          <w:p w14:paraId="26C91C10"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Volumen final con agua (</w:t>
            </w:r>
            <w:proofErr w:type="spellStart"/>
            <w:r w:rsidRPr="00F01347">
              <w:rPr>
                <w:rFonts w:ascii="Verdana" w:hAnsi="Verdana"/>
                <w:b/>
                <w:color w:val="000000"/>
                <w:sz w:val="16"/>
                <w:szCs w:val="16"/>
              </w:rPr>
              <w:t>mL</w:t>
            </w:r>
            <w:proofErr w:type="spellEnd"/>
            <w:r w:rsidRPr="00F01347">
              <w:rPr>
                <w:rFonts w:ascii="Verdana" w:hAnsi="Verdana"/>
                <w:b/>
                <w:color w:val="000000"/>
                <w:sz w:val="16"/>
                <w:szCs w:val="16"/>
              </w:rPr>
              <w:t>)</w:t>
            </w:r>
          </w:p>
        </w:tc>
        <w:tc>
          <w:tcPr>
            <w:tcW w:w="2070" w:type="dxa"/>
            <w:tcBorders>
              <w:top w:val="single" w:sz="6" w:space="0" w:color="auto"/>
              <w:left w:val="single" w:sz="6" w:space="0" w:color="auto"/>
              <w:bottom w:val="single" w:sz="6" w:space="0" w:color="auto"/>
              <w:right w:val="single" w:sz="6" w:space="0" w:color="auto"/>
            </w:tcBorders>
          </w:tcPr>
          <w:p w14:paraId="0C465267" w14:textId="77777777" w:rsidR="00A74CDF" w:rsidRPr="00F01347" w:rsidRDefault="00A74CDF" w:rsidP="003A601B">
            <w:pPr>
              <w:pStyle w:val="texto0"/>
              <w:ind w:firstLine="0"/>
              <w:jc w:val="center"/>
              <w:rPr>
                <w:rFonts w:ascii="Verdana" w:hAnsi="Verdana"/>
                <w:b/>
                <w:color w:val="000000"/>
                <w:sz w:val="16"/>
                <w:szCs w:val="16"/>
              </w:rPr>
            </w:pPr>
            <w:r w:rsidRPr="00F01347">
              <w:rPr>
                <w:rFonts w:ascii="Verdana" w:hAnsi="Verdana"/>
                <w:b/>
                <w:color w:val="000000"/>
                <w:sz w:val="16"/>
                <w:szCs w:val="16"/>
              </w:rPr>
              <w:t>Concentración obtenida (mg/L) N-NH</w:t>
            </w:r>
            <w:r w:rsidRPr="00F01347">
              <w:rPr>
                <w:rFonts w:ascii="Verdana" w:hAnsi="Verdana"/>
                <w:b/>
                <w:color w:val="000000"/>
                <w:sz w:val="16"/>
                <w:szCs w:val="16"/>
                <w:vertAlign w:val="subscript"/>
              </w:rPr>
              <w:t>3</w:t>
            </w:r>
          </w:p>
        </w:tc>
      </w:tr>
      <w:tr w:rsidR="00A74CDF" w:rsidRPr="00F01347" w14:paraId="79B290C5" w14:textId="77777777">
        <w:trPr>
          <w:trHeight w:val="144"/>
        </w:trPr>
        <w:tc>
          <w:tcPr>
            <w:tcW w:w="1726" w:type="dxa"/>
            <w:tcBorders>
              <w:top w:val="single" w:sz="6" w:space="0" w:color="auto"/>
              <w:left w:val="single" w:sz="6" w:space="0" w:color="auto"/>
              <w:bottom w:val="single" w:sz="6" w:space="0" w:color="auto"/>
              <w:right w:val="single" w:sz="6" w:space="0" w:color="auto"/>
            </w:tcBorders>
          </w:tcPr>
          <w:p w14:paraId="6080F8D7"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10.0</w:t>
            </w:r>
          </w:p>
        </w:tc>
        <w:tc>
          <w:tcPr>
            <w:tcW w:w="1334" w:type="dxa"/>
            <w:tcBorders>
              <w:top w:val="single" w:sz="6" w:space="0" w:color="auto"/>
              <w:left w:val="single" w:sz="6" w:space="0" w:color="auto"/>
              <w:bottom w:val="single" w:sz="6" w:space="0" w:color="auto"/>
              <w:right w:val="single" w:sz="6" w:space="0" w:color="auto"/>
            </w:tcBorders>
          </w:tcPr>
          <w:p w14:paraId="4ED73988"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25</w:t>
            </w:r>
          </w:p>
        </w:tc>
        <w:tc>
          <w:tcPr>
            <w:tcW w:w="1440" w:type="dxa"/>
            <w:tcBorders>
              <w:top w:val="single" w:sz="6" w:space="0" w:color="auto"/>
              <w:left w:val="single" w:sz="6" w:space="0" w:color="auto"/>
              <w:bottom w:val="single" w:sz="6" w:space="0" w:color="auto"/>
              <w:right w:val="single" w:sz="6" w:space="0" w:color="auto"/>
            </w:tcBorders>
          </w:tcPr>
          <w:p w14:paraId="31C6EB27"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50</w:t>
            </w:r>
          </w:p>
        </w:tc>
        <w:tc>
          <w:tcPr>
            <w:tcW w:w="2070" w:type="dxa"/>
            <w:tcBorders>
              <w:top w:val="single" w:sz="6" w:space="0" w:color="auto"/>
              <w:left w:val="single" w:sz="6" w:space="0" w:color="auto"/>
              <w:bottom w:val="single" w:sz="6" w:space="0" w:color="auto"/>
              <w:right w:val="single" w:sz="6" w:space="0" w:color="auto"/>
            </w:tcBorders>
          </w:tcPr>
          <w:p w14:paraId="3737FB5B"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5.0</w:t>
            </w:r>
          </w:p>
        </w:tc>
      </w:tr>
      <w:tr w:rsidR="00A74CDF" w:rsidRPr="00F01347" w14:paraId="19BB64CE" w14:textId="77777777">
        <w:trPr>
          <w:trHeight w:val="144"/>
        </w:trPr>
        <w:tc>
          <w:tcPr>
            <w:tcW w:w="1726" w:type="dxa"/>
            <w:tcBorders>
              <w:top w:val="single" w:sz="6" w:space="0" w:color="auto"/>
              <w:left w:val="single" w:sz="6" w:space="0" w:color="auto"/>
              <w:bottom w:val="single" w:sz="6" w:space="0" w:color="auto"/>
              <w:right w:val="single" w:sz="6" w:space="0" w:color="auto"/>
            </w:tcBorders>
          </w:tcPr>
          <w:p w14:paraId="5268D70B"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10.0</w:t>
            </w:r>
          </w:p>
        </w:tc>
        <w:tc>
          <w:tcPr>
            <w:tcW w:w="1334" w:type="dxa"/>
            <w:tcBorders>
              <w:top w:val="single" w:sz="6" w:space="0" w:color="auto"/>
              <w:left w:val="single" w:sz="6" w:space="0" w:color="auto"/>
              <w:bottom w:val="single" w:sz="6" w:space="0" w:color="auto"/>
              <w:right w:val="single" w:sz="6" w:space="0" w:color="auto"/>
            </w:tcBorders>
          </w:tcPr>
          <w:p w14:paraId="1B0E960B"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10</w:t>
            </w:r>
          </w:p>
        </w:tc>
        <w:tc>
          <w:tcPr>
            <w:tcW w:w="1440" w:type="dxa"/>
            <w:tcBorders>
              <w:top w:val="single" w:sz="6" w:space="0" w:color="auto"/>
              <w:left w:val="single" w:sz="6" w:space="0" w:color="auto"/>
              <w:bottom w:val="single" w:sz="6" w:space="0" w:color="auto"/>
              <w:right w:val="single" w:sz="6" w:space="0" w:color="auto"/>
            </w:tcBorders>
          </w:tcPr>
          <w:p w14:paraId="199EDDB2"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50</w:t>
            </w:r>
          </w:p>
        </w:tc>
        <w:tc>
          <w:tcPr>
            <w:tcW w:w="2070" w:type="dxa"/>
            <w:tcBorders>
              <w:top w:val="single" w:sz="6" w:space="0" w:color="auto"/>
              <w:left w:val="single" w:sz="6" w:space="0" w:color="auto"/>
              <w:bottom w:val="single" w:sz="6" w:space="0" w:color="auto"/>
              <w:right w:val="single" w:sz="6" w:space="0" w:color="auto"/>
            </w:tcBorders>
          </w:tcPr>
          <w:p w14:paraId="7EABA3E4"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2.0</w:t>
            </w:r>
          </w:p>
        </w:tc>
      </w:tr>
      <w:tr w:rsidR="00A74CDF" w:rsidRPr="00F01347" w14:paraId="6C0B41F2" w14:textId="77777777">
        <w:trPr>
          <w:trHeight w:val="144"/>
        </w:trPr>
        <w:tc>
          <w:tcPr>
            <w:tcW w:w="1726" w:type="dxa"/>
            <w:tcBorders>
              <w:top w:val="single" w:sz="6" w:space="0" w:color="auto"/>
              <w:left w:val="single" w:sz="6" w:space="0" w:color="auto"/>
              <w:bottom w:val="single" w:sz="6" w:space="0" w:color="auto"/>
              <w:right w:val="single" w:sz="6" w:space="0" w:color="auto"/>
            </w:tcBorders>
          </w:tcPr>
          <w:p w14:paraId="4516F9CB"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10.0</w:t>
            </w:r>
          </w:p>
        </w:tc>
        <w:tc>
          <w:tcPr>
            <w:tcW w:w="1334" w:type="dxa"/>
            <w:tcBorders>
              <w:top w:val="single" w:sz="6" w:space="0" w:color="auto"/>
              <w:left w:val="single" w:sz="6" w:space="0" w:color="auto"/>
              <w:bottom w:val="single" w:sz="6" w:space="0" w:color="auto"/>
              <w:right w:val="single" w:sz="6" w:space="0" w:color="auto"/>
            </w:tcBorders>
          </w:tcPr>
          <w:p w14:paraId="1D79BB1D"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5</w:t>
            </w:r>
          </w:p>
        </w:tc>
        <w:tc>
          <w:tcPr>
            <w:tcW w:w="1440" w:type="dxa"/>
            <w:tcBorders>
              <w:top w:val="single" w:sz="6" w:space="0" w:color="auto"/>
              <w:left w:val="single" w:sz="6" w:space="0" w:color="auto"/>
              <w:bottom w:val="single" w:sz="6" w:space="0" w:color="auto"/>
              <w:right w:val="single" w:sz="6" w:space="0" w:color="auto"/>
            </w:tcBorders>
          </w:tcPr>
          <w:p w14:paraId="620BFD42"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50</w:t>
            </w:r>
          </w:p>
        </w:tc>
        <w:tc>
          <w:tcPr>
            <w:tcW w:w="2070" w:type="dxa"/>
            <w:tcBorders>
              <w:top w:val="single" w:sz="6" w:space="0" w:color="auto"/>
              <w:left w:val="single" w:sz="6" w:space="0" w:color="auto"/>
              <w:bottom w:val="single" w:sz="6" w:space="0" w:color="auto"/>
              <w:right w:val="single" w:sz="6" w:space="0" w:color="auto"/>
            </w:tcBorders>
          </w:tcPr>
          <w:p w14:paraId="00FFAFE3"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1.0</w:t>
            </w:r>
          </w:p>
        </w:tc>
      </w:tr>
      <w:tr w:rsidR="00A74CDF" w:rsidRPr="00F01347" w14:paraId="5BA5F450" w14:textId="77777777">
        <w:trPr>
          <w:trHeight w:val="144"/>
        </w:trPr>
        <w:tc>
          <w:tcPr>
            <w:tcW w:w="1726" w:type="dxa"/>
            <w:tcBorders>
              <w:top w:val="single" w:sz="6" w:space="0" w:color="auto"/>
              <w:left w:val="single" w:sz="6" w:space="0" w:color="auto"/>
              <w:bottom w:val="single" w:sz="6" w:space="0" w:color="auto"/>
              <w:right w:val="single" w:sz="6" w:space="0" w:color="auto"/>
            </w:tcBorders>
          </w:tcPr>
          <w:p w14:paraId="06EDE0BF"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10.0</w:t>
            </w:r>
          </w:p>
        </w:tc>
        <w:tc>
          <w:tcPr>
            <w:tcW w:w="1334" w:type="dxa"/>
            <w:tcBorders>
              <w:top w:val="single" w:sz="6" w:space="0" w:color="auto"/>
              <w:left w:val="single" w:sz="6" w:space="0" w:color="auto"/>
              <w:bottom w:val="single" w:sz="6" w:space="0" w:color="auto"/>
              <w:right w:val="single" w:sz="6" w:space="0" w:color="auto"/>
            </w:tcBorders>
          </w:tcPr>
          <w:p w14:paraId="6ED3B9C1"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2.5</w:t>
            </w:r>
          </w:p>
        </w:tc>
        <w:tc>
          <w:tcPr>
            <w:tcW w:w="1440" w:type="dxa"/>
            <w:tcBorders>
              <w:top w:val="single" w:sz="6" w:space="0" w:color="auto"/>
              <w:left w:val="single" w:sz="6" w:space="0" w:color="auto"/>
              <w:bottom w:val="single" w:sz="6" w:space="0" w:color="auto"/>
              <w:right w:val="single" w:sz="6" w:space="0" w:color="auto"/>
            </w:tcBorders>
          </w:tcPr>
          <w:p w14:paraId="4B8A0E0F"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50</w:t>
            </w:r>
          </w:p>
        </w:tc>
        <w:tc>
          <w:tcPr>
            <w:tcW w:w="2070" w:type="dxa"/>
            <w:tcBorders>
              <w:top w:val="single" w:sz="6" w:space="0" w:color="auto"/>
              <w:left w:val="single" w:sz="6" w:space="0" w:color="auto"/>
              <w:bottom w:val="single" w:sz="6" w:space="0" w:color="auto"/>
              <w:right w:val="single" w:sz="6" w:space="0" w:color="auto"/>
            </w:tcBorders>
          </w:tcPr>
          <w:p w14:paraId="0A4A337D"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0.5</w:t>
            </w:r>
          </w:p>
        </w:tc>
      </w:tr>
      <w:tr w:rsidR="00A74CDF" w:rsidRPr="00F01347" w14:paraId="6979CF1F" w14:textId="77777777">
        <w:trPr>
          <w:trHeight w:val="144"/>
        </w:trPr>
        <w:tc>
          <w:tcPr>
            <w:tcW w:w="1726" w:type="dxa"/>
            <w:tcBorders>
              <w:top w:val="single" w:sz="6" w:space="0" w:color="auto"/>
              <w:left w:val="single" w:sz="6" w:space="0" w:color="auto"/>
              <w:bottom w:val="single" w:sz="6" w:space="0" w:color="auto"/>
              <w:right w:val="single" w:sz="6" w:space="0" w:color="auto"/>
            </w:tcBorders>
          </w:tcPr>
          <w:p w14:paraId="089A79DB"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10.0</w:t>
            </w:r>
          </w:p>
        </w:tc>
        <w:tc>
          <w:tcPr>
            <w:tcW w:w="1334" w:type="dxa"/>
            <w:tcBorders>
              <w:top w:val="single" w:sz="6" w:space="0" w:color="auto"/>
              <w:left w:val="single" w:sz="6" w:space="0" w:color="auto"/>
              <w:bottom w:val="single" w:sz="6" w:space="0" w:color="auto"/>
              <w:right w:val="single" w:sz="6" w:space="0" w:color="auto"/>
            </w:tcBorders>
          </w:tcPr>
          <w:p w14:paraId="29418367"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1.0</w:t>
            </w:r>
          </w:p>
        </w:tc>
        <w:tc>
          <w:tcPr>
            <w:tcW w:w="1440" w:type="dxa"/>
            <w:tcBorders>
              <w:top w:val="single" w:sz="6" w:space="0" w:color="auto"/>
              <w:left w:val="single" w:sz="6" w:space="0" w:color="auto"/>
              <w:bottom w:val="single" w:sz="6" w:space="0" w:color="auto"/>
              <w:right w:val="single" w:sz="6" w:space="0" w:color="auto"/>
            </w:tcBorders>
          </w:tcPr>
          <w:p w14:paraId="515ACCC6"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50</w:t>
            </w:r>
          </w:p>
        </w:tc>
        <w:tc>
          <w:tcPr>
            <w:tcW w:w="2070" w:type="dxa"/>
            <w:tcBorders>
              <w:top w:val="single" w:sz="6" w:space="0" w:color="auto"/>
              <w:left w:val="single" w:sz="6" w:space="0" w:color="auto"/>
              <w:bottom w:val="single" w:sz="6" w:space="0" w:color="auto"/>
              <w:right w:val="single" w:sz="6" w:space="0" w:color="auto"/>
            </w:tcBorders>
          </w:tcPr>
          <w:p w14:paraId="236EB746"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0.2</w:t>
            </w:r>
          </w:p>
        </w:tc>
      </w:tr>
      <w:tr w:rsidR="00A74CDF" w:rsidRPr="00F01347" w14:paraId="0A651D08" w14:textId="77777777">
        <w:trPr>
          <w:trHeight w:val="144"/>
        </w:trPr>
        <w:tc>
          <w:tcPr>
            <w:tcW w:w="1726" w:type="dxa"/>
            <w:tcBorders>
              <w:top w:val="single" w:sz="6" w:space="0" w:color="auto"/>
              <w:left w:val="single" w:sz="6" w:space="0" w:color="auto"/>
              <w:bottom w:val="single" w:sz="6" w:space="0" w:color="auto"/>
              <w:right w:val="single" w:sz="6" w:space="0" w:color="auto"/>
            </w:tcBorders>
          </w:tcPr>
          <w:p w14:paraId="010BB82D"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10.0</w:t>
            </w:r>
          </w:p>
        </w:tc>
        <w:tc>
          <w:tcPr>
            <w:tcW w:w="1334" w:type="dxa"/>
            <w:tcBorders>
              <w:top w:val="single" w:sz="6" w:space="0" w:color="auto"/>
              <w:left w:val="single" w:sz="6" w:space="0" w:color="auto"/>
              <w:bottom w:val="single" w:sz="6" w:space="0" w:color="auto"/>
              <w:right w:val="single" w:sz="6" w:space="0" w:color="auto"/>
            </w:tcBorders>
          </w:tcPr>
          <w:p w14:paraId="39A536A4"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0.5</w:t>
            </w:r>
          </w:p>
        </w:tc>
        <w:tc>
          <w:tcPr>
            <w:tcW w:w="1440" w:type="dxa"/>
            <w:tcBorders>
              <w:top w:val="single" w:sz="6" w:space="0" w:color="auto"/>
              <w:left w:val="single" w:sz="6" w:space="0" w:color="auto"/>
              <w:bottom w:val="single" w:sz="6" w:space="0" w:color="auto"/>
              <w:right w:val="single" w:sz="6" w:space="0" w:color="auto"/>
            </w:tcBorders>
          </w:tcPr>
          <w:p w14:paraId="122E1670"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50</w:t>
            </w:r>
          </w:p>
        </w:tc>
        <w:tc>
          <w:tcPr>
            <w:tcW w:w="2070" w:type="dxa"/>
            <w:tcBorders>
              <w:top w:val="single" w:sz="6" w:space="0" w:color="auto"/>
              <w:left w:val="single" w:sz="6" w:space="0" w:color="auto"/>
              <w:bottom w:val="single" w:sz="6" w:space="0" w:color="auto"/>
              <w:right w:val="single" w:sz="6" w:space="0" w:color="auto"/>
            </w:tcBorders>
          </w:tcPr>
          <w:p w14:paraId="0D1F7200"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0.1</w:t>
            </w:r>
          </w:p>
        </w:tc>
      </w:tr>
      <w:tr w:rsidR="00A74CDF" w:rsidRPr="00F01347" w14:paraId="705B4851" w14:textId="77777777">
        <w:trPr>
          <w:trHeight w:val="144"/>
        </w:trPr>
        <w:tc>
          <w:tcPr>
            <w:tcW w:w="6570" w:type="dxa"/>
            <w:gridSpan w:val="4"/>
            <w:tcBorders>
              <w:top w:val="single" w:sz="6" w:space="0" w:color="auto"/>
            </w:tcBorders>
          </w:tcPr>
          <w:p w14:paraId="641763C4" w14:textId="77777777" w:rsidR="00A74CDF" w:rsidRPr="00F01347" w:rsidRDefault="00A74CDF" w:rsidP="003A601B">
            <w:pPr>
              <w:pStyle w:val="texto0"/>
              <w:ind w:firstLine="0"/>
              <w:jc w:val="center"/>
              <w:rPr>
                <w:rFonts w:ascii="Verdana" w:hAnsi="Verdana"/>
                <w:color w:val="000000"/>
                <w:sz w:val="16"/>
                <w:szCs w:val="16"/>
              </w:rPr>
            </w:pPr>
            <w:r w:rsidRPr="00F01347">
              <w:rPr>
                <w:rFonts w:ascii="Verdana" w:hAnsi="Verdana"/>
                <w:color w:val="000000"/>
                <w:sz w:val="16"/>
                <w:szCs w:val="16"/>
              </w:rPr>
              <w:t>Si la preparación de la curva se hace de manera gravimétrica, se considera la densidad de las disoluciones como de 1.0 g/</w:t>
            </w:r>
            <w:proofErr w:type="spellStart"/>
            <w:r w:rsidRPr="00F01347">
              <w:rPr>
                <w:rFonts w:ascii="Verdana" w:hAnsi="Verdana"/>
                <w:color w:val="000000"/>
                <w:sz w:val="16"/>
                <w:szCs w:val="16"/>
              </w:rPr>
              <w:t>mL</w:t>
            </w:r>
            <w:proofErr w:type="spellEnd"/>
            <w:r w:rsidRPr="00F01347">
              <w:rPr>
                <w:rFonts w:ascii="Verdana" w:hAnsi="Verdana"/>
                <w:color w:val="000000"/>
                <w:sz w:val="16"/>
                <w:szCs w:val="16"/>
              </w:rPr>
              <w:t>.</w:t>
            </w:r>
          </w:p>
        </w:tc>
      </w:tr>
    </w:tbl>
    <w:p w14:paraId="78F23DC3" w14:textId="77777777" w:rsidR="00A74CDF" w:rsidRPr="00F01347" w:rsidRDefault="00A74CDF" w:rsidP="003A601B">
      <w:pPr>
        <w:pStyle w:val="texto0"/>
        <w:rPr>
          <w:rFonts w:ascii="Verdana" w:hAnsi="Verdana"/>
          <w:sz w:val="16"/>
          <w:szCs w:val="16"/>
        </w:rPr>
      </w:pPr>
    </w:p>
    <w:tbl>
      <w:tblPr>
        <w:tblW w:w="6570" w:type="dxa"/>
        <w:tblInd w:w="1240" w:type="dxa"/>
        <w:tblLayout w:type="fixed"/>
        <w:tblCellMar>
          <w:left w:w="70" w:type="dxa"/>
          <w:right w:w="70" w:type="dxa"/>
        </w:tblCellMar>
        <w:tblLook w:val="04A0" w:firstRow="1" w:lastRow="0" w:firstColumn="1" w:lastColumn="0" w:noHBand="0" w:noVBand="1"/>
      </w:tblPr>
      <w:tblGrid>
        <w:gridCol w:w="1726"/>
        <w:gridCol w:w="1334"/>
        <w:gridCol w:w="1440"/>
        <w:gridCol w:w="2070"/>
      </w:tblGrid>
      <w:tr w:rsidR="009C21B0" w:rsidRPr="00F01347" w14:paraId="7A710220" w14:textId="77777777" w:rsidTr="009C21B0">
        <w:trPr>
          <w:trHeight w:val="144"/>
        </w:trPr>
        <w:tc>
          <w:tcPr>
            <w:tcW w:w="6570" w:type="dxa"/>
            <w:gridSpan w:val="4"/>
            <w:tcBorders>
              <w:top w:val="nil"/>
              <w:left w:val="nil"/>
              <w:bottom w:val="single" w:sz="6" w:space="0" w:color="auto"/>
              <w:right w:val="nil"/>
            </w:tcBorders>
            <w:noWrap/>
            <w:hideMark/>
          </w:tcPr>
          <w:p w14:paraId="0AEE7E54" w14:textId="77777777" w:rsidR="009C21B0" w:rsidRPr="00F01347" w:rsidRDefault="009C21B0">
            <w:pPr>
              <w:pStyle w:val="texto0"/>
              <w:ind w:firstLine="0"/>
              <w:jc w:val="center"/>
              <w:rPr>
                <w:rFonts w:ascii="Verdana" w:hAnsi="Verdana"/>
                <w:color w:val="000000"/>
                <w:sz w:val="16"/>
                <w:szCs w:val="16"/>
                <w:lang w:val="en-US"/>
              </w:rPr>
            </w:pPr>
            <w:r w:rsidRPr="00F01347">
              <w:rPr>
                <w:rFonts w:ascii="Verdana" w:hAnsi="Verdana"/>
                <w:b/>
                <w:color w:val="000000"/>
                <w:sz w:val="16"/>
                <w:szCs w:val="16"/>
                <w:lang w:val="en-US"/>
              </w:rPr>
              <w:t xml:space="preserve">Table B.7.4-4. </w:t>
            </w:r>
            <w:r w:rsidRPr="00F01347">
              <w:rPr>
                <w:rFonts w:ascii="Verdana" w:hAnsi="Verdana"/>
                <w:color w:val="000000"/>
                <w:sz w:val="16"/>
                <w:szCs w:val="16"/>
                <w:lang w:val="en-US"/>
              </w:rPr>
              <w:t>Suggested quantities to construct a calibration curve in the working range.</w:t>
            </w:r>
          </w:p>
        </w:tc>
      </w:tr>
      <w:tr w:rsidR="009C21B0" w:rsidRPr="00F01347" w14:paraId="4DD041AA" w14:textId="77777777" w:rsidTr="009C21B0">
        <w:trPr>
          <w:trHeight w:val="144"/>
        </w:trPr>
        <w:tc>
          <w:tcPr>
            <w:tcW w:w="1726" w:type="dxa"/>
            <w:tcBorders>
              <w:top w:val="single" w:sz="6" w:space="0" w:color="auto"/>
              <w:left w:val="single" w:sz="6" w:space="0" w:color="auto"/>
              <w:bottom w:val="single" w:sz="6" w:space="0" w:color="auto"/>
              <w:right w:val="single" w:sz="6" w:space="0" w:color="auto"/>
            </w:tcBorders>
            <w:hideMark/>
          </w:tcPr>
          <w:p w14:paraId="5C6B8CDF" w14:textId="77777777" w:rsidR="009C21B0" w:rsidRPr="00F01347" w:rsidRDefault="009C21B0">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 xml:space="preserve">Standard concentration (mg/L) N-NH </w:t>
            </w:r>
            <w:r w:rsidRPr="00F01347">
              <w:rPr>
                <w:rFonts w:ascii="Verdana" w:hAnsi="Verdana"/>
                <w:b/>
                <w:color w:val="000000"/>
                <w:sz w:val="16"/>
                <w:szCs w:val="16"/>
                <w:vertAlign w:val="subscript"/>
                <w:lang w:val="en-US"/>
              </w:rPr>
              <w:t>3</w:t>
            </w:r>
          </w:p>
        </w:tc>
        <w:tc>
          <w:tcPr>
            <w:tcW w:w="1334" w:type="dxa"/>
            <w:tcBorders>
              <w:top w:val="single" w:sz="6" w:space="0" w:color="auto"/>
              <w:left w:val="single" w:sz="6" w:space="0" w:color="auto"/>
              <w:bottom w:val="single" w:sz="6" w:space="0" w:color="auto"/>
              <w:right w:val="single" w:sz="6" w:space="0" w:color="auto"/>
            </w:tcBorders>
            <w:hideMark/>
          </w:tcPr>
          <w:p w14:paraId="25081B9C" w14:textId="1989C3D6" w:rsidR="009C21B0" w:rsidRPr="00F01347" w:rsidRDefault="009C21B0">
            <w:pPr>
              <w:pStyle w:val="texto0"/>
              <w:ind w:firstLine="0"/>
              <w:jc w:val="center"/>
              <w:rPr>
                <w:rFonts w:ascii="Verdana" w:hAnsi="Verdana"/>
                <w:b/>
                <w:color w:val="000000"/>
                <w:sz w:val="16"/>
                <w:szCs w:val="16"/>
              </w:rPr>
            </w:pPr>
            <w:r w:rsidRPr="00F01347">
              <w:rPr>
                <w:rFonts w:ascii="Verdana" w:hAnsi="Verdana"/>
                <w:b/>
                <w:color w:val="000000"/>
                <w:sz w:val="16"/>
                <w:szCs w:val="16"/>
              </w:rPr>
              <w:t xml:space="preserve">Standard </w:t>
            </w:r>
            <w:proofErr w:type="spellStart"/>
            <w:r w:rsidRPr="00F01347">
              <w:rPr>
                <w:rFonts w:ascii="Verdana" w:hAnsi="Verdana"/>
                <w:b/>
                <w:color w:val="000000"/>
                <w:sz w:val="16"/>
                <w:szCs w:val="16"/>
              </w:rPr>
              <w:t>volume</w:t>
            </w:r>
            <w:proofErr w:type="spellEnd"/>
            <w:r w:rsidRPr="00F01347">
              <w:rPr>
                <w:rFonts w:ascii="Verdana" w:hAnsi="Verdana"/>
                <w:b/>
                <w:color w:val="000000"/>
                <w:sz w:val="16"/>
                <w:szCs w:val="16"/>
              </w:rPr>
              <w:t xml:space="preserve"> </w:t>
            </w:r>
            <w:r w:rsidR="00CB209C" w:rsidRPr="00F01347">
              <w:rPr>
                <w:rFonts w:ascii="Verdana" w:hAnsi="Verdana"/>
                <w:b/>
                <w:color w:val="000000"/>
                <w:sz w:val="16"/>
                <w:szCs w:val="16"/>
              </w:rPr>
              <w:t>(</w:t>
            </w:r>
            <w:proofErr w:type="spellStart"/>
            <w:r w:rsidRPr="00F01347">
              <w:rPr>
                <w:rFonts w:ascii="Verdana" w:hAnsi="Verdana"/>
                <w:b/>
                <w:color w:val="000000"/>
                <w:sz w:val="16"/>
                <w:szCs w:val="16"/>
              </w:rPr>
              <w:t>mL</w:t>
            </w:r>
            <w:proofErr w:type="spellEnd"/>
            <w:r w:rsidR="00913802" w:rsidRPr="00F01347">
              <w:rPr>
                <w:rFonts w:ascii="Verdana" w:hAnsi="Verdana"/>
                <w:b/>
                <w:color w:val="000000"/>
                <w:sz w:val="16"/>
                <w:szCs w:val="16"/>
              </w:rPr>
              <w:t>)</w:t>
            </w:r>
          </w:p>
        </w:tc>
        <w:tc>
          <w:tcPr>
            <w:tcW w:w="1440" w:type="dxa"/>
            <w:tcBorders>
              <w:top w:val="single" w:sz="6" w:space="0" w:color="auto"/>
              <w:left w:val="single" w:sz="6" w:space="0" w:color="auto"/>
              <w:bottom w:val="single" w:sz="6" w:space="0" w:color="auto"/>
              <w:right w:val="single" w:sz="6" w:space="0" w:color="auto"/>
            </w:tcBorders>
            <w:hideMark/>
          </w:tcPr>
          <w:p w14:paraId="4317E5EC" w14:textId="5F27FCF8" w:rsidR="009C21B0" w:rsidRPr="00F01347" w:rsidRDefault="009C21B0">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 xml:space="preserve">Final volume with water </w:t>
            </w:r>
            <w:r w:rsidR="00CB209C" w:rsidRPr="00F01347">
              <w:rPr>
                <w:rFonts w:ascii="Verdana" w:hAnsi="Verdana"/>
                <w:b/>
                <w:color w:val="000000"/>
                <w:sz w:val="16"/>
                <w:szCs w:val="16"/>
                <w:lang w:val="en-US"/>
              </w:rPr>
              <w:t>(</w:t>
            </w:r>
            <w:r w:rsidRPr="00F01347">
              <w:rPr>
                <w:rFonts w:ascii="Verdana" w:hAnsi="Verdana"/>
                <w:b/>
                <w:color w:val="000000"/>
                <w:sz w:val="16"/>
                <w:szCs w:val="16"/>
                <w:lang w:val="en-US"/>
              </w:rPr>
              <w:t>mL</w:t>
            </w:r>
            <w:r w:rsidR="00913802" w:rsidRPr="00F01347">
              <w:rPr>
                <w:rFonts w:ascii="Verdana" w:hAnsi="Verdana"/>
                <w:b/>
                <w:color w:val="000000"/>
                <w:sz w:val="16"/>
                <w:szCs w:val="16"/>
                <w:lang w:val="en-US"/>
              </w:rPr>
              <w:t>)</w:t>
            </w:r>
          </w:p>
        </w:tc>
        <w:tc>
          <w:tcPr>
            <w:tcW w:w="2070" w:type="dxa"/>
            <w:tcBorders>
              <w:top w:val="single" w:sz="6" w:space="0" w:color="auto"/>
              <w:left w:val="single" w:sz="6" w:space="0" w:color="auto"/>
              <w:bottom w:val="single" w:sz="6" w:space="0" w:color="auto"/>
              <w:right w:val="single" w:sz="6" w:space="0" w:color="auto"/>
            </w:tcBorders>
            <w:hideMark/>
          </w:tcPr>
          <w:p w14:paraId="06DC55B2" w14:textId="77777777" w:rsidR="009C21B0" w:rsidRPr="00F01347" w:rsidRDefault="009C21B0">
            <w:pPr>
              <w:pStyle w:val="texto0"/>
              <w:ind w:firstLine="0"/>
              <w:jc w:val="center"/>
              <w:rPr>
                <w:rFonts w:ascii="Verdana" w:hAnsi="Verdana"/>
                <w:b/>
                <w:color w:val="000000"/>
                <w:sz w:val="16"/>
                <w:szCs w:val="16"/>
                <w:lang w:val="en-US"/>
              </w:rPr>
            </w:pPr>
            <w:r w:rsidRPr="00F01347">
              <w:rPr>
                <w:rFonts w:ascii="Verdana" w:hAnsi="Verdana"/>
                <w:b/>
                <w:color w:val="000000"/>
                <w:sz w:val="16"/>
                <w:szCs w:val="16"/>
                <w:lang w:val="en-US"/>
              </w:rPr>
              <w:t xml:space="preserve">Concentration obtained (mg/L) N-NH </w:t>
            </w:r>
            <w:r w:rsidRPr="00F01347">
              <w:rPr>
                <w:rFonts w:ascii="Verdana" w:hAnsi="Verdana"/>
                <w:b/>
                <w:color w:val="000000"/>
                <w:sz w:val="16"/>
                <w:szCs w:val="16"/>
                <w:vertAlign w:val="subscript"/>
                <w:lang w:val="en-US"/>
              </w:rPr>
              <w:t>3</w:t>
            </w:r>
          </w:p>
        </w:tc>
      </w:tr>
      <w:tr w:rsidR="009C21B0" w:rsidRPr="00F01347" w14:paraId="3C42960D" w14:textId="77777777" w:rsidTr="009C21B0">
        <w:trPr>
          <w:trHeight w:val="144"/>
        </w:trPr>
        <w:tc>
          <w:tcPr>
            <w:tcW w:w="1726" w:type="dxa"/>
            <w:tcBorders>
              <w:top w:val="single" w:sz="6" w:space="0" w:color="auto"/>
              <w:left w:val="single" w:sz="6" w:space="0" w:color="auto"/>
              <w:bottom w:val="single" w:sz="6" w:space="0" w:color="auto"/>
              <w:right w:val="single" w:sz="6" w:space="0" w:color="auto"/>
            </w:tcBorders>
            <w:hideMark/>
          </w:tcPr>
          <w:p w14:paraId="4973F2D8"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10.0</w:t>
            </w:r>
          </w:p>
        </w:tc>
        <w:tc>
          <w:tcPr>
            <w:tcW w:w="1334" w:type="dxa"/>
            <w:tcBorders>
              <w:top w:val="single" w:sz="6" w:space="0" w:color="auto"/>
              <w:left w:val="single" w:sz="6" w:space="0" w:color="auto"/>
              <w:bottom w:val="single" w:sz="6" w:space="0" w:color="auto"/>
              <w:right w:val="single" w:sz="6" w:space="0" w:color="auto"/>
            </w:tcBorders>
            <w:hideMark/>
          </w:tcPr>
          <w:p w14:paraId="00382B61"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25</w:t>
            </w:r>
          </w:p>
        </w:tc>
        <w:tc>
          <w:tcPr>
            <w:tcW w:w="1440" w:type="dxa"/>
            <w:tcBorders>
              <w:top w:val="single" w:sz="6" w:space="0" w:color="auto"/>
              <w:left w:val="single" w:sz="6" w:space="0" w:color="auto"/>
              <w:bottom w:val="single" w:sz="6" w:space="0" w:color="auto"/>
              <w:right w:val="single" w:sz="6" w:space="0" w:color="auto"/>
            </w:tcBorders>
            <w:hideMark/>
          </w:tcPr>
          <w:p w14:paraId="05E4D2BA" w14:textId="6A3DC003" w:rsidR="009C21B0" w:rsidRPr="00F01347" w:rsidRDefault="00A5493F">
            <w:pPr>
              <w:pStyle w:val="texto0"/>
              <w:ind w:firstLine="0"/>
              <w:jc w:val="center"/>
              <w:rPr>
                <w:rFonts w:ascii="Verdana" w:hAnsi="Verdana"/>
                <w:color w:val="000000"/>
                <w:sz w:val="16"/>
                <w:szCs w:val="16"/>
              </w:rPr>
            </w:pPr>
            <w:r w:rsidRPr="00F01347">
              <w:rPr>
                <w:rFonts w:ascii="Verdana" w:hAnsi="Verdana"/>
                <w:color w:val="000000"/>
                <w:sz w:val="16"/>
                <w:szCs w:val="16"/>
              </w:rPr>
              <w:t>50</w:t>
            </w:r>
          </w:p>
        </w:tc>
        <w:tc>
          <w:tcPr>
            <w:tcW w:w="2070" w:type="dxa"/>
            <w:tcBorders>
              <w:top w:val="single" w:sz="6" w:space="0" w:color="auto"/>
              <w:left w:val="single" w:sz="6" w:space="0" w:color="auto"/>
              <w:bottom w:val="single" w:sz="6" w:space="0" w:color="auto"/>
              <w:right w:val="single" w:sz="6" w:space="0" w:color="auto"/>
            </w:tcBorders>
            <w:hideMark/>
          </w:tcPr>
          <w:p w14:paraId="3674DCAC"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5.0</w:t>
            </w:r>
          </w:p>
        </w:tc>
      </w:tr>
      <w:tr w:rsidR="009C21B0" w:rsidRPr="00F01347" w14:paraId="12AFFD5D" w14:textId="77777777" w:rsidTr="009C21B0">
        <w:trPr>
          <w:trHeight w:val="144"/>
        </w:trPr>
        <w:tc>
          <w:tcPr>
            <w:tcW w:w="1726" w:type="dxa"/>
            <w:tcBorders>
              <w:top w:val="single" w:sz="6" w:space="0" w:color="auto"/>
              <w:left w:val="single" w:sz="6" w:space="0" w:color="auto"/>
              <w:bottom w:val="single" w:sz="6" w:space="0" w:color="auto"/>
              <w:right w:val="single" w:sz="6" w:space="0" w:color="auto"/>
            </w:tcBorders>
            <w:hideMark/>
          </w:tcPr>
          <w:p w14:paraId="61834311"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10.0</w:t>
            </w:r>
          </w:p>
        </w:tc>
        <w:tc>
          <w:tcPr>
            <w:tcW w:w="1334" w:type="dxa"/>
            <w:tcBorders>
              <w:top w:val="single" w:sz="6" w:space="0" w:color="auto"/>
              <w:left w:val="single" w:sz="6" w:space="0" w:color="auto"/>
              <w:bottom w:val="single" w:sz="6" w:space="0" w:color="auto"/>
              <w:right w:val="single" w:sz="6" w:space="0" w:color="auto"/>
            </w:tcBorders>
            <w:hideMark/>
          </w:tcPr>
          <w:p w14:paraId="03B0D4EC"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10</w:t>
            </w:r>
          </w:p>
        </w:tc>
        <w:tc>
          <w:tcPr>
            <w:tcW w:w="1440" w:type="dxa"/>
            <w:tcBorders>
              <w:top w:val="single" w:sz="6" w:space="0" w:color="auto"/>
              <w:left w:val="single" w:sz="6" w:space="0" w:color="auto"/>
              <w:bottom w:val="single" w:sz="6" w:space="0" w:color="auto"/>
              <w:right w:val="single" w:sz="6" w:space="0" w:color="auto"/>
            </w:tcBorders>
            <w:hideMark/>
          </w:tcPr>
          <w:p w14:paraId="31E50ADF" w14:textId="34C0F0AF" w:rsidR="009C21B0" w:rsidRPr="00F01347" w:rsidRDefault="00A5493F">
            <w:pPr>
              <w:pStyle w:val="texto0"/>
              <w:ind w:firstLine="0"/>
              <w:jc w:val="center"/>
              <w:rPr>
                <w:rFonts w:ascii="Verdana" w:hAnsi="Verdana"/>
                <w:color w:val="000000"/>
                <w:sz w:val="16"/>
                <w:szCs w:val="16"/>
              </w:rPr>
            </w:pPr>
            <w:r w:rsidRPr="00F01347">
              <w:rPr>
                <w:rFonts w:ascii="Verdana" w:hAnsi="Verdana"/>
                <w:color w:val="000000"/>
                <w:sz w:val="16"/>
                <w:szCs w:val="16"/>
              </w:rPr>
              <w:t>50</w:t>
            </w:r>
          </w:p>
        </w:tc>
        <w:tc>
          <w:tcPr>
            <w:tcW w:w="2070" w:type="dxa"/>
            <w:tcBorders>
              <w:top w:val="single" w:sz="6" w:space="0" w:color="auto"/>
              <w:left w:val="single" w:sz="6" w:space="0" w:color="auto"/>
              <w:bottom w:val="single" w:sz="6" w:space="0" w:color="auto"/>
              <w:right w:val="single" w:sz="6" w:space="0" w:color="auto"/>
            </w:tcBorders>
            <w:hideMark/>
          </w:tcPr>
          <w:p w14:paraId="3ADEDC23"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2.0</w:t>
            </w:r>
          </w:p>
        </w:tc>
      </w:tr>
      <w:tr w:rsidR="009C21B0" w:rsidRPr="00F01347" w14:paraId="6DD35D72" w14:textId="77777777" w:rsidTr="009C21B0">
        <w:trPr>
          <w:trHeight w:val="144"/>
        </w:trPr>
        <w:tc>
          <w:tcPr>
            <w:tcW w:w="1726" w:type="dxa"/>
            <w:tcBorders>
              <w:top w:val="single" w:sz="6" w:space="0" w:color="auto"/>
              <w:left w:val="single" w:sz="6" w:space="0" w:color="auto"/>
              <w:bottom w:val="single" w:sz="6" w:space="0" w:color="auto"/>
              <w:right w:val="single" w:sz="6" w:space="0" w:color="auto"/>
            </w:tcBorders>
            <w:hideMark/>
          </w:tcPr>
          <w:p w14:paraId="049799AD"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lastRenderedPageBreak/>
              <w:t>10.0</w:t>
            </w:r>
          </w:p>
        </w:tc>
        <w:tc>
          <w:tcPr>
            <w:tcW w:w="1334" w:type="dxa"/>
            <w:tcBorders>
              <w:top w:val="single" w:sz="6" w:space="0" w:color="auto"/>
              <w:left w:val="single" w:sz="6" w:space="0" w:color="auto"/>
              <w:bottom w:val="single" w:sz="6" w:space="0" w:color="auto"/>
              <w:right w:val="single" w:sz="6" w:space="0" w:color="auto"/>
            </w:tcBorders>
            <w:hideMark/>
          </w:tcPr>
          <w:p w14:paraId="46EF40DD"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5</w:t>
            </w:r>
          </w:p>
        </w:tc>
        <w:tc>
          <w:tcPr>
            <w:tcW w:w="1440" w:type="dxa"/>
            <w:tcBorders>
              <w:top w:val="single" w:sz="6" w:space="0" w:color="auto"/>
              <w:left w:val="single" w:sz="6" w:space="0" w:color="auto"/>
              <w:bottom w:val="single" w:sz="6" w:space="0" w:color="auto"/>
              <w:right w:val="single" w:sz="6" w:space="0" w:color="auto"/>
            </w:tcBorders>
            <w:hideMark/>
          </w:tcPr>
          <w:p w14:paraId="63982EE8" w14:textId="4F477ABF" w:rsidR="009C21B0" w:rsidRPr="00F01347" w:rsidRDefault="00A5493F">
            <w:pPr>
              <w:pStyle w:val="texto0"/>
              <w:ind w:firstLine="0"/>
              <w:jc w:val="center"/>
              <w:rPr>
                <w:rFonts w:ascii="Verdana" w:hAnsi="Verdana"/>
                <w:color w:val="000000"/>
                <w:sz w:val="16"/>
                <w:szCs w:val="16"/>
              </w:rPr>
            </w:pPr>
            <w:r w:rsidRPr="00F01347">
              <w:rPr>
                <w:rFonts w:ascii="Verdana" w:hAnsi="Verdana"/>
                <w:color w:val="000000"/>
                <w:sz w:val="16"/>
                <w:szCs w:val="16"/>
              </w:rPr>
              <w:t>50</w:t>
            </w:r>
          </w:p>
        </w:tc>
        <w:tc>
          <w:tcPr>
            <w:tcW w:w="2070" w:type="dxa"/>
            <w:tcBorders>
              <w:top w:val="single" w:sz="6" w:space="0" w:color="auto"/>
              <w:left w:val="single" w:sz="6" w:space="0" w:color="auto"/>
              <w:bottom w:val="single" w:sz="6" w:space="0" w:color="auto"/>
              <w:right w:val="single" w:sz="6" w:space="0" w:color="auto"/>
            </w:tcBorders>
            <w:hideMark/>
          </w:tcPr>
          <w:p w14:paraId="604C6534"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1.0</w:t>
            </w:r>
          </w:p>
        </w:tc>
      </w:tr>
      <w:tr w:rsidR="009C21B0" w:rsidRPr="00F01347" w14:paraId="2182E2B2" w14:textId="77777777" w:rsidTr="009C21B0">
        <w:trPr>
          <w:trHeight w:val="144"/>
        </w:trPr>
        <w:tc>
          <w:tcPr>
            <w:tcW w:w="1726" w:type="dxa"/>
            <w:tcBorders>
              <w:top w:val="single" w:sz="6" w:space="0" w:color="auto"/>
              <w:left w:val="single" w:sz="6" w:space="0" w:color="auto"/>
              <w:bottom w:val="single" w:sz="6" w:space="0" w:color="auto"/>
              <w:right w:val="single" w:sz="6" w:space="0" w:color="auto"/>
            </w:tcBorders>
            <w:hideMark/>
          </w:tcPr>
          <w:p w14:paraId="60B4CB49"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10.0</w:t>
            </w:r>
          </w:p>
        </w:tc>
        <w:tc>
          <w:tcPr>
            <w:tcW w:w="1334" w:type="dxa"/>
            <w:tcBorders>
              <w:top w:val="single" w:sz="6" w:space="0" w:color="auto"/>
              <w:left w:val="single" w:sz="6" w:space="0" w:color="auto"/>
              <w:bottom w:val="single" w:sz="6" w:space="0" w:color="auto"/>
              <w:right w:val="single" w:sz="6" w:space="0" w:color="auto"/>
            </w:tcBorders>
            <w:hideMark/>
          </w:tcPr>
          <w:p w14:paraId="12E78684"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2.5</w:t>
            </w:r>
          </w:p>
        </w:tc>
        <w:tc>
          <w:tcPr>
            <w:tcW w:w="1440" w:type="dxa"/>
            <w:tcBorders>
              <w:top w:val="single" w:sz="6" w:space="0" w:color="auto"/>
              <w:left w:val="single" w:sz="6" w:space="0" w:color="auto"/>
              <w:bottom w:val="single" w:sz="6" w:space="0" w:color="auto"/>
              <w:right w:val="single" w:sz="6" w:space="0" w:color="auto"/>
            </w:tcBorders>
            <w:hideMark/>
          </w:tcPr>
          <w:p w14:paraId="57202502" w14:textId="5DD1BE90" w:rsidR="009C21B0" w:rsidRPr="00F01347" w:rsidRDefault="00A5493F">
            <w:pPr>
              <w:pStyle w:val="texto0"/>
              <w:ind w:firstLine="0"/>
              <w:jc w:val="center"/>
              <w:rPr>
                <w:rFonts w:ascii="Verdana" w:hAnsi="Verdana"/>
                <w:color w:val="000000"/>
                <w:sz w:val="16"/>
                <w:szCs w:val="16"/>
              </w:rPr>
            </w:pPr>
            <w:r w:rsidRPr="00F01347">
              <w:rPr>
                <w:rFonts w:ascii="Verdana" w:hAnsi="Verdana"/>
                <w:color w:val="000000"/>
                <w:sz w:val="16"/>
                <w:szCs w:val="16"/>
              </w:rPr>
              <w:t>50</w:t>
            </w:r>
          </w:p>
        </w:tc>
        <w:tc>
          <w:tcPr>
            <w:tcW w:w="2070" w:type="dxa"/>
            <w:tcBorders>
              <w:top w:val="single" w:sz="6" w:space="0" w:color="auto"/>
              <w:left w:val="single" w:sz="6" w:space="0" w:color="auto"/>
              <w:bottom w:val="single" w:sz="6" w:space="0" w:color="auto"/>
              <w:right w:val="single" w:sz="6" w:space="0" w:color="auto"/>
            </w:tcBorders>
            <w:hideMark/>
          </w:tcPr>
          <w:p w14:paraId="07389A44"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0.5</w:t>
            </w:r>
          </w:p>
        </w:tc>
      </w:tr>
      <w:tr w:rsidR="009C21B0" w:rsidRPr="00F01347" w14:paraId="74BFAAF7" w14:textId="77777777" w:rsidTr="009C21B0">
        <w:trPr>
          <w:trHeight w:val="144"/>
        </w:trPr>
        <w:tc>
          <w:tcPr>
            <w:tcW w:w="1726" w:type="dxa"/>
            <w:tcBorders>
              <w:top w:val="single" w:sz="6" w:space="0" w:color="auto"/>
              <w:left w:val="single" w:sz="6" w:space="0" w:color="auto"/>
              <w:bottom w:val="single" w:sz="6" w:space="0" w:color="auto"/>
              <w:right w:val="single" w:sz="6" w:space="0" w:color="auto"/>
            </w:tcBorders>
            <w:hideMark/>
          </w:tcPr>
          <w:p w14:paraId="353F7EC9"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10.0</w:t>
            </w:r>
          </w:p>
        </w:tc>
        <w:tc>
          <w:tcPr>
            <w:tcW w:w="1334" w:type="dxa"/>
            <w:tcBorders>
              <w:top w:val="single" w:sz="6" w:space="0" w:color="auto"/>
              <w:left w:val="single" w:sz="6" w:space="0" w:color="auto"/>
              <w:bottom w:val="single" w:sz="6" w:space="0" w:color="auto"/>
              <w:right w:val="single" w:sz="6" w:space="0" w:color="auto"/>
            </w:tcBorders>
            <w:hideMark/>
          </w:tcPr>
          <w:p w14:paraId="5FEFC0BB"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1.0</w:t>
            </w:r>
          </w:p>
        </w:tc>
        <w:tc>
          <w:tcPr>
            <w:tcW w:w="1440" w:type="dxa"/>
            <w:tcBorders>
              <w:top w:val="single" w:sz="6" w:space="0" w:color="auto"/>
              <w:left w:val="single" w:sz="6" w:space="0" w:color="auto"/>
              <w:bottom w:val="single" w:sz="6" w:space="0" w:color="auto"/>
              <w:right w:val="single" w:sz="6" w:space="0" w:color="auto"/>
            </w:tcBorders>
            <w:hideMark/>
          </w:tcPr>
          <w:p w14:paraId="0BC1AC5D" w14:textId="7190093E" w:rsidR="009C21B0" w:rsidRPr="00F01347" w:rsidRDefault="00A5493F">
            <w:pPr>
              <w:pStyle w:val="texto0"/>
              <w:ind w:firstLine="0"/>
              <w:jc w:val="center"/>
              <w:rPr>
                <w:rFonts w:ascii="Verdana" w:hAnsi="Verdana"/>
                <w:color w:val="000000"/>
                <w:sz w:val="16"/>
                <w:szCs w:val="16"/>
              </w:rPr>
            </w:pPr>
            <w:r w:rsidRPr="00F01347">
              <w:rPr>
                <w:rFonts w:ascii="Verdana" w:hAnsi="Verdana"/>
                <w:color w:val="000000"/>
                <w:sz w:val="16"/>
                <w:szCs w:val="16"/>
              </w:rPr>
              <w:t>50</w:t>
            </w:r>
          </w:p>
        </w:tc>
        <w:tc>
          <w:tcPr>
            <w:tcW w:w="2070" w:type="dxa"/>
            <w:tcBorders>
              <w:top w:val="single" w:sz="6" w:space="0" w:color="auto"/>
              <w:left w:val="single" w:sz="6" w:space="0" w:color="auto"/>
              <w:bottom w:val="single" w:sz="6" w:space="0" w:color="auto"/>
              <w:right w:val="single" w:sz="6" w:space="0" w:color="auto"/>
            </w:tcBorders>
            <w:hideMark/>
          </w:tcPr>
          <w:p w14:paraId="1FFE2AE1"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0.2</w:t>
            </w:r>
          </w:p>
        </w:tc>
      </w:tr>
      <w:tr w:rsidR="009C21B0" w:rsidRPr="00F01347" w14:paraId="5AB0479E" w14:textId="77777777" w:rsidTr="009C21B0">
        <w:trPr>
          <w:trHeight w:val="144"/>
        </w:trPr>
        <w:tc>
          <w:tcPr>
            <w:tcW w:w="1726" w:type="dxa"/>
            <w:tcBorders>
              <w:top w:val="single" w:sz="6" w:space="0" w:color="auto"/>
              <w:left w:val="single" w:sz="6" w:space="0" w:color="auto"/>
              <w:bottom w:val="single" w:sz="6" w:space="0" w:color="auto"/>
              <w:right w:val="single" w:sz="6" w:space="0" w:color="auto"/>
            </w:tcBorders>
            <w:hideMark/>
          </w:tcPr>
          <w:p w14:paraId="780EAC87"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10.0</w:t>
            </w:r>
          </w:p>
        </w:tc>
        <w:tc>
          <w:tcPr>
            <w:tcW w:w="1334" w:type="dxa"/>
            <w:tcBorders>
              <w:top w:val="single" w:sz="6" w:space="0" w:color="auto"/>
              <w:left w:val="single" w:sz="6" w:space="0" w:color="auto"/>
              <w:bottom w:val="single" w:sz="6" w:space="0" w:color="auto"/>
              <w:right w:val="single" w:sz="6" w:space="0" w:color="auto"/>
            </w:tcBorders>
            <w:hideMark/>
          </w:tcPr>
          <w:p w14:paraId="65FDBF56"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0.5</w:t>
            </w:r>
          </w:p>
        </w:tc>
        <w:tc>
          <w:tcPr>
            <w:tcW w:w="1440" w:type="dxa"/>
            <w:tcBorders>
              <w:top w:val="single" w:sz="6" w:space="0" w:color="auto"/>
              <w:left w:val="single" w:sz="6" w:space="0" w:color="auto"/>
              <w:bottom w:val="single" w:sz="6" w:space="0" w:color="auto"/>
              <w:right w:val="single" w:sz="6" w:space="0" w:color="auto"/>
            </w:tcBorders>
            <w:hideMark/>
          </w:tcPr>
          <w:p w14:paraId="52A22FAA" w14:textId="5BE8D464" w:rsidR="009C21B0" w:rsidRPr="00F01347" w:rsidRDefault="00A5493F">
            <w:pPr>
              <w:pStyle w:val="texto0"/>
              <w:ind w:firstLine="0"/>
              <w:jc w:val="center"/>
              <w:rPr>
                <w:rFonts w:ascii="Verdana" w:hAnsi="Verdana"/>
                <w:color w:val="000000"/>
                <w:sz w:val="16"/>
                <w:szCs w:val="16"/>
              </w:rPr>
            </w:pPr>
            <w:r w:rsidRPr="00F01347">
              <w:rPr>
                <w:rFonts w:ascii="Verdana" w:hAnsi="Verdana"/>
                <w:color w:val="000000"/>
                <w:sz w:val="16"/>
                <w:szCs w:val="16"/>
              </w:rPr>
              <w:t>50</w:t>
            </w:r>
          </w:p>
        </w:tc>
        <w:tc>
          <w:tcPr>
            <w:tcW w:w="2070" w:type="dxa"/>
            <w:tcBorders>
              <w:top w:val="single" w:sz="6" w:space="0" w:color="auto"/>
              <w:left w:val="single" w:sz="6" w:space="0" w:color="auto"/>
              <w:bottom w:val="single" w:sz="6" w:space="0" w:color="auto"/>
              <w:right w:val="single" w:sz="6" w:space="0" w:color="auto"/>
            </w:tcBorders>
            <w:hideMark/>
          </w:tcPr>
          <w:p w14:paraId="330B7C67" w14:textId="77777777" w:rsidR="009C21B0" w:rsidRPr="00F01347" w:rsidRDefault="009C21B0">
            <w:pPr>
              <w:pStyle w:val="texto0"/>
              <w:ind w:firstLine="0"/>
              <w:jc w:val="center"/>
              <w:rPr>
                <w:rFonts w:ascii="Verdana" w:hAnsi="Verdana"/>
                <w:color w:val="000000"/>
                <w:sz w:val="16"/>
                <w:szCs w:val="16"/>
              </w:rPr>
            </w:pPr>
            <w:r w:rsidRPr="00F01347">
              <w:rPr>
                <w:rFonts w:ascii="Verdana" w:hAnsi="Verdana"/>
                <w:color w:val="000000"/>
                <w:sz w:val="16"/>
                <w:szCs w:val="16"/>
              </w:rPr>
              <w:t>0.1</w:t>
            </w:r>
          </w:p>
        </w:tc>
      </w:tr>
      <w:tr w:rsidR="009C21B0" w:rsidRPr="00F01347" w14:paraId="3967EF98" w14:textId="77777777" w:rsidTr="009C21B0">
        <w:trPr>
          <w:trHeight w:val="144"/>
        </w:trPr>
        <w:tc>
          <w:tcPr>
            <w:tcW w:w="6570" w:type="dxa"/>
            <w:gridSpan w:val="4"/>
            <w:tcBorders>
              <w:top w:val="single" w:sz="6" w:space="0" w:color="auto"/>
              <w:left w:val="nil"/>
              <w:bottom w:val="nil"/>
              <w:right w:val="nil"/>
            </w:tcBorders>
            <w:hideMark/>
          </w:tcPr>
          <w:p w14:paraId="37B86E30" w14:textId="11081AA1" w:rsidR="009C21B0" w:rsidRPr="00F01347" w:rsidRDefault="009C21B0">
            <w:pPr>
              <w:pStyle w:val="texto0"/>
              <w:ind w:firstLine="0"/>
              <w:jc w:val="center"/>
              <w:rPr>
                <w:rFonts w:ascii="Verdana" w:hAnsi="Verdana"/>
                <w:color w:val="000000"/>
                <w:sz w:val="16"/>
                <w:szCs w:val="16"/>
                <w:lang w:val="en-US"/>
              </w:rPr>
            </w:pPr>
            <w:r w:rsidRPr="00F01347">
              <w:rPr>
                <w:rFonts w:ascii="Verdana" w:hAnsi="Verdana"/>
                <w:color w:val="000000"/>
                <w:sz w:val="16"/>
                <w:szCs w:val="16"/>
                <w:lang w:val="en-US"/>
              </w:rPr>
              <w:t xml:space="preserve">If the curve preparation is done gravimetrically, the density of the solutions </w:t>
            </w:r>
            <w:proofErr w:type="gramStart"/>
            <w:r w:rsidRPr="00F01347">
              <w:rPr>
                <w:rFonts w:ascii="Verdana" w:hAnsi="Verdana"/>
                <w:color w:val="000000"/>
                <w:sz w:val="16"/>
                <w:szCs w:val="16"/>
                <w:lang w:val="en-US"/>
              </w:rPr>
              <w:t>is considered to be</w:t>
            </w:r>
            <w:proofErr w:type="gramEnd"/>
            <w:r w:rsidRPr="00F01347">
              <w:rPr>
                <w:rFonts w:ascii="Verdana" w:hAnsi="Verdana"/>
                <w:color w:val="000000"/>
                <w:sz w:val="16"/>
                <w:szCs w:val="16"/>
                <w:lang w:val="en-US"/>
              </w:rPr>
              <w:t xml:space="preserve"> 1.0 g/ mL</w:t>
            </w:r>
            <w:r w:rsidR="003E1BA9" w:rsidRPr="00F01347">
              <w:rPr>
                <w:rFonts w:ascii="Verdana" w:hAnsi="Verdana"/>
                <w:color w:val="000000"/>
                <w:sz w:val="16"/>
                <w:szCs w:val="16"/>
                <w:lang w:val="en-US"/>
              </w:rPr>
              <w:t>.</w:t>
            </w:r>
          </w:p>
        </w:tc>
      </w:tr>
    </w:tbl>
    <w:p w14:paraId="4CFFCD81" w14:textId="77777777" w:rsidR="009C21B0" w:rsidRPr="00F01347" w:rsidRDefault="009C21B0" w:rsidP="003A601B">
      <w:pPr>
        <w:pStyle w:val="texto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557BF" w:rsidRPr="00F01347" w14:paraId="463F8BCD" w14:textId="25DC6611" w:rsidTr="00A5493F">
        <w:tc>
          <w:tcPr>
            <w:tcW w:w="4675" w:type="dxa"/>
          </w:tcPr>
          <w:p w14:paraId="028F15AF" w14:textId="77777777" w:rsidR="007557BF" w:rsidRPr="00F01347" w:rsidRDefault="007557BF" w:rsidP="007557BF">
            <w:pPr>
              <w:pStyle w:val="texto0"/>
              <w:spacing w:line="240" w:lineRule="exact"/>
              <w:ind w:firstLine="0"/>
              <w:rPr>
                <w:rFonts w:ascii="Verdana" w:hAnsi="Verdana"/>
                <w:sz w:val="16"/>
                <w:szCs w:val="16"/>
              </w:rPr>
            </w:pPr>
            <w:r w:rsidRPr="00F01347">
              <w:rPr>
                <w:rFonts w:ascii="Verdana" w:hAnsi="Verdana"/>
                <w:sz w:val="16"/>
                <w:szCs w:val="16"/>
              </w:rPr>
              <w:t>Prepare el equipo para el análisis e incluya en la secuencia los puntos de calibración preparados, introduciendo las concentraciones calculadas para cada punto.</w:t>
            </w:r>
          </w:p>
        </w:tc>
        <w:tc>
          <w:tcPr>
            <w:tcW w:w="4675" w:type="dxa"/>
          </w:tcPr>
          <w:p w14:paraId="13445692" w14:textId="7017DD73" w:rsidR="007557BF" w:rsidRPr="00F01347" w:rsidRDefault="007557BF" w:rsidP="007557BF">
            <w:pPr>
              <w:pStyle w:val="texto0"/>
              <w:spacing w:line="240" w:lineRule="exact"/>
              <w:ind w:firstLine="0"/>
              <w:rPr>
                <w:rFonts w:ascii="Verdana" w:hAnsi="Verdana"/>
                <w:sz w:val="16"/>
                <w:szCs w:val="16"/>
                <w:lang w:val="en-US"/>
              </w:rPr>
            </w:pPr>
            <w:r w:rsidRPr="00F01347">
              <w:rPr>
                <w:rFonts w:ascii="Verdana" w:hAnsi="Verdana"/>
                <w:sz w:val="16"/>
                <w:szCs w:val="16"/>
                <w:lang w:val="en-US"/>
              </w:rPr>
              <w:t>Prepare the equipment for analysis and include the prepared calibration points in the sequence, entering the concentrations calculated for each point.</w:t>
            </w:r>
          </w:p>
        </w:tc>
      </w:tr>
      <w:tr w:rsidR="007557BF" w:rsidRPr="00F01347" w14:paraId="3A0D5C5D" w14:textId="704B7FFD" w:rsidTr="00A5493F">
        <w:tc>
          <w:tcPr>
            <w:tcW w:w="4675" w:type="dxa"/>
          </w:tcPr>
          <w:p w14:paraId="0EE31E48" w14:textId="77777777" w:rsidR="007557BF" w:rsidRPr="00F01347" w:rsidRDefault="007557BF" w:rsidP="007557BF">
            <w:pPr>
              <w:pStyle w:val="texto0"/>
              <w:spacing w:line="240" w:lineRule="exact"/>
              <w:ind w:firstLine="0"/>
              <w:rPr>
                <w:rFonts w:ascii="Verdana" w:hAnsi="Verdana"/>
                <w:sz w:val="16"/>
                <w:szCs w:val="16"/>
              </w:rPr>
            </w:pPr>
            <w:r w:rsidRPr="00F01347">
              <w:rPr>
                <w:rFonts w:ascii="Verdana" w:hAnsi="Verdana"/>
                <w:sz w:val="16"/>
                <w:szCs w:val="16"/>
              </w:rPr>
              <w:t>El equipo registra la respuesta obtenida para cada punto y la asocia a la concentración especificada por el usuario, con lo que construye y almacena de manera automática una curva de calibración. Esta curva es usada después para obtener la concentración de las muestras desconocidas.</w:t>
            </w:r>
          </w:p>
        </w:tc>
        <w:tc>
          <w:tcPr>
            <w:tcW w:w="4675" w:type="dxa"/>
          </w:tcPr>
          <w:p w14:paraId="1B7A01F3" w14:textId="5E9765CF" w:rsidR="007557BF" w:rsidRPr="00F01347" w:rsidRDefault="007557BF" w:rsidP="007557BF">
            <w:pPr>
              <w:pStyle w:val="texto0"/>
              <w:spacing w:line="240" w:lineRule="exact"/>
              <w:ind w:firstLine="0"/>
              <w:rPr>
                <w:rFonts w:ascii="Verdana" w:hAnsi="Verdana"/>
                <w:sz w:val="16"/>
                <w:szCs w:val="16"/>
                <w:lang w:val="en-US"/>
              </w:rPr>
            </w:pPr>
            <w:r w:rsidRPr="00F01347">
              <w:rPr>
                <w:rFonts w:ascii="Verdana" w:hAnsi="Verdana"/>
                <w:sz w:val="16"/>
                <w:szCs w:val="16"/>
                <w:lang w:val="en-US"/>
              </w:rPr>
              <w:t>The equipment records the response obtained for each point and associates it with the concentration specified by the user, thereby automatically constructing and storing a calibration curve. This curve is then used to obtain the concentration of the unknown samples.</w:t>
            </w:r>
          </w:p>
        </w:tc>
      </w:tr>
      <w:tr w:rsidR="007557BF" w:rsidRPr="00F01347" w14:paraId="041641AE" w14:textId="55D74ABC" w:rsidTr="00A5493F">
        <w:tc>
          <w:tcPr>
            <w:tcW w:w="4675" w:type="dxa"/>
          </w:tcPr>
          <w:p w14:paraId="2D9D3C12" w14:textId="77777777" w:rsidR="007557BF" w:rsidRPr="00F01347" w:rsidRDefault="007557BF" w:rsidP="007557BF">
            <w:pPr>
              <w:pStyle w:val="texto0"/>
              <w:spacing w:line="240" w:lineRule="exact"/>
              <w:ind w:firstLine="0"/>
              <w:rPr>
                <w:rFonts w:ascii="Verdana" w:hAnsi="Verdana"/>
                <w:sz w:val="16"/>
                <w:szCs w:val="16"/>
              </w:rPr>
            </w:pPr>
            <w:r w:rsidRPr="00F01347">
              <w:rPr>
                <w:rFonts w:ascii="Verdana" w:hAnsi="Verdana"/>
                <w:sz w:val="16"/>
                <w:szCs w:val="16"/>
              </w:rPr>
              <w:t>La verificación de la calibración durante el análisis del lote se realiza mediante la CCC.</w:t>
            </w:r>
          </w:p>
        </w:tc>
        <w:tc>
          <w:tcPr>
            <w:tcW w:w="4675" w:type="dxa"/>
          </w:tcPr>
          <w:p w14:paraId="3F5AF4CD" w14:textId="712998BA" w:rsidR="007557BF" w:rsidRPr="00F01347" w:rsidRDefault="007557BF" w:rsidP="007557BF">
            <w:pPr>
              <w:pStyle w:val="texto0"/>
              <w:spacing w:line="240" w:lineRule="exact"/>
              <w:ind w:firstLine="0"/>
              <w:rPr>
                <w:rFonts w:ascii="Verdana" w:hAnsi="Verdana"/>
                <w:sz w:val="16"/>
                <w:szCs w:val="16"/>
                <w:lang w:val="en-US"/>
              </w:rPr>
            </w:pPr>
            <w:r w:rsidRPr="00F01347">
              <w:rPr>
                <w:rFonts w:ascii="Verdana" w:hAnsi="Verdana"/>
                <w:sz w:val="16"/>
                <w:szCs w:val="16"/>
                <w:lang w:val="en-US"/>
              </w:rPr>
              <w:t>Calibration verification during batch analysis is performed using CCC.</w:t>
            </w:r>
          </w:p>
        </w:tc>
      </w:tr>
      <w:tr w:rsidR="007557BF" w:rsidRPr="00F01347" w14:paraId="5AA73929" w14:textId="3E890E8D" w:rsidTr="00A5493F">
        <w:tc>
          <w:tcPr>
            <w:tcW w:w="4675" w:type="dxa"/>
          </w:tcPr>
          <w:p w14:paraId="64E25A18" w14:textId="77777777" w:rsidR="007557BF" w:rsidRPr="00F01347" w:rsidRDefault="007557BF" w:rsidP="007557BF">
            <w:pPr>
              <w:pStyle w:val="texto0"/>
              <w:spacing w:line="240" w:lineRule="exact"/>
              <w:ind w:firstLine="0"/>
              <w:rPr>
                <w:rFonts w:ascii="Verdana" w:hAnsi="Verdana"/>
                <w:b/>
                <w:sz w:val="16"/>
                <w:szCs w:val="16"/>
              </w:rPr>
            </w:pPr>
            <w:r w:rsidRPr="00F01347">
              <w:rPr>
                <w:rFonts w:ascii="Verdana" w:hAnsi="Verdana"/>
                <w:b/>
                <w:sz w:val="16"/>
                <w:szCs w:val="16"/>
              </w:rPr>
              <w:t>B.7.4.8.3 Interferencias</w:t>
            </w:r>
          </w:p>
        </w:tc>
        <w:tc>
          <w:tcPr>
            <w:tcW w:w="4675" w:type="dxa"/>
          </w:tcPr>
          <w:p w14:paraId="2B0015A2" w14:textId="63D5124D" w:rsidR="007557BF" w:rsidRPr="00F01347" w:rsidRDefault="007557BF" w:rsidP="007557BF">
            <w:pPr>
              <w:pStyle w:val="texto0"/>
              <w:spacing w:line="240" w:lineRule="exact"/>
              <w:ind w:firstLine="0"/>
              <w:rPr>
                <w:rFonts w:ascii="Verdana" w:hAnsi="Verdana"/>
                <w:b/>
                <w:sz w:val="16"/>
                <w:szCs w:val="16"/>
                <w:lang w:val="en-US"/>
              </w:rPr>
            </w:pPr>
            <w:r w:rsidRPr="00F01347">
              <w:rPr>
                <w:rFonts w:ascii="Verdana" w:hAnsi="Verdana"/>
                <w:b/>
                <w:sz w:val="16"/>
                <w:szCs w:val="16"/>
                <w:lang w:val="en-US"/>
              </w:rPr>
              <w:t>B.7.4.8.3 Interferences</w:t>
            </w:r>
          </w:p>
        </w:tc>
      </w:tr>
      <w:tr w:rsidR="007557BF" w:rsidRPr="00F01347" w14:paraId="70629415" w14:textId="53E12D48" w:rsidTr="00A5493F">
        <w:tc>
          <w:tcPr>
            <w:tcW w:w="4675" w:type="dxa"/>
          </w:tcPr>
          <w:p w14:paraId="5C48D00E" w14:textId="77777777" w:rsidR="007557BF" w:rsidRPr="00F01347" w:rsidRDefault="007557BF" w:rsidP="007557BF">
            <w:pPr>
              <w:pStyle w:val="texto0"/>
              <w:spacing w:line="240" w:lineRule="exact"/>
              <w:ind w:firstLine="0"/>
              <w:rPr>
                <w:rFonts w:ascii="Verdana" w:hAnsi="Verdana"/>
                <w:sz w:val="16"/>
                <w:szCs w:val="16"/>
              </w:rPr>
            </w:pPr>
            <w:r w:rsidRPr="00F01347">
              <w:rPr>
                <w:rFonts w:ascii="Verdana" w:hAnsi="Verdana"/>
                <w:sz w:val="16"/>
                <w:szCs w:val="16"/>
              </w:rPr>
              <w:t>Al tratarse de una técnica fotométrica, la turbidez en las muestras interfiere con la capacidad del detector para registrar la absorción real de la muestra. Filtre las muestras turbias antes de analizarlas.</w:t>
            </w:r>
          </w:p>
        </w:tc>
        <w:tc>
          <w:tcPr>
            <w:tcW w:w="4675" w:type="dxa"/>
          </w:tcPr>
          <w:p w14:paraId="0092FE59" w14:textId="002C0232" w:rsidR="007557BF" w:rsidRPr="00F01347" w:rsidRDefault="007557BF" w:rsidP="007557BF">
            <w:pPr>
              <w:pStyle w:val="texto0"/>
              <w:spacing w:line="240" w:lineRule="exact"/>
              <w:ind w:firstLine="0"/>
              <w:rPr>
                <w:rFonts w:ascii="Verdana" w:hAnsi="Verdana"/>
                <w:sz w:val="16"/>
                <w:szCs w:val="16"/>
                <w:lang w:val="en-US"/>
              </w:rPr>
            </w:pPr>
            <w:r w:rsidRPr="00F01347">
              <w:rPr>
                <w:rFonts w:ascii="Verdana" w:hAnsi="Verdana"/>
                <w:sz w:val="16"/>
                <w:szCs w:val="16"/>
                <w:lang w:val="en-US"/>
              </w:rPr>
              <w:t>As this is a photometric technique, turbidity in the samples interferes with the detector's ability to record the actual absorption of the sample. Filter turbid samples before testing.</w:t>
            </w:r>
          </w:p>
        </w:tc>
      </w:tr>
      <w:tr w:rsidR="007557BF" w:rsidRPr="00F01347" w14:paraId="42A60AFE" w14:textId="643E13BB" w:rsidTr="00A5493F">
        <w:tc>
          <w:tcPr>
            <w:tcW w:w="4675" w:type="dxa"/>
          </w:tcPr>
          <w:p w14:paraId="10D7D228" w14:textId="77777777" w:rsidR="007557BF" w:rsidRPr="00F01347" w:rsidRDefault="007557BF" w:rsidP="007557BF">
            <w:pPr>
              <w:pStyle w:val="texto0"/>
              <w:spacing w:line="240" w:lineRule="exact"/>
              <w:ind w:firstLine="0"/>
              <w:rPr>
                <w:rFonts w:ascii="Verdana" w:hAnsi="Verdana"/>
                <w:sz w:val="16"/>
                <w:szCs w:val="16"/>
              </w:rPr>
            </w:pPr>
            <w:r w:rsidRPr="00F01347">
              <w:rPr>
                <w:rFonts w:ascii="Verdana" w:hAnsi="Verdana"/>
                <w:sz w:val="16"/>
                <w:szCs w:val="16"/>
              </w:rPr>
              <w:t xml:space="preserve">La precipitación de hidróxidos o carbonatos de calcio y magnesio debido al pH del medio de reacción interfiere con las lecturas fotométricas. Evite la formación de estos sólidos mediante el uso de ácido </w:t>
            </w:r>
            <w:proofErr w:type="spellStart"/>
            <w:r w:rsidRPr="00F01347">
              <w:rPr>
                <w:rFonts w:ascii="Verdana" w:hAnsi="Verdana"/>
                <w:sz w:val="16"/>
                <w:szCs w:val="16"/>
              </w:rPr>
              <w:t>etilendiamintetraacético</w:t>
            </w:r>
            <w:proofErr w:type="spellEnd"/>
            <w:r w:rsidRPr="00F01347">
              <w:rPr>
                <w:rFonts w:ascii="Verdana" w:hAnsi="Verdana"/>
                <w:sz w:val="16"/>
                <w:szCs w:val="16"/>
              </w:rPr>
              <w:t xml:space="preserve"> (EDTA).</w:t>
            </w:r>
          </w:p>
        </w:tc>
        <w:tc>
          <w:tcPr>
            <w:tcW w:w="4675" w:type="dxa"/>
          </w:tcPr>
          <w:p w14:paraId="3C87D4A3" w14:textId="335CF30F" w:rsidR="007557BF" w:rsidRPr="00F01347" w:rsidRDefault="007557BF" w:rsidP="007557BF">
            <w:pPr>
              <w:pStyle w:val="texto0"/>
              <w:spacing w:line="240" w:lineRule="exact"/>
              <w:ind w:firstLine="0"/>
              <w:rPr>
                <w:rFonts w:ascii="Verdana" w:hAnsi="Verdana"/>
                <w:sz w:val="16"/>
                <w:szCs w:val="16"/>
                <w:lang w:val="en-US"/>
              </w:rPr>
            </w:pPr>
            <w:r w:rsidRPr="00F01347">
              <w:rPr>
                <w:rFonts w:ascii="Verdana" w:hAnsi="Verdana"/>
                <w:sz w:val="16"/>
                <w:szCs w:val="16"/>
                <w:lang w:val="en-US"/>
              </w:rPr>
              <w:t>Precipitation of calcium and magnesium hydroxides or carbonates due to the pH of the reaction medium interferes with photometric readings. Prevent the formation of these solids by using ethylenediaminetetraacetic acid (EDTA).</w:t>
            </w:r>
          </w:p>
        </w:tc>
      </w:tr>
      <w:tr w:rsidR="007557BF" w:rsidRPr="00F01347" w14:paraId="6BB59E93" w14:textId="1776C2FB" w:rsidTr="00A5493F">
        <w:tc>
          <w:tcPr>
            <w:tcW w:w="4675" w:type="dxa"/>
          </w:tcPr>
          <w:p w14:paraId="77009088" w14:textId="77777777" w:rsidR="007557BF" w:rsidRPr="00F01347" w:rsidRDefault="007557BF" w:rsidP="007557BF">
            <w:pPr>
              <w:pStyle w:val="texto0"/>
              <w:spacing w:line="240" w:lineRule="exact"/>
              <w:ind w:firstLine="0"/>
              <w:rPr>
                <w:rFonts w:ascii="Verdana" w:hAnsi="Verdana"/>
                <w:sz w:val="16"/>
                <w:szCs w:val="16"/>
              </w:rPr>
            </w:pPr>
            <w:r w:rsidRPr="00F01347">
              <w:rPr>
                <w:rFonts w:ascii="Verdana" w:hAnsi="Verdana"/>
                <w:sz w:val="16"/>
                <w:szCs w:val="16"/>
              </w:rPr>
              <w:t>Las muestras que presenten por su naturaleza una absorbancia a 660 nm presentarán una interferencia positiva.</w:t>
            </w:r>
          </w:p>
        </w:tc>
        <w:tc>
          <w:tcPr>
            <w:tcW w:w="4675" w:type="dxa"/>
          </w:tcPr>
          <w:p w14:paraId="4222E3B0" w14:textId="0FE55774" w:rsidR="007557BF" w:rsidRPr="00F01347" w:rsidRDefault="007557BF" w:rsidP="007557BF">
            <w:pPr>
              <w:pStyle w:val="texto0"/>
              <w:spacing w:line="240" w:lineRule="exact"/>
              <w:ind w:firstLine="0"/>
              <w:rPr>
                <w:rFonts w:ascii="Verdana" w:hAnsi="Verdana"/>
                <w:sz w:val="16"/>
                <w:szCs w:val="16"/>
                <w:lang w:val="en-US"/>
              </w:rPr>
            </w:pPr>
            <w:r w:rsidRPr="00F01347">
              <w:rPr>
                <w:rFonts w:ascii="Verdana" w:hAnsi="Verdana"/>
                <w:sz w:val="16"/>
                <w:szCs w:val="16"/>
                <w:lang w:val="en-US"/>
              </w:rPr>
              <w:t>Samples that by their nature have an absorbance at 660 nm will present a positive interference.</w:t>
            </w:r>
          </w:p>
        </w:tc>
      </w:tr>
      <w:tr w:rsidR="007557BF" w:rsidRPr="00F01347" w14:paraId="3126FC14" w14:textId="120ADCA1" w:rsidTr="00A5493F">
        <w:tc>
          <w:tcPr>
            <w:tcW w:w="4675" w:type="dxa"/>
          </w:tcPr>
          <w:p w14:paraId="31916045" w14:textId="77777777" w:rsidR="007557BF" w:rsidRPr="00F01347" w:rsidRDefault="007557BF" w:rsidP="007557BF">
            <w:pPr>
              <w:pStyle w:val="texto0"/>
              <w:spacing w:line="240" w:lineRule="exact"/>
              <w:ind w:firstLine="0"/>
              <w:rPr>
                <w:rFonts w:ascii="Verdana" w:hAnsi="Verdana"/>
                <w:sz w:val="16"/>
                <w:szCs w:val="16"/>
              </w:rPr>
            </w:pPr>
            <w:r w:rsidRPr="00F01347">
              <w:rPr>
                <w:rFonts w:ascii="Verdana" w:hAnsi="Verdana"/>
                <w:sz w:val="16"/>
                <w:szCs w:val="16"/>
              </w:rPr>
              <w:t>La intensidad del color generado en las reacciones que se muestran en la figura 1 es sensible al pH. Ajuste el pH de todas las muestras entre 5 y 7 antes de analizarlas.</w:t>
            </w:r>
          </w:p>
        </w:tc>
        <w:tc>
          <w:tcPr>
            <w:tcW w:w="4675" w:type="dxa"/>
          </w:tcPr>
          <w:p w14:paraId="45BEBEEA" w14:textId="6C58A633" w:rsidR="007557BF" w:rsidRPr="00F01347" w:rsidRDefault="007557BF" w:rsidP="007557BF">
            <w:pPr>
              <w:pStyle w:val="texto0"/>
              <w:spacing w:line="240" w:lineRule="exact"/>
              <w:ind w:firstLine="0"/>
              <w:rPr>
                <w:rFonts w:ascii="Verdana" w:hAnsi="Verdana"/>
                <w:sz w:val="16"/>
                <w:szCs w:val="16"/>
                <w:lang w:val="en-US"/>
              </w:rPr>
            </w:pPr>
            <w:r w:rsidRPr="00F01347">
              <w:rPr>
                <w:rFonts w:ascii="Verdana" w:hAnsi="Verdana"/>
                <w:sz w:val="16"/>
                <w:szCs w:val="16"/>
                <w:lang w:val="en-US"/>
              </w:rPr>
              <w:t xml:space="preserve">The intensity of the color generated in the reactions shown in Figure 1 is sensitive to </w:t>
            </w:r>
            <w:proofErr w:type="spellStart"/>
            <w:r w:rsidRPr="00F01347">
              <w:rPr>
                <w:rFonts w:ascii="Verdana" w:hAnsi="Verdana"/>
                <w:sz w:val="16"/>
                <w:szCs w:val="16"/>
                <w:lang w:val="en-US"/>
              </w:rPr>
              <w:t>pH.</w:t>
            </w:r>
            <w:proofErr w:type="spellEnd"/>
            <w:r w:rsidRPr="00F01347">
              <w:rPr>
                <w:rFonts w:ascii="Verdana" w:hAnsi="Verdana"/>
                <w:sz w:val="16"/>
                <w:szCs w:val="16"/>
                <w:lang w:val="en-US"/>
              </w:rPr>
              <w:t xml:space="preserve"> Adjust the pH of all samples to between 5 and 7 before testing.</w:t>
            </w:r>
          </w:p>
        </w:tc>
      </w:tr>
      <w:tr w:rsidR="007557BF" w:rsidRPr="00F01347" w14:paraId="299D1D6D" w14:textId="57489096" w:rsidTr="00A5493F">
        <w:tc>
          <w:tcPr>
            <w:tcW w:w="4675" w:type="dxa"/>
          </w:tcPr>
          <w:p w14:paraId="3FA149E8" w14:textId="77777777" w:rsidR="007557BF" w:rsidRPr="00F01347" w:rsidRDefault="007557BF" w:rsidP="007557BF">
            <w:pPr>
              <w:pStyle w:val="texto0"/>
              <w:spacing w:line="240" w:lineRule="exact"/>
              <w:ind w:firstLine="0"/>
              <w:rPr>
                <w:rFonts w:ascii="Verdana" w:hAnsi="Verdana"/>
                <w:sz w:val="16"/>
                <w:szCs w:val="16"/>
              </w:rPr>
            </w:pPr>
            <w:r w:rsidRPr="00F01347">
              <w:rPr>
                <w:rFonts w:ascii="Verdana" w:hAnsi="Verdana"/>
                <w:sz w:val="16"/>
                <w:szCs w:val="16"/>
              </w:rPr>
              <w:t>Los cianatos pueden ser encontrados en ciertos efluentes industriales, estos pueden hidrolizarse en cierta medida incluso a pH 9.5 por lo que se puede realizar una destilación para eliminar esta interferencia.</w:t>
            </w:r>
          </w:p>
        </w:tc>
        <w:tc>
          <w:tcPr>
            <w:tcW w:w="4675" w:type="dxa"/>
          </w:tcPr>
          <w:p w14:paraId="15DFA156" w14:textId="1FECE10D" w:rsidR="007557BF" w:rsidRPr="00F01347" w:rsidRDefault="007557BF" w:rsidP="007557BF">
            <w:pPr>
              <w:pStyle w:val="texto0"/>
              <w:spacing w:line="240" w:lineRule="exact"/>
              <w:ind w:firstLine="0"/>
              <w:rPr>
                <w:rFonts w:ascii="Verdana" w:hAnsi="Verdana"/>
                <w:sz w:val="16"/>
                <w:szCs w:val="16"/>
                <w:lang w:val="en-US"/>
              </w:rPr>
            </w:pPr>
            <w:r w:rsidRPr="00F01347">
              <w:rPr>
                <w:rFonts w:ascii="Verdana" w:hAnsi="Verdana"/>
                <w:sz w:val="16"/>
                <w:szCs w:val="16"/>
                <w:lang w:val="en-US"/>
              </w:rPr>
              <w:t xml:space="preserve">Cyanates can be found in certain industrial </w:t>
            </w:r>
            <w:proofErr w:type="gramStart"/>
            <w:r w:rsidRPr="00F01347">
              <w:rPr>
                <w:rFonts w:ascii="Verdana" w:hAnsi="Verdana"/>
                <w:sz w:val="16"/>
                <w:szCs w:val="16"/>
                <w:lang w:val="en-US"/>
              </w:rPr>
              <w:t>effluents,</w:t>
            </w:r>
            <w:proofErr w:type="gramEnd"/>
            <w:r w:rsidRPr="00F01347">
              <w:rPr>
                <w:rFonts w:ascii="Verdana" w:hAnsi="Verdana"/>
                <w:sz w:val="16"/>
                <w:szCs w:val="16"/>
                <w:lang w:val="en-US"/>
              </w:rPr>
              <w:t xml:space="preserve"> these can be hydrolyzed to some extent even at pH 9.5 so distillation can be performed to eliminate this interference.</w:t>
            </w:r>
          </w:p>
        </w:tc>
      </w:tr>
      <w:tr w:rsidR="007557BF" w:rsidRPr="00F01347" w14:paraId="175C9387" w14:textId="66105126" w:rsidTr="00A5493F">
        <w:tc>
          <w:tcPr>
            <w:tcW w:w="4675" w:type="dxa"/>
          </w:tcPr>
          <w:p w14:paraId="0B7EB7C4" w14:textId="77777777" w:rsidR="007557BF" w:rsidRPr="00F01347" w:rsidRDefault="007557BF" w:rsidP="007557BF">
            <w:pPr>
              <w:pStyle w:val="texto0"/>
              <w:spacing w:line="240" w:lineRule="exact"/>
              <w:ind w:firstLine="0"/>
              <w:rPr>
                <w:rFonts w:ascii="Verdana" w:hAnsi="Verdana"/>
                <w:sz w:val="16"/>
                <w:szCs w:val="16"/>
              </w:rPr>
            </w:pPr>
            <w:r w:rsidRPr="00F01347">
              <w:rPr>
                <w:rFonts w:ascii="Verdana" w:hAnsi="Verdana"/>
                <w:sz w:val="16"/>
                <w:szCs w:val="16"/>
              </w:rPr>
              <w:t xml:space="preserve">El cloro residual debe ser removido mediante un pretratamiento de la muestra con tiosulfato de sodio, sulfito de sodio o bien otro reactivo </w:t>
            </w:r>
            <w:proofErr w:type="spellStart"/>
            <w:r w:rsidRPr="00F01347">
              <w:rPr>
                <w:rFonts w:ascii="Verdana" w:hAnsi="Verdana"/>
                <w:sz w:val="16"/>
                <w:szCs w:val="16"/>
              </w:rPr>
              <w:t>decloronizador</w:t>
            </w:r>
            <w:proofErr w:type="spellEnd"/>
            <w:r w:rsidRPr="00F01347">
              <w:rPr>
                <w:rFonts w:ascii="Verdana" w:hAnsi="Verdana"/>
                <w:sz w:val="16"/>
                <w:szCs w:val="16"/>
              </w:rPr>
              <w:t>.</w:t>
            </w:r>
          </w:p>
        </w:tc>
        <w:tc>
          <w:tcPr>
            <w:tcW w:w="4675" w:type="dxa"/>
          </w:tcPr>
          <w:p w14:paraId="1B060456" w14:textId="326124A6" w:rsidR="007557BF" w:rsidRPr="00F01347" w:rsidRDefault="007557BF" w:rsidP="007557BF">
            <w:pPr>
              <w:pStyle w:val="texto0"/>
              <w:spacing w:line="240" w:lineRule="exact"/>
              <w:ind w:firstLine="0"/>
              <w:rPr>
                <w:rFonts w:ascii="Verdana" w:hAnsi="Verdana"/>
                <w:sz w:val="16"/>
                <w:szCs w:val="16"/>
                <w:lang w:val="en-US"/>
              </w:rPr>
            </w:pPr>
            <w:r w:rsidRPr="00F01347">
              <w:rPr>
                <w:rFonts w:ascii="Verdana" w:hAnsi="Verdana"/>
                <w:sz w:val="16"/>
                <w:szCs w:val="16"/>
                <w:lang w:val="en-US"/>
              </w:rPr>
              <w:t>Residual chlorine must be removed by pretreatment of the sample with sodium thiosulfate, sodium sulfite or another dechlorinating reagent</w:t>
            </w:r>
            <w:r w:rsidR="003E1BA9" w:rsidRPr="00F01347">
              <w:rPr>
                <w:rFonts w:ascii="Verdana" w:hAnsi="Verdana"/>
                <w:sz w:val="16"/>
                <w:szCs w:val="16"/>
                <w:lang w:val="en-US"/>
              </w:rPr>
              <w:t>.</w:t>
            </w:r>
          </w:p>
        </w:tc>
      </w:tr>
      <w:tr w:rsidR="007557BF" w:rsidRPr="00F01347" w14:paraId="365F83F7" w14:textId="360BDE75" w:rsidTr="00A5493F">
        <w:tc>
          <w:tcPr>
            <w:tcW w:w="4675" w:type="dxa"/>
          </w:tcPr>
          <w:p w14:paraId="559453CB" w14:textId="77777777" w:rsidR="007557BF" w:rsidRPr="00F01347" w:rsidRDefault="007557BF" w:rsidP="007557BF">
            <w:pPr>
              <w:pStyle w:val="texto0"/>
              <w:spacing w:line="240" w:lineRule="exact"/>
              <w:ind w:firstLine="0"/>
              <w:rPr>
                <w:rFonts w:ascii="Verdana" w:hAnsi="Verdana"/>
                <w:b/>
                <w:sz w:val="16"/>
                <w:szCs w:val="16"/>
              </w:rPr>
            </w:pPr>
            <w:r w:rsidRPr="00F01347">
              <w:rPr>
                <w:rFonts w:ascii="Verdana" w:hAnsi="Verdana"/>
                <w:b/>
                <w:sz w:val="16"/>
                <w:szCs w:val="16"/>
              </w:rPr>
              <w:t>B.7.4.9 Seguridad y manejo de residuos</w:t>
            </w:r>
          </w:p>
        </w:tc>
        <w:tc>
          <w:tcPr>
            <w:tcW w:w="4675" w:type="dxa"/>
          </w:tcPr>
          <w:p w14:paraId="0061EDF9" w14:textId="6DB1725F" w:rsidR="007557BF" w:rsidRPr="00F01347" w:rsidRDefault="007557BF" w:rsidP="007557BF">
            <w:pPr>
              <w:pStyle w:val="texto0"/>
              <w:spacing w:line="240" w:lineRule="exact"/>
              <w:ind w:firstLine="0"/>
              <w:rPr>
                <w:rFonts w:ascii="Verdana" w:hAnsi="Verdana"/>
                <w:b/>
                <w:sz w:val="16"/>
                <w:szCs w:val="16"/>
                <w:lang w:val="en-US"/>
              </w:rPr>
            </w:pPr>
            <w:r w:rsidRPr="00F01347">
              <w:rPr>
                <w:rFonts w:ascii="Verdana" w:hAnsi="Verdana"/>
                <w:b/>
                <w:sz w:val="16"/>
                <w:szCs w:val="16"/>
                <w:lang w:val="en-US"/>
              </w:rPr>
              <w:t>B.7.4.9 Safety and waste management</w:t>
            </w:r>
          </w:p>
        </w:tc>
      </w:tr>
      <w:tr w:rsidR="007557BF" w:rsidRPr="00F01347" w14:paraId="51A69A89" w14:textId="6635EC54" w:rsidTr="00A5493F">
        <w:tc>
          <w:tcPr>
            <w:tcW w:w="4675" w:type="dxa"/>
          </w:tcPr>
          <w:p w14:paraId="09565FD1" w14:textId="77777777" w:rsidR="007557BF" w:rsidRPr="00F01347" w:rsidRDefault="007557BF" w:rsidP="007557BF">
            <w:pPr>
              <w:pStyle w:val="texto0"/>
              <w:spacing w:line="240" w:lineRule="exact"/>
              <w:ind w:firstLine="0"/>
              <w:rPr>
                <w:rFonts w:ascii="Verdana" w:hAnsi="Verdana"/>
                <w:b/>
                <w:sz w:val="16"/>
                <w:szCs w:val="16"/>
              </w:rPr>
            </w:pPr>
            <w:r w:rsidRPr="00F01347">
              <w:rPr>
                <w:rFonts w:ascii="Verdana" w:hAnsi="Verdana"/>
                <w:b/>
                <w:sz w:val="16"/>
                <w:szCs w:val="16"/>
              </w:rPr>
              <w:t>B.7.4.9.1 Seguridad</w:t>
            </w:r>
          </w:p>
        </w:tc>
        <w:tc>
          <w:tcPr>
            <w:tcW w:w="4675" w:type="dxa"/>
          </w:tcPr>
          <w:p w14:paraId="3DB84BD3" w14:textId="4B7D8B4A" w:rsidR="007557BF" w:rsidRPr="00F01347" w:rsidRDefault="007557BF" w:rsidP="007557BF">
            <w:pPr>
              <w:pStyle w:val="texto0"/>
              <w:spacing w:line="240" w:lineRule="exact"/>
              <w:ind w:firstLine="0"/>
              <w:rPr>
                <w:rFonts w:ascii="Verdana" w:hAnsi="Verdana"/>
                <w:b/>
                <w:sz w:val="16"/>
                <w:szCs w:val="16"/>
                <w:lang w:val="en-US"/>
              </w:rPr>
            </w:pPr>
            <w:r w:rsidRPr="00F01347">
              <w:rPr>
                <w:rFonts w:ascii="Verdana" w:hAnsi="Verdana"/>
                <w:b/>
                <w:sz w:val="16"/>
                <w:szCs w:val="16"/>
                <w:lang w:val="en-US"/>
              </w:rPr>
              <w:t>B.7.4.9.1 Security</w:t>
            </w:r>
          </w:p>
        </w:tc>
      </w:tr>
      <w:tr w:rsidR="007557BF" w:rsidRPr="00F01347" w14:paraId="6AB2CA48" w14:textId="29A1C68B" w:rsidTr="00A5493F">
        <w:tc>
          <w:tcPr>
            <w:tcW w:w="4675" w:type="dxa"/>
          </w:tcPr>
          <w:p w14:paraId="7F8349CA" w14:textId="123817F2" w:rsidR="007557BF" w:rsidRPr="00F01347" w:rsidRDefault="007557BF" w:rsidP="007557BF">
            <w:pPr>
              <w:pStyle w:val="texto0"/>
              <w:spacing w:line="240" w:lineRule="exact"/>
              <w:ind w:firstLine="0"/>
              <w:rPr>
                <w:rFonts w:ascii="Verdana" w:hAnsi="Verdana"/>
                <w:sz w:val="16"/>
                <w:szCs w:val="16"/>
              </w:rPr>
            </w:pPr>
            <w:r w:rsidRPr="00F01347">
              <w:rPr>
                <w:rFonts w:ascii="Verdana" w:hAnsi="Verdana"/>
                <w:sz w:val="16"/>
                <w:szCs w:val="16"/>
              </w:rPr>
              <w:lastRenderedPageBreak/>
              <w:t xml:space="preserve">Cada reactivo utilizado en estos procedimientos debe ser tratado como un riesgo potencial para la salud y la exposición a estos materiales debe ser minimizada. Cada laboratorio es responsable de mantener un conocimiento de las regulaciones respecto a la manipulación segura de cualquier producto químico usado en este método. Debe ponerse a disposición de todo el personal involucrado en el análisis las hojas de datos de seguridad de los productos químicos. Debe de utilizarse equipo de protección personal apropiado para el manejo de muestras y estándares. Los estándares primarios deberán prepararse en una campana. Cuando el analista maneje altas concentraciones de compuestos tóxicos deberá utilizarse un </w:t>
            </w:r>
            <w:r w:rsidR="00A5493F" w:rsidRPr="00F01347">
              <w:rPr>
                <w:rFonts w:ascii="Verdana" w:hAnsi="Verdana"/>
                <w:sz w:val="16"/>
                <w:szCs w:val="16"/>
              </w:rPr>
              <w:t>respirador de</w:t>
            </w:r>
            <w:r w:rsidRPr="00F01347">
              <w:rPr>
                <w:rFonts w:ascii="Verdana" w:hAnsi="Verdana"/>
                <w:sz w:val="16"/>
                <w:szCs w:val="16"/>
              </w:rPr>
              <w:t xml:space="preserve"> gases tóxicos.</w:t>
            </w:r>
          </w:p>
        </w:tc>
        <w:tc>
          <w:tcPr>
            <w:tcW w:w="4675" w:type="dxa"/>
          </w:tcPr>
          <w:p w14:paraId="3E4A78F8" w14:textId="0A42D765" w:rsidR="007557BF" w:rsidRPr="00F01347" w:rsidRDefault="007557BF" w:rsidP="007557BF">
            <w:pPr>
              <w:pStyle w:val="texto0"/>
              <w:spacing w:line="240" w:lineRule="exact"/>
              <w:ind w:firstLine="0"/>
              <w:rPr>
                <w:rFonts w:ascii="Verdana" w:hAnsi="Verdana"/>
                <w:sz w:val="16"/>
                <w:szCs w:val="16"/>
                <w:lang w:val="en-US"/>
              </w:rPr>
            </w:pPr>
            <w:r w:rsidRPr="00F01347">
              <w:rPr>
                <w:rFonts w:ascii="Verdana" w:hAnsi="Verdana"/>
                <w:sz w:val="16"/>
                <w:szCs w:val="16"/>
                <w:lang w:val="en-US"/>
              </w:rPr>
              <w:t xml:space="preserve">Each reagent used in these procedures should be treated as a potential health risk and exposure to these materials should be minimized. Each laboratory is responsible for maintaining an understanding of the regulations regarding the safe handling of any chemicals used in this method. Chemical </w:t>
            </w:r>
            <w:r w:rsidR="00FE21E4" w:rsidRPr="00F01347">
              <w:rPr>
                <w:rFonts w:ascii="Verdana" w:hAnsi="Verdana"/>
                <w:sz w:val="16"/>
                <w:szCs w:val="16"/>
                <w:lang w:val="en-US"/>
              </w:rPr>
              <w:t>Safety Data Sheets</w:t>
            </w:r>
            <w:r w:rsidRPr="00F01347">
              <w:rPr>
                <w:rFonts w:ascii="Verdana" w:hAnsi="Verdana"/>
                <w:sz w:val="16"/>
                <w:szCs w:val="16"/>
                <w:lang w:val="en-US"/>
              </w:rPr>
              <w:t xml:space="preserve"> should be made available to all personnel involved in the analysis. Appropriate personal protective equipment must be used when handling samples and standards. Primary standards should be prepared in a hood. When the analyst handles high concentrations of toxic compounds, a toxic gas respirator must be used</w:t>
            </w:r>
            <w:r w:rsidR="003E1BA9" w:rsidRPr="00F01347">
              <w:rPr>
                <w:rFonts w:ascii="Verdana" w:hAnsi="Verdana"/>
                <w:sz w:val="16"/>
                <w:szCs w:val="16"/>
                <w:lang w:val="en-US"/>
              </w:rPr>
              <w:t>.</w:t>
            </w:r>
          </w:p>
        </w:tc>
      </w:tr>
      <w:tr w:rsidR="007557BF" w:rsidRPr="00F01347" w14:paraId="769992F4" w14:textId="25F39993" w:rsidTr="00A5493F">
        <w:tc>
          <w:tcPr>
            <w:tcW w:w="4675" w:type="dxa"/>
          </w:tcPr>
          <w:p w14:paraId="68072EC1" w14:textId="77777777" w:rsidR="007557BF" w:rsidRPr="00F01347" w:rsidRDefault="007557BF" w:rsidP="007557BF">
            <w:pPr>
              <w:pStyle w:val="texto0"/>
              <w:spacing w:line="240" w:lineRule="exact"/>
              <w:ind w:firstLine="0"/>
              <w:rPr>
                <w:rFonts w:ascii="Verdana" w:hAnsi="Verdana"/>
                <w:sz w:val="16"/>
                <w:szCs w:val="16"/>
              </w:rPr>
            </w:pPr>
            <w:r w:rsidRPr="00F01347">
              <w:rPr>
                <w:rFonts w:ascii="Verdana" w:hAnsi="Verdana"/>
                <w:sz w:val="16"/>
                <w:szCs w:val="16"/>
              </w:rPr>
              <w:t>Las muestras desconocidas pueden ser peligrosas. Manéjelas siempre con precaución extrema. Cuando trabaje con muestras desconocidas o con los reactivos empleados en este método use siempre el equipo de seguridad adecuado como bata de trabajo, lentes de seguridad y guantes apropiados.</w:t>
            </w:r>
          </w:p>
        </w:tc>
        <w:tc>
          <w:tcPr>
            <w:tcW w:w="4675" w:type="dxa"/>
          </w:tcPr>
          <w:p w14:paraId="0D5774BF" w14:textId="2C720972" w:rsidR="007557BF" w:rsidRPr="00F01347" w:rsidRDefault="007557BF" w:rsidP="007557BF">
            <w:pPr>
              <w:pStyle w:val="texto0"/>
              <w:spacing w:line="240" w:lineRule="exact"/>
              <w:ind w:firstLine="0"/>
              <w:rPr>
                <w:rFonts w:ascii="Verdana" w:hAnsi="Verdana"/>
                <w:sz w:val="16"/>
                <w:szCs w:val="16"/>
                <w:lang w:val="en-US"/>
              </w:rPr>
            </w:pPr>
            <w:r w:rsidRPr="00F01347">
              <w:rPr>
                <w:rFonts w:ascii="Verdana" w:hAnsi="Verdana"/>
                <w:sz w:val="16"/>
                <w:szCs w:val="16"/>
                <w:lang w:val="en-US"/>
              </w:rPr>
              <w:t>Unknown samples can be dangerous. Always handle them with extreme caution. When working with unknown samples or with the reagents used in this method, always use appropriate safety equipment such as a work gown, safety glasses, and appropriate gloves.</w:t>
            </w:r>
          </w:p>
        </w:tc>
      </w:tr>
      <w:tr w:rsidR="007557BF" w:rsidRPr="00F01347" w14:paraId="4256FFF6" w14:textId="0866B6D6" w:rsidTr="00A5493F">
        <w:tc>
          <w:tcPr>
            <w:tcW w:w="4675" w:type="dxa"/>
          </w:tcPr>
          <w:p w14:paraId="7CA7899B" w14:textId="77777777" w:rsidR="007557BF" w:rsidRPr="00F01347" w:rsidRDefault="007557BF" w:rsidP="007557BF">
            <w:pPr>
              <w:pStyle w:val="texto0"/>
              <w:spacing w:line="231" w:lineRule="exact"/>
              <w:ind w:firstLine="0"/>
              <w:rPr>
                <w:rFonts w:ascii="Verdana" w:hAnsi="Verdana"/>
                <w:b/>
                <w:sz w:val="16"/>
                <w:szCs w:val="16"/>
              </w:rPr>
            </w:pPr>
            <w:r w:rsidRPr="00F01347">
              <w:rPr>
                <w:rFonts w:ascii="Verdana" w:hAnsi="Verdana"/>
                <w:b/>
                <w:sz w:val="16"/>
                <w:szCs w:val="16"/>
              </w:rPr>
              <w:t>B.7.4.9.2 Manejo de residuos</w:t>
            </w:r>
          </w:p>
        </w:tc>
        <w:tc>
          <w:tcPr>
            <w:tcW w:w="4675" w:type="dxa"/>
          </w:tcPr>
          <w:p w14:paraId="6780D5CE" w14:textId="2DE134DB" w:rsidR="007557BF" w:rsidRPr="00F01347" w:rsidRDefault="007557BF" w:rsidP="007557BF">
            <w:pPr>
              <w:pStyle w:val="texto0"/>
              <w:spacing w:line="231" w:lineRule="exact"/>
              <w:ind w:firstLine="0"/>
              <w:rPr>
                <w:rFonts w:ascii="Verdana" w:hAnsi="Verdana"/>
                <w:b/>
                <w:sz w:val="16"/>
                <w:szCs w:val="16"/>
                <w:lang w:val="en-US"/>
              </w:rPr>
            </w:pPr>
            <w:r w:rsidRPr="00F01347">
              <w:rPr>
                <w:rFonts w:ascii="Verdana" w:hAnsi="Verdana"/>
                <w:b/>
                <w:sz w:val="16"/>
                <w:szCs w:val="16"/>
                <w:lang w:val="en-US"/>
              </w:rPr>
              <w:t>B.7.4.9.2 Waste management</w:t>
            </w:r>
          </w:p>
        </w:tc>
      </w:tr>
      <w:tr w:rsidR="007557BF" w:rsidRPr="00F01347" w14:paraId="6E2D3CF1" w14:textId="26015767" w:rsidTr="00A5493F">
        <w:tc>
          <w:tcPr>
            <w:tcW w:w="4675" w:type="dxa"/>
          </w:tcPr>
          <w:p w14:paraId="1EA65590" w14:textId="77777777" w:rsidR="007557BF" w:rsidRPr="00F01347" w:rsidRDefault="007557BF" w:rsidP="007557BF">
            <w:pPr>
              <w:pStyle w:val="texto0"/>
              <w:spacing w:line="231" w:lineRule="exact"/>
              <w:ind w:firstLine="0"/>
              <w:rPr>
                <w:rFonts w:ascii="Verdana" w:hAnsi="Verdana"/>
                <w:sz w:val="16"/>
                <w:szCs w:val="16"/>
              </w:rPr>
            </w:pPr>
            <w:r w:rsidRPr="00F01347">
              <w:rPr>
                <w:rFonts w:ascii="Verdana" w:hAnsi="Verdana"/>
                <w:sz w:val="16"/>
                <w:szCs w:val="16"/>
              </w:rPr>
              <w:t>Es la responsabilidad del laboratorio cumplir con todos los reglamentos federales, estatales, locales y demás disposiciones aplicables referentes al manejo de residuos, particularmente las reglas de identificación, almacenamiento y disposición de residuos peligrosos.</w:t>
            </w:r>
          </w:p>
        </w:tc>
        <w:tc>
          <w:tcPr>
            <w:tcW w:w="4675" w:type="dxa"/>
          </w:tcPr>
          <w:p w14:paraId="1C82C05E" w14:textId="7F981163" w:rsidR="007557BF" w:rsidRPr="00F01347" w:rsidRDefault="007557BF" w:rsidP="007557BF">
            <w:pPr>
              <w:pStyle w:val="texto0"/>
              <w:spacing w:line="231" w:lineRule="exact"/>
              <w:ind w:firstLine="0"/>
              <w:rPr>
                <w:rFonts w:ascii="Verdana" w:hAnsi="Verdana"/>
                <w:sz w:val="16"/>
                <w:szCs w:val="16"/>
                <w:lang w:val="en-US"/>
              </w:rPr>
            </w:pPr>
            <w:r w:rsidRPr="00F01347">
              <w:rPr>
                <w:rFonts w:ascii="Verdana" w:hAnsi="Verdana"/>
                <w:sz w:val="16"/>
                <w:szCs w:val="16"/>
                <w:lang w:val="en-US"/>
              </w:rPr>
              <w:t xml:space="preserve">It is the responsibility of the laboratory to comply with all federal, state, local </w:t>
            </w:r>
            <w:r w:rsidR="00A5493F" w:rsidRPr="00F01347">
              <w:rPr>
                <w:rFonts w:ascii="Verdana" w:hAnsi="Verdana"/>
                <w:sz w:val="16"/>
                <w:szCs w:val="16"/>
                <w:lang w:val="en-US"/>
              </w:rPr>
              <w:t>regulations,</w:t>
            </w:r>
            <w:r w:rsidRPr="00F01347">
              <w:rPr>
                <w:rFonts w:ascii="Verdana" w:hAnsi="Verdana"/>
                <w:sz w:val="16"/>
                <w:szCs w:val="16"/>
                <w:lang w:val="en-US"/>
              </w:rPr>
              <w:t xml:space="preserve"> and other applicable provisions regarding waste management, particularly the rules for the identification, </w:t>
            </w:r>
            <w:proofErr w:type="gramStart"/>
            <w:r w:rsidRPr="00F01347">
              <w:rPr>
                <w:rFonts w:ascii="Verdana" w:hAnsi="Verdana"/>
                <w:sz w:val="16"/>
                <w:szCs w:val="16"/>
                <w:lang w:val="en-US"/>
              </w:rPr>
              <w:t>storage</w:t>
            </w:r>
            <w:proofErr w:type="gramEnd"/>
            <w:r w:rsidRPr="00F01347">
              <w:rPr>
                <w:rFonts w:ascii="Verdana" w:hAnsi="Verdana"/>
                <w:sz w:val="16"/>
                <w:szCs w:val="16"/>
                <w:lang w:val="en-US"/>
              </w:rPr>
              <w:t xml:space="preserve"> and disposal of hazardous waste.</w:t>
            </w:r>
          </w:p>
        </w:tc>
      </w:tr>
      <w:tr w:rsidR="007557BF" w:rsidRPr="00F01347" w14:paraId="6F19FA23" w14:textId="35AB2FC4" w:rsidTr="00A5493F">
        <w:tc>
          <w:tcPr>
            <w:tcW w:w="4675" w:type="dxa"/>
          </w:tcPr>
          <w:p w14:paraId="5887DC44" w14:textId="77777777" w:rsidR="007557BF" w:rsidRPr="00F01347" w:rsidRDefault="007557BF" w:rsidP="007557BF">
            <w:pPr>
              <w:pStyle w:val="texto0"/>
              <w:spacing w:line="231" w:lineRule="exact"/>
              <w:ind w:firstLine="0"/>
              <w:rPr>
                <w:rFonts w:ascii="Verdana" w:hAnsi="Verdana"/>
                <w:b/>
                <w:sz w:val="16"/>
                <w:szCs w:val="16"/>
                <w:lang w:val="en-US"/>
              </w:rPr>
            </w:pPr>
            <w:r w:rsidRPr="00F01347">
              <w:rPr>
                <w:rFonts w:ascii="Verdana" w:hAnsi="Verdana"/>
                <w:b/>
                <w:sz w:val="16"/>
                <w:szCs w:val="16"/>
                <w:lang w:val="en-US"/>
              </w:rPr>
              <w:t xml:space="preserve">B.7.4.10 </w:t>
            </w:r>
            <w:proofErr w:type="spellStart"/>
            <w:r w:rsidRPr="00F01347">
              <w:rPr>
                <w:rFonts w:ascii="Verdana" w:hAnsi="Verdana"/>
                <w:b/>
                <w:sz w:val="16"/>
                <w:szCs w:val="16"/>
                <w:lang w:val="en-US"/>
              </w:rPr>
              <w:t>Referencias</w:t>
            </w:r>
            <w:proofErr w:type="spellEnd"/>
          </w:p>
        </w:tc>
        <w:tc>
          <w:tcPr>
            <w:tcW w:w="4675" w:type="dxa"/>
          </w:tcPr>
          <w:p w14:paraId="03543CD6" w14:textId="52ECE009" w:rsidR="007557BF" w:rsidRPr="00F01347" w:rsidRDefault="007557BF" w:rsidP="007557BF">
            <w:pPr>
              <w:pStyle w:val="texto0"/>
              <w:spacing w:line="231" w:lineRule="exact"/>
              <w:ind w:firstLine="0"/>
              <w:rPr>
                <w:rFonts w:ascii="Verdana" w:hAnsi="Verdana"/>
                <w:b/>
                <w:sz w:val="16"/>
                <w:szCs w:val="16"/>
                <w:lang w:val="en-US"/>
              </w:rPr>
            </w:pPr>
            <w:r w:rsidRPr="00F01347">
              <w:rPr>
                <w:rFonts w:ascii="Verdana" w:hAnsi="Verdana"/>
                <w:b/>
                <w:sz w:val="16"/>
                <w:szCs w:val="16"/>
                <w:lang w:val="en-US"/>
              </w:rPr>
              <w:t>B.7.4.10 References</w:t>
            </w:r>
          </w:p>
        </w:tc>
      </w:tr>
      <w:tr w:rsidR="007557BF" w:rsidRPr="00F01347" w14:paraId="122499EA" w14:textId="55C8CDA8" w:rsidTr="00A5493F">
        <w:tc>
          <w:tcPr>
            <w:tcW w:w="4675" w:type="dxa"/>
          </w:tcPr>
          <w:p w14:paraId="529DFDF6" w14:textId="77777777" w:rsidR="007557BF" w:rsidRPr="00F01347" w:rsidRDefault="007557BF" w:rsidP="007557BF">
            <w:pPr>
              <w:pStyle w:val="texto0"/>
              <w:spacing w:line="231" w:lineRule="exact"/>
              <w:ind w:firstLine="0"/>
              <w:rPr>
                <w:rFonts w:ascii="Verdana" w:hAnsi="Verdana"/>
                <w:sz w:val="16"/>
                <w:szCs w:val="16"/>
              </w:rPr>
            </w:pPr>
            <w:r w:rsidRPr="00F01347">
              <w:rPr>
                <w:rFonts w:ascii="Verdana" w:hAnsi="Verdana"/>
                <w:sz w:val="16"/>
                <w:szCs w:val="16"/>
                <w:lang w:val="en-US"/>
              </w:rPr>
              <w:t xml:space="preserve">EPA Method 350.1 Determination of ammonia nitrogen by semi-automated colorimetry. </w:t>
            </w:r>
            <w:r w:rsidRPr="00F01347">
              <w:rPr>
                <w:rFonts w:ascii="Verdana" w:hAnsi="Verdana"/>
                <w:sz w:val="16"/>
                <w:szCs w:val="16"/>
              </w:rPr>
              <w:t xml:space="preserve">U.S. </w:t>
            </w:r>
            <w:proofErr w:type="spellStart"/>
            <w:r w:rsidRPr="00F01347">
              <w:rPr>
                <w:rFonts w:ascii="Verdana" w:hAnsi="Verdana"/>
                <w:sz w:val="16"/>
                <w:szCs w:val="16"/>
              </w:rPr>
              <w:t>Environmental</w:t>
            </w:r>
            <w:proofErr w:type="spellEnd"/>
            <w:r w:rsidRPr="00F01347">
              <w:rPr>
                <w:rFonts w:ascii="Verdana" w:hAnsi="Verdana"/>
                <w:sz w:val="16"/>
                <w:szCs w:val="16"/>
              </w:rPr>
              <w:t xml:space="preserve"> </w:t>
            </w:r>
            <w:proofErr w:type="spellStart"/>
            <w:r w:rsidRPr="00F01347">
              <w:rPr>
                <w:rFonts w:ascii="Verdana" w:hAnsi="Verdana"/>
                <w:sz w:val="16"/>
                <w:szCs w:val="16"/>
              </w:rPr>
              <w:t>Protection</w:t>
            </w:r>
            <w:proofErr w:type="spellEnd"/>
            <w:r w:rsidRPr="00F01347">
              <w:rPr>
                <w:rFonts w:ascii="Verdana" w:hAnsi="Verdana"/>
                <w:sz w:val="16"/>
                <w:szCs w:val="16"/>
              </w:rPr>
              <w:t xml:space="preserve"> Agency, </w:t>
            </w:r>
            <w:proofErr w:type="spellStart"/>
            <w:r w:rsidRPr="00F01347">
              <w:rPr>
                <w:rFonts w:ascii="Verdana" w:hAnsi="Verdana"/>
                <w:sz w:val="16"/>
                <w:szCs w:val="16"/>
              </w:rPr>
              <w:t>Environmental</w:t>
            </w:r>
            <w:proofErr w:type="spellEnd"/>
            <w:r w:rsidRPr="00F01347">
              <w:rPr>
                <w:rFonts w:ascii="Verdana" w:hAnsi="Verdana"/>
                <w:sz w:val="16"/>
                <w:szCs w:val="16"/>
              </w:rPr>
              <w:t xml:space="preserve"> </w:t>
            </w:r>
            <w:proofErr w:type="spellStart"/>
            <w:r w:rsidRPr="00F01347">
              <w:rPr>
                <w:rFonts w:ascii="Verdana" w:hAnsi="Verdana"/>
                <w:sz w:val="16"/>
                <w:szCs w:val="16"/>
              </w:rPr>
              <w:t>Monitoring</w:t>
            </w:r>
            <w:proofErr w:type="spellEnd"/>
            <w:r w:rsidRPr="00F01347">
              <w:rPr>
                <w:rFonts w:ascii="Verdana" w:hAnsi="Verdana"/>
                <w:sz w:val="16"/>
                <w:szCs w:val="16"/>
              </w:rPr>
              <w:t xml:space="preserve"> </w:t>
            </w:r>
            <w:proofErr w:type="spellStart"/>
            <w:r w:rsidRPr="00F01347">
              <w:rPr>
                <w:rFonts w:ascii="Verdana" w:hAnsi="Verdana"/>
                <w:sz w:val="16"/>
                <w:szCs w:val="16"/>
              </w:rPr>
              <w:t>Systems</w:t>
            </w:r>
            <w:proofErr w:type="spellEnd"/>
            <w:r w:rsidRPr="00F01347">
              <w:rPr>
                <w:rFonts w:ascii="Verdana" w:hAnsi="Verdana"/>
                <w:sz w:val="16"/>
                <w:szCs w:val="16"/>
              </w:rPr>
              <w:t xml:space="preserve"> </w:t>
            </w:r>
            <w:proofErr w:type="spellStart"/>
            <w:r w:rsidRPr="00F01347">
              <w:rPr>
                <w:rFonts w:ascii="Verdana" w:hAnsi="Verdana"/>
                <w:sz w:val="16"/>
                <w:szCs w:val="16"/>
              </w:rPr>
              <w:t>Laboratory</w:t>
            </w:r>
            <w:proofErr w:type="spellEnd"/>
            <w:r w:rsidRPr="00F01347">
              <w:rPr>
                <w:rFonts w:ascii="Verdana" w:hAnsi="Verdana"/>
                <w:sz w:val="16"/>
                <w:szCs w:val="16"/>
              </w:rPr>
              <w:t>, 1993.</w:t>
            </w:r>
          </w:p>
        </w:tc>
        <w:tc>
          <w:tcPr>
            <w:tcW w:w="4675" w:type="dxa"/>
          </w:tcPr>
          <w:p w14:paraId="13868112" w14:textId="7AFE6A93" w:rsidR="007557BF" w:rsidRPr="00F01347" w:rsidRDefault="007557BF" w:rsidP="007557BF">
            <w:pPr>
              <w:pStyle w:val="texto0"/>
              <w:spacing w:line="231" w:lineRule="exact"/>
              <w:ind w:firstLine="0"/>
              <w:rPr>
                <w:rFonts w:ascii="Verdana" w:hAnsi="Verdana"/>
                <w:sz w:val="16"/>
                <w:szCs w:val="16"/>
                <w:lang w:val="en-US"/>
              </w:rPr>
            </w:pPr>
            <w:r w:rsidRPr="00F01347">
              <w:rPr>
                <w:rFonts w:ascii="Verdana" w:hAnsi="Verdana"/>
                <w:sz w:val="16"/>
                <w:szCs w:val="16"/>
                <w:lang w:val="en-US"/>
              </w:rPr>
              <w:t>EPA Method 350.1 Determination of ammonia nitrogen by semi-automated colorimetry. US Environmental Protection Agency, Environmental Monitoring Systems Laboratory</w:t>
            </w:r>
            <w:r w:rsidR="003E1BA9" w:rsidRPr="00F01347">
              <w:rPr>
                <w:rFonts w:ascii="Verdana" w:hAnsi="Verdana"/>
                <w:sz w:val="16"/>
                <w:szCs w:val="16"/>
                <w:lang w:val="en-US"/>
              </w:rPr>
              <w:t>,</w:t>
            </w:r>
            <w:r w:rsidRPr="00F01347">
              <w:rPr>
                <w:rFonts w:ascii="Verdana" w:hAnsi="Verdana"/>
                <w:sz w:val="16"/>
                <w:szCs w:val="16"/>
                <w:lang w:val="en-US"/>
              </w:rPr>
              <w:t xml:space="preserve"> 1993.</w:t>
            </w:r>
          </w:p>
        </w:tc>
      </w:tr>
      <w:tr w:rsidR="007557BF" w:rsidRPr="00F01347" w14:paraId="004DB8AD" w14:textId="5945F633" w:rsidTr="00A5493F">
        <w:tc>
          <w:tcPr>
            <w:tcW w:w="4675" w:type="dxa"/>
          </w:tcPr>
          <w:p w14:paraId="21316DCB" w14:textId="2CD6409A" w:rsidR="007557BF" w:rsidRPr="00F01347" w:rsidRDefault="007557BF" w:rsidP="007557BF">
            <w:pPr>
              <w:pStyle w:val="texto0"/>
              <w:spacing w:line="231" w:lineRule="exact"/>
              <w:ind w:firstLine="0"/>
              <w:jc w:val="center"/>
              <w:rPr>
                <w:rFonts w:ascii="Verdana" w:hAnsi="Verdana"/>
                <w:b/>
                <w:sz w:val="16"/>
                <w:szCs w:val="16"/>
              </w:rPr>
            </w:pPr>
            <w:r w:rsidRPr="00F01347">
              <w:rPr>
                <w:rFonts w:ascii="Verdana" w:hAnsi="Verdana"/>
                <w:b/>
                <w:sz w:val="16"/>
                <w:szCs w:val="16"/>
              </w:rPr>
              <w:t xml:space="preserve">B.7.5 MÉTODO PARA LA DESTILACIÓN PRELIMINAR DE MUESTRAS DE AGUA PARA USO Y CONSUMO HUMANO EN LAS QUE SE DETERMINARÁ NITRÓGENO AMONIACAL POR EL MÉTODO DE PRUEBA POR TITULACIÓN </w:t>
            </w:r>
            <w:r w:rsidR="00CB209C" w:rsidRPr="00F01347">
              <w:rPr>
                <w:rFonts w:ascii="Verdana" w:hAnsi="Verdana"/>
                <w:b/>
                <w:sz w:val="16"/>
                <w:szCs w:val="16"/>
              </w:rPr>
              <w:t>(</w:t>
            </w:r>
            <w:r w:rsidRPr="00F01347">
              <w:rPr>
                <w:rFonts w:ascii="Verdana" w:hAnsi="Verdana"/>
                <w:b/>
                <w:sz w:val="16"/>
                <w:szCs w:val="16"/>
              </w:rPr>
              <w:t>PUNTO B.7.1</w:t>
            </w:r>
            <w:r w:rsidRPr="00F01347">
              <w:rPr>
                <w:rFonts w:ascii="Verdana" w:hAnsi="Verdana"/>
                <w:sz w:val="16"/>
                <w:szCs w:val="16"/>
              </w:rPr>
              <w:t xml:space="preserve">, </w:t>
            </w:r>
            <w:r w:rsidRPr="00F01347">
              <w:rPr>
                <w:rFonts w:ascii="Verdana" w:hAnsi="Verdana"/>
                <w:b/>
                <w:sz w:val="16"/>
                <w:szCs w:val="16"/>
              </w:rPr>
              <w:t>DE ESTE APÉNDICE), POR EL MÉTODO POR ELECTRODO SELECTIVO DE AMONÍACO (PUNTO B.7.2, DE ESTE APÉNDICE) O POR EL MÉTODO CON FENATO (PUNTO B.7.3, DE ESTE APÉNDICE)</w:t>
            </w:r>
          </w:p>
        </w:tc>
        <w:tc>
          <w:tcPr>
            <w:tcW w:w="4675" w:type="dxa"/>
          </w:tcPr>
          <w:p w14:paraId="6C02E2A8" w14:textId="3C8D806F" w:rsidR="007557BF" w:rsidRPr="00F01347" w:rsidRDefault="007557BF" w:rsidP="007557BF">
            <w:pPr>
              <w:pStyle w:val="texto0"/>
              <w:spacing w:line="231" w:lineRule="exact"/>
              <w:ind w:firstLine="0"/>
              <w:jc w:val="center"/>
              <w:rPr>
                <w:rFonts w:ascii="Verdana" w:hAnsi="Verdana"/>
                <w:b/>
                <w:sz w:val="16"/>
                <w:szCs w:val="16"/>
                <w:lang w:val="en-US"/>
              </w:rPr>
            </w:pPr>
            <w:r w:rsidRPr="00F01347">
              <w:rPr>
                <w:rFonts w:ascii="Verdana" w:hAnsi="Verdana"/>
                <w:b/>
                <w:sz w:val="16"/>
                <w:szCs w:val="16"/>
                <w:lang w:val="en-US"/>
              </w:rPr>
              <w:t xml:space="preserve">B.7.5 METHOD FOR PRELIMINARY DISTILLATION OF WATER SAMPLES FOR HUMAN USE AND CONSUMPTION IN WHICH AMMONIA NITROGEN WILL BE DETERMINED BY THE TITLE TEST METHOD (POINT B.7.1, OF THIS </w:t>
            </w:r>
            <w:r w:rsidRPr="00F01347">
              <w:rPr>
                <w:rFonts w:ascii="Verdana" w:hAnsi="Verdana"/>
                <w:sz w:val="16"/>
                <w:szCs w:val="16"/>
                <w:lang w:val="en-US"/>
              </w:rPr>
              <w:t>APPENDIX</w:t>
            </w:r>
            <w:r w:rsidR="00913802" w:rsidRPr="00F01347">
              <w:rPr>
                <w:rFonts w:ascii="Verdana" w:hAnsi="Verdana"/>
                <w:sz w:val="16"/>
                <w:szCs w:val="16"/>
                <w:lang w:val="en-US"/>
              </w:rPr>
              <w:t>)</w:t>
            </w:r>
            <w:r w:rsidRPr="00F01347">
              <w:rPr>
                <w:rFonts w:ascii="Verdana" w:hAnsi="Verdana"/>
                <w:b/>
                <w:sz w:val="16"/>
                <w:szCs w:val="16"/>
                <w:lang w:val="en-US"/>
              </w:rPr>
              <w:t>, BY THE SELECTIVE AMMONIA ELECTRODE METHOD (POINT B.7.2, OF THIS APPENDIX) OR BY THE PHENATE METHOD (POINT B.7.3, OF THIS APPENDIX)</w:t>
            </w:r>
          </w:p>
        </w:tc>
      </w:tr>
      <w:tr w:rsidR="007557BF" w:rsidRPr="00F01347" w14:paraId="1909C1FA" w14:textId="4CEF0A36" w:rsidTr="00A5493F">
        <w:tc>
          <w:tcPr>
            <w:tcW w:w="4675" w:type="dxa"/>
          </w:tcPr>
          <w:p w14:paraId="40B2739A" w14:textId="77777777" w:rsidR="007557BF" w:rsidRPr="00F01347" w:rsidRDefault="007557BF" w:rsidP="007557BF">
            <w:pPr>
              <w:pStyle w:val="texto0"/>
              <w:spacing w:line="231" w:lineRule="exact"/>
              <w:ind w:firstLine="0"/>
              <w:rPr>
                <w:rFonts w:ascii="Verdana" w:hAnsi="Verdana"/>
                <w:b/>
                <w:sz w:val="16"/>
                <w:szCs w:val="16"/>
              </w:rPr>
            </w:pPr>
            <w:r w:rsidRPr="00F01347">
              <w:rPr>
                <w:rFonts w:ascii="Verdana" w:hAnsi="Verdana"/>
                <w:b/>
                <w:sz w:val="16"/>
                <w:szCs w:val="16"/>
              </w:rPr>
              <w:t>B.7.5.1 Principio</w:t>
            </w:r>
          </w:p>
        </w:tc>
        <w:tc>
          <w:tcPr>
            <w:tcW w:w="4675" w:type="dxa"/>
          </w:tcPr>
          <w:p w14:paraId="09678838" w14:textId="01992870" w:rsidR="007557BF" w:rsidRPr="00F01347" w:rsidRDefault="007557BF" w:rsidP="007557BF">
            <w:pPr>
              <w:pStyle w:val="texto0"/>
              <w:spacing w:line="231" w:lineRule="exact"/>
              <w:ind w:firstLine="0"/>
              <w:rPr>
                <w:rFonts w:ascii="Verdana" w:hAnsi="Verdana"/>
                <w:b/>
                <w:sz w:val="16"/>
                <w:szCs w:val="16"/>
                <w:lang w:val="en-US"/>
              </w:rPr>
            </w:pPr>
            <w:r w:rsidRPr="00F01347">
              <w:rPr>
                <w:rFonts w:ascii="Verdana" w:hAnsi="Verdana"/>
                <w:b/>
                <w:sz w:val="16"/>
                <w:szCs w:val="16"/>
                <w:lang w:val="en-US"/>
              </w:rPr>
              <w:t>B.7.5.1 Principle</w:t>
            </w:r>
          </w:p>
        </w:tc>
      </w:tr>
      <w:tr w:rsidR="007557BF" w:rsidRPr="00F01347" w14:paraId="4A73979E" w14:textId="071E8679" w:rsidTr="00A5493F">
        <w:tc>
          <w:tcPr>
            <w:tcW w:w="4675" w:type="dxa"/>
          </w:tcPr>
          <w:p w14:paraId="26634C51" w14:textId="77777777" w:rsidR="007557BF" w:rsidRPr="00F01347" w:rsidRDefault="007557BF" w:rsidP="007557BF">
            <w:pPr>
              <w:pStyle w:val="texto0"/>
              <w:spacing w:line="231" w:lineRule="exact"/>
              <w:ind w:firstLine="0"/>
              <w:rPr>
                <w:rFonts w:ascii="Verdana" w:hAnsi="Verdana"/>
                <w:sz w:val="16"/>
                <w:szCs w:val="16"/>
              </w:rPr>
            </w:pPr>
            <w:r w:rsidRPr="00F01347">
              <w:rPr>
                <w:rFonts w:ascii="Verdana" w:hAnsi="Verdana"/>
                <w:sz w:val="16"/>
                <w:szCs w:val="16"/>
              </w:rPr>
              <w:t>La muestra es amortiguada en un pH de 9.5 unidades de pH con una disolución amortiguadora de borato para disminuir la hidrolisis de cianatos y compuestos orgánicos nitrogenados. Ésta es destilada dentro de una disolución de ácido bórico cuando se usa el método por titulación es utilizado o en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cuando se usa el método de </w:t>
            </w:r>
            <w:proofErr w:type="spellStart"/>
            <w:r w:rsidRPr="00F01347">
              <w:rPr>
                <w:rFonts w:ascii="Verdana" w:hAnsi="Verdana"/>
                <w:sz w:val="16"/>
                <w:szCs w:val="16"/>
              </w:rPr>
              <w:t>fenato</w:t>
            </w:r>
            <w:proofErr w:type="spellEnd"/>
            <w:r w:rsidRPr="00F01347">
              <w:rPr>
                <w:rFonts w:ascii="Verdana" w:hAnsi="Verdana"/>
                <w:sz w:val="16"/>
                <w:szCs w:val="16"/>
              </w:rPr>
              <w:t>.</w:t>
            </w:r>
          </w:p>
        </w:tc>
        <w:tc>
          <w:tcPr>
            <w:tcW w:w="4675" w:type="dxa"/>
          </w:tcPr>
          <w:p w14:paraId="391992DE" w14:textId="5680AB95" w:rsidR="007557BF" w:rsidRPr="00F01347" w:rsidRDefault="007557BF" w:rsidP="007557BF">
            <w:pPr>
              <w:pStyle w:val="texto0"/>
              <w:spacing w:line="231" w:lineRule="exact"/>
              <w:ind w:firstLine="0"/>
              <w:rPr>
                <w:rFonts w:ascii="Verdana" w:hAnsi="Verdana"/>
                <w:sz w:val="16"/>
                <w:szCs w:val="16"/>
                <w:lang w:val="en-US"/>
              </w:rPr>
            </w:pPr>
            <w:r w:rsidRPr="00F01347">
              <w:rPr>
                <w:rFonts w:ascii="Verdana" w:hAnsi="Verdana"/>
                <w:sz w:val="16"/>
                <w:szCs w:val="16"/>
                <w:lang w:val="en-US"/>
              </w:rPr>
              <w:t>The sample is buffered at a pH of 9.5 pH units with a borate buffer solution to reduce the hydrolysis of cyanates and organic nitrogenous compounds. This is distilled into a solution of boric acid when the titration method is used or in H</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 xml:space="preserve">4 </w:t>
            </w:r>
            <w:r w:rsidRPr="00F01347">
              <w:rPr>
                <w:rFonts w:ascii="Verdana" w:hAnsi="Verdana"/>
                <w:sz w:val="16"/>
                <w:szCs w:val="16"/>
                <w:lang w:val="en-US"/>
              </w:rPr>
              <w:t>when the</w:t>
            </w:r>
            <w:r w:rsidRPr="00F01347">
              <w:rPr>
                <w:rFonts w:ascii="Verdana" w:hAnsi="Verdana"/>
                <w:sz w:val="16"/>
                <w:szCs w:val="16"/>
                <w:vertAlign w:val="subscript"/>
                <w:lang w:val="en-US"/>
              </w:rPr>
              <w:t xml:space="preserve"> </w:t>
            </w:r>
            <w:r w:rsidRPr="00F01347">
              <w:rPr>
                <w:rFonts w:ascii="Verdana" w:hAnsi="Verdana"/>
                <w:sz w:val="16"/>
                <w:szCs w:val="16"/>
                <w:lang w:val="en-US"/>
              </w:rPr>
              <w:t>phenate method is used</w:t>
            </w:r>
            <w:r w:rsidR="003E1BA9" w:rsidRPr="00F01347">
              <w:rPr>
                <w:rFonts w:ascii="Verdana" w:hAnsi="Verdana"/>
                <w:sz w:val="16"/>
                <w:szCs w:val="16"/>
                <w:lang w:val="en-US"/>
              </w:rPr>
              <w:t>.</w:t>
            </w:r>
          </w:p>
        </w:tc>
      </w:tr>
      <w:tr w:rsidR="007557BF" w:rsidRPr="00F01347" w14:paraId="566DFDAB" w14:textId="12410E8B" w:rsidTr="00A5493F">
        <w:tc>
          <w:tcPr>
            <w:tcW w:w="4675" w:type="dxa"/>
          </w:tcPr>
          <w:p w14:paraId="4F8C5A38" w14:textId="77777777" w:rsidR="007557BF" w:rsidRPr="00F01347" w:rsidRDefault="007557BF" w:rsidP="007557BF">
            <w:pPr>
              <w:pStyle w:val="texto0"/>
              <w:spacing w:line="231" w:lineRule="exact"/>
              <w:ind w:firstLine="0"/>
              <w:rPr>
                <w:rFonts w:ascii="Verdana" w:hAnsi="Verdana"/>
                <w:sz w:val="16"/>
                <w:szCs w:val="16"/>
              </w:rPr>
            </w:pPr>
            <w:r w:rsidRPr="00F01347">
              <w:rPr>
                <w:rFonts w:ascii="Verdana" w:hAnsi="Verdana"/>
                <w:sz w:val="16"/>
                <w:szCs w:val="16"/>
              </w:rPr>
              <w:t xml:space="preserve">El amoníaco destilado puede ser determinado tanto colorimétricamente por el método de </w:t>
            </w:r>
            <w:proofErr w:type="spellStart"/>
            <w:r w:rsidRPr="00F01347">
              <w:rPr>
                <w:rFonts w:ascii="Verdana" w:hAnsi="Verdana"/>
                <w:sz w:val="16"/>
                <w:szCs w:val="16"/>
              </w:rPr>
              <w:t>fenato</w:t>
            </w:r>
            <w:proofErr w:type="spellEnd"/>
            <w:r w:rsidRPr="00F01347">
              <w:rPr>
                <w:rFonts w:ascii="Verdana" w:hAnsi="Verdana"/>
                <w:sz w:val="16"/>
                <w:szCs w:val="16"/>
              </w:rPr>
              <w:t xml:space="preserve"> o por </w:t>
            </w:r>
            <w:r w:rsidRPr="00F01347">
              <w:rPr>
                <w:rFonts w:ascii="Verdana" w:hAnsi="Verdana"/>
                <w:sz w:val="16"/>
                <w:szCs w:val="16"/>
              </w:rPr>
              <w:lastRenderedPageBreak/>
              <w:t>titulación con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estandarizado y una mezcla de indicadores o un medidor de pH.</w:t>
            </w:r>
          </w:p>
        </w:tc>
        <w:tc>
          <w:tcPr>
            <w:tcW w:w="4675" w:type="dxa"/>
          </w:tcPr>
          <w:p w14:paraId="64D7937B" w14:textId="6661F550" w:rsidR="007557BF" w:rsidRPr="00F01347" w:rsidRDefault="007557BF" w:rsidP="007557BF">
            <w:pPr>
              <w:pStyle w:val="texto0"/>
              <w:spacing w:line="231" w:lineRule="exact"/>
              <w:ind w:firstLine="0"/>
              <w:rPr>
                <w:rFonts w:ascii="Verdana" w:hAnsi="Verdana"/>
                <w:sz w:val="16"/>
                <w:szCs w:val="16"/>
                <w:lang w:val="en-US"/>
              </w:rPr>
            </w:pPr>
            <w:r w:rsidRPr="00F01347">
              <w:rPr>
                <w:rFonts w:ascii="Verdana" w:hAnsi="Verdana"/>
                <w:sz w:val="16"/>
                <w:szCs w:val="16"/>
                <w:lang w:val="en-US"/>
              </w:rPr>
              <w:lastRenderedPageBreak/>
              <w:t xml:space="preserve">Distilled ammonia can be determined either </w:t>
            </w:r>
            <w:proofErr w:type="spellStart"/>
            <w:r w:rsidRPr="00F01347">
              <w:rPr>
                <w:rFonts w:ascii="Verdana" w:hAnsi="Verdana"/>
                <w:sz w:val="16"/>
                <w:szCs w:val="16"/>
                <w:lang w:val="en-US"/>
              </w:rPr>
              <w:t>colorimetrically</w:t>
            </w:r>
            <w:proofErr w:type="spellEnd"/>
            <w:r w:rsidRPr="00F01347">
              <w:rPr>
                <w:rFonts w:ascii="Verdana" w:hAnsi="Verdana"/>
                <w:sz w:val="16"/>
                <w:szCs w:val="16"/>
                <w:lang w:val="en-US"/>
              </w:rPr>
              <w:t xml:space="preserve"> by the phenate method or by titration </w:t>
            </w:r>
            <w:r w:rsidRPr="00F01347">
              <w:rPr>
                <w:rFonts w:ascii="Verdana" w:hAnsi="Verdana"/>
                <w:sz w:val="16"/>
                <w:szCs w:val="16"/>
                <w:lang w:val="en-US"/>
              </w:rPr>
              <w:lastRenderedPageBreak/>
              <w:t>with standardized H</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 xml:space="preserve">4 </w:t>
            </w:r>
            <w:r w:rsidRPr="00F01347">
              <w:rPr>
                <w:rFonts w:ascii="Verdana" w:hAnsi="Verdana"/>
                <w:sz w:val="16"/>
                <w:szCs w:val="16"/>
                <w:lang w:val="en-US"/>
              </w:rPr>
              <w:t>and a mixture of indicators or a pH meter.</w:t>
            </w:r>
          </w:p>
        </w:tc>
      </w:tr>
      <w:tr w:rsidR="007557BF" w:rsidRPr="00F01347" w14:paraId="040C4919" w14:textId="544CFD13" w:rsidTr="00A5493F">
        <w:tc>
          <w:tcPr>
            <w:tcW w:w="4675" w:type="dxa"/>
          </w:tcPr>
          <w:p w14:paraId="54A97577" w14:textId="77777777" w:rsidR="007557BF" w:rsidRPr="00F01347" w:rsidRDefault="007557BF" w:rsidP="007557BF">
            <w:pPr>
              <w:pStyle w:val="texto0"/>
              <w:spacing w:line="231" w:lineRule="exact"/>
              <w:ind w:firstLine="0"/>
              <w:rPr>
                <w:rFonts w:ascii="Verdana" w:hAnsi="Verdana"/>
                <w:sz w:val="16"/>
                <w:szCs w:val="16"/>
              </w:rPr>
            </w:pPr>
            <w:r w:rsidRPr="00F01347">
              <w:rPr>
                <w:rFonts w:ascii="Verdana" w:hAnsi="Verdana"/>
                <w:sz w:val="16"/>
                <w:szCs w:val="16"/>
              </w:rPr>
              <w:lastRenderedPageBreak/>
              <w:t>La selección entre el método colorimétrico y los métodos de acidimetría depende de la concentración de amoníaco.</w:t>
            </w:r>
          </w:p>
        </w:tc>
        <w:tc>
          <w:tcPr>
            <w:tcW w:w="4675" w:type="dxa"/>
          </w:tcPr>
          <w:p w14:paraId="2895AE53" w14:textId="1943B33A" w:rsidR="007557BF" w:rsidRPr="00F01347" w:rsidRDefault="007557BF" w:rsidP="007557BF">
            <w:pPr>
              <w:pStyle w:val="texto0"/>
              <w:spacing w:line="231" w:lineRule="exact"/>
              <w:ind w:firstLine="0"/>
              <w:rPr>
                <w:rFonts w:ascii="Verdana" w:hAnsi="Verdana"/>
                <w:sz w:val="16"/>
                <w:szCs w:val="16"/>
                <w:lang w:val="en-US"/>
              </w:rPr>
            </w:pPr>
            <w:r w:rsidRPr="00F01347">
              <w:rPr>
                <w:rFonts w:ascii="Verdana" w:hAnsi="Verdana"/>
                <w:sz w:val="16"/>
                <w:szCs w:val="16"/>
                <w:lang w:val="en-US"/>
              </w:rPr>
              <w:t>The selection between the colorimetric method and acidimetry methods depends on the ammonia concentration.</w:t>
            </w:r>
          </w:p>
        </w:tc>
      </w:tr>
      <w:tr w:rsidR="007557BF" w:rsidRPr="00F01347" w14:paraId="1A2FBC7E" w14:textId="7A4D6898" w:rsidTr="00A5493F">
        <w:tc>
          <w:tcPr>
            <w:tcW w:w="4675" w:type="dxa"/>
          </w:tcPr>
          <w:p w14:paraId="665D0904" w14:textId="77777777" w:rsidR="007557BF" w:rsidRPr="00F01347" w:rsidRDefault="007557BF" w:rsidP="007557BF">
            <w:pPr>
              <w:pStyle w:val="texto0"/>
              <w:spacing w:line="231" w:lineRule="exact"/>
              <w:ind w:firstLine="0"/>
              <w:rPr>
                <w:rFonts w:ascii="Verdana" w:hAnsi="Verdana"/>
                <w:sz w:val="16"/>
                <w:szCs w:val="16"/>
              </w:rPr>
            </w:pPr>
            <w:r w:rsidRPr="00F01347">
              <w:rPr>
                <w:rFonts w:ascii="Verdana" w:hAnsi="Verdana"/>
                <w:sz w:val="16"/>
                <w:szCs w:val="16"/>
              </w:rPr>
              <w:t>El amoníaco en el destilado también puede ser determinado por el método de electrodo selectivo de amoníaco usando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0.04 N para atrapar el amoníaco.</w:t>
            </w:r>
          </w:p>
        </w:tc>
        <w:tc>
          <w:tcPr>
            <w:tcW w:w="4675" w:type="dxa"/>
          </w:tcPr>
          <w:p w14:paraId="06B28A54" w14:textId="734CE7CD" w:rsidR="007557BF" w:rsidRPr="00F01347" w:rsidRDefault="007557BF" w:rsidP="007557BF">
            <w:pPr>
              <w:pStyle w:val="texto0"/>
              <w:spacing w:line="231" w:lineRule="exact"/>
              <w:ind w:firstLine="0"/>
              <w:rPr>
                <w:rFonts w:ascii="Verdana" w:hAnsi="Verdana"/>
                <w:sz w:val="16"/>
                <w:szCs w:val="16"/>
                <w:lang w:val="en-US"/>
              </w:rPr>
            </w:pPr>
            <w:r w:rsidRPr="00F01347">
              <w:rPr>
                <w:rFonts w:ascii="Verdana" w:hAnsi="Verdana"/>
                <w:sz w:val="16"/>
                <w:szCs w:val="16"/>
                <w:lang w:val="en-US"/>
              </w:rPr>
              <w:t>The ammonia in the distillate can also be determined by the ammonia-selective electrode method using 0.04 N H</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 xml:space="preserve">4 </w:t>
            </w:r>
            <w:r w:rsidRPr="00F01347">
              <w:rPr>
                <w:rFonts w:ascii="Verdana" w:hAnsi="Verdana"/>
                <w:sz w:val="16"/>
                <w:szCs w:val="16"/>
                <w:lang w:val="en-US"/>
              </w:rPr>
              <w:t>to trap the ammonia.</w:t>
            </w:r>
          </w:p>
        </w:tc>
      </w:tr>
      <w:tr w:rsidR="007557BF" w:rsidRPr="00F01347" w14:paraId="36B7C8A3" w14:textId="4BBB84D0" w:rsidTr="00A5493F">
        <w:tc>
          <w:tcPr>
            <w:tcW w:w="4675" w:type="dxa"/>
          </w:tcPr>
          <w:p w14:paraId="345EDFAD" w14:textId="77777777" w:rsidR="007557BF" w:rsidRPr="00F01347" w:rsidRDefault="007557BF" w:rsidP="007557BF">
            <w:pPr>
              <w:pStyle w:val="texto0"/>
              <w:spacing w:line="231" w:lineRule="exact"/>
              <w:ind w:firstLine="0"/>
              <w:rPr>
                <w:rFonts w:ascii="Verdana" w:hAnsi="Verdana"/>
                <w:b/>
                <w:sz w:val="16"/>
                <w:szCs w:val="16"/>
              </w:rPr>
            </w:pPr>
            <w:r w:rsidRPr="00F01347">
              <w:rPr>
                <w:rFonts w:ascii="Verdana" w:hAnsi="Verdana"/>
                <w:b/>
                <w:sz w:val="16"/>
                <w:szCs w:val="16"/>
              </w:rPr>
              <w:t>B.7.5.2 Equipos y materiales</w:t>
            </w:r>
          </w:p>
        </w:tc>
        <w:tc>
          <w:tcPr>
            <w:tcW w:w="4675" w:type="dxa"/>
          </w:tcPr>
          <w:p w14:paraId="73E2F4FA" w14:textId="002CC795" w:rsidR="007557BF" w:rsidRPr="00F01347" w:rsidRDefault="007557BF" w:rsidP="007557BF">
            <w:pPr>
              <w:pStyle w:val="texto0"/>
              <w:spacing w:line="231" w:lineRule="exact"/>
              <w:ind w:firstLine="0"/>
              <w:rPr>
                <w:rFonts w:ascii="Verdana" w:hAnsi="Verdana"/>
                <w:b/>
                <w:sz w:val="16"/>
                <w:szCs w:val="16"/>
                <w:lang w:val="en-US"/>
              </w:rPr>
            </w:pPr>
            <w:r w:rsidRPr="00F01347">
              <w:rPr>
                <w:rFonts w:ascii="Verdana" w:hAnsi="Verdana"/>
                <w:b/>
                <w:sz w:val="16"/>
                <w:szCs w:val="16"/>
                <w:lang w:val="en-US"/>
              </w:rPr>
              <w:t>B.7.5.2 Equipment and materials</w:t>
            </w:r>
          </w:p>
        </w:tc>
      </w:tr>
      <w:tr w:rsidR="007557BF" w:rsidRPr="00F01347" w14:paraId="5E7F0D97" w14:textId="0DC5F686" w:rsidTr="00A5493F">
        <w:tc>
          <w:tcPr>
            <w:tcW w:w="4675" w:type="dxa"/>
          </w:tcPr>
          <w:p w14:paraId="4398F86C" w14:textId="77777777" w:rsidR="007557BF" w:rsidRPr="00F01347" w:rsidRDefault="007557BF" w:rsidP="007557BF">
            <w:pPr>
              <w:pStyle w:val="texto0"/>
              <w:spacing w:line="231" w:lineRule="exact"/>
              <w:ind w:firstLine="0"/>
              <w:rPr>
                <w:rFonts w:ascii="Verdana" w:hAnsi="Verdana"/>
                <w:sz w:val="16"/>
                <w:szCs w:val="16"/>
              </w:rPr>
            </w:pPr>
            <w:r w:rsidRPr="00F01347">
              <w:rPr>
                <w:rFonts w:ascii="Verdana" w:hAnsi="Verdana"/>
                <w:b/>
                <w:sz w:val="16"/>
                <w:szCs w:val="16"/>
              </w:rPr>
              <w:t xml:space="preserve">Aparato de destilación. </w:t>
            </w:r>
            <w:r w:rsidRPr="00F01347">
              <w:rPr>
                <w:rFonts w:ascii="Verdana" w:hAnsi="Verdana"/>
                <w:sz w:val="16"/>
                <w:szCs w:val="16"/>
              </w:rPr>
              <w:t xml:space="preserve">Constituido por un matraz de vidrio de borosilicato de 800 a 2 000 </w:t>
            </w:r>
            <w:proofErr w:type="spellStart"/>
            <w:r w:rsidRPr="00F01347">
              <w:rPr>
                <w:rFonts w:ascii="Verdana" w:hAnsi="Verdana"/>
                <w:sz w:val="16"/>
                <w:szCs w:val="16"/>
              </w:rPr>
              <w:t>mL</w:t>
            </w:r>
            <w:proofErr w:type="spellEnd"/>
            <w:r w:rsidRPr="00F01347">
              <w:rPr>
                <w:rFonts w:ascii="Verdana" w:hAnsi="Verdana"/>
                <w:sz w:val="16"/>
                <w:szCs w:val="16"/>
              </w:rPr>
              <w:t xml:space="preserve"> de capacidad unido a un condensador vertical de tal manera que la punta de salida esté sumergida debajo de la superficie de la disolución ácida que recibe el destilado. Utilizar un dispositivo completamente de vidrio de borosilicato o uno con unidades de condensación construidas de estaño o tubos de aluminio.</w:t>
            </w:r>
          </w:p>
        </w:tc>
        <w:tc>
          <w:tcPr>
            <w:tcW w:w="4675" w:type="dxa"/>
          </w:tcPr>
          <w:p w14:paraId="7E8F23E7" w14:textId="50F15766" w:rsidR="007557BF" w:rsidRPr="00F01347" w:rsidRDefault="007557BF" w:rsidP="007557BF">
            <w:pPr>
              <w:pStyle w:val="texto0"/>
              <w:spacing w:line="231" w:lineRule="exact"/>
              <w:ind w:firstLine="0"/>
              <w:rPr>
                <w:rFonts w:ascii="Verdana" w:hAnsi="Verdana"/>
                <w:b/>
                <w:sz w:val="16"/>
                <w:szCs w:val="16"/>
                <w:lang w:val="en-US"/>
              </w:rPr>
            </w:pPr>
            <w:r w:rsidRPr="00F01347">
              <w:rPr>
                <w:rFonts w:ascii="Verdana" w:hAnsi="Verdana"/>
                <w:b/>
                <w:sz w:val="16"/>
                <w:szCs w:val="16"/>
                <w:lang w:val="en-US"/>
              </w:rPr>
              <w:t xml:space="preserve">Distillation apparatus. </w:t>
            </w:r>
            <w:r w:rsidRPr="00F01347">
              <w:rPr>
                <w:rFonts w:ascii="Verdana" w:hAnsi="Verdana"/>
                <w:sz w:val="16"/>
                <w:szCs w:val="16"/>
                <w:lang w:val="en-US"/>
              </w:rPr>
              <w:t>Consisting of a borosilicate glass flask of 800 to 2,000 mL capacity attached to a vertical condenser in such a way that the outlet tip is submerged below the surface of the acid solution that receives the distillate. Use an all-borosilicate glass device or one with condensing units constructed of tin or aluminum tubes.</w:t>
            </w:r>
          </w:p>
        </w:tc>
      </w:tr>
      <w:tr w:rsidR="007557BF" w:rsidRPr="00F01347" w14:paraId="6FBA0037" w14:textId="14CED44D" w:rsidTr="00A5493F">
        <w:tc>
          <w:tcPr>
            <w:tcW w:w="4675" w:type="dxa"/>
          </w:tcPr>
          <w:p w14:paraId="4B394933" w14:textId="77777777" w:rsidR="007557BF" w:rsidRPr="00F01347" w:rsidRDefault="007557BF" w:rsidP="007557BF">
            <w:pPr>
              <w:pStyle w:val="texto0"/>
              <w:spacing w:line="231" w:lineRule="exact"/>
              <w:ind w:firstLine="0"/>
              <w:rPr>
                <w:rFonts w:ascii="Verdana" w:hAnsi="Verdana"/>
                <w:b/>
                <w:sz w:val="16"/>
                <w:szCs w:val="16"/>
              </w:rPr>
            </w:pPr>
            <w:r w:rsidRPr="00F01347">
              <w:rPr>
                <w:rFonts w:ascii="Verdana" w:hAnsi="Verdana"/>
                <w:b/>
                <w:sz w:val="16"/>
                <w:szCs w:val="16"/>
              </w:rPr>
              <w:t>B.7.5.3 Reactivos y soluciones</w:t>
            </w:r>
          </w:p>
        </w:tc>
        <w:tc>
          <w:tcPr>
            <w:tcW w:w="4675" w:type="dxa"/>
          </w:tcPr>
          <w:p w14:paraId="5DB35048" w14:textId="55B2CDB4" w:rsidR="007557BF" w:rsidRPr="00F01347" w:rsidRDefault="007557BF" w:rsidP="007557BF">
            <w:pPr>
              <w:pStyle w:val="texto0"/>
              <w:spacing w:line="231" w:lineRule="exact"/>
              <w:ind w:firstLine="0"/>
              <w:rPr>
                <w:rFonts w:ascii="Verdana" w:hAnsi="Verdana"/>
                <w:b/>
                <w:sz w:val="16"/>
                <w:szCs w:val="16"/>
                <w:lang w:val="en-US"/>
              </w:rPr>
            </w:pPr>
            <w:r w:rsidRPr="00F01347">
              <w:rPr>
                <w:rFonts w:ascii="Verdana" w:hAnsi="Verdana"/>
                <w:b/>
                <w:sz w:val="16"/>
                <w:szCs w:val="16"/>
                <w:lang w:val="en-US"/>
              </w:rPr>
              <w:t>B.7.5.3 Reagents and solutions</w:t>
            </w:r>
          </w:p>
        </w:tc>
      </w:tr>
      <w:tr w:rsidR="007557BF" w:rsidRPr="00F01347" w14:paraId="24F23846" w14:textId="189E62FF" w:rsidTr="00A5493F">
        <w:tc>
          <w:tcPr>
            <w:tcW w:w="4675" w:type="dxa"/>
          </w:tcPr>
          <w:p w14:paraId="4DA74440" w14:textId="77777777" w:rsidR="007557BF" w:rsidRPr="00F01347" w:rsidRDefault="007557BF" w:rsidP="007557BF">
            <w:pPr>
              <w:pStyle w:val="texto0"/>
              <w:spacing w:line="231" w:lineRule="exact"/>
              <w:ind w:firstLine="0"/>
              <w:rPr>
                <w:rFonts w:ascii="Verdana" w:hAnsi="Verdana"/>
                <w:sz w:val="16"/>
                <w:szCs w:val="16"/>
              </w:rPr>
            </w:pPr>
            <w:r w:rsidRPr="00F01347">
              <w:rPr>
                <w:rFonts w:ascii="Verdana" w:hAnsi="Verdana"/>
                <w:b/>
                <w:sz w:val="16"/>
                <w:szCs w:val="16"/>
              </w:rPr>
              <w:t>Ácido sulfúrico 0.04N</w:t>
            </w:r>
            <w:r w:rsidRPr="00F01347">
              <w:rPr>
                <w:rFonts w:ascii="Verdana" w:hAnsi="Verdana"/>
                <w:sz w:val="16"/>
                <w:szCs w:val="16"/>
              </w:rPr>
              <w:t xml:space="preserve">. Diluir 1 </w:t>
            </w:r>
            <w:proofErr w:type="spellStart"/>
            <w:r w:rsidRPr="00F01347">
              <w:rPr>
                <w:rFonts w:ascii="Verdana" w:hAnsi="Verdana"/>
                <w:sz w:val="16"/>
                <w:szCs w:val="16"/>
              </w:rPr>
              <w:t>mL</w:t>
            </w:r>
            <w:proofErr w:type="spellEnd"/>
            <w:r w:rsidRPr="00F01347">
              <w:rPr>
                <w:rFonts w:ascii="Verdana" w:hAnsi="Verdana"/>
                <w:sz w:val="16"/>
                <w:szCs w:val="16"/>
              </w:rPr>
              <w:t xml:space="preserve"> de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en 1L.</w:t>
            </w:r>
          </w:p>
        </w:tc>
        <w:tc>
          <w:tcPr>
            <w:tcW w:w="4675" w:type="dxa"/>
          </w:tcPr>
          <w:p w14:paraId="0F4895A6" w14:textId="6148B381" w:rsidR="007557BF" w:rsidRPr="00F01347" w:rsidRDefault="007557BF" w:rsidP="007557BF">
            <w:pPr>
              <w:pStyle w:val="texto0"/>
              <w:spacing w:line="231" w:lineRule="exact"/>
              <w:ind w:firstLine="0"/>
              <w:rPr>
                <w:rFonts w:ascii="Verdana" w:hAnsi="Verdana"/>
                <w:b/>
                <w:sz w:val="16"/>
                <w:szCs w:val="16"/>
                <w:lang w:val="en-US"/>
              </w:rPr>
            </w:pPr>
            <w:r w:rsidRPr="00F01347">
              <w:rPr>
                <w:rFonts w:ascii="Verdana" w:hAnsi="Verdana"/>
                <w:b/>
                <w:sz w:val="16"/>
                <w:szCs w:val="16"/>
                <w:lang w:val="en-US"/>
              </w:rPr>
              <w:t>Sulfuric acid 0.04N</w:t>
            </w:r>
            <w:r w:rsidR="003E1BA9" w:rsidRPr="00F01347">
              <w:rPr>
                <w:rFonts w:ascii="Verdana" w:hAnsi="Verdana"/>
                <w:b/>
                <w:sz w:val="16"/>
                <w:szCs w:val="16"/>
                <w:lang w:val="en-US"/>
              </w:rPr>
              <w:t>.</w:t>
            </w:r>
            <w:r w:rsidRPr="00F01347">
              <w:rPr>
                <w:rFonts w:ascii="Verdana" w:hAnsi="Verdana"/>
                <w:sz w:val="16"/>
                <w:szCs w:val="16"/>
                <w:lang w:val="en-US"/>
              </w:rPr>
              <w:t xml:space="preserve"> Dilute 1 mL of H </w:t>
            </w:r>
            <w:r w:rsidRPr="00F01347">
              <w:rPr>
                <w:rFonts w:ascii="Verdana" w:hAnsi="Verdana"/>
                <w:sz w:val="16"/>
                <w:szCs w:val="16"/>
                <w:vertAlign w:val="subscript"/>
                <w:lang w:val="en-US"/>
              </w:rPr>
              <w:t xml:space="preserve">2 </w:t>
            </w:r>
            <w:r w:rsidRPr="00F01347">
              <w:rPr>
                <w:rFonts w:ascii="Verdana" w:hAnsi="Verdana"/>
                <w:sz w:val="16"/>
                <w:szCs w:val="16"/>
                <w:lang w:val="en-US"/>
              </w:rPr>
              <w:t xml:space="preserve">SO </w:t>
            </w:r>
            <w:r w:rsidRPr="00F01347">
              <w:rPr>
                <w:rFonts w:ascii="Verdana" w:hAnsi="Verdana"/>
                <w:sz w:val="16"/>
                <w:szCs w:val="16"/>
                <w:vertAlign w:val="subscript"/>
                <w:lang w:val="en-US"/>
              </w:rPr>
              <w:t xml:space="preserve">4 </w:t>
            </w:r>
            <w:r w:rsidRPr="00F01347">
              <w:rPr>
                <w:rFonts w:ascii="Verdana" w:hAnsi="Verdana"/>
                <w:sz w:val="16"/>
                <w:szCs w:val="16"/>
                <w:lang w:val="en-US"/>
              </w:rPr>
              <w:t>in 1L.</w:t>
            </w:r>
          </w:p>
        </w:tc>
      </w:tr>
      <w:tr w:rsidR="007557BF" w:rsidRPr="00F01347" w14:paraId="02E88AF2" w14:textId="0D76C7B1" w:rsidTr="00A5493F">
        <w:tc>
          <w:tcPr>
            <w:tcW w:w="4675" w:type="dxa"/>
          </w:tcPr>
          <w:p w14:paraId="7B6593EB" w14:textId="77777777" w:rsidR="007557BF" w:rsidRPr="00F01347" w:rsidRDefault="007557BF" w:rsidP="007557BF">
            <w:pPr>
              <w:pStyle w:val="texto0"/>
              <w:spacing w:line="231" w:lineRule="exact"/>
              <w:ind w:firstLine="0"/>
              <w:rPr>
                <w:rFonts w:ascii="Verdana" w:hAnsi="Verdana"/>
                <w:sz w:val="16"/>
                <w:szCs w:val="16"/>
              </w:rPr>
            </w:pPr>
            <w:r w:rsidRPr="00F01347">
              <w:rPr>
                <w:rFonts w:ascii="Verdana" w:hAnsi="Verdana"/>
                <w:b/>
                <w:sz w:val="16"/>
                <w:szCs w:val="16"/>
              </w:rPr>
              <w:t xml:space="preserve">Agua libre de amoníaco. </w:t>
            </w:r>
            <w:r w:rsidRPr="00F01347">
              <w:rPr>
                <w:rFonts w:ascii="Verdana" w:hAnsi="Verdana"/>
                <w:sz w:val="16"/>
                <w:szCs w:val="16"/>
              </w:rPr>
              <w:t>Puede ser preparada por intercambio iónico o por métodos de destilación.</w:t>
            </w:r>
          </w:p>
        </w:tc>
        <w:tc>
          <w:tcPr>
            <w:tcW w:w="4675" w:type="dxa"/>
          </w:tcPr>
          <w:p w14:paraId="20D79197" w14:textId="2269E4C7" w:rsidR="007557BF" w:rsidRPr="00F01347" w:rsidRDefault="007557BF" w:rsidP="007557BF">
            <w:pPr>
              <w:pStyle w:val="texto0"/>
              <w:spacing w:line="231" w:lineRule="exact"/>
              <w:ind w:firstLine="0"/>
              <w:rPr>
                <w:rFonts w:ascii="Verdana" w:hAnsi="Verdana"/>
                <w:b/>
                <w:sz w:val="16"/>
                <w:szCs w:val="16"/>
                <w:lang w:val="en-US"/>
              </w:rPr>
            </w:pPr>
            <w:r w:rsidRPr="00F01347">
              <w:rPr>
                <w:rFonts w:ascii="Verdana" w:hAnsi="Verdana"/>
                <w:b/>
                <w:sz w:val="16"/>
                <w:szCs w:val="16"/>
                <w:lang w:val="en-US"/>
              </w:rPr>
              <w:t xml:space="preserve">Ammonia free water. </w:t>
            </w:r>
            <w:r w:rsidRPr="00F01347">
              <w:rPr>
                <w:rFonts w:ascii="Verdana" w:hAnsi="Verdana"/>
                <w:sz w:val="16"/>
                <w:szCs w:val="16"/>
                <w:lang w:val="en-US"/>
              </w:rPr>
              <w:t>It can be prepared by ion exchange or distillation methods.</w:t>
            </w:r>
          </w:p>
        </w:tc>
      </w:tr>
      <w:tr w:rsidR="007557BF" w:rsidRPr="00F01347" w14:paraId="2E2B15D0" w14:textId="521CDE29" w:rsidTr="00A5493F">
        <w:tc>
          <w:tcPr>
            <w:tcW w:w="4675" w:type="dxa"/>
          </w:tcPr>
          <w:p w14:paraId="2E272109" w14:textId="77777777" w:rsidR="007557BF" w:rsidRPr="00F01347" w:rsidRDefault="007557BF" w:rsidP="007557BF">
            <w:pPr>
              <w:pStyle w:val="texto0"/>
              <w:spacing w:line="231" w:lineRule="exact"/>
              <w:ind w:firstLine="0"/>
              <w:rPr>
                <w:rFonts w:ascii="Verdana" w:hAnsi="Verdana"/>
                <w:sz w:val="16"/>
                <w:szCs w:val="16"/>
              </w:rPr>
            </w:pPr>
            <w:r w:rsidRPr="00F01347">
              <w:rPr>
                <w:rFonts w:ascii="Verdana" w:hAnsi="Verdana"/>
                <w:sz w:val="16"/>
                <w:szCs w:val="16"/>
              </w:rPr>
              <w:t>Para prepararla por intercambio iónico, se debe de pasar agua destilada a través de una columna de intercambio iónico que contiene una resina de intercambio catiónico acídico fuerte mezclada con una resina de intercambio aniónico básica fuerte. Seleccionar las resinar que removerán los compuestos orgánicos que interfieren con la determinación de amoniaco. Algunas resinas de intercambio aniónico tienden a liberar amoniaco. Si esto ocurre, preparar agua libre de amoniaco con una resina de intercambio catiónico acídico fuerte. Regenerar la columna de acuerdo con las instrucciones del fabricante. Verificar el agua esté libre de amoniaco por la posibilidad de obtener un valor alto en el blanco.</w:t>
            </w:r>
          </w:p>
        </w:tc>
        <w:tc>
          <w:tcPr>
            <w:tcW w:w="4675" w:type="dxa"/>
          </w:tcPr>
          <w:p w14:paraId="3883A243" w14:textId="537A5EDD" w:rsidR="007557BF" w:rsidRPr="00F01347" w:rsidRDefault="007557BF" w:rsidP="007557BF">
            <w:pPr>
              <w:pStyle w:val="texto0"/>
              <w:spacing w:line="231" w:lineRule="exact"/>
              <w:ind w:firstLine="0"/>
              <w:rPr>
                <w:rFonts w:ascii="Verdana" w:hAnsi="Verdana"/>
                <w:sz w:val="16"/>
                <w:szCs w:val="16"/>
                <w:lang w:val="en-US"/>
              </w:rPr>
            </w:pPr>
            <w:r w:rsidRPr="00F01347">
              <w:rPr>
                <w:rFonts w:ascii="Verdana" w:hAnsi="Verdana"/>
                <w:sz w:val="16"/>
                <w:szCs w:val="16"/>
                <w:lang w:val="en-US"/>
              </w:rPr>
              <w:t>To prepare it by ion exchange, distilled water must be passed through an ion exchange column containing a strong acidic cation exchange resin mixed with a strong basic anion exchange resin. Select resins that will remove organic compounds that interfere with the determination of ammonia. Some anion exchange resins tend to release ammonia. If this occurs, prepare ammonia-free water with a strong acidic cation exchange resin. Regenerate the column according to the manufacturer's instructions. Verify the water is free of ammonia due to the possibility of obtaining a high value in the blank.</w:t>
            </w:r>
          </w:p>
        </w:tc>
      </w:tr>
      <w:tr w:rsidR="007557BF" w:rsidRPr="00F01347" w14:paraId="3A0D4788" w14:textId="738FFC94" w:rsidTr="00A5493F">
        <w:tc>
          <w:tcPr>
            <w:tcW w:w="4675" w:type="dxa"/>
          </w:tcPr>
          <w:p w14:paraId="45F0983D" w14:textId="77777777" w:rsidR="007557BF" w:rsidRPr="00F01347" w:rsidRDefault="007557BF" w:rsidP="007557BF">
            <w:pPr>
              <w:pStyle w:val="texto0"/>
              <w:spacing w:line="231" w:lineRule="exact"/>
              <w:ind w:firstLine="0"/>
              <w:rPr>
                <w:rFonts w:ascii="Verdana" w:hAnsi="Verdana"/>
                <w:sz w:val="16"/>
                <w:szCs w:val="16"/>
              </w:rPr>
            </w:pPr>
            <w:r w:rsidRPr="00F01347">
              <w:rPr>
                <w:rFonts w:ascii="Verdana" w:hAnsi="Verdana"/>
                <w:sz w:val="16"/>
                <w:szCs w:val="16"/>
              </w:rPr>
              <w:t xml:space="preserve">Para prepararla por destilación, eliminar las trazas de amoniaco en el agua destilada añadiendo 0.1 </w:t>
            </w:r>
            <w:proofErr w:type="spellStart"/>
            <w:r w:rsidRPr="00F01347">
              <w:rPr>
                <w:rFonts w:ascii="Verdana" w:hAnsi="Verdana"/>
                <w:sz w:val="16"/>
                <w:szCs w:val="16"/>
              </w:rPr>
              <w:t>mL</w:t>
            </w:r>
            <w:proofErr w:type="spellEnd"/>
            <w:r w:rsidRPr="00F01347">
              <w:rPr>
                <w:rFonts w:ascii="Verdana" w:hAnsi="Verdana"/>
                <w:sz w:val="16"/>
                <w:szCs w:val="16"/>
              </w:rPr>
              <w:t xml:space="preserve"> de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a 1 L de agua destilada y </w:t>
            </w:r>
            <w:proofErr w:type="spellStart"/>
            <w:r w:rsidRPr="00F01347">
              <w:rPr>
                <w:rFonts w:ascii="Verdana" w:hAnsi="Verdana"/>
                <w:sz w:val="16"/>
                <w:szCs w:val="16"/>
              </w:rPr>
              <w:t>redestilar</w:t>
            </w:r>
            <w:proofErr w:type="spellEnd"/>
            <w:r w:rsidRPr="00F01347">
              <w:rPr>
                <w:rFonts w:ascii="Verdana" w:hAnsi="Verdana"/>
                <w:sz w:val="16"/>
                <w:szCs w:val="16"/>
              </w:rPr>
              <w:t xml:space="preserve">. Alternativamente tratar el agua destilada con suficiente agua de bromo o cloro para producir un halógeno residual libre de 2 a 5 mg/L y </w:t>
            </w:r>
            <w:proofErr w:type="spellStart"/>
            <w:r w:rsidRPr="00F01347">
              <w:rPr>
                <w:rFonts w:ascii="Verdana" w:hAnsi="Verdana"/>
                <w:sz w:val="16"/>
                <w:szCs w:val="16"/>
              </w:rPr>
              <w:t>redestilar</w:t>
            </w:r>
            <w:proofErr w:type="spellEnd"/>
            <w:r w:rsidRPr="00F01347">
              <w:rPr>
                <w:rFonts w:ascii="Verdana" w:hAnsi="Verdana"/>
                <w:sz w:val="16"/>
                <w:szCs w:val="16"/>
              </w:rPr>
              <w:t xml:space="preserve"> después de dejar reposar al menos 1 h. Descartar los primeros 100 </w:t>
            </w:r>
            <w:proofErr w:type="spellStart"/>
            <w:r w:rsidRPr="00F01347">
              <w:rPr>
                <w:rFonts w:ascii="Verdana" w:hAnsi="Verdana"/>
                <w:sz w:val="16"/>
                <w:szCs w:val="16"/>
              </w:rPr>
              <w:t>mL</w:t>
            </w:r>
            <w:proofErr w:type="spellEnd"/>
            <w:r w:rsidRPr="00F01347">
              <w:rPr>
                <w:rFonts w:ascii="Verdana" w:hAnsi="Verdana"/>
                <w:sz w:val="16"/>
                <w:szCs w:val="16"/>
              </w:rPr>
              <w:t xml:space="preserve"> del destilado. Verificar el agua esté libre de amoniaco por la posibilidad de obtener un valor alto en el blanco.</w:t>
            </w:r>
          </w:p>
        </w:tc>
        <w:tc>
          <w:tcPr>
            <w:tcW w:w="4675" w:type="dxa"/>
          </w:tcPr>
          <w:p w14:paraId="75D9AD01" w14:textId="1963EEC2" w:rsidR="007557BF" w:rsidRPr="00F01347" w:rsidRDefault="007557BF" w:rsidP="007557BF">
            <w:pPr>
              <w:pStyle w:val="texto0"/>
              <w:spacing w:line="231" w:lineRule="exact"/>
              <w:ind w:firstLine="0"/>
              <w:rPr>
                <w:rFonts w:ascii="Verdana" w:hAnsi="Verdana"/>
                <w:sz w:val="16"/>
                <w:szCs w:val="16"/>
                <w:lang w:val="en-US"/>
              </w:rPr>
            </w:pPr>
            <w:r w:rsidRPr="00F01347">
              <w:rPr>
                <w:rFonts w:ascii="Verdana" w:hAnsi="Verdana"/>
                <w:sz w:val="16"/>
                <w:szCs w:val="16"/>
                <w:lang w:val="en-US"/>
              </w:rPr>
              <w:t>To prepare it by distillation, eliminate traces of ammonia in the distilled water by adding 0.1 mL of H</w:t>
            </w:r>
            <w:r w:rsidRPr="00F01347">
              <w:rPr>
                <w:rFonts w:ascii="Verdana" w:hAnsi="Verdana"/>
                <w:sz w:val="16"/>
                <w:szCs w:val="16"/>
                <w:vertAlign w:val="subscript"/>
                <w:lang w:val="en-US"/>
              </w:rPr>
              <w:t xml:space="preserve">2 </w:t>
            </w:r>
            <w:r w:rsidRPr="00F01347">
              <w:rPr>
                <w:rFonts w:ascii="Verdana" w:hAnsi="Verdana"/>
                <w:sz w:val="16"/>
                <w:szCs w:val="16"/>
                <w:lang w:val="en-US"/>
              </w:rPr>
              <w:t>SO</w:t>
            </w:r>
            <w:r w:rsidRPr="00F01347">
              <w:rPr>
                <w:rFonts w:ascii="Verdana" w:hAnsi="Verdana"/>
                <w:sz w:val="16"/>
                <w:szCs w:val="16"/>
                <w:vertAlign w:val="subscript"/>
                <w:lang w:val="en-US"/>
              </w:rPr>
              <w:t xml:space="preserve">4 </w:t>
            </w:r>
            <w:r w:rsidRPr="00F01347">
              <w:rPr>
                <w:rFonts w:ascii="Verdana" w:hAnsi="Verdana"/>
                <w:sz w:val="16"/>
                <w:szCs w:val="16"/>
                <w:lang w:val="en-US"/>
              </w:rPr>
              <w:t>to 1 L of distilled water and redistill</w:t>
            </w:r>
            <w:r w:rsidR="003E1BA9" w:rsidRPr="00F01347">
              <w:rPr>
                <w:rFonts w:ascii="Verdana" w:hAnsi="Verdana"/>
                <w:sz w:val="16"/>
                <w:szCs w:val="16"/>
                <w:lang w:val="en-US"/>
              </w:rPr>
              <w:t>.</w:t>
            </w:r>
            <w:r w:rsidRPr="00F01347">
              <w:rPr>
                <w:rFonts w:ascii="Verdana" w:hAnsi="Verdana"/>
                <w:sz w:val="16"/>
                <w:szCs w:val="16"/>
                <w:lang w:val="en-US"/>
              </w:rPr>
              <w:t xml:space="preserve"> Alternatively treat the distilled water with enough bromine or chlorine water to produce a halogen-free residual of 2 to 5 mg/L and redistill after allowing to stand for at least 1 h. Discard the first 100 mL of the distillate. Verify the water is free of ammonia due to the possibility of obtaining a high value in the blank.</w:t>
            </w:r>
          </w:p>
        </w:tc>
      </w:tr>
      <w:tr w:rsidR="007557BF" w:rsidRPr="00F01347" w14:paraId="416EBD4A" w14:textId="461D1E04" w:rsidTr="00A5493F">
        <w:tc>
          <w:tcPr>
            <w:tcW w:w="4675" w:type="dxa"/>
          </w:tcPr>
          <w:p w14:paraId="2A7E1169" w14:textId="77777777" w:rsidR="007557BF" w:rsidRPr="00F01347" w:rsidRDefault="007557BF" w:rsidP="007557BF">
            <w:pPr>
              <w:pStyle w:val="texto0"/>
              <w:spacing w:line="231" w:lineRule="exact"/>
              <w:ind w:firstLine="0"/>
              <w:rPr>
                <w:rFonts w:ascii="Verdana" w:hAnsi="Verdana"/>
                <w:sz w:val="16"/>
                <w:szCs w:val="16"/>
              </w:rPr>
            </w:pPr>
            <w:r w:rsidRPr="00F01347">
              <w:rPr>
                <w:rFonts w:ascii="Verdana" w:hAnsi="Verdana"/>
                <w:sz w:val="16"/>
                <w:szCs w:val="16"/>
              </w:rPr>
              <w:t xml:space="preserve">Es muy difícil almacenar agua libre de amoniaco en el laboratorio sin contaminación por amoniaco gaseoso. Sin embargo, si el almacenaje es necesario, guardar en un contenedor de vidrio fuertemente tapado al cual se ha añadido cerca de 10 g de resina de intercambio </w:t>
            </w:r>
            <w:r w:rsidRPr="00F01347">
              <w:rPr>
                <w:rFonts w:ascii="Verdana" w:hAnsi="Verdana"/>
                <w:sz w:val="16"/>
                <w:szCs w:val="16"/>
              </w:rPr>
              <w:lastRenderedPageBreak/>
              <w:t>iónico (preferiblemente una resina de intercambio catiónico acídico fuerte) por litro de agua libre de amoniaco. Para su uso, deje que la resina se asiente y decante el agua libre de amoniaco. Si se produce un blanco alto, reemplace la resina o prepare nueva agua libre de amoniaco.</w:t>
            </w:r>
          </w:p>
        </w:tc>
        <w:tc>
          <w:tcPr>
            <w:tcW w:w="4675" w:type="dxa"/>
          </w:tcPr>
          <w:p w14:paraId="661569A0" w14:textId="0381E8B4" w:rsidR="007557BF" w:rsidRPr="00F01347" w:rsidRDefault="007557BF" w:rsidP="007557BF">
            <w:pPr>
              <w:pStyle w:val="texto0"/>
              <w:spacing w:line="231" w:lineRule="exact"/>
              <w:ind w:firstLine="0"/>
              <w:rPr>
                <w:rFonts w:ascii="Verdana" w:hAnsi="Verdana"/>
                <w:sz w:val="16"/>
                <w:szCs w:val="16"/>
                <w:lang w:val="en-US"/>
              </w:rPr>
            </w:pPr>
            <w:r w:rsidRPr="00F01347">
              <w:rPr>
                <w:rFonts w:ascii="Verdana" w:hAnsi="Verdana"/>
                <w:sz w:val="16"/>
                <w:szCs w:val="16"/>
                <w:lang w:val="en-US"/>
              </w:rPr>
              <w:lastRenderedPageBreak/>
              <w:t xml:space="preserve">It is very difficult to store ammonia-free water in the laboratory without contamination by ammonia gas. However, if storage is necessary, store in a tightly covered glass container to which about 10 g of ion exchange resin (preferably a strong acidic cation </w:t>
            </w:r>
            <w:r w:rsidRPr="00F01347">
              <w:rPr>
                <w:rFonts w:ascii="Verdana" w:hAnsi="Verdana"/>
                <w:sz w:val="16"/>
                <w:szCs w:val="16"/>
                <w:lang w:val="en-US"/>
              </w:rPr>
              <w:lastRenderedPageBreak/>
              <w:t xml:space="preserve">exchange resin) per liter of ammonia-free water has been added. To use, allow the resin to settle and decant the ammonia-free water. If high white is produced, replace the </w:t>
            </w:r>
            <w:r w:rsidR="00ED2676" w:rsidRPr="00F01347">
              <w:rPr>
                <w:rFonts w:ascii="Verdana" w:hAnsi="Verdana"/>
                <w:sz w:val="16"/>
                <w:szCs w:val="16"/>
                <w:lang w:val="en-US"/>
              </w:rPr>
              <w:t>resin,</w:t>
            </w:r>
            <w:r w:rsidRPr="00F01347">
              <w:rPr>
                <w:rFonts w:ascii="Verdana" w:hAnsi="Verdana"/>
                <w:sz w:val="16"/>
                <w:szCs w:val="16"/>
                <w:lang w:val="en-US"/>
              </w:rPr>
              <w:t xml:space="preserve"> or prepare new ammonia-free water.</w:t>
            </w:r>
          </w:p>
        </w:tc>
      </w:tr>
      <w:tr w:rsidR="007557BF" w:rsidRPr="00F01347" w14:paraId="24DC410B" w14:textId="6E27DE44" w:rsidTr="00A5493F">
        <w:tc>
          <w:tcPr>
            <w:tcW w:w="4675" w:type="dxa"/>
          </w:tcPr>
          <w:p w14:paraId="5060990C" w14:textId="77777777" w:rsidR="007557BF" w:rsidRPr="00F01347" w:rsidRDefault="007557BF" w:rsidP="007557BF">
            <w:pPr>
              <w:pStyle w:val="texto0"/>
              <w:ind w:firstLine="0"/>
              <w:rPr>
                <w:rFonts w:ascii="Verdana" w:hAnsi="Verdana"/>
                <w:sz w:val="16"/>
                <w:szCs w:val="16"/>
              </w:rPr>
            </w:pPr>
            <w:r w:rsidRPr="00F01347">
              <w:rPr>
                <w:rFonts w:ascii="Verdana" w:hAnsi="Verdana"/>
                <w:sz w:val="16"/>
                <w:szCs w:val="16"/>
              </w:rPr>
              <w:lastRenderedPageBreak/>
              <w:t>Utilizar agua destilada libre de amoniaco para preparar todos los reactivos y diluciones de las muestras.</w:t>
            </w:r>
          </w:p>
        </w:tc>
        <w:tc>
          <w:tcPr>
            <w:tcW w:w="4675" w:type="dxa"/>
          </w:tcPr>
          <w:p w14:paraId="0A86C85F" w14:textId="2757323D" w:rsidR="007557BF" w:rsidRPr="00F01347" w:rsidRDefault="007557BF" w:rsidP="007557BF">
            <w:pPr>
              <w:pStyle w:val="texto0"/>
              <w:ind w:firstLine="0"/>
              <w:rPr>
                <w:rFonts w:ascii="Verdana" w:hAnsi="Verdana"/>
                <w:sz w:val="16"/>
                <w:szCs w:val="16"/>
                <w:lang w:val="en-US"/>
              </w:rPr>
            </w:pPr>
            <w:r w:rsidRPr="00F01347">
              <w:rPr>
                <w:rFonts w:ascii="Verdana" w:hAnsi="Verdana"/>
                <w:sz w:val="16"/>
                <w:szCs w:val="16"/>
                <w:lang w:val="en-US"/>
              </w:rPr>
              <w:t>Use ammonia-free distilled water to prepare all reagents and sample dilutions.</w:t>
            </w:r>
          </w:p>
        </w:tc>
      </w:tr>
      <w:tr w:rsidR="007557BF" w:rsidRPr="00F01347" w14:paraId="21F4F264" w14:textId="525E50AF" w:rsidTr="00A5493F">
        <w:tc>
          <w:tcPr>
            <w:tcW w:w="4675" w:type="dxa"/>
          </w:tcPr>
          <w:p w14:paraId="30B81B1D" w14:textId="77777777" w:rsidR="007557BF" w:rsidRPr="00F01347" w:rsidRDefault="007557BF" w:rsidP="007557BF">
            <w:pPr>
              <w:pStyle w:val="texto0"/>
              <w:spacing w:line="226" w:lineRule="exact"/>
              <w:ind w:firstLine="0"/>
              <w:rPr>
                <w:rFonts w:ascii="Verdana" w:hAnsi="Verdana"/>
                <w:sz w:val="16"/>
                <w:szCs w:val="16"/>
              </w:rPr>
            </w:pPr>
            <w:r w:rsidRPr="00F01347">
              <w:rPr>
                <w:rFonts w:ascii="Verdana" w:hAnsi="Verdana"/>
                <w:b/>
                <w:sz w:val="16"/>
                <w:szCs w:val="16"/>
              </w:rPr>
              <w:t xml:space="preserve">Agente para neutralización. </w:t>
            </w:r>
            <w:r w:rsidRPr="00F01347">
              <w:rPr>
                <w:rFonts w:ascii="Verdana" w:hAnsi="Verdana"/>
                <w:sz w:val="16"/>
                <w:szCs w:val="16"/>
              </w:rPr>
              <w:t xml:space="preserve">Hidróxido de sodio NaOH 1N </w:t>
            </w:r>
            <w:proofErr w:type="spellStart"/>
            <w:r w:rsidRPr="00F01347">
              <w:rPr>
                <w:rFonts w:ascii="Verdana" w:hAnsi="Verdana"/>
                <w:sz w:val="16"/>
                <w:szCs w:val="16"/>
              </w:rPr>
              <w:t>ó</w:t>
            </w:r>
            <w:proofErr w:type="spellEnd"/>
            <w:r w:rsidRPr="00F01347">
              <w:rPr>
                <w:rFonts w:ascii="Verdana" w:hAnsi="Verdana"/>
                <w:sz w:val="16"/>
                <w:szCs w:val="16"/>
              </w:rPr>
              <w:t xml:space="preserve"> ácido sulfúrico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1N.</w:t>
            </w:r>
          </w:p>
        </w:tc>
        <w:tc>
          <w:tcPr>
            <w:tcW w:w="4675" w:type="dxa"/>
          </w:tcPr>
          <w:p w14:paraId="074A34CD" w14:textId="5D7B8446" w:rsidR="007557BF" w:rsidRPr="00F01347" w:rsidRDefault="007557BF" w:rsidP="007557BF">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Agent for neutralization. </w:t>
            </w:r>
            <w:r w:rsidRPr="00F01347">
              <w:rPr>
                <w:rFonts w:ascii="Verdana" w:hAnsi="Verdana"/>
                <w:sz w:val="16"/>
                <w:szCs w:val="16"/>
                <w:lang w:val="en-US"/>
              </w:rPr>
              <w:t>Sodium hydroxide NaOH 1N or sulfuric acid H</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 xml:space="preserve">4 </w:t>
            </w:r>
            <w:r w:rsidRPr="00F01347">
              <w:rPr>
                <w:rFonts w:ascii="Verdana" w:hAnsi="Verdana"/>
                <w:sz w:val="16"/>
                <w:szCs w:val="16"/>
                <w:lang w:val="en-US"/>
              </w:rPr>
              <w:t>1N.</w:t>
            </w:r>
          </w:p>
        </w:tc>
      </w:tr>
      <w:tr w:rsidR="007557BF" w:rsidRPr="00F01347" w14:paraId="20D3C71E" w14:textId="0BD16BB7" w:rsidTr="00A5493F">
        <w:tc>
          <w:tcPr>
            <w:tcW w:w="4675" w:type="dxa"/>
          </w:tcPr>
          <w:p w14:paraId="4D03AB69"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b/>
                <w:sz w:val="16"/>
                <w:szCs w:val="16"/>
              </w:rPr>
              <w:t xml:space="preserve">Reactivo de </w:t>
            </w:r>
            <w:proofErr w:type="spellStart"/>
            <w:r w:rsidRPr="00F01347">
              <w:rPr>
                <w:rFonts w:ascii="Verdana" w:hAnsi="Verdana"/>
                <w:b/>
                <w:sz w:val="16"/>
                <w:szCs w:val="16"/>
              </w:rPr>
              <w:t>descloración</w:t>
            </w:r>
            <w:proofErr w:type="spellEnd"/>
            <w:r w:rsidRPr="00F01347">
              <w:rPr>
                <w:rFonts w:ascii="Verdana" w:hAnsi="Verdana"/>
                <w:sz w:val="16"/>
                <w:szCs w:val="16"/>
              </w:rPr>
              <w:t>. Disolver 3.5 g de tiosulfato de sodio (Na</w:t>
            </w:r>
            <w:r w:rsidRPr="00F01347">
              <w:rPr>
                <w:rFonts w:ascii="Verdana" w:hAnsi="Verdana"/>
                <w:sz w:val="16"/>
                <w:szCs w:val="16"/>
                <w:vertAlign w:val="subscript"/>
              </w:rPr>
              <w:t>2</w:t>
            </w:r>
            <w:r w:rsidRPr="00F01347">
              <w:rPr>
                <w:rFonts w:ascii="Verdana" w:hAnsi="Verdana"/>
                <w:sz w:val="16"/>
                <w:szCs w:val="16"/>
              </w:rPr>
              <w:t>S</w:t>
            </w:r>
            <w:r w:rsidRPr="00F01347">
              <w:rPr>
                <w:rFonts w:ascii="Verdana" w:hAnsi="Verdana"/>
                <w:sz w:val="16"/>
                <w:szCs w:val="16"/>
                <w:vertAlign w:val="subscript"/>
              </w:rPr>
              <w:t>2</w:t>
            </w:r>
            <w:r w:rsidRPr="00F01347">
              <w:rPr>
                <w:rFonts w:ascii="Verdana" w:hAnsi="Verdana"/>
                <w:sz w:val="16"/>
                <w:szCs w:val="16"/>
              </w:rPr>
              <w:t>O</w:t>
            </w:r>
            <w:r w:rsidRPr="00F01347">
              <w:rPr>
                <w:rFonts w:ascii="Verdana" w:hAnsi="Verdana"/>
                <w:sz w:val="16"/>
                <w:szCs w:val="16"/>
                <w:vertAlign w:val="subscript"/>
              </w:rPr>
              <w:t>3</w:t>
            </w:r>
            <w:r w:rsidRPr="00F01347">
              <w:rPr>
                <w:rFonts w:ascii="Verdana" w:hAnsi="Verdana"/>
                <w:sz w:val="16"/>
                <w:szCs w:val="16"/>
              </w:rPr>
              <w:t xml:space="preserve"> 5 H</w:t>
            </w:r>
            <w:r w:rsidRPr="00F01347">
              <w:rPr>
                <w:rFonts w:ascii="Verdana" w:hAnsi="Verdana"/>
                <w:sz w:val="16"/>
                <w:szCs w:val="16"/>
                <w:vertAlign w:val="subscript"/>
              </w:rPr>
              <w:t>2</w:t>
            </w:r>
            <w:r w:rsidRPr="00F01347">
              <w:rPr>
                <w:rFonts w:ascii="Verdana" w:hAnsi="Verdana"/>
                <w:sz w:val="16"/>
                <w:szCs w:val="16"/>
              </w:rPr>
              <w:t xml:space="preserve">O) en agua y diluir a 1 L. Preparar una disolución fresca cada semana. Utilizar 1 </w:t>
            </w:r>
            <w:proofErr w:type="spellStart"/>
            <w:r w:rsidRPr="00F01347">
              <w:rPr>
                <w:rFonts w:ascii="Verdana" w:hAnsi="Verdana"/>
                <w:sz w:val="16"/>
                <w:szCs w:val="16"/>
              </w:rPr>
              <w:t>mL</w:t>
            </w:r>
            <w:proofErr w:type="spellEnd"/>
            <w:r w:rsidRPr="00F01347">
              <w:rPr>
                <w:rFonts w:ascii="Verdana" w:hAnsi="Verdana"/>
                <w:sz w:val="16"/>
                <w:szCs w:val="16"/>
              </w:rPr>
              <w:t xml:space="preserve"> de este reactivo para remover 1mg/L de cloro residual en 500 </w:t>
            </w:r>
            <w:proofErr w:type="spellStart"/>
            <w:r w:rsidRPr="00F01347">
              <w:rPr>
                <w:rFonts w:ascii="Verdana" w:hAnsi="Verdana"/>
                <w:sz w:val="16"/>
                <w:szCs w:val="16"/>
              </w:rPr>
              <w:t>mL</w:t>
            </w:r>
            <w:proofErr w:type="spellEnd"/>
            <w:r w:rsidRPr="00F01347">
              <w:rPr>
                <w:rFonts w:ascii="Verdana" w:hAnsi="Verdana"/>
                <w:sz w:val="16"/>
                <w:szCs w:val="16"/>
              </w:rPr>
              <w:t xml:space="preserve"> de muestra.</w:t>
            </w:r>
          </w:p>
        </w:tc>
        <w:tc>
          <w:tcPr>
            <w:tcW w:w="4675" w:type="dxa"/>
          </w:tcPr>
          <w:p w14:paraId="7C1E0BD7" w14:textId="79C3C9A4" w:rsidR="007557BF" w:rsidRPr="00F01347" w:rsidRDefault="007557BF" w:rsidP="007557BF">
            <w:pPr>
              <w:pStyle w:val="texto0"/>
              <w:spacing w:line="218" w:lineRule="exact"/>
              <w:ind w:firstLine="0"/>
              <w:rPr>
                <w:rFonts w:ascii="Verdana" w:hAnsi="Verdana"/>
                <w:b/>
                <w:sz w:val="16"/>
                <w:szCs w:val="16"/>
                <w:lang w:val="en-US"/>
              </w:rPr>
            </w:pPr>
            <w:proofErr w:type="spellStart"/>
            <w:r w:rsidRPr="00F01347">
              <w:rPr>
                <w:rFonts w:ascii="Verdana" w:hAnsi="Verdana"/>
                <w:b/>
                <w:sz w:val="16"/>
                <w:szCs w:val="16"/>
                <w:lang w:val="en-US"/>
              </w:rPr>
              <w:t>Dechlorination</w:t>
            </w:r>
            <w:proofErr w:type="spellEnd"/>
            <w:r w:rsidRPr="00F01347">
              <w:rPr>
                <w:rFonts w:ascii="Verdana" w:hAnsi="Verdana"/>
                <w:b/>
                <w:sz w:val="16"/>
                <w:szCs w:val="16"/>
                <w:lang w:val="en-US"/>
              </w:rPr>
              <w:t xml:space="preserve"> reagent</w:t>
            </w:r>
            <w:r w:rsidR="003E1BA9" w:rsidRPr="00F01347">
              <w:rPr>
                <w:rFonts w:ascii="Verdana" w:hAnsi="Verdana"/>
                <w:b/>
                <w:sz w:val="16"/>
                <w:szCs w:val="16"/>
                <w:lang w:val="en-US"/>
              </w:rPr>
              <w:t>.</w:t>
            </w:r>
            <w:r w:rsidRPr="00F01347">
              <w:rPr>
                <w:rFonts w:ascii="Verdana" w:hAnsi="Verdana"/>
                <w:sz w:val="16"/>
                <w:szCs w:val="16"/>
                <w:lang w:val="en-US"/>
              </w:rPr>
              <w:t xml:space="preserve"> Dissolve 3.5 g of sodium thiosulfate (Na</w:t>
            </w:r>
            <w:r w:rsidRPr="00F01347">
              <w:rPr>
                <w:rFonts w:ascii="Verdana" w:hAnsi="Verdana"/>
                <w:sz w:val="16"/>
                <w:szCs w:val="16"/>
                <w:vertAlign w:val="subscript"/>
                <w:lang w:val="en-US"/>
              </w:rPr>
              <w:t>2</w:t>
            </w:r>
            <w:r w:rsidRPr="00F01347">
              <w:rPr>
                <w:rFonts w:ascii="Verdana" w:hAnsi="Verdana"/>
                <w:sz w:val="16"/>
                <w:szCs w:val="16"/>
                <w:lang w:val="en-US"/>
              </w:rPr>
              <w:t>S</w:t>
            </w:r>
            <w:r w:rsidRPr="00F01347">
              <w:rPr>
                <w:rFonts w:ascii="Verdana" w:hAnsi="Verdana"/>
                <w:sz w:val="16"/>
                <w:szCs w:val="16"/>
                <w:vertAlign w:val="subscript"/>
                <w:lang w:val="en-US"/>
              </w:rPr>
              <w:t>2</w:t>
            </w:r>
            <w:r w:rsidRPr="00F01347">
              <w:rPr>
                <w:rFonts w:ascii="Verdana" w:hAnsi="Verdana"/>
                <w:sz w:val="16"/>
                <w:szCs w:val="16"/>
                <w:lang w:val="en-US"/>
              </w:rPr>
              <w:t>O</w:t>
            </w:r>
            <w:r w:rsidRPr="00F01347">
              <w:rPr>
                <w:rFonts w:ascii="Verdana" w:hAnsi="Verdana"/>
                <w:sz w:val="16"/>
                <w:szCs w:val="16"/>
                <w:vertAlign w:val="subscript"/>
                <w:lang w:val="en-US"/>
              </w:rPr>
              <w:t>3</w:t>
            </w:r>
            <w:r w:rsidRPr="00F01347">
              <w:rPr>
                <w:rFonts w:ascii="Verdana" w:hAnsi="Verdana"/>
                <w:sz w:val="16"/>
                <w:szCs w:val="16"/>
                <w:lang w:val="en-US"/>
              </w:rPr>
              <w:t>5H</w:t>
            </w:r>
            <w:r w:rsidRPr="00F01347">
              <w:rPr>
                <w:rFonts w:ascii="Verdana" w:hAnsi="Verdana"/>
                <w:sz w:val="16"/>
                <w:szCs w:val="16"/>
                <w:vertAlign w:val="subscript"/>
                <w:lang w:val="en-US"/>
              </w:rPr>
              <w:t>2</w:t>
            </w:r>
            <w:r w:rsidRPr="00F01347">
              <w:rPr>
                <w:rFonts w:ascii="Verdana" w:hAnsi="Verdana"/>
                <w:sz w:val="16"/>
                <w:szCs w:val="16"/>
                <w:lang w:val="en-US"/>
              </w:rPr>
              <w:t>O) in water and dilute to 1 L. Prepare a fresh solution every week. Use 1 mL of this reagent to remove 1 mg/L of residual chlorine in 500 mL of sample.</w:t>
            </w:r>
          </w:p>
        </w:tc>
      </w:tr>
      <w:tr w:rsidR="007557BF" w:rsidRPr="00F01347" w14:paraId="1B3FCC47" w14:textId="092D4102" w:rsidTr="00A5493F">
        <w:tc>
          <w:tcPr>
            <w:tcW w:w="4675" w:type="dxa"/>
          </w:tcPr>
          <w:p w14:paraId="778A99EB"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b/>
                <w:sz w:val="16"/>
                <w:szCs w:val="16"/>
              </w:rPr>
              <w:t>Disolución amortiguadora de borato</w:t>
            </w:r>
            <w:r w:rsidRPr="00F01347">
              <w:rPr>
                <w:rFonts w:ascii="Verdana" w:hAnsi="Verdana"/>
                <w:sz w:val="16"/>
                <w:szCs w:val="16"/>
              </w:rPr>
              <w:t xml:space="preserve">. Añadir 88 </w:t>
            </w:r>
            <w:proofErr w:type="spellStart"/>
            <w:r w:rsidRPr="00F01347">
              <w:rPr>
                <w:rFonts w:ascii="Verdana" w:hAnsi="Verdana"/>
                <w:sz w:val="16"/>
                <w:szCs w:val="16"/>
              </w:rPr>
              <w:t>mL</w:t>
            </w:r>
            <w:proofErr w:type="spellEnd"/>
            <w:r w:rsidRPr="00F01347">
              <w:rPr>
                <w:rFonts w:ascii="Verdana" w:hAnsi="Verdana"/>
                <w:sz w:val="16"/>
                <w:szCs w:val="16"/>
              </w:rPr>
              <w:t xml:space="preserve"> de una disolución de NaOH 0.1 N a 500 </w:t>
            </w:r>
            <w:proofErr w:type="spellStart"/>
            <w:r w:rsidRPr="00F01347">
              <w:rPr>
                <w:rFonts w:ascii="Verdana" w:hAnsi="Verdana"/>
                <w:sz w:val="16"/>
                <w:szCs w:val="16"/>
              </w:rPr>
              <w:t>mL</w:t>
            </w:r>
            <w:proofErr w:type="spellEnd"/>
            <w:r w:rsidRPr="00F01347">
              <w:rPr>
                <w:rFonts w:ascii="Verdana" w:hAnsi="Verdana"/>
                <w:sz w:val="16"/>
                <w:szCs w:val="16"/>
              </w:rPr>
              <w:t xml:space="preserve"> aproximadamente de una disolución 0.025 M de </w:t>
            </w:r>
            <w:proofErr w:type="spellStart"/>
            <w:r w:rsidRPr="00F01347">
              <w:rPr>
                <w:rFonts w:ascii="Verdana" w:hAnsi="Verdana"/>
                <w:sz w:val="16"/>
                <w:szCs w:val="16"/>
              </w:rPr>
              <w:t>tetraborato</w:t>
            </w:r>
            <w:proofErr w:type="spellEnd"/>
            <w:r w:rsidRPr="00F01347">
              <w:rPr>
                <w:rFonts w:ascii="Verdana" w:hAnsi="Verdana"/>
                <w:sz w:val="16"/>
                <w:szCs w:val="16"/>
              </w:rPr>
              <w:t xml:space="preserve"> de sodio (Na</w:t>
            </w:r>
            <w:r w:rsidRPr="00F01347">
              <w:rPr>
                <w:rFonts w:ascii="Verdana" w:hAnsi="Verdana"/>
                <w:sz w:val="16"/>
                <w:szCs w:val="16"/>
                <w:vertAlign w:val="subscript"/>
              </w:rPr>
              <w:t>2</w:t>
            </w:r>
            <w:r w:rsidRPr="00F01347">
              <w:rPr>
                <w:rFonts w:ascii="Verdana" w:hAnsi="Verdana"/>
                <w:sz w:val="16"/>
                <w:szCs w:val="16"/>
              </w:rPr>
              <w:t>B</w:t>
            </w:r>
            <w:r w:rsidRPr="00F01347">
              <w:rPr>
                <w:rFonts w:ascii="Verdana" w:hAnsi="Verdana"/>
                <w:sz w:val="16"/>
                <w:szCs w:val="16"/>
                <w:vertAlign w:val="subscript"/>
              </w:rPr>
              <w:t>4</w:t>
            </w:r>
            <w:r w:rsidRPr="00F01347">
              <w:rPr>
                <w:rFonts w:ascii="Verdana" w:hAnsi="Verdana"/>
                <w:sz w:val="16"/>
                <w:szCs w:val="16"/>
              </w:rPr>
              <w:t>O</w:t>
            </w:r>
            <w:r w:rsidRPr="00F01347">
              <w:rPr>
                <w:rFonts w:ascii="Verdana" w:hAnsi="Verdana"/>
                <w:sz w:val="16"/>
                <w:szCs w:val="16"/>
                <w:vertAlign w:val="subscript"/>
              </w:rPr>
              <w:t>7</w:t>
            </w:r>
            <w:r w:rsidRPr="00F01347">
              <w:rPr>
                <w:rFonts w:ascii="Verdana" w:hAnsi="Verdana"/>
                <w:sz w:val="16"/>
                <w:szCs w:val="16"/>
              </w:rPr>
              <w:t>) (9.5 g Na</w:t>
            </w:r>
            <w:r w:rsidRPr="00F01347">
              <w:rPr>
                <w:rFonts w:ascii="Verdana" w:hAnsi="Verdana"/>
                <w:sz w:val="16"/>
                <w:szCs w:val="16"/>
                <w:vertAlign w:val="subscript"/>
              </w:rPr>
              <w:t>2</w:t>
            </w:r>
            <w:r w:rsidRPr="00F01347">
              <w:rPr>
                <w:rFonts w:ascii="Verdana" w:hAnsi="Verdana"/>
                <w:sz w:val="16"/>
                <w:szCs w:val="16"/>
              </w:rPr>
              <w:t>B</w:t>
            </w:r>
            <w:r w:rsidRPr="00F01347">
              <w:rPr>
                <w:rFonts w:ascii="Verdana" w:hAnsi="Verdana"/>
                <w:sz w:val="16"/>
                <w:szCs w:val="16"/>
                <w:vertAlign w:val="subscript"/>
              </w:rPr>
              <w:t>4</w:t>
            </w:r>
            <w:r w:rsidRPr="00F01347">
              <w:rPr>
                <w:rFonts w:ascii="Verdana" w:hAnsi="Verdana"/>
                <w:sz w:val="16"/>
                <w:szCs w:val="16"/>
              </w:rPr>
              <w:t>O</w:t>
            </w:r>
            <w:r w:rsidRPr="00F01347">
              <w:rPr>
                <w:rFonts w:ascii="Verdana" w:hAnsi="Verdana"/>
                <w:sz w:val="16"/>
                <w:szCs w:val="16"/>
                <w:vertAlign w:val="subscript"/>
              </w:rPr>
              <w:t>7</w:t>
            </w:r>
            <w:r w:rsidRPr="00F01347">
              <w:rPr>
                <w:rFonts w:ascii="Verdana" w:hAnsi="Verdana"/>
                <w:sz w:val="16"/>
                <w:szCs w:val="16"/>
              </w:rPr>
              <w:t>·10 H</w:t>
            </w:r>
            <w:r w:rsidRPr="00F01347">
              <w:rPr>
                <w:rFonts w:ascii="Verdana" w:hAnsi="Verdana"/>
                <w:sz w:val="16"/>
                <w:szCs w:val="16"/>
                <w:vertAlign w:val="subscript"/>
              </w:rPr>
              <w:t>2</w:t>
            </w:r>
            <w:r w:rsidRPr="00F01347">
              <w:rPr>
                <w:rFonts w:ascii="Verdana" w:hAnsi="Verdana"/>
                <w:sz w:val="16"/>
                <w:szCs w:val="16"/>
              </w:rPr>
              <w:t>O/L) y diluir a 1 L.</w:t>
            </w:r>
          </w:p>
        </w:tc>
        <w:tc>
          <w:tcPr>
            <w:tcW w:w="4675" w:type="dxa"/>
          </w:tcPr>
          <w:p w14:paraId="28238EF8" w14:textId="2D3B6A40"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sz w:val="16"/>
                <w:szCs w:val="16"/>
                <w:lang w:val="en-US"/>
              </w:rPr>
              <w:t>Borate buffer solution</w:t>
            </w:r>
            <w:r w:rsidR="003E1BA9" w:rsidRPr="00F01347">
              <w:rPr>
                <w:rFonts w:ascii="Verdana" w:hAnsi="Verdana"/>
                <w:b/>
                <w:sz w:val="16"/>
                <w:szCs w:val="16"/>
                <w:lang w:val="en-US"/>
              </w:rPr>
              <w:t>.</w:t>
            </w:r>
            <w:r w:rsidRPr="00F01347">
              <w:rPr>
                <w:rFonts w:ascii="Verdana" w:hAnsi="Verdana"/>
                <w:sz w:val="16"/>
                <w:szCs w:val="16"/>
                <w:lang w:val="en-US"/>
              </w:rPr>
              <w:t xml:space="preserve"> Add 88 mL of a 0.1 N NaOH solution to approximately 500 mL of a 0.025 M solution of sodium tetraborate (Na</w:t>
            </w:r>
            <w:r w:rsidRPr="00F01347">
              <w:rPr>
                <w:rFonts w:ascii="Verdana" w:hAnsi="Verdana"/>
                <w:sz w:val="16"/>
                <w:szCs w:val="16"/>
                <w:vertAlign w:val="subscript"/>
                <w:lang w:val="en-US"/>
              </w:rPr>
              <w:t>2</w:t>
            </w:r>
            <w:r w:rsidRPr="00F01347">
              <w:rPr>
                <w:rFonts w:ascii="Verdana" w:hAnsi="Verdana"/>
                <w:sz w:val="16"/>
                <w:szCs w:val="16"/>
                <w:lang w:val="en-US"/>
              </w:rPr>
              <w:t>B</w:t>
            </w:r>
            <w:r w:rsidRPr="00F01347">
              <w:rPr>
                <w:rFonts w:ascii="Verdana" w:hAnsi="Verdana"/>
                <w:sz w:val="16"/>
                <w:szCs w:val="16"/>
                <w:vertAlign w:val="subscript"/>
                <w:lang w:val="en-US"/>
              </w:rPr>
              <w:t>4</w:t>
            </w:r>
            <w:r w:rsidRPr="00F01347">
              <w:rPr>
                <w:rFonts w:ascii="Verdana" w:hAnsi="Verdana"/>
                <w:sz w:val="16"/>
                <w:szCs w:val="16"/>
                <w:lang w:val="en-US"/>
              </w:rPr>
              <w:t>O</w:t>
            </w:r>
            <w:r w:rsidRPr="00F01347">
              <w:rPr>
                <w:rFonts w:ascii="Verdana" w:hAnsi="Verdana"/>
                <w:sz w:val="16"/>
                <w:szCs w:val="16"/>
                <w:vertAlign w:val="subscript"/>
                <w:lang w:val="en-US"/>
              </w:rPr>
              <w:t>7</w:t>
            </w:r>
            <w:r w:rsidR="00913802" w:rsidRPr="00F01347">
              <w:rPr>
                <w:rFonts w:ascii="Verdana" w:hAnsi="Verdana"/>
                <w:sz w:val="16"/>
                <w:szCs w:val="16"/>
                <w:lang w:val="en-US"/>
              </w:rPr>
              <w:t>)</w:t>
            </w:r>
            <w:r w:rsidRPr="00F01347">
              <w:rPr>
                <w:rFonts w:ascii="Verdana" w:hAnsi="Verdana"/>
                <w:sz w:val="16"/>
                <w:szCs w:val="16"/>
                <w:lang w:val="en-US"/>
              </w:rPr>
              <w:t xml:space="preserve"> (9.5 g Na</w:t>
            </w:r>
            <w:r w:rsidRPr="00F01347">
              <w:rPr>
                <w:rFonts w:ascii="Verdana" w:hAnsi="Verdana"/>
                <w:sz w:val="16"/>
                <w:szCs w:val="16"/>
                <w:vertAlign w:val="subscript"/>
                <w:lang w:val="en-US"/>
              </w:rPr>
              <w:t>2</w:t>
            </w:r>
            <w:r w:rsidRPr="00F01347">
              <w:rPr>
                <w:rFonts w:ascii="Verdana" w:hAnsi="Verdana"/>
                <w:sz w:val="16"/>
                <w:szCs w:val="16"/>
                <w:lang w:val="en-US"/>
              </w:rPr>
              <w:t>B</w:t>
            </w:r>
            <w:r w:rsidRPr="00F01347">
              <w:rPr>
                <w:rFonts w:ascii="Verdana" w:hAnsi="Verdana"/>
                <w:sz w:val="16"/>
                <w:szCs w:val="16"/>
                <w:vertAlign w:val="subscript"/>
                <w:lang w:val="en-US"/>
              </w:rPr>
              <w:t>4</w:t>
            </w:r>
            <w:r w:rsidRPr="00F01347">
              <w:rPr>
                <w:rFonts w:ascii="Verdana" w:hAnsi="Verdana"/>
                <w:sz w:val="16"/>
                <w:szCs w:val="16"/>
                <w:lang w:val="en-US"/>
              </w:rPr>
              <w:t>O</w:t>
            </w:r>
            <w:r w:rsidRPr="00F01347">
              <w:rPr>
                <w:rFonts w:ascii="Verdana" w:hAnsi="Verdana"/>
                <w:sz w:val="16"/>
                <w:szCs w:val="16"/>
                <w:vertAlign w:val="subscript"/>
                <w:lang w:val="en-US"/>
              </w:rPr>
              <w:t xml:space="preserve">7 </w:t>
            </w:r>
            <w:r w:rsidRPr="00F01347">
              <w:rPr>
                <w:rFonts w:ascii="Verdana" w:hAnsi="Verdana"/>
                <w:sz w:val="16"/>
                <w:szCs w:val="16"/>
                <w:lang w:val="en-US"/>
              </w:rPr>
              <w:t>·10 H</w:t>
            </w:r>
            <w:r w:rsidRPr="00F01347">
              <w:rPr>
                <w:rFonts w:ascii="Verdana" w:hAnsi="Verdana"/>
                <w:sz w:val="16"/>
                <w:szCs w:val="16"/>
                <w:vertAlign w:val="subscript"/>
                <w:lang w:val="en-US"/>
              </w:rPr>
              <w:t xml:space="preserve">2 </w:t>
            </w:r>
            <w:r w:rsidRPr="00F01347">
              <w:rPr>
                <w:rFonts w:ascii="Verdana" w:hAnsi="Verdana"/>
                <w:sz w:val="16"/>
                <w:szCs w:val="16"/>
                <w:lang w:val="en-US"/>
              </w:rPr>
              <w:t>O/L) and dilute to 1 L.</w:t>
            </w:r>
          </w:p>
        </w:tc>
      </w:tr>
      <w:tr w:rsidR="007557BF" w:rsidRPr="00F01347" w14:paraId="1C8AEB9A" w14:textId="00E8672B" w:rsidTr="00A5493F">
        <w:tc>
          <w:tcPr>
            <w:tcW w:w="4675" w:type="dxa"/>
          </w:tcPr>
          <w:p w14:paraId="798C75AA"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b/>
                <w:sz w:val="16"/>
                <w:szCs w:val="16"/>
              </w:rPr>
              <w:t>Disolución indicadora de ácido bórico</w:t>
            </w:r>
            <w:r w:rsidRPr="00F01347">
              <w:rPr>
                <w:rFonts w:ascii="Verdana" w:hAnsi="Verdana"/>
                <w:sz w:val="16"/>
                <w:szCs w:val="16"/>
              </w:rPr>
              <w:t>. Disolver 20 g de H</w:t>
            </w:r>
            <w:r w:rsidRPr="00F01347">
              <w:rPr>
                <w:rFonts w:ascii="Verdana" w:hAnsi="Verdana"/>
                <w:sz w:val="16"/>
                <w:szCs w:val="16"/>
                <w:vertAlign w:val="subscript"/>
              </w:rPr>
              <w:t>3</w:t>
            </w:r>
            <w:r w:rsidRPr="00F01347">
              <w:rPr>
                <w:rFonts w:ascii="Verdana" w:hAnsi="Verdana"/>
                <w:sz w:val="16"/>
                <w:szCs w:val="16"/>
              </w:rPr>
              <w:t>BO</w:t>
            </w:r>
            <w:r w:rsidRPr="00F01347">
              <w:rPr>
                <w:rFonts w:ascii="Verdana" w:hAnsi="Verdana"/>
                <w:sz w:val="16"/>
                <w:szCs w:val="16"/>
                <w:vertAlign w:val="subscript"/>
              </w:rPr>
              <w:t>3</w:t>
            </w:r>
            <w:r w:rsidRPr="00F01347">
              <w:rPr>
                <w:rFonts w:ascii="Verdana" w:hAnsi="Verdana"/>
                <w:sz w:val="16"/>
                <w:szCs w:val="16"/>
              </w:rPr>
              <w:t xml:space="preserve"> en agua y diluir a 1 L</w:t>
            </w:r>
          </w:p>
        </w:tc>
        <w:tc>
          <w:tcPr>
            <w:tcW w:w="4675" w:type="dxa"/>
          </w:tcPr>
          <w:p w14:paraId="6ECA99E9" w14:textId="7118DA79"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sz w:val="16"/>
                <w:szCs w:val="16"/>
                <w:lang w:val="en-US"/>
              </w:rPr>
              <w:t>Boric acid indicator solution</w:t>
            </w:r>
            <w:r w:rsidR="003E1BA9" w:rsidRPr="00F01347">
              <w:rPr>
                <w:rFonts w:ascii="Verdana" w:hAnsi="Verdana"/>
                <w:b/>
                <w:sz w:val="16"/>
                <w:szCs w:val="16"/>
                <w:lang w:val="en-US"/>
              </w:rPr>
              <w:t>.</w:t>
            </w:r>
            <w:r w:rsidRPr="00F01347">
              <w:rPr>
                <w:rFonts w:ascii="Verdana" w:hAnsi="Verdana"/>
                <w:sz w:val="16"/>
                <w:szCs w:val="16"/>
                <w:lang w:val="en-US"/>
              </w:rPr>
              <w:t xml:space="preserve"> Dissolve 20 g of H</w:t>
            </w:r>
            <w:r w:rsidRPr="00F01347">
              <w:rPr>
                <w:rFonts w:ascii="Verdana" w:hAnsi="Verdana"/>
                <w:sz w:val="16"/>
                <w:szCs w:val="16"/>
                <w:vertAlign w:val="subscript"/>
                <w:lang w:val="en-US"/>
              </w:rPr>
              <w:t>3</w:t>
            </w:r>
            <w:r w:rsidRPr="00F01347">
              <w:rPr>
                <w:rFonts w:ascii="Verdana" w:hAnsi="Verdana"/>
                <w:sz w:val="16"/>
                <w:szCs w:val="16"/>
                <w:lang w:val="en-US"/>
              </w:rPr>
              <w:t>BO</w:t>
            </w:r>
            <w:r w:rsidRPr="00F01347">
              <w:rPr>
                <w:rFonts w:ascii="Verdana" w:hAnsi="Verdana"/>
                <w:sz w:val="16"/>
                <w:szCs w:val="16"/>
                <w:vertAlign w:val="subscript"/>
                <w:lang w:val="en-US"/>
              </w:rPr>
              <w:t xml:space="preserve">3 </w:t>
            </w:r>
            <w:r w:rsidRPr="00F01347">
              <w:rPr>
                <w:rFonts w:ascii="Verdana" w:hAnsi="Verdana"/>
                <w:sz w:val="16"/>
                <w:szCs w:val="16"/>
                <w:lang w:val="en-US"/>
              </w:rPr>
              <w:t>in water and dilute to 1 L</w:t>
            </w:r>
          </w:p>
        </w:tc>
      </w:tr>
      <w:tr w:rsidR="007557BF" w:rsidRPr="00F01347" w14:paraId="17682A2E" w14:textId="631B2AAE" w:rsidTr="00A5493F">
        <w:tc>
          <w:tcPr>
            <w:tcW w:w="4675" w:type="dxa"/>
          </w:tcPr>
          <w:p w14:paraId="187D3BB4" w14:textId="77777777" w:rsidR="007557BF" w:rsidRPr="00F01347" w:rsidRDefault="007557BF" w:rsidP="007557BF">
            <w:pPr>
              <w:pStyle w:val="texto0"/>
              <w:spacing w:line="218" w:lineRule="exact"/>
              <w:ind w:firstLine="0"/>
              <w:rPr>
                <w:rFonts w:ascii="Verdana" w:hAnsi="Verdana"/>
                <w:b/>
                <w:sz w:val="16"/>
                <w:szCs w:val="16"/>
              </w:rPr>
            </w:pPr>
            <w:r w:rsidRPr="00F01347">
              <w:rPr>
                <w:rFonts w:ascii="Verdana" w:hAnsi="Verdana"/>
                <w:b/>
                <w:sz w:val="16"/>
                <w:szCs w:val="16"/>
              </w:rPr>
              <w:t>B.7.5.4 Procedimiento</w:t>
            </w:r>
          </w:p>
        </w:tc>
        <w:tc>
          <w:tcPr>
            <w:tcW w:w="4675" w:type="dxa"/>
          </w:tcPr>
          <w:p w14:paraId="2441345F" w14:textId="32E57B93"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sz w:val="16"/>
                <w:szCs w:val="16"/>
                <w:lang w:val="en-US"/>
              </w:rPr>
              <w:t>B.7.5.4 Procedure</w:t>
            </w:r>
          </w:p>
        </w:tc>
      </w:tr>
      <w:tr w:rsidR="007557BF" w:rsidRPr="00F01347" w14:paraId="7A50554B" w14:textId="46168D40" w:rsidTr="00A5493F">
        <w:tc>
          <w:tcPr>
            <w:tcW w:w="4675" w:type="dxa"/>
          </w:tcPr>
          <w:p w14:paraId="1226EC9F"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t xml:space="preserve">Preparar el equipo añadiendo 500mL de agua a 20 </w:t>
            </w:r>
            <w:proofErr w:type="spellStart"/>
            <w:r w:rsidRPr="00F01347">
              <w:rPr>
                <w:rFonts w:ascii="Verdana" w:hAnsi="Verdana"/>
                <w:sz w:val="16"/>
                <w:szCs w:val="16"/>
              </w:rPr>
              <w:t>mL</w:t>
            </w:r>
            <w:proofErr w:type="spellEnd"/>
            <w:r w:rsidRPr="00F01347">
              <w:rPr>
                <w:rFonts w:ascii="Verdana" w:hAnsi="Verdana"/>
                <w:sz w:val="16"/>
                <w:szCs w:val="16"/>
              </w:rPr>
              <w:t xml:space="preserve"> del amortiguador de borato, ajustar el pH a 9.5 unidades de pH con una disolución de NaOH 6N y añadir a un matraz para destilación. Añadir unas cuantas perlas de vidrio y utilizar esta mezcla para purgar con vapor el aparato de destilación hasta que el destilado no muestre trazas de amoniaco.</w:t>
            </w:r>
          </w:p>
        </w:tc>
        <w:tc>
          <w:tcPr>
            <w:tcW w:w="4675" w:type="dxa"/>
          </w:tcPr>
          <w:p w14:paraId="6A35AE82" w14:textId="28C27232" w:rsidR="007557BF" w:rsidRPr="00F01347" w:rsidRDefault="007557BF" w:rsidP="007557BF">
            <w:pPr>
              <w:pStyle w:val="texto0"/>
              <w:spacing w:line="218" w:lineRule="exact"/>
              <w:ind w:firstLine="0"/>
              <w:rPr>
                <w:rFonts w:ascii="Verdana" w:hAnsi="Verdana"/>
                <w:sz w:val="16"/>
                <w:szCs w:val="16"/>
                <w:lang w:val="en-US"/>
              </w:rPr>
            </w:pPr>
            <w:r w:rsidRPr="00F01347">
              <w:rPr>
                <w:rFonts w:ascii="Verdana" w:hAnsi="Verdana"/>
                <w:sz w:val="16"/>
                <w:szCs w:val="16"/>
                <w:lang w:val="en-US"/>
              </w:rPr>
              <w:t>Prepare the equipment by adding 500 mL of water to 20 mL of the borate buffer, adjust the pH to 9.5 pH units with a 6N NaOH solution and add to a flask for distillation. Add a few glass beads and use this mixture to steam purge the distillation apparatus until the distillate shows no traces of ammonia.</w:t>
            </w:r>
          </w:p>
        </w:tc>
      </w:tr>
      <w:tr w:rsidR="007557BF" w:rsidRPr="00F01347" w14:paraId="4C4A107E" w14:textId="5DA70203" w:rsidTr="00A5493F">
        <w:tc>
          <w:tcPr>
            <w:tcW w:w="4675" w:type="dxa"/>
          </w:tcPr>
          <w:p w14:paraId="76E50DA9"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t xml:space="preserve">Preparar la muestra usando 500 </w:t>
            </w:r>
            <w:proofErr w:type="spellStart"/>
            <w:r w:rsidRPr="00F01347">
              <w:rPr>
                <w:rFonts w:ascii="Verdana" w:hAnsi="Verdana"/>
                <w:sz w:val="16"/>
                <w:szCs w:val="16"/>
              </w:rPr>
              <w:t>mL</w:t>
            </w:r>
            <w:proofErr w:type="spellEnd"/>
            <w:r w:rsidRPr="00F01347">
              <w:rPr>
                <w:rFonts w:ascii="Verdana" w:hAnsi="Verdana"/>
                <w:sz w:val="16"/>
                <w:szCs w:val="16"/>
              </w:rPr>
              <w:t xml:space="preserve"> de muestra </w:t>
            </w:r>
            <w:proofErr w:type="spellStart"/>
            <w:r w:rsidRPr="00F01347">
              <w:rPr>
                <w:rFonts w:ascii="Verdana" w:hAnsi="Verdana"/>
                <w:sz w:val="16"/>
                <w:szCs w:val="16"/>
              </w:rPr>
              <w:t>desclorinada</w:t>
            </w:r>
            <w:proofErr w:type="spellEnd"/>
            <w:r w:rsidRPr="00F01347">
              <w:rPr>
                <w:rFonts w:ascii="Verdana" w:hAnsi="Verdana"/>
                <w:sz w:val="16"/>
                <w:szCs w:val="16"/>
              </w:rPr>
              <w:t xml:space="preserve"> o una porción conocida diluida a 500 </w:t>
            </w:r>
            <w:proofErr w:type="spellStart"/>
            <w:r w:rsidRPr="00F01347">
              <w:rPr>
                <w:rFonts w:ascii="Verdana" w:hAnsi="Verdana"/>
                <w:sz w:val="16"/>
                <w:szCs w:val="16"/>
              </w:rPr>
              <w:t>mL</w:t>
            </w:r>
            <w:proofErr w:type="spellEnd"/>
            <w:r w:rsidRPr="00F01347">
              <w:rPr>
                <w:rFonts w:ascii="Verdana" w:hAnsi="Verdana"/>
                <w:sz w:val="16"/>
                <w:szCs w:val="16"/>
              </w:rPr>
              <w:t xml:space="preserve"> con agua reactivo. Cuando la concentración de NH</w:t>
            </w:r>
            <w:r w:rsidRPr="00F01347">
              <w:rPr>
                <w:rFonts w:ascii="Verdana" w:hAnsi="Verdana"/>
                <w:sz w:val="16"/>
                <w:szCs w:val="16"/>
                <w:vertAlign w:val="subscript"/>
              </w:rPr>
              <w:t>3</w:t>
            </w:r>
            <w:r w:rsidRPr="00F01347">
              <w:rPr>
                <w:rFonts w:ascii="Verdana" w:hAnsi="Verdana"/>
                <w:sz w:val="16"/>
                <w:szCs w:val="16"/>
              </w:rPr>
              <w:t xml:space="preserve">-N es menor a 100 µg/L utilizar un volumen de muestra de 1000 </w:t>
            </w:r>
            <w:proofErr w:type="spellStart"/>
            <w:r w:rsidRPr="00F01347">
              <w:rPr>
                <w:rFonts w:ascii="Verdana" w:hAnsi="Verdana"/>
                <w:sz w:val="16"/>
                <w:szCs w:val="16"/>
              </w:rPr>
              <w:t>mL</w:t>
            </w:r>
            <w:proofErr w:type="spellEnd"/>
            <w:r w:rsidRPr="00F01347">
              <w:rPr>
                <w:rFonts w:ascii="Verdana" w:hAnsi="Verdana"/>
                <w:sz w:val="16"/>
                <w:szCs w:val="16"/>
              </w:rPr>
              <w:t xml:space="preserve">. Remover el cloro residual añadiendo al momento del muestreo, reactivo de </w:t>
            </w:r>
            <w:proofErr w:type="spellStart"/>
            <w:r w:rsidRPr="00F01347">
              <w:rPr>
                <w:rFonts w:ascii="Verdana" w:hAnsi="Verdana"/>
                <w:sz w:val="16"/>
                <w:szCs w:val="16"/>
              </w:rPr>
              <w:t>descloración</w:t>
            </w:r>
            <w:proofErr w:type="spellEnd"/>
            <w:r w:rsidRPr="00F01347">
              <w:rPr>
                <w:rFonts w:ascii="Verdana" w:hAnsi="Verdana"/>
                <w:sz w:val="16"/>
                <w:szCs w:val="16"/>
              </w:rPr>
              <w:t xml:space="preserve"> equivalente al cloro residual presente en la muestra. Si es necesario neutralizar a un pH aproximado de 7 con ácido o base diluido utilizando un medidor de pH. Añadir 25 </w:t>
            </w:r>
            <w:proofErr w:type="spellStart"/>
            <w:r w:rsidRPr="00F01347">
              <w:rPr>
                <w:rFonts w:ascii="Verdana" w:hAnsi="Verdana"/>
                <w:sz w:val="16"/>
                <w:szCs w:val="16"/>
              </w:rPr>
              <w:t>mL</w:t>
            </w:r>
            <w:proofErr w:type="spellEnd"/>
            <w:r w:rsidRPr="00F01347">
              <w:rPr>
                <w:rFonts w:ascii="Verdana" w:hAnsi="Verdana"/>
                <w:sz w:val="16"/>
                <w:szCs w:val="16"/>
              </w:rPr>
              <w:t xml:space="preserve"> de disolución amortiguadora de borato y ajustar a un pH de 9.5 con NaOH 6 N utilizando un medidor de pH.</w:t>
            </w:r>
          </w:p>
        </w:tc>
        <w:tc>
          <w:tcPr>
            <w:tcW w:w="4675" w:type="dxa"/>
          </w:tcPr>
          <w:p w14:paraId="6B050F3E" w14:textId="611BF535" w:rsidR="007557BF" w:rsidRPr="00F01347" w:rsidRDefault="007557BF" w:rsidP="007557BF">
            <w:pPr>
              <w:pStyle w:val="texto0"/>
              <w:spacing w:line="218" w:lineRule="exact"/>
              <w:ind w:firstLine="0"/>
              <w:rPr>
                <w:rFonts w:ascii="Verdana" w:hAnsi="Verdana"/>
                <w:sz w:val="16"/>
                <w:szCs w:val="16"/>
                <w:lang w:val="en-US"/>
              </w:rPr>
            </w:pPr>
            <w:r w:rsidRPr="00F01347">
              <w:rPr>
                <w:rFonts w:ascii="Verdana" w:hAnsi="Verdana"/>
                <w:sz w:val="16"/>
                <w:szCs w:val="16"/>
                <w:lang w:val="en-US"/>
              </w:rPr>
              <w:t>Prepare the sample using 500 mL of dechlorinated sample or a known portion diluted to 500 mL with reagent water. When the concentration of NH</w:t>
            </w:r>
            <w:r w:rsidRPr="00F01347">
              <w:rPr>
                <w:rFonts w:ascii="Verdana" w:hAnsi="Verdana"/>
                <w:sz w:val="16"/>
                <w:szCs w:val="16"/>
                <w:vertAlign w:val="subscript"/>
                <w:lang w:val="en-US"/>
              </w:rPr>
              <w:t xml:space="preserve">3 </w:t>
            </w:r>
            <w:r w:rsidRPr="00F01347">
              <w:rPr>
                <w:rFonts w:ascii="Verdana" w:hAnsi="Verdana"/>
                <w:sz w:val="16"/>
                <w:szCs w:val="16"/>
                <w:lang w:val="en-US"/>
              </w:rPr>
              <w:t>-N is less than 100 µg/L, use a sample volume of 1000 mL</w:t>
            </w:r>
            <w:r w:rsidR="003E1BA9" w:rsidRPr="00F01347">
              <w:rPr>
                <w:rFonts w:ascii="Verdana" w:hAnsi="Verdana"/>
                <w:sz w:val="16"/>
                <w:szCs w:val="16"/>
                <w:lang w:val="en-US"/>
              </w:rPr>
              <w:t>.</w:t>
            </w:r>
            <w:r w:rsidRPr="00F01347">
              <w:rPr>
                <w:rFonts w:ascii="Verdana" w:hAnsi="Verdana"/>
                <w:sz w:val="16"/>
                <w:szCs w:val="16"/>
                <w:lang w:val="en-US"/>
              </w:rPr>
              <w:t xml:space="preserve"> Remove residual chlorine by adding </w:t>
            </w:r>
            <w:r w:rsidR="00ED2676" w:rsidRPr="00F01347">
              <w:rPr>
                <w:rFonts w:ascii="Verdana" w:hAnsi="Verdana"/>
                <w:sz w:val="16"/>
                <w:szCs w:val="16"/>
                <w:lang w:val="en-US"/>
              </w:rPr>
              <w:t>dichlorination</w:t>
            </w:r>
            <w:r w:rsidRPr="00F01347">
              <w:rPr>
                <w:rFonts w:ascii="Verdana" w:hAnsi="Verdana"/>
                <w:sz w:val="16"/>
                <w:szCs w:val="16"/>
                <w:lang w:val="en-US"/>
              </w:rPr>
              <w:t xml:space="preserve"> reagent equivalent to the residual chlorine present in the sample at the time of sampling. If </w:t>
            </w:r>
            <w:r w:rsidR="00ED2676" w:rsidRPr="00F01347">
              <w:rPr>
                <w:rFonts w:ascii="Verdana" w:hAnsi="Verdana"/>
                <w:sz w:val="16"/>
                <w:szCs w:val="16"/>
                <w:lang w:val="en-US"/>
              </w:rPr>
              <w:t>necessary,</w:t>
            </w:r>
            <w:r w:rsidRPr="00F01347">
              <w:rPr>
                <w:rFonts w:ascii="Verdana" w:hAnsi="Verdana"/>
                <w:sz w:val="16"/>
                <w:szCs w:val="16"/>
                <w:lang w:val="en-US"/>
              </w:rPr>
              <w:t xml:space="preserve"> neutralize to an approximate pH of 7 with dilute acid or base using a pH meter. Add 25 mL of borate buffer and adjust to a pH of 9.5 with 6 N NaOH using a pH meter.</w:t>
            </w:r>
          </w:p>
        </w:tc>
      </w:tr>
      <w:tr w:rsidR="007557BF" w:rsidRPr="00F01347" w14:paraId="30BCC830" w14:textId="26F3F4A1" w:rsidTr="00A5493F">
        <w:tc>
          <w:tcPr>
            <w:tcW w:w="4675" w:type="dxa"/>
          </w:tcPr>
          <w:p w14:paraId="5067949A"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t xml:space="preserve">Para minimizar la contaminación dejar el aparato de destilación ensamblado después de la purga con vapor y justa hasta antes de comenzar la destilación de la muestra. Desconectar el matraz de destilación e inmediatamente transferir la muestra del matraz al aparato de destilación. Destilar a una velocidad de </w:t>
            </w:r>
            <w:proofErr w:type="gramStart"/>
            <w:r w:rsidRPr="00F01347">
              <w:rPr>
                <w:rFonts w:ascii="Verdana" w:hAnsi="Verdana"/>
                <w:sz w:val="16"/>
                <w:szCs w:val="16"/>
              </w:rPr>
              <w:t>6  a</w:t>
            </w:r>
            <w:proofErr w:type="gramEnd"/>
            <w:r w:rsidRPr="00F01347">
              <w:rPr>
                <w:rFonts w:ascii="Verdana" w:hAnsi="Verdana"/>
                <w:sz w:val="16"/>
                <w:szCs w:val="16"/>
              </w:rPr>
              <w:t xml:space="preserve"> 10 </w:t>
            </w:r>
            <w:proofErr w:type="spellStart"/>
            <w:r w:rsidRPr="00F01347">
              <w:rPr>
                <w:rFonts w:ascii="Verdana" w:hAnsi="Verdana"/>
                <w:sz w:val="16"/>
                <w:szCs w:val="16"/>
              </w:rPr>
              <w:t>mL</w:t>
            </w:r>
            <w:proofErr w:type="spellEnd"/>
            <w:r w:rsidRPr="00F01347">
              <w:rPr>
                <w:rFonts w:ascii="Verdana" w:hAnsi="Verdana"/>
                <w:sz w:val="16"/>
                <w:szCs w:val="16"/>
              </w:rPr>
              <w:t>/min con la punta del tubo de salida debajo de la superficie de la disolución acida que recibe el destilado.</w:t>
            </w:r>
          </w:p>
        </w:tc>
        <w:tc>
          <w:tcPr>
            <w:tcW w:w="4675" w:type="dxa"/>
          </w:tcPr>
          <w:p w14:paraId="77FC84D9" w14:textId="130BB567" w:rsidR="007557BF" w:rsidRPr="00F01347" w:rsidRDefault="007557BF" w:rsidP="007557BF">
            <w:pPr>
              <w:pStyle w:val="texto0"/>
              <w:spacing w:line="218" w:lineRule="exact"/>
              <w:ind w:firstLine="0"/>
              <w:rPr>
                <w:rFonts w:ascii="Verdana" w:hAnsi="Verdana"/>
                <w:sz w:val="16"/>
                <w:szCs w:val="16"/>
                <w:lang w:val="en-US"/>
              </w:rPr>
            </w:pPr>
            <w:r w:rsidRPr="00F01347">
              <w:rPr>
                <w:rFonts w:ascii="Verdana" w:hAnsi="Verdana"/>
                <w:sz w:val="16"/>
                <w:szCs w:val="16"/>
                <w:lang w:val="en-US"/>
              </w:rPr>
              <w:t>To minimize contamination, leave the distillation apparatus assembled after steam purging and just before beginning sample distillation. Disconnect the distillation flask and immediately transfer the sample from the flask to the distillation apparatus. Distill at a rate of 6 to 10 mL /min with the tip of the outlet tube below the surface of the acid solution receiving the distillate.</w:t>
            </w:r>
          </w:p>
        </w:tc>
      </w:tr>
      <w:tr w:rsidR="007557BF" w:rsidRPr="00F01347" w14:paraId="47723600" w14:textId="17B52E0B" w:rsidTr="00A5493F">
        <w:tc>
          <w:tcPr>
            <w:tcW w:w="4675" w:type="dxa"/>
          </w:tcPr>
          <w:p w14:paraId="5558B706"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t xml:space="preserve">Recibir el destilado en un matraz Erlenmeyer de 500 </w:t>
            </w:r>
            <w:proofErr w:type="spellStart"/>
            <w:r w:rsidRPr="00F01347">
              <w:rPr>
                <w:rFonts w:ascii="Verdana" w:hAnsi="Verdana"/>
                <w:sz w:val="16"/>
                <w:szCs w:val="16"/>
              </w:rPr>
              <w:t>mL</w:t>
            </w:r>
            <w:proofErr w:type="spellEnd"/>
            <w:r w:rsidRPr="00F01347">
              <w:rPr>
                <w:rFonts w:ascii="Verdana" w:hAnsi="Verdana"/>
                <w:sz w:val="16"/>
                <w:szCs w:val="16"/>
              </w:rPr>
              <w:t xml:space="preserve"> de capacidad que contiene 50 </w:t>
            </w:r>
            <w:proofErr w:type="spellStart"/>
            <w:r w:rsidRPr="00F01347">
              <w:rPr>
                <w:rFonts w:ascii="Verdana" w:hAnsi="Verdana"/>
                <w:sz w:val="16"/>
                <w:szCs w:val="16"/>
              </w:rPr>
              <w:t>mL</w:t>
            </w:r>
            <w:proofErr w:type="spellEnd"/>
            <w:r w:rsidRPr="00F01347">
              <w:rPr>
                <w:rFonts w:ascii="Verdana" w:hAnsi="Verdana"/>
                <w:sz w:val="16"/>
                <w:szCs w:val="16"/>
              </w:rPr>
              <w:t xml:space="preserve"> de disolución indicadora de ácido bórico para el método por titulación (punto B.7.1, de este Apéndice). Destilar el amoniaco </w:t>
            </w:r>
            <w:r w:rsidRPr="00F01347">
              <w:rPr>
                <w:rFonts w:ascii="Verdana" w:hAnsi="Verdana"/>
                <w:sz w:val="16"/>
                <w:szCs w:val="16"/>
              </w:rPr>
              <w:lastRenderedPageBreak/>
              <w:t xml:space="preserve">en 50 </w:t>
            </w:r>
            <w:proofErr w:type="spellStart"/>
            <w:r w:rsidRPr="00F01347">
              <w:rPr>
                <w:rFonts w:ascii="Verdana" w:hAnsi="Verdana"/>
                <w:sz w:val="16"/>
                <w:szCs w:val="16"/>
              </w:rPr>
              <w:t>mL</w:t>
            </w:r>
            <w:proofErr w:type="spellEnd"/>
            <w:r w:rsidRPr="00F01347">
              <w:rPr>
                <w:rFonts w:ascii="Verdana" w:hAnsi="Verdana"/>
                <w:sz w:val="16"/>
                <w:szCs w:val="16"/>
              </w:rPr>
              <w:t xml:space="preserve"> de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0.04 N para el método por electrodo selectivo de amoníaco (punto B.7.2, de este Apéndice) y para el método con </w:t>
            </w:r>
            <w:proofErr w:type="spellStart"/>
            <w:r w:rsidRPr="00F01347">
              <w:rPr>
                <w:rFonts w:ascii="Verdana" w:hAnsi="Verdana"/>
                <w:sz w:val="16"/>
                <w:szCs w:val="16"/>
              </w:rPr>
              <w:t>fenato</w:t>
            </w:r>
            <w:proofErr w:type="spellEnd"/>
            <w:r w:rsidRPr="00F01347">
              <w:rPr>
                <w:rFonts w:ascii="Verdana" w:hAnsi="Verdana"/>
                <w:sz w:val="16"/>
                <w:szCs w:val="16"/>
              </w:rPr>
              <w:t xml:space="preserve"> (punto B.7.3, de este Apéndice). Recibir al menos 200 </w:t>
            </w:r>
            <w:proofErr w:type="spellStart"/>
            <w:proofErr w:type="gramStart"/>
            <w:r w:rsidRPr="00F01347">
              <w:rPr>
                <w:rFonts w:ascii="Verdana" w:hAnsi="Verdana"/>
                <w:sz w:val="16"/>
                <w:szCs w:val="16"/>
              </w:rPr>
              <w:t>mL</w:t>
            </w:r>
            <w:proofErr w:type="spellEnd"/>
            <w:r w:rsidRPr="00F01347">
              <w:rPr>
                <w:rFonts w:ascii="Verdana" w:hAnsi="Verdana"/>
                <w:sz w:val="16"/>
                <w:szCs w:val="16"/>
              </w:rPr>
              <w:t xml:space="preserve">  del</w:t>
            </w:r>
            <w:proofErr w:type="gramEnd"/>
            <w:r w:rsidRPr="00F01347">
              <w:rPr>
                <w:rFonts w:ascii="Verdana" w:hAnsi="Verdana"/>
                <w:sz w:val="16"/>
                <w:szCs w:val="16"/>
              </w:rPr>
              <w:t xml:space="preserve"> destilado.</w:t>
            </w:r>
          </w:p>
        </w:tc>
        <w:tc>
          <w:tcPr>
            <w:tcW w:w="4675" w:type="dxa"/>
          </w:tcPr>
          <w:p w14:paraId="1CB4279A" w14:textId="4EF62699" w:rsidR="007557BF" w:rsidRPr="00F01347" w:rsidRDefault="007557BF" w:rsidP="007557BF">
            <w:pPr>
              <w:pStyle w:val="texto0"/>
              <w:spacing w:line="218" w:lineRule="exact"/>
              <w:ind w:firstLine="0"/>
              <w:rPr>
                <w:rFonts w:ascii="Verdana" w:hAnsi="Verdana"/>
                <w:sz w:val="16"/>
                <w:szCs w:val="16"/>
                <w:lang w:val="en-US"/>
              </w:rPr>
            </w:pPr>
            <w:r w:rsidRPr="00F01347">
              <w:rPr>
                <w:rFonts w:ascii="Verdana" w:hAnsi="Verdana"/>
                <w:sz w:val="16"/>
                <w:szCs w:val="16"/>
                <w:lang w:val="en-US"/>
              </w:rPr>
              <w:lastRenderedPageBreak/>
              <w:t>Receive the distillate in a 500 mL capacity Erlenmeyer flask containing 50 mL of boric acid indicator solution for the titration method (point B.7.1, of this Appendix). Distill the ammonia in 50 mL of 0.04 N H</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 xml:space="preserve">4 </w:t>
            </w:r>
            <w:r w:rsidRPr="00F01347">
              <w:rPr>
                <w:rFonts w:ascii="Verdana" w:hAnsi="Verdana"/>
                <w:sz w:val="16"/>
                <w:szCs w:val="16"/>
                <w:lang w:val="en-US"/>
              </w:rPr>
              <w:t xml:space="preserve">for the </w:t>
            </w:r>
            <w:r w:rsidRPr="00F01347">
              <w:rPr>
                <w:rFonts w:ascii="Verdana" w:hAnsi="Verdana"/>
                <w:sz w:val="16"/>
                <w:szCs w:val="16"/>
                <w:lang w:val="en-US"/>
              </w:rPr>
              <w:lastRenderedPageBreak/>
              <w:t xml:space="preserve">ammonia selective electrode method (point B.7.2, of this Appendix) and for the phenate method </w:t>
            </w:r>
            <w:r w:rsidR="00CB209C" w:rsidRPr="00F01347">
              <w:rPr>
                <w:rFonts w:ascii="Verdana" w:hAnsi="Verdana"/>
                <w:sz w:val="16"/>
                <w:szCs w:val="16"/>
                <w:lang w:val="en-US"/>
              </w:rPr>
              <w:t>(</w:t>
            </w:r>
            <w:r w:rsidRPr="00F01347">
              <w:rPr>
                <w:rFonts w:ascii="Verdana" w:hAnsi="Verdana"/>
                <w:sz w:val="16"/>
                <w:szCs w:val="16"/>
                <w:lang w:val="en-US"/>
              </w:rPr>
              <w:t>point B.7.3, of this Appendix). Receive at least 200 mL of the distillate.</w:t>
            </w:r>
          </w:p>
        </w:tc>
      </w:tr>
      <w:tr w:rsidR="007557BF" w:rsidRPr="00F01347" w14:paraId="0964DE21" w14:textId="247FF242" w:rsidTr="00A5493F">
        <w:tc>
          <w:tcPr>
            <w:tcW w:w="4675" w:type="dxa"/>
          </w:tcPr>
          <w:p w14:paraId="038E6928"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lastRenderedPageBreak/>
              <w:t xml:space="preserve">Bajar el receptor de destilación de tal manera que el tubo de salida esté fuera del líquido y continuar la destilación durante dos minutos para limpiar el condensador y el tubo de salida. Diluir a 500 </w:t>
            </w:r>
            <w:proofErr w:type="spellStart"/>
            <w:r w:rsidRPr="00F01347">
              <w:rPr>
                <w:rFonts w:ascii="Verdana" w:hAnsi="Verdana"/>
                <w:sz w:val="16"/>
                <w:szCs w:val="16"/>
              </w:rPr>
              <w:t>mL</w:t>
            </w:r>
            <w:proofErr w:type="spellEnd"/>
            <w:r w:rsidRPr="00F01347">
              <w:rPr>
                <w:rFonts w:ascii="Verdana" w:hAnsi="Verdana"/>
                <w:sz w:val="16"/>
                <w:szCs w:val="16"/>
              </w:rPr>
              <w:t xml:space="preserve"> con agua reactivo.</w:t>
            </w:r>
          </w:p>
        </w:tc>
        <w:tc>
          <w:tcPr>
            <w:tcW w:w="4675" w:type="dxa"/>
          </w:tcPr>
          <w:p w14:paraId="5B7D8473" w14:textId="4403A859" w:rsidR="007557BF" w:rsidRPr="00F01347" w:rsidRDefault="007557BF" w:rsidP="007557BF">
            <w:pPr>
              <w:pStyle w:val="texto0"/>
              <w:spacing w:line="218" w:lineRule="exact"/>
              <w:ind w:firstLine="0"/>
              <w:rPr>
                <w:rFonts w:ascii="Verdana" w:hAnsi="Verdana"/>
                <w:sz w:val="16"/>
                <w:szCs w:val="16"/>
                <w:lang w:val="en-US"/>
              </w:rPr>
            </w:pPr>
            <w:r w:rsidRPr="00F01347">
              <w:rPr>
                <w:rFonts w:ascii="Verdana" w:hAnsi="Verdana"/>
                <w:sz w:val="16"/>
                <w:szCs w:val="16"/>
                <w:lang w:val="en-US"/>
              </w:rPr>
              <w:t>Lower the distillation receiver so that the outlet tube is out of the liquid and continue distillation for two minutes to clean the condenser and outlet tube. Dilute to 500 mL with reagent water.</w:t>
            </w:r>
          </w:p>
        </w:tc>
      </w:tr>
      <w:tr w:rsidR="007557BF" w:rsidRPr="00F01347" w14:paraId="095D2310" w14:textId="534BEB0D" w:rsidTr="00A5493F">
        <w:tc>
          <w:tcPr>
            <w:tcW w:w="4675" w:type="dxa"/>
          </w:tcPr>
          <w:p w14:paraId="7DAA4D1C" w14:textId="77777777" w:rsidR="007557BF" w:rsidRPr="00F01347" w:rsidRDefault="007557BF" w:rsidP="007557BF">
            <w:pPr>
              <w:pStyle w:val="texto0"/>
              <w:spacing w:line="226" w:lineRule="exact"/>
              <w:ind w:firstLine="0"/>
              <w:rPr>
                <w:rFonts w:ascii="Verdana" w:hAnsi="Verdana"/>
                <w:sz w:val="16"/>
                <w:szCs w:val="16"/>
              </w:rPr>
            </w:pPr>
            <w:r w:rsidRPr="00F01347">
              <w:rPr>
                <w:rFonts w:ascii="Verdana" w:hAnsi="Verdana"/>
                <w:sz w:val="16"/>
                <w:szCs w:val="16"/>
              </w:rPr>
              <w:t xml:space="preserve">Cuando el método con </w:t>
            </w:r>
            <w:proofErr w:type="spellStart"/>
            <w:r w:rsidRPr="00F01347">
              <w:rPr>
                <w:rFonts w:ascii="Verdana" w:hAnsi="Verdana"/>
                <w:sz w:val="16"/>
                <w:szCs w:val="16"/>
              </w:rPr>
              <w:t>fenato</w:t>
            </w:r>
            <w:proofErr w:type="spellEnd"/>
            <w:r w:rsidRPr="00F01347">
              <w:rPr>
                <w:rFonts w:ascii="Verdana" w:hAnsi="Verdana"/>
                <w:sz w:val="16"/>
                <w:szCs w:val="16"/>
              </w:rPr>
              <w:t xml:space="preserve"> es utilizado para determinar el NH</w:t>
            </w:r>
            <w:r w:rsidRPr="00F01347">
              <w:rPr>
                <w:rFonts w:ascii="Verdana" w:hAnsi="Verdana"/>
                <w:sz w:val="16"/>
                <w:szCs w:val="16"/>
                <w:vertAlign w:val="subscript"/>
              </w:rPr>
              <w:t>3</w:t>
            </w:r>
            <w:r w:rsidRPr="00F01347">
              <w:rPr>
                <w:rFonts w:ascii="Verdana" w:hAnsi="Verdana"/>
                <w:sz w:val="16"/>
                <w:szCs w:val="16"/>
              </w:rPr>
              <w:t>-N de debe neutralizar el destilado con una disolución de NaOH 1N.</w:t>
            </w:r>
          </w:p>
        </w:tc>
        <w:tc>
          <w:tcPr>
            <w:tcW w:w="4675" w:type="dxa"/>
          </w:tcPr>
          <w:p w14:paraId="22853109" w14:textId="4D907DB4" w:rsidR="007557BF" w:rsidRPr="00F01347" w:rsidRDefault="00ED2676" w:rsidP="007557BF">
            <w:pPr>
              <w:pStyle w:val="texto0"/>
              <w:spacing w:line="226" w:lineRule="exact"/>
              <w:ind w:firstLine="0"/>
              <w:rPr>
                <w:rFonts w:ascii="Verdana" w:hAnsi="Verdana"/>
                <w:sz w:val="16"/>
                <w:szCs w:val="16"/>
                <w:lang w:val="en-US"/>
              </w:rPr>
            </w:pPr>
            <w:r w:rsidRPr="00F01347">
              <w:rPr>
                <w:rFonts w:ascii="Verdana" w:hAnsi="Verdana"/>
                <w:sz w:val="16"/>
                <w:szCs w:val="16"/>
                <w:lang w:val="en-US"/>
              </w:rPr>
              <w:t xml:space="preserve">When the </w:t>
            </w:r>
            <w:r w:rsidR="007557BF" w:rsidRPr="00F01347">
              <w:rPr>
                <w:rFonts w:ascii="Verdana" w:hAnsi="Verdana"/>
                <w:sz w:val="16"/>
                <w:szCs w:val="16"/>
                <w:lang w:val="en-US"/>
              </w:rPr>
              <w:t>phenate method is used to determine NH</w:t>
            </w:r>
            <w:r w:rsidR="007557BF" w:rsidRPr="00F01347">
              <w:rPr>
                <w:rFonts w:ascii="Verdana" w:hAnsi="Verdana"/>
                <w:sz w:val="16"/>
                <w:szCs w:val="16"/>
                <w:vertAlign w:val="subscript"/>
                <w:lang w:val="en-US"/>
              </w:rPr>
              <w:t>3</w:t>
            </w:r>
            <w:r w:rsidR="007557BF" w:rsidRPr="00F01347">
              <w:rPr>
                <w:rFonts w:ascii="Verdana" w:hAnsi="Verdana"/>
                <w:sz w:val="16"/>
                <w:szCs w:val="16"/>
                <w:lang w:val="en-US"/>
              </w:rPr>
              <w:t>-N, the distillate must be neutralized with a 1N NaOH solution.</w:t>
            </w:r>
          </w:p>
        </w:tc>
      </w:tr>
      <w:tr w:rsidR="007557BF" w:rsidRPr="00F01347" w14:paraId="65199162" w14:textId="25427437" w:rsidTr="00A5493F">
        <w:tc>
          <w:tcPr>
            <w:tcW w:w="4675" w:type="dxa"/>
          </w:tcPr>
          <w:p w14:paraId="5516C1E7" w14:textId="77777777" w:rsidR="007557BF" w:rsidRPr="00F01347" w:rsidRDefault="007557BF" w:rsidP="007557BF">
            <w:pPr>
              <w:pStyle w:val="texto0"/>
              <w:spacing w:line="226" w:lineRule="exact"/>
              <w:ind w:firstLine="0"/>
              <w:rPr>
                <w:rFonts w:ascii="Verdana" w:hAnsi="Verdana"/>
                <w:sz w:val="16"/>
                <w:szCs w:val="16"/>
              </w:rPr>
            </w:pPr>
            <w:r w:rsidRPr="00F01347">
              <w:rPr>
                <w:rFonts w:ascii="Verdana" w:hAnsi="Verdana"/>
                <w:sz w:val="16"/>
                <w:szCs w:val="16"/>
              </w:rPr>
              <w:t xml:space="preserve">Posterior a la destilación, determinar el contenido de amoniaco por el método por titulación (punto B.7.1, de este Apéndice), el método por electrodo selectivo de amoníaco (punto B.7.2, de este Apéndice) o por el método con </w:t>
            </w:r>
            <w:proofErr w:type="spellStart"/>
            <w:r w:rsidRPr="00F01347">
              <w:rPr>
                <w:rFonts w:ascii="Verdana" w:hAnsi="Verdana"/>
                <w:sz w:val="16"/>
                <w:szCs w:val="16"/>
              </w:rPr>
              <w:t>fenato</w:t>
            </w:r>
            <w:proofErr w:type="spellEnd"/>
            <w:r w:rsidRPr="00F01347">
              <w:rPr>
                <w:rFonts w:ascii="Verdana" w:hAnsi="Verdana"/>
                <w:sz w:val="16"/>
                <w:szCs w:val="16"/>
              </w:rPr>
              <w:t xml:space="preserve"> (punto B.7.3, de este Apéndice).</w:t>
            </w:r>
          </w:p>
        </w:tc>
        <w:tc>
          <w:tcPr>
            <w:tcW w:w="4675" w:type="dxa"/>
          </w:tcPr>
          <w:p w14:paraId="01713933" w14:textId="00079E01" w:rsidR="007557BF" w:rsidRPr="00F01347" w:rsidRDefault="007557BF" w:rsidP="007557BF">
            <w:pPr>
              <w:pStyle w:val="texto0"/>
              <w:spacing w:line="226" w:lineRule="exact"/>
              <w:ind w:firstLine="0"/>
              <w:rPr>
                <w:rFonts w:ascii="Verdana" w:hAnsi="Verdana"/>
                <w:sz w:val="16"/>
                <w:szCs w:val="16"/>
                <w:lang w:val="en-US"/>
              </w:rPr>
            </w:pPr>
            <w:r w:rsidRPr="00F01347">
              <w:rPr>
                <w:rFonts w:ascii="Verdana" w:hAnsi="Verdana"/>
                <w:sz w:val="16"/>
                <w:szCs w:val="16"/>
                <w:lang w:val="en-US"/>
              </w:rPr>
              <w:t xml:space="preserve">After distillation, determine the ammonia content by the titration method (point B.7.1, of this Appendix), the ammonia selective electrode method (point B.7.2, of this Appendix) or by the phenate method </w:t>
            </w:r>
            <w:r w:rsidR="00CB209C" w:rsidRPr="00F01347">
              <w:rPr>
                <w:rFonts w:ascii="Verdana" w:hAnsi="Verdana"/>
                <w:sz w:val="16"/>
                <w:szCs w:val="16"/>
                <w:lang w:val="en-US"/>
              </w:rPr>
              <w:t>(</w:t>
            </w:r>
            <w:r w:rsidRPr="00F01347">
              <w:rPr>
                <w:rFonts w:ascii="Verdana" w:hAnsi="Verdana"/>
                <w:sz w:val="16"/>
                <w:szCs w:val="16"/>
                <w:lang w:val="en-US"/>
              </w:rPr>
              <w:t>point B.7.3, of this Appendix).</w:t>
            </w:r>
          </w:p>
        </w:tc>
      </w:tr>
      <w:tr w:rsidR="007557BF" w:rsidRPr="00F01347" w14:paraId="7E1AF61C" w14:textId="06C68B26" w:rsidTr="00A5493F">
        <w:tc>
          <w:tcPr>
            <w:tcW w:w="4675" w:type="dxa"/>
          </w:tcPr>
          <w:p w14:paraId="20EB4DF8" w14:textId="77777777" w:rsidR="007557BF" w:rsidRPr="00F01347" w:rsidRDefault="007557BF" w:rsidP="007557BF">
            <w:pPr>
              <w:pStyle w:val="texto0"/>
              <w:spacing w:line="226" w:lineRule="exact"/>
              <w:ind w:firstLine="0"/>
              <w:rPr>
                <w:rFonts w:ascii="Verdana" w:hAnsi="Verdana"/>
                <w:b/>
                <w:sz w:val="16"/>
                <w:szCs w:val="16"/>
                <w:lang w:val="en-US"/>
              </w:rPr>
            </w:pPr>
            <w:r w:rsidRPr="00F01347">
              <w:rPr>
                <w:rFonts w:ascii="Verdana" w:hAnsi="Verdana"/>
                <w:b/>
                <w:sz w:val="16"/>
                <w:szCs w:val="16"/>
                <w:lang w:val="en-US"/>
              </w:rPr>
              <w:t xml:space="preserve">B.7.5.5 </w:t>
            </w:r>
            <w:proofErr w:type="spellStart"/>
            <w:r w:rsidRPr="00F01347">
              <w:rPr>
                <w:rFonts w:ascii="Verdana" w:hAnsi="Verdana"/>
                <w:b/>
                <w:sz w:val="16"/>
                <w:szCs w:val="16"/>
                <w:lang w:val="en-US"/>
              </w:rPr>
              <w:t>Referencias</w:t>
            </w:r>
            <w:proofErr w:type="spellEnd"/>
          </w:p>
        </w:tc>
        <w:tc>
          <w:tcPr>
            <w:tcW w:w="4675" w:type="dxa"/>
          </w:tcPr>
          <w:p w14:paraId="09D4DD51" w14:textId="35DB4654" w:rsidR="007557BF" w:rsidRPr="00F01347" w:rsidRDefault="007557BF" w:rsidP="007557BF">
            <w:pPr>
              <w:pStyle w:val="texto0"/>
              <w:spacing w:line="226" w:lineRule="exact"/>
              <w:ind w:firstLine="0"/>
              <w:rPr>
                <w:rFonts w:ascii="Verdana" w:hAnsi="Verdana"/>
                <w:b/>
                <w:sz w:val="16"/>
                <w:szCs w:val="16"/>
                <w:lang w:val="en-US"/>
              </w:rPr>
            </w:pPr>
            <w:r w:rsidRPr="00F01347">
              <w:rPr>
                <w:rFonts w:ascii="Verdana" w:hAnsi="Verdana"/>
                <w:b/>
                <w:sz w:val="16"/>
                <w:szCs w:val="16"/>
                <w:lang w:val="en-US"/>
              </w:rPr>
              <w:t>B.7.5.5 References</w:t>
            </w:r>
          </w:p>
        </w:tc>
      </w:tr>
      <w:tr w:rsidR="007557BF" w:rsidRPr="00F01347" w14:paraId="740AF38C" w14:textId="2E4CCE27" w:rsidTr="00A5493F">
        <w:tc>
          <w:tcPr>
            <w:tcW w:w="4675" w:type="dxa"/>
          </w:tcPr>
          <w:p w14:paraId="6B609A43" w14:textId="77777777" w:rsidR="007557BF" w:rsidRPr="00F01347" w:rsidRDefault="007557BF" w:rsidP="007557BF">
            <w:pPr>
              <w:pStyle w:val="texto0"/>
              <w:spacing w:line="226" w:lineRule="exact"/>
              <w:ind w:firstLine="0"/>
              <w:rPr>
                <w:rFonts w:ascii="Verdana" w:hAnsi="Verdana"/>
                <w:sz w:val="16"/>
                <w:szCs w:val="16"/>
                <w:lang w:val="en-US"/>
              </w:rPr>
            </w:pPr>
            <w:r w:rsidRPr="00F01347">
              <w:rPr>
                <w:rFonts w:ascii="Verdana" w:hAnsi="Verdana"/>
                <w:sz w:val="16"/>
                <w:szCs w:val="16"/>
                <w:lang w:val="en-US"/>
              </w:rPr>
              <w:t>Standard methods for examination of water and wastewater. 4500-NH3 B. Preliminary distillation step.</w:t>
            </w:r>
          </w:p>
        </w:tc>
        <w:tc>
          <w:tcPr>
            <w:tcW w:w="4675" w:type="dxa"/>
          </w:tcPr>
          <w:p w14:paraId="538D6829" w14:textId="3825D67D" w:rsidR="007557BF" w:rsidRPr="00F01347" w:rsidRDefault="007557BF" w:rsidP="007557BF">
            <w:pPr>
              <w:pStyle w:val="texto0"/>
              <w:spacing w:line="226" w:lineRule="exact"/>
              <w:ind w:firstLine="0"/>
              <w:rPr>
                <w:rFonts w:ascii="Verdana" w:hAnsi="Verdana"/>
                <w:sz w:val="16"/>
                <w:szCs w:val="16"/>
                <w:lang w:val="en-US"/>
              </w:rPr>
            </w:pPr>
            <w:r w:rsidRPr="00F01347">
              <w:rPr>
                <w:rFonts w:ascii="Verdana" w:hAnsi="Verdana"/>
                <w:sz w:val="16"/>
                <w:szCs w:val="16"/>
                <w:lang w:val="en-US"/>
              </w:rPr>
              <w:t>Standard methods for examination of water and wastewater. 4500-NH3 B. Preliminary distillation step.</w:t>
            </w:r>
          </w:p>
        </w:tc>
      </w:tr>
      <w:tr w:rsidR="007557BF" w:rsidRPr="00F01347" w14:paraId="009DB215" w14:textId="42274D77" w:rsidTr="00A5493F">
        <w:tc>
          <w:tcPr>
            <w:tcW w:w="4675" w:type="dxa"/>
          </w:tcPr>
          <w:p w14:paraId="632E41C3" w14:textId="77777777" w:rsidR="007557BF" w:rsidRPr="00F01347" w:rsidRDefault="007557BF" w:rsidP="007557BF">
            <w:pPr>
              <w:pStyle w:val="texto0"/>
              <w:spacing w:line="226" w:lineRule="exact"/>
              <w:ind w:firstLine="0"/>
              <w:jc w:val="center"/>
              <w:rPr>
                <w:rFonts w:ascii="Verdana" w:hAnsi="Verdana"/>
                <w:b/>
                <w:sz w:val="16"/>
                <w:szCs w:val="16"/>
              </w:rPr>
            </w:pPr>
            <w:r w:rsidRPr="00F01347">
              <w:rPr>
                <w:rFonts w:ascii="Verdana" w:hAnsi="Verdana"/>
                <w:b/>
                <w:sz w:val="16"/>
                <w:szCs w:val="16"/>
              </w:rPr>
              <w:t>B.8 MÉTODO DE PRUEBA PARA LA DETERMINACIÓN DE YODO RESIDUAL LIBRE EN AGUA PARA USO Y CONSUMO HUMANO</w:t>
            </w:r>
          </w:p>
        </w:tc>
        <w:tc>
          <w:tcPr>
            <w:tcW w:w="4675" w:type="dxa"/>
          </w:tcPr>
          <w:p w14:paraId="78D39A81" w14:textId="1EA24850" w:rsidR="007557BF" w:rsidRPr="00F01347" w:rsidRDefault="007557BF" w:rsidP="007557BF">
            <w:pPr>
              <w:pStyle w:val="texto0"/>
              <w:spacing w:line="226" w:lineRule="exact"/>
              <w:ind w:firstLine="0"/>
              <w:jc w:val="center"/>
              <w:rPr>
                <w:rFonts w:ascii="Verdana" w:hAnsi="Verdana"/>
                <w:b/>
                <w:sz w:val="16"/>
                <w:szCs w:val="16"/>
                <w:lang w:val="en-US"/>
              </w:rPr>
            </w:pPr>
            <w:r w:rsidRPr="00F01347">
              <w:rPr>
                <w:rFonts w:ascii="Verdana" w:hAnsi="Verdana"/>
                <w:b/>
                <w:sz w:val="16"/>
                <w:szCs w:val="16"/>
                <w:lang w:val="en-US"/>
              </w:rPr>
              <w:t>B.8 TEST METHOD FOR THE DETERMINATION OF FREE RESIDUAL IODINE IN WATER FOR HUMAN USE AND CONSUMPTION</w:t>
            </w:r>
          </w:p>
        </w:tc>
      </w:tr>
      <w:tr w:rsidR="007557BF" w:rsidRPr="00F01347" w14:paraId="7DF62EFD" w14:textId="1781BF20" w:rsidTr="00A5493F">
        <w:tc>
          <w:tcPr>
            <w:tcW w:w="4675" w:type="dxa"/>
          </w:tcPr>
          <w:p w14:paraId="3CC573BF" w14:textId="77777777" w:rsidR="007557BF" w:rsidRPr="00F01347" w:rsidRDefault="007557BF" w:rsidP="007557BF">
            <w:pPr>
              <w:pStyle w:val="texto0"/>
              <w:spacing w:line="226" w:lineRule="exact"/>
              <w:ind w:firstLine="0"/>
              <w:rPr>
                <w:rFonts w:ascii="Verdana" w:hAnsi="Verdana"/>
                <w:sz w:val="16"/>
                <w:szCs w:val="16"/>
              </w:rPr>
            </w:pPr>
            <w:r w:rsidRPr="00F01347">
              <w:rPr>
                <w:rFonts w:ascii="Verdana" w:hAnsi="Verdana"/>
                <w:sz w:val="16"/>
                <w:szCs w:val="16"/>
              </w:rPr>
              <w:t xml:space="preserve">El yodo elemental no es un componente natural de las aguas naturales. El yodo se puede agregar al agua para uso y consumo humano para su desinfección. El uso de yodo generalmente está restringido a pequeños o remotos sistemas de abastecimiento de agua para uso y consumo donde la facilidad de aplicación, la estabilidad de almacenamiento y la inactividad hacia la materia orgánica son consideraciones importantes. Sin embargo, algunos de los metabolitos derivados de la hidrolisis del yodo elemental, como el ácido </w:t>
            </w:r>
            <w:proofErr w:type="spellStart"/>
            <w:r w:rsidRPr="00F01347">
              <w:rPr>
                <w:rFonts w:ascii="Verdana" w:hAnsi="Verdana"/>
                <w:sz w:val="16"/>
                <w:szCs w:val="16"/>
              </w:rPr>
              <w:t>hipoyodoso</w:t>
            </w:r>
            <w:proofErr w:type="spellEnd"/>
            <w:r w:rsidRPr="00F01347">
              <w:rPr>
                <w:rFonts w:ascii="Verdana" w:hAnsi="Verdana"/>
                <w:sz w:val="16"/>
                <w:szCs w:val="16"/>
              </w:rPr>
              <w:t xml:space="preserve"> (HOI) o el </w:t>
            </w:r>
            <w:proofErr w:type="spellStart"/>
            <w:r w:rsidRPr="00F01347">
              <w:rPr>
                <w:rFonts w:ascii="Verdana" w:hAnsi="Verdana"/>
                <w:sz w:val="16"/>
                <w:szCs w:val="16"/>
              </w:rPr>
              <w:t>hipoyodito</w:t>
            </w:r>
            <w:proofErr w:type="spellEnd"/>
            <w:r w:rsidRPr="00F01347">
              <w:rPr>
                <w:rFonts w:ascii="Verdana" w:hAnsi="Verdana"/>
                <w:sz w:val="16"/>
                <w:szCs w:val="16"/>
              </w:rPr>
              <w:t xml:space="preserve"> (OI</w:t>
            </w:r>
            <w:r w:rsidRPr="00F01347">
              <w:rPr>
                <w:rFonts w:ascii="Verdana" w:hAnsi="Verdana"/>
                <w:position w:val="4"/>
                <w:sz w:val="16"/>
                <w:szCs w:val="16"/>
              </w:rPr>
              <w:t>-</w:t>
            </w:r>
            <w:r w:rsidRPr="00F01347">
              <w:rPr>
                <w:rFonts w:ascii="Verdana" w:hAnsi="Verdana"/>
                <w:sz w:val="16"/>
                <w:szCs w:val="16"/>
              </w:rPr>
              <w:t xml:space="preserve">), pueden actuar como agente </w:t>
            </w:r>
            <w:proofErr w:type="spellStart"/>
            <w:r w:rsidRPr="00F01347">
              <w:rPr>
                <w:rFonts w:ascii="Verdana" w:hAnsi="Verdana"/>
                <w:sz w:val="16"/>
                <w:szCs w:val="16"/>
              </w:rPr>
              <w:t>yodinantes</w:t>
            </w:r>
            <w:proofErr w:type="spellEnd"/>
            <w:r w:rsidRPr="00F01347">
              <w:rPr>
                <w:rFonts w:ascii="Verdana" w:hAnsi="Verdana"/>
                <w:sz w:val="16"/>
                <w:szCs w:val="16"/>
              </w:rPr>
              <w:t>, reaccionando con compuestos orgánicos para formar compuestos orgánicos yodados.</w:t>
            </w:r>
          </w:p>
        </w:tc>
        <w:tc>
          <w:tcPr>
            <w:tcW w:w="4675" w:type="dxa"/>
          </w:tcPr>
          <w:p w14:paraId="678DE77E" w14:textId="201263F3" w:rsidR="007557BF" w:rsidRPr="00F01347" w:rsidRDefault="007557BF" w:rsidP="007557BF">
            <w:pPr>
              <w:pStyle w:val="texto0"/>
              <w:spacing w:line="226" w:lineRule="exact"/>
              <w:ind w:firstLine="0"/>
              <w:rPr>
                <w:rFonts w:ascii="Verdana" w:hAnsi="Verdana"/>
                <w:sz w:val="16"/>
                <w:szCs w:val="16"/>
                <w:lang w:val="en-US"/>
              </w:rPr>
            </w:pPr>
            <w:r w:rsidRPr="00F01347">
              <w:rPr>
                <w:rFonts w:ascii="Verdana" w:hAnsi="Verdana"/>
                <w:sz w:val="16"/>
                <w:szCs w:val="16"/>
                <w:lang w:val="en-US"/>
              </w:rPr>
              <w:t>Elemental iodine is not a natural component of natural waters. Iodine can be added to water for human use and consumption for disinfection. Iodine use is generally restricted to small or remote drinking water supply systems where ease of application, storage stability, and inactivity toward organic matter are important considerations. However, some of the metabolites derived from the hydrolysis of elemental iodine, such as hypoiodous acid (HOI) or hypoiodite (OI</w:t>
            </w:r>
            <w:r w:rsidRPr="00F01347">
              <w:rPr>
                <w:rFonts w:ascii="Verdana" w:hAnsi="Verdana"/>
                <w:position w:val="4"/>
                <w:sz w:val="16"/>
                <w:szCs w:val="16"/>
                <w:lang w:val="en-US"/>
              </w:rPr>
              <w:t>-</w:t>
            </w:r>
            <w:r w:rsidR="00913802" w:rsidRPr="00F01347">
              <w:rPr>
                <w:rFonts w:ascii="Verdana" w:hAnsi="Verdana"/>
                <w:position w:val="4"/>
                <w:sz w:val="16"/>
                <w:szCs w:val="16"/>
                <w:lang w:val="en-US"/>
              </w:rPr>
              <w:t>)</w:t>
            </w:r>
            <w:r w:rsidRPr="00F01347">
              <w:rPr>
                <w:rFonts w:ascii="Verdana" w:hAnsi="Verdana"/>
                <w:position w:val="4"/>
                <w:sz w:val="16"/>
                <w:szCs w:val="16"/>
                <w:lang w:val="en-US"/>
              </w:rPr>
              <w:t xml:space="preserve">, </w:t>
            </w:r>
            <w:r w:rsidR="00FC48A8" w:rsidRPr="00F01347">
              <w:rPr>
                <w:rFonts w:ascii="Verdana" w:hAnsi="Verdana"/>
                <w:sz w:val="16"/>
                <w:szCs w:val="16"/>
                <w:lang w:val="en-US"/>
              </w:rPr>
              <w:t>can act as i</w:t>
            </w:r>
            <w:r w:rsidRPr="00F01347">
              <w:rPr>
                <w:rFonts w:ascii="Verdana" w:hAnsi="Verdana"/>
                <w:sz w:val="16"/>
                <w:szCs w:val="16"/>
                <w:lang w:val="en-US"/>
              </w:rPr>
              <w:t>odinating agents</w:t>
            </w:r>
            <w:r w:rsidR="003E1BA9" w:rsidRPr="00F01347">
              <w:rPr>
                <w:rFonts w:ascii="Verdana" w:hAnsi="Verdana"/>
                <w:sz w:val="16"/>
                <w:szCs w:val="16"/>
                <w:lang w:val="en-US"/>
              </w:rPr>
              <w:t>,</w:t>
            </w:r>
            <w:r w:rsidRPr="00F01347">
              <w:rPr>
                <w:rFonts w:ascii="Verdana" w:hAnsi="Verdana"/>
                <w:sz w:val="16"/>
                <w:szCs w:val="16"/>
                <w:lang w:val="en-US"/>
              </w:rPr>
              <w:t xml:space="preserve"> reacting with organic compounds to form iodinated organic compounds.</w:t>
            </w:r>
          </w:p>
        </w:tc>
      </w:tr>
      <w:tr w:rsidR="007557BF" w:rsidRPr="00F01347" w14:paraId="055275DA" w14:textId="357B84B5" w:rsidTr="00A5493F">
        <w:tc>
          <w:tcPr>
            <w:tcW w:w="4675" w:type="dxa"/>
          </w:tcPr>
          <w:p w14:paraId="6875ABF3" w14:textId="77777777" w:rsidR="007557BF" w:rsidRPr="00F01347" w:rsidRDefault="007557BF" w:rsidP="007557BF">
            <w:pPr>
              <w:pStyle w:val="texto0"/>
              <w:spacing w:line="226" w:lineRule="exact"/>
              <w:ind w:firstLine="0"/>
              <w:rPr>
                <w:rFonts w:ascii="Verdana" w:hAnsi="Verdana"/>
                <w:sz w:val="16"/>
                <w:szCs w:val="16"/>
              </w:rPr>
            </w:pPr>
            <w:r w:rsidRPr="00F01347">
              <w:rPr>
                <w:rFonts w:ascii="Verdana" w:hAnsi="Verdana"/>
                <w:sz w:val="16"/>
                <w:szCs w:val="16"/>
              </w:rPr>
              <w:t>El yodo se aplica en forma elemental o se produce in situ mediante la adición simultánea de una sal de yoduro y un oxidante adecuado. En este último caso, un exceso de yoduro puede ser mantenido para servir como un reservorio para la producción de yodo, por lo que la determinación del yoduro es necesaria para el control de su uso como desinfectante de agua para uso y consumo humano y con el fin de que la población no esté expuesta a concentración innecesariamente altas de yodo.</w:t>
            </w:r>
          </w:p>
        </w:tc>
        <w:tc>
          <w:tcPr>
            <w:tcW w:w="4675" w:type="dxa"/>
          </w:tcPr>
          <w:p w14:paraId="5E9EEE7E" w14:textId="3355C617" w:rsidR="007557BF" w:rsidRPr="00F01347" w:rsidRDefault="007557BF" w:rsidP="007557BF">
            <w:pPr>
              <w:pStyle w:val="texto0"/>
              <w:spacing w:line="226" w:lineRule="exact"/>
              <w:ind w:firstLine="0"/>
              <w:rPr>
                <w:rFonts w:ascii="Verdana" w:hAnsi="Verdana"/>
                <w:sz w:val="16"/>
                <w:szCs w:val="16"/>
                <w:lang w:val="en-US"/>
              </w:rPr>
            </w:pPr>
            <w:r w:rsidRPr="00F01347">
              <w:rPr>
                <w:rFonts w:ascii="Verdana" w:hAnsi="Verdana"/>
                <w:sz w:val="16"/>
                <w:szCs w:val="16"/>
                <w:lang w:val="en-US"/>
              </w:rPr>
              <w:t xml:space="preserve">Iodine is applied in elemental form or produced in situ by the simultaneous addition of an iodide salt and a suitable oxidant. In the latter case, an excess of iodide can be maintained to serve as a reservoir </w:t>
            </w:r>
            <w:proofErr w:type="gramStart"/>
            <w:r w:rsidRPr="00F01347">
              <w:rPr>
                <w:rFonts w:ascii="Verdana" w:hAnsi="Verdana"/>
                <w:sz w:val="16"/>
                <w:szCs w:val="16"/>
                <w:lang w:val="en-US"/>
              </w:rPr>
              <w:t>for the production of</w:t>
            </w:r>
            <w:proofErr w:type="gramEnd"/>
            <w:r w:rsidRPr="00F01347">
              <w:rPr>
                <w:rFonts w:ascii="Verdana" w:hAnsi="Verdana"/>
                <w:sz w:val="16"/>
                <w:szCs w:val="16"/>
                <w:lang w:val="en-US"/>
              </w:rPr>
              <w:t xml:space="preserve"> iodine, so the determination of iodide is necessary to control its use as a water disinfectant for human use and consumption and with the so that the population is not exposed to unnecessarily high concentrations of iodine.</w:t>
            </w:r>
          </w:p>
        </w:tc>
      </w:tr>
      <w:tr w:rsidR="007557BF" w:rsidRPr="00F01347" w14:paraId="10D6EE19" w14:textId="74C26200" w:rsidTr="00A5493F">
        <w:tc>
          <w:tcPr>
            <w:tcW w:w="4675" w:type="dxa"/>
          </w:tcPr>
          <w:p w14:paraId="477FE73D"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 xml:space="preserve">Sin embargo, no existe un método generalmente aceptado para la determinación de cada una de las especies individuales o metabolitos derivados de la hidrolisis de yodo y la mayoría de los métodos analíticos y de campo utilizan el poder oxidante de todas las formas de yodo activo para su determinación y los </w:t>
            </w:r>
            <w:r w:rsidRPr="00F01347">
              <w:rPr>
                <w:rFonts w:ascii="Verdana" w:hAnsi="Verdana"/>
                <w:sz w:val="16"/>
                <w:szCs w:val="16"/>
              </w:rPr>
              <w:lastRenderedPageBreak/>
              <w:t>resultados suelen expresarse como una concentración equivalente de yodo elemental o yodo residual libre.</w:t>
            </w:r>
          </w:p>
        </w:tc>
        <w:tc>
          <w:tcPr>
            <w:tcW w:w="4675" w:type="dxa"/>
          </w:tcPr>
          <w:p w14:paraId="60368838" w14:textId="7C9D1E3E"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lastRenderedPageBreak/>
              <w:t xml:space="preserve">However, there is no generally accepted method for the determination of each of the individual species or metabolites derived from iodine hydrolysis and most analytical and field methods use the oxidizing power of all forms of active iodine for their determination. determination and the results are usually expressed as </w:t>
            </w:r>
            <w:r w:rsidRPr="00F01347">
              <w:rPr>
                <w:rFonts w:ascii="Verdana" w:hAnsi="Verdana"/>
                <w:sz w:val="16"/>
                <w:szCs w:val="16"/>
                <w:lang w:val="en-US"/>
              </w:rPr>
              <w:lastRenderedPageBreak/>
              <w:t>an equivalent concentration of elemental iodine or free residual iodine.</w:t>
            </w:r>
          </w:p>
        </w:tc>
      </w:tr>
      <w:tr w:rsidR="007557BF" w:rsidRPr="00F01347" w14:paraId="5A4A9E70" w14:textId="3F4E17D8" w:rsidTr="00A5493F">
        <w:tc>
          <w:tcPr>
            <w:tcW w:w="4675" w:type="dxa"/>
          </w:tcPr>
          <w:p w14:paraId="2078EDE1"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lastRenderedPageBreak/>
              <w:t>Con la finalidad de proteger la salud de la población es importante que la determinación de los residuales de la desinfección como el yodo se realice en campo directamente in situ en la toma domiciliaria o en la red de distribución, por lo que el uso de métodos de campo (punto B.8.1, de este Apéndice) es necesario.</w:t>
            </w:r>
          </w:p>
        </w:tc>
        <w:tc>
          <w:tcPr>
            <w:tcW w:w="4675" w:type="dxa"/>
          </w:tcPr>
          <w:p w14:paraId="31F586CC" w14:textId="329E3213" w:rsidR="007557BF" w:rsidRPr="00F01347" w:rsidRDefault="007557BF" w:rsidP="007557BF">
            <w:pPr>
              <w:pStyle w:val="texto0"/>
              <w:spacing w:line="220" w:lineRule="exact"/>
              <w:ind w:firstLine="0"/>
              <w:rPr>
                <w:rFonts w:ascii="Verdana" w:hAnsi="Verdana"/>
                <w:sz w:val="16"/>
                <w:szCs w:val="16"/>
                <w:lang w:val="en-US"/>
              </w:rPr>
            </w:pP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protect the health of the population, it is important that the determination of disinfection residuals such as iodine be carried out in the field directly in situ at the household intake or in the distribution network, so the use of methods of field (point B.8.1, of this Appendix) is necessary.</w:t>
            </w:r>
          </w:p>
        </w:tc>
      </w:tr>
      <w:tr w:rsidR="007557BF" w:rsidRPr="00F01347" w14:paraId="3A40BCCA" w14:textId="22638249" w:rsidTr="00A5493F">
        <w:tc>
          <w:tcPr>
            <w:tcW w:w="4675" w:type="dxa"/>
          </w:tcPr>
          <w:p w14:paraId="7BAD1663"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Sin embargo, de ser necesaria la determinación en laboratorio de yodo residual libre en agua para uso y consumo humano tratada con yodo elemental puede realizarse a través de los métodos de titulación amperométrica o colorimétrico de cristal violeta-leuco referidos en el punto B.8.2, de este Apéndice.</w:t>
            </w:r>
          </w:p>
        </w:tc>
        <w:tc>
          <w:tcPr>
            <w:tcW w:w="4675" w:type="dxa"/>
          </w:tcPr>
          <w:p w14:paraId="5E89DC92" w14:textId="79F3DEFC"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However, if the laboratory determination of free residual iodine in water for human use and consumption treated with elemental iodine is necessary, it can be carried out through the </w:t>
            </w:r>
            <w:proofErr w:type="spellStart"/>
            <w:proofErr w:type="gramStart"/>
            <w:r w:rsidRPr="00F01347">
              <w:rPr>
                <w:rFonts w:ascii="Verdana" w:hAnsi="Verdana"/>
                <w:sz w:val="16"/>
                <w:szCs w:val="16"/>
                <w:lang w:val="en-US"/>
              </w:rPr>
              <w:t>amperometric</w:t>
            </w:r>
            <w:proofErr w:type="spellEnd"/>
            <w:proofErr w:type="gramEnd"/>
            <w:r w:rsidRPr="00F01347">
              <w:rPr>
                <w:rFonts w:ascii="Verdana" w:hAnsi="Verdana"/>
                <w:sz w:val="16"/>
                <w:szCs w:val="16"/>
                <w:lang w:val="en-US"/>
              </w:rPr>
              <w:t xml:space="preserve"> or colorimetric crystal violet-</w:t>
            </w:r>
            <w:proofErr w:type="spellStart"/>
            <w:r w:rsidRPr="00F01347">
              <w:rPr>
                <w:rFonts w:ascii="Verdana" w:hAnsi="Verdana"/>
                <w:sz w:val="16"/>
                <w:szCs w:val="16"/>
                <w:lang w:val="en-US"/>
              </w:rPr>
              <w:t>leuco</w:t>
            </w:r>
            <w:proofErr w:type="spellEnd"/>
            <w:r w:rsidRPr="00F01347">
              <w:rPr>
                <w:rFonts w:ascii="Verdana" w:hAnsi="Verdana"/>
                <w:sz w:val="16"/>
                <w:szCs w:val="16"/>
                <w:lang w:val="en-US"/>
              </w:rPr>
              <w:t xml:space="preserve"> titration methods referred to in point B.8.2. of this Appendix.</w:t>
            </w:r>
          </w:p>
        </w:tc>
      </w:tr>
      <w:tr w:rsidR="007557BF" w:rsidRPr="00F01347" w14:paraId="2CA5B39F" w14:textId="12D0D5BB" w:rsidTr="00A5493F">
        <w:tc>
          <w:tcPr>
            <w:tcW w:w="4675" w:type="dxa"/>
          </w:tcPr>
          <w:p w14:paraId="60976FB7" w14:textId="77777777" w:rsidR="007557BF" w:rsidRPr="00F01347" w:rsidRDefault="007557BF" w:rsidP="007557BF">
            <w:pPr>
              <w:pStyle w:val="texto0"/>
              <w:spacing w:line="220" w:lineRule="exact"/>
              <w:ind w:firstLine="0"/>
              <w:jc w:val="center"/>
              <w:rPr>
                <w:rFonts w:ascii="Verdana" w:hAnsi="Verdana"/>
                <w:b/>
                <w:sz w:val="16"/>
                <w:szCs w:val="16"/>
              </w:rPr>
            </w:pPr>
            <w:r w:rsidRPr="00F01347">
              <w:rPr>
                <w:rFonts w:ascii="Verdana" w:hAnsi="Verdana"/>
                <w:b/>
                <w:sz w:val="16"/>
                <w:szCs w:val="16"/>
              </w:rPr>
              <w:t>B.8.1 MÉTODO DE PRUEBA PARA LA DETERMINACIÓN DE YODO RESIDUAL LIBRE EN AGUA PARA USO Y CONSUMO HUMANO EN TOMA DOMICILIARIA O EN RED DE DISTRIBUCIÓN IN SITU POR MEDIO DE KITS COLORIMETRICOS O FOTOMETRICOS</w:t>
            </w:r>
          </w:p>
        </w:tc>
        <w:tc>
          <w:tcPr>
            <w:tcW w:w="4675" w:type="dxa"/>
          </w:tcPr>
          <w:p w14:paraId="70A428DE" w14:textId="1BBE72D1" w:rsidR="007557BF" w:rsidRPr="00F01347" w:rsidRDefault="007557BF" w:rsidP="007557BF">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B.8.1 TEST METHOD FOR THE DETERMINATION OF FREE RESIDUAL IODINE IN WATER FOR HUMAN USE AND CONSUMPTION IN HOME INSTALLATION OR IN THE ON-SITE DISTRIBUTION NETWORK USING COLORIMETRIC OR PHOTOMETRIC KITS</w:t>
            </w:r>
          </w:p>
        </w:tc>
      </w:tr>
      <w:tr w:rsidR="007557BF" w:rsidRPr="00F01347" w14:paraId="56C4A7E1" w14:textId="6B1A1EA7" w:rsidTr="00A5493F">
        <w:tc>
          <w:tcPr>
            <w:tcW w:w="4675" w:type="dxa"/>
          </w:tcPr>
          <w:p w14:paraId="6BE8A311"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B.8.1.1 Principio</w:t>
            </w:r>
          </w:p>
        </w:tc>
        <w:tc>
          <w:tcPr>
            <w:tcW w:w="4675" w:type="dxa"/>
          </w:tcPr>
          <w:p w14:paraId="6416E587" w14:textId="74478CC5"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B.8.1.1 Principle</w:t>
            </w:r>
          </w:p>
        </w:tc>
      </w:tr>
      <w:tr w:rsidR="007557BF" w:rsidRPr="00F01347" w14:paraId="4DFDC329" w14:textId="0E8AC9FA" w:rsidTr="00A5493F">
        <w:tc>
          <w:tcPr>
            <w:tcW w:w="4675" w:type="dxa"/>
          </w:tcPr>
          <w:p w14:paraId="5169415F"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Existen diversos kits comercialmente disponibles para la determinación de la concentración de yodo residual libre a través de la cuantificación del poder oxidante de todas las formas de yodo activo por medio de métodos colorimétricos o fotométricos.</w:t>
            </w:r>
          </w:p>
        </w:tc>
        <w:tc>
          <w:tcPr>
            <w:tcW w:w="4675" w:type="dxa"/>
          </w:tcPr>
          <w:p w14:paraId="7D7347CB" w14:textId="77F06164"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There are various commercially available kits for determining the concentration of free residual iodine through the quantification of the oxidizing power of all forms of active iodine by means of colorimetric or photometric methods.</w:t>
            </w:r>
          </w:p>
        </w:tc>
      </w:tr>
      <w:tr w:rsidR="007557BF" w:rsidRPr="00F01347" w14:paraId="559F1778" w14:textId="0881DA43" w:rsidTr="00A5493F">
        <w:tc>
          <w:tcPr>
            <w:tcW w:w="4675" w:type="dxa"/>
          </w:tcPr>
          <w:p w14:paraId="1B34DA15"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B.8.1.2 Alcance y aplicación</w:t>
            </w:r>
          </w:p>
        </w:tc>
        <w:tc>
          <w:tcPr>
            <w:tcW w:w="4675" w:type="dxa"/>
          </w:tcPr>
          <w:p w14:paraId="789F034C" w14:textId="5BD53509"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B.8.1.2 Scope and application</w:t>
            </w:r>
          </w:p>
        </w:tc>
      </w:tr>
      <w:tr w:rsidR="007557BF" w:rsidRPr="00F01347" w14:paraId="5E6E7408" w14:textId="4AA1958E" w:rsidTr="00A5493F">
        <w:tc>
          <w:tcPr>
            <w:tcW w:w="4675" w:type="dxa"/>
          </w:tcPr>
          <w:p w14:paraId="53542724"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Este método es utilizado para la determinación de yodo residual libre a través del uso de kits colorimétricos o fotométricos en muestras de agua para uso y consumo humano colectadas en la toma domiciliaria o en la red de distribución.</w:t>
            </w:r>
          </w:p>
        </w:tc>
        <w:tc>
          <w:tcPr>
            <w:tcW w:w="4675" w:type="dxa"/>
          </w:tcPr>
          <w:p w14:paraId="33F33756" w14:textId="1D606FEA"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This method is used for the determination of free residual iodine </w:t>
            </w:r>
            <w:proofErr w:type="gramStart"/>
            <w:r w:rsidRPr="00F01347">
              <w:rPr>
                <w:rFonts w:ascii="Verdana" w:hAnsi="Verdana"/>
                <w:sz w:val="16"/>
                <w:szCs w:val="16"/>
                <w:lang w:val="en-US"/>
              </w:rPr>
              <w:t>through the use of</w:t>
            </w:r>
            <w:proofErr w:type="gramEnd"/>
            <w:r w:rsidRPr="00F01347">
              <w:rPr>
                <w:rFonts w:ascii="Verdana" w:hAnsi="Verdana"/>
                <w:sz w:val="16"/>
                <w:szCs w:val="16"/>
                <w:lang w:val="en-US"/>
              </w:rPr>
              <w:t xml:space="preserve"> colorimetric or photometric kits in water samples for human use and consumption collected at home intake or in the distribution network.</w:t>
            </w:r>
          </w:p>
        </w:tc>
      </w:tr>
      <w:tr w:rsidR="007557BF" w:rsidRPr="00F01347" w14:paraId="432F0CA0" w14:textId="598B51B8" w:rsidTr="00A5493F">
        <w:tc>
          <w:tcPr>
            <w:tcW w:w="4675" w:type="dxa"/>
          </w:tcPr>
          <w:p w14:paraId="4E663C95"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B.8.1.3 Equipos y materiales</w:t>
            </w:r>
          </w:p>
        </w:tc>
        <w:tc>
          <w:tcPr>
            <w:tcW w:w="4675" w:type="dxa"/>
          </w:tcPr>
          <w:p w14:paraId="50CAE213" w14:textId="17B22F17"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B.8.1.3 Equipment and materials</w:t>
            </w:r>
          </w:p>
        </w:tc>
      </w:tr>
      <w:tr w:rsidR="007557BF" w:rsidRPr="00F01347" w14:paraId="5EC7E75E" w14:textId="74D44ABA" w:rsidTr="00A5493F">
        <w:tc>
          <w:tcPr>
            <w:tcW w:w="4675" w:type="dxa"/>
          </w:tcPr>
          <w:p w14:paraId="7F04308F"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Kits colorimétricos o fotométricos para la determinación de yodo residual libre con un intervalo de lectura de incluya 0.2 a 1.5 mg/L.</w:t>
            </w:r>
          </w:p>
        </w:tc>
        <w:tc>
          <w:tcPr>
            <w:tcW w:w="4675" w:type="dxa"/>
          </w:tcPr>
          <w:p w14:paraId="0F43A8E6" w14:textId="29C538FC"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Colorimetric or photometric kits for the determination of free residual iodine with a reading range of 0.2 to 1.5 mg/L.</w:t>
            </w:r>
          </w:p>
        </w:tc>
      </w:tr>
      <w:tr w:rsidR="007557BF" w:rsidRPr="00F01347" w14:paraId="4DB864CA" w14:textId="37631B0A" w:rsidTr="00A5493F">
        <w:tc>
          <w:tcPr>
            <w:tcW w:w="4675" w:type="dxa"/>
          </w:tcPr>
          <w:p w14:paraId="3603E015"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B.8.1.4 Procedimiento</w:t>
            </w:r>
          </w:p>
        </w:tc>
        <w:tc>
          <w:tcPr>
            <w:tcW w:w="4675" w:type="dxa"/>
          </w:tcPr>
          <w:p w14:paraId="70112D0A" w14:textId="0E27D4CC"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B.8.1.4 Procedure</w:t>
            </w:r>
          </w:p>
        </w:tc>
      </w:tr>
      <w:tr w:rsidR="007557BF" w:rsidRPr="00F01347" w14:paraId="22227855" w14:textId="3F0E8A34" w:rsidTr="00A5493F">
        <w:tc>
          <w:tcPr>
            <w:tcW w:w="4675" w:type="dxa"/>
          </w:tcPr>
          <w:p w14:paraId="35FF6716"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t>B.8.1.4.1</w:t>
            </w:r>
            <w:r w:rsidRPr="00F01347">
              <w:rPr>
                <w:rFonts w:ascii="Verdana" w:hAnsi="Verdana"/>
                <w:sz w:val="16"/>
                <w:szCs w:val="16"/>
              </w:rPr>
              <w:t xml:space="preserve"> </w:t>
            </w:r>
            <w:r w:rsidRPr="00F01347">
              <w:rPr>
                <w:rFonts w:ascii="Verdana" w:hAnsi="Verdana"/>
                <w:b/>
                <w:sz w:val="16"/>
                <w:szCs w:val="16"/>
              </w:rPr>
              <w:t>Selección de sitios de muestreo.</w:t>
            </w:r>
            <w:r w:rsidRPr="00F01347">
              <w:rPr>
                <w:rFonts w:ascii="Verdana" w:hAnsi="Verdana"/>
                <w:sz w:val="16"/>
                <w:szCs w:val="16"/>
              </w:rPr>
              <w:t xml:space="preserve"> Para cada sistema formal de abastecimiento, identificar las localidades donde se utilice yodo como desinfectante del agua para uso y consumo humano.</w:t>
            </w:r>
          </w:p>
        </w:tc>
        <w:tc>
          <w:tcPr>
            <w:tcW w:w="4675" w:type="dxa"/>
          </w:tcPr>
          <w:p w14:paraId="2BD8C3E2" w14:textId="291B40E5"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B.8.1.4.1</w:t>
            </w:r>
            <w:r w:rsidRPr="00F01347">
              <w:rPr>
                <w:rFonts w:ascii="Verdana" w:hAnsi="Verdana"/>
                <w:sz w:val="16"/>
                <w:szCs w:val="16"/>
                <w:lang w:val="en-US"/>
              </w:rPr>
              <w:t xml:space="preserve"> </w:t>
            </w:r>
            <w:r w:rsidRPr="00F01347">
              <w:rPr>
                <w:rFonts w:ascii="Verdana" w:hAnsi="Verdana"/>
                <w:b/>
                <w:sz w:val="16"/>
                <w:szCs w:val="16"/>
                <w:lang w:val="en-US"/>
              </w:rPr>
              <w:t xml:space="preserve">Selection of sampling sites. </w:t>
            </w:r>
            <w:r w:rsidRPr="00F01347">
              <w:rPr>
                <w:rFonts w:ascii="Verdana" w:hAnsi="Verdana"/>
                <w:sz w:val="16"/>
                <w:szCs w:val="16"/>
                <w:lang w:val="en-US"/>
              </w:rPr>
              <w:t>For each formal supply system, identify the locations where iodine is used as a water disinfectant for human use and consumption.</w:t>
            </w:r>
          </w:p>
        </w:tc>
      </w:tr>
      <w:tr w:rsidR="007557BF" w:rsidRPr="00F01347" w14:paraId="03DF42DF" w14:textId="1F784D8D" w:rsidTr="00A5493F">
        <w:tc>
          <w:tcPr>
            <w:tcW w:w="4675" w:type="dxa"/>
          </w:tcPr>
          <w:p w14:paraId="1F6F1758"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t>B.8.1.4.2 Revisión del equipo de muestreo.</w:t>
            </w:r>
            <w:r w:rsidRPr="00F01347">
              <w:rPr>
                <w:rFonts w:ascii="Verdana" w:hAnsi="Verdana"/>
                <w:sz w:val="16"/>
                <w:szCs w:val="16"/>
              </w:rPr>
              <w:t xml:space="preserve"> Previo al muestreo revisar que el equipo para la determinación de yodo residual libre se encuentre en buen estado y calibrarse de ser necesario.</w:t>
            </w:r>
          </w:p>
        </w:tc>
        <w:tc>
          <w:tcPr>
            <w:tcW w:w="4675" w:type="dxa"/>
          </w:tcPr>
          <w:p w14:paraId="6543D258" w14:textId="1595602B"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B.8.1.4.2 Review of sampling equipment. </w:t>
            </w:r>
            <w:r w:rsidRPr="00F01347">
              <w:rPr>
                <w:rFonts w:ascii="Verdana" w:hAnsi="Verdana"/>
                <w:sz w:val="16"/>
                <w:szCs w:val="16"/>
                <w:lang w:val="en-US"/>
              </w:rPr>
              <w:t>Prior to sampling, check that the equipment for determining free residual iodine is in good condition and calibrate if necessary.</w:t>
            </w:r>
          </w:p>
        </w:tc>
      </w:tr>
      <w:tr w:rsidR="007557BF" w:rsidRPr="00F01347" w14:paraId="6C7F25EE" w14:textId="043884BF" w:rsidTr="00A5493F">
        <w:tc>
          <w:tcPr>
            <w:tcW w:w="4675" w:type="dxa"/>
          </w:tcPr>
          <w:p w14:paraId="27150575"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t>B.8.1.4.3 Monitoreo de Yodo residual libre.</w:t>
            </w:r>
            <w:r w:rsidRPr="00F01347">
              <w:rPr>
                <w:rFonts w:ascii="Verdana" w:hAnsi="Verdana"/>
                <w:sz w:val="16"/>
                <w:szCs w:val="16"/>
              </w:rPr>
              <w:t xml:space="preserve"> Realizar un recorrido en las localidades donde existe </w:t>
            </w:r>
            <w:proofErr w:type="spellStart"/>
            <w:r w:rsidRPr="00F01347">
              <w:rPr>
                <w:rFonts w:ascii="Verdana" w:hAnsi="Verdana"/>
                <w:sz w:val="16"/>
                <w:szCs w:val="16"/>
              </w:rPr>
              <w:t>yodador</w:t>
            </w:r>
            <w:proofErr w:type="spellEnd"/>
            <w:r w:rsidRPr="00F01347">
              <w:rPr>
                <w:rFonts w:ascii="Verdana" w:hAnsi="Verdana"/>
                <w:sz w:val="16"/>
                <w:szCs w:val="16"/>
              </w:rPr>
              <w:t xml:space="preserve"> para la administración de yodo al sistema de abastecimiento y llevar a cabo la determinación de yodo residual libre directamente en la toma domiciliaria o en una toma de la red de distribución y en el punto de la localidad más alejado del </w:t>
            </w:r>
            <w:proofErr w:type="spellStart"/>
            <w:r w:rsidRPr="00F01347">
              <w:rPr>
                <w:rFonts w:ascii="Verdana" w:hAnsi="Verdana"/>
                <w:sz w:val="16"/>
                <w:szCs w:val="16"/>
              </w:rPr>
              <w:t>yodador</w:t>
            </w:r>
            <w:proofErr w:type="spellEnd"/>
            <w:r w:rsidRPr="00F01347">
              <w:rPr>
                <w:rFonts w:ascii="Verdana" w:hAnsi="Verdana"/>
                <w:sz w:val="16"/>
                <w:szCs w:val="16"/>
              </w:rPr>
              <w:t>.</w:t>
            </w:r>
          </w:p>
        </w:tc>
        <w:tc>
          <w:tcPr>
            <w:tcW w:w="4675" w:type="dxa"/>
          </w:tcPr>
          <w:p w14:paraId="07494B96" w14:textId="68FCBAAC"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B.8.1.4.3 Monitoring of free residual iodine. </w:t>
            </w:r>
            <w:r w:rsidRPr="00F01347">
              <w:rPr>
                <w:rFonts w:ascii="Verdana" w:hAnsi="Verdana"/>
                <w:sz w:val="16"/>
                <w:szCs w:val="16"/>
                <w:lang w:val="en-US"/>
              </w:rPr>
              <w:t>Carry out a tour of the localities where there is an iodizer for the administration of iodine to the supply system and carry out the determination of free residual iodine directly at the home intake or at an intake in the distribution network and at the closest point in the locality. away from the iodizer</w:t>
            </w:r>
            <w:r w:rsidR="003E1BA9" w:rsidRPr="00F01347">
              <w:rPr>
                <w:rFonts w:ascii="Verdana" w:hAnsi="Verdana"/>
                <w:sz w:val="16"/>
                <w:szCs w:val="16"/>
                <w:lang w:val="en-US"/>
              </w:rPr>
              <w:t>.</w:t>
            </w:r>
          </w:p>
        </w:tc>
      </w:tr>
      <w:tr w:rsidR="007557BF" w:rsidRPr="00F01347" w14:paraId="5A07CA9D" w14:textId="4DE702B1" w:rsidTr="00A5493F">
        <w:tc>
          <w:tcPr>
            <w:tcW w:w="4675" w:type="dxa"/>
          </w:tcPr>
          <w:p w14:paraId="64DEFFCA"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lastRenderedPageBreak/>
              <w:t>B.8.1.4.4 Eliminación de interferencias</w:t>
            </w:r>
            <w:r w:rsidRPr="00F01347">
              <w:rPr>
                <w:rFonts w:ascii="Verdana" w:hAnsi="Verdana"/>
                <w:sz w:val="16"/>
                <w:szCs w:val="16"/>
              </w:rPr>
              <w:t>. Para evitar la presencia de interferencia debe retirar cualquier aditamento conectado al grifo (mangueras, etc.).</w:t>
            </w:r>
          </w:p>
        </w:tc>
        <w:tc>
          <w:tcPr>
            <w:tcW w:w="4675" w:type="dxa"/>
          </w:tcPr>
          <w:p w14:paraId="325F1472" w14:textId="15420CF6"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B.8.1.4.4 Interference elimination</w:t>
            </w:r>
            <w:r w:rsidR="003E1BA9" w:rsidRPr="00F01347">
              <w:rPr>
                <w:rFonts w:ascii="Verdana" w:hAnsi="Verdana"/>
                <w:b/>
                <w:sz w:val="16"/>
                <w:szCs w:val="16"/>
                <w:lang w:val="en-US"/>
              </w:rPr>
              <w:t>.</w:t>
            </w:r>
            <w:r w:rsidRPr="00F01347">
              <w:rPr>
                <w:rFonts w:ascii="Verdana" w:hAnsi="Verdana"/>
                <w:sz w:val="16"/>
                <w:szCs w:val="16"/>
                <w:lang w:val="en-US"/>
              </w:rPr>
              <w:t xml:space="preserve"> To avoid the presence of interference, </w:t>
            </w:r>
            <w:r w:rsidR="00CF5AEC" w:rsidRPr="00F01347">
              <w:rPr>
                <w:rFonts w:ascii="Verdana" w:hAnsi="Verdana"/>
                <w:sz w:val="16"/>
                <w:szCs w:val="16"/>
                <w:lang w:val="en-US"/>
              </w:rPr>
              <w:t>the presence of</w:t>
            </w:r>
            <w:r w:rsidRPr="00F01347">
              <w:rPr>
                <w:rFonts w:ascii="Verdana" w:hAnsi="Verdana"/>
                <w:sz w:val="16"/>
                <w:szCs w:val="16"/>
                <w:lang w:val="en-US"/>
              </w:rPr>
              <w:t xml:space="preserve"> any accessories connected to the faucet (hoses, etc.)</w:t>
            </w:r>
            <w:r w:rsidR="00CF5AEC" w:rsidRPr="00F01347">
              <w:rPr>
                <w:rFonts w:ascii="Verdana" w:hAnsi="Verdana"/>
                <w:sz w:val="16"/>
                <w:szCs w:val="16"/>
                <w:lang w:val="en-US"/>
              </w:rPr>
              <w:t xml:space="preserve"> must be removed</w:t>
            </w:r>
            <w:r w:rsidRPr="00F01347">
              <w:rPr>
                <w:rFonts w:ascii="Verdana" w:hAnsi="Verdana"/>
                <w:sz w:val="16"/>
                <w:szCs w:val="16"/>
                <w:lang w:val="en-US"/>
              </w:rPr>
              <w:t>.</w:t>
            </w:r>
          </w:p>
        </w:tc>
      </w:tr>
      <w:tr w:rsidR="007557BF" w:rsidRPr="00F01347" w14:paraId="04A57463" w14:textId="5F790EE4" w:rsidTr="00A5493F">
        <w:tc>
          <w:tcPr>
            <w:tcW w:w="4675" w:type="dxa"/>
          </w:tcPr>
          <w:p w14:paraId="77F4C7E4"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t>B.8.1.4.5 Eliminación de agua estancada en toma.</w:t>
            </w:r>
            <w:r w:rsidRPr="00F01347">
              <w:rPr>
                <w:rFonts w:ascii="Verdana" w:hAnsi="Verdana"/>
                <w:sz w:val="16"/>
                <w:szCs w:val="16"/>
              </w:rPr>
              <w:t xml:space="preserve"> El agua que se encuentra en la tubería normalmente está estática por lo cual no es representativa de la calidad del agua de la red, por lo que es necesario dejar correr el agua a flujo máximo en el grifo con el fin de purgar la toma y asegurarse que el líquido contenido en la tubería se haya descargado.</w:t>
            </w:r>
          </w:p>
        </w:tc>
        <w:tc>
          <w:tcPr>
            <w:tcW w:w="4675" w:type="dxa"/>
          </w:tcPr>
          <w:p w14:paraId="423D320C" w14:textId="3715255B"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B.8.1.4.5 Elimination of stagnant water in intake. </w:t>
            </w:r>
            <w:r w:rsidRPr="00F01347">
              <w:rPr>
                <w:rFonts w:ascii="Verdana" w:hAnsi="Verdana"/>
                <w:sz w:val="16"/>
                <w:szCs w:val="16"/>
                <w:lang w:val="en-US"/>
              </w:rPr>
              <w:t xml:space="preserve">The water found in the pipe is normally static, which is why it is not representative of the quality of the water in the network, so it is necessary to let the water run at maximum flow through the tap </w:t>
            </w:r>
            <w:proofErr w:type="gramStart"/>
            <w:r w:rsidRPr="00F01347">
              <w:rPr>
                <w:rFonts w:ascii="Verdana" w:hAnsi="Verdana"/>
                <w:sz w:val="16"/>
                <w:szCs w:val="16"/>
                <w:lang w:val="en-US"/>
              </w:rPr>
              <w:t>in order to</w:t>
            </w:r>
            <w:proofErr w:type="gramEnd"/>
            <w:r w:rsidRPr="00F01347">
              <w:rPr>
                <w:rFonts w:ascii="Verdana" w:hAnsi="Verdana"/>
                <w:sz w:val="16"/>
                <w:szCs w:val="16"/>
                <w:lang w:val="en-US"/>
              </w:rPr>
              <w:t xml:space="preserve"> purge the intake and ensure that the liquid contained in the pipe has been discharged.</w:t>
            </w:r>
          </w:p>
        </w:tc>
      </w:tr>
      <w:tr w:rsidR="007557BF" w:rsidRPr="00F01347" w14:paraId="61CFE76E" w14:textId="62271834" w:rsidTr="00A5493F">
        <w:tc>
          <w:tcPr>
            <w:tcW w:w="4675" w:type="dxa"/>
          </w:tcPr>
          <w:p w14:paraId="5A6EA57F"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B.8.1.4.6 Análisis.</w:t>
            </w:r>
          </w:p>
        </w:tc>
        <w:tc>
          <w:tcPr>
            <w:tcW w:w="4675" w:type="dxa"/>
          </w:tcPr>
          <w:p w14:paraId="10D85C6F" w14:textId="4146EBBA"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B.8.1.4.6 Analysis.</w:t>
            </w:r>
          </w:p>
        </w:tc>
      </w:tr>
      <w:tr w:rsidR="007557BF" w:rsidRPr="00F01347" w14:paraId="7460B150" w14:textId="57C8E271" w:rsidTr="00A5493F">
        <w:tc>
          <w:tcPr>
            <w:tcW w:w="4675" w:type="dxa"/>
          </w:tcPr>
          <w:p w14:paraId="7FEE4F2F"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Determinar el yodo residual libre empleando el kit colorimétrico o fotométrico siguiendo las instrucciones del fabricante. En el formato correspondiente anotar la identificación del punto de muestreo, fecha y hora de muestreo y el resultado de la determinación.</w:t>
            </w:r>
          </w:p>
        </w:tc>
        <w:tc>
          <w:tcPr>
            <w:tcW w:w="4675" w:type="dxa"/>
          </w:tcPr>
          <w:p w14:paraId="50A3E2E4" w14:textId="58CE05FA"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Determine the free residual iodine using the colorimetric or photometric kit following the manufacturer's instructions. In the corresponding form, write down the identification of the sampling point, date and time of sampling, and the result of the determination.</w:t>
            </w:r>
          </w:p>
        </w:tc>
      </w:tr>
      <w:tr w:rsidR="007557BF" w:rsidRPr="00F01347" w14:paraId="76AD8E59" w14:textId="248ECA0E" w:rsidTr="00A5493F">
        <w:tc>
          <w:tcPr>
            <w:tcW w:w="4675" w:type="dxa"/>
          </w:tcPr>
          <w:p w14:paraId="3C7F31FD"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B.8.1.4.7 Informe de prueba.</w:t>
            </w:r>
          </w:p>
        </w:tc>
        <w:tc>
          <w:tcPr>
            <w:tcW w:w="4675" w:type="dxa"/>
          </w:tcPr>
          <w:p w14:paraId="14EA46D7" w14:textId="72C825A1"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B.8.1.4.7 Test report.</w:t>
            </w:r>
          </w:p>
        </w:tc>
      </w:tr>
      <w:tr w:rsidR="007557BF" w:rsidRPr="00F01347" w14:paraId="1E6BB746" w14:textId="00662630" w:rsidTr="00A5493F">
        <w:tc>
          <w:tcPr>
            <w:tcW w:w="4675" w:type="dxa"/>
          </w:tcPr>
          <w:p w14:paraId="7B3AEB8F"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La expresión de resultados debe ser mg de yodo residual libre por L con una cifra decimal.</w:t>
            </w:r>
          </w:p>
        </w:tc>
        <w:tc>
          <w:tcPr>
            <w:tcW w:w="4675" w:type="dxa"/>
          </w:tcPr>
          <w:p w14:paraId="69D3B5AF" w14:textId="03587B37"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The expression of results should be mg of free residual iodine per L with one decimal place.</w:t>
            </w:r>
          </w:p>
        </w:tc>
      </w:tr>
      <w:tr w:rsidR="007557BF" w:rsidRPr="00F01347" w14:paraId="59B9834A" w14:textId="362408FE" w:rsidTr="00A5493F">
        <w:tc>
          <w:tcPr>
            <w:tcW w:w="4675" w:type="dxa"/>
          </w:tcPr>
          <w:p w14:paraId="2562C8AE" w14:textId="77777777" w:rsidR="007557BF" w:rsidRPr="00F01347" w:rsidRDefault="007557BF" w:rsidP="007557BF">
            <w:pPr>
              <w:pStyle w:val="texto0"/>
              <w:ind w:firstLine="0"/>
              <w:jc w:val="center"/>
              <w:rPr>
                <w:rFonts w:ascii="Verdana" w:hAnsi="Verdana"/>
                <w:b/>
                <w:sz w:val="16"/>
                <w:szCs w:val="16"/>
              </w:rPr>
            </w:pPr>
            <w:r w:rsidRPr="00F01347">
              <w:rPr>
                <w:rFonts w:ascii="Verdana" w:hAnsi="Verdana"/>
                <w:b/>
                <w:sz w:val="16"/>
                <w:szCs w:val="16"/>
              </w:rPr>
              <w:t>B.8.2 MÉTODO DE PRUEBA PARA LA DETERMINACIÓN DE YODO RESIDUAL LIBRE EN AGUA PARA USO Y CONSUMO HUMANO EN LABORATORIO</w:t>
            </w:r>
          </w:p>
        </w:tc>
        <w:tc>
          <w:tcPr>
            <w:tcW w:w="4675" w:type="dxa"/>
          </w:tcPr>
          <w:p w14:paraId="1F79D124" w14:textId="747BABD8" w:rsidR="007557BF" w:rsidRPr="00F01347" w:rsidRDefault="007557BF" w:rsidP="007557BF">
            <w:pPr>
              <w:pStyle w:val="texto0"/>
              <w:ind w:firstLine="0"/>
              <w:jc w:val="center"/>
              <w:rPr>
                <w:rFonts w:ascii="Verdana" w:hAnsi="Verdana"/>
                <w:b/>
                <w:sz w:val="16"/>
                <w:szCs w:val="16"/>
                <w:lang w:val="en-US"/>
              </w:rPr>
            </w:pPr>
            <w:r w:rsidRPr="00F01347">
              <w:rPr>
                <w:rFonts w:ascii="Verdana" w:hAnsi="Verdana"/>
                <w:b/>
                <w:sz w:val="16"/>
                <w:szCs w:val="16"/>
                <w:lang w:val="en-US"/>
              </w:rPr>
              <w:t>B.8.2 TEST METHOD FOR THE DETERMINATION OF FREE RESIDUAL IODINE IN WATER FOR HUMAN USE AND CONSUMPTION IN THE LABORATORY</w:t>
            </w:r>
          </w:p>
        </w:tc>
      </w:tr>
      <w:tr w:rsidR="007557BF" w:rsidRPr="00F01347" w14:paraId="2A1824FF" w14:textId="7EBBEB87" w:rsidTr="00A5493F">
        <w:tc>
          <w:tcPr>
            <w:tcW w:w="4675" w:type="dxa"/>
          </w:tcPr>
          <w:p w14:paraId="3CEEA40C"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 xml:space="preserve">De ser necesaria la determinación en laboratorio de yodo residual libre en agua para uso y consumo humano tratada con yodo elemental puede realizarse utilizando los métodos por titulación amperométrica o colorimétrico de leuco cristal violeta, como los desarrollados en el </w:t>
            </w:r>
            <w:r w:rsidRPr="00F01347">
              <w:rPr>
                <w:rFonts w:ascii="Verdana" w:hAnsi="Verdana"/>
                <w:i/>
                <w:sz w:val="16"/>
                <w:szCs w:val="16"/>
              </w:rPr>
              <w:t xml:space="preserve">Standard </w:t>
            </w:r>
            <w:proofErr w:type="spellStart"/>
            <w:r w:rsidRPr="00F01347">
              <w:rPr>
                <w:rFonts w:ascii="Verdana" w:hAnsi="Verdana"/>
                <w:i/>
                <w:sz w:val="16"/>
                <w:szCs w:val="16"/>
              </w:rPr>
              <w:t>methods</w:t>
            </w:r>
            <w:proofErr w:type="spellEnd"/>
            <w:r w:rsidRPr="00F01347">
              <w:rPr>
                <w:rFonts w:ascii="Verdana" w:hAnsi="Verdana"/>
                <w:i/>
                <w:sz w:val="16"/>
                <w:szCs w:val="16"/>
              </w:rPr>
              <w:t xml:space="preserve"> </w:t>
            </w:r>
            <w:proofErr w:type="spellStart"/>
            <w:r w:rsidRPr="00F01347">
              <w:rPr>
                <w:rFonts w:ascii="Verdana" w:hAnsi="Verdana"/>
                <w:i/>
                <w:sz w:val="16"/>
                <w:szCs w:val="16"/>
              </w:rPr>
              <w:t>for</w:t>
            </w:r>
            <w:proofErr w:type="spellEnd"/>
            <w:r w:rsidRPr="00F01347">
              <w:rPr>
                <w:rFonts w:ascii="Verdana" w:hAnsi="Verdana"/>
                <w:i/>
                <w:sz w:val="16"/>
                <w:szCs w:val="16"/>
              </w:rPr>
              <w:t xml:space="preserve"> </w:t>
            </w:r>
            <w:proofErr w:type="spellStart"/>
            <w:r w:rsidRPr="00F01347">
              <w:rPr>
                <w:rFonts w:ascii="Verdana" w:hAnsi="Verdana"/>
                <w:i/>
                <w:sz w:val="16"/>
                <w:szCs w:val="16"/>
              </w:rPr>
              <w:t>examination</w:t>
            </w:r>
            <w:proofErr w:type="spellEnd"/>
            <w:r w:rsidRPr="00F01347">
              <w:rPr>
                <w:rFonts w:ascii="Verdana" w:hAnsi="Verdana"/>
                <w:i/>
                <w:sz w:val="16"/>
                <w:szCs w:val="16"/>
              </w:rPr>
              <w:t xml:space="preserve"> </w:t>
            </w:r>
            <w:proofErr w:type="spellStart"/>
            <w:r w:rsidRPr="00F01347">
              <w:rPr>
                <w:rFonts w:ascii="Verdana" w:hAnsi="Verdana"/>
                <w:i/>
                <w:sz w:val="16"/>
                <w:szCs w:val="16"/>
              </w:rPr>
              <w:t>of</w:t>
            </w:r>
            <w:proofErr w:type="spellEnd"/>
            <w:r w:rsidRPr="00F01347">
              <w:rPr>
                <w:rFonts w:ascii="Verdana" w:hAnsi="Verdana"/>
                <w:i/>
                <w:sz w:val="16"/>
                <w:szCs w:val="16"/>
              </w:rPr>
              <w:t xml:space="preserve"> </w:t>
            </w:r>
            <w:proofErr w:type="spellStart"/>
            <w:r w:rsidRPr="00F01347">
              <w:rPr>
                <w:rFonts w:ascii="Verdana" w:hAnsi="Verdana"/>
                <w:i/>
                <w:sz w:val="16"/>
                <w:szCs w:val="16"/>
              </w:rPr>
              <w:t>water</w:t>
            </w:r>
            <w:proofErr w:type="spellEnd"/>
            <w:r w:rsidRPr="00F01347">
              <w:rPr>
                <w:rFonts w:ascii="Verdana" w:hAnsi="Verdana"/>
                <w:i/>
                <w:sz w:val="16"/>
                <w:szCs w:val="16"/>
              </w:rPr>
              <w:t xml:space="preserve"> and </w:t>
            </w:r>
            <w:proofErr w:type="spellStart"/>
            <w:r w:rsidRPr="00F01347">
              <w:rPr>
                <w:rFonts w:ascii="Verdana" w:hAnsi="Verdana"/>
                <w:i/>
                <w:sz w:val="16"/>
                <w:szCs w:val="16"/>
              </w:rPr>
              <w:t>wastewater</w:t>
            </w:r>
            <w:proofErr w:type="spellEnd"/>
            <w:r w:rsidRPr="00F01347">
              <w:rPr>
                <w:rFonts w:ascii="Verdana" w:hAnsi="Verdana"/>
                <w:i/>
                <w:sz w:val="16"/>
                <w:szCs w:val="16"/>
              </w:rPr>
              <w:t>. 4500-I IODINE</w:t>
            </w:r>
            <w:r w:rsidRPr="00F01347">
              <w:rPr>
                <w:rFonts w:ascii="Verdana" w:hAnsi="Verdana"/>
                <w:sz w:val="16"/>
                <w:szCs w:val="16"/>
              </w:rPr>
              <w:t>, u otras referencias equivalentes.</w:t>
            </w:r>
          </w:p>
        </w:tc>
        <w:tc>
          <w:tcPr>
            <w:tcW w:w="4675" w:type="dxa"/>
          </w:tcPr>
          <w:p w14:paraId="0A479395" w14:textId="036AE0ED"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If necessary, laboratory determination of free residual iodine in water for human use and consumption treated with elemental iodine can be carried out using </w:t>
            </w:r>
            <w:proofErr w:type="spellStart"/>
            <w:r w:rsidRPr="00F01347">
              <w:rPr>
                <w:rFonts w:ascii="Verdana" w:hAnsi="Verdana"/>
                <w:sz w:val="16"/>
                <w:szCs w:val="16"/>
                <w:lang w:val="en-US"/>
              </w:rPr>
              <w:t>amperometric</w:t>
            </w:r>
            <w:proofErr w:type="spellEnd"/>
            <w:r w:rsidRPr="00F01347">
              <w:rPr>
                <w:rFonts w:ascii="Verdana" w:hAnsi="Verdana"/>
                <w:sz w:val="16"/>
                <w:szCs w:val="16"/>
                <w:lang w:val="en-US"/>
              </w:rPr>
              <w:t xml:space="preserve"> or colorimetric </w:t>
            </w:r>
            <w:proofErr w:type="spellStart"/>
            <w:r w:rsidRPr="00F01347">
              <w:rPr>
                <w:rFonts w:ascii="Verdana" w:hAnsi="Verdana"/>
                <w:sz w:val="16"/>
                <w:szCs w:val="16"/>
                <w:lang w:val="en-US"/>
              </w:rPr>
              <w:t>leuco</w:t>
            </w:r>
            <w:proofErr w:type="spellEnd"/>
            <w:r w:rsidRPr="00F01347">
              <w:rPr>
                <w:rFonts w:ascii="Verdana" w:hAnsi="Verdana"/>
                <w:sz w:val="16"/>
                <w:szCs w:val="16"/>
                <w:lang w:val="en-US"/>
              </w:rPr>
              <w:t xml:space="preserve"> crystal violet titration methods, such as those developed in Standard </w:t>
            </w:r>
            <w:r w:rsidRPr="00F01347">
              <w:rPr>
                <w:rFonts w:ascii="Verdana" w:hAnsi="Verdana"/>
                <w:i/>
                <w:sz w:val="16"/>
                <w:szCs w:val="16"/>
                <w:lang w:val="en-US"/>
              </w:rPr>
              <w:t>Methods</w:t>
            </w:r>
            <w:r w:rsidR="00517C87" w:rsidRPr="00F01347">
              <w:rPr>
                <w:rFonts w:ascii="Verdana" w:hAnsi="Verdana"/>
                <w:i/>
                <w:sz w:val="16"/>
                <w:szCs w:val="16"/>
                <w:lang w:val="en-US"/>
              </w:rPr>
              <w:t xml:space="preserve"> </w:t>
            </w:r>
            <w:r w:rsidRPr="00F01347">
              <w:rPr>
                <w:rFonts w:ascii="Verdana" w:hAnsi="Verdana"/>
                <w:i/>
                <w:sz w:val="16"/>
                <w:szCs w:val="16"/>
                <w:lang w:val="en-US"/>
              </w:rPr>
              <w:t>for examination of water and wastewater</w:t>
            </w:r>
            <w:r w:rsidR="003E1BA9" w:rsidRPr="00F01347">
              <w:rPr>
                <w:rFonts w:ascii="Verdana" w:hAnsi="Verdana"/>
                <w:i/>
                <w:sz w:val="16"/>
                <w:szCs w:val="16"/>
                <w:lang w:val="en-US"/>
              </w:rPr>
              <w:t>.</w:t>
            </w:r>
            <w:r w:rsidRPr="00F01347">
              <w:rPr>
                <w:rFonts w:ascii="Verdana" w:hAnsi="Verdana"/>
                <w:i/>
                <w:sz w:val="16"/>
                <w:szCs w:val="16"/>
                <w:lang w:val="en-US"/>
              </w:rPr>
              <w:t xml:space="preserve"> 4500-I IODINE</w:t>
            </w:r>
            <w:r w:rsidR="003E1BA9" w:rsidRPr="00F01347">
              <w:rPr>
                <w:rFonts w:ascii="Verdana" w:hAnsi="Verdana"/>
                <w:i/>
                <w:sz w:val="16"/>
                <w:szCs w:val="16"/>
                <w:lang w:val="en-US"/>
              </w:rPr>
              <w:t>,</w:t>
            </w:r>
            <w:r w:rsidRPr="00F01347">
              <w:rPr>
                <w:rFonts w:ascii="Verdana" w:hAnsi="Verdana"/>
                <w:sz w:val="16"/>
                <w:szCs w:val="16"/>
                <w:lang w:val="en-US"/>
              </w:rPr>
              <w:t xml:space="preserve"> or other equivalent references.</w:t>
            </w:r>
          </w:p>
        </w:tc>
      </w:tr>
      <w:tr w:rsidR="007557BF" w:rsidRPr="00F01347" w14:paraId="4907D6DC" w14:textId="470668B7" w:rsidTr="00A5493F">
        <w:tc>
          <w:tcPr>
            <w:tcW w:w="4675" w:type="dxa"/>
          </w:tcPr>
          <w:p w14:paraId="7B500CCC" w14:textId="77777777" w:rsidR="007557BF" w:rsidRPr="00F01347" w:rsidRDefault="007557BF" w:rsidP="007557BF">
            <w:pPr>
              <w:pStyle w:val="texto0"/>
              <w:ind w:firstLine="0"/>
              <w:jc w:val="center"/>
              <w:rPr>
                <w:rFonts w:ascii="Verdana" w:hAnsi="Verdana"/>
                <w:sz w:val="16"/>
                <w:szCs w:val="16"/>
              </w:rPr>
            </w:pPr>
            <w:r w:rsidRPr="00F01347">
              <w:rPr>
                <w:rFonts w:ascii="Verdana" w:hAnsi="Verdana"/>
                <w:b/>
                <w:sz w:val="16"/>
                <w:szCs w:val="16"/>
              </w:rPr>
              <w:t xml:space="preserve">B.9 MÉTODO DE PRUEBA PARA LA DETERMINACIÓN DE pH EN AGUA PARA </w:t>
            </w:r>
            <w:proofErr w:type="gramStart"/>
            <w:r w:rsidRPr="00F01347">
              <w:rPr>
                <w:rFonts w:ascii="Verdana" w:hAnsi="Verdana"/>
                <w:b/>
                <w:sz w:val="16"/>
                <w:szCs w:val="16"/>
              </w:rPr>
              <w:t>USO  Y</w:t>
            </w:r>
            <w:proofErr w:type="gramEnd"/>
            <w:r w:rsidRPr="00F01347">
              <w:rPr>
                <w:rFonts w:ascii="Verdana" w:hAnsi="Verdana"/>
                <w:b/>
                <w:sz w:val="16"/>
                <w:szCs w:val="16"/>
              </w:rPr>
              <w:t xml:space="preserve"> CONSUMO HUMANO</w:t>
            </w:r>
          </w:p>
        </w:tc>
        <w:tc>
          <w:tcPr>
            <w:tcW w:w="4675" w:type="dxa"/>
          </w:tcPr>
          <w:p w14:paraId="5BEC1570" w14:textId="0A75C945" w:rsidR="007557BF" w:rsidRPr="00F01347" w:rsidRDefault="007557BF" w:rsidP="007557BF">
            <w:pPr>
              <w:pStyle w:val="texto0"/>
              <w:ind w:firstLine="0"/>
              <w:jc w:val="center"/>
              <w:rPr>
                <w:rFonts w:ascii="Verdana" w:hAnsi="Verdana"/>
                <w:b/>
                <w:sz w:val="16"/>
                <w:szCs w:val="16"/>
                <w:lang w:val="en-US"/>
              </w:rPr>
            </w:pPr>
            <w:r w:rsidRPr="00F01347">
              <w:rPr>
                <w:rFonts w:ascii="Verdana" w:hAnsi="Verdana"/>
                <w:b/>
                <w:sz w:val="16"/>
                <w:szCs w:val="16"/>
                <w:lang w:val="en-US"/>
              </w:rPr>
              <w:t>B.9 TEST METHOD FOR DETERMINATION OF pH IN WATER FOR HUMAN USE AND CONSUMPTION</w:t>
            </w:r>
          </w:p>
        </w:tc>
      </w:tr>
      <w:tr w:rsidR="007557BF" w:rsidRPr="00F01347" w14:paraId="119E01A7" w14:textId="6BE15676" w:rsidTr="00A5493F">
        <w:tc>
          <w:tcPr>
            <w:tcW w:w="4675" w:type="dxa"/>
          </w:tcPr>
          <w:p w14:paraId="4CCA8D5D"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B.9.1 Definiciones y términos</w:t>
            </w:r>
          </w:p>
        </w:tc>
        <w:tc>
          <w:tcPr>
            <w:tcW w:w="4675" w:type="dxa"/>
          </w:tcPr>
          <w:p w14:paraId="3EBEE9C6" w14:textId="63B72472"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B.9.1 Definitions and terms</w:t>
            </w:r>
          </w:p>
        </w:tc>
      </w:tr>
      <w:tr w:rsidR="007557BF" w:rsidRPr="00F01347" w14:paraId="4EA15BEB" w14:textId="541C8DEB" w:rsidTr="00A5493F">
        <w:tc>
          <w:tcPr>
            <w:tcW w:w="4675" w:type="dxa"/>
          </w:tcPr>
          <w:p w14:paraId="75B2277A"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t xml:space="preserve">Potencial de hidrógeno (pH), </w:t>
            </w:r>
            <w:r w:rsidRPr="00F01347">
              <w:rPr>
                <w:rFonts w:ascii="Verdana" w:hAnsi="Verdana"/>
                <w:sz w:val="16"/>
                <w:szCs w:val="16"/>
              </w:rPr>
              <w:t>al</w:t>
            </w:r>
            <w:r w:rsidRPr="00F01347">
              <w:rPr>
                <w:rFonts w:ascii="Verdana" w:hAnsi="Verdana"/>
                <w:b/>
                <w:sz w:val="16"/>
                <w:szCs w:val="16"/>
              </w:rPr>
              <w:t xml:space="preserve"> </w:t>
            </w:r>
            <w:r w:rsidRPr="00F01347">
              <w:rPr>
                <w:rFonts w:ascii="Verdana" w:hAnsi="Verdana"/>
                <w:sz w:val="16"/>
                <w:szCs w:val="16"/>
              </w:rPr>
              <w:t>logaritmo negativo de la concentración del ion hidrógeno en una disolución acuosa o el logaritmo del recíproco de la concentración de iones hidrógeno.</w:t>
            </w:r>
          </w:p>
        </w:tc>
        <w:tc>
          <w:tcPr>
            <w:tcW w:w="4675" w:type="dxa"/>
          </w:tcPr>
          <w:p w14:paraId="667D645C" w14:textId="03FE1517"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Hydrogen potential (pH), </w:t>
            </w:r>
            <w:r w:rsidRPr="00F01347">
              <w:rPr>
                <w:rFonts w:ascii="Verdana" w:hAnsi="Verdana"/>
                <w:sz w:val="16"/>
                <w:szCs w:val="16"/>
                <w:lang w:val="en-US"/>
              </w:rPr>
              <w:t>at</w:t>
            </w:r>
            <w:r w:rsidRPr="00F01347">
              <w:rPr>
                <w:rFonts w:ascii="Verdana" w:hAnsi="Verdana"/>
                <w:b/>
                <w:sz w:val="16"/>
                <w:szCs w:val="16"/>
                <w:lang w:val="en-US"/>
              </w:rPr>
              <w:t xml:space="preserve"> </w:t>
            </w:r>
            <w:r w:rsidRPr="00F01347">
              <w:rPr>
                <w:rFonts w:ascii="Verdana" w:hAnsi="Verdana"/>
                <w:sz w:val="16"/>
                <w:szCs w:val="16"/>
                <w:lang w:val="en-US"/>
              </w:rPr>
              <w:t>negative logarithm of the hydrogen ion concentration in an aqueous solution or the logarithm of the reciprocal of the hydrogen ion concentration.</w:t>
            </w:r>
          </w:p>
        </w:tc>
      </w:tr>
      <w:tr w:rsidR="007557BF" w:rsidRPr="00F01347" w14:paraId="6337E386" w14:textId="6A253591" w:rsidTr="00A5493F">
        <w:tc>
          <w:tcPr>
            <w:tcW w:w="4675" w:type="dxa"/>
          </w:tcPr>
          <w:p w14:paraId="1F503617"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B.9.2 Símbolos y términos abreviados</w:t>
            </w:r>
          </w:p>
        </w:tc>
        <w:tc>
          <w:tcPr>
            <w:tcW w:w="4675" w:type="dxa"/>
          </w:tcPr>
          <w:p w14:paraId="3084FA4E" w14:textId="457BC781"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B.9.2 Symbols and abbreviated terms</w:t>
            </w:r>
          </w:p>
        </w:tc>
      </w:tr>
      <w:tr w:rsidR="007557BF" w:rsidRPr="00F01347" w14:paraId="637587DC" w14:textId="0EBE5ABD" w:rsidTr="00A5493F">
        <w:tc>
          <w:tcPr>
            <w:tcW w:w="4675" w:type="dxa"/>
          </w:tcPr>
          <w:p w14:paraId="72207D58"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pH potencial hidrógeno.</w:t>
            </w:r>
          </w:p>
        </w:tc>
        <w:tc>
          <w:tcPr>
            <w:tcW w:w="4675" w:type="dxa"/>
          </w:tcPr>
          <w:p w14:paraId="37ABCDA4" w14:textId="38A189E3"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Hydrogen potential </w:t>
            </w:r>
            <w:proofErr w:type="spellStart"/>
            <w:r w:rsidRPr="00F01347">
              <w:rPr>
                <w:rFonts w:ascii="Verdana" w:hAnsi="Verdana"/>
                <w:sz w:val="16"/>
                <w:szCs w:val="16"/>
                <w:lang w:val="en-US"/>
              </w:rPr>
              <w:t>pH.</w:t>
            </w:r>
            <w:proofErr w:type="spellEnd"/>
          </w:p>
        </w:tc>
      </w:tr>
      <w:tr w:rsidR="007557BF" w:rsidRPr="00F01347" w14:paraId="6189BFAD" w14:textId="2FCA167B" w:rsidTr="00A5493F">
        <w:tc>
          <w:tcPr>
            <w:tcW w:w="4675" w:type="dxa"/>
          </w:tcPr>
          <w:p w14:paraId="2EE9FC88"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B.9.3 Principio</w:t>
            </w:r>
          </w:p>
        </w:tc>
        <w:tc>
          <w:tcPr>
            <w:tcW w:w="4675" w:type="dxa"/>
          </w:tcPr>
          <w:p w14:paraId="76CD2B2C" w14:textId="2833A421"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B.9.3 Principle</w:t>
            </w:r>
          </w:p>
        </w:tc>
      </w:tr>
      <w:tr w:rsidR="007557BF" w:rsidRPr="00F01347" w14:paraId="0454B963" w14:textId="3BEED214" w:rsidTr="00A5493F">
        <w:tc>
          <w:tcPr>
            <w:tcW w:w="4675" w:type="dxa"/>
          </w:tcPr>
          <w:p w14:paraId="7C8B3A9E"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Se basa en la determinación de la actividad de iones hidrógeno (H</w:t>
            </w:r>
            <w:r w:rsidRPr="00F01347">
              <w:rPr>
                <w:rFonts w:ascii="Verdana" w:hAnsi="Verdana"/>
                <w:sz w:val="16"/>
                <w:szCs w:val="16"/>
                <w:vertAlign w:val="superscript"/>
              </w:rPr>
              <w:t>+</w:t>
            </w:r>
            <w:r w:rsidRPr="00F01347">
              <w:rPr>
                <w:rFonts w:ascii="Verdana" w:hAnsi="Verdana"/>
                <w:sz w:val="16"/>
                <w:szCs w:val="16"/>
              </w:rPr>
              <w:t>) medidos en un potenciómetro usando un electrodo de vidrio y otro de referencia o un electrodo combinado. La fuerza electromotriz producida por el sistema de electrodo(s) es proporcional al pH de la disolución problema (se usa el término de iones H</w:t>
            </w:r>
            <w:r w:rsidRPr="00F01347">
              <w:rPr>
                <w:rFonts w:ascii="Verdana" w:hAnsi="Verdana"/>
                <w:sz w:val="16"/>
                <w:szCs w:val="16"/>
                <w:vertAlign w:val="superscript"/>
              </w:rPr>
              <w:t>+</w:t>
            </w:r>
            <w:r w:rsidRPr="00F01347">
              <w:rPr>
                <w:rFonts w:ascii="Verdana" w:hAnsi="Verdana"/>
                <w:sz w:val="16"/>
                <w:szCs w:val="16"/>
              </w:rPr>
              <w:t xml:space="preserve"> para mayor claridad reconociendo que en realidad existe en su forma hidratada, el ion hidronio H</w:t>
            </w:r>
            <w:r w:rsidRPr="00F01347">
              <w:rPr>
                <w:rFonts w:ascii="Verdana" w:hAnsi="Verdana"/>
                <w:sz w:val="16"/>
                <w:szCs w:val="16"/>
                <w:vertAlign w:val="subscript"/>
              </w:rPr>
              <w:t>3</w:t>
            </w:r>
            <w:r w:rsidRPr="00F01347">
              <w:rPr>
                <w:rFonts w:ascii="Verdana" w:hAnsi="Verdana"/>
                <w:sz w:val="16"/>
                <w:szCs w:val="16"/>
              </w:rPr>
              <w:t>O</w:t>
            </w:r>
            <w:r w:rsidRPr="00F01347">
              <w:rPr>
                <w:rFonts w:ascii="Verdana" w:hAnsi="Verdana"/>
                <w:sz w:val="16"/>
                <w:szCs w:val="16"/>
                <w:vertAlign w:val="superscript"/>
              </w:rPr>
              <w:t>+</w:t>
            </w:r>
            <w:r w:rsidRPr="00F01347">
              <w:rPr>
                <w:rFonts w:ascii="Verdana" w:hAnsi="Verdana"/>
                <w:sz w:val="16"/>
                <w:szCs w:val="16"/>
              </w:rPr>
              <w:t>).</w:t>
            </w:r>
          </w:p>
        </w:tc>
        <w:tc>
          <w:tcPr>
            <w:tcW w:w="4675" w:type="dxa"/>
          </w:tcPr>
          <w:p w14:paraId="53FE244D" w14:textId="25C5BF10"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It is based on the determination of the activity of hydrogen ions (H</w:t>
            </w:r>
            <w:r w:rsidRPr="00F01347">
              <w:rPr>
                <w:rFonts w:ascii="Verdana" w:hAnsi="Verdana"/>
                <w:sz w:val="16"/>
                <w:szCs w:val="16"/>
                <w:vertAlign w:val="superscript"/>
                <w:lang w:val="en-US"/>
              </w:rPr>
              <w:t>+</w:t>
            </w:r>
            <w:r w:rsidR="00913802" w:rsidRPr="00F01347">
              <w:rPr>
                <w:rFonts w:ascii="Verdana" w:hAnsi="Verdana"/>
                <w:sz w:val="16"/>
                <w:szCs w:val="16"/>
                <w:lang w:val="en-US"/>
              </w:rPr>
              <w:t>)</w:t>
            </w:r>
            <w:r w:rsidRPr="00F01347">
              <w:rPr>
                <w:rFonts w:ascii="Verdana" w:hAnsi="Verdana"/>
                <w:sz w:val="16"/>
                <w:szCs w:val="16"/>
                <w:lang w:val="en-US"/>
              </w:rPr>
              <w:t xml:space="preserve"> measured in a potentiometer using a glass electrode and a reference electrode or a combined electrode. The electromotive force produced by the electrode system(s) is proportional to the pH of the test solution (the term H</w:t>
            </w:r>
            <w:r w:rsidRPr="00F01347">
              <w:rPr>
                <w:rFonts w:ascii="Verdana" w:hAnsi="Verdana"/>
                <w:sz w:val="16"/>
                <w:szCs w:val="16"/>
                <w:vertAlign w:val="superscript"/>
                <w:lang w:val="en-US"/>
              </w:rPr>
              <w:t xml:space="preserve">+ </w:t>
            </w:r>
            <w:r w:rsidRPr="00F01347">
              <w:rPr>
                <w:rFonts w:ascii="Verdana" w:hAnsi="Verdana"/>
                <w:sz w:val="16"/>
                <w:szCs w:val="16"/>
                <w:lang w:val="en-US"/>
              </w:rPr>
              <w:t>ion</w:t>
            </w:r>
            <w:r w:rsidR="00517C87" w:rsidRPr="00F01347">
              <w:rPr>
                <w:rFonts w:ascii="Verdana" w:hAnsi="Verdana"/>
                <w:sz w:val="16"/>
                <w:szCs w:val="16"/>
                <w:lang w:val="en-US"/>
              </w:rPr>
              <w:t>s</w:t>
            </w:r>
            <w:r w:rsidRPr="00F01347">
              <w:rPr>
                <w:rFonts w:ascii="Verdana" w:hAnsi="Verdana"/>
                <w:sz w:val="16"/>
                <w:szCs w:val="16"/>
                <w:lang w:val="en-US"/>
              </w:rPr>
              <w:t xml:space="preserve"> is used for clarity, recognizing that it </w:t>
            </w:r>
            <w:proofErr w:type="gramStart"/>
            <w:r w:rsidRPr="00F01347">
              <w:rPr>
                <w:rFonts w:ascii="Verdana" w:hAnsi="Verdana"/>
                <w:sz w:val="16"/>
                <w:szCs w:val="16"/>
                <w:lang w:val="en-US"/>
              </w:rPr>
              <w:t>actually exists</w:t>
            </w:r>
            <w:proofErr w:type="gramEnd"/>
            <w:r w:rsidRPr="00F01347">
              <w:rPr>
                <w:rFonts w:ascii="Verdana" w:hAnsi="Verdana"/>
                <w:sz w:val="16"/>
                <w:szCs w:val="16"/>
                <w:lang w:val="en-US"/>
              </w:rPr>
              <w:t xml:space="preserve"> in its hydrated form, the hydronium ion H</w:t>
            </w:r>
            <w:r w:rsidRPr="00F01347">
              <w:rPr>
                <w:rFonts w:ascii="Verdana" w:hAnsi="Verdana"/>
                <w:sz w:val="16"/>
                <w:szCs w:val="16"/>
                <w:vertAlign w:val="subscript"/>
                <w:lang w:val="en-US"/>
              </w:rPr>
              <w:t>3</w:t>
            </w:r>
            <w:r w:rsidRPr="00F01347">
              <w:rPr>
                <w:rFonts w:ascii="Verdana" w:hAnsi="Verdana"/>
                <w:sz w:val="16"/>
                <w:szCs w:val="16"/>
                <w:lang w:val="en-US"/>
              </w:rPr>
              <w:t>O</w:t>
            </w:r>
            <w:r w:rsidRPr="00F01347">
              <w:rPr>
                <w:rFonts w:ascii="Verdana" w:hAnsi="Verdana"/>
                <w:sz w:val="16"/>
                <w:szCs w:val="16"/>
                <w:vertAlign w:val="superscript"/>
                <w:lang w:val="en-US"/>
              </w:rPr>
              <w:t>+</w:t>
            </w:r>
            <w:r w:rsidR="00913802" w:rsidRPr="00F01347">
              <w:rPr>
                <w:rFonts w:ascii="Verdana" w:hAnsi="Verdana"/>
                <w:sz w:val="16"/>
                <w:szCs w:val="16"/>
                <w:lang w:val="en-US"/>
              </w:rPr>
              <w:t>)</w:t>
            </w:r>
            <w:r w:rsidR="003E1BA9" w:rsidRPr="00F01347">
              <w:rPr>
                <w:rFonts w:ascii="Verdana" w:hAnsi="Verdana"/>
                <w:sz w:val="16"/>
                <w:szCs w:val="16"/>
                <w:lang w:val="en-US"/>
              </w:rPr>
              <w:t>.</w:t>
            </w:r>
          </w:p>
        </w:tc>
      </w:tr>
      <w:tr w:rsidR="007557BF" w:rsidRPr="00F01347" w14:paraId="02E559DE" w14:textId="6D97065F" w:rsidTr="00A5493F">
        <w:tc>
          <w:tcPr>
            <w:tcW w:w="4675" w:type="dxa"/>
          </w:tcPr>
          <w:p w14:paraId="4158B35A" w14:textId="77777777" w:rsidR="007557BF" w:rsidRPr="00F01347" w:rsidRDefault="007557BF" w:rsidP="007557BF">
            <w:pPr>
              <w:pStyle w:val="texto0"/>
              <w:ind w:firstLine="0"/>
              <w:rPr>
                <w:rFonts w:ascii="Verdana" w:hAnsi="Verdana"/>
                <w:b/>
                <w:sz w:val="16"/>
                <w:szCs w:val="16"/>
              </w:rPr>
            </w:pPr>
            <w:r w:rsidRPr="00F01347">
              <w:rPr>
                <w:rFonts w:ascii="Verdana" w:hAnsi="Verdana"/>
                <w:b/>
                <w:sz w:val="16"/>
                <w:szCs w:val="16"/>
              </w:rPr>
              <w:lastRenderedPageBreak/>
              <w:t>B.9.4 Alcance y aplicación</w:t>
            </w:r>
          </w:p>
        </w:tc>
        <w:tc>
          <w:tcPr>
            <w:tcW w:w="4675" w:type="dxa"/>
          </w:tcPr>
          <w:p w14:paraId="55DC4AA5" w14:textId="2028E7EA" w:rsidR="007557BF" w:rsidRPr="00F01347" w:rsidRDefault="007557BF" w:rsidP="007557BF">
            <w:pPr>
              <w:pStyle w:val="texto0"/>
              <w:ind w:firstLine="0"/>
              <w:rPr>
                <w:rFonts w:ascii="Verdana" w:hAnsi="Verdana"/>
                <w:b/>
                <w:sz w:val="16"/>
                <w:szCs w:val="16"/>
                <w:lang w:val="en-US"/>
              </w:rPr>
            </w:pPr>
            <w:r w:rsidRPr="00F01347">
              <w:rPr>
                <w:rFonts w:ascii="Verdana" w:hAnsi="Verdana"/>
                <w:b/>
                <w:sz w:val="16"/>
                <w:szCs w:val="16"/>
                <w:lang w:val="en-US"/>
              </w:rPr>
              <w:t>B.9.4 Scope and application</w:t>
            </w:r>
          </w:p>
        </w:tc>
      </w:tr>
      <w:tr w:rsidR="007557BF" w:rsidRPr="00F01347" w14:paraId="4CB5DDCD" w14:textId="2A5F9C6F" w:rsidTr="00A5493F">
        <w:tc>
          <w:tcPr>
            <w:tcW w:w="4675" w:type="dxa"/>
          </w:tcPr>
          <w:p w14:paraId="33B548C8"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Este método es utilizado para la determinación de pH en muestras de agua para uso y consumo humano a través de un potenciómetro en laboratorio.</w:t>
            </w:r>
          </w:p>
        </w:tc>
        <w:tc>
          <w:tcPr>
            <w:tcW w:w="4675" w:type="dxa"/>
          </w:tcPr>
          <w:p w14:paraId="31010D1E" w14:textId="5C55CE5A"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This method is used to determine pH in water samples for human use and consumption through a potentiometer in the laboratory.</w:t>
            </w:r>
          </w:p>
        </w:tc>
      </w:tr>
      <w:tr w:rsidR="007557BF" w:rsidRPr="00F01347" w14:paraId="528109C3" w14:textId="1E94BB39" w:rsidTr="00A5493F">
        <w:tc>
          <w:tcPr>
            <w:tcW w:w="4675" w:type="dxa"/>
          </w:tcPr>
          <w:p w14:paraId="780AD457"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B.9.5 Equipos y materiales</w:t>
            </w:r>
          </w:p>
        </w:tc>
        <w:tc>
          <w:tcPr>
            <w:tcW w:w="4675" w:type="dxa"/>
          </w:tcPr>
          <w:p w14:paraId="4ADF4ADB" w14:textId="62DA446F"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B.9.5 Equipment and materials</w:t>
            </w:r>
          </w:p>
        </w:tc>
      </w:tr>
      <w:tr w:rsidR="007557BF" w:rsidRPr="00F01347" w14:paraId="79F3C12C" w14:textId="339EE5E4" w:rsidTr="00A5493F">
        <w:tc>
          <w:tcPr>
            <w:tcW w:w="4675" w:type="dxa"/>
          </w:tcPr>
          <w:p w14:paraId="3B6056EE"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Sólo se mencionan los equipos y materiales que no son de uso común en el laboratorio analítico. Todo el material volumétrico utilizado debe ser clase A y estar verificado.</w:t>
            </w:r>
          </w:p>
        </w:tc>
        <w:tc>
          <w:tcPr>
            <w:tcW w:w="4675" w:type="dxa"/>
          </w:tcPr>
          <w:p w14:paraId="71E6210F" w14:textId="6A804C2F"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Only equipment and materials that are not commonly used in the analytical laboratory are mentioned. All volumetric material used must be class A and verified.</w:t>
            </w:r>
          </w:p>
        </w:tc>
      </w:tr>
      <w:tr w:rsidR="007557BF" w:rsidRPr="00F01347" w14:paraId="0EFDC00D" w14:textId="1E93980D" w:rsidTr="00A5493F">
        <w:tc>
          <w:tcPr>
            <w:tcW w:w="4675" w:type="dxa"/>
          </w:tcPr>
          <w:p w14:paraId="1746B796"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Agitador de vidrio</w:t>
            </w:r>
          </w:p>
        </w:tc>
        <w:tc>
          <w:tcPr>
            <w:tcW w:w="4675" w:type="dxa"/>
          </w:tcPr>
          <w:p w14:paraId="1F3CFBB9" w14:textId="56F79C90"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Glass stirrer</w:t>
            </w:r>
          </w:p>
        </w:tc>
      </w:tr>
      <w:tr w:rsidR="007557BF" w:rsidRPr="00F01347" w14:paraId="767CB5EA" w14:textId="1B71DA7D" w:rsidTr="00A5493F">
        <w:tc>
          <w:tcPr>
            <w:tcW w:w="4675" w:type="dxa"/>
          </w:tcPr>
          <w:p w14:paraId="37BD5BEF" w14:textId="77777777" w:rsidR="007557BF" w:rsidRPr="00F01347" w:rsidRDefault="007557BF" w:rsidP="007557BF">
            <w:pPr>
              <w:pStyle w:val="texto0"/>
              <w:spacing w:line="220" w:lineRule="exact"/>
              <w:ind w:firstLine="0"/>
              <w:rPr>
                <w:rFonts w:ascii="Verdana" w:hAnsi="Verdana"/>
                <w:sz w:val="16"/>
                <w:szCs w:val="16"/>
              </w:rPr>
            </w:pPr>
            <w:proofErr w:type="gramStart"/>
            <w:r w:rsidRPr="00F01347">
              <w:rPr>
                <w:rFonts w:ascii="Verdana" w:hAnsi="Verdana"/>
                <w:b/>
                <w:sz w:val="16"/>
                <w:szCs w:val="16"/>
              </w:rPr>
              <w:t>Agitador magnético</w:t>
            </w:r>
            <w:r w:rsidRPr="00F01347">
              <w:rPr>
                <w:rFonts w:ascii="Verdana" w:hAnsi="Verdana"/>
                <w:sz w:val="16"/>
                <w:szCs w:val="16"/>
              </w:rPr>
              <w:t xml:space="preserve"> y barra magnética</w:t>
            </w:r>
            <w:proofErr w:type="gramEnd"/>
            <w:r w:rsidRPr="00F01347">
              <w:rPr>
                <w:rFonts w:ascii="Verdana" w:hAnsi="Verdana"/>
                <w:sz w:val="16"/>
                <w:szCs w:val="16"/>
              </w:rPr>
              <w:t xml:space="preserve"> recubierta con plástico inerte, en el caso de que el </w:t>
            </w:r>
            <w:r w:rsidRPr="00F01347">
              <w:rPr>
                <w:rFonts w:ascii="Verdana" w:hAnsi="Verdana"/>
                <w:bCs/>
                <w:sz w:val="16"/>
                <w:szCs w:val="16"/>
              </w:rPr>
              <w:t>Potenciómetro</w:t>
            </w:r>
            <w:r w:rsidRPr="00F01347">
              <w:rPr>
                <w:rFonts w:ascii="Verdana" w:hAnsi="Verdana"/>
                <w:sz w:val="16"/>
                <w:szCs w:val="16"/>
              </w:rPr>
              <w:t xml:space="preserve"> no cuente con sonda de agitación.</w:t>
            </w:r>
          </w:p>
        </w:tc>
        <w:tc>
          <w:tcPr>
            <w:tcW w:w="4675" w:type="dxa"/>
          </w:tcPr>
          <w:p w14:paraId="79D7BE2E" w14:textId="743E12F5"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Magnetic stirrer </w:t>
            </w:r>
            <w:r w:rsidRPr="00F01347">
              <w:rPr>
                <w:rFonts w:ascii="Verdana" w:hAnsi="Verdana"/>
                <w:sz w:val="16"/>
                <w:szCs w:val="16"/>
                <w:lang w:val="en-US"/>
              </w:rPr>
              <w:t xml:space="preserve">and magnetic bar covered with inert plastic, </w:t>
            </w:r>
            <w:proofErr w:type="gramStart"/>
            <w:r w:rsidRPr="00F01347">
              <w:rPr>
                <w:rFonts w:ascii="Verdana" w:hAnsi="Verdana"/>
                <w:sz w:val="16"/>
                <w:szCs w:val="16"/>
                <w:lang w:val="en-US"/>
              </w:rPr>
              <w:t>in the event that</w:t>
            </w:r>
            <w:proofErr w:type="gramEnd"/>
            <w:r w:rsidRPr="00F01347">
              <w:rPr>
                <w:rFonts w:ascii="Verdana" w:hAnsi="Verdana"/>
                <w:sz w:val="16"/>
                <w:szCs w:val="16"/>
                <w:lang w:val="en-US"/>
              </w:rPr>
              <w:t xml:space="preserve"> the </w:t>
            </w:r>
            <w:r w:rsidRPr="00F01347">
              <w:rPr>
                <w:rFonts w:ascii="Verdana" w:hAnsi="Verdana"/>
                <w:bCs/>
                <w:sz w:val="16"/>
                <w:szCs w:val="16"/>
                <w:lang w:val="en-US"/>
              </w:rPr>
              <w:t xml:space="preserve">Potentiometer </w:t>
            </w:r>
            <w:r w:rsidRPr="00F01347">
              <w:rPr>
                <w:rFonts w:ascii="Verdana" w:hAnsi="Verdana"/>
                <w:sz w:val="16"/>
                <w:szCs w:val="16"/>
                <w:lang w:val="en-US"/>
              </w:rPr>
              <w:t>does not have a stirring probe.</w:t>
            </w:r>
          </w:p>
        </w:tc>
      </w:tr>
      <w:tr w:rsidR="007557BF" w:rsidRPr="00F01347" w14:paraId="40EA26D1" w14:textId="75BF172F" w:rsidTr="00A5493F">
        <w:tc>
          <w:tcPr>
            <w:tcW w:w="4675" w:type="dxa"/>
          </w:tcPr>
          <w:p w14:paraId="295BC6E6"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t xml:space="preserve">Nota: </w:t>
            </w:r>
            <w:r w:rsidRPr="00F01347">
              <w:rPr>
                <w:rFonts w:ascii="Verdana" w:hAnsi="Verdana"/>
                <w:sz w:val="16"/>
                <w:szCs w:val="16"/>
              </w:rPr>
              <w:t>Existen en el mercado potenciómetros a los que se les puede integrar una sonda de agitación que se introduce en el vaso que contiene la muestra o los patrones de referencia.</w:t>
            </w:r>
          </w:p>
        </w:tc>
        <w:tc>
          <w:tcPr>
            <w:tcW w:w="4675" w:type="dxa"/>
          </w:tcPr>
          <w:p w14:paraId="3EE95831" w14:textId="0C6A2842"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Note: </w:t>
            </w:r>
            <w:r w:rsidRPr="00F01347">
              <w:rPr>
                <w:rFonts w:ascii="Verdana" w:hAnsi="Verdana"/>
                <w:sz w:val="16"/>
                <w:szCs w:val="16"/>
                <w:lang w:val="en-US"/>
              </w:rPr>
              <w:t>There are potentiometers on the market that can integrate a stirring probe that is introduced into the glass containing the sample or reference standards.</w:t>
            </w:r>
          </w:p>
        </w:tc>
      </w:tr>
      <w:tr w:rsidR="007557BF" w:rsidRPr="00F01347" w14:paraId="39B1380A" w14:textId="0B6436C3" w:rsidTr="00A5493F">
        <w:tc>
          <w:tcPr>
            <w:tcW w:w="4675" w:type="dxa"/>
          </w:tcPr>
          <w:p w14:paraId="71E001C8"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t>Baño María</w:t>
            </w:r>
            <w:r w:rsidRPr="00F01347">
              <w:rPr>
                <w:rFonts w:ascii="Verdana" w:hAnsi="Verdana"/>
                <w:sz w:val="16"/>
                <w:szCs w:val="16"/>
              </w:rPr>
              <w:t xml:space="preserve"> </w:t>
            </w:r>
            <w:r w:rsidRPr="00F01347">
              <w:rPr>
                <w:rFonts w:ascii="Verdana" w:hAnsi="Verdana"/>
                <w:b/>
                <w:sz w:val="16"/>
                <w:szCs w:val="16"/>
              </w:rPr>
              <w:t>de temperatura constante</w:t>
            </w:r>
            <w:r w:rsidRPr="00F01347">
              <w:rPr>
                <w:rFonts w:ascii="Verdana" w:hAnsi="Verdana"/>
                <w:sz w:val="16"/>
                <w:szCs w:val="16"/>
              </w:rPr>
              <w:t>, en caso de que el electrodo no cuente con compensador de temperatura.</w:t>
            </w:r>
          </w:p>
        </w:tc>
        <w:tc>
          <w:tcPr>
            <w:tcW w:w="4675" w:type="dxa"/>
          </w:tcPr>
          <w:p w14:paraId="1E95867F" w14:textId="56452784"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Water bath</w:t>
            </w:r>
            <w:r w:rsidRPr="00F01347">
              <w:rPr>
                <w:rFonts w:ascii="Verdana" w:hAnsi="Verdana"/>
                <w:sz w:val="16"/>
                <w:szCs w:val="16"/>
                <w:lang w:val="en-US"/>
              </w:rPr>
              <w:t xml:space="preserve"> </w:t>
            </w:r>
            <w:r w:rsidRPr="00F01347">
              <w:rPr>
                <w:rFonts w:ascii="Verdana" w:hAnsi="Verdana"/>
                <w:b/>
                <w:sz w:val="16"/>
                <w:szCs w:val="16"/>
                <w:lang w:val="en-US"/>
              </w:rPr>
              <w:t xml:space="preserve">constant </w:t>
            </w:r>
            <w:proofErr w:type="gramStart"/>
            <w:r w:rsidRPr="00F01347">
              <w:rPr>
                <w:rFonts w:ascii="Verdana" w:hAnsi="Verdana"/>
                <w:b/>
                <w:sz w:val="16"/>
                <w:szCs w:val="16"/>
                <w:lang w:val="en-US"/>
              </w:rPr>
              <w:t>temperature</w:t>
            </w:r>
            <w:r w:rsidR="003E1BA9" w:rsidRPr="00F01347">
              <w:rPr>
                <w:rFonts w:ascii="Verdana" w:hAnsi="Verdana"/>
                <w:b/>
                <w:sz w:val="16"/>
                <w:szCs w:val="16"/>
                <w:lang w:val="en-US"/>
              </w:rPr>
              <w:t>,</w:t>
            </w:r>
            <w:r w:rsidRPr="00F01347">
              <w:rPr>
                <w:rFonts w:ascii="Verdana" w:hAnsi="Verdana"/>
                <w:sz w:val="16"/>
                <w:szCs w:val="16"/>
                <w:lang w:val="en-US"/>
              </w:rPr>
              <w:t xml:space="preserve"> in case</w:t>
            </w:r>
            <w:proofErr w:type="gramEnd"/>
            <w:r w:rsidRPr="00F01347">
              <w:rPr>
                <w:rFonts w:ascii="Verdana" w:hAnsi="Verdana"/>
                <w:sz w:val="16"/>
                <w:szCs w:val="16"/>
                <w:lang w:val="en-US"/>
              </w:rPr>
              <w:t xml:space="preserve"> the electrode does not have a temperature compensator.</w:t>
            </w:r>
          </w:p>
        </w:tc>
      </w:tr>
      <w:tr w:rsidR="007557BF" w:rsidRPr="00F01347" w14:paraId="7822A1FE" w14:textId="67B73CD7" w:rsidTr="00A5493F">
        <w:tc>
          <w:tcPr>
            <w:tcW w:w="4675" w:type="dxa"/>
          </w:tcPr>
          <w:p w14:paraId="5EBF9E24"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t>Electrodo</w:t>
            </w:r>
            <w:r w:rsidRPr="00F01347">
              <w:rPr>
                <w:rFonts w:ascii="Verdana" w:hAnsi="Verdana"/>
                <w:sz w:val="16"/>
                <w:szCs w:val="16"/>
              </w:rPr>
              <w:t xml:space="preserve"> </w:t>
            </w:r>
            <w:r w:rsidRPr="00F01347">
              <w:rPr>
                <w:rFonts w:ascii="Verdana" w:hAnsi="Verdana"/>
                <w:b/>
                <w:sz w:val="16"/>
                <w:szCs w:val="16"/>
              </w:rPr>
              <w:t>combinado para pH</w:t>
            </w:r>
            <w:r w:rsidRPr="00F01347">
              <w:rPr>
                <w:rFonts w:ascii="Verdana" w:hAnsi="Verdana"/>
                <w:sz w:val="16"/>
                <w:szCs w:val="16"/>
              </w:rPr>
              <w:t>, con compensador de temperatura ATC (este último opcional).</w:t>
            </w:r>
          </w:p>
        </w:tc>
        <w:tc>
          <w:tcPr>
            <w:tcW w:w="4675" w:type="dxa"/>
          </w:tcPr>
          <w:p w14:paraId="7BA5EA01" w14:textId="31BFE2E1"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Electrode</w:t>
            </w:r>
            <w:r w:rsidRPr="00F01347">
              <w:rPr>
                <w:rFonts w:ascii="Verdana" w:hAnsi="Verdana"/>
                <w:sz w:val="16"/>
                <w:szCs w:val="16"/>
                <w:lang w:val="en-US"/>
              </w:rPr>
              <w:t xml:space="preserve"> </w:t>
            </w:r>
            <w:r w:rsidRPr="00F01347">
              <w:rPr>
                <w:rFonts w:ascii="Verdana" w:hAnsi="Verdana"/>
                <w:b/>
                <w:sz w:val="16"/>
                <w:szCs w:val="16"/>
                <w:lang w:val="en-US"/>
              </w:rPr>
              <w:t>combined for pH</w:t>
            </w:r>
            <w:r w:rsidR="003E1BA9" w:rsidRPr="00F01347">
              <w:rPr>
                <w:rFonts w:ascii="Verdana" w:hAnsi="Verdana"/>
                <w:b/>
                <w:sz w:val="16"/>
                <w:szCs w:val="16"/>
                <w:lang w:val="en-US"/>
              </w:rPr>
              <w:t>,</w:t>
            </w:r>
            <w:r w:rsidRPr="00F01347">
              <w:rPr>
                <w:rFonts w:ascii="Verdana" w:hAnsi="Verdana"/>
                <w:sz w:val="16"/>
                <w:szCs w:val="16"/>
                <w:lang w:val="en-US"/>
              </w:rPr>
              <w:t xml:space="preserve"> with ATC temperature compensator (the latter optional).</w:t>
            </w:r>
          </w:p>
        </w:tc>
      </w:tr>
      <w:tr w:rsidR="007557BF" w:rsidRPr="00F01347" w14:paraId="126466BA" w14:textId="2F46F1D8" w:rsidTr="00A5493F">
        <w:tc>
          <w:tcPr>
            <w:tcW w:w="4675" w:type="dxa"/>
          </w:tcPr>
          <w:p w14:paraId="63AD8216"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t xml:space="preserve">Nota: </w:t>
            </w:r>
            <w:r w:rsidRPr="00F01347">
              <w:rPr>
                <w:rFonts w:ascii="Verdana" w:hAnsi="Verdana"/>
                <w:sz w:val="16"/>
                <w:szCs w:val="16"/>
              </w:rPr>
              <w:t>si el electrodo combinado tiene integrado el compensador de temperatura ATC o el potenciómetro cuenta con compensador de temperatura ATC de manera independiente, no se requiere el baño maría ni el termómetro de líquido en vidrio o termopar.</w:t>
            </w:r>
          </w:p>
        </w:tc>
        <w:tc>
          <w:tcPr>
            <w:tcW w:w="4675" w:type="dxa"/>
          </w:tcPr>
          <w:p w14:paraId="4FB8BB91" w14:textId="642969E5"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Note: </w:t>
            </w:r>
            <w:r w:rsidRPr="00F01347">
              <w:rPr>
                <w:rFonts w:ascii="Verdana" w:hAnsi="Verdana"/>
                <w:sz w:val="16"/>
                <w:szCs w:val="16"/>
                <w:lang w:val="en-US"/>
              </w:rPr>
              <w:t>If the combination electrode has an integrated ATC temperature compensator or the potentiometer has an ATC temperature compensator independently, the water bath or liquid-in-glass thermometer or thermocouple is not required.</w:t>
            </w:r>
          </w:p>
        </w:tc>
      </w:tr>
      <w:tr w:rsidR="007557BF" w:rsidRPr="00F01347" w14:paraId="2B9D1A0E" w14:textId="664B13DB" w:rsidTr="00A5493F">
        <w:tc>
          <w:tcPr>
            <w:tcW w:w="4675" w:type="dxa"/>
          </w:tcPr>
          <w:p w14:paraId="30C5B427" w14:textId="77777777" w:rsidR="007557BF" w:rsidRPr="00F01347" w:rsidRDefault="007557BF" w:rsidP="007557BF">
            <w:pPr>
              <w:pStyle w:val="texto0"/>
              <w:ind w:firstLine="0"/>
              <w:rPr>
                <w:rFonts w:ascii="Verdana" w:hAnsi="Verdana"/>
                <w:sz w:val="16"/>
                <w:szCs w:val="16"/>
              </w:rPr>
            </w:pPr>
            <w:r w:rsidRPr="00F01347">
              <w:rPr>
                <w:rFonts w:ascii="Verdana" w:hAnsi="Verdana"/>
                <w:b/>
                <w:sz w:val="16"/>
                <w:szCs w:val="16"/>
              </w:rPr>
              <w:t>Frascos con tapón</w:t>
            </w:r>
            <w:r w:rsidRPr="00F01347">
              <w:rPr>
                <w:rFonts w:ascii="Verdana" w:hAnsi="Verdana"/>
                <w:sz w:val="16"/>
                <w:szCs w:val="16"/>
              </w:rPr>
              <w:t xml:space="preserve"> para contener los patrones de pH y las muestras.</w:t>
            </w:r>
          </w:p>
        </w:tc>
        <w:tc>
          <w:tcPr>
            <w:tcW w:w="4675" w:type="dxa"/>
          </w:tcPr>
          <w:p w14:paraId="6945AF18" w14:textId="23D05880" w:rsidR="007557BF" w:rsidRPr="00F01347" w:rsidRDefault="007557BF" w:rsidP="007557BF">
            <w:pPr>
              <w:pStyle w:val="texto0"/>
              <w:ind w:firstLine="0"/>
              <w:rPr>
                <w:rFonts w:ascii="Verdana" w:hAnsi="Verdana"/>
                <w:b/>
                <w:sz w:val="16"/>
                <w:szCs w:val="16"/>
                <w:lang w:val="en-US"/>
              </w:rPr>
            </w:pPr>
            <w:r w:rsidRPr="00F01347">
              <w:rPr>
                <w:rFonts w:ascii="Verdana" w:hAnsi="Verdana"/>
                <w:b/>
                <w:sz w:val="16"/>
                <w:szCs w:val="16"/>
                <w:lang w:val="en-US"/>
              </w:rPr>
              <w:t xml:space="preserve">Bottles with caps </w:t>
            </w:r>
            <w:r w:rsidRPr="00F01347">
              <w:rPr>
                <w:rFonts w:ascii="Verdana" w:hAnsi="Verdana"/>
                <w:sz w:val="16"/>
                <w:szCs w:val="16"/>
                <w:lang w:val="en-US"/>
              </w:rPr>
              <w:t>to contain pH standards and samples.</w:t>
            </w:r>
          </w:p>
        </w:tc>
      </w:tr>
      <w:tr w:rsidR="007557BF" w:rsidRPr="00F01347" w14:paraId="45C2A48A" w14:textId="2026C541" w:rsidTr="00A5493F">
        <w:tc>
          <w:tcPr>
            <w:tcW w:w="4675" w:type="dxa"/>
          </w:tcPr>
          <w:p w14:paraId="44FD556A" w14:textId="77777777" w:rsidR="007557BF" w:rsidRPr="00F01347" w:rsidRDefault="007557BF" w:rsidP="007557BF">
            <w:pPr>
              <w:pStyle w:val="texto0"/>
              <w:ind w:firstLine="0"/>
              <w:rPr>
                <w:rFonts w:ascii="Verdana" w:hAnsi="Verdana"/>
                <w:sz w:val="16"/>
                <w:szCs w:val="16"/>
              </w:rPr>
            </w:pPr>
            <w:r w:rsidRPr="00F01347">
              <w:rPr>
                <w:rFonts w:ascii="Verdana" w:hAnsi="Verdana"/>
                <w:b/>
                <w:sz w:val="16"/>
                <w:szCs w:val="16"/>
              </w:rPr>
              <w:t>Matraces Erlenmeyer</w:t>
            </w:r>
            <w:r w:rsidRPr="00F01347">
              <w:rPr>
                <w:rFonts w:ascii="Verdana" w:hAnsi="Verdana"/>
                <w:sz w:val="16"/>
                <w:szCs w:val="16"/>
              </w:rPr>
              <w:t xml:space="preserve"> de 125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0A6A144D" w14:textId="37190EA2" w:rsidR="007557BF" w:rsidRPr="00F01347" w:rsidRDefault="007557BF" w:rsidP="007557BF">
            <w:pPr>
              <w:pStyle w:val="texto0"/>
              <w:ind w:firstLine="0"/>
              <w:rPr>
                <w:rFonts w:ascii="Verdana" w:hAnsi="Verdana"/>
                <w:b/>
                <w:sz w:val="16"/>
                <w:szCs w:val="16"/>
                <w:lang w:val="en-US"/>
              </w:rPr>
            </w:pPr>
            <w:r w:rsidRPr="00F01347">
              <w:rPr>
                <w:rFonts w:ascii="Verdana" w:hAnsi="Verdana"/>
                <w:b/>
                <w:sz w:val="16"/>
                <w:szCs w:val="16"/>
                <w:lang w:val="en-US"/>
              </w:rPr>
              <w:t>Erlenmeyer flasks</w:t>
            </w:r>
            <w:r w:rsidR="00197CFA" w:rsidRPr="00F01347">
              <w:rPr>
                <w:rFonts w:ascii="Verdana" w:hAnsi="Verdana"/>
                <w:b/>
                <w:sz w:val="16"/>
                <w:szCs w:val="16"/>
                <w:lang w:val="en-US"/>
              </w:rPr>
              <w:t xml:space="preserve"> </w:t>
            </w:r>
            <w:r w:rsidR="00197CFA" w:rsidRPr="00F01347">
              <w:rPr>
                <w:rFonts w:ascii="Verdana" w:hAnsi="Verdana"/>
                <w:sz w:val="16"/>
                <w:szCs w:val="16"/>
                <w:lang w:val="en-US"/>
              </w:rPr>
              <w:t>125 mL</w:t>
            </w:r>
            <w:r w:rsidR="003E1BA9" w:rsidRPr="00F01347">
              <w:rPr>
                <w:rFonts w:ascii="Verdana" w:hAnsi="Verdana"/>
                <w:b/>
                <w:sz w:val="16"/>
                <w:szCs w:val="16"/>
                <w:lang w:val="en-US"/>
              </w:rPr>
              <w:t>.</w:t>
            </w:r>
            <w:r w:rsidR="00197CFA" w:rsidRPr="00F01347">
              <w:rPr>
                <w:rFonts w:ascii="Verdana" w:hAnsi="Verdana"/>
                <w:b/>
                <w:sz w:val="16"/>
                <w:szCs w:val="16"/>
                <w:lang w:val="en-US"/>
              </w:rPr>
              <w:t xml:space="preserve"> </w:t>
            </w:r>
          </w:p>
        </w:tc>
      </w:tr>
      <w:tr w:rsidR="007557BF" w:rsidRPr="00F01347" w14:paraId="469B8242" w14:textId="4A465F52" w:rsidTr="00A5493F">
        <w:tc>
          <w:tcPr>
            <w:tcW w:w="4675" w:type="dxa"/>
          </w:tcPr>
          <w:p w14:paraId="572F2496" w14:textId="77777777" w:rsidR="007557BF" w:rsidRPr="00F01347" w:rsidRDefault="007557BF" w:rsidP="007557BF">
            <w:pPr>
              <w:pStyle w:val="texto0"/>
              <w:ind w:firstLine="0"/>
              <w:rPr>
                <w:rFonts w:ascii="Verdana" w:hAnsi="Verdana"/>
                <w:sz w:val="16"/>
                <w:szCs w:val="16"/>
              </w:rPr>
            </w:pPr>
            <w:r w:rsidRPr="00F01347">
              <w:rPr>
                <w:rFonts w:ascii="Verdana" w:hAnsi="Verdana"/>
                <w:b/>
                <w:sz w:val="16"/>
                <w:szCs w:val="16"/>
              </w:rPr>
              <w:t xml:space="preserve">Papel </w:t>
            </w:r>
            <w:r w:rsidRPr="00F01347">
              <w:rPr>
                <w:rFonts w:ascii="Verdana" w:hAnsi="Verdana"/>
                <w:sz w:val="16"/>
                <w:szCs w:val="16"/>
              </w:rPr>
              <w:t>para secar el electrodo.</w:t>
            </w:r>
          </w:p>
        </w:tc>
        <w:tc>
          <w:tcPr>
            <w:tcW w:w="4675" w:type="dxa"/>
          </w:tcPr>
          <w:p w14:paraId="08C3B338" w14:textId="4A8608CD" w:rsidR="007557BF" w:rsidRPr="00F01347" w:rsidRDefault="007557BF" w:rsidP="007557BF">
            <w:pPr>
              <w:pStyle w:val="texto0"/>
              <w:ind w:firstLine="0"/>
              <w:rPr>
                <w:rFonts w:ascii="Verdana" w:hAnsi="Verdana"/>
                <w:b/>
                <w:sz w:val="16"/>
                <w:szCs w:val="16"/>
                <w:lang w:val="en-US"/>
              </w:rPr>
            </w:pPr>
            <w:r w:rsidRPr="00F01347">
              <w:rPr>
                <w:rFonts w:ascii="Verdana" w:hAnsi="Verdana"/>
                <w:b/>
                <w:sz w:val="16"/>
                <w:szCs w:val="16"/>
                <w:lang w:val="en-US"/>
              </w:rPr>
              <w:t xml:space="preserve">Paper </w:t>
            </w:r>
            <w:r w:rsidRPr="00F01347">
              <w:rPr>
                <w:rFonts w:ascii="Verdana" w:hAnsi="Verdana"/>
                <w:sz w:val="16"/>
                <w:szCs w:val="16"/>
                <w:lang w:val="en-US"/>
              </w:rPr>
              <w:t>to dry the electrode.</w:t>
            </w:r>
          </w:p>
        </w:tc>
      </w:tr>
      <w:tr w:rsidR="007557BF" w:rsidRPr="00F01347" w14:paraId="0D7656C9" w14:textId="68F4E6CF" w:rsidTr="00A5493F">
        <w:tc>
          <w:tcPr>
            <w:tcW w:w="4675" w:type="dxa"/>
          </w:tcPr>
          <w:p w14:paraId="56E0E9CE"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Piseta</w:t>
            </w:r>
          </w:p>
        </w:tc>
        <w:tc>
          <w:tcPr>
            <w:tcW w:w="4675" w:type="dxa"/>
          </w:tcPr>
          <w:p w14:paraId="16477522" w14:textId="36D4D537" w:rsidR="007557BF" w:rsidRPr="00F01347" w:rsidRDefault="007557BF" w:rsidP="007557BF">
            <w:pPr>
              <w:pStyle w:val="texto0"/>
              <w:spacing w:line="220" w:lineRule="exact"/>
              <w:ind w:firstLine="0"/>
              <w:rPr>
                <w:rFonts w:ascii="Verdana" w:hAnsi="Verdana"/>
                <w:b/>
                <w:sz w:val="16"/>
                <w:szCs w:val="16"/>
                <w:lang w:val="en-US"/>
              </w:rPr>
            </w:pPr>
            <w:proofErr w:type="spellStart"/>
            <w:r w:rsidRPr="00F01347">
              <w:rPr>
                <w:rFonts w:ascii="Verdana" w:hAnsi="Verdana"/>
                <w:b/>
                <w:sz w:val="16"/>
                <w:szCs w:val="16"/>
                <w:lang w:val="en-US"/>
              </w:rPr>
              <w:t>Pis</w:t>
            </w:r>
            <w:r w:rsidR="001B7861" w:rsidRPr="00F01347">
              <w:rPr>
                <w:rFonts w:ascii="Verdana" w:hAnsi="Verdana"/>
                <w:b/>
                <w:sz w:val="16"/>
                <w:szCs w:val="16"/>
                <w:lang w:val="en-US"/>
              </w:rPr>
              <w:t>sette</w:t>
            </w:r>
            <w:proofErr w:type="spellEnd"/>
          </w:p>
        </w:tc>
      </w:tr>
      <w:tr w:rsidR="007557BF" w:rsidRPr="00F01347" w14:paraId="6EB1C4C3" w14:textId="0B8823AD" w:rsidTr="00A5493F">
        <w:tc>
          <w:tcPr>
            <w:tcW w:w="4675" w:type="dxa"/>
          </w:tcPr>
          <w:p w14:paraId="0FEC136C"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t>Potenciómetro</w:t>
            </w:r>
            <w:r w:rsidRPr="00F01347">
              <w:rPr>
                <w:rFonts w:ascii="Verdana" w:hAnsi="Verdana"/>
                <w:sz w:val="16"/>
                <w:szCs w:val="16"/>
              </w:rPr>
              <w:t xml:space="preserve"> para medir pH, con intervalo de 0 a 14 y resolución mínima de 0.1 Unidades de pH.</w:t>
            </w:r>
          </w:p>
        </w:tc>
        <w:tc>
          <w:tcPr>
            <w:tcW w:w="4675" w:type="dxa"/>
          </w:tcPr>
          <w:p w14:paraId="00CD6198" w14:textId="5F97EDED"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Potentiometer </w:t>
            </w:r>
            <w:r w:rsidRPr="00F01347">
              <w:rPr>
                <w:rFonts w:ascii="Verdana" w:hAnsi="Verdana"/>
                <w:sz w:val="16"/>
                <w:szCs w:val="16"/>
                <w:lang w:val="en-US"/>
              </w:rPr>
              <w:t>to measure pH, with an interval of 0 to 14 and a minimum resolution of 0.1 pH units.</w:t>
            </w:r>
          </w:p>
        </w:tc>
      </w:tr>
      <w:tr w:rsidR="007557BF" w:rsidRPr="00F01347" w14:paraId="1FF9FDFE" w14:textId="67A8BF76" w:rsidTr="00A5493F">
        <w:tc>
          <w:tcPr>
            <w:tcW w:w="4675" w:type="dxa"/>
          </w:tcPr>
          <w:p w14:paraId="34D66553"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t xml:space="preserve">Termómetro </w:t>
            </w:r>
            <w:r w:rsidRPr="00F01347">
              <w:rPr>
                <w:rFonts w:ascii="Verdana" w:hAnsi="Verdana"/>
                <w:sz w:val="16"/>
                <w:szCs w:val="16"/>
              </w:rPr>
              <w:t>de líquido en vidrio, electrónico o termopar, con resolución mínima de 1 °C.</w:t>
            </w:r>
          </w:p>
        </w:tc>
        <w:tc>
          <w:tcPr>
            <w:tcW w:w="4675" w:type="dxa"/>
          </w:tcPr>
          <w:p w14:paraId="4FC60C39" w14:textId="38788815"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bCs/>
                <w:sz w:val="16"/>
                <w:szCs w:val="16"/>
                <w:lang w:val="en-US"/>
              </w:rPr>
              <w:t>Liquid-in-glass</w:t>
            </w:r>
            <w:r w:rsidRPr="00F01347">
              <w:rPr>
                <w:rFonts w:ascii="Verdana" w:hAnsi="Verdana"/>
                <w:sz w:val="16"/>
                <w:szCs w:val="16"/>
                <w:lang w:val="en-US"/>
              </w:rPr>
              <w:t xml:space="preserve"> </w:t>
            </w:r>
            <w:r w:rsidRPr="00F01347">
              <w:rPr>
                <w:rFonts w:ascii="Verdana" w:hAnsi="Verdana"/>
                <w:b/>
                <w:sz w:val="16"/>
                <w:szCs w:val="16"/>
                <w:lang w:val="en-US"/>
              </w:rPr>
              <w:t>thermometer</w:t>
            </w:r>
            <w:r w:rsidR="003E1BA9"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bCs/>
                <w:sz w:val="16"/>
                <w:szCs w:val="16"/>
                <w:lang w:val="en-US"/>
              </w:rPr>
              <w:t>electronic or thermocouple, with a minimum resolution of 1 °C.</w:t>
            </w:r>
          </w:p>
        </w:tc>
      </w:tr>
      <w:tr w:rsidR="007557BF" w:rsidRPr="00F01347" w14:paraId="73EAAFED" w14:textId="5EBF3636" w:rsidTr="00A5493F">
        <w:tc>
          <w:tcPr>
            <w:tcW w:w="4675" w:type="dxa"/>
          </w:tcPr>
          <w:p w14:paraId="5491AEC5"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t>Tubos de ensayo</w:t>
            </w:r>
            <w:r w:rsidRPr="00F01347">
              <w:rPr>
                <w:rFonts w:ascii="Verdana" w:hAnsi="Verdana"/>
                <w:sz w:val="16"/>
                <w:szCs w:val="16"/>
              </w:rPr>
              <w:t xml:space="preserve"> con rosca para tapones, para contener las muestras.</w:t>
            </w:r>
          </w:p>
        </w:tc>
        <w:tc>
          <w:tcPr>
            <w:tcW w:w="4675" w:type="dxa"/>
          </w:tcPr>
          <w:p w14:paraId="688F8E8E" w14:textId="34822A7B"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Test tubes </w:t>
            </w:r>
            <w:r w:rsidRPr="00F01347">
              <w:rPr>
                <w:rFonts w:ascii="Verdana" w:hAnsi="Verdana"/>
                <w:sz w:val="16"/>
                <w:szCs w:val="16"/>
                <w:lang w:val="en-US"/>
              </w:rPr>
              <w:t>with threaded caps, to contain the samples.</w:t>
            </w:r>
          </w:p>
        </w:tc>
      </w:tr>
      <w:tr w:rsidR="007557BF" w:rsidRPr="00F01347" w14:paraId="074810D4" w14:textId="1AE9AE74" w:rsidTr="00A5493F">
        <w:tc>
          <w:tcPr>
            <w:tcW w:w="4675" w:type="dxa"/>
          </w:tcPr>
          <w:p w14:paraId="0D6C1AAD"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iCs/>
                <w:sz w:val="16"/>
                <w:szCs w:val="16"/>
              </w:rPr>
              <w:t>Vasos de precipitados</w:t>
            </w:r>
            <w:r w:rsidRPr="00F01347">
              <w:rPr>
                <w:rFonts w:ascii="Verdana" w:hAnsi="Verdana"/>
                <w:iCs/>
                <w:sz w:val="16"/>
                <w:szCs w:val="16"/>
              </w:rPr>
              <w:t xml:space="preserve">, utilizar preferentemente de polietileno o </w:t>
            </w:r>
            <w:r w:rsidRPr="00F01347">
              <w:rPr>
                <w:rFonts w:ascii="Verdana" w:hAnsi="Verdana"/>
                <w:sz w:val="16"/>
                <w:szCs w:val="16"/>
              </w:rPr>
              <w:t>TFE.</w:t>
            </w:r>
          </w:p>
        </w:tc>
        <w:tc>
          <w:tcPr>
            <w:tcW w:w="4675" w:type="dxa"/>
          </w:tcPr>
          <w:p w14:paraId="11D667CB" w14:textId="18665434" w:rsidR="007557BF" w:rsidRPr="00F01347" w:rsidRDefault="007557BF" w:rsidP="007557BF">
            <w:pPr>
              <w:pStyle w:val="texto0"/>
              <w:spacing w:line="220" w:lineRule="exact"/>
              <w:ind w:firstLine="0"/>
              <w:rPr>
                <w:rFonts w:ascii="Verdana" w:hAnsi="Verdana"/>
                <w:b/>
                <w:iCs/>
                <w:sz w:val="16"/>
                <w:szCs w:val="16"/>
                <w:lang w:val="en-US"/>
              </w:rPr>
            </w:pPr>
            <w:r w:rsidRPr="00F01347">
              <w:rPr>
                <w:rFonts w:ascii="Verdana" w:hAnsi="Verdana"/>
                <w:b/>
                <w:iCs/>
                <w:sz w:val="16"/>
                <w:szCs w:val="16"/>
                <w:lang w:val="en-US"/>
              </w:rPr>
              <w:t>Beakers</w:t>
            </w:r>
            <w:r w:rsidR="003E1BA9" w:rsidRPr="00F01347">
              <w:rPr>
                <w:rFonts w:ascii="Verdana" w:hAnsi="Verdana"/>
                <w:b/>
                <w:iCs/>
                <w:sz w:val="16"/>
                <w:szCs w:val="16"/>
                <w:lang w:val="en-US"/>
              </w:rPr>
              <w:t>,</w:t>
            </w:r>
            <w:r w:rsidRPr="00F01347">
              <w:rPr>
                <w:rFonts w:ascii="Verdana" w:hAnsi="Verdana"/>
                <w:iCs/>
                <w:sz w:val="16"/>
                <w:szCs w:val="16"/>
                <w:lang w:val="en-US"/>
              </w:rPr>
              <w:t xml:space="preserve"> preferably use polyethylene or </w:t>
            </w:r>
            <w:r w:rsidRPr="00F01347">
              <w:rPr>
                <w:rFonts w:ascii="Verdana" w:hAnsi="Verdana"/>
                <w:sz w:val="16"/>
                <w:szCs w:val="16"/>
                <w:lang w:val="en-US"/>
              </w:rPr>
              <w:t>TFE.</w:t>
            </w:r>
          </w:p>
        </w:tc>
      </w:tr>
      <w:tr w:rsidR="007557BF" w:rsidRPr="00F01347" w14:paraId="705EF13A" w14:textId="2DBFF1ED" w:rsidTr="00A5493F">
        <w:tc>
          <w:tcPr>
            <w:tcW w:w="4675" w:type="dxa"/>
          </w:tcPr>
          <w:p w14:paraId="72BA4E68"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B.9.6 Reactivos y soluciones</w:t>
            </w:r>
          </w:p>
        </w:tc>
        <w:tc>
          <w:tcPr>
            <w:tcW w:w="4675" w:type="dxa"/>
          </w:tcPr>
          <w:p w14:paraId="37B0EF6F" w14:textId="435D489C"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B.9.6 Reagents and solutions</w:t>
            </w:r>
          </w:p>
        </w:tc>
      </w:tr>
      <w:tr w:rsidR="007557BF" w:rsidRPr="00F01347" w14:paraId="48DCB606" w14:textId="4DE01E74" w:rsidTr="00A5493F">
        <w:tc>
          <w:tcPr>
            <w:tcW w:w="4675" w:type="dxa"/>
          </w:tcPr>
          <w:p w14:paraId="05592B3F"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Los reactivos que requiere el método deben ser tipo ACS grado reactivo a menos que otra cosa se indique.</w:t>
            </w:r>
          </w:p>
        </w:tc>
        <w:tc>
          <w:tcPr>
            <w:tcW w:w="4675" w:type="dxa"/>
          </w:tcPr>
          <w:p w14:paraId="29FD26C7" w14:textId="6CB76A4D"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The reagents required by the method must be ACS reagent grade unless otherwise indicated.</w:t>
            </w:r>
          </w:p>
        </w:tc>
      </w:tr>
      <w:tr w:rsidR="007557BF" w:rsidRPr="00F01347" w14:paraId="6DD2F95A" w14:textId="03A00A8F" w:rsidTr="00A5493F">
        <w:tc>
          <w:tcPr>
            <w:tcW w:w="4675" w:type="dxa"/>
          </w:tcPr>
          <w:p w14:paraId="563FEF7A"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Agua grado reactivo</w:t>
            </w:r>
          </w:p>
        </w:tc>
        <w:tc>
          <w:tcPr>
            <w:tcW w:w="4675" w:type="dxa"/>
          </w:tcPr>
          <w:p w14:paraId="2DC1C11B" w14:textId="53760B46"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Reagent grade water</w:t>
            </w:r>
          </w:p>
        </w:tc>
      </w:tr>
      <w:tr w:rsidR="007557BF" w:rsidRPr="00F01347" w14:paraId="25747918" w14:textId="14E509AA" w:rsidTr="00A5493F">
        <w:tc>
          <w:tcPr>
            <w:tcW w:w="4675" w:type="dxa"/>
          </w:tcPr>
          <w:p w14:paraId="51B4F053" w14:textId="4E31C97F"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t xml:space="preserve">Agua tipo I: </w:t>
            </w:r>
            <w:r w:rsidRPr="00F01347">
              <w:rPr>
                <w:rFonts w:ascii="Verdana" w:hAnsi="Verdana"/>
                <w:sz w:val="16"/>
                <w:szCs w:val="16"/>
              </w:rPr>
              <w:t xml:space="preserve">Al agua con una conductividad eléctrica de 0.1 µS/cm a 25 °C como máximo </w:t>
            </w:r>
            <w:r w:rsidR="00F01347" w:rsidRPr="00F01347">
              <w:rPr>
                <w:rFonts w:ascii="Verdana" w:hAnsi="Verdana"/>
                <w:sz w:val="16"/>
                <w:szCs w:val="16"/>
              </w:rPr>
              <w:t>o Resistividad</w:t>
            </w:r>
            <w:r w:rsidRPr="00F01347">
              <w:rPr>
                <w:rFonts w:ascii="Verdana" w:hAnsi="Verdana"/>
                <w:sz w:val="16"/>
                <w:szCs w:val="16"/>
              </w:rPr>
              <w:t xml:space="preserve"> &gt; 10 MΩ-cm a 25 °C.</w:t>
            </w:r>
          </w:p>
        </w:tc>
        <w:tc>
          <w:tcPr>
            <w:tcW w:w="4675" w:type="dxa"/>
          </w:tcPr>
          <w:p w14:paraId="31B082A5" w14:textId="729B6DA5"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Type I water: </w:t>
            </w:r>
            <w:r w:rsidRPr="00F01347">
              <w:rPr>
                <w:rFonts w:ascii="Verdana" w:hAnsi="Verdana"/>
                <w:sz w:val="16"/>
                <w:szCs w:val="16"/>
                <w:lang w:val="en-US"/>
              </w:rPr>
              <w:t>Water with an electrical conductivity of 0.1 µS/cm at a maximum of 25 °C or Resistivity &gt; 10 MΩ-cm at 25 °C.</w:t>
            </w:r>
          </w:p>
        </w:tc>
      </w:tr>
      <w:tr w:rsidR="007557BF" w:rsidRPr="00F01347" w14:paraId="0B8DE49E" w14:textId="719AF32D" w:rsidTr="00A5493F">
        <w:tc>
          <w:tcPr>
            <w:tcW w:w="4675" w:type="dxa"/>
          </w:tcPr>
          <w:p w14:paraId="00565880"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sz w:val="16"/>
                <w:szCs w:val="16"/>
              </w:rPr>
              <w:lastRenderedPageBreak/>
              <w:t xml:space="preserve">Agua tipo II: </w:t>
            </w:r>
            <w:r w:rsidRPr="00F01347">
              <w:rPr>
                <w:rFonts w:ascii="Verdana" w:hAnsi="Verdana"/>
                <w:sz w:val="16"/>
                <w:szCs w:val="16"/>
              </w:rPr>
              <w:t xml:space="preserve">Al agua con una conductividad eléctrica de 1.0 µS/cm a 25 °C como </w:t>
            </w:r>
            <w:proofErr w:type="gramStart"/>
            <w:r w:rsidRPr="00F01347">
              <w:rPr>
                <w:rFonts w:ascii="Verdana" w:hAnsi="Verdana"/>
                <w:sz w:val="16"/>
                <w:szCs w:val="16"/>
              </w:rPr>
              <w:t>máximo  o</w:t>
            </w:r>
            <w:proofErr w:type="gramEnd"/>
            <w:r w:rsidRPr="00F01347">
              <w:rPr>
                <w:rFonts w:ascii="Verdana" w:hAnsi="Verdana"/>
                <w:sz w:val="16"/>
                <w:szCs w:val="16"/>
              </w:rPr>
              <w:t xml:space="preserve"> Resistividad &gt; 1 MΩ-cm a 25 °C.</w:t>
            </w:r>
          </w:p>
        </w:tc>
        <w:tc>
          <w:tcPr>
            <w:tcW w:w="4675" w:type="dxa"/>
          </w:tcPr>
          <w:p w14:paraId="606FF37E" w14:textId="4FCA3E63"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Type II water: </w:t>
            </w:r>
            <w:r w:rsidRPr="00F01347">
              <w:rPr>
                <w:rFonts w:ascii="Verdana" w:hAnsi="Verdana"/>
                <w:sz w:val="16"/>
                <w:szCs w:val="16"/>
                <w:lang w:val="en-US"/>
              </w:rPr>
              <w:t>Water with an electrical conductivity of 1.0 µS/cm at 25 °C maximum or Resistivity &gt; 1 MΩ-cm at 25 °C.</w:t>
            </w:r>
          </w:p>
        </w:tc>
      </w:tr>
      <w:tr w:rsidR="007557BF" w:rsidRPr="00F01347" w14:paraId="50B70F03" w14:textId="2D9FD245" w:rsidTr="00A5493F">
        <w:tc>
          <w:tcPr>
            <w:tcW w:w="4675" w:type="dxa"/>
          </w:tcPr>
          <w:p w14:paraId="5D884B21"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b/>
                <w:bCs/>
                <w:sz w:val="16"/>
                <w:szCs w:val="16"/>
              </w:rPr>
              <w:t xml:space="preserve">Disoluciones patrón amortiguadoras de pH: </w:t>
            </w:r>
            <w:r w:rsidRPr="00F01347">
              <w:rPr>
                <w:rFonts w:ascii="Verdana" w:hAnsi="Verdana"/>
                <w:bCs/>
                <w:sz w:val="16"/>
                <w:szCs w:val="16"/>
              </w:rPr>
              <w:t>con valores cercanos a 3, 4, 7, 9 y 10,</w:t>
            </w:r>
            <w:r w:rsidRPr="00F01347">
              <w:rPr>
                <w:rFonts w:ascii="Verdana" w:hAnsi="Verdana"/>
                <w:sz w:val="16"/>
                <w:szCs w:val="16"/>
              </w:rPr>
              <w:t xml:space="preserve"> con certificado de análisis trazable a patrones nacionales o internacionales.</w:t>
            </w:r>
          </w:p>
        </w:tc>
        <w:tc>
          <w:tcPr>
            <w:tcW w:w="4675" w:type="dxa"/>
          </w:tcPr>
          <w:p w14:paraId="67527249" w14:textId="1CC84817" w:rsidR="007557BF" w:rsidRPr="00F01347" w:rsidRDefault="007557BF" w:rsidP="007557BF">
            <w:pPr>
              <w:pStyle w:val="texto0"/>
              <w:spacing w:line="220" w:lineRule="exact"/>
              <w:ind w:firstLine="0"/>
              <w:rPr>
                <w:rFonts w:ascii="Verdana" w:hAnsi="Verdana"/>
                <w:b/>
                <w:bCs/>
                <w:sz w:val="16"/>
                <w:szCs w:val="16"/>
                <w:lang w:val="en-US"/>
              </w:rPr>
            </w:pPr>
            <w:r w:rsidRPr="00F01347">
              <w:rPr>
                <w:rFonts w:ascii="Verdana" w:hAnsi="Verdana"/>
                <w:b/>
                <w:bCs/>
                <w:sz w:val="16"/>
                <w:szCs w:val="16"/>
                <w:lang w:val="en-US"/>
              </w:rPr>
              <w:t xml:space="preserve">pH buffer standard solutions: </w:t>
            </w:r>
            <w:r w:rsidRPr="00F01347">
              <w:rPr>
                <w:rFonts w:ascii="Verdana" w:hAnsi="Verdana"/>
                <w:bCs/>
                <w:sz w:val="16"/>
                <w:szCs w:val="16"/>
                <w:lang w:val="en-US"/>
              </w:rPr>
              <w:t xml:space="preserve">with values close to 3, 4, 7, 9 and 10, </w:t>
            </w:r>
            <w:r w:rsidRPr="00F01347">
              <w:rPr>
                <w:rFonts w:ascii="Verdana" w:hAnsi="Verdana"/>
                <w:sz w:val="16"/>
                <w:szCs w:val="16"/>
                <w:lang w:val="en-US"/>
              </w:rPr>
              <w:t>with a certificate of analysis traceable to national or international standards.</w:t>
            </w:r>
          </w:p>
        </w:tc>
      </w:tr>
      <w:tr w:rsidR="007557BF" w:rsidRPr="00F01347" w14:paraId="2253DA05" w14:textId="7CBEDACF" w:rsidTr="00A5493F">
        <w:tc>
          <w:tcPr>
            <w:tcW w:w="4675" w:type="dxa"/>
          </w:tcPr>
          <w:p w14:paraId="19C7D570"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sz w:val="16"/>
                <w:szCs w:val="16"/>
              </w:rPr>
              <w:t xml:space="preserve">Se pueden preparar las disoluciones a partir de las sales, utilizar sales trazables a patrones nacionales e internacionales. </w:t>
            </w:r>
            <w:r w:rsidRPr="00F01347">
              <w:rPr>
                <w:rFonts w:ascii="Verdana" w:hAnsi="Verdana"/>
                <w:sz w:val="16"/>
                <w:szCs w:val="16"/>
                <w:lang w:val="es-ES"/>
              </w:rPr>
              <w:t xml:space="preserve">Preparar fresco según sea necesario debido a que las soluciones se deterioran por el ambiente o por el crecimiento de hongos, para preparar las disoluciones a partir de las sales, seguir </w:t>
            </w:r>
            <w:proofErr w:type="gramStart"/>
            <w:r w:rsidRPr="00F01347">
              <w:rPr>
                <w:rFonts w:ascii="Verdana" w:hAnsi="Verdana"/>
                <w:sz w:val="16"/>
                <w:szCs w:val="16"/>
                <w:lang w:val="es-ES"/>
              </w:rPr>
              <w:t>las  instrucciones</w:t>
            </w:r>
            <w:proofErr w:type="gramEnd"/>
            <w:r w:rsidRPr="00F01347">
              <w:rPr>
                <w:rFonts w:ascii="Verdana" w:hAnsi="Verdana"/>
                <w:sz w:val="16"/>
                <w:szCs w:val="16"/>
                <w:lang w:val="es-ES"/>
              </w:rPr>
              <w:t xml:space="preserve"> descritas en </w:t>
            </w:r>
            <w:r w:rsidRPr="00F01347">
              <w:rPr>
                <w:rFonts w:ascii="Verdana" w:hAnsi="Verdana"/>
                <w:sz w:val="16"/>
                <w:szCs w:val="16"/>
              </w:rPr>
              <w:t xml:space="preserve">Standard </w:t>
            </w:r>
            <w:proofErr w:type="spellStart"/>
            <w:r w:rsidRPr="00F01347">
              <w:rPr>
                <w:rFonts w:ascii="Verdana" w:hAnsi="Verdana"/>
                <w:sz w:val="16"/>
                <w:szCs w:val="16"/>
              </w:rPr>
              <w:t>methods</w:t>
            </w:r>
            <w:proofErr w:type="spellEnd"/>
            <w:r w:rsidRPr="00F01347">
              <w:rPr>
                <w:rFonts w:ascii="Verdana" w:hAnsi="Verdana"/>
                <w:sz w:val="16"/>
                <w:szCs w:val="16"/>
              </w:rPr>
              <w:t xml:space="preserve"> </w:t>
            </w:r>
            <w:proofErr w:type="spellStart"/>
            <w:r w:rsidRPr="00F01347">
              <w:rPr>
                <w:rFonts w:ascii="Verdana" w:hAnsi="Verdana"/>
                <w:sz w:val="16"/>
                <w:szCs w:val="16"/>
              </w:rPr>
              <w:t>for</w:t>
            </w:r>
            <w:proofErr w:type="spellEnd"/>
            <w:r w:rsidRPr="00F01347">
              <w:rPr>
                <w:rFonts w:ascii="Verdana" w:hAnsi="Verdana"/>
                <w:sz w:val="16"/>
                <w:szCs w:val="16"/>
              </w:rPr>
              <w:t xml:space="preserve"> </w:t>
            </w:r>
            <w:proofErr w:type="spellStart"/>
            <w:r w:rsidRPr="00F01347">
              <w:rPr>
                <w:rFonts w:ascii="Verdana" w:hAnsi="Verdana"/>
                <w:sz w:val="16"/>
                <w:szCs w:val="16"/>
              </w:rPr>
              <w:t>examination</w:t>
            </w:r>
            <w:proofErr w:type="spellEnd"/>
            <w:r w:rsidRPr="00F01347">
              <w:rPr>
                <w:rFonts w:ascii="Verdana" w:hAnsi="Verdana"/>
                <w:sz w:val="16"/>
                <w:szCs w:val="16"/>
              </w:rPr>
              <w:t xml:space="preserve"> </w:t>
            </w:r>
            <w:proofErr w:type="spellStart"/>
            <w:r w:rsidRPr="00F01347">
              <w:rPr>
                <w:rFonts w:ascii="Verdana" w:hAnsi="Verdana"/>
                <w:sz w:val="16"/>
                <w:szCs w:val="16"/>
              </w:rPr>
              <w:t>of</w:t>
            </w:r>
            <w:proofErr w:type="spellEnd"/>
            <w:r w:rsidRPr="00F01347">
              <w:rPr>
                <w:rFonts w:ascii="Verdana" w:hAnsi="Verdana"/>
                <w:sz w:val="16"/>
                <w:szCs w:val="16"/>
              </w:rPr>
              <w:t xml:space="preserve"> </w:t>
            </w:r>
            <w:proofErr w:type="spellStart"/>
            <w:r w:rsidRPr="00F01347">
              <w:rPr>
                <w:rFonts w:ascii="Verdana" w:hAnsi="Verdana"/>
                <w:sz w:val="16"/>
                <w:szCs w:val="16"/>
              </w:rPr>
              <w:t>water</w:t>
            </w:r>
            <w:proofErr w:type="spellEnd"/>
            <w:r w:rsidRPr="00F01347">
              <w:rPr>
                <w:rFonts w:ascii="Verdana" w:hAnsi="Verdana"/>
                <w:sz w:val="16"/>
                <w:szCs w:val="16"/>
              </w:rPr>
              <w:t xml:space="preserve"> and </w:t>
            </w:r>
            <w:proofErr w:type="spellStart"/>
            <w:r w:rsidRPr="00F01347">
              <w:rPr>
                <w:rFonts w:ascii="Verdana" w:hAnsi="Verdana"/>
                <w:sz w:val="16"/>
                <w:szCs w:val="16"/>
              </w:rPr>
              <w:t>wastewater</w:t>
            </w:r>
            <w:proofErr w:type="spellEnd"/>
            <w:r w:rsidRPr="00F01347">
              <w:rPr>
                <w:rFonts w:ascii="Verdana" w:hAnsi="Verdana"/>
                <w:sz w:val="16"/>
                <w:szCs w:val="16"/>
              </w:rPr>
              <w:t xml:space="preserve">. 4500-H+ B. </w:t>
            </w:r>
            <w:proofErr w:type="spellStart"/>
            <w:r w:rsidRPr="00F01347">
              <w:rPr>
                <w:rFonts w:ascii="Verdana" w:hAnsi="Verdana"/>
                <w:sz w:val="16"/>
                <w:szCs w:val="16"/>
              </w:rPr>
              <w:t>Electrometric</w:t>
            </w:r>
            <w:proofErr w:type="spellEnd"/>
            <w:r w:rsidRPr="00F01347">
              <w:rPr>
                <w:rFonts w:ascii="Verdana" w:hAnsi="Verdana"/>
                <w:sz w:val="16"/>
                <w:szCs w:val="16"/>
              </w:rPr>
              <w:t xml:space="preserve"> </w:t>
            </w:r>
            <w:proofErr w:type="spellStart"/>
            <w:r w:rsidRPr="00F01347">
              <w:rPr>
                <w:rFonts w:ascii="Verdana" w:hAnsi="Verdana"/>
                <w:sz w:val="16"/>
                <w:szCs w:val="16"/>
              </w:rPr>
              <w:t>Method</w:t>
            </w:r>
            <w:proofErr w:type="spellEnd"/>
            <w:r w:rsidRPr="00F01347">
              <w:rPr>
                <w:rFonts w:ascii="Verdana" w:hAnsi="Verdana"/>
                <w:sz w:val="16"/>
                <w:szCs w:val="16"/>
              </w:rPr>
              <w:t>.</w:t>
            </w:r>
          </w:p>
        </w:tc>
        <w:tc>
          <w:tcPr>
            <w:tcW w:w="4675" w:type="dxa"/>
          </w:tcPr>
          <w:p w14:paraId="40DD3EAB" w14:textId="5F628F22"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Solutions can be prepared from salts, using salts traceable to national and international standards. Prepare fresh as necessary because solutions are deteriorated by the environment or by fungal growth; to prepare solutions from salts, follow the instructions described in Standard methods</w:t>
            </w:r>
            <w:r w:rsidR="003E1BA9" w:rsidRPr="00F01347">
              <w:rPr>
                <w:rFonts w:ascii="Verdana" w:hAnsi="Verdana"/>
                <w:sz w:val="16"/>
                <w:szCs w:val="16"/>
                <w:lang w:val="en-US"/>
              </w:rPr>
              <w:t>.</w:t>
            </w:r>
            <w:r w:rsidRPr="00F01347">
              <w:rPr>
                <w:rFonts w:ascii="Verdana" w:hAnsi="Verdana"/>
                <w:sz w:val="16"/>
                <w:szCs w:val="16"/>
                <w:lang w:val="en-US"/>
              </w:rPr>
              <w:t xml:space="preserve"> for examination of water and wastewater</w:t>
            </w:r>
            <w:r w:rsidR="003E1BA9" w:rsidRPr="00F01347">
              <w:rPr>
                <w:rFonts w:ascii="Verdana" w:hAnsi="Verdana"/>
                <w:sz w:val="16"/>
                <w:szCs w:val="16"/>
                <w:lang w:val="en-US"/>
              </w:rPr>
              <w:t>.</w:t>
            </w:r>
            <w:r w:rsidRPr="00F01347">
              <w:rPr>
                <w:rFonts w:ascii="Verdana" w:hAnsi="Verdana"/>
                <w:sz w:val="16"/>
                <w:szCs w:val="16"/>
                <w:lang w:val="en-US"/>
              </w:rPr>
              <w:t xml:space="preserve"> 4500-H+ B.</w:t>
            </w:r>
            <w:r w:rsidR="00F46690" w:rsidRPr="00F01347">
              <w:rPr>
                <w:rFonts w:ascii="Verdana" w:hAnsi="Verdana"/>
                <w:sz w:val="16"/>
                <w:szCs w:val="16"/>
                <w:lang w:val="en-US"/>
              </w:rPr>
              <w:t xml:space="preserve"> </w:t>
            </w:r>
            <w:r w:rsidRPr="00F01347">
              <w:rPr>
                <w:rFonts w:ascii="Verdana" w:hAnsi="Verdana"/>
                <w:sz w:val="16"/>
                <w:szCs w:val="16"/>
                <w:lang w:val="en-US"/>
              </w:rPr>
              <w:t>Electrometric Method</w:t>
            </w:r>
            <w:r w:rsidR="003E1BA9" w:rsidRPr="00F01347">
              <w:rPr>
                <w:rFonts w:ascii="Verdana" w:hAnsi="Verdana"/>
                <w:sz w:val="16"/>
                <w:szCs w:val="16"/>
                <w:lang w:val="en-US"/>
              </w:rPr>
              <w:t>.</w:t>
            </w:r>
          </w:p>
        </w:tc>
      </w:tr>
      <w:tr w:rsidR="007557BF" w:rsidRPr="00F01347" w14:paraId="70BDD571" w14:textId="2B972C49" w:rsidTr="00A5493F">
        <w:tc>
          <w:tcPr>
            <w:tcW w:w="4675" w:type="dxa"/>
          </w:tcPr>
          <w:p w14:paraId="05DFAB5D"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B.9.7 Procedimiento</w:t>
            </w:r>
          </w:p>
        </w:tc>
        <w:tc>
          <w:tcPr>
            <w:tcW w:w="4675" w:type="dxa"/>
          </w:tcPr>
          <w:p w14:paraId="618AAC95" w14:textId="048ECEF1"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B.9.7 Procedure</w:t>
            </w:r>
          </w:p>
        </w:tc>
      </w:tr>
      <w:tr w:rsidR="007557BF" w:rsidRPr="00F01347" w14:paraId="78A46EA3" w14:textId="082335A6" w:rsidTr="00A5493F">
        <w:tc>
          <w:tcPr>
            <w:tcW w:w="4675" w:type="dxa"/>
          </w:tcPr>
          <w:p w14:paraId="3DB234E8"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B.9.7.1 Procedimiento analítico</w:t>
            </w:r>
          </w:p>
        </w:tc>
        <w:tc>
          <w:tcPr>
            <w:tcW w:w="4675" w:type="dxa"/>
          </w:tcPr>
          <w:p w14:paraId="49CDDCDF" w14:textId="75A5AA18"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B.9.7.1 Analytical procedure</w:t>
            </w:r>
          </w:p>
        </w:tc>
      </w:tr>
      <w:tr w:rsidR="007557BF" w:rsidRPr="00F01347" w14:paraId="33AD0ECB" w14:textId="3A78797B" w:rsidTr="00A5493F">
        <w:tc>
          <w:tcPr>
            <w:tcW w:w="4675" w:type="dxa"/>
          </w:tcPr>
          <w:p w14:paraId="5735528F"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lang w:val="es-ES"/>
              </w:rPr>
              <w:t>Seguir las instrucciones del fabricante para el almacenamiento y preparación de electrodos antes de su uso. Para el almacenamiento a corto plazo usar las disoluciones recomendadas. Para un electrodo combinado regularmente se utiliza disolución saturada de KCl. Mantener el electrodo húmedo devolviéndolo a la solución de almacenamiento siempre que no se esté realizando la medición del pH.</w:t>
            </w:r>
          </w:p>
        </w:tc>
        <w:tc>
          <w:tcPr>
            <w:tcW w:w="4675" w:type="dxa"/>
          </w:tcPr>
          <w:p w14:paraId="3AD939C7" w14:textId="6F7B63E9"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Follow the manufacturer's instructions for storing and preparing electrodes before use. For short-term storage use the recommended solutions. For a combined electrode, saturated </w:t>
            </w:r>
            <w:proofErr w:type="spellStart"/>
            <w:r w:rsidRPr="00F01347">
              <w:rPr>
                <w:rFonts w:ascii="Verdana" w:hAnsi="Verdana"/>
                <w:sz w:val="16"/>
                <w:szCs w:val="16"/>
                <w:lang w:val="en-US"/>
              </w:rPr>
              <w:t>KCl</w:t>
            </w:r>
            <w:proofErr w:type="spellEnd"/>
            <w:r w:rsidRPr="00F01347">
              <w:rPr>
                <w:rFonts w:ascii="Verdana" w:hAnsi="Verdana"/>
                <w:sz w:val="16"/>
                <w:szCs w:val="16"/>
                <w:lang w:val="en-US"/>
              </w:rPr>
              <w:t xml:space="preserve"> solution is used regularly. Keep the electrode moist by returning it to the storage solution whenever pH measurement is not being performed.</w:t>
            </w:r>
          </w:p>
        </w:tc>
      </w:tr>
      <w:tr w:rsidR="007557BF" w:rsidRPr="00F01347" w14:paraId="2B8F1ADA" w14:textId="0D067515" w:rsidTr="00A5493F">
        <w:tc>
          <w:tcPr>
            <w:tcW w:w="4675" w:type="dxa"/>
          </w:tcPr>
          <w:p w14:paraId="111D493B"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lang w:val="es-ES"/>
              </w:rPr>
              <w:t xml:space="preserve">Antes de usar, llevar los patrones y las muestras a la misma temperatura, </w:t>
            </w:r>
            <w:r w:rsidRPr="00F01347">
              <w:rPr>
                <w:rFonts w:ascii="Verdana" w:hAnsi="Verdana"/>
                <w:sz w:val="16"/>
                <w:szCs w:val="16"/>
              </w:rPr>
              <w:t>colocándolos en recipientes tapados y sumergirlos en baño María a temperatura constante para alcanzar la temperatura de 25°C, si el medidor de pH incluye un compensador automático de temperatura integrado al electrodo o de manera independiente, no es necesario el uso del baño maría.</w:t>
            </w:r>
          </w:p>
        </w:tc>
        <w:tc>
          <w:tcPr>
            <w:tcW w:w="4675" w:type="dxa"/>
          </w:tcPr>
          <w:p w14:paraId="4BC662A5" w14:textId="6BB4D1F6"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Before use, bring the standards and samples to the same temperature, placing them in covered containers and immerse them in a water bath at a constant temperature to reach a temperature of 25°C, if the pH meter includes an automatic temperature compensator integrated into the electrode. or independently, it is not necessary to use a bain-marie.</w:t>
            </w:r>
          </w:p>
        </w:tc>
      </w:tr>
      <w:tr w:rsidR="007557BF" w:rsidRPr="00F01347" w14:paraId="77E673D9" w14:textId="47AECD3E" w:rsidTr="00A5493F">
        <w:tc>
          <w:tcPr>
            <w:tcW w:w="4675" w:type="dxa"/>
          </w:tcPr>
          <w:p w14:paraId="2C05DC70"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Calibrar el potenciómetro utilizando dos o tres patrones siguiendo las instrucciones del fabricante y después de cada medición, lavar el electrodo con agua reactivo, quitar el exceso con papel secante que no deje residuos, evitar colocar el bulbo sensor y/o friccionar la superficie del electrodo. Verificar que la eficiencia electromotriz (pendiente) sea mínimo de 95%.</w:t>
            </w:r>
          </w:p>
        </w:tc>
        <w:tc>
          <w:tcPr>
            <w:tcW w:w="4675" w:type="dxa"/>
          </w:tcPr>
          <w:p w14:paraId="1804A3CF" w14:textId="75C1E037"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Calibrate the potentiometer using two or three standards following the manufacturer's instructions and after each measurement, wash the electrode with reagent water, remove the excess with blotting paper that does not leave residue, avoid placing the sensor bulb and/or rubbing the surface of the </w:t>
            </w:r>
            <w:r w:rsidR="00F46690" w:rsidRPr="00F01347">
              <w:rPr>
                <w:rFonts w:ascii="Verdana" w:hAnsi="Verdana"/>
                <w:sz w:val="16"/>
                <w:szCs w:val="16"/>
                <w:lang w:val="en-US"/>
              </w:rPr>
              <w:t>electrode.</w:t>
            </w:r>
            <w:r w:rsidRPr="00F01347">
              <w:rPr>
                <w:rFonts w:ascii="Verdana" w:hAnsi="Verdana"/>
                <w:sz w:val="16"/>
                <w:szCs w:val="16"/>
                <w:lang w:val="en-US"/>
              </w:rPr>
              <w:t xml:space="preserve"> Verify that the electromotive efficiency (slope) is at least 95%.</w:t>
            </w:r>
          </w:p>
        </w:tc>
      </w:tr>
      <w:tr w:rsidR="007557BF" w:rsidRPr="00F01347" w14:paraId="50E1DEF1" w14:textId="147EE7DC" w:rsidTr="00A5493F">
        <w:tc>
          <w:tcPr>
            <w:tcW w:w="4675" w:type="dxa"/>
          </w:tcPr>
          <w:p w14:paraId="5EF750C1"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 xml:space="preserve">Una vez realizada la calibración, verificar que las lecturas de los patrones den valores dentro del intervalo de ± 0.1 unidades de pH a 25 °C </w:t>
            </w:r>
            <w:proofErr w:type="gramStart"/>
            <w:r w:rsidRPr="00F01347">
              <w:rPr>
                <w:rFonts w:ascii="Verdana" w:hAnsi="Verdana"/>
                <w:sz w:val="16"/>
                <w:szCs w:val="16"/>
              </w:rPr>
              <w:t>de acuerdo a</w:t>
            </w:r>
            <w:proofErr w:type="gramEnd"/>
            <w:r w:rsidRPr="00F01347">
              <w:rPr>
                <w:rFonts w:ascii="Verdana" w:hAnsi="Verdana"/>
                <w:sz w:val="16"/>
                <w:szCs w:val="16"/>
              </w:rPr>
              <w:t xml:space="preserve"> las especificaciones de su certificado, realizando 2 lecturas independientes.</w:t>
            </w:r>
          </w:p>
        </w:tc>
        <w:tc>
          <w:tcPr>
            <w:tcW w:w="4675" w:type="dxa"/>
          </w:tcPr>
          <w:p w14:paraId="63918C5B" w14:textId="6F156872"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Once the calibration has been carried out, verify that the readings of the standards give values within the range of ± 0.1 pH units at 25 °C according to the specifications of </w:t>
            </w:r>
            <w:r w:rsidR="004A6BE5" w:rsidRPr="00F01347">
              <w:rPr>
                <w:rFonts w:ascii="Verdana" w:hAnsi="Verdana"/>
                <w:sz w:val="16"/>
                <w:szCs w:val="16"/>
                <w:lang w:val="en-US"/>
              </w:rPr>
              <w:t>one</w:t>
            </w:r>
            <w:r w:rsidRPr="00F01347">
              <w:rPr>
                <w:rFonts w:ascii="Verdana" w:hAnsi="Verdana"/>
                <w:sz w:val="16"/>
                <w:szCs w:val="16"/>
                <w:lang w:val="en-US"/>
              </w:rPr>
              <w:t>r certificate, taking 2 independent readings.</w:t>
            </w:r>
          </w:p>
        </w:tc>
      </w:tr>
      <w:tr w:rsidR="007557BF" w:rsidRPr="00F01347" w14:paraId="28285055" w14:textId="09A4E06D" w:rsidTr="00A5493F">
        <w:tc>
          <w:tcPr>
            <w:tcW w:w="4675" w:type="dxa"/>
          </w:tcPr>
          <w:p w14:paraId="0432B3CC"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Cuando se hacen mediciones de pH sólo ocasionalmente, se debe calibrar el instrumento antes de cada medición. Cuando se hacen mediciones frecuentes y el instrumento es estable, la calibración se puede hacer con menor frecuencia. Si los valores de pH de las muestras varían ampliamente, se debe hacer una calibración para cada muestra con una disolución patrón que tenga un pH dentro del intervalo de 1 a 2 unidades con respecto a la muestra.</w:t>
            </w:r>
          </w:p>
        </w:tc>
        <w:tc>
          <w:tcPr>
            <w:tcW w:w="4675" w:type="dxa"/>
          </w:tcPr>
          <w:p w14:paraId="154266AE" w14:textId="46190B9D"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When pH measurements are made only occasionally, the instrument should be calibrated before each measurement. When frequent measurements are made and the instrument is stable, calibration can be done less frequently. If the pH values of the samples vary widely, a calibration should be done for each sample with a standard solution that has a pH within the range of 1 to 2 units with respect to the sample.</w:t>
            </w:r>
          </w:p>
        </w:tc>
      </w:tr>
      <w:tr w:rsidR="007557BF" w:rsidRPr="00F01347" w14:paraId="39AE1B2E" w14:textId="37AF1A7C" w:rsidTr="00A5493F">
        <w:tc>
          <w:tcPr>
            <w:tcW w:w="4675" w:type="dxa"/>
          </w:tcPr>
          <w:p w14:paraId="2D9EA1B3"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lastRenderedPageBreak/>
              <w:t>Previamente a las mediciones homogenizar y expulsar lo más posible el CO2 de las muestras, agitar cuidadosamente con agitación automática durante 10 segundos, si el medidor de pH tiene integrada una sonda o tubo de agitación no es necesario utilizar el agitador magnético. Realizar la lectura de las muestras por triplicado. El valor de las lecturas independientes no debe diferir en más de 0.1 unidades de pH.</w:t>
            </w:r>
          </w:p>
        </w:tc>
        <w:tc>
          <w:tcPr>
            <w:tcW w:w="4675" w:type="dxa"/>
          </w:tcPr>
          <w:p w14:paraId="5397D067" w14:textId="49DF5FB9"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Prior to the measurements, homogenize and expel as much CO2 as possible from the samples, stir carefully with automatic stirring for 10 seconds. If the pH meter has an integrated probe or stirring tube, it is not necessary to use the magnetic stirrer. Read the samples in triplicate. The value of independent readings should not differ by more than 0.1 pH units.</w:t>
            </w:r>
          </w:p>
        </w:tc>
      </w:tr>
      <w:tr w:rsidR="007557BF" w:rsidRPr="00F01347" w14:paraId="59353F9B" w14:textId="495A0B6D" w:rsidTr="00A5493F">
        <w:tc>
          <w:tcPr>
            <w:tcW w:w="4675" w:type="dxa"/>
          </w:tcPr>
          <w:p w14:paraId="675594AB"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B.9.7.2 Análisis de datos y cálculos</w:t>
            </w:r>
          </w:p>
        </w:tc>
        <w:tc>
          <w:tcPr>
            <w:tcW w:w="4675" w:type="dxa"/>
          </w:tcPr>
          <w:p w14:paraId="1E753ED7" w14:textId="1968264F"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B.9.7.2 Data analysis and calculations</w:t>
            </w:r>
          </w:p>
        </w:tc>
      </w:tr>
      <w:tr w:rsidR="007557BF" w:rsidRPr="00F01347" w14:paraId="31F7EA9E" w14:textId="59934E75" w:rsidTr="00A5493F">
        <w:tc>
          <w:tcPr>
            <w:tcW w:w="4675" w:type="dxa"/>
          </w:tcPr>
          <w:p w14:paraId="6AD61531"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Obtener la lectura directa de la muestra realizada por duplicado, la variación entre ambas lecturas no debe ser mayor a 0.1 unidades de pH. Reportar el promedio a 25°C.</w:t>
            </w:r>
          </w:p>
        </w:tc>
        <w:tc>
          <w:tcPr>
            <w:tcW w:w="4675" w:type="dxa"/>
          </w:tcPr>
          <w:p w14:paraId="0335CCF4" w14:textId="4B925FF8"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Obtain the direct reading of the sample carried out in duplicate, the variation between both readings should not be greater than 0.1 pH units. Report the average at 25°C.</w:t>
            </w:r>
          </w:p>
        </w:tc>
      </w:tr>
      <w:tr w:rsidR="007557BF" w:rsidRPr="00F01347" w14:paraId="3C4F4086" w14:textId="79C0D414" w:rsidTr="00A5493F">
        <w:tc>
          <w:tcPr>
            <w:tcW w:w="4675" w:type="dxa"/>
          </w:tcPr>
          <w:p w14:paraId="0EF085F2"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B.9.7.3 Informe de prueba.</w:t>
            </w:r>
          </w:p>
        </w:tc>
        <w:tc>
          <w:tcPr>
            <w:tcW w:w="4675" w:type="dxa"/>
          </w:tcPr>
          <w:p w14:paraId="7595094F" w14:textId="49787A92"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B.9.7.3 Test report.</w:t>
            </w:r>
          </w:p>
        </w:tc>
      </w:tr>
      <w:tr w:rsidR="007557BF" w:rsidRPr="00F01347" w14:paraId="7440C8DE" w14:textId="783DC698" w:rsidTr="00A5493F">
        <w:tc>
          <w:tcPr>
            <w:tcW w:w="4675" w:type="dxa"/>
          </w:tcPr>
          <w:p w14:paraId="476B2394"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La expresión de resultados debe ser en unidades de pH y con una cifra decimal.</w:t>
            </w:r>
          </w:p>
        </w:tc>
        <w:tc>
          <w:tcPr>
            <w:tcW w:w="4675" w:type="dxa"/>
          </w:tcPr>
          <w:p w14:paraId="74F8A469" w14:textId="2E0305D6"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The expression of results must be in pH units and with a decimal figure.</w:t>
            </w:r>
          </w:p>
        </w:tc>
      </w:tr>
      <w:tr w:rsidR="007557BF" w:rsidRPr="00F01347" w14:paraId="29B64EAC" w14:textId="1820E88F" w:rsidTr="00A5493F">
        <w:tc>
          <w:tcPr>
            <w:tcW w:w="4675" w:type="dxa"/>
          </w:tcPr>
          <w:p w14:paraId="7466E043" w14:textId="77777777"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B.9.8 </w:t>
            </w:r>
            <w:proofErr w:type="spellStart"/>
            <w:r w:rsidRPr="00F01347">
              <w:rPr>
                <w:rFonts w:ascii="Verdana" w:hAnsi="Verdana"/>
                <w:b/>
                <w:sz w:val="16"/>
                <w:szCs w:val="16"/>
                <w:lang w:val="en-US"/>
              </w:rPr>
              <w:t>Referencias</w:t>
            </w:r>
            <w:proofErr w:type="spellEnd"/>
          </w:p>
        </w:tc>
        <w:tc>
          <w:tcPr>
            <w:tcW w:w="4675" w:type="dxa"/>
          </w:tcPr>
          <w:p w14:paraId="41866814" w14:textId="4503B191"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B.9.8 References</w:t>
            </w:r>
          </w:p>
        </w:tc>
      </w:tr>
      <w:tr w:rsidR="007557BF" w:rsidRPr="00F01347" w14:paraId="391CD38E" w14:textId="65A3CF14" w:rsidTr="00A5493F">
        <w:tc>
          <w:tcPr>
            <w:tcW w:w="4675" w:type="dxa"/>
          </w:tcPr>
          <w:p w14:paraId="51F4D85A"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lang w:val="en-US"/>
              </w:rPr>
              <w:t xml:space="preserve">Standard methods for examination of water and wastewater 21 St Edition 2005. </w:t>
            </w:r>
            <w:r w:rsidRPr="00F01347">
              <w:rPr>
                <w:rFonts w:ascii="Verdana" w:hAnsi="Verdana"/>
                <w:sz w:val="16"/>
                <w:szCs w:val="16"/>
              </w:rPr>
              <w:t xml:space="preserve">4500-H+ B.  </w:t>
            </w:r>
            <w:proofErr w:type="spellStart"/>
            <w:r w:rsidRPr="00F01347">
              <w:rPr>
                <w:rFonts w:ascii="Verdana" w:hAnsi="Verdana"/>
                <w:sz w:val="16"/>
                <w:szCs w:val="16"/>
              </w:rPr>
              <w:t>Electrometric</w:t>
            </w:r>
            <w:proofErr w:type="spellEnd"/>
            <w:r w:rsidRPr="00F01347">
              <w:rPr>
                <w:rFonts w:ascii="Verdana" w:hAnsi="Verdana"/>
                <w:sz w:val="16"/>
                <w:szCs w:val="16"/>
              </w:rPr>
              <w:t xml:space="preserve"> </w:t>
            </w:r>
            <w:proofErr w:type="spellStart"/>
            <w:r w:rsidRPr="00F01347">
              <w:rPr>
                <w:rFonts w:ascii="Verdana" w:hAnsi="Verdana"/>
                <w:sz w:val="16"/>
                <w:szCs w:val="16"/>
              </w:rPr>
              <w:t>Method</w:t>
            </w:r>
            <w:proofErr w:type="spellEnd"/>
            <w:r w:rsidRPr="00F01347">
              <w:rPr>
                <w:rFonts w:ascii="Verdana" w:hAnsi="Verdana"/>
                <w:sz w:val="16"/>
                <w:szCs w:val="16"/>
              </w:rPr>
              <w:t>.</w:t>
            </w:r>
          </w:p>
        </w:tc>
        <w:tc>
          <w:tcPr>
            <w:tcW w:w="4675" w:type="dxa"/>
          </w:tcPr>
          <w:p w14:paraId="584C170B" w14:textId="5B3BE7B8"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Standard methods for examination of water and wastewater 21 St Edition 2005. 4500-H+ B. Electrometric Method</w:t>
            </w:r>
            <w:r w:rsidR="003E1BA9" w:rsidRPr="00F01347">
              <w:rPr>
                <w:rFonts w:ascii="Verdana" w:hAnsi="Verdana"/>
                <w:sz w:val="16"/>
                <w:szCs w:val="16"/>
                <w:lang w:val="en-US"/>
              </w:rPr>
              <w:t>.</w:t>
            </w:r>
          </w:p>
        </w:tc>
      </w:tr>
      <w:tr w:rsidR="007557BF" w:rsidRPr="00F01347" w14:paraId="1392921E" w14:textId="18E54DCF" w:rsidTr="00A5493F">
        <w:tc>
          <w:tcPr>
            <w:tcW w:w="4675" w:type="dxa"/>
          </w:tcPr>
          <w:p w14:paraId="21ECC6C7" w14:textId="77777777" w:rsidR="007557BF" w:rsidRPr="00F01347" w:rsidRDefault="007557BF" w:rsidP="007557BF">
            <w:pPr>
              <w:pStyle w:val="texto0"/>
              <w:spacing w:line="220" w:lineRule="exact"/>
              <w:ind w:firstLine="0"/>
              <w:jc w:val="center"/>
              <w:rPr>
                <w:rFonts w:ascii="Verdana" w:hAnsi="Verdana"/>
                <w:b/>
                <w:sz w:val="16"/>
                <w:szCs w:val="16"/>
              </w:rPr>
            </w:pPr>
            <w:r w:rsidRPr="00F01347">
              <w:rPr>
                <w:rFonts w:ascii="Verdana" w:hAnsi="Verdana"/>
                <w:b/>
                <w:sz w:val="16"/>
                <w:szCs w:val="16"/>
              </w:rPr>
              <w:t xml:space="preserve">B.10 MÉTODO DE PRUEBA PARA LA DETERMINACIÓN DE DUREZA </w:t>
            </w:r>
            <w:proofErr w:type="gramStart"/>
            <w:r w:rsidRPr="00F01347">
              <w:rPr>
                <w:rFonts w:ascii="Verdana" w:hAnsi="Verdana"/>
                <w:b/>
                <w:sz w:val="16"/>
                <w:szCs w:val="16"/>
              </w:rPr>
              <w:t>TOTAL  EN</w:t>
            </w:r>
            <w:proofErr w:type="gramEnd"/>
            <w:r w:rsidRPr="00F01347">
              <w:rPr>
                <w:rFonts w:ascii="Verdana" w:hAnsi="Verdana"/>
                <w:b/>
                <w:sz w:val="16"/>
                <w:szCs w:val="16"/>
              </w:rPr>
              <w:t xml:space="preserve"> AGUA PARA USO Y CONSUMO HUMANO</w:t>
            </w:r>
          </w:p>
        </w:tc>
        <w:tc>
          <w:tcPr>
            <w:tcW w:w="4675" w:type="dxa"/>
          </w:tcPr>
          <w:p w14:paraId="2FE6C17C" w14:textId="11B9D0F0" w:rsidR="007557BF" w:rsidRPr="00F01347" w:rsidRDefault="007557BF" w:rsidP="007557BF">
            <w:pPr>
              <w:pStyle w:val="texto0"/>
              <w:spacing w:line="220" w:lineRule="exact"/>
              <w:ind w:firstLine="0"/>
              <w:jc w:val="center"/>
              <w:rPr>
                <w:rFonts w:ascii="Verdana" w:hAnsi="Verdana"/>
                <w:b/>
                <w:sz w:val="16"/>
                <w:szCs w:val="16"/>
                <w:lang w:val="en-US"/>
              </w:rPr>
            </w:pPr>
            <w:r w:rsidRPr="00F01347">
              <w:rPr>
                <w:rFonts w:ascii="Verdana" w:hAnsi="Verdana"/>
                <w:b/>
                <w:sz w:val="16"/>
                <w:szCs w:val="16"/>
                <w:lang w:val="en-US"/>
              </w:rPr>
              <w:t>B.10 TEST METHOD FOR DETERMINATION OF TOTAL HARDNESS IN WATER FOR HUMAN USE AND CONSUMPTION</w:t>
            </w:r>
          </w:p>
        </w:tc>
      </w:tr>
      <w:tr w:rsidR="007557BF" w:rsidRPr="00F01347" w14:paraId="01AA6946" w14:textId="45FAF6C3" w:rsidTr="00A5493F">
        <w:tc>
          <w:tcPr>
            <w:tcW w:w="4675" w:type="dxa"/>
          </w:tcPr>
          <w:p w14:paraId="78FC49DC"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B.10.1 Símbolos y términos abreviados</w:t>
            </w:r>
          </w:p>
        </w:tc>
        <w:tc>
          <w:tcPr>
            <w:tcW w:w="4675" w:type="dxa"/>
          </w:tcPr>
          <w:p w14:paraId="47D97ACB" w14:textId="209144B5"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B.10.1 Symbols and abbreviated terms</w:t>
            </w:r>
          </w:p>
        </w:tc>
      </w:tr>
      <w:tr w:rsidR="007557BF" w:rsidRPr="00F01347" w14:paraId="57138DB7" w14:textId="621CAA5F" w:rsidTr="00A5493F">
        <w:tc>
          <w:tcPr>
            <w:tcW w:w="4675" w:type="dxa"/>
          </w:tcPr>
          <w:p w14:paraId="019548B9"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CaCO</w:t>
            </w:r>
            <w:r w:rsidRPr="00F01347">
              <w:rPr>
                <w:rFonts w:ascii="Verdana" w:hAnsi="Verdana"/>
                <w:sz w:val="16"/>
                <w:szCs w:val="16"/>
                <w:vertAlign w:val="subscript"/>
              </w:rPr>
              <w:t>3</w:t>
            </w:r>
            <w:r w:rsidRPr="00F01347">
              <w:rPr>
                <w:rFonts w:ascii="Verdana" w:hAnsi="Verdana"/>
                <w:sz w:val="16"/>
                <w:szCs w:val="16"/>
              </w:rPr>
              <w:t xml:space="preserve"> </w:t>
            </w:r>
            <w:r w:rsidRPr="00F01347">
              <w:rPr>
                <w:rFonts w:ascii="Verdana" w:hAnsi="Verdana"/>
                <w:sz w:val="16"/>
                <w:szCs w:val="16"/>
              </w:rPr>
              <w:tab/>
              <w:t>carbonato de Calcio</w:t>
            </w:r>
          </w:p>
        </w:tc>
        <w:tc>
          <w:tcPr>
            <w:tcW w:w="4675" w:type="dxa"/>
          </w:tcPr>
          <w:p w14:paraId="00C0E192" w14:textId="551AE39C"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CaCO</w:t>
            </w:r>
            <w:r w:rsidRPr="00F01347">
              <w:rPr>
                <w:rFonts w:ascii="Verdana" w:hAnsi="Verdana"/>
                <w:sz w:val="16"/>
                <w:szCs w:val="16"/>
                <w:vertAlign w:val="subscript"/>
                <w:lang w:val="en-US"/>
              </w:rPr>
              <w:t>3</w:t>
            </w:r>
            <w:r w:rsidRPr="00F01347">
              <w:rPr>
                <w:rFonts w:ascii="Verdana" w:hAnsi="Verdana"/>
                <w:sz w:val="16"/>
                <w:szCs w:val="16"/>
                <w:lang w:val="en-US"/>
              </w:rPr>
              <w:t xml:space="preserve"> </w:t>
            </w:r>
            <w:r w:rsidRPr="00F01347">
              <w:rPr>
                <w:rFonts w:ascii="Verdana" w:hAnsi="Verdana"/>
                <w:sz w:val="16"/>
                <w:szCs w:val="16"/>
                <w:lang w:val="en-US"/>
              </w:rPr>
              <w:tab/>
              <w:t>calcium carbonate</w:t>
            </w:r>
          </w:p>
        </w:tc>
      </w:tr>
      <w:tr w:rsidR="007557BF" w:rsidRPr="00F01347" w14:paraId="76684445" w14:textId="22D059CD" w:rsidTr="00A5493F">
        <w:tc>
          <w:tcPr>
            <w:tcW w:w="4675" w:type="dxa"/>
          </w:tcPr>
          <w:p w14:paraId="24309246"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EDTA</w:t>
            </w:r>
            <w:r w:rsidRPr="00F01347">
              <w:rPr>
                <w:rFonts w:ascii="Verdana" w:hAnsi="Verdana"/>
                <w:sz w:val="16"/>
                <w:szCs w:val="16"/>
              </w:rPr>
              <w:tab/>
              <w:t>Ácido etilendiaminotetraacético</w:t>
            </w:r>
          </w:p>
        </w:tc>
        <w:tc>
          <w:tcPr>
            <w:tcW w:w="4675" w:type="dxa"/>
          </w:tcPr>
          <w:p w14:paraId="2E11C5BF" w14:textId="6FDC8BB2"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EDTA </w:t>
            </w:r>
            <w:r w:rsidRPr="00F01347">
              <w:rPr>
                <w:rFonts w:ascii="Verdana" w:hAnsi="Verdana"/>
                <w:sz w:val="16"/>
                <w:szCs w:val="16"/>
                <w:lang w:val="en-US"/>
              </w:rPr>
              <w:tab/>
              <w:t>Ethylenediaminetetraacetic acid</w:t>
            </w:r>
          </w:p>
        </w:tc>
      </w:tr>
      <w:tr w:rsidR="007557BF" w:rsidRPr="00F01347" w14:paraId="14A1C971" w14:textId="5AA0E566" w:rsidTr="00A5493F">
        <w:tc>
          <w:tcPr>
            <w:tcW w:w="4675" w:type="dxa"/>
          </w:tcPr>
          <w:p w14:paraId="190FF7CA"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NaCl</w:t>
            </w:r>
            <w:r w:rsidRPr="00F01347">
              <w:rPr>
                <w:rFonts w:ascii="Verdana" w:hAnsi="Verdana"/>
                <w:sz w:val="16"/>
                <w:szCs w:val="16"/>
              </w:rPr>
              <w:tab/>
              <w:t>cloruro de sodio</w:t>
            </w:r>
          </w:p>
        </w:tc>
        <w:tc>
          <w:tcPr>
            <w:tcW w:w="4675" w:type="dxa"/>
          </w:tcPr>
          <w:p w14:paraId="698D5192" w14:textId="7AE82C17"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NaCl </w:t>
            </w:r>
            <w:r w:rsidRPr="00F01347">
              <w:rPr>
                <w:rFonts w:ascii="Verdana" w:hAnsi="Verdana"/>
                <w:sz w:val="16"/>
                <w:szCs w:val="16"/>
                <w:lang w:val="en-US"/>
              </w:rPr>
              <w:tab/>
              <w:t>sodium chloride</w:t>
            </w:r>
          </w:p>
        </w:tc>
      </w:tr>
      <w:tr w:rsidR="007557BF" w:rsidRPr="00F01347" w14:paraId="76EF511E" w14:textId="4AFC10F0" w:rsidTr="00A5493F">
        <w:tc>
          <w:tcPr>
            <w:tcW w:w="4675" w:type="dxa"/>
          </w:tcPr>
          <w:p w14:paraId="1DB9AB5A" w14:textId="77777777" w:rsidR="007557BF" w:rsidRPr="00F01347" w:rsidRDefault="007557BF" w:rsidP="007557BF">
            <w:pPr>
              <w:pStyle w:val="texto0"/>
              <w:spacing w:line="220" w:lineRule="exact"/>
              <w:ind w:firstLine="0"/>
              <w:rPr>
                <w:rFonts w:ascii="Verdana" w:hAnsi="Verdana"/>
                <w:b/>
                <w:sz w:val="16"/>
                <w:szCs w:val="16"/>
              </w:rPr>
            </w:pPr>
            <w:r w:rsidRPr="00F01347">
              <w:rPr>
                <w:rFonts w:ascii="Verdana" w:hAnsi="Verdana"/>
                <w:b/>
                <w:sz w:val="16"/>
                <w:szCs w:val="16"/>
              </w:rPr>
              <w:t>B.10.2 Principio</w:t>
            </w:r>
          </w:p>
        </w:tc>
        <w:tc>
          <w:tcPr>
            <w:tcW w:w="4675" w:type="dxa"/>
          </w:tcPr>
          <w:p w14:paraId="43229AF5" w14:textId="37F062DF" w:rsidR="007557BF" w:rsidRPr="00F01347" w:rsidRDefault="007557BF" w:rsidP="007557BF">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B.10.2 Principle</w:t>
            </w:r>
          </w:p>
        </w:tc>
      </w:tr>
      <w:tr w:rsidR="007557BF" w:rsidRPr="00F01347" w14:paraId="0627F395" w14:textId="35477850" w:rsidTr="00A5493F">
        <w:tc>
          <w:tcPr>
            <w:tcW w:w="4675" w:type="dxa"/>
          </w:tcPr>
          <w:p w14:paraId="5607D94B" w14:textId="77777777" w:rsidR="007557BF" w:rsidRPr="00F01347" w:rsidRDefault="007557BF" w:rsidP="007557BF">
            <w:pPr>
              <w:pStyle w:val="texto0"/>
              <w:spacing w:line="220" w:lineRule="exact"/>
              <w:ind w:firstLine="0"/>
              <w:rPr>
                <w:rFonts w:ascii="Verdana" w:hAnsi="Verdana"/>
                <w:sz w:val="16"/>
                <w:szCs w:val="16"/>
              </w:rPr>
            </w:pPr>
            <w:r w:rsidRPr="00F01347">
              <w:rPr>
                <w:rFonts w:ascii="Verdana" w:hAnsi="Verdana"/>
                <w:sz w:val="16"/>
                <w:szCs w:val="16"/>
              </w:rPr>
              <w:t>Este método emplea como indicador el compuesto químico denominado negro de eriocromo T, el cual al ser agregado a una disolución que contenga iones calcio y magnesio, reacciona formando complejos de un color vino. Después se adiciona la disolución de EDTA que remueve los iones calcio y magnesio de los complejos coloridos formando complejos solubles. Cuando ha sido agregada suficiente disolución EDTA, para liberar todos los iones calcio y magnesio, el indicador regresa a su color azul original.</w:t>
            </w:r>
          </w:p>
        </w:tc>
        <w:tc>
          <w:tcPr>
            <w:tcW w:w="4675" w:type="dxa"/>
          </w:tcPr>
          <w:p w14:paraId="11DF719A" w14:textId="1C0DC9E0" w:rsidR="007557BF" w:rsidRPr="00F01347" w:rsidRDefault="007557BF" w:rsidP="007557BF">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This method uses as an indicator the chemical compound called </w:t>
            </w:r>
            <w:proofErr w:type="spellStart"/>
            <w:r w:rsidRPr="00F01347">
              <w:rPr>
                <w:rFonts w:ascii="Verdana" w:hAnsi="Verdana"/>
                <w:sz w:val="16"/>
                <w:szCs w:val="16"/>
                <w:lang w:val="en-US"/>
              </w:rPr>
              <w:t>eriochrome</w:t>
            </w:r>
            <w:proofErr w:type="spellEnd"/>
            <w:r w:rsidRPr="00F01347">
              <w:rPr>
                <w:rFonts w:ascii="Verdana" w:hAnsi="Verdana"/>
                <w:sz w:val="16"/>
                <w:szCs w:val="16"/>
                <w:lang w:val="en-US"/>
              </w:rPr>
              <w:t xml:space="preserve"> black T, which when added to a solution containing calcium and magnesium ions, reacts forming wine-colored complexes. Afterwards, the EDTA solution is added, which removes the calcium and magnesium ions from the colorful complexes, forming soluble complexes. When enough EDTA solution has been added to release all the calcium and magnesium ions, the indicator returns to its original blue color.</w:t>
            </w:r>
          </w:p>
        </w:tc>
      </w:tr>
      <w:tr w:rsidR="007557BF" w:rsidRPr="00F01347" w14:paraId="4A648537" w14:textId="714F2569" w:rsidTr="00A5493F">
        <w:tc>
          <w:tcPr>
            <w:tcW w:w="4675" w:type="dxa"/>
          </w:tcPr>
          <w:p w14:paraId="45B84CBB"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t xml:space="preserve">El término original para la dureza en </w:t>
            </w:r>
            <w:proofErr w:type="gramStart"/>
            <w:r w:rsidRPr="00F01347">
              <w:rPr>
                <w:rFonts w:ascii="Verdana" w:hAnsi="Verdana"/>
                <w:sz w:val="16"/>
                <w:szCs w:val="16"/>
              </w:rPr>
              <w:t>agua,</w:t>
            </w:r>
            <w:proofErr w:type="gramEnd"/>
            <w:r w:rsidRPr="00F01347">
              <w:rPr>
                <w:rFonts w:ascii="Verdana" w:hAnsi="Verdana"/>
                <w:sz w:val="16"/>
                <w:szCs w:val="16"/>
              </w:rPr>
              <w:t xml:space="preserve"> se refiere a la medida de la capacidad del agua para precipitar jabón. Este fenómeno se produce principalmente por los iones de calcio y magnesio, aunque pueden intervenir otros metales polivalentes, tales como fierro, zinc, aluminio, manganeso y estroncio, además de los iones hidrógeno. La presencia misma de estos iones en aguas naturales origina que la definición de dureza represente la concentración total de magnesio y calcio únicamente, indicando su cálculo final en concentración de carbonato de calcio.</w:t>
            </w:r>
          </w:p>
        </w:tc>
        <w:tc>
          <w:tcPr>
            <w:tcW w:w="4675" w:type="dxa"/>
          </w:tcPr>
          <w:p w14:paraId="045B1393" w14:textId="33A88FEF" w:rsidR="007557BF" w:rsidRPr="00F01347" w:rsidRDefault="007557BF" w:rsidP="007557BF">
            <w:pPr>
              <w:pStyle w:val="texto0"/>
              <w:spacing w:line="218" w:lineRule="exact"/>
              <w:ind w:firstLine="0"/>
              <w:rPr>
                <w:rFonts w:ascii="Verdana" w:hAnsi="Verdana"/>
                <w:sz w:val="16"/>
                <w:szCs w:val="16"/>
                <w:lang w:val="en-US"/>
              </w:rPr>
            </w:pPr>
            <w:r w:rsidRPr="00F01347">
              <w:rPr>
                <w:rFonts w:ascii="Verdana" w:hAnsi="Verdana"/>
                <w:sz w:val="16"/>
                <w:szCs w:val="16"/>
                <w:lang w:val="en-US"/>
              </w:rPr>
              <w:t xml:space="preserve">The original term for hardness in water refers to the measure of water's ability to precipitate soap. This phenomenon is mainly produced by calcium and magnesium ions, although other multipurpose metals may be involved, such as iron, zinc, aluminum, </w:t>
            </w:r>
            <w:r w:rsidR="002E638D" w:rsidRPr="00F01347">
              <w:rPr>
                <w:rFonts w:ascii="Verdana" w:hAnsi="Verdana"/>
                <w:sz w:val="16"/>
                <w:szCs w:val="16"/>
                <w:lang w:val="en-US"/>
              </w:rPr>
              <w:t>manganese,</w:t>
            </w:r>
            <w:r w:rsidRPr="00F01347">
              <w:rPr>
                <w:rFonts w:ascii="Verdana" w:hAnsi="Verdana"/>
                <w:sz w:val="16"/>
                <w:szCs w:val="16"/>
                <w:lang w:val="en-US"/>
              </w:rPr>
              <w:t xml:space="preserve"> and strontium, in addition to hydrogen ions. The very presence of these ions in natural waters causes the definition of hardness to represent the total concentration of magnesium and calcium only, indicating its final calculation in calcium carbonate concentration.</w:t>
            </w:r>
          </w:p>
        </w:tc>
      </w:tr>
      <w:tr w:rsidR="007557BF" w:rsidRPr="00F01347" w14:paraId="6B7D078E" w14:textId="33784A7B" w:rsidTr="00A5493F">
        <w:tc>
          <w:tcPr>
            <w:tcW w:w="4675" w:type="dxa"/>
          </w:tcPr>
          <w:p w14:paraId="0D575C4F" w14:textId="77777777" w:rsidR="007557BF" w:rsidRPr="00F01347" w:rsidRDefault="007557BF" w:rsidP="007557BF">
            <w:pPr>
              <w:pStyle w:val="texto0"/>
              <w:spacing w:line="218" w:lineRule="exact"/>
              <w:ind w:firstLine="0"/>
              <w:rPr>
                <w:rFonts w:ascii="Verdana" w:hAnsi="Verdana"/>
                <w:b/>
                <w:sz w:val="16"/>
                <w:szCs w:val="16"/>
              </w:rPr>
            </w:pPr>
            <w:r w:rsidRPr="00F01347">
              <w:rPr>
                <w:rFonts w:ascii="Verdana" w:hAnsi="Verdana"/>
                <w:b/>
                <w:sz w:val="16"/>
                <w:szCs w:val="16"/>
              </w:rPr>
              <w:t>B.10.3 Alcance y aplicación</w:t>
            </w:r>
          </w:p>
        </w:tc>
        <w:tc>
          <w:tcPr>
            <w:tcW w:w="4675" w:type="dxa"/>
          </w:tcPr>
          <w:p w14:paraId="28CE0CB4" w14:textId="03E1A6A8"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sz w:val="16"/>
                <w:szCs w:val="16"/>
                <w:lang w:val="en-US"/>
              </w:rPr>
              <w:t>B.10.3 Scope and application</w:t>
            </w:r>
          </w:p>
        </w:tc>
      </w:tr>
      <w:tr w:rsidR="007557BF" w:rsidRPr="00F01347" w14:paraId="791405FD" w14:textId="673A0F84" w:rsidTr="00A5493F">
        <w:tc>
          <w:tcPr>
            <w:tcW w:w="4675" w:type="dxa"/>
          </w:tcPr>
          <w:p w14:paraId="3697D004"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lastRenderedPageBreak/>
              <w:t>Este método es utilizado para la determinación de la dureza total en muestras de agua para uso y consumo humano a través del método por titulación con EDTA.</w:t>
            </w:r>
          </w:p>
        </w:tc>
        <w:tc>
          <w:tcPr>
            <w:tcW w:w="4675" w:type="dxa"/>
          </w:tcPr>
          <w:p w14:paraId="39721B63" w14:textId="02C32D16" w:rsidR="007557BF" w:rsidRPr="00F01347" w:rsidRDefault="007557BF" w:rsidP="007557BF">
            <w:pPr>
              <w:pStyle w:val="texto0"/>
              <w:spacing w:line="218" w:lineRule="exact"/>
              <w:ind w:firstLine="0"/>
              <w:rPr>
                <w:rFonts w:ascii="Verdana" w:hAnsi="Verdana"/>
                <w:sz w:val="16"/>
                <w:szCs w:val="16"/>
                <w:lang w:val="en-US"/>
              </w:rPr>
            </w:pPr>
            <w:r w:rsidRPr="00F01347">
              <w:rPr>
                <w:rFonts w:ascii="Verdana" w:hAnsi="Verdana"/>
                <w:sz w:val="16"/>
                <w:szCs w:val="16"/>
                <w:lang w:val="en-US"/>
              </w:rPr>
              <w:t>This method is used to determine the total hardness in water samples for human use and consumption through the EDTA titration method.</w:t>
            </w:r>
          </w:p>
        </w:tc>
      </w:tr>
      <w:tr w:rsidR="007557BF" w:rsidRPr="00F01347" w14:paraId="1AD565FA" w14:textId="5F32CD68" w:rsidTr="00A5493F">
        <w:tc>
          <w:tcPr>
            <w:tcW w:w="4675" w:type="dxa"/>
          </w:tcPr>
          <w:p w14:paraId="1036A144" w14:textId="77777777" w:rsidR="007557BF" w:rsidRPr="00F01347" w:rsidRDefault="007557BF" w:rsidP="007557BF">
            <w:pPr>
              <w:pStyle w:val="texto0"/>
              <w:spacing w:line="218" w:lineRule="exact"/>
              <w:ind w:firstLine="0"/>
              <w:rPr>
                <w:rFonts w:ascii="Verdana" w:hAnsi="Verdana"/>
                <w:b/>
                <w:sz w:val="16"/>
                <w:szCs w:val="16"/>
              </w:rPr>
            </w:pPr>
            <w:r w:rsidRPr="00F01347">
              <w:rPr>
                <w:rFonts w:ascii="Verdana" w:hAnsi="Verdana"/>
                <w:b/>
                <w:sz w:val="16"/>
                <w:szCs w:val="16"/>
              </w:rPr>
              <w:t>B.10.4 Equipos y materiales</w:t>
            </w:r>
          </w:p>
        </w:tc>
        <w:tc>
          <w:tcPr>
            <w:tcW w:w="4675" w:type="dxa"/>
          </w:tcPr>
          <w:p w14:paraId="3AFEFDE7" w14:textId="14A5655C"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sz w:val="16"/>
                <w:szCs w:val="16"/>
                <w:lang w:val="en-US"/>
              </w:rPr>
              <w:t>B.10.4 Equipment and materials</w:t>
            </w:r>
          </w:p>
        </w:tc>
      </w:tr>
      <w:tr w:rsidR="007557BF" w:rsidRPr="00F01347" w14:paraId="690948FE" w14:textId="7A99F84A" w:rsidTr="00A5493F">
        <w:tc>
          <w:tcPr>
            <w:tcW w:w="4675" w:type="dxa"/>
          </w:tcPr>
          <w:p w14:paraId="07B5EB1C"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t>Sólo se mencionan los equipos y materiales que no son de uso común en el laboratorio analítico. Todo el material volumétrico utilizado debe ser clase A y estar verificado, pueden utilizarse instrumentos automáticos o electrónicos.</w:t>
            </w:r>
          </w:p>
        </w:tc>
        <w:tc>
          <w:tcPr>
            <w:tcW w:w="4675" w:type="dxa"/>
          </w:tcPr>
          <w:p w14:paraId="7FD71E4C" w14:textId="282E2F07" w:rsidR="007557BF" w:rsidRPr="00F01347" w:rsidRDefault="007557BF" w:rsidP="007557BF">
            <w:pPr>
              <w:pStyle w:val="texto0"/>
              <w:spacing w:line="218" w:lineRule="exact"/>
              <w:ind w:firstLine="0"/>
              <w:rPr>
                <w:rFonts w:ascii="Verdana" w:hAnsi="Verdana"/>
                <w:sz w:val="16"/>
                <w:szCs w:val="16"/>
                <w:lang w:val="en-US"/>
              </w:rPr>
            </w:pPr>
            <w:r w:rsidRPr="00F01347">
              <w:rPr>
                <w:rFonts w:ascii="Verdana" w:hAnsi="Verdana"/>
                <w:sz w:val="16"/>
                <w:szCs w:val="16"/>
                <w:lang w:val="en-US"/>
              </w:rPr>
              <w:t>Only equipment and materials that are not commonly used in the analytical laboratory are mentioned. All volumetric material used must be class A and verified; automatic or electronic instruments can be used.</w:t>
            </w:r>
          </w:p>
        </w:tc>
      </w:tr>
      <w:tr w:rsidR="007557BF" w:rsidRPr="00F01347" w14:paraId="1797FEDF" w14:textId="54CF7372" w:rsidTr="00A5493F">
        <w:tc>
          <w:tcPr>
            <w:tcW w:w="4675" w:type="dxa"/>
          </w:tcPr>
          <w:p w14:paraId="24421E7A"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b/>
                <w:sz w:val="16"/>
                <w:szCs w:val="16"/>
              </w:rPr>
              <w:t>Balanza analítica</w:t>
            </w:r>
            <w:r w:rsidRPr="00F01347">
              <w:rPr>
                <w:rFonts w:ascii="Verdana" w:hAnsi="Verdana"/>
                <w:sz w:val="16"/>
                <w:szCs w:val="16"/>
              </w:rPr>
              <w:t xml:space="preserve"> con sensibilidad de ± 0.1 mg</w:t>
            </w:r>
          </w:p>
        </w:tc>
        <w:tc>
          <w:tcPr>
            <w:tcW w:w="4675" w:type="dxa"/>
          </w:tcPr>
          <w:p w14:paraId="358CC0F8" w14:textId="0ECED74B"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Analytical balance </w:t>
            </w:r>
            <w:r w:rsidRPr="00F01347">
              <w:rPr>
                <w:rFonts w:ascii="Verdana" w:hAnsi="Verdana"/>
                <w:sz w:val="16"/>
                <w:szCs w:val="16"/>
                <w:lang w:val="en-US"/>
              </w:rPr>
              <w:t>with sensitivity of ± 0.1 mg</w:t>
            </w:r>
          </w:p>
        </w:tc>
      </w:tr>
      <w:tr w:rsidR="007557BF" w:rsidRPr="00F01347" w14:paraId="13B4EFA0" w14:textId="6B835FDD" w:rsidTr="00A5493F">
        <w:tc>
          <w:tcPr>
            <w:tcW w:w="4675" w:type="dxa"/>
          </w:tcPr>
          <w:p w14:paraId="3D196E9A"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b/>
                <w:sz w:val="16"/>
                <w:szCs w:val="16"/>
              </w:rPr>
              <w:t>Buretas graduadas</w:t>
            </w:r>
            <w:r w:rsidRPr="00F01347">
              <w:rPr>
                <w:rFonts w:ascii="Verdana" w:hAnsi="Verdana"/>
                <w:sz w:val="16"/>
                <w:szCs w:val="16"/>
              </w:rPr>
              <w:t xml:space="preserve"> calibradas de 25 y 50 </w:t>
            </w:r>
            <w:proofErr w:type="spellStart"/>
            <w:r w:rsidRPr="00F01347">
              <w:rPr>
                <w:rFonts w:ascii="Verdana" w:hAnsi="Verdana"/>
                <w:sz w:val="16"/>
                <w:szCs w:val="16"/>
              </w:rPr>
              <w:t>mL</w:t>
            </w:r>
            <w:proofErr w:type="spellEnd"/>
          </w:p>
        </w:tc>
        <w:tc>
          <w:tcPr>
            <w:tcW w:w="4675" w:type="dxa"/>
          </w:tcPr>
          <w:p w14:paraId="2A018E88" w14:textId="3026111E"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graduated burettes </w:t>
            </w:r>
            <w:r w:rsidRPr="00F01347">
              <w:rPr>
                <w:rFonts w:ascii="Verdana" w:hAnsi="Verdana"/>
                <w:sz w:val="16"/>
                <w:szCs w:val="16"/>
                <w:lang w:val="en-US"/>
              </w:rPr>
              <w:t>of 25 and 50 mL</w:t>
            </w:r>
          </w:p>
        </w:tc>
      </w:tr>
      <w:tr w:rsidR="007557BF" w:rsidRPr="00F01347" w14:paraId="4A73256A" w14:textId="7E879B85" w:rsidTr="00A5493F">
        <w:tc>
          <w:tcPr>
            <w:tcW w:w="4675" w:type="dxa"/>
          </w:tcPr>
          <w:p w14:paraId="1F599343"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b/>
                <w:sz w:val="16"/>
                <w:szCs w:val="16"/>
              </w:rPr>
              <w:t>Matraz Erlenmeyer</w:t>
            </w:r>
            <w:r w:rsidRPr="00F01347">
              <w:rPr>
                <w:rFonts w:ascii="Verdana" w:hAnsi="Verdana"/>
                <w:sz w:val="16"/>
                <w:szCs w:val="16"/>
              </w:rPr>
              <w:t xml:space="preserve"> de 500 </w:t>
            </w:r>
            <w:proofErr w:type="spellStart"/>
            <w:r w:rsidRPr="00F01347">
              <w:rPr>
                <w:rFonts w:ascii="Verdana" w:hAnsi="Verdana"/>
                <w:sz w:val="16"/>
                <w:szCs w:val="16"/>
              </w:rPr>
              <w:t>mL</w:t>
            </w:r>
            <w:proofErr w:type="spellEnd"/>
            <w:r w:rsidRPr="00F01347">
              <w:rPr>
                <w:rFonts w:ascii="Verdana" w:hAnsi="Verdana"/>
                <w:sz w:val="16"/>
                <w:szCs w:val="16"/>
              </w:rPr>
              <w:t xml:space="preserve">, 250 </w:t>
            </w:r>
            <w:proofErr w:type="spellStart"/>
            <w:r w:rsidRPr="00F01347">
              <w:rPr>
                <w:rFonts w:ascii="Verdana" w:hAnsi="Verdana"/>
                <w:sz w:val="16"/>
                <w:szCs w:val="16"/>
              </w:rPr>
              <w:t>mL</w:t>
            </w:r>
            <w:proofErr w:type="spellEnd"/>
            <w:r w:rsidRPr="00F01347">
              <w:rPr>
                <w:rFonts w:ascii="Verdana" w:hAnsi="Verdana"/>
                <w:sz w:val="16"/>
                <w:szCs w:val="16"/>
              </w:rPr>
              <w:t xml:space="preserve"> y 125 </w:t>
            </w:r>
            <w:proofErr w:type="spellStart"/>
            <w:r w:rsidRPr="00F01347">
              <w:rPr>
                <w:rFonts w:ascii="Verdana" w:hAnsi="Verdana"/>
                <w:sz w:val="16"/>
                <w:szCs w:val="16"/>
              </w:rPr>
              <w:t>mL</w:t>
            </w:r>
            <w:proofErr w:type="spellEnd"/>
          </w:p>
        </w:tc>
        <w:tc>
          <w:tcPr>
            <w:tcW w:w="4675" w:type="dxa"/>
          </w:tcPr>
          <w:p w14:paraId="336638E0" w14:textId="5DB66C26"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Erlenmeyer flask </w:t>
            </w:r>
            <w:r w:rsidRPr="00F01347">
              <w:rPr>
                <w:rFonts w:ascii="Verdana" w:hAnsi="Verdana"/>
                <w:sz w:val="16"/>
                <w:szCs w:val="16"/>
                <w:lang w:val="en-US"/>
              </w:rPr>
              <w:t>of 500 mL</w:t>
            </w:r>
            <w:r w:rsidR="003E1BA9" w:rsidRPr="00F01347">
              <w:rPr>
                <w:rFonts w:ascii="Verdana" w:hAnsi="Verdana"/>
                <w:sz w:val="16"/>
                <w:szCs w:val="16"/>
                <w:lang w:val="en-US"/>
              </w:rPr>
              <w:t>,</w:t>
            </w:r>
            <w:r w:rsidRPr="00F01347">
              <w:rPr>
                <w:rFonts w:ascii="Verdana" w:hAnsi="Verdana"/>
                <w:sz w:val="16"/>
                <w:szCs w:val="16"/>
                <w:lang w:val="en-US"/>
              </w:rPr>
              <w:t xml:space="preserve"> 250 </w:t>
            </w:r>
            <w:proofErr w:type="gramStart"/>
            <w:r w:rsidRPr="00F01347">
              <w:rPr>
                <w:rFonts w:ascii="Verdana" w:hAnsi="Verdana"/>
                <w:sz w:val="16"/>
                <w:szCs w:val="16"/>
                <w:lang w:val="en-US"/>
              </w:rPr>
              <w:t>mL</w:t>
            </w:r>
            <w:proofErr w:type="gramEnd"/>
            <w:r w:rsidRPr="00F01347">
              <w:rPr>
                <w:rFonts w:ascii="Verdana" w:hAnsi="Verdana"/>
                <w:sz w:val="16"/>
                <w:szCs w:val="16"/>
                <w:lang w:val="en-US"/>
              </w:rPr>
              <w:t xml:space="preserve"> and 125 mL</w:t>
            </w:r>
          </w:p>
        </w:tc>
      </w:tr>
      <w:tr w:rsidR="007557BF" w:rsidRPr="00F01347" w14:paraId="4B8D1119" w14:textId="49A65484" w:rsidTr="00A5493F">
        <w:tc>
          <w:tcPr>
            <w:tcW w:w="4675" w:type="dxa"/>
          </w:tcPr>
          <w:p w14:paraId="3E6F3690" w14:textId="77777777" w:rsidR="007557BF" w:rsidRPr="00F01347" w:rsidRDefault="007557BF" w:rsidP="007557BF">
            <w:pPr>
              <w:pStyle w:val="texto0"/>
              <w:spacing w:line="218" w:lineRule="exact"/>
              <w:ind w:firstLine="0"/>
              <w:rPr>
                <w:rFonts w:ascii="Verdana" w:hAnsi="Verdana"/>
                <w:b/>
                <w:sz w:val="16"/>
                <w:szCs w:val="16"/>
              </w:rPr>
            </w:pPr>
            <w:r w:rsidRPr="00F01347">
              <w:rPr>
                <w:rFonts w:ascii="Verdana" w:hAnsi="Verdana"/>
                <w:b/>
                <w:sz w:val="16"/>
                <w:szCs w:val="16"/>
              </w:rPr>
              <w:t>Pinza para bureta</w:t>
            </w:r>
          </w:p>
        </w:tc>
        <w:tc>
          <w:tcPr>
            <w:tcW w:w="4675" w:type="dxa"/>
          </w:tcPr>
          <w:p w14:paraId="0D0532AF" w14:textId="1A301E42"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sz w:val="16"/>
                <w:szCs w:val="16"/>
                <w:lang w:val="en-US"/>
              </w:rPr>
              <w:t>Burette clamp</w:t>
            </w:r>
          </w:p>
        </w:tc>
      </w:tr>
      <w:tr w:rsidR="007557BF" w:rsidRPr="00F01347" w14:paraId="0BCC2F48" w14:textId="7E647370" w:rsidTr="00A5493F">
        <w:tc>
          <w:tcPr>
            <w:tcW w:w="4675" w:type="dxa"/>
          </w:tcPr>
          <w:p w14:paraId="7DD5BD4D"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b/>
                <w:sz w:val="16"/>
                <w:szCs w:val="16"/>
              </w:rPr>
              <w:t>Pipetas graduadas</w:t>
            </w:r>
            <w:r w:rsidRPr="00F01347">
              <w:rPr>
                <w:rFonts w:ascii="Verdana" w:hAnsi="Verdana"/>
                <w:sz w:val="16"/>
                <w:szCs w:val="16"/>
              </w:rPr>
              <w:t xml:space="preserve"> de 10 </w:t>
            </w:r>
            <w:proofErr w:type="spellStart"/>
            <w:r w:rsidRPr="00F01347">
              <w:rPr>
                <w:rFonts w:ascii="Verdana" w:hAnsi="Verdana"/>
                <w:sz w:val="16"/>
                <w:szCs w:val="16"/>
              </w:rPr>
              <w:t>mL</w:t>
            </w:r>
            <w:proofErr w:type="spellEnd"/>
            <w:r w:rsidRPr="00F01347">
              <w:rPr>
                <w:rFonts w:ascii="Verdana" w:hAnsi="Verdana"/>
                <w:sz w:val="16"/>
                <w:szCs w:val="16"/>
              </w:rPr>
              <w:t xml:space="preserve"> o dosificador</w:t>
            </w:r>
          </w:p>
        </w:tc>
        <w:tc>
          <w:tcPr>
            <w:tcW w:w="4675" w:type="dxa"/>
          </w:tcPr>
          <w:p w14:paraId="6EAD89E5" w14:textId="43058CD0"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bCs/>
                <w:sz w:val="16"/>
                <w:szCs w:val="16"/>
                <w:lang w:val="en-US"/>
              </w:rPr>
              <w:t>10 mL</w:t>
            </w:r>
            <w:r w:rsidRPr="00F01347">
              <w:rPr>
                <w:rFonts w:ascii="Verdana" w:hAnsi="Verdana"/>
                <w:sz w:val="16"/>
                <w:szCs w:val="16"/>
                <w:lang w:val="en-US"/>
              </w:rPr>
              <w:t xml:space="preserve"> </w:t>
            </w:r>
            <w:r w:rsidRPr="00F01347">
              <w:rPr>
                <w:rFonts w:ascii="Verdana" w:hAnsi="Verdana"/>
                <w:b/>
                <w:sz w:val="16"/>
                <w:szCs w:val="16"/>
                <w:lang w:val="en-US"/>
              </w:rPr>
              <w:t xml:space="preserve">graduated pipettes </w:t>
            </w:r>
            <w:r w:rsidRPr="00F01347">
              <w:rPr>
                <w:rFonts w:ascii="Verdana" w:hAnsi="Verdana"/>
                <w:sz w:val="16"/>
                <w:szCs w:val="16"/>
                <w:lang w:val="en-US"/>
              </w:rPr>
              <w:t>or dispenser</w:t>
            </w:r>
          </w:p>
        </w:tc>
      </w:tr>
      <w:tr w:rsidR="007557BF" w:rsidRPr="00F01347" w14:paraId="043951C4" w14:textId="47576498" w:rsidTr="00A5493F">
        <w:tc>
          <w:tcPr>
            <w:tcW w:w="4675" w:type="dxa"/>
          </w:tcPr>
          <w:p w14:paraId="333E9DD2"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b/>
                <w:sz w:val="16"/>
                <w:szCs w:val="16"/>
              </w:rPr>
              <w:t>Pipetas volumétricas</w:t>
            </w:r>
            <w:r w:rsidRPr="00F01347">
              <w:rPr>
                <w:rFonts w:ascii="Verdana" w:hAnsi="Verdana"/>
                <w:sz w:val="16"/>
                <w:szCs w:val="16"/>
              </w:rPr>
              <w:t xml:space="preserve"> de 50 </w:t>
            </w:r>
            <w:proofErr w:type="spellStart"/>
            <w:r w:rsidRPr="00F01347">
              <w:rPr>
                <w:rFonts w:ascii="Verdana" w:hAnsi="Verdana"/>
                <w:sz w:val="16"/>
                <w:szCs w:val="16"/>
              </w:rPr>
              <w:t>mL</w:t>
            </w:r>
            <w:proofErr w:type="spellEnd"/>
            <w:r w:rsidRPr="00F01347">
              <w:rPr>
                <w:rFonts w:ascii="Verdana" w:hAnsi="Verdana"/>
                <w:sz w:val="16"/>
                <w:szCs w:val="16"/>
              </w:rPr>
              <w:t xml:space="preserve"> o dosificador</w:t>
            </w:r>
          </w:p>
        </w:tc>
        <w:tc>
          <w:tcPr>
            <w:tcW w:w="4675" w:type="dxa"/>
          </w:tcPr>
          <w:p w14:paraId="7EBAF069" w14:textId="46F7E24D"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bCs/>
                <w:sz w:val="16"/>
                <w:szCs w:val="16"/>
                <w:lang w:val="en-US"/>
              </w:rPr>
              <w:t>50 mL</w:t>
            </w:r>
            <w:r w:rsidRPr="00F01347">
              <w:rPr>
                <w:rFonts w:ascii="Verdana" w:hAnsi="Verdana"/>
                <w:sz w:val="16"/>
                <w:szCs w:val="16"/>
                <w:lang w:val="en-US"/>
              </w:rPr>
              <w:t xml:space="preserve"> </w:t>
            </w:r>
            <w:r w:rsidRPr="00F01347">
              <w:rPr>
                <w:rFonts w:ascii="Verdana" w:hAnsi="Verdana"/>
                <w:b/>
                <w:sz w:val="16"/>
                <w:szCs w:val="16"/>
                <w:lang w:val="en-US"/>
              </w:rPr>
              <w:t xml:space="preserve">volumetric pipettes </w:t>
            </w:r>
            <w:r w:rsidRPr="00F01347">
              <w:rPr>
                <w:rFonts w:ascii="Verdana" w:hAnsi="Verdana"/>
                <w:sz w:val="16"/>
                <w:szCs w:val="16"/>
                <w:lang w:val="en-US"/>
              </w:rPr>
              <w:t>or dispenser</w:t>
            </w:r>
          </w:p>
        </w:tc>
      </w:tr>
      <w:tr w:rsidR="007557BF" w:rsidRPr="00F01347" w14:paraId="4961C273" w14:textId="42295052" w:rsidTr="00A5493F">
        <w:tc>
          <w:tcPr>
            <w:tcW w:w="4675" w:type="dxa"/>
          </w:tcPr>
          <w:p w14:paraId="260282D4"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b/>
                <w:sz w:val="16"/>
                <w:szCs w:val="16"/>
              </w:rPr>
              <w:t xml:space="preserve">Potenciómetro </w:t>
            </w:r>
            <w:r w:rsidRPr="00F01347">
              <w:rPr>
                <w:rFonts w:ascii="Verdana" w:hAnsi="Verdana"/>
                <w:sz w:val="16"/>
                <w:szCs w:val="16"/>
              </w:rPr>
              <w:t>para medir pH</w:t>
            </w:r>
          </w:p>
        </w:tc>
        <w:tc>
          <w:tcPr>
            <w:tcW w:w="4675" w:type="dxa"/>
          </w:tcPr>
          <w:p w14:paraId="45FB4011" w14:textId="2EB17C8A"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sz w:val="16"/>
                <w:szCs w:val="16"/>
                <w:lang w:val="en-US"/>
              </w:rPr>
              <w:t xml:space="preserve">Potentiometer </w:t>
            </w:r>
            <w:r w:rsidRPr="00F01347">
              <w:rPr>
                <w:rFonts w:ascii="Verdana" w:hAnsi="Verdana"/>
                <w:sz w:val="16"/>
                <w:szCs w:val="16"/>
                <w:lang w:val="en-US"/>
              </w:rPr>
              <w:t>to measure pH</w:t>
            </w:r>
          </w:p>
        </w:tc>
      </w:tr>
      <w:tr w:rsidR="007557BF" w:rsidRPr="00F01347" w14:paraId="76E8D283" w14:textId="319A0768" w:rsidTr="00A5493F">
        <w:tc>
          <w:tcPr>
            <w:tcW w:w="4675" w:type="dxa"/>
          </w:tcPr>
          <w:p w14:paraId="466DA1E6" w14:textId="77777777" w:rsidR="007557BF" w:rsidRPr="00F01347" w:rsidRDefault="007557BF" w:rsidP="007557BF">
            <w:pPr>
              <w:pStyle w:val="texto0"/>
              <w:spacing w:line="218" w:lineRule="exact"/>
              <w:ind w:firstLine="0"/>
              <w:rPr>
                <w:rFonts w:ascii="Verdana" w:hAnsi="Verdana"/>
                <w:b/>
                <w:sz w:val="16"/>
                <w:szCs w:val="16"/>
              </w:rPr>
            </w:pPr>
            <w:r w:rsidRPr="00F01347">
              <w:rPr>
                <w:rFonts w:ascii="Verdana" w:hAnsi="Verdana"/>
                <w:b/>
                <w:sz w:val="16"/>
                <w:szCs w:val="16"/>
              </w:rPr>
              <w:t>Soporte universal</w:t>
            </w:r>
          </w:p>
        </w:tc>
        <w:tc>
          <w:tcPr>
            <w:tcW w:w="4675" w:type="dxa"/>
          </w:tcPr>
          <w:p w14:paraId="7D1AE364" w14:textId="6A03886E"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sz w:val="16"/>
                <w:szCs w:val="16"/>
                <w:lang w:val="en-US"/>
              </w:rPr>
              <w:t>Universal support</w:t>
            </w:r>
          </w:p>
        </w:tc>
      </w:tr>
      <w:tr w:rsidR="007557BF" w:rsidRPr="00F01347" w14:paraId="3A7AEB3D" w14:textId="622439D9" w:rsidTr="00A5493F">
        <w:tc>
          <w:tcPr>
            <w:tcW w:w="4675" w:type="dxa"/>
          </w:tcPr>
          <w:p w14:paraId="5CE0E340"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b/>
                <w:sz w:val="16"/>
                <w:szCs w:val="16"/>
              </w:rPr>
              <w:t>Vaso de precipitados</w:t>
            </w:r>
            <w:r w:rsidRPr="00F01347">
              <w:rPr>
                <w:rFonts w:ascii="Verdana" w:hAnsi="Verdana"/>
                <w:sz w:val="16"/>
                <w:szCs w:val="16"/>
              </w:rPr>
              <w:t xml:space="preserve"> de 100 </w:t>
            </w:r>
            <w:proofErr w:type="spellStart"/>
            <w:r w:rsidRPr="00F01347">
              <w:rPr>
                <w:rFonts w:ascii="Verdana" w:hAnsi="Verdana"/>
                <w:sz w:val="16"/>
                <w:szCs w:val="16"/>
              </w:rPr>
              <w:t>mL</w:t>
            </w:r>
            <w:proofErr w:type="spellEnd"/>
          </w:p>
        </w:tc>
        <w:tc>
          <w:tcPr>
            <w:tcW w:w="4675" w:type="dxa"/>
          </w:tcPr>
          <w:p w14:paraId="22CC171F" w14:textId="2495DD0C"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bCs/>
                <w:sz w:val="16"/>
                <w:szCs w:val="16"/>
                <w:lang w:val="en-US"/>
              </w:rPr>
              <w:t>100 mL</w:t>
            </w:r>
            <w:r w:rsidRPr="00F01347">
              <w:rPr>
                <w:rFonts w:ascii="Verdana" w:hAnsi="Verdana"/>
                <w:sz w:val="16"/>
                <w:szCs w:val="16"/>
                <w:lang w:val="en-US"/>
              </w:rPr>
              <w:t xml:space="preserve"> </w:t>
            </w:r>
            <w:r w:rsidRPr="00F01347">
              <w:rPr>
                <w:rFonts w:ascii="Verdana" w:hAnsi="Verdana"/>
                <w:b/>
                <w:sz w:val="16"/>
                <w:szCs w:val="16"/>
                <w:lang w:val="en-US"/>
              </w:rPr>
              <w:t>beaker</w:t>
            </w:r>
          </w:p>
        </w:tc>
      </w:tr>
      <w:tr w:rsidR="007557BF" w:rsidRPr="00F01347" w14:paraId="31642157" w14:textId="52026749" w:rsidTr="00A5493F">
        <w:tc>
          <w:tcPr>
            <w:tcW w:w="4675" w:type="dxa"/>
          </w:tcPr>
          <w:p w14:paraId="189F4699" w14:textId="77777777" w:rsidR="007557BF" w:rsidRPr="00F01347" w:rsidRDefault="007557BF" w:rsidP="007557BF">
            <w:pPr>
              <w:pStyle w:val="texto0"/>
              <w:spacing w:line="218" w:lineRule="exact"/>
              <w:ind w:firstLine="0"/>
              <w:rPr>
                <w:rFonts w:ascii="Verdana" w:hAnsi="Verdana"/>
                <w:b/>
                <w:sz w:val="16"/>
                <w:szCs w:val="16"/>
              </w:rPr>
            </w:pPr>
            <w:r w:rsidRPr="00F01347">
              <w:rPr>
                <w:rFonts w:ascii="Verdana" w:hAnsi="Verdana"/>
                <w:b/>
                <w:sz w:val="16"/>
                <w:szCs w:val="16"/>
              </w:rPr>
              <w:t>B.10.5 Reactivos y soluciones</w:t>
            </w:r>
          </w:p>
        </w:tc>
        <w:tc>
          <w:tcPr>
            <w:tcW w:w="4675" w:type="dxa"/>
          </w:tcPr>
          <w:p w14:paraId="41414518" w14:textId="244DDD38"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sz w:val="16"/>
                <w:szCs w:val="16"/>
                <w:lang w:val="en-US"/>
              </w:rPr>
              <w:t>B.10.5 Reagents and solutions</w:t>
            </w:r>
          </w:p>
        </w:tc>
      </w:tr>
      <w:tr w:rsidR="007557BF" w:rsidRPr="00F01347" w14:paraId="1ED05FFA" w14:textId="0D90F0FC" w:rsidTr="00A5493F">
        <w:tc>
          <w:tcPr>
            <w:tcW w:w="4675" w:type="dxa"/>
          </w:tcPr>
          <w:p w14:paraId="695FE490"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t>Los reactivos que requi0065re el método deben ser tipo ACS grado reactivo a menos que otra cosa se indique.</w:t>
            </w:r>
          </w:p>
        </w:tc>
        <w:tc>
          <w:tcPr>
            <w:tcW w:w="4675" w:type="dxa"/>
          </w:tcPr>
          <w:p w14:paraId="0C799C29" w14:textId="5A2C683C" w:rsidR="007557BF" w:rsidRPr="00F01347" w:rsidRDefault="007557BF" w:rsidP="007557BF">
            <w:pPr>
              <w:pStyle w:val="texto0"/>
              <w:spacing w:line="218" w:lineRule="exact"/>
              <w:ind w:firstLine="0"/>
              <w:rPr>
                <w:rFonts w:ascii="Verdana" w:hAnsi="Verdana"/>
                <w:sz w:val="16"/>
                <w:szCs w:val="16"/>
                <w:lang w:val="en-US"/>
              </w:rPr>
            </w:pPr>
            <w:r w:rsidRPr="00F01347">
              <w:rPr>
                <w:rFonts w:ascii="Verdana" w:hAnsi="Verdana"/>
                <w:sz w:val="16"/>
                <w:szCs w:val="16"/>
                <w:lang w:val="en-US"/>
              </w:rPr>
              <w:t>The reagents required by the method must be ACS reagent grade unless otherwise indicated.</w:t>
            </w:r>
          </w:p>
        </w:tc>
      </w:tr>
      <w:tr w:rsidR="007557BF" w:rsidRPr="00F01347" w14:paraId="57C0E8FA" w14:textId="32C2C151" w:rsidTr="00A5493F">
        <w:tc>
          <w:tcPr>
            <w:tcW w:w="4675" w:type="dxa"/>
          </w:tcPr>
          <w:p w14:paraId="3AFEB05E" w14:textId="77777777" w:rsidR="007557BF" w:rsidRPr="00F01347" w:rsidRDefault="007557BF" w:rsidP="007557BF">
            <w:pPr>
              <w:pStyle w:val="texto0"/>
              <w:spacing w:line="218" w:lineRule="exact"/>
              <w:ind w:firstLine="0"/>
              <w:rPr>
                <w:rFonts w:ascii="Verdana" w:hAnsi="Verdana"/>
                <w:b/>
                <w:sz w:val="16"/>
                <w:szCs w:val="16"/>
              </w:rPr>
            </w:pPr>
            <w:r w:rsidRPr="00F01347">
              <w:rPr>
                <w:rFonts w:ascii="Verdana" w:hAnsi="Verdana"/>
                <w:b/>
                <w:sz w:val="16"/>
                <w:szCs w:val="16"/>
              </w:rPr>
              <w:t>Agua grado reactivo</w:t>
            </w:r>
          </w:p>
        </w:tc>
        <w:tc>
          <w:tcPr>
            <w:tcW w:w="4675" w:type="dxa"/>
          </w:tcPr>
          <w:p w14:paraId="747F1817" w14:textId="74A7BD28" w:rsidR="007557BF" w:rsidRPr="00F01347" w:rsidRDefault="007557BF" w:rsidP="007557BF">
            <w:pPr>
              <w:pStyle w:val="texto0"/>
              <w:spacing w:line="218" w:lineRule="exact"/>
              <w:ind w:firstLine="0"/>
              <w:rPr>
                <w:rFonts w:ascii="Verdana" w:hAnsi="Verdana"/>
                <w:b/>
                <w:sz w:val="16"/>
                <w:szCs w:val="16"/>
                <w:lang w:val="en-US"/>
              </w:rPr>
            </w:pPr>
            <w:r w:rsidRPr="00F01347">
              <w:rPr>
                <w:rFonts w:ascii="Verdana" w:hAnsi="Verdana"/>
                <w:b/>
                <w:sz w:val="16"/>
                <w:szCs w:val="16"/>
                <w:lang w:val="en-US"/>
              </w:rPr>
              <w:t>Reagent grade water</w:t>
            </w:r>
          </w:p>
        </w:tc>
      </w:tr>
      <w:tr w:rsidR="007557BF" w:rsidRPr="00F01347" w14:paraId="6166D665" w14:textId="5F97A8EB" w:rsidTr="00A5493F">
        <w:tc>
          <w:tcPr>
            <w:tcW w:w="4675" w:type="dxa"/>
          </w:tcPr>
          <w:p w14:paraId="1EB6AF11"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b/>
                <w:bCs/>
                <w:sz w:val="16"/>
                <w:szCs w:val="16"/>
              </w:rPr>
              <w:t xml:space="preserve">Disolución amortiguadora, </w:t>
            </w:r>
            <w:r w:rsidRPr="00F01347">
              <w:rPr>
                <w:rFonts w:ascii="Verdana" w:hAnsi="Verdana"/>
                <w:sz w:val="16"/>
                <w:szCs w:val="16"/>
              </w:rPr>
              <w:t xml:space="preserve">disolver 1.179 g de la sal disódica </w:t>
            </w:r>
            <w:proofErr w:type="spellStart"/>
            <w:r w:rsidRPr="00F01347">
              <w:rPr>
                <w:rFonts w:ascii="Verdana" w:hAnsi="Verdana"/>
                <w:sz w:val="16"/>
                <w:szCs w:val="16"/>
              </w:rPr>
              <w:t>dihidratada</w:t>
            </w:r>
            <w:proofErr w:type="spellEnd"/>
            <w:r w:rsidRPr="00F01347">
              <w:rPr>
                <w:rFonts w:ascii="Verdana" w:hAnsi="Verdana"/>
                <w:sz w:val="16"/>
                <w:szCs w:val="16"/>
              </w:rPr>
              <w:t xml:space="preserve"> de EDTA y 780 mg de sulfato de magnesio (MgSO4 7H2O) o 644 mg de cloruro de magnesio (MgCl2 6H2O) en 50 </w:t>
            </w:r>
            <w:proofErr w:type="spellStart"/>
            <w:r w:rsidRPr="00F01347">
              <w:rPr>
                <w:rFonts w:ascii="Verdana" w:hAnsi="Verdana"/>
                <w:sz w:val="16"/>
                <w:szCs w:val="16"/>
              </w:rPr>
              <w:t>mL</w:t>
            </w:r>
            <w:proofErr w:type="spellEnd"/>
            <w:r w:rsidRPr="00F01347">
              <w:rPr>
                <w:rFonts w:ascii="Verdana" w:hAnsi="Verdana"/>
                <w:sz w:val="16"/>
                <w:szCs w:val="16"/>
              </w:rPr>
              <w:t xml:space="preserve"> de agua. Agregar esta disolución a 16.9 g de Cloruro de Amonio (NH4Cl) en 143 </w:t>
            </w:r>
            <w:proofErr w:type="spellStart"/>
            <w:r w:rsidRPr="00F01347">
              <w:rPr>
                <w:rFonts w:ascii="Verdana" w:hAnsi="Verdana"/>
                <w:sz w:val="16"/>
                <w:szCs w:val="16"/>
              </w:rPr>
              <w:t>mL</w:t>
            </w:r>
            <w:proofErr w:type="spellEnd"/>
            <w:r w:rsidRPr="00F01347">
              <w:rPr>
                <w:rFonts w:ascii="Verdana" w:hAnsi="Verdana"/>
                <w:sz w:val="16"/>
                <w:szCs w:val="16"/>
              </w:rPr>
              <w:t xml:space="preserve"> de hidróxido de amonio (NH4OH, mezclar y diluir a 250 </w:t>
            </w:r>
            <w:proofErr w:type="spellStart"/>
            <w:r w:rsidRPr="00F01347">
              <w:rPr>
                <w:rFonts w:ascii="Verdana" w:hAnsi="Verdana"/>
                <w:sz w:val="16"/>
                <w:szCs w:val="16"/>
              </w:rPr>
              <w:t>mL</w:t>
            </w:r>
            <w:proofErr w:type="spellEnd"/>
            <w:r w:rsidRPr="00F01347">
              <w:rPr>
                <w:rFonts w:ascii="Verdana" w:hAnsi="Verdana"/>
                <w:sz w:val="16"/>
                <w:szCs w:val="16"/>
              </w:rPr>
              <w:t xml:space="preserve"> con agua.</w:t>
            </w:r>
          </w:p>
        </w:tc>
        <w:tc>
          <w:tcPr>
            <w:tcW w:w="4675" w:type="dxa"/>
          </w:tcPr>
          <w:p w14:paraId="58382067" w14:textId="26FD7701" w:rsidR="007557BF" w:rsidRPr="00F01347" w:rsidRDefault="007557BF" w:rsidP="007557BF">
            <w:pPr>
              <w:pStyle w:val="texto0"/>
              <w:spacing w:line="218" w:lineRule="exact"/>
              <w:ind w:firstLine="0"/>
              <w:rPr>
                <w:rFonts w:ascii="Verdana" w:hAnsi="Verdana"/>
                <w:b/>
                <w:bCs/>
                <w:sz w:val="16"/>
                <w:szCs w:val="16"/>
                <w:lang w:val="en-US"/>
              </w:rPr>
            </w:pPr>
            <w:r w:rsidRPr="00F01347">
              <w:rPr>
                <w:rFonts w:ascii="Verdana" w:hAnsi="Verdana"/>
                <w:b/>
                <w:bCs/>
                <w:sz w:val="16"/>
                <w:szCs w:val="16"/>
                <w:lang w:val="en-US"/>
              </w:rPr>
              <w:t xml:space="preserve">Buffer solution, </w:t>
            </w:r>
            <w:r w:rsidRPr="00F01347">
              <w:rPr>
                <w:rFonts w:ascii="Verdana" w:hAnsi="Verdana"/>
                <w:sz w:val="16"/>
                <w:szCs w:val="16"/>
                <w:lang w:val="en-US"/>
              </w:rPr>
              <w:t xml:space="preserve">dissolve 1.179 g of the </w:t>
            </w:r>
            <w:r w:rsidR="00783378" w:rsidRPr="00F01347">
              <w:rPr>
                <w:rFonts w:ascii="Verdana" w:hAnsi="Verdana"/>
                <w:sz w:val="16"/>
                <w:szCs w:val="16"/>
                <w:lang w:val="en-US"/>
              </w:rPr>
              <w:t>dehydrated</w:t>
            </w:r>
            <w:r w:rsidRPr="00F01347">
              <w:rPr>
                <w:rFonts w:ascii="Verdana" w:hAnsi="Verdana"/>
                <w:sz w:val="16"/>
                <w:szCs w:val="16"/>
                <w:lang w:val="en-US"/>
              </w:rPr>
              <w:t xml:space="preserve"> disodium salt of EDTA and 780 mg of magnesium sulfate (MgSO4 7H2O) or 644 mg of magnesium chloride (MgCl2 6H2O) in 50 mL of water. Add this solution to 16.9 g of Ammonium Chloride (NH4Cl) in 143 mL of ammonium hydroxide (NH4OH, mix and dilute to 250 mL with water.</w:t>
            </w:r>
          </w:p>
        </w:tc>
      </w:tr>
      <w:tr w:rsidR="007557BF" w:rsidRPr="00F01347" w14:paraId="306EEB88" w14:textId="6F17FD31" w:rsidTr="00A5493F">
        <w:tc>
          <w:tcPr>
            <w:tcW w:w="4675" w:type="dxa"/>
          </w:tcPr>
          <w:p w14:paraId="413BDBE0"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t xml:space="preserve">La disolución amortiguadora también puede prepararse disolviendo 16.9 g de Cloruro de Amonio (NH4Cl) en 143 </w:t>
            </w:r>
            <w:proofErr w:type="spellStart"/>
            <w:r w:rsidRPr="00F01347">
              <w:rPr>
                <w:rFonts w:ascii="Verdana" w:hAnsi="Verdana"/>
                <w:sz w:val="16"/>
                <w:szCs w:val="16"/>
              </w:rPr>
              <w:t>mL</w:t>
            </w:r>
            <w:proofErr w:type="spellEnd"/>
            <w:r w:rsidRPr="00F01347">
              <w:rPr>
                <w:rFonts w:ascii="Verdana" w:hAnsi="Verdana"/>
                <w:sz w:val="16"/>
                <w:szCs w:val="16"/>
              </w:rPr>
              <w:t xml:space="preserve"> de hidróxido de amonio (NH4OH), adicionar 1.25 g de EDTA sal </w:t>
            </w:r>
            <w:proofErr w:type="spellStart"/>
            <w:r w:rsidRPr="00F01347">
              <w:rPr>
                <w:rFonts w:ascii="Verdana" w:hAnsi="Verdana"/>
                <w:sz w:val="16"/>
                <w:szCs w:val="16"/>
              </w:rPr>
              <w:t>di-magnésica</w:t>
            </w:r>
            <w:proofErr w:type="spellEnd"/>
            <w:r w:rsidRPr="00F01347">
              <w:rPr>
                <w:rFonts w:ascii="Verdana" w:hAnsi="Verdana"/>
                <w:sz w:val="16"/>
                <w:szCs w:val="16"/>
              </w:rPr>
              <w:t xml:space="preserve"> (disponible comercialmente) y disolver en 250 </w:t>
            </w:r>
            <w:proofErr w:type="spellStart"/>
            <w:r w:rsidRPr="00F01347">
              <w:rPr>
                <w:rFonts w:ascii="Verdana" w:hAnsi="Verdana"/>
                <w:sz w:val="16"/>
                <w:szCs w:val="16"/>
              </w:rPr>
              <w:t>mL</w:t>
            </w:r>
            <w:proofErr w:type="spellEnd"/>
            <w:r w:rsidRPr="00F01347">
              <w:rPr>
                <w:rFonts w:ascii="Verdana" w:hAnsi="Verdana"/>
                <w:sz w:val="16"/>
                <w:szCs w:val="16"/>
              </w:rPr>
              <w:t xml:space="preserve"> de agua.</w:t>
            </w:r>
          </w:p>
        </w:tc>
        <w:tc>
          <w:tcPr>
            <w:tcW w:w="4675" w:type="dxa"/>
          </w:tcPr>
          <w:p w14:paraId="06594115" w14:textId="304833C7" w:rsidR="007557BF" w:rsidRPr="00F01347" w:rsidRDefault="007557BF" w:rsidP="007557BF">
            <w:pPr>
              <w:pStyle w:val="texto0"/>
              <w:spacing w:line="218" w:lineRule="exact"/>
              <w:ind w:firstLine="0"/>
              <w:rPr>
                <w:rFonts w:ascii="Verdana" w:hAnsi="Verdana"/>
                <w:sz w:val="16"/>
                <w:szCs w:val="16"/>
                <w:lang w:val="en-US"/>
              </w:rPr>
            </w:pPr>
            <w:r w:rsidRPr="00F01347">
              <w:rPr>
                <w:rFonts w:ascii="Verdana" w:hAnsi="Verdana"/>
                <w:sz w:val="16"/>
                <w:szCs w:val="16"/>
                <w:lang w:val="en-US"/>
              </w:rPr>
              <w:t>The buffer solution can also be prepared by dissolving 16.9 g of Ammonium Chloride (NH4Cl) in 143 mL of ammonium hydroxide (NH4OH), adding 1.25 g of EDTA di-magnesium salt (commercially available</w:t>
            </w:r>
            <w:proofErr w:type="gramStart"/>
            <w:r w:rsidRPr="00F01347">
              <w:rPr>
                <w:rFonts w:ascii="Verdana" w:hAnsi="Verdana"/>
                <w:sz w:val="16"/>
                <w:szCs w:val="16"/>
                <w:lang w:val="en-US"/>
              </w:rPr>
              <w:t>)</w:t>
            </w:r>
            <w:proofErr w:type="gramEnd"/>
            <w:r w:rsidRPr="00F01347">
              <w:rPr>
                <w:rFonts w:ascii="Verdana" w:hAnsi="Verdana"/>
                <w:sz w:val="16"/>
                <w:szCs w:val="16"/>
                <w:lang w:val="en-US"/>
              </w:rPr>
              <w:t xml:space="preserve"> and dissolving in 250 mL of water.</w:t>
            </w:r>
          </w:p>
        </w:tc>
      </w:tr>
      <w:tr w:rsidR="007557BF" w:rsidRPr="00F01347" w14:paraId="1FD18A7D" w14:textId="53D398D2" w:rsidTr="00A5493F">
        <w:tc>
          <w:tcPr>
            <w:tcW w:w="4675" w:type="dxa"/>
          </w:tcPr>
          <w:p w14:paraId="2A4E7B00"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t xml:space="preserve">Guardar la disolución amortiguadora en un recipiente de vidrio resistente, o de plástico perfectamente tapado, por no más de 1 mes. Desechar en cuanto en la porción de muestra utilizada no produzca un </w:t>
            </w:r>
            <w:proofErr w:type="gramStart"/>
            <w:r w:rsidRPr="00F01347">
              <w:rPr>
                <w:rFonts w:ascii="Verdana" w:hAnsi="Verdana"/>
                <w:sz w:val="16"/>
                <w:szCs w:val="16"/>
              </w:rPr>
              <w:t>pH  de</w:t>
            </w:r>
            <w:proofErr w:type="gramEnd"/>
            <w:r w:rsidRPr="00F01347">
              <w:rPr>
                <w:rFonts w:ascii="Verdana" w:hAnsi="Verdana"/>
                <w:sz w:val="16"/>
                <w:szCs w:val="16"/>
              </w:rPr>
              <w:t xml:space="preserve"> 10±0.1.</w:t>
            </w:r>
          </w:p>
        </w:tc>
        <w:tc>
          <w:tcPr>
            <w:tcW w:w="4675" w:type="dxa"/>
          </w:tcPr>
          <w:p w14:paraId="779A9EE1" w14:textId="5CF721AC" w:rsidR="007557BF" w:rsidRPr="00F01347" w:rsidRDefault="007557BF" w:rsidP="007557BF">
            <w:pPr>
              <w:pStyle w:val="texto0"/>
              <w:spacing w:line="218" w:lineRule="exact"/>
              <w:ind w:firstLine="0"/>
              <w:rPr>
                <w:rFonts w:ascii="Verdana" w:hAnsi="Verdana"/>
                <w:sz w:val="16"/>
                <w:szCs w:val="16"/>
                <w:lang w:val="en-US"/>
              </w:rPr>
            </w:pPr>
            <w:r w:rsidRPr="00F01347">
              <w:rPr>
                <w:rFonts w:ascii="Verdana" w:hAnsi="Verdana"/>
                <w:sz w:val="16"/>
                <w:szCs w:val="16"/>
                <w:lang w:val="en-US"/>
              </w:rPr>
              <w:t>Store the buffer solution in a sturdy glass or tightly covered plastic container for no more than 1 month. Discard as soon as the sample portion used does not produce a pH of 10±0.1.</w:t>
            </w:r>
          </w:p>
        </w:tc>
      </w:tr>
      <w:tr w:rsidR="007557BF" w:rsidRPr="00F01347" w14:paraId="48D5D247" w14:textId="5EE45E48" w:rsidTr="00A5493F">
        <w:tc>
          <w:tcPr>
            <w:tcW w:w="4675" w:type="dxa"/>
          </w:tcPr>
          <w:p w14:paraId="44BAAEEF"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t xml:space="preserve">También puede utilizarse la disolución amortiguadora disponible comercialmente, la cual contiene la sal </w:t>
            </w:r>
            <w:proofErr w:type="spellStart"/>
            <w:r w:rsidRPr="00F01347">
              <w:rPr>
                <w:rFonts w:ascii="Verdana" w:hAnsi="Verdana"/>
                <w:sz w:val="16"/>
                <w:szCs w:val="16"/>
              </w:rPr>
              <w:t>di-magnésica</w:t>
            </w:r>
            <w:proofErr w:type="spellEnd"/>
            <w:r w:rsidRPr="00F01347">
              <w:rPr>
                <w:rFonts w:ascii="Verdana" w:hAnsi="Verdana"/>
                <w:sz w:val="16"/>
                <w:szCs w:val="16"/>
              </w:rPr>
              <w:t xml:space="preserve"> de EDTA que no presenta olor.</w:t>
            </w:r>
          </w:p>
        </w:tc>
        <w:tc>
          <w:tcPr>
            <w:tcW w:w="4675" w:type="dxa"/>
          </w:tcPr>
          <w:p w14:paraId="7A01E4BE" w14:textId="0FD3AF29" w:rsidR="007557BF" w:rsidRPr="00F01347" w:rsidRDefault="007557BF" w:rsidP="007557BF">
            <w:pPr>
              <w:pStyle w:val="texto0"/>
              <w:spacing w:line="218" w:lineRule="exact"/>
              <w:ind w:firstLine="0"/>
              <w:rPr>
                <w:rFonts w:ascii="Verdana" w:hAnsi="Verdana"/>
                <w:sz w:val="16"/>
                <w:szCs w:val="16"/>
                <w:lang w:val="en-US"/>
              </w:rPr>
            </w:pPr>
            <w:r w:rsidRPr="00F01347">
              <w:rPr>
                <w:rFonts w:ascii="Verdana" w:hAnsi="Verdana"/>
                <w:sz w:val="16"/>
                <w:szCs w:val="16"/>
                <w:lang w:val="en-US"/>
              </w:rPr>
              <w:t>Commercially available buffer solution, which contains the odorless di-magnesium salt of EDTA, can also be used.</w:t>
            </w:r>
          </w:p>
        </w:tc>
      </w:tr>
      <w:tr w:rsidR="007557BF" w:rsidRPr="00F01347" w14:paraId="28A60958" w14:textId="28A11DD7" w:rsidTr="00A5493F">
        <w:tc>
          <w:tcPr>
            <w:tcW w:w="4675" w:type="dxa"/>
          </w:tcPr>
          <w:p w14:paraId="4DF0C442"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b/>
                <w:bCs/>
                <w:sz w:val="16"/>
                <w:szCs w:val="16"/>
              </w:rPr>
              <w:t>Indicador</w:t>
            </w:r>
            <w:r w:rsidRPr="00F01347">
              <w:rPr>
                <w:rFonts w:ascii="Verdana" w:hAnsi="Verdana"/>
                <w:sz w:val="16"/>
                <w:szCs w:val="16"/>
              </w:rPr>
              <w:t>, mezclar 0.5 g de eriocromo negro T, sal sódica del ácido 1-hidroxi-2-naftilazo-5-nitro-2-naftol-4-sulfónico y 100g de NaCl, evitar contacto con el aire. En caso de que el punto final de la titulación no se distinga, es necesario obtener nueva mezcla indicadora.</w:t>
            </w:r>
          </w:p>
        </w:tc>
        <w:tc>
          <w:tcPr>
            <w:tcW w:w="4675" w:type="dxa"/>
          </w:tcPr>
          <w:p w14:paraId="480291A7" w14:textId="622F9CA2" w:rsidR="007557BF" w:rsidRPr="00F01347" w:rsidRDefault="007557BF" w:rsidP="007557BF">
            <w:pPr>
              <w:pStyle w:val="texto0"/>
              <w:spacing w:line="218" w:lineRule="exact"/>
              <w:ind w:firstLine="0"/>
              <w:rPr>
                <w:rFonts w:ascii="Verdana" w:hAnsi="Verdana"/>
                <w:b/>
                <w:bCs/>
                <w:sz w:val="16"/>
                <w:szCs w:val="16"/>
                <w:lang w:val="en-US"/>
              </w:rPr>
            </w:pPr>
            <w:r w:rsidRPr="00F01347">
              <w:rPr>
                <w:rFonts w:ascii="Verdana" w:hAnsi="Verdana"/>
                <w:b/>
                <w:bCs/>
                <w:sz w:val="16"/>
                <w:szCs w:val="16"/>
                <w:lang w:val="en-US"/>
              </w:rPr>
              <w:t>Indicator</w:t>
            </w:r>
            <w:r w:rsidR="003E1BA9" w:rsidRPr="00F01347">
              <w:rPr>
                <w:rFonts w:ascii="Verdana" w:hAnsi="Verdana"/>
                <w:b/>
                <w:bCs/>
                <w:sz w:val="16"/>
                <w:szCs w:val="16"/>
                <w:lang w:val="en-US"/>
              </w:rPr>
              <w:t>,</w:t>
            </w:r>
            <w:r w:rsidRPr="00F01347">
              <w:rPr>
                <w:rFonts w:ascii="Verdana" w:hAnsi="Verdana"/>
                <w:sz w:val="16"/>
                <w:szCs w:val="16"/>
                <w:lang w:val="en-US"/>
              </w:rPr>
              <w:t xml:space="preserve"> mix 0.5 g of </w:t>
            </w:r>
            <w:proofErr w:type="spellStart"/>
            <w:r w:rsidRPr="00F01347">
              <w:rPr>
                <w:rFonts w:ascii="Verdana" w:hAnsi="Verdana"/>
                <w:sz w:val="16"/>
                <w:szCs w:val="16"/>
                <w:lang w:val="en-US"/>
              </w:rPr>
              <w:t>eriochrome</w:t>
            </w:r>
            <w:proofErr w:type="spellEnd"/>
            <w:r w:rsidRPr="00F01347">
              <w:rPr>
                <w:rFonts w:ascii="Verdana" w:hAnsi="Verdana"/>
                <w:sz w:val="16"/>
                <w:szCs w:val="16"/>
                <w:lang w:val="en-US"/>
              </w:rPr>
              <w:t xml:space="preserve"> black T, sodium salt of</w:t>
            </w:r>
            <w:r w:rsidR="00783378" w:rsidRPr="00F01347">
              <w:rPr>
                <w:rFonts w:ascii="Verdana" w:hAnsi="Verdana"/>
                <w:sz w:val="16"/>
                <w:szCs w:val="16"/>
                <w:lang w:val="en-US"/>
              </w:rPr>
              <w:t xml:space="preserve"> </w:t>
            </w:r>
            <w:r w:rsidRPr="00F01347">
              <w:rPr>
                <w:rFonts w:ascii="Verdana" w:hAnsi="Verdana"/>
                <w:sz w:val="16"/>
                <w:szCs w:val="16"/>
                <w:lang w:val="en-US"/>
              </w:rPr>
              <w:t>1-hydroxy-2-naphthylazo-5-nitro-2-naphthol-4-sulfonic acid and 100 g of NaCl, avoid contact with air. If the end point of the titration cannot be distinguished, it is necessary to obtain a new indicator mixture.</w:t>
            </w:r>
          </w:p>
        </w:tc>
      </w:tr>
      <w:tr w:rsidR="007557BF" w:rsidRPr="00F01347" w14:paraId="05F398A5" w14:textId="3BC6792F" w:rsidTr="00A5493F">
        <w:tc>
          <w:tcPr>
            <w:tcW w:w="4675" w:type="dxa"/>
          </w:tcPr>
          <w:p w14:paraId="04C147FE"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t xml:space="preserve">Puede utilizarse el indicador de </w:t>
            </w:r>
            <w:proofErr w:type="spellStart"/>
            <w:r w:rsidRPr="00F01347">
              <w:rPr>
                <w:rFonts w:ascii="Verdana" w:hAnsi="Verdana"/>
                <w:sz w:val="16"/>
                <w:szCs w:val="16"/>
              </w:rPr>
              <w:t>Calmagita</w:t>
            </w:r>
            <w:proofErr w:type="spellEnd"/>
            <w:r w:rsidRPr="00F01347">
              <w:rPr>
                <w:rFonts w:ascii="Verdana" w:hAnsi="Verdana"/>
                <w:sz w:val="16"/>
                <w:szCs w:val="16"/>
              </w:rPr>
              <w:t xml:space="preserve"> en lugar del indicador de eriocromo negro T: disolver 0.10 g de </w:t>
            </w:r>
            <w:proofErr w:type="spellStart"/>
            <w:r w:rsidRPr="00F01347">
              <w:rPr>
                <w:rFonts w:ascii="Verdana" w:hAnsi="Verdana"/>
                <w:sz w:val="16"/>
                <w:szCs w:val="16"/>
              </w:rPr>
              <w:t>calmagita</w:t>
            </w:r>
            <w:proofErr w:type="spellEnd"/>
            <w:r w:rsidRPr="00F01347">
              <w:rPr>
                <w:rFonts w:ascii="Verdana" w:hAnsi="Verdana"/>
                <w:sz w:val="16"/>
                <w:szCs w:val="16"/>
              </w:rPr>
              <w:t xml:space="preserve"> (1-(1-hidroxi-4-metil-2- </w:t>
            </w:r>
            <w:proofErr w:type="spellStart"/>
            <w:r w:rsidRPr="00F01347">
              <w:rPr>
                <w:rFonts w:ascii="Verdana" w:hAnsi="Verdana"/>
                <w:sz w:val="16"/>
                <w:szCs w:val="16"/>
              </w:rPr>
              <w:t>fenilazo</w:t>
            </w:r>
            <w:proofErr w:type="spellEnd"/>
            <w:r w:rsidRPr="00F01347">
              <w:rPr>
                <w:rFonts w:ascii="Verdana" w:hAnsi="Verdana"/>
                <w:sz w:val="16"/>
                <w:szCs w:val="16"/>
              </w:rPr>
              <w:t xml:space="preserve">)-2-naftol-4 ácido sulfónico) en 100 </w:t>
            </w:r>
            <w:proofErr w:type="spellStart"/>
            <w:r w:rsidRPr="00F01347">
              <w:rPr>
                <w:rFonts w:ascii="Verdana" w:hAnsi="Verdana"/>
                <w:sz w:val="16"/>
                <w:szCs w:val="16"/>
              </w:rPr>
              <w:t>mL</w:t>
            </w:r>
            <w:proofErr w:type="spellEnd"/>
            <w:r w:rsidRPr="00F01347">
              <w:rPr>
                <w:rFonts w:ascii="Verdana" w:hAnsi="Verdana"/>
                <w:sz w:val="16"/>
                <w:szCs w:val="16"/>
              </w:rPr>
              <w:t xml:space="preserve"> de agua destilada, </w:t>
            </w:r>
            <w:proofErr w:type="spellStart"/>
            <w:r w:rsidRPr="00F01347">
              <w:rPr>
                <w:rFonts w:ascii="Verdana" w:hAnsi="Verdana"/>
                <w:sz w:val="16"/>
                <w:szCs w:val="16"/>
              </w:rPr>
              <w:t>utilíc</w:t>
            </w:r>
            <w:proofErr w:type="spellEnd"/>
            <w:r w:rsidRPr="00F01347">
              <w:rPr>
                <w:rFonts w:ascii="Verdana" w:hAnsi="Verdana"/>
                <w:sz w:val="16"/>
                <w:szCs w:val="16"/>
              </w:rPr>
              <w:t xml:space="preserve"> 1 </w:t>
            </w:r>
            <w:proofErr w:type="spellStart"/>
            <w:r w:rsidRPr="00F01347">
              <w:rPr>
                <w:rFonts w:ascii="Verdana" w:hAnsi="Verdana"/>
                <w:sz w:val="16"/>
                <w:szCs w:val="16"/>
              </w:rPr>
              <w:lastRenderedPageBreak/>
              <w:t>mL</w:t>
            </w:r>
            <w:proofErr w:type="spellEnd"/>
            <w:r w:rsidRPr="00F01347">
              <w:rPr>
                <w:rFonts w:ascii="Verdana" w:hAnsi="Verdana"/>
                <w:sz w:val="16"/>
                <w:szCs w:val="16"/>
              </w:rPr>
              <w:t xml:space="preserve"> por 50 </w:t>
            </w:r>
            <w:proofErr w:type="spellStart"/>
            <w:r w:rsidRPr="00F01347">
              <w:rPr>
                <w:rFonts w:ascii="Verdana" w:hAnsi="Verdana"/>
                <w:sz w:val="16"/>
                <w:szCs w:val="16"/>
              </w:rPr>
              <w:t>mL</w:t>
            </w:r>
            <w:proofErr w:type="spellEnd"/>
            <w:r w:rsidRPr="00F01347">
              <w:rPr>
                <w:rFonts w:ascii="Verdana" w:hAnsi="Verdana"/>
                <w:sz w:val="16"/>
                <w:szCs w:val="16"/>
              </w:rPr>
              <w:t xml:space="preserve"> de solución a titular, ajustando el volumen si es necesario. Esta disolución es estable.</w:t>
            </w:r>
          </w:p>
        </w:tc>
        <w:tc>
          <w:tcPr>
            <w:tcW w:w="4675" w:type="dxa"/>
          </w:tcPr>
          <w:p w14:paraId="4823DA83" w14:textId="0BCE5C45" w:rsidR="007557BF" w:rsidRPr="00F01347" w:rsidRDefault="007557BF" w:rsidP="007557BF">
            <w:pPr>
              <w:pStyle w:val="texto0"/>
              <w:spacing w:line="218" w:lineRule="exact"/>
              <w:ind w:firstLine="0"/>
              <w:rPr>
                <w:rFonts w:ascii="Verdana" w:hAnsi="Verdana"/>
                <w:sz w:val="16"/>
                <w:szCs w:val="16"/>
                <w:lang w:val="en-US"/>
              </w:rPr>
            </w:pPr>
            <w:proofErr w:type="spellStart"/>
            <w:r w:rsidRPr="00F01347">
              <w:rPr>
                <w:rFonts w:ascii="Verdana" w:hAnsi="Verdana"/>
                <w:sz w:val="16"/>
                <w:szCs w:val="16"/>
                <w:lang w:val="en-US"/>
              </w:rPr>
              <w:lastRenderedPageBreak/>
              <w:t>Calmagite</w:t>
            </w:r>
            <w:proofErr w:type="spellEnd"/>
            <w:r w:rsidRPr="00F01347">
              <w:rPr>
                <w:rFonts w:ascii="Verdana" w:hAnsi="Verdana"/>
                <w:sz w:val="16"/>
                <w:szCs w:val="16"/>
                <w:lang w:val="en-US"/>
              </w:rPr>
              <w:t xml:space="preserve"> indicator can be used instead of the </w:t>
            </w:r>
            <w:proofErr w:type="spellStart"/>
            <w:r w:rsidRPr="00F01347">
              <w:rPr>
                <w:rFonts w:ascii="Verdana" w:hAnsi="Verdana"/>
                <w:sz w:val="16"/>
                <w:szCs w:val="16"/>
                <w:lang w:val="en-US"/>
              </w:rPr>
              <w:t>eriochrome</w:t>
            </w:r>
            <w:proofErr w:type="spellEnd"/>
            <w:r w:rsidRPr="00F01347">
              <w:rPr>
                <w:rFonts w:ascii="Verdana" w:hAnsi="Verdana"/>
                <w:sz w:val="16"/>
                <w:szCs w:val="16"/>
                <w:lang w:val="en-US"/>
              </w:rPr>
              <w:t xml:space="preserve"> black T indicator: dissolve 0.10 g of </w:t>
            </w:r>
            <w:proofErr w:type="spellStart"/>
            <w:r w:rsidRPr="00F01347">
              <w:rPr>
                <w:rFonts w:ascii="Verdana" w:hAnsi="Verdana"/>
                <w:sz w:val="16"/>
                <w:szCs w:val="16"/>
                <w:lang w:val="en-US"/>
              </w:rPr>
              <w:t>calmagite</w:t>
            </w:r>
            <w:proofErr w:type="spellEnd"/>
            <w:r w:rsidRPr="00F01347">
              <w:rPr>
                <w:rFonts w:ascii="Verdana" w:hAnsi="Verdana"/>
                <w:sz w:val="16"/>
                <w:szCs w:val="16"/>
                <w:lang w:val="en-US"/>
              </w:rPr>
              <w:t xml:space="preserve"> (1-(1-hydroxy-4-methyl-2- </w:t>
            </w:r>
            <w:proofErr w:type="spellStart"/>
            <w:r w:rsidRPr="00F01347">
              <w:rPr>
                <w:rFonts w:ascii="Verdana" w:hAnsi="Verdana"/>
                <w:sz w:val="16"/>
                <w:szCs w:val="16"/>
                <w:lang w:val="en-US"/>
              </w:rPr>
              <w:t>phenylazo</w:t>
            </w:r>
            <w:proofErr w:type="spellEnd"/>
            <w:r w:rsidR="00913802" w:rsidRPr="00F01347">
              <w:rPr>
                <w:rFonts w:ascii="Verdana" w:hAnsi="Verdana"/>
                <w:sz w:val="16"/>
                <w:szCs w:val="16"/>
                <w:lang w:val="en-US"/>
              </w:rPr>
              <w:t>)</w:t>
            </w:r>
            <w:r w:rsidRPr="00F01347">
              <w:rPr>
                <w:rFonts w:ascii="Verdana" w:hAnsi="Verdana"/>
                <w:sz w:val="16"/>
                <w:szCs w:val="16"/>
                <w:lang w:val="en-US"/>
              </w:rPr>
              <w:t xml:space="preserve">-2-naphthol-4 sulfonic acid) in 100 mL of water distilled, </w:t>
            </w:r>
            <w:r w:rsidRPr="00F01347">
              <w:rPr>
                <w:rFonts w:ascii="Verdana" w:hAnsi="Verdana"/>
                <w:sz w:val="16"/>
                <w:szCs w:val="16"/>
                <w:lang w:val="en-US"/>
              </w:rPr>
              <w:lastRenderedPageBreak/>
              <w:t>use 1 mL per 50 mL of solution to titrate, adjusting the volume if necessary. This solution is stable.</w:t>
            </w:r>
          </w:p>
        </w:tc>
      </w:tr>
      <w:tr w:rsidR="007557BF" w:rsidRPr="00F01347" w14:paraId="7001FB30" w14:textId="6F5FCECA" w:rsidTr="00A5493F">
        <w:tc>
          <w:tcPr>
            <w:tcW w:w="4675" w:type="dxa"/>
          </w:tcPr>
          <w:p w14:paraId="6D339C59"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sz w:val="16"/>
                <w:szCs w:val="16"/>
              </w:rPr>
              <w:lastRenderedPageBreak/>
              <w:t xml:space="preserve">Se encuentran disponibles comercialmente la mezcla de los indicadores de eriocromo negro T y </w:t>
            </w:r>
            <w:proofErr w:type="spellStart"/>
            <w:r w:rsidRPr="00F01347">
              <w:rPr>
                <w:rFonts w:ascii="Verdana" w:hAnsi="Verdana"/>
                <w:sz w:val="16"/>
                <w:szCs w:val="16"/>
              </w:rPr>
              <w:t>calmagita</w:t>
            </w:r>
            <w:proofErr w:type="spellEnd"/>
            <w:r w:rsidRPr="00F01347">
              <w:rPr>
                <w:rFonts w:ascii="Verdana" w:hAnsi="Verdana"/>
                <w:sz w:val="16"/>
                <w:szCs w:val="16"/>
              </w:rPr>
              <w:t xml:space="preserve"> en forma de polvo y mezclados con una sal inerte.</w:t>
            </w:r>
          </w:p>
        </w:tc>
        <w:tc>
          <w:tcPr>
            <w:tcW w:w="4675" w:type="dxa"/>
          </w:tcPr>
          <w:p w14:paraId="498D17B0" w14:textId="2252990D" w:rsidR="007557BF" w:rsidRPr="00F01347" w:rsidRDefault="002F0106" w:rsidP="007557BF">
            <w:pPr>
              <w:pStyle w:val="texto0"/>
              <w:spacing w:line="218" w:lineRule="exact"/>
              <w:ind w:firstLine="0"/>
              <w:rPr>
                <w:rFonts w:ascii="Verdana" w:hAnsi="Verdana"/>
                <w:sz w:val="16"/>
                <w:szCs w:val="16"/>
                <w:lang w:val="en-US"/>
              </w:rPr>
            </w:pPr>
            <w:r w:rsidRPr="00F01347">
              <w:rPr>
                <w:rFonts w:ascii="Verdana" w:hAnsi="Verdana"/>
                <w:sz w:val="16"/>
                <w:szCs w:val="16"/>
                <w:lang w:val="en-US"/>
              </w:rPr>
              <w:t xml:space="preserve">The mixture of </w:t>
            </w:r>
            <w:proofErr w:type="spellStart"/>
            <w:r w:rsidRPr="00F01347">
              <w:rPr>
                <w:rFonts w:ascii="Verdana" w:hAnsi="Verdana"/>
                <w:sz w:val="16"/>
                <w:szCs w:val="16"/>
                <w:lang w:val="en-US"/>
              </w:rPr>
              <w:t>eriochrome</w:t>
            </w:r>
            <w:proofErr w:type="spellEnd"/>
            <w:r w:rsidRPr="00F01347">
              <w:rPr>
                <w:rFonts w:ascii="Verdana" w:hAnsi="Verdana"/>
                <w:sz w:val="16"/>
                <w:szCs w:val="16"/>
                <w:lang w:val="en-US"/>
              </w:rPr>
              <w:t xml:space="preserve"> black T and </w:t>
            </w:r>
            <w:proofErr w:type="spellStart"/>
            <w:r w:rsidRPr="00F01347">
              <w:rPr>
                <w:rFonts w:ascii="Verdana" w:hAnsi="Verdana"/>
                <w:sz w:val="16"/>
                <w:szCs w:val="16"/>
                <w:lang w:val="en-US"/>
              </w:rPr>
              <w:t>calmagite</w:t>
            </w:r>
            <w:proofErr w:type="spellEnd"/>
            <w:r w:rsidRPr="00F01347">
              <w:rPr>
                <w:rFonts w:ascii="Verdana" w:hAnsi="Verdana"/>
                <w:sz w:val="16"/>
                <w:szCs w:val="16"/>
                <w:lang w:val="en-US"/>
              </w:rPr>
              <w:t xml:space="preserve"> indicators is commercially available in powder form and mixed with an inert salt.</w:t>
            </w:r>
          </w:p>
        </w:tc>
      </w:tr>
      <w:tr w:rsidR="007557BF" w:rsidRPr="00F01347" w14:paraId="1D8D061A" w14:textId="0AE414E1" w:rsidTr="00A5493F">
        <w:tc>
          <w:tcPr>
            <w:tcW w:w="4675" w:type="dxa"/>
          </w:tcPr>
          <w:p w14:paraId="170E6031" w14:textId="77777777" w:rsidR="007557BF" w:rsidRPr="00F01347" w:rsidRDefault="007557BF" w:rsidP="007557BF">
            <w:pPr>
              <w:pStyle w:val="texto0"/>
              <w:spacing w:line="218" w:lineRule="exact"/>
              <w:ind w:firstLine="0"/>
              <w:rPr>
                <w:rFonts w:ascii="Verdana" w:hAnsi="Verdana"/>
                <w:sz w:val="16"/>
                <w:szCs w:val="16"/>
              </w:rPr>
            </w:pPr>
            <w:r w:rsidRPr="00F01347">
              <w:rPr>
                <w:rFonts w:ascii="Verdana" w:hAnsi="Verdana"/>
                <w:b/>
                <w:bCs/>
                <w:sz w:val="16"/>
                <w:szCs w:val="16"/>
              </w:rPr>
              <w:t>Disolución patrón titulante de EDTA 0,01 M</w:t>
            </w:r>
            <w:r w:rsidRPr="00F01347">
              <w:rPr>
                <w:rFonts w:ascii="Verdana" w:hAnsi="Verdana"/>
                <w:sz w:val="16"/>
                <w:szCs w:val="16"/>
              </w:rPr>
              <w:t xml:space="preserve">, pesar 3.723 g de la sal disódica del ácido </w:t>
            </w:r>
            <w:proofErr w:type="spellStart"/>
            <w:r w:rsidRPr="00F01347">
              <w:rPr>
                <w:rFonts w:ascii="Verdana" w:hAnsi="Verdana"/>
                <w:sz w:val="16"/>
                <w:szCs w:val="16"/>
              </w:rPr>
              <w:t>etilen</w:t>
            </w:r>
            <w:proofErr w:type="spellEnd"/>
            <w:r w:rsidRPr="00F01347">
              <w:rPr>
                <w:rFonts w:ascii="Verdana" w:hAnsi="Verdana"/>
                <w:sz w:val="16"/>
                <w:szCs w:val="16"/>
              </w:rPr>
              <w:t xml:space="preserve"> </w:t>
            </w:r>
            <w:proofErr w:type="spellStart"/>
            <w:r w:rsidRPr="00F01347">
              <w:rPr>
                <w:rFonts w:ascii="Verdana" w:hAnsi="Verdana"/>
                <w:sz w:val="16"/>
                <w:szCs w:val="16"/>
              </w:rPr>
              <w:t>diamino</w:t>
            </w:r>
            <w:proofErr w:type="spellEnd"/>
            <w:r w:rsidRPr="00F01347">
              <w:rPr>
                <w:rFonts w:ascii="Verdana" w:hAnsi="Verdana"/>
                <w:sz w:val="16"/>
                <w:szCs w:val="16"/>
              </w:rPr>
              <w:t xml:space="preserve"> </w:t>
            </w:r>
            <w:proofErr w:type="spellStart"/>
            <w:r w:rsidRPr="00F01347">
              <w:rPr>
                <w:rFonts w:ascii="Verdana" w:hAnsi="Verdana"/>
                <w:sz w:val="16"/>
                <w:szCs w:val="16"/>
              </w:rPr>
              <w:t>tetraacético</w:t>
            </w:r>
            <w:proofErr w:type="spellEnd"/>
            <w:r w:rsidRPr="00F01347">
              <w:rPr>
                <w:rFonts w:ascii="Verdana" w:hAnsi="Verdana"/>
                <w:sz w:val="16"/>
                <w:szCs w:val="16"/>
              </w:rPr>
              <w:t>, Na</w:t>
            </w:r>
            <w:r w:rsidRPr="00F01347">
              <w:rPr>
                <w:rFonts w:ascii="Verdana" w:hAnsi="Verdana"/>
                <w:sz w:val="16"/>
                <w:szCs w:val="16"/>
                <w:vertAlign w:val="subscript"/>
              </w:rPr>
              <w:t>2</w:t>
            </w:r>
            <w:r w:rsidRPr="00F01347">
              <w:rPr>
                <w:rFonts w:ascii="Verdana" w:hAnsi="Verdana"/>
                <w:sz w:val="16"/>
                <w:szCs w:val="16"/>
              </w:rPr>
              <w:t>H</w:t>
            </w:r>
            <w:r w:rsidRPr="00F01347">
              <w:rPr>
                <w:rFonts w:ascii="Verdana" w:hAnsi="Verdana"/>
                <w:sz w:val="16"/>
                <w:szCs w:val="16"/>
                <w:vertAlign w:val="subscript"/>
              </w:rPr>
              <w:t>2</w:t>
            </w:r>
            <w:r w:rsidRPr="00F01347">
              <w:rPr>
                <w:rFonts w:ascii="Verdana" w:hAnsi="Verdana"/>
                <w:sz w:val="16"/>
                <w:szCs w:val="16"/>
              </w:rPr>
              <w:t>C</w:t>
            </w:r>
            <w:r w:rsidRPr="00F01347">
              <w:rPr>
                <w:rFonts w:ascii="Verdana" w:hAnsi="Verdana"/>
                <w:sz w:val="16"/>
                <w:szCs w:val="16"/>
                <w:vertAlign w:val="subscript"/>
              </w:rPr>
              <w:t>10</w:t>
            </w:r>
            <w:r w:rsidRPr="00F01347">
              <w:rPr>
                <w:rFonts w:ascii="Verdana" w:hAnsi="Verdana"/>
                <w:sz w:val="16"/>
                <w:szCs w:val="16"/>
              </w:rPr>
              <w:t>H</w:t>
            </w:r>
            <w:r w:rsidRPr="00F01347">
              <w:rPr>
                <w:rFonts w:ascii="Verdana" w:hAnsi="Verdana"/>
                <w:sz w:val="16"/>
                <w:szCs w:val="16"/>
                <w:vertAlign w:val="subscript"/>
              </w:rPr>
              <w:t>12</w:t>
            </w:r>
            <w:r w:rsidRPr="00F01347">
              <w:rPr>
                <w:rFonts w:ascii="Verdana" w:hAnsi="Verdana"/>
                <w:sz w:val="16"/>
                <w:szCs w:val="16"/>
              </w:rPr>
              <w:t>O</w:t>
            </w:r>
            <w:r w:rsidRPr="00F01347">
              <w:rPr>
                <w:rFonts w:ascii="Verdana" w:hAnsi="Verdana"/>
                <w:sz w:val="16"/>
                <w:szCs w:val="16"/>
                <w:vertAlign w:val="subscript"/>
              </w:rPr>
              <w:t>8</w:t>
            </w:r>
            <w:r w:rsidRPr="00F01347">
              <w:rPr>
                <w:rFonts w:ascii="Verdana" w:hAnsi="Verdana"/>
                <w:sz w:val="16"/>
                <w:szCs w:val="16"/>
              </w:rPr>
              <w:t>N</w:t>
            </w:r>
            <w:r w:rsidRPr="00F01347">
              <w:rPr>
                <w:rFonts w:ascii="Verdana" w:hAnsi="Verdana"/>
                <w:sz w:val="16"/>
                <w:szCs w:val="16"/>
                <w:vertAlign w:val="subscript"/>
              </w:rPr>
              <w:t>2</w:t>
            </w:r>
            <w:r w:rsidRPr="00F01347">
              <w:rPr>
                <w:rFonts w:ascii="Verdana" w:hAnsi="Verdana"/>
                <w:sz w:val="16"/>
                <w:szCs w:val="16"/>
              </w:rPr>
              <w:t>·2H</w:t>
            </w:r>
            <w:r w:rsidRPr="00F01347">
              <w:rPr>
                <w:rFonts w:ascii="Verdana" w:hAnsi="Verdana"/>
                <w:sz w:val="16"/>
                <w:szCs w:val="16"/>
                <w:vertAlign w:val="subscript"/>
              </w:rPr>
              <w:t>2</w:t>
            </w:r>
            <w:r w:rsidRPr="00F01347">
              <w:rPr>
                <w:rFonts w:ascii="Verdana" w:hAnsi="Verdana"/>
                <w:sz w:val="16"/>
                <w:szCs w:val="16"/>
              </w:rPr>
              <w:t>O, disolver en agua reactivo y diluir a 1 litro. Verificar su concentración titulando contra disolución de carbonato de calcio patrón. Almacenar en recipiente de polietileno (preferentemente) o vidrio borosilicato.</w:t>
            </w:r>
          </w:p>
        </w:tc>
        <w:tc>
          <w:tcPr>
            <w:tcW w:w="4675" w:type="dxa"/>
          </w:tcPr>
          <w:p w14:paraId="6B01BF2C" w14:textId="6CF7C7DA" w:rsidR="007557BF" w:rsidRPr="00F01347" w:rsidRDefault="007557BF" w:rsidP="007557BF">
            <w:pPr>
              <w:pStyle w:val="texto0"/>
              <w:spacing w:line="218" w:lineRule="exact"/>
              <w:ind w:firstLine="0"/>
              <w:rPr>
                <w:rFonts w:ascii="Verdana" w:hAnsi="Verdana"/>
                <w:b/>
                <w:bCs/>
                <w:sz w:val="16"/>
                <w:szCs w:val="16"/>
                <w:lang w:val="en-US"/>
              </w:rPr>
            </w:pPr>
            <w:r w:rsidRPr="00F01347">
              <w:rPr>
                <w:rFonts w:ascii="Verdana" w:hAnsi="Verdana"/>
                <w:b/>
                <w:bCs/>
                <w:sz w:val="16"/>
                <w:szCs w:val="16"/>
                <w:lang w:val="en-US"/>
              </w:rPr>
              <w:t>Standard titrant solution of 0.01 M EDTA</w:t>
            </w:r>
            <w:r w:rsidR="003E1BA9" w:rsidRPr="00F01347">
              <w:rPr>
                <w:rFonts w:ascii="Verdana" w:hAnsi="Verdana"/>
                <w:b/>
                <w:bCs/>
                <w:sz w:val="16"/>
                <w:szCs w:val="16"/>
                <w:lang w:val="en-US"/>
              </w:rPr>
              <w:t>,</w:t>
            </w:r>
            <w:r w:rsidRPr="00F01347">
              <w:rPr>
                <w:rFonts w:ascii="Verdana" w:hAnsi="Verdana"/>
                <w:sz w:val="16"/>
                <w:szCs w:val="16"/>
                <w:lang w:val="en-US"/>
              </w:rPr>
              <w:t xml:space="preserve"> weigh 3,723 g of the disodium salt of ethylene acid diamino </w:t>
            </w:r>
            <w:proofErr w:type="spellStart"/>
            <w:r w:rsidRPr="00F01347">
              <w:rPr>
                <w:rFonts w:ascii="Verdana" w:hAnsi="Verdana"/>
                <w:sz w:val="16"/>
                <w:szCs w:val="16"/>
                <w:lang w:val="en-US"/>
              </w:rPr>
              <w:t>tetraacetic</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w:t>
            </w:r>
            <w:r w:rsidR="002F0106" w:rsidRPr="00F01347">
              <w:rPr>
                <w:rFonts w:ascii="Verdana" w:hAnsi="Verdana"/>
                <w:sz w:val="16"/>
                <w:szCs w:val="16"/>
                <w:lang w:val="en-US"/>
              </w:rPr>
              <w:t>Na</w:t>
            </w:r>
            <w:r w:rsidR="002F0106" w:rsidRPr="00F01347">
              <w:rPr>
                <w:rFonts w:ascii="Verdana" w:hAnsi="Verdana"/>
                <w:sz w:val="16"/>
                <w:szCs w:val="16"/>
                <w:vertAlign w:val="subscript"/>
                <w:lang w:val="en-US"/>
              </w:rPr>
              <w:t>2</w:t>
            </w:r>
            <w:r w:rsidR="002F0106" w:rsidRPr="00F01347">
              <w:rPr>
                <w:rFonts w:ascii="Verdana" w:hAnsi="Verdana"/>
                <w:sz w:val="16"/>
                <w:szCs w:val="16"/>
                <w:lang w:val="en-US"/>
              </w:rPr>
              <w:t>H</w:t>
            </w:r>
            <w:r w:rsidR="002F0106" w:rsidRPr="00F01347">
              <w:rPr>
                <w:rFonts w:ascii="Verdana" w:hAnsi="Verdana"/>
                <w:sz w:val="16"/>
                <w:szCs w:val="16"/>
                <w:vertAlign w:val="subscript"/>
                <w:lang w:val="en-US"/>
              </w:rPr>
              <w:t>2</w:t>
            </w:r>
            <w:r w:rsidR="002F0106" w:rsidRPr="00F01347">
              <w:rPr>
                <w:rFonts w:ascii="Verdana" w:hAnsi="Verdana"/>
                <w:sz w:val="16"/>
                <w:szCs w:val="16"/>
                <w:lang w:val="en-US"/>
              </w:rPr>
              <w:t>C</w:t>
            </w:r>
            <w:r w:rsidR="002F0106" w:rsidRPr="00F01347">
              <w:rPr>
                <w:rFonts w:ascii="Verdana" w:hAnsi="Verdana"/>
                <w:sz w:val="16"/>
                <w:szCs w:val="16"/>
                <w:vertAlign w:val="subscript"/>
                <w:lang w:val="en-US"/>
              </w:rPr>
              <w:t>10</w:t>
            </w:r>
            <w:r w:rsidR="002F0106" w:rsidRPr="00F01347">
              <w:rPr>
                <w:rFonts w:ascii="Verdana" w:hAnsi="Verdana"/>
                <w:sz w:val="16"/>
                <w:szCs w:val="16"/>
                <w:lang w:val="en-US"/>
              </w:rPr>
              <w:t>H</w:t>
            </w:r>
            <w:r w:rsidR="002F0106" w:rsidRPr="00F01347">
              <w:rPr>
                <w:rFonts w:ascii="Verdana" w:hAnsi="Verdana"/>
                <w:sz w:val="16"/>
                <w:szCs w:val="16"/>
                <w:vertAlign w:val="subscript"/>
                <w:lang w:val="en-US"/>
              </w:rPr>
              <w:t>12</w:t>
            </w:r>
            <w:r w:rsidR="002F0106" w:rsidRPr="00F01347">
              <w:rPr>
                <w:rFonts w:ascii="Verdana" w:hAnsi="Verdana"/>
                <w:sz w:val="16"/>
                <w:szCs w:val="16"/>
                <w:lang w:val="en-US"/>
              </w:rPr>
              <w:t>O</w:t>
            </w:r>
            <w:r w:rsidR="002F0106" w:rsidRPr="00F01347">
              <w:rPr>
                <w:rFonts w:ascii="Verdana" w:hAnsi="Verdana"/>
                <w:sz w:val="16"/>
                <w:szCs w:val="16"/>
                <w:vertAlign w:val="subscript"/>
                <w:lang w:val="en-US"/>
              </w:rPr>
              <w:t>8</w:t>
            </w:r>
            <w:r w:rsidR="002F0106" w:rsidRPr="00F01347">
              <w:rPr>
                <w:rFonts w:ascii="Verdana" w:hAnsi="Verdana"/>
                <w:sz w:val="16"/>
                <w:szCs w:val="16"/>
                <w:lang w:val="en-US"/>
              </w:rPr>
              <w:t>N</w:t>
            </w:r>
            <w:r w:rsidR="002F0106" w:rsidRPr="00F01347">
              <w:rPr>
                <w:rFonts w:ascii="Verdana" w:hAnsi="Verdana"/>
                <w:sz w:val="16"/>
                <w:szCs w:val="16"/>
                <w:vertAlign w:val="subscript"/>
                <w:lang w:val="en-US"/>
              </w:rPr>
              <w:t>2</w:t>
            </w:r>
            <w:r w:rsidR="002F0106" w:rsidRPr="00F01347">
              <w:rPr>
                <w:rFonts w:ascii="Verdana" w:hAnsi="Verdana"/>
                <w:sz w:val="16"/>
                <w:szCs w:val="16"/>
                <w:lang w:val="en-US"/>
              </w:rPr>
              <w:t>·2</w:t>
            </w:r>
            <w:proofErr w:type="gramStart"/>
            <w:r w:rsidR="002F0106" w:rsidRPr="00F01347">
              <w:rPr>
                <w:rFonts w:ascii="Verdana" w:hAnsi="Verdana"/>
                <w:sz w:val="16"/>
                <w:szCs w:val="16"/>
                <w:lang w:val="en-US"/>
              </w:rPr>
              <w:t>H</w:t>
            </w:r>
            <w:r w:rsidR="002F0106" w:rsidRPr="00F01347">
              <w:rPr>
                <w:rFonts w:ascii="Verdana" w:hAnsi="Verdana"/>
                <w:sz w:val="16"/>
                <w:szCs w:val="16"/>
                <w:vertAlign w:val="subscript"/>
                <w:lang w:val="en-US"/>
              </w:rPr>
              <w:t>2</w:t>
            </w:r>
            <w:r w:rsidR="002F0106" w:rsidRPr="00F01347">
              <w:rPr>
                <w:rFonts w:ascii="Verdana" w:hAnsi="Verdana"/>
                <w:sz w:val="16"/>
                <w:szCs w:val="16"/>
                <w:lang w:val="en-US"/>
              </w:rPr>
              <w:t xml:space="preserve">O, </w:t>
            </w:r>
            <w:r w:rsidRPr="00F01347">
              <w:rPr>
                <w:rFonts w:ascii="Verdana" w:hAnsi="Verdana"/>
                <w:sz w:val="16"/>
                <w:szCs w:val="16"/>
                <w:lang w:val="en-US"/>
              </w:rPr>
              <w:t xml:space="preserve"> dissolve</w:t>
            </w:r>
            <w:proofErr w:type="gramEnd"/>
            <w:r w:rsidRPr="00F01347">
              <w:rPr>
                <w:rFonts w:ascii="Verdana" w:hAnsi="Verdana"/>
                <w:sz w:val="16"/>
                <w:szCs w:val="16"/>
                <w:lang w:val="en-US"/>
              </w:rPr>
              <w:t xml:space="preserve"> reagent in water and dilute to 1 liter. Verify its concentration by titrating against standard calcium carbonate solution. Store in a polyethylene (preferably) or borosilicate glass container.</w:t>
            </w:r>
          </w:p>
        </w:tc>
      </w:tr>
      <w:tr w:rsidR="007557BF" w:rsidRPr="00F01347" w14:paraId="369DC77A" w14:textId="7AEF3ABB" w:rsidTr="00A5493F">
        <w:tc>
          <w:tcPr>
            <w:tcW w:w="4675" w:type="dxa"/>
          </w:tcPr>
          <w:p w14:paraId="462FE62B" w14:textId="77777777" w:rsidR="007557BF" w:rsidRPr="00F01347" w:rsidRDefault="007557BF" w:rsidP="007557BF">
            <w:pPr>
              <w:pStyle w:val="texto0"/>
              <w:spacing w:line="252" w:lineRule="exact"/>
              <w:ind w:firstLine="0"/>
              <w:rPr>
                <w:rFonts w:ascii="Verdana" w:hAnsi="Verdana"/>
                <w:sz w:val="16"/>
                <w:szCs w:val="16"/>
              </w:rPr>
            </w:pPr>
            <w:r w:rsidRPr="00F01347">
              <w:rPr>
                <w:rFonts w:ascii="Verdana" w:hAnsi="Verdana"/>
                <w:b/>
                <w:bCs/>
                <w:sz w:val="16"/>
                <w:szCs w:val="16"/>
              </w:rPr>
              <w:t>Disolución patrón de CaCO3</w:t>
            </w:r>
            <w:r w:rsidRPr="00F01347">
              <w:rPr>
                <w:rFonts w:ascii="Verdana" w:hAnsi="Verdana"/>
                <w:sz w:val="16"/>
                <w:szCs w:val="16"/>
              </w:rPr>
              <w:t xml:space="preserve">, Pesar 1.0 g de carbonato de calcio anhidro con una pureza mayor a 99.95%, colocarlo en un matraz </w:t>
            </w:r>
            <w:proofErr w:type="spellStart"/>
            <w:r w:rsidRPr="00F01347">
              <w:rPr>
                <w:rFonts w:ascii="Verdana" w:hAnsi="Verdana"/>
                <w:sz w:val="16"/>
                <w:szCs w:val="16"/>
              </w:rPr>
              <w:t>erlenmeyer</w:t>
            </w:r>
            <w:proofErr w:type="spellEnd"/>
            <w:r w:rsidRPr="00F01347">
              <w:rPr>
                <w:rFonts w:ascii="Verdana" w:hAnsi="Verdana"/>
                <w:sz w:val="16"/>
                <w:szCs w:val="16"/>
              </w:rPr>
              <w:t xml:space="preserve"> de 500mL, colocar un embudo en el cuello del matraz y agregar poco a poco disolución de HCl 1+1, hasta que todo el carbonato sea disuelto. Agregar 200mL de agua destilada y hervir durante algunos minutos para desalojar el CO2, enfriar y agregar unas gotas de disolución indicadora de rojo de metilo, ajustar al color anaranjado, agregando unas gotas de disolución de NH</w:t>
            </w:r>
            <w:r w:rsidRPr="00F01347">
              <w:rPr>
                <w:rFonts w:ascii="Verdana" w:hAnsi="Verdana"/>
                <w:sz w:val="16"/>
                <w:szCs w:val="16"/>
                <w:vertAlign w:val="subscript"/>
              </w:rPr>
              <w:t>4</w:t>
            </w:r>
            <w:r w:rsidRPr="00F01347">
              <w:rPr>
                <w:rFonts w:ascii="Verdana" w:hAnsi="Verdana"/>
                <w:sz w:val="16"/>
                <w:szCs w:val="16"/>
              </w:rPr>
              <w:t xml:space="preserve">OH 3N o disolución de HCL 1 + 1 si se requiere. Transferir a un matraz volumétrico de 1 L y llevar al volumen con agua destilada. La disolución patrón es equivalente a 1.000 mg de CaCO3 por cada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46AD1716" w14:textId="3DC94930" w:rsidR="007557BF" w:rsidRPr="00F01347" w:rsidRDefault="007557BF" w:rsidP="007557BF">
            <w:pPr>
              <w:pStyle w:val="texto0"/>
              <w:spacing w:line="252" w:lineRule="exact"/>
              <w:ind w:firstLine="0"/>
              <w:rPr>
                <w:rFonts w:ascii="Verdana" w:hAnsi="Verdana"/>
                <w:b/>
                <w:bCs/>
                <w:sz w:val="16"/>
                <w:szCs w:val="16"/>
                <w:lang w:val="en-US"/>
              </w:rPr>
            </w:pPr>
            <w:r w:rsidRPr="00F01347">
              <w:rPr>
                <w:rFonts w:ascii="Verdana" w:hAnsi="Verdana"/>
                <w:b/>
                <w:bCs/>
                <w:sz w:val="16"/>
                <w:szCs w:val="16"/>
                <w:lang w:val="en-US"/>
              </w:rPr>
              <w:t>CaCO3 standard solution</w:t>
            </w:r>
            <w:r w:rsidR="003E1BA9" w:rsidRPr="00F01347">
              <w:rPr>
                <w:rFonts w:ascii="Verdana" w:hAnsi="Verdana"/>
                <w:b/>
                <w:bCs/>
                <w:sz w:val="16"/>
                <w:szCs w:val="16"/>
                <w:lang w:val="en-US"/>
              </w:rPr>
              <w:t>,</w:t>
            </w:r>
            <w:r w:rsidRPr="00F01347">
              <w:rPr>
                <w:rFonts w:ascii="Verdana" w:hAnsi="Verdana"/>
                <w:sz w:val="16"/>
                <w:szCs w:val="16"/>
                <w:lang w:val="en-US"/>
              </w:rPr>
              <w:t xml:space="preserve"> </w:t>
            </w:r>
            <w:proofErr w:type="gramStart"/>
            <w:r w:rsidRPr="00F01347">
              <w:rPr>
                <w:rFonts w:ascii="Verdana" w:hAnsi="Verdana"/>
                <w:sz w:val="16"/>
                <w:szCs w:val="16"/>
                <w:lang w:val="en-US"/>
              </w:rPr>
              <w:t>Weigh</w:t>
            </w:r>
            <w:proofErr w:type="gramEnd"/>
            <w:r w:rsidRPr="00F01347">
              <w:rPr>
                <w:rFonts w:ascii="Verdana" w:hAnsi="Verdana"/>
                <w:sz w:val="16"/>
                <w:szCs w:val="16"/>
                <w:lang w:val="en-US"/>
              </w:rPr>
              <w:t xml:space="preserve"> 1.0 g of anhydrous calcium carbonate with a purity greater than 99.95%, place it in a 500mL Erlenmeyer flask, place a funnel in the neck of the flask and add 1+1 HCl solution little by little, until that all the carbonate is dissolved. Add 200mL of distilled water and boil for a few minutes to remove the CO2, cool and add a few drops of methyl red indicator solution, adjust to orange color, adding a few drops of NH</w:t>
            </w:r>
            <w:r w:rsidRPr="00F01347">
              <w:rPr>
                <w:rFonts w:ascii="Verdana" w:hAnsi="Verdana"/>
                <w:sz w:val="16"/>
                <w:szCs w:val="16"/>
                <w:vertAlign w:val="subscript"/>
                <w:lang w:val="en-US"/>
              </w:rPr>
              <w:t>4</w:t>
            </w:r>
            <w:r w:rsidRPr="00F01347">
              <w:rPr>
                <w:rFonts w:ascii="Verdana" w:hAnsi="Verdana"/>
                <w:sz w:val="16"/>
                <w:szCs w:val="16"/>
                <w:lang w:val="en-US"/>
              </w:rPr>
              <w:t>OH 3N solution</w:t>
            </w:r>
            <w:r w:rsidR="00B37F40" w:rsidRPr="00F01347">
              <w:rPr>
                <w:rFonts w:ascii="Verdana" w:hAnsi="Verdana"/>
                <w:sz w:val="16"/>
                <w:szCs w:val="16"/>
                <w:lang w:val="en-US"/>
              </w:rPr>
              <w:t xml:space="preserve"> of</w:t>
            </w:r>
            <w:r w:rsidRPr="00F01347">
              <w:rPr>
                <w:rFonts w:ascii="Verdana" w:hAnsi="Verdana"/>
                <w:sz w:val="16"/>
                <w:szCs w:val="16"/>
                <w:vertAlign w:val="subscript"/>
                <w:lang w:val="en-US"/>
              </w:rPr>
              <w:t xml:space="preserve"> </w:t>
            </w:r>
            <w:r w:rsidRPr="00F01347">
              <w:rPr>
                <w:rFonts w:ascii="Verdana" w:hAnsi="Verdana"/>
                <w:sz w:val="16"/>
                <w:szCs w:val="16"/>
                <w:lang w:val="en-US"/>
              </w:rPr>
              <w:t>HCL 1 + 1 solution if required. Transfer to a 1 L volumetric flask and bring to volume with distilled water. The standard solution is equivalent to 1,000 mg of CaCO3 for each mL</w:t>
            </w:r>
            <w:r w:rsidR="003E1BA9" w:rsidRPr="00F01347">
              <w:rPr>
                <w:rFonts w:ascii="Verdana" w:hAnsi="Verdana"/>
                <w:sz w:val="16"/>
                <w:szCs w:val="16"/>
                <w:lang w:val="en-US"/>
              </w:rPr>
              <w:t>.</w:t>
            </w:r>
          </w:p>
        </w:tc>
      </w:tr>
      <w:tr w:rsidR="007557BF" w:rsidRPr="00F01347" w14:paraId="6C5722C3" w14:textId="3B5D1356" w:rsidTr="00A5493F">
        <w:tc>
          <w:tcPr>
            <w:tcW w:w="4675" w:type="dxa"/>
          </w:tcPr>
          <w:p w14:paraId="5DFA7493" w14:textId="77777777" w:rsidR="007557BF" w:rsidRPr="00F01347" w:rsidRDefault="007557BF" w:rsidP="007557BF">
            <w:pPr>
              <w:pStyle w:val="texto0"/>
              <w:spacing w:line="252" w:lineRule="exact"/>
              <w:ind w:firstLine="0"/>
              <w:rPr>
                <w:rFonts w:ascii="Verdana" w:hAnsi="Verdana"/>
                <w:sz w:val="16"/>
                <w:szCs w:val="16"/>
              </w:rPr>
            </w:pPr>
            <w:r w:rsidRPr="00F01347">
              <w:rPr>
                <w:rFonts w:ascii="Verdana" w:hAnsi="Verdana"/>
                <w:sz w:val="16"/>
                <w:szCs w:val="16"/>
              </w:rPr>
              <w:t xml:space="preserve">Valoración de la disolución de EDTA. En matraces Erlenmeyer de 250 </w:t>
            </w:r>
            <w:proofErr w:type="spellStart"/>
            <w:r w:rsidRPr="00F01347">
              <w:rPr>
                <w:rFonts w:ascii="Verdana" w:hAnsi="Verdana"/>
                <w:sz w:val="16"/>
                <w:szCs w:val="16"/>
              </w:rPr>
              <w:t>mL</w:t>
            </w:r>
            <w:proofErr w:type="spellEnd"/>
            <w:r w:rsidRPr="00F01347">
              <w:rPr>
                <w:rFonts w:ascii="Verdana" w:hAnsi="Verdana"/>
                <w:sz w:val="16"/>
                <w:szCs w:val="16"/>
              </w:rPr>
              <w:t xml:space="preserve">, tomar 10 </w:t>
            </w:r>
            <w:proofErr w:type="spellStart"/>
            <w:r w:rsidRPr="00F01347">
              <w:rPr>
                <w:rFonts w:ascii="Verdana" w:hAnsi="Verdana"/>
                <w:sz w:val="16"/>
                <w:szCs w:val="16"/>
              </w:rPr>
              <w:t>mL</w:t>
            </w:r>
            <w:proofErr w:type="spellEnd"/>
            <w:r w:rsidRPr="00F01347">
              <w:rPr>
                <w:rFonts w:ascii="Verdana" w:hAnsi="Verdana"/>
                <w:sz w:val="16"/>
                <w:szCs w:val="16"/>
              </w:rPr>
              <w:t xml:space="preserve"> de la disolución patrón de carbonato de calcio, y diluir a 50 </w:t>
            </w:r>
            <w:proofErr w:type="spellStart"/>
            <w:r w:rsidRPr="00F01347">
              <w:rPr>
                <w:rFonts w:ascii="Verdana" w:hAnsi="Verdana"/>
                <w:sz w:val="16"/>
                <w:szCs w:val="16"/>
              </w:rPr>
              <w:t>mL</w:t>
            </w:r>
            <w:proofErr w:type="spellEnd"/>
            <w:r w:rsidRPr="00F01347">
              <w:rPr>
                <w:rFonts w:ascii="Verdana" w:hAnsi="Verdana"/>
                <w:sz w:val="16"/>
                <w:szCs w:val="16"/>
              </w:rPr>
              <w:t xml:space="preserve"> con agua. Realizar por triplicado.</w:t>
            </w:r>
          </w:p>
        </w:tc>
        <w:tc>
          <w:tcPr>
            <w:tcW w:w="4675" w:type="dxa"/>
          </w:tcPr>
          <w:p w14:paraId="7CBBA14E" w14:textId="3600A2EA" w:rsidR="007557BF" w:rsidRPr="00F01347" w:rsidRDefault="007557BF" w:rsidP="007557BF">
            <w:pPr>
              <w:pStyle w:val="texto0"/>
              <w:spacing w:line="252" w:lineRule="exact"/>
              <w:ind w:firstLine="0"/>
              <w:rPr>
                <w:rFonts w:ascii="Verdana" w:hAnsi="Verdana"/>
                <w:sz w:val="16"/>
                <w:szCs w:val="16"/>
                <w:lang w:val="en-US"/>
              </w:rPr>
            </w:pPr>
            <w:r w:rsidRPr="00F01347">
              <w:rPr>
                <w:rFonts w:ascii="Verdana" w:hAnsi="Verdana"/>
                <w:sz w:val="16"/>
                <w:szCs w:val="16"/>
                <w:lang w:val="en-US"/>
              </w:rPr>
              <w:t>Assessment of EDTA dissolution. In 250 mL Erlenmeyer flasks</w:t>
            </w:r>
            <w:r w:rsidR="003E1BA9" w:rsidRPr="00F01347">
              <w:rPr>
                <w:rFonts w:ascii="Verdana" w:hAnsi="Verdana"/>
                <w:sz w:val="16"/>
                <w:szCs w:val="16"/>
                <w:lang w:val="en-US"/>
              </w:rPr>
              <w:t>,</w:t>
            </w:r>
            <w:r w:rsidRPr="00F01347">
              <w:rPr>
                <w:rFonts w:ascii="Verdana" w:hAnsi="Verdana"/>
                <w:sz w:val="16"/>
                <w:szCs w:val="16"/>
                <w:lang w:val="en-US"/>
              </w:rPr>
              <w:t xml:space="preserve"> take 10 mL of the calcium carbonate standard solution, and dilute to 50 mL with water. Perform in triplicate.</w:t>
            </w:r>
          </w:p>
        </w:tc>
      </w:tr>
      <w:tr w:rsidR="007557BF" w:rsidRPr="00F01347" w14:paraId="7CA76979" w14:textId="1D522062" w:rsidTr="00A5493F">
        <w:tc>
          <w:tcPr>
            <w:tcW w:w="4675" w:type="dxa"/>
          </w:tcPr>
          <w:p w14:paraId="65DD7A3D" w14:textId="77777777" w:rsidR="007557BF" w:rsidRPr="00F01347" w:rsidRDefault="007557BF" w:rsidP="007557BF">
            <w:pPr>
              <w:pStyle w:val="texto0"/>
              <w:spacing w:line="252" w:lineRule="exact"/>
              <w:ind w:firstLine="0"/>
              <w:rPr>
                <w:rFonts w:ascii="Verdana" w:hAnsi="Verdana"/>
                <w:sz w:val="16"/>
                <w:szCs w:val="16"/>
              </w:rPr>
            </w:pPr>
            <w:r w:rsidRPr="00F01347">
              <w:rPr>
                <w:rFonts w:ascii="Verdana" w:hAnsi="Verdana"/>
                <w:sz w:val="16"/>
                <w:szCs w:val="16"/>
              </w:rPr>
              <w:t xml:space="preserve">En matraces Erlenmeyer de 250 </w:t>
            </w:r>
            <w:proofErr w:type="spellStart"/>
            <w:r w:rsidRPr="00F01347">
              <w:rPr>
                <w:rFonts w:ascii="Verdana" w:hAnsi="Verdana"/>
                <w:sz w:val="16"/>
                <w:szCs w:val="16"/>
              </w:rPr>
              <w:t>mL</w:t>
            </w:r>
            <w:proofErr w:type="spellEnd"/>
            <w:r w:rsidRPr="00F01347">
              <w:rPr>
                <w:rFonts w:ascii="Verdana" w:hAnsi="Verdana"/>
                <w:sz w:val="16"/>
                <w:szCs w:val="16"/>
              </w:rPr>
              <w:t xml:space="preserve">, preparar por triplicado blancos con 50 </w:t>
            </w:r>
            <w:proofErr w:type="spellStart"/>
            <w:r w:rsidRPr="00F01347">
              <w:rPr>
                <w:rFonts w:ascii="Verdana" w:hAnsi="Verdana"/>
                <w:sz w:val="16"/>
                <w:szCs w:val="16"/>
              </w:rPr>
              <w:t>mL</w:t>
            </w:r>
            <w:proofErr w:type="spellEnd"/>
            <w:r w:rsidRPr="00F01347">
              <w:rPr>
                <w:rFonts w:ascii="Verdana" w:hAnsi="Verdana"/>
                <w:sz w:val="16"/>
                <w:szCs w:val="16"/>
              </w:rPr>
              <w:t xml:space="preserve"> de agua destilada.</w:t>
            </w:r>
          </w:p>
        </w:tc>
        <w:tc>
          <w:tcPr>
            <w:tcW w:w="4675" w:type="dxa"/>
          </w:tcPr>
          <w:p w14:paraId="72B10014" w14:textId="54EBE4AF" w:rsidR="007557BF" w:rsidRPr="00F01347" w:rsidRDefault="007557BF" w:rsidP="007557BF">
            <w:pPr>
              <w:pStyle w:val="texto0"/>
              <w:spacing w:line="252" w:lineRule="exact"/>
              <w:ind w:firstLine="0"/>
              <w:rPr>
                <w:rFonts w:ascii="Verdana" w:hAnsi="Verdana"/>
                <w:sz w:val="16"/>
                <w:szCs w:val="16"/>
                <w:lang w:val="en-US"/>
              </w:rPr>
            </w:pPr>
            <w:r w:rsidRPr="00F01347">
              <w:rPr>
                <w:rFonts w:ascii="Verdana" w:hAnsi="Verdana"/>
                <w:sz w:val="16"/>
                <w:szCs w:val="16"/>
                <w:lang w:val="en-US"/>
              </w:rPr>
              <w:t>In 250 mL Erlenmeyer flasks</w:t>
            </w:r>
            <w:r w:rsidR="003E1BA9" w:rsidRPr="00F01347">
              <w:rPr>
                <w:rFonts w:ascii="Verdana" w:hAnsi="Verdana"/>
                <w:sz w:val="16"/>
                <w:szCs w:val="16"/>
                <w:lang w:val="en-US"/>
              </w:rPr>
              <w:t>,</w:t>
            </w:r>
            <w:r w:rsidRPr="00F01347">
              <w:rPr>
                <w:rFonts w:ascii="Verdana" w:hAnsi="Verdana"/>
                <w:sz w:val="16"/>
                <w:szCs w:val="16"/>
                <w:lang w:val="en-US"/>
              </w:rPr>
              <w:t xml:space="preserve"> prepare blanks in triplicate with 50 mL of distilled water.</w:t>
            </w:r>
          </w:p>
        </w:tc>
      </w:tr>
      <w:tr w:rsidR="007557BF" w:rsidRPr="00F01347" w14:paraId="60C6FFD9" w14:textId="539F229F" w:rsidTr="00A5493F">
        <w:tc>
          <w:tcPr>
            <w:tcW w:w="4675" w:type="dxa"/>
          </w:tcPr>
          <w:p w14:paraId="3D8635B4" w14:textId="77777777" w:rsidR="007557BF" w:rsidRPr="00F01347" w:rsidRDefault="007557BF" w:rsidP="007557BF">
            <w:pPr>
              <w:pStyle w:val="texto0"/>
              <w:spacing w:line="252" w:lineRule="exact"/>
              <w:ind w:firstLine="0"/>
              <w:rPr>
                <w:rFonts w:ascii="Verdana" w:hAnsi="Verdana"/>
                <w:sz w:val="16"/>
                <w:szCs w:val="16"/>
              </w:rPr>
            </w:pPr>
            <w:r w:rsidRPr="00F01347">
              <w:rPr>
                <w:rFonts w:ascii="Verdana" w:hAnsi="Verdana"/>
                <w:sz w:val="16"/>
                <w:szCs w:val="16"/>
              </w:rPr>
              <w:t xml:space="preserve">A patrones y blancos, agregar de 1 a 2 </w:t>
            </w:r>
            <w:proofErr w:type="spellStart"/>
            <w:r w:rsidRPr="00F01347">
              <w:rPr>
                <w:rFonts w:ascii="Verdana" w:hAnsi="Verdana"/>
                <w:sz w:val="16"/>
                <w:szCs w:val="16"/>
              </w:rPr>
              <w:t>mL</w:t>
            </w:r>
            <w:proofErr w:type="spellEnd"/>
            <w:r w:rsidRPr="00F01347">
              <w:rPr>
                <w:rFonts w:ascii="Verdana" w:hAnsi="Verdana"/>
                <w:sz w:val="16"/>
                <w:szCs w:val="16"/>
              </w:rPr>
              <w:t xml:space="preserve"> de la disolución amortiguadora o la cantidad necesaria para que las disoluciones alcancen un pH de 10.0 ± 0.01. Posteriormente adicionar 1 a 2 gotas de disolución indicadora o una cantidad apropiada de la formula en polvo (mezcla de indicadores).</w:t>
            </w:r>
          </w:p>
        </w:tc>
        <w:tc>
          <w:tcPr>
            <w:tcW w:w="4675" w:type="dxa"/>
          </w:tcPr>
          <w:p w14:paraId="1B000B0D" w14:textId="541761A8" w:rsidR="007557BF" w:rsidRPr="00F01347" w:rsidRDefault="007557BF" w:rsidP="007557BF">
            <w:pPr>
              <w:pStyle w:val="texto0"/>
              <w:spacing w:line="252" w:lineRule="exact"/>
              <w:ind w:firstLine="0"/>
              <w:rPr>
                <w:rFonts w:ascii="Verdana" w:hAnsi="Verdana"/>
                <w:sz w:val="16"/>
                <w:szCs w:val="16"/>
                <w:lang w:val="en-US"/>
              </w:rPr>
            </w:pPr>
            <w:r w:rsidRPr="00F01347">
              <w:rPr>
                <w:rFonts w:ascii="Verdana" w:hAnsi="Verdana"/>
                <w:sz w:val="16"/>
                <w:szCs w:val="16"/>
                <w:lang w:val="en-US"/>
              </w:rPr>
              <w:t>To standards and blanks, add 1 to 2 mL of the buffer solution or the amount necessary for the solutions to reach a pH of 10.0 ± 0.01. Subsequently add 1 to 2 drops of indicator solution or an appropriate amount of the powder formula (indicator mixture).</w:t>
            </w:r>
          </w:p>
        </w:tc>
      </w:tr>
      <w:tr w:rsidR="007557BF" w:rsidRPr="00F01347" w14:paraId="60477BF0" w14:textId="76C21B02" w:rsidTr="00A5493F">
        <w:tc>
          <w:tcPr>
            <w:tcW w:w="4675" w:type="dxa"/>
          </w:tcPr>
          <w:p w14:paraId="4D521048" w14:textId="77777777" w:rsidR="007557BF" w:rsidRPr="00F01347" w:rsidRDefault="007557BF" w:rsidP="007557BF">
            <w:pPr>
              <w:pStyle w:val="texto0"/>
              <w:spacing w:line="252" w:lineRule="exact"/>
              <w:ind w:firstLine="0"/>
              <w:rPr>
                <w:rFonts w:ascii="Verdana" w:hAnsi="Verdana"/>
                <w:sz w:val="16"/>
                <w:szCs w:val="16"/>
              </w:rPr>
            </w:pPr>
            <w:r w:rsidRPr="00F01347">
              <w:rPr>
                <w:rFonts w:ascii="Verdana" w:hAnsi="Verdana"/>
                <w:sz w:val="16"/>
                <w:szCs w:val="16"/>
              </w:rPr>
              <w:t>Titular los patrones y blancos con la disolución de EDTA 0.0 1 M hasta el vire de violeta a azul.</w:t>
            </w:r>
          </w:p>
        </w:tc>
        <w:tc>
          <w:tcPr>
            <w:tcW w:w="4675" w:type="dxa"/>
          </w:tcPr>
          <w:p w14:paraId="0F930C46" w14:textId="200A4718" w:rsidR="007557BF" w:rsidRPr="00F01347" w:rsidRDefault="007557BF" w:rsidP="007557BF">
            <w:pPr>
              <w:pStyle w:val="texto0"/>
              <w:spacing w:line="252" w:lineRule="exact"/>
              <w:ind w:firstLine="0"/>
              <w:rPr>
                <w:rFonts w:ascii="Verdana" w:hAnsi="Verdana"/>
                <w:sz w:val="16"/>
                <w:szCs w:val="16"/>
                <w:lang w:val="en-US"/>
              </w:rPr>
            </w:pPr>
            <w:r w:rsidRPr="00F01347">
              <w:rPr>
                <w:rFonts w:ascii="Verdana" w:hAnsi="Verdana"/>
                <w:sz w:val="16"/>
                <w:szCs w:val="16"/>
                <w:lang w:val="en-US"/>
              </w:rPr>
              <w:t>Titrate the standards and blanks with the 0.0 1 M EDTA solution until they turn from violet to blue.</w:t>
            </w:r>
          </w:p>
        </w:tc>
      </w:tr>
      <w:tr w:rsidR="007557BF" w:rsidRPr="00F01347" w14:paraId="5DFABB7F" w14:textId="6A4810A6" w:rsidTr="00A5493F">
        <w:tc>
          <w:tcPr>
            <w:tcW w:w="4675" w:type="dxa"/>
          </w:tcPr>
          <w:p w14:paraId="316A819A" w14:textId="77777777" w:rsidR="007557BF" w:rsidRPr="00F01347" w:rsidRDefault="007557BF" w:rsidP="007557BF">
            <w:pPr>
              <w:pStyle w:val="texto0"/>
              <w:spacing w:line="252" w:lineRule="exact"/>
              <w:ind w:firstLine="0"/>
              <w:rPr>
                <w:rFonts w:ascii="Verdana" w:hAnsi="Verdana"/>
                <w:sz w:val="16"/>
                <w:szCs w:val="16"/>
              </w:rPr>
            </w:pPr>
            <w:r w:rsidRPr="00F01347">
              <w:rPr>
                <w:rFonts w:ascii="Verdana" w:hAnsi="Verdana"/>
                <w:sz w:val="16"/>
                <w:szCs w:val="16"/>
              </w:rPr>
              <w:t>Calcular el factor F con la fórmula siguiente:</w:t>
            </w:r>
          </w:p>
        </w:tc>
        <w:tc>
          <w:tcPr>
            <w:tcW w:w="4675" w:type="dxa"/>
          </w:tcPr>
          <w:p w14:paraId="69B3AA49" w14:textId="45562E1F" w:rsidR="007557BF" w:rsidRPr="00F01347" w:rsidRDefault="007557BF" w:rsidP="007557BF">
            <w:pPr>
              <w:pStyle w:val="texto0"/>
              <w:spacing w:line="252" w:lineRule="exact"/>
              <w:ind w:firstLine="0"/>
              <w:rPr>
                <w:rFonts w:ascii="Verdana" w:hAnsi="Verdana"/>
                <w:sz w:val="16"/>
                <w:szCs w:val="16"/>
                <w:lang w:val="en-US"/>
              </w:rPr>
            </w:pPr>
            <w:r w:rsidRPr="00F01347">
              <w:rPr>
                <w:rFonts w:ascii="Verdana" w:hAnsi="Verdana"/>
                <w:sz w:val="16"/>
                <w:szCs w:val="16"/>
                <w:lang w:val="en-US"/>
              </w:rPr>
              <w:t>Calculate the F factor with the following formula:</w:t>
            </w:r>
          </w:p>
        </w:tc>
      </w:tr>
    </w:tbl>
    <w:p w14:paraId="45882B03" w14:textId="7785473D" w:rsidR="00A74CDF" w:rsidRPr="00F01347" w:rsidRDefault="00471638" w:rsidP="003A601B">
      <w:pPr>
        <w:pStyle w:val="texto0"/>
        <w:spacing w:line="240" w:lineRule="auto"/>
        <w:ind w:firstLine="0"/>
        <w:jc w:val="center"/>
        <w:rPr>
          <w:rFonts w:ascii="Verdana" w:hAnsi="Verdana"/>
          <w:sz w:val="16"/>
          <w:szCs w:val="16"/>
        </w:rPr>
      </w:pPr>
      <w:r w:rsidRPr="00F01347">
        <w:rPr>
          <w:rFonts w:ascii="Verdana" w:hAnsi="Verdana"/>
          <w:noProof/>
          <w:sz w:val="16"/>
          <w:szCs w:val="16"/>
        </w:rPr>
        <w:drawing>
          <wp:inline distT="0" distB="0" distL="0" distR="0" wp14:anchorId="769CB260" wp14:editId="757A7FC9">
            <wp:extent cx="3933825" cy="381000"/>
            <wp:effectExtent l="0" t="0" r="0" b="0"/>
            <wp:docPr id="5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33825" cy="381000"/>
                    </a:xfrm>
                    <a:prstGeom prst="rect">
                      <a:avLst/>
                    </a:prstGeom>
                    <a:noFill/>
                    <a:ln>
                      <a:noFill/>
                    </a:ln>
                  </pic:spPr>
                </pic:pic>
              </a:graphicData>
            </a:graphic>
          </wp:inline>
        </w:drawing>
      </w:r>
    </w:p>
    <w:p w14:paraId="4228324F" w14:textId="548FDFFA" w:rsidR="004407DB" w:rsidRPr="00F01347" w:rsidRDefault="004407DB" w:rsidP="003A601B">
      <w:pPr>
        <w:pStyle w:val="texto0"/>
        <w:spacing w:line="240" w:lineRule="auto"/>
        <w:ind w:firstLine="0"/>
        <w:jc w:val="center"/>
        <w:rPr>
          <w:rFonts w:ascii="Verdana" w:hAnsi="Verdana"/>
          <w:sz w:val="16"/>
          <w:szCs w:val="16"/>
        </w:rPr>
      </w:pPr>
      <w:r w:rsidRPr="00F01347">
        <w:rPr>
          <w:noProof/>
        </w:rPr>
        <w:drawing>
          <wp:inline distT="0" distB="0" distL="0" distR="0" wp14:anchorId="2E905A08" wp14:editId="13E0314C">
            <wp:extent cx="4305586" cy="469900"/>
            <wp:effectExtent l="0" t="0" r="0" b="6350"/>
            <wp:docPr id="1713760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6095" name="Picture 1" descr="A screenshot of a computer&#10;&#10;Description automatically generated"/>
                    <pic:cNvPicPr/>
                  </pic:nvPicPr>
                  <pic:blipFill rotWithShape="1">
                    <a:blip r:embed="rId79"/>
                    <a:srcRect l="41929" t="43337" r="15380" b="48380"/>
                    <a:stretch/>
                  </pic:blipFill>
                  <pic:spPr bwMode="auto">
                    <a:xfrm>
                      <a:off x="0" y="0"/>
                      <a:ext cx="4312540" cy="470659"/>
                    </a:xfrm>
                    <a:prstGeom prst="rect">
                      <a:avLst/>
                    </a:prstGeom>
                    <a:ln>
                      <a:noFill/>
                    </a:ln>
                    <a:extLst>
                      <a:ext uri="{53640926-AAD7-44D8-BBD7-CCE9431645EC}">
                        <a14:shadowObscured xmlns:a14="http://schemas.microsoft.com/office/drawing/2010/main"/>
                      </a:ext>
                    </a:extLst>
                  </pic:spPr>
                </pic:pic>
              </a:graphicData>
            </a:graphic>
          </wp:inline>
        </w:drawing>
      </w:r>
    </w:p>
    <w:p w14:paraId="0A3CAB9A" w14:textId="77777777" w:rsidR="004407DB" w:rsidRPr="00F01347" w:rsidRDefault="004407DB" w:rsidP="003A601B">
      <w:pPr>
        <w:pStyle w:val="texto0"/>
        <w:spacing w:line="240" w:lineRule="au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20183" w:rsidRPr="00F01347" w14:paraId="4CD334EA" w14:textId="346E7ED7" w:rsidTr="004407DB">
        <w:tc>
          <w:tcPr>
            <w:tcW w:w="4675" w:type="dxa"/>
          </w:tcPr>
          <w:p w14:paraId="51E4AD25" w14:textId="77777777" w:rsidR="00E20183" w:rsidRPr="00F01347" w:rsidRDefault="00E20183" w:rsidP="00E20183">
            <w:pPr>
              <w:pStyle w:val="texto0"/>
              <w:spacing w:line="240" w:lineRule="exact"/>
              <w:ind w:firstLine="0"/>
              <w:rPr>
                <w:rFonts w:ascii="Verdana" w:hAnsi="Verdana"/>
                <w:b/>
                <w:sz w:val="16"/>
                <w:szCs w:val="16"/>
              </w:rPr>
            </w:pPr>
            <w:r w:rsidRPr="00F01347">
              <w:rPr>
                <w:rFonts w:ascii="Verdana" w:hAnsi="Verdana"/>
                <w:b/>
                <w:sz w:val="16"/>
                <w:szCs w:val="16"/>
              </w:rPr>
              <w:lastRenderedPageBreak/>
              <w:t>B.10.6.2 Procedimiento analítico</w:t>
            </w:r>
          </w:p>
        </w:tc>
        <w:tc>
          <w:tcPr>
            <w:tcW w:w="4675" w:type="dxa"/>
          </w:tcPr>
          <w:p w14:paraId="0E04CA03" w14:textId="4AFB1AC8" w:rsidR="00E20183" w:rsidRPr="00F01347" w:rsidRDefault="00E20183" w:rsidP="00E20183">
            <w:pPr>
              <w:pStyle w:val="texto0"/>
              <w:spacing w:line="240" w:lineRule="exact"/>
              <w:ind w:firstLine="0"/>
              <w:rPr>
                <w:rFonts w:ascii="Verdana" w:hAnsi="Verdana"/>
                <w:b/>
                <w:sz w:val="16"/>
                <w:szCs w:val="16"/>
                <w:lang w:val="en-US"/>
              </w:rPr>
            </w:pPr>
            <w:r w:rsidRPr="00F01347">
              <w:rPr>
                <w:rFonts w:ascii="Verdana" w:hAnsi="Verdana"/>
                <w:b/>
                <w:sz w:val="16"/>
                <w:szCs w:val="16"/>
                <w:lang w:val="en-US"/>
              </w:rPr>
              <w:t>B.10.6.2 Analytical procedure</w:t>
            </w:r>
          </w:p>
        </w:tc>
      </w:tr>
      <w:tr w:rsidR="00E20183" w:rsidRPr="00F01347" w14:paraId="2401E713" w14:textId="53FE3D9C" w:rsidTr="004407DB">
        <w:tc>
          <w:tcPr>
            <w:tcW w:w="4675" w:type="dxa"/>
          </w:tcPr>
          <w:p w14:paraId="5DA1D1FE" w14:textId="77777777" w:rsidR="00E20183" w:rsidRPr="00F01347" w:rsidRDefault="00E20183" w:rsidP="00E20183">
            <w:pPr>
              <w:pStyle w:val="texto0"/>
              <w:spacing w:line="240" w:lineRule="exact"/>
              <w:ind w:firstLine="0"/>
              <w:rPr>
                <w:rFonts w:ascii="Verdana" w:hAnsi="Verdana"/>
                <w:sz w:val="16"/>
                <w:szCs w:val="16"/>
              </w:rPr>
            </w:pPr>
            <w:r w:rsidRPr="00F01347">
              <w:rPr>
                <w:rFonts w:ascii="Verdana" w:hAnsi="Verdana"/>
                <w:sz w:val="16"/>
                <w:szCs w:val="16"/>
              </w:rPr>
              <w:t xml:space="preserve">B.10.6.2.1 Medir una alícuota de 50 </w:t>
            </w:r>
            <w:proofErr w:type="spellStart"/>
            <w:r w:rsidRPr="00F01347">
              <w:rPr>
                <w:rFonts w:ascii="Verdana" w:hAnsi="Verdana"/>
                <w:sz w:val="16"/>
                <w:szCs w:val="16"/>
              </w:rPr>
              <w:t>mL</w:t>
            </w:r>
            <w:proofErr w:type="spellEnd"/>
            <w:r w:rsidRPr="00F01347">
              <w:rPr>
                <w:rFonts w:ascii="Verdana" w:hAnsi="Verdana"/>
                <w:sz w:val="16"/>
                <w:szCs w:val="16"/>
              </w:rPr>
              <w:t xml:space="preserve"> de muestra, transferir a matraces Erlenmeyer de 250 </w:t>
            </w:r>
            <w:proofErr w:type="spellStart"/>
            <w:r w:rsidRPr="00F01347">
              <w:rPr>
                <w:rFonts w:ascii="Verdana" w:hAnsi="Verdana"/>
                <w:sz w:val="16"/>
                <w:szCs w:val="16"/>
              </w:rPr>
              <w:t>mL</w:t>
            </w:r>
            <w:proofErr w:type="spellEnd"/>
            <w:r w:rsidRPr="00F01347">
              <w:rPr>
                <w:rFonts w:ascii="Verdana" w:hAnsi="Verdana"/>
                <w:sz w:val="16"/>
                <w:szCs w:val="16"/>
              </w:rPr>
              <w:t>, preparar las muestras por triplicado.</w:t>
            </w:r>
          </w:p>
        </w:tc>
        <w:tc>
          <w:tcPr>
            <w:tcW w:w="4675" w:type="dxa"/>
          </w:tcPr>
          <w:p w14:paraId="5B8E7EA2" w14:textId="368DB4F7" w:rsidR="00E20183" w:rsidRPr="00F01347" w:rsidRDefault="00E20183" w:rsidP="00E20183">
            <w:pPr>
              <w:pStyle w:val="texto0"/>
              <w:spacing w:line="240" w:lineRule="exact"/>
              <w:ind w:firstLine="0"/>
              <w:rPr>
                <w:rFonts w:ascii="Verdana" w:hAnsi="Verdana"/>
                <w:sz w:val="16"/>
                <w:szCs w:val="16"/>
                <w:lang w:val="en-US"/>
              </w:rPr>
            </w:pPr>
            <w:r w:rsidRPr="00F01347">
              <w:rPr>
                <w:rFonts w:ascii="Verdana" w:hAnsi="Verdana"/>
                <w:sz w:val="16"/>
                <w:szCs w:val="16"/>
                <w:lang w:val="en-US"/>
              </w:rPr>
              <w:t>B.10.6.2.1 Measure a 50 mL aliquot of sample, transfer to 250 mL Erlenmeyer flasks</w:t>
            </w:r>
            <w:r w:rsidR="003E1BA9" w:rsidRPr="00F01347">
              <w:rPr>
                <w:rFonts w:ascii="Verdana" w:hAnsi="Verdana"/>
                <w:sz w:val="16"/>
                <w:szCs w:val="16"/>
                <w:lang w:val="en-US"/>
              </w:rPr>
              <w:t>,</w:t>
            </w:r>
            <w:r w:rsidRPr="00F01347">
              <w:rPr>
                <w:rFonts w:ascii="Verdana" w:hAnsi="Verdana"/>
                <w:sz w:val="16"/>
                <w:szCs w:val="16"/>
                <w:lang w:val="en-US"/>
              </w:rPr>
              <w:t xml:space="preserve"> prepare samples in triplicate.</w:t>
            </w:r>
          </w:p>
        </w:tc>
      </w:tr>
      <w:tr w:rsidR="00E20183" w:rsidRPr="00F01347" w14:paraId="474FF65B" w14:textId="3095EE90" w:rsidTr="004407DB">
        <w:tc>
          <w:tcPr>
            <w:tcW w:w="4675" w:type="dxa"/>
          </w:tcPr>
          <w:p w14:paraId="780A89A8" w14:textId="77777777" w:rsidR="00E20183" w:rsidRPr="00F01347" w:rsidRDefault="00E20183" w:rsidP="00E20183">
            <w:pPr>
              <w:pStyle w:val="texto0"/>
              <w:spacing w:line="240" w:lineRule="exact"/>
              <w:ind w:firstLine="0"/>
              <w:rPr>
                <w:rFonts w:ascii="Verdana" w:hAnsi="Verdana"/>
                <w:sz w:val="16"/>
                <w:szCs w:val="16"/>
              </w:rPr>
            </w:pPr>
            <w:r w:rsidRPr="00F01347">
              <w:rPr>
                <w:rFonts w:ascii="Verdana" w:hAnsi="Verdana"/>
                <w:sz w:val="16"/>
                <w:szCs w:val="16"/>
              </w:rPr>
              <w:t xml:space="preserve">Adicionar 1 </w:t>
            </w:r>
            <w:proofErr w:type="spellStart"/>
            <w:r w:rsidRPr="00F01347">
              <w:rPr>
                <w:rFonts w:ascii="Verdana" w:hAnsi="Verdana"/>
                <w:sz w:val="16"/>
                <w:szCs w:val="16"/>
              </w:rPr>
              <w:t>mL</w:t>
            </w:r>
            <w:proofErr w:type="spellEnd"/>
            <w:r w:rsidRPr="00F01347">
              <w:rPr>
                <w:rFonts w:ascii="Verdana" w:hAnsi="Verdana"/>
                <w:sz w:val="16"/>
                <w:szCs w:val="16"/>
              </w:rPr>
              <w:t xml:space="preserve"> de disolución amortiguadora y agitar. Si es necesario, agregar más disolución amortiguadora hasta alcanzar un pH de 10. La titulación debe efectuarse a un pH específico de 10.0±0.1. Verificar y registrar la lectura de pH.</w:t>
            </w:r>
          </w:p>
        </w:tc>
        <w:tc>
          <w:tcPr>
            <w:tcW w:w="4675" w:type="dxa"/>
          </w:tcPr>
          <w:p w14:paraId="02EDCD3A" w14:textId="7E5B74F9" w:rsidR="00E20183" w:rsidRPr="00F01347" w:rsidRDefault="00E20183" w:rsidP="00E20183">
            <w:pPr>
              <w:pStyle w:val="texto0"/>
              <w:spacing w:line="240" w:lineRule="exact"/>
              <w:ind w:firstLine="0"/>
              <w:rPr>
                <w:rFonts w:ascii="Verdana" w:hAnsi="Verdana"/>
                <w:sz w:val="16"/>
                <w:szCs w:val="16"/>
                <w:lang w:val="en-US"/>
              </w:rPr>
            </w:pPr>
            <w:r w:rsidRPr="00F01347">
              <w:rPr>
                <w:rFonts w:ascii="Verdana" w:hAnsi="Verdana"/>
                <w:sz w:val="16"/>
                <w:szCs w:val="16"/>
                <w:lang w:val="en-US"/>
              </w:rPr>
              <w:t>Add 1 mL of buffer solution and shake. If necessary, add more buffer solution until a pH of 10 is reached. The titration should be carried out at a specific pH of 10.0±0.1. Check and record the pH reading.</w:t>
            </w:r>
          </w:p>
        </w:tc>
      </w:tr>
      <w:tr w:rsidR="00E20183" w:rsidRPr="00F01347" w14:paraId="715A89B5" w14:textId="2DFE6152" w:rsidTr="004407DB">
        <w:tc>
          <w:tcPr>
            <w:tcW w:w="4675" w:type="dxa"/>
          </w:tcPr>
          <w:p w14:paraId="61AAD281" w14:textId="77777777" w:rsidR="00E20183" w:rsidRPr="00F01347" w:rsidRDefault="00E20183" w:rsidP="00E20183">
            <w:pPr>
              <w:pStyle w:val="texto0"/>
              <w:spacing w:line="240" w:lineRule="exact"/>
              <w:ind w:firstLine="0"/>
              <w:rPr>
                <w:rFonts w:ascii="Verdana" w:hAnsi="Verdana"/>
                <w:sz w:val="16"/>
                <w:szCs w:val="16"/>
              </w:rPr>
            </w:pPr>
            <w:r w:rsidRPr="00F01347">
              <w:rPr>
                <w:rFonts w:ascii="Verdana" w:hAnsi="Verdana"/>
                <w:sz w:val="16"/>
                <w:szCs w:val="16"/>
              </w:rPr>
              <w:t>Adicionar 1 a 2 gotas de disolución indicadora o una cantidad apropiada de la formula en polvo (mezcla de indicadores), de tal manera que se perciba el vire característico de color violeta a color azul. Si la muestra da inmediatamente un color azul, significa que no tiene dureza.</w:t>
            </w:r>
          </w:p>
        </w:tc>
        <w:tc>
          <w:tcPr>
            <w:tcW w:w="4675" w:type="dxa"/>
          </w:tcPr>
          <w:p w14:paraId="12E84D00" w14:textId="15A38299" w:rsidR="00E20183" w:rsidRPr="00F01347" w:rsidRDefault="00E20183" w:rsidP="00E20183">
            <w:pPr>
              <w:pStyle w:val="texto0"/>
              <w:spacing w:line="240" w:lineRule="exact"/>
              <w:ind w:firstLine="0"/>
              <w:rPr>
                <w:rFonts w:ascii="Verdana" w:hAnsi="Verdana"/>
                <w:sz w:val="16"/>
                <w:szCs w:val="16"/>
                <w:lang w:val="en-US"/>
              </w:rPr>
            </w:pPr>
            <w:r w:rsidRPr="00F01347">
              <w:rPr>
                <w:rFonts w:ascii="Verdana" w:hAnsi="Verdana"/>
                <w:sz w:val="16"/>
                <w:szCs w:val="16"/>
                <w:lang w:val="en-US"/>
              </w:rPr>
              <w:t>Add 1 to 2 drops of indicator solution or an appropriate amount of the powder formula (indicator mixture), in such a way that the characteristic change from violet to blue color is perceived. If the sample immediately turns blue, it means that it has no hardness.</w:t>
            </w:r>
          </w:p>
        </w:tc>
      </w:tr>
      <w:tr w:rsidR="00E20183" w:rsidRPr="00F01347" w14:paraId="7BB61B74" w14:textId="10CDD1B3" w:rsidTr="004407DB">
        <w:tc>
          <w:tcPr>
            <w:tcW w:w="4675" w:type="dxa"/>
          </w:tcPr>
          <w:p w14:paraId="3961E5B5" w14:textId="77777777" w:rsidR="00E20183" w:rsidRPr="00F01347" w:rsidRDefault="00E20183" w:rsidP="00E20183">
            <w:pPr>
              <w:pStyle w:val="texto0"/>
              <w:spacing w:line="240" w:lineRule="exact"/>
              <w:ind w:firstLine="0"/>
              <w:rPr>
                <w:rFonts w:ascii="Verdana" w:hAnsi="Verdana"/>
                <w:sz w:val="16"/>
                <w:szCs w:val="16"/>
              </w:rPr>
            </w:pPr>
            <w:r w:rsidRPr="00F01347">
              <w:rPr>
                <w:rFonts w:ascii="Verdana" w:hAnsi="Verdana"/>
                <w:sz w:val="16"/>
                <w:szCs w:val="16"/>
              </w:rPr>
              <w:t>Titular la muestra agregando gota a gota la disolución titulante de EDTA, agitando continuamente hasta el punto final en que se produce el cambio de color rojo vino a azul.</w:t>
            </w:r>
          </w:p>
        </w:tc>
        <w:tc>
          <w:tcPr>
            <w:tcW w:w="4675" w:type="dxa"/>
          </w:tcPr>
          <w:p w14:paraId="42F26E55" w14:textId="3CD5F116" w:rsidR="00E20183" w:rsidRPr="00F01347" w:rsidRDefault="00E20183" w:rsidP="00E20183">
            <w:pPr>
              <w:pStyle w:val="texto0"/>
              <w:spacing w:line="240" w:lineRule="exact"/>
              <w:ind w:firstLine="0"/>
              <w:rPr>
                <w:rFonts w:ascii="Verdana" w:hAnsi="Verdana"/>
                <w:sz w:val="16"/>
                <w:szCs w:val="16"/>
                <w:lang w:val="en-US"/>
              </w:rPr>
            </w:pPr>
            <w:r w:rsidRPr="00F01347">
              <w:rPr>
                <w:rFonts w:ascii="Verdana" w:hAnsi="Verdana"/>
                <w:sz w:val="16"/>
                <w:szCs w:val="16"/>
                <w:lang w:val="en-US"/>
              </w:rPr>
              <w:t>Titrate the sample by adding the EDTA titrant solution drop by drop, stirring continuously until the final point at which the color change from wine red to blue occurs.</w:t>
            </w:r>
          </w:p>
        </w:tc>
      </w:tr>
      <w:tr w:rsidR="00E20183" w:rsidRPr="00F01347" w14:paraId="3126A84E" w14:textId="6AE7A720" w:rsidTr="004407DB">
        <w:tc>
          <w:tcPr>
            <w:tcW w:w="4675" w:type="dxa"/>
          </w:tcPr>
          <w:p w14:paraId="14483504" w14:textId="77777777" w:rsidR="00E20183" w:rsidRPr="00F01347" w:rsidRDefault="00E20183" w:rsidP="00E20183">
            <w:pPr>
              <w:pStyle w:val="texto0"/>
              <w:spacing w:line="236" w:lineRule="exact"/>
              <w:ind w:firstLine="0"/>
              <w:rPr>
                <w:rFonts w:ascii="Verdana" w:hAnsi="Verdana"/>
                <w:sz w:val="16"/>
                <w:szCs w:val="16"/>
              </w:rPr>
            </w:pPr>
            <w:r w:rsidRPr="00F01347">
              <w:rPr>
                <w:rFonts w:ascii="Verdana" w:hAnsi="Verdana"/>
                <w:sz w:val="16"/>
                <w:szCs w:val="16"/>
              </w:rPr>
              <w:t xml:space="preserve">Los </w:t>
            </w:r>
            <w:proofErr w:type="spellStart"/>
            <w:r w:rsidRPr="00F01347">
              <w:rPr>
                <w:rFonts w:ascii="Verdana" w:hAnsi="Verdana"/>
                <w:sz w:val="16"/>
                <w:szCs w:val="16"/>
              </w:rPr>
              <w:t>mL</w:t>
            </w:r>
            <w:proofErr w:type="spellEnd"/>
            <w:r w:rsidRPr="00F01347">
              <w:rPr>
                <w:rFonts w:ascii="Verdana" w:hAnsi="Verdana"/>
                <w:sz w:val="16"/>
                <w:szCs w:val="16"/>
              </w:rPr>
              <w:t xml:space="preserve"> gastados de disolución de EDTA deben ser menores a 15 </w:t>
            </w:r>
            <w:proofErr w:type="spellStart"/>
            <w:r w:rsidRPr="00F01347">
              <w:rPr>
                <w:rFonts w:ascii="Verdana" w:hAnsi="Verdana"/>
                <w:sz w:val="16"/>
                <w:szCs w:val="16"/>
              </w:rPr>
              <w:t>mL</w:t>
            </w:r>
            <w:proofErr w:type="spellEnd"/>
            <w:r w:rsidRPr="00F01347">
              <w:rPr>
                <w:rFonts w:ascii="Verdana" w:hAnsi="Verdana"/>
                <w:sz w:val="16"/>
                <w:szCs w:val="16"/>
              </w:rPr>
              <w:t xml:space="preserve"> en caso contrario diluir la muestra.</w:t>
            </w:r>
          </w:p>
        </w:tc>
        <w:tc>
          <w:tcPr>
            <w:tcW w:w="4675" w:type="dxa"/>
          </w:tcPr>
          <w:p w14:paraId="5403758D" w14:textId="1F5A3090" w:rsidR="00E20183" w:rsidRPr="00F01347" w:rsidRDefault="00E20183" w:rsidP="00E20183">
            <w:pPr>
              <w:pStyle w:val="texto0"/>
              <w:spacing w:line="236" w:lineRule="exact"/>
              <w:ind w:firstLine="0"/>
              <w:rPr>
                <w:rFonts w:ascii="Verdana" w:hAnsi="Verdana"/>
                <w:sz w:val="16"/>
                <w:szCs w:val="16"/>
                <w:lang w:val="en-US"/>
              </w:rPr>
            </w:pPr>
            <w:r w:rsidRPr="00F01347">
              <w:rPr>
                <w:rFonts w:ascii="Verdana" w:hAnsi="Verdana"/>
                <w:sz w:val="16"/>
                <w:szCs w:val="16"/>
                <w:lang w:val="en-US"/>
              </w:rPr>
              <w:t>The mL spent of EDTA solution must be less than 15 mL</w:t>
            </w:r>
            <w:r w:rsidR="003E1BA9" w:rsidRPr="00F01347">
              <w:rPr>
                <w:rFonts w:ascii="Verdana" w:hAnsi="Verdana"/>
                <w:sz w:val="16"/>
                <w:szCs w:val="16"/>
                <w:lang w:val="en-US"/>
              </w:rPr>
              <w:t>,</w:t>
            </w:r>
            <w:r w:rsidRPr="00F01347">
              <w:rPr>
                <w:rFonts w:ascii="Verdana" w:hAnsi="Verdana"/>
                <w:sz w:val="16"/>
                <w:szCs w:val="16"/>
                <w:lang w:val="en-US"/>
              </w:rPr>
              <w:t xml:space="preserve"> otherwise dilute the sample.</w:t>
            </w:r>
          </w:p>
        </w:tc>
      </w:tr>
      <w:tr w:rsidR="00E20183" w:rsidRPr="00F01347" w14:paraId="0F464C42" w14:textId="344BAE13" w:rsidTr="004407DB">
        <w:tc>
          <w:tcPr>
            <w:tcW w:w="4675" w:type="dxa"/>
          </w:tcPr>
          <w:p w14:paraId="3313879C" w14:textId="77777777" w:rsidR="00E20183" w:rsidRPr="00F01347" w:rsidRDefault="00E20183" w:rsidP="00E20183">
            <w:pPr>
              <w:pStyle w:val="texto0"/>
              <w:spacing w:line="236" w:lineRule="exact"/>
              <w:ind w:firstLine="0"/>
              <w:rPr>
                <w:rFonts w:ascii="Verdana" w:hAnsi="Verdana"/>
                <w:sz w:val="16"/>
                <w:szCs w:val="16"/>
              </w:rPr>
            </w:pPr>
            <w:r w:rsidRPr="00F01347">
              <w:rPr>
                <w:rFonts w:ascii="Verdana" w:hAnsi="Verdana"/>
                <w:sz w:val="16"/>
                <w:szCs w:val="16"/>
              </w:rPr>
              <w:t xml:space="preserve">En caso de que no se aprecie el vire, será necesario usar indicador recién hecho y/o agregar inhibidor y/o aplicar digestión, </w:t>
            </w:r>
            <w:proofErr w:type="gramStart"/>
            <w:r w:rsidRPr="00F01347">
              <w:rPr>
                <w:rFonts w:ascii="Verdana" w:hAnsi="Verdana"/>
                <w:sz w:val="16"/>
                <w:szCs w:val="16"/>
              </w:rPr>
              <w:t>de acuerdo a</w:t>
            </w:r>
            <w:proofErr w:type="gramEnd"/>
            <w:r w:rsidRPr="00F01347">
              <w:rPr>
                <w:rFonts w:ascii="Verdana" w:hAnsi="Verdana"/>
                <w:sz w:val="16"/>
                <w:szCs w:val="16"/>
              </w:rPr>
              <w:t xml:space="preserve"> la supuesta interferencia presente. Puede ser necesario seguir procesos de eliminación de interferencias </w:t>
            </w:r>
            <w:proofErr w:type="gramStart"/>
            <w:r w:rsidRPr="00F01347">
              <w:rPr>
                <w:rFonts w:ascii="Verdana" w:hAnsi="Verdana"/>
                <w:sz w:val="16"/>
                <w:szCs w:val="16"/>
              </w:rPr>
              <w:t>de acuerdo a</w:t>
            </w:r>
            <w:proofErr w:type="gramEnd"/>
            <w:r w:rsidRPr="00F01347">
              <w:rPr>
                <w:rFonts w:ascii="Verdana" w:hAnsi="Verdana"/>
                <w:sz w:val="16"/>
                <w:szCs w:val="16"/>
              </w:rPr>
              <w:t xml:space="preserve"> lo indicado anteriormente.</w:t>
            </w:r>
          </w:p>
        </w:tc>
        <w:tc>
          <w:tcPr>
            <w:tcW w:w="4675" w:type="dxa"/>
          </w:tcPr>
          <w:p w14:paraId="5661F0E8" w14:textId="5C863A81" w:rsidR="00E20183" w:rsidRPr="00F01347" w:rsidRDefault="00E20183" w:rsidP="00E20183">
            <w:pPr>
              <w:pStyle w:val="texto0"/>
              <w:spacing w:line="236" w:lineRule="exact"/>
              <w:ind w:firstLine="0"/>
              <w:rPr>
                <w:rFonts w:ascii="Verdana" w:hAnsi="Verdana"/>
                <w:sz w:val="16"/>
                <w:szCs w:val="16"/>
                <w:lang w:val="en-US"/>
              </w:rPr>
            </w:pPr>
            <w:r w:rsidRPr="00F01347">
              <w:rPr>
                <w:rFonts w:ascii="Verdana" w:hAnsi="Verdana"/>
                <w:sz w:val="16"/>
                <w:szCs w:val="16"/>
                <w:lang w:val="en-US"/>
              </w:rPr>
              <w:t>If the turn is not appreciated, it will be necessary to use freshly made indicator and/or add inhibitor and/or apply digestion, according to the supposed interference present. It may be necessary to follow interference elimination procedures as indicated above.</w:t>
            </w:r>
          </w:p>
        </w:tc>
      </w:tr>
      <w:tr w:rsidR="00E20183" w:rsidRPr="00F01347" w14:paraId="65D111E3" w14:textId="28035D6A" w:rsidTr="004407DB">
        <w:tc>
          <w:tcPr>
            <w:tcW w:w="4675" w:type="dxa"/>
          </w:tcPr>
          <w:p w14:paraId="16E838A0" w14:textId="77777777" w:rsidR="00E20183" w:rsidRPr="00F01347" w:rsidRDefault="00E20183" w:rsidP="00E20183">
            <w:pPr>
              <w:pStyle w:val="texto0"/>
              <w:spacing w:line="236" w:lineRule="exact"/>
              <w:ind w:firstLine="0"/>
              <w:rPr>
                <w:rFonts w:ascii="Verdana" w:hAnsi="Verdana"/>
                <w:sz w:val="16"/>
                <w:szCs w:val="16"/>
              </w:rPr>
            </w:pPr>
            <w:r w:rsidRPr="00F01347">
              <w:rPr>
                <w:rFonts w:ascii="Verdana" w:hAnsi="Verdana"/>
                <w:sz w:val="16"/>
                <w:szCs w:val="16"/>
              </w:rPr>
              <w:t xml:space="preserve">B.10.6.2.2 Preparar una muestra fortificada en la misma proporción que la muestra, agregar 2.5 </w:t>
            </w:r>
            <w:proofErr w:type="spellStart"/>
            <w:r w:rsidRPr="00F01347">
              <w:rPr>
                <w:rFonts w:ascii="Verdana" w:hAnsi="Verdana"/>
                <w:sz w:val="16"/>
                <w:szCs w:val="16"/>
              </w:rPr>
              <w:t>mL</w:t>
            </w:r>
            <w:proofErr w:type="spellEnd"/>
            <w:r w:rsidRPr="00F01347">
              <w:rPr>
                <w:rFonts w:ascii="Verdana" w:hAnsi="Verdana"/>
                <w:sz w:val="16"/>
                <w:szCs w:val="16"/>
              </w:rPr>
              <w:t xml:space="preserve"> de la disolución patrón y seguir el mismo procedimiento que en el punto anterior. Calcular el % de recobro.</w:t>
            </w:r>
          </w:p>
        </w:tc>
        <w:tc>
          <w:tcPr>
            <w:tcW w:w="4675" w:type="dxa"/>
          </w:tcPr>
          <w:p w14:paraId="2423770A" w14:textId="247F5695" w:rsidR="00E20183" w:rsidRPr="00F01347" w:rsidRDefault="00E20183" w:rsidP="00E20183">
            <w:pPr>
              <w:pStyle w:val="texto0"/>
              <w:spacing w:line="236" w:lineRule="exact"/>
              <w:ind w:firstLine="0"/>
              <w:rPr>
                <w:rFonts w:ascii="Verdana" w:hAnsi="Verdana"/>
                <w:sz w:val="16"/>
                <w:szCs w:val="16"/>
                <w:lang w:val="en-US"/>
              </w:rPr>
            </w:pPr>
            <w:r w:rsidRPr="00F01347">
              <w:rPr>
                <w:rFonts w:ascii="Verdana" w:hAnsi="Verdana"/>
                <w:sz w:val="16"/>
                <w:szCs w:val="16"/>
                <w:lang w:val="en-US"/>
              </w:rPr>
              <w:t>B.10.6.2.2 Prepare a fortified sample in the same proportion as the sample, add 2.5 mL of the standard solution and follow the same procedure as in the previous point. Calculate the % recovery.</w:t>
            </w:r>
          </w:p>
        </w:tc>
      </w:tr>
      <w:tr w:rsidR="00E20183" w:rsidRPr="00F01347" w14:paraId="6D167ADB" w14:textId="697787C2" w:rsidTr="004407DB">
        <w:tc>
          <w:tcPr>
            <w:tcW w:w="4675" w:type="dxa"/>
          </w:tcPr>
          <w:p w14:paraId="20A82169" w14:textId="77777777" w:rsidR="00E20183" w:rsidRPr="00F01347" w:rsidRDefault="00E20183" w:rsidP="00E20183">
            <w:pPr>
              <w:pStyle w:val="texto0"/>
              <w:spacing w:line="236" w:lineRule="exact"/>
              <w:ind w:firstLine="0"/>
              <w:rPr>
                <w:rFonts w:ascii="Verdana" w:hAnsi="Verdana"/>
                <w:b/>
                <w:sz w:val="16"/>
                <w:szCs w:val="16"/>
              </w:rPr>
            </w:pPr>
            <w:r w:rsidRPr="00F01347">
              <w:rPr>
                <w:rFonts w:ascii="Verdana" w:hAnsi="Verdana"/>
                <w:b/>
                <w:sz w:val="16"/>
                <w:szCs w:val="16"/>
              </w:rPr>
              <w:t>B.10.6.3 Análisis de datos y cálculos</w:t>
            </w:r>
          </w:p>
        </w:tc>
        <w:tc>
          <w:tcPr>
            <w:tcW w:w="4675" w:type="dxa"/>
          </w:tcPr>
          <w:p w14:paraId="29A00B9F" w14:textId="4429654D" w:rsidR="00E20183" w:rsidRPr="00F01347" w:rsidRDefault="00E20183" w:rsidP="00E20183">
            <w:pPr>
              <w:pStyle w:val="texto0"/>
              <w:spacing w:line="236" w:lineRule="exact"/>
              <w:ind w:firstLine="0"/>
              <w:rPr>
                <w:rFonts w:ascii="Verdana" w:hAnsi="Verdana"/>
                <w:b/>
                <w:sz w:val="16"/>
                <w:szCs w:val="16"/>
                <w:lang w:val="en-US"/>
              </w:rPr>
            </w:pPr>
            <w:r w:rsidRPr="00F01347">
              <w:rPr>
                <w:rFonts w:ascii="Verdana" w:hAnsi="Verdana"/>
                <w:b/>
                <w:sz w:val="16"/>
                <w:szCs w:val="16"/>
                <w:lang w:val="en-US"/>
              </w:rPr>
              <w:t>B.10.6.3 Data analysis and calculations</w:t>
            </w:r>
          </w:p>
        </w:tc>
      </w:tr>
      <w:tr w:rsidR="00E20183" w:rsidRPr="00F01347" w14:paraId="0884CFF2" w14:textId="41103F22" w:rsidTr="004407DB">
        <w:tc>
          <w:tcPr>
            <w:tcW w:w="4675" w:type="dxa"/>
          </w:tcPr>
          <w:p w14:paraId="127408DD" w14:textId="77777777" w:rsidR="00E20183" w:rsidRPr="00F01347" w:rsidRDefault="00E20183" w:rsidP="00E20183">
            <w:pPr>
              <w:pStyle w:val="texto0"/>
              <w:spacing w:line="236" w:lineRule="exact"/>
              <w:ind w:firstLine="0"/>
              <w:rPr>
                <w:rFonts w:ascii="Verdana" w:hAnsi="Verdana"/>
                <w:sz w:val="16"/>
                <w:szCs w:val="16"/>
              </w:rPr>
            </w:pPr>
            <w:r w:rsidRPr="00F01347">
              <w:rPr>
                <w:rFonts w:ascii="Verdana" w:hAnsi="Verdana"/>
                <w:sz w:val="16"/>
                <w:szCs w:val="16"/>
              </w:rPr>
              <w:t>Calcular la dureza total utilizando la siguiente fórmula:</w:t>
            </w:r>
          </w:p>
        </w:tc>
        <w:tc>
          <w:tcPr>
            <w:tcW w:w="4675" w:type="dxa"/>
          </w:tcPr>
          <w:p w14:paraId="2752CBE7" w14:textId="03200648" w:rsidR="00E20183" w:rsidRPr="00F01347" w:rsidRDefault="00E20183" w:rsidP="00E20183">
            <w:pPr>
              <w:pStyle w:val="texto0"/>
              <w:spacing w:line="236" w:lineRule="exact"/>
              <w:ind w:firstLine="0"/>
              <w:rPr>
                <w:rFonts w:ascii="Verdana" w:hAnsi="Verdana"/>
                <w:sz w:val="16"/>
                <w:szCs w:val="16"/>
                <w:lang w:val="en-US"/>
              </w:rPr>
            </w:pPr>
            <w:r w:rsidRPr="00F01347">
              <w:rPr>
                <w:rFonts w:ascii="Verdana" w:hAnsi="Verdana"/>
                <w:sz w:val="16"/>
                <w:szCs w:val="16"/>
                <w:lang w:val="en-US"/>
              </w:rPr>
              <w:t>Calculate the total hardness using the following formula:</w:t>
            </w:r>
          </w:p>
        </w:tc>
      </w:tr>
    </w:tbl>
    <w:p w14:paraId="178CBAC8" w14:textId="5A9C4E5D" w:rsidR="00A74CDF" w:rsidRPr="00F01347" w:rsidRDefault="00471638" w:rsidP="00147FE5">
      <w:pPr>
        <w:pStyle w:val="texto0"/>
        <w:spacing w:line="240" w:lineRule="auto"/>
        <w:ind w:left="630" w:firstLine="0"/>
        <w:jc w:val="center"/>
        <w:rPr>
          <w:rFonts w:ascii="Verdana" w:hAnsi="Verdana"/>
          <w:sz w:val="16"/>
          <w:szCs w:val="16"/>
        </w:rPr>
      </w:pPr>
      <w:r w:rsidRPr="00F01347">
        <w:rPr>
          <w:rFonts w:ascii="Verdana" w:hAnsi="Verdana"/>
          <w:noProof/>
          <w:sz w:val="16"/>
          <w:szCs w:val="16"/>
        </w:rPr>
        <w:drawing>
          <wp:inline distT="0" distB="0" distL="0" distR="0" wp14:anchorId="7474038F" wp14:editId="457CAA41">
            <wp:extent cx="2381250" cy="295275"/>
            <wp:effectExtent l="0" t="0" r="0" b="0"/>
            <wp:docPr id="5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81250" cy="295275"/>
                    </a:xfrm>
                    <a:prstGeom prst="rect">
                      <a:avLst/>
                    </a:prstGeom>
                    <a:noFill/>
                    <a:ln>
                      <a:noFill/>
                    </a:ln>
                  </pic:spPr>
                </pic:pic>
              </a:graphicData>
            </a:graphic>
          </wp:inline>
        </w:drawing>
      </w:r>
    </w:p>
    <w:p w14:paraId="0E2AF716" w14:textId="7DAE6EDE" w:rsidR="00147FE5" w:rsidRPr="00F01347" w:rsidRDefault="00147FE5" w:rsidP="00147FE5">
      <w:pPr>
        <w:pStyle w:val="texto0"/>
        <w:spacing w:line="240" w:lineRule="auto"/>
        <w:ind w:left="630" w:firstLine="0"/>
        <w:jc w:val="center"/>
        <w:rPr>
          <w:rFonts w:ascii="Verdana" w:hAnsi="Verdana"/>
          <w:sz w:val="16"/>
          <w:szCs w:val="16"/>
        </w:rPr>
      </w:pPr>
      <w:r w:rsidRPr="00F01347">
        <w:rPr>
          <w:noProof/>
        </w:rPr>
        <w:drawing>
          <wp:inline distT="0" distB="0" distL="0" distR="0" wp14:anchorId="27E02679" wp14:editId="3C2F31CB">
            <wp:extent cx="2997200" cy="681828"/>
            <wp:effectExtent l="0" t="0" r="0" b="4445"/>
            <wp:docPr id="18089751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75195" name="Picture 1" descr="A screenshot of a computer&#10;&#10;Description automatically generated"/>
                    <pic:cNvPicPr/>
                  </pic:nvPicPr>
                  <pic:blipFill rotWithShape="1">
                    <a:blip r:embed="rId81"/>
                    <a:srcRect l="40064" t="61250" r="37074" b="29504"/>
                    <a:stretch/>
                  </pic:blipFill>
                  <pic:spPr bwMode="auto">
                    <a:xfrm>
                      <a:off x="0" y="0"/>
                      <a:ext cx="3060188" cy="69615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E078C" w:rsidRPr="00F01347" w14:paraId="3A898D89" w14:textId="1C004E09" w:rsidTr="00147FE5">
        <w:tc>
          <w:tcPr>
            <w:tcW w:w="4675" w:type="dxa"/>
          </w:tcPr>
          <w:p w14:paraId="1EBC5805" w14:textId="77777777" w:rsidR="009E078C" w:rsidRPr="00F01347" w:rsidRDefault="009E078C" w:rsidP="009E078C">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52BE7FAB" w14:textId="5F0649E2" w:rsidR="009E078C" w:rsidRPr="00F01347" w:rsidRDefault="009E078C" w:rsidP="009E078C">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9E078C" w:rsidRPr="00F01347" w14:paraId="1F9831CC" w14:textId="01884FAD" w:rsidTr="00147FE5">
        <w:tc>
          <w:tcPr>
            <w:tcW w:w="4675" w:type="dxa"/>
          </w:tcPr>
          <w:p w14:paraId="4A0792D1" w14:textId="77777777" w:rsidR="009E078C" w:rsidRPr="00F01347" w:rsidRDefault="009E078C" w:rsidP="009E078C">
            <w:pPr>
              <w:pStyle w:val="texto0"/>
              <w:ind w:firstLine="0"/>
              <w:rPr>
                <w:rFonts w:ascii="Verdana" w:hAnsi="Verdana"/>
                <w:sz w:val="16"/>
                <w:szCs w:val="16"/>
              </w:rPr>
            </w:pPr>
            <w:r w:rsidRPr="00F01347">
              <w:rPr>
                <w:rFonts w:ascii="Verdana" w:hAnsi="Verdana"/>
                <w:sz w:val="16"/>
                <w:szCs w:val="16"/>
              </w:rPr>
              <w:t>A</w:t>
            </w:r>
            <w:r w:rsidRPr="00F01347">
              <w:rPr>
                <w:rFonts w:ascii="Verdana" w:hAnsi="Verdana"/>
                <w:sz w:val="16"/>
                <w:szCs w:val="16"/>
              </w:rPr>
              <w:tab/>
            </w:r>
            <w:proofErr w:type="spellStart"/>
            <w:r w:rsidRPr="00F01347">
              <w:rPr>
                <w:rFonts w:ascii="Verdana" w:hAnsi="Verdana"/>
                <w:sz w:val="16"/>
                <w:szCs w:val="16"/>
              </w:rPr>
              <w:t>mL</w:t>
            </w:r>
            <w:proofErr w:type="spellEnd"/>
            <w:r w:rsidRPr="00F01347">
              <w:rPr>
                <w:rFonts w:ascii="Verdana" w:hAnsi="Verdana"/>
                <w:sz w:val="16"/>
                <w:szCs w:val="16"/>
              </w:rPr>
              <w:t xml:space="preserve"> de disolución de EDTA empleados en la titulación de la muestra</w:t>
            </w:r>
          </w:p>
        </w:tc>
        <w:tc>
          <w:tcPr>
            <w:tcW w:w="4675" w:type="dxa"/>
          </w:tcPr>
          <w:p w14:paraId="656561EF" w14:textId="0F4D4E07" w:rsidR="009E078C" w:rsidRPr="00F01347" w:rsidRDefault="009E078C" w:rsidP="009E078C">
            <w:pPr>
              <w:pStyle w:val="texto0"/>
              <w:ind w:firstLine="0"/>
              <w:rPr>
                <w:rFonts w:ascii="Verdana" w:hAnsi="Verdana"/>
                <w:sz w:val="16"/>
                <w:szCs w:val="16"/>
                <w:lang w:val="en-US"/>
              </w:rPr>
            </w:pPr>
            <w:r w:rsidRPr="00F01347">
              <w:rPr>
                <w:rFonts w:ascii="Verdana" w:hAnsi="Verdana"/>
                <w:sz w:val="16"/>
                <w:szCs w:val="16"/>
                <w:lang w:val="en-US"/>
              </w:rPr>
              <w:t xml:space="preserve">A </w:t>
            </w:r>
            <w:r w:rsidRPr="00F01347">
              <w:rPr>
                <w:rFonts w:ascii="Verdana" w:hAnsi="Verdana"/>
                <w:sz w:val="16"/>
                <w:szCs w:val="16"/>
                <w:lang w:val="en-US"/>
              </w:rPr>
              <w:tab/>
              <w:t>mL of EDTA solution used in the titration of the sample</w:t>
            </w:r>
          </w:p>
        </w:tc>
      </w:tr>
      <w:tr w:rsidR="009E078C" w:rsidRPr="00F01347" w14:paraId="20B08B90" w14:textId="1082980D" w:rsidTr="00147FE5">
        <w:tc>
          <w:tcPr>
            <w:tcW w:w="4675" w:type="dxa"/>
          </w:tcPr>
          <w:p w14:paraId="2CBB18BB" w14:textId="77777777" w:rsidR="009E078C" w:rsidRPr="00F01347" w:rsidRDefault="009E078C" w:rsidP="009E078C">
            <w:pPr>
              <w:pStyle w:val="texto0"/>
              <w:ind w:firstLine="0"/>
              <w:rPr>
                <w:rFonts w:ascii="Verdana" w:hAnsi="Verdana"/>
                <w:sz w:val="16"/>
                <w:szCs w:val="16"/>
              </w:rPr>
            </w:pPr>
            <w:r w:rsidRPr="00F01347">
              <w:rPr>
                <w:rFonts w:ascii="Verdana" w:hAnsi="Verdana"/>
                <w:sz w:val="16"/>
                <w:szCs w:val="16"/>
              </w:rPr>
              <w:t>B</w:t>
            </w:r>
            <w:r w:rsidRPr="00F01347">
              <w:rPr>
                <w:rFonts w:ascii="Verdana" w:hAnsi="Verdana"/>
                <w:sz w:val="16"/>
                <w:szCs w:val="16"/>
              </w:rPr>
              <w:tab/>
            </w:r>
            <w:proofErr w:type="spellStart"/>
            <w:r w:rsidRPr="00F01347">
              <w:rPr>
                <w:rFonts w:ascii="Verdana" w:hAnsi="Verdana"/>
                <w:sz w:val="16"/>
                <w:szCs w:val="16"/>
              </w:rPr>
              <w:t>mL</w:t>
            </w:r>
            <w:proofErr w:type="spellEnd"/>
            <w:r w:rsidRPr="00F01347">
              <w:rPr>
                <w:rFonts w:ascii="Verdana" w:hAnsi="Verdana"/>
                <w:sz w:val="16"/>
                <w:szCs w:val="16"/>
              </w:rPr>
              <w:t xml:space="preserve"> de disolución de EDTA empleados en la titulación del blanco, cuando se utiliza alícuota de muestra llevada a 50 </w:t>
            </w:r>
            <w:proofErr w:type="spellStart"/>
            <w:r w:rsidRPr="00F01347">
              <w:rPr>
                <w:rFonts w:ascii="Verdana" w:hAnsi="Verdana"/>
                <w:sz w:val="16"/>
                <w:szCs w:val="16"/>
              </w:rPr>
              <w:t>mL</w:t>
            </w:r>
            <w:proofErr w:type="spellEnd"/>
            <w:r w:rsidRPr="00F01347">
              <w:rPr>
                <w:rFonts w:ascii="Verdana" w:hAnsi="Verdana"/>
                <w:sz w:val="16"/>
                <w:szCs w:val="16"/>
              </w:rPr>
              <w:t xml:space="preserve"> con agua reactivo</w:t>
            </w:r>
          </w:p>
        </w:tc>
        <w:tc>
          <w:tcPr>
            <w:tcW w:w="4675" w:type="dxa"/>
          </w:tcPr>
          <w:p w14:paraId="7D0FF08D" w14:textId="23B71DBD" w:rsidR="009E078C" w:rsidRPr="00F01347" w:rsidRDefault="009E078C" w:rsidP="009E078C">
            <w:pPr>
              <w:pStyle w:val="texto0"/>
              <w:ind w:firstLine="0"/>
              <w:rPr>
                <w:rFonts w:ascii="Verdana" w:hAnsi="Verdana"/>
                <w:sz w:val="16"/>
                <w:szCs w:val="16"/>
                <w:lang w:val="en-US"/>
              </w:rPr>
            </w:pPr>
            <w:r w:rsidRPr="00F01347">
              <w:rPr>
                <w:rFonts w:ascii="Verdana" w:hAnsi="Verdana"/>
                <w:sz w:val="16"/>
                <w:szCs w:val="16"/>
                <w:lang w:val="en-US"/>
              </w:rPr>
              <w:t xml:space="preserve">B </w:t>
            </w:r>
            <w:r w:rsidRPr="00F01347">
              <w:rPr>
                <w:rFonts w:ascii="Verdana" w:hAnsi="Verdana"/>
                <w:sz w:val="16"/>
                <w:szCs w:val="16"/>
                <w:lang w:val="en-US"/>
              </w:rPr>
              <w:tab/>
              <w:t>mL of EDTA solution used in the titration of the blank, when an aliquot of sample brought to 50 mL with reagent water is used</w:t>
            </w:r>
          </w:p>
        </w:tc>
      </w:tr>
      <w:tr w:rsidR="009E078C" w:rsidRPr="00F01347" w14:paraId="446D7928" w14:textId="5D290C25" w:rsidTr="00147FE5">
        <w:tc>
          <w:tcPr>
            <w:tcW w:w="4675" w:type="dxa"/>
          </w:tcPr>
          <w:p w14:paraId="2FE6CDAF" w14:textId="77777777" w:rsidR="009E078C" w:rsidRPr="00F01347" w:rsidRDefault="009E078C" w:rsidP="009E078C">
            <w:pPr>
              <w:pStyle w:val="texto0"/>
              <w:ind w:firstLine="0"/>
              <w:rPr>
                <w:rFonts w:ascii="Verdana" w:hAnsi="Verdana"/>
                <w:sz w:val="16"/>
                <w:szCs w:val="16"/>
              </w:rPr>
            </w:pPr>
            <w:r w:rsidRPr="00F01347">
              <w:rPr>
                <w:rFonts w:ascii="Verdana" w:hAnsi="Verdana"/>
                <w:sz w:val="16"/>
                <w:szCs w:val="16"/>
              </w:rPr>
              <w:lastRenderedPageBreak/>
              <w:t>F</w:t>
            </w:r>
            <w:r w:rsidRPr="00F01347">
              <w:rPr>
                <w:rFonts w:ascii="Verdana" w:hAnsi="Verdana"/>
                <w:sz w:val="16"/>
                <w:szCs w:val="16"/>
              </w:rPr>
              <w:tab/>
              <w:t>equivalente a mg de CaCO</w:t>
            </w:r>
            <w:r w:rsidRPr="00F01347">
              <w:rPr>
                <w:rFonts w:ascii="Verdana" w:hAnsi="Verdana"/>
                <w:sz w:val="16"/>
                <w:szCs w:val="16"/>
                <w:vertAlign w:val="subscript"/>
              </w:rPr>
              <w:t>3</w:t>
            </w:r>
            <w:r w:rsidRPr="00F01347">
              <w:rPr>
                <w:rFonts w:ascii="Verdana" w:hAnsi="Verdana"/>
                <w:sz w:val="16"/>
                <w:szCs w:val="16"/>
              </w:rPr>
              <w:t xml:space="preserve"> por </w:t>
            </w:r>
            <w:proofErr w:type="spellStart"/>
            <w:r w:rsidRPr="00F01347">
              <w:rPr>
                <w:rFonts w:ascii="Verdana" w:hAnsi="Verdana"/>
                <w:sz w:val="16"/>
                <w:szCs w:val="16"/>
              </w:rPr>
              <w:t>mL</w:t>
            </w:r>
            <w:proofErr w:type="spellEnd"/>
            <w:r w:rsidRPr="00F01347">
              <w:rPr>
                <w:rFonts w:ascii="Verdana" w:hAnsi="Verdana"/>
                <w:sz w:val="16"/>
                <w:szCs w:val="16"/>
              </w:rPr>
              <w:t xml:space="preserve"> de disolución de EDTA, obtenido en la valoración</w:t>
            </w:r>
          </w:p>
        </w:tc>
        <w:tc>
          <w:tcPr>
            <w:tcW w:w="4675" w:type="dxa"/>
          </w:tcPr>
          <w:p w14:paraId="0AC3C2A2" w14:textId="2A5E56C5" w:rsidR="009E078C" w:rsidRPr="00F01347" w:rsidRDefault="009E078C" w:rsidP="009E078C">
            <w:pPr>
              <w:pStyle w:val="texto0"/>
              <w:ind w:firstLine="0"/>
              <w:rPr>
                <w:rFonts w:ascii="Verdana" w:hAnsi="Verdana"/>
                <w:sz w:val="16"/>
                <w:szCs w:val="16"/>
                <w:lang w:val="en-US"/>
              </w:rPr>
            </w:pPr>
            <w:r w:rsidRPr="00F01347">
              <w:rPr>
                <w:rFonts w:ascii="Verdana" w:hAnsi="Verdana"/>
                <w:sz w:val="16"/>
                <w:szCs w:val="16"/>
                <w:lang w:val="en-US"/>
              </w:rPr>
              <w:t xml:space="preserve">F </w:t>
            </w:r>
            <w:r w:rsidRPr="00F01347">
              <w:rPr>
                <w:rFonts w:ascii="Verdana" w:hAnsi="Verdana"/>
                <w:sz w:val="16"/>
                <w:szCs w:val="16"/>
                <w:lang w:val="en-US"/>
              </w:rPr>
              <w:tab/>
              <w:t>equivalent to mg of CaCO</w:t>
            </w:r>
            <w:r w:rsidRPr="00F01347">
              <w:rPr>
                <w:rFonts w:ascii="Verdana" w:hAnsi="Verdana"/>
                <w:sz w:val="16"/>
                <w:szCs w:val="16"/>
                <w:vertAlign w:val="subscript"/>
                <w:lang w:val="en-US"/>
              </w:rPr>
              <w:t xml:space="preserve">3 </w:t>
            </w:r>
            <w:r w:rsidRPr="00F01347">
              <w:rPr>
                <w:rFonts w:ascii="Verdana" w:hAnsi="Verdana"/>
                <w:sz w:val="16"/>
                <w:szCs w:val="16"/>
                <w:lang w:val="en-US"/>
              </w:rPr>
              <w:t>per mL of EDTA solution, obtained in the titration</w:t>
            </w:r>
          </w:p>
        </w:tc>
      </w:tr>
      <w:tr w:rsidR="009E078C" w:rsidRPr="00F01347" w14:paraId="10E7C034" w14:textId="64B5E5A7" w:rsidTr="00147FE5">
        <w:tc>
          <w:tcPr>
            <w:tcW w:w="4675" w:type="dxa"/>
          </w:tcPr>
          <w:p w14:paraId="36CDD16B" w14:textId="77777777" w:rsidR="009E078C" w:rsidRPr="00F01347" w:rsidRDefault="009E078C" w:rsidP="009E078C">
            <w:pPr>
              <w:pStyle w:val="texto0"/>
              <w:ind w:firstLine="0"/>
              <w:rPr>
                <w:rFonts w:ascii="Verdana" w:hAnsi="Verdana"/>
                <w:b/>
                <w:sz w:val="16"/>
                <w:szCs w:val="16"/>
              </w:rPr>
            </w:pPr>
            <w:r w:rsidRPr="00F01347">
              <w:rPr>
                <w:rFonts w:ascii="Verdana" w:hAnsi="Verdana"/>
                <w:b/>
                <w:sz w:val="16"/>
                <w:szCs w:val="16"/>
              </w:rPr>
              <w:t>B.10.6.4 Informe de prueba</w:t>
            </w:r>
          </w:p>
        </w:tc>
        <w:tc>
          <w:tcPr>
            <w:tcW w:w="4675" w:type="dxa"/>
          </w:tcPr>
          <w:p w14:paraId="3138371F" w14:textId="70E62289" w:rsidR="009E078C" w:rsidRPr="00F01347" w:rsidRDefault="009E078C" w:rsidP="009E078C">
            <w:pPr>
              <w:pStyle w:val="texto0"/>
              <w:ind w:firstLine="0"/>
              <w:rPr>
                <w:rFonts w:ascii="Verdana" w:hAnsi="Verdana"/>
                <w:b/>
                <w:sz w:val="16"/>
                <w:szCs w:val="16"/>
                <w:lang w:val="en-US"/>
              </w:rPr>
            </w:pPr>
            <w:r w:rsidRPr="00F01347">
              <w:rPr>
                <w:rFonts w:ascii="Verdana" w:hAnsi="Verdana"/>
                <w:b/>
                <w:sz w:val="16"/>
                <w:szCs w:val="16"/>
                <w:lang w:val="en-US"/>
              </w:rPr>
              <w:t>B.10.6.4 Test report</w:t>
            </w:r>
          </w:p>
        </w:tc>
      </w:tr>
      <w:tr w:rsidR="009E078C" w:rsidRPr="00F01347" w14:paraId="1C0A6168" w14:textId="17BE68EE" w:rsidTr="00147FE5">
        <w:tc>
          <w:tcPr>
            <w:tcW w:w="4675" w:type="dxa"/>
          </w:tcPr>
          <w:p w14:paraId="25C54590" w14:textId="77777777" w:rsidR="009E078C" w:rsidRPr="00F01347" w:rsidRDefault="009E078C" w:rsidP="009E078C">
            <w:pPr>
              <w:pStyle w:val="texto0"/>
              <w:spacing w:line="240" w:lineRule="auto"/>
              <w:ind w:firstLine="0"/>
              <w:rPr>
                <w:rFonts w:ascii="Verdana" w:hAnsi="Verdana"/>
                <w:sz w:val="16"/>
                <w:szCs w:val="16"/>
              </w:rPr>
            </w:pPr>
            <w:r w:rsidRPr="00F01347">
              <w:rPr>
                <w:rFonts w:ascii="Verdana" w:hAnsi="Verdana"/>
                <w:sz w:val="16"/>
                <w:szCs w:val="16"/>
              </w:rPr>
              <w:t xml:space="preserve">La expresión de resultados debe ser en </w:t>
            </w:r>
            <w:r w:rsidRPr="00F01347">
              <w:rPr>
                <w:rFonts w:ascii="Verdana" w:hAnsi="Verdana"/>
                <w:noProof/>
                <w:sz w:val="16"/>
                <w:szCs w:val="16"/>
              </w:rPr>
              <w:drawing>
                <wp:inline distT="0" distB="0" distL="0" distR="0" wp14:anchorId="15608E42" wp14:editId="343E25BC">
                  <wp:extent cx="485775" cy="228600"/>
                  <wp:effectExtent l="0" t="0" r="0" b="0"/>
                  <wp:docPr id="5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F01347">
              <w:rPr>
                <w:rFonts w:ascii="Verdana" w:hAnsi="Verdana"/>
                <w:sz w:val="16"/>
                <w:szCs w:val="16"/>
              </w:rPr>
              <w:t xml:space="preserve"> y con dos cifras decimales.</w:t>
            </w:r>
          </w:p>
        </w:tc>
        <w:tc>
          <w:tcPr>
            <w:tcW w:w="4675" w:type="dxa"/>
          </w:tcPr>
          <w:p w14:paraId="7ECC3B10" w14:textId="587FF2DC" w:rsidR="009E078C" w:rsidRPr="00F01347" w:rsidRDefault="009E078C" w:rsidP="009E078C">
            <w:pPr>
              <w:pStyle w:val="texto0"/>
              <w:spacing w:line="240" w:lineRule="auto"/>
              <w:ind w:firstLine="0"/>
              <w:rPr>
                <w:rFonts w:ascii="Verdana" w:hAnsi="Verdana"/>
                <w:sz w:val="16"/>
                <w:szCs w:val="16"/>
                <w:lang w:val="en-US"/>
              </w:rPr>
            </w:pPr>
            <w:r w:rsidRPr="00F01347">
              <w:rPr>
                <w:rFonts w:ascii="Verdana" w:hAnsi="Verdana"/>
                <w:sz w:val="16"/>
                <w:szCs w:val="16"/>
                <w:lang w:val="en-US"/>
              </w:rPr>
              <w:t xml:space="preserve">The expression of results must be in </w:t>
            </w:r>
            <w:r w:rsidR="0078057A" w:rsidRPr="00F01347">
              <w:rPr>
                <w:rFonts w:ascii="Verdana" w:hAnsi="Verdana"/>
                <w:noProof/>
                <w:sz w:val="16"/>
                <w:szCs w:val="16"/>
                <w:lang w:val="en-US"/>
              </w:rPr>
              <w:pict w14:anchorId="47C7D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17.9pt;visibility:visible;mso-wrap-style:square">
                  <v:imagedata r:id="rId83" o:title=""/>
                </v:shape>
              </w:pict>
            </w:r>
            <w:r w:rsidRPr="00F01347">
              <w:rPr>
                <w:rFonts w:ascii="Verdana" w:hAnsi="Verdana"/>
                <w:sz w:val="16"/>
                <w:szCs w:val="16"/>
                <w:lang w:val="en-US"/>
              </w:rPr>
              <w:t>y with two decimal places.</w:t>
            </w:r>
          </w:p>
        </w:tc>
      </w:tr>
      <w:tr w:rsidR="009E078C" w:rsidRPr="00F01347" w14:paraId="37D8F6E7" w14:textId="74ADD28A" w:rsidTr="00147FE5">
        <w:tc>
          <w:tcPr>
            <w:tcW w:w="4675" w:type="dxa"/>
          </w:tcPr>
          <w:p w14:paraId="5547A02E" w14:textId="77777777" w:rsidR="009E078C" w:rsidRPr="00F01347" w:rsidRDefault="009E078C" w:rsidP="009E078C">
            <w:pPr>
              <w:pStyle w:val="texto0"/>
              <w:ind w:firstLine="0"/>
              <w:rPr>
                <w:rFonts w:ascii="Verdana" w:hAnsi="Verdana"/>
                <w:b/>
                <w:sz w:val="16"/>
                <w:szCs w:val="16"/>
              </w:rPr>
            </w:pPr>
            <w:r w:rsidRPr="00F01347">
              <w:rPr>
                <w:rFonts w:ascii="Verdana" w:hAnsi="Verdana"/>
                <w:b/>
                <w:sz w:val="16"/>
                <w:szCs w:val="16"/>
              </w:rPr>
              <w:t>B.10.7 Interferencias</w:t>
            </w:r>
          </w:p>
        </w:tc>
        <w:tc>
          <w:tcPr>
            <w:tcW w:w="4675" w:type="dxa"/>
          </w:tcPr>
          <w:p w14:paraId="4B72F590" w14:textId="3F94CEDE" w:rsidR="009E078C" w:rsidRPr="00F01347" w:rsidRDefault="009E078C" w:rsidP="009E078C">
            <w:pPr>
              <w:pStyle w:val="texto0"/>
              <w:ind w:firstLine="0"/>
              <w:rPr>
                <w:rFonts w:ascii="Verdana" w:hAnsi="Verdana"/>
                <w:b/>
                <w:sz w:val="16"/>
                <w:szCs w:val="16"/>
                <w:lang w:val="en-US"/>
              </w:rPr>
            </w:pPr>
            <w:r w:rsidRPr="00F01347">
              <w:rPr>
                <w:rFonts w:ascii="Verdana" w:hAnsi="Verdana"/>
                <w:b/>
                <w:sz w:val="16"/>
                <w:szCs w:val="16"/>
                <w:lang w:val="en-US"/>
              </w:rPr>
              <w:t>B.10.7 Interferences</w:t>
            </w:r>
          </w:p>
        </w:tc>
      </w:tr>
      <w:tr w:rsidR="009E078C" w:rsidRPr="00F01347" w14:paraId="1700D10D" w14:textId="3AD6818F" w:rsidTr="00147FE5">
        <w:tc>
          <w:tcPr>
            <w:tcW w:w="4675" w:type="dxa"/>
          </w:tcPr>
          <w:p w14:paraId="1984CEDE" w14:textId="77777777" w:rsidR="009E078C" w:rsidRPr="00F01347" w:rsidRDefault="009E078C" w:rsidP="009E078C">
            <w:pPr>
              <w:pStyle w:val="texto0"/>
              <w:spacing w:line="242" w:lineRule="exact"/>
              <w:ind w:firstLine="0"/>
              <w:rPr>
                <w:rFonts w:ascii="Verdana" w:hAnsi="Verdana"/>
                <w:sz w:val="16"/>
                <w:szCs w:val="16"/>
              </w:rPr>
            </w:pPr>
            <w:r w:rsidRPr="00F01347">
              <w:rPr>
                <w:rFonts w:ascii="Verdana" w:hAnsi="Verdana"/>
                <w:sz w:val="16"/>
                <w:szCs w:val="16"/>
              </w:rPr>
              <w:t xml:space="preserve">Algunos iones metálicos interfieren causando un vire difícil de percibir o por consumo estequiométrico de EDTA. La sal de magnesio del ácido 1, 2-ciclohexanodiamina </w:t>
            </w:r>
            <w:proofErr w:type="spellStart"/>
            <w:r w:rsidRPr="00F01347">
              <w:rPr>
                <w:rFonts w:ascii="Verdana" w:hAnsi="Verdana"/>
                <w:sz w:val="16"/>
                <w:szCs w:val="16"/>
              </w:rPr>
              <w:t>tetraacético</w:t>
            </w:r>
            <w:proofErr w:type="spellEnd"/>
            <w:r w:rsidRPr="00F01347">
              <w:rPr>
                <w:rFonts w:ascii="Verdana" w:hAnsi="Verdana"/>
                <w:sz w:val="16"/>
                <w:szCs w:val="16"/>
              </w:rPr>
              <w:t xml:space="preserve"> (</w:t>
            </w:r>
            <w:proofErr w:type="spellStart"/>
            <w:r w:rsidRPr="00F01347">
              <w:rPr>
                <w:rFonts w:ascii="Verdana" w:hAnsi="Verdana"/>
                <w:sz w:val="16"/>
                <w:szCs w:val="16"/>
              </w:rPr>
              <w:t>MgCDTA</w:t>
            </w:r>
            <w:proofErr w:type="spellEnd"/>
            <w:r w:rsidRPr="00F01347">
              <w:rPr>
                <w:rFonts w:ascii="Verdana" w:hAnsi="Verdana"/>
                <w:sz w:val="16"/>
                <w:szCs w:val="16"/>
              </w:rPr>
              <w:t xml:space="preserve">), es selectivamente compleja a los metales pesados, liberando Mg en la muestra, y puede ser usado en lugar de los inhibidores. Usar cuando el Mg sustituido por los metales no contribuya significativamente a la dureza total. </w:t>
            </w:r>
            <w:proofErr w:type="gramStart"/>
            <w:r w:rsidRPr="00F01347">
              <w:rPr>
                <w:rFonts w:ascii="Verdana" w:hAnsi="Verdana"/>
                <w:sz w:val="16"/>
                <w:szCs w:val="16"/>
              </w:rPr>
              <w:t>Agregar  250</w:t>
            </w:r>
            <w:proofErr w:type="gramEnd"/>
            <w:r w:rsidRPr="00F01347">
              <w:rPr>
                <w:rFonts w:ascii="Verdana" w:hAnsi="Verdana"/>
                <w:sz w:val="16"/>
                <w:szCs w:val="16"/>
              </w:rPr>
              <w:t xml:space="preserve"> mg del </w:t>
            </w:r>
            <w:proofErr w:type="spellStart"/>
            <w:r w:rsidRPr="00F01347">
              <w:rPr>
                <w:rFonts w:ascii="Verdana" w:hAnsi="Verdana"/>
                <w:sz w:val="16"/>
                <w:szCs w:val="16"/>
              </w:rPr>
              <w:t>MgCDTA</w:t>
            </w:r>
            <w:proofErr w:type="spellEnd"/>
            <w:r w:rsidRPr="00F01347">
              <w:rPr>
                <w:rFonts w:ascii="Verdana" w:hAnsi="Verdana"/>
                <w:sz w:val="16"/>
                <w:szCs w:val="16"/>
              </w:rPr>
              <w:t xml:space="preserve"> por cada 100 </w:t>
            </w:r>
            <w:proofErr w:type="spellStart"/>
            <w:r w:rsidRPr="00F01347">
              <w:rPr>
                <w:rFonts w:ascii="Verdana" w:hAnsi="Verdana"/>
                <w:sz w:val="16"/>
                <w:szCs w:val="16"/>
              </w:rPr>
              <w:t>mL</w:t>
            </w:r>
            <w:proofErr w:type="spellEnd"/>
            <w:r w:rsidRPr="00F01347">
              <w:rPr>
                <w:rFonts w:ascii="Verdana" w:hAnsi="Verdana"/>
                <w:sz w:val="16"/>
                <w:szCs w:val="16"/>
              </w:rPr>
              <w:t xml:space="preserve"> de muestra y disolver completamente antes de adicionar la disolución amortiguadora.</w:t>
            </w:r>
          </w:p>
        </w:tc>
        <w:tc>
          <w:tcPr>
            <w:tcW w:w="4675" w:type="dxa"/>
          </w:tcPr>
          <w:p w14:paraId="523526BC" w14:textId="5F92028F" w:rsidR="009E078C" w:rsidRPr="00F01347" w:rsidRDefault="009E078C" w:rsidP="009E078C">
            <w:pPr>
              <w:pStyle w:val="texto0"/>
              <w:spacing w:line="242" w:lineRule="exact"/>
              <w:ind w:firstLine="0"/>
              <w:rPr>
                <w:rFonts w:ascii="Verdana" w:hAnsi="Verdana"/>
                <w:sz w:val="16"/>
                <w:szCs w:val="16"/>
                <w:lang w:val="en-US"/>
              </w:rPr>
            </w:pPr>
            <w:r w:rsidRPr="00F01347">
              <w:rPr>
                <w:rFonts w:ascii="Verdana" w:hAnsi="Verdana"/>
                <w:sz w:val="16"/>
                <w:szCs w:val="16"/>
                <w:lang w:val="en-US"/>
              </w:rPr>
              <w:t xml:space="preserve">Some metal ions interfere by causing a difficult to perceive </w:t>
            </w:r>
            <w:proofErr w:type="spellStart"/>
            <w:r w:rsidRPr="00F01347">
              <w:rPr>
                <w:rFonts w:ascii="Verdana" w:hAnsi="Verdana"/>
                <w:sz w:val="16"/>
                <w:szCs w:val="16"/>
                <w:lang w:val="en-US"/>
              </w:rPr>
              <w:t>vire</w:t>
            </w:r>
            <w:proofErr w:type="spellEnd"/>
            <w:r w:rsidRPr="00F01347">
              <w:rPr>
                <w:rFonts w:ascii="Verdana" w:hAnsi="Verdana"/>
                <w:sz w:val="16"/>
                <w:szCs w:val="16"/>
                <w:lang w:val="en-US"/>
              </w:rPr>
              <w:t xml:space="preserve"> or by stoichiometric consumption of EDTA. The magnesium salt of 1,2-cyclohexanediamine </w:t>
            </w:r>
            <w:proofErr w:type="spellStart"/>
            <w:r w:rsidRPr="00F01347">
              <w:rPr>
                <w:rFonts w:ascii="Verdana" w:hAnsi="Verdana"/>
                <w:sz w:val="16"/>
                <w:szCs w:val="16"/>
                <w:lang w:val="en-US"/>
              </w:rPr>
              <w:t>tetraacetic</w:t>
            </w:r>
            <w:proofErr w:type="spellEnd"/>
            <w:r w:rsidRPr="00F01347">
              <w:rPr>
                <w:rFonts w:ascii="Verdana" w:hAnsi="Verdana"/>
                <w:sz w:val="16"/>
                <w:szCs w:val="16"/>
                <w:lang w:val="en-US"/>
              </w:rPr>
              <w:t xml:space="preserve"> acid </w:t>
            </w:r>
            <w:r w:rsidR="00CB209C" w:rsidRPr="00F01347">
              <w:rPr>
                <w:rFonts w:ascii="Verdana" w:hAnsi="Verdana"/>
                <w:sz w:val="16"/>
                <w:szCs w:val="16"/>
                <w:lang w:val="en-US"/>
              </w:rPr>
              <w:t>(</w:t>
            </w:r>
            <w:proofErr w:type="spellStart"/>
            <w:r w:rsidRPr="00F01347">
              <w:rPr>
                <w:rFonts w:ascii="Verdana" w:hAnsi="Verdana"/>
                <w:sz w:val="16"/>
                <w:szCs w:val="16"/>
                <w:lang w:val="en-US"/>
              </w:rPr>
              <w:t>MgCDTA</w:t>
            </w:r>
            <w:proofErr w:type="spellEnd"/>
            <w:r w:rsidR="00913802" w:rsidRPr="00F01347">
              <w:rPr>
                <w:rFonts w:ascii="Verdana" w:hAnsi="Verdana"/>
                <w:sz w:val="16"/>
                <w:szCs w:val="16"/>
                <w:lang w:val="en-US"/>
              </w:rPr>
              <w:t>)</w:t>
            </w:r>
            <w:r w:rsidRPr="00F01347">
              <w:rPr>
                <w:rFonts w:ascii="Verdana" w:hAnsi="Verdana"/>
                <w:sz w:val="16"/>
                <w:szCs w:val="16"/>
                <w:lang w:val="en-US"/>
              </w:rPr>
              <w:t xml:space="preserve">, is selectively complex to heavy metals, releasing Mg into the sample, and can be used in place of inhibitors. Use when Mg substituted by metals does not contribute significantly to the total hardness. Add 250 mg of </w:t>
            </w:r>
            <w:proofErr w:type="spellStart"/>
            <w:r w:rsidRPr="00F01347">
              <w:rPr>
                <w:rFonts w:ascii="Verdana" w:hAnsi="Verdana"/>
                <w:sz w:val="16"/>
                <w:szCs w:val="16"/>
                <w:lang w:val="en-US"/>
              </w:rPr>
              <w:t>MgCDTA</w:t>
            </w:r>
            <w:proofErr w:type="spellEnd"/>
            <w:r w:rsidRPr="00F01347">
              <w:rPr>
                <w:rFonts w:ascii="Verdana" w:hAnsi="Verdana"/>
                <w:sz w:val="16"/>
                <w:szCs w:val="16"/>
                <w:lang w:val="en-US"/>
              </w:rPr>
              <w:t xml:space="preserve"> per 100 mL of sample and dissolve completely before adding the buffer solution.</w:t>
            </w:r>
          </w:p>
        </w:tc>
      </w:tr>
      <w:tr w:rsidR="009E078C" w:rsidRPr="00F01347" w14:paraId="5D3E17FA" w14:textId="77777777" w:rsidTr="00147FE5">
        <w:tc>
          <w:tcPr>
            <w:tcW w:w="4675" w:type="dxa"/>
          </w:tcPr>
          <w:p w14:paraId="25422795" w14:textId="2EF0F415" w:rsidR="009E078C" w:rsidRPr="00F01347" w:rsidRDefault="009E078C" w:rsidP="009E078C">
            <w:pPr>
              <w:pStyle w:val="texto0"/>
              <w:spacing w:line="242" w:lineRule="exact"/>
              <w:ind w:firstLine="0"/>
              <w:rPr>
                <w:rFonts w:ascii="Verdana" w:hAnsi="Verdana"/>
                <w:sz w:val="16"/>
                <w:szCs w:val="16"/>
              </w:rPr>
            </w:pPr>
            <w:r w:rsidRPr="00F01347">
              <w:rPr>
                <w:rFonts w:ascii="Verdana" w:hAnsi="Verdana"/>
                <w:sz w:val="16"/>
                <w:szCs w:val="16"/>
              </w:rPr>
              <w:t>Las interferencias también se reducen con el uso de inhibidores, que funcionan como agentes complejantes (Tabla B.10-1, de este Apéndice).</w:t>
            </w:r>
          </w:p>
        </w:tc>
        <w:tc>
          <w:tcPr>
            <w:tcW w:w="4675" w:type="dxa"/>
          </w:tcPr>
          <w:p w14:paraId="75F543FC" w14:textId="0DA55DBC" w:rsidR="009E078C" w:rsidRPr="00F01347" w:rsidRDefault="009E078C" w:rsidP="009E078C">
            <w:pPr>
              <w:pStyle w:val="texto0"/>
              <w:spacing w:line="242" w:lineRule="exact"/>
              <w:ind w:firstLine="0"/>
              <w:rPr>
                <w:rFonts w:ascii="Verdana" w:hAnsi="Verdana"/>
                <w:sz w:val="16"/>
                <w:szCs w:val="16"/>
                <w:lang w:val="en-US"/>
              </w:rPr>
            </w:pPr>
            <w:r w:rsidRPr="00F01347">
              <w:rPr>
                <w:rFonts w:ascii="Verdana" w:hAnsi="Verdana"/>
                <w:sz w:val="16"/>
                <w:szCs w:val="16"/>
                <w:lang w:val="en-US"/>
              </w:rPr>
              <w:t>Interferences are also reduced with the use of inhibitors, which function as complexing agents (Table B.10-1, in this Appendix).</w:t>
            </w:r>
          </w:p>
        </w:tc>
      </w:tr>
    </w:tbl>
    <w:p w14:paraId="4D776415" w14:textId="77777777" w:rsidR="0055757A" w:rsidRPr="00F01347" w:rsidRDefault="0055757A" w:rsidP="003A601B">
      <w:pPr>
        <w:pStyle w:val="texto0"/>
        <w:spacing w:line="242" w:lineRule="exact"/>
        <w:rPr>
          <w:rFonts w:ascii="Verdana" w:hAnsi="Verdana"/>
          <w:sz w:val="16"/>
          <w:szCs w:val="16"/>
          <w:lang w:val="en-US"/>
        </w:rPr>
      </w:pPr>
    </w:p>
    <w:tbl>
      <w:tblPr>
        <w:tblW w:w="8712" w:type="dxa"/>
        <w:jc w:val="center"/>
        <w:tblLayout w:type="fixed"/>
        <w:tblCellMar>
          <w:left w:w="72" w:type="dxa"/>
          <w:right w:w="72" w:type="dxa"/>
        </w:tblCellMar>
        <w:tblLook w:val="0000" w:firstRow="0" w:lastRow="0" w:firstColumn="0" w:lastColumn="0" w:noHBand="0" w:noVBand="0"/>
      </w:tblPr>
      <w:tblGrid>
        <w:gridCol w:w="3300"/>
        <w:gridCol w:w="2458"/>
        <w:gridCol w:w="2954"/>
      </w:tblGrid>
      <w:tr w:rsidR="00A74CDF" w:rsidRPr="00F01347" w14:paraId="3286B3C9" w14:textId="77777777" w:rsidTr="00C1482E">
        <w:trPr>
          <w:trHeight w:val="20"/>
          <w:jc w:val="center"/>
        </w:trPr>
        <w:tc>
          <w:tcPr>
            <w:tcW w:w="8712" w:type="dxa"/>
            <w:gridSpan w:val="3"/>
            <w:tcBorders>
              <w:bottom w:val="single" w:sz="6" w:space="0" w:color="auto"/>
            </w:tcBorders>
            <w:noWrap/>
          </w:tcPr>
          <w:p w14:paraId="77207072"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b/>
                <w:sz w:val="16"/>
                <w:szCs w:val="16"/>
              </w:rPr>
              <w:t>Tabla B.10-1</w:t>
            </w:r>
            <w:r w:rsidRPr="00F01347">
              <w:rPr>
                <w:rFonts w:ascii="Verdana" w:hAnsi="Verdana"/>
                <w:sz w:val="16"/>
                <w:szCs w:val="16"/>
              </w:rPr>
              <w:t>. Concentraciones máximas de interferencias permisibles con varios inhibidores.</w:t>
            </w:r>
          </w:p>
        </w:tc>
      </w:tr>
      <w:tr w:rsidR="00A74CDF" w:rsidRPr="00F01347" w14:paraId="43C06152"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74ABEEEC" w14:textId="77777777" w:rsidR="00A74CDF" w:rsidRPr="00F01347" w:rsidRDefault="00A74CDF" w:rsidP="003A601B">
            <w:pPr>
              <w:pStyle w:val="texto0"/>
              <w:spacing w:line="242" w:lineRule="exact"/>
              <w:ind w:firstLine="0"/>
              <w:rPr>
                <w:rFonts w:ascii="Verdana" w:hAnsi="Verdana"/>
                <w:sz w:val="16"/>
                <w:szCs w:val="16"/>
              </w:rPr>
            </w:pPr>
          </w:p>
        </w:tc>
        <w:tc>
          <w:tcPr>
            <w:tcW w:w="5412" w:type="dxa"/>
            <w:gridSpan w:val="2"/>
            <w:tcBorders>
              <w:top w:val="single" w:sz="6" w:space="0" w:color="auto"/>
              <w:left w:val="single" w:sz="6" w:space="0" w:color="auto"/>
              <w:bottom w:val="single" w:sz="6" w:space="0" w:color="auto"/>
              <w:right w:val="single" w:sz="6" w:space="0" w:color="auto"/>
            </w:tcBorders>
          </w:tcPr>
          <w:p w14:paraId="02F9C9D3"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Max. Concentración de Sustancia Interferencia mg/L</w:t>
            </w:r>
          </w:p>
        </w:tc>
      </w:tr>
      <w:tr w:rsidR="00A74CDF" w:rsidRPr="00F01347" w14:paraId="23ED1E42"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46624D13"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Sustancia interferencia</w:t>
            </w:r>
          </w:p>
        </w:tc>
        <w:tc>
          <w:tcPr>
            <w:tcW w:w="2458" w:type="dxa"/>
            <w:tcBorders>
              <w:top w:val="single" w:sz="6" w:space="0" w:color="auto"/>
              <w:left w:val="single" w:sz="6" w:space="0" w:color="auto"/>
              <w:bottom w:val="single" w:sz="6" w:space="0" w:color="auto"/>
              <w:right w:val="single" w:sz="6" w:space="0" w:color="auto"/>
            </w:tcBorders>
          </w:tcPr>
          <w:p w14:paraId="4433AAEB"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Inhibidor I</w:t>
            </w:r>
          </w:p>
        </w:tc>
        <w:tc>
          <w:tcPr>
            <w:tcW w:w="2954" w:type="dxa"/>
            <w:tcBorders>
              <w:top w:val="single" w:sz="6" w:space="0" w:color="auto"/>
              <w:left w:val="single" w:sz="6" w:space="0" w:color="auto"/>
              <w:bottom w:val="single" w:sz="6" w:space="0" w:color="auto"/>
              <w:right w:val="single" w:sz="6" w:space="0" w:color="auto"/>
            </w:tcBorders>
          </w:tcPr>
          <w:p w14:paraId="0D30CB1F"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Inhibidor II</w:t>
            </w:r>
          </w:p>
        </w:tc>
      </w:tr>
      <w:tr w:rsidR="00A74CDF" w:rsidRPr="00F01347" w14:paraId="283AEC2E"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5AAE9414"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Aluminio</w:t>
            </w:r>
          </w:p>
        </w:tc>
        <w:tc>
          <w:tcPr>
            <w:tcW w:w="2458" w:type="dxa"/>
            <w:tcBorders>
              <w:top w:val="single" w:sz="6" w:space="0" w:color="auto"/>
              <w:left w:val="single" w:sz="6" w:space="0" w:color="auto"/>
              <w:bottom w:val="single" w:sz="6" w:space="0" w:color="auto"/>
              <w:right w:val="single" w:sz="6" w:space="0" w:color="auto"/>
            </w:tcBorders>
          </w:tcPr>
          <w:p w14:paraId="7673B5C1"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20</w:t>
            </w:r>
          </w:p>
        </w:tc>
        <w:tc>
          <w:tcPr>
            <w:tcW w:w="2954" w:type="dxa"/>
            <w:tcBorders>
              <w:top w:val="single" w:sz="6" w:space="0" w:color="auto"/>
              <w:left w:val="single" w:sz="6" w:space="0" w:color="auto"/>
              <w:bottom w:val="single" w:sz="6" w:space="0" w:color="auto"/>
              <w:right w:val="single" w:sz="6" w:space="0" w:color="auto"/>
            </w:tcBorders>
          </w:tcPr>
          <w:p w14:paraId="50109BEE"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20</w:t>
            </w:r>
          </w:p>
        </w:tc>
      </w:tr>
      <w:tr w:rsidR="00A74CDF" w:rsidRPr="00F01347" w14:paraId="0418F9F1"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778357B5"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Bario</w:t>
            </w:r>
          </w:p>
        </w:tc>
        <w:tc>
          <w:tcPr>
            <w:tcW w:w="2458" w:type="dxa"/>
            <w:tcBorders>
              <w:top w:val="single" w:sz="6" w:space="0" w:color="auto"/>
              <w:left w:val="single" w:sz="6" w:space="0" w:color="auto"/>
              <w:bottom w:val="single" w:sz="6" w:space="0" w:color="auto"/>
              <w:right w:val="single" w:sz="6" w:space="0" w:color="auto"/>
            </w:tcBorders>
          </w:tcPr>
          <w:p w14:paraId="04C8A109"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w:t>
            </w:r>
          </w:p>
        </w:tc>
        <w:tc>
          <w:tcPr>
            <w:tcW w:w="2954" w:type="dxa"/>
            <w:tcBorders>
              <w:top w:val="single" w:sz="6" w:space="0" w:color="auto"/>
              <w:left w:val="single" w:sz="6" w:space="0" w:color="auto"/>
              <w:bottom w:val="single" w:sz="6" w:space="0" w:color="auto"/>
              <w:right w:val="single" w:sz="6" w:space="0" w:color="auto"/>
            </w:tcBorders>
          </w:tcPr>
          <w:p w14:paraId="1FD68780"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w:t>
            </w:r>
          </w:p>
        </w:tc>
      </w:tr>
      <w:tr w:rsidR="00A74CDF" w:rsidRPr="00F01347" w14:paraId="06F7E7A4"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4D394E1E"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Cadmio</w:t>
            </w:r>
          </w:p>
        </w:tc>
        <w:tc>
          <w:tcPr>
            <w:tcW w:w="2458" w:type="dxa"/>
            <w:tcBorders>
              <w:top w:val="single" w:sz="6" w:space="0" w:color="auto"/>
              <w:left w:val="single" w:sz="6" w:space="0" w:color="auto"/>
              <w:bottom w:val="single" w:sz="6" w:space="0" w:color="auto"/>
              <w:right w:val="single" w:sz="6" w:space="0" w:color="auto"/>
            </w:tcBorders>
          </w:tcPr>
          <w:p w14:paraId="2A76BE40"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w:t>
            </w:r>
          </w:p>
        </w:tc>
        <w:tc>
          <w:tcPr>
            <w:tcW w:w="2954" w:type="dxa"/>
            <w:tcBorders>
              <w:top w:val="single" w:sz="6" w:space="0" w:color="auto"/>
              <w:left w:val="single" w:sz="6" w:space="0" w:color="auto"/>
              <w:bottom w:val="single" w:sz="6" w:space="0" w:color="auto"/>
              <w:right w:val="single" w:sz="6" w:space="0" w:color="auto"/>
            </w:tcBorders>
          </w:tcPr>
          <w:p w14:paraId="286D5F90"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20</w:t>
            </w:r>
          </w:p>
        </w:tc>
      </w:tr>
      <w:tr w:rsidR="00A74CDF" w:rsidRPr="00F01347" w14:paraId="2961C86B"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6F7E2743"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Cobalto</w:t>
            </w:r>
          </w:p>
        </w:tc>
        <w:tc>
          <w:tcPr>
            <w:tcW w:w="2458" w:type="dxa"/>
            <w:tcBorders>
              <w:top w:val="single" w:sz="6" w:space="0" w:color="auto"/>
              <w:left w:val="single" w:sz="6" w:space="0" w:color="auto"/>
              <w:bottom w:val="single" w:sz="6" w:space="0" w:color="auto"/>
              <w:right w:val="single" w:sz="6" w:space="0" w:color="auto"/>
            </w:tcBorders>
          </w:tcPr>
          <w:p w14:paraId="55B52761"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Sobre 20</w:t>
            </w:r>
          </w:p>
        </w:tc>
        <w:tc>
          <w:tcPr>
            <w:tcW w:w="2954" w:type="dxa"/>
            <w:tcBorders>
              <w:top w:val="single" w:sz="6" w:space="0" w:color="auto"/>
              <w:left w:val="single" w:sz="6" w:space="0" w:color="auto"/>
              <w:bottom w:val="single" w:sz="6" w:space="0" w:color="auto"/>
              <w:right w:val="single" w:sz="6" w:space="0" w:color="auto"/>
            </w:tcBorders>
          </w:tcPr>
          <w:p w14:paraId="21B49FC3"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0.3</w:t>
            </w:r>
          </w:p>
        </w:tc>
      </w:tr>
      <w:tr w:rsidR="00A74CDF" w:rsidRPr="00F01347" w14:paraId="0DB7DB72"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27527CC6"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Cobre</w:t>
            </w:r>
          </w:p>
        </w:tc>
        <w:tc>
          <w:tcPr>
            <w:tcW w:w="2458" w:type="dxa"/>
            <w:tcBorders>
              <w:top w:val="single" w:sz="6" w:space="0" w:color="auto"/>
              <w:left w:val="single" w:sz="6" w:space="0" w:color="auto"/>
              <w:bottom w:val="single" w:sz="6" w:space="0" w:color="auto"/>
              <w:right w:val="single" w:sz="6" w:space="0" w:color="auto"/>
            </w:tcBorders>
          </w:tcPr>
          <w:p w14:paraId="228991D9"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Sobre 30</w:t>
            </w:r>
          </w:p>
        </w:tc>
        <w:tc>
          <w:tcPr>
            <w:tcW w:w="2954" w:type="dxa"/>
            <w:tcBorders>
              <w:top w:val="single" w:sz="6" w:space="0" w:color="auto"/>
              <w:left w:val="single" w:sz="6" w:space="0" w:color="auto"/>
              <w:bottom w:val="single" w:sz="6" w:space="0" w:color="auto"/>
              <w:right w:val="single" w:sz="6" w:space="0" w:color="auto"/>
            </w:tcBorders>
          </w:tcPr>
          <w:p w14:paraId="12ACE41D"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20</w:t>
            </w:r>
          </w:p>
        </w:tc>
      </w:tr>
      <w:tr w:rsidR="00A74CDF" w:rsidRPr="00F01347" w14:paraId="042014A4"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616A4CA6"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Hierro</w:t>
            </w:r>
          </w:p>
        </w:tc>
        <w:tc>
          <w:tcPr>
            <w:tcW w:w="2458" w:type="dxa"/>
            <w:tcBorders>
              <w:top w:val="single" w:sz="6" w:space="0" w:color="auto"/>
              <w:left w:val="single" w:sz="6" w:space="0" w:color="auto"/>
              <w:bottom w:val="single" w:sz="6" w:space="0" w:color="auto"/>
              <w:right w:val="single" w:sz="6" w:space="0" w:color="auto"/>
            </w:tcBorders>
          </w:tcPr>
          <w:p w14:paraId="460B6AE6"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Sobre 30</w:t>
            </w:r>
          </w:p>
        </w:tc>
        <w:tc>
          <w:tcPr>
            <w:tcW w:w="2954" w:type="dxa"/>
            <w:tcBorders>
              <w:top w:val="single" w:sz="6" w:space="0" w:color="auto"/>
              <w:left w:val="single" w:sz="6" w:space="0" w:color="auto"/>
              <w:bottom w:val="single" w:sz="6" w:space="0" w:color="auto"/>
              <w:right w:val="single" w:sz="6" w:space="0" w:color="auto"/>
            </w:tcBorders>
          </w:tcPr>
          <w:p w14:paraId="3F10D74A"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5</w:t>
            </w:r>
          </w:p>
        </w:tc>
      </w:tr>
      <w:tr w:rsidR="00A74CDF" w:rsidRPr="00F01347" w14:paraId="23996CA5"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5DC49A7D"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Plomo</w:t>
            </w:r>
          </w:p>
        </w:tc>
        <w:tc>
          <w:tcPr>
            <w:tcW w:w="2458" w:type="dxa"/>
            <w:tcBorders>
              <w:top w:val="single" w:sz="6" w:space="0" w:color="auto"/>
              <w:left w:val="single" w:sz="6" w:space="0" w:color="auto"/>
              <w:bottom w:val="single" w:sz="6" w:space="0" w:color="auto"/>
              <w:right w:val="single" w:sz="6" w:space="0" w:color="auto"/>
            </w:tcBorders>
          </w:tcPr>
          <w:p w14:paraId="5A678F1E"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w:t>
            </w:r>
          </w:p>
        </w:tc>
        <w:tc>
          <w:tcPr>
            <w:tcW w:w="2954" w:type="dxa"/>
            <w:tcBorders>
              <w:top w:val="single" w:sz="6" w:space="0" w:color="auto"/>
              <w:left w:val="single" w:sz="6" w:space="0" w:color="auto"/>
              <w:bottom w:val="single" w:sz="6" w:space="0" w:color="auto"/>
              <w:right w:val="single" w:sz="6" w:space="0" w:color="auto"/>
            </w:tcBorders>
          </w:tcPr>
          <w:p w14:paraId="51EA4658"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20</w:t>
            </w:r>
          </w:p>
        </w:tc>
      </w:tr>
      <w:tr w:rsidR="00A74CDF" w:rsidRPr="00F01347" w14:paraId="5D960DB6"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4FE9C524" w14:textId="77777777" w:rsidR="00A74CDF" w:rsidRPr="00F01347" w:rsidRDefault="00A74CDF" w:rsidP="003A601B">
            <w:pPr>
              <w:pStyle w:val="texto0"/>
              <w:spacing w:line="242" w:lineRule="exact"/>
              <w:ind w:firstLine="0"/>
              <w:rPr>
                <w:rFonts w:ascii="Verdana" w:hAnsi="Verdana"/>
                <w:sz w:val="16"/>
                <w:szCs w:val="16"/>
              </w:rPr>
            </w:pPr>
            <w:proofErr w:type="gramStart"/>
            <w:r w:rsidRPr="00F01347">
              <w:rPr>
                <w:rFonts w:ascii="Verdana" w:hAnsi="Verdana"/>
                <w:sz w:val="16"/>
                <w:szCs w:val="16"/>
              </w:rPr>
              <w:t>Manganeso(</w:t>
            </w:r>
            <w:proofErr w:type="gramEnd"/>
            <w:r w:rsidRPr="00F01347">
              <w:rPr>
                <w:rFonts w:ascii="Verdana" w:hAnsi="Verdana"/>
                <w:sz w:val="16"/>
                <w:szCs w:val="16"/>
              </w:rPr>
              <w:t>Mn +2)</w:t>
            </w:r>
          </w:p>
        </w:tc>
        <w:tc>
          <w:tcPr>
            <w:tcW w:w="2458" w:type="dxa"/>
            <w:tcBorders>
              <w:top w:val="single" w:sz="6" w:space="0" w:color="auto"/>
              <w:left w:val="single" w:sz="6" w:space="0" w:color="auto"/>
              <w:bottom w:val="single" w:sz="6" w:space="0" w:color="auto"/>
              <w:right w:val="single" w:sz="6" w:space="0" w:color="auto"/>
            </w:tcBorders>
          </w:tcPr>
          <w:p w14:paraId="563CCFB1"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w:t>
            </w:r>
          </w:p>
        </w:tc>
        <w:tc>
          <w:tcPr>
            <w:tcW w:w="2954" w:type="dxa"/>
            <w:tcBorders>
              <w:top w:val="single" w:sz="6" w:space="0" w:color="auto"/>
              <w:left w:val="single" w:sz="6" w:space="0" w:color="auto"/>
              <w:bottom w:val="single" w:sz="6" w:space="0" w:color="auto"/>
              <w:right w:val="single" w:sz="6" w:space="0" w:color="auto"/>
            </w:tcBorders>
          </w:tcPr>
          <w:p w14:paraId="75F89C6E"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1</w:t>
            </w:r>
          </w:p>
        </w:tc>
      </w:tr>
      <w:tr w:rsidR="00A74CDF" w:rsidRPr="00F01347" w14:paraId="5F23A623"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6098F2BB"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Níquel</w:t>
            </w:r>
          </w:p>
        </w:tc>
        <w:tc>
          <w:tcPr>
            <w:tcW w:w="2458" w:type="dxa"/>
            <w:tcBorders>
              <w:top w:val="single" w:sz="6" w:space="0" w:color="auto"/>
              <w:left w:val="single" w:sz="6" w:space="0" w:color="auto"/>
              <w:bottom w:val="single" w:sz="6" w:space="0" w:color="auto"/>
              <w:right w:val="single" w:sz="6" w:space="0" w:color="auto"/>
            </w:tcBorders>
          </w:tcPr>
          <w:p w14:paraId="66A4D430"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Sobre 20</w:t>
            </w:r>
          </w:p>
        </w:tc>
        <w:tc>
          <w:tcPr>
            <w:tcW w:w="2954" w:type="dxa"/>
            <w:tcBorders>
              <w:top w:val="single" w:sz="6" w:space="0" w:color="auto"/>
              <w:left w:val="single" w:sz="6" w:space="0" w:color="auto"/>
              <w:bottom w:val="single" w:sz="6" w:space="0" w:color="auto"/>
              <w:right w:val="single" w:sz="6" w:space="0" w:color="auto"/>
            </w:tcBorders>
          </w:tcPr>
          <w:p w14:paraId="5C6D10A0"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0.3</w:t>
            </w:r>
          </w:p>
        </w:tc>
      </w:tr>
      <w:tr w:rsidR="00A74CDF" w:rsidRPr="00F01347" w14:paraId="0603B1DF"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75A968A6"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Estroncio</w:t>
            </w:r>
          </w:p>
        </w:tc>
        <w:tc>
          <w:tcPr>
            <w:tcW w:w="2458" w:type="dxa"/>
            <w:tcBorders>
              <w:top w:val="single" w:sz="6" w:space="0" w:color="auto"/>
              <w:left w:val="single" w:sz="6" w:space="0" w:color="auto"/>
              <w:bottom w:val="single" w:sz="6" w:space="0" w:color="auto"/>
              <w:right w:val="single" w:sz="6" w:space="0" w:color="auto"/>
            </w:tcBorders>
          </w:tcPr>
          <w:p w14:paraId="7F20A3A2"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w:t>
            </w:r>
          </w:p>
        </w:tc>
        <w:tc>
          <w:tcPr>
            <w:tcW w:w="2954" w:type="dxa"/>
            <w:tcBorders>
              <w:top w:val="single" w:sz="6" w:space="0" w:color="auto"/>
              <w:left w:val="single" w:sz="6" w:space="0" w:color="auto"/>
              <w:bottom w:val="single" w:sz="6" w:space="0" w:color="auto"/>
              <w:right w:val="single" w:sz="6" w:space="0" w:color="auto"/>
            </w:tcBorders>
          </w:tcPr>
          <w:p w14:paraId="22327D75"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w:t>
            </w:r>
          </w:p>
        </w:tc>
      </w:tr>
      <w:tr w:rsidR="00A74CDF" w:rsidRPr="00F01347" w14:paraId="199FB016"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56CB6C9C"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Zinc</w:t>
            </w:r>
          </w:p>
        </w:tc>
        <w:tc>
          <w:tcPr>
            <w:tcW w:w="2458" w:type="dxa"/>
            <w:tcBorders>
              <w:top w:val="single" w:sz="6" w:space="0" w:color="auto"/>
              <w:left w:val="single" w:sz="6" w:space="0" w:color="auto"/>
              <w:bottom w:val="single" w:sz="6" w:space="0" w:color="auto"/>
              <w:right w:val="single" w:sz="6" w:space="0" w:color="auto"/>
            </w:tcBorders>
          </w:tcPr>
          <w:p w14:paraId="55128A24"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w:t>
            </w:r>
          </w:p>
        </w:tc>
        <w:tc>
          <w:tcPr>
            <w:tcW w:w="2954" w:type="dxa"/>
            <w:tcBorders>
              <w:top w:val="single" w:sz="6" w:space="0" w:color="auto"/>
              <w:left w:val="single" w:sz="6" w:space="0" w:color="auto"/>
              <w:bottom w:val="single" w:sz="6" w:space="0" w:color="auto"/>
              <w:right w:val="single" w:sz="6" w:space="0" w:color="auto"/>
            </w:tcBorders>
          </w:tcPr>
          <w:p w14:paraId="434A6F61"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200</w:t>
            </w:r>
          </w:p>
        </w:tc>
      </w:tr>
      <w:tr w:rsidR="00A74CDF" w:rsidRPr="00F01347" w14:paraId="6836B381" w14:textId="77777777" w:rsidTr="00C1482E">
        <w:trPr>
          <w:trHeight w:val="20"/>
          <w:jc w:val="center"/>
        </w:trPr>
        <w:tc>
          <w:tcPr>
            <w:tcW w:w="3300" w:type="dxa"/>
            <w:tcBorders>
              <w:top w:val="single" w:sz="6" w:space="0" w:color="auto"/>
              <w:left w:val="single" w:sz="6" w:space="0" w:color="auto"/>
              <w:bottom w:val="single" w:sz="6" w:space="0" w:color="auto"/>
              <w:right w:val="single" w:sz="6" w:space="0" w:color="auto"/>
            </w:tcBorders>
          </w:tcPr>
          <w:p w14:paraId="1E32F949"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Polifosfato</w:t>
            </w:r>
          </w:p>
        </w:tc>
        <w:tc>
          <w:tcPr>
            <w:tcW w:w="2458" w:type="dxa"/>
            <w:tcBorders>
              <w:top w:val="single" w:sz="6" w:space="0" w:color="auto"/>
              <w:left w:val="single" w:sz="6" w:space="0" w:color="auto"/>
              <w:bottom w:val="single" w:sz="6" w:space="0" w:color="auto"/>
              <w:right w:val="single" w:sz="6" w:space="0" w:color="auto"/>
            </w:tcBorders>
          </w:tcPr>
          <w:p w14:paraId="24922F53"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w:t>
            </w:r>
          </w:p>
        </w:tc>
        <w:tc>
          <w:tcPr>
            <w:tcW w:w="2954" w:type="dxa"/>
            <w:tcBorders>
              <w:top w:val="single" w:sz="6" w:space="0" w:color="auto"/>
              <w:left w:val="single" w:sz="6" w:space="0" w:color="auto"/>
              <w:bottom w:val="single" w:sz="6" w:space="0" w:color="auto"/>
              <w:right w:val="single" w:sz="6" w:space="0" w:color="auto"/>
            </w:tcBorders>
          </w:tcPr>
          <w:p w14:paraId="172E59C6" w14:textId="77777777" w:rsidR="00A74CDF" w:rsidRPr="00F01347" w:rsidRDefault="00A74CDF" w:rsidP="003A601B">
            <w:pPr>
              <w:pStyle w:val="texto0"/>
              <w:spacing w:line="242" w:lineRule="exact"/>
              <w:ind w:firstLine="0"/>
              <w:jc w:val="center"/>
              <w:rPr>
                <w:rFonts w:ascii="Verdana" w:hAnsi="Verdana"/>
                <w:sz w:val="16"/>
                <w:szCs w:val="16"/>
              </w:rPr>
            </w:pPr>
            <w:r w:rsidRPr="00F01347">
              <w:rPr>
                <w:rFonts w:ascii="Verdana" w:hAnsi="Verdana"/>
                <w:sz w:val="16"/>
                <w:szCs w:val="16"/>
              </w:rPr>
              <w:t>10</w:t>
            </w:r>
          </w:p>
        </w:tc>
      </w:tr>
      <w:tr w:rsidR="00A74CDF" w:rsidRPr="00F01347" w14:paraId="024403D9" w14:textId="77777777" w:rsidTr="00C1482E">
        <w:trPr>
          <w:trHeight w:val="20"/>
          <w:jc w:val="center"/>
        </w:trPr>
        <w:tc>
          <w:tcPr>
            <w:tcW w:w="8712" w:type="dxa"/>
            <w:gridSpan w:val="3"/>
            <w:tcBorders>
              <w:top w:val="single" w:sz="6" w:space="0" w:color="auto"/>
            </w:tcBorders>
          </w:tcPr>
          <w:p w14:paraId="15914D02"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 xml:space="preserve">Esta tabla se basa en el uso de una alícuota de muestra de 25 </w:t>
            </w:r>
            <w:proofErr w:type="spellStart"/>
            <w:r w:rsidRPr="00F01347">
              <w:rPr>
                <w:rFonts w:ascii="Verdana" w:hAnsi="Verdana"/>
                <w:sz w:val="16"/>
                <w:szCs w:val="16"/>
              </w:rPr>
              <w:t>mL</w:t>
            </w:r>
            <w:proofErr w:type="spellEnd"/>
            <w:r w:rsidRPr="00F01347">
              <w:rPr>
                <w:rFonts w:ascii="Verdana" w:hAnsi="Verdana"/>
                <w:sz w:val="16"/>
                <w:szCs w:val="16"/>
              </w:rPr>
              <w:t xml:space="preserve"> diluida a 50 </w:t>
            </w:r>
            <w:proofErr w:type="spellStart"/>
            <w:r w:rsidRPr="00F01347">
              <w:rPr>
                <w:rFonts w:ascii="Verdana" w:hAnsi="Verdana"/>
                <w:sz w:val="16"/>
                <w:szCs w:val="16"/>
              </w:rPr>
              <w:t>mL</w:t>
            </w:r>
            <w:proofErr w:type="spellEnd"/>
          </w:p>
        </w:tc>
      </w:tr>
      <w:tr w:rsidR="00A74CDF" w:rsidRPr="00F01347" w14:paraId="6909572D" w14:textId="77777777" w:rsidTr="00C1482E">
        <w:trPr>
          <w:trHeight w:val="20"/>
          <w:jc w:val="center"/>
        </w:trPr>
        <w:tc>
          <w:tcPr>
            <w:tcW w:w="8712" w:type="dxa"/>
            <w:gridSpan w:val="3"/>
          </w:tcPr>
          <w:p w14:paraId="06543F34" w14:textId="77777777" w:rsidR="00A74CDF" w:rsidRPr="00F01347" w:rsidRDefault="00A74CDF" w:rsidP="003A601B">
            <w:pPr>
              <w:pStyle w:val="texto0"/>
              <w:spacing w:line="242" w:lineRule="exact"/>
              <w:ind w:firstLine="0"/>
              <w:rPr>
                <w:rFonts w:ascii="Verdana" w:hAnsi="Verdana"/>
                <w:sz w:val="16"/>
                <w:szCs w:val="16"/>
              </w:rPr>
            </w:pPr>
            <w:r w:rsidRPr="00F01347">
              <w:rPr>
                <w:rFonts w:ascii="Verdana" w:hAnsi="Verdana"/>
                <w:sz w:val="16"/>
                <w:szCs w:val="16"/>
              </w:rPr>
              <w:t>† Titula como dureza.</w:t>
            </w:r>
          </w:p>
        </w:tc>
      </w:tr>
    </w:tbl>
    <w:p w14:paraId="26624D67" w14:textId="77777777" w:rsidR="00A74CDF" w:rsidRPr="00F01347" w:rsidRDefault="00A74CDF" w:rsidP="003A601B">
      <w:pPr>
        <w:pStyle w:val="texto0"/>
        <w:spacing w:line="242" w:lineRule="exact"/>
        <w:rPr>
          <w:rFonts w:ascii="Verdana" w:hAnsi="Verdana"/>
          <w:sz w:val="16"/>
          <w:szCs w:val="16"/>
        </w:rPr>
      </w:pPr>
    </w:p>
    <w:p w14:paraId="1E038331" w14:textId="77777777" w:rsidR="003D47A5" w:rsidRPr="00F01347" w:rsidRDefault="003D47A5" w:rsidP="003D47A5">
      <w:pPr>
        <w:pStyle w:val="texto0"/>
        <w:spacing w:line="242" w:lineRule="exact"/>
        <w:rPr>
          <w:rFonts w:ascii="Verdana" w:hAnsi="Verdana"/>
          <w:sz w:val="16"/>
          <w:szCs w:val="16"/>
          <w:lang w:val="en"/>
        </w:rPr>
      </w:pPr>
    </w:p>
    <w:p w14:paraId="74460137" w14:textId="77777777" w:rsidR="00C1482E" w:rsidRPr="00F01347" w:rsidRDefault="00C1482E" w:rsidP="003D47A5">
      <w:pPr>
        <w:pStyle w:val="texto0"/>
        <w:spacing w:line="242" w:lineRule="exact"/>
        <w:rPr>
          <w:rFonts w:ascii="Verdana" w:hAnsi="Verdana"/>
          <w:sz w:val="16"/>
          <w:szCs w:val="16"/>
          <w:lang w:val="en"/>
        </w:rPr>
      </w:pPr>
    </w:p>
    <w:tbl>
      <w:tblPr>
        <w:tblW w:w="8715" w:type="dxa"/>
        <w:jc w:val="center"/>
        <w:tblLayout w:type="fixed"/>
        <w:tblCellMar>
          <w:left w:w="72" w:type="dxa"/>
          <w:right w:w="72" w:type="dxa"/>
        </w:tblCellMar>
        <w:tblLook w:val="04A0" w:firstRow="1" w:lastRow="0" w:firstColumn="1" w:lastColumn="0" w:noHBand="0" w:noVBand="1"/>
      </w:tblPr>
      <w:tblGrid>
        <w:gridCol w:w="3302"/>
        <w:gridCol w:w="2458"/>
        <w:gridCol w:w="2955"/>
      </w:tblGrid>
      <w:tr w:rsidR="003D47A5" w:rsidRPr="00F01347" w14:paraId="5296B727" w14:textId="77777777" w:rsidTr="003D47A5">
        <w:trPr>
          <w:trHeight w:val="20"/>
          <w:jc w:val="center"/>
        </w:trPr>
        <w:tc>
          <w:tcPr>
            <w:tcW w:w="7664" w:type="dxa"/>
            <w:gridSpan w:val="3"/>
            <w:tcBorders>
              <w:top w:val="nil"/>
              <w:left w:val="nil"/>
              <w:bottom w:val="single" w:sz="6" w:space="0" w:color="auto"/>
              <w:right w:val="nil"/>
            </w:tcBorders>
            <w:noWrap/>
            <w:hideMark/>
          </w:tcPr>
          <w:p w14:paraId="07CCB05E" w14:textId="74A15D22"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b/>
                <w:sz w:val="16"/>
                <w:szCs w:val="16"/>
                <w:lang w:val="en-US"/>
              </w:rPr>
              <w:lastRenderedPageBreak/>
              <w:t>Table B.10-1</w:t>
            </w:r>
            <w:r w:rsidR="003E1BA9" w:rsidRPr="00F01347">
              <w:rPr>
                <w:rFonts w:ascii="Verdana" w:hAnsi="Verdana"/>
                <w:b/>
                <w:sz w:val="16"/>
                <w:szCs w:val="16"/>
                <w:lang w:val="en-US"/>
              </w:rPr>
              <w:t>.</w:t>
            </w:r>
            <w:r w:rsidRPr="00F01347">
              <w:rPr>
                <w:rFonts w:ascii="Verdana" w:hAnsi="Verdana"/>
                <w:sz w:val="16"/>
                <w:szCs w:val="16"/>
                <w:lang w:val="en-US"/>
              </w:rPr>
              <w:t xml:space="preserve"> Maximum permissible interference concentrations with various inhibitors.</w:t>
            </w:r>
          </w:p>
        </w:tc>
      </w:tr>
      <w:tr w:rsidR="003D47A5" w:rsidRPr="00F01347" w14:paraId="462D8509"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tcPr>
          <w:p w14:paraId="7AFD2510" w14:textId="77777777" w:rsidR="003D47A5" w:rsidRPr="00F01347" w:rsidRDefault="003D47A5">
            <w:pPr>
              <w:pStyle w:val="texto0"/>
              <w:spacing w:line="242" w:lineRule="exact"/>
              <w:ind w:firstLine="0"/>
              <w:rPr>
                <w:rFonts w:ascii="Verdana" w:hAnsi="Verdana"/>
                <w:sz w:val="16"/>
                <w:szCs w:val="16"/>
                <w:lang w:val="en-US"/>
              </w:rPr>
            </w:pPr>
          </w:p>
        </w:tc>
        <w:tc>
          <w:tcPr>
            <w:tcW w:w="4761" w:type="dxa"/>
            <w:gridSpan w:val="2"/>
            <w:tcBorders>
              <w:top w:val="single" w:sz="6" w:space="0" w:color="auto"/>
              <w:left w:val="single" w:sz="6" w:space="0" w:color="auto"/>
              <w:bottom w:val="single" w:sz="6" w:space="0" w:color="auto"/>
              <w:right w:val="single" w:sz="6" w:space="0" w:color="auto"/>
            </w:tcBorders>
            <w:hideMark/>
          </w:tcPr>
          <w:p w14:paraId="5C83C51B"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Max. Interference Substance Concentration mg/L</w:t>
            </w:r>
          </w:p>
        </w:tc>
      </w:tr>
      <w:tr w:rsidR="003D47A5" w:rsidRPr="00F01347" w14:paraId="66907D11"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hideMark/>
          </w:tcPr>
          <w:p w14:paraId="5B557725"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Interference substance</w:t>
            </w:r>
          </w:p>
        </w:tc>
        <w:tc>
          <w:tcPr>
            <w:tcW w:w="2162" w:type="dxa"/>
            <w:tcBorders>
              <w:top w:val="single" w:sz="6" w:space="0" w:color="auto"/>
              <w:left w:val="single" w:sz="6" w:space="0" w:color="auto"/>
              <w:bottom w:val="single" w:sz="6" w:space="0" w:color="auto"/>
              <w:right w:val="single" w:sz="6" w:space="0" w:color="auto"/>
            </w:tcBorders>
            <w:hideMark/>
          </w:tcPr>
          <w:p w14:paraId="78C8AE37"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Inhibitor I</w:t>
            </w:r>
          </w:p>
        </w:tc>
        <w:tc>
          <w:tcPr>
            <w:tcW w:w="2599" w:type="dxa"/>
            <w:tcBorders>
              <w:top w:val="single" w:sz="6" w:space="0" w:color="auto"/>
              <w:left w:val="single" w:sz="6" w:space="0" w:color="auto"/>
              <w:bottom w:val="single" w:sz="6" w:space="0" w:color="auto"/>
              <w:right w:val="single" w:sz="6" w:space="0" w:color="auto"/>
            </w:tcBorders>
            <w:hideMark/>
          </w:tcPr>
          <w:p w14:paraId="45D063C6"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Inhibitor II</w:t>
            </w:r>
          </w:p>
        </w:tc>
      </w:tr>
      <w:tr w:rsidR="003D47A5" w:rsidRPr="00F01347" w14:paraId="0C20CC02"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hideMark/>
          </w:tcPr>
          <w:p w14:paraId="501AE2B8"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Aluminum</w:t>
            </w:r>
          </w:p>
        </w:tc>
        <w:tc>
          <w:tcPr>
            <w:tcW w:w="2162" w:type="dxa"/>
            <w:tcBorders>
              <w:top w:val="single" w:sz="6" w:space="0" w:color="auto"/>
              <w:left w:val="single" w:sz="6" w:space="0" w:color="auto"/>
              <w:bottom w:val="single" w:sz="6" w:space="0" w:color="auto"/>
              <w:right w:val="single" w:sz="6" w:space="0" w:color="auto"/>
            </w:tcBorders>
            <w:hideMark/>
          </w:tcPr>
          <w:p w14:paraId="32789C1D" w14:textId="3811E068" w:rsidR="003D47A5" w:rsidRPr="00F01347" w:rsidRDefault="003A6279">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20</w:t>
            </w:r>
          </w:p>
        </w:tc>
        <w:tc>
          <w:tcPr>
            <w:tcW w:w="2599" w:type="dxa"/>
            <w:tcBorders>
              <w:top w:val="single" w:sz="6" w:space="0" w:color="auto"/>
              <w:left w:val="single" w:sz="6" w:space="0" w:color="auto"/>
              <w:bottom w:val="single" w:sz="6" w:space="0" w:color="auto"/>
              <w:right w:val="single" w:sz="6" w:space="0" w:color="auto"/>
            </w:tcBorders>
            <w:hideMark/>
          </w:tcPr>
          <w:p w14:paraId="5809D442" w14:textId="2BBD2B96" w:rsidR="003D47A5" w:rsidRPr="00F01347" w:rsidRDefault="003A6279">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20</w:t>
            </w:r>
          </w:p>
        </w:tc>
      </w:tr>
      <w:tr w:rsidR="003D47A5" w:rsidRPr="00F01347" w14:paraId="75200B82"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hideMark/>
          </w:tcPr>
          <w:p w14:paraId="613F2F02"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Barium</w:t>
            </w:r>
          </w:p>
        </w:tc>
        <w:tc>
          <w:tcPr>
            <w:tcW w:w="2162" w:type="dxa"/>
            <w:tcBorders>
              <w:top w:val="single" w:sz="6" w:space="0" w:color="auto"/>
              <w:left w:val="single" w:sz="6" w:space="0" w:color="auto"/>
              <w:bottom w:val="single" w:sz="6" w:space="0" w:color="auto"/>
              <w:right w:val="single" w:sz="6" w:space="0" w:color="auto"/>
            </w:tcBorders>
            <w:hideMark/>
          </w:tcPr>
          <w:p w14:paraId="4FFB481A"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w:t>
            </w:r>
          </w:p>
        </w:tc>
        <w:tc>
          <w:tcPr>
            <w:tcW w:w="2599" w:type="dxa"/>
            <w:tcBorders>
              <w:top w:val="single" w:sz="6" w:space="0" w:color="auto"/>
              <w:left w:val="single" w:sz="6" w:space="0" w:color="auto"/>
              <w:bottom w:val="single" w:sz="6" w:space="0" w:color="auto"/>
              <w:right w:val="single" w:sz="6" w:space="0" w:color="auto"/>
            </w:tcBorders>
            <w:hideMark/>
          </w:tcPr>
          <w:p w14:paraId="7609E841"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w:t>
            </w:r>
          </w:p>
        </w:tc>
      </w:tr>
      <w:tr w:rsidR="003D47A5" w:rsidRPr="00F01347" w14:paraId="45C2CF77"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hideMark/>
          </w:tcPr>
          <w:p w14:paraId="69666AD7"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Cadmium</w:t>
            </w:r>
          </w:p>
        </w:tc>
        <w:tc>
          <w:tcPr>
            <w:tcW w:w="2162" w:type="dxa"/>
            <w:tcBorders>
              <w:top w:val="single" w:sz="6" w:space="0" w:color="auto"/>
              <w:left w:val="single" w:sz="6" w:space="0" w:color="auto"/>
              <w:bottom w:val="single" w:sz="6" w:space="0" w:color="auto"/>
              <w:right w:val="single" w:sz="6" w:space="0" w:color="auto"/>
            </w:tcBorders>
            <w:hideMark/>
          </w:tcPr>
          <w:p w14:paraId="191DBA9C"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w:t>
            </w:r>
          </w:p>
        </w:tc>
        <w:tc>
          <w:tcPr>
            <w:tcW w:w="2599" w:type="dxa"/>
            <w:tcBorders>
              <w:top w:val="single" w:sz="6" w:space="0" w:color="auto"/>
              <w:left w:val="single" w:sz="6" w:space="0" w:color="auto"/>
              <w:bottom w:val="single" w:sz="6" w:space="0" w:color="auto"/>
              <w:right w:val="single" w:sz="6" w:space="0" w:color="auto"/>
            </w:tcBorders>
            <w:hideMark/>
          </w:tcPr>
          <w:p w14:paraId="248CB9DB" w14:textId="18B61DF1" w:rsidR="003D47A5" w:rsidRPr="00F01347" w:rsidRDefault="003A6279">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20</w:t>
            </w:r>
          </w:p>
        </w:tc>
      </w:tr>
      <w:tr w:rsidR="003D47A5" w:rsidRPr="00F01347" w14:paraId="72786A93"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hideMark/>
          </w:tcPr>
          <w:p w14:paraId="5D9DD7F4"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Cobalt</w:t>
            </w:r>
          </w:p>
        </w:tc>
        <w:tc>
          <w:tcPr>
            <w:tcW w:w="2162" w:type="dxa"/>
            <w:tcBorders>
              <w:top w:val="single" w:sz="6" w:space="0" w:color="auto"/>
              <w:left w:val="single" w:sz="6" w:space="0" w:color="auto"/>
              <w:bottom w:val="single" w:sz="6" w:space="0" w:color="auto"/>
              <w:right w:val="single" w:sz="6" w:space="0" w:color="auto"/>
            </w:tcBorders>
            <w:hideMark/>
          </w:tcPr>
          <w:p w14:paraId="0B728FAC"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About 20</w:t>
            </w:r>
          </w:p>
        </w:tc>
        <w:tc>
          <w:tcPr>
            <w:tcW w:w="2599" w:type="dxa"/>
            <w:tcBorders>
              <w:top w:val="single" w:sz="6" w:space="0" w:color="auto"/>
              <w:left w:val="single" w:sz="6" w:space="0" w:color="auto"/>
              <w:bottom w:val="single" w:sz="6" w:space="0" w:color="auto"/>
              <w:right w:val="single" w:sz="6" w:space="0" w:color="auto"/>
            </w:tcBorders>
            <w:hideMark/>
          </w:tcPr>
          <w:p w14:paraId="44FE7FC4"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0.3</w:t>
            </w:r>
          </w:p>
        </w:tc>
      </w:tr>
      <w:tr w:rsidR="003D47A5" w:rsidRPr="00F01347" w14:paraId="16631644"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hideMark/>
          </w:tcPr>
          <w:p w14:paraId="109D8A95"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Copper</w:t>
            </w:r>
          </w:p>
        </w:tc>
        <w:tc>
          <w:tcPr>
            <w:tcW w:w="2162" w:type="dxa"/>
            <w:tcBorders>
              <w:top w:val="single" w:sz="6" w:space="0" w:color="auto"/>
              <w:left w:val="single" w:sz="6" w:space="0" w:color="auto"/>
              <w:bottom w:val="single" w:sz="6" w:space="0" w:color="auto"/>
              <w:right w:val="single" w:sz="6" w:space="0" w:color="auto"/>
            </w:tcBorders>
            <w:hideMark/>
          </w:tcPr>
          <w:p w14:paraId="06DA2F4E"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Over 30</w:t>
            </w:r>
          </w:p>
        </w:tc>
        <w:tc>
          <w:tcPr>
            <w:tcW w:w="2599" w:type="dxa"/>
            <w:tcBorders>
              <w:top w:val="single" w:sz="6" w:space="0" w:color="auto"/>
              <w:left w:val="single" w:sz="6" w:space="0" w:color="auto"/>
              <w:bottom w:val="single" w:sz="6" w:space="0" w:color="auto"/>
              <w:right w:val="single" w:sz="6" w:space="0" w:color="auto"/>
            </w:tcBorders>
            <w:hideMark/>
          </w:tcPr>
          <w:p w14:paraId="7B556726" w14:textId="4BFBDDFA" w:rsidR="003D47A5" w:rsidRPr="00F01347" w:rsidRDefault="003A6279">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20</w:t>
            </w:r>
          </w:p>
        </w:tc>
      </w:tr>
      <w:tr w:rsidR="003D47A5" w:rsidRPr="00F01347" w14:paraId="47EB6466"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hideMark/>
          </w:tcPr>
          <w:p w14:paraId="7259F31C"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Iron</w:t>
            </w:r>
          </w:p>
        </w:tc>
        <w:tc>
          <w:tcPr>
            <w:tcW w:w="2162" w:type="dxa"/>
            <w:tcBorders>
              <w:top w:val="single" w:sz="6" w:space="0" w:color="auto"/>
              <w:left w:val="single" w:sz="6" w:space="0" w:color="auto"/>
              <w:bottom w:val="single" w:sz="6" w:space="0" w:color="auto"/>
              <w:right w:val="single" w:sz="6" w:space="0" w:color="auto"/>
            </w:tcBorders>
            <w:hideMark/>
          </w:tcPr>
          <w:p w14:paraId="7FD07327"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Over 30</w:t>
            </w:r>
          </w:p>
        </w:tc>
        <w:tc>
          <w:tcPr>
            <w:tcW w:w="2599" w:type="dxa"/>
            <w:tcBorders>
              <w:top w:val="single" w:sz="6" w:space="0" w:color="auto"/>
              <w:left w:val="single" w:sz="6" w:space="0" w:color="auto"/>
              <w:bottom w:val="single" w:sz="6" w:space="0" w:color="auto"/>
              <w:right w:val="single" w:sz="6" w:space="0" w:color="auto"/>
            </w:tcBorders>
            <w:hideMark/>
          </w:tcPr>
          <w:p w14:paraId="7ADE9447"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5</w:t>
            </w:r>
          </w:p>
        </w:tc>
      </w:tr>
      <w:tr w:rsidR="003D47A5" w:rsidRPr="00F01347" w14:paraId="3ADFBD73"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hideMark/>
          </w:tcPr>
          <w:p w14:paraId="2C777998"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Lead</w:t>
            </w:r>
          </w:p>
        </w:tc>
        <w:tc>
          <w:tcPr>
            <w:tcW w:w="2162" w:type="dxa"/>
            <w:tcBorders>
              <w:top w:val="single" w:sz="6" w:space="0" w:color="auto"/>
              <w:left w:val="single" w:sz="6" w:space="0" w:color="auto"/>
              <w:bottom w:val="single" w:sz="6" w:space="0" w:color="auto"/>
              <w:right w:val="single" w:sz="6" w:space="0" w:color="auto"/>
            </w:tcBorders>
            <w:hideMark/>
          </w:tcPr>
          <w:p w14:paraId="7E807C34"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w:t>
            </w:r>
          </w:p>
        </w:tc>
        <w:tc>
          <w:tcPr>
            <w:tcW w:w="2599" w:type="dxa"/>
            <w:tcBorders>
              <w:top w:val="single" w:sz="6" w:space="0" w:color="auto"/>
              <w:left w:val="single" w:sz="6" w:space="0" w:color="auto"/>
              <w:bottom w:val="single" w:sz="6" w:space="0" w:color="auto"/>
              <w:right w:val="single" w:sz="6" w:space="0" w:color="auto"/>
            </w:tcBorders>
            <w:hideMark/>
          </w:tcPr>
          <w:p w14:paraId="2229DBBE" w14:textId="67C6D37C" w:rsidR="003D47A5" w:rsidRPr="00F01347" w:rsidRDefault="003A6279">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20</w:t>
            </w:r>
          </w:p>
        </w:tc>
      </w:tr>
      <w:tr w:rsidR="003D47A5" w:rsidRPr="00F01347" w14:paraId="11C2C1CB"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hideMark/>
          </w:tcPr>
          <w:p w14:paraId="3473ABCF" w14:textId="65345B4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 xml:space="preserve">Manganese </w:t>
            </w:r>
            <w:r w:rsidR="00CB209C" w:rsidRPr="00F01347">
              <w:rPr>
                <w:rFonts w:ascii="Verdana" w:hAnsi="Verdana"/>
                <w:sz w:val="16"/>
                <w:szCs w:val="16"/>
                <w:lang w:val="en-US"/>
              </w:rPr>
              <w:t>(</w:t>
            </w:r>
            <w:r w:rsidRPr="00F01347">
              <w:rPr>
                <w:rFonts w:ascii="Verdana" w:hAnsi="Verdana"/>
                <w:sz w:val="16"/>
                <w:szCs w:val="16"/>
                <w:lang w:val="en-US"/>
              </w:rPr>
              <w:t>Mn +2)</w:t>
            </w:r>
          </w:p>
        </w:tc>
        <w:tc>
          <w:tcPr>
            <w:tcW w:w="2162" w:type="dxa"/>
            <w:tcBorders>
              <w:top w:val="single" w:sz="6" w:space="0" w:color="auto"/>
              <w:left w:val="single" w:sz="6" w:space="0" w:color="auto"/>
              <w:bottom w:val="single" w:sz="6" w:space="0" w:color="auto"/>
              <w:right w:val="single" w:sz="6" w:space="0" w:color="auto"/>
            </w:tcBorders>
            <w:hideMark/>
          </w:tcPr>
          <w:p w14:paraId="54930588"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w:t>
            </w:r>
          </w:p>
        </w:tc>
        <w:tc>
          <w:tcPr>
            <w:tcW w:w="2599" w:type="dxa"/>
            <w:tcBorders>
              <w:top w:val="single" w:sz="6" w:space="0" w:color="auto"/>
              <w:left w:val="single" w:sz="6" w:space="0" w:color="auto"/>
              <w:bottom w:val="single" w:sz="6" w:space="0" w:color="auto"/>
              <w:right w:val="single" w:sz="6" w:space="0" w:color="auto"/>
            </w:tcBorders>
            <w:hideMark/>
          </w:tcPr>
          <w:p w14:paraId="27480A60"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1</w:t>
            </w:r>
          </w:p>
        </w:tc>
      </w:tr>
      <w:tr w:rsidR="003D47A5" w:rsidRPr="00F01347" w14:paraId="63E5E689"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hideMark/>
          </w:tcPr>
          <w:p w14:paraId="77915612"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Nickel</w:t>
            </w:r>
          </w:p>
        </w:tc>
        <w:tc>
          <w:tcPr>
            <w:tcW w:w="2162" w:type="dxa"/>
            <w:tcBorders>
              <w:top w:val="single" w:sz="6" w:space="0" w:color="auto"/>
              <w:left w:val="single" w:sz="6" w:space="0" w:color="auto"/>
              <w:bottom w:val="single" w:sz="6" w:space="0" w:color="auto"/>
              <w:right w:val="single" w:sz="6" w:space="0" w:color="auto"/>
            </w:tcBorders>
            <w:hideMark/>
          </w:tcPr>
          <w:p w14:paraId="1D9FDBC4"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About 20</w:t>
            </w:r>
          </w:p>
        </w:tc>
        <w:tc>
          <w:tcPr>
            <w:tcW w:w="2599" w:type="dxa"/>
            <w:tcBorders>
              <w:top w:val="single" w:sz="6" w:space="0" w:color="auto"/>
              <w:left w:val="single" w:sz="6" w:space="0" w:color="auto"/>
              <w:bottom w:val="single" w:sz="6" w:space="0" w:color="auto"/>
              <w:right w:val="single" w:sz="6" w:space="0" w:color="auto"/>
            </w:tcBorders>
            <w:hideMark/>
          </w:tcPr>
          <w:p w14:paraId="18BE9EFC"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0.3</w:t>
            </w:r>
          </w:p>
        </w:tc>
      </w:tr>
      <w:tr w:rsidR="003D47A5" w:rsidRPr="00F01347" w14:paraId="28760276"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hideMark/>
          </w:tcPr>
          <w:p w14:paraId="05CA106E"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Strontium</w:t>
            </w:r>
          </w:p>
        </w:tc>
        <w:tc>
          <w:tcPr>
            <w:tcW w:w="2162" w:type="dxa"/>
            <w:tcBorders>
              <w:top w:val="single" w:sz="6" w:space="0" w:color="auto"/>
              <w:left w:val="single" w:sz="6" w:space="0" w:color="auto"/>
              <w:bottom w:val="single" w:sz="6" w:space="0" w:color="auto"/>
              <w:right w:val="single" w:sz="6" w:space="0" w:color="auto"/>
            </w:tcBorders>
            <w:hideMark/>
          </w:tcPr>
          <w:p w14:paraId="33E50CB3"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w:t>
            </w:r>
          </w:p>
        </w:tc>
        <w:tc>
          <w:tcPr>
            <w:tcW w:w="2599" w:type="dxa"/>
            <w:tcBorders>
              <w:top w:val="single" w:sz="6" w:space="0" w:color="auto"/>
              <w:left w:val="single" w:sz="6" w:space="0" w:color="auto"/>
              <w:bottom w:val="single" w:sz="6" w:space="0" w:color="auto"/>
              <w:right w:val="single" w:sz="6" w:space="0" w:color="auto"/>
            </w:tcBorders>
            <w:hideMark/>
          </w:tcPr>
          <w:p w14:paraId="75250677"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w:t>
            </w:r>
          </w:p>
        </w:tc>
      </w:tr>
      <w:tr w:rsidR="003D47A5" w:rsidRPr="00F01347" w14:paraId="61DC75ED"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hideMark/>
          </w:tcPr>
          <w:p w14:paraId="52492CD4"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Zinc</w:t>
            </w:r>
          </w:p>
        </w:tc>
        <w:tc>
          <w:tcPr>
            <w:tcW w:w="2162" w:type="dxa"/>
            <w:tcBorders>
              <w:top w:val="single" w:sz="6" w:space="0" w:color="auto"/>
              <w:left w:val="single" w:sz="6" w:space="0" w:color="auto"/>
              <w:bottom w:val="single" w:sz="6" w:space="0" w:color="auto"/>
              <w:right w:val="single" w:sz="6" w:space="0" w:color="auto"/>
            </w:tcBorders>
            <w:hideMark/>
          </w:tcPr>
          <w:p w14:paraId="5C499130"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w:t>
            </w:r>
          </w:p>
        </w:tc>
        <w:tc>
          <w:tcPr>
            <w:tcW w:w="2599" w:type="dxa"/>
            <w:tcBorders>
              <w:top w:val="single" w:sz="6" w:space="0" w:color="auto"/>
              <w:left w:val="single" w:sz="6" w:space="0" w:color="auto"/>
              <w:bottom w:val="single" w:sz="6" w:space="0" w:color="auto"/>
              <w:right w:val="single" w:sz="6" w:space="0" w:color="auto"/>
            </w:tcBorders>
            <w:hideMark/>
          </w:tcPr>
          <w:p w14:paraId="0D53C5EB"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200</w:t>
            </w:r>
          </w:p>
        </w:tc>
      </w:tr>
      <w:tr w:rsidR="003D47A5" w:rsidRPr="00F01347" w14:paraId="6F2743B4" w14:textId="77777777" w:rsidTr="003D47A5">
        <w:trPr>
          <w:trHeight w:val="20"/>
          <w:jc w:val="center"/>
        </w:trPr>
        <w:tc>
          <w:tcPr>
            <w:tcW w:w="2903" w:type="dxa"/>
            <w:tcBorders>
              <w:top w:val="single" w:sz="6" w:space="0" w:color="auto"/>
              <w:left w:val="single" w:sz="6" w:space="0" w:color="auto"/>
              <w:bottom w:val="single" w:sz="6" w:space="0" w:color="auto"/>
              <w:right w:val="single" w:sz="6" w:space="0" w:color="auto"/>
            </w:tcBorders>
            <w:hideMark/>
          </w:tcPr>
          <w:p w14:paraId="61A4EFB8"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Polyphosphate</w:t>
            </w:r>
          </w:p>
        </w:tc>
        <w:tc>
          <w:tcPr>
            <w:tcW w:w="2162" w:type="dxa"/>
            <w:tcBorders>
              <w:top w:val="single" w:sz="6" w:space="0" w:color="auto"/>
              <w:left w:val="single" w:sz="6" w:space="0" w:color="auto"/>
              <w:bottom w:val="single" w:sz="6" w:space="0" w:color="auto"/>
              <w:right w:val="single" w:sz="6" w:space="0" w:color="auto"/>
            </w:tcBorders>
            <w:hideMark/>
          </w:tcPr>
          <w:p w14:paraId="0F8D51E5"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w:t>
            </w:r>
          </w:p>
        </w:tc>
        <w:tc>
          <w:tcPr>
            <w:tcW w:w="2599" w:type="dxa"/>
            <w:tcBorders>
              <w:top w:val="single" w:sz="6" w:space="0" w:color="auto"/>
              <w:left w:val="single" w:sz="6" w:space="0" w:color="auto"/>
              <w:bottom w:val="single" w:sz="6" w:space="0" w:color="auto"/>
              <w:right w:val="single" w:sz="6" w:space="0" w:color="auto"/>
            </w:tcBorders>
            <w:hideMark/>
          </w:tcPr>
          <w:p w14:paraId="3B8B6ED2" w14:textId="77777777" w:rsidR="003D47A5" w:rsidRPr="00F01347" w:rsidRDefault="003D47A5">
            <w:pPr>
              <w:pStyle w:val="texto0"/>
              <w:spacing w:line="242" w:lineRule="exact"/>
              <w:ind w:firstLine="0"/>
              <w:jc w:val="center"/>
              <w:rPr>
                <w:rFonts w:ascii="Verdana" w:hAnsi="Verdana"/>
                <w:sz w:val="16"/>
                <w:szCs w:val="16"/>
                <w:lang w:val="en-US"/>
              </w:rPr>
            </w:pPr>
            <w:r w:rsidRPr="00F01347">
              <w:rPr>
                <w:rFonts w:ascii="Verdana" w:hAnsi="Verdana"/>
                <w:sz w:val="16"/>
                <w:szCs w:val="16"/>
                <w:lang w:val="en-US"/>
              </w:rPr>
              <w:t>10</w:t>
            </w:r>
          </w:p>
        </w:tc>
      </w:tr>
      <w:tr w:rsidR="003D47A5" w:rsidRPr="00F01347" w14:paraId="27512450" w14:textId="77777777" w:rsidTr="003D47A5">
        <w:trPr>
          <w:trHeight w:val="20"/>
          <w:jc w:val="center"/>
        </w:trPr>
        <w:tc>
          <w:tcPr>
            <w:tcW w:w="7664" w:type="dxa"/>
            <w:gridSpan w:val="3"/>
            <w:tcBorders>
              <w:top w:val="single" w:sz="6" w:space="0" w:color="auto"/>
              <w:left w:val="nil"/>
              <w:bottom w:val="nil"/>
              <w:right w:val="nil"/>
            </w:tcBorders>
            <w:hideMark/>
          </w:tcPr>
          <w:p w14:paraId="505D534A"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mL sample aliquot diluted to 50 mL</w:t>
            </w:r>
          </w:p>
        </w:tc>
      </w:tr>
      <w:tr w:rsidR="003D47A5" w:rsidRPr="00F01347" w14:paraId="41403FC2" w14:textId="77777777" w:rsidTr="003D47A5">
        <w:trPr>
          <w:trHeight w:val="20"/>
          <w:jc w:val="center"/>
        </w:trPr>
        <w:tc>
          <w:tcPr>
            <w:tcW w:w="7664" w:type="dxa"/>
            <w:gridSpan w:val="3"/>
            <w:hideMark/>
          </w:tcPr>
          <w:p w14:paraId="6EEAD026" w14:textId="77777777" w:rsidR="003D47A5" w:rsidRPr="00F01347" w:rsidRDefault="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 Titled as hardness.</w:t>
            </w:r>
          </w:p>
        </w:tc>
      </w:tr>
    </w:tbl>
    <w:p w14:paraId="58DADC5A" w14:textId="77777777" w:rsidR="003D47A5" w:rsidRPr="00F01347" w:rsidRDefault="003D47A5" w:rsidP="003D47A5">
      <w:pPr>
        <w:pStyle w:val="texto0"/>
        <w:spacing w:line="242" w:lineRule="exact"/>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D47A5" w:rsidRPr="00F01347" w14:paraId="70B215BB" w14:textId="13B42383" w:rsidTr="00C027CB">
        <w:tc>
          <w:tcPr>
            <w:tcW w:w="4675" w:type="dxa"/>
          </w:tcPr>
          <w:p w14:paraId="6D1F9C0A" w14:textId="77777777" w:rsidR="003D47A5" w:rsidRPr="00F01347" w:rsidRDefault="003D47A5" w:rsidP="003D47A5">
            <w:pPr>
              <w:pStyle w:val="texto0"/>
              <w:spacing w:line="242" w:lineRule="exact"/>
              <w:ind w:firstLine="0"/>
              <w:rPr>
                <w:rFonts w:ascii="Verdana" w:hAnsi="Verdana"/>
                <w:sz w:val="16"/>
                <w:szCs w:val="16"/>
              </w:rPr>
            </w:pPr>
            <w:r w:rsidRPr="00F01347">
              <w:rPr>
                <w:rFonts w:ascii="Verdana" w:hAnsi="Verdana"/>
                <w:sz w:val="16"/>
                <w:szCs w:val="16"/>
              </w:rPr>
              <w:t xml:space="preserve">Para la mayoría de las aguas no son necesarios estos agentes complejantes. Si es necesario usarlos </w:t>
            </w:r>
            <w:proofErr w:type="gramStart"/>
            <w:r w:rsidRPr="00F01347">
              <w:rPr>
                <w:rFonts w:ascii="Verdana" w:hAnsi="Verdana"/>
                <w:sz w:val="16"/>
                <w:szCs w:val="16"/>
              </w:rPr>
              <w:t>de acuerdo a</w:t>
            </w:r>
            <w:proofErr w:type="gramEnd"/>
            <w:r w:rsidRPr="00F01347">
              <w:rPr>
                <w:rFonts w:ascii="Verdana" w:hAnsi="Verdana"/>
                <w:sz w:val="16"/>
                <w:szCs w:val="16"/>
              </w:rPr>
              <w:t xml:space="preserve"> tabla anterior.</w:t>
            </w:r>
          </w:p>
        </w:tc>
        <w:tc>
          <w:tcPr>
            <w:tcW w:w="4675" w:type="dxa"/>
          </w:tcPr>
          <w:p w14:paraId="00C326F8" w14:textId="4328820F" w:rsidR="003D47A5" w:rsidRPr="00F01347" w:rsidRDefault="003D47A5" w:rsidP="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For most waters these complexing agents are not necessary. If necessary, use them according to the previous table.</w:t>
            </w:r>
          </w:p>
        </w:tc>
      </w:tr>
      <w:tr w:rsidR="003D47A5" w:rsidRPr="00F01347" w14:paraId="2B9BF03A" w14:textId="19714431" w:rsidTr="00C027CB">
        <w:tc>
          <w:tcPr>
            <w:tcW w:w="4675" w:type="dxa"/>
          </w:tcPr>
          <w:p w14:paraId="7AF88890" w14:textId="77777777" w:rsidR="003D47A5" w:rsidRPr="00F01347" w:rsidRDefault="003D47A5" w:rsidP="003D47A5">
            <w:pPr>
              <w:pStyle w:val="texto0"/>
              <w:spacing w:line="242" w:lineRule="exact"/>
              <w:ind w:firstLine="0"/>
              <w:rPr>
                <w:rFonts w:ascii="Verdana" w:hAnsi="Verdana"/>
                <w:sz w:val="16"/>
                <w:szCs w:val="16"/>
              </w:rPr>
            </w:pPr>
            <w:r w:rsidRPr="00F01347">
              <w:rPr>
                <w:rFonts w:ascii="Verdana" w:hAnsi="Verdana"/>
                <w:sz w:val="16"/>
                <w:szCs w:val="16"/>
              </w:rPr>
              <w:t xml:space="preserve">1) Inhibidor I: Ajustar las muestras acidas a pH 6 o más alto con disolución amortiguadora o </w:t>
            </w:r>
            <w:proofErr w:type="gramStart"/>
            <w:r w:rsidRPr="00F01347">
              <w:rPr>
                <w:rFonts w:ascii="Verdana" w:hAnsi="Verdana"/>
                <w:sz w:val="16"/>
                <w:szCs w:val="16"/>
              </w:rPr>
              <w:t>con  NaOH</w:t>
            </w:r>
            <w:proofErr w:type="gramEnd"/>
            <w:r w:rsidRPr="00F01347">
              <w:rPr>
                <w:rFonts w:ascii="Verdana" w:hAnsi="Verdana"/>
                <w:sz w:val="16"/>
                <w:szCs w:val="16"/>
              </w:rPr>
              <w:t xml:space="preserve"> 0.01 N. Agregar 250 mg de cianuro de sodio en polvo. Adicionar suficiente disolución amortiguadora para alcanzar pH de 10±0.1 (tomar precaución en su uso, puesto que el cianuro es extremadamente venenoso). Tomar especial precaución para prevenir su contacto con ácidos, lo cual puede liberar al volátil y venenoso cianuro de hidrógeno.</w:t>
            </w:r>
          </w:p>
        </w:tc>
        <w:tc>
          <w:tcPr>
            <w:tcW w:w="4675" w:type="dxa"/>
          </w:tcPr>
          <w:p w14:paraId="2951D143" w14:textId="334D2833" w:rsidR="003D47A5" w:rsidRPr="00F01347" w:rsidRDefault="003D47A5" w:rsidP="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1) Inhibitor I: Adjust acidic samples to pH 6 or higher with buffer solution or 0.01 N NaOH</w:t>
            </w:r>
            <w:r w:rsidR="003E1BA9" w:rsidRPr="00F01347">
              <w:rPr>
                <w:rFonts w:ascii="Verdana" w:hAnsi="Verdana"/>
                <w:sz w:val="16"/>
                <w:szCs w:val="16"/>
                <w:lang w:val="en-US"/>
              </w:rPr>
              <w:t>.</w:t>
            </w:r>
            <w:r w:rsidRPr="00F01347">
              <w:rPr>
                <w:rFonts w:ascii="Verdana" w:hAnsi="Verdana"/>
                <w:sz w:val="16"/>
                <w:szCs w:val="16"/>
                <w:lang w:val="en-US"/>
              </w:rPr>
              <w:t xml:space="preserve"> Add 250 mg of sodium cyanide powder. Add enough buffer solution to reach a pH of 10±0.1 (take caution when using it, since cyanide is extremely poisonous). Take special precaution to prevent contact with acids, which can release the volatile and poisonous hydrogen cyanide.</w:t>
            </w:r>
          </w:p>
        </w:tc>
      </w:tr>
      <w:tr w:rsidR="003D47A5" w:rsidRPr="00F01347" w14:paraId="121E4E52" w14:textId="1545A0A7" w:rsidTr="00C027CB">
        <w:tc>
          <w:tcPr>
            <w:tcW w:w="4675" w:type="dxa"/>
          </w:tcPr>
          <w:p w14:paraId="185BBAE9" w14:textId="664E3445" w:rsidR="003D47A5" w:rsidRPr="00F01347" w:rsidRDefault="003D47A5" w:rsidP="003D47A5">
            <w:pPr>
              <w:pStyle w:val="texto0"/>
              <w:spacing w:line="242" w:lineRule="exact"/>
              <w:ind w:firstLine="0"/>
              <w:rPr>
                <w:rFonts w:ascii="Verdana" w:hAnsi="Verdana"/>
                <w:sz w:val="16"/>
                <w:szCs w:val="16"/>
              </w:rPr>
            </w:pPr>
            <w:r w:rsidRPr="00F01347">
              <w:rPr>
                <w:rFonts w:ascii="Verdana" w:hAnsi="Verdana"/>
                <w:sz w:val="16"/>
                <w:szCs w:val="16"/>
              </w:rPr>
              <w:t xml:space="preserve">2) Inhibidor II: Disolver 5.0 g de sulfuro de sodio </w:t>
            </w:r>
            <w:proofErr w:type="spellStart"/>
            <w:r w:rsidRPr="00F01347">
              <w:rPr>
                <w:rFonts w:ascii="Verdana" w:hAnsi="Verdana"/>
                <w:sz w:val="16"/>
                <w:szCs w:val="16"/>
              </w:rPr>
              <w:t>nonahidratado</w:t>
            </w:r>
            <w:proofErr w:type="spellEnd"/>
            <w:r w:rsidRPr="00F01347">
              <w:rPr>
                <w:rFonts w:ascii="Verdana" w:hAnsi="Verdana"/>
                <w:sz w:val="16"/>
                <w:szCs w:val="16"/>
              </w:rPr>
              <w:t>, NaS·9H</w:t>
            </w:r>
            <w:r w:rsidRPr="00F01347">
              <w:rPr>
                <w:rFonts w:ascii="Verdana" w:hAnsi="Verdana"/>
                <w:sz w:val="16"/>
                <w:szCs w:val="16"/>
                <w:vertAlign w:val="subscript"/>
              </w:rPr>
              <w:t>2</w:t>
            </w:r>
            <w:r w:rsidRPr="00F01347">
              <w:rPr>
                <w:rFonts w:ascii="Verdana" w:hAnsi="Verdana"/>
                <w:sz w:val="16"/>
                <w:szCs w:val="16"/>
              </w:rPr>
              <w:t>O, o 3.7 g de NaS·5H</w:t>
            </w:r>
            <w:r w:rsidRPr="00F01347">
              <w:rPr>
                <w:rFonts w:ascii="Verdana" w:hAnsi="Verdana"/>
                <w:sz w:val="16"/>
                <w:szCs w:val="16"/>
                <w:vertAlign w:val="subscript"/>
              </w:rPr>
              <w:t>2</w:t>
            </w:r>
            <w:r w:rsidRPr="00F01347">
              <w:rPr>
                <w:rFonts w:ascii="Verdana" w:hAnsi="Verdana"/>
                <w:sz w:val="16"/>
                <w:szCs w:val="16"/>
              </w:rPr>
              <w:t xml:space="preserve">O </w:t>
            </w:r>
            <w:r w:rsidR="00C027CB" w:rsidRPr="00F01347">
              <w:rPr>
                <w:rFonts w:ascii="Verdana" w:hAnsi="Verdana"/>
                <w:sz w:val="16"/>
                <w:szCs w:val="16"/>
              </w:rPr>
              <w:t>en 100</w:t>
            </w:r>
            <w:r w:rsidRPr="00F01347">
              <w:rPr>
                <w:rFonts w:ascii="Verdana" w:hAnsi="Verdana"/>
                <w:sz w:val="16"/>
                <w:szCs w:val="16"/>
              </w:rPr>
              <w:t xml:space="preserve"> </w:t>
            </w:r>
            <w:proofErr w:type="spellStart"/>
            <w:r w:rsidRPr="00F01347">
              <w:rPr>
                <w:rFonts w:ascii="Verdana" w:hAnsi="Verdana"/>
                <w:sz w:val="16"/>
                <w:szCs w:val="16"/>
              </w:rPr>
              <w:t>mL</w:t>
            </w:r>
            <w:proofErr w:type="spellEnd"/>
            <w:r w:rsidRPr="00F01347">
              <w:rPr>
                <w:rFonts w:ascii="Verdana" w:hAnsi="Verdana"/>
                <w:sz w:val="16"/>
                <w:szCs w:val="16"/>
              </w:rPr>
              <w:t xml:space="preserve"> de agua reactivo. Excluir el aire con un tapón de hule. Este inhibidor se deteriora por oxidación con aire. Se produce una precipitación de sulfuro que oscurece el punto final cuando una apreciable cantidad de metales está presente.</w:t>
            </w:r>
          </w:p>
        </w:tc>
        <w:tc>
          <w:tcPr>
            <w:tcW w:w="4675" w:type="dxa"/>
          </w:tcPr>
          <w:p w14:paraId="2B30F139" w14:textId="010459D0" w:rsidR="003D47A5" w:rsidRPr="00F01347" w:rsidRDefault="003D47A5" w:rsidP="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2) Inhibitor II: Dissolve 5.0 g of sodium sulfide nonahydrate</w:t>
            </w:r>
            <w:r w:rsidR="003E1BA9" w:rsidRPr="00F01347">
              <w:rPr>
                <w:rFonts w:ascii="Verdana" w:hAnsi="Verdana"/>
                <w:sz w:val="16"/>
                <w:szCs w:val="16"/>
                <w:lang w:val="en-US"/>
              </w:rPr>
              <w:t>,</w:t>
            </w:r>
            <w:r w:rsidRPr="00F01347">
              <w:rPr>
                <w:rFonts w:ascii="Verdana" w:hAnsi="Verdana"/>
                <w:sz w:val="16"/>
                <w:szCs w:val="16"/>
                <w:lang w:val="en-US"/>
              </w:rPr>
              <w:t xml:space="preserve"> NaS·9H</w:t>
            </w:r>
            <w:r w:rsidRPr="00F01347">
              <w:rPr>
                <w:rFonts w:ascii="Verdana" w:hAnsi="Verdana"/>
                <w:sz w:val="16"/>
                <w:szCs w:val="16"/>
                <w:vertAlign w:val="subscript"/>
                <w:lang w:val="en-US"/>
              </w:rPr>
              <w:t>2</w:t>
            </w:r>
            <w:r w:rsidRPr="00F01347">
              <w:rPr>
                <w:rFonts w:ascii="Verdana" w:hAnsi="Verdana"/>
                <w:sz w:val="16"/>
                <w:szCs w:val="16"/>
                <w:lang w:val="en-US"/>
              </w:rPr>
              <w:t>O, or 3.7 g of NaS·5H</w:t>
            </w:r>
            <w:r w:rsidRPr="00F01347">
              <w:rPr>
                <w:rFonts w:ascii="Verdana" w:hAnsi="Verdana"/>
                <w:sz w:val="16"/>
                <w:szCs w:val="16"/>
                <w:vertAlign w:val="subscript"/>
                <w:lang w:val="en-US"/>
              </w:rPr>
              <w:t>2</w:t>
            </w:r>
            <w:r w:rsidRPr="00F01347">
              <w:rPr>
                <w:rFonts w:ascii="Verdana" w:hAnsi="Verdana"/>
                <w:sz w:val="16"/>
                <w:szCs w:val="16"/>
                <w:lang w:val="en-US"/>
              </w:rPr>
              <w:t>O in 100 mL of reagent water. Exclude air with a rubber stopper. This inhibitor deteriorates by oxidation with air. Sulfide precipitation occurs that obscures the end point when an appreciable amount of metals is present.</w:t>
            </w:r>
          </w:p>
        </w:tc>
      </w:tr>
      <w:tr w:rsidR="003D47A5" w:rsidRPr="00F01347" w14:paraId="7408EA26" w14:textId="58DDE4C6" w:rsidTr="00C027CB">
        <w:tc>
          <w:tcPr>
            <w:tcW w:w="4675" w:type="dxa"/>
          </w:tcPr>
          <w:p w14:paraId="2FAF52D1" w14:textId="77777777" w:rsidR="003D47A5" w:rsidRPr="00F01347" w:rsidRDefault="003D47A5" w:rsidP="003D47A5">
            <w:pPr>
              <w:pStyle w:val="texto0"/>
              <w:spacing w:line="242" w:lineRule="exact"/>
              <w:ind w:firstLine="0"/>
              <w:rPr>
                <w:rFonts w:ascii="Verdana" w:hAnsi="Verdana"/>
                <w:sz w:val="16"/>
                <w:szCs w:val="16"/>
              </w:rPr>
            </w:pPr>
            <w:r w:rsidRPr="00F01347">
              <w:rPr>
                <w:rFonts w:ascii="Verdana" w:hAnsi="Verdana"/>
                <w:sz w:val="16"/>
                <w:szCs w:val="16"/>
              </w:rPr>
              <w:t xml:space="preserve">La materia orgánica o suspendida puede interferir con el punto final. Eliminar esta interferencia evaporando la muestra a sequedad sobre baño de vapor y calentar en una mufla a 500°C hasta que la materia orgánica esté oxidada. Disolver el residuo en 20 </w:t>
            </w:r>
            <w:proofErr w:type="spellStart"/>
            <w:r w:rsidRPr="00F01347">
              <w:rPr>
                <w:rFonts w:ascii="Verdana" w:hAnsi="Verdana"/>
                <w:sz w:val="16"/>
                <w:szCs w:val="16"/>
              </w:rPr>
              <w:t>mL</w:t>
            </w:r>
            <w:proofErr w:type="spellEnd"/>
            <w:r w:rsidRPr="00F01347">
              <w:rPr>
                <w:rFonts w:ascii="Verdana" w:hAnsi="Verdana"/>
                <w:sz w:val="16"/>
                <w:szCs w:val="16"/>
              </w:rPr>
              <w:t xml:space="preserve"> de HCl 1 N, neutralizar a pH 7 con NaOH 1N y llevar </w:t>
            </w:r>
            <w:proofErr w:type="gramStart"/>
            <w:r w:rsidRPr="00F01347">
              <w:rPr>
                <w:rFonts w:ascii="Verdana" w:hAnsi="Verdana"/>
                <w:sz w:val="16"/>
                <w:szCs w:val="16"/>
              </w:rPr>
              <w:t>a  50</w:t>
            </w:r>
            <w:proofErr w:type="gramEnd"/>
            <w:r w:rsidRPr="00F01347">
              <w:rPr>
                <w:rFonts w:ascii="Verdana" w:hAnsi="Verdana"/>
                <w:sz w:val="16"/>
                <w:szCs w:val="16"/>
              </w:rPr>
              <w:t xml:space="preserve"> </w:t>
            </w:r>
            <w:proofErr w:type="spellStart"/>
            <w:r w:rsidRPr="00F01347">
              <w:rPr>
                <w:rFonts w:ascii="Verdana" w:hAnsi="Verdana"/>
                <w:sz w:val="16"/>
                <w:szCs w:val="16"/>
              </w:rPr>
              <w:t>mL</w:t>
            </w:r>
            <w:proofErr w:type="spellEnd"/>
            <w:r w:rsidRPr="00F01347">
              <w:rPr>
                <w:rFonts w:ascii="Verdana" w:hAnsi="Verdana"/>
                <w:sz w:val="16"/>
                <w:szCs w:val="16"/>
              </w:rPr>
              <w:t xml:space="preserve"> con </w:t>
            </w:r>
            <w:r w:rsidRPr="00F01347">
              <w:rPr>
                <w:rFonts w:ascii="Verdana" w:hAnsi="Verdana"/>
                <w:sz w:val="16"/>
                <w:szCs w:val="16"/>
              </w:rPr>
              <w:lastRenderedPageBreak/>
              <w:t>agua reactivo, enfriar a temperatura ambiente y continuar con el procedimiento general.</w:t>
            </w:r>
          </w:p>
        </w:tc>
        <w:tc>
          <w:tcPr>
            <w:tcW w:w="4675" w:type="dxa"/>
          </w:tcPr>
          <w:p w14:paraId="539E678E" w14:textId="0E3F1777" w:rsidR="003D47A5" w:rsidRPr="00F01347" w:rsidRDefault="003D47A5" w:rsidP="003D47A5">
            <w:pPr>
              <w:pStyle w:val="texto0"/>
              <w:spacing w:line="242" w:lineRule="exact"/>
              <w:ind w:firstLine="0"/>
              <w:rPr>
                <w:rFonts w:ascii="Verdana" w:hAnsi="Verdana"/>
                <w:sz w:val="16"/>
                <w:szCs w:val="16"/>
                <w:lang w:val="en-US"/>
              </w:rPr>
            </w:pPr>
            <w:r w:rsidRPr="00F01347">
              <w:rPr>
                <w:rFonts w:ascii="Verdana" w:hAnsi="Verdana"/>
                <w:sz w:val="16"/>
                <w:szCs w:val="16"/>
                <w:lang w:val="en-US"/>
              </w:rPr>
              <w:lastRenderedPageBreak/>
              <w:t xml:space="preserve">Organic or suspended matter can interfere with the end point. Eliminate this interference by evaporating the sample to dryness on a steam bath and heating in a muffle at 500°C until the organic matter is oxidized. Dissolve the residue in 20 mL of 1 N HCl, neutralize to pH 7 with 1 N NaOH and bring to 50 mL with reagent </w:t>
            </w:r>
            <w:r w:rsidRPr="00F01347">
              <w:rPr>
                <w:rFonts w:ascii="Verdana" w:hAnsi="Verdana"/>
                <w:sz w:val="16"/>
                <w:szCs w:val="16"/>
                <w:lang w:val="en-US"/>
              </w:rPr>
              <w:lastRenderedPageBreak/>
              <w:t>water, cool to room temperature and continue with the general procedure.</w:t>
            </w:r>
          </w:p>
        </w:tc>
      </w:tr>
      <w:tr w:rsidR="003D47A5" w:rsidRPr="00F01347" w14:paraId="7AE91AC9" w14:textId="469F89D5" w:rsidTr="00C027CB">
        <w:tc>
          <w:tcPr>
            <w:tcW w:w="4675" w:type="dxa"/>
          </w:tcPr>
          <w:p w14:paraId="150BA5EC" w14:textId="77777777" w:rsidR="003D47A5" w:rsidRPr="00F01347" w:rsidRDefault="003D47A5" w:rsidP="003D47A5">
            <w:pPr>
              <w:pStyle w:val="texto0"/>
              <w:spacing w:line="242" w:lineRule="exact"/>
              <w:ind w:firstLine="0"/>
              <w:rPr>
                <w:rFonts w:ascii="Verdana" w:hAnsi="Verdana"/>
                <w:sz w:val="16"/>
                <w:szCs w:val="16"/>
              </w:rPr>
            </w:pPr>
            <w:r w:rsidRPr="00F01347">
              <w:rPr>
                <w:rFonts w:ascii="Verdana" w:hAnsi="Verdana"/>
                <w:sz w:val="16"/>
                <w:szCs w:val="16"/>
              </w:rPr>
              <w:lastRenderedPageBreak/>
              <w:t xml:space="preserve">Llevar a cabo las titulaciones a temperatura ambiente. </w:t>
            </w:r>
            <w:proofErr w:type="gramStart"/>
            <w:r w:rsidRPr="00F01347">
              <w:rPr>
                <w:rFonts w:ascii="Verdana" w:hAnsi="Verdana"/>
                <w:sz w:val="16"/>
                <w:szCs w:val="16"/>
              </w:rPr>
              <w:t>Cuándo</w:t>
            </w:r>
            <w:proofErr w:type="gramEnd"/>
            <w:r w:rsidRPr="00F01347">
              <w:rPr>
                <w:rFonts w:ascii="Verdana" w:hAnsi="Verdana"/>
                <w:sz w:val="16"/>
                <w:szCs w:val="16"/>
              </w:rPr>
              <w:t xml:space="preserve"> la muestra está cerca de la congelación el vire es muy lento. En agua caliente el indicador se descompone.</w:t>
            </w:r>
          </w:p>
        </w:tc>
        <w:tc>
          <w:tcPr>
            <w:tcW w:w="4675" w:type="dxa"/>
          </w:tcPr>
          <w:p w14:paraId="7177875E" w14:textId="2573E0B6" w:rsidR="003D47A5" w:rsidRPr="00F01347" w:rsidRDefault="003D47A5" w:rsidP="003D47A5">
            <w:pPr>
              <w:pStyle w:val="texto0"/>
              <w:spacing w:line="242" w:lineRule="exact"/>
              <w:ind w:firstLine="0"/>
              <w:rPr>
                <w:rFonts w:ascii="Verdana" w:hAnsi="Verdana"/>
                <w:sz w:val="16"/>
                <w:szCs w:val="16"/>
                <w:lang w:val="en-US"/>
              </w:rPr>
            </w:pPr>
            <w:r w:rsidRPr="00F01347">
              <w:rPr>
                <w:rFonts w:ascii="Verdana" w:hAnsi="Verdana"/>
                <w:sz w:val="16"/>
                <w:szCs w:val="16"/>
                <w:lang w:val="en-US"/>
              </w:rPr>
              <w:t>Carry out the titrations at room temperature. When the sample is close to freezing the turn is very slow. In hot water the indicator breaks down.</w:t>
            </w:r>
          </w:p>
        </w:tc>
      </w:tr>
      <w:tr w:rsidR="003D47A5" w:rsidRPr="00F01347" w14:paraId="5BEAD38F" w14:textId="0052C6FE" w:rsidTr="00C027CB">
        <w:tc>
          <w:tcPr>
            <w:tcW w:w="4675" w:type="dxa"/>
          </w:tcPr>
          <w:p w14:paraId="5BB578DE"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sz w:val="16"/>
                <w:szCs w:val="16"/>
              </w:rPr>
              <w:t>Para evitar la precipitación de CaCO</w:t>
            </w:r>
            <w:r w:rsidRPr="00F01347">
              <w:rPr>
                <w:rFonts w:ascii="Verdana" w:hAnsi="Verdana"/>
                <w:sz w:val="16"/>
                <w:szCs w:val="16"/>
                <w:vertAlign w:val="subscript"/>
              </w:rPr>
              <w:t>3</w:t>
            </w:r>
            <w:r w:rsidRPr="00F01347">
              <w:rPr>
                <w:rFonts w:ascii="Verdana" w:hAnsi="Verdana"/>
                <w:sz w:val="16"/>
                <w:szCs w:val="16"/>
              </w:rPr>
              <w:t>, la cual produce bajos resultados se recomienda:</w:t>
            </w:r>
          </w:p>
        </w:tc>
        <w:tc>
          <w:tcPr>
            <w:tcW w:w="4675" w:type="dxa"/>
          </w:tcPr>
          <w:p w14:paraId="02A8B666" w14:textId="7927B8CD" w:rsidR="003D47A5" w:rsidRPr="00F01347" w:rsidRDefault="003D47A5" w:rsidP="003D47A5">
            <w:pPr>
              <w:pStyle w:val="texto0"/>
              <w:spacing w:line="234" w:lineRule="exact"/>
              <w:ind w:firstLine="0"/>
              <w:rPr>
                <w:rFonts w:ascii="Verdana" w:hAnsi="Verdana"/>
                <w:sz w:val="16"/>
                <w:szCs w:val="16"/>
                <w:lang w:val="en-US"/>
              </w:rPr>
            </w:pPr>
            <w:r w:rsidRPr="00F01347">
              <w:rPr>
                <w:rFonts w:ascii="Verdana" w:hAnsi="Verdana"/>
                <w:sz w:val="16"/>
                <w:szCs w:val="16"/>
                <w:lang w:val="en-US"/>
              </w:rPr>
              <w:t>To avoid the precipitation of CaCO</w:t>
            </w:r>
            <w:r w:rsidRPr="00F01347">
              <w:rPr>
                <w:rFonts w:ascii="Verdana" w:hAnsi="Verdana"/>
                <w:sz w:val="16"/>
                <w:szCs w:val="16"/>
                <w:vertAlign w:val="subscript"/>
                <w:lang w:val="en-US"/>
              </w:rPr>
              <w:t>3</w:t>
            </w:r>
            <w:r w:rsidR="003E1BA9" w:rsidRPr="00F01347">
              <w:rPr>
                <w:rFonts w:ascii="Verdana" w:hAnsi="Verdana"/>
                <w:sz w:val="16"/>
                <w:szCs w:val="16"/>
                <w:vertAlign w:val="subscript"/>
                <w:lang w:val="en-US"/>
              </w:rPr>
              <w:t>,</w:t>
            </w:r>
            <w:r w:rsidRPr="00F01347">
              <w:rPr>
                <w:rFonts w:ascii="Verdana" w:hAnsi="Verdana"/>
                <w:sz w:val="16"/>
                <w:szCs w:val="16"/>
                <w:lang w:val="en-US"/>
              </w:rPr>
              <w:t xml:space="preserve"> which produces low results, it is recommended:</w:t>
            </w:r>
          </w:p>
        </w:tc>
      </w:tr>
      <w:tr w:rsidR="003D47A5" w:rsidRPr="00F01347" w14:paraId="04D39B99" w14:textId="7E39951C" w:rsidTr="00C027CB">
        <w:tc>
          <w:tcPr>
            <w:tcW w:w="4675" w:type="dxa"/>
          </w:tcPr>
          <w:p w14:paraId="5AC2F8E7"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sz w:val="16"/>
                <w:szCs w:val="16"/>
              </w:rPr>
              <w:t>1)</w:t>
            </w:r>
            <w:r w:rsidRPr="00F01347">
              <w:rPr>
                <w:rFonts w:ascii="Verdana" w:hAnsi="Verdana"/>
                <w:sz w:val="16"/>
                <w:szCs w:val="16"/>
              </w:rPr>
              <w:tab/>
              <w:t>Titular dentro de un tiempo de 5 minutos.</w:t>
            </w:r>
          </w:p>
        </w:tc>
        <w:tc>
          <w:tcPr>
            <w:tcW w:w="4675" w:type="dxa"/>
          </w:tcPr>
          <w:p w14:paraId="021A56CA" w14:textId="7322303A" w:rsidR="003D47A5" w:rsidRPr="00F01347" w:rsidRDefault="003D47A5" w:rsidP="003D47A5">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1) </w:t>
            </w:r>
            <w:r w:rsidRPr="00F01347">
              <w:rPr>
                <w:rFonts w:ascii="Verdana" w:hAnsi="Verdana"/>
                <w:sz w:val="16"/>
                <w:szCs w:val="16"/>
                <w:lang w:val="en-US"/>
              </w:rPr>
              <w:tab/>
            </w:r>
            <w:r w:rsidR="005E2E04" w:rsidRPr="00F01347">
              <w:rPr>
                <w:rFonts w:ascii="Verdana" w:hAnsi="Verdana"/>
                <w:sz w:val="16"/>
                <w:szCs w:val="16"/>
                <w:lang w:val="en-US"/>
              </w:rPr>
              <w:t>Title it</w:t>
            </w:r>
            <w:r w:rsidRPr="00F01347">
              <w:rPr>
                <w:rFonts w:ascii="Verdana" w:hAnsi="Verdana"/>
                <w:sz w:val="16"/>
                <w:szCs w:val="16"/>
                <w:lang w:val="en-US"/>
              </w:rPr>
              <w:t xml:space="preserve"> within a time of 5 minutes.</w:t>
            </w:r>
          </w:p>
        </w:tc>
      </w:tr>
      <w:tr w:rsidR="003D47A5" w:rsidRPr="00F01347" w14:paraId="6C4600EB" w14:textId="256DD38B" w:rsidTr="00C027CB">
        <w:tc>
          <w:tcPr>
            <w:tcW w:w="4675" w:type="dxa"/>
          </w:tcPr>
          <w:p w14:paraId="450502B7"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sz w:val="16"/>
                <w:szCs w:val="16"/>
              </w:rPr>
              <w:t>2)</w:t>
            </w:r>
            <w:r w:rsidRPr="00F01347">
              <w:rPr>
                <w:rFonts w:ascii="Verdana" w:hAnsi="Verdana"/>
                <w:sz w:val="16"/>
                <w:szCs w:val="16"/>
              </w:rPr>
              <w:tab/>
              <w:t>Usar la dilución mencionada en tabla anterior. Si la precipitación es apreciable, todavía, usar las recomendaciones 3 y 4, citadas en este punto. Usar pequeñas muestras contribuye a un error sistemático debido al error de lectura de la bureta.</w:t>
            </w:r>
          </w:p>
        </w:tc>
        <w:tc>
          <w:tcPr>
            <w:tcW w:w="4675" w:type="dxa"/>
          </w:tcPr>
          <w:p w14:paraId="015937F8" w14:textId="5A504ABB" w:rsidR="003D47A5" w:rsidRPr="00F01347" w:rsidRDefault="003D47A5" w:rsidP="003D47A5">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2) </w:t>
            </w:r>
            <w:r w:rsidRPr="00F01347">
              <w:rPr>
                <w:rFonts w:ascii="Verdana" w:hAnsi="Verdana"/>
                <w:sz w:val="16"/>
                <w:szCs w:val="16"/>
                <w:lang w:val="en-US"/>
              </w:rPr>
              <w:tab/>
              <w:t>Use the dilution mentioned in the pre</w:t>
            </w:r>
            <w:r w:rsidR="005E2E04" w:rsidRPr="00F01347">
              <w:rPr>
                <w:rFonts w:ascii="Verdana" w:hAnsi="Verdana"/>
                <w:sz w:val="16"/>
                <w:szCs w:val="16"/>
                <w:lang w:val="en-US"/>
              </w:rPr>
              <w:t>ceding</w:t>
            </w:r>
            <w:r w:rsidRPr="00F01347">
              <w:rPr>
                <w:rFonts w:ascii="Verdana" w:hAnsi="Verdana"/>
                <w:sz w:val="16"/>
                <w:szCs w:val="16"/>
                <w:lang w:val="en-US"/>
              </w:rPr>
              <w:t xml:space="preserve"> table. If the precipitation is still appreciable, use recommendations 3 and 4, cited in this point. Using small samples contributes to systematic error due to </w:t>
            </w:r>
            <w:r w:rsidR="005E2E04" w:rsidRPr="00F01347">
              <w:rPr>
                <w:rFonts w:ascii="Verdana" w:hAnsi="Verdana"/>
                <w:sz w:val="16"/>
                <w:szCs w:val="16"/>
                <w:lang w:val="en-US"/>
              </w:rPr>
              <w:t>burette</w:t>
            </w:r>
            <w:r w:rsidRPr="00F01347">
              <w:rPr>
                <w:rFonts w:ascii="Verdana" w:hAnsi="Verdana"/>
                <w:sz w:val="16"/>
                <w:szCs w:val="16"/>
                <w:lang w:val="en-US"/>
              </w:rPr>
              <w:t xml:space="preserve"> reading error.</w:t>
            </w:r>
          </w:p>
        </w:tc>
      </w:tr>
      <w:tr w:rsidR="003D47A5" w:rsidRPr="00F01347" w14:paraId="5068A688" w14:textId="789E5242" w:rsidTr="00C027CB">
        <w:tc>
          <w:tcPr>
            <w:tcW w:w="4675" w:type="dxa"/>
          </w:tcPr>
          <w:p w14:paraId="549E1A6D"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sz w:val="16"/>
                <w:szCs w:val="16"/>
              </w:rPr>
              <w:t>3)</w:t>
            </w:r>
            <w:r w:rsidRPr="00F01347">
              <w:rPr>
                <w:rFonts w:ascii="Verdana" w:hAnsi="Verdana"/>
                <w:sz w:val="16"/>
                <w:szCs w:val="16"/>
              </w:rPr>
              <w:tab/>
              <w:t>Si la dureza aproximada es conocida o se determinó por una titulación previa, agregar el 90% o más del titulante antes de ajustar el pH con la disolución amortiguadora.</w:t>
            </w:r>
          </w:p>
        </w:tc>
        <w:tc>
          <w:tcPr>
            <w:tcW w:w="4675" w:type="dxa"/>
          </w:tcPr>
          <w:p w14:paraId="6CC69779" w14:textId="148D61B6" w:rsidR="003D47A5" w:rsidRPr="00F01347" w:rsidRDefault="003D47A5" w:rsidP="003D47A5">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3) </w:t>
            </w:r>
            <w:r w:rsidRPr="00F01347">
              <w:rPr>
                <w:rFonts w:ascii="Verdana" w:hAnsi="Verdana"/>
                <w:sz w:val="16"/>
                <w:szCs w:val="16"/>
                <w:lang w:val="en-US"/>
              </w:rPr>
              <w:tab/>
              <w:t>If the approximate hardness is known or was determined by a previous titration, add 90% or more of the titrant before adjusting the pH with the buffer solution.</w:t>
            </w:r>
          </w:p>
        </w:tc>
      </w:tr>
      <w:tr w:rsidR="003D47A5" w:rsidRPr="00F01347" w14:paraId="246F1E61" w14:textId="7EBC84ED" w:rsidTr="00C027CB">
        <w:tc>
          <w:tcPr>
            <w:tcW w:w="4675" w:type="dxa"/>
          </w:tcPr>
          <w:p w14:paraId="59C98E90"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sz w:val="16"/>
                <w:szCs w:val="16"/>
              </w:rPr>
              <w:t>4)</w:t>
            </w:r>
            <w:r w:rsidRPr="00F01347">
              <w:rPr>
                <w:rFonts w:ascii="Verdana" w:hAnsi="Verdana"/>
                <w:sz w:val="16"/>
                <w:szCs w:val="16"/>
              </w:rPr>
              <w:tab/>
              <w:t>Acidificar la muestra con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0.02 N, y agitar por 2 minutos para expulsar el CO</w:t>
            </w:r>
            <w:r w:rsidRPr="00F01347">
              <w:rPr>
                <w:rFonts w:ascii="Verdana" w:hAnsi="Verdana"/>
                <w:sz w:val="16"/>
                <w:szCs w:val="16"/>
                <w:vertAlign w:val="subscript"/>
              </w:rPr>
              <w:t>2</w:t>
            </w:r>
            <w:r w:rsidRPr="00F01347">
              <w:rPr>
                <w:rFonts w:ascii="Verdana" w:hAnsi="Verdana"/>
                <w:sz w:val="16"/>
                <w:szCs w:val="16"/>
              </w:rPr>
              <w:t xml:space="preserve"> antes del ajuste de pH. Determine alcalinidad para que indique la cantidad de ácido agregado.</w:t>
            </w:r>
          </w:p>
        </w:tc>
        <w:tc>
          <w:tcPr>
            <w:tcW w:w="4675" w:type="dxa"/>
          </w:tcPr>
          <w:p w14:paraId="21448557" w14:textId="42E96E70" w:rsidR="003D47A5" w:rsidRPr="00F01347" w:rsidRDefault="003D47A5" w:rsidP="003D47A5">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4) </w:t>
            </w:r>
            <w:r w:rsidRPr="00F01347">
              <w:rPr>
                <w:rFonts w:ascii="Verdana" w:hAnsi="Verdana"/>
                <w:sz w:val="16"/>
                <w:szCs w:val="16"/>
                <w:lang w:val="en-US"/>
              </w:rPr>
              <w:tab/>
              <w:t xml:space="preserve">Acidify the sample with 0.02 </w:t>
            </w:r>
            <w:proofErr w:type="gramStart"/>
            <w:r w:rsidRPr="00F01347">
              <w:rPr>
                <w:rFonts w:ascii="Verdana" w:hAnsi="Verdana"/>
                <w:sz w:val="16"/>
                <w:szCs w:val="16"/>
                <w:lang w:val="en-US"/>
              </w:rPr>
              <w:t>NH</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4</w:t>
            </w:r>
            <w:r w:rsidR="003E1BA9" w:rsidRPr="00F01347">
              <w:rPr>
                <w:rFonts w:ascii="Verdana" w:hAnsi="Verdana"/>
                <w:sz w:val="16"/>
                <w:szCs w:val="16"/>
                <w:vertAlign w:val="subscript"/>
                <w:lang w:val="en-US"/>
              </w:rPr>
              <w:t>,</w:t>
            </w:r>
            <w:r w:rsidRPr="00F01347">
              <w:rPr>
                <w:rFonts w:ascii="Verdana" w:hAnsi="Verdana"/>
                <w:sz w:val="16"/>
                <w:szCs w:val="16"/>
                <w:lang w:val="en-US"/>
              </w:rPr>
              <w:t xml:space="preserve"> and</w:t>
            </w:r>
            <w:proofErr w:type="gramEnd"/>
            <w:r w:rsidRPr="00F01347">
              <w:rPr>
                <w:rFonts w:ascii="Verdana" w:hAnsi="Verdana"/>
                <w:sz w:val="16"/>
                <w:szCs w:val="16"/>
                <w:lang w:val="en-US"/>
              </w:rPr>
              <w:t xml:space="preserve"> shake for 2 minutes to expel the CO</w:t>
            </w:r>
            <w:r w:rsidRPr="00F01347">
              <w:rPr>
                <w:rFonts w:ascii="Verdana" w:hAnsi="Verdana"/>
                <w:sz w:val="16"/>
                <w:szCs w:val="16"/>
                <w:vertAlign w:val="subscript"/>
                <w:lang w:val="en-US"/>
              </w:rPr>
              <w:t xml:space="preserve">2 </w:t>
            </w:r>
            <w:r w:rsidRPr="00F01347">
              <w:rPr>
                <w:rFonts w:ascii="Verdana" w:hAnsi="Verdana"/>
                <w:sz w:val="16"/>
                <w:szCs w:val="16"/>
                <w:lang w:val="en-US"/>
              </w:rPr>
              <w:t xml:space="preserve">before adjusting the </w:t>
            </w:r>
            <w:proofErr w:type="spellStart"/>
            <w:r w:rsidRPr="00F01347">
              <w:rPr>
                <w:rFonts w:ascii="Verdana" w:hAnsi="Verdana"/>
                <w:sz w:val="16"/>
                <w:szCs w:val="16"/>
                <w:lang w:val="en-US"/>
              </w:rPr>
              <w:t>pH.</w:t>
            </w:r>
            <w:proofErr w:type="spellEnd"/>
            <w:r w:rsidRPr="00F01347">
              <w:rPr>
                <w:rFonts w:ascii="Verdana" w:hAnsi="Verdana"/>
                <w:sz w:val="16"/>
                <w:szCs w:val="16"/>
                <w:lang w:val="en-US"/>
              </w:rPr>
              <w:t xml:space="preserve"> Determine alkalinity to indicate the amount of acid added.</w:t>
            </w:r>
          </w:p>
        </w:tc>
      </w:tr>
      <w:tr w:rsidR="003D47A5" w:rsidRPr="00F01347" w14:paraId="076D603B" w14:textId="6A1BAA46" w:rsidTr="00C027CB">
        <w:tc>
          <w:tcPr>
            <w:tcW w:w="4675" w:type="dxa"/>
          </w:tcPr>
          <w:p w14:paraId="55ED3093" w14:textId="77777777" w:rsidR="003D47A5" w:rsidRPr="00F01347" w:rsidRDefault="003D47A5" w:rsidP="003D47A5">
            <w:pPr>
              <w:pStyle w:val="texto0"/>
              <w:spacing w:line="234" w:lineRule="exact"/>
              <w:ind w:firstLine="0"/>
              <w:rPr>
                <w:rFonts w:ascii="Verdana" w:hAnsi="Verdana"/>
                <w:b/>
                <w:sz w:val="16"/>
                <w:szCs w:val="16"/>
                <w:lang w:val="en-US"/>
              </w:rPr>
            </w:pPr>
            <w:r w:rsidRPr="00F01347">
              <w:rPr>
                <w:rFonts w:ascii="Verdana" w:hAnsi="Verdana"/>
                <w:b/>
                <w:sz w:val="16"/>
                <w:szCs w:val="16"/>
                <w:lang w:val="en-US"/>
              </w:rPr>
              <w:t xml:space="preserve">B.10.8 </w:t>
            </w:r>
            <w:proofErr w:type="spellStart"/>
            <w:r w:rsidRPr="00F01347">
              <w:rPr>
                <w:rFonts w:ascii="Verdana" w:hAnsi="Verdana"/>
                <w:b/>
                <w:sz w:val="16"/>
                <w:szCs w:val="16"/>
                <w:lang w:val="en-US"/>
              </w:rPr>
              <w:t>Referencias</w:t>
            </w:r>
            <w:proofErr w:type="spellEnd"/>
          </w:p>
        </w:tc>
        <w:tc>
          <w:tcPr>
            <w:tcW w:w="4675" w:type="dxa"/>
          </w:tcPr>
          <w:p w14:paraId="426032F8" w14:textId="4AF24EBE" w:rsidR="003D47A5" w:rsidRPr="00F01347" w:rsidRDefault="003D47A5" w:rsidP="003D47A5">
            <w:pPr>
              <w:pStyle w:val="texto0"/>
              <w:spacing w:line="234" w:lineRule="exact"/>
              <w:ind w:firstLine="0"/>
              <w:rPr>
                <w:rFonts w:ascii="Verdana" w:hAnsi="Verdana"/>
                <w:b/>
                <w:sz w:val="16"/>
                <w:szCs w:val="16"/>
                <w:lang w:val="en-US"/>
              </w:rPr>
            </w:pPr>
            <w:r w:rsidRPr="00F01347">
              <w:rPr>
                <w:rFonts w:ascii="Verdana" w:hAnsi="Verdana"/>
                <w:b/>
                <w:sz w:val="16"/>
                <w:szCs w:val="16"/>
                <w:lang w:val="en-US"/>
              </w:rPr>
              <w:t>B.10.8 References</w:t>
            </w:r>
          </w:p>
        </w:tc>
      </w:tr>
      <w:tr w:rsidR="003D47A5" w:rsidRPr="00F01347" w14:paraId="59E8D6AF" w14:textId="30EA177F" w:rsidTr="00C027CB">
        <w:tc>
          <w:tcPr>
            <w:tcW w:w="4675" w:type="dxa"/>
          </w:tcPr>
          <w:p w14:paraId="0A116F55"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sz w:val="16"/>
                <w:szCs w:val="16"/>
                <w:lang w:val="en-US"/>
              </w:rPr>
              <w:t xml:space="preserve">Standard methods for examination of water and wastewater. </w:t>
            </w:r>
            <w:r w:rsidRPr="00F01347">
              <w:rPr>
                <w:rFonts w:ascii="Verdana" w:hAnsi="Verdana"/>
                <w:sz w:val="16"/>
                <w:szCs w:val="16"/>
              </w:rPr>
              <w:t xml:space="preserve">2340 C EDTA </w:t>
            </w:r>
            <w:proofErr w:type="spellStart"/>
            <w:r w:rsidRPr="00F01347">
              <w:rPr>
                <w:rFonts w:ascii="Verdana" w:hAnsi="Verdana"/>
                <w:sz w:val="16"/>
                <w:szCs w:val="16"/>
              </w:rPr>
              <w:t>Titrimetric</w:t>
            </w:r>
            <w:proofErr w:type="spellEnd"/>
            <w:r w:rsidRPr="00F01347">
              <w:rPr>
                <w:rFonts w:ascii="Verdana" w:hAnsi="Verdana"/>
                <w:sz w:val="16"/>
                <w:szCs w:val="16"/>
              </w:rPr>
              <w:t xml:space="preserve"> </w:t>
            </w:r>
            <w:proofErr w:type="spellStart"/>
            <w:r w:rsidRPr="00F01347">
              <w:rPr>
                <w:rFonts w:ascii="Verdana" w:hAnsi="Verdana"/>
                <w:sz w:val="16"/>
                <w:szCs w:val="16"/>
              </w:rPr>
              <w:t>Method</w:t>
            </w:r>
            <w:proofErr w:type="spellEnd"/>
            <w:r w:rsidRPr="00F01347">
              <w:rPr>
                <w:rFonts w:ascii="Verdana" w:hAnsi="Verdana"/>
                <w:sz w:val="16"/>
                <w:szCs w:val="16"/>
              </w:rPr>
              <w:t>.</w:t>
            </w:r>
          </w:p>
        </w:tc>
        <w:tc>
          <w:tcPr>
            <w:tcW w:w="4675" w:type="dxa"/>
          </w:tcPr>
          <w:p w14:paraId="1F944299" w14:textId="10B3A8F7" w:rsidR="003D47A5" w:rsidRPr="00F01347" w:rsidRDefault="003D47A5" w:rsidP="003D47A5">
            <w:pPr>
              <w:pStyle w:val="texto0"/>
              <w:spacing w:line="234" w:lineRule="exact"/>
              <w:ind w:firstLine="0"/>
              <w:rPr>
                <w:rFonts w:ascii="Verdana" w:hAnsi="Verdana"/>
                <w:sz w:val="16"/>
                <w:szCs w:val="16"/>
                <w:lang w:val="en-US"/>
              </w:rPr>
            </w:pPr>
            <w:r w:rsidRPr="00F01347">
              <w:rPr>
                <w:rFonts w:ascii="Verdana" w:hAnsi="Verdana"/>
                <w:sz w:val="16"/>
                <w:szCs w:val="16"/>
                <w:lang w:val="en-US"/>
              </w:rPr>
              <w:t>Standard methods for examination of water and wastewater. 2340 C EDTA Titrimetric Method</w:t>
            </w:r>
            <w:r w:rsidR="003E1BA9" w:rsidRPr="00F01347">
              <w:rPr>
                <w:rFonts w:ascii="Verdana" w:hAnsi="Verdana"/>
                <w:sz w:val="16"/>
                <w:szCs w:val="16"/>
                <w:lang w:val="en-US"/>
              </w:rPr>
              <w:t>.</w:t>
            </w:r>
          </w:p>
        </w:tc>
      </w:tr>
      <w:tr w:rsidR="003D47A5" w:rsidRPr="00F01347" w14:paraId="70ABD61D" w14:textId="351F3BB1" w:rsidTr="00C027CB">
        <w:tc>
          <w:tcPr>
            <w:tcW w:w="4675" w:type="dxa"/>
          </w:tcPr>
          <w:p w14:paraId="5480EA5D" w14:textId="77777777" w:rsidR="003D47A5" w:rsidRPr="00F01347" w:rsidRDefault="003D47A5" w:rsidP="003D47A5">
            <w:pPr>
              <w:pStyle w:val="texto0"/>
              <w:spacing w:line="234" w:lineRule="exact"/>
              <w:ind w:firstLine="0"/>
              <w:jc w:val="center"/>
              <w:rPr>
                <w:rFonts w:ascii="Verdana" w:hAnsi="Verdana"/>
                <w:b/>
                <w:sz w:val="16"/>
                <w:szCs w:val="16"/>
              </w:rPr>
            </w:pPr>
            <w:r w:rsidRPr="00F01347">
              <w:rPr>
                <w:rFonts w:ascii="Verdana" w:hAnsi="Verdana"/>
                <w:b/>
                <w:sz w:val="16"/>
                <w:szCs w:val="16"/>
              </w:rPr>
              <w:t>B.11 MÉTODO DE PRUEBA PARA LA DETERMINACIÓN DE SULFATO EN AGUA PARA USO Y CONSUMO HUMANO</w:t>
            </w:r>
          </w:p>
        </w:tc>
        <w:tc>
          <w:tcPr>
            <w:tcW w:w="4675" w:type="dxa"/>
          </w:tcPr>
          <w:p w14:paraId="0A41C57A" w14:textId="0A76C959" w:rsidR="003D47A5" w:rsidRPr="00F01347" w:rsidRDefault="003D47A5" w:rsidP="003D47A5">
            <w:pPr>
              <w:pStyle w:val="texto0"/>
              <w:spacing w:line="234" w:lineRule="exact"/>
              <w:ind w:firstLine="0"/>
              <w:jc w:val="center"/>
              <w:rPr>
                <w:rFonts w:ascii="Verdana" w:hAnsi="Verdana"/>
                <w:b/>
                <w:sz w:val="16"/>
                <w:szCs w:val="16"/>
                <w:lang w:val="en-US"/>
              </w:rPr>
            </w:pPr>
            <w:r w:rsidRPr="00F01347">
              <w:rPr>
                <w:rFonts w:ascii="Verdana" w:hAnsi="Verdana"/>
                <w:b/>
                <w:sz w:val="16"/>
                <w:szCs w:val="16"/>
                <w:lang w:val="en-US"/>
              </w:rPr>
              <w:t>B.11 TEST METHOD FOR THE DETERMINATION OF SULFATE IN WATER FOR HUMAN USE AND CONSUMPTION</w:t>
            </w:r>
          </w:p>
        </w:tc>
      </w:tr>
      <w:tr w:rsidR="003D47A5" w:rsidRPr="00F01347" w14:paraId="7CEE7657" w14:textId="3481FD26" w:rsidTr="00C027CB">
        <w:tc>
          <w:tcPr>
            <w:tcW w:w="4675" w:type="dxa"/>
          </w:tcPr>
          <w:p w14:paraId="0B41F8B2"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sz w:val="16"/>
                <w:szCs w:val="16"/>
              </w:rPr>
              <w:t>Para la determinación de sulfato en agua para uso y consumo humano para el cumplimiento de esta Norma, se podrá utilizar indistintamente el:</w:t>
            </w:r>
          </w:p>
        </w:tc>
        <w:tc>
          <w:tcPr>
            <w:tcW w:w="4675" w:type="dxa"/>
          </w:tcPr>
          <w:p w14:paraId="79D9607C" w14:textId="0A17090B" w:rsidR="003D47A5" w:rsidRPr="00F01347" w:rsidRDefault="003D47A5" w:rsidP="003D47A5">
            <w:pPr>
              <w:pStyle w:val="texto0"/>
              <w:spacing w:line="234" w:lineRule="exact"/>
              <w:ind w:firstLine="0"/>
              <w:rPr>
                <w:rFonts w:ascii="Verdana" w:hAnsi="Verdana"/>
                <w:sz w:val="16"/>
                <w:szCs w:val="16"/>
                <w:lang w:val="en-US"/>
              </w:rPr>
            </w:pPr>
            <w:r w:rsidRPr="00F01347">
              <w:rPr>
                <w:rFonts w:ascii="Verdana" w:hAnsi="Verdana"/>
                <w:sz w:val="16"/>
                <w:szCs w:val="16"/>
                <w:lang w:val="en-US"/>
              </w:rPr>
              <w:t>For the determination of sulfate in water for human use and consumption to comply with this Standard, the following may be used interchangeably:</w:t>
            </w:r>
          </w:p>
        </w:tc>
      </w:tr>
      <w:tr w:rsidR="003D47A5" w:rsidRPr="00F01347" w14:paraId="7C0587E9" w14:textId="035F0427" w:rsidTr="00C027CB">
        <w:tc>
          <w:tcPr>
            <w:tcW w:w="4675" w:type="dxa"/>
          </w:tcPr>
          <w:p w14:paraId="633ED1DA"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método de prueba </w:t>
            </w:r>
            <w:proofErr w:type="spellStart"/>
            <w:r w:rsidRPr="00F01347">
              <w:rPr>
                <w:rFonts w:ascii="Verdana" w:hAnsi="Verdana"/>
                <w:sz w:val="16"/>
                <w:szCs w:val="16"/>
              </w:rPr>
              <w:t>turbidimétrico</w:t>
            </w:r>
            <w:proofErr w:type="spellEnd"/>
            <w:r w:rsidRPr="00F01347">
              <w:rPr>
                <w:rFonts w:ascii="Verdana" w:hAnsi="Verdana"/>
                <w:sz w:val="16"/>
                <w:szCs w:val="16"/>
              </w:rPr>
              <w:t xml:space="preserve"> para la determinación de sulfato en agua para uso y consumo humano (punto B.11.1, de este Apéndice).</w:t>
            </w:r>
          </w:p>
        </w:tc>
        <w:tc>
          <w:tcPr>
            <w:tcW w:w="4675" w:type="dxa"/>
          </w:tcPr>
          <w:p w14:paraId="6F2F0808" w14:textId="30C296D5" w:rsidR="003D47A5" w:rsidRPr="00F01347" w:rsidRDefault="003D47A5" w:rsidP="003D47A5">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Turbidimetric test method for the determination of sulfate in water for human use and consumption (point B.11.1, of this Appendix).</w:t>
            </w:r>
          </w:p>
        </w:tc>
      </w:tr>
      <w:tr w:rsidR="003D47A5" w:rsidRPr="00F01347" w14:paraId="4553832A" w14:textId="1C38F85A" w:rsidTr="00C027CB">
        <w:tc>
          <w:tcPr>
            <w:tcW w:w="4675" w:type="dxa"/>
          </w:tcPr>
          <w:p w14:paraId="7B3BEF2D"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método de prueba por colorimetría automatizada para la determinación de sulfato en agua para uso y consumo humano (punto B.11.2, de este Apéndice).</w:t>
            </w:r>
          </w:p>
        </w:tc>
        <w:tc>
          <w:tcPr>
            <w:tcW w:w="4675" w:type="dxa"/>
          </w:tcPr>
          <w:p w14:paraId="509C5462" w14:textId="342126D2" w:rsidR="003D47A5" w:rsidRPr="00F01347" w:rsidRDefault="003D47A5" w:rsidP="003D47A5">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automated colorimetry test method for the determination of sulfate in water for human use and consumption (point B.11.2, of this Appendix).</w:t>
            </w:r>
          </w:p>
        </w:tc>
      </w:tr>
      <w:tr w:rsidR="003D47A5" w:rsidRPr="00F01347" w14:paraId="1B4D6272" w14:textId="27781583" w:rsidTr="00C027CB">
        <w:tc>
          <w:tcPr>
            <w:tcW w:w="4675" w:type="dxa"/>
          </w:tcPr>
          <w:p w14:paraId="2FDBB8CD" w14:textId="77777777" w:rsidR="003D47A5" w:rsidRPr="00F01347" w:rsidRDefault="003D47A5" w:rsidP="003D47A5">
            <w:pPr>
              <w:pStyle w:val="texto0"/>
              <w:spacing w:line="234" w:lineRule="exact"/>
              <w:ind w:firstLine="0"/>
              <w:jc w:val="center"/>
              <w:rPr>
                <w:rFonts w:ascii="Verdana" w:hAnsi="Verdana"/>
                <w:b/>
                <w:sz w:val="16"/>
                <w:szCs w:val="16"/>
              </w:rPr>
            </w:pPr>
            <w:r w:rsidRPr="00F01347">
              <w:rPr>
                <w:rFonts w:ascii="Verdana" w:hAnsi="Verdana"/>
                <w:b/>
                <w:sz w:val="16"/>
                <w:szCs w:val="16"/>
              </w:rPr>
              <w:t>B.11.1 MÉTODO DE PRUEBA TURBIDIMÉTRICO PARA LA DETERMINACIÓN DE SULFATO EN AGUA PARA USO Y CONSUMO HUMANO</w:t>
            </w:r>
          </w:p>
        </w:tc>
        <w:tc>
          <w:tcPr>
            <w:tcW w:w="4675" w:type="dxa"/>
          </w:tcPr>
          <w:p w14:paraId="44DE0FD7" w14:textId="76DB1E07" w:rsidR="003D47A5" w:rsidRPr="00F01347" w:rsidRDefault="003D47A5" w:rsidP="003D47A5">
            <w:pPr>
              <w:pStyle w:val="texto0"/>
              <w:spacing w:line="234" w:lineRule="exact"/>
              <w:ind w:firstLine="0"/>
              <w:jc w:val="center"/>
              <w:rPr>
                <w:rFonts w:ascii="Verdana" w:hAnsi="Verdana"/>
                <w:b/>
                <w:sz w:val="16"/>
                <w:szCs w:val="16"/>
                <w:lang w:val="en-US"/>
              </w:rPr>
            </w:pPr>
            <w:r w:rsidRPr="00F01347">
              <w:rPr>
                <w:rFonts w:ascii="Verdana" w:hAnsi="Verdana"/>
                <w:b/>
                <w:sz w:val="16"/>
                <w:szCs w:val="16"/>
                <w:lang w:val="en-US"/>
              </w:rPr>
              <w:t>B.11.1 TURBIDIMETRIC TEST METHOD FOR THE DETERMINATION OF SULFATE IN WATER FOR HUMAN USE AND CONSUMPTION</w:t>
            </w:r>
          </w:p>
        </w:tc>
      </w:tr>
      <w:tr w:rsidR="003D47A5" w:rsidRPr="00F01347" w14:paraId="13E8A72B" w14:textId="214F17B0" w:rsidTr="00C027CB">
        <w:tc>
          <w:tcPr>
            <w:tcW w:w="4675" w:type="dxa"/>
          </w:tcPr>
          <w:p w14:paraId="02C67E51" w14:textId="77777777" w:rsidR="003D47A5" w:rsidRPr="00F01347" w:rsidRDefault="003D47A5" w:rsidP="003D47A5">
            <w:pPr>
              <w:pStyle w:val="texto0"/>
              <w:spacing w:line="234" w:lineRule="exact"/>
              <w:ind w:firstLine="0"/>
              <w:rPr>
                <w:rFonts w:ascii="Verdana" w:hAnsi="Verdana"/>
                <w:b/>
                <w:sz w:val="16"/>
                <w:szCs w:val="16"/>
              </w:rPr>
            </w:pPr>
            <w:r w:rsidRPr="00F01347">
              <w:rPr>
                <w:rFonts w:ascii="Verdana" w:hAnsi="Verdana"/>
                <w:b/>
                <w:sz w:val="16"/>
                <w:szCs w:val="16"/>
              </w:rPr>
              <w:t>B.11.1.1 Principio</w:t>
            </w:r>
          </w:p>
        </w:tc>
        <w:tc>
          <w:tcPr>
            <w:tcW w:w="4675" w:type="dxa"/>
          </w:tcPr>
          <w:p w14:paraId="724C7082" w14:textId="4F1BE748" w:rsidR="003D47A5" w:rsidRPr="00F01347" w:rsidRDefault="003D47A5" w:rsidP="003D47A5">
            <w:pPr>
              <w:pStyle w:val="texto0"/>
              <w:spacing w:line="234" w:lineRule="exact"/>
              <w:ind w:firstLine="0"/>
              <w:rPr>
                <w:rFonts w:ascii="Verdana" w:hAnsi="Verdana"/>
                <w:b/>
                <w:sz w:val="16"/>
                <w:szCs w:val="16"/>
              </w:rPr>
            </w:pPr>
            <w:r w:rsidRPr="00F01347">
              <w:rPr>
                <w:rFonts w:ascii="Verdana" w:hAnsi="Verdana"/>
                <w:b/>
                <w:sz w:val="16"/>
                <w:szCs w:val="16"/>
              </w:rPr>
              <w:t xml:space="preserve">B.11.1.1 </w:t>
            </w:r>
            <w:proofErr w:type="spellStart"/>
            <w:r w:rsidRPr="00F01347">
              <w:rPr>
                <w:rFonts w:ascii="Verdana" w:hAnsi="Verdana"/>
                <w:b/>
                <w:sz w:val="16"/>
                <w:szCs w:val="16"/>
              </w:rPr>
              <w:t>Principle</w:t>
            </w:r>
            <w:proofErr w:type="spellEnd"/>
          </w:p>
        </w:tc>
      </w:tr>
      <w:tr w:rsidR="003D47A5" w:rsidRPr="00F01347" w14:paraId="4A560B45" w14:textId="1DAAB92B" w:rsidTr="00C027CB">
        <w:tc>
          <w:tcPr>
            <w:tcW w:w="4675" w:type="dxa"/>
          </w:tcPr>
          <w:p w14:paraId="5F61E9DF"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sz w:val="16"/>
                <w:szCs w:val="16"/>
              </w:rPr>
              <w:t xml:space="preserve">El </w:t>
            </w:r>
            <w:proofErr w:type="spellStart"/>
            <w:r w:rsidRPr="00F01347">
              <w:rPr>
                <w:rFonts w:ascii="Verdana" w:hAnsi="Verdana"/>
                <w:sz w:val="16"/>
                <w:szCs w:val="16"/>
              </w:rPr>
              <w:t>ión</w:t>
            </w:r>
            <w:proofErr w:type="spellEnd"/>
            <w:r w:rsidRPr="00F01347">
              <w:rPr>
                <w:rFonts w:ascii="Verdana" w:hAnsi="Verdana"/>
                <w:sz w:val="16"/>
                <w:szCs w:val="16"/>
              </w:rPr>
              <w:t xml:space="preserve"> sulfato es precipitado en medio ácido con cloruro de bario, BaCl2, de tal manera que se forman cristales de sulfato de bario de tamaño uniforme, produciéndose una turbidez medible y proporcional a la concentración de sulfato. La absorbancia producida por la suspensión </w:t>
            </w:r>
            <w:r w:rsidRPr="00F01347">
              <w:rPr>
                <w:rFonts w:ascii="Verdana" w:hAnsi="Verdana"/>
                <w:sz w:val="16"/>
                <w:szCs w:val="16"/>
              </w:rPr>
              <w:lastRenderedPageBreak/>
              <w:t>de sulfato de bario se mide en el espectrofotómetro a 420 nm.</w:t>
            </w:r>
          </w:p>
        </w:tc>
        <w:tc>
          <w:tcPr>
            <w:tcW w:w="4675" w:type="dxa"/>
          </w:tcPr>
          <w:p w14:paraId="398E5B39" w14:textId="7C848EFE" w:rsidR="003D47A5" w:rsidRPr="00F01347" w:rsidRDefault="003D47A5" w:rsidP="003D47A5">
            <w:pPr>
              <w:pStyle w:val="texto0"/>
              <w:spacing w:line="234" w:lineRule="exact"/>
              <w:ind w:firstLine="0"/>
              <w:rPr>
                <w:rFonts w:ascii="Verdana" w:hAnsi="Verdana"/>
                <w:sz w:val="16"/>
                <w:szCs w:val="16"/>
                <w:lang w:val="en-US"/>
              </w:rPr>
            </w:pPr>
            <w:r w:rsidRPr="00F01347">
              <w:rPr>
                <w:rFonts w:ascii="Verdana" w:hAnsi="Verdana"/>
                <w:sz w:val="16"/>
                <w:szCs w:val="16"/>
                <w:lang w:val="en-US"/>
              </w:rPr>
              <w:lastRenderedPageBreak/>
              <w:t xml:space="preserve">The sulfate ion is precipitated in an acid medium with barium chloride, BaCl2, in such a way that barium sulfate crystals of uniform size are formed, producing a measurable turbidity proportional to the sulfate concentration. The absorbance produced by the barium </w:t>
            </w:r>
            <w:r w:rsidRPr="00F01347">
              <w:rPr>
                <w:rFonts w:ascii="Verdana" w:hAnsi="Verdana"/>
                <w:sz w:val="16"/>
                <w:szCs w:val="16"/>
                <w:lang w:val="en-US"/>
              </w:rPr>
              <w:lastRenderedPageBreak/>
              <w:t>sulfate suspension is measured in the spectrophotometer at 420 nm.</w:t>
            </w:r>
          </w:p>
        </w:tc>
      </w:tr>
      <w:tr w:rsidR="003D47A5" w:rsidRPr="00F01347" w14:paraId="7B419645" w14:textId="4C6C3921" w:rsidTr="00C027CB">
        <w:tc>
          <w:tcPr>
            <w:tcW w:w="4675" w:type="dxa"/>
          </w:tcPr>
          <w:p w14:paraId="61FB2830"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sz w:val="16"/>
                <w:szCs w:val="16"/>
              </w:rPr>
              <w:lastRenderedPageBreak/>
              <w:t>Las aguas naturales normalmente contienen concentraciones de sulfato que se pueden presentar en intervalos variables. Pero son posibles las contaminaciones causadas por los drenajes de minas que contienen piritas.</w:t>
            </w:r>
          </w:p>
        </w:tc>
        <w:tc>
          <w:tcPr>
            <w:tcW w:w="4675" w:type="dxa"/>
          </w:tcPr>
          <w:p w14:paraId="6ED88AA4" w14:textId="3D55E6D5" w:rsidR="003D47A5" w:rsidRPr="00F01347" w:rsidRDefault="003D47A5" w:rsidP="003D47A5">
            <w:pPr>
              <w:pStyle w:val="texto0"/>
              <w:spacing w:line="234" w:lineRule="exact"/>
              <w:ind w:firstLine="0"/>
              <w:rPr>
                <w:rFonts w:ascii="Verdana" w:hAnsi="Verdana"/>
                <w:sz w:val="16"/>
                <w:szCs w:val="16"/>
                <w:lang w:val="en-US"/>
              </w:rPr>
            </w:pPr>
            <w:r w:rsidRPr="00F01347">
              <w:rPr>
                <w:rFonts w:ascii="Verdana" w:hAnsi="Verdana"/>
                <w:sz w:val="16"/>
                <w:szCs w:val="16"/>
                <w:lang w:val="en-US"/>
              </w:rPr>
              <w:t xml:space="preserve">Natural waters normally contain sulfate concentrations that can </w:t>
            </w:r>
            <w:r w:rsidR="005E2E04" w:rsidRPr="00F01347">
              <w:rPr>
                <w:rFonts w:ascii="Verdana" w:hAnsi="Verdana"/>
                <w:sz w:val="16"/>
                <w:szCs w:val="16"/>
                <w:lang w:val="en-US"/>
              </w:rPr>
              <w:t>be present</w:t>
            </w:r>
            <w:r w:rsidRPr="00F01347">
              <w:rPr>
                <w:rFonts w:ascii="Verdana" w:hAnsi="Verdana"/>
                <w:sz w:val="16"/>
                <w:szCs w:val="16"/>
                <w:lang w:val="en-US"/>
              </w:rPr>
              <w:t xml:space="preserve"> in variable intervals. But contamination caused by mine drainage containing pyrites is possible.</w:t>
            </w:r>
          </w:p>
        </w:tc>
      </w:tr>
      <w:tr w:rsidR="003D47A5" w:rsidRPr="00F01347" w14:paraId="06062666" w14:textId="73D94A2C" w:rsidTr="00C027CB">
        <w:tc>
          <w:tcPr>
            <w:tcW w:w="4675" w:type="dxa"/>
          </w:tcPr>
          <w:p w14:paraId="1E2ED74B"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sz w:val="16"/>
                <w:szCs w:val="16"/>
              </w:rPr>
              <w:t xml:space="preserve">Por otro </w:t>
            </w:r>
            <w:proofErr w:type="gramStart"/>
            <w:r w:rsidRPr="00F01347">
              <w:rPr>
                <w:rFonts w:ascii="Verdana" w:hAnsi="Verdana"/>
                <w:sz w:val="16"/>
                <w:szCs w:val="16"/>
              </w:rPr>
              <w:t>lado</w:t>
            </w:r>
            <w:proofErr w:type="gramEnd"/>
            <w:r w:rsidRPr="00F01347">
              <w:rPr>
                <w:rFonts w:ascii="Verdana" w:hAnsi="Verdana"/>
                <w:sz w:val="16"/>
                <w:szCs w:val="16"/>
              </w:rPr>
              <w:t xml:space="preserve"> se sabe que el sulfato de calcio y magnesio en concentraciones mayores de 250 ppm ejercen una acción catártica, por eso es importante saber el contenido de sulfato.</w:t>
            </w:r>
          </w:p>
        </w:tc>
        <w:tc>
          <w:tcPr>
            <w:tcW w:w="4675" w:type="dxa"/>
          </w:tcPr>
          <w:p w14:paraId="71FF6701" w14:textId="61F89219" w:rsidR="003D47A5" w:rsidRPr="00F01347" w:rsidRDefault="003D47A5" w:rsidP="003D47A5">
            <w:pPr>
              <w:pStyle w:val="texto0"/>
              <w:spacing w:line="234" w:lineRule="exact"/>
              <w:ind w:firstLine="0"/>
              <w:rPr>
                <w:rFonts w:ascii="Verdana" w:hAnsi="Verdana"/>
                <w:sz w:val="16"/>
                <w:szCs w:val="16"/>
                <w:lang w:val="en-US"/>
              </w:rPr>
            </w:pPr>
            <w:r w:rsidRPr="00F01347">
              <w:rPr>
                <w:rFonts w:ascii="Verdana" w:hAnsi="Verdana"/>
                <w:sz w:val="16"/>
                <w:szCs w:val="16"/>
                <w:lang w:val="en-US"/>
              </w:rPr>
              <w:t>On the other hand</w:t>
            </w:r>
            <w:r w:rsidR="003E1BA9" w:rsidRPr="00F01347">
              <w:rPr>
                <w:rFonts w:ascii="Verdana" w:hAnsi="Verdana"/>
                <w:sz w:val="16"/>
                <w:szCs w:val="16"/>
                <w:lang w:val="en-US"/>
              </w:rPr>
              <w:t>,</w:t>
            </w:r>
            <w:r w:rsidRPr="00F01347">
              <w:rPr>
                <w:rFonts w:ascii="Verdana" w:hAnsi="Verdana"/>
                <w:sz w:val="16"/>
                <w:szCs w:val="16"/>
                <w:lang w:val="en-US"/>
              </w:rPr>
              <w:t xml:space="preserve"> it is known that calcium and magnesium sulfate in concentrations greater than 250 ppm exert a cathartic action, which is why it is important to know the sulfate content.</w:t>
            </w:r>
          </w:p>
        </w:tc>
      </w:tr>
      <w:tr w:rsidR="003D47A5" w:rsidRPr="00F01347" w14:paraId="3D2D9734" w14:textId="3F293477" w:rsidTr="00C027CB">
        <w:tc>
          <w:tcPr>
            <w:tcW w:w="4675" w:type="dxa"/>
          </w:tcPr>
          <w:p w14:paraId="34FBDBD7" w14:textId="77777777" w:rsidR="003D47A5" w:rsidRPr="00F01347" w:rsidRDefault="003D47A5" w:rsidP="003D47A5">
            <w:pPr>
              <w:pStyle w:val="texto0"/>
              <w:spacing w:line="234" w:lineRule="exact"/>
              <w:ind w:firstLine="0"/>
              <w:rPr>
                <w:rFonts w:ascii="Verdana" w:hAnsi="Verdana"/>
                <w:b/>
                <w:sz w:val="16"/>
                <w:szCs w:val="16"/>
              </w:rPr>
            </w:pPr>
            <w:r w:rsidRPr="00F01347">
              <w:rPr>
                <w:rFonts w:ascii="Verdana" w:hAnsi="Verdana"/>
                <w:b/>
                <w:sz w:val="16"/>
                <w:szCs w:val="16"/>
              </w:rPr>
              <w:t>B.11.1.2 Alcance y aplicación</w:t>
            </w:r>
          </w:p>
        </w:tc>
        <w:tc>
          <w:tcPr>
            <w:tcW w:w="4675" w:type="dxa"/>
          </w:tcPr>
          <w:p w14:paraId="2ACE9B63" w14:textId="24ADFE53" w:rsidR="003D47A5" w:rsidRPr="00F01347" w:rsidRDefault="003D47A5" w:rsidP="003D47A5">
            <w:pPr>
              <w:pStyle w:val="texto0"/>
              <w:spacing w:line="234" w:lineRule="exact"/>
              <w:ind w:firstLine="0"/>
              <w:rPr>
                <w:rFonts w:ascii="Verdana" w:hAnsi="Verdana"/>
                <w:b/>
                <w:sz w:val="16"/>
                <w:szCs w:val="16"/>
                <w:lang w:val="en-US"/>
              </w:rPr>
            </w:pPr>
            <w:r w:rsidRPr="00F01347">
              <w:rPr>
                <w:rFonts w:ascii="Verdana" w:hAnsi="Verdana"/>
                <w:b/>
                <w:sz w:val="16"/>
                <w:szCs w:val="16"/>
                <w:lang w:val="en-US"/>
              </w:rPr>
              <w:t>B.11.1.2 Scope and application</w:t>
            </w:r>
          </w:p>
        </w:tc>
      </w:tr>
      <w:tr w:rsidR="003D47A5" w:rsidRPr="00F01347" w14:paraId="5D46CF18" w14:textId="0D08F176" w:rsidTr="00C027CB">
        <w:tc>
          <w:tcPr>
            <w:tcW w:w="4675" w:type="dxa"/>
          </w:tcPr>
          <w:p w14:paraId="190E8667"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sz w:val="16"/>
                <w:szCs w:val="16"/>
              </w:rPr>
              <w:t xml:space="preserve">Este método es utilizado para la determinación de sulfato en muestras de agua para uso y consumo humano a través del método </w:t>
            </w:r>
            <w:proofErr w:type="spellStart"/>
            <w:r w:rsidRPr="00F01347">
              <w:rPr>
                <w:rFonts w:ascii="Verdana" w:hAnsi="Verdana"/>
                <w:sz w:val="16"/>
                <w:szCs w:val="16"/>
              </w:rPr>
              <w:t>turbidimétrico</w:t>
            </w:r>
            <w:proofErr w:type="spellEnd"/>
            <w:r w:rsidRPr="00F01347">
              <w:rPr>
                <w:rFonts w:ascii="Verdana" w:hAnsi="Verdana"/>
                <w:sz w:val="16"/>
                <w:szCs w:val="16"/>
              </w:rPr>
              <w:t>, que es aplicable en un intervalo de 1 a 40</w:t>
            </w:r>
          </w:p>
        </w:tc>
        <w:tc>
          <w:tcPr>
            <w:tcW w:w="4675" w:type="dxa"/>
          </w:tcPr>
          <w:p w14:paraId="2B24005A" w14:textId="4A0BAC3C" w:rsidR="003D47A5" w:rsidRPr="00F01347" w:rsidRDefault="003D47A5" w:rsidP="003D47A5">
            <w:pPr>
              <w:pStyle w:val="texto0"/>
              <w:spacing w:line="234" w:lineRule="exact"/>
              <w:ind w:firstLine="0"/>
              <w:rPr>
                <w:rFonts w:ascii="Verdana" w:hAnsi="Verdana"/>
                <w:sz w:val="16"/>
                <w:szCs w:val="16"/>
                <w:lang w:val="en-US"/>
              </w:rPr>
            </w:pPr>
            <w:r w:rsidRPr="00F01347">
              <w:rPr>
                <w:rFonts w:ascii="Verdana" w:hAnsi="Verdana"/>
                <w:sz w:val="16"/>
                <w:szCs w:val="16"/>
                <w:lang w:val="en-US"/>
              </w:rPr>
              <w:t>This method is used for the determination of sulfate in water samples for human use and consumption through the turbidimetric method</w:t>
            </w:r>
            <w:r w:rsidR="003E1BA9" w:rsidRPr="00F01347">
              <w:rPr>
                <w:rFonts w:ascii="Verdana" w:hAnsi="Verdana"/>
                <w:sz w:val="16"/>
                <w:szCs w:val="16"/>
                <w:lang w:val="en-US"/>
              </w:rPr>
              <w:t>,</w:t>
            </w:r>
            <w:r w:rsidRPr="00F01347">
              <w:rPr>
                <w:rFonts w:ascii="Verdana" w:hAnsi="Verdana"/>
                <w:sz w:val="16"/>
                <w:szCs w:val="16"/>
                <w:lang w:val="en-US"/>
              </w:rPr>
              <w:t xml:space="preserve"> which is applicable in a range of 1 to 40.</w:t>
            </w:r>
          </w:p>
        </w:tc>
      </w:tr>
      <w:tr w:rsidR="003D47A5" w:rsidRPr="00F01347" w14:paraId="57E8B44C" w14:textId="1310C65A" w:rsidTr="00C027CB">
        <w:tc>
          <w:tcPr>
            <w:tcW w:w="4675" w:type="dxa"/>
          </w:tcPr>
          <w:p w14:paraId="0083B5F9" w14:textId="77777777" w:rsidR="003D47A5" w:rsidRPr="00F01347" w:rsidRDefault="003D47A5" w:rsidP="003D47A5">
            <w:pPr>
              <w:pStyle w:val="texto0"/>
              <w:spacing w:line="234" w:lineRule="exact"/>
              <w:ind w:firstLine="0"/>
              <w:rPr>
                <w:rFonts w:ascii="Verdana" w:hAnsi="Verdana"/>
                <w:b/>
                <w:sz w:val="16"/>
                <w:szCs w:val="16"/>
              </w:rPr>
            </w:pPr>
            <w:r w:rsidRPr="00F01347">
              <w:rPr>
                <w:rFonts w:ascii="Verdana" w:hAnsi="Verdana"/>
                <w:b/>
                <w:sz w:val="16"/>
                <w:szCs w:val="16"/>
              </w:rPr>
              <w:t>B.11.1.3 Equipos y materiales</w:t>
            </w:r>
          </w:p>
        </w:tc>
        <w:tc>
          <w:tcPr>
            <w:tcW w:w="4675" w:type="dxa"/>
          </w:tcPr>
          <w:p w14:paraId="0596164F" w14:textId="74023B7B" w:rsidR="003D47A5" w:rsidRPr="00F01347" w:rsidRDefault="003D47A5" w:rsidP="003D47A5">
            <w:pPr>
              <w:pStyle w:val="texto0"/>
              <w:spacing w:line="234" w:lineRule="exact"/>
              <w:ind w:firstLine="0"/>
              <w:rPr>
                <w:rFonts w:ascii="Verdana" w:hAnsi="Verdana"/>
                <w:b/>
                <w:sz w:val="16"/>
                <w:szCs w:val="16"/>
                <w:lang w:val="en-US"/>
              </w:rPr>
            </w:pPr>
            <w:r w:rsidRPr="00F01347">
              <w:rPr>
                <w:rFonts w:ascii="Verdana" w:hAnsi="Verdana"/>
                <w:b/>
                <w:sz w:val="16"/>
                <w:szCs w:val="16"/>
                <w:lang w:val="en-US"/>
              </w:rPr>
              <w:t>B.11.1.3 Equipment and materials</w:t>
            </w:r>
          </w:p>
        </w:tc>
      </w:tr>
      <w:tr w:rsidR="003D47A5" w:rsidRPr="00F01347" w14:paraId="2D3CD744" w14:textId="4DA54D2B" w:rsidTr="00C027CB">
        <w:tc>
          <w:tcPr>
            <w:tcW w:w="4675" w:type="dxa"/>
          </w:tcPr>
          <w:p w14:paraId="1559B336" w14:textId="77777777" w:rsidR="003D47A5" w:rsidRPr="00F01347" w:rsidRDefault="003D47A5" w:rsidP="003D47A5">
            <w:pPr>
              <w:pStyle w:val="texto0"/>
              <w:spacing w:line="234" w:lineRule="exact"/>
              <w:ind w:firstLine="0"/>
              <w:rPr>
                <w:rFonts w:ascii="Verdana" w:hAnsi="Verdana"/>
                <w:b/>
                <w:sz w:val="16"/>
                <w:szCs w:val="16"/>
              </w:rPr>
            </w:pPr>
            <w:r w:rsidRPr="00F01347">
              <w:rPr>
                <w:rFonts w:ascii="Verdana" w:hAnsi="Verdana"/>
                <w:b/>
                <w:sz w:val="16"/>
                <w:szCs w:val="16"/>
              </w:rPr>
              <w:t xml:space="preserve">Agitador </w:t>
            </w:r>
            <w:r w:rsidRPr="00F01347">
              <w:rPr>
                <w:rFonts w:ascii="Verdana" w:hAnsi="Verdana"/>
                <w:sz w:val="16"/>
                <w:szCs w:val="16"/>
              </w:rPr>
              <w:t>y barras magnéticas.</w:t>
            </w:r>
          </w:p>
        </w:tc>
        <w:tc>
          <w:tcPr>
            <w:tcW w:w="4675" w:type="dxa"/>
          </w:tcPr>
          <w:p w14:paraId="598E4EE0" w14:textId="14B0DDE4" w:rsidR="003D47A5" w:rsidRPr="00F01347" w:rsidRDefault="003D47A5" w:rsidP="003D47A5">
            <w:pPr>
              <w:pStyle w:val="texto0"/>
              <w:spacing w:line="234" w:lineRule="exact"/>
              <w:ind w:firstLine="0"/>
              <w:rPr>
                <w:rFonts w:ascii="Verdana" w:hAnsi="Verdana"/>
                <w:b/>
                <w:sz w:val="16"/>
                <w:szCs w:val="16"/>
                <w:lang w:val="en-US"/>
              </w:rPr>
            </w:pPr>
            <w:r w:rsidRPr="00F01347">
              <w:rPr>
                <w:rFonts w:ascii="Verdana" w:hAnsi="Verdana"/>
                <w:b/>
                <w:sz w:val="16"/>
                <w:szCs w:val="16"/>
                <w:lang w:val="en-US"/>
              </w:rPr>
              <w:t xml:space="preserve">Stirrer </w:t>
            </w:r>
            <w:r w:rsidRPr="00F01347">
              <w:rPr>
                <w:rFonts w:ascii="Verdana" w:hAnsi="Verdana"/>
                <w:sz w:val="16"/>
                <w:szCs w:val="16"/>
                <w:lang w:val="en-US"/>
              </w:rPr>
              <w:t>and magnetic bars.</w:t>
            </w:r>
          </w:p>
        </w:tc>
      </w:tr>
      <w:tr w:rsidR="003D47A5" w:rsidRPr="00F01347" w14:paraId="3293C42D" w14:textId="7B224E16" w:rsidTr="00C027CB">
        <w:tc>
          <w:tcPr>
            <w:tcW w:w="4675" w:type="dxa"/>
          </w:tcPr>
          <w:p w14:paraId="121B0B78" w14:textId="77777777" w:rsidR="003D47A5" w:rsidRPr="00F01347" w:rsidRDefault="003D47A5" w:rsidP="003D47A5">
            <w:pPr>
              <w:pStyle w:val="texto0"/>
              <w:spacing w:line="234" w:lineRule="exact"/>
              <w:ind w:firstLine="0"/>
              <w:rPr>
                <w:rFonts w:ascii="Verdana" w:hAnsi="Verdana"/>
                <w:b/>
                <w:sz w:val="16"/>
                <w:szCs w:val="16"/>
              </w:rPr>
            </w:pPr>
            <w:r w:rsidRPr="00F01347">
              <w:rPr>
                <w:rFonts w:ascii="Verdana" w:hAnsi="Verdana"/>
                <w:b/>
                <w:sz w:val="16"/>
                <w:szCs w:val="16"/>
              </w:rPr>
              <w:t xml:space="preserve">Balanza analítica </w:t>
            </w:r>
            <w:r w:rsidRPr="00F01347">
              <w:rPr>
                <w:rFonts w:ascii="Verdana" w:hAnsi="Verdana"/>
                <w:sz w:val="16"/>
                <w:szCs w:val="16"/>
              </w:rPr>
              <w:t>con sensibilidad de ± 0.1 mg.</w:t>
            </w:r>
          </w:p>
        </w:tc>
        <w:tc>
          <w:tcPr>
            <w:tcW w:w="4675" w:type="dxa"/>
          </w:tcPr>
          <w:p w14:paraId="6E1A9D66" w14:textId="603D1F36" w:rsidR="003D47A5" w:rsidRPr="00F01347" w:rsidRDefault="003D47A5" w:rsidP="003D47A5">
            <w:pPr>
              <w:pStyle w:val="texto0"/>
              <w:spacing w:line="234" w:lineRule="exact"/>
              <w:ind w:firstLine="0"/>
              <w:rPr>
                <w:rFonts w:ascii="Verdana" w:hAnsi="Verdana"/>
                <w:b/>
                <w:sz w:val="16"/>
                <w:szCs w:val="16"/>
                <w:lang w:val="en-US"/>
              </w:rPr>
            </w:pPr>
            <w:r w:rsidRPr="00F01347">
              <w:rPr>
                <w:rFonts w:ascii="Verdana" w:hAnsi="Verdana"/>
                <w:b/>
                <w:sz w:val="16"/>
                <w:szCs w:val="16"/>
                <w:lang w:val="en-US"/>
              </w:rPr>
              <w:t xml:space="preserve">Analytical balance </w:t>
            </w:r>
            <w:r w:rsidRPr="00F01347">
              <w:rPr>
                <w:rFonts w:ascii="Verdana" w:hAnsi="Verdana"/>
                <w:sz w:val="16"/>
                <w:szCs w:val="16"/>
                <w:lang w:val="en-US"/>
              </w:rPr>
              <w:t>with sensitivity of ± 0.1 mg.</w:t>
            </w:r>
          </w:p>
        </w:tc>
      </w:tr>
      <w:tr w:rsidR="003D47A5" w:rsidRPr="00F01347" w14:paraId="5FDD88C0" w14:textId="6DD4B35C" w:rsidTr="00C027CB">
        <w:tc>
          <w:tcPr>
            <w:tcW w:w="4675" w:type="dxa"/>
          </w:tcPr>
          <w:p w14:paraId="69D9B40F" w14:textId="77777777" w:rsidR="003D47A5" w:rsidRPr="00F01347" w:rsidRDefault="003D47A5" w:rsidP="003D47A5">
            <w:pPr>
              <w:pStyle w:val="texto0"/>
              <w:spacing w:line="234" w:lineRule="exact"/>
              <w:ind w:firstLine="0"/>
              <w:rPr>
                <w:rFonts w:ascii="Verdana" w:hAnsi="Verdana"/>
                <w:b/>
                <w:sz w:val="16"/>
                <w:szCs w:val="16"/>
              </w:rPr>
            </w:pPr>
            <w:r w:rsidRPr="00F01347">
              <w:rPr>
                <w:rFonts w:ascii="Verdana" w:hAnsi="Verdana"/>
                <w:b/>
                <w:sz w:val="16"/>
                <w:szCs w:val="16"/>
              </w:rPr>
              <w:t>Barras magnéticas</w:t>
            </w:r>
          </w:p>
        </w:tc>
        <w:tc>
          <w:tcPr>
            <w:tcW w:w="4675" w:type="dxa"/>
          </w:tcPr>
          <w:p w14:paraId="13F1BA00" w14:textId="23E33AFA" w:rsidR="003D47A5" w:rsidRPr="00F01347" w:rsidRDefault="003D47A5" w:rsidP="003D47A5">
            <w:pPr>
              <w:pStyle w:val="texto0"/>
              <w:spacing w:line="234" w:lineRule="exact"/>
              <w:ind w:firstLine="0"/>
              <w:rPr>
                <w:rFonts w:ascii="Verdana" w:hAnsi="Verdana"/>
                <w:b/>
                <w:sz w:val="16"/>
                <w:szCs w:val="16"/>
                <w:lang w:val="en-US"/>
              </w:rPr>
            </w:pPr>
            <w:r w:rsidRPr="00F01347">
              <w:rPr>
                <w:rFonts w:ascii="Verdana" w:hAnsi="Verdana"/>
                <w:b/>
                <w:sz w:val="16"/>
                <w:szCs w:val="16"/>
                <w:lang w:val="en-US"/>
              </w:rPr>
              <w:t>Magnetic bars</w:t>
            </w:r>
          </w:p>
        </w:tc>
      </w:tr>
      <w:tr w:rsidR="003D47A5" w:rsidRPr="00F01347" w14:paraId="7486D73E" w14:textId="23031B62" w:rsidTr="00C027CB">
        <w:tc>
          <w:tcPr>
            <w:tcW w:w="4675" w:type="dxa"/>
          </w:tcPr>
          <w:p w14:paraId="50D41DC4" w14:textId="77777777" w:rsidR="003D47A5" w:rsidRPr="00F01347" w:rsidRDefault="003D47A5" w:rsidP="003D47A5">
            <w:pPr>
              <w:pStyle w:val="texto0"/>
              <w:spacing w:line="234" w:lineRule="exact"/>
              <w:ind w:firstLine="0"/>
              <w:rPr>
                <w:rFonts w:ascii="Verdana" w:hAnsi="Verdana"/>
                <w:b/>
                <w:sz w:val="16"/>
                <w:szCs w:val="16"/>
              </w:rPr>
            </w:pPr>
            <w:r w:rsidRPr="00F01347">
              <w:rPr>
                <w:rFonts w:ascii="Verdana" w:hAnsi="Verdana"/>
                <w:b/>
                <w:sz w:val="16"/>
                <w:szCs w:val="16"/>
              </w:rPr>
              <w:t xml:space="preserve">Bureta de 100 </w:t>
            </w:r>
            <w:proofErr w:type="spellStart"/>
            <w:r w:rsidRPr="00F01347">
              <w:rPr>
                <w:rFonts w:ascii="Verdana" w:hAnsi="Verdana"/>
                <w:b/>
                <w:sz w:val="16"/>
                <w:szCs w:val="16"/>
              </w:rPr>
              <w:t>mL</w:t>
            </w:r>
            <w:proofErr w:type="spellEnd"/>
            <w:r w:rsidRPr="00F01347">
              <w:rPr>
                <w:rFonts w:ascii="Verdana" w:hAnsi="Verdana"/>
                <w:b/>
                <w:sz w:val="16"/>
                <w:szCs w:val="16"/>
              </w:rPr>
              <w:t>.</w:t>
            </w:r>
          </w:p>
        </w:tc>
        <w:tc>
          <w:tcPr>
            <w:tcW w:w="4675" w:type="dxa"/>
          </w:tcPr>
          <w:p w14:paraId="493E4017" w14:textId="74BE6D6C" w:rsidR="003D47A5" w:rsidRPr="00F01347" w:rsidRDefault="003D47A5" w:rsidP="003D47A5">
            <w:pPr>
              <w:pStyle w:val="texto0"/>
              <w:spacing w:line="234" w:lineRule="exact"/>
              <w:ind w:firstLine="0"/>
              <w:rPr>
                <w:rFonts w:ascii="Verdana" w:hAnsi="Verdana"/>
                <w:b/>
                <w:sz w:val="16"/>
                <w:szCs w:val="16"/>
                <w:lang w:val="en-US"/>
              </w:rPr>
            </w:pPr>
            <w:r w:rsidRPr="00F01347">
              <w:rPr>
                <w:rFonts w:ascii="Verdana" w:hAnsi="Verdana"/>
                <w:b/>
                <w:sz w:val="16"/>
                <w:szCs w:val="16"/>
                <w:lang w:val="en-US"/>
              </w:rPr>
              <w:t>100 mL burette</w:t>
            </w:r>
            <w:r w:rsidR="003E1BA9" w:rsidRPr="00F01347">
              <w:rPr>
                <w:rFonts w:ascii="Verdana" w:hAnsi="Verdana"/>
                <w:b/>
                <w:sz w:val="16"/>
                <w:szCs w:val="16"/>
                <w:lang w:val="en-US"/>
              </w:rPr>
              <w:t>.</w:t>
            </w:r>
          </w:p>
        </w:tc>
      </w:tr>
      <w:tr w:rsidR="003D47A5" w:rsidRPr="00F01347" w14:paraId="35F115A5" w14:textId="7ABE6BE8" w:rsidTr="00C027CB">
        <w:tc>
          <w:tcPr>
            <w:tcW w:w="4675" w:type="dxa"/>
          </w:tcPr>
          <w:p w14:paraId="73FC6D11" w14:textId="77777777" w:rsidR="003D47A5" w:rsidRPr="00F01347" w:rsidRDefault="003D47A5" w:rsidP="003D47A5">
            <w:pPr>
              <w:pStyle w:val="texto0"/>
              <w:spacing w:line="234" w:lineRule="exact"/>
              <w:ind w:firstLine="0"/>
              <w:rPr>
                <w:rFonts w:ascii="Verdana" w:hAnsi="Verdana"/>
                <w:sz w:val="16"/>
                <w:szCs w:val="16"/>
              </w:rPr>
            </w:pPr>
            <w:r w:rsidRPr="00F01347">
              <w:rPr>
                <w:rFonts w:ascii="Verdana" w:hAnsi="Verdana"/>
                <w:b/>
                <w:sz w:val="16"/>
                <w:szCs w:val="16"/>
              </w:rPr>
              <w:t xml:space="preserve">Celdas de vidrio </w:t>
            </w:r>
            <w:r w:rsidRPr="00F01347">
              <w:rPr>
                <w:rFonts w:ascii="Verdana" w:hAnsi="Verdana"/>
                <w:sz w:val="16"/>
                <w:szCs w:val="16"/>
              </w:rPr>
              <w:t>o cuarzo de 1 o 5 cm de paso de luz o la indicada en el manual del espectrofotómetro</w:t>
            </w:r>
          </w:p>
        </w:tc>
        <w:tc>
          <w:tcPr>
            <w:tcW w:w="4675" w:type="dxa"/>
          </w:tcPr>
          <w:p w14:paraId="763E8F06" w14:textId="272C1A3A" w:rsidR="003D47A5" w:rsidRPr="00F01347" w:rsidRDefault="003D47A5" w:rsidP="003D47A5">
            <w:pPr>
              <w:pStyle w:val="texto0"/>
              <w:spacing w:line="234" w:lineRule="exact"/>
              <w:ind w:firstLine="0"/>
              <w:rPr>
                <w:rFonts w:ascii="Verdana" w:hAnsi="Verdana"/>
                <w:b/>
                <w:sz w:val="16"/>
                <w:szCs w:val="16"/>
                <w:lang w:val="en-US"/>
              </w:rPr>
            </w:pPr>
            <w:r w:rsidRPr="00F01347">
              <w:rPr>
                <w:rFonts w:ascii="Verdana" w:hAnsi="Verdana"/>
                <w:b/>
                <w:sz w:val="16"/>
                <w:szCs w:val="16"/>
                <w:lang w:val="en-US"/>
              </w:rPr>
              <w:t xml:space="preserve">Glass </w:t>
            </w:r>
            <w:r w:rsidRPr="00F01347">
              <w:rPr>
                <w:rFonts w:ascii="Verdana" w:hAnsi="Verdana"/>
                <w:b/>
                <w:bCs/>
                <w:sz w:val="16"/>
                <w:szCs w:val="16"/>
                <w:lang w:val="en-US"/>
              </w:rPr>
              <w:t>or quartz cells</w:t>
            </w:r>
            <w:r w:rsidRPr="00F01347">
              <w:rPr>
                <w:rFonts w:ascii="Verdana" w:hAnsi="Verdana"/>
                <w:sz w:val="16"/>
                <w:szCs w:val="16"/>
                <w:lang w:val="en-US"/>
              </w:rPr>
              <w:t xml:space="preserve"> with 1 or 5 cm light path or that indicated in the spectrophotometer manual</w:t>
            </w:r>
          </w:p>
        </w:tc>
      </w:tr>
      <w:tr w:rsidR="003D47A5" w:rsidRPr="00F01347" w14:paraId="0B6285DE" w14:textId="7C817951" w:rsidTr="00C027CB">
        <w:tc>
          <w:tcPr>
            <w:tcW w:w="4675" w:type="dxa"/>
          </w:tcPr>
          <w:p w14:paraId="7CD82724" w14:textId="77777777" w:rsidR="003D47A5" w:rsidRPr="00F01347" w:rsidRDefault="003D47A5" w:rsidP="003D47A5">
            <w:pPr>
              <w:pStyle w:val="texto0"/>
              <w:spacing w:line="234" w:lineRule="exact"/>
              <w:ind w:firstLine="0"/>
              <w:rPr>
                <w:rFonts w:ascii="Verdana" w:hAnsi="Verdana"/>
                <w:b/>
                <w:sz w:val="16"/>
                <w:szCs w:val="16"/>
              </w:rPr>
            </w:pPr>
            <w:r w:rsidRPr="00F01347">
              <w:rPr>
                <w:rFonts w:ascii="Verdana" w:hAnsi="Verdana"/>
                <w:b/>
                <w:sz w:val="16"/>
                <w:szCs w:val="16"/>
              </w:rPr>
              <w:t xml:space="preserve">Cuchara con capacidad de 0.2 a 0.3 </w:t>
            </w:r>
            <w:proofErr w:type="spellStart"/>
            <w:r w:rsidRPr="00F01347">
              <w:rPr>
                <w:rFonts w:ascii="Verdana" w:hAnsi="Verdana"/>
                <w:b/>
                <w:sz w:val="16"/>
                <w:szCs w:val="16"/>
              </w:rPr>
              <w:t>mL</w:t>
            </w:r>
            <w:proofErr w:type="spellEnd"/>
            <w:r w:rsidRPr="00F01347">
              <w:rPr>
                <w:rFonts w:ascii="Verdana" w:hAnsi="Verdana"/>
                <w:sz w:val="16"/>
                <w:szCs w:val="16"/>
              </w:rPr>
              <w:t>, para medir el cloruro de bario.</w:t>
            </w:r>
          </w:p>
        </w:tc>
        <w:tc>
          <w:tcPr>
            <w:tcW w:w="4675" w:type="dxa"/>
          </w:tcPr>
          <w:p w14:paraId="0E18097F" w14:textId="4629FA1E" w:rsidR="003D47A5" w:rsidRPr="00F01347" w:rsidRDefault="003D47A5" w:rsidP="003D47A5">
            <w:pPr>
              <w:pStyle w:val="texto0"/>
              <w:spacing w:line="234" w:lineRule="exact"/>
              <w:ind w:firstLine="0"/>
              <w:rPr>
                <w:rFonts w:ascii="Verdana" w:hAnsi="Verdana"/>
                <w:b/>
                <w:sz w:val="16"/>
                <w:szCs w:val="16"/>
                <w:lang w:val="en-US"/>
              </w:rPr>
            </w:pPr>
            <w:r w:rsidRPr="00F01347">
              <w:rPr>
                <w:rFonts w:ascii="Verdana" w:hAnsi="Verdana"/>
                <w:b/>
                <w:sz w:val="16"/>
                <w:szCs w:val="16"/>
                <w:lang w:val="en-US"/>
              </w:rPr>
              <w:t>Spoon with a capacity of 0.2 to 0.3 mL</w:t>
            </w:r>
            <w:r w:rsidR="003E1BA9" w:rsidRPr="00F01347">
              <w:rPr>
                <w:rFonts w:ascii="Verdana" w:hAnsi="Verdana"/>
                <w:b/>
                <w:sz w:val="16"/>
                <w:szCs w:val="16"/>
                <w:lang w:val="en-US"/>
              </w:rPr>
              <w:t>,</w:t>
            </w:r>
            <w:r w:rsidRPr="00F01347">
              <w:rPr>
                <w:rFonts w:ascii="Verdana" w:hAnsi="Verdana"/>
                <w:sz w:val="16"/>
                <w:szCs w:val="16"/>
                <w:lang w:val="en-US"/>
              </w:rPr>
              <w:t xml:space="preserve"> to measure barium chloride.</w:t>
            </w:r>
          </w:p>
        </w:tc>
      </w:tr>
      <w:tr w:rsidR="003D47A5" w:rsidRPr="00F01347" w14:paraId="38397E9B" w14:textId="1CA59FAE" w:rsidTr="00C027CB">
        <w:tc>
          <w:tcPr>
            <w:tcW w:w="4675" w:type="dxa"/>
          </w:tcPr>
          <w:p w14:paraId="5DB65DCE" w14:textId="77777777" w:rsidR="003D47A5" w:rsidRPr="00F01347" w:rsidRDefault="003D47A5" w:rsidP="003D47A5">
            <w:pPr>
              <w:pStyle w:val="texto0"/>
              <w:spacing w:line="234" w:lineRule="exact"/>
              <w:ind w:firstLine="0"/>
              <w:rPr>
                <w:rFonts w:ascii="Verdana" w:hAnsi="Verdana"/>
                <w:b/>
                <w:sz w:val="16"/>
                <w:szCs w:val="16"/>
              </w:rPr>
            </w:pPr>
            <w:r w:rsidRPr="00F01347">
              <w:rPr>
                <w:rFonts w:ascii="Verdana" w:hAnsi="Verdana"/>
                <w:b/>
                <w:sz w:val="16"/>
                <w:szCs w:val="16"/>
              </w:rPr>
              <w:t>Cronómetro</w:t>
            </w:r>
          </w:p>
        </w:tc>
        <w:tc>
          <w:tcPr>
            <w:tcW w:w="4675" w:type="dxa"/>
          </w:tcPr>
          <w:p w14:paraId="18EB90CF" w14:textId="58B66652" w:rsidR="003D47A5" w:rsidRPr="00F01347" w:rsidRDefault="003D47A5" w:rsidP="003D47A5">
            <w:pPr>
              <w:pStyle w:val="texto0"/>
              <w:spacing w:line="234" w:lineRule="exact"/>
              <w:ind w:firstLine="0"/>
              <w:rPr>
                <w:rFonts w:ascii="Verdana" w:hAnsi="Verdana"/>
                <w:b/>
                <w:sz w:val="16"/>
                <w:szCs w:val="16"/>
                <w:lang w:val="en-US"/>
              </w:rPr>
            </w:pPr>
            <w:r w:rsidRPr="00F01347">
              <w:rPr>
                <w:rFonts w:ascii="Verdana" w:hAnsi="Verdana"/>
                <w:b/>
                <w:sz w:val="16"/>
                <w:szCs w:val="16"/>
                <w:lang w:val="en-US"/>
              </w:rPr>
              <w:t>Chronometer</w:t>
            </w:r>
          </w:p>
        </w:tc>
      </w:tr>
      <w:tr w:rsidR="003D47A5" w:rsidRPr="00F01347" w14:paraId="67842130" w14:textId="4BBA2F4D" w:rsidTr="00C027CB">
        <w:tc>
          <w:tcPr>
            <w:tcW w:w="4675" w:type="dxa"/>
          </w:tcPr>
          <w:p w14:paraId="10BAC0D3" w14:textId="77777777" w:rsidR="003D47A5" w:rsidRPr="00F01347" w:rsidRDefault="003D47A5" w:rsidP="003D47A5">
            <w:pPr>
              <w:pStyle w:val="texto0"/>
              <w:spacing w:line="234" w:lineRule="exact"/>
              <w:ind w:firstLine="0"/>
              <w:rPr>
                <w:rFonts w:ascii="Verdana" w:hAnsi="Verdana"/>
                <w:b/>
                <w:sz w:val="16"/>
                <w:szCs w:val="16"/>
              </w:rPr>
            </w:pPr>
            <w:r w:rsidRPr="00F01347">
              <w:rPr>
                <w:rFonts w:ascii="Verdana" w:hAnsi="Verdana"/>
                <w:b/>
                <w:sz w:val="16"/>
                <w:szCs w:val="16"/>
              </w:rPr>
              <w:t xml:space="preserve">Espectrofotómetro </w:t>
            </w:r>
            <w:r w:rsidRPr="00F01347">
              <w:rPr>
                <w:rFonts w:ascii="Verdana" w:hAnsi="Verdana"/>
                <w:sz w:val="16"/>
                <w:szCs w:val="16"/>
              </w:rPr>
              <w:t>para leer a 420 nm.</w:t>
            </w:r>
          </w:p>
        </w:tc>
        <w:tc>
          <w:tcPr>
            <w:tcW w:w="4675" w:type="dxa"/>
          </w:tcPr>
          <w:p w14:paraId="40B57371" w14:textId="68802E2E" w:rsidR="003D47A5" w:rsidRPr="00F01347" w:rsidRDefault="003D47A5" w:rsidP="003D47A5">
            <w:pPr>
              <w:pStyle w:val="texto0"/>
              <w:spacing w:line="234" w:lineRule="exact"/>
              <w:ind w:firstLine="0"/>
              <w:rPr>
                <w:rFonts w:ascii="Verdana" w:hAnsi="Verdana"/>
                <w:b/>
                <w:sz w:val="16"/>
                <w:szCs w:val="16"/>
                <w:lang w:val="en-US"/>
              </w:rPr>
            </w:pPr>
            <w:r w:rsidRPr="00F01347">
              <w:rPr>
                <w:rFonts w:ascii="Verdana" w:hAnsi="Verdana"/>
                <w:b/>
                <w:sz w:val="16"/>
                <w:szCs w:val="16"/>
                <w:lang w:val="en-US"/>
              </w:rPr>
              <w:t xml:space="preserve">Spectrophotometer </w:t>
            </w:r>
            <w:r w:rsidRPr="00F01347">
              <w:rPr>
                <w:rFonts w:ascii="Verdana" w:hAnsi="Verdana"/>
                <w:sz w:val="16"/>
                <w:szCs w:val="16"/>
                <w:lang w:val="en-US"/>
              </w:rPr>
              <w:t>to read at 420 nm.</w:t>
            </w:r>
          </w:p>
        </w:tc>
      </w:tr>
      <w:tr w:rsidR="003D47A5" w:rsidRPr="00F01347" w14:paraId="5ED149CE" w14:textId="7790F489" w:rsidTr="00C027CB">
        <w:tc>
          <w:tcPr>
            <w:tcW w:w="4675" w:type="dxa"/>
          </w:tcPr>
          <w:p w14:paraId="52FA13AA" w14:textId="77777777" w:rsidR="003D47A5" w:rsidRPr="00F01347" w:rsidRDefault="003D47A5" w:rsidP="003D47A5">
            <w:pPr>
              <w:pStyle w:val="texto0"/>
              <w:spacing w:line="234" w:lineRule="exact"/>
              <w:ind w:firstLine="0"/>
              <w:rPr>
                <w:rFonts w:ascii="Verdana" w:hAnsi="Verdana"/>
                <w:b/>
                <w:sz w:val="16"/>
                <w:szCs w:val="16"/>
              </w:rPr>
            </w:pPr>
            <w:r w:rsidRPr="00F01347">
              <w:rPr>
                <w:rFonts w:ascii="Verdana" w:hAnsi="Verdana"/>
                <w:b/>
                <w:sz w:val="16"/>
                <w:szCs w:val="16"/>
              </w:rPr>
              <w:t xml:space="preserve">Pipetas volumétricas </w:t>
            </w:r>
            <w:r w:rsidRPr="00F01347">
              <w:rPr>
                <w:rFonts w:ascii="Verdana" w:hAnsi="Verdana"/>
                <w:sz w:val="16"/>
                <w:szCs w:val="16"/>
              </w:rPr>
              <w:t xml:space="preserve">de 5 y 20 </w:t>
            </w:r>
            <w:proofErr w:type="spellStart"/>
            <w:r w:rsidRPr="00F01347">
              <w:rPr>
                <w:rFonts w:ascii="Verdana" w:hAnsi="Verdana"/>
                <w:sz w:val="16"/>
                <w:szCs w:val="16"/>
              </w:rPr>
              <w:t>mL</w:t>
            </w:r>
            <w:proofErr w:type="spellEnd"/>
            <w:r w:rsidRPr="00F01347">
              <w:rPr>
                <w:rFonts w:ascii="Verdana" w:hAnsi="Verdana"/>
                <w:sz w:val="16"/>
                <w:szCs w:val="16"/>
              </w:rPr>
              <w:t xml:space="preserve"> o pipetas de pistón</w:t>
            </w:r>
          </w:p>
        </w:tc>
        <w:tc>
          <w:tcPr>
            <w:tcW w:w="4675" w:type="dxa"/>
          </w:tcPr>
          <w:p w14:paraId="0F0222FC" w14:textId="1878851D" w:rsidR="003D47A5" w:rsidRPr="00F01347" w:rsidRDefault="003D47A5" w:rsidP="003D47A5">
            <w:pPr>
              <w:pStyle w:val="texto0"/>
              <w:spacing w:line="234" w:lineRule="exact"/>
              <w:ind w:firstLine="0"/>
              <w:rPr>
                <w:rFonts w:ascii="Verdana" w:hAnsi="Verdana"/>
                <w:b/>
                <w:sz w:val="16"/>
                <w:szCs w:val="16"/>
                <w:lang w:val="en-US"/>
              </w:rPr>
            </w:pPr>
            <w:proofErr w:type="gramStart"/>
            <w:r w:rsidRPr="00F01347">
              <w:rPr>
                <w:rFonts w:ascii="Verdana" w:hAnsi="Verdana"/>
                <w:b/>
                <w:bCs/>
                <w:sz w:val="16"/>
                <w:szCs w:val="16"/>
                <w:lang w:val="en-US"/>
              </w:rPr>
              <w:t>5 and 20 mL</w:t>
            </w:r>
            <w:proofErr w:type="gramEnd"/>
            <w:r w:rsidRPr="00F01347">
              <w:rPr>
                <w:rFonts w:ascii="Verdana" w:hAnsi="Verdana"/>
                <w:sz w:val="16"/>
                <w:szCs w:val="16"/>
                <w:lang w:val="en-US"/>
              </w:rPr>
              <w:t xml:space="preserve"> </w:t>
            </w:r>
            <w:r w:rsidRPr="00F01347">
              <w:rPr>
                <w:rFonts w:ascii="Verdana" w:hAnsi="Verdana"/>
                <w:b/>
                <w:sz w:val="16"/>
                <w:szCs w:val="16"/>
                <w:lang w:val="en-US"/>
              </w:rPr>
              <w:t xml:space="preserve">volumetric pipettes </w:t>
            </w:r>
            <w:r w:rsidRPr="00F01347">
              <w:rPr>
                <w:rFonts w:ascii="Verdana" w:hAnsi="Verdana"/>
                <w:sz w:val="16"/>
                <w:szCs w:val="16"/>
                <w:lang w:val="en-US"/>
              </w:rPr>
              <w:t>or piston pipettes</w:t>
            </w:r>
          </w:p>
        </w:tc>
      </w:tr>
      <w:tr w:rsidR="003D47A5" w:rsidRPr="00F01347" w14:paraId="675B7BCE" w14:textId="204E7106" w:rsidTr="00C027CB">
        <w:tc>
          <w:tcPr>
            <w:tcW w:w="4675" w:type="dxa"/>
          </w:tcPr>
          <w:p w14:paraId="1E095701" w14:textId="77777777" w:rsidR="003D47A5" w:rsidRPr="00F01347" w:rsidRDefault="003D47A5" w:rsidP="003D47A5">
            <w:pPr>
              <w:pStyle w:val="texto0"/>
              <w:spacing w:line="234" w:lineRule="exact"/>
              <w:ind w:firstLine="0"/>
              <w:rPr>
                <w:rFonts w:ascii="Verdana" w:hAnsi="Verdana"/>
                <w:b/>
                <w:sz w:val="16"/>
                <w:szCs w:val="16"/>
              </w:rPr>
            </w:pPr>
            <w:r w:rsidRPr="00F01347">
              <w:rPr>
                <w:rFonts w:ascii="Verdana" w:hAnsi="Verdana"/>
                <w:b/>
                <w:sz w:val="16"/>
                <w:szCs w:val="16"/>
              </w:rPr>
              <w:t xml:space="preserve">Vaso de precipitados </w:t>
            </w:r>
            <w:r w:rsidRPr="00F01347">
              <w:rPr>
                <w:rFonts w:ascii="Verdana" w:hAnsi="Verdana"/>
                <w:sz w:val="16"/>
                <w:szCs w:val="16"/>
              </w:rPr>
              <w:t xml:space="preserve">o matraz Erlenmeyer de 250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7C52BFE7" w14:textId="5DF033F3" w:rsidR="003D47A5" w:rsidRPr="00F01347" w:rsidRDefault="003D47A5" w:rsidP="003D47A5">
            <w:pPr>
              <w:pStyle w:val="texto0"/>
              <w:spacing w:line="234" w:lineRule="exact"/>
              <w:ind w:firstLine="0"/>
              <w:rPr>
                <w:rFonts w:ascii="Verdana" w:hAnsi="Verdana"/>
                <w:b/>
                <w:sz w:val="16"/>
                <w:szCs w:val="16"/>
                <w:lang w:val="en-US"/>
              </w:rPr>
            </w:pPr>
            <w:r w:rsidRPr="00F01347">
              <w:rPr>
                <w:rFonts w:ascii="Verdana" w:hAnsi="Verdana"/>
                <w:b/>
                <w:sz w:val="16"/>
                <w:szCs w:val="16"/>
                <w:lang w:val="en-US"/>
              </w:rPr>
              <w:t xml:space="preserve">Beaker or 250 </w:t>
            </w:r>
            <w:r w:rsidRPr="00F01347">
              <w:rPr>
                <w:rFonts w:ascii="Verdana" w:hAnsi="Verdana"/>
                <w:sz w:val="16"/>
                <w:szCs w:val="16"/>
                <w:lang w:val="en-US"/>
              </w:rPr>
              <w:t>mL Erlenmeyer flask</w:t>
            </w:r>
            <w:r w:rsidR="003E1BA9" w:rsidRPr="00F01347">
              <w:rPr>
                <w:rFonts w:ascii="Verdana" w:hAnsi="Verdana"/>
                <w:sz w:val="16"/>
                <w:szCs w:val="16"/>
                <w:lang w:val="en-US"/>
              </w:rPr>
              <w:t>.</w:t>
            </w:r>
          </w:p>
        </w:tc>
      </w:tr>
      <w:tr w:rsidR="003D47A5" w:rsidRPr="00F01347" w14:paraId="70E37C83" w14:textId="69EE3115" w:rsidTr="00C027CB">
        <w:tc>
          <w:tcPr>
            <w:tcW w:w="4675" w:type="dxa"/>
          </w:tcPr>
          <w:p w14:paraId="3BA981C0" w14:textId="77777777" w:rsidR="003D47A5" w:rsidRPr="00F01347" w:rsidRDefault="003D47A5" w:rsidP="003D47A5">
            <w:pPr>
              <w:pStyle w:val="texto0"/>
              <w:spacing w:line="220" w:lineRule="exact"/>
              <w:ind w:firstLine="0"/>
              <w:rPr>
                <w:rFonts w:ascii="Verdana" w:hAnsi="Verdana"/>
                <w:b/>
                <w:sz w:val="16"/>
                <w:szCs w:val="16"/>
              </w:rPr>
            </w:pPr>
            <w:r w:rsidRPr="00F01347">
              <w:rPr>
                <w:rFonts w:ascii="Verdana" w:hAnsi="Verdana"/>
                <w:b/>
                <w:sz w:val="16"/>
                <w:szCs w:val="16"/>
              </w:rPr>
              <w:t>B.11.1.4 Reactivos y soluciones</w:t>
            </w:r>
          </w:p>
        </w:tc>
        <w:tc>
          <w:tcPr>
            <w:tcW w:w="4675" w:type="dxa"/>
          </w:tcPr>
          <w:p w14:paraId="71DDE318" w14:textId="6370926A" w:rsidR="003D47A5" w:rsidRPr="00F01347" w:rsidRDefault="003D47A5" w:rsidP="003D47A5">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B.11.1.4 Reagents and solutions</w:t>
            </w:r>
          </w:p>
        </w:tc>
      </w:tr>
      <w:tr w:rsidR="003D47A5" w:rsidRPr="00F01347" w14:paraId="64CF709D" w14:textId="622E972D" w:rsidTr="00C027CB">
        <w:tc>
          <w:tcPr>
            <w:tcW w:w="4675" w:type="dxa"/>
          </w:tcPr>
          <w:p w14:paraId="622C9EA8" w14:textId="77777777" w:rsidR="003D47A5" w:rsidRPr="00F01347" w:rsidRDefault="003D47A5" w:rsidP="003D47A5">
            <w:pPr>
              <w:pStyle w:val="texto0"/>
              <w:spacing w:line="220" w:lineRule="exact"/>
              <w:ind w:firstLine="0"/>
              <w:rPr>
                <w:rFonts w:ascii="Verdana" w:hAnsi="Verdana"/>
                <w:b/>
                <w:sz w:val="16"/>
                <w:szCs w:val="16"/>
              </w:rPr>
            </w:pPr>
            <w:r w:rsidRPr="00F01347">
              <w:rPr>
                <w:rFonts w:ascii="Verdana" w:hAnsi="Verdana"/>
                <w:b/>
                <w:sz w:val="16"/>
                <w:szCs w:val="16"/>
              </w:rPr>
              <w:t>Agua reactivo tipo I libre de sulfatos</w:t>
            </w:r>
          </w:p>
        </w:tc>
        <w:tc>
          <w:tcPr>
            <w:tcW w:w="4675" w:type="dxa"/>
          </w:tcPr>
          <w:p w14:paraId="306A9641" w14:textId="70ADE72A" w:rsidR="003D47A5" w:rsidRPr="00F01347" w:rsidRDefault="003D47A5" w:rsidP="003D47A5">
            <w:pPr>
              <w:pStyle w:val="texto0"/>
              <w:spacing w:line="220" w:lineRule="exact"/>
              <w:ind w:firstLine="0"/>
              <w:rPr>
                <w:rFonts w:ascii="Verdana" w:hAnsi="Verdana"/>
                <w:b/>
                <w:sz w:val="16"/>
                <w:szCs w:val="16"/>
                <w:lang w:val="en-US"/>
              </w:rPr>
            </w:pPr>
            <w:r w:rsidRPr="00F01347">
              <w:rPr>
                <w:rFonts w:ascii="Verdana" w:hAnsi="Verdana"/>
                <w:b/>
                <w:sz w:val="16"/>
                <w:szCs w:val="16"/>
                <w:lang w:val="en-US"/>
              </w:rPr>
              <w:t>Sulfate-free type I reagent water</w:t>
            </w:r>
          </w:p>
        </w:tc>
      </w:tr>
      <w:tr w:rsidR="003D47A5" w:rsidRPr="00F01347" w14:paraId="3F33597F" w14:textId="2A519A6F" w:rsidTr="00C027CB">
        <w:tc>
          <w:tcPr>
            <w:tcW w:w="4675" w:type="dxa"/>
          </w:tcPr>
          <w:p w14:paraId="05203239" w14:textId="77777777" w:rsidR="003D47A5" w:rsidRPr="00F01347" w:rsidRDefault="003D47A5" w:rsidP="003D47A5">
            <w:pPr>
              <w:pStyle w:val="texto0"/>
              <w:spacing w:line="220" w:lineRule="exact"/>
              <w:ind w:firstLine="0"/>
              <w:rPr>
                <w:rFonts w:ascii="Verdana" w:hAnsi="Verdana"/>
                <w:sz w:val="16"/>
                <w:szCs w:val="16"/>
              </w:rPr>
            </w:pPr>
            <w:r w:rsidRPr="00F01347">
              <w:rPr>
                <w:rFonts w:ascii="Verdana" w:hAnsi="Verdana"/>
                <w:b/>
                <w:sz w:val="16"/>
                <w:szCs w:val="16"/>
              </w:rPr>
              <w:t xml:space="preserve">Ácido clorhídrico </w:t>
            </w:r>
            <w:r w:rsidRPr="00F01347">
              <w:rPr>
                <w:rFonts w:ascii="Verdana" w:hAnsi="Verdana"/>
                <w:sz w:val="16"/>
                <w:szCs w:val="16"/>
              </w:rPr>
              <w:t>concentrado, HCl.</w:t>
            </w:r>
          </w:p>
        </w:tc>
        <w:tc>
          <w:tcPr>
            <w:tcW w:w="4675" w:type="dxa"/>
          </w:tcPr>
          <w:p w14:paraId="179E6194" w14:textId="35CB64EA" w:rsidR="003D47A5" w:rsidRPr="00F01347" w:rsidRDefault="00A327E7" w:rsidP="003D47A5">
            <w:pPr>
              <w:pStyle w:val="texto0"/>
              <w:spacing w:line="220" w:lineRule="exact"/>
              <w:ind w:firstLine="0"/>
              <w:rPr>
                <w:rFonts w:ascii="Verdana" w:hAnsi="Verdana"/>
                <w:b/>
                <w:sz w:val="16"/>
                <w:szCs w:val="16"/>
                <w:lang w:val="en-US"/>
              </w:rPr>
            </w:pPr>
            <w:r w:rsidRPr="00F01347">
              <w:rPr>
                <w:rFonts w:ascii="Verdana" w:hAnsi="Verdana"/>
                <w:b/>
                <w:sz w:val="16"/>
                <w:szCs w:val="16"/>
                <w:lang w:val="en-US"/>
              </w:rPr>
              <w:t>H</w:t>
            </w:r>
            <w:r w:rsidR="003D47A5" w:rsidRPr="00F01347">
              <w:rPr>
                <w:rFonts w:ascii="Verdana" w:hAnsi="Verdana"/>
                <w:b/>
                <w:sz w:val="16"/>
                <w:szCs w:val="16"/>
                <w:lang w:val="en-US"/>
              </w:rPr>
              <w:t>ydrochloric acid</w:t>
            </w:r>
            <w:r w:rsidR="003E1BA9" w:rsidRPr="00F01347">
              <w:rPr>
                <w:rFonts w:ascii="Verdana" w:hAnsi="Verdana"/>
                <w:b/>
                <w:sz w:val="16"/>
                <w:szCs w:val="16"/>
                <w:lang w:val="en-US"/>
              </w:rPr>
              <w:t>,</w:t>
            </w:r>
            <w:r w:rsidR="003D47A5" w:rsidRPr="00F01347">
              <w:rPr>
                <w:rFonts w:ascii="Verdana" w:hAnsi="Verdana"/>
                <w:sz w:val="16"/>
                <w:szCs w:val="16"/>
                <w:lang w:val="en-US"/>
              </w:rPr>
              <w:t xml:space="preserve"> HCl.</w:t>
            </w:r>
          </w:p>
        </w:tc>
      </w:tr>
      <w:tr w:rsidR="003D47A5" w:rsidRPr="00F01347" w14:paraId="2143FA35" w14:textId="2CDF905B" w:rsidTr="00C027CB">
        <w:tc>
          <w:tcPr>
            <w:tcW w:w="4675" w:type="dxa"/>
          </w:tcPr>
          <w:p w14:paraId="2FFD3E18" w14:textId="77777777" w:rsidR="003D47A5" w:rsidRPr="00F01347" w:rsidRDefault="003D47A5" w:rsidP="003D47A5">
            <w:pPr>
              <w:pStyle w:val="texto0"/>
              <w:spacing w:line="220" w:lineRule="exact"/>
              <w:ind w:firstLine="0"/>
              <w:rPr>
                <w:rFonts w:ascii="Verdana" w:hAnsi="Verdana"/>
                <w:sz w:val="16"/>
                <w:szCs w:val="16"/>
              </w:rPr>
            </w:pPr>
            <w:r w:rsidRPr="00F01347">
              <w:rPr>
                <w:rFonts w:ascii="Verdana" w:hAnsi="Verdana"/>
                <w:b/>
                <w:sz w:val="16"/>
                <w:szCs w:val="16"/>
              </w:rPr>
              <w:t xml:space="preserve">Cloruro de sodio, </w:t>
            </w:r>
            <w:r w:rsidRPr="00F01347">
              <w:rPr>
                <w:rFonts w:ascii="Verdana" w:hAnsi="Verdana"/>
                <w:sz w:val="16"/>
                <w:szCs w:val="16"/>
              </w:rPr>
              <w:t>NaCl</w:t>
            </w:r>
          </w:p>
        </w:tc>
        <w:tc>
          <w:tcPr>
            <w:tcW w:w="4675" w:type="dxa"/>
          </w:tcPr>
          <w:p w14:paraId="17B1CF00" w14:textId="7F9529DC" w:rsidR="003D47A5" w:rsidRPr="00F01347" w:rsidRDefault="003D47A5" w:rsidP="003D47A5">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Sodium chloride, </w:t>
            </w:r>
            <w:r w:rsidRPr="00F01347">
              <w:rPr>
                <w:rFonts w:ascii="Verdana" w:hAnsi="Verdana"/>
                <w:sz w:val="16"/>
                <w:szCs w:val="16"/>
                <w:lang w:val="en-US"/>
              </w:rPr>
              <w:t>NaCl</w:t>
            </w:r>
          </w:p>
        </w:tc>
      </w:tr>
      <w:tr w:rsidR="003D47A5" w:rsidRPr="00F01347" w14:paraId="5A7261BF" w14:textId="3AA4B1C5" w:rsidTr="00C027CB">
        <w:tc>
          <w:tcPr>
            <w:tcW w:w="4675" w:type="dxa"/>
          </w:tcPr>
          <w:p w14:paraId="47E294C7" w14:textId="77777777" w:rsidR="003D47A5" w:rsidRPr="00F01347" w:rsidRDefault="003D47A5" w:rsidP="003D47A5">
            <w:pPr>
              <w:pStyle w:val="texto0"/>
              <w:spacing w:line="220" w:lineRule="exact"/>
              <w:ind w:firstLine="0"/>
              <w:rPr>
                <w:rFonts w:ascii="Verdana" w:hAnsi="Verdana"/>
                <w:b/>
                <w:sz w:val="16"/>
                <w:szCs w:val="16"/>
              </w:rPr>
            </w:pPr>
            <w:r w:rsidRPr="00F01347">
              <w:rPr>
                <w:rFonts w:ascii="Verdana" w:hAnsi="Verdana"/>
                <w:b/>
                <w:sz w:val="16"/>
                <w:szCs w:val="16"/>
              </w:rPr>
              <w:t xml:space="preserve">Alcohol etílico </w:t>
            </w:r>
            <w:r w:rsidRPr="00F01347">
              <w:rPr>
                <w:rFonts w:ascii="Verdana" w:hAnsi="Verdana"/>
                <w:sz w:val="16"/>
                <w:szCs w:val="16"/>
              </w:rPr>
              <w:t xml:space="preserve">o alcohol </w:t>
            </w:r>
            <w:proofErr w:type="spellStart"/>
            <w:r w:rsidRPr="00F01347">
              <w:rPr>
                <w:rFonts w:ascii="Verdana" w:hAnsi="Verdana"/>
                <w:sz w:val="16"/>
                <w:szCs w:val="16"/>
              </w:rPr>
              <w:t>isopropilico</w:t>
            </w:r>
            <w:proofErr w:type="spellEnd"/>
          </w:p>
        </w:tc>
        <w:tc>
          <w:tcPr>
            <w:tcW w:w="4675" w:type="dxa"/>
          </w:tcPr>
          <w:p w14:paraId="5B44AECD" w14:textId="1873DC27" w:rsidR="003D47A5" w:rsidRPr="00F01347" w:rsidRDefault="003D47A5" w:rsidP="003D47A5">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Ethyl alcohol </w:t>
            </w:r>
            <w:r w:rsidRPr="00F01347">
              <w:rPr>
                <w:rFonts w:ascii="Verdana" w:hAnsi="Verdana"/>
                <w:sz w:val="16"/>
                <w:szCs w:val="16"/>
                <w:lang w:val="en-US"/>
              </w:rPr>
              <w:t>or isopropyl alcohol</w:t>
            </w:r>
          </w:p>
        </w:tc>
      </w:tr>
      <w:tr w:rsidR="003D47A5" w:rsidRPr="00F01347" w14:paraId="7506468F" w14:textId="2877E032" w:rsidTr="00C027CB">
        <w:tc>
          <w:tcPr>
            <w:tcW w:w="4675" w:type="dxa"/>
          </w:tcPr>
          <w:p w14:paraId="711CB2DA" w14:textId="77777777" w:rsidR="003D47A5" w:rsidRPr="00F01347" w:rsidRDefault="003D47A5" w:rsidP="003D47A5">
            <w:pPr>
              <w:pStyle w:val="texto0"/>
              <w:spacing w:line="220" w:lineRule="exact"/>
              <w:ind w:firstLine="0"/>
              <w:rPr>
                <w:rFonts w:ascii="Verdana" w:hAnsi="Verdana"/>
                <w:b/>
                <w:sz w:val="16"/>
                <w:szCs w:val="16"/>
              </w:rPr>
            </w:pPr>
            <w:r w:rsidRPr="00F01347">
              <w:rPr>
                <w:rFonts w:ascii="Verdana" w:hAnsi="Verdana"/>
                <w:b/>
                <w:sz w:val="16"/>
                <w:szCs w:val="16"/>
              </w:rPr>
              <w:t>Glicerina</w:t>
            </w:r>
          </w:p>
        </w:tc>
        <w:tc>
          <w:tcPr>
            <w:tcW w:w="4675" w:type="dxa"/>
          </w:tcPr>
          <w:p w14:paraId="19E0B349" w14:textId="2FD18821" w:rsidR="003D47A5" w:rsidRPr="00F01347" w:rsidRDefault="003D47A5" w:rsidP="003D47A5">
            <w:pPr>
              <w:pStyle w:val="texto0"/>
              <w:spacing w:line="220" w:lineRule="exact"/>
              <w:ind w:firstLine="0"/>
              <w:rPr>
                <w:rFonts w:ascii="Verdana" w:hAnsi="Verdana"/>
                <w:b/>
                <w:sz w:val="16"/>
                <w:szCs w:val="16"/>
                <w:lang w:val="en-US"/>
              </w:rPr>
            </w:pPr>
            <w:r w:rsidRPr="00F01347">
              <w:rPr>
                <w:rFonts w:ascii="Verdana" w:hAnsi="Verdana"/>
                <w:b/>
                <w:sz w:val="16"/>
                <w:szCs w:val="16"/>
                <w:lang w:val="en-US"/>
              </w:rPr>
              <w:t>Glycerin</w:t>
            </w:r>
          </w:p>
        </w:tc>
      </w:tr>
      <w:tr w:rsidR="003D47A5" w:rsidRPr="00F01347" w14:paraId="4F80E18E" w14:textId="4C5CDED8" w:rsidTr="00C027CB">
        <w:tc>
          <w:tcPr>
            <w:tcW w:w="4675" w:type="dxa"/>
          </w:tcPr>
          <w:p w14:paraId="0CCDD569" w14:textId="77777777" w:rsidR="003D47A5" w:rsidRPr="00F01347" w:rsidRDefault="003D47A5" w:rsidP="003D47A5">
            <w:pPr>
              <w:pStyle w:val="texto0"/>
              <w:spacing w:line="220" w:lineRule="exact"/>
              <w:ind w:firstLine="0"/>
              <w:rPr>
                <w:rFonts w:ascii="Verdana" w:hAnsi="Verdana"/>
                <w:b/>
                <w:sz w:val="16"/>
                <w:szCs w:val="16"/>
              </w:rPr>
            </w:pPr>
            <w:r w:rsidRPr="00F01347">
              <w:rPr>
                <w:rFonts w:ascii="Verdana" w:hAnsi="Verdana"/>
                <w:b/>
                <w:sz w:val="16"/>
                <w:szCs w:val="16"/>
              </w:rPr>
              <w:t xml:space="preserve">Cloruro de bario </w:t>
            </w:r>
            <w:r w:rsidRPr="00F01347">
              <w:rPr>
                <w:rFonts w:ascii="Verdana" w:hAnsi="Verdana"/>
                <w:sz w:val="16"/>
                <w:szCs w:val="16"/>
              </w:rPr>
              <w:t>(BaCl2. 2H2O), en cristales. En caso necesario moler en mortero.</w:t>
            </w:r>
          </w:p>
        </w:tc>
        <w:tc>
          <w:tcPr>
            <w:tcW w:w="4675" w:type="dxa"/>
          </w:tcPr>
          <w:p w14:paraId="21DDEE45" w14:textId="14602A2A" w:rsidR="003D47A5" w:rsidRPr="00F01347" w:rsidRDefault="003D47A5" w:rsidP="003D47A5">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Barium chloride </w:t>
            </w:r>
            <w:r w:rsidRPr="00F01347">
              <w:rPr>
                <w:rFonts w:ascii="Verdana" w:hAnsi="Verdana"/>
                <w:sz w:val="16"/>
                <w:szCs w:val="16"/>
                <w:lang w:val="en-US"/>
              </w:rPr>
              <w:t>(BaCl2. 2H2O), in crystals. If necessary, grind in a mortar.</w:t>
            </w:r>
          </w:p>
        </w:tc>
      </w:tr>
      <w:tr w:rsidR="003D47A5" w:rsidRPr="00F01347" w14:paraId="77C83800" w14:textId="02CC0656" w:rsidTr="00C027CB">
        <w:tc>
          <w:tcPr>
            <w:tcW w:w="4675" w:type="dxa"/>
          </w:tcPr>
          <w:p w14:paraId="1E59D835" w14:textId="77777777" w:rsidR="003D47A5" w:rsidRPr="00F01347" w:rsidRDefault="003D47A5" w:rsidP="003D47A5">
            <w:pPr>
              <w:pStyle w:val="texto0"/>
              <w:spacing w:line="220" w:lineRule="exact"/>
              <w:ind w:firstLine="0"/>
              <w:rPr>
                <w:rFonts w:ascii="Verdana" w:hAnsi="Verdana"/>
                <w:sz w:val="16"/>
                <w:szCs w:val="16"/>
              </w:rPr>
            </w:pPr>
            <w:r w:rsidRPr="00F01347">
              <w:rPr>
                <w:rFonts w:ascii="Verdana" w:hAnsi="Verdana"/>
                <w:b/>
                <w:sz w:val="16"/>
                <w:szCs w:val="16"/>
              </w:rPr>
              <w:t xml:space="preserve">Reactivo </w:t>
            </w:r>
            <w:proofErr w:type="spellStart"/>
            <w:r w:rsidRPr="00F01347">
              <w:rPr>
                <w:rFonts w:ascii="Verdana" w:hAnsi="Verdana"/>
                <w:b/>
                <w:sz w:val="16"/>
                <w:szCs w:val="16"/>
              </w:rPr>
              <w:t>acondicionante</w:t>
            </w:r>
            <w:proofErr w:type="spellEnd"/>
            <w:r w:rsidRPr="00F01347">
              <w:rPr>
                <w:rFonts w:ascii="Verdana" w:hAnsi="Verdana"/>
                <w:b/>
                <w:sz w:val="16"/>
                <w:szCs w:val="16"/>
              </w:rPr>
              <w:t xml:space="preserve"> </w:t>
            </w:r>
            <w:r w:rsidRPr="00F01347">
              <w:rPr>
                <w:rFonts w:ascii="Verdana" w:hAnsi="Verdana"/>
                <w:sz w:val="16"/>
                <w:szCs w:val="16"/>
              </w:rPr>
              <w:t xml:space="preserve">A 300 </w:t>
            </w:r>
            <w:proofErr w:type="spellStart"/>
            <w:r w:rsidRPr="00F01347">
              <w:rPr>
                <w:rFonts w:ascii="Verdana" w:hAnsi="Verdana"/>
                <w:sz w:val="16"/>
                <w:szCs w:val="16"/>
              </w:rPr>
              <w:t>mL</w:t>
            </w:r>
            <w:proofErr w:type="spellEnd"/>
            <w:r w:rsidRPr="00F01347">
              <w:rPr>
                <w:rFonts w:ascii="Verdana" w:hAnsi="Verdana"/>
                <w:sz w:val="16"/>
                <w:szCs w:val="16"/>
              </w:rPr>
              <w:t xml:space="preserve"> de agua, agregar 30 </w:t>
            </w:r>
            <w:proofErr w:type="spellStart"/>
            <w:r w:rsidRPr="00F01347">
              <w:rPr>
                <w:rFonts w:ascii="Verdana" w:hAnsi="Verdana"/>
                <w:sz w:val="16"/>
                <w:szCs w:val="16"/>
              </w:rPr>
              <w:t>mL</w:t>
            </w:r>
            <w:proofErr w:type="spellEnd"/>
            <w:r w:rsidRPr="00F01347">
              <w:rPr>
                <w:rFonts w:ascii="Verdana" w:hAnsi="Verdana"/>
                <w:sz w:val="16"/>
                <w:szCs w:val="16"/>
              </w:rPr>
              <w:t xml:space="preserve"> de HCl concentrado, mezclar. Adicionar 100 </w:t>
            </w:r>
            <w:proofErr w:type="spellStart"/>
            <w:r w:rsidRPr="00F01347">
              <w:rPr>
                <w:rFonts w:ascii="Verdana" w:hAnsi="Verdana"/>
                <w:sz w:val="16"/>
                <w:szCs w:val="16"/>
              </w:rPr>
              <w:t>mL</w:t>
            </w:r>
            <w:proofErr w:type="spellEnd"/>
            <w:r w:rsidRPr="00F01347">
              <w:rPr>
                <w:rFonts w:ascii="Verdana" w:hAnsi="Verdana"/>
                <w:sz w:val="16"/>
                <w:szCs w:val="16"/>
              </w:rPr>
              <w:t xml:space="preserve"> de alcohol </w:t>
            </w:r>
            <w:proofErr w:type="spellStart"/>
            <w:r w:rsidRPr="00F01347">
              <w:rPr>
                <w:rFonts w:ascii="Verdana" w:hAnsi="Verdana"/>
                <w:sz w:val="16"/>
                <w:szCs w:val="16"/>
              </w:rPr>
              <w:t>etilíco</w:t>
            </w:r>
            <w:proofErr w:type="spellEnd"/>
            <w:r w:rsidRPr="00F01347">
              <w:rPr>
                <w:rFonts w:ascii="Verdana" w:hAnsi="Verdana"/>
                <w:sz w:val="16"/>
                <w:szCs w:val="16"/>
              </w:rPr>
              <w:t xml:space="preserve"> o alcohol </w:t>
            </w:r>
            <w:proofErr w:type="spellStart"/>
            <w:r w:rsidRPr="00F01347">
              <w:rPr>
                <w:rFonts w:ascii="Verdana" w:hAnsi="Verdana"/>
                <w:sz w:val="16"/>
                <w:szCs w:val="16"/>
              </w:rPr>
              <w:t>isopropilico</w:t>
            </w:r>
            <w:proofErr w:type="spellEnd"/>
            <w:r w:rsidRPr="00F01347">
              <w:rPr>
                <w:rFonts w:ascii="Verdana" w:hAnsi="Verdana"/>
                <w:sz w:val="16"/>
                <w:szCs w:val="16"/>
              </w:rPr>
              <w:t>, agitar para mezclar. Agregar 75g de NaCl, agitar para disolver y agregar 50mL de glicerina, mezclar.</w:t>
            </w:r>
          </w:p>
        </w:tc>
        <w:tc>
          <w:tcPr>
            <w:tcW w:w="4675" w:type="dxa"/>
          </w:tcPr>
          <w:p w14:paraId="681BC7CA" w14:textId="3DF7DF65" w:rsidR="003D47A5" w:rsidRPr="00F01347" w:rsidRDefault="003D47A5" w:rsidP="003D47A5">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Conditioning reagent </w:t>
            </w:r>
            <w:proofErr w:type="gramStart"/>
            <w:r w:rsidRPr="00F01347">
              <w:rPr>
                <w:rFonts w:ascii="Verdana" w:hAnsi="Verdana"/>
                <w:sz w:val="16"/>
                <w:szCs w:val="16"/>
                <w:lang w:val="en-US"/>
              </w:rPr>
              <w:t>To</w:t>
            </w:r>
            <w:proofErr w:type="gramEnd"/>
            <w:r w:rsidRPr="00F01347">
              <w:rPr>
                <w:rFonts w:ascii="Verdana" w:hAnsi="Verdana"/>
                <w:sz w:val="16"/>
                <w:szCs w:val="16"/>
                <w:lang w:val="en-US"/>
              </w:rPr>
              <w:t xml:space="preserve"> 300 mL of water, add 30 mL of concentrated HCl, mix. Add 100 mL of ethyl alcohol or isopropyl alcohol</w:t>
            </w:r>
            <w:r w:rsidR="003E1BA9" w:rsidRPr="00F01347">
              <w:rPr>
                <w:rFonts w:ascii="Verdana" w:hAnsi="Verdana"/>
                <w:sz w:val="16"/>
                <w:szCs w:val="16"/>
                <w:lang w:val="en-US"/>
              </w:rPr>
              <w:t>,</w:t>
            </w:r>
            <w:r w:rsidRPr="00F01347">
              <w:rPr>
                <w:rFonts w:ascii="Verdana" w:hAnsi="Verdana"/>
                <w:sz w:val="16"/>
                <w:szCs w:val="16"/>
                <w:lang w:val="en-US"/>
              </w:rPr>
              <w:t xml:space="preserve"> shake to mix. Add 75g of NaCl, shake to dissolve and add 50mL of glycerin, mix.</w:t>
            </w:r>
          </w:p>
        </w:tc>
      </w:tr>
      <w:tr w:rsidR="003D47A5" w:rsidRPr="00F01347" w14:paraId="01CCBB0E" w14:textId="5EBB23CD" w:rsidTr="00C027CB">
        <w:tc>
          <w:tcPr>
            <w:tcW w:w="4675" w:type="dxa"/>
          </w:tcPr>
          <w:p w14:paraId="57195488" w14:textId="77777777" w:rsidR="003D47A5" w:rsidRPr="00F01347" w:rsidRDefault="003D47A5" w:rsidP="003D47A5">
            <w:pPr>
              <w:pStyle w:val="texto0"/>
              <w:spacing w:line="220" w:lineRule="exact"/>
              <w:ind w:firstLine="0"/>
              <w:rPr>
                <w:rFonts w:ascii="Verdana" w:hAnsi="Verdana"/>
                <w:b/>
                <w:sz w:val="16"/>
                <w:szCs w:val="16"/>
              </w:rPr>
            </w:pPr>
            <w:r w:rsidRPr="00F01347">
              <w:rPr>
                <w:rFonts w:ascii="Verdana" w:hAnsi="Verdana"/>
                <w:b/>
                <w:sz w:val="16"/>
                <w:szCs w:val="16"/>
              </w:rPr>
              <w:t>Sulfato de sodio anhidro con una pureza ≥ 99.5 %.</w:t>
            </w:r>
          </w:p>
        </w:tc>
        <w:tc>
          <w:tcPr>
            <w:tcW w:w="4675" w:type="dxa"/>
          </w:tcPr>
          <w:p w14:paraId="4C596B7B" w14:textId="1951666F" w:rsidR="003D47A5" w:rsidRPr="00F01347" w:rsidRDefault="003D47A5" w:rsidP="003D47A5">
            <w:pPr>
              <w:pStyle w:val="texto0"/>
              <w:spacing w:line="220" w:lineRule="exact"/>
              <w:ind w:firstLine="0"/>
              <w:rPr>
                <w:rFonts w:ascii="Verdana" w:hAnsi="Verdana"/>
                <w:b/>
                <w:sz w:val="16"/>
                <w:szCs w:val="16"/>
                <w:lang w:val="en-US"/>
              </w:rPr>
            </w:pPr>
            <w:r w:rsidRPr="00F01347">
              <w:rPr>
                <w:rFonts w:ascii="Verdana" w:hAnsi="Verdana"/>
                <w:b/>
                <w:sz w:val="16"/>
                <w:szCs w:val="16"/>
                <w:lang w:val="en-US"/>
              </w:rPr>
              <w:t>Anhydrous sodium sulfate with a purity ≥ 99.5%.</w:t>
            </w:r>
          </w:p>
        </w:tc>
      </w:tr>
      <w:tr w:rsidR="003D47A5" w:rsidRPr="00F01347" w14:paraId="34620E77" w14:textId="221106A0" w:rsidTr="00C027CB">
        <w:tc>
          <w:tcPr>
            <w:tcW w:w="4675" w:type="dxa"/>
          </w:tcPr>
          <w:p w14:paraId="2630ACCD" w14:textId="77777777" w:rsidR="003D47A5" w:rsidRPr="00F01347" w:rsidRDefault="003D47A5" w:rsidP="003D47A5">
            <w:pPr>
              <w:pStyle w:val="texto0"/>
              <w:spacing w:line="220" w:lineRule="exact"/>
              <w:ind w:firstLine="0"/>
              <w:rPr>
                <w:rFonts w:ascii="Verdana" w:hAnsi="Verdana"/>
                <w:b/>
                <w:sz w:val="16"/>
                <w:szCs w:val="16"/>
              </w:rPr>
            </w:pPr>
            <w:r w:rsidRPr="00F01347">
              <w:rPr>
                <w:rFonts w:ascii="Verdana" w:hAnsi="Verdana"/>
                <w:b/>
                <w:sz w:val="16"/>
                <w:szCs w:val="16"/>
              </w:rPr>
              <w:lastRenderedPageBreak/>
              <w:t xml:space="preserve">Disolución patrón de sulfato. </w:t>
            </w:r>
            <w:r w:rsidRPr="00F01347">
              <w:rPr>
                <w:rFonts w:ascii="Verdana" w:hAnsi="Verdana"/>
                <w:sz w:val="16"/>
                <w:szCs w:val="16"/>
              </w:rPr>
              <w:t xml:space="preserve">Disolver 0.1479 g de Na2SO4 anhidro, en agua tipo I y aforar a un 1L. 1 </w:t>
            </w:r>
            <w:proofErr w:type="spellStart"/>
            <w:r w:rsidRPr="00F01347">
              <w:rPr>
                <w:rFonts w:ascii="Verdana" w:hAnsi="Verdana"/>
                <w:sz w:val="16"/>
                <w:szCs w:val="16"/>
              </w:rPr>
              <w:t>mL</w:t>
            </w:r>
            <w:proofErr w:type="spellEnd"/>
            <w:r w:rsidRPr="00F01347">
              <w:rPr>
                <w:rFonts w:ascii="Verdana" w:hAnsi="Verdana"/>
                <w:sz w:val="16"/>
                <w:szCs w:val="16"/>
              </w:rPr>
              <w:t>= 1 mg de sulfatos. Se puede utilizar una disolución comercial de sulfato con certificado de análisis trazable a patrones nacionales o internacionales.</w:t>
            </w:r>
          </w:p>
        </w:tc>
        <w:tc>
          <w:tcPr>
            <w:tcW w:w="4675" w:type="dxa"/>
          </w:tcPr>
          <w:p w14:paraId="0237F947" w14:textId="62D37495" w:rsidR="003D47A5" w:rsidRPr="00F01347" w:rsidRDefault="003D47A5" w:rsidP="003D47A5">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Sulfate standard solution. </w:t>
            </w:r>
            <w:r w:rsidRPr="00F01347">
              <w:rPr>
                <w:rFonts w:ascii="Verdana" w:hAnsi="Verdana"/>
                <w:sz w:val="16"/>
                <w:szCs w:val="16"/>
                <w:lang w:val="en-US"/>
              </w:rPr>
              <w:t xml:space="preserve">Dissolve 0.1479 g of anhydrous Na2SO4 in type I water and </w:t>
            </w:r>
            <w:proofErr w:type="gramStart"/>
            <w:r w:rsidRPr="00F01347">
              <w:rPr>
                <w:rFonts w:ascii="Verdana" w:hAnsi="Verdana"/>
                <w:sz w:val="16"/>
                <w:szCs w:val="16"/>
                <w:lang w:val="en-US"/>
              </w:rPr>
              <w:t>make</w:t>
            </w:r>
            <w:proofErr w:type="gramEnd"/>
            <w:r w:rsidRPr="00F01347">
              <w:rPr>
                <w:rFonts w:ascii="Verdana" w:hAnsi="Verdana"/>
                <w:sz w:val="16"/>
                <w:szCs w:val="16"/>
                <w:lang w:val="en-US"/>
              </w:rPr>
              <w:t xml:space="preserve"> up to 1L. 1 mL = 1 mg of sulfates. A commercial sulfate solution with a certificate of analysis traceable to national or international standards can be used.</w:t>
            </w:r>
          </w:p>
        </w:tc>
      </w:tr>
      <w:tr w:rsidR="003D47A5" w:rsidRPr="00F01347" w14:paraId="791225C3" w14:textId="56CEFCE8" w:rsidTr="00C027CB">
        <w:tc>
          <w:tcPr>
            <w:tcW w:w="4675" w:type="dxa"/>
          </w:tcPr>
          <w:p w14:paraId="30D1BB7B" w14:textId="77777777" w:rsidR="003D47A5" w:rsidRPr="00F01347" w:rsidRDefault="003D47A5" w:rsidP="003D47A5">
            <w:pPr>
              <w:pStyle w:val="texto0"/>
              <w:spacing w:line="220" w:lineRule="exact"/>
              <w:ind w:firstLine="0"/>
              <w:rPr>
                <w:rFonts w:ascii="Verdana" w:hAnsi="Verdana"/>
                <w:b/>
                <w:sz w:val="16"/>
                <w:szCs w:val="16"/>
              </w:rPr>
            </w:pPr>
            <w:r w:rsidRPr="00F01347">
              <w:rPr>
                <w:rFonts w:ascii="Verdana" w:hAnsi="Verdana"/>
                <w:b/>
                <w:sz w:val="16"/>
                <w:szCs w:val="16"/>
              </w:rPr>
              <w:t>B.11.1.5 Procedimiento</w:t>
            </w:r>
          </w:p>
        </w:tc>
        <w:tc>
          <w:tcPr>
            <w:tcW w:w="4675" w:type="dxa"/>
          </w:tcPr>
          <w:p w14:paraId="5DC92BD8" w14:textId="652C642C" w:rsidR="003D47A5" w:rsidRPr="00F01347" w:rsidRDefault="003D47A5" w:rsidP="003D47A5">
            <w:pPr>
              <w:pStyle w:val="texto0"/>
              <w:spacing w:line="220" w:lineRule="exact"/>
              <w:ind w:firstLine="0"/>
              <w:rPr>
                <w:rFonts w:ascii="Verdana" w:hAnsi="Verdana"/>
                <w:b/>
                <w:sz w:val="16"/>
                <w:szCs w:val="16"/>
              </w:rPr>
            </w:pPr>
            <w:r w:rsidRPr="00F01347">
              <w:rPr>
                <w:rFonts w:ascii="Verdana" w:hAnsi="Verdana"/>
                <w:b/>
                <w:sz w:val="16"/>
                <w:szCs w:val="16"/>
              </w:rPr>
              <w:t xml:space="preserve">B.11.1.5 </w:t>
            </w:r>
            <w:proofErr w:type="spellStart"/>
            <w:r w:rsidRPr="00F01347">
              <w:rPr>
                <w:rFonts w:ascii="Verdana" w:hAnsi="Verdana"/>
                <w:b/>
                <w:sz w:val="16"/>
                <w:szCs w:val="16"/>
              </w:rPr>
              <w:t>Procedure</w:t>
            </w:r>
            <w:proofErr w:type="spellEnd"/>
          </w:p>
        </w:tc>
      </w:tr>
      <w:tr w:rsidR="003D47A5" w:rsidRPr="00F01347" w14:paraId="67AACC32" w14:textId="77777777" w:rsidTr="00C027CB">
        <w:tc>
          <w:tcPr>
            <w:tcW w:w="4675" w:type="dxa"/>
          </w:tcPr>
          <w:p w14:paraId="6CCB9A6C" w14:textId="5C7310E9" w:rsidR="003D47A5" w:rsidRPr="00F01347" w:rsidRDefault="003D47A5" w:rsidP="003D47A5">
            <w:pPr>
              <w:pStyle w:val="texto0"/>
              <w:spacing w:line="220" w:lineRule="exact"/>
              <w:ind w:firstLine="0"/>
              <w:rPr>
                <w:rFonts w:ascii="Verdana" w:hAnsi="Verdana"/>
                <w:b/>
                <w:sz w:val="16"/>
                <w:szCs w:val="16"/>
              </w:rPr>
            </w:pPr>
            <w:r w:rsidRPr="00F01347">
              <w:rPr>
                <w:rFonts w:ascii="Verdana" w:hAnsi="Verdana"/>
                <w:b/>
                <w:sz w:val="16"/>
                <w:szCs w:val="16"/>
              </w:rPr>
              <w:t>B.11.1.5.1 Curva de comparación: Preparar el intervalo de 0 a 40 mg/L de SO4-2</w:t>
            </w:r>
          </w:p>
        </w:tc>
        <w:tc>
          <w:tcPr>
            <w:tcW w:w="4675" w:type="dxa"/>
          </w:tcPr>
          <w:p w14:paraId="59F002DD" w14:textId="306D958B" w:rsidR="003D47A5" w:rsidRPr="00F01347" w:rsidRDefault="003D47A5" w:rsidP="003D47A5">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B.11.1.5.1 Comparison curve: Prepare the range from 0 to 40 mg/L of SO4-2</w:t>
            </w:r>
          </w:p>
        </w:tc>
      </w:tr>
    </w:tbl>
    <w:p w14:paraId="2D218967" w14:textId="77777777" w:rsidR="0055757A" w:rsidRPr="00F01347" w:rsidRDefault="0055757A" w:rsidP="003A601B">
      <w:pPr>
        <w:pStyle w:val="texto0"/>
        <w:spacing w:line="220" w:lineRule="exact"/>
        <w:rPr>
          <w:rFonts w:ascii="Verdana" w:hAnsi="Verdana"/>
          <w:b/>
          <w:sz w:val="16"/>
          <w:szCs w:val="16"/>
          <w:lang w:val="en-US"/>
        </w:rPr>
      </w:pPr>
    </w:p>
    <w:tbl>
      <w:tblPr>
        <w:tblW w:w="5393" w:type="dxa"/>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2340"/>
        <w:gridCol w:w="1523"/>
        <w:gridCol w:w="1530"/>
      </w:tblGrid>
      <w:tr w:rsidR="00A74CDF" w:rsidRPr="00F01347" w14:paraId="57B9FFB9" w14:textId="77777777">
        <w:trPr>
          <w:trHeight w:val="144"/>
        </w:trPr>
        <w:tc>
          <w:tcPr>
            <w:tcW w:w="2340" w:type="dxa"/>
            <w:shd w:val="clear" w:color="auto" w:fill="auto"/>
            <w:noWrap/>
            <w:vAlign w:val="center"/>
          </w:tcPr>
          <w:p w14:paraId="00B61CAD" w14:textId="77777777" w:rsidR="00A74CDF" w:rsidRPr="00F01347" w:rsidRDefault="00A74CDF" w:rsidP="003A601B">
            <w:pPr>
              <w:pStyle w:val="texto0"/>
              <w:ind w:firstLine="0"/>
              <w:jc w:val="center"/>
              <w:rPr>
                <w:rFonts w:ascii="Verdana" w:hAnsi="Verdana"/>
                <w:b/>
                <w:bCs/>
                <w:sz w:val="16"/>
                <w:szCs w:val="16"/>
              </w:rPr>
            </w:pPr>
            <w:proofErr w:type="spellStart"/>
            <w:r w:rsidRPr="00F01347">
              <w:rPr>
                <w:rFonts w:ascii="Verdana" w:hAnsi="Verdana"/>
                <w:b/>
                <w:sz w:val="16"/>
                <w:szCs w:val="16"/>
              </w:rPr>
              <w:t>mL</w:t>
            </w:r>
            <w:proofErr w:type="spellEnd"/>
            <w:r w:rsidRPr="00F01347">
              <w:rPr>
                <w:rFonts w:ascii="Verdana" w:hAnsi="Verdana"/>
                <w:b/>
                <w:sz w:val="16"/>
                <w:szCs w:val="16"/>
              </w:rPr>
              <w:t xml:space="preserve"> de disolución patrón</w:t>
            </w:r>
            <w:r w:rsidR="000550B5" w:rsidRPr="00F01347">
              <w:rPr>
                <w:rFonts w:ascii="Verdana" w:hAnsi="Verdana"/>
                <w:b/>
                <w:sz w:val="16"/>
                <w:szCs w:val="16"/>
              </w:rPr>
              <w:t xml:space="preserve"> </w:t>
            </w:r>
            <w:r w:rsidRPr="00F01347">
              <w:rPr>
                <w:rFonts w:ascii="Verdana" w:hAnsi="Verdana"/>
                <w:b/>
                <w:sz w:val="16"/>
                <w:szCs w:val="16"/>
              </w:rPr>
              <w:t xml:space="preserve">1 </w:t>
            </w:r>
            <w:proofErr w:type="spellStart"/>
            <w:r w:rsidRPr="00F01347">
              <w:rPr>
                <w:rFonts w:ascii="Verdana" w:hAnsi="Verdana"/>
                <w:b/>
                <w:sz w:val="16"/>
                <w:szCs w:val="16"/>
              </w:rPr>
              <w:t>mL</w:t>
            </w:r>
            <w:proofErr w:type="spellEnd"/>
            <w:r w:rsidRPr="00F01347">
              <w:rPr>
                <w:rFonts w:ascii="Verdana" w:hAnsi="Verdana"/>
                <w:b/>
                <w:sz w:val="16"/>
                <w:szCs w:val="16"/>
              </w:rPr>
              <w:t xml:space="preserve">= 1.0 mg de </w:t>
            </w:r>
            <w:r w:rsidRPr="00F01347">
              <w:rPr>
                <w:rFonts w:ascii="Verdana" w:hAnsi="Verdana"/>
                <w:b/>
                <w:bCs/>
                <w:sz w:val="16"/>
                <w:szCs w:val="16"/>
              </w:rPr>
              <w:t>SO</w:t>
            </w:r>
            <w:r w:rsidRPr="00F01347">
              <w:rPr>
                <w:rFonts w:ascii="Verdana" w:hAnsi="Verdana"/>
                <w:b/>
                <w:bCs/>
                <w:sz w:val="16"/>
                <w:szCs w:val="16"/>
                <w:vertAlign w:val="subscript"/>
              </w:rPr>
              <w:t>4</w:t>
            </w:r>
            <w:r w:rsidRPr="00F01347">
              <w:rPr>
                <w:rFonts w:ascii="Verdana" w:hAnsi="Verdana"/>
                <w:b/>
                <w:bCs/>
                <w:sz w:val="16"/>
                <w:szCs w:val="16"/>
                <w:vertAlign w:val="superscript"/>
              </w:rPr>
              <w:t>-2</w:t>
            </w:r>
          </w:p>
        </w:tc>
        <w:tc>
          <w:tcPr>
            <w:tcW w:w="1523" w:type="dxa"/>
            <w:shd w:val="clear" w:color="auto" w:fill="auto"/>
            <w:vAlign w:val="center"/>
          </w:tcPr>
          <w:p w14:paraId="6576C760" w14:textId="71A5481F" w:rsidR="00A74CDF" w:rsidRPr="00F01347" w:rsidRDefault="00471638" w:rsidP="003A601B">
            <w:pPr>
              <w:pStyle w:val="texto0"/>
              <w:spacing w:line="240" w:lineRule="auto"/>
              <w:ind w:firstLine="0"/>
              <w:jc w:val="center"/>
              <w:rPr>
                <w:rFonts w:ascii="Verdana" w:hAnsi="Verdana"/>
                <w:b/>
                <w:sz w:val="16"/>
                <w:szCs w:val="16"/>
              </w:rPr>
            </w:pPr>
            <w:r w:rsidRPr="00F01347">
              <w:rPr>
                <w:rFonts w:ascii="Verdana" w:hAnsi="Verdana"/>
                <w:noProof/>
                <w:sz w:val="16"/>
                <w:szCs w:val="16"/>
              </w:rPr>
              <w:drawing>
                <wp:inline distT="0" distB="0" distL="0" distR="0" wp14:anchorId="63980D89" wp14:editId="07D78210">
                  <wp:extent cx="819150" cy="323850"/>
                  <wp:effectExtent l="0" t="0" r="0" b="0"/>
                  <wp:docPr id="5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19150" cy="323850"/>
                          </a:xfrm>
                          <a:prstGeom prst="rect">
                            <a:avLst/>
                          </a:prstGeom>
                          <a:noFill/>
                          <a:ln>
                            <a:noFill/>
                          </a:ln>
                        </pic:spPr>
                      </pic:pic>
                    </a:graphicData>
                  </a:graphic>
                </wp:inline>
              </w:drawing>
            </w:r>
          </w:p>
        </w:tc>
        <w:tc>
          <w:tcPr>
            <w:tcW w:w="1530" w:type="dxa"/>
            <w:shd w:val="clear" w:color="auto" w:fill="auto"/>
            <w:vAlign w:val="center"/>
          </w:tcPr>
          <w:p w14:paraId="18CBA65D" w14:textId="0B832C52" w:rsidR="00A74CDF" w:rsidRPr="00F01347" w:rsidRDefault="00471638" w:rsidP="003A601B">
            <w:pPr>
              <w:pStyle w:val="texto0"/>
              <w:spacing w:before="40" w:line="240" w:lineRule="auto"/>
              <w:ind w:firstLine="0"/>
              <w:jc w:val="center"/>
              <w:rPr>
                <w:rFonts w:ascii="Verdana" w:hAnsi="Verdana"/>
                <w:b/>
                <w:sz w:val="16"/>
                <w:szCs w:val="16"/>
              </w:rPr>
            </w:pPr>
            <w:r w:rsidRPr="00F01347">
              <w:rPr>
                <w:rFonts w:ascii="Verdana" w:hAnsi="Verdana"/>
                <w:noProof/>
                <w:sz w:val="16"/>
                <w:szCs w:val="16"/>
              </w:rPr>
              <w:drawing>
                <wp:inline distT="0" distB="0" distL="0" distR="0" wp14:anchorId="5B4C331C" wp14:editId="2304D59A">
                  <wp:extent cx="809625" cy="323850"/>
                  <wp:effectExtent l="0" t="0" r="0" b="0"/>
                  <wp:docPr id="5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inline>
              </w:drawing>
            </w:r>
          </w:p>
        </w:tc>
      </w:tr>
      <w:tr w:rsidR="00A74CDF" w:rsidRPr="00F01347" w14:paraId="205699B1" w14:textId="77777777">
        <w:trPr>
          <w:trHeight w:val="144"/>
        </w:trPr>
        <w:tc>
          <w:tcPr>
            <w:tcW w:w="2340" w:type="dxa"/>
            <w:shd w:val="clear" w:color="auto" w:fill="auto"/>
            <w:vAlign w:val="center"/>
          </w:tcPr>
          <w:p w14:paraId="1594300E"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0</w:t>
            </w:r>
          </w:p>
        </w:tc>
        <w:tc>
          <w:tcPr>
            <w:tcW w:w="1523" w:type="dxa"/>
            <w:shd w:val="clear" w:color="auto" w:fill="auto"/>
            <w:vAlign w:val="center"/>
          </w:tcPr>
          <w:p w14:paraId="71044660"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0</w:t>
            </w:r>
          </w:p>
        </w:tc>
        <w:tc>
          <w:tcPr>
            <w:tcW w:w="1530" w:type="dxa"/>
            <w:shd w:val="clear" w:color="auto" w:fill="auto"/>
            <w:vAlign w:val="center"/>
          </w:tcPr>
          <w:p w14:paraId="4C0CC10B"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0</w:t>
            </w:r>
          </w:p>
        </w:tc>
      </w:tr>
      <w:tr w:rsidR="00A74CDF" w:rsidRPr="00F01347" w14:paraId="5F811DE9" w14:textId="77777777">
        <w:trPr>
          <w:trHeight w:val="144"/>
        </w:trPr>
        <w:tc>
          <w:tcPr>
            <w:tcW w:w="2340" w:type="dxa"/>
            <w:shd w:val="clear" w:color="auto" w:fill="auto"/>
            <w:vAlign w:val="center"/>
          </w:tcPr>
          <w:p w14:paraId="3552D4D9"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0.5</w:t>
            </w:r>
          </w:p>
        </w:tc>
        <w:tc>
          <w:tcPr>
            <w:tcW w:w="1523" w:type="dxa"/>
            <w:shd w:val="clear" w:color="auto" w:fill="auto"/>
            <w:vAlign w:val="center"/>
          </w:tcPr>
          <w:p w14:paraId="45BC4F7D"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0.5</w:t>
            </w:r>
          </w:p>
        </w:tc>
        <w:tc>
          <w:tcPr>
            <w:tcW w:w="1530" w:type="dxa"/>
            <w:shd w:val="clear" w:color="auto" w:fill="auto"/>
            <w:vAlign w:val="center"/>
          </w:tcPr>
          <w:p w14:paraId="64425343"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5</w:t>
            </w:r>
          </w:p>
        </w:tc>
      </w:tr>
      <w:tr w:rsidR="00A74CDF" w:rsidRPr="00F01347" w14:paraId="4A03235F" w14:textId="77777777">
        <w:trPr>
          <w:trHeight w:val="144"/>
        </w:trPr>
        <w:tc>
          <w:tcPr>
            <w:tcW w:w="2340" w:type="dxa"/>
            <w:shd w:val="clear" w:color="auto" w:fill="auto"/>
            <w:vAlign w:val="center"/>
          </w:tcPr>
          <w:p w14:paraId="7765550C"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1.0</w:t>
            </w:r>
          </w:p>
        </w:tc>
        <w:tc>
          <w:tcPr>
            <w:tcW w:w="1523" w:type="dxa"/>
            <w:shd w:val="clear" w:color="auto" w:fill="auto"/>
            <w:vAlign w:val="center"/>
          </w:tcPr>
          <w:p w14:paraId="057CB2A9"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1.0</w:t>
            </w:r>
          </w:p>
        </w:tc>
        <w:tc>
          <w:tcPr>
            <w:tcW w:w="1530" w:type="dxa"/>
            <w:shd w:val="clear" w:color="auto" w:fill="auto"/>
            <w:vAlign w:val="center"/>
          </w:tcPr>
          <w:p w14:paraId="1BDEB645"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10</w:t>
            </w:r>
          </w:p>
        </w:tc>
      </w:tr>
      <w:tr w:rsidR="00A74CDF" w:rsidRPr="00F01347" w14:paraId="67BE48B7" w14:textId="77777777">
        <w:trPr>
          <w:trHeight w:val="144"/>
        </w:trPr>
        <w:tc>
          <w:tcPr>
            <w:tcW w:w="2340" w:type="dxa"/>
            <w:shd w:val="clear" w:color="auto" w:fill="auto"/>
            <w:vAlign w:val="center"/>
          </w:tcPr>
          <w:p w14:paraId="7570D717"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1.5</w:t>
            </w:r>
          </w:p>
        </w:tc>
        <w:tc>
          <w:tcPr>
            <w:tcW w:w="1523" w:type="dxa"/>
            <w:shd w:val="clear" w:color="auto" w:fill="auto"/>
            <w:vAlign w:val="center"/>
          </w:tcPr>
          <w:p w14:paraId="04F8768F"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1.5</w:t>
            </w:r>
          </w:p>
        </w:tc>
        <w:tc>
          <w:tcPr>
            <w:tcW w:w="1530" w:type="dxa"/>
            <w:shd w:val="clear" w:color="auto" w:fill="auto"/>
            <w:vAlign w:val="center"/>
          </w:tcPr>
          <w:p w14:paraId="4AE90053"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15</w:t>
            </w:r>
          </w:p>
        </w:tc>
      </w:tr>
      <w:tr w:rsidR="00A74CDF" w:rsidRPr="00F01347" w14:paraId="00859BCC" w14:textId="77777777">
        <w:trPr>
          <w:trHeight w:val="144"/>
        </w:trPr>
        <w:tc>
          <w:tcPr>
            <w:tcW w:w="2340" w:type="dxa"/>
            <w:shd w:val="clear" w:color="auto" w:fill="auto"/>
            <w:vAlign w:val="center"/>
          </w:tcPr>
          <w:p w14:paraId="09F88926"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2.0</w:t>
            </w:r>
          </w:p>
        </w:tc>
        <w:tc>
          <w:tcPr>
            <w:tcW w:w="1523" w:type="dxa"/>
            <w:shd w:val="clear" w:color="auto" w:fill="auto"/>
            <w:vAlign w:val="center"/>
          </w:tcPr>
          <w:p w14:paraId="1EB2232A"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2.0</w:t>
            </w:r>
          </w:p>
        </w:tc>
        <w:tc>
          <w:tcPr>
            <w:tcW w:w="1530" w:type="dxa"/>
            <w:shd w:val="clear" w:color="auto" w:fill="auto"/>
            <w:vAlign w:val="center"/>
          </w:tcPr>
          <w:p w14:paraId="32FBCA1D"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20</w:t>
            </w:r>
          </w:p>
        </w:tc>
      </w:tr>
      <w:tr w:rsidR="00A74CDF" w:rsidRPr="00F01347" w14:paraId="1A0196C1" w14:textId="77777777">
        <w:trPr>
          <w:trHeight w:val="144"/>
        </w:trPr>
        <w:tc>
          <w:tcPr>
            <w:tcW w:w="2340" w:type="dxa"/>
            <w:shd w:val="clear" w:color="auto" w:fill="auto"/>
            <w:vAlign w:val="center"/>
          </w:tcPr>
          <w:p w14:paraId="20B68BBF"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3.0</w:t>
            </w:r>
          </w:p>
        </w:tc>
        <w:tc>
          <w:tcPr>
            <w:tcW w:w="1523" w:type="dxa"/>
            <w:shd w:val="clear" w:color="auto" w:fill="auto"/>
            <w:vAlign w:val="center"/>
          </w:tcPr>
          <w:p w14:paraId="161BDF6E"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3.0</w:t>
            </w:r>
          </w:p>
        </w:tc>
        <w:tc>
          <w:tcPr>
            <w:tcW w:w="1530" w:type="dxa"/>
            <w:shd w:val="clear" w:color="auto" w:fill="auto"/>
            <w:vAlign w:val="center"/>
          </w:tcPr>
          <w:p w14:paraId="4657310D"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30</w:t>
            </w:r>
          </w:p>
        </w:tc>
      </w:tr>
      <w:tr w:rsidR="00A74CDF" w:rsidRPr="00F01347" w14:paraId="4035E8D2" w14:textId="77777777">
        <w:trPr>
          <w:trHeight w:val="144"/>
        </w:trPr>
        <w:tc>
          <w:tcPr>
            <w:tcW w:w="2340" w:type="dxa"/>
            <w:shd w:val="clear" w:color="auto" w:fill="auto"/>
            <w:vAlign w:val="center"/>
          </w:tcPr>
          <w:p w14:paraId="4A012FCC"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4.0</w:t>
            </w:r>
          </w:p>
        </w:tc>
        <w:tc>
          <w:tcPr>
            <w:tcW w:w="1523" w:type="dxa"/>
            <w:shd w:val="clear" w:color="auto" w:fill="auto"/>
            <w:vAlign w:val="center"/>
          </w:tcPr>
          <w:p w14:paraId="2A937C1A"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4.0</w:t>
            </w:r>
          </w:p>
        </w:tc>
        <w:tc>
          <w:tcPr>
            <w:tcW w:w="1530" w:type="dxa"/>
            <w:shd w:val="clear" w:color="auto" w:fill="auto"/>
            <w:vAlign w:val="center"/>
          </w:tcPr>
          <w:p w14:paraId="770CC6DC" w14:textId="77777777" w:rsidR="00A74CDF" w:rsidRPr="00F01347" w:rsidRDefault="00A74CDF" w:rsidP="003A601B">
            <w:pPr>
              <w:pStyle w:val="texto0"/>
              <w:ind w:firstLine="0"/>
              <w:jc w:val="center"/>
              <w:rPr>
                <w:rFonts w:ascii="Verdana" w:hAnsi="Verdana"/>
                <w:sz w:val="16"/>
                <w:szCs w:val="16"/>
              </w:rPr>
            </w:pPr>
            <w:r w:rsidRPr="00F01347">
              <w:rPr>
                <w:rFonts w:ascii="Verdana" w:hAnsi="Verdana"/>
                <w:sz w:val="16"/>
                <w:szCs w:val="16"/>
              </w:rPr>
              <w:t>40</w:t>
            </w:r>
          </w:p>
        </w:tc>
      </w:tr>
    </w:tbl>
    <w:p w14:paraId="6F31A6B7" w14:textId="77777777" w:rsidR="00A74CDF" w:rsidRPr="00F01347" w:rsidRDefault="00A74CDF" w:rsidP="003A601B">
      <w:pPr>
        <w:pStyle w:val="texto0"/>
        <w:rPr>
          <w:rFonts w:ascii="Verdana" w:hAnsi="Verdana"/>
          <w:b/>
          <w:sz w:val="16"/>
          <w:szCs w:val="16"/>
        </w:rPr>
      </w:pPr>
    </w:p>
    <w:tbl>
      <w:tblPr>
        <w:tblW w:w="5400" w:type="dxa"/>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2343"/>
        <w:gridCol w:w="1525"/>
        <w:gridCol w:w="1532"/>
      </w:tblGrid>
      <w:tr w:rsidR="007C75A0" w:rsidRPr="00F01347" w14:paraId="503E1FB4" w14:textId="77777777" w:rsidTr="00FD05AB">
        <w:trPr>
          <w:trHeight w:val="144"/>
        </w:trPr>
        <w:tc>
          <w:tcPr>
            <w:tcW w:w="2343" w:type="dxa"/>
            <w:tcBorders>
              <w:top w:val="single" w:sz="4" w:space="0" w:color="auto"/>
              <w:left w:val="single" w:sz="4" w:space="0" w:color="auto"/>
              <w:bottom w:val="single" w:sz="4" w:space="0" w:color="auto"/>
              <w:right w:val="single" w:sz="4" w:space="0" w:color="auto"/>
            </w:tcBorders>
            <w:noWrap/>
            <w:vAlign w:val="center"/>
            <w:hideMark/>
          </w:tcPr>
          <w:p w14:paraId="445127E3" w14:textId="63518479" w:rsidR="007C75A0" w:rsidRPr="00F01347" w:rsidRDefault="007C75A0">
            <w:pPr>
              <w:pStyle w:val="texto0"/>
              <w:ind w:firstLine="0"/>
              <w:jc w:val="center"/>
              <w:rPr>
                <w:rFonts w:ascii="Verdana" w:hAnsi="Verdana"/>
                <w:b/>
                <w:bCs/>
                <w:sz w:val="16"/>
                <w:szCs w:val="16"/>
                <w:lang w:val="en-US"/>
              </w:rPr>
            </w:pPr>
            <w:r w:rsidRPr="00F01347">
              <w:rPr>
                <w:rFonts w:ascii="Verdana" w:hAnsi="Verdana"/>
                <w:b/>
                <w:sz w:val="16"/>
                <w:szCs w:val="16"/>
                <w:lang w:val="en-US"/>
              </w:rPr>
              <w:t xml:space="preserve">mL of standard solution 1 mL = 1.0 mg of </w:t>
            </w:r>
            <w:r w:rsidRPr="00F01347">
              <w:rPr>
                <w:rFonts w:ascii="Verdana" w:hAnsi="Verdana"/>
                <w:b/>
                <w:bCs/>
                <w:sz w:val="16"/>
                <w:szCs w:val="16"/>
                <w:lang w:val="en-US"/>
              </w:rPr>
              <w:t>SO</w:t>
            </w:r>
            <w:r w:rsidRPr="00F01347">
              <w:rPr>
                <w:rFonts w:ascii="Verdana" w:hAnsi="Verdana"/>
                <w:b/>
                <w:bCs/>
                <w:sz w:val="16"/>
                <w:szCs w:val="16"/>
                <w:vertAlign w:val="subscript"/>
                <w:lang w:val="en-US"/>
              </w:rPr>
              <w:t>4</w:t>
            </w:r>
            <w:r w:rsidRPr="00F01347">
              <w:rPr>
                <w:rFonts w:ascii="Verdana" w:hAnsi="Verdana"/>
                <w:b/>
                <w:bCs/>
                <w:sz w:val="16"/>
                <w:szCs w:val="16"/>
                <w:vertAlign w:val="superscript"/>
                <w:lang w:val="en-US"/>
              </w:rPr>
              <w:t>-2</w:t>
            </w:r>
          </w:p>
        </w:tc>
        <w:tc>
          <w:tcPr>
            <w:tcW w:w="1525" w:type="dxa"/>
            <w:tcBorders>
              <w:top w:val="single" w:sz="4" w:space="0" w:color="auto"/>
              <w:left w:val="single" w:sz="4" w:space="0" w:color="auto"/>
              <w:bottom w:val="single" w:sz="4" w:space="0" w:color="auto"/>
              <w:right w:val="single" w:sz="4" w:space="0" w:color="auto"/>
            </w:tcBorders>
            <w:vAlign w:val="center"/>
            <w:hideMark/>
          </w:tcPr>
          <w:p w14:paraId="7873FC90" w14:textId="2D6B4A1F" w:rsidR="007C75A0" w:rsidRPr="00F01347" w:rsidRDefault="007C75A0">
            <w:pPr>
              <w:pStyle w:val="texto0"/>
              <w:spacing w:line="240" w:lineRule="auto"/>
              <w:ind w:firstLine="0"/>
              <w:jc w:val="center"/>
              <w:rPr>
                <w:rFonts w:ascii="Verdana" w:hAnsi="Verdana"/>
                <w:b/>
                <w:sz w:val="16"/>
                <w:szCs w:val="16"/>
              </w:rPr>
            </w:pPr>
            <w:r w:rsidRPr="00F01347">
              <w:rPr>
                <w:rFonts w:ascii="Verdana" w:hAnsi="Verdana"/>
                <w:noProof/>
                <w:sz w:val="16"/>
                <w:szCs w:val="16"/>
              </w:rPr>
              <w:drawing>
                <wp:inline distT="0" distB="0" distL="0" distR="0" wp14:anchorId="4B05497E" wp14:editId="023B063F">
                  <wp:extent cx="819150" cy="323850"/>
                  <wp:effectExtent l="0" t="0" r="0" b="0"/>
                  <wp:docPr id="1554242646" name="Picture 5" descr="A black text with a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42646" name="Picture 5" descr="A black text with a black line&#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19150" cy="323850"/>
                          </a:xfrm>
                          <a:prstGeom prst="rect">
                            <a:avLst/>
                          </a:prstGeom>
                          <a:noFill/>
                          <a:ln>
                            <a:noFill/>
                          </a:ln>
                        </pic:spPr>
                      </pic:pic>
                    </a:graphicData>
                  </a:graphic>
                </wp:inline>
              </w:drawing>
            </w:r>
          </w:p>
        </w:tc>
        <w:tc>
          <w:tcPr>
            <w:tcW w:w="1532" w:type="dxa"/>
            <w:tcBorders>
              <w:top w:val="single" w:sz="4" w:space="0" w:color="auto"/>
              <w:left w:val="single" w:sz="4" w:space="0" w:color="auto"/>
              <w:bottom w:val="single" w:sz="4" w:space="0" w:color="auto"/>
              <w:right w:val="single" w:sz="4" w:space="0" w:color="auto"/>
            </w:tcBorders>
            <w:vAlign w:val="center"/>
            <w:hideMark/>
          </w:tcPr>
          <w:p w14:paraId="14AD1CFF" w14:textId="7CF59A99" w:rsidR="007C75A0" w:rsidRPr="00F01347" w:rsidRDefault="007C75A0">
            <w:pPr>
              <w:pStyle w:val="texto0"/>
              <w:spacing w:before="40" w:line="240" w:lineRule="auto"/>
              <w:ind w:firstLine="0"/>
              <w:jc w:val="center"/>
              <w:rPr>
                <w:rFonts w:ascii="Verdana" w:hAnsi="Verdana"/>
                <w:b/>
                <w:sz w:val="16"/>
                <w:szCs w:val="16"/>
              </w:rPr>
            </w:pPr>
            <w:r w:rsidRPr="00F01347">
              <w:rPr>
                <w:rFonts w:ascii="Verdana" w:hAnsi="Verdana"/>
                <w:noProof/>
                <w:sz w:val="16"/>
                <w:szCs w:val="16"/>
              </w:rPr>
              <w:drawing>
                <wp:inline distT="0" distB="0" distL="0" distR="0" wp14:anchorId="24E13108" wp14:editId="545FDEDD">
                  <wp:extent cx="809625" cy="323850"/>
                  <wp:effectExtent l="0" t="0" r="9525" b="0"/>
                  <wp:docPr id="774700600" name="Picture 4"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00600" name="Picture 4" descr="A black and white text&#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inline>
              </w:drawing>
            </w:r>
          </w:p>
        </w:tc>
      </w:tr>
      <w:tr w:rsidR="007C75A0" w:rsidRPr="00F01347" w14:paraId="78789679" w14:textId="77777777" w:rsidTr="00FD05AB">
        <w:trPr>
          <w:trHeight w:val="144"/>
        </w:trPr>
        <w:tc>
          <w:tcPr>
            <w:tcW w:w="2343" w:type="dxa"/>
            <w:tcBorders>
              <w:top w:val="single" w:sz="4" w:space="0" w:color="auto"/>
              <w:left w:val="single" w:sz="4" w:space="0" w:color="auto"/>
              <w:bottom w:val="single" w:sz="4" w:space="0" w:color="auto"/>
              <w:right w:val="single" w:sz="4" w:space="0" w:color="auto"/>
            </w:tcBorders>
            <w:vAlign w:val="center"/>
            <w:hideMark/>
          </w:tcPr>
          <w:p w14:paraId="7A5317A6"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0</w:t>
            </w:r>
          </w:p>
        </w:tc>
        <w:tc>
          <w:tcPr>
            <w:tcW w:w="1525" w:type="dxa"/>
            <w:tcBorders>
              <w:top w:val="single" w:sz="4" w:space="0" w:color="auto"/>
              <w:left w:val="single" w:sz="4" w:space="0" w:color="auto"/>
              <w:bottom w:val="single" w:sz="4" w:space="0" w:color="auto"/>
              <w:right w:val="single" w:sz="4" w:space="0" w:color="auto"/>
            </w:tcBorders>
            <w:vAlign w:val="center"/>
            <w:hideMark/>
          </w:tcPr>
          <w:p w14:paraId="60BF44A6"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0</w:t>
            </w:r>
          </w:p>
        </w:tc>
        <w:tc>
          <w:tcPr>
            <w:tcW w:w="1532" w:type="dxa"/>
            <w:tcBorders>
              <w:top w:val="single" w:sz="4" w:space="0" w:color="auto"/>
              <w:left w:val="single" w:sz="4" w:space="0" w:color="auto"/>
              <w:bottom w:val="single" w:sz="4" w:space="0" w:color="auto"/>
              <w:right w:val="single" w:sz="4" w:space="0" w:color="auto"/>
            </w:tcBorders>
            <w:vAlign w:val="center"/>
            <w:hideMark/>
          </w:tcPr>
          <w:p w14:paraId="24B96C33"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0</w:t>
            </w:r>
          </w:p>
        </w:tc>
      </w:tr>
      <w:tr w:rsidR="007C75A0" w:rsidRPr="00F01347" w14:paraId="5FF3B795" w14:textId="77777777" w:rsidTr="00FD05AB">
        <w:trPr>
          <w:trHeight w:val="144"/>
        </w:trPr>
        <w:tc>
          <w:tcPr>
            <w:tcW w:w="2343" w:type="dxa"/>
            <w:tcBorders>
              <w:top w:val="single" w:sz="4" w:space="0" w:color="auto"/>
              <w:left w:val="single" w:sz="4" w:space="0" w:color="auto"/>
              <w:bottom w:val="single" w:sz="4" w:space="0" w:color="auto"/>
              <w:right w:val="single" w:sz="4" w:space="0" w:color="auto"/>
            </w:tcBorders>
            <w:vAlign w:val="center"/>
            <w:hideMark/>
          </w:tcPr>
          <w:p w14:paraId="453197C4"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0.5</w:t>
            </w:r>
          </w:p>
        </w:tc>
        <w:tc>
          <w:tcPr>
            <w:tcW w:w="1525" w:type="dxa"/>
            <w:tcBorders>
              <w:top w:val="single" w:sz="4" w:space="0" w:color="auto"/>
              <w:left w:val="single" w:sz="4" w:space="0" w:color="auto"/>
              <w:bottom w:val="single" w:sz="4" w:space="0" w:color="auto"/>
              <w:right w:val="single" w:sz="4" w:space="0" w:color="auto"/>
            </w:tcBorders>
            <w:vAlign w:val="center"/>
            <w:hideMark/>
          </w:tcPr>
          <w:p w14:paraId="1A982521"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0.5</w:t>
            </w:r>
          </w:p>
        </w:tc>
        <w:tc>
          <w:tcPr>
            <w:tcW w:w="1532" w:type="dxa"/>
            <w:tcBorders>
              <w:top w:val="single" w:sz="4" w:space="0" w:color="auto"/>
              <w:left w:val="single" w:sz="4" w:space="0" w:color="auto"/>
              <w:bottom w:val="single" w:sz="4" w:space="0" w:color="auto"/>
              <w:right w:val="single" w:sz="4" w:space="0" w:color="auto"/>
            </w:tcBorders>
            <w:vAlign w:val="center"/>
            <w:hideMark/>
          </w:tcPr>
          <w:p w14:paraId="59D51E2E"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5</w:t>
            </w:r>
          </w:p>
        </w:tc>
      </w:tr>
      <w:tr w:rsidR="007C75A0" w:rsidRPr="00F01347" w14:paraId="212810B0" w14:textId="77777777" w:rsidTr="00FD05AB">
        <w:trPr>
          <w:trHeight w:val="144"/>
        </w:trPr>
        <w:tc>
          <w:tcPr>
            <w:tcW w:w="2343" w:type="dxa"/>
            <w:tcBorders>
              <w:top w:val="single" w:sz="4" w:space="0" w:color="auto"/>
              <w:left w:val="single" w:sz="4" w:space="0" w:color="auto"/>
              <w:bottom w:val="single" w:sz="4" w:space="0" w:color="auto"/>
              <w:right w:val="single" w:sz="4" w:space="0" w:color="auto"/>
            </w:tcBorders>
            <w:vAlign w:val="center"/>
            <w:hideMark/>
          </w:tcPr>
          <w:p w14:paraId="23D6A60C"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1.0</w:t>
            </w:r>
          </w:p>
        </w:tc>
        <w:tc>
          <w:tcPr>
            <w:tcW w:w="1525" w:type="dxa"/>
            <w:tcBorders>
              <w:top w:val="single" w:sz="4" w:space="0" w:color="auto"/>
              <w:left w:val="single" w:sz="4" w:space="0" w:color="auto"/>
              <w:bottom w:val="single" w:sz="4" w:space="0" w:color="auto"/>
              <w:right w:val="single" w:sz="4" w:space="0" w:color="auto"/>
            </w:tcBorders>
            <w:vAlign w:val="center"/>
            <w:hideMark/>
          </w:tcPr>
          <w:p w14:paraId="7CACE8CE"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1.0</w:t>
            </w:r>
          </w:p>
        </w:tc>
        <w:tc>
          <w:tcPr>
            <w:tcW w:w="1532" w:type="dxa"/>
            <w:tcBorders>
              <w:top w:val="single" w:sz="4" w:space="0" w:color="auto"/>
              <w:left w:val="single" w:sz="4" w:space="0" w:color="auto"/>
              <w:bottom w:val="single" w:sz="4" w:space="0" w:color="auto"/>
              <w:right w:val="single" w:sz="4" w:space="0" w:color="auto"/>
            </w:tcBorders>
            <w:vAlign w:val="center"/>
            <w:hideMark/>
          </w:tcPr>
          <w:p w14:paraId="106C2DDC"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10</w:t>
            </w:r>
          </w:p>
        </w:tc>
      </w:tr>
      <w:tr w:rsidR="007C75A0" w:rsidRPr="00F01347" w14:paraId="5A8EE87C" w14:textId="77777777" w:rsidTr="00FD05AB">
        <w:trPr>
          <w:trHeight w:val="144"/>
        </w:trPr>
        <w:tc>
          <w:tcPr>
            <w:tcW w:w="2343" w:type="dxa"/>
            <w:tcBorders>
              <w:top w:val="single" w:sz="4" w:space="0" w:color="auto"/>
              <w:left w:val="single" w:sz="4" w:space="0" w:color="auto"/>
              <w:bottom w:val="single" w:sz="4" w:space="0" w:color="auto"/>
              <w:right w:val="single" w:sz="4" w:space="0" w:color="auto"/>
            </w:tcBorders>
            <w:vAlign w:val="center"/>
            <w:hideMark/>
          </w:tcPr>
          <w:p w14:paraId="1914F985"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1.5</w:t>
            </w:r>
          </w:p>
        </w:tc>
        <w:tc>
          <w:tcPr>
            <w:tcW w:w="1525" w:type="dxa"/>
            <w:tcBorders>
              <w:top w:val="single" w:sz="4" w:space="0" w:color="auto"/>
              <w:left w:val="single" w:sz="4" w:space="0" w:color="auto"/>
              <w:bottom w:val="single" w:sz="4" w:space="0" w:color="auto"/>
              <w:right w:val="single" w:sz="4" w:space="0" w:color="auto"/>
            </w:tcBorders>
            <w:vAlign w:val="center"/>
            <w:hideMark/>
          </w:tcPr>
          <w:p w14:paraId="54B52507"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1.5</w:t>
            </w:r>
          </w:p>
        </w:tc>
        <w:tc>
          <w:tcPr>
            <w:tcW w:w="1532" w:type="dxa"/>
            <w:tcBorders>
              <w:top w:val="single" w:sz="4" w:space="0" w:color="auto"/>
              <w:left w:val="single" w:sz="4" w:space="0" w:color="auto"/>
              <w:bottom w:val="single" w:sz="4" w:space="0" w:color="auto"/>
              <w:right w:val="single" w:sz="4" w:space="0" w:color="auto"/>
            </w:tcBorders>
            <w:vAlign w:val="center"/>
            <w:hideMark/>
          </w:tcPr>
          <w:p w14:paraId="445A62D9" w14:textId="5F4E9669" w:rsidR="007C75A0" w:rsidRPr="00F01347" w:rsidRDefault="006607EA">
            <w:pPr>
              <w:pStyle w:val="texto0"/>
              <w:ind w:firstLine="0"/>
              <w:jc w:val="center"/>
              <w:rPr>
                <w:rFonts w:ascii="Verdana" w:hAnsi="Verdana"/>
                <w:sz w:val="16"/>
                <w:szCs w:val="16"/>
              </w:rPr>
            </w:pPr>
            <w:r w:rsidRPr="00F01347">
              <w:rPr>
                <w:rFonts w:ascii="Verdana" w:hAnsi="Verdana"/>
                <w:sz w:val="16"/>
                <w:szCs w:val="16"/>
              </w:rPr>
              <w:t>15</w:t>
            </w:r>
          </w:p>
        </w:tc>
      </w:tr>
      <w:tr w:rsidR="007C75A0" w:rsidRPr="00F01347" w14:paraId="08E4CF6C" w14:textId="77777777" w:rsidTr="00FD05AB">
        <w:trPr>
          <w:trHeight w:val="144"/>
        </w:trPr>
        <w:tc>
          <w:tcPr>
            <w:tcW w:w="2343" w:type="dxa"/>
            <w:tcBorders>
              <w:top w:val="single" w:sz="4" w:space="0" w:color="auto"/>
              <w:left w:val="single" w:sz="4" w:space="0" w:color="auto"/>
              <w:bottom w:val="single" w:sz="4" w:space="0" w:color="auto"/>
              <w:right w:val="single" w:sz="4" w:space="0" w:color="auto"/>
            </w:tcBorders>
            <w:vAlign w:val="center"/>
            <w:hideMark/>
          </w:tcPr>
          <w:p w14:paraId="3779CC17"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2.0</w:t>
            </w:r>
          </w:p>
        </w:tc>
        <w:tc>
          <w:tcPr>
            <w:tcW w:w="1525" w:type="dxa"/>
            <w:tcBorders>
              <w:top w:val="single" w:sz="4" w:space="0" w:color="auto"/>
              <w:left w:val="single" w:sz="4" w:space="0" w:color="auto"/>
              <w:bottom w:val="single" w:sz="4" w:space="0" w:color="auto"/>
              <w:right w:val="single" w:sz="4" w:space="0" w:color="auto"/>
            </w:tcBorders>
            <w:vAlign w:val="center"/>
            <w:hideMark/>
          </w:tcPr>
          <w:p w14:paraId="56976F89"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2.0</w:t>
            </w:r>
          </w:p>
        </w:tc>
        <w:tc>
          <w:tcPr>
            <w:tcW w:w="1532" w:type="dxa"/>
            <w:tcBorders>
              <w:top w:val="single" w:sz="4" w:space="0" w:color="auto"/>
              <w:left w:val="single" w:sz="4" w:space="0" w:color="auto"/>
              <w:bottom w:val="single" w:sz="4" w:space="0" w:color="auto"/>
              <w:right w:val="single" w:sz="4" w:space="0" w:color="auto"/>
            </w:tcBorders>
            <w:vAlign w:val="center"/>
            <w:hideMark/>
          </w:tcPr>
          <w:p w14:paraId="0A9ECB2A" w14:textId="1DF2247D" w:rsidR="007C75A0" w:rsidRPr="00F01347" w:rsidRDefault="006607EA">
            <w:pPr>
              <w:pStyle w:val="texto0"/>
              <w:ind w:firstLine="0"/>
              <w:jc w:val="center"/>
              <w:rPr>
                <w:rFonts w:ascii="Verdana" w:hAnsi="Verdana"/>
                <w:sz w:val="16"/>
                <w:szCs w:val="16"/>
              </w:rPr>
            </w:pPr>
            <w:r w:rsidRPr="00F01347">
              <w:rPr>
                <w:rFonts w:ascii="Verdana" w:hAnsi="Verdana"/>
                <w:sz w:val="16"/>
                <w:szCs w:val="16"/>
              </w:rPr>
              <w:t>20</w:t>
            </w:r>
          </w:p>
        </w:tc>
      </w:tr>
      <w:tr w:rsidR="007C75A0" w:rsidRPr="00F01347" w14:paraId="3D306444" w14:textId="77777777" w:rsidTr="00FD05AB">
        <w:trPr>
          <w:trHeight w:val="144"/>
        </w:trPr>
        <w:tc>
          <w:tcPr>
            <w:tcW w:w="2343" w:type="dxa"/>
            <w:tcBorders>
              <w:top w:val="single" w:sz="4" w:space="0" w:color="auto"/>
              <w:left w:val="single" w:sz="4" w:space="0" w:color="auto"/>
              <w:bottom w:val="single" w:sz="4" w:space="0" w:color="auto"/>
              <w:right w:val="single" w:sz="4" w:space="0" w:color="auto"/>
            </w:tcBorders>
            <w:vAlign w:val="center"/>
            <w:hideMark/>
          </w:tcPr>
          <w:p w14:paraId="4CF60873"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3.0</w:t>
            </w:r>
          </w:p>
        </w:tc>
        <w:tc>
          <w:tcPr>
            <w:tcW w:w="1525" w:type="dxa"/>
            <w:tcBorders>
              <w:top w:val="single" w:sz="4" w:space="0" w:color="auto"/>
              <w:left w:val="single" w:sz="4" w:space="0" w:color="auto"/>
              <w:bottom w:val="single" w:sz="4" w:space="0" w:color="auto"/>
              <w:right w:val="single" w:sz="4" w:space="0" w:color="auto"/>
            </w:tcBorders>
            <w:vAlign w:val="center"/>
            <w:hideMark/>
          </w:tcPr>
          <w:p w14:paraId="15AEEFAF"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3.0</w:t>
            </w:r>
          </w:p>
        </w:tc>
        <w:tc>
          <w:tcPr>
            <w:tcW w:w="1532" w:type="dxa"/>
            <w:tcBorders>
              <w:top w:val="single" w:sz="4" w:space="0" w:color="auto"/>
              <w:left w:val="single" w:sz="4" w:space="0" w:color="auto"/>
              <w:bottom w:val="single" w:sz="4" w:space="0" w:color="auto"/>
              <w:right w:val="single" w:sz="4" w:space="0" w:color="auto"/>
            </w:tcBorders>
            <w:vAlign w:val="center"/>
            <w:hideMark/>
          </w:tcPr>
          <w:p w14:paraId="732DC01F"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30</w:t>
            </w:r>
          </w:p>
        </w:tc>
      </w:tr>
      <w:tr w:rsidR="007C75A0" w:rsidRPr="00F01347" w14:paraId="3948E026" w14:textId="77777777" w:rsidTr="00FD05AB">
        <w:trPr>
          <w:trHeight w:val="144"/>
        </w:trPr>
        <w:tc>
          <w:tcPr>
            <w:tcW w:w="2343" w:type="dxa"/>
            <w:tcBorders>
              <w:top w:val="single" w:sz="4" w:space="0" w:color="auto"/>
              <w:left w:val="single" w:sz="4" w:space="0" w:color="auto"/>
              <w:bottom w:val="single" w:sz="4" w:space="0" w:color="auto"/>
              <w:right w:val="single" w:sz="4" w:space="0" w:color="auto"/>
            </w:tcBorders>
            <w:vAlign w:val="center"/>
            <w:hideMark/>
          </w:tcPr>
          <w:p w14:paraId="04835A0D"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4.0</w:t>
            </w:r>
          </w:p>
        </w:tc>
        <w:tc>
          <w:tcPr>
            <w:tcW w:w="1525" w:type="dxa"/>
            <w:tcBorders>
              <w:top w:val="single" w:sz="4" w:space="0" w:color="auto"/>
              <w:left w:val="single" w:sz="4" w:space="0" w:color="auto"/>
              <w:bottom w:val="single" w:sz="4" w:space="0" w:color="auto"/>
              <w:right w:val="single" w:sz="4" w:space="0" w:color="auto"/>
            </w:tcBorders>
            <w:vAlign w:val="center"/>
            <w:hideMark/>
          </w:tcPr>
          <w:p w14:paraId="3E2253EE"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4.0</w:t>
            </w:r>
          </w:p>
        </w:tc>
        <w:tc>
          <w:tcPr>
            <w:tcW w:w="1532" w:type="dxa"/>
            <w:tcBorders>
              <w:top w:val="single" w:sz="4" w:space="0" w:color="auto"/>
              <w:left w:val="single" w:sz="4" w:space="0" w:color="auto"/>
              <w:bottom w:val="single" w:sz="4" w:space="0" w:color="auto"/>
              <w:right w:val="single" w:sz="4" w:space="0" w:color="auto"/>
            </w:tcBorders>
            <w:vAlign w:val="center"/>
            <w:hideMark/>
          </w:tcPr>
          <w:p w14:paraId="45FA9592" w14:textId="77777777" w:rsidR="007C75A0" w:rsidRPr="00F01347" w:rsidRDefault="007C75A0">
            <w:pPr>
              <w:pStyle w:val="texto0"/>
              <w:ind w:firstLine="0"/>
              <w:jc w:val="center"/>
              <w:rPr>
                <w:rFonts w:ascii="Verdana" w:hAnsi="Verdana"/>
                <w:sz w:val="16"/>
                <w:szCs w:val="16"/>
              </w:rPr>
            </w:pPr>
            <w:r w:rsidRPr="00F01347">
              <w:rPr>
                <w:rFonts w:ascii="Verdana" w:hAnsi="Verdana"/>
                <w:sz w:val="16"/>
                <w:szCs w:val="16"/>
              </w:rPr>
              <w:t>40</w:t>
            </w:r>
          </w:p>
        </w:tc>
      </w:tr>
    </w:tbl>
    <w:p w14:paraId="19373FDA" w14:textId="77777777" w:rsidR="007C75A0" w:rsidRPr="00F01347" w:rsidRDefault="007C75A0" w:rsidP="003A601B">
      <w:pPr>
        <w:pStyle w:val="texto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C75A0" w:rsidRPr="00F01347" w14:paraId="248E27DE" w14:textId="6B8D6A5B" w:rsidTr="006607EA">
        <w:tc>
          <w:tcPr>
            <w:tcW w:w="4675" w:type="dxa"/>
          </w:tcPr>
          <w:p w14:paraId="4DA741A5" w14:textId="77777777" w:rsidR="007C75A0" w:rsidRPr="00F01347" w:rsidRDefault="007C75A0" w:rsidP="007C75A0">
            <w:pPr>
              <w:pStyle w:val="texto0"/>
              <w:ind w:firstLine="0"/>
              <w:rPr>
                <w:rFonts w:ascii="Verdana" w:hAnsi="Verdana"/>
                <w:b/>
                <w:bCs/>
                <w:sz w:val="16"/>
                <w:szCs w:val="16"/>
              </w:rPr>
            </w:pPr>
            <w:r w:rsidRPr="00F01347">
              <w:rPr>
                <w:rFonts w:ascii="Verdana" w:hAnsi="Verdana"/>
                <w:b/>
                <w:bCs/>
                <w:sz w:val="16"/>
                <w:szCs w:val="16"/>
              </w:rPr>
              <w:t>B.11.1.5.2 Corrección por turbidez</w:t>
            </w:r>
          </w:p>
        </w:tc>
        <w:tc>
          <w:tcPr>
            <w:tcW w:w="4675" w:type="dxa"/>
          </w:tcPr>
          <w:p w14:paraId="2B361920" w14:textId="6EC626AB" w:rsidR="007C75A0" w:rsidRPr="00F01347" w:rsidRDefault="007C75A0" w:rsidP="007C75A0">
            <w:pPr>
              <w:pStyle w:val="texto0"/>
              <w:ind w:firstLine="0"/>
              <w:rPr>
                <w:rFonts w:ascii="Verdana" w:hAnsi="Verdana"/>
                <w:b/>
                <w:bCs/>
                <w:sz w:val="16"/>
                <w:szCs w:val="16"/>
                <w:lang w:val="en-US"/>
              </w:rPr>
            </w:pPr>
            <w:r w:rsidRPr="00F01347">
              <w:rPr>
                <w:rFonts w:ascii="Verdana" w:hAnsi="Verdana"/>
                <w:b/>
                <w:bCs/>
                <w:sz w:val="16"/>
                <w:szCs w:val="16"/>
                <w:lang w:val="en-US"/>
              </w:rPr>
              <w:t>B.11.1.5.2 Correction for turbidity</w:t>
            </w:r>
          </w:p>
        </w:tc>
      </w:tr>
      <w:tr w:rsidR="007C75A0" w:rsidRPr="00F01347" w14:paraId="0DF948EB" w14:textId="2D8CF6F4" w:rsidTr="006607EA">
        <w:tc>
          <w:tcPr>
            <w:tcW w:w="4675" w:type="dxa"/>
          </w:tcPr>
          <w:p w14:paraId="7C9C29B7" w14:textId="77777777" w:rsidR="007C75A0" w:rsidRPr="00F01347" w:rsidRDefault="007C75A0" w:rsidP="007C75A0">
            <w:pPr>
              <w:pStyle w:val="texto0"/>
              <w:spacing w:line="220" w:lineRule="exact"/>
              <w:ind w:firstLine="0"/>
              <w:rPr>
                <w:rFonts w:ascii="Verdana" w:hAnsi="Verdana"/>
                <w:sz w:val="16"/>
                <w:szCs w:val="16"/>
              </w:rPr>
            </w:pPr>
            <w:r w:rsidRPr="00F01347">
              <w:rPr>
                <w:rFonts w:ascii="Verdana" w:hAnsi="Verdana"/>
                <w:sz w:val="16"/>
                <w:szCs w:val="16"/>
              </w:rPr>
              <w:t xml:space="preserve">Medir por duplicado 100 </w:t>
            </w:r>
            <w:proofErr w:type="spellStart"/>
            <w:r w:rsidRPr="00F01347">
              <w:rPr>
                <w:rFonts w:ascii="Verdana" w:hAnsi="Verdana"/>
                <w:sz w:val="16"/>
                <w:szCs w:val="16"/>
              </w:rPr>
              <w:t>mL</w:t>
            </w:r>
            <w:proofErr w:type="spellEnd"/>
            <w:r w:rsidRPr="00F01347">
              <w:rPr>
                <w:rFonts w:ascii="Verdana" w:hAnsi="Verdana"/>
                <w:sz w:val="16"/>
                <w:szCs w:val="16"/>
              </w:rPr>
              <w:t xml:space="preserve"> de muestra, o una alícuota adecuada diluida a 100mL en un recipiente de 250mL y colocar una barra de agitación.</w:t>
            </w:r>
          </w:p>
        </w:tc>
        <w:tc>
          <w:tcPr>
            <w:tcW w:w="4675" w:type="dxa"/>
          </w:tcPr>
          <w:p w14:paraId="13EAB5D3" w14:textId="42C6682E" w:rsidR="007C75A0" w:rsidRPr="00F01347" w:rsidRDefault="007C75A0" w:rsidP="007C75A0">
            <w:pPr>
              <w:pStyle w:val="texto0"/>
              <w:spacing w:line="220" w:lineRule="exact"/>
              <w:ind w:firstLine="0"/>
              <w:rPr>
                <w:rFonts w:ascii="Verdana" w:hAnsi="Verdana"/>
                <w:sz w:val="16"/>
                <w:szCs w:val="16"/>
                <w:lang w:val="en-US"/>
              </w:rPr>
            </w:pPr>
            <w:r w:rsidRPr="00F01347">
              <w:rPr>
                <w:rFonts w:ascii="Verdana" w:hAnsi="Verdana"/>
                <w:sz w:val="16"/>
                <w:szCs w:val="16"/>
                <w:lang w:val="en-US"/>
              </w:rPr>
              <w:t>Measure in duplicate 100 mL of sample, or an appropriate aliquot diluted to 100 mL into a 250 mL container and attach a stir bar.</w:t>
            </w:r>
          </w:p>
        </w:tc>
      </w:tr>
      <w:tr w:rsidR="007C75A0" w:rsidRPr="00F01347" w14:paraId="564C3CCF" w14:textId="728A3B83" w:rsidTr="006607EA">
        <w:tc>
          <w:tcPr>
            <w:tcW w:w="4675" w:type="dxa"/>
          </w:tcPr>
          <w:p w14:paraId="2F6F2787" w14:textId="77777777" w:rsidR="007C75A0" w:rsidRPr="00F01347" w:rsidRDefault="007C75A0" w:rsidP="007C75A0">
            <w:pPr>
              <w:pStyle w:val="texto0"/>
              <w:spacing w:line="220" w:lineRule="exact"/>
              <w:ind w:firstLine="0"/>
              <w:rPr>
                <w:rFonts w:ascii="Verdana" w:hAnsi="Verdana"/>
                <w:sz w:val="16"/>
                <w:szCs w:val="16"/>
              </w:rPr>
            </w:pPr>
            <w:r w:rsidRPr="00F01347">
              <w:rPr>
                <w:rFonts w:ascii="Verdana" w:hAnsi="Verdana"/>
                <w:sz w:val="16"/>
                <w:szCs w:val="16"/>
              </w:rPr>
              <w:t xml:space="preserve">A soluciones patrón, muestras y muestra fortificada, agregar 5 </w:t>
            </w:r>
            <w:proofErr w:type="spellStart"/>
            <w:r w:rsidRPr="00F01347">
              <w:rPr>
                <w:rFonts w:ascii="Verdana" w:hAnsi="Verdana"/>
                <w:sz w:val="16"/>
                <w:szCs w:val="16"/>
              </w:rPr>
              <w:t>mL</w:t>
            </w:r>
            <w:proofErr w:type="spellEnd"/>
            <w:r w:rsidRPr="00F01347">
              <w:rPr>
                <w:rFonts w:ascii="Verdana" w:hAnsi="Verdana"/>
                <w:sz w:val="16"/>
                <w:szCs w:val="16"/>
              </w:rPr>
              <w:t xml:space="preserve"> de reactivo </w:t>
            </w:r>
            <w:proofErr w:type="spellStart"/>
            <w:r w:rsidRPr="00F01347">
              <w:rPr>
                <w:rFonts w:ascii="Verdana" w:hAnsi="Verdana"/>
                <w:sz w:val="16"/>
                <w:szCs w:val="16"/>
              </w:rPr>
              <w:t>acondicionante</w:t>
            </w:r>
            <w:proofErr w:type="spellEnd"/>
            <w:r w:rsidRPr="00F01347">
              <w:rPr>
                <w:rFonts w:ascii="Verdana" w:hAnsi="Verdana"/>
                <w:sz w:val="16"/>
                <w:szCs w:val="16"/>
              </w:rPr>
              <w:t>, mezclar con agitación durante 1 minuto a velocidad constante.</w:t>
            </w:r>
          </w:p>
        </w:tc>
        <w:tc>
          <w:tcPr>
            <w:tcW w:w="4675" w:type="dxa"/>
          </w:tcPr>
          <w:p w14:paraId="3C19FD3D" w14:textId="21D2AEA7" w:rsidR="007C75A0" w:rsidRPr="00F01347" w:rsidRDefault="007C75A0" w:rsidP="007C75A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To standard solutions, samples and fortified </w:t>
            </w:r>
            <w:proofErr w:type="gramStart"/>
            <w:r w:rsidRPr="00F01347">
              <w:rPr>
                <w:rFonts w:ascii="Verdana" w:hAnsi="Verdana"/>
                <w:sz w:val="16"/>
                <w:szCs w:val="16"/>
                <w:lang w:val="en-US"/>
              </w:rPr>
              <w:t>sample</w:t>
            </w:r>
            <w:proofErr w:type="gramEnd"/>
            <w:r w:rsidRPr="00F01347">
              <w:rPr>
                <w:rFonts w:ascii="Verdana" w:hAnsi="Verdana"/>
                <w:sz w:val="16"/>
                <w:szCs w:val="16"/>
                <w:lang w:val="en-US"/>
              </w:rPr>
              <w:t>, add 5 mL of conditioning reagent</w:t>
            </w:r>
            <w:r w:rsidR="003E1BA9" w:rsidRPr="00F01347">
              <w:rPr>
                <w:rFonts w:ascii="Verdana" w:hAnsi="Verdana"/>
                <w:sz w:val="16"/>
                <w:szCs w:val="16"/>
                <w:lang w:val="en-US"/>
              </w:rPr>
              <w:t>,</w:t>
            </w:r>
            <w:r w:rsidRPr="00F01347">
              <w:rPr>
                <w:rFonts w:ascii="Verdana" w:hAnsi="Verdana"/>
                <w:sz w:val="16"/>
                <w:szCs w:val="16"/>
                <w:lang w:val="en-US"/>
              </w:rPr>
              <w:t xml:space="preserve"> mix with stirring for 1 minute at constant speed.</w:t>
            </w:r>
          </w:p>
        </w:tc>
      </w:tr>
      <w:tr w:rsidR="007C75A0" w:rsidRPr="00F01347" w14:paraId="4D3399CD" w14:textId="3ADE366D" w:rsidTr="006607EA">
        <w:tc>
          <w:tcPr>
            <w:tcW w:w="4675" w:type="dxa"/>
          </w:tcPr>
          <w:p w14:paraId="45C5B813" w14:textId="77777777" w:rsidR="007C75A0" w:rsidRPr="00F01347" w:rsidRDefault="007C75A0" w:rsidP="007C75A0">
            <w:pPr>
              <w:pStyle w:val="texto0"/>
              <w:spacing w:line="220" w:lineRule="exact"/>
              <w:ind w:firstLine="0"/>
              <w:rPr>
                <w:rFonts w:ascii="Verdana" w:hAnsi="Verdana"/>
                <w:sz w:val="16"/>
                <w:szCs w:val="16"/>
              </w:rPr>
            </w:pPr>
            <w:r w:rsidRPr="00F01347">
              <w:rPr>
                <w:rFonts w:ascii="Verdana" w:hAnsi="Verdana"/>
                <w:sz w:val="16"/>
                <w:szCs w:val="16"/>
              </w:rPr>
              <w:t xml:space="preserve">Preparar una muestra fortificada, midiendo 100 </w:t>
            </w:r>
            <w:proofErr w:type="spellStart"/>
            <w:r w:rsidRPr="00F01347">
              <w:rPr>
                <w:rFonts w:ascii="Verdana" w:hAnsi="Verdana"/>
                <w:sz w:val="16"/>
                <w:szCs w:val="16"/>
              </w:rPr>
              <w:t>mL</w:t>
            </w:r>
            <w:proofErr w:type="spellEnd"/>
            <w:r w:rsidRPr="00F01347">
              <w:rPr>
                <w:rFonts w:ascii="Verdana" w:hAnsi="Verdana"/>
                <w:sz w:val="16"/>
                <w:szCs w:val="16"/>
              </w:rPr>
              <w:t xml:space="preserve"> de muestra, o una alícuota adecuada diluida a 100mL en un recipiente de 250mL y colocar una barra de agitación. Añadir 1.5 </w:t>
            </w:r>
            <w:proofErr w:type="spellStart"/>
            <w:r w:rsidRPr="00F01347">
              <w:rPr>
                <w:rFonts w:ascii="Verdana" w:hAnsi="Verdana"/>
                <w:sz w:val="16"/>
                <w:szCs w:val="16"/>
              </w:rPr>
              <w:t>mL</w:t>
            </w:r>
            <w:proofErr w:type="spellEnd"/>
            <w:r w:rsidRPr="00F01347">
              <w:rPr>
                <w:rFonts w:ascii="Verdana" w:hAnsi="Verdana"/>
                <w:sz w:val="16"/>
                <w:szCs w:val="16"/>
              </w:rPr>
              <w:t xml:space="preserve"> de la disolución patrón de trabajo, 1 </w:t>
            </w:r>
            <w:proofErr w:type="spellStart"/>
            <w:r w:rsidRPr="00F01347">
              <w:rPr>
                <w:rFonts w:ascii="Verdana" w:hAnsi="Verdana"/>
                <w:sz w:val="16"/>
                <w:szCs w:val="16"/>
              </w:rPr>
              <w:t>mL</w:t>
            </w:r>
            <w:proofErr w:type="spellEnd"/>
            <w:r w:rsidRPr="00F01347">
              <w:rPr>
                <w:rFonts w:ascii="Verdana" w:hAnsi="Verdana"/>
                <w:sz w:val="16"/>
                <w:szCs w:val="16"/>
              </w:rPr>
              <w:t xml:space="preserve"> = 1.0 mg de </w:t>
            </w:r>
            <w:r w:rsidRPr="00F01347">
              <w:rPr>
                <w:rFonts w:ascii="Verdana" w:hAnsi="Verdana"/>
                <w:noProof/>
                <w:position w:val="-8"/>
                <w:sz w:val="16"/>
                <w:szCs w:val="16"/>
              </w:rPr>
              <w:drawing>
                <wp:inline distT="0" distB="0" distL="0" distR="0" wp14:anchorId="58A133BB" wp14:editId="5D73FD11">
                  <wp:extent cx="257175" cy="152400"/>
                  <wp:effectExtent l="0" t="0" r="0" b="0"/>
                  <wp:docPr id="5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57175" cy="152400"/>
                          </a:xfrm>
                          <a:prstGeom prst="rect">
                            <a:avLst/>
                          </a:prstGeom>
                          <a:noFill/>
                          <a:ln>
                            <a:noFill/>
                          </a:ln>
                        </pic:spPr>
                      </pic:pic>
                    </a:graphicData>
                  </a:graphic>
                </wp:inline>
              </w:drawing>
            </w:r>
          </w:p>
        </w:tc>
        <w:tc>
          <w:tcPr>
            <w:tcW w:w="4675" w:type="dxa"/>
          </w:tcPr>
          <w:p w14:paraId="79DABE86" w14:textId="2960AB63" w:rsidR="007C75A0" w:rsidRPr="00F01347" w:rsidRDefault="007C75A0" w:rsidP="007C75A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Prepare a fortified sample by measuring 100 mL of sample, or an appropriate aliquot diluted to 100 mL into a 250 mL container and </w:t>
            </w:r>
            <w:r w:rsidR="00173E5E" w:rsidRPr="00F01347">
              <w:rPr>
                <w:rFonts w:ascii="Verdana" w:hAnsi="Verdana"/>
                <w:sz w:val="16"/>
                <w:szCs w:val="16"/>
                <w:lang w:val="en-US"/>
              </w:rPr>
              <w:t>place</w:t>
            </w:r>
            <w:r w:rsidRPr="00F01347">
              <w:rPr>
                <w:rFonts w:ascii="Verdana" w:hAnsi="Verdana"/>
                <w:sz w:val="16"/>
                <w:szCs w:val="16"/>
                <w:lang w:val="en-US"/>
              </w:rPr>
              <w:t xml:space="preserve"> a stir bar. Add 1.5 mL of the working standard solution, 1 mL = 1.0 mg of</w:t>
            </w:r>
            <w:r w:rsidRPr="00F01347">
              <w:rPr>
                <w:rFonts w:ascii="Verdana" w:hAnsi="Verdana"/>
                <w:noProof/>
                <w:position w:val="-8"/>
                <w:sz w:val="16"/>
                <w:szCs w:val="16"/>
                <w:lang w:val="en-US"/>
              </w:rPr>
              <w:drawing>
                <wp:inline distT="0" distB="0" distL="0" distR="0" wp14:anchorId="5C7BF47C" wp14:editId="08486C6B">
                  <wp:extent cx="257175" cy="152400"/>
                  <wp:effectExtent l="0" t="0" r="0" b="0"/>
                  <wp:docPr id="519600854" name="Picture 519600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57175" cy="152400"/>
                          </a:xfrm>
                          <a:prstGeom prst="rect">
                            <a:avLst/>
                          </a:prstGeom>
                          <a:noFill/>
                          <a:ln>
                            <a:noFill/>
                          </a:ln>
                        </pic:spPr>
                      </pic:pic>
                    </a:graphicData>
                  </a:graphic>
                </wp:inline>
              </w:drawing>
            </w:r>
          </w:p>
        </w:tc>
      </w:tr>
      <w:tr w:rsidR="007C75A0" w:rsidRPr="00F01347" w14:paraId="4FC5E613" w14:textId="2AF3464F" w:rsidTr="006607EA">
        <w:tc>
          <w:tcPr>
            <w:tcW w:w="4675" w:type="dxa"/>
          </w:tcPr>
          <w:p w14:paraId="4FA032B3" w14:textId="77777777" w:rsidR="007C75A0" w:rsidRPr="00F01347" w:rsidRDefault="007C75A0" w:rsidP="007C75A0">
            <w:pPr>
              <w:pStyle w:val="texto0"/>
              <w:spacing w:line="220" w:lineRule="exact"/>
              <w:ind w:firstLine="0"/>
              <w:rPr>
                <w:rFonts w:ascii="Verdana" w:hAnsi="Verdana"/>
                <w:sz w:val="16"/>
                <w:szCs w:val="16"/>
              </w:rPr>
            </w:pPr>
            <w:r w:rsidRPr="00F01347">
              <w:rPr>
                <w:rFonts w:ascii="Verdana" w:hAnsi="Verdana"/>
                <w:sz w:val="16"/>
                <w:szCs w:val="16"/>
              </w:rPr>
              <w:lastRenderedPageBreak/>
              <w:t>Tomar la lectura de absorbancia de turbidez a 420nm de patrones, muestra y muestra fortificada.</w:t>
            </w:r>
          </w:p>
        </w:tc>
        <w:tc>
          <w:tcPr>
            <w:tcW w:w="4675" w:type="dxa"/>
          </w:tcPr>
          <w:p w14:paraId="51DD1698" w14:textId="4D5E74E3" w:rsidR="007C75A0" w:rsidRPr="00F01347" w:rsidRDefault="007C75A0" w:rsidP="007C75A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Take the turbidity absorbance reading at 420nm of standards, </w:t>
            </w:r>
            <w:proofErr w:type="gramStart"/>
            <w:r w:rsidRPr="00F01347">
              <w:rPr>
                <w:rFonts w:ascii="Verdana" w:hAnsi="Verdana"/>
                <w:sz w:val="16"/>
                <w:szCs w:val="16"/>
                <w:lang w:val="en-US"/>
              </w:rPr>
              <w:t>sample</w:t>
            </w:r>
            <w:proofErr w:type="gramEnd"/>
            <w:r w:rsidRPr="00F01347">
              <w:rPr>
                <w:rFonts w:ascii="Verdana" w:hAnsi="Verdana"/>
                <w:sz w:val="16"/>
                <w:szCs w:val="16"/>
                <w:lang w:val="en-US"/>
              </w:rPr>
              <w:t xml:space="preserve"> and fortified sample.</w:t>
            </w:r>
          </w:p>
        </w:tc>
      </w:tr>
      <w:tr w:rsidR="007C75A0" w:rsidRPr="00F01347" w14:paraId="1F441EFC" w14:textId="757F6ECD" w:rsidTr="006607EA">
        <w:tc>
          <w:tcPr>
            <w:tcW w:w="4675" w:type="dxa"/>
          </w:tcPr>
          <w:p w14:paraId="76185A10" w14:textId="77777777" w:rsidR="007C75A0" w:rsidRPr="00F01347" w:rsidRDefault="007C75A0" w:rsidP="007C75A0">
            <w:pPr>
              <w:pStyle w:val="texto0"/>
              <w:spacing w:line="220" w:lineRule="exact"/>
              <w:ind w:firstLine="0"/>
              <w:rPr>
                <w:rFonts w:ascii="Verdana" w:hAnsi="Verdana"/>
                <w:sz w:val="16"/>
                <w:szCs w:val="16"/>
              </w:rPr>
            </w:pPr>
            <w:r w:rsidRPr="00F01347">
              <w:rPr>
                <w:rFonts w:ascii="Verdana" w:hAnsi="Verdana"/>
                <w:b/>
                <w:sz w:val="16"/>
                <w:szCs w:val="16"/>
              </w:rPr>
              <w:t>Nota</w:t>
            </w:r>
            <w:r w:rsidRPr="00F01347">
              <w:rPr>
                <w:rFonts w:ascii="Verdana" w:hAnsi="Verdana"/>
                <w:sz w:val="16"/>
                <w:szCs w:val="16"/>
              </w:rPr>
              <w:t>: El color o la materia suspendida interfieren con este método. Si la muestra tiene materia suspendida, eliminar por filtración. Si el color y turbiedad son bajos en comparación con la concentración de sulfatos, la interferencia se resta al leer el blanco de muestra, el cual corresponde al cero de la curva de comparación en el espectrofotómetro.</w:t>
            </w:r>
          </w:p>
        </w:tc>
        <w:tc>
          <w:tcPr>
            <w:tcW w:w="4675" w:type="dxa"/>
          </w:tcPr>
          <w:p w14:paraId="34CA9640" w14:textId="2221F35F" w:rsidR="007C75A0" w:rsidRPr="00F01347" w:rsidRDefault="007C75A0" w:rsidP="007C75A0">
            <w:pPr>
              <w:pStyle w:val="texto0"/>
              <w:spacing w:line="220" w:lineRule="exact"/>
              <w:ind w:firstLine="0"/>
              <w:rPr>
                <w:rFonts w:ascii="Verdana" w:hAnsi="Verdana"/>
                <w:b/>
                <w:sz w:val="16"/>
                <w:szCs w:val="16"/>
                <w:lang w:val="en-US"/>
              </w:rPr>
            </w:pPr>
            <w:r w:rsidRPr="00F01347">
              <w:rPr>
                <w:rFonts w:ascii="Verdana" w:hAnsi="Verdana"/>
                <w:b/>
                <w:sz w:val="16"/>
                <w:szCs w:val="16"/>
                <w:lang w:val="en-US"/>
              </w:rPr>
              <w:t>Note</w:t>
            </w:r>
            <w:r w:rsidR="00762084" w:rsidRPr="00F01347">
              <w:rPr>
                <w:rFonts w:ascii="Verdana" w:hAnsi="Verdana"/>
                <w:b/>
                <w:sz w:val="16"/>
                <w:szCs w:val="16"/>
                <w:lang w:val="en-US"/>
              </w:rPr>
              <w:t>:</w:t>
            </w:r>
            <w:r w:rsidRPr="00F01347">
              <w:rPr>
                <w:rFonts w:ascii="Verdana" w:hAnsi="Verdana"/>
                <w:sz w:val="16"/>
                <w:szCs w:val="16"/>
                <w:lang w:val="en-US"/>
              </w:rPr>
              <w:t xml:space="preserve"> Color or suspended matter interfere with this method. If the sample has suspended matter, eliminate by filtration. If the color and turbidity are low compared to the sulfate concentration, the interference is subtracted by reading the sample blank, which corresponds to the zero of the comparison </w:t>
            </w:r>
            <w:proofErr w:type="gramStart"/>
            <w:r w:rsidRPr="00F01347">
              <w:rPr>
                <w:rFonts w:ascii="Verdana" w:hAnsi="Verdana"/>
                <w:sz w:val="16"/>
                <w:szCs w:val="16"/>
                <w:lang w:val="en-US"/>
              </w:rPr>
              <w:t>curve</w:t>
            </w:r>
            <w:proofErr w:type="gramEnd"/>
            <w:r w:rsidRPr="00F01347">
              <w:rPr>
                <w:rFonts w:ascii="Verdana" w:hAnsi="Verdana"/>
                <w:sz w:val="16"/>
                <w:szCs w:val="16"/>
                <w:lang w:val="en-US"/>
              </w:rPr>
              <w:t xml:space="preserve"> in the spectrophotometer.</w:t>
            </w:r>
          </w:p>
        </w:tc>
      </w:tr>
      <w:tr w:rsidR="007C75A0" w:rsidRPr="00F01347" w14:paraId="3696D3D9" w14:textId="064914C6" w:rsidTr="006607EA">
        <w:tc>
          <w:tcPr>
            <w:tcW w:w="4675" w:type="dxa"/>
          </w:tcPr>
          <w:p w14:paraId="1365771A" w14:textId="77777777" w:rsidR="007C75A0" w:rsidRPr="00F01347" w:rsidRDefault="007C75A0" w:rsidP="007C75A0">
            <w:pPr>
              <w:pStyle w:val="texto0"/>
              <w:spacing w:line="220" w:lineRule="exact"/>
              <w:ind w:firstLine="0"/>
              <w:rPr>
                <w:rFonts w:ascii="Verdana" w:hAnsi="Verdana"/>
                <w:b/>
                <w:sz w:val="16"/>
                <w:szCs w:val="16"/>
              </w:rPr>
            </w:pPr>
            <w:r w:rsidRPr="00F01347">
              <w:rPr>
                <w:rFonts w:ascii="Verdana" w:hAnsi="Verdana"/>
                <w:b/>
                <w:bCs/>
                <w:sz w:val="16"/>
                <w:szCs w:val="16"/>
              </w:rPr>
              <w:t>B.11.1.5.3 Medición de la turbiedad del sulfato de bario</w:t>
            </w:r>
          </w:p>
        </w:tc>
        <w:tc>
          <w:tcPr>
            <w:tcW w:w="4675" w:type="dxa"/>
          </w:tcPr>
          <w:p w14:paraId="3CAE92D9" w14:textId="74D233AC" w:rsidR="007C75A0" w:rsidRPr="00F01347" w:rsidRDefault="007C75A0" w:rsidP="007C75A0">
            <w:pPr>
              <w:pStyle w:val="texto0"/>
              <w:spacing w:line="220" w:lineRule="exact"/>
              <w:ind w:firstLine="0"/>
              <w:rPr>
                <w:rFonts w:ascii="Verdana" w:hAnsi="Verdana"/>
                <w:b/>
                <w:bCs/>
                <w:sz w:val="16"/>
                <w:szCs w:val="16"/>
                <w:lang w:val="en-US"/>
              </w:rPr>
            </w:pPr>
            <w:r w:rsidRPr="00F01347">
              <w:rPr>
                <w:rFonts w:ascii="Verdana" w:hAnsi="Verdana"/>
                <w:b/>
                <w:bCs/>
                <w:sz w:val="16"/>
                <w:szCs w:val="16"/>
                <w:lang w:val="en-US"/>
              </w:rPr>
              <w:t>B.11.1.5.3 Barium sulfate turbidity measurement</w:t>
            </w:r>
          </w:p>
        </w:tc>
      </w:tr>
      <w:tr w:rsidR="007C75A0" w:rsidRPr="00F01347" w14:paraId="5783C347" w14:textId="2B166FD2" w:rsidTr="006607EA">
        <w:tc>
          <w:tcPr>
            <w:tcW w:w="4675" w:type="dxa"/>
          </w:tcPr>
          <w:p w14:paraId="5349F689" w14:textId="77777777" w:rsidR="007C75A0" w:rsidRPr="00F01347" w:rsidRDefault="007C75A0" w:rsidP="007C75A0">
            <w:pPr>
              <w:pStyle w:val="texto0"/>
              <w:spacing w:line="220" w:lineRule="exact"/>
              <w:ind w:firstLine="0"/>
              <w:rPr>
                <w:rFonts w:ascii="Verdana" w:hAnsi="Verdana"/>
                <w:sz w:val="16"/>
                <w:szCs w:val="16"/>
              </w:rPr>
            </w:pPr>
            <w:r w:rsidRPr="00F01347">
              <w:rPr>
                <w:rFonts w:ascii="Verdana" w:hAnsi="Verdana"/>
                <w:sz w:val="16"/>
                <w:szCs w:val="16"/>
              </w:rPr>
              <w:t>Agregar a patrones, muestras y muestra fortificada una cucharilla llena de cristales de cloruro de bario y agitar durante 60 segundos. Mantener una velocidad constante de agitación. Tomar la lectura de absorbancia de sulfatos a 420 nm.</w:t>
            </w:r>
          </w:p>
        </w:tc>
        <w:tc>
          <w:tcPr>
            <w:tcW w:w="4675" w:type="dxa"/>
          </w:tcPr>
          <w:p w14:paraId="16CCA20F" w14:textId="3F154020" w:rsidR="007C75A0" w:rsidRPr="00F01347" w:rsidRDefault="007C75A0" w:rsidP="007C75A0">
            <w:pPr>
              <w:pStyle w:val="texto0"/>
              <w:spacing w:line="220" w:lineRule="exact"/>
              <w:ind w:firstLine="0"/>
              <w:rPr>
                <w:rFonts w:ascii="Verdana" w:hAnsi="Verdana"/>
                <w:sz w:val="16"/>
                <w:szCs w:val="16"/>
                <w:lang w:val="en-US"/>
              </w:rPr>
            </w:pPr>
            <w:r w:rsidRPr="00F01347">
              <w:rPr>
                <w:rFonts w:ascii="Verdana" w:hAnsi="Verdana"/>
                <w:sz w:val="16"/>
                <w:szCs w:val="16"/>
                <w:lang w:val="en-US"/>
              </w:rPr>
              <w:t>Add a teaspoon full of barium chloride crystals to standards, samples and fortified sample and shake for 60 seconds. Maintain a constant stirring speed. Take the sulfate absorbance reading at 420 nm.</w:t>
            </w:r>
          </w:p>
        </w:tc>
      </w:tr>
      <w:tr w:rsidR="007C75A0" w:rsidRPr="00F01347" w14:paraId="6D9A6F00" w14:textId="482864EE" w:rsidTr="006607EA">
        <w:tc>
          <w:tcPr>
            <w:tcW w:w="4675" w:type="dxa"/>
          </w:tcPr>
          <w:p w14:paraId="74E76F01" w14:textId="77777777" w:rsidR="007C75A0" w:rsidRPr="00F01347" w:rsidRDefault="007C75A0" w:rsidP="007C75A0">
            <w:pPr>
              <w:pStyle w:val="texto0"/>
              <w:spacing w:line="220" w:lineRule="exact"/>
              <w:ind w:firstLine="0"/>
              <w:rPr>
                <w:rFonts w:ascii="Verdana" w:hAnsi="Verdana"/>
                <w:sz w:val="16"/>
                <w:szCs w:val="16"/>
              </w:rPr>
            </w:pPr>
            <w:r w:rsidRPr="00F01347">
              <w:rPr>
                <w:rFonts w:ascii="Verdana" w:hAnsi="Verdana"/>
                <w:sz w:val="16"/>
                <w:szCs w:val="16"/>
              </w:rPr>
              <w:t>Restar la lectura de absorbancia de turbiedad de la lectura de absorbancia de sulfatos:</w:t>
            </w:r>
          </w:p>
        </w:tc>
        <w:tc>
          <w:tcPr>
            <w:tcW w:w="4675" w:type="dxa"/>
          </w:tcPr>
          <w:p w14:paraId="50B4E783" w14:textId="2D49E22B" w:rsidR="007C75A0" w:rsidRPr="00F01347" w:rsidRDefault="007C75A0" w:rsidP="007C75A0">
            <w:pPr>
              <w:pStyle w:val="texto0"/>
              <w:spacing w:line="220" w:lineRule="exact"/>
              <w:ind w:firstLine="0"/>
              <w:rPr>
                <w:rFonts w:ascii="Verdana" w:hAnsi="Verdana"/>
                <w:sz w:val="16"/>
                <w:szCs w:val="16"/>
                <w:lang w:val="en-US"/>
              </w:rPr>
            </w:pPr>
            <w:r w:rsidRPr="00F01347">
              <w:rPr>
                <w:rFonts w:ascii="Verdana" w:hAnsi="Verdana"/>
                <w:sz w:val="16"/>
                <w:szCs w:val="16"/>
                <w:lang w:val="en-US"/>
              </w:rPr>
              <w:t>Subtract the turbidity absorbance reading from the sulfate absorbance reading:</w:t>
            </w:r>
          </w:p>
        </w:tc>
      </w:tr>
    </w:tbl>
    <w:p w14:paraId="0BD30786" w14:textId="26B88431" w:rsidR="00A74CDF" w:rsidRPr="00F01347" w:rsidRDefault="00471638" w:rsidP="003A601B">
      <w:pPr>
        <w:pStyle w:val="texto0"/>
        <w:spacing w:line="240" w:lineRule="auto"/>
        <w:jc w:val="center"/>
        <w:rPr>
          <w:rFonts w:ascii="Verdana" w:hAnsi="Verdana"/>
          <w:sz w:val="16"/>
          <w:szCs w:val="16"/>
        </w:rPr>
      </w:pPr>
      <w:r w:rsidRPr="00F01347">
        <w:rPr>
          <w:rFonts w:ascii="Verdana" w:hAnsi="Verdana"/>
          <w:noProof/>
          <w:sz w:val="16"/>
          <w:szCs w:val="16"/>
        </w:rPr>
        <w:drawing>
          <wp:inline distT="0" distB="0" distL="0" distR="0" wp14:anchorId="768FDF9A" wp14:editId="65F4E848">
            <wp:extent cx="2428875" cy="266700"/>
            <wp:effectExtent l="0" t="0" r="0" b="0"/>
            <wp:docPr id="6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28875" cy="266700"/>
                    </a:xfrm>
                    <a:prstGeom prst="rect">
                      <a:avLst/>
                    </a:prstGeom>
                    <a:noFill/>
                    <a:ln>
                      <a:noFill/>
                    </a:ln>
                  </pic:spPr>
                </pic:pic>
              </a:graphicData>
            </a:graphic>
          </wp:inline>
        </w:drawing>
      </w:r>
      <w:r w:rsidR="006522E3" w:rsidRPr="00F01347">
        <w:rPr>
          <w:rFonts w:ascii="Verdana" w:hAnsi="Verdana"/>
          <w:sz w:val="16"/>
          <w:szCs w:val="16"/>
        </w:rPr>
        <w:t>’</w:t>
      </w:r>
    </w:p>
    <w:p w14:paraId="104A4561" w14:textId="3084DAB9" w:rsidR="00841C0F" w:rsidRPr="00F01347" w:rsidRDefault="00841C0F" w:rsidP="003A601B">
      <w:pPr>
        <w:pStyle w:val="texto0"/>
        <w:spacing w:line="240" w:lineRule="auto"/>
        <w:jc w:val="center"/>
        <w:rPr>
          <w:rFonts w:ascii="Verdana" w:hAnsi="Verdana"/>
          <w:sz w:val="16"/>
          <w:szCs w:val="16"/>
        </w:rPr>
      </w:pPr>
      <w:r w:rsidRPr="00F01347">
        <w:rPr>
          <w:noProof/>
        </w:rPr>
        <w:drawing>
          <wp:inline distT="0" distB="0" distL="0" distR="0" wp14:anchorId="73C7C5B8" wp14:editId="0B7E3F25">
            <wp:extent cx="2583721" cy="431800"/>
            <wp:effectExtent l="0" t="0" r="7620" b="6350"/>
            <wp:docPr id="168504570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45700" name="Picture 1" descr="A screenshot of a computer&#10;&#10;Description automatically generated"/>
                    <pic:cNvPicPr>
                      <a:picLocks noChangeAspect="1"/>
                    </pic:cNvPicPr>
                  </pic:nvPicPr>
                  <pic:blipFill rotWithShape="1">
                    <a:blip r:embed="rId88"/>
                    <a:srcRect l="33473" t="48402" r="43119" b="44634"/>
                    <a:stretch/>
                  </pic:blipFill>
                  <pic:spPr bwMode="auto">
                    <a:xfrm>
                      <a:off x="0" y="0"/>
                      <a:ext cx="2590134" cy="43287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5757A" w:rsidRPr="00F01347" w14:paraId="440B7135" w14:textId="52BF3F87" w:rsidTr="00E57B9F">
        <w:tc>
          <w:tcPr>
            <w:tcW w:w="4675" w:type="dxa"/>
          </w:tcPr>
          <w:p w14:paraId="529BF4CE" w14:textId="77777777" w:rsidR="0055757A" w:rsidRPr="00F01347" w:rsidRDefault="0055757A" w:rsidP="006E1676">
            <w:pPr>
              <w:pStyle w:val="texto0"/>
              <w:ind w:firstLine="0"/>
              <w:rPr>
                <w:rFonts w:ascii="Verdana" w:hAnsi="Verdana"/>
                <w:b/>
                <w:sz w:val="16"/>
                <w:szCs w:val="16"/>
              </w:rPr>
            </w:pPr>
            <w:r w:rsidRPr="00F01347">
              <w:rPr>
                <w:rFonts w:ascii="Verdana" w:hAnsi="Verdana"/>
                <w:b/>
                <w:bCs/>
                <w:sz w:val="16"/>
                <w:szCs w:val="16"/>
              </w:rPr>
              <w:t>B.11.1.5.4 Análisis de datos y cálculos</w:t>
            </w:r>
          </w:p>
        </w:tc>
        <w:tc>
          <w:tcPr>
            <w:tcW w:w="4675" w:type="dxa"/>
          </w:tcPr>
          <w:p w14:paraId="0DF4F9D5" w14:textId="574C01C8" w:rsidR="0055757A" w:rsidRPr="00F01347" w:rsidRDefault="00304FD5" w:rsidP="006E1676">
            <w:pPr>
              <w:pStyle w:val="texto0"/>
              <w:ind w:firstLine="0"/>
              <w:rPr>
                <w:rFonts w:ascii="Verdana" w:hAnsi="Verdana"/>
                <w:b/>
                <w:bCs/>
                <w:sz w:val="16"/>
                <w:szCs w:val="16"/>
                <w:lang w:val="en-US"/>
              </w:rPr>
            </w:pPr>
            <w:r w:rsidRPr="00F01347">
              <w:rPr>
                <w:rFonts w:ascii="Verdana" w:hAnsi="Verdana"/>
                <w:b/>
                <w:bCs/>
                <w:sz w:val="16"/>
                <w:szCs w:val="16"/>
                <w:lang w:val="en-US"/>
              </w:rPr>
              <w:t>B.11.1.5.4 Data analysis and calculations</w:t>
            </w:r>
          </w:p>
        </w:tc>
      </w:tr>
      <w:tr w:rsidR="0055757A" w:rsidRPr="00F01347" w14:paraId="339C5FC0" w14:textId="3AA4C849" w:rsidTr="00E57B9F">
        <w:tc>
          <w:tcPr>
            <w:tcW w:w="4675" w:type="dxa"/>
          </w:tcPr>
          <w:p w14:paraId="0602C717" w14:textId="77777777" w:rsidR="0055757A" w:rsidRPr="00F01347" w:rsidRDefault="0055757A" w:rsidP="006E1676">
            <w:pPr>
              <w:pStyle w:val="texto0"/>
              <w:ind w:firstLine="0"/>
              <w:rPr>
                <w:rFonts w:ascii="Verdana" w:hAnsi="Verdana"/>
                <w:sz w:val="16"/>
                <w:szCs w:val="16"/>
              </w:rPr>
            </w:pPr>
            <w:r w:rsidRPr="00F01347">
              <w:rPr>
                <w:rFonts w:ascii="Verdana" w:hAnsi="Verdana"/>
                <w:sz w:val="16"/>
                <w:szCs w:val="16"/>
              </w:rPr>
              <w:t>Obtener la diferencia de las absorbancias obtenidas anteriormente, ajustar datos por mínimos cuadrados y obtener la ecuación:</w:t>
            </w:r>
          </w:p>
        </w:tc>
        <w:tc>
          <w:tcPr>
            <w:tcW w:w="4675" w:type="dxa"/>
          </w:tcPr>
          <w:p w14:paraId="5EA47BCC" w14:textId="155A8FFA" w:rsidR="0055757A" w:rsidRPr="00F01347" w:rsidRDefault="00304FD5" w:rsidP="006E1676">
            <w:pPr>
              <w:pStyle w:val="texto0"/>
              <w:ind w:firstLine="0"/>
              <w:rPr>
                <w:rFonts w:ascii="Verdana" w:hAnsi="Verdana"/>
                <w:sz w:val="16"/>
                <w:szCs w:val="16"/>
                <w:lang w:val="en-US"/>
              </w:rPr>
            </w:pPr>
            <w:r w:rsidRPr="00F01347">
              <w:rPr>
                <w:rFonts w:ascii="Verdana" w:hAnsi="Verdana"/>
                <w:sz w:val="16"/>
                <w:szCs w:val="16"/>
                <w:lang w:val="en-US"/>
              </w:rPr>
              <w:t>Obtain the difference of the absorbances obtained previously, adjust data by least squares and obtain the equation:</w:t>
            </w:r>
          </w:p>
        </w:tc>
      </w:tr>
    </w:tbl>
    <w:p w14:paraId="3BE1A9B9" w14:textId="096AEBB8" w:rsidR="00A74CDF" w:rsidRPr="00F01347" w:rsidRDefault="00471638" w:rsidP="003A601B">
      <w:pPr>
        <w:pStyle w:val="texto0"/>
        <w:spacing w:line="240" w:lineRule="auto"/>
        <w:ind w:firstLine="0"/>
        <w:jc w:val="center"/>
        <w:rPr>
          <w:rFonts w:ascii="Verdana" w:hAnsi="Verdana"/>
          <w:sz w:val="16"/>
          <w:szCs w:val="16"/>
        </w:rPr>
      </w:pPr>
      <w:r w:rsidRPr="00F01347">
        <w:rPr>
          <w:rFonts w:ascii="Verdana" w:hAnsi="Verdana"/>
          <w:noProof/>
          <w:sz w:val="16"/>
          <w:szCs w:val="16"/>
        </w:rPr>
        <w:drawing>
          <wp:inline distT="0" distB="0" distL="0" distR="0" wp14:anchorId="088212F5" wp14:editId="11A887B5">
            <wp:extent cx="1743075" cy="352425"/>
            <wp:effectExtent l="0" t="0" r="0" b="0"/>
            <wp:docPr id="6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43075" cy="352425"/>
                    </a:xfrm>
                    <a:prstGeom prst="rect">
                      <a:avLst/>
                    </a:prstGeom>
                    <a:noFill/>
                    <a:ln>
                      <a:noFill/>
                    </a:ln>
                  </pic:spPr>
                </pic:pic>
              </a:graphicData>
            </a:graphic>
          </wp:inline>
        </w:drawing>
      </w:r>
    </w:p>
    <w:p w14:paraId="0D79AEAB" w14:textId="159DFF53" w:rsidR="00FF00C8" w:rsidRPr="00F01347" w:rsidRDefault="00FF00C8" w:rsidP="003A601B">
      <w:pPr>
        <w:pStyle w:val="texto0"/>
        <w:spacing w:line="240" w:lineRule="auto"/>
        <w:ind w:firstLine="0"/>
        <w:jc w:val="center"/>
        <w:rPr>
          <w:rFonts w:ascii="Verdana" w:hAnsi="Verdana"/>
          <w:sz w:val="16"/>
          <w:szCs w:val="16"/>
        </w:rPr>
      </w:pPr>
      <w:r w:rsidRPr="00F01347">
        <w:rPr>
          <w:noProof/>
        </w:rPr>
        <w:drawing>
          <wp:inline distT="0" distB="0" distL="0" distR="0" wp14:anchorId="6958D816" wp14:editId="1066A208">
            <wp:extent cx="1888055" cy="476597"/>
            <wp:effectExtent l="0" t="0" r="0" b="0"/>
            <wp:docPr id="2166181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18162" name="Picture 1" descr="A screenshot of a computer&#10;&#10;Description automatically generated"/>
                    <pic:cNvPicPr/>
                  </pic:nvPicPr>
                  <pic:blipFill rotWithShape="1">
                    <a:blip r:embed="rId90"/>
                    <a:srcRect l="23870" t="48734" r="56920" b="42645"/>
                    <a:stretch/>
                  </pic:blipFill>
                  <pic:spPr bwMode="auto">
                    <a:xfrm>
                      <a:off x="0" y="0"/>
                      <a:ext cx="1906569" cy="48127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04FD5" w:rsidRPr="00F01347" w14:paraId="2B1B3D6E" w14:textId="429BD1A9" w:rsidTr="00FF00C8">
        <w:tc>
          <w:tcPr>
            <w:tcW w:w="4675" w:type="dxa"/>
          </w:tcPr>
          <w:p w14:paraId="65488B77" w14:textId="77777777" w:rsidR="00304FD5" w:rsidRPr="00F01347" w:rsidRDefault="00304FD5" w:rsidP="00304FD5">
            <w:pPr>
              <w:pStyle w:val="texto0"/>
              <w:ind w:firstLine="0"/>
              <w:rPr>
                <w:rFonts w:ascii="Verdana" w:hAnsi="Verdana"/>
                <w:b/>
                <w:bCs/>
                <w:sz w:val="16"/>
                <w:szCs w:val="16"/>
              </w:rPr>
            </w:pPr>
            <w:r w:rsidRPr="00F01347">
              <w:rPr>
                <w:rFonts w:ascii="Verdana" w:hAnsi="Verdana"/>
                <w:b/>
                <w:bCs/>
                <w:sz w:val="16"/>
                <w:szCs w:val="16"/>
              </w:rPr>
              <w:t>Dónde:</w:t>
            </w:r>
          </w:p>
        </w:tc>
        <w:tc>
          <w:tcPr>
            <w:tcW w:w="4675" w:type="dxa"/>
          </w:tcPr>
          <w:p w14:paraId="6EC7058D" w14:textId="70881871" w:rsidR="00304FD5" w:rsidRPr="00F01347" w:rsidRDefault="00304FD5" w:rsidP="00304FD5">
            <w:pPr>
              <w:pStyle w:val="texto0"/>
              <w:ind w:firstLine="0"/>
              <w:rPr>
                <w:rFonts w:ascii="Verdana" w:hAnsi="Verdana"/>
                <w:b/>
                <w:bCs/>
                <w:sz w:val="16"/>
                <w:szCs w:val="16"/>
              </w:rPr>
            </w:pPr>
            <w:proofErr w:type="spellStart"/>
            <w:r w:rsidRPr="00F01347">
              <w:rPr>
                <w:rFonts w:ascii="Verdana" w:hAnsi="Verdana"/>
                <w:b/>
                <w:bCs/>
                <w:sz w:val="16"/>
                <w:szCs w:val="16"/>
              </w:rPr>
              <w:t>Where</w:t>
            </w:r>
            <w:proofErr w:type="spellEnd"/>
            <w:r w:rsidRPr="00F01347">
              <w:rPr>
                <w:rFonts w:ascii="Verdana" w:hAnsi="Verdana"/>
                <w:b/>
                <w:bCs/>
                <w:sz w:val="16"/>
                <w:szCs w:val="16"/>
              </w:rPr>
              <w:t>:</w:t>
            </w:r>
          </w:p>
        </w:tc>
      </w:tr>
      <w:tr w:rsidR="00304FD5" w:rsidRPr="00F01347" w14:paraId="46FFCE98" w14:textId="6DC2E68C" w:rsidTr="00FF00C8">
        <w:tc>
          <w:tcPr>
            <w:tcW w:w="4675" w:type="dxa"/>
          </w:tcPr>
          <w:p w14:paraId="4F107FB3" w14:textId="77777777" w:rsidR="00304FD5" w:rsidRPr="00F01347" w:rsidRDefault="00304FD5" w:rsidP="00304FD5">
            <w:pPr>
              <w:pStyle w:val="texto0"/>
              <w:ind w:firstLine="0"/>
              <w:rPr>
                <w:rFonts w:ascii="Verdana" w:hAnsi="Verdana"/>
                <w:sz w:val="16"/>
                <w:szCs w:val="16"/>
              </w:rPr>
            </w:pPr>
            <w:r w:rsidRPr="00F01347">
              <w:rPr>
                <w:rFonts w:ascii="Verdana" w:hAnsi="Verdana"/>
                <w:noProof/>
                <w:position w:val="-6"/>
                <w:sz w:val="16"/>
                <w:szCs w:val="16"/>
              </w:rPr>
              <w:drawing>
                <wp:inline distT="0" distB="0" distL="0" distR="0" wp14:anchorId="1F0740ED" wp14:editId="74528C7A">
                  <wp:extent cx="400050" cy="152400"/>
                  <wp:effectExtent l="0" t="0" r="0" b="0"/>
                  <wp:docPr id="6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0050" cy="152400"/>
                          </a:xfrm>
                          <a:prstGeom prst="rect">
                            <a:avLst/>
                          </a:prstGeom>
                          <a:noFill/>
                          <a:ln>
                            <a:noFill/>
                          </a:ln>
                        </pic:spPr>
                      </pic:pic>
                    </a:graphicData>
                  </a:graphic>
                </wp:inline>
              </w:drawing>
            </w:r>
            <w:r w:rsidRPr="00F01347">
              <w:rPr>
                <w:rFonts w:ascii="Verdana" w:hAnsi="Verdana"/>
                <w:sz w:val="16"/>
                <w:szCs w:val="16"/>
              </w:rPr>
              <w:t xml:space="preserve"> </w:t>
            </w:r>
            <w:r w:rsidRPr="00F01347">
              <w:rPr>
                <w:rFonts w:ascii="Verdana" w:hAnsi="Verdana"/>
                <w:sz w:val="16"/>
                <w:szCs w:val="16"/>
              </w:rPr>
              <w:tab/>
              <w:t>Son las constantes obtenidas con el ajuste de mínimos cuadrados para la curva de calibración.</w:t>
            </w:r>
          </w:p>
        </w:tc>
        <w:tc>
          <w:tcPr>
            <w:tcW w:w="4675" w:type="dxa"/>
          </w:tcPr>
          <w:p w14:paraId="69137F9E" w14:textId="31F30328" w:rsidR="00304FD5" w:rsidRPr="00F01347" w:rsidRDefault="00765432" w:rsidP="00304FD5">
            <w:pPr>
              <w:pStyle w:val="texto0"/>
              <w:ind w:firstLine="0"/>
              <w:rPr>
                <w:rFonts w:ascii="Verdana" w:hAnsi="Verdana"/>
                <w:noProof/>
                <w:position w:val="-6"/>
                <w:sz w:val="16"/>
                <w:szCs w:val="16"/>
                <w:lang w:val="en-US"/>
              </w:rPr>
            </w:pPr>
            <w:r w:rsidRPr="00F01347">
              <w:rPr>
                <w:rFonts w:ascii="Verdana" w:hAnsi="Verdana"/>
                <w:i/>
                <w:iCs/>
                <w:sz w:val="16"/>
                <w:szCs w:val="16"/>
                <w:lang w:val="en-US"/>
              </w:rPr>
              <w:t>m and b A</w:t>
            </w:r>
            <w:r w:rsidR="00304FD5" w:rsidRPr="00F01347">
              <w:rPr>
                <w:rFonts w:ascii="Verdana" w:hAnsi="Verdana"/>
                <w:sz w:val="16"/>
                <w:szCs w:val="16"/>
                <w:lang w:val="en-US"/>
              </w:rPr>
              <w:t xml:space="preserve">re the constants obtained with the </w:t>
            </w:r>
            <w:r w:rsidR="009E4DA8" w:rsidRPr="00F01347">
              <w:rPr>
                <w:rFonts w:ascii="Verdana" w:hAnsi="Verdana"/>
                <w:sz w:val="16"/>
                <w:szCs w:val="16"/>
                <w:lang w:val="en-US"/>
              </w:rPr>
              <w:t>minimum adjustment of</w:t>
            </w:r>
            <w:r w:rsidR="00304FD5" w:rsidRPr="00F01347">
              <w:rPr>
                <w:rFonts w:ascii="Verdana" w:hAnsi="Verdana"/>
                <w:sz w:val="16"/>
                <w:szCs w:val="16"/>
                <w:lang w:val="en-US"/>
              </w:rPr>
              <w:t xml:space="preserve"> squares for the calibration curve.</w:t>
            </w:r>
          </w:p>
        </w:tc>
      </w:tr>
      <w:tr w:rsidR="00304FD5" w:rsidRPr="00F01347" w14:paraId="0B1AA00A" w14:textId="2D8A5942" w:rsidTr="00FF00C8">
        <w:tc>
          <w:tcPr>
            <w:tcW w:w="4675" w:type="dxa"/>
          </w:tcPr>
          <w:p w14:paraId="5EA56B84" w14:textId="77777777" w:rsidR="00304FD5" w:rsidRPr="00F01347" w:rsidRDefault="00304FD5" w:rsidP="00304FD5">
            <w:pPr>
              <w:pStyle w:val="texto0"/>
              <w:ind w:firstLine="0"/>
              <w:rPr>
                <w:rFonts w:ascii="Verdana" w:hAnsi="Verdana"/>
                <w:sz w:val="16"/>
                <w:szCs w:val="16"/>
              </w:rPr>
            </w:pPr>
            <w:r w:rsidRPr="00F01347">
              <w:rPr>
                <w:rFonts w:ascii="Verdana" w:hAnsi="Verdana"/>
                <w:noProof/>
                <w:position w:val="-10"/>
                <w:sz w:val="16"/>
                <w:szCs w:val="16"/>
              </w:rPr>
              <w:drawing>
                <wp:inline distT="0" distB="0" distL="0" distR="0" wp14:anchorId="1DE40FFF" wp14:editId="51465DDC">
                  <wp:extent cx="371475" cy="171450"/>
                  <wp:effectExtent l="0" t="0" r="0" b="0"/>
                  <wp:docPr id="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r w:rsidRPr="00F01347">
              <w:rPr>
                <w:rFonts w:ascii="Verdana" w:hAnsi="Verdana"/>
                <w:sz w:val="16"/>
                <w:szCs w:val="16"/>
              </w:rPr>
              <w:t>:</w:t>
            </w:r>
            <w:r w:rsidRPr="00F01347">
              <w:rPr>
                <w:rFonts w:ascii="Verdana" w:hAnsi="Verdana"/>
                <w:sz w:val="16"/>
                <w:szCs w:val="16"/>
              </w:rPr>
              <w:tab/>
              <w:t>Es la diferencia de absorbancias obtenidas.</w:t>
            </w:r>
          </w:p>
        </w:tc>
        <w:tc>
          <w:tcPr>
            <w:tcW w:w="4675" w:type="dxa"/>
          </w:tcPr>
          <w:p w14:paraId="2F8EF479" w14:textId="3C303D82" w:rsidR="00304FD5" w:rsidRPr="00F01347" w:rsidRDefault="00304FD5" w:rsidP="00304FD5">
            <w:pPr>
              <w:pStyle w:val="texto0"/>
              <w:ind w:firstLine="0"/>
              <w:rPr>
                <w:rFonts w:ascii="Verdana" w:hAnsi="Verdana"/>
                <w:noProof/>
                <w:position w:val="-10"/>
                <w:sz w:val="16"/>
                <w:szCs w:val="16"/>
                <w:lang w:val="en-US"/>
              </w:rPr>
            </w:pPr>
            <w:r w:rsidRPr="00F01347">
              <w:rPr>
                <w:rFonts w:ascii="Verdana" w:hAnsi="Verdana"/>
                <w:noProof/>
                <w:position w:val="-10"/>
                <w:sz w:val="16"/>
                <w:szCs w:val="16"/>
              </w:rPr>
              <w:drawing>
                <wp:inline distT="0" distB="0" distL="0" distR="0" wp14:anchorId="71811851" wp14:editId="008EDC88">
                  <wp:extent cx="371475" cy="171450"/>
                  <wp:effectExtent l="0" t="0" r="0" b="0"/>
                  <wp:docPr id="380230561" name="Picture 38023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r w:rsidRPr="00F01347">
              <w:rPr>
                <w:rFonts w:ascii="Verdana" w:hAnsi="Verdana"/>
                <w:sz w:val="16"/>
                <w:szCs w:val="16"/>
                <w:lang w:val="en-US"/>
              </w:rPr>
              <w:t xml:space="preserve">: </w:t>
            </w:r>
            <w:r w:rsidR="009E4DA8" w:rsidRPr="00F01347">
              <w:rPr>
                <w:rFonts w:ascii="Verdana" w:hAnsi="Verdana"/>
                <w:sz w:val="16"/>
                <w:szCs w:val="16"/>
                <w:lang w:val="en-US"/>
              </w:rPr>
              <w:t>Is</w:t>
            </w:r>
            <w:r w:rsidRPr="00F01347">
              <w:rPr>
                <w:rFonts w:ascii="Verdana" w:hAnsi="Verdana"/>
                <w:sz w:val="16"/>
                <w:szCs w:val="16"/>
                <w:lang w:val="en-US"/>
              </w:rPr>
              <w:t xml:space="preserve"> the difference in absorbances obtained.</w:t>
            </w:r>
          </w:p>
        </w:tc>
      </w:tr>
      <w:tr w:rsidR="00304FD5" w:rsidRPr="00F01347" w14:paraId="4DE107AB" w14:textId="2133FF90" w:rsidTr="00FF00C8">
        <w:tc>
          <w:tcPr>
            <w:tcW w:w="4675" w:type="dxa"/>
          </w:tcPr>
          <w:p w14:paraId="177A677E" w14:textId="77777777" w:rsidR="00304FD5" w:rsidRPr="00F01347" w:rsidRDefault="00304FD5" w:rsidP="00304FD5">
            <w:pPr>
              <w:pStyle w:val="texto0"/>
              <w:ind w:firstLine="0"/>
              <w:rPr>
                <w:rFonts w:ascii="Verdana" w:hAnsi="Verdana"/>
                <w:sz w:val="16"/>
                <w:szCs w:val="16"/>
              </w:rPr>
            </w:pPr>
            <w:r w:rsidRPr="00F01347">
              <w:rPr>
                <w:rFonts w:ascii="Verdana" w:hAnsi="Verdana"/>
                <w:sz w:val="16"/>
                <w:szCs w:val="16"/>
              </w:rPr>
              <w:t>Calcular el contenido de sulfatos en la muestra y su duplicado y en la muestra fortificada utilizando la ecuación anterior.</w:t>
            </w:r>
          </w:p>
        </w:tc>
        <w:tc>
          <w:tcPr>
            <w:tcW w:w="4675" w:type="dxa"/>
          </w:tcPr>
          <w:p w14:paraId="62E009F5" w14:textId="03AF0B3A" w:rsidR="00304FD5" w:rsidRPr="00F01347" w:rsidRDefault="00304FD5" w:rsidP="00304FD5">
            <w:pPr>
              <w:pStyle w:val="texto0"/>
              <w:ind w:firstLine="0"/>
              <w:rPr>
                <w:rFonts w:ascii="Verdana" w:hAnsi="Verdana"/>
                <w:sz w:val="16"/>
                <w:szCs w:val="16"/>
                <w:lang w:val="en-US"/>
              </w:rPr>
            </w:pPr>
            <w:r w:rsidRPr="00F01347">
              <w:rPr>
                <w:rFonts w:ascii="Verdana" w:hAnsi="Verdana"/>
                <w:sz w:val="16"/>
                <w:szCs w:val="16"/>
                <w:lang w:val="en-US"/>
              </w:rPr>
              <w:t>Calculate the sulfate content in the sample and its duplicate and in the fortified sample using the above equation.</w:t>
            </w:r>
          </w:p>
        </w:tc>
      </w:tr>
      <w:tr w:rsidR="00304FD5" w:rsidRPr="00F01347" w14:paraId="2DA7F24D" w14:textId="0C7AF5E6" w:rsidTr="00FF00C8">
        <w:tc>
          <w:tcPr>
            <w:tcW w:w="4675" w:type="dxa"/>
          </w:tcPr>
          <w:p w14:paraId="4CEFFC1E" w14:textId="77777777" w:rsidR="00304FD5" w:rsidRPr="00F01347" w:rsidRDefault="00304FD5" w:rsidP="00304FD5">
            <w:pPr>
              <w:pStyle w:val="texto0"/>
              <w:ind w:firstLine="0"/>
              <w:rPr>
                <w:rFonts w:ascii="Verdana" w:hAnsi="Verdana"/>
                <w:sz w:val="16"/>
                <w:szCs w:val="16"/>
              </w:rPr>
            </w:pPr>
            <w:r w:rsidRPr="00F01347">
              <w:rPr>
                <w:rFonts w:ascii="Verdana" w:hAnsi="Verdana"/>
                <w:sz w:val="16"/>
                <w:szCs w:val="16"/>
              </w:rPr>
              <w:t>Calcular el % de recobro obtenido en la muestra fortificada con la siguiente ecuación:</w:t>
            </w:r>
          </w:p>
        </w:tc>
        <w:tc>
          <w:tcPr>
            <w:tcW w:w="4675" w:type="dxa"/>
          </w:tcPr>
          <w:p w14:paraId="64383D1D" w14:textId="6D4E5DED" w:rsidR="00304FD5" w:rsidRPr="00F01347" w:rsidRDefault="00304FD5" w:rsidP="00304FD5">
            <w:pPr>
              <w:pStyle w:val="texto0"/>
              <w:ind w:firstLine="0"/>
              <w:rPr>
                <w:rFonts w:ascii="Verdana" w:hAnsi="Verdana"/>
                <w:sz w:val="16"/>
                <w:szCs w:val="16"/>
                <w:lang w:val="en-US"/>
              </w:rPr>
            </w:pPr>
            <w:r w:rsidRPr="00F01347">
              <w:rPr>
                <w:rFonts w:ascii="Verdana" w:hAnsi="Verdana"/>
                <w:sz w:val="16"/>
                <w:szCs w:val="16"/>
                <w:lang w:val="en-US"/>
              </w:rPr>
              <w:t>Calculate the % recovery obtained in the fortified sample with the following equation:</w:t>
            </w:r>
          </w:p>
        </w:tc>
      </w:tr>
    </w:tbl>
    <w:p w14:paraId="00A41F84" w14:textId="27B61058" w:rsidR="00A74CDF" w:rsidRPr="00F01347" w:rsidRDefault="00471638" w:rsidP="003A601B">
      <w:pPr>
        <w:pStyle w:val="texto0"/>
        <w:spacing w:line="240" w:lineRule="auto"/>
        <w:ind w:firstLine="0"/>
        <w:jc w:val="center"/>
        <w:rPr>
          <w:rFonts w:ascii="Verdana" w:hAnsi="Verdana"/>
          <w:sz w:val="16"/>
          <w:szCs w:val="16"/>
        </w:rPr>
      </w:pPr>
      <w:r w:rsidRPr="00F01347">
        <w:rPr>
          <w:rFonts w:ascii="Verdana" w:hAnsi="Verdana"/>
          <w:noProof/>
          <w:sz w:val="16"/>
          <w:szCs w:val="16"/>
        </w:rPr>
        <w:drawing>
          <wp:inline distT="0" distB="0" distL="0" distR="0" wp14:anchorId="34B43DE1" wp14:editId="0BFB3027">
            <wp:extent cx="4191000" cy="276225"/>
            <wp:effectExtent l="0" t="0" r="0" b="0"/>
            <wp:docPr id="6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191000" cy="276225"/>
                    </a:xfrm>
                    <a:prstGeom prst="rect">
                      <a:avLst/>
                    </a:prstGeom>
                    <a:noFill/>
                    <a:ln>
                      <a:noFill/>
                    </a:ln>
                  </pic:spPr>
                </pic:pic>
              </a:graphicData>
            </a:graphic>
          </wp:inline>
        </w:drawing>
      </w:r>
    </w:p>
    <w:p w14:paraId="3359BA3C" w14:textId="0E9DC308" w:rsidR="00A74CDF" w:rsidRPr="00F01347" w:rsidRDefault="007A07D8" w:rsidP="003A601B">
      <w:pPr>
        <w:pStyle w:val="texto0"/>
        <w:rPr>
          <w:noProof/>
        </w:rPr>
      </w:pPr>
      <w:r w:rsidRPr="00F01347">
        <w:rPr>
          <w:noProof/>
        </w:rPr>
        <w:drawing>
          <wp:anchor distT="0" distB="0" distL="114300" distR="114300" simplePos="0" relativeHeight="251660288" behindDoc="0" locked="0" layoutInCell="1" allowOverlap="1" wp14:anchorId="6C2E0F9F" wp14:editId="5DB0C927">
            <wp:simplePos x="0" y="0"/>
            <wp:positionH relativeFrom="column">
              <wp:posOffset>690880</wp:posOffset>
            </wp:positionH>
            <wp:positionV relativeFrom="paragraph">
              <wp:posOffset>45085</wp:posOffset>
            </wp:positionV>
            <wp:extent cx="4672330" cy="511175"/>
            <wp:effectExtent l="0" t="0" r="0" b="3175"/>
            <wp:wrapNone/>
            <wp:docPr id="1869277067" name="Picture 186927706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59867" name="Picture 1" descr="A screenshot of a computer&#10;&#10;Description automatically generated"/>
                    <pic:cNvPicPr/>
                  </pic:nvPicPr>
                  <pic:blipFill rotWithShape="1">
                    <a:blip r:embed="rId94">
                      <a:extLst>
                        <a:ext uri="{28A0092B-C50C-407E-A947-70E740481C1C}">
                          <a14:useLocalDpi xmlns:a14="http://schemas.microsoft.com/office/drawing/2010/main" val="0"/>
                        </a:ext>
                      </a:extLst>
                    </a:blip>
                    <a:srcRect l="23683" t="44423" r="35450" b="47620"/>
                    <a:stretch/>
                  </pic:blipFill>
                  <pic:spPr bwMode="auto">
                    <a:xfrm>
                      <a:off x="0" y="0"/>
                      <a:ext cx="4672330" cy="51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7CC610" w14:textId="58BC3FC6" w:rsidR="00665CA3" w:rsidRPr="00F01347" w:rsidRDefault="00665CA3" w:rsidP="003A601B">
      <w:pPr>
        <w:pStyle w:val="texto0"/>
        <w:rPr>
          <w:b/>
          <w:bCs/>
          <w:noProof/>
        </w:rPr>
      </w:pPr>
      <w:r w:rsidRPr="00F01347">
        <w:rPr>
          <w:noProof/>
        </w:rPr>
        <w:drawing>
          <wp:inline distT="0" distB="0" distL="0" distR="0" wp14:anchorId="4253FC94" wp14:editId="4F96FBE1">
            <wp:extent cx="2428875" cy="265430"/>
            <wp:effectExtent l="0" t="0" r="9525" b="1270"/>
            <wp:docPr id="3476598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59867" name="Picture 1" descr="A screenshot of a computer&#10;&#10;Description automatically generated"/>
                    <pic:cNvPicPr>
                      <a:picLocks noChangeAspect="1"/>
                    </pic:cNvPicPr>
                  </pic:nvPicPr>
                  <pic:blipFill rotWithShape="1">
                    <a:blip r:embed="rId94"/>
                    <a:srcRect l="23683" t="44423" r="35450" b="47620"/>
                    <a:stretch/>
                  </pic:blipFill>
                  <pic:spPr bwMode="auto">
                    <a:xfrm>
                      <a:off x="0" y="0"/>
                      <a:ext cx="2428875" cy="265430"/>
                    </a:xfrm>
                    <a:prstGeom prst="rect">
                      <a:avLst/>
                    </a:prstGeom>
                    <a:ln>
                      <a:noFill/>
                    </a:ln>
                    <a:extLst>
                      <a:ext uri="{53640926-AAD7-44D8-BBD7-CCE9431645EC}">
                        <a14:shadowObscured xmlns:a14="http://schemas.microsoft.com/office/drawing/2010/main"/>
                      </a:ext>
                    </a:extLst>
                  </pic:spPr>
                </pic:pic>
              </a:graphicData>
            </a:graphic>
          </wp:inline>
        </w:drawing>
      </w:r>
    </w:p>
    <w:p w14:paraId="5AC63831" w14:textId="77777777" w:rsidR="00665CA3" w:rsidRPr="00F01347" w:rsidRDefault="00665CA3" w:rsidP="003A601B">
      <w:pPr>
        <w:pStyle w:val="texto0"/>
        <w:rPr>
          <w:rFonts w:ascii="Verdana" w:hAnsi="Verdana"/>
          <w:b/>
          <w:bCs/>
          <w:sz w:val="16"/>
          <w:szCs w:val="16"/>
        </w:rPr>
      </w:pPr>
    </w:p>
    <w:p w14:paraId="661EE41B" w14:textId="77777777" w:rsidR="007A07D8" w:rsidRPr="00F01347" w:rsidRDefault="007A07D8" w:rsidP="003A601B">
      <w:pPr>
        <w:pStyle w:val="texto0"/>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9130F" w:rsidRPr="00F01347" w14:paraId="637ABDD1" w14:textId="79F4D971" w:rsidTr="00E57B9F">
        <w:tc>
          <w:tcPr>
            <w:tcW w:w="4675" w:type="dxa"/>
          </w:tcPr>
          <w:p w14:paraId="0A57C059" w14:textId="77777777" w:rsidR="0009130F" w:rsidRPr="00F01347" w:rsidRDefault="0009130F" w:rsidP="0009130F">
            <w:pPr>
              <w:pStyle w:val="texto0"/>
              <w:ind w:firstLine="0"/>
              <w:rPr>
                <w:rFonts w:ascii="Verdana" w:hAnsi="Verdana"/>
                <w:b/>
                <w:sz w:val="16"/>
                <w:szCs w:val="16"/>
              </w:rPr>
            </w:pPr>
            <w:r w:rsidRPr="00F01347">
              <w:rPr>
                <w:rFonts w:ascii="Verdana" w:hAnsi="Verdana"/>
                <w:b/>
                <w:bCs/>
                <w:sz w:val="16"/>
                <w:szCs w:val="16"/>
              </w:rPr>
              <w:t>B.11.1.5.5 Informe de prueba</w:t>
            </w:r>
          </w:p>
        </w:tc>
        <w:tc>
          <w:tcPr>
            <w:tcW w:w="4675" w:type="dxa"/>
          </w:tcPr>
          <w:p w14:paraId="4146BC76" w14:textId="040F612C" w:rsidR="0009130F" w:rsidRPr="00F01347" w:rsidRDefault="0009130F" w:rsidP="0009130F">
            <w:pPr>
              <w:pStyle w:val="texto0"/>
              <w:ind w:firstLine="0"/>
              <w:rPr>
                <w:rFonts w:ascii="Verdana" w:hAnsi="Verdana"/>
                <w:b/>
                <w:bCs/>
                <w:sz w:val="16"/>
                <w:szCs w:val="16"/>
                <w:lang w:val="en-US"/>
              </w:rPr>
            </w:pPr>
            <w:r w:rsidRPr="00F01347">
              <w:rPr>
                <w:rFonts w:ascii="Verdana" w:hAnsi="Verdana"/>
                <w:b/>
                <w:bCs/>
                <w:sz w:val="16"/>
                <w:szCs w:val="16"/>
                <w:lang w:val="en-US"/>
              </w:rPr>
              <w:t>B.11.1.5.5 Test report</w:t>
            </w:r>
          </w:p>
        </w:tc>
      </w:tr>
      <w:tr w:rsidR="0009130F" w:rsidRPr="00F01347" w14:paraId="48A9A4E5" w14:textId="4ABAADAC" w:rsidTr="00E57B9F">
        <w:tc>
          <w:tcPr>
            <w:tcW w:w="4675" w:type="dxa"/>
          </w:tcPr>
          <w:p w14:paraId="76D0F08F" w14:textId="77777777" w:rsidR="0009130F" w:rsidRPr="00F01347" w:rsidRDefault="0009130F" w:rsidP="0009130F">
            <w:pPr>
              <w:pStyle w:val="texto0"/>
              <w:spacing w:line="240" w:lineRule="auto"/>
              <w:ind w:firstLine="0"/>
              <w:rPr>
                <w:rFonts w:ascii="Verdana" w:hAnsi="Verdana"/>
                <w:sz w:val="16"/>
                <w:szCs w:val="16"/>
              </w:rPr>
            </w:pPr>
            <w:r w:rsidRPr="00F01347">
              <w:rPr>
                <w:rFonts w:ascii="Verdana" w:hAnsi="Verdana"/>
                <w:sz w:val="16"/>
                <w:szCs w:val="16"/>
              </w:rPr>
              <w:t xml:space="preserve">Reportar el resultado promedio obtenido en mg </w:t>
            </w:r>
            <w:r w:rsidRPr="00F01347">
              <w:rPr>
                <w:rFonts w:ascii="Verdana" w:hAnsi="Verdana"/>
                <w:noProof/>
                <w:position w:val="-4"/>
                <w:sz w:val="16"/>
                <w:szCs w:val="16"/>
              </w:rPr>
              <w:drawing>
                <wp:inline distT="0" distB="0" distL="0" distR="0" wp14:anchorId="1A957820" wp14:editId="732E33CC">
                  <wp:extent cx="409575" cy="142875"/>
                  <wp:effectExtent l="0" t="0" r="0" b="0"/>
                  <wp:docPr id="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09575" cy="142875"/>
                          </a:xfrm>
                          <a:prstGeom prst="rect">
                            <a:avLst/>
                          </a:prstGeom>
                          <a:noFill/>
                          <a:ln>
                            <a:noFill/>
                          </a:ln>
                        </pic:spPr>
                      </pic:pic>
                    </a:graphicData>
                  </a:graphic>
                </wp:inline>
              </w:drawing>
            </w:r>
            <w:r w:rsidRPr="00F01347">
              <w:rPr>
                <w:rFonts w:ascii="Verdana" w:hAnsi="Verdana"/>
                <w:sz w:val="16"/>
                <w:szCs w:val="16"/>
              </w:rPr>
              <w:t xml:space="preserve"> con dos cifras decimales.</w:t>
            </w:r>
          </w:p>
        </w:tc>
        <w:tc>
          <w:tcPr>
            <w:tcW w:w="4675" w:type="dxa"/>
          </w:tcPr>
          <w:p w14:paraId="76A58097" w14:textId="2EFC93D7" w:rsidR="0009130F" w:rsidRPr="00F01347" w:rsidRDefault="0009130F" w:rsidP="0009130F">
            <w:pPr>
              <w:pStyle w:val="texto0"/>
              <w:spacing w:line="240" w:lineRule="auto"/>
              <w:ind w:firstLine="0"/>
              <w:rPr>
                <w:rFonts w:ascii="Verdana" w:hAnsi="Verdana"/>
                <w:sz w:val="16"/>
                <w:szCs w:val="16"/>
                <w:lang w:val="en-US"/>
              </w:rPr>
            </w:pPr>
            <w:r w:rsidRPr="00F01347">
              <w:rPr>
                <w:rFonts w:ascii="Verdana" w:hAnsi="Verdana"/>
                <w:sz w:val="16"/>
                <w:szCs w:val="16"/>
                <w:lang w:val="en-US"/>
              </w:rPr>
              <w:t xml:space="preserve">Report the average result obtained in mg </w:t>
            </w:r>
            <w:r w:rsidRPr="00F01347">
              <w:rPr>
                <w:rFonts w:ascii="Verdana" w:hAnsi="Verdana"/>
                <w:noProof/>
                <w:position w:val="-4"/>
                <w:sz w:val="16"/>
                <w:szCs w:val="16"/>
                <w:lang w:val="en-US"/>
              </w:rPr>
              <w:drawing>
                <wp:inline distT="0" distB="0" distL="0" distR="0" wp14:anchorId="36019EEA" wp14:editId="773A406F">
                  <wp:extent cx="409575" cy="142875"/>
                  <wp:effectExtent l="0" t="0" r="0" b="0"/>
                  <wp:docPr id="53243597" name="Picture 53243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09575" cy="142875"/>
                          </a:xfrm>
                          <a:prstGeom prst="rect">
                            <a:avLst/>
                          </a:prstGeom>
                          <a:noFill/>
                          <a:ln>
                            <a:noFill/>
                          </a:ln>
                        </pic:spPr>
                      </pic:pic>
                    </a:graphicData>
                  </a:graphic>
                </wp:inline>
              </w:drawing>
            </w:r>
            <w:r w:rsidR="007A07D8" w:rsidRPr="00F01347">
              <w:rPr>
                <w:rFonts w:ascii="Verdana" w:hAnsi="Verdana"/>
                <w:sz w:val="16"/>
                <w:szCs w:val="16"/>
                <w:lang w:val="en-US"/>
              </w:rPr>
              <w:t xml:space="preserve"> </w:t>
            </w:r>
            <w:r w:rsidRPr="00F01347">
              <w:rPr>
                <w:rFonts w:ascii="Verdana" w:hAnsi="Verdana"/>
                <w:sz w:val="16"/>
                <w:szCs w:val="16"/>
                <w:lang w:val="en-US"/>
              </w:rPr>
              <w:t>with two decimal places.</w:t>
            </w:r>
          </w:p>
        </w:tc>
      </w:tr>
      <w:tr w:rsidR="0009130F" w:rsidRPr="00F01347" w14:paraId="23A19E87" w14:textId="1187B5C3" w:rsidTr="00E57B9F">
        <w:tc>
          <w:tcPr>
            <w:tcW w:w="4675" w:type="dxa"/>
          </w:tcPr>
          <w:p w14:paraId="2F27C447" w14:textId="77777777" w:rsidR="0009130F" w:rsidRPr="00F01347" w:rsidRDefault="0009130F" w:rsidP="0009130F">
            <w:pPr>
              <w:pStyle w:val="texto0"/>
              <w:ind w:firstLine="0"/>
              <w:jc w:val="center"/>
              <w:rPr>
                <w:rFonts w:ascii="Verdana" w:hAnsi="Verdana"/>
                <w:b/>
                <w:sz w:val="16"/>
                <w:szCs w:val="16"/>
              </w:rPr>
            </w:pPr>
            <w:r w:rsidRPr="00F01347">
              <w:rPr>
                <w:rFonts w:ascii="Verdana" w:hAnsi="Verdana"/>
                <w:b/>
                <w:sz w:val="16"/>
                <w:szCs w:val="16"/>
              </w:rPr>
              <w:t xml:space="preserve">B.11.2 MÉTODO DE PRUEBA POR COLORIMETRÍA AUTOMATIZADA PARA LA </w:t>
            </w:r>
            <w:proofErr w:type="gramStart"/>
            <w:r w:rsidRPr="00F01347">
              <w:rPr>
                <w:rFonts w:ascii="Verdana" w:hAnsi="Verdana"/>
                <w:b/>
                <w:sz w:val="16"/>
                <w:szCs w:val="16"/>
              </w:rPr>
              <w:t>DETERMINACIÓN  DE</w:t>
            </w:r>
            <w:proofErr w:type="gramEnd"/>
            <w:r w:rsidRPr="00F01347">
              <w:rPr>
                <w:rFonts w:ascii="Verdana" w:hAnsi="Verdana"/>
                <w:b/>
                <w:sz w:val="16"/>
                <w:szCs w:val="16"/>
              </w:rPr>
              <w:t xml:space="preserve"> SULFATO EN AGUA PARA USO Y CONSUMO HUMANO</w:t>
            </w:r>
          </w:p>
        </w:tc>
        <w:tc>
          <w:tcPr>
            <w:tcW w:w="4675" w:type="dxa"/>
          </w:tcPr>
          <w:p w14:paraId="1E54C525" w14:textId="10C6E2D4" w:rsidR="0009130F" w:rsidRPr="00F01347" w:rsidRDefault="0009130F" w:rsidP="0009130F">
            <w:pPr>
              <w:pStyle w:val="texto0"/>
              <w:ind w:firstLine="0"/>
              <w:jc w:val="center"/>
              <w:rPr>
                <w:rFonts w:ascii="Verdana" w:hAnsi="Verdana"/>
                <w:b/>
                <w:sz w:val="16"/>
                <w:szCs w:val="16"/>
                <w:lang w:val="en-US"/>
              </w:rPr>
            </w:pPr>
            <w:r w:rsidRPr="00F01347">
              <w:rPr>
                <w:rFonts w:ascii="Verdana" w:hAnsi="Verdana"/>
                <w:b/>
                <w:sz w:val="16"/>
                <w:szCs w:val="16"/>
                <w:lang w:val="en-US"/>
              </w:rPr>
              <w:t>B.11.2 TEST METHOD BY AUTOMATED COLORIMETRY FOR THE DETERMINATION OF SULFATE IN WATER FOR HUMAN USE AND CONSUMPTION</w:t>
            </w:r>
          </w:p>
        </w:tc>
      </w:tr>
      <w:tr w:rsidR="0009130F" w:rsidRPr="00F01347" w14:paraId="09A824F4" w14:textId="53CA86A9" w:rsidTr="00E57B9F">
        <w:tc>
          <w:tcPr>
            <w:tcW w:w="4675" w:type="dxa"/>
          </w:tcPr>
          <w:p w14:paraId="0A4B6681" w14:textId="77777777" w:rsidR="0009130F" w:rsidRPr="00F01347" w:rsidRDefault="0009130F" w:rsidP="0009130F">
            <w:pPr>
              <w:pStyle w:val="texto0"/>
              <w:ind w:firstLine="0"/>
              <w:rPr>
                <w:rFonts w:ascii="Verdana" w:hAnsi="Verdana"/>
                <w:b/>
                <w:sz w:val="16"/>
                <w:szCs w:val="16"/>
              </w:rPr>
            </w:pPr>
            <w:r w:rsidRPr="00F01347">
              <w:rPr>
                <w:rFonts w:ascii="Verdana" w:hAnsi="Verdana"/>
                <w:b/>
                <w:sz w:val="16"/>
                <w:szCs w:val="16"/>
              </w:rPr>
              <w:t>B.11.2.1 Definiciones y términos</w:t>
            </w:r>
          </w:p>
        </w:tc>
        <w:tc>
          <w:tcPr>
            <w:tcW w:w="4675" w:type="dxa"/>
          </w:tcPr>
          <w:p w14:paraId="1B9CEC2B" w14:textId="38F8A646" w:rsidR="0009130F" w:rsidRPr="00F01347" w:rsidRDefault="0009130F" w:rsidP="0009130F">
            <w:pPr>
              <w:pStyle w:val="texto0"/>
              <w:ind w:firstLine="0"/>
              <w:rPr>
                <w:rFonts w:ascii="Verdana" w:hAnsi="Verdana"/>
                <w:b/>
                <w:sz w:val="16"/>
                <w:szCs w:val="16"/>
                <w:lang w:val="en-US"/>
              </w:rPr>
            </w:pPr>
            <w:r w:rsidRPr="00F01347">
              <w:rPr>
                <w:rFonts w:ascii="Verdana" w:hAnsi="Verdana"/>
                <w:b/>
                <w:sz w:val="16"/>
                <w:szCs w:val="16"/>
                <w:lang w:val="en-US"/>
              </w:rPr>
              <w:t>B.11.2.1 Definitions and terms</w:t>
            </w:r>
          </w:p>
        </w:tc>
      </w:tr>
      <w:tr w:rsidR="0009130F" w:rsidRPr="00F01347" w14:paraId="60D7FADC" w14:textId="575731AC" w:rsidTr="00E57B9F">
        <w:tc>
          <w:tcPr>
            <w:tcW w:w="4675" w:type="dxa"/>
          </w:tcPr>
          <w:p w14:paraId="129E6010" w14:textId="77777777" w:rsidR="0009130F" w:rsidRPr="00F01347" w:rsidRDefault="0009130F" w:rsidP="0009130F">
            <w:pPr>
              <w:pStyle w:val="texto0"/>
              <w:ind w:firstLine="0"/>
              <w:rPr>
                <w:rFonts w:ascii="Verdana" w:hAnsi="Verdana"/>
                <w:sz w:val="16"/>
                <w:szCs w:val="16"/>
              </w:rPr>
            </w:pPr>
            <w:r w:rsidRPr="00F01347">
              <w:rPr>
                <w:rFonts w:ascii="Verdana" w:hAnsi="Verdana"/>
                <w:sz w:val="16"/>
                <w:szCs w:val="16"/>
              </w:rPr>
              <w:t>Las definiciones presentadas en esta sección son específicas para este método, pero han sido conformadas para que sean lo más posible de uso común.</w:t>
            </w:r>
          </w:p>
        </w:tc>
        <w:tc>
          <w:tcPr>
            <w:tcW w:w="4675" w:type="dxa"/>
          </w:tcPr>
          <w:p w14:paraId="47196FF2" w14:textId="39FB78F6" w:rsidR="0009130F" w:rsidRPr="00F01347" w:rsidRDefault="0009130F" w:rsidP="0009130F">
            <w:pPr>
              <w:pStyle w:val="texto0"/>
              <w:ind w:firstLine="0"/>
              <w:rPr>
                <w:rFonts w:ascii="Verdana" w:hAnsi="Verdana"/>
                <w:sz w:val="16"/>
                <w:szCs w:val="16"/>
                <w:lang w:val="en-US"/>
              </w:rPr>
            </w:pPr>
            <w:r w:rsidRPr="00F01347">
              <w:rPr>
                <w:rFonts w:ascii="Verdana" w:hAnsi="Verdana"/>
                <w:sz w:val="16"/>
                <w:szCs w:val="16"/>
                <w:lang w:val="en-US"/>
              </w:rPr>
              <w:t xml:space="preserve">The definitions presented in this section are specific to this </w:t>
            </w:r>
            <w:r w:rsidR="00F72BA4" w:rsidRPr="00F01347">
              <w:rPr>
                <w:rFonts w:ascii="Verdana" w:hAnsi="Verdana"/>
                <w:sz w:val="16"/>
                <w:szCs w:val="16"/>
                <w:lang w:val="en-US"/>
              </w:rPr>
              <w:t>method but</w:t>
            </w:r>
            <w:r w:rsidRPr="00F01347">
              <w:rPr>
                <w:rFonts w:ascii="Verdana" w:hAnsi="Verdana"/>
                <w:sz w:val="16"/>
                <w:szCs w:val="16"/>
                <w:lang w:val="en-US"/>
              </w:rPr>
              <w:t xml:space="preserve"> have been </w:t>
            </w:r>
            <w:r w:rsidR="00F72BA4" w:rsidRPr="00F01347">
              <w:rPr>
                <w:rFonts w:ascii="Verdana" w:hAnsi="Verdana"/>
                <w:sz w:val="16"/>
                <w:szCs w:val="16"/>
                <w:lang w:val="en-US"/>
              </w:rPr>
              <w:t>prepared</w:t>
            </w:r>
            <w:r w:rsidRPr="00F01347">
              <w:rPr>
                <w:rFonts w:ascii="Verdana" w:hAnsi="Verdana"/>
                <w:sz w:val="16"/>
                <w:szCs w:val="16"/>
                <w:lang w:val="en-US"/>
              </w:rPr>
              <w:t xml:space="preserve"> to be as commonly used as possible.</w:t>
            </w:r>
          </w:p>
        </w:tc>
      </w:tr>
      <w:tr w:rsidR="0009130F" w:rsidRPr="00F01347" w14:paraId="4E6F99AE" w14:textId="09ED2D52" w:rsidTr="00E57B9F">
        <w:tc>
          <w:tcPr>
            <w:tcW w:w="4675" w:type="dxa"/>
          </w:tcPr>
          <w:p w14:paraId="58BFBAD6" w14:textId="77777777" w:rsidR="0009130F" w:rsidRPr="00F01347" w:rsidRDefault="0009130F" w:rsidP="0009130F">
            <w:pPr>
              <w:pStyle w:val="texto0"/>
              <w:ind w:firstLine="0"/>
              <w:rPr>
                <w:rFonts w:ascii="Verdana" w:hAnsi="Verdana"/>
                <w:sz w:val="16"/>
                <w:szCs w:val="16"/>
              </w:rPr>
            </w:pPr>
            <w:r w:rsidRPr="00F01347">
              <w:rPr>
                <w:rFonts w:ascii="Verdana" w:hAnsi="Verdana"/>
                <w:b/>
                <w:sz w:val="16"/>
                <w:szCs w:val="16"/>
              </w:rPr>
              <w:t>Bitácora</w:t>
            </w:r>
            <w:r w:rsidRPr="00F01347">
              <w:rPr>
                <w:rFonts w:ascii="Verdana" w:hAnsi="Verdana"/>
                <w:sz w:val="16"/>
                <w:szCs w:val="16"/>
              </w:rPr>
              <w:t>, al cuaderno de laboratorio debidamente foliado e identificado, en el cual los analistas anotan todos los datos de los procedimientos que siguen durante el análisis de una o varias muestras, así como toda la información pertinente y relevante a su trabajo en el laboratorio.</w:t>
            </w:r>
          </w:p>
        </w:tc>
        <w:tc>
          <w:tcPr>
            <w:tcW w:w="4675" w:type="dxa"/>
          </w:tcPr>
          <w:p w14:paraId="6AF0665F" w14:textId="45AAD0AF" w:rsidR="0009130F" w:rsidRPr="00F01347" w:rsidRDefault="0009130F" w:rsidP="0009130F">
            <w:pPr>
              <w:pStyle w:val="texto0"/>
              <w:ind w:firstLine="0"/>
              <w:rPr>
                <w:rFonts w:ascii="Verdana" w:hAnsi="Verdana"/>
                <w:b/>
                <w:sz w:val="16"/>
                <w:szCs w:val="16"/>
                <w:lang w:val="en-US"/>
              </w:rPr>
            </w:pPr>
            <w:r w:rsidRPr="00F01347">
              <w:rPr>
                <w:rFonts w:ascii="Verdana" w:hAnsi="Verdana"/>
                <w:b/>
                <w:sz w:val="16"/>
                <w:szCs w:val="16"/>
                <w:lang w:val="en-US"/>
              </w:rPr>
              <w:t>Log</w:t>
            </w:r>
            <w:r w:rsidR="003E1BA9" w:rsidRPr="00F01347">
              <w:rPr>
                <w:rFonts w:ascii="Verdana" w:hAnsi="Verdana"/>
                <w:b/>
                <w:sz w:val="16"/>
                <w:szCs w:val="16"/>
                <w:lang w:val="en-US"/>
              </w:rPr>
              <w:t>,</w:t>
            </w:r>
            <w:r w:rsidRPr="00F01347">
              <w:rPr>
                <w:rFonts w:ascii="Verdana" w:hAnsi="Verdana"/>
                <w:sz w:val="16"/>
                <w:szCs w:val="16"/>
                <w:lang w:val="en-US"/>
              </w:rPr>
              <w:t xml:space="preserve"> the laboratory notebook </w:t>
            </w:r>
            <w:r w:rsidR="00F72BA4" w:rsidRPr="00F01347">
              <w:rPr>
                <w:rFonts w:ascii="Verdana" w:hAnsi="Verdana"/>
                <w:sz w:val="16"/>
                <w:szCs w:val="16"/>
                <w:lang w:val="en-US"/>
              </w:rPr>
              <w:t>with page numbers</w:t>
            </w:r>
            <w:r w:rsidRPr="00F01347">
              <w:rPr>
                <w:rFonts w:ascii="Verdana" w:hAnsi="Verdana"/>
                <w:sz w:val="16"/>
                <w:szCs w:val="16"/>
                <w:lang w:val="en-US"/>
              </w:rPr>
              <w:t xml:space="preserve"> and identified, in which analysts write down all the data of the procedures they follow during the analysis of one or several samples, as well as all pertinent information relevant to their work in the laboratory.</w:t>
            </w:r>
          </w:p>
        </w:tc>
      </w:tr>
      <w:tr w:rsidR="0009130F" w:rsidRPr="00F01347" w14:paraId="5F6544DC" w14:textId="3F6A4665" w:rsidTr="00E57B9F">
        <w:tc>
          <w:tcPr>
            <w:tcW w:w="4675" w:type="dxa"/>
          </w:tcPr>
          <w:p w14:paraId="2A677E4E" w14:textId="77777777" w:rsidR="0009130F" w:rsidRPr="00F01347" w:rsidRDefault="0009130F" w:rsidP="0009130F">
            <w:pPr>
              <w:pStyle w:val="texto0"/>
              <w:ind w:firstLine="0"/>
              <w:rPr>
                <w:rFonts w:ascii="Verdana" w:hAnsi="Verdana"/>
                <w:sz w:val="16"/>
                <w:szCs w:val="16"/>
              </w:rPr>
            </w:pPr>
            <w:r w:rsidRPr="00F01347">
              <w:rPr>
                <w:rFonts w:ascii="Verdana" w:hAnsi="Verdana"/>
                <w:b/>
                <w:sz w:val="16"/>
                <w:szCs w:val="16"/>
              </w:rPr>
              <w:t>Blanco</w:t>
            </w:r>
            <w:r w:rsidRPr="00F01347">
              <w:rPr>
                <w:rFonts w:ascii="Verdana" w:hAnsi="Verdana"/>
                <w:sz w:val="16"/>
                <w:szCs w:val="16"/>
              </w:rPr>
              <w:t>, al agua reactivo o matriz equivalente a la que no se le aplica ninguna parte del procedimiento analítico y sirve para evaluar la señal de fondo.</w:t>
            </w:r>
          </w:p>
        </w:tc>
        <w:tc>
          <w:tcPr>
            <w:tcW w:w="4675" w:type="dxa"/>
          </w:tcPr>
          <w:p w14:paraId="6B1B6270" w14:textId="41A7BDC3" w:rsidR="0009130F" w:rsidRPr="00F01347" w:rsidRDefault="0009130F" w:rsidP="0009130F">
            <w:pPr>
              <w:pStyle w:val="texto0"/>
              <w:ind w:firstLine="0"/>
              <w:rPr>
                <w:rFonts w:ascii="Verdana" w:hAnsi="Verdana"/>
                <w:b/>
                <w:sz w:val="16"/>
                <w:szCs w:val="16"/>
                <w:lang w:val="en-US"/>
              </w:rPr>
            </w:pPr>
            <w:r w:rsidRPr="00F01347">
              <w:rPr>
                <w:rFonts w:ascii="Verdana" w:hAnsi="Verdana"/>
                <w:b/>
                <w:sz w:val="16"/>
                <w:szCs w:val="16"/>
                <w:lang w:val="en-US"/>
              </w:rPr>
              <w:t>Blank</w:t>
            </w:r>
            <w:r w:rsidR="003E1BA9" w:rsidRPr="00F01347">
              <w:rPr>
                <w:rFonts w:ascii="Verdana" w:hAnsi="Verdana"/>
                <w:b/>
                <w:sz w:val="16"/>
                <w:szCs w:val="16"/>
                <w:lang w:val="en-US"/>
              </w:rPr>
              <w:t>,</w:t>
            </w:r>
            <w:r w:rsidRPr="00F01347">
              <w:rPr>
                <w:rFonts w:ascii="Verdana" w:hAnsi="Verdana"/>
                <w:sz w:val="16"/>
                <w:szCs w:val="16"/>
                <w:lang w:val="en-US"/>
              </w:rPr>
              <w:t xml:space="preserve"> reagent water or equivalent matrix to which no part of the analytical procedure is applied and serves to evaluate the background signal.</w:t>
            </w:r>
          </w:p>
        </w:tc>
      </w:tr>
      <w:tr w:rsidR="0009130F" w:rsidRPr="00F01347" w14:paraId="2F9C43B8" w14:textId="22DC7A1A" w:rsidTr="00E57B9F">
        <w:tc>
          <w:tcPr>
            <w:tcW w:w="4675" w:type="dxa"/>
          </w:tcPr>
          <w:p w14:paraId="4B0F938C" w14:textId="77777777" w:rsidR="0009130F" w:rsidRPr="00F01347" w:rsidRDefault="0009130F" w:rsidP="0009130F">
            <w:pPr>
              <w:pStyle w:val="texto0"/>
              <w:ind w:firstLine="0"/>
              <w:rPr>
                <w:rFonts w:ascii="Verdana" w:hAnsi="Verdana"/>
                <w:sz w:val="16"/>
                <w:szCs w:val="16"/>
              </w:rPr>
            </w:pPr>
            <w:r w:rsidRPr="00F01347">
              <w:rPr>
                <w:rFonts w:ascii="Verdana" w:hAnsi="Verdana"/>
                <w:b/>
                <w:sz w:val="16"/>
                <w:szCs w:val="16"/>
              </w:rPr>
              <w:t>Blanco analítico o de reactivos</w:t>
            </w:r>
            <w:r w:rsidRPr="00F01347">
              <w:rPr>
                <w:rFonts w:ascii="Verdana" w:hAnsi="Verdana"/>
                <w:sz w:val="16"/>
                <w:szCs w:val="16"/>
              </w:rPr>
              <w:t>, al agua reactivo o matriz equivalente que no contiene, por adición deliberada, la presencia de ningún analito o sustancia por determinar, pero que contiene los mismos disolventes, reactivos y se somete al mismo procedimiento analítico que la muestra problema.</w:t>
            </w:r>
          </w:p>
        </w:tc>
        <w:tc>
          <w:tcPr>
            <w:tcW w:w="4675" w:type="dxa"/>
          </w:tcPr>
          <w:p w14:paraId="7F44F7A8" w14:textId="1ED92E11" w:rsidR="0009130F" w:rsidRPr="00F01347" w:rsidRDefault="0009130F" w:rsidP="0009130F">
            <w:pPr>
              <w:pStyle w:val="texto0"/>
              <w:ind w:firstLine="0"/>
              <w:rPr>
                <w:rFonts w:ascii="Verdana" w:hAnsi="Verdana"/>
                <w:b/>
                <w:sz w:val="16"/>
                <w:szCs w:val="16"/>
                <w:lang w:val="en-US"/>
              </w:rPr>
            </w:pPr>
            <w:r w:rsidRPr="00F01347">
              <w:rPr>
                <w:rFonts w:ascii="Verdana" w:hAnsi="Verdana"/>
                <w:b/>
                <w:sz w:val="16"/>
                <w:szCs w:val="16"/>
                <w:lang w:val="en-US"/>
              </w:rPr>
              <w:t>Analytical or reagent blank</w:t>
            </w:r>
            <w:r w:rsidR="003E1BA9" w:rsidRPr="00F01347">
              <w:rPr>
                <w:rFonts w:ascii="Verdana" w:hAnsi="Verdana"/>
                <w:b/>
                <w:sz w:val="16"/>
                <w:szCs w:val="16"/>
                <w:lang w:val="en-US"/>
              </w:rPr>
              <w:t>,</w:t>
            </w:r>
            <w:r w:rsidRPr="00F01347">
              <w:rPr>
                <w:rFonts w:ascii="Verdana" w:hAnsi="Verdana"/>
                <w:sz w:val="16"/>
                <w:szCs w:val="16"/>
                <w:lang w:val="en-US"/>
              </w:rPr>
              <w:t xml:space="preserve"> reagent water or equivalent matrix that does not contain, by deliberate addition, the presence of any analyte or substance to be determined, but that contains the same solvents, reagents and is subjected to the same analytical procedure as the test sample.</w:t>
            </w:r>
          </w:p>
        </w:tc>
      </w:tr>
      <w:tr w:rsidR="0009130F" w:rsidRPr="00F01347" w14:paraId="308DD5B8" w14:textId="0B3F74AF" w:rsidTr="00E57B9F">
        <w:tc>
          <w:tcPr>
            <w:tcW w:w="4675" w:type="dxa"/>
          </w:tcPr>
          <w:p w14:paraId="18DEA5DD" w14:textId="77777777" w:rsidR="0009130F" w:rsidRPr="00F01347" w:rsidRDefault="0009130F" w:rsidP="0009130F">
            <w:pPr>
              <w:pStyle w:val="texto0"/>
              <w:spacing w:line="220" w:lineRule="exact"/>
              <w:ind w:firstLine="0"/>
              <w:rPr>
                <w:rFonts w:ascii="Verdana" w:hAnsi="Verdana"/>
                <w:sz w:val="16"/>
                <w:szCs w:val="16"/>
              </w:rPr>
            </w:pPr>
            <w:r w:rsidRPr="00F01347">
              <w:rPr>
                <w:rFonts w:ascii="Verdana" w:hAnsi="Verdana"/>
                <w:b/>
                <w:sz w:val="16"/>
                <w:szCs w:val="16"/>
              </w:rPr>
              <w:t>Calibración</w:t>
            </w:r>
            <w:r w:rsidRPr="00F01347">
              <w:rPr>
                <w:rFonts w:ascii="Verdana" w:hAnsi="Verdana"/>
                <w:sz w:val="16"/>
                <w:szCs w:val="16"/>
              </w:rPr>
              <w:t>, al conjunto de operaciones que establecen, bajo condiciones específicas, la relación entre los valores de una magnitud indicados por un instrumento o sistema de medición, o los valores representados por una medida materializada y los valores correspondientes de la magnitud, realizados por los patrones, efectuando una corrección del instrumento de medición para llevarlo a las condiciones iniciales de funcionamiento.</w:t>
            </w:r>
          </w:p>
        </w:tc>
        <w:tc>
          <w:tcPr>
            <w:tcW w:w="4675" w:type="dxa"/>
          </w:tcPr>
          <w:p w14:paraId="1C6C121A" w14:textId="67363FE1" w:rsidR="0009130F" w:rsidRPr="00F01347" w:rsidRDefault="0009130F" w:rsidP="0009130F">
            <w:pPr>
              <w:pStyle w:val="texto0"/>
              <w:spacing w:line="220" w:lineRule="exact"/>
              <w:ind w:firstLine="0"/>
              <w:rPr>
                <w:rFonts w:ascii="Verdana" w:hAnsi="Verdana"/>
                <w:b/>
                <w:sz w:val="16"/>
                <w:szCs w:val="16"/>
                <w:lang w:val="en-US"/>
              </w:rPr>
            </w:pPr>
            <w:r w:rsidRPr="00F01347">
              <w:rPr>
                <w:rFonts w:ascii="Verdana" w:hAnsi="Verdana"/>
                <w:b/>
                <w:sz w:val="16"/>
                <w:szCs w:val="16"/>
                <w:lang w:val="en-US"/>
              </w:rPr>
              <w:t>Calibration</w:t>
            </w:r>
            <w:r w:rsidR="003E1BA9" w:rsidRPr="00F01347">
              <w:rPr>
                <w:rFonts w:ascii="Verdana" w:hAnsi="Verdana"/>
                <w:b/>
                <w:sz w:val="16"/>
                <w:szCs w:val="16"/>
                <w:lang w:val="en-US"/>
              </w:rPr>
              <w:t>,</w:t>
            </w:r>
            <w:r w:rsidRPr="00F01347">
              <w:rPr>
                <w:rFonts w:ascii="Verdana" w:hAnsi="Verdana"/>
                <w:sz w:val="16"/>
                <w:szCs w:val="16"/>
                <w:lang w:val="en-US"/>
              </w:rPr>
              <w:t xml:space="preserve"> the set of operations that establish, under specific conditions, the relationship between the values of a magnitude indicated by an instrument or measurement system, or the values represented by a materialized measurement and the corresponding values of the magnitude, made by the standards</w:t>
            </w:r>
            <w:r w:rsidR="003E1BA9" w:rsidRPr="00F01347">
              <w:rPr>
                <w:rFonts w:ascii="Verdana" w:hAnsi="Verdana"/>
                <w:sz w:val="16"/>
                <w:szCs w:val="16"/>
                <w:lang w:val="en-US"/>
              </w:rPr>
              <w:t>,</w:t>
            </w:r>
            <w:r w:rsidRPr="00F01347">
              <w:rPr>
                <w:rFonts w:ascii="Verdana" w:hAnsi="Verdana"/>
                <w:sz w:val="16"/>
                <w:szCs w:val="16"/>
                <w:lang w:val="en-US"/>
              </w:rPr>
              <w:t xml:space="preserve"> carrying out a correction of the measuring instrument to bring it to the initial operating conditions.</w:t>
            </w:r>
          </w:p>
        </w:tc>
      </w:tr>
      <w:tr w:rsidR="0009130F" w:rsidRPr="00F01347" w14:paraId="38001551" w14:textId="297F1BC5" w:rsidTr="00E57B9F">
        <w:tc>
          <w:tcPr>
            <w:tcW w:w="4675" w:type="dxa"/>
          </w:tcPr>
          <w:p w14:paraId="4C4CC3CB" w14:textId="77777777" w:rsidR="0009130F" w:rsidRPr="00F01347" w:rsidRDefault="0009130F" w:rsidP="0009130F">
            <w:pPr>
              <w:pStyle w:val="texto0"/>
              <w:spacing w:line="220" w:lineRule="exact"/>
              <w:ind w:firstLine="0"/>
              <w:rPr>
                <w:rFonts w:ascii="Verdana" w:hAnsi="Verdana"/>
                <w:sz w:val="16"/>
                <w:szCs w:val="16"/>
              </w:rPr>
            </w:pPr>
            <w:r w:rsidRPr="00F01347">
              <w:rPr>
                <w:rFonts w:ascii="Verdana" w:hAnsi="Verdana"/>
                <w:b/>
                <w:sz w:val="16"/>
                <w:szCs w:val="16"/>
              </w:rPr>
              <w:t>Desviación estándar experimental</w:t>
            </w:r>
            <w:r w:rsidRPr="00F01347">
              <w:rPr>
                <w:rFonts w:ascii="Verdana" w:hAnsi="Verdana"/>
                <w:sz w:val="16"/>
                <w:szCs w:val="16"/>
              </w:rPr>
              <w:t xml:space="preserve">, para una serie de mediciones </w:t>
            </w:r>
            <w:proofErr w:type="gramStart"/>
            <w:r w:rsidRPr="00F01347">
              <w:rPr>
                <w:rFonts w:ascii="Verdana" w:hAnsi="Verdana"/>
                <w:sz w:val="16"/>
                <w:szCs w:val="16"/>
              </w:rPr>
              <w:t>del mismo</w:t>
            </w:r>
            <w:proofErr w:type="gramEnd"/>
            <w:r w:rsidRPr="00F01347">
              <w:rPr>
                <w:rFonts w:ascii="Verdana" w:hAnsi="Verdana"/>
                <w:sz w:val="16"/>
                <w:szCs w:val="16"/>
              </w:rPr>
              <w:t xml:space="preserve"> mensurando, es la magnitud que caracteriza la dispersión de los resultados.</w:t>
            </w:r>
          </w:p>
        </w:tc>
        <w:tc>
          <w:tcPr>
            <w:tcW w:w="4675" w:type="dxa"/>
          </w:tcPr>
          <w:p w14:paraId="0C591C6D" w14:textId="7DDEAA37" w:rsidR="0009130F" w:rsidRPr="00F01347" w:rsidRDefault="0009130F" w:rsidP="0009130F">
            <w:pPr>
              <w:pStyle w:val="texto0"/>
              <w:spacing w:line="220" w:lineRule="exact"/>
              <w:ind w:firstLine="0"/>
              <w:rPr>
                <w:rFonts w:ascii="Verdana" w:hAnsi="Verdana"/>
                <w:b/>
                <w:sz w:val="16"/>
                <w:szCs w:val="16"/>
                <w:lang w:val="en-US"/>
              </w:rPr>
            </w:pPr>
            <w:r w:rsidRPr="00F01347">
              <w:rPr>
                <w:rFonts w:ascii="Verdana" w:hAnsi="Verdana"/>
                <w:b/>
                <w:sz w:val="16"/>
                <w:szCs w:val="16"/>
                <w:lang w:val="en-US"/>
              </w:rPr>
              <w:t>Experimental standard deviation</w:t>
            </w:r>
            <w:r w:rsidR="003E1BA9" w:rsidRPr="00F01347">
              <w:rPr>
                <w:rFonts w:ascii="Verdana" w:hAnsi="Verdana"/>
                <w:b/>
                <w:sz w:val="16"/>
                <w:szCs w:val="16"/>
                <w:lang w:val="en-US"/>
              </w:rPr>
              <w:t>,</w:t>
            </w:r>
            <w:r w:rsidRPr="00F01347">
              <w:rPr>
                <w:rFonts w:ascii="Verdana" w:hAnsi="Verdana"/>
                <w:sz w:val="16"/>
                <w:szCs w:val="16"/>
                <w:lang w:val="en-US"/>
              </w:rPr>
              <w:t xml:space="preserve"> for a series of measurements of the same measurand, is the magnitude that characterizes the dispersion of the results.</w:t>
            </w:r>
          </w:p>
        </w:tc>
      </w:tr>
      <w:tr w:rsidR="0009130F" w:rsidRPr="00F01347" w14:paraId="5C419D40" w14:textId="485932F8" w:rsidTr="00E57B9F">
        <w:tc>
          <w:tcPr>
            <w:tcW w:w="4675" w:type="dxa"/>
          </w:tcPr>
          <w:p w14:paraId="763EA4B5" w14:textId="77777777" w:rsidR="0009130F" w:rsidRPr="00F01347" w:rsidRDefault="0009130F" w:rsidP="0009130F">
            <w:pPr>
              <w:pStyle w:val="texto0"/>
              <w:spacing w:line="220" w:lineRule="exact"/>
              <w:ind w:firstLine="0"/>
              <w:rPr>
                <w:rFonts w:ascii="Verdana" w:hAnsi="Verdana"/>
                <w:sz w:val="16"/>
                <w:szCs w:val="16"/>
              </w:rPr>
            </w:pPr>
            <w:r w:rsidRPr="00F01347">
              <w:rPr>
                <w:rFonts w:ascii="Verdana" w:hAnsi="Verdana"/>
                <w:b/>
                <w:sz w:val="16"/>
                <w:szCs w:val="16"/>
              </w:rPr>
              <w:t>Disolución patrón</w:t>
            </w:r>
            <w:r w:rsidRPr="00F01347">
              <w:rPr>
                <w:rFonts w:ascii="Verdana" w:hAnsi="Verdana"/>
                <w:sz w:val="16"/>
                <w:szCs w:val="16"/>
              </w:rPr>
              <w:t>, a la disolución de concentración conocida preparada a partir de un patrón primario.</w:t>
            </w:r>
          </w:p>
        </w:tc>
        <w:tc>
          <w:tcPr>
            <w:tcW w:w="4675" w:type="dxa"/>
          </w:tcPr>
          <w:p w14:paraId="2105210C" w14:textId="26913A08" w:rsidR="0009130F" w:rsidRPr="00F01347" w:rsidRDefault="0009130F" w:rsidP="0009130F">
            <w:pPr>
              <w:pStyle w:val="texto0"/>
              <w:spacing w:line="220" w:lineRule="exact"/>
              <w:ind w:firstLine="0"/>
              <w:rPr>
                <w:rFonts w:ascii="Verdana" w:hAnsi="Verdana"/>
                <w:b/>
                <w:sz w:val="16"/>
                <w:szCs w:val="16"/>
                <w:lang w:val="en-US"/>
              </w:rPr>
            </w:pPr>
            <w:r w:rsidRPr="00F01347">
              <w:rPr>
                <w:rFonts w:ascii="Verdana" w:hAnsi="Verdana"/>
                <w:b/>
                <w:sz w:val="16"/>
                <w:szCs w:val="16"/>
                <w:lang w:val="en-US"/>
              </w:rPr>
              <w:t>Standard solution</w:t>
            </w:r>
            <w:r w:rsidR="003E1BA9" w:rsidRPr="00F01347">
              <w:rPr>
                <w:rFonts w:ascii="Verdana" w:hAnsi="Verdana"/>
                <w:b/>
                <w:sz w:val="16"/>
                <w:szCs w:val="16"/>
                <w:lang w:val="en-US"/>
              </w:rPr>
              <w:t>,</w:t>
            </w:r>
            <w:r w:rsidRPr="00F01347">
              <w:rPr>
                <w:rFonts w:ascii="Verdana" w:hAnsi="Verdana"/>
                <w:sz w:val="16"/>
                <w:szCs w:val="16"/>
                <w:lang w:val="en-US"/>
              </w:rPr>
              <w:t xml:space="preserve"> the solution of known concentration prepared from a primary standard.</w:t>
            </w:r>
          </w:p>
        </w:tc>
      </w:tr>
      <w:tr w:rsidR="0009130F" w:rsidRPr="00F01347" w14:paraId="4EBA645E" w14:textId="5FE0F664" w:rsidTr="00E57B9F">
        <w:tc>
          <w:tcPr>
            <w:tcW w:w="4675" w:type="dxa"/>
          </w:tcPr>
          <w:p w14:paraId="5C3A96DC" w14:textId="77777777" w:rsidR="0009130F" w:rsidRPr="00F01347" w:rsidRDefault="0009130F" w:rsidP="0009130F">
            <w:pPr>
              <w:pStyle w:val="texto0"/>
              <w:spacing w:line="220" w:lineRule="exact"/>
              <w:ind w:firstLine="0"/>
              <w:rPr>
                <w:rFonts w:ascii="Verdana" w:hAnsi="Verdana"/>
                <w:sz w:val="16"/>
                <w:szCs w:val="16"/>
              </w:rPr>
            </w:pPr>
            <w:r w:rsidRPr="00F01347">
              <w:rPr>
                <w:rFonts w:ascii="Verdana" w:hAnsi="Verdana"/>
                <w:b/>
                <w:sz w:val="16"/>
                <w:szCs w:val="16"/>
              </w:rPr>
              <w:t>Disolución estándar</w:t>
            </w:r>
            <w:r w:rsidRPr="00F01347">
              <w:rPr>
                <w:rFonts w:ascii="Verdana" w:hAnsi="Verdana"/>
                <w:sz w:val="16"/>
                <w:szCs w:val="16"/>
              </w:rPr>
              <w:t>, a la disolución de concentración conocida preparada a partir de un patrón primario.</w:t>
            </w:r>
          </w:p>
        </w:tc>
        <w:tc>
          <w:tcPr>
            <w:tcW w:w="4675" w:type="dxa"/>
          </w:tcPr>
          <w:p w14:paraId="5459445A" w14:textId="495A88C7" w:rsidR="0009130F" w:rsidRPr="00F01347" w:rsidRDefault="0009130F" w:rsidP="0009130F">
            <w:pPr>
              <w:pStyle w:val="texto0"/>
              <w:spacing w:line="220" w:lineRule="exact"/>
              <w:ind w:firstLine="0"/>
              <w:rPr>
                <w:rFonts w:ascii="Verdana" w:hAnsi="Verdana"/>
                <w:b/>
                <w:sz w:val="16"/>
                <w:szCs w:val="16"/>
                <w:lang w:val="en-US"/>
              </w:rPr>
            </w:pPr>
            <w:r w:rsidRPr="00F01347">
              <w:rPr>
                <w:rFonts w:ascii="Verdana" w:hAnsi="Verdana"/>
                <w:b/>
                <w:sz w:val="16"/>
                <w:szCs w:val="16"/>
                <w:lang w:val="en-US"/>
              </w:rPr>
              <w:t>Standard solution</w:t>
            </w:r>
            <w:r w:rsidR="003E1BA9" w:rsidRPr="00F01347">
              <w:rPr>
                <w:rFonts w:ascii="Verdana" w:hAnsi="Verdana"/>
                <w:b/>
                <w:sz w:val="16"/>
                <w:szCs w:val="16"/>
                <w:lang w:val="en-US"/>
              </w:rPr>
              <w:t>,</w:t>
            </w:r>
            <w:r w:rsidRPr="00F01347">
              <w:rPr>
                <w:rFonts w:ascii="Verdana" w:hAnsi="Verdana"/>
                <w:sz w:val="16"/>
                <w:szCs w:val="16"/>
                <w:lang w:val="en-US"/>
              </w:rPr>
              <w:t xml:space="preserve"> to the solution of known concentration prepared from a primary standard.</w:t>
            </w:r>
          </w:p>
        </w:tc>
      </w:tr>
      <w:tr w:rsidR="0009130F" w:rsidRPr="00F01347" w14:paraId="7A20E3E9" w14:textId="7881844F" w:rsidTr="00E57B9F">
        <w:tc>
          <w:tcPr>
            <w:tcW w:w="4675" w:type="dxa"/>
          </w:tcPr>
          <w:p w14:paraId="5FA939F2" w14:textId="77777777" w:rsidR="0009130F" w:rsidRPr="00F01347" w:rsidRDefault="0009130F" w:rsidP="0009130F">
            <w:pPr>
              <w:pStyle w:val="texto0"/>
              <w:spacing w:line="228" w:lineRule="exact"/>
              <w:ind w:firstLine="0"/>
              <w:rPr>
                <w:rFonts w:ascii="Verdana" w:hAnsi="Verdana"/>
                <w:sz w:val="16"/>
                <w:szCs w:val="16"/>
              </w:rPr>
            </w:pPr>
            <w:r w:rsidRPr="00F01347">
              <w:rPr>
                <w:rFonts w:ascii="Verdana" w:hAnsi="Verdana"/>
                <w:b/>
                <w:sz w:val="16"/>
                <w:szCs w:val="16"/>
              </w:rPr>
              <w:t>Disolución madre</w:t>
            </w:r>
            <w:r w:rsidRPr="00F01347">
              <w:rPr>
                <w:rFonts w:ascii="Verdana" w:hAnsi="Verdana"/>
                <w:sz w:val="16"/>
                <w:szCs w:val="16"/>
              </w:rPr>
              <w:t>, corresponde a la disolución de máxima concentración en un análisis. Es a partir de esta disolución que se preparan las disoluciones de trabajo.</w:t>
            </w:r>
          </w:p>
        </w:tc>
        <w:tc>
          <w:tcPr>
            <w:tcW w:w="4675" w:type="dxa"/>
          </w:tcPr>
          <w:p w14:paraId="1BBDCA61" w14:textId="33E5218D" w:rsidR="0009130F" w:rsidRPr="00F01347" w:rsidRDefault="0009130F" w:rsidP="0009130F">
            <w:pPr>
              <w:pStyle w:val="texto0"/>
              <w:spacing w:line="228" w:lineRule="exact"/>
              <w:ind w:firstLine="0"/>
              <w:rPr>
                <w:rFonts w:ascii="Verdana" w:hAnsi="Verdana"/>
                <w:b/>
                <w:sz w:val="16"/>
                <w:szCs w:val="16"/>
                <w:lang w:val="en-US"/>
              </w:rPr>
            </w:pPr>
            <w:proofErr w:type="gramStart"/>
            <w:r w:rsidRPr="00F01347">
              <w:rPr>
                <w:rFonts w:ascii="Verdana" w:hAnsi="Verdana"/>
                <w:b/>
                <w:sz w:val="16"/>
                <w:szCs w:val="16"/>
                <w:lang w:val="en-US"/>
              </w:rPr>
              <w:t>Mother solution</w:t>
            </w:r>
            <w:r w:rsidR="003E1BA9" w:rsidRPr="00F01347">
              <w:rPr>
                <w:rFonts w:ascii="Verdana" w:hAnsi="Verdana"/>
                <w:b/>
                <w:sz w:val="16"/>
                <w:szCs w:val="16"/>
                <w:lang w:val="en-US"/>
              </w:rPr>
              <w:t>,</w:t>
            </w:r>
            <w:proofErr w:type="gramEnd"/>
            <w:r w:rsidRPr="00F01347">
              <w:rPr>
                <w:rFonts w:ascii="Verdana" w:hAnsi="Verdana"/>
                <w:sz w:val="16"/>
                <w:szCs w:val="16"/>
                <w:lang w:val="en-US"/>
              </w:rPr>
              <w:t xml:space="preserve"> corresponds to the solution of maximum concentration in an analysis. It is from this solution that the working solutions are prepared.</w:t>
            </w:r>
          </w:p>
        </w:tc>
      </w:tr>
      <w:tr w:rsidR="0009130F" w:rsidRPr="00F01347" w14:paraId="1D2E3C73" w14:textId="20B578B2" w:rsidTr="00E57B9F">
        <w:tc>
          <w:tcPr>
            <w:tcW w:w="4675" w:type="dxa"/>
          </w:tcPr>
          <w:p w14:paraId="5AD44A2B" w14:textId="77777777" w:rsidR="0009130F" w:rsidRPr="00F01347" w:rsidRDefault="0009130F" w:rsidP="0009130F">
            <w:pPr>
              <w:pStyle w:val="texto0"/>
              <w:spacing w:line="220" w:lineRule="exact"/>
              <w:ind w:firstLine="0"/>
              <w:rPr>
                <w:rFonts w:ascii="Verdana" w:hAnsi="Verdana"/>
                <w:sz w:val="16"/>
                <w:szCs w:val="16"/>
              </w:rPr>
            </w:pPr>
            <w:r w:rsidRPr="00F01347">
              <w:rPr>
                <w:rFonts w:ascii="Verdana" w:hAnsi="Verdana"/>
                <w:b/>
                <w:sz w:val="16"/>
                <w:szCs w:val="16"/>
              </w:rPr>
              <w:t>Exactitud</w:t>
            </w:r>
            <w:r w:rsidRPr="00F01347">
              <w:rPr>
                <w:rFonts w:ascii="Verdana" w:hAnsi="Verdana"/>
                <w:sz w:val="16"/>
                <w:szCs w:val="16"/>
              </w:rPr>
              <w:t>, a la proximidad de concordancia entre el resultado de una medición y un valor verdadero del mesurado.</w:t>
            </w:r>
          </w:p>
        </w:tc>
        <w:tc>
          <w:tcPr>
            <w:tcW w:w="4675" w:type="dxa"/>
          </w:tcPr>
          <w:p w14:paraId="6CE402B4" w14:textId="0A20E1A6" w:rsidR="0009130F" w:rsidRPr="00F01347" w:rsidRDefault="0009130F" w:rsidP="0009130F">
            <w:pPr>
              <w:pStyle w:val="texto0"/>
              <w:spacing w:line="220" w:lineRule="exact"/>
              <w:ind w:firstLine="0"/>
              <w:rPr>
                <w:rFonts w:ascii="Verdana" w:hAnsi="Verdana"/>
                <w:b/>
                <w:sz w:val="16"/>
                <w:szCs w:val="16"/>
                <w:lang w:val="en-US"/>
              </w:rPr>
            </w:pPr>
            <w:r w:rsidRPr="00F01347">
              <w:rPr>
                <w:rFonts w:ascii="Verdana" w:hAnsi="Verdana"/>
                <w:b/>
                <w:sz w:val="16"/>
                <w:szCs w:val="16"/>
                <w:lang w:val="en-US"/>
              </w:rPr>
              <w:t>Accuracy</w:t>
            </w:r>
            <w:r w:rsidR="003E1BA9" w:rsidRPr="00F01347">
              <w:rPr>
                <w:rFonts w:ascii="Verdana" w:hAnsi="Verdana"/>
                <w:b/>
                <w:sz w:val="16"/>
                <w:szCs w:val="16"/>
                <w:lang w:val="en-US"/>
              </w:rPr>
              <w:t>,</w:t>
            </w:r>
            <w:r w:rsidRPr="00F01347">
              <w:rPr>
                <w:rFonts w:ascii="Verdana" w:hAnsi="Verdana"/>
                <w:sz w:val="16"/>
                <w:szCs w:val="16"/>
                <w:lang w:val="en-US"/>
              </w:rPr>
              <w:t xml:space="preserve"> the close agreement between the result of a measurement and a true value of the measured value.</w:t>
            </w:r>
          </w:p>
        </w:tc>
      </w:tr>
      <w:tr w:rsidR="0009130F" w:rsidRPr="00F01347" w14:paraId="36B316A8" w14:textId="173440C5" w:rsidTr="00E57B9F">
        <w:tc>
          <w:tcPr>
            <w:tcW w:w="4675" w:type="dxa"/>
          </w:tcPr>
          <w:p w14:paraId="11D1BFAD" w14:textId="77777777" w:rsidR="0009130F" w:rsidRPr="00F01347" w:rsidRDefault="0009130F" w:rsidP="0009130F">
            <w:pPr>
              <w:pStyle w:val="texto0"/>
              <w:spacing w:line="228" w:lineRule="exact"/>
              <w:ind w:firstLine="0"/>
              <w:rPr>
                <w:rFonts w:ascii="Verdana" w:hAnsi="Verdana"/>
                <w:sz w:val="16"/>
                <w:szCs w:val="16"/>
              </w:rPr>
            </w:pPr>
            <w:r w:rsidRPr="00F01347">
              <w:rPr>
                <w:rFonts w:ascii="Verdana" w:hAnsi="Verdana"/>
                <w:b/>
                <w:sz w:val="16"/>
                <w:szCs w:val="16"/>
              </w:rPr>
              <w:t>Límite de detección del método (LDM)</w:t>
            </w:r>
            <w:r w:rsidRPr="00F01347">
              <w:rPr>
                <w:rFonts w:ascii="Verdana" w:hAnsi="Verdana"/>
                <w:sz w:val="16"/>
                <w:szCs w:val="16"/>
              </w:rPr>
              <w:t xml:space="preserve">, a la concentración mínima del analito que puede detectarse </w:t>
            </w:r>
            <w:r w:rsidRPr="00F01347">
              <w:rPr>
                <w:rFonts w:ascii="Verdana" w:hAnsi="Verdana"/>
                <w:sz w:val="16"/>
                <w:szCs w:val="16"/>
              </w:rPr>
              <w:lastRenderedPageBreak/>
              <w:t>con un nivel de confianza predeterminado. Para efectos de esta Norma, el nivel de confianza es del 99%. Este límite de detección generalmente se logra por analistas experimentados con equipo bien calibrado y bajo condiciones no rutinarias.</w:t>
            </w:r>
          </w:p>
        </w:tc>
        <w:tc>
          <w:tcPr>
            <w:tcW w:w="4675" w:type="dxa"/>
          </w:tcPr>
          <w:p w14:paraId="4AA58003" w14:textId="49C349B0" w:rsidR="0009130F" w:rsidRPr="00F01347" w:rsidRDefault="0009130F" w:rsidP="0009130F">
            <w:pPr>
              <w:pStyle w:val="texto0"/>
              <w:spacing w:line="228" w:lineRule="exact"/>
              <w:ind w:firstLine="0"/>
              <w:rPr>
                <w:rFonts w:ascii="Verdana" w:hAnsi="Verdana"/>
                <w:b/>
                <w:sz w:val="16"/>
                <w:szCs w:val="16"/>
                <w:lang w:val="en-US"/>
              </w:rPr>
            </w:pPr>
            <w:r w:rsidRPr="00F01347">
              <w:rPr>
                <w:rFonts w:ascii="Verdana" w:hAnsi="Verdana"/>
                <w:b/>
                <w:sz w:val="16"/>
                <w:szCs w:val="16"/>
                <w:lang w:val="en-US"/>
              </w:rPr>
              <w:lastRenderedPageBreak/>
              <w:t>Limit of detection of the method (</w:t>
            </w:r>
            <w:r w:rsidR="00330686" w:rsidRPr="00F01347">
              <w:rPr>
                <w:rFonts w:ascii="Verdana" w:hAnsi="Verdana"/>
                <w:b/>
                <w:sz w:val="16"/>
                <w:szCs w:val="16"/>
                <w:lang w:val="en-US"/>
              </w:rPr>
              <w:t>LDM</w:t>
            </w:r>
            <w:r w:rsidRPr="00F01347">
              <w:rPr>
                <w:rFonts w:ascii="Verdana" w:hAnsi="Verdana"/>
                <w:b/>
                <w:sz w:val="16"/>
                <w:szCs w:val="16"/>
                <w:lang w:val="en-US"/>
              </w:rPr>
              <w:t>)</w:t>
            </w:r>
            <w:r w:rsidR="003E1BA9" w:rsidRPr="00F01347">
              <w:rPr>
                <w:rFonts w:ascii="Verdana" w:hAnsi="Verdana"/>
                <w:b/>
                <w:sz w:val="16"/>
                <w:szCs w:val="16"/>
                <w:lang w:val="en-US"/>
              </w:rPr>
              <w:t>,</w:t>
            </w:r>
            <w:r w:rsidRPr="00F01347">
              <w:rPr>
                <w:rFonts w:ascii="Verdana" w:hAnsi="Verdana"/>
                <w:sz w:val="16"/>
                <w:szCs w:val="16"/>
                <w:lang w:val="en-US"/>
              </w:rPr>
              <w:t xml:space="preserve"> the minimum concentration of the analyte that can be </w:t>
            </w:r>
            <w:r w:rsidRPr="00F01347">
              <w:rPr>
                <w:rFonts w:ascii="Verdana" w:hAnsi="Verdana"/>
                <w:sz w:val="16"/>
                <w:szCs w:val="16"/>
                <w:lang w:val="en-US"/>
              </w:rPr>
              <w:lastRenderedPageBreak/>
              <w:t>detected with a predetermined level of confidence. For the purposes of this Standard, the confidence level is 99%. This detection limit is usually achieved by experienced analysts with well-calibrated equipment and under non-routine conditions.</w:t>
            </w:r>
          </w:p>
        </w:tc>
      </w:tr>
      <w:tr w:rsidR="0009130F" w:rsidRPr="00F01347" w14:paraId="2EBA27D6" w14:textId="0CC353AD" w:rsidTr="00E57B9F">
        <w:tc>
          <w:tcPr>
            <w:tcW w:w="4675" w:type="dxa"/>
          </w:tcPr>
          <w:p w14:paraId="0F78F776" w14:textId="77777777" w:rsidR="0009130F" w:rsidRPr="00F01347" w:rsidRDefault="0009130F" w:rsidP="0009130F">
            <w:pPr>
              <w:pStyle w:val="texto0"/>
              <w:ind w:firstLine="0"/>
              <w:rPr>
                <w:rFonts w:ascii="Verdana" w:hAnsi="Verdana"/>
                <w:sz w:val="16"/>
                <w:szCs w:val="16"/>
              </w:rPr>
            </w:pPr>
            <w:r w:rsidRPr="00F01347">
              <w:rPr>
                <w:rFonts w:ascii="Verdana" w:hAnsi="Verdana"/>
                <w:b/>
                <w:sz w:val="16"/>
                <w:szCs w:val="16"/>
              </w:rPr>
              <w:lastRenderedPageBreak/>
              <w:t>Límite práctico de cuantificación (LPC)</w:t>
            </w:r>
            <w:r w:rsidRPr="00F01347">
              <w:rPr>
                <w:rFonts w:ascii="Verdana" w:hAnsi="Verdana"/>
                <w:sz w:val="16"/>
                <w:szCs w:val="16"/>
              </w:rPr>
              <w:t>, a la concentración mínima del analito que puede determinarse con un nivel de confianza predeterminado en condiciones rutinarias de operación. Este límite puede establecerse entre 5 a 10 veces el LDM.</w:t>
            </w:r>
          </w:p>
        </w:tc>
        <w:tc>
          <w:tcPr>
            <w:tcW w:w="4675" w:type="dxa"/>
          </w:tcPr>
          <w:p w14:paraId="3C6DCAFF" w14:textId="3A68E235" w:rsidR="0009130F" w:rsidRPr="00F01347" w:rsidRDefault="0009130F" w:rsidP="0009130F">
            <w:pPr>
              <w:pStyle w:val="texto0"/>
              <w:ind w:firstLine="0"/>
              <w:rPr>
                <w:rFonts w:ascii="Verdana" w:hAnsi="Verdana"/>
                <w:b/>
                <w:sz w:val="16"/>
                <w:szCs w:val="16"/>
                <w:lang w:val="en-US"/>
              </w:rPr>
            </w:pPr>
            <w:r w:rsidRPr="00F01347">
              <w:rPr>
                <w:rFonts w:ascii="Verdana" w:hAnsi="Verdana"/>
                <w:b/>
                <w:sz w:val="16"/>
                <w:szCs w:val="16"/>
                <w:lang w:val="en-US"/>
              </w:rPr>
              <w:t>Practical limit of quantification (LPC)</w:t>
            </w:r>
            <w:r w:rsidR="003E1BA9" w:rsidRPr="00F01347">
              <w:rPr>
                <w:rFonts w:ascii="Verdana" w:hAnsi="Verdana"/>
                <w:b/>
                <w:sz w:val="16"/>
                <w:szCs w:val="16"/>
                <w:lang w:val="en-US"/>
              </w:rPr>
              <w:t>,</w:t>
            </w:r>
            <w:r w:rsidRPr="00F01347">
              <w:rPr>
                <w:rFonts w:ascii="Verdana" w:hAnsi="Verdana"/>
                <w:sz w:val="16"/>
                <w:szCs w:val="16"/>
                <w:lang w:val="en-US"/>
              </w:rPr>
              <w:t xml:space="preserve"> the minimum concentration of the analyte that can be determined with a predetermined level of confidence under routine operating conditions. This limit can be set between 5 to 10 times the </w:t>
            </w:r>
            <w:r w:rsidR="00330686" w:rsidRPr="00F01347">
              <w:rPr>
                <w:rFonts w:ascii="Verdana" w:hAnsi="Verdana"/>
                <w:sz w:val="16"/>
                <w:szCs w:val="16"/>
                <w:lang w:val="en-US"/>
              </w:rPr>
              <w:t>LDM</w:t>
            </w:r>
            <w:r w:rsidRPr="00F01347">
              <w:rPr>
                <w:rFonts w:ascii="Verdana" w:hAnsi="Verdana"/>
                <w:sz w:val="16"/>
                <w:szCs w:val="16"/>
                <w:lang w:val="en-US"/>
              </w:rPr>
              <w:t>.</w:t>
            </w:r>
          </w:p>
        </w:tc>
      </w:tr>
      <w:tr w:rsidR="0009130F" w:rsidRPr="00F01347" w14:paraId="58C977A9" w14:textId="170F5229" w:rsidTr="00E57B9F">
        <w:tc>
          <w:tcPr>
            <w:tcW w:w="4675" w:type="dxa"/>
          </w:tcPr>
          <w:p w14:paraId="3696F889" w14:textId="77777777" w:rsidR="0009130F" w:rsidRPr="00F01347" w:rsidRDefault="0009130F" w:rsidP="0009130F">
            <w:pPr>
              <w:pStyle w:val="texto0"/>
              <w:spacing w:line="254" w:lineRule="exact"/>
              <w:ind w:firstLine="0"/>
              <w:rPr>
                <w:rFonts w:ascii="Verdana" w:hAnsi="Verdana"/>
                <w:sz w:val="16"/>
                <w:szCs w:val="16"/>
              </w:rPr>
            </w:pPr>
            <w:r w:rsidRPr="00F01347">
              <w:rPr>
                <w:rFonts w:ascii="Verdana" w:hAnsi="Verdana"/>
                <w:b/>
                <w:sz w:val="16"/>
                <w:szCs w:val="16"/>
              </w:rPr>
              <w:t>Medición</w:t>
            </w:r>
            <w:r w:rsidRPr="00F01347">
              <w:rPr>
                <w:rFonts w:ascii="Verdana" w:hAnsi="Verdana"/>
                <w:sz w:val="16"/>
                <w:szCs w:val="16"/>
              </w:rPr>
              <w:t>, al conjunto de operaciones que tiene por objeto determinar el valor de la magnitud.</w:t>
            </w:r>
          </w:p>
        </w:tc>
        <w:tc>
          <w:tcPr>
            <w:tcW w:w="4675" w:type="dxa"/>
          </w:tcPr>
          <w:p w14:paraId="41CFA78A" w14:textId="40190066"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t>Measurement</w:t>
            </w:r>
            <w:r w:rsidR="003E1BA9" w:rsidRPr="00F01347">
              <w:rPr>
                <w:rFonts w:ascii="Verdana" w:hAnsi="Verdana"/>
                <w:b/>
                <w:sz w:val="16"/>
                <w:szCs w:val="16"/>
                <w:lang w:val="en-US"/>
              </w:rPr>
              <w:t>,</w:t>
            </w:r>
            <w:r w:rsidRPr="00F01347">
              <w:rPr>
                <w:rFonts w:ascii="Verdana" w:hAnsi="Verdana"/>
                <w:sz w:val="16"/>
                <w:szCs w:val="16"/>
                <w:lang w:val="en-US"/>
              </w:rPr>
              <w:t xml:space="preserve"> the set of operations that aims to determine the value of the magnitude.</w:t>
            </w:r>
          </w:p>
        </w:tc>
      </w:tr>
      <w:tr w:rsidR="0009130F" w:rsidRPr="00F01347" w14:paraId="5F0A7333" w14:textId="01F43D73" w:rsidTr="00E57B9F">
        <w:tc>
          <w:tcPr>
            <w:tcW w:w="4675" w:type="dxa"/>
          </w:tcPr>
          <w:p w14:paraId="44006AB5" w14:textId="77777777" w:rsidR="0009130F" w:rsidRPr="00F01347" w:rsidRDefault="0009130F" w:rsidP="0009130F">
            <w:pPr>
              <w:pStyle w:val="texto0"/>
              <w:spacing w:line="254" w:lineRule="exact"/>
              <w:ind w:firstLine="0"/>
              <w:rPr>
                <w:rFonts w:ascii="Verdana" w:hAnsi="Verdana"/>
                <w:sz w:val="16"/>
                <w:szCs w:val="16"/>
              </w:rPr>
            </w:pPr>
            <w:r w:rsidRPr="00F01347">
              <w:rPr>
                <w:rFonts w:ascii="Verdana" w:hAnsi="Verdana"/>
                <w:b/>
                <w:sz w:val="16"/>
                <w:szCs w:val="16"/>
              </w:rPr>
              <w:t>Mensurando</w:t>
            </w:r>
            <w:r w:rsidRPr="00F01347">
              <w:rPr>
                <w:rFonts w:ascii="Verdana" w:hAnsi="Verdana"/>
                <w:sz w:val="16"/>
                <w:szCs w:val="16"/>
              </w:rPr>
              <w:t>, a la magnitud particular sujeta a medición.</w:t>
            </w:r>
          </w:p>
        </w:tc>
        <w:tc>
          <w:tcPr>
            <w:tcW w:w="4675" w:type="dxa"/>
          </w:tcPr>
          <w:p w14:paraId="11E623B8" w14:textId="67B31847"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t>Measuring</w:t>
            </w:r>
            <w:r w:rsidR="003E1BA9" w:rsidRPr="00F01347">
              <w:rPr>
                <w:rFonts w:ascii="Verdana" w:hAnsi="Verdana"/>
                <w:b/>
                <w:sz w:val="16"/>
                <w:szCs w:val="16"/>
                <w:lang w:val="en-US"/>
              </w:rPr>
              <w:t>,</w:t>
            </w:r>
            <w:r w:rsidRPr="00F01347">
              <w:rPr>
                <w:rFonts w:ascii="Verdana" w:hAnsi="Verdana"/>
                <w:sz w:val="16"/>
                <w:szCs w:val="16"/>
                <w:lang w:val="en-US"/>
              </w:rPr>
              <w:t xml:space="preserve"> to the particular magnitude subject to measurement.</w:t>
            </w:r>
          </w:p>
        </w:tc>
      </w:tr>
      <w:tr w:rsidR="0009130F" w:rsidRPr="00F01347" w14:paraId="21E87B77" w14:textId="783FE430" w:rsidTr="00E57B9F">
        <w:tc>
          <w:tcPr>
            <w:tcW w:w="4675" w:type="dxa"/>
          </w:tcPr>
          <w:p w14:paraId="2EF25660" w14:textId="77777777" w:rsidR="0009130F" w:rsidRPr="00F01347" w:rsidRDefault="0009130F" w:rsidP="0009130F">
            <w:pPr>
              <w:pStyle w:val="texto0"/>
              <w:spacing w:line="254" w:lineRule="exact"/>
              <w:ind w:firstLine="0"/>
              <w:rPr>
                <w:rFonts w:ascii="Verdana" w:hAnsi="Verdana"/>
                <w:sz w:val="16"/>
                <w:szCs w:val="16"/>
              </w:rPr>
            </w:pPr>
            <w:r w:rsidRPr="00F01347">
              <w:rPr>
                <w:rFonts w:ascii="Verdana" w:hAnsi="Verdana"/>
                <w:b/>
                <w:sz w:val="16"/>
                <w:szCs w:val="16"/>
              </w:rPr>
              <w:t>Material de referencia</w:t>
            </w:r>
            <w:r w:rsidRPr="00F01347">
              <w:rPr>
                <w:rFonts w:ascii="Verdana" w:hAnsi="Verdana"/>
                <w:sz w:val="16"/>
                <w:szCs w:val="16"/>
              </w:rPr>
              <w:t>, al material o sustancia en el cual uno o más valores de sus propiedades son suficientemente homogéneos y bien definidos, para ser utilizadas para la calibración de aparatos, la evaluación de un método de medición o para asignar valores a los materiales.</w:t>
            </w:r>
          </w:p>
        </w:tc>
        <w:tc>
          <w:tcPr>
            <w:tcW w:w="4675" w:type="dxa"/>
          </w:tcPr>
          <w:p w14:paraId="4621F6A7" w14:textId="7FF26715"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t>Reference material</w:t>
            </w:r>
            <w:r w:rsidR="003E1BA9" w:rsidRPr="00F01347">
              <w:rPr>
                <w:rFonts w:ascii="Verdana" w:hAnsi="Verdana"/>
                <w:b/>
                <w:sz w:val="16"/>
                <w:szCs w:val="16"/>
                <w:lang w:val="en-US"/>
              </w:rPr>
              <w:t>,</w:t>
            </w:r>
            <w:r w:rsidRPr="00F01347">
              <w:rPr>
                <w:rFonts w:ascii="Verdana" w:hAnsi="Verdana"/>
                <w:sz w:val="16"/>
                <w:szCs w:val="16"/>
                <w:lang w:val="en-US"/>
              </w:rPr>
              <w:t xml:space="preserve"> the material or substance in which one or more values of its properties are sufficiently homogeneous and well defined, to be used for the calibration of devices, the evaluation of a measurement method or to assign values to materials.</w:t>
            </w:r>
          </w:p>
        </w:tc>
      </w:tr>
      <w:tr w:rsidR="0009130F" w:rsidRPr="00F01347" w14:paraId="083F2478" w14:textId="7A133923" w:rsidTr="00E57B9F">
        <w:tc>
          <w:tcPr>
            <w:tcW w:w="4675" w:type="dxa"/>
          </w:tcPr>
          <w:p w14:paraId="6ED54EDB" w14:textId="77777777" w:rsidR="0009130F" w:rsidRPr="00F01347" w:rsidRDefault="0009130F" w:rsidP="0009130F">
            <w:pPr>
              <w:pStyle w:val="texto0"/>
              <w:spacing w:line="254" w:lineRule="exact"/>
              <w:ind w:firstLine="0"/>
              <w:rPr>
                <w:rFonts w:ascii="Verdana" w:hAnsi="Verdana"/>
                <w:sz w:val="16"/>
                <w:szCs w:val="16"/>
              </w:rPr>
            </w:pPr>
            <w:r w:rsidRPr="00F01347">
              <w:rPr>
                <w:rFonts w:ascii="Verdana" w:hAnsi="Verdana"/>
                <w:b/>
                <w:sz w:val="16"/>
                <w:szCs w:val="16"/>
              </w:rPr>
              <w:t>Material de referencia certificado</w:t>
            </w:r>
            <w:r w:rsidRPr="00F01347">
              <w:rPr>
                <w:rFonts w:ascii="Verdana" w:hAnsi="Verdana"/>
                <w:sz w:val="16"/>
                <w:szCs w:val="16"/>
              </w:rPr>
              <w:t>, material de referencia, acompañado de un certificado, en el cual uno o más valores de las propiedades están certificados por un procedimiento que establece la trazabilidad a una realización exacta de la unidad en la cual se expresa los valores de la propiedad, y en el que cada valor certificado se acompaña de una incertidumbre con un nivel declarado de confianza.</w:t>
            </w:r>
          </w:p>
        </w:tc>
        <w:tc>
          <w:tcPr>
            <w:tcW w:w="4675" w:type="dxa"/>
          </w:tcPr>
          <w:p w14:paraId="4E83F3FE" w14:textId="0E87EB63"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t>Certified reference material</w:t>
            </w:r>
            <w:r w:rsidR="003E1BA9" w:rsidRPr="00F01347">
              <w:rPr>
                <w:rFonts w:ascii="Verdana" w:hAnsi="Verdana"/>
                <w:b/>
                <w:sz w:val="16"/>
                <w:szCs w:val="16"/>
                <w:lang w:val="en-US"/>
              </w:rPr>
              <w:t>,</w:t>
            </w:r>
            <w:r w:rsidRPr="00F01347">
              <w:rPr>
                <w:rFonts w:ascii="Verdana" w:hAnsi="Verdana"/>
                <w:sz w:val="16"/>
                <w:szCs w:val="16"/>
                <w:lang w:val="en-US"/>
              </w:rPr>
              <w:t xml:space="preserve"> reference material, accompanied by a certificate, in which one or more property values are certified by a procedure that establishes traceability to an exact embodiment of the unit in which the property values are expressed</w:t>
            </w:r>
            <w:r w:rsidR="003E1BA9" w:rsidRPr="00F01347">
              <w:rPr>
                <w:rFonts w:ascii="Verdana" w:hAnsi="Verdana"/>
                <w:sz w:val="16"/>
                <w:szCs w:val="16"/>
                <w:lang w:val="en-US"/>
              </w:rPr>
              <w:t>,</w:t>
            </w:r>
            <w:r w:rsidRPr="00F01347">
              <w:rPr>
                <w:rFonts w:ascii="Verdana" w:hAnsi="Verdana"/>
                <w:sz w:val="16"/>
                <w:szCs w:val="16"/>
                <w:lang w:val="en-US"/>
              </w:rPr>
              <w:t xml:space="preserve"> and in which each certified value is accompanied by an uncertainty with a declared level of confidence.</w:t>
            </w:r>
          </w:p>
        </w:tc>
      </w:tr>
      <w:tr w:rsidR="0009130F" w:rsidRPr="00F01347" w14:paraId="752B68A8" w14:textId="074DE766" w:rsidTr="00E57B9F">
        <w:tc>
          <w:tcPr>
            <w:tcW w:w="4675" w:type="dxa"/>
          </w:tcPr>
          <w:p w14:paraId="7966BB46" w14:textId="77777777" w:rsidR="0009130F" w:rsidRPr="00F01347" w:rsidRDefault="0009130F" w:rsidP="0009130F">
            <w:pPr>
              <w:pStyle w:val="texto0"/>
              <w:spacing w:line="254" w:lineRule="exact"/>
              <w:ind w:firstLine="0"/>
              <w:rPr>
                <w:rFonts w:ascii="Verdana" w:hAnsi="Verdana"/>
                <w:sz w:val="16"/>
                <w:szCs w:val="16"/>
              </w:rPr>
            </w:pPr>
            <w:r w:rsidRPr="00F01347">
              <w:rPr>
                <w:rFonts w:ascii="Verdana" w:hAnsi="Verdana"/>
                <w:b/>
                <w:sz w:val="16"/>
                <w:szCs w:val="16"/>
              </w:rPr>
              <w:t>Muestra de control de calidad (MCC)</w:t>
            </w:r>
            <w:r w:rsidRPr="00F01347">
              <w:rPr>
                <w:rFonts w:ascii="Verdana" w:hAnsi="Verdana"/>
                <w:sz w:val="16"/>
                <w:szCs w:val="16"/>
              </w:rPr>
              <w:t>, a la muestra que contiene todos o un subgrupo de los analitos del método a concentraciones conocidas. Las MCC se obtienen de una fuente externa al laboratorio o se preparan de una fuente de estándares diferentes de la fuente de los estándares de calibración.</w:t>
            </w:r>
          </w:p>
        </w:tc>
        <w:tc>
          <w:tcPr>
            <w:tcW w:w="4675" w:type="dxa"/>
          </w:tcPr>
          <w:p w14:paraId="52B2D5EC" w14:textId="2206D914"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t>Quality control sample (MCC)</w:t>
            </w:r>
            <w:r w:rsidR="003E1BA9" w:rsidRPr="00F01347">
              <w:rPr>
                <w:rFonts w:ascii="Verdana" w:hAnsi="Verdana"/>
                <w:b/>
                <w:sz w:val="16"/>
                <w:szCs w:val="16"/>
                <w:lang w:val="en-US"/>
              </w:rPr>
              <w:t>,</w:t>
            </w:r>
            <w:r w:rsidRPr="00F01347">
              <w:rPr>
                <w:rFonts w:ascii="Verdana" w:hAnsi="Verdana"/>
                <w:sz w:val="16"/>
                <w:szCs w:val="16"/>
                <w:lang w:val="en-US"/>
              </w:rPr>
              <w:t xml:space="preserve"> the sample containing all or a subset of the method analytes at known concentrations. MCCs are obtained from a source outside the laboratory or are prepared from a source of standards other than the source of the calibration standards.</w:t>
            </w:r>
          </w:p>
        </w:tc>
      </w:tr>
      <w:tr w:rsidR="0009130F" w:rsidRPr="00F01347" w14:paraId="467045AE" w14:textId="6698619B" w:rsidTr="00E57B9F">
        <w:tc>
          <w:tcPr>
            <w:tcW w:w="4675" w:type="dxa"/>
          </w:tcPr>
          <w:p w14:paraId="1D5AFB88" w14:textId="77777777" w:rsidR="0009130F" w:rsidRPr="00F01347" w:rsidRDefault="0009130F" w:rsidP="0009130F">
            <w:pPr>
              <w:pStyle w:val="texto0"/>
              <w:spacing w:line="254" w:lineRule="exact"/>
              <w:ind w:firstLine="0"/>
              <w:rPr>
                <w:rFonts w:ascii="Verdana" w:hAnsi="Verdana"/>
                <w:sz w:val="16"/>
                <w:szCs w:val="16"/>
              </w:rPr>
            </w:pPr>
            <w:r w:rsidRPr="00F01347">
              <w:rPr>
                <w:rFonts w:ascii="Verdana" w:hAnsi="Verdana"/>
                <w:b/>
                <w:sz w:val="16"/>
                <w:szCs w:val="16"/>
              </w:rPr>
              <w:t>Parámetro</w:t>
            </w:r>
            <w:r w:rsidRPr="00F01347">
              <w:rPr>
                <w:rFonts w:ascii="Verdana" w:hAnsi="Verdana"/>
                <w:sz w:val="16"/>
                <w:szCs w:val="16"/>
              </w:rPr>
              <w:t>, a la variable que se utiliza como referencia para determinar la calidad del agua.</w:t>
            </w:r>
          </w:p>
        </w:tc>
        <w:tc>
          <w:tcPr>
            <w:tcW w:w="4675" w:type="dxa"/>
          </w:tcPr>
          <w:p w14:paraId="7EE55903" w14:textId="70CFF657"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t>Parameter</w:t>
            </w:r>
            <w:r w:rsidR="003E1BA9" w:rsidRPr="00F01347">
              <w:rPr>
                <w:rFonts w:ascii="Verdana" w:hAnsi="Verdana"/>
                <w:b/>
                <w:sz w:val="16"/>
                <w:szCs w:val="16"/>
                <w:lang w:val="en-US"/>
              </w:rPr>
              <w:t>,</w:t>
            </w:r>
            <w:r w:rsidRPr="00F01347">
              <w:rPr>
                <w:rFonts w:ascii="Verdana" w:hAnsi="Verdana"/>
                <w:sz w:val="16"/>
                <w:szCs w:val="16"/>
                <w:lang w:val="en-US"/>
              </w:rPr>
              <w:t xml:space="preserve"> the variable that is used as a reference to determine the quality of the water.</w:t>
            </w:r>
          </w:p>
        </w:tc>
      </w:tr>
      <w:tr w:rsidR="0009130F" w:rsidRPr="00F01347" w14:paraId="6C4FA0B1" w14:textId="7CAF4680" w:rsidTr="00E57B9F">
        <w:tc>
          <w:tcPr>
            <w:tcW w:w="4675" w:type="dxa"/>
          </w:tcPr>
          <w:p w14:paraId="5C2E03AB" w14:textId="77777777" w:rsidR="0009130F" w:rsidRPr="00F01347" w:rsidRDefault="0009130F" w:rsidP="0009130F">
            <w:pPr>
              <w:pStyle w:val="texto0"/>
              <w:spacing w:line="254" w:lineRule="exact"/>
              <w:ind w:firstLine="0"/>
              <w:rPr>
                <w:rFonts w:ascii="Verdana" w:hAnsi="Verdana"/>
                <w:sz w:val="16"/>
                <w:szCs w:val="16"/>
              </w:rPr>
            </w:pPr>
            <w:r w:rsidRPr="00F01347">
              <w:rPr>
                <w:rFonts w:ascii="Verdana" w:hAnsi="Verdana"/>
                <w:b/>
                <w:sz w:val="16"/>
                <w:szCs w:val="16"/>
              </w:rPr>
              <w:t>Patrón de medición</w:t>
            </w:r>
            <w:r w:rsidRPr="00F01347">
              <w:rPr>
                <w:rFonts w:ascii="Verdana" w:hAnsi="Verdana"/>
                <w:sz w:val="16"/>
                <w:szCs w:val="16"/>
              </w:rPr>
              <w:t>, al material de referencia, instrumento de medición, medida materializada o sistema de medición destinado a definir, realizar, conservar o reproducir una unidad o uno o más valores de una magnitud para utilizarse como referencia.</w:t>
            </w:r>
          </w:p>
        </w:tc>
        <w:tc>
          <w:tcPr>
            <w:tcW w:w="4675" w:type="dxa"/>
          </w:tcPr>
          <w:p w14:paraId="6B30985B" w14:textId="2898EDC4"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t>Measurement standard</w:t>
            </w:r>
            <w:r w:rsidR="003E1BA9" w:rsidRPr="00F01347">
              <w:rPr>
                <w:rFonts w:ascii="Verdana" w:hAnsi="Verdana"/>
                <w:b/>
                <w:sz w:val="16"/>
                <w:szCs w:val="16"/>
                <w:lang w:val="en-US"/>
              </w:rPr>
              <w:t>,</w:t>
            </w:r>
            <w:r w:rsidRPr="00F01347">
              <w:rPr>
                <w:rFonts w:ascii="Verdana" w:hAnsi="Verdana"/>
                <w:sz w:val="16"/>
                <w:szCs w:val="16"/>
                <w:lang w:val="en-US"/>
              </w:rPr>
              <w:t xml:space="preserve"> the reference material, measuring instrument, materialized measurement or measurement system intended to define, perform, </w:t>
            </w:r>
            <w:r w:rsidR="00E57B9F" w:rsidRPr="00F01347">
              <w:rPr>
                <w:rFonts w:ascii="Verdana" w:hAnsi="Verdana"/>
                <w:sz w:val="16"/>
                <w:szCs w:val="16"/>
                <w:lang w:val="en-US"/>
              </w:rPr>
              <w:t>preserve,</w:t>
            </w:r>
            <w:r w:rsidRPr="00F01347">
              <w:rPr>
                <w:rFonts w:ascii="Verdana" w:hAnsi="Verdana"/>
                <w:sz w:val="16"/>
                <w:szCs w:val="16"/>
                <w:lang w:val="en-US"/>
              </w:rPr>
              <w:t xml:space="preserve"> or reproduce a unit or one or more values of a magnitude to be used as a reference.</w:t>
            </w:r>
          </w:p>
        </w:tc>
      </w:tr>
      <w:tr w:rsidR="0009130F" w:rsidRPr="00F01347" w14:paraId="099FD911" w14:textId="2FE8091E" w:rsidTr="00E57B9F">
        <w:tc>
          <w:tcPr>
            <w:tcW w:w="4675" w:type="dxa"/>
          </w:tcPr>
          <w:p w14:paraId="45D4A3E1" w14:textId="77777777" w:rsidR="0009130F" w:rsidRPr="00F01347" w:rsidRDefault="0009130F" w:rsidP="0009130F">
            <w:pPr>
              <w:pStyle w:val="texto0"/>
              <w:spacing w:line="254" w:lineRule="exact"/>
              <w:ind w:firstLine="0"/>
              <w:rPr>
                <w:rFonts w:ascii="Verdana" w:hAnsi="Verdana"/>
                <w:sz w:val="16"/>
                <w:szCs w:val="16"/>
              </w:rPr>
            </w:pPr>
            <w:r w:rsidRPr="00F01347">
              <w:rPr>
                <w:rFonts w:ascii="Verdana" w:hAnsi="Verdana"/>
                <w:b/>
                <w:sz w:val="16"/>
                <w:szCs w:val="16"/>
              </w:rPr>
              <w:t>Patrón nacional de medición</w:t>
            </w:r>
            <w:r w:rsidRPr="00F01347">
              <w:rPr>
                <w:rFonts w:ascii="Verdana" w:hAnsi="Verdana"/>
                <w:sz w:val="16"/>
                <w:szCs w:val="16"/>
              </w:rPr>
              <w:t>, al patrón reconocido por una decisión nacional en un país, que sirve de base para asignar valores a otros patrones de la magnitud concerniente.</w:t>
            </w:r>
          </w:p>
        </w:tc>
        <w:tc>
          <w:tcPr>
            <w:tcW w:w="4675" w:type="dxa"/>
          </w:tcPr>
          <w:p w14:paraId="73B29857" w14:textId="54DD7369"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t>National measurement standard</w:t>
            </w:r>
            <w:r w:rsidR="003E1BA9" w:rsidRPr="00F01347">
              <w:rPr>
                <w:rFonts w:ascii="Verdana" w:hAnsi="Verdana"/>
                <w:b/>
                <w:sz w:val="16"/>
                <w:szCs w:val="16"/>
                <w:lang w:val="en-US"/>
              </w:rPr>
              <w:t>,</w:t>
            </w:r>
            <w:r w:rsidRPr="00F01347">
              <w:rPr>
                <w:rFonts w:ascii="Verdana" w:hAnsi="Verdana"/>
                <w:sz w:val="16"/>
                <w:szCs w:val="16"/>
                <w:lang w:val="en-US"/>
              </w:rPr>
              <w:t xml:space="preserve"> the standard recognized by a national decision in a country, which serves as a basis for assigning values to other standards of the magnitude concerned.</w:t>
            </w:r>
          </w:p>
        </w:tc>
      </w:tr>
      <w:tr w:rsidR="0009130F" w:rsidRPr="00F01347" w14:paraId="2A4D4D06" w14:textId="153C2970" w:rsidTr="00E57B9F">
        <w:tc>
          <w:tcPr>
            <w:tcW w:w="4675" w:type="dxa"/>
          </w:tcPr>
          <w:p w14:paraId="54570AFC" w14:textId="77777777" w:rsidR="0009130F" w:rsidRPr="00F01347" w:rsidRDefault="0009130F" w:rsidP="0009130F">
            <w:pPr>
              <w:pStyle w:val="texto0"/>
              <w:spacing w:line="254" w:lineRule="exact"/>
              <w:ind w:firstLine="0"/>
              <w:rPr>
                <w:rFonts w:ascii="Verdana" w:hAnsi="Verdana"/>
                <w:sz w:val="16"/>
                <w:szCs w:val="16"/>
              </w:rPr>
            </w:pPr>
            <w:r w:rsidRPr="00F01347">
              <w:rPr>
                <w:rFonts w:ascii="Verdana" w:hAnsi="Verdana"/>
                <w:b/>
                <w:sz w:val="16"/>
                <w:szCs w:val="16"/>
              </w:rPr>
              <w:t>Patrón primario</w:t>
            </w:r>
            <w:r w:rsidRPr="00F01347">
              <w:rPr>
                <w:rFonts w:ascii="Verdana" w:hAnsi="Verdana"/>
                <w:sz w:val="16"/>
                <w:szCs w:val="16"/>
              </w:rPr>
              <w:t xml:space="preserve">, al patrón que es designado o reconocido ampliamente como un patrón que tiene las más altas cualidades metrológicas y cuyo valor es </w:t>
            </w:r>
            <w:r w:rsidRPr="00F01347">
              <w:rPr>
                <w:rFonts w:ascii="Verdana" w:hAnsi="Verdana"/>
                <w:sz w:val="16"/>
                <w:szCs w:val="16"/>
              </w:rPr>
              <w:lastRenderedPageBreak/>
              <w:t>aceptado sin referencia a otros patrones de la misma magnitud.</w:t>
            </w:r>
          </w:p>
        </w:tc>
        <w:tc>
          <w:tcPr>
            <w:tcW w:w="4675" w:type="dxa"/>
          </w:tcPr>
          <w:p w14:paraId="400E6236" w14:textId="1F1465BF"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lastRenderedPageBreak/>
              <w:t>Primary standard</w:t>
            </w:r>
            <w:r w:rsidR="003E1BA9" w:rsidRPr="00F01347">
              <w:rPr>
                <w:rFonts w:ascii="Verdana" w:hAnsi="Verdana"/>
                <w:b/>
                <w:sz w:val="16"/>
                <w:szCs w:val="16"/>
                <w:lang w:val="en-US"/>
              </w:rPr>
              <w:t>,</w:t>
            </w:r>
            <w:r w:rsidRPr="00F01347">
              <w:rPr>
                <w:rFonts w:ascii="Verdana" w:hAnsi="Verdana"/>
                <w:sz w:val="16"/>
                <w:szCs w:val="16"/>
                <w:lang w:val="en-US"/>
              </w:rPr>
              <w:t xml:space="preserve"> a standard that is designated or widely recognized as a standard that has the highest metrological qualities and whose value is accepted </w:t>
            </w:r>
            <w:r w:rsidRPr="00F01347">
              <w:rPr>
                <w:rFonts w:ascii="Verdana" w:hAnsi="Verdana"/>
                <w:sz w:val="16"/>
                <w:szCs w:val="16"/>
                <w:lang w:val="en-US"/>
              </w:rPr>
              <w:lastRenderedPageBreak/>
              <w:t>without reference to other standards of the same magnitude.</w:t>
            </w:r>
          </w:p>
        </w:tc>
      </w:tr>
      <w:tr w:rsidR="0009130F" w:rsidRPr="00F01347" w14:paraId="3433B0B5" w14:textId="0E285444" w:rsidTr="00E57B9F">
        <w:tc>
          <w:tcPr>
            <w:tcW w:w="4675" w:type="dxa"/>
          </w:tcPr>
          <w:p w14:paraId="7290B319" w14:textId="77777777" w:rsidR="0009130F" w:rsidRPr="00F01347" w:rsidRDefault="0009130F" w:rsidP="0009130F">
            <w:pPr>
              <w:pStyle w:val="texto0"/>
              <w:spacing w:line="254" w:lineRule="exact"/>
              <w:ind w:firstLine="0"/>
              <w:rPr>
                <w:rFonts w:ascii="Verdana" w:hAnsi="Verdana"/>
                <w:sz w:val="16"/>
                <w:szCs w:val="16"/>
              </w:rPr>
            </w:pPr>
            <w:r w:rsidRPr="00F01347">
              <w:rPr>
                <w:rFonts w:ascii="Verdana" w:hAnsi="Verdana"/>
                <w:b/>
                <w:sz w:val="16"/>
                <w:szCs w:val="16"/>
              </w:rPr>
              <w:lastRenderedPageBreak/>
              <w:t>Patrón secundario</w:t>
            </w:r>
            <w:r w:rsidRPr="00F01347">
              <w:rPr>
                <w:rFonts w:ascii="Verdana" w:hAnsi="Verdana"/>
                <w:sz w:val="16"/>
                <w:szCs w:val="16"/>
              </w:rPr>
              <w:t>, al patrón cuyo valor es establecido por comparación con un patrón primario de la misma magnitud.</w:t>
            </w:r>
          </w:p>
        </w:tc>
        <w:tc>
          <w:tcPr>
            <w:tcW w:w="4675" w:type="dxa"/>
          </w:tcPr>
          <w:p w14:paraId="3C356628" w14:textId="703DF56C"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t>Secondary standard</w:t>
            </w:r>
            <w:r w:rsidR="003E1BA9" w:rsidRPr="00F01347">
              <w:rPr>
                <w:rFonts w:ascii="Verdana" w:hAnsi="Verdana"/>
                <w:b/>
                <w:sz w:val="16"/>
                <w:szCs w:val="16"/>
                <w:lang w:val="en-US"/>
              </w:rPr>
              <w:t>,</w:t>
            </w:r>
            <w:r w:rsidRPr="00F01347">
              <w:rPr>
                <w:rFonts w:ascii="Verdana" w:hAnsi="Verdana"/>
                <w:sz w:val="16"/>
                <w:szCs w:val="16"/>
                <w:lang w:val="en-US"/>
              </w:rPr>
              <w:t xml:space="preserve"> the standard whose value is established by comparison with a primary standard of the same magnitude.</w:t>
            </w:r>
          </w:p>
        </w:tc>
      </w:tr>
      <w:tr w:rsidR="0009130F" w:rsidRPr="00F01347" w14:paraId="5A21E08C" w14:textId="6979BF06" w:rsidTr="00E57B9F">
        <w:tc>
          <w:tcPr>
            <w:tcW w:w="4675" w:type="dxa"/>
          </w:tcPr>
          <w:p w14:paraId="3E0ED583" w14:textId="77777777" w:rsidR="0009130F" w:rsidRPr="00F01347" w:rsidRDefault="0009130F" w:rsidP="0009130F">
            <w:pPr>
              <w:pStyle w:val="texto0"/>
              <w:spacing w:line="254" w:lineRule="exact"/>
              <w:ind w:firstLine="0"/>
              <w:rPr>
                <w:rFonts w:ascii="Verdana" w:hAnsi="Verdana"/>
                <w:sz w:val="16"/>
                <w:szCs w:val="16"/>
              </w:rPr>
            </w:pPr>
            <w:r w:rsidRPr="00F01347">
              <w:rPr>
                <w:rFonts w:ascii="Verdana" w:hAnsi="Verdana"/>
                <w:b/>
                <w:sz w:val="16"/>
                <w:szCs w:val="16"/>
              </w:rPr>
              <w:t>Patrón de referencia</w:t>
            </w:r>
            <w:r w:rsidRPr="00F01347">
              <w:rPr>
                <w:rFonts w:ascii="Verdana" w:hAnsi="Verdana"/>
                <w:sz w:val="16"/>
                <w:szCs w:val="16"/>
              </w:rPr>
              <w:t>, al patrón, en general de la más alta calidad metrológica disponible en un lugar dado, o en una organización determinada de la cual se derivan las mediciones realizadas en dicho lugar.</w:t>
            </w:r>
          </w:p>
        </w:tc>
        <w:tc>
          <w:tcPr>
            <w:tcW w:w="4675" w:type="dxa"/>
          </w:tcPr>
          <w:p w14:paraId="7EA22749" w14:textId="7257D485"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t>Reference standard</w:t>
            </w:r>
            <w:r w:rsidR="003E1BA9" w:rsidRPr="00F01347">
              <w:rPr>
                <w:rFonts w:ascii="Verdana" w:hAnsi="Verdana"/>
                <w:b/>
                <w:sz w:val="16"/>
                <w:szCs w:val="16"/>
                <w:lang w:val="en-US"/>
              </w:rPr>
              <w:t>,</w:t>
            </w:r>
            <w:r w:rsidRPr="00F01347">
              <w:rPr>
                <w:rFonts w:ascii="Verdana" w:hAnsi="Verdana"/>
                <w:sz w:val="16"/>
                <w:szCs w:val="16"/>
                <w:lang w:val="en-US"/>
              </w:rPr>
              <w:t xml:space="preserve"> the standard, generally of the highest metrological quality available at a given location, or at a given organization from which the measurements made at said location are derived.</w:t>
            </w:r>
          </w:p>
        </w:tc>
      </w:tr>
      <w:tr w:rsidR="0009130F" w:rsidRPr="00F01347" w14:paraId="675A953A" w14:textId="4FD38E20" w:rsidTr="00E57B9F">
        <w:tc>
          <w:tcPr>
            <w:tcW w:w="4675" w:type="dxa"/>
          </w:tcPr>
          <w:p w14:paraId="60B05285" w14:textId="77777777" w:rsidR="0009130F" w:rsidRPr="00F01347" w:rsidRDefault="0009130F" w:rsidP="0009130F">
            <w:pPr>
              <w:pStyle w:val="texto0"/>
              <w:spacing w:line="254" w:lineRule="exact"/>
              <w:ind w:firstLine="0"/>
              <w:rPr>
                <w:rFonts w:ascii="Verdana" w:hAnsi="Verdana"/>
                <w:sz w:val="16"/>
                <w:szCs w:val="16"/>
              </w:rPr>
            </w:pPr>
            <w:r w:rsidRPr="00F01347">
              <w:rPr>
                <w:rFonts w:ascii="Verdana" w:hAnsi="Verdana"/>
                <w:b/>
                <w:sz w:val="16"/>
                <w:szCs w:val="16"/>
              </w:rPr>
              <w:t>Patrón de trabajo</w:t>
            </w:r>
            <w:r w:rsidRPr="00F01347">
              <w:rPr>
                <w:rFonts w:ascii="Verdana" w:hAnsi="Verdana"/>
                <w:sz w:val="16"/>
                <w:szCs w:val="16"/>
              </w:rPr>
              <w:t>, al patrón que es usado rutinariamente para calibrar o controlar las medidas materializadas, instrumentos de medición o los materiales de referencia.</w:t>
            </w:r>
          </w:p>
        </w:tc>
        <w:tc>
          <w:tcPr>
            <w:tcW w:w="4675" w:type="dxa"/>
          </w:tcPr>
          <w:p w14:paraId="020046B5" w14:textId="214CA7DD"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t>Working standard</w:t>
            </w:r>
            <w:r w:rsidR="003E1BA9" w:rsidRPr="00F01347">
              <w:rPr>
                <w:rFonts w:ascii="Verdana" w:hAnsi="Verdana"/>
                <w:b/>
                <w:sz w:val="16"/>
                <w:szCs w:val="16"/>
                <w:lang w:val="en-US"/>
              </w:rPr>
              <w:t>,</w:t>
            </w:r>
            <w:r w:rsidRPr="00F01347">
              <w:rPr>
                <w:rFonts w:ascii="Verdana" w:hAnsi="Verdana"/>
                <w:sz w:val="16"/>
                <w:szCs w:val="16"/>
                <w:lang w:val="en-US"/>
              </w:rPr>
              <w:t xml:space="preserve"> the standard that is routinely used to calibrate or control materialized measurements, measuring instruments or reference materials.</w:t>
            </w:r>
          </w:p>
        </w:tc>
      </w:tr>
      <w:tr w:rsidR="0009130F" w:rsidRPr="00F01347" w14:paraId="56F7CBCC" w14:textId="146F7258" w:rsidTr="00E57B9F">
        <w:tc>
          <w:tcPr>
            <w:tcW w:w="4675" w:type="dxa"/>
          </w:tcPr>
          <w:p w14:paraId="191BB4E7" w14:textId="77777777" w:rsidR="0009130F" w:rsidRPr="009F384B" w:rsidRDefault="0009130F" w:rsidP="0009130F">
            <w:pPr>
              <w:pStyle w:val="texto0"/>
              <w:spacing w:line="254" w:lineRule="exact"/>
              <w:ind w:firstLine="0"/>
              <w:rPr>
                <w:rFonts w:ascii="Verdana" w:hAnsi="Verdana"/>
                <w:sz w:val="16"/>
                <w:szCs w:val="16"/>
              </w:rPr>
            </w:pPr>
            <w:r w:rsidRPr="009F384B">
              <w:rPr>
                <w:rFonts w:ascii="Verdana" w:hAnsi="Verdana"/>
                <w:b/>
                <w:sz w:val="16"/>
                <w:szCs w:val="16"/>
              </w:rPr>
              <w:t>Precisión</w:t>
            </w:r>
            <w:r w:rsidRPr="009F384B">
              <w:rPr>
                <w:rFonts w:ascii="Verdana" w:hAnsi="Verdana"/>
                <w:sz w:val="16"/>
                <w:szCs w:val="16"/>
              </w:rPr>
              <w:t>, al grado de concordancia entre resultados analíticos individuales cuando el procedimiento analítico se aplica repetidamente a diferentes alícuotas o porciones de una muestra homogénea. Usualmente se expresa en términos del intervalo de confianza o incertidumbre.</w:t>
            </w:r>
          </w:p>
        </w:tc>
        <w:tc>
          <w:tcPr>
            <w:tcW w:w="4675" w:type="dxa"/>
          </w:tcPr>
          <w:p w14:paraId="12826580" w14:textId="21EC815C" w:rsidR="0009130F" w:rsidRPr="009F384B" w:rsidRDefault="0009130F" w:rsidP="0009130F">
            <w:pPr>
              <w:pStyle w:val="texto0"/>
              <w:spacing w:line="254" w:lineRule="exact"/>
              <w:ind w:firstLine="0"/>
              <w:rPr>
                <w:rFonts w:ascii="Verdana" w:hAnsi="Verdana"/>
                <w:b/>
                <w:sz w:val="16"/>
                <w:szCs w:val="16"/>
                <w:lang w:val="en-US"/>
              </w:rPr>
            </w:pPr>
            <w:r w:rsidRPr="009F384B">
              <w:rPr>
                <w:rFonts w:ascii="Verdana" w:hAnsi="Verdana"/>
                <w:b/>
                <w:sz w:val="16"/>
                <w:szCs w:val="16"/>
                <w:lang w:val="en-US"/>
              </w:rPr>
              <w:t>Precision</w:t>
            </w:r>
            <w:r w:rsidR="003E1BA9" w:rsidRPr="009F384B">
              <w:rPr>
                <w:rFonts w:ascii="Verdana" w:hAnsi="Verdana"/>
                <w:b/>
                <w:sz w:val="16"/>
                <w:szCs w:val="16"/>
                <w:lang w:val="en-US"/>
              </w:rPr>
              <w:t>,</w:t>
            </w:r>
            <w:r w:rsidRPr="009F384B">
              <w:rPr>
                <w:rFonts w:ascii="Verdana" w:hAnsi="Verdana"/>
                <w:sz w:val="16"/>
                <w:szCs w:val="16"/>
                <w:lang w:val="en-US"/>
              </w:rPr>
              <w:t xml:space="preserve"> the degree of agreement between individual analytical results when the analytical procedure is applied repeatedly to different aliquots or portions of a homogeneous sample. It is usually expressed in terms of the confidence interval or uncertainty.</w:t>
            </w:r>
          </w:p>
        </w:tc>
      </w:tr>
      <w:tr w:rsidR="0009130F" w:rsidRPr="00F01347" w14:paraId="1AD6377C" w14:textId="4EE05FEA" w:rsidTr="00E57B9F">
        <w:tc>
          <w:tcPr>
            <w:tcW w:w="4675" w:type="dxa"/>
          </w:tcPr>
          <w:p w14:paraId="7B522EB1" w14:textId="77777777" w:rsidR="0009130F" w:rsidRPr="00F01347" w:rsidRDefault="0009130F" w:rsidP="0009130F">
            <w:pPr>
              <w:pStyle w:val="texto0"/>
              <w:spacing w:line="254" w:lineRule="exact"/>
              <w:ind w:firstLine="0"/>
              <w:rPr>
                <w:rFonts w:ascii="Verdana" w:hAnsi="Verdana"/>
                <w:b/>
                <w:sz w:val="16"/>
                <w:szCs w:val="16"/>
              </w:rPr>
            </w:pPr>
            <w:r w:rsidRPr="00F01347">
              <w:rPr>
                <w:rFonts w:ascii="Verdana" w:hAnsi="Verdana"/>
                <w:b/>
                <w:sz w:val="16"/>
                <w:szCs w:val="16"/>
              </w:rPr>
              <w:t>B.11.2.2 Símbolos y términos abreviados</w:t>
            </w:r>
          </w:p>
        </w:tc>
        <w:tc>
          <w:tcPr>
            <w:tcW w:w="4675" w:type="dxa"/>
          </w:tcPr>
          <w:p w14:paraId="10CC7438" w14:textId="58F30266"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t>B.11.2.2 Symbols and abbreviated terms</w:t>
            </w:r>
          </w:p>
        </w:tc>
      </w:tr>
      <w:tr w:rsidR="0009130F" w:rsidRPr="00F01347" w14:paraId="5F86947C" w14:textId="2E2E8A13" w:rsidTr="00E57B9F">
        <w:tc>
          <w:tcPr>
            <w:tcW w:w="4675" w:type="dxa"/>
          </w:tcPr>
          <w:p w14:paraId="271B5B34" w14:textId="77777777" w:rsidR="0009130F" w:rsidRPr="00F01347" w:rsidRDefault="0009130F" w:rsidP="0009130F">
            <w:pPr>
              <w:pStyle w:val="texto0"/>
              <w:snapToGrid/>
              <w:spacing w:line="240" w:lineRule="exact"/>
              <w:ind w:firstLine="0"/>
              <w:rPr>
                <w:rFonts w:ascii="Verdana" w:hAnsi="Verdana"/>
                <w:sz w:val="16"/>
                <w:szCs w:val="16"/>
              </w:rPr>
            </w:pPr>
            <w:r w:rsidRPr="00F01347">
              <w:rPr>
                <w:rFonts w:ascii="Verdana" w:hAnsi="Verdana"/>
                <w:sz w:val="16"/>
                <w:szCs w:val="16"/>
              </w:rPr>
              <w:t>AMT</w:t>
            </w:r>
            <w:r w:rsidRPr="00F01347">
              <w:rPr>
                <w:rFonts w:ascii="Verdana" w:hAnsi="Verdana"/>
                <w:sz w:val="16"/>
                <w:szCs w:val="16"/>
              </w:rPr>
              <w:tab/>
              <w:t xml:space="preserve">azul de </w:t>
            </w:r>
            <w:proofErr w:type="spellStart"/>
            <w:r w:rsidRPr="00F01347">
              <w:rPr>
                <w:rFonts w:ascii="Verdana" w:hAnsi="Verdana"/>
                <w:sz w:val="16"/>
                <w:szCs w:val="16"/>
              </w:rPr>
              <w:t>metiltimol</w:t>
            </w:r>
            <w:proofErr w:type="spellEnd"/>
          </w:p>
        </w:tc>
        <w:tc>
          <w:tcPr>
            <w:tcW w:w="4675" w:type="dxa"/>
          </w:tcPr>
          <w:p w14:paraId="4A73CE39" w14:textId="7DAFE8E1" w:rsidR="0009130F" w:rsidRPr="00F01347" w:rsidRDefault="0009130F" w:rsidP="0009130F">
            <w:pPr>
              <w:pStyle w:val="texto0"/>
              <w:snapToGrid/>
              <w:spacing w:line="240" w:lineRule="exact"/>
              <w:ind w:firstLine="0"/>
              <w:rPr>
                <w:rFonts w:ascii="Verdana" w:hAnsi="Verdana"/>
                <w:sz w:val="16"/>
                <w:szCs w:val="16"/>
                <w:lang w:val="en-US"/>
              </w:rPr>
            </w:pPr>
            <w:r w:rsidRPr="00F01347">
              <w:rPr>
                <w:rFonts w:ascii="Verdana" w:hAnsi="Verdana"/>
                <w:sz w:val="16"/>
                <w:szCs w:val="16"/>
                <w:lang w:val="en-US"/>
              </w:rPr>
              <w:t xml:space="preserve">AMT </w:t>
            </w:r>
            <w:r w:rsidRPr="00F01347">
              <w:rPr>
                <w:rFonts w:ascii="Verdana" w:hAnsi="Verdana"/>
                <w:sz w:val="16"/>
                <w:szCs w:val="16"/>
                <w:lang w:val="en-US"/>
              </w:rPr>
              <w:tab/>
              <w:t>methylthymol blue</w:t>
            </w:r>
          </w:p>
        </w:tc>
      </w:tr>
      <w:tr w:rsidR="0009130F" w:rsidRPr="00F01347" w14:paraId="681B3D4A" w14:textId="6A4F91AB" w:rsidTr="00E57B9F">
        <w:tc>
          <w:tcPr>
            <w:tcW w:w="4675" w:type="dxa"/>
          </w:tcPr>
          <w:p w14:paraId="48FB3489" w14:textId="77777777" w:rsidR="0009130F" w:rsidRPr="00F01347" w:rsidRDefault="0009130F" w:rsidP="0009130F">
            <w:pPr>
              <w:pStyle w:val="texto0"/>
              <w:snapToGrid/>
              <w:spacing w:line="240" w:lineRule="exact"/>
              <w:ind w:firstLine="0"/>
              <w:rPr>
                <w:rFonts w:ascii="Verdana" w:hAnsi="Verdana"/>
                <w:sz w:val="16"/>
                <w:szCs w:val="16"/>
              </w:rPr>
            </w:pPr>
            <w:r w:rsidRPr="00F01347">
              <w:rPr>
                <w:rFonts w:ascii="Verdana" w:hAnsi="Verdana"/>
                <w:sz w:val="16"/>
                <w:szCs w:val="16"/>
              </w:rPr>
              <w:t>LDM</w:t>
            </w:r>
            <w:r w:rsidRPr="00F01347">
              <w:rPr>
                <w:rFonts w:ascii="Verdana" w:hAnsi="Verdana"/>
                <w:sz w:val="16"/>
                <w:szCs w:val="16"/>
              </w:rPr>
              <w:tab/>
              <w:t>límite de detección del método</w:t>
            </w:r>
          </w:p>
        </w:tc>
        <w:tc>
          <w:tcPr>
            <w:tcW w:w="4675" w:type="dxa"/>
          </w:tcPr>
          <w:p w14:paraId="09943EB7" w14:textId="21AC3E17" w:rsidR="0009130F" w:rsidRPr="00F01347" w:rsidRDefault="009F384B" w:rsidP="0009130F">
            <w:pPr>
              <w:pStyle w:val="texto0"/>
              <w:snapToGrid/>
              <w:spacing w:line="240" w:lineRule="exact"/>
              <w:ind w:firstLine="0"/>
              <w:rPr>
                <w:rFonts w:ascii="Verdana" w:hAnsi="Verdana"/>
                <w:sz w:val="16"/>
                <w:szCs w:val="16"/>
                <w:lang w:val="en-US"/>
              </w:rPr>
            </w:pPr>
            <w:r>
              <w:rPr>
                <w:rFonts w:ascii="Verdana" w:hAnsi="Verdana"/>
                <w:sz w:val="16"/>
                <w:szCs w:val="16"/>
                <w:lang w:val="en-US"/>
              </w:rPr>
              <w:t>LDM</w:t>
            </w:r>
            <w:r w:rsidR="0009130F" w:rsidRPr="00F01347">
              <w:rPr>
                <w:rFonts w:ascii="Verdana" w:hAnsi="Verdana"/>
                <w:sz w:val="16"/>
                <w:szCs w:val="16"/>
                <w:lang w:val="en-US"/>
              </w:rPr>
              <w:t xml:space="preserve"> </w:t>
            </w:r>
            <w:r w:rsidR="0009130F" w:rsidRPr="00F01347">
              <w:rPr>
                <w:rFonts w:ascii="Verdana" w:hAnsi="Verdana"/>
                <w:sz w:val="16"/>
                <w:szCs w:val="16"/>
                <w:lang w:val="en-US"/>
              </w:rPr>
              <w:tab/>
              <w:t>detection limit of the method</w:t>
            </w:r>
          </w:p>
        </w:tc>
      </w:tr>
      <w:tr w:rsidR="0009130F" w:rsidRPr="00F01347" w14:paraId="607E767E" w14:textId="7EC37EAE" w:rsidTr="00E57B9F">
        <w:tc>
          <w:tcPr>
            <w:tcW w:w="4675" w:type="dxa"/>
          </w:tcPr>
          <w:p w14:paraId="780B31B2" w14:textId="77777777" w:rsidR="0009130F" w:rsidRPr="00F01347" w:rsidRDefault="0009130F" w:rsidP="0009130F">
            <w:pPr>
              <w:pStyle w:val="texto0"/>
              <w:snapToGrid/>
              <w:spacing w:line="240" w:lineRule="exact"/>
              <w:ind w:firstLine="0"/>
              <w:rPr>
                <w:rFonts w:ascii="Verdana" w:hAnsi="Verdana"/>
                <w:sz w:val="16"/>
                <w:szCs w:val="16"/>
              </w:rPr>
            </w:pPr>
            <w:r w:rsidRPr="00F01347">
              <w:rPr>
                <w:rFonts w:ascii="Verdana" w:hAnsi="Verdana"/>
                <w:sz w:val="16"/>
                <w:szCs w:val="16"/>
              </w:rPr>
              <w:t>LPC</w:t>
            </w:r>
            <w:r w:rsidRPr="00F01347">
              <w:rPr>
                <w:rFonts w:ascii="Verdana" w:hAnsi="Verdana"/>
                <w:sz w:val="16"/>
                <w:szCs w:val="16"/>
              </w:rPr>
              <w:tab/>
              <w:t>límite práctico de cuantificación</w:t>
            </w:r>
          </w:p>
        </w:tc>
        <w:tc>
          <w:tcPr>
            <w:tcW w:w="4675" w:type="dxa"/>
          </w:tcPr>
          <w:p w14:paraId="2CDFC782" w14:textId="0EDB3C55" w:rsidR="0009130F" w:rsidRPr="00F01347" w:rsidRDefault="0009130F" w:rsidP="0009130F">
            <w:pPr>
              <w:pStyle w:val="texto0"/>
              <w:snapToGrid/>
              <w:spacing w:line="240" w:lineRule="exact"/>
              <w:ind w:firstLine="0"/>
              <w:rPr>
                <w:rFonts w:ascii="Verdana" w:hAnsi="Verdana"/>
                <w:sz w:val="16"/>
                <w:szCs w:val="16"/>
                <w:lang w:val="en-US"/>
              </w:rPr>
            </w:pPr>
            <w:r w:rsidRPr="00F01347">
              <w:rPr>
                <w:rFonts w:ascii="Verdana" w:hAnsi="Verdana"/>
                <w:sz w:val="16"/>
                <w:szCs w:val="16"/>
                <w:lang w:val="en-US"/>
              </w:rPr>
              <w:t xml:space="preserve">LPC </w:t>
            </w:r>
            <w:r w:rsidRPr="00F01347">
              <w:rPr>
                <w:rFonts w:ascii="Verdana" w:hAnsi="Verdana"/>
                <w:sz w:val="16"/>
                <w:szCs w:val="16"/>
                <w:lang w:val="en-US"/>
              </w:rPr>
              <w:tab/>
              <w:t>practical limit of quantification</w:t>
            </w:r>
          </w:p>
        </w:tc>
      </w:tr>
      <w:tr w:rsidR="0009130F" w:rsidRPr="00F01347" w14:paraId="596244D7" w14:textId="2E866A36" w:rsidTr="00E57B9F">
        <w:tc>
          <w:tcPr>
            <w:tcW w:w="4675" w:type="dxa"/>
          </w:tcPr>
          <w:p w14:paraId="6E94B14A" w14:textId="77777777" w:rsidR="0009130F" w:rsidRPr="00F01347" w:rsidRDefault="0009130F" w:rsidP="0009130F">
            <w:pPr>
              <w:pStyle w:val="Texto"/>
              <w:spacing w:line="240" w:lineRule="exact"/>
              <w:ind w:firstLine="0"/>
              <w:rPr>
                <w:rFonts w:ascii="Verdana" w:hAnsi="Verdana"/>
                <w:sz w:val="16"/>
                <w:szCs w:val="16"/>
              </w:rPr>
            </w:pPr>
            <w:r w:rsidRPr="00F01347">
              <w:rPr>
                <w:sz w:val="16"/>
                <w:szCs w:val="16"/>
              </w:rPr>
              <w:t>►</w:t>
            </w:r>
            <w:r w:rsidRPr="00F01347">
              <w:rPr>
                <w:rFonts w:ascii="Verdana" w:hAnsi="Verdana"/>
                <w:sz w:val="16"/>
                <w:szCs w:val="16"/>
              </w:rPr>
              <w:tab/>
              <w:t>botón de inicio de análisis</w:t>
            </w:r>
          </w:p>
        </w:tc>
        <w:tc>
          <w:tcPr>
            <w:tcW w:w="4675" w:type="dxa"/>
          </w:tcPr>
          <w:p w14:paraId="75A5630B" w14:textId="0BA65443" w:rsidR="0009130F" w:rsidRPr="00F01347" w:rsidRDefault="0009130F" w:rsidP="0009130F">
            <w:pPr>
              <w:pStyle w:val="Texto"/>
              <w:spacing w:line="240" w:lineRule="exact"/>
              <w:ind w:firstLine="0"/>
              <w:rPr>
                <w:sz w:val="16"/>
                <w:szCs w:val="16"/>
                <w:lang w:val="en-US"/>
              </w:rPr>
            </w:pPr>
            <w:r w:rsidRPr="00F01347">
              <w:rPr>
                <w:sz w:val="16"/>
                <w:szCs w:val="16"/>
                <w:lang w:val="en-US"/>
              </w:rPr>
              <w:t xml:space="preserve">► </w:t>
            </w:r>
            <w:r w:rsidRPr="00F01347">
              <w:rPr>
                <w:rFonts w:ascii="Verdana" w:hAnsi="Verdana"/>
                <w:sz w:val="16"/>
                <w:szCs w:val="16"/>
                <w:lang w:val="en-US"/>
              </w:rPr>
              <w:tab/>
              <w:t>start analysis button</w:t>
            </w:r>
          </w:p>
        </w:tc>
      </w:tr>
      <w:tr w:rsidR="0009130F" w:rsidRPr="00F01347" w14:paraId="21B6A37C" w14:textId="37C5285A" w:rsidTr="00E57B9F">
        <w:tc>
          <w:tcPr>
            <w:tcW w:w="4675" w:type="dxa"/>
          </w:tcPr>
          <w:p w14:paraId="29F7C7BF" w14:textId="77777777" w:rsidR="0009130F" w:rsidRPr="00F01347" w:rsidRDefault="0009130F" w:rsidP="0009130F">
            <w:pPr>
              <w:pStyle w:val="texto0"/>
              <w:spacing w:line="254" w:lineRule="exact"/>
              <w:ind w:firstLine="0"/>
              <w:rPr>
                <w:rFonts w:ascii="Verdana" w:hAnsi="Verdana"/>
                <w:b/>
                <w:sz w:val="16"/>
                <w:szCs w:val="16"/>
              </w:rPr>
            </w:pPr>
            <w:r w:rsidRPr="00F01347">
              <w:rPr>
                <w:rFonts w:ascii="Verdana" w:hAnsi="Verdana"/>
                <w:b/>
                <w:sz w:val="16"/>
                <w:szCs w:val="16"/>
              </w:rPr>
              <w:t>B.11.2.3 Principio</w:t>
            </w:r>
          </w:p>
        </w:tc>
        <w:tc>
          <w:tcPr>
            <w:tcW w:w="4675" w:type="dxa"/>
          </w:tcPr>
          <w:p w14:paraId="21A9D073" w14:textId="06FB377B" w:rsidR="0009130F" w:rsidRPr="00F01347" w:rsidRDefault="0009130F" w:rsidP="0009130F">
            <w:pPr>
              <w:pStyle w:val="texto0"/>
              <w:spacing w:line="254" w:lineRule="exact"/>
              <w:ind w:firstLine="0"/>
              <w:rPr>
                <w:rFonts w:ascii="Verdana" w:hAnsi="Verdana"/>
                <w:b/>
                <w:sz w:val="16"/>
                <w:szCs w:val="16"/>
                <w:lang w:val="en-US"/>
              </w:rPr>
            </w:pPr>
            <w:r w:rsidRPr="00F01347">
              <w:rPr>
                <w:rFonts w:ascii="Verdana" w:hAnsi="Verdana"/>
                <w:b/>
                <w:sz w:val="16"/>
                <w:szCs w:val="16"/>
                <w:lang w:val="en-US"/>
              </w:rPr>
              <w:t>B.11.2.3 Principle</w:t>
            </w:r>
          </w:p>
        </w:tc>
      </w:tr>
      <w:tr w:rsidR="0009130F" w:rsidRPr="00F01347" w14:paraId="0846AE32" w14:textId="1F39B628" w:rsidTr="00E57B9F">
        <w:tc>
          <w:tcPr>
            <w:tcW w:w="4675" w:type="dxa"/>
          </w:tcPr>
          <w:p w14:paraId="76AA8F41" w14:textId="77777777" w:rsidR="0009130F" w:rsidRPr="00F01347" w:rsidRDefault="0009130F" w:rsidP="0009130F">
            <w:pPr>
              <w:pStyle w:val="texto0"/>
              <w:spacing w:line="258" w:lineRule="exact"/>
              <w:ind w:firstLine="0"/>
              <w:rPr>
                <w:rFonts w:ascii="Verdana" w:hAnsi="Verdana"/>
                <w:sz w:val="16"/>
                <w:szCs w:val="16"/>
              </w:rPr>
            </w:pPr>
            <w:r w:rsidRPr="00F01347">
              <w:rPr>
                <w:rFonts w:ascii="Verdana" w:hAnsi="Verdana"/>
                <w:sz w:val="16"/>
                <w:szCs w:val="16"/>
              </w:rPr>
              <w:t xml:space="preserve">La muestra se hace pasar por una columna de intercambio catiónico para eliminar iones multivalentes. Después, el sulfato en la muestra reacciona con un complejo de bario- azul de </w:t>
            </w:r>
            <w:proofErr w:type="spellStart"/>
            <w:r w:rsidRPr="00F01347">
              <w:rPr>
                <w:rFonts w:ascii="Verdana" w:hAnsi="Verdana"/>
                <w:sz w:val="16"/>
                <w:szCs w:val="16"/>
              </w:rPr>
              <w:t>metiltimol</w:t>
            </w:r>
            <w:proofErr w:type="spellEnd"/>
            <w:r w:rsidRPr="00F01347">
              <w:rPr>
                <w:rFonts w:ascii="Verdana" w:hAnsi="Verdana"/>
                <w:sz w:val="16"/>
                <w:szCs w:val="16"/>
              </w:rPr>
              <w:t xml:space="preserve"> (Ba-AMT) a un pH entre 2.5 y 3.0 para obtener sulfato de bario (BaSO4) y azul de </w:t>
            </w:r>
            <w:proofErr w:type="spellStart"/>
            <w:r w:rsidRPr="00F01347">
              <w:rPr>
                <w:rFonts w:ascii="Verdana" w:hAnsi="Verdana"/>
                <w:sz w:val="16"/>
                <w:szCs w:val="16"/>
              </w:rPr>
              <w:t>metiltimol</w:t>
            </w:r>
            <w:proofErr w:type="spellEnd"/>
            <w:r w:rsidRPr="00F01347">
              <w:rPr>
                <w:rFonts w:ascii="Verdana" w:hAnsi="Verdana"/>
                <w:sz w:val="16"/>
                <w:szCs w:val="16"/>
              </w:rPr>
              <w:t xml:space="preserve"> libre (AMT) (Fig. B.11.2-1, de este Apéndice). Posteriormente se eleva el pH de la disolución a un valor entre 12.5 y 13.0. A este pH, el complejo [Bario (AMT)] es azul (</w:t>
            </w:r>
            <w:r w:rsidRPr="00F01347">
              <w:rPr>
                <w:rFonts w:ascii="Verdana" w:hAnsi="Verdana"/>
                <w:sz w:val="16"/>
                <w:szCs w:val="16"/>
              </w:rPr>
              <w:sym w:font="Symbol" w:char="F06C"/>
            </w:r>
            <w:r w:rsidRPr="00F01347">
              <w:rPr>
                <w:rFonts w:ascii="Verdana" w:hAnsi="Verdana"/>
                <w:sz w:val="16"/>
                <w:szCs w:val="16"/>
              </w:rPr>
              <w:t xml:space="preserve"> </w:t>
            </w:r>
            <w:proofErr w:type="spellStart"/>
            <w:r w:rsidRPr="00F01347">
              <w:rPr>
                <w:rFonts w:ascii="Verdana" w:hAnsi="Verdana"/>
                <w:sz w:val="16"/>
                <w:szCs w:val="16"/>
              </w:rPr>
              <w:t>máx</w:t>
            </w:r>
            <w:proofErr w:type="spellEnd"/>
            <w:r w:rsidRPr="00F01347">
              <w:rPr>
                <w:rFonts w:ascii="Verdana" w:hAnsi="Verdana"/>
                <w:sz w:val="16"/>
                <w:szCs w:val="16"/>
              </w:rPr>
              <w:t>=610 nm), mientras que el AMT libre es gris (</w:t>
            </w:r>
            <w:r w:rsidRPr="00F01347">
              <w:rPr>
                <w:rFonts w:ascii="Verdana" w:hAnsi="Verdana"/>
                <w:sz w:val="16"/>
                <w:szCs w:val="16"/>
              </w:rPr>
              <w:sym w:font="Symbol" w:char="F06C"/>
            </w:r>
            <w:proofErr w:type="spellStart"/>
            <w:r w:rsidRPr="00F01347">
              <w:rPr>
                <w:rFonts w:ascii="Verdana" w:hAnsi="Verdana"/>
                <w:sz w:val="16"/>
                <w:szCs w:val="16"/>
              </w:rPr>
              <w:t>máx</w:t>
            </w:r>
            <w:proofErr w:type="spellEnd"/>
            <w:r w:rsidRPr="00F01347">
              <w:rPr>
                <w:rFonts w:ascii="Verdana" w:hAnsi="Verdana"/>
                <w:sz w:val="16"/>
                <w:szCs w:val="16"/>
              </w:rPr>
              <w:t xml:space="preserve"> =460 nm). Dado que las concentraciones molares de bario y de AMT son aproximadamente iguales, la concentración de sulfato en la muestra es directamente proporcional a la concentración de AMT libre (siempre y cuando la concentración de sulfato no exceda la concentración del complejo Bario-AMT) el cual se mide a 460 nm. La curva de calibración de sulfato no se ajusta a un modelo de primer orden, sino a uno de tercero. Se ha sugerido que esto se debe a la formación de complejos binucleares de Bario-AMT y a las impurezas que contiene el AMT comercial.</w:t>
            </w:r>
          </w:p>
        </w:tc>
        <w:tc>
          <w:tcPr>
            <w:tcW w:w="4675" w:type="dxa"/>
          </w:tcPr>
          <w:p w14:paraId="040DF22E" w14:textId="3C47F13E" w:rsidR="0009130F" w:rsidRPr="00F01347" w:rsidRDefault="0009130F" w:rsidP="0009130F">
            <w:pPr>
              <w:pStyle w:val="texto0"/>
              <w:spacing w:line="258" w:lineRule="exact"/>
              <w:ind w:firstLine="0"/>
              <w:rPr>
                <w:rFonts w:ascii="Verdana" w:hAnsi="Verdana"/>
                <w:sz w:val="16"/>
                <w:szCs w:val="16"/>
                <w:lang w:val="en-US"/>
              </w:rPr>
            </w:pPr>
            <w:r w:rsidRPr="00F01347">
              <w:rPr>
                <w:rFonts w:ascii="Verdana" w:hAnsi="Verdana"/>
                <w:sz w:val="16"/>
                <w:szCs w:val="16"/>
                <w:lang w:val="en-US"/>
              </w:rPr>
              <w:t>The sample is passed through a cation exchange column to remove multivalent ions. Then, the sulfate in the sample reacts with a barium-methylthymol blue (Ba-AMT) complex at a pH between 2.5 and 3.0 to obtain barium sulfate (BaSO4) and free methylthymol blue (AMT) (Fig. B. 11.2-1, of this Appendix). Subsequently, the pH of the solution is raised to a value between 12.5 and 13.0. At this pH, the [Barium (AMT)] complex is blue (</w:t>
            </w:r>
            <w:r w:rsidRPr="00F01347">
              <w:rPr>
                <w:rFonts w:ascii="Verdana" w:hAnsi="Verdana"/>
                <w:sz w:val="16"/>
                <w:szCs w:val="16"/>
                <w:lang w:val="en-US"/>
              </w:rPr>
              <w:sym w:font="Symbol" w:char="F06C"/>
            </w:r>
            <w:r w:rsidRPr="00F01347">
              <w:rPr>
                <w:rFonts w:ascii="Verdana" w:hAnsi="Verdana"/>
                <w:sz w:val="16"/>
                <w:szCs w:val="16"/>
                <w:lang w:val="en-US"/>
              </w:rPr>
              <w:t xml:space="preserve"> max =610 nm), while free AMT is gray </w:t>
            </w:r>
            <w:r w:rsidR="00CB209C" w:rsidRPr="00F01347">
              <w:rPr>
                <w:rFonts w:ascii="Verdana" w:hAnsi="Verdana"/>
                <w:sz w:val="16"/>
                <w:szCs w:val="16"/>
                <w:lang w:val="en-US"/>
              </w:rPr>
              <w:t>(</w:t>
            </w:r>
            <w:r w:rsidRPr="00F01347">
              <w:rPr>
                <w:rFonts w:ascii="Verdana" w:hAnsi="Verdana"/>
                <w:sz w:val="16"/>
                <w:szCs w:val="16"/>
                <w:lang w:val="en-US"/>
              </w:rPr>
              <w:sym w:font="Symbol" w:char="F06C"/>
            </w:r>
            <w:r w:rsidRPr="00F01347">
              <w:rPr>
                <w:rFonts w:ascii="Verdana" w:hAnsi="Verdana"/>
                <w:sz w:val="16"/>
                <w:szCs w:val="16"/>
                <w:lang w:val="en-US"/>
              </w:rPr>
              <w:t>max =460 nm). Since the molar concentrations of barium and AMT are approximately equal, the concentration of sulfate in the sample is directly proportional to the concentration of free AMT (</w:t>
            </w:r>
            <w:proofErr w:type="gramStart"/>
            <w:r w:rsidRPr="00F01347">
              <w:rPr>
                <w:rFonts w:ascii="Verdana" w:hAnsi="Verdana"/>
                <w:sz w:val="16"/>
                <w:szCs w:val="16"/>
                <w:lang w:val="en-US"/>
              </w:rPr>
              <w:t>as long as</w:t>
            </w:r>
            <w:proofErr w:type="gramEnd"/>
            <w:r w:rsidRPr="00F01347">
              <w:rPr>
                <w:rFonts w:ascii="Verdana" w:hAnsi="Verdana"/>
                <w:sz w:val="16"/>
                <w:szCs w:val="16"/>
                <w:lang w:val="en-US"/>
              </w:rPr>
              <w:t xml:space="preserve"> the concentration of sulfate does not exceed the concentration of the Barium-AMT complex) which It is measured at 460 nm. The sulfate calibration curve does not fit a first-order model, but rather a third-order model. It has been suggested that this is due to the formation of binuclear Barium-AMT complexes and the impurities contained in commercial AMT.</w:t>
            </w:r>
          </w:p>
        </w:tc>
      </w:tr>
    </w:tbl>
    <w:p w14:paraId="0D291BBD" w14:textId="29653B11" w:rsidR="00A74CDF" w:rsidRPr="00F01347" w:rsidRDefault="00471638" w:rsidP="003A601B">
      <w:pPr>
        <w:pStyle w:val="texto0"/>
        <w:spacing w:line="240" w:lineRule="auto"/>
        <w:ind w:firstLine="0"/>
        <w:jc w:val="center"/>
        <w:rPr>
          <w:rFonts w:ascii="Verdana" w:hAnsi="Verdana"/>
          <w:sz w:val="16"/>
          <w:szCs w:val="16"/>
        </w:rPr>
      </w:pPr>
      <w:r w:rsidRPr="00F01347">
        <w:rPr>
          <w:rFonts w:ascii="Verdana" w:hAnsi="Verdana"/>
          <w:noProof/>
          <w:sz w:val="16"/>
          <w:szCs w:val="16"/>
        </w:rPr>
        <w:lastRenderedPageBreak/>
        <w:drawing>
          <wp:inline distT="0" distB="0" distL="0" distR="0" wp14:anchorId="5A9F0BBF" wp14:editId="39090082">
            <wp:extent cx="4257675" cy="2667000"/>
            <wp:effectExtent l="0" t="0" r="0" b="0"/>
            <wp:docPr id="6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257675" cy="26670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F067C" w:rsidRPr="00F01347" w14:paraId="0C322082" w14:textId="3B566BD3" w:rsidTr="001406BC">
        <w:tc>
          <w:tcPr>
            <w:tcW w:w="4675" w:type="dxa"/>
          </w:tcPr>
          <w:p w14:paraId="38AAD174" w14:textId="77777777" w:rsidR="004F067C" w:rsidRPr="00F01347" w:rsidRDefault="004F067C" w:rsidP="004F067C">
            <w:pPr>
              <w:pStyle w:val="texto0"/>
              <w:ind w:firstLine="0"/>
              <w:jc w:val="center"/>
              <w:rPr>
                <w:rFonts w:ascii="Verdana" w:hAnsi="Verdana"/>
                <w:sz w:val="16"/>
                <w:szCs w:val="16"/>
              </w:rPr>
            </w:pPr>
            <w:r w:rsidRPr="00F01347">
              <w:rPr>
                <w:rFonts w:ascii="Verdana" w:hAnsi="Verdana"/>
                <w:b/>
                <w:sz w:val="16"/>
                <w:szCs w:val="16"/>
              </w:rPr>
              <w:t>Fig. B.11.2-1</w:t>
            </w:r>
            <w:r w:rsidRPr="00F01347">
              <w:rPr>
                <w:rFonts w:ascii="Verdana" w:hAnsi="Verdana"/>
                <w:sz w:val="16"/>
                <w:szCs w:val="16"/>
              </w:rPr>
              <w:t xml:space="preserve">. Reacción entre el Ion sulfato y el complejo bario – azul de </w:t>
            </w:r>
            <w:proofErr w:type="spellStart"/>
            <w:r w:rsidRPr="00F01347">
              <w:rPr>
                <w:rFonts w:ascii="Verdana" w:hAnsi="Verdana"/>
                <w:sz w:val="16"/>
                <w:szCs w:val="16"/>
              </w:rPr>
              <w:t>metiltimol</w:t>
            </w:r>
            <w:proofErr w:type="spellEnd"/>
            <w:r w:rsidRPr="00F01347">
              <w:rPr>
                <w:rFonts w:ascii="Verdana" w:hAnsi="Verdana"/>
                <w:sz w:val="16"/>
                <w:szCs w:val="16"/>
              </w:rPr>
              <w:t xml:space="preserve"> (Ba-AMT).</w:t>
            </w:r>
          </w:p>
        </w:tc>
        <w:tc>
          <w:tcPr>
            <w:tcW w:w="4675" w:type="dxa"/>
          </w:tcPr>
          <w:p w14:paraId="7D736354" w14:textId="711A2663" w:rsidR="004F067C" w:rsidRPr="00F01347" w:rsidRDefault="004F067C" w:rsidP="004F067C">
            <w:pPr>
              <w:pStyle w:val="texto0"/>
              <w:ind w:firstLine="0"/>
              <w:jc w:val="center"/>
              <w:rPr>
                <w:rFonts w:ascii="Verdana" w:hAnsi="Verdana"/>
                <w:b/>
                <w:sz w:val="16"/>
                <w:szCs w:val="16"/>
                <w:lang w:val="en-US"/>
              </w:rPr>
            </w:pPr>
            <w:r w:rsidRPr="00F01347">
              <w:rPr>
                <w:rFonts w:ascii="Verdana" w:hAnsi="Verdana"/>
                <w:b/>
                <w:sz w:val="16"/>
                <w:szCs w:val="16"/>
                <w:lang w:val="en-US"/>
              </w:rPr>
              <w:t>Fig. B.11.2-1</w:t>
            </w:r>
            <w:r w:rsidR="003E1BA9" w:rsidRPr="00F01347">
              <w:rPr>
                <w:rFonts w:ascii="Verdana" w:hAnsi="Verdana"/>
                <w:b/>
                <w:sz w:val="16"/>
                <w:szCs w:val="16"/>
                <w:lang w:val="en-US"/>
              </w:rPr>
              <w:t>.</w:t>
            </w:r>
            <w:r w:rsidRPr="00F01347">
              <w:rPr>
                <w:rFonts w:ascii="Verdana" w:hAnsi="Verdana"/>
                <w:sz w:val="16"/>
                <w:szCs w:val="16"/>
                <w:lang w:val="en-US"/>
              </w:rPr>
              <w:t xml:space="preserve"> Reaction between the sulfate ion and the barium complex – methylthymol blue (Ba-AMT).</w:t>
            </w:r>
          </w:p>
        </w:tc>
      </w:tr>
      <w:tr w:rsidR="004F067C" w:rsidRPr="00F01347" w14:paraId="30DE6A1E" w14:textId="73BBE118" w:rsidTr="001406BC">
        <w:tc>
          <w:tcPr>
            <w:tcW w:w="4675" w:type="dxa"/>
          </w:tcPr>
          <w:p w14:paraId="7A15C974" w14:textId="77777777" w:rsidR="004F067C" w:rsidRPr="00F01347" w:rsidRDefault="004F067C" w:rsidP="004F067C">
            <w:pPr>
              <w:pStyle w:val="texto0"/>
              <w:ind w:firstLine="0"/>
              <w:rPr>
                <w:rFonts w:ascii="Verdana" w:hAnsi="Verdana"/>
                <w:b/>
                <w:sz w:val="16"/>
                <w:szCs w:val="16"/>
              </w:rPr>
            </w:pPr>
            <w:r w:rsidRPr="00F01347">
              <w:rPr>
                <w:rFonts w:ascii="Verdana" w:hAnsi="Verdana"/>
                <w:b/>
                <w:sz w:val="16"/>
                <w:szCs w:val="16"/>
              </w:rPr>
              <w:t>B.11.2.4 Alcance y aplicación</w:t>
            </w:r>
          </w:p>
        </w:tc>
        <w:tc>
          <w:tcPr>
            <w:tcW w:w="4675" w:type="dxa"/>
          </w:tcPr>
          <w:p w14:paraId="09B75ADF" w14:textId="76F1DE8D" w:rsidR="004F067C" w:rsidRPr="00F01347" w:rsidRDefault="004F067C" w:rsidP="004F067C">
            <w:pPr>
              <w:pStyle w:val="texto0"/>
              <w:ind w:firstLine="0"/>
              <w:rPr>
                <w:rFonts w:ascii="Verdana" w:hAnsi="Verdana"/>
                <w:b/>
                <w:sz w:val="16"/>
                <w:szCs w:val="16"/>
                <w:lang w:val="en-US"/>
              </w:rPr>
            </w:pPr>
            <w:r w:rsidRPr="00F01347">
              <w:rPr>
                <w:rFonts w:ascii="Verdana" w:hAnsi="Verdana"/>
                <w:b/>
                <w:sz w:val="16"/>
                <w:szCs w:val="16"/>
                <w:lang w:val="en-US"/>
              </w:rPr>
              <w:t>B.11.2.4 Scope and application</w:t>
            </w:r>
          </w:p>
        </w:tc>
      </w:tr>
      <w:tr w:rsidR="004F067C" w:rsidRPr="00F01347" w14:paraId="2994F6EC" w14:textId="6B59607B" w:rsidTr="001406BC">
        <w:tc>
          <w:tcPr>
            <w:tcW w:w="4675" w:type="dxa"/>
          </w:tcPr>
          <w:p w14:paraId="5F99C7DB" w14:textId="77777777" w:rsidR="004F067C" w:rsidRPr="00F01347" w:rsidRDefault="004F067C" w:rsidP="004F067C">
            <w:pPr>
              <w:pStyle w:val="texto0"/>
              <w:ind w:firstLine="0"/>
              <w:rPr>
                <w:rFonts w:ascii="Verdana" w:hAnsi="Verdana"/>
                <w:sz w:val="16"/>
                <w:szCs w:val="16"/>
              </w:rPr>
            </w:pPr>
            <w:r w:rsidRPr="00F01347">
              <w:rPr>
                <w:rFonts w:ascii="Verdana" w:hAnsi="Verdana"/>
                <w:sz w:val="16"/>
                <w:szCs w:val="16"/>
              </w:rPr>
              <w:t>Este método es utilizado para la determinación de sulfato en un intervalo de 5 a 200 mg/L en agua para uso y consumo humano. El intervalo de trabajo se puede extender hacia concentraciones más altas mediante la dilución de las muestras.</w:t>
            </w:r>
          </w:p>
        </w:tc>
        <w:tc>
          <w:tcPr>
            <w:tcW w:w="4675" w:type="dxa"/>
          </w:tcPr>
          <w:p w14:paraId="5ED73F00" w14:textId="37F3C51A" w:rsidR="004F067C" w:rsidRPr="00F01347" w:rsidRDefault="004F067C" w:rsidP="004F067C">
            <w:pPr>
              <w:pStyle w:val="texto0"/>
              <w:ind w:firstLine="0"/>
              <w:rPr>
                <w:rFonts w:ascii="Verdana" w:hAnsi="Verdana"/>
                <w:sz w:val="16"/>
                <w:szCs w:val="16"/>
                <w:lang w:val="en-US"/>
              </w:rPr>
            </w:pPr>
            <w:r w:rsidRPr="00F01347">
              <w:rPr>
                <w:rFonts w:ascii="Verdana" w:hAnsi="Verdana"/>
                <w:sz w:val="16"/>
                <w:szCs w:val="16"/>
                <w:lang w:val="en-US"/>
              </w:rPr>
              <w:t>This method is used for the determination of sulfate in a range of 5 to 200 mg/L in water for human use and consumption. The working range can be extended toward higher concentrations by diluting the samples.</w:t>
            </w:r>
          </w:p>
        </w:tc>
      </w:tr>
      <w:tr w:rsidR="004F067C" w:rsidRPr="00F01347" w14:paraId="4DBA3632" w14:textId="42301CF1" w:rsidTr="001406BC">
        <w:tc>
          <w:tcPr>
            <w:tcW w:w="4675" w:type="dxa"/>
          </w:tcPr>
          <w:p w14:paraId="52D197D2" w14:textId="77777777" w:rsidR="004F067C" w:rsidRPr="00F01347" w:rsidRDefault="004F067C" w:rsidP="004F067C">
            <w:pPr>
              <w:pStyle w:val="texto0"/>
              <w:ind w:firstLine="0"/>
              <w:rPr>
                <w:rFonts w:ascii="Verdana" w:hAnsi="Verdana"/>
                <w:b/>
                <w:sz w:val="16"/>
                <w:szCs w:val="16"/>
              </w:rPr>
            </w:pPr>
            <w:r w:rsidRPr="00F01347">
              <w:rPr>
                <w:rFonts w:ascii="Verdana" w:hAnsi="Verdana"/>
                <w:b/>
                <w:sz w:val="16"/>
                <w:szCs w:val="16"/>
              </w:rPr>
              <w:t>B.11.2.5 Equipos y materiales</w:t>
            </w:r>
          </w:p>
        </w:tc>
        <w:tc>
          <w:tcPr>
            <w:tcW w:w="4675" w:type="dxa"/>
          </w:tcPr>
          <w:p w14:paraId="4AD31800" w14:textId="1DDD5648" w:rsidR="004F067C" w:rsidRPr="00F01347" w:rsidRDefault="004F067C" w:rsidP="004F067C">
            <w:pPr>
              <w:pStyle w:val="texto0"/>
              <w:ind w:firstLine="0"/>
              <w:rPr>
                <w:rFonts w:ascii="Verdana" w:hAnsi="Verdana"/>
                <w:b/>
                <w:sz w:val="16"/>
                <w:szCs w:val="16"/>
                <w:lang w:val="en-US"/>
              </w:rPr>
            </w:pPr>
            <w:r w:rsidRPr="00F01347">
              <w:rPr>
                <w:rFonts w:ascii="Verdana" w:hAnsi="Verdana"/>
                <w:b/>
                <w:sz w:val="16"/>
                <w:szCs w:val="16"/>
                <w:lang w:val="en-US"/>
              </w:rPr>
              <w:t>B.11.2.5 Equipment and materials</w:t>
            </w:r>
          </w:p>
        </w:tc>
      </w:tr>
      <w:tr w:rsidR="004F067C" w:rsidRPr="00F01347" w14:paraId="403A658E" w14:textId="260F6DBC" w:rsidTr="001406BC">
        <w:tc>
          <w:tcPr>
            <w:tcW w:w="4675" w:type="dxa"/>
          </w:tcPr>
          <w:p w14:paraId="7BBDED02" w14:textId="77777777" w:rsidR="004F067C" w:rsidRPr="00F01347" w:rsidRDefault="004F067C" w:rsidP="004F067C">
            <w:pPr>
              <w:pStyle w:val="texto0"/>
              <w:ind w:firstLine="0"/>
              <w:rPr>
                <w:rFonts w:ascii="Verdana" w:hAnsi="Verdana"/>
                <w:sz w:val="16"/>
                <w:szCs w:val="16"/>
              </w:rPr>
            </w:pPr>
            <w:r w:rsidRPr="00F01347">
              <w:rPr>
                <w:rFonts w:ascii="Verdana" w:hAnsi="Verdana"/>
                <w:sz w:val="16"/>
                <w:szCs w:val="16"/>
              </w:rPr>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 Sólo se mencionan los equipos y materiales que no son de uso común en el laboratorio analítico. Todo el material volumétrico utilizado debe ser clase A o estar verificada su calibración.</w:t>
            </w:r>
          </w:p>
        </w:tc>
        <w:tc>
          <w:tcPr>
            <w:tcW w:w="4675" w:type="dxa"/>
          </w:tcPr>
          <w:p w14:paraId="38F18F40" w14:textId="4F43C7D8" w:rsidR="004F067C" w:rsidRPr="00F01347" w:rsidRDefault="004F067C" w:rsidP="004F067C">
            <w:pPr>
              <w:pStyle w:val="texto0"/>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 Only equipment and materials that are not commonly used in the analytical laboratory are mentioned. All volumetric material used must be class A or its calibration verified.</w:t>
            </w:r>
          </w:p>
        </w:tc>
      </w:tr>
      <w:tr w:rsidR="004F067C" w:rsidRPr="00F01347" w14:paraId="6C26F907" w14:textId="49DF444C" w:rsidTr="001406BC">
        <w:tc>
          <w:tcPr>
            <w:tcW w:w="4675" w:type="dxa"/>
          </w:tcPr>
          <w:p w14:paraId="1B56CDEF" w14:textId="77777777" w:rsidR="004F067C" w:rsidRPr="00F01347" w:rsidRDefault="004F067C" w:rsidP="004F067C">
            <w:pPr>
              <w:pStyle w:val="texto0"/>
              <w:ind w:firstLine="0"/>
              <w:rPr>
                <w:rFonts w:ascii="Verdana" w:hAnsi="Verdana"/>
                <w:sz w:val="16"/>
                <w:szCs w:val="16"/>
              </w:rPr>
            </w:pPr>
            <w:r w:rsidRPr="00F01347">
              <w:rPr>
                <w:rFonts w:ascii="Verdana" w:hAnsi="Verdana"/>
                <w:b/>
                <w:sz w:val="16"/>
                <w:szCs w:val="16"/>
              </w:rPr>
              <w:t>Analizador automático</w:t>
            </w:r>
            <w:r w:rsidRPr="00F01347">
              <w:rPr>
                <w:rFonts w:ascii="Verdana" w:hAnsi="Verdana"/>
                <w:sz w:val="16"/>
                <w:szCs w:val="16"/>
              </w:rPr>
              <w:t xml:space="preserve">, que incluye: bomba peristáltica de canales múltiples; </w:t>
            </w:r>
            <w:proofErr w:type="spellStart"/>
            <w:r w:rsidRPr="00F01347">
              <w:rPr>
                <w:rFonts w:ascii="Verdana" w:hAnsi="Verdana"/>
                <w:sz w:val="16"/>
                <w:szCs w:val="16"/>
              </w:rPr>
              <w:t>automuestreador</w:t>
            </w:r>
            <w:proofErr w:type="spellEnd"/>
            <w:r w:rsidRPr="00F01347">
              <w:rPr>
                <w:rFonts w:ascii="Verdana" w:hAnsi="Verdana"/>
                <w:sz w:val="16"/>
                <w:szCs w:val="16"/>
              </w:rPr>
              <w:t>; detector fotométrico con celda de flujo; sistema de recopilación de datos: Computadora con el programa requerido instalado; y cartucho configurado para el análisis de sulfato (Fig. B.11.2-2, de este Apéndice). Si se usa el equipo en la modalidad de FIA, el equipo debe contar con la válvula apropiada.</w:t>
            </w:r>
          </w:p>
        </w:tc>
        <w:tc>
          <w:tcPr>
            <w:tcW w:w="4675" w:type="dxa"/>
          </w:tcPr>
          <w:p w14:paraId="154BF50C" w14:textId="51CB7A5B" w:rsidR="004F067C" w:rsidRPr="00F01347" w:rsidRDefault="004F067C" w:rsidP="004F067C">
            <w:pPr>
              <w:pStyle w:val="texto0"/>
              <w:ind w:firstLine="0"/>
              <w:rPr>
                <w:rFonts w:ascii="Verdana" w:hAnsi="Verdana"/>
                <w:b/>
                <w:sz w:val="16"/>
                <w:szCs w:val="16"/>
                <w:lang w:val="en-US"/>
              </w:rPr>
            </w:pPr>
            <w:r w:rsidRPr="00F01347">
              <w:rPr>
                <w:rFonts w:ascii="Verdana" w:hAnsi="Verdana"/>
                <w:b/>
                <w:sz w:val="16"/>
                <w:szCs w:val="16"/>
                <w:lang w:val="en-US"/>
              </w:rPr>
              <w:t>Automatic analyzer</w:t>
            </w:r>
            <w:r w:rsidR="003E1BA9" w:rsidRPr="00F01347">
              <w:rPr>
                <w:rFonts w:ascii="Verdana" w:hAnsi="Verdana"/>
                <w:b/>
                <w:sz w:val="16"/>
                <w:szCs w:val="16"/>
                <w:lang w:val="en-US"/>
              </w:rPr>
              <w:t>,</w:t>
            </w:r>
            <w:r w:rsidRPr="00F01347">
              <w:rPr>
                <w:rFonts w:ascii="Verdana" w:hAnsi="Verdana"/>
                <w:sz w:val="16"/>
                <w:szCs w:val="16"/>
                <w:lang w:val="en-US"/>
              </w:rPr>
              <w:t xml:space="preserve"> </w:t>
            </w:r>
            <w:r w:rsidR="00463B94" w:rsidRPr="00F01347">
              <w:rPr>
                <w:rFonts w:ascii="Verdana" w:hAnsi="Verdana"/>
                <w:sz w:val="16"/>
                <w:szCs w:val="16"/>
                <w:lang w:val="en-US"/>
              </w:rPr>
              <w:t xml:space="preserve">that </w:t>
            </w:r>
            <w:proofErr w:type="gramStart"/>
            <w:r w:rsidR="00463B94" w:rsidRPr="00F01347">
              <w:rPr>
                <w:rFonts w:ascii="Verdana" w:hAnsi="Verdana"/>
                <w:sz w:val="16"/>
                <w:szCs w:val="16"/>
                <w:lang w:val="en-US"/>
              </w:rPr>
              <w:t>includes</w:t>
            </w:r>
            <w:r w:rsidRPr="00F01347">
              <w:rPr>
                <w:rFonts w:ascii="Verdana" w:hAnsi="Verdana"/>
                <w:sz w:val="16"/>
                <w:szCs w:val="16"/>
                <w:lang w:val="en-US"/>
              </w:rPr>
              <w:t>:</w:t>
            </w:r>
            <w:proofErr w:type="gramEnd"/>
            <w:r w:rsidRPr="00F01347">
              <w:rPr>
                <w:rFonts w:ascii="Verdana" w:hAnsi="Verdana"/>
                <w:sz w:val="16"/>
                <w:szCs w:val="16"/>
                <w:lang w:val="en-US"/>
              </w:rPr>
              <w:t xml:space="preserve"> multi-channel peristaltic pump; autosampler; photometric detector with flow cell; data collection system: </w:t>
            </w:r>
            <w:r w:rsidR="00463B94" w:rsidRPr="00F01347">
              <w:rPr>
                <w:rFonts w:ascii="Verdana" w:hAnsi="Verdana"/>
                <w:sz w:val="16"/>
                <w:szCs w:val="16"/>
                <w:lang w:val="en-US"/>
              </w:rPr>
              <w:t>c</w:t>
            </w:r>
            <w:r w:rsidRPr="00F01347">
              <w:rPr>
                <w:rFonts w:ascii="Verdana" w:hAnsi="Verdana"/>
                <w:sz w:val="16"/>
                <w:szCs w:val="16"/>
                <w:lang w:val="en-US"/>
              </w:rPr>
              <w:t>omputer with the required program installed; and cartridge configured for sulfate analysis (Fig. B.11.2-2, of this Appendix). If the equipment is used in FIA mode, the equipment must have the appropriate valve.</w:t>
            </w:r>
          </w:p>
        </w:tc>
      </w:tr>
    </w:tbl>
    <w:p w14:paraId="2B7EAE0E" w14:textId="3C0F8CC5" w:rsidR="00A74CDF" w:rsidRPr="00F01347" w:rsidRDefault="00471638" w:rsidP="003A601B">
      <w:pPr>
        <w:pStyle w:val="texto0"/>
        <w:spacing w:line="240" w:lineRule="auto"/>
        <w:ind w:firstLine="0"/>
        <w:jc w:val="center"/>
        <w:rPr>
          <w:rFonts w:ascii="Verdana" w:hAnsi="Verdana"/>
          <w:sz w:val="16"/>
          <w:szCs w:val="16"/>
        </w:rPr>
      </w:pPr>
      <w:r w:rsidRPr="00F01347">
        <w:rPr>
          <w:rFonts w:ascii="Verdana" w:hAnsi="Verdana"/>
          <w:noProof/>
          <w:sz w:val="16"/>
          <w:szCs w:val="16"/>
        </w:rPr>
        <w:lastRenderedPageBreak/>
        <w:drawing>
          <wp:inline distT="0" distB="0" distL="0" distR="0" wp14:anchorId="22928245" wp14:editId="737088C8">
            <wp:extent cx="4086225" cy="2990850"/>
            <wp:effectExtent l="0" t="0" r="0" b="0"/>
            <wp:docPr id="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086225" cy="2990850"/>
                    </a:xfrm>
                    <a:prstGeom prst="rect">
                      <a:avLst/>
                    </a:prstGeom>
                    <a:noFill/>
                    <a:ln>
                      <a:noFill/>
                    </a:ln>
                  </pic:spPr>
                </pic:pic>
              </a:graphicData>
            </a:graphic>
          </wp:inline>
        </w:drawing>
      </w:r>
    </w:p>
    <w:p w14:paraId="4952DE11" w14:textId="3B983D0E" w:rsidR="0055757A" w:rsidRPr="00F01347" w:rsidRDefault="00674AE4" w:rsidP="0055757A">
      <w:pPr>
        <w:pStyle w:val="texto0"/>
        <w:ind w:firstLine="0"/>
        <w:rPr>
          <w:rFonts w:ascii="Verdana" w:hAnsi="Verdana"/>
          <w:b/>
          <w:color w:val="000000"/>
          <w:sz w:val="16"/>
          <w:szCs w:val="16"/>
        </w:rPr>
      </w:pPr>
      <w:r w:rsidRPr="00F01347">
        <w:rPr>
          <w:noProof/>
        </w:rPr>
        <w:drawing>
          <wp:anchor distT="0" distB="0" distL="114300" distR="114300" simplePos="0" relativeHeight="251665408" behindDoc="0" locked="0" layoutInCell="1" allowOverlap="1" wp14:anchorId="7AF8F1C1" wp14:editId="0D9E3FB2">
            <wp:simplePos x="0" y="0"/>
            <wp:positionH relativeFrom="column">
              <wp:posOffset>1145627</wp:posOffset>
            </wp:positionH>
            <wp:positionV relativeFrom="paragraph">
              <wp:posOffset>182201</wp:posOffset>
            </wp:positionV>
            <wp:extent cx="3928237" cy="3090042"/>
            <wp:effectExtent l="0" t="0" r="0" b="0"/>
            <wp:wrapNone/>
            <wp:docPr id="1415214438"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14438" name="Picture 1" descr="A computer screen shot of a computer&#10;&#10;Description automatically generated"/>
                    <pic:cNvPicPr>
                      <a:picLocks noChangeAspect="1"/>
                    </pic:cNvPicPr>
                  </pic:nvPicPr>
                  <pic:blipFill rotWithShape="1">
                    <a:blip r:embed="rId98">
                      <a:extLst>
                        <a:ext uri="{28A0092B-C50C-407E-A947-70E740481C1C}">
                          <a14:useLocalDpi xmlns:a14="http://schemas.microsoft.com/office/drawing/2010/main" val="0"/>
                        </a:ext>
                      </a:extLst>
                    </a:blip>
                    <a:srcRect l="33007" t="23040" r="27637" b="21915"/>
                    <a:stretch/>
                  </pic:blipFill>
                  <pic:spPr bwMode="auto">
                    <a:xfrm>
                      <a:off x="0" y="0"/>
                      <a:ext cx="3935430" cy="3095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BCF9B8" w14:textId="79CB7607" w:rsidR="00674AE4" w:rsidRPr="00F01347" w:rsidRDefault="00674AE4" w:rsidP="0055757A">
      <w:pPr>
        <w:pStyle w:val="texto0"/>
        <w:ind w:firstLine="0"/>
        <w:rPr>
          <w:rFonts w:ascii="Verdana" w:hAnsi="Verdana"/>
          <w:b/>
          <w:color w:val="000000"/>
          <w:sz w:val="16"/>
          <w:szCs w:val="16"/>
        </w:rPr>
      </w:pPr>
    </w:p>
    <w:p w14:paraId="3E1F2147" w14:textId="77777777" w:rsidR="00674AE4" w:rsidRPr="00F01347" w:rsidRDefault="00674AE4" w:rsidP="0055757A">
      <w:pPr>
        <w:pStyle w:val="texto0"/>
        <w:ind w:firstLine="0"/>
        <w:rPr>
          <w:rFonts w:ascii="Verdana" w:hAnsi="Verdana"/>
          <w:b/>
          <w:color w:val="000000"/>
          <w:sz w:val="16"/>
          <w:szCs w:val="16"/>
        </w:rPr>
      </w:pPr>
    </w:p>
    <w:p w14:paraId="521D3299" w14:textId="77777777" w:rsidR="00674AE4" w:rsidRPr="00F01347" w:rsidRDefault="00674AE4" w:rsidP="0055757A">
      <w:pPr>
        <w:pStyle w:val="texto0"/>
        <w:ind w:firstLine="0"/>
        <w:rPr>
          <w:rFonts w:ascii="Verdana" w:hAnsi="Verdana"/>
          <w:b/>
          <w:color w:val="000000"/>
          <w:sz w:val="16"/>
          <w:szCs w:val="16"/>
        </w:rPr>
      </w:pPr>
    </w:p>
    <w:p w14:paraId="1C262647" w14:textId="77777777" w:rsidR="00674AE4" w:rsidRPr="00F01347" w:rsidRDefault="00674AE4" w:rsidP="0055757A">
      <w:pPr>
        <w:pStyle w:val="texto0"/>
        <w:ind w:firstLine="0"/>
        <w:rPr>
          <w:rFonts w:ascii="Verdana" w:hAnsi="Verdana"/>
          <w:b/>
          <w:color w:val="000000"/>
          <w:sz w:val="16"/>
          <w:szCs w:val="16"/>
        </w:rPr>
      </w:pPr>
    </w:p>
    <w:p w14:paraId="0B3ACEAD" w14:textId="77777777" w:rsidR="00674AE4" w:rsidRPr="00F01347" w:rsidRDefault="00674AE4" w:rsidP="0055757A">
      <w:pPr>
        <w:pStyle w:val="texto0"/>
        <w:ind w:firstLine="0"/>
        <w:rPr>
          <w:rFonts w:ascii="Verdana" w:hAnsi="Verdana"/>
          <w:b/>
          <w:color w:val="000000"/>
          <w:sz w:val="16"/>
          <w:szCs w:val="16"/>
        </w:rPr>
      </w:pPr>
    </w:p>
    <w:p w14:paraId="22651158" w14:textId="77777777" w:rsidR="00674AE4" w:rsidRPr="00F01347" w:rsidRDefault="00674AE4" w:rsidP="0055757A">
      <w:pPr>
        <w:pStyle w:val="texto0"/>
        <w:ind w:firstLine="0"/>
        <w:rPr>
          <w:rFonts w:ascii="Verdana" w:hAnsi="Verdana"/>
          <w:b/>
          <w:color w:val="000000"/>
          <w:sz w:val="16"/>
          <w:szCs w:val="16"/>
        </w:rPr>
      </w:pPr>
    </w:p>
    <w:p w14:paraId="18DF79EF" w14:textId="77777777" w:rsidR="00674AE4" w:rsidRPr="00F01347" w:rsidRDefault="00674AE4" w:rsidP="0055757A">
      <w:pPr>
        <w:pStyle w:val="texto0"/>
        <w:ind w:firstLine="0"/>
        <w:rPr>
          <w:rFonts w:ascii="Verdana" w:hAnsi="Verdana"/>
          <w:b/>
          <w:color w:val="000000"/>
          <w:sz w:val="16"/>
          <w:szCs w:val="16"/>
        </w:rPr>
      </w:pPr>
    </w:p>
    <w:p w14:paraId="7C20B95D" w14:textId="77777777" w:rsidR="00674AE4" w:rsidRPr="00F01347" w:rsidRDefault="00674AE4" w:rsidP="0055757A">
      <w:pPr>
        <w:pStyle w:val="texto0"/>
        <w:ind w:firstLine="0"/>
        <w:rPr>
          <w:rFonts w:ascii="Verdana" w:hAnsi="Verdana"/>
          <w:b/>
          <w:color w:val="000000"/>
          <w:sz w:val="16"/>
          <w:szCs w:val="16"/>
        </w:rPr>
      </w:pPr>
    </w:p>
    <w:p w14:paraId="16BC26AE" w14:textId="77777777" w:rsidR="00674AE4" w:rsidRPr="00F01347" w:rsidRDefault="00674AE4" w:rsidP="0055757A">
      <w:pPr>
        <w:pStyle w:val="texto0"/>
        <w:ind w:firstLine="0"/>
        <w:rPr>
          <w:rFonts w:ascii="Verdana" w:hAnsi="Verdana"/>
          <w:b/>
          <w:color w:val="000000"/>
          <w:sz w:val="16"/>
          <w:szCs w:val="16"/>
        </w:rPr>
      </w:pPr>
    </w:p>
    <w:p w14:paraId="57154257" w14:textId="77777777" w:rsidR="00674AE4" w:rsidRPr="00F01347" w:rsidRDefault="00674AE4" w:rsidP="0055757A">
      <w:pPr>
        <w:pStyle w:val="texto0"/>
        <w:ind w:firstLine="0"/>
        <w:rPr>
          <w:rFonts w:ascii="Verdana" w:hAnsi="Verdana"/>
          <w:b/>
          <w:color w:val="000000"/>
          <w:sz w:val="16"/>
          <w:szCs w:val="16"/>
        </w:rPr>
      </w:pPr>
    </w:p>
    <w:p w14:paraId="1A885141" w14:textId="77777777" w:rsidR="00674AE4" w:rsidRPr="00F01347" w:rsidRDefault="00674AE4" w:rsidP="0055757A">
      <w:pPr>
        <w:pStyle w:val="texto0"/>
        <w:ind w:firstLine="0"/>
        <w:rPr>
          <w:rFonts w:ascii="Verdana" w:hAnsi="Verdana"/>
          <w:b/>
          <w:color w:val="000000"/>
          <w:sz w:val="16"/>
          <w:szCs w:val="16"/>
        </w:rPr>
      </w:pPr>
    </w:p>
    <w:p w14:paraId="2E8FCD01" w14:textId="77777777" w:rsidR="00674AE4" w:rsidRPr="00F01347" w:rsidRDefault="00674AE4" w:rsidP="0055757A">
      <w:pPr>
        <w:pStyle w:val="texto0"/>
        <w:ind w:firstLine="0"/>
        <w:rPr>
          <w:rFonts w:ascii="Verdana" w:hAnsi="Verdana"/>
          <w:b/>
          <w:color w:val="000000"/>
          <w:sz w:val="16"/>
          <w:szCs w:val="16"/>
        </w:rPr>
      </w:pPr>
    </w:p>
    <w:p w14:paraId="05F53543" w14:textId="77777777" w:rsidR="00674AE4" w:rsidRPr="00F01347" w:rsidRDefault="00674AE4" w:rsidP="0055757A">
      <w:pPr>
        <w:pStyle w:val="texto0"/>
        <w:ind w:firstLine="0"/>
        <w:rPr>
          <w:rFonts w:ascii="Verdana" w:hAnsi="Verdana"/>
          <w:b/>
          <w:color w:val="000000"/>
          <w:sz w:val="16"/>
          <w:szCs w:val="16"/>
        </w:rPr>
      </w:pPr>
    </w:p>
    <w:p w14:paraId="110DC1A8" w14:textId="77777777" w:rsidR="00674AE4" w:rsidRPr="00F01347" w:rsidRDefault="00674AE4" w:rsidP="0055757A">
      <w:pPr>
        <w:pStyle w:val="texto0"/>
        <w:ind w:firstLine="0"/>
        <w:rPr>
          <w:rFonts w:ascii="Verdana" w:hAnsi="Verdana"/>
          <w:b/>
          <w:color w:val="000000"/>
          <w:sz w:val="16"/>
          <w:szCs w:val="16"/>
        </w:rPr>
      </w:pPr>
    </w:p>
    <w:p w14:paraId="213E37F8" w14:textId="77777777" w:rsidR="00674AE4" w:rsidRPr="00F01347" w:rsidRDefault="00674AE4" w:rsidP="0055757A">
      <w:pPr>
        <w:pStyle w:val="texto0"/>
        <w:ind w:firstLine="0"/>
        <w:rPr>
          <w:rFonts w:ascii="Verdana" w:hAnsi="Verdana"/>
          <w:b/>
          <w:color w:val="000000"/>
          <w:sz w:val="16"/>
          <w:szCs w:val="16"/>
        </w:rPr>
      </w:pPr>
    </w:p>
    <w:p w14:paraId="7892BBE4" w14:textId="77777777" w:rsidR="00674AE4" w:rsidRPr="00F01347" w:rsidRDefault="00674AE4" w:rsidP="0055757A">
      <w:pPr>
        <w:pStyle w:val="texto0"/>
        <w:ind w:firstLine="0"/>
        <w:rPr>
          <w:rFonts w:ascii="Verdana" w:hAnsi="Verdana"/>
          <w:b/>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77998" w:rsidRPr="00F01347" w14:paraId="68374390" w14:textId="374C25E9" w:rsidTr="009F384B">
        <w:tc>
          <w:tcPr>
            <w:tcW w:w="4675" w:type="dxa"/>
          </w:tcPr>
          <w:p w14:paraId="7A60A217" w14:textId="77777777" w:rsidR="00577998" w:rsidRPr="00F01347" w:rsidRDefault="00577998" w:rsidP="00577998">
            <w:pPr>
              <w:pStyle w:val="texto0"/>
              <w:ind w:firstLine="0"/>
              <w:rPr>
                <w:rFonts w:ascii="Verdana" w:hAnsi="Verdana"/>
                <w:sz w:val="16"/>
                <w:szCs w:val="16"/>
              </w:rPr>
            </w:pPr>
            <w:r w:rsidRPr="00F01347">
              <w:rPr>
                <w:rFonts w:ascii="Verdana" w:hAnsi="Verdana"/>
                <w:b/>
                <w:color w:val="000000"/>
                <w:sz w:val="16"/>
                <w:szCs w:val="16"/>
              </w:rPr>
              <w:t xml:space="preserve">Fig. B.11.2-2. </w:t>
            </w:r>
            <w:r w:rsidRPr="00F01347">
              <w:rPr>
                <w:rFonts w:ascii="Verdana" w:hAnsi="Verdana"/>
                <w:color w:val="000000"/>
                <w:sz w:val="16"/>
                <w:szCs w:val="16"/>
              </w:rPr>
              <w:t xml:space="preserve">Configuración del cartucho para el análisis de </w:t>
            </w:r>
            <w:proofErr w:type="gramStart"/>
            <w:r w:rsidRPr="00F01347">
              <w:rPr>
                <w:rFonts w:ascii="Verdana" w:hAnsi="Verdana"/>
                <w:color w:val="000000"/>
                <w:sz w:val="16"/>
                <w:szCs w:val="16"/>
              </w:rPr>
              <w:t>sulfato  en</w:t>
            </w:r>
            <w:proofErr w:type="gramEnd"/>
            <w:r w:rsidRPr="00F01347">
              <w:rPr>
                <w:rFonts w:ascii="Verdana" w:hAnsi="Verdana"/>
                <w:color w:val="000000"/>
                <w:sz w:val="16"/>
                <w:szCs w:val="16"/>
              </w:rPr>
              <w:t xml:space="preserve"> el intervalo de 5.0-200 mg/L</w:t>
            </w:r>
          </w:p>
        </w:tc>
        <w:tc>
          <w:tcPr>
            <w:tcW w:w="4675" w:type="dxa"/>
          </w:tcPr>
          <w:p w14:paraId="7F572957" w14:textId="4846BB86" w:rsidR="00577998" w:rsidRPr="00F01347" w:rsidRDefault="00577998" w:rsidP="00577998">
            <w:pPr>
              <w:pStyle w:val="texto0"/>
              <w:ind w:firstLine="0"/>
              <w:rPr>
                <w:rFonts w:ascii="Verdana" w:hAnsi="Verdana"/>
                <w:b/>
                <w:color w:val="000000"/>
                <w:sz w:val="16"/>
                <w:szCs w:val="16"/>
                <w:lang w:val="en-US"/>
              </w:rPr>
            </w:pPr>
            <w:r w:rsidRPr="00F01347">
              <w:rPr>
                <w:rFonts w:ascii="Verdana" w:hAnsi="Verdana"/>
                <w:b/>
                <w:color w:val="000000"/>
                <w:sz w:val="16"/>
                <w:szCs w:val="16"/>
                <w:lang w:val="en-US"/>
              </w:rPr>
              <w:t xml:space="preserve">Fig. B.11.2-2. </w:t>
            </w:r>
            <w:r w:rsidRPr="00F01347">
              <w:rPr>
                <w:rFonts w:ascii="Verdana" w:hAnsi="Verdana"/>
                <w:color w:val="000000"/>
                <w:sz w:val="16"/>
                <w:szCs w:val="16"/>
                <w:lang w:val="en-US"/>
              </w:rPr>
              <w:t>Cartridge configuration for sulfate analysis in the range of 5.0-200 mg/L</w:t>
            </w:r>
          </w:p>
        </w:tc>
      </w:tr>
      <w:tr w:rsidR="00577998" w:rsidRPr="00F01347" w14:paraId="35777925" w14:textId="4393662D" w:rsidTr="009F384B">
        <w:tc>
          <w:tcPr>
            <w:tcW w:w="4675" w:type="dxa"/>
          </w:tcPr>
          <w:p w14:paraId="2B27EB37" w14:textId="77777777" w:rsidR="00577998" w:rsidRPr="00F01347" w:rsidRDefault="00577998" w:rsidP="00577998">
            <w:pPr>
              <w:pStyle w:val="texto0"/>
              <w:spacing w:line="212" w:lineRule="exact"/>
              <w:ind w:firstLine="0"/>
              <w:rPr>
                <w:rFonts w:ascii="Verdana" w:hAnsi="Verdana"/>
                <w:b/>
                <w:sz w:val="16"/>
                <w:szCs w:val="16"/>
              </w:rPr>
            </w:pPr>
            <w:r w:rsidRPr="00F01347">
              <w:rPr>
                <w:rFonts w:ascii="Verdana" w:hAnsi="Verdana"/>
                <w:b/>
                <w:sz w:val="16"/>
                <w:szCs w:val="16"/>
              </w:rPr>
              <w:t>Balanza</w:t>
            </w:r>
          </w:p>
        </w:tc>
        <w:tc>
          <w:tcPr>
            <w:tcW w:w="4675" w:type="dxa"/>
          </w:tcPr>
          <w:p w14:paraId="08C39329" w14:textId="0B65BC56" w:rsidR="00577998" w:rsidRPr="00F01347" w:rsidRDefault="00740C63" w:rsidP="00577998">
            <w:pPr>
              <w:pStyle w:val="texto0"/>
              <w:spacing w:line="212" w:lineRule="exact"/>
              <w:ind w:firstLine="0"/>
              <w:rPr>
                <w:rFonts w:ascii="Verdana" w:hAnsi="Verdana"/>
                <w:b/>
                <w:sz w:val="16"/>
                <w:szCs w:val="16"/>
                <w:lang w:val="en-US"/>
              </w:rPr>
            </w:pPr>
            <w:r w:rsidRPr="00F01347">
              <w:rPr>
                <w:rFonts w:ascii="Verdana" w:hAnsi="Verdana"/>
                <w:b/>
                <w:sz w:val="16"/>
                <w:szCs w:val="16"/>
                <w:lang w:val="en-US"/>
              </w:rPr>
              <w:t>Scale</w:t>
            </w:r>
          </w:p>
        </w:tc>
      </w:tr>
      <w:tr w:rsidR="00577998" w:rsidRPr="00F01347" w14:paraId="1E8EB45F" w14:textId="4FAD6709" w:rsidTr="009F384B">
        <w:tc>
          <w:tcPr>
            <w:tcW w:w="4675" w:type="dxa"/>
          </w:tcPr>
          <w:p w14:paraId="436F43F4" w14:textId="77777777" w:rsidR="00577998" w:rsidRPr="00F01347" w:rsidRDefault="00577998" w:rsidP="00577998">
            <w:pPr>
              <w:pStyle w:val="texto0"/>
              <w:spacing w:line="212" w:lineRule="exact"/>
              <w:ind w:firstLine="0"/>
              <w:rPr>
                <w:rFonts w:ascii="Verdana" w:hAnsi="Verdana"/>
                <w:b/>
                <w:sz w:val="16"/>
                <w:szCs w:val="16"/>
              </w:rPr>
            </w:pPr>
            <w:r w:rsidRPr="00F01347">
              <w:rPr>
                <w:rFonts w:ascii="Verdana" w:hAnsi="Verdana"/>
                <w:b/>
                <w:sz w:val="16"/>
                <w:szCs w:val="16"/>
              </w:rPr>
              <w:t>Columna de intercambio catiónico</w:t>
            </w:r>
          </w:p>
        </w:tc>
        <w:tc>
          <w:tcPr>
            <w:tcW w:w="4675" w:type="dxa"/>
          </w:tcPr>
          <w:p w14:paraId="4A569C29" w14:textId="560BA899" w:rsidR="00577998" w:rsidRPr="00F01347" w:rsidRDefault="00577998" w:rsidP="00577998">
            <w:pPr>
              <w:pStyle w:val="texto0"/>
              <w:spacing w:line="212" w:lineRule="exact"/>
              <w:ind w:firstLine="0"/>
              <w:rPr>
                <w:rFonts w:ascii="Verdana" w:hAnsi="Verdana"/>
                <w:b/>
                <w:sz w:val="16"/>
                <w:szCs w:val="16"/>
                <w:lang w:val="en-US"/>
              </w:rPr>
            </w:pPr>
            <w:r w:rsidRPr="00F01347">
              <w:rPr>
                <w:rFonts w:ascii="Verdana" w:hAnsi="Verdana"/>
                <w:b/>
                <w:sz w:val="16"/>
                <w:szCs w:val="16"/>
                <w:lang w:val="en-US"/>
              </w:rPr>
              <w:t>Cation exchange column</w:t>
            </w:r>
          </w:p>
        </w:tc>
      </w:tr>
      <w:tr w:rsidR="00577998" w:rsidRPr="00F01347" w14:paraId="1864E296" w14:textId="40B80CF3" w:rsidTr="009F384B">
        <w:tc>
          <w:tcPr>
            <w:tcW w:w="4675" w:type="dxa"/>
          </w:tcPr>
          <w:p w14:paraId="63AA53FC" w14:textId="77777777" w:rsidR="00577998" w:rsidRPr="00F01347" w:rsidRDefault="00577998" w:rsidP="00577998">
            <w:pPr>
              <w:pStyle w:val="texto0"/>
              <w:spacing w:line="212" w:lineRule="exact"/>
              <w:ind w:firstLine="0"/>
              <w:rPr>
                <w:rFonts w:ascii="Verdana" w:hAnsi="Verdana"/>
                <w:sz w:val="16"/>
                <w:szCs w:val="16"/>
              </w:rPr>
            </w:pPr>
            <w:r w:rsidRPr="00F01347">
              <w:rPr>
                <w:rFonts w:ascii="Verdana" w:hAnsi="Verdana"/>
                <w:b/>
                <w:sz w:val="16"/>
                <w:szCs w:val="16"/>
              </w:rPr>
              <w:t>Embudos de filtración</w:t>
            </w:r>
          </w:p>
        </w:tc>
        <w:tc>
          <w:tcPr>
            <w:tcW w:w="4675" w:type="dxa"/>
          </w:tcPr>
          <w:p w14:paraId="6FD5A7E8" w14:textId="184FE8F9" w:rsidR="00577998" w:rsidRPr="00F01347" w:rsidRDefault="00577998" w:rsidP="00577998">
            <w:pPr>
              <w:pStyle w:val="texto0"/>
              <w:spacing w:line="212" w:lineRule="exact"/>
              <w:ind w:firstLine="0"/>
              <w:rPr>
                <w:rFonts w:ascii="Verdana" w:hAnsi="Verdana"/>
                <w:b/>
                <w:sz w:val="16"/>
                <w:szCs w:val="16"/>
                <w:lang w:val="en-US"/>
              </w:rPr>
            </w:pPr>
            <w:r w:rsidRPr="00F01347">
              <w:rPr>
                <w:rFonts w:ascii="Verdana" w:hAnsi="Verdana"/>
                <w:b/>
                <w:sz w:val="16"/>
                <w:szCs w:val="16"/>
                <w:lang w:val="en-US"/>
              </w:rPr>
              <w:t>Filtration funnels</w:t>
            </w:r>
          </w:p>
        </w:tc>
      </w:tr>
      <w:tr w:rsidR="00577998" w:rsidRPr="00F01347" w14:paraId="6FA5878A" w14:textId="22312118" w:rsidTr="009F384B">
        <w:tc>
          <w:tcPr>
            <w:tcW w:w="4675" w:type="dxa"/>
          </w:tcPr>
          <w:p w14:paraId="71554784" w14:textId="77777777" w:rsidR="00577998" w:rsidRPr="00F01347" w:rsidRDefault="00577998" w:rsidP="00577998">
            <w:pPr>
              <w:pStyle w:val="texto0"/>
              <w:spacing w:line="212" w:lineRule="exact"/>
              <w:ind w:firstLine="0"/>
              <w:rPr>
                <w:rFonts w:ascii="Verdana" w:hAnsi="Verdana"/>
                <w:sz w:val="16"/>
                <w:szCs w:val="16"/>
              </w:rPr>
            </w:pPr>
            <w:r w:rsidRPr="00F01347">
              <w:rPr>
                <w:rFonts w:ascii="Verdana" w:hAnsi="Verdana"/>
                <w:b/>
                <w:sz w:val="16"/>
                <w:szCs w:val="16"/>
              </w:rPr>
              <w:t>Material de vidrio</w:t>
            </w:r>
            <w:r w:rsidRPr="00F01347">
              <w:rPr>
                <w:rFonts w:ascii="Verdana" w:hAnsi="Verdana"/>
                <w:sz w:val="16"/>
                <w:szCs w:val="16"/>
              </w:rPr>
              <w:t xml:space="preserve"> lavado </w:t>
            </w:r>
            <w:proofErr w:type="gramStart"/>
            <w:r w:rsidRPr="00F01347">
              <w:rPr>
                <w:rFonts w:ascii="Verdana" w:hAnsi="Verdana"/>
                <w:sz w:val="16"/>
                <w:szCs w:val="16"/>
              </w:rPr>
              <w:t>de acuerdo al</w:t>
            </w:r>
            <w:proofErr w:type="gramEnd"/>
            <w:r w:rsidRPr="00F01347">
              <w:rPr>
                <w:rFonts w:ascii="Verdana" w:hAnsi="Verdana"/>
                <w:sz w:val="16"/>
                <w:szCs w:val="16"/>
              </w:rPr>
              <w:t xml:space="preserve"> instructivo de control de calidad.</w:t>
            </w:r>
          </w:p>
        </w:tc>
        <w:tc>
          <w:tcPr>
            <w:tcW w:w="4675" w:type="dxa"/>
          </w:tcPr>
          <w:p w14:paraId="51CF4B37" w14:textId="190E4A55" w:rsidR="00577998" w:rsidRPr="00F01347" w:rsidRDefault="00740C63" w:rsidP="00577998">
            <w:pPr>
              <w:pStyle w:val="texto0"/>
              <w:spacing w:line="212" w:lineRule="exact"/>
              <w:ind w:firstLine="0"/>
              <w:rPr>
                <w:rFonts w:ascii="Verdana" w:hAnsi="Verdana"/>
                <w:b/>
                <w:sz w:val="16"/>
                <w:szCs w:val="16"/>
                <w:lang w:val="en-US"/>
              </w:rPr>
            </w:pPr>
            <w:r w:rsidRPr="00F01347">
              <w:rPr>
                <w:rFonts w:ascii="Verdana" w:hAnsi="Verdana"/>
                <w:b/>
                <w:sz w:val="16"/>
                <w:szCs w:val="16"/>
                <w:lang w:val="en-US"/>
              </w:rPr>
              <w:t>G</w:t>
            </w:r>
            <w:r w:rsidR="00577998" w:rsidRPr="00F01347">
              <w:rPr>
                <w:rFonts w:ascii="Verdana" w:hAnsi="Verdana"/>
                <w:b/>
                <w:sz w:val="16"/>
                <w:szCs w:val="16"/>
                <w:lang w:val="en-US"/>
              </w:rPr>
              <w:t xml:space="preserve">lass material </w:t>
            </w:r>
            <w:r w:rsidRPr="00F01347">
              <w:rPr>
                <w:rFonts w:ascii="Verdana" w:hAnsi="Verdana"/>
                <w:bCs/>
                <w:sz w:val="16"/>
                <w:szCs w:val="16"/>
                <w:lang w:val="en-US"/>
              </w:rPr>
              <w:t xml:space="preserve">washed </w:t>
            </w:r>
            <w:r w:rsidR="00577998" w:rsidRPr="00F01347">
              <w:rPr>
                <w:rFonts w:ascii="Verdana" w:hAnsi="Verdana"/>
                <w:sz w:val="16"/>
                <w:szCs w:val="16"/>
                <w:lang w:val="en-US"/>
              </w:rPr>
              <w:t>according to quality control instructions.</w:t>
            </w:r>
          </w:p>
        </w:tc>
      </w:tr>
      <w:tr w:rsidR="00577998" w:rsidRPr="00F01347" w14:paraId="0AAF824E" w14:textId="65AB2F0D" w:rsidTr="009F384B">
        <w:tc>
          <w:tcPr>
            <w:tcW w:w="4675" w:type="dxa"/>
          </w:tcPr>
          <w:p w14:paraId="3C4DAB40" w14:textId="77777777" w:rsidR="00577998" w:rsidRPr="00F01347" w:rsidRDefault="00577998" w:rsidP="00577998">
            <w:pPr>
              <w:pStyle w:val="texto0"/>
              <w:spacing w:line="212" w:lineRule="exact"/>
              <w:ind w:firstLine="0"/>
              <w:rPr>
                <w:rFonts w:ascii="Verdana" w:hAnsi="Verdana"/>
                <w:sz w:val="16"/>
                <w:szCs w:val="16"/>
              </w:rPr>
            </w:pPr>
            <w:r w:rsidRPr="00F01347">
              <w:rPr>
                <w:rFonts w:ascii="Verdana" w:hAnsi="Verdana"/>
                <w:b/>
                <w:sz w:val="16"/>
                <w:szCs w:val="16"/>
              </w:rPr>
              <w:t>Papel filtro</w:t>
            </w:r>
            <w:r w:rsidRPr="00F01347">
              <w:rPr>
                <w:rFonts w:ascii="Verdana" w:hAnsi="Verdana"/>
                <w:sz w:val="16"/>
                <w:szCs w:val="16"/>
              </w:rPr>
              <w:t xml:space="preserve"> de tamaño de poro de 2 µm o menor (Whatman 2 o equivalente).</w:t>
            </w:r>
          </w:p>
        </w:tc>
        <w:tc>
          <w:tcPr>
            <w:tcW w:w="4675" w:type="dxa"/>
          </w:tcPr>
          <w:p w14:paraId="7338E57A" w14:textId="1A003164" w:rsidR="00577998" w:rsidRPr="00F01347" w:rsidRDefault="00577998" w:rsidP="00577998">
            <w:pPr>
              <w:pStyle w:val="texto0"/>
              <w:spacing w:line="212" w:lineRule="exact"/>
              <w:ind w:firstLine="0"/>
              <w:rPr>
                <w:rFonts w:ascii="Verdana" w:hAnsi="Verdana"/>
                <w:b/>
                <w:sz w:val="16"/>
                <w:szCs w:val="16"/>
                <w:lang w:val="en-US"/>
              </w:rPr>
            </w:pPr>
            <w:r w:rsidRPr="00F01347">
              <w:rPr>
                <w:rFonts w:ascii="Verdana" w:hAnsi="Verdana"/>
                <w:b/>
                <w:sz w:val="16"/>
                <w:szCs w:val="16"/>
                <w:lang w:val="en-US"/>
              </w:rPr>
              <w:t xml:space="preserve">Filter paper </w:t>
            </w:r>
            <w:r w:rsidRPr="00F01347">
              <w:rPr>
                <w:rFonts w:ascii="Verdana" w:hAnsi="Verdana"/>
                <w:sz w:val="16"/>
                <w:szCs w:val="16"/>
                <w:lang w:val="en-US"/>
              </w:rPr>
              <w:t>with a pore size of 2 µm or smaller (Whatman 2 or equivalent).</w:t>
            </w:r>
          </w:p>
        </w:tc>
      </w:tr>
      <w:tr w:rsidR="00577998" w:rsidRPr="00F01347" w14:paraId="089A8E0E" w14:textId="0D31B94E" w:rsidTr="009F384B">
        <w:tc>
          <w:tcPr>
            <w:tcW w:w="4675" w:type="dxa"/>
          </w:tcPr>
          <w:p w14:paraId="0A26ABD4" w14:textId="77777777" w:rsidR="00577998" w:rsidRPr="00F01347" w:rsidRDefault="00577998" w:rsidP="00577998">
            <w:pPr>
              <w:pStyle w:val="texto0"/>
              <w:spacing w:line="212" w:lineRule="exact"/>
              <w:ind w:firstLine="0"/>
              <w:rPr>
                <w:rFonts w:ascii="Verdana" w:hAnsi="Verdana"/>
                <w:sz w:val="16"/>
                <w:szCs w:val="16"/>
              </w:rPr>
            </w:pPr>
            <w:r w:rsidRPr="00F01347">
              <w:rPr>
                <w:rFonts w:ascii="Verdana" w:hAnsi="Verdana"/>
                <w:b/>
                <w:sz w:val="16"/>
                <w:szCs w:val="16"/>
              </w:rPr>
              <w:lastRenderedPageBreak/>
              <w:t>Potenciómetro</w:t>
            </w:r>
            <w:r w:rsidRPr="00F01347">
              <w:rPr>
                <w:rFonts w:ascii="Verdana" w:hAnsi="Verdana"/>
                <w:sz w:val="16"/>
                <w:szCs w:val="16"/>
              </w:rPr>
              <w:t xml:space="preserve"> o tiras reactivas indicadoras de pH.</w:t>
            </w:r>
          </w:p>
        </w:tc>
        <w:tc>
          <w:tcPr>
            <w:tcW w:w="4675" w:type="dxa"/>
          </w:tcPr>
          <w:p w14:paraId="479EA34D" w14:textId="14737DDB" w:rsidR="00577998" w:rsidRPr="00F01347" w:rsidRDefault="00577998" w:rsidP="00577998">
            <w:pPr>
              <w:pStyle w:val="texto0"/>
              <w:spacing w:line="212" w:lineRule="exact"/>
              <w:ind w:firstLine="0"/>
              <w:rPr>
                <w:rFonts w:ascii="Verdana" w:hAnsi="Verdana"/>
                <w:b/>
                <w:sz w:val="16"/>
                <w:szCs w:val="16"/>
                <w:lang w:val="en-US"/>
              </w:rPr>
            </w:pPr>
            <w:r w:rsidRPr="00F01347">
              <w:rPr>
                <w:rFonts w:ascii="Verdana" w:hAnsi="Verdana"/>
                <w:b/>
                <w:sz w:val="16"/>
                <w:szCs w:val="16"/>
                <w:lang w:val="en-US"/>
              </w:rPr>
              <w:t xml:space="preserve">Potentiometer </w:t>
            </w:r>
            <w:r w:rsidRPr="00F01347">
              <w:rPr>
                <w:rFonts w:ascii="Verdana" w:hAnsi="Verdana"/>
                <w:sz w:val="16"/>
                <w:szCs w:val="16"/>
                <w:lang w:val="en-US"/>
              </w:rPr>
              <w:t>or pH indicator test strips.</w:t>
            </w:r>
          </w:p>
        </w:tc>
      </w:tr>
      <w:tr w:rsidR="00577998" w:rsidRPr="00F01347" w14:paraId="6F676694" w14:textId="24D4940D" w:rsidTr="009F384B">
        <w:tc>
          <w:tcPr>
            <w:tcW w:w="4675" w:type="dxa"/>
          </w:tcPr>
          <w:p w14:paraId="2C485EBE" w14:textId="77777777" w:rsidR="00577998" w:rsidRPr="00F01347" w:rsidRDefault="00577998" w:rsidP="00577998">
            <w:pPr>
              <w:pStyle w:val="texto0"/>
              <w:spacing w:line="212" w:lineRule="exact"/>
              <w:ind w:firstLine="0"/>
              <w:rPr>
                <w:rFonts w:ascii="Verdana" w:hAnsi="Verdana"/>
                <w:b/>
                <w:sz w:val="16"/>
                <w:szCs w:val="16"/>
              </w:rPr>
            </w:pPr>
            <w:r w:rsidRPr="00F01347">
              <w:rPr>
                <w:rFonts w:ascii="Verdana" w:hAnsi="Verdana"/>
                <w:b/>
                <w:sz w:val="16"/>
                <w:szCs w:val="16"/>
              </w:rPr>
              <w:t>B.11.2.6 Reactivos y soluciones</w:t>
            </w:r>
          </w:p>
        </w:tc>
        <w:tc>
          <w:tcPr>
            <w:tcW w:w="4675" w:type="dxa"/>
          </w:tcPr>
          <w:p w14:paraId="0A40882C" w14:textId="2DAFFAB3" w:rsidR="00577998" w:rsidRPr="00F01347" w:rsidRDefault="00577998" w:rsidP="00577998">
            <w:pPr>
              <w:pStyle w:val="texto0"/>
              <w:spacing w:line="212" w:lineRule="exact"/>
              <w:ind w:firstLine="0"/>
              <w:rPr>
                <w:rFonts w:ascii="Verdana" w:hAnsi="Verdana"/>
                <w:b/>
                <w:sz w:val="16"/>
                <w:szCs w:val="16"/>
                <w:lang w:val="en-US"/>
              </w:rPr>
            </w:pPr>
            <w:r w:rsidRPr="00F01347">
              <w:rPr>
                <w:rFonts w:ascii="Verdana" w:hAnsi="Verdana"/>
                <w:b/>
                <w:sz w:val="16"/>
                <w:szCs w:val="16"/>
                <w:lang w:val="en-US"/>
              </w:rPr>
              <w:t>B.11.2.6 Reagents and solutions</w:t>
            </w:r>
          </w:p>
        </w:tc>
      </w:tr>
      <w:tr w:rsidR="00577998" w:rsidRPr="00F01347" w14:paraId="1513AE39" w14:textId="6FAD77B3" w:rsidTr="009F384B">
        <w:tc>
          <w:tcPr>
            <w:tcW w:w="4675" w:type="dxa"/>
          </w:tcPr>
          <w:p w14:paraId="6CD72783" w14:textId="77777777" w:rsidR="00577998" w:rsidRPr="00F01347" w:rsidRDefault="00577998" w:rsidP="00577998">
            <w:pPr>
              <w:pStyle w:val="texto0"/>
              <w:spacing w:line="212" w:lineRule="exact"/>
              <w:ind w:firstLine="0"/>
              <w:rPr>
                <w:rFonts w:ascii="Verdana" w:hAnsi="Verdana"/>
                <w:sz w:val="16"/>
                <w:szCs w:val="16"/>
              </w:rPr>
            </w:pPr>
            <w:r w:rsidRPr="00F01347">
              <w:rPr>
                <w:rFonts w:ascii="Verdana" w:hAnsi="Verdana"/>
                <w:sz w:val="16"/>
                <w:szCs w:val="16"/>
              </w:rPr>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 Sólo se mencionan los equipos y materiales que no son de uso común en el laboratorio analítico. Todo el material volumétrico utilizado debe ser clase A o estar verificada su calibración.</w:t>
            </w:r>
          </w:p>
        </w:tc>
        <w:tc>
          <w:tcPr>
            <w:tcW w:w="4675" w:type="dxa"/>
          </w:tcPr>
          <w:p w14:paraId="6CD60AEE" w14:textId="53316B16" w:rsidR="00577998" w:rsidRPr="00F01347" w:rsidRDefault="00577998" w:rsidP="00577998">
            <w:pPr>
              <w:pStyle w:val="texto0"/>
              <w:spacing w:line="212" w:lineRule="exact"/>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 Only equipment and materials that are not commonly used in the analytical laboratory are mentioned. All volumetric material used must be class A or its calibration verified.</w:t>
            </w:r>
          </w:p>
        </w:tc>
      </w:tr>
      <w:tr w:rsidR="00577998" w:rsidRPr="00F01347" w14:paraId="02D153BF" w14:textId="0D461B98" w:rsidTr="009F384B">
        <w:tc>
          <w:tcPr>
            <w:tcW w:w="4675" w:type="dxa"/>
          </w:tcPr>
          <w:p w14:paraId="2F0F8E42" w14:textId="77777777" w:rsidR="00577998" w:rsidRPr="00F01347" w:rsidRDefault="00577998" w:rsidP="00577998">
            <w:pPr>
              <w:pStyle w:val="texto0"/>
              <w:spacing w:line="212" w:lineRule="exact"/>
              <w:ind w:firstLine="0"/>
              <w:rPr>
                <w:rFonts w:ascii="Verdana" w:hAnsi="Verdana"/>
                <w:sz w:val="16"/>
                <w:szCs w:val="16"/>
              </w:rPr>
            </w:pPr>
            <w:r w:rsidRPr="00F01347">
              <w:rPr>
                <w:rFonts w:ascii="Verdana" w:hAnsi="Verdana"/>
                <w:sz w:val="16"/>
                <w:szCs w:val="16"/>
              </w:rPr>
              <w:t>Los reactivos que requiere el método deben ser tipo ACS grado reactivo a menos que otra cosa se indique.</w:t>
            </w:r>
          </w:p>
        </w:tc>
        <w:tc>
          <w:tcPr>
            <w:tcW w:w="4675" w:type="dxa"/>
          </w:tcPr>
          <w:p w14:paraId="559D5FB9" w14:textId="29E5FE77" w:rsidR="00577998" w:rsidRPr="00F01347" w:rsidRDefault="00577998" w:rsidP="00577998">
            <w:pPr>
              <w:pStyle w:val="texto0"/>
              <w:spacing w:line="212" w:lineRule="exact"/>
              <w:ind w:firstLine="0"/>
              <w:rPr>
                <w:rFonts w:ascii="Verdana" w:hAnsi="Verdana"/>
                <w:sz w:val="16"/>
                <w:szCs w:val="16"/>
                <w:lang w:val="en-US"/>
              </w:rPr>
            </w:pPr>
            <w:r w:rsidRPr="00F01347">
              <w:rPr>
                <w:rFonts w:ascii="Verdana" w:hAnsi="Verdana"/>
                <w:sz w:val="16"/>
                <w:szCs w:val="16"/>
                <w:lang w:val="en-US"/>
              </w:rPr>
              <w:t>The reagents required by the method must be ACS reagent grade unless otherwise indicated.</w:t>
            </w:r>
          </w:p>
        </w:tc>
      </w:tr>
      <w:tr w:rsidR="00577998" w:rsidRPr="00F01347" w14:paraId="46B93F15" w14:textId="432CD7B1" w:rsidTr="009F384B">
        <w:tc>
          <w:tcPr>
            <w:tcW w:w="4675" w:type="dxa"/>
          </w:tcPr>
          <w:p w14:paraId="33866ABA" w14:textId="77777777" w:rsidR="00577998" w:rsidRPr="00F01347" w:rsidRDefault="00577998" w:rsidP="00577998">
            <w:pPr>
              <w:pStyle w:val="texto0"/>
              <w:spacing w:line="212" w:lineRule="exact"/>
              <w:ind w:firstLine="0"/>
              <w:rPr>
                <w:rFonts w:ascii="Verdana" w:hAnsi="Verdana"/>
                <w:sz w:val="16"/>
                <w:szCs w:val="16"/>
              </w:rPr>
            </w:pPr>
            <w:r w:rsidRPr="00F01347">
              <w:rPr>
                <w:rFonts w:ascii="Verdana" w:hAnsi="Verdana"/>
                <w:sz w:val="16"/>
                <w:szCs w:val="16"/>
              </w:rPr>
              <w:t>Los reactivos empleados en este método se indican en la Tabla B.11.2-1, de este Apéndice.</w:t>
            </w:r>
          </w:p>
        </w:tc>
        <w:tc>
          <w:tcPr>
            <w:tcW w:w="4675" w:type="dxa"/>
          </w:tcPr>
          <w:p w14:paraId="2A5B6D81" w14:textId="775FDC0A" w:rsidR="00577998" w:rsidRPr="00F01347" w:rsidRDefault="00577998" w:rsidP="00577998">
            <w:pPr>
              <w:pStyle w:val="texto0"/>
              <w:spacing w:line="212" w:lineRule="exact"/>
              <w:ind w:firstLine="0"/>
              <w:rPr>
                <w:rFonts w:ascii="Verdana" w:hAnsi="Verdana"/>
                <w:sz w:val="16"/>
                <w:szCs w:val="16"/>
                <w:lang w:val="en-US"/>
              </w:rPr>
            </w:pPr>
            <w:r w:rsidRPr="00F01347">
              <w:rPr>
                <w:rFonts w:ascii="Verdana" w:hAnsi="Verdana"/>
                <w:sz w:val="16"/>
                <w:szCs w:val="16"/>
                <w:lang w:val="en-US"/>
              </w:rPr>
              <w:t>The reagents used in this method are indicated in Table B.11.2-1, of this Appendix.</w:t>
            </w:r>
          </w:p>
        </w:tc>
      </w:tr>
    </w:tbl>
    <w:p w14:paraId="19A333EE" w14:textId="77777777" w:rsidR="0055757A" w:rsidRPr="00F01347" w:rsidRDefault="0055757A" w:rsidP="003A601B">
      <w:pPr>
        <w:pStyle w:val="texto0"/>
        <w:spacing w:line="212" w:lineRule="exact"/>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3810"/>
        <w:gridCol w:w="2082"/>
        <w:gridCol w:w="1547"/>
        <w:gridCol w:w="1273"/>
      </w:tblGrid>
      <w:tr w:rsidR="00A74CDF" w:rsidRPr="00F01347" w14:paraId="2176415B" w14:textId="77777777">
        <w:trPr>
          <w:trHeight w:val="20"/>
        </w:trPr>
        <w:tc>
          <w:tcPr>
            <w:tcW w:w="8685" w:type="dxa"/>
            <w:gridSpan w:val="4"/>
            <w:tcBorders>
              <w:bottom w:val="single" w:sz="6" w:space="0" w:color="auto"/>
            </w:tcBorders>
            <w:noWrap/>
          </w:tcPr>
          <w:p w14:paraId="5E7DF6E9" w14:textId="77777777" w:rsidR="00A74CDF" w:rsidRPr="00F01347" w:rsidRDefault="00A74CDF" w:rsidP="003A601B">
            <w:pPr>
              <w:pStyle w:val="texto0"/>
              <w:spacing w:line="212" w:lineRule="exact"/>
              <w:ind w:firstLine="0"/>
              <w:jc w:val="center"/>
              <w:rPr>
                <w:rFonts w:ascii="Verdana" w:hAnsi="Verdana"/>
                <w:b/>
                <w:sz w:val="16"/>
                <w:szCs w:val="16"/>
              </w:rPr>
            </w:pPr>
            <w:r w:rsidRPr="00F01347">
              <w:rPr>
                <w:rFonts w:ascii="Verdana" w:hAnsi="Verdana"/>
                <w:b/>
                <w:sz w:val="16"/>
                <w:szCs w:val="16"/>
              </w:rPr>
              <w:t xml:space="preserve">Tabla B.11.2-1. </w:t>
            </w:r>
            <w:r w:rsidRPr="00F01347">
              <w:rPr>
                <w:rFonts w:ascii="Verdana" w:hAnsi="Verdana"/>
                <w:sz w:val="16"/>
                <w:szCs w:val="16"/>
              </w:rPr>
              <w:t>Reactivos empleados en el método de análisis.</w:t>
            </w:r>
          </w:p>
        </w:tc>
      </w:tr>
      <w:tr w:rsidR="00A74CDF" w:rsidRPr="00F01347" w14:paraId="09E89F42"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50B60B70" w14:textId="77777777" w:rsidR="00A74CDF" w:rsidRPr="00F01347" w:rsidRDefault="00A74CDF" w:rsidP="003A601B">
            <w:pPr>
              <w:pStyle w:val="texto0"/>
              <w:spacing w:line="212" w:lineRule="exact"/>
              <w:ind w:firstLine="0"/>
              <w:jc w:val="center"/>
              <w:rPr>
                <w:rFonts w:ascii="Verdana" w:hAnsi="Verdana"/>
                <w:b/>
                <w:sz w:val="16"/>
                <w:szCs w:val="16"/>
              </w:rPr>
            </w:pPr>
            <w:r w:rsidRPr="00F01347">
              <w:rPr>
                <w:rFonts w:ascii="Verdana" w:hAnsi="Verdana"/>
                <w:b/>
                <w:sz w:val="16"/>
                <w:szCs w:val="16"/>
              </w:rPr>
              <w:t>Nombre</w:t>
            </w:r>
          </w:p>
        </w:tc>
        <w:tc>
          <w:tcPr>
            <w:tcW w:w="2076" w:type="dxa"/>
            <w:tcBorders>
              <w:top w:val="single" w:sz="6" w:space="0" w:color="auto"/>
              <w:left w:val="single" w:sz="6" w:space="0" w:color="auto"/>
              <w:bottom w:val="single" w:sz="6" w:space="0" w:color="auto"/>
              <w:right w:val="single" w:sz="6" w:space="0" w:color="auto"/>
            </w:tcBorders>
          </w:tcPr>
          <w:p w14:paraId="72E1972F" w14:textId="77777777" w:rsidR="00A74CDF" w:rsidRPr="00F01347" w:rsidRDefault="00A74CDF" w:rsidP="003A601B">
            <w:pPr>
              <w:pStyle w:val="texto0"/>
              <w:spacing w:line="212" w:lineRule="exact"/>
              <w:ind w:firstLine="0"/>
              <w:jc w:val="center"/>
              <w:rPr>
                <w:rFonts w:ascii="Verdana" w:hAnsi="Verdana"/>
                <w:b/>
                <w:sz w:val="16"/>
                <w:szCs w:val="16"/>
              </w:rPr>
            </w:pPr>
            <w:r w:rsidRPr="00F01347">
              <w:rPr>
                <w:rFonts w:ascii="Verdana" w:hAnsi="Verdana"/>
                <w:b/>
                <w:sz w:val="16"/>
                <w:szCs w:val="16"/>
              </w:rPr>
              <w:t>Fórmula</w:t>
            </w:r>
          </w:p>
        </w:tc>
        <w:tc>
          <w:tcPr>
            <w:tcW w:w="1542" w:type="dxa"/>
            <w:tcBorders>
              <w:top w:val="single" w:sz="6" w:space="0" w:color="auto"/>
              <w:left w:val="single" w:sz="6" w:space="0" w:color="auto"/>
              <w:bottom w:val="single" w:sz="6" w:space="0" w:color="auto"/>
              <w:right w:val="single" w:sz="6" w:space="0" w:color="auto"/>
            </w:tcBorders>
          </w:tcPr>
          <w:p w14:paraId="5371DB90" w14:textId="77777777" w:rsidR="00A74CDF" w:rsidRPr="00F01347" w:rsidRDefault="00A74CDF" w:rsidP="003A601B">
            <w:pPr>
              <w:pStyle w:val="texto0"/>
              <w:spacing w:line="212" w:lineRule="exact"/>
              <w:ind w:firstLine="0"/>
              <w:jc w:val="center"/>
              <w:rPr>
                <w:rFonts w:ascii="Verdana" w:hAnsi="Verdana"/>
                <w:b/>
                <w:sz w:val="16"/>
                <w:szCs w:val="16"/>
              </w:rPr>
            </w:pPr>
            <w:r w:rsidRPr="00F01347">
              <w:rPr>
                <w:rFonts w:ascii="Verdana" w:hAnsi="Verdana"/>
                <w:b/>
                <w:sz w:val="16"/>
                <w:szCs w:val="16"/>
              </w:rPr>
              <w:t>Peso molecular (g/mol)</w:t>
            </w:r>
          </w:p>
        </w:tc>
        <w:tc>
          <w:tcPr>
            <w:tcW w:w="1269" w:type="dxa"/>
            <w:tcBorders>
              <w:top w:val="single" w:sz="6" w:space="0" w:color="auto"/>
              <w:left w:val="single" w:sz="6" w:space="0" w:color="auto"/>
              <w:bottom w:val="single" w:sz="6" w:space="0" w:color="auto"/>
              <w:right w:val="single" w:sz="6" w:space="0" w:color="auto"/>
            </w:tcBorders>
          </w:tcPr>
          <w:p w14:paraId="5200F5F5" w14:textId="77777777" w:rsidR="00A74CDF" w:rsidRPr="00F01347" w:rsidRDefault="00A74CDF" w:rsidP="003A601B">
            <w:pPr>
              <w:pStyle w:val="texto0"/>
              <w:spacing w:line="212" w:lineRule="exact"/>
              <w:ind w:firstLine="0"/>
              <w:jc w:val="center"/>
              <w:rPr>
                <w:rFonts w:ascii="Verdana" w:hAnsi="Verdana"/>
                <w:b/>
                <w:sz w:val="16"/>
                <w:szCs w:val="16"/>
              </w:rPr>
            </w:pPr>
            <w:r w:rsidRPr="00F01347">
              <w:rPr>
                <w:rFonts w:ascii="Verdana" w:hAnsi="Verdana"/>
                <w:b/>
                <w:sz w:val="16"/>
                <w:szCs w:val="16"/>
              </w:rPr>
              <w:t>No. CAS</w:t>
            </w:r>
          </w:p>
        </w:tc>
      </w:tr>
      <w:tr w:rsidR="00A74CDF" w:rsidRPr="00F01347" w14:paraId="6D194218"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3C3265FE"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Ácido clorhídrico concentrado</w:t>
            </w:r>
          </w:p>
        </w:tc>
        <w:tc>
          <w:tcPr>
            <w:tcW w:w="2076" w:type="dxa"/>
            <w:tcBorders>
              <w:top w:val="single" w:sz="6" w:space="0" w:color="auto"/>
              <w:left w:val="single" w:sz="6" w:space="0" w:color="auto"/>
              <w:bottom w:val="single" w:sz="6" w:space="0" w:color="auto"/>
              <w:right w:val="single" w:sz="6" w:space="0" w:color="auto"/>
            </w:tcBorders>
          </w:tcPr>
          <w:p w14:paraId="747F91E5"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HCl</w:t>
            </w:r>
          </w:p>
        </w:tc>
        <w:tc>
          <w:tcPr>
            <w:tcW w:w="1542" w:type="dxa"/>
            <w:tcBorders>
              <w:top w:val="single" w:sz="6" w:space="0" w:color="auto"/>
              <w:left w:val="single" w:sz="6" w:space="0" w:color="auto"/>
              <w:bottom w:val="single" w:sz="6" w:space="0" w:color="auto"/>
              <w:right w:val="single" w:sz="6" w:space="0" w:color="auto"/>
            </w:tcBorders>
          </w:tcPr>
          <w:p w14:paraId="5D0CE91D"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36.46</w:t>
            </w:r>
          </w:p>
        </w:tc>
        <w:tc>
          <w:tcPr>
            <w:tcW w:w="1269" w:type="dxa"/>
            <w:tcBorders>
              <w:top w:val="single" w:sz="6" w:space="0" w:color="auto"/>
              <w:left w:val="single" w:sz="6" w:space="0" w:color="auto"/>
              <w:bottom w:val="single" w:sz="6" w:space="0" w:color="auto"/>
              <w:right w:val="single" w:sz="6" w:space="0" w:color="auto"/>
            </w:tcBorders>
          </w:tcPr>
          <w:p w14:paraId="5357DF2A"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7647-01-1</w:t>
            </w:r>
          </w:p>
        </w:tc>
      </w:tr>
      <w:tr w:rsidR="00A74CDF" w:rsidRPr="00F01347" w14:paraId="0548BAA7"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7D098BE0"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 xml:space="preserve">Agua desionizada (tipo I </w:t>
            </w:r>
            <w:proofErr w:type="spellStart"/>
            <w:r w:rsidRPr="00F01347">
              <w:rPr>
                <w:rFonts w:ascii="Verdana" w:hAnsi="Verdana"/>
                <w:sz w:val="16"/>
                <w:szCs w:val="16"/>
              </w:rPr>
              <w:t>ó</w:t>
            </w:r>
            <w:proofErr w:type="spellEnd"/>
            <w:r w:rsidRPr="00F01347">
              <w:rPr>
                <w:rFonts w:ascii="Verdana" w:hAnsi="Verdana"/>
                <w:sz w:val="16"/>
                <w:szCs w:val="16"/>
              </w:rPr>
              <w:t xml:space="preserve"> II)</w:t>
            </w:r>
          </w:p>
        </w:tc>
        <w:tc>
          <w:tcPr>
            <w:tcW w:w="2076" w:type="dxa"/>
            <w:tcBorders>
              <w:top w:val="single" w:sz="6" w:space="0" w:color="auto"/>
              <w:left w:val="single" w:sz="6" w:space="0" w:color="auto"/>
              <w:bottom w:val="single" w:sz="6" w:space="0" w:color="auto"/>
              <w:right w:val="single" w:sz="6" w:space="0" w:color="auto"/>
            </w:tcBorders>
          </w:tcPr>
          <w:p w14:paraId="724805A3"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H</w:t>
            </w:r>
            <w:r w:rsidRPr="00F01347">
              <w:rPr>
                <w:rFonts w:ascii="Verdana" w:hAnsi="Verdana"/>
                <w:sz w:val="16"/>
                <w:szCs w:val="16"/>
                <w:vertAlign w:val="subscript"/>
              </w:rPr>
              <w:t>2</w:t>
            </w:r>
            <w:r w:rsidRPr="00F01347">
              <w:rPr>
                <w:rFonts w:ascii="Verdana" w:hAnsi="Verdana"/>
                <w:sz w:val="16"/>
                <w:szCs w:val="16"/>
              </w:rPr>
              <w:t>O</w:t>
            </w:r>
          </w:p>
        </w:tc>
        <w:tc>
          <w:tcPr>
            <w:tcW w:w="1542" w:type="dxa"/>
            <w:tcBorders>
              <w:top w:val="single" w:sz="6" w:space="0" w:color="auto"/>
              <w:left w:val="single" w:sz="6" w:space="0" w:color="auto"/>
              <w:bottom w:val="single" w:sz="6" w:space="0" w:color="auto"/>
              <w:right w:val="single" w:sz="6" w:space="0" w:color="auto"/>
            </w:tcBorders>
          </w:tcPr>
          <w:p w14:paraId="500D2265"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18.00</w:t>
            </w:r>
          </w:p>
        </w:tc>
        <w:tc>
          <w:tcPr>
            <w:tcW w:w="1269" w:type="dxa"/>
            <w:tcBorders>
              <w:top w:val="single" w:sz="6" w:space="0" w:color="auto"/>
              <w:left w:val="single" w:sz="6" w:space="0" w:color="auto"/>
              <w:bottom w:val="single" w:sz="6" w:space="0" w:color="auto"/>
              <w:right w:val="single" w:sz="6" w:space="0" w:color="auto"/>
            </w:tcBorders>
          </w:tcPr>
          <w:p w14:paraId="22ED50FD"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7732-18-5</w:t>
            </w:r>
          </w:p>
        </w:tc>
      </w:tr>
      <w:tr w:rsidR="00A74CDF" w:rsidRPr="00F01347" w14:paraId="2BF77019"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522D49BF" w14:textId="1280E3FA" w:rsidR="00A74CDF" w:rsidRPr="00F01347" w:rsidRDefault="00A74CDF" w:rsidP="003A601B">
            <w:pPr>
              <w:pStyle w:val="texto0"/>
              <w:spacing w:line="212" w:lineRule="exact"/>
              <w:ind w:firstLine="0"/>
              <w:rPr>
                <w:rFonts w:ascii="Verdana" w:hAnsi="Verdana"/>
                <w:sz w:val="16"/>
                <w:szCs w:val="16"/>
              </w:rPr>
            </w:pPr>
            <w:proofErr w:type="spellStart"/>
            <w:r w:rsidRPr="00F01347">
              <w:rPr>
                <w:rFonts w:ascii="Verdana" w:hAnsi="Verdana"/>
                <w:sz w:val="16"/>
                <w:szCs w:val="16"/>
              </w:rPr>
              <w:t>Brij</w:t>
            </w:r>
            <w:proofErr w:type="spellEnd"/>
            <w:r w:rsidR="00471638" w:rsidRPr="00F01347">
              <w:rPr>
                <w:rFonts w:ascii="Verdana" w:hAnsi="Verdana"/>
                <w:b/>
                <w:noProof/>
                <w:sz w:val="16"/>
                <w:szCs w:val="16"/>
              </w:rPr>
              <w:drawing>
                <wp:inline distT="0" distB="0" distL="0" distR="0" wp14:anchorId="699C606A" wp14:editId="048C395A">
                  <wp:extent cx="95250" cy="95250"/>
                  <wp:effectExtent l="0" t="0" r="0" b="0"/>
                  <wp:docPr id="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01347">
              <w:rPr>
                <w:rFonts w:ascii="Verdana" w:hAnsi="Verdana"/>
                <w:sz w:val="16"/>
                <w:szCs w:val="16"/>
              </w:rPr>
              <w:t xml:space="preserve">-35 (disolución al 21 </w:t>
            </w:r>
            <w:proofErr w:type="spellStart"/>
            <w:r w:rsidRPr="00F01347">
              <w:rPr>
                <w:rFonts w:ascii="Verdana" w:hAnsi="Verdana"/>
                <w:sz w:val="16"/>
                <w:szCs w:val="16"/>
              </w:rPr>
              <w:t>ó</w:t>
            </w:r>
            <w:proofErr w:type="spellEnd"/>
            <w:r w:rsidRPr="00F01347">
              <w:rPr>
                <w:rFonts w:ascii="Verdana" w:hAnsi="Verdana"/>
                <w:sz w:val="16"/>
                <w:szCs w:val="16"/>
              </w:rPr>
              <w:t xml:space="preserve"> 35% v/v)</w:t>
            </w:r>
          </w:p>
        </w:tc>
        <w:tc>
          <w:tcPr>
            <w:tcW w:w="2076" w:type="dxa"/>
            <w:tcBorders>
              <w:top w:val="single" w:sz="6" w:space="0" w:color="auto"/>
              <w:left w:val="single" w:sz="6" w:space="0" w:color="auto"/>
              <w:bottom w:val="single" w:sz="6" w:space="0" w:color="auto"/>
              <w:right w:val="single" w:sz="6" w:space="0" w:color="auto"/>
            </w:tcBorders>
          </w:tcPr>
          <w:p w14:paraId="2E72FD41"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w:t>
            </w:r>
          </w:p>
        </w:tc>
        <w:tc>
          <w:tcPr>
            <w:tcW w:w="1542" w:type="dxa"/>
            <w:tcBorders>
              <w:top w:val="single" w:sz="6" w:space="0" w:color="auto"/>
              <w:left w:val="single" w:sz="6" w:space="0" w:color="auto"/>
              <w:bottom w:val="single" w:sz="6" w:space="0" w:color="auto"/>
              <w:right w:val="single" w:sz="6" w:space="0" w:color="auto"/>
            </w:tcBorders>
          </w:tcPr>
          <w:p w14:paraId="0C6A6A6D"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w:t>
            </w:r>
          </w:p>
        </w:tc>
        <w:tc>
          <w:tcPr>
            <w:tcW w:w="1269" w:type="dxa"/>
            <w:tcBorders>
              <w:top w:val="single" w:sz="6" w:space="0" w:color="auto"/>
              <w:left w:val="single" w:sz="6" w:space="0" w:color="auto"/>
              <w:bottom w:val="single" w:sz="6" w:space="0" w:color="auto"/>
              <w:right w:val="single" w:sz="6" w:space="0" w:color="auto"/>
            </w:tcBorders>
          </w:tcPr>
          <w:p w14:paraId="698199D5"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A21-0110-33</w:t>
            </w:r>
            <w:r w:rsidRPr="00F01347">
              <w:rPr>
                <w:rFonts w:ascii="Verdana" w:hAnsi="Verdana"/>
                <w:sz w:val="16"/>
                <w:szCs w:val="16"/>
                <w:vertAlign w:val="superscript"/>
              </w:rPr>
              <w:t>a</w:t>
            </w:r>
          </w:p>
        </w:tc>
      </w:tr>
      <w:tr w:rsidR="00A74CDF" w:rsidRPr="00F01347" w14:paraId="564FEB87"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4E944240"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Cloroformo</w:t>
            </w:r>
          </w:p>
        </w:tc>
        <w:tc>
          <w:tcPr>
            <w:tcW w:w="2076" w:type="dxa"/>
            <w:tcBorders>
              <w:top w:val="single" w:sz="6" w:space="0" w:color="auto"/>
              <w:left w:val="single" w:sz="6" w:space="0" w:color="auto"/>
              <w:bottom w:val="single" w:sz="6" w:space="0" w:color="auto"/>
              <w:right w:val="single" w:sz="6" w:space="0" w:color="auto"/>
            </w:tcBorders>
          </w:tcPr>
          <w:p w14:paraId="28BE82EB"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CHCl</w:t>
            </w:r>
            <w:r w:rsidRPr="00F01347">
              <w:rPr>
                <w:rFonts w:ascii="Verdana" w:hAnsi="Verdana"/>
                <w:sz w:val="16"/>
                <w:szCs w:val="16"/>
                <w:vertAlign w:val="subscript"/>
              </w:rPr>
              <w:t>3</w:t>
            </w:r>
          </w:p>
        </w:tc>
        <w:tc>
          <w:tcPr>
            <w:tcW w:w="1542" w:type="dxa"/>
            <w:tcBorders>
              <w:top w:val="single" w:sz="6" w:space="0" w:color="auto"/>
              <w:left w:val="single" w:sz="6" w:space="0" w:color="auto"/>
              <w:bottom w:val="single" w:sz="6" w:space="0" w:color="auto"/>
              <w:right w:val="single" w:sz="6" w:space="0" w:color="auto"/>
            </w:tcBorders>
          </w:tcPr>
          <w:p w14:paraId="2FB139E7"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119.38</w:t>
            </w:r>
          </w:p>
        </w:tc>
        <w:tc>
          <w:tcPr>
            <w:tcW w:w="1269" w:type="dxa"/>
            <w:tcBorders>
              <w:top w:val="single" w:sz="6" w:space="0" w:color="auto"/>
              <w:left w:val="single" w:sz="6" w:space="0" w:color="auto"/>
              <w:bottom w:val="single" w:sz="6" w:space="0" w:color="auto"/>
              <w:right w:val="single" w:sz="6" w:space="0" w:color="auto"/>
            </w:tcBorders>
          </w:tcPr>
          <w:p w14:paraId="3D07262A"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67-66-3</w:t>
            </w:r>
          </w:p>
        </w:tc>
      </w:tr>
      <w:tr w:rsidR="00A74CDF" w:rsidRPr="00F01347" w14:paraId="7F8ED977"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530B84D1"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Cloruro de amonio</w:t>
            </w:r>
          </w:p>
        </w:tc>
        <w:tc>
          <w:tcPr>
            <w:tcW w:w="2076" w:type="dxa"/>
            <w:tcBorders>
              <w:top w:val="single" w:sz="6" w:space="0" w:color="auto"/>
              <w:left w:val="single" w:sz="6" w:space="0" w:color="auto"/>
              <w:bottom w:val="single" w:sz="6" w:space="0" w:color="auto"/>
              <w:right w:val="single" w:sz="6" w:space="0" w:color="auto"/>
            </w:tcBorders>
          </w:tcPr>
          <w:p w14:paraId="7BF3198B"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NH</w:t>
            </w:r>
            <w:r w:rsidRPr="00F01347">
              <w:rPr>
                <w:rFonts w:ascii="Verdana" w:hAnsi="Verdana"/>
                <w:sz w:val="16"/>
                <w:szCs w:val="16"/>
                <w:vertAlign w:val="subscript"/>
              </w:rPr>
              <w:t>4</w:t>
            </w:r>
            <w:r w:rsidRPr="00F01347">
              <w:rPr>
                <w:rFonts w:ascii="Verdana" w:hAnsi="Verdana"/>
                <w:sz w:val="16"/>
                <w:szCs w:val="16"/>
              </w:rPr>
              <w:t>Cl</w:t>
            </w:r>
          </w:p>
        </w:tc>
        <w:tc>
          <w:tcPr>
            <w:tcW w:w="1542" w:type="dxa"/>
            <w:tcBorders>
              <w:top w:val="single" w:sz="6" w:space="0" w:color="auto"/>
              <w:left w:val="single" w:sz="6" w:space="0" w:color="auto"/>
              <w:bottom w:val="single" w:sz="6" w:space="0" w:color="auto"/>
              <w:right w:val="single" w:sz="6" w:space="0" w:color="auto"/>
            </w:tcBorders>
          </w:tcPr>
          <w:p w14:paraId="3827DE9C"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53.50</w:t>
            </w:r>
          </w:p>
        </w:tc>
        <w:tc>
          <w:tcPr>
            <w:tcW w:w="1269" w:type="dxa"/>
            <w:tcBorders>
              <w:top w:val="single" w:sz="6" w:space="0" w:color="auto"/>
              <w:left w:val="single" w:sz="6" w:space="0" w:color="auto"/>
              <w:bottom w:val="single" w:sz="6" w:space="0" w:color="auto"/>
              <w:right w:val="single" w:sz="6" w:space="0" w:color="auto"/>
            </w:tcBorders>
          </w:tcPr>
          <w:p w14:paraId="6C93DCE9"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121215-02-9</w:t>
            </w:r>
          </w:p>
        </w:tc>
      </w:tr>
      <w:tr w:rsidR="00A74CDF" w:rsidRPr="00F01347" w14:paraId="71675CA3"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2639B021"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 xml:space="preserve">Cloruro de bario </w:t>
            </w:r>
            <w:proofErr w:type="spellStart"/>
            <w:r w:rsidRPr="00F01347">
              <w:rPr>
                <w:rFonts w:ascii="Verdana" w:hAnsi="Verdana"/>
                <w:sz w:val="16"/>
                <w:szCs w:val="16"/>
              </w:rPr>
              <w:t>dihidratado</w:t>
            </w:r>
            <w:proofErr w:type="spellEnd"/>
          </w:p>
        </w:tc>
        <w:tc>
          <w:tcPr>
            <w:tcW w:w="2076" w:type="dxa"/>
            <w:tcBorders>
              <w:top w:val="single" w:sz="6" w:space="0" w:color="auto"/>
              <w:left w:val="single" w:sz="6" w:space="0" w:color="auto"/>
              <w:bottom w:val="single" w:sz="6" w:space="0" w:color="auto"/>
              <w:right w:val="single" w:sz="6" w:space="0" w:color="auto"/>
            </w:tcBorders>
          </w:tcPr>
          <w:p w14:paraId="0E26AC3F"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BaCl</w:t>
            </w:r>
            <w:r w:rsidRPr="00F01347">
              <w:rPr>
                <w:rFonts w:ascii="Verdana" w:hAnsi="Verdana"/>
                <w:sz w:val="16"/>
                <w:szCs w:val="16"/>
                <w:vertAlign w:val="subscript"/>
              </w:rPr>
              <w:t>2</w:t>
            </w:r>
            <w:r w:rsidRPr="00F01347">
              <w:rPr>
                <w:rFonts w:ascii="Verdana" w:hAnsi="Verdana"/>
                <w:sz w:val="16"/>
                <w:szCs w:val="16"/>
              </w:rPr>
              <w:t>·• 2 H</w:t>
            </w:r>
            <w:r w:rsidRPr="00F01347">
              <w:rPr>
                <w:rFonts w:ascii="Verdana" w:hAnsi="Verdana"/>
                <w:sz w:val="16"/>
                <w:szCs w:val="16"/>
                <w:vertAlign w:val="subscript"/>
              </w:rPr>
              <w:t>2</w:t>
            </w:r>
            <w:r w:rsidRPr="00F01347">
              <w:rPr>
                <w:rFonts w:ascii="Verdana" w:hAnsi="Verdana"/>
                <w:sz w:val="16"/>
                <w:szCs w:val="16"/>
              </w:rPr>
              <w:t>O</w:t>
            </w:r>
          </w:p>
        </w:tc>
        <w:tc>
          <w:tcPr>
            <w:tcW w:w="1542" w:type="dxa"/>
            <w:tcBorders>
              <w:top w:val="single" w:sz="6" w:space="0" w:color="auto"/>
              <w:left w:val="single" w:sz="6" w:space="0" w:color="auto"/>
              <w:bottom w:val="single" w:sz="6" w:space="0" w:color="auto"/>
              <w:right w:val="single" w:sz="6" w:space="0" w:color="auto"/>
            </w:tcBorders>
          </w:tcPr>
          <w:p w14:paraId="7CAAA095"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244.28</w:t>
            </w:r>
          </w:p>
        </w:tc>
        <w:tc>
          <w:tcPr>
            <w:tcW w:w="1269" w:type="dxa"/>
            <w:tcBorders>
              <w:top w:val="single" w:sz="6" w:space="0" w:color="auto"/>
              <w:left w:val="single" w:sz="6" w:space="0" w:color="auto"/>
              <w:bottom w:val="single" w:sz="6" w:space="0" w:color="auto"/>
              <w:right w:val="single" w:sz="6" w:space="0" w:color="auto"/>
            </w:tcBorders>
          </w:tcPr>
          <w:p w14:paraId="38DF8112"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10326-27-9</w:t>
            </w:r>
          </w:p>
        </w:tc>
      </w:tr>
      <w:tr w:rsidR="00A74CDF" w:rsidRPr="00F01347" w14:paraId="788168B6"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2559D5E6"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 xml:space="preserve">Cloruro de litio, </w:t>
            </w:r>
            <w:proofErr w:type="spellStart"/>
            <w:r w:rsidRPr="00F01347">
              <w:rPr>
                <w:rFonts w:ascii="Verdana" w:hAnsi="Verdana"/>
                <w:sz w:val="16"/>
                <w:szCs w:val="16"/>
              </w:rPr>
              <w:t>anhídro</w:t>
            </w:r>
            <w:proofErr w:type="spellEnd"/>
          </w:p>
        </w:tc>
        <w:tc>
          <w:tcPr>
            <w:tcW w:w="2076" w:type="dxa"/>
            <w:tcBorders>
              <w:top w:val="single" w:sz="6" w:space="0" w:color="auto"/>
              <w:left w:val="single" w:sz="6" w:space="0" w:color="auto"/>
              <w:bottom w:val="single" w:sz="6" w:space="0" w:color="auto"/>
              <w:right w:val="single" w:sz="6" w:space="0" w:color="auto"/>
            </w:tcBorders>
          </w:tcPr>
          <w:p w14:paraId="026F95A0" w14:textId="77777777" w:rsidR="00A74CDF" w:rsidRPr="00F01347" w:rsidRDefault="00A74CDF" w:rsidP="003A601B">
            <w:pPr>
              <w:pStyle w:val="texto0"/>
              <w:spacing w:line="212" w:lineRule="exact"/>
              <w:ind w:firstLine="0"/>
              <w:jc w:val="center"/>
              <w:rPr>
                <w:rFonts w:ascii="Verdana" w:hAnsi="Verdana"/>
                <w:sz w:val="16"/>
                <w:szCs w:val="16"/>
              </w:rPr>
            </w:pPr>
            <w:proofErr w:type="spellStart"/>
            <w:r w:rsidRPr="00F01347">
              <w:rPr>
                <w:rFonts w:ascii="Verdana" w:hAnsi="Verdana"/>
                <w:sz w:val="16"/>
                <w:szCs w:val="16"/>
              </w:rPr>
              <w:t>LiCl</w:t>
            </w:r>
            <w:proofErr w:type="spellEnd"/>
          </w:p>
        </w:tc>
        <w:tc>
          <w:tcPr>
            <w:tcW w:w="1542" w:type="dxa"/>
            <w:tcBorders>
              <w:top w:val="single" w:sz="6" w:space="0" w:color="auto"/>
              <w:left w:val="single" w:sz="6" w:space="0" w:color="auto"/>
              <w:bottom w:val="single" w:sz="6" w:space="0" w:color="auto"/>
              <w:right w:val="single" w:sz="6" w:space="0" w:color="auto"/>
            </w:tcBorders>
          </w:tcPr>
          <w:p w14:paraId="0DCBD007"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42.39</w:t>
            </w:r>
          </w:p>
        </w:tc>
        <w:tc>
          <w:tcPr>
            <w:tcW w:w="1269" w:type="dxa"/>
            <w:tcBorders>
              <w:top w:val="single" w:sz="6" w:space="0" w:color="auto"/>
              <w:left w:val="single" w:sz="6" w:space="0" w:color="auto"/>
              <w:bottom w:val="single" w:sz="6" w:space="0" w:color="auto"/>
              <w:right w:val="single" w:sz="6" w:space="0" w:color="auto"/>
            </w:tcBorders>
          </w:tcPr>
          <w:p w14:paraId="5EF85929"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7447-41-8</w:t>
            </w:r>
          </w:p>
        </w:tc>
      </w:tr>
      <w:tr w:rsidR="00A74CDF" w:rsidRPr="00F01347" w14:paraId="42CE5843"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179B00C3"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Etanol / alcohol etílico</w:t>
            </w:r>
          </w:p>
        </w:tc>
        <w:tc>
          <w:tcPr>
            <w:tcW w:w="2076" w:type="dxa"/>
            <w:tcBorders>
              <w:top w:val="single" w:sz="6" w:space="0" w:color="auto"/>
              <w:left w:val="single" w:sz="6" w:space="0" w:color="auto"/>
              <w:bottom w:val="single" w:sz="6" w:space="0" w:color="auto"/>
              <w:right w:val="single" w:sz="6" w:space="0" w:color="auto"/>
            </w:tcBorders>
          </w:tcPr>
          <w:p w14:paraId="3078E905"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CH</w:t>
            </w:r>
            <w:r w:rsidRPr="00F01347">
              <w:rPr>
                <w:rFonts w:ascii="Verdana" w:hAnsi="Verdana"/>
                <w:sz w:val="16"/>
                <w:szCs w:val="16"/>
                <w:vertAlign w:val="subscript"/>
              </w:rPr>
              <w:t>3</w:t>
            </w:r>
            <w:r w:rsidRPr="00F01347">
              <w:rPr>
                <w:rFonts w:ascii="Verdana" w:hAnsi="Verdana"/>
                <w:sz w:val="16"/>
                <w:szCs w:val="16"/>
              </w:rPr>
              <w:t>CH</w:t>
            </w:r>
            <w:r w:rsidRPr="00F01347">
              <w:rPr>
                <w:rFonts w:ascii="Verdana" w:hAnsi="Verdana"/>
                <w:sz w:val="16"/>
                <w:szCs w:val="16"/>
                <w:vertAlign w:val="subscript"/>
              </w:rPr>
              <w:t>2</w:t>
            </w:r>
            <w:r w:rsidRPr="00F01347">
              <w:rPr>
                <w:rFonts w:ascii="Verdana" w:hAnsi="Verdana"/>
                <w:sz w:val="16"/>
                <w:szCs w:val="16"/>
              </w:rPr>
              <w:t>OH</w:t>
            </w:r>
          </w:p>
        </w:tc>
        <w:tc>
          <w:tcPr>
            <w:tcW w:w="1542" w:type="dxa"/>
            <w:tcBorders>
              <w:top w:val="single" w:sz="6" w:space="0" w:color="auto"/>
              <w:left w:val="single" w:sz="6" w:space="0" w:color="auto"/>
              <w:bottom w:val="single" w:sz="6" w:space="0" w:color="auto"/>
              <w:right w:val="single" w:sz="6" w:space="0" w:color="auto"/>
            </w:tcBorders>
          </w:tcPr>
          <w:p w14:paraId="299036CA"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46.07</w:t>
            </w:r>
          </w:p>
        </w:tc>
        <w:tc>
          <w:tcPr>
            <w:tcW w:w="1269" w:type="dxa"/>
            <w:tcBorders>
              <w:top w:val="single" w:sz="6" w:space="0" w:color="auto"/>
              <w:left w:val="single" w:sz="6" w:space="0" w:color="auto"/>
              <w:bottom w:val="single" w:sz="6" w:space="0" w:color="auto"/>
              <w:right w:val="single" w:sz="6" w:space="0" w:color="auto"/>
            </w:tcBorders>
          </w:tcPr>
          <w:p w14:paraId="1C92B249"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64-17-5</w:t>
            </w:r>
          </w:p>
        </w:tc>
      </w:tr>
      <w:tr w:rsidR="00A74CDF" w:rsidRPr="00F01347" w14:paraId="3A65087A"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011CCF98"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Fosfato monobásico de potasio</w:t>
            </w:r>
          </w:p>
        </w:tc>
        <w:tc>
          <w:tcPr>
            <w:tcW w:w="2076" w:type="dxa"/>
            <w:tcBorders>
              <w:top w:val="single" w:sz="6" w:space="0" w:color="auto"/>
              <w:left w:val="single" w:sz="6" w:space="0" w:color="auto"/>
              <w:bottom w:val="single" w:sz="6" w:space="0" w:color="auto"/>
              <w:right w:val="single" w:sz="6" w:space="0" w:color="auto"/>
            </w:tcBorders>
          </w:tcPr>
          <w:p w14:paraId="4954B81C"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KH</w:t>
            </w:r>
            <w:r w:rsidRPr="00F01347">
              <w:rPr>
                <w:rFonts w:ascii="Verdana" w:hAnsi="Verdana"/>
                <w:sz w:val="16"/>
                <w:szCs w:val="16"/>
                <w:vertAlign w:val="subscript"/>
              </w:rPr>
              <w:t>2</w:t>
            </w:r>
            <w:r w:rsidRPr="00F01347">
              <w:rPr>
                <w:rFonts w:ascii="Verdana" w:hAnsi="Verdana"/>
                <w:sz w:val="16"/>
                <w:szCs w:val="16"/>
              </w:rPr>
              <w:t>PO</w:t>
            </w:r>
            <w:r w:rsidRPr="00F01347">
              <w:rPr>
                <w:rFonts w:ascii="Verdana" w:hAnsi="Verdana"/>
                <w:sz w:val="16"/>
                <w:szCs w:val="16"/>
                <w:vertAlign w:val="subscript"/>
              </w:rPr>
              <w:t>4</w:t>
            </w:r>
          </w:p>
        </w:tc>
        <w:tc>
          <w:tcPr>
            <w:tcW w:w="1542" w:type="dxa"/>
            <w:tcBorders>
              <w:top w:val="single" w:sz="6" w:space="0" w:color="auto"/>
              <w:left w:val="single" w:sz="6" w:space="0" w:color="auto"/>
              <w:bottom w:val="single" w:sz="6" w:space="0" w:color="auto"/>
              <w:right w:val="single" w:sz="6" w:space="0" w:color="auto"/>
            </w:tcBorders>
          </w:tcPr>
          <w:p w14:paraId="5227E55C"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136.09</w:t>
            </w:r>
          </w:p>
        </w:tc>
        <w:tc>
          <w:tcPr>
            <w:tcW w:w="1269" w:type="dxa"/>
            <w:tcBorders>
              <w:top w:val="single" w:sz="6" w:space="0" w:color="auto"/>
              <w:left w:val="single" w:sz="6" w:space="0" w:color="auto"/>
              <w:bottom w:val="single" w:sz="6" w:space="0" w:color="auto"/>
              <w:right w:val="single" w:sz="6" w:space="0" w:color="auto"/>
            </w:tcBorders>
          </w:tcPr>
          <w:p w14:paraId="5F96E1E5"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7778-77-0</w:t>
            </w:r>
          </w:p>
        </w:tc>
      </w:tr>
      <w:tr w:rsidR="00A74CDF" w:rsidRPr="00F01347" w14:paraId="3996AEC6"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5102F494"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Hidróxido de amonio</w:t>
            </w:r>
          </w:p>
        </w:tc>
        <w:tc>
          <w:tcPr>
            <w:tcW w:w="2076" w:type="dxa"/>
            <w:tcBorders>
              <w:top w:val="single" w:sz="6" w:space="0" w:color="auto"/>
              <w:left w:val="single" w:sz="6" w:space="0" w:color="auto"/>
              <w:bottom w:val="single" w:sz="6" w:space="0" w:color="auto"/>
              <w:right w:val="single" w:sz="6" w:space="0" w:color="auto"/>
            </w:tcBorders>
          </w:tcPr>
          <w:p w14:paraId="796DBDCF"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NH</w:t>
            </w:r>
            <w:r w:rsidRPr="00F01347">
              <w:rPr>
                <w:rFonts w:ascii="Verdana" w:hAnsi="Verdana"/>
                <w:sz w:val="16"/>
                <w:szCs w:val="16"/>
                <w:vertAlign w:val="subscript"/>
              </w:rPr>
              <w:t>4</w:t>
            </w:r>
            <w:r w:rsidRPr="00F01347">
              <w:rPr>
                <w:rFonts w:ascii="Verdana" w:hAnsi="Verdana"/>
                <w:sz w:val="16"/>
                <w:szCs w:val="16"/>
              </w:rPr>
              <w:t>OH</w:t>
            </w:r>
          </w:p>
        </w:tc>
        <w:tc>
          <w:tcPr>
            <w:tcW w:w="1542" w:type="dxa"/>
            <w:tcBorders>
              <w:top w:val="single" w:sz="6" w:space="0" w:color="auto"/>
              <w:left w:val="single" w:sz="6" w:space="0" w:color="auto"/>
              <w:bottom w:val="single" w:sz="6" w:space="0" w:color="auto"/>
              <w:right w:val="single" w:sz="6" w:space="0" w:color="auto"/>
            </w:tcBorders>
          </w:tcPr>
          <w:p w14:paraId="0217AB8F"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35.05</w:t>
            </w:r>
          </w:p>
        </w:tc>
        <w:tc>
          <w:tcPr>
            <w:tcW w:w="1269" w:type="dxa"/>
            <w:tcBorders>
              <w:top w:val="single" w:sz="6" w:space="0" w:color="auto"/>
              <w:left w:val="single" w:sz="6" w:space="0" w:color="auto"/>
              <w:bottom w:val="single" w:sz="6" w:space="0" w:color="auto"/>
              <w:right w:val="single" w:sz="6" w:space="0" w:color="auto"/>
            </w:tcBorders>
          </w:tcPr>
          <w:p w14:paraId="611D3C14"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1336-21-6</w:t>
            </w:r>
          </w:p>
        </w:tc>
      </w:tr>
      <w:tr w:rsidR="00A74CDF" w:rsidRPr="00F01347" w14:paraId="50D6A036"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64BBB4CC"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Hidróxido de sodio</w:t>
            </w:r>
          </w:p>
        </w:tc>
        <w:tc>
          <w:tcPr>
            <w:tcW w:w="2076" w:type="dxa"/>
            <w:tcBorders>
              <w:top w:val="single" w:sz="6" w:space="0" w:color="auto"/>
              <w:left w:val="single" w:sz="6" w:space="0" w:color="auto"/>
              <w:bottom w:val="single" w:sz="6" w:space="0" w:color="auto"/>
              <w:right w:val="single" w:sz="6" w:space="0" w:color="auto"/>
            </w:tcBorders>
          </w:tcPr>
          <w:p w14:paraId="1013F245"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NaOH</w:t>
            </w:r>
          </w:p>
        </w:tc>
        <w:tc>
          <w:tcPr>
            <w:tcW w:w="1542" w:type="dxa"/>
            <w:tcBorders>
              <w:top w:val="single" w:sz="6" w:space="0" w:color="auto"/>
              <w:left w:val="single" w:sz="6" w:space="0" w:color="auto"/>
              <w:bottom w:val="single" w:sz="6" w:space="0" w:color="auto"/>
              <w:right w:val="single" w:sz="6" w:space="0" w:color="auto"/>
            </w:tcBorders>
          </w:tcPr>
          <w:p w14:paraId="6841F3B7"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40.0</w:t>
            </w:r>
          </w:p>
        </w:tc>
        <w:tc>
          <w:tcPr>
            <w:tcW w:w="1269" w:type="dxa"/>
            <w:tcBorders>
              <w:top w:val="single" w:sz="6" w:space="0" w:color="auto"/>
              <w:left w:val="single" w:sz="6" w:space="0" w:color="auto"/>
              <w:bottom w:val="single" w:sz="6" w:space="0" w:color="auto"/>
              <w:right w:val="single" w:sz="6" w:space="0" w:color="auto"/>
            </w:tcBorders>
          </w:tcPr>
          <w:p w14:paraId="452FAB97"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1310-73-2</w:t>
            </w:r>
          </w:p>
        </w:tc>
      </w:tr>
      <w:tr w:rsidR="00A74CDF" w:rsidRPr="00F01347" w14:paraId="10A3B3A8"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54CD2815" w14:textId="66BA0812"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Resina catiónica Bio-Rex</w:t>
            </w:r>
            <w:r w:rsidR="00471638" w:rsidRPr="00F01347">
              <w:rPr>
                <w:rFonts w:ascii="Verdana" w:hAnsi="Verdana"/>
                <w:b/>
                <w:noProof/>
                <w:sz w:val="16"/>
                <w:szCs w:val="16"/>
              </w:rPr>
              <w:drawing>
                <wp:inline distT="0" distB="0" distL="0" distR="0" wp14:anchorId="2F2BAA0F" wp14:editId="70DCEE97">
                  <wp:extent cx="95250" cy="95250"/>
                  <wp:effectExtent l="0" t="0" r="0" b="0"/>
                  <wp:docPr id="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01347">
              <w:rPr>
                <w:rFonts w:ascii="Verdana" w:hAnsi="Verdana"/>
                <w:sz w:val="16"/>
                <w:szCs w:val="16"/>
              </w:rPr>
              <w:t xml:space="preserve"> 70 (forma sódica).</w:t>
            </w:r>
          </w:p>
        </w:tc>
        <w:tc>
          <w:tcPr>
            <w:tcW w:w="2076" w:type="dxa"/>
            <w:tcBorders>
              <w:top w:val="single" w:sz="6" w:space="0" w:color="auto"/>
              <w:left w:val="single" w:sz="6" w:space="0" w:color="auto"/>
              <w:bottom w:val="single" w:sz="6" w:space="0" w:color="auto"/>
              <w:right w:val="single" w:sz="6" w:space="0" w:color="auto"/>
            </w:tcBorders>
          </w:tcPr>
          <w:p w14:paraId="5D87A01E"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w:t>
            </w:r>
          </w:p>
        </w:tc>
        <w:tc>
          <w:tcPr>
            <w:tcW w:w="1542" w:type="dxa"/>
            <w:tcBorders>
              <w:top w:val="single" w:sz="6" w:space="0" w:color="auto"/>
              <w:left w:val="single" w:sz="6" w:space="0" w:color="auto"/>
              <w:bottom w:val="single" w:sz="6" w:space="0" w:color="auto"/>
              <w:right w:val="single" w:sz="6" w:space="0" w:color="auto"/>
            </w:tcBorders>
          </w:tcPr>
          <w:p w14:paraId="37168DB8"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w:t>
            </w:r>
          </w:p>
        </w:tc>
        <w:tc>
          <w:tcPr>
            <w:tcW w:w="1269" w:type="dxa"/>
            <w:tcBorders>
              <w:top w:val="single" w:sz="6" w:space="0" w:color="auto"/>
              <w:left w:val="single" w:sz="6" w:space="0" w:color="auto"/>
              <w:bottom w:val="single" w:sz="6" w:space="0" w:color="auto"/>
              <w:right w:val="single" w:sz="6" w:space="0" w:color="auto"/>
            </w:tcBorders>
          </w:tcPr>
          <w:p w14:paraId="7747981E"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w:t>
            </w:r>
          </w:p>
        </w:tc>
      </w:tr>
      <w:tr w:rsidR="00A74CDF" w:rsidRPr="00F01347" w14:paraId="115061C0"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732FF823"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 xml:space="preserve">Sal sódica de azul de </w:t>
            </w:r>
            <w:proofErr w:type="spellStart"/>
            <w:r w:rsidRPr="00F01347">
              <w:rPr>
                <w:rFonts w:ascii="Verdana" w:hAnsi="Verdana"/>
                <w:sz w:val="16"/>
                <w:szCs w:val="16"/>
              </w:rPr>
              <w:t>metiltimol</w:t>
            </w:r>
            <w:proofErr w:type="spellEnd"/>
          </w:p>
        </w:tc>
        <w:tc>
          <w:tcPr>
            <w:tcW w:w="2076" w:type="dxa"/>
            <w:tcBorders>
              <w:top w:val="single" w:sz="6" w:space="0" w:color="auto"/>
              <w:left w:val="single" w:sz="6" w:space="0" w:color="auto"/>
              <w:bottom w:val="single" w:sz="6" w:space="0" w:color="auto"/>
              <w:right w:val="single" w:sz="6" w:space="0" w:color="auto"/>
            </w:tcBorders>
          </w:tcPr>
          <w:p w14:paraId="124F5B31"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C</w:t>
            </w:r>
            <w:r w:rsidRPr="00F01347">
              <w:rPr>
                <w:rFonts w:ascii="Verdana" w:hAnsi="Verdana"/>
                <w:sz w:val="16"/>
                <w:szCs w:val="16"/>
                <w:vertAlign w:val="subscript"/>
              </w:rPr>
              <w:t>37</w:t>
            </w:r>
            <w:r w:rsidRPr="00F01347">
              <w:rPr>
                <w:rFonts w:ascii="Verdana" w:hAnsi="Verdana"/>
                <w:sz w:val="16"/>
                <w:szCs w:val="16"/>
              </w:rPr>
              <w:t>H</w:t>
            </w:r>
            <w:r w:rsidRPr="00F01347">
              <w:rPr>
                <w:rFonts w:ascii="Verdana" w:hAnsi="Verdana"/>
                <w:sz w:val="16"/>
                <w:szCs w:val="16"/>
                <w:vertAlign w:val="subscript"/>
              </w:rPr>
              <w:t>40</w:t>
            </w:r>
            <w:r w:rsidRPr="00F01347">
              <w:rPr>
                <w:rFonts w:ascii="Verdana" w:hAnsi="Verdana"/>
                <w:sz w:val="16"/>
                <w:szCs w:val="16"/>
              </w:rPr>
              <w:t>N</w:t>
            </w:r>
            <w:r w:rsidRPr="00F01347">
              <w:rPr>
                <w:rFonts w:ascii="Verdana" w:hAnsi="Verdana"/>
                <w:sz w:val="16"/>
                <w:szCs w:val="16"/>
                <w:vertAlign w:val="subscript"/>
              </w:rPr>
              <w:t>2</w:t>
            </w:r>
            <w:r w:rsidRPr="00F01347">
              <w:rPr>
                <w:rFonts w:ascii="Verdana" w:hAnsi="Verdana"/>
                <w:sz w:val="16"/>
                <w:szCs w:val="16"/>
              </w:rPr>
              <w:t>O</w:t>
            </w:r>
            <w:r w:rsidRPr="00F01347">
              <w:rPr>
                <w:rFonts w:ascii="Verdana" w:hAnsi="Verdana"/>
                <w:sz w:val="16"/>
                <w:szCs w:val="16"/>
                <w:vertAlign w:val="subscript"/>
              </w:rPr>
              <w:t>13</w:t>
            </w:r>
            <w:r w:rsidRPr="00F01347">
              <w:rPr>
                <w:rFonts w:ascii="Verdana" w:hAnsi="Verdana"/>
                <w:sz w:val="16"/>
                <w:szCs w:val="16"/>
              </w:rPr>
              <w:t>Na</w:t>
            </w:r>
            <w:r w:rsidRPr="00F01347">
              <w:rPr>
                <w:rFonts w:ascii="Verdana" w:hAnsi="Verdana"/>
                <w:sz w:val="16"/>
                <w:szCs w:val="16"/>
                <w:vertAlign w:val="subscript"/>
              </w:rPr>
              <w:t>5</w:t>
            </w:r>
            <w:r w:rsidRPr="00F01347">
              <w:rPr>
                <w:rFonts w:ascii="Verdana" w:hAnsi="Verdana"/>
                <w:sz w:val="16"/>
                <w:szCs w:val="16"/>
              </w:rPr>
              <w:t>S</w:t>
            </w:r>
          </w:p>
        </w:tc>
        <w:tc>
          <w:tcPr>
            <w:tcW w:w="1542" w:type="dxa"/>
            <w:tcBorders>
              <w:top w:val="single" w:sz="6" w:space="0" w:color="auto"/>
              <w:left w:val="single" w:sz="6" w:space="0" w:color="auto"/>
              <w:bottom w:val="single" w:sz="6" w:space="0" w:color="auto"/>
              <w:right w:val="single" w:sz="6" w:space="0" w:color="auto"/>
            </w:tcBorders>
          </w:tcPr>
          <w:p w14:paraId="096A1FAD"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866.73</w:t>
            </w:r>
          </w:p>
        </w:tc>
        <w:tc>
          <w:tcPr>
            <w:tcW w:w="1269" w:type="dxa"/>
            <w:tcBorders>
              <w:top w:val="single" w:sz="6" w:space="0" w:color="auto"/>
              <w:left w:val="single" w:sz="6" w:space="0" w:color="auto"/>
              <w:bottom w:val="single" w:sz="6" w:space="0" w:color="auto"/>
              <w:right w:val="single" w:sz="6" w:space="0" w:color="auto"/>
            </w:tcBorders>
          </w:tcPr>
          <w:p w14:paraId="474DDE27"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4310-80-9</w:t>
            </w:r>
          </w:p>
        </w:tc>
      </w:tr>
      <w:tr w:rsidR="00A74CDF" w:rsidRPr="00F01347" w14:paraId="7CAEA06E"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53C2C596"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 xml:space="preserve">Sal sódica </w:t>
            </w:r>
            <w:proofErr w:type="spellStart"/>
            <w:r w:rsidRPr="00F01347">
              <w:rPr>
                <w:rFonts w:ascii="Verdana" w:hAnsi="Verdana"/>
                <w:sz w:val="16"/>
                <w:szCs w:val="16"/>
              </w:rPr>
              <w:t>dihidratada</w:t>
            </w:r>
            <w:proofErr w:type="spellEnd"/>
            <w:r w:rsidRPr="00F01347">
              <w:rPr>
                <w:rFonts w:ascii="Verdana" w:hAnsi="Verdana"/>
                <w:sz w:val="16"/>
                <w:szCs w:val="16"/>
              </w:rPr>
              <w:t xml:space="preserve"> de ácido </w:t>
            </w:r>
            <w:proofErr w:type="spellStart"/>
            <w:r w:rsidRPr="00F01347">
              <w:rPr>
                <w:rFonts w:ascii="Verdana" w:hAnsi="Verdana"/>
                <w:sz w:val="16"/>
                <w:szCs w:val="16"/>
              </w:rPr>
              <w:t>etilendiamintetraacético</w:t>
            </w:r>
            <w:proofErr w:type="spellEnd"/>
            <w:r w:rsidRPr="00F01347">
              <w:rPr>
                <w:rFonts w:ascii="Verdana" w:hAnsi="Verdana"/>
                <w:sz w:val="16"/>
                <w:szCs w:val="16"/>
              </w:rPr>
              <w:t xml:space="preserve"> (EDTA).</w:t>
            </w:r>
          </w:p>
        </w:tc>
        <w:tc>
          <w:tcPr>
            <w:tcW w:w="2076" w:type="dxa"/>
            <w:tcBorders>
              <w:top w:val="single" w:sz="6" w:space="0" w:color="auto"/>
              <w:left w:val="single" w:sz="6" w:space="0" w:color="auto"/>
              <w:bottom w:val="single" w:sz="6" w:space="0" w:color="auto"/>
              <w:right w:val="single" w:sz="6" w:space="0" w:color="auto"/>
            </w:tcBorders>
          </w:tcPr>
          <w:p w14:paraId="7222E63A"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C</w:t>
            </w:r>
            <w:r w:rsidRPr="00F01347">
              <w:rPr>
                <w:rFonts w:ascii="Verdana" w:hAnsi="Verdana"/>
                <w:sz w:val="16"/>
                <w:szCs w:val="16"/>
                <w:vertAlign w:val="subscript"/>
              </w:rPr>
              <w:t>10</w:t>
            </w:r>
            <w:r w:rsidRPr="00F01347">
              <w:rPr>
                <w:rFonts w:ascii="Verdana" w:hAnsi="Verdana"/>
                <w:sz w:val="16"/>
                <w:szCs w:val="16"/>
              </w:rPr>
              <w:t>H</w:t>
            </w:r>
            <w:r w:rsidRPr="00F01347">
              <w:rPr>
                <w:rFonts w:ascii="Verdana" w:hAnsi="Verdana"/>
                <w:sz w:val="16"/>
                <w:szCs w:val="16"/>
                <w:vertAlign w:val="subscript"/>
              </w:rPr>
              <w:t>16</w:t>
            </w:r>
            <w:r w:rsidRPr="00F01347">
              <w:rPr>
                <w:rFonts w:ascii="Verdana" w:hAnsi="Verdana"/>
                <w:sz w:val="16"/>
                <w:szCs w:val="16"/>
              </w:rPr>
              <w:t>N</w:t>
            </w:r>
            <w:r w:rsidRPr="00F01347">
              <w:rPr>
                <w:rFonts w:ascii="Verdana" w:hAnsi="Verdana"/>
                <w:sz w:val="16"/>
                <w:szCs w:val="16"/>
                <w:vertAlign w:val="subscript"/>
              </w:rPr>
              <w:t>2</w:t>
            </w:r>
            <w:r w:rsidRPr="00F01347">
              <w:rPr>
                <w:rFonts w:ascii="Verdana" w:hAnsi="Verdana"/>
                <w:sz w:val="16"/>
                <w:szCs w:val="16"/>
              </w:rPr>
              <w:t>Na</w:t>
            </w:r>
            <w:r w:rsidRPr="00F01347">
              <w:rPr>
                <w:rFonts w:ascii="Verdana" w:hAnsi="Verdana"/>
                <w:sz w:val="16"/>
                <w:szCs w:val="16"/>
                <w:vertAlign w:val="subscript"/>
              </w:rPr>
              <w:t>2</w:t>
            </w:r>
            <w:r w:rsidRPr="00F01347">
              <w:rPr>
                <w:rFonts w:ascii="Verdana" w:hAnsi="Verdana"/>
                <w:sz w:val="16"/>
                <w:szCs w:val="16"/>
              </w:rPr>
              <w:t>O</w:t>
            </w:r>
            <w:r w:rsidRPr="00F01347">
              <w:rPr>
                <w:rFonts w:ascii="Verdana" w:hAnsi="Verdana"/>
                <w:sz w:val="16"/>
                <w:szCs w:val="16"/>
                <w:vertAlign w:val="subscript"/>
              </w:rPr>
              <w:t>8</w:t>
            </w:r>
            <w:r w:rsidRPr="00F01347">
              <w:rPr>
                <w:rFonts w:ascii="Verdana" w:hAnsi="Verdana"/>
                <w:sz w:val="16"/>
                <w:szCs w:val="16"/>
              </w:rPr>
              <w:t xml:space="preserve"> • 2 H</w:t>
            </w:r>
            <w:r w:rsidRPr="00F01347">
              <w:rPr>
                <w:rFonts w:ascii="Verdana" w:hAnsi="Verdana"/>
                <w:sz w:val="16"/>
                <w:szCs w:val="16"/>
                <w:vertAlign w:val="subscript"/>
              </w:rPr>
              <w:t>2</w:t>
            </w:r>
            <w:r w:rsidRPr="00F01347">
              <w:rPr>
                <w:rFonts w:ascii="Verdana" w:hAnsi="Verdana"/>
                <w:sz w:val="16"/>
                <w:szCs w:val="16"/>
              </w:rPr>
              <w:t>O</w:t>
            </w:r>
          </w:p>
        </w:tc>
        <w:tc>
          <w:tcPr>
            <w:tcW w:w="1542" w:type="dxa"/>
            <w:tcBorders>
              <w:top w:val="single" w:sz="6" w:space="0" w:color="auto"/>
              <w:left w:val="single" w:sz="6" w:space="0" w:color="auto"/>
              <w:bottom w:val="single" w:sz="6" w:space="0" w:color="auto"/>
              <w:right w:val="single" w:sz="6" w:space="0" w:color="auto"/>
            </w:tcBorders>
          </w:tcPr>
          <w:p w14:paraId="3FE73E00"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372.24</w:t>
            </w:r>
          </w:p>
        </w:tc>
        <w:tc>
          <w:tcPr>
            <w:tcW w:w="1269" w:type="dxa"/>
            <w:tcBorders>
              <w:top w:val="single" w:sz="6" w:space="0" w:color="auto"/>
              <w:left w:val="single" w:sz="6" w:space="0" w:color="auto"/>
              <w:bottom w:val="single" w:sz="6" w:space="0" w:color="auto"/>
              <w:right w:val="single" w:sz="6" w:space="0" w:color="auto"/>
            </w:tcBorders>
          </w:tcPr>
          <w:p w14:paraId="25425474"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6381-92-6</w:t>
            </w:r>
          </w:p>
        </w:tc>
      </w:tr>
      <w:tr w:rsidR="00A74CDF" w:rsidRPr="00F01347" w14:paraId="4ADA4CF7" w14:textId="77777777">
        <w:trPr>
          <w:trHeight w:val="20"/>
        </w:trPr>
        <w:tc>
          <w:tcPr>
            <w:tcW w:w="3798" w:type="dxa"/>
            <w:tcBorders>
              <w:top w:val="single" w:sz="6" w:space="0" w:color="auto"/>
              <w:left w:val="single" w:sz="6" w:space="0" w:color="auto"/>
              <w:bottom w:val="single" w:sz="6" w:space="0" w:color="auto"/>
              <w:right w:val="single" w:sz="6" w:space="0" w:color="auto"/>
            </w:tcBorders>
          </w:tcPr>
          <w:p w14:paraId="524DA84D"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rPr>
              <w:t>Sulfato de sodio</w:t>
            </w:r>
          </w:p>
        </w:tc>
        <w:tc>
          <w:tcPr>
            <w:tcW w:w="2076" w:type="dxa"/>
            <w:tcBorders>
              <w:top w:val="single" w:sz="6" w:space="0" w:color="auto"/>
              <w:left w:val="single" w:sz="6" w:space="0" w:color="auto"/>
              <w:bottom w:val="single" w:sz="6" w:space="0" w:color="auto"/>
              <w:right w:val="single" w:sz="6" w:space="0" w:color="auto"/>
            </w:tcBorders>
          </w:tcPr>
          <w:p w14:paraId="083E740F"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Na</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p>
        </w:tc>
        <w:tc>
          <w:tcPr>
            <w:tcW w:w="1542" w:type="dxa"/>
            <w:tcBorders>
              <w:top w:val="single" w:sz="6" w:space="0" w:color="auto"/>
              <w:left w:val="single" w:sz="6" w:space="0" w:color="auto"/>
              <w:bottom w:val="single" w:sz="6" w:space="0" w:color="auto"/>
              <w:right w:val="single" w:sz="6" w:space="0" w:color="auto"/>
            </w:tcBorders>
          </w:tcPr>
          <w:p w14:paraId="5EF70E02"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142.04</w:t>
            </w:r>
          </w:p>
        </w:tc>
        <w:tc>
          <w:tcPr>
            <w:tcW w:w="1269" w:type="dxa"/>
            <w:tcBorders>
              <w:top w:val="single" w:sz="6" w:space="0" w:color="auto"/>
              <w:left w:val="single" w:sz="6" w:space="0" w:color="auto"/>
              <w:bottom w:val="single" w:sz="6" w:space="0" w:color="auto"/>
              <w:right w:val="single" w:sz="6" w:space="0" w:color="auto"/>
            </w:tcBorders>
          </w:tcPr>
          <w:p w14:paraId="46E14329" w14:textId="77777777" w:rsidR="00A74CDF" w:rsidRPr="00F01347" w:rsidRDefault="00A74CDF" w:rsidP="003A601B">
            <w:pPr>
              <w:pStyle w:val="texto0"/>
              <w:spacing w:line="212" w:lineRule="exact"/>
              <w:ind w:firstLine="0"/>
              <w:jc w:val="center"/>
              <w:rPr>
                <w:rFonts w:ascii="Verdana" w:hAnsi="Verdana"/>
                <w:sz w:val="16"/>
                <w:szCs w:val="16"/>
              </w:rPr>
            </w:pPr>
            <w:r w:rsidRPr="00F01347">
              <w:rPr>
                <w:rFonts w:ascii="Verdana" w:hAnsi="Verdana"/>
                <w:sz w:val="16"/>
                <w:szCs w:val="16"/>
              </w:rPr>
              <w:t>7757-82-6</w:t>
            </w:r>
          </w:p>
        </w:tc>
      </w:tr>
      <w:tr w:rsidR="00A74CDF" w:rsidRPr="00F01347" w14:paraId="09A34447" w14:textId="77777777">
        <w:trPr>
          <w:trHeight w:val="20"/>
        </w:trPr>
        <w:tc>
          <w:tcPr>
            <w:tcW w:w="8685" w:type="dxa"/>
            <w:gridSpan w:val="4"/>
            <w:tcBorders>
              <w:top w:val="single" w:sz="6" w:space="0" w:color="auto"/>
            </w:tcBorders>
          </w:tcPr>
          <w:p w14:paraId="33C78E1A" w14:textId="77777777" w:rsidR="00A74CDF" w:rsidRPr="00F01347" w:rsidRDefault="00A74CDF" w:rsidP="003A601B">
            <w:pPr>
              <w:pStyle w:val="texto0"/>
              <w:spacing w:line="212" w:lineRule="exact"/>
              <w:ind w:firstLine="0"/>
              <w:rPr>
                <w:rFonts w:ascii="Verdana" w:hAnsi="Verdana"/>
                <w:sz w:val="16"/>
                <w:szCs w:val="16"/>
              </w:rPr>
            </w:pPr>
            <w:r w:rsidRPr="00F01347">
              <w:rPr>
                <w:rFonts w:ascii="Verdana" w:hAnsi="Verdana"/>
                <w:sz w:val="16"/>
                <w:szCs w:val="16"/>
                <w:vertAlign w:val="superscript"/>
              </w:rPr>
              <w:t>a</w:t>
            </w:r>
            <w:r w:rsidRPr="00F01347">
              <w:rPr>
                <w:rFonts w:ascii="Verdana" w:hAnsi="Verdana"/>
                <w:sz w:val="16"/>
                <w:szCs w:val="16"/>
              </w:rPr>
              <w:t xml:space="preserve"> Número de parte del distribuidor</w:t>
            </w:r>
          </w:p>
        </w:tc>
      </w:tr>
    </w:tbl>
    <w:p w14:paraId="1B3E70F8" w14:textId="77777777" w:rsidR="0055757A" w:rsidRPr="00F01347" w:rsidRDefault="0055757A" w:rsidP="003A601B">
      <w:pPr>
        <w:pStyle w:val="texto0"/>
        <w:spacing w:line="212" w:lineRule="exact"/>
        <w:rPr>
          <w:rFonts w:ascii="Verdana" w:hAnsi="Verdana"/>
          <w:b/>
          <w:sz w:val="16"/>
          <w:szCs w:val="16"/>
        </w:rPr>
      </w:pPr>
    </w:p>
    <w:p w14:paraId="36B9345D" w14:textId="77777777" w:rsidR="00CB1CF2" w:rsidRPr="00F01347" w:rsidRDefault="00CB1CF2" w:rsidP="003A601B">
      <w:pPr>
        <w:pStyle w:val="texto0"/>
        <w:spacing w:line="212" w:lineRule="exact"/>
        <w:rPr>
          <w:rFonts w:ascii="Verdana" w:hAnsi="Verdana"/>
          <w:b/>
          <w:sz w:val="16"/>
          <w:szCs w:val="16"/>
        </w:rPr>
      </w:pPr>
    </w:p>
    <w:p w14:paraId="32F9D024" w14:textId="77777777" w:rsidR="00CB1CF2" w:rsidRPr="00F01347" w:rsidRDefault="00CB1CF2" w:rsidP="00CB1CF2">
      <w:pPr>
        <w:pStyle w:val="texto0"/>
        <w:spacing w:line="212" w:lineRule="exact"/>
        <w:rPr>
          <w:rFonts w:ascii="Verdana" w:hAnsi="Verdana"/>
          <w:sz w:val="16"/>
          <w:szCs w:val="16"/>
        </w:rPr>
      </w:pPr>
    </w:p>
    <w:p w14:paraId="7C02291C" w14:textId="77777777" w:rsidR="00204E65" w:rsidRPr="00F01347" w:rsidRDefault="00204E65" w:rsidP="00CB1CF2">
      <w:pPr>
        <w:pStyle w:val="texto0"/>
        <w:spacing w:line="212" w:lineRule="exact"/>
        <w:rPr>
          <w:rFonts w:ascii="Verdana" w:hAnsi="Verdana"/>
          <w:sz w:val="16"/>
          <w:szCs w:val="16"/>
        </w:rPr>
      </w:pPr>
    </w:p>
    <w:p w14:paraId="07BB3249" w14:textId="77777777" w:rsidR="00204E65" w:rsidRPr="00F01347" w:rsidRDefault="00204E65" w:rsidP="00CB1CF2">
      <w:pPr>
        <w:pStyle w:val="texto0"/>
        <w:spacing w:line="212" w:lineRule="exact"/>
        <w:rPr>
          <w:rFonts w:ascii="Verdana" w:hAnsi="Verdana"/>
          <w:sz w:val="16"/>
          <w:szCs w:val="16"/>
        </w:rPr>
      </w:pPr>
    </w:p>
    <w:p w14:paraId="08A603E6" w14:textId="77777777" w:rsidR="00204E65" w:rsidRPr="00F01347" w:rsidRDefault="00204E65" w:rsidP="00CB1CF2">
      <w:pPr>
        <w:pStyle w:val="texto0"/>
        <w:spacing w:line="212" w:lineRule="exact"/>
        <w:rPr>
          <w:rFonts w:ascii="Verdana" w:hAnsi="Verdana"/>
          <w:sz w:val="16"/>
          <w:szCs w:val="16"/>
        </w:rPr>
      </w:pPr>
    </w:p>
    <w:p w14:paraId="13EB3587" w14:textId="77777777" w:rsidR="00204E65" w:rsidRPr="00F01347" w:rsidRDefault="00204E65" w:rsidP="00CB1CF2">
      <w:pPr>
        <w:pStyle w:val="texto0"/>
        <w:spacing w:line="212" w:lineRule="exact"/>
        <w:rPr>
          <w:rFonts w:ascii="Verdana" w:hAnsi="Verdana"/>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3812"/>
        <w:gridCol w:w="2083"/>
        <w:gridCol w:w="1547"/>
        <w:gridCol w:w="1273"/>
      </w:tblGrid>
      <w:tr w:rsidR="00CB1CF2" w:rsidRPr="00F01347" w14:paraId="4B7C5640" w14:textId="77777777" w:rsidTr="00CB1CF2">
        <w:trPr>
          <w:trHeight w:val="20"/>
        </w:trPr>
        <w:tc>
          <w:tcPr>
            <w:tcW w:w="8685" w:type="dxa"/>
            <w:gridSpan w:val="4"/>
            <w:tcBorders>
              <w:top w:val="nil"/>
              <w:left w:val="nil"/>
              <w:bottom w:val="single" w:sz="6" w:space="0" w:color="auto"/>
              <w:right w:val="nil"/>
            </w:tcBorders>
            <w:noWrap/>
            <w:hideMark/>
          </w:tcPr>
          <w:p w14:paraId="34B2D403" w14:textId="77777777" w:rsidR="00CB1CF2" w:rsidRPr="00F01347" w:rsidRDefault="00CB1CF2">
            <w:pPr>
              <w:pStyle w:val="texto0"/>
              <w:spacing w:line="212" w:lineRule="exact"/>
              <w:ind w:firstLine="0"/>
              <w:jc w:val="center"/>
              <w:rPr>
                <w:rFonts w:ascii="Verdana" w:hAnsi="Verdana"/>
                <w:b/>
                <w:sz w:val="16"/>
                <w:szCs w:val="16"/>
                <w:lang w:val="en-US"/>
              </w:rPr>
            </w:pPr>
            <w:r w:rsidRPr="00F01347">
              <w:rPr>
                <w:rFonts w:ascii="Verdana" w:hAnsi="Verdana"/>
                <w:b/>
                <w:sz w:val="16"/>
                <w:szCs w:val="16"/>
                <w:lang w:val="en-US"/>
              </w:rPr>
              <w:lastRenderedPageBreak/>
              <w:t xml:space="preserve">Table B.11.2-1. </w:t>
            </w:r>
            <w:r w:rsidRPr="00F01347">
              <w:rPr>
                <w:rFonts w:ascii="Verdana" w:hAnsi="Verdana"/>
                <w:sz w:val="16"/>
                <w:szCs w:val="16"/>
                <w:lang w:val="en-US"/>
              </w:rPr>
              <w:t>Reagents used in the analysis method.</w:t>
            </w:r>
          </w:p>
        </w:tc>
      </w:tr>
      <w:tr w:rsidR="00CB1CF2" w:rsidRPr="00F01347" w14:paraId="0F051792"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7C05A2F3" w14:textId="77777777" w:rsidR="00CB1CF2" w:rsidRPr="00F01347" w:rsidRDefault="00CB1CF2">
            <w:pPr>
              <w:pStyle w:val="texto0"/>
              <w:spacing w:line="212" w:lineRule="exact"/>
              <w:ind w:firstLine="0"/>
              <w:jc w:val="center"/>
              <w:rPr>
                <w:rFonts w:ascii="Verdana" w:hAnsi="Verdana"/>
                <w:b/>
                <w:sz w:val="16"/>
                <w:szCs w:val="16"/>
                <w:lang w:val="en-US"/>
              </w:rPr>
            </w:pPr>
            <w:r w:rsidRPr="00F01347">
              <w:rPr>
                <w:rFonts w:ascii="Verdana" w:hAnsi="Verdana"/>
                <w:b/>
                <w:sz w:val="16"/>
                <w:szCs w:val="16"/>
                <w:lang w:val="en-US"/>
              </w:rPr>
              <w:t>Name</w:t>
            </w:r>
          </w:p>
        </w:tc>
        <w:tc>
          <w:tcPr>
            <w:tcW w:w="2076" w:type="dxa"/>
            <w:tcBorders>
              <w:top w:val="single" w:sz="6" w:space="0" w:color="auto"/>
              <w:left w:val="single" w:sz="6" w:space="0" w:color="auto"/>
              <w:bottom w:val="single" w:sz="6" w:space="0" w:color="auto"/>
              <w:right w:val="single" w:sz="6" w:space="0" w:color="auto"/>
            </w:tcBorders>
            <w:hideMark/>
          </w:tcPr>
          <w:p w14:paraId="7F492BF9" w14:textId="77777777" w:rsidR="00CB1CF2" w:rsidRPr="00F01347" w:rsidRDefault="00CB1CF2">
            <w:pPr>
              <w:pStyle w:val="texto0"/>
              <w:spacing w:line="212" w:lineRule="exact"/>
              <w:ind w:firstLine="0"/>
              <w:jc w:val="center"/>
              <w:rPr>
                <w:rFonts w:ascii="Verdana" w:hAnsi="Verdana"/>
                <w:b/>
                <w:sz w:val="16"/>
                <w:szCs w:val="16"/>
                <w:lang w:val="en-US"/>
              </w:rPr>
            </w:pPr>
            <w:r w:rsidRPr="00F01347">
              <w:rPr>
                <w:rFonts w:ascii="Verdana" w:hAnsi="Verdana"/>
                <w:b/>
                <w:sz w:val="16"/>
                <w:szCs w:val="16"/>
                <w:lang w:val="en-US"/>
              </w:rPr>
              <w:t>Formula</w:t>
            </w:r>
          </w:p>
        </w:tc>
        <w:tc>
          <w:tcPr>
            <w:tcW w:w="1542" w:type="dxa"/>
            <w:tcBorders>
              <w:top w:val="single" w:sz="6" w:space="0" w:color="auto"/>
              <w:left w:val="single" w:sz="6" w:space="0" w:color="auto"/>
              <w:bottom w:val="single" w:sz="6" w:space="0" w:color="auto"/>
              <w:right w:val="single" w:sz="6" w:space="0" w:color="auto"/>
            </w:tcBorders>
            <w:hideMark/>
          </w:tcPr>
          <w:p w14:paraId="3528FEA5" w14:textId="77777777" w:rsidR="00CB1CF2" w:rsidRPr="00F01347" w:rsidRDefault="00CB1CF2">
            <w:pPr>
              <w:pStyle w:val="texto0"/>
              <w:spacing w:line="212" w:lineRule="exact"/>
              <w:ind w:firstLine="0"/>
              <w:jc w:val="center"/>
              <w:rPr>
                <w:rFonts w:ascii="Verdana" w:hAnsi="Verdana"/>
                <w:b/>
                <w:sz w:val="16"/>
                <w:szCs w:val="16"/>
                <w:lang w:val="en-US"/>
              </w:rPr>
            </w:pPr>
            <w:r w:rsidRPr="00F01347">
              <w:rPr>
                <w:rFonts w:ascii="Verdana" w:hAnsi="Verdana"/>
                <w:b/>
                <w:sz w:val="16"/>
                <w:szCs w:val="16"/>
                <w:lang w:val="en-US"/>
              </w:rPr>
              <w:t>Molecular weight (g/mol)</w:t>
            </w:r>
          </w:p>
        </w:tc>
        <w:tc>
          <w:tcPr>
            <w:tcW w:w="1269" w:type="dxa"/>
            <w:tcBorders>
              <w:top w:val="single" w:sz="6" w:space="0" w:color="auto"/>
              <w:left w:val="single" w:sz="6" w:space="0" w:color="auto"/>
              <w:bottom w:val="single" w:sz="6" w:space="0" w:color="auto"/>
              <w:right w:val="single" w:sz="6" w:space="0" w:color="auto"/>
            </w:tcBorders>
            <w:hideMark/>
          </w:tcPr>
          <w:p w14:paraId="00BDDE48" w14:textId="77777777" w:rsidR="00CB1CF2" w:rsidRPr="00F01347" w:rsidRDefault="00CB1CF2">
            <w:pPr>
              <w:pStyle w:val="texto0"/>
              <w:spacing w:line="212" w:lineRule="exact"/>
              <w:ind w:firstLine="0"/>
              <w:jc w:val="center"/>
              <w:rPr>
                <w:rFonts w:ascii="Verdana" w:hAnsi="Verdana"/>
                <w:b/>
                <w:sz w:val="16"/>
                <w:szCs w:val="16"/>
                <w:lang w:val="en-US"/>
              </w:rPr>
            </w:pPr>
            <w:r w:rsidRPr="00F01347">
              <w:rPr>
                <w:rFonts w:ascii="Verdana" w:hAnsi="Verdana"/>
                <w:b/>
                <w:sz w:val="16"/>
                <w:szCs w:val="16"/>
                <w:lang w:val="en-US"/>
              </w:rPr>
              <w:t>CAS No.</w:t>
            </w:r>
          </w:p>
        </w:tc>
      </w:tr>
      <w:tr w:rsidR="00CB1CF2" w:rsidRPr="00F01347" w14:paraId="6033B839"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51660458" w14:textId="77777777" w:rsidR="00CB1CF2" w:rsidRPr="00F01347" w:rsidRDefault="00CB1CF2">
            <w:pPr>
              <w:pStyle w:val="texto0"/>
              <w:spacing w:line="212" w:lineRule="exact"/>
              <w:ind w:firstLine="0"/>
              <w:rPr>
                <w:rFonts w:ascii="Verdana" w:hAnsi="Verdana"/>
                <w:sz w:val="16"/>
                <w:szCs w:val="16"/>
                <w:lang w:val="en-US"/>
              </w:rPr>
            </w:pPr>
            <w:r w:rsidRPr="00F01347">
              <w:rPr>
                <w:rFonts w:ascii="Verdana" w:hAnsi="Verdana"/>
                <w:sz w:val="16"/>
                <w:szCs w:val="16"/>
                <w:lang w:val="en-US"/>
              </w:rPr>
              <w:t>Concentrated hydrochloric acid</w:t>
            </w:r>
          </w:p>
        </w:tc>
        <w:tc>
          <w:tcPr>
            <w:tcW w:w="2076" w:type="dxa"/>
            <w:tcBorders>
              <w:top w:val="single" w:sz="6" w:space="0" w:color="auto"/>
              <w:left w:val="single" w:sz="6" w:space="0" w:color="auto"/>
              <w:bottom w:val="single" w:sz="6" w:space="0" w:color="auto"/>
              <w:right w:val="single" w:sz="6" w:space="0" w:color="auto"/>
            </w:tcBorders>
            <w:hideMark/>
          </w:tcPr>
          <w:p w14:paraId="51C1942C"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HCl</w:t>
            </w:r>
          </w:p>
        </w:tc>
        <w:tc>
          <w:tcPr>
            <w:tcW w:w="1542" w:type="dxa"/>
            <w:tcBorders>
              <w:top w:val="single" w:sz="6" w:space="0" w:color="auto"/>
              <w:left w:val="single" w:sz="6" w:space="0" w:color="auto"/>
              <w:bottom w:val="single" w:sz="6" w:space="0" w:color="auto"/>
              <w:right w:val="single" w:sz="6" w:space="0" w:color="auto"/>
            </w:tcBorders>
            <w:hideMark/>
          </w:tcPr>
          <w:p w14:paraId="0A5E493C"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36.46</w:t>
            </w:r>
          </w:p>
        </w:tc>
        <w:tc>
          <w:tcPr>
            <w:tcW w:w="1269" w:type="dxa"/>
            <w:tcBorders>
              <w:top w:val="single" w:sz="6" w:space="0" w:color="auto"/>
              <w:left w:val="single" w:sz="6" w:space="0" w:color="auto"/>
              <w:bottom w:val="single" w:sz="6" w:space="0" w:color="auto"/>
              <w:right w:val="single" w:sz="6" w:space="0" w:color="auto"/>
            </w:tcBorders>
            <w:hideMark/>
          </w:tcPr>
          <w:p w14:paraId="5E2C2FD4"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7647-01-1</w:t>
            </w:r>
          </w:p>
        </w:tc>
      </w:tr>
      <w:tr w:rsidR="00CB1CF2" w:rsidRPr="00F01347" w14:paraId="6BA2A7CC"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3B2F453D" w14:textId="77777777" w:rsidR="00CB1CF2" w:rsidRPr="00F01347" w:rsidRDefault="00CB1CF2">
            <w:pPr>
              <w:pStyle w:val="texto0"/>
              <w:spacing w:line="212" w:lineRule="exact"/>
              <w:ind w:firstLine="0"/>
              <w:rPr>
                <w:rFonts w:ascii="Verdana" w:hAnsi="Verdana"/>
                <w:sz w:val="16"/>
                <w:szCs w:val="16"/>
                <w:lang w:val="en-US"/>
              </w:rPr>
            </w:pPr>
            <w:r w:rsidRPr="00F01347">
              <w:rPr>
                <w:rFonts w:ascii="Verdana" w:hAnsi="Verdana"/>
                <w:sz w:val="16"/>
                <w:szCs w:val="16"/>
                <w:lang w:val="en-US"/>
              </w:rPr>
              <w:t>Deionized water (type I or II)</w:t>
            </w:r>
          </w:p>
        </w:tc>
        <w:tc>
          <w:tcPr>
            <w:tcW w:w="2076" w:type="dxa"/>
            <w:tcBorders>
              <w:top w:val="single" w:sz="6" w:space="0" w:color="auto"/>
              <w:left w:val="single" w:sz="6" w:space="0" w:color="auto"/>
              <w:bottom w:val="single" w:sz="6" w:space="0" w:color="auto"/>
              <w:right w:val="single" w:sz="6" w:space="0" w:color="auto"/>
            </w:tcBorders>
            <w:hideMark/>
          </w:tcPr>
          <w:p w14:paraId="1F800988"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 xml:space="preserve">H2O </w:t>
            </w:r>
            <w:r w:rsidRPr="00F01347">
              <w:rPr>
                <w:rFonts w:ascii="Verdana" w:hAnsi="Verdana"/>
                <w:sz w:val="16"/>
                <w:szCs w:val="16"/>
                <w:vertAlign w:val="subscript"/>
                <w:lang w:val="en-US"/>
              </w:rPr>
              <w:t xml:space="preserve">_ </w:t>
            </w:r>
            <w:r w:rsidRPr="00F01347">
              <w:rPr>
                <w:rFonts w:ascii="Verdana" w:hAnsi="Verdana"/>
                <w:sz w:val="16"/>
                <w:szCs w:val="16"/>
                <w:lang w:val="en-US"/>
              </w:rPr>
              <w:t>_</w:t>
            </w:r>
          </w:p>
        </w:tc>
        <w:tc>
          <w:tcPr>
            <w:tcW w:w="1542" w:type="dxa"/>
            <w:tcBorders>
              <w:top w:val="single" w:sz="6" w:space="0" w:color="auto"/>
              <w:left w:val="single" w:sz="6" w:space="0" w:color="auto"/>
              <w:bottom w:val="single" w:sz="6" w:space="0" w:color="auto"/>
              <w:right w:val="single" w:sz="6" w:space="0" w:color="auto"/>
            </w:tcBorders>
            <w:hideMark/>
          </w:tcPr>
          <w:p w14:paraId="0DFA6E1E"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18.00</w:t>
            </w:r>
          </w:p>
        </w:tc>
        <w:tc>
          <w:tcPr>
            <w:tcW w:w="1269" w:type="dxa"/>
            <w:tcBorders>
              <w:top w:val="single" w:sz="6" w:space="0" w:color="auto"/>
              <w:left w:val="single" w:sz="6" w:space="0" w:color="auto"/>
              <w:bottom w:val="single" w:sz="6" w:space="0" w:color="auto"/>
              <w:right w:val="single" w:sz="6" w:space="0" w:color="auto"/>
            </w:tcBorders>
            <w:hideMark/>
          </w:tcPr>
          <w:p w14:paraId="5B5F21DB"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7732-18-5</w:t>
            </w:r>
          </w:p>
        </w:tc>
      </w:tr>
      <w:tr w:rsidR="00CB1CF2" w:rsidRPr="00F01347" w14:paraId="15574CAB"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5A0C23C3" w14:textId="216D67F0" w:rsidR="00CB1CF2" w:rsidRPr="00F01347" w:rsidRDefault="00CB1CF2">
            <w:pPr>
              <w:pStyle w:val="texto0"/>
              <w:spacing w:line="212" w:lineRule="exact"/>
              <w:ind w:firstLine="0"/>
              <w:rPr>
                <w:rFonts w:ascii="Verdana" w:hAnsi="Verdana"/>
                <w:sz w:val="16"/>
                <w:szCs w:val="16"/>
                <w:lang w:val="en-US"/>
              </w:rPr>
            </w:pPr>
            <w:r w:rsidRPr="00F01347">
              <w:rPr>
                <w:rFonts w:ascii="Verdana" w:hAnsi="Verdana"/>
                <w:sz w:val="16"/>
                <w:szCs w:val="16"/>
                <w:lang w:val="en-US"/>
              </w:rPr>
              <w:t xml:space="preserve">Brij </w:t>
            </w:r>
            <w:r w:rsidRPr="00F01347">
              <w:rPr>
                <w:rFonts w:ascii="Verdana" w:hAnsi="Verdana"/>
                <w:b/>
                <w:noProof/>
                <w:sz w:val="16"/>
                <w:szCs w:val="16"/>
                <w:lang w:val="en-US"/>
              </w:rPr>
              <w:drawing>
                <wp:inline distT="0" distB="0" distL="0" distR="0" wp14:anchorId="503FB522" wp14:editId="3A77CFD8">
                  <wp:extent cx="95250" cy="95250"/>
                  <wp:effectExtent l="0" t="0" r="0" b="0"/>
                  <wp:docPr id="13445125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01347">
              <w:rPr>
                <w:rFonts w:ascii="Verdana" w:hAnsi="Verdana"/>
                <w:sz w:val="16"/>
                <w:szCs w:val="16"/>
                <w:lang w:val="en-US"/>
              </w:rPr>
              <w:t>-35 (21 or 35% v/v solution)</w:t>
            </w:r>
          </w:p>
        </w:tc>
        <w:tc>
          <w:tcPr>
            <w:tcW w:w="2076" w:type="dxa"/>
            <w:tcBorders>
              <w:top w:val="single" w:sz="6" w:space="0" w:color="auto"/>
              <w:left w:val="single" w:sz="6" w:space="0" w:color="auto"/>
              <w:bottom w:val="single" w:sz="6" w:space="0" w:color="auto"/>
              <w:right w:val="single" w:sz="6" w:space="0" w:color="auto"/>
            </w:tcBorders>
            <w:hideMark/>
          </w:tcPr>
          <w:p w14:paraId="1EC4C3FD"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w:t>
            </w:r>
          </w:p>
        </w:tc>
        <w:tc>
          <w:tcPr>
            <w:tcW w:w="1542" w:type="dxa"/>
            <w:tcBorders>
              <w:top w:val="single" w:sz="6" w:space="0" w:color="auto"/>
              <w:left w:val="single" w:sz="6" w:space="0" w:color="auto"/>
              <w:bottom w:val="single" w:sz="6" w:space="0" w:color="auto"/>
              <w:right w:val="single" w:sz="6" w:space="0" w:color="auto"/>
            </w:tcBorders>
            <w:hideMark/>
          </w:tcPr>
          <w:p w14:paraId="7D9F73B5"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w:t>
            </w:r>
          </w:p>
        </w:tc>
        <w:tc>
          <w:tcPr>
            <w:tcW w:w="1269" w:type="dxa"/>
            <w:tcBorders>
              <w:top w:val="single" w:sz="6" w:space="0" w:color="auto"/>
              <w:left w:val="single" w:sz="6" w:space="0" w:color="auto"/>
              <w:bottom w:val="single" w:sz="6" w:space="0" w:color="auto"/>
              <w:right w:val="single" w:sz="6" w:space="0" w:color="auto"/>
            </w:tcBorders>
            <w:hideMark/>
          </w:tcPr>
          <w:p w14:paraId="6926ECCC"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 xml:space="preserve">A21-0110-33 </w:t>
            </w:r>
            <w:r w:rsidRPr="00F01347">
              <w:rPr>
                <w:rFonts w:ascii="Verdana" w:hAnsi="Verdana"/>
                <w:sz w:val="16"/>
                <w:szCs w:val="16"/>
                <w:vertAlign w:val="superscript"/>
                <w:lang w:val="en-US"/>
              </w:rPr>
              <w:t>a</w:t>
            </w:r>
          </w:p>
        </w:tc>
      </w:tr>
      <w:tr w:rsidR="00CB1CF2" w:rsidRPr="00F01347" w14:paraId="0E487534"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5124E794" w14:textId="77777777" w:rsidR="00CB1CF2" w:rsidRPr="00F01347" w:rsidRDefault="00CB1CF2">
            <w:pPr>
              <w:pStyle w:val="texto0"/>
              <w:spacing w:line="212" w:lineRule="exact"/>
              <w:ind w:firstLine="0"/>
              <w:rPr>
                <w:rFonts w:ascii="Verdana" w:hAnsi="Verdana"/>
                <w:sz w:val="16"/>
                <w:szCs w:val="16"/>
                <w:lang w:val="en-US"/>
              </w:rPr>
            </w:pPr>
            <w:r w:rsidRPr="00F01347">
              <w:rPr>
                <w:rFonts w:ascii="Verdana" w:hAnsi="Verdana"/>
                <w:sz w:val="16"/>
                <w:szCs w:val="16"/>
                <w:lang w:val="en-US"/>
              </w:rPr>
              <w:t>Chloroform</w:t>
            </w:r>
          </w:p>
        </w:tc>
        <w:tc>
          <w:tcPr>
            <w:tcW w:w="2076" w:type="dxa"/>
            <w:tcBorders>
              <w:top w:val="single" w:sz="6" w:space="0" w:color="auto"/>
              <w:left w:val="single" w:sz="6" w:space="0" w:color="auto"/>
              <w:bottom w:val="single" w:sz="6" w:space="0" w:color="auto"/>
              <w:right w:val="single" w:sz="6" w:space="0" w:color="auto"/>
            </w:tcBorders>
            <w:hideMark/>
          </w:tcPr>
          <w:p w14:paraId="0FD50018" w14:textId="09ED5976"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CHCl</w:t>
            </w:r>
            <w:r w:rsidRPr="00F01347">
              <w:rPr>
                <w:rFonts w:ascii="Verdana" w:hAnsi="Verdana"/>
                <w:sz w:val="16"/>
                <w:szCs w:val="16"/>
                <w:vertAlign w:val="subscript"/>
                <w:lang w:val="en-US"/>
              </w:rPr>
              <w:t>3</w:t>
            </w:r>
          </w:p>
        </w:tc>
        <w:tc>
          <w:tcPr>
            <w:tcW w:w="1542" w:type="dxa"/>
            <w:tcBorders>
              <w:top w:val="single" w:sz="6" w:space="0" w:color="auto"/>
              <w:left w:val="single" w:sz="6" w:space="0" w:color="auto"/>
              <w:bottom w:val="single" w:sz="6" w:space="0" w:color="auto"/>
              <w:right w:val="single" w:sz="6" w:space="0" w:color="auto"/>
            </w:tcBorders>
            <w:hideMark/>
          </w:tcPr>
          <w:p w14:paraId="79715EB3"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119.38</w:t>
            </w:r>
          </w:p>
        </w:tc>
        <w:tc>
          <w:tcPr>
            <w:tcW w:w="1269" w:type="dxa"/>
            <w:tcBorders>
              <w:top w:val="single" w:sz="6" w:space="0" w:color="auto"/>
              <w:left w:val="single" w:sz="6" w:space="0" w:color="auto"/>
              <w:bottom w:val="single" w:sz="6" w:space="0" w:color="auto"/>
              <w:right w:val="single" w:sz="6" w:space="0" w:color="auto"/>
            </w:tcBorders>
            <w:hideMark/>
          </w:tcPr>
          <w:p w14:paraId="0D4AEBE5"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67-66-3</w:t>
            </w:r>
          </w:p>
        </w:tc>
      </w:tr>
      <w:tr w:rsidR="00CB1CF2" w:rsidRPr="00F01347" w14:paraId="164AB62A"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0CC50A89" w14:textId="77777777" w:rsidR="00CB1CF2" w:rsidRPr="00F01347" w:rsidRDefault="00CB1CF2">
            <w:pPr>
              <w:pStyle w:val="texto0"/>
              <w:spacing w:line="212" w:lineRule="exact"/>
              <w:ind w:firstLine="0"/>
              <w:rPr>
                <w:rFonts w:ascii="Verdana" w:hAnsi="Verdana"/>
                <w:sz w:val="16"/>
                <w:szCs w:val="16"/>
                <w:lang w:val="en-US"/>
              </w:rPr>
            </w:pPr>
            <w:r w:rsidRPr="00F01347">
              <w:rPr>
                <w:rFonts w:ascii="Verdana" w:hAnsi="Verdana"/>
                <w:sz w:val="16"/>
                <w:szCs w:val="16"/>
                <w:lang w:val="en-US"/>
              </w:rPr>
              <w:t>Ammonium chloride</w:t>
            </w:r>
          </w:p>
        </w:tc>
        <w:tc>
          <w:tcPr>
            <w:tcW w:w="2076" w:type="dxa"/>
            <w:tcBorders>
              <w:top w:val="single" w:sz="6" w:space="0" w:color="auto"/>
              <w:left w:val="single" w:sz="6" w:space="0" w:color="auto"/>
              <w:bottom w:val="single" w:sz="6" w:space="0" w:color="auto"/>
              <w:right w:val="single" w:sz="6" w:space="0" w:color="auto"/>
            </w:tcBorders>
            <w:hideMark/>
          </w:tcPr>
          <w:p w14:paraId="7E31D78C" w14:textId="718DCB92"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NH</w:t>
            </w:r>
            <w:r w:rsidRPr="00F01347">
              <w:rPr>
                <w:rFonts w:ascii="Verdana" w:hAnsi="Verdana"/>
                <w:sz w:val="16"/>
                <w:szCs w:val="16"/>
                <w:vertAlign w:val="subscript"/>
                <w:lang w:val="en-US"/>
              </w:rPr>
              <w:t xml:space="preserve">4 </w:t>
            </w:r>
            <w:r w:rsidRPr="00F01347">
              <w:rPr>
                <w:rFonts w:ascii="Verdana" w:hAnsi="Verdana"/>
                <w:sz w:val="16"/>
                <w:szCs w:val="16"/>
                <w:lang w:val="en-US"/>
              </w:rPr>
              <w:t>Cl</w:t>
            </w:r>
          </w:p>
        </w:tc>
        <w:tc>
          <w:tcPr>
            <w:tcW w:w="1542" w:type="dxa"/>
            <w:tcBorders>
              <w:top w:val="single" w:sz="6" w:space="0" w:color="auto"/>
              <w:left w:val="single" w:sz="6" w:space="0" w:color="auto"/>
              <w:bottom w:val="single" w:sz="6" w:space="0" w:color="auto"/>
              <w:right w:val="single" w:sz="6" w:space="0" w:color="auto"/>
            </w:tcBorders>
            <w:hideMark/>
          </w:tcPr>
          <w:p w14:paraId="59271563"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53.50</w:t>
            </w:r>
          </w:p>
        </w:tc>
        <w:tc>
          <w:tcPr>
            <w:tcW w:w="1269" w:type="dxa"/>
            <w:tcBorders>
              <w:top w:val="single" w:sz="6" w:space="0" w:color="auto"/>
              <w:left w:val="single" w:sz="6" w:space="0" w:color="auto"/>
              <w:bottom w:val="single" w:sz="6" w:space="0" w:color="auto"/>
              <w:right w:val="single" w:sz="6" w:space="0" w:color="auto"/>
            </w:tcBorders>
            <w:hideMark/>
          </w:tcPr>
          <w:p w14:paraId="4B6C56CC"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121215-02-9</w:t>
            </w:r>
          </w:p>
        </w:tc>
      </w:tr>
      <w:tr w:rsidR="00CB1CF2" w:rsidRPr="00F01347" w14:paraId="249058B9"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4B3B2BDE" w14:textId="77777777" w:rsidR="00CB1CF2" w:rsidRPr="00F01347" w:rsidRDefault="00CB1CF2">
            <w:pPr>
              <w:pStyle w:val="texto0"/>
              <w:spacing w:line="212" w:lineRule="exact"/>
              <w:ind w:firstLine="0"/>
              <w:rPr>
                <w:rFonts w:ascii="Verdana" w:hAnsi="Verdana"/>
                <w:sz w:val="16"/>
                <w:szCs w:val="16"/>
                <w:lang w:val="en-US"/>
              </w:rPr>
            </w:pPr>
            <w:r w:rsidRPr="00F01347">
              <w:rPr>
                <w:rFonts w:ascii="Verdana" w:hAnsi="Verdana"/>
                <w:sz w:val="16"/>
                <w:szCs w:val="16"/>
                <w:lang w:val="en-US"/>
              </w:rPr>
              <w:t>Barium chloride dihydrate</w:t>
            </w:r>
          </w:p>
        </w:tc>
        <w:tc>
          <w:tcPr>
            <w:tcW w:w="2076" w:type="dxa"/>
            <w:tcBorders>
              <w:top w:val="single" w:sz="6" w:space="0" w:color="auto"/>
              <w:left w:val="single" w:sz="6" w:space="0" w:color="auto"/>
              <w:bottom w:val="single" w:sz="6" w:space="0" w:color="auto"/>
              <w:right w:val="single" w:sz="6" w:space="0" w:color="auto"/>
            </w:tcBorders>
            <w:hideMark/>
          </w:tcPr>
          <w:p w14:paraId="380ECFD8" w14:textId="7D332710"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BaCl</w:t>
            </w:r>
            <w:r w:rsidRPr="00F01347">
              <w:rPr>
                <w:rFonts w:ascii="Verdana" w:hAnsi="Verdana"/>
                <w:sz w:val="16"/>
                <w:szCs w:val="16"/>
                <w:vertAlign w:val="subscript"/>
                <w:lang w:val="en-US"/>
              </w:rPr>
              <w:t xml:space="preserve">2 </w:t>
            </w:r>
            <w:r w:rsidRPr="00F01347">
              <w:rPr>
                <w:rFonts w:ascii="Verdana" w:hAnsi="Verdana"/>
                <w:sz w:val="16"/>
                <w:szCs w:val="16"/>
                <w:lang w:val="en-US"/>
              </w:rPr>
              <w:t>·• 2 H</w:t>
            </w:r>
            <w:r w:rsidRPr="00F01347">
              <w:rPr>
                <w:rFonts w:ascii="Verdana" w:hAnsi="Verdana"/>
                <w:sz w:val="16"/>
                <w:szCs w:val="16"/>
                <w:vertAlign w:val="subscript"/>
                <w:lang w:val="en-US"/>
              </w:rPr>
              <w:t>2</w:t>
            </w:r>
            <w:r w:rsidRPr="00F01347">
              <w:rPr>
                <w:rFonts w:ascii="Verdana" w:hAnsi="Verdana"/>
                <w:sz w:val="16"/>
                <w:szCs w:val="16"/>
                <w:lang w:val="en-US"/>
              </w:rPr>
              <w:t>O</w:t>
            </w:r>
          </w:p>
        </w:tc>
        <w:tc>
          <w:tcPr>
            <w:tcW w:w="1542" w:type="dxa"/>
            <w:tcBorders>
              <w:top w:val="single" w:sz="6" w:space="0" w:color="auto"/>
              <w:left w:val="single" w:sz="6" w:space="0" w:color="auto"/>
              <w:bottom w:val="single" w:sz="6" w:space="0" w:color="auto"/>
              <w:right w:val="single" w:sz="6" w:space="0" w:color="auto"/>
            </w:tcBorders>
            <w:hideMark/>
          </w:tcPr>
          <w:p w14:paraId="2B487666"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244.28</w:t>
            </w:r>
          </w:p>
        </w:tc>
        <w:tc>
          <w:tcPr>
            <w:tcW w:w="1269" w:type="dxa"/>
            <w:tcBorders>
              <w:top w:val="single" w:sz="6" w:space="0" w:color="auto"/>
              <w:left w:val="single" w:sz="6" w:space="0" w:color="auto"/>
              <w:bottom w:val="single" w:sz="6" w:space="0" w:color="auto"/>
              <w:right w:val="single" w:sz="6" w:space="0" w:color="auto"/>
            </w:tcBorders>
            <w:hideMark/>
          </w:tcPr>
          <w:p w14:paraId="15F2F43C"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10326-27-9</w:t>
            </w:r>
          </w:p>
        </w:tc>
      </w:tr>
      <w:tr w:rsidR="00CB1CF2" w:rsidRPr="00F01347" w14:paraId="738E5494"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50A86A27" w14:textId="77777777" w:rsidR="00CB1CF2" w:rsidRPr="00F01347" w:rsidRDefault="00CB1CF2">
            <w:pPr>
              <w:pStyle w:val="texto0"/>
              <w:spacing w:line="212" w:lineRule="exact"/>
              <w:ind w:firstLine="0"/>
              <w:rPr>
                <w:rFonts w:ascii="Verdana" w:hAnsi="Verdana"/>
                <w:sz w:val="16"/>
                <w:szCs w:val="16"/>
                <w:lang w:val="en-US"/>
              </w:rPr>
            </w:pPr>
            <w:r w:rsidRPr="00F01347">
              <w:rPr>
                <w:rFonts w:ascii="Verdana" w:hAnsi="Verdana"/>
                <w:sz w:val="16"/>
                <w:szCs w:val="16"/>
                <w:lang w:val="en-US"/>
              </w:rPr>
              <w:t>Lithium chloride, anhydrous</w:t>
            </w:r>
          </w:p>
        </w:tc>
        <w:tc>
          <w:tcPr>
            <w:tcW w:w="2076" w:type="dxa"/>
            <w:tcBorders>
              <w:top w:val="single" w:sz="6" w:space="0" w:color="auto"/>
              <w:left w:val="single" w:sz="6" w:space="0" w:color="auto"/>
              <w:bottom w:val="single" w:sz="6" w:space="0" w:color="auto"/>
              <w:right w:val="single" w:sz="6" w:space="0" w:color="auto"/>
            </w:tcBorders>
            <w:hideMark/>
          </w:tcPr>
          <w:p w14:paraId="67FD35CE"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LiCl</w:t>
            </w:r>
          </w:p>
        </w:tc>
        <w:tc>
          <w:tcPr>
            <w:tcW w:w="1542" w:type="dxa"/>
            <w:tcBorders>
              <w:top w:val="single" w:sz="6" w:space="0" w:color="auto"/>
              <w:left w:val="single" w:sz="6" w:space="0" w:color="auto"/>
              <w:bottom w:val="single" w:sz="6" w:space="0" w:color="auto"/>
              <w:right w:val="single" w:sz="6" w:space="0" w:color="auto"/>
            </w:tcBorders>
            <w:hideMark/>
          </w:tcPr>
          <w:p w14:paraId="7805FF4B"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42.39</w:t>
            </w:r>
          </w:p>
        </w:tc>
        <w:tc>
          <w:tcPr>
            <w:tcW w:w="1269" w:type="dxa"/>
            <w:tcBorders>
              <w:top w:val="single" w:sz="6" w:space="0" w:color="auto"/>
              <w:left w:val="single" w:sz="6" w:space="0" w:color="auto"/>
              <w:bottom w:val="single" w:sz="6" w:space="0" w:color="auto"/>
              <w:right w:val="single" w:sz="6" w:space="0" w:color="auto"/>
            </w:tcBorders>
            <w:hideMark/>
          </w:tcPr>
          <w:p w14:paraId="191FC9D3"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7447-41-8</w:t>
            </w:r>
          </w:p>
        </w:tc>
      </w:tr>
      <w:tr w:rsidR="00CB1CF2" w:rsidRPr="00F01347" w14:paraId="5BF7F7BC"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364FA30F" w14:textId="77777777" w:rsidR="00CB1CF2" w:rsidRPr="00F01347" w:rsidRDefault="00CB1CF2">
            <w:pPr>
              <w:pStyle w:val="texto0"/>
              <w:spacing w:line="212" w:lineRule="exact"/>
              <w:ind w:firstLine="0"/>
              <w:rPr>
                <w:rFonts w:ascii="Verdana" w:hAnsi="Verdana"/>
                <w:sz w:val="16"/>
                <w:szCs w:val="16"/>
                <w:lang w:val="en-US"/>
              </w:rPr>
            </w:pPr>
            <w:r w:rsidRPr="00F01347">
              <w:rPr>
                <w:rFonts w:ascii="Verdana" w:hAnsi="Verdana"/>
                <w:sz w:val="16"/>
                <w:szCs w:val="16"/>
                <w:lang w:val="en-US"/>
              </w:rPr>
              <w:t>Ethanol/ethyl alcohol</w:t>
            </w:r>
          </w:p>
        </w:tc>
        <w:tc>
          <w:tcPr>
            <w:tcW w:w="2076" w:type="dxa"/>
            <w:tcBorders>
              <w:top w:val="single" w:sz="6" w:space="0" w:color="auto"/>
              <w:left w:val="single" w:sz="6" w:space="0" w:color="auto"/>
              <w:bottom w:val="single" w:sz="6" w:space="0" w:color="auto"/>
              <w:right w:val="single" w:sz="6" w:space="0" w:color="auto"/>
            </w:tcBorders>
            <w:hideMark/>
          </w:tcPr>
          <w:p w14:paraId="282F4281" w14:textId="396002E1"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CH</w:t>
            </w:r>
            <w:r w:rsidRPr="00F01347">
              <w:rPr>
                <w:rFonts w:ascii="Verdana" w:hAnsi="Verdana"/>
                <w:sz w:val="16"/>
                <w:szCs w:val="16"/>
                <w:vertAlign w:val="subscript"/>
                <w:lang w:val="en-US"/>
              </w:rPr>
              <w:t xml:space="preserve">3 </w:t>
            </w:r>
            <w:r w:rsidRPr="00F01347">
              <w:rPr>
                <w:rFonts w:ascii="Verdana" w:hAnsi="Verdana"/>
                <w:sz w:val="16"/>
                <w:szCs w:val="16"/>
                <w:lang w:val="en-US"/>
              </w:rPr>
              <w:t>CH</w:t>
            </w:r>
            <w:r w:rsidRPr="00F01347">
              <w:rPr>
                <w:rFonts w:ascii="Verdana" w:hAnsi="Verdana"/>
                <w:sz w:val="16"/>
                <w:szCs w:val="16"/>
                <w:vertAlign w:val="subscript"/>
                <w:lang w:val="en-US"/>
              </w:rPr>
              <w:t>2</w:t>
            </w:r>
            <w:r w:rsidRPr="00F01347">
              <w:rPr>
                <w:rFonts w:ascii="Verdana" w:hAnsi="Verdana"/>
                <w:sz w:val="16"/>
                <w:szCs w:val="16"/>
                <w:lang w:val="en-US"/>
              </w:rPr>
              <w:t>OH</w:t>
            </w:r>
          </w:p>
        </w:tc>
        <w:tc>
          <w:tcPr>
            <w:tcW w:w="1542" w:type="dxa"/>
            <w:tcBorders>
              <w:top w:val="single" w:sz="6" w:space="0" w:color="auto"/>
              <w:left w:val="single" w:sz="6" w:space="0" w:color="auto"/>
              <w:bottom w:val="single" w:sz="6" w:space="0" w:color="auto"/>
              <w:right w:val="single" w:sz="6" w:space="0" w:color="auto"/>
            </w:tcBorders>
            <w:hideMark/>
          </w:tcPr>
          <w:p w14:paraId="3817105A"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46.07</w:t>
            </w:r>
          </w:p>
        </w:tc>
        <w:tc>
          <w:tcPr>
            <w:tcW w:w="1269" w:type="dxa"/>
            <w:tcBorders>
              <w:top w:val="single" w:sz="6" w:space="0" w:color="auto"/>
              <w:left w:val="single" w:sz="6" w:space="0" w:color="auto"/>
              <w:bottom w:val="single" w:sz="6" w:space="0" w:color="auto"/>
              <w:right w:val="single" w:sz="6" w:space="0" w:color="auto"/>
            </w:tcBorders>
            <w:hideMark/>
          </w:tcPr>
          <w:p w14:paraId="67DB1D17"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64-17-5</w:t>
            </w:r>
          </w:p>
        </w:tc>
      </w:tr>
      <w:tr w:rsidR="00CB1CF2" w:rsidRPr="00F01347" w14:paraId="7C7F8829"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52E7D537" w14:textId="77777777" w:rsidR="00CB1CF2" w:rsidRPr="00F01347" w:rsidRDefault="00CB1CF2">
            <w:pPr>
              <w:pStyle w:val="texto0"/>
              <w:spacing w:line="212" w:lineRule="exact"/>
              <w:ind w:firstLine="0"/>
              <w:rPr>
                <w:rFonts w:ascii="Verdana" w:hAnsi="Verdana"/>
                <w:sz w:val="16"/>
                <w:szCs w:val="16"/>
                <w:lang w:val="en-US"/>
              </w:rPr>
            </w:pPr>
            <w:r w:rsidRPr="00F01347">
              <w:rPr>
                <w:rFonts w:ascii="Verdana" w:hAnsi="Verdana"/>
                <w:sz w:val="16"/>
                <w:szCs w:val="16"/>
                <w:lang w:val="en-US"/>
              </w:rPr>
              <w:t>Monobasic potassium phosphate</w:t>
            </w:r>
          </w:p>
        </w:tc>
        <w:tc>
          <w:tcPr>
            <w:tcW w:w="2076" w:type="dxa"/>
            <w:tcBorders>
              <w:top w:val="single" w:sz="6" w:space="0" w:color="auto"/>
              <w:left w:val="single" w:sz="6" w:space="0" w:color="auto"/>
              <w:bottom w:val="single" w:sz="6" w:space="0" w:color="auto"/>
              <w:right w:val="single" w:sz="6" w:space="0" w:color="auto"/>
            </w:tcBorders>
            <w:hideMark/>
          </w:tcPr>
          <w:p w14:paraId="22EB8ABB" w14:textId="3C198069"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KH</w:t>
            </w:r>
            <w:r w:rsidRPr="00F01347">
              <w:rPr>
                <w:rFonts w:ascii="Verdana" w:hAnsi="Verdana"/>
                <w:sz w:val="16"/>
                <w:szCs w:val="16"/>
                <w:vertAlign w:val="subscript"/>
                <w:lang w:val="en-US"/>
              </w:rPr>
              <w:t>2</w:t>
            </w:r>
            <w:r w:rsidRPr="00F01347">
              <w:rPr>
                <w:rFonts w:ascii="Verdana" w:hAnsi="Verdana"/>
                <w:sz w:val="16"/>
                <w:szCs w:val="16"/>
                <w:lang w:val="en-US"/>
              </w:rPr>
              <w:t>PO</w:t>
            </w:r>
            <w:r w:rsidRPr="00F01347">
              <w:rPr>
                <w:rFonts w:ascii="Verdana" w:hAnsi="Verdana"/>
                <w:sz w:val="16"/>
                <w:szCs w:val="16"/>
                <w:vertAlign w:val="subscript"/>
                <w:lang w:val="en-US"/>
              </w:rPr>
              <w:t>4</w:t>
            </w:r>
          </w:p>
        </w:tc>
        <w:tc>
          <w:tcPr>
            <w:tcW w:w="1542" w:type="dxa"/>
            <w:tcBorders>
              <w:top w:val="single" w:sz="6" w:space="0" w:color="auto"/>
              <w:left w:val="single" w:sz="6" w:space="0" w:color="auto"/>
              <w:bottom w:val="single" w:sz="6" w:space="0" w:color="auto"/>
              <w:right w:val="single" w:sz="6" w:space="0" w:color="auto"/>
            </w:tcBorders>
            <w:hideMark/>
          </w:tcPr>
          <w:p w14:paraId="4135E30D"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136.09</w:t>
            </w:r>
          </w:p>
        </w:tc>
        <w:tc>
          <w:tcPr>
            <w:tcW w:w="1269" w:type="dxa"/>
            <w:tcBorders>
              <w:top w:val="single" w:sz="6" w:space="0" w:color="auto"/>
              <w:left w:val="single" w:sz="6" w:space="0" w:color="auto"/>
              <w:bottom w:val="single" w:sz="6" w:space="0" w:color="auto"/>
              <w:right w:val="single" w:sz="6" w:space="0" w:color="auto"/>
            </w:tcBorders>
            <w:hideMark/>
          </w:tcPr>
          <w:p w14:paraId="4B544FA0"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7778-77-0</w:t>
            </w:r>
          </w:p>
        </w:tc>
      </w:tr>
      <w:tr w:rsidR="00CB1CF2" w:rsidRPr="00F01347" w14:paraId="46681AA8"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43978155" w14:textId="61E3A207" w:rsidR="00CB1CF2" w:rsidRPr="00F01347" w:rsidRDefault="00B95DFA">
            <w:pPr>
              <w:pStyle w:val="texto0"/>
              <w:spacing w:line="212" w:lineRule="exact"/>
              <w:ind w:firstLine="0"/>
              <w:rPr>
                <w:rFonts w:ascii="Verdana" w:hAnsi="Verdana"/>
                <w:sz w:val="16"/>
                <w:szCs w:val="16"/>
                <w:lang w:val="en-US"/>
              </w:rPr>
            </w:pPr>
            <w:r w:rsidRPr="00F01347">
              <w:rPr>
                <w:rFonts w:ascii="Verdana" w:hAnsi="Verdana"/>
                <w:sz w:val="16"/>
                <w:szCs w:val="16"/>
                <w:lang w:val="en-US"/>
              </w:rPr>
              <w:t>A</w:t>
            </w:r>
            <w:r w:rsidR="00CB1CF2" w:rsidRPr="00F01347">
              <w:rPr>
                <w:rFonts w:ascii="Verdana" w:hAnsi="Verdana"/>
                <w:sz w:val="16"/>
                <w:szCs w:val="16"/>
                <w:lang w:val="en-US"/>
              </w:rPr>
              <w:t>mmonium hydroxide</w:t>
            </w:r>
          </w:p>
        </w:tc>
        <w:tc>
          <w:tcPr>
            <w:tcW w:w="2076" w:type="dxa"/>
            <w:tcBorders>
              <w:top w:val="single" w:sz="6" w:space="0" w:color="auto"/>
              <w:left w:val="single" w:sz="6" w:space="0" w:color="auto"/>
              <w:bottom w:val="single" w:sz="6" w:space="0" w:color="auto"/>
              <w:right w:val="single" w:sz="6" w:space="0" w:color="auto"/>
            </w:tcBorders>
            <w:hideMark/>
          </w:tcPr>
          <w:p w14:paraId="26497E36" w14:textId="4D61619D"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NH4OH</w:t>
            </w:r>
          </w:p>
        </w:tc>
        <w:tc>
          <w:tcPr>
            <w:tcW w:w="1542" w:type="dxa"/>
            <w:tcBorders>
              <w:top w:val="single" w:sz="6" w:space="0" w:color="auto"/>
              <w:left w:val="single" w:sz="6" w:space="0" w:color="auto"/>
              <w:bottom w:val="single" w:sz="6" w:space="0" w:color="auto"/>
              <w:right w:val="single" w:sz="6" w:space="0" w:color="auto"/>
            </w:tcBorders>
            <w:hideMark/>
          </w:tcPr>
          <w:p w14:paraId="6C7B9968"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35.05</w:t>
            </w:r>
          </w:p>
        </w:tc>
        <w:tc>
          <w:tcPr>
            <w:tcW w:w="1269" w:type="dxa"/>
            <w:tcBorders>
              <w:top w:val="single" w:sz="6" w:space="0" w:color="auto"/>
              <w:left w:val="single" w:sz="6" w:space="0" w:color="auto"/>
              <w:bottom w:val="single" w:sz="6" w:space="0" w:color="auto"/>
              <w:right w:val="single" w:sz="6" w:space="0" w:color="auto"/>
            </w:tcBorders>
            <w:hideMark/>
          </w:tcPr>
          <w:p w14:paraId="5CB92909"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1336-21-6</w:t>
            </w:r>
          </w:p>
        </w:tc>
      </w:tr>
      <w:tr w:rsidR="00CB1CF2" w:rsidRPr="00F01347" w14:paraId="1A0BB9C0"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22D37773" w14:textId="498BCB29" w:rsidR="00CB1CF2" w:rsidRPr="00F01347" w:rsidRDefault="00B95DFA">
            <w:pPr>
              <w:pStyle w:val="texto0"/>
              <w:spacing w:line="212" w:lineRule="exact"/>
              <w:ind w:firstLine="0"/>
              <w:rPr>
                <w:rFonts w:ascii="Verdana" w:hAnsi="Verdana"/>
                <w:sz w:val="16"/>
                <w:szCs w:val="16"/>
                <w:lang w:val="en-US"/>
              </w:rPr>
            </w:pPr>
            <w:r w:rsidRPr="00F01347">
              <w:rPr>
                <w:rFonts w:ascii="Verdana" w:hAnsi="Verdana"/>
                <w:sz w:val="16"/>
                <w:szCs w:val="16"/>
                <w:lang w:val="en-US"/>
              </w:rPr>
              <w:t>S</w:t>
            </w:r>
            <w:r w:rsidR="00CB1CF2" w:rsidRPr="00F01347">
              <w:rPr>
                <w:rFonts w:ascii="Verdana" w:hAnsi="Verdana"/>
                <w:sz w:val="16"/>
                <w:szCs w:val="16"/>
                <w:lang w:val="en-US"/>
              </w:rPr>
              <w:t>odium hydroxide</w:t>
            </w:r>
          </w:p>
        </w:tc>
        <w:tc>
          <w:tcPr>
            <w:tcW w:w="2076" w:type="dxa"/>
            <w:tcBorders>
              <w:top w:val="single" w:sz="6" w:space="0" w:color="auto"/>
              <w:left w:val="single" w:sz="6" w:space="0" w:color="auto"/>
              <w:bottom w:val="single" w:sz="6" w:space="0" w:color="auto"/>
              <w:right w:val="single" w:sz="6" w:space="0" w:color="auto"/>
            </w:tcBorders>
            <w:hideMark/>
          </w:tcPr>
          <w:p w14:paraId="259A3725"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NaOH</w:t>
            </w:r>
          </w:p>
        </w:tc>
        <w:tc>
          <w:tcPr>
            <w:tcW w:w="1542" w:type="dxa"/>
            <w:tcBorders>
              <w:top w:val="single" w:sz="6" w:space="0" w:color="auto"/>
              <w:left w:val="single" w:sz="6" w:space="0" w:color="auto"/>
              <w:bottom w:val="single" w:sz="6" w:space="0" w:color="auto"/>
              <w:right w:val="single" w:sz="6" w:space="0" w:color="auto"/>
            </w:tcBorders>
            <w:hideMark/>
          </w:tcPr>
          <w:p w14:paraId="28423B0B"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40.0</w:t>
            </w:r>
          </w:p>
        </w:tc>
        <w:tc>
          <w:tcPr>
            <w:tcW w:w="1269" w:type="dxa"/>
            <w:tcBorders>
              <w:top w:val="single" w:sz="6" w:space="0" w:color="auto"/>
              <w:left w:val="single" w:sz="6" w:space="0" w:color="auto"/>
              <w:bottom w:val="single" w:sz="6" w:space="0" w:color="auto"/>
              <w:right w:val="single" w:sz="6" w:space="0" w:color="auto"/>
            </w:tcBorders>
            <w:hideMark/>
          </w:tcPr>
          <w:p w14:paraId="0FDFDC1B"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1310-73-2</w:t>
            </w:r>
          </w:p>
        </w:tc>
      </w:tr>
      <w:tr w:rsidR="00CB1CF2" w:rsidRPr="00F01347" w14:paraId="15A99488"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4EE1A83B" w14:textId="7A1E8D16" w:rsidR="00CB1CF2" w:rsidRPr="00F01347" w:rsidRDefault="00CB1CF2">
            <w:pPr>
              <w:pStyle w:val="texto0"/>
              <w:spacing w:line="212" w:lineRule="exact"/>
              <w:ind w:firstLine="0"/>
              <w:rPr>
                <w:rFonts w:ascii="Verdana" w:hAnsi="Verdana"/>
                <w:sz w:val="16"/>
                <w:szCs w:val="16"/>
                <w:lang w:val="en-US"/>
              </w:rPr>
            </w:pPr>
            <w:r w:rsidRPr="00F01347">
              <w:rPr>
                <w:rFonts w:ascii="Verdana" w:hAnsi="Verdana"/>
                <w:sz w:val="16"/>
                <w:szCs w:val="16"/>
                <w:lang w:val="en-US"/>
              </w:rPr>
              <w:t xml:space="preserve">Bio-Rex </w:t>
            </w:r>
            <w:r w:rsidRPr="00F01347">
              <w:rPr>
                <w:rFonts w:ascii="Verdana" w:hAnsi="Verdana"/>
                <w:b/>
                <w:noProof/>
                <w:sz w:val="16"/>
                <w:szCs w:val="16"/>
                <w:lang w:val="en-US"/>
              </w:rPr>
              <w:drawing>
                <wp:inline distT="0" distB="0" distL="0" distR="0" wp14:anchorId="3714C5EC" wp14:editId="26FAAF29">
                  <wp:extent cx="95250" cy="95250"/>
                  <wp:effectExtent l="0" t="0" r="0" b="0"/>
                  <wp:docPr id="21178787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01347">
              <w:rPr>
                <w:rFonts w:ascii="Verdana" w:hAnsi="Verdana"/>
                <w:sz w:val="16"/>
                <w:szCs w:val="16"/>
                <w:lang w:val="en-US"/>
              </w:rPr>
              <w:t>70 cationic resin (sodium form).</w:t>
            </w:r>
          </w:p>
        </w:tc>
        <w:tc>
          <w:tcPr>
            <w:tcW w:w="2076" w:type="dxa"/>
            <w:tcBorders>
              <w:top w:val="single" w:sz="6" w:space="0" w:color="auto"/>
              <w:left w:val="single" w:sz="6" w:space="0" w:color="auto"/>
              <w:bottom w:val="single" w:sz="6" w:space="0" w:color="auto"/>
              <w:right w:val="single" w:sz="6" w:space="0" w:color="auto"/>
            </w:tcBorders>
            <w:hideMark/>
          </w:tcPr>
          <w:p w14:paraId="41FFC317"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w:t>
            </w:r>
          </w:p>
        </w:tc>
        <w:tc>
          <w:tcPr>
            <w:tcW w:w="1542" w:type="dxa"/>
            <w:tcBorders>
              <w:top w:val="single" w:sz="6" w:space="0" w:color="auto"/>
              <w:left w:val="single" w:sz="6" w:space="0" w:color="auto"/>
              <w:bottom w:val="single" w:sz="6" w:space="0" w:color="auto"/>
              <w:right w:val="single" w:sz="6" w:space="0" w:color="auto"/>
            </w:tcBorders>
            <w:hideMark/>
          </w:tcPr>
          <w:p w14:paraId="0BEC132A"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w:t>
            </w:r>
          </w:p>
        </w:tc>
        <w:tc>
          <w:tcPr>
            <w:tcW w:w="1269" w:type="dxa"/>
            <w:tcBorders>
              <w:top w:val="single" w:sz="6" w:space="0" w:color="auto"/>
              <w:left w:val="single" w:sz="6" w:space="0" w:color="auto"/>
              <w:bottom w:val="single" w:sz="6" w:space="0" w:color="auto"/>
              <w:right w:val="single" w:sz="6" w:space="0" w:color="auto"/>
            </w:tcBorders>
            <w:hideMark/>
          </w:tcPr>
          <w:p w14:paraId="7AA7E282"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w:t>
            </w:r>
          </w:p>
        </w:tc>
      </w:tr>
      <w:tr w:rsidR="00CB1CF2" w:rsidRPr="00F01347" w14:paraId="15B1DF57"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25B3F043" w14:textId="77777777" w:rsidR="00CB1CF2" w:rsidRPr="00F01347" w:rsidRDefault="00CB1CF2">
            <w:pPr>
              <w:pStyle w:val="texto0"/>
              <w:spacing w:line="212" w:lineRule="exact"/>
              <w:ind w:firstLine="0"/>
              <w:rPr>
                <w:rFonts w:ascii="Verdana" w:hAnsi="Verdana"/>
                <w:sz w:val="16"/>
                <w:szCs w:val="16"/>
                <w:lang w:val="en-US"/>
              </w:rPr>
            </w:pPr>
            <w:r w:rsidRPr="00F01347">
              <w:rPr>
                <w:rFonts w:ascii="Verdana" w:hAnsi="Verdana"/>
                <w:sz w:val="16"/>
                <w:szCs w:val="16"/>
                <w:lang w:val="en-US"/>
              </w:rPr>
              <w:t>Methylthymol blue sodium salt</w:t>
            </w:r>
          </w:p>
        </w:tc>
        <w:tc>
          <w:tcPr>
            <w:tcW w:w="2076" w:type="dxa"/>
            <w:tcBorders>
              <w:top w:val="single" w:sz="6" w:space="0" w:color="auto"/>
              <w:left w:val="single" w:sz="6" w:space="0" w:color="auto"/>
              <w:bottom w:val="single" w:sz="6" w:space="0" w:color="auto"/>
              <w:right w:val="single" w:sz="6" w:space="0" w:color="auto"/>
            </w:tcBorders>
            <w:hideMark/>
          </w:tcPr>
          <w:p w14:paraId="0314FF6E" w14:textId="0CD03084"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C</w:t>
            </w:r>
            <w:r w:rsidRPr="00F01347">
              <w:rPr>
                <w:rFonts w:ascii="Verdana" w:hAnsi="Verdana"/>
                <w:sz w:val="16"/>
                <w:szCs w:val="16"/>
                <w:vertAlign w:val="subscript"/>
                <w:lang w:val="en-US"/>
              </w:rPr>
              <w:t>37</w:t>
            </w:r>
            <w:r w:rsidRPr="00F01347">
              <w:rPr>
                <w:rFonts w:ascii="Verdana" w:hAnsi="Verdana"/>
                <w:sz w:val="16"/>
                <w:szCs w:val="16"/>
                <w:lang w:val="en-US"/>
              </w:rPr>
              <w:t>H</w:t>
            </w:r>
            <w:r w:rsidRPr="00F01347">
              <w:rPr>
                <w:rFonts w:ascii="Verdana" w:hAnsi="Verdana"/>
                <w:sz w:val="16"/>
                <w:szCs w:val="16"/>
                <w:vertAlign w:val="subscript"/>
                <w:lang w:val="en-US"/>
              </w:rPr>
              <w:t xml:space="preserve">4 </w:t>
            </w:r>
            <w:r w:rsidRPr="00F01347">
              <w:rPr>
                <w:rFonts w:ascii="Verdana" w:hAnsi="Verdana"/>
                <w:sz w:val="16"/>
                <w:szCs w:val="16"/>
                <w:lang w:val="en-US"/>
              </w:rPr>
              <w:t>N</w:t>
            </w:r>
            <w:r w:rsidRPr="00F01347">
              <w:rPr>
                <w:rFonts w:ascii="Verdana" w:hAnsi="Verdana"/>
                <w:sz w:val="16"/>
                <w:szCs w:val="16"/>
                <w:vertAlign w:val="subscript"/>
                <w:lang w:val="en-US"/>
              </w:rPr>
              <w:t>2</w:t>
            </w:r>
            <w:r w:rsidRPr="00F01347">
              <w:rPr>
                <w:rFonts w:ascii="Verdana" w:hAnsi="Verdana"/>
                <w:sz w:val="16"/>
                <w:szCs w:val="16"/>
                <w:lang w:val="en-US"/>
              </w:rPr>
              <w:t>O</w:t>
            </w:r>
            <w:r w:rsidRPr="00F01347">
              <w:rPr>
                <w:rFonts w:ascii="Verdana" w:hAnsi="Verdana"/>
                <w:sz w:val="16"/>
                <w:szCs w:val="16"/>
                <w:vertAlign w:val="subscript"/>
                <w:lang w:val="en-US"/>
              </w:rPr>
              <w:t>13</w:t>
            </w:r>
            <w:r w:rsidRPr="00F01347">
              <w:rPr>
                <w:rFonts w:ascii="Verdana" w:hAnsi="Verdana"/>
                <w:sz w:val="16"/>
                <w:szCs w:val="16"/>
                <w:lang w:val="en-US"/>
              </w:rPr>
              <w:t>Na</w:t>
            </w:r>
            <w:r w:rsidRPr="00F01347">
              <w:rPr>
                <w:rFonts w:ascii="Verdana" w:hAnsi="Verdana"/>
                <w:sz w:val="16"/>
                <w:szCs w:val="16"/>
                <w:vertAlign w:val="subscript"/>
                <w:lang w:val="en-US"/>
              </w:rPr>
              <w:t>5</w:t>
            </w:r>
            <w:r w:rsidRPr="00F01347">
              <w:rPr>
                <w:rFonts w:ascii="Verdana" w:hAnsi="Verdana"/>
                <w:sz w:val="16"/>
                <w:szCs w:val="16"/>
                <w:lang w:val="en-US"/>
              </w:rPr>
              <w:t>S</w:t>
            </w:r>
          </w:p>
        </w:tc>
        <w:tc>
          <w:tcPr>
            <w:tcW w:w="1542" w:type="dxa"/>
            <w:tcBorders>
              <w:top w:val="single" w:sz="6" w:space="0" w:color="auto"/>
              <w:left w:val="single" w:sz="6" w:space="0" w:color="auto"/>
              <w:bottom w:val="single" w:sz="6" w:space="0" w:color="auto"/>
              <w:right w:val="single" w:sz="6" w:space="0" w:color="auto"/>
            </w:tcBorders>
            <w:hideMark/>
          </w:tcPr>
          <w:p w14:paraId="5797BE34"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866.73</w:t>
            </w:r>
          </w:p>
        </w:tc>
        <w:tc>
          <w:tcPr>
            <w:tcW w:w="1269" w:type="dxa"/>
            <w:tcBorders>
              <w:top w:val="single" w:sz="6" w:space="0" w:color="auto"/>
              <w:left w:val="single" w:sz="6" w:space="0" w:color="auto"/>
              <w:bottom w:val="single" w:sz="6" w:space="0" w:color="auto"/>
              <w:right w:val="single" w:sz="6" w:space="0" w:color="auto"/>
            </w:tcBorders>
            <w:hideMark/>
          </w:tcPr>
          <w:p w14:paraId="7368C747"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4310-80-9</w:t>
            </w:r>
          </w:p>
        </w:tc>
      </w:tr>
      <w:tr w:rsidR="00CB1CF2" w:rsidRPr="00F01347" w14:paraId="40B36A3E"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63D1B97C" w14:textId="63E81E56" w:rsidR="00CB1CF2" w:rsidRPr="00F01347" w:rsidRDefault="00F53B4D">
            <w:pPr>
              <w:pStyle w:val="texto0"/>
              <w:spacing w:line="212" w:lineRule="exact"/>
              <w:ind w:firstLine="0"/>
              <w:rPr>
                <w:rFonts w:ascii="Verdana" w:hAnsi="Verdana"/>
                <w:sz w:val="16"/>
                <w:szCs w:val="16"/>
                <w:lang w:val="en-US"/>
              </w:rPr>
            </w:pPr>
            <w:r w:rsidRPr="00F01347">
              <w:rPr>
                <w:rFonts w:ascii="Verdana" w:hAnsi="Verdana"/>
                <w:sz w:val="16"/>
                <w:szCs w:val="16"/>
                <w:lang w:val="en-US"/>
              </w:rPr>
              <w:t>Dehydrated</w:t>
            </w:r>
            <w:r w:rsidR="00CB1CF2" w:rsidRPr="00F01347">
              <w:rPr>
                <w:rFonts w:ascii="Verdana" w:hAnsi="Verdana"/>
                <w:sz w:val="16"/>
                <w:szCs w:val="16"/>
                <w:lang w:val="en-US"/>
              </w:rPr>
              <w:t xml:space="preserve"> sodium salt of ethylenediaminetetraacetic acid (EDTA).</w:t>
            </w:r>
          </w:p>
        </w:tc>
        <w:tc>
          <w:tcPr>
            <w:tcW w:w="2076" w:type="dxa"/>
            <w:tcBorders>
              <w:top w:val="single" w:sz="6" w:space="0" w:color="auto"/>
              <w:left w:val="single" w:sz="6" w:space="0" w:color="auto"/>
              <w:bottom w:val="single" w:sz="6" w:space="0" w:color="auto"/>
              <w:right w:val="single" w:sz="6" w:space="0" w:color="auto"/>
            </w:tcBorders>
            <w:hideMark/>
          </w:tcPr>
          <w:p w14:paraId="7FC5C2AE" w14:textId="4B83906C"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C</w:t>
            </w:r>
            <w:r w:rsidRPr="00F01347">
              <w:rPr>
                <w:rFonts w:ascii="Verdana" w:hAnsi="Verdana"/>
                <w:sz w:val="16"/>
                <w:szCs w:val="16"/>
                <w:vertAlign w:val="subscript"/>
                <w:lang w:val="en-US"/>
              </w:rPr>
              <w:t>10</w:t>
            </w:r>
            <w:r w:rsidRPr="00F01347">
              <w:rPr>
                <w:rFonts w:ascii="Verdana" w:hAnsi="Verdana"/>
                <w:sz w:val="16"/>
                <w:szCs w:val="16"/>
                <w:lang w:val="en-US"/>
              </w:rPr>
              <w:t>H</w:t>
            </w:r>
            <w:r w:rsidRPr="00F01347">
              <w:rPr>
                <w:rFonts w:ascii="Verdana" w:hAnsi="Verdana"/>
                <w:sz w:val="16"/>
                <w:szCs w:val="16"/>
                <w:vertAlign w:val="subscript"/>
                <w:lang w:val="en-US"/>
              </w:rPr>
              <w:t>16</w:t>
            </w:r>
            <w:r w:rsidRPr="00F01347">
              <w:rPr>
                <w:rFonts w:ascii="Verdana" w:hAnsi="Verdana"/>
                <w:sz w:val="16"/>
                <w:szCs w:val="16"/>
                <w:lang w:val="en-US"/>
              </w:rPr>
              <w:t>N</w:t>
            </w:r>
            <w:r w:rsidRPr="00F01347">
              <w:rPr>
                <w:rFonts w:ascii="Verdana" w:hAnsi="Verdana"/>
                <w:sz w:val="16"/>
                <w:szCs w:val="16"/>
                <w:vertAlign w:val="subscript"/>
                <w:lang w:val="en-US"/>
              </w:rPr>
              <w:t>2</w:t>
            </w:r>
            <w:r w:rsidRPr="00F01347">
              <w:rPr>
                <w:rFonts w:ascii="Verdana" w:hAnsi="Verdana"/>
                <w:sz w:val="16"/>
                <w:szCs w:val="16"/>
                <w:lang w:val="en-US"/>
              </w:rPr>
              <w:t>Na</w:t>
            </w:r>
            <w:r w:rsidRPr="00F01347">
              <w:rPr>
                <w:rFonts w:ascii="Verdana" w:hAnsi="Verdana"/>
                <w:sz w:val="16"/>
                <w:szCs w:val="16"/>
                <w:vertAlign w:val="subscript"/>
                <w:lang w:val="en-US"/>
              </w:rPr>
              <w:t>2</w:t>
            </w:r>
            <w:r w:rsidRPr="00F01347">
              <w:rPr>
                <w:rFonts w:ascii="Verdana" w:hAnsi="Verdana"/>
                <w:sz w:val="16"/>
                <w:szCs w:val="16"/>
                <w:lang w:val="en-US"/>
              </w:rPr>
              <w:t>O</w:t>
            </w:r>
            <w:r w:rsidRPr="00F01347">
              <w:rPr>
                <w:rFonts w:ascii="Verdana" w:hAnsi="Verdana"/>
                <w:sz w:val="16"/>
                <w:szCs w:val="16"/>
                <w:vertAlign w:val="subscript"/>
                <w:lang w:val="en-US"/>
              </w:rPr>
              <w:t>8</w:t>
            </w:r>
            <w:r w:rsidRPr="00F01347">
              <w:rPr>
                <w:rFonts w:ascii="Verdana" w:hAnsi="Verdana"/>
                <w:sz w:val="16"/>
                <w:szCs w:val="16"/>
                <w:lang w:val="en-US"/>
              </w:rPr>
              <w:t>•2H</w:t>
            </w:r>
            <w:r w:rsidRPr="00F01347">
              <w:rPr>
                <w:rFonts w:ascii="Verdana" w:hAnsi="Verdana"/>
                <w:sz w:val="16"/>
                <w:szCs w:val="16"/>
                <w:vertAlign w:val="subscript"/>
                <w:lang w:val="en-US"/>
              </w:rPr>
              <w:t>2</w:t>
            </w:r>
            <w:r w:rsidRPr="00F01347">
              <w:rPr>
                <w:rFonts w:ascii="Verdana" w:hAnsi="Verdana"/>
                <w:sz w:val="16"/>
                <w:szCs w:val="16"/>
                <w:lang w:val="en-US"/>
              </w:rPr>
              <w:t>O</w:t>
            </w:r>
          </w:p>
        </w:tc>
        <w:tc>
          <w:tcPr>
            <w:tcW w:w="1542" w:type="dxa"/>
            <w:tcBorders>
              <w:top w:val="single" w:sz="6" w:space="0" w:color="auto"/>
              <w:left w:val="single" w:sz="6" w:space="0" w:color="auto"/>
              <w:bottom w:val="single" w:sz="6" w:space="0" w:color="auto"/>
              <w:right w:val="single" w:sz="6" w:space="0" w:color="auto"/>
            </w:tcBorders>
            <w:hideMark/>
          </w:tcPr>
          <w:p w14:paraId="60CA77FB"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372.24</w:t>
            </w:r>
          </w:p>
        </w:tc>
        <w:tc>
          <w:tcPr>
            <w:tcW w:w="1269" w:type="dxa"/>
            <w:tcBorders>
              <w:top w:val="single" w:sz="6" w:space="0" w:color="auto"/>
              <w:left w:val="single" w:sz="6" w:space="0" w:color="auto"/>
              <w:bottom w:val="single" w:sz="6" w:space="0" w:color="auto"/>
              <w:right w:val="single" w:sz="6" w:space="0" w:color="auto"/>
            </w:tcBorders>
            <w:hideMark/>
          </w:tcPr>
          <w:p w14:paraId="5269D23E"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6381-92-6</w:t>
            </w:r>
          </w:p>
        </w:tc>
      </w:tr>
      <w:tr w:rsidR="00CB1CF2" w:rsidRPr="00F01347" w14:paraId="1AC30D40" w14:textId="77777777" w:rsidTr="00CB1CF2">
        <w:trPr>
          <w:trHeight w:val="20"/>
        </w:trPr>
        <w:tc>
          <w:tcPr>
            <w:tcW w:w="3798" w:type="dxa"/>
            <w:tcBorders>
              <w:top w:val="single" w:sz="6" w:space="0" w:color="auto"/>
              <w:left w:val="single" w:sz="6" w:space="0" w:color="auto"/>
              <w:bottom w:val="single" w:sz="6" w:space="0" w:color="auto"/>
              <w:right w:val="single" w:sz="6" w:space="0" w:color="auto"/>
            </w:tcBorders>
            <w:hideMark/>
          </w:tcPr>
          <w:p w14:paraId="3DFF9E92" w14:textId="77777777" w:rsidR="00CB1CF2" w:rsidRPr="00F01347" w:rsidRDefault="00CB1CF2">
            <w:pPr>
              <w:pStyle w:val="texto0"/>
              <w:spacing w:line="212" w:lineRule="exact"/>
              <w:ind w:firstLine="0"/>
              <w:rPr>
                <w:rFonts w:ascii="Verdana" w:hAnsi="Verdana"/>
                <w:sz w:val="16"/>
                <w:szCs w:val="16"/>
                <w:lang w:val="en-US"/>
              </w:rPr>
            </w:pPr>
            <w:r w:rsidRPr="00F01347">
              <w:rPr>
                <w:rFonts w:ascii="Verdana" w:hAnsi="Verdana"/>
                <w:sz w:val="16"/>
                <w:szCs w:val="16"/>
                <w:lang w:val="en-US"/>
              </w:rPr>
              <w:t>Sodium sulfate</w:t>
            </w:r>
          </w:p>
        </w:tc>
        <w:tc>
          <w:tcPr>
            <w:tcW w:w="2076" w:type="dxa"/>
            <w:tcBorders>
              <w:top w:val="single" w:sz="6" w:space="0" w:color="auto"/>
              <w:left w:val="single" w:sz="6" w:space="0" w:color="auto"/>
              <w:bottom w:val="single" w:sz="6" w:space="0" w:color="auto"/>
              <w:right w:val="single" w:sz="6" w:space="0" w:color="auto"/>
            </w:tcBorders>
            <w:hideMark/>
          </w:tcPr>
          <w:p w14:paraId="12731CE9" w14:textId="372CFCCC"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Na</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4</w:t>
            </w:r>
          </w:p>
        </w:tc>
        <w:tc>
          <w:tcPr>
            <w:tcW w:w="1542" w:type="dxa"/>
            <w:tcBorders>
              <w:top w:val="single" w:sz="6" w:space="0" w:color="auto"/>
              <w:left w:val="single" w:sz="6" w:space="0" w:color="auto"/>
              <w:bottom w:val="single" w:sz="6" w:space="0" w:color="auto"/>
              <w:right w:val="single" w:sz="6" w:space="0" w:color="auto"/>
            </w:tcBorders>
            <w:hideMark/>
          </w:tcPr>
          <w:p w14:paraId="6528D043"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142.04</w:t>
            </w:r>
          </w:p>
        </w:tc>
        <w:tc>
          <w:tcPr>
            <w:tcW w:w="1269" w:type="dxa"/>
            <w:tcBorders>
              <w:top w:val="single" w:sz="6" w:space="0" w:color="auto"/>
              <w:left w:val="single" w:sz="6" w:space="0" w:color="auto"/>
              <w:bottom w:val="single" w:sz="6" w:space="0" w:color="auto"/>
              <w:right w:val="single" w:sz="6" w:space="0" w:color="auto"/>
            </w:tcBorders>
            <w:hideMark/>
          </w:tcPr>
          <w:p w14:paraId="69CA8E54" w14:textId="77777777" w:rsidR="00CB1CF2" w:rsidRPr="00F01347" w:rsidRDefault="00CB1CF2">
            <w:pPr>
              <w:pStyle w:val="texto0"/>
              <w:spacing w:line="212" w:lineRule="exact"/>
              <w:ind w:firstLine="0"/>
              <w:jc w:val="center"/>
              <w:rPr>
                <w:rFonts w:ascii="Verdana" w:hAnsi="Verdana"/>
                <w:sz w:val="16"/>
                <w:szCs w:val="16"/>
                <w:lang w:val="en-US"/>
              </w:rPr>
            </w:pPr>
            <w:r w:rsidRPr="00F01347">
              <w:rPr>
                <w:rFonts w:ascii="Verdana" w:hAnsi="Verdana"/>
                <w:sz w:val="16"/>
                <w:szCs w:val="16"/>
                <w:lang w:val="en-US"/>
              </w:rPr>
              <w:t>7757-82-6</w:t>
            </w:r>
          </w:p>
        </w:tc>
      </w:tr>
      <w:tr w:rsidR="00CB1CF2" w:rsidRPr="00F01347" w14:paraId="7AD8C743" w14:textId="77777777" w:rsidTr="00CB1CF2">
        <w:trPr>
          <w:trHeight w:val="20"/>
        </w:trPr>
        <w:tc>
          <w:tcPr>
            <w:tcW w:w="8685" w:type="dxa"/>
            <w:gridSpan w:val="4"/>
            <w:tcBorders>
              <w:top w:val="single" w:sz="6" w:space="0" w:color="auto"/>
              <w:left w:val="nil"/>
              <w:bottom w:val="nil"/>
              <w:right w:val="nil"/>
            </w:tcBorders>
            <w:hideMark/>
          </w:tcPr>
          <w:p w14:paraId="47E016D5" w14:textId="77777777" w:rsidR="00CB1CF2" w:rsidRPr="00F01347" w:rsidRDefault="00CB1CF2">
            <w:pPr>
              <w:pStyle w:val="texto0"/>
              <w:spacing w:line="212" w:lineRule="exact"/>
              <w:ind w:firstLine="0"/>
              <w:rPr>
                <w:rFonts w:ascii="Verdana" w:hAnsi="Verdana"/>
                <w:sz w:val="16"/>
                <w:szCs w:val="16"/>
                <w:lang w:val="en-US"/>
              </w:rPr>
            </w:pPr>
            <w:r w:rsidRPr="00F01347">
              <w:rPr>
                <w:rFonts w:ascii="Verdana" w:hAnsi="Verdana"/>
                <w:sz w:val="16"/>
                <w:szCs w:val="16"/>
                <w:vertAlign w:val="superscript"/>
                <w:lang w:val="en-US"/>
              </w:rPr>
              <w:t xml:space="preserve">a </w:t>
            </w:r>
            <w:r w:rsidRPr="00F01347">
              <w:rPr>
                <w:rFonts w:ascii="Verdana" w:hAnsi="Verdana"/>
                <w:sz w:val="16"/>
                <w:szCs w:val="16"/>
                <w:lang w:val="en-US"/>
              </w:rPr>
              <w:t>Distributor part number</w:t>
            </w:r>
          </w:p>
        </w:tc>
      </w:tr>
    </w:tbl>
    <w:p w14:paraId="6D0D9E96" w14:textId="77777777" w:rsidR="00CB1CF2" w:rsidRPr="00F01347" w:rsidRDefault="00CB1CF2" w:rsidP="003A601B">
      <w:pPr>
        <w:pStyle w:val="texto0"/>
        <w:spacing w:line="212"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B1CF2" w:rsidRPr="00F01347" w14:paraId="22C427EE" w14:textId="4C149059" w:rsidTr="00F53B4D">
        <w:tc>
          <w:tcPr>
            <w:tcW w:w="4675" w:type="dxa"/>
          </w:tcPr>
          <w:p w14:paraId="479B1011" w14:textId="77777777" w:rsidR="00CB1CF2" w:rsidRPr="00F01347" w:rsidRDefault="00CB1CF2" w:rsidP="00CB1CF2">
            <w:pPr>
              <w:pStyle w:val="texto0"/>
              <w:spacing w:line="212" w:lineRule="exact"/>
              <w:ind w:firstLine="0"/>
              <w:rPr>
                <w:rFonts w:ascii="Verdana" w:hAnsi="Verdana"/>
                <w:b/>
                <w:sz w:val="16"/>
                <w:szCs w:val="16"/>
              </w:rPr>
            </w:pPr>
            <w:r w:rsidRPr="00F01347">
              <w:rPr>
                <w:rFonts w:ascii="Verdana" w:hAnsi="Verdana"/>
                <w:b/>
                <w:sz w:val="16"/>
                <w:szCs w:val="16"/>
              </w:rPr>
              <w:t>B.11.2.7 Procedimiento</w:t>
            </w:r>
          </w:p>
        </w:tc>
        <w:tc>
          <w:tcPr>
            <w:tcW w:w="4675" w:type="dxa"/>
          </w:tcPr>
          <w:p w14:paraId="4BF28DE2" w14:textId="58ED78D3" w:rsidR="00CB1CF2" w:rsidRPr="00F01347" w:rsidRDefault="00CB1CF2" w:rsidP="00CB1CF2">
            <w:pPr>
              <w:pStyle w:val="texto0"/>
              <w:spacing w:line="212" w:lineRule="exact"/>
              <w:ind w:firstLine="0"/>
              <w:rPr>
                <w:rFonts w:ascii="Verdana" w:hAnsi="Verdana"/>
                <w:b/>
                <w:sz w:val="16"/>
                <w:szCs w:val="16"/>
                <w:lang w:val="en-US"/>
              </w:rPr>
            </w:pPr>
            <w:r w:rsidRPr="00F01347">
              <w:rPr>
                <w:rFonts w:ascii="Verdana" w:hAnsi="Verdana"/>
                <w:b/>
                <w:sz w:val="16"/>
                <w:szCs w:val="16"/>
                <w:lang w:val="en-US"/>
              </w:rPr>
              <w:t>B.11.2.7 Procedure</w:t>
            </w:r>
          </w:p>
        </w:tc>
      </w:tr>
      <w:tr w:rsidR="00CB1CF2" w:rsidRPr="00F01347" w14:paraId="630A2691" w14:textId="55DD7191" w:rsidTr="00F53B4D">
        <w:tc>
          <w:tcPr>
            <w:tcW w:w="4675" w:type="dxa"/>
          </w:tcPr>
          <w:p w14:paraId="5A3CA170" w14:textId="77777777" w:rsidR="00CB1CF2" w:rsidRPr="00F01347" w:rsidRDefault="00CB1CF2" w:rsidP="00CB1CF2">
            <w:pPr>
              <w:pStyle w:val="texto0"/>
              <w:spacing w:line="212" w:lineRule="exact"/>
              <w:ind w:firstLine="0"/>
              <w:rPr>
                <w:rFonts w:ascii="Verdana" w:hAnsi="Verdana"/>
                <w:b/>
                <w:sz w:val="16"/>
                <w:szCs w:val="16"/>
              </w:rPr>
            </w:pPr>
            <w:r w:rsidRPr="00F01347">
              <w:rPr>
                <w:rFonts w:ascii="Verdana" w:hAnsi="Verdana"/>
                <w:b/>
                <w:sz w:val="16"/>
                <w:szCs w:val="16"/>
              </w:rPr>
              <w:t>B.11.2.7.1 Preparación de soluciones</w:t>
            </w:r>
          </w:p>
        </w:tc>
        <w:tc>
          <w:tcPr>
            <w:tcW w:w="4675" w:type="dxa"/>
          </w:tcPr>
          <w:p w14:paraId="2B5A9B26" w14:textId="29412B05" w:rsidR="00CB1CF2" w:rsidRPr="00F01347" w:rsidRDefault="00CB1CF2" w:rsidP="00CB1CF2">
            <w:pPr>
              <w:pStyle w:val="texto0"/>
              <w:spacing w:line="212" w:lineRule="exact"/>
              <w:ind w:firstLine="0"/>
              <w:rPr>
                <w:rFonts w:ascii="Verdana" w:hAnsi="Verdana"/>
                <w:b/>
                <w:sz w:val="16"/>
                <w:szCs w:val="16"/>
                <w:lang w:val="en-US"/>
              </w:rPr>
            </w:pPr>
            <w:r w:rsidRPr="00F01347">
              <w:rPr>
                <w:rFonts w:ascii="Verdana" w:hAnsi="Verdana"/>
                <w:b/>
                <w:sz w:val="16"/>
                <w:szCs w:val="16"/>
                <w:lang w:val="en-US"/>
              </w:rPr>
              <w:t>B.11.2.7.1 Preparation of solutions</w:t>
            </w:r>
          </w:p>
        </w:tc>
      </w:tr>
      <w:tr w:rsidR="00CB1CF2" w:rsidRPr="00F01347" w14:paraId="38A1DA98" w14:textId="3496E1F2" w:rsidTr="00F53B4D">
        <w:tc>
          <w:tcPr>
            <w:tcW w:w="4675" w:type="dxa"/>
          </w:tcPr>
          <w:p w14:paraId="17768390" w14:textId="77777777" w:rsidR="00CB1CF2" w:rsidRPr="00F01347" w:rsidRDefault="00CB1CF2" w:rsidP="00CB1CF2">
            <w:pPr>
              <w:pStyle w:val="texto0"/>
              <w:spacing w:line="212" w:lineRule="exact"/>
              <w:ind w:firstLine="0"/>
              <w:rPr>
                <w:rFonts w:ascii="Verdana" w:hAnsi="Verdana"/>
                <w:sz w:val="16"/>
                <w:szCs w:val="16"/>
              </w:rPr>
            </w:pPr>
            <w:r w:rsidRPr="00F01347">
              <w:rPr>
                <w:rFonts w:ascii="Verdana" w:hAnsi="Verdana"/>
                <w:sz w:val="16"/>
                <w:szCs w:val="16"/>
              </w:rPr>
              <w:t>Para mejores resultados, filtre con membrana de 0.45 µm todas las disoluciones de los reactivos preparados antes de usarlos.</w:t>
            </w:r>
          </w:p>
        </w:tc>
        <w:tc>
          <w:tcPr>
            <w:tcW w:w="4675" w:type="dxa"/>
          </w:tcPr>
          <w:p w14:paraId="1B66C51A" w14:textId="441C15AA" w:rsidR="00CB1CF2" w:rsidRPr="00F01347" w:rsidRDefault="00CB1CF2" w:rsidP="00CB1CF2">
            <w:pPr>
              <w:pStyle w:val="texto0"/>
              <w:spacing w:line="212" w:lineRule="exact"/>
              <w:ind w:firstLine="0"/>
              <w:rPr>
                <w:rFonts w:ascii="Verdana" w:hAnsi="Verdana"/>
                <w:sz w:val="16"/>
                <w:szCs w:val="16"/>
                <w:lang w:val="en-US"/>
              </w:rPr>
            </w:pPr>
            <w:r w:rsidRPr="00F01347">
              <w:rPr>
                <w:rFonts w:ascii="Verdana" w:hAnsi="Verdana"/>
                <w:sz w:val="16"/>
                <w:szCs w:val="16"/>
                <w:lang w:val="en-US"/>
              </w:rPr>
              <w:t>For best results, filter all prepared reagent solutions with a 0.45 µm membrane before use.</w:t>
            </w:r>
          </w:p>
        </w:tc>
      </w:tr>
      <w:tr w:rsidR="00CB1CF2" w:rsidRPr="00F01347" w14:paraId="59B67199" w14:textId="5A02BEC5" w:rsidTr="00F53B4D">
        <w:tc>
          <w:tcPr>
            <w:tcW w:w="4675" w:type="dxa"/>
          </w:tcPr>
          <w:p w14:paraId="344BC44C" w14:textId="77777777" w:rsidR="00CB1CF2" w:rsidRPr="00F01347" w:rsidRDefault="00CB1CF2" w:rsidP="00CB1CF2">
            <w:pPr>
              <w:pStyle w:val="texto0"/>
              <w:spacing w:line="212" w:lineRule="exact"/>
              <w:ind w:firstLine="0"/>
              <w:rPr>
                <w:rFonts w:ascii="Verdana" w:hAnsi="Verdana"/>
                <w:sz w:val="16"/>
                <w:szCs w:val="16"/>
              </w:rPr>
            </w:pPr>
            <w:r w:rsidRPr="00F01347">
              <w:rPr>
                <w:rFonts w:ascii="Verdana" w:hAnsi="Verdana"/>
                <w:b/>
                <w:sz w:val="16"/>
                <w:szCs w:val="16"/>
              </w:rPr>
              <w:t>B.11.2.7.1.1 Ácido clorhídrico 1N (1L)</w:t>
            </w:r>
            <w:r w:rsidRPr="00F01347">
              <w:rPr>
                <w:rFonts w:ascii="Verdana" w:hAnsi="Verdana"/>
                <w:sz w:val="16"/>
                <w:szCs w:val="16"/>
              </w:rPr>
              <w:t xml:space="preserve">. Mientras agita, añadir cuidadosamente 83.3 </w:t>
            </w:r>
            <w:proofErr w:type="spellStart"/>
            <w:r w:rsidRPr="00F01347">
              <w:rPr>
                <w:rFonts w:ascii="Verdana" w:hAnsi="Verdana"/>
                <w:sz w:val="16"/>
                <w:szCs w:val="16"/>
              </w:rPr>
              <w:t>mL</w:t>
            </w:r>
            <w:proofErr w:type="spellEnd"/>
            <w:r w:rsidRPr="00F01347">
              <w:rPr>
                <w:rFonts w:ascii="Verdana" w:hAnsi="Verdana"/>
                <w:sz w:val="16"/>
                <w:szCs w:val="16"/>
              </w:rPr>
              <w:t xml:space="preserve"> de ácido clorhídrico concentrado a aproximadamente 800 </w:t>
            </w:r>
            <w:proofErr w:type="spellStart"/>
            <w:r w:rsidRPr="00F01347">
              <w:rPr>
                <w:rFonts w:ascii="Verdana" w:hAnsi="Verdana"/>
                <w:sz w:val="16"/>
                <w:szCs w:val="16"/>
              </w:rPr>
              <w:t>mL</w:t>
            </w:r>
            <w:proofErr w:type="spellEnd"/>
            <w:r w:rsidRPr="00F01347">
              <w:rPr>
                <w:rFonts w:ascii="Verdana" w:hAnsi="Verdana"/>
                <w:sz w:val="16"/>
                <w:szCs w:val="16"/>
              </w:rPr>
              <w:t xml:space="preserve"> de agua desionizada. Al mezclar ácido clorhídrico concentrado con agua se libera una gran cantidad de calor. Tome las precauciones necesarias. Enfriar la disolución a temperatura ambiente, diluir a 1 000 </w:t>
            </w:r>
            <w:proofErr w:type="spellStart"/>
            <w:r w:rsidRPr="00F01347">
              <w:rPr>
                <w:rFonts w:ascii="Verdana" w:hAnsi="Verdana"/>
                <w:sz w:val="16"/>
                <w:szCs w:val="16"/>
              </w:rPr>
              <w:t>mL</w:t>
            </w:r>
            <w:proofErr w:type="spellEnd"/>
            <w:r w:rsidRPr="00F01347">
              <w:rPr>
                <w:rFonts w:ascii="Verdana" w:hAnsi="Verdana"/>
                <w:sz w:val="16"/>
                <w:szCs w:val="16"/>
              </w:rPr>
              <w:t xml:space="preserve"> con agua desionizada y mezclar bien.</w:t>
            </w:r>
          </w:p>
        </w:tc>
        <w:tc>
          <w:tcPr>
            <w:tcW w:w="4675" w:type="dxa"/>
          </w:tcPr>
          <w:p w14:paraId="365D6BA0" w14:textId="07DDE196" w:rsidR="00CB1CF2" w:rsidRPr="00F01347" w:rsidRDefault="00CB1CF2" w:rsidP="00CB1CF2">
            <w:pPr>
              <w:pStyle w:val="texto0"/>
              <w:spacing w:line="212" w:lineRule="exact"/>
              <w:ind w:firstLine="0"/>
              <w:rPr>
                <w:rFonts w:ascii="Verdana" w:hAnsi="Verdana"/>
                <w:b/>
                <w:sz w:val="16"/>
                <w:szCs w:val="16"/>
                <w:lang w:val="en-US"/>
              </w:rPr>
            </w:pPr>
            <w:r w:rsidRPr="00F01347">
              <w:rPr>
                <w:rFonts w:ascii="Verdana" w:hAnsi="Verdana"/>
                <w:b/>
                <w:sz w:val="16"/>
                <w:szCs w:val="16"/>
                <w:lang w:val="en-US"/>
              </w:rPr>
              <w:t>B.11.2.7.1.1 Hydrochloric acid 1N (1L)</w:t>
            </w:r>
            <w:r w:rsidR="003E1BA9" w:rsidRPr="00F01347">
              <w:rPr>
                <w:rFonts w:ascii="Verdana" w:hAnsi="Verdana"/>
                <w:b/>
                <w:sz w:val="16"/>
                <w:szCs w:val="16"/>
                <w:lang w:val="en-US"/>
              </w:rPr>
              <w:t>.</w:t>
            </w:r>
            <w:r w:rsidRPr="00F01347">
              <w:rPr>
                <w:rFonts w:ascii="Verdana" w:hAnsi="Verdana"/>
                <w:sz w:val="16"/>
                <w:szCs w:val="16"/>
                <w:lang w:val="en-US"/>
              </w:rPr>
              <w:t xml:space="preserve"> While stirring, carefully add 83.3 mL of concentrated hydrochloric acid to approximately 800 mL of deionized water. Mixing concentrated hydrochloric acid with water releases a large amount of heat. Take necessary precautions. Cool the solution to room temperature, dilute to 1000 mL with deionized water and mix well.</w:t>
            </w:r>
          </w:p>
        </w:tc>
      </w:tr>
      <w:tr w:rsidR="00CB1CF2" w:rsidRPr="00F01347" w14:paraId="382F5AF3" w14:textId="63AF7776" w:rsidTr="00F53B4D">
        <w:tc>
          <w:tcPr>
            <w:tcW w:w="4675" w:type="dxa"/>
          </w:tcPr>
          <w:p w14:paraId="4730DA31" w14:textId="77777777" w:rsidR="00CB1CF2" w:rsidRPr="00F01347" w:rsidRDefault="00CB1CF2" w:rsidP="00CB1CF2">
            <w:pPr>
              <w:pStyle w:val="texto0"/>
              <w:ind w:firstLine="0"/>
              <w:rPr>
                <w:rFonts w:ascii="Verdana" w:hAnsi="Verdana"/>
                <w:b/>
                <w:sz w:val="16"/>
                <w:szCs w:val="16"/>
              </w:rPr>
            </w:pPr>
            <w:r w:rsidRPr="00F01347">
              <w:rPr>
                <w:rFonts w:ascii="Verdana" w:hAnsi="Verdana"/>
                <w:b/>
                <w:sz w:val="16"/>
                <w:szCs w:val="16"/>
              </w:rPr>
              <w:t>B.11.2.7.1.2 Agua</w:t>
            </w:r>
          </w:p>
        </w:tc>
        <w:tc>
          <w:tcPr>
            <w:tcW w:w="4675" w:type="dxa"/>
          </w:tcPr>
          <w:p w14:paraId="5D86C43B" w14:textId="08B5E5D8" w:rsidR="00CB1CF2" w:rsidRPr="00F01347" w:rsidRDefault="00CB1CF2" w:rsidP="00CB1CF2">
            <w:pPr>
              <w:pStyle w:val="texto0"/>
              <w:ind w:firstLine="0"/>
              <w:rPr>
                <w:rFonts w:ascii="Verdana" w:hAnsi="Verdana"/>
                <w:b/>
                <w:sz w:val="16"/>
                <w:szCs w:val="16"/>
                <w:lang w:val="en-US"/>
              </w:rPr>
            </w:pPr>
            <w:r w:rsidRPr="00F01347">
              <w:rPr>
                <w:rFonts w:ascii="Verdana" w:hAnsi="Verdana"/>
                <w:b/>
                <w:sz w:val="16"/>
                <w:szCs w:val="16"/>
                <w:lang w:val="en-US"/>
              </w:rPr>
              <w:t>B.11.2.7.1.2 Water</w:t>
            </w:r>
          </w:p>
        </w:tc>
      </w:tr>
      <w:tr w:rsidR="00CB1CF2" w:rsidRPr="00F01347" w14:paraId="030DE154" w14:textId="53F9A78E" w:rsidTr="00F53B4D">
        <w:tc>
          <w:tcPr>
            <w:tcW w:w="4675" w:type="dxa"/>
          </w:tcPr>
          <w:p w14:paraId="0BC0EB41" w14:textId="77777777" w:rsidR="00CB1CF2" w:rsidRPr="00F01347" w:rsidRDefault="00CB1CF2" w:rsidP="00CB1CF2">
            <w:pPr>
              <w:pStyle w:val="texto0"/>
              <w:ind w:firstLine="0"/>
              <w:rPr>
                <w:rFonts w:ascii="Verdana" w:hAnsi="Verdana"/>
                <w:sz w:val="16"/>
                <w:szCs w:val="16"/>
              </w:rPr>
            </w:pPr>
            <w:r w:rsidRPr="00F01347">
              <w:rPr>
                <w:rFonts w:ascii="Verdana" w:hAnsi="Verdana"/>
                <w:sz w:val="16"/>
                <w:szCs w:val="16"/>
              </w:rPr>
              <w:t>Debe cumplir con las especificaciones de agua ASTM tipo II. Es recomendable utilizar agua desionizada que además cumpla las características ASTM tipo II para el uso del equipo FIA.</w:t>
            </w:r>
          </w:p>
        </w:tc>
        <w:tc>
          <w:tcPr>
            <w:tcW w:w="4675" w:type="dxa"/>
          </w:tcPr>
          <w:p w14:paraId="2B9DCC0D" w14:textId="453F4831" w:rsidR="00CB1CF2" w:rsidRPr="00F01347" w:rsidRDefault="00CB1CF2" w:rsidP="00CB1CF2">
            <w:pPr>
              <w:pStyle w:val="texto0"/>
              <w:ind w:firstLine="0"/>
              <w:rPr>
                <w:rFonts w:ascii="Verdana" w:hAnsi="Verdana"/>
                <w:sz w:val="16"/>
                <w:szCs w:val="16"/>
                <w:lang w:val="en-US"/>
              </w:rPr>
            </w:pPr>
            <w:r w:rsidRPr="00F01347">
              <w:rPr>
                <w:rFonts w:ascii="Verdana" w:hAnsi="Verdana"/>
                <w:sz w:val="16"/>
                <w:szCs w:val="16"/>
                <w:lang w:val="en-US"/>
              </w:rPr>
              <w:t>Must meet ASTM Type II water specifications. It is advisable to use deionized water that also meets ASTM type II characteristics for use by FIA equipment.</w:t>
            </w:r>
          </w:p>
        </w:tc>
      </w:tr>
      <w:tr w:rsidR="00CB1CF2" w:rsidRPr="00F01347" w14:paraId="35BA0CCA" w14:textId="0150D0B8" w:rsidTr="00F53B4D">
        <w:tc>
          <w:tcPr>
            <w:tcW w:w="4675" w:type="dxa"/>
          </w:tcPr>
          <w:p w14:paraId="4689F648" w14:textId="77777777" w:rsidR="00CB1CF2" w:rsidRPr="00F01347" w:rsidRDefault="00CB1CF2" w:rsidP="00CB1CF2">
            <w:pPr>
              <w:pStyle w:val="texto0"/>
              <w:spacing w:line="230" w:lineRule="exact"/>
              <w:ind w:firstLine="0"/>
              <w:rPr>
                <w:rFonts w:ascii="Verdana" w:hAnsi="Verdana"/>
                <w:sz w:val="16"/>
                <w:szCs w:val="16"/>
              </w:rPr>
            </w:pPr>
            <w:r w:rsidRPr="00F01347">
              <w:rPr>
                <w:rFonts w:ascii="Verdana" w:hAnsi="Verdana"/>
                <w:sz w:val="16"/>
                <w:szCs w:val="16"/>
              </w:rPr>
              <w:t>Adicionalmente se puede hacer un tratamiento de desgasificación del agua a utilizar si el analista lo considera prudente con base en el ruido instrumental obtenido en el equipo. (Se sugiere realizar con ruido instrumental &gt; 2000 µ</w:t>
            </w:r>
            <w:proofErr w:type="spellStart"/>
            <w:r w:rsidRPr="00F01347">
              <w:rPr>
                <w:rFonts w:ascii="Verdana" w:hAnsi="Verdana"/>
                <w:sz w:val="16"/>
                <w:szCs w:val="16"/>
              </w:rPr>
              <w:t>uA</w:t>
            </w:r>
            <w:proofErr w:type="spellEnd"/>
            <w:r w:rsidRPr="00F01347">
              <w:rPr>
                <w:rFonts w:ascii="Verdana" w:hAnsi="Verdana"/>
                <w:sz w:val="16"/>
                <w:szCs w:val="16"/>
              </w:rPr>
              <w:t>).</w:t>
            </w:r>
          </w:p>
        </w:tc>
        <w:tc>
          <w:tcPr>
            <w:tcW w:w="4675" w:type="dxa"/>
          </w:tcPr>
          <w:p w14:paraId="1463D9D8" w14:textId="048F715E" w:rsidR="00CB1CF2" w:rsidRPr="00F01347" w:rsidRDefault="00CB1CF2" w:rsidP="00CB1CF2">
            <w:pPr>
              <w:pStyle w:val="texto0"/>
              <w:spacing w:line="230" w:lineRule="exact"/>
              <w:ind w:firstLine="0"/>
              <w:rPr>
                <w:rFonts w:ascii="Verdana" w:hAnsi="Verdana"/>
                <w:sz w:val="16"/>
                <w:szCs w:val="16"/>
                <w:lang w:val="en-US"/>
              </w:rPr>
            </w:pPr>
            <w:r w:rsidRPr="00F01347">
              <w:rPr>
                <w:rFonts w:ascii="Verdana" w:hAnsi="Verdana"/>
                <w:sz w:val="16"/>
                <w:szCs w:val="16"/>
                <w:lang w:val="en-US"/>
              </w:rPr>
              <w:t>Additionally, a degassing treatment of the water to be used can be performed if the analyst considers it prudent based on the instrumental noise obtained in the equipment. (It is suggested to perform with instrumental noise &gt; 2000 µuA</w:t>
            </w:r>
            <w:r w:rsidR="00913802" w:rsidRPr="00F01347">
              <w:rPr>
                <w:rFonts w:ascii="Verdana" w:hAnsi="Verdana"/>
                <w:sz w:val="16"/>
                <w:szCs w:val="16"/>
                <w:lang w:val="en-US"/>
              </w:rPr>
              <w:t>)</w:t>
            </w:r>
            <w:r w:rsidRPr="00F01347">
              <w:rPr>
                <w:rFonts w:ascii="Verdana" w:hAnsi="Verdana"/>
                <w:sz w:val="16"/>
                <w:szCs w:val="16"/>
                <w:lang w:val="en-US"/>
              </w:rPr>
              <w:t>.</w:t>
            </w:r>
          </w:p>
        </w:tc>
      </w:tr>
      <w:tr w:rsidR="00CB1CF2" w:rsidRPr="00F01347" w14:paraId="5BA869A4" w14:textId="55E270D7" w:rsidTr="00F53B4D">
        <w:tc>
          <w:tcPr>
            <w:tcW w:w="4675" w:type="dxa"/>
          </w:tcPr>
          <w:p w14:paraId="3D8969B0" w14:textId="77777777" w:rsidR="00CB1CF2" w:rsidRPr="00F01347" w:rsidRDefault="00CB1CF2" w:rsidP="00CB1CF2">
            <w:pPr>
              <w:pStyle w:val="texto0"/>
              <w:spacing w:line="230" w:lineRule="exact"/>
              <w:ind w:firstLine="0"/>
              <w:rPr>
                <w:rFonts w:ascii="Verdana" w:hAnsi="Verdana"/>
                <w:sz w:val="16"/>
                <w:szCs w:val="16"/>
              </w:rPr>
            </w:pPr>
            <w:r w:rsidRPr="00F01347">
              <w:rPr>
                <w:rFonts w:ascii="Verdana" w:hAnsi="Verdana"/>
                <w:sz w:val="16"/>
                <w:szCs w:val="16"/>
              </w:rPr>
              <w:lastRenderedPageBreak/>
              <w:t>Para ello escoger alguna técnica: Someter el agua a un vacío fuerte durante 15 a 20 minutos; agitar magnéticamente o someta a un ultrasonido el agua por 20 minutos; purgar el agua con nitrógeno gaseoso (u otro gas inerte) con ayuda de un material poroso por 5 minutos; o hervir el agua en un matraz Erlenmeyer por 15 minutos y dejar enfriar a temperatura ambiente cubriendo la boca del matraz con un vaso de precipitados invertido.</w:t>
            </w:r>
          </w:p>
        </w:tc>
        <w:tc>
          <w:tcPr>
            <w:tcW w:w="4675" w:type="dxa"/>
          </w:tcPr>
          <w:p w14:paraId="6B0FDE44" w14:textId="3CBBBB3B" w:rsidR="00CB1CF2" w:rsidRPr="00F01347" w:rsidRDefault="00CB1CF2" w:rsidP="00CB1CF2">
            <w:pPr>
              <w:pStyle w:val="texto0"/>
              <w:spacing w:line="230" w:lineRule="exact"/>
              <w:ind w:firstLine="0"/>
              <w:rPr>
                <w:rFonts w:ascii="Verdana" w:hAnsi="Verdana"/>
                <w:sz w:val="16"/>
                <w:szCs w:val="16"/>
                <w:lang w:val="en-US"/>
              </w:rPr>
            </w:pPr>
            <w:r w:rsidRPr="00F01347">
              <w:rPr>
                <w:rFonts w:ascii="Verdana" w:hAnsi="Verdana"/>
                <w:sz w:val="16"/>
                <w:szCs w:val="16"/>
                <w:lang w:val="en-US"/>
              </w:rPr>
              <w:t>To do this, choose a technique: Subject the water to a strong vacuum for 15 to 20 minutes; magnetically stir or ultrasonicate the water for 20 minutes; purge the water with gaseous nitrogen (or other inert gas) using a porous material for 5 minutes; or boil the water in an Erlenmeyer flask for 15 minutes and let it cool to room temperature by covering the mouth of the flask with an inverted beaker.</w:t>
            </w:r>
          </w:p>
        </w:tc>
      </w:tr>
      <w:tr w:rsidR="00CB1CF2" w:rsidRPr="00F01347" w14:paraId="2A5ADC45" w14:textId="4E2581F9" w:rsidTr="00F53B4D">
        <w:tc>
          <w:tcPr>
            <w:tcW w:w="4675" w:type="dxa"/>
          </w:tcPr>
          <w:p w14:paraId="66E99736" w14:textId="77777777" w:rsidR="00CB1CF2" w:rsidRPr="00F01347" w:rsidRDefault="00CB1CF2" w:rsidP="00CB1CF2">
            <w:pPr>
              <w:pStyle w:val="texto0"/>
              <w:spacing w:line="230" w:lineRule="exact"/>
              <w:ind w:firstLine="0"/>
              <w:rPr>
                <w:rFonts w:ascii="Verdana" w:hAnsi="Verdana"/>
                <w:sz w:val="16"/>
                <w:szCs w:val="16"/>
              </w:rPr>
            </w:pPr>
            <w:r w:rsidRPr="00F01347">
              <w:rPr>
                <w:rFonts w:ascii="Verdana" w:hAnsi="Verdana"/>
                <w:sz w:val="16"/>
                <w:szCs w:val="16"/>
              </w:rPr>
              <w:t>Una vez desgasificada el agua, guárdela en un contenedor cerrado para evitar que absorba gases atmosféricos.</w:t>
            </w:r>
          </w:p>
        </w:tc>
        <w:tc>
          <w:tcPr>
            <w:tcW w:w="4675" w:type="dxa"/>
          </w:tcPr>
          <w:p w14:paraId="0FF804C0" w14:textId="090A8886" w:rsidR="00CB1CF2" w:rsidRPr="00F01347" w:rsidRDefault="00CB1CF2" w:rsidP="00CB1CF2">
            <w:pPr>
              <w:pStyle w:val="texto0"/>
              <w:spacing w:line="230" w:lineRule="exact"/>
              <w:ind w:firstLine="0"/>
              <w:rPr>
                <w:rFonts w:ascii="Verdana" w:hAnsi="Verdana"/>
                <w:sz w:val="16"/>
                <w:szCs w:val="16"/>
                <w:lang w:val="en-US"/>
              </w:rPr>
            </w:pPr>
            <w:r w:rsidRPr="00F01347">
              <w:rPr>
                <w:rFonts w:ascii="Verdana" w:hAnsi="Verdana"/>
                <w:sz w:val="16"/>
                <w:szCs w:val="16"/>
                <w:lang w:val="en-US"/>
              </w:rPr>
              <w:t>Once the water has been degassed, store it in a closed container to prevent it from absorbing atmospheric gases.</w:t>
            </w:r>
          </w:p>
        </w:tc>
      </w:tr>
      <w:tr w:rsidR="00CB1CF2" w:rsidRPr="00F01347" w14:paraId="5865BCAA" w14:textId="0F3A1932" w:rsidTr="00F53B4D">
        <w:tc>
          <w:tcPr>
            <w:tcW w:w="4675" w:type="dxa"/>
          </w:tcPr>
          <w:p w14:paraId="7AC0FAE2" w14:textId="77777777" w:rsidR="00CB1CF2" w:rsidRPr="00F01347" w:rsidRDefault="00CB1CF2" w:rsidP="00CB1CF2">
            <w:pPr>
              <w:pStyle w:val="texto0"/>
              <w:spacing w:line="230" w:lineRule="exact"/>
              <w:ind w:firstLine="0"/>
              <w:rPr>
                <w:rFonts w:ascii="Verdana" w:hAnsi="Verdana"/>
                <w:sz w:val="16"/>
                <w:szCs w:val="16"/>
              </w:rPr>
            </w:pPr>
            <w:r w:rsidRPr="00F01347">
              <w:rPr>
                <w:rFonts w:ascii="Verdana" w:hAnsi="Verdana"/>
                <w:b/>
                <w:sz w:val="16"/>
                <w:szCs w:val="16"/>
              </w:rPr>
              <w:t xml:space="preserve">B.11.2.7.1.3 Disolución de arranque / disolución de lavado. </w:t>
            </w:r>
            <w:r w:rsidRPr="00F01347">
              <w:rPr>
                <w:rFonts w:ascii="Verdana" w:hAnsi="Verdana"/>
                <w:sz w:val="16"/>
                <w:szCs w:val="16"/>
              </w:rPr>
              <w:t xml:space="preserve">Esta disolución se usa para ambos propósitos. Añadir 0.5mL de Brij-35 a 500 </w:t>
            </w:r>
            <w:proofErr w:type="spellStart"/>
            <w:r w:rsidRPr="00F01347">
              <w:rPr>
                <w:rFonts w:ascii="Verdana" w:hAnsi="Verdana"/>
                <w:sz w:val="16"/>
                <w:szCs w:val="16"/>
              </w:rPr>
              <w:t>mL</w:t>
            </w:r>
            <w:proofErr w:type="spellEnd"/>
            <w:r w:rsidRPr="00F01347">
              <w:rPr>
                <w:rFonts w:ascii="Verdana" w:hAnsi="Verdana"/>
                <w:sz w:val="16"/>
                <w:szCs w:val="16"/>
              </w:rPr>
              <w:t xml:space="preserve"> de agua desionizada. Mezclar suavemente.</w:t>
            </w:r>
          </w:p>
        </w:tc>
        <w:tc>
          <w:tcPr>
            <w:tcW w:w="4675" w:type="dxa"/>
          </w:tcPr>
          <w:p w14:paraId="42E53D33" w14:textId="74243818" w:rsidR="00CB1CF2" w:rsidRPr="00F01347" w:rsidRDefault="00CB1CF2" w:rsidP="00CB1CF2">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B.11.2.7.1.3 Starting solution / washing solution. </w:t>
            </w:r>
            <w:r w:rsidRPr="00F01347">
              <w:rPr>
                <w:rFonts w:ascii="Verdana" w:hAnsi="Verdana"/>
                <w:sz w:val="16"/>
                <w:szCs w:val="16"/>
                <w:lang w:val="en-US"/>
              </w:rPr>
              <w:t>This solution is used for both purposes. Add 0.5mL of Brij-35 to 500 mL of deionized water. Mix gently.</w:t>
            </w:r>
          </w:p>
        </w:tc>
      </w:tr>
      <w:tr w:rsidR="00CB1CF2" w:rsidRPr="00F01347" w14:paraId="7469D013" w14:textId="0D744355" w:rsidTr="00F53B4D">
        <w:tc>
          <w:tcPr>
            <w:tcW w:w="4675" w:type="dxa"/>
          </w:tcPr>
          <w:p w14:paraId="5203BCAB" w14:textId="77777777" w:rsidR="00CB1CF2" w:rsidRPr="00F01347" w:rsidRDefault="00CB1CF2" w:rsidP="00CB1CF2">
            <w:pPr>
              <w:pStyle w:val="texto0"/>
              <w:spacing w:line="230" w:lineRule="exact"/>
              <w:ind w:firstLine="0"/>
              <w:rPr>
                <w:rFonts w:ascii="Verdana" w:hAnsi="Verdana"/>
                <w:sz w:val="16"/>
                <w:szCs w:val="16"/>
              </w:rPr>
            </w:pPr>
            <w:r w:rsidRPr="00F01347">
              <w:rPr>
                <w:rFonts w:ascii="Verdana" w:hAnsi="Verdana"/>
                <w:b/>
                <w:sz w:val="16"/>
                <w:szCs w:val="16"/>
              </w:rPr>
              <w:t xml:space="preserve">B.11.2.7.1.4 Disolución de azul de </w:t>
            </w:r>
            <w:proofErr w:type="spellStart"/>
            <w:r w:rsidRPr="00F01347">
              <w:rPr>
                <w:rFonts w:ascii="Verdana" w:hAnsi="Verdana"/>
                <w:b/>
                <w:sz w:val="16"/>
                <w:szCs w:val="16"/>
              </w:rPr>
              <w:t>metiltimol</w:t>
            </w:r>
            <w:proofErr w:type="spellEnd"/>
            <w:r w:rsidRPr="00F01347">
              <w:rPr>
                <w:rFonts w:ascii="Verdana" w:hAnsi="Verdana"/>
                <w:b/>
                <w:sz w:val="16"/>
                <w:szCs w:val="16"/>
              </w:rPr>
              <w:t xml:space="preserve"> de trabajo (500mL). 7.2.8.1. </w:t>
            </w:r>
            <w:r w:rsidRPr="00F01347">
              <w:rPr>
                <w:rFonts w:ascii="Verdana" w:hAnsi="Verdana"/>
                <w:sz w:val="16"/>
                <w:szCs w:val="16"/>
              </w:rPr>
              <w:t xml:space="preserve">Tomar 500 </w:t>
            </w:r>
            <w:proofErr w:type="spellStart"/>
            <w:r w:rsidRPr="00F01347">
              <w:rPr>
                <w:rFonts w:ascii="Verdana" w:hAnsi="Verdana"/>
                <w:sz w:val="16"/>
                <w:szCs w:val="16"/>
              </w:rPr>
              <w:t>mL</w:t>
            </w:r>
            <w:proofErr w:type="spellEnd"/>
            <w:r w:rsidRPr="00F01347">
              <w:rPr>
                <w:rFonts w:ascii="Verdana" w:hAnsi="Verdana"/>
                <w:sz w:val="16"/>
                <w:szCs w:val="16"/>
              </w:rPr>
              <w:t xml:space="preserve"> de la disolución concentrada de azul de </w:t>
            </w:r>
            <w:proofErr w:type="spellStart"/>
            <w:r w:rsidRPr="00F01347">
              <w:rPr>
                <w:rFonts w:ascii="Verdana" w:hAnsi="Verdana"/>
                <w:sz w:val="16"/>
                <w:szCs w:val="16"/>
              </w:rPr>
              <w:t>metiltimol</w:t>
            </w:r>
            <w:proofErr w:type="spellEnd"/>
            <w:r w:rsidRPr="00F01347">
              <w:rPr>
                <w:rFonts w:ascii="Verdana" w:hAnsi="Verdana"/>
                <w:sz w:val="16"/>
                <w:szCs w:val="16"/>
              </w:rPr>
              <w:t xml:space="preserve"> y añadir 2.5 </w:t>
            </w:r>
            <w:proofErr w:type="spellStart"/>
            <w:r w:rsidRPr="00F01347">
              <w:rPr>
                <w:rFonts w:ascii="Verdana" w:hAnsi="Verdana"/>
                <w:sz w:val="16"/>
                <w:szCs w:val="16"/>
              </w:rPr>
              <w:t>mL</w:t>
            </w:r>
            <w:proofErr w:type="spellEnd"/>
            <w:r w:rsidRPr="00F01347">
              <w:rPr>
                <w:rFonts w:ascii="Verdana" w:hAnsi="Verdana"/>
                <w:sz w:val="16"/>
                <w:szCs w:val="16"/>
              </w:rPr>
              <w:t xml:space="preserve"> de Brij-35. Mezclar suavemente. Ajustar el pH de esta disolución a 2.6–2.7 con NaOH 0.18 N o HCL 1 N. Preparar esta disolución fresca cada día que se analice un lote de muestras.</w:t>
            </w:r>
          </w:p>
        </w:tc>
        <w:tc>
          <w:tcPr>
            <w:tcW w:w="4675" w:type="dxa"/>
          </w:tcPr>
          <w:p w14:paraId="4047D5F7" w14:textId="2C88F27F" w:rsidR="00CB1CF2" w:rsidRPr="00F01347" w:rsidRDefault="00CB1CF2" w:rsidP="00CB1CF2">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Working methylthymol blue solution (500mL). 7.2.8.1. </w:t>
            </w:r>
            <w:r w:rsidRPr="00F01347">
              <w:rPr>
                <w:rFonts w:ascii="Verdana" w:hAnsi="Verdana"/>
                <w:sz w:val="16"/>
                <w:szCs w:val="16"/>
                <w:lang w:val="en-US"/>
              </w:rPr>
              <w:t>Take 500 mL of the concentrated methylthymol blue solution and add 2.5 mL of Brij-35. Mix gently. Adjust the pH of this solution to 2.6–2.7 with 0.18 N NaOH or 1 N HCL. Prepare this solution fresh each day that a batch of samples is analyzed.</w:t>
            </w:r>
          </w:p>
        </w:tc>
      </w:tr>
      <w:tr w:rsidR="00CB1CF2" w:rsidRPr="00F01347" w14:paraId="7BB37055" w14:textId="42754FEB" w:rsidTr="00F53B4D">
        <w:tc>
          <w:tcPr>
            <w:tcW w:w="4675" w:type="dxa"/>
          </w:tcPr>
          <w:p w14:paraId="1A604E95" w14:textId="77777777" w:rsidR="00CB1CF2" w:rsidRPr="00F01347" w:rsidRDefault="00CB1CF2" w:rsidP="00CB1CF2">
            <w:pPr>
              <w:pStyle w:val="texto0"/>
              <w:spacing w:line="230" w:lineRule="exact"/>
              <w:ind w:firstLine="0"/>
              <w:rPr>
                <w:rFonts w:ascii="Verdana" w:hAnsi="Verdana"/>
                <w:sz w:val="16"/>
                <w:szCs w:val="16"/>
              </w:rPr>
            </w:pPr>
            <w:r w:rsidRPr="00F01347">
              <w:rPr>
                <w:rFonts w:ascii="Verdana" w:hAnsi="Verdana"/>
                <w:b/>
                <w:sz w:val="16"/>
                <w:szCs w:val="16"/>
              </w:rPr>
              <w:t xml:space="preserve">B.11.2.7.1.5 Disolución de trabajo de hidróxido de sodio 0.18 N (500 </w:t>
            </w:r>
            <w:proofErr w:type="spellStart"/>
            <w:r w:rsidRPr="00F01347">
              <w:rPr>
                <w:rFonts w:ascii="Verdana" w:hAnsi="Verdana"/>
                <w:b/>
                <w:sz w:val="16"/>
                <w:szCs w:val="16"/>
              </w:rPr>
              <w:t>mL</w:t>
            </w:r>
            <w:proofErr w:type="spellEnd"/>
            <w:r w:rsidRPr="00F01347">
              <w:rPr>
                <w:rFonts w:ascii="Verdana" w:hAnsi="Verdana"/>
                <w:b/>
                <w:sz w:val="16"/>
                <w:szCs w:val="16"/>
              </w:rPr>
              <w:t xml:space="preserve">). </w:t>
            </w:r>
            <w:r w:rsidRPr="00F01347">
              <w:rPr>
                <w:rFonts w:ascii="Verdana" w:hAnsi="Verdana"/>
                <w:sz w:val="16"/>
                <w:szCs w:val="16"/>
              </w:rPr>
              <w:t xml:space="preserve">Añadir 9 </w:t>
            </w:r>
            <w:proofErr w:type="spellStart"/>
            <w:r w:rsidRPr="00F01347">
              <w:rPr>
                <w:rFonts w:ascii="Verdana" w:hAnsi="Verdana"/>
                <w:sz w:val="16"/>
                <w:szCs w:val="16"/>
              </w:rPr>
              <w:t>mL</w:t>
            </w:r>
            <w:proofErr w:type="spellEnd"/>
            <w:r w:rsidRPr="00F01347">
              <w:rPr>
                <w:rFonts w:ascii="Verdana" w:hAnsi="Verdana"/>
                <w:sz w:val="16"/>
                <w:szCs w:val="16"/>
              </w:rPr>
              <w:t xml:space="preserve"> de la disolución de hidróxido de sodio 10 N a aproximadamente 400 </w:t>
            </w:r>
            <w:proofErr w:type="spellStart"/>
            <w:r w:rsidRPr="00F01347">
              <w:rPr>
                <w:rFonts w:ascii="Verdana" w:hAnsi="Verdana"/>
                <w:sz w:val="16"/>
                <w:szCs w:val="16"/>
              </w:rPr>
              <w:t>mL</w:t>
            </w:r>
            <w:proofErr w:type="spellEnd"/>
            <w:r w:rsidRPr="00F01347">
              <w:rPr>
                <w:rFonts w:ascii="Verdana" w:hAnsi="Verdana"/>
                <w:sz w:val="16"/>
                <w:szCs w:val="16"/>
              </w:rPr>
              <w:t xml:space="preserve"> de agua desionizada. Llevar a un volumen final de 500mL con agua desionizada y mezclar bien. Guardar esta disolución en frasco de polietileno.</w:t>
            </w:r>
          </w:p>
        </w:tc>
        <w:tc>
          <w:tcPr>
            <w:tcW w:w="4675" w:type="dxa"/>
          </w:tcPr>
          <w:p w14:paraId="2987B9F2" w14:textId="47762CC6" w:rsidR="00CB1CF2" w:rsidRPr="00F01347" w:rsidRDefault="00CB1CF2" w:rsidP="00CB1CF2">
            <w:pPr>
              <w:pStyle w:val="texto0"/>
              <w:spacing w:line="230" w:lineRule="exact"/>
              <w:ind w:firstLine="0"/>
              <w:rPr>
                <w:rFonts w:ascii="Verdana" w:hAnsi="Verdana"/>
                <w:b/>
                <w:sz w:val="16"/>
                <w:szCs w:val="16"/>
                <w:lang w:val="en-US"/>
              </w:rPr>
            </w:pPr>
            <w:r w:rsidRPr="00F01347">
              <w:rPr>
                <w:rFonts w:ascii="Verdana" w:hAnsi="Verdana"/>
                <w:b/>
                <w:sz w:val="16"/>
                <w:szCs w:val="16"/>
                <w:lang w:val="en-US"/>
              </w:rPr>
              <w:t>B.11.2.7.1.5 Working solution of sodium hydroxide 0.18 N (500 mL</w:t>
            </w:r>
            <w:r w:rsidR="00913802" w:rsidRPr="00F01347">
              <w:rPr>
                <w:rFonts w:ascii="Verdana" w:hAnsi="Verdana"/>
                <w:b/>
                <w:sz w:val="16"/>
                <w:szCs w:val="16"/>
                <w:lang w:val="en-US"/>
              </w:rPr>
              <w:t>)</w:t>
            </w:r>
            <w:r w:rsidRPr="00F01347">
              <w:rPr>
                <w:rFonts w:ascii="Verdana" w:hAnsi="Verdana"/>
                <w:b/>
                <w:sz w:val="16"/>
                <w:szCs w:val="16"/>
                <w:lang w:val="en-US"/>
              </w:rPr>
              <w:t xml:space="preserve">. </w:t>
            </w:r>
            <w:r w:rsidRPr="00F01347">
              <w:rPr>
                <w:rFonts w:ascii="Verdana" w:hAnsi="Verdana"/>
                <w:sz w:val="16"/>
                <w:szCs w:val="16"/>
                <w:lang w:val="en-US"/>
              </w:rPr>
              <w:t>Add 9 mL of the 10 N sodium hydroxide solution to approximately 400 mL of deionized water. Bring to a final volume of 500mL with deionized water and mix well. Store this solution in a polyethylene bottle.</w:t>
            </w:r>
          </w:p>
        </w:tc>
      </w:tr>
      <w:tr w:rsidR="00CB1CF2" w:rsidRPr="00F01347" w14:paraId="702CE33C" w14:textId="33C954E0" w:rsidTr="00F53B4D">
        <w:tc>
          <w:tcPr>
            <w:tcW w:w="4675" w:type="dxa"/>
          </w:tcPr>
          <w:p w14:paraId="2DE974A7" w14:textId="77777777" w:rsidR="00CB1CF2" w:rsidRPr="00F01347" w:rsidRDefault="00CB1CF2" w:rsidP="00CB1CF2">
            <w:pPr>
              <w:pStyle w:val="texto0"/>
              <w:spacing w:line="236" w:lineRule="exact"/>
              <w:ind w:firstLine="0"/>
              <w:rPr>
                <w:rFonts w:ascii="Verdana" w:hAnsi="Verdana"/>
                <w:sz w:val="16"/>
                <w:szCs w:val="16"/>
              </w:rPr>
            </w:pPr>
            <w:r w:rsidRPr="00F01347">
              <w:rPr>
                <w:rFonts w:ascii="Verdana" w:hAnsi="Verdana"/>
                <w:b/>
                <w:sz w:val="16"/>
                <w:szCs w:val="16"/>
              </w:rPr>
              <w:t>B.11.2.7.1.6 Disolución madre de 10 000 mg/L sulfato (SO</w:t>
            </w:r>
            <w:r w:rsidRPr="00F01347">
              <w:rPr>
                <w:rFonts w:ascii="Verdana" w:hAnsi="Verdana"/>
                <w:b/>
                <w:sz w:val="16"/>
                <w:szCs w:val="16"/>
                <w:vertAlign w:val="subscript"/>
              </w:rPr>
              <w:t>4</w:t>
            </w:r>
            <w:r w:rsidRPr="00F01347">
              <w:rPr>
                <w:rFonts w:ascii="Verdana" w:hAnsi="Verdana"/>
                <w:b/>
                <w:sz w:val="16"/>
                <w:szCs w:val="16"/>
                <w:vertAlign w:val="superscript"/>
              </w:rPr>
              <w:t>2-</w:t>
            </w:r>
            <w:r w:rsidRPr="00F01347">
              <w:rPr>
                <w:rFonts w:ascii="Verdana" w:hAnsi="Verdana"/>
                <w:b/>
                <w:sz w:val="16"/>
                <w:szCs w:val="16"/>
              </w:rPr>
              <w:t xml:space="preserve">). Materiales de referencia. </w:t>
            </w:r>
            <w:r w:rsidRPr="00F01347">
              <w:rPr>
                <w:rFonts w:ascii="Verdana" w:hAnsi="Verdana"/>
                <w:sz w:val="16"/>
                <w:szCs w:val="16"/>
              </w:rPr>
              <w:t>Pesar con precisión 1.4787g de sulfato de sodio anhidro (Na</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xml:space="preserve">) secado previamente a 105 ± 3 °C y que cuente con la pureza necesaria para ser considerado como material de referencia y el certificado que lo demuestre. Disolver en aproximadamente 80mL de agua desionizada dentro de un matraz aforado. Diluir hasta 100 </w:t>
            </w:r>
            <w:proofErr w:type="spellStart"/>
            <w:r w:rsidRPr="00F01347">
              <w:rPr>
                <w:rFonts w:ascii="Verdana" w:hAnsi="Verdana"/>
                <w:sz w:val="16"/>
                <w:szCs w:val="16"/>
              </w:rPr>
              <w:t>mL</w:t>
            </w:r>
            <w:proofErr w:type="spellEnd"/>
            <w:r w:rsidRPr="00F01347">
              <w:rPr>
                <w:rFonts w:ascii="Verdana" w:hAnsi="Verdana"/>
                <w:sz w:val="16"/>
                <w:szCs w:val="16"/>
              </w:rPr>
              <w:t xml:space="preserve"> con agua desionizada. Guardar en frasco de polietileno y preservar con 3 gotas de cloroformo. Esta disolución es estable por seis meses si se almacena en refrigeración a 4 °C.</w:t>
            </w:r>
          </w:p>
        </w:tc>
        <w:tc>
          <w:tcPr>
            <w:tcW w:w="4675" w:type="dxa"/>
          </w:tcPr>
          <w:p w14:paraId="4DC9F73B" w14:textId="31753AEE" w:rsidR="00CB1CF2" w:rsidRPr="00F01347" w:rsidRDefault="00CB1CF2" w:rsidP="00CB1CF2">
            <w:pPr>
              <w:pStyle w:val="texto0"/>
              <w:spacing w:line="236" w:lineRule="exact"/>
              <w:ind w:firstLine="0"/>
              <w:rPr>
                <w:rFonts w:ascii="Verdana" w:hAnsi="Verdana"/>
                <w:b/>
                <w:sz w:val="16"/>
                <w:szCs w:val="16"/>
                <w:lang w:val="en-US"/>
              </w:rPr>
            </w:pPr>
            <w:r w:rsidRPr="00F01347">
              <w:rPr>
                <w:rFonts w:ascii="Verdana" w:hAnsi="Verdana"/>
                <w:b/>
                <w:sz w:val="16"/>
                <w:szCs w:val="16"/>
                <w:lang w:val="en-US"/>
              </w:rPr>
              <w:t>B.11.2.7.1.6 Stock solution of 10,000 mg/L sulfate (SO</w:t>
            </w:r>
            <w:r w:rsidRPr="00F01347">
              <w:rPr>
                <w:rFonts w:ascii="Verdana" w:hAnsi="Verdana"/>
                <w:b/>
                <w:sz w:val="16"/>
                <w:szCs w:val="16"/>
                <w:vertAlign w:val="subscript"/>
                <w:lang w:val="en-US"/>
              </w:rPr>
              <w:t>4</w:t>
            </w:r>
            <w:r w:rsidRPr="00F01347">
              <w:rPr>
                <w:rFonts w:ascii="Verdana" w:hAnsi="Verdana"/>
                <w:b/>
                <w:sz w:val="16"/>
                <w:szCs w:val="16"/>
                <w:vertAlign w:val="superscript"/>
                <w:lang w:val="en-US"/>
              </w:rPr>
              <w:t>2</w:t>
            </w:r>
            <w:r w:rsidR="00913802" w:rsidRPr="00F01347">
              <w:rPr>
                <w:rFonts w:ascii="Verdana" w:hAnsi="Verdana"/>
                <w:b/>
                <w:sz w:val="16"/>
                <w:szCs w:val="16"/>
                <w:lang w:val="en-US"/>
              </w:rPr>
              <w:t>)</w:t>
            </w:r>
            <w:r w:rsidRPr="00F01347">
              <w:rPr>
                <w:rFonts w:ascii="Verdana" w:hAnsi="Verdana"/>
                <w:b/>
                <w:sz w:val="16"/>
                <w:szCs w:val="16"/>
                <w:lang w:val="en-US"/>
              </w:rPr>
              <w:t xml:space="preserve">. Reference materials. </w:t>
            </w:r>
            <w:r w:rsidRPr="00F01347">
              <w:rPr>
                <w:rFonts w:ascii="Verdana" w:hAnsi="Verdana"/>
                <w:sz w:val="16"/>
                <w:szCs w:val="16"/>
                <w:lang w:val="en-US"/>
              </w:rPr>
              <w:t>Accurately weigh 1.4787g of anhydrous sodium sulfate (Na</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4</w:t>
            </w:r>
            <w:r w:rsidR="00913802" w:rsidRPr="00F01347">
              <w:rPr>
                <w:rFonts w:ascii="Verdana" w:hAnsi="Verdana"/>
                <w:sz w:val="16"/>
                <w:szCs w:val="16"/>
                <w:lang w:val="en-US"/>
              </w:rPr>
              <w:t>)</w:t>
            </w:r>
            <w:r w:rsidRPr="00F01347">
              <w:rPr>
                <w:rFonts w:ascii="Verdana" w:hAnsi="Verdana"/>
                <w:sz w:val="16"/>
                <w:szCs w:val="16"/>
                <w:lang w:val="en-US"/>
              </w:rPr>
              <w:t xml:space="preserve"> previously dried at 105 ± 3 °C and that has the necessary purity to be considered as a reference material and the certificate proving it. </w:t>
            </w:r>
            <w:proofErr w:type="gramStart"/>
            <w:r w:rsidR="00F174A4" w:rsidRPr="00F01347">
              <w:rPr>
                <w:rFonts w:ascii="Verdana" w:hAnsi="Verdana"/>
                <w:sz w:val="16"/>
                <w:szCs w:val="16"/>
                <w:lang w:val="en-US"/>
              </w:rPr>
              <w:t>Dissolve</w:t>
            </w:r>
            <w:r w:rsidRPr="00F01347">
              <w:rPr>
                <w:rFonts w:ascii="Verdana" w:hAnsi="Verdana"/>
                <w:sz w:val="16"/>
                <w:szCs w:val="16"/>
                <w:lang w:val="en-US"/>
              </w:rPr>
              <w:t xml:space="preserve"> </w:t>
            </w:r>
            <w:r w:rsidR="00F174A4" w:rsidRPr="00F01347">
              <w:rPr>
                <w:rFonts w:ascii="Verdana" w:hAnsi="Verdana"/>
                <w:sz w:val="16"/>
                <w:szCs w:val="16"/>
                <w:lang w:val="en-US"/>
              </w:rPr>
              <w:t>in</w:t>
            </w:r>
            <w:proofErr w:type="gramEnd"/>
            <w:r w:rsidR="00F174A4" w:rsidRPr="00F01347">
              <w:rPr>
                <w:rFonts w:ascii="Verdana" w:hAnsi="Verdana"/>
                <w:sz w:val="16"/>
                <w:szCs w:val="16"/>
                <w:lang w:val="en-US"/>
              </w:rPr>
              <w:t xml:space="preserve"> </w:t>
            </w:r>
            <w:r w:rsidRPr="00F01347">
              <w:rPr>
                <w:rFonts w:ascii="Verdana" w:hAnsi="Verdana"/>
                <w:sz w:val="16"/>
                <w:szCs w:val="16"/>
                <w:lang w:val="en-US"/>
              </w:rPr>
              <w:t>approximately 80mL of deionized water in a volumetric flask. Dilute up to 100 mL with deionized water. Store in a polyethylene bottle and preserve with 3 drops of chloroform. This solution is stable for six months if stored refrigerated at 4 °C.</w:t>
            </w:r>
          </w:p>
        </w:tc>
      </w:tr>
      <w:tr w:rsidR="00CB1CF2" w:rsidRPr="00F01347" w14:paraId="4A5F69A4" w14:textId="3D3C655F" w:rsidTr="00F53B4D">
        <w:tc>
          <w:tcPr>
            <w:tcW w:w="4675" w:type="dxa"/>
          </w:tcPr>
          <w:p w14:paraId="05167A53" w14:textId="77777777" w:rsidR="00CB1CF2" w:rsidRPr="00F01347" w:rsidRDefault="00CB1CF2" w:rsidP="00CB1CF2">
            <w:pPr>
              <w:pStyle w:val="texto0"/>
              <w:spacing w:line="236" w:lineRule="exact"/>
              <w:ind w:firstLine="0"/>
              <w:rPr>
                <w:rFonts w:ascii="Verdana" w:hAnsi="Verdana"/>
                <w:b/>
                <w:sz w:val="16"/>
                <w:szCs w:val="16"/>
              </w:rPr>
            </w:pPr>
            <w:r w:rsidRPr="00F01347">
              <w:rPr>
                <w:rFonts w:ascii="Verdana" w:hAnsi="Verdana"/>
                <w:b/>
                <w:sz w:val="16"/>
                <w:szCs w:val="16"/>
              </w:rPr>
              <w:t xml:space="preserve">B.11.2.7.1.7 Disolución concentrada de azul de </w:t>
            </w:r>
            <w:proofErr w:type="spellStart"/>
            <w:r w:rsidRPr="00F01347">
              <w:rPr>
                <w:rFonts w:ascii="Verdana" w:hAnsi="Verdana"/>
                <w:b/>
                <w:sz w:val="16"/>
                <w:szCs w:val="16"/>
              </w:rPr>
              <w:t>metiltimol</w:t>
            </w:r>
            <w:proofErr w:type="spellEnd"/>
            <w:r w:rsidRPr="00F01347">
              <w:rPr>
                <w:rFonts w:ascii="Verdana" w:hAnsi="Verdana"/>
                <w:b/>
                <w:sz w:val="16"/>
                <w:szCs w:val="16"/>
              </w:rPr>
              <w:t xml:space="preserve"> (AMT) (1L). </w:t>
            </w:r>
            <w:r w:rsidRPr="00F01347">
              <w:rPr>
                <w:rFonts w:ascii="Verdana" w:hAnsi="Verdana"/>
                <w:sz w:val="16"/>
                <w:szCs w:val="16"/>
              </w:rPr>
              <w:t xml:space="preserve">Para obtener mejores resultados este reactivo se prepara al menos 24 horas antes de usarlo. Disolver 0.236 g de sal sódica de azul de </w:t>
            </w:r>
            <w:proofErr w:type="spellStart"/>
            <w:r w:rsidRPr="00F01347">
              <w:rPr>
                <w:rFonts w:ascii="Verdana" w:hAnsi="Verdana"/>
                <w:sz w:val="16"/>
                <w:szCs w:val="16"/>
              </w:rPr>
              <w:t>metiltimol</w:t>
            </w:r>
            <w:proofErr w:type="spellEnd"/>
            <w:r w:rsidRPr="00F01347">
              <w:rPr>
                <w:rFonts w:ascii="Verdana" w:hAnsi="Verdana"/>
                <w:sz w:val="16"/>
                <w:szCs w:val="16"/>
              </w:rPr>
              <w:t xml:space="preserve"> en 50 </w:t>
            </w:r>
            <w:proofErr w:type="spellStart"/>
            <w:r w:rsidRPr="00F01347">
              <w:rPr>
                <w:rFonts w:ascii="Verdana" w:hAnsi="Verdana"/>
                <w:sz w:val="16"/>
                <w:szCs w:val="16"/>
              </w:rPr>
              <w:t>mL</w:t>
            </w:r>
            <w:proofErr w:type="spellEnd"/>
            <w:r w:rsidRPr="00F01347">
              <w:rPr>
                <w:rFonts w:ascii="Verdana" w:hAnsi="Verdana"/>
                <w:sz w:val="16"/>
                <w:szCs w:val="16"/>
              </w:rPr>
              <w:t xml:space="preserve"> de la disolución de cloruro de bario dentro de un matraz volumétrico de 1L. Añadir 142 </w:t>
            </w:r>
            <w:proofErr w:type="spellStart"/>
            <w:r w:rsidRPr="00F01347">
              <w:rPr>
                <w:rFonts w:ascii="Verdana" w:hAnsi="Verdana"/>
                <w:sz w:val="16"/>
                <w:szCs w:val="16"/>
              </w:rPr>
              <w:t>mL</w:t>
            </w:r>
            <w:proofErr w:type="spellEnd"/>
            <w:r w:rsidRPr="00F01347">
              <w:rPr>
                <w:rFonts w:ascii="Verdana" w:hAnsi="Verdana"/>
                <w:sz w:val="16"/>
                <w:szCs w:val="16"/>
              </w:rPr>
              <w:t xml:space="preserve"> de agua desionizada y 8 </w:t>
            </w:r>
            <w:proofErr w:type="spellStart"/>
            <w:r w:rsidRPr="00F01347">
              <w:rPr>
                <w:rFonts w:ascii="Verdana" w:hAnsi="Verdana"/>
                <w:sz w:val="16"/>
                <w:szCs w:val="16"/>
              </w:rPr>
              <w:t>mL</w:t>
            </w:r>
            <w:proofErr w:type="spellEnd"/>
            <w:r w:rsidRPr="00F01347">
              <w:rPr>
                <w:rFonts w:ascii="Verdana" w:hAnsi="Verdana"/>
                <w:sz w:val="16"/>
                <w:szCs w:val="16"/>
              </w:rPr>
              <w:t xml:space="preserve"> de ácido clorhídrico 1 N. Llevar a un volumen de 1L con etanol. Agitar magnéticamente la disolución por una hora para </w:t>
            </w:r>
            <w:proofErr w:type="spellStart"/>
            <w:r w:rsidRPr="00F01347">
              <w:rPr>
                <w:rFonts w:ascii="Verdana" w:hAnsi="Verdana"/>
                <w:sz w:val="16"/>
                <w:szCs w:val="16"/>
              </w:rPr>
              <w:t>desgasificarla</w:t>
            </w:r>
            <w:proofErr w:type="spellEnd"/>
            <w:r w:rsidRPr="00F01347">
              <w:rPr>
                <w:rFonts w:ascii="Verdana" w:hAnsi="Verdana"/>
                <w:sz w:val="16"/>
                <w:szCs w:val="16"/>
              </w:rPr>
              <w:t xml:space="preserve">. Añadir más etanol para llevar nuevamente a un volumen de 1 L. Filtrar con membrana de 0.45 µm. Guardar en frasco de vidrio ámbar. Esta </w:t>
            </w:r>
            <w:r w:rsidRPr="00F01347">
              <w:rPr>
                <w:rFonts w:ascii="Verdana" w:hAnsi="Verdana"/>
                <w:sz w:val="16"/>
                <w:szCs w:val="16"/>
              </w:rPr>
              <w:lastRenderedPageBreak/>
              <w:t>disolución es estable hasta por 2 semanas si se guarda en frasco ámbar y a 4 °C.</w:t>
            </w:r>
          </w:p>
        </w:tc>
        <w:tc>
          <w:tcPr>
            <w:tcW w:w="4675" w:type="dxa"/>
          </w:tcPr>
          <w:p w14:paraId="5109C015" w14:textId="04562C0A" w:rsidR="00CB1CF2" w:rsidRPr="00F01347" w:rsidRDefault="00CB1CF2" w:rsidP="00CB1CF2">
            <w:pPr>
              <w:pStyle w:val="texto0"/>
              <w:spacing w:line="236" w:lineRule="exact"/>
              <w:ind w:firstLine="0"/>
              <w:rPr>
                <w:rFonts w:ascii="Verdana" w:hAnsi="Verdana"/>
                <w:b/>
                <w:sz w:val="16"/>
                <w:szCs w:val="16"/>
                <w:lang w:val="en-US"/>
              </w:rPr>
            </w:pPr>
            <w:r w:rsidRPr="00F01347">
              <w:rPr>
                <w:rFonts w:ascii="Verdana" w:hAnsi="Verdana"/>
                <w:b/>
                <w:sz w:val="16"/>
                <w:szCs w:val="16"/>
                <w:lang w:val="en-US"/>
              </w:rPr>
              <w:lastRenderedPageBreak/>
              <w:t xml:space="preserve">B.11.2.7.1.7 Concentrated solution of methylthymol blue (AMT) (1L). </w:t>
            </w:r>
            <w:r w:rsidRPr="00F01347">
              <w:rPr>
                <w:rFonts w:ascii="Verdana" w:hAnsi="Verdana"/>
                <w:sz w:val="16"/>
                <w:szCs w:val="16"/>
                <w:lang w:val="en-US"/>
              </w:rPr>
              <w:t xml:space="preserve">For </w:t>
            </w:r>
            <w:r w:rsidR="00F174A4" w:rsidRPr="00F01347">
              <w:rPr>
                <w:rFonts w:ascii="Verdana" w:hAnsi="Verdana"/>
                <w:sz w:val="16"/>
                <w:szCs w:val="16"/>
                <w:lang w:val="en-US"/>
              </w:rPr>
              <w:t>the best</w:t>
            </w:r>
            <w:r w:rsidRPr="00F01347">
              <w:rPr>
                <w:rFonts w:ascii="Verdana" w:hAnsi="Verdana"/>
                <w:sz w:val="16"/>
                <w:szCs w:val="16"/>
                <w:lang w:val="en-US"/>
              </w:rPr>
              <w:t xml:space="preserve"> results, this reagent is prepared at least 24 hours before use. Dissolve 0.236 g of methylthymol blue sodium salt in 50 mL of the barium chloride solution inside a 1L volumetric flask. Add 142 mL of deionized water and 8 mL of 1 N hydrochloric acid. Bring to a volume of 1 L with ethanol. Magnetically stir the solution for one hour to degas it. Add more ethanol to bring the volume back to 1 L. Filter with a 0.45 µm membrane. Store in an </w:t>
            </w:r>
            <w:r w:rsidRPr="00F01347">
              <w:rPr>
                <w:rFonts w:ascii="Verdana" w:hAnsi="Verdana"/>
                <w:sz w:val="16"/>
                <w:szCs w:val="16"/>
                <w:lang w:val="en-US"/>
              </w:rPr>
              <w:lastRenderedPageBreak/>
              <w:t>amber glass bottle. This solution is stable for up to 2 weeks if stored in an amber bottle at 4 °C.</w:t>
            </w:r>
          </w:p>
        </w:tc>
      </w:tr>
      <w:tr w:rsidR="00CB1CF2" w:rsidRPr="00F01347" w14:paraId="30BC96C7" w14:textId="56600CB0" w:rsidTr="00F53B4D">
        <w:tc>
          <w:tcPr>
            <w:tcW w:w="4675" w:type="dxa"/>
          </w:tcPr>
          <w:p w14:paraId="496487DA" w14:textId="77777777" w:rsidR="00CB1CF2" w:rsidRPr="00F01347" w:rsidRDefault="00CB1CF2" w:rsidP="00CB1CF2">
            <w:pPr>
              <w:pStyle w:val="texto0"/>
              <w:spacing w:line="230" w:lineRule="exact"/>
              <w:ind w:firstLine="0"/>
              <w:rPr>
                <w:rFonts w:ascii="Verdana" w:hAnsi="Verdana"/>
                <w:sz w:val="16"/>
                <w:szCs w:val="16"/>
              </w:rPr>
            </w:pPr>
            <w:r w:rsidRPr="00F01347">
              <w:rPr>
                <w:rFonts w:ascii="Verdana" w:hAnsi="Verdana"/>
                <w:b/>
                <w:sz w:val="16"/>
                <w:szCs w:val="16"/>
              </w:rPr>
              <w:lastRenderedPageBreak/>
              <w:t>B.11.2.7.1.8 Disolución concentrada de cloruro de bario (1L).</w:t>
            </w:r>
            <w:r w:rsidRPr="00F01347">
              <w:rPr>
                <w:rFonts w:ascii="Verdana" w:hAnsi="Verdana"/>
                <w:sz w:val="16"/>
                <w:szCs w:val="16"/>
              </w:rPr>
              <w:t xml:space="preserve"> Disolver 1.526 g de cloruro de bario </w:t>
            </w:r>
            <w:proofErr w:type="spellStart"/>
            <w:r w:rsidRPr="00F01347">
              <w:rPr>
                <w:rFonts w:ascii="Verdana" w:hAnsi="Verdana"/>
                <w:sz w:val="16"/>
                <w:szCs w:val="16"/>
              </w:rPr>
              <w:t>dihidratado</w:t>
            </w:r>
            <w:proofErr w:type="spellEnd"/>
            <w:r w:rsidRPr="00F01347">
              <w:rPr>
                <w:rFonts w:ascii="Verdana" w:hAnsi="Verdana"/>
                <w:sz w:val="16"/>
                <w:szCs w:val="16"/>
              </w:rPr>
              <w:t xml:space="preserve"> en aproximadamente 800mL de agua desionizada. Llevar a un volumen final de 1 000 </w:t>
            </w:r>
            <w:proofErr w:type="spellStart"/>
            <w:r w:rsidRPr="00F01347">
              <w:rPr>
                <w:rFonts w:ascii="Verdana" w:hAnsi="Verdana"/>
                <w:sz w:val="16"/>
                <w:szCs w:val="16"/>
              </w:rPr>
              <w:t>mL</w:t>
            </w:r>
            <w:proofErr w:type="spellEnd"/>
            <w:r w:rsidRPr="00F01347">
              <w:rPr>
                <w:rFonts w:ascii="Verdana" w:hAnsi="Verdana"/>
                <w:sz w:val="16"/>
                <w:szCs w:val="16"/>
              </w:rPr>
              <w:t xml:space="preserve"> con agua desionizada y mezcle bien.</w:t>
            </w:r>
          </w:p>
        </w:tc>
        <w:tc>
          <w:tcPr>
            <w:tcW w:w="4675" w:type="dxa"/>
          </w:tcPr>
          <w:p w14:paraId="3DD3AA62" w14:textId="5C1902D6" w:rsidR="00CB1CF2" w:rsidRPr="00F01347" w:rsidRDefault="00CB1CF2" w:rsidP="00CB1CF2">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B.11.2.7.1.8 Concentrated solution of barium chloride (1L). </w:t>
            </w:r>
            <w:r w:rsidRPr="00F01347">
              <w:rPr>
                <w:rFonts w:ascii="Verdana" w:hAnsi="Verdana"/>
                <w:sz w:val="16"/>
                <w:szCs w:val="16"/>
                <w:lang w:val="en-US"/>
              </w:rPr>
              <w:t xml:space="preserve">Dissolve 1,526 g of barium chloride </w:t>
            </w:r>
            <w:r w:rsidR="009F384B" w:rsidRPr="00F01347">
              <w:rPr>
                <w:rFonts w:ascii="Verdana" w:hAnsi="Verdana"/>
                <w:sz w:val="16"/>
                <w:szCs w:val="16"/>
                <w:lang w:val="en-US"/>
              </w:rPr>
              <w:t>dehydrated</w:t>
            </w:r>
            <w:r w:rsidRPr="00F01347">
              <w:rPr>
                <w:rFonts w:ascii="Verdana" w:hAnsi="Verdana"/>
                <w:sz w:val="16"/>
                <w:szCs w:val="16"/>
                <w:lang w:val="en-US"/>
              </w:rPr>
              <w:t xml:space="preserve"> in approximately 800 mL of deionized water. Bring to a final volume of 1,000 mL with deionized water and mix well.</w:t>
            </w:r>
          </w:p>
        </w:tc>
      </w:tr>
      <w:tr w:rsidR="00CB1CF2" w:rsidRPr="00F01347" w14:paraId="38B0831A" w14:textId="2A51C840" w:rsidTr="00F53B4D">
        <w:tc>
          <w:tcPr>
            <w:tcW w:w="4675" w:type="dxa"/>
          </w:tcPr>
          <w:p w14:paraId="4DF12F4D" w14:textId="77777777" w:rsidR="00CB1CF2" w:rsidRPr="00F01347" w:rsidRDefault="00CB1CF2" w:rsidP="00CB1CF2">
            <w:pPr>
              <w:pStyle w:val="texto0"/>
              <w:spacing w:line="230" w:lineRule="exact"/>
              <w:ind w:firstLine="0"/>
              <w:rPr>
                <w:rFonts w:ascii="Verdana" w:hAnsi="Verdana"/>
                <w:sz w:val="16"/>
                <w:szCs w:val="16"/>
              </w:rPr>
            </w:pPr>
            <w:r w:rsidRPr="00F01347">
              <w:rPr>
                <w:rFonts w:ascii="Verdana" w:hAnsi="Verdana"/>
                <w:b/>
                <w:sz w:val="16"/>
                <w:szCs w:val="16"/>
              </w:rPr>
              <w:t xml:space="preserve">B.11.2.7.1.9 Disolución concentrada de hidróxido de sodio 10N (100mL). </w:t>
            </w:r>
            <w:r w:rsidRPr="00F01347">
              <w:rPr>
                <w:rFonts w:ascii="Verdana" w:hAnsi="Verdana"/>
                <w:sz w:val="16"/>
                <w:szCs w:val="16"/>
              </w:rPr>
              <w:t xml:space="preserve">Mientras agita, añadir cuidadosamente 40 g de hidróxido de sodio a aproximadamente 70mL de agua desionizada. Mezclar hidróxido de sodio con agua libera una gran cantidad de calor. Tome las precauciones necesarias. Agitar hasta disolver el sólido. Dejar enfriar a temperatura ambiente, diluir hasta 100 </w:t>
            </w:r>
            <w:proofErr w:type="spellStart"/>
            <w:r w:rsidRPr="00F01347">
              <w:rPr>
                <w:rFonts w:ascii="Verdana" w:hAnsi="Verdana"/>
                <w:sz w:val="16"/>
                <w:szCs w:val="16"/>
              </w:rPr>
              <w:t>mL</w:t>
            </w:r>
            <w:proofErr w:type="spellEnd"/>
            <w:r w:rsidRPr="00F01347">
              <w:rPr>
                <w:rFonts w:ascii="Verdana" w:hAnsi="Verdana"/>
                <w:sz w:val="16"/>
                <w:szCs w:val="16"/>
              </w:rPr>
              <w:t xml:space="preserve"> con agua desionizada y mezclar bien. Guardar esta disolución en frasco de polietileno. Prepare esta disolución mensualmente.</w:t>
            </w:r>
          </w:p>
        </w:tc>
        <w:tc>
          <w:tcPr>
            <w:tcW w:w="4675" w:type="dxa"/>
          </w:tcPr>
          <w:p w14:paraId="1E7C01A4" w14:textId="45DBCC86" w:rsidR="00CB1CF2" w:rsidRPr="00F01347" w:rsidRDefault="00CB1CF2" w:rsidP="00CB1CF2">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B.11.2.7.1.9 Concentrated solution of 10N sodium hydroxide (100mL). </w:t>
            </w:r>
            <w:r w:rsidRPr="00F01347">
              <w:rPr>
                <w:rFonts w:ascii="Verdana" w:hAnsi="Verdana"/>
                <w:sz w:val="16"/>
                <w:szCs w:val="16"/>
                <w:lang w:val="en-US"/>
              </w:rPr>
              <w:t>While stirring, carefully add 40 g of sodium hydroxide to approximately 70 mL of deionized water. Mixing sodium hydroxide with water releases a large amount of heat. Take necessary precautions. Stir until the solid dissolves. Let cool to room temperature, dilute to 100 mL with deionized water and mix well. Store this solution in a polyethylene bottle. Prepare this solution monthly.</w:t>
            </w:r>
          </w:p>
        </w:tc>
      </w:tr>
      <w:tr w:rsidR="00CB1CF2" w:rsidRPr="00F01347" w14:paraId="7A653C40" w14:textId="4AEEB08B" w:rsidTr="00F53B4D">
        <w:tc>
          <w:tcPr>
            <w:tcW w:w="4675" w:type="dxa"/>
          </w:tcPr>
          <w:p w14:paraId="66A24606" w14:textId="77777777" w:rsidR="00CB1CF2" w:rsidRPr="00F01347" w:rsidRDefault="00CB1CF2" w:rsidP="00CB1CF2">
            <w:pPr>
              <w:pStyle w:val="texto0"/>
              <w:spacing w:line="230" w:lineRule="exact"/>
              <w:ind w:firstLine="0"/>
              <w:rPr>
                <w:rFonts w:ascii="Verdana" w:hAnsi="Verdana"/>
                <w:sz w:val="16"/>
                <w:szCs w:val="16"/>
              </w:rPr>
            </w:pPr>
            <w:r w:rsidRPr="00F01347">
              <w:rPr>
                <w:rFonts w:ascii="Verdana" w:hAnsi="Verdana"/>
                <w:b/>
                <w:sz w:val="16"/>
                <w:szCs w:val="16"/>
              </w:rPr>
              <w:t xml:space="preserve">B.11.2.7.1.10 Disolución Diluyente (1L). </w:t>
            </w:r>
            <w:r w:rsidRPr="00F01347">
              <w:rPr>
                <w:rFonts w:ascii="Verdana" w:hAnsi="Verdana"/>
                <w:sz w:val="16"/>
                <w:szCs w:val="16"/>
              </w:rPr>
              <w:t xml:space="preserve">Diluir 0.375 </w:t>
            </w:r>
            <w:proofErr w:type="spellStart"/>
            <w:r w:rsidRPr="00F01347">
              <w:rPr>
                <w:rFonts w:ascii="Verdana" w:hAnsi="Verdana"/>
                <w:sz w:val="16"/>
                <w:szCs w:val="16"/>
              </w:rPr>
              <w:t>mL</w:t>
            </w:r>
            <w:proofErr w:type="spellEnd"/>
            <w:r w:rsidRPr="00F01347">
              <w:rPr>
                <w:rFonts w:ascii="Verdana" w:hAnsi="Verdana"/>
                <w:sz w:val="16"/>
                <w:szCs w:val="16"/>
              </w:rPr>
              <w:t xml:space="preserve"> de la disolución estándar de 1 000 mg/L de SO</w:t>
            </w:r>
            <w:r w:rsidRPr="00F01347">
              <w:rPr>
                <w:rFonts w:ascii="Verdana" w:hAnsi="Verdana"/>
                <w:position w:val="-4"/>
                <w:sz w:val="16"/>
                <w:szCs w:val="16"/>
              </w:rPr>
              <w:t>4</w:t>
            </w:r>
            <w:r w:rsidRPr="00F01347">
              <w:rPr>
                <w:rFonts w:ascii="Verdana" w:hAnsi="Verdana"/>
                <w:sz w:val="16"/>
                <w:szCs w:val="16"/>
              </w:rPr>
              <w:t xml:space="preserve">2- en aproximadamente 800 </w:t>
            </w:r>
            <w:proofErr w:type="spellStart"/>
            <w:r w:rsidRPr="00F01347">
              <w:rPr>
                <w:rFonts w:ascii="Verdana" w:hAnsi="Verdana"/>
                <w:sz w:val="16"/>
                <w:szCs w:val="16"/>
              </w:rPr>
              <w:t>mL</w:t>
            </w:r>
            <w:proofErr w:type="spellEnd"/>
            <w:r w:rsidRPr="00F01347">
              <w:rPr>
                <w:rFonts w:ascii="Verdana" w:hAnsi="Verdana"/>
                <w:sz w:val="16"/>
                <w:szCs w:val="16"/>
              </w:rPr>
              <w:t xml:space="preserve"> de agua desionizada. Añadir 4 gotas de Brij-35 y llevar a 1 000 </w:t>
            </w:r>
            <w:proofErr w:type="spellStart"/>
            <w:r w:rsidRPr="00F01347">
              <w:rPr>
                <w:rFonts w:ascii="Verdana" w:hAnsi="Verdana"/>
                <w:sz w:val="16"/>
                <w:szCs w:val="16"/>
              </w:rPr>
              <w:t>mL</w:t>
            </w:r>
            <w:proofErr w:type="spellEnd"/>
            <w:r w:rsidRPr="00F01347">
              <w:rPr>
                <w:rFonts w:ascii="Verdana" w:hAnsi="Verdana"/>
                <w:sz w:val="16"/>
                <w:szCs w:val="16"/>
              </w:rPr>
              <w:t xml:space="preserve"> con agua desionizada. Mezclar suavemente. Preparar esta disolución fresca cada día que se analice un lote de muestras.</w:t>
            </w:r>
          </w:p>
        </w:tc>
        <w:tc>
          <w:tcPr>
            <w:tcW w:w="4675" w:type="dxa"/>
          </w:tcPr>
          <w:p w14:paraId="41F7902D" w14:textId="40BF71E0" w:rsidR="00CB1CF2" w:rsidRPr="00F01347" w:rsidRDefault="00CB1CF2" w:rsidP="00CB1CF2">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B.11.2.7.1.10 Diluent Solution (1L). </w:t>
            </w:r>
            <w:r w:rsidRPr="00F01347">
              <w:rPr>
                <w:rFonts w:ascii="Verdana" w:hAnsi="Verdana"/>
                <w:sz w:val="16"/>
                <w:szCs w:val="16"/>
                <w:lang w:val="en-US"/>
              </w:rPr>
              <w:t>Dilute 0.375 mL of the standard solution of 1,000 mg/L SO</w:t>
            </w:r>
            <w:r w:rsidRPr="00F01347">
              <w:rPr>
                <w:rFonts w:ascii="Verdana" w:hAnsi="Verdana"/>
                <w:position w:val="-4"/>
                <w:sz w:val="16"/>
                <w:szCs w:val="16"/>
                <w:lang w:val="en-US"/>
              </w:rPr>
              <w:t>4</w:t>
            </w:r>
            <w:r w:rsidRPr="00F01347">
              <w:rPr>
                <w:rFonts w:ascii="Verdana" w:hAnsi="Verdana"/>
                <w:sz w:val="16"/>
                <w:szCs w:val="16"/>
                <w:lang w:val="en-US"/>
              </w:rPr>
              <w:t xml:space="preserve">2- in approximately 800 mL of deionized water. Add 4 drops of Brij-35 and </w:t>
            </w:r>
            <w:proofErr w:type="gramStart"/>
            <w:r w:rsidRPr="00F01347">
              <w:rPr>
                <w:rFonts w:ascii="Verdana" w:hAnsi="Verdana"/>
                <w:sz w:val="16"/>
                <w:szCs w:val="16"/>
                <w:lang w:val="en-US"/>
              </w:rPr>
              <w:t>bring to</w:t>
            </w:r>
            <w:proofErr w:type="gramEnd"/>
            <w:r w:rsidRPr="00F01347">
              <w:rPr>
                <w:rFonts w:ascii="Verdana" w:hAnsi="Verdana"/>
                <w:sz w:val="16"/>
                <w:szCs w:val="16"/>
                <w:lang w:val="en-US"/>
              </w:rPr>
              <w:t xml:space="preserve"> 1,000 mL </w:t>
            </w:r>
            <w:r w:rsidR="00B1783D" w:rsidRPr="00F01347">
              <w:rPr>
                <w:rFonts w:ascii="Verdana" w:hAnsi="Verdana"/>
                <w:sz w:val="16"/>
                <w:szCs w:val="16"/>
                <w:lang w:val="en-US"/>
              </w:rPr>
              <w:t>of</w:t>
            </w:r>
            <w:r w:rsidRPr="00F01347">
              <w:rPr>
                <w:rFonts w:ascii="Verdana" w:hAnsi="Verdana"/>
                <w:sz w:val="16"/>
                <w:szCs w:val="16"/>
                <w:lang w:val="en-US"/>
              </w:rPr>
              <w:t xml:space="preserve"> deionized water. Mix gently. Prepare this solution fresh each day that a batch of samples is analyzed.</w:t>
            </w:r>
          </w:p>
        </w:tc>
      </w:tr>
      <w:tr w:rsidR="00CB1CF2" w:rsidRPr="00F01347" w14:paraId="693CF706" w14:textId="2D414CF5" w:rsidTr="00F53B4D">
        <w:tc>
          <w:tcPr>
            <w:tcW w:w="4675" w:type="dxa"/>
          </w:tcPr>
          <w:p w14:paraId="18C56EEB" w14:textId="77777777" w:rsidR="00CB1CF2" w:rsidRPr="00F01347" w:rsidRDefault="00CB1CF2" w:rsidP="00CB1CF2">
            <w:pPr>
              <w:pStyle w:val="texto0"/>
              <w:spacing w:line="230" w:lineRule="exact"/>
              <w:ind w:firstLine="0"/>
              <w:rPr>
                <w:rFonts w:ascii="Verdana" w:hAnsi="Verdana"/>
                <w:b/>
                <w:sz w:val="16"/>
                <w:szCs w:val="16"/>
              </w:rPr>
            </w:pPr>
            <w:r w:rsidRPr="00F01347">
              <w:rPr>
                <w:rFonts w:ascii="Verdana" w:hAnsi="Verdana"/>
                <w:b/>
                <w:sz w:val="16"/>
                <w:szCs w:val="16"/>
              </w:rPr>
              <w:t>B.11.2.7.2 Recolección, preservación y almacenamiento de muestras</w:t>
            </w:r>
          </w:p>
        </w:tc>
        <w:tc>
          <w:tcPr>
            <w:tcW w:w="4675" w:type="dxa"/>
          </w:tcPr>
          <w:p w14:paraId="3D322C2B" w14:textId="13306C02" w:rsidR="00CB1CF2" w:rsidRPr="00F01347" w:rsidRDefault="00CB1CF2" w:rsidP="00CB1CF2">
            <w:pPr>
              <w:pStyle w:val="texto0"/>
              <w:spacing w:line="230" w:lineRule="exact"/>
              <w:ind w:firstLine="0"/>
              <w:rPr>
                <w:rFonts w:ascii="Verdana" w:hAnsi="Verdana"/>
                <w:b/>
                <w:sz w:val="16"/>
                <w:szCs w:val="16"/>
                <w:lang w:val="en-US"/>
              </w:rPr>
            </w:pPr>
            <w:r w:rsidRPr="00F01347">
              <w:rPr>
                <w:rFonts w:ascii="Verdana" w:hAnsi="Verdana"/>
                <w:b/>
                <w:sz w:val="16"/>
                <w:szCs w:val="16"/>
                <w:lang w:val="en-US"/>
              </w:rPr>
              <w:t xml:space="preserve">B.11.2.7.2 Sample collection, </w:t>
            </w:r>
            <w:r w:rsidR="00B1783D" w:rsidRPr="00F01347">
              <w:rPr>
                <w:rFonts w:ascii="Verdana" w:hAnsi="Verdana"/>
                <w:b/>
                <w:sz w:val="16"/>
                <w:szCs w:val="16"/>
                <w:lang w:val="en-US"/>
              </w:rPr>
              <w:t>preservation,</w:t>
            </w:r>
            <w:r w:rsidRPr="00F01347">
              <w:rPr>
                <w:rFonts w:ascii="Verdana" w:hAnsi="Verdana"/>
                <w:b/>
                <w:sz w:val="16"/>
                <w:szCs w:val="16"/>
                <w:lang w:val="en-US"/>
              </w:rPr>
              <w:t xml:space="preserve"> and storage</w:t>
            </w:r>
          </w:p>
        </w:tc>
      </w:tr>
      <w:tr w:rsidR="00CB1CF2" w:rsidRPr="00F01347" w14:paraId="68F2BBE3" w14:textId="338A09FF" w:rsidTr="00F53B4D">
        <w:tc>
          <w:tcPr>
            <w:tcW w:w="4675" w:type="dxa"/>
          </w:tcPr>
          <w:p w14:paraId="62DD9039" w14:textId="77777777" w:rsidR="00CB1CF2" w:rsidRPr="00F01347" w:rsidRDefault="00CB1CF2" w:rsidP="00CB1CF2">
            <w:pPr>
              <w:pStyle w:val="texto0"/>
              <w:spacing w:line="230" w:lineRule="exact"/>
              <w:ind w:firstLine="0"/>
              <w:rPr>
                <w:rFonts w:ascii="Verdana" w:hAnsi="Verdana"/>
                <w:sz w:val="16"/>
                <w:szCs w:val="16"/>
              </w:rPr>
            </w:pPr>
            <w:r w:rsidRPr="00F01347">
              <w:rPr>
                <w:rFonts w:ascii="Verdana" w:hAnsi="Verdana"/>
                <w:sz w:val="16"/>
                <w:szCs w:val="16"/>
              </w:rPr>
              <w:t>Las muestras se colectan en envases de vidrio o plástico limpios.</w:t>
            </w:r>
          </w:p>
        </w:tc>
        <w:tc>
          <w:tcPr>
            <w:tcW w:w="4675" w:type="dxa"/>
          </w:tcPr>
          <w:p w14:paraId="51AE40B8" w14:textId="511C429A" w:rsidR="00CB1CF2" w:rsidRPr="00F01347" w:rsidRDefault="00CB1CF2" w:rsidP="00CB1CF2">
            <w:pPr>
              <w:pStyle w:val="texto0"/>
              <w:spacing w:line="230" w:lineRule="exact"/>
              <w:ind w:firstLine="0"/>
              <w:rPr>
                <w:rFonts w:ascii="Verdana" w:hAnsi="Verdana"/>
                <w:sz w:val="16"/>
                <w:szCs w:val="16"/>
                <w:lang w:val="en-US"/>
              </w:rPr>
            </w:pPr>
            <w:r w:rsidRPr="00F01347">
              <w:rPr>
                <w:rFonts w:ascii="Verdana" w:hAnsi="Verdana"/>
                <w:sz w:val="16"/>
                <w:szCs w:val="16"/>
                <w:lang w:val="en-US"/>
              </w:rPr>
              <w:t>Samples are collected in clean glass or plastic containers.</w:t>
            </w:r>
          </w:p>
        </w:tc>
      </w:tr>
      <w:tr w:rsidR="00CB1CF2" w:rsidRPr="00F01347" w14:paraId="13183415" w14:textId="3B576ED1" w:rsidTr="00F53B4D">
        <w:tc>
          <w:tcPr>
            <w:tcW w:w="4675" w:type="dxa"/>
          </w:tcPr>
          <w:p w14:paraId="431EE3DB" w14:textId="77777777" w:rsidR="00CB1CF2" w:rsidRPr="00F01347" w:rsidRDefault="00CB1CF2" w:rsidP="00CB1CF2">
            <w:pPr>
              <w:pStyle w:val="texto0"/>
              <w:spacing w:line="230" w:lineRule="exact"/>
              <w:ind w:firstLine="0"/>
              <w:rPr>
                <w:rFonts w:ascii="Verdana" w:hAnsi="Verdana"/>
                <w:sz w:val="16"/>
                <w:szCs w:val="16"/>
              </w:rPr>
            </w:pPr>
            <w:r w:rsidRPr="00F01347">
              <w:rPr>
                <w:rFonts w:ascii="Verdana" w:hAnsi="Verdana"/>
                <w:sz w:val="16"/>
                <w:szCs w:val="16"/>
              </w:rPr>
              <w:t xml:space="preserve">La cantidad de muestra debe ser suficiente para garantizar que se tenga una muestra representativa, que permita el análisis de replicados si es necesario y que minimice la cantidad de desechos generados. Se sugiere tomar un volumen de muestra entre 50 y 100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24432418" w14:textId="0BA39624" w:rsidR="00CB1CF2" w:rsidRPr="00F01347" w:rsidRDefault="00CB1CF2" w:rsidP="00CB1CF2">
            <w:pPr>
              <w:pStyle w:val="texto0"/>
              <w:spacing w:line="230" w:lineRule="exact"/>
              <w:ind w:firstLine="0"/>
              <w:rPr>
                <w:rFonts w:ascii="Verdana" w:hAnsi="Verdana"/>
                <w:sz w:val="16"/>
                <w:szCs w:val="16"/>
                <w:lang w:val="en-US"/>
              </w:rPr>
            </w:pPr>
            <w:r w:rsidRPr="00F01347">
              <w:rPr>
                <w:rFonts w:ascii="Verdana" w:hAnsi="Verdana"/>
                <w:sz w:val="16"/>
                <w:szCs w:val="16"/>
                <w:lang w:val="en-US"/>
              </w:rPr>
              <w:t>The sample quantity must be sufficient to ensure that a representative sample is available, to allow analysis of replicates if necessary, and to minimize the amount of waste generated. It is suggested to take a sample volume between 50 and 100 mL</w:t>
            </w:r>
            <w:r w:rsidR="003E1BA9" w:rsidRPr="00F01347">
              <w:rPr>
                <w:rFonts w:ascii="Verdana" w:hAnsi="Verdana"/>
                <w:sz w:val="16"/>
                <w:szCs w:val="16"/>
                <w:lang w:val="en-US"/>
              </w:rPr>
              <w:t>.</w:t>
            </w:r>
          </w:p>
        </w:tc>
      </w:tr>
      <w:tr w:rsidR="00CB1CF2" w:rsidRPr="00F01347" w14:paraId="76307B27" w14:textId="2718B726" w:rsidTr="00F53B4D">
        <w:tc>
          <w:tcPr>
            <w:tcW w:w="4675" w:type="dxa"/>
          </w:tcPr>
          <w:p w14:paraId="2292D635" w14:textId="77777777" w:rsidR="00CB1CF2" w:rsidRPr="00F01347" w:rsidRDefault="00CB1CF2" w:rsidP="00CB1CF2">
            <w:pPr>
              <w:pStyle w:val="texto0"/>
              <w:spacing w:line="230" w:lineRule="exact"/>
              <w:ind w:firstLine="0"/>
              <w:rPr>
                <w:rFonts w:ascii="Verdana" w:hAnsi="Verdana"/>
                <w:sz w:val="16"/>
                <w:szCs w:val="16"/>
              </w:rPr>
            </w:pPr>
            <w:r w:rsidRPr="00F01347">
              <w:rPr>
                <w:rFonts w:ascii="Verdana" w:hAnsi="Verdana"/>
                <w:sz w:val="16"/>
                <w:szCs w:val="16"/>
              </w:rPr>
              <w:t>Las muestras deben mantenerse a 4 °C y analizarse lo más pronto posible a partir de su recolección.</w:t>
            </w:r>
          </w:p>
        </w:tc>
        <w:tc>
          <w:tcPr>
            <w:tcW w:w="4675" w:type="dxa"/>
          </w:tcPr>
          <w:p w14:paraId="7A36FE66" w14:textId="14D46CC4" w:rsidR="00CB1CF2" w:rsidRPr="00F01347" w:rsidRDefault="00CB1CF2" w:rsidP="00CB1CF2">
            <w:pPr>
              <w:pStyle w:val="texto0"/>
              <w:spacing w:line="230" w:lineRule="exact"/>
              <w:ind w:firstLine="0"/>
              <w:rPr>
                <w:rFonts w:ascii="Verdana" w:hAnsi="Verdana"/>
                <w:sz w:val="16"/>
                <w:szCs w:val="16"/>
                <w:lang w:val="en-US"/>
              </w:rPr>
            </w:pPr>
            <w:r w:rsidRPr="00F01347">
              <w:rPr>
                <w:rFonts w:ascii="Verdana" w:hAnsi="Verdana"/>
                <w:sz w:val="16"/>
                <w:szCs w:val="16"/>
                <w:lang w:val="en-US"/>
              </w:rPr>
              <w:t>Samples should be kept at 4°C and analyzed as soon as possible after collection.</w:t>
            </w:r>
          </w:p>
        </w:tc>
      </w:tr>
      <w:tr w:rsidR="00CB1CF2" w:rsidRPr="00F01347" w14:paraId="18E5F90F" w14:textId="01A5CE86" w:rsidTr="00F53B4D">
        <w:tc>
          <w:tcPr>
            <w:tcW w:w="4675" w:type="dxa"/>
          </w:tcPr>
          <w:p w14:paraId="3CF18772" w14:textId="77777777" w:rsidR="00CB1CF2" w:rsidRPr="00F01347" w:rsidRDefault="00CB1CF2" w:rsidP="00CB1CF2">
            <w:pPr>
              <w:pStyle w:val="texto0"/>
              <w:spacing w:line="230" w:lineRule="exact"/>
              <w:ind w:firstLine="0"/>
              <w:rPr>
                <w:rFonts w:ascii="Verdana" w:hAnsi="Verdana"/>
                <w:sz w:val="16"/>
                <w:szCs w:val="16"/>
              </w:rPr>
            </w:pPr>
            <w:r w:rsidRPr="00F01347">
              <w:rPr>
                <w:rFonts w:ascii="Verdana" w:hAnsi="Verdana"/>
                <w:sz w:val="16"/>
                <w:szCs w:val="16"/>
              </w:rPr>
              <w:t>El tiempo máximo previo al análisis es de 28 días.</w:t>
            </w:r>
          </w:p>
        </w:tc>
        <w:tc>
          <w:tcPr>
            <w:tcW w:w="4675" w:type="dxa"/>
          </w:tcPr>
          <w:p w14:paraId="50F093D1" w14:textId="345D5520" w:rsidR="00CB1CF2" w:rsidRPr="00F01347" w:rsidRDefault="00CB1CF2" w:rsidP="00CB1CF2">
            <w:pPr>
              <w:pStyle w:val="texto0"/>
              <w:spacing w:line="230" w:lineRule="exact"/>
              <w:ind w:firstLine="0"/>
              <w:rPr>
                <w:rFonts w:ascii="Verdana" w:hAnsi="Verdana"/>
                <w:sz w:val="16"/>
                <w:szCs w:val="16"/>
                <w:lang w:val="en-US"/>
              </w:rPr>
            </w:pPr>
            <w:r w:rsidRPr="00F01347">
              <w:rPr>
                <w:rFonts w:ascii="Verdana" w:hAnsi="Verdana"/>
                <w:sz w:val="16"/>
                <w:szCs w:val="16"/>
                <w:lang w:val="en-US"/>
              </w:rPr>
              <w:t>The maximum time prior to analysis is 28 days.</w:t>
            </w:r>
          </w:p>
        </w:tc>
      </w:tr>
      <w:tr w:rsidR="00CB1CF2" w:rsidRPr="00F01347" w14:paraId="434068A9" w14:textId="5BFC229D" w:rsidTr="00F53B4D">
        <w:tc>
          <w:tcPr>
            <w:tcW w:w="4675" w:type="dxa"/>
          </w:tcPr>
          <w:p w14:paraId="4990635B" w14:textId="77777777" w:rsidR="00CB1CF2" w:rsidRPr="00F01347" w:rsidRDefault="00CB1CF2" w:rsidP="00CB1CF2">
            <w:pPr>
              <w:pStyle w:val="texto0"/>
              <w:spacing w:line="232" w:lineRule="exact"/>
              <w:ind w:firstLine="0"/>
              <w:rPr>
                <w:rFonts w:ascii="Verdana" w:hAnsi="Verdana"/>
                <w:b/>
                <w:sz w:val="16"/>
                <w:szCs w:val="16"/>
              </w:rPr>
            </w:pPr>
            <w:r w:rsidRPr="00F01347">
              <w:rPr>
                <w:rFonts w:ascii="Verdana" w:hAnsi="Verdana"/>
                <w:b/>
                <w:sz w:val="16"/>
                <w:szCs w:val="16"/>
              </w:rPr>
              <w:t>B.11.2.7.3 Preparación de muestras de agua</w:t>
            </w:r>
          </w:p>
        </w:tc>
        <w:tc>
          <w:tcPr>
            <w:tcW w:w="4675" w:type="dxa"/>
          </w:tcPr>
          <w:p w14:paraId="72C8B5B4" w14:textId="7B976FC2" w:rsidR="00CB1CF2" w:rsidRPr="00F01347" w:rsidRDefault="00CB1CF2" w:rsidP="00CB1CF2">
            <w:pPr>
              <w:pStyle w:val="texto0"/>
              <w:spacing w:line="232" w:lineRule="exact"/>
              <w:ind w:firstLine="0"/>
              <w:rPr>
                <w:rFonts w:ascii="Verdana" w:hAnsi="Verdana"/>
                <w:b/>
                <w:sz w:val="16"/>
                <w:szCs w:val="16"/>
                <w:lang w:val="en-US"/>
              </w:rPr>
            </w:pPr>
            <w:r w:rsidRPr="00F01347">
              <w:rPr>
                <w:rFonts w:ascii="Verdana" w:hAnsi="Verdana"/>
                <w:b/>
                <w:sz w:val="16"/>
                <w:szCs w:val="16"/>
                <w:lang w:val="en-US"/>
              </w:rPr>
              <w:t>B.11.2.7.3 Preparation of water samples</w:t>
            </w:r>
          </w:p>
        </w:tc>
      </w:tr>
      <w:tr w:rsidR="00CB1CF2" w:rsidRPr="00F01347" w14:paraId="12584EDD" w14:textId="092923DC" w:rsidTr="00F53B4D">
        <w:tc>
          <w:tcPr>
            <w:tcW w:w="4675" w:type="dxa"/>
          </w:tcPr>
          <w:p w14:paraId="18FBE3A1"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 xml:space="preserve">Tomar un volumen suficiente de muestra para filtrarlo y recuperar un volumen de filtrado de al </w:t>
            </w:r>
            <w:proofErr w:type="gramStart"/>
            <w:r w:rsidRPr="00F01347">
              <w:rPr>
                <w:rFonts w:ascii="Verdana" w:hAnsi="Verdana"/>
                <w:sz w:val="16"/>
                <w:szCs w:val="16"/>
              </w:rPr>
              <w:t>menos  9</w:t>
            </w:r>
            <w:proofErr w:type="gramEnd"/>
            <w:r w:rsidRPr="00F01347">
              <w:rPr>
                <w:rFonts w:ascii="Verdana" w:hAnsi="Verdana"/>
                <w:sz w:val="16"/>
                <w:szCs w:val="16"/>
              </w:rPr>
              <w:t xml:space="preserve"> </w:t>
            </w:r>
            <w:proofErr w:type="spellStart"/>
            <w:r w:rsidRPr="00F01347">
              <w:rPr>
                <w:rFonts w:ascii="Verdana" w:hAnsi="Verdana"/>
                <w:sz w:val="16"/>
                <w:szCs w:val="16"/>
              </w:rPr>
              <w:t>mL</w:t>
            </w:r>
            <w:proofErr w:type="spellEnd"/>
            <w:r w:rsidRPr="00F01347">
              <w:rPr>
                <w:rFonts w:ascii="Verdana" w:hAnsi="Verdana"/>
                <w:sz w:val="16"/>
                <w:szCs w:val="16"/>
              </w:rPr>
              <w:t xml:space="preserve">. Generalmente un volumen de 20 </w:t>
            </w:r>
            <w:proofErr w:type="spellStart"/>
            <w:r w:rsidRPr="00F01347">
              <w:rPr>
                <w:rFonts w:ascii="Verdana" w:hAnsi="Verdana"/>
                <w:sz w:val="16"/>
                <w:szCs w:val="16"/>
              </w:rPr>
              <w:t>mL</w:t>
            </w:r>
            <w:proofErr w:type="spellEnd"/>
            <w:r w:rsidRPr="00F01347">
              <w:rPr>
                <w:rFonts w:ascii="Verdana" w:hAnsi="Verdana"/>
                <w:sz w:val="16"/>
                <w:szCs w:val="16"/>
              </w:rPr>
              <w:t xml:space="preserve"> de muestra es suficiente. Para muestras considerablemente turbias este volumen puede ser mayor.</w:t>
            </w:r>
          </w:p>
        </w:tc>
        <w:tc>
          <w:tcPr>
            <w:tcW w:w="4675" w:type="dxa"/>
          </w:tcPr>
          <w:p w14:paraId="0A515D02" w14:textId="4F6DCE95"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Take a sufficient volume of sample to filter it and recover a filtrate volume of at least 9 mL</w:t>
            </w:r>
            <w:r w:rsidR="003E1BA9" w:rsidRPr="00F01347">
              <w:rPr>
                <w:rFonts w:ascii="Verdana" w:hAnsi="Verdana"/>
                <w:sz w:val="16"/>
                <w:szCs w:val="16"/>
                <w:lang w:val="en-US"/>
              </w:rPr>
              <w:t>.</w:t>
            </w:r>
            <w:r w:rsidRPr="00F01347">
              <w:rPr>
                <w:rFonts w:ascii="Verdana" w:hAnsi="Verdana"/>
                <w:sz w:val="16"/>
                <w:szCs w:val="16"/>
                <w:lang w:val="en-US"/>
              </w:rPr>
              <w:t xml:space="preserve"> </w:t>
            </w:r>
            <w:r w:rsidR="00B1783D" w:rsidRPr="00F01347">
              <w:rPr>
                <w:rFonts w:ascii="Verdana" w:hAnsi="Verdana"/>
                <w:sz w:val="16"/>
                <w:szCs w:val="16"/>
                <w:lang w:val="en-US"/>
              </w:rPr>
              <w:t>Generally,</w:t>
            </w:r>
            <w:r w:rsidRPr="00F01347">
              <w:rPr>
                <w:rFonts w:ascii="Verdana" w:hAnsi="Verdana"/>
                <w:sz w:val="16"/>
                <w:szCs w:val="16"/>
                <w:lang w:val="en-US"/>
              </w:rPr>
              <w:t xml:space="preserve"> a volume of 20 mL of sample is sufficient. For considerably turbid samples this volume may be higher.</w:t>
            </w:r>
          </w:p>
        </w:tc>
      </w:tr>
      <w:tr w:rsidR="00CB1CF2" w:rsidRPr="00F01347" w14:paraId="14164620" w14:textId="133F4912" w:rsidTr="00F53B4D">
        <w:tc>
          <w:tcPr>
            <w:tcW w:w="4675" w:type="dxa"/>
          </w:tcPr>
          <w:p w14:paraId="60D630AD"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 xml:space="preserve">Comenzar revisando la lista de analistas y ordene iniciando con las muestras potables y al final las residuales para evitar una posible contaminación de las muestras. En el caso que la lista de analistas presente muestras también para el análisis de Fluoruros ordene primero las potables de fluoruro, seguido por potables de sulfato, residuales de fluoruro y finalmente </w:t>
            </w:r>
            <w:r w:rsidRPr="00F01347">
              <w:rPr>
                <w:rFonts w:ascii="Verdana" w:hAnsi="Verdana"/>
                <w:sz w:val="16"/>
                <w:szCs w:val="16"/>
              </w:rPr>
              <w:lastRenderedPageBreak/>
              <w:t>residuales de sulfato, esto porque es posible analizar en el equipo simultáneamente estas químicas.</w:t>
            </w:r>
          </w:p>
        </w:tc>
        <w:tc>
          <w:tcPr>
            <w:tcW w:w="4675" w:type="dxa"/>
          </w:tcPr>
          <w:p w14:paraId="7DE2FB45" w14:textId="0D88636D"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lastRenderedPageBreak/>
              <w:t xml:space="preserve">Start by reviewing the list of </w:t>
            </w:r>
            <w:proofErr w:type="gramStart"/>
            <w:r w:rsidRPr="00F01347">
              <w:rPr>
                <w:rFonts w:ascii="Verdana" w:hAnsi="Verdana"/>
                <w:sz w:val="16"/>
                <w:szCs w:val="16"/>
                <w:lang w:val="en-US"/>
              </w:rPr>
              <w:t>analysts</w:t>
            </w:r>
            <w:proofErr w:type="gramEnd"/>
            <w:r w:rsidRPr="00F01347">
              <w:rPr>
                <w:rFonts w:ascii="Verdana" w:hAnsi="Verdana"/>
                <w:sz w:val="16"/>
                <w:szCs w:val="16"/>
                <w:lang w:val="en-US"/>
              </w:rPr>
              <w:t xml:space="preserve"> and </w:t>
            </w:r>
            <w:r w:rsidR="00B1783D" w:rsidRPr="00F01347">
              <w:rPr>
                <w:rFonts w:ascii="Verdana" w:hAnsi="Verdana"/>
                <w:sz w:val="16"/>
                <w:szCs w:val="16"/>
                <w:lang w:val="en-US"/>
              </w:rPr>
              <w:t>order,</w:t>
            </w:r>
            <w:r w:rsidRPr="00F01347">
              <w:rPr>
                <w:rFonts w:ascii="Verdana" w:hAnsi="Verdana"/>
                <w:sz w:val="16"/>
                <w:szCs w:val="16"/>
                <w:lang w:val="en-US"/>
              </w:rPr>
              <w:t xml:space="preserve"> starting with the potable samples and finally the residual</w:t>
            </w:r>
            <w:r w:rsidR="00B1783D" w:rsidRPr="00F01347">
              <w:rPr>
                <w:rFonts w:ascii="Verdana" w:hAnsi="Verdana"/>
                <w:sz w:val="16"/>
                <w:szCs w:val="16"/>
                <w:lang w:val="en-US"/>
              </w:rPr>
              <w:t>s</w:t>
            </w:r>
            <w:r w:rsidRPr="00F01347">
              <w:rPr>
                <w:rFonts w:ascii="Verdana" w:hAnsi="Verdana"/>
                <w:sz w:val="16"/>
                <w:szCs w:val="16"/>
                <w:lang w:val="en-US"/>
              </w:rPr>
              <w:t xml:space="preserve"> to avoid possible contamination of the samples. </w:t>
            </w:r>
            <w:proofErr w:type="gramStart"/>
            <w:r w:rsidRPr="00F01347">
              <w:rPr>
                <w:rFonts w:ascii="Verdana" w:hAnsi="Verdana"/>
                <w:sz w:val="16"/>
                <w:szCs w:val="16"/>
                <w:lang w:val="en-US"/>
              </w:rPr>
              <w:t>In the event that</w:t>
            </w:r>
            <w:proofErr w:type="gramEnd"/>
            <w:r w:rsidRPr="00F01347">
              <w:rPr>
                <w:rFonts w:ascii="Verdana" w:hAnsi="Verdana"/>
                <w:sz w:val="16"/>
                <w:szCs w:val="16"/>
                <w:lang w:val="en-US"/>
              </w:rPr>
              <w:t xml:space="preserve"> the list of analysts also presents samples for Fluoride analysis, order the fluoride potables first, followed by sulfate potables, fluoride residuals and finally sulfate residuals, this because it is possible to </w:t>
            </w:r>
            <w:r w:rsidRPr="00F01347">
              <w:rPr>
                <w:rFonts w:ascii="Verdana" w:hAnsi="Verdana"/>
                <w:sz w:val="16"/>
                <w:szCs w:val="16"/>
                <w:lang w:val="en-US"/>
              </w:rPr>
              <w:lastRenderedPageBreak/>
              <w:t>analyze these chemicals simultaneously on the equipment.</w:t>
            </w:r>
          </w:p>
        </w:tc>
      </w:tr>
      <w:tr w:rsidR="00CB1CF2" w:rsidRPr="00F01347" w14:paraId="7B9EA289" w14:textId="4335CE8D" w:rsidTr="00F53B4D">
        <w:tc>
          <w:tcPr>
            <w:tcW w:w="4675" w:type="dxa"/>
          </w:tcPr>
          <w:p w14:paraId="358CF4F8"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lastRenderedPageBreak/>
              <w:t xml:space="preserve">Filtrar las muestras con papel filtro de poro mediano. Un tamaño de poro de 2.5 µm es suficiente, aunque pude usar un tamaño de poro más pequeño (Equivalente a </w:t>
            </w:r>
            <w:proofErr w:type="spellStart"/>
            <w:r w:rsidRPr="00F01347">
              <w:rPr>
                <w:rFonts w:ascii="Verdana" w:hAnsi="Verdana"/>
                <w:sz w:val="16"/>
                <w:szCs w:val="16"/>
              </w:rPr>
              <w:t>Alhstom</w:t>
            </w:r>
            <w:proofErr w:type="spellEnd"/>
            <w:r w:rsidRPr="00F01347">
              <w:rPr>
                <w:rFonts w:ascii="Verdana" w:hAnsi="Verdana"/>
                <w:sz w:val="16"/>
                <w:szCs w:val="16"/>
              </w:rPr>
              <w:t xml:space="preserve"> </w:t>
            </w:r>
            <w:proofErr w:type="spellStart"/>
            <w:r w:rsidRPr="00F01347">
              <w:rPr>
                <w:rFonts w:ascii="Verdana" w:hAnsi="Verdana"/>
                <w:sz w:val="16"/>
                <w:szCs w:val="16"/>
              </w:rPr>
              <w:t>N°</w:t>
            </w:r>
            <w:proofErr w:type="spellEnd"/>
            <w:r w:rsidRPr="00F01347">
              <w:rPr>
                <w:rFonts w:ascii="Verdana" w:hAnsi="Verdana"/>
                <w:sz w:val="16"/>
                <w:szCs w:val="16"/>
              </w:rPr>
              <w:t xml:space="preserve"> 2).</w:t>
            </w:r>
          </w:p>
        </w:tc>
        <w:tc>
          <w:tcPr>
            <w:tcW w:w="4675" w:type="dxa"/>
          </w:tcPr>
          <w:p w14:paraId="0241C1EE" w14:textId="745E8D25"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Filter the samples with medium-pore filter paper. A pore size of 2.5 µm is sufficient, although a smaller pore size</w:t>
            </w:r>
            <w:r w:rsidR="00B1783D" w:rsidRPr="00F01347">
              <w:rPr>
                <w:rFonts w:ascii="Verdana" w:hAnsi="Verdana"/>
                <w:sz w:val="16"/>
                <w:szCs w:val="16"/>
                <w:lang w:val="en-US"/>
              </w:rPr>
              <w:t xml:space="preserve"> can be used.</w:t>
            </w:r>
            <w:r w:rsidRPr="00F01347">
              <w:rPr>
                <w:rFonts w:ascii="Verdana" w:hAnsi="Verdana"/>
                <w:sz w:val="16"/>
                <w:szCs w:val="16"/>
                <w:lang w:val="en-US"/>
              </w:rPr>
              <w:t xml:space="preserve"> (Equivalent to </w:t>
            </w:r>
            <w:proofErr w:type="spellStart"/>
            <w:r w:rsidRPr="00F01347">
              <w:rPr>
                <w:rFonts w:ascii="Verdana" w:hAnsi="Verdana"/>
                <w:sz w:val="16"/>
                <w:szCs w:val="16"/>
                <w:lang w:val="en-US"/>
              </w:rPr>
              <w:t>Alhstom</w:t>
            </w:r>
            <w:proofErr w:type="spellEnd"/>
            <w:r w:rsidRPr="00F01347">
              <w:rPr>
                <w:rFonts w:ascii="Verdana" w:hAnsi="Verdana"/>
                <w:sz w:val="16"/>
                <w:szCs w:val="16"/>
                <w:lang w:val="en-US"/>
              </w:rPr>
              <w:t xml:space="preserve"> No. 2).</w:t>
            </w:r>
          </w:p>
        </w:tc>
      </w:tr>
      <w:tr w:rsidR="00CB1CF2" w:rsidRPr="00F01347" w14:paraId="79E5128C" w14:textId="42C39EF5" w:rsidTr="00F53B4D">
        <w:tc>
          <w:tcPr>
            <w:tcW w:w="4675" w:type="dxa"/>
          </w:tcPr>
          <w:p w14:paraId="0FCE56D0"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Si las muestras filtradas aún presentan coloración, adicionar una pizca de carbón activado, agite y fíltrelas nuevamente.</w:t>
            </w:r>
          </w:p>
        </w:tc>
        <w:tc>
          <w:tcPr>
            <w:tcW w:w="4675" w:type="dxa"/>
          </w:tcPr>
          <w:p w14:paraId="65B5F498" w14:textId="74D009AC"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If the filtered samples still have color, add a pinch of activated carbon, </w:t>
            </w:r>
            <w:r w:rsidR="00B1783D" w:rsidRPr="00F01347">
              <w:rPr>
                <w:rFonts w:ascii="Verdana" w:hAnsi="Verdana"/>
                <w:sz w:val="16"/>
                <w:szCs w:val="16"/>
                <w:lang w:val="en-US"/>
              </w:rPr>
              <w:t>shake,</w:t>
            </w:r>
            <w:r w:rsidRPr="00F01347">
              <w:rPr>
                <w:rFonts w:ascii="Verdana" w:hAnsi="Verdana"/>
                <w:sz w:val="16"/>
                <w:szCs w:val="16"/>
                <w:lang w:val="en-US"/>
              </w:rPr>
              <w:t xml:space="preserve"> and filter them again.</w:t>
            </w:r>
          </w:p>
        </w:tc>
      </w:tr>
      <w:tr w:rsidR="00CB1CF2" w:rsidRPr="00F01347" w14:paraId="3F1CD32F" w14:textId="2CAA67BD" w:rsidTr="00F53B4D">
        <w:tc>
          <w:tcPr>
            <w:tcW w:w="4675" w:type="dxa"/>
          </w:tcPr>
          <w:p w14:paraId="64056C69"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Verificar el pH de las muestras con tiras reactivas indicadoras de pH o con un potenciómetro. Neutralice las muestras que tengan un pH menor a 2 utilizando una disolución concentrada de NaOH. Asegúrese que el pH ácido no se debe a una preservación errónea para este parámetro con ácido sulfúrico.</w:t>
            </w:r>
          </w:p>
        </w:tc>
        <w:tc>
          <w:tcPr>
            <w:tcW w:w="4675" w:type="dxa"/>
          </w:tcPr>
          <w:p w14:paraId="205A8020" w14:textId="6BCE5E9D"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Check the pH of the samples with pH indicator test strips or a potentiometer. Neutralize samples that have a pH less than 2 using a concentrated NaOH solution. Make sure that the acidic pH is not due to erroneous preservation of this parameter with sulfuric acid.</w:t>
            </w:r>
          </w:p>
        </w:tc>
      </w:tr>
      <w:tr w:rsidR="00CB1CF2" w:rsidRPr="00F01347" w14:paraId="25E715FC" w14:textId="17CC71D7" w:rsidTr="00F53B4D">
        <w:tc>
          <w:tcPr>
            <w:tcW w:w="4675" w:type="dxa"/>
          </w:tcPr>
          <w:p w14:paraId="4FDE8026"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Transferir el líquido resultante a viales de vidrio de 9mL de capacidad para su análisis.</w:t>
            </w:r>
          </w:p>
        </w:tc>
        <w:tc>
          <w:tcPr>
            <w:tcW w:w="4675" w:type="dxa"/>
          </w:tcPr>
          <w:p w14:paraId="19380313" w14:textId="671092A3"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Transfer the resulting liquid to 9mL capacity glass vials for analysis.</w:t>
            </w:r>
          </w:p>
        </w:tc>
      </w:tr>
      <w:tr w:rsidR="00CB1CF2" w:rsidRPr="00F01347" w14:paraId="06E59757" w14:textId="3B045AE6" w:rsidTr="00F53B4D">
        <w:tc>
          <w:tcPr>
            <w:tcW w:w="4675" w:type="dxa"/>
          </w:tcPr>
          <w:p w14:paraId="2D4338C5" w14:textId="77777777" w:rsidR="00CB1CF2" w:rsidRPr="00F01347" w:rsidRDefault="00CB1CF2" w:rsidP="00CB1CF2">
            <w:pPr>
              <w:pStyle w:val="texto0"/>
              <w:spacing w:line="232" w:lineRule="exact"/>
              <w:ind w:firstLine="0"/>
              <w:rPr>
                <w:rFonts w:ascii="Verdana" w:hAnsi="Verdana"/>
                <w:b/>
                <w:sz w:val="16"/>
                <w:szCs w:val="16"/>
              </w:rPr>
            </w:pPr>
            <w:r w:rsidRPr="00F01347">
              <w:rPr>
                <w:rFonts w:ascii="Verdana" w:hAnsi="Verdana"/>
                <w:b/>
                <w:sz w:val="16"/>
                <w:szCs w:val="16"/>
              </w:rPr>
              <w:t>B.11.2.7.4 Pruebas semicuantitativas para sulfato</w:t>
            </w:r>
          </w:p>
        </w:tc>
        <w:tc>
          <w:tcPr>
            <w:tcW w:w="4675" w:type="dxa"/>
          </w:tcPr>
          <w:p w14:paraId="311FFB01" w14:textId="01D65CBF" w:rsidR="00CB1CF2" w:rsidRPr="00F01347" w:rsidRDefault="00CB1CF2" w:rsidP="00CB1CF2">
            <w:pPr>
              <w:pStyle w:val="texto0"/>
              <w:spacing w:line="232" w:lineRule="exact"/>
              <w:ind w:firstLine="0"/>
              <w:rPr>
                <w:rFonts w:ascii="Verdana" w:hAnsi="Verdana"/>
                <w:b/>
                <w:sz w:val="16"/>
                <w:szCs w:val="16"/>
                <w:lang w:val="en-US"/>
              </w:rPr>
            </w:pPr>
            <w:r w:rsidRPr="00F01347">
              <w:rPr>
                <w:rFonts w:ascii="Verdana" w:hAnsi="Verdana"/>
                <w:b/>
                <w:sz w:val="16"/>
                <w:szCs w:val="16"/>
                <w:lang w:val="en-US"/>
              </w:rPr>
              <w:t>B.11.2.7.4 Semiquantitative tests for sulfate</w:t>
            </w:r>
          </w:p>
        </w:tc>
      </w:tr>
      <w:tr w:rsidR="00CB1CF2" w:rsidRPr="00F01347" w14:paraId="59784C53" w14:textId="65501DDC" w:rsidTr="00F53B4D">
        <w:tc>
          <w:tcPr>
            <w:tcW w:w="4675" w:type="dxa"/>
          </w:tcPr>
          <w:p w14:paraId="30EB99CE"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Para saber anticipadamente si la concentración de sulfato en las muestras se encuentra por arriba del límite superior del intervalo de trabajo se realiza el siguiente ensayo semicuantitativo. Esta prueba puede hacerse para las muestras que se presuma se cuantifiquen en la zona alta del IT o bien salgan de éste. Esto queda a criterio del analista y del técnico de laboratorio.</w:t>
            </w:r>
          </w:p>
        </w:tc>
        <w:tc>
          <w:tcPr>
            <w:tcW w:w="4675" w:type="dxa"/>
          </w:tcPr>
          <w:p w14:paraId="4D967DD4" w14:textId="17B0C396"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To know in advance if the sulfate concentration in the samples is above the upper limit of the working range, the following semiquantitative test is carried out. This test can be done for samples that are presumed to be quantified in the upper zone of the IT or come out of it. This is at the discretion of the analyst and the laboratory technician.</w:t>
            </w:r>
          </w:p>
        </w:tc>
      </w:tr>
      <w:tr w:rsidR="00CB1CF2" w:rsidRPr="00F01347" w14:paraId="7AC1D0AC" w14:textId="4B40F84E" w:rsidTr="00F53B4D">
        <w:tc>
          <w:tcPr>
            <w:tcW w:w="4675" w:type="dxa"/>
          </w:tcPr>
          <w:p w14:paraId="7714F9D8"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 xml:space="preserve">Tomar aproximadamente 20 </w:t>
            </w:r>
            <w:proofErr w:type="spellStart"/>
            <w:r w:rsidRPr="00F01347">
              <w:rPr>
                <w:rFonts w:ascii="Verdana" w:hAnsi="Verdana"/>
                <w:sz w:val="16"/>
                <w:szCs w:val="16"/>
              </w:rPr>
              <w:t>mL</w:t>
            </w:r>
            <w:proofErr w:type="spellEnd"/>
            <w:r w:rsidRPr="00F01347">
              <w:rPr>
                <w:rFonts w:ascii="Verdana" w:hAnsi="Verdana"/>
                <w:sz w:val="16"/>
                <w:szCs w:val="16"/>
              </w:rPr>
              <w:t xml:space="preserve"> de cada muestra y adicione a cada una pizca de cloruro de bario sólido y agite suavemente. Haga lo mismo con una alícuota del mismo volumen del estándar de 200 mg/L.</w:t>
            </w:r>
          </w:p>
        </w:tc>
        <w:tc>
          <w:tcPr>
            <w:tcW w:w="4675" w:type="dxa"/>
          </w:tcPr>
          <w:p w14:paraId="16829597" w14:textId="734C0DCF"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Take approximately 20 mL of each sample and add a pinch of solid barium chloride to each and shake gently. Do the same with an aliquot of the same volume of the 200 mg/L standard.</w:t>
            </w:r>
          </w:p>
        </w:tc>
      </w:tr>
      <w:tr w:rsidR="00CB1CF2" w:rsidRPr="00F01347" w14:paraId="5FA00F3D" w14:textId="726FEC69" w:rsidTr="00F53B4D">
        <w:tc>
          <w:tcPr>
            <w:tcW w:w="4675" w:type="dxa"/>
          </w:tcPr>
          <w:p w14:paraId="786F4467"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Si la muestra contiene sulfato, se genera una turbiedad blanca debido a la formación de sulfato de bario (BaSO4). A mayor concentración del Ion sulfato, la turbiedad es mayor. Comparando las muestras con el estándar de 200 mg/L, se obtiene una buena aproximación para saber si la concentración de sulfato en la muestra es mayor a 200 mg/L y por lo tanto requiere ser diluida. Realice las diluciones necesarias con agua desionizada.</w:t>
            </w:r>
          </w:p>
        </w:tc>
        <w:tc>
          <w:tcPr>
            <w:tcW w:w="4675" w:type="dxa"/>
          </w:tcPr>
          <w:p w14:paraId="4ACD7A72" w14:textId="47BAB782"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If the sample contains sulfate, a white turbidity is generated due to the formation of barium sulfate (BaSO4). The higher the concentration of the sulfate ion, the greater the turbidity. Comparing the samples with the 200 mg/L standard, a good approximation is obtained to know if the sulfate concentration in the sample is greater than 200 mg/L and therefore requires dilution. Make the necessary dilutions with deionized water.</w:t>
            </w:r>
          </w:p>
        </w:tc>
      </w:tr>
      <w:tr w:rsidR="00CB1CF2" w:rsidRPr="00F01347" w14:paraId="28B04553" w14:textId="7A304CE7" w:rsidTr="00F53B4D">
        <w:tc>
          <w:tcPr>
            <w:tcW w:w="4675" w:type="dxa"/>
          </w:tcPr>
          <w:p w14:paraId="1A757FB0" w14:textId="77777777" w:rsidR="00CB1CF2" w:rsidRPr="00F01347" w:rsidRDefault="00CB1CF2" w:rsidP="00CB1CF2">
            <w:pPr>
              <w:pStyle w:val="texto0"/>
              <w:spacing w:line="232" w:lineRule="exact"/>
              <w:ind w:firstLine="0"/>
              <w:rPr>
                <w:rFonts w:ascii="Verdana" w:hAnsi="Verdana"/>
                <w:b/>
                <w:sz w:val="16"/>
                <w:szCs w:val="16"/>
              </w:rPr>
            </w:pPr>
            <w:r w:rsidRPr="00F01347">
              <w:rPr>
                <w:rFonts w:ascii="Verdana" w:hAnsi="Verdana"/>
                <w:b/>
                <w:sz w:val="16"/>
                <w:szCs w:val="16"/>
              </w:rPr>
              <w:t xml:space="preserve">B.11.2.7.5 Preparación del </w:t>
            </w:r>
            <w:proofErr w:type="spellStart"/>
            <w:r w:rsidRPr="00F01347">
              <w:rPr>
                <w:rFonts w:ascii="Verdana" w:hAnsi="Verdana"/>
                <w:b/>
                <w:sz w:val="16"/>
                <w:szCs w:val="16"/>
              </w:rPr>
              <w:t>autoanalizador</w:t>
            </w:r>
            <w:proofErr w:type="spellEnd"/>
            <w:r w:rsidRPr="00F01347">
              <w:rPr>
                <w:rFonts w:ascii="Verdana" w:hAnsi="Verdana"/>
                <w:b/>
                <w:sz w:val="16"/>
                <w:szCs w:val="16"/>
              </w:rPr>
              <w:t xml:space="preserve"> Flow </w:t>
            </w:r>
            <w:proofErr w:type="spellStart"/>
            <w:r w:rsidRPr="00F01347">
              <w:rPr>
                <w:rFonts w:ascii="Verdana" w:hAnsi="Verdana"/>
                <w:b/>
                <w:sz w:val="16"/>
                <w:szCs w:val="16"/>
              </w:rPr>
              <w:t>Solution</w:t>
            </w:r>
            <w:proofErr w:type="spellEnd"/>
            <w:r w:rsidRPr="00F01347">
              <w:rPr>
                <w:rFonts w:ascii="Verdana" w:hAnsi="Verdana"/>
                <w:b/>
                <w:sz w:val="16"/>
                <w:szCs w:val="16"/>
              </w:rPr>
              <w:t xml:space="preserve"> IV</w:t>
            </w:r>
          </w:p>
        </w:tc>
        <w:tc>
          <w:tcPr>
            <w:tcW w:w="4675" w:type="dxa"/>
          </w:tcPr>
          <w:p w14:paraId="2A033CE5" w14:textId="611ED310" w:rsidR="00CB1CF2" w:rsidRPr="00F01347" w:rsidRDefault="00CB1CF2" w:rsidP="00CB1CF2">
            <w:pPr>
              <w:pStyle w:val="texto0"/>
              <w:spacing w:line="232" w:lineRule="exact"/>
              <w:ind w:firstLine="0"/>
              <w:rPr>
                <w:rFonts w:ascii="Verdana" w:hAnsi="Verdana"/>
                <w:b/>
                <w:sz w:val="16"/>
                <w:szCs w:val="16"/>
                <w:lang w:val="en-US"/>
              </w:rPr>
            </w:pPr>
            <w:r w:rsidRPr="00F01347">
              <w:rPr>
                <w:rFonts w:ascii="Verdana" w:hAnsi="Verdana"/>
                <w:b/>
                <w:sz w:val="16"/>
                <w:szCs w:val="16"/>
                <w:lang w:val="en-US"/>
              </w:rPr>
              <w:t>B.11.2.7.5 Preparation of Flow Solution IV Autoanalyzer</w:t>
            </w:r>
          </w:p>
        </w:tc>
      </w:tr>
      <w:tr w:rsidR="00CB1CF2" w:rsidRPr="00F01347" w14:paraId="442DD858" w14:textId="033A2DB6" w:rsidTr="00F53B4D">
        <w:tc>
          <w:tcPr>
            <w:tcW w:w="4675" w:type="dxa"/>
          </w:tcPr>
          <w:p w14:paraId="0D605872"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Configurar el equipo como lo indica el Manual del Fabricante y asegurarse de que todos los módulos estén encendidos.</w:t>
            </w:r>
          </w:p>
        </w:tc>
        <w:tc>
          <w:tcPr>
            <w:tcW w:w="4675" w:type="dxa"/>
          </w:tcPr>
          <w:p w14:paraId="69F85BA8" w14:textId="7693E8AC"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Configure the equipment as indicated in the Manufacturer's Manual and ensure that all modules are turned on.</w:t>
            </w:r>
          </w:p>
        </w:tc>
      </w:tr>
      <w:tr w:rsidR="00CB1CF2" w:rsidRPr="00F01347" w14:paraId="575CCBAA" w14:textId="2E59F97A" w:rsidTr="00F53B4D">
        <w:tc>
          <w:tcPr>
            <w:tcW w:w="4675" w:type="dxa"/>
          </w:tcPr>
          <w:p w14:paraId="2DD17406"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 xml:space="preserve">Verificar que las conexiones de las mangueras estén configuradas en el cartucho de análisis como muestra el diagrama de la </w:t>
            </w:r>
            <w:proofErr w:type="spellStart"/>
            <w:r w:rsidRPr="00F01347">
              <w:rPr>
                <w:rFonts w:ascii="Verdana" w:hAnsi="Verdana"/>
                <w:sz w:val="16"/>
                <w:szCs w:val="16"/>
              </w:rPr>
              <w:t>Fig</w:t>
            </w:r>
            <w:proofErr w:type="spellEnd"/>
            <w:r w:rsidRPr="00F01347">
              <w:rPr>
                <w:rFonts w:ascii="Verdana" w:hAnsi="Verdana"/>
                <w:sz w:val="16"/>
                <w:szCs w:val="16"/>
              </w:rPr>
              <w:t xml:space="preserve"> B.11.2-2, de este Apéndice.</w:t>
            </w:r>
          </w:p>
        </w:tc>
        <w:tc>
          <w:tcPr>
            <w:tcW w:w="4675" w:type="dxa"/>
          </w:tcPr>
          <w:p w14:paraId="4CC48CBE" w14:textId="235202DA"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Verify that the hose connections are configured on the analysis cartridge as shown in the diagram in Fig B.11.2-2, of this Appendix.</w:t>
            </w:r>
          </w:p>
        </w:tc>
      </w:tr>
      <w:tr w:rsidR="00CB1CF2" w:rsidRPr="00F01347" w14:paraId="3B71D756" w14:textId="2477AB38" w:rsidTr="00F53B4D">
        <w:tc>
          <w:tcPr>
            <w:tcW w:w="4675" w:type="dxa"/>
          </w:tcPr>
          <w:p w14:paraId="1DFE2F86"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No instale la columna de intercambio catiónico en esta parte del procedimiento. Se debe instalar con la bomba en funcionamiento para evitar la entrada de aire en ella.</w:t>
            </w:r>
          </w:p>
        </w:tc>
        <w:tc>
          <w:tcPr>
            <w:tcW w:w="4675" w:type="dxa"/>
          </w:tcPr>
          <w:p w14:paraId="1DF045F5" w14:textId="1C441C1F"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Do not install the cation exchange column in this part of the procedure. It must be installed with the pump running to prevent air from entering it.</w:t>
            </w:r>
          </w:p>
        </w:tc>
      </w:tr>
      <w:tr w:rsidR="00CB1CF2" w:rsidRPr="00F01347" w14:paraId="63D70EDB" w14:textId="37FFA6A9" w:rsidTr="00F53B4D">
        <w:tc>
          <w:tcPr>
            <w:tcW w:w="4675" w:type="dxa"/>
          </w:tcPr>
          <w:p w14:paraId="195EC5CD"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lastRenderedPageBreak/>
              <w:t>Asegurarse que se tiene instalado el filtro de 460 nm en el detector.</w:t>
            </w:r>
          </w:p>
        </w:tc>
        <w:tc>
          <w:tcPr>
            <w:tcW w:w="4675" w:type="dxa"/>
          </w:tcPr>
          <w:p w14:paraId="65A97EAE" w14:textId="7BF78A34"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Make sure that the 460 nm filter is installed on the detector.</w:t>
            </w:r>
          </w:p>
        </w:tc>
      </w:tr>
      <w:tr w:rsidR="00CB1CF2" w:rsidRPr="00F01347" w14:paraId="5E6A6A89" w14:textId="34EDED1A" w:rsidTr="00F53B4D">
        <w:tc>
          <w:tcPr>
            <w:tcW w:w="4675" w:type="dxa"/>
          </w:tcPr>
          <w:p w14:paraId="4C61C90A"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 xml:space="preserve">Llenar el depósito de enjuague del </w:t>
            </w:r>
            <w:proofErr w:type="spellStart"/>
            <w:r w:rsidRPr="00F01347">
              <w:rPr>
                <w:rFonts w:ascii="Verdana" w:hAnsi="Verdana"/>
                <w:sz w:val="16"/>
                <w:szCs w:val="16"/>
              </w:rPr>
              <w:t>automuestreador</w:t>
            </w:r>
            <w:proofErr w:type="spellEnd"/>
            <w:r w:rsidRPr="00F01347">
              <w:rPr>
                <w:rFonts w:ascii="Verdana" w:hAnsi="Verdana"/>
                <w:sz w:val="16"/>
                <w:szCs w:val="16"/>
              </w:rPr>
              <w:t xml:space="preserve"> con agua desionizada.</w:t>
            </w:r>
          </w:p>
        </w:tc>
        <w:tc>
          <w:tcPr>
            <w:tcW w:w="4675" w:type="dxa"/>
          </w:tcPr>
          <w:p w14:paraId="26ADC1A8" w14:textId="3878CC91" w:rsidR="00CB1CF2" w:rsidRPr="00F01347" w:rsidRDefault="00B1783D"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 xml:space="preserve">Fill the </w:t>
            </w:r>
            <w:r w:rsidR="00CB1CF2" w:rsidRPr="00F01347">
              <w:rPr>
                <w:rFonts w:ascii="Verdana" w:hAnsi="Verdana"/>
                <w:sz w:val="16"/>
                <w:szCs w:val="16"/>
                <w:lang w:val="en-US"/>
              </w:rPr>
              <w:t>autosampler rinse tank with deionized water.</w:t>
            </w:r>
          </w:p>
        </w:tc>
      </w:tr>
      <w:tr w:rsidR="00CB1CF2" w:rsidRPr="00F01347" w14:paraId="32A7A747" w14:textId="34AFDFDE" w:rsidTr="00F53B4D">
        <w:tc>
          <w:tcPr>
            <w:tcW w:w="4675" w:type="dxa"/>
          </w:tcPr>
          <w:p w14:paraId="3385E4CF" w14:textId="77777777" w:rsidR="00CB1CF2" w:rsidRPr="00F01347" w:rsidRDefault="00CB1CF2" w:rsidP="00CB1CF2">
            <w:pPr>
              <w:pStyle w:val="texto0"/>
              <w:spacing w:line="232" w:lineRule="exact"/>
              <w:ind w:firstLine="0"/>
              <w:rPr>
                <w:rFonts w:ascii="Verdana" w:hAnsi="Verdana"/>
                <w:b/>
                <w:sz w:val="16"/>
                <w:szCs w:val="16"/>
              </w:rPr>
            </w:pPr>
            <w:r w:rsidRPr="00F01347">
              <w:rPr>
                <w:rFonts w:ascii="Verdana" w:hAnsi="Verdana"/>
                <w:b/>
                <w:sz w:val="16"/>
                <w:szCs w:val="16"/>
              </w:rPr>
              <w:t>B.11.2.7.6 Estabilización del equipo</w:t>
            </w:r>
          </w:p>
        </w:tc>
        <w:tc>
          <w:tcPr>
            <w:tcW w:w="4675" w:type="dxa"/>
          </w:tcPr>
          <w:p w14:paraId="5A2C0FBA" w14:textId="1442805D" w:rsidR="00CB1CF2" w:rsidRPr="00F01347" w:rsidRDefault="00CB1CF2" w:rsidP="00CB1CF2">
            <w:pPr>
              <w:pStyle w:val="texto0"/>
              <w:spacing w:line="232" w:lineRule="exact"/>
              <w:ind w:firstLine="0"/>
              <w:rPr>
                <w:rFonts w:ascii="Verdana" w:hAnsi="Verdana"/>
                <w:b/>
                <w:sz w:val="16"/>
                <w:szCs w:val="16"/>
                <w:lang w:val="en-US"/>
              </w:rPr>
            </w:pPr>
            <w:r w:rsidRPr="00F01347">
              <w:rPr>
                <w:rFonts w:ascii="Verdana" w:hAnsi="Verdana"/>
                <w:b/>
                <w:sz w:val="16"/>
                <w:szCs w:val="16"/>
                <w:lang w:val="en-US"/>
              </w:rPr>
              <w:t>B.11.2.7.6 Equipment stabilization</w:t>
            </w:r>
          </w:p>
        </w:tc>
      </w:tr>
      <w:tr w:rsidR="00CB1CF2" w:rsidRPr="00F01347" w14:paraId="0FF590E5" w14:textId="7B944AFC" w:rsidTr="00F53B4D">
        <w:tc>
          <w:tcPr>
            <w:tcW w:w="4675" w:type="dxa"/>
          </w:tcPr>
          <w:p w14:paraId="64C90C9B"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 xml:space="preserve">Abrir el programa del equipo, cuyo icono de acceso se encuentra en el escritorio de la computadora. Asegúrese que al hacer esto la cánula del </w:t>
            </w:r>
            <w:proofErr w:type="spellStart"/>
            <w:r w:rsidRPr="00F01347">
              <w:rPr>
                <w:rFonts w:ascii="Verdana" w:hAnsi="Verdana"/>
                <w:sz w:val="16"/>
                <w:szCs w:val="16"/>
              </w:rPr>
              <w:t>automuestreador</w:t>
            </w:r>
            <w:proofErr w:type="spellEnd"/>
            <w:r w:rsidRPr="00F01347">
              <w:rPr>
                <w:rFonts w:ascii="Verdana" w:hAnsi="Verdana"/>
                <w:sz w:val="16"/>
                <w:szCs w:val="16"/>
              </w:rPr>
              <w:t xml:space="preserve"> se introduzca en la cavidad de enjuague.</w:t>
            </w:r>
          </w:p>
        </w:tc>
        <w:tc>
          <w:tcPr>
            <w:tcW w:w="4675" w:type="dxa"/>
          </w:tcPr>
          <w:p w14:paraId="030D8E4D" w14:textId="564339F7"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Open the computer program, whose access icon is located on the computer desktop. Make sure that when doing this the autosampler cannula is inserted into the rinse cavity.</w:t>
            </w:r>
          </w:p>
        </w:tc>
      </w:tr>
      <w:tr w:rsidR="00CB1CF2" w:rsidRPr="00F01347" w14:paraId="39E26AEE" w14:textId="006E53AC" w:rsidTr="00F53B4D">
        <w:tc>
          <w:tcPr>
            <w:tcW w:w="4675" w:type="dxa"/>
          </w:tcPr>
          <w:p w14:paraId="5AC45AF6"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 xml:space="preserve">Conectar las mangueras del NaOH 0.18 N y del diluyente a un recipiente con agua destilada y la manguera del reactivo de azul de </w:t>
            </w:r>
            <w:proofErr w:type="spellStart"/>
            <w:r w:rsidRPr="00F01347">
              <w:rPr>
                <w:rFonts w:ascii="Verdana" w:hAnsi="Verdana"/>
                <w:sz w:val="16"/>
                <w:szCs w:val="16"/>
              </w:rPr>
              <w:t>metiltimol</w:t>
            </w:r>
            <w:proofErr w:type="spellEnd"/>
            <w:r w:rsidRPr="00F01347">
              <w:rPr>
                <w:rFonts w:ascii="Verdana" w:hAnsi="Verdana"/>
                <w:sz w:val="16"/>
                <w:szCs w:val="16"/>
              </w:rPr>
              <w:t xml:space="preserve"> a un recipiente con disolución de arranque/lavado. Asegure las grapas de todas las mangueras en la bomba presionándolas hacia abajo hasta que escuche un “clic” y levante todas las palancas correspondientes para presionar las mangueras contra los rodillos de la bomba peristáltica. Accione la bomba a una velocidad de 40% permitiendo que el agua y la disolución de arranque fluyan por todo el sistema.</w:t>
            </w:r>
          </w:p>
        </w:tc>
        <w:tc>
          <w:tcPr>
            <w:tcW w:w="4675" w:type="dxa"/>
          </w:tcPr>
          <w:p w14:paraId="238CA6A8" w14:textId="57894E7A" w:rsidR="00CB1CF2" w:rsidRPr="00F01347" w:rsidRDefault="00FB4EB7"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Connect the 0.18 N NaOH and diluent hoses to a container with distilled water and the methylthymol blue reagent hose to a container with starting/wash solution. Secure the clamps on all hoses on the pump by pressing them down until you hear a “click” and lift all corresponding levers to press the hoses against the rollers of the peristaltic pump. Operate the pump at a speed of 40% allowing the water and starting solution to flow throughout the system.</w:t>
            </w:r>
          </w:p>
        </w:tc>
      </w:tr>
      <w:tr w:rsidR="00CB1CF2" w:rsidRPr="00F01347" w14:paraId="6023CBF9" w14:textId="14CF9C01" w:rsidTr="00F53B4D">
        <w:tc>
          <w:tcPr>
            <w:tcW w:w="4675" w:type="dxa"/>
          </w:tcPr>
          <w:p w14:paraId="3E2D04F4" w14:textId="77777777" w:rsidR="00CB1CF2" w:rsidRPr="00F01347" w:rsidRDefault="00CB1CF2" w:rsidP="00CB1CF2">
            <w:pPr>
              <w:pStyle w:val="texto0"/>
              <w:spacing w:line="232" w:lineRule="exact"/>
              <w:ind w:firstLine="0"/>
              <w:rPr>
                <w:rFonts w:ascii="Verdana" w:hAnsi="Verdana"/>
                <w:sz w:val="16"/>
                <w:szCs w:val="16"/>
              </w:rPr>
            </w:pPr>
            <w:r w:rsidRPr="00F01347">
              <w:rPr>
                <w:rFonts w:ascii="Verdana" w:hAnsi="Verdana"/>
                <w:sz w:val="16"/>
                <w:szCs w:val="16"/>
              </w:rPr>
              <w:t>Asegurarse de que no existan fugas en las conexiones, que no haya mangueras presionadas y que los flujos en las mangueras sean constantes.</w:t>
            </w:r>
          </w:p>
        </w:tc>
        <w:tc>
          <w:tcPr>
            <w:tcW w:w="4675" w:type="dxa"/>
          </w:tcPr>
          <w:p w14:paraId="7BA08FBA" w14:textId="44E8085A" w:rsidR="00CB1CF2" w:rsidRPr="00F01347" w:rsidRDefault="00CB1CF2" w:rsidP="00CB1CF2">
            <w:pPr>
              <w:pStyle w:val="texto0"/>
              <w:spacing w:line="232" w:lineRule="exact"/>
              <w:ind w:firstLine="0"/>
              <w:rPr>
                <w:rFonts w:ascii="Verdana" w:hAnsi="Verdana"/>
                <w:sz w:val="16"/>
                <w:szCs w:val="16"/>
                <w:lang w:val="en-US"/>
              </w:rPr>
            </w:pPr>
            <w:r w:rsidRPr="00F01347">
              <w:rPr>
                <w:rFonts w:ascii="Verdana" w:hAnsi="Verdana"/>
                <w:sz w:val="16"/>
                <w:szCs w:val="16"/>
                <w:lang w:val="en-US"/>
              </w:rPr>
              <w:t>Make sure that there are no leaks at the connections, that there are no pressured hoses and that the flows in the hoses are constant.</w:t>
            </w:r>
          </w:p>
        </w:tc>
      </w:tr>
      <w:tr w:rsidR="00CB1CF2" w:rsidRPr="00F01347" w14:paraId="4C13DF74" w14:textId="4073EB4E" w:rsidTr="00F53B4D">
        <w:tc>
          <w:tcPr>
            <w:tcW w:w="4675" w:type="dxa"/>
          </w:tcPr>
          <w:p w14:paraId="5854E64C" w14:textId="77777777" w:rsidR="00CB1CF2" w:rsidRPr="00F01347" w:rsidRDefault="00CB1CF2" w:rsidP="00CB1CF2">
            <w:pPr>
              <w:pStyle w:val="texto0"/>
              <w:ind w:firstLine="0"/>
              <w:rPr>
                <w:rFonts w:ascii="Verdana" w:hAnsi="Verdana"/>
                <w:b/>
                <w:sz w:val="16"/>
                <w:szCs w:val="16"/>
              </w:rPr>
            </w:pPr>
            <w:r w:rsidRPr="00F01347">
              <w:rPr>
                <w:rFonts w:ascii="Verdana" w:hAnsi="Verdana"/>
                <w:b/>
                <w:sz w:val="16"/>
                <w:szCs w:val="16"/>
              </w:rPr>
              <w:t>B.11.2.7.7 Verificación de la línea base</w:t>
            </w:r>
          </w:p>
        </w:tc>
        <w:tc>
          <w:tcPr>
            <w:tcW w:w="4675" w:type="dxa"/>
          </w:tcPr>
          <w:p w14:paraId="3A16F4B7" w14:textId="1495315A" w:rsidR="00CB1CF2" w:rsidRPr="00F01347" w:rsidRDefault="00CB1CF2" w:rsidP="00CB1CF2">
            <w:pPr>
              <w:pStyle w:val="texto0"/>
              <w:ind w:firstLine="0"/>
              <w:rPr>
                <w:rFonts w:ascii="Verdana" w:hAnsi="Verdana"/>
                <w:b/>
                <w:sz w:val="16"/>
                <w:szCs w:val="16"/>
                <w:lang w:val="en-US"/>
              </w:rPr>
            </w:pPr>
            <w:r w:rsidRPr="00F01347">
              <w:rPr>
                <w:rFonts w:ascii="Verdana" w:hAnsi="Verdana"/>
                <w:b/>
                <w:sz w:val="16"/>
                <w:szCs w:val="16"/>
                <w:lang w:val="en-US"/>
              </w:rPr>
              <w:t>B.11.2.7.7 Baseline verification</w:t>
            </w:r>
          </w:p>
        </w:tc>
      </w:tr>
      <w:tr w:rsidR="00CB1CF2" w:rsidRPr="00F01347" w14:paraId="3BD0A1F9" w14:textId="26CA30B5" w:rsidTr="00F53B4D">
        <w:tc>
          <w:tcPr>
            <w:tcW w:w="4675" w:type="dxa"/>
          </w:tcPr>
          <w:p w14:paraId="317049EC" w14:textId="77777777" w:rsidR="00CB1CF2" w:rsidRPr="00F01347" w:rsidRDefault="00CB1CF2" w:rsidP="00CB1CF2">
            <w:pPr>
              <w:pStyle w:val="texto0"/>
              <w:ind w:firstLine="0"/>
              <w:rPr>
                <w:rFonts w:ascii="Verdana" w:hAnsi="Verdana"/>
                <w:sz w:val="16"/>
                <w:szCs w:val="16"/>
              </w:rPr>
            </w:pPr>
            <w:r w:rsidRPr="00F01347">
              <w:rPr>
                <w:rFonts w:ascii="Verdana" w:hAnsi="Verdana"/>
                <w:sz w:val="16"/>
                <w:szCs w:val="16"/>
              </w:rPr>
              <w:t>Crear o cargar un método apropiado para el análisis de SO</w:t>
            </w:r>
            <w:r w:rsidRPr="00F01347">
              <w:rPr>
                <w:rFonts w:ascii="Verdana" w:hAnsi="Verdana"/>
                <w:sz w:val="16"/>
                <w:szCs w:val="16"/>
                <w:vertAlign w:val="subscript"/>
              </w:rPr>
              <w:t>4</w:t>
            </w:r>
            <w:r w:rsidRPr="00F01347">
              <w:rPr>
                <w:rFonts w:ascii="Verdana" w:hAnsi="Verdana"/>
                <w:position w:val="4"/>
                <w:sz w:val="16"/>
                <w:szCs w:val="16"/>
                <w:vertAlign w:val="superscript"/>
              </w:rPr>
              <w:t>2-</w:t>
            </w:r>
            <w:r w:rsidRPr="00F01347">
              <w:rPr>
                <w:rFonts w:ascii="Verdana" w:hAnsi="Verdana"/>
                <w:sz w:val="16"/>
                <w:szCs w:val="16"/>
              </w:rPr>
              <w:t xml:space="preserve"> en el programa del equipo. Consultar el Manual del Fabricante del programa del equipo para mayor referencia.</w:t>
            </w:r>
          </w:p>
        </w:tc>
        <w:tc>
          <w:tcPr>
            <w:tcW w:w="4675" w:type="dxa"/>
          </w:tcPr>
          <w:p w14:paraId="35BB5643" w14:textId="05DDA55C" w:rsidR="00CB1CF2" w:rsidRPr="00F01347" w:rsidRDefault="00CB1CF2" w:rsidP="00CB1CF2">
            <w:pPr>
              <w:pStyle w:val="texto0"/>
              <w:ind w:firstLine="0"/>
              <w:rPr>
                <w:rFonts w:ascii="Verdana" w:hAnsi="Verdana"/>
                <w:sz w:val="16"/>
                <w:szCs w:val="16"/>
                <w:lang w:val="en-US"/>
              </w:rPr>
            </w:pPr>
            <w:r w:rsidRPr="00F01347">
              <w:rPr>
                <w:rFonts w:ascii="Verdana" w:hAnsi="Verdana"/>
                <w:sz w:val="16"/>
                <w:szCs w:val="16"/>
                <w:lang w:val="en-US"/>
              </w:rPr>
              <w:t>Create or load an appropriate method for analyzing OS</w:t>
            </w:r>
            <w:r w:rsidRPr="00F01347">
              <w:rPr>
                <w:rFonts w:ascii="Verdana" w:hAnsi="Verdana"/>
                <w:sz w:val="16"/>
                <w:szCs w:val="16"/>
                <w:vertAlign w:val="subscript"/>
                <w:lang w:val="en-US"/>
              </w:rPr>
              <w:t>4</w:t>
            </w:r>
            <w:r w:rsidRPr="00F01347">
              <w:rPr>
                <w:rFonts w:ascii="Verdana" w:hAnsi="Verdana"/>
                <w:position w:val="4"/>
                <w:sz w:val="16"/>
                <w:szCs w:val="16"/>
                <w:vertAlign w:val="superscript"/>
                <w:lang w:val="en-US"/>
              </w:rPr>
              <w:t xml:space="preserve">2- </w:t>
            </w:r>
            <w:r w:rsidRPr="00F01347">
              <w:rPr>
                <w:rFonts w:ascii="Verdana" w:hAnsi="Verdana"/>
                <w:sz w:val="16"/>
                <w:szCs w:val="16"/>
                <w:lang w:val="en-US"/>
              </w:rPr>
              <w:t>in the computer program. Consult the Manufacturer's Manual of the equipment program for further reference.</w:t>
            </w:r>
          </w:p>
        </w:tc>
      </w:tr>
      <w:tr w:rsidR="00CB1CF2" w:rsidRPr="00F01347" w14:paraId="0CF94C1C" w14:textId="22B43755" w:rsidTr="00F53B4D">
        <w:tc>
          <w:tcPr>
            <w:tcW w:w="4675" w:type="dxa"/>
          </w:tcPr>
          <w:p w14:paraId="4DE2B2FC" w14:textId="77777777" w:rsidR="00CB1CF2" w:rsidRPr="00F01347" w:rsidRDefault="00CB1CF2" w:rsidP="00CB1CF2">
            <w:pPr>
              <w:pStyle w:val="texto0"/>
              <w:ind w:firstLine="0"/>
              <w:rPr>
                <w:rFonts w:ascii="Verdana" w:hAnsi="Verdana"/>
                <w:sz w:val="16"/>
                <w:szCs w:val="16"/>
              </w:rPr>
            </w:pPr>
            <w:r w:rsidRPr="00F01347">
              <w:rPr>
                <w:rFonts w:ascii="Verdana" w:hAnsi="Verdana"/>
                <w:sz w:val="16"/>
                <w:szCs w:val="16"/>
              </w:rPr>
              <w:t>Crear una secuencia que incluya las muestras que conforman el lote y los controles de calidad. Consultar el Manual del Fabricante del programa del equipo para mayor referencia.</w:t>
            </w:r>
          </w:p>
        </w:tc>
        <w:tc>
          <w:tcPr>
            <w:tcW w:w="4675" w:type="dxa"/>
          </w:tcPr>
          <w:p w14:paraId="76BB7E76" w14:textId="32FBFEAF" w:rsidR="00CB1CF2" w:rsidRPr="00F01347" w:rsidRDefault="00CB1CF2" w:rsidP="00CB1CF2">
            <w:pPr>
              <w:pStyle w:val="texto0"/>
              <w:ind w:firstLine="0"/>
              <w:rPr>
                <w:rFonts w:ascii="Verdana" w:hAnsi="Verdana"/>
                <w:sz w:val="16"/>
                <w:szCs w:val="16"/>
                <w:lang w:val="en-US"/>
              </w:rPr>
            </w:pPr>
            <w:r w:rsidRPr="00F01347">
              <w:rPr>
                <w:rFonts w:ascii="Verdana" w:hAnsi="Verdana"/>
                <w:sz w:val="16"/>
                <w:szCs w:val="16"/>
                <w:lang w:val="en-US"/>
              </w:rPr>
              <w:t>Create a sequence that includes the samples that make up the batch and the quality controls. Consult the Manufacturer's Manual of the equipment program for further reference.</w:t>
            </w:r>
          </w:p>
        </w:tc>
      </w:tr>
      <w:tr w:rsidR="00CB1CF2" w:rsidRPr="00F01347" w14:paraId="6472BFB7" w14:textId="518C9AF6" w:rsidTr="00F53B4D">
        <w:tc>
          <w:tcPr>
            <w:tcW w:w="4675" w:type="dxa"/>
          </w:tcPr>
          <w:p w14:paraId="52E98A7D" w14:textId="77777777" w:rsidR="00CB1CF2" w:rsidRPr="00F01347" w:rsidRDefault="00CB1CF2" w:rsidP="00CB1CF2">
            <w:pPr>
              <w:pStyle w:val="texto0"/>
              <w:ind w:firstLine="0"/>
              <w:rPr>
                <w:rFonts w:ascii="Verdana" w:hAnsi="Verdana"/>
                <w:sz w:val="16"/>
                <w:szCs w:val="16"/>
              </w:rPr>
            </w:pPr>
            <w:r w:rsidRPr="00F01347">
              <w:rPr>
                <w:rFonts w:ascii="Verdana" w:hAnsi="Verdana"/>
                <w:sz w:val="16"/>
                <w:szCs w:val="16"/>
              </w:rPr>
              <w:t xml:space="preserve">Seleccionar la opción </w:t>
            </w:r>
            <w:proofErr w:type="spellStart"/>
            <w:r w:rsidRPr="00F01347">
              <w:rPr>
                <w:rFonts w:ascii="Verdana" w:hAnsi="Verdana"/>
                <w:sz w:val="16"/>
                <w:szCs w:val="16"/>
              </w:rPr>
              <w:t>Collect</w:t>
            </w:r>
            <w:proofErr w:type="spellEnd"/>
            <w:r w:rsidRPr="00F01347">
              <w:rPr>
                <w:rFonts w:ascii="Verdana" w:hAnsi="Verdana"/>
                <w:sz w:val="16"/>
                <w:szCs w:val="16"/>
              </w:rPr>
              <w:t xml:space="preserve"> Data (o su equivalente) del menú de la ventana principal del programa del equipo. Introduzca el nombre y clave del analista, seleccione el método y la secuencia a usarse en el análisis e indique un nombre y una ruta para guardar los resultados del análisis.</w:t>
            </w:r>
          </w:p>
        </w:tc>
        <w:tc>
          <w:tcPr>
            <w:tcW w:w="4675" w:type="dxa"/>
          </w:tcPr>
          <w:p w14:paraId="1A21A8E9" w14:textId="2F67C305" w:rsidR="00CB1CF2" w:rsidRPr="00F01347" w:rsidRDefault="00FB4EB7" w:rsidP="00CB1CF2">
            <w:pPr>
              <w:pStyle w:val="texto0"/>
              <w:ind w:firstLine="0"/>
              <w:rPr>
                <w:rFonts w:ascii="Verdana" w:hAnsi="Verdana"/>
                <w:sz w:val="16"/>
                <w:szCs w:val="16"/>
                <w:lang w:val="en-US"/>
              </w:rPr>
            </w:pPr>
            <w:r w:rsidRPr="00F01347">
              <w:rPr>
                <w:rFonts w:ascii="Verdana" w:hAnsi="Verdana"/>
                <w:sz w:val="16"/>
                <w:szCs w:val="16"/>
                <w:lang w:val="en-US"/>
              </w:rPr>
              <w:t xml:space="preserve">Select the </w:t>
            </w:r>
            <w:r w:rsidR="00CB1CF2" w:rsidRPr="00F01347">
              <w:rPr>
                <w:rFonts w:ascii="Verdana" w:hAnsi="Verdana"/>
                <w:sz w:val="16"/>
                <w:szCs w:val="16"/>
                <w:lang w:val="en-US"/>
              </w:rPr>
              <w:t>Collect Data option (or its equivalent) from the menu in the main window of the computer program. Enter the name and password of the analyst, select the method and sequence to be used in the analysis, and indicate a name and path to save the analysis results.</w:t>
            </w:r>
          </w:p>
        </w:tc>
      </w:tr>
      <w:tr w:rsidR="00CB1CF2" w:rsidRPr="00F01347" w14:paraId="0B056BC6" w14:textId="0A84B0D4" w:rsidTr="00F53B4D">
        <w:tc>
          <w:tcPr>
            <w:tcW w:w="4675" w:type="dxa"/>
          </w:tcPr>
          <w:p w14:paraId="2131B54F" w14:textId="77777777" w:rsidR="00CB1CF2" w:rsidRPr="00F01347" w:rsidRDefault="00CB1CF2" w:rsidP="00CB1CF2">
            <w:pPr>
              <w:pStyle w:val="texto0"/>
              <w:ind w:firstLine="0"/>
              <w:rPr>
                <w:rFonts w:ascii="Verdana" w:hAnsi="Verdana"/>
                <w:sz w:val="16"/>
                <w:szCs w:val="16"/>
              </w:rPr>
            </w:pPr>
            <w:r w:rsidRPr="00F01347">
              <w:rPr>
                <w:rFonts w:ascii="Verdana" w:hAnsi="Verdana"/>
                <w:sz w:val="16"/>
                <w:szCs w:val="16"/>
              </w:rPr>
              <w:t xml:space="preserve">Comenzar el monitoreo de la línea base presionando el botón </w:t>
            </w:r>
            <w:r w:rsidRPr="00F01347">
              <w:rPr>
                <w:sz w:val="16"/>
                <w:szCs w:val="16"/>
              </w:rPr>
              <w:t>►</w:t>
            </w:r>
            <w:r w:rsidRPr="00F01347">
              <w:rPr>
                <w:rFonts w:ascii="Verdana" w:hAnsi="Verdana"/>
                <w:sz w:val="16"/>
                <w:szCs w:val="16"/>
              </w:rPr>
              <w:t xml:space="preserve"> (o su equivalente) ubicado en el margen izquierdo de la pantalla de obtenci</w:t>
            </w:r>
            <w:r w:rsidRPr="00F01347">
              <w:rPr>
                <w:rFonts w:ascii="Verdana" w:hAnsi="Verdana" w:cs="Verdana"/>
                <w:sz w:val="16"/>
                <w:szCs w:val="16"/>
              </w:rPr>
              <w:t>ó</w:t>
            </w:r>
            <w:r w:rsidRPr="00F01347">
              <w:rPr>
                <w:rFonts w:ascii="Verdana" w:hAnsi="Verdana"/>
                <w:sz w:val="16"/>
                <w:szCs w:val="16"/>
              </w:rPr>
              <w:t>n de datos. Monitorear la l</w:t>
            </w:r>
            <w:r w:rsidRPr="00F01347">
              <w:rPr>
                <w:rFonts w:ascii="Verdana" w:hAnsi="Verdana" w:cs="Verdana"/>
                <w:sz w:val="16"/>
                <w:szCs w:val="16"/>
              </w:rPr>
              <w:t>í</w:t>
            </w:r>
            <w:r w:rsidRPr="00F01347">
              <w:rPr>
                <w:rFonts w:ascii="Verdana" w:hAnsi="Verdana"/>
                <w:sz w:val="16"/>
                <w:szCs w:val="16"/>
              </w:rPr>
              <w:t xml:space="preserve">nea base por unos minutos. Su magnitud no debe sobrepasar las 2000 </w:t>
            </w:r>
            <w:r w:rsidRPr="00F01347">
              <w:rPr>
                <w:rFonts w:ascii="Verdana" w:hAnsi="Verdana" w:cs="Verdana"/>
                <w:sz w:val="16"/>
                <w:szCs w:val="16"/>
              </w:rPr>
              <w:t>µ</w:t>
            </w:r>
            <w:proofErr w:type="spellStart"/>
            <w:r w:rsidRPr="00F01347">
              <w:rPr>
                <w:rFonts w:ascii="Verdana" w:hAnsi="Verdana"/>
                <w:sz w:val="16"/>
                <w:szCs w:val="16"/>
              </w:rPr>
              <w:t>uA</w:t>
            </w:r>
            <w:proofErr w:type="spellEnd"/>
            <w:r w:rsidRPr="00F01347">
              <w:rPr>
                <w:rFonts w:ascii="Verdana" w:hAnsi="Verdana"/>
                <w:sz w:val="16"/>
                <w:szCs w:val="16"/>
              </w:rPr>
              <w:t xml:space="preserve"> y su deriva (desplazamiento hacia arriba o hacia abajo) no debe ser mayor a las 500 µ</w:t>
            </w:r>
            <w:proofErr w:type="spellStart"/>
            <w:r w:rsidRPr="00F01347">
              <w:rPr>
                <w:rFonts w:ascii="Verdana" w:hAnsi="Verdana"/>
                <w:sz w:val="16"/>
                <w:szCs w:val="16"/>
              </w:rPr>
              <w:t>uA</w:t>
            </w:r>
            <w:proofErr w:type="spellEnd"/>
            <w:r w:rsidRPr="00F01347">
              <w:rPr>
                <w:rFonts w:ascii="Verdana" w:hAnsi="Verdana"/>
                <w:sz w:val="16"/>
                <w:szCs w:val="16"/>
              </w:rPr>
              <w:t xml:space="preserve"> en 300 segundos.</w:t>
            </w:r>
          </w:p>
        </w:tc>
        <w:tc>
          <w:tcPr>
            <w:tcW w:w="4675" w:type="dxa"/>
          </w:tcPr>
          <w:p w14:paraId="1F80687E" w14:textId="1AF399A4" w:rsidR="00CB1CF2" w:rsidRPr="00F01347" w:rsidRDefault="00CB1CF2" w:rsidP="00CB1CF2">
            <w:pPr>
              <w:pStyle w:val="texto0"/>
              <w:ind w:firstLine="0"/>
              <w:rPr>
                <w:rFonts w:ascii="Verdana" w:hAnsi="Verdana"/>
                <w:sz w:val="16"/>
                <w:szCs w:val="16"/>
                <w:lang w:val="en-US"/>
              </w:rPr>
            </w:pPr>
            <w:r w:rsidRPr="00F01347">
              <w:rPr>
                <w:rFonts w:ascii="Verdana" w:hAnsi="Verdana"/>
                <w:sz w:val="16"/>
                <w:szCs w:val="16"/>
                <w:lang w:val="en-US"/>
              </w:rPr>
              <w:t xml:space="preserve">Begin baseline monitoring by pressing the </w:t>
            </w:r>
            <w:r w:rsidRPr="00F01347">
              <w:rPr>
                <w:sz w:val="16"/>
                <w:szCs w:val="16"/>
                <w:lang w:val="en-US"/>
              </w:rPr>
              <w:t xml:space="preserve">► button (or its equivalent) located on the left side of the </w:t>
            </w:r>
            <w:r w:rsidRPr="00F01347">
              <w:rPr>
                <w:rFonts w:ascii="Verdana" w:hAnsi="Verdana"/>
                <w:sz w:val="16"/>
                <w:szCs w:val="16"/>
                <w:lang w:val="en-US"/>
              </w:rPr>
              <w:t xml:space="preserve">data collection </w:t>
            </w:r>
            <w:r w:rsidRPr="00F01347">
              <w:rPr>
                <w:rFonts w:ascii="Verdana" w:hAnsi="Verdana" w:cs="Verdana"/>
                <w:sz w:val="16"/>
                <w:szCs w:val="16"/>
                <w:lang w:val="en-US"/>
              </w:rPr>
              <w:t>screen</w:t>
            </w:r>
            <w:r w:rsidR="003E1BA9" w:rsidRPr="00F01347">
              <w:rPr>
                <w:rFonts w:ascii="Verdana" w:hAnsi="Verdana" w:cs="Verdana"/>
                <w:sz w:val="16"/>
                <w:szCs w:val="16"/>
                <w:lang w:val="en-US"/>
              </w:rPr>
              <w:t>.</w:t>
            </w:r>
            <w:r w:rsidRPr="00F01347">
              <w:rPr>
                <w:rFonts w:ascii="Verdana" w:hAnsi="Verdana"/>
                <w:sz w:val="16"/>
                <w:szCs w:val="16"/>
                <w:lang w:val="en-US"/>
              </w:rPr>
              <w:t xml:space="preserve"> Monitor the </w:t>
            </w:r>
            <w:r w:rsidRPr="00F01347">
              <w:rPr>
                <w:rFonts w:ascii="Verdana" w:hAnsi="Verdana" w:cs="Verdana"/>
                <w:sz w:val="16"/>
                <w:szCs w:val="16"/>
                <w:lang w:val="en-US"/>
              </w:rPr>
              <w:t xml:space="preserve">baseline </w:t>
            </w:r>
            <w:r w:rsidRPr="00F01347">
              <w:rPr>
                <w:rFonts w:ascii="Verdana" w:hAnsi="Verdana"/>
                <w:sz w:val="16"/>
                <w:szCs w:val="16"/>
                <w:lang w:val="en-US"/>
              </w:rPr>
              <w:t xml:space="preserve">for a few minutes. Its magnitude must not exceed 2000 </w:t>
            </w:r>
            <w:r w:rsidRPr="00F01347">
              <w:rPr>
                <w:rFonts w:ascii="Verdana" w:hAnsi="Verdana" w:cs="Verdana"/>
                <w:sz w:val="16"/>
                <w:szCs w:val="16"/>
                <w:lang w:val="en-US"/>
              </w:rPr>
              <w:t>µ</w:t>
            </w:r>
            <w:r w:rsidRPr="00F01347">
              <w:rPr>
                <w:rFonts w:ascii="Verdana" w:hAnsi="Verdana"/>
                <w:sz w:val="16"/>
                <w:szCs w:val="16"/>
                <w:lang w:val="en-US"/>
              </w:rPr>
              <w:t>uA and its drift (up or down displacement) must not be greater than 500 µ uA in 300 seconds.</w:t>
            </w:r>
          </w:p>
        </w:tc>
      </w:tr>
      <w:tr w:rsidR="00CB1CF2" w:rsidRPr="00F01347" w14:paraId="3EB5BAA5" w14:textId="4D2BB610" w:rsidTr="00F53B4D">
        <w:tc>
          <w:tcPr>
            <w:tcW w:w="4675" w:type="dxa"/>
          </w:tcPr>
          <w:p w14:paraId="6A0436C3" w14:textId="77777777" w:rsidR="00CB1CF2" w:rsidRPr="00F01347" w:rsidRDefault="00CB1CF2" w:rsidP="00CB1CF2">
            <w:pPr>
              <w:pStyle w:val="texto0"/>
              <w:ind w:firstLine="0"/>
              <w:rPr>
                <w:rFonts w:ascii="Verdana" w:hAnsi="Verdana"/>
                <w:sz w:val="16"/>
                <w:szCs w:val="16"/>
              </w:rPr>
            </w:pPr>
            <w:r w:rsidRPr="00F01347">
              <w:rPr>
                <w:rFonts w:ascii="Verdana" w:hAnsi="Verdana"/>
                <w:sz w:val="16"/>
                <w:szCs w:val="16"/>
              </w:rPr>
              <w:t xml:space="preserve">Si observa fluctuaciones grandes en la línea base o una deriva continua probablemente se deba a la presencia de burbujas en la celda de flujo. Extraer estas burbujas tomando la manguera a la salida del flujo de la celda y forme un bucle con ella. Presionar con los dedos el punto donde se sobreponen las dos secciones de la manguera y tire ligeramente mientras presiona, </w:t>
            </w:r>
            <w:r w:rsidRPr="00F01347">
              <w:rPr>
                <w:rFonts w:ascii="Verdana" w:hAnsi="Verdana"/>
                <w:sz w:val="16"/>
                <w:szCs w:val="16"/>
              </w:rPr>
              <w:lastRenderedPageBreak/>
              <w:t>sosteniendo con la otra mano la porción de la manguera más próxima a la celda de flujo. Observar si se estabiliza la línea base. Repetir esta operación hasta que la línea base sea estable.</w:t>
            </w:r>
          </w:p>
        </w:tc>
        <w:tc>
          <w:tcPr>
            <w:tcW w:w="4675" w:type="dxa"/>
          </w:tcPr>
          <w:p w14:paraId="20F44F91" w14:textId="2273F48C" w:rsidR="00CB1CF2" w:rsidRPr="00F01347" w:rsidRDefault="00CB1CF2" w:rsidP="00CB1CF2">
            <w:pPr>
              <w:pStyle w:val="texto0"/>
              <w:ind w:firstLine="0"/>
              <w:rPr>
                <w:rFonts w:ascii="Verdana" w:hAnsi="Verdana"/>
                <w:sz w:val="16"/>
                <w:szCs w:val="16"/>
                <w:lang w:val="en-US"/>
              </w:rPr>
            </w:pPr>
            <w:r w:rsidRPr="00F01347">
              <w:rPr>
                <w:rFonts w:ascii="Verdana" w:hAnsi="Verdana"/>
                <w:sz w:val="16"/>
                <w:szCs w:val="16"/>
                <w:lang w:val="en-US"/>
              </w:rPr>
              <w:lastRenderedPageBreak/>
              <w:t>If large fluctuations</w:t>
            </w:r>
            <w:r w:rsidR="00A178BF" w:rsidRPr="00F01347">
              <w:rPr>
                <w:rFonts w:ascii="Verdana" w:hAnsi="Verdana"/>
                <w:sz w:val="16"/>
                <w:szCs w:val="16"/>
                <w:lang w:val="en-US"/>
              </w:rPr>
              <w:t xml:space="preserve"> are observed</w:t>
            </w:r>
            <w:r w:rsidRPr="00F01347">
              <w:rPr>
                <w:rFonts w:ascii="Verdana" w:hAnsi="Verdana"/>
                <w:sz w:val="16"/>
                <w:szCs w:val="16"/>
                <w:lang w:val="en-US"/>
              </w:rPr>
              <w:t xml:space="preserve"> in the baseline or a continuous drift it is probably due to the presence of bubbles in the flow cell. Extract these bubbles by taking the hose at the flow outlet of the cell and forming a loop with it. Press with </w:t>
            </w:r>
            <w:r w:rsidR="004A6BE5" w:rsidRPr="00F01347">
              <w:rPr>
                <w:rFonts w:ascii="Verdana" w:hAnsi="Verdana"/>
                <w:sz w:val="16"/>
                <w:szCs w:val="16"/>
                <w:lang w:val="en-US"/>
              </w:rPr>
              <w:t>one</w:t>
            </w:r>
            <w:r w:rsidRPr="00F01347">
              <w:rPr>
                <w:rFonts w:ascii="Verdana" w:hAnsi="Verdana"/>
                <w:sz w:val="16"/>
                <w:szCs w:val="16"/>
                <w:lang w:val="en-US"/>
              </w:rPr>
              <w:t xml:space="preserve">r fingers where the two sections of the hose overlap and pull lightly while pressing, holding the portion of the hose closest to the flow cell </w:t>
            </w:r>
            <w:r w:rsidRPr="00F01347">
              <w:rPr>
                <w:rFonts w:ascii="Verdana" w:hAnsi="Verdana"/>
                <w:sz w:val="16"/>
                <w:szCs w:val="16"/>
                <w:lang w:val="en-US"/>
              </w:rPr>
              <w:lastRenderedPageBreak/>
              <w:t xml:space="preserve">with </w:t>
            </w:r>
            <w:r w:rsidR="004A6BE5" w:rsidRPr="00F01347">
              <w:rPr>
                <w:rFonts w:ascii="Verdana" w:hAnsi="Verdana"/>
                <w:sz w:val="16"/>
                <w:szCs w:val="16"/>
                <w:lang w:val="en-US"/>
              </w:rPr>
              <w:t>one</w:t>
            </w:r>
            <w:r w:rsidRPr="00F01347">
              <w:rPr>
                <w:rFonts w:ascii="Verdana" w:hAnsi="Verdana"/>
                <w:sz w:val="16"/>
                <w:szCs w:val="16"/>
                <w:lang w:val="en-US"/>
              </w:rPr>
              <w:t>r other hand. Observe if the baseline stabilizes. Repeat this operation until the baseline is stable.</w:t>
            </w:r>
          </w:p>
        </w:tc>
      </w:tr>
      <w:tr w:rsidR="00CB1CF2" w:rsidRPr="00F01347" w14:paraId="3853BEF3" w14:textId="7CB7A1BD" w:rsidTr="00F53B4D">
        <w:tc>
          <w:tcPr>
            <w:tcW w:w="4675" w:type="dxa"/>
          </w:tcPr>
          <w:p w14:paraId="5CC623AE" w14:textId="77777777" w:rsidR="00CB1CF2" w:rsidRPr="00F01347" w:rsidRDefault="00CB1CF2" w:rsidP="00CB1CF2">
            <w:pPr>
              <w:pStyle w:val="texto0"/>
              <w:ind w:firstLine="0"/>
              <w:rPr>
                <w:rFonts w:ascii="Verdana" w:hAnsi="Verdana"/>
                <w:sz w:val="16"/>
                <w:szCs w:val="16"/>
              </w:rPr>
            </w:pPr>
            <w:r w:rsidRPr="00F01347">
              <w:rPr>
                <w:rFonts w:ascii="Verdana" w:hAnsi="Verdana"/>
                <w:sz w:val="16"/>
                <w:szCs w:val="16"/>
              </w:rPr>
              <w:lastRenderedPageBreak/>
              <w:t>Conectar todas las mangueras a los recipientes de los reactivos correspondientes y verifique nuevamente las condiciones de la línea base.</w:t>
            </w:r>
          </w:p>
        </w:tc>
        <w:tc>
          <w:tcPr>
            <w:tcW w:w="4675" w:type="dxa"/>
          </w:tcPr>
          <w:p w14:paraId="2BC4CBAB" w14:textId="52911753" w:rsidR="00CB1CF2" w:rsidRPr="00F01347" w:rsidRDefault="00CB1CF2" w:rsidP="00CB1CF2">
            <w:pPr>
              <w:pStyle w:val="texto0"/>
              <w:ind w:firstLine="0"/>
              <w:rPr>
                <w:rFonts w:ascii="Verdana" w:hAnsi="Verdana"/>
                <w:sz w:val="16"/>
                <w:szCs w:val="16"/>
                <w:lang w:val="en-US"/>
              </w:rPr>
            </w:pPr>
            <w:r w:rsidRPr="00F01347">
              <w:rPr>
                <w:rFonts w:ascii="Verdana" w:hAnsi="Verdana"/>
                <w:sz w:val="16"/>
                <w:szCs w:val="16"/>
                <w:lang w:val="en-US"/>
              </w:rPr>
              <w:t xml:space="preserve">Connect all </w:t>
            </w:r>
            <w:r w:rsidR="00A178BF" w:rsidRPr="00F01347">
              <w:rPr>
                <w:rFonts w:ascii="Verdana" w:hAnsi="Verdana"/>
                <w:sz w:val="16"/>
                <w:szCs w:val="16"/>
                <w:lang w:val="en-US"/>
              </w:rPr>
              <w:t xml:space="preserve">the </w:t>
            </w:r>
            <w:r w:rsidRPr="00F01347">
              <w:rPr>
                <w:rFonts w:ascii="Verdana" w:hAnsi="Verdana"/>
                <w:sz w:val="16"/>
                <w:szCs w:val="16"/>
                <w:lang w:val="en-US"/>
              </w:rPr>
              <w:t xml:space="preserve">hoses to the corresponding reagent containers and </w:t>
            </w:r>
            <w:r w:rsidR="00A178BF" w:rsidRPr="00F01347">
              <w:rPr>
                <w:rFonts w:ascii="Verdana" w:hAnsi="Verdana"/>
                <w:sz w:val="16"/>
                <w:szCs w:val="16"/>
                <w:lang w:val="en-US"/>
              </w:rPr>
              <w:t>verify the</w:t>
            </w:r>
            <w:r w:rsidRPr="00F01347">
              <w:rPr>
                <w:rFonts w:ascii="Verdana" w:hAnsi="Verdana"/>
                <w:sz w:val="16"/>
                <w:szCs w:val="16"/>
                <w:lang w:val="en-US"/>
              </w:rPr>
              <w:t xml:space="preserve"> baseline conditions again.</w:t>
            </w:r>
          </w:p>
        </w:tc>
      </w:tr>
      <w:tr w:rsidR="00CB1CF2" w:rsidRPr="00F01347" w14:paraId="1B0F72D5" w14:textId="5825D173" w:rsidTr="00F53B4D">
        <w:tc>
          <w:tcPr>
            <w:tcW w:w="4675" w:type="dxa"/>
          </w:tcPr>
          <w:p w14:paraId="7FD149F7" w14:textId="77777777" w:rsidR="00CB1CF2" w:rsidRPr="00F01347" w:rsidRDefault="00CB1CF2" w:rsidP="00CB1CF2">
            <w:pPr>
              <w:pStyle w:val="texto0"/>
              <w:ind w:firstLine="0"/>
              <w:rPr>
                <w:rFonts w:ascii="Verdana" w:hAnsi="Verdana"/>
                <w:b/>
                <w:sz w:val="16"/>
                <w:szCs w:val="16"/>
              </w:rPr>
            </w:pPr>
            <w:r w:rsidRPr="00F01347">
              <w:rPr>
                <w:rFonts w:ascii="Verdana" w:hAnsi="Verdana"/>
                <w:b/>
                <w:sz w:val="16"/>
                <w:szCs w:val="16"/>
              </w:rPr>
              <w:t>B.11.2.7.8 Preparación de la columna de intercambio catiónico</w:t>
            </w:r>
          </w:p>
        </w:tc>
        <w:tc>
          <w:tcPr>
            <w:tcW w:w="4675" w:type="dxa"/>
          </w:tcPr>
          <w:p w14:paraId="3DE120AA" w14:textId="3333B32E" w:rsidR="00CB1CF2" w:rsidRPr="00F01347" w:rsidRDefault="00CB1CF2" w:rsidP="00CB1CF2">
            <w:pPr>
              <w:pStyle w:val="texto0"/>
              <w:ind w:firstLine="0"/>
              <w:rPr>
                <w:rFonts w:ascii="Verdana" w:hAnsi="Verdana"/>
                <w:b/>
                <w:sz w:val="16"/>
                <w:szCs w:val="16"/>
                <w:lang w:val="en-US"/>
              </w:rPr>
            </w:pPr>
            <w:r w:rsidRPr="00F01347">
              <w:rPr>
                <w:rFonts w:ascii="Verdana" w:hAnsi="Verdana"/>
                <w:b/>
                <w:sz w:val="16"/>
                <w:szCs w:val="16"/>
                <w:lang w:val="en-US"/>
              </w:rPr>
              <w:t>B.11.2.7.8 Preparation of the cation exchange column</w:t>
            </w:r>
          </w:p>
        </w:tc>
      </w:tr>
      <w:tr w:rsidR="00CB1CF2" w:rsidRPr="00F01347" w14:paraId="4F4C7DC8" w14:textId="10615A00" w:rsidTr="00F53B4D">
        <w:tc>
          <w:tcPr>
            <w:tcW w:w="4675" w:type="dxa"/>
          </w:tcPr>
          <w:p w14:paraId="3AB510A6" w14:textId="77777777" w:rsidR="00CB1CF2" w:rsidRPr="00F01347" w:rsidRDefault="00CB1CF2" w:rsidP="00CB1CF2">
            <w:pPr>
              <w:pStyle w:val="texto0"/>
              <w:ind w:firstLine="0"/>
              <w:rPr>
                <w:rFonts w:ascii="Verdana" w:hAnsi="Verdana"/>
                <w:sz w:val="16"/>
                <w:szCs w:val="16"/>
              </w:rPr>
            </w:pPr>
            <w:r w:rsidRPr="00F01347">
              <w:rPr>
                <w:rFonts w:ascii="Verdana" w:hAnsi="Verdana"/>
                <w:sz w:val="16"/>
                <w:szCs w:val="16"/>
              </w:rPr>
              <w:t>La columna de intercambio catiónico debe prepararse cada vez que se realice un lote. No instale la columna de intercambio catiónico en esta parte del procedimiento. Se debe instalar con la bomba en funcionamiento para evitar la entrada de aire en ella.</w:t>
            </w:r>
          </w:p>
        </w:tc>
        <w:tc>
          <w:tcPr>
            <w:tcW w:w="4675" w:type="dxa"/>
          </w:tcPr>
          <w:p w14:paraId="01C66A20" w14:textId="616DB42A" w:rsidR="00CB1CF2" w:rsidRPr="00F01347" w:rsidRDefault="00CB1CF2" w:rsidP="00CB1CF2">
            <w:pPr>
              <w:pStyle w:val="texto0"/>
              <w:ind w:firstLine="0"/>
              <w:rPr>
                <w:rFonts w:ascii="Verdana" w:hAnsi="Verdana"/>
                <w:sz w:val="16"/>
                <w:szCs w:val="16"/>
                <w:lang w:val="en-US"/>
              </w:rPr>
            </w:pPr>
            <w:r w:rsidRPr="00F01347">
              <w:rPr>
                <w:rFonts w:ascii="Verdana" w:hAnsi="Verdana"/>
                <w:sz w:val="16"/>
                <w:szCs w:val="16"/>
                <w:lang w:val="en-US"/>
              </w:rPr>
              <w:t>The cation exchange column must be prepared each time a batch is made. Do not install the cation exchange column in this part of the procedure. It must be installed with the pump running to prevent air from entering it.</w:t>
            </w:r>
          </w:p>
        </w:tc>
      </w:tr>
      <w:tr w:rsidR="00CB1CF2" w:rsidRPr="00F01347" w14:paraId="522314F7" w14:textId="065E0A90" w:rsidTr="00F53B4D">
        <w:tc>
          <w:tcPr>
            <w:tcW w:w="4675" w:type="dxa"/>
          </w:tcPr>
          <w:p w14:paraId="44823474" w14:textId="77777777" w:rsidR="00CB1CF2" w:rsidRPr="00F01347" w:rsidRDefault="00CB1CF2" w:rsidP="00CB1CF2">
            <w:pPr>
              <w:pStyle w:val="texto0"/>
              <w:ind w:firstLine="0"/>
              <w:rPr>
                <w:rFonts w:ascii="Verdana" w:hAnsi="Verdana"/>
                <w:sz w:val="16"/>
                <w:szCs w:val="16"/>
              </w:rPr>
            </w:pPr>
            <w:r w:rsidRPr="00F01347">
              <w:rPr>
                <w:rFonts w:ascii="Verdana" w:hAnsi="Verdana"/>
                <w:sz w:val="16"/>
                <w:szCs w:val="16"/>
              </w:rPr>
              <w:t xml:space="preserve">Tomar aproximadamente 0.5 g de resina de intercambio catiónico Bio-Rex 70 (forma sódica) y lavarla varias veces en un vaso de precipitados de 100 </w:t>
            </w:r>
            <w:proofErr w:type="spellStart"/>
            <w:r w:rsidRPr="00F01347">
              <w:rPr>
                <w:rFonts w:ascii="Verdana" w:hAnsi="Verdana"/>
                <w:sz w:val="16"/>
                <w:szCs w:val="16"/>
              </w:rPr>
              <w:t>mL</w:t>
            </w:r>
            <w:proofErr w:type="spellEnd"/>
            <w:r w:rsidRPr="00F01347">
              <w:rPr>
                <w:rFonts w:ascii="Verdana" w:hAnsi="Verdana"/>
                <w:sz w:val="16"/>
                <w:szCs w:val="16"/>
              </w:rPr>
              <w:t xml:space="preserve"> con agua desionizada. Decantar cada vez las partículas finas junto con el sobrenadante.</w:t>
            </w:r>
          </w:p>
        </w:tc>
        <w:tc>
          <w:tcPr>
            <w:tcW w:w="4675" w:type="dxa"/>
          </w:tcPr>
          <w:p w14:paraId="60C7DE79" w14:textId="2CB4AC91" w:rsidR="00CB1CF2" w:rsidRPr="00F01347" w:rsidRDefault="000C365C" w:rsidP="00CB1CF2">
            <w:pPr>
              <w:pStyle w:val="texto0"/>
              <w:ind w:firstLine="0"/>
              <w:rPr>
                <w:rFonts w:ascii="Verdana" w:hAnsi="Verdana"/>
                <w:sz w:val="16"/>
                <w:szCs w:val="16"/>
                <w:lang w:val="en-US"/>
              </w:rPr>
            </w:pPr>
            <w:r w:rsidRPr="00F01347">
              <w:rPr>
                <w:rFonts w:ascii="Verdana" w:hAnsi="Verdana"/>
                <w:sz w:val="16"/>
                <w:szCs w:val="16"/>
                <w:lang w:val="en-US"/>
              </w:rPr>
              <w:t>Take approximately 0.5 g of Bio-Rex 70 cation exchange resin (sodium form) and wash it several times in a 100 mL beaker with deionized water. Decant the fine particles each time together with the supernatant.</w:t>
            </w:r>
          </w:p>
        </w:tc>
      </w:tr>
      <w:tr w:rsidR="00CB1CF2" w:rsidRPr="00F01347" w14:paraId="32DB2A06" w14:textId="388A4B7D" w:rsidTr="00F53B4D">
        <w:tc>
          <w:tcPr>
            <w:tcW w:w="4675" w:type="dxa"/>
          </w:tcPr>
          <w:p w14:paraId="26E824DE" w14:textId="77777777" w:rsidR="00CB1CF2" w:rsidRPr="00F01347" w:rsidRDefault="00CB1CF2" w:rsidP="00CB1CF2">
            <w:pPr>
              <w:pStyle w:val="texto0"/>
              <w:ind w:firstLine="0"/>
              <w:rPr>
                <w:rFonts w:ascii="Verdana" w:hAnsi="Verdana"/>
                <w:sz w:val="16"/>
                <w:szCs w:val="16"/>
              </w:rPr>
            </w:pPr>
            <w:r w:rsidRPr="00F01347">
              <w:rPr>
                <w:rFonts w:ascii="Verdana" w:hAnsi="Verdana"/>
                <w:sz w:val="16"/>
                <w:szCs w:val="16"/>
              </w:rPr>
              <w:t xml:space="preserve">Añadir 100 </w:t>
            </w:r>
            <w:proofErr w:type="spellStart"/>
            <w:r w:rsidRPr="00F01347">
              <w:rPr>
                <w:rFonts w:ascii="Verdana" w:hAnsi="Verdana"/>
                <w:sz w:val="16"/>
                <w:szCs w:val="16"/>
              </w:rPr>
              <w:t>mL</w:t>
            </w:r>
            <w:proofErr w:type="spellEnd"/>
            <w:r w:rsidRPr="00F01347">
              <w:rPr>
                <w:rFonts w:ascii="Verdana" w:hAnsi="Verdana"/>
                <w:sz w:val="16"/>
                <w:szCs w:val="16"/>
              </w:rPr>
              <w:t xml:space="preserve"> de agua desionizada y someter a un ultrasonido por 20 minutos.</w:t>
            </w:r>
          </w:p>
        </w:tc>
        <w:tc>
          <w:tcPr>
            <w:tcW w:w="4675" w:type="dxa"/>
          </w:tcPr>
          <w:p w14:paraId="2C7EBD19" w14:textId="1540CAF3" w:rsidR="00CB1CF2" w:rsidRPr="00F01347" w:rsidRDefault="00CB1CF2" w:rsidP="00CB1CF2">
            <w:pPr>
              <w:pStyle w:val="texto0"/>
              <w:ind w:firstLine="0"/>
              <w:rPr>
                <w:rFonts w:ascii="Verdana" w:hAnsi="Verdana"/>
                <w:sz w:val="16"/>
                <w:szCs w:val="16"/>
                <w:lang w:val="en-US"/>
              </w:rPr>
            </w:pPr>
            <w:r w:rsidRPr="00F01347">
              <w:rPr>
                <w:rFonts w:ascii="Verdana" w:hAnsi="Verdana"/>
                <w:sz w:val="16"/>
                <w:szCs w:val="16"/>
                <w:lang w:val="en-US"/>
              </w:rPr>
              <w:t>Add 100 mL of deionized water and ultrasound for 20 minutes.</w:t>
            </w:r>
          </w:p>
        </w:tc>
      </w:tr>
      <w:tr w:rsidR="00CB1CF2" w:rsidRPr="00F01347" w14:paraId="0763BC61" w14:textId="401C9232" w:rsidTr="00F53B4D">
        <w:tc>
          <w:tcPr>
            <w:tcW w:w="4675" w:type="dxa"/>
          </w:tcPr>
          <w:p w14:paraId="1CE7E5B3" w14:textId="77777777" w:rsidR="00CB1CF2" w:rsidRPr="00F01347" w:rsidRDefault="00CB1CF2" w:rsidP="00CB1CF2">
            <w:pPr>
              <w:pStyle w:val="texto0"/>
              <w:ind w:firstLine="0"/>
              <w:rPr>
                <w:rFonts w:ascii="Verdana" w:hAnsi="Verdana"/>
                <w:sz w:val="16"/>
                <w:szCs w:val="16"/>
              </w:rPr>
            </w:pPr>
            <w:r w:rsidRPr="00F01347">
              <w:rPr>
                <w:rFonts w:ascii="Verdana" w:hAnsi="Verdana"/>
                <w:sz w:val="16"/>
                <w:szCs w:val="16"/>
              </w:rPr>
              <w:t xml:space="preserve">Desconectar una de las tuercas en los extremos de la columna de polipropileno de la junta de ¼-28 (Fig. B.11.2-3, de este Apéndice). Con cuidado retire el tapón poroso o </w:t>
            </w:r>
            <w:proofErr w:type="spellStart"/>
            <w:r w:rsidRPr="00F01347">
              <w:rPr>
                <w:rFonts w:ascii="Verdana" w:hAnsi="Verdana"/>
                <w:sz w:val="16"/>
                <w:szCs w:val="16"/>
              </w:rPr>
              <w:t>frit</w:t>
            </w:r>
            <w:proofErr w:type="spellEnd"/>
            <w:r w:rsidRPr="00F01347">
              <w:rPr>
                <w:rFonts w:ascii="Verdana" w:hAnsi="Verdana"/>
                <w:sz w:val="16"/>
                <w:szCs w:val="16"/>
              </w:rPr>
              <w:t xml:space="preserve"> (No. de parte A000947). El otro extremo de la columna debe estar cerrado con el tapón poroso, la tuerca y la junta correspondientes.</w:t>
            </w:r>
          </w:p>
        </w:tc>
        <w:tc>
          <w:tcPr>
            <w:tcW w:w="4675" w:type="dxa"/>
          </w:tcPr>
          <w:p w14:paraId="232161EE" w14:textId="71B6904F" w:rsidR="00CB1CF2" w:rsidRPr="00F01347" w:rsidRDefault="00CB1CF2" w:rsidP="00CB1CF2">
            <w:pPr>
              <w:pStyle w:val="texto0"/>
              <w:ind w:firstLine="0"/>
              <w:rPr>
                <w:rFonts w:ascii="Verdana" w:hAnsi="Verdana"/>
                <w:sz w:val="16"/>
                <w:szCs w:val="16"/>
                <w:lang w:val="en-US"/>
              </w:rPr>
            </w:pPr>
            <w:r w:rsidRPr="00F01347">
              <w:rPr>
                <w:rFonts w:ascii="Verdana" w:hAnsi="Verdana"/>
                <w:sz w:val="16"/>
                <w:szCs w:val="16"/>
                <w:lang w:val="en-US"/>
              </w:rPr>
              <w:t xml:space="preserve">Disconnect one of the nuts at the ends of the polypropylene column from the ¼-28 joint (Fig. B.11.2-3, of this Appendix). Carefully remove the porous plug or </w:t>
            </w:r>
            <w:proofErr w:type="gramStart"/>
            <w:r w:rsidRPr="00F01347">
              <w:rPr>
                <w:rFonts w:ascii="Verdana" w:hAnsi="Verdana"/>
                <w:sz w:val="16"/>
                <w:szCs w:val="16"/>
                <w:lang w:val="en-US"/>
              </w:rPr>
              <w:t>frit</w:t>
            </w:r>
            <w:proofErr w:type="gramEnd"/>
            <w:r w:rsidRPr="00F01347">
              <w:rPr>
                <w:rFonts w:ascii="Verdana" w:hAnsi="Verdana"/>
                <w:sz w:val="16"/>
                <w:szCs w:val="16"/>
                <w:lang w:val="en-US"/>
              </w:rPr>
              <w:t xml:space="preserve"> (part no. A000947). The other end of the column must be closed with the corresponding porous plug, </w:t>
            </w:r>
            <w:proofErr w:type="gramStart"/>
            <w:r w:rsidRPr="00F01347">
              <w:rPr>
                <w:rFonts w:ascii="Verdana" w:hAnsi="Verdana"/>
                <w:sz w:val="16"/>
                <w:szCs w:val="16"/>
                <w:lang w:val="en-US"/>
              </w:rPr>
              <w:t>nut</w:t>
            </w:r>
            <w:proofErr w:type="gramEnd"/>
            <w:r w:rsidRPr="00F01347">
              <w:rPr>
                <w:rFonts w:ascii="Verdana" w:hAnsi="Verdana"/>
                <w:sz w:val="16"/>
                <w:szCs w:val="16"/>
                <w:lang w:val="en-US"/>
              </w:rPr>
              <w:t xml:space="preserve"> and gasket.</w:t>
            </w:r>
          </w:p>
        </w:tc>
      </w:tr>
    </w:tbl>
    <w:p w14:paraId="5C41390C" w14:textId="7E3B045B" w:rsidR="00A74CDF" w:rsidRPr="00F01347" w:rsidRDefault="00471638" w:rsidP="003A601B">
      <w:pPr>
        <w:pStyle w:val="texto0"/>
        <w:spacing w:line="240" w:lineRule="auto"/>
        <w:ind w:firstLine="0"/>
        <w:jc w:val="center"/>
        <w:rPr>
          <w:rFonts w:ascii="Verdana" w:hAnsi="Verdana"/>
          <w:sz w:val="16"/>
          <w:szCs w:val="16"/>
        </w:rPr>
      </w:pPr>
      <w:r w:rsidRPr="00F01347">
        <w:rPr>
          <w:rFonts w:ascii="Verdana" w:hAnsi="Verdana"/>
          <w:noProof/>
          <w:sz w:val="16"/>
          <w:szCs w:val="16"/>
        </w:rPr>
        <w:drawing>
          <wp:inline distT="0" distB="0" distL="0" distR="0" wp14:anchorId="3927DC57" wp14:editId="0E6F948B">
            <wp:extent cx="4686300" cy="2924175"/>
            <wp:effectExtent l="0" t="0" r="0" b="0"/>
            <wp:docPr id="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686300" cy="2924175"/>
                    </a:xfrm>
                    <a:prstGeom prst="rect">
                      <a:avLst/>
                    </a:prstGeom>
                    <a:noFill/>
                    <a:ln>
                      <a:noFill/>
                    </a:ln>
                  </pic:spPr>
                </pic:pic>
              </a:graphicData>
            </a:graphic>
          </wp:inline>
        </w:drawing>
      </w:r>
    </w:p>
    <w:p w14:paraId="42C55A27" w14:textId="77777777" w:rsidR="004F1987" w:rsidRPr="00F01347" w:rsidRDefault="004F1987" w:rsidP="003A601B">
      <w:pPr>
        <w:pStyle w:val="texto0"/>
        <w:spacing w:line="240" w:lineRule="auto"/>
        <w:ind w:firstLine="0"/>
        <w:jc w:val="center"/>
        <w:rPr>
          <w:rFonts w:ascii="Verdana" w:hAnsi="Verdana"/>
          <w:sz w:val="16"/>
          <w:szCs w:val="16"/>
        </w:rPr>
      </w:pPr>
    </w:p>
    <w:p w14:paraId="7DA97265" w14:textId="77777777" w:rsidR="004F1987" w:rsidRPr="00F01347" w:rsidRDefault="004F1987" w:rsidP="003A601B">
      <w:pPr>
        <w:pStyle w:val="texto0"/>
        <w:spacing w:line="240" w:lineRule="auto"/>
        <w:ind w:firstLine="0"/>
        <w:jc w:val="center"/>
        <w:rPr>
          <w:rFonts w:ascii="Verdana" w:hAnsi="Verdana"/>
          <w:sz w:val="16"/>
          <w:szCs w:val="16"/>
        </w:rPr>
      </w:pPr>
    </w:p>
    <w:p w14:paraId="7296BFB6" w14:textId="77777777" w:rsidR="004F1987" w:rsidRPr="00F01347" w:rsidRDefault="004F1987" w:rsidP="003A601B">
      <w:pPr>
        <w:pStyle w:val="texto0"/>
        <w:spacing w:line="240" w:lineRule="auto"/>
        <w:ind w:firstLine="0"/>
        <w:jc w:val="center"/>
        <w:rPr>
          <w:rFonts w:ascii="Verdana" w:hAnsi="Verdana"/>
          <w:sz w:val="16"/>
          <w:szCs w:val="16"/>
        </w:rPr>
      </w:pPr>
    </w:p>
    <w:p w14:paraId="366C6CBF" w14:textId="77777777" w:rsidR="004F1987" w:rsidRPr="00F01347" w:rsidRDefault="004F1987" w:rsidP="003A601B">
      <w:pPr>
        <w:pStyle w:val="texto0"/>
        <w:spacing w:line="240" w:lineRule="auto"/>
        <w:ind w:firstLine="0"/>
        <w:jc w:val="center"/>
        <w:rPr>
          <w:rFonts w:ascii="Verdana" w:hAnsi="Verdana"/>
          <w:sz w:val="16"/>
          <w:szCs w:val="16"/>
        </w:rPr>
      </w:pPr>
    </w:p>
    <w:p w14:paraId="7D15D6EF" w14:textId="77777777" w:rsidR="004F1987" w:rsidRPr="00F01347" w:rsidRDefault="004F1987" w:rsidP="003A601B">
      <w:pPr>
        <w:pStyle w:val="texto0"/>
        <w:spacing w:line="240" w:lineRule="auto"/>
        <w:ind w:firstLine="0"/>
        <w:jc w:val="center"/>
        <w:rPr>
          <w:rFonts w:ascii="Verdana" w:hAnsi="Verdana"/>
          <w:sz w:val="16"/>
          <w:szCs w:val="16"/>
        </w:rPr>
      </w:pPr>
    </w:p>
    <w:p w14:paraId="3BFDF9C1" w14:textId="77777777" w:rsidR="004F1987" w:rsidRPr="00F01347" w:rsidRDefault="004F1987" w:rsidP="003A601B">
      <w:pPr>
        <w:pStyle w:val="texto0"/>
        <w:spacing w:line="240" w:lineRule="auto"/>
        <w:ind w:firstLine="0"/>
        <w:jc w:val="center"/>
        <w:rPr>
          <w:rFonts w:ascii="Verdana" w:hAnsi="Verdana"/>
          <w:sz w:val="16"/>
          <w:szCs w:val="16"/>
        </w:rPr>
      </w:pPr>
    </w:p>
    <w:p w14:paraId="0CA8ED89" w14:textId="77777777" w:rsidR="004F1987" w:rsidRPr="00F01347" w:rsidRDefault="004F1987" w:rsidP="003A601B">
      <w:pPr>
        <w:pStyle w:val="texto0"/>
        <w:spacing w:line="240" w:lineRule="auto"/>
        <w:ind w:firstLine="0"/>
        <w:jc w:val="center"/>
        <w:rPr>
          <w:rFonts w:ascii="Verdana" w:hAnsi="Verdana"/>
          <w:sz w:val="16"/>
          <w:szCs w:val="16"/>
        </w:rPr>
      </w:pPr>
    </w:p>
    <w:p w14:paraId="5F26EAD3" w14:textId="77777777" w:rsidR="004F1987" w:rsidRPr="00F01347" w:rsidRDefault="004F1987" w:rsidP="003A601B">
      <w:pPr>
        <w:pStyle w:val="texto0"/>
        <w:spacing w:line="240" w:lineRule="auto"/>
        <w:ind w:firstLine="0"/>
        <w:jc w:val="center"/>
        <w:rPr>
          <w:rFonts w:ascii="Verdana" w:hAnsi="Verdana"/>
          <w:sz w:val="16"/>
          <w:szCs w:val="16"/>
        </w:rPr>
      </w:pPr>
    </w:p>
    <w:p w14:paraId="1D77C224" w14:textId="165FAC08" w:rsidR="004F1987" w:rsidRPr="00F01347" w:rsidRDefault="004F1987" w:rsidP="003A601B">
      <w:pPr>
        <w:pStyle w:val="texto0"/>
        <w:spacing w:line="240" w:lineRule="auto"/>
        <w:ind w:firstLine="0"/>
        <w:jc w:val="center"/>
        <w:rPr>
          <w:rFonts w:ascii="Verdana" w:hAnsi="Verdana"/>
          <w:sz w:val="16"/>
          <w:szCs w:val="16"/>
        </w:rPr>
      </w:pPr>
      <w:r w:rsidRPr="00F01347">
        <w:rPr>
          <w:noProof/>
        </w:rPr>
        <w:drawing>
          <wp:inline distT="0" distB="0" distL="0" distR="0" wp14:anchorId="6F577749" wp14:editId="2447861D">
            <wp:extent cx="4422371" cy="3121672"/>
            <wp:effectExtent l="0" t="0" r="0" b="2540"/>
            <wp:docPr id="1971506478" name="Picture 1" descr="A computer screen shot of a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06478" name="Picture 1" descr="A computer screen shot of a drawing&#10;&#10;Description automatically generated"/>
                    <pic:cNvPicPr/>
                  </pic:nvPicPr>
                  <pic:blipFill rotWithShape="1">
                    <a:blip r:embed="rId100"/>
                    <a:srcRect l="31236" t="32656" r="27544" b="15617"/>
                    <a:stretch/>
                  </pic:blipFill>
                  <pic:spPr bwMode="auto">
                    <a:xfrm>
                      <a:off x="0" y="0"/>
                      <a:ext cx="4455998" cy="3145409"/>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95410" w:rsidRPr="00F01347" w14:paraId="62747C9B" w14:textId="612C6E65" w:rsidTr="004F1987">
        <w:tc>
          <w:tcPr>
            <w:tcW w:w="4675" w:type="dxa"/>
          </w:tcPr>
          <w:p w14:paraId="30E87F9D" w14:textId="77777777" w:rsidR="00D95410" w:rsidRPr="00F01347" w:rsidRDefault="00D95410" w:rsidP="00D95410">
            <w:pPr>
              <w:pStyle w:val="texto0"/>
              <w:ind w:firstLine="0"/>
              <w:jc w:val="center"/>
              <w:rPr>
                <w:rFonts w:ascii="Verdana" w:hAnsi="Verdana"/>
                <w:sz w:val="16"/>
                <w:szCs w:val="16"/>
              </w:rPr>
            </w:pPr>
            <w:r w:rsidRPr="00F01347">
              <w:rPr>
                <w:rFonts w:ascii="Verdana" w:hAnsi="Verdana"/>
                <w:b/>
                <w:sz w:val="16"/>
                <w:szCs w:val="16"/>
              </w:rPr>
              <w:t>Figura B.11.2-3</w:t>
            </w:r>
            <w:r w:rsidRPr="00F01347">
              <w:rPr>
                <w:rFonts w:ascii="Verdana" w:hAnsi="Verdana"/>
                <w:sz w:val="16"/>
                <w:szCs w:val="16"/>
              </w:rPr>
              <w:t>. Partes de la columna de intercambio catiónico.</w:t>
            </w:r>
          </w:p>
        </w:tc>
        <w:tc>
          <w:tcPr>
            <w:tcW w:w="4675" w:type="dxa"/>
          </w:tcPr>
          <w:p w14:paraId="0093F8AE" w14:textId="2D8EA9FF" w:rsidR="00D95410" w:rsidRPr="00F01347" w:rsidRDefault="00D95410" w:rsidP="00D95410">
            <w:pPr>
              <w:pStyle w:val="texto0"/>
              <w:ind w:firstLine="0"/>
              <w:jc w:val="center"/>
              <w:rPr>
                <w:rFonts w:ascii="Verdana" w:hAnsi="Verdana"/>
                <w:b/>
                <w:sz w:val="16"/>
                <w:szCs w:val="16"/>
                <w:lang w:val="en-US"/>
              </w:rPr>
            </w:pPr>
            <w:r w:rsidRPr="00F01347">
              <w:rPr>
                <w:rFonts w:ascii="Verdana" w:hAnsi="Verdana"/>
                <w:b/>
                <w:sz w:val="16"/>
                <w:szCs w:val="16"/>
                <w:lang w:val="en-US"/>
              </w:rPr>
              <w:t>Figure B.11.2-3</w:t>
            </w:r>
            <w:r w:rsidR="003E1BA9" w:rsidRPr="00F01347">
              <w:rPr>
                <w:rFonts w:ascii="Verdana" w:hAnsi="Verdana"/>
                <w:b/>
                <w:sz w:val="16"/>
                <w:szCs w:val="16"/>
                <w:lang w:val="en-US"/>
              </w:rPr>
              <w:t>.</w:t>
            </w:r>
            <w:r w:rsidRPr="00F01347">
              <w:rPr>
                <w:rFonts w:ascii="Verdana" w:hAnsi="Verdana"/>
                <w:sz w:val="16"/>
                <w:szCs w:val="16"/>
                <w:lang w:val="en-US"/>
              </w:rPr>
              <w:t xml:space="preserve"> Parts of the cation exchange column.</w:t>
            </w:r>
          </w:p>
        </w:tc>
      </w:tr>
      <w:tr w:rsidR="00D95410" w:rsidRPr="00F01347" w14:paraId="241E585B" w14:textId="4314F459" w:rsidTr="004F1987">
        <w:tc>
          <w:tcPr>
            <w:tcW w:w="4675" w:type="dxa"/>
          </w:tcPr>
          <w:p w14:paraId="29DD2698" w14:textId="77777777" w:rsidR="00D95410" w:rsidRPr="00F01347" w:rsidRDefault="00D95410" w:rsidP="00D95410">
            <w:pPr>
              <w:pStyle w:val="texto0"/>
              <w:ind w:firstLine="0"/>
              <w:rPr>
                <w:rFonts w:ascii="Verdana" w:hAnsi="Verdana"/>
                <w:sz w:val="16"/>
                <w:szCs w:val="16"/>
              </w:rPr>
            </w:pPr>
            <w:r w:rsidRPr="00F01347">
              <w:rPr>
                <w:rFonts w:ascii="Verdana" w:hAnsi="Verdana"/>
                <w:sz w:val="16"/>
                <w:szCs w:val="16"/>
              </w:rPr>
              <w:t>Las referencias a partes específicas de marcas o números de catálogo se incluyen sólo como ejemplos y no implican aprobación de los productos.</w:t>
            </w:r>
          </w:p>
        </w:tc>
        <w:tc>
          <w:tcPr>
            <w:tcW w:w="4675" w:type="dxa"/>
          </w:tcPr>
          <w:p w14:paraId="15EED047" w14:textId="31B64785" w:rsidR="00D95410" w:rsidRPr="00F01347" w:rsidRDefault="00D95410" w:rsidP="00D95410">
            <w:pPr>
              <w:pStyle w:val="texto0"/>
              <w:ind w:firstLine="0"/>
              <w:rPr>
                <w:rFonts w:ascii="Verdana" w:hAnsi="Verdana"/>
                <w:sz w:val="16"/>
                <w:szCs w:val="16"/>
                <w:lang w:val="en-US"/>
              </w:rPr>
            </w:pPr>
            <w:r w:rsidRPr="00F01347">
              <w:rPr>
                <w:rFonts w:ascii="Verdana" w:hAnsi="Verdana"/>
                <w:sz w:val="16"/>
                <w:szCs w:val="16"/>
                <w:lang w:val="en-US"/>
              </w:rPr>
              <w:t>References to specific brand parts or catalog numbers are included as examples only and do not imply endorsement of the products.</w:t>
            </w:r>
          </w:p>
        </w:tc>
      </w:tr>
      <w:tr w:rsidR="00D95410" w:rsidRPr="00F01347" w14:paraId="4B917DC8" w14:textId="1E5D75EB" w:rsidTr="004F1987">
        <w:tc>
          <w:tcPr>
            <w:tcW w:w="4675" w:type="dxa"/>
          </w:tcPr>
          <w:p w14:paraId="3B306B4F"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 xml:space="preserve">Tomar con una jeringa de plástico de 20 </w:t>
            </w:r>
            <w:proofErr w:type="spellStart"/>
            <w:r w:rsidRPr="00F01347">
              <w:rPr>
                <w:rFonts w:ascii="Verdana" w:hAnsi="Verdana"/>
                <w:sz w:val="16"/>
                <w:szCs w:val="16"/>
              </w:rPr>
              <w:t>mL</w:t>
            </w:r>
            <w:proofErr w:type="spellEnd"/>
            <w:r w:rsidRPr="00F01347">
              <w:rPr>
                <w:rFonts w:ascii="Verdana" w:hAnsi="Verdana"/>
                <w:sz w:val="16"/>
                <w:szCs w:val="16"/>
              </w:rPr>
              <w:t xml:space="preserve"> o de mayor capacidad la resina de intercambio en suspensión y una vez llena, conectar la jeringa a la columna con ayuda del conector hembra “</w:t>
            </w:r>
            <w:proofErr w:type="spellStart"/>
            <w:r w:rsidRPr="00F01347">
              <w:rPr>
                <w:rFonts w:ascii="Verdana" w:hAnsi="Verdana"/>
                <w:sz w:val="16"/>
                <w:szCs w:val="16"/>
              </w:rPr>
              <w:t>Luer-Lok</w:t>
            </w:r>
            <w:proofErr w:type="spellEnd"/>
            <w:r w:rsidRPr="00F01347">
              <w:rPr>
                <w:rFonts w:ascii="Verdana" w:hAnsi="Verdana"/>
                <w:sz w:val="16"/>
                <w:szCs w:val="16"/>
              </w:rPr>
              <w:t>”.</w:t>
            </w:r>
          </w:p>
        </w:tc>
        <w:tc>
          <w:tcPr>
            <w:tcW w:w="4675" w:type="dxa"/>
          </w:tcPr>
          <w:p w14:paraId="02817B70" w14:textId="31FCF6A0"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mL or larger capacity plastic syringe and once full, connect the syringe to the column with the help of the “Luer-Lok” female connector.</w:t>
            </w:r>
          </w:p>
        </w:tc>
      </w:tr>
      <w:tr w:rsidR="00D95410" w:rsidRPr="00F01347" w14:paraId="54DD1A23" w14:textId="3CD22004" w:rsidTr="004F1987">
        <w:tc>
          <w:tcPr>
            <w:tcW w:w="4675" w:type="dxa"/>
          </w:tcPr>
          <w:p w14:paraId="27933175"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Colocar la jeringa en posición horizontal para que la resina no quede en la salida de ésta. Con cuidado presionar el émbolo de manera que la columna se llene de agua.</w:t>
            </w:r>
          </w:p>
        </w:tc>
        <w:tc>
          <w:tcPr>
            <w:tcW w:w="4675" w:type="dxa"/>
          </w:tcPr>
          <w:p w14:paraId="64231EE7" w14:textId="6836EB90"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Place the syringe in a horizontal position so that the resin does not remain at its exit. Carefully press the plunger so that the column fills with water.</w:t>
            </w:r>
          </w:p>
        </w:tc>
      </w:tr>
      <w:tr w:rsidR="00D95410" w:rsidRPr="00F01347" w14:paraId="6643A1E8" w14:textId="1BF4C37F" w:rsidTr="004F1987">
        <w:tc>
          <w:tcPr>
            <w:tcW w:w="4675" w:type="dxa"/>
          </w:tcPr>
          <w:p w14:paraId="4140993D"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Una vez que haya desplazado el aire del interior de la columna colocar la jeringa en posición vertical con lo que la resina comenzará a introducirse en la jeringa por gravedad. Si la resina deja de entrar en la columna agitar suavemente la jeringa o dar pequeños golpes en la base de la jeringa. Continuar hasta que la resina llene completamente la columna.</w:t>
            </w:r>
          </w:p>
        </w:tc>
        <w:tc>
          <w:tcPr>
            <w:tcW w:w="4675" w:type="dxa"/>
          </w:tcPr>
          <w:p w14:paraId="17FCA233" w14:textId="77977FFB"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Once the air inside the column</w:t>
            </w:r>
            <w:r w:rsidR="004F1987" w:rsidRPr="00F01347">
              <w:rPr>
                <w:rFonts w:ascii="Verdana" w:hAnsi="Verdana"/>
                <w:sz w:val="16"/>
                <w:szCs w:val="16"/>
                <w:lang w:val="en-US"/>
              </w:rPr>
              <w:t xml:space="preserve"> is </w:t>
            </w:r>
            <w:r w:rsidR="004F1987" w:rsidRPr="00F01347">
              <w:rPr>
                <w:rFonts w:ascii="Verdana" w:hAnsi="Verdana"/>
                <w:sz w:val="16"/>
                <w:szCs w:val="16"/>
                <w:lang w:val="en-US"/>
              </w:rPr>
              <w:t>displaced</w:t>
            </w:r>
            <w:r w:rsidRPr="00F01347">
              <w:rPr>
                <w:rFonts w:ascii="Verdana" w:hAnsi="Verdana"/>
                <w:sz w:val="16"/>
                <w:szCs w:val="16"/>
                <w:lang w:val="en-US"/>
              </w:rPr>
              <w:t>, place the syringe in a vertical position so that the resin will begin to be introduced into the syringe by gravity. If the resin stops entering the column, gently shake the syringe or tap the base of the syringe. Continue until the resin completely fills the column.</w:t>
            </w:r>
          </w:p>
        </w:tc>
      </w:tr>
      <w:tr w:rsidR="00D95410" w:rsidRPr="00F01347" w14:paraId="6A26481D" w14:textId="020EEAD9" w:rsidTr="004F1987">
        <w:tc>
          <w:tcPr>
            <w:tcW w:w="4675" w:type="dxa"/>
          </w:tcPr>
          <w:p w14:paraId="4BA73EF0"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Antes de retirar la jeringa, asegurarse de mantener el extremo opuesto de la manguera conectada a la columna en una posición más alta que el extremo de la columna por donde introdujo la resina. Esto con el fin de que cuando retire la jeringa, el agua fluya desde el interior de la columna y evite la entrada de aire.</w:t>
            </w:r>
          </w:p>
        </w:tc>
        <w:tc>
          <w:tcPr>
            <w:tcW w:w="4675" w:type="dxa"/>
          </w:tcPr>
          <w:p w14:paraId="115428A1" w14:textId="5068747B"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 xml:space="preserve">Before removing the syringe, be sure to keep the opposite end of the hose connected to the column in a higher position than the end of the column where </w:t>
            </w:r>
            <w:r w:rsidR="004A6BE5" w:rsidRPr="00F01347">
              <w:rPr>
                <w:rFonts w:ascii="Verdana" w:hAnsi="Verdana"/>
                <w:sz w:val="16"/>
                <w:szCs w:val="16"/>
                <w:lang w:val="en-US"/>
              </w:rPr>
              <w:t>one</w:t>
            </w:r>
            <w:r w:rsidRPr="00F01347">
              <w:rPr>
                <w:rFonts w:ascii="Verdana" w:hAnsi="Verdana"/>
                <w:sz w:val="16"/>
                <w:szCs w:val="16"/>
                <w:lang w:val="en-US"/>
              </w:rPr>
              <w:t xml:space="preserve"> introduced the resin. This is so that when the syringe</w:t>
            </w:r>
            <w:r w:rsidR="004F1987" w:rsidRPr="00F01347">
              <w:rPr>
                <w:rFonts w:ascii="Verdana" w:hAnsi="Verdana"/>
                <w:sz w:val="16"/>
                <w:szCs w:val="16"/>
                <w:lang w:val="en-US"/>
              </w:rPr>
              <w:t xml:space="preserve"> is removed</w:t>
            </w:r>
            <w:r w:rsidRPr="00F01347">
              <w:rPr>
                <w:rFonts w:ascii="Verdana" w:hAnsi="Verdana"/>
                <w:sz w:val="16"/>
                <w:szCs w:val="16"/>
                <w:lang w:val="en-US"/>
              </w:rPr>
              <w:t>, water flows from inside the column and prevents air from entering.</w:t>
            </w:r>
          </w:p>
        </w:tc>
      </w:tr>
      <w:tr w:rsidR="00D95410" w:rsidRPr="00F01347" w14:paraId="54ABBC21" w14:textId="36959F97" w:rsidTr="004F1987">
        <w:tc>
          <w:tcPr>
            <w:tcW w:w="4675" w:type="dxa"/>
          </w:tcPr>
          <w:p w14:paraId="59A972F3"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En caso de que quede aire atrapado en el interior de la columna, vaciarla y comenzar el procedimiento nuevamente.</w:t>
            </w:r>
          </w:p>
        </w:tc>
        <w:tc>
          <w:tcPr>
            <w:tcW w:w="4675" w:type="dxa"/>
          </w:tcPr>
          <w:p w14:paraId="2518238D" w14:textId="480F4190"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 xml:space="preserve">If air is trapped inside the column, empty </w:t>
            </w:r>
            <w:proofErr w:type="gramStart"/>
            <w:r w:rsidRPr="00F01347">
              <w:rPr>
                <w:rFonts w:ascii="Verdana" w:hAnsi="Verdana"/>
                <w:sz w:val="16"/>
                <w:szCs w:val="16"/>
                <w:lang w:val="en-US"/>
              </w:rPr>
              <w:t>it</w:t>
            </w:r>
            <w:proofErr w:type="gramEnd"/>
            <w:r w:rsidRPr="00F01347">
              <w:rPr>
                <w:rFonts w:ascii="Verdana" w:hAnsi="Verdana"/>
                <w:sz w:val="16"/>
                <w:szCs w:val="16"/>
                <w:lang w:val="en-US"/>
              </w:rPr>
              <w:t xml:space="preserve"> and start the procedure again.</w:t>
            </w:r>
          </w:p>
        </w:tc>
      </w:tr>
      <w:tr w:rsidR="00D95410" w:rsidRPr="00F01347" w14:paraId="1BFDC1FC" w14:textId="70F725BE" w:rsidTr="004F1987">
        <w:tc>
          <w:tcPr>
            <w:tcW w:w="4675" w:type="dxa"/>
          </w:tcPr>
          <w:p w14:paraId="5B5D0E63"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lastRenderedPageBreak/>
              <w:t>Retirar la jeringa junto con el conector hembra “</w:t>
            </w:r>
            <w:proofErr w:type="spellStart"/>
            <w:r w:rsidRPr="00F01347">
              <w:rPr>
                <w:rFonts w:ascii="Verdana" w:hAnsi="Verdana"/>
                <w:sz w:val="16"/>
                <w:szCs w:val="16"/>
              </w:rPr>
              <w:t>Luer-Lok</w:t>
            </w:r>
            <w:proofErr w:type="spellEnd"/>
            <w:r w:rsidRPr="00F01347">
              <w:rPr>
                <w:rFonts w:ascii="Verdana" w:hAnsi="Verdana"/>
                <w:sz w:val="16"/>
                <w:szCs w:val="16"/>
              </w:rPr>
              <w:t>”. Limpie los restos de resina que hayan quedado fuera de la columna de polipropileno.</w:t>
            </w:r>
          </w:p>
        </w:tc>
        <w:tc>
          <w:tcPr>
            <w:tcW w:w="4675" w:type="dxa"/>
          </w:tcPr>
          <w:p w14:paraId="546FDD7D" w14:textId="379B5AB6"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Remove the syringe along with the “Luer-Lok” female connector. Clean any remaining resin from the polypropylene column.</w:t>
            </w:r>
          </w:p>
        </w:tc>
      </w:tr>
      <w:tr w:rsidR="00D95410" w:rsidRPr="00F01347" w14:paraId="4DC8D931" w14:textId="50311CA8" w:rsidTr="004F1987">
        <w:tc>
          <w:tcPr>
            <w:tcW w:w="4675" w:type="dxa"/>
          </w:tcPr>
          <w:p w14:paraId="7107A81A"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 xml:space="preserve">Con cuidado colocar el tapón poroso </w:t>
            </w:r>
            <w:proofErr w:type="spellStart"/>
            <w:r w:rsidRPr="00F01347">
              <w:rPr>
                <w:rFonts w:ascii="Verdana" w:hAnsi="Verdana"/>
                <w:sz w:val="16"/>
                <w:szCs w:val="16"/>
              </w:rPr>
              <w:t>frit</w:t>
            </w:r>
            <w:proofErr w:type="spellEnd"/>
            <w:r w:rsidRPr="00F01347">
              <w:rPr>
                <w:rFonts w:ascii="Verdana" w:hAnsi="Verdana"/>
                <w:sz w:val="16"/>
                <w:szCs w:val="16"/>
              </w:rPr>
              <w:t xml:space="preserve"> dentro de la contera y reestablezca las conexiones de la tuerca con la junta.</w:t>
            </w:r>
          </w:p>
        </w:tc>
        <w:tc>
          <w:tcPr>
            <w:tcW w:w="4675" w:type="dxa"/>
          </w:tcPr>
          <w:p w14:paraId="072529F5" w14:textId="6A97750D"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Carefully place the frit porous plug inside the ferrule and reestablish the connections of the nut with the gasket.</w:t>
            </w:r>
          </w:p>
        </w:tc>
      </w:tr>
      <w:tr w:rsidR="00D95410" w:rsidRPr="00F01347" w14:paraId="33D385CD" w14:textId="62F929D3" w:rsidTr="004F1987">
        <w:tc>
          <w:tcPr>
            <w:tcW w:w="4675" w:type="dxa"/>
          </w:tcPr>
          <w:p w14:paraId="2D410E6F"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Instalar de la columna de intercambio catiónico. Para evitar la entrada de aire en la columna de intercambio catiónico, instálela con la bomba en funcionamiento.</w:t>
            </w:r>
          </w:p>
        </w:tc>
        <w:tc>
          <w:tcPr>
            <w:tcW w:w="4675" w:type="dxa"/>
          </w:tcPr>
          <w:p w14:paraId="0BC672ED" w14:textId="4F7262C4"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Install the cation exchange column. To prevent air from entering the cation exchange column, install it with the pump running.</w:t>
            </w:r>
          </w:p>
        </w:tc>
      </w:tr>
      <w:tr w:rsidR="00D95410" w:rsidRPr="00F01347" w14:paraId="05CF11E5" w14:textId="3033190E" w:rsidTr="004F1987">
        <w:tc>
          <w:tcPr>
            <w:tcW w:w="4675" w:type="dxa"/>
          </w:tcPr>
          <w:p w14:paraId="54C0DC44"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Una vez que haya obtenido una línea base estable con todos los reactivos fluyendo por el sistema y con la bomba en funcionamiento, desconectar la tuerca que se encuentra entre los desburbujeadores conectados a los puertos 2 y 10 del cartucho dejando la junta conectada a la tuerca que viene del puerto 2 (o sus equivalentes).</w:t>
            </w:r>
          </w:p>
        </w:tc>
        <w:tc>
          <w:tcPr>
            <w:tcW w:w="4675" w:type="dxa"/>
          </w:tcPr>
          <w:p w14:paraId="3354F040" w14:textId="5A5CCA90"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 xml:space="preserve">Once a stable baseline </w:t>
            </w:r>
            <w:r w:rsidR="00594302" w:rsidRPr="00F01347">
              <w:rPr>
                <w:rFonts w:ascii="Verdana" w:hAnsi="Verdana"/>
                <w:sz w:val="16"/>
                <w:szCs w:val="16"/>
                <w:lang w:val="en-US"/>
              </w:rPr>
              <w:t xml:space="preserve">is </w:t>
            </w:r>
            <w:r w:rsidR="00594302" w:rsidRPr="00F01347">
              <w:rPr>
                <w:rFonts w:ascii="Verdana" w:hAnsi="Verdana"/>
                <w:sz w:val="16"/>
                <w:szCs w:val="16"/>
                <w:lang w:val="en-US"/>
              </w:rPr>
              <w:t>obtained</w:t>
            </w:r>
            <w:r w:rsidR="00594302" w:rsidRPr="00F01347">
              <w:rPr>
                <w:rFonts w:ascii="Verdana" w:hAnsi="Verdana"/>
                <w:sz w:val="16"/>
                <w:szCs w:val="16"/>
                <w:lang w:val="en-US"/>
              </w:rPr>
              <w:t xml:space="preserve"> </w:t>
            </w:r>
            <w:r w:rsidRPr="00F01347">
              <w:rPr>
                <w:rFonts w:ascii="Verdana" w:hAnsi="Verdana"/>
                <w:sz w:val="16"/>
                <w:szCs w:val="16"/>
                <w:lang w:val="en-US"/>
              </w:rPr>
              <w:t>with all reagents flowing through the system and with the pump running, disconnect the nut that is between the debubblers connected to ports 2 and 10 of the cartridge leaving the gasket connected to the nut that comes from port 2 (or equivalent).</w:t>
            </w:r>
          </w:p>
        </w:tc>
      </w:tr>
      <w:tr w:rsidR="00D95410" w:rsidRPr="00F01347" w14:paraId="1472B91B" w14:textId="572B8B27" w:rsidTr="004F1987">
        <w:tc>
          <w:tcPr>
            <w:tcW w:w="4675" w:type="dxa"/>
          </w:tcPr>
          <w:p w14:paraId="73EE34F6"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Retirar la junta de la entrada de la columna de intercambio ya preparada (el extremo que permaneció cerrado con el tapón poroso al momento de empacarla). Introducir y asegurar esta tuerca de la columna a la junta que viene del puerto 2.</w:t>
            </w:r>
          </w:p>
        </w:tc>
        <w:tc>
          <w:tcPr>
            <w:tcW w:w="4675" w:type="dxa"/>
          </w:tcPr>
          <w:p w14:paraId="3C864996" w14:textId="301DD1FF"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Remove the gasket from the inlet of the already prepared exchange column (the end that remained closed with the porous plug at the time of packaging). Insert and secure this column nut to the gasket that comes from port 2.</w:t>
            </w:r>
          </w:p>
        </w:tc>
      </w:tr>
      <w:tr w:rsidR="00D95410" w:rsidRPr="00F01347" w14:paraId="35B6549B" w14:textId="11828326" w:rsidTr="004F1987">
        <w:tc>
          <w:tcPr>
            <w:tcW w:w="4675" w:type="dxa"/>
          </w:tcPr>
          <w:p w14:paraId="1033FE7A"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Retirar la tuerca en el otro extremo de la columna de intercambio dejando la junta conectada a ésta. Conectar aquí la tuerca en la manguera que va al puerto 10.</w:t>
            </w:r>
          </w:p>
        </w:tc>
        <w:tc>
          <w:tcPr>
            <w:tcW w:w="4675" w:type="dxa"/>
          </w:tcPr>
          <w:p w14:paraId="56EE105C" w14:textId="030DE8CD"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Remove the nut on the other end of the exchange column leaving the gasket connected to it. Connect the nut on the hose that goes to port 10 here.</w:t>
            </w:r>
          </w:p>
        </w:tc>
      </w:tr>
      <w:tr w:rsidR="00D95410" w:rsidRPr="00F01347" w14:paraId="42BFA49A" w14:textId="39275F59" w:rsidTr="004F1987">
        <w:tc>
          <w:tcPr>
            <w:tcW w:w="4675" w:type="dxa"/>
          </w:tcPr>
          <w:p w14:paraId="2ED88052"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Dejar que se estabilice el sistema (lo cual requiere de aproximadamente 20 minutos) y verifique que no entre aire en la columna de intercambio catiónico.</w:t>
            </w:r>
          </w:p>
        </w:tc>
        <w:tc>
          <w:tcPr>
            <w:tcW w:w="4675" w:type="dxa"/>
          </w:tcPr>
          <w:p w14:paraId="3681B45F" w14:textId="47A8A6B0"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Allow the system to stabilize (which requires approximately 20 minutes) and verify that no air enters the cation exchange column.</w:t>
            </w:r>
          </w:p>
        </w:tc>
      </w:tr>
      <w:tr w:rsidR="00D95410" w:rsidRPr="00F01347" w14:paraId="0DCC43DE" w14:textId="2CB91EB5" w:rsidTr="004F1987">
        <w:tc>
          <w:tcPr>
            <w:tcW w:w="4675" w:type="dxa"/>
          </w:tcPr>
          <w:p w14:paraId="4D1A877A"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Verifique nuevamente las condiciones de la línea base.</w:t>
            </w:r>
          </w:p>
        </w:tc>
        <w:tc>
          <w:tcPr>
            <w:tcW w:w="4675" w:type="dxa"/>
          </w:tcPr>
          <w:p w14:paraId="54DBBF86" w14:textId="2C0F79D8"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Check the baseline conditions again.</w:t>
            </w:r>
          </w:p>
        </w:tc>
      </w:tr>
      <w:tr w:rsidR="00D95410" w:rsidRPr="00F01347" w14:paraId="6C699BEF" w14:textId="2BD942C9" w:rsidTr="004F1987">
        <w:tc>
          <w:tcPr>
            <w:tcW w:w="4675" w:type="dxa"/>
          </w:tcPr>
          <w:p w14:paraId="70544861"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Las referencias a partes específicas de marcas o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Pr>
          <w:p w14:paraId="48E3EFDC" w14:textId="68C21E05"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References to specific brand parts or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D95410" w:rsidRPr="00F01347" w14:paraId="742F950C" w14:textId="4FC451DC" w:rsidTr="004F1987">
        <w:tc>
          <w:tcPr>
            <w:tcW w:w="4675" w:type="dxa"/>
          </w:tcPr>
          <w:p w14:paraId="2A9012D7" w14:textId="77777777" w:rsidR="00D95410" w:rsidRPr="00F01347" w:rsidRDefault="00D95410" w:rsidP="00D95410">
            <w:pPr>
              <w:pStyle w:val="texto0"/>
              <w:spacing w:line="214" w:lineRule="exact"/>
              <w:ind w:firstLine="0"/>
              <w:rPr>
                <w:rFonts w:ascii="Verdana" w:hAnsi="Verdana"/>
                <w:b/>
                <w:sz w:val="16"/>
                <w:szCs w:val="16"/>
              </w:rPr>
            </w:pPr>
            <w:r w:rsidRPr="00F01347">
              <w:rPr>
                <w:rFonts w:ascii="Verdana" w:hAnsi="Verdana"/>
                <w:b/>
                <w:sz w:val="16"/>
                <w:szCs w:val="16"/>
              </w:rPr>
              <w:t>B.11.2.7.9 Procedimiento analítico</w:t>
            </w:r>
          </w:p>
        </w:tc>
        <w:tc>
          <w:tcPr>
            <w:tcW w:w="4675" w:type="dxa"/>
          </w:tcPr>
          <w:p w14:paraId="3985516B" w14:textId="7A069BC0" w:rsidR="00D95410" w:rsidRPr="00F01347" w:rsidRDefault="00D95410" w:rsidP="00D95410">
            <w:pPr>
              <w:pStyle w:val="texto0"/>
              <w:spacing w:line="214" w:lineRule="exact"/>
              <w:ind w:firstLine="0"/>
              <w:rPr>
                <w:rFonts w:ascii="Verdana" w:hAnsi="Verdana"/>
                <w:b/>
                <w:sz w:val="16"/>
                <w:szCs w:val="16"/>
                <w:lang w:val="en-US"/>
              </w:rPr>
            </w:pPr>
            <w:r w:rsidRPr="00F01347">
              <w:rPr>
                <w:rFonts w:ascii="Verdana" w:hAnsi="Verdana"/>
                <w:b/>
                <w:sz w:val="16"/>
                <w:szCs w:val="16"/>
                <w:lang w:val="en-US"/>
              </w:rPr>
              <w:t>B.11.2.7.9 Analytical procedure</w:t>
            </w:r>
          </w:p>
        </w:tc>
      </w:tr>
      <w:tr w:rsidR="00D95410" w:rsidRPr="00F01347" w14:paraId="27979A18" w14:textId="22C2CFE6" w:rsidTr="004F1987">
        <w:tc>
          <w:tcPr>
            <w:tcW w:w="4675" w:type="dxa"/>
          </w:tcPr>
          <w:p w14:paraId="6075F07B"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 xml:space="preserve">Colocar la(s) gradilla(s) con los estándares y las muestras en el </w:t>
            </w:r>
            <w:proofErr w:type="spellStart"/>
            <w:r w:rsidRPr="00F01347">
              <w:rPr>
                <w:rFonts w:ascii="Verdana" w:hAnsi="Verdana"/>
                <w:sz w:val="16"/>
                <w:szCs w:val="16"/>
              </w:rPr>
              <w:t>automuestreador</w:t>
            </w:r>
            <w:proofErr w:type="spellEnd"/>
            <w:r w:rsidRPr="00F01347">
              <w:rPr>
                <w:rFonts w:ascii="Verdana" w:hAnsi="Verdana"/>
                <w:sz w:val="16"/>
                <w:szCs w:val="16"/>
              </w:rPr>
              <w:t xml:space="preserve">. Verificar que las posiciones de los tubos coincidan con las especificadas en la secuencia de análisis. Los </w:t>
            </w:r>
            <w:proofErr w:type="spellStart"/>
            <w:r w:rsidRPr="00F01347">
              <w:rPr>
                <w:rFonts w:ascii="Verdana" w:hAnsi="Verdana"/>
                <w:sz w:val="16"/>
                <w:szCs w:val="16"/>
              </w:rPr>
              <w:t>calibrantes</w:t>
            </w:r>
            <w:proofErr w:type="spellEnd"/>
            <w:r w:rsidRPr="00F01347">
              <w:rPr>
                <w:rFonts w:ascii="Verdana" w:hAnsi="Verdana"/>
                <w:sz w:val="16"/>
                <w:szCs w:val="16"/>
              </w:rPr>
              <w:t>, blancos y muestras sintéticas deben tener la misma matriz que las muestras analizadas.</w:t>
            </w:r>
          </w:p>
        </w:tc>
        <w:tc>
          <w:tcPr>
            <w:tcW w:w="4675" w:type="dxa"/>
          </w:tcPr>
          <w:p w14:paraId="26AE7BC7" w14:textId="3C16AF39"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Place the rack(s) with the standards and samples in the autosampler</w:t>
            </w:r>
            <w:r w:rsidR="003E1BA9" w:rsidRPr="00F01347">
              <w:rPr>
                <w:rFonts w:ascii="Verdana" w:hAnsi="Verdana"/>
                <w:sz w:val="16"/>
                <w:szCs w:val="16"/>
                <w:lang w:val="en-US"/>
              </w:rPr>
              <w:t>.</w:t>
            </w:r>
            <w:r w:rsidRPr="00F01347">
              <w:rPr>
                <w:rFonts w:ascii="Verdana" w:hAnsi="Verdana"/>
                <w:sz w:val="16"/>
                <w:szCs w:val="16"/>
                <w:lang w:val="en-US"/>
              </w:rPr>
              <w:t xml:space="preserve"> Verify that the tube positions match those specified in the analysis sequence. Calibrants</w:t>
            </w:r>
            <w:r w:rsidR="003E1BA9" w:rsidRPr="00F01347">
              <w:rPr>
                <w:rFonts w:ascii="Verdana" w:hAnsi="Verdana"/>
                <w:sz w:val="16"/>
                <w:szCs w:val="16"/>
                <w:lang w:val="en-US"/>
              </w:rPr>
              <w:t>,</w:t>
            </w:r>
            <w:r w:rsidRPr="00F01347">
              <w:rPr>
                <w:rFonts w:ascii="Verdana" w:hAnsi="Verdana"/>
                <w:sz w:val="16"/>
                <w:szCs w:val="16"/>
                <w:lang w:val="en-US"/>
              </w:rPr>
              <w:t xml:space="preserve"> blanks and synthetic samples must have the same matrix as the samples analyzed</w:t>
            </w:r>
            <w:r w:rsidR="003E1BA9" w:rsidRPr="00F01347">
              <w:rPr>
                <w:rFonts w:ascii="Verdana" w:hAnsi="Verdana"/>
                <w:sz w:val="16"/>
                <w:szCs w:val="16"/>
                <w:lang w:val="en-US"/>
              </w:rPr>
              <w:t>.</w:t>
            </w:r>
          </w:p>
        </w:tc>
      </w:tr>
      <w:tr w:rsidR="00D95410" w:rsidRPr="00F01347" w14:paraId="44F06B1A" w14:textId="4EFBB241" w:rsidTr="004F1987">
        <w:tc>
          <w:tcPr>
            <w:tcW w:w="4675" w:type="dxa"/>
          </w:tcPr>
          <w:p w14:paraId="7DFF4469"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 xml:space="preserve">Iniciar el análisis presionando el botón que generalmente tiene el símbolo </w:t>
            </w:r>
            <w:r w:rsidRPr="00F01347">
              <w:rPr>
                <w:sz w:val="16"/>
                <w:szCs w:val="16"/>
              </w:rPr>
              <w:t>►</w:t>
            </w:r>
            <w:r w:rsidRPr="00F01347">
              <w:rPr>
                <w:rFonts w:ascii="Verdana" w:hAnsi="Verdana"/>
                <w:sz w:val="16"/>
                <w:szCs w:val="16"/>
              </w:rPr>
              <w:t xml:space="preserve"> (o su equivalente) ubicado en el margen izquierdo de la pantalla de obtención de datos. Esto inicia el análisis </w:t>
            </w:r>
            <w:proofErr w:type="gramStart"/>
            <w:r w:rsidRPr="00F01347">
              <w:rPr>
                <w:rFonts w:ascii="Verdana" w:hAnsi="Verdana"/>
                <w:sz w:val="16"/>
                <w:szCs w:val="16"/>
              </w:rPr>
              <w:t>de acuerdo a</w:t>
            </w:r>
            <w:proofErr w:type="gramEnd"/>
            <w:r w:rsidRPr="00F01347">
              <w:rPr>
                <w:rFonts w:ascii="Verdana" w:hAnsi="Verdana"/>
                <w:sz w:val="16"/>
                <w:szCs w:val="16"/>
              </w:rPr>
              <w:t xml:space="preserve"> la secuencia cargada.</w:t>
            </w:r>
          </w:p>
        </w:tc>
        <w:tc>
          <w:tcPr>
            <w:tcW w:w="4675" w:type="dxa"/>
          </w:tcPr>
          <w:p w14:paraId="28F248B9" w14:textId="00AAECDC"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t xml:space="preserve">Start the analysis by pressing the button that generally has the </w:t>
            </w:r>
            <w:r w:rsidRPr="00F01347">
              <w:rPr>
                <w:sz w:val="16"/>
                <w:szCs w:val="16"/>
                <w:lang w:val="en-US"/>
              </w:rPr>
              <w:t xml:space="preserve">► symbol </w:t>
            </w:r>
            <w:r w:rsidRPr="00F01347">
              <w:rPr>
                <w:rFonts w:ascii="Verdana" w:hAnsi="Verdana"/>
                <w:sz w:val="16"/>
                <w:szCs w:val="16"/>
                <w:lang w:val="en-US"/>
              </w:rPr>
              <w:t>(or its equivalent) located on the left side of the data collection screen. This starts the analysis according to the loaded sequence.</w:t>
            </w:r>
          </w:p>
        </w:tc>
      </w:tr>
      <w:tr w:rsidR="00D95410" w:rsidRPr="00F01347" w14:paraId="61B76346" w14:textId="089186B0" w:rsidTr="004F1987">
        <w:tc>
          <w:tcPr>
            <w:tcW w:w="4675" w:type="dxa"/>
          </w:tcPr>
          <w:p w14:paraId="5649A121"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t xml:space="preserve">De ser necesario, realizar las diluciones de las muestras que se encuentren fuera del intervalo de trabajo e inclúyalas al final de la secuencia, puede apoyarse de la prueba presuntiva de sulfato para determinar la posible dilución previa. Anexar también al final de la secuencia las muestras para las que se hayan obtenido resultados poco confiables debido a anomalías durante su análisis, </w:t>
            </w:r>
            <w:r w:rsidRPr="00F01347">
              <w:rPr>
                <w:rFonts w:ascii="Verdana" w:hAnsi="Verdana"/>
                <w:sz w:val="16"/>
                <w:szCs w:val="16"/>
              </w:rPr>
              <w:lastRenderedPageBreak/>
              <w:t>tal como el arrastre de la muestra anterior o el paso de alguna burbuja por el detector.</w:t>
            </w:r>
          </w:p>
        </w:tc>
        <w:tc>
          <w:tcPr>
            <w:tcW w:w="4675" w:type="dxa"/>
          </w:tcPr>
          <w:p w14:paraId="51E8C4EF" w14:textId="384D55CA" w:rsidR="00D95410" w:rsidRPr="00F01347" w:rsidRDefault="00D95410" w:rsidP="00D95410">
            <w:pPr>
              <w:pStyle w:val="texto0"/>
              <w:spacing w:line="214" w:lineRule="exact"/>
              <w:ind w:firstLine="0"/>
              <w:rPr>
                <w:rFonts w:ascii="Verdana" w:hAnsi="Verdana"/>
                <w:sz w:val="16"/>
                <w:szCs w:val="16"/>
                <w:lang w:val="en-US"/>
              </w:rPr>
            </w:pPr>
            <w:r w:rsidRPr="00F01347">
              <w:rPr>
                <w:rFonts w:ascii="Verdana" w:hAnsi="Verdana"/>
                <w:sz w:val="16"/>
                <w:szCs w:val="16"/>
                <w:lang w:val="en-US"/>
              </w:rPr>
              <w:lastRenderedPageBreak/>
              <w:t xml:space="preserve">If necessary, carry out dilutions of samples that are outside the working range and include them at the end of the sequence, using the presumptive sulfate test to determine the possible previous dilution. Also attach to the end of the sequence the samples for which unreliable results have been obtained due to anomalies during their analysis, such as the carryover of the </w:t>
            </w:r>
            <w:r w:rsidRPr="00F01347">
              <w:rPr>
                <w:rFonts w:ascii="Verdana" w:hAnsi="Verdana"/>
                <w:sz w:val="16"/>
                <w:szCs w:val="16"/>
                <w:lang w:val="en-US"/>
              </w:rPr>
              <w:lastRenderedPageBreak/>
              <w:t>previous sample or the passage of a bubble through the detector.</w:t>
            </w:r>
          </w:p>
        </w:tc>
      </w:tr>
      <w:tr w:rsidR="00D95410" w:rsidRPr="00F01347" w14:paraId="68C542BB" w14:textId="44348C33" w:rsidTr="004F1987">
        <w:tc>
          <w:tcPr>
            <w:tcW w:w="4675" w:type="dxa"/>
          </w:tcPr>
          <w:p w14:paraId="53687109" w14:textId="77777777" w:rsidR="00D95410" w:rsidRPr="00F01347" w:rsidRDefault="00D95410" w:rsidP="00D95410">
            <w:pPr>
              <w:pStyle w:val="texto0"/>
              <w:spacing w:line="214" w:lineRule="exact"/>
              <w:ind w:firstLine="0"/>
              <w:rPr>
                <w:rFonts w:ascii="Verdana" w:hAnsi="Verdana"/>
                <w:sz w:val="16"/>
                <w:szCs w:val="16"/>
              </w:rPr>
            </w:pPr>
            <w:r w:rsidRPr="00F01347">
              <w:rPr>
                <w:rFonts w:ascii="Verdana" w:hAnsi="Verdana"/>
                <w:sz w:val="16"/>
                <w:szCs w:val="16"/>
              </w:rPr>
              <w:lastRenderedPageBreak/>
              <w:t xml:space="preserve">Para anexar muestras a la secuencia abra la tabla durante el análisis del lote presionando el botón correspondiente ubicado en el margen izquierdo de la pantalla de obtención de datos e introduzca la información en las posiciones disponibles al final de la secuencia. Para realizar las diluciones utilice material verificado y/o calibrado, </w:t>
            </w:r>
            <w:proofErr w:type="gramStart"/>
            <w:r w:rsidRPr="00F01347">
              <w:rPr>
                <w:rFonts w:ascii="Verdana" w:hAnsi="Verdana"/>
                <w:sz w:val="16"/>
                <w:szCs w:val="16"/>
              </w:rPr>
              <w:t>en caso que</w:t>
            </w:r>
            <w:proofErr w:type="gramEnd"/>
            <w:r w:rsidRPr="00F01347">
              <w:rPr>
                <w:rFonts w:ascii="Verdana" w:hAnsi="Verdana"/>
                <w:sz w:val="16"/>
                <w:szCs w:val="16"/>
              </w:rPr>
              <w:t xml:space="preserve"> se presuma una concentración elevada de analito no debe hacer una dilución directa mayor a 20, ya que puede estar tomando una concentración de analito poco representativa y cometer un error en la dilución. En caso de hacer diluciones mayores a 20, se hace una serie de diluciones tomando como base la inicial dilución 20 que ya se realizó. No haga diluciones volumétricamente con material sin verificar.</w:t>
            </w:r>
          </w:p>
        </w:tc>
        <w:tc>
          <w:tcPr>
            <w:tcW w:w="4675" w:type="dxa"/>
          </w:tcPr>
          <w:p w14:paraId="2EF36695" w14:textId="26E24B1B" w:rsidR="00D95410" w:rsidRPr="00F01347" w:rsidRDefault="00A116E2" w:rsidP="00D95410">
            <w:pPr>
              <w:pStyle w:val="texto0"/>
              <w:spacing w:line="214" w:lineRule="exact"/>
              <w:ind w:firstLine="0"/>
              <w:rPr>
                <w:rFonts w:ascii="Verdana" w:hAnsi="Verdana"/>
                <w:sz w:val="16"/>
                <w:szCs w:val="16"/>
                <w:lang w:val="en-US"/>
              </w:rPr>
            </w:pPr>
            <w:proofErr w:type="gramStart"/>
            <w:r w:rsidRPr="00F01347">
              <w:rPr>
                <w:rFonts w:ascii="Verdana" w:hAnsi="Verdana"/>
                <w:sz w:val="16"/>
                <w:szCs w:val="16"/>
                <w:lang w:val="en-US"/>
              </w:rPr>
              <w:t>In order to</w:t>
            </w:r>
            <w:proofErr w:type="gramEnd"/>
            <w:r w:rsidR="00D95410" w:rsidRPr="00F01347">
              <w:rPr>
                <w:rFonts w:ascii="Verdana" w:hAnsi="Verdana"/>
                <w:sz w:val="16"/>
                <w:szCs w:val="16"/>
                <w:lang w:val="en-US"/>
              </w:rPr>
              <w:t xml:space="preserve"> add samples to the sequence, open the table during the batch analysis by pressing the corresponding button located on the left side of the data collection screen and enter the information in the positions available at the end of the sequence. To make the dilutions, use verified and/or calibrated material. If a high analyte concentration is assumed, </w:t>
            </w:r>
            <w:r w:rsidR="004A6BE5" w:rsidRPr="00F01347">
              <w:rPr>
                <w:rFonts w:ascii="Verdana" w:hAnsi="Verdana"/>
                <w:sz w:val="16"/>
                <w:szCs w:val="16"/>
                <w:lang w:val="en-US"/>
              </w:rPr>
              <w:t>one</w:t>
            </w:r>
            <w:r w:rsidR="00D95410" w:rsidRPr="00F01347">
              <w:rPr>
                <w:rFonts w:ascii="Verdana" w:hAnsi="Verdana"/>
                <w:sz w:val="16"/>
                <w:szCs w:val="16"/>
                <w:lang w:val="en-US"/>
              </w:rPr>
              <w:t xml:space="preserve"> should not make a direct dilution greater than 20, since </w:t>
            </w:r>
            <w:r w:rsidR="004A6BE5" w:rsidRPr="00F01347">
              <w:rPr>
                <w:rFonts w:ascii="Verdana" w:hAnsi="Verdana"/>
                <w:sz w:val="16"/>
                <w:szCs w:val="16"/>
                <w:lang w:val="en-US"/>
              </w:rPr>
              <w:t>one</w:t>
            </w:r>
            <w:r w:rsidR="00D95410" w:rsidRPr="00F01347">
              <w:rPr>
                <w:rFonts w:ascii="Verdana" w:hAnsi="Verdana"/>
                <w:sz w:val="16"/>
                <w:szCs w:val="16"/>
                <w:lang w:val="en-US"/>
              </w:rPr>
              <w:t xml:space="preserve"> may be taking an unrepresentative analyte concentration and make an error in the </w:t>
            </w:r>
            <w:r w:rsidRPr="00F01347">
              <w:rPr>
                <w:rFonts w:ascii="Verdana" w:hAnsi="Verdana"/>
                <w:sz w:val="16"/>
                <w:szCs w:val="16"/>
                <w:lang w:val="en-US"/>
              </w:rPr>
              <w:t>dilution.</w:t>
            </w:r>
            <w:r w:rsidR="00D95410" w:rsidRPr="00F01347">
              <w:rPr>
                <w:rFonts w:ascii="Verdana" w:hAnsi="Verdana"/>
                <w:sz w:val="16"/>
                <w:szCs w:val="16"/>
                <w:lang w:val="en-US"/>
              </w:rPr>
              <w:t xml:space="preserve"> If dilutions greater than 20 are made, a series of dilutions is made based on the initial 20 dilution that has already been made. Do not dilute volumetrically with unverified material.</w:t>
            </w:r>
          </w:p>
        </w:tc>
      </w:tr>
      <w:tr w:rsidR="00D95410" w:rsidRPr="00F01347" w14:paraId="2D8D0908" w14:textId="5C98807C" w:rsidTr="004F1987">
        <w:tc>
          <w:tcPr>
            <w:tcW w:w="4675" w:type="dxa"/>
          </w:tcPr>
          <w:p w14:paraId="729DDF51"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Una vez terminado el análisis, desmontar la columna de intercambio catiónico y reestablecer las conexiones de las tuercas con las juntas entre los puertos 2 y 10.</w:t>
            </w:r>
          </w:p>
        </w:tc>
        <w:tc>
          <w:tcPr>
            <w:tcW w:w="4675" w:type="dxa"/>
          </w:tcPr>
          <w:p w14:paraId="61860896" w14:textId="6D76F766"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Once the analysis is completed, disassemble the cation exchange </w:t>
            </w:r>
            <w:r w:rsidR="00A116E2" w:rsidRPr="00F01347">
              <w:rPr>
                <w:rFonts w:ascii="Verdana" w:hAnsi="Verdana"/>
                <w:sz w:val="16"/>
                <w:szCs w:val="16"/>
                <w:lang w:val="en-US"/>
              </w:rPr>
              <w:t>column,</w:t>
            </w:r>
            <w:r w:rsidRPr="00F01347">
              <w:rPr>
                <w:rFonts w:ascii="Verdana" w:hAnsi="Verdana"/>
                <w:sz w:val="16"/>
                <w:szCs w:val="16"/>
                <w:lang w:val="en-US"/>
              </w:rPr>
              <w:t xml:space="preserve"> and reestablish the connections of the nuts with the gaskets between ports 2 and 10.</w:t>
            </w:r>
          </w:p>
        </w:tc>
      </w:tr>
      <w:tr w:rsidR="00D95410" w:rsidRPr="00F01347" w14:paraId="1FA65B79" w14:textId="54C4B395" w:rsidTr="004F1987">
        <w:tc>
          <w:tcPr>
            <w:tcW w:w="4675" w:type="dxa"/>
          </w:tcPr>
          <w:p w14:paraId="16A0533F"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Hacer pasar durante 15 minutos agua desionizada por la línea de NaOH y del diluyente, y disolución de lavado por la línea del reactivo de AMT de la misma manera que se hizo al arrancar el equipo.</w:t>
            </w:r>
          </w:p>
        </w:tc>
        <w:tc>
          <w:tcPr>
            <w:tcW w:w="4675" w:type="dxa"/>
          </w:tcPr>
          <w:p w14:paraId="192A3A97" w14:textId="64341D27"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Pass deionized water through the NaOH and diluent line for 15 minutes, and wash solution through the AMT reagent line in the same way as was done when starting the equipment.</w:t>
            </w:r>
          </w:p>
        </w:tc>
      </w:tr>
      <w:tr w:rsidR="00D95410" w:rsidRPr="00F01347" w14:paraId="1D8F5063" w14:textId="0D2583A8" w:rsidTr="004F1987">
        <w:tc>
          <w:tcPr>
            <w:tcW w:w="4675" w:type="dxa"/>
          </w:tcPr>
          <w:p w14:paraId="4C1004A7"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Detener la bomba, libere las grapas de las mangueras en la bomba peristáltica, apagar el equipo y vaciar el recipiente de desechos.</w:t>
            </w:r>
          </w:p>
        </w:tc>
        <w:tc>
          <w:tcPr>
            <w:tcW w:w="4675" w:type="dxa"/>
          </w:tcPr>
          <w:p w14:paraId="73386DEA" w14:textId="3E4F5887"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Stop the pump, release the hose clips on the peristaltic pump, turn off the equipment and empty the waste container.</w:t>
            </w:r>
          </w:p>
        </w:tc>
      </w:tr>
      <w:tr w:rsidR="00D95410" w:rsidRPr="00F01347" w14:paraId="429F20F5" w14:textId="25A8C6EE" w:rsidTr="004F1987">
        <w:tc>
          <w:tcPr>
            <w:tcW w:w="4675" w:type="dxa"/>
          </w:tcPr>
          <w:p w14:paraId="1E0BB804" w14:textId="77777777" w:rsidR="00D95410" w:rsidRPr="00F01347" w:rsidRDefault="00D95410" w:rsidP="00D95410">
            <w:pPr>
              <w:pStyle w:val="texto0"/>
              <w:spacing w:line="220" w:lineRule="exact"/>
              <w:ind w:firstLine="0"/>
              <w:rPr>
                <w:rFonts w:ascii="Verdana" w:hAnsi="Verdana"/>
                <w:b/>
                <w:sz w:val="16"/>
                <w:szCs w:val="16"/>
              </w:rPr>
            </w:pPr>
            <w:r w:rsidRPr="00F01347">
              <w:rPr>
                <w:rFonts w:ascii="Verdana" w:hAnsi="Verdana"/>
                <w:b/>
                <w:sz w:val="16"/>
                <w:szCs w:val="16"/>
              </w:rPr>
              <w:t>B.11.2.7.10 Consideraciones operativas al procedimiento analítico</w:t>
            </w:r>
          </w:p>
        </w:tc>
        <w:tc>
          <w:tcPr>
            <w:tcW w:w="4675" w:type="dxa"/>
          </w:tcPr>
          <w:p w14:paraId="56E45261" w14:textId="05041A73" w:rsidR="00D95410" w:rsidRPr="00F01347" w:rsidRDefault="00D95410" w:rsidP="00D95410">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B.11.2.7.10 Operational considerations for the analytical procedure</w:t>
            </w:r>
          </w:p>
        </w:tc>
      </w:tr>
      <w:tr w:rsidR="00D95410" w:rsidRPr="00F01347" w14:paraId="020A558A" w14:textId="566928B9" w:rsidTr="004F1987">
        <w:tc>
          <w:tcPr>
            <w:tcW w:w="4675" w:type="dxa"/>
          </w:tcPr>
          <w:p w14:paraId="6DC036FC"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 xml:space="preserve">La determinación de sulfato con el método de azul de </w:t>
            </w:r>
            <w:proofErr w:type="spellStart"/>
            <w:r w:rsidRPr="00F01347">
              <w:rPr>
                <w:rFonts w:ascii="Verdana" w:hAnsi="Verdana"/>
                <w:sz w:val="16"/>
                <w:szCs w:val="16"/>
              </w:rPr>
              <w:t>metiltimol</w:t>
            </w:r>
            <w:proofErr w:type="spellEnd"/>
            <w:r w:rsidRPr="00F01347">
              <w:rPr>
                <w:rFonts w:ascii="Verdana" w:hAnsi="Verdana"/>
                <w:sz w:val="16"/>
                <w:szCs w:val="16"/>
              </w:rPr>
              <w:t xml:space="preserve"> es inherentemente ruidosa. Para reducir el ruido en la línea base se recomienda:</w:t>
            </w:r>
          </w:p>
        </w:tc>
        <w:tc>
          <w:tcPr>
            <w:tcW w:w="4675" w:type="dxa"/>
          </w:tcPr>
          <w:p w14:paraId="1B4C3785" w14:textId="0977545E"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Determination of sulfate with the methylthymol blue method is inherently noisy. To reduce noise in the baseline it is recommended:</w:t>
            </w:r>
          </w:p>
        </w:tc>
      </w:tr>
      <w:tr w:rsidR="00D95410" w:rsidRPr="00F01347" w14:paraId="1190A074" w14:textId="13F62FE4" w:rsidTr="004F1987">
        <w:tc>
          <w:tcPr>
            <w:tcW w:w="4675" w:type="dxa"/>
          </w:tcPr>
          <w:p w14:paraId="61804980"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Usar agua desionizada y/o desgasificada para la preparación de reactivos y para el enjuague del </w:t>
            </w:r>
            <w:proofErr w:type="spellStart"/>
            <w:r w:rsidRPr="00F01347">
              <w:rPr>
                <w:rFonts w:ascii="Verdana" w:hAnsi="Verdana"/>
                <w:sz w:val="16"/>
                <w:szCs w:val="16"/>
              </w:rPr>
              <w:t>automuestreador</w:t>
            </w:r>
            <w:proofErr w:type="spellEnd"/>
            <w:r w:rsidRPr="00F01347">
              <w:rPr>
                <w:rFonts w:ascii="Verdana" w:hAnsi="Verdana"/>
                <w:sz w:val="16"/>
                <w:szCs w:val="16"/>
              </w:rPr>
              <w:t>.</w:t>
            </w:r>
          </w:p>
        </w:tc>
        <w:tc>
          <w:tcPr>
            <w:tcW w:w="4675" w:type="dxa"/>
          </w:tcPr>
          <w:p w14:paraId="6697E7B6" w14:textId="42AFB48F"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Use deionized and/or degassed water for the preparation of reagents and for rinsing the autosampler</w:t>
            </w:r>
            <w:r w:rsidR="003E1BA9" w:rsidRPr="00F01347">
              <w:rPr>
                <w:rFonts w:ascii="Verdana" w:hAnsi="Verdana"/>
                <w:sz w:val="16"/>
                <w:szCs w:val="16"/>
                <w:lang w:val="en-US"/>
              </w:rPr>
              <w:t>.</w:t>
            </w:r>
          </w:p>
        </w:tc>
      </w:tr>
      <w:tr w:rsidR="00D95410" w:rsidRPr="00F01347" w14:paraId="5B2BB399" w14:textId="70CBC83E" w:rsidTr="004F1987">
        <w:tc>
          <w:tcPr>
            <w:tcW w:w="4675" w:type="dxa"/>
          </w:tcPr>
          <w:p w14:paraId="74682A4D"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 xml:space="preserve">Usar una sal de azul de </w:t>
            </w:r>
            <w:proofErr w:type="spellStart"/>
            <w:r w:rsidRPr="00F01347">
              <w:rPr>
                <w:rFonts w:ascii="Verdana" w:hAnsi="Verdana"/>
                <w:sz w:val="16"/>
                <w:szCs w:val="16"/>
              </w:rPr>
              <w:t>metiltimol</w:t>
            </w:r>
            <w:proofErr w:type="spellEnd"/>
            <w:r w:rsidRPr="00F01347">
              <w:rPr>
                <w:rFonts w:ascii="Verdana" w:hAnsi="Verdana"/>
                <w:sz w:val="16"/>
                <w:szCs w:val="16"/>
              </w:rPr>
              <w:t xml:space="preserve"> de calidad. De ser posible, solicitar al proveedor un certificado de este reactivo. Usar sólo azul de </w:t>
            </w:r>
            <w:proofErr w:type="spellStart"/>
            <w:r w:rsidRPr="00F01347">
              <w:rPr>
                <w:rFonts w:ascii="Verdana" w:hAnsi="Verdana"/>
                <w:sz w:val="16"/>
                <w:szCs w:val="16"/>
              </w:rPr>
              <w:t>metiltimol</w:t>
            </w:r>
            <w:proofErr w:type="spellEnd"/>
            <w:r w:rsidRPr="00F01347">
              <w:rPr>
                <w:rFonts w:ascii="Verdana" w:hAnsi="Verdana"/>
                <w:sz w:val="16"/>
                <w:szCs w:val="16"/>
              </w:rPr>
              <w:t xml:space="preserve"> con un contenido de agua menor al 10%.</w:t>
            </w:r>
          </w:p>
        </w:tc>
        <w:tc>
          <w:tcPr>
            <w:tcW w:w="4675" w:type="dxa"/>
          </w:tcPr>
          <w:p w14:paraId="54CDE217" w14:textId="6F657A81"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 Use a </w:t>
            </w:r>
            <w:r w:rsidRPr="00F01347">
              <w:rPr>
                <w:rFonts w:ascii="Verdana" w:hAnsi="Verdana"/>
                <w:sz w:val="16"/>
                <w:szCs w:val="16"/>
                <w:lang w:val="en-US"/>
              </w:rPr>
              <w:tab/>
              <w:t>quality methylthymol blue salt</w:t>
            </w:r>
            <w:r w:rsidR="003E1BA9" w:rsidRPr="00F01347">
              <w:rPr>
                <w:rFonts w:ascii="Verdana" w:hAnsi="Verdana"/>
                <w:sz w:val="16"/>
                <w:szCs w:val="16"/>
                <w:lang w:val="en-US"/>
              </w:rPr>
              <w:t>.</w:t>
            </w:r>
            <w:r w:rsidRPr="00F01347">
              <w:rPr>
                <w:rFonts w:ascii="Verdana" w:hAnsi="Verdana"/>
                <w:sz w:val="16"/>
                <w:szCs w:val="16"/>
                <w:lang w:val="en-US"/>
              </w:rPr>
              <w:t xml:space="preserve"> If possible, ask the supplier for a certificate for this reagent. Use only methylthymol blue with a water content of less than 10%.</w:t>
            </w:r>
          </w:p>
        </w:tc>
      </w:tr>
      <w:tr w:rsidR="00D95410" w:rsidRPr="00F01347" w14:paraId="2D5348F1" w14:textId="3D3B261C" w:rsidTr="004F1987">
        <w:tc>
          <w:tcPr>
            <w:tcW w:w="4675" w:type="dxa"/>
          </w:tcPr>
          <w:p w14:paraId="3695D684"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La cantidad de cationes interferentes varía con la matriz de cada muestra. Las muestras con una concentración alta de cationes multivalentes pueden requerir un reemplazo más frecuente de la resina de intercambio catiónico o una columna de intercambio catiónico más larga.</w:t>
            </w:r>
          </w:p>
        </w:tc>
        <w:tc>
          <w:tcPr>
            <w:tcW w:w="4675" w:type="dxa"/>
          </w:tcPr>
          <w:p w14:paraId="2131DAD6" w14:textId="46CA06FE"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The </w:t>
            </w:r>
            <w:proofErr w:type="gramStart"/>
            <w:r w:rsidRPr="00F01347">
              <w:rPr>
                <w:rFonts w:ascii="Verdana" w:hAnsi="Verdana"/>
                <w:sz w:val="16"/>
                <w:szCs w:val="16"/>
                <w:lang w:val="en-US"/>
              </w:rPr>
              <w:t>amount</w:t>
            </w:r>
            <w:proofErr w:type="gramEnd"/>
            <w:r w:rsidRPr="00F01347">
              <w:rPr>
                <w:rFonts w:ascii="Verdana" w:hAnsi="Verdana"/>
                <w:sz w:val="16"/>
                <w:szCs w:val="16"/>
                <w:lang w:val="en-US"/>
              </w:rPr>
              <w:t xml:space="preserve"> of interfering cations varies with the matrix of each sample. Samples with a high concentration of multivalent cations may require more frequent replacement of the cation exchange resin or a longer cation exchange column.</w:t>
            </w:r>
          </w:p>
        </w:tc>
      </w:tr>
      <w:tr w:rsidR="00D95410" w:rsidRPr="00F01347" w14:paraId="0794799D" w14:textId="673947E3" w:rsidTr="004F1987">
        <w:tc>
          <w:tcPr>
            <w:tcW w:w="4675" w:type="dxa"/>
          </w:tcPr>
          <w:p w14:paraId="6F2207DC"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 xml:space="preserve">La columna de intercambio catiónico se prepara cada vez que se realiza un lote, </w:t>
            </w:r>
            <w:proofErr w:type="gramStart"/>
            <w:r w:rsidRPr="00F01347">
              <w:rPr>
                <w:rFonts w:ascii="Verdana" w:hAnsi="Verdana"/>
                <w:sz w:val="16"/>
                <w:szCs w:val="16"/>
              </w:rPr>
              <w:t>en caso que</w:t>
            </w:r>
            <w:proofErr w:type="gramEnd"/>
            <w:r w:rsidRPr="00F01347">
              <w:rPr>
                <w:rFonts w:ascii="Verdana" w:hAnsi="Verdana"/>
                <w:sz w:val="16"/>
                <w:szCs w:val="16"/>
              </w:rPr>
              <w:t xml:space="preserve"> se reutilice se debe verificar la capacidad de intercambio de la columna analizando una disolución estándar de una concentración de calcio (Ca</w:t>
            </w:r>
            <w:r w:rsidRPr="00F01347">
              <w:rPr>
                <w:rFonts w:ascii="Verdana" w:hAnsi="Verdana"/>
                <w:sz w:val="16"/>
                <w:szCs w:val="16"/>
                <w:vertAlign w:val="superscript"/>
              </w:rPr>
              <w:t>2+</w:t>
            </w:r>
            <w:r w:rsidRPr="00F01347">
              <w:rPr>
                <w:rFonts w:ascii="Verdana" w:hAnsi="Verdana"/>
                <w:sz w:val="16"/>
                <w:szCs w:val="16"/>
              </w:rPr>
              <w:t xml:space="preserve">) similar a la de las muestras analizadas. Un recobro bajo indica que se ha sobrepasado la capacidad de la columna de intercambio catiónico y debe </w:t>
            </w:r>
            <w:proofErr w:type="spellStart"/>
            <w:r w:rsidRPr="00F01347">
              <w:rPr>
                <w:rFonts w:ascii="Verdana" w:hAnsi="Verdana"/>
                <w:sz w:val="16"/>
                <w:szCs w:val="16"/>
              </w:rPr>
              <w:t>re-prepararse</w:t>
            </w:r>
            <w:proofErr w:type="spellEnd"/>
            <w:r w:rsidRPr="00F01347">
              <w:rPr>
                <w:rFonts w:ascii="Verdana" w:hAnsi="Verdana"/>
                <w:sz w:val="16"/>
                <w:szCs w:val="16"/>
              </w:rPr>
              <w:t>.</w:t>
            </w:r>
          </w:p>
        </w:tc>
        <w:tc>
          <w:tcPr>
            <w:tcW w:w="4675" w:type="dxa"/>
          </w:tcPr>
          <w:p w14:paraId="1B87C135" w14:textId="07FDEFE1"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The cation exchange column is prepared each time a batch is made. If it is reused, the exchange capacity of the column must be verified by analyzing a standard solution with a concentration of calcium (Ca</w:t>
            </w:r>
            <w:r w:rsidRPr="00F01347">
              <w:rPr>
                <w:rFonts w:ascii="Verdana" w:hAnsi="Verdana"/>
                <w:sz w:val="16"/>
                <w:szCs w:val="16"/>
                <w:vertAlign w:val="superscript"/>
                <w:lang w:val="en-US"/>
              </w:rPr>
              <w:t>2+</w:t>
            </w:r>
            <w:r w:rsidR="00913802" w:rsidRPr="00F01347">
              <w:rPr>
                <w:rFonts w:ascii="Verdana" w:hAnsi="Verdana"/>
                <w:sz w:val="16"/>
                <w:szCs w:val="16"/>
                <w:lang w:val="en-US"/>
              </w:rPr>
              <w:t>)</w:t>
            </w:r>
            <w:r w:rsidRPr="00F01347">
              <w:rPr>
                <w:rFonts w:ascii="Verdana" w:hAnsi="Verdana"/>
                <w:sz w:val="16"/>
                <w:szCs w:val="16"/>
                <w:lang w:val="en-US"/>
              </w:rPr>
              <w:t xml:space="preserve"> </w:t>
            </w:r>
            <w:proofErr w:type="gramStart"/>
            <w:r w:rsidRPr="00F01347">
              <w:rPr>
                <w:rFonts w:ascii="Verdana" w:hAnsi="Verdana"/>
                <w:sz w:val="16"/>
                <w:szCs w:val="16"/>
                <w:lang w:val="en-US"/>
              </w:rPr>
              <w:t>similar to</w:t>
            </w:r>
            <w:proofErr w:type="gramEnd"/>
            <w:r w:rsidRPr="00F01347">
              <w:rPr>
                <w:rFonts w:ascii="Verdana" w:hAnsi="Verdana"/>
                <w:sz w:val="16"/>
                <w:szCs w:val="16"/>
                <w:lang w:val="en-US"/>
              </w:rPr>
              <w:t xml:space="preserve"> that of the samples. analyzed. A low recovery indicates that the capacity of the cation exchange column has been exceeded and must be re-prepared</w:t>
            </w:r>
            <w:r w:rsidR="003E1BA9" w:rsidRPr="00F01347">
              <w:rPr>
                <w:rFonts w:ascii="Verdana" w:hAnsi="Verdana"/>
                <w:sz w:val="16"/>
                <w:szCs w:val="16"/>
                <w:lang w:val="en-US"/>
              </w:rPr>
              <w:t>.</w:t>
            </w:r>
          </w:p>
        </w:tc>
      </w:tr>
      <w:tr w:rsidR="00D95410" w:rsidRPr="00F01347" w14:paraId="2E2F98E3" w14:textId="2B7A6ACF" w:rsidTr="004F1987">
        <w:tc>
          <w:tcPr>
            <w:tcW w:w="4675" w:type="dxa"/>
          </w:tcPr>
          <w:p w14:paraId="660A24B8"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lastRenderedPageBreak/>
              <w:t>La columna tiene una capacidad de intercambio de aproximadamente 35 mg de calcio, lo que representa alrededor de 900 muestras con una concentración de calcio de 200mg/L. La resina de la columna debe ser reemplazada tan frecuentemente como sea necesario, como para asegurar que no se use más del 50% de su capacidad.</w:t>
            </w:r>
          </w:p>
        </w:tc>
        <w:tc>
          <w:tcPr>
            <w:tcW w:w="4675" w:type="dxa"/>
          </w:tcPr>
          <w:p w14:paraId="12604817" w14:textId="42C5C646"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The column has an exchange capacity of approximately 35 mg of calcium, which represents around 900 samples with a calcium concentration of 200 mg/L. The column resin should be replaced as frequently as necessary to ensure that no more than 50% of its capacity is used.</w:t>
            </w:r>
          </w:p>
        </w:tc>
      </w:tr>
      <w:tr w:rsidR="00D95410" w:rsidRPr="00F01347" w14:paraId="3B8A63F6" w14:textId="26D89D47" w:rsidTr="004F1987">
        <w:tc>
          <w:tcPr>
            <w:tcW w:w="4675" w:type="dxa"/>
          </w:tcPr>
          <w:p w14:paraId="73090179"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Después de haber analizado un gran número de muestras con concentraciones elevadas de sulfato, se puede observar un aumento en la deriva de la línea base. En ese caso es necesario limpiar la celda de flujo con disolución limpiadora y después enjuagarla con agua desionizada en abundancia. Si la línea base no mejora, limpiar todo el cartucho con disolución limpiadora.</w:t>
            </w:r>
          </w:p>
        </w:tc>
        <w:tc>
          <w:tcPr>
            <w:tcW w:w="4675" w:type="dxa"/>
          </w:tcPr>
          <w:p w14:paraId="5F1667FC" w14:textId="38543D07"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After </w:t>
            </w:r>
            <w:proofErr w:type="gramStart"/>
            <w:r w:rsidRPr="00F01347">
              <w:rPr>
                <w:rFonts w:ascii="Verdana" w:hAnsi="Verdana"/>
                <w:sz w:val="16"/>
                <w:szCs w:val="16"/>
                <w:lang w:val="en-US"/>
              </w:rPr>
              <w:t>a large number of</w:t>
            </w:r>
            <w:proofErr w:type="gramEnd"/>
            <w:r w:rsidRPr="00F01347">
              <w:rPr>
                <w:rFonts w:ascii="Verdana" w:hAnsi="Verdana"/>
                <w:sz w:val="16"/>
                <w:szCs w:val="16"/>
                <w:lang w:val="en-US"/>
              </w:rPr>
              <w:t xml:space="preserve"> samples with elevated sulfate concentrations have been analyzed, an increase in baseline drift can be observed. In this case, it is necessary to clean the flow cell with cleaning solution and then rinse it with plenty of deionized water. If the baseline does not improve, clean the entire cartridge with cleaning solution.</w:t>
            </w:r>
          </w:p>
        </w:tc>
      </w:tr>
      <w:tr w:rsidR="00D95410" w:rsidRPr="00F01347" w14:paraId="243282C2" w14:textId="156649D6" w:rsidTr="004F1987">
        <w:tc>
          <w:tcPr>
            <w:tcW w:w="4675" w:type="dxa"/>
          </w:tcPr>
          <w:p w14:paraId="4729A883"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 xml:space="preserve">El reactivo de azul de </w:t>
            </w:r>
            <w:proofErr w:type="spellStart"/>
            <w:r w:rsidRPr="00F01347">
              <w:rPr>
                <w:rFonts w:ascii="Verdana" w:hAnsi="Verdana"/>
                <w:sz w:val="16"/>
                <w:szCs w:val="16"/>
              </w:rPr>
              <w:t>metiltimol</w:t>
            </w:r>
            <w:proofErr w:type="spellEnd"/>
            <w:r w:rsidRPr="00F01347">
              <w:rPr>
                <w:rFonts w:ascii="Verdana" w:hAnsi="Verdana"/>
                <w:sz w:val="16"/>
                <w:szCs w:val="16"/>
              </w:rPr>
              <w:t xml:space="preserve"> debe prepararse al menos 24 horas antes de usarse y permanecer almacenado en un frasco de vidrio ámbar a 4 °C.</w:t>
            </w:r>
          </w:p>
        </w:tc>
        <w:tc>
          <w:tcPr>
            <w:tcW w:w="4675" w:type="dxa"/>
          </w:tcPr>
          <w:p w14:paraId="102B510A" w14:textId="12B607F8"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Methylthymol blue reagent should be prepared at least 24 hours before use and stored in an amber glass bottle at 4°C.</w:t>
            </w:r>
          </w:p>
        </w:tc>
      </w:tr>
      <w:tr w:rsidR="00D95410" w:rsidRPr="00F01347" w14:paraId="611E3B39" w14:textId="7149F125" w:rsidTr="004F1987">
        <w:tc>
          <w:tcPr>
            <w:tcW w:w="4675" w:type="dxa"/>
          </w:tcPr>
          <w:p w14:paraId="40CF05CC"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 xml:space="preserve">El pH del reactivo de azul de </w:t>
            </w:r>
            <w:proofErr w:type="spellStart"/>
            <w:r w:rsidRPr="00F01347">
              <w:rPr>
                <w:rFonts w:ascii="Verdana" w:hAnsi="Verdana"/>
                <w:sz w:val="16"/>
                <w:szCs w:val="16"/>
              </w:rPr>
              <w:t>metiltimol</w:t>
            </w:r>
            <w:proofErr w:type="spellEnd"/>
            <w:r w:rsidRPr="00F01347">
              <w:rPr>
                <w:rFonts w:ascii="Verdana" w:hAnsi="Verdana"/>
                <w:sz w:val="16"/>
                <w:szCs w:val="16"/>
              </w:rPr>
              <w:t xml:space="preserve"> de trabajo se debe ajustar entre 2.6 y 2.7 unidades de pH antes de usarse. El pH del medio al abandonar la celda de flujo debe ser de 12.5 unidades de pH.</w:t>
            </w:r>
          </w:p>
        </w:tc>
        <w:tc>
          <w:tcPr>
            <w:tcW w:w="4675" w:type="dxa"/>
          </w:tcPr>
          <w:p w14:paraId="3CB4FCFF" w14:textId="77B2678C" w:rsidR="00D95410" w:rsidRPr="00F01347" w:rsidRDefault="00A116E2"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The pH of the </w:t>
            </w:r>
            <w:r w:rsidR="00D95410" w:rsidRPr="00F01347">
              <w:rPr>
                <w:rFonts w:ascii="Verdana" w:hAnsi="Verdana"/>
                <w:sz w:val="16"/>
                <w:szCs w:val="16"/>
                <w:lang w:val="en-US"/>
              </w:rPr>
              <w:t>methylthymol blue reagent should be adjusted to between 2.6 and 2.7 pH units before use. The pH of the medium upon leaving the flow cell should be 12.5 pH units.</w:t>
            </w:r>
          </w:p>
        </w:tc>
      </w:tr>
      <w:tr w:rsidR="00D95410" w:rsidRPr="00F01347" w14:paraId="398B4B2F" w14:textId="2883D7C9" w:rsidTr="004F1987">
        <w:tc>
          <w:tcPr>
            <w:tcW w:w="4675" w:type="dxa"/>
          </w:tcPr>
          <w:p w14:paraId="5FD2EAEC"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Cuando se instale la columna de intercambio catiónico, mantener en todo momento la bomba funcionando. Esto evita la entrada de aire en la columna.</w:t>
            </w:r>
          </w:p>
        </w:tc>
        <w:tc>
          <w:tcPr>
            <w:tcW w:w="4675" w:type="dxa"/>
          </w:tcPr>
          <w:p w14:paraId="64FA01A6" w14:textId="2F0507A5"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When installing the cation exchange column, keep the pump </w:t>
            </w:r>
            <w:proofErr w:type="gramStart"/>
            <w:r w:rsidRPr="00F01347">
              <w:rPr>
                <w:rFonts w:ascii="Verdana" w:hAnsi="Verdana"/>
                <w:sz w:val="16"/>
                <w:szCs w:val="16"/>
                <w:lang w:val="en-US"/>
              </w:rPr>
              <w:t>running at all times</w:t>
            </w:r>
            <w:proofErr w:type="gramEnd"/>
            <w:r w:rsidRPr="00F01347">
              <w:rPr>
                <w:rFonts w:ascii="Verdana" w:hAnsi="Verdana"/>
                <w:sz w:val="16"/>
                <w:szCs w:val="16"/>
                <w:lang w:val="en-US"/>
              </w:rPr>
              <w:t>. This prevents air from entering the column.</w:t>
            </w:r>
          </w:p>
        </w:tc>
      </w:tr>
      <w:tr w:rsidR="00D95410" w:rsidRPr="00F01347" w14:paraId="5BF67C99" w14:textId="3B775DA0" w:rsidTr="004F1987">
        <w:tc>
          <w:tcPr>
            <w:tcW w:w="4675" w:type="dxa"/>
          </w:tcPr>
          <w:p w14:paraId="2FD00FAF"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 xml:space="preserve">Si observa una línea base inestable, reemplazar la manguera de silicón del reactivo de azul de </w:t>
            </w:r>
            <w:proofErr w:type="spellStart"/>
            <w:r w:rsidRPr="00F01347">
              <w:rPr>
                <w:rFonts w:ascii="Verdana" w:hAnsi="Verdana"/>
                <w:sz w:val="16"/>
                <w:szCs w:val="16"/>
              </w:rPr>
              <w:t>metiltimol</w:t>
            </w:r>
            <w:proofErr w:type="spellEnd"/>
            <w:r w:rsidRPr="00F01347">
              <w:rPr>
                <w:rFonts w:ascii="Verdana" w:hAnsi="Verdana"/>
                <w:sz w:val="16"/>
                <w:szCs w:val="16"/>
              </w:rPr>
              <w:t>.</w:t>
            </w:r>
          </w:p>
        </w:tc>
        <w:tc>
          <w:tcPr>
            <w:tcW w:w="4675" w:type="dxa"/>
          </w:tcPr>
          <w:p w14:paraId="6D4F9AA4" w14:textId="2FF45623"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If an unstable baseline</w:t>
            </w:r>
            <w:r w:rsidR="002D088C" w:rsidRPr="00F01347">
              <w:rPr>
                <w:rFonts w:ascii="Verdana" w:hAnsi="Verdana"/>
                <w:sz w:val="16"/>
                <w:szCs w:val="16"/>
                <w:lang w:val="en-US"/>
              </w:rPr>
              <w:t xml:space="preserve"> is observed</w:t>
            </w:r>
            <w:r w:rsidRPr="00F01347">
              <w:rPr>
                <w:rFonts w:ascii="Verdana" w:hAnsi="Verdana"/>
                <w:sz w:val="16"/>
                <w:szCs w:val="16"/>
                <w:lang w:val="en-US"/>
              </w:rPr>
              <w:t>, replace the methylthymol blue reagent silicone hose</w:t>
            </w:r>
            <w:r w:rsidR="003E1BA9" w:rsidRPr="00F01347">
              <w:rPr>
                <w:rFonts w:ascii="Verdana" w:hAnsi="Verdana"/>
                <w:sz w:val="16"/>
                <w:szCs w:val="16"/>
                <w:lang w:val="en-US"/>
              </w:rPr>
              <w:t>.</w:t>
            </w:r>
          </w:p>
        </w:tc>
      </w:tr>
      <w:tr w:rsidR="00D95410" w:rsidRPr="00F01347" w14:paraId="78AE286C" w14:textId="38B66E03" w:rsidTr="004F1987">
        <w:tc>
          <w:tcPr>
            <w:tcW w:w="4675" w:type="dxa"/>
          </w:tcPr>
          <w:p w14:paraId="1A16D320" w14:textId="77777777" w:rsidR="00D95410" w:rsidRPr="00F01347" w:rsidRDefault="00D95410" w:rsidP="00D95410">
            <w:pPr>
              <w:pStyle w:val="texto0"/>
              <w:spacing w:line="220" w:lineRule="exact"/>
              <w:ind w:firstLine="0"/>
              <w:rPr>
                <w:rFonts w:ascii="Verdana" w:hAnsi="Verdana"/>
                <w:b/>
                <w:sz w:val="16"/>
                <w:szCs w:val="16"/>
              </w:rPr>
            </w:pPr>
            <w:r w:rsidRPr="00F01347">
              <w:rPr>
                <w:rFonts w:ascii="Verdana" w:hAnsi="Verdana"/>
                <w:b/>
                <w:sz w:val="16"/>
                <w:szCs w:val="16"/>
              </w:rPr>
              <w:t>B.11.2.7.11 Análisis de datos y cálculos</w:t>
            </w:r>
          </w:p>
        </w:tc>
        <w:tc>
          <w:tcPr>
            <w:tcW w:w="4675" w:type="dxa"/>
          </w:tcPr>
          <w:p w14:paraId="49A72ACD" w14:textId="6439C1EA" w:rsidR="00D95410" w:rsidRPr="00F01347" w:rsidRDefault="00D95410" w:rsidP="00D95410">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B.11.2.7.11 Data analysis and calculations</w:t>
            </w:r>
          </w:p>
        </w:tc>
      </w:tr>
      <w:tr w:rsidR="00D95410" w:rsidRPr="00F01347" w14:paraId="729E7BF8" w14:textId="1EE898F6" w:rsidTr="004F1987">
        <w:tc>
          <w:tcPr>
            <w:tcW w:w="4675" w:type="dxa"/>
          </w:tcPr>
          <w:p w14:paraId="4C51A11C" w14:textId="77777777" w:rsidR="00D95410" w:rsidRPr="00F01347" w:rsidRDefault="00D95410" w:rsidP="00D95410">
            <w:pPr>
              <w:pStyle w:val="texto0"/>
              <w:spacing w:line="220" w:lineRule="exact"/>
              <w:ind w:firstLine="0"/>
              <w:rPr>
                <w:rFonts w:ascii="Verdana" w:hAnsi="Verdana"/>
                <w:sz w:val="16"/>
                <w:szCs w:val="16"/>
              </w:rPr>
            </w:pPr>
            <w:r w:rsidRPr="00F01347">
              <w:rPr>
                <w:rFonts w:ascii="Verdana" w:hAnsi="Verdana"/>
                <w:sz w:val="16"/>
                <w:szCs w:val="16"/>
              </w:rPr>
              <w:t>La curva de calibración permite al equipo calcular automáticamente la concentración de las muestras. Las unidades de los valores arrojados son las mismas que se usaron para los estándares, que son mg/L de SO4</w:t>
            </w:r>
            <w:r w:rsidRPr="00F01347">
              <w:rPr>
                <w:rFonts w:ascii="Verdana" w:hAnsi="Verdana"/>
                <w:position w:val="4"/>
                <w:sz w:val="16"/>
                <w:szCs w:val="16"/>
              </w:rPr>
              <w:t>2-</w:t>
            </w:r>
          </w:p>
        </w:tc>
        <w:tc>
          <w:tcPr>
            <w:tcW w:w="4675" w:type="dxa"/>
          </w:tcPr>
          <w:p w14:paraId="5C40D02F" w14:textId="16D11EED" w:rsidR="00D95410" w:rsidRPr="00F01347" w:rsidRDefault="00D95410" w:rsidP="00D95410">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The calibration curve allows the equipment to automatically calculate the concentration of the samples. The units of the values returned are the same as those used for the standards, which are mg/L of SO4 </w:t>
            </w:r>
            <w:r w:rsidRPr="00F01347">
              <w:rPr>
                <w:rFonts w:ascii="Verdana" w:hAnsi="Verdana"/>
                <w:position w:val="4"/>
                <w:sz w:val="16"/>
                <w:szCs w:val="16"/>
                <w:lang w:val="en-US"/>
              </w:rPr>
              <w:t>2-</w:t>
            </w:r>
          </w:p>
        </w:tc>
      </w:tr>
      <w:tr w:rsidR="00D95410" w:rsidRPr="00F01347" w14:paraId="33D65E41" w14:textId="2D989BB1" w:rsidTr="004F1987">
        <w:tc>
          <w:tcPr>
            <w:tcW w:w="4675" w:type="dxa"/>
          </w:tcPr>
          <w:p w14:paraId="4506E044" w14:textId="77777777" w:rsidR="00D95410" w:rsidRPr="00F01347" w:rsidRDefault="00D95410" w:rsidP="00D95410">
            <w:pPr>
              <w:pStyle w:val="texto0"/>
              <w:ind w:firstLine="0"/>
              <w:rPr>
                <w:rFonts w:ascii="Verdana" w:hAnsi="Verdana"/>
                <w:sz w:val="16"/>
                <w:szCs w:val="16"/>
              </w:rPr>
            </w:pPr>
            <w:r w:rsidRPr="00F01347">
              <w:rPr>
                <w:rFonts w:ascii="Verdana" w:hAnsi="Verdana"/>
                <w:b/>
                <w:sz w:val="16"/>
                <w:szCs w:val="16"/>
              </w:rPr>
              <w:t>B.11.2.7.12 Informe de prueba</w:t>
            </w:r>
          </w:p>
        </w:tc>
        <w:tc>
          <w:tcPr>
            <w:tcW w:w="4675" w:type="dxa"/>
          </w:tcPr>
          <w:p w14:paraId="5299A134" w14:textId="6F9C39AB" w:rsidR="00D95410" w:rsidRPr="00F01347" w:rsidRDefault="00D95410" w:rsidP="00D95410">
            <w:pPr>
              <w:pStyle w:val="texto0"/>
              <w:ind w:firstLine="0"/>
              <w:rPr>
                <w:rFonts w:ascii="Verdana" w:hAnsi="Verdana"/>
                <w:b/>
                <w:sz w:val="16"/>
                <w:szCs w:val="16"/>
                <w:lang w:val="en-US"/>
              </w:rPr>
            </w:pPr>
            <w:r w:rsidRPr="00F01347">
              <w:rPr>
                <w:rFonts w:ascii="Verdana" w:hAnsi="Verdana"/>
                <w:b/>
                <w:sz w:val="16"/>
                <w:szCs w:val="16"/>
                <w:lang w:val="en-US"/>
              </w:rPr>
              <w:t>B.11.2.7.12 Test report</w:t>
            </w:r>
          </w:p>
        </w:tc>
      </w:tr>
      <w:tr w:rsidR="00D95410" w:rsidRPr="00F01347" w14:paraId="656FFCF1" w14:textId="293B81AA" w:rsidTr="004F1987">
        <w:tc>
          <w:tcPr>
            <w:tcW w:w="4675" w:type="dxa"/>
          </w:tcPr>
          <w:p w14:paraId="41EABD61" w14:textId="77777777" w:rsidR="00D95410" w:rsidRPr="00F01347" w:rsidRDefault="00D95410" w:rsidP="00D95410">
            <w:pPr>
              <w:pStyle w:val="texto0"/>
              <w:spacing w:line="240" w:lineRule="auto"/>
              <w:ind w:firstLine="0"/>
              <w:rPr>
                <w:rFonts w:ascii="Verdana" w:hAnsi="Verdana"/>
                <w:sz w:val="16"/>
                <w:szCs w:val="16"/>
              </w:rPr>
            </w:pPr>
            <w:r w:rsidRPr="00F01347">
              <w:rPr>
                <w:rFonts w:ascii="Verdana" w:hAnsi="Verdana"/>
                <w:sz w:val="16"/>
                <w:szCs w:val="16"/>
              </w:rPr>
              <w:t xml:space="preserve">La expresión de resultados debe ser en </w:t>
            </w:r>
            <w:r w:rsidRPr="00F01347">
              <w:rPr>
                <w:rFonts w:ascii="Verdana" w:hAnsi="Verdana"/>
                <w:noProof/>
                <w:sz w:val="16"/>
                <w:szCs w:val="16"/>
              </w:rPr>
              <w:drawing>
                <wp:inline distT="0" distB="0" distL="0" distR="0" wp14:anchorId="2847AFF8" wp14:editId="6136986E">
                  <wp:extent cx="495300" cy="228600"/>
                  <wp:effectExtent l="0" t="0" r="0" b="0"/>
                  <wp:docPr id="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F01347">
              <w:rPr>
                <w:rFonts w:ascii="Verdana" w:hAnsi="Verdana"/>
                <w:sz w:val="16"/>
                <w:szCs w:val="16"/>
              </w:rPr>
              <w:t xml:space="preserve"> con dos cifras decimales.</w:t>
            </w:r>
          </w:p>
        </w:tc>
        <w:tc>
          <w:tcPr>
            <w:tcW w:w="4675" w:type="dxa"/>
          </w:tcPr>
          <w:p w14:paraId="6AEA2C53" w14:textId="575D5193" w:rsidR="00D95410" w:rsidRPr="00F01347" w:rsidRDefault="00D95410" w:rsidP="00D95410">
            <w:pPr>
              <w:pStyle w:val="texto0"/>
              <w:spacing w:line="240" w:lineRule="auto"/>
              <w:ind w:firstLine="0"/>
              <w:rPr>
                <w:rFonts w:ascii="Verdana" w:hAnsi="Verdana"/>
                <w:sz w:val="16"/>
                <w:szCs w:val="16"/>
                <w:lang w:val="en-US"/>
              </w:rPr>
            </w:pPr>
            <w:r w:rsidRPr="00F01347">
              <w:rPr>
                <w:rFonts w:ascii="Verdana" w:hAnsi="Verdana"/>
                <w:sz w:val="16"/>
                <w:szCs w:val="16"/>
                <w:lang w:val="en-US"/>
              </w:rPr>
              <w:t xml:space="preserve">The expression of results must be in </w:t>
            </w:r>
            <w:r w:rsidRPr="00F01347">
              <w:rPr>
                <w:rFonts w:ascii="Verdana" w:hAnsi="Verdana"/>
                <w:noProof/>
                <w:sz w:val="16"/>
                <w:szCs w:val="16"/>
                <w:lang w:val="en-US"/>
              </w:rPr>
              <w:drawing>
                <wp:inline distT="0" distB="0" distL="0" distR="0" wp14:anchorId="320F695E" wp14:editId="144A0362">
                  <wp:extent cx="495300" cy="228600"/>
                  <wp:effectExtent l="0" t="0" r="0" b="0"/>
                  <wp:docPr id="1762406124" name="Picture 1762406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F01347">
              <w:rPr>
                <w:rFonts w:ascii="Verdana" w:hAnsi="Verdana"/>
                <w:sz w:val="16"/>
                <w:szCs w:val="16"/>
                <w:lang w:val="en-US"/>
              </w:rPr>
              <w:t>two decimal places.</w:t>
            </w:r>
          </w:p>
        </w:tc>
      </w:tr>
      <w:tr w:rsidR="00D95410" w:rsidRPr="00F01347" w14:paraId="17153EAA" w14:textId="60D7BAE6" w:rsidTr="004F1987">
        <w:tc>
          <w:tcPr>
            <w:tcW w:w="4675" w:type="dxa"/>
          </w:tcPr>
          <w:p w14:paraId="14478710" w14:textId="77777777" w:rsidR="00D95410" w:rsidRPr="00F01347" w:rsidRDefault="00D95410" w:rsidP="00D95410">
            <w:pPr>
              <w:pStyle w:val="texto0"/>
              <w:ind w:firstLine="0"/>
              <w:rPr>
                <w:rFonts w:ascii="Verdana" w:hAnsi="Verdana"/>
                <w:b/>
                <w:sz w:val="16"/>
                <w:szCs w:val="16"/>
              </w:rPr>
            </w:pPr>
            <w:r w:rsidRPr="00F01347">
              <w:rPr>
                <w:rFonts w:ascii="Verdana" w:hAnsi="Verdana"/>
                <w:b/>
                <w:sz w:val="16"/>
                <w:szCs w:val="16"/>
              </w:rPr>
              <w:t>B.11.2.8 Control de calidad, criterios de aceptación y rechazo, calibración e interferencias</w:t>
            </w:r>
          </w:p>
        </w:tc>
        <w:tc>
          <w:tcPr>
            <w:tcW w:w="4675" w:type="dxa"/>
          </w:tcPr>
          <w:p w14:paraId="4F2A0077" w14:textId="5E0F129B" w:rsidR="00D95410" w:rsidRPr="00F01347" w:rsidRDefault="00D95410" w:rsidP="00D95410">
            <w:pPr>
              <w:pStyle w:val="texto0"/>
              <w:ind w:firstLine="0"/>
              <w:rPr>
                <w:rFonts w:ascii="Verdana" w:hAnsi="Verdana"/>
                <w:b/>
                <w:sz w:val="16"/>
                <w:szCs w:val="16"/>
                <w:lang w:val="en-US"/>
              </w:rPr>
            </w:pPr>
            <w:r w:rsidRPr="00F01347">
              <w:rPr>
                <w:rFonts w:ascii="Verdana" w:hAnsi="Verdana"/>
                <w:b/>
                <w:sz w:val="16"/>
                <w:szCs w:val="16"/>
                <w:lang w:val="en-US"/>
              </w:rPr>
              <w:t xml:space="preserve">B.11.2.8 Quality control, acceptance and rejection criteria, </w:t>
            </w:r>
            <w:r w:rsidR="002D088C" w:rsidRPr="00F01347">
              <w:rPr>
                <w:rFonts w:ascii="Verdana" w:hAnsi="Verdana"/>
                <w:b/>
                <w:sz w:val="16"/>
                <w:szCs w:val="16"/>
                <w:lang w:val="en-US"/>
              </w:rPr>
              <w:t>calibration,</w:t>
            </w:r>
            <w:r w:rsidRPr="00F01347">
              <w:rPr>
                <w:rFonts w:ascii="Verdana" w:hAnsi="Verdana"/>
                <w:b/>
                <w:sz w:val="16"/>
                <w:szCs w:val="16"/>
                <w:lang w:val="en-US"/>
              </w:rPr>
              <w:t xml:space="preserve"> and interferences</w:t>
            </w:r>
          </w:p>
        </w:tc>
      </w:tr>
      <w:tr w:rsidR="00D95410" w:rsidRPr="00F01347" w14:paraId="3740467D" w14:textId="438E233F" w:rsidTr="004F1987">
        <w:tc>
          <w:tcPr>
            <w:tcW w:w="4675" w:type="dxa"/>
          </w:tcPr>
          <w:p w14:paraId="2511CF09" w14:textId="77777777" w:rsidR="00D95410" w:rsidRPr="00F01347" w:rsidRDefault="00D95410" w:rsidP="00D95410">
            <w:pPr>
              <w:pStyle w:val="texto0"/>
              <w:ind w:firstLine="0"/>
              <w:rPr>
                <w:rFonts w:ascii="Verdana" w:hAnsi="Verdana"/>
                <w:b/>
                <w:sz w:val="16"/>
                <w:szCs w:val="16"/>
              </w:rPr>
            </w:pPr>
            <w:r w:rsidRPr="00F01347">
              <w:rPr>
                <w:rFonts w:ascii="Verdana" w:hAnsi="Verdana"/>
                <w:b/>
                <w:sz w:val="16"/>
                <w:szCs w:val="16"/>
              </w:rPr>
              <w:t>B.11.2.8.1 Control de calidad</w:t>
            </w:r>
          </w:p>
        </w:tc>
        <w:tc>
          <w:tcPr>
            <w:tcW w:w="4675" w:type="dxa"/>
          </w:tcPr>
          <w:p w14:paraId="3EEB0253" w14:textId="549D9C36" w:rsidR="00D95410" w:rsidRPr="00F01347" w:rsidRDefault="00D95410" w:rsidP="00D95410">
            <w:pPr>
              <w:pStyle w:val="texto0"/>
              <w:ind w:firstLine="0"/>
              <w:rPr>
                <w:rFonts w:ascii="Verdana" w:hAnsi="Verdana"/>
                <w:b/>
                <w:sz w:val="16"/>
                <w:szCs w:val="16"/>
                <w:lang w:val="en-US"/>
              </w:rPr>
            </w:pPr>
            <w:r w:rsidRPr="00F01347">
              <w:rPr>
                <w:rFonts w:ascii="Verdana" w:hAnsi="Verdana"/>
                <w:b/>
                <w:sz w:val="16"/>
                <w:szCs w:val="16"/>
                <w:lang w:val="en-US"/>
              </w:rPr>
              <w:t>B.11.2.8.1 Quality control</w:t>
            </w:r>
          </w:p>
        </w:tc>
      </w:tr>
      <w:tr w:rsidR="00D95410" w:rsidRPr="00F01347" w14:paraId="3598D700" w14:textId="68CE15DA" w:rsidTr="004F1987">
        <w:tc>
          <w:tcPr>
            <w:tcW w:w="4675" w:type="dxa"/>
          </w:tcPr>
          <w:p w14:paraId="37DD086C" w14:textId="77777777" w:rsidR="00D95410" w:rsidRPr="00F01347" w:rsidRDefault="00D95410" w:rsidP="00D95410">
            <w:pPr>
              <w:pStyle w:val="texto0"/>
              <w:ind w:firstLine="0"/>
              <w:rPr>
                <w:rFonts w:ascii="Verdana" w:hAnsi="Verdana"/>
                <w:sz w:val="16"/>
                <w:szCs w:val="16"/>
              </w:rPr>
            </w:pPr>
            <w:r w:rsidRPr="00F01347">
              <w:rPr>
                <w:rFonts w:ascii="Verdana" w:hAnsi="Verdana"/>
                <w:b/>
                <w:sz w:val="16"/>
                <w:szCs w:val="16"/>
              </w:rPr>
              <w:t>B.11.2.8.1.1 Verificación del equipo.</w:t>
            </w:r>
            <w:r w:rsidRPr="00F01347">
              <w:rPr>
                <w:rFonts w:ascii="Verdana" w:hAnsi="Verdana"/>
                <w:sz w:val="16"/>
                <w:szCs w:val="16"/>
              </w:rPr>
              <w:t xml:space="preserve"> Para asegurar el buen funcionamiento del equipo revise los puntos indicados en el formato de Verificación de Indicadores de Calidad de la técnica.</w:t>
            </w:r>
          </w:p>
        </w:tc>
        <w:tc>
          <w:tcPr>
            <w:tcW w:w="4675" w:type="dxa"/>
          </w:tcPr>
          <w:p w14:paraId="45294880" w14:textId="3D7EAD0B" w:rsidR="00D95410" w:rsidRPr="00F01347" w:rsidRDefault="00D95410" w:rsidP="00D95410">
            <w:pPr>
              <w:pStyle w:val="texto0"/>
              <w:ind w:firstLine="0"/>
              <w:rPr>
                <w:rFonts w:ascii="Verdana" w:hAnsi="Verdana"/>
                <w:b/>
                <w:sz w:val="16"/>
                <w:szCs w:val="16"/>
                <w:lang w:val="en-US"/>
              </w:rPr>
            </w:pPr>
            <w:r w:rsidRPr="00F01347">
              <w:rPr>
                <w:rFonts w:ascii="Verdana" w:hAnsi="Verdana"/>
                <w:b/>
                <w:sz w:val="16"/>
                <w:szCs w:val="16"/>
                <w:lang w:val="en-US"/>
              </w:rPr>
              <w:t xml:space="preserve">B.11.2.8.1.1 Equipment verification. </w:t>
            </w:r>
            <w:r w:rsidRPr="00F01347">
              <w:rPr>
                <w:rFonts w:ascii="Verdana" w:hAnsi="Verdana"/>
                <w:sz w:val="16"/>
                <w:szCs w:val="16"/>
                <w:lang w:val="en-US"/>
              </w:rPr>
              <w:t>To ensure the proper functioning of the equipment, review the points indicated in the technique's Quality Indicator Verification form.</w:t>
            </w:r>
          </w:p>
        </w:tc>
      </w:tr>
      <w:tr w:rsidR="00D95410" w:rsidRPr="00F01347" w14:paraId="2959E9D8" w14:textId="083D1F0D" w:rsidTr="004F1987">
        <w:tc>
          <w:tcPr>
            <w:tcW w:w="4675" w:type="dxa"/>
          </w:tcPr>
          <w:p w14:paraId="437CE494" w14:textId="77777777" w:rsidR="00D95410" w:rsidRPr="00F01347" w:rsidRDefault="00D95410" w:rsidP="00D95410">
            <w:pPr>
              <w:pStyle w:val="texto0"/>
              <w:ind w:firstLine="0"/>
              <w:rPr>
                <w:rFonts w:ascii="Verdana" w:hAnsi="Verdana"/>
                <w:sz w:val="16"/>
                <w:szCs w:val="16"/>
              </w:rPr>
            </w:pPr>
            <w:r w:rsidRPr="00F01347">
              <w:rPr>
                <w:rFonts w:ascii="Verdana" w:hAnsi="Verdana"/>
                <w:b/>
                <w:sz w:val="16"/>
                <w:szCs w:val="16"/>
              </w:rPr>
              <w:t xml:space="preserve">B.11.2.8.1.2 Verificación inicial de la calibración. </w:t>
            </w:r>
            <w:r w:rsidRPr="00F01347">
              <w:rPr>
                <w:rFonts w:ascii="Verdana" w:hAnsi="Verdana"/>
                <w:sz w:val="16"/>
                <w:szCs w:val="16"/>
              </w:rPr>
              <w:t xml:space="preserve">Si para cuantificar la concentración de analito en las muestras y los controles de calidad se emplea una curva de calibración cargada en el programa del equipo obtenida previamente (durante la validación parcial del método), se emplea la respuesta que arroja el pico de sincronía para evaluar la veracidad de la curva. Se compara la respuesta obtenida para este pico con el promedio de las respuestas obtenidas en la validación </w:t>
            </w:r>
            <w:r w:rsidRPr="00F01347">
              <w:rPr>
                <w:rFonts w:ascii="Verdana" w:hAnsi="Verdana"/>
                <w:sz w:val="16"/>
                <w:szCs w:val="16"/>
              </w:rPr>
              <w:lastRenderedPageBreak/>
              <w:t>del método para un estándar de la misma concentración. La diferencia entre estas dos repuestas no debe ser mayor al 15%.</w:t>
            </w:r>
          </w:p>
        </w:tc>
        <w:tc>
          <w:tcPr>
            <w:tcW w:w="4675" w:type="dxa"/>
          </w:tcPr>
          <w:p w14:paraId="2BDCF8C9" w14:textId="3FC14847" w:rsidR="00D95410" w:rsidRPr="00F01347" w:rsidRDefault="00D95410" w:rsidP="00D95410">
            <w:pPr>
              <w:pStyle w:val="texto0"/>
              <w:ind w:firstLine="0"/>
              <w:rPr>
                <w:rFonts w:ascii="Verdana" w:hAnsi="Verdana"/>
                <w:b/>
                <w:sz w:val="16"/>
                <w:szCs w:val="16"/>
                <w:lang w:val="en-US"/>
              </w:rPr>
            </w:pPr>
            <w:r w:rsidRPr="00F01347">
              <w:rPr>
                <w:rFonts w:ascii="Verdana" w:hAnsi="Verdana"/>
                <w:b/>
                <w:sz w:val="16"/>
                <w:szCs w:val="16"/>
                <w:lang w:val="en-US"/>
              </w:rPr>
              <w:lastRenderedPageBreak/>
              <w:t xml:space="preserve">B.11.2.8.1.2 Initial verification of calibration. </w:t>
            </w:r>
            <w:r w:rsidRPr="00F01347">
              <w:rPr>
                <w:rFonts w:ascii="Verdana" w:hAnsi="Verdana"/>
                <w:sz w:val="16"/>
                <w:szCs w:val="16"/>
                <w:lang w:val="en-US"/>
              </w:rPr>
              <w:t xml:space="preserve">If a previously obtained calibration curve loaded into the equipment program is used to quantify the analyte concentration in the samples and quality controls (during the partial validation of the method), the response that yields the synchrony peak is used to evaluate the truth of the curve. The response obtained for this peak is compared with the average of the responses obtained in the validation of the method for </w:t>
            </w:r>
            <w:r w:rsidRPr="00F01347">
              <w:rPr>
                <w:rFonts w:ascii="Verdana" w:hAnsi="Verdana"/>
                <w:sz w:val="16"/>
                <w:szCs w:val="16"/>
                <w:lang w:val="en-US"/>
              </w:rPr>
              <w:lastRenderedPageBreak/>
              <w:t>a standard of the same concentration. The difference between these two answers should not be more than 15%.</w:t>
            </w:r>
          </w:p>
        </w:tc>
      </w:tr>
      <w:tr w:rsidR="00D95410" w:rsidRPr="00F01347" w14:paraId="5C6AFFCC" w14:textId="0EB7CBC6" w:rsidTr="004F1987">
        <w:tc>
          <w:tcPr>
            <w:tcW w:w="4675" w:type="dxa"/>
          </w:tcPr>
          <w:p w14:paraId="796CC268" w14:textId="77777777" w:rsidR="00D95410" w:rsidRPr="00F01347" w:rsidRDefault="00D95410" w:rsidP="00D95410">
            <w:pPr>
              <w:pStyle w:val="texto0"/>
              <w:ind w:firstLine="0"/>
              <w:rPr>
                <w:rFonts w:ascii="Verdana" w:hAnsi="Verdana"/>
                <w:sz w:val="16"/>
                <w:szCs w:val="16"/>
              </w:rPr>
            </w:pPr>
            <w:r w:rsidRPr="00F01347">
              <w:rPr>
                <w:rFonts w:ascii="Verdana" w:hAnsi="Verdana"/>
                <w:sz w:val="16"/>
                <w:szCs w:val="16"/>
              </w:rPr>
              <w:lastRenderedPageBreak/>
              <w:t>Si se hace uso de una curva de calibración nueva para cuantificar la concentración de analito en las muestras y los controles de calidad en un lote, se debe preparar un estándar de verificación inicial de la calibración (ICV), el cual contiene al analito en una concentración conocida y que se encuentra dentro del intervalo de trabajo. Ya que la curva de calibración para sulfato se ajusta a una ecuación de tercer orden, se recomienda que se empleen dos disoluciones ICV. La concentración de una de ellas preparada en la porción de concentraciones bajas (entre 10-100 y mg/L), y la segunda por arriba de 100 mg/L. Estos estándares deben ser preparados a partir de una fuente alterna a la que se empleó para construir la curva de calibración.</w:t>
            </w:r>
          </w:p>
        </w:tc>
        <w:tc>
          <w:tcPr>
            <w:tcW w:w="4675" w:type="dxa"/>
          </w:tcPr>
          <w:p w14:paraId="3C113316" w14:textId="74FE97FE" w:rsidR="00D95410" w:rsidRPr="00F01347" w:rsidRDefault="00D95410" w:rsidP="00D95410">
            <w:pPr>
              <w:pStyle w:val="texto0"/>
              <w:ind w:firstLine="0"/>
              <w:rPr>
                <w:rFonts w:ascii="Verdana" w:hAnsi="Verdana"/>
                <w:sz w:val="16"/>
                <w:szCs w:val="16"/>
                <w:lang w:val="en-US"/>
              </w:rPr>
            </w:pPr>
            <w:r w:rsidRPr="00F01347">
              <w:rPr>
                <w:rFonts w:ascii="Verdana" w:hAnsi="Verdana"/>
                <w:sz w:val="16"/>
                <w:szCs w:val="16"/>
                <w:lang w:val="en-US"/>
              </w:rPr>
              <w:t>If a new calibration curve is used to quantify the analyte concentration in samples and quality controls in a batch, an initial calibration verification (ICV) standard must be prepared, which contains the analyte in a known concentration and which is within the working range. Since the calibration curve for sulfate fits a third-order equation, it is recommended that two ICV solutions be used. The concentration of one of them prepared in the portion of low concentrations (between 10-100 and mg/L), and the second above 100 mg/L. These standards must be prepared from an alternative source to that used to construct the calibration curve.</w:t>
            </w:r>
          </w:p>
        </w:tc>
      </w:tr>
      <w:tr w:rsidR="00D95410" w:rsidRPr="00F01347" w14:paraId="3E4EAD39" w14:textId="60428BAB" w:rsidTr="004F1987">
        <w:tc>
          <w:tcPr>
            <w:tcW w:w="4675" w:type="dxa"/>
          </w:tcPr>
          <w:p w14:paraId="0FE4243B" w14:textId="77777777" w:rsidR="00D95410" w:rsidRPr="00F01347" w:rsidRDefault="00D95410" w:rsidP="00D95410">
            <w:pPr>
              <w:pStyle w:val="texto0"/>
              <w:ind w:firstLine="0"/>
              <w:rPr>
                <w:rFonts w:ascii="Verdana" w:hAnsi="Verdana"/>
                <w:sz w:val="16"/>
                <w:szCs w:val="16"/>
              </w:rPr>
            </w:pPr>
            <w:r w:rsidRPr="00F01347">
              <w:rPr>
                <w:rFonts w:ascii="Verdana" w:hAnsi="Verdana"/>
                <w:b/>
                <w:sz w:val="16"/>
                <w:szCs w:val="16"/>
              </w:rPr>
              <w:t xml:space="preserve">B.11.2.8.1.3 Verificación de contaminación de reactivos. </w:t>
            </w:r>
            <w:r w:rsidRPr="00F01347">
              <w:rPr>
                <w:rFonts w:ascii="Verdana" w:hAnsi="Verdana"/>
                <w:sz w:val="16"/>
                <w:szCs w:val="16"/>
              </w:rPr>
              <w:t xml:space="preserve">Muestras de agua: Se prepara un blanco de reactivos tomando una alícuota de agua desionizada y sometiéndola al mismo procedimiento de preparación y de análisis que el resto de las muestras. La lectura para este blanco de reactivos debe arrojar un valor menor al límite de detección del método y se analiza una </w:t>
            </w:r>
            <w:proofErr w:type="gramStart"/>
            <w:r w:rsidRPr="00F01347">
              <w:rPr>
                <w:rFonts w:ascii="Verdana" w:hAnsi="Verdana"/>
                <w:sz w:val="16"/>
                <w:szCs w:val="16"/>
              </w:rPr>
              <w:t>muestra blanco</w:t>
            </w:r>
            <w:proofErr w:type="gramEnd"/>
            <w:r w:rsidRPr="00F01347">
              <w:rPr>
                <w:rFonts w:ascii="Verdana" w:hAnsi="Verdana"/>
                <w:sz w:val="16"/>
                <w:szCs w:val="16"/>
              </w:rPr>
              <w:t xml:space="preserve"> por cada 20 muestras reales.</w:t>
            </w:r>
          </w:p>
        </w:tc>
        <w:tc>
          <w:tcPr>
            <w:tcW w:w="4675" w:type="dxa"/>
          </w:tcPr>
          <w:p w14:paraId="73F50B51" w14:textId="6619E10F" w:rsidR="00D95410" w:rsidRPr="00F01347" w:rsidRDefault="00D95410" w:rsidP="00D95410">
            <w:pPr>
              <w:pStyle w:val="texto0"/>
              <w:ind w:firstLine="0"/>
              <w:rPr>
                <w:rFonts w:ascii="Verdana" w:hAnsi="Verdana"/>
                <w:b/>
                <w:sz w:val="16"/>
                <w:szCs w:val="16"/>
                <w:lang w:val="en-US"/>
              </w:rPr>
            </w:pPr>
            <w:r w:rsidRPr="00F01347">
              <w:rPr>
                <w:rFonts w:ascii="Verdana" w:hAnsi="Verdana"/>
                <w:b/>
                <w:sz w:val="16"/>
                <w:szCs w:val="16"/>
                <w:lang w:val="en-US"/>
              </w:rPr>
              <w:t xml:space="preserve">B.11.2.8.1.3 Verification of reagent contamination. </w:t>
            </w:r>
            <w:r w:rsidRPr="00F01347">
              <w:rPr>
                <w:rFonts w:ascii="Verdana" w:hAnsi="Verdana"/>
                <w:sz w:val="16"/>
                <w:szCs w:val="16"/>
                <w:lang w:val="en-US"/>
              </w:rPr>
              <w:t>Water samples: A reagent blank is prepared by taking an aliquot of deionized water and subjecting it to the same preparation and analysis procedure as the rest of the samples. The reading for this reagent blank must yield a value lower than the detection limit of the method and one blank sample is analyzed for every 20 real samples.</w:t>
            </w:r>
          </w:p>
        </w:tc>
      </w:tr>
      <w:tr w:rsidR="00D95410" w:rsidRPr="00F01347" w14:paraId="304157EF" w14:textId="5F43E9F4" w:rsidTr="004F1987">
        <w:tc>
          <w:tcPr>
            <w:tcW w:w="4675" w:type="dxa"/>
          </w:tcPr>
          <w:p w14:paraId="6B58299D" w14:textId="77777777" w:rsidR="00D95410" w:rsidRPr="00F01347" w:rsidRDefault="00D95410" w:rsidP="00D95410">
            <w:pPr>
              <w:pStyle w:val="texto0"/>
              <w:ind w:firstLine="0"/>
              <w:rPr>
                <w:rFonts w:ascii="Verdana" w:hAnsi="Verdana"/>
                <w:sz w:val="16"/>
                <w:szCs w:val="16"/>
              </w:rPr>
            </w:pPr>
            <w:r w:rsidRPr="00F01347">
              <w:rPr>
                <w:rFonts w:ascii="Verdana" w:hAnsi="Verdana"/>
                <w:b/>
                <w:sz w:val="16"/>
                <w:szCs w:val="16"/>
              </w:rPr>
              <w:t xml:space="preserve">B.11.2.8.1.4 Verificación del proceso analítico. </w:t>
            </w:r>
            <w:r w:rsidRPr="00F01347">
              <w:rPr>
                <w:rFonts w:ascii="Verdana" w:hAnsi="Verdana"/>
                <w:sz w:val="16"/>
                <w:szCs w:val="16"/>
              </w:rPr>
              <w:t>Se emplean diferentes muestras para verificar el proceso analítico:</w:t>
            </w:r>
          </w:p>
        </w:tc>
        <w:tc>
          <w:tcPr>
            <w:tcW w:w="4675" w:type="dxa"/>
          </w:tcPr>
          <w:p w14:paraId="4B7310D4" w14:textId="09DBEAF9" w:rsidR="00D95410" w:rsidRPr="00F01347" w:rsidRDefault="00D95410" w:rsidP="00D95410">
            <w:pPr>
              <w:pStyle w:val="texto0"/>
              <w:ind w:firstLine="0"/>
              <w:rPr>
                <w:rFonts w:ascii="Verdana" w:hAnsi="Verdana"/>
                <w:b/>
                <w:sz w:val="16"/>
                <w:szCs w:val="16"/>
                <w:lang w:val="en-US"/>
              </w:rPr>
            </w:pPr>
            <w:r w:rsidRPr="00F01347">
              <w:rPr>
                <w:rFonts w:ascii="Verdana" w:hAnsi="Verdana"/>
                <w:b/>
                <w:sz w:val="16"/>
                <w:szCs w:val="16"/>
                <w:lang w:val="en-US"/>
              </w:rPr>
              <w:t xml:space="preserve">B.11.2.8.1.4 Verification of the analytical process. </w:t>
            </w:r>
            <w:r w:rsidRPr="00F01347">
              <w:rPr>
                <w:rFonts w:ascii="Verdana" w:hAnsi="Verdana"/>
                <w:sz w:val="16"/>
                <w:szCs w:val="16"/>
                <w:lang w:val="en-US"/>
              </w:rPr>
              <w:t>Different samples are used to verify the analytical process:</w:t>
            </w:r>
          </w:p>
        </w:tc>
      </w:tr>
      <w:tr w:rsidR="00D95410" w:rsidRPr="00F01347" w14:paraId="3C147966" w14:textId="754344A6" w:rsidTr="004F1987">
        <w:tc>
          <w:tcPr>
            <w:tcW w:w="4675" w:type="dxa"/>
          </w:tcPr>
          <w:p w14:paraId="55D734E1" w14:textId="77777777" w:rsidR="00D95410" w:rsidRPr="00F01347" w:rsidRDefault="00D95410" w:rsidP="00D95410">
            <w:pPr>
              <w:pStyle w:val="texto0"/>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Verificación inicial de la calibración.</w:t>
            </w:r>
          </w:p>
        </w:tc>
        <w:tc>
          <w:tcPr>
            <w:tcW w:w="4675" w:type="dxa"/>
          </w:tcPr>
          <w:p w14:paraId="30AD93C2" w14:textId="54D202DC" w:rsidR="00D95410" w:rsidRPr="00F01347" w:rsidRDefault="00D95410" w:rsidP="00D95410">
            <w:pPr>
              <w:pStyle w:val="texto0"/>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Initial calibration verification.</w:t>
            </w:r>
          </w:p>
        </w:tc>
      </w:tr>
      <w:tr w:rsidR="00D95410" w:rsidRPr="00F01347" w14:paraId="32263A80" w14:textId="3207FA01" w:rsidTr="004F1987">
        <w:tc>
          <w:tcPr>
            <w:tcW w:w="4675" w:type="dxa"/>
          </w:tcPr>
          <w:p w14:paraId="788219D7" w14:textId="77777777" w:rsidR="00D95410" w:rsidRPr="00F01347" w:rsidRDefault="00D95410" w:rsidP="00D95410">
            <w:pPr>
              <w:pStyle w:val="texto0"/>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Verificación de calibración continua (CCC): Con el propósito de comprobar que la calibración verificada al inicio se mantenga vigente durante todo el análisis del lote, se debe analizar a intervalos regulares una disolución estándar de concentración conocida. Se sugiere que ésta sea de la misma concentración del punto intermedio de la curva. La diferencia entre el valor nominal de esta disolución y el valor obtenido en cada medición no debe ser mayor al 10%.</w:t>
            </w:r>
          </w:p>
        </w:tc>
        <w:tc>
          <w:tcPr>
            <w:tcW w:w="4675" w:type="dxa"/>
          </w:tcPr>
          <w:p w14:paraId="770EC157" w14:textId="17C498CD" w:rsidR="00D95410" w:rsidRPr="00F01347" w:rsidRDefault="00D95410" w:rsidP="00D95410">
            <w:pPr>
              <w:pStyle w:val="texto0"/>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Continuous calibration verification (CCC): In order to verify that the calibration verified at the beginning remains valid throughout the batch analysis, a standard solution of known concentration must be analyzed at regular intervals. It is suggested that this be the same concentration as the intermediate point of the curve. The difference between the nominal value of this solution and the value obtained in each measurement should not be greater than 10%.</w:t>
            </w:r>
          </w:p>
        </w:tc>
      </w:tr>
      <w:tr w:rsidR="00D95410" w:rsidRPr="00F01347" w14:paraId="16E1C059" w14:textId="087C58DE" w:rsidTr="004F1987">
        <w:tc>
          <w:tcPr>
            <w:tcW w:w="4675" w:type="dxa"/>
          </w:tcPr>
          <w:p w14:paraId="7F9F21D4" w14:textId="77777777" w:rsidR="00D95410" w:rsidRPr="00F01347" w:rsidRDefault="00D95410" w:rsidP="00D95410">
            <w:pPr>
              <w:pStyle w:val="texto0"/>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Verificación de la linealidad de la curva de calibración. El programa del equipo ajusta una ecuación a los pares de datos obtenidos para las muestras con las que se construyó la curva de calibración. Este ajuste es de tercer orden en el caso de sulfato. Además de la función ajustada, el programa arroja un coeficiente de correlación lineal, el cual debe ser igual o mayor a 0.995.</w:t>
            </w:r>
          </w:p>
        </w:tc>
        <w:tc>
          <w:tcPr>
            <w:tcW w:w="4675" w:type="dxa"/>
          </w:tcPr>
          <w:p w14:paraId="2569F705" w14:textId="6C26B302" w:rsidR="00D95410" w:rsidRPr="00F01347" w:rsidRDefault="00D95410" w:rsidP="00D95410">
            <w:pPr>
              <w:pStyle w:val="texto0"/>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Verification of the linearity of the calibration curve. The equipment's program fits an equation to the pairs of data obtained for the samples with which the calibration curve was constructed. This adjustment is of third order in the case of sulfate. In addition to the fitted function, the program returns a linear correlation coefficient, which must be equal to or greater than 0.995.</w:t>
            </w:r>
          </w:p>
        </w:tc>
      </w:tr>
      <w:tr w:rsidR="00D95410" w:rsidRPr="00F01347" w14:paraId="3466CB52" w14:textId="6EA4BEF4" w:rsidTr="004F1987">
        <w:tc>
          <w:tcPr>
            <w:tcW w:w="4675" w:type="dxa"/>
          </w:tcPr>
          <w:p w14:paraId="6D9CD365" w14:textId="77777777" w:rsidR="00D95410" w:rsidRPr="00F01347" w:rsidRDefault="00D95410" w:rsidP="00D95410">
            <w:pPr>
              <w:pStyle w:val="texto0"/>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Se analiza una muestra sintética de concentración conocida, preparada por el analista preferentemente de una fuente diferente a la de la curva de calibración. La diferencia entre el resultado obtenido y el valor nominal de esta muestra no debe ser mayor al 20%. Se prepara una muestra sintética de concentración conocida por cada 20 muestras reales, estos estándares internos o muestras sintéticas de concentración conocida corresponden a muestras QC o blancos fortificados.</w:t>
            </w:r>
          </w:p>
        </w:tc>
        <w:tc>
          <w:tcPr>
            <w:tcW w:w="4675" w:type="dxa"/>
          </w:tcPr>
          <w:p w14:paraId="413E7EA4" w14:textId="23AE38F5" w:rsidR="00D95410" w:rsidRPr="00F01347" w:rsidRDefault="00D95410" w:rsidP="00D95410">
            <w:pPr>
              <w:pStyle w:val="texto0"/>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A synthetic sample of known concentration is analyzed, prepared by the analyst preferably from a source different from that of the calibration curve. The difference between the result obtained and the nominal value of this sample should not be greater than 20%. A synthetic sample of known concentration is prepared for every 20 real samples. These internal standards or synthetic samples of known concentration correspond to QC samples or fortified blanks.</w:t>
            </w:r>
          </w:p>
        </w:tc>
      </w:tr>
      <w:tr w:rsidR="00D95410" w:rsidRPr="00F01347" w14:paraId="27B1BE57" w14:textId="4CFDBC53" w:rsidTr="004F1987">
        <w:tc>
          <w:tcPr>
            <w:tcW w:w="4675" w:type="dxa"/>
          </w:tcPr>
          <w:p w14:paraId="6692C58E" w14:textId="77777777" w:rsidR="00D95410" w:rsidRPr="00F01347" w:rsidRDefault="00D95410" w:rsidP="00D95410">
            <w:pPr>
              <w:pStyle w:val="texto0"/>
              <w:ind w:firstLine="0"/>
              <w:rPr>
                <w:rFonts w:ascii="Verdana" w:hAnsi="Verdana"/>
                <w:sz w:val="16"/>
                <w:szCs w:val="16"/>
              </w:rPr>
            </w:pPr>
            <w:r w:rsidRPr="00F01347">
              <w:rPr>
                <w:rFonts w:ascii="Verdana" w:hAnsi="Verdana"/>
                <w:sz w:val="16"/>
                <w:szCs w:val="16"/>
              </w:rPr>
              <w:lastRenderedPageBreak/>
              <w:t>●</w:t>
            </w:r>
            <w:r w:rsidRPr="00F01347">
              <w:rPr>
                <w:rFonts w:ascii="Verdana" w:hAnsi="Verdana"/>
                <w:sz w:val="16"/>
                <w:szCs w:val="16"/>
              </w:rPr>
              <w:tab/>
              <w:t>Verificación de repetibilidad de los análisis. Se selecciona al menos una muestra por cada matriz del lote analizado para prepararla y analizarla por duplicado. Con ello se verifica la repetibilidad del proceso al cual se someten las muestras. La diferencia porcentual relativa entre los dos valores obtenidos no debe superar el 20%.</w:t>
            </w:r>
          </w:p>
        </w:tc>
        <w:tc>
          <w:tcPr>
            <w:tcW w:w="4675" w:type="dxa"/>
          </w:tcPr>
          <w:p w14:paraId="3D2EA0DB" w14:textId="6DCBD1C3" w:rsidR="00D95410" w:rsidRPr="00F01347" w:rsidRDefault="00D95410" w:rsidP="00D95410">
            <w:pPr>
              <w:pStyle w:val="texto0"/>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Verification of repeatability of the analyzes. At least one sample is selected for each matrix of the batch analyzed to be prepared and analyzed in duplicate. This verifies the repeatability of the process to which the samples are subjected. The relative percentage difference between the two values obtained must not exceed 20%.</w:t>
            </w:r>
          </w:p>
        </w:tc>
      </w:tr>
      <w:tr w:rsidR="00D95410" w:rsidRPr="00F01347" w14:paraId="6F22E212" w14:textId="53D806F6" w:rsidTr="004F1987">
        <w:tc>
          <w:tcPr>
            <w:tcW w:w="4675" w:type="dxa"/>
          </w:tcPr>
          <w:p w14:paraId="68DFDCB4" w14:textId="77777777" w:rsidR="00D95410" w:rsidRPr="00F01347" w:rsidRDefault="00D95410" w:rsidP="00D95410">
            <w:pPr>
              <w:pStyle w:val="texto0"/>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Verificación de interferencias de matriz. Se debe adicionar al menos una muestra por cada matriz del lote analizado. Las muestras seleccionadas se adicionan con una concentración conocida de analito, la cual se recomienda que sea igual a la establecida como máximo permisible por alguna entidad reguladora o, en su caso, que sea entre una y cinco veces la concentración del analito presente originalmente en la muestra o bien una concentración aproximada del punto intermedio del intervalo de trabajo o menor. Comparando las concentraciones de analito en la muestra sin adicionar y en la adicionada se obtiene un recobro de la adición, el cual debe de estar entre el 80 y el 120 %.</w:t>
            </w:r>
          </w:p>
        </w:tc>
        <w:tc>
          <w:tcPr>
            <w:tcW w:w="4675" w:type="dxa"/>
          </w:tcPr>
          <w:p w14:paraId="218FF192" w14:textId="3F3B1FF9" w:rsidR="00D95410" w:rsidRPr="00F01347" w:rsidRDefault="00D95410" w:rsidP="00D95410">
            <w:pPr>
              <w:pStyle w:val="texto0"/>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Matrix interference check. At least one sample must be added for each matrix of the batch analyzed. The selected samples are added with a known concentration of analyte, which is recommended to be equal to that established as the maximum allowable by some regulatory entity or, where appropriate, to be between one and five times the concentration of the analyte originally present in the sample. shows either a concentration approximately at the midpoint of the working range or lower. Comparing the analyte concentrations in the unadded sample and in the added sample, a recovery of the addition is obtained, which must be between 80 and 120%.</w:t>
            </w:r>
          </w:p>
        </w:tc>
      </w:tr>
      <w:tr w:rsidR="00D95410" w:rsidRPr="00F01347" w14:paraId="7B16A9EF" w14:textId="77777777" w:rsidTr="004F1987">
        <w:tc>
          <w:tcPr>
            <w:tcW w:w="4675" w:type="dxa"/>
          </w:tcPr>
          <w:p w14:paraId="04EB83DF" w14:textId="77777777" w:rsidR="00D95410" w:rsidRPr="00F01347" w:rsidRDefault="00D95410" w:rsidP="00D95410">
            <w:pPr>
              <w:pStyle w:val="texto0"/>
              <w:ind w:left="720" w:hanging="432"/>
              <w:rPr>
                <w:rFonts w:ascii="Verdana" w:hAnsi="Verdana"/>
                <w:sz w:val="16"/>
                <w:szCs w:val="16"/>
              </w:rPr>
            </w:pPr>
            <w:r w:rsidRPr="00F01347">
              <w:rPr>
                <w:rFonts w:ascii="Verdana" w:hAnsi="Verdana"/>
                <w:sz w:val="16"/>
                <w:szCs w:val="16"/>
              </w:rPr>
              <w:t>●</w:t>
            </w:r>
            <w:r w:rsidRPr="00F01347">
              <w:rPr>
                <w:rFonts w:ascii="Verdana" w:hAnsi="Verdana"/>
                <w:sz w:val="16"/>
                <w:szCs w:val="16"/>
              </w:rPr>
              <w:tab/>
              <w:t>Composición del lote. El lote analítico debe conformarse como se indica en la Tabla B.11.2-2, de este Apéndice.</w:t>
            </w:r>
          </w:p>
          <w:p w14:paraId="04D532A3" w14:textId="77777777" w:rsidR="00D95410" w:rsidRPr="00F01347" w:rsidRDefault="00D95410" w:rsidP="00D95410">
            <w:pPr>
              <w:pStyle w:val="texto0"/>
              <w:ind w:firstLine="0"/>
              <w:rPr>
                <w:rFonts w:ascii="Verdana" w:hAnsi="Verdana"/>
                <w:sz w:val="16"/>
                <w:szCs w:val="16"/>
              </w:rPr>
            </w:pPr>
          </w:p>
        </w:tc>
        <w:tc>
          <w:tcPr>
            <w:tcW w:w="4675" w:type="dxa"/>
          </w:tcPr>
          <w:p w14:paraId="5A46704B" w14:textId="77777777" w:rsidR="00D95410" w:rsidRPr="00F01347" w:rsidRDefault="00D95410" w:rsidP="00D95410">
            <w:pPr>
              <w:pStyle w:val="texto0"/>
              <w:ind w:left="720" w:hanging="432"/>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Composition of the lot. The analytical batch must be formed as indicated in Table B.11.2-2, of this Appendix.</w:t>
            </w:r>
          </w:p>
          <w:p w14:paraId="020453FC" w14:textId="77777777" w:rsidR="00D95410" w:rsidRPr="00F01347" w:rsidRDefault="00D95410" w:rsidP="00D95410">
            <w:pPr>
              <w:pStyle w:val="texto0"/>
              <w:ind w:firstLine="0"/>
              <w:rPr>
                <w:rFonts w:ascii="Verdana" w:hAnsi="Verdana"/>
                <w:sz w:val="16"/>
                <w:szCs w:val="16"/>
                <w:lang w:val="en-US"/>
              </w:rPr>
            </w:pPr>
          </w:p>
        </w:tc>
      </w:tr>
    </w:tbl>
    <w:p w14:paraId="66AD6720" w14:textId="77777777" w:rsidR="0055757A" w:rsidRPr="00F01347" w:rsidRDefault="0055757A" w:rsidP="003A601B">
      <w:pPr>
        <w:pStyle w:val="texto0"/>
        <w:ind w:left="720" w:hanging="432"/>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194"/>
        <w:gridCol w:w="1857"/>
        <w:gridCol w:w="1132"/>
        <w:gridCol w:w="4529"/>
      </w:tblGrid>
      <w:tr w:rsidR="00A74CDF" w:rsidRPr="00F01347" w14:paraId="0853AC52" w14:textId="77777777">
        <w:trPr>
          <w:trHeight w:val="20"/>
        </w:trPr>
        <w:tc>
          <w:tcPr>
            <w:tcW w:w="8712" w:type="dxa"/>
            <w:gridSpan w:val="4"/>
            <w:tcBorders>
              <w:bottom w:val="single" w:sz="6" w:space="0" w:color="auto"/>
            </w:tcBorders>
            <w:noWrap/>
          </w:tcPr>
          <w:p w14:paraId="31D9B724" w14:textId="77777777" w:rsidR="00A74CDF" w:rsidRPr="00F01347" w:rsidRDefault="00A74CDF" w:rsidP="003A601B">
            <w:pPr>
              <w:pStyle w:val="texto0"/>
              <w:spacing w:line="232" w:lineRule="exact"/>
              <w:ind w:firstLine="0"/>
              <w:jc w:val="center"/>
              <w:rPr>
                <w:rFonts w:ascii="Verdana" w:hAnsi="Verdana"/>
                <w:b/>
                <w:sz w:val="16"/>
                <w:szCs w:val="16"/>
              </w:rPr>
            </w:pPr>
            <w:r w:rsidRPr="00F01347">
              <w:rPr>
                <w:rFonts w:ascii="Verdana" w:hAnsi="Verdana"/>
                <w:b/>
                <w:sz w:val="16"/>
                <w:szCs w:val="16"/>
              </w:rPr>
              <w:t xml:space="preserve">Tabla B.11.2-2. </w:t>
            </w:r>
            <w:r w:rsidRPr="00F01347">
              <w:rPr>
                <w:rFonts w:ascii="Verdana" w:hAnsi="Verdana"/>
                <w:sz w:val="16"/>
                <w:szCs w:val="16"/>
              </w:rPr>
              <w:t>Composición del lote en el análisis de SO</w:t>
            </w:r>
            <w:r w:rsidRPr="00F01347">
              <w:rPr>
                <w:rFonts w:ascii="Verdana" w:hAnsi="Verdana"/>
                <w:sz w:val="16"/>
                <w:szCs w:val="16"/>
                <w:vertAlign w:val="subscript"/>
              </w:rPr>
              <w:t>4</w:t>
            </w:r>
            <w:r w:rsidRPr="00F01347">
              <w:rPr>
                <w:rFonts w:ascii="Verdana" w:hAnsi="Verdana"/>
                <w:sz w:val="16"/>
                <w:szCs w:val="16"/>
                <w:vertAlign w:val="superscript"/>
              </w:rPr>
              <w:t>2-</w:t>
            </w:r>
            <w:r w:rsidRPr="00F01347">
              <w:rPr>
                <w:rFonts w:ascii="Verdana" w:hAnsi="Verdana"/>
                <w:sz w:val="16"/>
                <w:szCs w:val="16"/>
              </w:rPr>
              <w:t xml:space="preserve"> por colorimetría automatizada.</w:t>
            </w:r>
          </w:p>
        </w:tc>
      </w:tr>
      <w:tr w:rsidR="00A74CDF" w:rsidRPr="00F01347" w14:paraId="43A2A7FB"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0D068585" w14:textId="77777777" w:rsidR="00A74CDF" w:rsidRPr="00F01347" w:rsidRDefault="00A74CDF" w:rsidP="003A601B">
            <w:pPr>
              <w:pStyle w:val="texto0"/>
              <w:spacing w:line="232" w:lineRule="exact"/>
              <w:ind w:firstLine="0"/>
              <w:jc w:val="center"/>
              <w:rPr>
                <w:rFonts w:ascii="Verdana" w:hAnsi="Verdana"/>
                <w:b/>
                <w:sz w:val="16"/>
                <w:szCs w:val="16"/>
              </w:rPr>
            </w:pPr>
            <w:r w:rsidRPr="00F01347">
              <w:rPr>
                <w:rFonts w:ascii="Verdana" w:hAnsi="Verdana"/>
                <w:b/>
                <w:sz w:val="16"/>
                <w:szCs w:val="16"/>
              </w:rPr>
              <w:t>Orden en secuencia</w:t>
            </w:r>
          </w:p>
        </w:tc>
        <w:tc>
          <w:tcPr>
            <w:tcW w:w="1857" w:type="dxa"/>
            <w:tcBorders>
              <w:top w:val="single" w:sz="6" w:space="0" w:color="auto"/>
              <w:left w:val="single" w:sz="6" w:space="0" w:color="auto"/>
              <w:bottom w:val="single" w:sz="6" w:space="0" w:color="auto"/>
              <w:right w:val="single" w:sz="6" w:space="0" w:color="auto"/>
            </w:tcBorders>
          </w:tcPr>
          <w:p w14:paraId="4E3CF23B" w14:textId="77777777" w:rsidR="00A74CDF" w:rsidRPr="00F01347" w:rsidRDefault="00A74CDF" w:rsidP="003A601B">
            <w:pPr>
              <w:pStyle w:val="texto0"/>
              <w:spacing w:line="232" w:lineRule="exact"/>
              <w:ind w:firstLine="0"/>
              <w:jc w:val="center"/>
              <w:rPr>
                <w:rFonts w:ascii="Verdana" w:hAnsi="Verdana"/>
                <w:b/>
                <w:sz w:val="16"/>
                <w:szCs w:val="16"/>
              </w:rPr>
            </w:pPr>
            <w:r w:rsidRPr="00F01347">
              <w:rPr>
                <w:rFonts w:ascii="Verdana" w:hAnsi="Verdana"/>
                <w:b/>
                <w:sz w:val="16"/>
                <w:szCs w:val="16"/>
              </w:rPr>
              <w:t>Tipo de muestra</w:t>
            </w:r>
          </w:p>
        </w:tc>
        <w:tc>
          <w:tcPr>
            <w:tcW w:w="1132" w:type="dxa"/>
            <w:tcBorders>
              <w:top w:val="single" w:sz="6" w:space="0" w:color="auto"/>
              <w:left w:val="single" w:sz="6" w:space="0" w:color="auto"/>
              <w:bottom w:val="single" w:sz="6" w:space="0" w:color="auto"/>
              <w:right w:val="single" w:sz="6" w:space="0" w:color="auto"/>
            </w:tcBorders>
          </w:tcPr>
          <w:p w14:paraId="13259864" w14:textId="77777777" w:rsidR="00A74CDF" w:rsidRPr="00F01347" w:rsidRDefault="00A74CDF" w:rsidP="003A601B">
            <w:pPr>
              <w:pStyle w:val="texto0"/>
              <w:spacing w:line="232" w:lineRule="exact"/>
              <w:ind w:firstLine="0"/>
              <w:jc w:val="center"/>
              <w:rPr>
                <w:rFonts w:ascii="Verdana" w:hAnsi="Verdana"/>
                <w:b/>
                <w:sz w:val="16"/>
                <w:szCs w:val="16"/>
              </w:rPr>
            </w:pPr>
            <w:r w:rsidRPr="00F01347">
              <w:rPr>
                <w:rFonts w:ascii="Verdana" w:hAnsi="Verdana"/>
                <w:b/>
                <w:sz w:val="16"/>
                <w:szCs w:val="16"/>
              </w:rPr>
              <w:t xml:space="preserve">Clave en </w:t>
            </w:r>
            <w:proofErr w:type="spellStart"/>
            <w:r w:rsidRPr="00F01347">
              <w:rPr>
                <w:rFonts w:ascii="Verdana" w:hAnsi="Verdana"/>
                <w:b/>
                <w:sz w:val="16"/>
                <w:szCs w:val="16"/>
              </w:rPr>
              <w:t>WinFlow</w:t>
            </w:r>
            <w:proofErr w:type="spellEnd"/>
          </w:p>
        </w:tc>
        <w:tc>
          <w:tcPr>
            <w:tcW w:w="4529" w:type="dxa"/>
            <w:tcBorders>
              <w:top w:val="single" w:sz="6" w:space="0" w:color="auto"/>
              <w:left w:val="single" w:sz="6" w:space="0" w:color="auto"/>
              <w:bottom w:val="single" w:sz="6" w:space="0" w:color="auto"/>
              <w:right w:val="single" w:sz="6" w:space="0" w:color="auto"/>
            </w:tcBorders>
          </w:tcPr>
          <w:p w14:paraId="2453F31F" w14:textId="77777777" w:rsidR="00A74CDF" w:rsidRPr="00F01347" w:rsidRDefault="00A74CDF" w:rsidP="00A154A2">
            <w:pPr>
              <w:pStyle w:val="texto0"/>
              <w:spacing w:line="232" w:lineRule="exact"/>
              <w:ind w:firstLine="0"/>
              <w:jc w:val="center"/>
              <w:rPr>
                <w:rFonts w:ascii="Verdana" w:hAnsi="Verdana"/>
                <w:b/>
                <w:sz w:val="16"/>
                <w:szCs w:val="16"/>
              </w:rPr>
            </w:pPr>
            <w:r w:rsidRPr="00F01347">
              <w:rPr>
                <w:rFonts w:ascii="Verdana" w:hAnsi="Verdana"/>
                <w:b/>
                <w:sz w:val="16"/>
                <w:szCs w:val="16"/>
              </w:rPr>
              <w:t>Función</w:t>
            </w:r>
          </w:p>
        </w:tc>
      </w:tr>
      <w:tr w:rsidR="00A74CDF" w:rsidRPr="00F01347" w14:paraId="139F62B0"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5213191B" w14:textId="77777777" w:rsidR="00A74CDF" w:rsidRPr="00F01347" w:rsidRDefault="00A74CDF" w:rsidP="003A601B">
            <w:pPr>
              <w:pStyle w:val="texto0"/>
              <w:spacing w:line="232" w:lineRule="exact"/>
              <w:ind w:firstLine="0"/>
              <w:jc w:val="center"/>
              <w:rPr>
                <w:rFonts w:ascii="Verdana" w:hAnsi="Verdana"/>
                <w:sz w:val="16"/>
                <w:szCs w:val="16"/>
              </w:rPr>
            </w:pPr>
            <w:r w:rsidRPr="00F01347">
              <w:rPr>
                <w:rFonts w:ascii="Verdana" w:hAnsi="Verdana"/>
                <w:sz w:val="16"/>
                <w:szCs w:val="16"/>
              </w:rPr>
              <w:t>1</w:t>
            </w:r>
          </w:p>
        </w:tc>
        <w:tc>
          <w:tcPr>
            <w:tcW w:w="1857" w:type="dxa"/>
            <w:tcBorders>
              <w:top w:val="single" w:sz="6" w:space="0" w:color="auto"/>
              <w:left w:val="single" w:sz="6" w:space="0" w:color="auto"/>
              <w:bottom w:val="single" w:sz="6" w:space="0" w:color="auto"/>
              <w:right w:val="single" w:sz="6" w:space="0" w:color="auto"/>
            </w:tcBorders>
          </w:tcPr>
          <w:p w14:paraId="41B7013E" w14:textId="77777777" w:rsidR="00A74CDF" w:rsidRPr="00F01347" w:rsidRDefault="00A74CDF" w:rsidP="003A601B">
            <w:pPr>
              <w:pStyle w:val="texto0"/>
              <w:spacing w:line="232" w:lineRule="exact"/>
              <w:ind w:firstLine="0"/>
              <w:jc w:val="center"/>
              <w:rPr>
                <w:rFonts w:ascii="Verdana" w:hAnsi="Verdana"/>
                <w:sz w:val="16"/>
                <w:szCs w:val="16"/>
              </w:rPr>
            </w:pPr>
            <w:r w:rsidRPr="00F01347">
              <w:rPr>
                <w:rFonts w:ascii="Verdana" w:hAnsi="Verdana"/>
                <w:sz w:val="16"/>
                <w:szCs w:val="16"/>
              </w:rPr>
              <w:t>Pico de sincronía</w:t>
            </w:r>
          </w:p>
        </w:tc>
        <w:tc>
          <w:tcPr>
            <w:tcW w:w="1132" w:type="dxa"/>
            <w:tcBorders>
              <w:top w:val="single" w:sz="6" w:space="0" w:color="auto"/>
              <w:left w:val="single" w:sz="6" w:space="0" w:color="auto"/>
              <w:bottom w:val="single" w:sz="6" w:space="0" w:color="auto"/>
              <w:right w:val="single" w:sz="6" w:space="0" w:color="auto"/>
            </w:tcBorders>
          </w:tcPr>
          <w:p w14:paraId="24B77899" w14:textId="77777777" w:rsidR="00A74CDF" w:rsidRPr="00F01347" w:rsidRDefault="00A74CDF" w:rsidP="003A601B">
            <w:pPr>
              <w:pStyle w:val="texto0"/>
              <w:spacing w:line="232" w:lineRule="exact"/>
              <w:ind w:firstLine="0"/>
              <w:jc w:val="center"/>
              <w:rPr>
                <w:rFonts w:ascii="Verdana" w:hAnsi="Verdana"/>
                <w:sz w:val="16"/>
                <w:szCs w:val="16"/>
              </w:rPr>
            </w:pPr>
            <w:r w:rsidRPr="00F01347">
              <w:rPr>
                <w:rFonts w:ascii="Verdana" w:hAnsi="Verdana"/>
                <w:sz w:val="16"/>
                <w:szCs w:val="16"/>
              </w:rPr>
              <w:t>SYNC</w:t>
            </w:r>
          </w:p>
        </w:tc>
        <w:tc>
          <w:tcPr>
            <w:tcW w:w="4529" w:type="dxa"/>
            <w:tcBorders>
              <w:top w:val="single" w:sz="6" w:space="0" w:color="auto"/>
              <w:left w:val="single" w:sz="6" w:space="0" w:color="auto"/>
              <w:bottom w:val="single" w:sz="6" w:space="0" w:color="auto"/>
              <w:right w:val="single" w:sz="6" w:space="0" w:color="auto"/>
            </w:tcBorders>
          </w:tcPr>
          <w:p w14:paraId="2D9A4D97" w14:textId="77777777" w:rsidR="00A74CDF" w:rsidRPr="00F01347" w:rsidRDefault="00A74CDF" w:rsidP="003A601B">
            <w:pPr>
              <w:pStyle w:val="texto0"/>
              <w:spacing w:line="232" w:lineRule="exact"/>
              <w:ind w:firstLine="0"/>
              <w:rPr>
                <w:rFonts w:ascii="Verdana" w:hAnsi="Verdana"/>
                <w:sz w:val="16"/>
                <w:szCs w:val="16"/>
              </w:rPr>
            </w:pPr>
            <w:r w:rsidRPr="00F01347">
              <w:rPr>
                <w:rFonts w:ascii="Verdana" w:hAnsi="Verdana"/>
                <w:sz w:val="16"/>
                <w:szCs w:val="16"/>
              </w:rPr>
              <w:t xml:space="preserve">Primer pico que </w:t>
            </w:r>
            <w:r w:rsidR="00285838" w:rsidRPr="00F01347">
              <w:rPr>
                <w:rFonts w:ascii="Verdana" w:hAnsi="Verdana"/>
                <w:sz w:val="16"/>
                <w:szCs w:val="16"/>
              </w:rPr>
              <w:t>detecta el equipo. A partir de é</w:t>
            </w:r>
            <w:r w:rsidRPr="00F01347">
              <w:rPr>
                <w:rFonts w:ascii="Verdana" w:hAnsi="Verdana"/>
                <w:sz w:val="16"/>
                <w:szCs w:val="16"/>
              </w:rPr>
              <w:t>ste el programa comienza a contar la duración de los ciclos de toma de muestra.</w:t>
            </w:r>
          </w:p>
        </w:tc>
      </w:tr>
      <w:tr w:rsidR="00A74CDF" w:rsidRPr="00F01347" w14:paraId="434254E7"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6499C2B1" w14:textId="77777777" w:rsidR="00A74CDF" w:rsidRPr="00F01347" w:rsidRDefault="00A74CDF" w:rsidP="003A601B">
            <w:pPr>
              <w:pStyle w:val="texto0"/>
              <w:spacing w:line="232" w:lineRule="exact"/>
              <w:ind w:firstLine="0"/>
              <w:jc w:val="center"/>
              <w:rPr>
                <w:rFonts w:ascii="Verdana" w:hAnsi="Verdana"/>
                <w:sz w:val="16"/>
                <w:szCs w:val="16"/>
              </w:rPr>
            </w:pPr>
            <w:r w:rsidRPr="00F01347">
              <w:rPr>
                <w:rFonts w:ascii="Verdana" w:hAnsi="Verdana"/>
                <w:sz w:val="16"/>
                <w:szCs w:val="16"/>
              </w:rPr>
              <w:t>2</w:t>
            </w:r>
          </w:p>
        </w:tc>
        <w:tc>
          <w:tcPr>
            <w:tcW w:w="1857" w:type="dxa"/>
            <w:tcBorders>
              <w:top w:val="single" w:sz="6" w:space="0" w:color="auto"/>
              <w:left w:val="single" w:sz="6" w:space="0" w:color="auto"/>
              <w:bottom w:val="single" w:sz="6" w:space="0" w:color="auto"/>
              <w:right w:val="single" w:sz="6" w:space="0" w:color="auto"/>
            </w:tcBorders>
          </w:tcPr>
          <w:p w14:paraId="79CEE873" w14:textId="77777777" w:rsidR="00A74CDF" w:rsidRPr="00F01347" w:rsidRDefault="00A74CDF" w:rsidP="003A601B">
            <w:pPr>
              <w:pStyle w:val="texto0"/>
              <w:spacing w:line="232" w:lineRule="exact"/>
              <w:ind w:firstLine="0"/>
              <w:jc w:val="center"/>
              <w:rPr>
                <w:rFonts w:ascii="Verdana" w:hAnsi="Verdana"/>
                <w:sz w:val="16"/>
                <w:szCs w:val="16"/>
              </w:rPr>
            </w:pPr>
            <w:r w:rsidRPr="00F01347">
              <w:rPr>
                <w:rFonts w:ascii="Verdana" w:hAnsi="Verdana"/>
                <w:sz w:val="16"/>
                <w:szCs w:val="16"/>
              </w:rPr>
              <w:t>Arrastre (</w:t>
            </w:r>
            <w:proofErr w:type="spellStart"/>
            <w:r w:rsidRPr="00F01347">
              <w:rPr>
                <w:rFonts w:ascii="Verdana" w:hAnsi="Verdana"/>
                <w:i/>
                <w:sz w:val="16"/>
                <w:szCs w:val="16"/>
              </w:rPr>
              <w:t>carryover</w:t>
            </w:r>
            <w:proofErr w:type="spellEnd"/>
            <w:r w:rsidRPr="00F01347">
              <w:rPr>
                <w:rFonts w:ascii="Verdana" w:hAnsi="Verdana"/>
                <w:sz w:val="16"/>
                <w:szCs w:val="16"/>
              </w:rPr>
              <w:t>)</w:t>
            </w:r>
          </w:p>
        </w:tc>
        <w:tc>
          <w:tcPr>
            <w:tcW w:w="1132" w:type="dxa"/>
            <w:tcBorders>
              <w:top w:val="single" w:sz="6" w:space="0" w:color="auto"/>
              <w:left w:val="single" w:sz="6" w:space="0" w:color="auto"/>
              <w:bottom w:val="single" w:sz="6" w:space="0" w:color="auto"/>
              <w:right w:val="single" w:sz="6" w:space="0" w:color="auto"/>
            </w:tcBorders>
          </w:tcPr>
          <w:p w14:paraId="11B8700D" w14:textId="77777777" w:rsidR="00A74CDF" w:rsidRPr="00F01347" w:rsidRDefault="00A74CDF" w:rsidP="003A601B">
            <w:pPr>
              <w:pStyle w:val="texto0"/>
              <w:spacing w:line="232" w:lineRule="exact"/>
              <w:ind w:firstLine="0"/>
              <w:jc w:val="center"/>
              <w:rPr>
                <w:rFonts w:ascii="Verdana" w:hAnsi="Verdana"/>
                <w:sz w:val="16"/>
                <w:szCs w:val="16"/>
              </w:rPr>
            </w:pPr>
            <w:r w:rsidRPr="00F01347">
              <w:rPr>
                <w:rFonts w:ascii="Verdana" w:hAnsi="Verdana"/>
                <w:sz w:val="16"/>
                <w:szCs w:val="16"/>
              </w:rPr>
              <w:t>CO</w:t>
            </w:r>
          </w:p>
        </w:tc>
        <w:tc>
          <w:tcPr>
            <w:tcW w:w="4529" w:type="dxa"/>
            <w:tcBorders>
              <w:top w:val="single" w:sz="6" w:space="0" w:color="auto"/>
              <w:left w:val="single" w:sz="6" w:space="0" w:color="auto"/>
              <w:bottom w:val="single" w:sz="6" w:space="0" w:color="auto"/>
              <w:right w:val="single" w:sz="6" w:space="0" w:color="auto"/>
            </w:tcBorders>
          </w:tcPr>
          <w:p w14:paraId="6BAF6854" w14:textId="77777777" w:rsidR="00A74CDF" w:rsidRPr="00F01347" w:rsidRDefault="00A74CDF" w:rsidP="003A601B">
            <w:pPr>
              <w:pStyle w:val="texto0"/>
              <w:spacing w:line="232" w:lineRule="exact"/>
              <w:ind w:firstLine="0"/>
              <w:rPr>
                <w:rFonts w:ascii="Verdana" w:hAnsi="Verdana"/>
                <w:sz w:val="16"/>
                <w:szCs w:val="16"/>
              </w:rPr>
            </w:pPr>
            <w:r w:rsidRPr="00F01347">
              <w:rPr>
                <w:rFonts w:ascii="Verdana" w:hAnsi="Verdana"/>
                <w:sz w:val="16"/>
                <w:szCs w:val="16"/>
              </w:rPr>
              <w:t>Con éste el equipo calcula qué porcentaje del pico de sincronía está siendo cuantificado en la siguiente toma de muestra.</w:t>
            </w:r>
          </w:p>
        </w:tc>
      </w:tr>
      <w:tr w:rsidR="00A74CDF" w:rsidRPr="00F01347" w14:paraId="6C1B687A"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62BFFB75" w14:textId="77777777" w:rsidR="00A74CDF" w:rsidRPr="00F01347" w:rsidRDefault="00A74CDF" w:rsidP="003A601B">
            <w:pPr>
              <w:pStyle w:val="texto0"/>
              <w:spacing w:line="232" w:lineRule="exact"/>
              <w:ind w:firstLine="0"/>
              <w:jc w:val="center"/>
              <w:rPr>
                <w:rFonts w:ascii="Verdana" w:hAnsi="Verdana"/>
                <w:sz w:val="16"/>
                <w:szCs w:val="16"/>
              </w:rPr>
            </w:pPr>
            <w:r w:rsidRPr="00F01347">
              <w:rPr>
                <w:rFonts w:ascii="Verdana" w:hAnsi="Verdana"/>
                <w:sz w:val="16"/>
                <w:szCs w:val="16"/>
              </w:rPr>
              <w:t>3</w:t>
            </w:r>
          </w:p>
        </w:tc>
        <w:tc>
          <w:tcPr>
            <w:tcW w:w="1857" w:type="dxa"/>
            <w:tcBorders>
              <w:top w:val="single" w:sz="6" w:space="0" w:color="auto"/>
              <w:left w:val="single" w:sz="6" w:space="0" w:color="auto"/>
              <w:bottom w:val="single" w:sz="6" w:space="0" w:color="auto"/>
              <w:right w:val="single" w:sz="6" w:space="0" w:color="auto"/>
            </w:tcBorders>
          </w:tcPr>
          <w:p w14:paraId="7A1E93AA" w14:textId="77777777" w:rsidR="00A74CDF" w:rsidRPr="00F01347" w:rsidRDefault="00A74CDF" w:rsidP="003A601B">
            <w:pPr>
              <w:pStyle w:val="texto0"/>
              <w:spacing w:line="232" w:lineRule="exact"/>
              <w:ind w:firstLine="0"/>
              <w:jc w:val="center"/>
              <w:rPr>
                <w:rFonts w:ascii="Verdana" w:hAnsi="Verdana"/>
                <w:sz w:val="16"/>
                <w:szCs w:val="16"/>
              </w:rPr>
            </w:pPr>
            <w:r w:rsidRPr="00F01347">
              <w:rPr>
                <w:rFonts w:ascii="Verdana" w:hAnsi="Verdana"/>
                <w:sz w:val="16"/>
                <w:szCs w:val="16"/>
              </w:rPr>
              <w:t>Enjuague</w:t>
            </w:r>
          </w:p>
        </w:tc>
        <w:tc>
          <w:tcPr>
            <w:tcW w:w="1132" w:type="dxa"/>
            <w:tcBorders>
              <w:top w:val="single" w:sz="6" w:space="0" w:color="auto"/>
              <w:left w:val="single" w:sz="6" w:space="0" w:color="auto"/>
              <w:bottom w:val="single" w:sz="6" w:space="0" w:color="auto"/>
              <w:right w:val="single" w:sz="6" w:space="0" w:color="auto"/>
            </w:tcBorders>
          </w:tcPr>
          <w:p w14:paraId="0213CAA3" w14:textId="77777777" w:rsidR="00A74CDF" w:rsidRPr="00F01347" w:rsidRDefault="00A74CDF" w:rsidP="003A601B">
            <w:pPr>
              <w:pStyle w:val="texto0"/>
              <w:spacing w:line="232" w:lineRule="exact"/>
              <w:ind w:firstLine="0"/>
              <w:jc w:val="center"/>
              <w:rPr>
                <w:rFonts w:ascii="Verdana" w:hAnsi="Verdana"/>
                <w:sz w:val="16"/>
                <w:szCs w:val="16"/>
              </w:rPr>
            </w:pPr>
            <w:r w:rsidRPr="00F01347">
              <w:rPr>
                <w:rFonts w:ascii="Verdana" w:hAnsi="Verdana"/>
                <w:sz w:val="16"/>
                <w:szCs w:val="16"/>
              </w:rPr>
              <w:t>BLNK</w:t>
            </w:r>
          </w:p>
        </w:tc>
        <w:tc>
          <w:tcPr>
            <w:tcW w:w="4529" w:type="dxa"/>
            <w:tcBorders>
              <w:top w:val="single" w:sz="6" w:space="0" w:color="auto"/>
              <w:left w:val="single" w:sz="6" w:space="0" w:color="auto"/>
              <w:bottom w:val="single" w:sz="6" w:space="0" w:color="auto"/>
              <w:right w:val="single" w:sz="6" w:space="0" w:color="auto"/>
            </w:tcBorders>
          </w:tcPr>
          <w:p w14:paraId="4C5175A7" w14:textId="77777777" w:rsidR="00A74CDF" w:rsidRPr="00F01347" w:rsidRDefault="00A74CDF" w:rsidP="003A601B">
            <w:pPr>
              <w:pStyle w:val="texto0"/>
              <w:spacing w:line="232" w:lineRule="exact"/>
              <w:ind w:firstLine="0"/>
              <w:rPr>
                <w:rFonts w:ascii="Verdana" w:hAnsi="Verdana"/>
                <w:sz w:val="16"/>
                <w:szCs w:val="16"/>
              </w:rPr>
            </w:pPr>
            <w:r w:rsidRPr="00F01347">
              <w:rPr>
                <w:rFonts w:ascii="Verdana" w:hAnsi="Verdana"/>
                <w:sz w:val="16"/>
                <w:szCs w:val="16"/>
              </w:rPr>
              <w:t>Limpia las líneas de los restos de las inyecciones anteriores.</w:t>
            </w:r>
          </w:p>
        </w:tc>
      </w:tr>
      <w:tr w:rsidR="00A74CDF" w:rsidRPr="00F01347" w14:paraId="0B94513D"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7283F4DF" w14:textId="77777777" w:rsidR="00A74CDF" w:rsidRPr="00F01347" w:rsidRDefault="00A74CDF" w:rsidP="003A601B">
            <w:pPr>
              <w:pStyle w:val="texto0"/>
              <w:spacing w:line="232" w:lineRule="exact"/>
              <w:ind w:firstLine="0"/>
              <w:jc w:val="center"/>
              <w:rPr>
                <w:rFonts w:ascii="Verdana" w:hAnsi="Verdana"/>
                <w:sz w:val="16"/>
                <w:szCs w:val="16"/>
              </w:rPr>
            </w:pPr>
            <w:r w:rsidRPr="00F01347">
              <w:rPr>
                <w:rFonts w:ascii="Verdana" w:hAnsi="Verdana"/>
                <w:sz w:val="16"/>
                <w:szCs w:val="16"/>
              </w:rPr>
              <w:t>4</w:t>
            </w:r>
          </w:p>
        </w:tc>
        <w:tc>
          <w:tcPr>
            <w:tcW w:w="1857" w:type="dxa"/>
            <w:tcBorders>
              <w:top w:val="single" w:sz="6" w:space="0" w:color="auto"/>
              <w:left w:val="single" w:sz="6" w:space="0" w:color="auto"/>
              <w:bottom w:val="single" w:sz="6" w:space="0" w:color="auto"/>
              <w:right w:val="single" w:sz="6" w:space="0" w:color="auto"/>
            </w:tcBorders>
          </w:tcPr>
          <w:p w14:paraId="4B560639" w14:textId="77777777" w:rsidR="00A74CDF" w:rsidRPr="00F01347" w:rsidRDefault="00A74CDF" w:rsidP="003A601B">
            <w:pPr>
              <w:pStyle w:val="texto0"/>
              <w:spacing w:line="232" w:lineRule="exact"/>
              <w:ind w:firstLine="0"/>
              <w:jc w:val="center"/>
              <w:rPr>
                <w:rFonts w:ascii="Verdana" w:hAnsi="Verdana"/>
                <w:sz w:val="16"/>
                <w:szCs w:val="16"/>
              </w:rPr>
            </w:pPr>
            <w:r w:rsidRPr="00F01347">
              <w:rPr>
                <w:rFonts w:ascii="Verdana" w:hAnsi="Verdana"/>
                <w:sz w:val="16"/>
                <w:szCs w:val="16"/>
              </w:rPr>
              <w:t>Línea base</w:t>
            </w:r>
          </w:p>
        </w:tc>
        <w:tc>
          <w:tcPr>
            <w:tcW w:w="1132" w:type="dxa"/>
            <w:tcBorders>
              <w:top w:val="single" w:sz="6" w:space="0" w:color="auto"/>
              <w:left w:val="single" w:sz="6" w:space="0" w:color="auto"/>
              <w:bottom w:val="single" w:sz="6" w:space="0" w:color="auto"/>
              <w:right w:val="single" w:sz="6" w:space="0" w:color="auto"/>
            </w:tcBorders>
          </w:tcPr>
          <w:p w14:paraId="3E39923F" w14:textId="77777777" w:rsidR="00A74CDF" w:rsidRPr="00F01347" w:rsidRDefault="00A74CDF" w:rsidP="003A601B">
            <w:pPr>
              <w:pStyle w:val="texto0"/>
              <w:spacing w:line="232" w:lineRule="exact"/>
              <w:ind w:firstLine="0"/>
              <w:jc w:val="center"/>
              <w:rPr>
                <w:rFonts w:ascii="Verdana" w:hAnsi="Verdana"/>
                <w:sz w:val="16"/>
                <w:szCs w:val="16"/>
              </w:rPr>
            </w:pPr>
            <w:r w:rsidRPr="00F01347">
              <w:rPr>
                <w:rFonts w:ascii="Verdana" w:hAnsi="Verdana"/>
                <w:sz w:val="16"/>
                <w:szCs w:val="16"/>
              </w:rPr>
              <w:t>RB</w:t>
            </w:r>
          </w:p>
        </w:tc>
        <w:tc>
          <w:tcPr>
            <w:tcW w:w="4529" w:type="dxa"/>
            <w:tcBorders>
              <w:top w:val="single" w:sz="6" w:space="0" w:color="auto"/>
              <w:left w:val="single" w:sz="6" w:space="0" w:color="auto"/>
              <w:bottom w:val="single" w:sz="6" w:space="0" w:color="auto"/>
              <w:right w:val="single" w:sz="6" w:space="0" w:color="auto"/>
            </w:tcBorders>
          </w:tcPr>
          <w:p w14:paraId="41AC570C" w14:textId="77777777" w:rsidR="00A74CDF" w:rsidRPr="00F01347" w:rsidRDefault="00A74CDF" w:rsidP="003A601B">
            <w:pPr>
              <w:pStyle w:val="texto0"/>
              <w:spacing w:line="232" w:lineRule="exact"/>
              <w:ind w:firstLine="0"/>
              <w:rPr>
                <w:rFonts w:ascii="Verdana" w:hAnsi="Verdana"/>
                <w:sz w:val="16"/>
                <w:szCs w:val="16"/>
              </w:rPr>
            </w:pPr>
            <w:r w:rsidRPr="00F01347">
              <w:rPr>
                <w:rFonts w:ascii="Verdana" w:hAnsi="Verdana"/>
                <w:sz w:val="16"/>
                <w:szCs w:val="16"/>
              </w:rPr>
              <w:t>Establece un punto de anclaje para la línea base.</w:t>
            </w:r>
          </w:p>
        </w:tc>
      </w:tr>
      <w:tr w:rsidR="00A74CDF" w:rsidRPr="00F01347" w14:paraId="3EA3B333"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53FD3786"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5</w:t>
            </w:r>
          </w:p>
        </w:tc>
        <w:tc>
          <w:tcPr>
            <w:tcW w:w="1857" w:type="dxa"/>
            <w:tcBorders>
              <w:top w:val="single" w:sz="6" w:space="0" w:color="auto"/>
              <w:left w:val="single" w:sz="6" w:space="0" w:color="auto"/>
              <w:bottom w:val="single" w:sz="6" w:space="0" w:color="auto"/>
              <w:right w:val="single" w:sz="6" w:space="0" w:color="auto"/>
            </w:tcBorders>
          </w:tcPr>
          <w:p w14:paraId="3447E985"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Estándares de calibración</w:t>
            </w:r>
          </w:p>
        </w:tc>
        <w:tc>
          <w:tcPr>
            <w:tcW w:w="1132" w:type="dxa"/>
            <w:tcBorders>
              <w:top w:val="single" w:sz="6" w:space="0" w:color="auto"/>
              <w:left w:val="single" w:sz="6" w:space="0" w:color="auto"/>
              <w:bottom w:val="single" w:sz="6" w:space="0" w:color="auto"/>
              <w:right w:val="single" w:sz="6" w:space="0" w:color="auto"/>
            </w:tcBorders>
          </w:tcPr>
          <w:p w14:paraId="45D664FD"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C</w:t>
            </w:r>
          </w:p>
        </w:tc>
        <w:tc>
          <w:tcPr>
            <w:tcW w:w="4529" w:type="dxa"/>
            <w:tcBorders>
              <w:top w:val="single" w:sz="6" w:space="0" w:color="auto"/>
              <w:left w:val="single" w:sz="6" w:space="0" w:color="auto"/>
              <w:bottom w:val="single" w:sz="6" w:space="0" w:color="auto"/>
              <w:right w:val="single" w:sz="6" w:space="0" w:color="auto"/>
            </w:tcBorders>
          </w:tcPr>
          <w:p w14:paraId="4CED174D" w14:textId="77777777" w:rsidR="00A74CDF" w:rsidRPr="00F01347" w:rsidRDefault="00A74CDF" w:rsidP="003A601B">
            <w:pPr>
              <w:pStyle w:val="texto0"/>
              <w:spacing w:line="248" w:lineRule="exact"/>
              <w:ind w:firstLine="0"/>
              <w:rPr>
                <w:rFonts w:ascii="Verdana" w:hAnsi="Verdana"/>
                <w:sz w:val="16"/>
                <w:szCs w:val="16"/>
              </w:rPr>
            </w:pPr>
            <w:r w:rsidRPr="00F01347">
              <w:rPr>
                <w:rFonts w:ascii="Verdana" w:hAnsi="Verdana"/>
                <w:sz w:val="16"/>
                <w:szCs w:val="16"/>
              </w:rPr>
              <w:t>Serie de estándares de diferente concentración que el equipo usa para construir la curva de calibración. Se omiten si se emplea una curva cargada en el equipo.</w:t>
            </w:r>
          </w:p>
        </w:tc>
      </w:tr>
      <w:tr w:rsidR="00A74CDF" w:rsidRPr="00F01347" w14:paraId="4689D912"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291E7748"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6</w:t>
            </w:r>
          </w:p>
        </w:tc>
        <w:tc>
          <w:tcPr>
            <w:tcW w:w="1857" w:type="dxa"/>
            <w:tcBorders>
              <w:top w:val="single" w:sz="6" w:space="0" w:color="auto"/>
              <w:left w:val="single" w:sz="6" w:space="0" w:color="auto"/>
              <w:bottom w:val="single" w:sz="6" w:space="0" w:color="auto"/>
              <w:right w:val="single" w:sz="6" w:space="0" w:color="auto"/>
            </w:tcBorders>
          </w:tcPr>
          <w:p w14:paraId="10D2D123"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Enjuague</w:t>
            </w:r>
          </w:p>
        </w:tc>
        <w:tc>
          <w:tcPr>
            <w:tcW w:w="1132" w:type="dxa"/>
            <w:tcBorders>
              <w:top w:val="single" w:sz="6" w:space="0" w:color="auto"/>
              <w:left w:val="single" w:sz="6" w:space="0" w:color="auto"/>
              <w:bottom w:val="single" w:sz="6" w:space="0" w:color="auto"/>
              <w:right w:val="single" w:sz="6" w:space="0" w:color="auto"/>
            </w:tcBorders>
          </w:tcPr>
          <w:p w14:paraId="02ADE63D"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BLNK</w:t>
            </w:r>
          </w:p>
        </w:tc>
        <w:tc>
          <w:tcPr>
            <w:tcW w:w="4529" w:type="dxa"/>
            <w:tcBorders>
              <w:top w:val="single" w:sz="6" w:space="0" w:color="auto"/>
              <w:left w:val="single" w:sz="6" w:space="0" w:color="auto"/>
              <w:bottom w:val="single" w:sz="6" w:space="0" w:color="auto"/>
              <w:right w:val="single" w:sz="6" w:space="0" w:color="auto"/>
            </w:tcBorders>
          </w:tcPr>
          <w:p w14:paraId="64666050" w14:textId="77777777" w:rsidR="00A74CDF" w:rsidRPr="00F01347" w:rsidRDefault="00A74CDF" w:rsidP="003A601B">
            <w:pPr>
              <w:pStyle w:val="texto0"/>
              <w:spacing w:line="248" w:lineRule="exact"/>
              <w:ind w:firstLine="0"/>
              <w:rPr>
                <w:rFonts w:ascii="Verdana" w:hAnsi="Verdana"/>
                <w:sz w:val="16"/>
                <w:szCs w:val="16"/>
              </w:rPr>
            </w:pPr>
            <w:r w:rsidRPr="00F01347">
              <w:rPr>
                <w:rFonts w:ascii="Verdana" w:hAnsi="Verdana"/>
                <w:sz w:val="16"/>
                <w:szCs w:val="16"/>
              </w:rPr>
              <w:t>Limpia las líneas de los restos de las inyecciones anteriores.</w:t>
            </w:r>
          </w:p>
        </w:tc>
      </w:tr>
      <w:tr w:rsidR="00A74CDF" w:rsidRPr="00F01347" w14:paraId="2E37607B"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3159699F"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7</w:t>
            </w:r>
          </w:p>
        </w:tc>
        <w:tc>
          <w:tcPr>
            <w:tcW w:w="1857" w:type="dxa"/>
            <w:tcBorders>
              <w:top w:val="single" w:sz="6" w:space="0" w:color="auto"/>
              <w:left w:val="single" w:sz="6" w:space="0" w:color="auto"/>
              <w:bottom w:val="single" w:sz="6" w:space="0" w:color="auto"/>
              <w:right w:val="single" w:sz="6" w:space="0" w:color="auto"/>
            </w:tcBorders>
          </w:tcPr>
          <w:p w14:paraId="4E35C9AF"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Línea base</w:t>
            </w:r>
          </w:p>
        </w:tc>
        <w:tc>
          <w:tcPr>
            <w:tcW w:w="1132" w:type="dxa"/>
            <w:tcBorders>
              <w:top w:val="single" w:sz="6" w:space="0" w:color="auto"/>
              <w:left w:val="single" w:sz="6" w:space="0" w:color="auto"/>
              <w:bottom w:val="single" w:sz="6" w:space="0" w:color="auto"/>
              <w:right w:val="single" w:sz="6" w:space="0" w:color="auto"/>
            </w:tcBorders>
          </w:tcPr>
          <w:p w14:paraId="00871F03"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RB</w:t>
            </w:r>
          </w:p>
        </w:tc>
        <w:tc>
          <w:tcPr>
            <w:tcW w:w="4529" w:type="dxa"/>
            <w:tcBorders>
              <w:top w:val="single" w:sz="6" w:space="0" w:color="auto"/>
              <w:left w:val="single" w:sz="6" w:space="0" w:color="auto"/>
              <w:bottom w:val="single" w:sz="6" w:space="0" w:color="auto"/>
              <w:right w:val="single" w:sz="6" w:space="0" w:color="auto"/>
            </w:tcBorders>
          </w:tcPr>
          <w:p w14:paraId="5ABD60CC" w14:textId="77777777" w:rsidR="00A74CDF" w:rsidRPr="00F01347" w:rsidRDefault="00A74CDF" w:rsidP="003A601B">
            <w:pPr>
              <w:pStyle w:val="texto0"/>
              <w:spacing w:line="248" w:lineRule="exact"/>
              <w:ind w:firstLine="0"/>
              <w:rPr>
                <w:rFonts w:ascii="Verdana" w:hAnsi="Verdana"/>
                <w:sz w:val="16"/>
                <w:szCs w:val="16"/>
              </w:rPr>
            </w:pPr>
            <w:r w:rsidRPr="00F01347">
              <w:rPr>
                <w:rFonts w:ascii="Verdana" w:hAnsi="Verdana"/>
                <w:sz w:val="16"/>
                <w:szCs w:val="16"/>
              </w:rPr>
              <w:t>Establece un punto de anclaje para la línea base.</w:t>
            </w:r>
          </w:p>
        </w:tc>
      </w:tr>
      <w:tr w:rsidR="00A74CDF" w:rsidRPr="00F01347" w14:paraId="08120CCB"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1D7D22FB"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8</w:t>
            </w:r>
          </w:p>
        </w:tc>
        <w:tc>
          <w:tcPr>
            <w:tcW w:w="1857" w:type="dxa"/>
            <w:tcBorders>
              <w:top w:val="single" w:sz="6" w:space="0" w:color="auto"/>
              <w:left w:val="single" w:sz="6" w:space="0" w:color="auto"/>
              <w:bottom w:val="single" w:sz="6" w:space="0" w:color="auto"/>
              <w:right w:val="single" w:sz="6" w:space="0" w:color="auto"/>
            </w:tcBorders>
          </w:tcPr>
          <w:p w14:paraId="64B3B7EB"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Estándares de verificación inicial de la calibración</w:t>
            </w:r>
          </w:p>
        </w:tc>
        <w:tc>
          <w:tcPr>
            <w:tcW w:w="1132" w:type="dxa"/>
            <w:tcBorders>
              <w:top w:val="single" w:sz="6" w:space="0" w:color="auto"/>
              <w:left w:val="single" w:sz="6" w:space="0" w:color="auto"/>
              <w:bottom w:val="single" w:sz="6" w:space="0" w:color="auto"/>
              <w:right w:val="single" w:sz="6" w:space="0" w:color="auto"/>
            </w:tcBorders>
          </w:tcPr>
          <w:p w14:paraId="5DA3B02D"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ICV</w:t>
            </w:r>
          </w:p>
        </w:tc>
        <w:tc>
          <w:tcPr>
            <w:tcW w:w="4529" w:type="dxa"/>
            <w:tcBorders>
              <w:top w:val="single" w:sz="6" w:space="0" w:color="auto"/>
              <w:left w:val="single" w:sz="6" w:space="0" w:color="auto"/>
              <w:bottom w:val="single" w:sz="6" w:space="0" w:color="auto"/>
              <w:right w:val="single" w:sz="6" w:space="0" w:color="auto"/>
            </w:tcBorders>
          </w:tcPr>
          <w:p w14:paraId="6BAA8736" w14:textId="77777777" w:rsidR="00A74CDF" w:rsidRPr="00F01347" w:rsidRDefault="00A74CDF" w:rsidP="003A601B">
            <w:pPr>
              <w:pStyle w:val="texto0"/>
              <w:spacing w:line="248" w:lineRule="exact"/>
              <w:ind w:firstLine="0"/>
              <w:rPr>
                <w:rFonts w:ascii="Verdana" w:hAnsi="Verdana"/>
                <w:sz w:val="16"/>
                <w:szCs w:val="16"/>
              </w:rPr>
            </w:pPr>
            <w:r w:rsidRPr="00F01347">
              <w:rPr>
                <w:rFonts w:ascii="Verdana" w:hAnsi="Verdana"/>
                <w:sz w:val="16"/>
                <w:szCs w:val="16"/>
              </w:rPr>
              <w:t xml:space="preserve">Cuantificar la concentración de analito en las muestras y los controles de calidad en un lote, se debe preparar un estándar de verificación inicial de la calibración (ICV), el cual contiene al analito en una concentración </w:t>
            </w:r>
            <w:r w:rsidRPr="00F01347">
              <w:rPr>
                <w:rFonts w:ascii="Verdana" w:hAnsi="Verdana"/>
                <w:sz w:val="16"/>
                <w:szCs w:val="16"/>
              </w:rPr>
              <w:lastRenderedPageBreak/>
              <w:t>conocida y que se encuentra dentro del intervalo de trabajo.</w:t>
            </w:r>
          </w:p>
        </w:tc>
      </w:tr>
      <w:tr w:rsidR="00A74CDF" w:rsidRPr="00F01347" w14:paraId="05A74A2B"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37818A0F"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lastRenderedPageBreak/>
              <w:t>9</w:t>
            </w:r>
          </w:p>
        </w:tc>
        <w:tc>
          <w:tcPr>
            <w:tcW w:w="1857" w:type="dxa"/>
            <w:tcBorders>
              <w:top w:val="single" w:sz="6" w:space="0" w:color="auto"/>
              <w:left w:val="single" w:sz="6" w:space="0" w:color="auto"/>
              <w:bottom w:val="single" w:sz="6" w:space="0" w:color="auto"/>
              <w:right w:val="single" w:sz="6" w:space="0" w:color="auto"/>
            </w:tcBorders>
          </w:tcPr>
          <w:p w14:paraId="7F9A31C5"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Estándar de verif</w:t>
            </w:r>
            <w:r w:rsidR="00A154A2" w:rsidRPr="00F01347">
              <w:rPr>
                <w:rFonts w:ascii="Verdana" w:hAnsi="Verdana"/>
                <w:sz w:val="16"/>
                <w:szCs w:val="16"/>
              </w:rPr>
              <w:t>icación de calibración continua</w:t>
            </w:r>
          </w:p>
        </w:tc>
        <w:tc>
          <w:tcPr>
            <w:tcW w:w="1132" w:type="dxa"/>
            <w:tcBorders>
              <w:top w:val="single" w:sz="6" w:space="0" w:color="auto"/>
              <w:left w:val="single" w:sz="6" w:space="0" w:color="auto"/>
              <w:bottom w:val="single" w:sz="6" w:space="0" w:color="auto"/>
              <w:right w:val="single" w:sz="6" w:space="0" w:color="auto"/>
            </w:tcBorders>
          </w:tcPr>
          <w:p w14:paraId="597447FA"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CCC</w:t>
            </w:r>
          </w:p>
        </w:tc>
        <w:tc>
          <w:tcPr>
            <w:tcW w:w="4529" w:type="dxa"/>
            <w:tcBorders>
              <w:top w:val="single" w:sz="6" w:space="0" w:color="auto"/>
              <w:left w:val="single" w:sz="6" w:space="0" w:color="auto"/>
              <w:bottom w:val="single" w:sz="6" w:space="0" w:color="auto"/>
              <w:right w:val="single" w:sz="6" w:space="0" w:color="auto"/>
            </w:tcBorders>
          </w:tcPr>
          <w:p w14:paraId="5CFA33EF" w14:textId="77777777" w:rsidR="00A74CDF" w:rsidRPr="00F01347" w:rsidRDefault="00A74CDF" w:rsidP="003A601B">
            <w:pPr>
              <w:pStyle w:val="texto0"/>
              <w:spacing w:line="248" w:lineRule="exact"/>
              <w:ind w:firstLine="0"/>
              <w:rPr>
                <w:rFonts w:ascii="Verdana" w:hAnsi="Verdana"/>
                <w:sz w:val="16"/>
                <w:szCs w:val="16"/>
              </w:rPr>
            </w:pPr>
            <w:r w:rsidRPr="00F01347">
              <w:rPr>
                <w:rFonts w:ascii="Verdana" w:hAnsi="Verdana"/>
                <w:sz w:val="16"/>
                <w:szCs w:val="16"/>
              </w:rPr>
              <w:t>Comprobar que la calibración verificada al inicio se mantenga vigente durante todo el análisis del lote.</w:t>
            </w:r>
          </w:p>
        </w:tc>
      </w:tr>
      <w:tr w:rsidR="00A74CDF" w:rsidRPr="00F01347" w14:paraId="47CC1DAA"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7DD50E23"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10</w:t>
            </w:r>
          </w:p>
        </w:tc>
        <w:tc>
          <w:tcPr>
            <w:tcW w:w="1857" w:type="dxa"/>
            <w:tcBorders>
              <w:top w:val="single" w:sz="6" w:space="0" w:color="auto"/>
              <w:left w:val="single" w:sz="6" w:space="0" w:color="auto"/>
              <w:bottom w:val="single" w:sz="6" w:space="0" w:color="auto"/>
              <w:right w:val="single" w:sz="6" w:space="0" w:color="auto"/>
            </w:tcBorders>
          </w:tcPr>
          <w:p w14:paraId="718C4F98"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Enjuague</w:t>
            </w:r>
          </w:p>
        </w:tc>
        <w:tc>
          <w:tcPr>
            <w:tcW w:w="1132" w:type="dxa"/>
            <w:tcBorders>
              <w:top w:val="single" w:sz="6" w:space="0" w:color="auto"/>
              <w:left w:val="single" w:sz="6" w:space="0" w:color="auto"/>
              <w:bottom w:val="single" w:sz="6" w:space="0" w:color="auto"/>
              <w:right w:val="single" w:sz="6" w:space="0" w:color="auto"/>
            </w:tcBorders>
          </w:tcPr>
          <w:p w14:paraId="2ED6763A"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BLNK</w:t>
            </w:r>
          </w:p>
        </w:tc>
        <w:tc>
          <w:tcPr>
            <w:tcW w:w="4529" w:type="dxa"/>
            <w:tcBorders>
              <w:top w:val="single" w:sz="6" w:space="0" w:color="auto"/>
              <w:left w:val="single" w:sz="6" w:space="0" w:color="auto"/>
              <w:bottom w:val="single" w:sz="6" w:space="0" w:color="auto"/>
              <w:right w:val="single" w:sz="6" w:space="0" w:color="auto"/>
            </w:tcBorders>
          </w:tcPr>
          <w:p w14:paraId="74825A38" w14:textId="77777777" w:rsidR="00A74CDF" w:rsidRPr="00F01347" w:rsidRDefault="00A74CDF" w:rsidP="003A601B">
            <w:pPr>
              <w:pStyle w:val="texto0"/>
              <w:spacing w:line="248" w:lineRule="exact"/>
              <w:ind w:firstLine="0"/>
              <w:rPr>
                <w:rFonts w:ascii="Verdana" w:hAnsi="Verdana"/>
                <w:sz w:val="16"/>
                <w:szCs w:val="16"/>
              </w:rPr>
            </w:pPr>
            <w:r w:rsidRPr="00F01347">
              <w:rPr>
                <w:rFonts w:ascii="Verdana" w:hAnsi="Verdana"/>
                <w:sz w:val="16"/>
                <w:szCs w:val="16"/>
              </w:rPr>
              <w:t>Limpia las líneas de los restos de las inyecciones anteriores.</w:t>
            </w:r>
          </w:p>
        </w:tc>
      </w:tr>
      <w:tr w:rsidR="00A74CDF" w:rsidRPr="00F01347" w14:paraId="5CC4FB3E"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7C9ADE64"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11</w:t>
            </w:r>
          </w:p>
        </w:tc>
        <w:tc>
          <w:tcPr>
            <w:tcW w:w="1857" w:type="dxa"/>
            <w:tcBorders>
              <w:top w:val="single" w:sz="6" w:space="0" w:color="auto"/>
              <w:left w:val="single" w:sz="6" w:space="0" w:color="auto"/>
              <w:bottom w:val="single" w:sz="6" w:space="0" w:color="auto"/>
              <w:right w:val="single" w:sz="6" w:space="0" w:color="auto"/>
            </w:tcBorders>
          </w:tcPr>
          <w:p w14:paraId="5C52A826"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Línea base</w:t>
            </w:r>
          </w:p>
        </w:tc>
        <w:tc>
          <w:tcPr>
            <w:tcW w:w="1132" w:type="dxa"/>
            <w:tcBorders>
              <w:top w:val="single" w:sz="6" w:space="0" w:color="auto"/>
              <w:left w:val="single" w:sz="6" w:space="0" w:color="auto"/>
              <w:bottom w:val="single" w:sz="6" w:space="0" w:color="auto"/>
              <w:right w:val="single" w:sz="6" w:space="0" w:color="auto"/>
            </w:tcBorders>
          </w:tcPr>
          <w:p w14:paraId="6A09A387"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RB</w:t>
            </w:r>
          </w:p>
        </w:tc>
        <w:tc>
          <w:tcPr>
            <w:tcW w:w="4529" w:type="dxa"/>
            <w:tcBorders>
              <w:top w:val="single" w:sz="6" w:space="0" w:color="auto"/>
              <w:left w:val="single" w:sz="6" w:space="0" w:color="auto"/>
              <w:bottom w:val="single" w:sz="6" w:space="0" w:color="auto"/>
              <w:right w:val="single" w:sz="6" w:space="0" w:color="auto"/>
            </w:tcBorders>
          </w:tcPr>
          <w:p w14:paraId="0ED35733" w14:textId="77777777" w:rsidR="00A74CDF" w:rsidRPr="00F01347" w:rsidRDefault="00A74CDF" w:rsidP="003A601B">
            <w:pPr>
              <w:pStyle w:val="texto0"/>
              <w:spacing w:line="248" w:lineRule="exact"/>
              <w:ind w:firstLine="0"/>
              <w:rPr>
                <w:rFonts w:ascii="Verdana" w:hAnsi="Verdana"/>
                <w:sz w:val="16"/>
                <w:szCs w:val="16"/>
              </w:rPr>
            </w:pPr>
            <w:r w:rsidRPr="00F01347">
              <w:rPr>
                <w:rFonts w:ascii="Verdana" w:hAnsi="Verdana"/>
                <w:sz w:val="16"/>
                <w:szCs w:val="16"/>
              </w:rPr>
              <w:t>Establece un punto de anclaje para la línea base.</w:t>
            </w:r>
          </w:p>
        </w:tc>
      </w:tr>
      <w:tr w:rsidR="00A74CDF" w:rsidRPr="00F01347" w14:paraId="69C468A3"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0BE770D0"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12</w:t>
            </w:r>
          </w:p>
        </w:tc>
        <w:tc>
          <w:tcPr>
            <w:tcW w:w="1857" w:type="dxa"/>
            <w:tcBorders>
              <w:top w:val="single" w:sz="6" w:space="0" w:color="auto"/>
              <w:left w:val="single" w:sz="6" w:space="0" w:color="auto"/>
              <w:bottom w:val="single" w:sz="6" w:space="0" w:color="auto"/>
              <w:right w:val="single" w:sz="6" w:space="0" w:color="auto"/>
            </w:tcBorders>
          </w:tcPr>
          <w:p w14:paraId="48DF95A2"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Blanco de reactivos</w:t>
            </w:r>
          </w:p>
        </w:tc>
        <w:tc>
          <w:tcPr>
            <w:tcW w:w="1132" w:type="dxa"/>
            <w:tcBorders>
              <w:top w:val="single" w:sz="6" w:space="0" w:color="auto"/>
              <w:left w:val="single" w:sz="6" w:space="0" w:color="auto"/>
              <w:bottom w:val="single" w:sz="6" w:space="0" w:color="auto"/>
              <w:right w:val="single" w:sz="6" w:space="0" w:color="auto"/>
            </w:tcBorders>
          </w:tcPr>
          <w:p w14:paraId="447C38ED"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U</w:t>
            </w:r>
          </w:p>
        </w:tc>
        <w:tc>
          <w:tcPr>
            <w:tcW w:w="4529" w:type="dxa"/>
            <w:tcBorders>
              <w:top w:val="single" w:sz="6" w:space="0" w:color="auto"/>
              <w:left w:val="single" w:sz="6" w:space="0" w:color="auto"/>
              <w:bottom w:val="single" w:sz="6" w:space="0" w:color="auto"/>
              <w:right w:val="single" w:sz="6" w:space="0" w:color="auto"/>
            </w:tcBorders>
          </w:tcPr>
          <w:p w14:paraId="6CA0A41A" w14:textId="77777777" w:rsidR="00A74CDF" w:rsidRPr="00F01347" w:rsidRDefault="00A74CDF" w:rsidP="003A601B">
            <w:pPr>
              <w:pStyle w:val="texto0"/>
              <w:spacing w:line="248" w:lineRule="exact"/>
              <w:ind w:firstLine="0"/>
              <w:rPr>
                <w:rFonts w:ascii="Verdana" w:hAnsi="Verdana"/>
                <w:sz w:val="16"/>
                <w:szCs w:val="16"/>
              </w:rPr>
            </w:pPr>
            <w:r w:rsidRPr="00F01347">
              <w:rPr>
                <w:rFonts w:ascii="Verdana" w:hAnsi="Verdana"/>
                <w:sz w:val="16"/>
                <w:szCs w:val="16"/>
              </w:rPr>
              <w:t>La lectura para este blanco de reactivos debe arrojar un valor menor al límite de detección del método.</w:t>
            </w:r>
          </w:p>
        </w:tc>
      </w:tr>
      <w:tr w:rsidR="00A74CDF" w:rsidRPr="00F01347" w14:paraId="33BD27EC"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2EEF2456"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13</w:t>
            </w:r>
          </w:p>
        </w:tc>
        <w:tc>
          <w:tcPr>
            <w:tcW w:w="1857" w:type="dxa"/>
            <w:tcBorders>
              <w:top w:val="single" w:sz="6" w:space="0" w:color="auto"/>
              <w:left w:val="single" w:sz="6" w:space="0" w:color="auto"/>
              <w:bottom w:val="single" w:sz="6" w:space="0" w:color="auto"/>
              <w:right w:val="single" w:sz="6" w:space="0" w:color="auto"/>
            </w:tcBorders>
          </w:tcPr>
          <w:p w14:paraId="2751B908"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Muestra QC o BF</w:t>
            </w:r>
          </w:p>
        </w:tc>
        <w:tc>
          <w:tcPr>
            <w:tcW w:w="1132" w:type="dxa"/>
            <w:tcBorders>
              <w:top w:val="single" w:sz="6" w:space="0" w:color="auto"/>
              <w:left w:val="single" w:sz="6" w:space="0" w:color="auto"/>
              <w:bottom w:val="single" w:sz="6" w:space="0" w:color="auto"/>
              <w:right w:val="single" w:sz="6" w:space="0" w:color="auto"/>
            </w:tcBorders>
          </w:tcPr>
          <w:p w14:paraId="05342DD1"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U</w:t>
            </w:r>
          </w:p>
        </w:tc>
        <w:tc>
          <w:tcPr>
            <w:tcW w:w="4529" w:type="dxa"/>
            <w:tcBorders>
              <w:top w:val="single" w:sz="6" w:space="0" w:color="auto"/>
              <w:left w:val="single" w:sz="6" w:space="0" w:color="auto"/>
              <w:bottom w:val="single" w:sz="6" w:space="0" w:color="auto"/>
              <w:right w:val="single" w:sz="6" w:space="0" w:color="auto"/>
            </w:tcBorders>
          </w:tcPr>
          <w:p w14:paraId="3DCE7076" w14:textId="77777777" w:rsidR="00A74CDF" w:rsidRPr="00F01347" w:rsidRDefault="00A74CDF" w:rsidP="003A601B">
            <w:pPr>
              <w:pStyle w:val="texto0"/>
              <w:spacing w:line="248" w:lineRule="exact"/>
              <w:ind w:firstLine="0"/>
              <w:rPr>
                <w:rFonts w:ascii="Verdana" w:hAnsi="Verdana"/>
                <w:sz w:val="16"/>
                <w:szCs w:val="16"/>
              </w:rPr>
            </w:pPr>
            <w:r w:rsidRPr="00F01347">
              <w:rPr>
                <w:rFonts w:ascii="Verdana" w:hAnsi="Verdana"/>
                <w:sz w:val="16"/>
                <w:szCs w:val="16"/>
              </w:rPr>
              <w:t>Análisis una muestra sintética de concentración conocida. Se recomienda inyectar un blanco después de esta muestra ya que si su concentración es demasiado alta se puede presentar un arrastre en la siguiente muestra.</w:t>
            </w:r>
          </w:p>
        </w:tc>
      </w:tr>
      <w:tr w:rsidR="00A74CDF" w:rsidRPr="00F01347" w14:paraId="4E005669" w14:textId="77777777">
        <w:trPr>
          <w:trHeight w:val="20"/>
        </w:trPr>
        <w:tc>
          <w:tcPr>
            <w:tcW w:w="1194" w:type="dxa"/>
            <w:tcBorders>
              <w:top w:val="single" w:sz="6" w:space="0" w:color="auto"/>
              <w:left w:val="single" w:sz="6" w:space="0" w:color="auto"/>
              <w:bottom w:val="single" w:sz="6" w:space="0" w:color="auto"/>
              <w:right w:val="single" w:sz="6" w:space="0" w:color="auto"/>
            </w:tcBorders>
          </w:tcPr>
          <w:p w14:paraId="7AB16664"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14</w:t>
            </w:r>
          </w:p>
        </w:tc>
        <w:tc>
          <w:tcPr>
            <w:tcW w:w="1857" w:type="dxa"/>
            <w:tcBorders>
              <w:top w:val="single" w:sz="6" w:space="0" w:color="auto"/>
              <w:left w:val="single" w:sz="6" w:space="0" w:color="auto"/>
              <w:bottom w:val="single" w:sz="6" w:space="0" w:color="auto"/>
              <w:right w:val="single" w:sz="6" w:space="0" w:color="auto"/>
            </w:tcBorders>
          </w:tcPr>
          <w:p w14:paraId="02B20C7C"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Muestras desconocidas o problema</w:t>
            </w:r>
          </w:p>
        </w:tc>
        <w:tc>
          <w:tcPr>
            <w:tcW w:w="1132" w:type="dxa"/>
            <w:tcBorders>
              <w:top w:val="single" w:sz="6" w:space="0" w:color="auto"/>
              <w:left w:val="single" w:sz="6" w:space="0" w:color="auto"/>
              <w:bottom w:val="single" w:sz="6" w:space="0" w:color="auto"/>
              <w:right w:val="single" w:sz="6" w:space="0" w:color="auto"/>
            </w:tcBorders>
          </w:tcPr>
          <w:p w14:paraId="039591CB" w14:textId="77777777" w:rsidR="00A74CDF" w:rsidRPr="00F01347" w:rsidRDefault="00A74CDF" w:rsidP="003A601B">
            <w:pPr>
              <w:pStyle w:val="texto0"/>
              <w:spacing w:line="248" w:lineRule="exact"/>
              <w:ind w:firstLine="0"/>
              <w:jc w:val="center"/>
              <w:rPr>
                <w:rFonts w:ascii="Verdana" w:hAnsi="Verdana"/>
                <w:sz w:val="16"/>
                <w:szCs w:val="16"/>
              </w:rPr>
            </w:pPr>
            <w:r w:rsidRPr="00F01347">
              <w:rPr>
                <w:rFonts w:ascii="Verdana" w:hAnsi="Verdana"/>
                <w:sz w:val="16"/>
                <w:szCs w:val="16"/>
              </w:rPr>
              <w:t>U</w:t>
            </w:r>
          </w:p>
        </w:tc>
        <w:tc>
          <w:tcPr>
            <w:tcW w:w="4529" w:type="dxa"/>
            <w:tcBorders>
              <w:top w:val="single" w:sz="6" w:space="0" w:color="auto"/>
              <w:left w:val="single" w:sz="6" w:space="0" w:color="auto"/>
              <w:bottom w:val="single" w:sz="6" w:space="0" w:color="auto"/>
              <w:right w:val="single" w:sz="6" w:space="0" w:color="auto"/>
            </w:tcBorders>
          </w:tcPr>
          <w:p w14:paraId="1C06DAB0" w14:textId="77777777" w:rsidR="00A74CDF" w:rsidRPr="00F01347" w:rsidRDefault="00A74CDF" w:rsidP="003A601B">
            <w:pPr>
              <w:pStyle w:val="texto0"/>
              <w:spacing w:line="248" w:lineRule="exact"/>
              <w:ind w:firstLine="0"/>
              <w:rPr>
                <w:rFonts w:ascii="Verdana" w:hAnsi="Verdana"/>
                <w:sz w:val="16"/>
                <w:szCs w:val="16"/>
              </w:rPr>
            </w:pPr>
            <w:r w:rsidRPr="00F01347">
              <w:rPr>
                <w:rFonts w:ascii="Verdana" w:hAnsi="Verdana"/>
                <w:sz w:val="16"/>
                <w:szCs w:val="16"/>
              </w:rPr>
              <w:t>Muestras problema. Se incluyen muestras duplicadas y adicionadas.</w:t>
            </w:r>
          </w:p>
        </w:tc>
      </w:tr>
    </w:tbl>
    <w:p w14:paraId="7DFFEBD8" w14:textId="77777777" w:rsidR="00A74CDF" w:rsidRPr="00F01347" w:rsidRDefault="00A74CDF" w:rsidP="003A601B">
      <w:pPr>
        <w:pStyle w:val="texto0"/>
        <w:spacing w:line="248" w:lineRule="exact"/>
        <w:rPr>
          <w:rFonts w:ascii="Verdana" w:hAnsi="Verdana"/>
          <w:b/>
          <w:sz w:val="16"/>
          <w:szCs w:val="16"/>
        </w:rPr>
      </w:pPr>
    </w:p>
    <w:p w14:paraId="660AFC35" w14:textId="77777777" w:rsidR="00010040" w:rsidRPr="00F01347" w:rsidRDefault="00010040" w:rsidP="00010040">
      <w:pPr>
        <w:pStyle w:val="texto0"/>
        <w:ind w:left="720" w:hanging="432"/>
        <w:rPr>
          <w:rFonts w:ascii="Verdana" w:hAnsi="Verdana"/>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1194"/>
        <w:gridCol w:w="1858"/>
        <w:gridCol w:w="1132"/>
        <w:gridCol w:w="4531"/>
      </w:tblGrid>
      <w:tr w:rsidR="00010040" w:rsidRPr="00F01347" w14:paraId="47ED3410" w14:textId="77777777" w:rsidTr="00010040">
        <w:trPr>
          <w:trHeight w:val="20"/>
        </w:trPr>
        <w:tc>
          <w:tcPr>
            <w:tcW w:w="8712" w:type="dxa"/>
            <w:gridSpan w:val="4"/>
            <w:tcBorders>
              <w:top w:val="nil"/>
              <w:left w:val="nil"/>
              <w:bottom w:val="single" w:sz="6" w:space="0" w:color="auto"/>
              <w:right w:val="nil"/>
            </w:tcBorders>
            <w:noWrap/>
            <w:hideMark/>
          </w:tcPr>
          <w:p w14:paraId="4E7A6122" w14:textId="09B69F7B" w:rsidR="00010040" w:rsidRPr="00F01347" w:rsidRDefault="00010040">
            <w:pPr>
              <w:pStyle w:val="texto0"/>
              <w:spacing w:line="232" w:lineRule="exact"/>
              <w:ind w:firstLine="0"/>
              <w:jc w:val="center"/>
              <w:rPr>
                <w:rFonts w:ascii="Verdana" w:hAnsi="Verdana"/>
                <w:b/>
                <w:sz w:val="16"/>
                <w:szCs w:val="16"/>
                <w:lang w:val="en-US"/>
              </w:rPr>
            </w:pPr>
            <w:r w:rsidRPr="00F01347">
              <w:rPr>
                <w:rFonts w:ascii="Verdana" w:hAnsi="Verdana"/>
                <w:b/>
                <w:sz w:val="16"/>
                <w:szCs w:val="16"/>
                <w:lang w:val="en-US"/>
              </w:rPr>
              <w:t xml:space="preserve">Table B.11.2-2. </w:t>
            </w:r>
            <w:r w:rsidRPr="00F01347">
              <w:rPr>
                <w:rFonts w:ascii="Verdana" w:hAnsi="Verdana"/>
                <w:sz w:val="16"/>
                <w:szCs w:val="16"/>
                <w:lang w:val="en-US"/>
              </w:rPr>
              <w:t>Batch composition in SO</w:t>
            </w:r>
            <w:r w:rsidRPr="00F01347">
              <w:rPr>
                <w:rFonts w:ascii="Verdana" w:hAnsi="Verdana"/>
                <w:sz w:val="16"/>
                <w:szCs w:val="16"/>
                <w:vertAlign w:val="subscript"/>
                <w:lang w:val="en-US"/>
              </w:rPr>
              <w:t>4</w:t>
            </w:r>
            <w:r w:rsidRPr="00F01347">
              <w:rPr>
                <w:rFonts w:ascii="Verdana" w:hAnsi="Verdana"/>
                <w:sz w:val="16"/>
                <w:szCs w:val="16"/>
                <w:vertAlign w:val="superscript"/>
                <w:lang w:val="en-US"/>
              </w:rPr>
              <w:t xml:space="preserve">2- </w:t>
            </w:r>
            <w:r w:rsidRPr="00F01347">
              <w:rPr>
                <w:rFonts w:ascii="Verdana" w:hAnsi="Verdana"/>
                <w:sz w:val="16"/>
                <w:szCs w:val="16"/>
                <w:lang w:val="en-US"/>
              </w:rPr>
              <w:t>analysis</w:t>
            </w:r>
            <w:r w:rsidRPr="00F01347">
              <w:rPr>
                <w:rFonts w:ascii="Verdana" w:hAnsi="Verdana"/>
                <w:sz w:val="16"/>
                <w:szCs w:val="16"/>
                <w:vertAlign w:val="superscript"/>
                <w:lang w:val="en-US"/>
              </w:rPr>
              <w:t xml:space="preserve"> </w:t>
            </w:r>
            <w:r w:rsidRPr="00F01347">
              <w:rPr>
                <w:rFonts w:ascii="Verdana" w:hAnsi="Verdana"/>
                <w:sz w:val="16"/>
                <w:szCs w:val="16"/>
                <w:lang w:val="en-US"/>
              </w:rPr>
              <w:t>by automated colorimetry.</w:t>
            </w:r>
          </w:p>
        </w:tc>
      </w:tr>
      <w:tr w:rsidR="00010040" w:rsidRPr="00F01347" w14:paraId="656A7211"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71F31410" w14:textId="77777777" w:rsidR="00010040" w:rsidRPr="00F01347" w:rsidRDefault="00010040">
            <w:pPr>
              <w:pStyle w:val="texto0"/>
              <w:spacing w:line="232" w:lineRule="exact"/>
              <w:ind w:firstLine="0"/>
              <w:jc w:val="center"/>
              <w:rPr>
                <w:rFonts w:ascii="Verdana" w:hAnsi="Verdana"/>
                <w:b/>
                <w:sz w:val="16"/>
                <w:szCs w:val="16"/>
                <w:lang w:val="en-US"/>
              </w:rPr>
            </w:pPr>
            <w:r w:rsidRPr="00F01347">
              <w:rPr>
                <w:rFonts w:ascii="Verdana" w:hAnsi="Verdana"/>
                <w:b/>
                <w:sz w:val="16"/>
                <w:szCs w:val="16"/>
                <w:lang w:val="en-US"/>
              </w:rPr>
              <w:t>order in sequence</w:t>
            </w:r>
          </w:p>
        </w:tc>
        <w:tc>
          <w:tcPr>
            <w:tcW w:w="1857" w:type="dxa"/>
            <w:tcBorders>
              <w:top w:val="single" w:sz="6" w:space="0" w:color="auto"/>
              <w:left w:val="single" w:sz="6" w:space="0" w:color="auto"/>
              <w:bottom w:val="single" w:sz="6" w:space="0" w:color="auto"/>
              <w:right w:val="single" w:sz="6" w:space="0" w:color="auto"/>
            </w:tcBorders>
            <w:hideMark/>
          </w:tcPr>
          <w:p w14:paraId="1555AA3E" w14:textId="77777777" w:rsidR="00010040" w:rsidRPr="00F01347" w:rsidRDefault="00010040">
            <w:pPr>
              <w:pStyle w:val="texto0"/>
              <w:spacing w:line="232" w:lineRule="exact"/>
              <w:ind w:firstLine="0"/>
              <w:jc w:val="center"/>
              <w:rPr>
                <w:rFonts w:ascii="Verdana" w:hAnsi="Verdana"/>
                <w:b/>
                <w:sz w:val="16"/>
                <w:szCs w:val="16"/>
                <w:lang w:val="en-US"/>
              </w:rPr>
            </w:pPr>
            <w:r w:rsidRPr="00F01347">
              <w:rPr>
                <w:rFonts w:ascii="Verdana" w:hAnsi="Verdana"/>
                <w:b/>
                <w:sz w:val="16"/>
                <w:szCs w:val="16"/>
                <w:lang w:val="en-US"/>
              </w:rPr>
              <w:t>Type of sample</w:t>
            </w:r>
          </w:p>
        </w:tc>
        <w:tc>
          <w:tcPr>
            <w:tcW w:w="1132" w:type="dxa"/>
            <w:tcBorders>
              <w:top w:val="single" w:sz="6" w:space="0" w:color="auto"/>
              <w:left w:val="single" w:sz="6" w:space="0" w:color="auto"/>
              <w:bottom w:val="single" w:sz="6" w:space="0" w:color="auto"/>
              <w:right w:val="single" w:sz="6" w:space="0" w:color="auto"/>
            </w:tcBorders>
            <w:hideMark/>
          </w:tcPr>
          <w:p w14:paraId="1270CCE4" w14:textId="77777777" w:rsidR="00010040" w:rsidRPr="00F01347" w:rsidRDefault="00010040">
            <w:pPr>
              <w:pStyle w:val="texto0"/>
              <w:spacing w:line="232" w:lineRule="exact"/>
              <w:ind w:firstLine="0"/>
              <w:jc w:val="center"/>
              <w:rPr>
                <w:rFonts w:ascii="Verdana" w:hAnsi="Verdana"/>
                <w:b/>
                <w:sz w:val="16"/>
                <w:szCs w:val="16"/>
                <w:lang w:val="en-US"/>
              </w:rPr>
            </w:pPr>
            <w:r w:rsidRPr="00F01347">
              <w:rPr>
                <w:rFonts w:ascii="Verdana" w:hAnsi="Verdana"/>
                <w:b/>
                <w:sz w:val="16"/>
                <w:szCs w:val="16"/>
                <w:lang w:val="en-US"/>
              </w:rPr>
              <w:t xml:space="preserve">Key in </w:t>
            </w:r>
            <w:proofErr w:type="spellStart"/>
            <w:r w:rsidRPr="00F01347">
              <w:rPr>
                <w:rFonts w:ascii="Verdana" w:hAnsi="Verdana"/>
                <w:b/>
                <w:sz w:val="16"/>
                <w:szCs w:val="16"/>
                <w:lang w:val="en-US"/>
              </w:rPr>
              <w:t>WinFlow</w:t>
            </w:r>
            <w:proofErr w:type="spellEnd"/>
          </w:p>
        </w:tc>
        <w:tc>
          <w:tcPr>
            <w:tcW w:w="4529" w:type="dxa"/>
            <w:tcBorders>
              <w:top w:val="single" w:sz="6" w:space="0" w:color="auto"/>
              <w:left w:val="single" w:sz="6" w:space="0" w:color="auto"/>
              <w:bottom w:val="single" w:sz="6" w:space="0" w:color="auto"/>
              <w:right w:val="single" w:sz="6" w:space="0" w:color="auto"/>
            </w:tcBorders>
            <w:hideMark/>
          </w:tcPr>
          <w:p w14:paraId="0C70FB6E" w14:textId="77777777" w:rsidR="00010040" w:rsidRPr="00F01347" w:rsidRDefault="00010040">
            <w:pPr>
              <w:pStyle w:val="texto0"/>
              <w:spacing w:line="232" w:lineRule="exact"/>
              <w:ind w:firstLine="0"/>
              <w:jc w:val="center"/>
              <w:rPr>
                <w:rFonts w:ascii="Verdana" w:hAnsi="Verdana"/>
                <w:b/>
                <w:sz w:val="16"/>
                <w:szCs w:val="16"/>
                <w:lang w:val="en-US"/>
              </w:rPr>
            </w:pPr>
            <w:r w:rsidRPr="00F01347">
              <w:rPr>
                <w:rFonts w:ascii="Verdana" w:hAnsi="Verdana"/>
                <w:b/>
                <w:sz w:val="16"/>
                <w:szCs w:val="16"/>
                <w:lang w:val="en-US"/>
              </w:rPr>
              <w:t>Function</w:t>
            </w:r>
          </w:p>
        </w:tc>
      </w:tr>
      <w:tr w:rsidR="00010040" w:rsidRPr="00F01347" w14:paraId="16FDDBEC"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3FA6DE7A" w14:textId="77777777" w:rsidR="00010040" w:rsidRPr="00F01347" w:rsidRDefault="00010040">
            <w:pPr>
              <w:pStyle w:val="texto0"/>
              <w:spacing w:line="232" w:lineRule="exact"/>
              <w:ind w:firstLine="0"/>
              <w:jc w:val="center"/>
              <w:rPr>
                <w:rFonts w:ascii="Verdana" w:hAnsi="Verdana"/>
                <w:sz w:val="16"/>
                <w:szCs w:val="16"/>
                <w:lang w:val="en-US"/>
              </w:rPr>
            </w:pPr>
            <w:r w:rsidRPr="00F01347">
              <w:rPr>
                <w:rFonts w:ascii="Verdana" w:hAnsi="Verdana"/>
                <w:sz w:val="16"/>
                <w:szCs w:val="16"/>
                <w:lang w:val="en-US"/>
              </w:rPr>
              <w:t>1</w:t>
            </w:r>
          </w:p>
        </w:tc>
        <w:tc>
          <w:tcPr>
            <w:tcW w:w="1857" w:type="dxa"/>
            <w:tcBorders>
              <w:top w:val="single" w:sz="6" w:space="0" w:color="auto"/>
              <w:left w:val="single" w:sz="6" w:space="0" w:color="auto"/>
              <w:bottom w:val="single" w:sz="6" w:space="0" w:color="auto"/>
              <w:right w:val="single" w:sz="6" w:space="0" w:color="auto"/>
            </w:tcBorders>
            <w:hideMark/>
          </w:tcPr>
          <w:p w14:paraId="7FB1C229" w14:textId="77777777" w:rsidR="00010040" w:rsidRPr="00F01347" w:rsidRDefault="00010040">
            <w:pPr>
              <w:pStyle w:val="texto0"/>
              <w:spacing w:line="232" w:lineRule="exact"/>
              <w:ind w:firstLine="0"/>
              <w:jc w:val="center"/>
              <w:rPr>
                <w:rFonts w:ascii="Verdana" w:hAnsi="Verdana"/>
                <w:sz w:val="16"/>
                <w:szCs w:val="16"/>
                <w:lang w:val="en-US"/>
              </w:rPr>
            </w:pPr>
            <w:r w:rsidRPr="00F01347">
              <w:rPr>
                <w:rFonts w:ascii="Verdana" w:hAnsi="Verdana"/>
                <w:sz w:val="16"/>
                <w:szCs w:val="16"/>
                <w:lang w:val="en-US"/>
              </w:rPr>
              <w:t>Sync Peak</w:t>
            </w:r>
          </w:p>
        </w:tc>
        <w:tc>
          <w:tcPr>
            <w:tcW w:w="1132" w:type="dxa"/>
            <w:tcBorders>
              <w:top w:val="single" w:sz="6" w:space="0" w:color="auto"/>
              <w:left w:val="single" w:sz="6" w:space="0" w:color="auto"/>
              <w:bottom w:val="single" w:sz="6" w:space="0" w:color="auto"/>
              <w:right w:val="single" w:sz="6" w:space="0" w:color="auto"/>
            </w:tcBorders>
            <w:hideMark/>
          </w:tcPr>
          <w:p w14:paraId="6172A8E9" w14:textId="77777777" w:rsidR="00010040" w:rsidRPr="00F01347" w:rsidRDefault="00010040">
            <w:pPr>
              <w:pStyle w:val="texto0"/>
              <w:spacing w:line="232" w:lineRule="exact"/>
              <w:ind w:firstLine="0"/>
              <w:jc w:val="center"/>
              <w:rPr>
                <w:rFonts w:ascii="Verdana" w:hAnsi="Verdana"/>
                <w:sz w:val="16"/>
                <w:szCs w:val="16"/>
                <w:lang w:val="en-US"/>
              </w:rPr>
            </w:pPr>
            <w:r w:rsidRPr="00F01347">
              <w:rPr>
                <w:rFonts w:ascii="Verdana" w:hAnsi="Verdana"/>
                <w:sz w:val="16"/>
                <w:szCs w:val="16"/>
                <w:lang w:val="en-US"/>
              </w:rPr>
              <w:t>SYNC</w:t>
            </w:r>
          </w:p>
        </w:tc>
        <w:tc>
          <w:tcPr>
            <w:tcW w:w="4529" w:type="dxa"/>
            <w:tcBorders>
              <w:top w:val="single" w:sz="6" w:space="0" w:color="auto"/>
              <w:left w:val="single" w:sz="6" w:space="0" w:color="auto"/>
              <w:bottom w:val="single" w:sz="6" w:space="0" w:color="auto"/>
              <w:right w:val="single" w:sz="6" w:space="0" w:color="auto"/>
            </w:tcBorders>
            <w:hideMark/>
          </w:tcPr>
          <w:p w14:paraId="06C6E2F7" w14:textId="77777777" w:rsidR="00010040" w:rsidRPr="00F01347" w:rsidRDefault="00010040">
            <w:pPr>
              <w:pStyle w:val="texto0"/>
              <w:spacing w:line="232" w:lineRule="exact"/>
              <w:ind w:firstLine="0"/>
              <w:rPr>
                <w:rFonts w:ascii="Verdana" w:hAnsi="Verdana"/>
                <w:sz w:val="16"/>
                <w:szCs w:val="16"/>
                <w:lang w:val="en-US"/>
              </w:rPr>
            </w:pPr>
            <w:r w:rsidRPr="00F01347">
              <w:rPr>
                <w:rFonts w:ascii="Verdana" w:hAnsi="Verdana"/>
                <w:sz w:val="16"/>
                <w:szCs w:val="16"/>
                <w:lang w:val="en-US"/>
              </w:rPr>
              <w:t>First peak detected by the equipment. From this point on, the program begins to count the duration of the sampling cycles.</w:t>
            </w:r>
          </w:p>
        </w:tc>
      </w:tr>
      <w:tr w:rsidR="00010040" w:rsidRPr="00F01347" w14:paraId="2421CE91"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23EABD6F" w14:textId="77777777" w:rsidR="00010040" w:rsidRPr="00F01347" w:rsidRDefault="00010040">
            <w:pPr>
              <w:pStyle w:val="texto0"/>
              <w:spacing w:line="232" w:lineRule="exact"/>
              <w:ind w:firstLine="0"/>
              <w:jc w:val="center"/>
              <w:rPr>
                <w:rFonts w:ascii="Verdana" w:hAnsi="Verdana"/>
                <w:sz w:val="16"/>
                <w:szCs w:val="16"/>
                <w:lang w:val="en-US"/>
              </w:rPr>
            </w:pPr>
            <w:r w:rsidRPr="00F01347">
              <w:rPr>
                <w:rFonts w:ascii="Verdana" w:hAnsi="Verdana"/>
                <w:sz w:val="16"/>
                <w:szCs w:val="16"/>
                <w:lang w:val="en-US"/>
              </w:rPr>
              <w:t>2</w:t>
            </w:r>
          </w:p>
        </w:tc>
        <w:tc>
          <w:tcPr>
            <w:tcW w:w="1857" w:type="dxa"/>
            <w:tcBorders>
              <w:top w:val="single" w:sz="6" w:space="0" w:color="auto"/>
              <w:left w:val="single" w:sz="6" w:space="0" w:color="auto"/>
              <w:bottom w:val="single" w:sz="6" w:space="0" w:color="auto"/>
              <w:right w:val="single" w:sz="6" w:space="0" w:color="auto"/>
            </w:tcBorders>
            <w:hideMark/>
          </w:tcPr>
          <w:p w14:paraId="7F7216D9" w14:textId="69A80137" w:rsidR="00010040" w:rsidRPr="00F01347" w:rsidRDefault="00010040">
            <w:pPr>
              <w:pStyle w:val="texto0"/>
              <w:spacing w:line="232" w:lineRule="exact"/>
              <w:ind w:firstLine="0"/>
              <w:jc w:val="center"/>
              <w:rPr>
                <w:rFonts w:ascii="Verdana" w:hAnsi="Verdana"/>
                <w:sz w:val="16"/>
                <w:szCs w:val="16"/>
                <w:lang w:val="en-US"/>
              </w:rPr>
            </w:pPr>
            <w:r w:rsidRPr="00F01347">
              <w:rPr>
                <w:rFonts w:ascii="Verdana" w:hAnsi="Verdana"/>
                <w:sz w:val="16"/>
                <w:szCs w:val="16"/>
                <w:lang w:val="en-US"/>
              </w:rPr>
              <w:t xml:space="preserve">Drag </w:t>
            </w:r>
            <w:r w:rsidR="00CB209C" w:rsidRPr="00F01347">
              <w:rPr>
                <w:rFonts w:ascii="Verdana" w:hAnsi="Verdana"/>
                <w:sz w:val="16"/>
                <w:szCs w:val="16"/>
                <w:lang w:val="en-US"/>
              </w:rPr>
              <w:t>(</w:t>
            </w:r>
            <w:r w:rsidRPr="00F01347">
              <w:rPr>
                <w:rFonts w:ascii="Verdana" w:hAnsi="Verdana"/>
                <w:i/>
                <w:sz w:val="16"/>
                <w:szCs w:val="16"/>
                <w:lang w:val="en-US"/>
              </w:rPr>
              <w:t>carryover</w:t>
            </w:r>
            <w:r w:rsidR="00913802" w:rsidRPr="00F01347">
              <w:rPr>
                <w:rFonts w:ascii="Verdana" w:hAnsi="Verdana"/>
                <w:i/>
                <w:sz w:val="16"/>
                <w:szCs w:val="16"/>
                <w:lang w:val="en-US"/>
              </w:rPr>
              <w:t>)</w:t>
            </w:r>
          </w:p>
        </w:tc>
        <w:tc>
          <w:tcPr>
            <w:tcW w:w="1132" w:type="dxa"/>
            <w:tcBorders>
              <w:top w:val="single" w:sz="6" w:space="0" w:color="auto"/>
              <w:left w:val="single" w:sz="6" w:space="0" w:color="auto"/>
              <w:bottom w:val="single" w:sz="6" w:space="0" w:color="auto"/>
              <w:right w:val="single" w:sz="6" w:space="0" w:color="auto"/>
            </w:tcBorders>
            <w:hideMark/>
          </w:tcPr>
          <w:p w14:paraId="56E386A1" w14:textId="77777777" w:rsidR="00010040" w:rsidRPr="00F01347" w:rsidRDefault="00010040">
            <w:pPr>
              <w:pStyle w:val="texto0"/>
              <w:spacing w:line="232" w:lineRule="exact"/>
              <w:ind w:firstLine="0"/>
              <w:jc w:val="center"/>
              <w:rPr>
                <w:rFonts w:ascii="Verdana" w:hAnsi="Verdana"/>
                <w:sz w:val="16"/>
                <w:szCs w:val="16"/>
                <w:lang w:val="en-US"/>
              </w:rPr>
            </w:pPr>
            <w:r w:rsidRPr="00F01347">
              <w:rPr>
                <w:rFonts w:ascii="Verdana" w:hAnsi="Verdana"/>
                <w:sz w:val="16"/>
                <w:szCs w:val="16"/>
                <w:lang w:val="en-US"/>
              </w:rPr>
              <w:t>CO</w:t>
            </w:r>
          </w:p>
        </w:tc>
        <w:tc>
          <w:tcPr>
            <w:tcW w:w="4529" w:type="dxa"/>
            <w:tcBorders>
              <w:top w:val="single" w:sz="6" w:space="0" w:color="auto"/>
              <w:left w:val="single" w:sz="6" w:space="0" w:color="auto"/>
              <w:bottom w:val="single" w:sz="6" w:space="0" w:color="auto"/>
              <w:right w:val="single" w:sz="6" w:space="0" w:color="auto"/>
            </w:tcBorders>
            <w:hideMark/>
          </w:tcPr>
          <w:p w14:paraId="71B0BBCE" w14:textId="77777777" w:rsidR="00010040" w:rsidRPr="00F01347" w:rsidRDefault="00010040">
            <w:pPr>
              <w:pStyle w:val="texto0"/>
              <w:spacing w:line="232" w:lineRule="exact"/>
              <w:ind w:firstLine="0"/>
              <w:rPr>
                <w:rFonts w:ascii="Verdana" w:hAnsi="Verdana"/>
                <w:sz w:val="16"/>
                <w:szCs w:val="16"/>
                <w:lang w:val="en-US"/>
              </w:rPr>
            </w:pPr>
            <w:r w:rsidRPr="00F01347">
              <w:rPr>
                <w:rFonts w:ascii="Verdana" w:hAnsi="Verdana"/>
                <w:sz w:val="16"/>
                <w:szCs w:val="16"/>
                <w:lang w:val="en-US"/>
              </w:rPr>
              <w:t>With this the equipment calculates what percentage of the synchrony peak is being quantified in the next sample collection.</w:t>
            </w:r>
          </w:p>
        </w:tc>
      </w:tr>
      <w:tr w:rsidR="00010040" w:rsidRPr="00F01347" w14:paraId="40D08F59"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3FFE468D" w14:textId="77777777" w:rsidR="00010040" w:rsidRPr="00F01347" w:rsidRDefault="00010040">
            <w:pPr>
              <w:pStyle w:val="texto0"/>
              <w:spacing w:line="232" w:lineRule="exact"/>
              <w:ind w:firstLine="0"/>
              <w:jc w:val="center"/>
              <w:rPr>
                <w:rFonts w:ascii="Verdana" w:hAnsi="Verdana"/>
                <w:sz w:val="16"/>
                <w:szCs w:val="16"/>
                <w:lang w:val="en-US"/>
              </w:rPr>
            </w:pPr>
            <w:r w:rsidRPr="00F01347">
              <w:rPr>
                <w:rFonts w:ascii="Verdana" w:hAnsi="Verdana"/>
                <w:sz w:val="16"/>
                <w:szCs w:val="16"/>
                <w:lang w:val="en-US"/>
              </w:rPr>
              <w:t>3</w:t>
            </w:r>
          </w:p>
        </w:tc>
        <w:tc>
          <w:tcPr>
            <w:tcW w:w="1857" w:type="dxa"/>
            <w:tcBorders>
              <w:top w:val="single" w:sz="6" w:space="0" w:color="auto"/>
              <w:left w:val="single" w:sz="6" w:space="0" w:color="auto"/>
              <w:bottom w:val="single" w:sz="6" w:space="0" w:color="auto"/>
              <w:right w:val="single" w:sz="6" w:space="0" w:color="auto"/>
            </w:tcBorders>
            <w:hideMark/>
          </w:tcPr>
          <w:p w14:paraId="18E559B4" w14:textId="77777777" w:rsidR="00010040" w:rsidRPr="00F01347" w:rsidRDefault="00010040">
            <w:pPr>
              <w:pStyle w:val="texto0"/>
              <w:spacing w:line="232" w:lineRule="exact"/>
              <w:ind w:firstLine="0"/>
              <w:jc w:val="center"/>
              <w:rPr>
                <w:rFonts w:ascii="Verdana" w:hAnsi="Verdana"/>
                <w:sz w:val="16"/>
                <w:szCs w:val="16"/>
                <w:lang w:val="en-US"/>
              </w:rPr>
            </w:pPr>
            <w:r w:rsidRPr="00F01347">
              <w:rPr>
                <w:rFonts w:ascii="Verdana" w:hAnsi="Verdana"/>
                <w:sz w:val="16"/>
                <w:szCs w:val="16"/>
                <w:lang w:val="en-US"/>
              </w:rPr>
              <w:t>Rinse</w:t>
            </w:r>
          </w:p>
        </w:tc>
        <w:tc>
          <w:tcPr>
            <w:tcW w:w="1132" w:type="dxa"/>
            <w:tcBorders>
              <w:top w:val="single" w:sz="6" w:space="0" w:color="auto"/>
              <w:left w:val="single" w:sz="6" w:space="0" w:color="auto"/>
              <w:bottom w:val="single" w:sz="6" w:space="0" w:color="auto"/>
              <w:right w:val="single" w:sz="6" w:space="0" w:color="auto"/>
            </w:tcBorders>
            <w:hideMark/>
          </w:tcPr>
          <w:p w14:paraId="31AF16FF" w14:textId="77777777" w:rsidR="00010040" w:rsidRPr="00F01347" w:rsidRDefault="00010040">
            <w:pPr>
              <w:pStyle w:val="texto0"/>
              <w:spacing w:line="232" w:lineRule="exact"/>
              <w:ind w:firstLine="0"/>
              <w:jc w:val="center"/>
              <w:rPr>
                <w:rFonts w:ascii="Verdana" w:hAnsi="Verdana"/>
                <w:sz w:val="16"/>
                <w:szCs w:val="16"/>
                <w:lang w:val="en-US"/>
              </w:rPr>
            </w:pPr>
            <w:r w:rsidRPr="00F01347">
              <w:rPr>
                <w:rFonts w:ascii="Verdana" w:hAnsi="Verdana"/>
                <w:sz w:val="16"/>
                <w:szCs w:val="16"/>
                <w:lang w:val="en-US"/>
              </w:rPr>
              <w:t>BLNK</w:t>
            </w:r>
          </w:p>
        </w:tc>
        <w:tc>
          <w:tcPr>
            <w:tcW w:w="4529" w:type="dxa"/>
            <w:tcBorders>
              <w:top w:val="single" w:sz="6" w:space="0" w:color="auto"/>
              <w:left w:val="single" w:sz="6" w:space="0" w:color="auto"/>
              <w:bottom w:val="single" w:sz="6" w:space="0" w:color="auto"/>
              <w:right w:val="single" w:sz="6" w:space="0" w:color="auto"/>
            </w:tcBorders>
            <w:hideMark/>
          </w:tcPr>
          <w:p w14:paraId="25120EDA" w14:textId="77777777" w:rsidR="00010040" w:rsidRPr="00F01347" w:rsidRDefault="00010040">
            <w:pPr>
              <w:pStyle w:val="texto0"/>
              <w:spacing w:line="232" w:lineRule="exact"/>
              <w:ind w:firstLine="0"/>
              <w:rPr>
                <w:rFonts w:ascii="Verdana" w:hAnsi="Verdana"/>
                <w:sz w:val="16"/>
                <w:szCs w:val="16"/>
                <w:lang w:val="en-US"/>
              </w:rPr>
            </w:pPr>
            <w:r w:rsidRPr="00F01347">
              <w:rPr>
                <w:rFonts w:ascii="Verdana" w:hAnsi="Verdana"/>
                <w:sz w:val="16"/>
                <w:szCs w:val="16"/>
                <w:lang w:val="en-US"/>
              </w:rPr>
              <w:t>Clean the lines of the remains of previous injections.</w:t>
            </w:r>
          </w:p>
        </w:tc>
      </w:tr>
      <w:tr w:rsidR="00010040" w:rsidRPr="00F01347" w14:paraId="1B2352EF"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1C180E1E" w14:textId="77777777" w:rsidR="00010040" w:rsidRPr="00F01347" w:rsidRDefault="00010040">
            <w:pPr>
              <w:pStyle w:val="texto0"/>
              <w:spacing w:line="232" w:lineRule="exact"/>
              <w:ind w:firstLine="0"/>
              <w:jc w:val="center"/>
              <w:rPr>
                <w:rFonts w:ascii="Verdana" w:hAnsi="Verdana"/>
                <w:sz w:val="16"/>
                <w:szCs w:val="16"/>
                <w:lang w:val="en-US"/>
              </w:rPr>
            </w:pPr>
            <w:r w:rsidRPr="00F01347">
              <w:rPr>
                <w:rFonts w:ascii="Verdana" w:hAnsi="Verdana"/>
                <w:sz w:val="16"/>
                <w:szCs w:val="16"/>
                <w:lang w:val="en-US"/>
              </w:rPr>
              <w:t>4</w:t>
            </w:r>
          </w:p>
        </w:tc>
        <w:tc>
          <w:tcPr>
            <w:tcW w:w="1857" w:type="dxa"/>
            <w:tcBorders>
              <w:top w:val="single" w:sz="6" w:space="0" w:color="auto"/>
              <w:left w:val="single" w:sz="6" w:space="0" w:color="auto"/>
              <w:bottom w:val="single" w:sz="6" w:space="0" w:color="auto"/>
              <w:right w:val="single" w:sz="6" w:space="0" w:color="auto"/>
            </w:tcBorders>
            <w:hideMark/>
          </w:tcPr>
          <w:p w14:paraId="61E264FF" w14:textId="77777777" w:rsidR="00010040" w:rsidRPr="00F01347" w:rsidRDefault="00010040">
            <w:pPr>
              <w:pStyle w:val="texto0"/>
              <w:spacing w:line="232" w:lineRule="exact"/>
              <w:ind w:firstLine="0"/>
              <w:jc w:val="center"/>
              <w:rPr>
                <w:rFonts w:ascii="Verdana" w:hAnsi="Verdana"/>
                <w:sz w:val="16"/>
                <w:szCs w:val="16"/>
                <w:lang w:val="en-US"/>
              </w:rPr>
            </w:pPr>
            <w:r w:rsidRPr="00F01347">
              <w:rPr>
                <w:rFonts w:ascii="Verdana" w:hAnsi="Verdana"/>
                <w:sz w:val="16"/>
                <w:szCs w:val="16"/>
                <w:lang w:val="en-US"/>
              </w:rPr>
              <w:t>Base line</w:t>
            </w:r>
          </w:p>
        </w:tc>
        <w:tc>
          <w:tcPr>
            <w:tcW w:w="1132" w:type="dxa"/>
            <w:tcBorders>
              <w:top w:val="single" w:sz="6" w:space="0" w:color="auto"/>
              <w:left w:val="single" w:sz="6" w:space="0" w:color="auto"/>
              <w:bottom w:val="single" w:sz="6" w:space="0" w:color="auto"/>
              <w:right w:val="single" w:sz="6" w:space="0" w:color="auto"/>
            </w:tcBorders>
            <w:hideMark/>
          </w:tcPr>
          <w:p w14:paraId="45496B25" w14:textId="77777777" w:rsidR="00010040" w:rsidRPr="00F01347" w:rsidRDefault="00010040">
            <w:pPr>
              <w:pStyle w:val="texto0"/>
              <w:spacing w:line="232" w:lineRule="exact"/>
              <w:ind w:firstLine="0"/>
              <w:jc w:val="center"/>
              <w:rPr>
                <w:rFonts w:ascii="Verdana" w:hAnsi="Verdana"/>
                <w:sz w:val="16"/>
                <w:szCs w:val="16"/>
                <w:lang w:val="en-US"/>
              </w:rPr>
            </w:pPr>
            <w:r w:rsidRPr="00F01347">
              <w:rPr>
                <w:rFonts w:ascii="Verdana" w:hAnsi="Verdana"/>
                <w:sz w:val="16"/>
                <w:szCs w:val="16"/>
                <w:lang w:val="en-US"/>
              </w:rPr>
              <w:t>R.B.</w:t>
            </w:r>
          </w:p>
        </w:tc>
        <w:tc>
          <w:tcPr>
            <w:tcW w:w="4529" w:type="dxa"/>
            <w:tcBorders>
              <w:top w:val="single" w:sz="6" w:space="0" w:color="auto"/>
              <w:left w:val="single" w:sz="6" w:space="0" w:color="auto"/>
              <w:bottom w:val="single" w:sz="6" w:space="0" w:color="auto"/>
              <w:right w:val="single" w:sz="6" w:space="0" w:color="auto"/>
            </w:tcBorders>
            <w:hideMark/>
          </w:tcPr>
          <w:p w14:paraId="2CA0427C" w14:textId="77777777" w:rsidR="00010040" w:rsidRPr="00F01347" w:rsidRDefault="00010040">
            <w:pPr>
              <w:pStyle w:val="texto0"/>
              <w:spacing w:line="232" w:lineRule="exact"/>
              <w:ind w:firstLine="0"/>
              <w:rPr>
                <w:rFonts w:ascii="Verdana" w:hAnsi="Verdana"/>
                <w:sz w:val="16"/>
                <w:szCs w:val="16"/>
                <w:lang w:val="en-US"/>
              </w:rPr>
            </w:pPr>
            <w:r w:rsidRPr="00F01347">
              <w:rPr>
                <w:rFonts w:ascii="Verdana" w:hAnsi="Verdana"/>
                <w:sz w:val="16"/>
                <w:szCs w:val="16"/>
                <w:lang w:val="en-US"/>
              </w:rPr>
              <w:t>Set an anchor point for the baseline.</w:t>
            </w:r>
          </w:p>
        </w:tc>
      </w:tr>
      <w:tr w:rsidR="00010040" w:rsidRPr="00F01347" w14:paraId="0E6A2F93"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35316408"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5</w:t>
            </w:r>
          </w:p>
        </w:tc>
        <w:tc>
          <w:tcPr>
            <w:tcW w:w="1857" w:type="dxa"/>
            <w:tcBorders>
              <w:top w:val="single" w:sz="6" w:space="0" w:color="auto"/>
              <w:left w:val="single" w:sz="6" w:space="0" w:color="auto"/>
              <w:bottom w:val="single" w:sz="6" w:space="0" w:color="auto"/>
              <w:right w:val="single" w:sz="6" w:space="0" w:color="auto"/>
            </w:tcBorders>
            <w:hideMark/>
          </w:tcPr>
          <w:p w14:paraId="42D74C24"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Calibration standards</w:t>
            </w:r>
          </w:p>
        </w:tc>
        <w:tc>
          <w:tcPr>
            <w:tcW w:w="1132" w:type="dxa"/>
            <w:tcBorders>
              <w:top w:val="single" w:sz="6" w:space="0" w:color="auto"/>
              <w:left w:val="single" w:sz="6" w:space="0" w:color="auto"/>
              <w:bottom w:val="single" w:sz="6" w:space="0" w:color="auto"/>
              <w:right w:val="single" w:sz="6" w:space="0" w:color="auto"/>
            </w:tcBorders>
            <w:hideMark/>
          </w:tcPr>
          <w:p w14:paraId="5890D49F"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c</w:t>
            </w:r>
          </w:p>
        </w:tc>
        <w:tc>
          <w:tcPr>
            <w:tcW w:w="4529" w:type="dxa"/>
            <w:tcBorders>
              <w:top w:val="single" w:sz="6" w:space="0" w:color="auto"/>
              <w:left w:val="single" w:sz="6" w:space="0" w:color="auto"/>
              <w:bottom w:val="single" w:sz="6" w:space="0" w:color="auto"/>
              <w:right w:val="single" w:sz="6" w:space="0" w:color="auto"/>
            </w:tcBorders>
            <w:hideMark/>
          </w:tcPr>
          <w:p w14:paraId="4739C5E8" w14:textId="77777777" w:rsidR="00010040" w:rsidRPr="00F01347" w:rsidRDefault="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Series of standards of different concentrations that the team uses to build the calibration curve. They are omitted if a curve loaded in the equipment is used.</w:t>
            </w:r>
          </w:p>
        </w:tc>
      </w:tr>
      <w:tr w:rsidR="00010040" w:rsidRPr="00F01347" w14:paraId="48BBEA38"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1AAFC929"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6</w:t>
            </w:r>
          </w:p>
        </w:tc>
        <w:tc>
          <w:tcPr>
            <w:tcW w:w="1857" w:type="dxa"/>
            <w:tcBorders>
              <w:top w:val="single" w:sz="6" w:space="0" w:color="auto"/>
              <w:left w:val="single" w:sz="6" w:space="0" w:color="auto"/>
              <w:bottom w:val="single" w:sz="6" w:space="0" w:color="auto"/>
              <w:right w:val="single" w:sz="6" w:space="0" w:color="auto"/>
            </w:tcBorders>
            <w:hideMark/>
          </w:tcPr>
          <w:p w14:paraId="64C4EA8E"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Rinse</w:t>
            </w:r>
          </w:p>
        </w:tc>
        <w:tc>
          <w:tcPr>
            <w:tcW w:w="1132" w:type="dxa"/>
            <w:tcBorders>
              <w:top w:val="single" w:sz="6" w:space="0" w:color="auto"/>
              <w:left w:val="single" w:sz="6" w:space="0" w:color="auto"/>
              <w:bottom w:val="single" w:sz="6" w:space="0" w:color="auto"/>
              <w:right w:val="single" w:sz="6" w:space="0" w:color="auto"/>
            </w:tcBorders>
            <w:hideMark/>
          </w:tcPr>
          <w:p w14:paraId="7167406B"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BLNK</w:t>
            </w:r>
          </w:p>
        </w:tc>
        <w:tc>
          <w:tcPr>
            <w:tcW w:w="4529" w:type="dxa"/>
            <w:tcBorders>
              <w:top w:val="single" w:sz="6" w:space="0" w:color="auto"/>
              <w:left w:val="single" w:sz="6" w:space="0" w:color="auto"/>
              <w:bottom w:val="single" w:sz="6" w:space="0" w:color="auto"/>
              <w:right w:val="single" w:sz="6" w:space="0" w:color="auto"/>
            </w:tcBorders>
            <w:hideMark/>
          </w:tcPr>
          <w:p w14:paraId="211F4C39" w14:textId="77777777" w:rsidR="00010040" w:rsidRPr="00F01347" w:rsidRDefault="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Clean the lines of the remains of previous injections.</w:t>
            </w:r>
          </w:p>
        </w:tc>
      </w:tr>
      <w:tr w:rsidR="00010040" w:rsidRPr="00F01347" w14:paraId="5633CE62"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6C153311"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7</w:t>
            </w:r>
          </w:p>
        </w:tc>
        <w:tc>
          <w:tcPr>
            <w:tcW w:w="1857" w:type="dxa"/>
            <w:tcBorders>
              <w:top w:val="single" w:sz="6" w:space="0" w:color="auto"/>
              <w:left w:val="single" w:sz="6" w:space="0" w:color="auto"/>
              <w:bottom w:val="single" w:sz="6" w:space="0" w:color="auto"/>
              <w:right w:val="single" w:sz="6" w:space="0" w:color="auto"/>
            </w:tcBorders>
            <w:hideMark/>
          </w:tcPr>
          <w:p w14:paraId="04551362"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Base line</w:t>
            </w:r>
          </w:p>
        </w:tc>
        <w:tc>
          <w:tcPr>
            <w:tcW w:w="1132" w:type="dxa"/>
            <w:tcBorders>
              <w:top w:val="single" w:sz="6" w:space="0" w:color="auto"/>
              <w:left w:val="single" w:sz="6" w:space="0" w:color="auto"/>
              <w:bottom w:val="single" w:sz="6" w:space="0" w:color="auto"/>
              <w:right w:val="single" w:sz="6" w:space="0" w:color="auto"/>
            </w:tcBorders>
            <w:hideMark/>
          </w:tcPr>
          <w:p w14:paraId="4ED541FC"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R.B.</w:t>
            </w:r>
          </w:p>
        </w:tc>
        <w:tc>
          <w:tcPr>
            <w:tcW w:w="4529" w:type="dxa"/>
            <w:tcBorders>
              <w:top w:val="single" w:sz="6" w:space="0" w:color="auto"/>
              <w:left w:val="single" w:sz="6" w:space="0" w:color="auto"/>
              <w:bottom w:val="single" w:sz="6" w:space="0" w:color="auto"/>
              <w:right w:val="single" w:sz="6" w:space="0" w:color="auto"/>
            </w:tcBorders>
            <w:hideMark/>
          </w:tcPr>
          <w:p w14:paraId="665140E7" w14:textId="77777777" w:rsidR="00010040" w:rsidRPr="00F01347" w:rsidRDefault="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Set an anchor point for the baseline.</w:t>
            </w:r>
          </w:p>
        </w:tc>
      </w:tr>
      <w:tr w:rsidR="00010040" w:rsidRPr="00F01347" w14:paraId="36AE795A"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1C817818"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8</w:t>
            </w:r>
          </w:p>
        </w:tc>
        <w:tc>
          <w:tcPr>
            <w:tcW w:w="1857" w:type="dxa"/>
            <w:tcBorders>
              <w:top w:val="single" w:sz="6" w:space="0" w:color="auto"/>
              <w:left w:val="single" w:sz="6" w:space="0" w:color="auto"/>
              <w:bottom w:val="single" w:sz="6" w:space="0" w:color="auto"/>
              <w:right w:val="single" w:sz="6" w:space="0" w:color="auto"/>
            </w:tcBorders>
            <w:hideMark/>
          </w:tcPr>
          <w:p w14:paraId="2DE8F92D"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Calibration Initial Verification Standards</w:t>
            </w:r>
          </w:p>
        </w:tc>
        <w:tc>
          <w:tcPr>
            <w:tcW w:w="1132" w:type="dxa"/>
            <w:tcBorders>
              <w:top w:val="single" w:sz="6" w:space="0" w:color="auto"/>
              <w:left w:val="single" w:sz="6" w:space="0" w:color="auto"/>
              <w:bottom w:val="single" w:sz="6" w:space="0" w:color="auto"/>
              <w:right w:val="single" w:sz="6" w:space="0" w:color="auto"/>
            </w:tcBorders>
            <w:hideMark/>
          </w:tcPr>
          <w:p w14:paraId="5DABFFA0"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ICV</w:t>
            </w:r>
          </w:p>
        </w:tc>
        <w:tc>
          <w:tcPr>
            <w:tcW w:w="4529" w:type="dxa"/>
            <w:tcBorders>
              <w:top w:val="single" w:sz="6" w:space="0" w:color="auto"/>
              <w:left w:val="single" w:sz="6" w:space="0" w:color="auto"/>
              <w:bottom w:val="single" w:sz="6" w:space="0" w:color="auto"/>
              <w:right w:val="single" w:sz="6" w:space="0" w:color="auto"/>
            </w:tcBorders>
            <w:hideMark/>
          </w:tcPr>
          <w:p w14:paraId="2A7A7385" w14:textId="716A9BCF" w:rsidR="00010040" w:rsidRPr="00F01347" w:rsidRDefault="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 xml:space="preserve">To quantify the concentration of analyte in samples and quality controls in a batch, an initial calibration verification (ICV) standard must be prepared, which contains the analyte in a known concentration and is within the working </w:t>
            </w:r>
            <w:r w:rsidR="002C4F31" w:rsidRPr="00F01347">
              <w:rPr>
                <w:rFonts w:ascii="Verdana" w:hAnsi="Verdana"/>
                <w:sz w:val="16"/>
                <w:szCs w:val="16"/>
                <w:lang w:val="en-US"/>
              </w:rPr>
              <w:t>range.</w:t>
            </w:r>
          </w:p>
        </w:tc>
      </w:tr>
      <w:tr w:rsidR="00010040" w:rsidRPr="00F01347" w14:paraId="5709CF43"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5E7248D6"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lastRenderedPageBreak/>
              <w:t>9</w:t>
            </w:r>
          </w:p>
        </w:tc>
        <w:tc>
          <w:tcPr>
            <w:tcW w:w="1857" w:type="dxa"/>
            <w:tcBorders>
              <w:top w:val="single" w:sz="6" w:space="0" w:color="auto"/>
              <w:left w:val="single" w:sz="6" w:space="0" w:color="auto"/>
              <w:bottom w:val="single" w:sz="6" w:space="0" w:color="auto"/>
              <w:right w:val="single" w:sz="6" w:space="0" w:color="auto"/>
            </w:tcBorders>
            <w:hideMark/>
          </w:tcPr>
          <w:p w14:paraId="61611D18"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Continuous Calibration Verification Standard</w:t>
            </w:r>
          </w:p>
        </w:tc>
        <w:tc>
          <w:tcPr>
            <w:tcW w:w="1132" w:type="dxa"/>
            <w:tcBorders>
              <w:top w:val="single" w:sz="6" w:space="0" w:color="auto"/>
              <w:left w:val="single" w:sz="6" w:space="0" w:color="auto"/>
              <w:bottom w:val="single" w:sz="6" w:space="0" w:color="auto"/>
              <w:right w:val="single" w:sz="6" w:space="0" w:color="auto"/>
            </w:tcBorders>
            <w:hideMark/>
          </w:tcPr>
          <w:p w14:paraId="65A61C60"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CCC</w:t>
            </w:r>
          </w:p>
        </w:tc>
        <w:tc>
          <w:tcPr>
            <w:tcW w:w="4529" w:type="dxa"/>
            <w:tcBorders>
              <w:top w:val="single" w:sz="6" w:space="0" w:color="auto"/>
              <w:left w:val="single" w:sz="6" w:space="0" w:color="auto"/>
              <w:bottom w:val="single" w:sz="6" w:space="0" w:color="auto"/>
              <w:right w:val="single" w:sz="6" w:space="0" w:color="auto"/>
            </w:tcBorders>
            <w:hideMark/>
          </w:tcPr>
          <w:p w14:paraId="309B75FA" w14:textId="77777777" w:rsidR="00010040" w:rsidRPr="00F01347" w:rsidRDefault="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Check that the calibration verified at the beginning remains valid throughout the batch analysis.</w:t>
            </w:r>
          </w:p>
        </w:tc>
      </w:tr>
      <w:tr w:rsidR="00010040" w:rsidRPr="00F01347" w14:paraId="0480CD76"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2E611635"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10</w:t>
            </w:r>
          </w:p>
        </w:tc>
        <w:tc>
          <w:tcPr>
            <w:tcW w:w="1857" w:type="dxa"/>
            <w:tcBorders>
              <w:top w:val="single" w:sz="6" w:space="0" w:color="auto"/>
              <w:left w:val="single" w:sz="6" w:space="0" w:color="auto"/>
              <w:bottom w:val="single" w:sz="6" w:space="0" w:color="auto"/>
              <w:right w:val="single" w:sz="6" w:space="0" w:color="auto"/>
            </w:tcBorders>
            <w:hideMark/>
          </w:tcPr>
          <w:p w14:paraId="5D9DB310"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Rinse</w:t>
            </w:r>
          </w:p>
        </w:tc>
        <w:tc>
          <w:tcPr>
            <w:tcW w:w="1132" w:type="dxa"/>
            <w:tcBorders>
              <w:top w:val="single" w:sz="6" w:space="0" w:color="auto"/>
              <w:left w:val="single" w:sz="6" w:space="0" w:color="auto"/>
              <w:bottom w:val="single" w:sz="6" w:space="0" w:color="auto"/>
              <w:right w:val="single" w:sz="6" w:space="0" w:color="auto"/>
            </w:tcBorders>
            <w:hideMark/>
          </w:tcPr>
          <w:p w14:paraId="05EB556B"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BLNK</w:t>
            </w:r>
          </w:p>
        </w:tc>
        <w:tc>
          <w:tcPr>
            <w:tcW w:w="4529" w:type="dxa"/>
            <w:tcBorders>
              <w:top w:val="single" w:sz="6" w:space="0" w:color="auto"/>
              <w:left w:val="single" w:sz="6" w:space="0" w:color="auto"/>
              <w:bottom w:val="single" w:sz="6" w:space="0" w:color="auto"/>
              <w:right w:val="single" w:sz="6" w:space="0" w:color="auto"/>
            </w:tcBorders>
            <w:hideMark/>
          </w:tcPr>
          <w:p w14:paraId="30388CDD" w14:textId="77777777" w:rsidR="00010040" w:rsidRPr="00F01347" w:rsidRDefault="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Clean the lines of the remains of previous injections.</w:t>
            </w:r>
          </w:p>
        </w:tc>
      </w:tr>
      <w:tr w:rsidR="00010040" w:rsidRPr="00F01347" w14:paraId="469A93F5"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5C56CCCE" w14:textId="24AECFAA" w:rsidR="00010040" w:rsidRPr="00F01347" w:rsidRDefault="002C4F31">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11</w:t>
            </w:r>
          </w:p>
        </w:tc>
        <w:tc>
          <w:tcPr>
            <w:tcW w:w="1857" w:type="dxa"/>
            <w:tcBorders>
              <w:top w:val="single" w:sz="6" w:space="0" w:color="auto"/>
              <w:left w:val="single" w:sz="6" w:space="0" w:color="auto"/>
              <w:bottom w:val="single" w:sz="6" w:space="0" w:color="auto"/>
              <w:right w:val="single" w:sz="6" w:space="0" w:color="auto"/>
            </w:tcBorders>
            <w:hideMark/>
          </w:tcPr>
          <w:p w14:paraId="08FBE9BC"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Base line</w:t>
            </w:r>
          </w:p>
        </w:tc>
        <w:tc>
          <w:tcPr>
            <w:tcW w:w="1132" w:type="dxa"/>
            <w:tcBorders>
              <w:top w:val="single" w:sz="6" w:space="0" w:color="auto"/>
              <w:left w:val="single" w:sz="6" w:space="0" w:color="auto"/>
              <w:bottom w:val="single" w:sz="6" w:space="0" w:color="auto"/>
              <w:right w:val="single" w:sz="6" w:space="0" w:color="auto"/>
            </w:tcBorders>
            <w:hideMark/>
          </w:tcPr>
          <w:p w14:paraId="43427E2E"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R.B.</w:t>
            </w:r>
          </w:p>
        </w:tc>
        <w:tc>
          <w:tcPr>
            <w:tcW w:w="4529" w:type="dxa"/>
            <w:tcBorders>
              <w:top w:val="single" w:sz="6" w:space="0" w:color="auto"/>
              <w:left w:val="single" w:sz="6" w:space="0" w:color="auto"/>
              <w:bottom w:val="single" w:sz="6" w:space="0" w:color="auto"/>
              <w:right w:val="single" w:sz="6" w:space="0" w:color="auto"/>
            </w:tcBorders>
            <w:hideMark/>
          </w:tcPr>
          <w:p w14:paraId="68EF7CFB" w14:textId="77777777" w:rsidR="00010040" w:rsidRPr="00F01347" w:rsidRDefault="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Set an anchor point for the baseline.</w:t>
            </w:r>
          </w:p>
        </w:tc>
      </w:tr>
      <w:tr w:rsidR="00010040" w:rsidRPr="00F01347" w14:paraId="30FABA6B"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332AF1A0"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12</w:t>
            </w:r>
          </w:p>
        </w:tc>
        <w:tc>
          <w:tcPr>
            <w:tcW w:w="1857" w:type="dxa"/>
            <w:tcBorders>
              <w:top w:val="single" w:sz="6" w:space="0" w:color="auto"/>
              <w:left w:val="single" w:sz="6" w:space="0" w:color="auto"/>
              <w:bottom w:val="single" w:sz="6" w:space="0" w:color="auto"/>
              <w:right w:val="single" w:sz="6" w:space="0" w:color="auto"/>
            </w:tcBorders>
            <w:hideMark/>
          </w:tcPr>
          <w:p w14:paraId="118455E1"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Reagent blank</w:t>
            </w:r>
          </w:p>
        </w:tc>
        <w:tc>
          <w:tcPr>
            <w:tcW w:w="1132" w:type="dxa"/>
            <w:tcBorders>
              <w:top w:val="single" w:sz="6" w:space="0" w:color="auto"/>
              <w:left w:val="single" w:sz="6" w:space="0" w:color="auto"/>
              <w:bottom w:val="single" w:sz="6" w:space="0" w:color="auto"/>
              <w:right w:val="single" w:sz="6" w:space="0" w:color="auto"/>
            </w:tcBorders>
            <w:hideMark/>
          </w:tcPr>
          <w:p w14:paraId="1CDF488C"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OR</w:t>
            </w:r>
          </w:p>
        </w:tc>
        <w:tc>
          <w:tcPr>
            <w:tcW w:w="4529" w:type="dxa"/>
            <w:tcBorders>
              <w:top w:val="single" w:sz="6" w:space="0" w:color="auto"/>
              <w:left w:val="single" w:sz="6" w:space="0" w:color="auto"/>
              <w:bottom w:val="single" w:sz="6" w:space="0" w:color="auto"/>
              <w:right w:val="single" w:sz="6" w:space="0" w:color="auto"/>
            </w:tcBorders>
            <w:hideMark/>
          </w:tcPr>
          <w:p w14:paraId="3CEED1FD" w14:textId="77777777" w:rsidR="00010040" w:rsidRPr="00F01347" w:rsidRDefault="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The reading for this reagent blank must yield a value lower than the detection limit of the method.</w:t>
            </w:r>
          </w:p>
        </w:tc>
      </w:tr>
      <w:tr w:rsidR="00010040" w:rsidRPr="00F01347" w14:paraId="2D464DB0"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1DCE56BE"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13</w:t>
            </w:r>
          </w:p>
        </w:tc>
        <w:tc>
          <w:tcPr>
            <w:tcW w:w="1857" w:type="dxa"/>
            <w:tcBorders>
              <w:top w:val="single" w:sz="6" w:space="0" w:color="auto"/>
              <w:left w:val="single" w:sz="6" w:space="0" w:color="auto"/>
              <w:bottom w:val="single" w:sz="6" w:space="0" w:color="auto"/>
              <w:right w:val="single" w:sz="6" w:space="0" w:color="auto"/>
            </w:tcBorders>
            <w:hideMark/>
          </w:tcPr>
          <w:p w14:paraId="0FE26F86"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Sample QC or BF</w:t>
            </w:r>
          </w:p>
        </w:tc>
        <w:tc>
          <w:tcPr>
            <w:tcW w:w="1132" w:type="dxa"/>
            <w:tcBorders>
              <w:top w:val="single" w:sz="6" w:space="0" w:color="auto"/>
              <w:left w:val="single" w:sz="6" w:space="0" w:color="auto"/>
              <w:bottom w:val="single" w:sz="6" w:space="0" w:color="auto"/>
              <w:right w:val="single" w:sz="6" w:space="0" w:color="auto"/>
            </w:tcBorders>
            <w:hideMark/>
          </w:tcPr>
          <w:p w14:paraId="7CDD1981"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OR</w:t>
            </w:r>
          </w:p>
        </w:tc>
        <w:tc>
          <w:tcPr>
            <w:tcW w:w="4529" w:type="dxa"/>
            <w:tcBorders>
              <w:top w:val="single" w:sz="6" w:space="0" w:color="auto"/>
              <w:left w:val="single" w:sz="6" w:space="0" w:color="auto"/>
              <w:bottom w:val="single" w:sz="6" w:space="0" w:color="auto"/>
              <w:right w:val="single" w:sz="6" w:space="0" w:color="auto"/>
            </w:tcBorders>
            <w:hideMark/>
          </w:tcPr>
          <w:p w14:paraId="4928620C" w14:textId="77777777" w:rsidR="00010040" w:rsidRPr="00F01347" w:rsidRDefault="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Analysis of a synthetic sample of known concentration. It is recommended to inject a blank after this sample since if its concentration is too high, carryover may occur in the next sample.</w:t>
            </w:r>
          </w:p>
        </w:tc>
      </w:tr>
      <w:tr w:rsidR="00010040" w:rsidRPr="00F01347" w14:paraId="4A624D45" w14:textId="77777777" w:rsidTr="00010040">
        <w:trPr>
          <w:trHeight w:val="20"/>
        </w:trPr>
        <w:tc>
          <w:tcPr>
            <w:tcW w:w="1194" w:type="dxa"/>
            <w:tcBorders>
              <w:top w:val="single" w:sz="6" w:space="0" w:color="auto"/>
              <w:left w:val="single" w:sz="6" w:space="0" w:color="auto"/>
              <w:bottom w:val="single" w:sz="6" w:space="0" w:color="auto"/>
              <w:right w:val="single" w:sz="6" w:space="0" w:color="auto"/>
            </w:tcBorders>
            <w:hideMark/>
          </w:tcPr>
          <w:p w14:paraId="7D1F1EEB"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14</w:t>
            </w:r>
          </w:p>
        </w:tc>
        <w:tc>
          <w:tcPr>
            <w:tcW w:w="1857" w:type="dxa"/>
            <w:tcBorders>
              <w:top w:val="single" w:sz="6" w:space="0" w:color="auto"/>
              <w:left w:val="single" w:sz="6" w:space="0" w:color="auto"/>
              <w:bottom w:val="single" w:sz="6" w:space="0" w:color="auto"/>
              <w:right w:val="single" w:sz="6" w:space="0" w:color="auto"/>
            </w:tcBorders>
            <w:hideMark/>
          </w:tcPr>
          <w:p w14:paraId="2DF2103D"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Unknown samples or problem</w:t>
            </w:r>
          </w:p>
        </w:tc>
        <w:tc>
          <w:tcPr>
            <w:tcW w:w="1132" w:type="dxa"/>
            <w:tcBorders>
              <w:top w:val="single" w:sz="6" w:space="0" w:color="auto"/>
              <w:left w:val="single" w:sz="6" w:space="0" w:color="auto"/>
              <w:bottom w:val="single" w:sz="6" w:space="0" w:color="auto"/>
              <w:right w:val="single" w:sz="6" w:space="0" w:color="auto"/>
            </w:tcBorders>
            <w:hideMark/>
          </w:tcPr>
          <w:p w14:paraId="3A65B92B" w14:textId="77777777" w:rsidR="00010040" w:rsidRPr="00F01347" w:rsidRDefault="00010040">
            <w:pPr>
              <w:pStyle w:val="texto0"/>
              <w:spacing w:line="248" w:lineRule="exact"/>
              <w:ind w:firstLine="0"/>
              <w:jc w:val="center"/>
              <w:rPr>
                <w:rFonts w:ascii="Verdana" w:hAnsi="Verdana"/>
                <w:sz w:val="16"/>
                <w:szCs w:val="16"/>
                <w:lang w:val="en-US"/>
              </w:rPr>
            </w:pPr>
            <w:r w:rsidRPr="00F01347">
              <w:rPr>
                <w:rFonts w:ascii="Verdana" w:hAnsi="Verdana"/>
                <w:sz w:val="16"/>
                <w:szCs w:val="16"/>
                <w:lang w:val="en-US"/>
              </w:rPr>
              <w:t>OR</w:t>
            </w:r>
          </w:p>
        </w:tc>
        <w:tc>
          <w:tcPr>
            <w:tcW w:w="4529" w:type="dxa"/>
            <w:tcBorders>
              <w:top w:val="single" w:sz="6" w:space="0" w:color="auto"/>
              <w:left w:val="single" w:sz="6" w:space="0" w:color="auto"/>
              <w:bottom w:val="single" w:sz="6" w:space="0" w:color="auto"/>
              <w:right w:val="single" w:sz="6" w:space="0" w:color="auto"/>
            </w:tcBorders>
            <w:hideMark/>
          </w:tcPr>
          <w:p w14:paraId="6B7D8B9F" w14:textId="77777777" w:rsidR="00010040" w:rsidRPr="00F01347" w:rsidRDefault="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Problem samples. Duplicate and added samples are included.</w:t>
            </w:r>
          </w:p>
        </w:tc>
      </w:tr>
    </w:tbl>
    <w:p w14:paraId="383B294F" w14:textId="77777777" w:rsidR="00010040" w:rsidRPr="00F01347" w:rsidRDefault="00010040" w:rsidP="00010040">
      <w:pPr>
        <w:pStyle w:val="texto0"/>
        <w:spacing w:line="248"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10040" w:rsidRPr="00F01347" w14:paraId="07395C70" w14:textId="150216F5" w:rsidTr="002C4F31">
        <w:tc>
          <w:tcPr>
            <w:tcW w:w="4675" w:type="dxa"/>
          </w:tcPr>
          <w:p w14:paraId="18156110" w14:textId="77777777" w:rsidR="00010040" w:rsidRPr="00F01347" w:rsidRDefault="00010040" w:rsidP="00010040">
            <w:pPr>
              <w:pStyle w:val="texto0"/>
              <w:spacing w:line="248" w:lineRule="exact"/>
              <w:ind w:firstLine="0"/>
              <w:rPr>
                <w:rFonts w:ascii="Verdana" w:hAnsi="Verdana"/>
                <w:sz w:val="16"/>
                <w:szCs w:val="16"/>
              </w:rPr>
            </w:pPr>
            <w:r w:rsidRPr="00F01347">
              <w:rPr>
                <w:rFonts w:ascii="Verdana" w:hAnsi="Verdana"/>
                <w:b/>
                <w:sz w:val="16"/>
                <w:szCs w:val="16"/>
              </w:rPr>
              <w:t xml:space="preserve">B.11.2.8.1.5 </w:t>
            </w:r>
            <w:r w:rsidRPr="00F01347">
              <w:rPr>
                <w:rFonts w:ascii="Verdana" w:hAnsi="Verdana"/>
                <w:sz w:val="16"/>
                <w:szCs w:val="16"/>
              </w:rPr>
              <w:t>A partir de que comienza el análisis de las muestras desconocidas, se debe incluir cada 10 muestras el siguiente grupo de inyecciones a lo largo de toda la secuencia para la verificación continua de la calibración:</w:t>
            </w:r>
          </w:p>
        </w:tc>
        <w:tc>
          <w:tcPr>
            <w:tcW w:w="4675" w:type="dxa"/>
          </w:tcPr>
          <w:p w14:paraId="0C3760B1" w14:textId="3160040F" w:rsidR="00010040" w:rsidRPr="00F01347" w:rsidRDefault="00010040" w:rsidP="00010040">
            <w:pPr>
              <w:pStyle w:val="texto0"/>
              <w:spacing w:line="248" w:lineRule="exact"/>
              <w:ind w:firstLine="0"/>
              <w:rPr>
                <w:rFonts w:ascii="Verdana" w:hAnsi="Verdana"/>
                <w:b/>
                <w:sz w:val="16"/>
                <w:szCs w:val="16"/>
                <w:lang w:val="en-US"/>
              </w:rPr>
            </w:pPr>
            <w:r w:rsidRPr="00F01347">
              <w:rPr>
                <w:rFonts w:ascii="Verdana" w:hAnsi="Verdana"/>
                <w:b/>
                <w:sz w:val="16"/>
                <w:szCs w:val="16"/>
                <w:lang w:val="en-US"/>
              </w:rPr>
              <w:t xml:space="preserve">B.11.2.8.1.5 </w:t>
            </w:r>
            <w:r w:rsidRPr="00F01347">
              <w:rPr>
                <w:rFonts w:ascii="Verdana" w:hAnsi="Verdana"/>
                <w:sz w:val="16"/>
                <w:szCs w:val="16"/>
                <w:lang w:val="en-US"/>
              </w:rPr>
              <w:t>From the beginning of the analysis of the unknown samples, the following group of injections must be included every 10 samples throughout the entire sequence for continuous calibration verification:</w:t>
            </w:r>
          </w:p>
        </w:tc>
      </w:tr>
      <w:tr w:rsidR="00010040" w:rsidRPr="00F01347" w14:paraId="7C51DA02" w14:textId="6742C8EA" w:rsidTr="002C4F31">
        <w:tc>
          <w:tcPr>
            <w:tcW w:w="4675" w:type="dxa"/>
          </w:tcPr>
          <w:p w14:paraId="3E9BDBF3" w14:textId="77777777" w:rsidR="00010040" w:rsidRPr="00F01347" w:rsidRDefault="00010040" w:rsidP="00010040">
            <w:pPr>
              <w:pStyle w:val="texto0"/>
              <w:spacing w:line="248"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Enjuague (BLNK)</w:t>
            </w:r>
          </w:p>
        </w:tc>
        <w:tc>
          <w:tcPr>
            <w:tcW w:w="4675" w:type="dxa"/>
          </w:tcPr>
          <w:p w14:paraId="082299BE" w14:textId="4B8875D6" w:rsidR="00010040" w:rsidRPr="00F01347" w:rsidRDefault="00010040" w:rsidP="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Rinse (BLNK)</w:t>
            </w:r>
          </w:p>
        </w:tc>
      </w:tr>
      <w:tr w:rsidR="00010040" w:rsidRPr="00F01347" w14:paraId="15A08386" w14:textId="65DB747E" w:rsidTr="002C4F31">
        <w:tc>
          <w:tcPr>
            <w:tcW w:w="4675" w:type="dxa"/>
          </w:tcPr>
          <w:p w14:paraId="6B256BAC" w14:textId="77777777" w:rsidR="00010040" w:rsidRPr="00F01347" w:rsidRDefault="00010040" w:rsidP="00010040">
            <w:pPr>
              <w:pStyle w:val="texto0"/>
              <w:spacing w:line="248"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Estándar de verificación de calibración continua (CCC)</w:t>
            </w:r>
          </w:p>
        </w:tc>
        <w:tc>
          <w:tcPr>
            <w:tcW w:w="4675" w:type="dxa"/>
          </w:tcPr>
          <w:p w14:paraId="2F10E6CF" w14:textId="4D1D6A08" w:rsidR="00010040" w:rsidRPr="00F01347" w:rsidRDefault="00010040" w:rsidP="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Continuous Calibration Verification (CCC) Standard</w:t>
            </w:r>
          </w:p>
        </w:tc>
      </w:tr>
      <w:tr w:rsidR="00010040" w:rsidRPr="00F01347" w14:paraId="0C2FD5CB" w14:textId="57395522" w:rsidTr="002C4F31">
        <w:tc>
          <w:tcPr>
            <w:tcW w:w="4675" w:type="dxa"/>
          </w:tcPr>
          <w:p w14:paraId="49E25DA8" w14:textId="77777777" w:rsidR="00010040" w:rsidRPr="00F01347" w:rsidRDefault="00010040" w:rsidP="00010040">
            <w:pPr>
              <w:pStyle w:val="texto0"/>
              <w:spacing w:line="248"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Enjuague (BLNK)</w:t>
            </w:r>
          </w:p>
        </w:tc>
        <w:tc>
          <w:tcPr>
            <w:tcW w:w="4675" w:type="dxa"/>
          </w:tcPr>
          <w:p w14:paraId="4D83CC4C" w14:textId="7C79A632" w:rsidR="00010040" w:rsidRPr="00F01347" w:rsidRDefault="00010040" w:rsidP="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Rinse (BLNK)</w:t>
            </w:r>
          </w:p>
        </w:tc>
      </w:tr>
      <w:tr w:rsidR="00010040" w:rsidRPr="00F01347" w14:paraId="2DF21354" w14:textId="6CCA1A2C" w:rsidTr="002C4F31">
        <w:tc>
          <w:tcPr>
            <w:tcW w:w="4675" w:type="dxa"/>
          </w:tcPr>
          <w:p w14:paraId="22298578" w14:textId="77777777" w:rsidR="00010040" w:rsidRPr="00F01347" w:rsidRDefault="00010040" w:rsidP="00010040">
            <w:pPr>
              <w:pStyle w:val="texto0"/>
              <w:spacing w:line="248"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t>Línea base (RB)</w:t>
            </w:r>
          </w:p>
        </w:tc>
        <w:tc>
          <w:tcPr>
            <w:tcW w:w="4675" w:type="dxa"/>
          </w:tcPr>
          <w:p w14:paraId="205AF9DB" w14:textId="61E9BE94" w:rsidR="00010040" w:rsidRPr="00F01347" w:rsidRDefault="00010040" w:rsidP="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 xml:space="preserve">● </w:t>
            </w:r>
            <w:r w:rsidRPr="00F01347">
              <w:rPr>
                <w:rFonts w:ascii="Verdana" w:hAnsi="Verdana"/>
                <w:sz w:val="16"/>
                <w:szCs w:val="16"/>
                <w:lang w:val="en-US"/>
              </w:rPr>
              <w:tab/>
              <w:t>Baseline (RB)</w:t>
            </w:r>
          </w:p>
        </w:tc>
      </w:tr>
      <w:tr w:rsidR="00010040" w:rsidRPr="00F01347" w14:paraId="2F0232E9" w14:textId="5CC40C39" w:rsidTr="002C4F31">
        <w:tc>
          <w:tcPr>
            <w:tcW w:w="4675" w:type="dxa"/>
          </w:tcPr>
          <w:p w14:paraId="3ADC42FA" w14:textId="77777777" w:rsidR="00010040" w:rsidRPr="00F01347" w:rsidRDefault="00010040" w:rsidP="00010040">
            <w:pPr>
              <w:pStyle w:val="texto0"/>
              <w:spacing w:line="248" w:lineRule="exact"/>
              <w:ind w:firstLine="0"/>
              <w:rPr>
                <w:rFonts w:ascii="Verdana" w:hAnsi="Verdana"/>
                <w:sz w:val="16"/>
                <w:szCs w:val="16"/>
              </w:rPr>
            </w:pPr>
            <w:r w:rsidRPr="00F01347">
              <w:rPr>
                <w:rFonts w:ascii="Verdana" w:hAnsi="Verdana"/>
                <w:sz w:val="16"/>
                <w:szCs w:val="16"/>
              </w:rPr>
              <w:t>●</w:t>
            </w:r>
            <w:r w:rsidRPr="00F01347">
              <w:rPr>
                <w:rFonts w:ascii="Verdana" w:hAnsi="Verdana"/>
                <w:sz w:val="16"/>
                <w:szCs w:val="16"/>
              </w:rPr>
              <w:tab/>
            </w:r>
          </w:p>
        </w:tc>
        <w:tc>
          <w:tcPr>
            <w:tcW w:w="4675" w:type="dxa"/>
          </w:tcPr>
          <w:p w14:paraId="6815D9A5" w14:textId="5F411BB1" w:rsidR="00010040" w:rsidRPr="00F01347" w:rsidRDefault="00010040" w:rsidP="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w:t>
            </w:r>
            <w:r w:rsidRPr="00F01347">
              <w:rPr>
                <w:rFonts w:ascii="Verdana" w:hAnsi="Verdana"/>
                <w:sz w:val="16"/>
                <w:szCs w:val="16"/>
                <w:lang w:val="en-US"/>
              </w:rPr>
              <w:tab/>
            </w:r>
          </w:p>
        </w:tc>
      </w:tr>
      <w:tr w:rsidR="00010040" w:rsidRPr="00F01347" w14:paraId="63A5D139" w14:textId="71485242" w:rsidTr="002C4F31">
        <w:tc>
          <w:tcPr>
            <w:tcW w:w="4675" w:type="dxa"/>
          </w:tcPr>
          <w:p w14:paraId="0267D011" w14:textId="77777777" w:rsidR="00010040" w:rsidRPr="00F01347" w:rsidRDefault="00010040" w:rsidP="00010040">
            <w:pPr>
              <w:pStyle w:val="texto0"/>
              <w:spacing w:line="248" w:lineRule="exact"/>
              <w:ind w:firstLine="0"/>
              <w:rPr>
                <w:rFonts w:ascii="Verdana" w:hAnsi="Verdana"/>
                <w:sz w:val="16"/>
                <w:szCs w:val="16"/>
              </w:rPr>
            </w:pPr>
            <w:r w:rsidRPr="00F01347">
              <w:rPr>
                <w:rFonts w:ascii="Verdana" w:hAnsi="Verdana"/>
                <w:sz w:val="16"/>
                <w:szCs w:val="16"/>
              </w:rPr>
              <w:t>Este grupo también se debe anexar al final de la secuencia inmediatamente después de la última muestra problema.</w:t>
            </w:r>
          </w:p>
        </w:tc>
        <w:tc>
          <w:tcPr>
            <w:tcW w:w="4675" w:type="dxa"/>
          </w:tcPr>
          <w:p w14:paraId="7E88A99B" w14:textId="5FD02CAA" w:rsidR="00010040" w:rsidRPr="00F01347" w:rsidRDefault="00010040" w:rsidP="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This group should also be appended to the end of the sequence immediately after the last test sample.</w:t>
            </w:r>
          </w:p>
        </w:tc>
      </w:tr>
      <w:tr w:rsidR="00010040" w:rsidRPr="00F01347" w14:paraId="39B2A8B4" w14:textId="623729C8" w:rsidTr="002C4F31">
        <w:tc>
          <w:tcPr>
            <w:tcW w:w="4675" w:type="dxa"/>
          </w:tcPr>
          <w:p w14:paraId="6B5868A0" w14:textId="77777777" w:rsidR="00010040" w:rsidRPr="00F01347" w:rsidRDefault="00010040" w:rsidP="00010040">
            <w:pPr>
              <w:pStyle w:val="texto0"/>
              <w:spacing w:line="248" w:lineRule="exact"/>
              <w:ind w:firstLine="0"/>
              <w:rPr>
                <w:rFonts w:ascii="Verdana" w:hAnsi="Verdana"/>
                <w:sz w:val="16"/>
                <w:szCs w:val="16"/>
              </w:rPr>
            </w:pPr>
            <w:r w:rsidRPr="00F01347">
              <w:rPr>
                <w:rFonts w:ascii="Verdana" w:hAnsi="Verdana"/>
                <w:sz w:val="16"/>
                <w:szCs w:val="16"/>
              </w:rPr>
              <w:t>Dependiendo de los requerimientos del programa específico de control de calidad, pueden ser requeridas muestras duplicadas de campo para evaluar la precisión y exactitud del muestreo, así como las técnicas de transportación y almacenamiento de la muestra.</w:t>
            </w:r>
          </w:p>
        </w:tc>
        <w:tc>
          <w:tcPr>
            <w:tcW w:w="4675" w:type="dxa"/>
          </w:tcPr>
          <w:p w14:paraId="794ABD09" w14:textId="504E6E04" w:rsidR="00010040" w:rsidRPr="00F01347" w:rsidRDefault="00010040" w:rsidP="00010040">
            <w:pPr>
              <w:pStyle w:val="texto0"/>
              <w:spacing w:line="248" w:lineRule="exact"/>
              <w:ind w:firstLine="0"/>
              <w:rPr>
                <w:rFonts w:ascii="Verdana" w:hAnsi="Verdana"/>
                <w:sz w:val="16"/>
                <w:szCs w:val="16"/>
                <w:lang w:val="en-US"/>
              </w:rPr>
            </w:pPr>
            <w:r w:rsidRPr="00F01347">
              <w:rPr>
                <w:rFonts w:ascii="Verdana" w:hAnsi="Verdana"/>
                <w:sz w:val="16"/>
                <w:szCs w:val="16"/>
                <w:lang w:val="en-US"/>
              </w:rPr>
              <w:t>Depending on the requirements of the specific quality control program, duplicate field samples may be required to evaluate the precision and accuracy of sampling, as well as sample transportation and storage techniques.</w:t>
            </w:r>
          </w:p>
        </w:tc>
      </w:tr>
      <w:tr w:rsidR="00010040" w:rsidRPr="00F01347" w14:paraId="6B448E17" w14:textId="39BA3816" w:rsidTr="002C4F31">
        <w:tc>
          <w:tcPr>
            <w:tcW w:w="4675" w:type="dxa"/>
          </w:tcPr>
          <w:p w14:paraId="15FECE7F" w14:textId="77777777" w:rsidR="00010040" w:rsidRPr="00F01347" w:rsidRDefault="00010040" w:rsidP="00010040">
            <w:pPr>
              <w:pStyle w:val="texto0"/>
              <w:spacing w:line="248" w:lineRule="exact"/>
              <w:ind w:firstLine="0"/>
              <w:rPr>
                <w:rFonts w:ascii="Verdana" w:hAnsi="Verdana"/>
                <w:b/>
                <w:sz w:val="16"/>
                <w:szCs w:val="16"/>
              </w:rPr>
            </w:pPr>
            <w:r w:rsidRPr="00F01347">
              <w:rPr>
                <w:rFonts w:ascii="Verdana" w:hAnsi="Verdana"/>
                <w:b/>
                <w:sz w:val="16"/>
                <w:szCs w:val="16"/>
              </w:rPr>
              <w:t>B.11.2.8.2 Criterios de aceptación y rechazo.</w:t>
            </w:r>
          </w:p>
        </w:tc>
        <w:tc>
          <w:tcPr>
            <w:tcW w:w="4675" w:type="dxa"/>
          </w:tcPr>
          <w:p w14:paraId="380677D6" w14:textId="6BDF7DBF" w:rsidR="00010040" w:rsidRPr="00F01347" w:rsidRDefault="00010040" w:rsidP="00010040">
            <w:pPr>
              <w:pStyle w:val="texto0"/>
              <w:spacing w:line="248" w:lineRule="exact"/>
              <w:ind w:firstLine="0"/>
              <w:rPr>
                <w:rFonts w:ascii="Verdana" w:hAnsi="Verdana"/>
                <w:b/>
                <w:sz w:val="16"/>
                <w:szCs w:val="16"/>
                <w:lang w:val="en-US"/>
              </w:rPr>
            </w:pPr>
            <w:r w:rsidRPr="00F01347">
              <w:rPr>
                <w:rFonts w:ascii="Verdana" w:hAnsi="Verdana"/>
                <w:b/>
                <w:sz w:val="16"/>
                <w:szCs w:val="16"/>
                <w:lang w:val="en-US"/>
              </w:rPr>
              <w:t>B.11.2.8.2 Acceptance and rejection criteria.</w:t>
            </w:r>
          </w:p>
        </w:tc>
      </w:tr>
      <w:tr w:rsidR="00010040" w:rsidRPr="00F01347" w14:paraId="0C880867" w14:textId="77777777" w:rsidTr="002C4F31">
        <w:tc>
          <w:tcPr>
            <w:tcW w:w="4675" w:type="dxa"/>
          </w:tcPr>
          <w:p w14:paraId="69DE6092" w14:textId="6AAEBF86" w:rsidR="00010040" w:rsidRPr="00F01347" w:rsidRDefault="00010040" w:rsidP="00010040">
            <w:pPr>
              <w:pStyle w:val="texto0"/>
              <w:spacing w:line="248" w:lineRule="exact"/>
              <w:ind w:firstLine="0"/>
              <w:rPr>
                <w:rFonts w:ascii="Verdana" w:hAnsi="Verdana"/>
                <w:b/>
                <w:sz w:val="16"/>
                <w:szCs w:val="16"/>
              </w:rPr>
            </w:pPr>
            <w:r w:rsidRPr="00F01347">
              <w:rPr>
                <w:rFonts w:ascii="Verdana" w:hAnsi="Verdana"/>
                <w:sz w:val="16"/>
                <w:szCs w:val="16"/>
              </w:rPr>
              <w:t>La Tabla B.11.2-3, de este Apéndice resume los controles de calidad mencionados en esta sección, así como sus criterios de aceptación.</w:t>
            </w:r>
          </w:p>
        </w:tc>
        <w:tc>
          <w:tcPr>
            <w:tcW w:w="4675" w:type="dxa"/>
          </w:tcPr>
          <w:p w14:paraId="132BA5E5" w14:textId="77E7F09C" w:rsidR="00010040" w:rsidRPr="00F01347" w:rsidRDefault="00010040" w:rsidP="00010040">
            <w:pPr>
              <w:pStyle w:val="texto0"/>
              <w:spacing w:line="248" w:lineRule="exact"/>
              <w:ind w:firstLine="0"/>
              <w:rPr>
                <w:rFonts w:ascii="Verdana" w:hAnsi="Verdana"/>
                <w:b/>
                <w:sz w:val="16"/>
                <w:szCs w:val="16"/>
                <w:lang w:val="en-US"/>
              </w:rPr>
            </w:pPr>
            <w:r w:rsidRPr="00F01347">
              <w:rPr>
                <w:rFonts w:ascii="Verdana" w:hAnsi="Verdana"/>
                <w:sz w:val="16"/>
                <w:szCs w:val="16"/>
                <w:lang w:val="en-US"/>
              </w:rPr>
              <w:t>Table B.11.2-3, in this Appendix summarizes the quality controls mentioned in this section, as well as their acceptance criteria.</w:t>
            </w:r>
          </w:p>
        </w:tc>
      </w:tr>
    </w:tbl>
    <w:p w14:paraId="7CC3F330" w14:textId="72F2E100" w:rsidR="00A74CDF" w:rsidRPr="00F01347" w:rsidRDefault="00A74CDF" w:rsidP="003A601B">
      <w:pPr>
        <w:pStyle w:val="texto0"/>
        <w:spacing w:line="248" w:lineRule="exact"/>
        <w:rPr>
          <w:rFonts w:ascii="Verdana" w:hAnsi="Verdana"/>
          <w:sz w:val="16"/>
          <w:szCs w:val="16"/>
          <w:lang w:val="en-US"/>
        </w:rPr>
      </w:pPr>
    </w:p>
    <w:p w14:paraId="5A312CEE" w14:textId="77777777" w:rsidR="00143023" w:rsidRPr="00F01347" w:rsidRDefault="00143023" w:rsidP="003A601B">
      <w:pPr>
        <w:pStyle w:val="texto0"/>
        <w:spacing w:line="248" w:lineRule="exact"/>
        <w:rPr>
          <w:rFonts w:ascii="Verdana" w:hAnsi="Verdana"/>
          <w:sz w:val="16"/>
          <w:szCs w:val="16"/>
          <w:lang w:val="en-US"/>
        </w:rPr>
      </w:pPr>
    </w:p>
    <w:p w14:paraId="21175F45" w14:textId="77777777" w:rsidR="00143023" w:rsidRPr="00F01347" w:rsidRDefault="00143023" w:rsidP="003A601B">
      <w:pPr>
        <w:pStyle w:val="texto0"/>
        <w:spacing w:line="248" w:lineRule="exact"/>
        <w:rPr>
          <w:rFonts w:ascii="Verdana" w:hAnsi="Verdana"/>
          <w:sz w:val="16"/>
          <w:szCs w:val="16"/>
          <w:lang w:val="en-US"/>
        </w:rPr>
      </w:pPr>
    </w:p>
    <w:p w14:paraId="7B731F6C" w14:textId="77777777" w:rsidR="00143023" w:rsidRPr="00F01347" w:rsidRDefault="00143023" w:rsidP="003A601B">
      <w:pPr>
        <w:pStyle w:val="texto0"/>
        <w:spacing w:line="248" w:lineRule="exact"/>
        <w:rPr>
          <w:rFonts w:ascii="Verdana" w:hAnsi="Verdana"/>
          <w:sz w:val="16"/>
          <w:szCs w:val="16"/>
          <w:lang w:val="en-US"/>
        </w:rPr>
      </w:pPr>
    </w:p>
    <w:p w14:paraId="5722F6FC" w14:textId="77777777" w:rsidR="00143023" w:rsidRPr="00F01347" w:rsidRDefault="00143023" w:rsidP="003A601B">
      <w:pPr>
        <w:pStyle w:val="texto0"/>
        <w:spacing w:line="248" w:lineRule="exact"/>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428"/>
        <w:gridCol w:w="4284"/>
      </w:tblGrid>
      <w:tr w:rsidR="00A74CDF" w:rsidRPr="00F01347" w14:paraId="5B4A5C9F" w14:textId="77777777">
        <w:trPr>
          <w:trHeight w:val="20"/>
        </w:trPr>
        <w:tc>
          <w:tcPr>
            <w:tcW w:w="8712" w:type="dxa"/>
            <w:gridSpan w:val="2"/>
            <w:tcBorders>
              <w:bottom w:val="single" w:sz="6" w:space="0" w:color="auto"/>
            </w:tcBorders>
            <w:noWrap/>
          </w:tcPr>
          <w:p w14:paraId="04556683"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lastRenderedPageBreak/>
              <w:t xml:space="preserve">Tabla B.11.2-3. </w:t>
            </w:r>
            <w:r w:rsidRPr="00F01347">
              <w:rPr>
                <w:rFonts w:ascii="Verdana" w:hAnsi="Verdana"/>
                <w:sz w:val="16"/>
                <w:szCs w:val="16"/>
              </w:rPr>
              <w:t xml:space="preserve">Puntos a verificar en el análisis de un lote, así como sus </w:t>
            </w:r>
            <w:proofErr w:type="gramStart"/>
            <w:r w:rsidRPr="00F01347">
              <w:rPr>
                <w:rFonts w:ascii="Verdana" w:hAnsi="Verdana"/>
                <w:sz w:val="16"/>
                <w:szCs w:val="16"/>
              </w:rPr>
              <w:t xml:space="preserve">criterios </w:t>
            </w:r>
            <w:r w:rsidR="000550B5" w:rsidRPr="00F01347">
              <w:rPr>
                <w:rFonts w:ascii="Verdana" w:hAnsi="Verdana"/>
                <w:sz w:val="16"/>
                <w:szCs w:val="16"/>
              </w:rPr>
              <w:t xml:space="preserve"> </w:t>
            </w:r>
            <w:r w:rsidRPr="00F01347">
              <w:rPr>
                <w:rFonts w:ascii="Verdana" w:hAnsi="Verdana"/>
                <w:sz w:val="16"/>
                <w:szCs w:val="16"/>
              </w:rPr>
              <w:t>de</w:t>
            </w:r>
            <w:proofErr w:type="gramEnd"/>
            <w:r w:rsidRPr="00F01347">
              <w:rPr>
                <w:rFonts w:ascii="Verdana" w:hAnsi="Verdana"/>
                <w:sz w:val="16"/>
                <w:szCs w:val="16"/>
              </w:rPr>
              <w:t xml:space="preserve"> aceptación.</w:t>
            </w:r>
          </w:p>
        </w:tc>
      </w:tr>
      <w:tr w:rsidR="00A74CDF" w:rsidRPr="00F01347" w14:paraId="1366817F"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4ED01FF8"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Tipo de verificación</w:t>
            </w:r>
          </w:p>
        </w:tc>
        <w:tc>
          <w:tcPr>
            <w:tcW w:w="4284" w:type="dxa"/>
            <w:tcBorders>
              <w:top w:val="single" w:sz="6" w:space="0" w:color="auto"/>
              <w:left w:val="single" w:sz="6" w:space="0" w:color="auto"/>
              <w:bottom w:val="single" w:sz="6" w:space="0" w:color="auto"/>
              <w:right w:val="single" w:sz="6" w:space="0" w:color="auto"/>
            </w:tcBorders>
          </w:tcPr>
          <w:p w14:paraId="21674FA0" w14:textId="77777777" w:rsidR="00A74CDF" w:rsidRPr="00F01347" w:rsidRDefault="00A74CDF" w:rsidP="003A601B">
            <w:pPr>
              <w:pStyle w:val="texto0"/>
              <w:ind w:firstLine="0"/>
              <w:jc w:val="center"/>
              <w:rPr>
                <w:rFonts w:ascii="Verdana" w:hAnsi="Verdana"/>
                <w:b/>
                <w:sz w:val="16"/>
                <w:szCs w:val="16"/>
              </w:rPr>
            </w:pPr>
            <w:r w:rsidRPr="00F01347">
              <w:rPr>
                <w:rFonts w:ascii="Verdana" w:hAnsi="Verdana"/>
                <w:b/>
                <w:sz w:val="16"/>
                <w:szCs w:val="16"/>
              </w:rPr>
              <w:t>Criterio de aceptación</w:t>
            </w:r>
          </w:p>
        </w:tc>
      </w:tr>
      <w:tr w:rsidR="00A74CDF" w:rsidRPr="00F01347" w14:paraId="55D8756A"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5E82ACD7" w14:textId="77777777" w:rsidR="00A74CDF" w:rsidRPr="00F01347" w:rsidRDefault="00A74CDF" w:rsidP="003A601B">
            <w:pPr>
              <w:pStyle w:val="texto0"/>
              <w:ind w:firstLine="0"/>
              <w:rPr>
                <w:rFonts w:ascii="Verdana" w:hAnsi="Verdana"/>
                <w:sz w:val="16"/>
                <w:szCs w:val="16"/>
              </w:rPr>
            </w:pPr>
            <w:r w:rsidRPr="00F01347">
              <w:rPr>
                <w:rFonts w:ascii="Verdana" w:hAnsi="Verdana"/>
                <w:sz w:val="16"/>
                <w:szCs w:val="16"/>
              </w:rPr>
              <w:t>Verificación de la respuesta inicial del equipo</w:t>
            </w:r>
          </w:p>
          <w:p w14:paraId="562DADCA" w14:textId="77777777" w:rsidR="00A74CDF" w:rsidRPr="00F01347" w:rsidRDefault="00A74CDF" w:rsidP="003A601B">
            <w:pPr>
              <w:pStyle w:val="texto0"/>
              <w:ind w:firstLine="0"/>
              <w:rPr>
                <w:rFonts w:ascii="Verdana" w:hAnsi="Verdana"/>
                <w:sz w:val="16"/>
                <w:szCs w:val="16"/>
              </w:rPr>
            </w:pPr>
            <w:r w:rsidRPr="00F01347">
              <w:rPr>
                <w:rFonts w:ascii="Verdana" w:hAnsi="Verdana"/>
                <w:sz w:val="16"/>
                <w:szCs w:val="16"/>
              </w:rPr>
              <w:t>(pico de sincronía)</w:t>
            </w:r>
          </w:p>
        </w:tc>
        <w:tc>
          <w:tcPr>
            <w:tcW w:w="4284" w:type="dxa"/>
            <w:tcBorders>
              <w:top w:val="single" w:sz="6" w:space="0" w:color="auto"/>
              <w:left w:val="single" w:sz="6" w:space="0" w:color="auto"/>
              <w:bottom w:val="single" w:sz="6" w:space="0" w:color="auto"/>
              <w:right w:val="single" w:sz="6" w:space="0" w:color="auto"/>
            </w:tcBorders>
          </w:tcPr>
          <w:p w14:paraId="3170F7A0" w14:textId="77777777" w:rsidR="00A74CDF" w:rsidRPr="00F01347" w:rsidRDefault="00A74CDF" w:rsidP="00285838">
            <w:pPr>
              <w:pStyle w:val="texto0"/>
              <w:ind w:firstLine="0"/>
              <w:jc w:val="center"/>
              <w:rPr>
                <w:rFonts w:ascii="Verdana" w:hAnsi="Verdana"/>
                <w:sz w:val="16"/>
                <w:szCs w:val="16"/>
              </w:rPr>
            </w:pPr>
            <w:r w:rsidRPr="00F01347">
              <w:rPr>
                <w:rFonts w:ascii="Verdana" w:hAnsi="Verdana"/>
                <w:sz w:val="16"/>
                <w:szCs w:val="16"/>
              </w:rPr>
              <w:t>Diferencia menor al 15%</w:t>
            </w:r>
          </w:p>
        </w:tc>
      </w:tr>
      <w:tr w:rsidR="00A74CDF" w:rsidRPr="00F01347" w14:paraId="38072948"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6C1D3780" w14:textId="77777777" w:rsidR="00A74CDF" w:rsidRPr="00F01347" w:rsidRDefault="00A74CDF" w:rsidP="003A601B">
            <w:pPr>
              <w:pStyle w:val="texto0"/>
              <w:ind w:firstLine="0"/>
              <w:rPr>
                <w:rFonts w:ascii="Verdana" w:hAnsi="Verdana"/>
                <w:sz w:val="16"/>
                <w:szCs w:val="16"/>
              </w:rPr>
            </w:pPr>
            <w:r w:rsidRPr="00F01347">
              <w:rPr>
                <w:rFonts w:ascii="Verdana" w:hAnsi="Verdana"/>
                <w:sz w:val="16"/>
                <w:szCs w:val="16"/>
              </w:rPr>
              <w:t>Verificación inicial de la calibración (ICV)</w:t>
            </w:r>
          </w:p>
        </w:tc>
        <w:tc>
          <w:tcPr>
            <w:tcW w:w="4284" w:type="dxa"/>
            <w:tcBorders>
              <w:top w:val="single" w:sz="6" w:space="0" w:color="auto"/>
              <w:left w:val="single" w:sz="6" w:space="0" w:color="auto"/>
              <w:bottom w:val="single" w:sz="6" w:space="0" w:color="auto"/>
              <w:right w:val="single" w:sz="6" w:space="0" w:color="auto"/>
            </w:tcBorders>
          </w:tcPr>
          <w:p w14:paraId="37E71B18" w14:textId="77777777" w:rsidR="00A74CDF" w:rsidRPr="00F01347" w:rsidRDefault="00A74CDF" w:rsidP="00285838">
            <w:pPr>
              <w:pStyle w:val="texto0"/>
              <w:ind w:firstLine="0"/>
              <w:jc w:val="center"/>
              <w:rPr>
                <w:rFonts w:ascii="Verdana" w:hAnsi="Verdana"/>
                <w:sz w:val="16"/>
                <w:szCs w:val="16"/>
              </w:rPr>
            </w:pPr>
            <w:r w:rsidRPr="00F01347">
              <w:rPr>
                <w:rFonts w:ascii="Verdana" w:hAnsi="Verdana"/>
                <w:sz w:val="16"/>
                <w:szCs w:val="16"/>
              </w:rPr>
              <w:t>Diferencia menor al 10%</w:t>
            </w:r>
          </w:p>
        </w:tc>
      </w:tr>
      <w:tr w:rsidR="00A74CDF" w:rsidRPr="00F01347" w14:paraId="29D0B9B3"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05C78687" w14:textId="77777777" w:rsidR="00A74CDF" w:rsidRPr="00F01347" w:rsidRDefault="00A74CDF" w:rsidP="003A601B">
            <w:pPr>
              <w:pStyle w:val="texto0"/>
              <w:ind w:firstLine="0"/>
              <w:rPr>
                <w:rFonts w:ascii="Verdana" w:hAnsi="Verdana"/>
                <w:sz w:val="16"/>
                <w:szCs w:val="16"/>
              </w:rPr>
            </w:pPr>
            <w:r w:rsidRPr="00F01347">
              <w:rPr>
                <w:rFonts w:ascii="Verdana" w:hAnsi="Verdana"/>
                <w:sz w:val="16"/>
                <w:szCs w:val="16"/>
              </w:rPr>
              <w:t>Verificación de la linealidad de la curva de calibración</w:t>
            </w:r>
          </w:p>
        </w:tc>
        <w:tc>
          <w:tcPr>
            <w:tcW w:w="4284" w:type="dxa"/>
            <w:tcBorders>
              <w:top w:val="single" w:sz="6" w:space="0" w:color="auto"/>
              <w:left w:val="single" w:sz="6" w:space="0" w:color="auto"/>
              <w:bottom w:val="single" w:sz="6" w:space="0" w:color="auto"/>
              <w:right w:val="single" w:sz="6" w:space="0" w:color="auto"/>
            </w:tcBorders>
          </w:tcPr>
          <w:p w14:paraId="52809493" w14:textId="77777777" w:rsidR="00A74CDF" w:rsidRPr="00F01347" w:rsidRDefault="00A74CDF" w:rsidP="00285838">
            <w:pPr>
              <w:pStyle w:val="texto0"/>
              <w:ind w:firstLine="0"/>
              <w:jc w:val="center"/>
              <w:rPr>
                <w:rFonts w:ascii="Verdana" w:hAnsi="Verdana"/>
                <w:sz w:val="16"/>
                <w:szCs w:val="16"/>
              </w:rPr>
            </w:pPr>
            <w:r w:rsidRPr="00F01347">
              <w:rPr>
                <w:rFonts w:ascii="Verdana" w:hAnsi="Verdana"/>
                <w:sz w:val="16"/>
                <w:szCs w:val="16"/>
              </w:rPr>
              <w:t>Coeficiente de correlación mayor a 0.995</w:t>
            </w:r>
          </w:p>
        </w:tc>
      </w:tr>
      <w:tr w:rsidR="00A74CDF" w:rsidRPr="00F01347" w14:paraId="46D46D2B"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4770C9E4" w14:textId="77777777" w:rsidR="00A74CDF" w:rsidRPr="00F01347" w:rsidRDefault="00A74CDF" w:rsidP="003A601B">
            <w:pPr>
              <w:pStyle w:val="texto0"/>
              <w:ind w:firstLine="0"/>
              <w:rPr>
                <w:rFonts w:ascii="Verdana" w:hAnsi="Verdana"/>
                <w:sz w:val="16"/>
                <w:szCs w:val="16"/>
              </w:rPr>
            </w:pPr>
            <w:r w:rsidRPr="00F01347">
              <w:rPr>
                <w:rFonts w:ascii="Verdana" w:hAnsi="Verdana"/>
                <w:sz w:val="16"/>
                <w:szCs w:val="16"/>
              </w:rPr>
              <w:t>Blanco de reactivos</w:t>
            </w:r>
          </w:p>
        </w:tc>
        <w:tc>
          <w:tcPr>
            <w:tcW w:w="4284" w:type="dxa"/>
            <w:tcBorders>
              <w:top w:val="single" w:sz="6" w:space="0" w:color="auto"/>
              <w:left w:val="single" w:sz="6" w:space="0" w:color="auto"/>
              <w:bottom w:val="single" w:sz="6" w:space="0" w:color="auto"/>
              <w:right w:val="single" w:sz="6" w:space="0" w:color="auto"/>
            </w:tcBorders>
          </w:tcPr>
          <w:p w14:paraId="4CFDFCB4" w14:textId="77777777" w:rsidR="00A74CDF" w:rsidRPr="00F01347" w:rsidRDefault="00A74CDF" w:rsidP="00285838">
            <w:pPr>
              <w:pStyle w:val="texto0"/>
              <w:ind w:firstLine="0"/>
              <w:jc w:val="center"/>
              <w:rPr>
                <w:rFonts w:ascii="Verdana" w:hAnsi="Verdana"/>
                <w:sz w:val="16"/>
                <w:szCs w:val="16"/>
              </w:rPr>
            </w:pPr>
            <w:r w:rsidRPr="00F01347">
              <w:rPr>
                <w:rFonts w:ascii="Verdana" w:hAnsi="Verdana"/>
                <w:sz w:val="16"/>
                <w:szCs w:val="16"/>
              </w:rPr>
              <w:t>Concentración menor al LDM.</w:t>
            </w:r>
          </w:p>
        </w:tc>
      </w:tr>
      <w:tr w:rsidR="00A74CDF" w:rsidRPr="00F01347" w14:paraId="49CC7577"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5E6CD40D" w14:textId="77777777" w:rsidR="00A74CDF" w:rsidRPr="00F01347" w:rsidRDefault="00A74CDF" w:rsidP="003A601B">
            <w:pPr>
              <w:pStyle w:val="texto0"/>
              <w:ind w:firstLine="0"/>
              <w:rPr>
                <w:rFonts w:ascii="Verdana" w:hAnsi="Verdana"/>
                <w:sz w:val="16"/>
                <w:szCs w:val="16"/>
              </w:rPr>
            </w:pPr>
            <w:r w:rsidRPr="00F01347">
              <w:rPr>
                <w:rFonts w:ascii="Verdana" w:hAnsi="Verdana"/>
                <w:sz w:val="16"/>
                <w:szCs w:val="16"/>
              </w:rPr>
              <w:t>Muestra de control de calidad (QC)</w:t>
            </w:r>
          </w:p>
        </w:tc>
        <w:tc>
          <w:tcPr>
            <w:tcW w:w="4284" w:type="dxa"/>
            <w:tcBorders>
              <w:top w:val="single" w:sz="6" w:space="0" w:color="auto"/>
              <w:left w:val="single" w:sz="6" w:space="0" w:color="auto"/>
              <w:bottom w:val="single" w:sz="6" w:space="0" w:color="auto"/>
              <w:right w:val="single" w:sz="6" w:space="0" w:color="auto"/>
            </w:tcBorders>
          </w:tcPr>
          <w:p w14:paraId="100FD0DD" w14:textId="77777777" w:rsidR="00A74CDF" w:rsidRPr="00F01347" w:rsidRDefault="00A74CDF" w:rsidP="00285838">
            <w:pPr>
              <w:pStyle w:val="texto0"/>
              <w:ind w:firstLine="0"/>
              <w:jc w:val="center"/>
              <w:rPr>
                <w:rFonts w:ascii="Verdana" w:hAnsi="Verdana"/>
                <w:sz w:val="16"/>
                <w:szCs w:val="16"/>
              </w:rPr>
            </w:pPr>
            <w:r w:rsidRPr="00F01347">
              <w:rPr>
                <w:rFonts w:ascii="Verdana" w:hAnsi="Verdana"/>
                <w:sz w:val="16"/>
                <w:szCs w:val="16"/>
              </w:rPr>
              <w:t>Recobro entre el 80 y 120%</w:t>
            </w:r>
          </w:p>
        </w:tc>
      </w:tr>
      <w:tr w:rsidR="00A74CDF" w:rsidRPr="00F01347" w14:paraId="0EAAE1BD"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43C34580" w14:textId="77777777" w:rsidR="00A74CDF" w:rsidRPr="00F01347" w:rsidRDefault="00A74CDF" w:rsidP="003A601B">
            <w:pPr>
              <w:pStyle w:val="texto0"/>
              <w:ind w:firstLine="0"/>
              <w:rPr>
                <w:rFonts w:ascii="Verdana" w:hAnsi="Verdana"/>
                <w:sz w:val="16"/>
                <w:szCs w:val="16"/>
              </w:rPr>
            </w:pPr>
            <w:r w:rsidRPr="00F01347">
              <w:rPr>
                <w:rFonts w:ascii="Verdana" w:hAnsi="Verdana"/>
                <w:sz w:val="16"/>
                <w:szCs w:val="16"/>
              </w:rPr>
              <w:t>Muestra(s) duplicada(s)</w:t>
            </w:r>
          </w:p>
        </w:tc>
        <w:tc>
          <w:tcPr>
            <w:tcW w:w="4284" w:type="dxa"/>
            <w:tcBorders>
              <w:top w:val="single" w:sz="6" w:space="0" w:color="auto"/>
              <w:left w:val="single" w:sz="6" w:space="0" w:color="auto"/>
              <w:bottom w:val="single" w:sz="6" w:space="0" w:color="auto"/>
              <w:right w:val="single" w:sz="6" w:space="0" w:color="auto"/>
            </w:tcBorders>
          </w:tcPr>
          <w:p w14:paraId="354E0F3A" w14:textId="77777777" w:rsidR="00A74CDF" w:rsidRPr="00F01347" w:rsidRDefault="00A74CDF" w:rsidP="00285838">
            <w:pPr>
              <w:pStyle w:val="texto0"/>
              <w:ind w:firstLine="0"/>
              <w:jc w:val="center"/>
              <w:rPr>
                <w:rFonts w:ascii="Verdana" w:hAnsi="Verdana"/>
                <w:sz w:val="16"/>
                <w:szCs w:val="16"/>
              </w:rPr>
            </w:pPr>
            <w:r w:rsidRPr="00F01347">
              <w:rPr>
                <w:rFonts w:ascii="Verdana" w:hAnsi="Verdana"/>
                <w:sz w:val="16"/>
                <w:szCs w:val="16"/>
              </w:rPr>
              <w:t>DPR &lt; 20%</w:t>
            </w:r>
          </w:p>
        </w:tc>
      </w:tr>
      <w:tr w:rsidR="00A74CDF" w:rsidRPr="00F01347" w14:paraId="10D76CEA"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4CA2D5F1" w14:textId="77777777" w:rsidR="00A74CDF" w:rsidRPr="00F01347" w:rsidRDefault="00A74CDF" w:rsidP="003A601B">
            <w:pPr>
              <w:pStyle w:val="texto0"/>
              <w:ind w:firstLine="0"/>
              <w:rPr>
                <w:rFonts w:ascii="Verdana" w:hAnsi="Verdana"/>
                <w:sz w:val="16"/>
                <w:szCs w:val="16"/>
              </w:rPr>
            </w:pPr>
            <w:r w:rsidRPr="00F01347">
              <w:rPr>
                <w:rFonts w:ascii="Verdana" w:hAnsi="Verdana"/>
                <w:sz w:val="16"/>
                <w:szCs w:val="16"/>
              </w:rPr>
              <w:t>Muestra(s) adicionada(s)</w:t>
            </w:r>
          </w:p>
        </w:tc>
        <w:tc>
          <w:tcPr>
            <w:tcW w:w="4284" w:type="dxa"/>
            <w:tcBorders>
              <w:top w:val="single" w:sz="6" w:space="0" w:color="auto"/>
              <w:left w:val="single" w:sz="6" w:space="0" w:color="auto"/>
              <w:bottom w:val="single" w:sz="6" w:space="0" w:color="auto"/>
              <w:right w:val="single" w:sz="6" w:space="0" w:color="auto"/>
            </w:tcBorders>
          </w:tcPr>
          <w:p w14:paraId="1DF666EE" w14:textId="77777777" w:rsidR="00A74CDF" w:rsidRPr="00F01347" w:rsidRDefault="00A74CDF" w:rsidP="00285838">
            <w:pPr>
              <w:pStyle w:val="texto0"/>
              <w:ind w:firstLine="0"/>
              <w:jc w:val="center"/>
              <w:rPr>
                <w:rFonts w:ascii="Verdana" w:hAnsi="Verdana"/>
                <w:sz w:val="16"/>
                <w:szCs w:val="16"/>
              </w:rPr>
            </w:pPr>
            <w:r w:rsidRPr="00F01347">
              <w:rPr>
                <w:rFonts w:ascii="Verdana" w:hAnsi="Verdana"/>
                <w:sz w:val="16"/>
                <w:szCs w:val="16"/>
              </w:rPr>
              <w:t>Recobro entre el 80 y 120%</w:t>
            </w:r>
          </w:p>
        </w:tc>
      </w:tr>
      <w:tr w:rsidR="00A74CDF" w:rsidRPr="00F01347" w14:paraId="5865E9EC"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337A062E" w14:textId="77777777" w:rsidR="00A74CDF" w:rsidRPr="00F01347" w:rsidRDefault="00A74CDF" w:rsidP="003A601B">
            <w:pPr>
              <w:pStyle w:val="texto0"/>
              <w:ind w:firstLine="0"/>
              <w:rPr>
                <w:rFonts w:ascii="Verdana" w:hAnsi="Verdana"/>
                <w:sz w:val="16"/>
                <w:szCs w:val="16"/>
              </w:rPr>
            </w:pPr>
            <w:r w:rsidRPr="00F01347">
              <w:rPr>
                <w:rFonts w:ascii="Verdana" w:hAnsi="Verdana"/>
                <w:sz w:val="16"/>
                <w:szCs w:val="16"/>
              </w:rPr>
              <w:t>Verificación de calibración continua (CCC)</w:t>
            </w:r>
          </w:p>
        </w:tc>
        <w:tc>
          <w:tcPr>
            <w:tcW w:w="4284" w:type="dxa"/>
            <w:tcBorders>
              <w:top w:val="single" w:sz="6" w:space="0" w:color="auto"/>
              <w:left w:val="single" w:sz="6" w:space="0" w:color="auto"/>
              <w:bottom w:val="single" w:sz="6" w:space="0" w:color="auto"/>
              <w:right w:val="single" w:sz="6" w:space="0" w:color="auto"/>
            </w:tcBorders>
          </w:tcPr>
          <w:p w14:paraId="6B4BDCE3" w14:textId="77777777" w:rsidR="00A74CDF" w:rsidRPr="00F01347" w:rsidRDefault="00A74CDF" w:rsidP="00285838">
            <w:pPr>
              <w:pStyle w:val="texto0"/>
              <w:ind w:firstLine="0"/>
              <w:jc w:val="center"/>
              <w:rPr>
                <w:rFonts w:ascii="Verdana" w:hAnsi="Verdana"/>
                <w:sz w:val="16"/>
                <w:szCs w:val="16"/>
              </w:rPr>
            </w:pPr>
            <w:r w:rsidRPr="00F01347">
              <w:rPr>
                <w:rFonts w:ascii="Verdana" w:hAnsi="Verdana"/>
                <w:sz w:val="16"/>
                <w:szCs w:val="16"/>
              </w:rPr>
              <w:t>Diferencia o recobro menor al 10%</w:t>
            </w:r>
          </w:p>
        </w:tc>
      </w:tr>
    </w:tbl>
    <w:p w14:paraId="58CBED82" w14:textId="77777777" w:rsidR="00A74CDF" w:rsidRPr="00F01347" w:rsidRDefault="00A74CDF" w:rsidP="003A601B">
      <w:pPr>
        <w:pStyle w:val="texto0"/>
        <w:rPr>
          <w:rFonts w:ascii="Verdana" w:hAnsi="Verdana"/>
          <w:sz w:val="16"/>
          <w:szCs w:val="16"/>
        </w:rPr>
      </w:pPr>
    </w:p>
    <w:p w14:paraId="50BE6AD7" w14:textId="77777777" w:rsidR="00FE4489" w:rsidRPr="00F01347" w:rsidRDefault="00FE4489" w:rsidP="00FE4489">
      <w:pPr>
        <w:pStyle w:val="texto0"/>
        <w:spacing w:line="248" w:lineRule="exact"/>
        <w:rPr>
          <w:rFonts w:ascii="Verdana" w:hAnsi="Verdana"/>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4430"/>
        <w:gridCol w:w="4285"/>
      </w:tblGrid>
      <w:tr w:rsidR="00FE4489" w:rsidRPr="00F01347" w14:paraId="38FC520E" w14:textId="77777777" w:rsidTr="00FE4489">
        <w:trPr>
          <w:trHeight w:val="20"/>
        </w:trPr>
        <w:tc>
          <w:tcPr>
            <w:tcW w:w="8712" w:type="dxa"/>
            <w:gridSpan w:val="2"/>
            <w:tcBorders>
              <w:top w:val="nil"/>
              <w:left w:val="nil"/>
              <w:bottom w:val="single" w:sz="6" w:space="0" w:color="auto"/>
              <w:right w:val="nil"/>
            </w:tcBorders>
            <w:noWrap/>
            <w:hideMark/>
          </w:tcPr>
          <w:p w14:paraId="34158782" w14:textId="1CD94619" w:rsidR="00FE4489" w:rsidRPr="00F01347" w:rsidRDefault="00FE4489">
            <w:pPr>
              <w:pStyle w:val="texto0"/>
              <w:ind w:firstLine="0"/>
              <w:jc w:val="center"/>
              <w:rPr>
                <w:rFonts w:ascii="Verdana" w:hAnsi="Verdana"/>
                <w:b/>
                <w:sz w:val="16"/>
                <w:szCs w:val="16"/>
                <w:lang w:val="en-US"/>
              </w:rPr>
            </w:pPr>
            <w:r w:rsidRPr="00F01347">
              <w:rPr>
                <w:rFonts w:ascii="Verdana" w:hAnsi="Verdana"/>
                <w:b/>
                <w:sz w:val="16"/>
                <w:szCs w:val="16"/>
                <w:lang w:val="en-US"/>
              </w:rPr>
              <w:t xml:space="preserve">Table B.11.2-3. </w:t>
            </w:r>
            <w:r w:rsidRPr="00F01347">
              <w:rPr>
                <w:rFonts w:ascii="Verdana" w:hAnsi="Verdana"/>
                <w:sz w:val="16"/>
                <w:szCs w:val="16"/>
                <w:lang w:val="en-US"/>
              </w:rPr>
              <w:t>Points to verify in the analysis of a batch, as well as its acceptance criteria</w:t>
            </w:r>
            <w:r w:rsidR="003E1BA9" w:rsidRPr="00F01347">
              <w:rPr>
                <w:rFonts w:ascii="Verdana" w:hAnsi="Verdana"/>
                <w:sz w:val="16"/>
                <w:szCs w:val="16"/>
                <w:lang w:val="en-US"/>
              </w:rPr>
              <w:t>.</w:t>
            </w:r>
          </w:p>
        </w:tc>
      </w:tr>
      <w:tr w:rsidR="00FE4489" w:rsidRPr="00F01347" w14:paraId="2F6CCE04" w14:textId="77777777" w:rsidTr="00FE4489">
        <w:trPr>
          <w:trHeight w:val="20"/>
        </w:trPr>
        <w:tc>
          <w:tcPr>
            <w:tcW w:w="4428" w:type="dxa"/>
            <w:tcBorders>
              <w:top w:val="single" w:sz="6" w:space="0" w:color="auto"/>
              <w:left w:val="single" w:sz="6" w:space="0" w:color="auto"/>
              <w:bottom w:val="single" w:sz="6" w:space="0" w:color="auto"/>
              <w:right w:val="single" w:sz="6" w:space="0" w:color="auto"/>
            </w:tcBorders>
            <w:hideMark/>
          </w:tcPr>
          <w:p w14:paraId="42E4B608" w14:textId="77777777" w:rsidR="00FE4489" w:rsidRPr="00F01347" w:rsidRDefault="00FE4489">
            <w:pPr>
              <w:pStyle w:val="texto0"/>
              <w:ind w:firstLine="0"/>
              <w:jc w:val="center"/>
              <w:rPr>
                <w:rFonts w:ascii="Verdana" w:hAnsi="Verdana"/>
                <w:b/>
                <w:sz w:val="16"/>
                <w:szCs w:val="16"/>
                <w:lang w:val="en-US"/>
              </w:rPr>
            </w:pPr>
            <w:r w:rsidRPr="00F01347">
              <w:rPr>
                <w:rFonts w:ascii="Verdana" w:hAnsi="Verdana"/>
                <w:b/>
                <w:sz w:val="16"/>
                <w:szCs w:val="16"/>
                <w:lang w:val="en-US"/>
              </w:rPr>
              <w:t>Verification Type</w:t>
            </w:r>
          </w:p>
        </w:tc>
        <w:tc>
          <w:tcPr>
            <w:tcW w:w="4284" w:type="dxa"/>
            <w:tcBorders>
              <w:top w:val="single" w:sz="6" w:space="0" w:color="auto"/>
              <w:left w:val="single" w:sz="6" w:space="0" w:color="auto"/>
              <w:bottom w:val="single" w:sz="6" w:space="0" w:color="auto"/>
              <w:right w:val="single" w:sz="6" w:space="0" w:color="auto"/>
            </w:tcBorders>
            <w:hideMark/>
          </w:tcPr>
          <w:p w14:paraId="5B282DAB" w14:textId="77777777" w:rsidR="00FE4489" w:rsidRPr="00F01347" w:rsidRDefault="00FE4489">
            <w:pPr>
              <w:pStyle w:val="texto0"/>
              <w:ind w:firstLine="0"/>
              <w:jc w:val="center"/>
              <w:rPr>
                <w:rFonts w:ascii="Verdana" w:hAnsi="Verdana"/>
                <w:b/>
                <w:sz w:val="16"/>
                <w:szCs w:val="16"/>
                <w:lang w:val="en-US"/>
              </w:rPr>
            </w:pPr>
            <w:r w:rsidRPr="00F01347">
              <w:rPr>
                <w:rFonts w:ascii="Verdana" w:hAnsi="Verdana"/>
                <w:b/>
                <w:sz w:val="16"/>
                <w:szCs w:val="16"/>
                <w:lang w:val="en-US"/>
              </w:rPr>
              <w:t>Acceptance requirements</w:t>
            </w:r>
          </w:p>
        </w:tc>
      </w:tr>
      <w:tr w:rsidR="00FE4489" w:rsidRPr="00F01347" w14:paraId="5558DD0D" w14:textId="77777777" w:rsidTr="00FE4489">
        <w:trPr>
          <w:trHeight w:val="20"/>
        </w:trPr>
        <w:tc>
          <w:tcPr>
            <w:tcW w:w="4428" w:type="dxa"/>
            <w:tcBorders>
              <w:top w:val="single" w:sz="6" w:space="0" w:color="auto"/>
              <w:left w:val="single" w:sz="6" w:space="0" w:color="auto"/>
              <w:bottom w:val="single" w:sz="6" w:space="0" w:color="auto"/>
              <w:right w:val="single" w:sz="6" w:space="0" w:color="auto"/>
            </w:tcBorders>
            <w:hideMark/>
          </w:tcPr>
          <w:p w14:paraId="7C284192" w14:textId="77777777" w:rsidR="00FE4489" w:rsidRPr="00F01347" w:rsidRDefault="00FE4489">
            <w:pPr>
              <w:pStyle w:val="texto0"/>
              <w:ind w:firstLine="0"/>
              <w:rPr>
                <w:rFonts w:ascii="Verdana" w:hAnsi="Verdana"/>
                <w:sz w:val="16"/>
                <w:szCs w:val="16"/>
                <w:lang w:val="en-US"/>
              </w:rPr>
            </w:pPr>
            <w:r w:rsidRPr="00F01347">
              <w:rPr>
                <w:rFonts w:ascii="Verdana" w:hAnsi="Verdana"/>
                <w:sz w:val="16"/>
                <w:szCs w:val="16"/>
                <w:lang w:val="en-US"/>
              </w:rPr>
              <w:t>Verification of the initial response of the equipment</w:t>
            </w:r>
          </w:p>
          <w:p w14:paraId="2F68813D" w14:textId="77777777" w:rsidR="00FE4489" w:rsidRPr="00F01347" w:rsidRDefault="00FE4489">
            <w:pPr>
              <w:pStyle w:val="texto0"/>
              <w:ind w:firstLine="0"/>
              <w:rPr>
                <w:rFonts w:ascii="Verdana" w:hAnsi="Verdana"/>
                <w:sz w:val="16"/>
                <w:szCs w:val="16"/>
                <w:lang w:val="en-US"/>
              </w:rPr>
            </w:pPr>
            <w:r w:rsidRPr="00F01347">
              <w:rPr>
                <w:rFonts w:ascii="Verdana" w:hAnsi="Verdana"/>
                <w:sz w:val="16"/>
                <w:szCs w:val="16"/>
                <w:lang w:val="en-US"/>
              </w:rPr>
              <w:t>(synchrony peak)</w:t>
            </w:r>
          </w:p>
        </w:tc>
        <w:tc>
          <w:tcPr>
            <w:tcW w:w="4284" w:type="dxa"/>
            <w:tcBorders>
              <w:top w:val="single" w:sz="6" w:space="0" w:color="auto"/>
              <w:left w:val="single" w:sz="6" w:space="0" w:color="auto"/>
              <w:bottom w:val="single" w:sz="6" w:space="0" w:color="auto"/>
              <w:right w:val="single" w:sz="6" w:space="0" w:color="auto"/>
            </w:tcBorders>
            <w:hideMark/>
          </w:tcPr>
          <w:p w14:paraId="5732DD19" w14:textId="77777777" w:rsidR="00FE4489" w:rsidRPr="00F01347" w:rsidRDefault="00FE4489">
            <w:pPr>
              <w:pStyle w:val="texto0"/>
              <w:ind w:firstLine="0"/>
              <w:jc w:val="center"/>
              <w:rPr>
                <w:rFonts w:ascii="Verdana" w:hAnsi="Verdana"/>
                <w:sz w:val="16"/>
                <w:szCs w:val="16"/>
                <w:lang w:val="en-US"/>
              </w:rPr>
            </w:pPr>
            <w:r w:rsidRPr="00F01347">
              <w:rPr>
                <w:rFonts w:ascii="Verdana" w:hAnsi="Verdana"/>
                <w:sz w:val="16"/>
                <w:szCs w:val="16"/>
                <w:lang w:val="en-US"/>
              </w:rPr>
              <w:t>Difference less than 15%</w:t>
            </w:r>
          </w:p>
        </w:tc>
      </w:tr>
      <w:tr w:rsidR="00FE4489" w:rsidRPr="00F01347" w14:paraId="608DA807" w14:textId="77777777" w:rsidTr="00FE4489">
        <w:trPr>
          <w:trHeight w:val="20"/>
        </w:trPr>
        <w:tc>
          <w:tcPr>
            <w:tcW w:w="4428" w:type="dxa"/>
            <w:tcBorders>
              <w:top w:val="single" w:sz="6" w:space="0" w:color="auto"/>
              <w:left w:val="single" w:sz="6" w:space="0" w:color="auto"/>
              <w:bottom w:val="single" w:sz="6" w:space="0" w:color="auto"/>
              <w:right w:val="single" w:sz="6" w:space="0" w:color="auto"/>
            </w:tcBorders>
            <w:hideMark/>
          </w:tcPr>
          <w:p w14:paraId="4D2514D0" w14:textId="77777777" w:rsidR="00FE4489" w:rsidRPr="00F01347" w:rsidRDefault="00FE4489">
            <w:pPr>
              <w:pStyle w:val="texto0"/>
              <w:ind w:firstLine="0"/>
              <w:rPr>
                <w:rFonts w:ascii="Verdana" w:hAnsi="Verdana"/>
                <w:sz w:val="16"/>
                <w:szCs w:val="16"/>
                <w:lang w:val="en-US"/>
              </w:rPr>
            </w:pPr>
            <w:r w:rsidRPr="00F01347">
              <w:rPr>
                <w:rFonts w:ascii="Verdana" w:hAnsi="Verdana"/>
                <w:sz w:val="16"/>
                <w:szCs w:val="16"/>
                <w:lang w:val="en-US"/>
              </w:rPr>
              <w:t>Initial Calibration Verification (ICV)</w:t>
            </w:r>
          </w:p>
        </w:tc>
        <w:tc>
          <w:tcPr>
            <w:tcW w:w="4284" w:type="dxa"/>
            <w:tcBorders>
              <w:top w:val="single" w:sz="6" w:space="0" w:color="auto"/>
              <w:left w:val="single" w:sz="6" w:space="0" w:color="auto"/>
              <w:bottom w:val="single" w:sz="6" w:space="0" w:color="auto"/>
              <w:right w:val="single" w:sz="6" w:space="0" w:color="auto"/>
            </w:tcBorders>
            <w:hideMark/>
          </w:tcPr>
          <w:p w14:paraId="229C4848" w14:textId="77777777" w:rsidR="00FE4489" w:rsidRPr="00F01347" w:rsidRDefault="00FE4489">
            <w:pPr>
              <w:pStyle w:val="texto0"/>
              <w:ind w:firstLine="0"/>
              <w:jc w:val="center"/>
              <w:rPr>
                <w:rFonts w:ascii="Verdana" w:hAnsi="Verdana"/>
                <w:sz w:val="16"/>
                <w:szCs w:val="16"/>
                <w:lang w:val="en-US"/>
              </w:rPr>
            </w:pPr>
            <w:r w:rsidRPr="00F01347">
              <w:rPr>
                <w:rFonts w:ascii="Verdana" w:hAnsi="Verdana"/>
                <w:sz w:val="16"/>
                <w:szCs w:val="16"/>
                <w:lang w:val="en-US"/>
              </w:rPr>
              <w:t>Difference less than 10%</w:t>
            </w:r>
          </w:p>
        </w:tc>
      </w:tr>
      <w:tr w:rsidR="00FE4489" w:rsidRPr="00F01347" w14:paraId="68680E40" w14:textId="77777777" w:rsidTr="00FE4489">
        <w:trPr>
          <w:trHeight w:val="20"/>
        </w:trPr>
        <w:tc>
          <w:tcPr>
            <w:tcW w:w="4428" w:type="dxa"/>
            <w:tcBorders>
              <w:top w:val="single" w:sz="6" w:space="0" w:color="auto"/>
              <w:left w:val="single" w:sz="6" w:space="0" w:color="auto"/>
              <w:bottom w:val="single" w:sz="6" w:space="0" w:color="auto"/>
              <w:right w:val="single" w:sz="6" w:space="0" w:color="auto"/>
            </w:tcBorders>
            <w:hideMark/>
          </w:tcPr>
          <w:p w14:paraId="35740563" w14:textId="77777777" w:rsidR="00FE4489" w:rsidRPr="00F01347" w:rsidRDefault="00FE4489">
            <w:pPr>
              <w:pStyle w:val="texto0"/>
              <w:ind w:firstLine="0"/>
              <w:rPr>
                <w:rFonts w:ascii="Verdana" w:hAnsi="Verdana"/>
                <w:sz w:val="16"/>
                <w:szCs w:val="16"/>
                <w:lang w:val="en-US"/>
              </w:rPr>
            </w:pPr>
            <w:r w:rsidRPr="00F01347">
              <w:rPr>
                <w:rFonts w:ascii="Verdana" w:hAnsi="Verdana"/>
                <w:sz w:val="16"/>
                <w:szCs w:val="16"/>
                <w:lang w:val="en-US"/>
              </w:rPr>
              <w:t>Calibration Curve Linearity Verification</w:t>
            </w:r>
          </w:p>
        </w:tc>
        <w:tc>
          <w:tcPr>
            <w:tcW w:w="4284" w:type="dxa"/>
            <w:tcBorders>
              <w:top w:val="single" w:sz="6" w:space="0" w:color="auto"/>
              <w:left w:val="single" w:sz="6" w:space="0" w:color="auto"/>
              <w:bottom w:val="single" w:sz="6" w:space="0" w:color="auto"/>
              <w:right w:val="single" w:sz="6" w:space="0" w:color="auto"/>
            </w:tcBorders>
            <w:hideMark/>
          </w:tcPr>
          <w:p w14:paraId="3EFF6F92" w14:textId="77777777" w:rsidR="00FE4489" w:rsidRPr="00F01347" w:rsidRDefault="00FE4489">
            <w:pPr>
              <w:pStyle w:val="texto0"/>
              <w:ind w:firstLine="0"/>
              <w:jc w:val="center"/>
              <w:rPr>
                <w:rFonts w:ascii="Verdana" w:hAnsi="Verdana"/>
                <w:sz w:val="16"/>
                <w:szCs w:val="16"/>
                <w:lang w:val="en-US"/>
              </w:rPr>
            </w:pPr>
            <w:r w:rsidRPr="00F01347">
              <w:rPr>
                <w:rFonts w:ascii="Verdana" w:hAnsi="Verdana"/>
                <w:sz w:val="16"/>
                <w:szCs w:val="16"/>
                <w:lang w:val="en-US"/>
              </w:rPr>
              <w:t>Correlation coefficient greater than 0.995</w:t>
            </w:r>
          </w:p>
        </w:tc>
      </w:tr>
      <w:tr w:rsidR="00FE4489" w:rsidRPr="00F01347" w14:paraId="37FDDA29" w14:textId="77777777" w:rsidTr="00FE4489">
        <w:trPr>
          <w:trHeight w:val="20"/>
        </w:trPr>
        <w:tc>
          <w:tcPr>
            <w:tcW w:w="4428" w:type="dxa"/>
            <w:tcBorders>
              <w:top w:val="single" w:sz="6" w:space="0" w:color="auto"/>
              <w:left w:val="single" w:sz="6" w:space="0" w:color="auto"/>
              <w:bottom w:val="single" w:sz="6" w:space="0" w:color="auto"/>
              <w:right w:val="single" w:sz="6" w:space="0" w:color="auto"/>
            </w:tcBorders>
            <w:hideMark/>
          </w:tcPr>
          <w:p w14:paraId="7AF7A1C3" w14:textId="77777777" w:rsidR="00FE4489" w:rsidRPr="00F01347" w:rsidRDefault="00FE4489">
            <w:pPr>
              <w:pStyle w:val="texto0"/>
              <w:ind w:firstLine="0"/>
              <w:rPr>
                <w:rFonts w:ascii="Verdana" w:hAnsi="Verdana"/>
                <w:sz w:val="16"/>
                <w:szCs w:val="16"/>
                <w:lang w:val="en-US"/>
              </w:rPr>
            </w:pPr>
            <w:r w:rsidRPr="00F01347">
              <w:rPr>
                <w:rFonts w:ascii="Verdana" w:hAnsi="Verdana"/>
                <w:sz w:val="16"/>
                <w:szCs w:val="16"/>
                <w:lang w:val="en-US"/>
              </w:rPr>
              <w:t>Reagent blank</w:t>
            </w:r>
          </w:p>
        </w:tc>
        <w:tc>
          <w:tcPr>
            <w:tcW w:w="4284" w:type="dxa"/>
            <w:tcBorders>
              <w:top w:val="single" w:sz="6" w:space="0" w:color="auto"/>
              <w:left w:val="single" w:sz="6" w:space="0" w:color="auto"/>
              <w:bottom w:val="single" w:sz="6" w:space="0" w:color="auto"/>
              <w:right w:val="single" w:sz="6" w:space="0" w:color="auto"/>
            </w:tcBorders>
            <w:hideMark/>
          </w:tcPr>
          <w:p w14:paraId="0905A0FE" w14:textId="77777777" w:rsidR="00FE4489" w:rsidRPr="00F01347" w:rsidRDefault="00FE4489">
            <w:pPr>
              <w:pStyle w:val="texto0"/>
              <w:ind w:firstLine="0"/>
              <w:jc w:val="center"/>
              <w:rPr>
                <w:rFonts w:ascii="Verdana" w:hAnsi="Verdana"/>
                <w:sz w:val="16"/>
                <w:szCs w:val="16"/>
                <w:lang w:val="en-US"/>
              </w:rPr>
            </w:pPr>
            <w:r w:rsidRPr="00F01347">
              <w:rPr>
                <w:rFonts w:ascii="Verdana" w:hAnsi="Verdana"/>
                <w:sz w:val="16"/>
                <w:szCs w:val="16"/>
                <w:lang w:val="en-US"/>
              </w:rPr>
              <w:t>Concentration less than the MDL.</w:t>
            </w:r>
          </w:p>
        </w:tc>
      </w:tr>
      <w:tr w:rsidR="00FE4489" w:rsidRPr="00F01347" w14:paraId="59289465" w14:textId="77777777" w:rsidTr="00FE4489">
        <w:trPr>
          <w:trHeight w:val="20"/>
        </w:trPr>
        <w:tc>
          <w:tcPr>
            <w:tcW w:w="4428" w:type="dxa"/>
            <w:tcBorders>
              <w:top w:val="single" w:sz="6" w:space="0" w:color="auto"/>
              <w:left w:val="single" w:sz="6" w:space="0" w:color="auto"/>
              <w:bottom w:val="single" w:sz="6" w:space="0" w:color="auto"/>
              <w:right w:val="single" w:sz="6" w:space="0" w:color="auto"/>
            </w:tcBorders>
            <w:hideMark/>
          </w:tcPr>
          <w:p w14:paraId="20A71EFA" w14:textId="77777777" w:rsidR="00FE4489" w:rsidRPr="00F01347" w:rsidRDefault="00FE4489">
            <w:pPr>
              <w:pStyle w:val="texto0"/>
              <w:ind w:firstLine="0"/>
              <w:rPr>
                <w:rFonts w:ascii="Verdana" w:hAnsi="Verdana"/>
                <w:sz w:val="16"/>
                <w:szCs w:val="16"/>
                <w:lang w:val="en-US"/>
              </w:rPr>
            </w:pPr>
            <w:r w:rsidRPr="00F01347">
              <w:rPr>
                <w:rFonts w:ascii="Verdana" w:hAnsi="Verdana"/>
                <w:sz w:val="16"/>
                <w:szCs w:val="16"/>
                <w:lang w:val="en-US"/>
              </w:rPr>
              <w:t>Quality Control (QC) Sample</w:t>
            </w:r>
          </w:p>
        </w:tc>
        <w:tc>
          <w:tcPr>
            <w:tcW w:w="4284" w:type="dxa"/>
            <w:tcBorders>
              <w:top w:val="single" w:sz="6" w:space="0" w:color="auto"/>
              <w:left w:val="single" w:sz="6" w:space="0" w:color="auto"/>
              <w:bottom w:val="single" w:sz="6" w:space="0" w:color="auto"/>
              <w:right w:val="single" w:sz="6" w:space="0" w:color="auto"/>
            </w:tcBorders>
            <w:hideMark/>
          </w:tcPr>
          <w:p w14:paraId="465C2C9E" w14:textId="77777777" w:rsidR="00FE4489" w:rsidRPr="00F01347" w:rsidRDefault="00FE4489">
            <w:pPr>
              <w:pStyle w:val="texto0"/>
              <w:ind w:firstLine="0"/>
              <w:jc w:val="center"/>
              <w:rPr>
                <w:rFonts w:ascii="Verdana" w:hAnsi="Verdana"/>
                <w:sz w:val="16"/>
                <w:szCs w:val="16"/>
                <w:lang w:val="en-US"/>
              </w:rPr>
            </w:pPr>
            <w:r w:rsidRPr="00F01347">
              <w:rPr>
                <w:rFonts w:ascii="Verdana" w:hAnsi="Verdana"/>
                <w:sz w:val="16"/>
                <w:szCs w:val="16"/>
                <w:lang w:val="en-US"/>
              </w:rPr>
              <w:t>Recovery between 80 and 120%</w:t>
            </w:r>
          </w:p>
        </w:tc>
      </w:tr>
      <w:tr w:rsidR="00FE4489" w:rsidRPr="00F01347" w14:paraId="350A323A" w14:textId="77777777" w:rsidTr="00FE4489">
        <w:trPr>
          <w:trHeight w:val="20"/>
        </w:trPr>
        <w:tc>
          <w:tcPr>
            <w:tcW w:w="4428" w:type="dxa"/>
            <w:tcBorders>
              <w:top w:val="single" w:sz="6" w:space="0" w:color="auto"/>
              <w:left w:val="single" w:sz="6" w:space="0" w:color="auto"/>
              <w:bottom w:val="single" w:sz="6" w:space="0" w:color="auto"/>
              <w:right w:val="single" w:sz="6" w:space="0" w:color="auto"/>
            </w:tcBorders>
            <w:hideMark/>
          </w:tcPr>
          <w:p w14:paraId="04D1CF38" w14:textId="77777777" w:rsidR="00FE4489" w:rsidRPr="00F01347" w:rsidRDefault="00FE4489">
            <w:pPr>
              <w:pStyle w:val="texto0"/>
              <w:ind w:firstLine="0"/>
              <w:rPr>
                <w:rFonts w:ascii="Verdana" w:hAnsi="Verdana"/>
                <w:sz w:val="16"/>
                <w:szCs w:val="16"/>
                <w:lang w:val="en-US"/>
              </w:rPr>
            </w:pPr>
            <w:r w:rsidRPr="00F01347">
              <w:rPr>
                <w:rFonts w:ascii="Verdana" w:hAnsi="Verdana"/>
                <w:sz w:val="16"/>
                <w:szCs w:val="16"/>
                <w:lang w:val="en-US"/>
              </w:rPr>
              <w:t>Duplicate sample(s)</w:t>
            </w:r>
          </w:p>
        </w:tc>
        <w:tc>
          <w:tcPr>
            <w:tcW w:w="4284" w:type="dxa"/>
            <w:tcBorders>
              <w:top w:val="single" w:sz="6" w:space="0" w:color="auto"/>
              <w:left w:val="single" w:sz="6" w:space="0" w:color="auto"/>
              <w:bottom w:val="single" w:sz="6" w:space="0" w:color="auto"/>
              <w:right w:val="single" w:sz="6" w:space="0" w:color="auto"/>
            </w:tcBorders>
            <w:hideMark/>
          </w:tcPr>
          <w:p w14:paraId="000759BC" w14:textId="77777777" w:rsidR="00FE4489" w:rsidRPr="00F01347" w:rsidRDefault="00FE4489">
            <w:pPr>
              <w:pStyle w:val="texto0"/>
              <w:ind w:firstLine="0"/>
              <w:jc w:val="center"/>
              <w:rPr>
                <w:rFonts w:ascii="Verdana" w:hAnsi="Verdana"/>
                <w:sz w:val="16"/>
                <w:szCs w:val="16"/>
                <w:lang w:val="en-US"/>
              </w:rPr>
            </w:pPr>
            <w:r w:rsidRPr="00F01347">
              <w:rPr>
                <w:rFonts w:ascii="Verdana" w:hAnsi="Verdana"/>
                <w:sz w:val="16"/>
                <w:szCs w:val="16"/>
                <w:lang w:val="en-US"/>
              </w:rPr>
              <w:t>DPR &lt; 20%</w:t>
            </w:r>
          </w:p>
        </w:tc>
      </w:tr>
      <w:tr w:rsidR="00FE4489" w:rsidRPr="00F01347" w14:paraId="31B5750A" w14:textId="77777777" w:rsidTr="00FE4489">
        <w:trPr>
          <w:trHeight w:val="20"/>
        </w:trPr>
        <w:tc>
          <w:tcPr>
            <w:tcW w:w="4428" w:type="dxa"/>
            <w:tcBorders>
              <w:top w:val="single" w:sz="6" w:space="0" w:color="auto"/>
              <w:left w:val="single" w:sz="6" w:space="0" w:color="auto"/>
              <w:bottom w:val="single" w:sz="6" w:space="0" w:color="auto"/>
              <w:right w:val="single" w:sz="6" w:space="0" w:color="auto"/>
            </w:tcBorders>
            <w:hideMark/>
          </w:tcPr>
          <w:p w14:paraId="6335A600" w14:textId="77777777" w:rsidR="00FE4489" w:rsidRPr="00F01347" w:rsidRDefault="00FE4489">
            <w:pPr>
              <w:pStyle w:val="texto0"/>
              <w:ind w:firstLine="0"/>
              <w:rPr>
                <w:rFonts w:ascii="Verdana" w:hAnsi="Verdana"/>
                <w:sz w:val="16"/>
                <w:szCs w:val="16"/>
                <w:lang w:val="en-US"/>
              </w:rPr>
            </w:pPr>
            <w:r w:rsidRPr="00F01347">
              <w:rPr>
                <w:rFonts w:ascii="Verdana" w:hAnsi="Verdana"/>
                <w:sz w:val="16"/>
                <w:szCs w:val="16"/>
                <w:lang w:val="en-US"/>
              </w:rPr>
              <w:t>Added sample(s)</w:t>
            </w:r>
          </w:p>
        </w:tc>
        <w:tc>
          <w:tcPr>
            <w:tcW w:w="4284" w:type="dxa"/>
            <w:tcBorders>
              <w:top w:val="single" w:sz="6" w:space="0" w:color="auto"/>
              <w:left w:val="single" w:sz="6" w:space="0" w:color="auto"/>
              <w:bottom w:val="single" w:sz="6" w:space="0" w:color="auto"/>
              <w:right w:val="single" w:sz="6" w:space="0" w:color="auto"/>
            </w:tcBorders>
            <w:hideMark/>
          </w:tcPr>
          <w:p w14:paraId="1C2E27B1" w14:textId="77777777" w:rsidR="00FE4489" w:rsidRPr="00F01347" w:rsidRDefault="00FE4489">
            <w:pPr>
              <w:pStyle w:val="texto0"/>
              <w:ind w:firstLine="0"/>
              <w:jc w:val="center"/>
              <w:rPr>
                <w:rFonts w:ascii="Verdana" w:hAnsi="Verdana"/>
                <w:sz w:val="16"/>
                <w:szCs w:val="16"/>
                <w:lang w:val="en-US"/>
              </w:rPr>
            </w:pPr>
            <w:r w:rsidRPr="00F01347">
              <w:rPr>
                <w:rFonts w:ascii="Verdana" w:hAnsi="Verdana"/>
                <w:sz w:val="16"/>
                <w:szCs w:val="16"/>
                <w:lang w:val="en-US"/>
              </w:rPr>
              <w:t>Recovery between 80 and 120%</w:t>
            </w:r>
          </w:p>
        </w:tc>
      </w:tr>
      <w:tr w:rsidR="00FE4489" w:rsidRPr="00F01347" w14:paraId="3528A77D" w14:textId="77777777" w:rsidTr="00FE4489">
        <w:trPr>
          <w:trHeight w:val="20"/>
        </w:trPr>
        <w:tc>
          <w:tcPr>
            <w:tcW w:w="4428" w:type="dxa"/>
            <w:tcBorders>
              <w:top w:val="single" w:sz="6" w:space="0" w:color="auto"/>
              <w:left w:val="single" w:sz="6" w:space="0" w:color="auto"/>
              <w:bottom w:val="single" w:sz="6" w:space="0" w:color="auto"/>
              <w:right w:val="single" w:sz="6" w:space="0" w:color="auto"/>
            </w:tcBorders>
            <w:hideMark/>
          </w:tcPr>
          <w:p w14:paraId="1957BBE7" w14:textId="77777777" w:rsidR="00FE4489" w:rsidRPr="00F01347" w:rsidRDefault="00FE4489">
            <w:pPr>
              <w:pStyle w:val="texto0"/>
              <w:ind w:firstLine="0"/>
              <w:rPr>
                <w:rFonts w:ascii="Verdana" w:hAnsi="Verdana"/>
                <w:sz w:val="16"/>
                <w:szCs w:val="16"/>
                <w:lang w:val="en-US"/>
              </w:rPr>
            </w:pPr>
            <w:r w:rsidRPr="00F01347">
              <w:rPr>
                <w:rFonts w:ascii="Verdana" w:hAnsi="Verdana"/>
                <w:sz w:val="16"/>
                <w:szCs w:val="16"/>
                <w:lang w:val="en-US"/>
              </w:rPr>
              <w:t>Continuous Calibration Verification (CCC)</w:t>
            </w:r>
          </w:p>
        </w:tc>
        <w:tc>
          <w:tcPr>
            <w:tcW w:w="4284" w:type="dxa"/>
            <w:tcBorders>
              <w:top w:val="single" w:sz="6" w:space="0" w:color="auto"/>
              <w:left w:val="single" w:sz="6" w:space="0" w:color="auto"/>
              <w:bottom w:val="single" w:sz="6" w:space="0" w:color="auto"/>
              <w:right w:val="single" w:sz="6" w:space="0" w:color="auto"/>
            </w:tcBorders>
            <w:hideMark/>
          </w:tcPr>
          <w:p w14:paraId="55D05A65" w14:textId="77777777" w:rsidR="00FE4489" w:rsidRPr="00F01347" w:rsidRDefault="00FE4489">
            <w:pPr>
              <w:pStyle w:val="texto0"/>
              <w:ind w:firstLine="0"/>
              <w:jc w:val="center"/>
              <w:rPr>
                <w:rFonts w:ascii="Verdana" w:hAnsi="Verdana"/>
                <w:sz w:val="16"/>
                <w:szCs w:val="16"/>
                <w:lang w:val="en-US"/>
              </w:rPr>
            </w:pPr>
            <w:r w:rsidRPr="00F01347">
              <w:rPr>
                <w:rFonts w:ascii="Verdana" w:hAnsi="Verdana"/>
                <w:sz w:val="16"/>
                <w:szCs w:val="16"/>
                <w:lang w:val="en-US"/>
              </w:rPr>
              <w:t>Difference or recovery less than 10%</w:t>
            </w:r>
          </w:p>
        </w:tc>
      </w:tr>
    </w:tbl>
    <w:p w14:paraId="135326E9" w14:textId="77777777" w:rsidR="00FE4489" w:rsidRPr="00F01347" w:rsidRDefault="00FE4489" w:rsidP="003A601B">
      <w:pPr>
        <w:pStyle w:val="texto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E4489" w:rsidRPr="00F01347" w14:paraId="590CAD23" w14:textId="2F68997A" w:rsidTr="00143023">
        <w:tc>
          <w:tcPr>
            <w:tcW w:w="4675" w:type="dxa"/>
          </w:tcPr>
          <w:p w14:paraId="2796A38A" w14:textId="77777777" w:rsidR="00FE4489" w:rsidRPr="00F01347" w:rsidRDefault="00FE4489" w:rsidP="00FE4489">
            <w:pPr>
              <w:pStyle w:val="texto0"/>
              <w:ind w:firstLine="0"/>
              <w:rPr>
                <w:rFonts w:ascii="Verdana" w:hAnsi="Verdana"/>
                <w:b/>
                <w:sz w:val="16"/>
                <w:szCs w:val="16"/>
              </w:rPr>
            </w:pPr>
            <w:r w:rsidRPr="00F01347">
              <w:rPr>
                <w:rFonts w:ascii="Verdana" w:hAnsi="Verdana"/>
                <w:b/>
                <w:sz w:val="16"/>
                <w:szCs w:val="16"/>
              </w:rPr>
              <w:t>B.11.2.8.3 Calibración</w:t>
            </w:r>
          </w:p>
        </w:tc>
        <w:tc>
          <w:tcPr>
            <w:tcW w:w="4675" w:type="dxa"/>
          </w:tcPr>
          <w:p w14:paraId="5AD49B6F" w14:textId="32C3AE6D" w:rsidR="00FE4489" w:rsidRPr="00F01347" w:rsidRDefault="00FE4489" w:rsidP="00FE4489">
            <w:pPr>
              <w:pStyle w:val="texto0"/>
              <w:ind w:firstLine="0"/>
              <w:rPr>
                <w:rFonts w:ascii="Verdana" w:hAnsi="Verdana"/>
                <w:b/>
                <w:sz w:val="16"/>
                <w:szCs w:val="16"/>
                <w:lang w:val="en-US"/>
              </w:rPr>
            </w:pPr>
            <w:r w:rsidRPr="00F01347">
              <w:rPr>
                <w:rFonts w:ascii="Verdana" w:hAnsi="Verdana"/>
                <w:b/>
                <w:sz w:val="16"/>
                <w:szCs w:val="16"/>
                <w:lang w:val="en-US"/>
              </w:rPr>
              <w:t>B.11.2.8.3 Calibration</w:t>
            </w:r>
          </w:p>
        </w:tc>
      </w:tr>
      <w:tr w:rsidR="00FE4489" w:rsidRPr="00F01347" w14:paraId="7D24E166" w14:textId="69EBEC60" w:rsidTr="00143023">
        <w:tc>
          <w:tcPr>
            <w:tcW w:w="4675" w:type="dxa"/>
          </w:tcPr>
          <w:p w14:paraId="565B06E8" w14:textId="77777777" w:rsidR="00FE4489" w:rsidRPr="00F01347" w:rsidRDefault="00FE4489" w:rsidP="00FE4489">
            <w:pPr>
              <w:pStyle w:val="texto0"/>
              <w:ind w:firstLine="0"/>
              <w:rPr>
                <w:rFonts w:ascii="Verdana" w:hAnsi="Verdana"/>
                <w:sz w:val="16"/>
                <w:szCs w:val="16"/>
              </w:rPr>
            </w:pPr>
            <w:r w:rsidRPr="00F01347">
              <w:rPr>
                <w:rFonts w:ascii="Verdana" w:hAnsi="Verdana"/>
                <w:sz w:val="16"/>
                <w:szCs w:val="16"/>
              </w:rPr>
              <w:t>Si para cuantificar la concentración de SO</w:t>
            </w:r>
            <w:r w:rsidRPr="00F01347">
              <w:rPr>
                <w:rFonts w:ascii="Verdana" w:hAnsi="Verdana"/>
                <w:sz w:val="16"/>
                <w:szCs w:val="16"/>
                <w:vertAlign w:val="subscript"/>
              </w:rPr>
              <w:t>4</w:t>
            </w:r>
            <w:r w:rsidRPr="00F01347">
              <w:rPr>
                <w:rFonts w:ascii="Verdana" w:hAnsi="Verdana"/>
                <w:sz w:val="16"/>
                <w:szCs w:val="16"/>
                <w:vertAlign w:val="superscript"/>
              </w:rPr>
              <w:t>2-</w:t>
            </w:r>
            <w:r w:rsidRPr="00F01347">
              <w:rPr>
                <w:rFonts w:ascii="Verdana" w:hAnsi="Verdana"/>
                <w:sz w:val="16"/>
                <w:szCs w:val="16"/>
              </w:rPr>
              <w:t xml:space="preserve"> se emplea una curva obtenida anteriormente en la validación parcial del método, solamente verifique la calibración del instrumento.</w:t>
            </w:r>
          </w:p>
        </w:tc>
        <w:tc>
          <w:tcPr>
            <w:tcW w:w="4675" w:type="dxa"/>
          </w:tcPr>
          <w:p w14:paraId="1AD80FA5" w14:textId="7FD5BC76" w:rsidR="00FE4489" w:rsidRPr="00F01347" w:rsidRDefault="00FE4489" w:rsidP="00FE4489">
            <w:pPr>
              <w:pStyle w:val="texto0"/>
              <w:ind w:firstLine="0"/>
              <w:rPr>
                <w:rFonts w:ascii="Verdana" w:hAnsi="Verdana"/>
                <w:sz w:val="16"/>
                <w:szCs w:val="16"/>
                <w:lang w:val="en-US"/>
              </w:rPr>
            </w:pPr>
            <w:r w:rsidRPr="00F01347">
              <w:rPr>
                <w:rFonts w:ascii="Verdana" w:hAnsi="Verdana"/>
                <w:sz w:val="16"/>
                <w:szCs w:val="16"/>
                <w:lang w:val="en-US"/>
              </w:rPr>
              <w:t>a curve obtained previously in the partial validation of the method is used to quantify the concentration of SO</w:t>
            </w:r>
            <w:r w:rsidRPr="00F01347">
              <w:rPr>
                <w:rFonts w:ascii="Verdana" w:hAnsi="Verdana"/>
                <w:sz w:val="16"/>
                <w:szCs w:val="16"/>
                <w:vertAlign w:val="subscript"/>
                <w:lang w:val="en-US"/>
              </w:rPr>
              <w:t>4</w:t>
            </w:r>
            <w:r w:rsidRPr="00F01347">
              <w:rPr>
                <w:rFonts w:ascii="Verdana" w:hAnsi="Verdana"/>
                <w:sz w:val="16"/>
                <w:szCs w:val="16"/>
                <w:vertAlign w:val="superscript"/>
                <w:lang w:val="en-US"/>
              </w:rPr>
              <w:t>2-</w:t>
            </w:r>
            <w:r w:rsidR="003E1BA9" w:rsidRPr="00F01347">
              <w:rPr>
                <w:rFonts w:ascii="Verdana" w:hAnsi="Verdana"/>
                <w:sz w:val="16"/>
                <w:szCs w:val="16"/>
                <w:vertAlign w:val="superscript"/>
                <w:lang w:val="en-US"/>
              </w:rPr>
              <w:t>,</w:t>
            </w:r>
            <w:r w:rsidRPr="00F01347">
              <w:rPr>
                <w:rFonts w:ascii="Verdana" w:hAnsi="Verdana"/>
                <w:sz w:val="16"/>
                <w:szCs w:val="16"/>
                <w:vertAlign w:val="superscript"/>
                <w:lang w:val="en-US"/>
              </w:rPr>
              <w:t xml:space="preserve"> </w:t>
            </w:r>
            <w:r w:rsidRPr="00F01347">
              <w:rPr>
                <w:rFonts w:ascii="Verdana" w:hAnsi="Verdana"/>
                <w:sz w:val="16"/>
                <w:szCs w:val="16"/>
                <w:lang w:val="en-US"/>
              </w:rPr>
              <w:t>only verify the calibration of the instrument.</w:t>
            </w:r>
          </w:p>
        </w:tc>
      </w:tr>
      <w:tr w:rsidR="00FE4489" w:rsidRPr="00F01347" w14:paraId="7EAA2D4F" w14:textId="1AC0ED4C" w:rsidTr="00143023">
        <w:tc>
          <w:tcPr>
            <w:tcW w:w="4675" w:type="dxa"/>
          </w:tcPr>
          <w:p w14:paraId="0AE7EE35" w14:textId="77777777" w:rsidR="00FE4489" w:rsidRPr="00F01347" w:rsidRDefault="00FE4489" w:rsidP="00FE4489">
            <w:pPr>
              <w:pStyle w:val="texto0"/>
              <w:ind w:firstLine="0"/>
              <w:rPr>
                <w:rFonts w:ascii="Verdana" w:hAnsi="Verdana"/>
                <w:sz w:val="16"/>
                <w:szCs w:val="16"/>
              </w:rPr>
            </w:pPr>
            <w:r w:rsidRPr="00F01347">
              <w:rPr>
                <w:rFonts w:ascii="Verdana" w:hAnsi="Verdana"/>
                <w:sz w:val="16"/>
                <w:szCs w:val="16"/>
              </w:rPr>
              <w:t>Si se requiere de una curva de calibración nueva para cuantificar la concentración de analito en las muestras y en los controles de calidad de un lote, o para realizar una nueva validación parcial del método, prepárela a partir de la disolución madre usando material volumétrico verificado, o bien, gravimétricamente empleando una balanza calibrada.</w:t>
            </w:r>
          </w:p>
        </w:tc>
        <w:tc>
          <w:tcPr>
            <w:tcW w:w="4675" w:type="dxa"/>
          </w:tcPr>
          <w:p w14:paraId="765C4BE1" w14:textId="6F928CE4" w:rsidR="00FE4489" w:rsidRPr="00F01347" w:rsidRDefault="00FE4489" w:rsidP="00FE4489">
            <w:pPr>
              <w:pStyle w:val="texto0"/>
              <w:ind w:firstLine="0"/>
              <w:rPr>
                <w:rFonts w:ascii="Verdana" w:hAnsi="Verdana"/>
                <w:sz w:val="16"/>
                <w:szCs w:val="16"/>
                <w:lang w:val="en-US"/>
              </w:rPr>
            </w:pPr>
            <w:r w:rsidRPr="00F01347">
              <w:rPr>
                <w:rFonts w:ascii="Verdana" w:hAnsi="Verdana"/>
                <w:sz w:val="16"/>
                <w:szCs w:val="16"/>
                <w:lang w:val="en-US"/>
              </w:rPr>
              <w:t xml:space="preserve">If a new calibration curve is required to quantify the analyte concentration in samples and quality controls of a batch, or to perform a new partial validation of the method, prepare it from the stock solution using verified volumetric material, </w:t>
            </w:r>
            <w:r w:rsidR="00143023" w:rsidRPr="00F01347">
              <w:rPr>
                <w:rFonts w:ascii="Verdana" w:hAnsi="Verdana"/>
                <w:sz w:val="16"/>
                <w:szCs w:val="16"/>
                <w:lang w:val="en-US"/>
              </w:rPr>
              <w:t>or</w:t>
            </w:r>
            <w:r w:rsidRPr="00F01347">
              <w:rPr>
                <w:rFonts w:ascii="Verdana" w:hAnsi="Verdana"/>
                <w:sz w:val="16"/>
                <w:szCs w:val="16"/>
                <w:lang w:val="en-US"/>
              </w:rPr>
              <w:t xml:space="preserve"> gravimetrically using a calibrated balance.</w:t>
            </w:r>
          </w:p>
        </w:tc>
      </w:tr>
      <w:tr w:rsidR="00FE4489" w:rsidRPr="00F01347" w14:paraId="4BDB2DBB" w14:textId="1D487721" w:rsidTr="00143023">
        <w:tc>
          <w:tcPr>
            <w:tcW w:w="4675" w:type="dxa"/>
          </w:tcPr>
          <w:p w14:paraId="61992988" w14:textId="77777777" w:rsidR="00FE4489" w:rsidRPr="00F01347" w:rsidRDefault="00FE4489" w:rsidP="00FE4489">
            <w:pPr>
              <w:pStyle w:val="texto0"/>
              <w:ind w:firstLine="0"/>
              <w:rPr>
                <w:rFonts w:ascii="Verdana" w:hAnsi="Verdana"/>
                <w:sz w:val="16"/>
                <w:szCs w:val="16"/>
              </w:rPr>
            </w:pPr>
            <w:r w:rsidRPr="00F01347">
              <w:rPr>
                <w:rFonts w:ascii="Verdana" w:hAnsi="Verdana"/>
                <w:sz w:val="16"/>
                <w:szCs w:val="16"/>
              </w:rPr>
              <w:t>En la Tabla B.11.2-4, de este Apéndice se muestran las cantidades sugeridas para obtener una curva de calibración de SO4</w:t>
            </w:r>
            <w:r w:rsidRPr="00F01347">
              <w:rPr>
                <w:rFonts w:ascii="Verdana" w:hAnsi="Verdana"/>
                <w:position w:val="4"/>
                <w:sz w:val="16"/>
                <w:szCs w:val="16"/>
              </w:rPr>
              <w:t>2-</w:t>
            </w:r>
            <w:r w:rsidRPr="00F01347">
              <w:rPr>
                <w:rFonts w:ascii="Verdana" w:hAnsi="Verdana"/>
                <w:sz w:val="16"/>
                <w:szCs w:val="16"/>
              </w:rPr>
              <w:t xml:space="preserve"> en el intervalo de 5 a 200 mg/L a partir de la disolución madre de Na</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w:t>
            </w:r>
          </w:p>
        </w:tc>
        <w:tc>
          <w:tcPr>
            <w:tcW w:w="4675" w:type="dxa"/>
          </w:tcPr>
          <w:p w14:paraId="000EF273" w14:textId="4582CBB3" w:rsidR="00FE4489" w:rsidRPr="00F01347" w:rsidRDefault="00FE4489" w:rsidP="00FE4489">
            <w:pPr>
              <w:pStyle w:val="texto0"/>
              <w:ind w:firstLine="0"/>
              <w:rPr>
                <w:rFonts w:ascii="Verdana" w:hAnsi="Verdana"/>
                <w:sz w:val="16"/>
                <w:szCs w:val="16"/>
                <w:lang w:val="en-US"/>
              </w:rPr>
            </w:pPr>
            <w:r w:rsidRPr="00F01347">
              <w:rPr>
                <w:rFonts w:ascii="Verdana" w:hAnsi="Verdana"/>
                <w:sz w:val="16"/>
                <w:szCs w:val="16"/>
                <w:lang w:val="en-US"/>
              </w:rPr>
              <w:t>Table B.11.2-4 in this Appendix shows the amounts suggested to obtain a SO4</w:t>
            </w:r>
            <w:r w:rsidRPr="00F01347">
              <w:rPr>
                <w:rFonts w:ascii="Verdana" w:hAnsi="Verdana"/>
                <w:position w:val="4"/>
                <w:sz w:val="16"/>
                <w:szCs w:val="16"/>
                <w:lang w:val="en-US"/>
              </w:rPr>
              <w:t xml:space="preserve">2- calibration curve </w:t>
            </w:r>
            <w:r w:rsidRPr="00F01347">
              <w:rPr>
                <w:rFonts w:ascii="Verdana" w:hAnsi="Verdana"/>
                <w:sz w:val="16"/>
                <w:szCs w:val="16"/>
                <w:lang w:val="en-US"/>
              </w:rPr>
              <w:t>in the range of 5 to 200 mg/L from the Na</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 xml:space="preserve">4 </w:t>
            </w:r>
            <w:r w:rsidRPr="00F01347">
              <w:rPr>
                <w:rFonts w:ascii="Verdana" w:hAnsi="Verdana"/>
                <w:sz w:val="16"/>
                <w:szCs w:val="16"/>
                <w:lang w:val="en-US"/>
              </w:rPr>
              <w:t>stock solution</w:t>
            </w:r>
            <w:r w:rsidR="003E1BA9" w:rsidRPr="00F01347">
              <w:rPr>
                <w:rFonts w:ascii="Verdana" w:hAnsi="Verdana"/>
                <w:sz w:val="16"/>
                <w:szCs w:val="16"/>
                <w:vertAlign w:val="subscript"/>
                <w:lang w:val="en-US"/>
              </w:rPr>
              <w:t>.</w:t>
            </w:r>
          </w:p>
        </w:tc>
      </w:tr>
      <w:tr w:rsidR="00FE4489" w:rsidRPr="00F01347" w14:paraId="7F32D5A8" w14:textId="2374D43A" w:rsidTr="00143023">
        <w:tc>
          <w:tcPr>
            <w:tcW w:w="4675" w:type="dxa"/>
          </w:tcPr>
          <w:p w14:paraId="32764B48" w14:textId="725A1038" w:rsidR="00FE4489" w:rsidRPr="00F01347" w:rsidRDefault="00FE4489" w:rsidP="00FE4489">
            <w:pPr>
              <w:pStyle w:val="texto0"/>
              <w:ind w:firstLine="0"/>
              <w:rPr>
                <w:rFonts w:ascii="Verdana" w:hAnsi="Verdana"/>
                <w:sz w:val="16"/>
                <w:szCs w:val="16"/>
              </w:rPr>
            </w:pPr>
            <w:r w:rsidRPr="00F01347">
              <w:rPr>
                <w:rFonts w:ascii="Verdana" w:hAnsi="Verdana"/>
                <w:sz w:val="16"/>
                <w:szCs w:val="16"/>
              </w:rPr>
              <w:t xml:space="preserve">Preparar una disolución intermedia de 1 000 mg/L de sulfato, partiendo de la disolución madre </w:t>
            </w:r>
            <w:r w:rsidR="00143023" w:rsidRPr="00F01347">
              <w:rPr>
                <w:rFonts w:ascii="Verdana" w:hAnsi="Verdana"/>
                <w:sz w:val="16"/>
                <w:szCs w:val="16"/>
              </w:rPr>
              <w:t>de 10</w:t>
            </w:r>
            <w:r w:rsidRPr="00F01347">
              <w:rPr>
                <w:rFonts w:ascii="Verdana" w:hAnsi="Verdana"/>
                <w:sz w:val="16"/>
                <w:szCs w:val="16"/>
              </w:rPr>
              <w:t xml:space="preserve"> 000 mg/L. Se toman 10mL de disolución madre y se aforan </w:t>
            </w:r>
            <w:r w:rsidRPr="00F01347">
              <w:rPr>
                <w:rFonts w:ascii="Verdana" w:hAnsi="Verdana"/>
                <w:sz w:val="16"/>
                <w:szCs w:val="16"/>
              </w:rPr>
              <w:lastRenderedPageBreak/>
              <w:t xml:space="preserve">a 100 </w:t>
            </w:r>
            <w:proofErr w:type="spellStart"/>
            <w:r w:rsidRPr="00F01347">
              <w:rPr>
                <w:rFonts w:ascii="Verdana" w:hAnsi="Verdana"/>
                <w:sz w:val="16"/>
                <w:szCs w:val="16"/>
              </w:rPr>
              <w:t>mL</w:t>
            </w:r>
            <w:proofErr w:type="spellEnd"/>
            <w:r w:rsidRPr="00F01347">
              <w:rPr>
                <w:rFonts w:ascii="Verdana" w:hAnsi="Verdana"/>
                <w:sz w:val="16"/>
                <w:szCs w:val="16"/>
              </w:rPr>
              <w:t xml:space="preserve"> con agua desionizada. Este procedimiento puede hacerse volumétrica o gravimétricamente únicamente garantizando la verificación y/o calibración de los instrumentos y equipo utilizados.</w:t>
            </w:r>
          </w:p>
        </w:tc>
        <w:tc>
          <w:tcPr>
            <w:tcW w:w="4675" w:type="dxa"/>
          </w:tcPr>
          <w:p w14:paraId="53FE81DF" w14:textId="1FD98A33" w:rsidR="00FE4489" w:rsidRPr="00F01347" w:rsidRDefault="00FE4489" w:rsidP="00FE4489">
            <w:pPr>
              <w:pStyle w:val="texto0"/>
              <w:ind w:firstLine="0"/>
              <w:rPr>
                <w:rFonts w:ascii="Verdana" w:hAnsi="Verdana"/>
                <w:sz w:val="16"/>
                <w:szCs w:val="16"/>
                <w:lang w:val="en-US"/>
              </w:rPr>
            </w:pPr>
            <w:r w:rsidRPr="00F01347">
              <w:rPr>
                <w:rFonts w:ascii="Verdana" w:hAnsi="Verdana"/>
                <w:sz w:val="16"/>
                <w:szCs w:val="16"/>
                <w:lang w:val="en-US"/>
              </w:rPr>
              <w:lastRenderedPageBreak/>
              <w:t xml:space="preserve">Prepare an intermediate solution of 1,000 mg/L of sulfate, starting from the stock solution of 10,000 mg/L. Take 10 mL of stock solution and make up to 100 mL </w:t>
            </w:r>
            <w:r w:rsidRPr="00F01347">
              <w:rPr>
                <w:rFonts w:ascii="Verdana" w:hAnsi="Verdana"/>
                <w:sz w:val="16"/>
                <w:szCs w:val="16"/>
                <w:lang w:val="en-US"/>
              </w:rPr>
              <w:lastRenderedPageBreak/>
              <w:t>with deionized water. This procedure can be done volumetrically or gravimetrically only guaranteeing the verification and/or calibration of the instruments and equipment used.</w:t>
            </w:r>
          </w:p>
        </w:tc>
      </w:tr>
    </w:tbl>
    <w:p w14:paraId="230F110E" w14:textId="77777777" w:rsidR="0055757A" w:rsidRPr="00F01347" w:rsidRDefault="0055757A" w:rsidP="003A601B">
      <w:pPr>
        <w:pStyle w:val="texto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441"/>
        <w:gridCol w:w="1661"/>
        <w:gridCol w:w="2317"/>
        <w:gridCol w:w="2293"/>
      </w:tblGrid>
      <w:tr w:rsidR="00A74CDF" w:rsidRPr="00F01347" w14:paraId="1257B4FB" w14:textId="77777777">
        <w:trPr>
          <w:trHeight w:val="20"/>
        </w:trPr>
        <w:tc>
          <w:tcPr>
            <w:tcW w:w="7816" w:type="dxa"/>
            <w:gridSpan w:val="4"/>
            <w:tcBorders>
              <w:bottom w:val="single" w:sz="6" w:space="0" w:color="auto"/>
            </w:tcBorders>
            <w:noWrap/>
          </w:tcPr>
          <w:p w14:paraId="5FA68561" w14:textId="77777777" w:rsidR="00A74CDF" w:rsidRPr="00F01347" w:rsidRDefault="00A74CDF" w:rsidP="003A601B">
            <w:pPr>
              <w:pStyle w:val="texto0"/>
              <w:spacing w:after="84"/>
              <w:ind w:firstLine="0"/>
              <w:jc w:val="center"/>
              <w:rPr>
                <w:rFonts w:ascii="Verdana" w:hAnsi="Verdana"/>
                <w:b/>
                <w:sz w:val="16"/>
                <w:szCs w:val="16"/>
              </w:rPr>
            </w:pPr>
            <w:r w:rsidRPr="00F01347">
              <w:rPr>
                <w:rFonts w:ascii="Verdana" w:hAnsi="Verdana"/>
                <w:b/>
                <w:sz w:val="16"/>
                <w:szCs w:val="16"/>
              </w:rPr>
              <w:t xml:space="preserve">Tabla B.11.2-4. </w:t>
            </w:r>
            <w:r w:rsidRPr="00F01347">
              <w:rPr>
                <w:rFonts w:ascii="Verdana" w:hAnsi="Verdana"/>
                <w:sz w:val="16"/>
                <w:szCs w:val="16"/>
              </w:rPr>
              <w:t>Cantidades sugeridas para construir una curva de calibración de sulfato en el intervalo de trabajo del método.</w:t>
            </w:r>
          </w:p>
        </w:tc>
      </w:tr>
      <w:tr w:rsidR="00A74CDF" w:rsidRPr="00F01347" w14:paraId="1F2F7E66" w14:textId="77777777">
        <w:trPr>
          <w:trHeight w:val="20"/>
        </w:trPr>
        <w:tc>
          <w:tcPr>
            <w:tcW w:w="2190" w:type="dxa"/>
            <w:tcBorders>
              <w:top w:val="single" w:sz="6" w:space="0" w:color="auto"/>
              <w:left w:val="single" w:sz="6" w:space="0" w:color="auto"/>
              <w:bottom w:val="single" w:sz="6" w:space="0" w:color="auto"/>
              <w:right w:val="single" w:sz="6" w:space="0" w:color="auto"/>
            </w:tcBorders>
          </w:tcPr>
          <w:p w14:paraId="49C6B363" w14:textId="77777777" w:rsidR="00A74CDF" w:rsidRPr="00F01347" w:rsidRDefault="00A74CDF" w:rsidP="003A601B">
            <w:pPr>
              <w:pStyle w:val="texto0"/>
              <w:spacing w:before="40" w:after="84"/>
              <w:ind w:firstLine="0"/>
              <w:jc w:val="center"/>
              <w:rPr>
                <w:rFonts w:ascii="Verdana" w:hAnsi="Verdana"/>
                <w:b/>
                <w:sz w:val="16"/>
                <w:szCs w:val="16"/>
              </w:rPr>
            </w:pPr>
            <w:r w:rsidRPr="00F01347">
              <w:rPr>
                <w:rFonts w:ascii="Verdana" w:hAnsi="Verdana"/>
                <w:b/>
                <w:sz w:val="16"/>
                <w:szCs w:val="16"/>
              </w:rPr>
              <w:t>Concentración de SO</w:t>
            </w:r>
            <w:r w:rsidRPr="00F01347">
              <w:rPr>
                <w:rFonts w:ascii="Verdana" w:hAnsi="Verdana"/>
                <w:b/>
                <w:sz w:val="16"/>
                <w:szCs w:val="16"/>
                <w:vertAlign w:val="subscript"/>
              </w:rPr>
              <w:t>4</w:t>
            </w:r>
            <w:r w:rsidRPr="00F01347">
              <w:rPr>
                <w:rFonts w:ascii="Verdana" w:hAnsi="Verdana"/>
                <w:b/>
                <w:sz w:val="16"/>
                <w:szCs w:val="16"/>
                <w:vertAlign w:val="superscript"/>
              </w:rPr>
              <w:t>2</w:t>
            </w:r>
            <w:proofErr w:type="gramStart"/>
            <w:r w:rsidRPr="00F01347">
              <w:rPr>
                <w:rFonts w:ascii="Verdana" w:hAnsi="Verdana"/>
                <w:b/>
                <w:sz w:val="16"/>
                <w:szCs w:val="16"/>
                <w:vertAlign w:val="superscript"/>
              </w:rPr>
              <w:t>-</w:t>
            </w:r>
            <w:r w:rsidRPr="00F01347">
              <w:rPr>
                <w:rFonts w:ascii="Verdana" w:hAnsi="Verdana"/>
                <w:b/>
                <w:sz w:val="16"/>
                <w:szCs w:val="16"/>
              </w:rPr>
              <w:t xml:space="preserve"> </w:t>
            </w:r>
            <w:r w:rsidR="000550B5" w:rsidRPr="00F01347">
              <w:rPr>
                <w:rFonts w:ascii="Verdana" w:hAnsi="Verdana"/>
                <w:b/>
                <w:sz w:val="16"/>
                <w:szCs w:val="16"/>
              </w:rPr>
              <w:t xml:space="preserve"> </w:t>
            </w:r>
            <w:r w:rsidRPr="00F01347">
              <w:rPr>
                <w:rFonts w:ascii="Verdana" w:hAnsi="Verdana"/>
                <w:b/>
                <w:sz w:val="16"/>
                <w:szCs w:val="16"/>
              </w:rPr>
              <w:t>en</w:t>
            </w:r>
            <w:proofErr w:type="gramEnd"/>
            <w:r w:rsidRPr="00F01347">
              <w:rPr>
                <w:rFonts w:ascii="Verdana" w:hAnsi="Verdana"/>
                <w:b/>
                <w:sz w:val="16"/>
                <w:szCs w:val="16"/>
              </w:rPr>
              <w:t xml:space="preserve"> el estándar (mg/L)</w:t>
            </w:r>
          </w:p>
        </w:tc>
        <w:tc>
          <w:tcPr>
            <w:tcW w:w="1490" w:type="dxa"/>
            <w:tcBorders>
              <w:top w:val="single" w:sz="6" w:space="0" w:color="auto"/>
              <w:left w:val="single" w:sz="6" w:space="0" w:color="auto"/>
              <w:bottom w:val="single" w:sz="6" w:space="0" w:color="auto"/>
              <w:right w:val="single" w:sz="6" w:space="0" w:color="auto"/>
            </w:tcBorders>
          </w:tcPr>
          <w:p w14:paraId="66DCAB43" w14:textId="77777777" w:rsidR="00A74CDF" w:rsidRPr="00F01347" w:rsidRDefault="00A74CDF" w:rsidP="003A601B">
            <w:pPr>
              <w:pStyle w:val="texto0"/>
              <w:spacing w:before="40" w:after="84"/>
              <w:ind w:firstLine="0"/>
              <w:jc w:val="center"/>
              <w:rPr>
                <w:rFonts w:ascii="Verdana" w:hAnsi="Verdana"/>
                <w:b/>
                <w:sz w:val="16"/>
                <w:szCs w:val="16"/>
              </w:rPr>
            </w:pPr>
            <w:r w:rsidRPr="00F01347">
              <w:rPr>
                <w:rFonts w:ascii="Verdana" w:hAnsi="Verdana"/>
                <w:b/>
                <w:sz w:val="16"/>
                <w:szCs w:val="16"/>
              </w:rPr>
              <w:t>Volumen de estándar (</w:t>
            </w:r>
            <w:proofErr w:type="spellStart"/>
            <w:r w:rsidRPr="00F01347">
              <w:rPr>
                <w:rFonts w:ascii="Verdana" w:hAnsi="Verdana"/>
                <w:b/>
                <w:sz w:val="16"/>
                <w:szCs w:val="16"/>
              </w:rPr>
              <w:t>mL</w:t>
            </w:r>
            <w:proofErr w:type="spellEnd"/>
            <w:r w:rsidRPr="00F01347">
              <w:rPr>
                <w:rFonts w:ascii="Verdana" w:hAnsi="Verdana"/>
                <w:b/>
                <w:sz w:val="16"/>
                <w:szCs w:val="16"/>
              </w:rPr>
              <w:t>)</w:t>
            </w:r>
          </w:p>
        </w:tc>
        <w:tc>
          <w:tcPr>
            <w:tcW w:w="2079" w:type="dxa"/>
            <w:tcBorders>
              <w:top w:val="single" w:sz="6" w:space="0" w:color="auto"/>
              <w:left w:val="single" w:sz="6" w:space="0" w:color="auto"/>
              <w:bottom w:val="single" w:sz="6" w:space="0" w:color="auto"/>
              <w:right w:val="single" w:sz="6" w:space="0" w:color="auto"/>
            </w:tcBorders>
          </w:tcPr>
          <w:p w14:paraId="3AA3226D" w14:textId="77777777" w:rsidR="00A74CDF" w:rsidRPr="00F01347" w:rsidRDefault="00A74CDF" w:rsidP="003A601B">
            <w:pPr>
              <w:pStyle w:val="texto0"/>
              <w:spacing w:before="40" w:after="84"/>
              <w:ind w:firstLine="0"/>
              <w:jc w:val="center"/>
              <w:rPr>
                <w:rFonts w:ascii="Verdana" w:hAnsi="Verdana"/>
                <w:b/>
                <w:sz w:val="16"/>
                <w:szCs w:val="16"/>
              </w:rPr>
            </w:pPr>
            <w:r w:rsidRPr="00F01347">
              <w:rPr>
                <w:rFonts w:ascii="Verdana" w:hAnsi="Verdana"/>
                <w:b/>
                <w:sz w:val="16"/>
                <w:szCs w:val="16"/>
              </w:rPr>
              <w:t>Volumen final con agua desionizada (</w:t>
            </w:r>
            <w:proofErr w:type="spellStart"/>
            <w:r w:rsidRPr="00F01347">
              <w:rPr>
                <w:rFonts w:ascii="Verdana" w:hAnsi="Verdana"/>
                <w:b/>
                <w:sz w:val="16"/>
                <w:szCs w:val="16"/>
              </w:rPr>
              <w:t>mL</w:t>
            </w:r>
            <w:proofErr w:type="spellEnd"/>
            <w:r w:rsidRPr="00F01347">
              <w:rPr>
                <w:rFonts w:ascii="Verdana" w:hAnsi="Verdana"/>
                <w:b/>
                <w:sz w:val="16"/>
                <w:szCs w:val="16"/>
              </w:rPr>
              <w:t>)</w:t>
            </w:r>
          </w:p>
        </w:tc>
        <w:tc>
          <w:tcPr>
            <w:tcW w:w="2057" w:type="dxa"/>
            <w:tcBorders>
              <w:top w:val="single" w:sz="6" w:space="0" w:color="auto"/>
              <w:left w:val="single" w:sz="6" w:space="0" w:color="auto"/>
              <w:bottom w:val="single" w:sz="6" w:space="0" w:color="auto"/>
              <w:right w:val="single" w:sz="6" w:space="0" w:color="auto"/>
            </w:tcBorders>
          </w:tcPr>
          <w:p w14:paraId="1F6C7775" w14:textId="77777777" w:rsidR="00A74CDF" w:rsidRPr="00F01347" w:rsidRDefault="00A74CDF" w:rsidP="003A601B">
            <w:pPr>
              <w:pStyle w:val="texto0"/>
              <w:spacing w:before="40" w:after="84"/>
              <w:ind w:firstLine="0"/>
              <w:jc w:val="center"/>
              <w:rPr>
                <w:rFonts w:ascii="Verdana" w:hAnsi="Verdana"/>
                <w:b/>
                <w:sz w:val="16"/>
                <w:szCs w:val="16"/>
              </w:rPr>
            </w:pPr>
            <w:r w:rsidRPr="00F01347">
              <w:rPr>
                <w:rFonts w:ascii="Verdana" w:hAnsi="Verdana"/>
                <w:b/>
                <w:sz w:val="16"/>
                <w:szCs w:val="16"/>
              </w:rPr>
              <w:t>Concentración de SO</w:t>
            </w:r>
            <w:r w:rsidR="00DE19FA" w:rsidRPr="00F01347">
              <w:rPr>
                <w:rFonts w:ascii="Verdana" w:hAnsi="Verdana"/>
                <w:b/>
                <w:sz w:val="16"/>
                <w:szCs w:val="16"/>
              </w:rPr>
              <w:t>4</w:t>
            </w:r>
            <w:r w:rsidR="00DE19FA" w:rsidRPr="00F01347">
              <w:rPr>
                <w:rFonts w:ascii="Verdana" w:hAnsi="Verdana"/>
                <w:b/>
                <w:position w:val="4"/>
                <w:sz w:val="16"/>
                <w:szCs w:val="16"/>
              </w:rPr>
              <w:t>2-</w:t>
            </w:r>
            <w:r w:rsidRPr="00F01347">
              <w:rPr>
                <w:rFonts w:ascii="Verdana" w:hAnsi="Verdana"/>
                <w:b/>
                <w:sz w:val="16"/>
                <w:szCs w:val="16"/>
                <w:vertAlign w:val="superscript"/>
              </w:rPr>
              <w:t xml:space="preserve">- </w:t>
            </w:r>
            <w:r w:rsidRPr="00F01347">
              <w:rPr>
                <w:rFonts w:ascii="Verdana" w:hAnsi="Verdana"/>
                <w:b/>
                <w:sz w:val="16"/>
                <w:szCs w:val="16"/>
              </w:rPr>
              <w:t>obtenida (mg/L)</w:t>
            </w:r>
          </w:p>
        </w:tc>
      </w:tr>
      <w:tr w:rsidR="00A74CDF" w:rsidRPr="00F01347" w14:paraId="30D34F1D" w14:textId="77777777">
        <w:trPr>
          <w:trHeight w:val="20"/>
        </w:trPr>
        <w:tc>
          <w:tcPr>
            <w:tcW w:w="2190" w:type="dxa"/>
            <w:tcBorders>
              <w:top w:val="single" w:sz="6" w:space="0" w:color="auto"/>
              <w:left w:val="single" w:sz="6" w:space="0" w:color="auto"/>
              <w:bottom w:val="single" w:sz="6" w:space="0" w:color="auto"/>
              <w:right w:val="single" w:sz="6" w:space="0" w:color="auto"/>
            </w:tcBorders>
          </w:tcPr>
          <w:p w14:paraId="7C10E00D"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1000</w:t>
            </w:r>
          </w:p>
        </w:tc>
        <w:tc>
          <w:tcPr>
            <w:tcW w:w="1490" w:type="dxa"/>
            <w:tcBorders>
              <w:top w:val="single" w:sz="6" w:space="0" w:color="auto"/>
              <w:left w:val="single" w:sz="6" w:space="0" w:color="auto"/>
              <w:bottom w:val="single" w:sz="6" w:space="0" w:color="auto"/>
              <w:right w:val="single" w:sz="6" w:space="0" w:color="auto"/>
            </w:tcBorders>
          </w:tcPr>
          <w:p w14:paraId="2E703A20"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12.0</w:t>
            </w:r>
          </w:p>
        </w:tc>
        <w:tc>
          <w:tcPr>
            <w:tcW w:w="2079" w:type="dxa"/>
            <w:tcBorders>
              <w:top w:val="single" w:sz="6" w:space="0" w:color="auto"/>
              <w:left w:val="single" w:sz="6" w:space="0" w:color="auto"/>
              <w:bottom w:val="single" w:sz="6" w:space="0" w:color="auto"/>
              <w:right w:val="single" w:sz="6" w:space="0" w:color="auto"/>
            </w:tcBorders>
          </w:tcPr>
          <w:p w14:paraId="2272AA94"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60.0</w:t>
            </w:r>
          </w:p>
        </w:tc>
        <w:tc>
          <w:tcPr>
            <w:tcW w:w="2057" w:type="dxa"/>
            <w:tcBorders>
              <w:top w:val="single" w:sz="6" w:space="0" w:color="auto"/>
              <w:left w:val="single" w:sz="6" w:space="0" w:color="auto"/>
              <w:bottom w:val="single" w:sz="6" w:space="0" w:color="auto"/>
              <w:right w:val="single" w:sz="6" w:space="0" w:color="auto"/>
            </w:tcBorders>
          </w:tcPr>
          <w:p w14:paraId="2406B826"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200.0</w:t>
            </w:r>
          </w:p>
        </w:tc>
      </w:tr>
      <w:tr w:rsidR="00A74CDF" w:rsidRPr="00F01347" w14:paraId="6FEEC464" w14:textId="77777777">
        <w:trPr>
          <w:trHeight w:val="20"/>
        </w:trPr>
        <w:tc>
          <w:tcPr>
            <w:tcW w:w="2190" w:type="dxa"/>
            <w:tcBorders>
              <w:top w:val="single" w:sz="6" w:space="0" w:color="auto"/>
              <w:left w:val="single" w:sz="6" w:space="0" w:color="auto"/>
              <w:bottom w:val="single" w:sz="6" w:space="0" w:color="auto"/>
              <w:right w:val="single" w:sz="6" w:space="0" w:color="auto"/>
            </w:tcBorders>
          </w:tcPr>
          <w:p w14:paraId="358EE60D"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200</w:t>
            </w:r>
          </w:p>
        </w:tc>
        <w:tc>
          <w:tcPr>
            <w:tcW w:w="1490" w:type="dxa"/>
            <w:tcBorders>
              <w:top w:val="single" w:sz="6" w:space="0" w:color="auto"/>
              <w:left w:val="single" w:sz="6" w:space="0" w:color="auto"/>
              <w:bottom w:val="single" w:sz="6" w:space="0" w:color="auto"/>
              <w:right w:val="single" w:sz="6" w:space="0" w:color="auto"/>
            </w:tcBorders>
          </w:tcPr>
          <w:p w14:paraId="461C4462"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20.0</w:t>
            </w:r>
          </w:p>
        </w:tc>
        <w:tc>
          <w:tcPr>
            <w:tcW w:w="2079" w:type="dxa"/>
            <w:tcBorders>
              <w:top w:val="single" w:sz="6" w:space="0" w:color="auto"/>
              <w:left w:val="single" w:sz="6" w:space="0" w:color="auto"/>
              <w:bottom w:val="single" w:sz="6" w:space="0" w:color="auto"/>
              <w:right w:val="single" w:sz="6" w:space="0" w:color="auto"/>
            </w:tcBorders>
          </w:tcPr>
          <w:p w14:paraId="45783E44"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40.0</w:t>
            </w:r>
          </w:p>
        </w:tc>
        <w:tc>
          <w:tcPr>
            <w:tcW w:w="2057" w:type="dxa"/>
            <w:tcBorders>
              <w:top w:val="single" w:sz="6" w:space="0" w:color="auto"/>
              <w:left w:val="single" w:sz="6" w:space="0" w:color="auto"/>
              <w:bottom w:val="single" w:sz="6" w:space="0" w:color="auto"/>
              <w:right w:val="single" w:sz="6" w:space="0" w:color="auto"/>
            </w:tcBorders>
          </w:tcPr>
          <w:p w14:paraId="30F9884D"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100.0</w:t>
            </w:r>
          </w:p>
        </w:tc>
      </w:tr>
      <w:tr w:rsidR="00A74CDF" w:rsidRPr="00F01347" w14:paraId="364194C6" w14:textId="77777777">
        <w:trPr>
          <w:trHeight w:val="20"/>
        </w:trPr>
        <w:tc>
          <w:tcPr>
            <w:tcW w:w="2190" w:type="dxa"/>
            <w:tcBorders>
              <w:top w:val="single" w:sz="6" w:space="0" w:color="auto"/>
              <w:left w:val="single" w:sz="6" w:space="0" w:color="auto"/>
              <w:bottom w:val="single" w:sz="6" w:space="0" w:color="auto"/>
              <w:right w:val="single" w:sz="6" w:space="0" w:color="auto"/>
            </w:tcBorders>
          </w:tcPr>
          <w:p w14:paraId="35F1290A"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200</w:t>
            </w:r>
          </w:p>
        </w:tc>
        <w:tc>
          <w:tcPr>
            <w:tcW w:w="1490" w:type="dxa"/>
            <w:tcBorders>
              <w:top w:val="single" w:sz="6" w:space="0" w:color="auto"/>
              <w:left w:val="single" w:sz="6" w:space="0" w:color="auto"/>
              <w:bottom w:val="single" w:sz="6" w:space="0" w:color="auto"/>
              <w:right w:val="single" w:sz="6" w:space="0" w:color="auto"/>
            </w:tcBorders>
          </w:tcPr>
          <w:p w14:paraId="7FC03015"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10.0</w:t>
            </w:r>
          </w:p>
        </w:tc>
        <w:tc>
          <w:tcPr>
            <w:tcW w:w="2079" w:type="dxa"/>
            <w:tcBorders>
              <w:top w:val="single" w:sz="6" w:space="0" w:color="auto"/>
              <w:left w:val="single" w:sz="6" w:space="0" w:color="auto"/>
              <w:bottom w:val="single" w:sz="6" w:space="0" w:color="auto"/>
              <w:right w:val="single" w:sz="6" w:space="0" w:color="auto"/>
            </w:tcBorders>
          </w:tcPr>
          <w:p w14:paraId="0B019277"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40.0</w:t>
            </w:r>
          </w:p>
        </w:tc>
        <w:tc>
          <w:tcPr>
            <w:tcW w:w="2057" w:type="dxa"/>
            <w:tcBorders>
              <w:top w:val="single" w:sz="6" w:space="0" w:color="auto"/>
              <w:left w:val="single" w:sz="6" w:space="0" w:color="auto"/>
              <w:bottom w:val="single" w:sz="6" w:space="0" w:color="auto"/>
              <w:right w:val="single" w:sz="6" w:space="0" w:color="auto"/>
            </w:tcBorders>
          </w:tcPr>
          <w:p w14:paraId="565C8405"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50.0</w:t>
            </w:r>
          </w:p>
        </w:tc>
      </w:tr>
      <w:tr w:rsidR="00A74CDF" w:rsidRPr="00F01347" w14:paraId="0A364DCD" w14:textId="77777777">
        <w:trPr>
          <w:trHeight w:val="20"/>
        </w:trPr>
        <w:tc>
          <w:tcPr>
            <w:tcW w:w="2190" w:type="dxa"/>
            <w:tcBorders>
              <w:top w:val="single" w:sz="6" w:space="0" w:color="auto"/>
              <w:left w:val="single" w:sz="6" w:space="0" w:color="auto"/>
              <w:bottom w:val="single" w:sz="6" w:space="0" w:color="auto"/>
              <w:right w:val="single" w:sz="6" w:space="0" w:color="auto"/>
            </w:tcBorders>
          </w:tcPr>
          <w:p w14:paraId="0CF54B6C"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200</w:t>
            </w:r>
          </w:p>
        </w:tc>
        <w:tc>
          <w:tcPr>
            <w:tcW w:w="1490" w:type="dxa"/>
            <w:tcBorders>
              <w:top w:val="single" w:sz="6" w:space="0" w:color="auto"/>
              <w:left w:val="single" w:sz="6" w:space="0" w:color="auto"/>
              <w:bottom w:val="single" w:sz="6" w:space="0" w:color="auto"/>
              <w:right w:val="single" w:sz="6" w:space="0" w:color="auto"/>
            </w:tcBorders>
          </w:tcPr>
          <w:p w14:paraId="395B1965"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4.0</w:t>
            </w:r>
          </w:p>
        </w:tc>
        <w:tc>
          <w:tcPr>
            <w:tcW w:w="2079" w:type="dxa"/>
            <w:tcBorders>
              <w:top w:val="single" w:sz="6" w:space="0" w:color="auto"/>
              <w:left w:val="single" w:sz="6" w:space="0" w:color="auto"/>
              <w:bottom w:val="single" w:sz="6" w:space="0" w:color="auto"/>
              <w:right w:val="single" w:sz="6" w:space="0" w:color="auto"/>
            </w:tcBorders>
          </w:tcPr>
          <w:p w14:paraId="76EA0324"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40.0</w:t>
            </w:r>
          </w:p>
        </w:tc>
        <w:tc>
          <w:tcPr>
            <w:tcW w:w="2057" w:type="dxa"/>
            <w:tcBorders>
              <w:top w:val="single" w:sz="6" w:space="0" w:color="auto"/>
              <w:left w:val="single" w:sz="6" w:space="0" w:color="auto"/>
              <w:bottom w:val="single" w:sz="6" w:space="0" w:color="auto"/>
              <w:right w:val="single" w:sz="6" w:space="0" w:color="auto"/>
            </w:tcBorders>
          </w:tcPr>
          <w:p w14:paraId="0A8778EA"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20.0</w:t>
            </w:r>
          </w:p>
        </w:tc>
      </w:tr>
      <w:tr w:rsidR="00A74CDF" w:rsidRPr="00F01347" w14:paraId="27976A24" w14:textId="77777777">
        <w:trPr>
          <w:trHeight w:val="20"/>
        </w:trPr>
        <w:tc>
          <w:tcPr>
            <w:tcW w:w="2190" w:type="dxa"/>
            <w:tcBorders>
              <w:top w:val="single" w:sz="6" w:space="0" w:color="auto"/>
              <w:left w:val="single" w:sz="6" w:space="0" w:color="auto"/>
              <w:bottom w:val="single" w:sz="6" w:space="0" w:color="auto"/>
              <w:right w:val="single" w:sz="6" w:space="0" w:color="auto"/>
            </w:tcBorders>
          </w:tcPr>
          <w:p w14:paraId="60536C11"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200</w:t>
            </w:r>
          </w:p>
        </w:tc>
        <w:tc>
          <w:tcPr>
            <w:tcW w:w="1490" w:type="dxa"/>
            <w:tcBorders>
              <w:top w:val="single" w:sz="6" w:space="0" w:color="auto"/>
              <w:left w:val="single" w:sz="6" w:space="0" w:color="auto"/>
              <w:bottom w:val="single" w:sz="6" w:space="0" w:color="auto"/>
              <w:right w:val="single" w:sz="6" w:space="0" w:color="auto"/>
            </w:tcBorders>
          </w:tcPr>
          <w:p w14:paraId="7B65A3A9"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2.0</w:t>
            </w:r>
          </w:p>
        </w:tc>
        <w:tc>
          <w:tcPr>
            <w:tcW w:w="2079" w:type="dxa"/>
            <w:tcBorders>
              <w:top w:val="single" w:sz="6" w:space="0" w:color="auto"/>
              <w:left w:val="single" w:sz="6" w:space="0" w:color="auto"/>
              <w:bottom w:val="single" w:sz="6" w:space="0" w:color="auto"/>
              <w:right w:val="single" w:sz="6" w:space="0" w:color="auto"/>
            </w:tcBorders>
          </w:tcPr>
          <w:p w14:paraId="05448249"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40.0</w:t>
            </w:r>
          </w:p>
        </w:tc>
        <w:tc>
          <w:tcPr>
            <w:tcW w:w="2057" w:type="dxa"/>
            <w:tcBorders>
              <w:top w:val="single" w:sz="6" w:space="0" w:color="auto"/>
              <w:left w:val="single" w:sz="6" w:space="0" w:color="auto"/>
              <w:bottom w:val="single" w:sz="6" w:space="0" w:color="auto"/>
              <w:right w:val="single" w:sz="6" w:space="0" w:color="auto"/>
            </w:tcBorders>
          </w:tcPr>
          <w:p w14:paraId="3046CF9C"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10.0</w:t>
            </w:r>
          </w:p>
        </w:tc>
      </w:tr>
      <w:tr w:rsidR="00A74CDF" w:rsidRPr="00F01347" w14:paraId="3108C87E" w14:textId="77777777">
        <w:trPr>
          <w:trHeight w:val="20"/>
        </w:trPr>
        <w:tc>
          <w:tcPr>
            <w:tcW w:w="2190" w:type="dxa"/>
            <w:tcBorders>
              <w:top w:val="single" w:sz="6" w:space="0" w:color="auto"/>
              <w:left w:val="single" w:sz="6" w:space="0" w:color="auto"/>
              <w:bottom w:val="single" w:sz="6" w:space="0" w:color="auto"/>
              <w:right w:val="single" w:sz="6" w:space="0" w:color="auto"/>
            </w:tcBorders>
          </w:tcPr>
          <w:p w14:paraId="76CFB214"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200</w:t>
            </w:r>
          </w:p>
        </w:tc>
        <w:tc>
          <w:tcPr>
            <w:tcW w:w="1490" w:type="dxa"/>
            <w:tcBorders>
              <w:top w:val="single" w:sz="6" w:space="0" w:color="auto"/>
              <w:left w:val="single" w:sz="6" w:space="0" w:color="auto"/>
              <w:bottom w:val="single" w:sz="6" w:space="0" w:color="auto"/>
              <w:right w:val="single" w:sz="6" w:space="0" w:color="auto"/>
            </w:tcBorders>
          </w:tcPr>
          <w:p w14:paraId="18EFA2A7"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1.0</w:t>
            </w:r>
          </w:p>
        </w:tc>
        <w:tc>
          <w:tcPr>
            <w:tcW w:w="2079" w:type="dxa"/>
            <w:tcBorders>
              <w:top w:val="single" w:sz="6" w:space="0" w:color="auto"/>
              <w:left w:val="single" w:sz="6" w:space="0" w:color="auto"/>
              <w:bottom w:val="single" w:sz="6" w:space="0" w:color="auto"/>
              <w:right w:val="single" w:sz="6" w:space="0" w:color="auto"/>
            </w:tcBorders>
          </w:tcPr>
          <w:p w14:paraId="3C3F9E09"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40.0</w:t>
            </w:r>
          </w:p>
        </w:tc>
        <w:tc>
          <w:tcPr>
            <w:tcW w:w="2057" w:type="dxa"/>
            <w:tcBorders>
              <w:top w:val="single" w:sz="6" w:space="0" w:color="auto"/>
              <w:left w:val="single" w:sz="6" w:space="0" w:color="auto"/>
              <w:bottom w:val="single" w:sz="6" w:space="0" w:color="auto"/>
              <w:right w:val="single" w:sz="6" w:space="0" w:color="auto"/>
            </w:tcBorders>
          </w:tcPr>
          <w:p w14:paraId="6F9E900A" w14:textId="77777777" w:rsidR="00A74CDF" w:rsidRPr="00F01347" w:rsidRDefault="00A74CDF" w:rsidP="003A601B">
            <w:pPr>
              <w:pStyle w:val="texto0"/>
              <w:spacing w:after="84"/>
              <w:ind w:firstLine="0"/>
              <w:jc w:val="center"/>
              <w:rPr>
                <w:rFonts w:ascii="Verdana" w:hAnsi="Verdana"/>
                <w:sz w:val="16"/>
                <w:szCs w:val="16"/>
              </w:rPr>
            </w:pPr>
            <w:r w:rsidRPr="00F01347">
              <w:rPr>
                <w:rFonts w:ascii="Verdana" w:hAnsi="Verdana"/>
                <w:sz w:val="16"/>
                <w:szCs w:val="16"/>
              </w:rPr>
              <w:t>5.0</w:t>
            </w:r>
          </w:p>
        </w:tc>
      </w:tr>
      <w:tr w:rsidR="00A74CDF" w:rsidRPr="00F01347" w14:paraId="5EE9107B" w14:textId="77777777">
        <w:trPr>
          <w:trHeight w:val="20"/>
        </w:trPr>
        <w:tc>
          <w:tcPr>
            <w:tcW w:w="7816" w:type="dxa"/>
            <w:gridSpan w:val="4"/>
            <w:tcBorders>
              <w:top w:val="single" w:sz="6" w:space="0" w:color="auto"/>
            </w:tcBorders>
          </w:tcPr>
          <w:p w14:paraId="3900632A" w14:textId="77777777" w:rsidR="00A74CDF" w:rsidRPr="00F01347" w:rsidRDefault="00A74CDF" w:rsidP="0021274D">
            <w:pPr>
              <w:pStyle w:val="texto0"/>
              <w:ind w:firstLine="0"/>
              <w:jc w:val="center"/>
              <w:rPr>
                <w:rFonts w:ascii="Verdana" w:hAnsi="Verdana"/>
                <w:sz w:val="16"/>
                <w:szCs w:val="16"/>
              </w:rPr>
            </w:pPr>
            <w:r w:rsidRPr="00F01347">
              <w:rPr>
                <w:rFonts w:ascii="Verdana" w:hAnsi="Verdana"/>
                <w:sz w:val="16"/>
                <w:szCs w:val="16"/>
              </w:rPr>
              <w:t>Si la preparación de la curva se hace de manera gravimétrica, se considera la densidad de las</w:t>
            </w:r>
            <w:r w:rsidR="000550B5" w:rsidRPr="00F01347">
              <w:rPr>
                <w:rFonts w:ascii="Verdana" w:hAnsi="Verdana"/>
                <w:sz w:val="16"/>
                <w:szCs w:val="16"/>
              </w:rPr>
              <w:t xml:space="preserve"> </w:t>
            </w:r>
            <w:r w:rsidRPr="00F01347">
              <w:rPr>
                <w:rFonts w:ascii="Verdana" w:hAnsi="Verdana"/>
                <w:sz w:val="16"/>
                <w:szCs w:val="16"/>
              </w:rPr>
              <w:t>disoluciones como de 1 g/</w:t>
            </w:r>
            <w:proofErr w:type="spellStart"/>
            <w:r w:rsidRPr="00F01347">
              <w:rPr>
                <w:rFonts w:ascii="Verdana" w:hAnsi="Verdana"/>
                <w:sz w:val="16"/>
                <w:szCs w:val="16"/>
              </w:rPr>
              <w:t>mL</w:t>
            </w:r>
            <w:proofErr w:type="spellEnd"/>
            <w:r w:rsidRPr="00F01347">
              <w:rPr>
                <w:rFonts w:ascii="Verdana" w:hAnsi="Verdana"/>
                <w:sz w:val="16"/>
                <w:szCs w:val="16"/>
              </w:rPr>
              <w:t>.</w:t>
            </w:r>
          </w:p>
        </w:tc>
      </w:tr>
    </w:tbl>
    <w:p w14:paraId="0C6DAC3A" w14:textId="77777777" w:rsidR="0055757A" w:rsidRPr="00F01347" w:rsidRDefault="0055757A" w:rsidP="0021274D">
      <w:pPr>
        <w:pStyle w:val="texto0"/>
        <w:spacing w:line="222" w:lineRule="exact"/>
        <w:rPr>
          <w:rFonts w:ascii="Verdana" w:hAnsi="Verdana"/>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442"/>
        <w:gridCol w:w="1661"/>
        <w:gridCol w:w="2318"/>
        <w:gridCol w:w="2294"/>
      </w:tblGrid>
      <w:tr w:rsidR="00D0358B" w:rsidRPr="00F01347" w14:paraId="116D31D8" w14:textId="77777777" w:rsidTr="009F384B">
        <w:trPr>
          <w:trHeight w:val="20"/>
        </w:trPr>
        <w:tc>
          <w:tcPr>
            <w:tcW w:w="8715" w:type="dxa"/>
            <w:gridSpan w:val="4"/>
            <w:tcBorders>
              <w:top w:val="nil"/>
              <w:left w:val="nil"/>
              <w:bottom w:val="single" w:sz="6" w:space="0" w:color="auto"/>
              <w:right w:val="nil"/>
            </w:tcBorders>
            <w:noWrap/>
            <w:hideMark/>
          </w:tcPr>
          <w:p w14:paraId="102909E4" w14:textId="77777777" w:rsidR="00D0358B" w:rsidRPr="00F01347" w:rsidRDefault="00D0358B">
            <w:pPr>
              <w:pStyle w:val="texto0"/>
              <w:spacing w:after="84"/>
              <w:ind w:firstLine="0"/>
              <w:jc w:val="center"/>
              <w:rPr>
                <w:rFonts w:ascii="Verdana" w:hAnsi="Verdana"/>
                <w:b/>
                <w:sz w:val="16"/>
                <w:szCs w:val="16"/>
                <w:lang w:val="en-US"/>
              </w:rPr>
            </w:pPr>
            <w:r w:rsidRPr="00F01347">
              <w:rPr>
                <w:rFonts w:ascii="Verdana" w:hAnsi="Verdana"/>
                <w:b/>
                <w:sz w:val="16"/>
                <w:szCs w:val="16"/>
                <w:lang w:val="en-US"/>
              </w:rPr>
              <w:t xml:space="preserve">Table B.11.2-4. </w:t>
            </w:r>
            <w:r w:rsidRPr="00F01347">
              <w:rPr>
                <w:rFonts w:ascii="Verdana" w:hAnsi="Verdana"/>
                <w:sz w:val="16"/>
                <w:szCs w:val="16"/>
                <w:lang w:val="en-US"/>
              </w:rPr>
              <w:t>Suggested quantities to construct a sulfate calibration curve in the working range of the method.</w:t>
            </w:r>
          </w:p>
        </w:tc>
      </w:tr>
      <w:tr w:rsidR="00D0358B" w:rsidRPr="00F01347" w14:paraId="4FD5A010" w14:textId="77777777" w:rsidTr="009F384B">
        <w:trPr>
          <w:trHeight w:val="20"/>
        </w:trPr>
        <w:tc>
          <w:tcPr>
            <w:tcW w:w="2442" w:type="dxa"/>
            <w:tcBorders>
              <w:top w:val="single" w:sz="6" w:space="0" w:color="auto"/>
              <w:left w:val="single" w:sz="6" w:space="0" w:color="auto"/>
              <w:bottom w:val="single" w:sz="6" w:space="0" w:color="auto"/>
              <w:right w:val="single" w:sz="6" w:space="0" w:color="auto"/>
            </w:tcBorders>
            <w:hideMark/>
          </w:tcPr>
          <w:p w14:paraId="251DDFEC" w14:textId="77777777" w:rsidR="00D0358B" w:rsidRPr="00F01347" w:rsidRDefault="00D0358B">
            <w:pPr>
              <w:pStyle w:val="texto0"/>
              <w:spacing w:before="40" w:after="84"/>
              <w:ind w:firstLine="0"/>
              <w:jc w:val="center"/>
              <w:rPr>
                <w:rFonts w:ascii="Verdana" w:hAnsi="Verdana"/>
                <w:b/>
                <w:sz w:val="16"/>
                <w:szCs w:val="16"/>
                <w:lang w:val="en-US"/>
              </w:rPr>
            </w:pPr>
            <w:r w:rsidRPr="00F01347">
              <w:rPr>
                <w:rFonts w:ascii="Verdana" w:hAnsi="Verdana"/>
                <w:b/>
                <w:sz w:val="16"/>
                <w:szCs w:val="16"/>
                <w:vertAlign w:val="subscript"/>
                <w:lang w:val="en-US"/>
              </w:rPr>
              <w:t xml:space="preserve">4 </w:t>
            </w:r>
            <w:r w:rsidRPr="00F01347">
              <w:rPr>
                <w:rFonts w:ascii="Verdana" w:hAnsi="Verdana"/>
                <w:b/>
                <w:sz w:val="16"/>
                <w:szCs w:val="16"/>
                <w:vertAlign w:val="superscript"/>
                <w:lang w:val="en-US"/>
              </w:rPr>
              <w:t xml:space="preserve">2 </w:t>
            </w:r>
            <w:r w:rsidRPr="00F01347">
              <w:rPr>
                <w:rFonts w:ascii="Verdana" w:hAnsi="Verdana"/>
                <w:b/>
                <w:sz w:val="16"/>
                <w:szCs w:val="16"/>
                <w:lang w:val="en-US"/>
              </w:rPr>
              <w:t xml:space="preserve">concentration </w:t>
            </w:r>
            <w:r w:rsidRPr="00F01347">
              <w:rPr>
                <w:rFonts w:ascii="Verdana" w:hAnsi="Verdana"/>
                <w:b/>
                <w:sz w:val="16"/>
                <w:szCs w:val="16"/>
                <w:vertAlign w:val="superscript"/>
                <w:lang w:val="en-US"/>
              </w:rPr>
              <w:t xml:space="preserve">- </w:t>
            </w:r>
            <w:r w:rsidRPr="00F01347">
              <w:rPr>
                <w:rFonts w:ascii="Verdana" w:hAnsi="Verdana"/>
                <w:b/>
                <w:sz w:val="16"/>
                <w:szCs w:val="16"/>
                <w:lang w:val="en-US"/>
              </w:rPr>
              <w:t>in the standard (mg/L)</w:t>
            </w:r>
          </w:p>
        </w:tc>
        <w:tc>
          <w:tcPr>
            <w:tcW w:w="1661" w:type="dxa"/>
            <w:tcBorders>
              <w:top w:val="single" w:sz="6" w:space="0" w:color="auto"/>
              <w:left w:val="single" w:sz="6" w:space="0" w:color="auto"/>
              <w:bottom w:val="single" w:sz="6" w:space="0" w:color="auto"/>
              <w:right w:val="single" w:sz="6" w:space="0" w:color="auto"/>
            </w:tcBorders>
            <w:hideMark/>
          </w:tcPr>
          <w:p w14:paraId="062419E9" w14:textId="53F8DF04" w:rsidR="00D0358B" w:rsidRPr="00F01347" w:rsidRDefault="00D0358B">
            <w:pPr>
              <w:pStyle w:val="texto0"/>
              <w:spacing w:before="40" w:after="84"/>
              <w:ind w:firstLine="0"/>
              <w:jc w:val="center"/>
              <w:rPr>
                <w:rFonts w:ascii="Verdana" w:hAnsi="Verdana"/>
                <w:b/>
                <w:sz w:val="16"/>
                <w:szCs w:val="16"/>
                <w:lang w:val="en-US"/>
              </w:rPr>
            </w:pPr>
            <w:r w:rsidRPr="00F01347">
              <w:rPr>
                <w:rFonts w:ascii="Verdana" w:hAnsi="Verdana"/>
                <w:b/>
                <w:sz w:val="16"/>
                <w:szCs w:val="16"/>
                <w:lang w:val="en-US"/>
              </w:rPr>
              <w:t xml:space="preserve">Standard volume </w:t>
            </w:r>
            <w:r w:rsidR="00CB209C" w:rsidRPr="00F01347">
              <w:rPr>
                <w:rFonts w:ascii="Verdana" w:hAnsi="Verdana"/>
                <w:b/>
                <w:sz w:val="16"/>
                <w:szCs w:val="16"/>
                <w:lang w:val="en-US"/>
              </w:rPr>
              <w:t>(</w:t>
            </w:r>
            <w:r w:rsidRPr="00F01347">
              <w:rPr>
                <w:rFonts w:ascii="Verdana" w:hAnsi="Verdana"/>
                <w:b/>
                <w:sz w:val="16"/>
                <w:szCs w:val="16"/>
                <w:lang w:val="en-US"/>
              </w:rPr>
              <w:t>mL</w:t>
            </w:r>
            <w:r w:rsidR="00913802" w:rsidRPr="00F01347">
              <w:rPr>
                <w:rFonts w:ascii="Verdana" w:hAnsi="Verdana"/>
                <w:b/>
                <w:sz w:val="16"/>
                <w:szCs w:val="16"/>
                <w:lang w:val="en-US"/>
              </w:rPr>
              <w:t>)</w:t>
            </w:r>
          </w:p>
        </w:tc>
        <w:tc>
          <w:tcPr>
            <w:tcW w:w="2318" w:type="dxa"/>
            <w:tcBorders>
              <w:top w:val="single" w:sz="6" w:space="0" w:color="auto"/>
              <w:left w:val="single" w:sz="6" w:space="0" w:color="auto"/>
              <w:bottom w:val="single" w:sz="6" w:space="0" w:color="auto"/>
              <w:right w:val="single" w:sz="6" w:space="0" w:color="auto"/>
            </w:tcBorders>
            <w:hideMark/>
          </w:tcPr>
          <w:p w14:paraId="3202A376" w14:textId="7A112D2C" w:rsidR="00D0358B" w:rsidRPr="00F01347" w:rsidRDefault="00D0358B">
            <w:pPr>
              <w:pStyle w:val="texto0"/>
              <w:spacing w:before="40" w:after="84"/>
              <w:ind w:firstLine="0"/>
              <w:jc w:val="center"/>
              <w:rPr>
                <w:rFonts w:ascii="Verdana" w:hAnsi="Verdana"/>
                <w:b/>
                <w:sz w:val="16"/>
                <w:szCs w:val="16"/>
                <w:lang w:val="en-US"/>
              </w:rPr>
            </w:pPr>
            <w:r w:rsidRPr="00F01347">
              <w:rPr>
                <w:rFonts w:ascii="Verdana" w:hAnsi="Verdana"/>
                <w:b/>
                <w:sz w:val="16"/>
                <w:szCs w:val="16"/>
                <w:lang w:val="en-US"/>
              </w:rPr>
              <w:t xml:space="preserve">Final volume with deionized water </w:t>
            </w:r>
            <w:r w:rsidR="00CB209C" w:rsidRPr="00F01347">
              <w:rPr>
                <w:rFonts w:ascii="Verdana" w:hAnsi="Verdana"/>
                <w:b/>
                <w:sz w:val="16"/>
                <w:szCs w:val="16"/>
                <w:lang w:val="en-US"/>
              </w:rPr>
              <w:t>(</w:t>
            </w:r>
            <w:r w:rsidRPr="00F01347">
              <w:rPr>
                <w:rFonts w:ascii="Verdana" w:hAnsi="Verdana"/>
                <w:b/>
                <w:sz w:val="16"/>
                <w:szCs w:val="16"/>
                <w:lang w:val="en-US"/>
              </w:rPr>
              <w:t>mL</w:t>
            </w:r>
            <w:r w:rsidR="00913802" w:rsidRPr="00F01347">
              <w:rPr>
                <w:rFonts w:ascii="Verdana" w:hAnsi="Verdana"/>
                <w:b/>
                <w:sz w:val="16"/>
                <w:szCs w:val="16"/>
                <w:lang w:val="en-US"/>
              </w:rPr>
              <w:t>)</w:t>
            </w:r>
          </w:p>
        </w:tc>
        <w:tc>
          <w:tcPr>
            <w:tcW w:w="2294" w:type="dxa"/>
            <w:tcBorders>
              <w:top w:val="single" w:sz="6" w:space="0" w:color="auto"/>
              <w:left w:val="single" w:sz="6" w:space="0" w:color="auto"/>
              <w:bottom w:val="single" w:sz="6" w:space="0" w:color="auto"/>
              <w:right w:val="single" w:sz="6" w:space="0" w:color="auto"/>
            </w:tcBorders>
            <w:hideMark/>
          </w:tcPr>
          <w:p w14:paraId="2A45B8F7" w14:textId="042D1AED" w:rsidR="00D0358B" w:rsidRPr="00F01347" w:rsidRDefault="00D0358B">
            <w:pPr>
              <w:pStyle w:val="texto0"/>
              <w:spacing w:before="40" w:after="84"/>
              <w:ind w:firstLine="0"/>
              <w:jc w:val="center"/>
              <w:rPr>
                <w:rFonts w:ascii="Verdana" w:hAnsi="Verdana"/>
                <w:b/>
                <w:sz w:val="16"/>
                <w:szCs w:val="16"/>
                <w:lang w:val="en-US"/>
              </w:rPr>
            </w:pPr>
            <w:r w:rsidRPr="00F01347">
              <w:rPr>
                <w:rFonts w:ascii="Verdana" w:hAnsi="Verdana"/>
                <w:b/>
                <w:sz w:val="16"/>
                <w:szCs w:val="16"/>
                <w:lang w:val="en-US"/>
              </w:rPr>
              <w:t>SO4</w:t>
            </w:r>
            <w:r w:rsidRPr="00F01347">
              <w:rPr>
                <w:rFonts w:ascii="Verdana" w:hAnsi="Verdana"/>
                <w:b/>
                <w:position w:val="4"/>
                <w:sz w:val="16"/>
                <w:szCs w:val="16"/>
                <w:lang w:val="en-US"/>
              </w:rPr>
              <w:t xml:space="preserve">2- </w:t>
            </w:r>
            <w:r w:rsidRPr="00F01347">
              <w:rPr>
                <w:rFonts w:ascii="Verdana" w:hAnsi="Verdana"/>
                <w:b/>
                <w:sz w:val="16"/>
                <w:szCs w:val="16"/>
                <w:lang w:val="en-US"/>
              </w:rPr>
              <w:t>- concentration</w:t>
            </w:r>
            <w:r w:rsidRPr="00F01347">
              <w:rPr>
                <w:rFonts w:ascii="Verdana" w:hAnsi="Verdana"/>
                <w:b/>
                <w:sz w:val="16"/>
                <w:szCs w:val="16"/>
                <w:vertAlign w:val="superscript"/>
                <w:lang w:val="en-US"/>
              </w:rPr>
              <w:t xml:space="preserve"> </w:t>
            </w:r>
            <w:r w:rsidRPr="00F01347">
              <w:rPr>
                <w:rFonts w:ascii="Verdana" w:hAnsi="Verdana"/>
                <w:b/>
                <w:sz w:val="16"/>
                <w:szCs w:val="16"/>
                <w:lang w:val="en-US"/>
              </w:rPr>
              <w:t>obtained (mg/L)</w:t>
            </w:r>
          </w:p>
        </w:tc>
      </w:tr>
      <w:tr w:rsidR="00D0358B" w:rsidRPr="00F01347" w14:paraId="082622E5" w14:textId="77777777" w:rsidTr="009F384B">
        <w:trPr>
          <w:trHeight w:val="20"/>
        </w:trPr>
        <w:tc>
          <w:tcPr>
            <w:tcW w:w="2442" w:type="dxa"/>
            <w:tcBorders>
              <w:top w:val="single" w:sz="6" w:space="0" w:color="auto"/>
              <w:left w:val="single" w:sz="6" w:space="0" w:color="auto"/>
              <w:bottom w:val="single" w:sz="6" w:space="0" w:color="auto"/>
              <w:right w:val="single" w:sz="6" w:space="0" w:color="auto"/>
            </w:tcBorders>
            <w:hideMark/>
          </w:tcPr>
          <w:p w14:paraId="516A78D4"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1000</w:t>
            </w:r>
          </w:p>
        </w:tc>
        <w:tc>
          <w:tcPr>
            <w:tcW w:w="1661" w:type="dxa"/>
            <w:tcBorders>
              <w:top w:val="single" w:sz="6" w:space="0" w:color="auto"/>
              <w:left w:val="single" w:sz="6" w:space="0" w:color="auto"/>
              <w:bottom w:val="single" w:sz="6" w:space="0" w:color="auto"/>
              <w:right w:val="single" w:sz="6" w:space="0" w:color="auto"/>
            </w:tcBorders>
            <w:hideMark/>
          </w:tcPr>
          <w:p w14:paraId="7CAA2FE2"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12.0</w:t>
            </w:r>
          </w:p>
        </w:tc>
        <w:tc>
          <w:tcPr>
            <w:tcW w:w="2318" w:type="dxa"/>
            <w:tcBorders>
              <w:top w:val="single" w:sz="6" w:space="0" w:color="auto"/>
              <w:left w:val="single" w:sz="6" w:space="0" w:color="auto"/>
              <w:bottom w:val="single" w:sz="6" w:space="0" w:color="auto"/>
              <w:right w:val="single" w:sz="6" w:space="0" w:color="auto"/>
            </w:tcBorders>
            <w:hideMark/>
          </w:tcPr>
          <w:p w14:paraId="27FBED42"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60.0</w:t>
            </w:r>
          </w:p>
        </w:tc>
        <w:tc>
          <w:tcPr>
            <w:tcW w:w="2294" w:type="dxa"/>
            <w:tcBorders>
              <w:top w:val="single" w:sz="6" w:space="0" w:color="auto"/>
              <w:left w:val="single" w:sz="6" w:space="0" w:color="auto"/>
              <w:bottom w:val="single" w:sz="6" w:space="0" w:color="auto"/>
              <w:right w:val="single" w:sz="6" w:space="0" w:color="auto"/>
            </w:tcBorders>
            <w:hideMark/>
          </w:tcPr>
          <w:p w14:paraId="06C9D612"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200.0</w:t>
            </w:r>
          </w:p>
        </w:tc>
      </w:tr>
      <w:tr w:rsidR="00D0358B" w:rsidRPr="00F01347" w14:paraId="2BD8511D" w14:textId="77777777" w:rsidTr="009F384B">
        <w:trPr>
          <w:trHeight w:val="20"/>
        </w:trPr>
        <w:tc>
          <w:tcPr>
            <w:tcW w:w="2442" w:type="dxa"/>
            <w:tcBorders>
              <w:top w:val="single" w:sz="6" w:space="0" w:color="auto"/>
              <w:left w:val="single" w:sz="6" w:space="0" w:color="auto"/>
              <w:bottom w:val="single" w:sz="6" w:space="0" w:color="auto"/>
              <w:right w:val="single" w:sz="6" w:space="0" w:color="auto"/>
            </w:tcBorders>
            <w:hideMark/>
          </w:tcPr>
          <w:p w14:paraId="3A156111"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200</w:t>
            </w:r>
          </w:p>
        </w:tc>
        <w:tc>
          <w:tcPr>
            <w:tcW w:w="1661" w:type="dxa"/>
            <w:tcBorders>
              <w:top w:val="single" w:sz="6" w:space="0" w:color="auto"/>
              <w:left w:val="single" w:sz="6" w:space="0" w:color="auto"/>
              <w:bottom w:val="single" w:sz="6" w:space="0" w:color="auto"/>
              <w:right w:val="single" w:sz="6" w:space="0" w:color="auto"/>
            </w:tcBorders>
            <w:hideMark/>
          </w:tcPr>
          <w:p w14:paraId="613993A7"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20.0</w:t>
            </w:r>
          </w:p>
        </w:tc>
        <w:tc>
          <w:tcPr>
            <w:tcW w:w="2318" w:type="dxa"/>
            <w:tcBorders>
              <w:top w:val="single" w:sz="6" w:space="0" w:color="auto"/>
              <w:left w:val="single" w:sz="6" w:space="0" w:color="auto"/>
              <w:bottom w:val="single" w:sz="6" w:space="0" w:color="auto"/>
              <w:right w:val="single" w:sz="6" w:space="0" w:color="auto"/>
            </w:tcBorders>
            <w:hideMark/>
          </w:tcPr>
          <w:p w14:paraId="78E25CA2"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40.0</w:t>
            </w:r>
          </w:p>
        </w:tc>
        <w:tc>
          <w:tcPr>
            <w:tcW w:w="2294" w:type="dxa"/>
            <w:tcBorders>
              <w:top w:val="single" w:sz="6" w:space="0" w:color="auto"/>
              <w:left w:val="single" w:sz="6" w:space="0" w:color="auto"/>
              <w:bottom w:val="single" w:sz="6" w:space="0" w:color="auto"/>
              <w:right w:val="single" w:sz="6" w:space="0" w:color="auto"/>
            </w:tcBorders>
            <w:hideMark/>
          </w:tcPr>
          <w:p w14:paraId="1F08B36E"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100.0</w:t>
            </w:r>
          </w:p>
        </w:tc>
      </w:tr>
      <w:tr w:rsidR="00D0358B" w:rsidRPr="00F01347" w14:paraId="5AD5A562" w14:textId="77777777" w:rsidTr="009F384B">
        <w:trPr>
          <w:trHeight w:val="20"/>
        </w:trPr>
        <w:tc>
          <w:tcPr>
            <w:tcW w:w="2442" w:type="dxa"/>
            <w:tcBorders>
              <w:top w:val="single" w:sz="6" w:space="0" w:color="auto"/>
              <w:left w:val="single" w:sz="6" w:space="0" w:color="auto"/>
              <w:bottom w:val="single" w:sz="6" w:space="0" w:color="auto"/>
              <w:right w:val="single" w:sz="6" w:space="0" w:color="auto"/>
            </w:tcBorders>
            <w:hideMark/>
          </w:tcPr>
          <w:p w14:paraId="24AC8A52"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200</w:t>
            </w:r>
          </w:p>
        </w:tc>
        <w:tc>
          <w:tcPr>
            <w:tcW w:w="1661" w:type="dxa"/>
            <w:tcBorders>
              <w:top w:val="single" w:sz="6" w:space="0" w:color="auto"/>
              <w:left w:val="single" w:sz="6" w:space="0" w:color="auto"/>
              <w:bottom w:val="single" w:sz="6" w:space="0" w:color="auto"/>
              <w:right w:val="single" w:sz="6" w:space="0" w:color="auto"/>
            </w:tcBorders>
            <w:hideMark/>
          </w:tcPr>
          <w:p w14:paraId="0A433BE4"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10.0</w:t>
            </w:r>
          </w:p>
        </w:tc>
        <w:tc>
          <w:tcPr>
            <w:tcW w:w="2318" w:type="dxa"/>
            <w:tcBorders>
              <w:top w:val="single" w:sz="6" w:space="0" w:color="auto"/>
              <w:left w:val="single" w:sz="6" w:space="0" w:color="auto"/>
              <w:bottom w:val="single" w:sz="6" w:space="0" w:color="auto"/>
              <w:right w:val="single" w:sz="6" w:space="0" w:color="auto"/>
            </w:tcBorders>
            <w:hideMark/>
          </w:tcPr>
          <w:p w14:paraId="505D53F9"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40.0</w:t>
            </w:r>
          </w:p>
        </w:tc>
        <w:tc>
          <w:tcPr>
            <w:tcW w:w="2294" w:type="dxa"/>
            <w:tcBorders>
              <w:top w:val="single" w:sz="6" w:space="0" w:color="auto"/>
              <w:left w:val="single" w:sz="6" w:space="0" w:color="auto"/>
              <w:bottom w:val="single" w:sz="6" w:space="0" w:color="auto"/>
              <w:right w:val="single" w:sz="6" w:space="0" w:color="auto"/>
            </w:tcBorders>
            <w:hideMark/>
          </w:tcPr>
          <w:p w14:paraId="276B4F80"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50.0</w:t>
            </w:r>
          </w:p>
        </w:tc>
      </w:tr>
      <w:tr w:rsidR="00D0358B" w:rsidRPr="00F01347" w14:paraId="79E5B4F5" w14:textId="77777777" w:rsidTr="009F384B">
        <w:trPr>
          <w:trHeight w:val="20"/>
        </w:trPr>
        <w:tc>
          <w:tcPr>
            <w:tcW w:w="2442" w:type="dxa"/>
            <w:tcBorders>
              <w:top w:val="single" w:sz="6" w:space="0" w:color="auto"/>
              <w:left w:val="single" w:sz="6" w:space="0" w:color="auto"/>
              <w:bottom w:val="single" w:sz="6" w:space="0" w:color="auto"/>
              <w:right w:val="single" w:sz="6" w:space="0" w:color="auto"/>
            </w:tcBorders>
            <w:hideMark/>
          </w:tcPr>
          <w:p w14:paraId="5136902B"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200</w:t>
            </w:r>
          </w:p>
        </w:tc>
        <w:tc>
          <w:tcPr>
            <w:tcW w:w="1661" w:type="dxa"/>
            <w:tcBorders>
              <w:top w:val="single" w:sz="6" w:space="0" w:color="auto"/>
              <w:left w:val="single" w:sz="6" w:space="0" w:color="auto"/>
              <w:bottom w:val="single" w:sz="6" w:space="0" w:color="auto"/>
              <w:right w:val="single" w:sz="6" w:space="0" w:color="auto"/>
            </w:tcBorders>
            <w:hideMark/>
          </w:tcPr>
          <w:p w14:paraId="3545AD38"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4.0</w:t>
            </w:r>
          </w:p>
        </w:tc>
        <w:tc>
          <w:tcPr>
            <w:tcW w:w="2318" w:type="dxa"/>
            <w:tcBorders>
              <w:top w:val="single" w:sz="6" w:space="0" w:color="auto"/>
              <w:left w:val="single" w:sz="6" w:space="0" w:color="auto"/>
              <w:bottom w:val="single" w:sz="6" w:space="0" w:color="auto"/>
              <w:right w:val="single" w:sz="6" w:space="0" w:color="auto"/>
            </w:tcBorders>
            <w:hideMark/>
          </w:tcPr>
          <w:p w14:paraId="4D1310E3"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40.0</w:t>
            </w:r>
          </w:p>
        </w:tc>
        <w:tc>
          <w:tcPr>
            <w:tcW w:w="2294" w:type="dxa"/>
            <w:tcBorders>
              <w:top w:val="single" w:sz="6" w:space="0" w:color="auto"/>
              <w:left w:val="single" w:sz="6" w:space="0" w:color="auto"/>
              <w:bottom w:val="single" w:sz="6" w:space="0" w:color="auto"/>
              <w:right w:val="single" w:sz="6" w:space="0" w:color="auto"/>
            </w:tcBorders>
            <w:hideMark/>
          </w:tcPr>
          <w:p w14:paraId="6F7BC29B"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20.0</w:t>
            </w:r>
          </w:p>
        </w:tc>
      </w:tr>
      <w:tr w:rsidR="00D0358B" w:rsidRPr="00F01347" w14:paraId="063A490F" w14:textId="77777777" w:rsidTr="009F384B">
        <w:trPr>
          <w:trHeight w:val="20"/>
        </w:trPr>
        <w:tc>
          <w:tcPr>
            <w:tcW w:w="2442" w:type="dxa"/>
            <w:tcBorders>
              <w:top w:val="single" w:sz="6" w:space="0" w:color="auto"/>
              <w:left w:val="single" w:sz="6" w:space="0" w:color="auto"/>
              <w:bottom w:val="single" w:sz="6" w:space="0" w:color="auto"/>
              <w:right w:val="single" w:sz="6" w:space="0" w:color="auto"/>
            </w:tcBorders>
            <w:hideMark/>
          </w:tcPr>
          <w:p w14:paraId="7C5C168F"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200</w:t>
            </w:r>
          </w:p>
        </w:tc>
        <w:tc>
          <w:tcPr>
            <w:tcW w:w="1661" w:type="dxa"/>
            <w:tcBorders>
              <w:top w:val="single" w:sz="6" w:space="0" w:color="auto"/>
              <w:left w:val="single" w:sz="6" w:space="0" w:color="auto"/>
              <w:bottom w:val="single" w:sz="6" w:space="0" w:color="auto"/>
              <w:right w:val="single" w:sz="6" w:space="0" w:color="auto"/>
            </w:tcBorders>
            <w:hideMark/>
          </w:tcPr>
          <w:p w14:paraId="73DA5A04"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2.0</w:t>
            </w:r>
          </w:p>
        </w:tc>
        <w:tc>
          <w:tcPr>
            <w:tcW w:w="2318" w:type="dxa"/>
            <w:tcBorders>
              <w:top w:val="single" w:sz="6" w:space="0" w:color="auto"/>
              <w:left w:val="single" w:sz="6" w:space="0" w:color="auto"/>
              <w:bottom w:val="single" w:sz="6" w:space="0" w:color="auto"/>
              <w:right w:val="single" w:sz="6" w:space="0" w:color="auto"/>
            </w:tcBorders>
            <w:hideMark/>
          </w:tcPr>
          <w:p w14:paraId="1ABC4537"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40.0</w:t>
            </w:r>
          </w:p>
        </w:tc>
        <w:tc>
          <w:tcPr>
            <w:tcW w:w="2294" w:type="dxa"/>
            <w:tcBorders>
              <w:top w:val="single" w:sz="6" w:space="0" w:color="auto"/>
              <w:left w:val="single" w:sz="6" w:space="0" w:color="auto"/>
              <w:bottom w:val="single" w:sz="6" w:space="0" w:color="auto"/>
              <w:right w:val="single" w:sz="6" w:space="0" w:color="auto"/>
            </w:tcBorders>
            <w:hideMark/>
          </w:tcPr>
          <w:p w14:paraId="43B808E6"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10.0</w:t>
            </w:r>
          </w:p>
        </w:tc>
      </w:tr>
      <w:tr w:rsidR="00D0358B" w:rsidRPr="00F01347" w14:paraId="268BE2F5" w14:textId="77777777" w:rsidTr="009F384B">
        <w:trPr>
          <w:trHeight w:val="20"/>
        </w:trPr>
        <w:tc>
          <w:tcPr>
            <w:tcW w:w="2442" w:type="dxa"/>
            <w:tcBorders>
              <w:top w:val="single" w:sz="6" w:space="0" w:color="auto"/>
              <w:left w:val="single" w:sz="6" w:space="0" w:color="auto"/>
              <w:bottom w:val="single" w:sz="6" w:space="0" w:color="auto"/>
              <w:right w:val="single" w:sz="6" w:space="0" w:color="auto"/>
            </w:tcBorders>
            <w:hideMark/>
          </w:tcPr>
          <w:p w14:paraId="05116E57"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200</w:t>
            </w:r>
          </w:p>
        </w:tc>
        <w:tc>
          <w:tcPr>
            <w:tcW w:w="1661" w:type="dxa"/>
            <w:tcBorders>
              <w:top w:val="single" w:sz="6" w:space="0" w:color="auto"/>
              <w:left w:val="single" w:sz="6" w:space="0" w:color="auto"/>
              <w:bottom w:val="single" w:sz="6" w:space="0" w:color="auto"/>
              <w:right w:val="single" w:sz="6" w:space="0" w:color="auto"/>
            </w:tcBorders>
            <w:hideMark/>
          </w:tcPr>
          <w:p w14:paraId="08C2A154"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1.0</w:t>
            </w:r>
          </w:p>
        </w:tc>
        <w:tc>
          <w:tcPr>
            <w:tcW w:w="2318" w:type="dxa"/>
            <w:tcBorders>
              <w:top w:val="single" w:sz="6" w:space="0" w:color="auto"/>
              <w:left w:val="single" w:sz="6" w:space="0" w:color="auto"/>
              <w:bottom w:val="single" w:sz="6" w:space="0" w:color="auto"/>
              <w:right w:val="single" w:sz="6" w:space="0" w:color="auto"/>
            </w:tcBorders>
            <w:hideMark/>
          </w:tcPr>
          <w:p w14:paraId="2DB3BCF4"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40.0</w:t>
            </w:r>
          </w:p>
        </w:tc>
        <w:tc>
          <w:tcPr>
            <w:tcW w:w="2294" w:type="dxa"/>
            <w:tcBorders>
              <w:top w:val="single" w:sz="6" w:space="0" w:color="auto"/>
              <w:left w:val="single" w:sz="6" w:space="0" w:color="auto"/>
              <w:bottom w:val="single" w:sz="6" w:space="0" w:color="auto"/>
              <w:right w:val="single" w:sz="6" w:space="0" w:color="auto"/>
            </w:tcBorders>
            <w:hideMark/>
          </w:tcPr>
          <w:p w14:paraId="6364A146" w14:textId="77777777" w:rsidR="00D0358B" w:rsidRPr="00F01347" w:rsidRDefault="00D0358B">
            <w:pPr>
              <w:pStyle w:val="texto0"/>
              <w:spacing w:after="84"/>
              <w:ind w:firstLine="0"/>
              <w:jc w:val="center"/>
              <w:rPr>
                <w:rFonts w:ascii="Verdana" w:hAnsi="Verdana"/>
                <w:sz w:val="16"/>
                <w:szCs w:val="16"/>
                <w:lang w:val="en-US"/>
              </w:rPr>
            </w:pPr>
            <w:r w:rsidRPr="00F01347">
              <w:rPr>
                <w:rFonts w:ascii="Verdana" w:hAnsi="Verdana"/>
                <w:sz w:val="16"/>
                <w:szCs w:val="16"/>
                <w:lang w:val="en-US"/>
              </w:rPr>
              <w:t>5.0</w:t>
            </w:r>
          </w:p>
        </w:tc>
      </w:tr>
      <w:tr w:rsidR="00D0358B" w:rsidRPr="00F01347" w14:paraId="7BB93A9E" w14:textId="77777777" w:rsidTr="009F384B">
        <w:trPr>
          <w:trHeight w:val="20"/>
        </w:trPr>
        <w:tc>
          <w:tcPr>
            <w:tcW w:w="8715" w:type="dxa"/>
            <w:gridSpan w:val="4"/>
            <w:tcBorders>
              <w:top w:val="single" w:sz="6" w:space="0" w:color="auto"/>
              <w:left w:val="nil"/>
              <w:bottom w:val="nil"/>
              <w:right w:val="nil"/>
            </w:tcBorders>
            <w:hideMark/>
          </w:tcPr>
          <w:p w14:paraId="5F8E9364" w14:textId="1F8F7615" w:rsidR="00D0358B" w:rsidRPr="00F01347" w:rsidRDefault="00D0358B">
            <w:pPr>
              <w:pStyle w:val="texto0"/>
              <w:ind w:firstLine="0"/>
              <w:jc w:val="center"/>
              <w:rPr>
                <w:rFonts w:ascii="Verdana" w:hAnsi="Verdana"/>
                <w:sz w:val="16"/>
                <w:szCs w:val="16"/>
                <w:lang w:val="en-US"/>
              </w:rPr>
            </w:pPr>
            <w:r w:rsidRPr="00F01347">
              <w:rPr>
                <w:rFonts w:ascii="Verdana" w:hAnsi="Verdana"/>
                <w:sz w:val="16"/>
                <w:szCs w:val="16"/>
                <w:lang w:val="en-US"/>
              </w:rPr>
              <w:t xml:space="preserve">If the curve preparation is done gravimetrically, the density of the solutions </w:t>
            </w:r>
            <w:proofErr w:type="gramStart"/>
            <w:r w:rsidRPr="00F01347">
              <w:rPr>
                <w:rFonts w:ascii="Verdana" w:hAnsi="Verdana"/>
                <w:sz w:val="16"/>
                <w:szCs w:val="16"/>
                <w:lang w:val="en-US"/>
              </w:rPr>
              <w:t>is considered to be</w:t>
            </w:r>
            <w:proofErr w:type="gramEnd"/>
            <w:r w:rsidRPr="00F01347">
              <w:rPr>
                <w:rFonts w:ascii="Verdana" w:hAnsi="Verdana"/>
                <w:sz w:val="16"/>
                <w:szCs w:val="16"/>
                <w:lang w:val="en-US"/>
              </w:rPr>
              <w:t xml:space="preserve"> 1 g/ mL</w:t>
            </w:r>
            <w:r w:rsidR="003E1BA9" w:rsidRPr="00F01347">
              <w:rPr>
                <w:rFonts w:ascii="Verdana" w:hAnsi="Verdana"/>
                <w:sz w:val="16"/>
                <w:szCs w:val="16"/>
                <w:lang w:val="en-US"/>
              </w:rPr>
              <w:t>.</w:t>
            </w:r>
          </w:p>
        </w:tc>
      </w:tr>
    </w:tbl>
    <w:p w14:paraId="0C0AB0B2" w14:textId="77777777" w:rsidR="00D0358B" w:rsidRPr="00F01347" w:rsidRDefault="00D0358B" w:rsidP="00D0358B">
      <w:pPr>
        <w:pStyle w:val="texto0"/>
        <w:spacing w:line="222" w:lineRule="exact"/>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0358B" w:rsidRPr="00F01347" w14:paraId="64DD21DA" w14:textId="0A9EB102" w:rsidTr="00836FC8">
        <w:tc>
          <w:tcPr>
            <w:tcW w:w="4675" w:type="dxa"/>
          </w:tcPr>
          <w:p w14:paraId="20FB5448" w14:textId="77777777" w:rsidR="00D0358B" w:rsidRPr="00F01347" w:rsidRDefault="00D0358B" w:rsidP="00D0358B">
            <w:pPr>
              <w:pStyle w:val="texto0"/>
              <w:spacing w:line="222" w:lineRule="exact"/>
              <w:ind w:firstLine="0"/>
              <w:rPr>
                <w:rFonts w:ascii="Verdana" w:hAnsi="Verdana"/>
                <w:sz w:val="16"/>
                <w:szCs w:val="16"/>
              </w:rPr>
            </w:pPr>
            <w:r w:rsidRPr="00F01347">
              <w:rPr>
                <w:rFonts w:ascii="Verdana" w:hAnsi="Verdana"/>
                <w:sz w:val="16"/>
                <w:szCs w:val="16"/>
              </w:rPr>
              <w:t>Preparar el equipo para el análisis de muestras e incluir en la secuencia los puntos de calibración preparados, introduciendo las concentraciones calculadas para cada punto en la ventana referente a las condiciones del método.</w:t>
            </w:r>
          </w:p>
        </w:tc>
        <w:tc>
          <w:tcPr>
            <w:tcW w:w="4675" w:type="dxa"/>
          </w:tcPr>
          <w:p w14:paraId="04F96363" w14:textId="192ED9A7" w:rsidR="00D0358B" w:rsidRPr="00F01347" w:rsidRDefault="00D0358B" w:rsidP="00D0358B">
            <w:pPr>
              <w:pStyle w:val="texto0"/>
              <w:spacing w:line="222" w:lineRule="exact"/>
              <w:ind w:firstLine="0"/>
              <w:rPr>
                <w:rFonts w:ascii="Verdana" w:hAnsi="Verdana"/>
                <w:sz w:val="16"/>
                <w:szCs w:val="16"/>
                <w:lang w:val="en-US"/>
              </w:rPr>
            </w:pPr>
            <w:r w:rsidRPr="00F01347">
              <w:rPr>
                <w:rFonts w:ascii="Verdana" w:hAnsi="Verdana"/>
                <w:sz w:val="16"/>
                <w:szCs w:val="16"/>
                <w:lang w:val="en-US"/>
              </w:rPr>
              <w:t>Prepare the equipment for sample analysis and include the prepared calibration points in the sequence, entering the concentrations calculated for each point in the window referring to the method conditions.</w:t>
            </w:r>
          </w:p>
        </w:tc>
      </w:tr>
      <w:tr w:rsidR="00D0358B" w:rsidRPr="00F01347" w14:paraId="5125C45A" w14:textId="157519B6" w:rsidTr="00836FC8">
        <w:tc>
          <w:tcPr>
            <w:tcW w:w="4675" w:type="dxa"/>
          </w:tcPr>
          <w:p w14:paraId="126894EB" w14:textId="77777777" w:rsidR="00D0358B" w:rsidRPr="00F01347" w:rsidRDefault="00D0358B" w:rsidP="00D0358B">
            <w:pPr>
              <w:pStyle w:val="texto0"/>
              <w:spacing w:line="222" w:lineRule="exact"/>
              <w:ind w:firstLine="0"/>
              <w:rPr>
                <w:rFonts w:ascii="Verdana" w:hAnsi="Verdana"/>
                <w:sz w:val="16"/>
                <w:szCs w:val="16"/>
              </w:rPr>
            </w:pPr>
            <w:r w:rsidRPr="00F01347">
              <w:rPr>
                <w:rFonts w:ascii="Verdana" w:hAnsi="Verdana"/>
                <w:sz w:val="16"/>
                <w:szCs w:val="16"/>
              </w:rPr>
              <w:t xml:space="preserve">Si va a utilizar una curva de calibración cargada en el equipo para la cuantificación debe preparar una disolución de concentración igual al del último punto de la curva para comparar la respuesta obtenida contra la que se está cuantificando (Preferentemente la de la confirmación del método). En este caso también se debe preparar una disolución para la verificación de la calibración continua, la cual puede ser de una concentración de magnitud igual o menor al punto medio de la curva, idealmente se deben preparar dos estándares de diferente concentración (uno en </w:t>
            </w:r>
            <w:proofErr w:type="gramStart"/>
            <w:r w:rsidRPr="00F01347">
              <w:rPr>
                <w:rFonts w:ascii="Verdana" w:hAnsi="Verdana"/>
                <w:sz w:val="16"/>
                <w:szCs w:val="16"/>
              </w:rPr>
              <w:t>la alta</w:t>
            </w:r>
            <w:proofErr w:type="gramEnd"/>
            <w:r w:rsidRPr="00F01347">
              <w:rPr>
                <w:rFonts w:ascii="Verdana" w:hAnsi="Verdana"/>
                <w:sz w:val="16"/>
                <w:szCs w:val="16"/>
              </w:rPr>
              <w:t xml:space="preserve"> y uno en la baja del IT) para asegurar que la calibración </w:t>
            </w:r>
            <w:r w:rsidRPr="00F01347">
              <w:rPr>
                <w:rFonts w:ascii="Verdana" w:hAnsi="Verdana"/>
                <w:sz w:val="16"/>
                <w:szCs w:val="16"/>
              </w:rPr>
              <w:lastRenderedPageBreak/>
              <w:t>sigue vigente en todo el IT a lo largo de la corrida. En estos casos no se requiere de la determinación del ICV.</w:t>
            </w:r>
          </w:p>
        </w:tc>
        <w:tc>
          <w:tcPr>
            <w:tcW w:w="4675" w:type="dxa"/>
          </w:tcPr>
          <w:p w14:paraId="48682752" w14:textId="2F4E90FE" w:rsidR="00D0358B" w:rsidRPr="00F01347" w:rsidRDefault="00D0358B" w:rsidP="00D0358B">
            <w:pPr>
              <w:pStyle w:val="texto0"/>
              <w:spacing w:line="222" w:lineRule="exact"/>
              <w:ind w:firstLine="0"/>
              <w:rPr>
                <w:rFonts w:ascii="Verdana" w:hAnsi="Verdana"/>
                <w:sz w:val="16"/>
                <w:szCs w:val="16"/>
                <w:lang w:val="en-US"/>
              </w:rPr>
            </w:pPr>
            <w:r w:rsidRPr="00F01347">
              <w:rPr>
                <w:rFonts w:ascii="Verdana" w:hAnsi="Verdana"/>
                <w:sz w:val="16"/>
                <w:szCs w:val="16"/>
                <w:lang w:val="en-US"/>
              </w:rPr>
              <w:lastRenderedPageBreak/>
              <w:t>If a calibration curve loaded into the equipment for quantification</w:t>
            </w:r>
            <w:r w:rsidR="00836FC8" w:rsidRPr="00F01347">
              <w:rPr>
                <w:rFonts w:ascii="Verdana" w:hAnsi="Verdana"/>
                <w:sz w:val="16"/>
                <w:szCs w:val="16"/>
                <w:lang w:val="en-US"/>
              </w:rPr>
              <w:t xml:space="preserve"> is going to be used</w:t>
            </w:r>
            <w:r w:rsidRPr="00F01347">
              <w:rPr>
                <w:rFonts w:ascii="Verdana" w:hAnsi="Verdana"/>
                <w:sz w:val="16"/>
                <w:szCs w:val="16"/>
                <w:lang w:val="en-US"/>
              </w:rPr>
              <w:t>, a solution with a concentration equal to that of the last point on the curve</w:t>
            </w:r>
            <w:r w:rsidR="00836FC8" w:rsidRPr="00F01347">
              <w:rPr>
                <w:rFonts w:ascii="Verdana" w:hAnsi="Verdana"/>
                <w:sz w:val="16"/>
                <w:szCs w:val="16"/>
                <w:lang w:val="en-US"/>
              </w:rPr>
              <w:t xml:space="preserve"> must be prepared</w:t>
            </w:r>
            <w:r w:rsidRPr="00F01347">
              <w:rPr>
                <w:rFonts w:ascii="Verdana" w:hAnsi="Verdana"/>
                <w:sz w:val="16"/>
                <w:szCs w:val="16"/>
                <w:lang w:val="en-US"/>
              </w:rPr>
              <w:t xml:space="preserve"> to compare the response obtained against the one being quantified (Preferably that of the confirmation of the method). In this case, a solution must also be prepared for the verification of the continuous calibration, which can be of a concentration equal to or less than the midpoint of the curve. Ideally, two standards of different concentrations should be prepared (one at the high and one at the bottom of the IT) to ensure that the calibration remains valid </w:t>
            </w:r>
            <w:r w:rsidRPr="00F01347">
              <w:rPr>
                <w:rFonts w:ascii="Verdana" w:hAnsi="Verdana"/>
                <w:sz w:val="16"/>
                <w:szCs w:val="16"/>
                <w:lang w:val="en-US"/>
              </w:rPr>
              <w:lastRenderedPageBreak/>
              <w:t>throughout the IT throughout the run. In these cases, the determination of the ICV is not required.</w:t>
            </w:r>
          </w:p>
        </w:tc>
      </w:tr>
      <w:tr w:rsidR="00D0358B" w:rsidRPr="00F01347" w14:paraId="3058C0E0" w14:textId="7343A77B" w:rsidTr="00836FC8">
        <w:tc>
          <w:tcPr>
            <w:tcW w:w="4675" w:type="dxa"/>
          </w:tcPr>
          <w:p w14:paraId="30EA8763"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lastRenderedPageBreak/>
              <w:t>El equipo registra la respuesta obtenida para cada punto y la asocia a la concentración especificada por el usuario, con lo que construye y almacena de manera automática una curva de calibración. Esta curva es usada después para obtener la concentración de las muestras desconocidas.</w:t>
            </w:r>
          </w:p>
        </w:tc>
        <w:tc>
          <w:tcPr>
            <w:tcW w:w="4675" w:type="dxa"/>
          </w:tcPr>
          <w:p w14:paraId="057D0090" w14:textId="57686D32"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The equipment records the response obtained for each point and associates it with the concentration specified by the user, thereby automatically constructing and storing a calibration curve. This curve is then used to obtain the concentration of the unknown samples.</w:t>
            </w:r>
          </w:p>
        </w:tc>
      </w:tr>
      <w:tr w:rsidR="00D0358B" w:rsidRPr="00F01347" w14:paraId="1762CFC3" w14:textId="3B759A64" w:rsidTr="00836FC8">
        <w:tc>
          <w:tcPr>
            <w:tcW w:w="4675" w:type="dxa"/>
          </w:tcPr>
          <w:p w14:paraId="57EC1808"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El ajuste para la curva de calibración de sulfato no es lineal, sino de tercer orden.</w:t>
            </w:r>
          </w:p>
        </w:tc>
        <w:tc>
          <w:tcPr>
            <w:tcW w:w="4675" w:type="dxa"/>
          </w:tcPr>
          <w:p w14:paraId="29B0BB82" w14:textId="5C31F067"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The fit for the sulfate calibration curve is not linear, but rather third order.</w:t>
            </w:r>
          </w:p>
        </w:tc>
      </w:tr>
      <w:tr w:rsidR="00D0358B" w:rsidRPr="00F01347" w14:paraId="7591D7C3" w14:textId="1512CA2D" w:rsidTr="00836FC8">
        <w:tc>
          <w:tcPr>
            <w:tcW w:w="4675" w:type="dxa"/>
          </w:tcPr>
          <w:p w14:paraId="44C9320C"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La verificación de la calibración durante el análisis del lote se realiza mediante la CCC.</w:t>
            </w:r>
          </w:p>
        </w:tc>
        <w:tc>
          <w:tcPr>
            <w:tcW w:w="4675" w:type="dxa"/>
          </w:tcPr>
          <w:p w14:paraId="0CE2D985" w14:textId="02E08613"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Calibration verification during batch analysis is performed using CCC.</w:t>
            </w:r>
          </w:p>
        </w:tc>
      </w:tr>
      <w:tr w:rsidR="00D0358B" w:rsidRPr="00F01347" w14:paraId="22DB72F3" w14:textId="41A90635" w:rsidTr="00836FC8">
        <w:tc>
          <w:tcPr>
            <w:tcW w:w="4675" w:type="dxa"/>
          </w:tcPr>
          <w:p w14:paraId="770F5922" w14:textId="77777777" w:rsidR="00D0358B" w:rsidRPr="00F01347" w:rsidRDefault="00D0358B" w:rsidP="00D0358B">
            <w:pPr>
              <w:pStyle w:val="texto0"/>
              <w:ind w:firstLine="0"/>
              <w:rPr>
                <w:rFonts w:ascii="Verdana" w:hAnsi="Verdana"/>
                <w:b/>
                <w:sz w:val="16"/>
                <w:szCs w:val="16"/>
              </w:rPr>
            </w:pPr>
            <w:r w:rsidRPr="00F01347">
              <w:rPr>
                <w:rFonts w:ascii="Verdana" w:hAnsi="Verdana"/>
                <w:b/>
                <w:sz w:val="16"/>
                <w:szCs w:val="16"/>
              </w:rPr>
              <w:t>B.11.2.8.4 Interferencias</w:t>
            </w:r>
          </w:p>
        </w:tc>
        <w:tc>
          <w:tcPr>
            <w:tcW w:w="4675" w:type="dxa"/>
          </w:tcPr>
          <w:p w14:paraId="0C5FF2E1" w14:textId="7A843488" w:rsidR="00D0358B" w:rsidRPr="00F01347" w:rsidRDefault="00D0358B" w:rsidP="00D0358B">
            <w:pPr>
              <w:pStyle w:val="texto0"/>
              <w:ind w:firstLine="0"/>
              <w:rPr>
                <w:rFonts w:ascii="Verdana" w:hAnsi="Verdana"/>
                <w:b/>
                <w:sz w:val="16"/>
                <w:szCs w:val="16"/>
                <w:lang w:val="en-US"/>
              </w:rPr>
            </w:pPr>
            <w:r w:rsidRPr="00F01347">
              <w:rPr>
                <w:rFonts w:ascii="Verdana" w:hAnsi="Verdana"/>
                <w:b/>
                <w:sz w:val="16"/>
                <w:szCs w:val="16"/>
                <w:lang w:val="en-US"/>
              </w:rPr>
              <w:t>B.11.2.8.4 Interference</w:t>
            </w:r>
          </w:p>
        </w:tc>
      </w:tr>
      <w:tr w:rsidR="00D0358B" w:rsidRPr="00F01347" w14:paraId="3AC20F5D" w14:textId="6BB1D83D" w:rsidTr="00836FC8">
        <w:tc>
          <w:tcPr>
            <w:tcW w:w="4675" w:type="dxa"/>
          </w:tcPr>
          <w:p w14:paraId="57D5A905"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Al tratarse de una técnica fotométrica, la turbidez en las muestras interfiere con la capacidad del detector para registrar la absorción real de la muestra, por lo cual las muestras turbias deben filtrarse antes de analizarlas.</w:t>
            </w:r>
          </w:p>
        </w:tc>
        <w:tc>
          <w:tcPr>
            <w:tcW w:w="4675" w:type="dxa"/>
          </w:tcPr>
          <w:p w14:paraId="20C17FBE" w14:textId="3CE03700"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As this is a photometric technique, turbidity in the samples interferes with the detector's ability to record the actual absorption of the sample, so turbid samples must be filtered before analysis.</w:t>
            </w:r>
          </w:p>
        </w:tc>
      </w:tr>
      <w:tr w:rsidR="00D0358B" w:rsidRPr="00F01347" w14:paraId="07D5C467" w14:textId="7B2BADD9" w:rsidTr="00836FC8">
        <w:tc>
          <w:tcPr>
            <w:tcW w:w="4675" w:type="dxa"/>
          </w:tcPr>
          <w:p w14:paraId="41D447DD"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Los cationes multivalentes en general, y particularmente los que se asemejan al bario (Ba</w:t>
            </w:r>
            <w:r w:rsidRPr="00F01347">
              <w:rPr>
                <w:rFonts w:ascii="Verdana" w:hAnsi="Verdana"/>
                <w:position w:val="4"/>
                <w:sz w:val="16"/>
                <w:szCs w:val="16"/>
              </w:rPr>
              <w:t>2+</w:t>
            </w:r>
            <w:r w:rsidRPr="00F01347">
              <w:rPr>
                <w:rFonts w:ascii="Verdana" w:hAnsi="Verdana"/>
                <w:sz w:val="16"/>
                <w:szCs w:val="16"/>
              </w:rPr>
              <w:t>) tales como el calcio (Ca</w:t>
            </w:r>
            <w:r w:rsidRPr="00F01347">
              <w:rPr>
                <w:rFonts w:ascii="Verdana" w:hAnsi="Verdana"/>
                <w:sz w:val="16"/>
                <w:szCs w:val="16"/>
                <w:vertAlign w:val="superscript"/>
              </w:rPr>
              <w:t>2+</w:t>
            </w:r>
            <w:r w:rsidRPr="00F01347">
              <w:rPr>
                <w:rFonts w:ascii="Verdana" w:hAnsi="Verdana"/>
                <w:sz w:val="16"/>
                <w:szCs w:val="16"/>
              </w:rPr>
              <w:t>) y el magnesio (Mg</w:t>
            </w:r>
            <w:r w:rsidRPr="00F01347">
              <w:rPr>
                <w:rFonts w:ascii="Verdana" w:hAnsi="Verdana"/>
                <w:sz w:val="16"/>
                <w:szCs w:val="16"/>
                <w:vertAlign w:val="superscript"/>
              </w:rPr>
              <w:t>2+</w:t>
            </w:r>
            <w:r w:rsidRPr="00F01347">
              <w:rPr>
                <w:rFonts w:ascii="Verdana" w:hAnsi="Verdana"/>
                <w:sz w:val="16"/>
                <w:szCs w:val="16"/>
              </w:rPr>
              <w:t>) generan una interferencia, por lo que pueden ser eliminados de la muestra al pasarla por la columna de intercambio catiónico.</w:t>
            </w:r>
          </w:p>
        </w:tc>
        <w:tc>
          <w:tcPr>
            <w:tcW w:w="4675" w:type="dxa"/>
          </w:tcPr>
          <w:p w14:paraId="55B952F2" w14:textId="6E0E73CA"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Multivalent cations in general, and particularly those that resemble barium (Ba</w:t>
            </w:r>
            <w:r w:rsidRPr="00F01347">
              <w:rPr>
                <w:rFonts w:ascii="Verdana" w:hAnsi="Verdana"/>
                <w:position w:val="4"/>
                <w:sz w:val="16"/>
                <w:szCs w:val="16"/>
                <w:lang w:val="en-US"/>
              </w:rPr>
              <w:t>2+</w:t>
            </w:r>
            <w:r w:rsidR="00913802" w:rsidRPr="00F01347">
              <w:rPr>
                <w:rFonts w:ascii="Verdana" w:hAnsi="Verdana"/>
                <w:position w:val="4"/>
                <w:sz w:val="16"/>
                <w:szCs w:val="16"/>
                <w:lang w:val="en-US"/>
              </w:rPr>
              <w:t>)</w:t>
            </w:r>
            <w:r w:rsidRPr="00F01347">
              <w:rPr>
                <w:rFonts w:ascii="Verdana" w:hAnsi="Verdana"/>
                <w:sz w:val="16"/>
                <w:szCs w:val="16"/>
                <w:lang w:val="en-US"/>
              </w:rPr>
              <w:t xml:space="preserve"> such as calcium (Ca</w:t>
            </w:r>
            <w:r w:rsidRPr="00F01347">
              <w:rPr>
                <w:rFonts w:ascii="Verdana" w:hAnsi="Verdana"/>
                <w:sz w:val="16"/>
                <w:szCs w:val="16"/>
                <w:vertAlign w:val="superscript"/>
                <w:lang w:val="en-US"/>
              </w:rPr>
              <w:t>2+</w:t>
            </w:r>
            <w:r w:rsidR="00913802" w:rsidRPr="00F01347">
              <w:rPr>
                <w:rFonts w:ascii="Verdana" w:hAnsi="Verdana"/>
                <w:sz w:val="16"/>
                <w:szCs w:val="16"/>
                <w:lang w:val="en-US"/>
              </w:rPr>
              <w:t>)</w:t>
            </w:r>
            <w:r w:rsidRPr="00F01347">
              <w:rPr>
                <w:rFonts w:ascii="Verdana" w:hAnsi="Verdana"/>
                <w:sz w:val="16"/>
                <w:szCs w:val="16"/>
                <w:lang w:val="en-US"/>
              </w:rPr>
              <w:t xml:space="preserve"> and magnesium (Mg</w:t>
            </w:r>
            <w:r w:rsidRPr="00F01347">
              <w:rPr>
                <w:rFonts w:ascii="Verdana" w:hAnsi="Verdana"/>
                <w:sz w:val="16"/>
                <w:szCs w:val="16"/>
                <w:vertAlign w:val="superscript"/>
                <w:lang w:val="en-US"/>
              </w:rPr>
              <w:t>2+</w:t>
            </w:r>
            <w:r w:rsidR="00913802" w:rsidRPr="00F01347">
              <w:rPr>
                <w:rFonts w:ascii="Verdana" w:hAnsi="Verdana"/>
                <w:sz w:val="16"/>
                <w:szCs w:val="16"/>
                <w:lang w:val="en-US"/>
              </w:rPr>
              <w:t>)</w:t>
            </w:r>
            <w:r w:rsidRPr="00F01347">
              <w:rPr>
                <w:rFonts w:ascii="Verdana" w:hAnsi="Verdana"/>
                <w:sz w:val="16"/>
                <w:szCs w:val="16"/>
                <w:lang w:val="en-US"/>
              </w:rPr>
              <w:t xml:space="preserve"> generate interference, so they can be eliminated from the sample by Pass it through the cation exchange column.</w:t>
            </w:r>
          </w:p>
        </w:tc>
      </w:tr>
      <w:tr w:rsidR="00D0358B" w:rsidRPr="00F01347" w14:paraId="55466924" w14:textId="47D625A8" w:rsidTr="00836FC8">
        <w:tc>
          <w:tcPr>
            <w:tcW w:w="4675" w:type="dxa"/>
          </w:tcPr>
          <w:p w14:paraId="2EDC521A"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Si el pH de la muestra es muy bajo, la concentración tan alta de iones H</w:t>
            </w:r>
            <w:r w:rsidRPr="00F01347">
              <w:rPr>
                <w:rFonts w:ascii="Verdana" w:hAnsi="Verdana"/>
                <w:position w:val="4"/>
                <w:sz w:val="16"/>
                <w:szCs w:val="16"/>
              </w:rPr>
              <w:t>+</w:t>
            </w:r>
            <w:r w:rsidRPr="00F01347">
              <w:rPr>
                <w:rFonts w:ascii="Verdana" w:hAnsi="Verdana"/>
                <w:sz w:val="16"/>
                <w:szCs w:val="16"/>
              </w:rPr>
              <w:t xml:space="preserve"> puede ocasionar la liberación de los cationes retenidos en la columna de intercambio, por lo que es necesario neutralizar las muestras cuyo pH sea menor a 2 unidades de pH.</w:t>
            </w:r>
          </w:p>
        </w:tc>
        <w:tc>
          <w:tcPr>
            <w:tcW w:w="4675" w:type="dxa"/>
          </w:tcPr>
          <w:p w14:paraId="7D6F80A2" w14:textId="414C1107"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If the pH of the sample is very low, the high concentration of H</w:t>
            </w:r>
            <w:r w:rsidRPr="00F01347">
              <w:rPr>
                <w:rFonts w:ascii="Verdana" w:hAnsi="Verdana"/>
                <w:position w:val="4"/>
                <w:sz w:val="16"/>
                <w:szCs w:val="16"/>
                <w:lang w:val="en-US"/>
              </w:rPr>
              <w:t>+</w:t>
            </w:r>
            <w:r w:rsidRPr="00F01347">
              <w:rPr>
                <w:rFonts w:ascii="Verdana" w:hAnsi="Verdana"/>
                <w:sz w:val="16"/>
                <w:szCs w:val="16"/>
                <w:lang w:val="en-US"/>
              </w:rPr>
              <w:t xml:space="preserve"> </w:t>
            </w:r>
            <w:r w:rsidR="00836FC8" w:rsidRPr="00F01347">
              <w:rPr>
                <w:rFonts w:ascii="Verdana" w:hAnsi="Verdana"/>
                <w:sz w:val="16"/>
                <w:szCs w:val="16"/>
                <w:lang w:val="en-US"/>
              </w:rPr>
              <w:t>ions can c</w:t>
            </w:r>
            <w:r w:rsidRPr="00F01347">
              <w:rPr>
                <w:rFonts w:ascii="Verdana" w:hAnsi="Verdana"/>
                <w:sz w:val="16"/>
                <w:szCs w:val="16"/>
                <w:lang w:val="en-US"/>
              </w:rPr>
              <w:t>ause the release of the cations retained in the exchange column, so it is necessary to neutralize samples whose pH is less than 2 pH units.</w:t>
            </w:r>
          </w:p>
        </w:tc>
      </w:tr>
      <w:tr w:rsidR="00D0358B" w:rsidRPr="00F01347" w14:paraId="6C08C918" w14:textId="21B1528D" w:rsidTr="00836FC8">
        <w:tc>
          <w:tcPr>
            <w:tcW w:w="4675" w:type="dxa"/>
          </w:tcPr>
          <w:p w14:paraId="093C5EAD" w14:textId="77777777" w:rsidR="00D0358B" w:rsidRPr="00F01347" w:rsidRDefault="00D0358B" w:rsidP="00D0358B">
            <w:pPr>
              <w:pStyle w:val="texto0"/>
              <w:ind w:firstLine="0"/>
              <w:rPr>
                <w:rFonts w:ascii="Verdana" w:hAnsi="Verdana"/>
                <w:b/>
                <w:sz w:val="16"/>
                <w:szCs w:val="16"/>
              </w:rPr>
            </w:pPr>
            <w:r w:rsidRPr="00F01347">
              <w:rPr>
                <w:rFonts w:ascii="Verdana" w:hAnsi="Verdana"/>
                <w:b/>
                <w:sz w:val="16"/>
                <w:szCs w:val="16"/>
              </w:rPr>
              <w:t>B.11.2.9 Seguridad y manejo de residuos</w:t>
            </w:r>
          </w:p>
        </w:tc>
        <w:tc>
          <w:tcPr>
            <w:tcW w:w="4675" w:type="dxa"/>
          </w:tcPr>
          <w:p w14:paraId="2AB8BCD2" w14:textId="161AC670" w:rsidR="00D0358B" w:rsidRPr="00F01347" w:rsidRDefault="00D0358B" w:rsidP="00D0358B">
            <w:pPr>
              <w:pStyle w:val="texto0"/>
              <w:ind w:firstLine="0"/>
              <w:rPr>
                <w:rFonts w:ascii="Verdana" w:hAnsi="Verdana"/>
                <w:b/>
                <w:sz w:val="16"/>
                <w:szCs w:val="16"/>
                <w:lang w:val="en-US"/>
              </w:rPr>
            </w:pPr>
            <w:r w:rsidRPr="00F01347">
              <w:rPr>
                <w:rFonts w:ascii="Verdana" w:hAnsi="Verdana"/>
                <w:b/>
                <w:sz w:val="16"/>
                <w:szCs w:val="16"/>
                <w:lang w:val="en-US"/>
              </w:rPr>
              <w:t>B.11.2.9 Safety and waste management</w:t>
            </w:r>
          </w:p>
        </w:tc>
      </w:tr>
      <w:tr w:rsidR="00D0358B" w:rsidRPr="00F01347" w14:paraId="2A3DD913" w14:textId="47231E9C" w:rsidTr="00836FC8">
        <w:tc>
          <w:tcPr>
            <w:tcW w:w="4675" w:type="dxa"/>
          </w:tcPr>
          <w:p w14:paraId="28178B0A" w14:textId="77777777" w:rsidR="00D0358B" w:rsidRPr="00F01347" w:rsidRDefault="00D0358B" w:rsidP="00D0358B">
            <w:pPr>
              <w:pStyle w:val="texto0"/>
              <w:ind w:firstLine="0"/>
              <w:rPr>
                <w:rFonts w:ascii="Verdana" w:hAnsi="Verdana"/>
                <w:b/>
                <w:sz w:val="16"/>
                <w:szCs w:val="16"/>
              </w:rPr>
            </w:pPr>
            <w:r w:rsidRPr="00F01347">
              <w:rPr>
                <w:rFonts w:ascii="Verdana" w:hAnsi="Verdana"/>
                <w:b/>
                <w:sz w:val="16"/>
                <w:szCs w:val="16"/>
              </w:rPr>
              <w:t>B.11.2.9.1 Seguridad</w:t>
            </w:r>
          </w:p>
        </w:tc>
        <w:tc>
          <w:tcPr>
            <w:tcW w:w="4675" w:type="dxa"/>
          </w:tcPr>
          <w:p w14:paraId="295A162C" w14:textId="1C3B640F" w:rsidR="00D0358B" w:rsidRPr="00F01347" w:rsidRDefault="00D0358B" w:rsidP="00D0358B">
            <w:pPr>
              <w:pStyle w:val="texto0"/>
              <w:ind w:firstLine="0"/>
              <w:rPr>
                <w:rFonts w:ascii="Verdana" w:hAnsi="Verdana"/>
                <w:b/>
                <w:sz w:val="16"/>
                <w:szCs w:val="16"/>
                <w:lang w:val="en-US"/>
              </w:rPr>
            </w:pPr>
            <w:r w:rsidRPr="00F01347">
              <w:rPr>
                <w:rFonts w:ascii="Verdana" w:hAnsi="Verdana"/>
                <w:b/>
                <w:sz w:val="16"/>
                <w:szCs w:val="16"/>
                <w:lang w:val="en-US"/>
              </w:rPr>
              <w:t>B.11.2.9.1 Security</w:t>
            </w:r>
          </w:p>
        </w:tc>
      </w:tr>
      <w:tr w:rsidR="00D0358B" w:rsidRPr="00F01347" w14:paraId="7AAF2800" w14:textId="372BFA2E" w:rsidTr="00836FC8">
        <w:tc>
          <w:tcPr>
            <w:tcW w:w="4675" w:type="dxa"/>
          </w:tcPr>
          <w:p w14:paraId="21BD6A99"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Cada reactivo utilizado en estos procedimientos debe ser tratado como un riesgo potencial para la salud y la exposición a estos materiales debe ser minimizada. Cada laboratorio es responsable de mantener un conocimiento de las regulaciones respecto a la manipulación segura de cualquier producto químico usado en este método. Debe ponerse a disposición de todo el personal involucrado en el análisis las hojas de datos de seguridad de los productos químicos. Debe de utilizarse equipo de protección personal apropiado para el manejo de muestras y estándares. Los estándares primarios deberán prepararse en una campana. Cuando el analista maneje altas concentraciones de compuestos tóxicos deberá utilizarse un respirador de gases tóxicos.</w:t>
            </w:r>
          </w:p>
        </w:tc>
        <w:tc>
          <w:tcPr>
            <w:tcW w:w="4675" w:type="dxa"/>
          </w:tcPr>
          <w:p w14:paraId="2D29835D" w14:textId="64E4FEE8"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 xml:space="preserve">Each reagent used in these procedures should be treated as a potential health risk and exposure to these materials should be minimized. Each laboratory is responsible for maintaining an understanding of the regulations regarding the safe handling of any chemicals used in this method. Chemical </w:t>
            </w:r>
            <w:r w:rsidR="00FE21E4" w:rsidRPr="00F01347">
              <w:rPr>
                <w:rFonts w:ascii="Verdana" w:hAnsi="Verdana"/>
                <w:sz w:val="16"/>
                <w:szCs w:val="16"/>
                <w:lang w:val="en-US"/>
              </w:rPr>
              <w:t>Safety Data Sheets</w:t>
            </w:r>
            <w:r w:rsidRPr="00F01347">
              <w:rPr>
                <w:rFonts w:ascii="Verdana" w:hAnsi="Verdana"/>
                <w:sz w:val="16"/>
                <w:szCs w:val="16"/>
                <w:lang w:val="en-US"/>
              </w:rPr>
              <w:t xml:space="preserve"> should be made available to all personnel involved in the analysis. Appropriate personal protective equipment must be used when handling samples and standards. Primary standards should be prepared in a hood. When the analyst handles high concentrations of toxic compounds, a toxic gas respirator must be used.</w:t>
            </w:r>
          </w:p>
        </w:tc>
      </w:tr>
      <w:tr w:rsidR="00D0358B" w:rsidRPr="00F01347" w14:paraId="5791736F" w14:textId="2CAB12AB" w:rsidTr="00836FC8">
        <w:tc>
          <w:tcPr>
            <w:tcW w:w="4675" w:type="dxa"/>
          </w:tcPr>
          <w:p w14:paraId="2C9E7F96"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La carcinogenicidad de todos los reactivos no ha sido determinada con precisión, por lo que cada sustancia debe tratarse como potencialmente peligrosa para la salud. La exposición a estas sustancias debe reducirse al menor nivel posible. Las muestras desconocidas pueden ser peligrosas. Manéjelas siempre con precaución extrema.</w:t>
            </w:r>
          </w:p>
        </w:tc>
        <w:tc>
          <w:tcPr>
            <w:tcW w:w="4675" w:type="dxa"/>
          </w:tcPr>
          <w:p w14:paraId="39F7FBDE" w14:textId="49C733C3"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The carcinogenicity of all reagents has not been precisely determined, so each substance must be treated as potentially hazardous to health. Exposure to these substances should be reduced to the lowest possible level. Unknown samples can be dangerous. Always handle them with extreme caution.</w:t>
            </w:r>
          </w:p>
        </w:tc>
      </w:tr>
      <w:tr w:rsidR="00D0358B" w:rsidRPr="00F01347" w14:paraId="47427D4C" w14:textId="22ADA995" w:rsidTr="00836FC8">
        <w:tc>
          <w:tcPr>
            <w:tcW w:w="4675" w:type="dxa"/>
          </w:tcPr>
          <w:p w14:paraId="02065048"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 xml:space="preserve">Cuando se trabaje con muestras desconocidas o con los reactivos empleados en este método use siempre el </w:t>
            </w:r>
            <w:r w:rsidRPr="00F01347">
              <w:rPr>
                <w:rFonts w:ascii="Verdana" w:hAnsi="Verdana"/>
                <w:sz w:val="16"/>
                <w:szCs w:val="16"/>
              </w:rPr>
              <w:lastRenderedPageBreak/>
              <w:t>equipo de seguridad adecuado como bata de trabajo, lentes de seguridad y guantes apropiados.</w:t>
            </w:r>
          </w:p>
        </w:tc>
        <w:tc>
          <w:tcPr>
            <w:tcW w:w="4675" w:type="dxa"/>
          </w:tcPr>
          <w:p w14:paraId="7B4F888D" w14:textId="7A1995E4"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lastRenderedPageBreak/>
              <w:t xml:space="preserve">When working with unknown samples or with the reagents used in this method, always use appropriate </w:t>
            </w:r>
            <w:r w:rsidRPr="00F01347">
              <w:rPr>
                <w:rFonts w:ascii="Verdana" w:hAnsi="Verdana"/>
                <w:sz w:val="16"/>
                <w:szCs w:val="16"/>
                <w:lang w:val="en-US"/>
              </w:rPr>
              <w:lastRenderedPageBreak/>
              <w:t>safety equipment such as a work gown, safety glasses and appropriate gloves.</w:t>
            </w:r>
          </w:p>
        </w:tc>
      </w:tr>
      <w:tr w:rsidR="00D0358B" w:rsidRPr="00F01347" w14:paraId="598E45E8" w14:textId="61882E21" w:rsidTr="00836FC8">
        <w:tc>
          <w:tcPr>
            <w:tcW w:w="4675" w:type="dxa"/>
          </w:tcPr>
          <w:p w14:paraId="5CCDADB8" w14:textId="77777777" w:rsidR="00D0358B" w:rsidRPr="00F01347" w:rsidRDefault="00D0358B" w:rsidP="00D0358B">
            <w:pPr>
              <w:pStyle w:val="texto0"/>
              <w:ind w:firstLine="0"/>
              <w:rPr>
                <w:rFonts w:ascii="Verdana" w:hAnsi="Verdana"/>
                <w:b/>
                <w:sz w:val="16"/>
                <w:szCs w:val="16"/>
              </w:rPr>
            </w:pPr>
            <w:r w:rsidRPr="00F01347">
              <w:rPr>
                <w:rFonts w:ascii="Verdana" w:hAnsi="Verdana"/>
                <w:b/>
                <w:sz w:val="16"/>
                <w:szCs w:val="16"/>
              </w:rPr>
              <w:lastRenderedPageBreak/>
              <w:t>B.11.2.9.2 Manejo de residuos</w:t>
            </w:r>
          </w:p>
        </w:tc>
        <w:tc>
          <w:tcPr>
            <w:tcW w:w="4675" w:type="dxa"/>
          </w:tcPr>
          <w:p w14:paraId="405E8CC4" w14:textId="42985074" w:rsidR="00D0358B" w:rsidRPr="00F01347" w:rsidRDefault="00D0358B" w:rsidP="00D0358B">
            <w:pPr>
              <w:pStyle w:val="texto0"/>
              <w:ind w:firstLine="0"/>
              <w:rPr>
                <w:rFonts w:ascii="Verdana" w:hAnsi="Verdana"/>
                <w:b/>
                <w:sz w:val="16"/>
                <w:szCs w:val="16"/>
                <w:lang w:val="en-US"/>
              </w:rPr>
            </w:pPr>
            <w:r w:rsidRPr="00F01347">
              <w:rPr>
                <w:rFonts w:ascii="Verdana" w:hAnsi="Verdana"/>
                <w:b/>
                <w:sz w:val="16"/>
                <w:szCs w:val="16"/>
                <w:lang w:val="en-US"/>
              </w:rPr>
              <w:t>B.11.2.9.2 Waste management</w:t>
            </w:r>
          </w:p>
        </w:tc>
      </w:tr>
      <w:tr w:rsidR="00D0358B" w:rsidRPr="00F01347" w14:paraId="635FB3F2" w14:textId="40B52258" w:rsidTr="00836FC8">
        <w:tc>
          <w:tcPr>
            <w:tcW w:w="4675" w:type="dxa"/>
          </w:tcPr>
          <w:p w14:paraId="421CBBDC"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Es la responsabilidad del laboratorio cumplir con todos los reglamentos federales, estatales y locales referentes al manejo de residuos, particularmente las reglas de identificación, almacenamiento y disposición de residuos peligrosos.</w:t>
            </w:r>
          </w:p>
        </w:tc>
        <w:tc>
          <w:tcPr>
            <w:tcW w:w="4675" w:type="dxa"/>
          </w:tcPr>
          <w:p w14:paraId="7FF36CA5" w14:textId="26DC11E5"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 xml:space="preserve">It is the responsibility of the laboratory to comply with all federal, </w:t>
            </w:r>
            <w:r w:rsidR="004021B3" w:rsidRPr="00F01347">
              <w:rPr>
                <w:rFonts w:ascii="Verdana" w:hAnsi="Verdana"/>
                <w:sz w:val="16"/>
                <w:szCs w:val="16"/>
                <w:lang w:val="en-US"/>
              </w:rPr>
              <w:t>state,</w:t>
            </w:r>
            <w:r w:rsidRPr="00F01347">
              <w:rPr>
                <w:rFonts w:ascii="Verdana" w:hAnsi="Verdana"/>
                <w:sz w:val="16"/>
                <w:szCs w:val="16"/>
                <w:lang w:val="en-US"/>
              </w:rPr>
              <w:t xml:space="preserve"> and local regulations regarding waste management, particularly the rules for the identification, </w:t>
            </w:r>
            <w:proofErr w:type="gramStart"/>
            <w:r w:rsidRPr="00F01347">
              <w:rPr>
                <w:rFonts w:ascii="Verdana" w:hAnsi="Verdana"/>
                <w:sz w:val="16"/>
                <w:szCs w:val="16"/>
                <w:lang w:val="en-US"/>
              </w:rPr>
              <w:t>storage</w:t>
            </w:r>
            <w:proofErr w:type="gramEnd"/>
            <w:r w:rsidRPr="00F01347">
              <w:rPr>
                <w:rFonts w:ascii="Verdana" w:hAnsi="Verdana"/>
                <w:sz w:val="16"/>
                <w:szCs w:val="16"/>
                <w:lang w:val="en-US"/>
              </w:rPr>
              <w:t xml:space="preserve"> and disposal of hazardous waste.</w:t>
            </w:r>
          </w:p>
        </w:tc>
      </w:tr>
      <w:tr w:rsidR="00D0358B" w:rsidRPr="00F01347" w14:paraId="04C721AE" w14:textId="78B1DE91" w:rsidTr="00836FC8">
        <w:tc>
          <w:tcPr>
            <w:tcW w:w="4675" w:type="dxa"/>
          </w:tcPr>
          <w:p w14:paraId="698740A0" w14:textId="77777777" w:rsidR="00D0358B" w:rsidRPr="00F01347" w:rsidRDefault="00D0358B" w:rsidP="00D0358B">
            <w:pPr>
              <w:pStyle w:val="texto0"/>
              <w:ind w:firstLine="0"/>
              <w:rPr>
                <w:rFonts w:ascii="Verdana" w:hAnsi="Verdana"/>
                <w:b/>
                <w:sz w:val="16"/>
                <w:szCs w:val="16"/>
              </w:rPr>
            </w:pPr>
            <w:r w:rsidRPr="00F01347">
              <w:rPr>
                <w:rFonts w:ascii="Verdana" w:hAnsi="Verdana"/>
                <w:b/>
                <w:sz w:val="16"/>
                <w:szCs w:val="16"/>
              </w:rPr>
              <w:t>B.11.2.10 Referencias</w:t>
            </w:r>
          </w:p>
        </w:tc>
        <w:tc>
          <w:tcPr>
            <w:tcW w:w="4675" w:type="dxa"/>
          </w:tcPr>
          <w:p w14:paraId="5AB4593C" w14:textId="5BC24E72" w:rsidR="00D0358B" w:rsidRPr="00F01347" w:rsidRDefault="00D0358B" w:rsidP="00D0358B">
            <w:pPr>
              <w:pStyle w:val="texto0"/>
              <w:ind w:firstLine="0"/>
              <w:rPr>
                <w:rFonts w:ascii="Verdana" w:hAnsi="Verdana"/>
                <w:b/>
                <w:sz w:val="16"/>
                <w:szCs w:val="16"/>
                <w:lang w:val="en-US"/>
              </w:rPr>
            </w:pPr>
            <w:r w:rsidRPr="00F01347">
              <w:rPr>
                <w:rFonts w:ascii="Verdana" w:hAnsi="Verdana"/>
                <w:b/>
                <w:sz w:val="16"/>
                <w:szCs w:val="16"/>
                <w:lang w:val="en-US"/>
              </w:rPr>
              <w:t>B.11.2.10 References</w:t>
            </w:r>
          </w:p>
        </w:tc>
      </w:tr>
      <w:tr w:rsidR="00D0358B" w:rsidRPr="00F01347" w14:paraId="1C7F46CD" w14:textId="0AB45D35" w:rsidTr="00836FC8">
        <w:tc>
          <w:tcPr>
            <w:tcW w:w="4675" w:type="dxa"/>
          </w:tcPr>
          <w:p w14:paraId="6663C4BC" w14:textId="77777777" w:rsidR="00D0358B" w:rsidRPr="00F01347" w:rsidRDefault="00D0358B" w:rsidP="00D0358B">
            <w:pPr>
              <w:pStyle w:val="texto0"/>
              <w:ind w:firstLine="0"/>
              <w:rPr>
                <w:rFonts w:ascii="Verdana" w:hAnsi="Verdana"/>
                <w:color w:val="000000"/>
                <w:sz w:val="16"/>
                <w:szCs w:val="16"/>
              </w:rPr>
            </w:pPr>
            <w:r w:rsidRPr="00F01347">
              <w:rPr>
                <w:rFonts w:ascii="Verdana" w:hAnsi="Verdana"/>
                <w:color w:val="000000"/>
                <w:sz w:val="16"/>
                <w:szCs w:val="16"/>
              </w:rPr>
              <w:t>Dirección General de Normas. NMX-AA-074-1981. Análisis de agua – Determinación del Ion Sulfato.</w:t>
            </w:r>
          </w:p>
        </w:tc>
        <w:tc>
          <w:tcPr>
            <w:tcW w:w="4675" w:type="dxa"/>
          </w:tcPr>
          <w:p w14:paraId="44686E08" w14:textId="48484780" w:rsidR="00D0358B" w:rsidRPr="00F01347" w:rsidRDefault="00D0358B" w:rsidP="00D0358B">
            <w:pPr>
              <w:pStyle w:val="texto0"/>
              <w:ind w:firstLine="0"/>
              <w:rPr>
                <w:rFonts w:ascii="Verdana" w:hAnsi="Verdana"/>
                <w:color w:val="000000"/>
                <w:sz w:val="16"/>
                <w:szCs w:val="16"/>
                <w:lang w:val="en-US"/>
              </w:rPr>
            </w:pPr>
            <w:r w:rsidRPr="00F01347">
              <w:rPr>
                <w:rFonts w:ascii="Verdana" w:hAnsi="Verdana"/>
                <w:color w:val="000000"/>
                <w:sz w:val="16"/>
                <w:szCs w:val="16"/>
                <w:lang w:val="en-US"/>
              </w:rPr>
              <w:t>General Directorate of Standards. NMX-AA-074-1981. Water analysis – Determination of the Sulfate Ion.</w:t>
            </w:r>
          </w:p>
        </w:tc>
      </w:tr>
      <w:tr w:rsidR="00D0358B" w:rsidRPr="00F01347" w14:paraId="7F3DF0DF" w14:textId="0443B924" w:rsidTr="00836FC8">
        <w:tc>
          <w:tcPr>
            <w:tcW w:w="4675" w:type="dxa"/>
          </w:tcPr>
          <w:p w14:paraId="59CBEC88" w14:textId="77777777" w:rsidR="00D0358B" w:rsidRPr="00F01347" w:rsidRDefault="00D0358B" w:rsidP="00D0358B">
            <w:pPr>
              <w:pStyle w:val="texto0"/>
              <w:ind w:firstLine="0"/>
              <w:rPr>
                <w:rFonts w:ascii="Verdana" w:hAnsi="Verdana"/>
                <w:color w:val="000000"/>
                <w:sz w:val="16"/>
                <w:szCs w:val="16"/>
              </w:rPr>
            </w:pPr>
            <w:r w:rsidRPr="00F01347">
              <w:rPr>
                <w:rFonts w:ascii="Verdana" w:hAnsi="Verdana"/>
                <w:color w:val="000000"/>
                <w:sz w:val="16"/>
                <w:szCs w:val="16"/>
              </w:rPr>
              <w:t>Dirección General de Normas. NMX-B-021-1982. Determinación de las formas de azufre en el carbón.</w:t>
            </w:r>
          </w:p>
        </w:tc>
        <w:tc>
          <w:tcPr>
            <w:tcW w:w="4675" w:type="dxa"/>
          </w:tcPr>
          <w:p w14:paraId="35225EB7" w14:textId="17EBDC68" w:rsidR="00D0358B" w:rsidRPr="00F01347" w:rsidRDefault="00D0358B" w:rsidP="00D0358B">
            <w:pPr>
              <w:pStyle w:val="texto0"/>
              <w:ind w:firstLine="0"/>
              <w:rPr>
                <w:rFonts w:ascii="Verdana" w:hAnsi="Verdana"/>
                <w:color w:val="000000"/>
                <w:sz w:val="16"/>
                <w:szCs w:val="16"/>
                <w:lang w:val="en-US"/>
              </w:rPr>
            </w:pPr>
            <w:r w:rsidRPr="00F01347">
              <w:rPr>
                <w:rFonts w:ascii="Verdana" w:hAnsi="Verdana"/>
                <w:color w:val="000000"/>
                <w:sz w:val="16"/>
                <w:szCs w:val="16"/>
                <w:lang w:val="en-US"/>
              </w:rPr>
              <w:t>General Directorate of Standards. NMX-B-021-1982. Determination of sulfur forms in coal.</w:t>
            </w:r>
          </w:p>
        </w:tc>
      </w:tr>
      <w:tr w:rsidR="00D0358B" w:rsidRPr="00F01347" w14:paraId="12A507B6" w14:textId="33BD6DCF" w:rsidTr="00836FC8">
        <w:tc>
          <w:tcPr>
            <w:tcW w:w="4675" w:type="dxa"/>
          </w:tcPr>
          <w:p w14:paraId="064EA88E" w14:textId="77777777" w:rsidR="00D0358B" w:rsidRPr="00F01347" w:rsidRDefault="00D0358B" w:rsidP="00D0358B">
            <w:pPr>
              <w:pStyle w:val="texto0"/>
              <w:ind w:firstLine="0"/>
              <w:rPr>
                <w:rFonts w:ascii="Verdana" w:hAnsi="Verdana"/>
                <w:color w:val="000000"/>
                <w:sz w:val="16"/>
                <w:szCs w:val="16"/>
                <w:lang w:val="en-US"/>
              </w:rPr>
            </w:pPr>
            <w:r w:rsidRPr="00F01347">
              <w:rPr>
                <w:rFonts w:ascii="Verdana" w:hAnsi="Verdana"/>
                <w:color w:val="000000"/>
                <w:sz w:val="16"/>
                <w:szCs w:val="16"/>
                <w:lang w:val="en-US"/>
              </w:rPr>
              <w:t>O.I. Analytical. 2008. Sulfate by Segmented Flow Analysis (SFA).</w:t>
            </w:r>
          </w:p>
        </w:tc>
        <w:tc>
          <w:tcPr>
            <w:tcW w:w="4675" w:type="dxa"/>
          </w:tcPr>
          <w:p w14:paraId="052A8022" w14:textId="4E7352A1" w:rsidR="00D0358B" w:rsidRPr="00F01347" w:rsidRDefault="00D0358B" w:rsidP="00D0358B">
            <w:pPr>
              <w:pStyle w:val="texto0"/>
              <w:ind w:firstLine="0"/>
              <w:rPr>
                <w:rFonts w:ascii="Verdana" w:hAnsi="Verdana"/>
                <w:color w:val="000000"/>
                <w:sz w:val="16"/>
                <w:szCs w:val="16"/>
                <w:lang w:val="en-US"/>
              </w:rPr>
            </w:pPr>
            <w:r w:rsidRPr="00F01347">
              <w:rPr>
                <w:rFonts w:ascii="Verdana" w:hAnsi="Verdana"/>
                <w:color w:val="000000"/>
                <w:sz w:val="16"/>
                <w:szCs w:val="16"/>
                <w:lang w:val="en-US"/>
              </w:rPr>
              <w:t>OI Analytical. 2008. Sulfate by Segmented Flow Analysis (SFA).</w:t>
            </w:r>
          </w:p>
        </w:tc>
      </w:tr>
      <w:tr w:rsidR="00D0358B" w:rsidRPr="00F01347" w14:paraId="1AA469A9" w14:textId="6A3939B1" w:rsidTr="00836FC8">
        <w:tc>
          <w:tcPr>
            <w:tcW w:w="4675" w:type="dxa"/>
          </w:tcPr>
          <w:p w14:paraId="60258677" w14:textId="77777777"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 xml:space="preserve">U.S. Environmental Protection Agency. 1986. EPA Method 9036. Sulfate (Colorimetric, Automated, </w:t>
            </w:r>
            <w:proofErr w:type="spellStart"/>
            <w:r w:rsidRPr="00F01347">
              <w:rPr>
                <w:rFonts w:ascii="Verdana" w:hAnsi="Verdana"/>
                <w:sz w:val="16"/>
                <w:szCs w:val="16"/>
                <w:lang w:val="en-US"/>
              </w:rPr>
              <w:t>Methyltimol</w:t>
            </w:r>
            <w:proofErr w:type="spellEnd"/>
            <w:r w:rsidRPr="00F01347">
              <w:rPr>
                <w:rFonts w:ascii="Verdana" w:hAnsi="Verdana"/>
                <w:sz w:val="16"/>
                <w:szCs w:val="16"/>
                <w:lang w:val="en-US"/>
              </w:rPr>
              <w:t xml:space="preserve"> Blue, AA II).</w:t>
            </w:r>
          </w:p>
        </w:tc>
        <w:tc>
          <w:tcPr>
            <w:tcW w:w="4675" w:type="dxa"/>
          </w:tcPr>
          <w:p w14:paraId="306730B7" w14:textId="3935C3F4"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US Environmental Protection Agency. 1986. EPA Method 9036. Sulfate (Colorimetric, Automated, Methylthymol Blue, AA II).</w:t>
            </w:r>
          </w:p>
        </w:tc>
      </w:tr>
      <w:tr w:rsidR="00D0358B" w:rsidRPr="00F01347" w14:paraId="423B67A3" w14:textId="2B140FED" w:rsidTr="00836FC8">
        <w:tc>
          <w:tcPr>
            <w:tcW w:w="4675" w:type="dxa"/>
          </w:tcPr>
          <w:p w14:paraId="3076377C" w14:textId="77777777" w:rsidR="00D0358B" w:rsidRPr="00F01347" w:rsidRDefault="00D0358B" w:rsidP="00D0358B">
            <w:pPr>
              <w:pStyle w:val="texto0"/>
              <w:ind w:firstLine="0"/>
              <w:jc w:val="center"/>
              <w:rPr>
                <w:rFonts w:ascii="Verdana" w:hAnsi="Verdana"/>
                <w:b/>
                <w:sz w:val="16"/>
                <w:szCs w:val="16"/>
              </w:rPr>
            </w:pPr>
            <w:r w:rsidRPr="00F01347">
              <w:rPr>
                <w:rFonts w:ascii="Verdana" w:hAnsi="Verdana"/>
                <w:b/>
                <w:sz w:val="16"/>
                <w:szCs w:val="16"/>
              </w:rPr>
              <w:t xml:space="preserve">B.12 MÉTODO DE PRUEBA PARA LA DETERMINACIÓN DE SÓLIDOS </w:t>
            </w:r>
            <w:proofErr w:type="gramStart"/>
            <w:r w:rsidRPr="00F01347">
              <w:rPr>
                <w:rFonts w:ascii="Verdana" w:hAnsi="Verdana"/>
                <w:b/>
                <w:sz w:val="16"/>
                <w:szCs w:val="16"/>
              </w:rPr>
              <w:t>DISUELTOS  TOTALES</w:t>
            </w:r>
            <w:proofErr w:type="gramEnd"/>
            <w:r w:rsidRPr="00F01347">
              <w:rPr>
                <w:rFonts w:ascii="Verdana" w:hAnsi="Verdana"/>
                <w:b/>
                <w:sz w:val="16"/>
                <w:szCs w:val="16"/>
              </w:rPr>
              <w:t xml:space="preserve"> (SDT) EN AGUA PARA USO Y CONSUMO HUMANO</w:t>
            </w:r>
          </w:p>
        </w:tc>
        <w:tc>
          <w:tcPr>
            <w:tcW w:w="4675" w:type="dxa"/>
          </w:tcPr>
          <w:p w14:paraId="3BB3BBF5" w14:textId="5EAB3CD5" w:rsidR="00D0358B" w:rsidRPr="00F01347" w:rsidRDefault="00D0358B" w:rsidP="00D0358B">
            <w:pPr>
              <w:pStyle w:val="texto0"/>
              <w:ind w:firstLine="0"/>
              <w:jc w:val="center"/>
              <w:rPr>
                <w:rFonts w:ascii="Verdana" w:hAnsi="Verdana"/>
                <w:b/>
                <w:sz w:val="16"/>
                <w:szCs w:val="16"/>
                <w:lang w:val="en-US"/>
              </w:rPr>
            </w:pPr>
            <w:r w:rsidRPr="00F01347">
              <w:rPr>
                <w:rFonts w:ascii="Verdana" w:hAnsi="Verdana"/>
                <w:b/>
                <w:sz w:val="16"/>
                <w:szCs w:val="16"/>
                <w:lang w:val="en-US"/>
              </w:rPr>
              <w:t>B.12 TEST METHOD FOR THE DETERMINATION OF TOTAL DISSOLVED SOLIDS (TDS) IN WATER FOR HUMAN USE AND CONSUMPTION</w:t>
            </w:r>
          </w:p>
        </w:tc>
      </w:tr>
      <w:tr w:rsidR="00D0358B" w:rsidRPr="00F01347" w14:paraId="36C3DE63" w14:textId="56441796" w:rsidTr="00836FC8">
        <w:tc>
          <w:tcPr>
            <w:tcW w:w="4675" w:type="dxa"/>
          </w:tcPr>
          <w:p w14:paraId="7C03BF03" w14:textId="77777777" w:rsidR="00D0358B" w:rsidRPr="00F01347" w:rsidRDefault="00D0358B" w:rsidP="00D0358B">
            <w:pPr>
              <w:pStyle w:val="texto0"/>
              <w:ind w:firstLine="0"/>
              <w:rPr>
                <w:rFonts w:ascii="Verdana" w:hAnsi="Verdana"/>
                <w:b/>
                <w:sz w:val="16"/>
                <w:szCs w:val="16"/>
              </w:rPr>
            </w:pPr>
            <w:r w:rsidRPr="00F01347">
              <w:rPr>
                <w:rFonts w:ascii="Verdana" w:hAnsi="Verdana"/>
                <w:b/>
                <w:sz w:val="16"/>
                <w:szCs w:val="16"/>
              </w:rPr>
              <w:t>B.12.1 Principio</w:t>
            </w:r>
          </w:p>
        </w:tc>
        <w:tc>
          <w:tcPr>
            <w:tcW w:w="4675" w:type="dxa"/>
          </w:tcPr>
          <w:p w14:paraId="0D49C344" w14:textId="6A49A55F" w:rsidR="00D0358B" w:rsidRPr="00F01347" w:rsidRDefault="00D0358B" w:rsidP="00D0358B">
            <w:pPr>
              <w:pStyle w:val="texto0"/>
              <w:ind w:firstLine="0"/>
              <w:rPr>
                <w:rFonts w:ascii="Verdana" w:hAnsi="Verdana"/>
                <w:b/>
                <w:sz w:val="16"/>
                <w:szCs w:val="16"/>
                <w:lang w:val="en-US"/>
              </w:rPr>
            </w:pPr>
            <w:r w:rsidRPr="00F01347">
              <w:rPr>
                <w:rFonts w:ascii="Verdana" w:hAnsi="Verdana"/>
                <w:b/>
                <w:sz w:val="16"/>
                <w:szCs w:val="16"/>
                <w:lang w:val="en-US"/>
              </w:rPr>
              <w:t>B.12.1 Principle</w:t>
            </w:r>
          </w:p>
        </w:tc>
      </w:tr>
      <w:tr w:rsidR="00D0358B" w:rsidRPr="00F01347" w14:paraId="4979B8D3" w14:textId="15F26633" w:rsidTr="00836FC8">
        <w:tc>
          <w:tcPr>
            <w:tcW w:w="4675" w:type="dxa"/>
          </w:tcPr>
          <w:p w14:paraId="13373F07"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Una muestra bien mezclada se pasa a través de un filtro de fibra de vidrio estándar y el filtrado se coloca en un recipiente llevado a peso constante mediante secado a 180 °C. El incremento en el peso del plato representa el total de sólidos disueltos (SDT). Este procedimiento puede utilizarse para el secado a otras temperaturas (103 a 105 °C).</w:t>
            </w:r>
          </w:p>
        </w:tc>
        <w:tc>
          <w:tcPr>
            <w:tcW w:w="4675" w:type="dxa"/>
          </w:tcPr>
          <w:p w14:paraId="0F476E40" w14:textId="1EB3ECCD"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A well-mixed sample is passed through a standard glass fiber filter and the filtrate is placed in a container brought to constant weight by drying at 180 °C. The increase in plate weight represents the total dissolved solids (</w:t>
            </w:r>
            <w:r w:rsidR="009F384B">
              <w:rPr>
                <w:rFonts w:ascii="Verdana" w:hAnsi="Verdana"/>
                <w:sz w:val="16"/>
                <w:szCs w:val="16"/>
                <w:lang w:val="en-US"/>
              </w:rPr>
              <w:t>SDT</w:t>
            </w:r>
            <w:r w:rsidRPr="00F01347">
              <w:rPr>
                <w:rFonts w:ascii="Verdana" w:hAnsi="Verdana"/>
                <w:sz w:val="16"/>
                <w:szCs w:val="16"/>
                <w:lang w:val="en-US"/>
              </w:rPr>
              <w:t>). This procedure can be used for drying at other temperatures (103 to 105 °C).</w:t>
            </w:r>
          </w:p>
        </w:tc>
      </w:tr>
      <w:tr w:rsidR="00D0358B" w:rsidRPr="00F01347" w14:paraId="67759AFB" w14:textId="73E077EC" w:rsidTr="00836FC8">
        <w:tc>
          <w:tcPr>
            <w:tcW w:w="4675" w:type="dxa"/>
          </w:tcPr>
          <w:p w14:paraId="5DB442DA" w14:textId="77777777" w:rsidR="00D0358B" w:rsidRPr="00F01347" w:rsidRDefault="00D0358B" w:rsidP="00D0358B">
            <w:pPr>
              <w:pStyle w:val="texto0"/>
              <w:ind w:firstLine="0"/>
              <w:rPr>
                <w:rFonts w:ascii="Verdana" w:hAnsi="Verdana"/>
                <w:b/>
                <w:sz w:val="16"/>
                <w:szCs w:val="16"/>
              </w:rPr>
            </w:pPr>
            <w:r w:rsidRPr="00F01347">
              <w:rPr>
                <w:rFonts w:ascii="Verdana" w:hAnsi="Verdana"/>
                <w:b/>
                <w:sz w:val="16"/>
                <w:szCs w:val="16"/>
              </w:rPr>
              <w:t>B.12.2 Alcance y aplicación</w:t>
            </w:r>
          </w:p>
        </w:tc>
        <w:tc>
          <w:tcPr>
            <w:tcW w:w="4675" w:type="dxa"/>
          </w:tcPr>
          <w:p w14:paraId="0565871C" w14:textId="6A932E6E" w:rsidR="00D0358B" w:rsidRPr="00F01347" w:rsidRDefault="00D0358B" w:rsidP="00D0358B">
            <w:pPr>
              <w:pStyle w:val="texto0"/>
              <w:ind w:firstLine="0"/>
              <w:rPr>
                <w:rFonts w:ascii="Verdana" w:hAnsi="Verdana"/>
                <w:b/>
                <w:sz w:val="16"/>
                <w:szCs w:val="16"/>
                <w:lang w:val="en-US"/>
              </w:rPr>
            </w:pPr>
            <w:r w:rsidRPr="00F01347">
              <w:rPr>
                <w:rFonts w:ascii="Verdana" w:hAnsi="Verdana"/>
                <w:b/>
                <w:sz w:val="16"/>
                <w:szCs w:val="16"/>
                <w:lang w:val="en-US"/>
              </w:rPr>
              <w:t>B.12.2 Scope and application</w:t>
            </w:r>
          </w:p>
        </w:tc>
      </w:tr>
      <w:tr w:rsidR="00D0358B" w:rsidRPr="00F01347" w14:paraId="712E3928" w14:textId="7BC891EB" w:rsidTr="00836FC8">
        <w:tc>
          <w:tcPr>
            <w:tcW w:w="4675" w:type="dxa"/>
          </w:tcPr>
          <w:p w14:paraId="25C77DB4"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Este método es utilizado para la determinación de sólidos disueltos totales secados a 180°C en agua para uso y consumo humano.</w:t>
            </w:r>
          </w:p>
        </w:tc>
        <w:tc>
          <w:tcPr>
            <w:tcW w:w="4675" w:type="dxa"/>
          </w:tcPr>
          <w:p w14:paraId="5892D104" w14:textId="2B69183D"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This method is used for the determination of total dissolved solids dried at 180°C in water for human use and consumption.</w:t>
            </w:r>
          </w:p>
        </w:tc>
      </w:tr>
      <w:tr w:rsidR="00D0358B" w:rsidRPr="00F01347" w14:paraId="435770C2" w14:textId="1C869955" w:rsidTr="00836FC8">
        <w:tc>
          <w:tcPr>
            <w:tcW w:w="4675" w:type="dxa"/>
          </w:tcPr>
          <w:p w14:paraId="15539A69" w14:textId="77777777" w:rsidR="00D0358B" w:rsidRPr="00F01347" w:rsidRDefault="00D0358B" w:rsidP="00D0358B">
            <w:pPr>
              <w:pStyle w:val="texto0"/>
              <w:spacing w:line="220" w:lineRule="exact"/>
              <w:ind w:firstLine="0"/>
              <w:rPr>
                <w:rFonts w:ascii="Verdana" w:hAnsi="Verdana"/>
                <w:b/>
                <w:sz w:val="16"/>
                <w:szCs w:val="16"/>
              </w:rPr>
            </w:pPr>
            <w:r w:rsidRPr="00F01347">
              <w:rPr>
                <w:rFonts w:ascii="Verdana" w:hAnsi="Verdana"/>
                <w:b/>
                <w:sz w:val="16"/>
                <w:szCs w:val="16"/>
              </w:rPr>
              <w:t>B.12.3 Equipos y materiales</w:t>
            </w:r>
          </w:p>
        </w:tc>
        <w:tc>
          <w:tcPr>
            <w:tcW w:w="4675" w:type="dxa"/>
          </w:tcPr>
          <w:p w14:paraId="72B51CCE" w14:textId="79D3B3AC"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B.12.3 Equipment and materials</w:t>
            </w:r>
          </w:p>
        </w:tc>
      </w:tr>
      <w:tr w:rsidR="00D0358B" w:rsidRPr="00F01347" w14:paraId="2CB323A1" w14:textId="36375DB7" w:rsidTr="00836FC8">
        <w:tc>
          <w:tcPr>
            <w:tcW w:w="4675" w:type="dxa"/>
          </w:tcPr>
          <w:p w14:paraId="0C8D8850"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sz w:val="16"/>
                <w:szCs w:val="16"/>
              </w:rPr>
              <w:t>Sólo se mencionan los equipos y materiales que no son de uso común en el laboratorio analítico. Todo el material volumétrico utilizado debe ser clase A o estar verificada su calibración</w:t>
            </w:r>
          </w:p>
        </w:tc>
        <w:tc>
          <w:tcPr>
            <w:tcW w:w="4675" w:type="dxa"/>
          </w:tcPr>
          <w:p w14:paraId="05130762" w14:textId="49A0D3AE" w:rsidR="00D0358B" w:rsidRPr="00F01347" w:rsidRDefault="00D0358B" w:rsidP="00D0358B">
            <w:pPr>
              <w:pStyle w:val="texto0"/>
              <w:spacing w:line="220" w:lineRule="exact"/>
              <w:ind w:firstLine="0"/>
              <w:rPr>
                <w:rFonts w:ascii="Verdana" w:hAnsi="Verdana"/>
                <w:sz w:val="16"/>
                <w:szCs w:val="16"/>
                <w:lang w:val="en-US"/>
              </w:rPr>
            </w:pPr>
            <w:r w:rsidRPr="00F01347">
              <w:rPr>
                <w:rFonts w:ascii="Verdana" w:hAnsi="Verdana"/>
                <w:sz w:val="16"/>
                <w:szCs w:val="16"/>
                <w:lang w:val="en-US"/>
              </w:rPr>
              <w:t>Only equipment and materials that are not commonly used in the analytical laboratory are mentioned. All volumetric material used must be class A or its calibration verified.</w:t>
            </w:r>
          </w:p>
        </w:tc>
      </w:tr>
      <w:tr w:rsidR="00D0358B" w:rsidRPr="00F01347" w14:paraId="693BEB0B" w14:textId="6E8162B5" w:rsidTr="00836FC8">
        <w:tc>
          <w:tcPr>
            <w:tcW w:w="4675" w:type="dxa"/>
          </w:tcPr>
          <w:p w14:paraId="6F6AA4A9"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b/>
                <w:sz w:val="16"/>
                <w:szCs w:val="16"/>
              </w:rPr>
              <w:t>Agitador magnético</w:t>
            </w:r>
            <w:r w:rsidRPr="00F01347">
              <w:rPr>
                <w:rFonts w:ascii="Verdana" w:hAnsi="Verdana"/>
                <w:sz w:val="16"/>
                <w:szCs w:val="16"/>
              </w:rPr>
              <w:t xml:space="preserve"> con barra de agitación TFE.</w:t>
            </w:r>
          </w:p>
        </w:tc>
        <w:tc>
          <w:tcPr>
            <w:tcW w:w="4675" w:type="dxa"/>
          </w:tcPr>
          <w:p w14:paraId="74B4A187" w14:textId="39E5A057"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Magnetic stirrer </w:t>
            </w:r>
            <w:r w:rsidRPr="00F01347">
              <w:rPr>
                <w:rFonts w:ascii="Verdana" w:hAnsi="Verdana"/>
                <w:sz w:val="16"/>
                <w:szCs w:val="16"/>
                <w:lang w:val="en-US"/>
              </w:rPr>
              <w:t>with TFE stirring bar.</w:t>
            </w:r>
          </w:p>
        </w:tc>
      </w:tr>
      <w:tr w:rsidR="00D0358B" w:rsidRPr="00F01347" w14:paraId="48AA3FD8" w14:textId="4B066D0B" w:rsidTr="00836FC8">
        <w:tc>
          <w:tcPr>
            <w:tcW w:w="4675" w:type="dxa"/>
          </w:tcPr>
          <w:p w14:paraId="3AB4E461"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b/>
                <w:sz w:val="16"/>
                <w:szCs w:val="16"/>
              </w:rPr>
              <w:t>Balanza analítica</w:t>
            </w:r>
          </w:p>
        </w:tc>
        <w:tc>
          <w:tcPr>
            <w:tcW w:w="4675" w:type="dxa"/>
          </w:tcPr>
          <w:p w14:paraId="50922A84" w14:textId="3944F330"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t>Analytical balance</w:t>
            </w:r>
          </w:p>
        </w:tc>
      </w:tr>
      <w:tr w:rsidR="00D0358B" w:rsidRPr="00F01347" w14:paraId="703DF4C8" w14:textId="172AD7A3" w:rsidTr="00836FC8">
        <w:tc>
          <w:tcPr>
            <w:tcW w:w="4675" w:type="dxa"/>
          </w:tcPr>
          <w:p w14:paraId="46601CCE" w14:textId="77777777" w:rsidR="00D0358B" w:rsidRPr="00F01347" w:rsidRDefault="00D0358B" w:rsidP="00D0358B">
            <w:pPr>
              <w:pStyle w:val="texto0"/>
              <w:spacing w:line="220" w:lineRule="exact"/>
              <w:ind w:firstLine="0"/>
              <w:rPr>
                <w:rFonts w:ascii="Verdana" w:hAnsi="Verdana"/>
                <w:b/>
                <w:sz w:val="16"/>
                <w:szCs w:val="16"/>
              </w:rPr>
            </w:pPr>
            <w:r w:rsidRPr="00F01347">
              <w:rPr>
                <w:rFonts w:ascii="Verdana" w:hAnsi="Verdana"/>
                <w:b/>
                <w:sz w:val="16"/>
                <w:szCs w:val="16"/>
              </w:rPr>
              <w:t>Baño de vapor</w:t>
            </w:r>
          </w:p>
        </w:tc>
        <w:tc>
          <w:tcPr>
            <w:tcW w:w="4675" w:type="dxa"/>
          </w:tcPr>
          <w:p w14:paraId="619F3A7D" w14:textId="25323A27"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t>Steam bath</w:t>
            </w:r>
          </w:p>
        </w:tc>
      </w:tr>
      <w:tr w:rsidR="00D0358B" w:rsidRPr="00F01347" w14:paraId="4376C046" w14:textId="6F09AACF" w:rsidTr="00836FC8">
        <w:tc>
          <w:tcPr>
            <w:tcW w:w="4675" w:type="dxa"/>
          </w:tcPr>
          <w:p w14:paraId="13E496B8"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b/>
                <w:sz w:val="16"/>
                <w:szCs w:val="16"/>
              </w:rPr>
              <w:t>Desecador</w:t>
            </w:r>
            <w:r w:rsidRPr="00F01347">
              <w:rPr>
                <w:rFonts w:ascii="Verdana" w:hAnsi="Verdana"/>
                <w:sz w:val="16"/>
                <w:szCs w:val="16"/>
              </w:rPr>
              <w:t>, provisto de un desecante que contiene un indicador de color para la concentración de humedad o un indicador instrumental.</w:t>
            </w:r>
          </w:p>
        </w:tc>
        <w:tc>
          <w:tcPr>
            <w:tcW w:w="4675" w:type="dxa"/>
          </w:tcPr>
          <w:p w14:paraId="60EACB4C" w14:textId="0D814F4A"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t>Desiccator</w:t>
            </w:r>
            <w:r w:rsidR="003E1BA9" w:rsidRPr="00F01347">
              <w:rPr>
                <w:rFonts w:ascii="Verdana" w:hAnsi="Verdana"/>
                <w:b/>
                <w:sz w:val="16"/>
                <w:szCs w:val="16"/>
                <w:lang w:val="en-US"/>
              </w:rPr>
              <w:t>,</w:t>
            </w:r>
            <w:r w:rsidRPr="00F01347">
              <w:rPr>
                <w:rFonts w:ascii="Verdana" w:hAnsi="Verdana"/>
                <w:sz w:val="16"/>
                <w:szCs w:val="16"/>
                <w:lang w:val="en-US"/>
              </w:rPr>
              <w:t xml:space="preserve"> provided with a desiccant containing a color indicator for moisture concentration or an instrumental indicator.</w:t>
            </w:r>
          </w:p>
        </w:tc>
      </w:tr>
      <w:tr w:rsidR="00D0358B" w:rsidRPr="00F01347" w14:paraId="4D58E529" w14:textId="6E374D0B" w:rsidTr="00836FC8">
        <w:tc>
          <w:tcPr>
            <w:tcW w:w="4675" w:type="dxa"/>
          </w:tcPr>
          <w:p w14:paraId="3DBB1672"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b/>
                <w:sz w:val="16"/>
                <w:szCs w:val="16"/>
              </w:rPr>
              <w:t>Discos filtrantes</w:t>
            </w:r>
            <w:r w:rsidRPr="00F01347">
              <w:rPr>
                <w:rFonts w:ascii="Verdana" w:hAnsi="Verdana"/>
                <w:sz w:val="16"/>
                <w:szCs w:val="16"/>
              </w:rPr>
              <w:t xml:space="preserve"> de fibra de vidrio sin aglutinante orgánico.</w:t>
            </w:r>
          </w:p>
        </w:tc>
        <w:tc>
          <w:tcPr>
            <w:tcW w:w="4675" w:type="dxa"/>
          </w:tcPr>
          <w:p w14:paraId="5A939A40" w14:textId="427D60D4"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bCs/>
                <w:sz w:val="16"/>
                <w:szCs w:val="16"/>
                <w:lang w:val="en-US"/>
              </w:rPr>
              <w:t>Fiberglass</w:t>
            </w:r>
            <w:r w:rsidRPr="00F01347">
              <w:rPr>
                <w:rFonts w:ascii="Verdana" w:hAnsi="Verdana"/>
                <w:sz w:val="16"/>
                <w:szCs w:val="16"/>
                <w:lang w:val="en-US"/>
              </w:rPr>
              <w:t xml:space="preserve"> </w:t>
            </w:r>
            <w:r w:rsidRPr="00F01347">
              <w:rPr>
                <w:rFonts w:ascii="Verdana" w:hAnsi="Verdana"/>
                <w:b/>
                <w:sz w:val="16"/>
                <w:szCs w:val="16"/>
                <w:lang w:val="en-US"/>
              </w:rPr>
              <w:t xml:space="preserve">filter discs </w:t>
            </w:r>
            <w:r w:rsidRPr="00F01347">
              <w:rPr>
                <w:rFonts w:ascii="Verdana" w:hAnsi="Verdana"/>
                <w:bCs/>
                <w:sz w:val="16"/>
                <w:szCs w:val="16"/>
                <w:lang w:val="en-US"/>
              </w:rPr>
              <w:t>without organic binder.</w:t>
            </w:r>
          </w:p>
        </w:tc>
      </w:tr>
      <w:tr w:rsidR="00D0358B" w:rsidRPr="00F01347" w14:paraId="7A9A25B7" w14:textId="1F11EC1B" w:rsidTr="00836FC8">
        <w:tc>
          <w:tcPr>
            <w:tcW w:w="4675" w:type="dxa"/>
          </w:tcPr>
          <w:p w14:paraId="665C3640"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b/>
                <w:sz w:val="16"/>
                <w:szCs w:val="16"/>
              </w:rPr>
              <w:t>Dispositivo de filtración</w:t>
            </w:r>
            <w:r w:rsidRPr="00F01347">
              <w:rPr>
                <w:rFonts w:ascii="Verdana" w:hAnsi="Verdana"/>
                <w:sz w:val="16"/>
                <w:szCs w:val="16"/>
              </w:rPr>
              <w:t xml:space="preserve">, adecuado para el disco de filtro seleccionado, pudiendo ser embudo de filtro de membrana; crisol </w:t>
            </w:r>
            <w:proofErr w:type="spellStart"/>
            <w:r w:rsidRPr="00F01347">
              <w:rPr>
                <w:rFonts w:ascii="Verdana" w:hAnsi="Verdana"/>
                <w:sz w:val="16"/>
                <w:szCs w:val="16"/>
              </w:rPr>
              <w:t>Gooch</w:t>
            </w:r>
            <w:proofErr w:type="spellEnd"/>
            <w:r w:rsidRPr="00F01347">
              <w:rPr>
                <w:rFonts w:ascii="Verdana" w:hAnsi="Verdana"/>
                <w:sz w:val="16"/>
                <w:szCs w:val="16"/>
              </w:rPr>
              <w:t xml:space="preserve"> de 25 a 40 </w:t>
            </w:r>
            <w:proofErr w:type="spellStart"/>
            <w:r w:rsidRPr="00F01347">
              <w:rPr>
                <w:rFonts w:ascii="Verdana" w:hAnsi="Verdana"/>
                <w:sz w:val="16"/>
                <w:szCs w:val="16"/>
              </w:rPr>
              <w:t>mL</w:t>
            </w:r>
            <w:proofErr w:type="spellEnd"/>
            <w:r w:rsidRPr="00F01347">
              <w:rPr>
                <w:rFonts w:ascii="Verdana" w:hAnsi="Verdana"/>
                <w:sz w:val="16"/>
                <w:szCs w:val="16"/>
              </w:rPr>
              <w:t xml:space="preserve"> de capacidad, </w:t>
            </w:r>
            <w:r w:rsidRPr="00F01347">
              <w:rPr>
                <w:rFonts w:ascii="Verdana" w:hAnsi="Verdana"/>
                <w:sz w:val="16"/>
                <w:szCs w:val="16"/>
              </w:rPr>
              <w:lastRenderedPageBreak/>
              <w:t xml:space="preserve">con el adaptador de crisol </w:t>
            </w:r>
            <w:proofErr w:type="spellStart"/>
            <w:r w:rsidRPr="00F01347">
              <w:rPr>
                <w:rFonts w:ascii="Verdana" w:hAnsi="Verdana"/>
                <w:sz w:val="16"/>
                <w:szCs w:val="16"/>
              </w:rPr>
              <w:t>Gooch</w:t>
            </w:r>
            <w:proofErr w:type="spellEnd"/>
            <w:r w:rsidRPr="00F01347">
              <w:rPr>
                <w:rFonts w:ascii="Verdana" w:hAnsi="Verdana"/>
                <w:sz w:val="16"/>
                <w:szCs w:val="16"/>
              </w:rPr>
              <w:t>; o aparato de filtración con depósito y disco fritado grueso (40-60 µm) como filtro de apoyo.</w:t>
            </w:r>
          </w:p>
        </w:tc>
        <w:tc>
          <w:tcPr>
            <w:tcW w:w="4675" w:type="dxa"/>
          </w:tcPr>
          <w:p w14:paraId="0D9B9630" w14:textId="565B7F04"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lastRenderedPageBreak/>
              <w:t>Filtration device</w:t>
            </w:r>
            <w:r w:rsidR="003E1BA9" w:rsidRPr="00F01347">
              <w:rPr>
                <w:rFonts w:ascii="Verdana" w:hAnsi="Verdana"/>
                <w:b/>
                <w:sz w:val="16"/>
                <w:szCs w:val="16"/>
                <w:lang w:val="en-US"/>
              </w:rPr>
              <w:t>,</w:t>
            </w:r>
            <w:r w:rsidRPr="00F01347">
              <w:rPr>
                <w:rFonts w:ascii="Verdana" w:hAnsi="Verdana"/>
                <w:sz w:val="16"/>
                <w:szCs w:val="16"/>
                <w:lang w:val="en-US"/>
              </w:rPr>
              <w:t xml:space="preserve"> suitable for the selected filter disc, which may be a membrane filter funnel; Gooch crucible of 25 to 40 mL capacity, with the Gooch crucible </w:t>
            </w:r>
            <w:r w:rsidRPr="00F01347">
              <w:rPr>
                <w:rFonts w:ascii="Verdana" w:hAnsi="Verdana"/>
                <w:sz w:val="16"/>
                <w:szCs w:val="16"/>
                <w:lang w:val="en-US"/>
              </w:rPr>
              <w:lastRenderedPageBreak/>
              <w:t>adapter; or filtration apparatus with tank and thick fritted disc (40-60 µm) as a support filter.</w:t>
            </w:r>
          </w:p>
        </w:tc>
      </w:tr>
      <w:tr w:rsidR="00D0358B" w:rsidRPr="00F01347" w14:paraId="22284BEA" w14:textId="3BB724D2" w:rsidTr="00836FC8">
        <w:tc>
          <w:tcPr>
            <w:tcW w:w="4675" w:type="dxa"/>
          </w:tcPr>
          <w:p w14:paraId="06A5CFFA"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b/>
                <w:sz w:val="16"/>
                <w:szCs w:val="16"/>
              </w:rPr>
              <w:lastRenderedPageBreak/>
              <w:t>Recipiente receptor del filtrado aplicando vacío</w:t>
            </w:r>
            <w:r w:rsidRPr="00F01347">
              <w:rPr>
                <w:rFonts w:ascii="Verdana" w:hAnsi="Verdana"/>
                <w:sz w:val="16"/>
                <w:szCs w:val="16"/>
              </w:rPr>
              <w:t>, de capacidad adecuada para el volumen total de muestra seleccionado y enjuagues.</w:t>
            </w:r>
          </w:p>
        </w:tc>
        <w:tc>
          <w:tcPr>
            <w:tcW w:w="4675" w:type="dxa"/>
          </w:tcPr>
          <w:p w14:paraId="7C0C59C3" w14:textId="1A0508DA"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t>Filtrate receiving container applying vacuum</w:t>
            </w:r>
            <w:r w:rsidR="003E1BA9" w:rsidRPr="00F01347">
              <w:rPr>
                <w:rFonts w:ascii="Verdana" w:hAnsi="Verdana"/>
                <w:b/>
                <w:sz w:val="16"/>
                <w:szCs w:val="16"/>
                <w:lang w:val="en-US"/>
              </w:rPr>
              <w:t>,</w:t>
            </w:r>
            <w:r w:rsidRPr="00F01347">
              <w:rPr>
                <w:rFonts w:ascii="Verdana" w:hAnsi="Verdana"/>
                <w:sz w:val="16"/>
                <w:szCs w:val="16"/>
                <w:lang w:val="en-US"/>
              </w:rPr>
              <w:t xml:space="preserve"> of adequate capacity for the total volume of sample selected and rinses.</w:t>
            </w:r>
          </w:p>
        </w:tc>
      </w:tr>
      <w:tr w:rsidR="00D0358B" w:rsidRPr="00F01347" w14:paraId="1C4AF2EA" w14:textId="0B3B30AA" w:rsidTr="00836FC8">
        <w:tc>
          <w:tcPr>
            <w:tcW w:w="4675" w:type="dxa"/>
          </w:tcPr>
          <w:p w14:paraId="7EF51C48"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b/>
                <w:sz w:val="16"/>
                <w:szCs w:val="16"/>
              </w:rPr>
              <w:t>Horno de secado</w:t>
            </w:r>
            <w:r w:rsidRPr="00F01347">
              <w:rPr>
                <w:rFonts w:ascii="Verdana" w:hAnsi="Verdana"/>
                <w:sz w:val="16"/>
                <w:szCs w:val="16"/>
              </w:rPr>
              <w:t>, para funcionamiento a 180±2°C (o 103 a 105 °C).</w:t>
            </w:r>
          </w:p>
        </w:tc>
        <w:tc>
          <w:tcPr>
            <w:tcW w:w="4675" w:type="dxa"/>
          </w:tcPr>
          <w:p w14:paraId="78C69C25" w14:textId="58256FF8"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t>Drying oven</w:t>
            </w:r>
            <w:r w:rsidR="003E1BA9" w:rsidRPr="00F01347">
              <w:rPr>
                <w:rFonts w:ascii="Verdana" w:hAnsi="Verdana"/>
                <w:b/>
                <w:sz w:val="16"/>
                <w:szCs w:val="16"/>
                <w:lang w:val="en-US"/>
              </w:rPr>
              <w:t>,</w:t>
            </w:r>
            <w:r w:rsidRPr="00F01347">
              <w:rPr>
                <w:rFonts w:ascii="Verdana" w:hAnsi="Verdana"/>
                <w:sz w:val="16"/>
                <w:szCs w:val="16"/>
                <w:lang w:val="en-US"/>
              </w:rPr>
              <w:t xml:space="preserve"> for operation at 180±2°C (or 103 to 105°C).</w:t>
            </w:r>
          </w:p>
        </w:tc>
      </w:tr>
      <w:tr w:rsidR="00D0358B" w:rsidRPr="00F01347" w14:paraId="2E91C002" w14:textId="558812D7" w:rsidTr="00836FC8">
        <w:tc>
          <w:tcPr>
            <w:tcW w:w="4675" w:type="dxa"/>
          </w:tcPr>
          <w:p w14:paraId="0255BF1F" w14:textId="77777777" w:rsidR="00D0358B" w:rsidRPr="00F01347" w:rsidRDefault="00D0358B" w:rsidP="00D0358B">
            <w:pPr>
              <w:pStyle w:val="texto0"/>
              <w:spacing w:line="220" w:lineRule="exact"/>
              <w:ind w:firstLine="0"/>
              <w:rPr>
                <w:rFonts w:ascii="Verdana" w:hAnsi="Verdana"/>
                <w:b/>
                <w:sz w:val="16"/>
                <w:szCs w:val="16"/>
              </w:rPr>
            </w:pPr>
            <w:r w:rsidRPr="00F01347">
              <w:rPr>
                <w:rFonts w:ascii="Verdana" w:hAnsi="Verdana"/>
                <w:b/>
                <w:sz w:val="16"/>
                <w:szCs w:val="16"/>
              </w:rPr>
              <w:t>Pipetas volumétricas</w:t>
            </w:r>
          </w:p>
        </w:tc>
        <w:tc>
          <w:tcPr>
            <w:tcW w:w="4675" w:type="dxa"/>
          </w:tcPr>
          <w:p w14:paraId="6047B2A5" w14:textId="33600F72"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t>Volumetric pipettes</w:t>
            </w:r>
          </w:p>
        </w:tc>
      </w:tr>
      <w:tr w:rsidR="00D0358B" w:rsidRPr="00F01347" w14:paraId="4E8C280A" w14:textId="713144C3" w:rsidTr="00836FC8">
        <w:tc>
          <w:tcPr>
            <w:tcW w:w="4675" w:type="dxa"/>
          </w:tcPr>
          <w:p w14:paraId="287FEBF7"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b/>
                <w:sz w:val="16"/>
                <w:szCs w:val="16"/>
              </w:rPr>
              <w:t>Platos de evaporación</w:t>
            </w:r>
            <w:r w:rsidRPr="00F01347">
              <w:rPr>
                <w:rFonts w:ascii="Verdana" w:hAnsi="Verdana"/>
                <w:sz w:val="16"/>
                <w:szCs w:val="16"/>
              </w:rPr>
              <w:t>, platos, crisoles o cápsulas de 100mL de capacidad de porcelana, de níquel, de platino o de vidrio alto en sílice, de 90 mm de diámetro.</w:t>
            </w:r>
          </w:p>
        </w:tc>
        <w:tc>
          <w:tcPr>
            <w:tcW w:w="4675" w:type="dxa"/>
          </w:tcPr>
          <w:p w14:paraId="0A27E614" w14:textId="39C06DE8"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t>Evaporation dishes</w:t>
            </w:r>
            <w:r w:rsidR="003E1BA9" w:rsidRPr="00F01347">
              <w:rPr>
                <w:rFonts w:ascii="Verdana" w:hAnsi="Verdana"/>
                <w:b/>
                <w:sz w:val="16"/>
                <w:szCs w:val="16"/>
                <w:lang w:val="en-US"/>
              </w:rPr>
              <w:t>,</w:t>
            </w:r>
            <w:r w:rsidRPr="00F01347">
              <w:rPr>
                <w:rFonts w:ascii="Verdana" w:hAnsi="Verdana"/>
                <w:sz w:val="16"/>
                <w:szCs w:val="16"/>
                <w:lang w:val="en-US"/>
              </w:rPr>
              <w:t xml:space="preserve"> plates, </w:t>
            </w:r>
            <w:r w:rsidR="006F0389" w:rsidRPr="00F01347">
              <w:rPr>
                <w:rFonts w:ascii="Verdana" w:hAnsi="Verdana"/>
                <w:sz w:val="16"/>
                <w:szCs w:val="16"/>
                <w:lang w:val="en-US"/>
              </w:rPr>
              <w:t>crucibles,</w:t>
            </w:r>
            <w:r w:rsidRPr="00F01347">
              <w:rPr>
                <w:rFonts w:ascii="Verdana" w:hAnsi="Verdana"/>
                <w:sz w:val="16"/>
                <w:szCs w:val="16"/>
                <w:lang w:val="en-US"/>
              </w:rPr>
              <w:t xml:space="preserve"> or capsules with a capacity of 100 mL made of porcelain, nickel, platinum or high-silica glass, 90 mm in diameter.</w:t>
            </w:r>
          </w:p>
        </w:tc>
      </w:tr>
      <w:tr w:rsidR="00D0358B" w:rsidRPr="00F01347" w14:paraId="0E388F78" w14:textId="480A25BD" w:rsidTr="00836FC8">
        <w:tc>
          <w:tcPr>
            <w:tcW w:w="4675" w:type="dxa"/>
          </w:tcPr>
          <w:p w14:paraId="71E8E225" w14:textId="77777777" w:rsidR="00D0358B" w:rsidRPr="00F01347" w:rsidRDefault="00D0358B" w:rsidP="00D0358B">
            <w:pPr>
              <w:pStyle w:val="texto0"/>
              <w:spacing w:line="220" w:lineRule="exact"/>
              <w:ind w:firstLine="0"/>
              <w:rPr>
                <w:rFonts w:ascii="Verdana" w:hAnsi="Verdana"/>
                <w:b/>
                <w:sz w:val="16"/>
                <w:szCs w:val="16"/>
              </w:rPr>
            </w:pPr>
            <w:r w:rsidRPr="00F01347">
              <w:rPr>
                <w:rFonts w:ascii="Verdana" w:hAnsi="Verdana"/>
                <w:b/>
                <w:sz w:val="16"/>
                <w:szCs w:val="16"/>
              </w:rPr>
              <w:t>B.12.4 Procedimiento</w:t>
            </w:r>
          </w:p>
        </w:tc>
        <w:tc>
          <w:tcPr>
            <w:tcW w:w="4675" w:type="dxa"/>
          </w:tcPr>
          <w:p w14:paraId="4856A4C4" w14:textId="56F2602D"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B.12.4 Procedure</w:t>
            </w:r>
          </w:p>
        </w:tc>
      </w:tr>
      <w:tr w:rsidR="00D0358B" w:rsidRPr="00F01347" w14:paraId="204CDCA9" w14:textId="7B54B2C4" w:rsidTr="00836FC8">
        <w:tc>
          <w:tcPr>
            <w:tcW w:w="4675" w:type="dxa"/>
          </w:tcPr>
          <w:p w14:paraId="2AE4A2F8" w14:textId="77777777" w:rsidR="00D0358B" w:rsidRPr="00F01347" w:rsidRDefault="00D0358B" w:rsidP="00D0358B">
            <w:pPr>
              <w:pStyle w:val="texto0"/>
              <w:spacing w:line="220" w:lineRule="exact"/>
              <w:ind w:firstLine="0"/>
              <w:rPr>
                <w:rFonts w:ascii="Verdana" w:hAnsi="Verdana"/>
                <w:b/>
                <w:sz w:val="16"/>
                <w:szCs w:val="16"/>
              </w:rPr>
            </w:pPr>
            <w:r w:rsidRPr="00F01347">
              <w:rPr>
                <w:rFonts w:ascii="Verdana" w:hAnsi="Verdana"/>
                <w:b/>
                <w:sz w:val="16"/>
                <w:szCs w:val="16"/>
              </w:rPr>
              <w:t>B.12.4.1 Preparación del disco de filtro de fibra de vidrio</w:t>
            </w:r>
          </w:p>
        </w:tc>
        <w:tc>
          <w:tcPr>
            <w:tcW w:w="4675" w:type="dxa"/>
          </w:tcPr>
          <w:p w14:paraId="7B5AFEFD" w14:textId="2B607843"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B.12.4.1 Preparation of glass fiber filter disc</w:t>
            </w:r>
          </w:p>
        </w:tc>
      </w:tr>
      <w:tr w:rsidR="00D0358B" w:rsidRPr="00F01347" w14:paraId="5FAC3862" w14:textId="3498FE65" w:rsidTr="00836FC8">
        <w:tc>
          <w:tcPr>
            <w:tcW w:w="4675" w:type="dxa"/>
          </w:tcPr>
          <w:p w14:paraId="3FBA0DB2"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sz w:val="16"/>
                <w:szCs w:val="16"/>
              </w:rPr>
              <w:t>Insertar el disco en el aparato de filtración.</w:t>
            </w:r>
          </w:p>
        </w:tc>
        <w:tc>
          <w:tcPr>
            <w:tcW w:w="4675" w:type="dxa"/>
          </w:tcPr>
          <w:p w14:paraId="6C642E13" w14:textId="2EF27AFB" w:rsidR="00D0358B" w:rsidRPr="00F01347" w:rsidRDefault="00D0358B" w:rsidP="00D0358B">
            <w:pPr>
              <w:pStyle w:val="texto0"/>
              <w:spacing w:line="220" w:lineRule="exact"/>
              <w:ind w:firstLine="0"/>
              <w:rPr>
                <w:rFonts w:ascii="Verdana" w:hAnsi="Verdana"/>
                <w:sz w:val="16"/>
                <w:szCs w:val="16"/>
                <w:lang w:val="en-US"/>
              </w:rPr>
            </w:pPr>
            <w:r w:rsidRPr="00F01347">
              <w:rPr>
                <w:rFonts w:ascii="Verdana" w:hAnsi="Verdana"/>
                <w:sz w:val="16"/>
                <w:szCs w:val="16"/>
                <w:lang w:val="en-US"/>
              </w:rPr>
              <w:t>Insert the disc into the filtration apparatus.</w:t>
            </w:r>
          </w:p>
        </w:tc>
      </w:tr>
      <w:tr w:rsidR="00D0358B" w:rsidRPr="00F01347" w14:paraId="19125A8C" w14:textId="79D620C5" w:rsidTr="00836FC8">
        <w:tc>
          <w:tcPr>
            <w:tcW w:w="4675" w:type="dxa"/>
          </w:tcPr>
          <w:p w14:paraId="6CFBF5D2"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sz w:val="16"/>
                <w:szCs w:val="16"/>
              </w:rPr>
              <w:t>Aplicar vacío y lavar con tres volúmenes sucesivos de agua reactivo de 20mL, permitir el drenaje completo entre lavados y continuar la succión durante 3 minutos más.</w:t>
            </w:r>
          </w:p>
        </w:tc>
        <w:tc>
          <w:tcPr>
            <w:tcW w:w="4675" w:type="dxa"/>
          </w:tcPr>
          <w:p w14:paraId="26B415E3" w14:textId="2764C474" w:rsidR="00D0358B" w:rsidRPr="00F01347" w:rsidRDefault="00D0358B" w:rsidP="00D0358B">
            <w:pPr>
              <w:pStyle w:val="texto0"/>
              <w:spacing w:line="220" w:lineRule="exact"/>
              <w:ind w:firstLine="0"/>
              <w:rPr>
                <w:rFonts w:ascii="Verdana" w:hAnsi="Verdana"/>
                <w:sz w:val="16"/>
                <w:szCs w:val="16"/>
                <w:lang w:val="en-US"/>
              </w:rPr>
            </w:pPr>
            <w:r w:rsidRPr="00F01347">
              <w:rPr>
                <w:rFonts w:ascii="Verdana" w:hAnsi="Verdana"/>
                <w:sz w:val="16"/>
                <w:szCs w:val="16"/>
                <w:lang w:val="en-US"/>
              </w:rPr>
              <w:t>Apply vacuum and wash with three successive volumes of 20mL reagent water, allow complete drainage between washes and continue suction for 3 more minutes.</w:t>
            </w:r>
          </w:p>
        </w:tc>
      </w:tr>
      <w:tr w:rsidR="00D0358B" w:rsidRPr="00F01347" w14:paraId="5C76E1B3" w14:textId="65A6DF5A" w:rsidTr="00836FC8">
        <w:tc>
          <w:tcPr>
            <w:tcW w:w="4675" w:type="dxa"/>
          </w:tcPr>
          <w:p w14:paraId="70287E01"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b/>
                <w:sz w:val="16"/>
                <w:szCs w:val="16"/>
              </w:rPr>
              <w:t>Nota</w:t>
            </w:r>
            <w:r w:rsidRPr="00F01347">
              <w:rPr>
                <w:rFonts w:ascii="Verdana" w:hAnsi="Verdana"/>
                <w:sz w:val="16"/>
                <w:szCs w:val="16"/>
              </w:rPr>
              <w:t>: si se utilizan discos pre- lavados omitir este paso.</w:t>
            </w:r>
          </w:p>
        </w:tc>
        <w:tc>
          <w:tcPr>
            <w:tcW w:w="4675" w:type="dxa"/>
          </w:tcPr>
          <w:p w14:paraId="4DD35D94" w14:textId="21E56726"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t>Note</w:t>
            </w:r>
            <w:r w:rsidR="00762084" w:rsidRPr="00F01347">
              <w:rPr>
                <w:rFonts w:ascii="Verdana" w:hAnsi="Verdana"/>
                <w:b/>
                <w:sz w:val="16"/>
                <w:szCs w:val="16"/>
                <w:lang w:val="en-US"/>
              </w:rPr>
              <w:t>:</w:t>
            </w:r>
            <w:r w:rsidRPr="00F01347">
              <w:rPr>
                <w:rFonts w:ascii="Verdana" w:hAnsi="Verdana"/>
                <w:sz w:val="16"/>
                <w:szCs w:val="16"/>
                <w:lang w:val="en-US"/>
              </w:rPr>
              <w:t xml:space="preserve"> if using pre-washed discs, skip this step.</w:t>
            </w:r>
          </w:p>
        </w:tc>
      </w:tr>
      <w:tr w:rsidR="00D0358B" w:rsidRPr="00F01347" w14:paraId="1B2E1D52" w14:textId="6344EE39" w:rsidTr="00836FC8">
        <w:tc>
          <w:tcPr>
            <w:tcW w:w="4675" w:type="dxa"/>
          </w:tcPr>
          <w:p w14:paraId="57BD7B40" w14:textId="77777777" w:rsidR="00D0358B" w:rsidRPr="00F01347" w:rsidRDefault="00D0358B" w:rsidP="00D0358B">
            <w:pPr>
              <w:pStyle w:val="texto0"/>
              <w:spacing w:line="220" w:lineRule="exact"/>
              <w:ind w:firstLine="0"/>
              <w:rPr>
                <w:rFonts w:ascii="Verdana" w:hAnsi="Verdana"/>
                <w:b/>
                <w:sz w:val="16"/>
                <w:szCs w:val="16"/>
              </w:rPr>
            </w:pPr>
            <w:r w:rsidRPr="00F01347">
              <w:rPr>
                <w:rFonts w:ascii="Verdana" w:hAnsi="Verdana"/>
                <w:b/>
                <w:sz w:val="16"/>
                <w:szCs w:val="16"/>
              </w:rPr>
              <w:t>B.12.4.2 Preparación del plato o cápsula de evaporación</w:t>
            </w:r>
          </w:p>
        </w:tc>
        <w:tc>
          <w:tcPr>
            <w:tcW w:w="4675" w:type="dxa"/>
          </w:tcPr>
          <w:p w14:paraId="6673F478" w14:textId="7F129540" w:rsidR="00D0358B" w:rsidRPr="00F01347" w:rsidRDefault="00D0358B" w:rsidP="00D0358B">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B.12.4.2 Preparation of the evaporation dish or capsule</w:t>
            </w:r>
          </w:p>
        </w:tc>
      </w:tr>
      <w:tr w:rsidR="00D0358B" w:rsidRPr="00F01347" w14:paraId="2EB86BFB" w14:textId="7FB6467D" w:rsidTr="00836FC8">
        <w:tc>
          <w:tcPr>
            <w:tcW w:w="4675" w:type="dxa"/>
          </w:tcPr>
          <w:p w14:paraId="532788D0"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sz w:val="16"/>
                <w:szCs w:val="16"/>
              </w:rPr>
              <w:t>Secar el plato o cápsula a 180±2°C (a 103 a 105 °C) durante 1 hora en una estufa. Enfriar en el desecador el tiempo necesario. Pesar inmediatamente antes de usar.</w:t>
            </w:r>
          </w:p>
        </w:tc>
        <w:tc>
          <w:tcPr>
            <w:tcW w:w="4675" w:type="dxa"/>
          </w:tcPr>
          <w:p w14:paraId="0EBB24AC" w14:textId="06F4BC5A" w:rsidR="00D0358B" w:rsidRPr="00F01347" w:rsidRDefault="00D0358B" w:rsidP="00D0358B">
            <w:pPr>
              <w:pStyle w:val="texto0"/>
              <w:spacing w:line="220" w:lineRule="exact"/>
              <w:ind w:firstLine="0"/>
              <w:rPr>
                <w:rFonts w:ascii="Verdana" w:hAnsi="Verdana"/>
                <w:sz w:val="16"/>
                <w:szCs w:val="16"/>
                <w:lang w:val="en-US"/>
              </w:rPr>
            </w:pPr>
            <w:r w:rsidRPr="00F01347">
              <w:rPr>
                <w:rFonts w:ascii="Verdana" w:hAnsi="Verdana"/>
                <w:sz w:val="16"/>
                <w:szCs w:val="16"/>
                <w:lang w:val="en-US"/>
              </w:rPr>
              <w:t>Dry the dish or capsule at 180±2°C (103 to 105°C) for 1 hour in an oven. Cool in the desiccator for the necessary time. Weigh immediately before use.</w:t>
            </w:r>
          </w:p>
        </w:tc>
      </w:tr>
      <w:tr w:rsidR="00D0358B" w:rsidRPr="00F01347" w14:paraId="2106A1D3" w14:textId="1558702D" w:rsidTr="00836FC8">
        <w:tc>
          <w:tcPr>
            <w:tcW w:w="4675" w:type="dxa"/>
          </w:tcPr>
          <w:p w14:paraId="74133C8B" w14:textId="77777777" w:rsidR="00D0358B" w:rsidRPr="00F01347" w:rsidRDefault="00D0358B" w:rsidP="00D0358B">
            <w:pPr>
              <w:pStyle w:val="texto0"/>
              <w:spacing w:line="224" w:lineRule="exact"/>
              <w:ind w:firstLine="0"/>
              <w:rPr>
                <w:rFonts w:ascii="Verdana" w:hAnsi="Verdana"/>
                <w:b/>
                <w:sz w:val="16"/>
                <w:szCs w:val="16"/>
              </w:rPr>
            </w:pPr>
            <w:r w:rsidRPr="00F01347">
              <w:rPr>
                <w:rFonts w:ascii="Verdana" w:hAnsi="Verdana"/>
                <w:b/>
                <w:sz w:val="16"/>
                <w:szCs w:val="16"/>
              </w:rPr>
              <w:t>B.12.4.3 Selección de los tamaños del filtro y de la muestra</w:t>
            </w:r>
          </w:p>
        </w:tc>
        <w:tc>
          <w:tcPr>
            <w:tcW w:w="4675" w:type="dxa"/>
          </w:tcPr>
          <w:p w14:paraId="7CD43CB8" w14:textId="75EA8529" w:rsidR="00D0358B" w:rsidRPr="00F01347" w:rsidRDefault="00D0358B" w:rsidP="00D0358B">
            <w:pPr>
              <w:pStyle w:val="texto0"/>
              <w:spacing w:line="224" w:lineRule="exact"/>
              <w:ind w:firstLine="0"/>
              <w:rPr>
                <w:rFonts w:ascii="Verdana" w:hAnsi="Verdana"/>
                <w:b/>
                <w:sz w:val="16"/>
                <w:szCs w:val="16"/>
                <w:lang w:val="en-US"/>
              </w:rPr>
            </w:pPr>
            <w:r w:rsidRPr="00F01347">
              <w:rPr>
                <w:rFonts w:ascii="Verdana" w:hAnsi="Verdana"/>
                <w:b/>
                <w:sz w:val="16"/>
                <w:szCs w:val="16"/>
                <w:lang w:val="en-US"/>
              </w:rPr>
              <w:t>B.12.4.3 Selection of filter and sample sizes</w:t>
            </w:r>
          </w:p>
        </w:tc>
      </w:tr>
      <w:tr w:rsidR="00D0358B" w:rsidRPr="00F01347" w14:paraId="035FD486" w14:textId="65AF1575" w:rsidTr="00836FC8">
        <w:tc>
          <w:tcPr>
            <w:tcW w:w="4675" w:type="dxa"/>
          </w:tcPr>
          <w:p w14:paraId="167AE2E9" w14:textId="77777777" w:rsidR="00D0358B" w:rsidRPr="00F01347" w:rsidRDefault="00D0358B" w:rsidP="00D0358B">
            <w:pPr>
              <w:pStyle w:val="texto0"/>
              <w:spacing w:line="224" w:lineRule="exact"/>
              <w:ind w:firstLine="0"/>
              <w:rPr>
                <w:rFonts w:ascii="Verdana" w:hAnsi="Verdana"/>
                <w:sz w:val="16"/>
                <w:szCs w:val="16"/>
              </w:rPr>
            </w:pPr>
            <w:r w:rsidRPr="00F01347">
              <w:rPr>
                <w:rFonts w:ascii="Verdana" w:hAnsi="Verdana"/>
                <w:sz w:val="16"/>
                <w:szCs w:val="16"/>
              </w:rPr>
              <w:t xml:space="preserve">Elegir el volumen de la muestra para obtener entre 2.5 y 200 mg de residuo seco, generalmente se cumple con 100 </w:t>
            </w:r>
            <w:proofErr w:type="spellStart"/>
            <w:r w:rsidRPr="00F01347">
              <w:rPr>
                <w:rFonts w:ascii="Verdana" w:hAnsi="Verdana"/>
                <w:sz w:val="16"/>
                <w:szCs w:val="16"/>
              </w:rPr>
              <w:t>mL</w:t>
            </w:r>
            <w:proofErr w:type="spellEnd"/>
            <w:r w:rsidRPr="00F01347">
              <w:rPr>
                <w:rFonts w:ascii="Verdana" w:hAnsi="Verdana"/>
                <w:sz w:val="16"/>
                <w:szCs w:val="16"/>
              </w:rPr>
              <w:t xml:space="preserve"> de muestra. Si se requieren más de 10 minutos para completar la filtración, aumentar el tamaño del filtro o disminuir el volumen de la muestra.</w:t>
            </w:r>
          </w:p>
        </w:tc>
        <w:tc>
          <w:tcPr>
            <w:tcW w:w="4675" w:type="dxa"/>
          </w:tcPr>
          <w:p w14:paraId="08D72045" w14:textId="61C46BFE" w:rsidR="00D0358B" w:rsidRPr="00F01347" w:rsidRDefault="00D0358B" w:rsidP="00D0358B">
            <w:pPr>
              <w:pStyle w:val="texto0"/>
              <w:spacing w:line="224" w:lineRule="exact"/>
              <w:ind w:firstLine="0"/>
              <w:rPr>
                <w:rFonts w:ascii="Verdana" w:hAnsi="Verdana"/>
                <w:sz w:val="16"/>
                <w:szCs w:val="16"/>
                <w:lang w:val="en-US"/>
              </w:rPr>
            </w:pPr>
            <w:r w:rsidRPr="00F01347">
              <w:rPr>
                <w:rFonts w:ascii="Verdana" w:hAnsi="Verdana"/>
                <w:sz w:val="16"/>
                <w:szCs w:val="16"/>
                <w:lang w:val="en-US"/>
              </w:rPr>
              <w:t xml:space="preserve">Choose the sample volume to obtain between 2.5 and 200 mg of dry residue, generally achieved with 100 mL of sample. If more than 10 minutes are required to complete filtration, increase filter </w:t>
            </w:r>
            <w:r w:rsidR="004009BD" w:rsidRPr="00F01347">
              <w:rPr>
                <w:rFonts w:ascii="Verdana" w:hAnsi="Verdana"/>
                <w:sz w:val="16"/>
                <w:szCs w:val="16"/>
                <w:lang w:val="en-US"/>
              </w:rPr>
              <w:t>size,</w:t>
            </w:r>
            <w:r w:rsidRPr="00F01347">
              <w:rPr>
                <w:rFonts w:ascii="Verdana" w:hAnsi="Verdana"/>
                <w:sz w:val="16"/>
                <w:szCs w:val="16"/>
                <w:lang w:val="en-US"/>
              </w:rPr>
              <w:t xml:space="preserve"> or decrease sample volume.</w:t>
            </w:r>
          </w:p>
        </w:tc>
      </w:tr>
      <w:tr w:rsidR="00D0358B" w:rsidRPr="00F01347" w14:paraId="634AC4C6" w14:textId="5795FA96" w:rsidTr="00836FC8">
        <w:tc>
          <w:tcPr>
            <w:tcW w:w="4675" w:type="dxa"/>
          </w:tcPr>
          <w:p w14:paraId="0E68BDEC" w14:textId="77777777" w:rsidR="00D0358B" w:rsidRPr="00F01347" w:rsidRDefault="00D0358B" w:rsidP="00D0358B">
            <w:pPr>
              <w:pStyle w:val="texto0"/>
              <w:spacing w:line="224" w:lineRule="exact"/>
              <w:ind w:firstLine="0"/>
              <w:rPr>
                <w:rFonts w:ascii="Verdana" w:hAnsi="Verdana"/>
                <w:b/>
                <w:sz w:val="16"/>
                <w:szCs w:val="16"/>
              </w:rPr>
            </w:pPr>
            <w:r w:rsidRPr="00F01347">
              <w:rPr>
                <w:rFonts w:ascii="Verdana" w:hAnsi="Verdana"/>
                <w:b/>
                <w:sz w:val="16"/>
                <w:szCs w:val="16"/>
              </w:rPr>
              <w:t>B.12.4.4 Procedimiento analítico</w:t>
            </w:r>
          </w:p>
        </w:tc>
        <w:tc>
          <w:tcPr>
            <w:tcW w:w="4675" w:type="dxa"/>
          </w:tcPr>
          <w:p w14:paraId="2FBB2DFA" w14:textId="3A722A73" w:rsidR="00D0358B" w:rsidRPr="00F01347" w:rsidRDefault="00D0358B" w:rsidP="00D0358B">
            <w:pPr>
              <w:pStyle w:val="texto0"/>
              <w:spacing w:line="224" w:lineRule="exact"/>
              <w:ind w:firstLine="0"/>
              <w:rPr>
                <w:rFonts w:ascii="Verdana" w:hAnsi="Verdana"/>
                <w:b/>
                <w:sz w:val="16"/>
                <w:szCs w:val="16"/>
                <w:lang w:val="en-US"/>
              </w:rPr>
            </w:pPr>
            <w:r w:rsidRPr="00F01347">
              <w:rPr>
                <w:rFonts w:ascii="Verdana" w:hAnsi="Verdana"/>
                <w:b/>
                <w:sz w:val="16"/>
                <w:szCs w:val="16"/>
                <w:lang w:val="en-US"/>
              </w:rPr>
              <w:t>B.12.4.4 Analytical procedure</w:t>
            </w:r>
          </w:p>
        </w:tc>
      </w:tr>
      <w:tr w:rsidR="00D0358B" w:rsidRPr="00F01347" w14:paraId="300CF1DB" w14:textId="4753A137" w:rsidTr="00836FC8">
        <w:tc>
          <w:tcPr>
            <w:tcW w:w="4675" w:type="dxa"/>
          </w:tcPr>
          <w:p w14:paraId="466BC90E" w14:textId="77777777" w:rsidR="00D0358B" w:rsidRPr="00F01347" w:rsidRDefault="00D0358B" w:rsidP="00D0358B">
            <w:pPr>
              <w:pStyle w:val="texto0"/>
              <w:spacing w:line="224" w:lineRule="exact"/>
              <w:ind w:firstLine="0"/>
              <w:rPr>
                <w:rFonts w:ascii="Verdana" w:hAnsi="Verdana"/>
                <w:sz w:val="16"/>
                <w:szCs w:val="16"/>
              </w:rPr>
            </w:pPr>
            <w:r w:rsidRPr="00F01347">
              <w:rPr>
                <w:rFonts w:ascii="Verdana" w:hAnsi="Verdana"/>
                <w:sz w:val="16"/>
                <w:szCs w:val="16"/>
              </w:rPr>
              <w:t>Agitar la muestra con un agitador magnético y pipetear un volumen medido sobre un filtro de fibra de vidrio previamente lavado, con vacío aplicado hacia un recipiente limpio de tamaño adecuado al volumen de las muestras y los lavados.</w:t>
            </w:r>
          </w:p>
        </w:tc>
        <w:tc>
          <w:tcPr>
            <w:tcW w:w="4675" w:type="dxa"/>
          </w:tcPr>
          <w:p w14:paraId="6E5C8BC0" w14:textId="48D36088" w:rsidR="00D0358B" w:rsidRPr="00F01347" w:rsidRDefault="00D0358B" w:rsidP="00D0358B">
            <w:pPr>
              <w:pStyle w:val="texto0"/>
              <w:spacing w:line="224" w:lineRule="exact"/>
              <w:ind w:firstLine="0"/>
              <w:rPr>
                <w:rFonts w:ascii="Verdana" w:hAnsi="Verdana"/>
                <w:sz w:val="16"/>
                <w:szCs w:val="16"/>
                <w:lang w:val="en-US"/>
              </w:rPr>
            </w:pPr>
            <w:r w:rsidRPr="00F01347">
              <w:rPr>
                <w:rFonts w:ascii="Verdana" w:hAnsi="Verdana"/>
                <w:sz w:val="16"/>
                <w:szCs w:val="16"/>
                <w:lang w:val="en-US"/>
              </w:rPr>
              <w:t>Stir the sample with a magnetic stirrer and pipet a measured volume onto a previously washed glass fiber filter, with vacuum applied into a clean container of appropriate size for the volume of the samples and washes.</w:t>
            </w:r>
          </w:p>
        </w:tc>
      </w:tr>
      <w:tr w:rsidR="00D0358B" w:rsidRPr="00F01347" w14:paraId="5998ADD0" w14:textId="44472B1D" w:rsidTr="00836FC8">
        <w:tc>
          <w:tcPr>
            <w:tcW w:w="4675" w:type="dxa"/>
          </w:tcPr>
          <w:p w14:paraId="7BA73B3E" w14:textId="77777777" w:rsidR="00D0358B" w:rsidRPr="00F01347" w:rsidRDefault="00D0358B" w:rsidP="00D0358B">
            <w:pPr>
              <w:pStyle w:val="texto0"/>
              <w:spacing w:line="224" w:lineRule="exact"/>
              <w:ind w:firstLine="0"/>
              <w:rPr>
                <w:rFonts w:ascii="Verdana" w:hAnsi="Verdana"/>
                <w:sz w:val="16"/>
                <w:szCs w:val="16"/>
              </w:rPr>
            </w:pPr>
            <w:r w:rsidRPr="00F01347">
              <w:rPr>
                <w:rFonts w:ascii="Verdana" w:hAnsi="Verdana"/>
                <w:sz w:val="16"/>
                <w:szCs w:val="16"/>
              </w:rPr>
              <w:t>Lavar con tres volúmenes sucesivos de 10ml de agua de grado reactivo, lo que permite el drenaje completo entre lavados, y continuar la succión durante unos 3 minutos después de que la filtración se ha completado.</w:t>
            </w:r>
          </w:p>
        </w:tc>
        <w:tc>
          <w:tcPr>
            <w:tcW w:w="4675" w:type="dxa"/>
          </w:tcPr>
          <w:p w14:paraId="794DCA41" w14:textId="702B2AAE" w:rsidR="00D0358B" w:rsidRPr="00F01347" w:rsidRDefault="00D0358B" w:rsidP="00D0358B">
            <w:pPr>
              <w:pStyle w:val="texto0"/>
              <w:spacing w:line="224" w:lineRule="exact"/>
              <w:ind w:firstLine="0"/>
              <w:rPr>
                <w:rFonts w:ascii="Verdana" w:hAnsi="Verdana"/>
                <w:sz w:val="16"/>
                <w:szCs w:val="16"/>
                <w:lang w:val="en-US"/>
              </w:rPr>
            </w:pPr>
            <w:r w:rsidRPr="00F01347">
              <w:rPr>
                <w:rFonts w:ascii="Verdana" w:hAnsi="Verdana"/>
                <w:sz w:val="16"/>
                <w:szCs w:val="16"/>
                <w:lang w:val="en-US"/>
              </w:rPr>
              <w:t>Wash with three successive volumes of 10ml of reagent grade water, allowing complete drainage between washes, and continue suction for approximately 3 minutes after filtration has been completed.</w:t>
            </w:r>
          </w:p>
        </w:tc>
      </w:tr>
      <w:tr w:rsidR="00D0358B" w:rsidRPr="00F01347" w14:paraId="25E6ED4D" w14:textId="59166F15" w:rsidTr="00836FC8">
        <w:tc>
          <w:tcPr>
            <w:tcW w:w="4675" w:type="dxa"/>
          </w:tcPr>
          <w:p w14:paraId="5150DACE" w14:textId="77777777" w:rsidR="00D0358B" w:rsidRPr="00F01347" w:rsidRDefault="00D0358B" w:rsidP="00D0358B">
            <w:pPr>
              <w:pStyle w:val="texto0"/>
              <w:spacing w:line="224" w:lineRule="exact"/>
              <w:ind w:firstLine="0"/>
              <w:rPr>
                <w:rFonts w:ascii="Verdana" w:hAnsi="Verdana"/>
                <w:sz w:val="16"/>
                <w:szCs w:val="16"/>
              </w:rPr>
            </w:pPr>
            <w:r w:rsidRPr="00F01347">
              <w:rPr>
                <w:rFonts w:ascii="Verdana" w:hAnsi="Verdana"/>
                <w:sz w:val="16"/>
                <w:szCs w:val="16"/>
              </w:rPr>
              <w:t>Transferir el filtrado total con lavados a un plato o cápsula de evaporación previamente pesado y preparado como se indicó anteriormente, evaporar a sequedad en un baño de vapor o en una estufa de secado.</w:t>
            </w:r>
          </w:p>
        </w:tc>
        <w:tc>
          <w:tcPr>
            <w:tcW w:w="4675" w:type="dxa"/>
          </w:tcPr>
          <w:p w14:paraId="4CB05BE9" w14:textId="431136EB" w:rsidR="00D0358B" w:rsidRPr="00F01347" w:rsidRDefault="00D0358B" w:rsidP="00D0358B">
            <w:pPr>
              <w:pStyle w:val="texto0"/>
              <w:spacing w:line="224" w:lineRule="exact"/>
              <w:ind w:firstLine="0"/>
              <w:rPr>
                <w:rFonts w:ascii="Verdana" w:hAnsi="Verdana"/>
                <w:sz w:val="16"/>
                <w:szCs w:val="16"/>
                <w:lang w:val="en-US"/>
              </w:rPr>
            </w:pPr>
            <w:r w:rsidRPr="00F01347">
              <w:rPr>
                <w:rFonts w:ascii="Verdana" w:hAnsi="Verdana"/>
                <w:sz w:val="16"/>
                <w:szCs w:val="16"/>
                <w:lang w:val="en-US"/>
              </w:rPr>
              <w:t>Transfer the total filtrate with washes to a pre-weighed dish or evaporation dish prepared as above, evaporate to dryness on a steam bath or in a drying oven.</w:t>
            </w:r>
          </w:p>
        </w:tc>
      </w:tr>
      <w:tr w:rsidR="00D0358B" w:rsidRPr="00F01347" w14:paraId="1F1801E2" w14:textId="4E84117E" w:rsidTr="00836FC8">
        <w:tc>
          <w:tcPr>
            <w:tcW w:w="4675" w:type="dxa"/>
          </w:tcPr>
          <w:p w14:paraId="272A5BFF"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sz w:val="16"/>
                <w:szCs w:val="16"/>
              </w:rPr>
              <w:lastRenderedPageBreak/>
              <w:t xml:space="preserve">Cuando el tamaño de la porción de la muestra es mayor que la capacidad de la l plato o cápsula de evaporación, agregaras las porciones de muestra sucesivas al mismo plato después de secar </w:t>
            </w:r>
            <w:proofErr w:type="gramStart"/>
            <w:r w:rsidRPr="00F01347">
              <w:rPr>
                <w:rFonts w:ascii="Verdana" w:hAnsi="Verdana"/>
                <w:sz w:val="16"/>
                <w:szCs w:val="16"/>
              </w:rPr>
              <w:t>el  filtrado</w:t>
            </w:r>
            <w:proofErr w:type="gramEnd"/>
            <w:r w:rsidRPr="00F01347">
              <w:rPr>
                <w:rFonts w:ascii="Verdana" w:hAnsi="Verdana"/>
                <w:sz w:val="16"/>
                <w:szCs w:val="16"/>
              </w:rPr>
              <w:t xml:space="preserve"> anterior.</w:t>
            </w:r>
          </w:p>
        </w:tc>
        <w:tc>
          <w:tcPr>
            <w:tcW w:w="4675" w:type="dxa"/>
          </w:tcPr>
          <w:p w14:paraId="3B9FEB29" w14:textId="496DE176" w:rsidR="00D0358B" w:rsidRPr="00F01347" w:rsidRDefault="00D0358B" w:rsidP="00D0358B">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When the sample portion size is larger than the capacity of the dish or evaporation dish, </w:t>
            </w:r>
            <w:r w:rsidR="004009BD" w:rsidRPr="00F01347">
              <w:rPr>
                <w:rFonts w:ascii="Verdana" w:hAnsi="Verdana"/>
                <w:sz w:val="16"/>
                <w:szCs w:val="16"/>
                <w:lang w:val="en-US"/>
              </w:rPr>
              <w:t>you</w:t>
            </w:r>
            <w:r w:rsidRPr="00F01347">
              <w:rPr>
                <w:rFonts w:ascii="Verdana" w:hAnsi="Verdana"/>
                <w:sz w:val="16"/>
                <w:szCs w:val="16"/>
                <w:lang w:val="en-US"/>
              </w:rPr>
              <w:t xml:space="preserve"> will add successive sample portions to the same dish after drying the previous filtrate.</w:t>
            </w:r>
          </w:p>
        </w:tc>
      </w:tr>
      <w:tr w:rsidR="00D0358B" w:rsidRPr="00F01347" w14:paraId="4662F2DA" w14:textId="7391158F" w:rsidTr="00836FC8">
        <w:tc>
          <w:tcPr>
            <w:tcW w:w="4675" w:type="dxa"/>
          </w:tcPr>
          <w:p w14:paraId="770CF013"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sz w:val="16"/>
                <w:szCs w:val="16"/>
              </w:rPr>
              <w:t>Secar la muestra evaporada durante al menos 1 hora en una estufa a 180±2 °C (o 103 a 105 °C), enfriar en un desecador y pesar.</w:t>
            </w:r>
          </w:p>
        </w:tc>
        <w:tc>
          <w:tcPr>
            <w:tcW w:w="4675" w:type="dxa"/>
          </w:tcPr>
          <w:p w14:paraId="1FF507F6" w14:textId="44A3859A" w:rsidR="00D0358B" w:rsidRPr="00F01347" w:rsidRDefault="00D0358B" w:rsidP="00D0358B">
            <w:pPr>
              <w:pStyle w:val="texto0"/>
              <w:spacing w:line="220" w:lineRule="exact"/>
              <w:ind w:firstLine="0"/>
              <w:rPr>
                <w:rFonts w:ascii="Verdana" w:hAnsi="Verdana"/>
                <w:sz w:val="16"/>
                <w:szCs w:val="16"/>
                <w:lang w:val="en-US"/>
              </w:rPr>
            </w:pPr>
            <w:r w:rsidRPr="00F01347">
              <w:rPr>
                <w:rFonts w:ascii="Verdana" w:hAnsi="Verdana"/>
                <w:sz w:val="16"/>
                <w:szCs w:val="16"/>
                <w:lang w:val="en-US"/>
              </w:rPr>
              <w:t>Dry the evaporated sample for at least 1 hour in an oven at 180±2 °C (or 103 to 105 °C), cool in a desiccator, and weigh.</w:t>
            </w:r>
          </w:p>
        </w:tc>
      </w:tr>
      <w:tr w:rsidR="00D0358B" w:rsidRPr="00F01347" w14:paraId="19C9884A" w14:textId="6C9A55C9" w:rsidTr="00836FC8">
        <w:tc>
          <w:tcPr>
            <w:tcW w:w="4675" w:type="dxa"/>
          </w:tcPr>
          <w:p w14:paraId="5D0B690A" w14:textId="77777777" w:rsidR="00D0358B" w:rsidRPr="00F01347" w:rsidRDefault="00D0358B" w:rsidP="00D0358B">
            <w:pPr>
              <w:pStyle w:val="texto0"/>
              <w:spacing w:line="220" w:lineRule="exact"/>
              <w:ind w:firstLine="0"/>
              <w:rPr>
                <w:rFonts w:ascii="Verdana" w:hAnsi="Verdana"/>
                <w:sz w:val="16"/>
                <w:szCs w:val="16"/>
              </w:rPr>
            </w:pPr>
            <w:r w:rsidRPr="00F01347">
              <w:rPr>
                <w:rFonts w:ascii="Verdana" w:hAnsi="Verdana"/>
                <w:sz w:val="16"/>
                <w:szCs w:val="16"/>
              </w:rPr>
              <w:t>Repetir el ciclo de secado, enfriamiento, desecación y pesaje hasta que se obtenga un peso constante con una diferencia de ≤2 mg.</w:t>
            </w:r>
          </w:p>
        </w:tc>
        <w:tc>
          <w:tcPr>
            <w:tcW w:w="4675" w:type="dxa"/>
          </w:tcPr>
          <w:p w14:paraId="77D9EB50" w14:textId="50493425" w:rsidR="00D0358B" w:rsidRPr="00F01347" w:rsidRDefault="00D0358B" w:rsidP="00D0358B">
            <w:pPr>
              <w:pStyle w:val="texto0"/>
              <w:spacing w:line="220" w:lineRule="exact"/>
              <w:ind w:firstLine="0"/>
              <w:rPr>
                <w:rFonts w:ascii="Verdana" w:hAnsi="Verdana"/>
                <w:sz w:val="16"/>
                <w:szCs w:val="16"/>
                <w:lang w:val="en-US"/>
              </w:rPr>
            </w:pPr>
            <w:r w:rsidRPr="00F01347">
              <w:rPr>
                <w:rFonts w:ascii="Verdana" w:hAnsi="Verdana"/>
                <w:sz w:val="16"/>
                <w:szCs w:val="16"/>
                <w:lang w:val="en-US"/>
              </w:rPr>
              <w:t>Repeat the drying, cooling, desiccation and weighing cycle until a constant weight is obtained with a difference of ≤2 mg.</w:t>
            </w:r>
          </w:p>
        </w:tc>
      </w:tr>
      <w:tr w:rsidR="00D0358B" w:rsidRPr="00F01347" w14:paraId="7EB75E8D" w14:textId="406E3C16" w:rsidTr="00836FC8">
        <w:tc>
          <w:tcPr>
            <w:tcW w:w="4675" w:type="dxa"/>
          </w:tcPr>
          <w:p w14:paraId="637E48AF"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Analizar muestras por duplicado.</w:t>
            </w:r>
          </w:p>
        </w:tc>
        <w:tc>
          <w:tcPr>
            <w:tcW w:w="4675" w:type="dxa"/>
          </w:tcPr>
          <w:p w14:paraId="6003FE1E" w14:textId="2362490F"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Analyze samples in duplicate.</w:t>
            </w:r>
          </w:p>
        </w:tc>
      </w:tr>
      <w:tr w:rsidR="00D0358B" w:rsidRPr="00F01347" w14:paraId="07A573E6" w14:textId="36A1BE04" w:rsidTr="00836FC8">
        <w:tc>
          <w:tcPr>
            <w:tcW w:w="4675" w:type="dxa"/>
          </w:tcPr>
          <w:p w14:paraId="5BB34686"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Las determinaciones duplicadas deben coincidir en un ±5% de su peso promedio.</w:t>
            </w:r>
          </w:p>
        </w:tc>
        <w:tc>
          <w:tcPr>
            <w:tcW w:w="4675" w:type="dxa"/>
          </w:tcPr>
          <w:p w14:paraId="7603691B" w14:textId="0C998138"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Duplicate determinations must coincide within ±5% of their average weight.</w:t>
            </w:r>
          </w:p>
        </w:tc>
      </w:tr>
      <w:tr w:rsidR="00D0358B" w:rsidRPr="00F01347" w14:paraId="7204702F" w14:textId="0F744616" w:rsidTr="00836FC8">
        <w:tc>
          <w:tcPr>
            <w:tcW w:w="4675" w:type="dxa"/>
          </w:tcPr>
          <w:p w14:paraId="715C03A3" w14:textId="77777777" w:rsidR="00D0358B" w:rsidRPr="00F01347" w:rsidRDefault="00D0358B" w:rsidP="00D0358B">
            <w:pPr>
              <w:pStyle w:val="texto0"/>
              <w:ind w:firstLine="0"/>
              <w:rPr>
                <w:rFonts w:ascii="Verdana" w:hAnsi="Verdana"/>
                <w:b/>
                <w:sz w:val="16"/>
                <w:szCs w:val="16"/>
              </w:rPr>
            </w:pPr>
            <w:r w:rsidRPr="00F01347">
              <w:rPr>
                <w:rFonts w:ascii="Verdana" w:hAnsi="Verdana"/>
                <w:b/>
                <w:sz w:val="16"/>
                <w:szCs w:val="16"/>
              </w:rPr>
              <w:t>B.12.4.5 Análisis de datos y cálculos</w:t>
            </w:r>
          </w:p>
        </w:tc>
        <w:tc>
          <w:tcPr>
            <w:tcW w:w="4675" w:type="dxa"/>
          </w:tcPr>
          <w:p w14:paraId="7AB17DF3" w14:textId="77FF00BB" w:rsidR="00D0358B" w:rsidRPr="00F01347" w:rsidRDefault="00D0358B" w:rsidP="00D0358B">
            <w:pPr>
              <w:pStyle w:val="texto0"/>
              <w:ind w:firstLine="0"/>
              <w:rPr>
                <w:rFonts w:ascii="Verdana" w:hAnsi="Verdana"/>
                <w:b/>
                <w:sz w:val="16"/>
                <w:szCs w:val="16"/>
                <w:lang w:val="en-US"/>
              </w:rPr>
            </w:pPr>
            <w:r w:rsidRPr="00F01347">
              <w:rPr>
                <w:rFonts w:ascii="Verdana" w:hAnsi="Verdana"/>
                <w:b/>
                <w:sz w:val="16"/>
                <w:szCs w:val="16"/>
                <w:lang w:val="en-US"/>
              </w:rPr>
              <w:t>B.12.4.5 Data analysis and calculations</w:t>
            </w:r>
          </w:p>
        </w:tc>
      </w:tr>
      <w:tr w:rsidR="00D0358B" w:rsidRPr="00F01347" w14:paraId="45B7B55A" w14:textId="08ACCB4C" w:rsidTr="00836FC8">
        <w:tc>
          <w:tcPr>
            <w:tcW w:w="4675" w:type="dxa"/>
          </w:tcPr>
          <w:p w14:paraId="2F50B18A" w14:textId="77777777" w:rsidR="00D0358B" w:rsidRPr="00F01347" w:rsidRDefault="00D0358B" w:rsidP="00D0358B">
            <w:pPr>
              <w:pStyle w:val="texto0"/>
              <w:ind w:firstLine="0"/>
              <w:rPr>
                <w:rFonts w:ascii="Verdana" w:hAnsi="Verdana"/>
                <w:sz w:val="16"/>
                <w:szCs w:val="16"/>
              </w:rPr>
            </w:pPr>
            <w:r w:rsidRPr="00F01347">
              <w:rPr>
                <w:rFonts w:ascii="Verdana" w:hAnsi="Verdana"/>
                <w:sz w:val="16"/>
                <w:szCs w:val="16"/>
              </w:rPr>
              <w:t>Calcular la concentración de sólidos disueltos totales utilizando la siguiente fórmula:</w:t>
            </w:r>
          </w:p>
        </w:tc>
        <w:tc>
          <w:tcPr>
            <w:tcW w:w="4675" w:type="dxa"/>
          </w:tcPr>
          <w:p w14:paraId="67FFDEC6" w14:textId="0CCBF967" w:rsidR="00D0358B" w:rsidRPr="00F01347" w:rsidRDefault="00D0358B" w:rsidP="00D0358B">
            <w:pPr>
              <w:pStyle w:val="texto0"/>
              <w:ind w:firstLine="0"/>
              <w:rPr>
                <w:rFonts w:ascii="Verdana" w:hAnsi="Verdana"/>
                <w:sz w:val="16"/>
                <w:szCs w:val="16"/>
                <w:lang w:val="en-US"/>
              </w:rPr>
            </w:pPr>
            <w:r w:rsidRPr="00F01347">
              <w:rPr>
                <w:rFonts w:ascii="Verdana" w:hAnsi="Verdana"/>
                <w:sz w:val="16"/>
                <w:szCs w:val="16"/>
                <w:lang w:val="en-US"/>
              </w:rPr>
              <w:t>Calculate the concentration of total dissolved solids using the following formula:</w:t>
            </w:r>
          </w:p>
        </w:tc>
      </w:tr>
    </w:tbl>
    <w:p w14:paraId="42E994FF" w14:textId="042DE022" w:rsidR="00A74CDF" w:rsidRPr="00F01347" w:rsidRDefault="00471638" w:rsidP="004009BD">
      <w:pPr>
        <w:pStyle w:val="texto0"/>
        <w:spacing w:line="240" w:lineRule="auto"/>
        <w:ind w:left="630" w:firstLine="0"/>
        <w:jc w:val="center"/>
        <w:rPr>
          <w:rFonts w:ascii="Verdana" w:hAnsi="Verdana"/>
          <w:sz w:val="16"/>
          <w:szCs w:val="16"/>
        </w:rPr>
      </w:pPr>
      <w:r w:rsidRPr="00F01347">
        <w:rPr>
          <w:rFonts w:ascii="Verdana" w:hAnsi="Verdana"/>
          <w:noProof/>
          <w:sz w:val="16"/>
          <w:szCs w:val="16"/>
        </w:rPr>
        <w:drawing>
          <wp:inline distT="0" distB="0" distL="0" distR="0" wp14:anchorId="39152672" wp14:editId="4FC3325A">
            <wp:extent cx="3438525" cy="276225"/>
            <wp:effectExtent l="0" t="0" r="0" b="0"/>
            <wp:docPr id="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438525" cy="276225"/>
                    </a:xfrm>
                    <a:prstGeom prst="rect">
                      <a:avLst/>
                    </a:prstGeom>
                    <a:noFill/>
                    <a:ln>
                      <a:noFill/>
                    </a:ln>
                  </pic:spPr>
                </pic:pic>
              </a:graphicData>
            </a:graphic>
          </wp:inline>
        </w:drawing>
      </w:r>
    </w:p>
    <w:p w14:paraId="4AF3E43B" w14:textId="771DF1D7" w:rsidR="009B1BDE" w:rsidRPr="00F01347" w:rsidRDefault="009B1BDE" w:rsidP="004009BD">
      <w:pPr>
        <w:pStyle w:val="texto0"/>
        <w:spacing w:line="240" w:lineRule="auto"/>
        <w:ind w:left="630" w:firstLine="0"/>
        <w:jc w:val="center"/>
        <w:rPr>
          <w:rFonts w:ascii="Verdana" w:hAnsi="Verdana"/>
          <w:sz w:val="16"/>
          <w:szCs w:val="16"/>
        </w:rPr>
      </w:pPr>
      <w:r w:rsidRPr="00F01347">
        <w:rPr>
          <w:noProof/>
        </w:rPr>
        <w:drawing>
          <wp:inline distT="0" distB="0" distL="0" distR="0" wp14:anchorId="52D3B2F3" wp14:editId="4B33C908">
            <wp:extent cx="3602182" cy="549113"/>
            <wp:effectExtent l="0" t="0" r="0" b="3810"/>
            <wp:docPr id="20085835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583568" name="Picture 1" descr="A screenshot of a computer&#10;&#10;Description automatically generated"/>
                    <pic:cNvPicPr/>
                  </pic:nvPicPr>
                  <pic:blipFill rotWithShape="1">
                    <a:blip r:embed="rId103"/>
                    <a:srcRect l="27506" t="30002" r="41909" b="61709"/>
                    <a:stretch/>
                  </pic:blipFill>
                  <pic:spPr bwMode="auto">
                    <a:xfrm>
                      <a:off x="0" y="0"/>
                      <a:ext cx="3761951" cy="57346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02D22" w:rsidRPr="00F01347" w14:paraId="78A45C73" w14:textId="749474FF" w:rsidTr="009B1BDE">
        <w:tc>
          <w:tcPr>
            <w:tcW w:w="4675" w:type="dxa"/>
          </w:tcPr>
          <w:p w14:paraId="59DFC563" w14:textId="77777777" w:rsidR="00502D22" w:rsidRPr="00F01347" w:rsidRDefault="00502D22" w:rsidP="00502D22">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7E594CC0" w14:textId="373B38BE" w:rsidR="00502D22" w:rsidRPr="00F01347" w:rsidRDefault="00502D22" w:rsidP="00502D22">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502D22" w:rsidRPr="00F01347" w14:paraId="25D42659" w14:textId="12575D72" w:rsidTr="009B1BDE">
        <w:tc>
          <w:tcPr>
            <w:tcW w:w="4675" w:type="dxa"/>
          </w:tcPr>
          <w:p w14:paraId="547BA0C9" w14:textId="77777777" w:rsidR="00502D22" w:rsidRPr="00F01347" w:rsidRDefault="00502D22" w:rsidP="00502D22">
            <w:pPr>
              <w:pStyle w:val="texto0"/>
              <w:ind w:firstLine="0"/>
              <w:rPr>
                <w:rFonts w:ascii="Verdana" w:hAnsi="Verdana"/>
                <w:sz w:val="16"/>
                <w:szCs w:val="16"/>
              </w:rPr>
            </w:pPr>
            <w:r w:rsidRPr="00F01347">
              <w:rPr>
                <w:rFonts w:ascii="Verdana" w:hAnsi="Verdana"/>
                <w:sz w:val="16"/>
                <w:szCs w:val="16"/>
              </w:rPr>
              <w:t>A</w:t>
            </w:r>
            <w:r w:rsidRPr="00F01347">
              <w:rPr>
                <w:rFonts w:ascii="Verdana" w:hAnsi="Verdana"/>
                <w:sz w:val="16"/>
                <w:szCs w:val="16"/>
              </w:rPr>
              <w:tab/>
              <w:t>peso del residuo seco + peso de plato o cápsula vacía, mg</w:t>
            </w:r>
          </w:p>
        </w:tc>
        <w:tc>
          <w:tcPr>
            <w:tcW w:w="4675" w:type="dxa"/>
          </w:tcPr>
          <w:p w14:paraId="3CA88A19" w14:textId="75FC9C66" w:rsidR="00502D22" w:rsidRPr="00F01347" w:rsidRDefault="00502D22" w:rsidP="00502D22">
            <w:pPr>
              <w:pStyle w:val="texto0"/>
              <w:ind w:firstLine="0"/>
              <w:rPr>
                <w:rFonts w:ascii="Verdana" w:hAnsi="Verdana"/>
                <w:sz w:val="16"/>
                <w:szCs w:val="16"/>
                <w:lang w:val="en-US"/>
              </w:rPr>
            </w:pPr>
            <w:r w:rsidRPr="00F01347">
              <w:rPr>
                <w:rFonts w:ascii="Verdana" w:hAnsi="Verdana"/>
                <w:sz w:val="16"/>
                <w:szCs w:val="16"/>
                <w:lang w:val="en-US"/>
              </w:rPr>
              <w:t xml:space="preserve">A </w:t>
            </w:r>
            <w:r w:rsidRPr="00F01347">
              <w:rPr>
                <w:rFonts w:ascii="Verdana" w:hAnsi="Verdana"/>
                <w:sz w:val="16"/>
                <w:szCs w:val="16"/>
                <w:lang w:val="en-US"/>
              </w:rPr>
              <w:tab/>
              <w:t>weight of dry residue + weight of empty plate or capsule, mg</w:t>
            </w:r>
          </w:p>
        </w:tc>
      </w:tr>
      <w:tr w:rsidR="00502D22" w:rsidRPr="00F01347" w14:paraId="015CF1EF" w14:textId="4F5D9FF7" w:rsidTr="009B1BDE">
        <w:tc>
          <w:tcPr>
            <w:tcW w:w="4675" w:type="dxa"/>
          </w:tcPr>
          <w:p w14:paraId="56CFEA50" w14:textId="77777777" w:rsidR="00502D22" w:rsidRPr="00F01347" w:rsidRDefault="00502D22" w:rsidP="00502D22">
            <w:pPr>
              <w:pStyle w:val="texto0"/>
              <w:ind w:firstLine="0"/>
              <w:rPr>
                <w:rFonts w:ascii="Verdana" w:hAnsi="Verdana"/>
                <w:sz w:val="16"/>
                <w:szCs w:val="16"/>
              </w:rPr>
            </w:pPr>
            <w:r w:rsidRPr="00F01347">
              <w:rPr>
                <w:rFonts w:ascii="Verdana" w:hAnsi="Verdana"/>
                <w:sz w:val="16"/>
                <w:szCs w:val="16"/>
              </w:rPr>
              <w:t>B</w:t>
            </w:r>
            <w:r w:rsidRPr="00F01347">
              <w:rPr>
                <w:rFonts w:ascii="Verdana" w:hAnsi="Verdana"/>
                <w:sz w:val="16"/>
                <w:szCs w:val="16"/>
              </w:rPr>
              <w:tab/>
              <w:t>peso de plato o cápsula vacía, mg</w:t>
            </w:r>
          </w:p>
        </w:tc>
        <w:tc>
          <w:tcPr>
            <w:tcW w:w="4675" w:type="dxa"/>
          </w:tcPr>
          <w:p w14:paraId="55CEA776" w14:textId="7708EAEA" w:rsidR="00502D22" w:rsidRPr="00F01347" w:rsidRDefault="00502D22" w:rsidP="00502D22">
            <w:pPr>
              <w:pStyle w:val="texto0"/>
              <w:ind w:firstLine="0"/>
              <w:rPr>
                <w:rFonts w:ascii="Verdana" w:hAnsi="Verdana"/>
                <w:sz w:val="16"/>
                <w:szCs w:val="16"/>
                <w:lang w:val="en-US"/>
              </w:rPr>
            </w:pPr>
            <w:r w:rsidRPr="00F01347">
              <w:rPr>
                <w:rFonts w:ascii="Verdana" w:hAnsi="Verdana"/>
                <w:sz w:val="16"/>
                <w:szCs w:val="16"/>
                <w:lang w:val="en-US"/>
              </w:rPr>
              <w:t xml:space="preserve">B </w:t>
            </w:r>
            <w:r w:rsidRPr="00F01347">
              <w:rPr>
                <w:rFonts w:ascii="Verdana" w:hAnsi="Verdana"/>
                <w:sz w:val="16"/>
                <w:szCs w:val="16"/>
                <w:lang w:val="en-US"/>
              </w:rPr>
              <w:tab/>
              <w:t>weight of plate or empty capsule, mg</w:t>
            </w:r>
          </w:p>
        </w:tc>
      </w:tr>
      <w:tr w:rsidR="00502D22" w:rsidRPr="00F01347" w14:paraId="2B148CBB" w14:textId="506B412E" w:rsidTr="009B1BDE">
        <w:tc>
          <w:tcPr>
            <w:tcW w:w="4675" w:type="dxa"/>
          </w:tcPr>
          <w:p w14:paraId="65B9FC65" w14:textId="77777777" w:rsidR="00502D22" w:rsidRPr="00F01347" w:rsidRDefault="00502D22" w:rsidP="00502D22">
            <w:pPr>
              <w:pStyle w:val="texto0"/>
              <w:ind w:firstLine="0"/>
              <w:rPr>
                <w:rFonts w:ascii="Verdana" w:hAnsi="Verdana"/>
                <w:b/>
                <w:sz w:val="16"/>
                <w:szCs w:val="16"/>
              </w:rPr>
            </w:pPr>
            <w:r w:rsidRPr="00F01347">
              <w:rPr>
                <w:rFonts w:ascii="Verdana" w:hAnsi="Verdana"/>
                <w:b/>
                <w:sz w:val="16"/>
                <w:szCs w:val="16"/>
              </w:rPr>
              <w:t>B.12.5 Informe de prueba</w:t>
            </w:r>
          </w:p>
        </w:tc>
        <w:tc>
          <w:tcPr>
            <w:tcW w:w="4675" w:type="dxa"/>
          </w:tcPr>
          <w:p w14:paraId="3DB069B6" w14:textId="2C290892" w:rsidR="00502D22" w:rsidRPr="00F01347" w:rsidRDefault="00502D22" w:rsidP="00502D22">
            <w:pPr>
              <w:pStyle w:val="texto0"/>
              <w:ind w:firstLine="0"/>
              <w:rPr>
                <w:rFonts w:ascii="Verdana" w:hAnsi="Verdana"/>
                <w:b/>
                <w:sz w:val="16"/>
                <w:szCs w:val="16"/>
                <w:lang w:val="en-US"/>
              </w:rPr>
            </w:pPr>
            <w:r w:rsidRPr="00F01347">
              <w:rPr>
                <w:rFonts w:ascii="Verdana" w:hAnsi="Verdana"/>
                <w:b/>
                <w:sz w:val="16"/>
                <w:szCs w:val="16"/>
                <w:lang w:val="en-US"/>
              </w:rPr>
              <w:t>B.12.5 Test report</w:t>
            </w:r>
          </w:p>
        </w:tc>
      </w:tr>
    </w:tbl>
    <w:p w14:paraId="34916A14" w14:textId="478F2734" w:rsidR="00A74CDF" w:rsidRPr="00F01347" w:rsidRDefault="00A74CDF" w:rsidP="003A601B">
      <w:pPr>
        <w:pStyle w:val="texto0"/>
        <w:rPr>
          <w:rFonts w:ascii="Verdana" w:hAnsi="Verdana"/>
          <w:b/>
          <w:sz w:val="16"/>
          <w:szCs w:val="16"/>
        </w:rPr>
      </w:pPr>
    </w:p>
    <w:p w14:paraId="499F57BC" w14:textId="44125B3B" w:rsidR="00A74CDF" w:rsidRPr="00F01347" w:rsidRDefault="00A74CDF" w:rsidP="003A601B">
      <w:pPr>
        <w:pStyle w:val="texto0"/>
        <w:spacing w:line="240" w:lineRule="auto"/>
        <w:rPr>
          <w:rFonts w:ascii="Verdana" w:hAnsi="Verdana"/>
          <w:sz w:val="16"/>
          <w:szCs w:val="16"/>
        </w:rPr>
      </w:pPr>
      <w:r w:rsidRPr="00F01347">
        <w:rPr>
          <w:rFonts w:ascii="Verdana" w:hAnsi="Verdana"/>
          <w:sz w:val="16"/>
          <w:szCs w:val="16"/>
        </w:rPr>
        <w:t xml:space="preserve">La expresión de resultados debe ser en </w:t>
      </w:r>
      <w:r w:rsidR="00471638" w:rsidRPr="00F01347">
        <w:rPr>
          <w:rFonts w:ascii="Verdana" w:hAnsi="Verdana"/>
          <w:noProof/>
          <w:sz w:val="16"/>
          <w:szCs w:val="16"/>
        </w:rPr>
        <w:drawing>
          <wp:inline distT="0" distB="0" distL="0" distR="0" wp14:anchorId="7B70B6E2" wp14:editId="1530FFB6">
            <wp:extent cx="1590675" cy="276225"/>
            <wp:effectExtent l="0" t="0" r="0" b="0"/>
            <wp:docPr id="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90675" cy="276225"/>
                    </a:xfrm>
                    <a:prstGeom prst="rect">
                      <a:avLst/>
                    </a:prstGeom>
                    <a:noFill/>
                    <a:ln>
                      <a:noFill/>
                    </a:ln>
                  </pic:spPr>
                </pic:pic>
              </a:graphicData>
            </a:graphic>
          </wp:inline>
        </w:drawing>
      </w:r>
      <w:r w:rsidRPr="00F01347">
        <w:rPr>
          <w:rFonts w:ascii="Verdana" w:hAnsi="Verdana"/>
          <w:sz w:val="16"/>
          <w:szCs w:val="16"/>
        </w:rPr>
        <w:t xml:space="preserve"> con dos cifras decimales.</w:t>
      </w:r>
    </w:p>
    <w:p w14:paraId="772B151B" w14:textId="0A4CE12E" w:rsidR="00DA64F0" w:rsidRPr="00F01347" w:rsidRDefault="00AF700D" w:rsidP="003A601B">
      <w:pPr>
        <w:pStyle w:val="texto0"/>
        <w:spacing w:line="240" w:lineRule="auto"/>
        <w:rPr>
          <w:rFonts w:ascii="Verdana" w:hAnsi="Verdana"/>
          <w:sz w:val="16"/>
          <w:szCs w:val="16"/>
        </w:rPr>
      </w:pPr>
      <w:r w:rsidRPr="00F01347">
        <w:rPr>
          <w:noProof/>
        </w:rPr>
        <w:drawing>
          <wp:inline distT="0" distB="0" distL="0" distR="0" wp14:anchorId="426765AC" wp14:editId="4939A099">
            <wp:extent cx="5181600" cy="443841"/>
            <wp:effectExtent l="0" t="0" r="0" b="0"/>
            <wp:docPr id="20680800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80022" name="Picture 1" descr="A screenshot of a computer&#10;&#10;Description automatically generated"/>
                    <pic:cNvPicPr/>
                  </pic:nvPicPr>
                  <pic:blipFill rotWithShape="1">
                    <a:blip r:embed="rId105"/>
                    <a:srcRect l="25081" t="65310" r="28100" b="27560"/>
                    <a:stretch/>
                  </pic:blipFill>
                  <pic:spPr bwMode="auto">
                    <a:xfrm>
                      <a:off x="0" y="0"/>
                      <a:ext cx="5579944" cy="47796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E0A0C" w:rsidRPr="00F01347" w14:paraId="3B997A5A" w14:textId="44E270E7" w:rsidTr="00AF700D">
        <w:tc>
          <w:tcPr>
            <w:tcW w:w="4675" w:type="dxa"/>
          </w:tcPr>
          <w:p w14:paraId="7369C437" w14:textId="77777777" w:rsidR="00DE0A0C" w:rsidRPr="00F01347" w:rsidRDefault="00DE0A0C" w:rsidP="00DE0A0C">
            <w:pPr>
              <w:pStyle w:val="texto0"/>
              <w:ind w:firstLine="0"/>
              <w:rPr>
                <w:rFonts w:ascii="Verdana" w:hAnsi="Verdana"/>
                <w:b/>
                <w:sz w:val="16"/>
                <w:szCs w:val="16"/>
                <w:lang w:val="en-US"/>
              </w:rPr>
            </w:pPr>
            <w:r w:rsidRPr="00F01347">
              <w:rPr>
                <w:rFonts w:ascii="Verdana" w:hAnsi="Verdana"/>
                <w:b/>
                <w:sz w:val="16"/>
                <w:szCs w:val="16"/>
                <w:lang w:val="en-US"/>
              </w:rPr>
              <w:t xml:space="preserve">B.12.6 </w:t>
            </w:r>
            <w:proofErr w:type="spellStart"/>
            <w:r w:rsidRPr="00F01347">
              <w:rPr>
                <w:rFonts w:ascii="Verdana" w:hAnsi="Verdana"/>
                <w:b/>
                <w:sz w:val="16"/>
                <w:szCs w:val="16"/>
                <w:lang w:val="en-US"/>
              </w:rPr>
              <w:t>Referencias</w:t>
            </w:r>
            <w:proofErr w:type="spellEnd"/>
          </w:p>
        </w:tc>
        <w:tc>
          <w:tcPr>
            <w:tcW w:w="4675" w:type="dxa"/>
          </w:tcPr>
          <w:p w14:paraId="3E1215B3" w14:textId="6B5FAC5B" w:rsidR="00DE0A0C" w:rsidRPr="00F01347" w:rsidRDefault="00DE0A0C" w:rsidP="00DE0A0C">
            <w:pPr>
              <w:pStyle w:val="texto0"/>
              <w:ind w:firstLine="0"/>
              <w:rPr>
                <w:rFonts w:ascii="Verdana" w:hAnsi="Verdana"/>
                <w:b/>
                <w:sz w:val="16"/>
                <w:szCs w:val="16"/>
                <w:lang w:val="en-US"/>
              </w:rPr>
            </w:pPr>
            <w:r w:rsidRPr="00F01347">
              <w:rPr>
                <w:rFonts w:ascii="Verdana" w:hAnsi="Verdana"/>
                <w:b/>
                <w:sz w:val="16"/>
                <w:szCs w:val="16"/>
                <w:lang w:val="en-US"/>
              </w:rPr>
              <w:t>B.12.6 References</w:t>
            </w:r>
          </w:p>
        </w:tc>
      </w:tr>
      <w:tr w:rsidR="00DE0A0C" w:rsidRPr="00F01347" w14:paraId="7AA7FCDB" w14:textId="7DA61185" w:rsidTr="00AF700D">
        <w:tc>
          <w:tcPr>
            <w:tcW w:w="4675" w:type="dxa"/>
          </w:tcPr>
          <w:p w14:paraId="09F798A7" w14:textId="77777777" w:rsidR="00DE0A0C" w:rsidRPr="00F01347" w:rsidRDefault="00DE0A0C" w:rsidP="00DE0A0C">
            <w:pPr>
              <w:pStyle w:val="texto0"/>
              <w:ind w:firstLine="0"/>
              <w:rPr>
                <w:rFonts w:ascii="Verdana" w:hAnsi="Verdana"/>
                <w:color w:val="000000"/>
                <w:sz w:val="16"/>
                <w:szCs w:val="16"/>
                <w:lang w:val="en-US"/>
              </w:rPr>
            </w:pPr>
            <w:r w:rsidRPr="00F01347">
              <w:rPr>
                <w:rFonts w:ascii="Verdana" w:hAnsi="Verdana"/>
                <w:sz w:val="16"/>
                <w:szCs w:val="16"/>
                <w:lang w:val="en-US"/>
              </w:rPr>
              <w:t>Standard methods for examination of water and wastewater. 2540 C Total Dissolved Solids Dried at 180°C.</w:t>
            </w:r>
          </w:p>
        </w:tc>
        <w:tc>
          <w:tcPr>
            <w:tcW w:w="4675" w:type="dxa"/>
          </w:tcPr>
          <w:p w14:paraId="66FB1227" w14:textId="50640543" w:rsidR="00DE0A0C" w:rsidRPr="00F01347" w:rsidRDefault="00DE0A0C" w:rsidP="00DE0A0C">
            <w:pPr>
              <w:pStyle w:val="texto0"/>
              <w:ind w:firstLine="0"/>
              <w:rPr>
                <w:rFonts w:ascii="Verdana" w:hAnsi="Verdana"/>
                <w:sz w:val="16"/>
                <w:szCs w:val="16"/>
                <w:lang w:val="en-US"/>
              </w:rPr>
            </w:pPr>
            <w:r w:rsidRPr="00F01347">
              <w:rPr>
                <w:rFonts w:ascii="Verdana" w:hAnsi="Verdana"/>
                <w:sz w:val="16"/>
                <w:szCs w:val="16"/>
                <w:lang w:val="en-US"/>
              </w:rPr>
              <w:t>Standard methods for examination of water and wastewater. 2540 C Total Dissolved Solids Dried at 180°C.</w:t>
            </w:r>
          </w:p>
        </w:tc>
      </w:tr>
      <w:tr w:rsidR="00DE0A0C" w:rsidRPr="00F01347" w14:paraId="1D67235E" w14:textId="317D57A2" w:rsidTr="00AF700D">
        <w:tc>
          <w:tcPr>
            <w:tcW w:w="4675" w:type="dxa"/>
          </w:tcPr>
          <w:p w14:paraId="199C549F" w14:textId="77777777" w:rsidR="00DE0A0C" w:rsidRPr="00F01347" w:rsidRDefault="00DE0A0C" w:rsidP="00DE0A0C">
            <w:pPr>
              <w:pStyle w:val="texto0"/>
              <w:ind w:firstLine="0"/>
              <w:jc w:val="center"/>
              <w:rPr>
                <w:rFonts w:ascii="Verdana" w:hAnsi="Verdana"/>
                <w:b/>
                <w:sz w:val="16"/>
                <w:szCs w:val="16"/>
              </w:rPr>
            </w:pPr>
            <w:r w:rsidRPr="00F01347">
              <w:rPr>
                <w:rFonts w:ascii="Verdana" w:hAnsi="Verdana"/>
                <w:b/>
                <w:sz w:val="16"/>
                <w:szCs w:val="16"/>
              </w:rPr>
              <w:t>B.13 MÉTODO DE PRUEBA PARA LA DETERMINACIÓN DE COMPUESTOS ORGÁNICOS NO HALOGENADOS EN AGUA PARA USO Y CONSUMO HUMANO</w:t>
            </w:r>
          </w:p>
        </w:tc>
        <w:tc>
          <w:tcPr>
            <w:tcW w:w="4675" w:type="dxa"/>
          </w:tcPr>
          <w:p w14:paraId="3097C090" w14:textId="282AABE4" w:rsidR="00DE0A0C" w:rsidRPr="00F01347" w:rsidRDefault="00DE0A0C" w:rsidP="00DE0A0C">
            <w:pPr>
              <w:pStyle w:val="texto0"/>
              <w:ind w:firstLine="0"/>
              <w:jc w:val="center"/>
              <w:rPr>
                <w:rFonts w:ascii="Verdana" w:hAnsi="Verdana"/>
                <w:b/>
                <w:sz w:val="16"/>
                <w:szCs w:val="16"/>
                <w:lang w:val="en-US"/>
              </w:rPr>
            </w:pPr>
            <w:r w:rsidRPr="00F01347">
              <w:rPr>
                <w:rFonts w:ascii="Verdana" w:hAnsi="Verdana"/>
                <w:b/>
                <w:sz w:val="16"/>
                <w:szCs w:val="16"/>
                <w:lang w:val="en-US"/>
              </w:rPr>
              <w:t>B.13 TEST METHOD FOR THE DETERMINATION OF NON-HALOGENATED ORGANIC COMPOUNDS IN WATER FOR HUMAN USE AND CONSUMPTION</w:t>
            </w:r>
          </w:p>
        </w:tc>
      </w:tr>
      <w:tr w:rsidR="00DE0A0C" w:rsidRPr="00F01347" w14:paraId="471C9990" w14:textId="29098B3D" w:rsidTr="00AF700D">
        <w:tc>
          <w:tcPr>
            <w:tcW w:w="4675" w:type="dxa"/>
          </w:tcPr>
          <w:p w14:paraId="18C48B31" w14:textId="77777777" w:rsidR="00DE0A0C" w:rsidRPr="00F01347" w:rsidRDefault="00DE0A0C" w:rsidP="00DE0A0C">
            <w:pPr>
              <w:pStyle w:val="texto0"/>
              <w:ind w:firstLine="0"/>
              <w:rPr>
                <w:rFonts w:ascii="Verdana" w:hAnsi="Verdana"/>
                <w:b/>
                <w:sz w:val="16"/>
                <w:szCs w:val="16"/>
              </w:rPr>
            </w:pPr>
            <w:r w:rsidRPr="00F01347">
              <w:rPr>
                <w:rFonts w:ascii="Verdana" w:hAnsi="Verdana"/>
                <w:b/>
                <w:sz w:val="16"/>
                <w:szCs w:val="16"/>
              </w:rPr>
              <w:t>B.13.1 Símbolos y términos abreviados</w:t>
            </w:r>
          </w:p>
        </w:tc>
        <w:tc>
          <w:tcPr>
            <w:tcW w:w="4675" w:type="dxa"/>
          </w:tcPr>
          <w:p w14:paraId="6E2F702F" w14:textId="0811076C" w:rsidR="00DE0A0C" w:rsidRPr="00F01347" w:rsidRDefault="00DE0A0C" w:rsidP="00DE0A0C">
            <w:pPr>
              <w:pStyle w:val="texto0"/>
              <w:ind w:firstLine="0"/>
              <w:rPr>
                <w:rFonts w:ascii="Verdana" w:hAnsi="Verdana"/>
                <w:b/>
                <w:sz w:val="16"/>
                <w:szCs w:val="16"/>
                <w:lang w:val="en-US"/>
              </w:rPr>
            </w:pPr>
            <w:r w:rsidRPr="00F01347">
              <w:rPr>
                <w:rFonts w:ascii="Verdana" w:hAnsi="Verdana"/>
                <w:b/>
                <w:sz w:val="16"/>
                <w:szCs w:val="16"/>
                <w:lang w:val="en-US"/>
              </w:rPr>
              <w:t>B.13.1 Symbols and abbreviated terms</w:t>
            </w:r>
          </w:p>
        </w:tc>
      </w:tr>
      <w:tr w:rsidR="00DE0A0C" w:rsidRPr="00F01347" w14:paraId="2B68EB51" w14:textId="0905E7F4" w:rsidTr="00AF700D">
        <w:tc>
          <w:tcPr>
            <w:tcW w:w="4675" w:type="dxa"/>
          </w:tcPr>
          <w:p w14:paraId="2F3BFD15" w14:textId="77777777" w:rsidR="00DE0A0C" w:rsidRPr="00F01347" w:rsidRDefault="00DE0A0C" w:rsidP="00DE0A0C">
            <w:pPr>
              <w:pStyle w:val="texto0"/>
              <w:ind w:firstLine="0"/>
              <w:rPr>
                <w:rFonts w:ascii="Verdana" w:hAnsi="Verdana"/>
                <w:sz w:val="16"/>
                <w:szCs w:val="16"/>
              </w:rPr>
            </w:pPr>
            <w:r w:rsidRPr="00F01347">
              <w:rPr>
                <w:rFonts w:ascii="Verdana" w:hAnsi="Verdana"/>
                <w:sz w:val="16"/>
                <w:szCs w:val="16"/>
              </w:rPr>
              <w:t>CG/FIC</w:t>
            </w:r>
            <w:r w:rsidRPr="00F01347">
              <w:rPr>
                <w:rFonts w:ascii="Verdana" w:hAnsi="Verdana"/>
                <w:sz w:val="16"/>
                <w:szCs w:val="16"/>
              </w:rPr>
              <w:tab/>
              <w:t>cromatografía de gases con detector de ionización de flama</w:t>
            </w:r>
          </w:p>
        </w:tc>
        <w:tc>
          <w:tcPr>
            <w:tcW w:w="4675" w:type="dxa"/>
          </w:tcPr>
          <w:p w14:paraId="42A0358F" w14:textId="1056798D" w:rsidR="00DE0A0C" w:rsidRPr="00F01347" w:rsidRDefault="00DE0A0C" w:rsidP="00DE0A0C">
            <w:pPr>
              <w:pStyle w:val="texto0"/>
              <w:ind w:firstLine="0"/>
              <w:rPr>
                <w:rFonts w:ascii="Verdana" w:hAnsi="Verdana"/>
                <w:sz w:val="16"/>
                <w:szCs w:val="16"/>
                <w:lang w:val="en-US"/>
              </w:rPr>
            </w:pPr>
            <w:r w:rsidRPr="00F01347">
              <w:rPr>
                <w:rFonts w:ascii="Verdana" w:hAnsi="Verdana"/>
                <w:sz w:val="16"/>
                <w:szCs w:val="16"/>
                <w:lang w:val="en-US"/>
              </w:rPr>
              <w:t xml:space="preserve">CG/FIC </w:t>
            </w:r>
            <w:r w:rsidRPr="00F01347">
              <w:rPr>
                <w:rFonts w:ascii="Verdana" w:hAnsi="Verdana"/>
                <w:sz w:val="16"/>
                <w:szCs w:val="16"/>
                <w:lang w:val="en-US"/>
              </w:rPr>
              <w:tab/>
              <w:t>gas chromatography with flame ionization detector</w:t>
            </w:r>
          </w:p>
        </w:tc>
      </w:tr>
      <w:tr w:rsidR="00DE0A0C" w:rsidRPr="00F01347" w14:paraId="06CF62F1" w14:textId="217A88A0" w:rsidTr="00AF700D">
        <w:tc>
          <w:tcPr>
            <w:tcW w:w="4675" w:type="dxa"/>
          </w:tcPr>
          <w:p w14:paraId="73185059" w14:textId="77777777" w:rsidR="00DE0A0C" w:rsidRPr="00F01347" w:rsidRDefault="00DE0A0C" w:rsidP="00DE0A0C">
            <w:pPr>
              <w:pStyle w:val="texto0"/>
              <w:ind w:firstLine="0"/>
              <w:rPr>
                <w:rFonts w:ascii="Verdana" w:hAnsi="Verdana"/>
                <w:sz w:val="16"/>
                <w:szCs w:val="16"/>
              </w:rPr>
            </w:pPr>
            <w:r w:rsidRPr="00F01347">
              <w:rPr>
                <w:rFonts w:ascii="Verdana" w:hAnsi="Verdana"/>
                <w:sz w:val="16"/>
                <w:szCs w:val="16"/>
              </w:rPr>
              <w:t>CONH</w:t>
            </w:r>
            <w:r w:rsidRPr="00F01347">
              <w:rPr>
                <w:rFonts w:ascii="Verdana" w:hAnsi="Verdana"/>
                <w:sz w:val="16"/>
                <w:szCs w:val="16"/>
              </w:rPr>
              <w:tab/>
              <w:t>compuestos orgánicos no halogenados</w:t>
            </w:r>
          </w:p>
        </w:tc>
        <w:tc>
          <w:tcPr>
            <w:tcW w:w="4675" w:type="dxa"/>
          </w:tcPr>
          <w:p w14:paraId="74D831EC" w14:textId="6081DC5B" w:rsidR="00DE0A0C" w:rsidRPr="00F01347" w:rsidRDefault="00DE0A0C" w:rsidP="00DE0A0C">
            <w:pPr>
              <w:pStyle w:val="texto0"/>
              <w:ind w:firstLine="0"/>
              <w:rPr>
                <w:rFonts w:ascii="Verdana" w:hAnsi="Verdana"/>
                <w:sz w:val="16"/>
                <w:szCs w:val="16"/>
                <w:lang w:val="en-US"/>
              </w:rPr>
            </w:pPr>
            <w:r w:rsidRPr="00F01347">
              <w:rPr>
                <w:rFonts w:ascii="Verdana" w:hAnsi="Verdana"/>
                <w:sz w:val="16"/>
                <w:szCs w:val="16"/>
                <w:lang w:val="en-US"/>
              </w:rPr>
              <w:t xml:space="preserve">CONH </w:t>
            </w:r>
            <w:r w:rsidRPr="00F01347">
              <w:rPr>
                <w:rFonts w:ascii="Verdana" w:hAnsi="Verdana"/>
                <w:sz w:val="16"/>
                <w:szCs w:val="16"/>
                <w:lang w:val="en-US"/>
              </w:rPr>
              <w:tab/>
              <w:t>non-halogenated organic compounds</w:t>
            </w:r>
          </w:p>
        </w:tc>
      </w:tr>
      <w:tr w:rsidR="00DE0A0C" w:rsidRPr="00F01347" w14:paraId="4D65388F" w14:textId="53E26441" w:rsidTr="00AF700D">
        <w:tc>
          <w:tcPr>
            <w:tcW w:w="4675" w:type="dxa"/>
          </w:tcPr>
          <w:p w14:paraId="5D136DB9" w14:textId="77777777" w:rsidR="00DE0A0C" w:rsidRPr="00F01347" w:rsidRDefault="00DE0A0C" w:rsidP="00DE0A0C">
            <w:pPr>
              <w:pStyle w:val="texto0"/>
              <w:ind w:firstLine="0"/>
              <w:rPr>
                <w:rFonts w:ascii="Verdana" w:hAnsi="Verdana"/>
                <w:sz w:val="16"/>
                <w:szCs w:val="16"/>
              </w:rPr>
            </w:pPr>
            <w:r w:rsidRPr="00F01347">
              <w:rPr>
                <w:rFonts w:ascii="Verdana" w:hAnsi="Verdana"/>
                <w:sz w:val="16"/>
                <w:szCs w:val="16"/>
              </w:rPr>
              <w:t>FC</w:t>
            </w:r>
            <w:r w:rsidRPr="00F01347">
              <w:rPr>
                <w:rFonts w:ascii="Verdana" w:hAnsi="Verdana"/>
                <w:sz w:val="16"/>
                <w:szCs w:val="16"/>
              </w:rPr>
              <w:tab/>
              <w:t>factor de calibración</w:t>
            </w:r>
          </w:p>
        </w:tc>
        <w:tc>
          <w:tcPr>
            <w:tcW w:w="4675" w:type="dxa"/>
          </w:tcPr>
          <w:p w14:paraId="2F2CE8E8" w14:textId="52CDA15C" w:rsidR="00DE0A0C" w:rsidRPr="00F01347" w:rsidRDefault="009F384B" w:rsidP="00DE0A0C">
            <w:pPr>
              <w:pStyle w:val="texto0"/>
              <w:ind w:firstLine="0"/>
              <w:rPr>
                <w:rFonts w:ascii="Verdana" w:hAnsi="Verdana"/>
                <w:sz w:val="16"/>
                <w:szCs w:val="16"/>
                <w:lang w:val="en-US"/>
              </w:rPr>
            </w:pPr>
            <w:r>
              <w:rPr>
                <w:rFonts w:ascii="Verdana" w:hAnsi="Verdana"/>
                <w:sz w:val="16"/>
                <w:szCs w:val="16"/>
                <w:lang w:val="en-US"/>
              </w:rPr>
              <w:t>FC</w:t>
            </w:r>
            <w:r w:rsidR="00DE0A0C" w:rsidRPr="00F01347">
              <w:rPr>
                <w:rFonts w:ascii="Verdana" w:hAnsi="Verdana"/>
                <w:sz w:val="16"/>
                <w:szCs w:val="16"/>
                <w:lang w:val="en-US"/>
              </w:rPr>
              <w:t xml:space="preserve"> </w:t>
            </w:r>
            <w:r w:rsidR="00DE0A0C" w:rsidRPr="00F01347">
              <w:rPr>
                <w:rFonts w:ascii="Verdana" w:hAnsi="Verdana"/>
                <w:sz w:val="16"/>
                <w:szCs w:val="16"/>
                <w:lang w:val="en-US"/>
              </w:rPr>
              <w:tab/>
              <w:t>calibration factor</w:t>
            </w:r>
          </w:p>
        </w:tc>
      </w:tr>
      <w:tr w:rsidR="00DE0A0C" w:rsidRPr="00F01347" w14:paraId="54AC1209" w14:textId="6A79CDF8" w:rsidTr="00AF700D">
        <w:tc>
          <w:tcPr>
            <w:tcW w:w="4675" w:type="dxa"/>
          </w:tcPr>
          <w:p w14:paraId="3F37A46F" w14:textId="77777777" w:rsidR="00DE0A0C" w:rsidRPr="00F01347" w:rsidRDefault="00DE0A0C" w:rsidP="00DE0A0C">
            <w:pPr>
              <w:pStyle w:val="texto0"/>
              <w:ind w:firstLine="0"/>
              <w:rPr>
                <w:rFonts w:ascii="Verdana" w:hAnsi="Verdana"/>
                <w:sz w:val="16"/>
                <w:szCs w:val="16"/>
              </w:rPr>
            </w:pPr>
            <w:r w:rsidRPr="00F01347">
              <w:rPr>
                <w:rFonts w:ascii="Verdana" w:hAnsi="Verdana"/>
                <w:sz w:val="16"/>
                <w:szCs w:val="16"/>
              </w:rPr>
              <w:lastRenderedPageBreak/>
              <w:t>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ab/>
              <w:t>ácido sulfúrico</w:t>
            </w:r>
          </w:p>
        </w:tc>
        <w:tc>
          <w:tcPr>
            <w:tcW w:w="4675" w:type="dxa"/>
          </w:tcPr>
          <w:p w14:paraId="5DDF99DB" w14:textId="6752DE4F" w:rsidR="00DE0A0C" w:rsidRPr="00F01347" w:rsidRDefault="00DE0A0C" w:rsidP="00DE0A0C">
            <w:pPr>
              <w:pStyle w:val="texto0"/>
              <w:ind w:firstLine="0"/>
              <w:rPr>
                <w:rFonts w:ascii="Verdana" w:hAnsi="Verdana"/>
                <w:sz w:val="16"/>
                <w:szCs w:val="16"/>
                <w:lang w:val="en-US"/>
              </w:rPr>
            </w:pPr>
            <w:r w:rsidRPr="00F01347">
              <w:rPr>
                <w:rFonts w:ascii="Verdana" w:hAnsi="Verdana"/>
                <w:sz w:val="16"/>
                <w:szCs w:val="16"/>
                <w:lang w:val="en-US"/>
              </w:rPr>
              <w:t>H</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 xml:space="preserve">4 </w:t>
            </w:r>
            <w:r w:rsidRPr="00F01347">
              <w:rPr>
                <w:rFonts w:ascii="Verdana" w:hAnsi="Verdana"/>
                <w:sz w:val="16"/>
                <w:szCs w:val="16"/>
                <w:lang w:val="en-US"/>
              </w:rPr>
              <w:tab/>
              <w:t>sulfuric acid</w:t>
            </w:r>
          </w:p>
        </w:tc>
      </w:tr>
      <w:tr w:rsidR="00DE0A0C" w:rsidRPr="00F01347" w14:paraId="7F12971D" w14:textId="6B335289" w:rsidTr="00AF700D">
        <w:tc>
          <w:tcPr>
            <w:tcW w:w="4675" w:type="dxa"/>
          </w:tcPr>
          <w:p w14:paraId="683CC9B2" w14:textId="77777777" w:rsidR="00DE0A0C" w:rsidRPr="00F01347" w:rsidRDefault="00DE0A0C" w:rsidP="00DE0A0C">
            <w:pPr>
              <w:pStyle w:val="texto0"/>
              <w:ind w:firstLine="0"/>
              <w:rPr>
                <w:rFonts w:ascii="Verdana" w:hAnsi="Verdana"/>
                <w:sz w:val="16"/>
                <w:szCs w:val="16"/>
              </w:rPr>
            </w:pPr>
            <w:r w:rsidRPr="00F01347">
              <w:rPr>
                <w:rFonts w:ascii="Verdana" w:hAnsi="Verdana"/>
                <w:sz w:val="16"/>
                <w:szCs w:val="16"/>
              </w:rPr>
              <w:t>NaOH</w:t>
            </w:r>
            <w:r w:rsidRPr="00F01347">
              <w:rPr>
                <w:rFonts w:ascii="Verdana" w:hAnsi="Verdana"/>
                <w:sz w:val="16"/>
                <w:szCs w:val="16"/>
              </w:rPr>
              <w:tab/>
              <w:t>hidróxido de sodio</w:t>
            </w:r>
          </w:p>
        </w:tc>
        <w:tc>
          <w:tcPr>
            <w:tcW w:w="4675" w:type="dxa"/>
          </w:tcPr>
          <w:p w14:paraId="2AF23341" w14:textId="760D06BB" w:rsidR="00DE0A0C" w:rsidRPr="00F01347" w:rsidRDefault="00DE0A0C" w:rsidP="00DE0A0C">
            <w:pPr>
              <w:pStyle w:val="texto0"/>
              <w:ind w:firstLine="0"/>
              <w:rPr>
                <w:rFonts w:ascii="Verdana" w:hAnsi="Verdana"/>
                <w:sz w:val="16"/>
                <w:szCs w:val="16"/>
                <w:lang w:val="en-US"/>
              </w:rPr>
            </w:pPr>
            <w:r w:rsidRPr="00F01347">
              <w:rPr>
                <w:rFonts w:ascii="Verdana" w:hAnsi="Verdana"/>
                <w:sz w:val="16"/>
                <w:szCs w:val="16"/>
                <w:lang w:val="en-US"/>
              </w:rPr>
              <w:t xml:space="preserve">NaOH </w:t>
            </w:r>
            <w:r w:rsidRPr="00F01347">
              <w:rPr>
                <w:rFonts w:ascii="Verdana" w:hAnsi="Verdana"/>
                <w:sz w:val="16"/>
                <w:szCs w:val="16"/>
                <w:lang w:val="en-US"/>
              </w:rPr>
              <w:tab/>
              <w:t>sodium hydroxide</w:t>
            </w:r>
          </w:p>
        </w:tc>
      </w:tr>
      <w:tr w:rsidR="00DE0A0C" w:rsidRPr="00F01347" w14:paraId="2B436F4A" w14:textId="5F3C5438" w:rsidTr="00AF700D">
        <w:tc>
          <w:tcPr>
            <w:tcW w:w="4675" w:type="dxa"/>
          </w:tcPr>
          <w:p w14:paraId="073C317E" w14:textId="77777777" w:rsidR="00DE0A0C" w:rsidRPr="00F01347" w:rsidRDefault="00DE0A0C" w:rsidP="00DE0A0C">
            <w:pPr>
              <w:pStyle w:val="texto0"/>
              <w:ind w:firstLine="0"/>
              <w:rPr>
                <w:rFonts w:ascii="Verdana" w:hAnsi="Verdana"/>
                <w:b/>
                <w:sz w:val="16"/>
                <w:szCs w:val="16"/>
              </w:rPr>
            </w:pPr>
            <w:r w:rsidRPr="00F01347">
              <w:rPr>
                <w:rFonts w:ascii="Verdana" w:hAnsi="Verdana"/>
                <w:b/>
                <w:sz w:val="16"/>
                <w:szCs w:val="16"/>
              </w:rPr>
              <w:t>B.13.2 Principio</w:t>
            </w:r>
          </w:p>
        </w:tc>
        <w:tc>
          <w:tcPr>
            <w:tcW w:w="4675" w:type="dxa"/>
          </w:tcPr>
          <w:p w14:paraId="2877CCE6" w14:textId="6CC83974" w:rsidR="00DE0A0C" w:rsidRPr="00F01347" w:rsidRDefault="00DE0A0C" w:rsidP="00DE0A0C">
            <w:pPr>
              <w:pStyle w:val="texto0"/>
              <w:ind w:firstLine="0"/>
              <w:rPr>
                <w:rFonts w:ascii="Verdana" w:hAnsi="Verdana"/>
                <w:b/>
                <w:sz w:val="16"/>
                <w:szCs w:val="16"/>
                <w:lang w:val="en-US"/>
              </w:rPr>
            </w:pPr>
            <w:r w:rsidRPr="00F01347">
              <w:rPr>
                <w:rFonts w:ascii="Verdana" w:hAnsi="Verdana"/>
                <w:b/>
                <w:sz w:val="16"/>
                <w:szCs w:val="16"/>
                <w:lang w:val="en-US"/>
              </w:rPr>
              <w:t>B.13.2 Principle</w:t>
            </w:r>
          </w:p>
        </w:tc>
      </w:tr>
      <w:tr w:rsidR="00DE0A0C" w:rsidRPr="00F01347" w14:paraId="0EE1EA1A" w14:textId="48968B83" w:rsidTr="00AF700D">
        <w:tc>
          <w:tcPr>
            <w:tcW w:w="4675" w:type="dxa"/>
          </w:tcPr>
          <w:p w14:paraId="55112C6B" w14:textId="77777777" w:rsidR="00DE0A0C" w:rsidRPr="00F01347" w:rsidRDefault="00DE0A0C" w:rsidP="00DE0A0C">
            <w:pPr>
              <w:pStyle w:val="texto0"/>
              <w:spacing w:line="220" w:lineRule="exact"/>
              <w:ind w:firstLine="0"/>
              <w:rPr>
                <w:rFonts w:ascii="Verdana" w:hAnsi="Verdana"/>
                <w:sz w:val="16"/>
                <w:szCs w:val="16"/>
              </w:rPr>
            </w:pPr>
            <w:r w:rsidRPr="00F01347">
              <w:rPr>
                <w:rFonts w:ascii="Verdana" w:hAnsi="Verdana"/>
                <w:sz w:val="16"/>
                <w:szCs w:val="16"/>
              </w:rPr>
              <w:t>Este método contiene los procedimientos de extracción, condiciones cromatográficas, ventanas de tiempo, requerimientos de control de calidad y cálculos para la identificación y cuantificación de compuestos orgánicos no halogenados.</w:t>
            </w:r>
          </w:p>
        </w:tc>
        <w:tc>
          <w:tcPr>
            <w:tcW w:w="4675" w:type="dxa"/>
          </w:tcPr>
          <w:p w14:paraId="52730DE9" w14:textId="58510B5A" w:rsidR="00DE0A0C" w:rsidRPr="00F01347" w:rsidRDefault="00DE0A0C" w:rsidP="00DE0A0C">
            <w:pPr>
              <w:pStyle w:val="texto0"/>
              <w:spacing w:line="220" w:lineRule="exact"/>
              <w:ind w:firstLine="0"/>
              <w:rPr>
                <w:rFonts w:ascii="Verdana" w:hAnsi="Verdana"/>
                <w:sz w:val="16"/>
                <w:szCs w:val="16"/>
                <w:lang w:val="en-US"/>
              </w:rPr>
            </w:pPr>
            <w:r w:rsidRPr="00F01347">
              <w:rPr>
                <w:rFonts w:ascii="Verdana" w:hAnsi="Verdana"/>
                <w:sz w:val="16"/>
                <w:szCs w:val="16"/>
                <w:lang w:val="en-US"/>
              </w:rPr>
              <w:t>This method contains the extraction procedures, chromatographic conditions, time windows, quality control requirements and calculations for the identification and quantification of non-halogenated organic compounds.</w:t>
            </w:r>
          </w:p>
        </w:tc>
      </w:tr>
      <w:tr w:rsidR="00DE0A0C" w:rsidRPr="00F01347" w14:paraId="7831A726" w14:textId="303D8478" w:rsidTr="00AF700D">
        <w:tc>
          <w:tcPr>
            <w:tcW w:w="4675" w:type="dxa"/>
          </w:tcPr>
          <w:p w14:paraId="0BDEAA23" w14:textId="77777777" w:rsidR="00DE0A0C" w:rsidRPr="00F01347" w:rsidRDefault="00DE0A0C" w:rsidP="00DE0A0C">
            <w:pPr>
              <w:pStyle w:val="texto0"/>
              <w:spacing w:line="220" w:lineRule="exact"/>
              <w:ind w:firstLine="0"/>
              <w:rPr>
                <w:rFonts w:ascii="Verdana" w:hAnsi="Verdana"/>
                <w:sz w:val="16"/>
                <w:szCs w:val="16"/>
              </w:rPr>
            </w:pPr>
            <w:r w:rsidRPr="00F01347">
              <w:rPr>
                <w:rFonts w:ascii="Verdana" w:hAnsi="Verdana"/>
                <w:sz w:val="16"/>
                <w:szCs w:val="16"/>
              </w:rPr>
              <w:t xml:space="preserve">Los compuestos orgánicos no halogenados en matriz </w:t>
            </w:r>
            <w:proofErr w:type="gramStart"/>
            <w:r w:rsidRPr="00F01347">
              <w:rPr>
                <w:rFonts w:ascii="Verdana" w:hAnsi="Verdana"/>
                <w:sz w:val="16"/>
                <w:szCs w:val="16"/>
              </w:rPr>
              <w:t>agua,</w:t>
            </w:r>
            <w:proofErr w:type="gramEnd"/>
            <w:r w:rsidRPr="00F01347">
              <w:rPr>
                <w:rFonts w:ascii="Verdana" w:hAnsi="Verdana"/>
                <w:sz w:val="16"/>
                <w:szCs w:val="16"/>
              </w:rPr>
              <w:t xml:space="preserve"> son extraídos con cloruro de metileno por extracción líquido-líquido, el extracto es analizado por cromatografía de gases inyectando de 1 a 3 µL.</w:t>
            </w:r>
          </w:p>
        </w:tc>
        <w:tc>
          <w:tcPr>
            <w:tcW w:w="4675" w:type="dxa"/>
          </w:tcPr>
          <w:p w14:paraId="430FC071" w14:textId="382D7169" w:rsidR="00DE0A0C" w:rsidRPr="00F01347" w:rsidRDefault="00DE0A0C" w:rsidP="00DE0A0C">
            <w:pPr>
              <w:pStyle w:val="texto0"/>
              <w:spacing w:line="220" w:lineRule="exact"/>
              <w:ind w:firstLine="0"/>
              <w:rPr>
                <w:rFonts w:ascii="Verdana" w:hAnsi="Verdana"/>
                <w:sz w:val="16"/>
                <w:szCs w:val="16"/>
                <w:lang w:val="en-US"/>
              </w:rPr>
            </w:pPr>
            <w:r w:rsidRPr="00F01347">
              <w:rPr>
                <w:rFonts w:ascii="Verdana" w:hAnsi="Verdana"/>
                <w:sz w:val="16"/>
                <w:szCs w:val="16"/>
                <w:lang w:val="en-US"/>
              </w:rPr>
              <w:t>The non-halogenated organic compounds in a water matrix are extracted with methylene chloride by liquid-liquid extraction. The extract is analyzed by gas chromatography by injecting 1 to 3 µL.</w:t>
            </w:r>
          </w:p>
        </w:tc>
      </w:tr>
      <w:tr w:rsidR="00DE0A0C" w:rsidRPr="00F01347" w14:paraId="58963B5F" w14:textId="29924A70" w:rsidTr="00AF700D">
        <w:tc>
          <w:tcPr>
            <w:tcW w:w="4675" w:type="dxa"/>
          </w:tcPr>
          <w:p w14:paraId="23E663FA" w14:textId="77777777" w:rsidR="00DE0A0C" w:rsidRPr="00F01347" w:rsidRDefault="00DE0A0C" w:rsidP="00DE0A0C">
            <w:pPr>
              <w:pStyle w:val="texto0"/>
              <w:spacing w:line="220" w:lineRule="exact"/>
              <w:ind w:firstLine="0"/>
              <w:rPr>
                <w:rFonts w:ascii="Verdana" w:hAnsi="Verdana"/>
                <w:b/>
                <w:sz w:val="16"/>
                <w:szCs w:val="16"/>
              </w:rPr>
            </w:pPr>
            <w:r w:rsidRPr="00F01347">
              <w:rPr>
                <w:rFonts w:ascii="Verdana" w:hAnsi="Verdana"/>
                <w:b/>
                <w:sz w:val="16"/>
                <w:szCs w:val="16"/>
              </w:rPr>
              <w:t>B.13.3 Alcance y aplicación</w:t>
            </w:r>
          </w:p>
        </w:tc>
        <w:tc>
          <w:tcPr>
            <w:tcW w:w="4675" w:type="dxa"/>
          </w:tcPr>
          <w:p w14:paraId="6C3E7709" w14:textId="42648A55" w:rsidR="00DE0A0C" w:rsidRPr="00F01347" w:rsidRDefault="00DE0A0C" w:rsidP="00DE0A0C">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B.13.3 Scope and application</w:t>
            </w:r>
          </w:p>
        </w:tc>
      </w:tr>
      <w:tr w:rsidR="00DE0A0C" w:rsidRPr="00F01347" w14:paraId="75B5BF7E" w14:textId="0891A57C" w:rsidTr="00AF700D">
        <w:tc>
          <w:tcPr>
            <w:tcW w:w="4675" w:type="dxa"/>
          </w:tcPr>
          <w:p w14:paraId="16708547" w14:textId="77777777" w:rsidR="00DE0A0C" w:rsidRPr="00F01347" w:rsidRDefault="00DE0A0C" w:rsidP="00DE0A0C">
            <w:pPr>
              <w:pStyle w:val="texto0"/>
              <w:spacing w:line="220" w:lineRule="exact"/>
              <w:ind w:firstLine="0"/>
              <w:rPr>
                <w:rFonts w:ascii="Verdana" w:hAnsi="Verdana"/>
                <w:sz w:val="16"/>
                <w:szCs w:val="16"/>
              </w:rPr>
            </w:pPr>
            <w:r w:rsidRPr="00F01347">
              <w:rPr>
                <w:rFonts w:ascii="Verdana" w:hAnsi="Verdana"/>
                <w:sz w:val="16"/>
                <w:szCs w:val="16"/>
              </w:rPr>
              <w:t>Este método es utilizado para la determinación de compuestos orgánicos no halogenados, que comprende el intervalo de punto de ebullición de compuestos orgánicos con estructuras de 10 carbonos (C</w:t>
            </w:r>
            <w:r w:rsidRPr="00F01347">
              <w:rPr>
                <w:rFonts w:ascii="Verdana" w:hAnsi="Verdana"/>
                <w:sz w:val="16"/>
                <w:szCs w:val="16"/>
                <w:vertAlign w:val="subscript"/>
              </w:rPr>
              <w:t>10</w:t>
            </w:r>
            <w:r w:rsidRPr="00F01347">
              <w:rPr>
                <w:rFonts w:ascii="Verdana" w:hAnsi="Verdana"/>
                <w:sz w:val="16"/>
                <w:szCs w:val="16"/>
              </w:rPr>
              <w:t>) a 28 carbonos (C</w:t>
            </w:r>
            <w:r w:rsidRPr="00F01347">
              <w:rPr>
                <w:rFonts w:ascii="Verdana" w:hAnsi="Verdana"/>
                <w:sz w:val="16"/>
                <w:szCs w:val="16"/>
                <w:vertAlign w:val="subscript"/>
              </w:rPr>
              <w:t>28</w:t>
            </w:r>
            <w:r w:rsidRPr="00F01347">
              <w:rPr>
                <w:rFonts w:ascii="Verdana" w:hAnsi="Verdana"/>
                <w:sz w:val="16"/>
                <w:szCs w:val="16"/>
              </w:rPr>
              <w:t>), extraíbles por cromatografía de gases con detector de ionización de flama (CG/FID) en muestras de agua para uso y consumo humano.</w:t>
            </w:r>
          </w:p>
        </w:tc>
        <w:tc>
          <w:tcPr>
            <w:tcW w:w="4675" w:type="dxa"/>
          </w:tcPr>
          <w:p w14:paraId="5686376C" w14:textId="183103C1" w:rsidR="00DE0A0C" w:rsidRPr="00F01347" w:rsidRDefault="00DE0A0C" w:rsidP="00DE0A0C">
            <w:pPr>
              <w:pStyle w:val="texto0"/>
              <w:spacing w:line="220" w:lineRule="exact"/>
              <w:ind w:firstLine="0"/>
              <w:rPr>
                <w:rFonts w:ascii="Verdana" w:hAnsi="Verdana"/>
                <w:sz w:val="16"/>
                <w:szCs w:val="16"/>
                <w:lang w:val="en-US"/>
              </w:rPr>
            </w:pPr>
            <w:r w:rsidRPr="00F01347">
              <w:rPr>
                <w:rFonts w:ascii="Verdana" w:hAnsi="Verdana"/>
                <w:sz w:val="16"/>
                <w:szCs w:val="16"/>
                <w:lang w:val="en-US"/>
              </w:rPr>
              <w:t xml:space="preserve">This method is used for the determination of non-halogenated organic compounds, which includes the boiling point range of organic compounds with structures from 10 carbons (C </w:t>
            </w:r>
            <w:r w:rsidRPr="009F384B">
              <w:rPr>
                <w:rFonts w:ascii="Verdana" w:hAnsi="Verdana"/>
                <w:sz w:val="16"/>
                <w:szCs w:val="16"/>
                <w:vertAlign w:val="subscript"/>
                <w:lang w:val="en-US"/>
              </w:rPr>
              <w:t>10</w:t>
            </w:r>
            <w:r w:rsidRPr="00F01347">
              <w:rPr>
                <w:rFonts w:ascii="Verdana" w:hAnsi="Verdana"/>
                <w:sz w:val="16"/>
                <w:szCs w:val="16"/>
                <w:lang w:val="en-US"/>
              </w:rPr>
              <w:t xml:space="preserve">) </w:t>
            </w:r>
            <w:r w:rsidR="009F384B">
              <w:rPr>
                <w:rFonts w:ascii="Verdana" w:hAnsi="Verdana"/>
                <w:sz w:val="16"/>
                <w:szCs w:val="16"/>
                <w:lang w:val="en-US"/>
              </w:rPr>
              <w:t>to 28</w:t>
            </w:r>
            <w:r w:rsidRPr="00F01347">
              <w:rPr>
                <w:rFonts w:ascii="Verdana" w:hAnsi="Verdana"/>
                <w:sz w:val="16"/>
                <w:szCs w:val="16"/>
                <w:lang w:val="en-US"/>
              </w:rPr>
              <w:t xml:space="preserve"> carbons (C</w:t>
            </w:r>
            <w:r w:rsidRPr="00F01347">
              <w:rPr>
                <w:rFonts w:ascii="Verdana" w:hAnsi="Verdana"/>
                <w:sz w:val="16"/>
                <w:szCs w:val="16"/>
                <w:vertAlign w:val="subscript"/>
                <w:lang w:val="en-US"/>
              </w:rPr>
              <w:t>28</w:t>
            </w:r>
            <w:r w:rsidR="00913802" w:rsidRPr="00F01347">
              <w:rPr>
                <w:rFonts w:ascii="Verdana" w:hAnsi="Verdana"/>
                <w:sz w:val="16"/>
                <w:szCs w:val="16"/>
                <w:lang w:val="en-US"/>
              </w:rPr>
              <w:t>)</w:t>
            </w:r>
            <w:r w:rsidRPr="00F01347">
              <w:rPr>
                <w:rFonts w:ascii="Verdana" w:hAnsi="Verdana"/>
                <w:sz w:val="16"/>
                <w:szCs w:val="16"/>
                <w:lang w:val="en-US"/>
              </w:rPr>
              <w:t>, extractable by gas chromatography with ionization detector of flame (CG/FID) in water samples for human use and consumption.</w:t>
            </w:r>
          </w:p>
        </w:tc>
      </w:tr>
      <w:tr w:rsidR="00DE0A0C" w:rsidRPr="00F01347" w14:paraId="4C6FD628" w14:textId="38D6459E" w:rsidTr="00AF700D">
        <w:tc>
          <w:tcPr>
            <w:tcW w:w="4675" w:type="dxa"/>
          </w:tcPr>
          <w:p w14:paraId="588048A5" w14:textId="77777777" w:rsidR="00DE0A0C" w:rsidRPr="00F01347" w:rsidRDefault="00DE0A0C" w:rsidP="00DE0A0C">
            <w:pPr>
              <w:pStyle w:val="texto0"/>
              <w:spacing w:line="220" w:lineRule="exact"/>
              <w:ind w:firstLine="0"/>
              <w:rPr>
                <w:rFonts w:ascii="Verdana" w:hAnsi="Verdana"/>
                <w:b/>
                <w:sz w:val="16"/>
                <w:szCs w:val="16"/>
              </w:rPr>
            </w:pPr>
            <w:r w:rsidRPr="00F01347">
              <w:rPr>
                <w:rFonts w:ascii="Verdana" w:hAnsi="Verdana"/>
                <w:b/>
                <w:sz w:val="16"/>
                <w:szCs w:val="16"/>
              </w:rPr>
              <w:t>B.13.4 Equipos y materiales</w:t>
            </w:r>
          </w:p>
        </w:tc>
        <w:tc>
          <w:tcPr>
            <w:tcW w:w="4675" w:type="dxa"/>
          </w:tcPr>
          <w:p w14:paraId="0F3980A3" w14:textId="10B27AB5" w:rsidR="00DE0A0C" w:rsidRPr="00F01347" w:rsidRDefault="00DE0A0C" w:rsidP="00DE0A0C">
            <w:pPr>
              <w:pStyle w:val="texto0"/>
              <w:spacing w:line="220" w:lineRule="exact"/>
              <w:ind w:firstLine="0"/>
              <w:rPr>
                <w:rFonts w:ascii="Verdana" w:hAnsi="Verdana"/>
                <w:b/>
                <w:sz w:val="16"/>
                <w:szCs w:val="16"/>
                <w:lang w:val="en-US"/>
              </w:rPr>
            </w:pPr>
            <w:r w:rsidRPr="00F01347">
              <w:rPr>
                <w:rFonts w:ascii="Verdana" w:hAnsi="Verdana"/>
                <w:b/>
                <w:sz w:val="16"/>
                <w:szCs w:val="16"/>
                <w:lang w:val="en-US"/>
              </w:rPr>
              <w:t>B.13.4 Equipment and materials</w:t>
            </w:r>
          </w:p>
        </w:tc>
      </w:tr>
      <w:tr w:rsidR="00DE0A0C" w:rsidRPr="00F01347" w14:paraId="7A3B3E6A" w14:textId="689D2CEB" w:rsidTr="00AF700D">
        <w:tc>
          <w:tcPr>
            <w:tcW w:w="4675" w:type="dxa"/>
          </w:tcPr>
          <w:p w14:paraId="79778BCD" w14:textId="77777777" w:rsidR="00DE0A0C" w:rsidRPr="00F01347" w:rsidRDefault="00DE0A0C" w:rsidP="00DE0A0C">
            <w:pPr>
              <w:pStyle w:val="texto0"/>
              <w:spacing w:line="220" w:lineRule="exact"/>
              <w:ind w:firstLine="0"/>
              <w:rPr>
                <w:rFonts w:ascii="Verdana" w:hAnsi="Verdana"/>
                <w:sz w:val="16"/>
                <w:szCs w:val="16"/>
              </w:rPr>
            </w:pPr>
            <w:r w:rsidRPr="00F01347">
              <w:rPr>
                <w:rFonts w:ascii="Verdana" w:hAnsi="Verdana"/>
                <w:sz w:val="16"/>
                <w:szCs w:val="16"/>
              </w:rPr>
              <w:t>Las referencias a marcas específicas y números de catálogo se incluyen sólo como ejemplos y no implican aprobación de los productos. Dicha referencia no excluye el uso de otros proveedores o fabricantes. Las referencias específicas pretenden representar especificaciones adecuadas para los artículos.</w:t>
            </w:r>
          </w:p>
        </w:tc>
        <w:tc>
          <w:tcPr>
            <w:tcW w:w="4675" w:type="dxa"/>
          </w:tcPr>
          <w:p w14:paraId="70D12243" w14:textId="2A1A37D0" w:rsidR="00DE0A0C" w:rsidRPr="00F01347" w:rsidRDefault="00DE0A0C" w:rsidP="00DE0A0C">
            <w:pPr>
              <w:pStyle w:val="texto0"/>
              <w:spacing w:line="220" w:lineRule="exact"/>
              <w:ind w:firstLine="0"/>
              <w:rPr>
                <w:rFonts w:ascii="Verdana" w:hAnsi="Verdana"/>
                <w:sz w:val="16"/>
                <w:szCs w:val="16"/>
                <w:lang w:val="en-US"/>
              </w:rPr>
            </w:pPr>
            <w:r w:rsidRPr="00F01347">
              <w:rPr>
                <w:rFonts w:ascii="Verdana" w:hAnsi="Verdana"/>
                <w:sz w:val="16"/>
                <w:szCs w:val="16"/>
                <w:lang w:val="en-US"/>
              </w:rPr>
              <w:t>References to specific brands and catalog numbers are included as examples only and do not imply endorsement of the products. This reference does not exclude the use of other suppliers or manufacturers. Specific references are intended to represent appropriate specifications for the items.</w:t>
            </w:r>
          </w:p>
        </w:tc>
      </w:tr>
      <w:tr w:rsidR="00DE0A0C" w:rsidRPr="00F01347" w14:paraId="364516D0" w14:textId="66DD9680" w:rsidTr="00AF700D">
        <w:tc>
          <w:tcPr>
            <w:tcW w:w="4675" w:type="dxa"/>
          </w:tcPr>
          <w:p w14:paraId="4DD66DF4" w14:textId="77777777" w:rsidR="00DE0A0C" w:rsidRPr="00F01347" w:rsidRDefault="00DE0A0C" w:rsidP="00DE0A0C">
            <w:pPr>
              <w:pStyle w:val="texto0"/>
              <w:spacing w:line="220" w:lineRule="exact"/>
              <w:ind w:firstLine="0"/>
              <w:rPr>
                <w:rFonts w:ascii="Verdana" w:hAnsi="Verdana"/>
                <w:sz w:val="16"/>
                <w:szCs w:val="16"/>
              </w:rPr>
            </w:pPr>
            <w:r w:rsidRPr="00F01347">
              <w:rPr>
                <w:rFonts w:ascii="Verdana" w:hAnsi="Verdana"/>
                <w:sz w:val="16"/>
                <w:szCs w:val="16"/>
              </w:rPr>
              <w:t>Sólo se mencionan los equipos y materiales que no son de uso común en el laboratorio analítico. Todo el material volumétrico utilizado debe ser clase A o estar verificada su calibración.</w:t>
            </w:r>
          </w:p>
        </w:tc>
        <w:tc>
          <w:tcPr>
            <w:tcW w:w="4675" w:type="dxa"/>
          </w:tcPr>
          <w:p w14:paraId="5DE3A25C" w14:textId="4ADBFA08" w:rsidR="00DE0A0C" w:rsidRPr="00F01347" w:rsidRDefault="00DE0A0C" w:rsidP="00DE0A0C">
            <w:pPr>
              <w:pStyle w:val="texto0"/>
              <w:spacing w:line="220" w:lineRule="exact"/>
              <w:ind w:firstLine="0"/>
              <w:rPr>
                <w:rFonts w:ascii="Verdana" w:hAnsi="Verdana"/>
                <w:sz w:val="16"/>
                <w:szCs w:val="16"/>
                <w:lang w:val="en-US"/>
              </w:rPr>
            </w:pPr>
            <w:r w:rsidRPr="00F01347">
              <w:rPr>
                <w:rFonts w:ascii="Verdana" w:hAnsi="Verdana"/>
                <w:sz w:val="16"/>
                <w:szCs w:val="16"/>
                <w:lang w:val="en-US"/>
              </w:rPr>
              <w:t>Only equipment and materials that are not commonly used in the analytical laboratory are mentioned. All volumetric material used must be class A or its calibration verified.</w:t>
            </w:r>
          </w:p>
        </w:tc>
      </w:tr>
      <w:tr w:rsidR="00DE0A0C" w:rsidRPr="00F01347" w14:paraId="0851CF3E" w14:textId="0BC4FF24" w:rsidTr="00AF700D">
        <w:tc>
          <w:tcPr>
            <w:tcW w:w="4675" w:type="dxa"/>
          </w:tcPr>
          <w:p w14:paraId="1388F5FE" w14:textId="77777777" w:rsidR="00DE0A0C" w:rsidRPr="00F01347" w:rsidRDefault="00DE0A0C" w:rsidP="00DE0A0C">
            <w:pPr>
              <w:pStyle w:val="texto0"/>
              <w:spacing w:line="220" w:lineRule="exact"/>
              <w:ind w:firstLine="0"/>
              <w:rPr>
                <w:rFonts w:ascii="Verdana" w:hAnsi="Verdana"/>
                <w:sz w:val="16"/>
                <w:szCs w:val="16"/>
              </w:rPr>
            </w:pPr>
            <w:r w:rsidRPr="00F01347">
              <w:rPr>
                <w:rFonts w:ascii="Verdana" w:hAnsi="Verdana"/>
                <w:b/>
                <w:sz w:val="16"/>
                <w:szCs w:val="16"/>
              </w:rPr>
              <w:t>Baño María</w:t>
            </w:r>
            <w:r w:rsidRPr="00F01347">
              <w:rPr>
                <w:rFonts w:ascii="Verdana" w:hAnsi="Verdana"/>
                <w:sz w:val="16"/>
                <w:szCs w:val="16"/>
              </w:rPr>
              <w:t xml:space="preserve"> con control de temperatura.</w:t>
            </w:r>
          </w:p>
        </w:tc>
        <w:tc>
          <w:tcPr>
            <w:tcW w:w="4675" w:type="dxa"/>
          </w:tcPr>
          <w:p w14:paraId="1F7CAC3C" w14:textId="7413EC14" w:rsidR="00DE0A0C" w:rsidRPr="00F01347" w:rsidRDefault="00DE0A0C" w:rsidP="00DE0A0C">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Bain-marie </w:t>
            </w:r>
            <w:r w:rsidRPr="00F01347">
              <w:rPr>
                <w:rFonts w:ascii="Verdana" w:hAnsi="Verdana"/>
                <w:sz w:val="16"/>
                <w:szCs w:val="16"/>
                <w:lang w:val="en-US"/>
              </w:rPr>
              <w:t>with temperature control.</w:t>
            </w:r>
          </w:p>
        </w:tc>
      </w:tr>
      <w:tr w:rsidR="00DE0A0C" w:rsidRPr="00F01347" w14:paraId="160BB052" w14:textId="41B7C3E8" w:rsidTr="00AF700D">
        <w:tc>
          <w:tcPr>
            <w:tcW w:w="4675" w:type="dxa"/>
          </w:tcPr>
          <w:p w14:paraId="45883951" w14:textId="77777777" w:rsidR="00DE0A0C" w:rsidRPr="00F01347" w:rsidRDefault="00DE0A0C" w:rsidP="00DE0A0C">
            <w:pPr>
              <w:pStyle w:val="texto0"/>
              <w:spacing w:line="220" w:lineRule="exact"/>
              <w:ind w:firstLine="0"/>
              <w:rPr>
                <w:rFonts w:ascii="Verdana" w:hAnsi="Verdana"/>
                <w:b/>
                <w:sz w:val="16"/>
                <w:szCs w:val="16"/>
              </w:rPr>
            </w:pPr>
            <w:r w:rsidRPr="00F01347">
              <w:rPr>
                <w:rFonts w:ascii="Verdana" w:hAnsi="Verdana"/>
                <w:b/>
                <w:sz w:val="16"/>
                <w:szCs w:val="16"/>
              </w:rPr>
              <w:t>Caja de papel filtro Whatman no. 41</w:t>
            </w:r>
          </w:p>
        </w:tc>
        <w:tc>
          <w:tcPr>
            <w:tcW w:w="4675" w:type="dxa"/>
          </w:tcPr>
          <w:p w14:paraId="41E384A1" w14:textId="3B54C00A" w:rsidR="00DE0A0C" w:rsidRPr="00F01347" w:rsidRDefault="00DE0A0C" w:rsidP="00DE0A0C">
            <w:pPr>
              <w:pStyle w:val="texto0"/>
              <w:spacing w:line="220" w:lineRule="exact"/>
              <w:ind w:firstLine="0"/>
              <w:rPr>
                <w:rFonts w:ascii="Verdana" w:hAnsi="Verdana"/>
                <w:b/>
                <w:sz w:val="16"/>
                <w:szCs w:val="16"/>
                <w:lang w:val="en-US"/>
              </w:rPr>
            </w:pPr>
            <w:r w:rsidRPr="00F01347">
              <w:rPr>
                <w:rFonts w:ascii="Verdana" w:hAnsi="Verdana"/>
                <w:b/>
                <w:sz w:val="16"/>
                <w:szCs w:val="16"/>
                <w:lang w:val="en-US"/>
              </w:rPr>
              <w:t>Whatman filter paper box no. 41</w:t>
            </w:r>
          </w:p>
        </w:tc>
      </w:tr>
      <w:tr w:rsidR="00DE0A0C" w:rsidRPr="00F01347" w14:paraId="6934F71B" w14:textId="7A60972D" w:rsidTr="00AF700D">
        <w:tc>
          <w:tcPr>
            <w:tcW w:w="4675" w:type="dxa"/>
          </w:tcPr>
          <w:p w14:paraId="5977EFBC" w14:textId="77777777" w:rsidR="00DE0A0C" w:rsidRPr="00F01347" w:rsidRDefault="00DE0A0C" w:rsidP="00DE0A0C">
            <w:pPr>
              <w:pStyle w:val="texto0"/>
              <w:spacing w:line="220" w:lineRule="exact"/>
              <w:ind w:firstLine="0"/>
              <w:rPr>
                <w:rFonts w:ascii="Verdana" w:hAnsi="Verdana"/>
                <w:sz w:val="16"/>
                <w:szCs w:val="16"/>
              </w:rPr>
            </w:pPr>
            <w:r w:rsidRPr="00F01347">
              <w:rPr>
                <w:rFonts w:ascii="Verdana" w:hAnsi="Verdana"/>
                <w:b/>
                <w:sz w:val="16"/>
                <w:szCs w:val="16"/>
              </w:rPr>
              <w:t>Cromatógrafo de gases con detector de ionización de flama (CG/FID),</w:t>
            </w:r>
            <w:r w:rsidRPr="00F01347">
              <w:rPr>
                <w:rFonts w:ascii="Verdana" w:hAnsi="Verdana"/>
                <w:sz w:val="16"/>
                <w:szCs w:val="16"/>
              </w:rPr>
              <w:t xml:space="preserve"> equipado con puerto de inyección capilar y </w:t>
            </w:r>
            <w:proofErr w:type="spellStart"/>
            <w:r w:rsidRPr="00F01347">
              <w:rPr>
                <w:rFonts w:ascii="Verdana" w:hAnsi="Verdana"/>
                <w:sz w:val="16"/>
                <w:szCs w:val="16"/>
              </w:rPr>
              <w:t>automuestreador</w:t>
            </w:r>
            <w:proofErr w:type="spellEnd"/>
            <w:r w:rsidRPr="00F01347">
              <w:rPr>
                <w:rFonts w:ascii="Verdana" w:hAnsi="Verdana"/>
                <w:sz w:val="16"/>
                <w:szCs w:val="16"/>
              </w:rPr>
              <w:t xml:space="preserve">, así como columna capilar de 30 m, 25 mm de diámetro y película de </w:t>
            </w:r>
            <w:proofErr w:type="spellStart"/>
            <w:r w:rsidRPr="00F01347">
              <w:rPr>
                <w:rFonts w:ascii="Verdana" w:hAnsi="Verdana"/>
                <w:sz w:val="16"/>
                <w:szCs w:val="16"/>
              </w:rPr>
              <w:t>metil</w:t>
            </w:r>
            <w:proofErr w:type="spellEnd"/>
            <w:r w:rsidRPr="00F01347">
              <w:rPr>
                <w:rFonts w:ascii="Verdana" w:hAnsi="Verdana"/>
                <w:sz w:val="16"/>
                <w:szCs w:val="16"/>
              </w:rPr>
              <w:t xml:space="preserve"> silicón de 1.0 µm de espesor.</w:t>
            </w:r>
          </w:p>
        </w:tc>
        <w:tc>
          <w:tcPr>
            <w:tcW w:w="4675" w:type="dxa"/>
          </w:tcPr>
          <w:p w14:paraId="66948B63" w14:textId="2528340A" w:rsidR="00DE0A0C" w:rsidRPr="00F01347" w:rsidRDefault="00DE0A0C" w:rsidP="00DE0A0C">
            <w:pPr>
              <w:pStyle w:val="texto0"/>
              <w:spacing w:line="220" w:lineRule="exact"/>
              <w:ind w:firstLine="0"/>
              <w:rPr>
                <w:rFonts w:ascii="Verdana" w:hAnsi="Verdana"/>
                <w:b/>
                <w:sz w:val="16"/>
                <w:szCs w:val="16"/>
                <w:lang w:val="en-US"/>
              </w:rPr>
            </w:pPr>
            <w:r w:rsidRPr="00F01347">
              <w:rPr>
                <w:rFonts w:ascii="Verdana" w:hAnsi="Verdana"/>
                <w:b/>
                <w:sz w:val="16"/>
                <w:szCs w:val="16"/>
                <w:lang w:val="en-US"/>
              </w:rPr>
              <w:t xml:space="preserve">Gas chromatograph with flame ionization detector (CG/FID), </w:t>
            </w:r>
            <w:r w:rsidRPr="00F01347">
              <w:rPr>
                <w:rFonts w:ascii="Verdana" w:hAnsi="Verdana"/>
                <w:sz w:val="16"/>
                <w:szCs w:val="16"/>
                <w:lang w:val="en-US"/>
              </w:rPr>
              <w:t>equipped with capillary injection port and autosampler</w:t>
            </w:r>
            <w:r w:rsidR="003E1BA9" w:rsidRPr="00F01347">
              <w:rPr>
                <w:rFonts w:ascii="Verdana" w:hAnsi="Verdana"/>
                <w:sz w:val="16"/>
                <w:szCs w:val="16"/>
                <w:lang w:val="en-US"/>
              </w:rPr>
              <w:t>,</w:t>
            </w:r>
            <w:r w:rsidRPr="00F01347">
              <w:rPr>
                <w:rFonts w:ascii="Verdana" w:hAnsi="Verdana"/>
                <w:sz w:val="16"/>
                <w:szCs w:val="16"/>
                <w:lang w:val="en-US"/>
              </w:rPr>
              <w:t xml:space="preserve"> as well as a 30 m, 25 mm diameter capillary column and 1.0 µm thick methyl silicone film.</w:t>
            </w:r>
          </w:p>
        </w:tc>
      </w:tr>
      <w:tr w:rsidR="00DE0A0C" w:rsidRPr="00F01347" w14:paraId="72C4549E" w14:textId="077700F7" w:rsidTr="00AF700D">
        <w:tc>
          <w:tcPr>
            <w:tcW w:w="4675" w:type="dxa"/>
          </w:tcPr>
          <w:p w14:paraId="2FF8B1A8" w14:textId="77777777" w:rsidR="00DE0A0C" w:rsidRPr="00F01347" w:rsidRDefault="00DE0A0C" w:rsidP="00DE0A0C">
            <w:pPr>
              <w:pStyle w:val="texto0"/>
              <w:spacing w:line="220" w:lineRule="exact"/>
              <w:ind w:firstLine="0"/>
              <w:rPr>
                <w:rFonts w:ascii="Verdana" w:hAnsi="Verdana"/>
                <w:sz w:val="16"/>
                <w:szCs w:val="16"/>
              </w:rPr>
            </w:pPr>
            <w:r w:rsidRPr="00F01347">
              <w:rPr>
                <w:rFonts w:ascii="Verdana" w:hAnsi="Verdana"/>
                <w:b/>
                <w:sz w:val="16"/>
                <w:szCs w:val="16"/>
              </w:rPr>
              <w:t>Embudos de filtración</w:t>
            </w:r>
            <w:r w:rsidRPr="00F01347">
              <w:rPr>
                <w:rFonts w:ascii="Verdana" w:hAnsi="Verdana"/>
                <w:sz w:val="16"/>
                <w:szCs w:val="16"/>
              </w:rPr>
              <w:t xml:space="preserve"> de tallo corto o largo.</w:t>
            </w:r>
          </w:p>
        </w:tc>
        <w:tc>
          <w:tcPr>
            <w:tcW w:w="4675" w:type="dxa"/>
          </w:tcPr>
          <w:p w14:paraId="7B6CC54A" w14:textId="3D9C61C2" w:rsidR="00DE0A0C" w:rsidRPr="00F01347" w:rsidRDefault="00123FAE" w:rsidP="00DE0A0C">
            <w:pPr>
              <w:pStyle w:val="texto0"/>
              <w:spacing w:line="220" w:lineRule="exact"/>
              <w:ind w:firstLine="0"/>
              <w:rPr>
                <w:rFonts w:ascii="Verdana" w:hAnsi="Verdana"/>
                <w:b/>
                <w:sz w:val="16"/>
                <w:szCs w:val="16"/>
                <w:lang w:val="en-US"/>
              </w:rPr>
            </w:pPr>
            <w:r w:rsidRPr="00F01347">
              <w:rPr>
                <w:rFonts w:ascii="Verdana" w:hAnsi="Verdana"/>
                <w:b/>
                <w:sz w:val="16"/>
                <w:szCs w:val="16"/>
                <w:lang w:val="en-US"/>
              </w:rPr>
              <w:t>F</w:t>
            </w:r>
            <w:r w:rsidR="00DE0A0C" w:rsidRPr="00F01347">
              <w:rPr>
                <w:rFonts w:ascii="Verdana" w:hAnsi="Verdana"/>
                <w:b/>
                <w:sz w:val="16"/>
                <w:szCs w:val="16"/>
                <w:lang w:val="en-US"/>
              </w:rPr>
              <w:t>iltration funnels</w:t>
            </w:r>
            <w:r w:rsidRPr="00F01347">
              <w:rPr>
                <w:rFonts w:ascii="Verdana" w:hAnsi="Verdana"/>
                <w:sz w:val="16"/>
                <w:szCs w:val="16"/>
                <w:lang w:val="en-US"/>
              </w:rPr>
              <w:t xml:space="preserve"> short or long</w:t>
            </w:r>
            <w:r w:rsidRPr="00F01347">
              <w:rPr>
                <w:rFonts w:ascii="Verdana" w:hAnsi="Verdana"/>
                <w:sz w:val="16"/>
                <w:szCs w:val="16"/>
                <w:lang w:val="en-US"/>
              </w:rPr>
              <w:t xml:space="preserve"> stem</w:t>
            </w:r>
            <w:r w:rsidR="003E1BA9" w:rsidRPr="00F01347">
              <w:rPr>
                <w:rFonts w:ascii="Verdana" w:hAnsi="Verdana"/>
                <w:b/>
                <w:sz w:val="16"/>
                <w:szCs w:val="16"/>
                <w:lang w:val="en-US"/>
              </w:rPr>
              <w:t>.</w:t>
            </w:r>
          </w:p>
        </w:tc>
      </w:tr>
      <w:tr w:rsidR="00DE0A0C" w:rsidRPr="00F01347" w14:paraId="21072CDF" w14:textId="172DDD80" w:rsidTr="00AF700D">
        <w:tc>
          <w:tcPr>
            <w:tcW w:w="4675" w:type="dxa"/>
          </w:tcPr>
          <w:p w14:paraId="70EF2263" w14:textId="77777777" w:rsidR="00DE0A0C" w:rsidRPr="00F01347" w:rsidRDefault="00DE0A0C" w:rsidP="00DE0A0C">
            <w:pPr>
              <w:pStyle w:val="texto0"/>
              <w:ind w:firstLine="0"/>
              <w:rPr>
                <w:rFonts w:ascii="Verdana" w:hAnsi="Verdana"/>
                <w:sz w:val="16"/>
                <w:szCs w:val="16"/>
              </w:rPr>
            </w:pPr>
            <w:r w:rsidRPr="00F01347">
              <w:rPr>
                <w:rFonts w:ascii="Verdana" w:hAnsi="Verdana"/>
                <w:b/>
                <w:sz w:val="16"/>
                <w:szCs w:val="16"/>
              </w:rPr>
              <w:t xml:space="preserve">Equipos concentradores </w:t>
            </w:r>
            <w:proofErr w:type="spellStart"/>
            <w:r w:rsidRPr="00F01347">
              <w:rPr>
                <w:rFonts w:ascii="Verdana" w:hAnsi="Verdana"/>
                <w:b/>
                <w:sz w:val="16"/>
                <w:szCs w:val="16"/>
              </w:rPr>
              <w:t>kuderna-danish</w:t>
            </w:r>
            <w:proofErr w:type="spellEnd"/>
            <w:r w:rsidRPr="00F01347">
              <w:rPr>
                <w:rFonts w:ascii="Verdana" w:hAnsi="Verdana"/>
                <w:sz w:val="16"/>
                <w:szCs w:val="16"/>
              </w:rPr>
              <w:t xml:space="preserve"> (tubo concentrador, matraz de 500 </w:t>
            </w:r>
            <w:proofErr w:type="spellStart"/>
            <w:r w:rsidRPr="00F01347">
              <w:rPr>
                <w:rFonts w:ascii="Verdana" w:hAnsi="Verdana"/>
                <w:sz w:val="16"/>
                <w:szCs w:val="16"/>
              </w:rPr>
              <w:t>mL</w:t>
            </w:r>
            <w:proofErr w:type="spellEnd"/>
            <w:r w:rsidRPr="00F01347">
              <w:rPr>
                <w:rFonts w:ascii="Verdana" w:hAnsi="Verdana"/>
                <w:sz w:val="16"/>
                <w:szCs w:val="16"/>
              </w:rPr>
              <w:t xml:space="preserve"> y columna </w:t>
            </w:r>
            <w:proofErr w:type="spellStart"/>
            <w:r w:rsidRPr="00F01347">
              <w:rPr>
                <w:rFonts w:ascii="Verdana" w:hAnsi="Verdana"/>
                <w:sz w:val="16"/>
                <w:szCs w:val="16"/>
              </w:rPr>
              <w:t>snyder</w:t>
            </w:r>
            <w:proofErr w:type="spellEnd"/>
            <w:r w:rsidRPr="00F01347">
              <w:rPr>
                <w:rFonts w:ascii="Verdana" w:hAnsi="Verdana"/>
                <w:sz w:val="16"/>
                <w:szCs w:val="16"/>
              </w:rPr>
              <w:t xml:space="preserve"> de tres bolas).</w:t>
            </w:r>
          </w:p>
        </w:tc>
        <w:tc>
          <w:tcPr>
            <w:tcW w:w="4675" w:type="dxa"/>
          </w:tcPr>
          <w:p w14:paraId="5597311E" w14:textId="2DFD6F86" w:rsidR="00DE0A0C" w:rsidRPr="00F01347" w:rsidRDefault="00DE0A0C" w:rsidP="00DE0A0C">
            <w:pPr>
              <w:pStyle w:val="texto0"/>
              <w:ind w:firstLine="0"/>
              <w:rPr>
                <w:rFonts w:ascii="Verdana" w:hAnsi="Verdana"/>
                <w:b/>
                <w:sz w:val="16"/>
                <w:szCs w:val="16"/>
                <w:lang w:val="en-US"/>
              </w:rPr>
            </w:pPr>
            <w:r w:rsidRPr="00F01347">
              <w:rPr>
                <w:rFonts w:ascii="Verdana" w:hAnsi="Verdana"/>
                <w:b/>
                <w:sz w:val="16"/>
                <w:szCs w:val="16"/>
                <w:lang w:val="en-US"/>
              </w:rPr>
              <w:t xml:space="preserve">Kuderna-Danish concentrator equipment </w:t>
            </w:r>
            <w:r w:rsidRPr="00F01347">
              <w:rPr>
                <w:rFonts w:ascii="Verdana" w:hAnsi="Verdana"/>
                <w:sz w:val="16"/>
                <w:szCs w:val="16"/>
                <w:lang w:val="en-US"/>
              </w:rPr>
              <w:t>(concentrator tube, 500 mL flask and three-ball Snyder column</w:t>
            </w:r>
            <w:r w:rsidR="00913802" w:rsidRPr="00F01347">
              <w:rPr>
                <w:rFonts w:ascii="Verdana" w:hAnsi="Verdana"/>
                <w:sz w:val="16"/>
                <w:szCs w:val="16"/>
                <w:lang w:val="en-US"/>
              </w:rPr>
              <w:t>)</w:t>
            </w:r>
            <w:r w:rsidRPr="00F01347">
              <w:rPr>
                <w:rFonts w:ascii="Verdana" w:hAnsi="Verdana"/>
                <w:sz w:val="16"/>
                <w:szCs w:val="16"/>
                <w:lang w:val="en-US"/>
              </w:rPr>
              <w:t>.</w:t>
            </w:r>
          </w:p>
        </w:tc>
      </w:tr>
      <w:tr w:rsidR="00DE0A0C" w:rsidRPr="00F01347" w14:paraId="6606CA51" w14:textId="4E34131C" w:rsidTr="00AF700D">
        <w:tc>
          <w:tcPr>
            <w:tcW w:w="4675" w:type="dxa"/>
          </w:tcPr>
          <w:p w14:paraId="2B51390F"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b/>
                <w:sz w:val="16"/>
                <w:szCs w:val="16"/>
              </w:rPr>
              <w:t>Gradilla para viales</w:t>
            </w:r>
            <w:r w:rsidRPr="00F01347">
              <w:rPr>
                <w:rFonts w:ascii="Verdana" w:hAnsi="Verdana"/>
                <w:sz w:val="16"/>
                <w:szCs w:val="16"/>
              </w:rPr>
              <w:t xml:space="preserve"> de 2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3ECDF70F" w14:textId="5CE930EA"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bCs/>
                <w:sz w:val="16"/>
                <w:szCs w:val="16"/>
                <w:lang w:val="en-US"/>
              </w:rPr>
              <w:t>2 mL vials</w:t>
            </w:r>
            <w:r w:rsidR="003E1BA9" w:rsidRPr="00F01347">
              <w:rPr>
                <w:rFonts w:ascii="Verdana" w:hAnsi="Verdana"/>
                <w:b/>
                <w:sz w:val="16"/>
                <w:szCs w:val="16"/>
                <w:lang w:val="en-US"/>
              </w:rPr>
              <w:t>.</w:t>
            </w:r>
          </w:p>
        </w:tc>
      </w:tr>
      <w:tr w:rsidR="00DE0A0C" w:rsidRPr="00F01347" w14:paraId="7E1B3AC4" w14:textId="179F3DB0" w:rsidTr="00AF700D">
        <w:tc>
          <w:tcPr>
            <w:tcW w:w="4675" w:type="dxa"/>
          </w:tcPr>
          <w:p w14:paraId="2D8C6569"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b/>
                <w:sz w:val="16"/>
                <w:szCs w:val="16"/>
              </w:rPr>
              <w:t>Matraz Erlenmeyer</w:t>
            </w:r>
            <w:r w:rsidRPr="00F01347">
              <w:rPr>
                <w:rFonts w:ascii="Verdana" w:hAnsi="Verdana"/>
                <w:sz w:val="16"/>
                <w:szCs w:val="16"/>
              </w:rPr>
              <w:t xml:space="preserve"> de 250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530E36F1" w14:textId="0D198A3B"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Erlenmeyer flask</w:t>
            </w:r>
            <w:r w:rsidR="00123FAE" w:rsidRPr="00F01347">
              <w:rPr>
                <w:rFonts w:ascii="Verdana" w:hAnsi="Verdana"/>
                <w:b/>
                <w:sz w:val="16"/>
                <w:szCs w:val="16"/>
                <w:lang w:val="en-US"/>
              </w:rPr>
              <w:t xml:space="preserve"> </w:t>
            </w:r>
            <w:r w:rsidR="00123FAE" w:rsidRPr="00F01347">
              <w:rPr>
                <w:rFonts w:ascii="Verdana" w:hAnsi="Verdana"/>
                <w:sz w:val="16"/>
                <w:szCs w:val="16"/>
                <w:lang w:val="en-US"/>
              </w:rPr>
              <w:t>250 mL</w:t>
            </w:r>
            <w:r w:rsidR="003E1BA9" w:rsidRPr="00F01347">
              <w:rPr>
                <w:rFonts w:ascii="Verdana" w:hAnsi="Verdana"/>
                <w:b/>
                <w:sz w:val="16"/>
                <w:szCs w:val="16"/>
                <w:lang w:val="en-US"/>
              </w:rPr>
              <w:t>.</w:t>
            </w:r>
          </w:p>
        </w:tc>
      </w:tr>
      <w:tr w:rsidR="00DE0A0C" w:rsidRPr="00F01347" w14:paraId="27D5E8A2" w14:textId="67425ADE" w:rsidTr="00AF700D">
        <w:tc>
          <w:tcPr>
            <w:tcW w:w="4675" w:type="dxa"/>
          </w:tcPr>
          <w:p w14:paraId="75AA784C"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b/>
                <w:sz w:val="16"/>
                <w:szCs w:val="16"/>
              </w:rPr>
              <w:t xml:space="preserve">Matraz de separación </w:t>
            </w:r>
            <w:r w:rsidRPr="00F01347">
              <w:rPr>
                <w:rFonts w:ascii="Verdana" w:hAnsi="Verdana"/>
                <w:sz w:val="16"/>
                <w:szCs w:val="16"/>
              </w:rPr>
              <w:t>con llave de teflón de 2 litros.</w:t>
            </w:r>
          </w:p>
        </w:tc>
        <w:tc>
          <w:tcPr>
            <w:tcW w:w="4675" w:type="dxa"/>
          </w:tcPr>
          <w:p w14:paraId="77A4DD4C" w14:textId="16FB0A48"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 xml:space="preserve">Separation flask </w:t>
            </w:r>
            <w:r w:rsidRPr="00F01347">
              <w:rPr>
                <w:rFonts w:ascii="Verdana" w:hAnsi="Verdana"/>
                <w:sz w:val="16"/>
                <w:szCs w:val="16"/>
                <w:lang w:val="en-US"/>
              </w:rPr>
              <w:t xml:space="preserve">with </w:t>
            </w:r>
            <w:proofErr w:type="gramStart"/>
            <w:r w:rsidRPr="00F01347">
              <w:rPr>
                <w:rFonts w:ascii="Verdana" w:hAnsi="Verdana"/>
                <w:sz w:val="16"/>
                <w:szCs w:val="16"/>
                <w:lang w:val="en-US"/>
              </w:rPr>
              <w:t>2 liter</w:t>
            </w:r>
            <w:proofErr w:type="gramEnd"/>
            <w:r w:rsidRPr="00F01347">
              <w:rPr>
                <w:rFonts w:ascii="Verdana" w:hAnsi="Verdana"/>
                <w:sz w:val="16"/>
                <w:szCs w:val="16"/>
                <w:lang w:val="en-US"/>
              </w:rPr>
              <w:t xml:space="preserve"> Teflon stopcock.</w:t>
            </w:r>
          </w:p>
        </w:tc>
      </w:tr>
      <w:tr w:rsidR="00DE0A0C" w:rsidRPr="00F01347" w14:paraId="4188CF0C" w14:textId="564A6896" w:rsidTr="00AF700D">
        <w:tc>
          <w:tcPr>
            <w:tcW w:w="4675" w:type="dxa"/>
          </w:tcPr>
          <w:p w14:paraId="544A4D6A"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b/>
                <w:sz w:val="16"/>
                <w:szCs w:val="16"/>
              </w:rPr>
              <w:t>Matraz volumétrico</w:t>
            </w:r>
            <w:r w:rsidRPr="00F01347">
              <w:rPr>
                <w:rFonts w:ascii="Verdana" w:hAnsi="Verdana"/>
                <w:sz w:val="16"/>
                <w:szCs w:val="16"/>
              </w:rPr>
              <w:t xml:space="preserve"> de 1, 5 y 10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7F9B15BC" w14:textId="106FC6E2"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 xml:space="preserve">Volumetric flask </w:t>
            </w:r>
            <w:r w:rsidRPr="00F01347">
              <w:rPr>
                <w:rFonts w:ascii="Verdana" w:hAnsi="Verdana"/>
                <w:sz w:val="16"/>
                <w:szCs w:val="16"/>
                <w:lang w:val="en-US"/>
              </w:rPr>
              <w:t>of 1, 5 and 10 mL</w:t>
            </w:r>
            <w:r w:rsidR="003E1BA9" w:rsidRPr="00F01347">
              <w:rPr>
                <w:rFonts w:ascii="Verdana" w:hAnsi="Verdana"/>
                <w:sz w:val="16"/>
                <w:szCs w:val="16"/>
                <w:lang w:val="en-US"/>
              </w:rPr>
              <w:t>.</w:t>
            </w:r>
          </w:p>
        </w:tc>
      </w:tr>
      <w:tr w:rsidR="00DE0A0C" w:rsidRPr="00F01347" w14:paraId="02CC8541" w14:textId="36305F3C" w:rsidTr="00AF700D">
        <w:tc>
          <w:tcPr>
            <w:tcW w:w="4675" w:type="dxa"/>
          </w:tcPr>
          <w:p w14:paraId="387BDCA5" w14:textId="77777777" w:rsidR="00DE0A0C" w:rsidRPr="00F01347" w:rsidRDefault="00DE0A0C" w:rsidP="00DE0A0C">
            <w:pPr>
              <w:pStyle w:val="texto0"/>
              <w:spacing w:line="242" w:lineRule="exact"/>
              <w:ind w:firstLine="0"/>
              <w:rPr>
                <w:rFonts w:ascii="Verdana" w:hAnsi="Verdana"/>
                <w:sz w:val="16"/>
                <w:szCs w:val="16"/>
              </w:rPr>
            </w:pPr>
            <w:proofErr w:type="spellStart"/>
            <w:r w:rsidRPr="00F01347">
              <w:rPr>
                <w:rFonts w:ascii="Verdana" w:hAnsi="Verdana"/>
                <w:b/>
                <w:sz w:val="16"/>
                <w:szCs w:val="16"/>
              </w:rPr>
              <w:t>Microjeringas</w:t>
            </w:r>
            <w:proofErr w:type="spellEnd"/>
            <w:r w:rsidRPr="00F01347">
              <w:rPr>
                <w:rFonts w:ascii="Verdana" w:hAnsi="Verdana"/>
                <w:sz w:val="16"/>
                <w:szCs w:val="16"/>
              </w:rPr>
              <w:t xml:space="preserve"> de 10, 25, 50, 100, 500 y 1 000 µL</w:t>
            </w:r>
          </w:p>
        </w:tc>
        <w:tc>
          <w:tcPr>
            <w:tcW w:w="4675" w:type="dxa"/>
          </w:tcPr>
          <w:p w14:paraId="78C24E58" w14:textId="45FD83EE" w:rsidR="00DE0A0C" w:rsidRPr="00F01347" w:rsidRDefault="00DE0A0C" w:rsidP="00DE0A0C">
            <w:pPr>
              <w:pStyle w:val="texto0"/>
              <w:spacing w:line="242" w:lineRule="exact"/>
              <w:ind w:firstLine="0"/>
              <w:rPr>
                <w:rFonts w:ascii="Verdana" w:hAnsi="Verdana"/>
                <w:b/>
                <w:sz w:val="16"/>
                <w:szCs w:val="16"/>
                <w:lang w:val="en-US"/>
              </w:rPr>
            </w:pPr>
            <w:proofErr w:type="spellStart"/>
            <w:r w:rsidRPr="00F01347">
              <w:rPr>
                <w:rFonts w:ascii="Verdana" w:hAnsi="Verdana"/>
                <w:b/>
                <w:sz w:val="16"/>
                <w:szCs w:val="16"/>
                <w:lang w:val="en-US"/>
              </w:rPr>
              <w:t>Microsyringes</w:t>
            </w:r>
            <w:proofErr w:type="spellEnd"/>
            <w:r w:rsidRPr="00F01347">
              <w:rPr>
                <w:rFonts w:ascii="Verdana" w:hAnsi="Verdana"/>
                <w:b/>
                <w:sz w:val="16"/>
                <w:szCs w:val="16"/>
                <w:lang w:val="en-US"/>
              </w:rPr>
              <w:t xml:space="preserve"> </w:t>
            </w:r>
            <w:r w:rsidRPr="00F01347">
              <w:rPr>
                <w:rFonts w:ascii="Verdana" w:hAnsi="Verdana"/>
                <w:sz w:val="16"/>
                <w:szCs w:val="16"/>
                <w:lang w:val="en-US"/>
              </w:rPr>
              <w:t>of 10, 25, 50, 100, 500 and 1 000 µL</w:t>
            </w:r>
          </w:p>
        </w:tc>
      </w:tr>
      <w:tr w:rsidR="00DE0A0C" w:rsidRPr="00F01347" w14:paraId="3307BAED" w14:textId="4443B745" w:rsidTr="00AF700D">
        <w:tc>
          <w:tcPr>
            <w:tcW w:w="4675" w:type="dxa"/>
          </w:tcPr>
          <w:p w14:paraId="7B20C3E2" w14:textId="77777777" w:rsidR="00DE0A0C" w:rsidRPr="00F01347" w:rsidRDefault="00DE0A0C" w:rsidP="00DE0A0C">
            <w:pPr>
              <w:pStyle w:val="texto0"/>
              <w:spacing w:line="242" w:lineRule="exact"/>
              <w:ind w:firstLine="0"/>
              <w:rPr>
                <w:rFonts w:ascii="Verdana" w:hAnsi="Verdana"/>
                <w:b/>
                <w:sz w:val="16"/>
                <w:szCs w:val="16"/>
              </w:rPr>
            </w:pPr>
            <w:r w:rsidRPr="00F01347">
              <w:rPr>
                <w:rFonts w:ascii="Verdana" w:hAnsi="Verdana"/>
                <w:b/>
                <w:sz w:val="16"/>
                <w:szCs w:val="16"/>
              </w:rPr>
              <w:t>Parrilla de agitación magnética</w:t>
            </w:r>
          </w:p>
        </w:tc>
        <w:tc>
          <w:tcPr>
            <w:tcW w:w="4675" w:type="dxa"/>
          </w:tcPr>
          <w:p w14:paraId="74DABE09" w14:textId="29BB1A2D"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Magnetic Stirring Grill</w:t>
            </w:r>
          </w:p>
        </w:tc>
      </w:tr>
      <w:tr w:rsidR="00DE0A0C" w:rsidRPr="00F01347" w14:paraId="3504DB16" w14:textId="231BA834" w:rsidTr="00AF700D">
        <w:tc>
          <w:tcPr>
            <w:tcW w:w="4675" w:type="dxa"/>
          </w:tcPr>
          <w:p w14:paraId="4A9AF063" w14:textId="77777777" w:rsidR="00DE0A0C" w:rsidRPr="00F01347" w:rsidRDefault="00DE0A0C" w:rsidP="00DE0A0C">
            <w:pPr>
              <w:pStyle w:val="texto0"/>
              <w:spacing w:line="242" w:lineRule="exact"/>
              <w:ind w:firstLine="0"/>
              <w:rPr>
                <w:rFonts w:ascii="Verdana" w:hAnsi="Verdana"/>
                <w:b/>
                <w:sz w:val="16"/>
                <w:szCs w:val="16"/>
              </w:rPr>
            </w:pPr>
            <w:r w:rsidRPr="00F01347">
              <w:rPr>
                <w:rFonts w:ascii="Verdana" w:hAnsi="Verdana"/>
                <w:b/>
                <w:sz w:val="16"/>
                <w:szCs w:val="16"/>
              </w:rPr>
              <w:lastRenderedPageBreak/>
              <w:t>Parrilla de calentamiento</w:t>
            </w:r>
          </w:p>
        </w:tc>
        <w:tc>
          <w:tcPr>
            <w:tcW w:w="4675" w:type="dxa"/>
          </w:tcPr>
          <w:p w14:paraId="77109666" w14:textId="09E80C97"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Warming grill</w:t>
            </w:r>
          </w:p>
        </w:tc>
      </w:tr>
      <w:tr w:rsidR="00DE0A0C" w:rsidRPr="00F01347" w14:paraId="6D414C80" w14:textId="7BBE56D3" w:rsidTr="00AF700D">
        <w:tc>
          <w:tcPr>
            <w:tcW w:w="4675" w:type="dxa"/>
          </w:tcPr>
          <w:p w14:paraId="16559BA8" w14:textId="77777777" w:rsidR="00DE0A0C" w:rsidRPr="00F01347" w:rsidRDefault="00DE0A0C" w:rsidP="00DE0A0C">
            <w:pPr>
              <w:pStyle w:val="texto0"/>
              <w:spacing w:line="242" w:lineRule="exact"/>
              <w:ind w:firstLine="0"/>
              <w:rPr>
                <w:rFonts w:ascii="Verdana" w:hAnsi="Verdana"/>
                <w:b/>
                <w:sz w:val="16"/>
                <w:szCs w:val="16"/>
              </w:rPr>
            </w:pPr>
            <w:r w:rsidRPr="00F01347">
              <w:rPr>
                <w:rFonts w:ascii="Verdana" w:hAnsi="Verdana"/>
                <w:b/>
                <w:sz w:val="16"/>
                <w:szCs w:val="16"/>
              </w:rPr>
              <w:t>Perlas de ebullición</w:t>
            </w:r>
          </w:p>
        </w:tc>
        <w:tc>
          <w:tcPr>
            <w:tcW w:w="4675" w:type="dxa"/>
          </w:tcPr>
          <w:p w14:paraId="5015DC68" w14:textId="2637A0F9"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Boiling beads</w:t>
            </w:r>
          </w:p>
        </w:tc>
      </w:tr>
      <w:tr w:rsidR="00DE0A0C" w:rsidRPr="00F01347" w14:paraId="6E85E7B4" w14:textId="22232C8E" w:rsidTr="00AF700D">
        <w:tc>
          <w:tcPr>
            <w:tcW w:w="4675" w:type="dxa"/>
          </w:tcPr>
          <w:p w14:paraId="7D20CDD9"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b/>
                <w:sz w:val="16"/>
                <w:szCs w:val="16"/>
              </w:rPr>
              <w:t>Pipetas Pasteur</w:t>
            </w:r>
            <w:r w:rsidRPr="00F01347">
              <w:rPr>
                <w:rFonts w:ascii="Verdana" w:hAnsi="Verdana"/>
                <w:sz w:val="16"/>
                <w:szCs w:val="16"/>
              </w:rPr>
              <w:t xml:space="preserve"> de 230 </w:t>
            </w:r>
            <w:proofErr w:type="spellStart"/>
            <w:r w:rsidRPr="00F01347">
              <w:rPr>
                <w:rFonts w:ascii="Verdana" w:hAnsi="Verdana"/>
                <w:sz w:val="16"/>
                <w:szCs w:val="16"/>
              </w:rPr>
              <w:t>mm.</w:t>
            </w:r>
            <w:proofErr w:type="spellEnd"/>
          </w:p>
        </w:tc>
        <w:tc>
          <w:tcPr>
            <w:tcW w:w="4675" w:type="dxa"/>
          </w:tcPr>
          <w:p w14:paraId="3A70FE7B" w14:textId="3BD727D3"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Pasteur pipettes</w:t>
            </w:r>
            <w:r w:rsidR="00123FAE" w:rsidRPr="00F01347">
              <w:rPr>
                <w:rFonts w:ascii="Verdana" w:hAnsi="Verdana"/>
                <w:b/>
                <w:sz w:val="16"/>
                <w:szCs w:val="16"/>
                <w:lang w:val="en-US"/>
              </w:rPr>
              <w:t xml:space="preserve"> </w:t>
            </w:r>
            <w:r w:rsidR="00123FAE" w:rsidRPr="00F01347">
              <w:rPr>
                <w:rFonts w:ascii="Verdana" w:hAnsi="Verdana"/>
                <w:sz w:val="16"/>
                <w:szCs w:val="16"/>
                <w:lang w:val="en-US"/>
              </w:rPr>
              <w:t>230 mm</w:t>
            </w:r>
            <w:r w:rsidR="003E1BA9" w:rsidRPr="00F01347">
              <w:rPr>
                <w:rFonts w:ascii="Verdana" w:hAnsi="Verdana"/>
                <w:b/>
                <w:sz w:val="16"/>
                <w:szCs w:val="16"/>
                <w:lang w:val="en-US"/>
              </w:rPr>
              <w:t>.</w:t>
            </w:r>
          </w:p>
        </w:tc>
      </w:tr>
      <w:tr w:rsidR="00DE0A0C" w:rsidRPr="00F01347" w14:paraId="61584377" w14:textId="641992FC" w:rsidTr="00AF700D">
        <w:tc>
          <w:tcPr>
            <w:tcW w:w="4675" w:type="dxa"/>
          </w:tcPr>
          <w:p w14:paraId="2216D78F" w14:textId="77777777" w:rsidR="00DE0A0C" w:rsidRPr="00F01347" w:rsidRDefault="00DE0A0C" w:rsidP="00DE0A0C">
            <w:pPr>
              <w:pStyle w:val="texto0"/>
              <w:spacing w:line="242" w:lineRule="exact"/>
              <w:ind w:firstLine="0"/>
              <w:rPr>
                <w:rFonts w:ascii="Verdana" w:hAnsi="Verdana"/>
                <w:b/>
                <w:sz w:val="16"/>
                <w:szCs w:val="16"/>
              </w:rPr>
            </w:pPr>
            <w:r w:rsidRPr="00F01347">
              <w:rPr>
                <w:rFonts w:ascii="Verdana" w:hAnsi="Verdana"/>
                <w:b/>
                <w:sz w:val="16"/>
                <w:szCs w:val="16"/>
              </w:rPr>
              <w:t>Probetas graduadas</w:t>
            </w:r>
            <w:r w:rsidRPr="00F01347">
              <w:rPr>
                <w:rFonts w:ascii="Verdana" w:hAnsi="Verdana"/>
                <w:sz w:val="16"/>
                <w:szCs w:val="16"/>
              </w:rPr>
              <w:t xml:space="preserve"> de 10 y 100 </w:t>
            </w:r>
            <w:proofErr w:type="spellStart"/>
            <w:r w:rsidRPr="00F01347">
              <w:rPr>
                <w:rFonts w:ascii="Verdana" w:hAnsi="Verdana"/>
                <w:sz w:val="16"/>
                <w:szCs w:val="16"/>
              </w:rPr>
              <w:t>mL</w:t>
            </w:r>
            <w:proofErr w:type="spellEnd"/>
            <w:r w:rsidRPr="00F01347">
              <w:rPr>
                <w:rFonts w:ascii="Verdana" w:hAnsi="Verdana"/>
                <w:sz w:val="16"/>
                <w:szCs w:val="16"/>
              </w:rPr>
              <w:t xml:space="preserve"> y de 1 L.</w:t>
            </w:r>
          </w:p>
        </w:tc>
        <w:tc>
          <w:tcPr>
            <w:tcW w:w="4675" w:type="dxa"/>
          </w:tcPr>
          <w:p w14:paraId="4428BC4A" w14:textId="5EC4F506"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 xml:space="preserve">Graduated cylinders </w:t>
            </w:r>
            <w:r w:rsidRPr="00F01347">
              <w:rPr>
                <w:rFonts w:ascii="Verdana" w:hAnsi="Verdana"/>
                <w:sz w:val="16"/>
                <w:szCs w:val="16"/>
                <w:lang w:val="en-US"/>
              </w:rPr>
              <w:t>of 10 and 100 mL and 1 L.</w:t>
            </w:r>
          </w:p>
        </w:tc>
      </w:tr>
      <w:tr w:rsidR="00DE0A0C" w:rsidRPr="00F01347" w14:paraId="1CE6592E" w14:textId="2082411C" w:rsidTr="00AF700D">
        <w:tc>
          <w:tcPr>
            <w:tcW w:w="4675" w:type="dxa"/>
          </w:tcPr>
          <w:p w14:paraId="1221271E" w14:textId="77777777" w:rsidR="00DE0A0C" w:rsidRPr="00F01347" w:rsidRDefault="00DE0A0C" w:rsidP="00DE0A0C">
            <w:pPr>
              <w:pStyle w:val="texto0"/>
              <w:spacing w:line="242" w:lineRule="exact"/>
              <w:ind w:firstLine="0"/>
              <w:rPr>
                <w:rFonts w:ascii="Verdana" w:hAnsi="Verdana"/>
                <w:b/>
                <w:sz w:val="16"/>
                <w:szCs w:val="16"/>
              </w:rPr>
            </w:pPr>
            <w:proofErr w:type="spellStart"/>
            <w:r w:rsidRPr="00F01347">
              <w:rPr>
                <w:rFonts w:ascii="Verdana" w:hAnsi="Verdana"/>
                <w:b/>
                <w:sz w:val="16"/>
                <w:szCs w:val="16"/>
              </w:rPr>
              <w:t>Termoblock</w:t>
            </w:r>
            <w:proofErr w:type="spellEnd"/>
          </w:p>
        </w:tc>
        <w:tc>
          <w:tcPr>
            <w:tcW w:w="4675" w:type="dxa"/>
          </w:tcPr>
          <w:p w14:paraId="40088379" w14:textId="44F8DBB1"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Thermoblock</w:t>
            </w:r>
          </w:p>
        </w:tc>
      </w:tr>
      <w:tr w:rsidR="00DE0A0C" w:rsidRPr="00F01347" w14:paraId="04DC9360" w14:textId="5782EB12" w:rsidTr="00AF700D">
        <w:tc>
          <w:tcPr>
            <w:tcW w:w="4675" w:type="dxa"/>
          </w:tcPr>
          <w:p w14:paraId="4BF804CA"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b/>
                <w:sz w:val="16"/>
                <w:szCs w:val="16"/>
              </w:rPr>
              <w:t>Vasos de precipitados</w:t>
            </w:r>
            <w:r w:rsidRPr="00F01347">
              <w:rPr>
                <w:rFonts w:ascii="Verdana" w:hAnsi="Verdana"/>
                <w:sz w:val="16"/>
                <w:szCs w:val="16"/>
              </w:rPr>
              <w:t xml:space="preserve"> de 100, 250 </w:t>
            </w:r>
            <w:proofErr w:type="spellStart"/>
            <w:r w:rsidRPr="00F01347">
              <w:rPr>
                <w:rFonts w:ascii="Verdana" w:hAnsi="Verdana"/>
                <w:sz w:val="16"/>
                <w:szCs w:val="16"/>
              </w:rPr>
              <w:t>mL</w:t>
            </w:r>
            <w:proofErr w:type="spellEnd"/>
            <w:r w:rsidRPr="00F01347">
              <w:rPr>
                <w:rFonts w:ascii="Verdana" w:hAnsi="Verdana"/>
                <w:sz w:val="16"/>
                <w:szCs w:val="16"/>
              </w:rPr>
              <w:t xml:space="preserve"> y 500 </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54810347" w14:textId="3F6F57E8"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 xml:space="preserve">Beakers </w:t>
            </w:r>
            <w:r w:rsidRPr="00F01347">
              <w:rPr>
                <w:rFonts w:ascii="Verdana" w:hAnsi="Verdana"/>
                <w:sz w:val="16"/>
                <w:szCs w:val="16"/>
                <w:lang w:val="en-US"/>
              </w:rPr>
              <w:t>of 100, 250 mL and 500 mL</w:t>
            </w:r>
            <w:r w:rsidR="003E1BA9" w:rsidRPr="00F01347">
              <w:rPr>
                <w:rFonts w:ascii="Verdana" w:hAnsi="Verdana"/>
                <w:sz w:val="16"/>
                <w:szCs w:val="16"/>
                <w:lang w:val="en-US"/>
              </w:rPr>
              <w:t>.</w:t>
            </w:r>
          </w:p>
        </w:tc>
      </w:tr>
      <w:tr w:rsidR="00DE0A0C" w:rsidRPr="00F01347" w14:paraId="50C90D69" w14:textId="5DA08D2D" w:rsidTr="00AF700D">
        <w:tc>
          <w:tcPr>
            <w:tcW w:w="4675" w:type="dxa"/>
          </w:tcPr>
          <w:p w14:paraId="1D0E831F"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b/>
                <w:sz w:val="16"/>
                <w:szCs w:val="16"/>
              </w:rPr>
              <w:t xml:space="preserve">Viales de 2 </w:t>
            </w:r>
            <w:proofErr w:type="spellStart"/>
            <w:r w:rsidRPr="00F01347">
              <w:rPr>
                <w:rFonts w:ascii="Verdana" w:hAnsi="Verdana"/>
                <w:b/>
                <w:sz w:val="16"/>
                <w:szCs w:val="16"/>
              </w:rPr>
              <w:t>mL</w:t>
            </w:r>
            <w:proofErr w:type="spellEnd"/>
            <w:r w:rsidRPr="00F01347">
              <w:rPr>
                <w:rFonts w:ascii="Verdana" w:hAnsi="Verdana"/>
                <w:sz w:val="16"/>
                <w:szCs w:val="16"/>
              </w:rPr>
              <w:t xml:space="preserve"> aforados a 1 </w:t>
            </w:r>
            <w:proofErr w:type="spellStart"/>
            <w:r w:rsidRPr="00F01347">
              <w:rPr>
                <w:rFonts w:ascii="Verdana" w:hAnsi="Verdana"/>
                <w:sz w:val="16"/>
                <w:szCs w:val="16"/>
              </w:rPr>
              <w:t>mL</w:t>
            </w:r>
            <w:proofErr w:type="spellEnd"/>
            <w:r w:rsidRPr="00F01347">
              <w:rPr>
                <w:rFonts w:ascii="Verdana" w:hAnsi="Verdana"/>
                <w:sz w:val="16"/>
                <w:szCs w:val="16"/>
              </w:rPr>
              <w:t>, transparentes.</w:t>
            </w:r>
          </w:p>
        </w:tc>
        <w:tc>
          <w:tcPr>
            <w:tcW w:w="4675" w:type="dxa"/>
          </w:tcPr>
          <w:p w14:paraId="7354DE99" w14:textId="3574F42B"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 xml:space="preserve">2 mL vials </w:t>
            </w:r>
            <w:r w:rsidRPr="00F01347">
              <w:rPr>
                <w:rFonts w:ascii="Verdana" w:hAnsi="Verdana"/>
                <w:sz w:val="16"/>
                <w:szCs w:val="16"/>
                <w:lang w:val="en-US"/>
              </w:rPr>
              <w:t>volumetric to 1 mL</w:t>
            </w:r>
            <w:r w:rsidR="003E1BA9" w:rsidRPr="00F01347">
              <w:rPr>
                <w:rFonts w:ascii="Verdana" w:hAnsi="Verdana"/>
                <w:sz w:val="16"/>
                <w:szCs w:val="16"/>
                <w:lang w:val="en-US"/>
              </w:rPr>
              <w:t>,</w:t>
            </w:r>
            <w:r w:rsidRPr="00F01347">
              <w:rPr>
                <w:rFonts w:ascii="Verdana" w:hAnsi="Verdana"/>
                <w:sz w:val="16"/>
                <w:szCs w:val="16"/>
                <w:lang w:val="en-US"/>
              </w:rPr>
              <w:t xml:space="preserve"> transparent.</w:t>
            </w:r>
          </w:p>
        </w:tc>
      </w:tr>
      <w:tr w:rsidR="00DE0A0C" w:rsidRPr="00F01347" w14:paraId="40861DF9" w14:textId="5331C5B4" w:rsidTr="00AF700D">
        <w:tc>
          <w:tcPr>
            <w:tcW w:w="4675" w:type="dxa"/>
          </w:tcPr>
          <w:p w14:paraId="4C14441E" w14:textId="77777777" w:rsidR="00DE0A0C" w:rsidRPr="00F01347" w:rsidRDefault="00DE0A0C" w:rsidP="00DE0A0C">
            <w:pPr>
              <w:pStyle w:val="texto0"/>
              <w:spacing w:line="242" w:lineRule="exact"/>
              <w:ind w:firstLine="0"/>
              <w:rPr>
                <w:rFonts w:ascii="Verdana" w:hAnsi="Verdana"/>
                <w:b/>
                <w:sz w:val="16"/>
                <w:szCs w:val="16"/>
              </w:rPr>
            </w:pPr>
            <w:proofErr w:type="spellStart"/>
            <w:r w:rsidRPr="00F01347">
              <w:rPr>
                <w:rFonts w:ascii="Verdana" w:hAnsi="Verdana"/>
                <w:b/>
                <w:sz w:val="16"/>
                <w:szCs w:val="16"/>
              </w:rPr>
              <w:t>Vortex</w:t>
            </w:r>
            <w:proofErr w:type="spellEnd"/>
            <w:r w:rsidRPr="00F01347">
              <w:rPr>
                <w:rFonts w:ascii="Verdana" w:hAnsi="Verdana"/>
                <w:b/>
                <w:sz w:val="16"/>
                <w:szCs w:val="16"/>
              </w:rPr>
              <w:t>.</w:t>
            </w:r>
          </w:p>
        </w:tc>
        <w:tc>
          <w:tcPr>
            <w:tcW w:w="4675" w:type="dxa"/>
          </w:tcPr>
          <w:p w14:paraId="377A67D4" w14:textId="76AEF4FC"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Vortex</w:t>
            </w:r>
            <w:r w:rsidR="003E1BA9" w:rsidRPr="00F01347">
              <w:rPr>
                <w:rFonts w:ascii="Verdana" w:hAnsi="Verdana"/>
                <w:b/>
                <w:sz w:val="16"/>
                <w:szCs w:val="16"/>
                <w:lang w:val="en-US"/>
              </w:rPr>
              <w:t>.</w:t>
            </w:r>
          </w:p>
        </w:tc>
      </w:tr>
      <w:tr w:rsidR="00DE0A0C" w:rsidRPr="00F01347" w14:paraId="3BC2391F" w14:textId="08CF5290" w:rsidTr="00AF700D">
        <w:tc>
          <w:tcPr>
            <w:tcW w:w="4675" w:type="dxa"/>
          </w:tcPr>
          <w:p w14:paraId="7438A296" w14:textId="77777777" w:rsidR="00DE0A0C" w:rsidRPr="00F01347" w:rsidRDefault="00DE0A0C" w:rsidP="00DE0A0C">
            <w:pPr>
              <w:pStyle w:val="texto0"/>
              <w:spacing w:line="242" w:lineRule="exact"/>
              <w:ind w:firstLine="0"/>
              <w:rPr>
                <w:rFonts w:ascii="Verdana" w:hAnsi="Verdana"/>
                <w:b/>
                <w:sz w:val="16"/>
                <w:szCs w:val="16"/>
              </w:rPr>
            </w:pPr>
            <w:r w:rsidRPr="00F01347">
              <w:rPr>
                <w:rFonts w:ascii="Verdana" w:hAnsi="Verdana"/>
                <w:b/>
                <w:sz w:val="16"/>
                <w:szCs w:val="16"/>
              </w:rPr>
              <w:t>B.13.5 Reactivos y soluciones</w:t>
            </w:r>
          </w:p>
        </w:tc>
        <w:tc>
          <w:tcPr>
            <w:tcW w:w="4675" w:type="dxa"/>
          </w:tcPr>
          <w:p w14:paraId="149F2174" w14:textId="57DE6624"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B.13.5 Reagents and solutions</w:t>
            </w:r>
          </w:p>
        </w:tc>
      </w:tr>
      <w:tr w:rsidR="00DE0A0C" w:rsidRPr="00F01347" w14:paraId="5F891EBD" w14:textId="55F9DEEC" w:rsidTr="00AF700D">
        <w:tc>
          <w:tcPr>
            <w:tcW w:w="4675" w:type="dxa"/>
          </w:tcPr>
          <w:p w14:paraId="25163201"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sz w:val="16"/>
                <w:szCs w:val="16"/>
              </w:rPr>
              <w:t xml:space="preserve">Los reactivos que requiere el método deben ser tipo ACS grado reactivo a menos que otra </w:t>
            </w:r>
            <w:proofErr w:type="gramStart"/>
            <w:r w:rsidRPr="00F01347">
              <w:rPr>
                <w:rFonts w:ascii="Verdana" w:hAnsi="Verdana"/>
                <w:sz w:val="16"/>
                <w:szCs w:val="16"/>
              </w:rPr>
              <w:t>cosa  se</w:t>
            </w:r>
            <w:proofErr w:type="gramEnd"/>
            <w:r w:rsidRPr="00F01347">
              <w:rPr>
                <w:rFonts w:ascii="Verdana" w:hAnsi="Verdana"/>
                <w:sz w:val="16"/>
                <w:szCs w:val="16"/>
              </w:rPr>
              <w:t xml:space="preserve"> indique.</w:t>
            </w:r>
          </w:p>
        </w:tc>
        <w:tc>
          <w:tcPr>
            <w:tcW w:w="4675" w:type="dxa"/>
          </w:tcPr>
          <w:p w14:paraId="6DE9EEBB" w14:textId="6839A316" w:rsidR="00DE0A0C" w:rsidRPr="00F01347" w:rsidRDefault="00DE0A0C" w:rsidP="00DE0A0C">
            <w:pPr>
              <w:pStyle w:val="texto0"/>
              <w:spacing w:line="242" w:lineRule="exact"/>
              <w:ind w:firstLine="0"/>
              <w:rPr>
                <w:rFonts w:ascii="Verdana" w:hAnsi="Verdana"/>
                <w:sz w:val="16"/>
                <w:szCs w:val="16"/>
                <w:lang w:val="en-US"/>
              </w:rPr>
            </w:pPr>
            <w:r w:rsidRPr="00F01347">
              <w:rPr>
                <w:rFonts w:ascii="Verdana" w:hAnsi="Verdana"/>
                <w:sz w:val="16"/>
                <w:szCs w:val="16"/>
                <w:lang w:val="en-US"/>
              </w:rPr>
              <w:t>The reagents required by the method must be ACS reagent grade unless otherwise indicated</w:t>
            </w:r>
            <w:r w:rsidR="003E1BA9" w:rsidRPr="00F01347">
              <w:rPr>
                <w:rFonts w:ascii="Verdana" w:hAnsi="Verdana"/>
                <w:sz w:val="16"/>
                <w:szCs w:val="16"/>
                <w:lang w:val="en-US"/>
              </w:rPr>
              <w:t>.</w:t>
            </w:r>
          </w:p>
        </w:tc>
      </w:tr>
      <w:tr w:rsidR="00DE0A0C" w:rsidRPr="00F01347" w14:paraId="3565CA6E" w14:textId="284905C7" w:rsidTr="00AF700D">
        <w:tc>
          <w:tcPr>
            <w:tcW w:w="4675" w:type="dxa"/>
          </w:tcPr>
          <w:p w14:paraId="2A6D125A"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b/>
                <w:sz w:val="16"/>
                <w:szCs w:val="16"/>
              </w:rPr>
              <w:t xml:space="preserve">Cloruro de metileno </w:t>
            </w:r>
            <w:r w:rsidRPr="00F01347">
              <w:rPr>
                <w:rFonts w:ascii="Verdana" w:hAnsi="Verdana"/>
                <w:sz w:val="16"/>
                <w:szCs w:val="16"/>
              </w:rPr>
              <w:t>grado plaguicida.</w:t>
            </w:r>
          </w:p>
        </w:tc>
        <w:tc>
          <w:tcPr>
            <w:tcW w:w="4675" w:type="dxa"/>
          </w:tcPr>
          <w:p w14:paraId="146F6A1A" w14:textId="00ECA928" w:rsidR="00DE0A0C" w:rsidRPr="00F01347" w:rsidRDefault="00123FAE"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M</w:t>
            </w:r>
            <w:r w:rsidR="00DE0A0C" w:rsidRPr="00F01347">
              <w:rPr>
                <w:rFonts w:ascii="Verdana" w:hAnsi="Verdana"/>
                <w:b/>
                <w:sz w:val="16"/>
                <w:szCs w:val="16"/>
                <w:lang w:val="en-US"/>
              </w:rPr>
              <w:t>ethylene chloride</w:t>
            </w:r>
            <w:r w:rsidR="003E1BA9" w:rsidRPr="00F01347">
              <w:rPr>
                <w:rFonts w:ascii="Verdana" w:hAnsi="Verdana"/>
                <w:b/>
                <w:sz w:val="16"/>
                <w:szCs w:val="16"/>
                <w:lang w:val="en-US"/>
              </w:rPr>
              <w:t>.</w:t>
            </w:r>
          </w:p>
        </w:tc>
      </w:tr>
      <w:tr w:rsidR="00DE0A0C" w:rsidRPr="00F01347" w14:paraId="19A9F7B3" w14:textId="4B6BA9C3" w:rsidTr="00AF700D">
        <w:tc>
          <w:tcPr>
            <w:tcW w:w="4675" w:type="dxa"/>
          </w:tcPr>
          <w:p w14:paraId="1D13BF98" w14:textId="77777777" w:rsidR="00DE0A0C" w:rsidRPr="00F01347" w:rsidRDefault="00DE0A0C" w:rsidP="00DE0A0C">
            <w:pPr>
              <w:pStyle w:val="texto0"/>
              <w:spacing w:line="242" w:lineRule="exact"/>
              <w:ind w:firstLine="0"/>
              <w:rPr>
                <w:rFonts w:ascii="Verdana" w:hAnsi="Verdana"/>
                <w:b/>
                <w:sz w:val="16"/>
                <w:szCs w:val="16"/>
              </w:rPr>
            </w:pPr>
            <w:r w:rsidRPr="00F01347">
              <w:rPr>
                <w:rFonts w:ascii="Verdana" w:hAnsi="Verdana"/>
                <w:b/>
                <w:sz w:val="16"/>
                <w:szCs w:val="16"/>
              </w:rPr>
              <w:t>B.13.6 Procedimiento</w:t>
            </w:r>
          </w:p>
        </w:tc>
        <w:tc>
          <w:tcPr>
            <w:tcW w:w="4675" w:type="dxa"/>
          </w:tcPr>
          <w:p w14:paraId="7C5C75BA" w14:textId="657B7054"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B.13.6 Procedure</w:t>
            </w:r>
          </w:p>
        </w:tc>
      </w:tr>
      <w:tr w:rsidR="00DE0A0C" w:rsidRPr="00F01347" w14:paraId="401F8FB1" w14:textId="78255CBA" w:rsidTr="00AF700D">
        <w:tc>
          <w:tcPr>
            <w:tcW w:w="4675" w:type="dxa"/>
          </w:tcPr>
          <w:p w14:paraId="28903A76" w14:textId="77777777" w:rsidR="00DE0A0C" w:rsidRPr="00F01347" w:rsidRDefault="00DE0A0C" w:rsidP="00DE0A0C">
            <w:pPr>
              <w:pStyle w:val="texto0"/>
              <w:spacing w:line="242" w:lineRule="exact"/>
              <w:ind w:firstLine="0"/>
              <w:rPr>
                <w:rFonts w:ascii="Verdana" w:hAnsi="Verdana"/>
                <w:b/>
                <w:sz w:val="16"/>
                <w:szCs w:val="16"/>
              </w:rPr>
            </w:pPr>
            <w:r w:rsidRPr="00F01347">
              <w:rPr>
                <w:rFonts w:ascii="Verdana" w:hAnsi="Verdana"/>
                <w:b/>
                <w:sz w:val="16"/>
                <w:szCs w:val="16"/>
              </w:rPr>
              <w:t>B.13.6.1 Preparación de disoluciones de calibración</w:t>
            </w:r>
          </w:p>
        </w:tc>
        <w:tc>
          <w:tcPr>
            <w:tcW w:w="4675" w:type="dxa"/>
          </w:tcPr>
          <w:p w14:paraId="4C633D29" w14:textId="4B9140E0" w:rsidR="00DE0A0C" w:rsidRPr="00F01347" w:rsidRDefault="00DE0A0C" w:rsidP="00DE0A0C">
            <w:pPr>
              <w:pStyle w:val="texto0"/>
              <w:spacing w:line="242" w:lineRule="exact"/>
              <w:ind w:firstLine="0"/>
              <w:rPr>
                <w:rFonts w:ascii="Verdana" w:hAnsi="Verdana"/>
                <w:b/>
                <w:sz w:val="16"/>
                <w:szCs w:val="16"/>
                <w:lang w:val="en-US"/>
              </w:rPr>
            </w:pPr>
            <w:r w:rsidRPr="00F01347">
              <w:rPr>
                <w:rFonts w:ascii="Verdana" w:hAnsi="Verdana"/>
                <w:b/>
                <w:sz w:val="16"/>
                <w:szCs w:val="16"/>
                <w:lang w:val="en-US"/>
              </w:rPr>
              <w:t>B.13.6.1 Preparation of calibration solutions</w:t>
            </w:r>
          </w:p>
        </w:tc>
      </w:tr>
      <w:tr w:rsidR="00DE0A0C" w:rsidRPr="00F01347" w14:paraId="2778D810" w14:textId="20614EEE" w:rsidTr="00AF700D">
        <w:tc>
          <w:tcPr>
            <w:tcW w:w="4675" w:type="dxa"/>
          </w:tcPr>
          <w:p w14:paraId="15D85671" w14:textId="77777777" w:rsidR="00DE0A0C" w:rsidRPr="00F01347" w:rsidRDefault="00DE0A0C" w:rsidP="00DE0A0C">
            <w:pPr>
              <w:pStyle w:val="texto0"/>
              <w:spacing w:line="242" w:lineRule="exact"/>
              <w:ind w:firstLine="0"/>
              <w:rPr>
                <w:rFonts w:ascii="Verdana" w:hAnsi="Verdana"/>
                <w:b/>
                <w:sz w:val="16"/>
                <w:szCs w:val="16"/>
              </w:rPr>
            </w:pPr>
            <w:r w:rsidRPr="00F01347">
              <w:rPr>
                <w:rFonts w:ascii="Verdana" w:hAnsi="Verdana"/>
                <w:sz w:val="16"/>
                <w:szCs w:val="16"/>
              </w:rPr>
              <w:t>La preparación de las disoluciones de calibración puede realizarse de forma gravimétrica.</w:t>
            </w:r>
          </w:p>
        </w:tc>
        <w:tc>
          <w:tcPr>
            <w:tcW w:w="4675" w:type="dxa"/>
          </w:tcPr>
          <w:p w14:paraId="501DC864" w14:textId="1E729C9B" w:rsidR="00DE0A0C" w:rsidRPr="00F01347" w:rsidRDefault="00DE0A0C" w:rsidP="00DE0A0C">
            <w:pPr>
              <w:pStyle w:val="texto0"/>
              <w:spacing w:line="242" w:lineRule="exact"/>
              <w:ind w:firstLine="0"/>
              <w:rPr>
                <w:rFonts w:ascii="Verdana" w:hAnsi="Verdana"/>
                <w:sz w:val="16"/>
                <w:szCs w:val="16"/>
                <w:lang w:val="en-US"/>
              </w:rPr>
            </w:pPr>
            <w:r w:rsidRPr="00F01347">
              <w:rPr>
                <w:rFonts w:ascii="Verdana" w:hAnsi="Verdana"/>
                <w:sz w:val="16"/>
                <w:szCs w:val="16"/>
                <w:lang w:val="en-US"/>
              </w:rPr>
              <w:t>The preparation of calibration solutions can be carried out gravimetrically.</w:t>
            </w:r>
          </w:p>
        </w:tc>
      </w:tr>
      <w:tr w:rsidR="00DE0A0C" w:rsidRPr="00F01347" w14:paraId="0C24C43A" w14:textId="2E86C6A5" w:rsidTr="00AF700D">
        <w:tc>
          <w:tcPr>
            <w:tcW w:w="4675" w:type="dxa"/>
          </w:tcPr>
          <w:p w14:paraId="62059B54"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sz w:val="16"/>
                <w:szCs w:val="16"/>
              </w:rPr>
              <w:t>Estándar de Compuestos Orgánicos No Halogenados (CONH) de 20 000 mg/L. Mezcla de hidrocarburos lineales que contenga los siguientes hidrocarburos con estructuras de 10, 12, 14, 16, 18, 20, 22, 24, 26 y 28 carbones respectivamente (C</w:t>
            </w:r>
            <w:r w:rsidRPr="00F01347">
              <w:rPr>
                <w:rFonts w:ascii="Verdana" w:hAnsi="Verdana"/>
                <w:sz w:val="16"/>
                <w:szCs w:val="16"/>
                <w:vertAlign w:val="subscript"/>
              </w:rPr>
              <w:t>10</w:t>
            </w:r>
            <w:r w:rsidRPr="00F01347">
              <w:rPr>
                <w:rFonts w:ascii="Verdana" w:hAnsi="Verdana"/>
                <w:sz w:val="16"/>
                <w:szCs w:val="16"/>
              </w:rPr>
              <w:t>, C</w:t>
            </w:r>
            <w:r w:rsidRPr="00F01347">
              <w:rPr>
                <w:rFonts w:ascii="Verdana" w:hAnsi="Verdana"/>
                <w:sz w:val="16"/>
                <w:szCs w:val="16"/>
                <w:vertAlign w:val="subscript"/>
              </w:rPr>
              <w:t>12</w:t>
            </w:r>
            <w:r w:rsidRPr="00F01347">
              <w:rPr>
                <w:rFonts w:ascii="Verdana" w:hAnsi="Verdana"/>
                <w:sz w:val="16"/>
                <w:szCs w:val="16"/>
              </w:rPr>
              <w:t>, C</w:t>
            </w:r>
            <w:r w:rsidRPr="00F01347">
              <w:rPr>
                <w:rFonts w:ascii="Verdana" w:hAnsi="Verdana"/>
                <w:sz w:val="16"/>
                <w:szCs w:val="16"/>
                <w:vertAlign w:val="subscript"/>
              </w:rPr>
              <w:t>14</w:t>
            </w:r>
            <w:r w:rsidRPr="00F01347">
              <w:rPr>
                <w:rFonts w:ascii="Verdana" w:hAnsi="Verdana"/>
                <w:sz w:val="16"/>
                <w:szCs w:val="16"/>
              </w:rPr>
              <w:t>, C</w:t>
            </w:r>
            <w:r w:rsidRPr="00F01347">
              <w:rPr>
                <w:rFonts w:ascii="Verdana" w:hAnsi="Verdana"/>
                <w:sz w:val="16"/>
                <w:szCs w:val="16"/>
                <w:vertAlign w:val="subscript"/>
              </w:rPr>
              <w:t>16</w:t>
            </w:r>
            <w:r w:rsidRPr="00F01347">
              <w:rPr>
                <w:rFonts w:ascii="Verdana" w:hAnsi="Verdana"/>
                <w:sz w:val="16"/>
                <w:szCs w:val="16"/>
              </w:rPr>
              <w:t>, C</w:t>
            </w:r>
            <w:r w:rsidRPr="00F01347">
              <w:rPr>
                <w:rFonts w:ascii="Verdana" w:hAnsi="Verdana"/>
                <w:sz w:val="16"/>
                <w:szCs w:val="16"/>
                <w:vertAlign w:val="subscript"/>
              </w:rPr>
              <w:t>18</w:t>
            </w:r>
            <w:r w:rsidRPr="00F01347">
              <w:rPr>
                <w:rFonts w:ascii="Verdana" w:hAnsi="Verdana"/>
                <w:sz w:val="16"/>
                <w:szCs w:val="16"/>
              </w:rPr>
              <w:t>, C</w:t>
            </w:r>
            <w:r w:rsidRPr="00F01347">
              <w:rPr>
                <w:rFonts w:ascii="Verdana" w:hAnsi="Verdana"/>
                <w:sz w:val="16"/>
                <w:szCs w:val="16"/>
                <w:vertAlign w:val="subscript"/>
              </w:rPr>
              <w:t>20</w:t>
            </w:r>
            <w:r w:rsidRPr="00F01347">
              <w:rPr>
                <w:rFonts w:ascii="Verdana" w:hAnsi="Verdana"/>
                <w:sz w:val="16"/>
                <w:szCs w:val="16"/>
              </w:rPr>
              <w:t>, C</w:t>
            </w:r>
            <w:r w:rsidRPr="00F01347">
              <w:rPr>
                <w:rFonts w:ascii="Verdana" w:hAnsi="Verdana"/>
                <w:sz w:val="16"/>
                <w:szCs w:val="16"/>
                <w:vertAlign w:val="subscript"/>
              </w:rPr>
              <w:t>22</w:t>
            </w:r>
            <w:r w:rsidRPr="00F01347">
              <w:rPr>
                <w:rFonts w:ascii="Verdana" w:hAnsi="Verdana"/>
                <w:sz w:val="16"/>
                <w:szCs w:val="16"/>
              </w:rPr>
              <w:t>, C</w:t>
            </w:r>
            <w:r w:rsidRPr="00F01347">
              <w:rPr>
                <w:rFonts w:ascii="Verdana" w:hAnsi="Verdana"/>
                <w:sz w:val="16"/>
                <w:szCs w:val="16"/>
                <w:vertAlign w:val="subscript"/>
              </w:rPr>
              <w:t>24</w:t>
            </w:r>
            <w:r w:rsidRPr="00F01347">
              <w:rPr>
                <w:rFonts w:ascii="Verdana" w:hAnsi="Verdana"/>
                <w:sz w:val="16"/>
                <w:szCs w:val="16"/>
              </w:rPr>
              <w:t>, C</w:t>
            </w:r>
            <w:r w:rsidRPr="00F01347">
              <w:rPr>
                <w:rFonts w:ascii="Verdana" w:hAnsi="Verdana"/>
                <w:sz w:val="16"/>
                <w:szCs w:val="16"/>
                <w:vertAlign w:val="subscript"/>
              </w:rPr>
              <w:t>26</w:t>
            </w:r>
            <w:r w:rsidRPr="00F01347">
              <w:rPr>
                <w:rFonts w:ascii="Verdana" w:hAnsi="Verdana"/>
                <w:sz w:val="16"/>
                <w:szCs w:val="16"/>
              </w:rPr>
              <w:t xml:space="preserve"> y C</w:t>
            </w:r>
            <w:r w:rsidRPr="00F01347">
              <w:rPr>
                <w:rFonts w:ascii="Verdana" w:hAnsi="Verdana"/>
                <w:sz w:val="16"/>
                <w:szCs w:val="16"/>
                <w:vertAlign w:val="subscript"/>
              </w:rPr>
              <w:t>28</w:t>
            </w:r>
            <w:r w:rsidRPr="00F01347">
              <w:rPr>
                <w:rFonts w:ascii="Verdana" w:hAnsi="Verdana"/>
                <w:sz w:val="16"/>
                <w:szCs w:val="16"/>
              </w:rPr>
              <w:t>) con una concentración de 2 000 mg/L de cada compuesto (20 000 mg/L de concentración total).</w:t>
            </w:r>
          </w:p>
        </w:tc>
        <w:tc>
          <w:tcPr>
            <w:tcW w:w="4675" w:type="dxa"/>
          </w:tcPr>
          <w:p w14:paraId="037F7160" w14:textId="32982A4A" w:rsidR="00DE0A0C" w:rsidRPr="00F01347" w:rsidRDefault="00DE0A0C" w:rsidP="00DE0A0C">
            <w:pPr>
              <w:pStyle w:val="texto0"/>
              <w:spacing w:line="242" w:lineRule="exact"/>
              <w:ind w:firstLine="0"/>
              <w:rPr>
                <w:rFonts w:ascii="Verdana" w:hAnsi="Verdana"/>
                <w:sz w:val="16"/>
                <w:szCs w:val="16"/>
                <w:lang w:val="en-US"/>
              </w:rPr>
            </w:pPr>
            <w:r w:rsidRPr="00F01347">
              <w:rPr>
                <w:rFonts w:ascii="Verdana" w:hAnsi="Verdana"/>
                <w:sz w:val="16"/>
                <w:szCs w:val="16"/>
                <w:lang w:val="en-US"/>
              </w:rPr>
              <w:t xml:space="preserve">Standard for Non-Halogenated Organic Compounds (CONH) of 20,000 mg/L. Linear hydrocarbon mixture containing the following hydrocarbons with structures of 10, 12, 14, 16, 18, 20, 22, 24, 26 and 28 carbons respectively </w:t>
            </w:r>
            <w:r w:rsidR="00681432" w:rsidRPr="00F01347">
              <w:rPr>
                <w:rFonts w:ascii="Verdana" w:hAnsi="Verdana"/>
                <w:sz w:val="16"/>
                <w:szCs w:val="16"/>
              </w:rPr>
              <w:t>(C</w:t>
            </w:r>
            <w:r w:rsidR="00681432" w:rsidRPr="00F01347">
              <w:rPr>
                <w:rFonts w:ascii="Verdana" w:hAnsi="Verdana"/>
                <w:sz w:val="16"/>
                <w:szCs w:val="16"/>
                <w:vertAlign w:val="subscript"/>
              </w:rPr>
              <w:t>10</w:t>
            </w:r>
            <w:r w:rsidR="00681432" w:rsidRPr="00F01347">
              <w:rPr>
                <w:rFonts w:ascii="Verdana" w:hAnsi="Verdana"/>
                <w:sz w:val="16"/>
                <w:szCs w:val="16"/>
              </w:rPr>
              <w:t>, C</w:t>
            </w:r>
            <w:r w:rsidR="00681432" w:rsidRPr="00F01347">
              <w:rPr>
                <w:rFonts w:ascii="Verdana" w:hAnsi="Verdana"/>
                <w:sz w:val="16"/>
                <w:szCs w:val="16"/>
                <w:vertAlign w:val="subscript"/>
              </w:rPr>
              <w:t>12</w:t>
            </w:r>
            <w:r w:rsidR="00681432" w:rsidRPr="00F01347">
              <w:rPr>
                <w:rFonts w:ascii="Verdana" w:hAnsi="Verdana"/>
                <w:sz w:val="16"/>
                <w:szCs w:val="16"/>
              </w:rPr>
              <w:t>, C</w:t>
            </w:r>
            <w:r w:rsidR="00681432" w:rsidRPr="00F01347">
              <w:rPr>
                <w:rFonts w:ascii="Verdana" w:hAnsi="Verdana"/>
                <w:sz w:val="16"/>
                <w:szCs w:val="16"/>
                <w:vertAlign w:val="subscript"/>
              </w:rPr>
              <w:t>14</w:t>
            </w:r>
            <w:r w:rsidR="00681432" w:rsidRPr="00F01347">
              <w:rPr>
                <w:rFonts w:ascii="Verdana" w:hAnsi="Verdana"/>
                <w:sz w:val="16"/>
                <w:szCs w:val="16"/>
              </w:rPr>
              <w:t>, C</w:t>
            </w:r>
            <w:r w:rsidR="00681432" w:rsidRPr="00F01347">
              <w:rPr>
                <w:rFonts w:ascii="Verdana" w:hAnsi="Verdana"/>
                <w:sz w:val="16"/>
                <w:szCs w:val="16"/>
                <w:vertAlign w:val="subscript"/>
              </w:rPr>
              <w:t>16</w:t>
            </w:r>
            <w:r w:rsidR="00681432" w:rsidRPr="00F01347">
              <w:rPr>
                <w:rFonts w:ascii="Verdana" w:hAnsi="Verdana"/>
                <w:sz w:val="16"/>
                <w:szCs w:val="16"/>
              </w:rPr>
              <w:t>, C</w:t>
            </w:r>
            <w:r w:rsidR="00681432" w:rsidRPr="00F01347">
              <w:rPr>
                <w:rFonts w:ascii="Verdana" w:hAnsi="Verdana"/>
                <w:sz w:val="16"/>
                <w:szCs w:val="16"/>
                <w:vertAlign w:val="subscript"/>
              </w:rPr>
              <w:t>18</w:t>
            </w:r>
            <w:r w:rsidR="00681432" w:rsidRPr="00F01347">
              <w:rPr>
                <w:rFonts w:ascii="Verdana" w:hAnsi="Verdana"/>
                <w:sz w:val="16"/>
                <w:szCs w:val="16"/>
              </w:rPr>
              <w:t>, C</w:t>
            </w:r>
            <w:r w:rsidR="00681432" w:rsidRPr="00F01347">
              <w:rPr>
                <w:rFonts w:ascii="Verdana" w:hAnsi="Verdana"/>
                <w:sz w:val="16"/>
                <w:szCs w:val="16"/>
                <w:vertAlign w:val="subscript"/>
              </w:rPr>
              <w:t>20</w:t>
            </w:r>
            <w:r w:rsidR="00681432" w:rsidRPr="00F01347">
              <w:rPr>
                <w:rFonts w:ascii="Verdana" w:hAnsi="Verdana"/>
                <w:sz w:val="16"/>
                <w:szCs w:val="16"/>
              </w:rPr>
              <w:t>, C</w:t>
            </w:r>
            <w:r w:rsidR="00681432" w:rsidRPr="00F01347">
              <w:rPr>
                <w:rFonts w:ascii="Verdana" w:hAnsi="Verdana"/>
                <w:sz w:val="16"/>
                <w:szCs w:val="16"/>
                <w:vertAlign w:val="subscript"/>
              </w:rPr>
              <w:t>22</w:t>
            </w:r>
            <w:r w:rsidR="00681432" w:rsidRPr="00F01347">
              <w:rPr>
                <w:rFonts w:ascii="Verdana" w:hAnsi="Verdana"/>
                <w:sz w:val="16"/>
                <w:szCs w:val="16"/>
              </w:rPr>
              <w:t>, C</w:t>
            </w:r>
            <w:r w:rsidR="00681432" w:rsidRPr="00F01347">
              <w:rPr>
                <w:rFonts w:ascii="Verdana" w:hAnsi="Verdana"/>
                <w:sz w:val="16"/>
                <w:szCs w:val="16"/>
                <w:vertAlign w:val="subscript"/>
              </w:rPr>
              <w:t>24</w:t>
            </w:r>
            <w:r w:rsidR="00681432" w:rsidRPr="00F01347">
              <w:rPr>
                <w:rFonts w:ascii="Verdana" w:hAnsi="Verdana"/>
                <w:sz w:val="16"/>
                <w:szCs w:val="16"/>
              </w:rPr>
              <w:t>, C</w:t>
            </w:r>
            <w:r w:rsidR="00681432" w:rsidRPr="00F01347">
              <w:rPr>
                <w:rFonts w:ascii="Verdana" w:hAnsi="Verdana"/>
                <w:sz w:val="16"/>
                <w:szCs w:val="16"/>
                <w:vertAlign w:val="subscript"/>
              </w:rPr>
              <w:t>26</w:t>
            </w:r>
            <w:r w:rsidR="00681432" w:rsidRPr="00F01347">
              <w:rPr>
                <w:rFonts w:ascii="Verdana" w:hAnsi="Verdana"/>
                <w:sz w:val="16"/>
                <w:szCs w:val="16"/>
              </w:rPr>
              <w:t xml:space="preserve"> </w:t>
            </w:r>
            <w:r w:rsidR="00823F78" w:rsidRPr="00F01347">
              <w:rPr>
                <w:rFonts w:ascii="Verdana" w:hAnsi="Verdana"/>
                <w:sz w:val="16"/>
                <w:szCs w:val="16"/>
              </w:rPr>
              <w:t>and</w:t>
            </w:r>
            <w:r w:rsidR="00681432" w:rsidRPr="00F01347">
              <w:rPr>
                <w:rFonts w:ascii="Verdana" w:hAnsi="Verdana"/>
                <w:sz w:val="16"/>
                <w:szCs w:val="16"/>
              </w:rPr>
              <w:t xml:space="preserve"> C</w:t>
            </w:r>
            <w:r w:rsidR="00681432" w:rsidRPr="00F01347">
              <w:rPr>
                <w:rFonts w:ascii="Verdana" w:hAnsi="Verdana"/>
                <w:sz w:val="16"/>
                <w:szCs w:val="16"/>
                <w:vertAlign w:val="subscript"/>
              </w:rPr>
              <w:t>28</w:t>
            </w:r>
            <w:r w:rsidR="00681432" w:rsidRPr="00F01347">
              <w:rPr>
                <w:rFonts w:ascii="Verdana" w:hAnsi="Verdana"/>
                <w:sz w:val="16"/>
                <w:szCs w:val="16"/>
              </w:rPr>
              <w:t xml:space="preserve">) </w:t>
            </w:r>
            <w:r w:rsidRPr="00F01347">
              <w:rPr>
                <w:rFonts w:ascii="Verdana" w:hAnsi="Verdana"/>
                <w:sz w:val="16"/>
                <w:szCs w:val="16"/>
                <w:lang w:val="en-US"/>
              </w:rPr>
              <w:t>with a concentration of 2,000 mg/L of each compound (20,000 mg/L total concentration).</w:t>
            </w:r>
          </w:p>
        </w:tc>
      </w:tr>
      <w:tr w:rsidR="00DE0A0C" w:rsidRPr="00F01347" w14:paraId="0BBADD38" w14:textId="0A9E681B" w:rsidTr="00AF700D">
        <w:tc>
          <w:tcPr>
            <w:tcW w:w="4675" w:type="dxa"/>
          </w:tcPr>
          <w:p w14:paraId="7988AF52"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sz w:val="16"/>
                <w:szCs w:val="16"/>
              </w:rPr>
              <w:t xml:space="preserve">Estándar de CONH de 1 000 mg/L. Tomar 250 µL de la solución de CONH de 20 000 mg/L en un matraz volumétrico de 5 </w:t>
            </w:r>
            <w:proofErr w:type="spellStart"/>
            <w:r w:rsidRPr="00F01347">
              <w:rPr>
                <w:rFonts w:ascii="Verdana" w:hAnsi="Verdana"/>
                <w:sz w:val="16"/>
                <w:szCs w:val="16"/>
              </w:rPr>
              <w:t>mL</w:t>
            </w:r>
            <w:proofErr w:type="spellEnd"/>
            <w:r w:rsidRPr="00F01347">
              <w:rPr>
                <w:rFonts w:ascii="Verdana" w:hAnsi="Verdana"/>
                <w:sz w:val="16"/>
                <w:szCs w:val="16"/>
              </w:rPr>
              <w:t xml:space="preserve"> y aforar con cloruro de metileno.</w:t>
            </w:r>
          </w:p>
        </w:tc>
        <w:tc>
          <w:tcPr>
            <w:tcW w:w="4675" w:type="dxa"/>
          </w:tcPr>
          <w:p w14:paraId="7A0C7D2A" w14:textId="37AAED61" w:rsidR="00DE0A0C" w:rsidRPr="00F01347" w:rsidRDefault="00DE0A0C" w:rsidP="00DE0A0C">
            <w:pPr>
              <w:pStyle w:val="texto0"/>
              <w:spacing w:line="242" w:lineRule="exact"/>
              <w:ind w:firstLine="0"/>
              <w:rPr>
                <w:rFonts w:ascii="Verdana" w:hAnsi="Verdana"/>
                <w:sz w:val="16"/>
                <w:szCs w:val="16"/>
                <w:lang w:val="en-US"/>
              </w:rPr>
            </w:pPr>
            <w:r w:rsidRPr="00F01347">
              <w:rPr>
                <w:rFonts w:ascii="Verdana" w:hAnsi="Verdana"/>
                <w:sz w:val="16"/>
                <w:szCs w:val="16"/>
                <w:lang w:val="en-US"/>
              </w:rPr>
              <w:t>CONH standard of 1,000 mg/L. Take 250 µL of the 20,000 mg/L CONH solution in a 5 mL volumetric flask and make up to volume with methylene chloride.</w:t>
            </w:r>
          </w:p>
        </w:tc>
      </w:tr>
      <w:tr w:rsidR="00DE0A0C" w:rsidRPr="00F01347" w14:paraId="230E93B8" w14:textId="122617A7" w:rsidTr="00AF700D">
        <w:tc>
          <w:tcPr>
            <w:tcW w:w="4675" w:type="dxa"/>
          </w:tcPr>
          <w:p w14:paraId="1AC56DB6"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sz w:val="16"/>
                <w:szCs w:val="16"/>
              </w:rPr>
              <w:t xml:space="preserve">Estándar de CONH de 100 mg/L. Tomar 100 µL de la solución estándar de CONH de 1 000 mg/L en un matraz volumétrico de 1 </w:t>
            </w:r>
            <w:proofErr w:type="spellStart"/>
            <w:r w:rsidRPr="00F01347">
              <w:rPr>
                <w:rFonts w:ascii="Verdana" w:hAnsi="Verdana"/>
                <w:sz w:val="16"/>
                <w:szCs w:val="16"/>
              </w:rPr>
              <w:t>mL</w:t>
            </w:r>
            <w:proofErr w:type="spellEnd"/>
            <w:r w:rsidRPr="00F01347">
              <w:rPr>
                <w:rFonts w:ascii="Verdana" w:hAnsi="Verdana"/>
                <w:sz w:val="16"/>
                <w:szCs w:val="16"/>
              </w:rPr>
              <w:t xml:space="preserve"> y aforar con cloruro de metileno.</w:t>
            </w:r>
          </w:p>
        </w:tc>
        <w:tc>
          <w:tcPr>
            <w:tcW w:w="4675" w:type="dxa"/>
          </w:tcPr>
          <w:p w14:paraId="5A660C3A" w14:textId="33617423" w:rsidR="00DE0A0C" w:rsidRPr="00F01347" w:rsidRDefault="00DE0A0C" w:rsidP="00DE0A0C">
            <w:pPr>
              <w:pStyle w:val="texto0"/>
              <w:spacing w:line="242" w:lineRule="exact"/>
              <w:ind w:firstLine="0"/>
              <w:rPr>
                <w:rFonts w:ascii="Verdana" w:hAnsi="Verdana"/>
                <w:sz w:val="16"/>
                <w:szCs w:val="16"/>
                <w:lang w:val="en-US"/>
              </w:rPr>
            </w:pPr>
            <w:r w:rsidRPr="00F01347">
              <w:rPr>
                <w:rFonts w:ascii="Verdana" w:hAnsi="Verdana"/>
                <w:sz w:val="16"/>
                <w:szCs w:val="16"/>
                <w:lang w:val="en-US"/>
              </w:rPr>
              <w:t>CONH standard of 100 mg/L. Take 100 µL of the 1000 mg/L CONH standard solution in a 1 mL volumetric flask and make up to volume with methylene chloride.</w:t>
            </w:r>
          </w:p>
        </w:tc>
      </w:tr>
      <w:tr w:rsidR="00DE0A0C" w:rsidRPr="00F01347" w14:paraId="6C081293" w14:textId="7BB64531" w:rsidTr="00AF700D">
        <w:tc>
          <w:tcPr>
            <w:tcW w:w="4675" w:type="dxa"/>
          </w:tcPr>
          <w:p w14:paraId="0145C0F4"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sz w:val="16"/>
                <w:szCs w:val="16"/>
              </w:rPr>
              <w:t xml:space="preserve">Estándar de CONH de 10 mg/L. Tomar 100 µL de la solución estándar de CONH de 100 mg/L en un matraz volumétrico de 1 </w:t>
            </w:r>
            <w:proofErr w:type="spellStart"/>
            <w:r w:rsidRPr="00F01347">
              <w:rPr>
                <w:rFonts w:ascii="Verdana" w:hAnsi="Verdana"/>
                <w:sz w:val="16"/>
                <w:szCs w:val="16"/>
              </w:rPr>
              <w:t>mL</w:t>
            </w:r>
            <w:proofErr w:type="spellEnd"/>
            <w:r w:rsidRPr="00F01347">
              <w:rPr>
                <w:rFonts w:ascii="Verdana" w:hAnsi="Verdana"/>
                <w:sz w:val="16"/>
                <w:szCs w:val="16"/>
              </w:rPr>
              <w:t xml:space="preserve"> y aforar con cloruro de metileno.</w:t>
            </w:r>
          </w:p>
        </w:tc>
        <w:tc>
          <w:tcPr>
            <w:tcW w:w="4675" w:type="dxa"/>
          </w:tcPr>
          <w:p w14:paraId="1A8957FF" w14:textId="3CB12AA6" w:rsidR="00DE0A0C" w:rsidRPr="00F01347" w:rsidRDefault="00DE0A0C" w:rsidP="00DE0A0C">
            <w:pPr>
              <w:pStyle w:val="texto0"/>
              <w:spacing w:line="242" w:lineRule="exact"/>
              <w:ind w:firstLine="0"/>
              <w:rPr>
                <w:rFonts w:ascii="Verdana" w:hAnsi="Verdana"/>
                <w:sz w:val="16"/>
                <w:szCs w:val="16"/>
                <w:lang w:val="en-US"/>
              </w:rPr>
            </w:pPr>
            <w:r w:rsidRPr="00F01347">
              <w:rPr>
                <w:rFonts w:ascii="Verdana" w:hAnsi="Verdana"/>
                <w:sz w:val="16"/>
                <w:szCs w:val="16"/>
                <w:lang w:val="en-US"/>
              </w:rPr>
              <w:t>CONH standard of 10 mg/L. Take 100 µL of the 100 mg/L CONH standard solution in a 1 mL volumetric flask and make up to volume with methylene chloride.</w:t>
            </w:r>
          </w:p>
        </w:tc>
      </w:tr>
      <w:tr w:rsidR="00DE0A0C" w:rsidRPr="00F01347" w14:paraId="5EA1CEF0" w14:textId="600CF297" w:rsidTr="00AF700D">
        <w:tc>
          <w:tcPr>
            <w:tcW w:w="4675" w:type="dxa"/>
          </w:tcPr>
          <w:p w14:paraId="0CBD8B9D"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sz w:val="16"/>
                <w:szCs w:val="16"/>
              </w:rPr>
              <w:t xml:space="preserve">Estándar de CONH de 1 mg/L. Tomar 100 µL de la solución estándar de CONH de 10 mg/L en un matraz volumétrico de 1 </w:t>
            </w:r>
            <w:proofErr w:type="spellStart"/>
            <w:r w:rsidRPr="00F01347">
              <w:rPr>
                <w:rFonts w:ascii="Verdana" w:hAnsi="Verdana"/>
                <w:sz w:val="16"/>
                <w:szCs w:val="16"/>
              </w:rPr>
              <w:t>mL</w:t>
            </w:r>
            <w:proofErr w:type="spellEnd"/>
            <w:r w:rsidRPr="00F01347">
              <w:rPr>
                <w:rFonts w:ascii="Verdana" w:hAnsi="Verdana"/>
                <w:sz w:val="16"/>
                <w:szCs w:val="16"/>
              </w:rPr>
              <w:t xml:space="preserve"> y aforar con cloruro de metileno.</w:t>
            </w:r>
          </w:p>
        </w:tc>
        <w:tc>
          <w:tcPr>
            <w:tcW w:w="4675" w:type="dxa"/>
          </w:tcPr>
          <w:p w14:paraId="6BC376C0" w14:textId="73BDE42A" w:rsidR="00DE0A0C" w:rsidRPr="00F01347" w:rsidRDefault="00DE0A0C" w:rsidP="00DE0A0C">
            <w:pPr>
              <w:pStyle w:val="texto0"/>
              <w:spacing w:line="242" w:lineRule="exact"/>
              <w:ind w:firstLine="0"/>
              <w:rPr>
                <w:rFonts w:ascii="Verdana" w:hAnsi="Verdana"/>
                <w:sz w:val="16"/>
                <w:szCs w:val="16"/>
                <w:lang w:val="en-US"/>
              </w:rPr>
            </w:pPr>
            <w:r w:rsidRPr="00F01347">
              <w:rPr>
                <w:rFonts w:ascii="Verdana" w:hAnsi="Verdana"/>
                <w:sz w:val="16"/>
                <w:szCs w:val="16"/>
                <w:lang w:val="en-US"/>
              </w:rPr>
              <w:t>CONH standard of 1 mg/L. Take 100 µL of the 10 mg/L CONH standard solution in a 1 mL volumetric flask and make up to volume with methylene chloride.</w:t>
            </w:r>
          </w:p>
        </w:tc>
      </w:tr>
      <w:tr w:rsidR="00DE0A0C" w:rsidRPr="00F01347" w14:paraId="332C3876" w14:textId="0939A3D1" w:rsidTr="00AF700D">
        <w:tc>
          <w:tcPr>
            <w:tcW w:w="4675" w:type="dxa"/>
          </w:tcPr>
          <w:p w14:paraId="008CC347"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sz w:val="16"/>
                <w:szCs w:val="16"/>
              </w:rPr>
              <w:t xml:space="preserve">Estándar de CONH de 0.1 mg/L. Tomar 100 µL de la solución estándar de CONH de 1 mg/L en un matraz volumétrico de 1 </w:t>
            </w:r>
            <w:proofErr w:type="spellStart"/>
            <w:r w:rsidRPr="00F01347">
              <w:rPr>
                <w:rFonts w:ascii="Verdana" w:hAnsi="Verdana"/>
                <w:sz w:val="16"/>
                <w:szCs w:val="16"/>
              </w:rPr>
              <w:t>mL</w:t>
            </w:r>
            <w:proofErr w:type="spellEnd"/>
            <w:r w:rsidRPr="00F01347">
              <w:rPr>
                <w:rFonts w:ascii="Verdana" w:hAnsi="Verdana"/>
                <w:sz w:val="16"/>
                <w:szCs w:val="16"/>
              </w:rPr>
              <w:t xml:space="preserve"> y aforar con cloruro de metileno (QUINTO PUNTO DE CURVA).</w:t>
            </w:r>
          </w:p>
        </w:tc>
        <w:tc>
          <w:tcPr>
            <w:tcW w:w="4675" w:type="dxa"/>
          </w:tcPr>
          <w:p w14:paraId="034E4BD7" w14:textId="56E7127F" w:rsidR="00DE0A0C" w:rsidRPr="00F01347" w:rsidRDefault="00DE0A0C" w:rsidP="00DE0A0C">
            <w:pPr>
              <w:pStyle w:val="texto0"/>
              <w:spacing w:line="242" w:lineRule="exact"/>
              <w:ind w:firstLine="0"/>
              <w:rPr>
                <w:rFonts w:ascii="Verdana" w:hAnsi="Verdana"/>
                <w:sz w:val="16"/>
                <w:szCs w:val="16"/>
                <w:lang w:val="en-US"/>
              </w:rPr>
            </w:pPr>
            <w:r w:rsidRPr="00F01347">
              <w:rPr>
                <w:rFonts w:ascii="Verdana" w:hAnsi="Verdana"/>
                <w:sz w:val="16"/>
                <w:szCs w:val="16"/>
                <w:lang w:val="en-US"/>
              </w:rPr>
              <w:t>CONH standard of 0.1 mg/L. Take 100 µL of the 1 mg/L CONH standard solution in a 1 mL volumetric flask and make up to volume with methylene chloride (FIFTH POINT OF CURVE).</w:t>
            </w:r>
          </w:p>
        </w:tc>
      </w:tr>
      <w:tr w:rsidR="00DE0A0C" w:rsidRPr="00F01347" w14:paraId="15911EAF" w14:textId="4A328262" w:rsidTr="00AF700D">
        <w:tc>
          <w:tcPr>
            <w:tcW w:w="4675" w:type="dxa"/>
          </w:tcPr>
          <w:p w14:paraId="427ECD27"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sz w:val="16"/>
                <w:szCs w:val="16"/>
              </w:rPr>
              <w:t xml:space="preserve">Estándar de CONH de 0.05 mg/L. Tomar 50 µL de la solución Estándar de CONH de 0.1 mg/L en un matraz </w:t>
            </w:r>
            <w:r w:rsidRPr="00F01347">
              <w:rPr>
                <w:rFonts w:ascii="Verdana" w:hAnsi="Verdana"/>
                <w:sz w:val="16"/>
                <w:szCs w:val="16"/>
              </w:rPr>
              <w:lastRenderedPageBreak/>
              <w:t xml:space="preserve">volumétrico de 1 </w:t>
            </w:r>
            <w:proofErr w:type="spellStart"/>
            <w:r w:rsidRPr="00F01347">
              <w:rPr>
                <w:rFonts w:ascii="Verdana" w:hAnsi="Verdana"/>
                <w:sz w:val="16"/>
                <w:szCs w:val="16"/>
              </w:rPr>
              <w:t>mL</w:t>
            </w:r>
            <w:proofErr w:type="spellEnd"/>
            <w:r w:rsidRPr="00F01347">
              <w:rPr>
                <w:rFonts w:ascii="Verdana" w:hAnsi="Verdana"/>
                <w:sz w:val="16"/>
                <w:szCs w:val="16"/>
              </w:rPr>
              <w:t xml:space="preserve"> y aforar con cloruro de metileno (CUARTO PUNTO DE CURVA).</w:t>
            </w:r>
          </w:p>
        </w:tc>
        <w:tc>
          <w:tcPr>
            <w:tcW w:w="4675" w:type="dxa"/>
          </w:tcPr>
          <w:p w14:paraId="0EC0D61A" w14:textId="79BD7A0F" w:rsidR="00DE0A0C" w:rsidRPr="00F01347" w:rsidRDefault="00DE0A0C" w:rsidP="00DE0A0C">
            <w:pPr>
              <w:pStyle w:val="texto0"/>
              <w:spacing w:line="242" w:lineRule="exact"/>
              <w:ind w:firstLine="0"/>
              <w:rPr>
                <w:rFonts w:ascii="Verdana" w:hAnsi="Verdana"/>
                <w:sz w:val="16"/>
                <w:szCs w:val="16"/>
                <w:lang w:val="en-US"/>
              </w:rPr>
            </w:pPr>
            <w:r w:rsidRPr="00F01347">
              <w:rPr>
                <w:rFonts w:ascii="Verdana" w:hAnsi="Verdana"/>
                <w:sz w:val="16"/>
                <w:szCs w:val="16"/>
                <w:lang w:val="en-US"/>
              </w:rPr>
              <w:lastRenderedPageBreak/>
              <w:t xml:space="preserve">CONH standard of 0.05 mg/L. Take 50 µL of the 0.1 mg/L CONH Standard solution in a 1 mL volumetric flask </w:t>
            </w:r>
            <w:r w:rsidRPr="00F01347">
              <w:rPr>
                <w:rFonts w:ascii="Verdana" w:hAnsi="Verdana"/>
                <w:sz w:val="16"/>
                <w:szCs w:val="16"/>
                <w:lang w:val="en-US"/>
              </w:rPr>
              <w:lastRenderedPageBreak/>
              <w:t>and make up to volume with methylene chloride (FOURTH POINT OF CURVE).</w:t>
            </w:r>
          </w:p>
        </w:tc>
      </w:tr>
      <w:tr w:rsidR="00DE0A0C" w:rsidRPr="00F01347" w14:paraId="35D0305E" w14:textId="3813A091" w:rsidTr="00AF700D">
        <w:tc>
          <w:tcPr>
            <w:tcW w:w="4675" w:type="dxa"/>
          </w:tcPr>
          <w:p w14:paraId="7B52E2B5"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sz w:val="16"/>
                <w:szCs w:val="16"/>
              </w:rPr>
              <w:lastRenderedPageBreak/>
              <w:t xml:space="preserve">Estándar de CONH de 0.02 mg/L. Tomar 200 µL de la solución estándar de CONH de 0.1 mg/L en un matraz volumétrico de 1 </w:t>
            </w:r>
            <w:proofErr w:type="spellStart"/>
            <w:r w:rsidRPr="00F01347">
              <w:rPr>
                <w:rFonts w:ascii="Verdana" w:hAnsi="Verdana"/>
                <w:sz w:val="16"/>
                <w:szCs w:val="16"/>
              </w:rPr>
              <w:t>mL</w:t>
            </w:r>
            <w:proofErr w:type="spellEnd"/>
            <w:r w:rsidRPr="00F01347">
              <w:rPr>
                <w:rFonts w:ascii="Verdana" w:hAnsi="Verdana"/>
                <w:sz w:val="16"/>
                <w:szCs w:val="16"/>
              </w:rPr>
              <w:t xml:space="preserve"> y aforar con cloruro de metileno (TERCER PUNTO DE CURVA).</w:t>
            </w:r>
          </w:p>
        </w:tc>
        <w:tc>
          <w:tcPr>
            <w:tcW w:w="4675" w:type="dxa"/>
          </w:tcPr>
          <w:p w14:paraId="6403BEDA" w14:textId="75008F2D" w:rsidR="00DE0A0C" w:rsidRPr="00F01347" w:rsidRDefault="00DE0A0C" w:rsidP="00DE0A0C">
            <w:pPr>
              <w:pStyle w:val="texto0"/>
              <w:spacing w:line="242" w:lineRule="exact"/>
              <w:ind w:firstLine="0"/>
              <w:rPr>
                <w:rFonts w:ascii="Verdana" w:hAnsi="Verdana"/>
                <w:sz w:val="16"/>
                <w:szCs w:val="16"/>
                <w:lang w:val="en-US"/>
              </w:rPr>
            </w:pPr>
            <w:r w:rsidRPr="00F01347">
              <w:rPr>
                <w:rFonts w:ascii="Verdana" w:hAnsi="Verdana"/>
                <w:sz w:val="16"/>
                <w:szCs w:val="16"/>
                <w:lang w:val="en-US"/>
              </w:rPr>
              <w:t>CONH standard of 0.02 mg/L. Take 200 µL of the 0.1 mg/L CONH standard solution in a 1 mL volumetric flask and make up to volume with methylene chloride (THIRD POINT OF CURVE).</w:t>
            </w:r>
          </w:p>
        </w:tc>
      </w:tr>
      <w:tr w:rsidR="00DE0A0C" w:rsidRPr="00F01347" w14:paraId="34B4DD1B" w14:textId="6F361E3B" w:rsidTr="00AF700D">
        <w:tc>
          <w:tcPr>
            <w:tcW w:w="4675" w:type="dxa"/>
          </w:tcPr>
          <w:p w14:paraId="0EDC4E4F"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sz w:val="16"/>
                <w:szCs w:val="16"/>
              </w:rPr>
              <w:t xml:space="preserve">Estándar de CONH de 0.01 mg/L. Tomar 100 µL de la solución estándar de CONH de 0.1 mg/L en un matraz volumétrico de 1 </w:t>
            </w:r>
            <w:proofErr w:type="spellStart"/>
            <w:r w:rsidRPr="00F01347">
              <w:rPr>
                <w:rFonts w:ascii="Verdana" w:hAnsi="Verdana"/>
                <w:sz w:val="16"/>
                <w:szCs w:val="16"/>
              </w:rPr>
              <w:t>mL</w:t>
            </w:r>
            <w:proofErr w:type="spellEnd"/>
            <w:r w:rsidRPr="00F01347">
              <w:rPr>
                <w:rFonts w:ascii="Verdana" w:hAnsi="Verdana"/>
                <w:sz w:val="16"/>
                <w:szCs w:val="16"/>
              </w:rPr>
              <w:t xml:space="preserve"> y aforar con cloruro de metileno (SEGUNDO PUNTO DE CURVA).</w:t>
            </w:r>
          </w:p>
        </w:tc>
        <w:tc>
          <w:tcPr>
            <w:tcW w:w="4675" w:type="dxa"/>
          </w:tcPr>
          <w:p w14:paraId="0A32C342" w14:textId="3181A9C2" w:rsidR="00DE0A0C" w:rsidRPr="00F01347" w:rsidRDefault="00DE0A0C" w:rsidP="00DE0A0C">
            <w:pPr>
              <w:pStyle w:val="texto0"/>
              <w:spacing w:line="242" w:lineRule="exact"/>
              <w:ind w:firstLine="0"/>
              <w:rPr>
                <w:rFonts w:ascii="Verdana" w:hAnsi="Verdana"/>
                <w:sz w:val="16"/>
                <w:szCs w:val="16"/>
                <w:lang w:val="en-US"/>
              </w:rPr>
            </w:pPr>
            <w:r w:rsidRPr="00F01347">
              <w:rPr>
                <w:rFonts w:ascii="Verdana" w:hAnsi="Verdana"/>
                <w:sz w:val="16"/>
                <w:szCs w:val="16"/>
                <w:lang w:val="en-US"/>
              </w:rPr>
              <w:t>CONH standard of 0.01 mg/L. Take 100 µL of the 0.1 mg/L CONH standard solution in a 1 mL volumetric flask and make up to volume with methylene chloride (SECOND POINT OF CURVE).</w:t>
            </w:r>
          </w:p>
        </w:tc>
      </w:tr>
      <w:tr w:rsidR="00DE0A0C" w:rsidRPr="00F01347" w14:paraId="3AA5D3B0" w14:textId="72939AC5" w:rsidTr="00AF700D">
        <w:tc>
          <w:tcPr>
            <w:tcW w:w="4675" w:type="dxa"/>
          </w:tcPr>
          <w:p w14:paraId="19931553" w14:textId="77777777" w:rsidR="00DE0A0C" w:rsidRPr="00F01347" w:rsidRDefault="00DE0A0C" w:rsidP="00DE0A0C">
            <w:pPr>
              <w:pStyle w:val="texto0"/>
              <w:spacing w:line="242" w:lineRule="exact"/>
              <w:ind w:firstLine="0"/>
              <w:rPr>
                <w:rFonts w:ascii="Verdana" w:hAnsi="Verdana"/>
                <w:sz w:val="16"/>
                <w:szCs w:val="16"/>
              </w:rPr>
            </w:pPr>
            <w:r w:rsidRPr="00F01347">
              <w:rPr>
                <w:rFonts w:ascii="Verdana" w:hAnsi="Verdana"/>
                <w:sz w:val="16"/>
                <w:szCs w:val="16"/>
              </w:rPr>
              <w:t xml:space="preserve">Estándar de CONH de 0.005 mg/L. Tomar 500 µL de la solución estándar de CONH de 0.01 mg/L en un matraz volumétrico de 1 </w:t>
            </w:r>
            <w:proofErr w:type="spellStart"/>
            <w:r w:rsidRPr="00F01347">
              <w:rPr>
                <w:rFonts w:ascii="Verdana" w:hAnsi="Verdana"/>
                <w:sz w:val="16"/>
                <w:szCs w:val="16"/>
              </w:rPr>
              <w:t>mL</w:t>
            </w:r>
            <w:proofErr w:type="spellEnd"/>
            <w:r w:rsidRPr="00F01347">
              <w:rPr>
                <w:rFonts w:ascii="Verdana" w:hAnsi="Verdana"/>
                <w:sz w:val="16"/>
                <w:szCs w:val="16"/>
              </w:rPr>
              <w:t xml:space="preserve"> y aforar con cloruro de metileno (PRIMER PUNTO DE CURVA).</w:t>
            </w:r>
          </w:p>
        </w:tc>
        <w:tc>
          <w:tcPr>
            <w:tcW w:w="4675" w:type="dxa"/>
          </w:tcPr>
          <w:p w14:paraId="23A56EDB" w14:textId="565A4D6B" w:rsidR="00DE0A0C" w:rsidRPr="00F01347" w:rsidRDefault="00DE0A0C" w:rsidP="00DE0A0C">
            <w:pPr>
              <w:pStyle w:val="texto0"/>
              <w:spacing w:line="242" w:lineRule="exact"/>
              <w:ind w:firstLine="0"/>
              <w:rPr>
                <w:rFonts w:ascii="Verdana" w:hAnsi="Verdana"/>
                <w:sz w:val="16"/>
                <w:szCs w:val="16"/>
                <w:lang w:val="en-US"/>
              </w:rPr>
            </w:pPr>
            <w:r w:rsidRPr="00F01347">
              <w:rPr>
                <w:rFonts w:ascii="Verdana" w:hAnsi="Verdana"/>
                <w:sz w:val="16"/>
                <w:szCs w:val="16"/>
                <w:lang w:val="en-US"/>
              </w:rPr>
              <w:t>CONH standard of 0.005 mg/L. Take 500 µL of the 0.01 mg/L CONH standard solution in a 1 mL volumetric flask and make up to volume with methylene chloride (FIRST POINT OF CURVE).</w:t>
            </w:r>
          </w:p>
        </w:tc>
      </w:tr>
      <w:tr w:rsidR="00DE0A0C" w:rsidRPr="00F01347" w14:paraId="328EF04F" w14:textId="38E03252" w:rsidTr="00AF700D">
        <w:tc>
          <w:tcPr>
            <w:tcW w:w="4675" w:type="dxa"/>
          </w:tcPr>
          <w:p w14:paraId="06B6EC2B" w14:textId="77777777" w:rsidR="00DE0A0C" w:rsidRPr="00F01347" w:rsidRDefault="00DE0A0C" w:rsidP="00DE0A0C">
            <w:pPr>
              <w:pStyle w:val="texto0"/>
              <w:spacing w:after="80"/>
              <w:ind w:firstLine="0"/>
              <w:rPr>
                <w:rFonts w:ascii="Verdana" w:hAnsi="Verdana"/>
                <w:b/>
                <w:sz w:val="16"/>
                <w:szCs w:val="16"/>
              </w:rPr>
            </w:pPr>
            <w:r w:rsidRPr="00F01347">
              <w:rPr>
                <w:rFonts w:ascii="Verdana" w:hAnsi="Verdana"/>
                <w:b/>
                <w:sz w:val="16"/>
                <w:szCs w:val="16"/>
              </w:rPr>
              <w:t>B.13.6.2 Preservación y extracción de las muestras</w:t>
            </w:r>
          </w:p>
        </w:tc>
        <w:tc>
          <w:tcPr>
            <w:tcW w:w="4675" w:type="dxa"/>
          </w:tcPr>
          <w:p w14:paraId="0BF73CB3" w14:textId="6158E8D2" w:rsidR="00DE0A0C" w:rsidRPr="00F01347" w:rsidRDefault="00DE0A0C" w:rsidP="00DE0A0C">
            <w:pPr>
              <w:pStyle w:val="texto0"/>
              <w:spacing w:after="80"/>
              <w:ind w:firstLine="0"/>
              <w:rPr>
                <w:rFonts w:ascii="Verdana" w:hAnsi="Verdana"/>
                <w:b/>
                <w:sz w:val="16"/>
                <w:szCs w:val="16"/>
                <w:lang w:val="en-US"/>
              </w:rPr>
            </w:pPr>
            <w:r w:rsidRPr="00F01347">
              <w:rPr>
                <w:rFonts w:ascii="Verdana" w:hAnsi="Verdana"/>
                <w:b/>
                <w:sz w:val="16"/>
                <w:szCs w:val="16"/>
                <w:lang w:val="en-US"/>
              </w:rPr>
              <w:t>B.13.6.2 Preservation and extraction of samples</w:t>
            </w:r>
          </w:p>
        </w:tc>
      </w:tr>
      <w:tr w:rsidR="00DE0A0C" w:rsidRPr="00F01347" w14:paraId="64AFB64E" w14:textId="64FBB9EB" w:rsidTr="00AF700D">
        <w:tc>
          <w:tcPr>
            <w:tcW w:w="4675" w:type="dxa"/>
          </w:tcPr>
          <w:p w14:paraId="30A5D381" w14:textId="77777777" w:rsidR="00DE0A0C" w:rsidRPr="00F01347" w:rsidRDefault="00DE0A0C" w:rsidP="00DE0A0C">
            <w:pPr>
              <w:pStyle w:val="texto0"/>
              <w:spacing w:after="80"/>
              <w:ind w:firstLine="0"/>
              <w:rPr>
                <w:rFonts w:ascii="Verdana" w:hAnsi="Verdana"/>
                <w:sz w:val="16"/>
                <w:szCs w:val="16"/>
              </w:rPr>
            </w:pPr>
            <w:r w:rsidRPr="00F01347">
              <w:rPr>
                <w:rFonts w:ascii="Verdana" w:hAnsi="Verdana"/>
                <w:sz w:val="16"/>
                <w:szCs w:val="16"/>
              </w:rPr>
              <w:t xml:space="preserve">Enjuagar el material de vidrio con cloruro de Metileno, </w:t>
            </w:r>
            <w:proofErr w:type="spellStart"/>
            <w:r w:rsidRPr="00F01347">
              <w:rPr>
                <w:rFonts w:ascii="Verdana" w:hAnsi="Verdana"/>
                <w:sz w:val="16"/>
                <w:szCs w:val="16"/>
              </w:rPr>
              <w:t>Sonicar</w:t>
            </w:r>
            <w:proofErr w:type="spellEnd"/>
            <w:r w:rsidRPr="00F01347">
              <w:rPr>
                <w:rFonts w:ascii="Verdana" w:hAnsi="Verdana"/>
                <w:sz w:val="16"/>
                <w:szCs w:val="16"/>
              </w:rPr>
              <w:t xml:space="preserve"> los magnetos con cloruro de metileno durante dos minutos, repetir el proceso tres veces.</w:t>
            </w:r>
          </w:p>
        </w:tc>
        <w:tc>
          <w:tcPr>
            <w:tcW w:w="4675" w:type="dxa"/>
          </w:tcPr>
          <w:p w14:paraId="281854BF" w14:textId="2AE8B029" w:rsidR="00DE0A0C" w:rsidRPr="00F01347" w:rsidRDefault="00DE0A0C" w:rsidP="00DE0A0C">
            <w:pPr>
              <w:pStyle w:val="texto0"/>
              <w:spacing w:after="80"/>
              <w:ind w:firstLine="0"/>
              <w:rPr>
                <w:rFonts w:ascii="Verdana" w:hAnsi="Verdana"/>
                <w:sz w:val="16"/>
                <w:szCs w:val="16"/>
                <w:lang w:val="en-US"/>
              </w:rPr>
            </w:pPr>
            <w:r w:rsidRPr="00F01347">
              <w:rPr>
                <w:rFonts w:ascii="Verdana" w:hAnsi="Verdana"/>
                <w:sz w:val="16"/>
                <w:szCs w:val="16"/>
                <w:lang w:val="en-US"/>
              </w:rPr>
              <w:t>Rinse the glassware with Methylene chloride, Sonicate the magnets with methylene chloride for two minutes, repeat the process three times.</w:t>
            </w:r>
          </w:p>
        </w:tc>
      </w:tr>
      <w:tr w:rsidR="00DE0A0C" w:rsidRPr="00F01347" w14:paraId="2CB5EB04" w14:textId="7BD791FD" w:rsidTr="00AF700D">
        <w:tc>
          <w:tcPr>
            <w:tcW w:w="4675" w:type="dxa"/>
          </w:tcPr>
          <w:p w14:paraId="43F1C240" w14:textId="77777777" w:rsidR="00DE0A0C" w:rsidRPr="00F01347" w:rsidRDefault="00DE0A0C" w:rsidP="00DE0A0C">
            <w:pPr>
              <w:pStyle w:val="texto0"/>
              <w:spacing w:after="80"/>
              <w:ind w:firstLine="0"/>
              <w:rPr>
                <w:rFonts w:ascii="Verdana" w:hAnsi="Verdana"/>
                <w:sz w:val="16"/>
                <w:szCs w:val="16"/>
              </w:rPr>
            </w:pPr>
            <w:r w:rsidRPr="00F01347">
              <w:rPr>
                <w:rFonts w:ascii="Verdana" w:hAnsi="Verdana"/>
                <w:sz w:val="16"/>
                <w:szCs w:val="16"/>
              </w:rPr>
              <w:t>Tomar 1L de cada muestra en matraz de separación de 2 L, incluyendo blanco de reactivos, muestras control, muestra adicionada y muestras reales.</w:t>
            </w:r>
          </w:p>
        </w:tc>
        <w:tc>
          <w:tcPr>
            <w:tcW w:w="4675" w:type="dxa"/>
          </w:tcPr>
          <w:p w14:paraId="1808905F" w14:textId="3BBACFA4" w:rsidR="00DE0A0C" w:rsidRPr="00F01347" w:rsidRDefault="00DE0A0C" w:rsidP="00DE0A0C">
            <w:pPr>
              <w:pStyle w:val="texto0"/>
              <w:spacing w:after="80"/>
              <w:ind w:firstLine="0"/>
              <w:rPr>
                <w:rFonts w:ascii="Verdana" w:hAnsi="Verdana"/>
                <w:sz w:val="16"/>
                <w:szCs w:val="16"/>
                <w:lang w:val="en-US"/>
              </w:rPr>
            </w:pPr>
            <w:r w:rsidRPr="00F01347">
              <w:rPr>
                <w:rFonts w:ascii="Verdana" w:hAnsi="Verdana"/>
                <w:sz w:val="16"/>
                <w:szCs w:val="16"/>
                <w:lang w:val="en-US"/>
              </w:rPr>
              <w:t xml:space="preserve">Take 1L of each sample in a 2L separation flask, including reagent blank, control samples, spiked </w:t>
            </w:r>
            <w:proofErr w:type="gramStart"/>
            <w:r w:rsidRPr="00F01347">
              <w:rPr>
                <w:rFonts w:ascii="Verdana" w:hAnsi="Verdana"/>
                <w:sz w:val="16"/>
                <w:szCs w:val="16"/>
                <w:lang w:val="en-US"/>
              </w:rPr>
              <w:t>sample</w:t>
            </w:r>
            <w:proofErr w:type="gramEnd"/>
            <w:r w:rsidRPr="00F01347">
              <w:rPr>
                <w:rFonts w:ascii="Verdana" w:hAnsi="Verdana"/>
                <w:sz w:val="16"/>
                <w:szCs w:val="16"/>
                <w:lang w:val="en-US"/>
              </w:rPr>
              <w:t xml:space="preserve"> and real samples.</w:t>
            </w:r>
          </w:p>
        </w:tc>
      </w:tr>
      <w:tr w:rsidR="00DE0A0C" w:rsidRPr="00F01347" w14:paraId="2A1CB30B" w14:textId="32C00ECF" w:rsidTr="00AF700D">
        <w:tc>
          <w:tcPr>
            <w:tcW w:w="4675" w:type="dxa"/>
          </w:tcPr>
          <w:p w14:paraId="5A05C328" w14:textId="77777777" w:rsidR="00DE0A0C" w:rsidRPr="00F01347" w:rsidRDefault="00DE0A0C" w:rsidP="00DE0A0C">
            <w:pPr>
              <w:pStyle w:val="texto0"/>
              <w:spacing w:after="80"/>
              <w:ind w:firstLine="0"/>
              <w:rPr>
                <w:rFonts w:ascii="Verdana" w:hAnsi="Verdana"/>
                <w:sz w:val="16"/>
                <w:szCs w:val="16"/>
              </w:rPr>
            </w:pPr>
            <w:r w:rsidRPr="00F01347">
              <w:rPr>
                <w:rFonts w:ascii="Verdana" w:hAnsi="Verdana"/>
                <w:sz w:val="16"/>
                <w:szCs w:val="16"/>
              </w:rPr>
              <w:t>Medir el pH de cada muestra y ajustar si es necesario con ácido sulfúrico (H</w:t>
            </w:r>
            <w:r w:rsidRPr="00F01347">
              <w:rPr>
                <w:rFonts w:ascii="Verdana" w:hAnsi="Verdana"/>
                <w:sz w:val="16"/>
                <w:szCs w:val="16"/>
                <w:vertAlign w:val="subscript"/>
              </w:rPr>
              <w:t>2</w:t>
            </w:r>
            <w:r w:rsidRPr="00F01347">
              <w:rPr>
                <w:rFonts w:ascii="Verdana" w:hAnsi="Verdana"/>
                <w:sz w:val="16"/>
                <w:szCs w:val="16"/>
              </w:rPr>
              <w:t>SO</w:t>
            </w:r>
            <w:r w:rsidRPr="00F01347">
              <w:rPr>
                <w:rFonts w:ascii="Verdana" w:hAnsi="Verdana"/>
                <w:sz w:val="16"/>
                <w:szCs w:val="16"/>
                <w:vertAlign w:val="subscript"/>
              </w:rPr>
              <w:t>4</w:t>
            </w:r>
            <w:r w:rsidRPr="00F01347">
              <w:rPr>
                <w:rFonts w:ascii="Verdana" w:hAnsi="Verdana"/>
                <w:sz w:val="16"/>
                <w:szCs w:val="16"/>
              </w:rPr>
              <w:t>) 1:1 o con hidróxido de sodio (NaOH) 10 N de modo que el pH quede en el intervalo de 5 a 9.</w:t>
            </w:r>
          </w:p>
        </w:tc>
        <w:tc>
          <w:tcPr>
            <w:tcW w:w="4675" w:type="dxa"/>
          </w:tcPr>
          <w:p w14:paraId="0D04F15F" w14:textId="68B1C32E" w:rsidR="00DE0A0C" w:rsidRPr="00F01347" w:rsidRDefault="00DE0A0C" w:rsidP="00DE0A0C">
            <w:pPr>
              <w:pStyle w:val="texto0"/>
              <w:spacing w:after="80"/>
              <w:ind w:firstLine="0"/>
              <w:rPr>
                <w:rFonts w:ascii="Verdana" w:hAnsi="Verdana"/>
                <w:sz w:val="16"/>
                <w:szCs w:val="16"/>
                <w:lang w:val="en-US"/>
              </w:rPr>
            </w:pPr>
            <w:r w:rsidRPr="00F01347">
              <w:rPr>
                <w:rFonts w:ascii="Verdana" w:hAnsi="Verdana"/>
                <w:sz w:val="16"/>
                <w:szCs w:val="16"/>
                <w:lang w:val="en-US"/>
              </w:rPr>
              <w:t xml:space="preserve">Measure the pH of each sample and adjust if </w:t>
            </w:r>
            <w:proofErr w:type="gramStart"/>
            <w:r w:rsidRPr="00F01347">
              <w:rPr>
                <w:rFonts w:ascii="Verdana" w:hAnsi="Verdana"/>
                <w:sz w:val="16"/>
                <w:szCs w:val="16"/>
                <w:lang w:val="en-US"/>
              </w:rPr>
              <w:t>necessary</w:t>
            </w:r>
            <w:proofErr w:type="gramEnd"/>
            <w:r w:rsidRPr="00F01347">
              <w:rPr>
                <w:rFonts w:ascii="Verdana" w:hAnsi="Verdana"/>
                <w:sz w:val="16"/>
                <w:szCs w:val="16"/>
                <w:lang w:val="en-US"/>
              </w:rPr>
              <w:t xml:space="preserve"> with 1:1 sulfuric acid (H</w:t>
            </w:r>
            <w:r w:rsidRPr="00F01347">
              <w:rPr>
                <w:rFonts w:ascii="Verdana" w:hAnsi="Verdana"/>
                <w:sz w:val="16"/>
                <w:szCs w:val="16"/>
                <w:vertAlign w:val="subscript"/>
                <w:lang w:val="en-US"/>
              </w:rPr>
              <w:t>2</w:t>
            </w:r>
            <w:r w:rsidRPr="00F01347">
              <w:rPr>
                <w:rFonts w:ascii="Verdana" w:hAnsi="Verdana"/>
                <w:sz w:val="16"/>
                <w:szCs w:val="16"/>
                <w:lang w:val="en-US"/>
              </w:rPr>
              <w:t>SO</w:t>
            </w:r>
            <w:r w:rsidRPr="00F01347">
              <w:rPr>
                <w:rFonts w:ascii="Verdana" w:hAnsi="Verdana"/>
                <w:sz w:val="16"/>
                <w:szCs w:val="16"/>
                <w:vertAlign w:val="subscript"/>
                <w:lang w:val="en-US"/>
              </w:rPr>
              <w:t>4</w:t>
            </w:r>
            <w:r w:rsidR="00913802" w:rsidRPr="00F01347">
              <w:rPr>
                <w:rFonts w:ascii="Verdana" w:hAnsi="Verdana"/>
                <w:sz w:val="16"/>
                <w:szCs w:val="16"/>
                <w:lang w:val="en-US"/>
              </w:rPr>
              <w:t>)</w:t>
            </w:r>
            <w:r w:rsidRPr="00F01347">
              <w:rPr>
                <w:rFonts w:ascii="Verdana" w:hAnsi="Verdana"/>
                <w:sz w:val="16"/>
                <w:szCs w:val="16"/>
                <w:vertAlign w:val="subscript"/>
                <w:lang w:val="en-US"/>
              </w:rPr>
              <w:t xml:space="preserve"> </w:t>
            </w:r>
            <w:r w:rsidRPr="00F01347">
              <w:rPr>
                <w:rFonts w:ascii="Verdana" w:hAnsi="Verdana"/>
                <w:sz w:val="16"/>
                <w:szCs w:val="16"/>
                <w:lang w:val="en-US"/>
              </w:rPr>
              <w:t>or 10 N sodium hydroxide (NaOH) so that the pH is in the range of 5 to 9.</w:t>
            </w:r>
          </w:p>
        </w:tc>
      </w:tr>
      <w:tr w:rsidR="00DE0A0C" w:rsidRPr="00F01347" w14:paraId="622EA61B" w14:textId="44587ADC" w:rsidTr="00AF700D">
        <w:tc>
          <w:tcPr>
            <w:tcW w:w="4675" w:type="dxa"/>
          </w:tcPr>
          <w:p w14:paraId="2A0D7AD9" w14:textId="77777777" w:rsidR="00DE0A0C" w:rsidRPr="00F01347" w:rsidRDefault="00DE0A0C" w:rsidP="00DE0A0C">
            <w:pPr>
              <w:pStyle w:val="texto0"/>
              <w:spacing w:after="80"/>
              <w:ind w:firstLine="0"/>
              <w:rPr>
                <w:rFonts w:ascii="Verdana" w:hAnsi="Verdana"/>
                <w:sz w:val="16"/>
                <w:szCs w:val="16"/>
              </w:rPr>
            </w:pPr>
            <w:r w:rsidRPr="00F01347">
              <w:rPr>
                <w:rFonts w:ascii="Verdana" w:hAnsi="Verdana"/>
                <w:sz w:val="16"/>
                <w:szCs w:val="16"/>
              </w:rPr>
              <w:t xml:space="preserve">Agregar 50 </w:t>
            </w:r>
            <w:proofErr w:type="spellStart"/>
            <w:r w:rsidRPr="00F01347">
              <w:rPr>
                <w:rFonts w:ascii="Verdana" w:hAnsi="Verdana"/>
                <w:sz w:val="16"/>
                <w:szCs w:val="16"/>
              </w:rPr>
              <w:t>mL</w:t>
            </w:r>
            <w:proofErr w:type="spellEnd"/>
            <w:r w:rsidRPr="00F01347">
              <w:rPr>
                <w:rFonts w:ascii="Verdana" w:hAnsi="Verdana"/>
                <w:sz w:val="16"/>
                <w:szCs w:val="16"/>
              </w:rPr>
              <w:t xml:space="preserve"> de cloruro de metileno, agitar durante tres minutos, después de la agitación dejar reposar para permitir la separación de las fases, recuperar el cloruro metileno en un matraz Erlenmeyer de 250 </w:t>
            </w:r>
            <w:proofErr w:type="spellStart"/>
            <w:r w:rsidRPr="00F01347">
              <w:rPr>
                <w:rFonts w:ascii="Verdana" w:hAnsi="Verdana"/>
                <w:sz w:val="16"/>
                <w:szCs w:val="16"/>
              </w:rPr>
              <w:t>mL</w:t>
            </w:r>
            <w:proofErr w:type="spellEnd"/>
            <w:r w:rsidRPr="00F01347">
              <w:rPr>
                <w:rFonts w:ascii="Verdana" w:hAnsi="Verdana"/>
                <w:sz w:val="16"/>
                <w:szCs w:val="16"/>
              </w:rPr>
              <w:t>, pasándolo previamente por un embudo de filtración con fibra de vidrio o papel filtro No. 41 y sulfato de sodio anhidro purificado. Si la muestra presentara problemas de emulsión durante la extracción se deberán utilizar procedimientos mecánicos de separación, como centrifugación, filtración, etc.</w:t>
            </w:r>
          </w:p>
        </w:tc>
        <w:tc>
          <w:tcPr>
            <w:tcW w:w="4675" w:type="dxa"/>
          </w:tcPr>
          <w:p w14:paraId="116E28C9" w14:textId="43F921DC" w:rsidR="00DE0A0C" w:rsidRPr="00F01347" w:rsidRDefault="00DE0A0C" w:rsidP="00DE0A0C">
            <w:pPr>
              <w:pStyle w:val="texto0"/>
              <w:spacing w:after="80"/>
              <w:ind w:firstLine="0"/>
              <w:rPr>
                <w:rFonts w:ascii="Verdana" w:hAnsi="Verdana"/>
                <w:sz w:val="16"/>
                <w:szCs w:val="16"/>
                <w:lang w:val="en-US"/>
              </w:rPr>
            </w:pPr>
            <w:r w:rsidRPr="00F01347">
              <w:rPr>
                <w:rFonts w:ascii="Verdana" w:hAnsi="Verdana"/>
                <w:sz w:val="16"/>
                <w:szCs w:val="16"/>
                <w:lang w:val="en-US"/>
              </w:rPr>
              <w:t>Add 50 mL of methylene chloride, shake for three minutes, after stirring let it rest to allow the phases to separate, recover the methylene chloride in a 250 mL Erlenmeyer flask, previously passing it through a filter funnel with fiberglass. or No. 41 filter paper and purified anhydrous sodium sulfate. If the sample presents emulsification problems during extraction, mechanical separation procedures should be used, such as centrifugation, filtration, etc.</w:t>
            </w:r>
          </w:p>
        </w:tc>
      </w:tr>
      <w:tr w:rsidR="00DE0A0C" w:rsidRPr="00F01347" w14:paraId="5477ED56" w14:textId="33F643FF" w:rsidTr="00AF700D">
        <w:tc>
          <w:tcPr>
            <w:tcW w:w="4675" w:type="dxa"/>
          </w:tcPr>
          <w:p w14:paraId="32A73A64" w14:textId="77777777" w:rsidR="00DE0A0C" w:rsidRPr="00F01347" w:rsidRDefault="00DE0A0C" w:rsidP="00DE0A0C">
            <w:pPr>
              <w:pStyle w:val="texto0"/>
              <w:spacing w:after="80"/>
              <w:ind w:firstLine="0"/>
              <w:rPr>
                <w:rFonts w:ascii="Verdana" w:hAnsi="Verdana"/>
                <w:sz w:val="16"/>
                <w:szCs w:val="16"/>
              </w:rPr>
            </w:pPr>
            <w:r w:rsidRPr="00F01347">
              <w:rPr>
                <w:rFonts w:ascii="Verdana" w:hAnsi="Verdana"/>
                <w:sz w:val="16"/>
                <w:szCs w:val="16"/>
              </w:rPr>
              <w:t xml:space="preserve">Extraer dos veces más con 25 </w:t>
            </w:r>
            <w:proofErr w:type="spellStart"/>
            <w:r w:rsidRPr="00F01347">
              <w:rPr>
                <w:rFonts w:ascii="Verdana" w:hAnsi="Verdana"/>
                <w:sz w:val="16"/>
                <w:szCs w:val="16"/>
              </w:rPr>
              <w:t>mL</w:t>
            </w:r>
            <w:proofErr w:type="spellEnd"/>
            <w:r w:rsidRPr="00F01347">
              <w:rPr>
                <w:rFonts w:ascii="Verdana" w:hAnsi="Verdana"/>
                <w:sz w:val="16"/>
                <w:szCs w:val="16"/>
              </w:rPr>
              <w:t xml:space="preserve"> de cloruro de metileno como en el inciso anterior y los extractos se recuperan en el mismo matraz Erlenmeyer.</w:t>
            </w:r>
          </w:p>
        </w:tc>
        <w:tc>
          <w:tcPr>
            <w:tcW w:w="4675" w:type="dxa"/>
          </w:tcPr>
          <w:p w14:paraId="099B53A0" w14:textId="4794C120" w:rsidR="00DE0A0C" w:rsidRPr="00F01347" w:rsidRDefault="00DE0A0C" w:rsidP="00DE0A0C">
            <w:pPr>
              <w:pStyle w:val="texto0"/>
              <w:spacing w:after="80"/>
              <w:ind w:firstLine="0"/>
              <w:rPr>
                <w:rFonts w:ascii="Verdana" w:hAnsi="Verdana"/>
                <w:sz w:val="16"/>
                <w:szCs w:val="16"/>
                <w:lang w:val="en-US"/>
              </w:rPr>
            </w:pPr>
            <w:r w:rsidRPr="00F01347">
              <w:rPr>
                <w:rFonts w:ascii="Verdana" w:hAnsi="Verdana"/>
                <w:sz w:val="16"/>
                <w:szCs w:val="16"/>
                <w:lang w:val="en-US"/>
              </w:rPr>
              <w:t>Extract two more times with 25 mL of methylene chloride as in the previous section and the extracts are recovered in the same Erlenmeyer flask.</w:t>
            </w:r>
          </w:p>
        </w:tc>
      </w:tr>
      <w:tr w:rsidR="00DE0A0C" w:rsidRPr="00F01347" w14:paraId="76712017" w14:textId="069C8B41" w:rsidTr="00AF700D">
        <w:tc>
          <w:tcPr>
            <w:tcW w:w="4675" w:type="dxa"/>
          </w:tcPr>
          <w:p w14:paraId="17D8E25F" w14:textId="77777777" w:rsidR="00DE0A0C" w:rsidRPr="00F01347" w:rsidRDefault="00DE0A0C" w:rsidP="00DE0A0C">
            <w:pPr>
              <w:pStyle w:val="texto0"/>
              <w:spacing w:after="80"/>
              <w:ind w:firstLine="0"/>
              <w:rPr>
                <w:rFonts w:ascii="Verdana" w:hAnsi="Verdana"/>
                <w:sz w:val="16"/>
                <w:szCs w:val="16"/>
              </w:rPr>
            </w:pPr>
            <w:r w:rsidRPr="00F01347">
              <w:rPr>
                <w:rFonts w:ascii="Verdana" w:hAnsi="Verdana"/>
                <w:sz w:val="16"/>
                <w:szCs w:val="16"/>
              </w:rPr>
              <w:t xml:space="preserve">Concentrar los extractos en </w:t>
            </w:r>
            <w:proofErr w:type="spellStart"/>
            <w:r w:rsidRPr="00F01347">
              <w:rPr>
                <w:rFonts w:ascii="Verdana" w:hAnsi="Verdana"/>
                <w:sz w:val="16"/>
                <w:szCs w:val="16"/>
              </w:rPr>
              <w:t>Kuderna-danish</w:t>
            </w:r>
            <w:proofErr w:type="spellEnd"/>
            <w:r w:rsidRPr="00F01347">
              <w:rPr>
                <w:rFonts w:ascii="Verdana" w:hAnsi="Verdana"/>
                <w:sz w:val="16"/>
                <w:szCs w:val="16"/>
              </w:rPr>
              <w:t xml:space="preserve"> en baño María a una temperatura entre 60 y 65°C y hasta que el volumen aparente del extracto sea menor de 1 </w:t>
            </w:r>
            <w:proofErr w:type="spellStart"/>
            <w:r w:rsidRPr="00F01347">
              <w:rPr>
                <w:rFonts w:ascii="Verdana" w:hAnsi="Verdana"/>
                <w:sz w:val="16"/>
                <w:szCs w:val="16"/>
              </w:rPr>
              <w:t>mL</w:t>
            </w:r>
            <w:proofErr w:type="spellEnd"/>
            <w:r w:rsidRPr="00F01347">
              <w:rPr>
                <w:rFonts w:ascii="Verdana" w:hAnsi="Verdana"/>
                <w:sz w:val="16"/>
                <w:szCs w:val="16"/>
              </w:rPr>
              <w:t xml:space="preserve"> (no dejar secar el extracto ya que se pierden los compuestos orgánicos </w:t>
            </w:r>
            <w:proofErr w:type="spellStart"/>
            <w:r w:rsidRPr="00F01347">
              <w:rPr>
                <w:rFonts w:ascii="Verdana" w:hAnsi="Verdana"/>
                <w:sz w:val="16"/>
                <w:szCs w:val="16"/>
              </w:rPr>
              <w:t>semivolátiles</w:t>
            </w:r>
            <w:proofErr w:type="spellEnd"/>
            <w:r w:rsidRPr="00F01347">
              <w:rPr>
                <w:rFonts w:ascii="Verdana" w:hAnsi="Verdana"/>
                <w:sz w:val="16"/>
                <w:szCs w:val="16"/>
              </w:rPr>
              <w:t xml:space="preserve"> ligeros), posteriormente retirar la columna </w:t>
            </w:r>
            <w:proofErr w:type="spellStart"/>
            <w:r w:rsidRPr="00F01347">
              <w:rPr>
                <w:rFonts w:ascii="Verdana" w:hAnsi="Verdana"/>
                <w:sz w:val="16"/>
                <w:szCs w:val="16"/>
              </w:rPr>
              <w:t>Snyder</w:t>
            </w:r>
            <w:proofErr w:type="spellEnd"/>
            <w:r w:rsidRPr="00F01347">
              <w:rPr>
                <w:rFonts w:ascii="Verdana" w:hAnsi="Verdana"/>
                <w:sz w:val="16"/>
                <w:szCs w:val="16"/>
              </w:rPr>
              <w:t xml:space="preserve"> y con una pipeta </w:t>
            </w:r>
            <w:proofErr w:type="spellStart"/>
            <w:r w:rsidRPr="00F01347">
              <w:rPr>
                <w:rFonts w:ascii="Verdana" w:hAnsi="Verdana"/>
                <w:sz w:val="16"/>
                <w:szCs w:val="16"/>
              </w:rPr>
              <w:t>pasteur</w:t>
            </w:r>
            <w:proofErr w:type="spellEnd"/>
            <w:r w:rsidRPr="00F01347">
              <w:rPr>
                <w:rFonts w:ascii="Verdana" w:hAnsi="Verdana"/>
                <w:sz w:val="16"/>
                <w:szCs w:val="16"/>
              </w:rPr>
              <w:t xml:space="preserve"> recuperar el extracto en vial aforado de 2 </w:t>
            </w:r>
            <w:proofErr w:type="spellStart"/>
            <w:r w:rsidRPr="00F01347">
              <w:rPr>
                <w:rFonts w:ascii="Verdana" w:hAnsi="Verdana"/>
                <w:sz w:val="16"/>
                <w:szCs w:val="16"/>
              </w:rPr>
              <w:t>mL</w:t>
            </w:r>
            <w:proofErr w:type="spellEnd"/>
            <w:r w:rsidRPr="00F01347">
              <w:rPr>
                <w:rFonts w:ascii="Verdana" w:hAnsi="Verdana"/>
                <w:sz w:val="16"/>
                <w:szCs w:val="16"/>
              </w:rPr>
              <w:t xml:space="preserve">, aforar a la marca de 1 </w:t>
            </w:r>
            <w:proofErr w:type="spellStart"/>
            <w:r w:rsidRPr="00F01347">
              <w:rPr>
                <w:rFonts w:ascii="Verdana" w:hAnsi="Verdana"/>
                <w:sz w:val="16"/>
                <w:szCs w:val="16"/>
              </w:rPr>
              <w:t>mL</w:t>
            </w:r>
            <w:proofErr w:type="spellEnd"/>
            <w:r w:rsidRPr="00F01347">
              <w:rPr>
                <w:rFonts w:ascii="Verdana" w:hAnsi="Verdana"/>
                <w:sz w:val="16"/>
                <w:szCs w:val="16"/>
              </w:rPr>
              <w:t xml:space="preserve"> con evaporación con nitrógeno a temperatura ambiente y proceder al análisis cromatográfico.</w:t>
            </w:r>
          </w:p>
        </w:tc>
        <w:tc>
          <w:tcPr>
            <w:tcW w:w="4675" w:type="dxa"/>
          </w:tcPr>
          <w:p w14:paraId="3E96EE84" w14:textId="35A12200" w:rsidR="00DE0A0C" w:rsidRPr="00F01347" w:rsidRDefault="00DE0A0C" w:rsidP="00DE0A0C">
            <w:pPr>
              <w:pStyle w:val="texto0"/>
              <w:spacing w:after="80"/>
              <w:ind w:firstLine="0"/>
              <w:rPr>
                <w:rFonts w:ascii="Verdana" w:hAnsi="Verdana"/>
                <w:sz w:val="16"/>
                <w:szCs w:val="16"/>
                <w:lang w:val="en-US"/>
              </w:rPr>
            </w:pPr>
            <w:r w:rsidRPr="00F01347">
              <w:rPr>
                <w:rFonts w:ascii="Verdana" w:hAnsi="Verdana"/>
                <w:sz w:val="16"/>
                <w:szCs w:val="16"/>
                <w:lang w:val="en-US"/>
              </w:rPr>
              <w:t>Concentrate the extracts in Kuderna-danish in a water bath at a temperature between 60 and 65°C and until the apparent volume of the extract is less than 1 mL (do not let the extract dry as the light semivolatile organic compounds are lost</w:t>
            </w:r>
            <w:r w:rsidR="00913802" w:rsidRPr="00F01347">
              <w:rPr>
                <w:rFonts w:ascii="Verdana" w:hAnsi="Verdana"/>
                <w:sz w:val="16"/>
                <w:szCs w:val="16"/>
                <w:lang w:val="en-US"/>
              </w:rPr>
              <w:t>)</w:t>
            </w:r>
            <w:r w:rsidRPr="00F01347">
              <w:rPr>
                <w:rFonts w:ascii="Verdana" w:hAnsi="Verdana"/>
                <w:sz w:val="16"/>
                <w:szCs w:val="16"/>
                <w:lang w:val="en-US"/>
              </w:rPr>
              <w:t>, then Remove the Snyder column and with a Pasteur pipette recover the extract in a 2 mL volumetric vial, volume up to the 1 mL mark with evaporation with nitrogen at room temperature and proceed to chromatographic analysis.</w:t>
            </w:r>
          </w:p>
        </w:tc>
      </w:tr>
      <w:tr w:rsidR="00DE0A0C" w:rsidRPr="00F01347" w14:paraId="40DC3357" w14:textId="2C644FCB" w:rsidTr="00AF700D">
        <w:tc>
          <w:tcPr>
            <w:tcW w:w="4675" w:type="dxa"/>
          </w:tcPr>
          <w:p w14:paraId="6CE8FA6E" w14:textId="77777777" w:rsidR="00DE0A0C" w:rsidRPr="00F01347" w:rsidRDefault="00DE0A0C" w:rsidP="00DE0A0C">
            <w:pPr>
              <w:pStyle w:val="texto0"/>
              <w:spacing w:after="80"/>
              <w:ind w:firstLine="0"/>
              <w:rPr>
                <w:rFonts w:ascii="Verdana" w:hAnsi="Verdana"/>
                <w:b/>
                <w:sz w:val="16"/>
                <w:szCs w:val="16"/>
              </w:rPr>
            </w:pPr>
            <w:r w:rsidRPr="00F01347">
              <w:rPr>
                <w:rFonts w:ascii="Verdana" w:hAnsi="Verdana"/>
                <w:b/>
                <w:sz w:val="16"/>
                <w:szCs w:val="16"/>
              </w:rPr>
              <w:t>B.13.6.3 Análisis cromatográfico</w:t>
            </w:r>
          </w:p>
        </w:tc>
        <w:tc>
          <w:tcPr>
            <w:tcW w:w="4675" w:type="dxa"/>
          </w:tcPr>
          <w:p w14:paraId="1F55E7CE" w14:textId="12BE92E2" w:rsidR="00DE0A0C" w:rsidRPr="00F01347" w:rsidRDefault="00DE0A0C" w:rsidP="00DE0A0C">
            <w:pPr>
              <w:pStyle w:val="texto0"/>
              <w:spacing w:after="80"/>
              <w:ind w:firstLine="0"/>
              <w:rPr>
                <w:rFonts w:ascii="Verdana" w:hAnsi="Verdana"/>
                <w:b/>
                <w:sz w:val="16"/>
                <w:szCs w:val="16"/>
                <w:lang w:val="en-US"/>
              </w:rPr>
            </w:pPr>
            <w:r w:rsidRPr="00F01347">
              <w:rPr>
                <w:rFonts w:ascii="Verdana" w:hAnsi="Verdana"/>
                <w:b/>
                <w:sz w:val="16"/>
                <w:szCs w:val="16"/>
                <w:lang w:val="en-US"/>
              </w:rPr>
              <w:t>B.13.6.3 Chromatographic analysis</w:t>
            </w:r>
          </w:p>
        </w:tc>
      </w:tr>
      <w:tr w:rsidR="00DE0A0C" w:rsidRPr="00F01347" w14:paraId="17024CAE" w14:textId="77777777" w:rsidTr="00AF700D">
        <w:tc>
          <w:tcPr>
            <w:tcW w:w="4675" w:type="dxa"/>
          </w:tcPr>
          <w:p w14:paraId="34FAB4D5" w14:textId="78546157" w:rsidR="00DE0A0C" w:rsidRPr="00F01347" w:rsidRDefault="00DE0A0C" w:rsidP="00DE0A0C">
            <w:pPr>
              <w:pStyle w:val="texto0"/>
              <w:spacing w:after="80"/>
              <w:ind w:firstLine="0"/>
              <w:rPr>
                <w:rFonts w:ascii="Verdana" w:hAnsi="Verdana"/>
                <w:b/>
                <w:sz w:val="16"/>
                <w:szCs w:val="16"/>
              </w:rPr>
            </w:pPr>
            <w:r w:rsidRPr="00F01347">
              <w:rPr>
                <w:rFonts w:ascii="Verdana" w:hAnsi="Verdana"/>
                <w:sz w:val="16"/>
                <w:szCs w:val="16"/>
              </w:rPr>
              <w:t xml:space="preserve">Las condiciones para el análisis cromatográfico se muestran en la Tabla B.13-1, de este Apéndice, para alcanzar la rampa de temperatura de 75 °C/minutos se </w:t>
            </w:r>
            <w:r w:rsidRPr="00F01347">
              <w:rPr>
                <w:rFonts w:ascii="Verdana" w:hAnsi="Verdana"/>
                <w:sz w:val="16"/>
                <w:szCs w:val="16"/>
              </w:rPr>
              <w:lastRenderedPageBreak/>
              <w:t>cuenta con un GC Racer, sin embargo, las condiciones cromatográficas dependen de la columna y el equipo utilizado, por lo que pueden variar para optimizar la resolución y tiempo de análisis.</w:t>
            </w:r>
          </w:p>
        </w:tc>
        <w:tc>
          <w:tcPr>
            <w:tcW w:w="4675" w:type="dxa"/>
          </w:tcPr>
          <w:p w14:paraId="10F80C73" w14:textId="34159882" w:rsidR="00DE0A0C" w:rsidRPr="00F01347" w:rsidRDefault="00DE0A0C" w:rsidP="00DE0A0C">
            <w:pPr>
              <w:pStyle w:val="texto0"/>
              <w:spacing w:after="80"/>
              <w:ind w:firstLine="0"/>
              <w:rPr>
                <w:rFonts w:ascii="Verdana" w:hAnsi="Verdana"/>
                <w:b/>
                <w:sz w:val="16"/>
                <w:szCs w:val="16"/>
                <w:lang w:val="en-US"/>
              </w:rPr>
            </w:pPr>
            <w:r w:rsidRPr="00F01347">
              <w:rPr>
                <w:rFonts w:ascii="Verdana" w:hAnsi="Verdana"/>
                <w:sz w:val="16"/>
                <w:szCs w:val="16"/>
                <w:lang w:val="en-US"/>
              </w:rPr>
              <w:lastRenderedPageBreak/>
              <w:t xml:space="preserve">The conditions for the chromatographic analysis are shown in Table B.13-1, of this Appendix, to reach the temperature ramp of 75 °C/minutes a GC Racer is </w:t>
            </w:r>
            <w:r w:rsidRPr="00F01347">
              <w:rPr>
                <w:rFonts w:ascii="Verdana" w:hAnsi="Verdana"/>
                <w:sz w:val="16"/>
                <w:szCs w:val="16"/>
                <w:lang w:val="en-US"/>
              </w:rPr>
              <w:lastRenderedPageBreak/>
              <w:t>available, however, the chromatographic conditions depend on the column and the equipment used, so they may vary to optimize resolution and analysis time.</w:t>
            </w:r>
          </w:p>
        </w:tc>
      </w:tr>
    </w:tbl>
    <w:p w14:paraId="4386DD94" w14:textId="2B3A3757" w:rsidR="00A74CDF" w:rsidRPr="00F01347" w:rsidRDefault="00A74CDF" w:rsidP="003A601B">
      <w:pPr>
        <w:pStyle w:val="texto0"/>
        <w:spacing w:after="80"/>
        <w:rPr>
          <w:rFonts w:ascii="Verdana" w:hAnsi="Verdana"/>
          <w:b/>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463"/>
        <w:gridCol w:w="1811"/>
        <w:gridCol w:w="267"/>
        <w:gridCol w:w="2772"/>
        <w:gridCol w:w="1399"/>
      </w:tblGrid>
      <w:tr w:rsidR="00A74CDF" w:rsidRPr="00F01347" w14:paraId="7254E62A" w14:textId="77777777">
        <w:trPr>
          <w:trHeight w:val="20"/>
        </w:trPr>
        <w:tc>
          <w:tcPr>
            <w:tcW w:w="8712" w:type="dxa"/>
            <w:gridSpan w:val="5"/>
            <w:noWrap/>
          </w:tcPr>
          <w:p w14:paraId="227B616A" w14:textId="77777777" w:rsidR="00A74CDF" w:rsidRPr="00F01347" w:rsidRDefault="00A74CDF" w:rsidP="003A601B">
            <w:pPr>
              <w:pStyle w:val="texto0"/>
              <w:spacing w:after="60"/>
              <w:ind w:firstLine="0"/>
              <w:jc w:val="center"/>
              <w:rPr>
                <w:rFonts w:ascii="Verdana" w:hAnsi="Verdana"/>
                <w:b/>
                <w:sz w:val="16"/>
                <w:szCs w:val="16"/>
              </w:rPr>
            </w:pPr>
            <w:r w:rsidRPr="00F01347">
              <w:rPr>
                <w:rFonts w:ascii="Verdana" w:hAnsi="Verdana"/>
                <w:b/>
                <w:sz w:val="16"/>
                <w:szCs w:val="16"/>
              </w:rPr>
              <w:t>Tabla B.13-1</w:t>
            </w:r>
            <w:r w:rsidRPr="00F01347">
              <w:rPr>
                <w:rFonts w:ascii="Verdana" w:hAnsi="Verdana"/>
                <w:sz w:val="16"/>
                <w:szCs w:val="16"/>
              </w:rPr>
              <w:t>. Condiciones para el análisis cromatográfico.</w:t>
            </w:r>
          </w:p>
        </w:tc>
      </w:tr>
      <w:tr w:rsidR="00A74CDF" w:rsidRPr="00F01347" w14:paraId="135C24AE" w14:textId="77777777">
        <w:trPr>
          <w:trHeight w:val="20"/>
        </w:trPr>
        <w:tc>
          <w:tcPr>
            <w:tcW w:w="4274" w:type="dxa"/>
            <w:gridSpan w:val="2"/>
            <w:tcBorders>
              <w:top w:val="single" w:sz="6" w:space="0" w:color="auto"/>
              <w:left w:val="single" w:sz="6" w:space="0" w:color="auto"/>
              <w:bottom w:val="single" w:sz="6" w:space="0" w:color="auto"/>
              <w:right w:val="single" w:sz="6" w:space="0" w:color="auto"/>
            </w:tcBorders>
          </w:tcPr>
          <w:p w14:paraId="3E0EBE1D" w14:textId="77777777" w:rsidR="00A74CDF" w:rsidRPr="00F01347" w:rsidRDefault="00A74CDF" w:rsidP="003A601B">
            <w:pPr>
              <w:pStyle w:val="texto0"/>
              <w:spacing w:after="60"/>
              <w:ind w:firstLine="0"/>
              <w:jc w:val="center"/>
              <w:rPr>
                <w:rFonts w:ascii="Verdana" w:hAnsi="Verdana"/>
                <w:b/>
                <w:sz w:val="16"/>
                <w:szCs w:val="16"/>
              </w:rPr>
            </w:pPr>
            <w:r w:rsidRPr="00F01347">
              <w:rPr>
                <w:rFonts w:ascii="Verdana" w:hAnsi="Verdana"/>
                <w:b/>
                <w:sz w:val="16"/>
                <w:szCs w:val="16"/>
              </w:rPr>
              <w:t>Flujos de gases para detector de FID</w:t>
            </w:r>
          </w:p>
        </w:tc>
        <w:tc>
          <w:tcPr>
            <w:tcW w:w="267" w:type="dxa"/>
            <w:tcBorders>
              <w:left w:val="single" w:sz="6" w:space="0" w:color="auto"/>
              <w:right w:val="single" w:sz="6" w:space="0" w:color="auto"/>
            </w:tcBorders>
          </w:tcPr>
          <w:p w14:paraId="56A024E4" w14:textId="77777777" w:rsidR="00A74CDF" w:rsidRPr="00F01347" w:rsidRDefault="00A74CDF" w:rsidP="003A601B">
            <w:pPr>
              <w:pStyle w:val="texto0"/>
              <w:spacing w:after="60"/>
              <w:ind w:firstLine="0"/>
              <w:jc w:val="center"/>
              <w:rPr>
                <w:rFonts w:ascii="Verdana" w:hAnsi="Verdana"/>
                <w:b/>
                <w:sz w:val="16"/>
                <w:szCs w:val="16"/>
              </w:rPr>
            </w:pPr>
          </w:p>
        </w:tc>
        <w:tc>
          <w:tcPr>
            <w:tcW w:w="4171" w:type="dxa"/>
            <w:gridSpan w:val="2"/>
            <w:tcBorders>
              <w:top w:val="single" w:sz="6" w:space="0" w:color="auto"/>
              <w:left w:val="single" w:sz="6" w:space="0" w:color="auto"/>
              <w:bottom w:val="single" w:sz="6" w:space="0" w:color="auto"/>
              <w:right w:val="single" w:sz="6" w:space="0" w:color="auto"/>
            </w:tcBorders>
          </w:tcPr>
          <w:p w14:paraId="58B42E2C" w14:textId="77777777" w:rsidR="00A74CDF" w:rsidRPr="00F01347" w:rsidRDefault="00A74CDF" w:rsidP="003A601B">
            <w:pPr>
              <w:pStyle w:val="texto0"/>
              <w:spacing w:after="60"/>
              <w:ind w:firstLine="0"/>
              <w:jc w:val="center"/>
              <w:rPr>
                <w:rFonts w:ascii="Verdana" w:hAnsi="Verdana"/>
                <w:b/>
                <w:sz w:val="16"/>
                <w:szCs w:val="16"/>
              </w:rPr>
            </w:pPr>
            <w:r w:rsidRPr="00F01347">
              <w:rPr>
                <w:rFonts w:ascii="Verdana" w:hAnsi="Verdana"/>
                <w:b/>
                <w:sz w:val="16"/>
                <w:szCs w:val="16"/>
              </w:rPr>
              <w:t>Temperaturas y rampas de análisis</w:t>
            </w:r>
          </w:p>
        </w:tc>
      </w:tr>
      <w:tr w:rsidR="00A74CDF" w:rsidRPr="00F01347" w14:paraId="1365D55E" w14:textId="77777777">
        <w:trPr>
          <w:trHeight w:val="20"/>
        </w:trPr>
        <w:tc>
          <w:tcPr>
            <w:tcW w:w="2463" w:type="dxa"/>
            <w:tcBorders>
              <w:top w:val="single" w:sz="6" w:space="0" w:color="auto"/>
              <w:left w:val="single" w:sz="6" w:space="0" w:color="auto"/>
              <w:bottom w:val="single" w:sz="6" w:space="0" w:color="auto"/>
              <w:right w:val="single" w:sz="6" w:space="0" w:color="auto"/>
            </w:tcBorders>
          </w:tcPr>
          <w:p w14:paraId="50F7E0C1"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Aire</w:t>
            </w:r>
          </w:p>
        </w:tc>
        <w:tc>
          <w:tcPr>
            <w:tcW w:w="1811" w:type="dxa"/>
            <w:tcBorders>
              <w:top w:val="single" w:sz="6" w:space="0" w:color="auto"/>
              <w:left w:val="single" w:sz="6" w:space="0" w:color="auto"/>
              <w:bottom w:val="single" w:sz="6" w:space="0" w:color="auto"/>
              <w:right w:val="single" w:sz="6" w:space="0" w:color="auto"/>
            </w:tcBorders>
          </w:tcPr>
          <w:p w14:paraId="50763922"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 xml:space="preserve">400 </w:t>
            </w:r>
            <w:proofErr w:type="spellStart"/>
            <w:r w:rsidRPr="00F01347">
              <w:rPr>
                <w:rFonts w:ascii="Verdana" w:hAnsi="Verdana"/>
                <w:sz w:val="16"/>
                <w:szCs w:val="16"/>
              </w:rPr>
              <w:t>mL</w:t>
            </w:r>
            <w:proofErr w:type="spellEnd"/>
            <w:r w:rsidRPr="00F01347">
              <w:rPr>
                <w:rFonts w:ascii="Verdana" w:hAnsi="Verdana"/>
                <w:sz w:val="16"/>
                <w:szCs w:val="16"/>
              </w:rPr>
              <w:t>/min</w:t>
            </w:r>
          </w:p>
        </w:tc>
        <w:tc>
          <w:tcPr>
            <w:tcW w:w="267" w:type="dxa"/>
            <w:tcBorders>
              <w:left w:val="single" w:sz="6" w:space="0" w:color="auto"/>
              <w:right w:val="single" w:sz="6" w:space="0" w:color="auto"/>
            </w:tcBorders>
          </w:tcPr>
          <w:p w14:paraId="627AB234" w14:textId="77777777" w:rsidR="00A74CDF" w:rsidRPr="00F01347" w:rsidRDefault="00A74CDF" w:rsidP="003A601B">
            <w:pPr>
              <w:pStyle w:val="texto0"/>
              <w:spacing w:after="60"/>
              <w:ind w:firstLine="0"/>
              <w:jc w:val="center"/>
              <w:rPr>
                <w:rFonts w:ascii="Verdana" w:hAnsi="Verdana"/>
                <w:sz w:val="16"/>
                <w:szCs w:val="16"/>
              </w:rPr>
            </w:pPr>
          </w:p>
        </w:tc>
        <w:tc>
          <w:tcPr>
            <w:tcW w:w="2772" w:type="dxa"/>
            <w:tcBorders>
              <w:top w:val="single" w:sz="6" w:space="0" w:color="auto"/>
              <w:left w:val="single" w:sz="6" w:space="0" w:color="auto"/>
              <w:bottom w:val="single" w:sz="6" w:space="0" w:color="auto"/>
              <w:right w:val="single" w:sz="6" w:space="0" w:color="auto"/>
            </w:tcBorders>
          </w:tcPr>
          <w:p w14:paraId="18136177"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Temperatura del detector</w:t>
            </w:r>
          </w:p>
        </w:tc>
        <w:tc>
          <w:tcPr>
            <w:tcW w:w="1399" w:type="dxa"/>
            <w:tcBorders>
              <w:top w:val="single" w:sz="6" w:space="0" w:color="auto"/>
              <w:left w:val="single" w:sz="6" w:space="0" w:color="auto"/>
              <w:bottom w:val="single" w:sz="6" w:space="0" w:color="auto"/>
              <w:right w:val="single" w:sz="6" w:space="0" w:color="auto"/>
            </w:tcBorders>
          </w:tcPr>
          <w:p w14:paraId="3A8ECD46"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310 °C</w:t>
            </w:r>
          </w:p>
        </w:tc>
      </w:tr>
      <w:tr w:rsidR="00A74CDF" w:rsidRPr="00F01347" w14:paraId="2B58797D" w14:textId="77777777">
        <w:trPr>
          <w:trHeight w:val="20"/>
        </w:trPr>
        <w:tc>
          <w:tcPr>
            <w:tcW w:w="2463" w:type="dxa"/>
            <w:tcBorders>
              <w:top w:val="single" w:sz="6" w:space="0" w:color="auto"/>
              <w:left w:val="single" w:sz="6" w:space="0" w:color="auto"/>
              <w:bottom w:val="single" w:sz="6" w:space="0" w:color="auto"/>
              <w:right w:val="single" w:sz="6" w:space="0" w:color="auto"/>
            </w:tcBorders>
          </w:tcPr>
          <w:p w14:paraId="44B72FF2"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Hidrógeno</w:t>
            </w:r>
          </w:p>
        </w:tc>
        <w:tc>
          <w:tcPr>
            <w:tcW w:w="1811" w:type="dxa"/>
            <w:tcBorders>
              <w:top w:val="single" w:sz="6" w:space="0" w:color="auto"/>
              <w:left w:val="single" w:sz="6" w:space="0" w:color="auto"/>
              <w:bottom w:val="single" w:sz="6" w:space="0" w:color="auto"/>
              <w:right w:val="single" w:sz="6" w:space="0" w:color="auto"/>
            </w:tcBorders>
          </w:tcPr>
          <w:p w14:paraId="42B7249D"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 xml:space="preserve">40 </w:t>
            </w:r>
            <w:proofErr w:type="spellStart"/>
            <w:r w:rsidRPr="00F01347">
              <w:rPr>
                <w:rFonts w:ascii="Verdana" w:hAnsi="Verdana"/>
                <w:sz w:val="16"/>
                <w:szCs w:val="16"/>
              </w:rPr>
              <w:t>mL</w:t>
            </w:r>
            <w:proofErr w:type="spellEnd"/>
            <w:r w:rsidRPr="00F01347">
              <w:rPr>
                <w:rFonts w:ascii="Verdana" w:hAnsi="Verdana"/>
                <w:sz w:val="16"/>
                <w:szCs w:val="16"/>
              </w:rPr>
              <w:t>/min</w:t>
            </w:r>
          </w:p>
        </w:tc>
        <w:tc>
          <w:tcPr>
            <w:tcW w:w="267" w:type="dxa"/>
            <w:tcBorders>
              <w:left w:val="single" w:sz="6" w:space="0" w:color="auto"/>
              <w:right w:val="single" w:sz="6" w:space="0" w:color="auto"/>
            </w:tcBorders>
          </w:tcPr>
          <w:p w14:paraId="070482BD" w14:textId="77777777" w:rsidR="00A74CDF" w:rsidRPr="00F01347" w:rsidRDefault="00A74CDF" w:rsidP="003A601B">
            <w:pPr>
              <w:pStyle w:val="texto0"/>
              <w:spacing w:after="60"/>
              <w:ind w:firstLine="0"/>
              <w:jc w:val="center"/>
              <w:rPr>
                <w:rFonts w:ascii="Verdana" w:hAnsi="Verdana"/>
                <w:sz w:val="16"/>
                <w:szCs w:val="16"/>
              </w:rPr>
            </w:pPr>
          </w:p>
        </w:tc>
        <w:tc>
          <w:tcPr>
            <w:tcW w:w="2772" w:type="dxa"/>
            <w:tcBorders>
              <w:top w:val="single" w:sz="6" w:space="0" w:color="auto"/>
              <w:left w:val="single" w:sz="6" w:space="0" w:color="auto"/>
              <w:bottom w:val="single" w:sz="6" w:space="0" w:color="auto"/>
              <w:right w:val="single" w:sz="6" w:space="0" w:color="auto"/>
            </w:tcBorders>
          </w:tcPr>
          <w:p w14:paraId="53184F1F"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Temperatura de inyector</w:t>
            </w:r>
          </w:p>
        </w:tc>
        <w:tc>
          <w:tcPr>
            <w:tcW w:w="1399" w:type="dxa"/>
            <w:tcBorders>
              <w:top w:val="single" w:sz="6" w:space="0" w:color="auto"/>
              <w:left w:val="single" w:sz="6" w:space="0" w:color="auto"/>
              <w:bottom w:val="single" w:sz="6" w:space="0" w:color="auto"/>
              <w:right w:val="single" w:sz="6" w:space="0" w:color="auto"/>
            </w:tcBorders>
          </w:tcPr>
          <w:p w14:paraId="66A03685"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280 ° C</w:t>
            </w:r>
          </w:p>
        </w:tc>
      </w:tr>
      <w:tr w:rsidR="00A74CDF" w:rsidRPr="00F01347" w14:paraId="3B737A35" w14:textId="77777777">
        <w:trPr>
          <w:trHeight w:val="20"/>
        </w:trPr>
        <w:tc>
          <w:tcPr>
            <w:tcW w:w="2463" w:type="dxa"/>
            <w:tcBorders>
              <w:top w:val="single" w:sz="6" w:space="0" w:color="auto"/>
              <w:left w:val="single" w:sz="6" w:space="0" w:color="auto"/>
              <w:bottom w:val="single" w:sz="6" w:space="0" w:color="auto"/>
              <w:right w:val="single" w:sz="6" w:space="0" w:color="auto"/>
            </w:tcBorders>
          </w:tcPr>
          <w:p w14:paraId="7C397CD5"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Nitrógeno</w:t>
            </w:r>
          </w:p>
        </w:tc>
        <w:tc>
          <w:tcPr>
            <w:tcW w:w="1811" w:type="dxa"/>
            <w:tcBorders>
              <w:top w:val="single" w:sz="6" w:space="0" w:color="auto"/>
              <w:left w:val="single" w:sz="6" w:space="0" w:color="auto"/>
              <w:bottom w:val="single" w:sz="6" w:space="0" w:color="auto"/>
              <w:right w:val="single" w:sz="6" w:space="0" w:color="auto"/>
            </w:tcBorders>
          </w:tcPr>
          <w:p w14:paraId="44770212"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 xml:space="preserve">40 </w:t>
            </w:r>
            <w:proofErr w:type="spellStart"/>
            <w:r w:rsidRPr="00F01347">
              <w:rPr>
                <w:rFonts w:ascii="Verdana" w:hAnsi="Verdana"/>
                <w:sz w:val="16"/>
                <w:szCs w:val="16"/>
              </w:rPr>
              <w:t>mL</w:t>
            </w:r>
            <w:proofErr w:type="spellEnd"/>
            <w:r w:rsidRPr="00F01347">
              <w:rPr>
                <w:rFonts w:ascii="Verdana" w:hAnsi="Verdana"/>
                <w:sz w:val="16"/>
                <w:szCs w:val="16"/>
              </w:rPr>
              <w:t>/min</w:t>
            </w:r>
          </w:p>
        </w:tc>
        <w:tc>
          <w:tcPr>
            <w:tcW w:w="267" w:type="dxa"/>
            <w:tcBorders>
              <w:left w:val="single" w:sz="6" w:space="0" w:color="auto"/>
              <w:right w:val="single" w:sz="6" w:space="0" w:color="auto"/>
            </w:tcBorders>
          </w:tcPr>
          <w:p w14:paraId="24974EC6" w14:textId="77777777" w:rsidR="00A74CDF" w:rsidRPr="00F01347" w:rsidRDefault="00A74CDF" w:rsidP="003A601B">
            <w:pPr>
              <w:pStyle w:val="texto0"/>
              <w:spacing w:after="60"/>
              <w:ind w:firstLine="0"/>
              <w:jc w:val="center"/>
              <w:rPr>
                <w:rFonts w:ascii="Verdana" w:hAnsi="Verdana"/>
                <w:sz w:val="16"/>
                <w:szCs w:val="16"/>
              </w:rPr>
            </w:pPr>
          </w:p>
        </w:tc>
        <w:tc>
          <w:tcPr>
            <w:tcW w:w="2772" w:type="dxa"/>
            <w:tcBorders>
              <w:top w:val="single" w:sz="6" w:space="0" w:color="auto"/>
              <w:left w:val="single" w:sz="6" w:space="0" w:color="auto"/>
              <w:bottom w:val="single" w:sz="6" w:space="0" w:color="auto"/>
              <w:right w:val="single" w:sz="6" w:space="0" w:color="auto"/>
            </w:tcBorders>
          </w:tcPr>
          <w:p w14:paraId="5BB5BA6D"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Temperatura inicial del horno</w:t>
            </w:r>
          </w:p>
        </w:tc>
        <w:tc>
          <w:tcPr>
            <w:tcW w:w="1399" w:type="dxa"/>
            <w:tcBorders>
              <w:top w:val="single" w:sz="6" w:space="0" w:color="auto"/>
              <w:left w:val="single" w:sz="6" w:space="0" w:color="auto"/>
              <w:bottom w:val="single" w:sz="6" w:space="0" w:color="auto"/>
              <w:right w:val="single" w:sz="6" w:space="0" w:color="auto"/>
            </w:tcBorders>
          </w:tcPr>
          <w:p w14:paraId="65BDBFC9"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60 °C</w:t>
            </w:r>
          </w:p>
        </w:tc>
      </w:tr>
      <w:tr w:rsidR="00A74CDF" w:rsidRPr="00F01347" w14:paraId="73F048A7" w14:textId="77777777">
        <w:trPr>
          <w:trHeight w:val="20"/>
        </w:trPr>
        <w:tc>
          <w:tcPr>
            <w:tcW w:w="4274" w:type="dxa"/>
            <w:gridSpan w:val="2"/>
            <w:tcBorders>
              <w:top w:val="single" w:sz="6" w:space="0" w:color="auto"/>
              <w:left w:val="single" w:sz="6" w:space="0" w:color="auto"/>
              <w:bottom w:val="single" w:sz="6" w:space="0" w:color="auto"/>
              <w:right w:val="single" w:sz="6" w:space="0" w:color="auto"/>
            </w:tcBorders>
          </w:tcPr>
          <w:p w14:paraId="58240437" w14:textId="77777777" w:rsidR="00A74CDF" w:rsidRPr="00F01347" w:rsidRDefault="00A74CDF" w:rsidP="003A601B">
            <w:pPr>
              <w:pStyle w:val="texto0"/>
              <w:spacing w:after="60"/>
              <w:ind w:firstLine="0"/>
              <w:jc w:val="center"/>
              <w:rPr>
                <w:rFonts w:ascii="Verdana" w:hAnsi="Verdana"/>
                <w:b/>
                <w:sz w:val="16"/>
                <w:szCs w:val="16"/>
              </w:rPr>
            </w:pPr>
            <w:r w:rsidRPr="00F01347">
              <w:rPr>
                <w:rFonts w:ascii="Verdana" w:hAnsi="Verdana"/>
                <w:b/>
                <w:sz w:val="16"/>
                <w:szCs w:val="16"/>
              </w:rPr>
              <w:t>Flujos de gases en el cromatógrafo</w:t>
            </w:r>
          </w:p>
        </w:tc>
        <w:tc>
          <w:tcPr>
            <w:tcW w:w="267" w:type="dxa"/>
            <w:tcBorders>
              <w:left w:val="single" w:sz="6" w:space="0" w:color="auto"/>
              <w:right w:val="single" w:sz="6" w:space="0" w:color="auto"/>
            </w:tcBorders>
          </w:tcPr>
          <w:p w14:paraId="78C29E53" w14:textId="77777777" w:rsidR="00A74CDF" w:rsidRPr="00F01347" w:rsidRDefault="00A74CDF" w:rsidP="003A601B">
            <w:pPr>
              <w:pStyle w:val="texto0"/>
              <w:spacing w:after="60"/>
              <w:ind w:firstLine="0"/>
              <w:jc w:val="center"/>
              <w:rPr>
                <w:rFonts w:ascii="Verdana" w:hAnsi="Verdana"/>
                <w:b/>
                <w:sz w:val="16"/>
                <w:szCs w:val="16"/>
              </w:rPr>
            </w:pPr>
          </w:p>
        </w:tc>
        <w:tc>
          <w:tcPr>
            <w:tcW w:w="2772" w:type="dxa"/>
            <w:tcBorders>
              <w:top w:val="single" w:sz="6" w:space="0" w:color="auto"/>
              <w:left w:val="single" w:sz="6" w:space="0" w:color="auto"/>
              <w:bottom w:val="single" w:sz="6" w:space="0" w:color="auto"/>
              <w:right w:val="single" w:sz="6" w:space="0" w:color="auto"/>
            </w:tcBorders>
          </w:tcPr>
          <w:p w14:paraId="5D40C904" w14:textId="77777777" w:rsidR="00A74CDF" w:rsidRPr="00F01347" w:rsidRDefault="00A74CDF" w:rsidP="003A601B">
            <w:pPr>
              <w:pStyle w:val="texto0"/>
              <w:spacing w:after="60"/>
              <w:ind w:firstLine="0"/>
              <w:jc w:val="center"/>
              <w:rPr>
                <w:rFonts w:ascii="Verdana" w:hAnsi="Verdana"/>
                <w:b/>
                <w:sz w:val="16"/>
                <w:szCs w:val="16"/>
              </w:rPr>
            </w:pPr>
            <w:r w:rsidRPr="00F01347">
              <w:rPr>
                <w:rFonts w:ascii="Verdana" w:hAnsi="Verdana"/>
                <w:sz w:val="16"/>
                <w:szCs w:val="16"/>
              </w:rPr>
              <w:t>Tiempo inicial</w:t>
            </w:r>
          </w:p>
        </w:tc>
        <w:tc>
          <w:tcPr>
            <w:tcW w:w="1399" w:type="dxa"/>
            <w:tcBorders>
              <w:top w:val="single" w:sz="6" w:space="0" w:color="auto"/>
              <w:left w:val="single" w:sz="6" w:space="0" w:color="auto"/>
              <w:bottom w:val="single" w:sz="6" w:space="0" w:color="auto"/>
              <w:right w:val="single" w:sz="6" w:space="0" w:color="auto"/>
            </w:tcBorders>
          </w:tcPr>
          <w:p w14:paraId="196C89D4"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1 min</w:t>
            </w:r>
          </w:p>
        </w:tc>
      </w:tr>
      <w:tr w:rsidR="00A74CDF" w:rsidRPr="00F01347" w14:paraId="346A17EF" w14:textId="77777777">
        <w:trPr>
          <w:trHeight w:val="20"/>
        </w:trPr>
        <w:tc>
          <w:tcPr>
            <w:tcW w:w="2463" w:type="dxa"/>
            <w:tcBorders>
              <w:top w:val="single" w:sz="6" w:space="0" w:color="auto"/>
              <w:left w:val="single" w:sz="6" w:space="0" w:color="auto"/>
              <w:bottom w:val="single" w:sz="6" w:space="0" w:color="auto"/>
              <w:right w:val="single" w:sz="6" w:space="0" w:color="auto"/>
            </w:tcBorders>
          </w:tcPr>
          <w:p w14:paraId="6420292D"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Split</w:t>
            </w:r>
          </w:p>
        </w:tc>
        <w:tc>
          <w:tcPr>
            <w:tcW w:w="1811" w:type="dxa"/>
            <w:tcBorders>
              <w:top w:val="single" w:sz="6" w:space="0" w:color="auto"/>
              <w:left w:val="single" w:sz="6" w:space="0" w:color="auto"/>
              <w:bottom w:val="single" w:sz="6" w:space="0" w:color="auto"/>
              <w:right w:val="single" w:sz="6" w:space="0" w:color="auto"/>
            </w:tcBorders>
          </w:tcPr>
          <w:p w14:paraId="40D87C96"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 xml:space="preserve">10 </w:t>
            </w:r>
            <w:proofErr w:type="spellStart"/>
            <w:r w:rsidRPr="00F01347">
              <w:rPr>
                <w:rFonts w:ascii="Verdana" w:hAnsi="Verdana"/>
                <w:sz w:val="16"/>
                <w:szCs w:val="16"/>
              </w:rPr>
              <w:t>mL</w:t>
            </w:r>
            <w:proofErr w:type="spellEnd"/>
            <w:r w:rsidRPr="00F01347">
              <w:rPr>
                <w:rFonts w:ascii="Verdana" w:hAnsi="Verdana"/>
                <w:sz w:val="16"/>
                <w:szCs w:val="16"/>
              </w:rPr>
              <w:t>/min</w:t>
            </w:r>
          </w:p>
        </w:tc>
        <w:tc>
          <w:tcPr>
            <w:tcW w:w="267" w:type="dxa"/>
            <w:tcBorders>
              <w:left w:val="single" w:sz="6" w:space="0" w:color="auto"/>
              <w:right w:val="single" w:sz="6" w:space="0" w:color="auto"/>
            </w:tcBorders>
          </w:tcPr>
          <w:p w14:paraId="4C306D25" w14:textId="77777777" w:rsidR="00A74CDF" w:rsidRPr="00F01347" w:rsidRDefault="00A74CDF" w:rsidP="003A601B">
            <w:pPr>
              <w:pStyle w:val="texto0"/>
              <w:spacing w:after="60"/>
              <w:ind w:firstLine="0"/>
              <w:jc w:val="center"/>
              <w:rPr>
                <w:rFonts w:ascii="Verdana" w:hAnsi="Verdana"/>
                <w:sz w:val="16"/>
                <w:szCs w:val="16"/>
              </w:rPr>
            </w:pPr>
          </w:p>
        </w:tc>
        <w:tc>
          <w:tcPr>
            <w:tcW w:w="2772" w:type="dxa"/>
            <w:tcBorders>
              <w:top w:val="single" w:sz="6" w:space="0" w:color="auto"/>
              <w:left w:val="single" w:sz="6" w:space="0" w:color="auto"/>
              <w:bottom w:val="single" w:sz="6" w:space="0" w:color="auto"/>
              <w:right w:val="single" w:sz="6" w:space="0" w:color="auto"/>
            </w:tcBorders>
          </w:tcPr>
          <w:p w14:paraId="78D7F86F"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Primera rampa</w:t>
            </w:r>
          </w:p>
        </w:tc>
        <w:tc>
          <w:tcPr>
            <w:tcW w:w="1399" w:type="dxa"/>
            <w:tcBorders>
              <w:top w:val="single" w:sz="6" w:space="0" w:color="auto"/>
              <w:left w:val="single" w:sz="6" w:space="0" w:color="auto"/>
              <w:bottom w:val="single" w:sz="6" w:space="0" w:color="auto"/>
              <w:right w:val="single" w:sz="6" w:space="0" w:color="auto"/>
            </w:tcBorders>
          </w:tcPr>
          <w:p w14:paraId="1062ABEB"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75 °C/min</w:t>
            </w:r>
          </w:p>
        </w:tc>
      </w:tr>
      <w:tr w:rsidR="00A74CDF" w:rsidRPr="00F01347" w14:paraId="5F286BA0" w14:textId="77777777">
        <w:trPr>
          <w:trHeight w:val="20"/>
        </w:trPr>
        <w:tc>
          <w:tcPr>
            <w:tcW w:w="2463" w:type="dxa"/>
            <w:tcBorders>
              <w:top w:val="single" w:sz="6" w:space="0" w:color="auto"/>
              <w:left w:val="single" w:sz="6" w:space="0" w:color="auto"/>
              <w:bottom w:val="single" w:sz="6" w:space="0" w:color="auto"/>
              <w:right w:val="single" w:sz="6" w:space="0" w:color="auto"/>
            </w:tcBorders>
          </w:tcPr>
          <w:p w14:paraId="65250330"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 xml:space="preserve">Septum </w:t>
            </w:r>
            <w:proofErr w:type="spellStart"/>
            <w:r w:rsidRPr="00F01347">
              <w:rPr>
                <w:rFonts w:ascii="Verdana" w:hAnsi="Verdana"/>
                <w:sz w:val="16"/>
                <w:szCs w:val="16"/>
              </w:rPr>
              <w:t>purge</w:t>
            </w:r>
            <w:proofErr w:type="spellEnd"/>
          </w:p>
        </w:tc>
        <w:tc>
          <w:tcPr>
            <w:tcW w:w="1811" w:type="dxa"/>
            <w:tcBorders>
              <w:top w:val="single" w:sz="6" w:space="0" w:color="auto"/>
              <w:left w:val="single" w:sz="6" w:space="0" w:color="auto"/>
              <w:bottom w:val="single" w:sz="6" w:space="0" w:color="auto"/>
              <w:right w:val="single" w:sz="6" w:space="0" w:color="auto"/>
            </w:tcBorders>
          </w:tcPr>
          <w:p w14:paraId="57F840B2"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 xml:space="preserve">3 – 4 </w:t>
            </w:r>
            <w:proofErr w:type="spellStart"/>
            <w:r w:rsidRPr="00F01347">
              <w:rPr>
                <w:rFonts w:ascii="Verdana" w:hAnsi="Verdana"/>
                <w:sz w:val="16"/>
                <w:szCs w:val="16"/>
              </w:rPr>
              <w:t>mL</w:t>
            </w:r>
            <w:proofErr w:type="spellEnd"/>
            <w:r w:rsidRPr="00F01347">
              <w:rPr>
                <w:rFonts w:ascii="Verdana" w:hAnsi="Verdana"/>
                <w:sz w:val="16"/>
                <w:szCs w:val="16"/>
              </w:rPr>
              <w:t>/min</w:t>
            </w:r>
          </w:p>
        </w:tc>
        <w:tc>
          <w:tcPr>
            <w:tcW w:w="267" w:type="dxa"/>
            <w:tcBorders>
              <w:left w:val="single" w:sz="6" w:space="0" w:color="auto"/>
              <w:right w:val="single" w:sz="6" w:space="0" w:color="auto"/>
            </w:tcBorders>
          </w:tcPr>
          <w:p w14:paraId="69D6DAF5" w14:textId="77777777" w:rsidR="00A74CDF" w:rsidRPr="00F01347" w:rsidRDefault="00A74CDF" w:rsidP="003A601B">
            <w:pPr>
              <w:pStyle w:val="texto0"/>
              <w:spacing w:after="60"/>
              <w:ind w:firstLine="0"/>
              <w:jc w:val="center"/>
              <w:rPr>
                <w:rFonts w:ascii="Verdana" w:hAnsi="Verdana"/>
                <w:sz w:val="16"/>
                <w:szCs w:val="16"/>
              </w:rPr>
            </w:pPr>
          </w:p>
        </w:tc>
        <w:tc>
          <w:tcPr>
            <w:tcW w:w="2772" w:type="dxa"/>
            <w:tcBorders>
              <w:top w:val="single" w:sz="6" w:space="0" w:color="auto"/>
              <w:left w:val="single" w:sz="6" w:space="0" w:color="auto"/>
              <w:bottom w:val="single" w:sz="6" w:space="0" w:color="auto"/>
              <w:right w:val="single" w:sz="6" w:space="0" w:color="auto"/>
            </w:tcBorders>
          </w:tcPr>
          <w:p w14:paraId="729AD13A"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Temperatura final de la rampa</w:t>
            </w:r>
          </w:p>
        </w:tc>
        <w:tc>
          <w:tcPr>
            <w:tcW w:w="1399" w:type="dxa"/>
            <w:tcBorders>
              <w:top w:val="single" w:sz="6" w:space="0" w:color="auto"/>
              <w:left w:val="single" w:sz="6" w:space="0" w:color="auto"/>
              <w:bottom w:val="single" w:sz="6" w:space="0" w:color="auto"/>
              <w:right w:val="single" w:sz="6" w:space="0" w:color="auto"/>
            </w:tcBorders>
          </w:tcPr>
          <w:p w14:paraId="38599150"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310 °C</w:t>
            </w:r>
          </w:p>
        </w:tc>
      </w:tr>
      <w:tr w:rsidR="00A74CDF" w:rsidRPr="00F01347" w14:paraId="36B367C3" w14:textId="77777777">
        <w:trPr>
          <w:trHeight w:val="20"/>
        </w:trPr>
        <w:tc>
          <w:tcPr>
            <w:tcW w:w="2463" w:type="dxa"/>
            <w:tcBorders>
              <w:top w:val="single" w:sz="6" w:space="0" w:color="auto"/>
              <w:left w:val="single" w:sz="6" w:space="0" w:color="auto"/>
              <w:bottom w:val="single" w:sz="6" w:space="0" w:color="auto"/>
              <w:right w:val="single" w:sz="6" w:space="0" w:color="auto"/>
            </w:tcBorders>
          </w:tcPr>
          <w:p w14:paraId="2CB5B07E"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Presión en columna</w:t>
            </w:r>
          </w:p>
        </w:tc>
        <w:tc>
          <w:tcPr>
            <w:tcW w:w="1811" w:type="dxa"/>
            <w:tcBorders>
              <w:top w:val="single" w:sz="6" w:space="0" w:color="auto"/>
              <w:left w:val="single" w:sz="6" w:space="0" w:color="auto"/>
              <w:bottom w:val="single" w:sz="6" w:space="0" w:color="auto"/>
              <w:right w:val="single" w:sz="6" w:space="0" w:color="auto"/>
            </w:tcBorders>
          </w:tcPr>
          <w:p w14:paraId="5140A3AB"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20 psi (H</w:t>
            </w:r>
            <w:r w:rsidRPr="00F01347">
              <w:rPr>
                <w:rFonts w:ascii="Verdana" w:hAnsi="Verdana"/>
                <w:sz w:val="16"/>
                <w:szCs w:val="16"/>
                <w:vertAlign w:val="subscript"/>
              </w:rPr>
              <w:t>2</w:t>
            </w:r>
            <w:r w:rsidRPr="00F01347">
              <w:rPr>
                <w:rFonts w:ascii="Verdana" w:hAnsi="Verdana"/>
                <w:sz w:val="16"/>
                <w:szCs w:val="16"/>
              </w:rPr>
              <w:t>)</w:t>
            </w:r>
          </w:p>
        </w:tc>
        <w:tc>
          <w:tcPr>
            <w:tcW w:w="267" w:type="dxa"/>
            <w:tcBorders>
              <w:left w:val="single" w:sz="6" w:space="0" w:color="auto"/>
              <w:right w:val="single" w:sz="6" w:space="0" w:color="auto"/>
            </w:tcBorders>
          </w:tcPr>
          <w:p w14:paraId="37D3C56B" w14:textId="77777777" w:rsidR="00A74CDF" w:rsidRPr="00F01347" w:rsidRDefault="00A74CDF" w:rsidP="003A601B">
            <w:pPr>
              <w:pStyle w:val="texto0"/>
              <w:spacing w:after="60"/>
              <w:ind w:firstLine="0"/>
              <w:jc w:val="center"/>
              <w:rPr>
                <w:rFonts w:ascii="Verdana" w:hAnsi="Verdana"/>
                <w:sz w:val="16"/>
                <w:szCs w:val="16"/>
              </w:rPr>
            </w:pPr>
          </w:p>
        </w:tc>
        <w:tc>
          <w:tcPr>
            <w:tcW w:w="2772" w:type="dxa"/>
            <w:tcBorders>
              <w:top w:val="single" w:sz="6" w:space="0" w:color="auto"/>
              <w:left w:val="single" w:sz="6" w:space="0" w:color="auto"/>
              <w:bottom w:val="single" w:sz="6" w:space="0" w:color="auto"/>
              <w:right w:val="single" w:sz="6" w:space="0" w:color="auto"/>
            </w:tcBorders>
          </w:tcPr>
          <w:p w14:paraId="52495BBB"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Tiempo final</w:t>
            </w:r>
          </w:p>
        </w:tc>
        <w:tc>
          <w:tcPr>
            <w:tcW w:w="1399" w:type="dxa"/>
            <w:tcBorders>
              <w:top w:val="single" w:sz="6" w:space="0" w:color="auto"/>
              <w:left w:val="single" w:sz="6" w:space="0" w:color="auto"/>
              <w:bottom w:val="single" w:sz="6" w:space="0" w:color="auto"/>
              <w:right w:val="single" w:sz="6" w:space="0" w:color="auto"/>
            </w:tcBorders>
          </w:tcPr>
          <w:p w14:paraId="6351082C"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5 min</w:t>
            </w:r>
          </w:p>
        </w:tc>
      </w:tr>
      <w:tr w:rsidR="00A74CDF" w:rsidRPr="00F01347" w14:paraId="5491AE5C" w14:textId="77777777">
        <w:trPr>
          <w:trHeight w:val="20"/>
        </w:trPr>
        <w:tc>
          <w:tcPr>
            <w:tcW w:w="2463" w:type="dxa"/>
            <w:tcBorders>
              <w:top w:val="single" w:sz="6" w:space="0" w:color="auto"/>
              <w:left w:val="single" w:sz="6" w:space="0" w:color="auto"/>
              <w:bottom w:val="single" w:sz="6" w:space="0" w:color="auto"/>
              <w:right w:val="single" w:sz="6" w:space="0" w:color="auto"/>
            </w:tcBorders>
          </w:tcPr>
          <w:p w14:paraId="1BA06D46"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Flujo de gas acarreador (H</w:t>
            </w:r>
            <w:r w:rsidRPr="00F01347">
              <w:rPr>
                <w:rFonts w:ascii="Verdana" w:hAnsi="Verdana"/>
                <w:sz w:val="16"/>
                <w:szCs w:val="16"/>
                <w:vertAlign w:val="subscript"/>
              </w:rPr>
              <w:t>2</w:t>
            </w:r>
            <w:r w:rsidRPr="00F01347">
              <w:rPr>
                <w:rFonts w:ascii="Verdana" w:hAnsi="Verdana"/>
                <w:sz w:val="16"/>
                <w:szCs w:val="16"/>
              </w:rPr>
              <w:t>)</w:t>
            </w:r>
          </w:p>
        </w:tc>
        <w:tc>
          <w:tcPr>
            <w:tcW w:w="1811" w:type="dxa"/>
            <w:tcBorders>
              <w:top w:val="single" w:sz="6" w:space="0" w:color="auto"/>
              <w:left w:val="single" w:sz="6" w:space="0" w:color="auto"/>
              <w:bottom w:val="single" w:sz="6" w:space="0" w:color="auto"/>
              <w:right w:val="single" w:sz="6" w:space="0" w:color="auto"/>
            </w:tcBorders>
          </w:tcPr>
          <w:p w14:paraId="748CCA34" w14:textId="77777777" w:rsidR="00A74CDF" w:rsidRPr="00F01347" w:rsidRDefault="00A74CDF" w:rsidP="003A601B">
            <w:pPr>
              <w:pStyle w:val="texto0"/>
              <w:spacing w:after="60"/>
              <w:ind w:firstLine="0"/>
              <w:jc w:val="center"/>
              <w:rPr>
                <w:rFonts w:ascii="Verdana" w:hAnsi="Verdana"/>
                <w:sz w:val="16"/>
                <w:szCs w:val="16"/>
              </w:rPr>
            </w:pPr>
            <w:r w:rsidRPr="00F01347">
              <w:rPr>
                <w:rFonts w:ascii="Verdana" w:hAnsi="Verdana"/>
                <w:sz w:val="16"/>
                <w:szCs w:val="16"/>
              </w:rPr>
              <w:t xml:space="preserve">1 – 3 </w:t>
            </w:r>
            <w:proofErr w:type="spellStart"/>
            <w:r w:rsidRPr="00F01347">
              <w:rPr>
                <w:rFonts w:ascii="Verdana" w:hAnsi="Verdana"/>
                <w:sz w:val="16"/>
                <w:szCs w:val="16"/>
              </w:rPr>
              <w:t>mL</w:t>
            </w:r>
            <w:proofErr w:type="spellEnd"/>
            <w:r w:rsidRPr="00F01347">
              <w:rPr>
                <w:rFonts w:ascii="Verdana" w:hAnsi="Verdana"/>
                <w:sz w:val="16"/>
                <w:szCs w:val="16"/>
              </w:rPr>
              <w:t>/min</w:t>
            </w:r>
          </w:p>
        </w:tc>
        <w:tc>
          <w:tcPr>
            <w:tcW w:w="267" w:type="dxa"/>
            <w:tcBorders>
              <w:left w:val="single" w:sz="6" w:space="0" w:color="auto"/>
            </w:tcBorders>
          </w:tcPr>
          <w:p w14:paraId="58361A6F" w14:textId="77777777" w:rsidR="00A74CDF" w:rsidRPr="00F01347" w:rsidRDefault="00A74CDF" w:rsidP="003A601B">
            <w:pPr>
              <w:pStyle w:val="texto0"/>
              <w:spacing w:after="60"/>
              <w:ind w:firstLine="0"/>
              <w:jc w:val="center"/>
              <w:rPr>
                <w:rFonts w:ascii="Verdana" w:hAnsi="Verdana"/>
                <w:sz w:val="16"/>
                <w:szCs w:val="16"/>
              </w:rPr>
            </w:pPr>
          </w:p>
        </w:tc>
        <w:tc>
          <w:tcPr>
            <w:tcW w:w="2772" w:type="dxa"/>
            <w:tcBorders>
              <w:top w:val="single" w:sz="6" w:space="0" w:color="auto"/>
            </w:tcBorders>
          </w:tcPr>
          <w:p w14:paraId="2EA103BE" w14:textId="77777777" w:rsidR="00A74CDF" w:rsidRPr="00F01347" w:rsidRDefault="00A74CDF" w:rsidP="003A601B">
            <w:pPr>
              <w:pStyle w:val="texto0"/>
              <w:spacing w:after="60"/>
              <w:ind w:firstLine="0"/>
              <w:jc w:val="center"/>
              <w:rPr>
                <w:rFonts w:ascii="Verdana" w:hAnsi="Verdana"/>
                <w:sz w:val="16"/>
                <w:szCs w:val="16"/>
              </w:rPr>
            </w:pPr>
          </w:p>
        </w:tc>
        <w:tc>
          <w:tcPr>
            <w:tcW w:w="1399" w:type="dxa"/>
            <w:tcBorders>
              <w:top w:val="single" w:sz="6" w:space="0" w:color="auto"/>
            </w:tcBorders>
          </w:tcPr>
          <w:p w14:paraId="72196DAE" w14:textId="77777777" w:rsidR="00A74CDF" w:rsidRPr="00F01347" w:rsidRDefault="00A74CDF" w:rsidP="003A601B">
            <w:pPr>
              <w:pStyle w:val="texto0"/>
              <w:spacing w:after="60"/>
              <w:ind w:firstLine="0"/>
              <w:jc w:val="center"/>
              <w:rPr>
                <w:rFonts w:ascii="Verdana" w:hAnsi="Verdana"/>
                <w:sz w:val="16"/>
                <w:szCs w:val="16"/>
              </w:rPr>
            </w:pPr>
          </w:p>
        </w:tc>
      </w:tr>
    </w:tbl>
    <w:p w14:paraId="7B564969" w14:textId="77777777" w:rsidR="0040705D" w:rsidRPr="00F01347" w:rsidRDefault="0040705D" w:rsidP="0040705D">
      <w:pPr>
        <w:pStyle w:val="texto0"/>
        <w:spacing w:after="80"/>
        <w:rPr>
          <w:rFonts w:ascii="Verdana" w:hAnsi="Verdana"/>
          <w:sz w:val="16"/>
          <w:szCs w:val="16"/>
          <w:lang w:val="en"/>
        </w:rPr>
      </w:pPr>
    </w:p>
    <w:tbl>
      <w:tblPr>
        <w:tblW w:w="8715" w:type="dxa"/>
        <w:tblInd w:w="144" w:type="dxa"/>
        <w:tblLayout w:type="fixed"/>
        <w:tblCellMar>
          <w:left w:w="72" w:type="dxa"/>
          <w:right w:w="72" w:type="dxa"/>
        </w:tblCellMar>
        <w:tblLook w:val="04A0" w:firstRow="1" w:lastRow="0" w:firstColumn="1" w:lastColumn="0" w:noHBand="0" w:noVBand="1"/>
      </w:tblPr>
      <w:tblGrid>
        <w:gridCol w:w="2464"/>
        <w:gridCol w:w="1812"/>
        <w:gridCol w:w="267"/>
        <w:gridCol w:w="2773"/>
        <w:gridCol w:w="1399"/>
      </w:tblGrid>
      <w:tr w:rsidR="0040705D" w:rsidRPr="00F01347" w14:paraId="39420EA6" w14:textId="77777777" w:rsidTr="0040705D">
        <w:trPr>
          <w:trHeight w:val="20"/>
        </w:trPr>
        <w:tc>
          <w:tcPr>
            <w:tcW w:w="8712" w:type="dxa"/>
            <w:gridSpan w:val="5"/>
            <w:noWrap/>
            <w:hideMark/>
          </w:tcPr>
          <w:p w14:paraId="384B3BCE" w14:textId="62E8FCB3" w:rsidR="0040705D" w:rsidRPr="00F01347" w:rsidRDefault="0040705D">
            <w:pPr>
              <w:pStyle w:val="texto0"/>
              <w:spacing w:after="60"/>
              <w:ind w:firstLine="0"/>
              <w:jc w:val="center"/>
              <w:rPr>
                <w:rFonts w:ascii="Verdana" w:hAnsi="Verdana"/>
                <w:b/>
                <w:sz w:val="16"/>
                <w:szCs w:val="16"/>
                <w:lang w:val="en-US"/>
              </w:rPr>
            </w:pPr>
            <w:r w:rsidRPr="00F01347">
              <w:rPr>
                <w:rFonts w:ascii="Verdana" w:hAnsi="Verdana"/>
                <w:b/>
                <w:sz w:val="16"/>
                <w:szCs w:val="16"/>
                <w:lang w:val="en-US"/>
              </w:rPr>
              <w:t>Table B.13-1</w:t>
            </w:r>
            <w:r w:rsidR="003E1BA9" w:rsidRPr="00F01347">
              <w:rPr>
                <w:rFonts w:ascii="Verdana" w:hAnsi="Verdana"/>
                <w:b/>
                <w:sz w:val="16"/>
                <w:szCs w:val="16"/>
                <w:lang w:val="en-US"/>
              </w:rPr>
              <w:t>.</w:t>
            </w:r>
            <w:r w:rsidRPr="00F01347">
              <w:rPr>
                <w:rFonts w:ascii="Verdana" w:hAnsi="Verdana"/>
                <w:sz w:val="16"/>
                <w:szCs w:val="16"/>
                <w:lang w:val="en-US"/>
              </w:rPr>
              <w:t xml:space="preserve"> Conditions for chromatographic analysis.</w:t>
            </w:r>
          </w:p>
        </w:tc>
      </w:tr>
      <w:tr w:rsidR="0040705D" w:rsidRPr="00F01347" w14:paraId="5B9450B1" w14:textId="77777777" w:rsidTr="0040705D">
        <w:trPr>
          <w:trHeight w:val="20"/>
        </w:trPr>
        <w:tc>
          <w:tcPr>
            <w:tcW w:w="4274" w:type="dxa"/>
            <w:gridSpan w:val="2"/>
            <w:tcBorders>
              <w:top w:val="single" w:sz="6" w:space="0" w:color="auto"/>
              <w:left w:val="single" w:sz="6" w:space="0" w:color="auto"/>
              <w:bottom w:val="single" w:sz="6" w:space="0" w:color="auto"/>
              <w:right w:val="single" w:sz="6" w:space="0" w:color="auto"/>
            </w:tcBorders>
            <w:hideMark/>
          </w:tcPr>
          <w:p w14:paraId="3638D4B7" w14:textId="77777777" w:rsidR="0040705D" w:rsidRPr="00F01347" w:rsidRDefault="0040705D">
            <w:pPr>
              <w:pStyle w:val="texto0"/>
              <w:spacing w:after="60"/>
              <w:ind w:firstLine="0"/>
              <w:jc w:val="center"/>
              <w:rPr>
                <w:rFonts w:ascii="Verdana" w:hAnsi="Verdana"/>
                <w:b/>
                <w:sz w:val="16"/>
                <w:szCs w:val="16"/>
                <w:lang w:val="en-US"/>
              </w:rPr>
            </w:pPr>
            <w:r w:rsidRPr="00F01347">
              <w:rPr>
                <w:rFonts w:ascii="Verdana" w:hAnsi="Verdana"/>
                <w:b/>
                <w:sz w:val="16"/>
                <w:szCs w:val="16"/>
                <w:lang w:val="en-US"/>
              </w:rPr>
              <w:t>Gas flows for FID detector</w:t>
            </w:r>
          </w:p>
        </w:tc>
        <w:tc>
          <w:tcPr>
            <w:tcW w:w="267" w:type="dxa"/>
            <w:tcBorders>
              <w:top w:val="nil"/>
              <w:left w:val="single" w:sz="6" w:space="0" w:color="auto"/>
              <w:bottom w:val="nil"/>
              <w:right w:val="single" w:sz="6" w:space="0" w:color="auto"/>
            </w:tcBorders>
          </w:tcPr>
          <w:p w14:paraId="3D45453A" w14:textId="77777777" w:rsidR="0040705D" w:rsidRPr="00F01347" w:rsidRDefault="0040705D">
            <w:pPr>
              <w:pStyle w:val="texto0"/>
              <w:spacing w:after="60"/>
              <w:ind w:firstLine="0"/>
              <w:jc w:val="center"/>
              <w:rPr>
                <w:rFonts w:ascii="Verdana" w:hAnsi="Verdana"/>
                <w:b/>
                <w:sz w:val="16"/>
                <w:szCs w:val="16"/>
                <w:lang w:val="en-US"/>
              </w:rPr>
            </w:pPr>
          </w:p>
        </w:tc>
        <w:tc>
          <w:tcPr>
            <w:tcW w:w="4171" w:type="dxa"/>
            <w:gridSpan w:val="2"/>
            <w:tcBorders>
              <w:top w:val="single" w:sz="6" w:space="0" w:color="auto"/>
              <w:left w:val="single" w:sz="6" w:space="0" w:color="auto"/>
              <w:bottom w:val="single" w:sz="6" w:space="0" w:color="auto"/>
              <w:right w:val="single" w:sz="6" w:space="0" w:color="auto"/>
            </w:tcBorders>
            <w:hideMark/>
          </w:tcPr>
          <w:p w14:paraId="257D8642" w14:textId="77777777" w:rsidR="0040705D" w:rsidRPr="00F01347" w:rsidRDefault="0040705D">
            <w:pPr>
              <w:pStyle w:val="texto0"/>
              <w:spacing w:after="60"/>
              <w:ind w:firstLine="0"/>
              <w:jc w:val="center"/>
              <w:rPr>
                <w:rFonts w:ascii="Verdana" w:hAnsi="Verdana"/>
                <w:b/>
                <w:sz w:val="16"/>
                <w:szCs w:val="16"/>
                <w:lang w:val="en-US"/>
              </w:rPr>
            </w:pPr>
            <w:r w:rsidRPr="00F01347">
              <w:rPr>
                <w:rFonts w:ascii="Verdana" w:hAnsi="Verdana"/>
                <w:b/>
                <w:sz w:val="16"/>
                <w:szCs w:val="16"/>
                <w:lang w:val="en-US"/>
              </w:rPr>
              <w:t>Temperatures and analysis ramps</w:t>
            </w:r>
          </w:p>
        </w:tc>
      </w:tr>
      <w:tr w:rsidR="0040705D" w:rsidRPr="00F01347" w14:paraId="3928A7BE" w14:textId="77777777" w:rsidTr="0040705D">
        <w:trPr>
          <w:trHeight w:val="20"/>
        </w:trPr>
        <w:tc>
          <w:tcPr>
            <w:tcW w:w="2463" w:type="dxa"/>
            <w:tcBorders>
              <w:top w:val="single" w:sz="6" w:space="0" w:color="auto"/>
              <w:left w:val="single" w:sz="6" w:space="0" w:color="auto"/>
              <w:bottom w:val="single" w:sz="6" w:space="0" w:color="auto"/>
              <w:right w:val="single" w:sz="6" w:space="0" w:color="auto"/>
            </w:tcBorders>
            <w:hideMark/>
          </w:tcPr>
          <w:p w14:paraId="63E87169"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Air</w:t>
            </w:r>
          </w:p>
        </w:tc>
        <w:tc>
          <w:tcPr>
            <w:tcW w:w="1811" w:type="dxa"/>
            <w:tcBorders>
              <w:top w:val="single" w:sz="6" w:space="0" w:color="auto"/>
              <w:left w:val="single" w:sz="6" w:space="0" w:color="auto"/>
              <w:bottom w:val="single" w:sz="6" w:space="0" w:color="auto"/>
              <w:right w:val="single" w:sz="6" w:space="0" w:color="auto"/>
            </w:tcBorders>
            <w:hideMark/>
          </w:tcPr>
          <w:p w14:paraId="6753C48D"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400 mL /min</w:t>
            </w:r>
          </w:p>
        </w:tc>
        <w:tc>
          <w:tcPr>
            <w:tcW w:w="267" w:type="dxa"/>
            <w:tcBorders>
              <w:top w:val="nil"/>
              <w:left w:val="single" w:sz="6" w:space="0" w:color="auto"/>
              <w:bottom w:val="nil"/>
              <w:right w:val="single" w:sz="6" w:space="0" w:color="auto"/>
            </w:tcBorders>
          </w:tcPr>
          <w:p w14:paraId="13A83549" w14:textId="77777777" w:rsidR="0040705D" w:rsidRPr="00F01347" w:rsidRDefault="0040705D">
            <w:pPr>
              <w:pStyle w:val="texto0"/>
              <w:spacing w:after="60"/>
              <w:ind w:firstLine="0"/>
              <w:jc w:val="center"/>
              <w:rPr>
                <w:rFonts w:ascii="Verdana" w:hAnsi="Verdana"/>
                <w:sz w:val="16"/>
                <w:szCs w:val="16"/>
                <w:lang w:val="en-US"/>
              </w:rPr>
            </w:pPr>
          </w:p>
        </w:tc>
        <w:tc>
          <w:tcPr>
            <w:tcW w:w="2772" w:type="dxa"/>
            <w:tcBorders>
              <w:top w:val="single" w:sz="6" w:space="0" w:color="auto"/>
              <w:left w:val="single" w:sz="6" w:space="0" w:color="auto"/>
              <w:bottom w:val="single" w:sz="6" w:space="0" w:color="auto"/>
              <w:right w:val="single" w:sz="6" w:space="0" w:color="auto"/>
            </w:tcBorders>
            <w:hideMark/>
          </w:tcPr>
          <w:p w14:paraId="3710DFC0"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Detector temperature</w:t>
            </w:r>
          </w:p>
        </w:tc>
        <w:tc>
          <w:tcPr>
            <w:tcW w:w="1399" w:type="dxa"/>
            <w:tcBorders>
              <w:top w:val="single" w:sz="6" w:space="0" w:color="auto"/>
              <w:left w:val="single" w:sz="6" w:space="0" w:color="auto"/>
              <w:bottom w:val="single" w:sz="6" w:space="0" w:color="auto"/>
              <w:right w:val="single" w:sz="6" w:space="0" w:color="auto"/>
            </w:tcBorders>
            <w:hideMark/>
          </w:tcPr>
          <w:p w14:paraId="1D64A55D"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310°C</w:t>
            </w:r>
          </w:p>
        </w:tc>
      </w:tr>
      <w:tr w:rsidR="0040705D" w:rsidRPr="00F01347" w14:paraId="25221AF3" w14:textId="77777777" w:rsidTr="0040705D">
        <w:trPr>
          <w:trHeight w:val="20"/>
        </w:trPr>
        <w:tc>
          <w:tcPr>
            <w:tcW w:w="2463" w:type="dxa"/>
            <w:tcBorders>
              <w:top w:val="single" w:sz="6" w:space="0" w:color="auto"/>
              <w:left w:val="single" w:sz="6" w:space="0" w:color="auto"/>
              <w:bottom w:val="single" w:sz="6" w:space="0" w:color="auto"/>
              <w:right w:val="single" w:sz="6" w:space="0" w:color="auto"/>
            </w:tcBorders>
            <w:hideMark/>
          </w:tcPr>
          <w:p w14:paraId="67B7FE63"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Hydrogen</w:t>
            </w:r>
          </w:p>
        </w:tc>
        <w:tc>
          <w:tcPr>
            <w:tcW w:w="1811" w:type="dxa"/>
            <w:tcBorders>
              <w:top w:val="single" w:sz="6" w:space="0" w:color="auto"/>
              <w:left w:val="single" w:sz="6" w:space="0" w:color="auto"/>
              <w:bottom w:val="single" w:sz="6" w:space="0" w:color="auto"/>
              <w:right w:val="single" w:sz="6" w:space="0" w:color="auto"/>
            </w:tcBorders>
            <w:hideMark/>
          </w:tcPr>
          <w:p w14:paraId="18A6F80E"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40 mL /min</w:t>
            </w:r>
          </w:p>
        </w:tc>
        <w:tc>
          <w:tcPr>
            <w:tcW w:w="267" w:type="dxa"/>
            <w:tcBorders>
              <w:top w:val="nil"/>
              <w:left w:val="single" w:sz="6" w:space="0" w:color="auto"/>
              <w:bottom w:val="nil"/>
              <w:right w:val="single" w:sz="6" w:space="0" w:color="auto"/>
            </w:tcBorders>
          </w:tcPr>
          <w:p w14:paraId="5886EDA0" w14:textId="77777777" w:rsidR="0040705D" w:rsidRPr="00F01347" w:rsidRDefault="0040705D">
            <w:pPr>
              <w:pStyle w:val="texto0"/>
              <w:spacing w:after="60"/>
              <w:ind w:firstLine="0"/>
              <w:jc w:val="center"/>
              <w:rPr>
                <w:rFonts w:ascii="Verdana" w:hAnsi="Verdana"/>
                <w:sz w:val="16"/>
                <w:szCs w:val="16"/>
                <w:lang w:val="en-US"/>
              </w:rPr>
            </w:pPr>
          </w:p>
        </w:tc>
        <w:tc>
          <w:tcPr>
            <w:tcW w:w="2772" w:type="dxa"/>
            <w:tcBorders>
              <w:top w:val="single" w:sz="6" w:space="0" w:color="auto"/>
              <w:left w:val="single" w:sz="6" w:space="0" w:color="auto"/>
              <w:bottom w:val="single" w:sz="6" w:space="0" w:color="auto"/>
              <w:right w:val="single" w:sz="6" w:space="0" w:color="auto"/>
            </w:tcBorders>
            <w:hideMark/>
          </w:tcPr>
          <w:p w14:paraId="4B570A56"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injector temperature</w:t>
            </w:r>
          </w:p>
        </w:tc>
        <w:tc>
          <w:tcPr>
            <w:tcW w:w="1399" w:type="dxa"/>
            <w:tcBorders>
              <w:top w:val="single" w:sz="6" w:space="0" w:color="auto"/>
              <w:left w:val="single" w:sz="6" w:space="0" w:color="auto"/>
              <w:bottom w:val="single" w:sz="6" w:space="0" w:color="auto"/>
              <w:right w:val="single" w:sz="6" w:space="0" w:color="auto"/>
            </w:tcBorders>
            <w:hideMark/>
          </w:tcPr>
          <w:p w14:paraId="65345EB4"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280°C</w:t>
            </w:r>
          </w:p>
        </w:tc>
      </w:tr>
      <w:tr w:rsidR="0040705D" w:rsidRPr="00F01347" w14:paraId="40C51483" w14:textId="77777777" w:rsidTr="0040705D">
        <w:trPr>
          <w:trHeight w:val="20"/>
        </w:trPr>
        <w:tc>
          <w:tcPr>
            <w:tcW w:w="2463" w:type="dxa"/>
            <w:tcBorders>
              <w:top w:val="single" w:sz="6" w:space="0" w:color="auto"/>
              <w:left w:val="single" w:sz="6" w:space="0" w:color="auto"/>
              <w:bottom w:val="single" w:sz="6" w:space="0" w:color="auto"/>
              <w:right w:val="single" w:sz="6" w:space="0" w:color="auto"/>
            </w:tcBorders>
            <w:hideMark/>
          </w:tcPr>
          <w:p w14:paraId="2870A3E9"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Nitrogen</w:t>
            </w:r>
          </w:p>
        </w:tc>
        <w:tc>
          <w:tcPr>
            <w:tcW w:w="1811" w:type="dxa"/>
            <w:tcBorders>
              <w:top w:val="single" w:sz="6" w:space="0" w:color="auto"/>
              <w:left w:val="single" w:sz="6" w:space="0" w:color="auto"/>
              <w:bottom w:val="single" w:sz="6" w:space="0" w:color="auto"/>
              <w:right w:val="single" w:sz="6" w:space="0" w:color="auto"/>
            </w:tcBorders>
            <w:hideMark/>
          </w:tcPr>
          <w:p w14:paraId="044CEE00"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40 mL /min</w:t>
            </w:r>
          </w:p>
        </w:tc>
        <w:tc>
          <w:tcPr>
            <w:tcW w:w="267" w:type="dxa"/>
            <w:tcBorders>
              <w:top w:val="nil"/>
              <w:left w:val="single" w:sz="6" w:space="0" w:color="auto"/>
              <w:bottom w:val="nil"/>
              <w:right w:val="single" w:sz="6" w:space="0" w:color="auto"/>
            </w:tcBorders>
          </w:tcPr>
          <w:p w14:paraId="16532D00" w14:textId="77777777" w:rsidR="0040705D" w:rsidRPr="00F01347" w:rsidRDefault="0040705D">
            <w:pPr>
              <w:pStyle w:val="texto0"/>
              <w:spacing w:after="60"/>
              <w:ind w:firstLine="0"/>
              <w:jc w:val="center"/>
              <w:rPr>
                <w:rFonts w:ascii="Verdana" w:hAnsi="Verdana"/>
                <w:sz w:val="16"/>
                <w:szCs w:val="16"/>
                <w:lang w:val="en-US"/>
              </w:rPr>
            </w:pPr>
          </w:p>
        </w:tc>
        <w:tc>
          <w:tcPr>
            <w:tcW w:w="2772" w:type="dxa"/>
            <w:tcBorders>
              <w:top w:val="single" w:sz="6" w:space="0" w:color="auto"/>
              <w:left w:val="single" w:sz="6" w:space="0" w:color="auto"/>
              <w:bottom w:val="single" w:sz="6" w:space="0" w:color="auto"/>
              <w:right w:val="single" w:sz="6" w:space="0" w:color="auto"/>
            </w:tcBorders>
            <w:hideMark/>
          </w:tcPr>
          <w:p w14:paraId="0FF218EB"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Initial oven temperature</w:t>
            </w:r>
          </w:p>
        </w:tc>
        <w:tc>
          <w:tcPr>
            <w:tcW w:w="1399" w:type="dxa"/>
            <w:tcBorders>
              <w:top w:val="single" w:sz="6" w:space="0" w:color="auto"/>
              <w:left w:val="single" w:sz="6" w:space="0" w:color="auto"/>
              <w:bottom w:val="single" w:sz="6" w:space="0" w:color="auto"/>
              <w:right w:val="single" w:sz="6" w:space="0" w:color="auto"/>
            </w:tcBorders>
            <w:hideMark/>
          </w:tcPr>
          <w:p w14:paraId="55B2A086"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60°C</w:t>
            </w:r>
          </w:p>
        </w:tc>
      </w:tr>
      <w:tr w:rsidR="0040705D" w:rsidRPr="00F01347" w14:paraId="4DCEFAA6" w14:textId="77777777" w:rsidTr="0040705D">
        <w:trPr>
          <w:trHeight w:val="20"/>
        </w:trPr>
        <w:tc>
          <w:tcPr>
            <w:tcW w:w="4274" w:type="dxa"/>
            <w:gridSpan w:val="2"/>
            <w:tcBorders>
              <w:top w:val="single" w:sz="6" w:space="0" w:color="auto"/>
              <w:left w:val="single" w:sz="6" w:space="0" w:color="auto"/>
              <w:bottom w:val="single" w:sz="6" w:space="0" w:color="auto"/>
              <w:right w:val="single" w:sz="6" w:space="0" w:color="auto"/>
            </w:tcBorders>
            <w:hideMark/>
          </w:tcPr>
          <w:p w14:paraId="63B0CBA4" w14:textId="77777777" w:rsidR="0040705D" w:rsidRPr="00F01347" w:rsidRDefault="0040705D">
            <w:pPr>
              <w:pStyle w:val="texto0"/>
              <w:spacing w:after="60"/>
              <w:ind w:firstLine="0"/>
              <w:jc w:val="center"/>
              <w:rPr>
                <w:rFonts w:ascii="Verdana" w:hAnsi="Verdana"/>
                <w:b/>
                <w:sz w:val="16"/>
                <w:szCs w:val="16"/>
                <w:lang w:val="en-US"/>
              </w:rPr>
            </w:pPr>
            <w:r w:rsidRPr="00F01347">
              <w:rPr>
                <w:rFonts w:ascii="Verdana" w:hAnsi="Verdana"/>
                <w:b/>
                <w:sz w:val="16"/>
                <w:szCs w:val="16"/>
                <w:lang w:val="en-US"/>
              </w:rPr>
              <w:t>Gas flows in the chromatograph</w:t>
            </w:r>
          </w:p>
        </w:tc>
        <w:tc>
          <w:tcPr>
            <w:tcW w:w="267" w:type="dxa"/>
            <w:tcBorders>
              <w:top w:val="nil"/>
              <w:left w:val="single" w:sz="6" w:space="0" w:color="auto"/>
              <w:bottom w:val="nil"/>
              <w:right w:val="single" w:sz="6" w:space="0" w:color="auto"/>
            </w:tcBorders>
          </w:tcPr>
          <w:p w14:paraId="10813B8E" w14:textId="77777777" w:rsidR="0040705D" w:rsidRPr="00F01347" w:rsidRDefault="0040705D">
            <w:pPr>
              <w:pStyle w:val="texto0"/>
              <w:spacing w:after="60"/>
              <w:ind w:firstLine="0"/>
              <w:jc w:val="center"/>
              <w:rPr>
                <w:rFonts w:ascii="Verdana" w:hAnsi="Verdana"/>
                <w:b/>
                <w:sz w:val="16"/>
                <w:szCs w:val="16"/>
                <w:lang w:val="en-US"/>
              </w:rPr>
            </w:pPr>
          </w:p>
        </w:tc>
        <w:tc>
          <w:tcPr>
            <w:tcW w:w="2772" w:type="dxa"/>
            <w:tcBorders>
              <w:top w:val="single" w:sz="6" w:space="0" w:color="auto"/>
              <w:left w:val="single" w:sz="6" w:space="0" w:color="auto"/>
              <w:bottom w:val="single" w:sz="6" w:space="0" w:color="auto"/>
              <w:right w:val="single" w:sz="6" w:space="0" w:color="auto"/>
            </w:tcBorders>
            <w:hideMark/>
          </w:tcPr>
          <w:p w14:paraId="48D67C6B" w14:textId="77777777" w:rsidR="0040705D" w:rsidRPr="00F01347" w:rsidRDefault="0040705D">
            <w:pPr>
              <w:pStyle w:val="texto0"/>
              <w:spacing w:after="60"/>
              <w:ind w:firstLine="0"/>
              <w:jc w:val="center"/>
              <w:rPr>
                <w:rFonts w:ascii="Verdana" w:hAnsi="Verdana"/>
                <w:b/>
                <w:sz w:val="16"/>
                <w:szCs w:val="16"/>
                <w:lang w:val="en-US"/>
              </w:rPr>
            </w:pPr>
            <w:r w:rsidRPr="00F01347">
              <w:rPr>
                <w:rFonts w:ascii="Verdana" w:hAnsi="Verdana"/>
                <w:sz w:val="16"/>
                <w:szCs w:val="16"/>
                <w:lang w:val="en-US"/>
              </w:rPr>
              <w:t>Initial time</w:t>
            </w:r>
          </w:p>
        </w:tc>
        <w:tc>
          <w:tcPr>
            <w:tcW w:w="1399" w:type="dxa"/>
            <w:tcBorders>
              <w:top w:val="single" w:sz="6" w:space="0" w:color="auto"/>
              <w:left w:val="single" w:sz="6" w:space="0" w:color="auto"/>
              <w:bottom w:val="single" w:sz="6" w:space="0" w:color="auto"/>
              <w:right w:val="single" w:sz="6" w:space="0" w:color="auto"/>
            </w:tcBorders>
            <w:hideMark/>
          </w:tcPr>
          <w:p w14:paraId="676FF9CC"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1 min</w:t>
            </w:r>
          </w:p>
        </w:tc>
      </w:tr>
      <w:tr w:rsidR="0040705D" w:rsidRPr="00F01347" w14:paraId="351F4ED9" w14:textId="77777777" w:rsidTr="0040705D">
        <w:trPr>
          <w:trHeight w:val="20"/>
        </w:trPr>
        <w:tc>
          <w:tcPr>
            <w:tcW w:w="2463" w:type="dxa"/>
            <w:tcBorders>
              <w:top w:val="single" w:sz="6" w:space="0" w:color="auto"/>
              <w:left w:val="single" w:sz="6" w:space="0" w:color="auto"/>
              <w:bottom w:val="single" w:sz="6" w:space="0" w:color="auto"/>
              <w:right w:val="single" w:sz="6" w:space="0" w:color="auto"/>
            </w:tcBorders>
            <w:hideMark/>
          </w:tcPr>
          <w:p w14:paraId="18728F98"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Split</w:t>
            </w:r>
          </w:p>
        </w:tc>
        <w:tc>
          <w:tcPr>
            <w:tcW w:w="1811" w:type="dxa"/>
            <w:tcBorders>
              <w:top w:val="single" w:sz="6" w:space="0" w:color="auto"/>
              <w:left w:val="single" w:sz="6" w:space="0" w:color="auto"/>
              <w:bottom w:val="single" w:sz="6" w:space="0" w:color="auto"/>
              <w:right w:val="single" w:sz="6" w:space="0" w:color="auto"/>
            </w:tcBorders>
            <w:hideMark/>
          </w:tcPr>
          <w:p w14:paraId="7DFB7329"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10 mL /min</w:t>
            </w:r>
          </w:p>
        </w:tc>
        <w:tc>
          <w:tcPr>
            <w:tcW w:w="267" w:type="dxa"/>
            <w:tcBorders>
              <w:top w:val="nil"/>
              <w:left w:val="single" w:sz="6" w:space="0" w:color="auto"/>
              <w:bottom w:val="nil"/>
              <w:right w:val="single" w:sz="6" w:space="0" w:color="auto"/>
            </w:tcBorders>
          </w:tcPr>
          <w:p w14:paraId="327DEDE5" w14:textId="77777777" w:rsidR="0040705D" w:rsidRPr="00F01347" w:rsidRDefault="0040705D">
            <w:pPr>
              <w:pStyle w:val="texto0"/>
              <w:spacing w:after="60"/>
              <w:ind w:firstLine="0"/>
              <w:jc w:val="center"/>
              <w:rPr>
                <w:rFonts w:ascii="Verdana" w:hAnsi="Verdana"/>
                <w:sz w:val="16"/>
                <w:szCs w:val="16"/>
                <w:lang w:val="en-US"/>
              </w:rPr>
            </w:pPr>
          </w:p>
        </w:tc>
        <w:tc>
          <w:tcPr>
            <w:tcW w:w="2772" w:type="dxa"/>
            <w:tcBorders>
              <w:top w:val="single" w:sz="6" w:space="0" w:color="auto"/>
              <w:left w:val="single" w:sz="6" w:space="0" w:color="auto"/>
              <w:bottom w:val="single" w:sz="6" w:space="0" w:color="auto"/>
              <w:right w:val="single" w:sz="6" w:space="0" w:color="auto"/>
            </w:tcBorders>
            <w:hideMark/>
          </w:tcPr>
          <w:p w14:paraId="241C49BA"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First ramp</w:t>
            </w:r>
          </w:p>
        </w:tc>
        <w:tc>
          <w:tcPr>
            <w:tcW w:w="1399" w:type="dxa"/>
            <w:tcBorders>
              <w:top w:val="single" w:sz="6" w:space="0" w:color="auto"/>
              <w:left w:val="single" w:sz="6" w:space="0" w:color="auto"/>
              <w:bottom w:val="single" w:sz="6" w:space="0" w:color="auto"/>
              <w:right w:val="single" w:sz="6" w:space="0" w:color="auto"/>
            </w:tcBorders>
            <w:hideMark/>
          </w:tcPr>
          <w:p w14:paraId="6C452EBF"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75°C/min</w:t>
            </w:r>
          </w:p>
        </w:tc>
      </w:tr>
      <w:tr w:rsidR="0040705D" w:rsidRPr="00F01347" w14:paraId="1FFAC913" w14:textId="77777777" w:rsidTr="0040705D">
        <w:trPr>
          <w:trHeight w:val="20"/>
        </w:trPr>
        <w:tc>
          <w:tcPr>
            <w:tcW w:w="2463" w:type="dxa"/>
            <w:tcBorders>
              <w:top w:val="single" w:sz="6" w:space="0" w:color="auto"/>
              <w:left w:val="single" w:sz="6" w:space="0" w:color="auto"/>
              <w:bottom w:val="single" w:sz="6" w:space="0" w:color="auto"/>
              <w:right w:val="single" w:sz="6" w:space="0" w:color="auto"/>
            </w:tcBorders>
            <w:hideMark/>
          </w:tcPr>
          <w:p w14:paraId="0D209F3F"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Septum purge</w:t>
            </w:r>
          </w:p>
        </w:tc>
        <w:tc>
          <w:tcPr>
            <w:tcW w:w="1811" w:type="dxa"/>
            <w:tcBorders>
              <w:top w:val="single" w:sz="6" w:space="0" w:color="auto"/>
              <w:left w:val="single" w:sz="6" w:space="0" w:color="auto"/>
              <w:bottom w:val="single" w:sz="6" w:space="0" w:color="auto"/>
              <w:right w:val="single" w:sz="6" w:space="0" w:color="auto"/>
            </w:tcBorders>
            <w:hideMark/>
          </w:tcPr>
          <w:p w14:paraId="3789E125"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3 – 4 mL /min</w:t>
            </w:r>
          </w:p>
        </w:tc>
        <w:tc>
          <w:tcPr>
            <w:tcW w:w="267" w:type="dxa"/>
            <w:tcBorders>
              <w:top w:val="nil"/>
              <w:left w:val="single" w:sz="6" w:space="0" w:color="auto"/>
              <w:bottom w:val="nil"/>
              <w:right w:val="single" w:sz="6" w:space="0" w:color="auto"/>
            </w:tcBorders>
          </w:tcPr>
          <w:p w14:paraId="3F8F1731" w14:textId="77777777" w:rsidR="0040705D" w:rsidRPr="00F01347" w:rsidRDefault="0040705D">
            <w:pPr>
              <w:pStyle w:val="texto0"/>
              <w:spacing w:after="60"/>
              <w:ind w:firstLine="0"/>
              <w:jc w:val="center"/>
              <w:rPr>
                <w:rFonts w:ascii="Verdana" w:hAnsi="Verdana"/>
                <w:sz w:val="16"/>
                <w:szCs w:val="16"/>
                <w:lang w:val="en-US"/>
              </w:rPr>
            </w:pPr>
          </w:p>
        </w:tc>
        <w:tc>
          <w:tcPr>
            <w:tcW w:w="2772" w:type="dxa"/>
            <w:tcBorders>
              <w:top w:val="single" w:sz="6" w:space="0" w:color="auto"/>
              <w:left w:val="single" w:sz="6" w:space="0" w:color="auto"/>
              <w:bottom w:val="single" w:sz="6" w:space="0" w:color="auto"/>
              <w:right w:val="single" w:sz="6" w:space="0" w:color="auto"/>
            </w:tcBorders>
            <w:hideMark/>
          </w:tcPr>
          <w:p w14:paraId="6F7988F7"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Final ramp temperature</w:t>
            </w:r>
          </w:p>
        </w:tc>
        <w:tc>
          <w:tcPr>
            <w:tcW w:w="1399" w:type="dxa"/>
            <w:tcBorders>
              <w:top w:val="single" w:sz="6" w:space="0" w:color="auto"/>
              <w:left w:val="single" w:sz="6" w:space="0" w:color="auto"/>
              <w:bottom w:val="single" w:sz="6" w:space="0" w:color="auto"/>
              <w:right w:val="single" w:sz="6" w:space="0" w:color="auto"/>
            </w:tcBorders>
            <w:hideMark/>
          </w:tcPr>
          <w:p w14:paraId="24886797"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310°C</w:t>
            </w:r>
          </w:p>
        </w:tc>
      </w:tr>
      <w:tr w:rsidR="0040705D" w:rsidRPr="00F01347" w14:paraId="1C0A15B9" w14:textId="77777777" w:rsidTr="0040705D">
        <w:trPr>
          <w:trHeight w:val="20"/>
        </w:trPr>
        <w:tc>
          <w:tcPr>
            <w:tcW w:w="2463" w:type="dxa"/>
            <w:tcBorders>
              <w:top w:val="single" w:sz="6" w:space="0" w:color="auto"/>
              <w:left w:val="single" w:sz="6" w:space="0" w:color="auto"/>
              <w:bottom w:val="single" w:sz="6" w:space="0" w:color="auto"/>
              <w:right w:val="single" w:sz="6" w:space="0" w:color="auto"/>
            </w:tcBorders>
            <w:hideMark/>
          </w:tcPr>
          <w:p w14:paraId="7300A0BC"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column pressure</w:t>
            </w:r>
          </w:p>
        </w:tc>
        <w:tc>
          <w:tcPr>
            <w:tcW w:w="1811" w:type="dxa"/>
            <w:tcBorders>
              <w:top w:val="single" w:sz="6" w:space="0" w:color="auto"/>
              <w:left w:val="single" w:sz="6" w:space="0" w:color="auto"/>
              <w:bottom w:val="single" w:sz="6" w:space="0" w:color="auto"/>
              <w:right w:val="single" w:sz="6" w:space="0" w:color="auto"/>
            </w:tcBorders>
            <w:hideMark/>
          </w:tcPr>
          <w:p w14:paraId="7A234D65" w14:textId="73A282BB"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 xml:space="preserve">20psi </w:t>
            </w:r>
            <w:r w:rsidR="00CB209C" w:rsidRPr="00F01347">
              <w:rPr>
                <w:rFonts w:ascii="Verdana" w:hAnsi="Verdana"/>
                <w:sz w:val="16"/>
                <w:szCs w:val="16"/>
                <w:lang w:val="en-US"/>
              </w:rPr>
              <w:t>(</w:t>
            </w:r>
            <w:r w:rsidRPr="00F01347">
              <w:rPr>
                <w:rFonts w:ascii="Verdana" w:hAnsi="Verdana"/>
                <w:sz w:val="16"/>
                <w:szCs w:val="16"/>
                <w:vertAlign w:val="subscript"/>
                <w:lang w:val="en-US"/>
              </w:rPr>
              <w:t>H2</w:t>
            </w:r>
            <w:r w:rsidR="00913802" w:rsidRPr="00F01347">
              <w:rPr>
                <w:rFonts w:ascii="Verdana" w:hAnsi="Verdana"/>
                <w:sz w:val="16"/>
                <w:szCs w:val="16"/>
                <w:lang w:val="en-US"/>
              </w:rPr>
              <w:t>)</w:t>
            </w:r>
          </w:p>
        </w:tc>
        <w:tc>
          <w:tcPr>
            <w:tcW w:w="267" w:type="dxa"/>
            <w:tcBorders>
              <w:top w:val="nil"/>
              <w:left w:val="single" w:sz="6" w:space="0" w:color="auto"/>
              <w:bottom w:val="nil"/>
              <w:right w:val="single" w:sz="6" w:space="0" w:color="auto"/>
            </w:tcBorders>
          </w:tcPr>
          <w:p w14:paraId="375D1AB2" w14:textId="77777777" w:rsidR="0040705D" w:rsidRPr="00F01347" w:rsidRDefault="0040705D">
            <w:pPr>
              <w:pStyle w:val="texto0"/>
              <w:spacing w:after="60"/>
              <w:ind w:firstLine="0"/>
              <w:jc w:val="center"/>
              <w:rPr>
                <w:rFonts w:ascii="Verdana" w:hAnsi="Verdana"/>
                <w:sz w:val="16"/>
                <w:szCs w:val="16"/>
                <w:lang w:val="en-US"/>
              </w:rPr>
            </w:pPr>
          </w:p>
        </w:tc>
        <w:tc>
          <w:tcPr>
            <w:tcW w:w="2772" w:type="dxa"/>
            <w:tcBorders>
              <w:top w:val="single" w:sz="6" w:space="0" w:color="auto"/>
              <w:left w:val="single" w:sz="6" w:space="0" w:color="auto"/>
              <w:bottom w:val="single" w:sz="6" w:space="0" w:color="auto"/>
              <w:right w:val="single" w:sz="6" w:space="0" w:color="auto"/>
            </w:tcBorders>
            <w:hideMark/>
          </w:tcPr>
          <w:p w14:paraId="09D5F403"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Final time</w:t>
            </w:r>
          </w:p>
        </w:tc>
        <w:tc>
          <w:tcPr>
            <w:tcW w:w="1399" w:type="dxa"/>
            <w:tcBorders>
              <w:top w:val="single" w:sz="6" w:space="0" w:color="auto"/>
              <w:left w:val="single" w:sz="6" w:space="0" w:color="auto"/>
              <w:bottom w:val="single" w:sz="6" w:space="0" w:color="auto"/>
              <w:right w:val="single" w:sz="6" w:space="0" w:color="auto"/>
            </w:tcBorders>
            <w:hideMark/>
          </w:tcPr>
          <w:p w14:paraId="6FFEC64B"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5 min</w:t>
            </w:r>
          </w:p>
        </w:tc>
      </w:tr>
      <w:tr w:rsidR="0040705D" w:rsidRPr="00F01347" w14:paraId="3DC24C97" w14:textId="77777777" w:rsidTr="0040705D">
        <w:trPr>
          <w:trHeight w:val="20"/>
        </w:trPr>
        <w:tc>
          <w:tcPr>
            <w:tcW w:w="2463" w:type="dxa"/>
            <w:tcBorders>
              <w:top w:val="single" w:sz="6" w:space="0" w:color="auto"/>
              <w:left w:val="single" w:sz="6" w:space="0" w:color="auto"/>
              <w:bottom w:val="single" w:sz="6" w:space="0" w:color="auto"/>
              <w:right w:val="single" w:sz="6" w:space="0" w:color="auto"/>
            </w:tcBorders>
            <w:hideMark/>
          </w:tcPr>
          <w:p w14:paraId="49F01207" w14:textId="78474192"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Carrier gas flow (H</w:t>
            </w:r>
            <w:r w:rsidRPr="00F01347">
              <w:rPr>
                <w:rFonts w:ascii="Verdana" w:hAnsi="Verdana"/>
                <w:sz w:val="16"/>
                <w:szCs w:val="16"/>
                <w:vertAlign w:val="subscript"/>
                <w:lang w:val="en-US"/>
              </w:rPr>
              <w:t>2</w:t>
            </w:r>
            <w:r w:rsidR="00913802" w:rsidRPr="00F01347">
              <w:rPr>
                <w:rFonts w:ascii="Verdana" w:hAnsi="Verdana"/>
                <w:sz w:val="16"/>
                <w:szCs w:val="16"/>
                <w:lang w:val="en-US"/>
              </w:rPr>
              <w:t>)</w:t>
            </w:r>
          </w:p>
        </w:tc>
        <w:tc>
          <w:tcPr>
            <w:tcW w:w="1811" w:type="dxa"/>
            <w:tcBorders>
              <w:top w:val="single" w:sz="6" w:space="0" w:color="auto"/>
              <w:left w:val="single" w:sz="6" w:space="0" w:color="auto"/>
              <w:bottom w:val="single" w:sz="6" w:space="0" w:color="auto"/>
              <w:right w:val="single" w:sz="6" w:space="0" w:color="auto"/>
            </w:tcBorders>
            <w:hideMark/>
          </w:tcPr>
          <w:p w14:paraId="19F07CBF" w14:textId="77777777" w:rsidR="0040705D" w:rsidRPr="00F01347" w:rsidRDefault="0040705D">
            <w:pPr>
              <w:pStyle w:val="texto0"/>
              <w:spacing w:after="60"/>
              <w:ind w:firstLine="0"/>
              <w:jc w:val="center"/>
              <w:rPr>
                <w:rFonts w:ascii="Verdana" w:hAnsi="Verdana"/>
                <w:sz w:val="16"/>
                <w:szCs w:val="16"/>
                <w:lang w:val="en-US"/>
              </w:rPr>
            </w:pPr>
            <w:r w:rsidRPr="00F01347">
              <w:rPr>
                <w:rFonts w:ascii="Verdana" w:hAnsi="Verdana"/>
                <w:sz w:val="16"/>
                <w:szCs w:val="16"/>
                <w:lang w:val="en-US"/>
              </w:rPr>
              <w:t>1 – 3 mL /min</w:t>
            </w:r>
          </w:p>
        </w:tc>
        <w:tc>
          <w:tcPr>
            <w:tcW w:w="267" w:type="dxa"/>
            <w:tcBorders>
              <w:top w:val="nil"/>
              <w:left w:val="single" w:sz="6" w:space="0" w:color="auto"/>
              <w:bottom w:val="nil"/>
              <w:right w:val="nil"/>
            </w:tcBorders>
          </w:tcPr>
          <w:p w14:paraId="39EE7BEF" w14:textId="77777777" w:rsidR="0040705D" w:rsidRPr="00F01347" w:rsidRDefault="0040705D">
            <w:pPr>
              <w:pStyle w:val="texto0"/>
              <w:spacing w:after="60"/>
              <w:ind w:firstLine="0"/>
              <w:jc w:val="center"/>
              <w:rPr>
                <w:rFonts w:ascii="Verdana" w:hAnsi="Verdana"/>
                <w:sz w:val="16"/>
                <w:szCs w:val="16"/>
                <w:lang w:val="en-US"/>
              </w:rPr>
            </w:pPr>
          </w:p>
        </w:tc>
        <w:tc>
          <w:tcPr>
            <w:tcW w:w="2772" w:type="dxa"/>
            <w:tcBorders>
              <w:top w:val="single" w:sz="6" w:space="0" w:color="auto"/>
              <w:left w:val="nil"/>
              <w:bottom w:val="nil"/>
              <w:right w:val="nil"/>
            </w:tcBorders>
          </w:tcPr>
          <w:p w14:paraId="0D1563C8" w14:textId="77777777" w:rsidR="0040705D" w:rsidRPr="00F01347" w:rsidRDefault="0040705D">
            <w:pPr>
              <w:pStyle w:val="texto0"/>
              <w:spacing w:after="60"/>
              <w:ind w:firstLine="0"/>
              <w:jc w:val="center"/>
              <w:rPr>
                <w:rFonts w:ascii="Verdana" w:hAnsi="Verdana"/>
                <w:sz w:val="16"/>
                <w:szCs w:val="16"/>
                <w:lang w:val="en-US"/>
              </w:rPr>
            </w:pPr>
          </w:p>
        </w:tc>
        <w:tc>
          <w:tcPr>
            <w:tcW w:w="1399" w:type="dxa"/>
            <w:tcBorders>
              <w:top w:val="single" w:sz="6" w:space="0" w:color="auto"/>
              <w:left w:val="nil"/>
              <w:bottom w:val="nil"/>
              <w:right w:val="nil"/>
            </w:tcBorders>
          </w:tcPr>
          <w:p w14:paraId="08A1AEF9" w14:textId="77777777" w:rsidR="0040705D" w:rsidRPr="00F01347" w:rsidRDefault="0040705D">
            <w:pPr>
              <w:pStyle w:val="texto0"/>
              <w:spacing w:after="60"/>
              <w:ind w:firstLine="0"/>
              <w:jc w:val="center"/>
              <w:rPr>
                <w:rFonts w:ascii="Verdana" w:hAnsi="Verdana"/>
                <w:sz w:val="16"/>
                <w:szCs w:val="16"/>
                <w:lang w:val="en-US"/>
              </w:rPr>
            </w:pPr>
          </w:p>
        </w:tc>
      </w:tr>
    </w:tbl>
    <w:p w14:paraId="571AA423" w14:textId="77777777" w:rsidR="005F347F" w:rsidRPr="00F01347" w:rsidRDefault="005F347F" w:rsidP="003A601B">
      <w:pPr>
        <w:pStyle w:val="texto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5757A" w:rsidRPr="00F01347" w14:paraId="27ADC46A" w14:textId="77EAA78A" w:rsidTr="00EB7AE5">
        <w:tc>
          <w:tcPr>
            <w:tcW w:w="4675" w:type="dxa"/>
          </w:tcPr>
          <w:p w14:paraId="7DA7C141" w14:textId="77777777" w:rsidR="0055757A" w:rsidRPr="00F01347" w:rsidRDefault="0055757A" w:rsidP="00EF1D47">
            <w:pPr>
              <w:pStyle w:val="texto0"/>
              <w:ind w:firstLine="0"/>
              <w:rPr>
                <w:rFonts w:ascii="Verdana" w:hAnsi="Verdana"/>
                <w:b/>
                <w:sz w:val="16"/>
                <w:szCs w:val="16"/>
              </w:rPr>
            </w:pPr>
            <w:r w:rsidRPr="00F01347">
              <w:rPr>
                <w:rFonts w:ascii="Verdana" w:hAnsi="Verdana"/>
                <w:b/>
                <w:sz w:val="16"/>
                <w:szCs w:val="16"/>
              </w:rPr>
              <w:t>B.13.6.4 Análisis de datos y cálculos</w:t>
            </w:r>
          </w:p>
        </w:tc>
        <w:tc>
          <w:tcPr>
            <w:tcW w:w="4675" w:type="dxa"/>
          </w:tcPr>
          <w:p w14:paraId="002A5FC8" w14:textId="37B89EB9" w:rsidR="0055757A" w:rsidRPr="00F01347" w:rsidRDefault="0040705D" w:rsidP="00EF1D47">
            <w:pPr>
              <w:pStyle w:val="texto0"/>
              <w:ind w:firstLine="0"/>
              <w:rPr>
                <w:rFonts w:ascii="Verdana" w:hAnsi="Verdana"/>
                <w:b/>
                <w:sz w:val="16"/>
                <w:szCs w:val="16"/>
                <w:lang w:val="en-US"/>
              </w:rPr>
            </w:pPr>
            <w:r w:rsidRPr="00F01347">
              <w:rPr>
                <w:rFonts w:ascii="Verdana" w:hAnsi="Verdana"/>
                <w:b/>
                <w:sz w:val="16"/>
                <w:szCs w:val="16"/>
                <w:lang w:val="en-US"/>
              </w:rPr>
              <w:t>B.13.6.4 Data analysis and calculations</w:t>
            </w:r>
          </w:p>
        </w:tc>
      </w:tr>
      <w:tr w:rsidR="0055757A" w:rsidRPr="00F01347" w14:paraId="6292FAA9" w14:textId="209793FF" w:rsidTr="00EB7AE5">
        <w:tc>
          <w:tcPr>
            <w:tcW w:w="4675" w:type="dxa"/>
          </w:tcPr>
          <w:p w14:paraId="5054DC44" w14:textId="77777777" w:rsidR="0055757A" w:rsidRPr="00F01347" w:rsidRDefault="0055757A" w:rsidP="00EF1D47">
            <w:pPr>
              <w:pStyle w:val="texto0"/>
              <w:ind w:firstLine="0"/>
              <w:rPr>
                <w:rFonts w:ascii="Verdana" w:hAnsi="Verdana"/>
                <w:sz w:val="16"/>
                <w:szCs w:val="16"/>
              </w:rPr>
            </w:pPr>
            <w:r w:rsidRPr="00F01347">
              <w:rPr>
                <w:rFonts w:ascii="Verdana" w:hAnsi="Verdana"/>
                <w:sz w:val="16"/>
                <w:szCs w:val="16"/>
              </w:rPr>
              <w:t>La concentración de la muestra (C) se obtiene de extrapolar el área total de los picos en la ventana cuantitativa utilizando la siguiente ecuación:</w:t>
            </w:r>
          </w:p>
        </w:tc>
        <w:tc>
          <w:tcPr>
            <w:tcW w:w="4675" w:type="dxa"/>
          </w:tcPr>
          <w:p w14:paraId="72156903" w14:textId="65F42904" w:rsidR="0055757A" w:rsidRPr="00F01347" w:rsidRDefault="0040705D" w:rsidP="00EF1D47">
            <w:pPr>
              <w:pStyle w:val="texto0"/>
              <w:ind w:firstLine="0"/>
              <w:rPr>
                <w:rFonts w:ascii="Verdana" w:hAnsi="Verdana"/>
                <w:sz w:val="16"/>
                <w:szCs w:val="16"/>
                <w:lang w:val="en-US"/>
              </w:rPr>
            </w:pPr>
            <w:r w:rsidRPr="00F01347">
              <w:rPr>
                <w:rFonts w:ascii="Verdana" w:hAnsi="Verdana"/>
                <w:sz w:val="16"/>
                <w:szCs w:val="16"/>
                <w:lang w:val="en-US"/>
              </w:rPr>
              <w:t>The sample concentration (C) is obtained by extrapolating the total area of the peaks in the quantitative window using the following equation:</w:t>
            </w:r>
          </w:p>
        </w:tc>
      </w:tr>
    </w:tbl>
    <w:p w14:paraId="2982E709" w14:textId="184BBAE8" w:rsidR="00A74CDF" w:rsidRPr="00F01347" w:rsidRDefault="00471638" w:rsidP="00EB7AE5">
      <w:pPr>
        <w:pStyle w:val="texto0"/>
        <w:spacing w:line="240" w:lineRule="auto"/>
        <w:ind w:left="630" w:firstLine="0"/>
        <w:jc w:val="center"/>
        <w:rPr>
          <w:rFonts w:ascii="Verdana" w:hAnsi="Verdana"/>
          <w:sz w:val="16"/>
          <w:szCs w:val="16"/>
        </w:rPr>
      </w:pPr>
      <w:r w:rsidRPr="00F01347">
        <w:rPr>
          <w:rFonts w:ascii="Verdana" w:hAnsi="Verdana"/>
          <w:noProof/>
          <w:sz w:val="16"/>
          <w:szCs w:val="16"/>
        </w:rPr>
        <w:drawing>
          <wp:inline distT="0" distB="0" distL="0" distR="0" wp14:anchorId="2E24E347" wp14:editId="37C83FFE">
            <wp:extent cx="838200" cy="333375"/>
            <wp:effectExtent l="0" t="0" r="0" b="0"/>
            <wp:docPr id="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38200" cy="3333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A5176" w:rsidRPr="00F01347" w14:paraId="0ECCAFB7" w14:textId="66E6767A" w:rsidTr="00EB7AE5">
        <w:tc>
          <w:tcPr>
            <w:tcW w:w="4675" w:type="dxa"/>
          </w:tcPr>
          <w:p w14:paraId="64B1A9D1" w14:textId="77777777" w:rsidR="008A5176" w:rsidRPr="00F01347" w:rsidRDefault="008A5176" w:rsidP="008A5176">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325C0854" w14:textId="030D1E06" w:rsidR="008A5176" w:rsidRPr="00F01347" w:rsidRDefault="008A5176" w:rsidP="008A5176">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8A5176" w:rsidRPr="00F01347" w14:paraId="3927BF9C" w14:textId="27626A81" w:rsidTr="00EB7AE5">
        <w:tc>
          <w:tcPr>
            <w:tcW w:w="4675" w:type="dxa"/>
          </w:tcPr>
          <w:p w14:paraId="5D7DAB76" w14:textId="77777777" w:rsidR="008A5176" w:rsidRPr="00F01347" w:rsidRDefault="008A5176" w:rsidP="008A5176">
            <w:pPr>
              <w:pStyle w:val="texto0"/>
              <w:ind w:firstLine="0"/>
              <w:rPr>
                <w:rFonts w:ascii="Verdana" w:hAnsi="Verdana"/>
                <w:sz w:val="16"/>
                <w:szCs w:val="16"/>
              </w:rPr>
            </w:pPr>
            <w:r w:rsidRPr="00F01347">
              <w:rPr>
                <w:rFonts w:ascii="Verdana" w:hAnsi="Verdana"/>
                <w:sz w:val="16"/>
                <w:szCs w:val="16"/>
              </w:rPr>
              <w:t>C</w:t>
            </w:r>
            <w:r w:rsidRPr="00F01347">
              <w:rPr>
                <w:rFonts w:ascii="Verdana" w:hAnsi="Verdana"/>
                <w:sz w:val="16"/>
                <w:szCs w:val="16"/>
              </w:rPr>
              <w:tab/>
              <w:t>concentración en mg/L</w:t>
            </w:r>
          </w:p>
        </w:tc>
        <w:tc>
          <w:tcPr>
            <w:tcW w:w="4675" w:type="dxa"/>
          </w:tcPr>
          <w:p w14:paraId="059CA265" w14:textId="294588A6" w:rsidR="008A5176" w:rsidRPr="00F01347" w:rsidRDefault="008A5176" w:rsidP="008A5176">
            <w:pPr>
              <w:pStyle w:val="texto0"/>
              <w:ind w:firstLine="0"/>
              <w:rPr>
                <w:rFonts w:ascii="Verdana" w:hAnsi="Verdana"/>
                <w:sz w:val="16"/>
                <w:szCs w:val="16"/>
                <w:lang w:val="en-US"/>
              </w:rPr>
            </w:pPr>
            <w:r w:rsidRPr="00F01347">
              <w:rPr>
                <w:rFonts w:ascii="Verdana" w:hAnsi="Verdana"/>
                <w:sz w:val="16"/>
                <w:szCs w:val="16"/>
                <w:lang w:val="en-US"/>
              </w:rPr>
              <w:t xml:space="preserve">C </w:t>
            </w:r>
            <w:r w:rsidRPr="00F01347">
              <w:rPr>
                <w:rFonts w:ascii="Verdana" w:hAnsi="Verdana"/>
                <w:sz w:val="16"/>
                <w:szCs w:val="16"/>
                <w:lang w:val="en-US"/>
              </w:rPr>
              <w:tab/>
              <w:t>concentration in mg/L</w:t>
            </w:r>
          </w:p>
        </w:tc>
      </w:tr>
      <w:tr w:rsidR="008A5176" w:rsidRPr="00F01347" w14:paraId="0F90CE1D" w14:textId="7AB57862" w:rsidTr="00EB7AE5">
        <w:tc>
          <w:tcPr>
            <w:tcW w:w="4675" w:type="dxa"/>
          </w:tcPr>
          <w:p w14:paraId="44EE932C" w14:textId="77777777" w:rsidR="008A5176" w:rsidRPr="00F01347" w:rsidRDefault="008A5176" w:rsidP="008A5176">
            <w:pPr>
              <w:pStyle w:val="texto0"/>
              <w:ind w:firstLine="0"/>
              <w:rPr>
                <w:rFonts w:ascii="Verdana" w:hAnsi="Verdana"/>
                <w:sz w:val="16"/>
                <w:szCs w:val="16"/>
              </w:rPr>
            </w:pPr>
            <w:r w:rsidRPr="00F01347">
              <w:rPr>
                <w:rFonts w:ascii="Verdana" w:hAnsi="Verdana"/>
                <w:sz w:val="16"/>
                <w:szCs w:val="16"/>
              </w:rPr>
              <w:t>AT</w:t>
            </w:r>
            <w:r w:rsidRPr="00F01347">
              <w:rPr>
                <w:rFonts w:ascii="Verdana" w:hAnsi="Verdana"/>
                <w:sz w:val="16"/>
                <w:szCs w:val="16"/>
              </w:rPr>
              <w:tab/>
              <w:t>área total en la ventana cuantitativa</w:t>
            </w:r>
          </w:p>
        </w:tc>
        <w:tc>
          <w:tcPr>
            <w:tcW w:w="4675" w:type="dxa"/>
          </w:tcPr>
          <w:p w14:paraId="1ED84E2D" w14:textId="6B98122F" w:rsidR="008A5176" w:rsidRPr="00F01347" w:rsidRDefault="008A5176" w:rsidP="008A5176">
            <w:pPr>
              <w:pStyle w:val="texto0"/>
              <w:ind w:firstLine="0"/>
              <w:rPr>
                <w:rFonts w:ascii="Verdana" w:hAnsi="Verdana"/>
                <w:sz w:val="16"/>
                <w:szCs w:val="16"/>
                <w:lang w:val="en-US"/>
              </w:rPr>
            </w:pPr>
            <w:r w:rsidRPr="00F01347">
              <w:rPr>
                <w:rFonts w:ascii="Verdana" w:hAnsi="Verdana"/>
                <w:sz w:val="16"/>
                <w:szCs w:val="16"/>
                <w:lang w:val="en-US"/>
              </w:rPr>
              <w:t xml:space="preserve">AT </w:t>
            </w:r>
            <w:r w:rsidRPr="00F01347">
              <w:rPr>
                <w:rFonts w:ascii="Verdana" w:hAnsi="Verdana"/>
                <w:sz w:val="16"/>
                <w:szCs w:val="16"/>
                <w:lang w:val="en-US"/>
              </w:rPr>
              <w:tab/>
              <w:t>total area in the quantitative window</w:t>
            </w:r>
          </w:p>
        </w:tc>
      </w:tr>
      <w:tr w:rsidR="008A5176" w:rsidRPr="00F01347" w14:paraId="49BA6B2D" w14:textId="1A3C4FE5" w:rsidTr="00EB7AE5">
        <w:tc>
          <w:tcPr>
            <w:tcW w:w="4675" w:type="dxa"/>
          </w:tcPr>
          <w:p w14:paraId="413FDAD1" w14:textId="77777777" w:rsidR="008A5176" w:rsidRPr="00F01347" w:rsidRDefault="008A5176" w:rsidP="008A5176">
            <w:pPr>
              <w:pStyle w:val="texto0"/>
              <w:ind w:firstLine="0"/>
              <w:rPr>
                <w:rFonts w:ascii="Verdana" w:hAnsi="Verdana"/>
                <w:sz w:val="16"/>
                <w:szCs w:val="16"/>
              </w:rPr>
            </w:pPr>
            <w:r w:rsidRPr="00F01347">
              <w:rPr>
                <w:rFonts w:ascii="Verdana" w:hAnsi="Verdana"/>
                <w:sz w:val="16"/>
                <w:szCs w:val="16"/>
              </w:rPr>
              <w:t>b</w:t>
            </w:r>
            <w:r w:rsidRPr="00F01347">
              <w:rPr>
                <w:rFonts w:ascii="Verdana" w:hAnsi="Verdana"/>
                <w:sz w:val="16"/>
                <w:szCs w:val="16"/>
              </w:rPr>
              <w:tab/>
              <w:t>ordenada al origen de la regresión lineal de la curva de calibración</w:t>
            </w:r>
          </w:p>
        </w:tc>
        <w:tc>
          <w:tcPr>
            <w:tcW w:w="4675" w:type="dxa"/>
          </w:tcPr>
          <w:p w14:paraId="16D1B75F" w14:textId="43FE89AA" w:rsidR="008A5176" w:rsidRPr="00F01347" w:rsidRDefault="008A5176" w:rsidP="008A5176">
            <w:pPr>
              <w:pStyle w:val="texto0"/>
              <w:ind w:firstLine="0"/>
              <w:rPr>
                <w:rFonts w:ascii="Verdana" w:hAnsi="Verdana"/>
                <w:sz w:val="16"/>
                <w:szCs w:val="16"/>
                <w:lang w:val="en-US"/>
              </w:rPr>
            </w:pPr>
            <w:r w:rsidRPr="00F01347">
              <w:rPr>
                <w:rFonts w:ascii="Verdana" w:hAnsi="Verdana"/>
                <w:sz w:val="16"/>
                <w:szCs w:val="16"/>
                <w:lang w:val="en-US"/>
              </w:rPr>
              <w:t xml:space="preserve">b </w:t>
            </w:r>
            <w:r w:rsidRPr="00F01347">
              <w:rPr>
                <w:rFonts w:ascii="Verdana" w:hAnsi="Verdana"/>
                <w:sz w:val="16"/>
                <w:szCs w:val="16"/>
                <w:lang w:val="en-US"/>
              </w:rPr>
              <w:tab/>
              <w:t>ordinate to the origin of the linear regression of the calibration curve</w:t>
            </w:r>
          </w:p>
        </w:tc>
      </w:tr>
      <w:tr w:rsidR="008A5176" w:rsidRPr="00F01347" w14:paraId="34D9EA32" w14:textId="78832920" w:rsidTr="00EB7AE5">
        <w:tc>
          <w:tcPr>
            <w:tcW w:w="4675" w:type="dxa"/>
          </w:tcPr>
          <w:p w14:paraId="0FAE82BB" w14:textId="77777777" w:rsidR="008A5176" w:rsidRPr="00F01347" w:rsidRDefault="008A5176" w:rsidP="008A5176">
            <w:pPr>
              <w:pStyle w:val="texto0"/>
              <w:ind w:firstLine="0"/>
              <w:rPr>
                <w:rFonts w:ascii="Verdana" w:hAnsi="Verdana"/>
                <w:sz w:val="16"/>
                <w:szCs w:val="16"/>
              </w:rPr>
            </w:pPr>
            <w:r w:rsidRPr="00F01347">
              <w:rPr>
                <w:rFonts w:ascii="Verdana" w:hAnsi="Verdana"/>
                <w:sz w:val="16"/>
                <w:szCs w:val="16"/>
              </w:rPr>
              <w:t>m</w:t>
            </w:r>
            <w:r w:rsidRPr="00F01347">
              <w:rPr>
                <w:rFonts w:ascii="Verdana" w:hAnsi="Verdana"/>
                <w:sz w:val="16"/>
                <w:szCs w:val="16"/>
              </w:rPr>
              <w:tab/>
              <w:t>pendiente de la regresión lineal de la curva de calibración</w:t>
            </w:r>
          </w:p>
        </w:tc>
        <w:tc>
          <w:tcPr>
            <w:tcW w:w="4675" w:type="dxa"/>
          </w:tcPr>
          <w:p w14:paraId="5ACDB0D3" w14:textId="16F40A83" w:rsidR="008A5176" w:rsidRPr="00F01347" w:rsidRDefault="008A5176" w:rsidP="008A5176">
            <w:pPr>
              <w:pStyle w:val="texto0"/>
              <w:ind w:firstLine="0"/>
              <w:rPr>
                <w:rFonts w:ascii="Verdana" w:hAnsi="Verdana"/>
                <w:sz w:val="16"/>
                <w:szCs w:val="16"/>
                <w:lang w:val="en-US"/>
              </w:rPr>
            </w:pPr>
            <w:r w:rsidRPr="00F01347">
              <w:rPr>
                <w:rFonts w:ascii="Verdana" w:hAnsi="Verdana"/>
                <w:sz w:val="16"/>
                <w:szCs w:val="16"/>
                <w:lang w:val="en-US"/>
              </w:rPr>
              <w:t xml:space="preserve">m </w:t>
            </w:r>
            <w:r w:rsidRPr="00F01347">
              <w:rPr>
                <w:rFonts w:ascii="Verdana" w:hAnsi="Verdana"/>
                <w:sz w:val="16"/>
                <w:szCs w:val="16"/>
                <w:lang w:val="en-US"/>
              </w:rPr>
              <w:tab/>
              <w:t>slope of the linear regression of the calibration curve</w:t>
            </w:r>
          </w:p>
        </w:tc>
      </w:tr>
      <w:tr w:rsidR="008A5176" w:rsidRPr="00F01347" w14:paraId="6A2B4EC3" w14:textId="6B59B9A1" w:rsidTr="00EB7AE5">
        <w:tc>
          <w:tcPr>
            <w:tcW w:w="4675" w:type="dxa"/>
          </w:tcPr>
          <w:p w14:paraId="26FA44BA" w14:textId="77777777" w:rsidR="008A5176" w:rsidRPr="00F01347" w:rsidRDefault="008A5176" w:rsidP="008A5176">
            <w:pPr>
              <w:pStyle w:val="texto0"/>
              <w:ind w:firstLine="0"/>
              <w:rPr>
                <w:rFonts w:ascii="Verdana" w:hAnsi="Verdana"/>
                <w:sz w:val="16"/>
                <w:szCs w:val="16"/>
              </w:rPr>
            </w:pPr>
            <w:r w:rsidRPr="00F01347">
              <w:rPr>
                <w:rFonts w:ascii="Verdana" w:hAnsi="Verdana"/>
                <w:sz w:val="16"/>
                <w:szCs w:val="16"/>
              </w:rPr>
              <w:t>Una vez calculada la ecuación anterior, la concentración para muestras de aguas se determinará en mg/L con la siguiente ecuación:</w:t>
            </w:r>
          </w:p>
        </w:tc>
        <w:tc>
          <w:tcPr>
            <w:tcW w:w="4675" w:type="dxa"/>
          </w:tcPr>
          <w:p w14:paraId="6C3347FA" w14:textId="2B440F92" w:rsidR="008A5176" w:rsidRPr="00F01347" w:rsidRDefault="008A5176" w:rsidP="008A5176">
            <w:pPr>
              <w:pStyle w:val="texto0"/>
              <w:ind w:firstLine="0"/>
              <w:rPr>
                <w:rFonts w:ascii="Verdana" w:hAnsi="Verdana"/>
                <w:sz w:val="16"/>
                <w:szCs w:val="16"/>
                <w:lang w:val="en-US"/>
              </w:rPr>
            </w:pPr>
            <w:r w:rsidRPr="00F01347">
              <w:rPr>
                <w:rFonts w:ascii="Verdana" w:hAnsi="Verdana"/>
                <w:sz w:val="16"/>
                <w:szCs w:val="16"/>
                <w:lang w:val="en-US"/>
              </w:rPr>
              <w:t>Once the previous equation has been calculated, the concentration for water samples will be determined in mg/L with the following equation:</w:t>
            </w:r>
          </w:p>
        </w:tc>
      </w:tr>
    </w:tbl>
    <w:p w14:paraId="7771DCEC" w14:textId="77777777" w:rsidR="00F16510" w:rsidRPr="00F01347" w:rsidRDefault="00F16510" w:rsidP="00EB7AE5">
      <w:pPr>
        <w:pStyle w:val="texto0"/>
        <w:spacing w:line="240" w:lineRule="auto"/>
        <w:ind w:left="630" w:firstLine="0"/>
        <w:jc w:val="center"/>
        <w:rPr>
          <w:rFonts w:ascii="Verdana" w:hAnsi="Verdana"/>
          <w:sz w:val="16"/>
          <w:szCs w:val="16"/>
        </w:rPr>
      </w:pPr>
    </w:p>
    <w:p w14:paraId="2329278B" w14:textId="77777777" w:rsidR="00F16510" w:rsidRPr="00F01347" w:rsidRDefault="00F16510" w:rsidP="00EB7AE5">
      <w:pPr>
        <w:pStyle w:val="texto0"/>
        <w:spacing w:line="240" w:lineRule="auto"/>
        <w:ind w:left="630" w:firstLine="0"/>
        <w:jc w:val="center"/>
        <w:rPr>
          <w:rFonts w:ascii="Verdana" w:hAnsi="Verdana"/>
          <w:sz w:val="16"/>
          <w:szCs w:val="16"/>
        </w:rPr>
      </w:pPr>
    </w:p>
    <w:p w14:paraId="090B8F09" w14:textId="77777777" w:rsidR="00F16510" w:rsidRPr="00F01347" w:rsidRDefault="00F16510" w:rsidP="00EB7AE5">
      <w:pPr>
        <w:pStyle w:val="texto0"/>
        <w:spacing w:line="240" w:lineRule="auto"/>
        <w:ind w:left="630" w:firstLine="0"/>
        <w:jc w:val="center"/>
        <w:rPr>
          <w:rFonts w:ascii="Verdana" w:hAnsi="Verdana"/>
          <w:sz w:val="16"/>
          <w:szCs w:val="16"/>
        </w:rPr>
      </w:pPr>
    </w:p>
    <w:p w14:paraId="20F617EE" w14:textId="1B7AF8DB" w:rsidR="00A74CDF" w:rsidRPr="00F01347" w:rsidRDefault="00471638" w:rsidP="00EB7AE5">
      <w:pPr>
        <w:pStyle w:val="texto0"/>
        <w:spacing w:line="240" w:lineRule="auto"/>
        <w:ind w:left="630" w:firstLine="0"/>
        <w:jc w:val="center"/>
        <w:rPr>
          <w:rFonts w:ascii="Verdana" w:hAnsi="Verdana"/>
          <w:sz w:val="16"/>
          <w:szCs w:val="16"/>
        </w:rPr>
      </w:pPr>
      <w:r w:rsidRPr="00F01347">
        <w:rPr>
          <w:rFonts w:ascii="Verdana" w:hAnsi="Verdana"/>
          <w:noProof/>
          <w:sz w:val="16"/>
          <w:szCs w:val="16"/>
        </w:rPr>
        <w:lastRenderedPageBreak/>
        <w:drawing>
          <wp:inline distT="0" distB="0" distL="0" distR="0" wp14:anchorId="582FF947" wp14:editId="46A8AB5F">
            <wp:extent cx="3076575" cy="333375"/>
            <wp:effectExtent l="0" t="0" r="0" b="0"/>
            <wp:docPr id="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076575" cy="333375"/>
                    </a:xfrm>
                    <a:prstGeom prst="rect">
                      <a:avLst/>
                    </a:prstGeom>
                    <a:noFill/>
                    <a:ln>
                      <a:noFill/>
                    </a:ln>
                  </pic:spPr>
                </pic:pic>
              </a:graphicData>
            </a:graphic>
          </wp:inline>
        </w:drawing>
      </w:r>
    </w:p>
    <w:p w14:paraId="701CF16F" w14:textId="2750C957" w:rsidR="00F16510" w:rsidRPr="00F01347" w:rsidRDefault="00F16510" w:rsidP="00EB7AE5">
      <w:pPr>
        <w:pStyle w:val="texto0"/>
        <w:spacing w:line="240" w:lineRule="auto"/>
        <w:ind w:left="630" w:firstLine="0"/>
        <w:jc w:val="center"/>
        <w:rPr>
          <w:rFonts w:ascii="Verdana" w:hAnsi="Verdana"/>
          <w:sz w:val="16"/>
          <w:szCs w:val="16"/>
        </w:rPr>
      </w:pPr>
      <w:r w:rsidRPr="00F01347">
        <w:rPr>
          <w:noProof/>
        </w:rPr>
        <w:drawing>
          <wp:inline distT="0" distB="0" distL="0" distR="0" wp14:anchorId="6148E6CB" wp14:editId="628AF4B7">
            <wp:extent cx="3243636" cy="509847"/>
            <wp:effectExtent l="0" t="0" r="0" b="5080"/>
            <wp:docPr id="3647478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747891" name="Picture 1" descr="A screenshot of a computer&#10;&#10;Description automatically generated"/>
                    <pic:cNvPicPr>
                      <a:picLocks noChangeAspect="1"/>
                    </pic:cNvPicPr>
                  </pic:nvPicPr>
                  <pic:blipFill rotWithShape="1">
                    <a:blip r:embed="rId108"/>
                    <a:srcRect l="28252" t="49562" r="45636" b="43143"/>
                    <a:stretch/>
                  </pic:blipFill>
                  <pic:spPr bwMode="auto">
                    <a:xfrm>
                      <a:off x="0" y="0"/>
                      <a:ext cx="3329416" cy="52333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071A2" w:rsidRPr="00F01347" w14:paraId="135D462F" w14:textId="63243966" w:rsidTr="00F16510">
        <w:tc>
          <w:tcPr>
            <w:tcW w:w="4675" w:type="dxa"/>
          </w:tcPr>
          <w:p w14:paraId="27195EF9" w14:textId="77777777" w:rsidR="004071A2" w:rsidRPr="00F01347" w:rsidRDefault="004071A2" w:rsidP="004071A2">
            <w:pPr>
              <w:pStyle w:val="texto0"/>
              <w:spacing w:after="80" w:line="218" w:lineRule="exact"/>
              <w:ind w:firstLine="0"/>
              <w:rPr>
                <w:rFonts w:ascii="Verdana" w:hAnsi="Verdana"/>
                <w:sz w:val="16"/>
                <w:szCs w:val="16"/>
              </w:rPr>
            </w:pPr>
            <w:r w:rsidRPr="00F01347">
              <w:rPr>
                <w:rFonts w:ascii="Verdana" w:hAnsi="Verdana"/>
                <w:sz w:val="16"/>
                <w:szCs w:val="16"/>
              </w:rPr>
              <w:t>En donde:</w:t>
            </w:r>
          </w:p>
        </w:tc>
        <w:tc>
          <w:tcPr>
            <w:tcW w:w="4675" w:type="dxa"/>
          </w:tcPr>
          <w:p w14:paraId="7FBAF5C9" w14:textId="09293BA8" w:rsidR="004071A2" w:rsidRPr="00F01347" w:rsidRDefault="004071A2" w:rsidP="004071A2">
            <w:pPr>
              <w:pStyle w:val="texto0"/>
              <w:spacing w:after="80" w:line="218" w:lineRule="exact"/>
              <w:ind w:firstLine="0"/>
              <w:rPr>
                <w:rFonts w:ascii="Verdana" w:hAnsi="Verdana"/>
                <w:sz w:val="16"/>
                <w:szCs w:val="16"/>
                <w:lang w:val="en-US"/>
              </w:rPr>
            </w:pPr>
            <w:r w:rsidRPr="00F01347">
              <w:rPr>
                <w:rFonts w:ascii="Verdana" w:hAnsi="Verdana"/>
                <w:sz w:val="16"/>
                <w:szCs w:val="16"/>
                <w:lang w:val="en-US"/>
              </w:rPr>
              <w:t>Where:</w:t>
            </w:r>
          </w:p>
        </w:tc>
      </w:tr>
      <w:tr w:rsidR="004071A2" w:rsidRPr="00F01347" w14:paraId="2BF2DD4F" w14:textId="1F313BD9" w:rsidTr="00F16510">
        <w:tc>
          <w:tcPr>
            <w:tcW w:w="4675" w:type="dxa"/>
          </w:tcPr>
          <w:p w14:paraId="7C5A36BD" w14:textId="77777777" w:rsidR="004071A2" w:rsidRPr="00F01347" w:rsidRDefault="004071A2" w:rsidP="004071A2">
            <w:pPr>
              <w:pStyle w:val="texto0"/>
              <w:spacing w:after="80" w:line="218" w:lineRule="exact"/>
              <w:ind w:firstLine="0"/>
              <w:rPr>
                <w:rFonts w:ascii="Verdana" w:hAnsi="Verdana"/>
                <w:sz w:val="16"/>
                <w:szCs w:val="16"/>
              </w:rPr>
            </w:pPr>
            <w:r w:rsidRPr="00F01347">
              <w:rPr>
                <w:rFonts w:ascii="Verdana" w:hAnsi="Verdana"/>
                <w:sz w:val="16"/>
                <w:szCs w:val="16"/>
              </w:rPr>
              <w:t>C</w:t>
            </w:r>
            <w:r w:rsidRPr="00F01347">
              <w:rPr>
                <w:rFonts w:ascii="Verdana" w:hAnsi="Verdana"/>
                <w:sz w:val="16"/>
                <w:szCs w:val="16"/>
              </w:rPr>
              <w:tab/>
              <w:t>concentración de la muestra en mg/L</w:t>
            </w:r>
          </w:p>
        </w:tc>
        <w:tc>
          <w:tcPr>
            <w:tcW w:w="4675" w:type="dxa"/>
          </w:tcPr>
          <w:p w14:paraId="3ED1C9C6" w14:textId="0DE2477E" w:rsidR="004071A2" w:rsidRPr="00F01347" w:rsidRDefault="004071A2" w:rsidP="004071A2">
            <w:pPr>
              <w:pStyle w:val="texto0"/>
              <w:spacing w:after="80" w:line="218" w:lineRule="exact"/>
              <w:ind w:firstLine="0"/>
              <w:rPr>
                <w:rFonts w:ascii="Verdana" w:hAnsi="Verdana"/>
                <w:sz w:val="16"/>
                <w:szCs w:val="16"/>
                <w:lang w:val="en-US"/>
              </w:rPr>
            </w:pPr>
            <w:r w:rsidRPr="00F01347">
              <w:rPr>
                <w:rFonts w:ascii="Verdana" w:hAnsi="Verdana"/>
                <w:sz w:val="16"/>
                <w:szCs w:val="16"/>
                <w:lang w:val="en-US"/>
              </w:rPr>
              <w:t xml:space="preserve">C </w:t>
            </w:r>
            <w:r w:rsidRPr="00F01347">
              <w:rPr>
                <w:rFonts w:ascii="Verdana" w:hAnsi="Verdana"/>
                <w:sz w:val="16"/>
                <w:szCs w:val="16"/>
                <w:lang w:val="en-US"/>
              </w:rPr>
              <w:tab/>
              <w:t>sample concentration in mg/L</w:t>
            </w:r>
          </w:p>
        </w:tc>
      </w:tr>
      <w:tr w:rsidR="004071A2" w:rsidRPr="00F01347" w14:paraId="4B859DAC" w14:textId="6238556A" w:rsidTr="00F16510">
        <w:tc>
          <w:tcPr>
            <w:tcW w:w="4675" w:type="dxa"/>
          </w:tcPr>
          <w:p w14:paraId="1F20E1DD" w14:textId="77777777" w:rsidR="004071A2" w:rsidRPr="00F01347" w:rsidRDefault="004071A2" w:rsidP="004071A2">
            <w:pPr>
              <w:pStyle w:val="texto0"/>
              <w:spacing w:after="80" w:line="218" w:lineRule="exact"/>
              <w:ind w:firstLine="0"/>
              <w:rPr>
                <w:rFonts w:ascii="Verdana" w:hAnsi="Verdana"/>
                <w:sz w:val="16"/>
                <w:szCs w:val="16"/>
              </w:rPr>
            </w:pPr>
            <w:r w:rsidRPr="00F01347">
              <w:rPr>
                <w:rFonts w:ascii="Verdana" w:hAnsi="Verdana"/>
                <w:sz w:val="16"/>
                <w:szCs w:val="16"/>
              </w:rPr>
              <w:t>A</w:t>
            </w:r>
            <w:r w:rsidRPr="00F01347">
              <w:rPr>
                <w:rFonts w:ascii="Verdana" w:hAnsi="Verdana"/>
                <w:sz w:val="16"/>
                <w:szCs w:val="16"/>
              </w:rPr>
              <w:tab/>
              <w:t>volumen de aforo o volumen de concentración final del extracto en L</w:t>
            </w:r>
          </w:p>
        </w:tc>
        <w:tc>
          <w:tcPr>
            <w:tcW w:w="4675" w:type="dxa"/>
          </w:tcPr>
          <w:p w14:paraId="2631ACEF" w14:textId="05B7757D" w:rsidR="004071A2" w:rsidRPr="00F01347" w:rsidRDefault="004071A2" w:rsidP="004071A2">
            <w:pPr>
              <w:pStyle w:val="texto0"/>
              <w:spacing w:after="80" w:line="218" w:lineRule="exact"/>
              <w:ind w:firstLine="0"/>
              <w:rPr>
                <w:rFonts w:ascii="Verdana" w:hAnsi="Verdana"/>
                <w:sz w:val="16"/>
                <w:szCs w:val="16"/>
                <w:lang w:val="en-US"/>
              </w:rPr>
            </w:pPr>
            <w:r w:rsidRPr="00F01347">
              <w:rPr>
                <w:rFonts w:ascii="Verdana" w:hAnsi="Verdana"/>
                <w:sz w:val="16"/>
                <w:szCs w:val="16"/>
                <w:lang w:val="en-US"/>
              </w:rPr>
              <w:t xml:space="preserve">A </w:t>
            </w:r>
            <w:r w:rsidRPr="00F01347">
              <w:rPr>
                <w:rFonts w:ascii="Verdana" w:hAnsi="Verdana"/>
                <w:sz w:val="16"/>
                <w:szCs w:val="16"/>
                <w:lang w:val="en-US"/>
              </w:rPr>
              <w:tab/>
              <w:t>capacity volume or final concentration volume of the extract in L</w:t>
            </w:r>
          </w:p>
        </w:tc>
      </w:tr>
      <w:tr w:rsidR="004071A2" w:rsidRPr="00F01347" w14:paraId="4750EB39" w14:textId="626F0083" w:rsidTr="00F16510">
        <w:tc>
          <w:tcPr>
            <w:tcW w:w="4675" w:type="dxa"/>
          </w:tcPr>
          <w:p w14:paraId="5FFEA6C6" w14:textId="77777777" w:rsidR="004071A2" w:rsidRPr="00F01347" w:rsidRDefault="004071A2" w:rsidP="004071A2">
            <w:pPr>
              <w:pStyle w:val="texto0"/>
              <w:spacing w:after="80" w:line="218" w:lineRule="exact"/>
              <w:ind w:firstLine="0"/>
              <w:rPr>
                <w:rFonts w:ascii="Verdana" w:hAnsi="Verdana"/>
                <w:sz w:val="16"/>
                <w:szCs w:val="16"/>
              </w:rPr>
            </w:pPr>
            <w:r w:rsidRPr="00F01347">
              <w:rPr>
                <w:rFonts w:ascii="Verdana" w:hAnsi="Verdana"/>
                <w:sz w:val="16"/>
                <w:szCs w:val="16"/>
              </w:rPr>
              <w:t>D</w:t>
            </w:r>
            <w:r w:rsidRPr="00F01347">
              <w:rPr>
                <w:rFonts w:ascii="Verdana" w:hAnsi="Verdana"/>
                <w:sz w:val="16"/>
                <w:szCs w:val="16"/>
              </w:rPr>
              <w:tab/>
              <w:t>factor de dilución del extracto</w:t>
            </w:r>
          </w:p>
        </w:tc>
        <w:tc>
          <w:tcPr>
            <w:tcW w:w="4675" w:type="dxa"/>
          </w:tcPr>
          <w:p w14:paraId="5773901C" w14:textId="15C7B1A5" w:rsidR="004071A2" w:rsidRPr="00F01347" w:rsidRDefault="004071A2" w:rsidP="004071A2">
            <w:pPr>
              <w:pStyle w:val="texto0"/>
              <w:spacing w:after="80" w:line="218" w:lineRule="exact"/>
              <w:ind w:firstLine="0"/>
              <w:rPr>
                <w:rFonts w:ascii="Verdana" w:hAnsi="Verdana"/>
                <w:sz w:val="16"/>
                <w:szCs w:val="16"/>
                <w:lang w:val="en-US"/>
              </w:rPr>
            </w:pPr>
            <w:r w:rsidRPr="00F01347">
              <w:rPr>
                <w:rFonts w:ascii="Verdana" w:hAnsi="Verdana"/>
                <w:sz w:val="16"/>
                <w:szCs w:val="16"/>
                <w:lang w:val="en-US"/>
              </w:rPr>
              <w:t xml:space="preserve">D </w:t>
            </w:r>
            <w:r w:rsidRPr="00F01347">
              <w:rPr>
                <w:rFonts w:ascii="Verdana" w:hAnsi="Verdana"/>
                <w:sz w:val="16"/>
                <w:szCs w:val="16"/>
                <w:lang w:val="en-US"/>
              </w:rPr>
              <w:tab/>
              <w:t>extract dilution factor</w:t>
            </w:r>
          </w:p>
        </w:tc>
      </w:tr>
      <w:tr w:rsidR="004071A2" w:rsidRPr="00F01347" w14:paraId="2DB5BB54" w14:textId="35CD0CB7" w:rsidTr="00F16510">
        <w:tc>
          <w:tcPr>
            <w:tcW w:w="4675" w:type="dxa"/>
          </w:tcPr>
          <w:p w14:paraId="065CB5C3" w14:textId="77777777" w:rsidR="004071A2" w:rsidRPr="00F01347" w:rsidRDefault="004071A2" w:rsidP="004071A2">
            <w:pPr>
              <w:pStyle w:val="texto0"/>
              <w:spacing w:after="80" w:line="218" w:lineRule="exact"/>
              <w:ind w:firstLine="0"/>
              <w:rPr>
                <w:rFonts w:ascii="Verdana" w:hAnsi="Verdana"/>
                <w:sz w:val="16"/>
                <w:szCs w:val="16"/>
              </w:rPr>
            </w:pPr>
            <w:r w:rsidRPr="00F01347">
              <w:rPr>
                <w:rFonts w:ascii="Verdana" w:hAnsi="Verdana"/>
                <w:sz w:val="16"/>
                <w:szCs w:val="16"/>
              </w:rPr>
              <w:t>M</w:t>
            </w:r>
            <w:r w:rsidRPr="00F01347">
              <w:rPr>
                <w:rFonts w:ascii="Verdana" w:hAnsi="Verdana"/>
                <w:sz w:val="16"/>
                <w:szCs w:val="16"/>
              </w:rPr>
              <w:tab/>
              <w:t>volumen de la muestra extraída en L</w:t>
            </w:r>
          </w:p>
        </w:tc>
        <w:tc>
          <w:tcPr>
            <w:tcW w:w="4675" w:type="dxa"/>
          </w:tcPr>
          <w:p w14:paraId="166D8759" w14:textId="28F6D372" w:rsidR="004071A2" w:rsidRPr="00F01347" w:rsidRDefault="004071A2" w:rsidP="004071A2">
            <w:pPr>
              <w:pStyle w:val="texto0"/>
              <w:spacing w:after="80" w:line="218" w:lineRule="exact"/>
              <w:ind w:firstLine="0"/>
              <w:rPr>
                <w:rFonts w:ascii="Verdana" w:hAnsi="Verdana"/>
                <w:sz w:val="16"/>
                <w:szCs w:val="16"/>
                <w:lang w:val="en-US"/>
              </w:rPr>
            </w:pPr>
            <w:r w:rsidRPr="00F01347">
              <w:rPr>
                <w:rFonts w:ascii="Verdana" w:hAnsi="Verdana"/>
                <w:sz w:val="16"/>
                <w:szCs w:val="16"/>
                <w:lang w:val="en-US"/>
              </w:rPr>
              <w:t xml:space="preserve">M </w:t>
            </w:r>
            <w:r w:rsidRPr="00F01347">
              <w:rPr>
                <w:rFonts w:ascii="Verdana" w:hAnsi="Verdana"/>
                <w:sz w:val="16"/>
                <w:szCs w:val="16"/>
                <w:lang w:val="en-US"/>
              </w:rPr>
              <w:tab/>
              <w:t>volume of the sample extracted in L</w:t>
            </w:r>
          </w:p>
        </w:tc>
      </w:tr>
      <w:tr w:rsidR="004071A2" w:rsidRPr="00F01347" w14:paraId="4C4CC806" w14:textId="6B66AE35" w:rsidTr="00F16510">
        <w:tc>
          <w:tcPr>
            <w:tcW w:w="4675" w:type="dxa"/>
          </w:tcPr>
          <w:p w14:paraId="2FE055EA" w14:textId="77777777" w:rsidR="004071A2" w:rsidRPr="00F01347" w:rsidRDefault="004071A2" w:rsidP="004071A2">
            <w:pPr>
              <w:pStyle w:val="texto0"/>
              <w:spacing w:after="80" w:line="218" w:lineRule="exact"/>
              <w:ind w:firstLine="0"/>
              <w:rPr>
                <w:rFonts w:ascii="Verdana" w:hAnsi="Verdana"/>
                <w:b/>
                <w:sz w:val="16"/>
                <w:szCs w:val="16"/>
              </w:rPr>
            </w:pPr>
            <w:r w:rsidRPr="00F01347">
              <w:rPr>
                <w:rFonts w:ascii="Verdana" w:hAnsi="Verdana"/>
                <w:b/>
                <w:sz w:val="16"/>
                <w:szCs w:val="16"/>
              </w:rPr>
              <w:t>B.13.6.5 Informe de prueba</w:t>
            </w:r>
          </w:p>
        </w:tc>
        <w:tc>
          <w:tcPr>
            <w:tcW w:w="4675" w:type="dxa"/>
          </w:tcPr>
          <w:p w14:paraId="5D360BCC" w14:textId="201A815A" w:rsidR="004071A2" w:rsidRPr="00F01347" w:rsidRDefault="004071A2" w:rsidP="004071A2">
            <w:pPr>
              <w:pStyle w:val="texto0"/>
              <w:spacing w:after="80" w:line="218" w:lineRule="exact"/>
              <w:ind w:firstLine="0"/>
              <w:rPr>
                <w:rFonts w:ascii="Verdana" w:hAnsi="Verdana"/>
                <w:b/>
                <w:sz w:val="16"/>
                <w:szCs w:val="16"/>
                <w:lang w:val="en-US"/>
              </w:rPr>
            </w:pPr>
            <w:r w:rsidRPr="00F01347">
              <w:rPr>
                <w:rFonts w:ascii="Verdana" w:hAnsi="Verdana"/>
                <w:b/>
                <w:sz w:val="16"/>
                <w:szCs w:val="16"/>
                <w:lang w:val="en-US"/>
              </w:rPr>
              <w:t>B.13.6.5 Test report</w:t>
            </w:r>
          </w:p>
        </w:tc>
      </w:tr>
      <w:tr w:rsidR="004071A2" w:rsidRPr="00F01347" w14:paraId="4C7FB6D4" w14:textId="1A47B044" w:rsidTr="00F16510">
        <w:tc>
          <w:tcPr>
            <w:tcW w:w="4675" w:type="dxa"/>
          </w:tcPr>
          <w:p w14:paraId="38A27C1A" w14:textId="77777777" w:rsidR="004071A2" w:rsidRPr="00F01347" w:rsidRDefault="004071A2" w:rsidP="004071A2">
            <w:pPr>
              <w:pStyle w:val="texto0"/>
              <w:spacing w:after="80" w:line="218" w:lineRule="exact"/>
              <w:ind w:firstLine="0"/>
              <w:rPr>
                <w:rFonts w:ascii="Verdana" w:hAnsi="Verdana"/>
                <w:sz w:val="16"/>
                <w:szCs w:val="16"/>
              </w:rPr>
            </w:pPr>
            <w:r w:rsidRPr="00F01347">
              <w:rPr>
                <w:rFonts w:ascii="Verdana" w:hAnsi="Verdana"/>
                <w:sz w:val="16"/>
                <w:szCs w:val="16"/>
              </w:rPr>
              <w:t>Reportar los compuestos orgánicos no halogenados (CONH) en mg/L con tres cifras decimales, el cual es la suma de los compuestos hidrocarburos C</w:t>
            </w:r>
            <w:r w:rsidRPr="00F01347">
              <w:rPr>
                <w:rFonts w:ascii="Verdana" w:hAnsi="Verdana"/>
                <w:sz w:val="16"/>
                <w:szCs w:val="16"/>
                <w:vertAlign w:val="subscript"/>
              </w:rPr>
              <w:t>10</w:t>
            </w:r>
            <w:r w:rsidRPr="00F01347">
              <w:rPr>
                <w:rFonts w:ascii="Verdana" w:hAnsi="Verdana"/>
                <w:sz w:val="16"/>
                <w:szCs w:val="16"/>
              </w:rPr>
              <w:t>, C</w:t>
            </w:r>
            <w:r w:rsidRPr="00F01347">
              <w:rPr>
                <w:rFonts w:ascii="Verdana" w:hAnsi="Verdana"/>
                <w:sz w:val="16"/>
                <w:szCs w:val="16"/>
                <w:vertAlign w:val="subscript"/>
              </w:rPr>
              <w:t>12</w:t>
            </w:r>
            <w:r w:rsidRPr="00F01347">
              <w:rPr>
                <w:rFonts w:ascii="Verdana" w:hAnsi="Verdana"/>
                <w:sz w:val="16"/>
                <w:szCs w:val="16"/>
              </w:rPr>
              <w:t>, C</w:t>
            </w:r>
            <w:r w:rsidRPr="00F01347">
              <w:rPr>
                <w:rFonts w:ascii="Verdana" w:hAnsi="Verdana"/>
                <w:sz w:val="16"/>
                <w:szCs w:val="16"/>
                <w:vertAlign w:val="subscript"/>
              </w:rPr>
              <w:t>14</w:t>
            </w:r>
            <w:r w:rsidRPr="00F01347">
              <w:rPr>
                <w:rFonts w:ascii="Verdana" w:hAnsi="Verdana"/>
                <w:sz w:val="16"/>
                <w:szCs w:val="16"/>
              </w:rPr>
              <w:t>, C</w:t>
            </w:r>
            <w:r w:rsidRPr="00F01347">
              <w:rPr>
                <w:rFonts w:ascii="Verdana" w:hAnsi="Verdana"/>
                <w:sz w:val="16"/>
                <w:szCs w:val="16"/>
                <w:vertAlign w:val="subscript"/>
              </w:rPr>
              <w:t>16</w:t>
            </w:r>
            <w:r w:rsidRPr="00F01347">
              <w:rPr>
                <w:rFonts w:ascii="Verdana" w:hAnsi="Verdana"/>
                <w:sz w:val="16"/>
                <w:szCs w:val="16"/>
              </w:rPr>
              <w:t>, C</w:t>
            </w:r>
            <w:r w:rsidRPr="00F01347">
              <w:rPr>
                <w:rFonts w:ascii="Verdana" w:hAnsi="Verdana"/>
                <w:sz w:val="16"/>
                <w:szCs w:val="16"/>
                <w:vertAlign w:val="subscript"/>
              </w:rPr>
              <w:t>18</w:t>
            </w:r>
            <w:r w:rsidRPr="00F01347">
              <w:rPr>
                <w:rFonts w:ascii="Verdana" w:hAnsi="Verdana"/>
                <w:sz w:val="16"/>
                <w:szCs w:val="16"/>
              </w:rPr>
              <w:t>, C</w:t>
            </w:r>
            <w:r w:rsidRPr="00F01347">
              <w:rPr>
                <w:rFonts w:ascii="Verdana" w:hAnsi="Verdana"/>
                <w:sz w:val="16"/>
                <w:szCs w:val="16"/>
                <w:vertAlign w:val="subscript"/>
              </w:rPr>
              <w:t>20</w:t>
            </w:r>
            <w:r w:rsidRPr="00F01347">
              <w:rPr>
                <w:rFonts w:ascii="Verdana" w:hAnsi="Verdana"/>
                <w:sz w:val="16"/>
                <w:szCs w:val="16"/>
              </w:rPr>
              <w:t>, C</w:t>
            </w:r>
            <w:r w:rsidRPr="00F01347">
              <w:rPr>
                <w:rFonts w:ascii="Verdana" w:hAnsi="Verdana"/>
                <w:sz w:val="16"/>
                <w:szCs w:val="16"/>
                <w:vertAlign w:val="subscript"/>
              </w:rPr>
              <w:t>22</w:t>
            </w:r>
            <w:r w:rsidRPr="00F01347">
              <w:rPr>
                <w:rFonts w:ascii="Verdana" w:hAnsi="Verdana"/>
                <w:sz w:val="16"/>
                <w:szCs w:val="16"/>
              </w:rPr>
              <w:t>, C</w:t>
            </w:r>
            <w:r w:rsidRPr="00F01347">
              <w:rPr>
                <w:rFonts w:ascii="Verdana" w:hAnsi="Verdana"/>
                <w:sz w:val="16"/>
                <w:szCs w:val="16"/>
                <w:vertAlign w:val="subscript"/>
              </w:rPr>
              <w:t>24</w:t>
            </w:r>
            <w:r w:rsidRPr="00F01347">
              <w:rPr>
                <w:rFonts w:ascii="Verdana" w:hAnsi="Verdana"/>
                <w:sz w:val="16"/>
                <w:szCs w:val="16"/>
              </w:rPr>
              <w:t>, C</w:t>
            </w:r>
            <w:r w:rsidRPr="00F01347">
              <w:rPr>
                <w:rFonts w:ascii="Verdana" w:hAnsi="Verdana"/>
                <w:sz w:val="16"/>
                <w:szCs w:val="16"/>
                <w:vertAlign w:val="subscript"/>
              </w:rPr>
              <w:t>26</w:t>
            </w:r>
            <w:r w:rsidRPr="00F01347">
              <w:rPr>
                <w:rFonts w:ascii="Verdana" w:hAnsi="Verdana"/>
                <w:sz w:val="16"/>
                <w:szCs w:val="16"/>
              </w:rPr>
              <w:t xml:space="preserve"> y C</w:t>
            </w:r>
            <w:r w:rsidRPr="00F01347">
              <w:rPr>
                <w:rFonts w:ascii="Verdana" w:hAnsi="Verdana"/>
                <w:sz w:val="16"/>
                <w:szCs w:val="16"/>
                <w:vertAlign w:val="subscript"/>
              </w:rPr>
              <w:t>28</w:t>
            </w:r>
            <w:r w:rsidRPr="00F01347">
              <w:rPr>
                <w:rFonts w:ascii="Verdana" w:hAnsi="Verdana"/>
                <w:sz w:val="16"/>
                <w:szCs w:val="16"/>
              </w:rPr>
              <w:t>.</w:t>
            </w:r>
          </w:p>
        </w:tc>
        <w:tc>
          <w:tcPr>
            <w:tcW w:w="4675" w:type="dxa"/>
          </w:tcPr>
          <w:p w14:paraId="4B41D035" w14:textId="3D102088" w:rsidR="004071A2" w:rsidRPr="00F01347" w:rsidRDefault="004071A2" w:rsidP="004071A2">
            <w:pPr>
              <w:pStyle w:val="texto0"/>
              <w:spacing w:after="80" w:line="218" w:lineRule="exact"/>
              <w:ind w:firstLine="0"/>
              <w:rPr>
                <w:rFonts w:ascii="Verdana" w:hAnsi="Verdana"/>
                <w:sz w:val="16"/>
                <w:szCs w:val="16"/>
                <w:lang w:val="en-US"/>
              </w:rPr>
            </w:pPr>
            <w:r w:rsidRPr="00F01347">
              <w:rPr>
                <w:rFonts w:ascii="Verdana" w:hAnsi="Verdana"/>
                <w:sz w:val="16"/>
                <w:szCs w:val="16"/>
                <w:lang w:val="en-US"/>
              </w:rPr>
              <w:t xml:space="preserve">Report non-halogenated organic compounds (CONH) in mg/L with three decimal places, which is the sum of the hydrocarbon compounds </w:t>
            </w:r>
            <w:r w:rsidR="00F16510" w:rsidRPr="00F01347">
              <w:rPr>
                <w:rFonts w:ascii="Verdana" w:hAnsi="Verdana"/>
                <w:sz w:val="16"/>
                <w:szCs w:val="16"/>
                <w:lang w:val="en-US"/>
              </w:rPr>
              <w:t>C</w:t>
            </w:r>
            <w:r w:rsidR="00F16510" w:rsidRPr="00F01347">
              <w:rPr>
                <w:rFonts w:ascii="Verdana" w:hAnsi="Verdana"/>
                <w:sz w:val="16"/>
                <w:szCs w:val="16"/>
                <w:vertAlign w:val="subscript"/>
                <w:lang w:val="en-US"/>
              </w:rPr>
              <w:t>10</w:t>
            </w:r>
            <w:r w:rsidR="00F16510" w:rsidRPr="00F01347">
              <w:rPr>
                <w:rFonts w:ascii="Verdana" w:hAnsi="Verdana"/>
                <w:sz w:val="16"/>
                <w:szCs w:val="16"/>
                <w:lang w:val="en-US"/>
              </w:rPr>
              <w:t>, C</w:t>
            </w:r>
            <w:r w:rsidR="00F16510" w:rsidRPr="00F01347">
              <w:rPr>
                <w:rFonts w:ascii="Verdana" w:hAnsi="Verdana"/>
                <w:sz w:val="16"/>
                <w:szCs w:val="16"/>
                <w:vertAlign w:val="subscript"/>
                <w:lang w:val="en-US"/>
              </w:rPr>
              <w:t>12</w:t>
            </w:r>
            <w:r w:rsidR="00F16510" w:rsidRPr="00F01347">
              <w:rPr>
                <w:rFonts w:ascii="Verdana" w:hAnsi="Verdana"/>
                <w:sz w:val="16"/>
                <w:szCs w:val="16"/>
                <w:lang w:val="en-US"/>
              </w:rPr>
              <w:t>, C</w:t>
            </w:r>
            <w:r w:rsidR="00F16510" w:rsidRPr="00F01347">
              <w:rPr>
                <w:rFonts w:ascii="Verdana" w:hAnsi="Verdana"/>
                <w:sz w:val="16"/>
                <w:szCs w:val="16"/>
                <w:vertAlign w:val="subscript"/>
                <w:lang w:val="en-US"/>
              </w:rPr>
              <w:t>14</w:t>
            </w:r>
            <w:r w:rsidR="00F16510" w:rsidRPr="00F01347">
              <w:rPr>
                <w:rFonts w:ascii="Verdana" w:hAnsi="Verdana"/>
                <w:sz w:val="16"/>
                <w:szCs w:val="16"/>
                <w:lang w:val="en-US"/>
              </w:rPr>
              <w:t>, C</w:t>
            </w:r>
            <w:r w:rsidR="00F16510" w:rsidRPr="00F01347">
              <w:rPr>
                <w:rFonts w:ascii="Verdana" w:hAnsi="Verdana"/>
                <w:sz w:val="16"/>
                <w:szCs w:val="16"/>
                <w:vertAlign w:val="subscript"/>
                <w:lang w:val="en-US"/>
              </w:rPr>
              <w:t>16</w:t>
            </w:r>
            <w:r w:rsidR="00F16510" w:rsidRPr="00F01347">
              <w:rPr>
                <w:rFonts w:ascii="Verdana" w:hAnsi="Verdana"/>
                <w:sz w:val="16"/>
                <w:szCs w:val="16"/>
                <w:lang w:val="en-US"/>
              </w:rPr>
              <w:t>, C</w:t>
            </w:r>
            <w:r w:rsidR="00F16510" w:rsidRPr="00F01347">
              <w:rPr>
                <w:rFonts w:ascii="Verdana" w:hAnsi="Verdana"/>
                <w:sz w:val="16"/>
                <w:szCs w:val="16"/>
                <w:vertAlign w:val="subscript"/>
                <w:lang w:val="en-US"/>
              </w:rPr>
              <w:t>18</w:t>
            </w:r>
            <w:r w:rsidR="00F16510" w:rsidRPr="00F01347">
              <w:rPr>
                <w:rFonts w:ascii="Verdana" w:hAnsi="Verdana"/>
                <w:sz w:val="16"/>
                <w:szCs w:val="16"/>
                <w:lang w:val="en-US"/>
              </w:rPr>
              <w:t>, C</w:t>
            </w:r>
            <w:r w:rsidR="00F16510" w:rsidRPr="00F01347">
              <w:rPr>
                <w:rFonts w:ascii="Verdana" w:hAnsi="Verdana"/>
                <w:sz w:val="16"/>
                <w:szCs w:val="16"/>
                <w:vertAlign w:val="subscript"/>
                <w:lang w:val="en-US"/>
              </w:rPr>
              <w:t>20</w:t>
            </w:r>
            <w:r w:rsidR="00F16510" w:rsidRPr="00F01347">
              <w:rPr>
                <w:rFonts w:ascii="Verdana" w:hAnsi="Verdana"/>
                <w:sz w:val="16"/>
                <w:szCs w:val="16"/>
                <w:lang w:val="en-US"/>
              </w:rPr>
              <w:t>, C</w:t>
            </w:r>
            <w:r w:rsidR="00F16510" w:rsidRPr="00F01347">
              <w:rPr>
                <w:rFonts w:ascii="Verdana" w:hAnsi="Verdana"/>
                <w:sz w:val="16"/>
                <w:szCs w:val="16"/>
                <w:vertAlign w:val="subscript"/>
                <w:lang w:val="en-US"/>
              </w:rPr>
              <w:t>22</w:t>
            </w:r>
            <w:r w:rsidR="00F16510" w:rsidRPr="00F01347">
              <w:rPr>
                <w:rFonts w:ascii="Verdana" w:hAnsi="Verdana"/>
                <w:sz w:val="16"/>
                <w:szCs w:val="16"/>
                <w:lang w:val="en-US"/>
              </w:rPr>
              <w:t>, C</w:t>
            </w:r>
            <w:r w:rsidR="00F16510" w:rsidRPr="00F01347">
              <w:rPr>
                <w:rFonts w:ascii="Verdana" w:hAnsi="Verdana"/>
                <w:sz w:val="16"/>
                <w:szCs w:val="16"/>
                <w:vertAlign w:val="subscript"/>
                <w:lang w:val="en-US"/>
              </w:rPr>
              <w:t>24</w:t>
            </w:r>
            <w:r w:rsidR="00F16510" w:rsidRPr="00F01347">
              <w:rPr>
                <w:rFonts w:ascii="Verdana" w:hAnsi="Verdana"/>
                <w:sz w:val="16"/>
                <w:szCs w:val="16"/>
                <w:lang w:val="en-US"/>
              </w:rPr>
              <w:t>, C</w:t>
            </w:r>
            <w:r w:rsidR="00F16510" w:rsidRPr="00F01347">
              <w:rPr>
                <w:rFonts w:ascii="Verdana" w:hAnsi="Verdana"/>
                <w:sz w:val="16"/>
                <w:szCs w:val="16"/>
                <w:vertAlign w:val="subscript"/>
                <w:lang w:val="en-US"/>
              </w:rPr>
              <w:t>26</w:t>
            </w:r>
            <w:r w:rsidR="00F16510" w:rsidRPr="00F01347">
              <w:rPr>
                <w:rFonts w:ascii="Verdana" w:hAnsi="Verdana"/>
                <w:sz w:val="16"/>
                <w:szCs w:val="16"/>
                <w:lang w:val="en-US"/>
              </w:rPr>
              <w:t xml:space="preserve"> </w:t>
            </w:r>
            <w:r w:rsidR="00577931" w:rsidRPr="00F01347">
              <w:rPr>
                <w:rFonts w:ascii="Verdana" w:hAnsi="Verdana"/>
                <w:sz w:val="16"/>
                <w:szCs w:val="16"/>
                <w:lang w:val="en-US"/>
              </w:rPr>
              <w:t>and</w:t>
            </w:r>
            <w:r w:rsidR="00F16510" w:rsidRPr="00F01347">
              <w:rPr>
                <w:rFonts w:ascii="Verdana" w:hAnsi="Verdana"/>
                <w:sz w:val="16"/>
                <w:szCs w:val="16"/>
                <w:lang w:val="en-US"/>
              </w:rPr>
              <w:t xml:space="preserve"> C</w:t>
            </w:r>
            <w:r w:rsidR="00F16510" w:rsidRPr="00F01347">
              <w:rPr>
                <w:rFonts w:ascii="Verdana" w:hAnsi="Verdana"/>
                <w:sz w:val="16"/>
                <w:szCs w:val="16"/>
                <w:vertAlign w:val="subscript"/>
                <w:lang w:val="en-US"/>
              </w:rPr>
              <w:t>28</w:t>
            </w:r>
            <w:r w:rsidR="00F16510" w:rsidRPr="00F01347">
              <w:rPr>
                <w:rFonts w:ascii="Verdana" w:hAnsi="Verdana"/>
                <w:sz w:val="16"/>
                <w:szCs w:val="16"/>
                <w:lang w:val="en-US"/>
              </w:rPr>
              <w:t>.</w:t>
            </w:r>
          </w:p>
        </w:tc>
      </w:tr>
      <w:tr w:rsidR="004071A2" w:rsidRPr="00F01347" w14:paraId="3EA0220A" w14:textId="1757B5C1" w:rsidTr="00F16510">
        <w:tc>
          <w:tcPr>
            <w:tcW w:w="4675" w:type="dxa"/>
          </w:tcPr>
          <w:p w14:paraId="5A95C47F" w14:textId="77777777" w:rsidR="004071A2" w:rsidRPr="00F01347" w:rsidRDefault="004071A2" w:rsidP="004071A2">
            <w:pPr>
              <w:pStyle w:val="texto0"/>
              <w:spacing w:after="80" w:line="218" w:lineRule="exact"/>
              <w:ind w:firstLine="0"/>
              <w:rPr>
                <w:rFonts w:ascii="Verdana" w:hAnsi="Verdana"/>
                <w:b/>
                <w:sz w:val="16"/>
                <w:szCs w:val="16"/>
              </w:rPr>
            </w:pPr>
            <w:r w:rsidRPr="00F01347">
              <w:rPr>
                <w:rFonts w:ascii="Verdana" w:hAnsi="Verdana"/>
                <w:b/>
                <w:sz w:val="16"/>
                <w:szCs w:val="16"/>
              </w:rPr>
              <w:t>B.13.7 Control de calidad, especificaciones de aceptación y rechazo, calibración e interferencias</w:t>
            </w:r>
          </w:p>
        </w:tc>
        <w:tc>
          <w:tcPr>
            <w:tcW w:w="4675" w:type="dxa"/>
          </w:tcPr>
          <w:p w14:paraId="1AE473B3" w14:textId="4CB5E1B3" w:rsidR="004071A2" w:rsidRPr="00F01347" w:rsidRDefault="004071A2" w:rsidP="004071A2">
            <w:pPr>
              <w:pStyle w:val="texto0"/>
              <w:spacing w:after="80" w:line="218" w:lineRule="exact"/>
              <w:ind w:firstLine="0"/>
              <w:rPr>
                <w:rFonts w:ascii="Verdana" w:hAnsi="Verdana"/>
                <w:b/>
                <w:sz w:val="16"/>
                <w:szCs w:val="16"/>
                <w:lang w:val="en-US"/>
              </w:rPr>
            </w:pPr>
            <w:r w:rsidRPr="00F01347">
              <w:rPr>
                <w:rFonts w:ascii="Verdana" w:hAnsi="Verdana"/>
                <w:b/>
                <w:sz w:val="16"/>
                <w:szCs w:val="16"/>
                <w:lang w:val="en-US"/>
              </w:rPr>
              <w:t xml:space="preserve">B.13.7 Quality control, acceptance and rejection specifications, </w:t>
            </w:r>
            <w:r w:rsidR="00577931" w:rsidRPr="00F01347">
              <w:rPr>
                <w:rFonts w:ascii="Verdana" w:hAnsi="Verdana"/>
                <w:b/>
                <w:sz w:val="16"/>
                <w:szCs w:val="16"/>
                <w:lang w:val="en-US"/>
              </w:rPr>
              <w:t>calibration,</w:t>
            </w:r>
            <w:r w:rsidRPr="00F01347">
              <w:rPr>
                <w:rFonts w:ascii="Verdana" w:hAnsi="Verdana"/>
                <w:b/>
                <w:sz w:val="16"/>
                <w:szCs w:val="16"/>
                <w:lang w:val="en-US"/>
              </w:rPr>
              <w:t xml:space="preserve"> and interferences</w:t>
            </w:r>
          </w:p>
        </w:tc>
      </w:tr>
      <w:tr w:rsidR="004071A2" w:rsidRPr="00F01347" w14:paraId="538DF88F" w14:textId="4191FA41" w:rsidTr="00F16510">
        <w:tc>
          <w:tcPr>
            <w:tcW w:w="4675" w:type="dxa"/>
          </w:tcPr>
          <w:p w14:paraId="2046B4AC" w14:textId="77777777" w:rsidR="004071A2" w:rsidRPr="00F01347" w:rsidRDefault="004071A2" w:rsidP="004071A2">
            <w:pPr>
              <w:pStyle w:val="texto0"/>
              <w:spacing w:after="80" w:line="218" w:lineRule="exact"/>
              <w:ind w:firstLine="0"/>
              <w:rPr>
                <w:rFonts w:ascii="Verdana" w:hAnsi="Verdana"/>
                <w:b/>
                <w:sz w:val="16"/>
                <w:szCs w:val="16"/>
              </w:rPr>
            </w:pPr>
            <w:r w:rsidRPr="00F01347">
              <w:rPr>
                <w:rFonts w:ascii="Verdana" w:hAnsi="Verdana"/>
                <w:b/>
                <w:sz w:val="16"/>
                <w:szCs w:val="16"/>
              </w:rPr>
              <w:t>B.13.7.1 Control de calidad</w:t>
            </w:r>
          </w:p>
        </w:tc>
        <w:tc>
          <w:tcPr>
            <w:tcW w:w="4675" w:type="dxa"/>
          </w:tcPr>
          <w:p w14:paraId="183A7212" w14:textId="077C8A4D" w:rsidR="004071A2" w:rsidRPr="00F01347" w:rsidRDefault="004071A2" w:rsidP="004071A2">
            <w:pPr>
              <w:pStyle w:val="texto0"/>
              <w:spacing w:after="80" w:line="218" w:lineRule="exact"/>
              <w:ind w:firstLine="0"/>
              <w:rPr>
                <w:rFonts w:ascii="Verdana" w:hAnsi="Verdana"/>
                <w:b/>
                <w:sz w:val="16"/>
                <w:szCs w:val="16"/>
                <w:lang w:val="en-US"/>
              </w:rPr>
            </w:pPr>
            <w:r w:rsidRPr="00F01347">
              <w:rPr>
                <w:rFonts w:ascii="Verdana" w:hAnsi="Verdana"/>
                <w:b/>
                <w:sz w:val="16"/>
                <w:szCs w:val="16"/>
                <w:lang w:val="en-US"/>
              </w:rPr>
              <w:t>B.13.7.1 Quality control</w:t>
            </w:r>
          </w:p>
        </w:tc>
      </w:tr>
      <w:tr w:rsidR="004071A2" w:rsidRPr="00F01347" w14:paraId="01454836" w14:textId="4797F22F" w:rsidTr="00F16510">
        <w:tc>
          <w:tcPr>
            <w:tcW w:w="4675" w:type="dxa"/>
          </w:tcPr>
          <w:p w14:paraId="08856A22" w14:textId="77777777" w:rsidR="004071A2" w:rsidRPr="00F01347" w:rsidRDefault="004071A2" w:rsidP="004071A2">
            <w:pPr>
              <w:pStyle w:val="texto0"/>
              <w:spacing w:after="80" w:line="218" w:lineRule="exact"/>
              <w:ind w:firstLine="0"/>
              <w:rPr>
                <w:rFonts w:ascii="Verdana" w:hAnsi="Verdana"/>
                <w:b/>
                <w:sz w:val="16"/>
                <w:szCs w:val="16"/>
              </w:rPr>
            </w:pPr>
            <w:r w:rsidRPr="00F01347">
              <w:rPr>
                <w:rFonts w:ascii="Verdana" w:hAnsi="Verdana"/>
                <w:b/>
                <w:sz w:val="16"/>
                <w:szCs w:val="16"/>
              </w:rPr>
              <w:t xml:space="preserve">B.13.7.1.1 </w:t>
            </w:r>
            <w:r w:rsidRPr="00F01347">
              <w:rPr>
                <w:rFonts w:ascii="Verdana" w:hAnsi="Verdana"/>
                <w:sz w:val="16"/>
                <w:szCs w:val="16"/>
              </w:rPr>
              <w:t>Verificación del equipo.</w:t>
            </w:r>
          </w:p>
        </w:tc>
        <w:tc>
          <w:tcPr>
            <w:tcW w:w="4675" w:type="dxa"/>
          </w:tcPr>
          <w:p w14:paraId="2B32D1E9" w14:textId="4FD268D0" w:rsidR="004071A2" w:rsidRPr="00F01347" w:rsidRDefault="004071A2" w:rsidP="004071A2">
            <w:pPr>
              <w:pStyle w:val="texto0"/>
              <w:spacing w:after="80" w:line="218" w:lineRule="exact"/>
              <w:ind w:firstLine="0"/>
              <w:rPr>
                <w:rFonts w:ascii="Verdana" w:hAnsi="Verdana"/>
                <w:b/>
                <w:sz w:val="16"/>
                <w:szCs w:val="16"/>
                <w:lang w:val="en-US"/>
              </w:rPr>
            </w:pPr>
            <w:r w:rsidRPr="00F01347">
              <w:rPr>
                <w:rFonts w:ascii="Verdana" w:hAnsi="Verdana"/>
                <w:b/>
                <w:sz w:val="16"/>
                <w:szCs w:val="16"/>
                <w:lang w:val="en-US"/>
              </w:rPr>
              <w:t xml:space="preserve">B.13.7.1.1 </w:t>
            </w:r>
            <w:r w:rsidRPr="00F01347">
              <w:rPr>
                <w:rFonts w:ascii="Verdana" w:hAnsi="Verdana"/>
                <w:sz w:val="16"/>
                <w:szCs w:val="16"/>
                <w:lang w:val="en-US"/>
              </w:rPr>
              <w:t>Equipment verification.</w:t>
            </w:r>
          </w:p>
        </w:tc>
      </w:tr>
      <w:tr w:rsidR="004071A2" w:rsidRPr="00F01347" w14:paraId="663F2687" w14:textId="669C9E47" w:rsidTr="00F16510">
        <w:tc>
          <w:tcPr>
            <w:tcW w:w="4675" w:type="dxa"/>
          </w:tcPr>
          <w:p w14:paraId="59EFF963" w14:textId="77777777" w:rsidR="004071A2" w:rsidRPr="00F01347" w:rsidRDefault="004071A2" w:rsidP="004071A2">
            <w:pPr>
              <w:pStyle w:val="texto0"/>
              <w:spacing w:after="80" w:line="218" w:lineRule="exact"/>
              <w:ind w:firstLine="0"/>
              <w:rPr>
                <w:rFonts w:ascii="Verdana" w:hAnsi="Verdana"/>
                <w:sz w:val="16"/>
                <w:szCs w:val="16"/>
              </w:rPr>
            </w:pPr>
            <w:r w:rsidRPr="00F01347">
              <w:rPr>
                <w:rFonts w:ascii="Verdana" w:hAnsi="Verdana"/>
                <w:sz w:val="16"/>
                <w:szCs w:val="16"/>
              </w:rPr>
              <w:t>Antes del análisis de cada lote analítico verificar que el instrumento esté libre de interferencias ocasionadas por inyecciones previas de muestras muy concentradas y sangrado de columna, contaminación por gases o por jeringa sucia, para tal efecto se realiza un blanco electrónico que consiste en hacer una corrida del método a utilizar, pero sin inyectar nada.</w:t>
            </w:r>
          </w:p>
        </w:tc>
        <w:tc>
          <w:tcPr>
            <w:tcW w:w="4675" w:type="dxa"/>
          </w:tcPr>
          <w:p w14:paraId="21710880" w14:textId="560BE048" w:rsidR="004071A2" w:rsidRPr="00F01347" w:rsidRDefault="004071A2" w:rsidP="004071A2">
            <w:pPr>
              <w:pStyle w:val="texto0"/>
              <w:spacing w:after="80" w:line="218" w:lineRule="exact"/>
              <w:ind w:firstLine="0"/>
              <w:rPr>
                <w:rFonts w:ascii="Verdana" w:hAnsi="Verdana"/>
                <w:sz w:val="16"/>
                <w:szCs w:val="16"/>
                <w:lang w:val="en-US"/>
              </w:rPr>
            </w:pPr>
            <w:r w:rsidRPr="00F01347">
              <w:rPr>
                <w:rFonts w:ascii="Verdana" w:hAnsi="Verdana"/>
                <w:sz w:val="16"/>
                <w:szCs w:val="16"/>
                <w:lang w:val="en-US"/>
              </w:rPr>
              <w:t>Before analyzing each analytical batch, verify that the instrument is free of interference caused by previous injections of highly concentrated samples and column bleeding, contamination by gases or a dirty syringe. For this purpose, an electronic blank is carried out, which consists of making a run. of the method to use, but without injecting anything.</w:t>
            </w:r>
          </w:p>
        </w:tc>
      </w:tr>
      <w:tr w:rsidR="004071A2" w:rsidRPr="00F01347" w14:paraId="2151D851" w14:textId="3C686187" w:rsidTr="00F16510">
        <w:tc>
          <w:tcPr>
            <w:tcW w:w="4675" w:type="dxa"/>
          </w:tcPr>
          <w:p w14:paraId="1FB5ED00" w14:textId="77777777" w:rsidR="004071A2" w:rsidRPr="00F01347" w:rsidRDefault="004071A2" w:rsidP="004071A2">
            <w:pPr>
              <w:pStyle w:val="texto0"/>
              <w:spacing w:after="80" w:line="218" w:lineRule="exact"/>
              <w:ind w:firstLine="0"/>
              <w:rPr>
                <w:rFonts w:ascii="Verdana" w:hAnsi="Verdana"/>
                <w:sz w:val="16"/>
                <w:szCs w:val="16"/>
              </w:rPr>
            </w:pPr>
            <w:r w:rsidRPr="00F01347">
              <w:rPr>
                <w:rFonts w:ascii="Verdana" w:hAnsi="Verdana"/>
                <w:sz w:val="16"/>
                <w:szCs w:val="16"/>
              </w:rPr>
              <w:t>El blanco electrónico no deberá presentar ningún pico ni elevación o bajas de línea base y en caso contrario se procederá a purgar el sistema con temperatura del horno a 300 °C durante 15min.</w:t>
            </w:r>
          </w:p>
        </w:tc>
        <w:tc>
          <w:tcPr>
            <w:tcW w:w="4675" w:type="dxa"/>
          </w:tcPr>
          <w:p w14:paraId="0B723D81" w14:textId="20A81980" w:rsidR="004071A2" w:rsidRPr="00F01347" w:rsidRDefault="004071A2" w:rsidP="004071A2">
            <w:pPr>
              <w:pStyle w:val="texto0"/>
              <w:spacing w:after="80" w:line="218" w:lineRule="exact"/>
              <w:ind w:firstLine="0"/>
              <w:rPr>
                <w:rFonts w:ascii="Verdana" w:hAnsi="Verdana"/>
                <w:sz w:val="16"/>
                <w:szCs w:val="16"/>
                <w:lang w:val="en-US"/>
              </w:rPr>
            </w:pPr>
            <w:r w:rsidRPr="00F01347">
              <w:rPr>
                <w:rFonts w:ascii="Verdana" w:hAnsi="Verdana"/>
                <w:sz w:val="16"/>
                <w:szCs w:val="16"/>
                <w:lang w:val="en-US"/>
              </w:rPr>
              <w:t>The electronic blank must not present any peak or elevation or decrease in the baseline and otherwise the system will be purged with the oven temperature at 300 °C for 15 minutes.</w:t>
            </w:r>
          </w:p>
        </w:tc>
      </w:tr>
      <w:tr w:rsidR="004071A2" w:rsidRPr="00F01347" w14:paraId="637F8563" w14:textId="73922DDC" w:rsidTr="00F16510">
        <w:tc>
          <w:tcPr>
            <w:tcW w:w="4675" w:type="dxa"/>
          </w:tcPr>
          <w:p w14:paraId="5BE4618F" w14:textId="77777777" w:rsidR="004071A2" w:rsidRPr="00F01347" w:rsidRDefault="004071A2" w:rsidP="004071A2">
            <w:pPr>
              <w:pStyle w:val="texto0"/>
              <w:spacing w:after="80" w:line="218" w:lineRule="exact"/>
              <w:ind w:firstLine="0"/>
              <w:rPr>
                <w:rFonts w:ascii="Verdana" w:hAnsi="Verdana"/>
                <w:b/>
                <w:sz w:val="16"/>
                <w:szCs w:val="16"/>
              </w:rPr>
            </w:pPr>
            <w:r w:rsidRPr="00F01347">
              <w:rPr>
                <w:rFonts w:ascii="Verdana" w:hAnsi="Verdana"/>
                <w:b/>
                <w:sz w:val="16"/>
                <w:szCs w:val="16"/>
              </w:rPr>
              <w:t xml:space="preserve">B.13.7.1.2 </w:t>
            </w:r>
            <w:r w:rsidRPr="00F01347">
              <w:rPr>
                <w:rFonts w:ascii="Verdana" w:hAnsi="Verdana"/>
                <w:sz w:val="16"/>
                <w:szCs w:val="16"/>
              </w:rPr>
              <w:t>Verificación de la calibración inicial.</w:t>
            </w:r>
          </w:p>
        </w:tc>
        <w:tc>
          <w:tcPr>
            <w:tcW w:w="4675" w:type="dxa"/>
          </w:tcPr>
          <w:p w14:paraId="49F641D7" w14:textId="6BE71A31" w:rsidR="004071A2" w:rsidRPr="00F01347" w:rsidRDefault="004071A2" w:rsidP="004071A2">
            <w:pPr>
              <w:pStyle w:val="texto0"/>
              <w:spacing w:after="80" w:line="218" w:lineRule="exact"/>
              <w:ind w:firstLine="0"/>
              <w:rPr>
                <w:rFonts w:ascii="Verdana" w:hAnsi="Verdana"/>
                <w:b/>
                <w:sz w:val="16"/>
                <w:szCs w:val="16"/>
                <w:lang w:val="en-US"/>
              </w:rPr>
            </w:pPr>
            <w:r w:rsidRPr="00F01347">
              <w:rPr>
                <w:rFonts w:ascii="Verdana" w:hAnsi="Verdana"/>
                <w:b/>
                <w:sz w:val="16"/>
                <w:szCs w:val="16"/>
                <w:lang w:val="en-US"/>
              </w:rPr>
              <w:t xml:space="preserve">B.13.7.1.2 </w:t>
            </w:r>
            <w:r w:rsidRPr="00F01347">
              <w:rPr>
                <w:rFonts w:ascii="Verdana" w:hAnsi="Verdana"/>
                <w:sz w:val="16"/>
                <w:szCs w:val="16"/>
                <w:lang w:val="en-US"/>
              </w:rPr>
              <w:t>Verification of initial calibration.</w:t>
            </w:r>
          </w:p>
        </w:tc>
      </w:tr>
      <w:tr w:rsidR="004071A2" w:rsidRPr="00F01347" w14:paraId="10E6409B" w14:textId="623451C0" w:rsidTr="00F16510">
        <w:tc>
          <w:tcPr>
            <w:tcW w:w="4675" w:type="dxa"/>
          </w:tcPr>
          <w:p w14:paraId="2E2D0A05" w14:textId="77777777" w:rsidR="004071A2" w:rsidRPr="00F01347" w:rsidRDefault="004071A2" w:rsidP="004071A2">
            <w:pPr>
              <w:pStyle w:val="texto0"/>
              <w:ind w:firstLine="0"/>
              <w:rPr>
                <w:rFonts w:ascii="Verdana" w:hAnsi="Verdana"/>
                <w:sz w:val="16"/>
                <w:szCs w:val="16"/>
              </w:rPr>
            </w:pPr>
            <w:r w:rsidRPr="00F01347">
              <w:rPr>
                <w:rFonts w:ascii="Verdana" w:hAnsi="Verdana"/>
                <w:sz w:val="16"/>
                <w:szCs w:val="16"/>
              </w:rPr>
              <w:t>La curva de calibración inicial deberá realizarse inyectando los estándares de calibración preparados y se considera lineal, si el por ciento de la desviación estándar relativa (%DER) de los factores de calibración (FC) es menor o igual al 15%, el cálculo de FC se realiza con la siguiente ecuación:</w:t>
            </w:r>
          </w:p>
        </w:tc>
        <w:tc>
          <w:tcPr>
            <w:tcW w:w="4675" w:type="dxa"/>
          </w:tcPr>
          <w:p w14:paraId="0C311AC1" w14:textId="1BE4A9B6" w:rsidR="004071A2" w:rsidRPr="00F01347" w:rsidRDefault="004071A2" w:rsidP="004071A2">
            <w:pPr>
              <w:pStyle w:val="texto0"/>
              <w:ind w:firstLine="0"/>
              <w:rPr>
                <w:rFonts w:ascii="Verdana" w:hAnsi="Verdana"/>
                <w:sz w:val="16"/>
                <w:szCs w:val="16"/>
                <w:lang w:val="en-US"/>
              </w:rPr>
            </w:pPr>
            <w:r w:rsidRPr="00F01347">
              <w:rPr>
                <w:rFonts w:ascii="Verdana" w:hAnsi="Verdana"/>
                <w:sz w:val="16"/>
                <w:szCs w:val="16"/>
                <w:lang w:val="en-US"/>
              </w:rPr>
              <w:t>The initial calibration curve must be made by injecting the prepared calibration standards and is considered linear, if the percent of the relative standard deviation (%RD) of the calibration factors (CF) is less than or equal to 15%, the calculation of FC is done with the following equation:</w:t>
            </w:r>
          </w:p>
        </w:tc>
      </w:tr>
    </w:tbl>
    <w:p w14:paraId="5EF2586A" w14:textId="14C082E3" w:rsidR="00A74CDF" w:rsidRPr="00F01347" w:rsidRDefault="00471638" w:rsidP="00F139A0">
      <w:pPr>
        <w:pStyle w:val="texto0"/>
        <w:spacing w:line="240" w:lineRule="auto"/>
        <w:ind w:left="540" w:firstLine="0"/>
        <w:jc w:val="center"/>
        <w:rPr>
          <w:rFonts w:ascii="Verdana" w:hAnsi="Verdana"/>
          <w:sz w:val="16"/>
          <w:szCs w:val="16"/>
        </w:rPr>
      </w:pPr>
      <w:r w:rsidRPr="00F01347">
        <w:rPr>
          <w:rFonts w:ascii="Verdana" w:hAnsi="Verdana"/>
          <w:noProof/>
          <w:sz w:val="16"/>
          <w:szCs w:val="16"/>
        </w:rPr>
        <w:drawing>
          <wp:inline distT="0" distB="0" distL="0" distR="0" wp14:anchorId="437AF481" wp14:editId="2160AC58">
            <wp:extent cx="2343150" cy="342900"/>
            <wp:effectExtent l="0" t="0" r="0" b="0"/>
            <wp:docPr id="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43150" cy="342900"/>
                    </a:xfrm>
                    <a:prstGeom prst="rect">
                      <a:avLst/>
                    </a:prstGeom>
                    <a:noFill/>
                    <a:ln>
                      <a:noFill/>
                    </a:ln>
                  </pic:spPr>
                </pic:pic>
              </a:graphicData>
            </a:graphic>
          </wp:inline>
        </w:drawing>
      </w:r>
    </w:p>
    <w:p w14:paraId="12C083C3" w14:textId="77777777" w:rsidR="00237A20" w:rsidRPr="00F01347" w:rsidRDefault="00237A20" w:rsidP="00F139A0">
      <w:pPr>
        <w:pStyle w:val="texto0"/>
        <w:spacing w:line="240" w:lineRule="auto"/>
        <w:ind w:left="540" w:firstLine="0"/>
        <w:jc w:val="center"/>
        <w:rPr>
          <w:rFonts w:ascii="Verdana" w:hAnsi="Verdana"/>
          <w:sz w:val="16"/>
          <w:szCs w:val="16"/>
        </w:rPr>
      </w:pPr>
    </w:p>
    <w:p w14:paraId="4BEB6D0F" w14:textId="21C3BA62" w:rsidR="00237A20" w:rsidRPr="00F01347" w:rsidRDefault="00237A20" w:rsidP="00F139A0">
      <w:pPr>
        <w:pStyle w:val="texto0"/>
        <w:spacing w:line="240" w:lineRule="auto"/>
        <w:ind w:left="540" w:firstLine="0"/>
        <w:jc w:val="center"/>
        <w:rPr>
          <w:rFonts w:ascii="Verdana" w:hAnsi="Verdana"/>
          <w:sz w:val="16"/>
          <w:szCs w:val="16"/>
        </w:rPr>
      </w:pPr>
      <w:r w:rsidRPr="00F01347">
        <w:rPr>
          <w:noProof/>
        </w:rPr>
        <w:drawing>
          <wp:inline distT="0" distB="0" distL="0" distR="0" wp14:anchorId="6CD20496" wp14:editId="5389D251">
            <wp:extent cx="2356138" cy="431407"/>
            <wp:effectExtent l="0" t="0" r="6350" b="6985"/>
            <wp:docPr id="4694783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78375" name="Picture 1" descr="A screenshot of a computer&#10;&#10;Description automatically generated"/>
                    <pic:cNvPicPr/>
                  </pic:nvPicPr>
                  <pic:blipFill rotWithShape="1">
                    <a:blip r:embed="rId110"/>
                    <a:srcRect l="24521" t="45252" r="48994" b="46127"/>
                    <a:stretch/>
                  </pic:blipFill>
                  <pic:spPr bwMode="auto">
                    <a:xfrm>
                      <a:off x="0" y="0"/>
                      <a:ext cx="2423265" cy="44369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5757A" w:rsidRPr="00F01347" w14:paraId="2EB4FA58" w14:textId="77777777" w:rsidTr="00237A20">
        <w:tc>
          <w:tcPr>
            <w:tcW w:w="4675" w:type="dxa"/>
          </w:tcPr>
          <w:p w14:paraId="66E6C0C5" w14:textId="22F3F690" w:rsidR="0055757A" w:rsidRPr="00F01347" w:rsidRDefault="0055757A" w:rsidP="0055757A">
            <w:pPr>
              <w:pStyle w:val="texto0"/>
              <w:ind w:firstLine="0"/>
              <w:rPr>
                <w:rFonts w:ascii="Verdana" w:hAnsi="Verdana"/>
                <w:sz w:val="16"/>
                <w:szCs w:val="16"/>
              </w:rPr>
            </w:pPr>
            <w:r w:rsidRPr="00F01347">
              <w:rPr>
                <w:rFonts w:ascii="Verdana" w:hAnsi="Verdana"/>
                <w:sz w:val="16"/>
                <w:szCs w:val="16"/>
              </w:rPr>
              <w:t xml:space="preserve">La verificación de la calibración inicial puede también efectuarse mediante la regresión de mínimos cuadrados, en la cual el criterio de aceptación es que el coeficiente de correlación (r) sea mayor o igual a 0.99. </w:t>
            </w:r>
            <w:r w:rsidRPr="00F01347">
              <w:rPr>
                <w:rFonts w:ascii="Verdana" w:hAnsi="Verdana"/>
                <w:sz w:val="16"/>
                <w:szCs w:val="16"/>
              </w:rPr>
              <w:lastRenderedPageBreak/>
              <w:t xml:space="preserve">Si los criterios para % de RSD y r no se cumplen se procede a la revisión del sistema cromatográfico o a la preparación de las disoluciones de calibración. Posteriormente la curva de calibración </w:t>
            </w:r>
            <w:r w:rsidR="00237A20" w:rsidRPr="00F01347">
              <w:rPr>
                <w:rFonts w:ascii="Verdana" w:hAnsi="Verdana"/>
                <w:sz w:val="16"/>
                <w:szCs w:val="16"/>
              </w:rPr>
              <w:t>inicial</w:t>
            </w:r>
            <w:r w:rsidRPr="00F01347">
              <w:rPr>
                <w:rFonts w:ascii="Verdana" w:hAnsi="Verdana"/>
                <w:sz w:val="16"/>
                <w:szCs w:val="16"/>
              </w:rPr>
              <w:t xml:space="preserve"> será aceptada si el análisis de un punto intermedio de la curva no presenta una variación de la concentración mayor del 15% y que será calculada de la siguiente manera:</w:t>
            </w:r>
          </w:p>
        </w:tc>
        <w:tc>
          <w:tcPr>
            <w:tcW w:w="4675" w:type="dxa"/>
          </w:tcPr>
          <w:p w14:paraId="3B5D7F93" w14:textId="6020A745" w:rsidR="00DC2625" w:rsidRPr="00F01347" w:rsidRDefault="00DC2625" w:rsidP="00DC2625">
            <w:pPr>
              <w:pStyle w:val="texto0"/>
              <w:ind w:firstLine="0"/>
              <w:rPr>
                <w:rFonts w:ascii="Verdana" w:hAnsi="Verdana"/>
                <w:sz w:val="16"/>
                <w:szCs w:val="16"/>
                <w:lang w:val="en-US"/>
              </w:rPr>
            </w:pPr>
            <w:r w:rsidRPr="00F01347">
              <w:rPr>
                <w:rFonts w:ascii="Verdana" w:hAnsi="Verdana"/>
                <w:sz w:val="16"/>
                <w:szCs w:val="16"/>
                <w:lang w:val="en-US"/>
              </w:rPr>
              <w:lastRenderedPageBreak/>
              <w:t xml:space="preserve">Verification of the initial calibration can also be carried out using least squares regression, in which the acceptance criterion is that the correlation coefficient (r) is greater than or equal to 0.99. If the criteria for % </w:t>
            </w:r>
            <w:r w:rsidRPr="00F01347">
              <w:rPr>
                <w:rFonts w:ascii="Verdana" w:hAnsi="Verdana"/>
                <w:sz w:val="16"/>
                <w:szCs w:val="16"/>
                <w:lang w:val="en-US"/>
              </w:rPr>
              <w:lastRenderedPageBreak/>
              <w:t xml:space="preserve">RSD and r are not met, the chromatographic system is </w:t>
            </w:r>
            <w:r w:rsidR="00237A20" w:rsidRPr="00F01347">
              <w:rPr>
                <w:rFonts w:ascii="Verdana" w:hAnsi="Verdana"/>
                <w:sz w:val="16"/>
                <w:szCs w:val="16"/>
                <w:lang w:val="en-US"/>
              </w:rPr>
              <w:t>reviewed,</w:t>
            </w:r>
            <w:r w:rsidRPr="00F01347">
              <w:rPr>
                <w:rFonts w:ascii="Verdana" w:hAnsi="Verdana"/>
                <w:sz w:val="16"/>
                <w:szCs w:val="16"/>
                <w:lang w:val="en-US"/>
              </w:rPr>
              <w:t xml:space="preserve"> or the calibration solutions are prepared. Subsequently</w:t>
            </w:r>
            <w:r w:rsidR="003E1BA9" w:rsidRPr="00F01347">
              <w:rPr>
                <w:rFonts w:ascii="Verdana" w:hAnsi="Verdana"/>
                <w:sz w:val="16"/>
                <w:szCs w:val="16"/>
                <w:lang w:val="en-US"/>
              </w:rPr>
              <w:t>,</w:t>
            </w:r>
            <w:r w:rsidRPr="00F01347">
              <w:rPr>
                <w:rFonts w:ascii="Verdana" w:hAnsi="Verdana"/>
                <w:sz w:val="16"/>
                <w:szCs w:val="16"/>
                <w:lang w:val="en-US"/>
              </w:rPr>
              <w:t xml:space="preserve"> the initial calibration curve will be accepted if the analysis of an intermediate point of the curve does not present a concentration variation greater than 15% and will be calculated as follows:</w:t>
            </w:r>
          </w:p>
          <w:p w14:paraId="3D7E3B47" w14:textId="77777777" w:rsidR="0055757A" w:rsidRPr="00F01347" w:rsidRDefault="0055757A" w:rsidP="0055757A">
            <w:pPr>
              <w:pStyle w:val="texto0"/>
              <w:ind w:firstLine="0"/>
              <w:rPr>
                <w:rFonts w:ascii="Verdana" w:hAnsi="Verdana"/>
                <w:sz w:val="16"/>
                <w:szCs w:val="16"/>
                <w:lang w:val="en-US"/>
              </w:rPr>
            </w:pPr>
          </w:p>
        </w:tc>
      </w:tr>
    </w:tbl>
    <w:p w14:paraId="7B6746EA" w14:textId="77777777" w:rsidR="0055757A" w:rsidRPr="00F01347" w:rsidRDefault="0055757A" w:rsidP="0055757A">
      <w:pPr>
        <w:pStyle w:val="texto0"/>
        <w:ind w:firstLine="0"/>
        <w:rPr>
          <w:rFonts w:ascii="Verdana" w:hAnsi="Verdana"/>
          <w:sz w:val="16"/>
          <w:szCs w:val="16"/>
          <w:lang w:val="en-US"/>
        </w:rPr>
      </w:pPr>
    </w:p>
    <w:p w14:paraId="594F7961" w14:textId="60BEBC58" w:rsidR="00A74CDF" w:rsidRPr="00F01347" w:rsidRDefault="008F64E5" w:rsidP="00237A20">
      <w:pPr>
        <w:pStyle w:val="texto0"/>
        <w:spacing w:line="240" w:lineRule="auto"/>
        <w:ind w:left="630" w:firstLine="0"/>
        <w:jc w:val="center"/>
        <w:rPr>
          <w:rFonts w:ascii="Verdana" w:hAnsi="Verdana"/>
          <w:sz w:val="16"/>
          <w:szCs w:val="16"/>
        </w:rPr>
      </w:pPr>
      <w:r w:rsidRPr="00F01347">
        <w:rPr>
          <w:noProof/>
        </w:rPr>
        <w:drawing>
          <wp:anchor distT="0" distB="0" distL="114300" distR="114300" simplePos="0" relativeHeight="251668480" behindDoc="0" locked="0" layoutInCell="1" allowOverlap="1" wp14:anchorId="5BC0D7E5" wp14:editId="2BF36461">
            <wp:simplePos x="0" y="0"/>
            <wp:positionH relativeFrom="column">
              <wp:posOffset>1745096</wp:posOffset>
            </wp:positionH>
            <wp:positionV relativeFrom="paragraph">
              <wp:posOffset>376843</wp:posOffset>
            </wp:positionV>
            <wp:extent cx="3020291" cy="510185"/>
            <wp:effectExtent l="0" t="0" r="0" b="4445"/>
            <wp:wrapNone/>
            <wp:docPr id="7020354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35469" name="Picture 1" descr="A screenshot of a computer&#10;&#10;Description automatically generated"/>
                    <pic:cNvPicPr/>
                  </pic:nvPicPr>
                  <pic:blipFill rotWithShape="1">
                    <a:blip r:embed="rId111">
                      <a:extLst>
                        <a:ext uri="{28A0092B-C50C-407E-A947-70E740481C1C}">
                          <a14:useLocalDpi xmlns:a14="http://schemas.microsoft.com/office/drawing/2010/main" val="0"/>
                        </a:ext>
                      </a:extLst>
                    </a:blip>
                    <a:srcRect l="27412" t="46910" r="44987" b="44801"/>
                    <a:stretch/>
                  </pic:blipFill>
                  <pic:spPr bwMode="auto">
                    <a:xfrm>
                      <a:off x="0" y="0"/>
                      <a:ext cx="3020291" cy="510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1638" w:rsidRPr="00F01347">
        <w:rPr>
          <w:rFonts w:ascii="Verdana" w:hAnsi="Verdana"/>
          <w:noProof/>
          <w:sz w:val="16"/>
          <w:szCs w:val="16"/>
          <w:lang w:eastAsia="es-MX"/>
        </w:rPr>
        <w:drawing>
          <wp:inline distT="0" distB="0" distL="0" distR="0" wp14:anchorId="5F02DF4A" wp14:editId="3510A931">
            <wp:extent cx="3124200" cy="314325"/>
            <wp:effectExtent l="0" t="0" r="0" b="0"/>
            <wp:docPr id="7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124200" cy="314325"/>
                    </a:xfrm>
                    <a:prstGeom prst="rect">
                      <a:avLst/>
                    </a:prstGeom>
                    <a:noFill/>
                    <a:ln>
                      <a:noFill/>
                    </a:ln>
                  </pic:spPr>
                </pic:pic>
              </a:graphicData>
            </a:graphic>
          </wp:inline>
        </w:drawing>
      </w:r>
    </w:p>
    <w:p w14:paraId="0B59A14F" w14:textId="77891385" w:rsidR="0055757A" w:rsidRPr="00F01347" w:rsidRDefault="0055757A" w:rsidP="00B6608F">
      <w:pPr>
        <w:pStyle w:val="texto0"/>
        <w:jc w:val="center"/>
        <w:rPr>
          <w:rFonts w:ascii="Verdana" w:hAnsi="Verdana"/>
          <w:sz w:val="16"/>
          <w:szCs w:val="16"/>
        </w:rPr>
      </w:pPr>
    </w:p>
    <w:p w14:paraId="2E1A24EB" w14:textId="77777777" w:rsidR="008F64E5" w:rsidRPr="00F01347" w:rsidRDefault="008F64E5" w:rsidP="00B6608F">
      <w:pPr>
        <w:pStyle w:val="texto0"/>
        <w:jc w:val="center"/>
        <w:rPr>
          <w:rFonts w:ascii="Verdana" w:hAnsi="Verdana"/>
          <w:sz w:val="16"/>
          <w:szCs w:val="16"/>
        </w:rPr>
      </w:pPr>
    </w:p>
    <w:p w14:paraId="76E6B469" w14:textId="77777777" w:rsidR="008F64E5" w:rsidRPr="00F01347" w:rsidRDefault="008F64E5" w:rsidP="00B6608F">
      <w:pPr>
        <w:pStyle w:val="texto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5757A" w:rsidRPr="00F01347" w14:paraId="1DB4D4A6" w14:textId="19197A1B" w:rsidTr="0086088E">
        <w:tc>
          <w:tcPr>
            <w:tcW w:w="4675" w:type="dxa"/>
          </w:tcPr>
          <w:p w14:paraId="6EA727F5" w14:textId="77777777" w:rsidR="0055757A" w:rsidRPr="00F01347" w:rsidRDefault="0055757A" w:rsidP="008D553C">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016E0C6B" w14:textId="42ED1E45" w:rsidR="0055757A" w:rsidRPr="00F01347" w:rsidRDefault="00DC2625" w:rsidP="008D553C">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55757A" w:rsidRPr="00F01347" w14:paraId="0AA32B06" w14:textId="2F9F4863" w:rsidTr="0086088E">
        <w:tc>
          <w:tcPr>
            <w:tcW w:w="4675" w:type="dxa"/>
          </w:tcPr>
          <w:p w14:paraId="3D4E947C" w14:textId="77777777" w:rsidR="0055757A" w:rsidRPr="00F01347" w:rsidRDefault="0055757A" w:rsidP="008D553C">
            <w:pPr>
              <w:pStyle w:val="texto0"/>
              <w:ind w:firstLine="0"/>
              <w:rPr>
                <w:rFonts w:ascii="Verdana" w:hAnsi="Verdana"/>
                <w:sz w:val="16"/>
                <w:szCs w:val="16"/>
              </w:rPr>
            </w:pPr>
            <w:r w:rsidRPr="00F01347">
              <w:rPr>
                <w:rFonts w:ascii="Verdana" w:hAnsi="Verdana"/>
                <w:sz w:val="16"/>
                <w:szCs w:val="16"/>
              </w:rPr>
              <w:t>CC</w:t>
            </w:r>
            <w:r w:rsidRPr="00F01347">
              <w:rPr>
                <w:rFonts w:ascii="Verdana" w:hAnsi="Verdana"/>
                <w:sz w:val="16"/>
                <w:szCs w:val="16"/>
              </w:rPr>
              <w:tab/>
              <w:t>concentración calculada</w:t>
            </w:r>
          </w:p>
        </w:tc>
        <w:tc>
          <w:tcPr>
            <w:tcW w:w="4675" w:type="dxa"/>
          </w:tcPr>
          <w:p w14:paraId="0CA8C766" w14:textId="641B98AE" w:rsidR="0055757A" w:rsidRPr="00F01347" w:rsidRDefault="00DC2625" w:rsidP="008D553C">
            <w:pPr>
              <w:pStyle w:val="texto0"/>
              <w:ind w:firstLine="0"/>
              <w:rPr>
                <w:rFonts w:ascii="Verdana" w:hAnsi="Verdana"/>
                <w:sz w:val="16"/>
                <w:szCs w:val="16"/>
                <w:lang w:val="en-US"/>
              </w:rPr>
            </w:pPr>
            <w:r w:rsidRPr="00F01347">
              <w:rPr>
                <w:rFonts w:ascii="Verdana" w:hAnsi="Verdana"/>
                <w:sz w:val="16"/>
                <w:szCs w:val="16"/>
                <w:lang w:val="en-US"/>
              </w:rPr>
              <w:t xml:space="preserve">CC </w:t>
            </w:r>
            <w:r w:rsidRPr="00F01347">
              <w:rPr>
                <w:rFonts w:ascii="Verdana" w:hAnsi="Verdana"/>
                <w:sz w:val="16"/>
                <w:szCs w:val="16"/>
                <w:lang w:val="en-US"/>
              </w:rPr>
              <w:tab/>
              <w:t>calculated concentration</w:t>
            </w:r>
          </w:p>
        </w:tc>
      </w:tr>
      <w:tr w:rsidR="0055757A" w:rsidRPr="00F01347" w14:paraId="5804A995" w14:textId="3293C638" w:rsidTr="0086088E">
        <w:tc>
          <w:tcPr>
            <w:tcW w:w="4675" w:type="dxa"/>
          </w:tcPr>
          <w:p w14:paraId="30B62DB8" w14:textId="77777777" w:rsidR="0055757A" w:rsidRPr="00F01347" w:rsidRDefault="0055757A" w:rsidP="008D553C">
            <w:pPr>
              <w:pStyle w:val="texto0"/>
              <w:ind w:firstLine="0"/>
              <w:rPr>
                <w:rFonts w:ascii="Verdana" w:hAnsi="Verdana"/>
                <w:sz w:val="16"/>
                <w:szCs w:val="16"/>
              </w:rPr>
            </w:pPr>
            <w:r w:rsidRPr="00F01347">
              <w:rPr>
                <w:rFonts w:ascii="Verdana" w:hAnsi="Verdana"/>
                <w:sz w:val="16"/>
                <w:szCs w:val="16"/>
              </w:rPr>
              <w:t>CT</w:t>
            </w:r>
            <w:r w:rsidRPr="00F01347">
              <w:rPr>
                <w:rFonts w:ascii="Verdana" w:hAnsi="Verdana"/>
                <w:sz w:val="16"/>
                <w:szCs w:val="16"/>
              </w:rPr>
              <w:tab/>
              <w:t>concentración teórica</w:t>
            </w:r>
          </w:p>
        </w:tc>
        <w:tc>
          <w:tcPr>
            <w:tcW w:w="4675" w:type="dxa"/>
          </w:tcPr>
          <w:p w14:paraId="6A282211" w14:textId="773938F8" w:rsidR="0055757A" w:rsidRPr="00F01347" w:rsidRDefault="00DC2625" w:rsidP="008D553C">
            <w:pPr>
              <w:pStyle w:val="texto0"/>
              <w:ind w:firstLine="0"/>
              <w:rPr>
                <w:rFonts w:ascii="Verdana" w:hAnsi="Verdana"/>
                <w:sz w:val="16"/>
                <w:szCs w:val="16"/>
                <w:lang w:val="en-US"/>
              </w:rPr>
            </w:pPr>
            <w:r w:rsidRPr="00F01347">
              <w:rPr>
                <w:rFonts w:ascii="Verdana" w:hAnsi="Verdana"/>
                <w:sz w:val="16"/>
                <w:szCs w:val="16"/>
                <w:lang w:val="en-US"/>
              </w:rPr>
              <w:t xml:space="preserve">CT </w:t>
            </w:r>
            <w:r w:rsidRPr="00F01347">
              <w:rPr>
                <w:rFonts w:ascii="Verdana" w:hAnsi="Verdana"/>
                <w:sz w:val="16"/>
                <w:szCs w:val="16"/>
                <w:lang w:val="en-US"/>
              </w:rPr>
              <w:tab/>
              <w:t>theoretical concentration</w:t>
            </w:r>
          </w:p>
        </w:tc>
      </w:tr>
    </w:tbl>
    <w:p w14:paraId="4D75E9ED" w14:textId="5DE07665" w:rsidR="00A74CDF" w:rsidRPr="00F01347" w:rsidRDefault="00471638" w:rsidP="0086088E">
      <w:pPr>
        <w:pStyle w:val="texto0"/>
        <w:spacing w:line="240" w:lineRule="auto"/>
        <w:ind w:left="630" w:firstLine="0"/>
        <w:jc w:val="center"/>
        <w:rPr>
          <w:rFonts w:ascii="Verdana" w:hAnsi="Verdana"/>
          <w:sz w:val="16"/>
          <w:szCs w:val="16"/>
        </w:rPr>
      </w:pPr>
      <w:r w:rsidRPr="00F01347">
        <w:rPr>
          <w:rFonts w:ascii="Verdana" w:hAnsi="Verdana"/>
          <w:noProof/>
          <w:sz w:val="16"/>
          <w:szCs w:val="16"/>
          <w:lang w:eastAsia="es-MX"/>
        </w:rPr>
        <w:drawing>
          <wp:inline distT="0" distB="0" distL="0" distR="0" wp14:anchorId="0C3CFF57" wp14:editId="1D9AFCC9">
            <wp:extent cx="2657475" cy="314325"/>
            <wp:effectExtent l="0" t="0" r="0" b="0"/>
            <wp:docPr id="7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657475" cy="314325"/>
                    </a:xfrm>
                    <a:prstGeom prst="rect">
                      <a:avLst/>
                    </a:prstGeom>
                    <a:noFill/>
                    <a:ln>
                      <a:noFill/>
                    </a:ln>
                  </pic:spPr>
                </pic:pic>
              </a:graphicData>
            </a:graphic>
          </wp:inline>
        </w:drawing>
      </w:r>
    </w:p>
    <w:p w14:paraId="3923799E" w14:textId="1A9BF59F" w:rsidR="0086088E" w:rsidRPr="00F01347" w:rsidRDefault="005C590A" w:rsidP="0086088E">
      <w:pPr>
        <w:pStyle w:val="texto0"/>
        <w:spacing w:line="240" w:lineRule="auto"/>
        <w:ind w:left="630" w:firstLine="0"/>
        <w:jc w:val="center"/>
        <w:rPr>
          <w:rFonts w:ascii="Verdana" w:hAnsi="Verdana"/>
          <w:sz w:val="16"/>
          <w:szCs w:val="16"/>
        </w:rPr>
      </w:pPr>
      <w:r w:rsidRPr="00F01347">
        <w:rPr>
          <w:noProof/>
        </w:rPr>
        <w:drawing>
          <wp:inline distT="0" distB="0" distL="0" distR="0" wp14:anchorId="6C2A9C3E" wp14:editId="342E7460">
            <wp:extent cx="2881745" cy="542795"/>
            <wp:effectExtent l="0" t="0" r="0" b="0"/>
            <wp:docPr id="16645420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542093" name="Picture 1" descr="A screenshot of a computer&#10;&#10;Description automatically generated"/>
                    <pic:cNvPicPr/>
                  </pic:nvPicPr>
                  <pic:blipFill rotWithShape="1">
                    <a:blip r:embed="rId114"/>
                    <a:srcRect l="24056" t="52712" r="48710" b="38169"/>
                    <a:stretch/>
                  </pic:blipFill>
                  <pic:spPr bwMode="auto">
                    <a:xfrm>
                      <a:off x="0" y="0"/>
                      <a:ext cx="2962258" cy="55796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A00B5" w:rsidRPr="00F01347" w14:paraId="50B4AE60" w14:textId="57290B9D" w:rsidTr="005C590A">
        <w:tc>
          <w:tcPr>
            <w:tcW w:w="4675" w:type="dxa"/>
          </w:tcPr>
          <w:p w14:paraId="343AD972" w14:textId="77777777" w:rsidR="007A00B5" w:rsidRPr="00F01347" w:rsidRDefault="007A00B5" w:rsidP="007A00B5">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5CAF6EC9" w14:textId="091ACB2D" w:rsidR="007A00B5" w:rsidRPr="00F01347" w:rsidRDefault="007A00B5" w:rsidP="007A00B5">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7A00B5" w:rsidRPr="00F01347" w14:paraId="11D4D8D7" w14:textId="3E737353" w:rsidTr="005C590A">
        <w:tc>
          <w:tcPr>
            <w:tcW w:w="4675" w:type="dxa"/>
          </w:tcPr>
          <w:p w14:paraId="3E92690C" w14:textId="77777777" w:rsidR="007A00B5" w:rsidRPr="00F01347" w:rsidRDefault="007A00B5" w:rsidP="007A00B5">
            <w:pPr>
              <w:pStyle w:val="texto0"/>
              <w:ind w:firstLine="0"/>
              <w:rPr>
                <w:rFonts w:ascii="Verdana" w:hAnsi="Verdana"/>
                <w:sz w:val="16"/>
                <w:szCs w:val="16"/>
              </w:rPr>
            </w:pPr>
            <w:proofErr w:type="spellStart"/>
            <w:r w:rsidRPr="00F01347">
              <w:rPr>
                <w:rFonts w:ascii="Verdana" w:hAnsi="Verdana"/>
                <w:sz w:val="16"/>
                <w:szCs w:val="16"/>
              </w:rPr>
              <w:t>FC</w:t>
            </w:r>
            <w:r w:rsidRPr="00F01347">
              <w:rPr>
                <w:rFonts w:ascii="Verdana" w:hAnsi="Verdana"/>
                <w:sz w:val="16"/>
                <w:szCs w:val="16"/>
                <w:vertAlign w:val="subscript"/>
              </w:rPr>
              <w:t>v</w:t>
            </w:r>
            <w:proofErr w:type="spellEnd"/>
            <w:r w:rsidRPr="00F01347">
              <w:rPr>
                <w:rFonts w:ascii="Verdana" w:hAnsi="Verdana"/>
                <w:sz w:val="16"/>
                <w:szCs w:val="16"/>
              </w:rPr>
              <w:tab/>
              <w:t>factor de calibración respuesta (cualquiera que aplique) de los compuestos del estándar de verificación.</w:t>
            </w:r>
          </w:p>
        </w:tc>
        <w:tc>
          <w:tcPr>
            <w:tcW w:w="4675" w:type="dxa"/>
          </w:tcPr>
          <w:p w14:paraId="6E1C1F00" w14:textId="3EC6B1CA" w:rsidR="007A00B5" w:rsidRPr="00F01347" w:rsidRDefault="007A00B5" w:rsidP="007A00B5">
            <w:pPr>
              <w:pStyle w:val="texto0"/>
              <w:ind w:firstLine="0"/>
              <w:rPr>
                <w:rFonts w:ascii="Verdana" w:hAnsi="Verdana"/>
                <w:sz w:val="16"/>
                <w:szCs w:val="16"/>
                <w:lang w:val="en-US"/>
              </w:rPr>
            </w:pPr>
            <w:proofErr w:type="spellStart"/>
            <w:r w:rsidRPr="00F01347">
              <w:rPr>
                <w:rFonts w:ascii="Verdana" w:hAnsi="Verdana"/>
                <w:sz w:val="16"/>
                <w:szCs w:val="16"/>
                <w:lang w:val="en-US"/>
              </w:rPr>
              <w:t>FC</w:t>
            </w:r>
            <w:r w:rsidRPr="00F01347">
              <w:rPr>
                <w:rFonts w:ascii="Verdana" w:hAnsi="Verdana"/>
                <w:sz w:val="16"/>
                <w:szCs w:val="16"/>
                <w:vertAlign w:val="subscript"/>
                <w:lang w:val="en-US"/>
              </w:rPr>
              <w:t>v</w:t>
            </w:r>
            <w:proofErr w:type="spellEnd"/>
            <w:r w:rsidRPr="00F01347">
              <w:rPr>
                <w:rFonts w:ascii="Verdana" w:hAnsi="Verdana"/>
                <w:sz w:val="16"/>
                <w:szCs w:val="16"/>
                <w:vertAlign w:val="subscript"/>
                <w:lang w:val="en-US"/>
              </w:rPr>
              <w:t xml:space="preserve"> </w:t>
            </w:r>
            <w:r w:rsidRPr="00F01347">
              <w:rPr>
                <w:rFonts w:ascii="Verdana" w:hAnsi="Verdana"/>
                <w:sz w:val="16"/>
                <w:szCs w:val="16"/>
                <w:lang w:val="en-US"/>
              </w:rPr>
              <w:tab/>
              <w:t>response calibration factor (whichever applies) of the verification standard compounds.</w:t>
            </w:r>
          </w:p>
        </w:tc>
      </w:tr>
      <w:tr w:rsidR="007A00B5" w:rsidRPr="00F01347" w14:paraId="70090704" w14:textId="3C1B765A" w:rsidTr="005C590A">
        <w:tc>
          <w:tcPr>
            <w:tcW w:w="4675" w:type="dxa"/>
          </w:tcPr>
          <w:p w14:paraId="2D8F5DAA" w14:textId="77777777" w:rsidR="007A00B5" w:rsidRPr="00F01347" w:rsidRDefault="007A00B5" w:rsidP="007A00B5">
            <w:pPr>
              <w:pStyle w:val="texto0"/>
              <w:ind w:firstLine="0"/>
              <w:rPr>
                <w:rFonts w:ascii="Verdana" w:hAnsi="Verdana"/>
                <w:sz w:val="16"/>
                <w:szCs w:val="16"/>
              </w:rPr>
            </w:pPr>
            <w:r w:rsidRPr="00F01347">
              <w:rPr>
                <w:rFonts w:ascii="Verdana" w:hAnsi="Verdana"/>
                <w:sz w:val="16"/>
                <w:szCs w:val="16"/>
              </w:rPr>
              <w:t>FC</w:t>
            </w:r>
            <w:r w:rsidRPr="00F01347">
              <w:rPr>
                <w:rFonts w:ascii="Verdana" w:hAnsi="Verdana"/>
                <w:sz w:val="16"/>
                <w:szCs w:val="16"/>
              </w:rPr>
              <w:tab/>
              <w:t>media del factor de calibración o la media del factor de respuesta de la calibración Inicial.</w:t>
            </w:r>
          </w:p>
        </w:tc>
        <w:tc>
          <w:tcPr>
            <w:tcW w:w="4675" w:type="dxa"/>
          </w:tcPr>
          <w:p w14:paraId="04981BF6" w14:textId="10075D7F" w:rsidR="007A00B5" w:rsidRPr="00F01347" w:rsidRDefault="009F384B" w:rsidP="007A00B5">
            <w:pPr>
              <w:pStyle w:val="texto0"/>
              <w:ind w:firstLine="0"/>
              <w:rPr>
                <w:rFonts w:ascii="Verdana" w:hAnsi="Verdana"/>
                <w:sz w:val="16"/>
                <w:szCs w:val="16"/>
                <w:lang w:val="en-US"/>
              </w:rPr>
            </w:pPr>
            <w:r>
              <w:rPr>
                <w:rFonts w:ascii="Verdana" w:hAnsi="Verdana"/>
                <w:sz w:val="16"/>
                <w:szCs w:val="16"/>
                <w:lang w:val="en-US"/>
              </w:rPr>
              <w:t>FC</w:t>
            </w:r>
            <w:r w:rsidR="007A00B5" w:rsidRPr="00F01347">
              <w:rPr>
                <w:rFonts w:ascii="Verdana" w:hAnsi="Verdana"/>
                <w:sz w:val="16"/>
                <w:szCs w:val="16"/>
                <w:lang w:val="en-US"/>
              </w:rPr>
              <w:t xml:space="preserve"> </w:t>
            </w:r>
            <w:r w:rsidR="007A00B5" w:rsidRPr="00F01347">
              <w:rPr>
                <w:rFonts w:ascii="Verdana" w:hAnsi="Verdana"/>
                <w:sz w:val="16"/>
                <w:szCs w:val="16"/>
                <w:lang w:val="en-US"/>
              </w:rPr>
              <w:tab/>
              <w:t>of the calibration factor or the mean of the Initial calibration response factor.</w:t>
            </w:r>
          </w:p>
        </w:tc>
      </w:tr>
      <w:tr w:rsidR="007A00B5" w:rsidRPr="00F01347" w14:paraId="4B08D5A4" w14:textId="555587C4" w:rsidTr="005C590A">
        <w:tc>
          <w:tcPr>
            <w:tcW w:w="4675" w:type="dxa"/>
          </w:tcPr>
          <w:p w14:paraId="255F1080" w14:textId="77777777" w:rsidR="007A00B5" w:rsidRPr="00F01347" w:rsidRDefault="007A00B5" w:rsidP="007A00B5">
            <w:pPr>
              <w:pStyle w:val="texto0"/>
              <w:ind w:firstLine="0"/>
              <w:rPr>
                <w:rFonts w:ascii="Verdana" w:hAnsi="Verdana"/>
                <w:sz w:val="16"/>
                <w:szCs w:val="16"/>
              </w:rPr>
            </w:pPr>
            <w:r w:rsidRPr="00F01347">
              <w:rPr>
                <w:rFonts w:ascii="Verdana" w:hAnsi="Verdana"/>
                <w:sz w:val="16"/>
                <w:szCs w:val="16"/>
              </w:rPr>
              <w:t>Si el criterio de aceptación para la diferencia de la concentración es mayor a 15% proceder a la revisión del sistema cromatográfico o a la preparación de la solución estándar utilizada (concentración media de la curva de calibración).</w:t>
            </w:r>
          </w:p>
        </w:tc>
        <w:tc>
          <w:tcPr>
            <w:tcW w:w="4675" w:type="dxa"/>
          </w:tcPr>
          <w:p w14:paraId="4D466084" w14:textId="657B88EC" w:rsidR="007A00B5" w:rsidRPr="00F01347" w:rsidRDefault="007A00B5" w:rsidP="007A00B5">
            <w:pPr>
              <w:pStyle w:val="texto0"/>
              <w:ind w:firstLine="0"/>
              <w:rPr>
                <w:rFonts w:ascii="Verdana" w:hAnsi="Verdana"/>
                <w:sz w:val="16"/>
                <w:szCs w:val="16"/>
                <w:lang w:val="en-US"/>
              </w:rPr>
            </w:pPr>
            <w:r w:rsidRPr="00F01347">
              <w:rPr>
                <w:rFonts w:ascii="Verdana" w:hAnsi="Verdana"/>
                <w:sz w:val="16"/>
                <w:szCs w:val="16"/>
                <w:lang w:val="en-US"/>
              </w:rPr>
              <w:t>If the acceptance criterion for the concentration difference is greater than 15%, proceed to review the chromatographic system or prepare the standard solution used (average concentration of the calibration curve).</w:t>
            </w:r>
          </w:p>
        </w:tc>
      </w:tr>
      <w:tr w:rsidR="007A00B5" w:rsidRPr="00F01347" w14:paraId="6180C01E" w14:textId="3C0D34DE" w:rsidTr="005C590A">
        <w:tc>
          <w:tcPr>
            <w:tcW w:w="4675" w:type="dxa"/>
          </w:tcPr>
          <w:p w14:paraId="2CF8D7EF" w14:textId="77777777" w:rsidR="007A00B5" w:rsidRPr="00F01347" w:rsidRDefault="007A00B5" w:rsidP="007A00B5">
            <w:pPr>
              <w:pStyle w:val="texto0"/>
              <w:ind w:firstLine="0"/>
              <w:rPr>
                <w:rFonts w:ascii="Verdana" w:hAnsi="Verdana"/>
                <w:b/>
                <w:sz w:val="16"/>
                <w:szCs w:val="16"/>
              </w:rPr>
            </w:pPr>
            <w:r w:rsidRPr="00F01347">
              <w:rPr>
                <w:rFonts w:ascii="Verdana" w:hAnsi="Verdana"/>
                <w:b/>
                <w:sz w:val="16"/>
                <w:szCs w:val="16"/>
              </w:rPr>
              <w:t xml:space="preserve">B.13.7.1.3 </w:t>
            </w:r>
            <w:r w:rsidRPr="00F01347">
              <w:rPr>
                <w:rFonts w:ascii="Verdana" w:hAnsi="Verdana"/>
                <w:sz w:val="16"/>
                <w:szCs w:val="16"/>
              </w:rPr>
              <w:t>Verificación de contaminación de reactivos.</w:t>
            </w:r>
          </w:p>
        </w:tc>
        <w:tc>
          <w:tcPr>
            <w:tcW w:w="4675" w:type="dxa"/>
          </w:tcPr>
          <w:p w14:paraId="61B1F8E5" w14:textId="4F40A68B" w:rsidR="007A00B5" w:rsidRPr="00F01347" w:rsidRDefault="007A00B5" w:rsidP="007A00B5">
            <w:pPr>
              <w:pStyle w:val="texto0"/>
              <w:ind w:firstLine="0"/>
              <w:rPr>
                <w:rFonts w:ascii="Verdana" w:hAnsi="Verdana"/>
                <w:b/>
                <w:sz w:val="16"/>
                <w:szCs w:val="16"/>
                <w:lang w:val="en-US"/>
              </w:rPr>
            </w:pPr>
            <w:r w:rsidRPr="00F01347">
              <w:rPr>
                <w:rFonts w:ascii="Verdana" w:hAnsi="Verdana"/>
                <w:b/>
                <w:sz w:val="16"/>
                <w:szCs w:val="16"/>
                <w:lang w:val="en-US"/>
              </w:rPr>
              <w:t xml:space="preserve">B.13.7.1.3 </w:t>
            </w:r>
            <w:r w:rsidRPr="00F01347">
              <w:rPr>
                <w:rFonts w:ascii="Verdana" w:hAnsi="Verdana"/>
                <w:sz w:val="16"/>
                <w:szCs w:val="16"/>
                <w:lang w:val="en-US"/>
              </w:rPr>
              <w:t>Verification of reagent contamination.</w:t>
            </w:r>
          </w:p>
        </w:tc>
      </w:tr>
      <w:tr w:rsidR="007A00B5" w:rsidRPr="00F01347" w14:paraId="6159A571" w14:textId="1377D617" w:rsidTr="005C590A">
        <w:tc>
          <w:tcPr>
            <w:tcW w:w="4675" w:type="dxa"/>
          </w:tcPr>
          <w:p w14:paraId="23572600" w14:textId="77777777" w:rsidR="007A00B5" w:rsidRPr="00F01347" w:rsidRDefault="007A00B5" w:rsidP="007A00B5">
            <w:pPr>
              <w:pStyle w:val="texto0"/>
              <w:ind w:firstLine="0"/>
              <w:rPr>
                <w:rFonts w:ascii="Verdana" w:hAnsi="Verdana"/>
                <w:sz w:val="16"/>
                <w:szCs w:val="16"/>
              </w:rPr>
            </w:pPr>
            <w:r w:rsidRPr="00F01347">
              <w:rPr>
                <w:rFonts w:ascii="Verdana" w:hAnsi="Verdana"/>
                <w:sz w:val="16"/>
                <w:szCs w:val="16"/>
              </w:rPr>
              <w:t>Para cada lote de análisis preparar un blanco de reactivos, procesando agua tipo I de la misma forma en que se procesan las muestras reales, utilizando los mismos solventes y reactivos.</w:t>
            </w:r>
          </w:p>
        </w:tc>
        <w:tc>
          <w:tcPr>
            <w:tcW w:w="4675" w:type="dxa"/>
          </w:tcPr>
          <w:p w14:paraId="775CF284" w14:textId="7E41F00B" w:rsidR="007A00B5" w:rsidRPr="00F01347" w:rsidRDefault="007A00B5" w:rsidP="007A00B5">
            <w:pPr>
              <w:pStyle w:val="texto0"/>
              <w:ind w:firstLine="0"/>
              <w:rPr>
                <w:rFonts w:ascii="Verdana" w:hAnsi="Verdana"/>
                <w:sz w:val="16"/>
                <w:szCs w:val="16"/>
                <w:lang w:val="en-US"/>
              </w:rPr>
            </w:pPr>
            <w:r w:rsidRPr="00F01347">
              <w:rPr>
                <w:rFonts w:ascii="Verdana" w:hAnsi="Verdana"/>
                <w:sz w:val="16"/>
                <w:szCs w:val="16"/>
                <w:lang w:val="en-US"/>
              </w:rPr>
              <w:t>For each analysis batch, prepare a reagent blank, processing type I water in the same way that real samples are processed, using the same solvents and reagents.</w:t>
            </w:r>
          </w:p>
        </w:tc>
      </w:tr>
      <w:tr w:rsidR="007A00B5" w:rsidRPr="00F01347" w14:paraId="19BED32F" w14:textId="07FE3E3F" w:rsidTr="005C590A">
        <w:tc>
          <w:tcPr>
            <w:tcW w:w="4675" w:type="dxa"/>
          </w:tcPr>
          <w:p w14:paraId="472CB8EA" w14:textId="77777777" w:rsidR="007A00B5" w:rsidRPr="00F01347" w:rsidRDefault="007A00B5" w:rsidP="007A00B5">
            <w:pPr>
              <w:pStyle w:val="texto0"/>
              <w:ind w:firstLine="0"/>
              <w:rPr>
                <w:rFonts w:ascii="Verdana" w:hAnsi="Verdana"/>
                <w:sz w:val="16"/>
                <w:szCs w:val="16"/>
              </w:rPr>
            </w:pPr>
            <w:r w:rsidRPr="00F01347">
              <w:rPr>
                <w:rFonts w:ascii="Verdana" w:hAnsi="Verdana"/>
                <w:sz w:val="16"/>
                <w:szCs w:val="16"/>
              </w:rPr>
              <w:t>El blanco de reactivos no deberá presentar ningún pico a excepción del pico del solvente, en caso de que se presenten picos en el cromatograma proceder a la localización de la fuente de contaminación (solventes, reactivos o material).</w:t>
            </w:r>
          </w:p>
        </w:tc>
        <w:tc>
          <w:tcPr>
            <w:tcW w:w="4675" w:type="dxa"/>
          </w:tcPr>
          <w:p w14:paraId="3FA6BAB2" w14:textId="09982E74" w:rsidR="007A00B5" w:rsidRPr="00F01347" w:rsidRDefault="007A00B5" w:rsidP="007A00B5">
            <w:pPr>
              <w:pStyle w:val="texto0"/>
              <w:ind w:firstLine="0"/>
              <w:rPr>
                <w:rFonts w:ascii="Verdana" w:hAnsi="Verdana"/>
                <w:sz w:val="16"/>
                <w:szCs w:val="16"/>
                <w:lang w:val="en-US"/>
              </w:rPr>
            </w:pPr>
            <w:r w:rsidRPr="00F01347">
              <w:rPr>
                <w:rFonts w:ascii="Verdana" w:hAnsi="Verdana"/>
                <w:sz w:val="16"/>
                <w:szCs w:val="16"/>
                <w:lang w:val="en-US"/>
              </w:rPr>
              <w:t xml:space="preserve">The reagent blank should not present any peak except for the solvent peak. If peaks occur in the chromatogram, proceed to locate the source of contamination (solvents, </w:t>
            </w:r>
            <w:r w:rsidR="005C590A" w:rsidRPr="00F01347">
              <w:rPr>
                <w:rFonts w:ascii="Verdana" w:hAnsi="Verdana"/>
                <w:sz w:val="16"/>
                <w:szCs w:val="16"/>
                <w:lang w:val="en-US"/>
              </w:rPr>
              <w:t>reagents,</w:t>
            </w:r>
            <w:r w:rsidRPr="00F01347">
              <w:rPr>
                <w:rFonts w:ascii="Verdana" w:hAnsi="Verdana"/>
                <w:sz w:val="16"/>
                <w:szCs w:val="16"/>
                <w:lang w:val="en-US"/>
              </w:rPr>
              <w:t xml:space="preserve"> or material).</w:t>
            </w:r>
          </w:p>
        </w:tc>
      </w:tr>
      <w:tr w:rsidR="007A00B5" w:rsidRPr="00F01347" w14:paraId="6752EA6A" w14:textId="5F2A83B1" w:rsidTr="005C590A">
        <w:tc>
          <w:tcPr>
            <w:tcW w:w="4675" w:type="dxa"/>
          </w:tcPr>
          <w:p w14:paraId="48B87450" w14:textId="77777777" w:rsidR="007A00B5" w:rsidRPr="00F01347" w:rsidRDefault="007A00B5" w:rsidP="007A00B5">
            <w:pPr>
              <w:pStyle w:val="texto0"/>
              <w:ind w:firstLine="0"/>
              <w:rPr>
                <w:rFonts w:ascii="Verdana" w:hAnsi="Verdana"/>
                <w:sz w:val="16"/>
                <w:szCs w:val="16"/>
              </w:rPr>
            </w:pPr>
            <w:r w:rsidRPr="00F01347">
              <w:rPr>
                <w:rFonts w:ascii="Verdana" w:hAnsi="Verdana"/>
                <w:b/>
                <w:sz w:val="16"/>
                <w:szCs w:val="16"/>
              </w:rPr>
              <w:t xml:space="preserve">B.13.7.1.4 </w:t>
            </w:r>
            <w:r w:rsidRPr="00F01347">
              <w:rPr>
                <w:rFonts w:ascii="Verdana" w:hAnsi="Verdana"/>
                <w:sz w:val="16"/>
                <w:szCs w:val="16"/>
              </w:rPr>
              <w:t>Verificación del proceso analítico.</w:t>
            </w:r>
          </w:p>
        </w:tc>
        <w:tc>
          <w:tcPr>
            <w:tcW w:w="4675" w:type="dxa"/>
          </w:tcPr>
          <w:p w14:paraId="7D0B15EF" w14:textId="7BFD547A" w:rsidR="007A00B5" w:rsidRPr="00F01347" w:rsidRDefault="007A00B5" w:rsidP="007A00B5">
            <w:pPr>
              <w:pStyle w:val="texto0"/>
              <w:ind w:firstLine="0"/>
              <w:rPr>
                <w:rFonts w:ascii="Verdana" w:hAnsi="Verdana"/>
                <w:b/>
                <w:sz w:val="16"/>
                <w:szCs w:val="16"/>
                <w:lang w:val="en-US"/>
              </w:rPr>
            </w:pPr>
            <w:r w:rsidRPr="00F01347">
              <w:rPr>
                <w:rFonts w:ascii="Verdana" w:hAnsi="Verdana"/>
                <w:b/>
                <w:sz w:val="16"/>
                <w:szCs w:val="16"/>
                <w:lang w:val="en-US"/>
              </w:rPr>
              <w:t xml:space="preserve">B.13.7.1.4 </w:t>
            </w:r>
            <w:r w:rsidRPr="00F01347">
              <w:rPr>
                <w:rFonts w:ascii="Verdana" w:hAnsi="Verdana"/>
                <w:sz w:val="16"/>
                <w:szCs w:val="16"/>
                <w:lang w:val="en-US"/>
              </w:rPr>
              <w:t>Verification of the analytical process.</w:t>
            </w:r>
          </w:p>
        </w:tc>
      </w:tr>
      <w:tr w:rsidR="007A00B5" w:rsidRPr="00F01347" w14:paraId="2A0E174D" w14:textId="06ABD284" w:rsidTr="005C590A">
        <w:tc>
          <w:tcPr>
            <w:tcW w:w="4675" w:type="dxa"/>
          </w:tcPr>
          <w:p w14:paraId="72F7DE0A" w14:textId="77777777" w:rsidR="007A00B5" w:rsidRPr="00F01347" w:rsidRDefault="007A00B5" w:rsidP="007A00B5">
            <w:pPr>
              <w:pStyle w:val="texto0"/>
              <w:spacing w:after="60"/>
              <w:ind w:firstLine="0"/>
              <w:rPr>
                <w:rFonts w:ascii="Verdana" w:hAnsi="Verdana"/>
                <w:sz w:val="16"/>
                <w:szCs w:val="16"/>
              </w:rPr>
            </w:pPr>
            <w:r w:rsidRPr="00F01347">
              <w:rPr>
                <w:rFonts w:ascii="Verdana" w:hAnsi="Verdana"/>
                <w:sz w:val="16"/>
                <w:szCs w:val="16"/>
              </w:rPr>
              <w:t>Verificar que la recuperación promedio de la muestra de control de calidad esté entre el 70% y el 130%, en caso de no cumplir con el criterio, proceder a la revisión del sistema cromatográfico, a la preparación de la muestra control, etc. Determinar el error, corregir y continuar con el análisis.</w:t>
            </w:r>
          </w:p>
        </w:tc>
        <w:tc>
          <w:tcPr>
            <w:tcW w:w="4675" w:type="dxa"/>
          </w:tcPr>
          <w:p w14:paraId="08B7BDA4" w14:textId="409EB7C5" w:rsidR="007A00B5" w:rsidRPr="00F01347" w:rsidRDefault="007A00B5" w:rsidP="007A00B5">
            <w:pPr>
              <w:pStyle w:val="texto0"/>
              <w:spacing w:after="60"/>
              <w:ind w:firstLine="0"/>
              <w:rPr>
                <w:rFonts w:ascii="Verdana" w:hAnsi="Verdana"/>
                <w:sz w:val="16"/>
                <w:szCs w:val="16"/>
                <w:lang w:val="en-US"/>
              </w:rPr>
            </w:pPr>
            <w:r w:rsidRPr="00F01347">
              <w:rPr>
                <w:rFonts w:ascii="Verdana" w:hAnsi="Verdana"/>
                <w:sz w:val="16"/>
                <w:szCs w:val="16"/>
                <w:lang w:val="en-US"/>
              </w:rPr>
              <w:t xml:space="preserve">Verify that the average recovery of the quality control sample is between 70% and 130%, if the criterion is not met, proceed to review the chromatographic system, prepare the control sample, etc. Determine the error, correct </w:t>
            </w:r>
            <w:proofErr w:type="gramStart"/>
            <w:r w:rsidRPr="00F01347">
              <w:rPr>
                <w:rFonts w:ascii="Verdana" w:hAnsi="Verdana"/>
                <w:sz w:val="16"/>
                <w:szCs w:val="16"/>
                <w:lang w:val="en-US"/>
              </w:rPr>
              <w:t>it</w:t>
            </w:r>
            <w:proofErr w:type="gramEnd"/>
            <w:r w:rsidRPr="00F01347">
              <w:rPr>
                <w:rFonts w:ascii="Verdana" w:hAnsi="Verdana"/>
                <w:sz w:val="16"/>
                <w:szCs w:val="16"/>
                <w:lang w:val="en-US"/>
              </w:rPr>
              <w:t xml:space="preserve"> and continue the analysis.</w:t>
            </w:r>
          </w:p>
        </w:tc>
      </w:tr>
      <w:tr w:rsidR="007A00B5" w:rsidRPr="00F01347" w14:paraId="242FE0FB" w14:textId="1EAB71AA" w:rsidTr="005C590A">
        <w:tc>
          <w:tcPr>
            <w:tcW w:w="4675" w:type="dxa"/>
          </w:tcPr>
          <w:p w14:paraId="79A0AD93" w14:textId="77777777" w:rsidR="007A00B5" w:rsidRPr="00F01347" w:rsidRDefault="007A00B5" w:rsidP="007A00B5">
            <w:pPr>
              <w:pStyle w:val="texto0"/>
              <w:spacing w:after="60"/>
              <w:ind w:firstLine="0"/>
              <w:rPr>
                <w:rFonts w:ascii="Verdana" w:hAnsi="Verdana"/>
                <w:b/>
                <w:sz w:val="16"/>
                <w:szCs w:val="16"/>
              </w:rPr>
            </w:pPr>
            <w:r w:rsidRPr="00F01347">
              <w:rPr>
                <w:rFonts w:ascii="Verdana" w:hAnsi="Verdana"/>
                <w:b/>
                <w:sz w:val="16"/>
                <w:szCs w:val="16"/>
              </w:rPr>
              <w:lastRenderedPageBreak/>
              <w:t xml:space="preserve">B.13.7.1.5 </w:t>
            </w:r>
            <w:r w:rsidRPr="00F01347">
              <w:rPr>
                <w:rFonts w:ascii="Verdana" w:hAnsi="Verdana"/>
                <w:sz w:val="16"/>
                <w:szCs w:val="16"/>
              </w:rPr>
              <w:t>Verificación de interferencia de matriz.</w:t>
            </w:r>
          </w:p>
        </w:tc>
        <w:tc>
          <w:tcPr>
            <w:tcW w:w="4675" w:type="dxa"/>
          </w:tcPr>
          <w:p w14:paraId="32344121" w14:textId="23FCC654" w:rsidR="007A00B5" w:rsidRPr="00F01347" w:rsidRDefault="007A00B5" w:rsidP="007A00B5">
            <w:pPr>
              <w:pStyle w:val="texto0"/>
              <w:spacing w:after="60"/>
              <w:ind w:firstLine="0"/>
              <w:rPr>
                <w:rFonts w:ascii="Verdana" w:hAnsi="Verdana"/>
                <w:b/>
                <w:sz w:val="16"/>
                <w:szCs w:val="16"/>
                <w:lang w:val="en-US"/>
              </w:rPr>
            </w:pPr>
            <w:r w:rsidRPr="00F01347">
              <w:rPr>
                <w:rFonts w:ascii="Verdana" w:hAnsi="Verdana"/>
                <w:b/>
                <w:sz w:val="16"/>
                <w:szCs w:val="16"/>
                <w:lang w:val="en-US"/>
              </w:rPr>
              <w:t xml:space="preserve">B.13.7.1.5 </w:t>
            </w:r>
            <w:r w:rsidRPr="00F01347">
              <w:rPr>
                <w:rFonts w:ascii="Verdana" w:hAnsi="Verdana"/>
                <w:sz w:val="16"/>
                <w:szCs w:val="16"/>
                <w:lang w:val="en-US"/>
              </w:rPr>
              <w:t>Matrix interference check.</w:t>
            </w:r>
          </w:p>
        </w:tc>
      </w:tr>
      <w:tr w:rsidR="007A00B5" w:rsidRPr="00F01347" w14:paraId="5A436706" w14:textId="3CCA8FA5" w:rsidTr="005C590A">
        <w:tc>
          <w:tcPr>
            <w:tcW w:w="4675" w:type="dxa"/>
          </w:tcPr>
          <w:p w14:paraId="5BD6CB55" w14:textId="77777777" w:rsidR="007A00B5" w:rsidRPr="00F01347" w:rsidRDefault="007A00B5" w:rsidP="007A00B5">
            <w:pPr>
              <w:pStyle w:val="texto0"/>
              <w:spacing w:after="60"/>
              <w:ind w:firstLine="0"/>
              <w:rPr>
                <w:rFonts w:ascii="Verdana" w:hAnsi="Verdana"/>
                <w:sz w:val="16"/>
                <w:szCs w:val="16"/>
              </w:rPr>
            </w:pPr>
            <w:r w:rsidRPr="00F01347">
              <w:rPr>
                <w:rFonts w:ascii="Verdana" w:hAnsi="Verdana"/>
                <w:sz w:val="16"/>
                <w:szCs w:val="16"/>
              </w:rPr>
              <w:t>Analizar muestras adicionadas. Verificar que la recuperación promedio de las muestras adicionadas esté entre 70 y 130 %, de no ser así, revisar el sistema cromatográfico, etc. Determinar la variación, corregir y continuar con el análisis.</w:t>
            </w:r>
          </w:p>
        </w:tc>
        <w:tc>
          <w:tcPr>
            <w:tcW w:w="4675" w:type="dxa"/>
          </w:tcPr>
          <w:p w14:paraId="41F57AC1" w14:textId="33513C1D" w:rsidR="007A00B5" w:rsidRPr="00F01347" w:rsidRDefault="007A00B5" w:rsidP="007A00B5">
            <w:pPr>
              <w:pStyle w:val="texto0"/>
              <w:spacing w:after="60"/>
              <w:ind w:firstLine="0"/>
              <w:rPr>
                <w:rFonts w:ascii="Verdana" w:hAnsi="Verdana"/>
                <w:sz w:val="16"/>
                <w:szCs w:val="16"/>
                <w:lang w:val="en-US"/>
              </w:rPr>
            </w:pPr>
            <w:r w:rsidRPr="00F01347">
              <w:rPr>
                <w:rFonts w:ascii="Verdana" w:hAnsi="Verdana"/>
                <w:sz w:val="16"/>
                <w:szCs w:val="16"/>
                <w:lang w:val="en-US"/>
              </w:rPr>
              <w:t xml:space="preserve">Analyze added samples. Verify that the average recovery of the added samples is between 70 and 130%, if not, review the chromatographic system, etc. Determine the variation, </w:t>
            </w:r>
            <w:proofErr w:type="gramStart"/>
            <w:r w:rsidRPr="00F01347">
              <w:rPr>
                <w:rFonts w:ascii="Verdana" w:hAnsi="Verdana"/>
                <w:sz w:val="16"/>
                <w:szCs w:val="16"/>
                <w:lang w:val="en-US"/>
              </w:rPr>
              <w:t>correct</w:t>
            </w:r>
            <w:proofErr w:type="gramEnd"/>
            <w:r w:rsidRPr="00F01347">
              <w:rPr>
                <w:rFonts w:ascii="Verdana" w:hAnsi="Verdana"/>
                <w:sz w:val="16"/>
                <w:szCs w:val="16"/>
                <w:lang w:val="en-US"/>
              </w:rPr>
              <w:t xml:space="preserve"> and continue with the analysis.</w:t>
            </w:r>
          </w:p>
        </w:tc>
      </w:tr>
      <w:tr w:rsidR="007A00B5" w:rsidRPr="00F01347" w14:paraId="78CD3F15" w14:textId="4DE809E9" w:rsidTr="005C590A">
        <w:tc>
          <w:tcPr>
            <w:tcW w:w="4675" w:type="dxa"/>
          </w:tcPr>
          <w:p w14:paraId="66D447A4" w14:textId="77777777" w:rsidR="007A00B5" w:rsidRPr="00F01347" w:rsidRDefault="007A00B5" w:rsidP="007A00B5">
            <w:pPr>
              <w:pStyle w:val="texto0"/>
              <w:spacing w:after="60"/>
              <w:ind w:firstLine="0"/>
              <w:rPr>
                <w:rFonts w:ascii="Verdana" w:hAnsi="Verdana"/>
                <w:b/>
                <w:sz w:val="16"/>
                <w:szCs w:val="16"/>
              </w:rPr>
            </w:pPr>
            <w:r w:rsidRPr="00F01347">
              <w:rPr>
                <w:rFonts w:ascii="Verdana" w:hAnsi="Verdana"/>
                <w:b/>
                <w:sz w:val="16"/>
                <w:szCs w:val="16"/>
              </w:rPr>
              <w:t xml:space="preserve">B.13.7.1.6 </w:t>
            </w:r>
            <w:r w:rsidRPr="00F01347">
              <w:rPr>
                <w:rFonts w:ascii="Verdana" w:hAnsi="Verdana"/>
                <w:sz w:val="16"/>
                <w:szCs w:val="16"/>
              </w:rPr>
              <w:t>Verificación de la precisión del proceso analítico.</w:t>
            </w:r>
          </w:p>
        </w:tc>
        <w:tc>
          <w:tcPr>
            <w:tcW w:w="4675" w:type="dxa"/>
          </w:tcPr>
          <w:p w14:paraId="59D0FCD2" w14:textId="4E7BF5D5" w:rsidR="007A00B5" w:rsidRPr="00F01347" w:rsidRDefault="007A00B5" w:rsidP="007A00B5">
            <w:pPr>
              <w:pStyle w:val="texto0"/>
              <w:spacing w:after="60"/>
              <w:ind w:firstLine="0"/>
              <w:rPr>
                <w:rFonts w:ascii="Verdana" w:hAnsi="Verdana"/>
                <w:b/>
                <w:sz w:val="16"/>
                <w:szCs w:val="16"/>
                <w:lang w:val="en-US"/>
              </w:rPr>
            </w:pPr>
            <w:r w:rsidRPr="00F01347">
              <w:rPr>
                <w:rFonts w:ascii="Verdana" w:hAnsi="Verdana"/>
                <w:b/>
                <w:sz w:val="16"/>
                <w:szCs w:val="16"/>
                <w:lang w:val="en-US"/>
              </w:rPr>
              <w:t xml:space="preserve">B.13.7.1.6 </w:t>
            </w:r>
            <w:r w:rsidRPr="00F01347">
              <w:rPr>
                <w:rFonts w:ascii="Verdana" w:hAnsi="Verdana"/>
                <w:sz w:val="16"/>
                <w:szCs w:val="16"/>
                <w:lang w:val="en-US"/>
              </w:rPr>
              <w:t>Verification of the precision of the analytical process.</w:t>
            </w:r>
          </w:p>
        </w:tc>
      </w:tr>
      <w:tr w:rsidR="007A00B5" w:rsidRPr="00F01347" w14:paraId="36ECA83B" w14:textId="5A7E58C1" w:rsidTr="005C590A">
        <w:tc>
          <w:tcPr>
            <w:tcW w:w="4675" w:type="dxa"/>
          </w:tcPr>
          <w:p w14:paraId="74FA0708" w14:textId="77777777" w:rsidR="007A00B5" w:rsidRPr="00F01347" w:rsidRDefault="007A00B5" w:rsidP="007A00B5">
            <w:pPr>
              <w:pStyle w:val="texto0"/>
              <w:spacing w:after="60"/>
              <w:ind w:firstLine="0"/>
              <w:rPr>
                <w:rFonts w:ascii="Verdana" w:hAnsi="Verdana"/>
                <w:sz w:val="16"/>
                <w:szCs w:val="16"/>
              </w:rPr>
            </w:pPr>
            <w:r w:rsidRPr="00F01347">
              <w:rPr>
                <w:rFonts w:ascii="Verdana" w:hAnsi="Verdana"/>
                <w:sz w:val="16"/>
                <w:szCs w:val="16"/>
              </w:rPr>
              <w:t>La precisión del lote analítico se realiza mediante el análisis de una muestra por duplicado. Calcular la diferencia porcentual relativa entre la muestra y la muestra duplicada, el valor deberá ser menor al 20%:</w:t>
            </w:r>
          </w:p>
        </w:tc>
        <w:tc>
          <w:tcPr>
            <w:tcW w:w="4675" w:type="dxa"/>
          </w:tcPr>
          <w:p w14:paraId="3C1FC393" w14:textId="0492C94B" w:rsidR="007A00B5" w:rsidRPr="00F01347" w:rsidRDefault="007A00B5" w:rsidP="007A00B5">
            <w:pPr>
              <w:pStyle w:val="texto0"/>
              <w:spacing w:after="60"/>
              <w:ind w:firstLine="0"/>
              <w:rPr>
                <w:rFonts w:ascii="Verdana" w:hAnsi="Verdana"/>
                <w:sz w:val="16"/>
                <w:szCs w:val="16"/>
                <w:lang w:val="en-US"/>
              </w:rPr>
            </w:pPr>
            <w:r w:rsidRPr="00F01347">
              <w:rPr>
                <w:rFonts w:ascii="Verdana" w:hAnsi="Verdana"/>
                <w:sz w:val="16"/>
                <w:szCs w:val="16"/>
                <w:lang w:val="en-US"/>
              </w:rPr>
              <w:t>Analytical batch precision is determined by analyzing a sample in duplicate. Calculate the relative percentage difference between the sample and the duplicate sample, the value must be less than 20%:</w:t>
            </w:r>
          </w:p>
        </w:tc>
      </w:tr>
    </w:tbl>
    <w:p w14:paraId="41158F41" w14:textId="70C44292" w:rsidR="00A74CDF" w:rsidRPr="00F01347" w:rsidRDefault="00A74CDF" w:rsidP="003A601B">
      <w:pPr>
        <w:pStyle w:val="texto0"/>
        <w:spacing w:after="60"/>
        <w:rPr>
          <w:rFonts w:ascii="Verdana" w:hAnsi="Verdana"/>
          <w:sz w:val="16"/>
          <w:szCs w:val="16"/>
          <w:lang w:val="en-US"/>
        </w:rPr>
      </w:pPr>
    </w:p>
    <w:p w14:paraId="73257745" w14:textId="74D4083D" w:rsidR="00A74CDF" w:rsidRPr="00F01347" w:rsidRDefault="00471638" w:rsidP="009D1DE5">
      <w:pPr>
        <w:pStyle w:val="texto0"/>
        <w:spacing w:line="240" w:lineRule="auto"/>
        <w:ind w:left="630" w:firstLine="0"/>
        <w:jc w:val="center"/>
        <w:rPr>
          <w:rFonts w:ascii="Verdana" w:hAnsi="Verdana"/>
          <w:sz w:val="16"/>
          <w:szCs w:val="16"/>
        </w:rPr>
      </w:pPr>
      <w:r w:rsidRPr="00F01347">
        <w:rPr>
          <w:rFonts w:ascii="Verdana" w:hAnsi="Verdana"/>
          <w:noProof/>
          <w:sz w:val="16"/>
          <w:szCs w:val="16"/>
        </w:rPr>
        <w:drawing>
          <wp:inline distT="0" distB="0" distL="0" distR="0" wp14:anchorId="1B1C5DD6" wp14:editId="7AD7DF91">
            <wp:extent cx="3086100" cy="304800"/>
            <wp:effectExtent l="0" t="0" r="0" b="0"/>
            <wp:docPr id="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086100" cy="304800"/>
                    </a:xfrm>
                    <a:prstGeom prst="rect">
                      <a:avLst/>
                    </a:prstGeom>
                    <a:noFill/>
                    <a:ln>
                      <a:noFill/>
                    </a:ln>
                  </pic:spPr>
                </pic:pic>
              </a:graphicData>
            </a:graphic>
          </wp:inline>
        </w:drawing>
      </w:r>
    </w:p>
    <w:p w14:paraId="330ACE54" w14:textId="7404B3B6" w:rsidR="008C233D" w:rsidRPr="00F01347" w:rsidRDefault="008C233D" w:rsidP="009D1DE5">
      <w:pPr>
        <w:pStyle w:val="texto0"/>
        <w:spacing w:line="240" w:lineRule="auto"/>
        <w:ind w:left="630" w:firstLine="0"/>
        <w:jc w:val="center"/>
        <w:rPr>
          <w:rFonts w:ascii="Verdana" w:hAnsi="Verdana"/>
          <w:sz w:val="16"/>
          <w:szCs w:val="16"/>
        </w:rPr>
      </w:pPr>
      <w:r w:rsidRPr="00F01347">
        <w:rPr>
          <w:noProof/>
        </w:rPr>
        <w:drawing>
          <wp:inline distT="0" distB="0" distL="0" distR="0" wp14:anchorId="736F5556" wp14:editId="7260283A">
            <wp:extent cx="3374186" cy="570807"/>
            <wp:effectExtent l="0" t="0" r="0" b="1270"/>
            <wp:docPr id="11940649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064936" name="Picture 1" descr="A screenshot of a computer&#10;&#10;Description automatically generated"/>
                    <pic:cNvPicPr>
                      <a:picLocks noChangeAspect="1"/>
                    </pic:cNvPicPr>
                  </pic:nvPicPr>
                  <pic:blipFill rotWithShape="1">
                    <a:blip r:embed="rId116"/>
                    <a:srcRect l="28252" t="60171" r="42561" b="31043"/>
                    <a:stretch/>
                  </pic:blipFill>
                  <pic:spPr bwMode="auto">
                    <a:xfrm>
                      <a:off x="0" y="0"/>
                      <a:ext cx="3433796" cy="58089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C586A" w:rsidRPr="00F01347" w14:paraId="7BEA2728" w14:textId="0A6B99D0" w:rsidTr="008C233D">
        <w:tc>
          <w:tcPr>
            <w:tcW w:w="4675" w:type="dxa"/>
          </w:tcPr>
          <w:p w14:paraId="4941C9DE" w14:textId="77777777" w:rsidR="00BC586A" w:rsidRPr="00F01347" w:rsidRDefault="00BC586A" w:rsidP="00BC586A">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5CF88126" w14:textId="2D3404CA" w:rsidR="00BC586A" w:rsidRPr="00F01347" w:rsidRDefault="00BC586A" w:rsidP="00BC586A">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BC586A" w:rsidRPr="00F01347" w14:paraId="039AF7BD" w14:textId="1F182348" w:rsidTr="008C233D">
        <w:tc>
          <w:tcPr>
            <w:tcW w:w="4675" w:type="dxa"/>
          </w:tcPr>
          <w:p w14:paraId="60ED1DBE" w14:textId="77777777" w:rsidR="00BC586A" w:rsidRPr="00F01347" w:rsidRDefault="00BC586A" w:rsidP="00BC586A">
            <w:pPr>
              <w:pStyle w:val="texto0"/>
              <w:spacing w:after="66"/>
              <w:ind w:firstLine="0"/>
              <w:rPr>
                <w:rFonts w:ascii="Verdana" w:hAnsi="Verdana"/>
                <w:sz w:val="16"/>
                <w:szCs w:val="16"/>
              </w:rPr>
            </w:pPr>
            <w:r w:rsidRPr="00F01347">
              <w:rPr>
                <w:rFonts w:ascii="Verdana" w:hAnsi="Verdana"/>
                <w:sz w:val="16"/>
                <w:szCs w:val="16"/>
              </w:rPr>
              <w:t>X1</w:t>
            </w:r>
            <w:r w:rsidRPr="00F01347">
              <w:rPr>
                <w:rFonts w:ascii="Verdana" w:hAnsi="Verdana"/>
                <w:sz w:val="16"/>
                <w:szCs w:val="16"/>
              </w:rPr>
              <w:tab/>
              <w:t>valor de concentración del compuesto en la muestra.</w:t>
            </w:r>
          </w:p>
        </w:tc>
        <w:tc>
          <w:tcPr>
            <w:tcW w:w="4675" w:type="dxa"/>
          </w:tcPr>
          <w:p w14:paraId="7C0E4A6F" w14:textId="3FA896BE" w:rsidR="00BC586A" w:rsidRPr="00F01347" w:rsidRDefault="00BC586A" w:rsidP="00BC586A">
            <w:pPr>
              <w:pStyle w:val="texto0"/>
              <w:spacing w:after="66"/>
              <w:ind w:firstLine="0"/>
              <w:rPr>
                <w:rFonts w:ascii="Verdana" w:hAnsi="Verdana"/>
                <w:sz w:val="16"/>
                <w:szCs w:val="16"/>
                <w:lang w:val="en-US"/>
              </w:rPr>
            </w:pPr>
            <w:r w:rsidRPr="00F01347">
              <w:rPr>
                <w:rFonts w:ascii="Verdana" w:hAnsi="Verdana"/>
                <w:sz w:val="16"/>
                <w:szCs w:val="16"/>
                <w:lang w:val="en-US"/>
              </w:rPr>
              <w:t xml:space="preserve">X1 </w:t>
            </w:r>
            <w:r w:rsidRPr="00F01347">
              <w:rPr>
                <w:rFonts w:ascii="Verdana" w:hAnsi="Verdana"/>
                <w:sz w:val="16"/>
                <w:szCs w:val="16"/>
                <w:lang w:val="en-US"/>
              </w:rPr>
              <w:tab/>
              <w:t>concentration value of the compound in the sample.</w:t>
            </w:r>
          </w:p>
        </w:tc>
      </w:tr>
      <w:tr w:rsidR="00BC586A" w:rsidRPr="00F01347" w14:paraId="17F235B9" w14:textId="14DADDA5" w:rsidTr="008C233D">
        <w:tc>
          <w:tcPr>
            <w:tcW w:w="4675" w:type="dxa"/>
          </w:tcPr>
          <w:p w14:paraId="6B1ECED8" w14:textId="77777777" w:rsidR="00BC586A" w:rsidRPr="00F01347" w:rsidRDefault="00BC586A" w:rsidP="00BC586A">
            <w:pPr>
              <w:pStyle w:val="texto0"/>
              <w:spacing w:after="66"/>
              <w:ind w:firstLine="0"/>
              <w:rPr>
                <w:rFonts w:ascii="Verdana" w:hAnsi="Verdana"/>
                <w:sz w:val="16"/>
                <w:szCs w:val="16"/>
              </w:rPr>
            </w:pPr>
            <w:r w:rsidRPr="00F01347">
              <w:rPr>
                <w:rFonts w:ascii="Verdana" w:hAnsi="Verdana"/>
                <w:sz w:val="16"/>
                <w:szCs w:val="16"/>
              </w:rPr>
              <w:t>X2</w:t>
            </w:r>
            <w:r w:rsidRPr="00F01347">
              <w:rPr>
                <w:rFonts w:ascii="Verdana" w:hAnsi="Verdana"/>
                <w:sz w:val="16"/>
                <w:szCs w:val="16"/>
              </w:rPr>
              <w:tab/>
              <w:t>valor de concentración del compuesto en la muestra duplicada.</w:t>
            </w:r>
          </w:p>
        </w:tc>
        <w:tc>
          <w:tcPr>
            <w:tcW w:w="4675" w:type="dxa"/>
          </w:tcPr>
          <w:p w14:paraId="2B75AF3A" w14:textId="41ABDD4D" w:rsidR="00BC586A" w:rsidRPr="00F01347" w:rsidRDefault="00BC586A" w:rsidP="00BC586A">
            <w:pPr>
              <w:pStyle w:val="texto0"/>
              <w:spacing w:after="66"/>
              <w:ind w:firstLine="0"/>
              <w:rPr>
                <w:rFonts w:ascii="Verdana" w:hAnsi="Verdana"/>
                <w:sz w:val="16"/>
                <w:szCs w:val="16"/>
                <w:lang w:val="en-US"/>
              </w:rPr>
            </w:pPr>
            <w:r w:rsidRPr="00F01347">
              <w:rPr>
                <w:rFonts w:ascii="Verdana" w:hAnsi="Verdana"/>
                <w:sz w:val="16"/>
                <w:szCs w:val="16"/>
                <w:lang w:val="en-US"/>
              </w:rPr>
              <w:t xml:space="preserve">X2 </w:t>
            </w:r>
            <w:r w:rsidRPr="00F01347">
              <w:rPr>
                <w:rFonts w:ascii="Verdana" w:hAnsi="Verdana"/>
                <w:sz w:val="16"/>
                <w:szCs w:val="16"/>
                <w:lang w:val="en-US"/>
              </w:rPr>
              <w:tab/>
              <w:t>concentration value of the compound in the duplicate sample.</w:t>
            </w:r>
          </w:p>
        </w:tc>
      </w:tr>
      <w:tr w:rsidR="00BC586A" w:rsidRPr="00F01347" w14:paraId="24138E43" w14:textId="06014CA9" w:rsidTr="008C233D">
        <w:tc>
          <w:tcPr>
            <w:tcW w:w="4675" w:type="dxa"/>
          </w:tcPr>
          <w:p w14:paraId="4203BA6C" w14:textId="77777777" w:rsidR="00BC586A" w:rsidRPr="00F01347" w:rsidRDefault="00BC586A" w:rsidP="00BC586A">
            <w:pPr>
              <w:pStyle w:val="texto0"/>
              <w:spacing w:after="66"/>
              <w:ind w:firstLine="0"/>
              <w:rPr>
                <w:rFonts w:ascii="Verdana" w:hAnsi="Verdana"/>
                <w:b/>
                <w:sz w:val="16"/>
                <w:szCs w:val="16"/>
              </w:rPr>
            </w:pPr>
            <w:r w:rsidRPr="00F01347">
              <w:rPr>
                <w:rFonts w:ascii="Verdana" w:hAnsi="Verdana"/>
                <w:b/>
                <w:sz w:val="16"/>
                <w:szCs w:val="16"/>
              </w:rPr>
              <w:t xml:space="preserve">A.2.13.7.1.7 </w:t>
            </w:r>
            <w:r w:rsidRPr="00F01347">
              <w:rPr>
                <w:rFonts w:ascii="Verdana" w:hAnsi="Verdana"/>
                <w:sz w:val="16"/>
                <w:szCs w:val="16"/>
              </w:rPr>
              <w:t>Verificación de la estabilidad de la curva de calibración.</w:t>
            </w:r>
          </w:p>
        </w:tc>
        <w:tc>
          <w:tcPr>
            <w:tcW w:w="4675" w:type="dxa"/>
          </w:tcPr>
          <w:p w14:paraId="7AE6B3E0" w14:textId="7955AA7C" w:rsidR="00BC586A" w:rsidRPr="00F01347" w:rsidRDefault="00BC586A" w:rsidP="00BC586A">
            <w:pPr>
              <w:pStyle w:val="texto0"/>
              <w:spacing w:after="66"/>
              <w:ind w:firstLine="0"/>
              <w:rPr>
                <w:rFonts w:ascii="Verdana" w:hAnsi="Verdana"/>
                <w:b/>
                <w:sz w:val="16"/>
                <w:szCs w:val="16"/>
                <w:lang w:val="en-US"/>
              </w:rPr>
            </w:pPr>
            <w:r w:rsidRPr="00F01347">
              <w:rPr>
                <w:rFonts w:ascii="Verdana" w:hAnsi="Verdana"/>
                <w:b/>
                <w:sz w:val="16"/>
                <w:szCs w:val="16"/>
                <w:lang w:val="en-US"/>
              </w:rPr>
              <w:t xml:space="preserve">A.2.13.7.1.7 </w:t>
            </w:r>
            <w:r w:rsidRPr="00F01347">
              <w:rPr>
                <w:rFonts w:ascii="Verdana" w:hAnsi="Verdana"/>
                <w:sz w:val="16"/>
                <w:szCs w:val="16"/>
                <w:lang w:val="en-US"/>
              </w:rPr>
              <w:t>Verification of the stability of the calibration curve.</w:t>
            </w:r>
          </w:p>
        </w:tc>
      </w:tr>
      <w:tr w:rsidR="00BC586A" w:rsidRPr="00F01347" w14:paraId="0BDA9A7E" w14:textId="0A679FEF" w:rsidTr="008C233D">
        <w:tc>
          <w:tcPr>
            <w:tcW w:w="4675" w:type="dxa"/>
          </w:tcPr>
          <w:p w14:paraId="1D456FB1" w14:textId="77777777" w:rsidR="00BC586A" w:rsidRPr="00F01347" w:rsidRDefault="00BC586A" w:rsidP="00BC586A">
            <w:pPr>
              <w:pStyle w:val="texto0"/>
              <w:spacing w:after="66"/>
              <w:ind w:firstLine="0"/>
              <w:rPr>
                <w:rFonts w:ascii="Verdana" w:hAnsi="Verdana"/>
                <w:sz w:val="16"/>
                <w:szCs w:val="16"/>
              </w:rPr>
            </w:pPr>
            <w:r w:rsidRPr="00F01347">
              <w:rPr>
                <w:rFonts w:ascii="Verdana" w:hAnsi="Verdana"/>
                <w:sz w:val="16"/>
                <w:szCs w:val="16"/>
              </w:rPr>
              <w:t>Analizar un estándar de concentración media de la curva y un blanco de reactivos, cada 20 muestras o 12 horas de análisis, y verificar el porcentaje de la variación de la concentración y proceder como en la verificación de la calibración inicial.</w:t>
            </w:r>
          </w:p>
        </w:tc>
        <w:tc>
          <w:tcPr>
            <w:tcW w:w="4675" w:type="dxa"/>
          </w:tcPr>
          <w:p w14:paraId="446F4248" w14:textId="667A5D3E" w:rsidR="00BC586A" w:rsidRPr="00F01347" w:rsidRDefault="00BC586A" w:rsidP="00BC586A">
            <w:pPr>
              <w:pStyle w:val="texto0"/>
              <w:spacing w:after="66"/>
              <w:ind w:firstLine="0"/>
              <w:rPr>
                <w:rFonts w:ascii="Verdana" w:hAnsi="Verdana"/>
                <w:sz w:val="16"/>
                <w:szCs w:val="16"/>
                <w:lang w:val="en-US"/>
              </w:rPr>
            </w:pPr>
            <w:r w:rsidRPr="00F01347">
              <w:rPr>
                <w:rFonts w:ascii="Verdana" w:hAnsi="Verdana"/>
                <w:sz w:val="16"/>
                <w:szCs w:val="16"/>
                <w:lang w:val="en-US"/>
              </w:rPr>
              <w:t>Analyze a standard with the average concentration of the curve and a reagent blank, every 20 samples or 12 hours of analysis, and verify the percentage of the concentration variation and proceed as in the initial calibration verification.</w:t>
            </w:r>
          </w:p>
        </w:tc>
      </w:tr>
      <w:tr w:rsidR="00BC586A" w:rsidRPr="00F01347" w14:paraId="3E2AB21D" w14:textId="1F8BCAAC" w:rsidTr="008C233D">
        <w:tc>
          <w:tcPr>
            <w:tcW w:w="4675" w:type="dxa"/>
          </w:tcPr>
          <w:p w14:paraId="5C65884C" w14:textId="77777777" w:rsidR="00BC586A" w:rsidRPr="00F01347" w:rsidRDefault="00BC586A" w:rsidP="00BC586A">
            <w:pPr>
              <w:pStyle w:val="texto0"/>
              <w:spacing w:after="66"/>
              <w:ind w:firstLine="0"/>
              <w:rPr>
                <w:rFonts w:ascii="Verdana" w:hAnsi="Verdana"/>
                <w:b/>
                <w:sz w:val="16"/>
                <w:szCs w:val="16"/>
              </w:rPr>
            </w:pPr>
            <w:r w:rsidRPr="00F01347">
              <w:rPr>
                <w:rFonts w:ascii="Verdana" w:hAnsi="Verdana"/>
                <w:b/>
                <w:sz w:val="16"/>
                <w:szCs w:val="16"/>
              </w:rPr>
              <w:t>B.13.7.2 Criterios de aceptación y rechazo</w:t>
            </w:r>
          </w:p>
        </w:tc>
        <w:tc>
          <w:tcPr>
            <w:tcW w:w="4675" w:type="dxa"/>
          </w:tcPr>
          <w:p w14:paraId="50EAE194" w14:textId="7F57F9A6" w:rsidR="00BC586A" w:rsidRPr="00F01347" w:rsidRDefault="00BC586A" w:rsidP="00BC586A">
            <w:pPr>
              <w:pStyle w:val="texto0"/>
              <w:spacing w:after="66"/>
              <w:ind w:firstLine="0"/>
              <w:rPr>
                <w:rFonts w:ascii="Verdana" w:hAnsi="Verdana"/>
                <w:b/>
                <w:sz w:val="16"/>
                <w:szCs w:val="16"/>
                <w:lang w:val="en-US"/>
              </w:rPr>
            </w:pPr>
            <w:r w:rsidRPr="00F01347">
              <w:rPr>
                <w:rFonts w:ascii="Verdana" w:hAnsi="Verdana"/>
                <w:b/>
                <w:sz w:val="16"/>
                <w:szCs w:val="16"/>
                <w:lang w:val="en-US"/>
              </w:rPr>
              <w:t>B.13.7.2 Acceptance and rejection criteria</w:t>
            </w:r>
          </w:p>
        </w:tc>
      </w:tr>
      <w:tr w:rsidR="00BC586A" w:rsidRPr="00F01347" w14:paraId="1DBF42B1" w14:textId="31B9369D" w:rsidTr="008C233D">
        <w:tc>
          <w:tcPr>
            <w:tcW w:w="4675" w:type="dxa"/>
          </w:tcPr>
          <w:p w14:paraId="06FFC899" w14:textId="77777777" w:rsidR="00BC586A" w:rsidRPr="00F01347" w:rsidRDefault="00BC586A" w:rsidP="00BC586A">
            <w:pPr>
              <w:pStyle w:val="texto0"/>
              <w:spacing w:after="66"/>
              <w:ind w:firstLine="0"/>
              <w:rPr>
                <w:rFonts w:ascii="Verdana" w:hAnsi="Verdana"/>
                <w:sz w:val="16"/>
                <w:szCs w:val="16"/>
              </w:rPr>
            </w:pPr>
            <w:r w:rsidRPr="00F01347">
              <w:rPr>
                <w:rFonts w:ascii="Verdana" w:hAnsi="Verdana"/>
                <w:b/>
                <w:sz w:val="16"/>
                <w:szCs w:val="16"/>
              </w:rPr>
              <w:t xml:space="preserve">B.13.7.2.1 </w:t>
            </w:r>
            <w:r w:rsidRPr="00F01347">
              <w:rPr>
                <w:rFonts w:ascii="Verdana" w:hAnsi="Verdana"/>
                <w:sz w:val="16"/>
                <w:szCs w:val="16"/>
              </w:rPr>
              <w:t>Verificación del equipo.</w:t>
            </w:r>
          </w:p>
        </w:tc>
        <w:tc>
          <w:tcPr>
            <w:tcW w:w="4675" w:type="dxa"/>
          </w:tcPr>
          <w:p w14:paraId="2970F549" w14:textId="6D11453F" w:rsidR="00BC586A" w:rsidRPr="00F01347" w:rsidRDefault="00BC586A" w:rsidP="00BC586A">
            <w:pPr>
              <w:pStyle w:val="texto0"/>
              <w:spacing w:after="66"/>
              <w:ind w:firstLine="0"/>
              <w:rPr>
                <w:rFonts w:ascii="Verdana" w:hAnsi="Verdana"/>
                <w:b/>
                <w:sz w:val="16"/>
                <w:szCs w:val="16"/>
                <w:lang w:val="en-US"/>
              </w:rPr>
            </w:pPr>
            <w:r w:rsidRPr="00F01347">
              <w:rPr>
                <w:rFonts w:ascii="Verdana" w:hAnsi="Verdana"/>
                <w:b/>
                <w:sz w:val="16"/>
                <w:szCs w:val="16"/>
                <w:lang w:val="en-US"/>
              </w:rPr>
              <w:t xml:space="preserve">B.13.7.2.1 </w:t>
            </w:r>
            <w:r w:rsidRPr="00F01347">
              <w:rPr>
                <w:rFonts w:ascii="Verdana" w:hAnsi="Verdana"/>
                <w:sz w:val="16"/>
                <w:szCs w:val="16"/>
                <w:lang w:val="en-US"/>
              </w:rPr>
              <w:t>Equipment verification.</w:t>
            </w:r>
          </w:p>
        </w:tc>
      </w:tr>
      <w:tr w:rsidR="00BC586A" w:rsidRPr="00F01347" w14:paraId="19C4D3F3" w14:textId="58F91C18" w:rsidTr="008C233D">
        <w:tc>
          <w:tcPr>
            <w:tcW w:w="4675" w:type="dxa"/>
          </w:tcPr>
          <w:p w14:paraId="4D6E411D" w14:textId="77777777" w:rsidR="00BC586A" w:rsidRPr="00F01347" w:rsidRDefault="00BC586A" w:rsidP="00BC586A">
            <w:pPr>
              <w:pStyle w:val="texto0"/>
              <w:spacing w:after="66"/>
              <w:ind w:firstLine="0"/>
              <w:rPr>
                <w:rFonts w:ascii="Verdana" w:hAnsi="Verdana"/>
                <w:sz w:val="16"/>
                <w:szCs w:val="16"/>
              </w:rPr>
            </w:pPr>
            <w:r w:rsidRPr="00F01347">
              <w:rPr>
                <w:rFonts w:ascii="Verdana" w:hAnsi="Verdana"/>
                <w:sz w:val="16"/>
                <w:szCs w:val="16"/>
              </w:rPr>
              <w:t>Equipo libre de interferencias (blanco electrónico). No debe presentar ningún pico o perfil de picos en ningún tiempo de retención.</w:t>
            </w:r>
          </w:p>
        </w:tc>
        <w:tc>
          <w:tcPr>
            <w:tcW w:w="4675" w:type="dxa"/>
          </w:tcPr>
          <w:p w14:paraId="67B7B436" w14:textId="4A9A6A1D" w:rsidR="00BC586A" w:rsidRPr="00F01347" w:rsidRDefault="00BC586A" w:rsidP="00BC586A">
            <w:pPr>
              <w:pStyle w:val="texto0"/>
              <w:spacing w:after="66"/>
              <w:ind w:firstLine="0"/>
              <w:rPr>
                <w:rFonts w:ascii="Verdana" w:hAnsi="Verdana"/>
                <w:sz w:val="16"/>
                <w:szCs w:val="16"/>
                <w:lang w:val="en-US"/>
              </w:rPr>
            </w:pPr>
            <w:r w:rsidRPr="00F01347">
              <w:rPr>
                <w:rFonts w:ascii="Verdana" w:hAnsi="Verdana"/>
                <w:sz w:val="16"/>
                <w:szCs w:val="16"/>
                <w:lang w:val="en-US"/>
              </w:rPr>
              <w:t>Interference-free equipment (electronic white). It should not present any peak or peak profile at any retention time.</w:t>
            </w:r>
          </w:p>
        </w:tc>
      </w:tr>
      <w:tr w:rsidR="00BC586A" w:rsidRPr="00F01347" w14:paraId="3DDC7A94" w14:textId="6DA696FD" w:rsidTr="008C233D">
        <w:tc>
          <w:tcPr>
            <w:tcW w:w="4675" w:type="dxa"/>
          </w:tcPr>
          <w:p w14:paraId="2F03BFA9" w14:textId="77777777" w:rsidR="00BC586A" w:rsidRPr="00F01347" w:rsidRDefault="00BC586A" w:rsidP="00BC586A">
            <w:pPr>
              <w:pStyle w:val="texto0"/>
              <w:spacing w:after="66"/>
              <w:ind w:firstLine="0"/>
              <w:rPr>
                <w:rFonts w:ascii="Verdana" w:hAnsi="Verdana"/>
                <w:sz w:val="16"/>
                <w:szCs w:val="16"/>
              </w:rPr>
            </w:pPr>
            <w:r w:rsidRPr="00F01347">
              <w:rPr>
                <w:rFonts w:ascii="Verdana" w:hAnsi="Verdana"/>
                <w:b/>
                <w:sz w:val="16"/>
                <w:szCs w:val="16"/>
              </w:rPr>
              <w:t xml:space="preserve">B.13.7.2.2 </w:t>
            </w:r>
            <w:r w:rsidRPr="00F01347">
              <w:rPr>
                <w:rFonts w:ascii="Verdana" w:hAnsi="Verdana"/>
                <w:sz w:val="16"/>
                <w:szCs w:val="16"/>
              </w:rPr>
              <w:t>Verificación de la calibración inicial.</w:t>
            </w:r>
          </w:p>
        </w:tc>
        <w:tc>
          <w:tcPr>
            <w:tcW w:w="4675" w:type="dxa"/>
          </w:tcPr>
          <w:p w14:paraId="2AFB6C16" w14:textId="20E5A77D" w:rsidR="00BC586A" w:rsidRPr="00F01347" w:rsidRDefault="00BC586A" w:rsidP="00BC586A">
            <w:pPr>
              <w:pStyle w:val="texto0"/>
              <w:spacing w:after="66"/>
              <w:ind w:firstLine="0"/>
              <w:rPr>
                <w:rFonts w:ascii="Verdana" w:hAnsi="Verdana"/>
                <w:b/>
                <w:sz w:val="16"/>
                <w:szCs w:val="16"/>
                <w:lang w:val="en-US"/>
              </w:rPr>
            </w:pPr>
            <w:r w:rsidRPr="00F01347">
              <w:rPr>
                <w:rFonts w:ascii="Verdana" w:hAnsi="Verdana"/>
                <w:b/>
                <w:sz w:val="16"/>
                <w:szCs w:val="16"/>
                <w:lang w:val="en-US"/>
              </w:rPr>
              <w:t xml:space="preserve">B.13.7.2.2 </w:t>
            </w:r>
            <w:r w:rsidRPr="00F01347">
              <w:rPr>
                <w:rFonts w:ascii="Verdana" w:hAnsi="Verdana"/>
                <w:sz w:val="16"/>
                <w:szCs w:val="16"/>
                <w:lang w:val="en-US"/>
              </w:rPr>
              <w:t>Verification of initial calibration.</w:t>
            </w:r>
          </w:p>
        </w:tc>
      </w:tr>
      <w:tr w:rsidR="00BC586A" w:rsidRPr="00F01347" w14:paraId="09C48D96" w14:textId="712086E9" w:rsidTr="008C233D">
        <w:tc>
          <w:tcPr>
            <w:tcW w:w="4675" w:type="dxa"/>
          </w:tcPr>
          <w:p w14:paraId="4E5764D8" w14:textId="77777777" w:rsidR="00BC586A" w:rsidRPr="00F01347" w:rsidRDefault="00BC586A" w:rsidP="00BC586A">
            <w:pPr>
              <w:pStyle w:val="texto0"/>
              <w:spacing w:after="66"/>
              <w:ind w:firstLine="0"/>
              <w:rPr>
                <w:rFonts w:ascii="Verdana" w:hAnsi="Verdana"/>
                <w:sz w:val="16"/>
                <w:szCs w:val="16"/>
              </w:rPr>
            </w:pPr>
            <w:r w:rsidRPr="00F01347">
              <w:rPr>
                <w:rFonts w:ascii="Verdana" w:hAnsi="Verdana"/>
                <w:sz w:val="16"/>
                <w:szCs w:val="16"/>
              </w:rPr>
              <w:t>Evaluación del estándar de verificación (punto intermedio de la curva de calibración; % de diferencia de la concentración. Menor al 15%.</w:t>
            </w:r>
          </w:p>
        </w:tc>
        <w:tc>
          <w:tcPr>
            <w:tcW w:w="4675" w:type="dxa"/>
          </w:tcPr>
          <w:p w14:paraId="07E48FEF" w14:textId="25572ECB" w:rsidR="00BC586A" w:rsidRPr="00F01347" w:rsidRDefault="00BC586A" w:rsidP="00BC586A">
            <w:pPr>
              <w:pStyle w:val="texto0"/>
              <w:spacing w:after="66"/>
              <w:ind w:firstLine="0"/>
              <w:rPr>
                <w:rFonts w:ascii="Verdana" w:hAnsi="Verdana"/>
                <w:sz w:val="16"/>
                <w:szCs w:val="16"/>
                <w:lang w:val="en-US"/>
              </w:rPr>
            </w:pPr>
            <w:r w:rsidRPr="00F01347">
              <w:rPr>
                <w:rFonts w:ascii="Verdana" w:hAnsi="Verdana"/>
                <w:sz w:val="16"/>
                <w:szCs w:val="16"/>
                <w:lang w:val="en-US"/>
              </w:rPr>
              <w:t>Evaluation of the verification standard (intermediate point of the calibration curve; % difference in concentration. Less than 15%.</w:t>
            </w:r>
          </w:p>
        </w:tc>
      </w:tr>
      <w:tr w:rsidR="00BC586A" w:rsidRPr="00F01347" w14:paraId="295B120B" w14:textId="336F77B6" w:rsidTr="008C233D">
        <w:tc>
          <w:tcPr>
            <w:tcW w:w="4675" w:type="dxa"/>
          </w:tcPr>
          <w:p w14:paraId="5478622C" w14:textId="77777777" w:rsidR="00BC586A" w:rsidRPr="00F01347" w:rsidRDefault="00BC586A" w:rsidP="00BC586A">
            <w:pPr>
              <w:pStyle w:val="texto0"/>
              <w:ind w:firstLine="0"/>
              <w:rPr>
                <w:rFonts w:ascii="Verdana" w:hAnsi="Verdana"/>
                <w:sz w:val="16"/>
                <w:szCs w:val="16"/>
              </w:rPr>
            </w:pPr>
            <w:r w:rsidRPr="00F01347">
              <w:rPr>
                <w:rFonts w:ascii="Verdana" w:hAnsi="Verdana"/>
                <w:b/>
                <w:sz w:val="16"/>
                <w:szCs w:val="16"/>
              </w:rPr>
              <w:t xml:space="preserve">B.13.7.2.3 </w:t>
            </w:r>
            <w:r w:rsidRPr="00F01347">
              <w:rPr>
                <w:rFonts w:ascii="Verdana" w:hAnsi="Verdana"/>
                <w:sz w:val="16"/>
                <w:szCs w:val="16"/>
              </w:rPr>
              <w:t>Verificación del proceso analítico.</w:t>
            </w:r>
          </w:p>
        </w:tc>
        <w:tc>
          <w:tcPr>
            <w:tcW w:w="4675" w:type="dxa"/>
          </w:tcPr>
          <w:p w14:paraId="565049F2" w14:textId="1CAAE70F" w:rsidR="00BC586A" w:rsidRPr="00F01347" w:rsidRDefault="00BC586A" w:rsidP="00BC586A">
            <w:pPr>
              <w:pStyle w:val="texto0"/>
              <w:ind w:firstLine="0"/>
              <w:rPr>
                <w:rFonts w:ascii="Verdana" w:hAnsi="Verdana"/>
                <w:b/>
                <w:sz w:val="16"/>
                <w:szCs w:val="16"/>
                <w:lang w:val="en-US"/>
              </w:rPr>
            </w:pPr>
            <w:r w:rsidRPr="00F01347">
              <w:rPr>
                <w:rFonts w:ascii="Verdana" w:hAnsi="Verdana"/>
                <w:b/>
                <w:sz w:val="16"/>
                <w:szCs w:val="16"/>
                <w:lang w:val="en-US"/>
              </w:rPr>
              <w:t xml:space="preserve">B.13.7.2.3 </w:t>
            </w:r>
            <w:r w:rsidRPr="00F01347">
              <w:rPr>
                <w:rFonts w:ascii="Verdana" w:hAnsi="Verdana"/>
                <w:sz w:val="16"/>
                <w:szCs w:val="16"/>
                <w:lang w:val="en-US"/>
              </w:rPr>
              <w:t>Verification of the analytical process.</w:t>
            </w:r>
          </w:p>
        </w:tc>
      </w:tr>
      <w:tr w:rsidR="00BC586A" w:rsidRPr="00F01347" w14:paraId="384CF178" w14:textId="54124C5B" w:rsidTr="008C233D">
        <w:tc>
          <w:tcPr>
            <w:tcW w:w="4675" w:type="dxa"/>
          </w:tcPr>
          <w:p w14:paraId="25D00498" w14:textId="77777777" w:rsidR="00BC586A" w:rsidRPr="00F01347" w:rsidRDefault="00BC586A" w:rsidP="00BC586A">
            <w:pPr>
              <w:pStyle w:val="texto0"/>
              <w:ind w:firstLine="0"/>
              <w:rPr>
                <w:rFonts w:ascii="Verdana" w:hAnsi="Verdana"/>
                <w:sz w:val="16"/>
                <w:szCs w:val="16"/>
              </w:rPr>
            </w:pPr>
            <w:r w:rsidRPr="00F01347">
              <w:rPr>
                <w:rFonts w:ascii="Verdana" w:hAnsi="Verdana"/>
                <w:sz w:val="16"/>
                <w:szCs w:val="16"/>
              </w:rPr>
              <w:t>Blanco de Reactivos. No debe presentar ningún pico o perfil de picos al tiempo de retención del analito a identificar. Evaluación de muestra de control de calidad (MCC). La recuperación de la concentración de la muestra control se deberá encontrar dentro del criterio de aceptación de 70-130 %.</w:t>
            </w:r>
          </w:p>
        </w:tc>
        <w:tc>
          <w:tcPr>
            <w:tcW w:w="4675" w:type="dxa"/>
          </w:tcPr>
          <w:p w14:paraId="5D082AF4" w14:textId="636EDE99" w:rsidR="00BC586A" w:rsidRPr="00F01347" w:rsidRDefault="00BC586A" w:rsidP="00BC586A">
            <w:pPr>
              <w:pStyle w:val="texto0"/>
              <w:ind w:firstLine="0"/>
              <w:rPr>
                <w:rFonts w:ascii="Verdana" w:hAnsi="Verdana"/>
                <w:sz w:val="16"/>
                <w:szCs w:val="16"/>
                <w:lang w:val="en-US"/>
              </w:rPr>
            </w:pPr>
            <w:r w:rsidRPr="00F01347">
              <w:rPr>
                <w:rFonts w:ascii="Verdana" w:hAnsi="Verdana"/>
                <w:sz w:val="16"/>
                <w:szCs w:val="16"/>
                <w:lang w:val="en-US"/>
              </w:rPr>
              <w:t>Reagent Blank. It should not present any peak or peak profile at the retention time of the analyte to be identified. Quality control sample evaluation (MCC). The concentration recovery of the control sample must be within the acceptance criterion of 70-130%.</w:t>
            </w:r>
          </w:p>
        </w:tc>
      </w:tr>
      <w:tr w:rsidR="00BC586A" w:rsidRPr="00F01347" w14:paraId="5770AE96" w14:textId="6332E8F5" w:rsidTr="008C233D">
        <w:tc>
          <w:tcPr>
            <w:tcW w:w="4675" w:type="dxa"/>
          </w:tcPr>
          <w:p w14:paraId="7AD84F8C" w14:textId="77777777" w:rsidR="00BC586A" w:rsidRPr="00F01347" w:rsidRDefault="00BC586A" w:rsidP="00BC586A">
            <w:pPr>
              <w:pStyle w:val="texto0"/>
              <w:ind w:firstLine="0"/>
              <w:rPr>
                <w:rFonts w:ascii="Verdana" w:hAnsi="Verdana"/>
                <w:sz w:val="16"/>
                <w:szCs w:val="16"/>
              </w:rPr>
            </w:pPr>
            <w:r w:rsidRPr="00F01347">
              <w:rPr>
                <w:rFonts w:ascii="Verdana" w:hAnsi="Verdana"/>
                <w:b/>
                <w:sz w:val="16"/>
                <w:szCs w:val="16"/>
              </w:rPr>
              <w:t xml:space="preserve">B.13.7.2.4 </w:t>
            </w:r>
            <w:r w:rsidRPr="00F01347">
              <w:rPr>
                <w:rFonts w:ascii="Verdana" w:hAnsi="Verdana"/>
                <w:sz w:val="16"/>
                <w:szCs w:val="16"/>
              </w:rPr>
              <w:t>Verificación de interferencia de matriz.</w:t>
            </w:r>
          </w:p>
        </w:tc>
        <w:tc>
          <w:tcPr>
            <w:tcW w:w="4675" w:type="dxa"/>
          </w:tcPr>
          <w:p w14:paraId="331FEC66" w14:textId="2F5E7D9B" w:rsidR="00BC586A" w:rsidRPr="00F01347" w:rsidRDefault="00BC586A" w:rsidP="00BC586A">
            <w:pPr>
              <w:pStyle w:val="texto0"/>
              <w:ind w:firstLine="0"/>
              <w:rPr>
                <w:rFonts w:ascii="Verdana" w:hAnsi="Verdana"/>
                <w:b/>
                <w:sz w:val="16"/>
                <w:szCs w:val="16"/>
                <w:lang w:val="en-US"/>
              </w:rPr>
            </w:pPr>
            <w:r w:rsidRPr="00F01347">
              <w:rPr>
                <w:rFonts w:ascii="Verdana" w:hAnsi="Verdana"/>
                <w:b/>
                <w:sz w:val="16"/>
                <w:szCs w:val="16"/>
                <w:lang w:val="en-US"/>
              </w:rPr>
              <w:t xml:space="preserve">B.13.7.2.4 </w:t>
            </w:r>
            <w:r w:rsidRPr="00F01347">
              <w:rPr>
                <w:rFonts w:ascii="Verdana" w:hAnsi="Verdana"/>
                <w:sz w:val="16"/>
                <w:szCs w:val="16"/>
                <w:lang w:val="en-US"/>
              </w:rPr>
              <w:t>Matrix interference check.</w:t>
            </w:r>
          </w:p>
        </w:tc>
      </w:tr>
      <w:tr w:rsidR="00BC586A" w:rsidRPr="00F01347" w14:paraId="5FB1AC69" w14:textId="6E0AFCBD" w:rsidTr="008C233D">
        <w:tc>
          <w:tcPr>
            <w:tcW w:w="4675" w:type="dxa"/>
          </w:tcPr>
          <w:p w14:paraId="18E68CBB" w14:textId="77777777" w:rsidR="00BC586A" w:rsidRPr="00F01347" w:rsidRDefault="00BC586A" w:rsidP="00BC586A">
            <w:pPr>
              <w:pStyle w:val="texto0"/>
              <w:ind w:firstLine="0"/>
              <w:rPr>
                <w:rFonts w:ascii="Verdana" w:hAnsi="Verdana"/>
                <w:sz w:val="16"/>
                <w:szCs w:val="16"/>
              </w:rPr>
            </w:pPr>
            <w:r w:rsidRPr="00F01347">
              <w:rPr>
                <w:rFonts w:ascii="Verdana" w:hAnsi="Verdana"/>
                <w:sz w:val="16"/>
                <w:szCs w:val="16"/>
              </w:rPr>
              <w:t>Evaluación de muestras adicionadas. % de recuperación del 70 – 130%.</w:t>
            </w:r>
          </w:p>
        </w:tc>
        <w:tc>
          <w:tcPr>
            <w:tcW w:w="4675" w:type="dxa"/>
          </w:tcPr>
          <w:p w14:paraId="368ED26D" w14:textId="57057DF9" w:rsidR="00BC586A" w:rsidRPr="00F01347" w:rsidRDefault="00BC586A" w:rsidP="00BC586A">
            <w:pPr>
              <w:pStyle w:val="texto0"/>
              <w:ind w:firstLine="0"/>
              <w:rPr>
                <w:rFonts w:ascii="Verdana" w:hAnsi="Verdana"/>
                <w:sz w:val="16"/>
                <w:szCs w:val="16"/>
                <w:lang w:val="en-US"/>
              </w:rPr>
            </w:pPr>
            <w:r w:rsidRPr="00F01347">
              <w:rPr>
                <w:rFonts w:ascii="Verdana" w:hAnsi="Verdana"/>
                <w:sz w:val="16"/>
                <w:szCs w:val="16"/>
                <w:lang w:val="en-US"/>
              </w:rPr>
              <w:t>Evaluation of added samples. Recovery % 70 – 130%.</w:t>
            </w:r>
          </w:p>
        </w:tc>
      </w:tr>
      <w:tr w:rsidR="00BC586A" w:rsidRPr="00F01347" w14:paraId="58595DBF" w14:textId="5C05A626" w:rsidTr="008C233D">
        <w:tc>
          <w:tcPr>
            <w:tcW w:w="4675" w:type="dxa"/>
          </w:tcPr>
          <w:p w14:paraId="3E30271D" w14:textId="77777777" w:rsidR="00BC586A" w:rsidRPr="00F01347" w:rsidRDefault="00BC586A" w:rsidP="00BC586A">
            <w:pPr>
              <w:pStyle w:val="texto0"/>
              <w:ind w:firstLine="0"/>
              <w:rPr>
                <w:rFonts w:ascii="Verdana" w:hAnsi="Verdana"/>
                <w:sz w:val="16"/>
                <w:szCs w:val="16"/>
              </w:rPr>
            </w:pPr>
            <w:r w:rsidRPr="00F01347">
              <w:rPr>
                <w:rFonts w:ascii="Verdana" w:hAnsi="Verdana"/>
                <w:b/>
                <w:sz w:val="16"/>
                <w:szCs w:val="16"/>
              </w:rPr>
              <w:t xml:space="preserve">B.13.7.2.5 </w:t>
            </w:r>
            <w:r w:rsidRPr="00F01347">
              <w:rPr>
                <w:rFonts w:ascii="Verdana" w:hAnsi="Verdana"/>
                <w:sz w:val="16"/>
                <w:szCs w:val="16"/>
              </w:rPr>
              <w:t>Verificación de la precisión del método.</w:t>
            </w:r>
          </w:p>
        </w:tc>
        <w:tc>
          <w:tcPr>
            <w:tcW w:w="4675" w:type="dxa"/>
          </w:tcPr>
          <w:p w14:paraId="5FC3D512" w14:textId="08BE8B0F" w:rsidR="00BC586A" w:rsidRPr="00F01347" w:rsidRDefault="00BC586A" w:rsidP="00BC586A">
            <w:pPr>
              <w:pStyle w:val="texto0"/>
              <w:ind w:firstLine="0"/>
              <w:rPr>
                <w:rFonts w:ascii="Verdana" w:hAnsi="Verdana"/>
                <w:b/>
                <w:sz w:val="16"/>
                <w:szCs w:val="16"/>
                <w:lang w:val="en-US"/>
              </w:rPr>
            </w:pPr>
            <w:r w:rsidRPr="00F01347">
              <w:rPr>
                <w:rFonts w:ascii="Verdana" w:hAnsi="Verdana"/>
                <w:b/>
                <w:sz w:val="16"/>
                <w:szCs w:val="16"/>
                <w:lang w:val="en-US"/>
              </w:rPr>
              <w:t xml:space="preserve">B.13.7.2.5 </w:t>
            </w:r>
            <w:r w:rsidRPr="00F01347">
              <w:rPr>
                <w:rFonts w:ascii="Verdana" w:hAnsi="Verdana"/>
                <w:sz w:val="16"/>
                <w:szCs w:val="16"/>
                <w:lang w:val="en-US"/>
              </w:rPr>
              <w:t>Verification of the precision of the method.</w:t>
            </w:r>
          </w:p>
        </w:tc>
      </w:tr>
      <w:tr w:rsidR="00BC586A" w:rsidRPr="00F01347" w14:paraId="5FEECEB3" w14:textId="0CD94775" w:rsidTr="008C233D">
        <w:tc>
          <w:tcPr>
            <w:tcW w:w="4675" w:type="dxa"/>
          </w:tcPr>
          <w:p w14:paraId="776E5CE6" w14:textId="77777777" w:rsidR="00BC586A" w:rsidRPr="00F01347" w:rsidRDefault="00BC586A" w:rsidP="00BC586A">
            <w:pPr>
              <w:pStyle w:val="texto0"/>
              <w:ind w:firstLine="0"/>
              <w:rPr>
                <w:rFonts w:ascii="Verdana" w:hAnsi="Verdana"/>
                <w:b/>
                <w:sz w:val="16"/>
                <w:szCs w:val="16"/>
              </w:rPr>
            </w:pPr>
            <w:r w:rsidRPr="00F01347">
              <w:rPr>
                <w:rFonts w:ascii="Verdana" w:hAnsi="Verdana"/>
                <w:sz w:val="16"/>
                <w:szCs w:val="16"/>
              </w:rPr>
              <w:lastRenderedPageBreak/>
              <w:t>Evaluación de muestras duplicadas. La recuperación de la muestra duplicada deberá cumplir con el criterio de aceptación ≤ 20%.</w:t>
            </w:r>
          </w:p>
        </w:tc>
        <w:tc>
          <w:tcPr>
            <w:tcW w:w="4675" w:type="dxa"/>
          </w:tcPr>
          <w:p w14:paraId="06970FFA" w14:textId="10E96A83" w:rsidR="00BC586A" w:rsidRPr="00F01347" w:rsidRDefault="00BC586A" w:rsidP="00BC586A">
            <w:pPr>
              <w:pStyle w:val="texto0"/>
              <w:ind w:firstLine="0"/>
              <w:rPr>
                <w:rFonts w:ascii="Verdana" w:hAnsi="Verdana"/>
                <w:sz w:val="16"/>
                <w:szCs w:val="16"/>
                <w:lang w:val="en-US"/>
              </w:rPr>
            </w:pPr>
            <w:r w:rsidRPr="00F01347">
              <w:rPr>
                <w:rFonts w:ascii="Verdana" w:hAnsi="Verdana"/>
                <w:sz w:val="16"/>
                <w:szCs w:val="16"/>
                <w:lang w:val="en-US"/>
              </w:rPr>
              <w:t>Evaluation of duplicate samples. The recovery of the duplicate sample must meet the acceptance criterion ≤ 20%.</w:t>
            </w:r>
          </w:p>
        </w:tc>
      </w:tr>
      <w:tr w:rsidR="00BC586A" w:rsidRPr="00F01347" w14:paraId="33051EA9" w14:textId="053B0EEA" w:rsidTr="008C233D">
        <w:tc>
          <w:tcPr>
            <w:tcW w:w="4675" w:type="dxa"/>
          </w:tcPr>
          <w:p w14:paraId="677C9FA3" w14:textId="77777777" w:rsidR="00BC586A" w:rsidRPr="00F01347" w:rsidRDefault="00BC586A" w:rsidP="00BC586A">
            <w:pPr>
              <w:pStyle w:val="texto0"/>
              <w:ind w:firstLine="0"/>
              <w:rPr>
                <w:rFonts w:ascii="Verdana" w:hAnsi="Verdana"/>
                <w:b/>
                <w:sz w:val="16"/>
                <w:szCs w:val="16"/>
              </w:rPr>
            </w:pPr>
            <w:r w:rsidRPr="00F01347">
              <w:rPr>
                <w:rFonts w:ascii="Verdana" w:hAnsi="Verdana"/>
                <w:b/>
                <w:sz w:val="16"/>
                <w:szCs w:val="16"/>
              </w:rPr>
              <w:t>B.13.7.3 Calibración.</w:t>
            </w:r>
          </w:p>
        </w:tc>
        <w:tc>
          <w:tcPr>
            <w:tcW w:w="4675" w:type="dxa"/>
          </w:tcPr>
          <w:p w14:paraId="45B7D2C4" w14:textId="65A7CF92" w:rsidR="00BC586A" w:rsidRPr="00F01347" w:rsidRDefault="00BC586A" w:rsidP="00BC586A">
            <w:pPr>
              <w:pStyle w:val="texto0"/>
              <w:ind w:firstLine="0"/>
              <w:rPr>
                <w:rFonts w:ascii="Verdana" w:hAnsi="Verdana"/>
                <w:b/>
                <w:sz w:val="16"/>
                <w:szCs w:val="16"/>
                <w:lang w:val="en-US"/>
              </w:rPr>
            </w:pPr>
            <w:r w:rsidRPr="00F01347">
              <w:rPr>
                <w:rFonts w:ascii="Verdana" w:hAnsi="Verdana"/>
                <w:b/>
                <w:sz w:val="16"/>
                <w:szCs w:val="16"/>
                <w:lang w:val="en-US"/>
              </w:rPr>
              <w:t>B.13.7.3 Calibration.</w:t>
            </w:r>
          </w:p>
        </w:tc>
      </w:tr>
      <w:tr w:rsidR="00BC586A" w:rsidRPr="00F01347" w14:paraId="594B87CC" w14:textId="65F51B23" w:rsidTr="008C233D">
        <w:tc>
          <w:tcPr>
            <w:tcW w:w="4675" w:type="dxa"/>
          </w:tcPr>
          <w:p w14:paraId="66760931" w14:textId="77777777" w:rsidR="00BC586A" w:rsidRPr="00F01347" w:rsidRDefault="00BC586A" w:rsidP="00BC586A">
            <w:pPr>
              <w:pStyle w:val="texto0"/>
              <w:ind w:firstLine="0"/>
              <w:rPr>
                <w:rFonts w:ascii="Verdana" w:hAnsi="Verdana"/>
                <w:b/>
                <w:sz w:val="16"/>
                <w:szCs w:val="16"/>
              </w:rPr>
            </w:pPr>
            <w:r w:rsidRPr="00F01347">
              <w:rPr>
                <w:rFonts w:ascii="Verdana" w:hAnsi="Verdana"/>
                <w:b/>
                <w:sz w:val="16"/>
                <w:szCs w:val="16"/>
              </w:rPr>
              <w:t xml:space="preserve">B.13.7.3.1 </w:t>
            </w:r>
            <w:r w:rsidRPr="00F01347">
              <w:rPr>
                <w:rFonts w:ascii="Verdana" w:hAnsi="Verdana"/>
                <w:sz w:val="16"/>
                <w:szCs w:val="16"/>
              </w:rPr>
              <w:t>Estabilidad de la curva de calibración.</w:t>
            </w:r>
          </w:p>
        </w:tc>
        <w:tc>
          <w:tcPr>
            <w:tcW w:w="4675" w:type="dxa"/>
          </w:tcPr>
          <w:p w14:paraId="071EEAEE" w14:textId="71D305C7" w:rsidR="00BC586A" w:rsidRPr="00F01347" w:rsidRDefault="00BC586A" w:rsidP="00BC586A">
            <w:pPr>
              <w:pStyle w:val="texto0"/>
              <w:ind w:firstLine="0"/>
              <w:rPr>
                <w:rFonts w:ascii="Verdana" w:hAnsi="Verdana"/>
                <w:b/>
                <w:sz w:val="16"/>
                <w:szCs w:val="16"/>
                <w:lang w:val="en-US"/>
              </w:rPr>
            </w:pPr>
            <w:r w:rsidRPr="00F01347">
              <w:rPr>
                <w:rFonts w:ascii="Verdana" w:hAnsi="Verdana"/>
                <w:b/>
                <w:sz w:val="16"/>
                <w:szCs w:val="16"/>
                <w:lang w:val="en-US"/>
              </w:rPr>
              <w:t xml:space="preserve">B.13.7.3.1 </w:t>
            </w:r>
            <w:r w:rsidRPr="00F01347">
              <w:rPr>
                <w:rFonts w:ascii="Verdana" w:hAnsi="Verdana"/>
                <w:sz w:val="16"/>
                <w:szCs w:val="16"/>
                <w:lang w:val="en-US"/>
              </w:rPr>
              <w:t>Stability of the calibration curve.</w:t>
            </w:r>
          </w:p>
        </w:tc>
      </w:tr>
      <w:tr w:rsidR="00BC586A" w:rsidRPr="00F01347" w14:paraId="0604809B" w14:textId="3522CA80" w:rsidTr="008C233D">
        <w:tc>
          <w:tcPr>
            <w:tcW w:w="4675" w:type="dxa"/>
          </w:tcPr>
          <w:p w14:paraId="41A585A2" w14:textId="77777777" w:rsidR="00BC586A" w:rsidRPr="00F01347" w:rsidRDefault="00BC586A" w:rsidP="00BC586A">
            <w:pPr>
              <w:pStyle w:val="texto0"/>
              <w:ind w:firstLine="0"/>
              <w:rPr>
                <w:rFonts w:ascii="Verdana" w:hAnsi="Verdana"/>
                <w:b/>
                <w:sz w:val="16"/>
                <w:szCs w:val="16"/>
              </w:rPr>
            </w:pPr>
            <w:r w:rsidRPr="00F01347">
              <w:rPr>
                <w:rFonts w:ascii="Verdana" w:hAnsi="Verdana"/>
                <w:sz w:val="16"/>
                <w:szCs w:val="16"/>
              </w:rPr>
              <w:t>Evaluación del estándar de verificación (punto intermedio de la curva de calibración; % de diferencia de la concentración, menor al 15%.</w:t>
            </w:r>
          </w:p>
        </w:tc>
        <w:tc>
          <w:tcPr>
            <w:tcW w:w="4675" w:type="dxa"/>
          </w:tcPr>
          <w:p w14:paraId="12BF573C" w14:textId="47919928" w:rsidR="00BC586A" w:rsidRPr="00F01347" w:rsidRDefault="00BC586A" w:rsidP="00BC586A">
            <w:pPr>
              <w:pStyle w:val="texto0"/>
              <w:ind w:firstLine="0"/>
              <w:rPr>
                <w:rFonts w:ascii="Verdana" w:hAnsi="Verdana"/>
                <w:sz w:val="16"/>
                <w:szCs w:val="16"/>
                <w:lang w:val="en-US"/>
              </w:rPr>
            </w:pPr>
            <w:r w:rsidRPr="00F01347">
              <w:rPr>
                <w:rFonts w:ascii="Verdana" w:hAnsi="Verdana"/>
                <w:sz w:val="16"/>
                <w:szCs w:val="16"/>
                <w:lang w:val="en-US"/>
              </w:rPr>
              <w:t>Evaluation of the verification standard (intermediate point of the calibration curve; % difference in concentration, less than 15%.</w:t>
            </w:r>
          </w:p>
        </w:tc>
      </w:tr>
      <w:tr w:rsidR="00BC586A" w:rsidRPr="00F01347" w14:paraId="580CCE16" w14:textId="2FAF6398" w:rsidTr="008C233D">
        <w:tc>
          <w:tcPr>
            <w:tcW w:w="4675" w:type="dxa"/>
          </w:tcPr>
          <w:p w14:paraId="75C66B3C" w14:textId="77777777" w:rsidR="00BC586A" w:rsidRPr="00F01347" w:rsidRDefault="00BC586A" w:rsidP="00BC586A">
            <w:pPr>
              <w:pStyle w:val="texto0"/>
              <w:ind w:firstLine="0"/>
              <w:rPr>
                <w:rFonts w:ascii="Verdana" w:hAnsi="Verdana"/>
                <w:sz w:val="16"/>
                <w:szCs w:val="16"/>
              </w:rPr>
            </w:pPr>
            <w:r w:rsidRPr="00F01347">
              <w:rPr>
                <w:rFonts w:ascii="Verdana" w:hAnsi="Verdana"/>
                <w:b/>
                <w:sz w:val="16"/>
                <w:szCs w:val="16"/>
              </w:rPr>
              <w:t xml:space="preserve">B.13.7.3.2 </w:t>
            </w:r>
            <w:r w:rsidRPr="00F01347">
              <w:rPr>
                <w:rFonts w:ascii="Verdana" w:hAnsi="Verdana"/>
                <w:sz w:val="16"/>
                <w:szCs w:val="16"/>
              </w:rPr>
              <w:t>Calibración Inicial.</w:t>
            </w:r>
          </w:p>
        </w:tc>
        <w:tc>
          <w:tcPr>
            <w:tcW w:w="4675" w:type="dxa"/>
          </w:tcPr>
          <w:p w14:paraId="768C99A1" w14:textId="37AD62BB" w:rsidR="00BC586A" w:rsidRPr="00F01347" w:rsidRDefault="00BC586A" w:rsidP="00BC586A">
            <w:pPr>
              <w:pStyle w:val="texto0"/>
              <w:ind w:firstLine="0"/>
              <w:rPr>
                <w:rFonts w:ascii="Verdana" w:hAnsi="Verdana"/>
                <w:b/>
                <w:sz w:val="16"/>
                <w:szCs w:val="16"/>
                <w:lang w:val="en-US"/>
              </w:rPr>
            </w:pPr>
            <w:r w:rsidRPr="00F01347">
              <w:rPr>
                <w:rFonts w:ascii="Verdana" w:hAnsi="Verdana"/>
                <w:b/>
                <w:sz w:val="16"/>
                <w:szCs w:val="16"/>
                <w:lang w:val="en-US"/>
              </w:rPr>
              <w:t xml:space="preserve">B.13.7.3.2 </w:t>
            </w:r>
            <w:r w:rsidRPr="00F01347">
              <w:rPr>
                <w:rFonts w:ascii="Verdana" w:hAnsi="Verdana"/>
                <w:sz w:val="16"/>
                <w:szCs w:val="16"/>
                <w:lang w:val="en-US"/>
              </w:rPr>
              <w:t>Initial Calibration.</w:t>
            </w:r>
          </w:p>
        </w:tc>
      </w:tr>
      <w:tr w:rsidR="00BC586A" w:rsidRPr="00F01347" w14:paraId="215AC1A2" w14:textId="4B5A6006" w:rsidTr="008C233D">
        <w:tc>
          <w:tcPr>
            <w:tcW w:w="4675" w:type="dxa"/>
          </w:tcPr>
          <w:p w14:paraId="7E4B1467" w14:textId="77777777" w:rsidR="00BC586A" w:rsidRPr="00F01347" w:rsidRDefault="00BC586A" w:rsidP="00BC586A">
            <w:pPr>
              <w:pStyle w:val="texto0"/>
              <w:ind w:firstLine="0"/>
              <w:rPr>
                <w:rFonts w:ascii="Verdana" w:hAnsi="Verdana"/>
                <w:sz w:val="16"/>
                <w:szCs w:val="16"/>
              </w:rPr>
            </w:pPr>
            <w:r w:rsidRPr="00F01347">
              <w:rPr>
                <w:rFonts w:ascii="Verdana" w:hAnsi="Verdana"/>
                <w:sz w:val="16"/>
                <w:szCs w:val="16"/>
              </w:rPr>
              <w:t>El procedimiento utilizado para la calibración de este método es el de estándar externo y se inyectarán de 1 a 3 µL por triplicado de cada uno de los niveles requeridos, al final realizar el promedio de las tres curvas y agregarlo de forma manual a la tabla de calibración del método.</w:t>
            </w:r>
          </w:p>
        </w:tc>
        <w:tc>
          <w:tcPr>
            <w:tcW w:w="4675" w:type="dxa"/>
          </w:tcPr>
          <w:p w14:paraId="65229095" w14:textId="11B1798D" w:rsidR="00BC586A" w:rsidRPr="00F01347" w:rsidRDefault="00BC586A" w:rsidP="00BC586A">
            <w:pPr>
              <w:pStyle w:val="texto0"/>
              <w:ind w:firstLine="0"/>
              <w:rPr>
                <w:rFonts w:ascii="Verdana" w:hAnsi="Verdana"/>
                <w:sz w:val="16"/>
                <w:szCs w:val="16"/>
                <w:lang w:val="en-US"/>
              </w:rPr>
            </w:pPr>
            <w:r w:rsidRPr="00F01347">
              <w:rPr>
                <w:rFonts w:ascii="Verdana" w:hAnsi="Verdana"/>
                <w:sz w:val="16"/>
                <w:szCs w:val="16"/>
                <w:lang w:val="en-US"/>
              </w:rPr>
              <w:t>The procedure used for the calibration of this method is the external standard and 1 to 3 µL will be injected in triplicate of each of the required levels, at the end the average of the three curves will be taken and added manually to the table of method calibration.</w:t>
            </w:r>
          </w:p>
        </w:tc>
      </w:tr>
      <w:tr w:rsidR="00BC586A" w:rsidRPr="00F01347" w14:paraId="28BE1103" w14:textId="3DAA0333" w:rsidTr="008C233D">
        <w:tc>
          <w:tcPr>
            <w:tcW w:w="4675" w:type="dxa"/>
          </w:tcPr>
          <w:p w14:paraId="31C33467" w14:textId="77777777" w:rsidR="00BC586A" w:rsidRPr="00F01347" w:rsidRDefault="00BC586A" w:rsidP="00BC586A">
            <w:pPr>
              <w:pStyle w:val="texto0"/>
              <w:ind w:firstLine="0"/>
              <w:rPr>
                <w:rFonts w:ascii="Verdana" w:hAnsi="Verdana"/>
                <w:sz w:val="16"/>
                <w:szCs w:val="16"/>
              </w:rPr>
            </w:pPr>
            <w:r w:rsidRPr="00F01347">
              <w:rPr>
                <w:rFonts w:ascii="Verdana" w:hAnsi="Verdana"/>
                <w:b/>
                <w:sz w:val="16"/>
                <w:szCs w:val="16"/>
              </w:rPr>
              <w:t xml:space="preserve">B.13.7.3.3 </w:t>
            </w:r>
            <w:r w:rsidRPr="00F01347">
              <w:rPr>
                <w:rFonts w:ascii="Verdana" w:hAnsi="Verdana"/>
                <w:sz w:val="16"/>
                <w:szCs w:val="16"/>
              </w:rPr>
              <w:t>Preparación de la curva de calibración.</w:t>
            </w:r>
          </w:p>
        </w:tc>
        <w:tc>
          <w:tcPr>
            <w:tcW w:w="4675" w:type="dxa"/>
          </w:tcPr>
          <w:p w14:paraId="3E4996CA" w14:textId="6090D2FD" w:rsidR="00BC586A" w:rsidRPr="00F01347" w:rsidRDefault="00BC586A" w:rsidP="00BC586A">
            <w:pPr>
              <w:pStyle w:val="texto0"/>
              <w:ind w:firstLine="0"/>
              <w:rPr>
                <w:rFonts w:ascii="Verdana" w:hAnsi="Verdana"/>
                <w:b/>
                <w:sz w:val="16"/>
                <w:szCs w:val="16"/>
                <w:lang w:val="en-US"/>
              </w:rPr>
            </w:pPr>
            <w:r w:rsidRPr="00F01347">
              <w:rPr>
                <w:rFonts w:ascii="Verdana" w:hAnsi="Verdana"/>
                <w:b/>
                <w:sz w:val="16"/>
                <w:szCs w:val="16"/>
                <w:lang w:val="en-US"/>
              </w:rPr>
              <w:t xml:space="preserve">B.13.7.3.3 </w:t>
            </w:r>
            <w:r w:rsidRPr="00F01347">
              <w:rPr>
                <w:rFonts w:ascii="Verdana" w:hAnsi="Verdana"/>
                <w:sz w:val="16"/>
                <w:szCs w:val="16"/>
                <w:lang w:val="en-US"/>
              </w:rPr>
              <w:t>Preparation of the calibration curve.</w:t>
            </w:r>
          </w:p>
        </w:tc>
      </w:tr>
      <w:tr w:rsidR="00BC586A" w:rsidRPr="00F01347" w14:paraId="631BDEEA" w14:textId="4D728A4A" w:rsidTr="008C233D">
        <w:tc>
          <w:tcPr>
            <w:tcW w:w="4675" w:type="dxa"/>
          </w:tcPr>
          <w:p w14:paraId="1E9F5F68" w14:textId="77777777" w:rsidR="00BC586A" w:rsidRPr="00F01347" w:rsidRDefault="00BC586A" w:rsidP="00BC586A">
            <w:pPr>
              <w:pStyle w:val="texto0"/>
              <w:ind w:firstLine="0"/>
              <w:rPr>
                <w:rFonts w:ascii="Verdana" w:hAnsi="Verdana"/>
                <w:b/>
                <w:sz w:val="16"/>
                <w:szCs w:val="16"/>
              </w:rPr>
            </w:pPr>
            <w:proofErr w:type="gramStart"/>
            <w:r w:rsidRPr="00F01347">
              <w:rPr>
                <w:rFonts w:ascii="Verdana" w:hAnsi="Verdana"/>
                <w:sz w:val="16"/>
                <w:szCs w:val="16"/>
              </w:rPr>
              <w:t>El volumen a usar</w:t>
            </w:r>
            <w:proofErr w:type="gramEnd"/>
            <w:r w:rsidRPr="00F01347">
              <w:rPr>
                <w:rFonts w:ascii="Verdana" w:hAnsi="Verdana"/>
                <w:sz w:val="16"/>
                <w:szCs w:val="16"/>
              </w:rPr>
              <w:t xml:space="preserve"> de las disoluciones a partir de la cual se preparan los puntos de la curva puede ser calculado con la siguiente ecuación:</w:t>
            </w:r>
          </w:p>
        </w:tc>
        <w:tc>
          <w:tcPr>
            <w:tcW w:w="4675" w:type="dxa"/>
          </w:tcPr>
          <w:p w14:paraId="3E300E74" w14:textId="2EFB19AA" w:rsidR="00BC586A" w:rsidRPr="00F01347" w:rsidRDefault="00BC586A" w:rsidP="00BC586A">
            <w:pPr>
              <w:pStyle w:val="texto0"/>
              <w:ind w:firstLine="0"/>
              <w:rPr>
                <w:rFonts w:ascii="Verdana" w:hAnsi="Verdana"/>
                <w:sz w:val="16"/>
                <w:szCs w:val="16"/>
                <w:lang w:val="en-US"/>
              </w:rPr>
            </w:pPr>
            <w:r w:rsidRPr="00F01347">
              <w:rPr>
                <w:rFonts w:ascii="Verdana" w:hAnsi="Verdana"/>
                <w:sz w:val="16"/>
                <w:szCs w:val="16"/>
                <w:lang w:val="en-US"/>
              </w:rPr>
              <w:t>The volume to use of the solutions from which the curve points are prepared can be calculated with the following equation:</w:t>
            </w:r>
          </w:p>
        </w:tc>
      </w:tr>
    </w:tbl>
    <w:p w14:paraId="3B113A18" w14:textId="71862FB9" w:rsidR="00A74CDF" w:rsidRPr="00F01347" w:rsidRDefault="00471638" w:rsidP="00FC3DB4">
      <w:pPr>
        <w:pStyle w:val="texto0"/>
        <w:spacing w:line="240" w:lineRule="auto"/>
        <w:ind w:left="630" w:firstLine="0"/>
        <w:jc w:val="center"/>
        <w:rPr>
          <w:rFonts w:ascii="Verdana" w:hAnsi="Verdana"/>
          <w:sz w:val="16"/>
          <w:szCs w:val="16"/>
        </w:rPr>
      </w:pPr>
      <w:r w:rsidRPr="00F01347">
        <w:rPr>
          <w:rFonts w:ascii="Verdana" w:hAnsi="Verdana"/>
          <w:noProof/>
          <w:sz w:val="16"/>
          <w:szCs w:val="16"/>
        </w:rPr>
        <w:drawing>
          <wp:inline distT="0" distB="0" distL="0" distR="0" wp14:anchorId="2A489B2F" wp14:editId="27F4B310">
            <wp:extent cx="819150" cy="390525"/>
            <wp:effectExtent l="0" t="0" r="0" b="0"/>
            <wp:docPr id="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19150" cy="3905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609E0" w:rsidRPr="00F01347" w14:paraId="3F77727A" w14:textId="5D6C54B3" w:rsidTr="00FC3DB4">
        <w:tc>
          <w:tcPr>
            <w:tcW w:w="4675" w:type="dxa"/>
          </w:tcPr>
          <w:p w14:paraId="37472587" w14:textId="77777777" w:rsidR="004609E0" w:rsidRPr="00F01347" w:rsidRDefault="004609E0" w:rsidP="004609E0">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1FFA2EEC" w14:textId="0929B267" w:rsidR="004609E0" w:rsidRPr="009F384B" w:rsidRDefault="004609E0" w:rsidP="004609E0">
            <w:pPr>
              <w:pStyle w:val="texto0"/>
              <w:ind w:firstLine="0"/>
              <w:rPr>
                <w:rFonts w:ascii="Verdana" w:hAnsi="Verdana"/>
                <w:b/>
                <w:bCs/>
                <w:sz w:val="16"/>
                <w:szCs w:val="16"/>
                <w:lang w:val="en-US"/>
              </w:rPr>
            </w:pPr>
            <w:r w:rsidRPr="009F384B">
              <w:rPr>
                <w:rFonts w:ascii="Verdana" w:hAnsi="Verdana"/>
                <w:b/>
                <w:bCs/>
                <w:sz w:val="16"/>
                <w:szCs w:val="16"/>
                <w:lang w:val="en-US"/>
              </w:rPr>
              <w:t>Where:</w:t>
            </w:r>
          </w:p>
        </w:tc>
      </w:tr>
      <w:tr w:rsidR="004609E0" w:rsidRPr="00F01347" w14:paraId="24E563A4" w14:textId="45777AAA" w:rsidTr="00FC3DB4">
        <w:tc>
          <w:tcPr>
            <w:tcW w:w="4675" w:type="dxa"/>
          </w:tcPr>
          <w:p w14:paraId="646F8244" w14:textId="77777777" w:rsidR="004609E0" w:rsidRPr="00F01347" w:rsidRDefault="004609E0" w:rsidP="004609E0">
            <w:pPr>
              <w:pStyle w:val="texto0"/>
              <w:ind w:firstLine="0"/>
              <w:rPr>
                <w:rFonts w:ascii="Verdana" w:hAnsi="Verdana"/>
                <w:sz w:val="16"/>
                <w:szCs w:val="16"/>
              </w:rPr>
            </w:pPr>
            <w:r w:rsidRPr="00F01347">
              <w:rPr>
                <w:rFonts w:ascii="Verdana" w:hAnsi="Verdana"/>
                <w:sz w:val="16"/>
                <w:szCs w:val="16"/>
              </w:rPr>
              <w:t>V1</w:t>
            </w:r>
            <w:r w:rsidRPr="00F01347">
              <w:rPr>
                <w:rFonts w:ascii="Verdana" w:hAnsi="Verdana"/>
                <w:sz w:val="16"/>
                <w:szCs w:val="16"/>
              </w:rPr>
              <w:tab/>
              <w:t xml:space="preserve">volumen en </w:t>
            </w:r>
            <w:proofErr w:type="spellStart"/>
            <w:r w:rsidRPr="00F01347">
              <w:rPr>
                <w:rFonts w:ascii="Verdana" w:hAnsi="Verdana"/>
                <w:sz w:val="16"/>
                <w:szCs w:val="16"/>
              </w:rPr>
              <w:t>mL</w:t>
            </w:r>
            <w:proofErr w:type="spellEnd"/>
            <w:r w:rsidRPr="00F01347">
              <w:rPr>
                <w:rFonts w:ascii="Verdana" w:hAnsi="Verdana"/>
                <w:sz w:val="16"/>
                <w:szCs w:val="16"/>
              </w:rPr>
              <w:t xml:space="preserve"> a partir de la disolución patrón.</w:t>
            </w:r>
          </w:p>
        </w:tc>
        <w:tc>
          <w:tcPr>
            <w:tcW w:w="4675" w:type="dxa"/>
          </w:tcPr>
          <w:p w14:paraId="13A9A659" w14:textId="1FADDC7B" w:rsidR="004609E0" w:rsidRPr="009F384B" w:rsidRDefault="004609E0" w:rsidP="004609E0">
            <w:pPr>
              <w:pStyle w:val="texto0"/>
              <w:ind w:firstLine="0"/>
              <w:rPr>
                <w:rFonts w:ascii="Verdana" w:hAnsi="Verdana"/>
                <w:sz w:val="16"/>
                <w:szCs w:val="16"/>
                <w:lang w:val="en-US"/>
              </w:rPr>
            </w:pPr>
            <w:r w:rsidRPr="009F384B">
              <w:rPr>
                <w:rFonts w:ascii="Verdana" w:hAnsi="Verdana"/>
                <w:sz w:val="16"/>
                <w:szCs w:val="16"/>
                <w:lang w:val="en-US"/>
              </w:rPr>
              <w:t xml:space="preserve">V1 </w:t>
            </w:r>
            <w:r w:rsidRPr="009F384B">
              <w:rPr>
                <w:rFonts w:ascii="Verdana" w:hAnsi="Verdana"/>
                <w:sz w:val="16"/>
                <w:szCs w:val="16"/>
                <w:lang w:val="en-US"/>
              </w:rPr>
              <w:tab/>
              <w:t>volume in mL from the standard solution.</w:t>
            </w:r>
          </w:p>
        </w:tc>
      </w:tr>
      <w:tr w:rsidR="004609E0" w:rsidRPr="00F01347" w14:paraId="304CA5A3" w14:textId="0BF321B2" w:rsidTr="00FC3DB4">
        <w:tc>
          <w:tcPr>
            <w:tcW w:w="4675" w:type="dxa"/>
          </w:tcPr>
          <w:p w14:paraId="0F2C4480" w14:textId="77777777" w:rsidR="004609E0" w:rsidRPr="00F01347" w:rsidRDefault="004609E0" w:rsidP="004609E0">
            <w:pPr>
              <w:pStyle w:val="texto0"/>
              <w:ind w:firstLine="0"/>
              <w:rPr>
                <w:rFonts w:ascii="Verdana" w:hAnsi="Verdana"/>
                <w:sz w:val="16"/>
                <w:szCs w:val="16"/>
              </w:rPr>
            </w:pPr>
            <w:r w:rsidRPr="00F01347">
              <w:rPr>
                <w:rFonts w:ascii="Verdana" w:hAnsi="Verdana"/>
                <w:sz w:val="16"/>
                <w:szCs w:val="16"/>
              </w:rPr>
              <w:t>C1</w:t>
            </w:r>
            <w:r w:rsidRPr="00F01347">
              <w:rPr>
                <w:rFonts w:ascii="Verdana" w:hAnsi="Verdana"/>
                <w:sz w:val="16"/>
                <w:szCs w:val="16"/>
              </w:rPr>
              <w:tab/>
              <w:t>concentración total requerida para cada punto de la curva de calibración en mg/L.</w:t>
            </w:r>
          </w:p>
        </w:tc>
        <w:tc>
          <w:tcPr>
            <w:tcW w:w="4675" w:type="dxa"/>
          </w:tcPr>
          <w:p w14:paraId="0960592C" w14:textId="6BF023F6" w:rsidR="004609E0" w:rsidRPr="009F384B" w:rsidRDefault="004609E0" w:rsidP="004609E0">
            <w:pPr>
              <w:pStyle w:val="texto0"/>
              <w:ind w:firstLine="0"/>
              <w:rPr>
                <w:rFonts w:ascii="Verdana" w:hAnsi="Verdana"/>
                <w:sz w:val="16"/>
                <w:szCs w:val="16"/>
                <w:lang w:val="en-US"/>
              </w:rPr>
            </w:pPr>
            <w:r w:rsidRPr="009F384B">
              <w:rPr>
                <w:rFonts w:ascii="Verdana" w:hAnsi="Verdana"/>
                <w:sz w:val="16"/>
                <w:szCs w:val="16"/>
                <w:lang w:val="en-US"/>
              </w:rPr>
              <w:t xml:space="preserve">C1 </w:t>
            </w:r>
            <w:r w:rsidRPr="009F384B">
              <w:rPr>
                <w:rFonts w:ascii="Verdana" w:hAnsi="Verdana"/>
                <w:sz w:val="16"/>
                <w:szCs w:val="16"/>
                <w:lang w:val="en-US"/>
              </w:rPr>
              <w:tab/>
              <w:t>total concentration required for each point of the calibration curve in mg/L.</w:t>
            </w:r>
          </w:p>
        </w:tc>
      </w:tr>
      <w:tr w:rsidR="004609E0" w:rsidRPr="00F01347" w14:paraId="1BB25350" w14:textId="13B2928F" w:rsidTr="00FC3DB4">
        <w:tc>
          <w:tcPr>
            <w:tcW w:w="4675" w:type="dxa"/>
          </w:tcPr>
          <w:p w14:paraId="077B2E78" w14:textId="77777777" w:rsidR="004609E0" w:rsidRPr="00F01347" w:rsidRDefault="004609E0" w:rsidP="004609E0">
            <w:pPr>
              <w:pStyle w:val="texto0"/>
              <w:ind w:firstLine="0"/>
              <w:rPr>
                <w:rFonts w:ascii="Verdana" w:hAnsi="Verdana"/>
                <w:sz w:val="16"/>
                <w:szCs w:val="16"/>
              </w:rPr>
            </w:pPr>
            <w:r w:rsidRPr="00F01347">
              <w:rPr>
                <w:rFonts w:ascii="Verdana" w:hAnsi="Verdana"/>
                <w:sz w:val="16"/>
                <w:szCs w:val="16"/>
              </w:rPr>
              <w:t>C2</w:t>
            </w:r>
            <w:r w:rsidRPr="00F01347">
              <w:rPr>
                <w:rFonts w:ascii="Verdana" w:hAnsi="Verdana"/>
                <w:sz w:val="16"/>
                <w:szCs w:val="16"/>
              </w:rPr>
              <w:tab/>
              <w:t>concentración de la disolución de referencia que es la suma de las concentraciones de todos los compuestos de la disolución (C</w:t>
            </w:r>
            <w:r w:rsidRPr="00F01347">
              <w:rPr>
                <w:rFonts w:ascii="Verdana" w:hAnsi="Verdana"/>
                <w:sz w:val="16"/>
                <w:szCs w:val="16"/>
                <w:vertAlign w:val="subscript"/>
              </w:rPr>
              <w:t>10</w:t>
            </w:r>
            <w:r w:rsidRPr="00F01347">
              <w:rPr>
                <w:rFonts w:ascii="Verdana" w:hAnsi="Verdana"/>
                <w:sz w:val="16"/>
                <w:szCs w:val="16"/>
              </w:rPr>
              <w:t xml:space="preserve"> a C</w:t>
            </w:r>
            <w:r w:rsidRPr="00F01347">
              <w:rPr>
                <w:rFonts w:ascii="Verdana" w:hAnsi="Verdana"/>
                <w:sz w:val="16"/>
                <w:szCs w:val="16"/>
                <w:vertAlign w:val="subscript"/>
              </w:rPr>
              <w:t>28</w:t>
            </w:r>
            <w:r w:rsidRPr="00F01347">
              <w:rPr>
                <w:rFonts w:ascii="Verdana" w:hAnsi="Verdana"/>
                <w:sz w:val="16"/>
                <w:szCs w:val="16"/>
              </w:rPr>
              <w:t>) en mg/L.</w:t>
            </w:r>
          </w:p>
        </w:tc>
        <w:tc>
          <w:tcPr>
            <w:tcW w:w="4675" w:type="dxa"/>
          </w:tcPr>
          <w:p w14:paraId="44AD3E88" w14:textId="300FF2DF" w:rsidR="004609E0" w:rsidRPr="009F384B" w:rsidRDefault="004609E0" w:rsidP="004609E0">
            <w:pPr>
              <w:pStyle w:val="texto0"/>
              <w:ind w:firstLine="0"/>
              <w:rPr>
                <w:rFonts w:ascii="Verdana" w:hAnsi="Verdana"/>
                <w:sz w:val="16"/>
                <w:szCs w:val="16"/>
                <w:lang w:val="en-US"/>
              </w:rPr>
            </w:pPr>
            <w:r w:rsidRPr="009F384B">
              <w:rPr>
                <w:rFonts w:ascii="Verdana" w:hAnsi="Verdana"/>
                <w:sz w:val="16"/>
                <w:szCs w:val="16"/>
                <w:lang w:val="en-US"/>
              </w:rPr>
              <w:t xml:space="preserve">C2 </w:t>
            </w:r>
            <w:r w:rsidRPr="009F384B">
              <w:rPr>
                <w:rFonts w:ascii="Verdana" w:hAnsi="Verdana"/>
                <w:sz w:val="16"/>
                <w:szCs w:val="16"/>
                <w:lang w:val="en-US"/>
              </w:rPr>
              <w:tab/>
              <w:t>concentration of the reference solution which is the sum of the concentrations of all the compounds in the solution (C</w:t>
            </w:r>
            <w:r w:rsidRPr="009F384B">
              <w:rPr>
                <w:rFonts w:ascii="Verdana" w:hAnsi="Verdana"/>
                <w:sz w:val="16"/>
                <w:szCs w:val="16"/>
                <w:vertAlign w:val="subscript"/>
                <w:lang w:val="en-US"/>
              </w:rPr>
              <w:t xml:space="preserve">10 </w:t>
            </w:r>
            <w:r w:rsidRPr="009F384B">
              <w:rPr>
                <w:rFonts w:ascii="Verdana" w:hAnsi="Verdana"/>
                <w:sz w:val="16"/>
                <w:szCs w:val="16"/>
                <w:lang w:val="en-US"/>
              </w:rPr>
              <w:t>to C</w:t>
            </w:r>
            <w:r w:rsidRPr="009F384B">
              <w:rPr>
                <w:rFonts w:ascii="Verdana" w:hAnsi="Verdana"/>
                <w:sz w:val="16"/>
                <w:szCs w:val="16"/>
                <w:vertAlign w:val="subscript"/>
                <w:lang w:val="en-US"/>
              </w:rPr>
              <w:t>28</w:t>
            </w:r>
            <w:r w:rsidR="00913802" w:rsidRPr="009F384B">
              <w:rPr>
                <w:rFonts w:ascii="Verdana" w:hAnsi="Verdana"/>
                <w:sz w:val="16"/>
                <w:szCs w:val="16"/>
                <w:lang w:val="en-US"/>
              </w:rPr>
              <w:t>)</w:t>
            </w:r>
            <w:r w:rsidRPr="009F384B">
              <w:rPr>
                <w:rFonts w:ascii="Verdana" w:hAnsi="Verdana"/>
                <w:sz w:val="16"/>
                <w:szCs w:val="16"/>
                <w:lang w:val="en-US"/>
              </w:rPr>
              <w:t xml:space="preserve"> in mg/L.</w:t>
            </w:r>
          </w:p>
        </w:tc>
      </w:tr>
      <w:tr w:rsidR="004609E0" w:rsidRPr="00F01347" w14:paraId="74C229EB" w14:textId="27572070" w:rsidTr="00FC3DB4">
        <w:tc>
          <w:tcPr>
            <w:tcW w:w="4675" w:type="dxa"/>
          </w:tcPr>
          <w:p w14:paraId="2332F3DD" w14:textId="77777777" w:rsidR="004609E0" w:rsidRPr="00F01347" w:rsidRDefault="004609E0" w:rsidP="004609E0">
            <w:pPr>
              <w:pStyle w:val="texto0"/>
              <w:ind w:firstLine="0"/>
              <w:rPr>
                <w:rFonts w:ascii="Verdana" w:hAnsi="Verdana"/>
                <w:sz w:val="16"/>
                <w:szCs w:val="16"/>
              </w:rPr>
            </w:pPr>
            <w:r w:rsidRPr="00F01347">
              <w:rPr>
                <w:rFonts w:ascii="Verdana" w:hAnsi="Verdana"/>
                <w:sz w:val="16"/>
                <w:szCs w:val="16"/>
              </w:rPr>
              <w:t>V2</w:t>
            </w:r>
            <w:r w:rsidRPr="00F01347">
              <w:rPr>
                <w:rFonts w:ascii="Verdana" w:hAnsi="Verdana"/>
                <w:sz w:val="16"/>
                <w:szCs w:val="16"/>
              </w:rPr>
              <w:tab/>
              <w:t xml:space="preserve">volumen final (aforo) en </w:t>
            </w:r>
            <w:proofErr w:type="spellStart"/>
            <w:r w:rsidRPr="00F01347">
              <w:rPr>
                <w:rFonts w:ascii="Verdana" w:hAnsi="Verdana"/>
                <w:sz w:val="16"/>
                <w:szCs w:val="16"/>
              </w:rPr>
              <w:t>mL</w:t>
            </w:r>
            <w:proofErr w:type="spellEnd"/>
            <w:r w:rsidRPr="00F01347">
              <w:rPr>
                <w:rFonts w:ascii="Verdana" w:hAnsi="Verdana"/>
                <w:sz w:val="16"/>
                <w:szCs w:val="16"/>
              </w:rPr>
              <w:t xml:space="preserve"> de cada punto de la curva de calibración.</w:t>
            </w:r>
          </w:p>
        </w:tc>
        <w:tc>
          <w:tcPr>
            <w:tcW w:w="4675" w:type="dxa"/>
          </w:tcPr>
          <w:p w14:paraId="548424DB" w14:textId="07654E54" w:rsidR="004609E0" w:rsidRPr="009F384B" w:rsidRDefault="004609E0" w:rsidP="004609E0">
            <w:pPr>
              <w:pStyle w:val="texto0"/>
              <w:ind w:firstLine="0"/>
              <w:rPr>
                <w:rFonts w:ascii="Verdana" w:hAnsi="Verdana"/>
                <w:sz w:val="16"/>
                <w:szCs w:val="16"/>
                <w:lang w:val="en-US"/>
              </w:rPr>
            </w:pPr>
            <w:r w:rsidRPr="009F384B">
              <w:rPr>
                <w:rFonts w:ascii="Verdana" w:hAnsi="Verdana"/>
                <w:sz w:val="16"/>
                <w:szCs w:val="16"/>
                <w:lang w:val="en-US"/>
              </w:rPr>
              <w:t xml:space="preserve">V2 </w:t>
            </w:r>
            <w:r w:rsidRPr="009F384B">
              <w:rPr>
                <w:rFonts w:ascii="Verdana" w:hAnsi="Verdana"/>
                <w:sz w:val="16"/>
                <w:szCs w:val="16"/>
                <w:lang w:val="en-US"/>
              </w:rPr>
              <w:tab/>
              <w:t>final volume (capacity) in mL of each point on the calibration curve.</w:t>
            </w:r>
          </w:p>
        </w:tc>
      </w:tr>
      <w:tr w:rsidR="004609E0" w:rsidRPr="00F01347" w14:paraId="3BFBAE04" w14:textId="5FF4F004" w:rsidTr="00FC3DB4">
        <w:tc>
          <w:tcPr>
            <w:tcW w:w="4675" w:type="dxa"/>
          </w:tcPr>
          <w:p w14:paraId="57CF04E5" w14:textId="77777777" w:rsidR="004609E0" w:rsidRPr="00F01347" w:rsidRDefault="004609E0" w:rsidP="004609E0">
            <w:pPr>
              <w:pStyle w:val="texto0"/>
              <w:ind w:firstLine="0"/>
              <w:rPr>
                <w:rFonts w:ascii="Verdana" w:hAnsi="Verdana"/>
                <w:sz w:val="16"/>
                <w:szCs w:val="16"/>
              </w:rPr>
            </w:pPr>
            <w:r w:rsidRPr="00F01347">
              <w:rPr>
                <w:rFonts w:ascii="Verdana" w:hAnsi="Verdana"/>
                <w:sz w:val="16"/>
                <w:szCs w:val="16"/>
              </w:rPr>
              <w:t xml:space="preserve">A partir de la disolución patrón, calcular la masa que será utilizada para preparar los diferentes niveles de la curva de calibración en una masa total de 1 g, </w:t>
            </w:r>
            <w:proofErr w:type="gramStart"/>
            <w:r w:rsidRPr="00F01347">
              <w:rPr>
                <w:rFonts w:ascii="Verdana" w:hAnsi="Verdana"/>
                <w:sz w:val="16"/>
                <w:szCs w:val="16"/>
              </w:rPr>
              <w:t>de acuerdo a</w:t>
            </w:r>
            <w:proofErr w:type="gramEnd"/>
            <w:r w:rsidRPr="00F01347">
              <w:rPr>
                <w:rFonts w:ascii="Verdana" w:hAnsi="Verdana"/>
                <w:sz w:val="16"/>
                <w:szCs w:val="16"/>
              </w:rPr>
              <w:t xml:space="preserve"> la siguiente ecuación.</w:t>
            </w:r>
          </w:p>
        </w:tc>
        <w:tc>
          <w:tcPr>
            <w:tcW w:w="4675" w:type="dxa"/>
          </w:tcPr>
          <w:p w14:paraId="52A8A9A9" w14:textId="547A955A" w:rsidR="004609E0" w:rsidRPr="009F384B" w:rsidRDefault="004609E0" w:rsidP="004609E0">
            <w:pPr>
              <w:pStyle w:val="texto0"/>
              <w:ind w:firstLine="0"/>
              <w:rPr>
                <w:rFonts w:ascii="Verdana" w:hAnsi="Verdana"/>
                <w:sz w:val="16"/>
                <w:szCs w:val="16"/>
                <w:lang w:val="en-US"/>
              </w:rPr>
            </w:pPr>
            <w:r w:rsidRPr="009F384B">
              <w:rPr>
                <w:rFonts w:ascii="Verdana" w:hAnsi="Verdana"/>
                <w:sz w:val="16"/>
                <w:szCs w:val="16"/>
                <w:lang w:val="en-US"/>
              </w:rPr>
              <w:t>From the standard solution, calculate the mass that will be used to prepare the different levels of the calibration curve in a total mass of 1 g, according to the following equation.</w:t>
            </w:r>
          </w:p>
        </w:tc>
      </w:tr>
    </w:tbl>
    <w:p w14:paraId="149FC025" w14:textId="58B2DCEE" w:rsidR="00A74CDF" w:rsidRPr="00F01347" w:rsidRDefault="00471638" w:rsidP="00FC3DB4">
      <w:pPr>
        <w:pStyle w:val="texto0"/>
        <w:spacing w:line="240" w:lineRule="auto"/>
        <w:ind w:left="630" w:firstLine="0"/>
        <w:jc w:val="center"/>
        <w:rPr>
          <w:rFonts w:ascii="Verdana" w:hAnsi="Verdana"/>
          <w:sz w:val="16"/>
          <w:szCs w:val="16"/>
        </w:rPr>
      </w:pPr>
      <w:r w:rsidRPr="00F01347">
        <w:rPr>
          <w:rFonts w:ascii="Verdana" w:hAnsi="Verdana"/>
          <w:noProof/>
          <w:sz w:val="16"/>
          <w:szCs w:val="16"/>
        </w:rPr>
        <w:drawing>
          <wp:inline distT="0" distB="0" distL="0" distR="0" wp14:anchorId="3E7615A5" wp14:editId="3C09A2AF">
            <wp:extent cx="1028700" cy="333375"/>
            <wp:effectExtent l="0" t="0" r="0" b="0"/>
            <wp:docPr id="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028700" cy="3333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94F66" w:rsidRPr="00F01347" w14:paraId="16C68586" w14:textId="4B9223DF" w:rsidTr="00FC3DB4">
        <w:tc>
          <w:tcPr>
            <w:tcW w:w="4675" w:type="dxa"/>
          </w:tcPr>
          <w:p w14:paraId="2CD8DDED" w14:textId="77777777" w:rsidR="00E94F66" w:rsidRPr="00F01347" w:rsidRDefault="00E94F66" w:rsidP="00E94F66">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4077122E" w14:textId="2934BF30" w:rsidR="00E94F66" w:rsidRPr="00F01347" w:rsidRDefault="00E94F66" w:rsidP="00E94F66">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E94F66" w:rsidRPr="00F01347" w14:paraId="7F705412" w14:textId="30C5D349" w:rsidTr="00FC3DB4">
        <w:tc>
          <w:tcPr>
            <w:tcW w:w="4675" w:type="dxa"/>
          </w:tcPr>
          <w:p w14:paraId="58FD108A" w14:textId="77777777" w:rsidR="00E94F66" w:rsidRPr="00F01347" w:rsidRDefault="00E94F66" w:rsidP="00E94F66">
            <w:pPr>
              <w:pStyle w:val="texto0"/>
              <w:ind w:firstLine="0"/>
              <w:rPr>
                <w:rFonts w:ascii="Verdana" w:hAnsi="Verdana"/>
                <w:sz w:val="16"/>
                <w:szCs w:val="16"/>
              </w:rPr>
            </w:pPr>
            <w:r w:rsidRPr="00F01347">
              <w:rPr>
                <w:rFonts w:ascii="Verdana" w:hAnsi="Verdana"/>
                <w:sz w:val="16"/>
                <w:szCs w:val="16"/>
              </w:rPr>
              <w:t>P1</w:t>
            </w:r>
            <w:r w:rsidRPr="00F01347">
              <w:rPr>
                <w:rFonts w:ascii="Verdana" w:hAnsi="Verdana"/>
                <w:sz w:val="16"/>
                <w:szCs w:val="16"/>
              </w:rPr>
              <w:tab/>
              <w:t>peso de la disolución de referencia (g).</w:t>
            </w:r>
          </w:p>
        </w:tc>
        <w:tc>
          <w:tcPr>
            <w:tcW w:w="4675" w:type="dxa"/>
          </w:tcPr>
          <w:p w14:paraId="304755A3" w14:textId="67974B0F" w:rsidR="00E94F66" w:rsidRPr="00F01347" w:rsidRDefault="00E94F66" w:rsidP="00E94F66">
            <w:pPr>
              <w:pStyle w:val="texto0"/>
              <w:ind w:firstLine="0"/>
              <w:rPr>
                <w:rFonts w:ascii="Verdana" w:hAnsi="Verdana"/>
                <w:sz w:val="16"/>
                <w:szCs w:val="16"/>
                <w:lang w:val="en-US"/>
              </w:rPr>
            </w:pPr>
            <w:r w:rsidRPr="00F01347">
              <w:rPr>
                <w:rFonts w:ascii="Verdana" w:hAnsi="Verdana"/>
                <w:sz w:val="16"/>
                <w:szCs w:val="16"/>
                <w:lang w:val="en-US"/>
              </w:rPr>
              <w:t xml:space="preserve">P1 </w:t>
            </w:r>
            <w:r w:rsidRPr="00F01347">
              <w:rPr>
                <w:rFonts w:ascii="Verdana" w:hAnsi="Verdana"/>
                <w:sz w:val="16"/>
                <w:szCs w:val="16"/>
                <w:lang w:val="en-US"/>
              </w:rPr>
              <w:tab/>
              <w:t>weight of the reference solution (g).</w:t>
            </w:r>
          </w:p>
        </w:tc>
      </w:tr>
      <w:tr w:rsidR="00E94F66" w:rsidRPr="00F01347" w14:paraId="6F75F236" w14:textId="12AA6760" w:rsidTr="00FC3DB4">
        <w:tc>
          <w:tcPr>
            <w:tcW w:w="4675" w:type="dxa"/>
          </w:tcPr>
          <w:p w14:paraId="135643DB" w14:textId="77777777" w:rsidR="00E94F66" w:rsidRPr="00F01347" w:rsidRDefault="00E94F66" w:rsidP="00E94F66">
            <w:pPr>
              <w:pStyle w:val="texto0"/>
              <w:ind w:firstLine="0"/>
              <w:rPr>
                <w:rFonts w:ascii="Verdana" w:hAnsi="Verdana"/>
                <w:sz w:val="16"/>
                <w:szCs w:val="16"/>
              </w:rPr>
            </w:pPr>
            <w:r w:rsidRPr="00F01347">
              <w:rPr>
                <w:rFonts w:ascii="Verdana" w:hAnsi="Verdana"/>
                <w:sz w:val="16"/>
                <w:szCs w:val="16"/>
              </w:rPr>
              <w:t>C1</w:t>
            </w:r>
            <w:r w:rsidRPr="00F01347">
              <w:rPr>
                <w:rFonts w:ascii="Verdana" w:hAnsi="Verdana"/>
                <w:sz w:val="16"/>
                <w:szCs w:val="16"/>
              </w:rPr>
              <w:tab/>
              <w:t>concentración de la solución de referencia que es la suma de las concentraciones de todos los compuestos de la disolución (C</w:t>
            </w:r>
            <w:r w:rsidRPr="00F01347">
              <w:rPr>
                <w:rFonts w:ascii="Verdana" w:hAnsi="Verdana"/>
                <w:sz w:val="16"/>
                <w:szCs w:val="16"/>
                <w:vertAlign w:val="subscript"/>
              </w:rPr>
              <w:t>10</w:t>
            </w:r>
            <w:r w:rsidRPr="00F01347">
              <w:rPr>
                <w:rFonts w:ascii="Verdana" w:hAnsi="Verdana"/>
                <w:sz w:val="16"/>
                <w:szCs w:val="16"/>
              </w:rPr>
              <w:t xml:space="preserve"> a C</w:t>
            </w:r>
            <w:r w:rsidRPr="00F01347">
              <w:rPr>
                <w:rFonts w:ascii="Verdana" w:hAnsi="Verdana"/>
                <w:sz w:val="16"/>
                <w:szCs w:val="16"/>
                <w:vertAlign w:val="subscript"/>
              </w:rPr>
              <w:t>28</w:t>
            </w:r>
            <w:r w:rsidRPr="00F01347">
              <w:rPr>
                <w:rFonts w:ascii="Verdana" w:hAnsi="Verdana"/>
                <w:sz w:val="16"/>
                <w:szCs w:val="16"/>
              </w:rPr>
              <w:t>) en mg/L.</w:t>
            </w:r>
          </w:p>
        </w:tc>
        <w:tc>
          <w:tcPr>
            <w:tcW w:w="4675" w:type="dxa"/>
          </w:tcPr>
          <w:p w14:paraId="2E4C986E" w14:textId="2E83EEB0" w:rsidR="00E94F66" w:rsidRPr="00F01347" w:rsidRDefault="00E94F66" w:rsidP="00E94F66">
            <w:pPr>
              <w:pStyle w:val="texto0"/>
              <w:ind w:firstLine="0"/>
              <w:rPr>
                <w:rFonts w:ascii="Verdana" w:hAnsi="Verdana"/>
                <w:sz w:val="16"/>
                <w:szCs w:val="16"/>
                <w:lang w:val="en-US"/>
              </w:rPr>
            </w:pPr>
            <w:r w:rsidRPr="00F01347">
              <w:rPr>
                <w:rFonts w:ascii="Verdana" w:hAnsi="Verdana"/>
                <w:sz w:val="16"/>
                <w:szCs w:val="16"/>
                <w:lang w:val="en-US"/>
              </w:rPr>
              <w:t xml:space="preserve">C1 </w:t>
            </w:r>
            <w:r w:rsidRPr="00F01347">
              <w:rPr>
                <w:rFonts w:ascii="Verdana" w:hAnsi="Verdana"/>
                <w:sz w:val="16"/>
                <w:szCs w:val="16"/>
                <w:lang w:val="en-US"/>
              </w:rPr>
              <w:tab/>
              <w:t>concentration of the reference solution which is the sum of the concentrations of all the compounds in the solution (C</w:t>
            </w:r>
            <w:r w:rsidRPr="00F01347">
              <w:rPr>
                <w:rFonts w:ascii="Verdana" w:hAnsi="Verdana"/>
                <w:sz w:val="16"/>
                <w:szCs w:val="16"/>
                <w:vertAlign w:val="subscript"/>
                <w:lang w:val="en-US"/>
              </w:rPr>
              <w:t xml:space="preserve">10 </w:t>
            </w:r>
            <w:r w:rsidRPr="00F01347">
              <w:rPr>
                <w:rFonts w:ascii="Verdana" w:hAnsi="Verdana"/>
                <w:sz w:val="16"/>
                <w:szCs w:val="16"/>
                <w:lang w:val="en-US"/>
              </w:rPr>
              <w:t>to C</w:t>
            </w:r>
            <w:r w:rsidRPr="00F01347">
              <w:rPr>
                <w:rFonts w:ascii="Verdana" w:hAnsi="Verdana"/>
                <w:sz w:val="16"/>
                <w:szCs w:val="16"/>
                <w:vertAlign w:val="subscript"/>
                <w:lang w:val="en-US"/>
              </w:rPr>
              <w:t>28</w:t>
            </w:r>
            <w:r w:rsidR="00913802" w:rsidRPr="00F01347">
              <w:rPr>
                <w:rFonts w:ascii="Verdana" w:hAnsi="Verdana"/>
                <w:sz w:val="16"/>
                <w:szCs w:val="16"/>
                <w:vertAlign w:val="subscript"/>
                <w:lang w:val="en-US"/>
              </w:rPr>
              <w:t>)</w:t>
            </w:r>
            <w:r w:rsidRPr="00F01347">
              <w:rPr>
                <w:rFonts w:ascii="Verdana" w:hAnsi="Verdana"/>
                <w:sz w:val="16"/>
                <w:szCs w:val="16"/>
                <w:lang w:val="en-US"/>
              </w:rPr>
              <w:t xml:space="preserve"> in mg/L.</w:t>
            </w:r>
          </w:p>
        </w:tc>
      </w:tr>
      <w:tr w:rsidR="00E94F66" w:rsidRPr="00F01347" w14:paraId="35F264BA" w14:textId="4FB890CF" w:rsidTr="00FC3DB4">
        <w:tc>
          <w:tcPr>
            <w:tcW w:w="4675" w:type="dxa"/>
          </w:tcPr>
          <w:p w14:paraId="1AD9F0AA" w14:textId="77777777" w:rsidR="00E94F66" w:rsidRPr="00F01347" w:rsidRDefault="00E94F66" w:rsidP="00E94F66">
            <w:pPr>
              <w:pStyle w:val="texto0"/>
              <w:ind w:firstLine="0"/>
              <w:rPr>
                <w:rFonts w:ascii="Verdana" w:hAnsi="Verdana"/>
                <w:sz w:val="16"/>
                <w:szCs w:val="16"/>
              </w:rPr>
            </w:pPr>
            <w:r w:rsidRPr="00F01347">
              <w:rPr>
                <w:rFonts w:ascii="Verdana" w:hAnsi="Verdana"/>
                <w:sz w:val="16"/>
                <w:szCs w:val="16"/>
              </w:rPr>
              <w:t>C2</w:t>
            </w:r>
            <w:r w:rsidRPr="00F01347">
              <w:rPr>
                <w:rFonts w:ascii="Verdana" w:hAnsi="Verdana"/>
                <w:sz w:val="16"/>
                <w:szCs w:val="16"/>
              </w:rPr>
              <w:tab/>
              <w:t>concentración total del nivel requerido, que es la suma de las concentraciones de todos los compuestos de la disolución (C</w:t>
            </w:r>
            <w:r w:rsidRPr="00F01347">
              <w:rPr>
                <w:rFonts w:ascii="Verdana" w:hAnsi="Verdana"/>
                <w:sz w:val="16"/>
                <w:szCs w:val="16"/>
                <w:vertAlign w:val="subscript"/>
              </w:rPr>
              <w:t>10</w:t>
            </w:r>
            <w:r w:rsidRPr="00F01347">
              <w:rPr>
                <w:rFonts w:ascii="Verdana" w:hAnsi="Verdana"/>
                <w:sz w:val="16"/>
                <w:szCs w:val="16"/>
              </w:rPr>
              <w:t xml:space="preserve"> a C</w:t>
            </w:r>
            <w:r w:rsidRPr="00F01347">
              <w:rPr>
                <w:rFonts w:ascii="Verdana" w:hAnsi="Verdana"/>
                <w:sz w:val="16"/>
                <w:szCs w:val="16"/>
                <w:vertAlign w:val="subscript"/>
              </w:rPr>
              <w:t>28</w:t>
            </w:r>
            <w:r w:rsidRPr="00F01347">
              <w:rPr>
                <w:rFonts w:ascii="Verdana" w:hAnsi="Verdana"/>
                <w:sz w:val="16"/>
                <w:szCs w:val="16"/>
              </w:rPr>
              <w:t>) en mg/L.</w:t>
            </w:r>
          </w:p>
        </w:tc>
        <w:tc>
          <w:tcPr>
            <w:tcW w:w="4675" w:type="dxa"/>
          </w:tcPr>
          <w:p w14:paraId="76983CD2" w14:textId="44E5083D" w:rsidR="00E94F66" w:rsidRPr="00F01347" w:rsidRDefault="00E94F66" w:rsidP="00E94F66">
            <w:pPr>
              <w:pStyle w:val="texto0"/>
              <w:ind w:firstLine="0"/>
              <w:rPr>
                <w:rFonts w:ascii="Verdana" w:hAnsi="Verdana"/>
                <w:sz w:val="16"/>
                <w:szCs w:val="16"/>
                <w:lang w:val="en-US"/>
              </w:rPr>
            </w:pPr>
            <w:r w:rsidRPr="00F01347">
              <w:rPr>
                <w:rFonts w:ascii="Verdana" w:hAnsi="Verdana"/>
                <w:sz w:val="16"/>
                <w:szCs w:val="16"/>
                <w:lang w:val="en-US"/>
              </w:rPr>
              <w:t xml:space="preserve">C2 </w:t>
            </w:r>
            <w:r w:rsidRPr="00F01347">
              <w:rPr>
                <w:rFonts w:ascii="Verdana" w:hAnsi="Verdana"/>
                <w:sz w:val="16"/>
                <w:szCs w:val="16"/>
                <w:lang w:val="en-US"/>
              </w:rPr>
              <w:tab/>
              <w:t>total concentration of the required level, which is the sum of the concentrations of all the compounds in the solution (C</w:t>
            </w:r>
            <w:r w:rsidRPr="00F01347">
              <w:rPr>
                <w:rFonts w:ascii="Verdana" w:hAnsi="Verdana"/>
                <w:sz w:val="16"/>
                <w:szCs w:val="16"/>
                <w:vertAlign w:val="subscript"/>
                <w:lang w:val="en-US"/>
              </w:rPr>
              <w:t xml:space="preserve">10 </w:t>
            </w:r>
            <w:r w:rsidRPr="00F01347">
              <w:rPr>
                <w:rFonts w:ascii="Verdana" w:hAnsi="Verdana"/>
                <w:sz w:val="16"/>
                <w:szCs w:val="16"/>
                <w:lang w:val="en-US"/>
              </w:rPr>
              <w:t>to C</w:t>
            </w:r>
            <w:r w:rsidRPr="00F01347">
              <w:rPr>
                <w:rFonts w:ascii="Verdana" w:hAnsi="Verdana"/>
                <w:sz w:val="16"/>
                <w:szCs w:val="16"/>
                <w:vertAlign w:val="subscript"/>
                <w:lang w:val="en-US"/>
              </w:rPr>
              <w:t>28</w:t>
            </w:r>
            <w:r w:rsidR="00913802" w:rsidRPr="00F01347">
              <w:rPr>
                <w:rFonts w:ascii="Verdana" w:hAnsi="Verdana"/>
                <w:sz w:val="16"/>
                <w:szCs w:val="16"/>
                <w:vertAlign w:val="subscript"/>
                <w:lang w:val="en-US"/>
              </w:rPr>
              <w:t>)</w:t>
            </w:r>
            <w:r w:rsidRPr="00F01347">
              <w:rPr>
                <w:rFonts w:ascii="Verdana" w:hAnsi="Verdana"/>
                <w:sz w:val="16"/>
                <w:szCs w:val="16"/>
                <w:lang w:val="en-US"/>
              </w:rPr>
              <w:t xml:space="preserve"> in mg/L.</w:t>
            </w:r>
          </w:p>
        </w:tc>
      </w:tr>
      <w:tr w:rsidR="00E94F66" w:rsidRPr="00F01347" w14:paraId="6F3A6A0C" w14:textId="28035BD9" w:rsidTr="00FC3DB4">
        <w:tc>
          <w:tcPr>
            <w:tcW w:w="4675" w:type="dxa"/>
          </w:tcPr>
          <w:p w14:paraId="2F0F0B8A" w14:textId="77777777" w:rsidR="00E94F66" w:rsidRPr="00F01347" w:rsidRDefault="00E94F66" w:rsidP="00E94F66">
            <w:pPr>
              <w:pStyle w:val="texto0"/>
              <w:ind w:firstLine="0"/>
              <w:rPr>
                <w:rFonts w:ascii="Verdana" w:hAnsi="Verdana"/>
                <w:sz w:val="16"/>
                <w:szCs w:val="16"/>
              </w:rPr>
            </w:pPr>
            <w:r w:rsidRPr="00F01347">
              <w:rPr>
                <w:rFonts w:ascii="Verdana" w:hAnsi="Verdana"/>
                <w:sz w:val="16"/>
                <w:szCs w:val="16"/>
              </w:rPr>
              <w:t>P2</w:t>
            </w:r>
            <w:r w:rsidRPr="00F01347">
              <w:rPr>
                <w:rFonts w:ascii="Verdana" w:hAnsi="Verdana"/>
                <w:sz w:val="16"/>
                <w:szCs w:val="16"/>
              </w:rPr>
              <w:tab/>
              <w:t>peso de aforo del nivel requerido (g), es la suma de la masa de la disolución patrón y la masa del disolvente (g).</w:t>
            </w:r>
          </w:p>
        </w:tc>
        <w:tc>
          <w:tcPr>
            <w:tcW w:w="4675" w:type="dxa"/>
          </w:tcPr>
          <w:p w14:paraId="23E75B8A" w14:textId="54B39BB0" w:rsidR="00E94F66" w:rsidRPr="00F01347" w:rsidRDefault="00E94F66" w:rsidP="00E94F66">
            <w:pPr>
              <w:pStyle w:val="texto0"/>
              <w:ind w:firstLine="0"/>
              <w:rPr>
                <w:rFonts w:ascii="Verdana" w:hAnsi="Verdana"/>
                <w:sz w:val="16"/>
                <w:szCs w:val="16"/>
                <w:lang w:val="en-US"/>
              </w:rPr>
            </w:pPr>
            <w:r w:rsidRPr="00F01347">
              <w:rPr>
                <w:rFonts w:ascii="Verdana" w:hAnsi="Verdana"/>
                <w:sz w:val="16"/>
                <w:szCs w:val="16"/>
                <w:lang w:val="en-US"/>
              </w:rPr>
              <w:t xml:space="preserve">P2 </w:t>
            </w:r>
            <w:r w:rsidRPr="00F01347">
              <w:rPr>
                <w:rFonts w:ascii="Verdana" w:hAnsi="Verdana"/>
                <w:sz w:val="16"/>
                <w:szCs w:val="16"/>
                <w:lang w:val="en-US"/>
              </w:rPr>
              <w:tab/>
              <w:t>calibration weight of the required level (g) is the sum of the mass of the standard solution and the mass of the solvent (g).</w:t>
            </w:r>
          </w:p>
        </w:tc>
      </w:tr>
      <w:tr w:rsidR="00E94F66" w:rsidRPr="00F01347" w14:paraId="2B09B195" w14:textId="2E00EEF7" w:rsidTr="00FC3DB4">
        <w:tc>
          <w:tcPr>
            <w:tcW w:w="4675" w:type="dxa"/>
          </w:tcPr>
          <w:p w14:paraId="2F03420D" w14:textId="77777777" w:rsidR="00E94F66" w:rsidRPr="00F01347" w:rsidRDefault="00E94F66" w:rsidP="00E94F66">
            <w:pPr>
              <w:pStyle w:val="texto0"/>
              <w:ind w:firstLine="0"/>
              <w:rPr>
                <w:rFonts w:ascii="Verdana" w:hAnsi="Verdana"/>
                <w:sz w:val="16"/>
                <w:szCs w:val="16"/>
              </w:rPr>
            </w:pPr>
            <w:r w:rsidRPr="00F01347">
              <w:rPr>
                <w:rFonts w:ascii="Verdana" w:hAnsi="Verdana"/>
                <w:sz w:val="16"/>
                <w:szCs w:val="16"/>
              </w:rPr>
              <w:t>D1</w:t>
            </w:r>
            <w:r w:rsidRPr="00F01347">
              <w:rPr>
                <w:rFonts w:ascii="Verdana" w:hAnsi="Verdana"/>
                <w:sz w:val="16"/>
                <w:szCs w:val="16"/>
              </w:rPr>
              <w:tab/>
              <w:t>densidad de la disolución de patrón (g/</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74DC54B1" w14:textId="36E35DD1" w:rsidR="00E94F66" w:rsidRPr="00F01347" w:rsidRDefault="00E94F66" w:rsidP="00E94F66">
            <w:pPr>
              <w:pStyle w:val="texto0"/>
              <w:ind w:firstLine="0"/>
              <w:rPr>
                <w:rFonts w:ascii="Verdana" w:hAnsi="Verdana"/>
                <w:sz w:val="16"/>
                <w:szCs w:val="16"/>
                <w:lang w:val="en-US"/>
              </w:rPr>
            </w:pPr>
            <w:r w:rsidRPr="00F01347">
              <w:rPr>
                <w:rFonts w:ascii="Verdana" w:hAnsi="Verdana"/>
                <w:sz w:val="16"/>
                <w:szCs w:val="16"/>
                <w:lang w:val="en-US"/>
              </w:rPr>
              <w:t xml:space="preserve">D1 </w:t>
            </w:r>
            <w:r w:rsidRPr="00F01347">
              <w:rPr>
                <w:rFonts w:ascii="Verdana" w:hAnsi="Verdana"/>
                <w:sz w:val="16"/>
                <w:szCs w:val="16"/>
                <w:lang w:val="en-US"/>
              </w:rPr>
              <w:tab/>
              <w:t>density of the standard solution (g/ mL</w:t>
            </w:r>
            <w:r w:rsidR="00913802" w:rsidRPr="00F01347">
              <w:rPr>
                <w:rFonts w:ascii="Verdana" w:hAnsi="Verdana"/>
                <w:sz w:val="16"/>
                <w:szCs w:val="16"/>
                <w:lang w:val="en-US"/>
              </w:rPr>
              <w:t>)</w:t>
            </w:r>
            <w:r w:rsidRPr="00F01347">
              <w:rPr>
                <w:rFonts w:ascii="Verdana" w:hAnsi="Verdana"/>
                <w:sz w:val="16"/>
                <w:szCs w:val="16"/>
                <w:lang w:val="en-US"/>
              </w:rPr>
              <w:t>.</w:t>
            </w:r>
          </w:p>
        </w:tc>
      </w:tr>
      <w:tr w:rsidR="00E94F66" w:rsidRPr="00F01347" w14:paraId="3085F28D" w14:textId="2A96805E" w:rsidTr="00FC3DB4">
        <w:tc>
          <w:tcPr>
            <w:tcW w:w="4675" w:type="dxa"/>
          </w:tcPr>
          <w:p w14:paraId="2DEE7832" w14:textId="77777777" w:rsidR="00E94F66" w:rsidRPr="00F01347" w:rsidRDefault="00E94F66" w:rsidP="00E94F66">
            <w:pPr>
              <w:pStyle w:val="texto0"/>
              <w:ind w:firstLine="0"/>
              <w:rPr>
                <w:rFonts w:ascii="Verdana" w:hAnsi="Verdana"/>
                <w:sz w:val="16"/>
                <w:szCs w:val="16"/>
              </w:rPr>
            </w:pPr>
            <w:r w:rsidRPr="00F01347">
              <w:rPr>
                <w:rFonts w:ascii="Verdana" w:hAnsi="Verdana"/>
                <w:sz w:val="16"/>
                <w:szCs w:val="16"/>
              </w:rPr>
              <w:lastRenderedPageBreak/>
              <w:t>D2</w:t>
            </w:r>
            <w:r w:rsidRPr="00F01347">
              <w:rPr>
                <w:rFonts w:ascii="Verdana" w:hAnsi="Verdana"/>
                <w:sz w:val="16"/>
                <w:szCs w:val="16"/>
              </w:rPr>
              <w:tab/>
              <w:t>densidad del disolvente de aforo (g/</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6AC74F51" w14:textId="5C8EB9DC" w:rsidR="00E94F66" w:rsidRPr="00F01347" w:rsidRDefault="00E94F66" w:rsidP="00E94F66">
            <w:pPr>
              <w:pStyle w:val="texto0"/>
              <w:ind w:firstLine="0"/>
              <w:rPr>
                <w:rFonts w:ascii="Verdana" w:hAnsi="Verdana"/>
                <w:sz w:val="16"/>
                <w:szCs w:val="16"/>
                <w:lang w:val="en-US"/>
              </w:rPr>
            </w:pPr>
            <w:r w:rsidRPr="00F01347">
              <w:rPr>
                <w:rFonts w:ascii="Verdana" w:hAnsi="Verdana"/>
                <w:sz w:val="16"/>
                <w:szCs w:val="16"/>
                <w:lang w:val="en-US"/>
              </w:rPr>
              <w:t xml:space="preserve">D2 </w:t>
            </w:r>
            <w:r w:rsidRPr="00F01347">
              <w:rPr>
                <w:rFonts w:ascii="Verdana" w:hAnsi="Verdana"/>
                <w:sz w:val="16"/>
                <w:szCs w:val="16"/>
                <w:lang w:val="en-US"/>
              </w:rPr>
              <w:tab/>
              <w:t>density of the volumetric solvent (g/ mL</w:t>
            </w:r>
            <w:r w:rsidR="00913802" w:rsidRPr="00F01347">
              <w:rPr>
                <w:rFonts w:ascii="Verdana" w:hAnsi="Verdana"/>
                <w:sz w:val="16"/>
                <w:szCs w:val="16"/>
                <w:lang w:val="en-US"/>
              </w:rPr>
              <w:t>)</w:t>
            </w:r>
            <w:r w:rsidRPr="00F01347">
              <w:rPr>
                <w:rFonts w:ascii="Verdana" w:hAnsi="Verdana"/>
                <w:sz w:val="16"/>
                <w:szCs w:val="16"/>
                <w:lang w:val="en-US"/>
              </w:rPr>
              <w:t>.</w:t>
            </w:r>
          </w:p>
        </w:tc>
      </w:tr>
      <w:tr w:rsidR="00E94F66" w:rsidRPr="00F01347" w14:paraId="0C47CAF2" w14:textId="47243AF4" w:rsidTr="00FC3DB4">
        <w:tc>
          <w:tcPr>
            <w:tcW w:w="4675" w:type="dxa"/>
          </w:tcPr>
          <w:p w14:paraId="1DB6E3A4" w14:textId="77777777" w:rsidR="00E94F66" w:rsidRPr="00F01347" w:rsidRDefault="00E94F66" w:rsidP="00E94F66">
            <w:pPr>
              <w:pStyle w:val="texto0"/>
              <w:ind w:firstLine="0"/>
              <w:rPr>
                <w:rFonts w:ascii="Verdana" w:hAnsi="Verdana"/>
                <w:sz w:val="16"/>
                <w:szCs w:val="16"/>
              </w:rPr>
            </w:pPr>
            <w:r w:rsidRPr="00F01347">
              <w:rPr>
                <w:rFonts w:ascii="Verdana" w:hAnsi="Verdana"/>
                <w:sz w:val="16"/>
                <w:szCs w:val="16"/>
              </w:rPr>
              <w:t xml:space="preserve">A </w:t>
            </w:r>
            <w:proofErr w:type="gramStart"/>
            <w:r w:rsidRPr="00F01347">
              <w:rPr>
                <w:rFonts w:ascii="Verdana" w:hAnsi="Verdana"/>
                <w:sz w:val="16"/>
                <w:szCs w:val="16"/>
              </w:rPr>
              <w:t>continuación</w:t>
            </w:r>
            <w:proofErr w:type="gramEnd"/>
            <w:r w:rsidRPr="00F01347">
              <w:rPr>
                <w:rFonts w:ascii="Verdana" w:hAnsi="Verdana"/>
                <w:sz w:val="16"/>
                <w:szCs w:val="16"/>
              </w:rPr>
              <w:t xml:space="preserve"> calcular la concentración real de cada uno de los niveles de concentración utilizando la siguiente ecuación:</w:t>
            </w:r>
          </w:p>
        </w:tc>
        <w:tc>
          <w:tcPr>
            <w:tcW w:w="4675" w:type="dxa"/>
          </w:tcPr>
          <w:p w14:paraId="53F66E05" w14:textId="7F77259E" w:rsidR="00E94F66" w:rsidRPr="00F01347" w:rsidRDefault="00E94F66" w:rsidP="00E94F66">
            <w:pPr>
              <w:pStyle w:val="texto0"/>
              <w:ind w:firstLine="0"/>
              <w:rPr>
                <w:rFonts w:ascii="Verdana" w:hAnsi="Verdana"/>
                <w:sz w:val="16"/>
                <w:szCs w:val="16"/>
                <w:lang w:val="en-US"/>
              </w:rPr>
            </w:pPr>
            <w:r w:rsidRPr="00F01347">
              <w:rPr>
                <w:rFonts w:ascii="Verdana" w:hAnsi="Verdana"/>
                <w:sz w:val="16"/>
                <w:szCs w:val="16"/>
                <w:lang w:val="en-US"/>
              </w:rPr>
              <w:t>Next calculate the actual concentration of each of the concentration levels using the following equation</w:t>
            </w:r>
            <w:r w:rsidR="00762084" w:rsidRPr="00F01347">
              <w:rPr>
                <w:rFonts w:ascii="Verdana" w:hAnsi="Verdana"/>
                <w:sz w:val="16"/>
                <w:szCs w:val="16"/>
                <w:lang w:val="en-US"/>
              </w:rPr>
              <w:t>:</w:t>
            </w:r>
          </w:p>
        </w:tc>
      </w:tr>
    </w:tbl>
    <w:p w14:paraId="2FF3DB26" w14:textId="653B72A3" w:rsidR="00A74CDF" w:rsidRPr="00F01347" w:rsidRDefault="00471638" w:rsidP="00FC3DB4">
      <w:pPr>
        <w:pStyle w:val="texto0"/>
        <w:spacing w:line="240" w:lineRule="auto"/>
        <w:ind w:left="630" w:firstLine="0"/>
        <w:jc w:val="center"/>
        <w:rPr>
          <w:rFonts w:ascii="Verdana" w:hAnsi="Verdana"/>
          <w:sz w:val="16"/>
          <w:szCs w:val="16"/>
        </w:rPr>
      </w:pPr>
      <w:r w:rsidRPr="00F01347">
        <w:rPr>
          <w:rFonts w:ascii="Verdana" w:hAnsi="Verdana"/>
          <w:noProof/>
          <w:sz w:val="16"/>
          <w:szCs w:val="16"/>
        </w:rPr>
        <w:drawing>
          <wp:inline distT="0" distB="0" distL="0" distR="0" wp14:anchorId="53291DED" wp14:editId="559F8EF0">
            <wp:extent cx="1076325" cy="381000"/>
            <wp:effectExtent l="0" t="0" r="0" b="0"/>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076325" cy="3810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7018F" w:rsidRPr="00F01347" w14:paraId="7751D2A3" w14:textId="583D923C" w:rsidTr="00FC3DB4">
        <w:tc>
          <w:tcPr>
            <w:tcW w:w="4675" w:type="dxa"/>
          </w:tcPr>
          <w:p w14:paraId="2502CBD1" w14:textId="77777777" w:rsidR="0077018F" w:rsidRPr="00F01347" w:rsidRDefault="0077018F" w:rsidP="0077018F">
            <w:pPr>
              <w:pStyle w:val="texto0"/>
              <w:ind w:firstLine="0"/>
              <w:rPr>
                <w:rFonts w:ascii="Verdana" w:hAnsi="Verdana"/>
                <w:b/>
                <w:bCs/>
                <w:sz w:val="16"/>
                <w:szCs w:val="16"/>
              </w:rPr>
            </w:pPr>
            <w:r w:rsidRPr="00F01347">
              <w:rPr>
                <w:rFonts w:ascii="Verdana" w:hAnsi="Verdana"/>
                <w:b/>
                <w:bCs/>
                <w:sz w:val="16"/>
                <w:szCs w:val="16"/>
              </w:rPr>
              <w:t>En donde:</w:t>
            </w:r>
          </w:p>
        </w:tc>
        <w:tc>
          <w:tcPr>
            <w:tcW w:w="4675" w:type="dxa"/>
          </w:tcPr>
          <w:p w14:paraId="4D1FE23C" w14:textId="286E2B7A" w:rsidR="0077018F" w:rsidRPr="00F01347" w:rsidRDefault="0077018F" w:rsidP="0077018F">
            <w:pPr>
              <w:pStyle w:val="texto0"/>
              <w:ind w:firstLine="0"/>
              <w:rPr>
                <w:rFonts w:ascii="Verdana" w:hAnsi="Verdana"/>
                <w:b/>
                <w:bCs/>
                <w:sz w:val="16"/>
                <w:szCs w:val="16"/>
                <w:lang w:val="en-US"/>
              </w:rPr>
            </w:pPr>
            <w:r w:rsidRPr="00F01347">
              <w:rPr>
                <w:rFonts w:ascii="Verdana" w:hAnsi="Verdana"/>
                <w:b/>
                <w:bCs/>
                <w:sz w:val="16"/>
                <w:szCs w:val="16"/>
                <w:lang w:val="en-US"/>
              </w:rPr>
              <w:t>Where:</w:t>
            </w:r>
          </w:p>
        </w:tc>
      </w:tr>
      <w:tr w:rsidR="0077018F" w:rsidRPr="00F01347" w14:paraId="472363F9" w14:textId="5FE4C6AD" w:rsidTr="00FC3DB4">
        <w:tc>
          <w:tcPr>
            <w:tcW w:w="4675" w:type="dxa"/>
          </w:tcPr>
          <w:p w14:paraId="190A9C85" w14:textId="77777777" w:rsidR="0077018F" w:rsidRPr="00F01347" w:rsidRDefault="0077018F" w:rsidP="0077018F">
            <w:pPr>
              <w:pStyle w:val="texto0"/>
              <w:spacing w:after="80" w:line="214" w:lineRule="exact"/>
              <w:ind w:firstLine="0"/>
              <w:rPr>
                <w:rFonts w:ascii="Verdana" w:hAnsi="Verdana"/>
                <w:sz w:val="16"/>
                <w:szCs w:val="16"/>
              </w:rPr>
            </w:pPr>
            <w:r w:rsidRPr="00F01347">
              <w:rPr>
                <w:rFonts w:ascii="Verdana" w:hAnsi="Verdana"/>
                <w:sz w:val="16"/>
                <w:szCs w:val="16"/>
              </w:rPr>
              <w:t>C3</w:t>
            </w:r>
            <w:r w:rsidRPr="00F01347">
              <w:rPr>
                <w:rFonts w:ascii="Verdana" w:hAnsi="Verdana"/>
                <w:sz w:val="16"/>
                <w:szCs w:val="16"/>
              </w:rPr>
              <w:tab/>
              <w:t>concentración real de cada nivel (mg/L).</w:t>
            </w:r>
          </w:p>
        </w:tc>
        <w:tc>
          <w:tcPr>
            <w:tcW w:w="4675" w:type="dxa"/>
          </w:tcPr>
          <w:p w14:paraId="66A6C3BF" w14:textId="2586AFC7" w:rsidR="0077018F" w:rsidRPr="00F01347" w:rsidRDefault="0077018F" w:rsidP="0077018F">
            <w:pPr>
              <w:pStyle w:val="texto0"/>
              <w:spacing w:after="80" w:line="214" w:lineRule="exact"/>
              <w:ind w:firstLine="0"/>
              <w:rPr>
                <w:rFonts w:ascii="Verdana" w:hAnsi="Verdana"/>
                <w:sz w:val="16"/>
                <w:szCs w:val="16"/>
                <w:lang w:val="en-US"/>
              </w:rPr>
            </w:pPr>
            <w:r w:rsidRPr="00F01347">
              <w:rPr>
                <w:rFonts w:ascii="Verdana" w:hAnsi="Verdana"/>
                <w:sz w:val="16"/>
                <w:szCs w:val="16"/>
                <w:lang w:val="en-US"/>
              </w:rPr>
              <w:t xml:space="preserve">C3 </w:t>
            </w:r>
            <w:r w:rsidRPr="00F01347">
              <w:rPr>
                <w:rFonts w:ascii="Verdana" w:hAnsi="Verdana"/>
                <w:sz w:val="16"/>
                <w:szCs w:val="16"/>
                <w:lang w:val="en-US"/>
              </w:rPr>
              <w:tab/>
              <w:t>actual concentration of each level (mg/L).</w:t>
            </w:r>
          </w:p>
        </w:tc>
      </w:tr>
      <w:tr w:rsidR="0077018F" w:rsidRPr="00F01347" w14:paraId="43DAEFE6" w14:textId="58933BCB" w:rsidTr="00FC3DB4">
        <w:tc>
          <w:tcPr>
            <w:tcW w:w="4675" w:type="dxa"/>
          </w:tcPr>
          <w:p w14:paraId="33BF1023" w14:textId="77777777" w:rsidR="0077018F" w:rsidRPr="00F01347" w:rsidRDefault="0077018F" w:rsidP="0077018F">
            <w:pPr>
              <w:pStyle w:val="texto0"/>
              <w:spacing w:after="80" w:line="214" w:lineRule="exact"/>
              <w:ind w:firstLine="0"/>
              <w:rPr>
                <w:rFonts w:ascii="Verdana" w:hAnsi="Verdana"/>
                <w:sz w:val="16"/>
                <w:szCs w:val="16"/>
              </w:rPr>
            </w:pPr>
            <w:r w:rsidRPr="00F01347">
              <w:rPr>
                <w:rFonts w:ascii="Verdana" w:hAnsi="Verdana"/>
                <w:sz w:val="16"/>
                <w:szCs w:val="16"/>
              </w:rPr>
              <w:t>C1</w:t>
            </w:r>
            <w:r w:rsidRPr="00F01347">
              <w:rPr>
                <w:rFonts w:ascii="Verdana" w:hAnsi="Verdana"/>
                <w:sz w:val="16"/>
                <w:szCs w:val="16"/>
              </w:rPr>
              <w:tab/>
              <w:t>concentración de la solución de referencia que es la suma de las concentraciones de todos los compuestos de la disolución (C</w:t>
            </w:r>
            <w:r w:rsidRPr="00F01347">
              <w:rPr>
                <w:rFonts w:ascii="Verdana" w:hAnsi="Verdana"/>
                <w:sz w:val="16"/>
                <w:szCs w:val="16"/>
                <w:vertAlign w:val="subscript"/>
              </w:rPr>
              <w:t>10</w:t>
            </w:r>
            <w:r w:rsidRPr="00F01347">
              <w:rPr>
                <w:rFonts w:ascii="Verdana" w:hAnsi="Verdana"/>
                <w:sz w:val="16"/>
                <w:szCs w:val="16"/>
              </w:rPr>
              <w:t xml:space="preserve"> a C</w:t>
            </w:r>
            <w:r w:rsidRPr="00F01347">
              <w:rPr>
                <w:rFonts w:ascii="Verdana" w:hAnsi="Verdana"/>
                <w:sz w:val="16"/>
                <w:szCs w:val="16"/>
                <w:vertAlign w:val="subscript"/>
              </w:rPr>
              <w:t>28</w:t>
            </w:r>
            <w:r w:rsidRPr="00F01347">
              <w:rPr>
                <w:rFonts w:ascii="Verdana" w:hAnsi="Verdana"/>
                <w:sz w:val="16"/>
                <w:szCs w:val="16"/>
              </w:rPr>
              <w:t>) en mg/L.</w:t>
            </w:r>
          </w:p>
        </w:tc>
        <w:tc>
          <w:tcPr>
            <w:tcW w:w="4675" w:type="dxa"/>
          </w:tcPr>
          <w:p w14:paraId="2369BB8E" w14:textId="1B47FFB7" w:rsidR="0077018F" w:rsidRPr="00F01347" w:rsidRDefault="0077018F" w:rsidP="0077018F">
            <w:pPr>
              <w:pStyle w:val="texto0"/>
              <w:spacing w:after="80" w:line="214" w:lineRule="exact"/>
              <w:ind w:firstLine="0"/>
              <w:rPr>
                <w:rFonts w:ascii="Verdana" w:hAnsi="Verdana"/>
                <w:sz w:val="16"/>
                <w:szCs w:val="16"/>
                <w:lang w:val="en-US"/>
              </w:rPr>
            </w:pPr>
            <w:r w:rsidRPr="00F01347">
              <w:rPr>
                <w:rFonts w:ascii="Verdana" w:hAnsi="Verdana"/>
                <w:sz w:val="16"/>
                <w:szCs w:val="16"/>
                <w:lang w:val="en-US"/>
              </w:rPr>
              <w:t xml:space="preserve">C1 </w:t>
            </w:r>
            <w:r w:rsidRPr="00F01347">
              <w:rPr>
                <w:rFonts w:ascii="Verdana" w:hAnsi="Verdana"/>
                <w:sz w:val="16"/>
                <w:szCs w:val="16"/>
                <w:lang w:val="en-US"/>
              </w:rPr>
              <w:tab/>
              <w:t>concentration of the reference solution which is the sum of the concentrations of all the compounds in the solution (C</w:t>
            </w:r>
            <w:r w:rsidRPr="00F01347">
              <w:rPr>
                <w:rFonts w:ascii="Verdana" w:hAnsi="Verdana"/>
                <w:sz w:val="16"/>
                <w:szCs w:val="16"/>
                <w:vertAlign w:val="subscript"/>
                <w:lang w:val="en-US"/>
              </w:rPr>
              <w:t xml:space="preserve">10 </w:t>
            </w:r>
            <w:r w:rsidRPr="00F01347">
              <w:rPr>
                <w:rFonts w:ascii="Verdana" w:hAnsi="Verdana"/>
                <w:sz w:val="16"/>
                <w:szCs w:val="16"/>
                <w:lang w:val="en-US"/>
              </w:rPr>
              <w:t>to C</w:t>
            </w:r>
            <w:r w:rsidRPr="00F01347">
              <w:rPr>
                <w:rFonts w:ascii="Verdana" w:hAnsi="Verdana"/>
                <w:sz w:val="16"/>
                <w:szCs w:val="16"/>
                <w:vertAlign w:val="subscript"/>
                <w:lang w:val="en-US"/>
              </w:rPr>
              <w:t>28</w:t>
            </w:r>
            <w:r w:rsidR="00913802" w:rsidRPr="00F01347">
              <w:rPr>
                <w:rFonts w:ascii="Verdana" w:hAnsi="Verdana"/>
                <w:sz w:val="16"/>
                <w:szCs w:val="16"/>
                <w:vertAlign w:val="subscript"/>
                <w:lang w:val="en-US"/>
              </w:rPr>
              <w:t>)</w:t>
            </w:r>
            <w:r w:rsidRPr="00F01347">
              <w:rPr>
                <w:rFonts w:ascii="Verdana" w:hAnsi="Verdana"/>
                <w:sz w:val="16"/>
                <w:szCs w:val="16"/>
                <w:lang w:val="en-US"/>
              </w:rPr>
              <w:t xml:space="preserve"> in mg/L.</w:t>
            </w:r>
          </w:p>
        </w:tc>
      </w:tr>
      <w:tr w:rsidR="0077018F" w:rsidRPr="00F01347" w14:paraId="394C83A7" w14:textId="2EAE1563" w:rsidTr="00FC3DB4">
        <w:tc>
          <w:tcPr>
            <w:tcW w:w="4675" w:type="dxa"/>
          </w:tcPr>
          <w:p w14:paraId="41321496" w14:textId="77777777" w:rsidR="0077018F" w:rsidRPr="00F01347" w:rsidRDefault="0077018F" w:rsidP="0077018F">
            <w:pPr>
              <w:pStyle w:val="texto0"/>
              <w:spacing w:after="80" w:line="214" w:lineRule="exact"/>
              <w:ind w:firstLine="0"/>
              <w:rPr>
                <w:rFonts w:ascii="Verdana" w:hAnsi="Verdana"/>
                <w:sz w:val="16"/>
                <w:szCs w:val="16"/>
              </w:rPr>
            </w:pPr>
            <w:r w:rsidRPr="00F01347">
              <w:rPr>
                <w:rFonts w:ascii="Verdana" w:hAnsi="Verdana"/>
                <w:sz w:val="16"/>
                <w:szCs w:val="16"/>
              </w:rPr>
              <w:t>P1</w:t>
            </w:r>
            <w:r w:rsidRPr="00F01347">
              <w:rPr>
                <w:rFonts w:ascii="Verdana" w:hAnsi="Verdana"/>
                <w:sz w:val="16"/>
                <w:szCs w:val="16"/>
              </w:rPr>
              <w:tab/>
              <w:t>peso de la mezcla de referencia utilizada (g).</w:t>
            </w:r>
          </w:p>
        </w:tc>
        <w:tc>
          <w:tcPr>
            <w:tcW w:w="4675" w:type="dxa"/>
          </w:tcPr>
          <w:p w14:paraId="67775479" w14:textId="4404846E" w:rsidR="0077018F" w:rsidRPr="00F01347" w:rsidRDefault="0077018F" w:rsidP="0077018F">
            <w:pPr>
              <w:pStyle w:val="texto0"/>
              <w:spacing w:after="80" w:line="214" w:lineRule="exact"/>
              <w:ind w:firstLine="0"/>
              <w:rPr>
                <w:rFonts w:ascii="Verdana" w:hAnsi="Verdana"/>
                <w:sz w:val="16"/>
                <w:szCs w:val="16"/>
                <w:lang w:val="en-US"/>
              </w:rPr>
            </w:pPr>
            <w:r w:rsidRPr="00F01347">
              <w:rPr>
                <w:rFonts w:ascii="Verdana" w:hAnsi="Verdana"/>
                <w:sz w:val="16"/>
                <w:szCs w:val="16"/>
                <w:lang w:val="en-US"/>
              </w:rPr>
              <w:t xml:space="preserve">P1 </w:t>
            </w:r>
            <w:r w:rsidRPr="00F01347">
              <w:rPr>
                <w:rFonts w:ascii="Verdana" w:hAnsi="Verdana"/>
                <w:sz w:val="16"/>
                <w:szCs w:val="16"/>
                <w:lang w:val="en-US"/>
              </w:rPr>
              <w:tab/>
              <w:t>weight of the reference mixture used (g).</w:t>
            </w:r>
          </w:p>
        </w:tc>
      </w:tr>
      <w:tr w:rsidR="0077018F" w:rsidRPr="00F01347" w14:paraId="4BEFBECA" w14:textId="7608198E" w:rsidTr="00FC3DB4">
        <w:tc>
          <w:tcPr>
            <w:tcW w:w="4675" w:type="dxa"/>
          </w:tcPr>
          <w:p w14:paraId="47636A3F" w14:textId="77777777" w:rsidR="0077018F" w:rsidRPr="00F01347" w:rsidRDefault="0077018F" w:rsidP="0077018F">
            <w:pPr>
              <w:pStyle w:val="texto0"/>
              <w:spacing w:after="80" w:line="214" w:lineRule="exact"/>
              <w:ind w:firstLine="0"/>
              <w:rPr>
                <w:rFonts w:ascii="Verdana" w:hAnsi="Verdana"/>
                <w:sz w:val="16"/>
                <w:szCs w:val="16"/>
              </w:rPr>
            </w:pPr>
            <w:r w:rsidRPr="00F01347">
              <w:rPr>
                <w:rFonts w:ascii="Verdana" w:hAnsi="Verdana"/>
                <w:sz w:val="16"/>
                <w:szCs w:val="16"/>
              </w:rPr>
              <w:t>P3</w:t>
            </w:r>
            <w:r w:rsidRPr="00F01347">
              <w:rPr>
                <w:rFonts w:ascii="Verdana" w:hAnsi="Verdana"/>
                <w:sz w:val="16"/>
                <w:szCs w:val="16"/>
              </w:rPr>
              <w:tab/>
              <w:t>peso de aforo (estándares + disolvente) en g.</w:t>
            </w:r>
          </w:p>
        </w:tc>
        <w:tc>
          <w:tcPr>
            <w:tcW w:w="4675" w:type="dxa"/>
          </w:tcPr>
          <w:p w14:paraId="2FC961F6" w14:textId="7C595A5B" w:rsidR="0077018F" w:rsidRPr="00F01347" w:rsidRDefault="0077018F" w:rsidP="0077018F">
            <w:pPr>
              <w:pStyle w:val="texto0"/>
              <w:spacing w:after="80" w:line="214" w:lineRule="exact"/>
              <w:ind w:firstLine="0"/>
              <w:rPr>
                <w:rFonts w:ascii="Verdana" w:hAnsi="Verdana"/>
                <w:sz w:val="16"/>
                <w:szCs w:val="16"/>
                <w:lang w:val="en-US"/>
              </w:rPr>
            </w:pPr>
            <w:r w:rsidRPr="00F01347">
              <w:rPr>
                <w:rFonts w:ascii="Verdana" w:hAnsi="Verdana"/>
                <w:sz w:val="16"/>
                <w:szCs w:val="16"/>
                <w:lang w:val="en-US"/>
              </w:rPr>
              <w:t xml:space="preserve">P3 </w:t>
            </w:r>
            <w:r w:rsidRPr="00F01347">
              <w:rPr>
                <w:rFonts w:ascii="Verdana" w:hAnsi="Verdana"/>
                <w:sz w:val="16"/>
                <w:szCs w:val="16"/>
                <w:lang w:val="en-US"/>
              </w:rPr>
              <w:tab/>
              <w:t>measuring weight (standards + solvent) in g.</w:t>
            </w:r>
          </w:p>
        </w:tc>
      </w:tr>
      <w:tr w:rsidR="0077018F" w:rsidRPr="00F01347" w14:paraId="40DEAD40" w14:textId="6BA97989" w:rsidTr="00FC3DB4">
        <w:tc>
          <w:tcPr>
            <w:tcW w:w="4675" w:type="dxa"/>
          </w:tcPr>
          <w:p w14:paraId="4777254C" w14:textId="77777777" w:rsidR="0077018F" w:rsidRPr="00F01347" w:rsidRDefault="0077018F" w:rsidP="0077018F">
            <w:pPr>
              <w:pStyle w:val="texto0"/>
              <w:spacing w:after="80" w:line="214" w:lineRule="exact"/>
              <w:ind w:firstLine="0"/>
              <w:rPr>
                <w:rFonts w:ascii="Verdana" w:hAnsi="Verdana"/>
                <w:sz w:val="16"/>
                <w:szCs w:val="16"/>
              </w:rPr>
            </w:pPr>
            <w:r w:rsidRPr="00F01347">
              <w:rPr>
                <w:rFonts w:ascii="Verdana" w:hAnsi="Verdana"/>
                <w:sz w:val="16"/>
                <w:szCs w:val="16"/>
              </w:rPr>
              <w:t>D1</w:t>
            </w:r>
            <w:r w:rsidRPr="00F01347">
              <w:rPr>
                <w:rFonts w:ascii="Verdana" w:hAnsi="Verdana"/>
                <w:sz w:val="16"/>
                <w:szCs w:val="16"/>
              </w:rPr>
              <w:tab/>
              <w:t>densidad de la mezcla de referencia (g/</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5FA86212" w14:textId="7F21BF36" w:rsidR="0077018F" w:rsidRPr="00F01347" w:rsidRDefault="0077018F" w:rsidP="0077018F">
            <w:pPr>
              <w:pStyle w:val="texto0"/>
              <w:spacing w:after="80" w:line="214" w:lineRule="exact"/>
              <w:ind w:firstLine="0"/>
              <w:rPr>
                <w:rFonts w:ascii="Verdana" w:hAnsi="Verdana"/>
                <w:sz w:val="16"/>
                <w:szCs w:val="16"/>
                <w:lang w:val="en-US"/>
              </w:rPr>
            </w:pPr>
            <w:r w:rsidRPr="00F01347">
              <w:rPr>
                <w:rFonts w:ascii="Verdana" w:hAnsi="Verdana"/>
                <w:sz w:val="16"/>
                <w:szCs w:val="16"/>
                <w:lang w:val="en-US"/>
              </w:rPr>
              <w:t xml:space="preserve">D1 </w:t>
            </w:r>
            <w:r w:rsidRPr="00F01347">
              <w:rPr>
                <w:rFonts w:ascii="Verdana" w:hAnsi="Verdana"/>
                <w:sz w:val="16"/>
                <w:szCs w:val="16"/>
                <w:lang w:val="en-US"/>
              </w:rPr>
              <w:tab/>
              <w:t>density of the reference mixture (g/ mL</w:t>
            </w:r>
            <w:r w:rsidR="00913802" w:rsidRPr="00F01347">
              <w:rPr>
                <w:rFonts w:ascii="Verdana" w:hAnsi="Verdana"/>
                <w:sz w:val="16"/>
                <w:szCs w:val="16"/>
                <w:lang w:val="en-US"/>
              </w:rPr>
              <w:t>)</w:t>
            </w:r>
            <w:r w:rsidRPr="00F01347">
              <w:rPr>
                <w:rFonts w:ascii="Verdana" w:hAnsi="Verdana"/>
                <w:sz w:val="16"/>
                <w:szCs w:val="16"/>
                <w:lang w:val="en-US"/>
              </w:rPr>
              <w:t>.</w:t>
            </w:r>
          </w:p>
        </w:tc>
      </w:tr>
      <w:tr w:rsidR="0077018F" w:rsidRPr="00F01347" w14:paraId="2DDCCDEB" w14:textId="6350BBAB" w:rsidTr="00FC3DB4">
        <w:tc>
          <w:tcPr>
            <w:tcW w:w="4675" w:type="dxa"/>
          </w:tcPr>
          <w:p w14:paraId="39A94585" w14:textId="77777777" w:rsidR="0077018F" w:rsidRPr="00F01347" w:rsidRDefault="0077018F" w:rsidP="0077018F">
            <w:pPr>
              <w:pStyle w:val="texto0"/>
              <w:spacing w:after="80" w:line="214" w:lineRule="exact"/>
              <w:ind w:firstLine="0"/>
              <w:rPr>
                <w:rFonts w:ascii="Verdana" w:hAnsi="Verdana"/>
                <w:sz w:val="16"/>
                <w:szCs w:val="16"/>
              </w:rPr>
            </w:pPr>
            <w:r w:rsidRPr="00F01347">
              <w:rPr>
                <w:rFonts w:ascii="Verdana" w:hAnsi="Verdana"/>
                <w:sz w:val="16"/>
                <w:szCs w:val="16"/>
              </w:rPr>
              <w:t>D3</w:t>
            </w:r>
            <w:r w:rsidRPr="00F01347">
              <w:rPr>
                <w:rFonts w:ascii="Verdana" w:hAnsi="Verdana"/>
                <w:sz w:val="16"/>
                <w:szCs w:val="16"/>
              </w:rPr>
              <w:tab/>
              <w:t>densidad del disolvente de aforo (g/</w:t>
            </w:r>
            <w:proofErr w:type="spellStart"/>
            <w:r w:rsidRPr="00F01347">
              <w:rPr>
                <w:rFonts w:ascii="Verdana" w:hAnsi="Verdana"/>
                <w:sz w:val="16"/>
                <w:szCs w:val="16"/>
              </w:rPr>
              <w:t>mL</w:t>
            </w:r>
            <w:proofErr w:type="spellEnd"/>
            <w:r w:rsidRPr="00F01347">
              <w:rPr>
                <w:rFonts w:ascii="Verdana" w:hAnsi="Verdana"/>
                <w:sz w:val="16"/>
                <w:szCs w:val="16"/>
              </w:rPr>
              <w:t>).</w:t>
            </w:r>
          </w:p>
        </w:tc>
        <w:tc>
          <w:tcPr>
            <w:tcW w:w="4675" w:type="dxa"/>
          </w:tcPr>
          <w:p w14:paraId="2B3C7F84" w14:textId="51038D8D" w:rsidR="0077018F" w:rsidRPr="00F01347" w:rsidRDefault="0077018F" w:rsidP="0077018F">
            <w:pPr>
              <w:pStyle w:val="texto0"/>
              <w:spacing w:after="80" w:line="214" w:lineRule="exact"/>
              <w:ind w:firstLine="0"/>
              <w:rPr>
                <w:rFonts w:ascii="Verdana" w:hAnsi="Verdana"/>
                <w:sz w:val="16"/>
                <w:szCs w:val="16"/>
                <w:lang w:val="en-US"/>
              </w:rPr>
            </w:pPr>
            <w:r w:rsidRPr="00F01347">
              <w:rPr>
                <w:rFonts w:ascii="Verdana" w:hAnsi="Verdana"/>
                <w:sz w:val="16"/>
                <w:szCs w:val="16"/>
                <w:lang w:val="en-US"/>
              </w:rPr>
              <w:t xml:space="preserve">D3 </w:t>
            </w:r>
            <w:r w:rsidRPr="00F01347">
              <w:rPr>
                <w:rFonts w:ascii="Verdana" w:hAnsi="Verdana"/>
                <w:sz w:val="16"/>
                <w:szCs w:val="16"/>
                <w:lang w:val="en-US"/>
              </w:rPr>
              <w:tab/>
              <w:t>density of the volumetric solvent (g/ mL</w:t>
            </w:r>
            <w:r w:rsidR="00913802" w:rsidRPr="00F01347">
              <w:rPr>
                <w:rFonts w:ascii="Verdana" w:hAnsi="Verdana"/>
                <w:sz w:val="16"/>
                <w:szCs w:val="16"/>
                <w:lang w:val="en-US"/>
              </w:rPr>
              <w:t>)</w:t>
            </w:r>
            <w:r w:rsidRPr="00F01347">
              <w:rPr>
                <w:rFonts w:ascii="Verdana" w:hAnsi="Verdana"/>
                <w:sz w:val="16"/>
                <w:szCs w:val="16"/>
                <w:lang w:val="en-US"/>
              </w:rPr>
              <w:t>.</w:t>
            </w:r>
          </w:p>
        </w:tc>
      </w:tr>
      <w:tr w:rsidR="0077018F" w:rsidRPr="00F01347" w14:paraId="142389AF" w14:textId="4BD7C570" w:rsidTr="00FC3DB4">
        <w:tc>
          <w:tcPr>
            <w:tcW w:w="4675" w:type="dxa"/>
          </w:tcPr>
          <w:p w14:paraId="0AD4789B" w14:textId="77777777" w:rsidR="0077018F" w:rsidRPr="00F01347" w:rsidRDefault="0077018F" w:rsidP="0077018F">
            <w:pPr>
              <w:pStyle w:val="texto0"/>
              <w:spacing w:after="80" w:line="214" w:lineRule="exact"/>
              <w:ind w:firstLine="0"/>
              <w:rPr>
                <w:rFonts w:ascii="Verdana" w:hAnsi="Verdana"/>
                <w:sz w:val="16"/>
                <w:szCs w:val="16"/>
              </w:rPr>
            </w:pPr>
            <w:r w:rsidRPr="00F01347">
              <w:rPr>
                <w:rFonts w:ascii="Verdana" w:hAnsi="Verdana"/>
                <w:b/>
                <w:sz w:val="16"/>
                <w:szCs w:val="16"/>
              </w:rPr>
              <w:t xml:space="preserve">B.13.7.3.4 </w:t>
            </w:r>
            <w:r w:rsidRPr="00F01347">
              <w:rPr>
                <w:rFonts w:ascii="Verdana" w:hAnsi="Verdana"/>
                <w:sz w:val="16"/>
                <w:szCs w:val="16"/>
              </w:rPr>
              <w:t>Linealidad de la calibración.</w:t>
            </w:r>
          </w:p>
        </w:tc>
        <w:tc>
          <w:tcPr>
            <w:tcW w:w="4675" w:type="dxa"/>
          </w:tcPr>
          <w:p w14:paraId="2FBE339A" w14:textId="4E6EF149" w:rsidR="0077018F" w:rsidRPr="00F01347" w:rsidRDefault="0077018F" w:rsidP="0077018F">
            <w:pPr>
              <w:pStyle w:val="texto0"/>
              <w:spacing w:after="80" w:line="214" w:lineRule="exact"/>
              <w:ind w:firstLine="0"/>
              <w:rPr>
                <w:rFonts w:ascii="Verdana" w:hAnsi="Verdana"/>
                <w:b/>
                <w:sz w:val="16"/>
                <w:szCs w:val="16"/>
                <w:lang w:val="en-US"/>
              </w:rPr>
            </w:pPr>
            <w:r w:rsidRPr="00F01347">
              <w:rPr>
                <w:rFonts w:ascii="Verdana" w:hAnsi="Verdana"/>
                <w:b/>
                <w:sz w:val="16"/>
                <w:szCs w:val="16"/>
                <w:lang w:val="en-US"/>
              </w:rPr>
              <w:t xml:space="preserve">B.13.7.3.4 </w:t>
            </w:r>
            <w:r w:rsidRPr="00F01347">
              <w:rPr>
                <w:rFonts w:ascii="Verdana" w:hAnsi="Verdana"/>
                <w:sz w:val="16"/>
                <w:szCs w:val="16"/>
                <w:lang w:val="en-US"/>
              </w:rPr>
              <w:t>Calibration linearity.</w:t>
            </w:r>
          </w:p>
        </w:tc>
      </w:tr>
      <w:tr w:rsidR="0077018F" w:rsidRPr="00F01347" w14:paraId="03C27F02" w14:textId="2CB70571" w:rsidTr="00FC3DB4">
        <w:tc>
          <w:tcPr>
            <w:tcW w:w="4675" w:type="dxa"/>
          </w:tcPr>
          <w:p w14:paraId="3265BAF8" w14:textId="77777777" w:rsidR="0077018F" w:rsidRPr="00F01347" w:rsidRDefault="0077018F" w:rsidP="0077018F">
            <w:pPr>
              <w:pStyle w:val="texto0"/>
              <w:spacing w:after="80" w:line="214" w:lineRule="exact"/>
              <w:ind w:firstLine="0"/>
              <w:rPr>
                <w:rFonts w:ascii="Verdana" w:hAnsi="Verdana"/>
                <w:sz w:val="16"/>
                <w:szCs w:val="16"/>
              </w:rPr>
            </w:pPr>
            <w:r w:rsidRPr="00F01347">
              <w:rPr>
                <w:rFonts w:ascii="Verdana" w:hAnsi="Verdana"/>
                <w:sz w:val="16"/>
                <w:szCs w:val="16"/>
              </w:rPr>
              <w:t>La calibración será lineal, si el porcentaje de la desviación estándar (%DER) de los factores de calibración es menor que el 20% sobre el rango de trabajo, la linealidad a través del origen puede asumirse y el promedio del factor de calibración puede usarse en lugar de una curva de calibración.</w:t>
            </w:r>
          </w:p>
        </w:tc>
        <w:tc>
          <w:tcPr>
            <w:tcW w:w="4675" w:type="dxa"/>
          </w:tcPr>
          <w:p w14:paraId="04588849" w14:textId="61302C0C" w:rsidR="0077018F" w:rsidRPr="00F01347" w:rsidRDefault="0077018F" w:rsidP="0077018F">
            <w:pPr>
              <w:pStyle w:val="texto0"/>
              <w:spacing w:after="80" w:line="214" w:lineRule="exact"/>
              <w:ind w:firstLine="0"/>
              <w:rPr>
                <w:rFonts w:ascii="Verdana" w:hAnsi="Verdana"/>
                <w:sz w:val="16"/>
                <w:szCs w:val="16"/>
                <w:lang w:val="en-US"/>
              </w:rPr>
            </w:pPr>
            <w:r w:rsidRPr="00F01347">
              <w:rPr>
                <w:rFonts w:ascii="Verdana" w:hAnsi="Verdana"/>
                <w:sz w:val="16"/>
                <w:szCs w:val="16"/>
                <w:lang w:val="en-US"/>
              </w:rPr>
              <w:t>The calibration will be linear, if the percentage standard deviation (%</w:t>
            </w:r>
            <w:r w:rsidR="009F384B">
              <w:rPr>
                <w:rFonts w:ascii="Verdana" w:hAnsi="Verdana"/>
                <w:sz w:val="16"/>
                <w:szCs w:val="16"/>
                <w:lang w:val="en-US"/>
              </w:rPr>
              <w:t>DER</w:t>
            </w:r>
            <w:r w:rsidRPr="00F01347">
              <w:rPr>
                <w:rFonts w:ascii="Verdana" w:hAnsi="Verdana"/>
                <w:sz w:val="16"/>
                <w:szCs w:val="16"/>
                <w:lang w:val="en-US"/>
              </w:rPr>
              <w:t>) of the calibration factors is less than 20% over the working range, linearity through the origin can be assumed and the average of the calibration factor can be used instead of a calibration curve.</w:t>
            </w:r>
          </w:p>
        </w:tc>
      </w:tr>
      <w:tr w:rsidR="0077018F" w:rsidRPr="00F01347" w14:paraId="2A7425FC" w14:textId="2400BD68" w:rsidTr="00FC3DB4">
        <w:tc>
          <w:tcPr>
            <w:tcW w:w="4675" w:type="dxa"/>
          </w:tcPr>
          <w:p w14:paraId="578F2B12" w14:textId="77777777" w:rsidR="0077018F" w:rsidRPr="00F01347" w:rsidRDefault="0077018F" w:rsidP="0077018F">
            <w:pPr>
              <w:pStyle w:val="texto0"/>
              <w:spacing w:after="80" w:line="214" w:lineRule="exact"/>
              <w:ind w:firstLine="0"/>
              <w:rPr>
                <w:rFonts w:ascii="Verdana" w:hAnsi="Verdana"/>
                <w:sz w:val="16"/>
                <w:szCs w:val="16"/>
              </w:rPr>
            </w:pPr>
            <w:r w:rsidRPr="00F01347">
              <w:rPr>
                <w:rFonts w:ascii="Verdana" w:hAnsi="Verdana"/>
                <w:sz w:val="16"/>
                <w:szCs w:val="16"/>
              </w:rPr>
              <w:t>Calcular el factor de correlación (r), si se utilizó una regresión de mínimos cuadrados, el cual deberá de tener un valor &gt; 0.99.</w:t>
            </w:r>
          </w:p>
        </w:tc>
        <w:tc>
          <w:tcPr>
            <w:tcW w:w="4675" w:type="dxa"/>
          </w:tcPr>
          <w:p w14:paraId="4B6EFA20" w14:textId="4821E651" w:rsidR="0077018F" w:rsidRPr="00F01347" w:rsidRDefault="0077018F" w:rsidP="0077018F">
            <w:pPr>
              <w:pStyle w:val="texto0"/>
              <w:spacing w:after="80" w:line="214" w:lineRule="exact"/>
              <w:ind w:firstLine="0"/>
              <w:rPr>
                <w:rFonts w:ascii="Verdana" w:hAnsi="Verdana"/>
                <w:sz w:val="16"/>
                <w:szCs w:val="16"/>
                <w:lang w:val="en-US"/>
              </w:rPr>
            </w:pPr>
            <w:r w:rsidRPr="00F01347">
              <w:rPr>
                <w:rFonts w:ascii="Verdana" w:hAnsi="Verdana"/>
                <w:sz w:val="16"/>
                <w:szCs w:val="16"/>
                <w:lang w:val="en-US"/>
              </w:rPr>
              <w:t>Calculate the correlation factor (r), if a least squares regression was used, which must have a value &gt; 0.99.</w:t>
            </w:r>
          </w:p>
        </w:tc>
      </w:tr>
      <w:tr w:rsidR="0077018F" w:rsidRPr="00F01347" w14:paraId="2DA270E8" w14:textId="1B4E6C55" w:rsidTr="00FC3DB4">
        <w:tc>
          <w:tcPr>
            <w:tcW w:w="4675" w:type="dxa"/>
          </w:tcPr>
          <w:p w14:paraId="44E20339" w14:textId="77777777" w:rsidR="0077018F" w:rsidRPr="00F01347" w:rsidRDefault="0077018F" w:rsidP="0077018F">
            <w:pPr>
              <w:pStyle w:val="texto0"/>
              <w:spacing w:after="80" w:line="214" w:lineRule="exact"/>
              <w:ind w:firstLine="0"/>
              <w:rPr>
                <w:rFonts w:ascii="Verdana" w:hAnsi="Verdana"/>
                <w:sz w:val="16"/>
                <w:szCs w:val="16"/>
              </w:rPr>
            </w:pPr>
            <w:r w:rsidRPr="00F01347">
              <w:rPr>
                <w:rFonts w:ascii="Verdana" w:hAnsi="Verdana"/>
                <w:sz w:val="16"/>
                <w:szCs w:val="16"/>
              </w:rPr>
              <w:t>Si el valor de %DER es mayor al 20 % o el valor de r es menor a 0.99, la linealidad no puede asumirse y se procederá a encontrar las causas, corregirlas y reanalizar para cada nivel de calibración.</w:t>
            </w:r>
          </w:p>
        </w:tc>
        <w:tc>
          <w:tcPr>
            <w:tcW w:w="4675" w:type="dxa"/>
          </w:tcPr>
          <w:p w14:paraId="2A9EBA11" w14:textId="70C59E28" w:rsidR="0077018F" w:rsidRPr="00F01347" w:rsidRDefault="0077018F" w:rsidP="0077018F">
            <w:pPr>
              <w:pStyle w:val="texto0"/>
              <w:spacing w:after="80" w:line="214" w:lineRule="exact"/>
              <w:ind w:firstLine="0"/>
              <w:rPr>
                <w:rFonts w:ascii="Verdana" w:hAnsi="Verdana"/>
                <w:sz w:val="16"/>
                <w:szCs w:val="16"/>
                <w:lang w:val="en-US"/>
              </w:rPr>
            </w:pPr>
            <w:r w:rsidRPr="00F01347">
              <w:rPr>
                <w:rFonts w:ascii="Verdana" w:hAnsi="Verdana"/>
                <w:sz w:val="16"/>
                <w:szCs w:val="16"/>
                <w:lang w:val="en-US"/>
              </w:rPr>
              <w:t xml:space="preserve">If the value of %DER is greater than 20% or the value of r is less than 0.99, linearity cannot be assumed and the causes will be found, </w:t>
            </w:r>
            <w:r w:rsidR="004F5433" w:rsidRPr="00F01347">
              <w:rPr>
                <w:rFonts w:ascii="Verdana" w:hAnsi="Verdana"/>
                <w:sz w:val="16"/>
                <w:szCs w:val="16"/>
                <w:lang w:val="en-US"/>
              </w:rPr>
              <w:t>corrected,</w:t>
            </w:r>
            <w:r w:rsidRPr="00F01347">
              <w:rPr>
                <w:rFonts w:ascii="Verdana" w:hAnsi="Verdana"/>
                <w:sz w:val="16"/>
                <w:szCs w:val="16"/>
                <w:lang w:val="en-US"/>
              </w:rPr>
              <w:t xml:space="preserve"> and reanalyzed for each calibration level.</w:t>
            </w:r>
          </w:p>
        </w:tc>
      </w:tr>
      <w:tr w:rsidR="0077018F" w:rsidRPr="00F01347" w14:paraId="5E032D52" w14:textId="507C067C" w:rsidTr="00FC3DB4">
        <w:tc>
          <w:tcPr>
            <w:tcW w:w="4675" w:type="dxa"/>
          </w:tcPr>
          <w:p w14:paraId="4BD24DE5" w14:textId="77777777" w:rsidR="0077018F" w:rsidRPr="00F01347" w:rsidRDefault="0077018F" w:rsidP="0077018F">
            <w:pPr>
              <w:pStyle w:val="texto0"/>
              <w:spacing w:after="80" w:line="214" w:lineRule="exact"/>
              <w:ind w:firstLine="0"/>
              <w:rPr>
                <w:rFonts w:ascii="Verdana" w:hAnsi="Verdana"/>
                <w:b/>
                <w:sz w:val="16"/>
                <w:szCs w:val="16"/>
              </w:rPr>
            </w:pPr>
            <w:r w:rsidRPr="00F01347">
              <w:rPr>
                <w:rFonts w:ascii="Verdana" w:hAnsi="Verdana"/>
                <w:b/>
                <w:sz w:val="16"/>
                <w:szCs w:val="16"/>
              </w:rPr>
              <w:t>B.13.7.4 Interferencias</w:t>
            </w:r>
          </w:p>
        </w:tc>
        <w:tc>
          <w:tcPr>
            <w:tcW w:w="4675" w:type="dxa"/>
          </w:tcPr>
          <w:p w14:paraId="41119684" w14:textId="6B780922" w:rsidR="0077018F" w:rsidRPr="00F01347" w:rsidRDefault="0077018F" w:rsidP="0077018F">
            <w:pPr>
              <w:pStyle w:val="texto0"/>
              <w:spacing w:after="80" w:line="214" w:lineRule="exact"/>
              <w:ind w:firstLine="0"/>
              <w:rPr>
                <w:rFonts w:ascii="Verdana" w:hAnsi="Verdana"/>
                <w:b/>
                <w:sz w:val="16"/>
                <w:szCs w:val="16"/>
                <w:lang w:val="en-US"/>
              </w:rPr>
            </w:pPr>
            <w:r w:rsidRPr="00F01347">
              <w:rPr>
                <w:rFonts w:ascii="Verdana" w:hAnsi="Verdana"/>
                <w:b/>
                <w:sz w:val="16"/>
                <w:szCs w:val="16"/>
                <w:lang w:val="en-US"/>
              </w:rPr>
              <w:t>B.13.7.4 Interferences</w:t>
            </w:r>
          </w:p>
        </w:tc>
      </w:tr>
      <w:tr w:rsidR="0077018F" w:rsidRPr="00F01347" w14:paraId="6BF90998" w14:textId="38D902CD" w:rsidTr="00FC3DB4">
        <w:tc>
          <w:tcPr>
            <w:tcW w:w="4675" w:type="dxa"/>
          </w:tcPr>
          <w:p w14:paraId="3AEE888B" w14:textId="77777777" w:rsidR="0077018F" w:rsidRPr="00F01347" w:rsidRDefault="0077018F" w:rsidP="0077018F">
            <w:pPr>
              <w:pStyle w:val="texto0"/>
              <w:spacing w:after="80" w:line="214" w:lineRule="exact"/>
              <w:ind w:firstLine="0"/>
              <w:rPr>
                <w:rFonts w:ascii="Verdana" w:hAnsi="Verdana"/>
                <w:b/>
                <w:sz w:val="16"/>
                <w:szCs w:val="16"/>
              </w:rPr>
            </w:pPr>
            <w:r w:rsidRPr="00F01347">
              <w:rPr>
                <w:rFonts w:ascii="Verdana" w:hAnsi="Verdana"/>
                <w:sz w:val="16"/>
                <w:szCs w:val="16"/>
              </w:rPr>
              <w:t>Cuando se tienen muestras con hidrocarburos pesados es muy posible que éstos se arrastren y contaminen inyecciones subsecuentes, provocando la aparición de picos o elevaciones de la línea base que no corresponden a las muestras que se analizan posteriormente. Para evitar este tipo de interferencias se recomienda purgar el equipo a 300 °C durante 15 minutos, después del análisis de una muestra muy concentrada, o hacer corridas de cloruro de metileno antes de inyectar otras muestras.</w:t>
            </w:r>
          </w:p>
        </w:tc>
        <w:tc>
          <w:tcPr>
            <w:tcW w:w="4675" w:type="dxa"/>
          </w:tcPr>
          <w:p w14:paraId="784D36A7" w14:textId="770347D2" w:rsidR="0077018F" w:rsidRPr="00F01347" w:rsidRDefault="0077018F" w:rsidP="0077018F">
            <w:pPr>
              <w:pStyle w:val="texto0"/>
              <w:spacing w:after="80" w:line="214" w:lineRule="exact"/>
              <w:ind w:firstLine="0"/>
              <w:rPr>
                <w:rFonts w:ascii="Verdana" w:hAnsi="Verdana"/>
                <w:sz w:val="16"/>
                <w:szCs w:val="16"/>
                <w:lang w:val="en-US"/>
              </w:rPr>
            </w:pPr>
            <w:r w:rsidRPr="00F01347">
              <w:rPr>
                <w:rFonts w:ascii="Verdana" w:hAnsi="Verdana"/>
                <w:sz w:val="16"/>
                <w:szCs w:val="16"/>
                <w:lang w:val="en-US"/>
              </w:rPr>
              <w:t>When there are samples with heavy hydrocarbons, it is very possible that these will carry over and contaminate subsequent injections, causing the appearance of peaks or elevations of the baseline that do not correspond to the samples that are subsequently analyzed. To avoid this type of interference, it is recommended to purge the equipment at 300 °C for 15 minutes, after analyzing a very concentrated sample, or to run methylene chloride before injecting other samples.</w:t>
            </w:r>
          </w:p>
        </w:tc>
      </w:tr>
      <w:tr w:rsidR="0077018F" w:rsidRPr="00F01347" w14:paraId="1F4C42FD" w14:textId="001A8E70" w:rsidTr="00FC3DB4">
        <w:tc>
          <w:tcPr>
            <w:tcW w:w="4675" w:type="dxa"/>
          </w:tcPr>
          <w:p w14:paraId="4BF208E6" w14:textId="77777777" w:rsidR="0077018F" w:rsidRPr="00F01347" w:rsidRDefault="0077018F" w:rsidP="0077018F">
            <w:pPr>
              <w:pStyle w:val="texto0"/>
              <w:spacing w:after="80" w:line="214" w:lineRule="exact"/>
              <w:ind w:firstLine="0"/>
              <w:rPr>
                <w:rFonts w:ascii="Verdana" w:hAnsi="Verdana"/>
                <w:b/>
                <w:sz w:val="16"/>
                <w:szCs w:val="16"/>
                <w:lang w:val="en-US"/>
              </w:rPr>
            </w:pPr>
            <w:r w:rsidRPr="00F01347">
              <w:rPr>
                <w:rFonts w:ascii="Verdana" w:hAnsi="Verdana"/>
                <w:b/>
                <w:sz w:val="16"/>
                <w:szCs w:val="16"/>
                <w:lang w:val="en-US"/>
              </w:rPr>
              <w:t xml:space="preserve">B.13.8 </w:t>
            </w:r>
            <w:proofErr w:type="spellStart"/>
            <w:r w:rsidRPr="00F01347">
              <w:rPr>
                <w:rFonts w:ascii="Verdana" w:hAnsi="Verdana"/>
                <w:b/>
                <w:sz w:val="16"/>
                <w:szCs w:val="16"/>
                <w:lang w:val="en-US"/>
              </w:rPr>
              <w:t>Referencias</w:t>
            </w:r>
            <w:proofErr w:type="spellEnd"/>
          </w:p>
        </w:tc>
        <w:tc>
          <w:tcPr>
            <w:tcW w:w="4675" w:type="dxa"/>
          </w:tcPr>
          <w:p w14:paraId="15D71444" w14:textId="53E747D6" w:rsidR="0077018F" w:rsidRPr="00F01347" w:rsidRDefault="0077018F" w:rsidP="0077018F">
            <w:pPr>
              <w:pStyle w:val="texto0"/>
              <w:spacing w:after="80" w:line="214" w:lineRule="exact"/>
              <w:ind w:firstLine="0"/>
              <w:rPr>
                <w:rFonts w:ascii="Verdana" w:hAnsi="Verdana"/>
                <w:b/>
                <w:sz w:val="16"/>
                <w:szCs w:val="16"/>
                <w:lang w:val="en-US"/>
              </w:rPr>
            </w:pPr>
            <w:r w:rsidRPr="00F01347">
              <w:rPr>
                <w:rFonts w:ascii="Verdana" w:hAnsi="Verdana"/>
                <w:b/>
                <w:sz w:val="16"/>
                <w:szCs w:val="16"/>
                <w:lang w:val="en-US"/>
              </w:rPr>
              <w:t>B.13.8 References</w:t>
            </w:r>
          </w:p>
        </w:tc>
      </w:tr>
      <w:tr w:rsidR="0077018F" w:rsidRPr="00F01347" w14:paraId="1D9D202F" w14:textId="18AF5B52" w:rsidTr="00FC3DB4">
        <w:tc>
          <w:tcPr>
            <w:tcW w:w="4675" w:type="dxa"/>
          </w:tcPr>
          <w:p w14:paraId="4BB298CF" w14:textId="77777777" w:rsidR="0077018F" w:rsidRPr="00F01347" w:rsidRDefault="0077018F" w:rsidP="0077018F">
            <w:pPr>
              <w:pStyle w:val="texto0"/>
              <w:ind w:firstLine="0"/>
              <w:rPr>
                <w:rFonts w:ascii="Verdana" w:hAnsi="Verdana"/>
                <w:color w:val="000000"/>
                <w:sz w:val="16"/>
                <w:szCs w:val="16"/>
              </w:rPr>
            </w:pPr>
            <w:r w:rsidRPr="00F01347">
              <w:rPr>
                <w:rFonts w:ascii="Verdana" w:hAnsi="Verdana"/>
                <w:color w:val="000000"/>
                <w:sz w:val="16"/>
                <w:szCs w:val="16"/>
                <w:lang w:val="en-US"/>
              </w:rPr>
              <w:t xml:space="preserve">EPA. 2007. Method 8015C (SW-846): Nonhalogenated Organics Using GC/FID. </w:t>
            </w:r>
            <w:r w:rsidRPr="00F01347">
              <w:rPr>
                <w:rFonts w:ascii="Verdana" w:hAnsi="Verdana"/>
                <w:color w:val="000000"/>
                <w:sz w:val="16"/>
                <w:szCs w:val="16"/>
              </w:rPr>
              <w:t>Rev. 3.</w:t>
            </w:r>
          </w:p>
        </w:tc>
        <w:tc>
          <w:tcPr>
            <w:tcW w:w="4675" w:type="dxa"/>
          </w:tcPr>
          <w:p w14:paraId="1A4F1FD3" w14:textId="6ABBC304" w:rsidR="0077018F" w:rsidRPr="00F01347" w:rsidRDefault="0077018F" w:rsidP="0077018F">
            <w:pPr>
              <w:pStyle w:val="texto0"/>
              <w:ind w:firstLine="0"/>
              <w:rPr>
                <w:rFonts w:ascii="Verdana" w:hAnsi="Verdana"/>
                <w:color w:val="000000"/>
                <w:sz w:val="16"/>
                <w:szCs w:val="16"/>
                <w:lang w:val="en-US"/>
              </w:rPr>
            </w:pPr>
            <w:r w:rsidRPr="00F01347">
              <w:rPr>
                <w:rFonts w:ascii="Verdana" w:hAnsi="Verdana"/>
                <w:color w:val="000000"/>
                <w:sz w:val="16"/>
                <w:szCs w:val="16"/>
                <w:lang w:val="en-US"/>
              </w:rPr>
              <w:t>EPA. 2007. Method 8015C (SW-846): Nonhalogenated Organics Using GC/FID. Rev. 3.</w:t>
            </w:r>
          </w:p>
        </w:tc>
      </w:tr>
    </w:tbl>
    <w:p w14:paraId="11AB8A03" w14:textId="77777777" w:rsidR="0055757A" w:rsidRPr="00F01347" w:rsidRDefault="0055757A" w:rsidP="003A601B">
      <w:pPr>
        <w:pStyle w:val="texto0"/>
        <w:ind w:firstLine="0"/>
        <w:jc w:val="center"/>
        <w:rPr>
          <w:rFonts w:ascii="Verdana" w:hAnsi="Verdana"/>
          <w:b/>
          <w:sz w:val="16"/>
          <w:szCs w:val="16"/>
        </w:rPr>
      </w:pPr>
    </w:p>
    <w:p w14:paraId="5E244894" w14:textId="77777777" w:rsidR="0055757A" w:rsidRPr="00F01347" w:rsidRDefault="0055757A" w:rsidP="003A601B">
      <w:pPr>
        <w:pStyle w:val="texto0"/>
        <w:ind w:firstLine="0"/>
        <w:jc w:val="center"/>
        <w:rPr>
          <w:rFonts w:ascii="Verdana" w:hAnsi="Verdana"/>
          <w:b/>
          <w:sz w:val="16"/>
          <w:szCs w:val="16"/>
        </w:rPr>
      </w:pPr>
    </w:p>
    <w:p w14:paraId="1347EC6E" w14:textId="77777777" w:rsidR="004F5433" w:rsidRPr="00F01347" w:rsidRDefault="004F5433" w:rsidP="003A601B">
      <w:pPr>
        <w:pStyle w:val="texto0"/>
        <w:ind w:firstLine="0"/>
        <w:jc w:val="center"/>
        <w:rPr>
          <w:rFonts w:ascii="Verdana" w:hAnsi="Verdana"/>
          <w:b/>
          <w:sz w:val="16"/>
          <w:szCs w:val="16"/>
        </w:rPr>
      </w:pPr>
    </w:p>
    <w:p w14:paraId="1AE193CD" w14:textId="77777777" w:rsidR="004F5433" w:rsidRPr="00F01347" w:rsidRDefault="004F5433" w:rsidP="003A601B">
      <w:pPr>
        <w:pStyle w:val="texto0"/>
        <w:ind w:firstLine="0"/>
        <w:jc w:val="center"/>
        <w:rPr>
          <w:rFonts w:ascii="Verdana" w:hAnsi="Verdana"/>
          <w:b/>
          <w:sz w:val="16"/>
          <w:szCs w:val="16"/>
        </w:rPr>
      </w:pPr>
    </w:p>
    <w:p w14:paraId="3F9BCD82" w14:textId="77777777" w:rsidR="004F5433" w:rsidRPr="00F01347" w:rsidRDefault="004F5433" w:rsidP="003A601B">
      <w:pPr>
        <w:pStyle w:val="texto0"/>
        <w:ind w:firstLine="0"/>
        <w:jc w:val="center"/>
        <w:rPr>
          <w:rFonts w:ascii="Verdana" w:hAnsi="Verdana"/>
          <w:b/>
          <w:sz w:val="16"/>
          <w:szCs w:val="16"/>
        </w:rPr>
      </w:pPr>
    </w:p>
    <w:p w14:paraId="2B4A68AC" w14:textId="77777777" w:rsidR="004F5433" w:rsidRPr="00F01347" w:rsidRDefault="004F5433" w:rsidP="003A601B">
      <w:pPr>
        <w:pStyle w:val="texto0"/>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5757A" w:rsidRPr="00F01347" w14:paraId="43260BA5" w14:textId="77EDA52C" w:rsidTr="004F5433">
        <w:tc>
          <w:tcPr>
            <w:tcW w:w="4675" w:type="dxa"/>
          </w:tcPr>
          <w:p w14:paraId="2C188153" w14:textId="77777777" w:rsidR="0055757A" w:rsidRPr="00F01347" w:rsidRDefault="0055757A" w:rsidP="00101DF5">
            <w:pPr>
              <w:pStyle w:val="texto0"/>
              <w:ind w:firstLine="0"/>
              <w:jc w:val="center"/>
              <w:rPr>
                <w:rFonts w:ascii="Verdana" w:hAnsi="Verdana"/>
                <w:b/>
                <w:sz w:val="16"/>
                <w:szCs w:val="16"/>
              </w:rPr>
            </w:pPr>
            <w:r w:rsidRPr="00F01347">
              <w:rPr>
                <w:rFonts w:ascii="Verdana" w:hAnsi="Verdana"/>
                <w:b/>
                <w:sz w:val="16"/>
                <w:szCs w:val="16"/>
              </w:rPr>
              <w:lastRenderedPageBreak/>
              <w:t>APÉNDICE C</w:t>
            </w:r>
          </w:p>
        </w:tc>
        <w:tc>
          <w:tcPr>
            <w:tcW w:w="4675" w:type="dxa"/>
          </w:tcPr>
          <w:p w14:paraId="72E67BD9" w14:textId="767A9546" w:rsidR="0055757A" w:rsidRPr="00F01347" w:rsidRDefault="0077018F" w:rsidP="00101DF5">
            <w:pPr>
              <w:pStyle w:val="texto0"/>
              <w:ind w:firstLine="0"/>
              <w:jc w:val="center"/>
              <w:rPr>
                <w:rFonts w:ascii="Verdana" w:hAnsi="Verdana"/>
                <w:b/>
                <w:sz w:val="16"/>
                <w:szCs w:val="16"/>
              </w:rPr>
            </w:pPr>
            <w:r w:rsidRPr="00F01347">
              <w:rPr>
                <w:rFonts w:ascii="Verdana" w:hAnsi="Verdana"/>
                <w:b/>
                <w:sz w:val="16"/>
                <w:szCs w:val="16"/>
              </w:rPr>
              <w:t>APPENDIX</w:t>
            </w:r>
          </w:p>
        </w:tc>
      </w:tr>
      <w:tr w:rsidR="0055757A" w:rsidRPr="00F01347" w14:paraId="0CAFB637" w14:textId="3235F8B3" w:rsidTr="004F5433">
        <w:tc>
          <w:tcPr>
            <w:tcW w:w="4675" w:type="dxa"/>
          </w:tcPr>
          <w:p w14:paraId="25997F27" w14:textId="77777777" w:rsidR="0055757A" w:rsidRPr="00F01347" w:rsidRDefault="0055757A" w:rsidP="00101DF5">
            <w:pPr>
              <w:pStyle w:val="texto0"/>
              <w:ind w:firstLine="0"/>
              <w:jc w:val="center"/>
              <w:rPr>
                <w:rFonts w:ascii="Verdana" w:hAnsi="Verdana"/>
                <w:b/>
                <w:sz w:val="16"/>
                <w:szCs w:val="16"/>
                <w:lang w:val="es-ES_tradnl"/>
              </w:rPr>
            </w:pPr>
            <w:r w:rsidRPr="00F01347">
              <w:rPr>
                <w:rFonts w:ascii="Verdana" w:hAnsi="Verdana"/>
                <w:b/>
                <w:sz w:val="16"/>
                <w:szCs w:val="16"/>
                <w:lang w:val="es-ES_tradnl"/>
              </w:rPr>
              <w:t>INFORMATIVO</w:t>
            </w:r>
          </w:p>
        </w:tc>
        <w:tc>
          <w:tcPr>
            <w:tcW w:w="4675" w:type="dxa"/>
          </w:tcPr>
          <w:p w14:paraId="5B92BBF3" w14:textId="5E0B5AF6" w:rsidR="0055757A" w:rsidRPr="00F01347" w:rsidRDefault="0077018F" w:rsidP="00101DF5">
            <w:pPr>
              <w:pStyle w:val="texto0"/>
              <w:ind w:firstLine="0"/>
              <w:jc w:val="center"/>
              <w:rPr>
                <w:rFonts w:ascii="Verdana" w:hAnsi="Verdana"/>
                <w:b/>
                <w:sz w:val="16"/>
                <w:szCs w:val="16"/>
                <w:lang w:val="es-ES_tradnl"/>
              </w:rPr>
            </w:pPr>
            <w:r w:rsidRPr="00F01347">
              <w:rPr>
                <w:rFonts w:ascii="Verdana" w:hAnsi="Verdana"/>
                <w:b/>
                <w:sz w:val="16"/>
                <w:szCs w:val="16"/>
                <w:lang w:val="es-ES_tradnl"/>
              </w:rPr>
              <w:t>INFORMATIVE</w:t>
            </w:r>
          </w:p>
        </w:tc>
      </w:tr>
      <w:tr w:rsidR="0055757A" w:rsidRPr="00F01347" w14:paraId="07974463" w14:textId="6C593BCE" w:rsidTr="004F5433">
        <w:tc>
          <w:tcPr>
            <w:tcW w:w="4675" w:type="dxa"/>
          </w:tcPr>
          <w:p w14:paraId="4BEE148D" w14:textId="77777777" w:rsidR="0055757A" w:rsidRPr="00F01347" w:rsidRDefault="0055757A" w:rsidP="00101DF5">
            <w:pPr>
              <w:pStyle w:val="texto0"/>
              <w:ind w:firstLine="0"/>
              <w:jc w:val="center"/>
              <w:rPr>
                <w:rFonts w:ascii="Verdana" w:hAnsi="Verdana"/>
                <w:b/>
                <w:sz w:val="16"/>
                <w:szCs w:val="16"/>
                <w:lang w:val="es-ES_tradnl"/>
              </w:rPr>
            </w:pPr>
            <w:r w:rsidRPr="00F01347">
              <w:rPr>
                <w:rFonts w:ascii="Verdana" w:hAnsi="Verdana"/>
                <w:b/>
                <w:sz w:val="16"/>
                <w:szCs w:val="16"/>
                <w:lang w:val="es-ES_tradnl"/>
              </w:rPr>
              <w:t>Procesos propuestos para la potabilización del agua.</w:t>
            </w:r>
          </w:p>
        </w:tc>
        <w:tc>
          <w:tcPr>
            <w:tcW w:w="4675" w:type="dxa"/>
          </w:tcPr>
          <w:p w14:paraId="36583D08" w14:textId="060D79A1" w:rsidR="0055757A" w:rsidRPr="00F01347" w:rsidRDefault="00D23160" w:rsidP="00101DF5">
            <w:pPr>
              <w:pStyle w:val="texto0"/>
              <w:ind w:firstLine="0"/>
              <w:jc w:val="center"/>
              <w:rPr>
                <w:rFonts w:ascii="Verdana" w:hAnsi="Verdana"/>
                <w:b/>
                <w:sz w:val="16"/>
                <w:szCs w:val="16"/>
                <w:lang w:val="en-US"/>
              </w:rPr>
            </w:pPr>
            <w:r w:rsidRPr="00F01347">
              <w:rPr>
                <w:rFonts w:ascii="Verdana" w:hAnsi="Verdana"/>
                <w:b/>
                <w:sz w:val="16"/>
                <w:szCs w:val="16"/>
                <w:lang w:val="en-US"/>
              </w:rPr>
              <w:t>Processes proposed for the potabilization of water</w:t>
            </w:r>
          </w:p>
        </w:tc>
      </w:tr>
    </w:tbl>
    <w:p w14:paraId="16C850C2" w14:textId="77777777" w:rsidR="0055757A" w:rsidRPr="00F01347" w:rsidRDefault="0055757A" w:rsidP="003A601B">
      <w:pPr>
        <w:pStyle w:val="texto0"/>
        <w:ind w:firstLine="0"/>
        <w:jc w:val="center"/>
        <w:rPr>
          <w:rFonts w:ascii="Verdana" w:hAnsi="Verdana"/>
          <w:b/>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977"/>
        <w:gridCol w:w="5735"/>
      </w:tblGrid>
      <w:tr w:rsidR="00A74CDF" w:rsidRPr="00F01347" w14:paraId="09DAA5E5" w14:textId="77777777">
        <w:trPr>
          <w:trHeight w:val="20"/>
        </w:trPr>
        <w:tc>
          <w:tcPr>
            <w:tcW w:w="2977" w:type="dxa"/>
            <w:tcBorders>
              <w:top w:val="single" w:sz="6" w:space="0" w:color="auto"/>
              <w:left w:val="single" w:sz="6" w:space="0" w:color="auto"/>
              <w:bottom w:val="single" w:sz="6" w:space="0" w:color="auto"/>
              <w:right w:val="single" w:sz="6" w:space="0" w:color="auto"/>
            </w:tcBorders>
            <w:noWrap/>
            <w:vAlign w:val="center"/>
          </w:tcPr>
          <w:p w14:paraId="76BD910E" w14:textId="77777777" w:rsidR="00A74CDF" w:rsidRPr="00F01347" w:rsidRDefault="00A74CDF" w:rsidP="003A601B">
            <w:pPr>
              <w:pStyle w:val="texto0"/>
              <w:spacing w:before="40" w:after="40" w:line="260" w:lineRule="exact"/>
              <w:ind w:firstLine="0"/>
              <w:rPr>
                <w:rFonts w:ascii="Verdana" w:hAnsi="Verdana"/>
                <w:b/>
                <w:sz w:val="16"/>
                <w:szCs w:val="16"/>
              </w:rPr>
            </w:pPr>
            <w:r w:rsidRPr="00F01347">
              <w:rPr>
                <w:rFonts w:ascii="Verdana" w:hAnsi="Verdana"/>
                <w:b/>
                <w:color w:val="000000"/>
                <w:sz w:val="16"/>
                <w:szCs w:val="16"/>
              </w:rPr>
              <w:t>Parámetros</w:t>
            </w:r>
          </w:p>
        </w:tc>
        <w:tc>
          <w:tcPr>
            <w:tcW w:w="5735" w:type="dxa"/>
            <w:tcBorders>
              <w:top w:val="single" w:sz="6" w:space="0" w:color="auto"/>
              <w:left w:val="single" w:sz="6" w:space="0" w:color="auto"/>
              <w:bottom w:val="single" w:sz="6" w:space="0" w:color="auto"/>
              <w:right w:val="single" w:sz="6" w:space="0" w:color="auto"/>
            </w:tcBorders>
          </w:tcPr>
          <w:p w14:paraId="6172BD72" w14:textId="77777777" w:rsidR="00A74CDF" w:rsidRPr="00F01347" w:rsidRDefault="00A74CDF" w:rsidP="003A601B">
            <w:pPr>
              <w:pStyle w:val="texto0"/>
              <w:spacing w:before="40" w:after="40" w:line="260" w:lineRule="exact"/>
              <w:ind w:firstLine="0"/>
              <w:rPr>
                <w:rFonts w:ascii="Verdana" w:hAnsi="Verdana"/>
                <w:b/>
                <w:sz w:val="16"/>
                <w:szCs w:val="16"/>
              </w:rPr>
            </w:pPr>
            <w:r w:rsidRPr="00F01347">
              <w:rPr>
                <w:rFonts w:ascii="Verdana" w:hAnsi="Verdana"/>
                <w:b/>
                <w:sz w:val="16"/>
                <w:szCs w:val="16"/>
              </w:rPr>
              <w:t>Procesos propuestos para la potabilización del agua</w:t>
            </w:r>
          </w:p>
        </w:tc>
      </w:tr>
      <w:tr w:rsidR="00A74CDF" w:rsidRPr="00F01347" w14:paraId="303901C6"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41AEFC0"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pH</w:t>
            </w:r>
          </w:p>
        </w:tc>
        <w:tc>
          <w:tcPr>
            <w:tcW w:w="5735" w:type="dxa"/>
            <w:tcBorders>
              <w:top w:val="single" w:sz="6" w:space="0" w:color="auto"/>
              <w:left w:val="single" w:sz="6" w:space="0" w:color="auto"/>
              <w:bottom w:val="single" w:sz="6" w:space="0" w:color="auto"/>
              <w:right w:val="single" w:sz="6" w:space="0" w:color="auto"/>
            </w:tcBorders>
          </w:tcPr>
          <w:p w14:paraId="386C5D03"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Neutralización</w:t>
            </w:r>
          </w:p>
        </w:tc>
      </w:tr>
      <w:tr w:rsidR="00A74CDF" w:rsidRPr="00F01347" w14:paraId="4B33BEDB"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605DFED"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Turbiedad</w:t>
            </w:r>
          </w:p>
        </w:tc>
        <w:tc>
          <w:tcPr>
            <w:tcW w:w="5735" w:type="dxa"/>
            <w:tcBorders>
              <w:top w:val="single" w:sz="6" w:space="0" w:color="auto"/>
              <w:left w:val="single" w:sz="6" w:space="0" w:color="auto"/>
              <w:bottom w:val="single" w:sz="6" w:space="0" w:color="auto"/>
              <w:right w:val="single" w:sz="6" w:space="0" w:color="auto"/>
            </w:tcBorders>
          </w:tcPr>
          <w:p w14:paraId="7A6C3626"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Coagulación-floculación-sedimentación-filtración</w:t>
            </w:r>
          </w:p>
          <w:p w14:paraId="246652B5"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Filtración directa aplicando un coagulante</w:t>
            </w:r>
          </w:p>
          <w:p w14:paraId="047FA9D2"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Ultrafiltración</w:t>
            </w:r>
          </w:p>
          <w:p w14:paraId="30A29C61"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Microfiltración</w:t>
            </w:r>
          </w:p>
          <w:p w14:paraId="69560CD4"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Filtración lenta en arena</w:t>
            </w:r>
          </w:p>
          <w:p w14:paraId="253707D2"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Filtración en múltiples etapas</w:t>
            </w:r>
          </w:p>
        </w:tc>
      </w:tr>
      <w:tr w:rsidR="00A74CDF" w:rsidRPr="00F01347" w14:paraId="7ED0526D"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B2DC0E9"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Cianuros totales</w:t>
            </w:r>
          </w:p>
        </w:tc>
        <w:tc>
          <w:tcPr>
            <w:tcW w:w="5735" w:type="dxa"/>
            <w:tcBorders>
              <w:top w:val="single" w:sz="6" w:space="0" w:color="auto"/>
              <w:left w:val="single" w:sz="6" w:space="0" w:color="auto"/>
              <w:bottom w:val="single" w:sz="6" w:space="0" w:color="auto"/>
              <w:right w:val="single" w:sz="6" w:space="0" w:color="auto"/>
            </w:tcBorders>
          </w:tcPr>
          <w:p w14:paraId="454E6CF5"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Oxidación química</w:t>
            </w:r>
          </w:p>
          <w:p w14:paraId="6CB6C353"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Osmosis Inversa</w:t>
            </w:r>
          </w:p>
          <w:p w14:paraId="3A703C91"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Electrodiálisis</w:t>
            </w:r>
          </w:p>
        </w:tc>
      </w:tr>
      <w:tr w:rsidR="00A74CDF" w:rsidRPr="00F01347" w14:paraId="5460C665"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8F711F1"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Dureza total como CaCO</w:t>
            </w:r>
            <w:r w:rsidRPr="00F01347">
              <w:rPr>
                <w:rFonts w:ascii="Verdana" w:hAnsi="Verdana"/>
                <w:sz w:val="16"/>
                <w:szCs w:val="16"/>
                <w:vertAlign w:val="subscript"/>
              </w:rPr>
              <w:t>3</w:t>
            </w:r>
          </w:p>
        </w:tc>
        <w:tc>
          <w:tcPr>
            <w:tcW w:w="5735" w:type="dxa"/>
            <w:tcBorders>
              <w:top w:val="single" w:sz="6" w:space="0" w:color="auto"/>
              <w:left w:val="single" w:sz="6" w:space="0" w:color="auto"/>
              <w:bottom w:val="single" w:sz="6" w:space="0" w:color="auto"/>
              <w:right w:val="single" w:sz="6" w:space="0" w:color="auto"/>
            </w:tcBorders>
          </w:tcPr>
          <w:p w14:paraId="59780538"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 xml:space="preserve">Ablandamiento químico </w:t>
            </w:r>
            <w:r w:rsidRPr="00F01347">
              <w:rPr>
                <w:rFonts w:ascii="Verdana" w:hAnsi="Verdana"/>
                <w:position w:val="4"/>
                <w:sz w:val="16"/>
                <w:szCs w:val="16"/>
              </w:rPr>
              <w:t>(1)</w:t>
            </w:r>
          </w:p>
          <w:p w14:paraId="6C6D17CC"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Nanofiltración</w:t>
            </w:r>
          </w:p>
          <w:p w14:paraId="3036E0E0"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Intercambio catiónico</w:t>
            </w:r>
          </w:p>
          <w:p w14:paraId="445DBD47"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Ósmosis inversa</w:t>
            </w:r>
          </w:p>
          <w:p w14:paraId="5B3326B5"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Electrodiálisis</w:t>
            </w:r>
          </w:p>
        </w:tc>
      </w:tr>
      <w:tr w:rsidR="00A74CDF" w:rsidRPr="00F01347" w14:paraId="6D5A2E40"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FA7E5F6"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Fluoruros</w:t>
            </w:r>
          </w:p>
        </w:tc>
        <w:tc>
          <w:tcPr>
            <w:tcW w:w="5735" w:type="dxa"/>
            <w:tcBorders>
              <w:top w:val="single" w:sz="6" w:space="0" w:color="auto"/>
              <w:left w:val="single" w:sz="6" w:space="0" w:color="auto"/>
              <w:bottom w:val="single" w:sz="6" w:space="0" w:color="auto"/>
              <w:right w:val="single" w:sz="6" w:space="0" w:color="auto"/>
            </w:tcBorders>
          </w:tcPr>
          <w:p w14:paraId="072DDCF9"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Adsorción en alúmina activada</w:t>
            </w:r>
          </w:p>
          <w:p w14:paraId="0582DE54"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Ósmosis inversa</w:t>
            </w:r>
          </w:p>
          <w:p w14:paraId="0897F3E4"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Electrodiálisis</w:t>
            </w:r>
          </w:p>
          <w:p w14:paraId="48742E38"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Adsorción en carbón de hueso</w:t>
            </w:r>
          </w:p>
          <w:p w14:paraId="2C1E039F"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Nanofiltración (en función de la concentración de fluoruros)</w:t>
            </w:r>
          </w:p>
          <w:p w14:paraId="167DA61C"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 xml:space="preserve">Coagulación-floculación-sedimentación-filtración </w:t>
            </w:r>
          </w:p>
        </w:tc>
      </w:tr>
      <w:tr w:rsidR="00A74CDF" w:rsidRPr="00F01347" w14:paraId="08D08470" w14:textId="77777777">
        <w:trPr>
          <w:trHeight w:val="144"/>
        </w:trPr>
        <w:tc>
          <w:tcPr>
            <w:tcW w:w="2977" w:type="dxa"/>
            <w:tcBorders>
              <w:top w:val="single" w:sz="6" w:space="0" w:color="auto"/>
              <w:left w:val="single" w:sz="6" w:space="0" w:color="auto"/>
              <w:bottom w:val="single" w:sz="6" w:space="0" w:color="auto"/>
              <w:right w:val="single" w:sz="6" w:space="0" w:color="auto"/>
            </w:tcBorders>
            <w:noWrap/>
          </w:tcPr>
          <w:p w14:paraId="37AD424A"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Nitrógeno amoniacal</w:t>
            </w:r>
          </w:p>
        </w:tc>
        <w:tc>
          <w:tcPr>
            <w:tcW w:w="5735" w:type="dxa"/>
            <w:tcBorders>
              <w:top w:val="single" w:sz="6" w:space="0" w:color="auto"/>
              <w:left w:val="single" w:sz="6" w:space="0" w:color="auto"/>
              <w:bottom w:val="single" w:sz="6" w:space="0" w:color="auto"/>
              <w:right w:val="single" w:sz="6" w:space="0" w:color="auto"/>
            </w:tcBorders>
          </w:tcPr>
          <w:p w14:paraId="0CD4E03C"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 xml:space="preserve">Intercambio </w:t>
            </w:r>
            <w:proofErr w:type="gramStart"/>
            <w:r w:rsidRPr="00F01347">
              <w:rPr>
                <w:rFonts w:ascii="Verdana" w:hAnsi="Verdana"/>
                <w:sz w:val="16"/>
                <w:szCs w:val="16"/>
              </w:rPr>
              <w:t>catiónico(</w:t>
            </w:r>
            <w:proofErr w:type="gramEnd"/>
            <w:r w:rsidRPr="00F01347">
              <w:rPr>
                <w:rFonts w:ascii="Verdana" w:hAnsi="Verdana"/>
                <w:sz w:val="16"/>
                <w:szCs w:val="16"/>
              </w:rPr>
              <w:t>resinas o zeolitas)</w:t>
            </w:r>
          </w:p>
          <w:p w14:paraId="5DAB1EFC"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 xml:space="preserve">Filtración biológica </w:t>
            </w:r>
          </w:p>
        </w:tc>
      </w:tr>
      <w:tr w:rsidR="00A74CDF" w:rsidRPr="00F01347" w14:paraId="0CC3F45A"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42757CD4"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Nitrógeno de nitratos (N-NO</w:t>
            </w:r>
            <w:r w:rsidRPr="00F01347">
              <w:rPr>
                <w:rFonts w:ascii="Verdana" w:hAnsi="Verdana"/>
                <w:sz w:val="16"/>
                <w:szCs w:val="16"/>
                <w:vertAlign w:val="subscript"/>
              </w:rPr>
              <w:t>3</w:t>
            </w:r>
            <w:r w:rsidRPr="00F01347">
              <w:rPr>
                <w:rFonts w:ascii="Verdana" w:hAnsi="Verdana"/>
                <w:sz w:val="16"/>
                <w:szCs w:val="16"/>
                <w:vertAlign w:val="superscript"/>
              </w:rPr>
              <w:t>-</w:t>
            </w:r>
            <w:r w:rsidRPr="00F01347">
              <w:rPr>
                <w:rFonts w:ascii="Verdana" w:hAnsi="Verdana"/>
                <w:sz w:val="16"/>
                <w:szCs w:val="16"/>
              </w:rPr>
              <w:t>)</w:t>
            </w:r>
          </w:p>
        </w:tc>
        <w:tc>
          <w:tcPr>
            <w:tcW w:w="5735" w:type="dxa"/>
            <w:tcBorders>
              <w:top w:val="single" w:sz="6" w:space="0" w:color="auto"/>
              <w:left w:val="single" w:sz="6" w:space="0" w:color="auto"/>
              <w:bottom w:val="single" w:sz="6" w:space="0" w:color="auto"/>
              <w:right w:val="single" w:sz="6" w:space="0" w:color="auto"/>
            </w:tcBorders>
          </w:tcPr>
          <w:p w14:paraId="30429713"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Intercambio aniónico</w:t>
            </w:r>
          </w:p>
          <w:p w14:paraId="05AA8760"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Ósmosis inversa</w:t>
            </w:r>
          </w:p>
          <w:p w14:paraId="7A182EAF"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Electrodiálisis</w:t>
            </w:r>
          </w:p>
        </w:tc>
      </w:tr>
      <w:tr w:rsidR="00A74CDF" w:rsidRPr="00F01347" w14:paraId="024055EA"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5481CF13"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Nitrógeno de nitritos (N-NO</w:t>
            </w:r>
            <w:r w:rsidRPr="00F01347">
              <w:rPr>
                <w:rFonts w:ascii="Verdana" w:hAnsi="Verdana"/>
                <w:sz w:val="16"/>
                <w:szCs w:val="16"/>
                <w:vertAlign w:val="subscript"/>
              </w:rPr>
              <w:t>2</w:t>
            </w:r>
            <w:r w:rsidRPr="00F01347">
              <w:rPr>
                <w:rFonts w:ascii="Verdana" w:hAnsi="Verdana"/>
                <w:sz w:val="16"/>
                <w:szCs w:val="16"/>
                <w:vertAlign w:val="superscript"/>
              </w:rPr>
              <w:t>-</w:t>
            </w:r>
            <w:r w:rsidRPr="00F01347">
              <w:rPr>
                <w:rFonts w:ascii="Verdana" w:hAnsi="Verdana"/>
                <w:sz w:val="16"/>
                <w:szCs w:val="16"/>
              </w:rPr>
              <w:t>)</w:t>
            </w:r>
          </w:p>
        </w:tc>
        <w:tc>
          <w:tcPr>
            <w:tcW w:w="5735" w:type="dxa"/>
            <w:tcBorders>
              <w:top w:val="single" w:sz="6" w:space="0" w:color="auto"/>
              <w:left w:val="single" w:sz="6" w:space="0" w:color="auto"/>
              <w:bottom w:val="single" w:sz="6" w:space="0" w:color="auto"/>
              <w:right w:val="single" w:sz="6" w:space="0" w:color="auto"/>
            </w:tcBorders>
          </w:tcPr>
          <w:p w14:paraId="12F1F674"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Intercambio aniónico</w:t>
            </w:r>
          </w:p>
          <w:p w14:paraId="67887EDB"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Ósmosis inversa</w:t>
            </w:r>
          </w:p>
          <w:p w14:paraId="7A7772AB"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Electrodiálisis</w:t>
            </w:r>
          </w:p>
          <w:p w14:paraId="53770587"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Oxidación química</w:t>
            </w:r>
          </w:p>
          <w:p w14:paraId="181BEC2E"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Cloración</w:t>
            </w:r>
          </w:p>
        </w:tc>
      </w:tr>
      <w:tr w:rsidR="00A74CDF" w:rsidRPr="00F01347" w14:paraId="47448E9D"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792CA422"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Sólidos disueltos totales</w:t>
            </w:r>
          </w:p>
        </w:tc>
        <w:tc>
          <w:tcPr>
            <w:tcW w:w="5735" w:type="dxa"/>
            <w:tcBorders>
              <w:top w:val="single" w:sz="6" w:space="0" w:color="auto"/>
              <w:left w:val="single" w:sz="6" w:space="0" w:color="auto"/>
              <w:bottom w:val="single" w:sz="6" w:space="0" w:color="auto"/>
              <w:right w:val="single" w:sz="6" w:space="0" w:color="auto"/>
            </w:tcBorders>
          </w:tcPr>
          <w:p w14:paraId="40A19A0D"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Electrodiálisis</w:t>
            </w:r>
          </w:p>
          <w:p w14:paraId="129FAC48"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Ósmosis inversa</w:t>
            </w:r>
          </w:p>
          <w:p w14:paraId="12A10B8B"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Nanofiltración</w:t>
            </w:r>
          </w:p>
        </w:tc>
      </w:tr>
      <w:tr w:rsidR="00A74CDF" w:rsidRPr="00F01347" w14:paraId="79E86E0E"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2C2002F0"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Sulfatos (SO</w:t>
            </w:r>
            <w:r w:rsidRPr="00F01347">
              <w:rPr>
                <w:rFonts w:ascii="Verdana" w:hAnsi="Verdana"/>
                <w:sz w:val="16"/>
                <w:szCs w:val="16"/>
                <w:vertAlign w:val="subscript"/>
              </w:rPr>
              <w:t>4</w:t>
            </w:r>
            <w:r w:rsidRPr="00F01347">
              <w:rPr>
                <w:rFonts w:ascii="Verdana" w:hAnsi="Verdana"/>
                <w:sz w:val="16"/>
                <w:szCs w:val="16"/>
                <w:vertAlign w:val="superscript"/>
              </w:rPr>
              <w:t>=</w:t>
            </w:r>
            <w:r w:rsidRPr="00F01347">
              <w:rPr>
                <w:rFonts w:ascii="Verdana" w:hAnsi="Verdana"/>
                <w:sz w:val="16"/>
                <w:szCs w:val="16"/>
              </w:rPr>
              <w:t>)</w:t>
            </w:r>
          </w:p>
        </w:tc>
        <w:tc>
          <w:tcPr>
            <w:tcW w:w="5735" w:type="dxa"/>
            <w:tcBorders>
              <w:top w:val="single" w:sz="6" w:space="0" w:color="auto"/>
              <w:left w:val="single" w:sz="6" w:space="0" w:color="auto"/>
              <w:bottom w:val="single" w:sz="6" w:space="0" w:color="auto"/>
              <w:right w:val="single" w:sz="6" w:space="0" w:color="auto"/>
            </w:tcBorders>
          </w:tcPr>
          <w:p w14:paraId="631D8C39"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Electrodiálisis</w:t>
            </w:r>
          </w:p>
          <w:p w14:paraId="7F995B24"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lastRenderedPageBreak/>
              <w:t>Ósmosis inversa</w:t>
            </w:r>
          </w:p>
          <w:p w14:paraId="394A7E9F"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Nanofiltración</w:t>
            </w:r>
          </w:p>
        </w:tc>
      </w:tr>
      <w:tr w:rsidR="00A74CDF" w:rsidRPr="00F01347" w14:paraId="5DE69E9A"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64D2F62F"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lastRenderedPageBreak/>
              <w:t>Sustancias activas al azul de metileno</w:t>
            </w:r>
          </w:p>
        </w:tc>
        <w:tc>
          <w:tcPr>
            <w:tcW w:w="5735" w:type="dxa"/>
            <w:tcBorders>
              <w:top w:val="single" w:sz="6" w:space="0" w:color="auto"/>
              <w:left w:val="single" w:sz="6" w:space="0" w:color="auto"/>
              <w:bottom w:val="single" w:sz="6" w:space="0" w:color="auto"/>
              <w:right w:val="single" w:sz="6" w:space="0" w:color="auto"/>
            </w:tcBorders>
          </w:tcPr>
          <w:p w14:paraId="0C3B66E2"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Adsorción en carbón activado</w:t>
            </w:r>
          </w:p>
        </w:tc>
      </w:tr>
      <w:tr w:rsidR="00A74CDF" w:rsidRPr="00F01347" w14:paraId="674E288B"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735F641E"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Aluminio</w:t>
            </w:r>
          </w:p>
        </w:tc>
        <w:tc>
          <w:tcPr>
            <w:tcW w:w="5735" w:type="dxa"/>
            <w:tcBorders>
              <w:top w:val="single" w:sz="6" w:space="0" w:color="auto"/>
              <w:left w:val="single" w:sz="6" w:space="0" w:color="auto"/>
              <w:bottom w:val="single" w:sz="6" w:space="0" w:color="auto"/>
              <w:right w:val="single" w:sz="6" w:space="0" w:color="auto"/>
            </w:tcBorders>
          </w:tcPr>
          <w:p w14:paraId="2D90BB80"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En el caso de ser efluente de plantas de potabilización de agua que usan coagulantes con base en aluminio debe optimizarse la operación de la planta para evitar concentraciones altas de este metal en el agua potabilizada.</w:t>
            </w:r>
          </w:p>
          <w:p w14:paraId="2475E6DB"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Intercambio catiónico</w:t>
            </w:r>
          </w:p>
          <w:p w14:paraId="5A2632BA"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Ósmosis inversa</w:t>
            </w:r>
          </w:p>
          <w:p w14:paraId="0674FB3E"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Electrodiálisis</w:t>
            </w:r>
          </w:p>
          <w:p w14:paraId="50D71BB1"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Filtración en arena (en caso de aluminio particulado)</w:t>
            </w:r>
          </w:p>
        </w:tc>
      </w:tr>
      <w:tr w:rsidR="00A74CDF" w:rsidRPr="00F01347" w14:paraId="0A460B57" w14:textId="77777777">
        <w:trPr>
          <w:trHeight w:val="144"/>
        </w:trPr>
        <w:tc>
          <w:tcPr>
            <w:tcW w:w="2977" w:type="dxa"/>
            <w:tcBorders>
              <w:top w:val="single" w:sz="6" w:space="0" w:color="auto"/>
              <w:left w:val="single" w:sz="6" w:space="0" w:color="auto"/>
              <w:bottom w:val="single" w:sz="6" w:space="0" w:color="auto"/>
              <w:right w:val="single" w:sz="6" w:space="0" w:color="auto"/>
            </w:tcBorders>
            <w:noWrap/>
            <w:vAlign w:val="center"/>
          </w:tcPr>
          <w:p w14:paraId="3C765522"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Arsénico</w:t>
            </w:r>
          </w:p>
        </w:tc>
        <w:tc>
          <w:tcPr>
            <w:tcW w:w="5735" w:type="dxa"/>
            <w:tcBorders>
              <w:top w:val="single" w:sz="6" w:space="0" w:color="auto"/>
              <w:left w:val="single" w:sz="6" w:space="0" w:color="auto"/>
              <w:bottom w:val="single" w:sz="6" w:space="0" w:color="auto"/>
              <w:right w:val="single" w:sz="6" w:space="0" w:color="auto"/>
            </w:tcBorders>
          </w:tcPr>
          <w:p w14:paraId="22ACBDC3"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Coagulación-floculación-sedimentación- filtración</w:t>
            </w:r>
          </w:p>
          <w:p w14:paraId="57F8B575"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Filtración directa con sales férricas</w:t>
            </w:r>
          </w:p>
          <w:p w14:paraId="7B563E9D"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 xml:space="preserve">Ablandamiento químico </w:t>
            </w:r>
            <w:r w:rsidRPr="00F01347">
              <w:rPr>
                <w:rFonts w:ascii="Verdana" w:hAnsi="Verdana"/>
                <w:sz w:val="16"/>
                <w:szCs w:val="16"/>
                <w:vertAlign w:val="superscript"/>
              </w:rPr>
              <w:t>(1)</w:t>
            </w:r>
          </w:p>
          <w:p w14:paraId="36AD0991"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Ósmosis inversa</w:t>
            </w:r>
          </w:p>
          <w:p w14:paraId="2754D552"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Intercambio iónico - e</w:t>
            </w:r>
            <w:r w:rsidRPr="00F01347">
              <w:rPr>
                <w:rFonts w:ascii="Verdana" w:hAnsi="Verdana"/>
                <w:color w:val="000000"/>
                <w:sz w:val="16"/>
                <w:szCs w:val="16"/>
              </w:rPr>
              <w:t>n caso de arsénico trivalente será necesaria una etapa de oxidación previa al tratamiento</w:t>
            </w:r>
          </w:p>
          <w:p w14:paraId="7C8875DD"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Electrodiálisis - e</w:t>
            </w:r>
            <w:r w:rsidRPr="00F01347">
              <w:rPr>
                <w:rFonts w:ascii="Verdana" w:hAnsi="Verdana"/>
                <w:color w:val="000000"/>
                <w:sz w:val="16"/>
                <w:szCs w:val="16"/>
              </w:rPr>
              <w:t>n caso de arsénico trivalente será necesaria una etapa de oxidación previa al tratamiento</w:t>
            </w:r>
          </w:p>
          <w:p w14:paraId="1A1E9FA4"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Adsorción en alúmina activada - e</w:t>
            </w:r>
            <w:r w:rsidRPr="00F01347">
              <w:rPr>
                <w:rFonts w:ascii="Verdana" w:hAnsi="Verdana"/>
                <w:color w:val="000000"/>
                <w:sz w:val="16"/>
                <w:szCs w:val="16"/>
              </w:rPr>
              <w:t>n caso de arsénico trivalente será necesaria una etapa de oxidación previa al tratamiento</w:t>
            </w:r>
          </w:p>
          <w:p w14:paraId="23DF0FE6"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Adsorción sobre óxidos de hierro granular o arenas cubiertas con óxido de hierro (remueve arsénico trivalente y pentavalente)</w:t>
            </w:r>
          </w:p>
          <w:p w14:paraId="3F71C2AC"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Nanofiltración</w:t>
            </w:r>
          </w:p>
        </w:tc>
      </w:tr>
      <w:tr w:rsidR="00A74CDF" w:rsidRPr="00F01347" w14:paraId="4AF7EB76"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3C2DCDB1"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Bario</w:t>
            </w:r>
          </w:p>
        </w:tc>
        <w:tc>
          <w:tcPr>
            <w:tcW w:w="5735" w:type="dxa"/>
            <w:tcBorders>
              <w:top w:val="single" w:sz="6" w:space="0" w:color="auto"/>
              <w:left w:val="single" w:sz="6" w:space="0" w:color="auto"/>
              <w:bottom w:val="single" w:sz="6" w:space="0" w:color="auto"/>
              <w:right w:val="single" w:sz="6" w:space="0" w:color="auto"/>
            </w:tcBorders>
          </w:tcPr>
          <w:p w14:paraId="4438C4E9"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Intercambio catiónico</w:t>
            </w:r>
          </w:p>
          <w:p w14:paraId="50E6EEAB"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Ablandamiento químico</w:t>
            </w:r>
          </w:p>
          <w:p w14:paraId="465EEFA9"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Electrodiálisis</w:t>
            </w:r>
          </w:p>
          <w:p w14:paraId="431D028E"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ósmosis inversa</w:t>
            </w:r>
          </w:p>
        </w:tc>
      </w:tr>
      <w:tr w:rsidR="00A74CDF" w:rsidRPr="00F01347" w14:paraId="67965DE4"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2410DA99"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Cadmio</w:t>
            </w:r>
          </w:p>
        </w:tc>
        <w:tc>
          <w:tcPr>
            <w:tcW w:w="5735" w:type="dxa"/>
            <w:tcBorders>
              <w:top w:val="single" w:sz="6" w:space="0" w:color="auto"/>
              <w:left w:val="single" w:sz="6" w:space="0" w:color="auto"/>
              <w:bottom w:val="single" w:sz="6" w:space="0" w:color="auto"/>
              <w:right w:val="single" w:sz="6" w:space="0" w:color="auto"/>
            </w:tcBorders>
          </w:tcPr>
          <w:p w14:paraId="359ED30F"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Coagulación-floculación-sedimentación -filtración</w:t>
            </w:r>
          </w:p>
          <w:p w14:paraId="2913B81F"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Ablandamiento químico</w:t>
            </w:r>
          </w:p>
          <w:p w14:paraId="748B56A6"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Ósmosis inversa</w:t>
            </w:r>
          </w:p>
          <w:p w14:paraId="208812E5"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Intercambio catiónico</w:t>
            </w:r>
          </w:p>
          <w:p w14:paraId="1F49A6F2"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Electrodiálisis</w:t>
            </w:r>
          </w:p>
        </w:tc>
      </w:tr>
      <w:tr w:rsidR="00A74CDF" w:rsidRPr="00F01347" w14:paraId="56568185"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0E9CD4B7"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Cobre</w:t>
            </w:r>
          </w:p>
        </w:tc>
        <w:tc>
          <w:tcPr>
            <w:tcW w:w="5735" w:type="dxa"/>
            <w:tcBorders>
              <w:top w:val="single" w:sz="6" w:space="0" w:color="auto"/>
              <w:left w:val="single" w:sz="6" w:space="0" w:color="auto"/>
              <w:bottom w:val="single" w:sz="6" w:space="0" w:color="auto"/>
              <w:right w:val="single" w:sz="6" w:space="0" w:color="auto"/>
            </w:tcBorders>
          </w:tcPr>
          <w:p w14:paraId="31991EA3"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Coagulación-floculación-sedimentación-filtración</w:t>
            </w:r>
          </w:p>
          <w:p w14:paraId="5A3928DB"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 xml:space="preserve">Ablandamiento químico </w:t>
            </w:r>
            <w:r w:rsidRPr="00F01347">
              <w:rPr>
                <w:rFonts w:ascii="Verdana" w:hAnsi="Verdana"/>
                <w:sz w:val="16"/>
                <w:szCs w:val="16"/>
                <w:vertAlign w:val="superscript"/>
              </w:rPr>
              <w:t>(</w:t>
            </w:r>
            <w:proofErr w:type="gramStart"/>
            <w:r w:rsidRPr="00F01347">
              <w:rPr>
                <w:rFonts w:ascii="Verdana" w:hAnsi="Verdana"/>
                <w:sz w:val="16"/>
                <w:szCs w:val="16"/>
                <w:vertAlign w:val="superscript"/>
              </w:rPr>
              <w:t>1)</w:t>
            </w:r>
            <w:r w:rsidRPr="00F01347">
              <w:rPr>
                <w:rFonts w:ascii="Verdana" w:hAnsi="Verdana"/>
                <w:sz w:val="16"/>
                <w:szCs w:val="16"/>
              </w:rPr>
              <w:t>Intercambio</w:t>
            </w:r>
            <w:proofErr w:type="gramEnd"/>
            <w:r w:rsidRPr="00F01347">
              <w:rPr>
                <w:rFonts w:ascii="Verdana" w:hAnsi="Verdana"/>
                <w:sz w:val="16"/>
                <w:szCs w:val="16"/>
              </w:rPr>
              <w:t xml:space="preserve"> catiónico</w:t>
            </w:r>
          </w:p>
          <w:p w14:paraId="5DE14B00"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Ósmosis inversa</w:t>
            </w:r>
          </w:p>
          <w:p w14:paraId="270718FE"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Electrodiálisis</w:t>
            </w:r>
          </w:p>
        </w:tc>
      </w:tr>
      <w:tr w:rsidR="00A74CDF" w:rsidRPr="00F01347" w14:paraId="4C8F7659"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4FB39C77"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Cromo total</w:t>
            </w:r>
          </w:p>
        </w:tc>
        <w:tc>
          <w:tcPr>
            <w:tcW w:w="5735" w:type="dxa"/>
            <w:tcBorders>
              <w:top w:val="single" w:sz="6" w:space="0" w:color="auto"/>
              <w:left w:val="single" w:sz="6" w:space="0" w:color="auto"/>
              <w:bottom w:val="single" w:sz="6" w:space="0" w:color="auto"/>
              <w:right w:val="single" w:sz="6" w:space="0" w:color="auto"/>
            </w:tcBorders>
          </w:tcPr>
          <w:p w14:paraId="38865035"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Nanofiltración</w:t>
            </w:r>
          </w:p>
          <w:p w14:paraId="13BFC5F7"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 xml:space="preserve">Coagulación-floculación-sedimentación –filtración (Cr </w:t>
            </w:r>
            <w:r w:rsidRPr="00F01347">
              <w:rPr>
                <w:rFonts w:ascii="Verdana" w:hAnsi="Verdana"/>
                <w:sz w:val="16"/>
                <w:szCs w:val="16"/>
                <w:vertAlign w:val="superscript"/>
              </w:rPr>
              <w:t>+3</w:t>
            </w:r>
            <w:r w:rsidRPr="00F01347">
              <w:rPr>
                <w:rFonts w:ascii="Verdana" w:hAnsi="Verdana"/>
                <w:sz w:val="16"/>
                <w:szCs w:val="16"/>
              </w:rPr>
              <w:t xml:space="preserve">). Para Cr </w:t>
            </w:r>
            <w:r w:rsidRPr="00F01347">
              <w:rPr>
                <w:rFonts w:ascii="Verdana" w:hAnsi="Verdana"/>
                <w:sz w:val="16"/>
                <w:szCs w:val="16"/>
                <w:vertAlign w:val="superscript"/>
              </w:rPr>
              <w:t>+6</w:t>
            </w:r>
            <w:r w:rsidRPr="00F01347">
              <w:rPr>
                <w:rFonts w:ascii="Verdana" w:hAnsi="Verdana"/>
                <w:sz w:val="16"/>
                <w:szCs w:val="16"/>
              </w:rPr>
              <w:t xml:space="preserve"> aplicar coagulante previa reducción del cromo</w:t>
            </w:r>
          </w:p>
          <w:p w14:paraId="3F1A5DDC"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 xml:space="preserve">Ablandamiento químico (Cr </w:t>
            </w:r>
            <w:r w:rsidRPr="00F01347">
              <w:rPr>
                <w:rFonts w:ascii="Verdana" w:hAnsi="Verdana"/>
                <w:sz w:val="16"/>
                <w:szCs w:val="16"/>
                <w:vertAlign w:val="superscript"/>
              </w:rPr>
              <w:t>+3</w:t>
            </w:r>
            <w:r w:rsidRPr="00F01347">
              <w:rPr>
                <w:rFonts w:ascii="Verdana" w:hAnsi="Verdana"/>
                <w:sz w:val="16"/>
                <w:szCs w:val="16"/>
              </w:rPr>
              <w:t>)</w:t>
            </w:r>
          </w:p>
          <w:p w14:paraId="718FA58C"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Ósmosis inversa</w:t>
            </w:r>
          </w:p>
          <w:p w14:paraId="2ECEE9E4"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 xml:space="preserve">Intercambio aniónico para Cr </w:t>
            </w:r>
            <w:r w:rsidRPr="00F01347">
              <w:rPr>
                <w:rFonts w:ascii="Verdana" w:hAnsi="Verdana"/>
                <w:sz w:val="16"/>
                <w:szCs w:val="16"/>
                <w:vertAlign w:val="superscript"/>
              </w:rPr>
              <w:t>+6</w:t>
            </w:r>
          </w:p>
          <w:p w14:paraId="52EF9762"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Electrodiálisis</w:t>
            </w:r>
          </w:p>
        </w:tc>
      </w:tr>
      <w:tr w:rsidR="00A74CDF" w:rsidRPr="00F01347" w14:paraId="46D4BA4C"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36BC15D1"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lastRenderedPageBreak/>
              <w:t>Hierro</w:t>
            </w:r>
          </w:p>
        </w:tc>
        <w:tc>
          <w:tcPr>
            <w:tcW w:w="5735" w:type="dxa"/>
            <w:tcBorders>
              <w:top w:val="single" w:sz="6" w:space="0" w:color="auto"/>
              <w:left w:val="single" w:sz="6" w:space="0" w:color="auto"/>
              <w:bottom w:val="single" w:sz="6" w:space="0" w:color="auto"/>
              <w:right w:val="single" w:sz="6" w:space="0" w:color="auto"/>
            </w:tcBorders>
          </w:tcPr>
          <w:p w14:paraId="689DB276"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Coagulación-floculación-sedimentación –filtración – para remover hierro divalente será necesaria una etapa de oxidación previa al tratamiento</w:t>
            </w:r>
          </w:p>
          <w:p w14:paraId="04D45A46"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Filtración en medios granulares – para remover hierro divalente será necesaria una etapa de oxidación previa al tratamiento</w:t>
            </w:r>
          </w:p>
          <w:p w14:paraId="6197D724"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 xml:space="preserve">Ablandamiento químico </w:t>
            </w:r>
            <w:r w:rsidRPr="00F01347">
              <w:rPr>
                <w:rFonts w:ascii="Verdana" w:hAnsi="Verdana"/>
                <w:sz w:val="16"/>
                <w:szCs w:val="16"/>
                <w:vertAlign w:val="superscript"/>
              </w:rPr>
              <w:t>(1)</w:t>
            </w:r>
          </w:p>
          <w:p w14:paraId="19256443"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 xml:space="preserve">Microfiltración (Fe </w:t>
            </w:r>
            <w:r w:rsidRPr="00F01347">
              <w:rPr>
                <w:rFonts w:ascii="Verdana" w:hAnsi="Verdana"/>
                <w:sz w:val="16"/>
                <w:szCs w:val="16"/>
                <w:vertAlign w:val="superscript"/>
              </w:rPr>
              <w:t>+3</w:t>
            </w:r>
            <w:r w:rsidRPr="00F01347">
              <w:rPr>
                <w:rFonts w:ascii="Verdana" w:hAnsi="Verdana"/>
                <w:sz w:val="16"/>
                <w:szCs w:val="16"/>
              </w:rPr>
              <w:t>)</w:t>
            </w:r>
          </w:p>
          <w:p w14:paraId="4A840C32"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 xml:space="preserve">Ultrafiltración (Fe </w:t>
            </w:r>
            <w:r w:rsidRPr="00F01347">
              <w:rPr>
                <w:rFonts w:ascii="Verdana" w:hAnsi="Verdana"/>
                <w:sz w:val="16"/>
                <w:szCs w:val="16"/>
                <w:vertAlign w:val="superscript"/>
              </w:rPr>
              <w:t>+3</w:t>
            </w:r>
            <w:r w:rsidRPr="00F01347">
              <w:rPr>
                <w:rFonts w:ascii="Verdana" w:hAnsi="Verdana"/>
                <w:sz w:val="16"/>
                <w:szCs w:val="16"/>
              </w:rPr>
              <w:t>)</w:t>
            </w:r>
          </w:p>
        </w:tc>
      </w:tr>
      <w:tr w:rsidR="00A74CDF" w:rsidRPr="00F01347" w14:paraId="4DCE5582"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69FBD12B"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Manganeso</w:t>
            </w:r>
          </w:p>
        </w:tc>
        <w:tc>
          <w:tcPr>
            <w:tcW w:w="5735" w:type="dxa"/>
            <w:tcBorders>
              <w:top w:val="single" w:sz="6" w:space="0" w:color="auto"/>
              <w:left w:val="single" w:sz="6" w:space="0" w:color="auto"/>
              <w:bottom w:val="single" w:sz="6" w:space="0" w:color="auto"/>
              <w:right w:val="single" w:sz="6" w:space="0" w:color="auto"/>
            </w:tcBorders>
          </w:tcPr>
          <w:p w14:paraId="7C945D79"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Adsorción-oxidación sobre medios granulares recubiertos con óxido de manganeso</w:t>
            </w:r>
          </w:p>
          <w:p w14:paraId="62D2D8A6"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 xml:space="preserve">Ablandamiento químico </w:t>
            </w:r>
            <w:r w:rsidRPr="00F01347">
              <w:rPr>
                <w:rFonts w:ascii="Verdana" w:hAnsi="Verdana"/>
                <w:sz w:val="16"/>
                <w:szCs w:val="16"/>
                <w:vertAlign w:val="superscript"/>
              </w:rPr>
              <w:t>(1)</w:t>
            </w:r>
          </w:p>
        </w:tc>
      </w:tr>
      <w:tr w:rsidR="00A74CDF" w:rsidRPr="00F01347" w14:paraId="7492792C"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7FB34A11"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Mercurio</w:t>
            </w:r>
          </w:p>
        </w:tc>
        <w:tc>
          <w:tcPr>
            <w:tcW w:w="5735" w:type="dxa"/>
            <w:tcBorders>
              <w:top w:val="single" w:sz="6" w:space="0" w:color="auto"/>
              <w:left w:val="single" w:sz="6" w:space="0" w:color="auto"/>
              <w:bottom w:val="single" w:sz="6" w:space="0" w:color="auto"/>
              <w:right w:val="single" w:sz="6" w:space="0" w:color="auto"/>
            </w:tcBorders>
          </w:tcPr>
          <w:p w14:paraId="1C2D7952"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Mercurio inorgánico</w:t>
            </w:r>
          </w:p>
          <w:p w14:paraId="1793FE1B"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Ósmosis inversa</w:t>
            </w:r>
          </w:p>
          <w:p w14:paraId="238817F2"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Electrodiálisis</w:t>
            </w:r>
          </w:p>
          <w:p w14:paraId="370B52FD"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Intercambio catiónico</w:t>
            </w:r>
          </w:p>
          <w:p w14:paraId="487B96F7"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Coagulación-floculación-sedimentación -filtración</w:t>
            </w:r>
          </w:p>
          <w:p w14:paraId="485B6084"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 xml:space="preserve">Ablandamiento químico </w:t>
            </w:r>
            <w:r w:rsidRPr="00F01347">
              <w:rPr>
                <w:rFonts w:ascii="Verdana" w:hAnsi="Verdana"/>
                <w:sz w:val="16"/>
                <w:szCs w:val="16"/>
                <w:vertAlign w:val="superscript"/>
              </w:rPr>
              <w:t>(1)</w:t>
            </w:r>
          </w:p>
        </w:tc>
      </w:tr>
      <w:tr w:rsidR="00A74CDF" w:rsidRPr="00F01347" w14:paraId="18DE0CCF" w14:textId="77777777">
        <w:trPr>
          <w:trHeight w:val="144"/>
        </w:trPr>
        <w:tc>
          <w:tcPr>
            <w:tcW w:w="2977" w:type="dxa"/>
            <w:tcBorders>
              <w:top w:val="single" w:sz="6" w:space="0" w:color="auto"/>
              <w:left w:val="single" w:sz="6" w:space="0" w:color="auto"/>
              <w:bottom w:val="single" w:sz="6" w:space="0" w:color="auto"/>
              <w:right w:val="single" w:sz="6" w:space="0" w:color="auto"/>
            </w:tcBorders>
            <w:noWrap/>
            <w:vAlign w:val="center"/>
          </w:tcPr>
          <w:p w14:paraId="323F894B"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Níquel</w:t>
            </w:r>
          </w:p>
        </w:tc>
        <w:tc>
          <w:tcPr>
            <w:tcW w:w="5735" w:type="dxa"/>
            <w:tcBorders>
              <w:top w:val="single" w:sz="6" w:space="0" w:color="auto"/>
              <w:left w:val="single" w:sz="6" w:space="0" w:color="auto"/>
              <w:bottom w:val="single" w:sz="6" w:space="0" w:color="auto"/>
              <w:right w:val="single" w:sz="6" w:space="0" w:color="auto"/>
            </w:tcBorders>
          </w:tcPr>
          <w:p w14:paraId="4A82C2E9"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Ósmosis inversa</w:t>
            </w:r>
          </w:p>
          <w:p w14:paraId="157C351F"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Intercambio catiónico</w:t>
            </w:r>
          </w:p>
          <w:p w14:paraId="590E9CE2"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Electrodiálisis</w:t>
            </w:r>
          </w:p>
          <w:p w14:paraId="20A573E7"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 xml:space="preserve">Ablandamiento químico </w:t>
            </w:r>
            <w:r w:rsidRPr="00F01347">
              <w:rPr>
                <w:rFonts w:ascii="Verdana" w:hAnsi="Verdana"/>
                <w:sz w:val="16"/>
                <w:szCs w:val="16"/>
                <w:vertAlign w:val="superscript"/>
              </w:rPr>
              <w:t>(1)</w:t>
            </w:r>
          </w:p>
          <w:p w14:paraId="065C2AAE"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Coagulación-floculación-sedimentación-filtración</w:t>
            </w:r>
          </w:p>
        </w:tc>
      </w:tr>
      <w:tr w:rsidR="00A74CDF" w:rsidRPr="00F01347" w14:paraId="357629EE"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199E3280"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Plomo</w:t>
            </w:r>
          </w:p>
        </w:tc>
        <w:tc>
          <w:tcPr>
            <w:tcW w:w="5735" w:type="dxa"/>
            <w:tcBorders>
              <w:top w:val="single" w:sz="6" w:space="0" w:color="auto"/>
              <w:left w:val="single" w:sz="6" w:space="0" w:color="auto"/>
              <w:bottom w:val="single" w:sz="6" w:space="0" w:color="auto"/>
              <w:right w:val="single" w:sz="6" w:space="0" w:color="auto"/>
            </w:tcBorders>
          </w:tcPr>
          <w:p w14:paraId="65040F0C"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Coagulación-floculación-sedimentación -filtración</w:t>
            </w:r>
          </w:p>
          <w:p w14:paraId="67C22230"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Ósmosis inversa</w:t>
            </w:r>
          </w:p>
          <w:p w14:paraId="1DA67BAF"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 xml:space="preserve">Ablandamiento químico </w:t>
            </w:r>
            <w:r w:rsidRPr="00F01347">
              <w:rPr>
                <w:rFonts w:ascii="Verdana" w:hAnsi="Verdana"/>
                <w:sz w:val="16"/>
                <w:szCs w:val="16"/>
                <w:vertAlign w:val="superscript"/>
              </w:rPr>
              <w:t>(</w:t>
            </w:r>
            <w:proofErr w:type="gramStart"/>
            <w:r w:rsidRPr="00F01347">
              <w:rPr>
                <w:rFonts w:ascii="Verdana" w:hAnsi="Verdana"/>
                <w:sz w:val="16"/>
                <w:szCs w:val="16"/>
                <w:vertAlign w:val="superscript"/>
              </w:rPr>
              <w:t>1)</w:t>
            </w:r>
            <w:r w:rsidRPr="00F01347">
              <w:rPr>
                <w:rFonts w:ascii="Verdana" w:hAnsi="Verdana"/>
                <w:sz w:val="16"/>
                <w:szCs w:val="16"/>
              </w:rPr>
              <w:t>Electrodiálisis</w:t>
            </w:r>
            <w:proofErr w:type="gramEnd"/>
          </w:p>
          <w:p w14:paraId="16E39FCD"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Intercambio catiónico</w:t>
            </w:r>
          </w:p>
        </w:tc>
      </w:tr>
      <w:tr w:rsidR="00A74CDF" w:rsidRPr="00F01347" w14:paraId="36E51FC1"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11335A9E"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Selenio</w:t>
            </w:r>
          </w:p>
        </w:tc>
        <w:tc>
          <w:tcPr>
            <w:tcW w:w="5735" w:type="dxa"/>
            <w:tcBorders>
              <w:top w:val="single" w:sz="6" w:space="0" w:color="auto"/>
              <w:left w:val="single" w:sz="6" w:space="0" w:color="auto"/>
              <w:bottom w:val="single" w:sz="6" w:space="0" w:color="auto"/>
              <w:right w:val="single" w:sz="6" w:space="0" w:color="auto"/>
            </w:tcBorders>
          </w:tcPr>
          <w:p w14:paraId="7A2819FD"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Para selenio tetravalente y hexavalente</w:t>
            </w:r>
          </w:p>
          <w:p w14:paraId="6F7A00C2"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Ósmosis inversa</w:t>
            </w:r>
          </w:p>
          <w:p w14:paraId="367C0A70"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Intercambio aniónico</w:t>
            </w:r>
          </w:p>
          <w:p w14:paraId="4FA93D2F"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Electrodiálisis</w:t>
            </w:r>
          </w:p>
          <w:p w14:paraId="2A9D0D64"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Adsorción en alúmina activada</w:t>
            </w:r>
          </w:p>
          <w:p w14:paraId="66177C95"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Sólo para selenio tetravalente</w:t>
            </w:r>
          </w:p>
          <w:p w14:paraId="2E13565E"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Coagulación-floculación-sedimentación -filtración</w:t>
            </w:r>
          </w:p>
        </w:tc>
      </w:tr>
      <w:tr w:rsidR="00A74CDF" w:rsidRPr="00F01347" w14:paraId="7C663F70"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0EFFED28"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Bacterias</w:t>
            </w:r>
          </w:p>
          <w:p w14:paraId="0B39DA4C"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w:t>
            </w:r>
            <w:proofErr w:type="spellStart"/>
            <w:proofErr w:type="gramStart"/>
            <w:r w:rsidRPr="00F01347">
              <w:rPr>
                <w:rFonts w:ascii="Verdana" w:hAnsi="Verdana"/>
                <w:i/>
                <w:sz w:val="16"/>
                <w:szCs w:val="16"/>
              </w:rPr>
              <w:t>E.coli</w:t>
            </w:r>
            <w:proofErr w:type="spellEnd"/>
            <w:proofErr w:type="gramEnd"/>
            <w:r w:rsidRPr="00F01347">
              <w:rPr>
                <w:rFonts w:ascii="Verdana" w:hAnsi="Verdana"/>
                <w:sz w:val="16"/>
                <w:szCs w:val="16"/>
              </w:rPr>
              <w:t xml:space="preserve">, coliformes fecales y organismos </w:t>
            </w:r>
            <w:proofErr w:type="spellStart"/>
            <w:r w:rsidRPr="00F01347">
              <w:rPr>
                <w:rFonts w:ascii="Verdana" w:hAnsi="Verdana"/>
                <w:sz w:val="16"/>
                <w:szCs w:val="16"/>
              </w:rPr>
              <w:t>termotolerantes</w:t>
            </w:r>
            <w:proofErr w:type="spellEnd"/>
            <w:r w:rsidRPr="00F01347">
              <w:rPr>
                <w:rFonts w:ascii="Verdana" w:hAnsi="Verdana"/>
                <w:sz w:val="16"/>
                <w:szCs w:val="16"/>
              </w:rPr>
              <w:t>)</w:t>
            </w:r>
          </w:p>
        </w:tc>
        <w:tc>
          <w:tcPr>
            <w:tcW w:w="5735" w:type="dxa"/>
            <w:tcBorders>
              <w:top w:val="single" w:sz="6" w:space="0" w:color="auto"/>
              <w:left w:val="single" w:sz="6" w:space="0" w:color="auto"/>
              <w:bottom w:val="single" w:sz="6" w:space="0" w:color="auto"/>
              <w:right w:val="single" w:sz="6" w:space="0" w:color="auto"/>
            </w:tcBorders>
          </w:tcPr>
          <w:p w14:paraId="45784304"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Coagulación-floculación-sedimentación-filtración-desinfecciónOxidación química</w:t>
            </w:r>
          </w:p>
          <w:p w14:paraId="31AFCD24"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Filtración lenta en arena</w:t>
            </w:r>
          </w:p>
          <w:p w14:paraId="405DAC01"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Ultrafiltración</w:t>
            </w:r>
          </w:p>
          <w:p w14:paraId="649C789B"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Desinfección con luz ultravioleta (sin turbiedad)</w:t>
            </w:r>
          </w:p>
          <w:p w14:paraId="61CBAEC5" w14:textId="77777777" w:rsidR="00A74CDF" w:rsidRPr="00F01347" w:rsidRDefault="00A74CDF" w:rsidP="003A601B">
            <w:pPr>
              <w:pStyle w:val="texto0"/>
              <w:spacing w:before="40" w:after="40" w:line="266"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5DFC9AF3"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Cloración</w:t>
            </w:r>
          </w:p>
          <w:p w14:paraId="3ED13EE2"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Adición de compuestos de cloro, yodo o plata iónica o coloidal</w:t>
            </w:r>
          </w:p>
        </w:tc>
      </w:tr>
      <w:tr w:rsidR="00A74CDF" w:rsidRPr="00F01347" w14:paraId="219797D1"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799C95A2" w14:textId="77777777" w:rsidR="00A74CDF" w:rsidRPr="00F01347" w:rsidRDefault="00A74CDF" w:rsidP="003A601B">
            <w:pPr>
              <w:pStyle w:val="texto0"/>
              <w:spacing w:before="40" w:after="40" w:line="266" w:lineRule="exact"/>
              <w:ind w:firstLine="0"/>
              <w:rPr>
                <w:rFonts w:ascii="Verdana" w:hAnsi="Verdana"/>
                <w:sz w:val="16"/>
                <w:szCs w:val="16"/>
              </w:rPr>
            </w:pPr>
            <w:proofErr w:type="spellStart"/>
            <w:r w:rsidRPr="00F01347">
              <w:rPr>
                <w:rFonts w:ascii="Verdana" w:hAnsi="Verdana"/>
                <w:i/>
                <w:sz w:val="16"/>
                <w:szCs w:val="16"/>
              </w:rPr>
              <w:lastRenderedPageBreak/>
              <w:t>Giardia</w:t>
            </w:r>
            <w:proofErr w:type="spellEnd"/>
            <w:r w:rsidRPr="00F01347">
              <w:rPr>
                <w:rFonts w:ascii="Verdana" w:hAnsi="Verdana"/>
                <w:i/>
                <w:sz w:val="16"/>
                <w:szCs w:val="16"/>
              </w:rPr>
              <w:t xml:space="preserve"> </w:t>
            </w:r>
            <w:proofErr w:type="spellStart"/>
            <w:r w:rsidRPr="00F01347">
              <w:rPr>
                <w:rFonts w:ascii="Verdana" w:hAnsi="Verdana"/>
                <w:i/>
                <w:sz w:val="16"/>
                <w:szCs w:val="16"/>
              </w:rPr>
              <w:t>lamblia</w:t>
            </w:r>
            <w:proofErr w:type="spellEnd"/>
            <w:r w:rsidRPr="00F01347">
              <w:rPr>
                <w:rFonts w:ascii="Verdana" w:hAnsi="Verdana"/>
                <w:sz w:val="16"/>
                <w:szCs w:val="16"/>
              </w:rPr>
              <w:t xml:space="preserve"> (Quistes)</w:t>
            </w:r>
          </w:p>
        </w:tc>
        <w:tc>
          <w:tcPr>
            <w:tcW w:w="5735" w:type="dxa"/>
            <w:tcBorders>
              <w:top w:val="single" w:sz="6" w:space="0" w:color="auto"/>
              <w:left w:val="single" w:sz="6" w:space="0" w:color="auto"/>
              <w:bottom w:val="single" w:sz="6" w:space="0" w:color="auto"/>
              <w:right w:val="single" w:sz="6" w:space="0" w:color="auto"/>
            </w:tcBorders>
          </w:tcPr>
          <w:p w14:paraId="07256210"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Coagulación-floculación-sedimentación-filtración-desinfección</w:t>
            </w:r>
          </w:p>
          <w:p w14:paraId="402FBD2E"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Microfiltración</w:t>
            </w:r>
          </w:p>
          <w:p w14:paraId="02795E7D"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Ultrafiltración</w:t>
            </w:r>
          </w:p>
          <w:p w14:paraId="052A8D8C"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Filtración lenta en arena</w:t>
            </w:r>
          </w:p>
          <w:p w14:paraId="4C84E6D0" w14:textId="77777777" w:rsidR="00A74CDF" w:rsidRPr="00F01347" w:rsidRDefault="00A74CDF" w:rsidP="003A601B">
            <w:pPr>
              <w:pStyle w:val="texto0"/>
              <w:spacing w:before="40" w:after="40" w:line="266" w:lineRule="exact"/>
              <w:ind w:firstLine="0"/>
              <w:rPr>
                <w:rFonts w:ascii="Verdana" w:hAnsi="Verdana"/>
                <w:sz w:val="16"/>
                <w:szCs w:val="16"/>
              </w:rPr>
            </w:pPr>
            <w:proofErr w:type="spellStart"/>
            <w:r w:rsidRPr="00F01347">
              <w:rPr>
                <w:rFonts w:ascii="Verdana" w:hAnsi="Verdana"/>
                <w:sz w:val="16"/>
                <w:szCs w:val="16"/>
              </w:rPr>
              <w:t>Ozonación</w:t>
            </w:r>
            <w:proofErr w:type="spellEnd"/>
          </w:p>
        </w:tc>
      </w:tr>
      <w:tr w:rsidR="00A74CDF" w:rsidRPr="00F01347" w14:paraId="04031ED8" w14:textId="77777777">
        <w:trPr>
          <w:trHeight w:val="20"/>
        </w:trPr>
        <w:tc>
          <w:tcPr>
            <w:tcW w:w="2977" w:type="dxa"/>
            <w:tcBorders>
              <w:top w:val="single" w:sz="6" w:space="0" w:color="auto"/>
              <w:left w:val="single" w:sz="6" w:space="0" w:color="auto"/>
              <w:bottom w:val="single" w:sz="6" w:space="0" w:color="auto"/>
              <w:right w:val="single" w:sz="6" w:space="0" w:color="auto"/>
            </w:tcBorders>
            <w:noWrap/>
            <w:vAlign w:val="center"/>
          </w:tcPr>
          <w:p w14:paraId="4FA7E472" w14:textId="77777777" w:rsidR="00A74CDF" w:rsidRPr="00F01347" w:rsidRDefault="00A74CDF" w:rsidP="003A601B">
            <w:pPr>
              <w:pStyle w:val="texto0"/>
              <w:spacing w:before="40" w:after="40" w:line="266" w:lineRule="exact"/>
              <w:ind w:firstLine="0"/>
              <w:rPr>
                <w:rFonts w:ascii="Verdana" w:hAnsi="Verdana"/>
                <w:sz w:val="16"/>
                <w:szCs w:val="16"/>
              </w:rPr>
            </w:pPr>
            <w:proofErr w:type="spellStart"/>
            <w:r w:rsidRPr="00F01347">
              <w:rPr>
                <w:rFonts w:ascii="Verdana" w:hAnsi="Verdana"/>
                <w:sz w:val="16"/>
                <w:szCs w:val="16"/>
              </w:rPr>
              <w:t>Microcistina</w:t>
            </w:r>
            <w:proofErr w:type="spellEnd"/>
            <w:r w:rsidRPr="00F01347">
              <w:rPr>
                <w:rFonts w:ascii="Verdana" w:hAnsi="Verdana"/>
                <w:sz w:val="16"/>
                <w:szCs w:val="16"/>
              </w:rPr>
              <w:t>-LR</w:t>
            </w:r>
          </w:p>
        </w:tc>
        <w:tc>
          <w:tcPr>
            <w:tcW w:w="5735" w:type="dxa"/>
            <w:tcBorders>
              <w:top w:val="single" w:sz="6" w:space="0" w:color="auto"/>
              <w:left w:val="single" w:sz="6" w:space="0" w:color="auto"/>
              <w:bottom w:val="single" w:sz="6" w:space="0" w:color="auto"/>
              <w:right w:val="single" w:sz="6" w:space="0" w:color="auto"/>
            </w:tcBorders>
          </w:tcPr>
          <w:p w14:paraId="76F3DA1A" w14:textId="77777777" w:rsidR="00A74CDF" w:rsidRPr="00F01347" w:rsidRDefault="00A74CDF" w:rsidP="003A601B">
            <w:pPr>
              <w:pStyle w:val="texto0"/>
              <w:spacing w:before="40" w:after="40" w:line="266" w:lineRule="exact"/>
              <w:ind w:firstLine="0"/>
              <w:rPr>
                <w:rFonts w:ascii="Verdana" w:hAnsi="Verdana"/>
                <w:sz w:val="16"/>
                <w:szCs w:val="16"/>
              </w:rPr>
            </w:pPr>
            <w:r w:rsidRPr="00F01347">
              <w:rPr>
                <w:rFonts w:ascii="Verdana" w:hAnsi="Verdana"/>
                <w:sz w:val="16"/>
                <w:szCs w:val="16"/>
              </w:rPr>
              <w:t xml:space="preserve">La filtración es una opción para la remoción de cianobacterias intactas. Si las </w:t>
            </w:r>
            <w:proofErr w:type="spellStart"/>
            <w:r w:rsidRPr="00F01347">
              <w:rPr>
                <w:rFonts w:ascii="Verdana" w:hAnsi="Verdana"/>
                <w:sz w:val="16"/>
                <w:szCs w:val="16"/>
              </w:rPr>
              <w:t>microcistinas</w:t>
            </w:r>
            <w:proofErr w:type="spellEnd"/>
            <w:r w:rsidRPr="00F01347">
              <w:rPr>
                <w:rFonts w:ascii="Verdana" w:hAnsi="Verdana"/>
                <w:sz w:val="16"/>
                <w:szCs w:val="16"/>
              </w:rPr>
              <w:t xml:space="preserve"> u otras cianotoxinas se encuentran libres en el agua, se ha recomendado la oxidación con ozono o cloro, en concentraciones y tiempos de contacto adecuados, así como adsorción sobre carbón activado granular o carbón activado en polvo.</w:t>
            </w:r>
          </w:p>
        </w:tc>
      </w:tr>
      <w:tr w:rsidR="00A74CDF" w:rsidRPr="00F01347" w14:paraId="3F64C713"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06C300A4" w14:textId="77777777" w:rsidR="00A74CDF" w:rsidRPr="00F01347" w:rsidRDefault="00A74CDF" w:rsidP="003A601B">
            <w:pPr>
              <w:pStyle w:val="texto0"/>
              <w:spacing w:before="40" w:after="40" w:line="300" w:lineRule="exact"/>
              <w:ind w:firstLine="0"/>
              <w:rPr>
                <w:rFonts w:ascii="Verdana" w:hAnsi="Verdana"/>
                <w:sz w:val="16"/>
                <w:szCs w:val="16"/>
              </w:rPr>
            </w:pPr>
            <w:proofErr w:type="spellStart"/>
            <w:r w:rsidRPr="00F01347">
              <w:rPr>
                <w:rFonts w:ascii="Verdana" w:hAnsi="Verdana"/>
                <w:sz w:val="16"/>
                <w:szCs w:val="16"/>
              </w:rPr>
              <w:t>Bromodiclorometano</w:t>
            </w:r>
            <w:proofErr w:type="spellEnd"/>
          </w:p>
        </w:tc>
        <w:tc>
          <w:tcPr>
            <w:tcW w:w="5735" w:type="dxa"/>
            <w:vMerge w:val="restart"/>
            <w:tcBorders>
              <w:top w:val="single" w:sz="6" w:space="0" w:color="auto"/>
              <w:left w:val="single" w:sz="6" w:space="0" w:color="auto"/>
              <w:right w:val="single" w:sz="6" w:space="0" w:color="auto"/>
            </w:tcBorders>
          </w:tcPr>
          <w:p w14:paraId="01FC4197" w14:textId="77777777" w:rsidR="00A74CDF" w:rsidRPr="00F01347" w:rsidRDefault="00A74CDF" w:rsidP="003A601B">
            <w:pPr>
              <w:pStyle w:val="texto0"/>
              <w:spacing w:before="40" w:after="40" w:line="300" w:lineRule="exact"/>
              <w:ind w:firstLine="0"/>
              <w:rPr>
                <w:rFonts w:ascii="Verdana" w:hAnsi="Verdana"/>
                <w:color w:val="000000"/>
                <w:sz w:val="16"/>
                <w:szCs w:val="16"/>
                <w:lang w:val="es-ES_tradnl"/>
              </w:rPr>
            </w:pPr>
            <w:r w:rsidRPr="00F01347">
              <w:rPr>
                <w:rFonts w:ascii="Verdana" w:hAnsi="Verdana"/>
                <w:color w:val="000000"/>
                <w:sz w:val="16"/>
                <w:szCs w:val="16"/>
                <w:lang w:val="es-ES_tradnl"/>
              </w:rPr>
              <w:t xml:space="preserve">En general no hay métodos prácticos para su remoción, por lo que debe minimizarse su formación removiendo los precursores de los subproductos de la desinfección, o en el caso de los ácidos </w:t>
            </w:r>
            <w:proofErr w:type="spellStart"/>
            <w:r w:rsidRPr="00F01347">
              <w:rPr>
                <w:rFonts w:ascii="Verdana" w:hAnsi="Verdana"/>
                <w:color w:val="000000"/>
                <w:sz w:val="16"/>
                <w:szCs w:val="16"/>
                <w:lang w:val="es-ES_tradnl"/>
              </w:rPr>
              <w:t>haloacéticos</w:t>
            </w:r>
            <w:proofErr w:type="spellEnd"/>
            <w:r w:rsidRPr="00F01347">
              <w:rPr>
                <w:rFonts w:ascii="Verdana" w:hAnsi="Verdana"/>
                <w:color w:val="000000"/>
                <w:sz w:val="16"/>
                <w:szCs w:val="16"/>
                <w:lang w:val="es-ES_tradnl"/>
              </w:rPr>
              <w:t xml:space="preserve"> controlando el pH durante la aplicación de cloro. Debe evitarse la formación de cloratos durante la producción de dióxido de cloro.</w:t>
            </w:r>
          </w:p>
          <w:p w14:paraId="456CDF33" w14:textId="77777777" w:rsidR="00A74CDF" w:rsidRPr="00F01347" w:rsidRDefault="00A74CDF" w:rsidP="003A601B">
            <w:pPr>
              <w:pStyle w:val="texto0"/>
              <w:spacing w:before="40" w:after="40" w:line="300" w:lineRule="exact"/>
              <w:ind w:firstLine="0"/>
              <w:rPr>
                <w:rFonts w:ascii="Verdana" w:hAnsi="Verdana"/>
                <w:sz w:val="16"/>
                <w:szCs w:val="16"/>
              </w:rPr>
            </w:pPr>
            <w:r w:rsidRPr="00F01347">
              <w:rPr>
                <w:rFonts w:ascii="Verdana" w:hAnsi="Verdana"/>
                <w:sz w:val="16"/>
                <w:szCs w:val="16"/>
              </w:rPr>
              <w:t xml:space="preserve">Si se utiliza dióxido de cloro como </w:t>
            </w:r>
            <w:proofErr w:type="spellStart"/>
            <w:r w:rsidRPr="00F01347">
              <w:rPr>
                <w:rFonts w:ascii="Verdana" w:hAnsi="Verdana"/>
                <w:sz w:val="16"/>
                <w:szCs w:val="16"/>
              </w:rPr>
              <w:t>preoxidante</w:t>
            </w:r>
            <w:proofErr w:type="spellEnd"/>
            <w:r w:rsidRPr="00F01347">
              <w:rPr>
                <w:rFonts w:ascii="Verdana" w:hAnsi="Verdana"/>
                <w:sz w:val="16"/>
                <w:szCs w:val="16"/>
              </w:rPr>
              <w:t xml:space="preserve"> reducir la concentración de clorito resultante utilizando hierro ferroso o carbón activado.</w:t>
            </w:r>
          </w:p>
          <w:p w14:paraId="7CBB7AD9" w14:textId="77777777" w:rsidR="00A74CDF" w:rsidRPr="00F01347" w:rsidRDefault="00A74CDF" w:rsidP="003A601B">
            <w:pPr>
              <w:pStyle w:val="texto0"/>
              <w:spacing w:before="40" w:after="40" w:line="300" w:lineRule="exact"/>
              <w:ind w:firstLine="0"/>
              <w:rPr>
                <w:rFonts w:ascii="Verdana" w:hAnsi="Verdana"/>
                <w:sz w:val="16"/>
                <w:szCs w:val="16"/>
              </w:rPr>
            </w:pPr>
            <w:r w:rsidRPr="00F01347">
              <w:rPr>
                <w:rFonts w:ascii="Verdana" w:hAnsi="Verdana"/>
                <w:sz w:val="16"/>
                <w:szCs w:val="16"/>
              </w:rPr>
              <w:t xml:space="preserve">Carbón activado (para ácidos </w:t>
            </w:r>
            <w:proofErr w:type="spellStart"/>
            <w:r w:rsidRPr="00F01347">
              <w:rPr>
                <w:rFonts w:ascii="Verdana" w:hAnsi="Verdana"/>
                <w:sz w:val="16"/>
                <w:szCs w:val="16"/>
              </w:rPr>
              <w:t>haloacéticos</w:t>
            </w:r>
            <w:proofErr w:type="spellEnd"/>
            <w:r w:rsidRPr="00F01347">
              <w:rPr>
                <w:rFonts w:ascii="Verdana" w:hAnsi="Verdana"/>
                <w:sz w:val="16"/>
                <w:szCs w:val="16"/>
              </w:rPr>
              <w:t xml:space="preserve"> y trihalometanos)</w:t>
            </w:r>
          </w:p>
        </w:tc>
      </w:tr>
      <w:tr w:rsidR="00A74CDF" w:rsidRPr="00F01347" w14:paraId="219D8F5F"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83601A4" w14:textId="77777777" w:rsidR="00A74CDF" w:rsidRPr="00F01347" w:rsidRDefault="00A74CDF" w:rsidP="003A601B">
            <w:pPr>
              <w:pStyle w:val="texto0"/>
              <w:spacing w:before="40" w:after="40" w:line="300" w:lineRule="exact"/>
              <w:ind w:firstLine="0"/>
              <w:rPr>
                <w:rFonts w:ascii="Verdana" w:hAnsi="Verdana"/>
                <w:sz w:val="16"/>
                <w:szCs w:val="16"/>
              </w:rPr>
            </w:pPr>
            <w:proofErr w:type="spellStart"/>
            <w:r w:rsidRPr="00F01347">
              <w:rPr>
                <w:rFonts w:ascii="Verdana" w:hAnsi="Verdana"/>
                <w:sz w:val="16"/>
                <w:szCs w:val="16"/>
              </w:rPr>
              <w:t>Bromoformo</w:t>
            </w:r>
            <w:proofErr w:type="spellEnd"/>
          </w:p>
        </w:tc>
        <w:tc>
          <w:tcPr>
            <w:tcW w:w="5735" w:type="dxa"/>
            <w:vMerge/>
            <w:tcBorders>
              <w:left w:val="single" w:sz="6" w:space="0" w:color="auto"/>
              <w:right w:val="single" w:sz="6" w:space="0" w:color="auto"/>
            </w:tcBorders>
          </w:tcPr>
          <w:p w14:paraId="6AE9ACF8" w14:textId="77777777" w:rsidR="00A74CDF" w:rsidRPr="00F01347" w:rsidRDefault="00A74CDF" w:rsidP="003A601B">
            <w:pPr>
              <w:pStyle w:val="texto0"/>
              <w:spacing w:before="40" w:after="40" w:line="300" w:lineRule="exact"/>
              <w:ind w:firstLine="0"/>
              <w:rPr>
                <w:rFonts w:ascii="Verdana" w:hAnsi="Verdana"/>
                <w:sz w:val="16"/>
                <w:szCs w:val="16"/>
              </w:rPr>
            </w:pPr>
          </w:p>
        </w:tc>
      </w:tr>
      <w:tr w:rsidR="00A74CDF" w:rsidRPr="00F01347" w14:paraId="45DF66EE"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3491EAEE" w14:textId="77777777" w:rsidR="00A74CDF" w:rsidRPr="00F01347" w:rsidRDefault="00A74CDF" w:rsidP="003A601B">
            <w:pPr>
              <w:pStyle w:val="texto0"/>
              <w:spacing w:before="40" w:after="40" w:line="300" w:lineRule="exact"/>
              <w:ind w:firstLine="0"/>
              <w:rPr>
                <w:rFonts w:ascii="Verdana" w:hAnsi="Verdana"/>
                <w:sz w:val="16"/>
                <w:szCs w:val="16"/>
              </w:rPr>
            </w:pPr>
            <w:r w:rsidRPr="00F01347">
              <w:rPr>
                <w:rFonts w:ascii="Verdana" w:hAnsi="Verdana"/>
                <w:sz w:val="16"/>
                <w:szCs w:val="16"/>
              </w:rPr>
              <w:t>Cloroformo</w:t>
            </w:r>
          </w:p>
        </w:tc>
        <w:tc>
          <w:tcPr>
            <w:tcW w:w="5735" w:type="dxa"/>
            <w:vMerge/>
            <w:tcBorders>
              <w:left w:val="single" w:sz="6" w:space="0" w:color="auto"/>
              <w:right w:val="single" w:sz="6" w:space="0" w:color="auto"/>
            </w:tcBorders>
          </w:tcPr>
          <w:p w14:paraId="5CEE87DF" w14:textId="77777777" w:rsidR="00A74CDF" w:rsidRPr="00F01347" w:rsidRDefault="00A74CDF" w:rsidP="003A601B">
            <w:pPr>
              <w:pStyle w:val="texto0"/>
              <w:spacing w:before="40" w:after="40" w:line="300" w:lineRule="exact"/>
              <w:ind w:firstLine="0"/>
              <w:rPr>
                <w:rFonts w:ascii="Verdana" w:hAnsi="Verdana"/>
                <w:sz w:val="16"/>
                <w:szCs w:val="16"/>
              </w:rPr>
            </w:pPr>
          </w:p>
        </w:tc>
      </w:tr>
      <w:tr w:rsidR="00A74CDF" w:rsidRPr="00F01347" w14:paraId="2A6A9950"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67C8809" w14:textId="77777777" w:rsidR="00A74CDF" w:rsidRPr="00F01347" w:rsidRDefault="00A74CDF" w:rsidP="003A601B">
            <w:pPr>
              <w:pStyle w:val="texto0"/>
              <w:spacing w:before="40" w:after="40" w:line="300" w:lineRule="exact"/>
              <w:ind w:firstLine="0"/>
              <w:rPr>
                <w:rFonts w:ascii="Verdana" w:hAnsi="Verdana"/>
                <w:sz w:val="16"/>
                <w:szCs w:val="16"/>
              </w:rPr>
            </w:pPr>
            <w:proofErr w:type="spellStart"/>
            <w:r w:rsidRPr="00F01347">
              <w:rPr>
                <w:rFonts w:ascii="Verdana" w:hAnsi="Verdana"/>
                <w:sz w:val="16"/>
                <w:szCs w:val="16"/>
              </w:rPr>
              <w:t>Dibromoclorometano</w:t>
            </w:r>
            <w:proofErr w:type="spellEnd"/>
          </w:p>
        </w:tc>
        <w:tc>
          <w:tcPr>
            <w:tcW w:w="5735" w:type="dxa"/>
            <w:vMerge/>
            <w:tcBorders>
              <w:left w:val="single" w:sz="6" w:space="0" w:color="auto"/>
              <w:right w:val="single" w:sz="6" w:space="0" w:color="auto"/>
            </w:tcBorders>
          </w:tcPr>
          <w:p w14:paraId="127B975E" w14:textId="77777777" w:rsidR="00A74CDF" w:rsidRPr="00F01347" w:rsidRDefault="00A74CDF" w:rsidP="003A601B">
            <w:pPr>
              <w:pStyle w:val="texto0"/>
              <w:spacing w:before="40" w:after="40" w:line="300" w:lineRule="exact"/>
              <w:ind w:firstLine="0"/>
              <w:rPr>
                <w:rFonts w:ascii="Verdana" w:hAnsi="Verdana"/>
                <w:sz w:val="16"/>
                <w:szCs w:val="16"/>
              </w:rPr>
            </w:pPr>
          </w:p>
        </w:tc>
      </w:tr>
      <w:tr w:rsidR="00A74CDF" w:rsidRPr="00F01347" w14:paraId="38BC241C"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56885353" w14:textId="77777777" w:rsidR="00A74CDF" w:rsidRPr="00F01347" w:rsidRDefault="00A74CDF" w:rsidP="003A601B">
            <w:pPr>
              <w:pStyle w:val="texto0"/>
              <w:spacing w:before="40" w:after="40" w:line="300" w:lineRule="exact"/>
              <w:ind w:firstLine="0"/>
              <w:rPr>
                <w:rFonts w:ascii="Verdana" w:hAnsi="Verdana"/>
                <w:sz w:val="16"/>
                <w:szCs w:val="16"/>
              </w:rPr>
            </w:pPr>
            <w:r w:rsidRPr="00F01347">
              <w:rPr>
                <w:rFonts w:ascii="Verdana" w:hAnsi="Verdana"/>
                <w:sz w:val="16"/>
                <w:szCs w:val="16"/>
              </w:rPr>
              <w:t xml:space="preserve">Ácido </w:t>
            </w:r>
            <w:proofErr w:type="spellStart"/>
            <w:r w:rsidRPr="00F01347">
              <w:rPr>
                <w:rFonts w:ascii="Verdana" w:hAnsi="Verdana"/>
                <w:sz w:val="16"/>
                <w:szCs w:val="16"/>
              </w:rPr>
              <w:t>cloroacético</w:t>
            </w:r>
            <w:proofErr w:type="spellEnd"/>
          </w:p>
        </w:tc>
        <w:tc>
          <w:tcPr>
            <w:tcW w:w="5735" w:type="dxa"/>
            <w:vMerge/>
            <w:tcBorders>
              <w:left w:val="single" w:sz="6" w:space="0" w:color="auto"/>
              <w:right w:val="single" w:sz="6" w:space="0" w:color="auto"/>
            </w:tcBorders>
          </w:tcPr>
          <w:p w14:paraId="46F17902" w14:textId="77777777" w:rsidR="00A74CDF" w:rsidRPr="00F01347" w:rsidRDefault="00A74CDF" w:rsidP="003A601B">
            <w:pPr>
              <w:pStyle w:val="texto0"/>
              <w:spacing w:before="40" w:after="40" w:line="300" w:lineRule="exact"/>
              <w:ind w:firstLine="0"/>
              <w:rPr>
                <w:rFonts w:ascii="Verdana" w:hAnsi="Verdana"/>
                <w:sz w:val="16"/>
                <w:szCs w:val="16"/>
              </w:rPr>
            </w:pPr>
          </w:p>
        </w:tc>
      </w:tr>
      <w:tr w:rsidR="00A74CDF" w:rsidRPr="00F01347" w14:paraId="63E1C48C"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4C20C9B" w14:textId="77777777" w:rsidR="00A74CDF" w:rsidRPr="00F01347" w:rsidRDefault="00A74CDF" w:rsidP="003A601B">
            <w:pPr>
              <w:pStyle w:val="texto0"/>
              <w:spacing w:before="40" w:after="40" w:line="300" w:lineRule="exact"/>
              <w:ind w:firstLine="0"/>
              <w:rPr>
                <w:rFonts w:ascii="Verdana" w:hAnsi="Verdana"/>
                <w:sz w:val="16"/>
                <w:szCs w:val="16"/>
              </w:rPr>
            </w:pPr>
            <w:r w:rsidRPr="00F01347">
              <w:rPr>
                <w:rFonts w:ascii="Verdana" w:hAnsi="Verdana"/>
                <w:sz w:val="16"/>
                <w:szCs w:val="16"/>
              </w:rPr>
              <w:t xml:space="preserve">Ácido </w:t>
            </w:r>
            <w:proofErr w:type="spellStart"/>
            <w:r w:rsidRPr="00F01347">
              <w:rPr>
                <w:rFonts w:ascii="Verdana" w:hAnsi="Verdana"/>
                <w:sz w:val="16"/>
                <w:szCs w:val="16"/>
              </w:rPr>
              <w:t>dicloroacético</w:t>
            </w:r>
            <w:proofErr w:type="spellEnd"/>
          </w:p>
        </w:tc>
        <w:tc>
          <w:tcPr>
            <w:tcW w:w="5735" w:type="dxa"/>
            <w:vMerge/>
            <w:tcBorders>
              <w:left w:val="single" w:sz="6" w:space="0" w:color="auto"/>
              <w:right w:val="single" w:sz="6" w:space="0" w:color="auto"/>
            </w:tcBorders>
          </w:tcPr>
          <w:p w14:paraId="436A6642" w14:textId="77777777" w:rsidR="00A74CDF" w:rsidRPr="00F01347" w:rsidRDefault="00A74CDF" w:rsidP="003A601B">
            <w:pPr>
              <w:pStyle w:val="texto0"/>
              <w:spacing w:before="40" w:after="40" w:line="300" w:lineRule="exact"/>
              <w:ind w:firstLine="0"/>
              <w:rPr>
                <w:rFonts w:ascii="Verdana" w:hAnsi="Verdana"/>
                <w:sz w:val="16"/>
                <w:szCs w:val="16"/>
              </w:rPr>
            </w:pPr>
          </w:p>
        </w:tc>
      </w:tr>
      <w:tr w:rsidR="00A74CDF" w:rsidRPr="00F01347" w14:paraId="3A2A1B04"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673E0F24" w14:textId="77777777" w:rsidR="00A74CDF" w:rsidRPr="00F01347" w:rsidRDefault="00A74CDF" w:rsidP="003A601B">
            <w:pPr>
              <w:pStyle w:val="texto0"/>
              <w:spacing w:before="40" w:after="40" w:line="300" w:lineRule="exact"/>
              <w:ind w:firstLine="0"/>
              <w:rPr>
                <w:rFonts w:ascii="Verdana" w:hAnsi="Verdana"/>
                <w:sz w:val="16"/>
                <w:szCs w:val="16"/>
              </w:rPr>
            </w:pPr>
            <w:r w:rsidRPr="00F01347">
              <w:rPr>
                <w:rFonts w:ascii="Verdana" w:hAnsi="Verdana"/>
                <w:sz w:val="16"/>
                <w:szCs w:val="16"/>
              </w:rPr>
              <w:t>Ácido tricloroacético</w:t>
            </w:r>
          </w:p>
        </w:tc>
        <w:tc>
          <w:tcPr>
            <w:tcW w:w="5735" w:type="dxa"/>
            <w:vMerge/>
            <w:tcBorders>
              <w:left w:val="single" w:sz="6" w:space="0" w:color="auto"/>
              <w:right w:val="single" w:sz="6" w:space="0" w:color="auto"/>
            </w:tcBorders>
          </w:tcPr>
          <w:p w14:paraId="52D7C194" w14:textId="77777777" w:rsidR="00A74CDF" w:rsidRPr="00F01347" w:rsidRDefault="00A74CDF" w:rsidP="003A601B">
            <w:pPr>
              <w:pStyle w:val="texto0"/>
              <w:spacing w:before="40" w:after="40" w:line="300" w:lineRule="exact"/>
              <w:ind w:firstLine="0"/>
              <w:rPr>
                <w:rFonts w:ascii="Verdana" w:hAnsi="Verdana"/>
                <w:sz w:val="16"/>
                <w:szCs w:val="16"/>
              </w:rPr>
            </w:pPr>
          </w:p>
        </w:tc>
      </w:tr>
      <w:tr w:rsidR="00A74CDF" w:rsidRPr="00F01347" w14:paraId="2F31F0C0"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7C5B3088" w14:textId="77777777" w:rsidR="00A74CDF" w:rsidRPr="00F01347" w:rsidRDefault="00A74CDF" w:rsidP="003A601B">
            <w:pPr>
              <w:pStyle w:val="texto0"/>
              <w:spacing w:before="40" w:after="40" w:line="300" w:lineRule="exact"/>
              <w:ind w:firstLine="0"/>
              <w:rPr>
                <w:rFonts w:ascii="Verdana" w:hAnsi="Verdana"/>
                <w:sz w:val="16"/>
                <w:szCs w:val="16"/>
              </w:rPr>
            </w:pPr>
            <w:r w:rsidRPr="00F01347">
              <w:rPr>
                <w:rFonts w:ascii="Verdana" w:hAnsi="Verdana"/>
                <w:sz w:val="16"/>
                <w:szCs w:val="16"/>
              </w:rPr>
              <w:t>Bromato</w:t>
            </w:r>
          </w:p>
        </w:tc>
        <w:tc>
          <w:tcPr>
            <w:tcW w:w="5735" w:type="dxa"/>
            <w:vMerge/>
            <w:tcBorders>
              <w:left w:val="single" w:sz="6" w:space="0" w:color="auto"/>
              <w:right w:val="single" w:sz="6" w:space="0" w:color="auto"/>
            </w:tcBorders>
          </w:tcPr>
          <w:p w14:paraId="5161C791" w14:textId="77777777" w:rsidR="00A74CDF" w:rsidRPr="00F01347" w:rsidRDefault="00A74CDF" w:rsidP="003A601B">
            <w:pPr>
              <w:pStyle w:val="texto0"/>
              <w:spacing w:before="40" w:after="40" w:line="300" w:lineRule="exact"/>
              <w:ind w:firstLine="0"/>
              <w:rPr>
                <w:rFonts w:ascii="Verdana" w:hAnsi="Verdana"/>
                <w:sz w:val="16"/>
                <w:szCs w:val="16"/>
              </w:rPr>
            </w:pPr>
          </w:p>
        </w:tc>
      </w:tr>
      <w:tr w:rsidR="00A74CDF" w:rsidRPr="00F01347" w14:paraId="1921C7D1"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9EDBEE2" w14:textId="77777777" w:rsidR="00A74CDF" w:rsidRPr="00F01347" w:rsidRDefault="00A74CDF" w:rsidP="003A601B">
            <w:pPr>
              <w:pStyle w:val="texto0"/>
              <w:spacing w:before="40" w:after="40" w:line="300" w:lineRule="exact"/>
              <w:ind w:firstLine="0"/>
              <w:rPr>
                <w:rFonts w:ascii="Verdana" w:hAnsi="Verdana"/>
                <w:sz w:val="16"/>
                <w:szCs w:val="16"/>
              </w:rPr>
            </w:pPr>
            <w:r w:rsidRPr="00F01347">
              <w:rPr>
                <w:rFonts w:ascii="Verdana" w:hAnsi="Verdana"/>
                <w:sz w:val="16"/>
                <w:szCs w:val="16"/>
              </w:rPr>
              <w:t>Cloratos</w:t>
            </w:r>
          </w:p>
        </w:tc>
        <w:tc>
          <w:tcPr>
            <w:tcW w:w="5735" w:type="dxa"/>
            <w:vMerge/>
            <w:tcBorders>
              <w:left w:val="single" w:sz="6" w:space="0" w:color="auto"/>
              <w:right w:val="single" w:sz="6" w:space="0" w:color="auto"/>
            </w:tcBorders>
          </w:tcPr>
          <w:p w14:paraId="20C0A25F" w14:textId="77777777" w:rsidR="00A74CDF" w:rsidRPr="00F01347" w:rsidRDefault="00A74CDF" w:rsidP="003A601B">
            <w:pPr>
              <w:pStyle w:val="texto0"/>
              <w:spacing w:before="40" w:after="40" w:line="300" w:lineRule="exact"/>
              <w:ind w:firstLine="0"/>
              <w:rPr>
                <w:rFonts w:ascii="Verdana" w:hAnsi="Verdana"/>
                <w:sz w:val="16"/>
                <w:szCs w:val="16"/>
              </w:rPr>
            </w:pPr>
          </w:p>
        </w:tc>
      </w:tr>
      <w:tr w:rsidR="00A74CDF" w:rsidRPr="00F01347" w14:paraId="3185BFAA"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3FFB6455" w14:textId="77777777" w:rsidR="00A74CDF" w:rsidRPr="00F01347" w:rsidRDefault="00A74CDF" w:rsidP="003A601B">
            <w:pPr>
              <w:pStyle w:val="texto0"/>
              <w:spacing w:before="40" w:after="40" w:line="300" w:lineRule="exact"/>
              <w:ind w:firstLine="0"/>
              <w:rPr>
                <w:rFonts w:ascii="Verdana" w:hAnsi="Verdana"/>
                <w:sz w:val="16"/>
                <w:szCs w:val="16"/>
              </w:rPr>
            </w:pPr>
            <w:r w:rsidRPr="00F01347">
              <w:rPr>
                <w:rFonts w:ascii="Verdana" w:hAnsi="Verdana"/>
                <w:sz w:val="16"/>
                <w:szCs w:val="16"/>
              </w:rPr>
              <w:t>Cloritos</w:t>
            </w:r>
          </w:p>
        </w:tc>
        <w:tc>
          <w:tcPr>
            <w:tcW w:w="5735" w:type="dxa"/>
            <w:vMerge/>
            <w:tcBorders>
              <w:left w:val="single" w:sz="6" w:space="0" w:color="auto"/>
              <w:right w:val="single" w:sz="6" w:space="0" w:color="auto"/>
            </w:tcBorders>
          </w:tcPr>
          <w:p w14:paraId="2A44EEB1" w14:textId="77777777" w:rsidR="00A74CDF" w:rsidRPr="00F01347" w:rsidRDefault="00A74CDF" w:rsidP="003A601B">
            <w:pPr>
              <w:pStyle w:val="texto0"/>
              <w:spacing w:before="40" w:after="40" w:line="300" w:lineRule="exact"/>
              <w:ind w:firstLine="0"/>
              <w:rPr>
                <w:rFonts w:ascii="Verdana" w:hAnsi="Verdana"/>
                <w:sz w:val="16"/>
                <w:szCs w:val="16"/>
              </w:rPr>
            </w:pPr>
          </w:p>
        </w:tc>
      </w:tr>
      <w:tr w:rsidR="00A74CDF" w:rsidRPr="00F01347" w14:paraId="2F548D8D"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73169B8C" w14:textId="77777777" w:rsidR="00A74CDF" w:rsidRPr="00F01347" w:rsidRDefault="00A74CDF" w:rsidP="003A601B">
            <w:pPr>
              <w:pStyle w:val="texto0"/>
              <w:spacing w:before="40" w:after="40" w:line="300" w:lineRule="exact"/>
              <w:ind w:firstLine="0"/>
              <w:rPr>
                <w:rFonts w:ascii="Verdana" w:hAnsi="Verdana"/>
                <w:sz w:val="16"/>
                <w:szCs w:val="16"/>
              </w:rPr>
            </w:pPr>
            <w:r w:rsidRPr="00F01347">
              <w:rPr>
                <w:rFonts w:ascii="Verdana" w:hAnsi="Verdana"/>
                <w:sz w:val="16"/>
                <w:szCs w:val="16"/>
              </w:rPr>
              <w:t>Formaldehído</w:t>
            </w:r>
          </w:p>
        </w:tc>
        <w:tc>
          <w:tcPr>
            <w:tcW w:w="5735" w:type="dxa"/>
            <w:vMerge/>
            <w:tcBorders>
              <w:left w:val="single" w:sz="6" w:space="0" w:color="auto"/>
              <w:bottom w:val="single" w:sz="6" w:space="0" w:color="auto"/>
              <w:right w:val="single" w:sz="6" w:space="0" w:color="auto"/>
            </w:tcBorders>
          </w:tcPr>
          <w:p w14:paraId="455A2BF1" w14:textId="77777777" w:rsidR="00A74CDF" w:rsidRPr="00F01347" w:rsidRDefault="00A74CDF" w:rsidP="003A601B">
            <w:pPr>
              <w:pStyle w:val="texto0"/>
              <w:spacing w:before="40" w:after="40" w:line="300" w:lineRule="exact"/>
              <w:ind w:firstLine="0"/>
              <w:rPr>
                <w:rFonts w:ascii="Verdana" w:hAnsi="Verdana"/>
                <w:sz w:val="16"/>
                <w:szCs w:val="16"/>
              </w:rPr>
            </w:pPr>
          </w:p>
        </w:tc>
      </w:tr>
      <w:tr w:rsidR="00A74CDF" w:rsidRPr="00F01347" w14:paraId="0F31220A"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59C71B42"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Benceno</w:t>
            </w:r>
          </w:p>
        </w:tc>
        <w:tc>
          <w:tcPr>
            <w:tcW w:w="5735" w:type="dxa"/>
            <w:vMerge w:val="restart"/>
            <w:tcBorders>
              <w:top w:val="single" w:sz="6" w:space="0" w:color="auto"/>
              <w:left w:val="single" w:sz="6" w:space="0" w:color="auto"/>
              <w:right w:val="single" w:sz="6" w:space="0" w:color="auto"/>
            </w:tcBorders>
          </w:tcPr>
          <w:p w14:paraId="466DA64B"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Carbón activado granular</w:t>
            </w:r>
          </w:p>
          <w:p w14:paraId="779153A0"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Aireación</w:t>
            </w:r>
          </w:p>
          <w:p w14:paraId="1D420CCD" w14:textId="77777777" w:rsidR="00A74CDF" w:rsidRPr="00F01347" w:rsidRDefault="00A74CDF" w:rsidP="003A601B">
            <w:pPr>
              <w:pStyle w:val="texto0"/>
              <w:spacing w:before="40" w:after="40" w:line="310"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09F1C8B4"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Oxidación química</w:t>
            </w:r>
          </w:p>
          <w:p w14:paraId="1BAD45A9"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Procesos avanzados de oxidación</w:t>
            </w:r>
          </w:p>
          <w:p w14:paraId="61561492"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Adsorción en carbón activado</w:t>
            </w:r>
          </w:p>
          <w:p w14:paraId="3E601D60"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Procesos de membranas.</w:t>
            </w:r>
          </w:p>
          <w:p w14:paraId="0853BAC7"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13EA8661"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6AF38085"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Estireno</w:t>
            </w:r>
          </w:p>
        </w:tc>
        <w:tc>
          <w:tcPr>
            <w:tcW w:w="5735" w:type="dxa"/>
            <w:vMerge/>
            <w:tcBorders>
              <w:left w:val="single" w:sz="6" w:space="0" w:color="auto"/>
              <w:right w:val="single" w:sz="6" w:space="0" w:color="auto"/>
            </w:tcBorders>
          </w:tcPr>
          <w:p w14:paraId="1A965293" w14:textId="77777777" w:rsidR="00A74CDF" w:rsidRPr="00F01347" w:rsidRDefault="00A74CDF" w:rsidP="003A601B">
            <w:pPr>
              <w:pStyle w:val="texto0"/>
              <w:spacing w:before="40" w:after="40" w:line="310" w:lineRule="exact"/>
              <w:ind w:firstLine="0"/>
              <w:rPr>
                <w:rFonts w:ascii="Verdana" w:hAnsi="Verdana"/>
                <w:sz w:val="16"/>
                <w:szCs w:val="16"/>
              </w:rPr>
            </w:pPr>
          </w:p>
        </w:tc>
      </w:tr>
      <w:tr w:rsidR="00A74CDF" w:rsidRPr="00F01347" w14:paraId="44FAE00D"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731FAD3"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Etilbenceno</w:t>
            </w:r>
          </w:p>
        </w:tc>
        <w:tc>
          <w:tcPr>
            <w:tcW w:w="5735" w:type="dxa"/>
            <w:vMerge/>
            <w:tcBorders>
              <w:left w:val="single" w:sz="6" w:space="0" w:color="auto"/>
              <w:right w:val="single" w:sz="6" w:space="0" w:color="auto"/>
            </w:tcBorders>
          </w:tcPr>
          <w:p w14:paraId="43704459" w14:textId="77777777" w:rsidR="00A74CDF" w:rsidRPr="00F01347" w:rsidRDefault="00A74CDF" w:rsidP="003A601B">
            <w:pPr>
              <w:pStyle w:val="texto0"/>
              <w:spacing w:before="40" w:after="40" w:line="310" w:lineRule="exact"/>
              <w:ind w:firstLine="0"/>
              <w:rPr>
                <w:rFonts w:ascii="Verdana" w:hAnsi="Verdana"/>
                <w:sz w:val="16"/>
                <w:szCs w:val="16"/>
              </w:rPr>
            </w:pPr>
          </w:p>
        </w:tc>
      </w:tr>
      <w:tr w:rsidR="00A74CDF" w:rsidRPr="00F01347" w14:paraId="1C34D54F"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677224C4" w14:textId="77777777" w:rsidR="00A74CDF" w:rsidRPr="00F01347" w:rsidRDefault="00A74CDF" w:rsidP="003A601B">
            <w:pPr>
              <w:pStyle w:val="texto0"/>
              <w:spacing w:before="40" w:after="40" w:line="300" w:lineRule="exact"/>
              <w:ind w:firstLine="0"/>
              <w:rPr>
                <w:rFonts w:ascii="Verdana" w:hAnsi="Verdana"/>
                <w:sz w:val="16"/>
                <w:szCs w:val="16"/>
              </w:rPr>
            </w:pPr>
            <w:r w:rsidRPr="00F01347">
              <w:rPr>
                <w:rFonts w:ascii="Verdana" w:hAnsi="Verdana"/>
                <w:sz w:val="16"/>
                <w:szCs w:val="16"/>
              </w:rPr>
              <w:t>Tolueno</w:t>
            </w:r>
          </w:p>
        </w:tc>
        <w:tc>
          <w:tcPr>
            <w:tcW w:w="5735" w:type="dxa"/>
            <w:vMerge/>
            <w:tcBorders>
              <w:left w:val="single" w:sz="6" w:space="0" w:color="auto"/>
              <w:right w:val="single" w:sz="6" w:space="0" w:color="auto"/>
            </w:tcBorders>
          </w:tcPr>
          <w:p w14:paraId="20F96F70" w14:textId="77777777" w:rsidR="00A74CDF" w:rsidRPr="00F01347" w:rsidRDefault="00A74CDF" w:rsidP="003A601B">
            <w:pPr>
              <w:pStyle w:val="texto0"/>
              <w:spacing w:before="40" w:after="40" w:line="300" w:lineRule="exact"/>
              <w:ind w:firstLine="0"/>
              <w:rPr>
                <w:rFonts w:ascii="Verdana" w:hAnsi="Verdana"/>
                <w:sz w:val="16"/>
                <w:szCs w:val="16"/>
              </w:rPr>
            </w:pPr>
          </w:p>
        </w:tc>
      </w:tr>
      <w:tr w:rsidR="00A74CDF" w:rsidRPr="00F01347" w14:paraId="7090523E"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31E80553" w14:textId="77777777" w:rsidR="00A74CDF" w:rsidRPr="00F01347" w:rsidRDefault="00A74CDF" w:rsidP="003A601B">
            <w:pPr>
              <w:pStyle w:val="texto0"/>
              <w:spacing w:before="40" w:after="40" w:line="300" w:lineRule="exact"/>
              <w:ind w:firstLine="0"/>
              <w:rPr>
                <w:rFonts w:ascii="Verdana" w:hAnsi="Verdana"/>
                <w:sz w:val="16"/>
                <w:szCs w:val="16"/>
              </w:rPr>
            </w:pPr>
            <w:r w:rsidRPr="00F01347">
              <w:rPr>
                <w:rFonts w:ascii="Verdana" w:hAnsi="Verdana"/>
                <w:sz w:val="16"/>
                <w:szCs w:val="16"/>
              </w:rPr>
              <w:t>Xilenos</w:t>
            </w:r>
          </w:p>
          <w:p w14:paraId="2D2121E3" w14:textId="77777777" w:rsidR="00A74CDF" w:rsidRPr="00F01347" w:rsidRDefault="00A74CDF" w:rsidP="003A601B">
            <w:pPr>
              <w:pStyle w:val="texto0"/>
              <w:spacing w:before="40" w:after="40" w:line="300" w:lineRule="exact"/>
              <w:ind w:firstLine="0"/>
              <w:rPr>
                <w:rFonts w:ascii="Verdana" w:hAnsi="Verdana"/>
                <w:sz w:val="16"/>
                <w:szCs w:val="16"/>
              </w:rPr>
            </w:pPr>
            <w:r w:rsidRPr="00F01347">
              <w:rPr>
                <w:rFonts w:ascii="Verdana" w:hAnsi="Verdana"/>
                <w:sz w:val="16"/>
                <w:szCs w:val="16"/>
              </w:rPr>
              <w:t xml:space="preserve">(suma de </w:t>
            </w:r>
            <w:proofErr w:type="gramStart"/>
            <w:r w:rsidRPr="00F01347">
              <w:rPr>
                <w:rFonts w:ascii="Verdana" w:hAnsi="Verdana"/>
                <w:sz w:val="16"/>
                <w:szCs w:val="16"/>
              </w:rPr>
              <w:t>isómeros orto</w:t>
            </w:r>
            <w:proofErr w:type="gramEnd"/>
            <w:r w:rsidRPr="00F01347">
              <w:rPr>
                <w:rFonts w:ascii="Verdana" w:hAnsi="Verdana"/>
                <w:sz w:val="16"/>
                <w:szCs w:val="16"/>
              </w:rPr>
              <w:t>, meta y para)</w:t>
            </w:r>
          </w:p>
        </w:tc>
        <w:tc>
          <w:tcPr>
            <w:tcW w:w="5735" w:type="dxa"/>
            <w:vMerge/>
            <w:tcBorders>
              <w:left w:val="single" w:sz="6" w:space="0" w:color="auto"/>
              <w:bottom w:val="single" w:sz="6" w:space="0" w:color="auto"/>
              <w:right w:val="single" w:sz="6" w:space="0" w:color="auto"/>
            </w:tcBorders>
          </w:tcPr>
          <w:p w14:paraId="6B1DC80C" w14:textId="77777777" w:rsidR="00A74CDF" w:rsidRPr="00F01347" w:rsidRDefault="00A74CDF" w:rsidP="003A601B">
            <w:pPr>
              <w:pStyle w:val="texto0"/>
              <w:spacing w:before="40" w:after="40" w:line="300" w:lineRule="exact"/>
              <w:ind w:firstLine="0"/>
              <w:rPr>
                <w:rFonts w:ascii="Verdana" w:hAnsi="Verdana"/>
                <w:sz w:val="16"/>
                <w:szCs w:val="16"/>
              </w:rPr>
            </w:pPr>
          </w:p>
        </w:tc>
      </w:tr>
      <w:tr w:rsidR="00A74CDF" w:rsidRPr="00F01347" w14:paraId="09A523A5" w14:textId="77777777">
        <w:trPr>
          <w:trHeight w:val="144"/>
        </w:trPr>
        <w:tc>
          <w:tcPr>
            <w:tcW w:w="2977" w:type="dxa"/>
            <w:tcBorders>
              <w:top w:val="single" w:sz="6" w:space="0" w:color="auto"/>
              <w:left w:val="single" w:sz="6" w:space="0" w:color="auto"/>
              <w:bottom w:val="single" w:sz="6" w:space="0" w:color="auto"/>
              <w:right w:val="single" w:sz="6" w:space="0" w:color="auto"/>
            </w:tcBorders>
            <w:noWrap/>
            <w:vAlign w:val="center"/>
          </w:tcPr>
          <w:p w14:paraId="6BB0054A" w14:textId="77777777" w:rsidR="00A74CDF" w:rsidRPr="00F01347" w:rsidRDefault="00A74CDF" w:rsidP="003A601B">
            <w:pPr>
              <w:pStyle w:val="texto0"/>
              <w:spacing w:before="40" w:after="40" w:line="310" w:lineRule="exact"/>
              <w:ind w:firstLine="0"/>
              <w:rPr>
                <w:rFonts w:ascii="Verdana" w:hAnsi="Verdana"/>
                <w:sz w:val="16"/>
                <w:szCs w:val="16"/>
              </w:rPr>
            </w:pPr>
            <w:proofErr w:type="spellStart"/>
            <w:r w:rsidRPr="00F01347">
              <w:rPr>
                <w:rFonts w:ascii="Verdana" w:hAnsi="Verdana"/>
                <w:sz w:val="16"/>
                <w:szCs w:val="16"/>
                <w:lang w:val="es-ES"/>
              </w:rPr>
              <w:t>Hexaclorobutadieno</w:t>
            </w:r>
            <w:proofErr w:type="spellEnd"/>
          </w:p>
        </w:tc>
        <w:tc>
          <w:tcPr>
            <w:tcW w:w="5735" w:type="dxa"/>
            <w:vMerge w:val="restart"/>
            <w:tcBorders>
              <w:top w:val="single" w:sz="6" w:space="0" w:color="auto"/>
              <w:left w:val="single" w:sz="6" w:space="0" w:color="auto"/>
              <w:right w:val="single" w:sz="6" w:space="0" w:color="auto"/>
            </w:tcBorders>
          </w:tcPr>
          <w:p w14:paraId="5AC7CFF5" w14:textId="77777777" w:rsidR="00A74CDF" w:rsidRPr="00F01347" w:rsidRDefault="00A74CDF" w:rsidP="003A601B">
            <w:pPr>
              <w:pStyle w:val="texto0"/>
              <w:spacing w:before="40" w:after="40" w:line="310"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3E81CF62"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Oxidación química</w:t>
            </w:r>
          </w:p>
          <w:p w14:paraId="14FDB33A"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Procesos avanzados de oxidación</w:t>
            </w:r>
          </w:p>
          <w:p w14:paraId="63D17CA1"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Adsorción en carbón activado</w:t>
            </w:r>
          </w:p>
          <w:p w14:paraId="76A70E0B"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Procesos de membranas.</w:t>
            </w:r>
          </w:p>
          <w:p w14:paraId="01D2A8DF" w14:textId="77777777" w:rsidR="00A74CDF" w:rsidRPr="00F01347" w:rsidRDefault="00A74CDF" w:rsidP="003A601B">
            <w:pPr>
              <w:pStyle w:val="texto0"/>
              <w:spacing w:before="40" w:after="40" w:line="310" w:lineRule="exact"/>
              <w:ind w:firstLine="0"/>
              <w:rPr>
                <w:rFonts w:ascii="Verdana" w:hAnsi="Verdana"/>
                <w:color w:val="000000"/>
                <w:sz w:val="16"/>
                <w:szCs w:val="16"/>
              </w:rPr>
            </w:pPr>
            <w:r w:rsidRPr="00F01347">
              <w:rPr>
                <w:rFonts w:ascii="Verdana" w:hAnsi="Verdana"/>
                <w:sz w:val="16"/>
                <w:szCs w:val="16"/>
              </w:rPr>
              <w:t>En el caso de la oxidación asegurar la completa mineralización</w:t>
            </w:r>
          </w:p>
        </w:tc>
      </w:tr>
      <w:tr w:rsidR="00A74CDF" w:rsidRPr="00F01347" w14:paraId="279DD8A9"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1F552000" w14:textId="77777777" w:rsidR="00A74CDF" w:rsidRPr="00F01347" w:rsidRDefault="00A74CDF" w:rsidP="003A601B">
            <w:pPr>
              <w:pStyle w:val="texto0"/>
              <w:spacing w:before="40" w:after="40" w:line="310" w:lineRule="exact"/>
              <w:ind w:firstLine="0"/>
              <w:rPr>
                <w:rFonts w:ascii="Verdana" w:hAnsi="Verdana"/>
                <w:sz w:val="16"/>
                <w:szCs w:val="16"/>
              </w:rPr>
            </w:pPr>
            <w:proofErr w:type="spellStart"/>
            <w:r w:rsidRPr="00F01347">
              <w:rPr>
                <w:rFonts w:ascii="Verdana" w:hAnsi="Verdana"/>
                <w:sz w:val="16"/>
                <w:szCs w:val="16"/>
                <w:lang w:val="es-ES"/>
              </w:rPr>
              <w:t>Pentaclorofenol</w:t>
            </w:r>
            <w:proofErr w:type="spellEnd"/>
          </w:p>
        </w:tc>
        <w:tc>
          <w:tcPr>
            <w:tcW w:w="5735" w:type="dxa"/>
            <w:vMerge/>
            <w:tcBorders>
              <w:left w:val="single" w:sz="6" w:space="0" w:color="auto"/>
              <w:right w:val="single" w:sz="6" w:space="0" w:color="auto"/>
            </w:tcBorders>
          </w:tcPr>
          <w:p w14:paraId="1FB96D2B" w14:textId="77777777" w:rsidR="00A74CDF" w:rsidRPr="00F01347" w:rsidRDefault="00A74CDF" w:rsidP="003A601B">
            <w:pPr>
              <w:pStyle w:val="texto0"/>
              <w:spacing w:before="40" w:after="40" w:line="310" w:lineRule="exact"/>
              <w:ind w:firstLine="0"/>
              <w:rPr>
                <w:rFonts w:ascii="Verdana" w:hAnsi="Verdana"/>
                <w:color w:val="000000"/>
                <w:sz w:val="16"/>
                <w:szCs w:val="16"/>
              </w:rPr>
            </w:pPr>
          </w:p>
        </w:tc>
      </w:tr>
      <w:tr w:rsidR="00A74CDF" w:rsidRPr="00F01347" w14:paraId="048D8A03"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6D8D98E8"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lang w:val="es-ES"/>
              </w:rPr>
              <w:t xml:space="preserve">2,4,6 </w:t>
            </w:r>
            <w:proofErr w:type="spellStart"/>
            <w:r w:rsidRPr="00F01347">
              <w:rPr>
                <w:rFonts w:ascii="Verdana" w:hAnsi="Verdana"/>
                <w:sz w:val="16"/>
                <w:szCs w:val="16"/>
                <w:lang w:val="es-ES"/>
              </w:rPr>
              <w:t>Triclorofenol</w:t>
            </w:r>
            <w:proofErr w:type="spellEnd"/>
          </w:p>
        </w:tc>
        <w:tc>
          <w:tcPr>
            <w:tcW w:w="5735" w:type="dxa"/>
            <w:vMerge/>
            <w:tcBorders>
              <w:left w:val="single" w:sz="6" w:space="0" w:color="auto"/>
              <w:right w:val="single" w:sz="6" w:space="0" w:color="auto"/>
            </w:tcBorders>
          </w:tcPr>
          <w:p w14:paraId="6C2FE5BE" w14:textId="77777777" w:rsidR="00A74CDF" w:rsidRPr="00F01347" w:rsidRDefault="00A74CDF" w:rsidP="003A601B">
            <w:pPr>
              <w:pStyle w:val="texto0"/>
              <w:spacing w:before="40" w:after="40" w:line="310" w:lineRule="exact"/>
              <w:ind w:firstLine="0"/>
              <w:rPr>
                <w:rFonts w:ascii="Verdana" w:hAnsi="Verdana"/>
                <w:color w:val="000000"/>
                <w:sz w:val="16"/>
                <w:szCs w:val="16"/>
              </w:rPr>
            </w:pPr>
          </w:p>
        </w:tc>
      </w:tr>
      <w:tr w:rsidR="00A74CDF" w:rsidRPr="00F01347" w14:paraId="03D49170"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44F43C6D" w14:textId="77777777" w:rsidR="00A74CDF" w:rsidRPr="00F01347" w:rsidRDefault="00A74CDF" w:rsidP="003A601B">
            <w:pPr>
              <w:pStyle w:val="texto0"/>
              <w:spacing w:before="40" w:after="40" w:line="310" w:lineRule="exact"/>
              <w:ind w:firstLine="0"/>
              <w:rPr>
                <w:rFonts w:ascii="Verdana" w:hAnsi="Verdana"/>
                <w:sz w:val="16"/>
                <w:szCs w:val="16"/>
              </w:rPr>
            </w:pPr>
            <w:proofErr w:type="spellStart"/>
            <w:r w:rsidRPr="00F01347">
              <w:rPr>
                <w:rFonts w:ascii="Verdana" w:hAnsi="Verdana"/>
                <w:sz w:val="16"/>
                <w:szCs w:val="16"/>
                <w:lang w:val="es-ES"/>
              </w:rPr>
              <w:t>Alacloro</w:t>
            </w:r>
            <w:proofErr w:type="spellEnd"/>
          </w:p>
        </w:tc>
        <w:tc>
          <w:tcPr>
            <w:tcW w:w="5735" w:type="dxa"/>
            <w:vMerge/>
            <w:tcBorders>
              <w:left w:val="single" w:sz="6" w:space="0" w:color="auto"/>
              <w:right w:val="single" w:sz="6" w:space="0" w:color="auto"/>
            </w:tcBorders>
          </w:tcPr>
          <w:p w14:paraId="68BF094C" w14:textId="77777777" w:rsidR="00A74CDF" w:rsidRPr="00F01347" w:rsidRDefault="00A74CDF" w:rsidP="003A601B">
            <w:pPr>
              <w:pStyle w:val="texto0"/>
              <w:spacing w:before="40" w:after="40" w:line="310" w:lineRule="exact"/>
              <w:ind w:firstLine="0"/>
              <w:rPr>
                <w:rFonts w:ascii="Verdana" w:hAnsi="Verdana"/>
                <w:color w:val="000000"/>
                <w:sz w:val="16"/>
                <w:szCs w:val="16"/>
              </w:rPr>
            </w:pPr>
          </w:p>
        </w:tc>
      </w:tr>
      <w:tr w:rsidR="00A74CDF" w:rsidRPr="00F01347" w14:paraId="6BA54866"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0CDC2D96"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lang w:val="es-ES"/>
              </w:rPr>
              <w:t xml:space="preserve">Combinación Aldrin + </w:t>
            </w:r>
            <w:proofErr w:type="spellStart"/>
            <w:r w:rsidRPr="00F01347">
              <w:rPr>
                <w:rFonts w:ascii="Verdana" w:hAnsi="Verdana"/>
                <w:sz w:val="16"/>
                <w:szCs w:val="16"/>
                <w:lang w:val="es-ES"/>
              </w:rPr>
              <w:t>Dieldrin</w:t>
            </w:r>
            <w:proofErr w:type="spellEnd"/>
          </w:p>
        </w:tc>
        <w:tc>
          <w:tcPr>
            <w:tcW w:w="5735" w:type="dxa"/>
            <w:vMerge/>
            <w:tcBorders>
              <w:left w:val="single" w:sz="6" w:space="0" w:color="auto"/>
              <w:bottom w:val="single" w:sz="6" w:space="0" w:color="auto"/>
              <w:right w:val="single" w:sz="6" w:space="0" w:color="auto"/>
            </w:tcBorders>
          </w:tcPr>
          <w:p w14:paraId="75CD9A4C" w14:textId="77777777" w:rsidR="00A74CDF" w:rsidRPr="00F01347" w:rsidRDefault="00A74CDF" w:rsidP="003A601B">
            <w:pPr>
              <w:pStyle w:val="texto0"/>
              <w:spacing w:before="40" w:after="40" w:line="310" w:lineRule="exact"/>
              <w:ind w:firstLine="0"/>
              <w:rPr>
                <w:rFonts w:ascii="Verdana" w:hAnsi="Verdana"/>
                <w:color w:val="000000"/>
                <w:sz w:val="16"/>
                <w:szCs w:val="16"/>
              </w:rPr>
            </w:pPr>
          </w:p>
        </w:tc>
      </w:tr>
      <w:tr w:rsidR="00A74CDF" w:rsidRPr="00F01347" w14:paraId="386BC137"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3ED75562"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lang w:val="es-ES"/>
              </w:rPr>
              <w:t>Atrazina</w:t>
            </w:r>
          </w:p>
        </w:tc>
        <w:tc>
          <w:tcPr>
            <w:tcW w:w="5735" w:type="dxa"/>
            <w:tcBorders>
              <w:top w:val="single" w:sz="6" w:space="0" w:color="auto"/>
              <w:left w:val="single" w:sz="6" w:space="0" w:color="auto"/>
              <w:bottom w:val="single" w:sz="6" w:space="0" w:color="auto"/>
              <w:right w:val="single" w:sz="6" w:space="0" w:color="auto"/>
            </w:tcBorders>
          </w:tcPr>
          <w:p w14:paraId="65F372D5"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Oxidación química</w:t>
            </w:r>
          </w:p>
          <w:p w14:paraId="4789343D"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lastRenderedPageBreak/>
              <w:t>Procesos avanzados de oxidación</w:t>
            </w:r>
          </w:p>
          <w:p w14:paraId="75A5E059"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Adsorción en carbón activado</w:t>
            </w:r>
          </w:p>
          <w:p w14:paraId="779CAE84"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Procesos de membranas.</w:t>
            </w:r>
          </w:p>
          <w:p w14:paraId="50DFE547" w14:textId="77777777" w:rsidR="00A74CDF" w:rsidRPr="00F01347" w:rsidRDefault="00A74CDF" w:rsidP="003A601B">
            <w:pPr>
              <w:pStyle w:val="texto0"/>
              <w:spacing w:before="40" w:after="40" w:line="310" w:lineRule="exact"/>
              <w:ind w:firstLine="0"/>
              <w:rPr>
                <w:rFonts w:ascii="Verdana" w:hAnsi="Verdana"/>
                <w:color w:val="000000"/>
                <w:sz w:val="16"/>
                <w:szCs w:val="16"/>
              </w:rPr>
            </w:pPr>
            <w:r w:rsidRPr="00F01347">
              <w:rPr>
                <w:rFonts w:ascii="Verdana" w:hAnsi="Verdana"/>
                <w:sz w:val="16"/>
                <w:szCs w:val="16"/>
              </w:rPr>
              <w:t>En el caso de la oxidación asegurar la completa mineralización</w:t>
            </w:r>
          </w:p>
        </w:tc>
      </w:tr>
      <w:tr w:rsidR="00A74CDF" w:rsidRPr="00F01347" w14:paraId="336CE62B"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18E02E74" w14:textId="77777777" w:rsidR="00A74CDF" w:rsidRPr="00F01347" w:rsidRDefault="00A74CDF" w:rsidP="003A601B">
            <w:pPr>
              <w:pStyle w:val="texto0"/>
              <w:spacing w:before="40" w:after="40" w:line="310" w:lineRule="exact"/>
              <w:ind w:firstLine="0"/>
              <w:rPr>
                <w:rFonts w:ascii="Verdana" w:hAnsi="Verdana"/>
                <w:sz w:val="16"/>
                <w:szCs w:val="16"/>
                <w:lang w:val="es-ES"/>
              </w:rPr>
            </w:pPr>
            <w:proofErr w:type="spellStart"/>
            <w:r w:rsidRPr="00F01347">
              <w:rPr>
                <w:rFonts w:ascii="Verdana" w:hAnsi="Verdana"/>
                <w:sz w:val="16"/>
                <w:szCs w:val="16"/>
                <w:lang w:val="es-ES"/>
              </w:rPr>
              <w:lastRenderedPageBreak/>
              <w:t>Clordano</w:t>
            </w:r>
            <w:proofErr w:type="spellEnd"/>
            <w:r w:rsidRPr="00F01347">
              <w:rPr>
                <w:rFonts w:ascii="Verdana" w:hAnsi="Verdana"/>
                <w:sz w:val="16"/>
                <w:szCs w:val="16"/>
                <w:lang w:val="es-ES"/>
              </w:rPr>
              <w:t xml:space="preserve"> (total de isómeros)</w:t>
            </w:r>
          </w:p>
        </w:tc>
        <w:tc>
          <w:tcPr>
            <w:tcW w:w="5735" w:type="dxa"/>
            <w:tcBorders>
              <w:top w:val="single" w:sz="6" w:space="0" w:color="auto"/>
              <w:left w:val="single" w:sz="6" w:space="0" w:color="auto"/>
              <w:bottom w:val="single" w:sz="6" w:space="0" w:color="auto"/>
              <w:right w:val="single" w:sz="6" w:space="0" w:color="auto"/>
            </w:tcBorders>
          </w:tcPr>
          <w:p w14:paraId="6B62D8F4" w14:textId="77777777" w:rsidR="00A74CDF" w:rsidRPr="00F01347" w:rsidRDefault="00A74CDF" w:rsidP="003A601B">
            <w:pPr>
              <w:pStyle w:val="texto0"/>
              <w:spacing w:before="40" w:after="40" w:line="310"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4A29E70D"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Oxidación química</w:t>
            </w:r>
          </w:p>
          <w:p w14:paraId="4491B277"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Procesos avanzados de oxidación</w:t>
            </w:r>
          </w:p>
          <w:p w14:paraId="247869C8"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Adsorción en carbón activado</w:t>
            </w:r>
          </w:p>
          <w:p w14:paraId="3A7EDC5F"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Procesos de membranas</w:t>
            </w:r>
          </w:p>
          <w:p w14:paraId="2FD903A0" w14:textId="77777777" w:rsidR="00A74CDF" w:rsidRPr="00F01347" w:rsidRDefault="00A74CDF" w:rsidP="003A601B">
            <w:pPr>
              <w:pStyle w:val="texto0"/>
              <w:spacing w:before="40" w:after="40" w:line="310" w:lineRule="exact"/>
              <w:ind w:firstLine="0"/>
              <w:rPr>
                <w:rFonts w:ascii="Verdana" w:hAnsi="Verdana"/>
                <w:color w:val="000000"/>
                <w:sz w:val="16"/>
                <w:szCs w:val="16"/>
              </w:rPr>
            </w:pPr>
            <w:r w:rsidRPr="00F01347">
              <w:rPr>
                <w:rFonts w:ascii="Verdana" w:hAnsi="Verdana"/>
                <w:sz w:val="16"/>
                <w:szCs w:val="16"/>
              </w:rPr>
              <w:t>En el caso de la oxidación asegurar la completa mineralización</w:t>
            </w:r>
          </w:p>
        </w:tc>
      </w:tr>
      <w:tr w:rsidR="00A74CDF" w:rsidRPr="00F01347" w14:paraId="7B9748F4"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73C6DFAD" w14:textId="77777777" w:rsidR="00A74CDF" w:rsidRPr="00F01347" w:rsidRDefault="00A74CDF" w:rsidP="003A601B">
            <w:pPr>
              <w:pStyle w:val="texto0"/>
              <w:spacing w:before="40" w:after="40" w:line="260" w:lineRule="exact"/>
              <w:ind w:firstLine="0"/>
              <w:rPr>
                <w:rFonts w:ascii="Verdana" w:hAnsi="Verdana"/>
                <w:sz w:val="16"/>
                <w:szCs w:val="16"/>
                <w:lang w:val="es-ES"/>
              </w:rPr>
            </w:pPr>
            <w:proofErr w:type="spellStart"/>
            <w:r w:rsidRPr="00F01347">
              <w:rPr>
                <w:rFonts w:ascii="Verdana" w:hAnsi="Verdana"/>
                <w:sz w:val="16"/>
                <w:szCs w:val="16"/>
                <w:lang w:val="es-ES"/>
              </w:rPr>
              <w:t>Cianazina</w:t>
            </w:r>
            <w:proofErr w:type="spellEnd"/>
          </w:p>
        </w:tc>
        <w:tc>
          <w:tcPr>
            <w:tcW w:w="5735" w:type="dxa"/>
            <w:vMerge w:val="restart"/>
            <w:tcBorders>
              <w:top w:val="single" w:sz="6" w:space="0" w:color="auto"/>
              <w:left w:val="single" w:sz="6" w:space="0" w:color="auto"/>
              <w:right w:val="single" w:sz="6" w:space="0" w:color="auto"/>
            </w:tcBorders>
          </w:tcPr>
          <w:p w14:paraId="2F7FEACE"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Oxidación química</w:t>
            </w:r>
          </w:p>
          <w:p w14:paraId="595FBD85"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Procesos avanzados de oxidación</w:t>
            </w:r>
          </w:p>
          <w:p w14:paraId="48F68B9B"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Adsorción en carbón activado</w:t>
            </w:r>
          </w:p>
          <w:p w14:paraId="35568F8D"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Procesos de membranas</w:t>
            </w:r>
          </w:p>
          <w:p w14:paraId="54CDF0AF" w14:textId="77777777" w:rsidR="00A74CDF" w:rsidRPr="00F01347" w:rsidRDefault="00A74CDF" w:rsidP="003A601B">
            <w:pPr>
              <w:pStyle w:val="texto0"/>
              <w:spacing w:before="40" w:after="40" w:line="260" w:lineRule="exact"/>
              <w:ind w:firstLine="0"/>
              <w:rPr>
                <w:rFonts w:ascii="Verdana" w:hAnsi="Verdana"/>
                <w:color w:val="000000"/>
                <w:sz w:val="16"/>
                <w:szCs w:val="16"/>
              </w:rPr>
            </w:pPr>
            <w:r w:rsidRPr="00F01347">
              <w:rPr>
                <w:rFonts w:ascii="Verdana" w:hAnsi="Verdana"/>
                <w:sz w:val="16"/>
                <w:szCs w:val="16"/>
              </w:rPr>
              <w:t>En el caso de la oxidación asegurar la completa mineralización</w:t>
            </w:r>
          </w:p>
        </w:tc>
      </w:tr>
      <w:tr w:rsidR="00A74CDF" w:rsidRPr="00F01347" w14:paraId="69398BBF"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75D6C19B" w14:textId="77777777" w:rsidR="00A74CDF" w:rsidRPr="00F01347" w:rsidRDefault="00A74CDF" w:rsidP="003A601B">
            <w:pPr>
              <w:pStyle w:val="texto0"/>
              <w:spacing w:before="40" w:after="40" w:line="260" w:lineRule="exact"/>
              <w:ind w:firstLine="0"/>
              <w:rPr>
                <w:rFonts w:ascii="Verdana" w:hAnsi="Verdana"/>
                <w:sz w:val="16"/>
                <w:szCs w:val="16"/>
                <w:lang w:val="es-ES"/>
              </w:rPr>
            </w:pPr>
            <w:r w:rsidRPr="00F01347">
              <w:rPr>
                <w:rFonts w:ascii="Verdana" w:hAnsi="Verdana"/>
                <w:sz w:val="16"/>
                <w:szCs w:val="16"/>
                <w:lang w:val="es-ES"/>
              </w:rPr>
              <w:t>DDT y metabolitos</w:t>
            </w:r>
          </w:p>
        </w:tc>
        <w:tc>
          <w:tcPr>
            <w:tcW w:w="5735" w:type="dxa"/>
            <w:vMerge/>
            <w:tcBorders>
              <w:left w:val="single" w:sz="6" w:space="0" w:color="auto"/>
              <w:right w:val="single" w:sz="6" w:space="0" w:color="auto"/>
            </w:tcBorders>
          </w:tcPr>
          <w:p w14:paraId="4ACE5902" w14:textId="77777777" w:rsidR="00A74CDF" w:rsidRPr="00F01347" w:rsidRDefault="00A74CDF" w:rsidP="003A601B">
            <w:pPr>
              <w:pStyle w:val="texto0"/>
              <w:spacing w:before="40" w:after="40" w:line="260" w:lineRule="exact"/>
              <w:ind w:firstLine="0"/>
              <w:rPr>
                <w:rFonts w:ascii="Verdana" w:hAnsi="Verdana"/>
                <w:color w:val="000000"/>
                <w:sz w:val="16"/>
                <w:szCs w:val="16"/>
              </w:rPr>
            </w:pPr>
          </w:p>
        </w:tc>
      </w:tr>
      <w:tr w:rsidR="00A74CDF" w:rsidRPr="00F01347" w14:paraId="39BC993B"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5FB31F69" w14:textId="77777777" w:rsidR="00A74CDF" w:rsidRPr="00F01347" w:rsidRDefault="00A74CDF" w:rsidP="003A601B">
            <w:pPr>
              <w:pStyle w:val="texto0"/>
              <w:spacing w:before="40" w:after="40" w:line="260" w:lineRule="exact"/>
              <w:ind w:firstLine="0"/>
              <w:rPr>
                <w:rFonts w:ascii="Verdana" w:hAnsi="Verdana"/>
                <w:sz w:val="16"/>
                <w:szCs w:val="16"/>
                <w:lang w:val="es-ES"/>
              </w:rPr>
            </w:pPr>
            <w:proofErr w:type="spellStart"/>
            <w:r w:rsidRPr="00F01347">
              <w:rPr>
                <w:rFonts w:ascii="Verdana" w:hAnsi="Verdana"/>
                <w:sz w:val="16"/>
                <w:szCs w:val="16"/>
                <w:lang w:val="es-ES"/>
              </w:rPr>
              <w:t>Endrin</w:t>
            </w:r>
            <w:proofErr w:type="spellEnd"/>
          </w:p>
        </w:tc>
        <w:tc>
          <w:tcPr>
            <w:tcW w:w="5735" w:type="dxa"/>
            <w:vMerge/>
            <w:tcBorders>
              <w:left w:val="single" w:sz="6" w:space="0" w:color="auto"/>
              <w:right w:val="single" w:sz="6" w:space="0" w:color="auto"/>
            </w:tcBorders>
          </w:tcPr>
          <w:p w14:paraId="75C8F71A" w14:textId="77777777" w:rsidR="00A74CDF" w:rsidRPr="00F01347" w:rsidRDefault="00A74CDF" w:rsidP="003A601B">
            <w:pPr>
              <w:pStyle w:val="texto0"/>
              <w:spacing w:before="40" w:after="40" w:line="260" w:lineRule="exact"/>
              <w:ind w:firstLine="0"/>
              <w:rPr>
                <w:rFonts w:ascii="Verdana" w:hAnsi="Verdana"/>
                <w:color w:val="000000"/>
                <w:sz w:val="16"/>
                <w:szCs w:val="16"/>
              </w:rPr>
            </w:pPr>
          </w:p>
        </w:tc>
      </w:tr>
      <w:tr w:rsidR="00A74CDF" w:rsidRPr="00F01347" w14:paraId="3EAD0AC5"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134F3EC8" w14:textId="77777777" w:rsidR="00A74CDF" w:rsidRPr="00F01347" w:rsidRDefault="00A74CDF" w:rsidP="003A601B">
            <w:pPr>
              <w:pStyle w:val="texto0"/>
              <w:spacing w:before="40" w:after="40" w:line="260" w:lineRule="exact"/>
              <w:ind w:firstLine="0"/>
              <w:rPr>
                <w:rFonts w:ascii="Verdana" w:hAnsi="Verdana"/>
                <w:sz w:val="16"/>
                <w:szCs w:val="16"/>
                <w:lang w:val="es-ES"/>
              </w:rPr>
            </w:pPr>
            <w:r w:rsidRPr="00F01347">
              <w:rPr>
                <w:rFonts w:ascii="Verdana" w:hAnsi="Verdana"/>
                <w:sz w:val="16"/>
                <w:szCs w:val="16"/>
                <w:lang w:val="es-ES"/>
              </w:rPr>
              <w:t>Lindano</w:t>
            </w:r>
          </w:p>
        </w:tc>
        <w:tc>
          <w:tcPr>
            <w:tcW w:w="5735" w:type="dxa"/>
            <w:vMerge/>
            <w:tcBorders>
              <w:left w:val="single" w:sz="6" w:space="0" w:color="auto"/>
              <w:right w:val="single" w:sz="6" w:space="0" w:color="auto"/>
            </w:tcBorders>
          </w:tcPr>
          <w:p w14:paraId="62284A08" w14:textId="77777777" w:rsidR="00A74CDF" w:rsidRPr="00F01347" w:rsidRDefault="00A74CDF" w:rsidP="003A601B">
            <w:pPr>
              <w:pStyle w:val="texto0"/>
              <w:spacing w:before="40" w:after="40" w:line="260" w:lineRule="exact"/>
              <w:ind w:firstLine="0"/>
              <w:rPr>
                <w:rFonts w:ascii="Verdana" w:hAnsi="Verdana"/>
                <w:color w:val="000000"/>
                <w:sz w:val="16"/>
                <w:szCs w:val="16"/>
              </w:rPr>
            </w:pPr>
          </w:p>
        </w:tc>
      </w:tr>
      <w:tr w:rsidR="00A74CDF" w:rsidRPr="00F01347" w14:paraId="36FD492B"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0F82F6B2" w14:textId="77777777" w:rsidR="00A74CDF" w:rsidRPr="00F01347" w:rsidRDefault="00A74CDF" w:rsidP="003A601B">
            <w:pPr>
              <w:pStyle w:val="texto0"/>
              <w:spacing w:before="40" w:after="40" w:line="260" w:lineRule="exact"/>
              <w:ind w:firstLine="0"/>
              <w:rPr>
                <w:rFonts w:ascii="Verdana" w:hAnsi="Verdana"/>
                <w:sz w:val="16"/>
                <w:szCs w:val="16"/>
                <w:lang w:val="es-ES"/>
              </w:rPr>
            </w:pPr>
            <w:proofErr w:type="spellStart"/>
            <w:r w:rsidRPr="00F01347">
              <w:rPr>
                <w:rFonts w:ascii="Verdana" w:hAnsi="Verdana"/>
                <w:sz w:val="16"/>
                <w:szCs w:val="16"/>
                <w:lang w:val="es-ES"/>
              </w:rPr>
              <w:t>Metolacloro</w:t>
            </w:r>
            <w:proofErr w:type="spellEnd"/>
          </w:p>
        </w:tc>
        <w:tc>
          <w:tcPr>
            <w:tcW w:w="5735" w:type="dxa"/>
            <w:vMerge/>
            <w:tcBorders>
              <w:left w:val="single" w:sz="6" w:space="0" w:color="auto"/>
              <w:bottom w:val="single" w:sz="6" w:space="0" w:color="auto"/>
              <w:right w:val="single" w:sz="6" w:space="0" w:color="auto"/>
            </w:tcBorders>
          </w:tcPr>
          <w:p w14:paraId="2E3EB6F3" w14:textId="77777777" w:rsidR="00A74CDF" w:rsidRPr="00F01347" w:rsidRDefault="00A74CDF" w:rsidP="003A601B">
            <w:pPr>
              <w:pStyle w:val="texto0"/>
              <w:spacing w:before="40" w:after="40" w:line="260" w:lineRule="exact"/>
              <w:ind w:firstLine="0"/>
              <w:rPr>
                <w:rFonts w:ascii="Verdana" w:hAnsi="Verdana"/>
                <w:sz w:val="16"/>
                <w:szCs w:val="16"/>
              </w:rPr>
            </w:pPr>
          </w:p>
        </w:tc>
      </w:tr>
      <w:tr w:rsidR="00A74CDF" w:rsidRPr="00F01347" w14:paraId="3EF669A3"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2DECB5A3" w14:textId="77777777" w:rsidR="00A74CDF" w:rsidRPr="00F01347" w:rsidRDefault="00A74CDF" w:rsidP="003A601B">
            <w:pPr>
              <w:pStyle w:val="texto0"/>
              <w:spacing w:before="40" w:after="40" w:line="260" w:lineRule="exact"/>
              <w:ind w:firstLine="0"/>
              <w:rPr>
                <w:rFonts w:ascii="Verdana" w:hAnsi="Verdana"/>
                <w:sz w:val="16"/>
                <w:szCs w:val="16"/>
                <w:lang w:val="es-ES"/>
              </w:rPr>
            </w:pPr>
            <w:proofErr w:type="spellStart"/>
            <w:r w:rsidRPr="00F01347">
              <w:rPr>
                <w:rFonts w:ascii="Verdana" w:hAnsi="Verdana"/>
                <w:sz w:val="16"/>
                <w:szCs w:val="16"/>
                <w:lang w:val="es-ES"/>
              </w:rPr>
              <w:t>Metoxicloro</w:t>
            </w:r>
            <w:proofErr w:type="spellEnd"/>
          </w:p>
        </w:tc>
        <w:tc>
          <w:tcPr>
            <w:tcW w:w="5735" w:type="dxa"/>
            <w:tcBorders>
              <w:top w:val="single" w:sz="6" w:space="0" w:color="auto"/>
              <w:left w:val="single" w:sz="6" w:space="0" w:color="auto"/>
              <w:bottom w:val="single" w:sz="6" w:space="0" w:color="auto"/>
              <w:right w:val="single" w:sz="6" w:space="0" w:color="auto"/>
            </w:tcBorders>
          </w:tcPr>
          <w:p w14:paraId="6D00FED6" w14:textId="77777777" w:rsidR="00A74CDF" w:rsidRPr="00F01347" w:rsidRDefault="00A74CDF" w:rsidP="003A601B">
            <w:pPr>
              <w:pStyle w:val="texto0"/>
              <w:spacing w:before="40" w:after="40" w:line="260"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5A3D42AA"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Oxidación química</w:t>
            </w:r>
          </w:p>
          <w:p w14:paraId="7B335563"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Procesos avanzados de oxidación</w:t>
            </w:r>
          </w:p>
          <w:p w14:paraId="7B5FAACD"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Adsorción en carbón activado</w:t>
            </w:r>
          </w:p>
          <w:p w14:paraId="202873C9"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Procesos de membranas</w:t>
            </w:r>
          </w:p>
          <w:p w14:paraId="4AEE9C7E"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6C475D35" w14:textId="77777777">
        <w:trPr>
          <w:trHeight w:val="20"/>
        </w:trPr>
        <w:tc>
          <w:tcPr>
            <w:tcW w:w="2977" w:type="dxa"/>
            <w:tcBorders>
              <w:top w:val="single" w:sz="6" w:space="0" w:color="auto"/>
              <w:left w:val="single" w:sz="6" w:space="0" w:color="auto"/>
              <w:bottom w:val="single" w:sz="6" w:space="0" w:color="auto"/>
              <w:right w:val="single" w:sz="6" w:space="0" w:color="auto"/>
            </w:tcBorders>
            <w:noWrap/>
            <w:vAlign w:val="center"/>
          </w:tcPr>
          <w:p w14:paraId="0E3F6038" w14:textId="77777777" w:rsidR="00A74CDF" w:rsidRPr="00F01347" w:rsidRDefault="00A74CDF" w:rsidP="003A601B">
            <w:pPr>
              <w:pStyle w:val="texto0"/>
              <w:spacing w:before="40" w:after="40" w:line="260" w:lineRule="exact"/>
              <w:ind w:firstLine="0"/>
              <w:rPr>
                <w:rFonts w:ascii="Verdana" w:hAnsi="Verdana"/>
                <w:sz w:val="16"/>
                <w:szCs w:val="16"/>
                <w:lang w:val="es-ES"/>
              </w:rPr>
            </w:pPr>
            <w:proofErr w:type="spellStart"/>
            <w:r w:rsidRPr="00F01347">
              <w:rPr>
                <w:rFonts w:ascii="Verdana" w:hAnsi="Verdana"/>
                <w:sz w:val="16"/>
                <w:szCs w:val="16"/>
                <w:lang w:val="es-ES"/>
              </w:rPr>
              <w:t>Pendimetalina</w:t>
            </w:r>
            <w:proofErr w:type="spellEnd"/>
          </w:p>
        </w:tc>
        <w:tc>
          <w:tcPr>
            <w:tcW w:w="5735" w:type="dxa"/>
            <w:tcBorders>
              <w:top w:val="single" w:sz="6" w:space="0" w:color="auto"/>
              <w:left w:val="single" w:sz="6" w:space="0" w:color="auto"/>
              <w:bottom w:val="single" w:sz="6" w:space="0" w:color="auto"/>
              <w:right w:val="single" w:sz="6" w:space="0" w:color="auto"/>
            </w:tcBorders>
          </w:tcPr>
          <w:p w14:paraId="305AFB31"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Oxidación química</w:t>
            </w:r>
          </w:p>
          <w:p w14:paraId="2D635F25"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Procesos avanzados de oxidación</w:t>
            </w:r>
          </w:p>
          <w:p w14:paraId="5845C7D6"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Adsorción en carbón activado</w:t>
            </w:r>
          </w:p>
          <w:p w14:paraId="08103BD4"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Procesos de membranas</w:t>
            </w:r>
          </w:p>
          <w:p w14:paraId="71D3FABF"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78BFE074"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08CFA2C8" w14:textId="77777777" w:rsidR="00A74CDF" w:rsidRPr="00F01347" w:rsidRDefault="00A74CDF" w:rsidP="003A601B">
            <w:pPr>
              <w:pStyle w:val="texto0"/>
              <w:spacing w:before="40" w:after="40" w:line="260" w:lineRule="exact"/>
              <w:ind w:firstLine="0"/>
              <w:rPr>
                <w:rFonts w:ascii="Verdana" w:hAnsi="Verdana"/>
                <w:sz w:val="16"/>
                <w:szCs w:val="16"/>
                <w:lang w:val="es-ES"/>
              </w:rPr>
            </w:pPr>
            <w:proofErr w:type="spellStart"/>
            <w:r w:rsidRPr="00F01347">
              <w:rPr>
                <w:rFonts w:ascii="Verdana" w:hAnsi="Verdana"/>
                <w:sz w:val="16"/>
                <w:szCs w:val="16"/>
                <w:lang w:val="es-ES"/>
              </w:rPr>
              <w:t>Terbutilazina</w:t>
            </w:r>
            <w:proofErr w:type="spellEnd"/>
            <w:r w:rsidRPr="00F01347">
              <w:rPr>
                <w:rFonts w:ascii="Verdana" w:hAnsi="Verdana"/>
                <w:sz w:val="16"/>
                <w:szCs w:val="16"/>
                <w:lang w:val="es-ES"/>
              </w:rPr>
              <w:t xml:space="preserve"> </w:t>
            </w:r>
          </w:p>
        </w:tc>
        <w:tc>
          <w:tcPr>
            <w:tcW w:w="5735" w:type="dxa"/>
            <w:tcBorders>
              <w:top w:val="single" w:sz="6" w:space="0" w:color="auto"/>
              <w:left w:val="single" w:sz="6" w:space="0" w:color="auto"/>
              <w:bottom w:val="single" w:sz="6" w:space="0" w:color="auto"/>
              <w:right w:val="single" w:sz="6" w:space="0" w:color="auto"/>
            </w:tcBorders>
          </w:tcPr>
          <w:p w14:paraId="20A4951F" w14:textId="77777777" w:rsidR="00A74CDF" w:rsidRPr="00F01347" w:rsidRDefault="00A74CDF" w:rsidP="003A601B">
            <w:pPr>
              <w:pStyle w:val="texto0"/>
              <w:spacing w:before="40" w:after="40" w:line="260"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64F97E28"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Oxidación química</w:t>
            </w:r>
          </w:p>
          <w:p w14:paraId="5269B1B3"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Procesos avanzados de oxidación</w:t>
            </w:r>
          </w:p>
          <w:p w14:paraId="3BD312D1"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Adsorción en carbón activado</w:t>
            </w:r>
          </w:p>
          <w:p w14:paraId="2B85C042"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Procesos de membranas</w:t>
            </w:r>
          </w:p>
          <w:p w14:paraId="452D5FC5"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3B97FF40"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7412C4D0" w14:textId="77777777" w:rsidR="00A74CDF" w:rsidRPr="00F01347" w:rsidRDefault="00A74CDF" w:rsidP="003A601B">
            <w:pPr>
              <w:pStyle w:val="texto0"/>
              <w:spacing w:before="40" w:after="40" w:line="310" w:lineRule="exact"/>
              <w:ind w:firstLine="0"/>
              <w:rPr>
                <w:rFonts w:ascii="Verdana" w:hAnsi="Verdana"/>
                <w:sz w:val="16"/>
                <w:szCs w:val="16"/>
                <w:lang w:val="es-ES"/>
              </w:rPr>
            </w:pPr>
            <w:proofErr w:type="spellStart"/>
            <w:r w:rsidRPr="00F01347">
              <w:rPr>
                <w:rFonts w:ascii="Verdana" w:hAnsi="Verdana"/>
                <w:sz w:val="16"/>
                <w:szCs w:val="16"/>
                <w:lang w:val="es-ES"/>
              </w:rPr>
              <w:t>Trifluralina</w:t>
            </w:r>
            <w:proofErr w:type="spellEnd"/>
          </w:p>
        </w:tc>
        <w:tc>
          <w:tcPr>
            <w:tcW w:w="5735" w:type="dxa"/>
            <w:tcBorders>
              <w:top w:val="single" w:sz="6" w:space="0" w:color="auto"/>
              <w:left w:val="single" w:sz="6" w:space="0" w:color="auto"/>
              <w:bottom w:val="single" w:sz="6" w:space="0" w:color="auto"/>
              <w:right w:val="single" w:sz="6" w:space="0" w:color="auto"/>
            </w:tcBorders>
          </w:tcPr>
          <w:p w14:paraId="0F155760"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Oxidación química</w:t>
            </w:r>
          </w:p>
          <w:p w14:paraId="40C5C26F"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Procesos avanzados de oxidación</w:t>
            </w:r>
          </w:p>
          <w:p w14:paraId="7DC0FDE1"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Adsorción en carbón activado</w:t>
            </w:r>
          </w:p>
          <w:p w14:paraId="6FD88D9B"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Procesos de membranas</w:t>
            </w:r>
          </w:p>
          <w:p w14:paraId="61BD70A9"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6DD30F5F"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51281DC1" w14:textId="77777777" w:rsidR="00A74CDF" w:rsidRPr="00F01347" w:rsidRDefault="00A74CDF" w:rsidP="003A601B">
            <w:pPr>
              <w:pStyle w:val="texto0"/>
              <w:spacing w:before="40" w:after="40" w:line="280" w:lineRule="exact"/>
              <w:ind w:firstLine="0"/>
              <w:rPr>
                <w:rFonts w:ascii="Verdana" w:hAnsi="Verdana"/>
                <w:sz w:val="16"/>
                <w:szCs w:val="16"/>
                <w:lang w:val="es-ES"/>
              </w:rPr>
            </w:pPr>
            <w:r w:rsidRPr="00F01347">
              <w:rPr>
                <w:rFonts w:ascii="Verdana" w:hAnsi="Verdana"/>
                <w:sz w:val="16"/>
                <w:szCs w:val="16"/>
                <w:lang w:val="es-ES"/>
              </w:rPr>
              <w:t>2,4-D</w:t>
            </w:r>
          </w:p>
        </w:tc>
        <w:tc>
          <w:tcPr>
            <w:tcW w:w="5735" w:type="dxa"/>
            <w:tcBorders>
              <w:top w:val="single" w:sz="6" w:space="0" w:color="auto"/>
              <w:left w:val="single" w:sz="6" w:space="0" w:color="auto"/>
              <w:bottom w:val="single" w:sz="6" w:space="0" w:color="auto"/>
              <w:right w:val="single" w:sz="6" w:space="0" w:color="auto"/>
            </w:tcBorders>
          </w:tcPr>
          <w:p w14:paraId="0B0A5759" w14:textId="77777777" w:rsidR="00A74CDF" w:rsidRPr="00F01347" w:rsidRDefault="00A74CDF" w:rsidP="003A601B">
            <w:pPr>
              <w:pStyle w:val="texto0"/>
              <w:spacing w:before="40" w:after="40" w:line="280"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26C5A9D4" w14:textId="77777777" w:rsidR="00A74CDF" w:rsidRPr="00F01347" w:rsidRDefault="00A74CDF" w:rsidP="003A601B">
            <w:pPr>
              <w:pStyle w:val="texto0"/>
              <w:spacing w:before="40" w:after="40" w:line="280" w:lineRule="exact"/>
              <w:ind w:firstLine="0"/>
              <w:rPr>
                <w:rFonts w:ascii="Verdana" w:hAnsi="Verdana"/>
                <w:sz w:val="16"/>
                <w:szCs w:val="16"/>
              </w:rPr>
            </w:pPr>
            <w:r w:rsidRPr="00F01347">
              <w:rPr>
                <w:rFonts w:ascii="Verdana" w:hAnsi="Verdana"/>
                <w:sz w:val="16"/>
                <w:szCs w:val="16"/>
              </w:rPr>
              <w:lastRenderedPageBreak/>
              <w:t>Oxidación química</w:t>
            </w:r>
          </w:p>
          <w:p w14:paraId="08110236" w14:textId="77777777" w:rsidR="00A74CDF" w:rsidRPr="00F01347" w:rsidRDefault="00A74CDF" w:rsidP="003A601B">
            <w:pPr>
              <w:pStyle w:val="texto0"/>
              <w:spacing w:before="40" w:after="40" w:line="280" w:lineRule="exact"/>
              <w:ind w:firstLine="0"/>
              <w:rPr>
                <w:rFonts w:ascii="Verdana" w:hAnsi="Verdana"/>
                <w:sz w:val="16"/>
                <w:szCs w:val="16"/>
              </w:rPr>
            </w:pPr>
            <w:r w:rsidRPr="00F01347">
              <w:rPr>
                <w:rFonts w:ascii="Verdana" w:hAnsi="Verdana"/>
                <w:sz w:val="16"/>
                <w:szCs w:val="16"/>
              </w:rPr>
              <w:t>Procesos avanzados de oxidación</w:t>
            </w:r>
          </w:p>
          <w:p w14:paraId="0F8E7D14" w14:textId="77777777" w:rsidR="00A74CDF" w:rsidRPr="00F01347" w:rsidRDefault="00A74CDF" w:rsidP="003A601B">
            <w:pPr>
              <w:pStyle w:val="texto0"/>
              <w:spacing w:before="40" w:after="40" w:line="280" w:lineRule="exact"/>
              <w:ind w:firstLine="0"/>
              <w:rPr>
                <w:rFonts w:ascii="Verdana" w:hAnsi="Verdana"/>
                <w:sz w:val="16"/>
                <w:szCs w:val="16"/>
              </w:rPr>
            </w:pPr>
            <w:r w:rsidRPr="00F01347">
              <w:rPr>
                <w:rFonts w:ascii="Verdana" w:hAnsi="Verdana"/>
                <w:sz w:val="16"/>
                <w:szCs w:val="16"/>
              </w:rPr>
              <w:t>Adsorción en carbón activado</w:t>
            </w:r>
          </w:p>
          <w:p w14:paraId="6861293A" w14:textId="77777777" w:rsidR="00A74CDF" w:rsidRPr="00F01347" w:rsidRDefault="00A74CDF" w:rsidP="003A601B">
            <w:pPr>
              <w:pStyle w:val="texto0"/>
              <w:spacing w:before="40" w:after="40" w:line="280" w:lineRule="exact"/>
              <w:ind w:firstLine="0"/>
              <w:rPr>
                <w:rFonts w:ascii="Verdana" w:hAnsi="Verdana"/>
                <w:sz w:val="16"/>
                <w:szCs w:val="16"/>
              </w:rPr>
            </w:pPr>
            <w:r w:rsidRPr="00F01347">
              <w:rPr>
                <w:rFonts w:ascii="Verdana" w:hAnsi="Verdana"/>
                <w:sz w:val="16"/>
                <w:szCs w:val="16"/>
              </w:rPr>
              <w:t>Procesos de membranas</w:t>
            </w:r>
          </w:p>
          <w:p w14:paraId="7277826A" w14:textId="77777777" w:rsidR="00A74CDF" w:rsidRPr="00F01347" w:rsidRDefault="00A74CDF" w:rsidP="003A601B">
            <w:pPr>
              <w:pStyle w:val="texto0"/>
              <w:spacing w:before="40" w:after="40" w:line="280"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54703988" w14:textId="77777777">
        <w:trPr>
          <w:trHeight w:val="20"/>
        </w:trPr>
        <w:tc>
          <w:tcPr>
            <w:tcW w:w="2977" w:type="dxa"/>
            <w:tcBorders>
              <w:top w:val="single" w:sz="6" w:space="0" w:color="auto"/>
              <w:left w:val="single" w:sz="6" w:space="0" w:color="auto"/>
              <w:bottom w:val="single" w:sz="6" w:space="0" w:color="auto"/>
              <w:right w:val="single" w:sz="6" w:space="0" w:color="auto"/>
            </w:tcBorders>
            <w:noWrap/>
            <w:vAlign w:val="center"/>
          </w:tcPr>
          <w:p w14:paraId="55019AE2" w14:textId="77777777" w:rsidR="00A74CDF" w:rsidRPr="00F01347" w:rsidRDefault="00A74CDF" w:rsidP="003A601B">
            <w:pPr>
              <w:pStyle w:val="texto0"/>
              <w:spacing w:before="40" w:after="40" w:line="310" w:lineRule="exact"/>
              <w:ind w:firstLine="0"/>
              <w:rPr>
                <w:rFonts w:ascii="Verdana" w:hAnsi="Verdana"/>
                <w:sz w:val="16"/>
                <w:szCs w:val="16"/>
                <w:lang w:val="es-ES"/>
              </w:rPr>
            </w:pPr>
            <w:r w:rsidRPr="00F01347">
              <w:rPr>
                <w:rFonts w:ascii="Verdana" w:hAnsi="Verdana"/>
                <w:sz w:val="16"/>
                <w:szCs w:val="16"/>
                <w:lang w:val="es-ES"/>
              </w:rPr>
              <w:lastRenderedPageBreak/>
              <w:t xml:space="preserve">2,4,5-T </w:t>
            </w:r>
          </w:p>
        </w:tc>
        <w:tc>
          <w:tcPr>
            <w:tcW w:w="5735" w:type="dxa"/>
            <w:vMerge w:val="restart"/>
            <w:tcBorders>
              <w:top w:val="single" w:sz="6" w:space="0" w:color="auto"/>
              <w:left w:val="single" w:sz="6" w:space="0" w:color="auto"/>
              <w:right w:val="single" w:sz="6" w:space="0" w:color="auto"/>
            </w:tcBorders>
          </w:tcPr>
          <w:p w14:paraId="399FB52E"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Nanofiltración</w:t>
            </w:r>
          </w:p>
          <w:p w14:paraId="3EF680D3"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Ósmosis inversa</w:t>
            </w:r>
          </w:p>
          <w:p w14:paraId="11B8F3B3" w14:textId="77777777" w:rsidR="00A74CDF" w:rsidRPr="00F01347" w:rsidRDefault="00A74CDF" w:rsidP="003A601B">
            <w:pPr>
              <w:pStyle w:val="texto0"/>
              <w:spacing w:before="40" w:after="40" w:line="310"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7F69D3B8"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Oxidación química</w:t>
            </w:r>
          </w:p>
          <w:p w14:paraId="19EC34CE"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Procesos avanzados de oxidación</w:t>
            </w:r>
          </w:p>
          <w:p w14:paraId="15B27929"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Adsorción en carbón activado</w:t>
            </w:r>
          </w:p>
          <w:p w14:paraId="7ADEE7D1" w14:textId="77777777" w:rsidR="00A74CDF" w:rsidRPr="00F01347" w:rsidRDefault="00A74CDF" w:rsidP="003A601B">
            <w:pPr>
              <w:pStyle w:val="texto0"/>
              <w:spacing w:before="40" w:after="40" w:line="310"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6A4A958D"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705BF2F1" w14:textId="77777777" w:rsidR="00A74CDF" w:rsidRPr="00F01347" w:rsidRDefault="00A74CDF" w:rsidP="003A601B">
            <w:pPr>
              <w:pStyle w:val="texto0"/>
              <w:spacing w:before="40" w:after="40" w:line="310" w:lineRule="exact"/>
              <w:ind w:firstLine="0"/>
              <w:rPr>
                <w:rFonts w:ascii="Verdana" w:hAnsi="Verdana"/>
                <w:sz w:val="16"/>
                <w:szCs w:val="16"/>
                <w:lang w:val="es-ES"/>
              </w:rPr>
            </w:pPr>
            <w:r w:rsidRPr="00F01347">
              <w:rPr>
                <w:rFonts w:ascii="Verdana" w:hAnsi="Verdana"/>
                <w:sz w:val="16"/>
                <w:szCs w:val="16"/>
                <w:lang w:val="es-ES"/>
              </w:rPr>
              <w:t xml:space="preserve">2,4,5-TP </w:t>
            </w:r>
          </w:p>
        </w:tc>
        <w:tc>
          <w:tcPr>
            <w:tcW w:w="5735" w:type="dxa"/>
            <w:vMerge/>
            <w:tcBorders>
              <w:left w:val="single" w:sz="6" w:space="0" w:color="auto"/>
              <w:right w:val="single" w:sz="6" w:space="0" w:color="auto"/>
            </w:tcBorders>
          </w:tcPr>
          <w:p w14:paraId="1283EDE8" w14:textId="77777777" w:rsidR="00A74CDF" w:rsidRPr="00F01347" w:rsidRDefault="00A74CDF" w:rsidP="003A601B">
            <w:pPr>
              <w:pStyle w:val="texto0"/>
              <w:spacing w:before="40" w:after="40" w:line="310" w:lineRule="exact"/>
              <w:ind w:firstLine="0"/>
              <w:rPr>
                <w:rFonts w:ascii="Verdana" w:hAnsi="Verdana"/>
                <w:sz w:val="16"/>
                <w:szCs w:val="16"/>
              </w:rPr>
            </w:pPr>
          </w:p>
        </w:tc>
      </w:tr>
      <w:tr w:rsidR="00A74CDF" w:rsidRPr="00F01347" w14:paraId="65B3AC5D"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4A582BDF" w14:textId="77777777" w:rsidR="00A74CDF" w:rsidRPr="00F01347" w:rsidRDefault="00A74CDF" w:rsidP="003A601B">
            <w:pPr>
              <w:pStyle w:val="texto0"/>
              <w:spacing w:before="40" w:after="40" w:line="310" w:lineRule="exact"/>
              <w:ind w:firstLine="0"/>
              <w:rPr>
                <w:rFonts w:ascii="Verdana" w:hAnsi="Verdana"/>
                <w:sz w:val="16"/>
                <w:szCs w:val="16"/>
                <w:lang w:val="es-ES"/>
              </w:rPr>
            </w:pPr>
            <w:r w:rsidRPr="00F01347">
              <w:rPr>
                <w:rFonts w:ascii="Verdana" w:hAnsi="Verdana"/>
                <w:sz w:val="16"/>
                <w:szCs w:val="16"/>
                <w:lang w:val="es-ES"/>
              </w:rPr>
              <w:t xml:space="preserve">2,4-DB </w:t>
            </w:r>
          </w:p>
        </w:tc>
        <w:tc>
          <w:tcPr>
            <w:tcW w:w="5735" w:type="dxa"/>
            <w:vMerge/>
            <w:tcBorders>
              <w:left w:val="single" w:sz="6" w:space="0" w:color="auto"/>
              <w:right w:val="single" w:sz="6" w:space="0" w:color="auto"/>
            </w:tcBorders>
          </w:tcPr>
          <w:p w14:paraId="3397E833" w14:textId="77777777" w:rsidR="00A74CDF" w:rsidRPr="00F01347" w:rsidRDefault="00A74CDF" w:rsidP="003A601B">
            <w:pPr>
              <w:pStyle w:val="texto0"/>
              <w:spacing w:before="40" w:after="40" w:line="310" w:lineRule="exact"/>
              <w:ind w:firstLine="0"/>
              <w:rPr>
                <w:rFonts w:ascii="Verdana" w:hAnsi="Verdana"/>
                <w:sz w:val="16"/>
                <w:szCs w:val="16"/>
              </w:rPr>
            </w:pPr>
          </w:p>
        </w:tc>
      </w:tr>
      <w:tr w:rsidR="00A74CDF" w:rsidRPr="00F01347" w14:paraId="34B2D514"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38E862B2" w14:textId="77777777" w:rsidR="00A74CDF" w:rsidRPr="00F01347" w:rsidRDefault="00A74CDF" w:rsidP="003A601B">
            <w:pPr>
              <w:pStyle w:val="texto0"/>
              <w:spacing w:before="40" w:after="40" w:line="310" w:lineRule="exact"/>
              <w:ind w:firstLine="0"/>
              <w:rPr>
                <w:rFonts w:ascii="Verdana" w:hAnsi="Verdana"/>
                <w:sz w:val="16"/>
                <w:szCs w:val="16"/>
                <w:lang w:val="es-ES"/>
              </w:rPr>
            </w:pPr>
            <w:proofErr w:type="spellStart"/>
            <w:r w:rsidRPr="00F01347">
              <w:rPr>
                <w:rFonts w:ascii="Verdana" w:hAnsi="Verdana"/>
                <w:sz w:val="16"/>
                <w:szCs w:val="16"/>
                <w:lang w:val="es-ES"/>
              </w:rPr>
              <w:t>Diclorprop</w:t>
            </w:r>
            <w:proofErr w:type="spellEnd"/>
            <w:r w:rsidRPr="00F01347">
              <w:rPr>
                <w:rFonts w:ascii="Verdana" w:hAnsi="Verdana"/>
                <w:sz w:val="16"/>
                <w:szCs w:val="16"/>
                <w:lang w:val="es-ES"/>
              </w:rPr>
              <w:t xml:space="preserve"> </w:t>
            </w:r>
          </w:p>
        </w:tc>
        <w:tc>
          <w:tcPr>
            <w:tcW w:w="5735" w:type="dxa"/>
            <w:vMerge/>
            <w:tcBorders>
              <w:left w:val="single" w:sz="6" w:space="0" w:color="auto"/>
              <w:right w:val="single" w:sz="6" w:space="0" w:color="auto"/>
            </w:tcBorders>
          </w:tcPr>
          <w:p w14:paraId="461F2A9E" w14:textId="77777777" w:rsidR="00A74CDF" w:rsidRPr="00F01347" w:rsidRDefault="00A74CDF" w:rsidP="003A601B">
            <w:pPr>
              <w:pStyle w:val="texto0"/>
              <w:spacing w:before="40" w:after="40" w:line="310" w:lineRule="exact"/>
              <w:ind w:firstLine="0"/>
              <w:rPr>
                <w:rFonts w:ascii="Verdana" w:hAnsi="Verdana"/>
                <w:sz w:val="16"/>
                <w:szCs w:val="16"/>
              </w:rPr>
            </w:pPr>
          </w:p>
        </w:tc>
      </w:tr>
      <w:tr w:rsidR="00A74CDF" w:rsidRPr="00F01347" w14:paraId="4D4351D4"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4BA52666" w14:textId="77777777" w:rsidR="00A74CDF" w:rsidRPr="00F01347" w:rsidRDefault="00A74CDF" w:rsidP="003A601B">
            <w:pPr>
              <w:pStyle w:val="texto0"/>
              <w:spacing w:before="40" w:after="40" w:line="310" w:lineRule="exact"/>
              <w:ind w:firstLine="0"/>
              <w:rPr>
                <w:rFonts w:ascii="Verdana" w:hAnsi="Verdana"/>
                <w:sz w:val="16"/>
                <w:szCs w:val="16"/>
                <w:lang w:val="es-ES"/>
              </w:rPr>
            </w:pPr>
            <w:proofErr w:type="spellStart"/>
            <w:r w:rsidRPr="00F01347">
              <w:rPr>
                <w:rFonts w:ascii="Verdana" w:hAnsi="Verdana"/>
                <w:sz w:val="16"/>
                <w:szCs w:val="16"/>
                <w:lang w:val="es-ES"/>
              </w:rPr>
              <w:t>Mecoprop</w:t>
            </w:r>
            <w:proofErr w:type="spellEnd"/>
            <w:r w:rsidRPr="00F01347">
              <w:rPr>
                <w:rFonts w:ascii="Verdana" w:hAnsi="Verdana"/>
                <w:sz w:val="16"/>
                <w:szCs w:val="16"/>
                <w:lang w:val="es-ES"/>
              </w:rPr>
              <w:t xml:space="preserve"> </w:t>
            </w:r>
          </w:p>
        </w:tc>
        <w:tc>
          <w:tcPr>
            <w:tcW w:w="5735" w:type="dxa"/>
            <w:vMerge/>
            <w:tcBorders>
              <w:left w:val="single" w:sz="6" w:space="0" w:color="auto"/>
              <w:bottom w:val="single" w:sz="6" w:space="0" w:color="auto"/>
              <w:right w:val="single" w:sz="6" w:space="0" w:color="auto"/>
            </w:tcBorders>
          </w:tcPr>
          <w:p w14:paraId="19BEF17F" w14:textId="77777777" w:rsidR="00A74CDF" w:rsidRPr="00F01347" w:rsidRDefault="00A74CDF" w:rsidP="003A601B">
            <w:pPr>
              <w:pStyle w:val="texto0"/>
              <w:spacing w:before="40" w:after="40" w:line="310" w:lineRule="exact"/>
              <w:ind w:firstLine="0"/>
              <w:rPr>
                <w:rFonts w:ascii="Verdana" w:hAnsi="Verdana"/>
                <w:sz w:val="16"/>
                <w:szCs w:val="16"/>
              </w:rPr>
            </w:pPr>
          </w:p>
        </w:tc>
      </w:tr>
      <w:tr w:rsidR="00A74CDF" w:rsidRPr="00F01347" w14:paraId="4ED19FD8"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AA710CD" w14:textId="77777777" w:rsidR="00A74CDF" w:rsidRPr="00F01347" w:rsidRDefault="00A74CDF" w:rsidP="003A601B">
            <w:pPr>
              <w:pStyle w:val="texto0"/>
              <w:spacing w:before="40" w:after="40" w:line="240" w:lineRule="exact"/>
              <w:ind w:firstLine="0"/>
              <w:rPr>
                <w:rFonts w:ascii="Verdana" w:hAnsi="Verdana"/>
                <w:sz w:val="16"/>
                <w:szCs w:val="16"/>
                <w:lang w:val="es-ES"/>
              </w:rPr>
            </w:pPr>
            <w:proofErr w:type="spellStart"/>
            <w:r w:rsidRPr="00F01347">
              <w:rPr>
                <w:rFonts w:ascii="Verdana" w:hAnsi="Verdana"/>
                <w:sz w:val="16"/>
                <w:szCs w:val="16"/>
                <w:lang w:val="es-ES"/>
              </w:rPr>
              <w:t>Clorotoluron</w:t>
            </w:r>
            <w:proofErr w:type="spellEnd"/>
          </w:p>
        </w:tc>
        <w:tc>
          <w:tcPr>
            <w:tcW w:w="5735" w:type="dxa"/>
            <w:tcBorders>
              <w:top w:val="single" w:sz="6" w:space="0" w:color="auto"/>
              <w:left w:val="single" w:sz="6" w:space="0" w:color="auto"/>
              <w:bottom w:val="single" w:sz="6" w:space="0" w:color="auto"/>
              <w:right w:val="single" w:sz="6" w:space="0" w:color="auto"/>
            </w:tcBorders>
          </w:tcPr>
          <w:p w14:paraId="663C59B1"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Nanofiltración</w:t>
            </w:r>
          </w:p>
          <w:p w14:paraId="3449D79C"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Ósmosis inversa</w:t>
            </w:r>
          </w:p>
          <w:p w14:paraId="0FE13C43" w14:textId="77777777" w:rsidR="00A74CDF" w:rsidRPr="00F01347" w:rsidRDefault="00A74CDF" w:rsidP="003A601B">
            <w:pPr>
              <w:pStyle w:val="texto0"/>
              <w:spacing w:before="40" w:after="40" w:line="240" w:lineRule="exact"/>
              <w:ind w:firstLine="0"/>
              <w:rPr>
                <w:rFonts w:ascii="Verdana" w:hAnsi="Verdana"/>
                <w:sz w:val="16"/>
                <w:szCs w:val="16"/>
              </w:rPr>
            </w:pPr>
            <w:proofErr w:type="spellStart"/>
            <w:r w:rsidRPr="00F01347">
              <w:rPr>
                <w:rFonts w:ascii="Verdana" w:hAnsi="Verdana"/>
                <w:sz w:val="16"/>
                <w:szCs w:val="16"/>
              </w:rPr>
              <w:t>Ozonación</w:t>
            </w:r>
            <w:proofErr w:type="spellEnd"/>
          </w:p>
        </w:tc>
      </w:tr>
      <w:tr w:rsidR="00A74CDF" w:rsidRPr="00F01347" w14:paraId="25371150"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5AEE0293" w14:textId="77777777" w:rsidR="00A74CDF" w:rsidRPr="00F01347" w:rsidRDefault="00A74CDF" w:rsidP="003A601B">
            <w:pPr>
              <w:pStyle w:val="texto0"/>
              <w:spacing w:before="40" w:after="40" w:line="240" w:lineRule="exact"/>
              <w:ind w:firstLine="0"/>
              <w:rPr>
                <w:rFonts w:ascii="Verdana" w:hAnsi="Verdana"/>
                <w:sz w:val="16"/>
                <w:szCs w:val="16"/>
                <w:lang w:val="es-ES"/>
              </w:rPr>
            </w:pPr>
            <w:proofErr w:type="spellStart"/>
            <w:r w:rsidRPr="00F01347">
              <w:rPr>
                <w:rFonts w:ascii="Verdana" w:hAnsi="Verdana"/>
                <w:sz w:val="16"/>
                <w:szCs w:val="16"/>
                <w:lang w:val="es-ES"/>
              </w:rPr>
              <w:t>Aldicarb</w:t>
            </w:r>
            <w:proofErr w:type="spellEnd"/>
            <w:r w:rsidRPr="00F01347">
              <w:rPr>
                <w:rFonts w:ascii="Verdana" w:hAnsi="Verdana"/>
                <w:sz w:val="16"/>
                <w:szCs w:val="16"/>
                <w:lang w:val="es-ES"/>
              </w:rPr>
              <w:t xml:space="preserve"> </w:t>
            </w:r>
          </w:p>
        </w:tc>
        <w:tc>
          <w:tcPr>
            <w:tcW w:w="5735" w:type="dxa"/>
            <w:vMerge w:val="restart"/>
            <w:tcBorders>
              <w:top w:val="single" w:sz="6" w:space="0" w:color="auto"/>
              <w:left w:val="single" w:sz="6" w:space="0" w:color="auto"/>
              <w:right w:val="single" w:sz="6" w:space="0" w:color="auto"/>
            </w:tcBorders>
          </w:tcPr>
          <w:p w14:paraId="77E5AAD3"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Nanofiltración</w:t>
            </w:r>
          </w:p>
          <w:p w14:paraId="40D7504C"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Ósmosis inversa</w:t>
            </w:r>
          </w:p>
          <w:p w14:paraId="1F303FF7" w14:textId="77777777" w:rsidR="00A74CDF" w:rsidRPr="00F01347" w:rsidRDefault="00A74CDF" w:rsidP="003A601B">
            <w:pPr>
              <w:pStyle w:val="texto0"/>
              <w:spacing w:before="40" w:after="40" w:line="240"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19129DBB"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Oxidación química</w:t>
            </w:r>
          </w:p>
          <w:p w14:paraId="7A39CED8"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Procesos avanzados de oxidación</w:t>
            </w:r>
          </w:p>
          <w:p w14:paraId="16C1325A"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Adsorción en carbón activado</w:t>
            </w:r>
          </w:p>
          <w:p w14:paraId="0CB5602B"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056DEE25"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4C9FECAC" w14:textId="77777777" w:rsidR="00A74CDF" w:rsidRPr="00F01347" w:rsidRDefault="00A74CDF" w:rsidP="003A601B">
            <w:pPr>
              <w:pStyle w:val="texto0"/>
              <w:spacing w:before="40" w:after="40" w:line="240" w:lineRule="exact"/>
              <w:ind w:firstLine="0"/>
              <w:rPr>
                <w:rFonts w:ascii="Verdana" w:hAnsi="Verdana"/>
                <w:sz w:val="16"/>
                <w:szCs w:val="16"/>
                <w:lang w:val="es-ES"/>
              </w:rPr>
            </w:pPr>
            <w:proofErr w:type="spellStart"/>
            <w:r w:rsidRPr="00F01347">
              <w:rPr>
                <w:rFonts w:ascii="Verdana" w:hAnsi="Verdana"/>
                <w:sz w:val="16"/>
                <w:szCs w:val="16"/>
                <w:lang w:val="es-ES"/>
              </w:rPr>
              <w:t>Carbofurán</w:t>
            </w:r>
            <w:proofErr w:type="spellEnd"/>
          </w:p>
        </w:tc>
        <w:tc>
          <w:tcPr>
            <w:tcW w:w="5735" w:type="dxa"/>
            <w:vMerge/>
            <w:tcBorders>
              <w:left w:val="single" w:sz="6" w:space="0" w:color="auto"/>
              <w:bottom w:val="single" w:sz="6" w:space="0" w:color="auto"/>
              <w:right w:val="single" w:sz="6" w:space="0" w:color="auto"/>
            </w:tcBorders>
          </w:tcPr>
          <w:p w14:paraId="2E476EAF" w14:textId="77777777" w:rsidR="00A74CDF" w:rsidRPr="00F01347" w:rsidRDefault="00A74CDF" w:rsidP="003A601B">
            <w:pPr>
              <w:pStyle w:val="texto0"/>
              <w:spacing w:before="40" w:after="40" w:line="240" w:lineRule="exact"/>
              <w:ind w:firstLine="0"/>
              <w:rPr>
                <w:rFonts w:ascii="Verdana" w:hAnsi="Verdana"/>
                <w:sz w:val="16"/>
                <w:szCs w:val="16"/>
              </w:rPr>
            </w:pPr>
          </w:p>
        </w:tc>
      </w:tr>
      <w:tr w:rsidR="00A74CDF" w:rsidRPr="00F01347" w14:paraId="23DB32FC"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6555A841" w14:textId="77777777" w:rsidR="00A74CDF" w:rsidRPr="00F01347" w:rsidRDefault="00A74CDF" w:rsidP="003A601B">
            <w:pPr>
              <w:pStyle w:val="texto0"/>
              <w:spacing w:before="40" w:after="40" w:line="240" w:lineRule="exact"/>
              <w:ind w:firstLine="0"/>
              <w:rPr>
                <w:rFonts w:ascii="Verdana" w:hAnsi="Verdana"/>
                <w:sz w:val="16"/>
                <w:szCs w:val="16"/>
                <w:lang w:val="es-ES"/>
              </w:rPr>
            </w:pPr>
            <w:r w:rsidRPr="00F01347">
              <w:rPr>
                <w:rFonts w:ascii="Verdana" w:hAnsi="Verdana"/>
                <w:sz w:val="16"/>
                <w:szCs w:val="16"/>
                <w:lang w:val="es-ES"/>
              </w:rPr>
              <w:t xml:space="preserve">Ácido </w:t>
            </w:r>
            <w:proofErr w:type="spellStart"/>
            <w:r w:rsidRPr="00F01347">
              <w:rPr>
                <w:rFonts w:ascii="Verdana" w:hAnsi="Verdana"/>
                <w:sz w:val="16"/>
                <w:szCs w:val="16"/>
                <w:lang w:val="es-ES"/>
              </w:rPr>
              <w:t>edético</w:t>
            </w:r>
            <w:proofErr w:type="spellEnd"/>
          </w:p>
        </w:tc>
        <w:tc>
          <w:tcPr>
            <w:tcW w:w="5735" w:type="dxa"/>
            <w:vMerge w:val="restart"/>
            <w:tcBorders>
              <w:top w:val="single" w:sz="6" w:space="0" w:color="auto"/>
              <w:left w:val="single" w:sz="6" w:space="0" w:color="auto"/>
              <w:right w:val="single" w:sz="6" w:space="0" w:color="auto"/>
            </w:tcBorders>
          </w:tcPr>
          <w:p w14:paraId="2224A2E7"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Oxidación química</w:t>
            </w:r>
          </w:p>
          <w:p w14:paraId="728A30DC"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Procesos avanzados de oxidación</w:t>
            </w:r>
          </w:p>
          <w:p w14:paraId="3A8169EC"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Adsorción en carbón activado</w:t>
            </w:r>
          </w:p>
          <w:p w14:paraId="11C96245"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Procesos de membranas</w:t>
            </w:r>
          </w:p>
          <w:p w14:paraId="75CBBB3E"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604EE3DF"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B3FB1F5" w14:textId="77777777" w:rsidR="00A74CDF" w:rsidRPr="00F01347" w:rsidRDefault="00A74CDF" w:rsidP="003A601B">
            <w:pPr>
              <w:pStyle w:val="texto0"/>
              <w:spacing w:before="40" w:after="40" w:line="240" w:lineRule="exact"/>
              <w:ind w:firstLine="0"/>
              <w:rPr>
                <w:rFonts w:ascii="Verdana" w:hAnsi="Verdana"/>
                <w:sz w:val="16"/>
                <w:szCs w:val="16"/>
                <w:lang w:val="es-ES"/>
              </w:rPr>
            </w:pPr>
            <w:r w:rsidRPr="00F01347">
              <w:rPr>
                <w:rFonts w:ascii="Verdana" w:hAnsi="Verdana"/>
                <w:sz w:val="16"/>
                <w:szCs w:val="16"/>
                <w:lang w:val="es-ES"/>
              </w:rPr>
              <w:t xml:space="preserve">Ácido </w:t>
            </w:r>
            <w:proofErr w:type="spellStart"/>
            <w:r w:rsidRPr="00F01347">
              <w:rPr>
                <w:rFonts w:ascii="Verdana" w:hAnsi="Verdana"/>
                <w:sz w:val="16"/>
                <w:szCs w:val="16"/>
                <w:lang w:val="es-ES"/>
              </w:rPr>
              <w:t>nitrilotriacético</w:t>
            </w:r>
            <w:proofErr w:type="spellEnd"/>
          </w:p>
        </w:tc>
        <w:tc>
          <w:tcPr>
            <w:tcW w:w="5735" w:type="dxa"/>
            <w:vMerge/>
            <w:tcBorders>
              <w:left w:val="single" w:sz="6" w:space="0" w:color="auto"/>
              <w:right w:val="single" w:sz="6" w:space="0" w:color="auto"/>
            </w:tcBorders>
          </w:tcPr>
          <w:p w14:paraId="459AD7A0" w14:textId="77777777" w:rsidR="00A74CDF" w:rsidRPr="00F01347" w:rsidRDefault="00A74CDF" w:rsidP="003A601B">
            <w:pPr>
              <w:pStyle w:val="texto0"/>
              <w:spacing w:before="40" w:after="40" w:line="240" w:lineRule="exact"/>
              <w:ind w:firstLine="0"/>
              <w:rPr>
                <w:rFonts w:ascii="Verdana" w:hAnsi="Verdana"/>
                <w:sz w:val="16"/>
                <w:szCs w:val="16"/>
              </w:rPr>
            </w:pPr>
          </w:p>
        </w:tc>
      </w:tr>
      <w:tr w:rsidR="00A74CDF" w:rsidRPr="00F01347" w14:paraId="03DF806B"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4D88DE8B" w14:textId="77777777" w:rsidR="00A74CDF" w:rsidRPr="00F01347" w:rsidRDefault="00A74CDF" w:rsidP="003A601B">
            <w:pPr>
              <w:pStyle w:val="texto0"/>
              <w:spacing w:before="40" w:after="40" w:line="240" w:lineRule="exact"/>
              <w:ind w:firstLine="0"/>
              <w:rPr>
                <w:rFonts w:ascii="Verdana" w:hAnsi="Verdana"/>
                <w:sz w:val="16"/>
                <w:szCs w:val="16"/>
                <w:lang w:val="es-ES"/>
              </w:rPr>
            </w:pPr>
            <w:r w:rsidRPr="00F01347">
              <w:rPr>
                <w:rFonts w:ascii="Verdana" w:hAnsi="Verdana"/>
                <w:sz w:val="16"/>
                <w:szCs w:val="16"/>
                <w:lang w:val="es-ES"/>
              </w:rPr>
              <w:t xml:space="preserve">Acrilamida </w:t>
            </w:r>
          </w:p>
        </w:tc>
        <w:tc>
          <w:tcPr>
            <w:tcW w:w="5735" w:type="dxa"/>
            <w:vMerge/>
            <w:tcBorders>
              <w:left w:val="single" w:sz="6" w:space="0" w:color="auto"/>
              <w:right w:val="single" w:sz="6" w:space="0" w:color="auto"/>
            </w:tcBorders>
          </w:tcPr>
          <w:p w14:paraId="16CE4FFE" w14:textId="77777777" w:rsidR="00A74CDF" w:rsidRPr="00F01347" w:rsidRDefault="00A74CDF" w:rsidP="003A601B">
            <w:pPr>
              <w:pStyle w:val="texto0"/>
              <w:spacing w:before="40" w:after="40" w:line="240" w:lineRule="exact"/>
              <w:ind w:firstLine="0"/>
              <w:rPr>
                <w:rFonts w:ascii="Verdana" w:hAnsi="Verdana"/>
                <w:sz w:val="16"/>
                <w:szCs w:val="16"/>
              </w:rPr>
            </w:pPr>
          </w:p>
        </w:tc>
      </w:tr>
      <w:tr w:rsidR="00A74CDF" w:rsidRPr="00F01347" w14:paraId="0804F783"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304E44BD" w14:textId="77777777" w:rsidR="00A74CDF" w:rsidRPr="00F01347" w:rsidRDefault="00A74CDF" w:rsidP="003A601B">
            <w:pPr>
              <w:pStyle w:val="texto0"/>
              <w:spacing w:before="40" w:after="40" w:line="240" w:lineRule="exact"/>
              <w:ind w:firstLine="0"/>
              <w:rPr>
                <w:rFonts w:ascii="Verdana" w:hAnsi="Verdana"/>
                <w:sz w:val="16"/>
                <w:szCs w:val="16"/>
                <w:lang w:val="es-ES"/>
              </w:rPr>
            </w:pPr>
            <w:proofErr w:type="spellStart"/>
            <w:r w:rsidRPr="00F01347">
              <w:rPr>
                <w:rFonts w:ascii="Verdana" w:hAnsi="Verdana"/>
                <w:sz w:val="16"/>
                <w:szCs w:val="16"/>
              </w:rPr>
              <w:t>Benzo</w:t>
            </w:r>
            <w:proofErr w:type="spellEnd"/>
            <w:r w:rsidRPr="00F01347">
              <w:rPr>
                <w:rFonts w:ascii="Verdana" w:hAnsi="Verdana"/>
                <w:sz w:val="16"/>
                <w:szCs w:val="16"/>
              </w:rPr>
              <w:t>(a)</w:t>
            </w:r>
            <w:proofErr w:type="spellStart"/>
            <w:r w:rsidRPr="00F01347">
              <w:rPr>
                <w:rFonts w:ascii="Verdana" w:hAnsi="Verdana"/>
                <w:sz w:val="16"/>
                <w:szCs w:val="16"/>
              </w:rPr>
              <w:t>pireno</w:t>
            </w:r>
            <w:proofErr w:type="spellEnd"/>
          </w:p>
        </w:tc>
        <w:tc>
          <w:tcPr>
            <w:tcW w:w="5735" w:type="dxa"/>
            <w:vMerge/>
            <w:tcBorders>
              <w:left w:val="single" w:sz="6" w:space="0" w:color="auto"/>
              <w:right w:val="single" w:sz="6" w:space="0" w:color="auto"/>
            </w:tcBorders>
          </w:tcPr>
          <w:p w14:paraId="45AFE585" w14:textId="77777777" w:rsidR="00A74CDF" w:rsidRPr="00F01347" w:rsidRDefault="00A74CDF" w:rsidP="003A601B">
            <w:pPr>
              <w:pStyle w:val="texto0"/>
              <w:spacing w:before="40" w:after="40" w:line="240" w:lineRule="exact"/>
              <w:ind w:firstLine="0"/>
              <w:rPr>
                <w:rFonts w:ascii="Verdana" w:hAnsi="Verdana"/>
                <w:sz w:val="16"/>
                <w:szCs w:val="16"/>
              </w:rPr>
            </w:pPr>
          </w:p>
        </w:tc>
      </w:tr>
      <w:tr w:rsidR="00A74CDF" w:rsidRPr="00F01347" w14:paraId="545674EB"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4198080C" w14:textId="77777777" w:rsidR="00A74CDF" w:rsidRPr="00F01347" w:rsidRDefault="00A74CDF" w:rsidP="003A601B">
            <w:pPr>
              <w:pStyle w:val="texto0"/>
              <w:spacing w:before="40" w:after="40" w:line="240" w:lineRule="exact"/>
              <w:ind w:firstLine="0"/>
              <w:rPr>
                <w:rFonts w:ascii="Verdana" w:hAnsi="Verdana"/>
                <w:sz w:val="16"/>
                <w:szCs w:val="16"/>
                <w:lang w:val="es-ES"/>
              </w:rPr>
            </w:pPr>
            <w:proofErr w:type="spellStart"/>
            <w:r w:rsidRPr="00F01347">
              <w:rPr>
                <w:rFonts w:ascii="Verdana" w:hAnsi="Verdana"/>
                <w:sz w:val="16"/>
                <w:szCs w:val="16"/>
              </w:rPr>
              <w:t>Clorpirifos</w:t>
            </w:r>
            <w:proofErr w:type="spellEnd"/>
          </w:p>
        </w:tc>
        <w:tc>
          <w:tcPr>
            <w:tcW w:w="5735" w:type="dxa"/>
            <w:vMerge/>
            <w:tcBorders>
              <w:left w:val="single" w:sz="6" w:space="0" w:color="auto"/>
              <w:bottom w:val="single" w:sz="6" w:space="0" w:color="auto"/>
              <w:right w:val="single" w:sz="6" w:space="0" w:color="auto"/>
            </w:tcBorders>
          </w:tcPr>
          <w:p w14:paraId="00799BB1" w14:textId="77777777" w:rsidR="00A74CDF" w:rsidRPr="00F01347" w:rsidRDefault="00A74CDF" w:rsidP="003A601B">
            <w:pPr>
              <w:pStyle w:val="texto0"/>
              <w:spacing w:before="40" w:after="40" w:line="240" w:lineRule="exact"/>
              <w:ind w:firstLine="0"/>
              <w:rPr>
                <w:rFonts w:ascii="Verdana" w:hAnsi="Verdana"/>
                <w:sz w:val="16"/>
                <w:szCs w:val="16"/>
              </w:rPr>
            </w:pPr>
          </w:p>
        </w:tc>
      </w:tr>
      <w:tr w:rsidR="00A74CDF" w:rsidRPr="00F01347" w14:paraId="4A450DCC"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3D04E3E" w14:textId="77777777" w:rsidR="00A74CDF" w:rsidRPr="00F01347" w:rsidRDefault="00A74CDF" w:rsidP="003A601B">
            <w:pPr>
              <w:pStyle w:val="texto0"/>
              <w:spacing w:before="40" w:after="40" w:line="240" w:lineRule="exact"/>
              <w:ind w:firstLine="0"/>
              <w:rPr>
                <w:rFonts w:ascii="Verdana" w:hAnsi="Verdana"/>
                <w:sz w:val="16"/>
                <w:szCs w:val="16"/>
                <w:lang w:val="es-ES"/>
              </w:rPr>
            </w:pPr>
            <w:proofErr w:type="spellStart"/>
            <w:r w:rsidRPr="00F01347">
              <w:rPr>
                <w:rFonts w:ascii="Verdana" w:hAnsi="Verdana"/>
                <w:sz w:val="16"/>
                <w:szCs w:val="16"/>
              </w:rPr>
              <w:t>Dimetoato</w:t>
            </w:r>
            <w:proofErr w:type="spellEnd"/>
          </w:p>
        </w:tc>
        <w:tc>
          <w:tcPr>
            <w:tcW w:w="5735" w:type="dxa"/>
            <w:tcBorders>
              <w:top w:val="single" w:sz="6" w:space="0" w:color="auto"/>
              <w:left w:val="single" w:sz="6" w:space="0" w:color="auto"/>
              <w:bottom w:val="single" w:sz="6" w:space="0" w:color="auto"/>
              <w:right w:val="single" w:sz="6" w:space="0" w:color="auto"/>
            </w:tcBorders>
          </w:tcPr>
          <w:p w14:paraId="39564A8F"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Cloración</w:t>
            </w:r>
          </w:p>
          <w:p w14:paraId="3E7725F8" w14:textId="77777777" w:rsidR="00A74CDF" w:rsidRPr="00F01347" w:rsidRDefault="00A74CDF" w:rsidP="003A601B">
            <w:pPr>
              <w:pStyle w:val="texto0"/>
              <w:spacing w:before="40" w:after="40" w:line="240"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7BF862A6"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Oxidación química</w:t>
            </w:r>
          </w:p>
          <w:p w14:paraId="02ED660E"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Procesos avanzados de oxidación</w:t>
            </w:r>
          </w:p>
          <w:p w14:paraId="6870E25A"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Adsorción en carbón activado</w:t>
            </w:r>
          </w:p>
          <w:p w14:paraId="4DA88A89"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Procesos de membranas</w:t>
            </w:r>
          </w:p>
          <w:p w14:paraId="55D79391"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2C275C79"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562F2912" w14:textId="77777777" w:rsidR="00A74CDF" w:rsidRPr="00F01347" w:rsidRDefault="00A74CDF" w:rsidP="003A601B">
            <w:pPr>
              <w:pStyle w:val="texto0"/>
              <w:spacing w:before="40" w:after="40" w:line="240" w:lineRule="exact"/>
              <w:ind w:firstLine="0"/>
              <w:rPr>
                <w:rFonts w:ascii="Verdana" w:hAnsi="Verdana"/>
                <w:sz w:val="16"/>
                <w:szCs w:val="16"/>
              </w:rPr>
            </w:pPr>
            <w:proofErr w:type="spellStart"/>
            <w:r w:rsidRPr="00F01347">
              <w:rPr>
                <w:rFonts w:ascii="Verdana" w:hAnsi="Verdana"/>
                <w:sz w:val="16"/>
                <w:szCs w:val="16"/>
              </w:rPr>
              <w:t>Molinato</w:t>
            </w:r>
            <w:proofErr w:type="spellEnd"/>
          </w:p>
        </w:tc>
        <w:tc>
          <w:tcPr>
            <w:tcW w:w="5735" w:type="dxa"/>
            <w:tcBorders>
              <w:top w:val="single" w:sz="6" w:space="0" w:color="auto"/>
              <w:left w:val="single" w:sz="6" w:space="0" w:color="auto"/>
              <w:bottom w:val="single" w:sz="6" w:space="0" w:color="auto"/>
              <w:right w:val="single" w:sz="6" w:space="0" w:color="auto"/>
            </w:tcBorders>
          </w:tcPr>
          <w:p w14:paraId="6A4768D6"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Oxidación química</w:t>
            </w:r>
          </w:p>
          <w:p w14:paraId="508DB6A7"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Procesos avanzados de oxidación</w:t>
            </w:r>
          </w:p>
          <w:p w14:paraId="67A5077F"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Adsorción en carbón activado</w:t>
            </w:r>
          </w:p>
          <w:p w14:paraId="411D8361"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Procesos de membranas</w:t>
            </w:r>
          </w:p>
          <w:p w14:paraId="2445FDD3" w14:textId="77777777" w:rsidR="00A74CDF" w:rsidRPr="00F01347" w:rsidRDefault="00A74CDF" w:rsidP="003A601B">
            <w:pPr>
              <w:pStyle w:val="texto0"/>
              <w:spacing w:before="40" w:after="40" w:line="240"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445BC606"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7D13591B" w14:textId="77777777" w:rsidR="00A74CDF" w:rsidRPr="00F01347" w:rsidRDefault="00A74CDF" w:rsidP="003A601B">
            <w:pPr>
              <w:pStyle w:val="texto0"/>
              <w:spacing w:before="40" w:after="40" w:line="246" w:lineRule="exact"/>
              <w:ind w:firstLine="0"/>
              <w:rPr>
                <w:rFonts w:ascii="Verdana" w:hAnsi="Verdana"/>
                <w:sz w:val="16"/>
                <w:szCs w:val="16"/>
              </w:rPr>
            </w:pPr>
            <w:proofErr w:type="spellStart"/>
            <w:r w:rsidRPr="00F01347">
              <w:rPr>
                <w:rFonts w:ascii="Verdana" w:hAnsi="Verdana"/>
                <w:sz w:val="16"/>
                <w:szCs w:val="16"/>
              </w:rPr>
              <w:t>Simazina</w:t>
            </w:r>
            <w:proofErr w:type="spellEnd"/>
          </w:p>
        </w:tc>
        <w:tc>
          <w:tcPr>
            <w:tcW w:w="5735" w:type="dxa"/>
            <w:tcBorders>
              <w:top w:val="single" w:sz="6" w:space="0" w:color="auto"/>
              <w:left w:val="single" w:sz="6" w:space="0" w:color="auto"/>
              <w:bottom w:val="single" w:sz="6" w:space="0" w:color="auto"/>
              <w:right w:val="single" w:sz="6" w:space="0" w:color="auto"/>
            </w:tcBorders>
          </w:tcPr>
          <w:p w14:paraId="6A4E6820" w14:textId="77777777" w:rsidR="00A74CDF" w:rsidRPr="00F01347" w:rsidRDefault="00A74CDF" w:rsidP="003A601B">
            <w:pPr>
              <w:pStyle w:val="texto0"/>
              <w:spacing w:before="40" w:after="40" w:line="246"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5CFD95A0"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Oxidación química</w:t>
            </w:r>
          </w:p>
          <w:p w14:paraId="0761FA96"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lastRenderedPageBreak/>
              <w:t>Procesos avanzados de oxidación</w:t>
            </w:r>
          </w:p>
          <w:p w14:paraId="54D70FB4"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Adsorción en carbón activado</w:t>
            </w:r>
          </w:p>
          <w:p w14:paraId="5982439B"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de membranas</w:t>
            </w:r>
          </w:p>
          <w:p w14:paraId="75687BA1"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1F561307"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0FC8BBCF"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lastRenderedPageBreak/>
              <w:t>Di -(2-etilhexil) ftalato</w:t>
            </w:r>
          </w:p>
        </w:tc>
        <w:tc>
          <w:tcPr>
            <w:tcW w:w="5735" w:type="dxa"/>
            <w:tcBorders>
              <w:top w:val="single" w:sz="6" w:space="0" w:color="auto"/>
              <w:left w:val="single" w:sz="6" w:space="0" w:color="auto"/>
              <w:bottom w:val="single" w:sz="6" w:space="0" w:color="auto"/>
              <w:right w:val="single" w:sz="6" w:space="0" w:color="auto"/>
            </w:tcBorders>
          </w:tcPr>
          <w:p w14:paraId="22D9AFB2"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Oxidación química</w:t>
            </w:r>
          </w:p>
          <w:p w14:paraId="1435FBAF"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avanzados de oxidación</w:t>
            </w:r>
          </w:p>
          <w:p w14:paraId="76052F01"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Adsorción en carbón activado</w:t>
            </w:r>
          </w:p>
          <w:p w14:paraId="3FE92FAD"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de membranas</w:t>
            </w:r>
          </w:p>
          <w:p w14:paraId="6FD6D27E"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3A5D0F08" w14:textId="77777777">
        <w:trPr>
          <w:trHeight w:val="144"/>
        </w:trPr>
        <w:tc>
          <w:tcPr>
            <w:tcW w:w="2977" w:type="dxa"/>
            <w:tcBorders>
              <w:top w:val="single" w:sz="6" w:space="0" w:color="auto"/>
              <w:left w:val="single" w:sz="6" w:space="0" w:color="auto"/>
              <w:bottom w:val="single" w:sz="6" w:space="0" w:color="auto"/>
              <w:right w:val="single" w:sz="6" w:space="0" w:color="auto"/>
            </w:tcBorders>
            <w:noWrap/>
            <w:vAlign w:val="center"/>
          </w:tcPr>
          <w:p w14:paraId="4424B2B5" w14:textId="77777777" w:rsidR="00A74CDF" w:rsidRPr="00F01347" w:rsidRDefault="00A74CDF" w:rsidP="003A601B">
            <w:pPr>
              <w:pStyle w:val="texto0"/>
              <w:spacing w:before="40" w:after="40" w:line="246" w:lineRule="exact"/>
              <w:ind w:firstLine="0"/>
              <w:rPr>
                <w:rFonts w:ascii="Verdana" w:hAnsi="Verdana"/>
                <w:sz w:val="16"/>
                <w:szCs w:val="16"/>
              </w:rPr>
            </w:pPr>
            <w:proofErr w:type="spellStart"/>
            <w:r w:rsidRPr="00F01347">
              <w:rPr>
                <w:rFonts w:ascii="Verdana" w:hAnsi="Verdana"/>
                <w:sz w:val="16"/>
                <w:szCs w:val="16"/>
              </w:rPr>
              <w:t>Isoproturon</w:t>
            </w:r>
            <w:proofErr w:type="spellEnd"/>
          </w:p>
        </w:tc>
        <w:tc>
          <w:tcPr>
            <w:tcW w:w="5735" w:type="dxa"/>
            <w:tcBorders>
              <w:top w:val="single" w:sz="6" w:space="0" w:color="auto"/>
              <w:left w:val="single" w:sz="6" w:space="0" w:color="auto"/>
              <w:bottom w:val="single" w:sz="6" w:space="0" w:color="auto"/>
              <w:right w:val="single" w:sz="6" w:space="0" w:color="auto"/>
            </w:tcBorders>
          </w:tcPr>
          <w:p w14:paraId="4EE8A850"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Cloración</w:t>
            </w:r>
          </w:p>
          <w:p w14:paraId="4E8DE7BE" w14:textId="77777777" w:rsidR="00A74CDF" w:rsidRPr="00F01347" w:rsidRDefault="00A74CDF" w:rsidP="003A601B">
            <w:pPr>
              <w:pStyle w:val="texto0"/>
              <w:spacing w:before="40" w:after="40" w:line="246"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35004655"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Oxidación química</w:t>
            </w:r>
          </w:p>
          <w:p w14:paraId="6696EA57"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avanzados de oxidación</w:t>
            </w:r>
          </w:p>
          <w:p w14:paraId="46A9060A"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Adsorción en carbón activado</w:t>
            </w:r>
          </w:p>
          <w:p w14:paraId="5D597FD4"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de membranas</w:t>
            </w:r>
          </w:p>
          <w:p w14:paraId="4D89CBD2"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787CC3D8"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1F167449"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1,2-Diclorobenceno</w:t>
            </w:r>
          </w:p>
        </w:tc>
        <w:tc>
          <w:tcPr>
            <w:tcW w:w="5735" w:type="dxa"/>
            <w:vMerge w:val="restart"/>
            <w:tcBorders>
              <w:top w:val="single" w:sz="6" w:space="0" w:color="auto"/>
              <w:left w:val="single" w:sz="6" w:space="0" w:color="auto"/>
              <w:right w:val="single" w:sz="6" w:space="0" w:color="auto"/>
            </w:tcBorders>
          </w:tcPr>
          <w:p w14:paraId="3B77C7D9"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Aireación</w:t>
            </w:r>
          </w:p>
          <w:p w14:paraId="7D3A9390" w14:textId="77777777" w:rsidR="00A74CDF" w:rsidRPr="00F01347" w:rsidRDefault="00A74CDF" w:rsidP="003A601B">
            <w:pPr>
              <w:pStyle w:val="texto0"/>
              <w:spacing w:before="40" w:after="40" w:line="246"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4B3C034F"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Oxidación química</w:t>
            </w:r>
          </w:p>
          <w:p w14:paraId="5857BB40"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avanzados de oxidación</w:t>
            </w:r>
          </w:p>
          <w:p w14:paraId="38B76004"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Adsorción en carbón activado</w:t>
            </w:r>
          </w:p>
          <w:p w14:paraId="6DEB4427"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de membranas</w:t>
            </w:r>
          </w:p>
          <w:p w14:paraId="75A2900A"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66F5A419"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65722B2E"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1,2-Dicloroeteno (cis + trans)</w:t>
            </w:r>
          </w:p>
        </w:tc>
        <w:tc>
          <w:tcPr>
            <w:tcW w:w="5735" w:type="dxa"/>
            <w:vMerge/>
            <w:tcBorders>
              <w:left w:val="single" w:sz="6" w:space="0" w:color="auto"/>
              <w:bottom w:val="single" w:sz="6" w:space="0" w:color="auto"/>
              <w:right w:val="single" w:sz="6" w:space="0" w:color="auto"/>
            </w:tcBorders>
          </w:tcPr>
          <w:p w14:paraId="67EF6B56" w14:textId="77777777" w:rsidR="00A74CDF" w:rsidRPr="00F01347" w:rsidRDefault="00A74CDF" w:rsidP="003A601B">
            <w:pPr>
              <w:pStyle w:val="texto0"/>
              <w:spacing w:before="40" w:after="40" w:line="246" w:lineRule="exact"/>
              <w:ind w:firstLine="0"/>
              <w:rPr>
                <w:rFonts w:ascii="Verdana" w:hAnsi="Verdana"/>
                <w:sz w:val="16"/>
                <w:szCs w:val="16"/>
              </w:rPr>
            </w:pPr>
          </w:p>
        </w:tc>
      </w:tr>
      <w:tr w:rsidR="00A74CDF" w:rsidRPr="00F01347" w14:paraId="619A0D1A"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78A53576"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1,2-Dicloropropano</w:t>
            </w:r>
          </w:p>
        </w:tc>
        <w:tc>
          <w:tcPr>
            <w:tcW w:w="5735" w:type="dxa"/>
            <w:vMerge w:val="restart"/>
            <w:tcBorders>
              <w:top w:val="single" w:sz="6" w:space="0" w:color="auto"/>
              <w:left w:val="single" w:sz="6" w:space="0" w:color="auto"/>
              <w:right w:val="single" w:sz="6" w:space="0" w:color="auto"/>
            </w:tcBorders>
          </w:tcPr>
          <w:p w14:paraId="7500DCA9"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Aireación</w:t>
            </w:r>
          </w:p>
          <w:p w14:paraId="3D1E35B5"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avanzados de oxidación</w:t>
            </w:r>
          </w:p>
          <w:p w14:paraId="4AFF3366"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Adsorción en carbón activado</w:t>
            </w:r>
          </w:p>
          <w:p w14:paraId="3B63B74E"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de membranas</w:t>
            </w:r>
          </w:p>
          <w:p w14:paraId="7B7C10B6"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478B3269"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6DF5895E"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 xml:space="preserve">1,2-Dicloroetano </w:t>
            </w:r>
          </w:p>
        </w:tc>
        <w:tc>
          <w:tcPr>
            <w:tcW w:w="5735" w:type="dxa"/>
            <w:vMerge/>
            <w:tcBorders>
              <w:left w:val="single" w:sz="6" w:space="0" w:color="auto"/>
              <w:right w:val="single" w:sz="6" w:space="0" w:color="auto"/>
            </w:tcBorders>
          </w:tcPr>
          <w:p w14:paraId="7FA3BCB4" w14:textId="77777777" w:rsidR="00A74CDF" w:rsidRPr="00F01347" w:rsidRDefault="00A74CDF" w:rsidP="003A601B">
            <w:pPr>
              <w:pStyle w:val="texto0"/>
              <w:spacing w:before="40" w:after="40" w:line="246" w:lineRule="exact"/>
              <w:ind w:firstLine="0"/>
              <w:rPr>
                <w:rFonts w:ascii="Verdana" w:hAnsi="Verdana"/>
                <w:sz w:val="16"/>
                <w:szCs w:val="16"/>
              </w:rPr>
            </w:pPr>
          </w:p>
        </w:tc>
      </w:tr>
      <w:tr w:rsidR="00A74CDF" w:rsidRPr="00F01347" w14:paraId="28828D8E"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4219CB13"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1,3-Dicloropropeno (cis + trans)</w:t>
            </w:r>
          </w:p>
        </w:tc>
        <w:tc>
          <w:tcPr>
            <w:tcW w:w="5735" w:type="dxa"/>
            <w:vMerge/>
            <w:tcBorders>
              <w:left w:val="single" w:sz="6" w:space="0" w:color="auto"/>
              <w:bottom w:val="single" w:sz="6" w:space="0" w:color="auto"/>
              <w:right w:val="single" w:sz="6" w:space="0" w:color="auto"/>
            </w:tcBorders>
          </w:tcPr>
          <w:p w14:paraId="72906513" w14:textId="77777777" w:rsidR="00A74CDF" w:rsidRPr="00F01347" w:rsidRDefault="00A74CDF" w:rsidP="003A601B">
            <w:pPr>
              <w:pStyle w:val="texto0"/>
              <w:spacing w:before="40" w:after="40" w:line="246" w:lineRule="exact"/>
              <w:ind w:firstLine="0"/>
              <w:rPr>
                <w:rFonts w:ascii="Verdana" w:hAnsi="Verdana"/>
                <w:sz w:val="16"/>
                <w:szCs w:val="16"/>
              </w:rPr>
            </w:pPr>
          </w:p>
        </w:tc>
      </w:tr>
      <w:tr w:rsidR="00A74CDF" w:rsidRPr="00F01347" w14:paraId="00CE5F08" w14:textId="77777777">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337D399C"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 xml:space="preserve">1,4-Diclorobenceno </w:t>
            </w:r>
          </w:p>
        </w:tc>
        <w:tc>
          <w:tcPr>
            <w:tcW w:w="5735" w:type="dxa"/>
            <w:tcBorders>
              <w:top w:val="single" w:sz="6" w:space="0" w:color="auto"/>
              <w:left w:val="single" w:sz="6" w:space="0" w:color="auto"/>
              <w:bottom w:val="single" w:sz="6" w:space="0" w:color="auto"/>
              <w:right w:val="single" w:sz="6" w:space="0" w:color="auto"/>
            </w:tcBorders>
          </w:tcPr>
          <w:p w14:paraId="6617D1EA"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Aireación</w:t>
            </w:r>
          </w:p>
          <w:p w14:paraId="3ADCD959" w14:textId="77777777" w:rsidR="00A74CDF" w:rsidRPr="00F01347" w:rsidRDefault="00A74CDF" w:rsidP="003A601B">
            <w:pPr>
              <w:pStyle w:val="texto0"/>
              <w:spacing w:before="40" w:after="40" w:line="246"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458AEEEB"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avanzados de oxidación</w:t>
            </w:r>
          </w:p>
          <w:p w14:paraId="7DFC8110"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Adsorción en carbón activado</w:t>
            </w:r>
          </w:p>
          <w:p w14:paraId="5AF03EE4"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de membranas</w:t>
            </w:r>
          </w:p>
          <w:p w14:paraId="4DA9A93D"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1E35FA66" w14:textId="77777777">
        <w:trPr>
          <w:trHeight w:val="20"/>
        </w:trPr>
        <w:tc>
          <w:tcPr>
            <w:tcW w:w="2977" w:type="dxa"/>
            <w:tcBorders>
              <w:top w:val="single" w:sz="6" w:space="0" w:color="auto"/>
              <w:left w:val="single" w:sz="6" w:space="0" w:color="auto"/>
              <w:bottom w:val="single" w:sz="6" w:space="0" w:color="auto"/>
              <w:right w:val="single" w:sz="6" w:space="0" w:color="auto"/>
            </w:tcBorders>
            <w:noWrap/>
            <w:vAlign w:val="center"/>
          </w:tcPr>
          <w:p w14:paraId="08206F88"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 xml:space="preserve">Cloruro de vinilo </w:t>
            </w:r>
          </w:p>
        </w:tc>
        <w:tc>
          <w:tcPr>
            <w:tcW w:w="5735" w:type="dxa"/>
            <w:vMerge w:val="restart"/>
            <w:tcBorders>
              <w:top w:val="single" w:sz="6" w:space="0" w:color="auto"/>
              <w:left w:val="single" w:sz="6" w:space="0" w:color="auto"/>
              <w:right w:val="single" w:sz="6" w:space="0" w:color="auto"/>
            </w:tcBorders>
          </w:tcPr>
          <w:p w14:paraId="5F635BAB"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 xml:space="preserve">Aireación (excepto </w:t>
            </w:r>
            <w:proofErr w:type="spellStart"/>
            <w:r w:rsidRPr="00F01347">
              <w:rPr>
                <w:rFonts w:ascii="Verdana" w:hAnsi="Verdana"/>
                <w:sz w:val="16"/>
                <w:szCs w:val="16"/>
              </w:rPr>
              <w:t>Epiclorohidrina</w:t>
            </w:r>
            <w:proofErr w:type="spellEnd"/>
            <w:r w:rsidRPr="00F01347">
              <w:rPr>
                <w:rFonts w:ascii="Verdana" w:hAnsi="Verdana"/>
                <w:sz w:val="16"/>
                <w:szCs w:val="16"/>
              </w:rPr>
              <w:t>)</w:t>
            </w:r>
          </w:p>
          <w:p w14:paraId="01C09B5C"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Oxidación química</w:t>
            </w:r>
          </w:p>
          <w:p w14:paraId="5514C753"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avanzados de oxidación</w:t>
            </w:r>
          </w:p>
          <w:p w14:paraId="192FB01F"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Adsorción en carbón activado</w:t>
            </w:r>
          </w:p>
          <w:p w14:paraId="55844E22"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de membranas</w:t>
            </w:r>
          </w:p>
          <w:p w14:paraId="4FB64305"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7876E93D"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7D3DDE5"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Diclorometano</w:t>
            </w:r>
          </w:p>
        </w:tc>
        <w:tc>
          <w:tcPr>
            <w:tcW w:w="5735" w:type="dxa"/>
            <w:vMerge/>
            <w:tcBorders>
              <w:left w:val="single" w:sz="6" w:space="0" w:color="auto"/>
              <w:right w:val="single" w:sz="6" w:space="0" w:color="auto"/>
            </w:tcBorders>
          </w:tcPr>
          <w:p w14:paraId="35F44E91" w14:textId="77777777" w:rsidR="00A74CDF" w:rsidRPr="00F01347" w:rsidRDefault="00A74CDF" w:rsidP="003A601B">
            <w:pPr>
              <w:pStyle w:val="texto0"/>
              <w:spacing w:before="40" w:after="40" w:line="246" w:lineRule="exact"/>
              <w:ind w:firstLine="0"/>
              <w:rPr>
                <w:rFonts w:ascii="Verdana" w:hAnsi="Verdana"/>
                <w:sz w:val="16"/>
                <w:szCs w:val="16"/>
              </w:rPr>
            </w:pPr>
          </w:p>
        </w:tc>
      </w:tr>
      <w:tr w:rsidR="00A74CDF" w:rsidRPr="00F01347" w14:paraId="5A747C9A"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04DEBDD4" w14:textId="77777777" w:rsidR="00A74CDF" w:rsidRPr="00F01347" w:rsidRDefault="00A74CDF" w:rsidP="003A601B">
            <w:pPr>
              <w:pStyle w:val="texto0"/>
              <w:spacing w:before="40" w:after="40" w:line="246" w:lineRule="exact"/>
              <w:ind w:firstLine="0"/>
              <w:rPr>
                <w:rFonts w:ascii="Verdana" w:hAnsi="Verdana"/>
                <w:sz w:val="16"/>
                <w:szCs w:val="16"/>
              </w:rPr>
            </w:pPr>
            <w:proofErr w:type="spellStart"/>
            <w:r w:rsidRPr="00F01347">
              <w:rPr>
                <w:rFonts w:ascii="Verdana" w:hAnsi="Verdana"/>
                <w:sz w:val="16"/>
                <w:szCs w:val="16"/>
              </w:rPr>
              <w:t>Epiclorohidrina</w:t>
            </w:r>
            <w:proofErr w:type="spellEnd"/>
          </w:p>
        </w:tc>
        <w:tc>
          <w:tcPr>
            <w:tcW w:w="5735" w:type="dxa"/>
            <w:vMerge/>
            <w:tcBorders>
              <w:left w:val="single" w:sz="6" w:space="0" w:color="auto"/>
              <w:right w:val="single" w:sz="6" w:space="0" w:color="auto"/>
            </w:tcBorders>
          </w:tcPr>
          <w:p w14:paraId="70251A72" w14:textId="77777777" w:rsidR="00A74CDF" w:rsidRPr="00F01347" w:rsidRDefault="00A74CDF" w:rsidP="003A601B">
            <w:pPr>
              <w:pStyle w:val="texto0"/>
              <w:spacing w:before="40" w:after="40" w:line="246" w:lineRule="exact"/>
              <w:ind w:firstLine="0"/>
              <w:rPr>
                <w:rFonts w:ascii="Verdana" w:hAnsi="Verdana"/>
                <w:sz w:val="16"/>
                <w:szCs w:val="16"/>
              </w:rPr>
            </w:pPr>
          </w:p>
        </w:tc>
      </w:tr>
      <w:tr w:rsidR="00A74CDF" w:rsidRPr="00F01347" w14:paraId="6ECF43E0"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41DCFD15" w14:textId="77777777" w:rsidR="00A74CDF" w:rsidRPr="00F01347" w:rsidRDefault="00A74CDF" w:rsidP="003A601B">
            <w:pPr>
              <w:pStyle w:val="texto0"/>
              <w:spacing w:before="40" w:after="40" w:line="246" w:lineRule="exact"/>
              <w:ind w:firstLine="0"/>
              <w:rPr>
                <w:rFonts w:ascii="Verdana" w:hAnsi="Verdana"/>
                <w:sz w:val="16"/>
                <w:szCs w:val="16"/>
              </w:rPr>
            </w:pPr>
            <w:proofErr w:type="spellStart"/>
            <w:r w:rsidRPr="00F01347">
              <w:rPr>
                <w:rFonts w:ascii="Verdana" w:hAnsi="Verdana"/>
                <w:sz w:val="16"/>
                <w:szCs w:val="16"/>
              </w:rPr>
              <w:t>Tetracloroetileno</w:t>
            </w:r>
            <w:proofErr w:type="spellEnd"/>
          </w:p>
        </w:tc>
        <w:tc>
          <w:tcPr>
            <w:tcW w:w="5735" w:type="dxa"/>
            <w:vMerge/>
            <w:tcBorders>
              <w:left w:val="single" w:sz="6" w:space="0" w:color="auto"/>
              <w:bottom w:val="single" w:sz="6" w:space="0" w:color="auto"/>
              <w:right w:val="single" w:sz="6" w:space="0" w:color="auto"/>
            </w:tcBorders>
          </w:tcPr>
          <w:p w14:paraId="55E5E000" w14:textId="77777777" w:rsidR="00A74CDF" w:rsidRPr="00F01347" w:rsidRDefault="00A74CDF" w:rsidP="003A601B">
            <w:pPr>
              <w:pStyle w:val="texto0"/>
              <w:spacing w:before="40" w:after="40" w:line="246" w:lineRule="exact"/>
              <w:ind w:firstLine="0"/>
              <w:rPr>
                <w:rFonts w:ascii="Verdana" w:hAnsi="Verdana"/>
                <w:sz w:val="16"/>
                <w:szCs w:val="16"/>
              </w:rPr>
            </w:pPr>
          </w:p>
        </w:tc>
      </w:tr>
      <w:tr w:rsidR="00A74CDF" w:rsidRPr="00F01347" w14:paraId="5C8DB56B"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06BED73"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 xml:space="preserve">Tetracloruro de carbono </w:t>
            </w:r>
          </w:p>
        </w:tc>
        <w:tc>
          <w:tcPr>
            <w:tcW w:w="5735" w:type="dxa"/>
            <w:tcBorders>
              <w:top w:val="single" w:sz="6" w:space="0" w:color="auto"/>
              <w:left w:val="single" w:sz="6" w:space="0" w:color="auto"/>
              <w:bottom w:val="single" w:sz="6" w:space="0" w:color="auto"/>
              <w:right w:val="single" w:sz="6" w:space="0" w:color="auto"/>
            </w:tcBorders>
          </w:tcPr>
          <w:p w14:paraId="67811F07"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Aireación</w:t>
            </w:r>
          </w:p>
          <w:p w14:paraId="5F904FF8"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Oxidación química</w:t>
            </w:r>
          </w:p>
          <w:p w14:paraId="3E58C3AC"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avanzados de oxidación</w:t>
            </w:r>
          </w:p>
          <w:p w14:paraId="6E576A82"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lastRenderedPageBreak/>
              <w:t>Adsorción en carbón activado</w:t>
            </w:r>
          </w:p>
          <w:p w14:paraId="2A9DF2F1"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de membranas</w:t>
            </w:r>
          </w:p>
          <w:p w14:paraId="087DC8D1"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7B605D84"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4375AC41" w14:textId="77777777" w:rsidR="00A74CDF" w:rsidRPr="00F01347" w:rsidRDefault="00A74CDF" w:rsidP="003A601B">
            <w:pPr>
              <w:pStyle w:val="texto0"/>
              <w:spacing w:before="40" w:after="40" w:line="246" w:lineRule="exact"/>
              <w:ind w:firstLine="0"/>
              <w:rPr>
                <w:rFonts w:ascii="Verdana" w:hAnsi="Verdana"/>
                <w:sz w:val="16"/>
                <w:szCs w:val="16"/>
              </w:rPr>
            </w:pPr>
            <w:proofErr w:type="spellStart"/>
            <w:r w:rsidRPr="00F01347">
              <w:rPr>
                <w:rFonts w:ascii="Verdana" w:hAnsi="Verdana"/>
                <w:sz w:val="16"/>
                <w:szCs w:val="16"/>
              </w:rPr>
              <w:lastRenderedPageBreak/>
              <w:t>Tricloroeteno</w:t>
            </w:r>
            <w:proofErr w:type="spellEnd"/>
          </w:p>
        </w:tc>
        <w:tc>
          <w:tcPr>
            <w:tcW w:w="5735" w:type="dxa"/>
            <w:tcBorders>
              <w:top w:val="single" w:sz="6" w:space="0" w:color="auto"/>
              <w:left w:val="single" w:sz="6" w:space="0" w:color="auto"/>
              <w:bottom w:val="single" w:sz="6" w:space="0" w:color="auto"/>
              <w:right w:val="single" w:sz="6" w:space="0" w:color="auto"/>
            </w:tcBorders>
          </w:tcPr>
          <w:p w14:paraId="145E000D"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Aireación</w:t>
            </w:r>
          </w:p>
          <w:p w14:paraId="75349C4E" w14:textId="77777777" w:rsidR="00A74CDF" w:rsidRPr="00F01347" w:rsidRDefault="00A74CDF" w:rsidP="003A601B">
            <w:pPr>
              <w:pStyle w:val="texto0"/>
              <w:spacing w:before="40" w:after="40" w:line="246" w:lineRule="exact"/>
              <w:ind w:firstLine="0"/>
              <w:rPr>
                <w:rFonts w:ascii="Verdana" w:hAnsi="Verdana"/>
                <w:sz w:val="16"/>
                <w:szCs w:val="16"/>
              </w:rPr>
            </w:pPr>
            <w:proofErr w:type="spellStart"/>
            <w:r w:rsidRPr="00F01347">
              <w:rPr>
                <w:rFonts w:ascii="Verdana" w:hAnsi="Verdana"/>
                <w:sz w:val="16"/>
                <w:szCs w:val="16"/>
              </w:rPr>
              <w:t>Ozonación</w:t>
            </w:r>
            <w:proofErr w:type="spellEnd"/>
          </w:p>
          <w:p w14:paraId="7E5D5544"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Oxidación química</w:t>
            </w:r>
          </w:p>
          <w:p w14:paraId="5D9D187F"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avanzados de oxidación</w:t>
            </w:r>
          </w:p>
          <w:p w14:paraId="6EC1B7A5"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Adsorción en carbón activado</w:t>
            </w:r>
          </w:p>
          <w:p w14:paraId="18AF2A48"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de membranas</w:t>
            </w:r>
          </w:p>
          <w:p w14:paraId="12F5D105"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5EED756E"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3AF093B4"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1,2-dibromoetano</w:t>
            </w:r>
          </w:p>
        </w:tc>
        <w:tc>
          <w:tcPr>
            <w:tcW w:w="5735" w:type="dxa"/>
            <w:vMerge w:val="restart"/>
            <w:tcBorders>
              <w:top w:val="single" w:sz="6" w:space="0" w:color="auto"/>
              <w:left w:val="single" w:sz="6" w:space="0" w:color="auto"/>
              <w:right w:val="single" w:sz="6" w:space="0" w:color="auto"/>
            </w:tcBorders>
          </w:tcPr>
          <w:p w14:paraId="3A5F38E2"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Aireación</w:t>
            </w:r>
          </w:p>
          <w:p w14:paraId="7215FD6E"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Oxidación química</w:t>
            </w:r>
          </w:p>
          <w:p w14:paraId="50A8622A"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avanzados de oxidación</w:t>
            </w:r>
          </w:p>
          <w:p w14:paraId="66CAD32D"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Adsorción en carbón activado</w:t>
            </w:r>
          </w:p>
          <w:p w14:paraId="0E145119"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Procesos de membranas</w:t>
            </w:r>
          </w:p>
          <w:p w14:paraId="3C77E733" w14:textId="77777777" w:rsidR="00A74CDF" w:rsidRPr="00F01347" w:rsidRDefault="00A74CDF" w:rsidP="003A601B">
            <w:pPr>
              <w:pStyle w:val="texto0"/>
              <w:spacing w:before="40" w:after="40" w:line="246" w:lineRule="exact"/>
              <w:ind w:firstLine="0"/>
              <w:rPr>
                <w:rFonts w:ascii="Verdana" w:hAnsi="Verdana"/>
                <w:sz w:val="16"/>
                <w:szCs w:val="16"/>
              </w:rPr>
            </w:pPr>
            <w:r w:rsidRPr="00F01347">
              <w:rPr>
                <w:rFonts w:ascii="Verdana" w:hAnsi="Verdana"/>
                <w:sz w:val="16"/>
                <w:szCs w:val="16"/>
              </w:rPr>
              <w:t>En el caso de la oxidación asegurar la completa mineralización</w:t>
            </w:r>
          </w:p>
        </w:tc>
      </w:tr>
      <w:tr w:rsidR="00A74CDF" w:rsidRPr="00F01347" w14:paraId="7E9A2B14" w14:textId="77777777">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56BED7FF" w14:textId="77777777" w:rsidR="00A74CDF" w:rsidRPr="00F01347" w:rsidRDefault="00A74CDF" w:rsidP="003A601B">
            <w:pPr>
              <w:pStyle w:val="texto0"/>
              <w:spacing w:before="40" w:after="40" w:line="260" w:lineRule="exact"/>
              <w:ind w:firstLine="0"/>
              <w:rPr>
                <w:rFonts w:ascii="Verdana" w:hAnsi="Verdana"/>
                <w:sz w:val="16"/>
                <w:szCs w:val="16"/>
              </w:rPr>
            </w:pPr>
            <w:r w:rsidRPr="00F01347">
              <w:rPr>
                <w:rFonts w:ascii="Verdana" w:hAnsi="Verdana"/>
                <w:sz w:val="16"/>
                <w:szCs w:val="16"/>
              </w:rPr>
              <w:t>1,2-dibromo-3-cloropropano</w:t>
            </w:r>
          </w:p>
        </w:tc>
        <w:tc>
          <w:tcPr>
            <w:tcW w:w="5735" w:type="dxa"/>
            <w:vMerge/>
            <w:tcBorders>
              <w:left w:val="single" w:sz="6" w:space="0" w:color="auto"/>
              <w:bottom w:val="single" w:sz="6" w:space="0" w:color="auto"/>
              <w:right w:val="single" w:sz="6" w:space="0" w:color="auto"/>
            </w:tcBorders>
          </w:tcPr>
          <w:p w14:paraId="72714613" w14:textId="77777777" w:rsidR="00A74CDF" w:rsidRPr="00F01347" w:rsidRDefault="00A74CDF" w:rsidP="003A601B">
            <w:pPr>
              <w:pStyle w:val="texto0"/>
              <w:spacing w:before="40" w:after="40" w:line="260" w:lineRule="exact"/>
              <w:ind w:firstLine="0"/>
              <w:rPr>
                <w:rFonts w:ascii="Verdana" w:hAnsi="Verdana"/>
                <w:sz w:val="16"/>
                <w:szCs w:val="16"/>
              </w:rPr>
            </w:pPr>
          </w:p>
        </w:tc>
      </w:tr>
      <w:tr w:rsidR="00A74CDF" w:rsidRPr="00F01347" w14:paraId="1CBE7CEA" w14:textId="77777777">
        <w:trPr>
          <w:trHeight w:val="20"/>
        </w:trPr>
        <w:tc>
          <w:tcPr>
            <w:tcW w:w="8712" w:type="dxa"/>
            <w:gridSpan w:val="2"/>
            <w:tcBorders>
              <w:top w:val="single" w:sz="6" w:space="0" w:color="auto"/>
            </w:tcBorders>
          </w:tcPr>
          <w:p w14:paraId="7B7398EC" w14:textId="77777777" w:rsidR="00A74CDF" w:rsidRPr="00F01347" w:rsidRDefault="00A74CDF" w:rsidP="003A601B">
            <w:pPr>
              <w:pStyle w:val="texto0"/>
              <w:spacing w:before="40" w:after="40" w:line="260" w:lineRule="exact"/>
              <w:ind w:firstLine="0"/>
              <w:rPr>
                <w:rFonts w:ascii="Verdana" w:hAnsi="Verdana"/>
                <w:color w:val="000000"/>
                <w:sz w:val="16"/>
                <w:szCs w:val="16"/>
                <w:lang w:val="es-ES_tradnl"/>
              </w:rPr>
            </w:pPr>
            <w:r w:rsidRPr="00F01347">
              <w:rPr>
                <w:rFonts w:ascii="Verdana" w:hAnsi="Verdana"/>
                <w:color w:val="000000"/>
                <w:sz w:val="16"/>
                <w:szCs w:val="16"/>
                <w:lang w:val="es-ES_tradnl"/>
              </w:rPr>
              <w:t xml:space="preserve">(1) Sólo </w:t>
            </w:r>
            <w:proofErr w:type="gramStart"/>
            <w:r w:rsidRPr="00F01347">
              <w:rPr>
                <w:rFonts w:ascii="Verdana" w:hAnsi="Verdana"/>
                <w:color w:val="000000"/>
                <w:sz w:val="16"/>
                <w:szCs w:val="16"/>
                <w:lang w:val="es-ES_tradnl"/>
              </w:rPr>
              <w:t>en caso que</w:t>
            </w:r>
            <w:proofErr w:type="gramEnd"/>
            <w:r w:rsidRPr="00F01347">
              <w:rPr>
                <w:rFonts w:ascii="Verdana" w:hAnsi="Verdana"/>
                <w:color w:val="000000"/>
                <w:sz w:val="16"/>
                <w:szCs w:val="16"/>
                <w:lang w:val="es-ES_tradnl"/>
              </w:rPr>
              <w:t xml:space="preserve"> el agua también presente alta dureza carbonatada.</w:t>
            </w:r>
          </w:p>
        </w:tc>
      </w:tr>
    </w:tbl>
    <w:p w14:paraId="52CAD521" w14:textId="2EE1EDE7" w:rsidR="00DD124C" w:rsidRPr="00F01347" w:rsidRDefault="00DD124C" w:rsidP="002444E4">
      <w:pPr>
        <w:pStyle w:val="Texto"/>
        <w:ind w:firstLine="0"/>
        <w:jc w:val="center"/>
        <w:rPr>
          <w:rFonts w:ascii="Verdana" w:hAnsi="Verdana"/>
          <w:sz w:val="16"/>
          <w:szCs w:val="16"/>
        </w:rPr>
      </w:pPr>
    </w:p>
    <w:p w14:paraId="75AD714D" w14:textId="77777777" w:rsidR="002444E4" w:rsidRPr="00F01347" w:rsidRDefault="002444E4" w:rsidP="002444E4">
      <w:pPr>
        <w:pStyle w:val="Texto"/>
        <w:ind w:firstLine="0"/>
        <w:jc w:val="cente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2977"/>
        <w:gridCol w:w="5735"/>
      </w:tblGrid>
      <w:tr w:rsidR="002444E4" w:rsidRPr="00F01347" w14:paraId="6F07AA0C"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noWrap/>
            <w:vAlign w:val="center"/>
          </w:tcPr>
          <w:p w14:paraId="324A4393" w14:textId="77777777" w:rsidR="002444E4" w:rsidRPr="00F01347" w:rsidRDefault="002444E4" w:rsidP="00CF3AE1">
            <w:pPr>
              <w:pStyle w:val="texto0"/>
              <w:spacing w:before="40" w:after="40" w:line="260" w:lineRule="exact"/>
              <w:ind w:firstLine="0"/>
              <w:rPr>
                <w:rFonts w:ascii="Verdana" w:hAnsi="Verdana"/>
                <w:b/>
                <w:sz w:val="16"/>
                <w:szCs w:val="16"/>
                <w:lang w:val="en-US"/>
              </w:rPr>
            </w:pPr>
            <w:r w:rsidRPr="00F01347">
              <w:rPr>
                <w:rFonts w:ascii="Verdana" w:hAnsi="Verdana"/>
                <w:b/>
                <w:color w:val="000000"/>
                <w:sz w:val="16"/>
                <w:szCs w:val="16"/>
                <w:lang w:val="en-US"/>
              </w:rPr>
              <w:t>Parameters</w:t>
            </w:r>
          </w:p>
        </w:tc>
        <w:tc>
          <w:tcPr>
            <w:tcW w:w="5735" w:type="dxa"/>
            <w:tcBorders>
              <w:top w:val="single" w:sz="6" w:space="0" w:color="auto"/>
              <w:left w:val="single" w:sz="6" w:space="0" w:color="auto"/>
              <w:bottom w:val="single" w:sz="6" w:space="0" w:color="auto"/>
              <w:right w:val="single" w:sz="6" w:space="0" w:color="auto"/>
            </w:tcBorders>
          </w:tcPr>
          <w:p w14:paraId="660F2B94" w14:textId="77777777" w:rsidR="002444E4" w:rsidRPr="00F01347" w:rsidRDefault="002444E4" w:rsidP="00CF3AE1">
            <w:pPr>
              <w:pStyle w:val="texto0"/>
              <w:spacing w:before="40" w:after="40" w:line="260" w:lineRule="exact"/>
              <w:ind w:firstLine="0"/>
              <w:rPr>
                <w:rFonts w:ascii="Verdana" w:hAnsi="Verdana"/>
                <w:b/>
                <w:sz w:val="16"/>
                <w:szCs w:val="16"/>
                <w:lang w:val="en-US"/>
              </w:rPr>
            </w:pPr>
            <w:r w:rsidRPr="00F01347">
              <w:rPr>
                <w:rFonts w:ascii="Verdana" w:hAnsi="Verdana"/>
                <w:b/>
                <w:sz w:val="16"/>
                <w:szCs w:val="16"/>
                <w:lang w:val="en-US"/>
              </w:rPr>
              <w:t>Proposed processes for water purification</w:t>
            </w:r>
          </w:p>
        </w:tc>
      </w:tr>
      <w:tr w:rsidR="002444E4" w:rsidRPr="00F01347" w14:paraId="28F3FDF5"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4139409"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pH</w:t>
            </w:r>
          </w:p>
        </w:tc>
        <w:tc>
          <w:tcPr>
            <w:tcW w:w="5735" w:type="dxa"/>
            <w:tcBorders>
              <w:top w:val="single" w:sz="6" w:space="0" w:color="auto"/>
              <w:left w:val="single" w:sz="6" w:space="0" w:color="auto"/>
              <w:bottom w:val="single" w:sz="6" w:space="0" w:color="auto"/>
              <w:right w:val="single" w:sz="6" w:space="0" w:color="auto"/>
            </w:tcBorders>
          </w:tcPr>
          <w:p w14:paraId="4E22D28B"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Neutralization</w:t>
            </w:r>
          </w:p>
        </w:tc>
      </w:tr>
      <w:tr w:rsidR="002444E4" w:rsidRPr="00F01347" w14:paraId="60FEDFA5"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33626337"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Turbidity</w:t>
            </w:r>
          </w:p>
        </w:tc>
        <w:tc>
          <w:tcPr>
            <w:tcW w:w="5735" w:type="dxa"/>
            <w:tcBorders>
              <w:top w:val="single" w:sz="6" w:space="0" w:color="auto"/>
              <w:left w:val="single" w:sz="6" w:space="0" w:color="auto"/>
              <w:bottom w:val="single" w:sz="6" w:space="0" w:color="auto"/>
              <w:right w:val="single" w:sz="6" w:space="0" w:color="auto"/>
            </w:tcBorders>
          </w:tcPr>
          <w:p w14:paraId="60850C32"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Coagulation-flocculation-sedimentation-filtration</w:t>
            </w:r>
          </w:p>
          <w:p w14:paraId="6B31C47C"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 xml:space="preserve">Direct filtration applying a </w:t>
            </w:r>
            <w:proofErr w:type="gramStart"/>
            <w:r w:rsidRPr="00F01347">
              <w:rPr>
                <w:rFonts w:ascii="Verdana" w:hAnsi="Verdana"/>
                <w:sz w:val="16"/>
                <w:szCs w:val="16"/>
                <w:lang w:val="en-US"/>
              </w:rPr>
              <w:t>coagulant</w:t>
            </w:r>
            <w:proofErr w:type="gramEnd"/>
          </w:p>
          <w:p w14:paraId="6F4BBF95"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Ultrafiltration</w:t>
            </w:r>
          </w:p>
          <w:p w14:paraId="48019EC1"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Microfiltration</w:t>
            </w:r>
          </w:p>
          <w:p w14:paraId="0134340C"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Slow sand filtration</w:t>
            </w:r>
          </w:p>
          <w:p w14:paraId="4ABD7358"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Multi-stage filtration</w:t>
            </w:r>
          </w:p>
        </w:tc>
      </w:tr>
      <w:tr w:rsidR="002444E4" w:rsidRPr="00F01347" w14:paraId="3B85BF93"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CD698BB"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Total cyanides</w:t>
            </w:r>
          </w:p>
        </w:tc>
        <w:tc>
          <w:tcPr>
            <w:tcW w:w="5735" w:type="dxa"/>
            <w:tcBorders>
              <w:top w:val="single" w:sz="6" w:space="0" w:color="auto"/>
              <w:left w:val="single" w:sz="6" w:space="0" w:color="auto"/>
              <w:bottom w:val="single" w:sz="6" w:space="0" w:color="auto"/>
              <w:right w:val="single" w:sz="6" w:space="0" w:color="auto"/>
            </w:tcBorders>
          </w:tcPr>
          <w:p w14:paraId="3FAE04F7"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Chemical oxidation</w:t>
            </w:r>
          </w:p>
          <w:p w14:paraId="12015911"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Inverse osmosis</w:t>
            </w:r>
          </w:p>
          <w:p w14:paraId="58C292C7"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Electrodialysis</w:t>
            </w:r>
          </w:p>
        </w:tc>
      </w:tr>
      <w:tr w:rsidR="002444E4" w:rsidRPr="00F01347" w14:paraId="73D3B881"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51337BB" w14:textId="15B39013"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Total hardness as CaCO</w:t>
            </w:r>
            <w:r w:rsidRPr="00F01347">
              <w:rPr>
                <w:rFonts w:ascii="Verdana" w:hAnsi="Verdana"/>
                <w:sz w:val="16"/>
                <w:szCs w:val="16"/>
                <w:vertAlign w:val="subscript"/>
                <w:lang w:val="en-US"/>
              </w:rPr>
              <w:t>3</w:t>
            </w:r>
          </w:p>
        </w:tc>
        <w:tc>
          <w:tcPr>
            <w:tcW w:w="5735" w:type="dxa"/>
            <w:tcBorders>
              <w:top w:val="single" w:sz="6" w:space="0" w:color="auto"/>
              <w:left w:val="single" w:sz="6" w:space="0" w:color="auto"/>
              <w:bottom w:val="single" w:sz="6" w:space="0" w:color="auto"/>
              <w:right w:val="single" w:sz="6" w:space="0" w:color="auto"/>
            </w:tcBorders>
          </w:tcPr>
          <w:p w14:paraId="1D4DC5CC"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 xml:space="preserve">Chemical softening </w:t>
            </w:r>
            <w:r w:rsidRPr="00F01347">
              <w:rPr>
                <w:rFonts w:ascii="Verdana" w:hAnsi="Verdana"/>
                <w:position w:val="4"/>
                <w:sz w:val="16"/>
                <w:szCs w:val="16"/>
                <w:lang w:val="en-US"/>
              </w:rPr>
              <w:t>(1)</w:t>
            </w:r>
          </w:p>
          <w:p w14:paraId="4BA9D3D0"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Nanofiltration</w:t>
            </w:r>
          </w:p>
          <w:p w14:paraId="4D2FAEF3"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Cation exchange</w:t>
            </w:r>
          </w:p>
          <w:p w14:paraId="395778B2"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Inverse osmosis</w:t>
            </w:r>
          </w:p>
          <w:p w14:paraId="6BBE0506"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Electrodialysis</w:t>
            </w:r>
          </w:p>
        </w:tc>
      </w:tr>
      <w:tr w:rsidR="002444E4" w:rsidRPr="00F01347" w14:paraId="06A35A07"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C5A1A7C"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Fluorides</w:t>
            </w:r>
          </w:p>
        </w:tc>
        <w:tc>
          <w:tcPr>
            <w:tcW w:w="5735" w:type="dxa"/>
            <w:tcBorders>
              <w:top w:val="single" w:sz="6" w:space="0" w:color="auto"/>
              <w:left w:val="single" w:sz="6" w:space="0" w:color="auto"/>
              <w:bottom w:val="single" w:sz="6" w:space="0" w:color="auto"/>
              <w:right w:val="single" w:sz="6" w:space="0" w:color="auto"/>
            </w:tcBorders>
          </w:tcPr>
          <w:p w14:paraId="47B6D6FF"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Adsorption on activated alumina</w:t>
            </w:r>
          </w:p>
          <w:p w14:paraId="4C62C735"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Inverse osmosis</w:t>
            </w:r>
          </w:p>
          <w:p w14:paraId="04811C8A"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Electrodialysis</w:t>
            </w:r>
          </w:p>
          <w:p w14:paraId="68309D44"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Adsorption on bone charcoal</w:t>
            </w:r>
          </w:p>
          <w:p w14:paraId="2C0E3051"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Nanofiltration (depending on fluoride concentration)</w:t>
            </w:r>
          </w:p>
          <w:p w14:paraId="37605B82"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Coagulation-flocculation-sedimentation-filtration</w:t>
            </w:r>
          </w:p>
        </w:tc>
      </w:tr>
      <w:tr w:rsidR="002444E4" w:rsidRPr="00F01347" w14:paraId="736B1C47"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noWrap/>
          </w:tcPr>
          <w:p w14:paraId="43C1832D"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lastRenderedPageBreak/>
              <w:t>Ammoniacal nitrogen</w:t>
            </w:r>
          </w:p>
        </w:tc>
        <w:tc>
          <w:tcPr>
            <w:tcW w:w="5735" w:type="dxa"/>
            <w:tcBorders>
              <w:top w:val="single" w:sz="6" w:space="0" w:color="auto"/>
              <w:left w:val="single" w:sz="6" w:space="0" w:color="auto"/>
              <w:bottom w:val="single" w:sz="6" w:space="0" w:color="auto"/>
              <w:right w:val="single" w:sz="6" w:space="0" w:color="auto"/>
            </w:tcBorders>
          </w:tcPr>
          <w:p w14:paraId="71D23DDF" w14:textId="526F5076"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 xml:space="preserve">Cationic exchange </w:t>
            </w:r>
            <w:r w:rsidR="00CB209C" w:rsidRPr="00F01347">
              <w:rPr>
                <w:rFonts w:ascii="Verdana" w:hAnsi="Verdana"/>
                <w:sz w:val="16"/>
                <w:szCs w:val="16"/>
                <w:lang w:val="en-US"/>
              </w:rPr>
              <w:t>(</w:t>
            </w:r>
            <w:r w:rsidRPr="00F01347">
              <w:rPr>
                <w:rFonts w:ascii="Verdana" w:hAnsi="Verdana"/>
                <w:sz w:val="16"/>
                <w:szCs w:val="16"/>
                <w:lang w:val="en-US"/>
              </w:rPr>
              <w:t>resins or zeolites)</w:t>
            </w:r>
          </w:p>
          <w:p w14:paraId="299C7CC3"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Biological filtration</w:t>
            </w:r>
          </w:p>
        </w:tc>
      </w:tr>
      <w:tr w:rsidR="002444E4" w:rsidRPr="00F01347" w14:paraId="5269D161"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6F28CF05" w14:textId="75614C6E"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Nitrogen from nitrates (N-NO</w:t>
            </w:r>
            <w:r w:rsidRPr="00F01347">
              <w:rPr>
                <w:rFonts w:ascii="Verdana" w:hAnsi="Verdana"/>
                <w:sz w:val="16"/>
                <w:szCs w:val="16"/>
                <w:vertAlign w:val="subscript"/>
                <w:lang w:val="en-US"/>
              </w:rPr>
              <w:t>3</w:t>
            </w:r>
            <w:r w:rsidRPr="00F01347">
              <w:rPr>
                <w:rFonts w:ascii="Verdana" w:hAnsi="Verdana"/>
                <w:sz w:val="16"/>
                <w:szCs w:val="16"/>
                <w:vertAlign w:val="superscript"/>
                <w:lang w:val="en-US"/>
              </w:rPr>
              <w:t>-</w:t>
            </w:r>
            <w:r w:rsidR="00913802" w:rsidRPr="00F01347">
              <w:rPr>
                <w:rFonts w:ascii="Verdana" w:hAnsi="Verdana"/>
                <w:sz w:val="16"/>
                <w:szCs w:val="16"/>
                <w:lang w:val="en-US"/>
              </w:rPr>
              <w:t>)</w:t>
            </w:r>
          </w:p>
        </w:tc>
        <w:tc>
          <w:tcPr>
            <w:tcW w:w="5735" w:type="dxa"/>
            <w:tcBorders>
              <w:top w:val="single" w:sz="6" w:space="0" w:color="auto"/>
              <w:left w:val="single" w:sz="6" w:space="0" w:color="auto"/>
              <w:bottom w:val="single" w:sz="6" w:space="0" w:color="auto"/>
              <w:right w:val="single" w:sz="6" w:space="0" w:color="auto"/>
            </w:tcBorders>
          </w:tcPr>
          <w:p w14:paraId="0B9ADD25"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Anion exchange</w:t>
            </w:r>
          </w:p>
          <w:p w14:paraId="4F227E53"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Inverse osmosis</w:t>
            </w:r>
          </w:p>
          <w:p w14:paraId="79552498"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Electrodialysis</w:t>
            </w:r>
          </w:p>
        </w:tc>
      </w:tr>
      <w:tr w:rsidR="002444E4" w:rsidRPr="00F01347" w14:paraId="7A35BDB8"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40926150" w14:textId="062AE699"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Nitrogen from nitrites (N-NO</w:t>
            </w:r>
            <w:r w:rsidRPr="00F01347">
              <w:rPr>
                <w:rFonts w:ascii="Verdana" w:hAnsi="Verdana"/>
                <w:sz w:val="16"/>
                <w:szCs w:val="16"/>
                <w:vertAlign w:val="subscript"/>
                <w:lang w:val="en-US"/>
              </w:rPr>
              <w:t>2</w:t>
            </w:r>
            <w:r w:rsidRPr="00F01347">
              <w:rPr>
                <w:rFonts w:ascii="Verdana" w:hAnsi="Verdana"/>
                <w:sz w:val="16"/>
                <w:szCs w:val="16"/>
                <w:vertAlign w:val="superscript"/>
                <w:lang w:val="en-US"/>
              </w:rPr>
              <w:t>-</w:t>
            </w:r>
            <w:r w:rsidR="00913802" w:rsidRPr="00F01347">
              <w:rPr>
                <w:rFonts w:ascii="Verdana" w:hAnsi="Verdana"/>
                <w:sz w:val="16"/>
                <w:szCs w:val="16"/>
                <w:lang w:val="en-US"/>
              </w:rPr>
              <w:t>)</w:t>
            </w:r>
          </w:p>
        </w:tc>
        <w:tc>
          <w:tcPr>
            <w:tcW w:w="5735" w:type="dxa"/>
            <w:tcBorders>
              <w:top w:val="single" w:sz="6" w:space="0" w:color="auto"/>
              <w:left w:val="single" w:sz="6" w:space="0" w:color="auto"/>
              <w:bottom w:val="single" w:sz="6" w:space="0" w:color="auto"/>
              <w:right w:val="single" w:sz="6" w:space="0" w:color="auto"/>
            </w:tcBorders>
          </w:tcPr>
          <w:p w14:paraId="4AAC0331"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Anion exchange</w:t>
            </w:r>
          </w:p>
          <w:p w14:paraId="4403536E"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Inverse osmosis</w:t>
            </w:r>
          </w:p>
          <w:p w14:paraId="4EA47AA0"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Electrodialysis</w:t>
            </w:r>
          </w:p>
          <w:p w14:paraId="170139E6"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Chemical oxidation</w:t>
            </w:r>
          </w:p>
          <w:p w14:paraId="2516E401"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Chlorination</w:t>
            </w:r>
          </w:p>
        </w:tc>
      </w:tr>
      <w:tr w:rsidR="002444E4" w:rsidRPr="00F01347" w14:paraId="15683B83"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7ABC475B"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Total dissolved solids</w:t>
            </w:r>
          </w:p>
        </w:tc>
        <w:tc>
          <w:tcPr>
            <w:tcW w:w="5735" w:type="dxa"/>
            <w:tcBorders>
              <w:top w:val="single" w:sz="6" w:space="0" w:color="auto"/>
              <w:left w:val="single" w:sz="6" w:space="0" w:color="auto"/>
              <w:bottom w:val="single" w:sz="6" w:space="0" w:color="auto"/>
              <w:right w:val="single" w:sz="6" w:space="0" w:color="auto"/>
            </w:tcBorders>
          </w:tcPr>
          <w:p w14:paraId="240A76A8"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Electrodialysis</w:t>
            </w:r>
          </w:p>
          <w:p w14:paraId="4076C39A"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Inverse osmosis</w:t>
            </w:r>
          </w:p>
          <w:p w14:paraId="273ACA1B"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Nanofiltration</w:t>
            </w:r>
          </w:p>
        </w:tc>
      </w:tr>
      <w:tr w:rsidR="002444E4" w:rsidRPr="00F01347" w14:paraId="4BA1DAEA"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5ABFD1ED" w14:textId="36DD269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Sulfates (SO</w:t>
            </w:r>
            <w:r w:rsidRPr="00F01347">
              <w:rPr>
                <w:rFonts w:ascii="Verdana" w:hAnsi="Verdana"/>
                <w:sz w:val="16"/>
                <w:szCs w:val="16"/>
                <w:vertAlign w:val="subscript"/>
                <w:lang w:val="en-US"/>
              </w:rPr>
              <w:t xml:space="preserve">4 </w:t>
            </w:r>
            <w:r w:rsidRPr="00F01347">
              <w:rPr>
                <w:rFonts w:ascii="Verdana" w:hAnsi="Verdana"/>
                <w:sz w:val="16"/>
                <w:szCs w:val="16"/>
                <w:vertAlign w:val="superscript"/>
                <w:lang w:val="en-US"/>
              </w:rPr>
              <w:t>=</w:t>
            </w:r>
            <w:r w:rsidR="00913802" w:rsidRPr="00F01347">
              <w:rPr>
                <w:rFonts w:ascii="Verdana" w:hAnsi="Verdana"/>
                <w:sz w:val="16"/>
                <w:szCs w:val="16"/>
                <w:lang w:val="en-US"/>
              </w:rPr>
              <w:t>)</w:t>
            </w:r>
          </w:p>
        </w:tc>
        <w:tc>
          <w:tcPr>
            <w:tcW w:w="5735" w:type="dxa"/>
            <w:tcBorders>
              <w:top w:val="single" w:sz="6" w:space="0" w:color="auto"/>
              <w:left w:val="single" w:sz="6" w:space="0" w:color="auto"/>
              <w:bottom w:val="single" w:sz="6" w:space="0" w:color="auto"/>
              <w:right w:val="single" w:sz="6" w:space="0" w:color="auto"/>
            </w:tcBorders>
          </w:tcPr>
          <w:p w14:paraId="0BE559ED"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Electrodialysis</w:t>
            </w:r>
          </w:p>
          <w:p w14:paraId="78B790FE"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Inverse osmosis</w:t>
            </w:r>
          </w:p>
          <w:p w14:paraId="35424D72"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Nanofiltration</w:t>
            </w:r>
          </w:p>
        </w:tc>
      </w:tr>
      <w:tr w:rsidR="002444E4" w:rsidRPr="00F01347" w14:paraId="7C4CC8C6"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1B582E4F"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Methylene blue active substances</w:t>
            </w:r>
          </w:p>
        </w:tc>
        <w:tc>
          <w:tcPr>
            <w:tcW w:w="5735" w:type="dxa"/>
            <w:tcBorders>
              <w:top w:val="single" w:sz="6" w:space="0" w:color="auto"/>
              <w:left w:val="single" w:sz="6" w:space="0" w:color="auto"/>
              <w:bottom w:val="single" w:sz="6" w:space="0" w:color="auto"/>
              <w:right w:val="single" w:sz="6" w:space="0" w:color="auto"/>
            </w:tcBorders>
          </w:tcPr>
          <w:p w14:paraId="20F54460"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Adsorption on activated carbon</w:t>
            </w:r>
          </w:p>
        </w:tc>
      </w:tr>
      <w:tr w:rsidR="002444E4" w:rsidRPr="00F01347" w14:paraId="64120A33"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28BF5316"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Aluminum</w:t>
            </w:r>
          </w:p>
        </w:tc>
        <w:tc>
          <w:tcPr>
            <w:tcW w:w="5735" w:type="dxa"/>
            <w:tcBorders>
              <w:top w:val="single" w:sz="6" w:space="0" w:color="auto"/>
              <w:left w:val="single" w:sz="6" w:space="0" w:color="auto"/>
              <w:bottom w:val="single" w:sz="6" w:space="0" w:color="auto"/>
              <w:right w:val="single" w:sz="6" w:space="0" w:color="auto"/>
            </w:tcBorders>
          </w:tcPr>
          <w:p w14:paraId="4EE32FE9"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In the case of effluent from water purification plants that use aluminum-based coagulants, the operation of the plant must be optimized to avoid high concentrations of this metal in the purified water.</w:t>
            </w:r>
          </w:p>
          <w:p w14:paraId="7CB1CAF8"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Cation exchange</w:t>
            </w:r>
          </w:p>
          <w:p w14:paraId="4BC47751"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Inverse osmosis</w:t>
            </w:r>
          </w:p>
          <w:p w14:paraId="4B223591"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Electrodialysis</w:t>
            </w:r>
          </w:p>
          <w:p w14:paraId="7A6DDF07"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Sand filtration (in case of particulate aluminum)</w:t>
            </w:r>
          </w:p>
        </w:tc>
      </w:tr>
      <w:tr w:rsidR="002444E4" w:rsidRPr="00F01347" w14:paraId="50A1F164"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noWrap/>
            <w:vAlign w:val="center"/>
          </w:tcPr>
          <w:p w14:paraId="231E2DB5"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Arsenic</w:t>
            </w:r>
          </w:p>
        </w:tc>
        <w:tc>
          <w:tcPr>
            <w:tcW w:w="5735" w:type="dxa"/>
            <w:tcBorders>
              <w:top w:val="single" w:sz="6" w:space="0" w:color="auto"/>
              <w:left w:val="single" w:sz="6" w:space="0" w:color="auto"/>
              <w:bottom w:val="single" w:sz="6" w:space="0" w:color="auto"/>
              <w:right w:val="single" w:sz="6" w:space="0" w:color="auto"/>
            </w:tcBorders>
          </w:tcPr>
          <w:p w14:paraId="57CC30CD"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Coagulation-flocculation-sedimentation-filtration</w:t>
            </w:r>
          </w:p>
          <w:p w14:paraId="4F78FD37"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Direct filtration with ferric salts</w:t>
            </w:r>
          </w:p>
          <w:p w14:paraId="6F971187"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 xml:space="preserve">Chemical softening </w:t>
            </w:r>
            <w:r w:rsidRPr="00F01347">
              <w:rPr>
                <w:rFonts w:ascii="Verdana" w:hAnsi="Verdana"/>
                <w:sz w:val="16"/>
                <w:szCs w:val="16"/>
                <w:vertAlign w:val="superscript"/>
                <w:lang w:val="en-US"/>
              </w:rPr>
              <w:t>(1)</w:t>
            </w:r>
          </w:p>
          <w:p w14:paraId="11884D20"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Inverse osmosis</w:t>
            </w:r>
          </w:p>
          <w:p w14:paraId="35037973"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 xml:space="preserve">Ion exchange - in </w:t>
            </w:r>
            <w:r w:rsidRPr="00F01347">
              <w:rPr>
                <w:rFonts w:ascii="Verdana" w:hAnsi="Verdana"/>
                <w:color w:val="000000"/>
                <w:sz w:val="16"/>
                <w:szCs w:val="16"/>
                <w:lang w:val="en-US"/>
              </w:rPr>
              <w:t xml:space="preserve">the case of trivalent arsenic, an oxidation stage will be necessary prior to </w:t>
            </w:r>
            <w:proofErr w:type="gramStart"/>
            <w:r w:rsidRPr="00F01347">
              <w:rPr>
                <w:rFonts w:ascii="Verdana" w:hAnsi="Verdana"/>
                <w:color w:val="000000"/>
                <w:sz w:val="16"/>
                <w:szCs w:val="16"/>
                <w:lang w:val="en-US"/>
              </w:rPr>
              <w:t>treatment</w:t>
            </w:r>
            <w:proofErr w:type="gramEnd"/>
          </w:p>
          <w:p w14:paraId="61570CCA"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 xml:space="preserve">Electrodialysis - in </w:t>
            </w:r>
            <w:r w:rsidRPr="00F01347">
              <w:rPr>
                <w:rFonts w:ascii="Verdana" w:hAnsi="Verdana"/>
                <w:color w:val="000000"/>
                <w:sz w:val="16"/>
                <w:szCs w:val="16"/>
                <w:lang w:val="en-US"/>
              </w:rPr>
              <w:t xml:space="preserve">the case of trivalent arsenic, an oxidation stage will be necessary prior to </w:t>
            </w:r>
            <w:proofErr w:type="gramStart"/>
            <w:r w:rsidRPr="00F01347">
              <w:rPr>
                <w:rFonts w:ascii="Verdana" w:hAnsi="Verdana"/>
                <w:color w:val="000000"/>
                <w:sz w:val="16"/>
                <w:szCs w:val="16"/>
                <w:lang w:val="en-US"/>
              </w:rPr>
              <w:t>treatment</w:t>
            </w:r>
            <w:proofErr w:type="gramEnd"/>
          </w:p>
          <w:p w14:paraId="63927D51"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 xml:space="preserve">Adsorption on activated alumina - in </w:t>
            </w:r>
            <w:r w:rsidRPr="00F01347">
              <w:rPr>
                <w:rFonts w:ascii="Verdana" w:hAnsi="Verdana"/>
                <w:color w:val="000000"/>
                <w:sz w:val="16"/>
                <w:szCs w:val="16"/>
                <w:lang w:val="en-US"/>
              </w:rPr>
              <w:t xml:space="preserve">the case of trivalent arsenic, an oxidation stage will be necessary prior to </w:t>
            </w:r>
            <w:proofErr w:type="gramStart"/>
            <w:r w:rsidRPr="00F01347">
              <w:rPr>
                <w:rFonts w:ascii="Verdana" w:hAnsi="Verdana"/>
                <w:color w:val="000000"/>
                <w:sz w:val="16"/>
                <w:szCs w:val="16"/>
                <w:lang w:val="en-US"/>
              </w:rPr>
              <w:t>treatment</w:t>
            </w:r>
            <w:proofErr w:type="gramEnd"/>
          </w:p>
          <w:p w14:paraId="05DE87C3"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Adsorption on granular iron oxides or sands covered with iron oxide (removes trivalent and pentavalent arsenic)</w:t>
            </w:r>
          </w:p>
          <w:p w14:paraId="450AF691"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Nanofiltration</w:t>
            </w:r>
          </w:p>
        </w:tc>
      </w:tr>
      <w:tr w:rsidR="002444E4" w:rsidRPr="00F01347" w14:paraId="1FA4553A"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6FB66590"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Barium</w:t>
            </w:r>
          </w:p>
        </w:tc>
        <w:tc>
          <w:tcPr>
            <w:tcW w:w="5735" w:type="dxa"/>
            <w:tcBorders>
              <w:top w:val="single" w:sz="6" w:space="0" w:color="auto"/>
              <w:left w:val="single" w:sz="6" w:space="0" w:color="auto"/>
              <w:bottom w:val="single" w:sz="6" w:space="0" w:color="auto"/>
              <w:right w:val="single" w:sz="6" w:space="0" w:color="auto"/>
            </w:tcBorders>
          </w:tcPr>
          <w:p w14:paraId="43633628"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Cation exchange</w:t>
            </w:r>
          </w:p>
          <w:p w14:paraId="50216549"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Chemical softening</w:t>
            </w:r>
          </w:p>
          <w:p w14:paraId="2C3789AC"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Electrodialysis</w:t>
            </w:r>
          </w:p>
          <w:p w14:paraId="69A95164"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Inverse osmosis</w:t>
            </w:r>
          </w:p>
        </w:tc>
      </w:tr>
      <w:tr w:rsidR="002444E4" w:rsidRPr="00F01347" w14:paraId="52A76E23"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7E665B1F"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Cadmium</w:t>
            </w:r>
          </w:p>
        </w:tc>
        <w:tc>
          <w:tcPr>
            <w:tcW w:w="5735" w:type="dxa"/>
            <w:tcBorders>
              <w:top w:val="single" w:sz="6" w:space="0" w:color="auto"/>
              <w:left w:val="single" w:sz="6" w:space="0" w:color="auto"/>
              <w:bottom w:val="single" w:sz="6" w:space="0" w:color="auto"/>
              <w:right w:val="single" w:sz="6" w:space="0" w:color="auto"/>
            </w:tcBorders>
          </w:tcPr>
          <w:p w14:paraId="37C2B849"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Coagulation-flocculation-sedimentation-filtration</w:t>
            </w:r>
          </w:p>
          <w:p w14:paraId="4424A475"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Chemical softening</w:t>
            </w:r>
          </w:p>
          <w:p w14:paraId="4CC5F179"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lastRenderedPageBreak/>
              <w:t>Inverse osmosis</w:t>
            </w:r>
          </w:p>
          <w:p w14:paraId="60CD880C"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Cation exchange</w:t>
            </w:r>
          </w:p>
          <w:p w14:paraId="47E90D13"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Electrodialysis</w:t>
            </w:r>
          </w:p>
        </w:tc>
      </w:tr>
      <w:tr w:rsidR="002444E4" w:rsidRPr="00F01347" w14:paraId="0D514306"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7C39258E"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lastRenderedPageBreak/>
              <w:t>Copper</w:t>
            </w:r>
          </w:p>
        </w:tc>
        <w:tc>
          <w:tcPr>
            <w:tcW w:w="5735" w:type="dxa"/>
            <w:tcBorders>
              <w:top w:val="single" w:sz="6" w:space="0" w:color="auto"/>
              <w:left w:val="single" w:sz="6" w:space="0" w:color="auto"/>
              <w:bottom w:val="single" w:sz="6" w:space="0" w:color="auto"/>
              <w:right w:val="single" w:sz="6" w:space="0" w:color="auto"/>
            </w:tcBorders>
          </w:tcPr>
          <w:p w14:paraId="3762A78E"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Coagulation-flocculation-sedimentation-filtration</w:t>
            </w:r>
          </w:p>
          <w:p w14:paraId="5EC2CCDF" w14:textId="15DF3E2D"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 xml:space="preserve">Chemical softening </w:t>
            </w:r>
            <w:r w:rsidR="00CB209C" w:rsidRPr="00F01347">
              <w:rPr>
                <w:rFonts w:ascii="Verdana" w:hAnsi="Verdana"/>
                <w:sz w:val="16"/>
                <w:szCs w:val="16"/>
                <w:vertAlign w:val="superscript"/>
                <w:lang w:val="en-US"/>
              </w:rPr>
              <w:t>(</w:t>
            </w:r>
            <w:r w:rsidRPr="00F01347">
              <w:rPr>
                <w:rFonts w:ascii="Verdana" w:hAnsi="Verdana"/>
                <w:sz w:val="16"/>
                <w:szCs w:val="16"/>
                <w:vertAlign w:val="superscript"/>
                <w:lang w:val="en-US"/>
              </w:rPr>
              <w:t xml:space="preserve">1) </w:t>
            </w:r>
            <w:r w:rsidRPr="00F01347">
              <w:rPr>
                <w:rFonts w:ascii="Verdana" w:hAnsi="Verdana"/>
                <w:sz w:val="16"/>
                <w:szCs w:val="16"/>
                <w:lang w:val="en-US"/>
              </w:rPr>
              <w:t>Cation exchange</w:t>
            </w:r>
          </w:p>
          <w:p w14:paraId="723A827E"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Inverse osmosis</w:t>
            </w:r>
          </w:p>
          <w:p w14:paraId="49AD02CD"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Electrodialysis</w:t>
            </w:r>
          </w:p>
        </w:tc>
      </w:tr>
      <w:tr w:rsidR="002444E4" w:rsidRPr="00F01347" w14:paraId="4780AB43"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0184FAC6"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Full chrome</w:t>
            </w:r>
          </w:p>
        </w:tc>
        <w:tc>
          <w:tcPr>
            <w:tcW w:w="5735" w:type="dxa"/>
            <w:tcBorders>
              <w:top w:val="single" w:sz="6" w:space="0" w:color="auto"/>
              <w:left w:val="single" w:sz="6" w:space="0" w:color="auto"/>
              <w:bottom w:val="single" w:sz="6" w:space="0" w:color="auto"/>
              <w:right w:val="single" w:sz="6" w:space="0" w:color="auto"/>
            </w:tcBorders>
          </w:tcPr>
          <w:p w14:paraId="65953D3E"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Nanofiltration</w:t>
            </w:r>
          </w:p>
          <w:p w14:paraId="295B6006" w14:textId="6CC0E155"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Coagulation-flocculation-sedimentation –filtration (Cr</w:t>
            </w:r>
            <w:r w:rsidRPr="00F01347">
              <w:rPr>
                <w:rFonts w:ascii="Verdana" w:hAnsi="Verdana"/>
                <w:sz w:val="16"/>
                <w:szCs w:val="16"/>
                <w:vertAlign w:val="superscript"/>
                <w:lang w:val="en-US"/>
              </w:rPr>
              <w:t>+3</w:t>
            </w:r>
            <w:r w:rsidR="00913802" w:rsidRPr="00F01347">
              <w:rPr>
                <w:rFonts w:ascii="Verdana" w:hAnsi="Verdana"/>
                <w:sz w:val="16"/>
                <w:szCs w:val="16"/>
                <w:lang w:val="en-US"/>
              </w:rPr>
              <w:t>)</w:t>
            </w:r>
            <w:r w:rsidRPr="00F01347">
              <w:rPr>
                <w:rFonts w:ascii="Verdana" w:hAnsi="Verdana"/>
                <w:sz w:val="16"/>
                <w:szCs w:val="16"/>
                <w:lang w:val="en-US"/>
              </w:rPr>
              <w:t>. For Cr</w:t>
            </w:r>
            <w:r w:rsidRPr="00F01347">
              <w:rPr>
                <w:rFonts w:ascii="Verdana" w:hAnsi="Verdana"/>
                <w:sz w:val="16"/>
                <w:szCs w:val="16"/>
                <w:vertAlign w:val="superscript"/>
                <w:lang w:val="en-US"/>
              </w:rPr>
              <w:t xml:space="preserve">+6 </w:t>
            </w:r>
            <w:r w:rsidRPr="00F01347">
              <w:rPr>
                <w:rFonts w:ascii="Verdana" w:hAnsi="Verdana"/>
                <w:sz w:val="16"/>
                <w:szCs w:val="16"/>
                <w:lang w:val="en-US"/>
              </w:rPr>
              <w:t>apply coagulant after chromium reduction</w:t>
            </w:r>
          </w:p>
          <w:p w14:paraId="317F85B8" w14:textId="3E916926"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Chemical softening (Cr</w:t>
            </w:r>
            <w:r w:rsidRPr="00F01347">
              <w:rPr>
                <w:rFonts w:ascii="Verdana" w:hAnsi="Verdana"/>
                <w:sz w:val="16"/>
                <w:szCs w:val="16"/>
                <w:vertAlign w:val="superscript"/>
                <w:lang w:val="en-US"/>
              </w:rPr>
              <w:t>+3</w:t>
            </w:r>
            <w:r w:rsidR="00913802" w:rsidRPr="00F01347">
              <w:rPr>
                <w:rFonts w:ascii="Verdana" w:hAnsi="Verdana"/>
                <w:sz w:val="16"/>
                <w:szCs w:val="16"/>
                <w:lang w:val="en-US"/>
              </w:rPr>
              <w:t>)</w:t>
            </w:r>
          </w:p>
          <w:p w14:paraId="0439BEE3"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Inverse osmosis</w:t>
            </w:r>
          </w:p>
          <w:p w14:paraId="365CB22E" w14:textId="6B7BA69A"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Anion exchange for Cr</w:t>
            </w:r>
            <w:r w:rsidRPr="00F01347">
              <w:rPr>
                <w:rFonts w:ascii="Verdana" w:hAnsi="Verdana"/>
                <w:sz w:val="16"/>
                <w:szCs w:val="16"/>
                <w:vertAlign w:val="superscript"/>
                <w:lang w:val="en-US"/>
              </w:rPr>
              <w:t>+6</w:t>
            </w:r>
          </w:p>
          <w:p w14:paraId="1D2C4C87"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Electrodialysis</w:t>
            </w:r>
          </w:p>
        </w:tc>
      </w:tr>
      <w:tr w:rsidR="002444E4" w:rsidRPr="00F01347" w14:paraId="137CC4DD"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2E370979"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Iron</w:t>
            </w:r>
          </w:p>
        </w:tc>
        <w:tc>
          <w:tcPr>
            <w:tcW w:w="5735" w:type="dxa"/>
            <w:tcBorders>
              <w:top w:val="single" w:sz="6" w:space="0" w:color="auto"/>
              <w:left w:val="single" w:sz="6" w:space="0" w:color="auto"/>
              <w:bottom w:val="single" w:sz="6" w:space="0" w:color="auto"/>
              <w:right w:val="single" w:sz="6" w:space="0" w:color="auto"/>
            </w:tcBorders>
          </w:tcPr>
          <w:p w14:paraId="10734286"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Coagulation-flocculation-sedimentation –filtration – to remove divalent iron, an oxidation stage will be necessary prior to treatment.</w:t>
            </w:r>
          </w:p>
          <w:p w14:paraId="30CBC0CF"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 xml:space="preserve">Filtration in granular media – to remove divalent iron an oxidation stage will be necessary prior to </w:t>
            </w:r>
            <w:proofErr w:type="gramStart"/>
            <w:r w:rsidRPr="00F01347">
              <w:rPr>
                <w:rFonts w:ascii="Verdana" w:hAnsi="Verdana"/>
                <w:sz w:val="16"/>
                <w:szCs w:val="16"/>
                <w:lang w:val="en-US"/>
              </w:rPr>
              <w:t>treatment</w:t>
            </w:r>
            <w:proofErr w:type="gramEnd"/>
          </w:p>
          <w:p w14:paraId="13B08C89"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 xml:space="preserve">Chemical softening </w:t>
            </w:r>
            <w:r w:rsidRPr="00F01347">
              <w:rPr>
                <w:rFonts w:ascii="Verdana" w:hAnsi="Verdana"/>
                <w:sz w:val="16"/>
                <w:szCs w:val="16"/>
                <w:vertAlign w:val="superscript"/>
                <w:lang w:val="en-US"/>
              </w:rPr>
              <w:t>(1)</w:t>
            </w:r>
          </w:p>
          <w:p w14:paraId="770C143F" w14:textId="01B34CF2"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Microfiltration (Fe</w:t>
            </w:r>
            <w:r w:rsidRPr="00F01347">
              <w:rPr>
                <w:rFonts w:ascii="Verdana" w:hAnsi="Verdana"/>
                <w:sz w:val="16"/>
                <w:szCs w:val="16"/>
                <w:vertAlign w:val="superscript"/>
                <w:lang w:val="en-US"/>
              </w:rPr>
              <w:t>+3</w:t>
            </w:r>
            <w:r w:rsidR="00913802" w:rsidRPr="00F01347">
              <w:rPr>
                <w:rFonts w:ascii="Verdana" w:hAnsi="Verdana"/>
                <w:sz w:val="16"/>
                <w:szCs w:val="16"/>
                <w:lang w:val="en-US"/>
              </w:rPr>
              <w:t>)</w:t>
            </w:r>
          </w:p>
          <w:p w14:paraId="2571A2BC" w14:textId="76BF1C04"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 xml:space="preserve">Ultrafiltration (Fe </w:t>
            </w:r>
            <w:r w:rsidRPr="00F01347">
              <w:rPr>
                <w:rFonts w:ascii="Verdana" w:hAnsi="Verdana"/>
                <w:sz w:val="16"/>
                <w:szCs w:val="16"/>
                <w:vertAlign w:val="superscript"/>
                <w:lang w:val="en-US"/>
              </w:rPr>
              <w:t>+3</w:t>
            </w:r>
            <w:r w:rsidR="00913802" w:rsidRPr="00F01347">
              <w:rPr>
                <w:rFonts w:ascii="Verdana" w:hAnsi="Verdana"/>
                <w:sz w:val="16"/>
                <w:szCs w:val="16"/>
                <w:lang w:val="en-US"/>
              </w:rPr>
              <w:t>)</w:t>
            </w:r>
          </w:p>
        </w:tc>
      </w:tr>
      <w:tr w:rsidR="002444E4" w:rsidRPr="00F01347" w14:paraId="38A325F5"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34991F76"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Manganese</w:t>
            </w:r>
          </w:p>
        </w:tc>
        <w:tc>
          <w:tcPr>
            <w:tcW w:w="5735" w:type="dxa"/>
            <w:tcBorders>
              <w:top w:val="single" w:sz="6" w:space="0" w:color="auto"/>
              <w:left w:val="single" w:sz="6" w:space="0" w:color="auto"/>
              <w:bottom w:val="single" w:sz="6" w:space="0" w:color="auto"/>
              <w:right w:val="single" w:sz="6" w:space="0" w:color="auto"/>
            </w:tcBorders>
          </w:tcPr>
          <w:p w14:paraId="7158CF26"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 xml:space="preserve">Adsorption-oxidation on granular media coated with manganese </w:t>
            </w:r>
            <w:proofErr w:type="gramStart"/>
            <w:r w:rsidRPr="00F01347">
              <w:rPr>
                <w:rFonts w:ascii="Verdana" w:hAnsi="Verdana"/>
                <w:sz w:val="16"/>
                <w:szCs w:val="16"/>
                <w:lang w:val="en-US"/>
              </w:rPr>
              <w:t>oxide</w:t>
            </w:r>
            <w:proofErr w:type="gramEnd"/>
          </w:p>
          <w:p w14:paraId="770FEA79"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 xml:space="preserve">Chemical softening </w:t>
            </w:r>
            <w:r w:rsidRPr="00F01347">
              <w:rPr>
                <w:rFonts w:ascii="Verdana" w:hAnsi="Verdana"/>
                <w:sz w:val="16"/>
                <w:szCs w:val="16"/>
                <w:vertAlign w:val="superscript"/>
                <w:lang w:val="en-US"/>
              </w:rPr>
              <w:t>(1)</w:t>
            </w:r>
          </w:p>
        </w:tc>
      </w:tr>
      <w:tr w:rsidR="002444E4" w:rsidRPr="00F01347" w14:paraId="502D5248"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65F40789"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Mercury</w:t>
            </w:r>
          </w:p>
        </w:tc>
        <w:tc>
          <w:tcPr>
            <w:tcW w:w="5735" w:type="dxa"/>
            <w:tcBorders>
              <w:top w:val="single" w:sz="6" w:space="0" w:color="auto"/>
              <w:left w:val="single" w:sz="6" w:space="0" w:color="auto"/>
              <w:bottom w:val="single" w:sz="6" w:space="0" w:color="auto"/>
              <w:right w:val="single" w:sz="6" w:space="0" w:color="auto"/>
            </w:tcBorders>
          </w:tcPr>
          <w:p w14:paraId="5DD2034F"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inorganic mercury</w:t>
            </w:r>
          </w:p>
          <w:p w14:paraId="5CD5E728"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Inverse osmosis</w:t>
            </w:r>
          </w:p>
          <w:p w14:paraId="1511D43B"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Electrodialysis</w:t>
            </w:r>
          </w:p>
          <w:p w14:paraId="6807A815"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Cation exchange</w:t>
            </w:r>
          </w:p>
          <w:p w14:paraId="08C826DE"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Coagulation-flocculation-sedimentation-filtration</w:t>
            </w:r>
          </w:p>
          <w:p w14:paraId="0187C215"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 xml:space="preserve">Chemical softening </w:t>
            </w:r>
            <w:r w:rsidRPr="00F01347">
              <w:rPr>
                <w:rFonts w:ascii="Verdana" w:hAnsi="Verdana"/>
                <w:sz w:val="16"/>
                <w:szCs w:val="16"/>
                <w:vertAlign w:val="superscript"/>
                <w:lang w:val="en-US"/>
              </w:rPr>
              <w:t>(1)</w:t>
            </w:r>
          </w:p>
        </w:tc>
      </w:tr>
      <w:tr w:rsidR="002444E4" w:rsidRPr="00F01347" w14:paraId="396C8D4E"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noWrap/>
            <w:vAlign w:val="center"/>
          </w:tcPr>
          <w:p w14:paraId="75BA65E7"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Nickel</w:t>
            </w:r>
          </w:p>
        </w:tc>
        <w:tc>
          <w:tcPr>
            <w:tcW w:w="5735" w:type="dxa"/>
            <w:tcBorders>
              <w:top w:val="single" w:sz="6" w:space="0" w:color="auto"/>
              <w:left w:val="single" w:sz="6" w:space="0" w:color="auto"/>
              <w:bottom w:val="single" w:sz="6" w:space="0" w:color="auto"/>
              <w:right w:val="single" w:sz="6" w:space="0" w:color="auto"/>
            </w:tcBorders>
          </w:tcPr>
          <w:p w14:paraId="0AE43ABE"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Inverse osmosis</w:t>
            </w:r>
          </w:p>
          <w:p w14:paraId="70AE4D2F"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Cation exchange</w:t>
            </w:r>
          </w:p>
          <w:p w14:paraId="69D3ECD2"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Electrodialysis</w:t>
            </w:r>
          </w:p>
          <w:p w14:paraId="02313219"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 xml:space="preserve">Chemical softening </w:t>
            </w:r>
            <w:r w:rsidRPr="00F01347">
              <w:rPr>
                <w:rFonts w:ascii="Verdana" w:hAnsi="Verdana"/>
                <w:sz w:val="16"/>
                <w:szCs w:val="16"/>
                <w:vertAlign w:val="superscript"/>
                <w:lang w:val="en-US"/>
              </w:rPr>
              <w:t>(1)</w:t>
            </w:r>
          </w:p>
          <w:p w14:paraId="345B9B96"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Coagulation-flocculation-sedimentation-filtration</w:t>
            </w:r>
          </w:p>
        </w:tc>
      </w:tr>
      <w:tr w:rsidR="002444E4" w:rsidRPr="00F01347" w14:paraId="1C1A9A6A"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1475C294"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Lead</w:t>
            </w:r>
          </w:p>
        </w:tc>
        <w:tc>
          <w:tcPr>
            <w:tcW w:w="5735" w:type="dxa"/>
            <w:tcBorders>
              <w:top w:val="single" w:sz="6" w:space="0" w:color="auto"/>
              <w:left w:val="single" w:sz="6" w:space="0" w:color="auto"/>
              <w:bottom w:val="single" w:sz="6" w:space="0" w:color="auto"/>
              <w:right w:val="single" w:sz="6" w:space="0" w:color="auto"/>
            </w:tcBorders>
          </w:tcPr>
          <w:p w14:paraId="04B6680F"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Coagulation-flocculation-sedimentation-filtration</w:t>
            </w:r>
          </w:p>
          <w:p w14:paraId="64C2B514"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Inverse osmosis</w:t>
            </w:r>
          </w:p>
          <w:p w14:paraId="1CA9B1DC" w14:textId="16C1E0C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 xml:space="preserve">Chemical softening </w:t>
            </w:r>
            <w:r w:rsidR="00CB209C" w:rsidRPr="00F01347">
              <w:rPr>
                <w:rFonts w:ascii="Verdana" w:hAnsi="Verdana"/>
                <w:sz w:val="16"/>
                <w:szCs w:val="16"/>
                <w:vertAlign w:val="superscript"/>
                <w:lang w:val="en-US"/>
              </w:rPr>
              <w:t>(</w:t>
            </w:r>
            <w:r w:rsidRPr="00F01347">
              <w:rPr>
                <w:rFonts w:ascii="Verdana" w:hAnsi="Verdana"/>
                <w:sz w:val="16"/>
                <w:szCs w:val="16"/>
                <w:vertAlign w:val="superscript"/>
                <w:lang w:val="en-US"/>
              </w:rPr>
              <w:t xml:space="preserve">1) </w:t>
            </w:r>
            <w:r w:rsidRPr="00F01347">
              <w:rPr>
                <w:rFonts w:ascii="Verdana" w:hAnsi="Verdana"/>
                <w:sz w:val="16"/>
                <w:szCs w:val="16"/>
                <w:lang w:val="en-US"/>
              </w:rPr>
              <w:t>Electrodialysis</w:t>
            </w:r>
          </w:p>
          <w:p w14:paraId="3519067C"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Cation exchange</w:t>
            </w:r>
          </w:p>
        </w:tc>
      </w:tr>
      <w:tr w:rsidR="002444E4" w:rsidRPr="00F01347" w14:paraId="07EF5BFB"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43A2A668"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Selenium</w:t>
            </w:r>
          </w:p>
        </w:tc>
        <w:tc>
          <w:tcPr>
            <w:tcW w:w="5735" w:type="dxa"/>
            <w:tcBorders>
              <w:top w:val="single" w:sz="6" w:space="0" w:color="auto"/>
              <w:left w:val="single" w:sz="6" w:space="0" w:color="auto"/>
              <w:bottom w:val="single" w:sz="6" w:space="0" w:color="auto"/>
              <w:right w:val="single" w:sz="6" w:space="0" w:color="auto"/>
            </w:tcBorders>
          </w:tcPr>
          <w:p w14:paraId="51D6ABB6"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For tetravalent and hexavalent selenium</w:t>
            </w:r>
          </w:p>
          <w:p w14:paraId="33864D58"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Inverse osmosis</w:t>
            </w:r>
          </w:p>
          <w:p w14:paraId="4251F5D8"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Anion exchange</w:t>
            </w:r>
          </w:p>
          <w:p w14:paraId="5D51473E"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Electrodialysis</w:t>
            </w:r>
          </w:p>
          <w:p w14:paraId="12270552"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lastRenderedPageBreak/>
              <w:t>Adsorption on activated alumina</w:t>
            </w:r>
          </w:p>
          <w:p w14:paraId="7E03CE90"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Only for tetravalent selenium</w:t>
            </w:r>
          </w:p>
          <w:p w14:paraId="731857DB"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Coagulation-flocculation-sedimentation-filtration</w:t>
            </w:r>
          </w:p>
        </w:tc>
      </w:tr>
      <w:tr w:rsidR="002444E4" w:rsidRPr="00F01347" w14:paraId="201054CF"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04A8638F"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lastRenderedPageBreak/>
              <w:t>bacteria</w:t>
            </w:r>
          </w:p>
          <w:p w14:paraId="4B002157" w14:textId="6DAAFD6E" w:rsidR="002444E4" w:rsidRPr="00F01347" w:rsidRDefault="00CB209C"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w:t>
            </w:r>
            <w:proofErr w:type="gramStart"/>
            <w:r w:rsidR="002444E4" w:rsidRPr="00F01347">
              <w:rPr>
                <w:rFonts w:ascii="Verdana" w:hAnsi="Verdana"/>
                <w:i/>
                <w:sz w:val="16"/>
                <w:szCs w:val="16"/>
                <w:lang w:val="en-US"/>
              </w:rPr>
              <w:t>E.coli</w:t>
            </w:r>
            <w:proofErr w:type="gramEnd"/>
            <w:r w:rsidR="003E1BA9" w:rsidRPr="00F01347">
              <w:rPr>
                <w:rFonts w:ascii="Verdana" w:hAnsi="Verdana"/>
                <w:i/>
                <w:sz w:val="16"/>
                <w:szCs w:val="16"/>
                <w:lang w:val="en-US"/>
              </w:rPr>
              <w:t>,</w:t>
            </w:r>
            <w:r w:rsidR="002444E4" w:rsidRPr="00F01347">
              <w:rPr>
                <w:rFonts w:ascii="Verdana" w:hAnsi="Verdana"/>
                <w:sz w:val="16"/>
                <w:szCs w:val="16"/>
                <w:lang w:val="en-US"/>
              </w:rPr>
              <w:t xml:space="preserve"> fecal coliforms and thermotolerant organisms</w:t>
            </w:r>
            <w:r w:rsidR="00913802" w:rsidRPr="00F01347">
              <w:rPr>
                <w:rFonts w:ascii="Verdana" w:hAnsi="Verdana"/>
                <w:sz w:val="16"/>
                <w:szCs w:val="16"/>
                <w:lang w:val="en-US"/>
              </w:rPr>
              <w:t>)</w:t>
            </w:r>
          </w:p>
        </w:tc>
        <w:tc>
          <w:tcPr>
            <w:tcW w:w="5735" w:type="dxa"/>
            <w:tcBorders>
              <w:top w:val="single" w:sz="6" w:space="0" w:color="auto"/>
              <w:left w:val="single" w:sz="6" w:space="0" w:color="auto"/>
              <w:bottom w:val="single" w:sz="6" w:space="0" w:color="auto"/>
              <w:right w:val="single" w:sz="6" w:space="0" w:color="auto"/>
            </w:tcBorders>
          </w:tcPr>
          <w:p w14:paraId="5F0BEFE1"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Coagulation-flocculation-sedimentation-filtration-disinfectionChemical oxidation</w:t>
            </w:r>
          </w:p>
          <w:p w14:paraId="67FE6C71"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Slow sand filtration</w:t>
            </w:r>
          </w:p>
          <w:p w14:paraId="269325DC"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Ultrafiltration</w:t>
            </w:r>
          </w:p>
          <w:p w14:paraId="76203798"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Ultraviolet light disinfection (no turbidity)</w:t>
            </w:r>
          </w:p>
          <w:p w14:paraId="4D01B7C8"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Ozonation</w:t>
            </w:r>
          </w:p>
          <w:p w14:paraId="55F44D58"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Chlorination</w:t>
            </w:r>
          </w:p>
          <w:p w14:paraId="18481312"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Addition of chlorine, iodine or ionic or colloidal silver compounds</w:t>
            </w:r>
          </w:p>
        </w:tc>
      </w:tr>
      <w:tr w:rsidR="002444E4" w:rsidRPr="00F01347" w14:paraId="2768FABD"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2D9256AD"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i/>
                <w:sz w:val="16"/>
                <w:szCs w:val="16"/>
                <w:lang w:val="en-US"/>
              </w:rPr>
              <w:t xml:space="preserve">Giardia lamblia </w:t>
            </w:r>
            <w:r w:rsidRPr="00F01347">
              <w:rPr>
                <w:rFonts w:ascii="Verdana" w:hAnsi="Verdana"/>
                <w:sz w:val="16"/>
                <w:szCs w:val="16"/>
                <w:lang w:val="en-US"/>
              </w:rPr>
              <w:t>(Cysts)</w:t>
            </w:r>
          </w:p>
        </w:tc>
        <w:tc>
          <w:tcPr>
            <w:tcW w:w="5735" w:type="dxa"/>
            <w:tcBorders>
              <w:top w:val="single" w:sz="6" w:space="0" w:color="auto"/>
              <w:left w:val="single" w:sz="6" w:space="0" w:color="auto"/>
              <w:bottom w:val="single" w:sz="6" w:space="0" w:color="auto"/>
              <w:right w:val="single" w:sz="6" w:space="0" w:color="auto"/>
            </w:tcBorders>
          </w:tcPr>
          <w:p w14:paraId="6213FDA4"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Coagulation-flocculation-sedimentation-filtration-disinfection</w:t>
            </w:r>
          </w:p>
          <w:p w14:paraId="33F671C4"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Microfiltration</w:t>
            </w:r>
          </w:p>
          <w:p w14:paraId="10774958"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Ultrafiltration</w:t>
            </w:r>
          </w:p>
          <w:p w14:paraId="4B455FFA"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Slow sand filtration</w:t>
            </w:r>
          </w:p>
          <w:p w14:paraId="3F7FDDB3"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Ozonation</w:t>
            </w:r>
          </w:p>
        </w:tc>
      </w:tr>
      <w:tr w:rsidR="002444E4" w:rsidRPr="00F01347" w14:paraId="7FA9D61D"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noWrap/>
            <w:vAlign w:val="center"/>
          </w:tcPr>
          <w:p w14:paraId="0167EEEB"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Microcystin -LR</w:t>
            </w:r>
          </w:p>
        </w:tc>
        <w:tc>
          <w:tcPr>
            <w:tcW w:w="5735" w:type="dxa"/>
            <w:tcBorders>
              <w:top w:val="single" w:sz="6" w:space="0" w:color="auto"/>
              <w:left w:val="single" w:sz="6" w:space="0" w:color="auto"/>
              <w:bottom w:val="single" w:sz="6" w:space="0" w:color="auto"/>
              <w:right w:val="single" w:sz="6" w:space="0" w:color="auto"/>
            </w:tcBorders>
          </w:tcPr>
          <w:p w14:paraId="0B456113" w14:textId="77777777" w:rsidR="002444E4" w:rsidRPr="00F01347" w:rsidRDefault="002444E4" w:rsidP="00CF3AE1">
            <w:pPr>
              <w:pStyle w:val="texto0"/>
              <w:spacing w:before="40" w:after="40" w:line="266" w:lineRule="exact"/>
              <w:ind w:firstLine="0"/>
              <w:rPr>
                <w:rFonts w:ascii="Verdana" w:hAnsi="Verdana"/>
                <w:sz w:val="16"/>
                <w:szCs w:val="16"/>
                <w:lang w:val="en-US"/>
              </w:rPr>
            </w:pPr>
            <w:r w:rsidRPr="00F01347">
              <w:rPr>
                <w:rFonts w:ascii="Verdana" w:hAnsi="Verdana"/>
                <w:sz w:val="16"/>
                <w:szCs w:val="16"/>
                <w:lang w:val="en-US"/>
              </w:rPr>
              <w:t xml:space="preserve">Filtration is an option for the removal of intact cyanobacteria. If </w:t>
            </w:r>
            <w:proofErr w:type="spellStart"/>
            <w:r w:rsidRPr="00F01347">
              <w:rPr>
                <w:rFonts w:ascii="Verdana" w:hAnsi="Verdana"/>
                <w:sz w:val="16"/>
                <w:szCs w:val="16"/>
                <w:lang w:val="en-US"/>
              </w:rPr>
              <w:t>microcystins</w:t>
            </w:r>
            <w:proofErr w:type="spellEnd"/>
            <w:r w:rsidRPr="00F01347">
              <w:rPr>
                <w:rFonts w:ascii="Verdana" w:hAnsi="Verdana"/>
                <w:sz w:val="16"/>
                <w:szCs w:val="16"/>
                <w:lang w:val="en-US"/>
              </w:rPr>
              <w:t xml:space="preserve"> or other cyanotoxins are free in the water, oxidation with ozone or chlorine has been recommended, at appropriate concentrations and contact times, as well as adsorption on granular activated carbon or powdered activated carbon.</w:t>
            </w:r>
          </w:p>
        </w:tc>
      </w:tr>
      <w:tr w:rsidR="002444E4" w:rsidRPr="00F01347" w14:paraId="0D5C5925"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3188156D"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Bromodichloromethane</w:t>
            </w:r>
          </w:p>
        </w:tc>
        <w:tc>
          <w:tcPr>
            <w:tcW w:w="5735" w:type="dxa"/>
            <w:vMerge w:val="restart"/>
            <w:tcBorders>
              <w:top w:val="single" w:sz="6" w:space="0" w:color="auto"/>
              <w:left w:val="single" w:sz="6" w:space="0" w:color="auto"/>
              <w:right w:val="single" w:sz="6" w:space="0" w:color="auto"/>
            </w:tcBorders>
          </w:tcPr>
          <w:p w14:paraId="4CAAD4A2" w14:textId="67721554" w:rsidR="002444E4" w:rsidRPr="00F01347" w:rsidRDefault="002444E4" w:rsidP="00CF3AE1">
            <w:pPr>
              <w:pStyle w:val="texto0"/>
              <w:spacing w:before="40" w:after="40" w:line="300" w:lineRule="exact"/>
              <w:ind w:firstLine="0"/>
              <w:rPr>
                <w:rFonts w:ascii="Verdana" w:hAnsi="Verdana"/>
                <w:color w:val="000000"/>
                <w:sz w:val="16"/>
                <w:szCs w:val="16"/>
                <w:lang w:val="en-US"/>
              </w:rPr>
            </w:pPr>
            <w:r w:rsidRPr="00F01347">
              <w:rPr>
                <w:rFonts w:ascii="Verdana" w:hAnsi="Verdana"/>
                <w:color w:val="000000"/>
                <w:sz w:val="16"/>
                <w:szCs w:val="16"/>
                <w:lang w:val="en-US"/>
              </w:rPr>
              <w:t xml:space="preserve">In general, there are no practical methods for its removal, so its formation must be minimized by removing the precursors of the disinfection byproducts, or in the case of </w:t>
            </w:r>
            <w:proofErr w:type="spellStart"/>
            <w:r w:rsidRPr="00F01347">
              <w:rPr>
                <w:rFonts w:ascii="Verdana" w:hAnsi="Verdana"/>
                <w:color w:val="000000"/>
                <w:sz w:val="16"/>
                <w:szCs w:val="16"/>
                <w:lang w:val="en-US"/>
              </w:rPr>
              <w:t>haloacetic</w:t>
            </w:r>
            <w:proofErr w:type="spellEnd"/>
            <w:r w:rsidRPr="00F01347">
              <w:rPr>
                <w:rFonts w:ascii="Verdana" w:hAnsi="Verdana"/>
                <w:color w:val="000000"/>
                <w:sz w:val="16"/>
                <w:szCs w:val="16"/>
                <w:lang w:val="en-US"/>
              </w:rPr>
              <w:t xml:space="preserve"> acids</w:t>
            </w:r>
            <w:r w:rsidR="003E1BA9" w:rsidRPr="00F01347">
              <w:rPr>
                <w:rFonts w:ascii="Verdana" w:hAnsi="Verdana"/>
                <w:color w:val="000000"/>
                <w:sz w:val="16"/>
                <w:szCs w:val="16"/>
                <w:lang w:val="en-US"/>
              </w:rPr>
              <w:t>,</w:t>
            </w:r>
            <w:r w:rsidRPr="00F01347">
              <w:rPr>
                <w:rFonts w:ascii="Verdana" w:hAnsi="Verdana"/>
                <w:color w:val="000000"/>
                <w:sz w:val="16"/>
                <w:szCs w:val="16"/>
                <w:lang w:val="en-US"/>
              </w:rPr>
              <w:t xml:space="preserve"> by controlling the pH during the application of chlorine. The formation of chlorates must be avoided during the production of chlorine dioxide.</w:t>
            </w:r>
          </w:p>
          <w:p w14:paraId="50AC231E" w14:textId="5C69A3E9"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 xml:space="preserve">If chlorine dioxide is used as a </w:t>
            </w:r>
            <w:proofErr w:type="spellStart"/>
            <w:r w:rsidRPr="00F01347">
              <w:rPr>
                <w:rFonts w:ascii="Verdana" w:hAnsi="Verdana"/>
                <w:sz w:val="16"/>
                <w:szCs w:val="16"/>
                <w:lang w:val="en-US"/>
              </w:rPr>
              <w:t>preoxidant</w:t>
            </w:r>
            <w:proofErr w:type="spellEnd"/>
            <w:r w:rsidR="003E1BA9" w:rsidRPr="00F01347">
              <w:rPr>
                <w:rFonts w:ascii="Verdana" w:hAnsi="Verdana"/>
                <w:sz w:val="16"/>
                <w:szCs w:val="16"/>
                <w:lang w:val="en-US"/>
              </w:rPr>
              <w:t>,</w:t>
            </w:r>
            <w:r w:rsidRPr="00F01347">
              <w:rPr>
                <w:rFonts w:ascii="Verdana" w:hAnsi="Verdana"/>
                <w:sz w:val="16"/>
                <w:szCs w:val="16"/>
                <w:lang w:val="en-US"/>
              </w:rPr>
              <w:t xml:space="preserve"> reduce the resulting chlorite concentration using ferrous iron or activated carbon.</w:t>
            </w:r>
          </w:p>
          <w:p w14:paraId="76CC0EAF"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 xml:space="preserve">Activated carbon (for </w:t>
            </w:r>
            <w:proofErr w:type="spellStart"/>
            <w:r w:rsidRPr="00F01347">
              <w:rPr>
                <w:rFonts w:ascii="Verdana" w:hAnsi="Verdana"/>
                <w:sz w:val="16"/>
                <w:szCs w:val="16"/>
                <w:lang w:val="en-US"/>
              </w:rPr>
              <w:t>haloacetic</w:t>
            </w:r>
            <w:proofErr w:type="spellEnd"/>
            <w:r w:rsidRPr="00F01347">
              <w:rPr>
                <w:rFonts w:ascii="Verdana" w:hAnsi="Verdana"/>
                <w:sz w:val="16"/>
                <w:szCs w:val="16"/>
                <w:lang w:val="en-US"/>
              </w:rPr>
              <w:t xml:space="preserve"> acids and trihalomethanes)</w:t>
            </w:r>
          </w:p>
        </w:tc>
      </w:tr>
      <w:tr w:rsidR="002444E4" w:rsidRPr="00F01347" w14:paraId="68966BD5"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AD4A6CD"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Bromoform</w:t>
            </w:r>
          </w:p>
        </w:tc>
        <w:tc>
          <w:tcPr>
            <w:tcW w:w="5735" w:type="dxa"/>
            <w:vMerge/>
            <w:tcBorders>
              <w:left w:val="single" w:sz="6" w:space="0" w:color="auto"/>
              <w:right w:val="single" w:sz="6" w:space="0" w:color="auto"/>
            </w:tcBorders>
          </w:tcPr>
          <w:p w14:paraId="3B0FCF74" w14:textId="77777777" w:rsidR="002444E4" w:rsidRPr="00F01347" w:rsidRDefault="002444E4" w:rsidP="00CF3AE1">
            <w:pPr>
              <w:pStyle w:val="texto0"/>
              <w:spacing w:before="40" w:after="40" w:line="300" w:lineRule="exact"/>
              <w:ind w:firstLine="0"/>
              <w:rPr>
                <w:rFonts w:ascii="Verdana" w:hAnsi="Verdana"/>
                <w:sz w:val="16"/>
                <w:szCs w:val="16"/>
                <w:lang w:val="en-US"/>
              </w:rPr>
            </w:pPr>
          </w:p>
        </w:tc>
      </w:tr>
      <w:tr w:rsidR="002444E4" w:rsidRPr="00F01347" w14:paraId="1A2D5610"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6DB3AA49"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Chloroform</w:t>
            </w:r>
          </w:p>
        </w:tc>
        <w:tc>
          <w:tcPr>
            <w:tcW w:w="5735" w:type="dxa"/>
            <w:vMerge/>
            <w:tcBorders>
              <w:left w:val="single" w:sz="6" w:space="0" w:color="auto"/>
              <w:right w:val="single" w:sz="6" w:space="0" w:color="auto"/>
            </w:tcBorders>
          </w:tcPr>
          <w:p w14:paraId="20989F8B" w14:textId="77777777" w:rsidR="002444E4" w:rsidRPr="00F01347" w:rsidRDefault="002444E4" w:rsidP="00CF3AE1">
            <w:pPr>
              <w:pStyle w:val="texto0"/>
              <w:spacing w:before="40" w:after="40" w:line="300" w:lineRule="exact"/>
              <w:ind w:firstLine="0"/>
              <w:rPr>
                <w:rFonts w:ascii="Verdana" w:hAnsi="Verdana"/>
                <w:sz w:val="16"/>
                <w:szCs w:val="16"/>
                <w:lang w:val="en-US"/>
              </w:rPr>
            </w:pPr>
          </w:p>
        </w:tc>
      </w:tr>
      <w:tr w:rsidR="002444E4" w:rsidRPr="00F01347" w14:paraId="1AFB987A"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584B70FD"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Dibromochloromethane</w:t>
            </w:r>
          </w:p>
        </w:tc>
        <w:tc>
          <w:tcPr>
            <w:tcW w:w="5735" w:type="dxa"/>
            <w:vMerge/>
            <w:tcBorders>
              <w:left w:val="single" w:sz="6" w:space="0" w:color="auto"/>
              <w:right w:val="single" w:sz="6" w:space="0" w:color="auto"/>
            </w:tcBorders>
          </w:tcPr>
          <w:p w14:paraId="613A7732" w14:textId="77777777" w:rsidR="002444E4" w:rsidRPr="00F01347" w:rsidRDefault="002444E4" w:rsidP="00CF3AE1">
            <w:pPr>
              <w:pStyle w:val="texto0"/>
              <w:spacing w:before="40" w:after="40" w:line="300" w:lineRule="exact"/>
              <w:ind w:firstLine="0"/>
              <w:rPr>
                <w:rFonts w:ascii="Verdana" w:hAnsi="Verdana"/>
                <w:sz w:val="16"/>
                <w:szCs w:val="16"/>
                <w:lang w:val="en-US"/>
              </w:rPr>
            </w:pPr>
          </w:p>
        </w:tc>
      </w:tr>
      <w:tr w:rsidR="002444E4" w:rsidRPr="00F01347" w14:paraId="0E85C16D"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41153598"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Chloroacetic acid</w:t>
            </w:r>
          </w:p>
        </w:tc>
        <w:tc>
          <w:tcPr>
            <w:tcW w:w="5735" w:type="dxa"/>
            <w:vMerge/>
            <w:tcBorders>
              <w:left w:val="single" w:sz="6" w:space="0" w:color="auto"/>
              <w:right w:val="single" w:sz="6" w:space="0" w:color="auto"/>
            </w:tcBorders>
          </w:tcPr>
          <w:p w14:paraId="65B5E7AD" w14:textId="77777777" w:rsidR="002444E4" w:rsidRPr="00F01347" w:rsidRDefault="002444E4" w:rsidP="00CF3AE1">
            <w:pPr>
              <w:pStyle w:val="texto0"/>
              <w:spacing w:before="40" w:after="40" w:line="300" w:lineRule="exact"/>
              <w:ind w:firstLine="0"/>
              <w:rPr>
                <w:rFonts w:ascii="Verdana" w:hAnsi="Verdana"/>
                <w:sz w:val="16"/>
                <w:szCs w:val="16"/>
                <w:lang w:val="en-US"/>
              </w:rPr>
            </w:pPr>
          </w:p>
        </w:tc>
      </w:tr>
      <w:tr w:rsidR="002444E4" w:rsidRPr="00F01347" w14:paraId="7A44FE9E"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3C5A2374"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dichloroacetic acid</w:t>
            </w:r>
          </w:p>
        </w:tc>
        <w:tc>
          <w:tcPr>
            <w:tcW w:w="5735" w:type="dxa"/>
            <w:vMerge/>
            <w:tcBorders>
              <w:left w:val="single" w:sz="6" w:space="0" w:color="auto"/>
              <w:right w:val="single" w:sz="6" w:space="0" w:color="auto"/>
            </w:tcBorders>
          </w:tcPr>
          <w:p w14:paraId="690EDD19" w14:textId="77777777" w:rsidR="002444E4" w:rsidRPr="00F01347" w:rsidRDefault="002444E4" w:rsidP="00CF3AE1">
            <w:pPr>
              <w:pStyle w:val="texto0"/>
              <w:spacing w:before="40" w:after="40" w:line="300" w:lineRule="exact"/>
              <w:ind w:firstLine="0"/>
              <w:rPr>
                <w:rFonts w:ascii="Verdana" w:hAnsi="Verdana"/>
                <w:sz w:val="16"/>
                <w:szCs w:val="16"/>
                <w:lang w:val="en-US"/>
              </w:rPr>
            </w:pPr>
          </w:p>
        </w:tc>
      </w:tr>
      <w:tr w:rsidR="002444E4" w:rsidRPr="00F01347" w14:paraId="3EB8E2BD"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43E8DAE0"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Trichloroacetic acid</w:t>
            </w:r>
          </w:p>
        </w:tc>
        <w:tc>
          <w:tcPr>
            <w:tcW w:w="5735" w:type="dxa"/>
            <w:vMerge/>
            <w:tcBorders>
              <w:left w:val="single" w:sz="6" w:space="0" w:color="auto"/>
              <w:right w:val="single" w:sz="6" w:space="0" w:color="auto"/>
            </w:tcBorders>
          </w:tcPr>
          <w:p w14:paraId="5721975E" w14:textId="77777777" w:rsidR="002444E4" w:rsidRPr="00F01347" w:rsidRDefault="002444E4" w:rsidP="00CF3AE1">
            <w:pPr>
              <w:pStyle w:val="texto0"/>
              <w:spacing w:before="40" w:after="40" w:line="300" w:lineRule="exact"/>
              <w:ind w:firstLine="0"/>
              <w:rPr>
                <w:rFonts w:ascii="Verdana" w:hAnsi="Verdana"/>
                <w:sz w:val="16"/>
                <w:szCs w:val="16"/>
                <w:lang w:val="en-US"/>
              </w:rPr>
            </w:pPr>
          </w:p>
        </w:tc>
      </w:tr>
      <w:tr w:rsidR="002444E4" w:rsidRPr="00F01347" w14:paraId="2E652AD2"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55DF5496"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Bromate</w:t>
            </w:r>
          </w:p>
        </w:tc>
        <w:tc>
          <w:tcPr>
            <w:tcW w:w="5735" w:type="dxa"/>
            <w:vMerge/>
            <w:tcBorders>
              <w:left w:val="single" w:sz="6" w:space="0" w:color="auto"/>
              <w:right w:val="single" w:sz="6" w:space="0" w:color="auto"/>
            </w:tcBorders>
          </w:tcPr>
          <w:p w14:paraId="73BCD5DB" w14:textId="77777777" w:rsidR="002444E4" w:rsidRPr="00F01347" w:rsidRDefault="002444E4" w:rsidP="00CF3AE1">
            <w:pPr>
              <w:pStyle w:val="texto0"/>
              <w:spacing w:before="40" w:after="40" w:line="300" w:lineRule="exact"/>
              <w:ind w:firstLine="0"/>
              <w:rPr>
                <w:rFonts w:ascii="Verdana" w:hAnsi="Verdana"/>
                <w:sz w:val="16"/>
                <w:szCs w:val="16"/>
                <w:lang w:val="en-US"/>
              </w:rPr>
            </w:pPr>
          </w:p>
        </w:tc>
      </w:tr>
      <w:tr w:rsidR="002444E4" w:rsidRPr="00F01347" w14:paraId="5935C5CE"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7A28824B"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Chlorates</w:t>
            </w:r>
          </w:p>
        </w:tc>
        <w:tc>
          <w:tcPr>
            <w:tcW w:w="5735" w:type="dxa"/>
            <w:vMerge/>
            <w:tcBorders>
              <w:left w:val="single" w:sz="6" w:space="0" w:color="auto"/>
              <w:right w:val="single" w:sz="6" w:space="0" w:color="auto"/>
            </w:tcBorders>
          </w:tcPr>
          <w:p w14:paraId="7F1B6670" w14:textId="77777777" w:rsidR="002444E4" w:rsidRPr="00F01347" w:rsidRDefault="002444E4" w:rsidP="00CF3AE1">
            <w:pPr>
              <w:pStyle w:val="texto0"/>
              <w:spacing w:before="40" w:after="40" w:line="300" w:lineRule="exact"/>
              <w:ind w:firstLine="0"/>
              <w:rPr>
                <w:rFonts w:ascii="Verdana" w:hAnsi="Verdana"/>
                <w:sz w:val="16"/>
                <w:szCs w:val="16"/>
                <w:lang w:val="en-US"/>
              </w:rPr>
            </w:pPr>
          </w:p>
        </w:tc>
      </w:tr>
      <w:tr w:rsidR="002444E4" w:rsidRPr="00F01347" w14:paraId="705789DC"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7EF2580F"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Chlorites</w:t>
            </w:r>
          </w:p>
        </w:tc>
        <w:tc>
          <w:tcPr>
            <w:tcW w:w="5735" w:type="dxa"/>
            <w:vMerge/>
            <w:tcBorders>
              <w:left w:val="single" w:sz="6" w:space="0" w:color="auto"/>
              <w:right w:val="single" w:sz="6" w:space="0" w:color="auto"/>
            </w:tcBorders>
          </w:tcPr>
          <w:p w14:paraId="32292AB1" w14:textId="77777777" w:rsidR="002444E4" w:rsidRPr="00F01347" w:rsidRDefault="002444E4" w:rsidP="00CF3AE1">
            <w:pPr>
              <w:pStyle w:val="texto0"/>
              <w:spacing w:before="40" w:after="40" w:line="300" w:lineRule="exact"/>
              <w:ind w:firstLine="0"/>
              <w:rPr>
                <w:rFonts w:ascii="Verdana" w:hAnsi="Verdana"/>
                <w:sz w:val="16"/>
                <w:szCs w:val="16"/>
                <w:lang w:val="en-US"/>
              </w:rPr>
            </w:pPr>
          </w:p>
        </w:tc>
      </w:tr>
      <w:tr w:rsidR="002444E4" w:rsidRPr="00F01347" w14:paraId="25ABC45A"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6950BAA6"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Formaldehyde</w:t>
            </w:r>
          </w:p>
        </w:tc>
        <w:tc>
          <w:tcPr>
            <w:tcW w:w="5735" w:type="dxa"/>
            <w:vMerge/>
            <w:tcBorders>
              <w:left w:val="single" w:sz="6" w:space="0" w:color="auto"/>
              <w:bottom w:val="single" w:sz="6" w:space="0" w:color="auto"/>
              <w:right w:val="single" w:sz="6" w:space="0" w:color="auto"/>
            </w:tcBorders>
          </w:tcPr>
          <w:p w14:paraId="59156AB7" w14:textId="77777777" w:rsidR="002444E4" w:rsidRPr="00F01347" w:rsidRDefault="002444E4" w:rsidP="00CF3AE1">
            <w:pPr>
              <w:pStyle w:val="texto0"/>
              <w:spacing w:before="40" w:after="40" w:line="300" w:lineRule="exact"/>
              <w:ind w:firstLine="0"/>
              <w:rPr>
                <w:rFonts w:ascii="Verdana" w:hAnsi="Verdana"/>
                <w:sz w:val="16"/>
                <w:szCs w:val="16"/>
                <w:lang w:val="en-US"/>
              </w:rPr>
            </w:pPr>
          </w:p>
        </w:tc>
      </w:tr>
      <w:tr w:rsidR="002444E4" w:rsidRPr="00F01347" w14:paraId="3FE5CB8C"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49986A51"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Benzene</w:t>
            </w:r>
          </w:p>
        </w:tc>
        <w:tc>
          <w:tcPr>
            <w:tcW w:w="5735" w:type="dxa"/>
            <w:vMerge w:val="restart"/>
            <w:tcBorders>
              <w:top w:val="single" w:sz="6" w:space="0" w:color="auto"/>
              <w:left w:val="single" w:sz="6" w:space="0" w:color="auto"/>
              <w:right w:val="single" w:sz="6" w:space="0" w:color="auto"/>
            </w:tcBorders>
          </w:tcPr>
          <w:p w14:paraId="7733730C"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Granular activated carbon</w:t>
            </w:r>
          </w:p>
          <w:p w14:paraId="0BD19A75"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Aeration</w:t>
            </w:r>
          </w:p>
          <w:p w14:paraId="031F412A"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Ozonation</w:t>
            </w:r>
          </w:p>
          <w:p w14:paraId="6113A6BF"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Chemical oxidation</w:t>
            </w:r>
          </w:p>
          <w:p w14:paraId="49F0D9F6"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37E6846A"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2172AC61"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lastRenderedPageBreak/>
              <w:t>Membrane processes.</w:t>
            </w:r>
          </w:p>
          <w:p w14:paraId="474BBEDC"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065CB983"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6DBE9A97"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Styrene</w:t>
            </w:r>
          </w:p>
        </w:tc>
        <w:tc>
          <w:tcPr>
            <w:tcW w:w="5735" w:type="dxa"/>
            <w:vMerge/>
            <w:tcBorders>
              <w:left w:val="single" w:sz="6" w:space="0" w:color="auto"/>
              <w:right w:val="single" w:sz="6" w:space="0" w:color="auto"/>
            </w:tcBorders>
          </w:tcPr>
          <w:p w14:paraId="443D7FCD" w14:textId="77777777" w:rsidR="002444E4" w:rsidRPr="00F01347" w:rsidRDefault="002444E4" w:rsidP="00CF3AE1">
            <w:pPr>
              <w:pStyle w:val="texto0"/>
              <w:spacing w:before="40" w:after="40" w:line="310" w:lineRule="exact"/>
              <w:ind w:firstLine="0"/>
              <w:rPr>
                <w:rFonts w:ascii="Verdana" w:hAnsi="Verdana"/>
                <w:sz w:val="16"/>
                <w:szCs w:val="16"/>
                <w:lang w:val="en-US"/>
              </w:rPr>
            </w:pPr>
          </w:p>
        </w:tc>
      </w:tr>
      <w:tr w:rsidR="002444E4" w:rsidRPr="00F01347" w14:paraId="4D44D184"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E45887E"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Ethylbenzene</w:t>
            </w:r>
          </w:p>
        </w:tc>
        <w:tc>
          <w:tcPr>
            <w:tcW w:w="5735" w:type="dxa"/>
            <w:vMerge/>
            <w:tcBorders>
              <w:left w:val="single" w:sz="6" w:space="0" w:color="auto"/>
              <w:right w:val="single" w:sz="6" w:space="0" w:color="auto"/>
            </w:tcBorders>
          </w:tcPr>
          <w:p w14:paraId="3C922290" w14:textId="77777777" w:rsidR="002444E4" w:rsidRPr="00F01347" w:rsidRDefault="002444E4" w:rsidP="00CF3AE1">
            <w:pPr>
              <w:pStyle w:val="texto0"/>
              <w:spacing w:before="40" w:after="40" w:line="310" w:lineRule="exact"/>
              <w:ind w:firstLine="0"/>
              <w:rPr>
                <w:rFonts w:ascii="Verdana" w:hAnsi="Verdana"/>
                <w:sz w:val="16"/>
                <w:szCs w:val="16"/>
                <w:lang w:val="en-US"/>
              </w:rPr>
            </w:pPr>
          </w:p>
        </w:tc>
      </w:tr>
      <w:tr w:rsidR="002444E4" w:rsidRPr="00F01347" w14:paraId="7D4BC5B4"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6426A1AC"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Toluene</w:t>
            </w:r>
          </w:p>
        </w:tc>
        <w:tc>
          <w:tcPr>
            <w:tcW w:w="5735" w:type="dxa"/>
            <w:vMerge/>
            <w:tcBorders>
              <w:left w:val="single" w:sz="6" w:space="0" w:color="auto"/>
              <w:right w:val="single" w:sz="6" w:space="0" w:color="auto"/>
            </w:tcBorders>
          </w:tcPr>
          <w:p w14:paraId="391532D4" w14:textId="77777777" w:rsidR="002444E4" w:rsidRPr="00F01347" w:rsidRDefault="002444E4" w:rsidP="00CF3AE1">
            <w:pPr>
              <w:pStyle w:val="texto0"/>
              <w:spacing w:before="40" w:after="40" w:line="300" w:lineRule="exact"/>
              <w:ind w:firstLine="0"/>
              <w:rPr>
                <w:rFonts w:ascii="Verdana" w:hAnsi="Verdana"/>
                <w:sz w:val="16"/>
                <w:szCs w:val="16"/>
                <w:lang w:val="en-US"/>
              </w:rPr>
            </w:pPr>
          </w:p>
        </w:tc>
      </w:tr>
      <w:tr w:rsidR="002444E4" w:rsidRPr="00F01347" w14:paraId="638010FE"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5EEC90A9" w14:textId="77777777"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t>Xylenes</w:t>
            </w:r>
          </w:p>
          <w:p w14:paraId="3476906B" w14:textId="3F886B4D" w:rsidR="002444E4" w:rsidRPr="00F01347" w:rsidRDefault="002444E4" w:rsidP="00CF3AE1">
            <w:pPr>
              <w:pStyle w:val="texto0"/>
              <w:spacing w:before="40" w:after="40" w:line="300" w:lineRule="exact"/>
              <w:ind w:firstLine="0"/>
              <w:rPr>
                <w:rFonts w:ascii="Verdana" w:hAnsi="Verdana"/>
                <w:sz w:val="16"/>
                <w:szCs w:val="16"/>
                <w:lang w:val="en-US"/>
              </w:rPr>
            </w:pPr>
            <w:r w:rsidRPr="00F01347">
              <w:rPr>
                <w:rFonts w:ascii="Verdana" w:hAnsi="Verdana"/>
                <w:sz w:val="16"/>
                <w:szCs w:val="16"/>
                <w:lang w:val="en-US"/>
              </w:rPr>
              <w:lastRenderedPageBreak/>
              <w:t>(sum of ortho</w:t>
            </w:r>
            <w:r w:rsidR="003E1BA9" w:rsidRPr="00F01347">
              <w:rPr>
                <w:rFonts w:ascii="Verdana" w:hAnsi="Verdana"/>
                <w:sz w:val="16"/>
                <w:szCs w:val="16"/>
                <w:lang w:val="en-US"/>
              </w:rPr>
              <w:t>,</w:t>
            </w:r>
            <w:r w:rsidRPr="00F01347">
              <w:rPr>
                <w:rFonts w:ascii="Verdana" w:hAnsi="Verdana"/>
                <w:sz w:val="16"/>
                <w:szCs w:val="16"/>
                <w:lang w:val="en-US"/>
              </w:rPr>
              <w:t xml:space="preserve"> meta and para isomers)</w:t>
            </w:r>
          </w:p>
        </w:tc>
        <w:tc>
          <w:tcPr>
            <w:tcW w:w="5735" w:type="dxa"/>
            <w:vMerge/>
            <w:tcBorders>
              <w:left w:val="single" w:sz="6" w:space="0" w:color="auto"/>
              <w:bottom w:val="single" w:sz="6" w:space="0" w:color="auto"/>
              <w:right w:val="single" w:sz="6" w:space="0" w:color="auto"/>
            </w:tcBorders>
          </w:tcPr>
          <w:p w14:paraId="438F175D" w14:textId="77777777" w:rsidR="002444E4" w:rsidRPr="00F01347" w:rsidRDefault="002444E4" w:rsidP="00CF3AE1">
            <w:pPr>
              <w:pStyle w:val="texto0"/>
              <w:spacing w:before="40" w:after="40" w:line="300" w:lineRule="exact"/>
              <w:ind w:firstLine="0"/>
              <w:rPr>
                <w:rFonts w:ascii="Verdana" w:hAnsi="Verdana"/>
                <w:sz w:val="16"/>
                <w:szCs w:val="16"/>
                <w:lang w:val="en-US"/>
              </w:rPr>
            </w:pPr>
          </w:p>
        </w:tc>
      </w:tr>
      <w:tr w:rsidR="002444E4" w:rsidRPr="00F01347" w14:paraId="4D15B505"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noWrap/>
            <w:vAlign w:val="center"/>
          </w:tcPr>
          <w:p w14:paraId="4318C1AE"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Hexachlorobutadiene</w:t>
            </w:r>
          </w:p>
        </w:tc>
        <w:tc>
          <w:tcPr>
            <w:tcW w:w="5735" w:type="dxa"/>
            <w:vMerge w:val="restart"/>
            <w:tcBorders>
              <w:top w:val="single" w:sz="6" w:space="0" w:color="auto"/>
              <w:left w:val="single" w:sz="6" w:space="0" w:color="auto"/>
              <w:right w:val="single" w:sz="6" w:space="0" w:color="auto"/>
            </w:tcBorders>
          </w:tcPr>
          <w:p w14:paraId="27CB0F26"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Ozonation</w:t>
            </w:r>
          </w:p>
          <w:p w14:paraId="3410DD9A"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Chemical oxidation</w:t>
            </w:r>
          </w:p>
          <w:p w14:paraId="06122AA6"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01FAE3A5"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10FBF368"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Membrane processes.</w:t>
            </w:r>
          </w:p>
          <w:p w14:paraId="2CB594AE" w14:textId="77777777" w:rsidR="002444E4" w:rsidRPr="00F01347" w:rsidRDefault="002444E4" w:rsidP="00CF3AE1">
            <w:pPr>
              <w:pStyle w:val="texto0"/>
              <w:spacing w:before="40" w:after="40" w:line="310" w:lineRule="exact"/>
              <w:ind w:firstLine="0"/>
              <w:rPr>
                <w:rFonts w:ascii="Verdana" w:hAnsi="Verdana"/>
                <w:color w:val="000000"/>
                <w:sz w:val="16"/>
                <w:szCs w:val="16"/>
                <w:lang w:val="en-US"/>
              </w:rPr>
            </w:pPr>
            <w:r w:rsidRPr="00F01347">
              <w:rPr>
                <w:rFonts w:ascii="Verdana" w:hAnsi="Verdana"/>
                <w:sz w:val="16"/>
                <w:szCs w:val="16"/>
                <w:lang w:val="en-US"/>
              </w:rPr>
              <w:t>In the case of oxidation ensure complete mineralization</w:t>
            </w:r>
          </w:p>
        </w:tc>
      </w:tr>
      <w:tr w:rsidR="002444E4" w:rsidRPr="00F01347" w14:paraId="026F739B"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54CE6A8A"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Pentachlorophenol</w:t>
            </w:r>
          </w:p>
        </w:tc>
        <w:tc>
          <w:tcPr>
            <w:tcW w:w="5735" w:type="dxa"/>
            <w:vMerge/>
            <w:tcBorders>
              <w:left w:val="single" w:sz="6" w:space="0" w:color="auto"/>
              <w:right w:val="single" w:sz="6" w:space="0" w:color="auto"/>
            </w:tcBorders>
          </w:tcPr>
          <w:p w14:paraId="0DDA154A" w14:textId="77777777" w:rsidR="002444E4" w:rsidRPr="00F01347" w:rsidRDefault="002444E4" w:rsidP="00CF3AE1">
            <w:pPr>
              <w:pStyle w:val="texto0"/>
              <w:spacing w:before="40" w:after="40" w:line="310" w:lineRule="exact"/>
              <w:ind w:firstLine="0"/>
              <w:rPr>
                <w:rFonts w:ascii="Verdana" w:hAnsi="Verdana"/>
                <w:color w:val="000000"/>
                <w:sz w:val="16"/>
                <w:szCs w:val="16"/>
                <w:lang w:val="en-US"/>
              </w:rPr>
            </w:pPr>
          </w:p>
        </w:tc>
      </w:tr>
      <w:tr w:rsidR="002444E4" w:rsidRPr="00F01347" w14:paraId="25D8C1B2"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08B2ABDF"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2,4,6 Trichlorophenol</w:t>
            </w:r>
          </w:p>
        </w:tc>
        <w:tc>
          <w:tcPr>
            <w:tcW w:w="5735" w:type="dxa"/>
            <w:vMerge/>
            <w:tcBorders>
              <w:left w:val="single" w:sz="6" w:space="0" w:color="auto"/>
              <w:right w:val="single" w:sz="6" w:space="0" w:color="auto"/>
            </w:tcBorders>
          </w:tcPr>
          <w:p w14:paraId="49784415" w14:textId="77777777" w:rsidR="002444E4" w:rsidRPr="00F01347" w:rsidRDefault="002444E4" w:rsidP="00CF3AE1">
            <w:pPr>
              <w:pStyle w:val="texto0"/>
              <w:spacing w:before="40" w:after="40" w:line="310" w:lineRule="exact"/>
              <w:ind w:firstLine="0"/>
              <w:rPr>
                <w:rFonts w:ascii="Verdana" w:hAnsi="Verdana"/>
                <w:color w:val="000000"/>
                <w:sz w:val="16"/>
                <w:szCs w:val="16"/>
                <w:lang w:val="en-US"/>
              </w:rPr>
            </w:pPr>
          </w:p>
        </w:tc>
      </w:tr>
      <w:tr w:rsidR="002444E4" w:rsidRPr="00F01347" w14:paraId="646611BC"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078B9FAF"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Alachlor</w:t>
            </w:r>
          </w:p>
        </w:tc>
        <w:tc>
          <w:tcPr>
            <w:tcW w:w="5735" w:type="dxa"/>
            <w:vMerge/>
            <w:tcBorders>
              <w:left w:val="single" w:sz="6" w:space="0" w:color="auto"/>
              <w:right w:val="single" w:sz="6" w:space="0" w:color="auto"/>
            </w:tcBorders>
          </w:tcPr>
          <w:p w14:paraId="1279C422" w14:textId="77777777" w:rsidR="002444E4" w:rsidRPr="00F01347" w:rsidRDefault="002444E4" w:rsidP="00CF3AE1">
            <w:pPr>
              <w:pStyle w:val="texto0"/>
              <w:spacing w:before="40" w:after="40" w:line="310" w:lineRule="exact"/>
              <w:ind w:firstLine="0"/>
              <w:rPr>
                <w:rFonts w:ascii="Verdana" w:hAnsi="Verdana"/>
                <w:color w:val="000000"/>
                <w:sz w:val="16"/>
                <w:szCs w:val="16"/>
                <w:lang w:val="en-US"/>
              </w:rPr>
            </w:pPr>
          </w:p>
        </w:tc>
      </w:tr>
      <w:tr w:rsidR="002444E4" w:rsidRPr="00F01347" w14:paraId="5C03BB33"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3AC33AC7"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Aldrin + Dieldrin combination</w:t>
            </w:r>
          </w:p>
        </w:tc>
        <w:tc>
          <w:tcPr>
            <w:tcW w:w="5735" w:type="dxa"/>
            <w:vMerge/>
            <w:tcBorders>
              <w:left w:val="single" w:sz="6" w:space="0" w:color="auto"/>
              <w:bottom w:val="single" w:sz="6" w:space="0" w:color="auto"/>
              <w:right w:val="single" w:sz="6" w:space="0" w:color="auto"/>
            </w:tcBorders>
          </w:tcPr>
          <w:p w14:paraId="6EB2CA31" w14:textId="77777777" w:rsidR="002444E4" w:rsidRPr="00F01347" w:rsidRDefault="002444E4" w:rsidP="00CF3AE1">
            <w:pPr>
              <w:pStyle w:val="texto0"/>
              <w:spacing w:before="40" w:after="40" w:line="310" w:lineRule="exact"/>
              <w:ind w:firstLine="0"/>
              <w:rPr>
                <w:rFonts w:ascii="Verdana" w:hAnsi="Verdana"/>
                <w:color w:val="000000"/>
                <w:sz w:val="16"/>
                <w:szCs w:val="16"/>
                <w:lang w:val="en-US"/>
              </w:rPr>
            </w:pPr>
          </w:p>
        </w:tc>
      </w:tr>
      <w:tr w:rsidR="002444E4" w:rsidRPr="00F01347" w14:paraId="62344D69"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1631880B"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Atrazine</w:t>
            </w:r>
          </w:p>
        </w:tc>
        <w:tc>
          <w:tcPr>
            <w:tcW w:w="5735" w:type="dxa"/>
            <w:tcBorders>
              <w:top w:val="single" w:sz="6" w:space="0" w:color="auto"/>
              <w:left w:val="single" w:sz="6" w:space="0" w:color="auto"/>
              <w:bottom w:val="single" w:sz="6" w:space="0" w:color="auto"/>
              <w:right w:val="single" w:sz="6" w:space="0" w:color="auto"/>
            </w:tcBorders>
          </w:tcPr>
          <w:p w14:paraId="053CD2C9"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Chemical oxidation</w:t>
            </w:r>
          </w:p>
          <w:p w14:paraId="096F12C2"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052F56A0"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041AE9CE"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Membrane processes.</w:t>
            </w:r>
          </w:p>
          <w:p w14:paraId="178847B9" w14:textId="77777777" w:rsidR="002444E4" w:rsidRPr="00F01347" w:rsidRDefault="002444E4" w:rsidP="00CF3AE1">
            <w:pPr>
              <w:pStyle w:val="texto0"/>
              <w:spacing w:before="40" w:after="40" w:line="310" w:lineRule="exact"/>
              <w:ind w:firstLine="0"/>
              <w:rPr>
                <w:rFonts w:ascii="Verdana" w:hAnsi="Verdana"/>
                <w:color w:val="000000"/>
                <w:sz w:val="16"/>
                <w:szCs w:val="16"/>
                <w:lang w:val="en-US"/>
              </w:rPr>
            </w:pPr>
            <w:r w:rsidRPr="00F01347">
              <w:rPr>
                <w:rFonts w:ascii="Verdana" w:hAnsi="Verdana"/>
                <w:sz w:val="16"/>
                <w:szCs w:val="16"/>
                <w:lang w:val="en-US"/>
              </w:rPr>
              <w:t>In the case of oxidation ensure complete mineralization</w:t>
            </w:r>
          </w:p>
        </w:tc>
      </w:tr>
      <w:tr w:rsidR="002444E4" w:rsidRPr="00F01347" w14:paraId="65F3A2CC"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0B8AA0BF"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Chlordane (total isomers)</w:t>
            </w:r>
          </w:p>
        </w:tc>
        <w:tc>
          <w:tcPr>
            <w:tcW w:w="5735" w:type="dxa"/>
            <w:tcBorders>
              <w:top w:val="single" w:sz="6" w:space="0" w:color="auto"/>
              <w:left w:val="single" w:sz="6" w:space="0" w:color="auto"/>
              <w:bottom w:val="single" w:sz="6" w:space="0" w:color="auto"/>
              <w:right w:val="single" w:sz="6" w:space="0" w:color="auto"/>
            </w:tcBorders>
          </w:tcPr>
          <w:p w14:paraId="60456C91"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Ozonation</w:t>
            </w:r>
          </w:p>
          <w:p w14:paraId="6262E4D2"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Chemical oxidation</w:t>
            </w:r>
          </w:p>
          <w:p w14:paraId="06F12695"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6C61D0E2"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7F975520"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membrane processes</w:t>
            </w:r>
          </w:p>
          <w:p w14:paraId="6BA9A389" w14:textId="77777777" w:rsidR="002444E4" w:rsidRPr="00F01347" w:rsidRDefault="002444E4" w:rsidP="00CF3AE1">
            <w:pPr>
              <w:pStyle w:val="texto0"/>
              <w:spacing w:before="40" w:after="40" w:line="310" w:lineRule="exact"/>
              <w:ind w:firstLine="0"/>
              <w:rPr>
                <w:rFonts w:ascii="Verdana" w:hAnsi="Verdana"/>
                <w:color w:val="000000"/>
                <w:sz w:val="16"/>
                <w:szCs w:val="16"/>
                <w:lang w:val="en-US"/>
              </w:rPr>
            </w:pPr>
            <w:r w:rsidRPr="00F01347">
              <w:rPr>
                <w:rFonts w:ascii="Verdana" w:hAnsi="Verdana"/>
                <w:sz w:val="16"/>
                <w:szCs w:val="16"/>
                <w:lang w:val="en-US"/>
              </w:rPr>
              <w:t>In the case of oxidation ensure complete mineralization</w:t>
            </w:r>
          </w:p>
        </w:tc>
      </w:tr>
      <w:tr w:rsidR="002444E4" w:rsidRPr="00F01347" w14:paraId="086C740E"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4EB958D4" w14:textId="77777777" w:rsidR="002444E4" w:rsidRPr="00F01347" w:rsidRDefault="002444E4" w:rsidP="00CF3AE1">
            <w:pPr>
              <w:pStyle w:val="texto0"/>
              <w:spacing w:before="40" w:after="40" w:line="260" w:lineRule="exact"/>
              <w:ind w:firstLine="0"/>
              <w:rPr>
                <w:rFonts w:ascii="Verdana" w:hAnsi="Verdana"/>
                <w:sz w:val="16"/>
                <w:szCs w:val="16"/>
                <w:lang w:val="en-US"/>
              </w:rPr>
            </w:pPr>
            <w:proofErr w:type="spellStart"/>
            <w:r w:rsidRPr="00F01347">
              <w:rPr>
                <w:rFonts w:ascii="Verdana" w:hAnsi="Verdana"/>
                <w:sz w:val="16"/>
                <w:szCs w:val="16"/>
                <w:lang w:val="en-US"/>
              </w:rPr>
              <w:t>Cyanazine</w:t>
            </w:r>
            <w:proofErr w:type="spellEnd"/>
          </w:p>
        </w:tc>
        <w:tc>
          <w:tcPr>
            <w:tcW w:w="5735" w:type="dxa"/>
            <w:vMerge w:val="restart"/>
            <w:tcBorders>
              <w:top w:val="single" w:sz="6" w:space="0" w:color="auto"/>
              <w:left w:val="single" w:sz="6" w:space="0" w:color="auto"/>
              <w:right w:val="single" w:sz="6" w:space="0" w:color="auto"/>
            </w:tcBorders>
          </w:tcPr>
          <w:p w14:paraId="3791AC5C"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Chemical oxidation</w:t>
            </w:r>
          </w:p>
          <w:p w14:paraId="6A8E1C1D"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68D96471"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76EF3012"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membrane processes</w:t>
            </w:r>
          </w:p>
          <w:p w14:paraId="51140764" w14:textId="77777777" w:rsidR="002444E4" w:rsidRPr="00F01347" w:rsidRDefault="002444E4" w:rsidP="00CF3AE1">
            <w:pPr>
              <w:pStyle w:val="texto0"/>
              <w:spacing w:before="40" w:after="40" w:line="260" w:lineRule="exact"/>
              <w:ind w:firstLine="0"/>
              <w:rPr>
                <w:rFonts w:ascii="Verdana" w:hAnsi="Verdana"/>
                <w:color w:val="000000"/>
                <w:sz w:val="16"/>
                <w:szCs w:val="16"/>
                <w:lang w:val="en-US"/>
              </w:rPr>
            </w:pPr>
            <w:r w:rsidRPr="00F01347">
              <w:rPr>
                <w:rFonts w:ascii="Verdana" w:hAnsi="Verdana"/>
                <w:sz w:val="16"/>
                <w:szCs w:val="16"/>
                <w:lang w:val="en-US"/>
              </w:rPr>
              <w:t>In the case of oxidation ensure complete mineralization</w:t>
            </w:r>
          </w:p>
        </w:tc>
      </w:tr>
      <w:tr w:rsidR="002444E4" w:rsidRPr="00F01347" w14:paraId="05C4AC8A"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43ACDFB4"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DDT and metabolites</w:t>
            </w:r>
          </w:p>
        </w:tc>
        <w:tc>
          <w:tcPr>
            <w:tcW w:w="5735" w:type="dxa"/>
            <w:vMerge/>
            <w:tcBorders>
              <w:left w:val="single" w:sz="6" w:space="0" w:color="auto"/>
              <w:right w:val="single" w:sz="6" w:space="0" w:color="auto"/>
            </w:tcBorders>
          </w:tcPr>
          <w:p w14:paraId="5A0ED315" w14:textId="77777777" w:rsidR="002444E4" w:rsidRPr="00F01347" w:rsidRDefault="002444E4" w:rsidP="00CF3AE1">
            <w:pPr>
              <w:pStyle w:val="texto0"/>
              <w:spacing w:before="40" w:after="40" w:line="260" w:lineRule="exact"/>
              <w:ind w:firstLine="0"/>
              <w:rPr>
                <w:rFonts w:ascii="Verdana" w:hAnsi="Verdana"/>
                <w:color w:val="000000"/>
                <w:sz w:val="16"/>
                <w:szCs w:val="16"/>
                <w:lang w:val="en-US"/>
              </w:rPr>
            </w:pPr>
          </w:p>
        </w:tc>
      </w:tr>
      <w:tr w:rsidR="002444E4" w:rsidRPr="00F01347" w14:paraId="751F9C5D"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651BF0CA"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Endrin</w:t>
            </w:r>
          </w:p>
        </w:tc>
        <w:tc>
          <w:tcPr>
            <w:tcW w:w="5735" w:type="dxa"/>
            <w:vMerge/>
            <w:tcBorders>
              <w:left w:val="single" w:sz="6" w:space="0" w:color="auto"/>
              <w:right w:val="single" w:sz="6" w:space="0" w:color="auto"/>
            </w:tcBorders>
          </w:tcPr>
          <w:p w14:paraId="7BF15A3C" w14:textId="77777777" w:rsidR="002444E4" w:rsidRPr="00F01347" w:rsidRDefault="002444E4" w:rsidP="00CF3AE1">
            <w:pPr>
              <w:pStyle w:val="texto0"/>
              <w:spacing w:before="40" w:after="40" w:line="260" w:lineRule="exact"/>
              <w:ind w:firstLine="0"/>
              <w:rPr>
                <w:rFonts w:ascii="Verdana" w:hAnsi="Verdana"/>
                <w:color w:val="000000"/>
                <w:sz w:val="16"/>
                <w:szCs w:val="16"/>
                <w:lang w:val="en-US"/>
              </w:rPr>
            </w:pPr>
          </w:p>
        </w:tc>
      </w:tr>
      <w:tr w:rsidR="002444E4" w:rsidRPr="00F01347" w14:paraId="7F7AE03C"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58BEA3A1"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Lindane</w:t>
            </w:r>
          </w:p>
        </w:tc>
        <w:tc>
          <w:tcPr>
            <w:tcW w:w="5735" w:type="dxa"/>
            <w:vMerge/>
            <w:tcBorders>
              <w:left w:val="single" w:sz="6" w:space="0" w:color="auto"/>
              <w:right w:val="single" w:sz="6" w:space="0" w:color="auto"/>
            </w:tcBorders>
          </w:tcPr>
          <w:p w14:paraId="24983D78" w14:textId="77777777" w:rsidR="002444E4" w:rsidRPr="00F01347" w:rsidRDefault="002444E4" w:rsidP="00CF3AE1">
            <w:pPr>
              <w:pStyle w:val="texto0"/>
              <w:spacing w:before="40" w:after="40" w:line="260" w:lineRule="exact"/>
              <w:ind w:firstLine="0"/>
              <w:rPr>
                <w:rFonts w:ascii="Verdana" w:hAnsi="Verdana"/>
                <w:color w:val="000000"/>
                <w:sz w:val="16"/>
                <w:szCs w:val="16"/>
                <w:lang w:val="en-US"/>
              </w:rPr>
            </w:pPr>
          </w:p>
        </w:tc>
      </w:tr>
      <w:tr w:rsidR="002444E4" w:rsidRPr="00F01347" w14:paraId="22B889ED"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27F94E1E"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Metolachlor</w:t>
            </w:r>
          </w:p>
        </w:tc>
        <w:tc>
          <w:tcPr>
            <w:tcW w:w="5735" w:type="dxa"/>
            <w:vMerge/>
            <w:tcBorders>
              <w:left w:val="single" w:sz="6" w:space="0" w:color="auto"/>
              <w:bottom w:val="single" w:sz="6" w:space="0" w:color="auto"/>
              <w:right w:val="single" w:sz="6" w:space="0" w:color="auto"/>
            </w:tcBorders>
          </w:tcPr>
          <w:p w14:paraId="2236932A" w14:textId="77777777" w:rsidR="002444E4" w:rsidRPr="00F01347" w:rsidRDefault="002444E4" w:rsidP="00CF3AE1">
            <w:pPr>
              <w:pStyle w:val="texto0"/>
              <w:spacing w:before="40" w:after="40" w:line="260" w:lineRule="exact"/>
              <w:ind w:firstLine="0"/>
              <w:rPr>
                <w:rFonts w:ascii="Verdana" w:hAnsi="Verdana"/>
                <w:sz w:val="16"/>
                <w:szCs w:val="16"/>
                <w:lang w:val="en-US"/>
              </w:rPr>
            </w:pPr>
          </w:p>
        </w:tc>
      </w:tr>
      <w:tr w:rsidR="002444E4" w:rsidRPr="00F01347" w14:paraId="7A13906A"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1C901082" w14:textId="77777777" w:rsidR="002444E4" w:rsidRPr="00F01347" w:rsidRDefault="002444E4" w:rsidP="00CF3AE1">
            <w:pPr>
              <w:pStyle w:val="texto0"/>
              <w:spacing w:before="40" w:after="40" w:line="260" w:lineRule="exact"/>
              <w:ind w:firstLine="0"/>
              <w:rPr>
                <w:rFonts w:ascii="Verdana" w:hAnsi="Verdana"/>
                <w:sz w:val="16"/>
                <w:szCs w:val="16"/>
                <w:lang w:val="en-US"/>
              </w:rPr>
            </w:pPr>
            <w:proofErr w:type="spellStart"/>
            <w:r w:rsidRPr="00F01347">
              <w:rPr>
                <w:rFonts w:ascii="Verdana" w:hAnsi="Verdana"/>
                <w:sz w:val="16"/>
                <w:szCs w:val="16"/>
                <w:lang w:val="en-US"/>
              </w:rPr>
              <w:t>Methoxychlor</w:t>
            </w:r>
            <w:proofErr w:type="spellEnd"/>
          </w:p>
        </w:tc>
        <w:tc>
          <w:tcPr>
            <w:tcW w:w="5735" w:type="dxa"/>
            <w:tcBorders>
              <w:top w:val="single" w:sz="6" w:space="0" w:color="auto"/>
              <w:left w:val="single" w:sz="6" w:space="0" w:color="auto"/>
              <w:bottom w:val="single" w:sz="6" w:space="0" w:color="auto"/>
              <w:right w:val="single" w:sz="6" w:space="0" w:color="auto"/>
            </w:tcBorders>
          </w:tcPr>
          <w:p w14:paraId="5DD602AC"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Ozonation</w:t>
            </w:r>
          </w:p>
          <w:p w14:paraId="76316A35"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Chemical oxidation</w:t>
            </w:r>
          </w:p>
          <w:p w14:paraId="60C45868"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67807003"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455601F3"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membrane processes</w:t>
            </w:r>
          </w:p>
          <w:p w14:paraId="0F959F79"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45CE0CF2"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noWrap/>
            <w:vAlign w:val="center"/>
          </w:tcPr>
          <w:p w14:paraId="5B9819D5"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Pendimethalin</w:t>
            </w:r>
          </w:p>
        </w:tc>
        <w:tc>
          <w:tcPr>
            <w:tcW w:w="5735" w:type="dxa"/>
            <w:tcBorders>
              <w:top w:val="single" w:sz="6" w:space="0" w:color="auto"/>
              <w:left w:val="single" w:sz="6" w:space="0" w:color="auto"/>
              <w:bottom w:val="single" w:sz="6" w:space="0" w:color="auto"/>
              <w:right w:val="single" w:sz="6" w:space="0" w:color="auto"/>
            </w:tcBorders>
          </w:tcPr>
          <w:p w14:paraId="7523ECCC"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Chemical oxidation</w:t>
            </w:r>
          </w:p>
          <w:p w14:paraId="7E4047F0"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0314CFE2"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5077B0CC"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membrane processes</w:t>
            </w:r>
          </w:p>
          <w:p w14:paraId="1AC65596"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49F59BBE"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0CD37543"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 xml:space="preserve">Terbuthylazine </w:t>
            </w:r>
          </w:p>
        </w:tc>
        <w:tc>
          <w:tcPr>
            <w:tcW w:w="5735" w:type="dxa"/>
            <w:tcBorders>
              <w:top w:val="single" w:sz="6" w:space="0" w:color="auto"/>
              <w:left w:val="single" w:sz="6" w:space="0" w:color="auto"/>
              <w:bottom w:val="single" w:sz="6" w:space="0" w:color="auto"/>
              <w:right w:val="single" w:sz="6" w:space="0" w:color="auto"/>
            </w:tcBorders>
          </w:tcPr>
          <w:p w14:paraId="27463A8C"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Ozonation</w:t>
            </w:r>
          </w:p>
          <w:p w14:paraId="4C40D0F8"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Chemical oxidation</w:t>
            </w:r>
          </w:p>
          <w:p w14:paraId="6D9D9834"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lastRenderedPageBreak/>
              <w:t>Advanced oxidation processes</w:t>
            </w:r>
          </w:p>
          <w:p w14:paraId="51E4E220"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54C3BA5E"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membrane processes</w:t>
            </w:r>
          </w:p>
          <w:p w14:paraId="73D192B2"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1270E99C"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6E64A335"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lastRenderedPageBreak/>
              <w:t>Trifluralin</w:t>
            </w:r>
          </w:p>
        </w:tc>
        <w:tc>
          <w:tcPr>
            <w:tcW w:w="5735" w:type="dxa"/>
            <w:tcBorders>
              <w:top w:val="single" w:sz="6" w:space="0" w:color="auto"/>
              <w:left w:val="single" w:sz="6" w:space="0" w:color="auto"/>
              <w:bottom w:val="single" w:sz="6" w:space="0" w:color="auto"/>
              <w:right w:val="single" w:sz="6" w:space="0" w:color="auto"/>
            </w:tcBorders>
          </w:tcPr>
          <w:p w14:paraId="25D62AA2"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Chemical oxidation</w:t>
            </w:r>
          </w:p>
          <w:p w14:paraId="242E3E6D"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1D1DB092"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170B83C5"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membrane processes</w:t>
            </w:r>
          </w:p>
          <w:p w14:paraId="2FCACEEB"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37C07161"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0BED027" w14:textId="77777777" w:rsidR="002444E4" w:rsidRPr="00F01347" w:rsidRDefault="002444E4" w:rsidP="00CF3AE1">
            <w:pPr>
              <w:pStyle w:val="texto0"/>
              <w:spacing w:before="40" w:after="40" w:line="280" w:lineRule="exact"/>
              <w:ind w:firstLine="0"/>
              <w:rPr>
                <w:rFonts w:ascii="Verdana" w:hAnsi="Verdana"/>
                <w:sz w:val="16"/>
                <w:szCs w:val="16"/>
                <w:lang w:val="en-US"/>
              </w:rPr>
            </w:pPr>
            <w:r w:rsidRPr="00F01347">
              <w:rPr>
                <w:rFonts w:ascii="Verdana" w:hAnsi="Verdana"/>
                <w:sz w:val="16"/>
                <w:szCs w:val="16"/>
                <w:lang w:val="en-US"/>
              </w:rPr>
              <w:t>2,4-D</w:t>
            </w:r>
          </w:p>
        </w:tc>
        <w:tc>
          <w:tcPr>
            <w:tcW w:w="5735" w:type="dxa"/>
            <w:tcBorders>
              <w:top w:val="single" w:sz="6" w:space="0" w:color="auto"/>
              <w:left w:val="single" w:sz="6" w:space="0" w:color="auto"/>
              <w:bottom w:val="single" w:sz="6" w:space="0" w:color="auto"/>
              <w:right w:val="single" w:sz="6" w:space="0" w:color="auto"/>
            </w:tcBorders>
          </w:tcPr>
          <w:p w14:paraId="034430C7" w14:textId="77777777" w:rsidR="002444E4" w:rsidRPr="00F01347" w:rsidRDefault="002444E4" w:rsidP="00CF3AE1">
            <w:pPr>
              <w:pStyle w:val="texto0"/>
              <w:spacing w:before="40" w:after="40" w:line="280" w:lineRule="exact"/>
              <w:ind w:firstLine="0"/>
              <w:rPr>
                <w:rFonts w:ascii="Verdana" w:hAnsi="Verdana"/>
                <w:sz w:val="16"/>
                <w:szCs w:val="16"/>
                <w:lang w:val="en-US"/>
              </w:rPr>
            </w:pPr>
            <w:r w:rsidRPr="00F01347">
              <w:rPr>
                <w:rFonts w:ascii="Verdana" w:hAnsi="Verdana"/>
                <w:sz w:val="16"/>
                <w:szCs w:val="16"/>
                <w:lang w:val="en-US"/>
              </w:rPr>
              <w:t>Ozonation</w:t>
            </w:r>
          </w:p>
          <w:p w14:paraId="6A0FF624" w14:textId="77777777" w:rsidR="002444E4" w:rsidRPr="00F01347" w:rsidRDefault="002444E4" w:rsidP="00CF3AE1">
            <w:pPr>
              <w:pStyle w:val="texto0"/>
              <w:spacing w:before="40" w:after="40" w:line="280" w:lineRule="exact"/>
              <w:ind w:firstLine="0"/>
              <w:rPr>
                <w:rFonts w:ascii="Verdana" w:hAnsi="Verdana"/>
                <w:sz w:val="16"/>
                <w:szCs w:val="16"/>
                <w:lang w:val="en-US"/>
              </w:rPr>
            </w:pPr>
            <w:r w:rsidRPr="00F01347">
              <w:rPr>
                <w:rFonts w:ascii="Verdana" w:hAnsi="Verdana"/>
                <w:sz w:val="16"/>
                <w:szCs w:val="16"/>
                <w:lang w:val="en-US"/>
              </w:rPr>
              <w:t>Chemical oxidation</w:t>
            </w:r>
          </w:p>
          <w:p w14:paraId="0162B799" w14:textId="77777777" w:rsidR="002444E4" w:rsidRPr="00F01347" w:rsidRDefault="002444E4" w:rsidP="00CF3AE1">
            <w:pPr>
              <w:pStyle w:val="texto0"/>
              <w:spacing w:before="40" w:after="40" w:line="28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432A1E02" w14:textId="77777777" w:rsidR="002444E4" w:rsidRPr="00F01347" w:rsidRDefault="002444E4" w:rsidP="00CF3AE1">
            <w:pPr>
              <w:pStyle w:val="texto0"/>
              <w:spacing w:before="40" w:after="40" w:line="28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41CDF9C3" w14:textId="77777777" w:rsidR="002444E4" w:rsidRPr="00F01347" w:rsidRDefault="002444E4" w:rsidP="00CF3AE1">
            <w:pPr>
              <w:pStyle w:val="texto0"/>
              <w:spacing w:before="40" w:after="40" w:line="280" w:lineRule="exact"/>
              <w:ind w:firstLine="0"/>
              <w:rPr>
                <w:rFonts w:ascii="Verdana" w:hAnsi="Verdana"/>
                <w:sz w:val="16"/>
                <w:szCs w:val="16"/>
                <w:lang w:val="en-US"/>
              </w:rPr>
            </w:pPr>
            <w:r w:rsidRPr="00F01347">
              <w:rPr>
                <w:rFonts w:ascii="Verdana" w:hAnsi="Verdana"/>
                <w:sz w:val="16"/>
                <w:szCs w:val="16"/>
                <w:lang w:val="en-US"/>
              </w:rPr>
              <w:t>membrane processes</w:t>
            </w:r>
          </w:p>
          <w:p w14:paraId="15F37446" w14:textId="77777777" w:rsidR="002444E4" w:rsidRPr="00F01347" w:rsidRDefault="002444E4" w:rsidP="00CF3AE1">
            <w:pPr>
              <w:pStyle w:val="texto0"/>
              <w:spacing w:before="40" w:after="40" w:line="280"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4AC1CEC4"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noWrap/>
            <w:vAlign w:val="center"/>
          </w:tcPr>
          <w:p w14:paraId="6CCA68CF"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2,4,5-T</w:t>
            </w:r>
          </w:p>
        </w:tc>
        <w:tc>
          <w:tcPr>
            <w:tcW w:w="5735" w:type="dxa"/>
            <w:vMerge w:val="restart"/>
            <w:tcBorders>
              <w:top w:val="single" w:sz="6" w:space="0" w:color="auto"/>
              <w:left w:val="single" w:sz="6" w:space="0" w:color="auto"/>
              <w:right w:val="single" w:sz="6" w:space="0" w:color="auto"/>
            </w:tcBorders>
          </w:tcPr>
          <w:p w14:paraId="2C23AD7C"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Nanofiltration</w:t>
            </w:r>
          </w:p>
          <w:p w14:paraId="6FC33141"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Inverse osmosis</w:t>
            </w:r>
          </w:p>
          <w:p w14:paraId="2E458832"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Ozonation</w:t>
            </w:r>
          </w:p>
          <w:p w14:paraId="3C86AA20"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Chemical oxidation</w:t>
            </w:r>
          </w:p>
          <w:p w14:paraId="15395DCD"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54D04296"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54974869"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71DCFEF0"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08262141"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2,4,5-TP</w:t>
            </w:r>
          </w:p>
        </w:tc>
        <w:tc>
          <w:tcPr>
            <w:tcW w:w="5735" w:type="dxa"/>
            <w:vMerge/>
            <w:tcBorders>
              <w:left w:val="single" w:sz="6" w:space="0" w:color="auto"/>
              <w:right w:val="single" w:sz="6" w:space="0" w:color="auto"/>
            </w:tcBorders>
          </w:tcPr>
          <w:p w14:paraId="39D66B3E" w14:textId="77777777" w:rsidR="002444E4" w:rsidRPr="00F01347" w:rsidRDefault="002444E4" w:rsidP="00CF3AE1">
            <w:pPr>
              <w:pStyle w:val="texto0"/>
              <w:spacing w:before="40" w:after="40" w:line="310" w:lineRule="exact"/>
              <w:ind w:firstLine="0"/>
              <w:rPr>
                <w:rFonts w:ascii="Verdana" w:hAnsi="Verdana"/>
                <w:sz w:val="16"/>
                <w:szCs w:val="16"/>
                <w:lang w:val="en-US"/>
              </w:rPr>
            </w:pPr>
          </w:p>
        </w:tc>
      </w:tr>
      <w:tr w:rsidR="002444E4" w:rsidRPr="00F01347" w14:paraId="19325854"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462D4016" w14:textId="77777777" w:rsidR="002444E4" w:rsidRPr="00F01347" w:rsidRDefault="002444E4" w:rsidP="00CF3AE1">
            <w:pPr>
              <w:pStyle w:val="texto0"/>
              <w:spacing w:before="40" w:after="40" w:line="310" w:lineRule="exact"/>
              <w:ind w:firstLine="0"/>
              <w:rPr>
                <w:rFonts w:ascii="Verdana" w:hAnsi="Verdana"/>
                <w:sz w:val="16"/>
                <w:szCs w:val="16"/>
                <w:lang w:val="en-US"/>
              </w:rPr>
            </w:pPr>
            <w:r w:rsidRPr="00F01347">
              <w:rPr>
                <w:rFonts w:ascii="Verdana" w:hAnsi="Verdana"/>
                <w:sz w:val="16"/>
                <w:szCs w:val="16"/>
                <w:lang w:val="en-US"/>
              </w:rPr>
              <w:t>2.4-DB</w:t>
            </w:r>
          </w:p>
        </w:tc>
        <w:tc>
          <w:tcPr>
            <w:tcW w:w="5735" w:type="dxa"/>
            <w:vMerge/>
            <w:tcBorders>
              <w:left w:val="single" w:sz="6" w:space="0" w:color="auto"/>
              <w:right w:val="single" w:sz="6" w:space="0" w:color="auto"/>
            </w:tcBorders>
          </w:tcPr>
          <w:p w14:paraId="5100726B" w14:textId="77777777" w:rsidR="002444E4" w:rsidRPr="00F01347" w:rsidRDefault="002444E4" w:rsidP="00CF3AE1">
            <w:pPr>
              <w:pStyle w:val="texto0"/>
              <w:spacing w:before="40" w:after="40" w:line="310" w:lineRule="exact"/>
              <w:ind w:firstLine="0"/>
              <w:rPr>
                <w:rFonts w:ascii="Verdana" w:hAnsi="Verdana"/>
                <w:sz w:val="16"/>
                <w:szCs w:val="16"/>
                <w:lang w:val="en-US"/>
              </w:rPr>
            </w:pPr>
          </w:p>
        </w:tc>
      </w:tr>
      <w:tr w:rsidR="002444E4" w:rsidRPr="00F01347" w14:paraId="614D7A95"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3B733FBE" w14:textId="77777777" w:rsidR="002444E4" w:rsidRPr="00F01347" w:rsidRDefault="002444E4" w:rsidP="00CF3AE1">
            <w:pPr>
              <w:pStyle w:val="texto0"/>
              <w:spacing w:before="40" w:after="40" w:line="310" w:lineRule="exact"/>
              <w:ind w:firstLine="0"/>
              <w:rPr>
                <w:rFonts w:ascii="Verdana" w:hAnsi="Verdana"/>
                <w:sz w:val="16"/>
                <w:szCs w:val="16"/>
                <w:lang w:val="en-US"/>
              </w:rPr>
            </w:pPr>
            <w:proofErr w:type="spellStart"/>
            <w:r w:rsidRPr="00F01347">
              <w:rPr>
                <w:rFonts w:ascii="Verdana" w:hAnsi="Verdana"/>
                <w:sz w:val="16"/>
                <w:szCs w:val="16"/>
                <w:lang w:val="en-US"/>
              </w:rPr>
              <w:t>Dichlorprop</w:t>
            </w:r>
            <w:proofErr w:type="spellEnd"/>
            <w:r w:rsidRPr="00F01347">
              <w:rPr>
                <w:rFonts w:ascii="Verdana" w:hAnsi="Verdana"/>
                <w:sz w:val="16"/>
                <w:szCs w:val="16"/>
                <w:lang w:val="en-US"/>
              </w:rPr>
              <w:t xml:space="preserve"> </w:t>
            </w:r>
          </w:p>
        </w:tc>
        <w:tc>
          <w:tcPr>
            <w:tcW w:w="5735" w:type="dxa"/>
            <w:vMerge/>
            <w:tcBorders>
              <w:left w:val="single" w:sz="6" w:space="0" w:color="auto"/>
              <w:right w:val="single" w:sz="6" w:space="0" w:color="auto"/>
            </w:tcBorders>
          </w:tcPr>
          <w:p w14:paraId="4F6142D3" w14:textId="77777777" w:rsidR="002444E4" w:rsidRPr="00F01347" w:rsidRDefault="002444E4" w:rsidP="00CF3AE1">
            <w:pPr>
              <w:pStyle w:val="texto0"/>
              <w:spacing w:before="40" w:after="40" w:line="310" w:lineRule="exact"/>
              <w:ind w:firstLine="0"/>
              <w:rPr>
                <w:rFonts w:ascii="Verdana" w:hAnsi="Verdana"/>
                <w:sz w:val="16"/>
                <w:szCs w:val="16"/>
                <w:lang w:val="en-US"/>
              </w:rPr>
            </w:pPr>
          </w:p>
        </w:tc>
      </w:tr>
      <w:tr w:rsidR="002444E4" w:rsidRPr="00F01347" w14:paraId="682EBE08"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74648F7A" w14:textId="77777777" w:rsidR="002444E4" w:rsidRPr="00F01347" w:rsidRDefault="002444E4" w:rsidP="00CF3AE1">
            <w:pPr>
              <w:pStyle w:val="texto0"/>
              <w:spacing w:before="40" w:after="40" w:line="310" w:lineRule="exact"/>
              <w:ind w:firstLine="0"/>
              <w:rPr>
                <w:rFonts w:ascii="Verdana" w:hAnsi="Verdana"/>
                <w:sz w:val="16"/>
                <w:szCs w:val="16"/>
                <w:lang w:val="en-US"/>
              </w:rPr>
            </w:pPr>
            <w:proofErr w:type="spellStart"/>
            <w:r w:rsidRPr="00F01347">
              <w:rPr>
                <w:rFonts w:ascii="Verdana" w:hAnsi="Verdana"/>
                <w:sz w:val="16"/>
                <w:szCs w:val="16"/>
                <w:lang w:val="en-US"/>
              </w:rPr>
              <w:t>Mecoprop</w:t>
            </w:r>
            <w:proofErr w:type="spellEnd"/>
            <w:r w:rsidRPr="00F01347">
              <w:rPr>
                <w:rFonts w:ascii="Verdana" w:hAnsi="Verdana"/>
                <w:sz w:val="16"/>
                <w:szCs w:val="16"/>
                <w:lang w:val="en-US"/>
              </w:rPr>
              <w:t xml:space="preserve"> </w:t>
            </w:r>
          </w:p>
        </w:tc>
        <w:tc>
          <w:tcPr>
            <w:tcW w:w="5735" w:type="dxa"/>
            <w:vMerge/>
            <w:tcBorders>
              <w:left w:val="single" w:sz="6" w:space="0" w:color="auto"/>
              <w:bottom w:val="single" w:sz="6" w:space="0" w:color="auto"/>
              <w:right w:val="single" w:sz="6" w:space="0" w:color="auto"/>
            </w:tcBorders>
          </w:tcPr>
          <w:p w14:paraId="50E123FF" w14:textId="77777777" w:rsidR="002444E4" w:rsidRPr="00F01347" w:rsidRDefault="002444E4" w:rsidP="00CF3AE1">
            <w:pPr>
              <w:pStyle w:val="texto0"/>
              <w:spacing w:before="40" w:after="40" w:line="310" w:lineRule="exact"/>
              <w:ind w:firstLine="0"/>
              <w:rPr>
                <w:rFonts w:ascii="Verdana" w:hAnsi="Verdana"/>
                <w:sz w:val="16"/>
                <w:szCs w:val="16"/>
                <w:lang w:val="en-US"/>
              </w:rPr>
            </w:pPr>
          </w:p>
        </w:tc>
      </w:tr>
      <w:tr w:rsidR="002444E4" w:rsidRPr="00F01347" w14:paraId="17BF4AD1"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643D3549" w14:textId="77777777" w:rsidR="002444E4" w:rsidRPr="00F01347" w:rsidRDefault="002444E4" w:rsidP="00CF3AE1">
            <w:pPr>
              <w:pStyle w:val="texto0"/>
              <w:spacing w:before="40" w:after="40" w:line="240" w:lineRule="exact"/>
              <w:ind w:firstLine="0"/>
              <w:rPr>
                <w:rFonts w:ascii="Verdana" w:hAnsi="Verdana"/>
                <w:sz w:val="16"/>
                <w:szCs w:val="16"/>
                <w:lang w:val="en-US"/>
              </w:rPr>
            </w:pPr>
            <w:proofErr w:type="spellStart"/>
            <w:r w:rsidRPr="00F01347">
              <w:rPr>
                <w:rFonts w:ascii="Verdana" w:hAnsi="Verdana"/>
                <w:sz w:val="16"/>
                <w:szCs w:val="16"/>
                <w:lang w:val="en-US"/>
              </w:rPr>
              <w:t>Chlorotoluron</w:t>
            </w:r>
            <w:proofErr w:type="spellEnd"/>
          </w:p>
        </w:tc>
        <w:tc>
          <w:tcPr>
            <w:tcW w:w="5735" w:type="dxa"/>
            <w:tcBorders>
              <w:top w:val="single" w:sz="6" w:space="0" w:color="auto"/>
              <w:left w:val="single" w:sz="6" w:space="0" w:color="auto"/>
              <w:bottom w:val="single" w:sz="6" w:space="0" w:color="auto"/>
              <w:right w:val="single" w:sz="6" w:space="0" w:color="auto"/>
            </w:tcBorders>
          </w:tcPr>
          <w:p w14:paraId="1B321F71"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Nanofiltration</w:t>
            </w:r>
          </w:p>
          <w:p w14:paraId="6CECF76F"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Inverse osmosis</w:t>
            </w:r>
          </w:p>
          <w:p w14:paraId="59DD3ECE"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Ozonation</w:t>
            </w:r>
          </w:p>
        </w:tc>
      </w:tr>
      <w:tr w:rsidR="002444E4" w:rsidRPr="00F01347" w14:paraId="3CFD0C2A"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0A5EF92"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 xml:space="preserve">Aldicarb </w:t>
            </w:r>
          </w:p>
        </w:tc>
        <w:tc>
          <w:tcPr>
            <w:tcW w:w="5735" w:type="dxa"/>
            <w:vMerge w:val="restart"/>
            <w:tcBorders>
              <w:top w:val="single" w:sz="6" w:space="0" w:color="auto"/>
              <w:left w:val="single" w:sz="6" w:space="0" w:color="auto"/>
              <w:right w:val="single" w:sz="6" w:space="0" w:color="auto"/>
            </w:tcBorders>
          </w:tcPr>
          <w:p w14:paraId="18E47DFF"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Nanofiltration</w:t>
            </w:r>
          </w:p>
          <w:p w14:paraId="10C25DD5"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Inverse osmosis</w:t>
            </w:r>
          </w:p>
          <w:p w14:paraId="0B965EB8"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Ozonation</w:t>
            </w:r>
          </w:p>
          <w:p w14:paraId="22BC5E03"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Chemical oxidation</w:t>
            </w:r>
          </w:p>
          <w:p w14:paraId="2F6F502A"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5C632223"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62219279"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232059D2"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52C889CA"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Carbofuran</w:t>
            </w:r>
          </w:p>
        </w:tc>
        <w:tc>
          <w:tcPr>
            <w:tcW w:w="5735" w:type="dxa"/>
            <w:vMerge/>
            <w:tcBorders>
              <w:left w:val="single" w:sz="6" w:space="0" w:color="auto"/>
              <w:bottom w:val="single" w:sz="6" w:space="0" w:color="auto"/>
              <w:right w:val="single" w:sz="6" w:space="0" w:color="auto"/>
            </w:tcBorders>
          </w:tcPr>
          <w:p w14:paraId="725ADEC0" w14:textId="77777777" w:rsidR="002444E4" w:rsidRPr="00F01347" w:rsidRDefault="002444E4" w:rsidP="00CF3AE1">
            <w:pPr>
              <w:pStyle w:val="texto0"/>
              <w:spacing w:before="40" w:after="40" w:line="240" w:lineRule="exact"/>
              <w:ind w:firstLine="0"/>
              <w:rPr>
                <w:rFonts w:ascii="Verdana" w:hAnsi="Verdana"/>
                <w:sz w:val="16"/>
                <w:szCs w:val="16"/>
                <w:lang w:val="en-US"/>
              </w:rPr>
            </w:pPr>
          </w:p>
        </w:tc>
      </w:tr>
      <w:tr w:rsidR="002444E4" w:rsidRPr="00F01347" w14:paraId="512F7D0E"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B22A0B0" w14:textId="77777777" w:rsidR="002444E4" w:rsidRPr="00F01347" w:rsidRDefault="002444E4" w:rsidP="00CF3AE1">
            <w:pPr>
              <w:pStyle w:val="texto0"/>
              <w:spacing w:before="40" w:after="40" w:line="240" w:lineRule="exact"/>
              <w:ind w:firstLine="0"/>
              <w:rPr>
                <w:rFonts w:ascii="Verdana" w:hAnsi="Verdana"/>
                <w:sz w:val="16"/>
                <w:szCs w:val="16"/>
                <w:lang w:val="en-US"/>
              </w:rPr>
            </w:pPr>
            <w:proofErr w:type="spellStart"/>
            <w:r w:rsidRPr="00F01347">
              <w:rPr>
                <w:rFonts w:ascii="Verdana" w:hAnsi="Verdana"/>
                <w:sz w:val="16"/>
                <w:szCs w:val="16"/>
                <w:lang w:val="en-US"/>
              </w:rPr>
              <w:t>Edetic</w:t>
            </w:r>
            <w:proofErr w:type="spellEnd"/>
            <w:r w:rsidRPr="00F01347">
              <w:rPr>
                <w:rFonts w:ascii="Verdana" w:hAnsi="Verdana"/>
                <w:sz w:val="16"/>
                <w:szCs w:val="16"/>
                <w:lang w:val="en-US"/>
              </w:rPr>
              <w:t xml:space="preserve"> acid</w:t>
            </w:r>
          </w:p>
        </w:tc>
        <w:tc>
          <w:tcPr>
            <w:tcW w:w="5735" w:type="dxa"/>
            <w:vMerge w:val="restart"/>
            <w:tcBorders>
              <w:top w:val="single" w:sz="6" w:space="0" w:color="auto"/>
              <w:left w:val="single" w:sz="6" w:space="0" w:color="auto"/>
              <w:right w:val="single" w:sz="6" w:space="0" w:color="auto"/>
            </w:tcBorders>
          </w:tcPr>
          <w:p w14:paraId="6A7B39C8"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Chemical oxidation</w:t>
            </w:r>
          </w:p>
          <w:p w14:paraId="14649031"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70FC55CE"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1B74ADE8"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membrane processes</w:t>
            </w:r>
          </w:p>
          <w:p w14:paraId="664070AD"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2C3AAE46"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25DD649E"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Nitrilotriacetic acid</w:t>
            </w:r>
          </w:p>
        </w:tc>
        <w:tc>
          <w:tcPr>
            <w:tcW w:w="5735" w:type="dxa"/>
            <w:vMerge/>
            <w:tcBorders>
              <w:left w:val="single" w:sz="6" w:space="0" w:color="auto"/>
              <w:right w:val="single" w:sz="6" w:space="0" w:color="auto"/>
            </w:tcBorders>
          </w:tcPr>
          <w:p w14:paraId="3969D5C5" w14:textId="77777777" w:rsidR="002444E4" w:rsidRPr="00F01347" w:rsidRDefault="002444E4" w:rsidP="00CF3AE1">
            <w:pPr>
              <w:pStyle w:val="texto0"/>
              <w:spacing w:before="40" w:after="40" w:line="240" w:lineRule="exact"/>
              <w:ind w:firstLine="0"/>
              <w:rPr>
                <w:rFonts w:ascii="Verdana" w:hAnsi="Verdana"/>
                <w:sz w:val="16"/>
                <w:szCs w:val="16"/>
                <w:lang w:val="en-US"/>
              </w:rPr>
            </w:pPr>
          </w:p>
        </w:tc>
      </w:tr>
      <w:tr w:rsidR="002444E4" w:rsidRPr="00F01347" w14:paraId="71386C8F"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623C86C0"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Acrylamide</w:t>
            </w:r>
          </w:p>
        </w:tc>
        <w:tc>
          <w:tcPr>
            <w:tcW w:w="5735" w:type="dxa"/>
            <w:vMerge/>
            <w:tcBorders>
              <w:left w:val="single" w:sz="6" w:space="0" w:color="auto"/>
              <w:right w:val="single" w:sz="6" w:space="0" w:color="auto"/>
            </w:tcBorders>
          </w:tcPr>
          <w:p w14:paraId="470A4CFD" w14:textId="77777777" w:rsidR="002444E4" w:rsidRPr="00F01347" w:rsidRDefault="002444E4" w:rsidP="00CF3AE1">
            <w:pPr>
              <w:pStyle w:val="texto0"/>
              <w:spacing w:before="40" w:after="40" w:line="240" w:lineRule="exact"/>
              <w:ind w:firstLine="0"/>
              <w:rPr>
                <w:rFonts w:ascii="Verdana" w:hAnsi="Verdana"/>
                <w:sz w:val="16"/>
                <w:szCs w:val="16"/>
                <w:lang w:val="en-US"/>
              </w:rPr>
            </w:pPr>
          </w:p>
        </w:tc>
      </w:tr>
      <w:tr w:rsidR="002444E4" w:rsidRPr="00F01347" w14:paraId="36518CE5"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CA9A44F"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Benzo (a) pyrene</w:t>
            </w:r>
          </w:p>
        </w:tc>
        <w:tc>
          <w:tcPr>
            <w:tcW w:w="5735" w:type="dxa"/>
            <w:vMerge/>
            <w:tcBorders>
              <w:left w:val="single" w:sz="6" w:space="0" w:color="auto"/>
              <w:right w:val="single" w:sz="6" w:space="0" w:color="auto"/>
            </w:tcBorders>
          </w:tcPr>
          <w:p w14:paraId="33113601" w14:textId="77777777" w:rsidR="002444E4" w:rsidRPr="00F01347" w:rsidRDefault="002444E4" w:rsidP="00CF3AE1">
            <w:pPr>
              <w:pStyle w:val="texto0"/>
              <w:spacing w:before="40" w:after="40" w:line="240" w:lineRule="exact"/>
              <w:ind w:firstLine="0"/>
              <w:rPr>
                <w:rFonts w:ascii="Verdana" w:hAnsi="Verdana"/>
                <w:sz w:val="16"/>
                <w:szCs w:val="16"/>
                <w:lang w:val="en-US"/>
              </w:rPr>
            </w:pPr>
          </w:p>
        </w:tc>
      </w:tr>
      <w:tr w:rsidR="002444E4" w:rsidRPr="00F01347" w14:paraId="045D93EE"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7197006F"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Chlorpyrifos</w:t>
            </w:r>
          </w:p>
        </w:tc>
        <w:tc>
          <w:tcPr>
            <w:tcW w:w="5735" w:type="dxa"/>
            <w:vMerge/>
            <w:tcBorders>
              <w:left w:val="single" w:sz="6" w:space="0" w:color="auto"/>
              <w:bottom w:val="single" w:sz="6" w:space="0" w:color="auto"/>
              <w:right w:val="single" w:sz="6" w:space="0" w:color="auto"/>
            </w:tcBorders>
          </w:tcPr>
          <w:p w14:paraId="48F89AF5" w14:textId="77777777" w:rsidR="002444E4" w:rsidRPr="00F01347" w:rsidRDefault="002444E4" w:rsidP="00CF3AE1">
            <w:pPr>
              <w:pStyle w:val="texto0"/>
              <w:spacing w:before="40" w:after="40" w:line="240" w:lineRule="exact"/>
              <w:ind w:firstLine="0"/>
              <w:rPr>
                <w:rFonts w:ascii="Verdana" w:hAnsi="Verdana"/>
                <w:sz w:val="16"/>
                <w:szCs w:val="16"/>
                <w:lang w:val="en-US"/>
              </w:rPr>
            </w:pPr>
          </w:p>
        </w:tc>
      </w:tr>
      <w:tr w:rsidR="002444E4" w:rsidRPr="00F01347" w14:paraId="1E81949E"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500CCA8"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Dimethoate</w:t>
            </w:r>
          </w:p>
        </w:tc>
        <w:tc>
          <w:tcPr>
            <w:tcW w:w="5735" w:type="dxa"/>
            <w:tcBorders>
              <w:top w:val="single" w:sz="6" w:space="0" w:color="auto"/>
              <w:left w:val="single" w:sz="6" w:space="0" w:color="auto"/>
              <w:bottom w:val="single" w:sz="6" w:space="0" w:color="auto"/>
              <w:right w:val="single" w:sz="6" w:space="0" w:color="auto"/>
            </w:tcBorders>
          </w:tcPr>
          <w:p w14:paraId="5AB80F8A"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Chlorination</w:t>
            </w:r>
          </w:p>
          <w:p w14:paraId="6238F80C"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Ozonation</w:t>
            </w:r>
          </w:p>
          <w:p w14:paraId="3E90D92C"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lastRenderedPageBreak/>
              <w:t>Chemical oxidation</w:t>
            </w:r>
          </w:p>
          <w:p w14:paraId="55E84DA4"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4BF7728E"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6EF29397"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membrane processes</w:t>
            </w:r>
          </w:p>
          <w:p w14:paraId="6B14F82C"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49C04C89"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6C2F22C6" w14:textId="344ED30D" w:rsidR="002444E4" w:rsidRPr="00F01347" w:rsidRDefault="002444E4" w:rsidP="00CF3AE1">
            <w:pPr>
              <w:pStyle w:val="texto0"/>
              <w:spacing w:before="40" w:after="40" w:line="240" w:lineRule="exact"/>
              <w:ind w:firstLine="0"/>
              <w:rPr>
                <w:rFonts w:ascii="Verdana" w:hAnsi="Verdana"/>
                <w:sz w:val="16"/>
                <w:szCs w:val="16"/>
                <w:lang w:val="en-US"/>
              </w:rPr>
            </w:pPr>
            <w:proofErr w:type="spellStart"/>
            <w:r w:rsidRPr="00F01347">
              <w:rPr>
                <w:rFonts w:ascii="Verdana" w:hAnsi="Verdana"/>
                <w:sz w:val="16"/>
                <w:szCs w:val="16"/>
                <w:lang w:val="en-US"/>
              </w:rPr>
              <w:lastRenderedPageBreak/>
              <w:t>Molinat</w:t>
            </w:r>
            <w:r w:rsidR="00F01347" w:rsidRPr="00F01347">
              <w:rPr>
                <w:rFonts w:ascii="Verdana" w:hAnsi="Verdana"/>
                <w:sz w:val="16"/>
                <w:szCs w:val="16"/>
                <w:lang w:val="en-US"/>
              </w:rPr>
              <w:t>e</w:t>
            </w:r>
            <w:proofErr w:type="spellEnd"/>
          </w:p>
        </w:tc>
        <w:tc>
          <w:tcPr>
            <w:tcW w:w="5735" w:type="dxa"/>
            <w:tcBorders>
              <w:top w:val="single" w:sz="6" w:space="0" w:color="auto"/>
              <w:left w:val="single" w:sz="6" w:space="0" w:color="auto"/>
              <w:bottom w:val="single" w:sz="6" w:space="0" w:color="auto"/>
              <w:right w:val="single" w:sz="6" w:space="0" w:color="auto"/>
            </w:tcBorders>
          </w:tcPr>
          <w:p w14:paraId="6755FAAA"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Chemical oxidation</w:t>
            </w:r>
          </w:p>
          <w:p w14:paraId="687E4BF5"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Advanced oxidation processes</w:t>
            </w:r>
          </w:p>
          <w:p w14:paraId="5034EE0A"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199CCF06"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membrane processes</w:t>
            </w:r>
          </w:p>
          <w:p w14:paraId="2FBEE768" w14:textId="77777777" w:rsidR="002444E4" w:rsidRPr="00F01347" w:rsidRDefault="002444E4" w:rsidP="00CF3AE1">
            <w:pPr>
              <w:pStyle w:val="texto0"/>
              <w:spacing w:before="40" w:after="40" w:line="240"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498F42B5"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7144EFBE"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Simazine</w:t>
            </w:r>
          </w:p>
        </w:tc>
        <w:tc>
          <w:tcPr>
            <w:tcW w:w="5735" w:type="dxa"/>
            <w:tcBorders>
              <w:top w:val="single" w:sz="6" w:space="0" w:color="auto"/>
              <w:left w:val="single" w:sz="6" w:space="0" w:color="auto"/>
              <w:bottom w:val="single" w:sz="6" w:space="0" w:color="auto"/>
              <w:right w:val="single" w:sz="6" w:space="0" w:color="auto"/>
            </w:tcBorders>
          </w:tcPr>
          <w:p w14:paraId="7CAE5344"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Ozonation</w:t>
            </w:r>
          </w:p>
          <w:p w14:paraId="46BD52A9"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Chemical oxidation</w:t>
            </w:r>
          </w:p>
          <w:p w14:paraId="6818FA14"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Advanced oxidation processes</w:t>
            </w:r>
          </w:p>
          <w:p w14:paraId="213EC58E"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002DAED5"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membrane processes</w:t>
            </w:r>
          </w:p>
          <w:p w14:paraId="7398D779"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393CB2E4"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17FEE476"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Di -(2-ethylhexyl) phthalate</w:t>
            </w:r>
          </w:p>
        </w:tc>
        <w:tc>
          <w:tcPr>
            <w:tcW w:w="5735" w:type="dxa"/>
            <w:tcBorders>
              <w:top w:val="single" w:sz="6" w:space="0" w:color="auto"/>
              <w:left w:val="single" w:sz="6" w:space="0" w:color="auto"/>
              <w:bottom w:val="single" w:sz="6" w:space="0" w:color="auto"/>
              <w:right w:val="single" w:sz="6" w:space="0" w:color="auto"/>
            </w:tcBorders>
          </w:tcPr>
          <w:p w14:paraId="288F3A04"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Chemical oxidation</w:t>
            </w:r>
          </w:p>
          <w:p w14:paraId="19B1794E"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Advanced oxidation processes</w:t>
            </w:r>
          </w:p>
          <w:p w14:paraId="4887749C"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0F916542"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membrane processes</w:t>
            </w:r>
          </w:p>
          <w:p w14:paraId="57E64D9F"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05F68209"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noWrap/>
            <w:vAlign w:val="center"/>
          </w:tcPr>
          <w:p w14:paraId="68A79E68" w14:textId="77777777" w:rsidR="002444E4" w:rsidRPr="00F01347" w:rsidRDefault="002444E4" w:rsidP="00CF3AE1">
            <w:pPr>
              <w:pStyle w:val="texto0"/>
              <w:spacing w:before="40" w:after="40" w:line="246" w:lineRule="exact"/>
              <w:ind w:firstLine="0"/>
              <w:rPr>
                <w:rFonts w:ascii="Verdana" w:hAnsi="Verdana"/>
                <w:sz w:val="16"/>
                <w:szCs w:val="16"/>
                <w:lang w:val="en-US"/>
              </w:rPr>
            </w:pPr>
            <w:proofErr w:type="spellStart"/>
            <w:r w:rsidRPr="00F01347">
              <w:rPr>
                <w:rFonts w:ascii="Verdana" w:hAnsi="Verdana"/>
                <w:sz w:val="16"/>
                <w:szCs w:val="16"/>
                <w:lang w:val="en-US"/>
              </w:rPr>
              <w:t>Isoproturon</w:t>
            </w:r>
            <w:proofErr w:type="spellEnd"/>
          </w:p>
        </w:tc>
        <w:tc>
          <w:tcPr>
            <w:tcW w:w="5735" w:type="dxa"/>
            <w:tcBorders>
              <w:top w:val="single" w:sz="6" w:space="0" w:color="auto"/>
              <w:left w:val="single" w:sz="6" w:space="0" w:color="auto"/>
              <w:bottom w:val="single" w:sz="6" w:space="0" w:color="auto"/>
              <w:right w:val="single" w:sz="6" w:space="0" w:color="auto"/>
            </w:tcBorders>
          </w:tcPr>
          <w:p w14:paraId="0174E3DC"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Chlorination</w:t>
            </w:r>
          </w:p>
          <w:p w14:paraId="7C562DDC"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Ozonation</w:t>
            </w:r>
          </w:p>
          <w:p w14:paraId="112A40F2"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Chemical oxidation</w:t>
            </w:r>
          </w:p>
          <w:p w14:paraId="1D0A31D9"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Advanced oxidation processes</w:t>
            </w:r>
          </w:p>
          <w:p w14:paraId="2B271292"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1500427C"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membrane processes</w:t>
            </w:r>
          </w:p>
          <w:p w14:paraId="4603418C"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781357B8"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5CE75581"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1,2-Dichlorobenzene</w:t>
            </w:r>
          </w:p>
        </w:tc>
        <w:tc>
          <w:tcPr>
            <w:tcW w:w="5735" w:type="dxa"/>
            <w:vMerge w:val="restart"/>
            <w:tcBorders>
              <w:top w:val="single" w:sz="6" w:space="0" w:color="auto"/>
              <w:left w:val="single" w:sz="6" w:space="0" w:color="auto"/>
              <w:right w:val="single" w:sz="6" w:space="0" w:color="auto"/>
            </w:tcBorders>
          </w:tcPr>
          <w:p w14:paraId="31C82595"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Aeration</w:t>
            </w:r>
          </w:p>
          <w:p w14:paraId="6656984C"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Ozonation</w:t>
            </w:r>
          </w:p>
          <w:p w14:paraId="231D8D47"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Chemical oxidation</w:t>
            </w:r>
          </w:p>
          <w:p w14:paraId="3FC1A553"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Advanced oxidation processes</w:t>
            </w:r>
          </w:p>
          <w:p w14:paraId="02F03467"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5416FF53"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membrane processes</w:t>
            </w:r>
          </w:p>
          <w:p w14:paraId="114DFDEE"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58950B73"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191919E5"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1,2-Dichloroethene (cis + trans)</w:t>
            </w:r>
          </w:p>
        </w:tc>
        <w:tc>
          <w:tcPr>
            <w:tcW w:w="5735" w:type="dxa"/>
            <w:vMerge/>
            <w:tcBorders>
              <w:left w:val="single" w:sz="6" w:space="0" w:color="auto"/>
              <w:bottom w:val="single" w:sz="6" w:space="0" w:color="auto"/>
              <w:right w:val="single" w:sz="6" w:space="0" w:color="auto"/>
            </w:tcBorders>
          </w:tcPr>
          <w:p w14:paraId="730316F8" w14:textId="77777777" w:rsidR="002444E4" w:rsidRPr="00F01347" w:rsidRDefault="002444E4" w:rsidP="00CF3AE1">
            <w:pPr>
              <w:pStyle w:val="texto0"/>
              <w:spacing w:before="40" w:after="40" w:line="246" w:lineRule="exact"/>
              <w:ind w:firstLine="0"/>
              <w:rPr>
                <w:rFonts w:ascii="Verdana" w:hAnsi="Verdana"/>
                <w:sz w:val="16"/>
                <w:szCs w:val="16"/>
                <w:lang w:val="en-US"/>
              </w:rPr>
            </w:pPr>
          </w:p>
        </w:tc>
      </w:tr>
      <w:tr w:rsidR="002444E4" w:rsidRPr="00F01347" w14:paraId="0B32608F"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68E50F38"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1,2-Dichloropropane</w:t>
            </w:r>
          </w:p>
        </w:tc>
        <w:tc>
          <w:tcPr>
            <w:tcW w:w="5735" w:type="dxa"/>
            <w:vMerge w:val="restart"/>
            <w:tcBorders>
              <w:top w:val="single" w:sz="6" w:space="0" w:color="auto"/>
              <w:left w:val="single" w:sz="6" w:space="0" w:color="auto"/>
              <w:right w:val="single" w:sz="6" w:space="0" w:color="auto"/>
            </w:tcBorders>
          </w:tcPr>
          <w:p w14:paraId="3685CC62"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Aeration</w:t>
            </w:r>
          </w:p>
          <w:p w14:paraId="45FE9ACD"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Advanced oxidation processes</w:t>
            </w:r>
          </w:p>
          <w:p w14:paraId="53858416"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4429231F"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membrane processes</w:t>
            </w:r>
          </w:p>
          <w:p w14:paraId="79354203"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49F61D7C"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26AEFDFB"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1,2-Dichloroethane</w:t>
            </w:r>
          </w:p>
        </w:tc>
        <w:tc>
          <w:tcPr>
            <w:tcW w:w="5735" w:type="dxa"/>
            <w:vMerge/>
            <w:tcBorders>
              <w:left w:val="single" w:sz="6" w:space="0" w:color="auto"/>
              <w:right w:val="single" w:sz="6" w:space="0" w:color="auto"/>
            </w:tcBorders>
          </w:tcPr>
          <w:p w14:paraId="22524A38" w14:textId="77777777" w:rsidR="002444E4" w:rsidRPr="00F01347" w:rsidRDefault="002444E4" w:rsidP="00CF3AE1">
            <w:pPr>
              <w:pStyle w:val="texto0"/>
              <w:spacing w:before="40" w:after="40" w:line="246" w:lineRule="exact"/>
              <w:ind w:firstLine="0"/>
              <w:rPr>
                <w:rFonts w:ascii="Verdana" w:hAnsi="Verdana"/>
                <w:sz w:val="16"/>
                <w:szCs w:val="16"/>
                <w:lang w:val="en-US"/>
              </w:rPr>
            </w:pPr>
          </w:p>
        </w:tc>
      </w:tr>
      <w:tr w:rsidR="002444E4" w:rsidRPr="00F01347" w14:paraId="55224D38"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01D60168"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1,3-Dichloropropene (cis + trans)</w:t>
            </w:r>
          </w:p>
        </w:tc>
        <w:tc>
          <w:tcPr>
            <w:tcW w:w="5735" w:type="dxa"/>
            <w:vMerge/>
            <w:tcBorders>
              <w:left w:val="single" w:sz="6" w:space="0" w:color="auto"/>
              <w:bottom w:val="single" w:sz="6" w:space="0" w:color="auto"/>
              <w:right w:val="single" w:sz="6" w:space="0" w:color="auto"/>
            </w:tcBorders>
          </w:tcPr>
          <w:p w14:paraId="0A00A0B7" w14:textId="77777777" w:rsidR="002444E4" w:rsidRPr="00F01347" w:rsidRDefault="002444E4" w:rsidP="00CF3AE1">
            <w:pPr>
              <w:pStyle w:val="texto0"/>
              <w:spacing w:before="40" w:after="40" w:line="246" w:lineRule="exact"/>
              <w:ind w:firstLine="0"/>
              <w:rPr>
                <w:rFonts w:ascii="Verdana" w:hAnsi="Verdana"/>
                <w:sz w:val="16"/>
                <w:szCs w:val="16"/>
                <w:lang w:val="en-US"/>
              </w:rPr>
            </w:pPr>
          </w:p>
        </w:tc>
      </w:tr>
      <w:tr w:rsidR="002444E4" w:rsidRPr="00F01347" w14:paraId="3D8289A5" w14:textId="77777777" w:rsidTr="00CF3AE1">
        <w:trPr>
          <w:trHeight w:val="144"/>
        </w:trPr>
        <w:tc>
          <w:tcPr>
            <w:tcW w:w="2977" w:type="dxa"/>
            <w:tcBorders>
              <w:top w:val="single" w:sz="6" w:space="0" w:color="auto"/>
              <w:left w:val="single" w:sz="6" w:space="0" w:color="auto"/>
              <w:bottom w:val="single" w:sz="6" w:space="0" w:color="auto"/>
              <w:right w:val="single" w:sz="6" w:space="0" w:color="auto"/>
            </w:tcBorders>
            <w:vAlign w:val="center"/>
          </w:tcPr>
          <w:p w14:paraId="1FF94BC8"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1,4-Dichlorobenzene</w:t>
            </w:r>
          </w:p>
        </w:tc>
        <w:tc>
          <w:tcPr>
            <w:tcW w:w="5735" w:type="dxa"/>
            <w:tcBorders>
              <w:top w:val="single" w:sz="6" w:space="0" w:color="auto"/>
              <w:left w:val="single" w:sz="6" w:space="0" w:color="auto"/>
              <w:bottom w:val="single" w:sz="6" w:space="0" w:color="auto"/>
              <w:right w:val="single" w:sz="6" w:space="0" w:color="auto"/>
            </w:tcBorders>
          </w:tcPr>
          <w:p w14:paraId="39DCF82C"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Aeration</w:t>
            </w:r>
          </w:p>
          <w:p w14:paraId="6D297285"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Ozonation</w:t>
            </w:r>
          </w:p>
          <w:p w14:paraId="6A1B3D8B"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Advanced oxidation processes</w:t>
            </w:r>
          </w:p>
          <w:p w14:paraId="3214E69F"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66E03588"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lastRenderedPageBreak/>
              <w:t>membrane processes</w:t>
            </w:r>
          </w:p>
          <w:p w14:paraId="42727F18"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034CE927"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noWrap/>
            <w:vAlign w:val="center"/>
          </w:tcPr>
          <w:p w14:paraId="53E7552F"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lastRenderedPageBreak/>
              <w:t>Vinyl chloride</w:t>
            </w:r>
          </w:p>
        </w:tc>
        <w:tc>
          <w:tcPr>
            <w:tcW w:w="5735" w:type="dxa"/>
            <w:vMerge w:val="restart"/>
            <w:tcBorders>
              <w:top w:val="single" w:sz="6" w:space="0" w:color="auto"/>
              <w:left w:val="single" w:sz="6" w:space="0" w:color="auto"/>
              <w:right w:val="single" w:sz="6" w:space="0" w:color="auto"/>
            </w:tcBorders>
          </w:tcPr>
          <w:p w14:paraId="6CBBC889" w14:textId="3942B488"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Aeration (except Epichlorohydrin</w:t>
            </w:r>
            <w:r w:rsidR="00913802" w:rsidRPr="00F01347">
              <w:rPr>
                <w:rFonts w:ascii="Verdana" w:hAnsi="Verdana"/>
                <w:sz w:val="16"/>
                <w:szCs w:val="16"/>
                <w:lang w:val="en-US"/>
              </w:rPr>
              <w:t>)</w:t>
            </w:r>
          </w:p>
          <w:p w14:paraId="7B090F26"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Chemical oxidation</w:t>
            </w:r>
          </w:p>
          <w:p w14:paraId="25972DDA"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Advanced oxidation processes</w:t>
            </w:r>
          </w:p>
          <w:p w14:paraId="33C6C037"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6AC8C469"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membrane processes</w:t>
            </w:r>
          </w:p>
          <w:p w14:paraId="3323E675"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7E5CB0DA"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38993E0F"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Dichloromethane</w:t>
            </w:r>
          </w:p>
        </w:tc>
        <w:tc>
          <w:tcPr>
            <w:tcW w:w="5735" w:type="dxa"/>
            <w:vMerge/>
            <w:tcBorders>
              <w:left w:val="single" w:sz="6" w:space="0" w:color="auto"/>
              <w:right w:val="single" w:sz="6" w:space="0" w:color="auto"/>
            </w:tcBorders>
          </w:tcPr>
          <w:p w14:paraId="69EE8477" w14:textId="77777777" w:rsidR="002444E4" w:rsidRPr="00F01347" w:rsidRDefault="002444E4" w:rsidP="00CF3AE1">
            <w:pPr>
              <w:pStyle w:val="texto0"/>
              <w:spacing w:before="40" w:after="40" w:line="246" w:lineRule="exact"/>
              <w:ind w:firstLine="0"/>
              <w:rPr>
                <w:rFonts w:ascii="Verdana" w:hAnsi="Verdana"/>
                <w:sz w:val="16"/>
                <w:szCs w:val="16"/>
                <w:lang w:val="en-US"/>
              </w:rPr>
            </w:pPr>
          </w:p>
        </w:tc>
      </w:tr>
      <w:tr w:rsidR="002444E4" w:rsidRPr="00F01347" w14:paraId="4C17E000"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44F9A36A"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Epichlorohydrin</w:t>
            </w:r>
          </w:p>
        </w:tc>
        <w:tc>
          <w:tcPr>
            <w:tcW w:w="5735" w:type="dxa"/>
            <w:vMerge/>
            <w:tcBorders>
              <w:left w:val="single" w:sz="6" w:space="0" w:color="auto"/>
              <w:right w:val="single" w:sz="6" w:space="0" w:color="auto"/>
            </w:tcBorders>
          </w:tcPr>
          <w:p w14:paraId="37FEFC0A" w14:textId="77777777" w:rsidR="002444E4" w:rsidRPr="00F01347" w:rsidRDefault="002444E4" w:rsidP="00CF3AE1">
            <w:pPr>
              <w:pStyle w:val="texto0"/>
              <w:spacing w:before="40" w:after="40" w:line="246" w:lineRule="exact"/>
              <w:ind w:firstLine="0"/>
              <w:rPr>
                <w:rFonts w:ascii="Verdana" w:hAnsi="Verdana"/>
                <w:sz w:val="16"/>
                <w:szCs w:val="16"/>
                <w:lang w:val="en-US"/>
              </w:rPr>
            </w:pPr>
          </w:p>
        </w:tc>
      </w:tr>
      <w:tr w:rsidR="002444E4" w:rsidRPr="00F01347" w14:paraId="5BE36029"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4AF94E12"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Tetrachloroethylene</w:t>
            </w:r>
          </w:p>
        </w:tc>
        <w:tc>
          <w:tcPr>
            <w:tcW w:w="5735" w:type="dxa"/>
            <w:vMerge/>
            <w:tcBorders>
              <w:left w:val="single" w:sz="6" w:space="0" w:color="auto"/>
              <w:bottom w:val="single" w:sz="6" w:space="0" w:color="auto"/>
              <w:right w:val="single" w:sz="6" w:space="0" w:color="auto"/>
            </w:tcBorders>
          </w:tcPr>
          <w:p w14:paraId="5934DBDC" w14:textId="77777777" w:rsidR="002444E4" w:rsidRPr="00F01347" w:rsidRDefault="002444E4" w:rsidP="00CF3AE1">
            <w:pPr>
              <w:pStyle w:val="texto0"/>
              <w:spacing w:before="40" w:after="40" w:line="246" w:lineRule="exact"/>
              <w:ind w:firstLine="0"/>
              <w:rPr>
                <w:rFonts w:ascii="Verdana" w:hAnsi="Verdana"/>
                <w:sz w:val="16"/>
                <w:szCs w:val="16"/>
                <w:lang w:val="en-US"/>
              </w:rPr>
            </w:pPr>
          </w:p>
        </w:tc>
      </w:tr>
      <w:tr w:rsidR="002444E4" w:rsidRPr="00F01347" w14:paraId="0F95D88D"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3CECEB8C"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Carbon tetrachloride</w:t>
            </w:r>
          </w:p>
        </w:tc>
        <w:tc>
          <w:tcPr>
            <w:tcW w:w="5735" w:type="dxa"/>
            <w:tcBorders>
              <w:top w:val="single" w:sz="6" w:space="0" w:color="auto"/>
              <w:left w:val="single" w:sz="6" w:space="0" w:color="auto"/>
              <w:bottom w:val="single" w:sz="6" w:space="0" w:color="auto"/>
              <w:right w:val="single" w:sz="6" w:space="0" w:color="auto"/>
            </w:tcBorders>
          </w:tcPr>
          <w:p w14:paraId="68152DDA"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Aeration</w:t>
            </w:r>
          </w:p>
          <w:p w14:paraId="0F8CF5CA"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Chemical oxidation</w:t>
            </w:r>
          </w:p>
          <w:p w14:paraId="2DBE07F2"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Advanced oxidation processes</w:t>
            </w:r>
          </w:p>
          <w:p w14:paraId="6E43A647"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344EEA0E"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membrane processes</w:t>
            </w:r>
          </w:p>
          <w:p w14:paraId="5275E317"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067BF586"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02A161FB"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Trichloroethene</w:t>
            </w:r>
          </w:p>
        </w:tc>
        <w:tc>
          <w:tcPr>
            <w:tcW w:w="5735" w:type="dxa"/>
            <w:tcBorders>
              <w:top w:val="single" w:sz="6" w:space="0" w:color="auto"/>
              <w:left w:val="single" w:sz="6" w:space="0" w:color="auto"/>
              <w:bottom w:val="single" w:sz="6" w:space="0" w:color="auto"/>
              <w:right w:val="single" w:sz="6" w:space="0" w:color="auto"/>
            </w:tcBorders>
          </w:tcPr>
          <w:p w14:paraId="04389BFA"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Aeration</w:t>
            </w:r>
          </w:p>
          <w:p w14:paraId="0AC4655F"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Ozonation</w:t>
            </w:r>
          </w:p>
          <w:p w14:paraId="2B71A3AD"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Chemical oxidation</w:t>
            </w:r>
          </w:p>
          <w:p w14:paraId="41A0FAF1"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Advanced oxidation processes</w:t>
            </w:r>
          </w:p>
          <w:p w14:paraId="57C7D35B"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280421CD"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membrane processes</w:t>
            </w:r>
          </w:p>
          <w:p w14:paraId="419183D9"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255E79E0"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5C86D96A"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1,2-dibromoethane</w:t>
            </w:r>
          </w:p>
        </w:tc>
        <w:tc>
          <w:tcPr>
            <w:tcW w:w="5735" w:type="dxa"/>
            <w:vMerge w:val="restart"/>
            <w:tcBorders>
              <w:top w:val="single" w:sz="6" w:space="0" w:color="auto"/>
              <w:left w:val="single" w:sz="6" w:space="0" w:color="auto"/>
              <w:right w:val="single" w:sz="6" w:space="0" w:color="auto"/>
            </w:tcBorders>
          </w:tcPr>
          <w:p w14:paraId="3C4F9924"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Aeration</w:t>
            </w:r>
          </w:p>
          <w:p w14:paraId="54B2C78E"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Chemical oxidation</w:t>
            </w:r>
          </w:p>
          <w:p w14:paraId="699E6561"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Advanced oxidation processes</w:t>
            </w:r>
          </w:p>
          <w:p w14:paraId="7CA42F6C"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Adsorption on activated carbon</w:t>
            </w:r>
          </w:p>
          <w:p w14:paraId="41BC45BC"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membrane processes</w:t>
            </w:r>
          </w:p>
          <w:p w14:paraId="6ECC0EBE" w14:textId="77777777" w:rsidR="002444E4" w:rsidRPr="00F01347" w:rsidRDefault="002444E4" w:rsidP="00CF3AE1">
            <w:pPr>
              <w:pStyle w:val="texto0"/>
              <w:spacing w:before="40" w:after="40" w:line="246" w:lineRule="exact"/>
              <w:ind w:firstLine="0"/>
              <w:rPr>
                <w:rFonts w:ascii="Verdana" w:hAnsi="Verdana"/>
                <w:sz w:val="16"/>
                <w:szCs w:val="16"/>
                <w:lang w:val="en-US"/>
              </w:rPr>
            </w:pPr>
            <w:r w:rsidRPr="00F01347">
              <w:rPr>
                <w:rFonts w:ascii="Verdana" w:hAnsi="Verdana"/>
                <w:sz w:val="16"/>
                <w:szCs w:val="16"/>
                <w:lang w:val="en-US"/>
              </w:rPr>
              <w:t>In the case of oxidation ensure complete mineralization</w:t>
            </w:r>
          </w:p>
        </w:tc>
      </w:tr>
      <w:tr w:rsidR="002444E4" w:rsidRPr="00F01347" w14:paraId="6650E1B9" w14:textId="77777777" w:rsidTr="00CF3AE1">
        <w:trPr>
          <w:trHeight w:val="20"/>
        </w:trPr>
        <w:tc>
          <w:tcPr>
            <w:tcW w:w="2977" w:type="dxa"/>
            <w:tcBorders>
              <w:top w:val="single" w:sz="6" w:space="0" w:color="auto"/>
              <w:left w:val="single" w:sz="6" w:space="0" w:color="auto"/>
              <w:bottom w:val="single" w:sz="6" w:space="0" w:color="auto"/>
              <w:right w:val="single" w:sz="6" w:space="0" w:color="auto"/>
            </w:tcBorders>
            <w:vAlign w:val="center"/>
          </w:tcPr>
          <w:p w14:paraId="34763AC0" w14:textId="77777777" w:rsidR="002444E4" w:rsidRPr="00F01347" w:rsidRDefault="002444E4" w:rsidP="00CF3AE1">
            <w:pPr>
              <w:pStyle w:val="texto0"/>
              <w:spacing w:before="40" w:after="40" w:line="260" w:lineRule="exact"/>
              <w:ind w:firstLine="0"/>
              <w:rPr>
                <w:rFonts w:ascii="Verdana" w:hAnsi="Verdana"/>
                <w:sz w:val="16"/>
                <w:szCs w:val="16"/>
                <w:lang w:val="en-US"/>
              </w:rPr>
            </w:pPr>
            <w:r w:rsidRPr="00F01347">
              <w:rPr>
                <w:rFonts w:ascii="Verdana" w:hAnsi="Verdana"/>
                <w:sz w:val="16"/>
                <w:szCs w:val="16"/>
                <w:lang w:val="en-US"/>
              </w:rPr>
              <w:t>1,2-dibromo-3-chloropropane</w:t>
            </w:r>
          </w:p>
        </w:tc>
        <w:tc>
          <w:tcPr>
            <w:tcW w:w="5735" w:type="dxa"/>
            <w:vMerge/>
            <w:tcBorders>
              <w:left w:val="single" w:sz="6" w:space="0" w:color="auto"/>
              <w:bottom w:val="single" w:sz="6" w:space="0" w:color="auto"/>
              <w:right w:val="single" w:sz="6" w:space="0" w:color="auto"/>
            </w:tcBorders>
          </w:tcPr>
          <w:p w14:paraId="36B8B051" w14:textId="77777777" w:rsidR="002444E4" w:rsidRPr="00F01347" w:rsidRDefault="002444E4" w:rsidP="00CF3AE1">
            <w:pPr>
              <w:pStyle w:val="texto0"/>
              <w:spacing w:before="40" w:after="40" w:line="260" w:lineRule="exact"/>
              <w:ind w:firstLine="0"/>
              <w:rPr>
                <w:rFonts w:ascii="Verdana" w:hAnsi="Verdana"/>
                <w:sz w:val="16"/>
                <w:szCs w:val="16"/>
                <w:lang w:val="en-US"/>
              </w:rPr>
            </w:pPr>
          </w:p>
        </w:tc>
      </w:tr>
      <w:tr w:rsidR="002444E4" w:rsidRPr="00C34BE4" w14:paraId="6DEA581A" w14:textId="77777777" w:rsidTr="00CF3AE1">
        <w:trPr>
          <w:trHeight w:val="20"/>
        </w:trPr>
        <w:tc>
          <w:tcPr>
            <w:tcW w:w="8712" w:type="dxa"/>
            <w:gridSpan w:val="2"/>
            <w:tcBorders>
              <w:top w:val="single" w:sz="6" w:space="0" w:color="auto"/>
            </w:tcBorders>
          </w:tcPr>
          <w:p w14:paraId="47F06F4A" w14:textId="77777777" w:rsidR="002444E4" w:rsidRPr="00855DA1" w:rsidRDefault="002444E4" w:rsidP="00CF3AE1">
            <w:pPr>
              <w:pStyle w:val="texto0"/>
              <w:spacing w:before="40" w:after="40" w:line="260" w:lineRule="exact"/>
              <w:ind w:firstLine="0"/>
              <w:rPr>
                <w:rFonts w:ascii="Verdana" w:hAnsi="Verdana"/>
                <w:color w:val="000000"/>
                <w:sz w:val="16"/>
                <w:szCs w:val="16"/>
                <w:lang w:val="en-US"/>
              </w:rPr>
            </w:pPr>
            <w:r w:rsidRPr="00F01347">
              <w:rPr>
                <w:rFonts w:ascii="Verdana" w:hAnsi="Verdana"/>
                <w:color w:val="000000"/>
                <w:sz w:val="16"/>
                <w:szCs w:val="16"/>
                <w:lang w:val="en-US"/>
              </w:rPr>
              <w:t>(1) Only in case the water also has high carbonated hardness.</w:t>
            </w:r>
          </w:p>
        </w:tc>
      </w:tr>
    </w:tbl>
    <w:p w14:paraId="55EC83ED" w14:textId="77777777" w:rsidR="002444E4" w:rsidRPr="002444E4" w:rsidRDefault="002444E4" w:rsidP="002444E4">
      <w:pPr>
        <w:pStyle w:val="Texto"/>
        <w:ind w:firstLine="0"/>
        <w:jc w:val="center"/>
        <w:rPr>
          <w:rFonts w:ascii="Verdana" w:hAnsi="Verdana"/>
          <w:sz w:val="16"/>
          <w:szCs w:val="16"/>
          <w:lang w:val="en-US"/>
        </w:rPr>
      </w:pPr>
    </w:p>
    <w:sectPr w:rsidR="002444E4" w:rsidRPr="002444E4" w:rsidSect="00C621FF">
      <w:headerReference w:type="even" r:id="rId120"/>
      <w:headerReference w:type="default" r:id="rId121"/>
      <w:footerReference w:type="default" r:id="rId122"/>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16007" w14:textId="77777777" w:rsidR="00923E37" w:rsidRDefault="00923E37">
      <w:r>
        <w:separator/>
      </w:r>
    </w:p>
  </w:endnote>
  <w:endnote w:type="continuationSeparator" w:id="0">
    <w:p w14:paraId="4A050498" w14:textId="77777777" w:rsidR="00923E37" w:rsidRDefault="00923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Aibri">
    <w:altName w:val="Calibri"/>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8937" w14:textId="61B526EC" w:rsidR="008D190D" w:rsidRPr="00C621FF" w:rsidRDefault="00C621FF">
    <w:pPr>
      <w:pStyle w:val="Footer"/>
      <w:rPr>
        <w:rFonts w:ascii="Verdana" w:hAnsi="Verdana"/>
        <w:b/>
        <w:bCs/>
        <w:sz w:val="16"/>
        <w:szCs w:val="16"/>
        <w:lang w:val="es-MX"/>
      </w:rPr>
    </w:pPr>
    <w:r w:rsidRPr="00C621FF">
      <w:rPr>
        <w:rFonts w:ascii="Verdana" w:hAnsi="Verdana"/>
        <w:b/>
        <w:bCs/>
        <w:sz w:val="16"/>
        <w:szCs w:val="16"/>
        <w:lang w:val="es-MX"/>
      </w:rPr>
      <w:t>Derechos Reservados © 2023 Lic. Glenn Louis McBride</w:t>
    </w:r>
    <w:r>
      <w:rPr>
        <w:rFonts w:ascii="Verdana" w:hAnsi="Verdana"/>
        <w:b/>
        <w:bCs/>
        <w:sz w:val="16"/>
        <w:szCs w:val="16"/>
        <w:lang w:val="es-MX"/>
      </w:rPr>
      <w:t xml:space="preserve">                                                               </w:t>
    </w:r>
    <w:r w:rsidRPr="00C621FF">
      <w:rPr>
        <w:rFonts w:ascii="Verdana" w:hAnsi="Verdana"/>
        <w:b/>
        <w:bCs/>
        <w:sz w:val="16"/>
        <w:szCs w:val="16"/>
        <w:lang w:val="es-MX"/>
      </w:rPr>
      <w:t xml:space="preserve"> </w:t>
    </w:r>
    <w:r w:rsidRPr="00C621FF">
      <w:rPr>
        <w:rFonts w:ascii="Verdana" w:hAnsi="Verdana"/>
        <w:b/>
        <w:bCs/>
        <w:sz w:val="16"/>
        <w:szCs w:val="16"/>
        <w:lang w:val="es-MX"/>
      </w:rPr>
      <w:fldChar w:fldCharType="begin"/>
    </w:r>
    <w:r w:rsidRPr="00C621FF">
      <w:rPr>
        <w:rFonts w:ascii="Verdana" w:hAnsi="Verdana"/>
        <w:b/>
        <w:bCs/>
        <w:sz w:val="16"/>
        <w:szCs w:val="16"/>
        <w:lang w:val="es-MX"/>
      </w:rPr>
      <w:instrText xml:space="preserve"> PAGE   \* MERGEFORMAT </w:instrText>
    </w:r>
    <w:r w:rsidRPr="00C621FF">
      <w:rPr>
        <w:rFonts w:ascii="Verdana" w:hAnsi="Verdana"/>
        <w:b/>
        <w:bCs/>
        <w:sz w:val="16"/>
        <w:szCs w:val="16"/>
        <w:lang w:val="es-MX"/>
      </w:rPr>
      <w:fldChar w:fldCharType="separate"/>
    </w:r>
    <w:r w:rsidRPr="00C621FF">
      <w:rPr>
        <w:rFonts w:ascii="Verdana" w:hAnsi="Verdana"/>
        <w:b/>
        <w:bCs/>
        <w:noProof/>
        <w:sz w:val="16"/>
        <w:szCs w:val="16"/>
        <w:lang w:val="es-MX"/>
      </w:rPr>
      <w:t>1</w:t>
    </w:r>
    <w:r w:rsidRPr="00C621FF">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92DC7" w14:textId="77777777" w:rsidR="00923E37" w:rsidRDefault="00923E37">
      <w:r>
        <w:separator/>
      </w:r>
    </w:p>
  </w:footnote>
  <w:footnote w:type="continuationSeparator" w:id="0">
    <w:p w14:paraId="4E78C26F" w14:textId="77777777" w:rsidR="00923E37" w:rsidRDefault="00923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C20A5" w14:textId="77777777" w:rsidR="00B47948" w:rsidRPr="00DD124C" w:rsidRDefault="00B47948" w:rsidP="003A601B">
    <w:pPr>
      <w:pStyle w:val="Fechas"/>
      <w:rPr>
        <w:rFonts w:cs="Times New Roman"/>
      </w:rPr>
    </w:pPr>
    <w:r w:rsidRPr="00DD124C">
      <w:rPr>
        <w:rFonts w:cs="Times New Roman"/>
      </w:rPr>
      <w:t xml:space="preserve"> </w:t>
    </w:r>
    <w:r w:rsidRPr="00DD124C">
      <w:rPr>
        <w:rFonts w:cs="Times New Roman"/>
      </w:rPr>
      <w:tab/>
      <w:t>DIARIO OFICIAL</w:t>
    </w:r>
    <w:r w:rsidRPr="00DD124C">
      <w:rPr>
        <w:rFonts w:cs="Times New Roman"/>
      </w:rPr>
      <w:tab/>
    </w:r>
    <w:proofErr w:type="gramStart"/>
    <w:r w:rsidRPr="00DD124C">
      <w:rPr>
        <w:rFonts w:cs="Times New Roman"/>
      </w:rPr>
      <w:t>Lunes</w:t>
    </w:r>
    <w:proofErr w:type="gramEnd"/>
    <w:r w:rsidRPr="00DD124C">
      <w:rPr>
        <w:rFonts w:cs="Times New Roman"/>
      </w:rPr>
      <w:t xml:space="preserve"> 2 de mayo de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FDD3B" w14:textId="74B4CE1F" w:rsidR="00B47948" w:rsidRPr="003E1BA9" w:rsidRDefault="003E1BA9" w:rsidP="003E1BA9">
    <w:pPr>
      <w:pStyle w:val="Header"/>
      <w:rPr>
        <w:rFonts w:ascii="Verdana" w:hAnsi="Verdana"/>
        <w:sz w:val="16"/>
        <w:szCs w:val="16"/>
      </w:rPr>
    </w:pPr>
    <w:r w:rsidRPr="003E1BA9">
      <w:rPr>
        <w:rFonts w:ascii="Verdana" w:hAnsi="Verdana"/>
        <w:b/>
        <w:bCs/>
        <w:sz w:val="16"/>
        <w:szCs w:val="16"/>
        <w:lang w:val="en-US"/>
      </w:rPr>
      <w:t>NOM-127-SSA1-2021, Water for human use and consumption. Permissible limits of water quality.</w:t>
    </w:r>
    <w:r w:rsidRPr="003E1BA9">
      <w:rPr>
        <w:rFonts w:ascii="Verdana" w:hAnsi="Verdana"/>
        <w:sz w:val="16"/>
        <w:szCs w:val="16"/>
        <w:lang w:val="en-US"/>
      </w:rPr>
      <w:t xml:space="preserve"> Published in the DOF on May 2, 2022 – Effective date April 27,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378"/>
    <w:multiLevelType w:val="hybridMultilevel"/>
    <w:tmpl w:val="2C66C6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43284"/>
    <w:multiLevelType w:val="hybridMultilevel"/>
    <w:tmpl w:val="7F347B7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0C0010DE"/>
    <w:multiLevelType w:val="hybridMultilevel"/>
    <w:tmpl w:val="7BBC378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0D9D0297"/>
    <w:multiLevelType w:val="hybridMultilevel"/>
    <w:tmpl w:val="120A5D7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 w15:restartNumberingAfterBreak="0">
    <w:nsid w:val="102769B4"/>
    <w:multiLevelType w:val="hybridMultilevel"/>
    <w:tmpl w:val="F93C05B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157E2F05"/>
    <w:multiLevelType w:val="hybridMultilevel"/>
    <w:tmpl w:val="010201D0"/>
    <w:lvl w:ilvl="0" w:tplc="080A000F">
      <w:start w:val="1"/>
      <w:numFmt w:val="decimal"/>
      <w:lvlText w:val="%1."/>
      <w:lvlJc w:val="left"/>
      <w:pPr>
        <w:ind w:left="1008" w:hanging="360"/>
      </w:p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6" w15:restartNumberingAfterBreak="0">
    <w:nsid w:val="1AA8550E"/>
    <w:multiLevelType w:val="hybridMultilevel"/>
    <w:tmpl w:val="33DAAD24"/>
    <w:lvl w:ilvl="0" w:tplc="26C6D224">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94501E1"/>
    <w:multiLevelType w:val="hybridMultilevel"/>
    <w:tmpl w:val="850C7D9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8" w15:restartNumberingAfterBreak="0">
    <w:nsid w:val="29B83CDF"/>
    <w:multiLevelType w:val="hybridMultilevel"/>
    <w:tmpl w:val="E9F2A442"/>
    <w:lvl w:ilvl="0" w:tplc="198EC1D6">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9" w15:restartNumberingAfterBreak="0">
    <w:nsid w:val="2A693742"/>
    <w:multiLevelType w:val="hybridMultilevel"/>
    <w:tmpl w:val="1A2C495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2" w15:restartNumberingAfterBreak="0">
    <w:nsid w:val="33C425A3"/>
    <w:multiLevelType w:val="hybridMultilevel"/>
    <w:tmpl w:val="22F8D54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3" w15:restartNumberingAfterBreak="0">
    <w:nsid w:val="37E3313C"/>
    <w:multiLevelType w:val="hybridMultilevel"/>
    <w:tmpl w:val="0648609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4" w15:restartNumberingAfterBreak="0">
    <w:nsid w:val="389140BB"/>
    <w:multiLevelType w:val="hybridMultilevel"/>
    <w:tmpl w:val="F15845E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5" w15:restartNumberingAfterBreak="0">
    <w:nsid w:val="3F1F45FD"/>
    <w:multiLevelType w:val="hybridMultilevel"/>
    <w:tmpl w:val="81B68AE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 w15:restartNumberingAfterBreak="0">
    <w:nsid w:val="42063416"/>
    <w:multiLevelType w:val="hybridMultilevel"/>
    <w:tmpl w:val="C6D8E4B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7" w15:restartNumberingAfterBreak="0">
    <w:nsid w:val="4B217CA9"/>
    <w:multiLevelType w:val="hybridMultilevel"/>
    <w:tmpl w:val="79AC545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8" w15:restartNumberingAfterBreak="0">
    <w:nsid w:val="4B391A2E"/>
    <w:multiLevelType w:val="hybridMultilevel"/>
    <w:tmpl w:val="FB98949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9" w15:restartNumberingAfterBreak="0">
    <w:nsid w:val="5931794A"/>
    <w:multiLevelType w:val="hybridMultilevel"/>
    <w:tmpl w:val="B1B27FF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0" w15:restartNumberingAfterBreak="0">
    <w:nsid w:val="5E0B2583"/>
    <w:multiLevelType w:val="hybridMultilevel"/>
    <w:tmpl w:val="8F9020C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1" w15:restartNumberingAfterBreak="0">
    <w:nsid w:val="648514AF"/>
    <w:multiLevelType w:val="hybridMultilevel"/>
    <w:tmpl w:val="4278845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2" w15:restartNumberingAfterBreak="0">
    <w:nsid w:val="6BE038B3"/>
    <w:multiLevelType w:val="hybridMultilevel"/>
    <w:tmpl w:val="D49CE37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3" w15:restartNumberingAfterBreak="0">
    <w:nsid w:val="6C1C4640"/>
    <w:multiLevelType w:val="hybridMultilevel"/>
    <w:tmpl w:val="A5A2E9E2"/>
    <w:lvl w:ilvl="0" w:tplc="080A0001">
      <w:start w:val="1"/>
      <w:numFmt w:val="bullet"/>
      <w:lvlText w:val=""/>
      <w:lvlJc w:val="left"/>
      <w:pPr>
        <w:ind w:left="1008" w:hanging="360"/>
      </w:pPr>
      <w:rPr>
        <w:rFonts w:ascii="Symbol" w:hAnsi="Symbol" w:hint="default"/>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2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5" w15:restartNumberingAfterBreak="0">
    <w:nsid w:val="71581D65"/>
    <w:multiLevelType w:val="hybridMultilevel"/>
    <w:tmpl w:val="CB8EB2D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6" w15:restartNumberingAfterBreak="0">
    <w:nsid w:val="75A20F76"/>
    <w:multiLevelType w:val="hybridMultilevel"/>
    <w:tmpl w:val="AF9A27D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7" w15:restartNumberingAfterBreak="0">
    <w:nsid w:val="77944A25"/>
    <w:multiLevelType w:val="hybridMultilevel"/>
    <w:tmpl w:val="8742725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16cid:durableId="1085498694">
    <w:abstractNumId w:val="11"/>
  </w:num>
  <w:num w:numId="2" w16cid:durableId="212893264">
    <w:abstractNumId w:val="24"/>
  </w:num>
  <w:num w:numId="3" w16cid:durableId="376902649">
    <w:abstractNumId w:val="10"/>
  </w:num>
  <w:num w:numId="4" w16cid:durableId="1921057274">
    <w:abstractNumId w:val="9"/>
  </w:num>
  <w:num w:numId="5" w16cid:durableId="232467402">
    <w:abstractNumId w:val="8"/>
  </w:num>
  <w:num w:numId="6" w16cid:durableId="627584781">
    <w:abstractNumId w:val="20"/>
  </w:num>
  <w:num w:numId="7" w16cid:durableId="1349453058">
    <w:abstractNumId w:val="5"/>
  </w:num>
  <w:num w:numId="8" w16cid:durableId="1348948252">
    <w:abstractNumId w:val="23"/>
  </w:num>
  <w:num w:numId="9" w16cid:durableId="1916235273">
    <w:abstractNumId w:val="4"/>
  </w:num>
  <w:num w:numId="10" w16cid:durableId="367419516">
    <w:abstractNumId w:val="1"/>
  </w:num>
  <w:num w:numId="11" w16cid:durableId="842938981">
    <w:abstractNumId w:val="26"/>
  </w:num>
  <w:num w:numId="12" w16cid:durableId="82458484">
    <w:abstractNumId w:val="15"/>
  </w:num>
  <w:num w:numId="13" w16cid:durableId="311106983">
    <w:abstractNumId w:val="12"/>
  </w:num>
  <w:num w:numId="14" w16cid:durableId="1070032148">
    <w:abstractNumId w:val="22"/>
  </w:num>
  <w:num w:numId="15" w16cid:durableId="219220308">
    <w:abstractNumId w:val="18"/>
  </w:num>
  <w:num w:numId="16" w16cid:durableId="121968520">
    <w:abstractNumId w:val="17"/>
  </w:num>
  <w:num w:numId="17" w16cid:durableId="1752655117">
    <w:abstractNumId w:val="16"/>
  </w:num>
  <w:num w:numId="18" w16cid:durableId="25446589">
    <w:abstractNumId w:val="7"/>
  </w:num>
  <w:num w:numId="19" w16cid:durableId="839736985">
    <w:abstractNumId w:val="27"/>
  </w:num>
  <w:num w:numId="20" w16cid:durableId="1708944797">
    <w:abstractNumId w:val="13"/>
  </w:num>
  <w:num w:numId="21" w16cid:durableId="1871337063">
    <w:abstractNumId w:val="2"/>
  </w:num>
  <w:num w:numId="22" w16cid:durableId="1749107983">
    <w:abstractNumId w:val="14"/>
  </w:num>
  <w:num w:numId="23" w16cid:durableId="332729618">
    <w:abstractNumId w:val="25"/>
  </w:num>
  <w:num w:numId="24" w16cid:durableId="456534003">
    <w:abstractNumId w:val="21"/>
  </w:num>
  <w:num w:numId="25" w16cid:durableId="1043287328">
    <w:abstractNumId w:val="3"/>
  </w:num>
  <w:num w:numId="26" w16cid:durableId="2102409364">
    <w:abstractNumId w:val="19"/>
  </w:num>
  <w:num w:numId="27" w16cid:durableId="866522344">
    <w:abstractNumId w:val="6"/>
  </w:num>
  <w:num w:numId="28" w16cid:durableId="159104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pt-BR" w:vendorID="64" w:dllVersion="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CDF"/>
    <w:rsid w:val="00007D5B"/>
    <w:rsid w:val="00010040"/>
    <w:rsid w:val="000144CB"/>
    <w:rsid w:val="00020966"/>
    <w:rsid w:val="000209D2"/>
    <w:rsid w:val="00023FDE"/>
    <w:rsid w:val="00025505"/>
    <w:rsid w:val="000275CE"/>
    <w:rsid w:val="00030772"/>
    <w:rsid w:val="00030FA7"/>
    <w:rsid w:val="000444CD"/>
    <w:rsid w:val="000468AF"/>
    <w:rsid w:val="00046AF3"/>
    <w:rsid w:val="0004752E"/>
    <w:rsid w:val="00047AFF"/>
    <w:rsid w:val="000550B5"/>
    <w:rsid w:val="00055D79"/>
    <w:rsid w:val="000643A3"/>
    <w:rsid w:val="0006497D"/>
    <w:rsid w:val="00065A86"/>
    <w:rsid w:val="00067D6E"/>
    <w:rsid w:val="00070CDB"/>
    <w:rsid w:val="00071707"/>
    <w:rsid w:val="00071DA6"/>
    <w:rsid w:val="00074E19"/>
    <w:rsid w:val="0008366A"/>
    <w:rsid w:val="0008390E"/>
    <w:rsid w:val="00083B96"/>
    <w:rsid w:val="00085CFF"/>
    <w:rsid w:val="00087987"/>
    <w:rsid w:val="00090755"/>
    <w:rsid w:val="00090E9C"/>
    <w:rsid w:val="0009130F"/>
    <w:rsid w:val="000934C4"/>
    <w:rsid w:val="00095A1F"/>
    <w:rsid w:val="000A1916"/>
    <w:rsid w:val="000A3AF6"/>
    <w:rsid w:val="000A49CB"/>
    <w:rsid w:val="000A787E"/>
    <w:rsid w:val="000B3A7D"/>
    <w:rsid w:val="000B42E5"/>
    <w:rsid w:val="000B698E"/>
    <w:rsid w:val="000C0FF3"/>
    <w:rsid w:val="000C365C"/>
    <w:rsid w:val="000C44A0"/>
    <w:rsid w:val="000C50D4"/>
    <w:rsid w:val="000C632A"/>
    <w:rsid w:val="000D0033"/>
    <w:rsid w:val="000D1339"/>
    <w:rsid w:val="000D530D"/>
    <w:rsid w:val="000D6596"/>
    <w:rsid w:val="000D6E68"/>
    <w:rsid w:val="000D7434"/>
    <w:rsid w:val="000E1BC6"/>
    <w:rsid w:val="000E6BF1"/>
    <w:rsid w:val="000F0FA3"/>
    <w:rsid w:val="000F3ABE"/>
    <w:rsid w:val="000F48EA"/>
    <w:rsid w:val="000F63A4"/>
    <w:rsid w:val="000F6C35"/>
    <w:rsid w:val="000F706A"/>
    <w:rsid w:val="000F7A03"/>
    <w:rsid w:val="0010613E"/>
    <w:rsid w:val="0010703B"/>
    <w:rsid w:val="00110370"/>
    <w:rsid w:val="00111EAD"/>
    <w:rsid w:val="00112B6C"/>
    <w:rsid w:val="001140F1"/>
    <w:rsid w:val="00121B56"/>
    <w:rsid w:val="001233D7"/>
    <w:rsid w:val="00123FAE"/>
    <w:rsid w:val="00126B82"/>
    <w:rsid w:val="001303A7"/>
    <w:rsid w:val="00136C20"/>
    <w:rsid w:val="001406BC"/>
    <w:rsid w:val="00140A5C"/>
    <w:rsid w:val="00142E13"/>
    <w:rsid w:val="00143023"/>
    <w:rsid w:val="001433F3"/>
    <w:rsid w:val="00147FE5"/>
    <w:rsid w:val="00151D96"/>
    <w:rsid w:val="001526BA"/>
    <w:rsid w:val="00153C15"/>
    <w:rsid w:val="00155A7E"/>
    <w:rsid w:val="001574EC"/>
    <w:rsid w:val="001619F6"/>
    <w:rsid w:val="00163AE3"/>
    <w:rsid w:val="00163DCE"/>
    <w:rsid w:val="001642EF"/>
    <w:rsid w:val="00165300"/>
    <w:rsid w:val="00166BAE"/>
    <w:rsid w:val="001733A9"/>
    <w:rsid w:val="00173E5E"/>
    <w:rsid w:val="00173E9D"/>
    <w:rsid w:val="00174618"/>
    <w:rsid w:val="001748E8"/>
    <w:rsid w:val="00176B02"/>
    <w:rsid w:val="00177486"/>
    <w:rsid w:val="00181964"/>
    <w:rsid w:val="001866BB"/>
    <w:rsid w:val="00191B41"/>
    <w:rsid w:val="00195422"/>
    <w:rsid w:val="00197CFA"/>
    <w:rsid w:val="001A1CAD"/>
    <w:rsid w:val="001A2BCE"/>
    <w:rsid w:val="001A6B5E"/>
    <w:rsid w:val="001B08BD"/>
    <w:rsid w:val="001B1144"/>
    <w:rsid w:val="001B3F5D"/>
    <w:rsid w:val="001B6981"/>
    <w:rsid w:val="001B7861"/>
    <w:rsid w:val="001C02AB"/>
    <w:rsid w:val="001C08D3"/>
    <w:rsid w:val="001C1847"/>
    <w:rsid w:val="001C1DC9"/>
    <w:rsid w:val="001D1766"/>
    <w:rsid w:val="001E5F4B"/>
    <w:rsid w:val="001E6CB1"/>
    <w:rsid w:val="001F09BB"/>
    <w:rsid w:val="001F0E47"/>
    <w:rsid w:val="001F2457"/>
    <w:rsid w:val="001F36DF"/>
    <w:rsid w:val="001F598B"/>
    <w:rsid w:val="001F6325"/>
    <w:rsid w:val="001F6B99"/>
    <w:rsid w:val="002001C3"/>
    <w:rsid w:val="002001CB"/>
    <w:rsid w:val="0020245C"/>
    <w:rsid w:val="00203B3B"/>
    <w:rsid w:val="00204B58"/>
    <w:rsid w:val="00204E65"/>
    <w:rsid w:val="0020509B"/>
    <w:rsid w:val="0020613D"/>
    <w:rsid w:val="002072DF"/>
    <w:rsid w:val="0021274D"/>
    <w:rsid w:val="00215AB2"/>
    <w:rsid w:val="002214D8"/>
    <w:rsid w:val="002272F5"/>
    <w:rsid w:val="00236F63"/>
    <w:rsid w:val="00237A20"/>
    <w:rsid w:val="002444E4"/>
    <w:rsid w:val="0025082C"/>
    <w:rsid w:val="00254852"/>
    <w:rsid w:val="00255299"/>
    <w:rsid w:val="002603ED"/>
    <w:rsid w:val="00260559"/>
    <w:rsid w:val="00261ACB"/>
    <w:rsid w:val="00261B8D"/>
    <w:rsid w:val="00266633"/>
    <w:rsid w:val="00282554"/>
    <w:rsid w:val="00285838"/>
    <w:rsid w:val="00285BE5"/>
    <w:rsid w:val="00286668"/>
    <w:rsid w:val="00286818"/>
    <w:rsid w:val="00290296"/>
    <w:rsid w:val="0029033A"/>
    <w:rsid w:val="00291CA7"/>
    <w:rsid w:val="002935A3"/>
    <w:rsid w:val="002940B6"/>
    <w:rsid w:val="002A1C5D"/>
    <w:rsid w:val="002A613C"/>
    <w:rsid w:val="002A7A50"/>
    <w:rsid w:val="002B00EE"/>
    <w:rsid w:val="002B0A0E"/>
    <w:rsid w:val="002B127D"/>
    <w:rsid w:val="002B37B4"/>
    <w:rsid w:val="002B3857"/>
    <w:rsid w:val="002B795D"/>
    <w:rsid w:val="002C15EB"/>
    <w:rsid w:val="002C3644"/>
    <w:rsid w:val="002C4F31"/>
    <w:rsid w:val="002C698F"/>
    <w:rsid w:val="002D0390"/>
    <w:rsid w:val="002D088C"/>
    <w:rsid w:val="002D476D"/>
    <w:rsid w:val="002D4B71"/>
    <w:rsid w:val="002D50AA"/>
    <w:rsid w:val="002E0094"/>
    <w:rsid w:val="002E2A3B"/>
    <w:rsid w:val="002E329F"/>
    <w:rsid w:val="002E4489"/>
    <w:rsid w:val="002E4568"/>
    <w:rsid w:val="002E638D"/>
    <w:rsid w:val="002E7300"/>
    <w:rsid w:val="002E7A50"/>
    <w:rsid w:val="002F0106"/>
    <w:rsid w:val="002F6279"/>
    <w:rsid w:val="002F666A"/>
    <w:rsid w:val="003009F9"/>
    <w:rsid w:val="0030321A"/>
    <w:rsid w:val="00304FD5"/>
    <w:rsid w:val="00305400"/>
    <w:rsid w:val="00306951"/>
    <w:rsid w:val="00317168"/>
    <w:rsid w:val="00317895"/>
    <w:rsid w:val="0031793E"/>
    <w:rsid w:val="003203D8"/>
    <w:rsid w:val="00323864"/>
    <w:rsid w:val="0032394E"/>
    <w:rsid w:val="00325486"/>
    <w:rsid w:val="003264DE"/>
    <w:rsid w:val="00326B04"/>
    <w:rsid w:val="00330686"/>
    <w:rsid w:val="00330780"/>
    <w:rsid w:val="003340A4"/>
    <w:rsid w:val="00334F00"/>
    <w:rsid w:val="00337D1B"/>
    <w:rsid w:val="0034119C"/>
    <w:rsid w:val="003411FB"/>
    <w:rsid w:val="00344076"/>
    <w:rsid w:val="00345F22"/>
    <w:rsid w:val="003554D6"/>
    <w:rsid w:val="0035705C"/>
    <w:rsid w:val="00357831"/>
    <w:rsid w:val="00357A6B"/>
    <w:rsid w:val="003603F9"/>
    <w:rsid w:val="003621D2"/>
    <w:rsid w:val="00362C02"/>
    <w:rsid w:val="0036410B"/>
    <w:rsid w:val="003656C6"/>
    <w:rsid w:val="00370472"/>
    <w:rsid w:val="00373DFE"/>
    <w:rsid w:val="00374F70"/>
    <w:rsid w:val="00384BAB"/>
    <w:rsid w:val="0039202C"/>
    <w:rsid w:val="003958AA"/>
    <w:rsid w:val="003967FE"/>
    <w:rsid w:val="00396C4C"/>
    <w:rsid w:val="003A09A3"/>
    <w:rsid w:val="003A601B"/>
    <w:rsid w:val="003A6279"/>
    <w:rsid w:val="003A6CEE"/>
    <w:rsid w:val="003B0C1F"/>
    <w:rsid w:val="003B2214"/>
    <w:rsid w:val="003B335B"/>
    <w:rsid w:val="003B46F2"/>
    <w:rsid w:val="003B7405"/>
    <w:rsid w:val="003C21DE"/>
    <w:rsid w:val="003C5EB9"/>
    <w:rsid w:val="003C6F4B"/>
    <w:rsid w:val="003D0902"/>
    <w:rsid w:val="003D1CE4"/>
    <w:rsid w:val="003D3A40"/>
    <w:rsid w:val="003D47A5"/>
    <w:rsid w:val="003D6457"/>
    <w:rsid w:val="003D6C75"/>
    <w:rsid w:val="003E173F"/>
    <w:rsid w:val="003E1BA9"/>
    <w:rsid w:val="003E2613"/>
    <w:rsid w:val="003E5783"/>
    <w:rsid w:val="003E7472"/>
    <w:rsid w:val="003F0253"/>
    <w:rsid w:val="004009BD"/>
    <w:rsid w:val="004021B3"/>
    <w:rsid w:val="00403A8E"/>
    <w:rsid w:val="0040705D"/>
    <w:rsid w:val="004071A2"/>
    <w:rsid w:val="00410B8C"/>
    <w:rsid w:val="00412ED6"/>
    <w:rsid w:val="004142D5"/>
    <w:rsid w:val="00415B96"/>
    <w:rsid w:val="00420FD3"/>
    <w:rsid w:val="004261A8"/>
    <w:rsid w:val="004273D0"/>
    <w:rsid w:val="00427618"/>
    <w:rsid w:val="0042779F"/>
    <w:rsid w:val="004352A9"/>
    <w:rsid w:val="0043798B"/>
    <w:rsid w:val="00440349"/>
    <w:rsid w:val="004407DB"/>
    <w:rsid w:val="00440BFD"/>
    <w:rsid w:val="00441828"/>
    <w:rsid w:val="00442A0F"/>
    <w:rsid w:val="0044530C"/>
    <w:rsid w:val="0044624A"/>
    <w:rsid w:val="00453AF6"/>
    <w:rsid w:val="00453D17"/>
    <w:rsid w:val="00456136"/>
    <w:rsid w:val="0045745A"/>
    <w:rsid w:val="004609E0"/>
    <w:rsid w:val="00463040"/>
    <w:rsid w:val="00463B94"/>
    <w:rsid w:val="0046400A"/>
    <w:rsid w:val="00464085"/>
    <w:rsid w:val="004652D9"/>
    <w:rsid w:val="00465E99"/>
    <w:rsid w:val="00471638"/>
    <w:rsid w:val="0047371F"/>
    <w:rsid w:val="00475BE2"/>
    <w:rsid w:val="0047699F"/>
    <w:rsid w:val="00485330"/>
    <w:rsid w:val="00491FF9"/>
    <w:rsid w:val="00496150"/>
    <w:rsid w:val="004A1A9F"/>
    <w:rsid w:val="004A44A0"/>
    <w:rsid w:val="004A5C7E"/>
    <w:rsid w:val="004A6BE5"/>
    <w:rsid w:val="004A6E35"/>
    <w:rsid w:val="004A7426"/>
    <w:rsid w:val="004B2F2C"/>
    <w:rsid w:val="004B33CD"/>
    <w:rsid w:val="004C174C"/>
    <w:rsid w:val="004C2D89"/>
    <w:rsid w:val="004C49C6"/>
    <w:rsid w:val="004C6771"/>
    <w:rsid w:val="004C7364"/>
    <w:rsid w:val="004D4A72"/>
    <w:rsid w:val="004D603E"/>
    <w:rsid w:val="004E12B3"/>
    <w:rsid w:val="004E4EBD"/>
    <w:rsid w:val="004E4F94"/>
    <w:rsid w:val="004E6B1F"/>
    <w:rsid w:val="004E77FB"/>
    <w:rsid w:val="004F067C"/>
    <w:rsid w:val="004F1987"/>
    <w:rsid w:val="004F3FE9"/>
    <w:rsid w:val="004F5433"/>
    <w:rsid w:val="004F6559"/>
    <w:rsid w:val="00502367"/>
    <w:rsid w:val="00502D22"/>
    <w:rsid w:val="00512CDB"/>
    <w:rsid w:val="00514993"/>
    <w:rsid w:val="00517583"/>
    <w:rsid w:val="00517C87"/>
    <w:rsid w:val="00520E68"/>
    <w:rsid w:val="00522551"/>
    <w:rsid w:val="00526356"/>
    <w:rsid w:val="00527CEE"/>
    <w:rsid w:val="0053375A"/>
    <w:rsid w:val="0053380E"/>
    <w:rsid w:val="00534337"/>
    <w:rsid w:val="00534A44"/>
    <w:rsid w:val="0053581A"/>
    <w:rsid w:val="00535845"/>
    <w:rsid w:val="00537371"/>
    <w:rsid w:val="00541DEE"/>
    <w:rsid w:val="005427E3"/>
    <w:rsid w:val="0054345D"/>
    <w:rsid w:val="005438AB"/>
    <w:rsid w:val="00543991"/>
    <w:rsid w:val="0054733E"/>
    <w:rsid w:val="00551588"/>
    <w:rsid w:val="00552083"/>
    <w:rsid w:val="0055349C"/>
    <w:rsid w:val="0055550B"/>
    <w:rsid w:val="0055757A"/>
    <w:rsid w:val="00557A6D"/>
    <w:rsid w:val="00564975"/>
    <w:rsid w:val="00564CCB"/>
    <w:rsid w:val="00567317"/>
    <w:rsid w:val="005724B9"/>
    <w:rsid w:val="00574F4A"/>
    <w:rsid w:val="00577747"/>
    <w:rsid w:val="00577931"/>
    <w:rsid w:val="00577998"/>
    <w:rsid w:val="0058403A"/>
    <w:rsid w:val="0058775B"/>
    <w:rsid w:val="005921EF"/>
    <w:rsid w:val="00594302"/>
    <w:rsid w:val="00595BBC"/>
    <w:rsid w:val="005A0268"/>
    <w:rsid w:val="005A0954"/>
    <w:rsid w:val="005A2C1B"/>
    <w:rsid w:val="005A6284"/>
    <w:rsid w:val="005B3BF2"/>
    <w:rsid w:val="005B4578"/>
    <w:rsid w:val="005B61F0"/>
    <w:rsid w:val="005C4019"/>
    <w:rsid w:val="005C590A"/>
    <w:rsid w:val="005C624A"/>
    <w:rsid w:val="005C689A"/>
    <w:rsid w:val="005C6B00"/>
    <w:rsid w:val="005C75DE"/>
    <w:rsid w:val="005D07D9"/>
    <w:rsid w:val="005D3024"/>
    <w:rsid w:val="005D4388"/>
    <w:rsid w:val="005D7D14"/>
    <w:rsid w:val="005E241C"/>
    <w:rsid w:val="005E2E04"/>
    <w:rsid w:val="005E3EB6"/>
    <w:rsid w:val="005E3FEC"/>
    <w:rsid w:val="005E5549"/>
    <w:rsid w:val="005E7555"/>
    <w:rsid w:val="005F0731"/>
    <w:rsid w:val="005F282B"/>
    <w:rsid w:val="005F347F"/>
    <w:rsid w:val="005F3A5F"/>
    <w:rsid w:val="005F4AC0"/>
    <w:rsid w:val="00602B14"/>
    <w:rsid w:val="006053DD"/>
    <w:rsid w:val="00607E30"/>
    <w:rsid w:val="00610918"/>
    <w:rsid w:val="0061518F"/>
    <w:rsid w:val="006163F8"/>
    <w:rsid w:val="006231E1"/>
    <w:rsid w:val="00627360"/>
    <w:rsid w:val="00627D1A"/>
    <w:rsid w:val="00632E61"/>
    <w:rsid w:val="00633274"/>
    <w:rsid w:val="00633B0E"/>
    <w:rsid w:val="0063495E"/>
    <w:rsid w:val="00634C63"/>
    <w:rsid w:val="00641AC5"/>
    <w:rsid w:val="0064593C"/>
    <w:rsid w:val="00646773"/>
    <w:rsid w:val="006522E3"/>
    <w:rsid w:val="00654B6D"/>
    <w:rsid w:val="00656CFF"/>
    <w:rsid w:val="0065781E"/>
    <w:rsid w:val="006607EA"/>
    <w:rsid w:val="00665CA3"/>
    <w:rsid w:val="00670946"/>
    <w:rsid w:val="006711A8"/>
    <w:rsid w:val="00674139"/>
    <w:rsid w:val="00674AE4"/>
    <w:rsid w:val="00681432"/>
    <w:rsid w:val="00681624"/>
    <w:rsid w:val="006817EA"/>
    <w:rsid w:val="00681BC5"/>
    <w:rsid w:val="006836D5"/>
    <w:rsid w:val="006844B7"/>
    <w:rsid w:val="00685DC5"/>
    <w:rsid w:val="00686752"/>
    <w:rsid w:val="006872B6"/>
    <w:rsid w:val="00691836"/>
    <w:rsid w:val="0069357B"/>
    <w:rsid w:val="00697B7C"/>
    <w:rsid w:val="006A0481"/>
    <w:rsid w:val="006A0C4D"/>
    <w:rsid w:val="006A4CCE"/>
    <w:rsid w:val="006A66C9"/>
    <w:rsid w:val="006A6AA0"/>
    <w:rsid w:val="006B0073"/>
    <w:rsid w:val="006B4A52"/>
    <w:rsid w:val="006B7539"/>
    <w:rsid w:val="006C17CB"/>
    <w:rsid w:val="006C228F"/>
    <w:rsid w:val="006C2B8F"/>
    <w:rsid w:val="006C30AE"/>
    <w:rsid w:val="006C572D"/>
    <w:rsid w:val="006D1D44"/>
    <w:rsid w:val="006D2E40"/>
    <w:rsid w:val="006D6F6D"/>
    <w:rsid w:val="006E2487"/>
    <w:rsid w:val="006E4EE3"/>
    <w:rsid w:val="006E66EC"/>
    <w:rsid w:val="006F0389"/>
    <w:rsid w:val="006F2B7F"/>
    <w:rsid w:val="006F6D4C"/>
    <w:rsid w:val="006F785A"/>
    <w:rsid w:val="0070288B"/>
    <w:rsid w:val="00703C46"/>
    <w:rsid w:val="0070415B"/>
    <w:rsid w:val="00706846"/>
    <w:rsid w:val="0070748D"/>
    <w:rsid w:val="00711ACE"/>
    <w:rsid w:val="0071319A"/>
    <w:rsid w:val="00717A6D"/>
    <w:rsid w:val="0072122C"/>
    <w:rsid w:val="0072312A"/>
    <w:rsid w:val="0072447F"/>
    <w:rsid w:val="00724703"/>
    <w:rsid w:val="00731A7B"/>
    <w:rsid w:val="0073456B"/>
    <w:rsid w:val="00735E9D"/>
    <w:rsid w:val="00737435"/>
    <w:rsid w:val="00737C6B"/>
    <w:rsid w:val="00740149"/>
    <w:rsid w:val="00740C63"/>
    <w:rsid w:val="00741ABD"/>
    <w:rsid w:val="00741CF2"/>
    <w:rsid w:val="00745CB1"/>
    <w:rsid w:val="00746FC8"/>
    <w:rsid w:val="00750073"/>
    <w:rsid w:val="007516A7"/>
    <w:rsid w:val="007557BF"/>
    <w:rsid w:val="007570C1"/>
    <w:rsid w:val="007578BE"/>
    <w:rsid w:val="00761CDC"/>
    <w:rsid w:val="00762084"/>
    <w:rsid w:val="00765432"/>
    <w:rsid w:val="00766394"/>
    <w:rsid w:val="0077018F"/>
    <w:rsid w:val="0077110E"/>
    <w:rsid w:val="007711BB"/>
    <w:rsid w:val="007723DF"/>
    <w:rsid w:val="00783378"/>
    <w:rsid w:val="0078772E"/>
    <w:rsid w:val="00792F35"/>
    <w:rsid w:val="00793D07"/>
    <w:rsid w:val="00797AB4"/>
    <w:rsid w:val="00797DCB"/>
    <w:rsid w:val="007A00B5"/>
    <w:rsid w:val="007A07D8"/>
    <w:rsid w:val="007A0956"/>
    <w:rsid w:val="007A725C"/>
    <w:rsid w:val="007B2323"/>
    <w:rsid w:val="007B2F99"/>
    <w:rsid w:val="007B4DF4"/>
    <w:rsid w:val="007B6C58"/>
    <w:rsid w:val="007B6F54"/>
    <w:rsid w:val="007C6EA3"/>
    <w:rsid w:val="007C6EEA"/>
    <w:rsid w:val="007C75A0"/>
    <w:rsid w:val="007D00B8"/>
    <w:rsid w:val="007D0C3B"/>
    <w:rsid w:val="007D286A"/>
    <w:rsid w:val="007D3637"/>
    <w:rsid w:val="007E32AC"/>
    <w:rsid w:val="007E4139"/>
    <w:rsid w:val="007E5C2D"/>
    <w:rsid w:val="007F1602"/>
    <w:rsid w:val="007F2109"/>
    <w:rsid w:val="007F2355"/>
    <w:rsid w:val="007F5B21"/>
    <w:rsid w:val="007F646D"/>
    <w:rsid w:val="00816C4D"/>
    <w:rsid w:val="00823F78"/>
    <w:rsid w:val="00827CE1"/>
    <w:rsid w:val="0083080F"/>
    <w:rsid w:val="00832DE2"/>
    <w:rsid w:val="00832E88"/>
    <w:rsid w:val="00836FC8"/>
    <w:rsid w:val="00837791"/>
    <w:rsid w:val="008412BC"/>
    <w:rsid w:val="00841C0F"/>
    <w:rsid w:val="00842BE6"/>
    <w:rsid w:val="00842FB8"/>
    <w:rsid w:val="00844575"/>
    <w:rsid w:val="00844E72"/>
    <w:rsid w:val="008463BB"/>
    <w:rsid w:val="008468D4"/>
    <w:rsid w:val="008475F8"/>
    <w:rsid w:val="00855B1D"/>
    <w:rsid w:val="00855DA1"/>
    <w:rsid w:val="008577FB"/>
    <w:rsid w:val="0086088E"/>
    <w:rsid w:val="008627AA"/>
    <w:rsid w:val="00864DA0"/>
    <w:rsid w:val="008651ED"/>
    <w:rsid w:val="00866280"/>
    <w:rsid w:val="00873AD2"/>
    <w:rsid w:val="00874B8A"/>
    <w:rsid w:val="00875A59"/>
    <w:rsid w:val="008760AF"/>
    <w:rsid w:val="00877B39"/>
    <w:rsid w:val="0088734E"/>
    <w:rsid w:val="00890333"/>
    <w:rsid w:val="008904D2"/>
    <w:rsid w:val="008916AC"/>
    <w:rsid w:val="008918DC"/>
    <w:rsid w:val="008922B8"/>
    <w:rsid w:val="0089558E"/>
    <w:rsid w:val="00897F69"/>
    <w:rsid w:val="008A076D"/>
    <w:rsid w:val="008A0F8C"/>
    <w:rsid w:val="008A23F3"/>
    <w:rsid w:val="008A300D"/>
    <w:rsid w:val="008A3032"/>
    <w:rsid w:val="008A5176"/>
    <w:rsid w:val="008A640F"/>
    <w:rsid w:val="008B2373"/>
    <w:rsid w:val="008B23FD"/>
    <w:rsid w:val="008B3AF7"/>
    <w:rsid w:val="008B5BD2"/>
    <w:rsid w:val="008C233D"/>
    <w:rsid w:val="008C4483"/>
    <w:rsid w:val="008C46C1"/>
    <w:rsid w:val="008C5FE5"/>
    <w:rsid w:val="008D06EA"/>
    <w:rsid w:val="008D08C4"/>
    <w:rsid w:val="008D17A5"/>
    <w:rsid w:val="008D190D"/>
    <w:rsid w:val="008D2361"/>
    <w:rsid w:val="008D27AC"/>
    <w:rsid w:val="008D6E01"/>
    <w:rsid w:val="008E0D6B"/>
    <w:rsid w:val="008E0FA9"/>
    <w:rsid w:val="008E140C"/>
    <w:rsid w:val="008E35DF"/>
    <w:rsid w:val="008E732F"/>
    <w:rsid w:val="008F06A2"/>
    <w:rsid w:val="008F5142"/>
    <w:rsid w:val="008F5DC7"/>
    <w:rsid w:val="008F64E5"/>
    <w:rsid w:val="008F7887"/>
    <w:rsid w:val="008F7A18"/>
    <w:rsid w:val="00901A92"/>
    <w:rsid w:val="00902572"/>
    <w:rsid w:val="00902D31"/>
    <w:rsid w:val="00903275"/>
    <w:rsid w:val="009123FD"/>
    <w:rsid w:val="00913802"/>
    <w:rsid w:val="00913D77"/>
    <w:rsid w:val="00914B4A"/>
    <w:rsid w:val="009167A0"/>
    <w:rsid w:val="00916C4E"/>
    <w:rsid w:val="009200A2"/>
    <w:rsid w:val="00923E37"/>
    <w:rsid w:val="009329FB"/>
    <w:rsid w:val="00934E96"/>
    <w:rsid w:val="0094549B"/>
    <w:rsid w:val="00945F33"/>
    <w:rsid w:val="00947152"/>
    <w:rsid w:val="00951595"/>
    <w:rsid w:val="00952997"/>
    <w:rsid w:val="00957A2B"/>
    <w:rsid w:val="00960BC1"/>
    <w:rsid w:val="009612D7"/>
    <w:rsid w:val="009624EF"/>
    <w:rsid w:val="0096268B"/>
    <w:rsid w:val="00965429"/>
    <w:rsid w:val="0097149D"/>
    <w:rsid w:val="00971794"/>
    <w:rsid w:val="009740E5"/>
    <w:rsid w:val="009747A3"/>
    <w:rsid w:val="00975511"/>
    <w:rsid w:val="0098410F"/>
    <w:rsid w:val="00984FD2"/>
    <w:rsid w:val="009855BF"/>
    <w:rsid w:val="00987391"/>
    <w:rsid w:val="009932CA"/>
    <w:rsid w:val="0099486D"/>
    <w:rsid w:val="009A1132"/>
    <w:rsid w:val="009A29EE"/>
    <w:rsid w:val="009A56C7"/>
    <w:rsid w:val="009A7654"/>
    <w:rsid w:val="009B1BDE"/>
    <w:rsid w:val="009B56CA"/>
    <w:rsid w:val="009C02DA"/>
    <w:rsid w:val="009C21B0"/>
    <w:rsid w:val="009D1685"/>
    <w:rsid w:val="009D1DE5"/>
    <w:rsid w:val="009D3E59"/>
    <w:rsid w:val="009E078C"/>
    <w:rsid w:val="009E1274"/>
    <w:rsid w:val="009E1AC6"/>
    <w:rsid w:val="009E3B35"/>
    <w:rsid w:val="009E4DA8"/>
    <w:rsid w:val="009E63EA"/>
    <w:rsid w:val="009E6861"/>
    <w:rsid w:val="009F050F"/>
    <w:rsid w:val="009F0A49"/>
    <w:rsid w:val="009F1035"/>
    <w:rsid w:val="009F1ED1"/>
    <w:rsid w:val="009F2BF2"/>
    <w:rsid w:val="009F384B"/>
    <w:rsid w:val="009F3978"/>
    <w:rsid w:val="009F51BF"/>
    <w:rsid w:val="009F7F1F"/>
    <w:rsid w:val="00A02832"/>
    <w:rsid w:val="00A03D28"/>
    <w:rsid w:val="00A116E2"/>
    <w:rsid w:val="00A154A2"/>
    <w:rsid w:val="00A15617"/>
    <w:rsid w:val="00A15EDB"/>
    <w:rsid w:val="00A16F2B"/>
    <w:rsid w:val="00A178BF"/>
    <w:rsid w:val="00A2080E"/>
    <w:rsid w:val="00A24AAD"/>
    <w:rsid w:val="00A274E2"/>
    <w:rsid w:val="00A31E9B"/>
    <w:rsid w:val="00A327E7"/>
    <w:rsid w:val="00A333DC"/>
    <w:rsid w:val="00A35A4B"/>
    <w:rsid w:val="00A361E8"/>
    <w:rsid w:val="00A37395"/>
    <w:rsid w:val="00A41B51"/>
    <w:rsid w:val="00A41C64"/>
    <w:rsid w:val="00A42EB5"/>
    <w:rsid w:val="00A43CF9"/>
    <w:rsid w:val="00A463AA"/>
    <w:rsid w:val="00A5389E"/>
    <w:rsid w:val="00A53D31"/>
    <w:rsid w:val="00A5438B"/>
    <w:rsid w:val="00A5493F"/>
    <w:rsid w:val="00A57A94"/>
    <w:rsid w:val="00A61C50"/>
    <w:rsid w:val="00A66C5B"/>
    <w:rsid w:val="00A7010C"/>
    <w:rsid w:val="00A70ED3"/>
    <w:rsid w:val="00A713E7"/>
    <w:rsid w:val="00A732DC"/>
    <w:rsid w:val="00A73918"/>
    <w:rsid w:val="00A73F8A"/>
    <w:rsid w:val="00A74CDF"/>
    <w:rsid w:val="00A76032"/>
    <w:rsid w:val="00A77063"/>
    <w:rsid w:val="00A8099D"/>
    <w:rsid w:val="00A81D62"/>
    <w:rsid w:val="00A824B0"/>
    <w:rsid w:val="00A84922"/>
    <w:rsid w:val="00A90AE8"/>
    <w:rsid w:val="00A971BB"/>
    <w:rsid w:val="00AA2281"/>
    <w:rsid w:val="00AA47A3"/>
    <w:rsid w:val="00AA6F44"/>
    <w:rsid w:val="00AA7550"/>
    <w:rsid w:val="00AB03CC"/>
    <w:rsid w:val="00AB0C72"/>
    <w:rsid w:val="00AB4934"/>
    <w:rsid w:val="00AB4A9E"/>
    <w:rsid w:val="00AB7088"/>
    <w:rsid w:val="00AC2AA2"/>
    <w:rsid w:val="00AD24D5"/>
    <w:rsid w:val="00AD2FE1"/>
    <w:rsid w:val="00AD3EA1"/>
    <w:rsid w:val="00AD54E0"/>
    <w:rsid w:val="00AE00D6"/>
    <w:rsid w:val="00AE0C58"/>
    <w:rsid w:val="00AE4C49"/>
    <w:rsid w:val="00AE6525"/>
    <w:rsid w:val="00AE7240"/>
    <w:rsid w:val="00AF64B8"/>
    <w:rsid w:val="00AF694B"/>
    <w:rsid w:val="00AF700D"/>
    <w:rsid w:val="00B00632"/>
    <w:rsid w:val="00B0550C"/>
    <w:rsid w:val="00B073A2"/>
    <w:rsid w:val="00B10E17"/>
    <w:rsid w:val="00B14A18"/>
    <w:rsid w:val="00B14C29"/>
    <w:rsid w:val="00B16544"/>
    <w:rsid w:val="00B16746"/>
    <w:rsid w:val="00B170E8"/>
    <w:rsid w:val="00B1783D"/>
    <w:rsid w:val="00B17DFA"/>
    <w:rsid w:val="00B21DA6"/>
    <w:rsid w:val="00B303B5"/>
    <w:rsid w:val="00B3467A"/>
    <w:rsid w:val="00B3769E"/>
    <w:rsid w:val="00B37F40"/>
    <w:rsid w:val="00B4441E"/>
    <w:rsid w:val="00B47948"/>
    <w:rsid w:val="00B508EC"/>
    <w:rsid w:val="00B51007"/>
    <w:rsid w:val="00B53070"/>
    <w:rsid w:val="00B61A6C"/>
    <w:rsid w:val="00B623F0"/>
    <w:rsid w:val="00B63531"/>
    <w:rsid w:val="00B6608F"/>
    <w:rsid w:val="00B7008A"/>
    <w:rsid w:val="00B71307"/>
    <w:rsid w:val="00B717B3"/>
    <w:rsid w:val="00B771BA"/>
    <w:rsid w:val="00B83032"/>
    <w:rsid w:val="00B836FC"/>
    <w:rsid w:val="00B84FDA"/>
    <w:rsid w:val="00B859B6"/>
    <w:rsid w:val="00B90FFD"/>
    <w:rsid w:val="00B94D03"/>
    <w:rsid w:val="00B95DFA"/>
    <w:rsid w:val="00B96966"/>
    <w:rsid w:val="00BA0256"/>
    <w:rsid w:val="00BB1CCD"/>
    <w:rsid w:val="00BB26D3"/>
    <w:rsid w:val="00BC38BC"/>
    <w:rsid w:val="00BC4BEB"/>
    <w:rsid w:val="00BC586A"/>
    <w:rsid w:val="00BC7170"/>
    <w:rsid w:val="00BE2946"/>
    <w:rsid w:val="00BE29A3"/>
    <w:rsid w:val="00BE332B"/>
    <w:rsid w:val="00BE4B19"/>
    <w:rsid w:val="00BF091C"/>
    <w:rsid w:val="00BF2955"/>
    <w:rsid w:val="00BF684F"/>
    <w:rsid w:val="00C009E0"/>
    <w:rsid w:val="00C01B5D"/>
    <w:rsid w:val="00C01BE9"/>
    <w:rsid w:val="00C027CB"/>
    <w:rsid w:val="00C13146"/>
    <w:rsid w:val="00C13B0D"/>
    <w:rsid w:val="00C1482E"/>
    <w:rsid w:val="00C24245"/>
    <w:rsid w:val="00C258E4"/>
    <w:rsid w:val="00C34BE4"/>
    <w:rsid w:val="00C36928"/>
    <w:rsid w:val="00C37CBA"/>
    <w:rsid w:val="00C4721F"/>
    <w:rsid w:val="00C50A8A"/>
    <w:rsid w:val="00C546A7"/>
    <w:rsid w:val="00C5515A"/>
    <w:rsid w:val="00C563D2"/>
    <w:rsid w:val="00C603A0"/>
    <w:rsid w:val="00C621FF"/>
    <w:rsid w:val="00C62C28"/>
    <w:rsid w:val="00C7100E"/>
    <w:rsid w:val="00C7152E"/>
    <w:rsid w:val="00C72F0B"/>
    <w:rsid w:val="00C8415B"/>
    <w:rsid w:val="00C85DCA"/>
    <w:rsid w:val="00C85E52"/>
    <w:rsid w:val="00C8657C"/>
    <w:rsid w:val="00C874C6"/>
    <w:rsid w:val="00C9060E"/>
    <w:rsid w:val="00C91787"/>
    <w:rsid w:val="00C91B84"/>
    <w:rsid w:val="00C92CFA"/>
    <w:rsid w:val="00C94C47"/>
    <w:rsid w:val="00C9619D"/>
    <w:rsid w:val="00C96371"/>
    <w:rsid w:val="00C97590"/>
    <w:rsid w:val="00C97E32"/>
    <w:rsid w:val="00CA0BAE"/>
    <w:rsid w:val="00CA2FDC"/>
    <w:rsid w:val="00CA3BBA"/>
    <w:rsid w:val="00CA502B"/>
    <w:rsid w:val="00CA68D5"/>
    <w:rsid w:val="00CB1C9B"/>
    <w:rsid w:val="00CB1CF2"/>
    <w:rsid w:val="00CB209C"/>
    <w:rsid w:val="00CB318C"/>
    <w:rsid w:val="00CB6995"/>
    <w:rsid w:val="00CC0602"/>
    <w:rsid w:val="00CC39A6"/>
    <w:rsid w:val="00CC4C35"/>
    <w:rsid w:val="00CC53EF"/>
    <w:rsid w:val="00CC610E"/>
    <w:rsid w:val="00CC71C5"/>
    <w:rsid w:val="00CD6850"/>
    <w:rsid w:val="00CE015E"/>
    <w:rsid w:val="00CE0594"/>
    <w:rsid w:val="00CE06BF"/>
    <w:rsid w:val="00CE0D2C"/>
    <w:rsid w:val="00CF3B2E"/>
    <w:rsid w:val="00CF5AEC"/>
    <w:rsid w:val="00CF6193"/>
    <w:rsid w:val="00D001A3"/>
    <w:rsid w:val="00D02A88"/>
    <w:rsid w:val="00D0358B"/>
    <w:rsid w:val="00D04785"/>
    <w:rsid w:val="00D12C7E"/>
    <w:rsid w:val="00D136A7"/>
    <w:rsid w:val="00D16E4A"/>
    <w:rsid w:val="00D23160"/>
    <w:rsid w:val="00D32C7D"/>
    <w:rsid w:val="00D34569"/>
    <w:rsid w:val="00D34588"/>
    <w:rsid w:val="00D3478E"/>
    <w:rsid w:val="00D34D1C"/>
    <w:rsid w:val="00D36C73"/>
    <w:rsid w:val="00D42FD2"/>
    <w:rsid w:val="00D5123D"/>
    <w:rsid w:val="00D5301A"/>
    <w:rsid w:val="00D53C5C"/>
    <w:rsid w:val="00D54C2F"/>
    <w:rsid w:val="00D60AAD"/>
    <w:rsid w:val="00D64953"/>
    <w:rsid w:val="00D67172"/>
    <w:rsid w:val="00D72499"/>
    <w:rsid w:val="00D727AE"/>
    <w:rsid w:val="00D754D7"/>
    <w:rsid w:val="00D7599F"/>
    <w:rsid w:val="00D87572"/>
    <w:rsid w:val="00D87585"/>
    <w:rsid w:val="00D95410"/>
    <w:rsid w:val="00D965DA"/>
    <w:rsid w:val="00D969D7"/>
    <w:rsid w:val="00DA0A97"/>
    <w:rsid w:val="00DA3306"/>
    <w:rsid w:val="00DA341B"/>
    <w:rsid w:val="00DA64F0"/>
    <w:rsid w:val="00DB3001"/>
    <w:rsid w:val="00DB4A71"/>
    <w:rsid w:val="00DB4FFE"/>
    <w:rsid w:val="00DC02C5"/>
    <w:rsid w:val="00DC2625"/>
    <w:rsid w:val="00DC4962"/>
    <w:rsid w:val="00DD124C"/>
    <w:rsid w:val="00DD14B9"/>
    <w:rsid w:val="00DD2A9A"/>
    <w:rsid w:val="00DD3E19"/>
    <w:rsid w:val="00DE0508"/>
    <w:rsid w:val="00DE0A0C"/>
    <w:rsid w:val="00DE17D3"/>
    <w:rsid w:val="00DE19FA"/>
    <w:rsid w:val="00DE3CE9"/>
    <w:rsid w:val="00DE3FA0"/>
    <w:rsid w:val="00DE4C7A"/>
    <w:rsid w:val="00DE65A1"/>
    <w:rsid w:val="00DE671C"/>
    <w:rsid w:val="00DF056B"/>
    <w:rsid w:val="00DF06A9"/>
    <w:rsid w:val="00DF1A6E"/>
    <w:rsid w:val="00DF4FC4"/>
    <w:rsid w:val="00DF6036"/>
    <w:rsid w:val="00DF641F"/>
    <w:rsid w:val="00DF6BC3"/>
    <w:rsid w:val="00E00380"/>
    <w:rsid w:val="00E01296"/>
    <w:rsid w:val="00E1026B"/>
    <w:rsid w:val="00E17B53"/>
    <w:rsid w:val="00E20183"/>
    <w:rsid w:val="00E21F6A"/>
    <w:rsid w:val="00E24368"/>
    <w:rsid w:val="00E30B22"/>
    <w:rsid w:val="00E32980"/>
    <w:rsid w:val="00E3798A"/>
    <w:rsid w:val="00E42835"/>
    <w:rsid w:val="00E4388F"/>
    <w:rsid w:val="00E46007"/>
    <w:rsid w:val="00E460F3"/>
    <w:rsid w:val="00E46D10"/>
    <w:rsid w:val="00E471A7"/>
    <w:rsid w:val="00E47822"/>
    <w:rsid w:val="00E50177"/>
    <w:rsid w:val="00E5025E"/>
    <w:rsid w:val="00E5027B"/>
    <w:rsid w:val="00E5626A"/>
    <w:rsid w:val="00E57B9F"/>
    <w:rsid w:val="00E65A56"/>
    <w:rsid w:val="00E733F4"/>
    <w:rsid w:val="00E772E5"/>
    <w:rsid w:val="00E82585"/>
    <w:rsid w:val="00E82F3A"/>
    <w:rsid w:val="00E85BB7"/>
    <w:rsid w:val="00E8621C"/>
    <w:rsid w:val="00E87674"/>
    <w:rsid w:val="00E90E7F"/>
    <w:rsid w:val="00E94F66"/>
    <w:rsid w:val="00E957D6"/>
    <w:rsid w:val="00EA097B"/>
    <w:rsid w:val="00EA0ABD"/>
    <w:rsid w:val="00EA4096"/>
    <w:rsid w:val="00EA46E7"/>
    <w:rsid w:val="00EA6075"/>
    <w:rsid w:val="00EB1636"/>
    <w:rsid w:val="00EB3C2A"/>
    <w:rsid w:val="00EB4DB4"/>
    <w:rsid w:val="00EB7AE5"/>
    <w:rsid w:val="00EC46CF"/>
    <w:rsid w:val="00EC4A4A"/>
    <w:rsid w:val="00ED2676"/>
    <w:rsid w:val="00ED271E"/>
    <w:rsid w:val="00ED5E3E"/>
    <w:rsid w:val="00ED650C"/>
    <w:rsid w:val="00EE6353"/>
    <w:rsid w:val="00EF1962"/>
    <w:rsid w:val="00EF226B"/>
    <w:rsid w:val="00EF442A"/>
    <w:rsid w:val="00F007E0"/>
    <w:rsid w:val="00F00937"/>
    <w:rsid w:val="00F01347"/>
    <w:rsid w:val="00F04031"/>
    <w:rsid w:val="00F0429A"/>
    <w:rsid w:val="00F049B3"/>
    <w:rsid w:val="00F05104"/>
    <w:rsid w:val="00F06E41"/>
    <w:rsid w:val="00F139A0"/>
    <w:rsid w:val="00F159A4"/>
    <w:rsid w:val="00F16510"/>
    <w:rsid w:val="00F167DD"/>
    <w:rsid w:val="00F174A4"/>
    <w:rsid w:val="00F202F9"/>
    <w:rsid w:val="00F21CED"/>
    <w:rsid w:val="00F21F8F"/>
    <w:rsid w:val="00F22399"/>
    <w:rsid w:val="00F223CD"/>
    <w:rsid w:val="00F2280D"/>
    <w:rsid w:val="00F25F0C"/>
    <w:rsid w:val="00F27DDA"/>
    <w:rsid w:val="00F30304"/>
    <w:rsid w:val="00F315C9"/>
    <w:rsid w:val="00F31F2D"/>
    <w:rsid w:val="00F3764C"/>
    <w:rsid w:val="00F422A4"/>
    <w:rsid w:val="00F429F7"/>
    <w:rsid w:val="00F42E31"/>
    <w:rsid w:val="00F43FD0"/>
    <w:rsid w:val="00F4512D"/>
    <w:rsid w:val="00F46690"/>
    <w:rsid w:val="00F512E2"/>
    <w:rsid w:val="00F51E5E"/>
    <w:rsid w:val="00F53B4D"/>
    <w:rsid w:val="00F53D80"/>
    <w:rsid w:val="00F5558C"/>
    <w:rsid w:val="00F57A79"/>
    <w:rsid w:val="00F64B32"/>
    <w:rsid w:val="00F65583"/>
    <w:rsid w:val="00F70763"/>
    <w:rsid w:val="00F70B77"/>
    <w:rsid w:val="00F70C4B"/>
    <w:rsid w:val="00F72BA4"/>
    <w:rsid w:val="00F74672"/>
    <w:rsid w:val="00F76B05"/>
    <w:rsid w:val="00F77786"/>
    <w:rsid w:val="00F808C0"/>
    <w:rsid w:val="00F81BAD"/>
    <w:rsid w:val="00F82E3B"/>
    <w:rsid w:val="00F83712"/>
    <w:rsid w:val="00F84AC0"/>
    <w:rsid w:val="00F859B1"/>
    <w:rsid w:val="00F85CA3"/>
    <w:rsid w:val="00F91110"/>
    <w:rsid w:val="00F95C77"/>
    <w:rsid w:val="00FA318D"/>
    <w:rsid w:val="00FA672D"/>
    <w:rsid w:val="00FA6875"/>
    <w:rsid w:val="00FB2AB3"/>
    <w:rsid w:val="00FB4EB7"/>
    <w:rsid w:val="00FC03A2"/>
    <w:rsid w:val="00FC3DB4"/>
    <w:rsid w:val="00FC3E3F"/>
    <w:rsid w:val="00FC48A8"/>
    <w:rsid w:val="00FC516A"/>
    <w:rsid w:val="00FC5DD1"/>
    <w:rsid w:val="00FD05AB"/>
    <w:rsid w:val="00FD0D2C"/>
    <w:rsid w:val="00FD44E8"/>
    <w:rsid w:val="00FD6042"/>
    <w:rsid w:val="00FD7138"/>
    <w:rsid w:val="00FD7200"/>
    <w:rsid w:val="00FE21E4"/>
    <w:rsid w:val="00FE2B24"/>
    <w:rsid w:val="00FE2DF3"/>
    <w:rsid w:val="00FE4489"/>
    <w:rsid w:val="00FE5515"/>
    <w:rsid w:val="00FE5F30"/>
    <w:rsid w:val="00FE6ABD"/>
    <w:rsid w:val="00FF00C8"/>
    <w:rsid w:val="00FF4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F4BB9C4"/>
  <w15:chartTrackingRefBased/>
  <w15:docId w15:val="{AEE3E509-10DD-4951-A693-92E3189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5DA"/>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uiPriority w:val="99"/>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A74CDF"/>
    <w:pPr>
      <w:snapToGrid w:val="0"/>
      <w:spacing w:after="101" w:line="216" w:lineRule="exact"/>
      <w:ind w:firstLine="288"/>
      <w:jc w:val="both"/>
    </w:pPr>
    <w:rPr>
      <w:rFonts w:ascii="Arial" w:hAnsi="Arial" w:cs="Arial"/>
      <w:sz w:val="18"/>
      <w:szCs w:val="18"/>
      <w:lang w:val="es-MX"/>
    </w:rPr>
  </w:style>
  <w:style w:type="character" w:customStyle="1" w:styleId="Heading1Char">
    <w:name w:val="Heading 1 Char"/>
    <w:link w:val="Heading1"/>
    <w:rsid w:val="00A74CDF"/>
    <w:rPr>
      <w:rFonts w:cs="CG Palacio (WN)"/>
      <w:b/>
      <w:sz w:val="18"/>
      <w:szCs w:val="24"/>
      <w:lang w:val="es-ES" w:eastAsia="es-ES"/>
    </w:rPr>
  </w:style>
  <w:style w:type="character" w:customStyle="1" w:styleId="Heading2Char">
    <w:name w:val="Heading 2 Char"/>
    <w:link w:val="Heading2"/>
    <w:rsid w:val="00A74CDF"/>
    <w:rPr>
      <w:rFonts w:ascii="Arial" w:hAnsi="Arial" w:cs="Helv"/>
      <w:sz w:val="18"/>
      <w:lang w:val="es-ES_tradnl"/>
    </w:rPr>
  </w:style>
  <w:style w:type="character" w:customStyle="1" w:styleId="HeaderChar">
    <w:name w:val="Header Char"/>
    <w:link w:val="Header"/>
    <w:uiPriority w:val="99"/>
    <w:rsid w:val="00A74CDF"/>
    <w:rPr>
      <w:sz w:val="24"/>
      <w:szCs w:val="24"/>
      <w:lang w:val="es-ES" w:eastAsia="es-ES"/>
    </w:rPr>
  </w:style>
  <w:style w:type="character" w:customStyle="1" w:styleId="FooterChar">
    <w:name w:val="Footer Char"/>
    <w:link w:val="Footer"/>
    <w:uiPriority w:val="99"/>
    <w:rsid w:val="00A74CDF"/>
    <w:rPr>
      <w:sz w:val="24"/>
      <w:szCs w:val="24"/>
      <w:lang w:val="es-ES" w:eastAsia="es-ES"/>
    </w:rPr>
  </w:style>
  <w:style w:type="paragraph" w:styleId="CommentText">
    <w:name w:val="annotation text"/>
    <w:basedOn w:val="Normal"/>
    <w:link w:val="CommentTextChar"/>
    <w:rsid w:val="00A74CDF"/>
    <w:pPr>
      <w:spacing w:after="200"/>
    </w:pPr>
    <w:rPr>
      <w:rFonts w:ascii="CaAibri" w:hAnsi="CaAibri" w:cs="CaAibri"/>
      <w:sz w:val="20"/>
      <w:szCs w:val="20"/>
      <w:lang w:val="es-MX" w:eastAsia="es-MX"/>
    </w:rPr>
  </w:style>
  <w:style w:type="character" w:customStyle="1" w:styleId="CommentTextChar">
    <w:name w:val="Comment Text Char"/>
    <w:link w:val="CommentText"/>
    <w:rsid w:val="00A74CDF"/>
    <w:rPr>
      <w:rFonts w:ascii="CaAibri" w:hAnsi="CaAibri" w:cs="CaAibri"/>
    </w:rPr>
  </w:style>
  <w:style w:type="paragraph" w:customStyle="1" w:styleId="Prrafodelista">
    <w:name w:val="Párrafo de lista"/>
    <w:basedOn w:val="Normal"/>
    <w:qFormat/>
    <w:rsid w:val="00A74CDF"/>
    <w:pPr>
      <w:spacing w:after="200" w:line="276" w:lineRule="atLeast"/>
      <w:ind w:left="720"/>
    </w:pPr>
    <w:rPr>
      <w:rFonts w:ascii="CaAibri" w:hAnsi="CaAibri" w:cs="CaAibri"/>
      <w:sz w:val="22"/>
      <w:szCs w:val="20"/>
      <w:lang w:val="es-MX" w:eastAsia="es-MX"/>
    </w:rPr>
  </w:style>
  <w:style w:type="paragraph" w:customStyle="1" w:styleId="Asuntodelcomentario1">
    <w:name w:val="Asunto del comentario1"/>
    <w:basedOn w:val="CommentText"/>
    <w:next w:val="CommentText"/>
    <w:rsid w:val="00A74CDF"/>
    <w:rPr>
      <w:b/>
    </w:rPr>
  </w:style>
  <w:style w:type="paragraph" w:customStyle="1" w:styleId="Textodeglobo1">
    <w:name w:val="Texto de globo1"/>
    <w:basedOn w:val="Normal"/>
    <w:rsid w:val="00A74CDF"/>
    <w:rPr>
      <w:rFonts w:ascii="TaAoma" w:hAnsi="TaAoma" w:cs="TaAoma"/>
      <w:sz w:val="16"/>
      <w:szCs w:val="20"/>
      <w:lang w:val="es-MX" w:eastAsia="es-MX"/>
    </w:rPr>
  </w:style>
  <w:style w:type="paragraph" w:customStyle="1" w:styleId="HTMLconformatoprevio1">
    <w:name w:val="HTML con formato previo1"/>
    <w:basedOn w:val="Normal"/>
    <w:rsid w:val="00A74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Arier New" w:hAnsi="CoArier New" w:cs="CoArier New"/>
      <w:sz w:val="20"/>
      <w:szCs w:val="20"/>
      <w:lang w:val="es-MX" w:eastAsia="es-MX"/>
    </w:rPr>
  </w:style>
  <w:style w:type="paragraph" w:customStyle="1" w:styleId="Default">
    <w:name w:val="Default"/>
    <w:rsid w:val="00A74CDF"/>
    <w:rPr>
      <w:rFonts w:ascii="CaAibri" w:hAnsi="CaAibri" w:cs="CaAibri"/>
      <w:color w:val="000000"/>
      <w:sz w:val="24"/>
      <w:lang w:val="es-MX" w:eastAsia="es-MX"/>
    </w:rPr>
  </w:style>
  <w:style w:type="paragraph" w:customStyle="1" w:styleId="Sinespaciado">
    <w:name w:val="Sin espaciado"/>
    <w:qFormat/>
    <w:rsid w:val="00A74CDF"/>
    <w:rPr>
      <w:rFonts w:ascii="CaAibri" w:hAnsi="CaAibri" w:cs="CaAibri"/>
      <w:sz w:val="22"/>
      <w:lang w:val="es-MX" w:eastAsia="es-MX"/>
    </w:rPr>
  </w:style>
  <w:style w:type="paragraph" w:customStyle="1" w:styleId="Sangra3detindependiente1">
    <w:name w:val="Sangría 3 de t. independiente1"/>
    <w:basedOn w:val="Normal"/>
    <w:rsid w:val="00A74CDF"/>
    <w:pPr>
      <w:spacing w:after="120"/>
      <w:ind w:left="283"/>
    </w:pPr>
    <w:rPr>
      <w:rFonts w:ascii="ArAal" w:hAnsi="ArAal" w:cs="ArAal"/>
      <w:sz w:val="16"/>
      <w:szCs w:val="20"/>
      <w:lang w:eastAsia="es-MX"/>
    </w:rPr>
  </w:style>
  <w:style w:type="paragraph" w:customStyle="1" w:styleId="Textoindependiente21">
    <w:name w:val="Texto independiente 21"/>
    <w:basedOn w:val="Normal"/>
    <w:rsid w:val="00A74CDF"/>
    <w:pPr>
      <w:spacing w:after="120" w:line="276" w:lineRule="atLeast"/>
      <w:ind w:left="283"/>
    </w:pPr>
    <w:rPr>
      <w:rFonts w:ascii="CaAibri" w:hAnsi="CaAibri" w:cs="CaAibri"/>
      <w:sz w:val="22"/>
      <w:szCs w:val="20"/>
      <w:lang w:val="es-MX" w:eastAsia="es-MX"/>
    </w:rPr>
  </w:style>
  <w:style w:type="paragraph" w:customStyle="1" w:styleId="Metodos">
    <w:name w:val="Metodos"/>
    <w:basedOn w:val="Normal"/>
    <w:rsid w:val="00A74CDF"/>
    <w:rPr>
      <w:rFonts w:ascii="TiAes New Roman" w:hAnsi="TiAes New Roman" w:cs="TiAes New Roman"/>
      <w:sz w:val="22"/>
      <w:szCs w:val="20"/>
      <w:lang w:val="es-ES_tradnl" w:eastAsia="es-MX"/>
    </w:rPr>
  </w:style>
  <w:style w:type="paragraph" w:customStyle="1" w:styleId="Revisin">
    <w:name w:val="Revisión"/>
    <w:rsid w:val="00A74CDF"/>
    <w:rPr>
      <w:rFonts w:ascii="CaAibri" w:hAnsi="CaAibri" w:cs="CaAibri"/>
      <w:sz w:val="22"/>
      <w:lang w:val="es-MX" w:eastAsia="es-MX"/>
    </w:rPr>
  </w:style>
  <w:style w:type="paragraph" w:styleId="BalloonText">
    <w:name w:val="Balloon Text"/>
    <w:basedOn w:val="Normal"/>
    <w:link w:val="BalloonTextChar"/>
    <w:rsid w:val="00A74CDF"/>
    <w:rPr>
      <w:rFonts w:ascii="Segoe UI" w:hAnsi="Segoe UI" w:cs="Segoe UI"/>
      <w:sz w:val="18"/>
      <w:szCs w:val="18"/>
      <w:lang w:val="es-MX"/>
    </w:rPr>
  </w:style>
  <w:style w:type="character" w:customStyle="1" w:styleId="BalloonTextChar">
    <w:name w:val="Balloon Text Char"/>
    <w:link w:val="BalloonText"/>
    <w:rsid w:val="00A74CDF"/>
    <w:rPr>
      <w:rFonts w:ascii="Segoe UI" w:hAnsi="Segoe UI" w:cs="Segoe UI"/>
      <w:sz w:val="18"/>
      <w:szCs w:val="18"/>
      <w:lang w:eastAsia="es-ES"/>
    </w:rPr>
  </w:style>
  <w:style w:type="character" w:customStyle="1" w:styleId="highlighted2">
    <w:name w:val="highlighted2"/>
    <w:rsid w:val="00A74CDF"/>
    <w:rPr>
      <w:shd w:val="clear" w:color="auto" w:fill="AAAAAA"/>
    </w:rPr>
  </w:style>
  <w:style w:type="paragraph" w:customStyle="1" w:styleId="Sumario">
    <w:name w:val="Sumario"/>
    <w:basedOn w:val="Normal"/>
    <w:rsid w:val="00A74CDF"/>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A74CDF"/>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39"/>
    <w:rsid w:val="00A7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A74CDF"/>
    <w:rPr>
      <w:sz w:val="16"/>
      <w:szCs w:val="16"/>
    </w:rPr>
  </w:style>
  <w:style w:type="paragraph" w:styleId="CommentSubject">
    <w:name w:val="annotation subject"/>
    <w:basedOn w:val="CommentText"/>
    <w:next w:val="CommentText"/>
    <w:link w:val="CommentSubjectChar"/>
    <w:semiHidden/>
    <w:unhideWhenUsed/>
    <w:rsid w:val="00A74CDF"/>
    <w:pPr>
      <w:spacing w:after="0"/>
    </w:pPr>
    <w:rPr>
      <w:rFonts w:ascii="Times New Roman" w:hAnsi="Times New Roman" w:cs="Times New Roman"/>
      <w:b/>
      <w:bCs/>
      <w:lang w:eastAsia="es-ES"/>
    </w:rPr>
  </w:style>
  <w:style w:type="character" w:customStyle="1" w:styleId="CommentSubjectChar">
    <w:name w:val="Comment Subject Char"/>
    <w:link w:val="CommentSubject"/>
    <w:semiHidden/>
    <w:rsid w:val="00A74CDF"/>
    <w:rPr>
      <w:rFonts w:ascii="CaAibri" w:hAnsi="CaAibri" w:cs="CaAibri"/>
      <w:b/>
      <w:bCs/>
      <w:lang w:eastAsia="es-ES"/>
    </w:rPr>
  </w:style>
  <w:style w:type="character" w:styleId="Hyperlink">
    <w:name w:val="Hyperlink"/>
    <w:uiPriority w:val="99"/>
    <w:unhideWhenUsed/>
    <w:rsid w:val="00A74CDF"/>
    <w:rPr>
      <w:color w:val="0563C1"/>
      <w:u w:val="single"/>
    </w:rPr>
  </w:style>
  <w:style w:type="character" w:styleId="UnresolvedMention">
    <w:name w:val="Unresolved Mention"/>
    <w:basedOn w:val="DefaultParagraphFont"/>
    <w:uiPriority w:val="99"/>
    <w:semiHidden/>
    <w:unhideWhenUsed/>
    <w:rsid w:val="00B34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58192">
      <w:bodyDiv w:val="1"/>
      <w:marLeft w:val="0"/>
      <w:marRight w:val="0"/>
      <w:marTop w:val="0"/>
      <w:marBottom w:val="0"/>
      <w:divBdr>
        <w:top w:val="none" w:sz="0" w:space="0" w:color="auto"/>
        <w:left w:val="none" w:sz="0" w:space="0" w:color="auto"/>
        <w:bottom w:val="none" w:sz="0" w:space="0" w:color="auto"/>
        <w:right w:val="none" w:sz="0" w:space="0" w:color="auto"/>
      </w:divBdr>
    </w:div>
    <w:div w:id="45840215">
      <w:bodyDiv w:val="1"/>
      <w:marLeft w:val="0"/>
      <w:marRight w:val="0"/>
      <w:marTop w:val="0"/>
      <w:marBottom w:val="0"/>
      <w:divBdr>
        <w:top w:val="none" w:sz="0" w:space="0" w:color="auto"/>
        <w:left w:val="none" w:sz="0" w:space="0" w:color="auto"/>
        <w:bottom w:val="none" w:sz="0" w:space="0" w:color="auto"/>
        <w:right w:val="none" w:sz="0" w:space="0" w:color="auto"/>
      </w:divBdr>
    </w:div>
    <w:div w:id="117454975">
      <w:bodyDiv w:val="1"/>
      <w:marLeft w:val="0"/>
      <w:marRight w:val="0"/>
      <w:marTop w:val="0"/>
      <w:marBottom w:val="0"/>
      <w:divBdr>
        <w:top w:val="none" w:sz="0" w:space="0" w:color="auto"/>
        <w:left w:val="none" w:sz="0" w:space="0" w:color="auto"/>
        <w:bottom w:val="none" w:sz="0" w:space="0" w:color="auto"/>
        <w:right w:val="none" w:sz="0" w:space="0" w:color="auto"/>
      </w:divBdr>
    </w:div>
    <w:div w:id="121460091">
      <w:bodyDiv w:val="1"/>
      <w:marLeft w:val="0"/>
      <w:marRight w:val="0"/>
      <w:marTop w:val="0"/>
      <w:marBottom w:val="0"/>
      <w:divBdr>
        <w:top w:val="none" w:sz="0" w:space="0" w:color="auto"/>
        <w:left w:val="none" w:sz="0" w:space="0" w:color="auto"/>
        <w:bottom w:val="none" w:sz="0" w:space="0" w:color="auto"/>
        <w:right w:val="none" w:sz="0" w:space="0" w:color="auto"/>
      </w:divBdr>
    </w:div>
    <w:div w:id="148641503">
      <w:bodyDiv w:val="1"/>
      <w:marLeft w:val="0"/>
      <w:marRight w:val="0"/>
      <w:marTop w:val="0"/>
      <w:marBottom w:val="0"/>
      <w:divBdr>
        <w:top w:val="none" w:sz="0" w:space="0" w:color="auto"/>
        <w:left w:val="none" w:sz="0" w:space="0" w:color="auto"/>
        <w:bottom w:val="none" w:sz="0" w:space="0" w:color="auto"/>
        <w:right w:val="none" w:sz="0" w:space="0" w:color="auto"/>
      </w:divBdr>
    </w:div>
    <w:div w:id="161899770">
      <w:bodyDiv w:val="1"/>
      <w:marLeft w:val="0"/>
      <w:marRight w:val="0"/>
      <w:marTop w:val="0"/>
      <w:marBottom w:val="0"/>
      <w:divBdr>
        <w:top w:val="none" w:sz="0" w:space="0" w:color="auto"/>
        <w:left w:val="none" w:sz="0" w:space="0" w:color="auto"/>
        <w:bottom w:val="none" w:sz="0" w:space="0" w:color="auto"/>
        <w:right w:val="none" w:sz="0" w:space="0" w:color="auto"/>
      </w:divBdr>
    </w:div>
    <w:div w:id="236136382">
      <w:bodyDiv w:val="1"/>
      <w:marLeft w:val="0"/>
      <w:marRight w:val="0"/>
      <w:marTop w:val="0"/>
      <w:marBottom w:val="0"/>
      <w:divBdr>
        <w:top w:val="none" w:sz="0" w:space="0" w:color="auto"/>
        <w:left w:val="none" w:sz="0" w:space="0" w:color="auto"/>
        <w:bottom w:val="none" w:sz="0" w:space="0" w:color="auto"/>
        <w:right w:val="none" w:sz="0" w:space="0" w:color="auto"/>
      </w:divBdr>
    </w:div>
    <w:div w:id="240675810">
      <w:bodyDiv w:val="1"/>
      <w:marLeft w:val="0"/>
      <w:marRight w:val="0"/>
      <w:marTop w:val="0"/>
      <w:marBottom w:val="0"/>
      <w:divBdr>
        <w:top w:val="none" w:sz="0" w:space="0" w:color="auto"/>
        <w:left w:val="none" w:sz="0" w:space="0" w:color="auto"/>
        <w:bottom w:val="none" w:sz="0" w:space="0" w:color="auto"/>
        <w:right w:val="none" w:sz="0" w:space="0" w:color="auto"/>
      </w:divBdr>
    </w:div>
    <w:div w:id="257562459">
      <w:bodyDiv w:val="1"/>
      <w:marLeft w:val="0"/>
      <w:marRight w:val="0"/>
      <w:marTop w:val="0"/>
      <w:marBottom w:val="0"/>
      <w:divBdr>
        <w:top w:val="none" w:sz="0" w:space="0" w:color="auto"/>
        <w:left w:val="none" w:sz="0" w:space="0" w:color="auto"/>
        <w:bottom w:val="none" w:sz="0" w:space="0" w:color="auto"/>
        <w:right w:val="none" w:sz="0" w:space="0" w:color="auto"/>
      </w:divBdr>
    </w:div>
    <w:div w:id="282927157">
      <w:bodyDiv w:val="1"/>
      <w:marLeft w:val="0"/>
      <w:marRight w:val="0"/>
      <w:marTop w:val="0"/>
      <w:marBottom w:val="0"/>
      <w:divBdr>
        <w:top w:val="none" w:sz="0" w:space="0" w:color="auto"/>
        <w:left w:val="none" w:sz="0" w:space="0" w:color="auto"/>
        <w:bottom w:val="none" w:sz="0" w:space="0" w:color="auto"/>
        <w:right w:val="none" w:sz="0" w:space="0" w:color="auto"/>
      </w:divBdr>
    </w:div>
    <w:div w:id="323164150">
      <w:bodyDiv w:val="1"/>
      <w:marLeft w:val="0"/>
      <w:marRight w:val="0"/>
      <w:marTop w:val="0"/>
      <w:marBottom w:val="0"/>
      <w:divBdr>
        <w:top w:val="none" w:sz="0" w:space="0" w:color="auto"/>
        <w:left w:val="none" w:sz="0" w:space="0" w:color="auto"/>
        <w:bottom w:val="none" w:sz="0" w:space="0" w:color="auto"/>
        <w:right w:val="none" w:sz="0" w:space="0" w:color="auto"/>
      </w:divBdr>
    </w:div>
    <w:div w:id="417097216">
      <w:bodyDiv w:val="1"/>
      <w:marLeft w:val="0"/>
      <w:marRight w:val="0"/>
      <w:marTop w:val="0"/>
      <w:marBottom w:val="0"/>
      <w:divBdr>
        <w:top w:val="none" w:sz="0" w:space="0" w:color="auto"/>
        <w:left w:val="none" w:sz="0" w:space="0" w:color="auto"/>
        <w:bottom w:val="none" w:sz="0" w:space="0" w:color="auto"/>
        <w:right w:val="none" w:sz="0" w:space="0" w:color="auto"/>
      </w:divBdr>
    </w:div>
    <w:div w:id="426082174">
      <w:bodyDiv w:val="1"/>
      <w:marLeft w:val="0"/>
      <w:marRight w:val="0"/>
      <w:marTop w:val="0"/>
      <w:marBottom w:val="0"/>
      <w:divBdr>
        <w:top w:val="none" w:sz="0" w:space="0" w:color="auto"/>
        <w:left w:val="none" w:sz="0" w:space="0" w:color="auto"/>
        <w:bottom w:val="none" w:sz="0" w:space="0" w:color="auto"/>
        <w:right w:val="none" w:sz="0" w:space="0" w:color="auto"/>
      </w:divBdr>
    </w:div>
    <w:div w:id="435557939">
      <w:bodyDiv w:val="1"/>
      <w:marLeft w:val="0"/>
      <w:marRight w:val="0"/>
      <w:marTop w:val="0"/>
      <w:marBottom w:val="0"/>
      <w:divBdr>
        <w:top w:val="none" w:sz="0" w:space="0" w:color="auto"/>
        <w:left w:val="none" w:sz="0" w:space="0" w:color="auto"/>
        <w:bottom w:val="none" w:sz="0" w:space="0" w:color="auto"/>
        <w:right w:val="none" w:sz="0" w:space="0" w:color="auto"/>
      </w:divBdr>
    </w:div>
    <w:div w:id="447823822">
      <w:bodyDiv w:val="1"/>
      <w:marLeft w:val="0"/>
      <w:marRight w:val="0"/>
      <w:marTop w:val="0"/>
      <w:marBottom w:val="0"/>
      <w:divBdr>
        <w:top w:val="none" w:sz="0" w:space="0" w:color="auto"/>
        <w:left w:val="none" w:sz="0" w:space="0" w:color="auto"/>
        <w:bottom w:val="none" w:sz="0" w:space="0" w:color="auto"/>
        <w:right w:val="none" w:sz="0" w:space="0" w:color="auto"/>
      </w:divBdr>
    </w:div>
    <w:div w:id="465123135">
      <w:bodyDiv w:val="1"/>
      <w:marLeft w:val="0"/>
      <w:marRight w:val="0"/>
      <w:marTop w:val="0"/>
      <w:marBottom w:val="0"/>
      <w:divBdr>
        <w:top w:val="none" w:sz="0" w:space="0" w:color="auto"/>
        <w:left w:val="none" w:sz="0" w:space="0" w:color="auto"/>
        <w:bottom w:val="none" w:sz="0" w:space="0" w:color="auto"/>
        <w:right w:val="none" w:sz="0" w:space="0" w:color="auto"/>
      </w:divBdr>
    </w:div>
    <w:div w:id="508253473">
      <w:bodyDiv w:val="1"/>
      <w:marLeft w:val="0"/>
      <w:marRight w:val="0"/>
      <w:marTop w:val="0"/>
      <w:marBottom w:val="0"/>
      <w:divBdr>
        <w:top w:val="none" w:sz="0" w:space="0" w:color="auto"/>
        <w:left w:val="none" w:sz="0" w:space="0" w:color="auto"/>
        <w:bottom w:val="none" w:sz="0" w:space="0" w:color="auto"/>
        <w:right w:val="none" w:sz="0" w:space="0" w:color="auto"/>
      </w:divBdr>
    </w:div>
    <w:div w:id="558051111">
      <w:bodyDiv w:val="1"/>
      <w:marLeft w:val="0"/>
      <w:marRight w:val="0"/>
      <w:marTop w:val="0"/>
      <w:marBottom w:val="0"/>
      <w:divBdr>
        <w:top w:val="none" w:sz="0" w:space="0" w:color="auto"/>
        <w:left w:val="none" w:sz="0" w:space="0" w:color="auto"/>
        <w:bottom w:val="none" w:sz="0" w:space="0" w:color="auto"/>
        <w:right w:val="none" w:sz="0" w:space="0" w:color="auto"/>
      </w:divBdr>
    </w:div>
    <w:div w:id="584143865">
      <w:bodyDiv w:val="1"/>
      <w:marLeft w:val="0"/>
      <w:marRight w:val="0"/>
      <w:marTop w:val="0"/>
      <w:marBottom w:val="0"/>
      <w:divBdr>
        <w:top w:val="none" w:sz="0" w:space="0" w:color="auto"/>
        <w:left w:val="none" w:sz="0" w:space="0" w:color="auto"/>
        <w:bottom w:val="none" w:sz="0" w:space="0" w:color="auto"/>
        <w:right w:val="none" w:sz="0" w:space="0" w:color="auto"/>
      </w:divBdr>
    </w:div>
    <w:div w:id="585268902">
      <w:bodyDiv w:val="1"/>
      <w:marLeft w:val="0"/>
      <w:marRight w:val="0"/>
      <w:marTop w:val="0"/>
      <w:marBottom w:val="0"/>
      <w:divBdr>
        <w:top w:val="none" w:sz="0" w:space="0" w:color="auto"/>
        <w:left w:val="none" w:sz="0" w:space="0" w:color="auto"/>
        <w:bottom w:val="none" w:sz="0" w:space="0" w:color="auto"/>
        <w:right w:val="none" w:sz="0" w:space="0" w:color="auto"/>
      </w:divBdr>
    </w:div>
    <w:div w:id="618102720">
      <w:bodyDiv w:val="1"/>
      <w:marLeft w:val="0"/>
      <w:marRight w:val="0"/>
      <w:marTop w:val="0"/>
      <w:marBottom w:val="0"/>
      <w:divBdr>
        <w:top w:val="none" w:sz="0" w:space="0" w:color="auto"/>
        <w:left w:val="none" w:sz="0" w:space="0" w:color="auto"/>
        <w:bottom w:val="none" w:sz="0" w:space="0" w:color="auto"/>
        <w:right w:val="none" w:sz="0" w:space="0" w:color="auto"/>
      </w:divBdr>
    </w:div>
    <w:div w:id="623846236">
      <w:bodyDiv w:val="1"/>
      <w:marLeft w:val="0"/>
      <w:marRight w:val="0"/>
      <w:marTop w:val="0"/>
      <w:marBottom w:val="0"/>
      <w:divBdr>
        <w:top w:val="none" w:sz="0" w:space="0" w:color="auto"/>
        <w:left w:val="none" w:sz="0" w:space="0" w:color="auto"/>
        <w:bottom w:val="none" w:sz="0" w:space="0" w:color="auto"/>
        <w:right w:val="none" w:sz="0" w:space="0" w:color="auto"/>
      </w:divBdr>
    </w:div>
    <w:div w:id="643587915">
      <w:bodyDiv w:val="1"/>
      <w:marLeft w:val="0"/>
      <w:marRight w:val="0"/>
      <w:marTop w:val="0"/>
      <w:marBottom w:val="0"/>
      <w:divBdr>
        <w:top w:val="none" w:sz="0" w:space="0" w:color="auto"/>
        <w:left w:val="none" w:sz="0" w:space="0" w:color="auto"/>
        <w:bottom w:val="none" w:sz="0" w:space="0" w:color="auto"/>
        <w:right w:val="none" w:sz="0" w:space="0" w:color="auto"/>
      </w:divBdr>
    </w:div>
    <w:div w:id="648094896">
      <w:bodyDiv w:val="1"/>
      <w:marLeft w:val="0"/>
      <w:marRight w:val="0"/>
      <w:marTop w:val="0"/>
      <w:marBottom w:val="0"/>
      <w:divBdr>
        <w:top w:val="none" w:sz="0" w:space="0" w:color="auto"/>
        <w:left w:val="none" w:sz="0" w:space="0" w:color="auto"/>
        <w:bottom w:val="none" w:sz="0" w:space="0" w:color="auto"/>
        <w:right w:val="none" w:sz="0" w:space="0" w:color="auto"/>
      </w:divBdr>
    </w:div>
    <w:div w:id="663363091">
      <w:bodyDiv w:val="1"/>
      <w:marLeft w:val="0"/>
      <w:marRight w:val="0"/>
      <w:marTop w:val="0"/>
      <w:marBottom w:val="0"/>
      <w:divBdr>
        <w:top w:val="none" w:sz="0" w:space="0" w:color="auto"/>
        <w:left w:val="none" w:sz="0" w:space="0" w:color="auto"/>
        <w:bottom w:val="none" w:sz="0" w:space="0" w:color="auto"/>
        <w:right w:val="none" w:sz="0" w:space="0" w:color="auto"/>
      </w:divBdr>
    </w:div>
    <w:div w:id="665016770">
      <w:bodyDiv w:val="1"/>
      <w:marLeft w:val="0"/>
      <w:marRight w:val="0"/>
      <w:marTop w:val="0"/>
      <w:marBottom w:val="0"/>
      <w:divBdr>
        <w:top w:val="none" w:sz="0" w:space="0" w:color="auto"/>
        <w:left w:val="none" w:sz="0" w:space="0" w:color="auto"/>
        <w:bottom w:val="none" w:sz="0" w:space="0" w:color="auto"/>
        <w:right w:val="none" w:sz="0" w:space="0" w:color="auto"/>
      </w:divBdr>
    </w:div>
    <w:div w:id="705832898">
      <w:bodyDiv w:val="1"/>
      <w:marLeft w:val="0"/>
      <w:marRight w:val="0"/>
      <w:marTop w:val="0"/>
      <w:marBottom w:val="0"/>
      <w:divBdr>
        <w:top w:val="none" w:sz="0" w:space="0" w:color="auto"/>
        <w:left w:val="none" w:sz="0" w:space="0" w:color="auto"/>
        <w:bottom w:val="none" w:sz="0" w:space="0" w:color="auto"/>
        <w:right w:val="none" w:sz="0" w:space="0" w:color="auto"/>
      </w:divBdr>
    </w:div>
    <w:div w:id="754548546">
      <w:bodyDiv w:val="1"/>
      <w:marLeft w:val="0"/>
      <w:marRight w:val="0"/>
      <w:marTop w:val="0"/>
      <w:marBottom w:val="0"/>
      <w:divBdr>
        <w:top w:val="none" w:sz="0" w:space="0" w:color="auto"/>
        <w:left w:val="none" w:sz="0" w:space="0" w:color="auto"/>
        <w:bottom w:val="none" w:sz="0" w:space="0" w:color="auto"/>
        <w:right w:val="none" w:sz="0" w:space="0" w:color="auto"/>
      </w:divBdr>
    </w:div>
    <w:div w:id="800001643">
      <w:bodyDiv w:val="1"/>
      <w:marLeft w:val="0"/>
      <w:marRight w:val="0"/>
      <w:marTop w:val="0"/>
      <w:marBottom w:val="0"/>
      <w:divBdr>
        <w:top w:val="none" w:sz="0" w:space="0" w:color="auto"/>
        <w:left w:val="none" w:sz="0" w:space="0" w:color="auto"/>
        <w:bottom w:val="none" w:sz="0" w:space="0" w:color="auto"/>
        <w:right w:val="none" w:sz="0" w:space="0" w:color="auto"/>
      </w:divBdr>
    </w:div>
    <w:div w:id="808979758">
      <w:bodyDiv w:val="1"/>
      <w:marLeft w:val="0"/>
      <w:marRight w:val="0"/>
      <w:marTop w:val="0"/>
      <w:marBottom w:val="0"/>
      <w:divBdr>
        <w:top w:val="none" w:sz="0" w:space="0" w:color="auto"/>
        <w:left w:val="none" w:sz="0" w:space="0" w:color="auto"/>
        <w:bottom w:val="none" w:sz="0" w:space="0" w:color="auto"/>
        <w:right w:val="none" w:sz="0" w:space="0" w:color="auto"/>
      </w:divBdr>
    </w:div>
    <w:div w:id="884021208">
      <w:bodyDiv w:val="1"/>
      <w:marLeft w:val="0"/>
      <w:marRight w:val="0"/>
      <w:marTop w:val="0"/>
      <w:marBottom w:val="0"/>
      <w:divBdr>
        <w:top w:val="none" w:sz="0" w:space="0" w:color="auto"/>
        <w:left w:val="none" w:sz="0" w:space="0" w:color="auto"/>
        <w:bottom w:val="none" w:sz="0" w:space="0" w:color="auto"/>
        <w:right w:val="none" w:sz="0" w:space="0" w:color="auto"/>
      </w:divBdr>
    </w:div>
    <w:div w:id="909191709">
      <w:bodyDiv w:val="1"/>
      <w:marLeft w:val="0"/>
      <w:marRight w:val="0"/>
      <w:marTop w:val="0"/>
      <w:marBottom w:val="0"/>
      <w:divBdr>
        <w:top w:val="none" w:sz="0" w:space="0" w:color="auto"/>
        <w:left w:val="none" w:sz="0" w:space="0" w:color="auto"/>
        <w:bottom w:val="none" w:sz="0" w:space="0" w:color="auto"/>
        <w:right w:val="none" w:sz="0" w:space="0" w:color="auto"/>
      </w:divBdr>
    </w:div>
    <w:div w:id="946624517">
      <w:bodyDiv w:val="1"/>
      <w:marLeft w:val="0"/>
      <w:marRight w:val="0"/>
      <w:marTop w:val="0"/>
      <w:marBottom w:val="0"/>
      <w:divBdr>
        <w:top w:val="none" w:sz="0" w:space="0" w:color="auto"/>
        <w:left w:val="none" w:sz="0" w:space="0" w:color="auto"/>
        <w:bottom w:val="none" w:sz="0" w:space="0" w:color="auto"/>
        <w:right w:val="none" w:sz="0" w:space="0" w:color="auto"/>
      </w:divBdr>
    </w:div>
    <w:div w:id="995260345">
      <w:bodyDiv w:val="1"/>
      <w:marLeft w:val="0"/>
      <w:marRight w:val="0"/>
      <w:marTop w:val="0"/>
      <w:marBottom w:val="0"/>
      <w:divBdr>
        <w:top w:val="none" w:sz="0" w:space="0" w:color="auto"/>
        <w:left w:val="none" w:sz="0" w:space="0" w:color="auto"/>
        <w:bottom w:val="none" w:sz="0" w:space="0" w:color="auto"/>
        <w:right w:val="none" w:sz="0" w:space="0" w:color="auto"/>
      </w:divBdr>
    </w:div>
    <w:div w:id="997153529">
      <w:bodyDiv w:val="1"/>
      <w:marLeft w:val="0"/>
      <w:marRight w:val="0"/>
      <w:marTop w:val="0"/>
      <w:marBottom w:val="0"/>
      <w:divBdr>
        <w:top w:val="none" w:sz="0" w:space="0" w:color="auto"/>
        <w:left w:val="none" w:sz="0" w:space="0" w:color="auto"/>
        <w:bottom w:val="none" w:sz="0" w:space="0" w:color="auto"/>
        <w:right w:val="none" w:sz="0" w:space="0" w:color="auto"/>
      </w:divBdr>
    </w:div>
    <w:div w:id="1015351069">
      <w:bodyDiv w:val="1"/>
      <w:marLeft w:val="0"/>
      <w:marRight w:val="0"/>
      <w:marTop w:val="0"/>
      <w:marBottom w:val="0"/>
      <w:divBdr>
        <w:top w:val="none" w:sz="0" w:space="0" w:color="auto"/>
        <w:left w:val="none" w:sz="0" w:space="0" w:color="auto"/>
        <w:bottom w:val="none" w:sz="0" w:space="0" w:color="auto"/>
        <w:right w:val="none" w:sz="0" w:space="0" w:color="auto"/>
      </w:divBdr>
    </w:div>
    <w:div w:id="1037001082">
      <w:bodyDiv w:val="1"/>
      <w:marLeft w:val="0"/>
      <w:marRight w:val="0"/>
      <w:marTop w:val="0"/>
      <w:marBottom w:val="0"/>
      <w:divBdr>
        <w:top w:val="none" w:sz="0" w:space="0" w:color="auto"/>
        <w:left w:val="none" w:sz="0" w:space="0" w:color="auto"/>
        <w:bottom w:val="none" w:sz="0" w:space="0" w:color="auto"/>
        <w:right w:val="none" w:sz="0" w:space="0" w:color="auto"/>
      </w:divBdr>
    </w:div>
    <w:div w:id="1059285919">
      <w:bodyDiv w:val="1"/>
      <w:marLeft w:val="0"/>
      <w:marRight w:val="0"/>
      <w:marTop w:val="0"/>
      <w:marBottom w:val="0"/>
      <w:divBdr>
        <w:top w:val="none" w:sz="0" w:space="0" w:color="auto"/>
        <w:left w:val="none" w:sz="0" w:space="0" w:color="auto"/>
        <w:bottom w:val="none" w:sz="0" w:space="0" w:color="auto"/>
        <w:right w:val="none" w:sz="0" w:space="0" w:color="auto"/>
      </w:divBdr>
    </w:div>
    <w:div w:id="1089085316">
      <w:bodyDiv w:val="1"/>
      <w:marLeft w:val="0"/>
      <w:marRight w:val="0"/>
      <w:marTop w:val="0"/>
      <w:marBottom w:val="0"/>
      <w:divBdr>
        <w:top w:val="none" w:sz="0" w:space="0" w:color="auto"/>
        <w:left w:val="none" w:sz="0" w:space="0" w:color="auto"/>
        <w:bottom w:val="none" w:sz="0" w:space="0" w:color="auto"/>
        <w:right w:val="none" w:sz="0" w:space="0" w:color="auto"/>
      </w:divBdr>
    </w:div>
    <w:div w:id="1119255625">
      <w:bodyDiv w:val="1"/>
      <w:marLeft w:val="0"/>
      <w:marRight w:val="0"/>
      <w:marTop w:val="0"/>
      <w:marBottom w:val="0"/>
      <w:divBdr>
        <w:top w:val="none" w:sz="0" w:space="0" w:color="auto"/>
        <w:left w:val="none" w:sz="0" w:space="0" w:color="auto"/>
        <w:bottom w:val="none" w:sz="0" w:space="0" w:color="auto"/>
        <w:right w:val="none" w:sz="0" w:space="0" w:color="auto"/>
      </w:divBdr>
    </w:div>
    <w:div w:id="1124034793">
      <w:bodyDiv w:val="1"/>
      <w:marLeft w:val="0"/>
      <w:marRight w:val="0"/>
      <w:marTop w:val="0"/>
      <w:marBottom w:val="0"/>
      <w:divBdr>
        <w:top w:val="none" w:sz="0" w:space="0" w:color="auto"/>
        <w:left w:val="none" w:sz="0" w:space="0" w:color="auto"/>
        <w:bottom w:val="none" w:sz="0" w:space="0" w:color="auto"/>
        <w:right w:val="none" w:sz="0" w:space="0" w:color="auto"/>
      </w:divBdr>
    </w:div>
    <w:div w:id="1151487730">
      <w:bodyDiv w:val="1"/>
      <w:marLeft w:val="0"/>
      <w:marRight w:val="0"/>
      <w:marTop w:val="0"/>
      <w:marBottom w:val="0"/>
      <w:divBdr>
        <w:top w:val="none" w:sz="0" w:space="0" w:color="auto"/>
        <w:left w:val="none" w:sz="0" w:space="0" w:color="auto"/>
        <w:bottom w:val="none" w:sz="0" w:space="0" w:color="auto"/>
        <w:right w:val="none" w:sz="0" w:space="0" w:color="auto"/>
      </w:divBdr>
    </w:div>
    <w:div w:id="1171917226">
      <w:bodyDiv w:val="1"/>
      <w:marLeft w:val="0"/>
      <w:marRight w:val="0"/>
      <w:marTop w:val="0"/>
      <w:marBottom w:val="0"/>
      <w:divBdr>
        <w:top w:val="none" w:sz="0" w:space="0" w:color="auto"/>
        <w:left w:val="none" w:sz="0" w:space="0" w:color="auto"/>
        <w:bottom w:val="none" w:sz="0" w:space="0" w:color="auto"/>
        <w:right w:val="none" w:sz="0" w:space="0" w:color="auto"/>
      </w:divBdr>
    </w:div>
    <w:div w:id="1271401949">
      <w:bodyDiv w:val="1"/>
      <w:marLeft w:val="0"/>
      <w:marRight w:val="0"/>
      <w:marTop w:val="0"/>
      <w:marBottom w:val="0"/>
      <w:divBdr>
        <w:top w:val="none" w:sz="0" w:space="0" w:color="auto"/>
        <w:left w:val="none" w:sz="0" w:space="0" w:color="auto"/>
        <w:bottom w:val="none" w:sz="0" w:space="0" w:color="auto"/>
        <w:right w:val="none" w:sz="0" w:space="0" w:color="auto"/>
      </w:divBdr>
    </w:div>
    <w:div w:id="1298216164">
      <w:bodyDiv w:val="1"/>
      <w:marLeft w:val="0"/>
      <w:marRight w:val="0"/>
      <w:marTop w:val="0"/>
      <w:marBottom w:val="0"/>
      <w:divBdr>
        <w:top w:val="none" w:sz="0" w:space="0" w:color="auto"/>
        <w:left w:val="none" w:sz="0" w:space="0" w:color="auto"/>
        <w:bottom w:val="none" w:sz="0" w:space="0" w:color="auto"/>
        <w:right w:val="none" w:sz="0" w:space="0" w:color="auto"/>
      </w:divBdr>
    </w:div>
    <w:div w:id="1383215444">
      <w:bodyDiv w:val="1"/>
      <w:marLeft w:val="0"/>
      <w:marRight w:val="0"/>
      <w:marTop w:val="0"/>
      <w:marBottom w:val="0"/>
      <w:divBdr>
        <w:top w:val="none" w:sz="0" w:space="0" w:color="auto"/>
        <w:left w:val="none" w:sz="0" w:space="0" w:color="auto"/>
        <w:bottom w:val="none" w:sz="0" w:space="0" w:color="auto"/>
        <w:right w:val="none" w:sz="0" w:space="0" w:color="auto"/>
      </w:divBdr>
    </w:div>
    <w:div w:id="1384596734">
      <w:bodyDiv w:val="1"/>
      <w:marLeft w:val="0"/>
      <w:marRight w:val="0"/>
      <w:marTop w:val="0"/>
      <w:marBottom w:val="0"/>
      <w:divBdr>
        <w:top w:val="none" w:sz="0" w:space="0" w:color="auto"/>
        <w:left w:val="none" w:sz="0" w:space="0" w:color="auto"/>
        <w:bottom w:val="none" w:sz="0" w:space="0" w:color="auto"/>
        <w:right w:val="none" w:sz="0" w:space="0" w:color="auto"/>
      </w:divBdr>
    </w:div>
    <w:div w:id="1385300329">
      <w:bodyDiv w:val="1"/>
      <w:marLeft w:val="0"/>
      <w:marRight w:val="0"/>
      <w:marTop w:val="0"/>
      <w:marBottom w:val="0"/>
      <w:divBdr>
        <w:top w:val="none" w:sz="0" w:space="0" w:color="auto"/>
        <w:left w:val="none" w:sz="0" w:space="0" w:color="auto"/>
        <w:bottom w:val="none" w:sz="0" w:space="0" w:color="auto"/>
        <w:right w:val="none" w:sz="0" w:space="0" w:color="auto"/>
      </w:divBdr>
    </w:div>
    <w:div w:id="1385517718">
      <w:bodyDiv w:val="1"/>
      <w:marLeft w:val="0"/>
      <w:marRight w:val="0"/>
      <w:marTop w:val="0"/>
      <w:marBottom w:val="0"/>
      <w:divBdr>
        <w:top w:val="none" w:sz="0" w:space="0" w:color="auto"/>
        <w:left w:val="none" w:sz="0" w:space="0" w:color="auto"/>
        <w:bottom w:val="none" w:sz="0" w:space="0" w:color="auto"/>
        <w:right w:val="none" w:sz="0" w:space="0" w:color="auto"/>
      </w:divBdr>
    </w:div>
    <w:div w:id="1386492214">
      <w:bodyDiv w:val="1"/>
      <w:marLeft w:val="0"/>
      <w:marRight w:val="0"/>
      <w:marTop w:val="0"/>
      <w:marBottom w:val="0"/>
      <w:divBdr>
        <w:top w:val="none" w:sz="0" w:space="0" w:color="auto"/>
        <w:left w:val="none" w:sz="0" w:space="0" w:color="auto"/>
        <w:bottom w:val="none" w:sz="0" w:space="0" w:color="auto"/>
        <w:right w:val="none" w:sz="0" w:space="0" w:color="auto"/>
      </w:divBdr>
    </w:div>
    <w:div w:id="1404333916">
      <w:bodyDiv w:val="1"/>
      <w:marLeft w:val="0"/>
      <w:marRight w:val="0"/>
      <w:marTop w:val="0"/>
      <w:marBottom w:val="0"/>
      <w:divBdr>
        <w:top w:val="none" w:sz="0" w:space="0" w:color="auto"/>
        <w:left w:val="none" w:sz="0" w:space="0" w:color="auto"/>
        <w:bottom w:val="none" w:sz="0" w:space="0" w:color="auto"/>
        <w:right w:val="none" w:sz="0" w:space="0" w:color="auto"/>
      </w:divBdr>
    </w:div>
    <w:div w:id="1421098374">
      <w:bodyDiv w:val="1"/>
      <w:marLeft w:val="0"/>
      <w:marRight w:val="0"/>
      <w:marTop w:val="0"/>
      <w:marBottom w:val="0"/>
      <w:divBdr>
        <w:top w:val="none" w:sz="0" w:space="0" w:color="auto"/>
        <w:left w:val="none" w:sz="0" w:space="0" w:color="auto"/>
        <w:bottom w:val="none" w:sz="0" w:space="0" w:color="auto"/>
        <w:right w:val="none" w:sz="0" w:space="0" w:color="auto"/>
      </w:divBdr>
    </w:div>
    <w:div w:id="1463881461">
      <w:bodyDiv w:val="1"/>
      <w:marLeft w:val="0"/>
      <w:marRight w:val="0"/>
      <w:marTop w:val="0"/>
      <w:marBottom w:val="0"/>
      <w:divBdr>
        <w:top w:val="none" w:sz="0" w:space="0" w:color="auto"/>
        <w:left w:val="none" w:sz="0" w:space="0" w:color="auto"/>
        <w:bottom w:val="none" w:sz="0" w:space="0" w:color="auto"/>
        <w:right w:val="none" w:sz="0" w:space="0" w:color="auto"/>
      </w:divBdr>
    </w:div>
    <w:div w:id="1518228701">
      <w:bodyDiv w:val="1"/>
      <w:marLeft w:val="0"/>
      <w:marRight w:val="0"/>
      <w:marTop w:val="0"/>
      <w:marBottom w:val="0"/>
      <w:divBdr>
        <w:top w:val="none" w:sz="0" w:space="0" w:color="auto"/>
        <w:left w:val="none" w:sz="0" w:space="0" w:color="auto"/>
        <w:bottom w:val="none" w:sz="0" w:space="0" w:color="auto"/>
        <w:right w:val="none" w:sz="0" w:space="0" w:color="auto"/>
      </w:divBdr>
    </w:div>
    <w:div w:id="1570579954">
      <w:bodyDiv w:val="1"/>
      <w:marLeft w:val="0"/>
      <w:marRight w:val="0"/>
      <w:marTop w:val="0"/>
      <w:marBottom w:val="0"/>
      <w:divBdr>
        <w:top w:val="none" w:sz="0" w:space="0" w:color="auto"/>
        <w:left w:val="none" w:sz="0" w:space="0" w:color="auto"/>
        <w:bottom w:val="none" w:sz="0" w:space="0" w:color="auto"/>
        <w:right w:val="none" w:sz="0" w:space="0" w:color="auto"/>
      </w:divBdr>
    </w:div>
    <w:div w:id="1587349880">
      <w:bodyDiv w:val="1"/>
      <w:marLeft w:val="0"/>
      <w:marRight w:val="0"/>
      <w:marTop w:val="0"/>
      <w:marBottom w:val="0"/>
      <w:divBdr>
        <w:top w:val="none" w:sz="0" w:space="0" w:color="auto"/>
        <w:left w:val="none" w:sz="0" w:space="0" w:color="auto"/>
        <w:bottom w:val="none" w:sz="0" w:space="0" w:color="auto"/>
        <w:right w:val="none" w:sz="0" w:space="0" w:color="auto"/>
      </w:divBdr>
    </w:div>
    <w:div w:id="1588659918">
      <w:bodyDiv w:val="1"/>
      <w:marLeft w:val="0"/>
      <w:marRight w:val="0"/>
      <w:marTop w:val="0"/>
      <w:marBottom w:val="0"/>
      <w:divBdr>
        <w:top w:val="none" w:sz="0" w:space="0" w:color="auto"/>
        <w:left w:val="none" w:sz="0" w:space="0" w:color="auto"/>
        <w:bottom w:val="none" w:sz="0" w:space="0" w:color="auto"/>
        <w:right w:val="none" w:sz="0" w:space="0" w:color="auto"/>
      </w:divBdr>
    </w:div>
    <w:div w:id="1619796697">
      <w:bodyDiv w:val="1"/>
      <w:marLeft w:val="0"/>
      <w:marRight w:val="0"/>
      <w:marTop w:val="0"/>
      <w:marBottom w:val="0"/>
      <w:divBdr>
        <w:top w:val="none" w:sz="0" w:space="0" w:color="auto"/>
        <w:left w:val="none" w:sz="0" w:space="0" w:color="auto"/>
        <w:bottom w:val="none" w:sz="0" w:space="0" w:color="auto"/>
        <w:right w:val="none" w:sz="0" w:space="0" w:color="auto"/>
      </w:divBdr>
    </w:div>
    <w:div w:id="1626303826">
      <w:bodyDiv w:val="1"/>
      <w:marLeft w:val="0"/>
      <w:marRight w:val="0"/>
      <w:marTop w:val="0"/>
      <w:marBottom w:val="0"/>
      <w:divBdr>
        <w:top w:val="none" w:sz="0" w:space="0" w:color="auto"/>
        <w:left w:val="none" w:sz="0" w:space="0" w:color="auto"/>
        <w:bottom w:val="none" w:sz="0" w:space="0" w:color="auto"/>
        <w:right w:val="none" w:sz="0" w:space="0" w:color="auto"/>
      </w:divBdr>
    </w:div>
    <w:div w:id="1698385449">
      <w:bodyDiv w:val="1"/>
      <w:marLeft w:val="0"/>
      <w:marRight w:val="0"/>
      <w:marTop w:val="0"/>
      <w:marBottom w:val="0"/>
      <w:divBdr>
        <w:top w:val="none" w:sz="0" w:space="0" w:color="auto"/>
        <w:left w:val="none" w:sz="0" w:space="0" w:color="auto"/>
        <w:bottom w:val="none" w:sz="0" w:space="0" w:color="auto"/>
        <w:right w:val="none" w:sz="0" w:space="0" w:color="auto"/>
      </w:divBdr>
    </w:div>
    <w:div w:id="1723213118">
      <w:bodyDiv w:val="1"/>
      <w:marLeft w:val="0"/>
      <w:marRight w:val="0"/>
      <w:marTop w:val="0"/>
      <w:marBottom w:val="0"/>
      <w:divBdr>
        <w:top w:val="none" w:sz="0" w:space="0" w:color="auto"/>
        <w:left w:val="none" w:sz="0" w:space="0" w:color="auto"/>
        <w:bottom w:val="none" w:sz="0" w:space="0" w:color="auto"/>
        <w:right w:val="none" w:sz="0" w:space="0" w:color="auto"/>
      </w:divBdr>
    </w:div>
    <w:div w:id="1728529433">
      <w:bodyDiv w:val="1"/>
      <w:marLeft w:val="0"/>
      <w:marRight w:val="0"/>
      <w:marTop w:val="0"/>
      <w:marBottom w:val="0"/>
      <w:divBdr>
        <w:top w:val="none" w:sz="0" w:space="0" w:color="auto"/>
        <w:left w:val="none" w:sz="0" w:space="0" w:color="auto"/>
        <w:bottom w:val="none" w:sz="0" w:space="0" w:color="auto"/>
        <w:right w:val="none" w:sz="0" w:space="0" w:color="auto"/>
      </w:divBdr>
    </w:div>
    <w:div w:id="1731348124">
      <w:bodyDiv w:val="1"/>
      <w:marLeft w:val="0"/>
      <w:marRight w:val="0"/>
      <w:marTop w:val="0"/>
      <w:marBottom w:val="0"/>
      <w:divBdr>
        <w:top w:val="none" w:sz="0" w:space="0" w:color="auto"/>
        <w:left w:val="none" w:sz="0" w:space="0" w:color="auto"/>
        <w:bottom w:val="none" w:sz="0" w:space="0" w:color="auto"/>
        <w:right w:val="none" w:sz="0" w:space="0" w:color="auto"/>
      </w:divBdr>
    </w:div>
    <w:div w:id="1749375408">
      <w:bodyDiv w:val="1"/>
      <w:marLeft w:val="0"/>
      <w:marRight w:val="0"/>
      <w:marTop w:val="0"/>
      <w:marBottom w:val="0"/>
      <w:divBdr>
        <w:top w:val="none" w:sz="0" w:space="0" w:color="auto"/>
        <w:left w:val="none" w:sz="0" w:space="0" w:color="auto"/>
        <w:bottom w:val="none" w:sz="0" w:space="0" w:color="auto"/>
        <w:right w:val="none" w:sz="0" w:space="0" w:color="auto"/>
      </w:divBdr>
    </w:div>
    <w:div w:id="1814445257">
      <w:bodyDiv w:val="1"/>
      <w:marLeft w:val="0"/>
      <w:marRight w:val="0"/>
      <w:marTop w:val="0"/>
      <w:marBottom w:val="0"/>
      <w:divBdr>
        <w:top w:val="none" w:sz="0" w:space="0" w:color="auto"/>
        <w:left w:val="none" w:sz="0" w:space="0" w:color="auto"/>
        <w:bottom w:val="none" w:sz="0" w:space="0" w:color="auto"/>
        <w:right w:val="none" w:sz="0" w:space="0" w:color="auto"/>
      </w:divBdr>
    </w:div>
    <w:div w:id="1822111470">
      <w:bodyDiv w:val="1"/>
      <w:marLeft w:val="0"/>
      <w:marRight w:val="0"/>
      <w:marTop w:val="0"/>
      <w:marBottom w:val="0"/>
      <w:divBdr>
        <w:top w:val="none" w:sz="0" w:space="0" w:color="auto"/>
        <w:left w:val="none" w:sz="0" w:space="0" w:color="auto"/>
        <w:bottom w:val="none" w:sz="0" w:space="0" w:color="auto"/>
        <w:right w:val="none" w:sz="0" w:space="0" w:color="auto"/>
      </w:divBdr>
    </w:div>
    <w:div w:id="1945263864">
      <w:bodyDiv w:val="1"/>
      <w:marLeft w:val="0"/>
      <w:marRight w:val="0"/>
      <w:marTop w:val="0"/>
      <w:marBottom w:val="0"/>
      <w:divBdr>
        <w:top w:val="none" w:sz="0" w:space="0" w:color="auto"/>
        <w:left w:val="none" w:sz="0" w:space="0" w:color="auto"/>
        <w:bottom w:val="none" w:sz="0" w:space="0" w:color="auto"/>
        <w:right w:val="none" w:sz="0" w:space="0" w:color="auto"/>
      </w:divBdr>
    </w:div>
    <w:div w:id="1996950012">
      <w:bodyDiv w:val="1"/>
      <w:marLeft w:val="0"/>
      <w:marRight w:val="0"/>
      <w:marTop w:val="0"/>
      <w:marBottom w:val="0"/>
      <w:divBdr>
        <w:top w:val="none" w:sz="0" w:space="0" w:color="auto"/>
        <w:left w:val="none" w:sz="0" w:space="0" w:color="auto"/>
        <w:bottom w:val="none" w:sz="0" w:space="0" w:color="auto"/>
        <w:right w:val="none" w:sz="0" w:space="0" w:color="auto"/>
      </w:divBdr>
    </w:div>
    <w:div w:id="2011055099">
      <w:bodyDiv w:val="1"/>
      <w:marLeft w:val="0"/>
      <w:marRight w:val="0"/>
      <w:marTop w:val="0"/>
      <w:marBottom w:val="0"/>
      <w:divBdr>
        <w:top w:val="none" w:sz="0" w:space="0" w:color="auto"/>
        <w:left w:val="none" w:sz="0" w:space="0" w:color="auto"/>
        <w:bottom w:val="none" w:sz="0" w:space="0" w:color="auto"/>
        <w:right w:val="none" w:sz="0" w:space="0" w:color="auto"/>
      </w:divBdr>
    </w:div>
    <w:div w:id="2035184119">
      <w:bodyDiv w:val="1"/>
      <w:marLeft w:val="0"/>
      <w:marRight w:val="0"/>
      <w:marTop w:val="0"/>
      <w:marBottom w:val="0"/>
      <w:divBdr>
        <w:top w:val="none" w:sz="0" w:space="0" w:color="auto"/>
        <w:left w:val="none" w:sz="0" w:space="0" w:color="auto"/>
        <w:bottom w:val="none" w:sz="0" w:space="0" w:color="auto"/>
        <w:right w:val="none" w:sz="0" w:space="0" w:color="auto"/>
      </w:divBdr>
    </w:div>
    <w:div w:id="2035227963">
      <w:bodyDiv w:val="1"/>
      <w:marLeft w:val="0"/>
      <w:marRight w:val="0"/>
      <w:marTop w:val="0"/>
      <w:marBottom w:val="0"/>
      <w:divBdr>
        <w:top w:val="none" w:sz="0" w:space="0" w:color="auto"/>
        <w:left w:val="none" w:sz="0" w:space="0" w:color="auto"/>
        <w:bottom w:val="none" w:sz="0" w:space="0" w:color="auto"/>
        <w:right w:val="none" w:sz="0" w:space="0" w:color="auto"/>
      </w:divBdr>
    </w:div>
    <w:div w:id="2068259569">
      <w:bodyDiv w:val="1"/>
      <w:marLeft w:val="0"/>
      <w:marRight w:val="0"/>
      <w:marTop w:val="0"/>
      <w:marBottom w:val="0"/>
      <w:divBdr>
        <w:top w:val="none" w:sz="0" w:space="0" w:color="auto"/>
        <w:left w:val="none" w:sz="0" w:space="0" w:color="auto"/>
        <w:bottom w:val="none" w:sz="0" w:space="0" w:color="auto"/>
        <w:right w:val="none" w:sz="0" w:space="0" w:color="auto"/>
      </w:divBdr>
    </w:div>
    <w:div w:id="2075931745">
      <w:bodyDiv w:val="1"/>
      <w:marLeft w:val="0"/>
      <w:marRight w:val="0"/>
      <w:marTop w:val="0"/>
      <w:marBottom w:val="0"/>
      <w:divBdr>
        <w:top w:val="none" w:sz="0" w:space="0" w:color="auto"/>
        <w:left w:val="none" w:sz="0" w:space="0" w:color="auto"/>
        <w:bottom w:val="none" w:sz="0" w:space="0" w:color="auto"/>
        <w:right w:val="none" w:sz="0" w:space="0" w:color="auto"/>
      </w:divBdr>
    </w:div>
    <w:div w:id="2092308424">
      <w:bodyDiv w:val="1"/>
      <w:marLeft w:val="0"/>
      <w:marRight w:val="0"/>
      <w:marTop w:val="0"/>
      <w:marBottom w:val="0"/>
      <w:divBdr>
        <w:top w:val="none" w:sz="0" w:space="0" w:color="auto"/>
        <w:left w:val="none" w:sz="0" w:space="0" w:color="auto"/>
        <w:bottom w:val="none" w:sz="0" w:space="0" w:color="auto"/>
        <w:right w:val="none" w:sz="0" w:space="0" w:color="auto"/>
      </w:divBdr>
    </w:div>
    <w:div w:id="2098868259">
      <w:bodyDiv w:val="1"/>
      <w:marLeft w:val="0"/>
      <w:marRight w:val="0"/>
      <w:marTop w:val="0"/>
      <w:marBottom w:val="0"/>
      <w:divBdr>
        <w:top w:val="none" w:sz="0" w:space="0" w:color="auto"/>
        <w:left w:val="none" w:sz="0" w:space="0" w:color="auto"/>
        <w:bottom w:val="none" w:sz="0" w:space="0" w:color="auto"/>
        <w:right w:val="none" w:sz="0" w:space="0" w:color="auto"/>
      </w:divBdr>
    </w:div>
    <w:div w:id="211617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12" Type="http://schemas.openxmlformats.org/officeDocument/2006/relationships/image" Target="media/image99.png"/><Relationship Id="rId16" Type="http://schemas.openxmlformats.org/officeDocument/2006/relationships/image" Target="media/image3.png"/><Relationship Id="rId107" Type="http://schemas.openxmlformats.org/officeDocument/2006/relationships/image" Target="media/image94.png"/><Relationship Id="rId11" Type="http://schemas.openxmlformats.org/officeDocument/2006/relationships/hyperlink" Target="http://www.cenaprece.salud.gob.mx/programas/interior/saludbucal/descargas/pdf/20_2012_Manual_PatBucales_vFinal.pdf" TargetMode="Externa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png"/><Relationship Id="rId118" Type="http://schemas.openxmlformats.org/officeDocument/2006/relationships/image" Target="media/image105.png"/><Relationship Id="rId80" Type="http://schemas.openxmlformats.org/officeDocument/2006/relationships/image" Target="media/image67.png"/><Relationship Id="rId85" Type="http://schemas.openxmlformats.org/officeDocument/2006/relationships/image" Target="media/image72.png"/><Relationship Id="rId12" Type="http://schemas.openxmlformats.org/officeDocument/2006/relationships/hyperlink" Target="http://www.who.int/ipcs/assessment/public_health/chemicals_phc/es/" TargetMode="Externa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theme" Target="theme/theme1.xml"/><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hyperlink" Target="http://dof.gob.mx/nota_detalle.php?codigo=5288225&amp;fecha=02/19/2013" TargetMode="External"/><Relationship Id="rId13" Type="http://schemas.openxmlformats.org/officeDocument/2006/relationships/hyperlink" Target="http://www.who.int/ipcs/assessment/public_health/chemicals_phc/es/" TargetMode="Externa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8" Type="http://schemas.openxmlformats.org/officeDocument/2006/relationships/hyperlink" Target="http://dof.gob.mx/nota_detalle.php?codigo=5288225&amp;fecha=19/02/2013" TargetMode="Externa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header" Target="header2.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0" Type="http://schemas.openxmlformats.org/officeDocument/2006/relationships/hyperlink" Target="http://www.cenaprece.salud.gob.mx/programas/interior/saludbucal/descargas/pdf/20_2012_Manual_PatBucales_vFinal.pdf" TargetMode="Externa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78C1E-4B50-480D-8327-DF4ED149B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259</Pages>
  <Words>147016</Words>
  <Characters>779188</Characters>
  <Application>Microsoft Office Word</Application>
  <DocSecurity>0</DocSecurity>
  <Lines>15901</Lines>
  <Paragraphs>8269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917935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NOM-127-SSA1-2021</dc:title>
  <dc:subject/>
  <dc:creator>TRANSLATED BY LIC GLENN LOUIS MCBRIDE</dc:creator>
  <cp:keywords/>
  <dc:description/>
  <cp:lastModifiedBy>GLENN MCBRIDE</cp:lastModifiedBy>
  <cp:revision>2</cp:revision>
  <cp:lastPrinted>2023-11-14T23:29:00Z</cp:lastPrinted>
  <dcterms:created xsi:type="dcterms:W3CDTF">2023-11-15T00:39:00Z</dcterms:created>
  <dcterms:modified xsi:type="dcterms:W3CDTF">2023-11-15T00:39:00Z</dcterms:modified>
</cp:coreProperties>
</file>